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732A39D">
      <w:pPr>
        <w:ind w:firstLine="0" w:firstLineChars="0"/>
      </w:pPr>
      <w:bookmarkStart w:id="0" w:name="_Hlk208906189"/>
      <w:bookmarkEnd w:id="0"/>
      <w:bookmarkStart w:id="1" w:name="_Hlk184627947"/>
      <w:bookmarkStart w:id="2" w:name="_Toc152786032"/>
      <w:bookmarkStart w:id="3" w:name="_Toc135998004"/>
      <w:bookmarkStart w:id="4" w:name="_Toc482032568"/>
      <w:bookmarkStart w:id="5" w:name="_Toc477530836"/>
    </w:p>
    <w:p w14:paraId="5CBB763B">
      <w:pPr>
        <w:adjustRightInd w:val="0"/>
        <w:snapToGrid w:val="0"/>
        <w:spacing w:before="372" w:beforeLines="80"/>
        <w:ind w:firstLine="943"/>
        <w:jc w:val="center"/>
        <w:rPr>
          <w:rFonts w:eastAsia="华文仿宋"/>
          <w:b/>
          <w:kern w:val="44"/>
          <w:sz w:val="48"/>
          <w:szCs w:val="48"/>
        </w:rPr>
      </w:pPr>
    </w:p>
    <w:p w14:paraId="50D55C10">
      <w:pPr>
        <w:adjustRightInd w:val="0"/>
        <w:snapToGrid w:val="0"/>
        <w:spacing w:before="372" w:beforeLines="80"/>
        <w:ind w:firstLine="943"/>
        <w:jc w:val="center"/>
        <w:rPr>
          <w:rFonts w:eastAsia="华文仿宋"/>
          <w:b/>
          <w:kern w:val="44"/>
          <w:sz w:val="48"/>
          <w:szCs w:val="48"/>
        </w:rPr>
      </w:pPr>
    </w:p>
    <w:p w14:paraId="41B1539D">
      <w:pPr>
        <w:adjustRightInd w:val="0"/>
        <w:snapToGrid w:val="0"/>
        <w:spacing w:line="360" w:lineRule="auto"/>
        <w:ind w:firstLine="0" w:firstLineChars="0"/>
        <w:jc w:val="center"/>
        <w:rPr>
          <w:rFonts w:eastAsia="华文仿宋"/>
          <w:b/>
          <w:kern w:val="44"/>
          <w:sz w:val="44"/>
          <w:szCs w:val="48"/>
        </w:rPr>
      </w:pPr>
      <w:bookmarkStart w:id="6" w:name="OLE_LINK105"/>
      <w:bookmarkStart w:id="7" w:name="_Hlk57883728"/>
      <w:r>
        <w:rPr>
          <w:rFonts w:hint="eastAsia" w:eastAsia="华文仿宋"/>
          <w:b/>
          <w:kern w:val="44"/>
          <w:sz w:val="44"/>
          <w:szCs w:val="48"/>
        </w:rPr>
        <w:t>北部湾港钦州港域</w:t>
      </w:r>
      <w:bookmarkStart w:id="8" w:name="OLE_LINK82"/>
      <w:r>
        <w:rPr>
          <w:rFonts w:hint="eastAsia" w:eastAsia="华文仿宋"/>
          <w:b/>
          <w:kern w:val="44"/>
          <w:sz w:val="44"/>
          <w:szCs w:val="48"/>
        </w:rPr>
        <w:t>大榄坪港区大榄坪南作业区内1号至5号江海联运泊位工程</w:t>
      </w:r>
      <w:bookmarkEnd w:id="8"/>
    </w:p>
    <w:bookmarkEnd w:id="6"/>
    <w:p w14:paraId="1EB3981E">
      <w:pPr>
        <w:adjustRightInd w:val="0"/>
        <w:snapToGrid w:val="0"/>
        <w:spacing w:line="360" w:lineRule="auto"/>
        <w:ind w:firstLine="0" w:firstLineChars="0"/>
        <w:jc w:val="center"/>
        <w:rPr>
          <w:rFonts w:eastAsia="华文仿宋"/>
          <w:b/>
          <w:kern w:val="44"/>
          <w:sz w:val="44"/>
          <w:szCs w:val="48"/>
        </w:rPr>
      </w:pPr>
      <w:r>
        <w:rPr>
          <w:rFonts w:hint="eastAsia" w:eastAsia="华文仿宋"/>
          <w:b/>
          <w:kern w:val="44"/>
          <w:sz w:val="44"/>
          <w:szCs w:val="48"/>
        </w:rPr>
        <w:t>环境影响报告书</w:t>
      </w:r>
    </w:p>
    <w:p w14:paraId="6ADF72D7">
      <w:pPr>
        <w:adjustRightInd w:val="0"/>
        <w:snapToGrid w:val="0"/>
        <w:spacing w:before="232" w:beforeLines="50"/>
        <w:ind w:firstLine="0" w:firstLineChars="0"/>
        <w:jc w:val="center"/>
        <w:rPr>
          <w:rFonts w:eastAsia="华文仿宋"/>
          <w:b/>
          <w:kern w:val="44"/>
          <w:sz w:val="44"/>
          <w:szCs w:val="48"/>
        </w:rPr>
      </w:pPr>
      <w:r>
        <w:rPr>
          <w:rFonts w:hint="eastAsia" w:eastAsia="华文仿宋"/>
          <w:b/>
          <w:kern w:val="44"/>
          <w:sz w:val="44"/>
          <w:szCs w:val="48"/>
        </w:rPr>
        <w:t>（公 示 稿）</w:t>
      </w:r>
    </w:p>
    <w:p w14:paraId="194587F0">
      <w:pPr>
        <w:ind w:firstLine="1022"/>
        <w:jc w:val="center"/>
        <w:rPr>
          <w:rFonts w:eastAsia="仿宋"/>
          <w:sz w:val="52"/>
          <w:szCs w:val="52"/>
        </w:rPr>
      </w:pPr>
    </w:p>
    <w:bookmarkEnd w:id="7"/>
    <w:p w14:paraId="1B7CAFF9">
      <w:pPr>
        <w:adjustRightInd w:val="0"/>
        <w:snapToGrid w:val="0"/>
        <w:spacing w:line="288" w:lineRule="auto"/>
        <w:ind w:firstLine="702"/>
        <w:rPr>
          <w:rFonts w:eastAsia="仿宋_GB2312"/>
          <w:sz w:val="36"/>
          <w:szCs w:val="36"/>
        </w:rPr>
      </w:pPr>
    </w:p>
    <w:p w14:paraId="19779643">
      <w:pPr>
        <w:adjustRightInd w:val="0"/>
        <w:snapToGrid w:val="0"/>
        <w:spacing w:line="288" w:lineRule="auto"/>
        <w:ind w:firstLine="702"/>
        <w:rPr>
          <w:rFonts w:eastAsia="仿宋_GB2312"/>
          <w:sz w:val="36"/>
          <w:szCs w:val="36"/>
        </w:rPr>
      </w:pPr>
    </w:p>
    <w:p w14:paraId="7DC3DA1B">
      <w:pPr>
        <w:adjustRightInd w:val="0"/>
        <w:snapToGrid w:val="0"/>
        <w:spacing w:line="288" w:lineRule="auto"/>
        <w:ind w:firstLine="702"/>
        <w:rPr>
          <w:rFonts w:eastAsia="仿宋_GB2312"/>
          <w:sz w:val="36"/>
          <w:szCs w:val="36"/>
        </w:rPr>
      </w:pPr>
    </w:p>
    <w:p w14:paraId="5D933432">
      <w:pPr>
        <w:adjustRightInd w:val="0"/>
        <w:snapToGrid w:val="0"/>
        <w:spacing w:line="288" w:lineRule="auto"/>
        <w:ind w:firstLine="702"/>
        <w:rPr>
          <w:rFonts w:eastAsia="仿宋_GB2312"/>
          <w:sz w:val="36"/>
          <w:szCs w:val="36"/>
        </w:rPr>
      </w:pPr>
    </w:p>
    <w:p w14:paraId="65CBA613">
      <w:pPr>
        <w:adjustRightInd w:val="0"/>
        <w:snapToGrid w:val="0"/>
        <w:spacing w:line="288" w:lineRule="auto"/>
        <w:ind w:firstLine="702"/>
        <w:rPr>
          <w:rFonts w:eastAsia="仿宋_GB2312"/>
          <w:sz w:val="36"/>
          <w:szCs w:val="36"/>
        </w:rPr>
      </w:pPr>
    </w:p>
    <w:p w14:paraId="73463BB3">
      <w:pPr>
        <w:adjustRightInd w:val="0"/>
        <w:snapToGrid w:val="0"/>
        <w:spacing w:line="288" w:lineRule="auto"/>
        <w:ind w:firstLine="702"/>
        <w:rPr>
          <w:rFonts w:eastAsia="仿宋_GB2312"/>
          <w:sz w:val="36"/>
          <w:szCs w:val="36"/>
        </w:rPr>
      </w:pPr>
    </w:p>
    <w:p w14:paraId="686D448D">
      <w:pPr>
        <w:adjustRightInd w:val="0"/>
        <w:snapToGrid w:val="0"/>
        <w:spacing w:line="288" w:lineRule="auto"/>
        <w:ind w:firstLine="702"/>
        <w:rPr>
          <w:rFonts w:eastAsia="仿宋_GB2312"/>
          <w:sz w:val="36"/>
          <w:szCs w:val="36"/>
        </w:rPr>
      </w:pPr>
    </w:p>
    <w:p w14:paraId="42EBBF3F">
      <w:pPr>
        <w:adjustRightInd w:val="0"/>
        <w:snapToGrid w:val="0"/>
        <w:spacing w:line="360" w:lineRule="auto"/>
        <w:ind w:firstLine="0" w:firstLineChars="0"/>
        <w:jc w:val="center"/>
        <w:rPr>
          <w:rFonts w:hint="eastAsia" w:ascii="华文仿宋" w:hAnsi="华文仿宋" w:eastAsia="华文仿宋"/>
          <w:sz w:val="36"/>
          <w:szCs w:val="36"/>
        </w:rPr>
      </w:pPr>
      <w:r>
        <w:rPr>
          <w:rFonts w:hint="eastAsia" w:ascii="华文仿宋" w:hAnsi="华文仿宋" w:eastAsia="华文仿宋"/>
          <w:sz w:val="36"/>
          <w:szCs w:val="36"/>
        </w:rPr>
        <w:t>建设单位：</w:t>
      </w:r>
      <w:bookmarkStart w:id="9" w:name="OLE_LINK47"/>
      <w:r>
        <w:rPr>
          <w:rFonts w:hint="eastAsia" w:ascii="华文仿宋" w:hAnsi="华文仿宋" w:eastAsia="华文仿宋"/>
          <w:sz w:val="36"/>
          <w:szCs w:val="36"/>
        </w:rPr>
        <w:t>广西钦州保税港区宏港码头有限公司</w:t>
      </w:r>
      <w:bookmarkEnd w:id="9"/>
    </w:p>
    <w:p w14:paraId="6914AE8C">
      <w:pPr>
        <w:adjustRightInd w:val="0"/>
        <w:snapToGrid w:val="0"/>
        <w:spacing w:line="360" w:lineRule="auto"/>
        <w:ind w:firstLine="0" w:firstLineChars="0"/>
        <w:jc w:val="center"/>
        <w:rPr>
          <w:rFonts w:hint="eastAsia" w:ascii="华文仿宋" w:hAnsi="华文仿宋" w:eastAsia="华文仿宋"/>
          <w:sz w:val="36"/>
          <w:szCs w:val="36"/>
        </w:rPr>
      </w:pPr>
      <w:r>
        <w:rPr>
          <w:rFonts w:hint="eastAsia" w:ascii="华文仿宋" w:hAnsi="华文仿宋" w:eastAsia="华文仿宋"/>
          <w:sz w:val="36"/>
          <w:szCs w:val="36"/>
        </w:rPr>
        <w:t>评价单位：广西交科集团有限公司</w:t>
      </w:r>
    </w:p>
    <w:p w14:paraId="597928D1">
      <w:pPr>
        <w:adjustRightInd w:val="0"/>
        <w:snapToGrid w:val="0"/>
        <w:spacing w:line="360" w:lineRule="auto"/>
        <w:ind w:firstLine="0" w:firstLineChars="0"/>
        <w:jc w:val="center"/>
        <w:rPr>
          <w:rFonts w:hint="eastAsia" w:ascii="华文仿宋" w:hAnsi="华文仿宋" w:eastAsia="华文仿宋"/>
          <w:sz w:val="36"/>
          <w:szCs w:val="36"/>
        </w:rPr>
      </w:pPr>
      <w:r>
        <w:rPr>
          <w:rFonts w:hint="eastAsia" w:ascii="华文仿宋" w:hAnsi="华文仿宋" w:eastAsia="华文仿宋"/>
          <w:sz w:val="36"/>
          <w:szCs w:val="36"/>
        </w:rPr>
        <w:t>二〇二六年二月</w:t>
      </w:r>
    </w:p>
    <w:p w14:paraId="3288AFCD">
      <w:pPr>
        <w:adjustRightInd w:val="0"/>
        <w:snapToGrid w:val="0"/>
        <w:spacing w:line="360" w:lineRule="auto"/>
        <w:ind w:firstLine="0" w:firstLineChars="0"/>
        <w:jc w:val="center"/>
        <w:rPr>
          <w:rFonts w:hint="eastAsia" w:ascii="华文仿宋" w:hAnsi="华文仿宋" w:eastAsia="华文仿宋"/>
          <w:sz w:val="36"/>
          <w:szCs w:val="36"/>
        </w:rPr>
        <w:sectPr>
          <w:headerReference r:id="rId7" w:type="first"/>
          <w:footerReference r:id="rId10" w:type="first"/>
          <w:headerReference r:id="rId5" w:type="default"/>
          <w:footerReference r:id="rId8" w:type="default"/>
          <w:headerReference r:id="rId6" w:type="even"/>
          <w:footerReference r:id="rId9" w:type="even"/>
          <w:type w:val="oddPage"/>
          <w:pgSz w:w="11907" w:h="16840"/>
          <w:pgMar w:top="1440" w:right="1514" w:bottom="1440" w:left="1797" w:header="992" w:footer="851" w:gutter="284"/>
          <w:pgNumType w:fmt="lowerRoman"/>
          <w:cols w:space="425" w:num="1"/>
          <w:docGrid w:type="linesAndChars" w:linePitch="465" w:charSpace="-1866"/>
        </w:sectPr>
      </w:pPr>
    </w:p>
    <w:p w14:paraId="627C4B15">
      <w:pPr>
        <w:ind w:firstLine="544"/>
        <w:jc w:val="center"/>
        <w:rPr>
          <w:rFonts w:eastAsia="楷体"/>
          <w:b/>
          <w:bCs/>
          <w:sz w:val="28"/>
          <w:szCs w:val="28"/>
        </w:rPr>
      </w:pPr>
      <w:r>
        <w:rPr>
          <w:rFonts w:hint="eastAsia" w:eastAsia="楷体"/>
          <w:b/>
          <w:bCs/>
          <w:sz w:val="28"/>
          <w:szCs w:val="28"/>
        </w:rPr>
        <w:t>北部湾港钦州港域大榄坪港区大榄坪南作业区内1号至5号江海联运泊位工程环境影响报告书修改清单</w:t>
      </w:r>
    </w:p>
    <w:tbl>
      <w:tblPr>
        <w:tblStyle w:val="88"/>
        <w:tblW w:w="55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81"/>
        <w:gridCol w:w="4480"/>
        <w:gridCol w:w="4252"/>
        <w:gridCol w:w="1385"/>
        <w:gridCol w:w="4820"/>
      </w:tblGrid>
      <w:tr w14:paraId="6F6F40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tcMar>
              <w:left w:w="28" w:type="dxa"/>
              <w:right w:w="28" w:type="dxa"/>
            </w:tcMar>
            <w:vAlign w:val="center"/>
          </w:tcPr>
          <w:p w14:paraId="555957CB">
            <w:pPr>
              <w:pStyle w:val="175"/>
              <w:jc w:val="center"/>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453" w:type="pct"/>
            <w:tcMar>
              <w:left w:w="28" w:type="dxa"/>
              <w:right w:w="28" w:type="dxa"/>
            </w:tcMar>
            <w:vAlign w:val="center"/>
          </w:tcPr>
          <w:p w14:paraId="5F89E78D">
            <w:pPr>
              <w:pStyle w:val="175"/>
              <w:jc w:val="center"/>
              <w:rPr>
                <w:color w:val="000000" w:themeColor="text1"/>
                <w14:textFill>
                  <w14:solidFill>
                    <w14:schemeClr w14:val="tx1"/>
                  </w14:solidFill>
                </w14:textFill>
              </w:rPr>
            </w:pPr>
            <w:r>
              <w:rPr>
                <w:color w:val="000000" w:themeColor="text1"/>
                <w14:textFill>
                  <w14:solidFill>
                    <w14:schemeClr w14:val="tx1"/>
                  </w14:solidFill>
                </w14:textFill>
              </w:rPr>
              <w:t>评审专家意见</w:t>
            </w:r>
          </w:p>
        </w:tc>
        <w:tc>
          <w:tcPr>
            <w:tcW w:w="1379" w:type="pct"/>
            <w:tcMar>
              <w:left w:w="28" w:type="dxa"/>
              <w:right w:w="28" w:type="dxa"/>
            </w:tcMar>
            <w:vAlign w:val="center"/>
          </w:tcPr>
          <w:p w14:paraId="48850023">
            <w:pPr>
              <w:pStyle w:val="175"/>
              <w:jc w:val="center"/>
              <w:rPr>
                <w:color w:val="000000" w:themeColor="text1"/>
                <w14:textFill>
                  <w14:solidFill>
                    <w14:schemeClr w14:val="tx1"/>
                  </w14:solidFill>
                </w14:textFill>
              </w:rPr>
            </w:pPr>
            <w:r>
              <w:rPr>
                <w:color w:val="000000" w:themeColor="text1"/>
                <w14:textFill>
                  <w14:solidFill>
                    <w14:schemeClr w14:val="tx1"/>
                  </w14:solidFill>
                </w14:textFill>
              </w:rPr>
              <w:t>涉及章节</w:t>
            </w:r>
          </w:p>
        </w:tc>
        <w:tc>
          <w:tcPr>
            <w:tcW w:w="449" w:type="pct"/>
            <w:tcMar>
              <w:left w:w="28" w:type="dxa"/>
              <w:right w:w="28" w:type="dxa"/>
            </w:tcMar>
            <w:vAlign w:val="center"/>
          </w:tcPr>
          <w:p w14:paraId="3163187B">
            <w:pPr>
              <w:pStyle w:val="175"/>
              <w:jc w:val="center"/>
              <w:rPr>
                <w:color w:val="000000" w:themeColor="text1"/>
                <w14:textFill>
                  <w14:solidFill>
                    <w14:schemeClr w14:val="tx1"/>
                  </w14:solidFill>
                </w14:textFill>
              </w:rPr>
            </w:pPr>
            <w:r>
              <w:rPr>
                <w:color w:val="000000" w:themeColor="text1"/>
                <w14:textFill>
                  <w14:solidFill>
                    <w14:schemeClr w14:val="tx1"/>
                  </w14:solidFill>
                </w14:textFill>
              </w:rPr>
              <w:t>具体位置</w:t>
            </w:r>
          </w:p>
        </w:tc>
        <w:tc>
          <w:tcPr>
            <w:tcW w:w="1563" w:type="pct"/>
            <w:tcMar>
              <w:left w:w="28" w:type="dxa"/>
              <w:right w:w="28" w:type="dxa"/>
            </w:tcMar>
            <w:vAlign w:val="center"/>
          </w:tcPr>
          <w:p w14:paraId="41AEF163">
            <w:pPr>
              <w:pStyle w:val="17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修改情况说明</w:t>
            </w:r>
          </w:p>
        </w:tc>
      </w:tr>
      <w:tr w14:paraId="63D2B8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3" w:hRule="atLeast"/>
          <w:jc w:val="center"/>
        </w:trPr>
        <w:tc>
          <w:tcPr>
            <w:tcW w:w="156" w:type="pct"/>
            <w:vMerge w:val="restart"/>
            <w:tcMar>
              <w:left w:w="28" w:type="dxa"/>
              <w:right w:w="28" w:type="dxa"/>
            </w:tcMar>
            <w:vAlign w:val="center"/>
          </w:tcPr>
          <w:p w14:paraId="1A09562C">
            <w:pPr>
              <w:pStyle w:val="175"/>
              <w:numPr>
                <w:ilvl w:val="0"/>
                <w:numId w:val="40"/>
              </w:numPr>
              <w:jc w:val="center"/>
              <w:rPr>
                <w:color w:val="000000" w:themeColor="text1"/>
                <w14:textFill>
                  <w14:solidFill>
                    <w14:schemeClr w14:val="tx1"/>
                  </w14:solidFill>
                </w14:textFill>
              </w:rPr>
            </w:pPr>
          </w:p>
        </w:tc>
        <w:tc>
          <w:tcPr>
            <w:tcW w:w="1453" w:type="pct"/>
            <w:vMerge w:val="restart"/>
            <w:tcMar>
              <w:left w:w="28" w:type="dxa"/>
              <w:right w:w="28" w:type="dxa"/>
            </w:tcMar>
            <w:vAlign w:val="center"/>
          </w:tcPr>
          <w:p w14:paraId="733BA55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完善编制依据；补充完善大气环境质量标准和排放标准；完善环境敏感目标调查。</w:t>
            </w:r>
          </w:p>
        </w:tc>
        <w:tc>
          <w:tcPr>
            <w:tcW w:w="1379" w:type="pct"/>
            <w:tcBorders>
              <w:bottom w:val="single" w:color="auto" w:sz="4" w:space="0"/>
            </w:tcBorders>
            <w:tcMar>
              <w:left w:w="28" w:type="dxa"/>
              <w:right w:w="28" w:type="dxa"/>
            </w:tcMar>
            <w:vAlign w:val="center"/>
          </w:tcPr>
          <w:p w14:paraId="5F6B77FF">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1.1 编制依据</w:t>
            </w:r>
          </w:p>
        </w:tc>
        <w:tc>
          <w:tcPr>
            <w:tcW w:w="449" w:type="pct"/>
            <w:tcBorders>
              <w:bottom w:val="single" w:color="auto" w:sz="4" w:space="0"/>
            </w:tcBorders>
            <w:tcMar>
              <w:left w:w="28" w:type="dxa"/>
              <w:right w:w="28" w:type="dxa"/>
            </w:tcMar>
            <w:vAlign w:val="center"/>
          </w:tcPr>
          <w:p w14:paraId="38E76613">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P1-P3</w:t>
            </w:r>
          </w:p>
        </w:tc>
        <w:tc>
          <w:tcPr>
            <w:tcW w:w="1563" w:type="pct"/>
            <w:tcBorders>
              <w:bottom w:val="single" w:color="auto" w:sz="4" w:space="0"/>
            </w:tcBorders>
            <w:tcMar>
              <w:left w:w="28" w:type="dxa"/>
              <w:right w:w="28" w:type="dxa"/>
            </w:tcMar>
            <w:vAlign w:val="center"/>
          </w:tcPr>
          <w:p w14:paraId="2043CB1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补充完善了相关编制依据</w:t>
            </w:r>
          </w:p>
        </w:tc>
      </w:tr>
      <w:tr w14:paraId="0DCF59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 w:hRule="atLeast"/>
          <w:jc w:val="center"/>
        </w:trPr>
        <w:tc>
          <w:tcPr>
            <w:tcW w:w="156" w:type="pct"/>
            <w:vMerge w:val="continue"/>
            <w:tcMar>
              <w:left w:w="28" w:type="dxa"/>
              <w:right w:w="28" w:type="dxa"/>
            </w:tcMar>
            <w:vAlign w:val="center"/>
          </w:tcPr>
          <w:p w14:paraId="4B12ACC0">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267A22C9">
            <w:pPr>
              <w:pStyle w:val="175"/>
              <w:rPr>
                <w:color w:val="000000" w:themeColor="text1"/>
                <w14:textFill>
                  <w14:solidFill>
                    <w14:schemeClr w14:val="tx1"/>
                  </w14:solidFill>
                </w14:textFill>
              </w:rPr>
            </w:pPr>
          </w:p>
        </w:tc>
        <w:tc>
          <w:tcPr>
            <w:tcW w:w="1379" w:type="pct"/>
            <w:tcBorders>
              <w:top w:val="single" w:color="auto" w:sz="4" w:space="0"/>
              <w:bottom w:val="single" w:color="auto" w:sz="4" w:space="0"/>
            </w:tcBorders>
            <w:tcMar>
              <w:left w:w="28" w:type="dxa"/>
              <w:right w:w="28" w:type="dxa"/>
            </w:tcMar>
            <w:vAlign w:val="center"/>
          </w:tcPr>
          <w:p w14:paraId="3695351D">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1.3.2.1 环境空气</w:t>
            </w:r>
          </w:p>
        </w:tc>
        <w:tc>
          <w:tcPr>
            <w:tcW w:w="449" w:type="pct"/>
            <w:tcBorders>
              <w:top w:val="single" w:color="auto" w:sz="4" w:space="0"/>
              <w:bottom w:val="single" w:color="auto" w:sz="4" w:space="0"/>
            </w:tcBorders>
            <w:tcMar>
              <w:left w:w="28" w:type="dxa"/>
              <w:right w:w="28" w:type="dxa"/>
            </w:tcMar>
            <w:vAlign w:val="center"/>
          </w:tcPr>
          <w:p w14:paraId="152366F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P18</w:t>
            </w:r>
          </w:p>
        </w:tc>
        <w:tc>
          <w:tcPr>
            <w:tcW w:w="1563" w:type="pct"/>
            <w:tcBorders>
              <w:top w:val="single" w:color="auto" w:sz="4" w:space="0"/>
              <w:bottom w:val="single" w:color="auto" w:sz="4" w:space="0"/>
            </w:tcBorders>
            <w:tcMar>
              <w:left w:w="28" w:type="dxa"/>
              <w:right w:w="28" w:type="dxa"/>
            </w:tcMar>
            <w:vAlign w:val="center"/>
          </w:tcPr>
          <w:p w14:paraId="0A30D10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补充挥发性有机物、非甲烷总烃等相关</w:t>
            </w:r>
          </w:p>
        </w:tc>
      </w:tr>
      <w:tr w14:paraId="3F16FF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8" w:hRule="atLeast"/>
          <w:jc w:val="center"/>
        </w:trPr>
        <w:tc>
          <w:tcPr>
            <w:tcW w:w="156" w:type="pct"/>
            <w:vMerge w:val="continue"/>
            <w:tcMar>
              <w:left w:w="28" w:type="dxa"/>
              <w:right w:w="28" w:type="dxa"/>
            </w:tcMar>
            <w:vAlign w:val="center"/>
          </w:tcPr>
          <w:p w14:paraId="7010A296">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493A3E37">
            <w:pPr>
              <w:pStyle w:val="175"/>
              <w:rPr>
                <w:color w:val="000000" w:themeColor="text1"/>
                <w14:textFill>
                  <w14:solidFill>
                    <w14:schemeClr w14:val="tx1"/>
                  </w14:solidFill>
                </w14:textFill>
              </w:rPr>
            </w:pPr>
          </w:p>
        </w:tc>
        <w:tc>
          <w:tcPr>
            <w:tcW w:w="1379" w:type="pct"/>
            <w:tcBorders>
              <w:top w:val="single" w:color="auto" w:sz="4" w:space="0"/>
            </w:tcBorders>
            <w:tcMar>
              <w:left w:w="28" w:type="dxa"/>
              <w:right w:w="28" w:type="dxa"/>
            </w:tcMar>
            <w:vAlign w:val="center"/>
          </w:tcPr>
          <w:p w14:paraId="5A71A93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1.5 环境保护目标</w:t>
            </w:r>
          </w:p>
        </w:tc>
        <w:tc>
          <w:tcPr>
            <w:tcW w:w="449" w:type="pct"/>
            <w:tcBorders>
              <w:top w:val="single" w:color="auto" w:sz="4" w:space="0"/>
            </w:tcBorders>
            <w:tcMar>
              <w:left w:w="28" w:type="dxa"/>
              <w:right w:w="28" w:type="dxa"/>
            </w:tcMar>
            <w:vAlign w:val="center"/>
          </w:tcPr>
          <w:p w14:paraId="55753F4D">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P26</w:t>
            </w:r>
          </w:p>
        </w:tc>
        <w:tc>
          <w:tcPr>
            <w:tcW w:w="1563" w:type="pct"/>
            <w:tcBorders>
              <w:top w:val="single" w:color="auto" w:sz="4" w:space="0"/>
            </w:tcBorders>
            <w:tcMar>
              <w:left w:w="28" w:type="dxa"/>
              <w:right w:w="28" w:type="dxa"/>
            </w:tcMar>
            <w:vAlign w:val="center"/>
          </w:tcPr>
          <w:p w14:paraId="0E0A602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根据《钦州市养殖水域滩涂规划（2025-2035）》等规划核实完善敏感保护目标。</w:t>
            </w:r>
          </w:p>
        </w:tc>
      </w:tr>
      <w:tr w14:paraId="0CB57C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tcMar>
              <w:left w:w="28" w:type="dxa"/>
              <w:right w:w="28" w:type="dxa"/>
            </w:tcMar>
            <w:vAlign w:val="center"/>
          </w:tcPr>
          <w:p w14:paraId="260A3CF8">
            <w:pPr>
              <w:pStyle w:val="175"/>
              <w:numPr>
                <w:ilvl w:val="0"/>
                <w:numId w:val="40"/>
              </w:numPr>
              <w:jc w:val="center"/>
              <w:rPr>
                <w:color w:val="000000" w:themeColor="text1"/>
                <w14:textFill>
                  <w14:solidFill>
                    <w14:schemeClr w14:val="tx1"/>
                  </w14:solidFill>
                </w14:textFill>
              </w:rPr>
            </w:pPr>
          </w:p>
        </w:tc>
        <w:tc>
          <w:tcPr>
            <w:tcW w:w="1453" w:type="pct"/>
            <w:tcMar>
              <w:left w:w="28" w:type="dxa"/>
              <w:right w:w="28" w:type="dxa"/>
            </w:tcMar>
            <w:vAlign w:val="center"/>
          </w:tcPr>
          <w:p w14:paraId="71D1AB4A">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结合《污水海洋处置工程污染控制标准》(18486-2001)补充论证改迁排污口协调性分析。</w:t>
            </w:r>
          </w:p>
        </w:tc>
        <w:tc>
          <w:tcPr>
            <w:tcW w:w="1379" w:type="pct"/>
            <w:tcMar>
              <w:left w:w="28" w:type="dxa"/>
              <w:right w:w="28" w:type="dxa"/>
            </w:tcMar>
            <w:vAlign w:val="center"/>
          </w:tcPr>
          <w:p w14:paraId="43E4FE1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4.1.3 与迁改排污口协调性分析</w:t>
            </w:r>
          </w:p>
        </w:tc>
        <w:tc>
          <w:tcPr>
            <w:tcW w:w="449" w:type="pct"/>
            <w:tcMar>
              <w:left w:w="28" w:type="dxa"/>
              <w:right w:w="28" w:type="dxa"/>
            </w:tcMar>
            <w:vAlign w:val="center"/>
          </w:tcPr>
          <w:p w14:paraId="42F3AFF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P191~P192</w:t>
            </w:r>
          </w:p>
        </w:tc>
        <w:tc>
          <w:tcPr>
            <w:tcW w:w="1563" w:type="pct"/>
            <w:tcMar>
              <w:left w:w="28" w:type="dxa"/>
              <w:right w:w="28" w:type="dxa"/>
            </w:tcMar>
            <w:vAlign w:val="center"/>
          </w:tcPr>
          <w:p w14:paraId="19B34046">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补充项目与GB18486协调下分析</w:t>
            </w:r>
          </w:p>
        </w:tc>
      </w:tr>
      <w:tr w14:paraId="6CF91D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vMerge w:val="restart"/>
            <w:tcMar>
              <w:left w:w="28" w:type="dxa"/>
              <w:right w:w="28" w:type="dxa"/>
            </w:tcMar>
            <w:vAlign w:val="center"/>
          </w:tcPr>
          <w:p w14:paraId="3BC45A49">
            <w:pPr>
              <w:pStyle w:val="175"/>
              <w:numPr>
                <w:ilvl w:val="0"/>
                <w:numId w:val="40"/>
              </w:numPr>
              <w:jc w:val="center"/>
              <w:rPr>
                <w:color w:val="000000" w:themeColor="text1"/>
                <w14:textFill>
                  <w14:solidFill>
                    <w14:schemeClr w14:val="tx1"/>
                  </w14:solidFill>
                </w14:textFill>
              </w:rPr>
            </w:pPr>
          </w:p>
        </w:tc>
        <w:tc>
          <w:tcPr>
            <w:tcW w:w="1453" w:type="pct"/>
            <w:vMerge w:val="restart"/>
            <w:tcMar>
              <w:left w:w="28" w:type="dxa"/>
              <w:right w:w="28" w:type="dxa"/>
            </w:tcMar>
            <w:vAlign w:val="center"/>
          </w:tcPr>
          <w:p w14:paraId="76C86D5F">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完善海洋生态环境评价等级判定依据、核实评价范围。</w:t>
            </w:r>
          </w:p>
        </w:tc>
        <w:tc>
          <w:tcPr>
            <w:tcW w:w="1379" w:type="pct"/>
            <w:tcMar>
              <w:left w:w="28" w:type="dxa"/>
              <w:right w:w="28" w:type="dxa"/>
            </w:tcMar>
            <w:vAlign w:val="center"/>
          </w:tcPr>
          <w:p w14:paraId="0AAF632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1.2.1 评价工作等级</w:t>
            </w:r>
          </w:p>
        </w:tc>
        <w:tc>
          <w:tcPr>
            <w:tcW w:w="449" w:type="pct"/>
            <w:tcMar>
              <w:left w:w="28" w:type="dxa"/>
              <w:right w:w="28" w:type="dxa"/>
            </w:tcMar>
            <w:vAlign w:val="center"/>
          </w:tcPr>
          <w:p w14:paraId="057AA097">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P6~P7</w:t>
            </w:r>
          </w:p>
        </w:tc>
        <w:tc>
          <w:tcPr>
            <w:tcW w:w="1563" w:type="pct"/>
            <w:tcMar>
              <w:left w:w="28" w:type="dxa"/>
              <w:right w:w="28" w:type="dxa"/>
            </w:tcMar>
            <w:vAlign w:val="center"/>
          </w:tcPr>
          <w:p w14:paraId="4C6F82C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完善地表水扰动水底面积数据，核实评价等级。</w:t>
            </w:r>
          </w:p>
        </w:tc>
      </w:tr>
      <w:tr w14:paraId="199E23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vMerge w:val="continue"/>
            <w:tcMar>
              <w:left w:w="28" w:type="dxa"/>
              <w:right w:w="28" w:type="dxa"/>
            </w:tcMar>
            <w:vAlign w:val="center"/>
          </w:tcPr>
          <w:p w14:paraId="2BF1AC49">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716B326D">
            <w:pPr>
              <w:pStyle w:val="175"/>
              <w:rPr>
                <w:color w:val="000000" w:themeColor="text1"/>
                <w14:textFill>
                  <w14:solidFill>
                    <w14:schemeClr w14:val="tx1"/>
                  </w14:solidFill>
                </w14:textFill>
              </w:rPr>
            </w:pPr>
          </w:p>
        </w:tc>
        <w:tc>
          <w:tcPr>
            <w:tcW w:w="1379" w:type="pct"/>
            <w:tcMar>
              <w:left w:w="28" w:type="dxa"/>
              <w:right w:w="28" w:type="dxa"/>
            </w:tcMar>
            <w:vAlign w:val="center"/>
          </w:tcPr>
          <w:p w14:paraId="4B7AB03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1.2.3 评价范围</w:t>
            </w:r>
          </w:p>
        </w:tc>
        <w:tc>
          <w:tcPr>
            <w:tcW w:w="449" w:type="pct"/>
            <w:tcMar>
              <w:left w:w="28" w:type="dxa"/>
              <w:right w:w="28" w:type="dxa"/>
            </w:tcMar>
            <w:vAlign w:val="center"/>
          </w:tcPr>
          <w:p w14:paraId="3CC62576">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P17</w:t>
            </w:r>
          </w:p>
        </w:tc>
        <w:tc>
          <w:tcPr>
            <w:tcW w:w="1563" w:type="pct"/>
            <w:tcMar>
              <w:left w:w="28" w:type="dxa"/>
              <w:right w:w="28" w:type="dxa"/>
            </w:tcMar>
            <w:vAlign w:val="center"/>
          </w:tcPr>
          <w:p w14:paraId="1897FBA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核实评价范围，根据水质质点</w:t>
            </w:r>
            <w:r>
              <w:rPr>
                <w:rFonts w:hint="eastAsia"/>
                <w:color w:val="000000" w:themeColor="text1"/>
                <w:lang w:eastAsia="zh-CN"/>
                <w14:textFill>
                  <w14:solidFill>
                    <w14:schemeClr w14:val="tx1"/>
                  </w14:solidFill>
                </w14:textFill>
              </w:rPr>
              <w:t>48小时</w:t>
            </w:r>
            <w:r>
              <w:rPr>
                <w:rFonts w:hint="eastAsia"/>
                <w:color w:val="000000" w:themeColor="text1"/>
                <w14:textFill>
                  <w14:solidFill>
                    <w14:schemeClr w14:val="tx1"/>
                  </w14:solidFill>
                </w14:textFill>
              </w:rPr>
              <w:t>运移距离估算。</w:t>
            </w:r>
          </w:p>
        </w:tc>
      </w:tr>
      <w:tr w14:paraId="3B8E14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vMerge w:val="restart"/>
            <w:tcMar>
              <w:left w:w="28" w:type="dxa"/>
              <w:right w:w="28" w:type="dxa"/>
            </w:tcMar>
            <w:vAlign w:val="center"/>
          </w:tcPr>
          <w:p w14:paraId="62B3FE24">
            <w:pPr>
              <w:pStyle w:val="175"/>
              <w:numPr>
                <w:ilvl w:val="0"/>
                <w:numId w:val="40"/>
              </w:numPr>
              <w:jc w:val="center"/>
              <w:rPr>
                <w:color w:val="000000" w:themeColor="text1"/>
                <w14:textFill>
                  <w14:solidFill>
                    <w14:schemeClr w14:val="tx1"/>
                  </w14:solidFill>
                </w14:textFill>
              </w:rPr>
            </w:pPr>
          </w:p>
        </w:tc>
        <w:tc>
          <w:tcPr>
            <w:tcW w:w="1453" w:type="pct"/>
            <w:vMerge w:val="restart"/>
            <w:tcMar>
              <w:left w:w="28" w:type="dxa"/>
              <w:right w:w="28" w:type="dxa"/>
            </w:tcMar>
            <w:vAlign w:val="center"/>
          </w:tcPr>
          <w:p w14:paraId="2E29A969">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核实大气面源参数及评价等级；核实评价区域大气环境污染源调查，完善大气环境质量现状调查。</w:t>
            </w:r>
          </w:p>
        </w:tc>
        <w:tc>
          <w:tcPr>
            <w:tcW w:w="1379" w:type="pct"/>
            <w:tcMar>
              <w:left w:w="28" w:type="dxa"/>
              <w:right w:w="28" w:type="dxa"/>
            </w:tcMar>
            <w:vAlign w:val="center"/>
          </w:tcPr>
          <w:p w14:paraId="0F54DE1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1.2.1.6 大气</w:t>
            </w:r>
          </w:p>
        </w:tc>
        <w:tc>
          <w:tcPr>
            <w:tcW w:w="449" w:type="pct"/>
            <w:tcMar>
              <w:left w:w="28" w:type="dxa"/>
              <w:right w:w="28" w:type="dxa"/>
            </w:tcMar>
            <w:vAlign w:val="center"/>
          </w:tcPr>
          <w:p w14:paraId="45D7D923">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P9</w:t>
            </w:r>
          </w:p>
        </w:tc>
        <w:tc>
          <w:tcPr>
            <w:tcW w:w="1563" w:type="pct"/>
            <w:tcMar>
              <w:left w:w="28" w:type="dxa"/>
              <w:right w:w="28" w:type="dxa"/>
            </w:tcMar>
            <w:vAlign w:val="center"/>
          </w:tcPr>
          <w:p w14:paraId="04B1FEF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核实面源参数，年排放小时按码头运营日</w:t>
            </w:r>
            <w:r>
              <w:rPr>
                <w:rFonts w:hint="eastAsia"/>
                <w:color w:val="000000" w:themeColor="text1"/>
                <w:lang w:eastAsia="zh-CN"/>
                <w14:textFill>
                  <w14:solidFill>
                    <w14:schemeClr w14:val="tx1"/>
                  </w14:solidFill>
                </w14:textFill>
              </w:rPr>
              <w:t>330天</w:t>
            </w:r>
            <w:r>
              <w:rPr>
                <w:rFonts w:hint="eastAsia"/>
                <w:color w:val="000000" w:themeColor="text1"/>
                <w14:textFill>
                  <w14:solidFill>
                    <w14:schemeClr w14:val="tx1"/>
                  </w14:solidFill>
                </w14:textFill>
              </w:rPr>
              <w:t>计算</w:t>
            </w:r>
          </w:p>
        </w:tc>
      </w:tr>
      <w:tr w14:paraId="300C32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vMerge w:val="continue"/>
            <w:tcMar>
              <w:left w:w="28" w:type="dxa"/>
              <w:right w:w="28" w:type="dxa"/>
            </w:tcMar>
            <w:vAlign w:val="center"/>
          </w:tcPr>
          <w:p w14:paraId="54ABDE00">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60707E6A">
            <w:pPr>
              <w:pStyle w:val="175"/>
              <w:rPr>
                <w:color w:val="000000" w:themeColor="text1"/>
                <w14:textFill>
                  <w14:solidFill>
                    <w14:schemeClr w14:val="tx1"/>
                  </w14:solidFill>
                </w14:textFill>
              </w:rPr>
            </w:pPr>
          </w:p>
        </w:tc>
        <w:tc>
          <w:tcPr>
            <w:tcW w:w="1379" w:type="pct"/>
            <w:tcMar>
              <w:left w:w="28" w:type="dxa"/>
              <w:right w:w="28" w:type="dxa"/>
            </w:tcMar>
            <w:vAlign w:val="center"/>
          </w:tcPr>
          <w:p w14:paraId="56AE8F3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3.4 环境空气质量现状调查与评价</w:t>
            </w:r>
          </w:p>
        </w:tc>
        <w:tc>
          <w:tcPr>
            <w:tcW w:w="449" w:type="pct"/>
            <w:tcMar>
              <w:left w:w="28" w:type="dxa"/>
              <w:right w:w="28" w:type="dxa"/>
            </w:tcMar>
            <w:vAlign w:val="center"/>
          </w:tcPr>
          <w:p w14:paraId="01B9CBC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P152~P154</w:t>
            </w:r>
          </w:p>
        </w:tc>
        <w:tc>
          <w:tcPr>
            <w:tcW w:w="1563" w:type="pct"/>
            <w:tcMar>
              <w:left w:w="28" w:type="dxa"/>
              <w:right w:w="28" w:type="dxa"/>
            </w:tcMar>
            <w:vAlign w:val="center"/>
          </w:tcPr>
          <w:p w14:paraId="4FCABEF2">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完善区域污染源调查，补充大榄坪作业区散货作业、施工等污染源；2026年1月对项目场址及周边区域开展大气补充调查，调查因子包括SO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、CO、TSP、非甲烷总烃及臭气浓度。</w:t>
            </w:r>
          </w:p>
        </w:tc>
      </w:tr>
      <w:tr w14:paraId="369B7B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56" w:type="pct"/>
            <w:vMerge w:val="restart"/>
            <w:tcMar>
              <w:left w:w="28" w:type="dxa"/>
              <w:right w:w="28" w:type="dxa"/>
            </w:tcMar>
            <w:vAlign w:val="center"/>
          </w:tcPr>
          <w:p w14:paraId="5EEF52D4">
            <w:pPr>
              <w:pStyle w:val="175"/>
              <w:numPr>
                <w:ilvl w:val="0"/>
                <w:numId w:val="40"/>
              </w:numPr>
              <w:jc w:val="center"/>
              <w:rPr>
                <w:color w:val="000000" w:themeColor="text1"/>
                <w14:textFill>
                  <w14:solidFill>
                    <w14:schemeClr w14:val="tx1"/>
                  </w14:solidFill>
                </w14:textFill>
              </w:rPr>
            </w:pPr>
          </w:p>
        </w:tc>
        <w:tc>
          <w:tcPr>
            <w:tcW w:w="1453" w:type="pct"/>
            <w:vMerge w:val="restart"/>
            <w:tcMar>
              <w:left w:w="28" w:type="dxa"/>
              <w:right w:w="28" w:type="dxa"/>
            </w:tcMar>
            <w:vAlign w:val="center"/>
          </w:tcPr>
          <w:p w14:paraId="1E49699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细化项目新增货类小项调查；补充氧化性货物、遇水产生</w:t>
            </w:r>
            <w:bookmarkStart w:id="10" w:name="OLE_LINK247"/>
            <w:r>
              <w:rPr>
                <w:rFonts w:hint="eastAsia"/>
                <w:color w:val="000000" w:themeColor="text1"/>
                <w14:textFill>
                  <w14:solidFill>
                    <w14:schemeClr w14:val="tx1"/>
                  </w14:solidFill>
                </w14:textFill>
              </w:rPr>
              <w:t>易燃气体货物</w:t>
            </w:r>
            <w:bookmarkEnd w:id="10"/>
            <w:r>
              <w:rPr>
                <w:rFonts w:hint="eastAsia"/>
                <w:color w:val="000000" w:themeColor="text1"/>
                <w14:textFill>
                  <w14:solidFill>
                    <w14:schemeClr w14:val="tx1"/>
                  </w14:solidFill>
                </w14:textFill>
              </w:rPr>
              <w:t>等货类的装卸工艺和主要装备；补充危险货物堆场货物堆放安全性、互适性分析；细化工程装卸工艺说明。</w:t>
            </w:r>
          </w:p>
        </w:tc>
        <w:tc>
          <w:tcPr>
            <w:tcW w:w="1379" w:type="pct"/>
            <w:vMerge w:val="restart"/>
            <w:tcMar>
              <w:left w:w="28" w:type="dxa"/>
              <w:right w:w="28" w:type="dxa"/>
            </w:tcMar>
            <w:vAlign w:val="center"/>
          </w:tcPr>
          <w:p w14:paraId="016529F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2.1.6 装卸工艺</w:t>
            </w:r>
          </w:p>
        </w:tc>
        <w:tc>
          <w:tcPr>
            <w:tcW w:w="449" w:type="pct"/>
            <w:tcBorders>
              <w:bottom w:val="single" w:color="auto" w:sz="4" w:space="0"/>
            </w:tcBorders>
            <w:tcMar>
              <w:left w:w="28" w:type="dxa"/>
              <w:right w:w="28" w:type="dxa"/>
            </w:tcMar>
            <w:vAlign w:val="center"/>
          </w:tcPr>
          <w:p w14:paraId="2106B2B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P38</w:t>
            </w:r>
          </w:p>
        </w:tc>
        <w:tc>
          <w:tcPr>
            <w:tcW w:w="1563" w:type="pct"/>
            <w:tcBorders>
              <w:bottom w:val="single" w:color="auto" w:sz="4" w:space="0"/>
            </w:tcBorders>
            <w:tcMar>
              <w:left w:w="28" w:type="dxa"/>
              <w:right w:w="28" w:type="dxa"/>
            </w:tcMar>
            <w:vAlign w:val="center"/>
          </w:tcPr>
          <w:p w14:paraId="190381E9">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对项目危险货种的类别和种数进行列表说明</w:t>
            </w:r>
          </w:p>
        </w:tc>
      </w:tr>
      <w:tr w14:paraId="68AE5C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3" w:hRule="atLeast"/>
          <w:jc w:val="center"/>
        </w:trPr>
        <w:tc>
          <w:tcPr>
            <w:tcW w:w="156" w:type="pct"/>
            <w:vMerge w:val="continue"/>
            <w:tcMar>
              <w:left w:w="28" w:type="dxa"/>
              <w:right w:w="28" w:type="dxa"/>
            </w:tcMar>
            <w:vAlign w:val="center"/>
          </w:tcPr>
          <w:p w14:paraId="2AB89937">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06DA8B8E">
            <w:pPr>
              <w:pStyle w:val="175"/>
              <w:rPr>
                <w:color w:val="000000" w:themeColor="text1"/>
                <w14:textFill>
                  <w14:solidFill>
                    <w14:schemeClr w14:val="tx1"/>
                  </w14:solidFill>
                </w14:textFill>
              </w:rPr>
            </w:pPr>
          </w:p>
        </w:tc>
        <w:tc>
          <w:tcPr>
            <w:tcW w:w="1379" w:type="pct"/>
            <w:vMerge w:val="continue"/>
            <w:tcBorders>
              <w:bottom w:val="single" w:color="auto" w:sz="4" w:space="0"/>
            </w:tcBorders>
            <w:tcMar>
              <w:left w:w="28" w:type="dxa"/>
              <w:right w:w="28" w:type="dxa"/>
            </w:tcMar>
            <w:vAlign w:val="center"/>
          </w:tcPr>
          <w:p w14:paraId="09287F63">
            <w:pPr>
              <w:pStyle w:val="175"/>
              <w:rPr>
                <w:color w:val="000000" w:themeColor="text1"/>
                <w14:textFill>
                  <w14:solidFill>
                    <w14:schemeClr w14:val="tx1"/>
                  </w14:solidFill>
                </w14:textFill>
              </w:rPr>
            </w:pPr>
          </w:p>
        </w:tc>
        <w:tc>
          <w:tcPr>
            <w:tcW w:w="449" w:type="pct"/>
            <w:tcBorders>
              <w:top w:val="single" w:color="auto" w:sz="4" w:space="0"/>
              <w:bottom w:val="single" w:color="auto" w:sz="4" w:space="0"/>
            </w:tcBorders>
            <w:tcMar>
              <w:left w:w="28" w:type="dxa"/>
              <w:right w:w="28" w:type="dxa"/>
            </w:tcMar>
            <w:vAlign w:val="center"/>
          </w:tcPr>
          <w:p w14:paraId="71ABA04D">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P39~P42</w:t>
            </w:r>
          </w:p>
        </w:tc>
        <w:tc>
          <w:tcPr>
            <w:tcW w:w="1563" w:type="pct"/>
            <w:tcBorders>
              <w:top w:val="single" w:color="auto" w:sz="4" w:space="0"/>
              <w:bottom w:val="single" w:color="auto" w:sz="4" w:space="0"/>
            </w:tcBorders>
            <w:tcMar>
              <w:left w:w="28" w:type="dxa"/>
              <w:right w:w="28" w:type="dxa"/>
            </w:tcMar>
            <w:vAlign w:val="center"/>
          </w:tcPr>
          <w:p w14:paraId="603191A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明确危险品集装箱装卸工艺，除水平运输为人工集卡外（普货为IGV自动小车），其余装卸工艺与普货集装箱基本一致；对于特殊货类装卸工艺一致，但作业要求应满足GB16994.3。</w:t>
            </w:r>
          </w:p>
        </w:tc>
      </w:tr>
      <w:tr w14:paraId="6CA233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0" w:hRule="atLeast"/>
          <w:jc w:val="center"/>
        </w:trPr>
        <w:tc>
          <w:tcPr>
            <w:tcW w:w="156" w:type="pct"/>
            <w:vMerge w:val="continue"/>
            <w:tcMar>
              <w:left w:w="28" w:type="dxa"/>
              <w:right w:w="28" w:type="dxa"/>
            </w:tcMar>
            <w:vAlign w:val="center"/>
          </w:tcPr>
          <w:p w14:paraId="32DB9308">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2CA45986">
            <w:pPr>
              <w:pStyle w:val="175"/>
              <w:rPr>
                <w:color w:val="000000" w:themeColor="text1"/>
                <w14:textFill>
                  <w14:solidFill>
                    <w14:schemeClr w14:val="tx1"/>
                  </w14:solidFill>
                </w14:textFill>
              </w:rPr>
            </w:pPr>
          </w:p>
        </w:tc>
        <w:tc>
          <w:tcPr>
            <w:tcW w:w="1379" w:type="pct"/>
            <w:tcBorders>
              <w:top w:val="single" w:color="auto" w:sz="4" w:space="0"/>
            </w:tcBorders>
            <w:tcMar>
              <w:left w:w="28" w:type="dxa"/>
              <w:right w:w="28" w:type="dxa"/>
            </w:tcMar>
            <w:vAlign w:val="center"/>
          </w:tcPr>
          <w:p w14:paraId="380B2553">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5.5.3.4 危险货物堆场环境风险防范措施</w:t>
            </w:r>
          </w:p>
        </w:tc>
        <w:tc>
          <w:tcPr>
            <w:tcW w:w="449" w:type="pct"/>
            <w:tcBorders>
              <w:top w:val="single" w:color="auto" w:sz="4" w:space="0"/>
            </w:tcBorders>
            <w:tcMar>
              <w:left w:w="28" w:type="dxa"/>
              <w:right w:w="28" w:type="dxa"/>
            </w:tcMar>
            <w:vAlign w:val="center"/>
          </w:tcPr>
          <w:p w14:paraId="1EA3AB1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P331</w:t>
            </w:r>
          </w:p>
        </w:tc>
        <w:tc>
          <w:tcPr>
            <w:tcW w:w="1563" w:type="pct"/>
            <w:tcBorders>
              <w:top w:val="single" w:color="auto" w:sz="4" w:space="0"/>
            </w:tcBorders>
            <w:tcMar>
              <w:left w:w="28" w:type="dxa"/>
              <w:right w:w="28" w:type="dxa"/>
            </w:tcMar>
            <w:vAlign w:val="center"/>
          </w:tcPr>
          <w:p w14:paraId="07E80F5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对危险品集装箱堆场堆放的安全性、互适性，按照</w:t>
            </w:r>
            <w:r>
              <w:rPr>
                <w:color w:val="000000" w:themeColor="text1"/>
                <w14:textFill>
                  <w14:solidFill>
                    <w14:schemeClr w14:val="tx1"/>
                  </w14:solidFill>
                </w14:textFill>
              </w:rPr>
              <w:t>GB16994.3</w:t>
            </w:r>
            <w:r>
              <w:rPr>
                <w:rFonts w:hint="eastAsia"/>
                <w:color w:val="000000" w:themeColor="text1"/>
                <w14:textFill>
                  <w14:solidFill>
                    <w14:schemeClr w14:val="tx1"/>
                  </w14:solidFill>
                </w14:textFill>
              </w:rPr>
              <w:t>提出各项要求。</w:t>
            </w:r>
          </w:p>
        </w:tc>
      </w:tr>
      <w:tr w14:paraId="24F247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8" w:hRule="atLeast"/>
          <w:jc w:val="center"/>
        </w:trPr>
        <w:tc>
          <w:tcPr>
            <w:tcW w:w="156" w:type="pct"/>
            <w:vMerge w:val="restart"/>
            <w:tcMar>
              <w:left w:w="28" w:type="dxa"/>
              <w:right w:w="28" w:type="dxa"/>
            </w:tcMar>
            <w:vAlign w:val="center"/>
          </w:tcPr>
          <w:p w14:paraId="05E4B4F8">
            <w:pPr>
              <w:pStyle w:val="175"/>
              <w:numPr>
                <w:ilvl w:val="0"/>
                <w:numId w:val="40"/>
              </w:numPr>
              <w:jc w:val="center"/>
              <w:rPr>
                <w:color w:val="000000" w:themeColor="text1"/>
                <w14:textFill>
                  <w14:solidFill>
                    <w14:schemeClr w14:val="tx1"/>
                  </w14:solidFill>
                </w14:textFill>
              </w:rPr>
            </w:pPr>
          </w:p>
        </w:tc>
        <w:tc>
          <w:tcPr>
            <w:tcW w:w="1453" w:type="pct"/>
            <w:vMerge w:val="restart"/>
            <w:tcMar>
              <w:left w:w="28" w:type="dxa"/>
              <w:right w:w="28" w:type="dxa"/>
            </w:tcMar>
            <w:vAlign w:val="center"/>
          </w:tcPr>
          <w:p w14:paraId="31FF355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核实项目性质，细化堆场平面布置，补充自动化集装箱轨道龙门吊、智能引导车数量和分布调查；补充危险货物堆场建设要求，分析与普货堆场建设主要区别；核实项目工程雨水排放口设置情况、所依托生产废水处理站的处理工艺、规模和处理效率；补充项目与现状A2排污口、改迁A2排污口位置关系，A2排污口改迁施工时间，完善项目与港池内现状排污口的相符性分析。</w:t>
            </w:r>
          </w:p>
        </w:tc>
        <w:tc>
          <w:tcPr>
            <w:tcW w:w="1379" w:type="pct"/>
            <w:tcMar>
              <w:left w:w="28" w:type="dxa"/>
              <w:right w:w="28" w:type="dxa"/>
            </w:tcMar>
            <w:vAlign w:val="center"/>
          </w:tcPr>
          <w:p w14:paraId="19C0665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2.1.1 建设规模</w:t>
            </w:r>
          </w:p>
        </w:tc>
        <w:tc>
          <w:tcPr>
            <w:tcW w:w="449" w:type="pct"/>
            <w:tcMar>
              <w:left w:w="28" w:type="dxa"/>
              <w:right w:w="28" w:type="dxa"/>
            </w:tcMar>
            <w:vAlign w:val="center"/>
          </w:tcPr>
          <w:p w14:paraId="0522826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P30</w:t>
            </w:r>
          </w:p>
        </w:tc>
        <w:tc>
          <w:tcPr>
            <w:tcW w:w="1563" w:type="pct"/>
            <w:tcMar>
              <w:left w:w="28" w:type="dxa"/>
              <w:right w:w="28" w:type="dxa"/>
            </w:tcMar>
            <w:vAlign w:val="center"/>
          </w:tcPr>
          <w:p w14:paraId="17F173C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根据核准意见，项目属于新建项目。</w:t>
            </w:r>
          </w:p>
        </w:tc>
      </w:tr>
      <w:tr w14:paraId="372308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8" w:hRule="atLeast"/>
          <w:jc w:val="center"/>
        </w:trPr>
        <w:tc>
          <w:tcPr>
            <w:tcW w:w="156" w:type="pct"/>
            <w:vMerge w:val="continue"/>
            <w:tcMar>
              <w:left w:w="28" w:type="dxa"/>
              <w:right w:w="28" w:type="dxa"/>
            </w:tcMar>
            <w:vAlign w:val="center"/>
          </w:tcPr>
          <w:p w14:paraId="7DAAB653">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192181EB">
            <w:pPr>
              <w:pStyle w:val="175"/>
              <w:rPr>
                <w:color w:val="000000" w:themeColor="text1"/>
                <w14:textFill>
                  <w14:solidFill>
                    <w14:schemeClr w14:val="tx1"/>
                  </w14:solidFill>
                </w14:textFill>
              </w:rPr>
            </w:pPr>
          </w:p>
        </w:tc>
        <w:tc>
          <w:tcPr>
            <w:tcW w:w="1379" w:type="pct"/>
            <w:tcMar>
              <w:left w:w="28" w:type="dxa"/>
              <w:right w:w="28" w:type="dxa"/>
            </w:tcMar>
            <w:vAlign w:val="center"/>
          </w:tcPr>
          <w:p w14:paraId="5285B75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2.1.6.8 装卸设备</w:t>
            </w:r>
          </w:p>
        </w:tc>
        <w:tc>
          <w:tcPr>
            <w:tcW w:w="449" w:type="pct"/>
            <w:tcMar>
              <w:left w:w="28" w:type="dxa"/>
              <w:right w:w="28" w:type="dxa"/>
            </w:tcMar>
            <w:vAlign w:val="center"/>
          </w:tcPr>
          <w:p w14:paraId="6ED7839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P44</w:t>
            </w:r>
          </w:p>
        </w:tc>
        <w:tc>
          <w:tcPr>
            <w:tcW w:w="1563" w:type="pct"/>
            <w:tcMar>
              <w:left w:w="28" w:type="dxa"/>
              <w:right w:w="28" w:type="dxa"/>
            </w:tcMar>
            <w:vAlign w:val="center"/>
          </w:tcPr>
          <w:p w14:paraId="5CE0CCF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完善装卸设备数量，补充各设备所在位置和功能。</w:t>
            </w:r>
          </w:p>
        </w:tc>
      </w:tr>
      <w:tr w14:paraId="28F616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6" w:hRule="atLeast"/>
          <w:jc w:val="center"/>
        </w:trPr>
        <w:tc>
          <w:tcPr>
            <w:tcW w:w="156" w:type="pct"/>
            <w:vMerge w:val="continue"/>
            <w:tcMar>
              <w:left w:w="28" w:type="dxa"/>
              <w:right w:w="28" w:type="dxa"/>
            </w:tcMar>
            <w:vAlign w:val="center"/>
          </w:tcPr>
          <w:p w14:paraId="56024824">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30966293">
            <w:pPr>
              <w:pStyle w:val="175"/>
              <w:rPr>
                <w:color w:val="000000" w:themeColor="text1"/>
                <w14:textFill>
                  <w14:solidFill>
                    <w14:schemeClr w14:val="tx1"/>
                  </w14:solidFill>
                </w14:textFill>
              </w:rPr>
            </w:pPr>
          </w:p>
        </w:tc>
        <w:tc>
          <w:tcPr>
            <w:tcW w:w="1379" w:type="pct"/>
            <w:tcBorders>
              <w:bottom w:val="single" w:color="auto" w:sz="12" w:space="0"/>
            </w:tcBorders>
            <w:tcMar>
              <w:left w:w="28" w:type="dxa"/>
              <w:right w:w="28" w:type="dxa"/>
            </w:tcMar>
            <w:vAlign w:val="center"/>
          </w:tcPr>
          <w:p w14:paraId="14505E8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2.1.8.2 危险品堆场特殊要求</w:t>
            </w:r>
          </w:p>
        </w:tc>
        <w:tc>
          <w:tcPr>
            <w:tcW w:w="449" w:type="pct"/>
            <w:tcBorders>
              <w:bottom w:val="single" w:color="auto" w:sz="12" w:space="0"/>
            </w:tcBorders>
            <w:tcMar>
              <w:left w:w="28" w:type="dxa"/>
              <w:right w:w="28" w:type="dxa"/>
            </w:tcMar>
            <w:vAlign w:val="center"/>
          </w:tcPr>
          <w:p w14:paraId="6A47DCBA">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P47</w:t>
            </w:r>
          </w:p>
        </w:tc>
        <w:tc>
          <w:tcPr>
            <w:tcW w:w="1563" w:type="pct"/>
            <w:tcBorders>
              <w:bottom w:val="single" w:color="auto" w:sz="12" w:space="0"/>
            </w:tcBorders>
            <w:tcMar>
              <w:left w:w="28" w:type="dxa"/>
              <w:right w:w="28" w:type="dxa"/>
            </w:tcMar>
            <w:vAlign w:val="center"/>
          </w:tcPr>
          <w:p w14:paraId="61EBAA6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补充危险货物集装箱堆场建设要求</w:t>
            </w:r>
          </w:p>
        </w:tc>
      </w:tr>
      <w:tr w14:paraId="7C0883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8" w:hRule="atLeast"/>
          <w:jc w:val="center"/>
        </w:trPr>
        <w:tc>
          <w:tcPr>
            <w:tcW w:w="156" w:type="pct"/>
            <w:vMerge w:val="continue"/>
            <w:tcMar>
              <w:left w:w="28" w:type="dxa"/>
              <w:right w:w="28" w:type="dxa"/>
            </w:tcMar>
            <w:vAlign w:val="center"/>
          </w:tcPr>
          <w:p w14:paraId="25A6BB81">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0874002F">
            <w:pPr>
              <w:pStyle w:val="175"/>
              <w:rPr>
                <w:color w:val="000000" w:themeColor="text1"/>
                <w14:textFill>
                  <w14:solidFill>
                    <w14:schemeClr w14:val="tx1"/>
                  </w14:solidFill>
                </w14:textFill>
              </w:rPr>
            </w:pPr>
          </w:p>
        </w:tc>
        <w:tc>
          <w:tcPr>
            <w:tcW w:w="1379" w:type="pct"/>
            <w:tcBorders>
              <w:top w:val="single" w:color="auto" w:sz="12" w:space="0"/>
              <w:bottom w:val="single" w:color="auto" w:sz="12" w:space="0"/>
            </w:tcBorders>
            <w:tcMar>
              <w:left w:w="28" w:type="dxa"/>
              <w:right w:w="28" w:type="dxa"/>
            </w:tcMar>
            <w:vAlign w:val="center"/>
          </w:tcPr>
          <w:p w14:paraId="6537C70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2.1.9.2 排水</w:t>
            </w:r>
          </w:p>
        </w:tc>
        <w:tc>
          <w:tcPr>
            <w:tcW w:w="449" w:type="pct"/>
            <w:tcBorders>
              <w:top w:val="single" w:color="auto" w:sz="12" w:space="0"/>
              <w:bottom w:val="single" w:color="auto" w:sz="12" w:space="0"/>
            </w:tcBorders>
            <w:tcMar>
              <w:left w:w="28" w:type="dxa"/>
              <w:right w:w="28" w:type="dxa"/>
            </w:tcMar>
            <w:vAlign w:val="center"/>
          </w:tcPr>
          <w:p w14:paraId="27DACA4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P48</w:t>
            </w:r>
          </w:p>
        </w:tc>
        <w:tc>
          <w:tcPr>
            <w:tcW w:w="1563" w:type="pct"/>
            <w:tcBorders>
              <w:top w:val="single" w:color="auto" w:sz="12" w:space="0"/>
              <w:bottom w:val="single" w:color="auto" w:sz="12" w:space="0"/>
            </w:tcBorders>
            <w:tcMar>
              <w:left w:w="28" w:type="dxa"/>
              <w:right w:w="28" w:type="dxa"/>
            </w:tcMar>
            <w:vAlign w:val="center"/>
          </w:tcPr>
          <w:p w14:paraId="0F8F003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本项目设置一处雨水总排口，附图14标注。</w:t>
            </w:r>
          </w:p>
        </w:tc>
      </w:tr>
      <w:tr w14:paraId="5514FC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5" w:hRule="atLeast"/>
          <w:jc w:val="center"/>
        </w:trPr>
        <w:tc>
          <w:tcPr>
            <w:tcW w:w="156" w:type="pct"/>
            <w:vMerge w:val="continue"/>
            <w:tcMar>
              <w:left w:w="28" w:type="dxa"/>
              <w:right w:w="28" w:type="dxa"/>
            </w:tcMar>
            <w:vAlign w:val="center"/>
          </w:tcPr>
          <w:p w14:paraId="2D846D83">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4C69FC00">
            <w:pPr>
              <w:pStyle w:val="175"/>
              <w:rPr>
                <w:color w:val="000000" w:themeColor="text1"/>
                <w14:textFill>
                  <w14:solidFill>
                    <w14:schemeClr w14:val="tx1"/>
                  </w14:solidFill>
                </w14:textFill>
              </w:rPr>
            </w:pPr>
          </w:p>
        </w:tc>
        <w:tc>
          <w:tcPr>
            <w:tcW w:w="1379" w:type="pct"/>
            <w:tcBorders>
              <w:top w:val="single" w:color="auto" w:sz="12" w:space="0"/>
              <w:bottom w:val="single" w:color="auto" w:sz="12" w:space="0"/>
            </w:tcBorders>
            <w:tcMar>
              <w:left w:w="28" w:type="dxa"/>
              <w:right w:w="28" w:type="dxa"/>
            </w:tcMar>
            <w:vAlign w:val="center"/>
          </w:tcPr>
          <w:p w14:paraId="18F57BC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2.1.11 依托工程</w:t>
            </w:r>
          </w:p>
        </w:tc>
        <w:tc>
          <w:tcPr>
            <w:tcW w:w="449" w:type="pct"/>
            <w:tcBorders>
              <w:top w:val="single" w:color="auto" w:sz="12" w:space="0"/>
              <w:bottom w:val="single" w:color="auto" w:sz="12" w:space="0"/>
            </w:tcBorders>
            <w:tcMar>
              <w:left w:w="28" w:type="dxa"/>
              <w:right w:w="28" w:type="dxa"/>
            </w:tcMar>
            <w:vAlign w:val="center"/>
          </w:tcPr>
          <w:p w14:paraId="1C9AF4E3">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P51~P57</w:t>
            </w:r>
          </w:p>
        </w:tc>
        <w:tc>
          <w:tcPr>
            <w:tcW w:w="1563" w:type="pct"/>
            <w:tcBorders>
              <w:top w:val="single" w:color="auto" w:sz="12" w:space="0"/>
              <w:bottom w:val="single" w:color="auto" w:sz="12" w:space="0"/>
            </w:tcBorders>
            <w:tcMar>
              <w:left w:w="28" w:type="dxa"/>
              <w:right w:w="28" w:type="dxa"/>
            </w:tcMar>
            <w:vAlign w:val="center"/>
          </w:tcPr>
          <w:p w14:paraId="7FB16FA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完善依托污水处理站的相关说明</w:t>
            </w:r>
          </w:p>
        </w:tc>
      </w:tr>
      <w:tr w14:paraId="2B49DF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3" w:hRule="atLeast"/>
          <w:jc w:val="center"/>
        </w:trPr>
        <w:tc>
          <w:tcPr>
            <w:tcW w:w="156" w:type="pct"/>
            <w:vMerge w:val="continue"/>
            <w:tcMar>
              <w:left w:w="28" w:type="dxa"/>
              <w:right w:w="28" w:type="dxa"/>
            </w:tcMar>
            <w:vAlign w:val="center"/>
          </w:tcPr>
          <w:p w14:paraId="7FC933DC">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64D77981">
            <w:pPr>
              <w:pStyle w:val="175"/>
              <w:rPr>
                <w:color w:val="000000" w:themeColor="text1"/>
                <w14:textFill>
                  <w14:solidFill>
                    <w14:schemeClr w14:val="tx1"/>
                  </w14:solidFill>
                </w14:textFill>
              </w:rPr>
            </w:pPr>
          </w:p>
        </w:tc>
        <w:tc>
          <w:tcPr>
            <w:tcW w:w="1379" w:type="pct"/>
            <w:tcBorders>
              <w:top w:val="single" w:color="auto" w:sz="12" w:space="0"/>
              <w:bottom w:val="single" w:color="auto" w:sz="12" w:space="0"/>
            </w:tcBorders>
            <w:tcMar>
              <w:left w:w="28" w:type="dxa"/>
              <w:right w:w="28" w:type="dxa"/>
            </w:tcMar>
            <w:vAlign w:val="center"/>
          </w:tcPr>
          <w:p w14:paraId="395D29FF">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2.4.9 与港池内现状排污口的相符性分析</w:t>
            </w:r>
          </w:p>
        </w:tc>
        <w:tc>
          <w:tcPr>
            <w:tcW w:w="449" w:type="pct"/>
            <w:tcBorders>
              <w:top w:val="single" w:color="auto" w:sz="12" w:space="0"/>
              <w:bottom w:val="single" w:color="auto" w:sz="12" w:space="0"/>
            </w:tcBorders>
            <w:tcMar>
              <w:left w:w="28" w:type="dxa"/>
              <w:right w:w="28" w:type="dxa"/>
            </w:tcMar>
            <w:vAlign w:val="center"/>
          </w:tcPr>
          <w:p w14:paraId="4620F733">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P91</w:t>
            </w:r>
          </w:p>
        </w:tc>
        <w:tc>
          <w:tcPr>
            <w:tcW w:w="1563" w:type="pct"/>
            <w:tcBorders>
              <w:top w:val="single" w:color="auto" w:sz="12" w:space="0"/>
              <w:bottom w:val="single" w:color="auto" w:sz="12" w:space="0"/>
            </w:tcBorders>
            <w:tcMar>
              <w:left w:w="28" w:type="dxa"/>
              <w:right w:w="28" w:type="dxa"/>
            </w:tcMar>
            <w:vAlign w:val="center"/>
          </w:tcPr>
          <w:p w14:paraId="79B8380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补充现状排口与项目建设范围位置关系</w:t>
            </w:r>
          </w:p>
        </w:tc>
      </w:tr>
      <w:tr w14:paraId="410588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156" w:type="pct"/>
            <w:vMerge w:val="continue"/>
            <w:tcMar>
              <w:left w:w="28" w:type="dxa"/>
              <w:right w:w="28" w:type="dxa"/>
            </w:tcMar>
            <w:vAlign w:val="center"/>
          </w:tcPr>
          <w:p w14:paraId="7DE025AD">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1B125895">
            <w:pPr>
              <w:pStyle w:val="175"/>
              <w:rPr>
                <w:color w:val="000000" w:themeColor="text1"/>
                <w14:textFill>
                  <w14:solidFill>
                    <w14:schemeClr w14:val="tx1"/>
                  </w14:solidFill>
                </w14:textFill>
              </w:rPr>
            </w:pPr>
          </w:p>
        </w:tc>
        <w:tc>
          <w:tcPr>
            <w:tcW w:w="1379" w:type="pct"/>
            <w:tcBorders>
              <w:top w:val="single" w:color="auto" w:sz="12" w:space="0"/>
              <w:bottom w:val="single" w:color="auto" w:sz="12" w:space="0"/>
            </w:tcBorders>
            <w:tcMar>
              <w:left w:w="28" w:type="dxa"/>
              <w:right w:w="28" w:type="dxa"/>
            </w:tcMar>
            <w:vAlign w:val="center"/>
          </w:tcPr>
          <w:p w14:paraId="29DD13FD">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4.1.3.2 迁改排污口水质影响分析</w:t>
            </w:r>
          </w:p>
        </w:tc>
        <w:tc>
          <w:tcPr>
            <w:tcW w:w="449" w:type="pct"/>
            <w:tcBorders>
              <w:top w:val="single" w:color="auto" w:sz="12" w:space="0"/>
              <w:bottom w:val="single" w:color="auto" w:sz="12" w:space="0"/>
            </w:tcBorders>
            <w:tcMar>
              <w:left w:w="28" w:type="dxa"/>
              <w:right w:w="28" w:type="dxa"/>
            </w:tcMar>
            <w:vAlign w:val="center"/>
          </w:tcPr>
          <w:p w14:paraId="21548BC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P181~P183</w:t>
            </w:r>
          </w:p>
        </w:tc>
        <w:tc>
          <w:tcPr>
            <w:tcW w:w="1563" w:type="pct"/>
            <w:tcBorders>
              <w:top w:val="single" w:color="auto" w:sz="12" w:space="0"/>
              <w:bottom w:val="single" w:color="auto" w:sz="12" w:space="0"/>
            </w:tcBorders>
            <w:tcMar>
              <w:left w:w="28" w:type="dxa"/>
              <w:right w:w="28" w:type="dxa"/>
            </w:tcMar>
            <w:vAlign w:val="center"/>
          </w:tcPr>
          <w:p w14:paraId="43842ED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图中标注了现阶段推荐迁改排口位置</w:t>
            </w:r>
          </w:p>
        </w:tc>
      </w:tr>
      <w:tr w14:paraId="1C0806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50" w:hRule="atLeast"/>
          <w:jc w:val="center"/>
        </w:trPr>
        <w:tc>
          <w:tcPr>
            <w:tcW w:w="156" w:type="pct"/>
            <w:vMerge w:val="continue"/>
            <w:tcMar>
              <w:left w:w="28" w:type="dxa"/>
              <w:right w:w="28" w:type="dxa"/>
            </w:tcMar>
            <w:vAlign w:val="center"/>
          </w:tcPr>
          <w:p w14:paraId="0D77B77E">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44C721DB">
            <w:pPr>
              <w:pStyle w:val="175"/>
              <w:rPr>
                <w:color w:val="000000" w:themeColor="text1"/>
                <w14:textFill>
                  <w14:solidFill>
                    <w14:schemeClr w14:val="tx1"/>
                  </w14:solidFill>
                </w14:textFill>
              </w:rPr>
            </w:pPr>
          </w:p>
        </w:tc>
        <w:tc>
          <w:tcPr>
            <w:tcW w:w="1379" w:type="pct"/>
            <w:tcBorders>
              <w:top w:val="single" w:color="auto" w:sz="12" w:space="0"/>
            </w:tcBorders>
            <w:tcMar>
              <w:left w:w="28" w:type="dxa"/>
              <w:right w:w="28" w:type="dxa"/>
            </w:tcMar>
            <w:vAlign w:val="center"/>
          </w:tcPr>
          <w:p w14:paraId="266ABA8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4.1.3.4 项目与迁改排污口协调性分析</w:t>
            </w:r>
          </w:p>
        </w:tc>
        <w:tc>
          <w:tcPr>
            <w:tcW w:w="449" w:type="pct"/>
            <w:tcBorders>
              <w:top w:val="single" w:color="auto" w:sz="12" w:space="0"/>
            </w:tcBorders>
            <w:tcMar>
              <w:left w:w="28" w:type="dxa"/>
              <w:right w:w="28" w:type="dxa"/>
            </w:tcMar>
            <w:vAlign w:val="center"/>
          </w:tcPr>
          <w:p w14:paraId="6782C36D">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P192</w:t>
            </w:r>
          </w:p>
        </w:tc>
        <w:tc>
          <w:tcPr>
            <w:tcW w:w="1563" w:type="pct"/>
            <w:tcBorders>
              <w:top w:val="single" w:color="auto" w:sz="12" w:space="0"/>
            </w:tcBorders>
            <w:tcMar>
              <w:left w:w="28" w:type="dxa"/>
              <w:right w:w="28" w:type="dxa"/>
            </w:tcMar>
            <w:vAlign w:val="center"/>
          </w:tcPr>
          <w:p w14:paraId="1E902C8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补充迁改排污口进度计划，完善项目与现状排污口相符性分析。</w:t>
            </w:r>
          </w:p>
        </w:tc>
      </w:tr>
      <w:tr w14:paraId="21773B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3" w:hRule="atLeast"/>
          <w:jc w:val="center"/>
        </w:trPr>
        <w:tc>
          <w:tcPr>
            <w:tcW w:w="156" w:type="pct"/>
            <w:vMerge w:val="restart"/>
            <w:tcMar>
              <w:left w:w="28" w:type="dxa"/>
              <w:right w:w="28" w:type="dxa"/>
            </w:tcMar>
            <w:vAlign w:val="center"/>
          </w:tcPr>
          <w:p w14:paraId="03BCA7FE">
            <w:pPr>
              <w:pStyle w:val="175"/>
              <w:numPr>
                <w:ilvl w:val="0"/>
                <w:numId w:val="40"/>
              </w:numPr>
              <w:jc w:val="center"/>
              <w:rPr>
                <w:color w:val="000000" w:themeColor="text1"/>
                <w14:textFill>
                  <w14:solidFill>
                    <w14:schemeClr w14:val="tx1"/>
                  </w14:solidFill>
                </w14:textFill>
              </w:rPr>
            </w:pPr>
          </w:p>
        </w:tc>
        <w:tc>
          <w:tcPr>
            <w:tcW w:w="1453" w:type="pct"/>
            <w:vMerge w:val="restart"/>
            <w:tcMar>
              <w:left w:w="28" w:type="dxa"/>
              <w:right w:w="28" w:type="dxa"/>
            </w:tcMar>
            <w:vAlign w:val="center"/>
          </w:tcPr>
          <w:p w14:paraId="77857C3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核实现有工程溢流口设置情况并图示；核实疏浚土处置去向；核实悬浮泥沙源强分析、影响分析及生态补偿措施。</w:t>
            </w:r>
          </w:p>
        </w:tc>
        <w:tc>
          <w:tcPr>
            <w:tcW w:w="1379" w:type="pct"/>
            <w:tcBorders>
              <w:bottom w:val="single" w:color="auto" w:sz="12" w:space="0"/>
            </w:tcBorders>
            <w:tcMar>
              <w:left w:w="28" w:type="dxa"/>
              <w:right w:w="28" w:type="dxa"/>
            </w:tcMar>
            <w:vAlign w:val="center"/>
          </w:tcPr>
          <w:p w14:paraId="56FBF624">
            <w:pPr>
              <w:pStyle w:val="175"/>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2.3.1.2 水环境污染源</w:t>
            </w:r>
          </w:p>
        </w:tc>
        <w:tc>
          <w:tcPr>
            <w:tcW w:w="449" w:type="pct"/>
            <w:tcBorders>
              <w:bottom w:val="single" w:color="auto" w:sz="12" w:space="0"/>
            </w:tcBorders>
            <w:tcMar>
              <w:left w:w="28" w:type="dxa"/>
              <w:right w:w="28" w:type="dxa"/>
            </w:tcMar>
            <w:vAlign w:val="center"/>
          </w:tcPr>
          <w:p w14:paraId="1B1EB61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P66~P67</w:t>
            </w:r>
          </w:p>
        </w:tc>
        <w:tc>
          <w:tcPr>
            <w:tcW w:w="1563" w:type="pct"/>
            <w:tcBorders>
              <w:bottom w:val="single" w:color="auto" w:sz="12" w:space="0"/>
            </w:tcBorders>
            <w:tcMar>
              <w:left w:w="28" w:type="dxa"/>
              <w:right w:w="28" w:type="dxa"/>
            </w:tcMar>
            <w:vAlign w:val="center"/>
          </w:tcPr>
          <w:p w14:paraId="043C8998">
            <w:pPr>
              <w:pStyle w:val="175"/>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核实悬浮泥沙源强分析，其中调整了抓斗船疏浚效率及源强、溢流口悬浮泥沙源强；补充现有工程溢流口位置图示。核实后预测采取的最大源强未发生变化。</w:t>
            </w:r>
          </w:p>
        </w:tc>
      </w:tr>
      <w:tr w14:paraId="60754C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156" w:type="pct"/>
            <w:vMerge w:val="continue"/>
            <w:tcMar>
              <w:left w:w="28" w:type="dxa"/>
              <w:right w:w="28" w:type="dxa"/>
            </w:tcMar>
            <w:vAlign w:val="center"/>
          </w:tcPr>
          <w:p w14:paraId="28E18479">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6EA3F124">
            <w:pPr>
              <w:pStyle w:val="175"/>
              <w:rPr>
                <w:color w:val="000000" w:themeColor="text1"/>
                <w14:textFill>
                  <w14:solidFill>
                    <w14:schemeClr w14:val="tx1"/>
                  </w14:solidFill>
                </w14:textFill>
              </w:rPr>
            </w:pPr>
          </w:p>
        </w:tc>
        <w:tc>
          <w:tcPr>
            <w:tcW w:w="1379" w:type="pct"/>
            <w:tcBorders>
              <w:top w:val="single" w:color="auto" w:sz="12" w:space="0"/>
              <w:bottom w:val="single" w:color="auto" w:sz="12" w:space="0"/>
            </w:tcBorders>
            <w:tcMar>
              <w:left w:w="28" w:type="dxa"/>
              <w:right w:w="28" w:type="dxa"/>
            </w:tcMar>
            <w:vAlign w:val="center"/>
          </w:tcPr>
          <w:p w14:paraId="2266F475">
            <w:pPr>
              <w:pStyle w:val="175"/>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2.3.1.5 固体废物</w:t>
            </w:r>
          </w:p>
        </w:tc>
        <w:tc>
          <w:tcPr>
            <w:tcW w:w="449" w:type="pct"/>
            <w:tcBorders>
              <w:top w:val="single" w:color="auto" w:sz="12" w:space="0"/>
              <w:bottom w:val="single" w:color="auto" w:sz="12" w:space="0"/>
            </w:tcBorders>
            <w:tcMar>
              <w:left w:w="28" w:type="dxa"/>
              <w:right w:w="28" w:type="dxa"/>
            </w:tcMar>
            <w:vAlign w:val="center"/>
          </w:tcPr>
          <w:p w14:paraId="62BCE213">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P70</w:t>
            </w:r>
          </w:p>
        </w:tc>
        <w:tc>
          <w:tcPr>
            <w:tcW w:w="1563" w:type="pct"/>
            <w:tcBorders>
              <w:top w:val="single" w:color="auto" w:sz="12" w:space="0"/>
              <w:bottom w:val="single" w:color="auto" w:sz="12" w:space="0"/>
            </w:tcBorders>
            <w:tcMar>
              <w:left w:w="28" w:type="dxa"/>
              <w:right w:w="28" w:type="dxa"/>
            </w:tcMar>
            <w:vAlign w:val="center"/>
          </w:tcPr>
          <w:p w14:paraId="0339EE3D">
            <w:pPr>
              <w:pStyle w:val="175"/>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核实疏浚物去向。其中52.41万m³疏浚砂及3.91万m³礁石用于陆域回填，74.84万m³疏浚土外抛。全文进行核对。</w:t>
            </w:r>
          </w:p>
        </w:tc>
      </w:tr>
      <w:tr w14:paraId="704C77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5" w:hRule="atLeast"/>
          <w:jc w:val="center"/>
        </w:trPr>
        <w:tc>
          <w:tcPr>
            <w:tcW w:w="156" w:type="pct"/>
            <w:vMerge w:val="continue"/>
            <w:tcMar>
              <w:left w:w="28" w:type="dxa"/>
              <w:right w:w="28" w:type="dxa"/>
            </w:tcMar>
            <w:vAlign w:val="center"/>
          </w:tcPr>
          <w:p w14:paraId="740B6766">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748AB18F">
            <w:pPr>
              <w:pStyle w:val="175"/>
              <w:rPr>
                <w:color w:val="000000" w:themeColor="text1"/>
                <w14:textFill>
                  <w14:solidFill>
                    <w14:schemeClr w14:val="tx1"/>
                  </w14:solidFill>
                </w14:textFill>
              </w:rPr>
            </w:pPr>
          </w:p>
        </w:tc>
        <w:tc>
          <w:tcPr>
            <w:tcW w:w="1379" w:type="pct"/>
            <w:tcBorders>
              <w:top w:val="single" w:color="auto" w:sz="12" w:space="0"/>
            </w:tcBorders>
            <w:tcMar>
              <w:left w:w="28" w:type="dxa"/>
              <w:right w:w="28" w:type="dxa"/>
            </w:tcMar>
            <w:vAlign w:val="center"/>
          </w:tcPr>
          <w:p w14:paraId="07CA9E62">
            <w:pPr>
              <w:pStyle w:val="175"/>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4.2.3 生态损失补偿计算</w:t>
            </w:r>
          </w:p>
        </w:tc>
        <w:tc>
          <w:tcPr>
            <w:tcW w:w="449" w:type="pct"/>
            <w:tcBorders>
              <w:top w:val="single" w:color="auto" w:sz="12" w:space="0"/>
            </w:tcBorders>
            <w:tcMar>
              <w:left w:w="28" w:type="dxa"/>
              <w:right w:w="28" w:type="dxa"/>
            </w:tcMar>
            <w:vAlign w:val="center"/>
          </w:tcPr>
          <w:p w14:paraId="032ACA9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P201、P205</w:t>
            </w:r>
          </w:p>
        </w:tc>
        <w:tc>
          <w:tcPr>
            <w:tcW w:w="1563" w:type="pct"/>
            <w:tcBorders>
              <w:top w:val="single" w:color="auto" w:sz="12" w:space="0"/>
            </w:tcBorders>
            <w:tcMar>
              <w:left w:w="28" w:type="dxa"/>
              <w:right w:w="28" w:type="dxa"/>
            </w:tcMar>
            <w:vAlign w:val="center"/>
          </w:tcPr>
          <w:p w14:paraId="1BAA535A">
            <w:pPr>
              <w:pStyle w:val="175"/>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核实疏浚面积及悬浮泥沙影响范围后，重新核算生态补偿费用。</w:t>
            </w:r>
          </w:p>
        </w:tc>
      </w:tr>
      <w:tr w14:paraId="509EA8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tcMar>
              <w:left w:w="28" w:type="dxa"/>
              <w:right w:w="28" w:type="dxa"/>
            </w:tcMar>
            <w:vAlign w:val="center"/>
          </w:tcPr>
          <w:p w14:paraId="76382851">
            <w:pPr>
              <w:pStyle w:val="175"/>
              <w:numPr>
                <w:ilvl w:val="0"/>
                <w:numId w:val="40"/>
              </w:numPr>
              <w:jc w:val="center"/>
              <w:rPr>
                <w:color w:val="000000" w:themeColor="text1"/>
                <w14:textFill>
                  <w14:solidFill>
                    <w14:schemeClr w14:val="tx1"/>
                  </w14:solidFill>
                </w14:textFill>
              </w:rPr>
            </w:pPr>
          </w:p>
        </w:tc>
        <w:tc>
          <w:tcPr>
            <w:tcW w:w="1453" w:type="pct"/>
            <w:tcMar>
              <w:left w:w="28" w:type="dxa"/>
              <w:right w:w="28" w:type="dxa"/>
            </w:tcMar>
            <w:vAlign w:val="center"/>
          </w:tcPr>
          <w:p w14:paraId="636FA389">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补充水文地质条件、包气带防护性能调查；完善地下水环境影响分析。</w:t>
            </w:r>
          </w:p>
        </w:tc>
        <w:tc>
          <w:tcPr>
            <w:tcW w:w="1379" w:type="pct"/>
            <w:tcMar>
              <w:left w:w="28" w:type="dxa"/>
              <w:right w:w="28" w:type="dxa"/>
            </w:tcMar>
            <w:vAlign w:val="center"/>
          </w:tcPr>
          <w:p w14:paraId="4CE19F3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4.5 地下水环境影响分析</w:t>
            </w:r>
          </w:p>
        </w:tc>
        <w:tc>
          <w:tcPr>
            <w:tcW w:w="449" w:type="pct"/>
            <w:tcMar>
              <w:left w:w="28" w:type="dxa"/>
              <w:right w:w="28" w:type="dxa"/>
            </w:tcMar>
            <w:vAlign w:val="center"/>
          </w:tcPr>
          <w:p w14:paraId="06A55EF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P210</w:t>
            </w:r>
          </w:p>
        </w:tc>
        <w:tc>
          <w:tcPr>
            <w:tcW w:w="1563" w:type="pct"/>
            <w:tcMar>
              <w:left w:w="28" w:type="dxa"/>
              <w:right w:w="28" w:type="dxa"/>
            </w:tcMar>
            <w:vAlign w:val="center"/>
          </w:tcPr>
          <w:p w14:paraId="1138F1BD">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水文地质条件和包气带防护性能调查：项目位于填海区，潜水层具有强烈的海陆相互作用和显著的人为改造印记；包气带主要由疏浚泥沙回填形成，其防护性能较弱。完善了水文地质条件概化说明、源强说明等。</w:t>
            </w:r>
          </w:p>
        </w:tc>
      </w:tr>
      <w:tr w14:paraId="3303CC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vMerge w:val="restart"/>
            <w:tcMar>
              <w:left w:w="28" w:type="dxa"/>
              <w:right w:w="28" w:type="dxa"/>
            </w:tcMar>
            <w:vAlign w:val="center"/>
          </w:tcPr>
          <w:p w14:paraId="71B2B287">
            <w:pPr>
              <w:pStyle w:val="175"/>
              <w:numPr>
                <w:ilvl w:val="0"/>
                <w:numId w:val="40"/>
              </w:numPr>
              <w:jc w:val="center"/>
              <w:rPr>
                <w:color w:val="000000" w:themeColor="text1"/>
                <w14:textFill>
                  <w14:solidFill>
                    <w14:schemeClr w14:val="tx1"/>
                  </w14:solidFill>
                </w14:textFill>
              </w:rPr>
            </w:pPr>
          </w:p>
        </w:tc>
        <w:tc>
          <w:tcPr>
            <w:tcW w:w="1453" w:type="pct"/>
            <w:vMerge w:val="restart"/>
            <w:tcMar>
              <w:left w:w="28" w:type="dxa"/>
              <w:right w:w="28" w:type="dxa"/>
            </w:tcMar>
            <w:vAlign w:val="center"/>
          </w:tcPr>
          <w:p w14:paraId="6F77CD3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核实化学品泄漏源强分析和风险影响评价；完善事故泄漏海洋环境风险防治要求；细化应急处置池的工艺说明；针对各类危险货物的特性，完善各项风险防范措施及应急物资的配备要求。</w:t>
            </w:r>
          </w:p>
        </w:tc>
        <w:tc>
          <w:tcPr>
            <w:tcW w:w="1379" w:type="pct"/>
            <w:tcMar>
              <w:left w:w="28" w:type="dxa"/>
              <w:right w:w="28" w:type="dxa"/>
            </w:tcMar>
            <w:vAlign w:val="center"/>
          </w:tcPr>
          <w:p w14:paraId="6207BD3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5.3.2 源项确定</w:t>
            </w:r>
          </w:p>
        </w:tc>
        <w:tc>
          <w:tcPr>
            <w:tcW w:w="449" w:type="pct"/>
            <w:tcMar>
              <w:left w:w="28" w:type="dxa"/>
              <w:right w:w="28" w:type="dxa"/>
            </w:tcMar>
            <w:vAlign w:val="center"/>
          </w:tcPr>
          <w:p w14:paraId="5DF3074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P270</w:t>
            </w:r>
          </w:p>
        </w:tc>
        <w:tc>
          <w:tcPr>
            <w:tcW w:w="1563" w:type="pct"/>
            <w:tcMar>
              <w:left w:w="28" w:type="dxa"/>
              <w:right w:w="28" w:type="dxa"/>
            </w:tcMar>
            <w:vAlign w:val="center"/>
          </w:tcPr>
          <w:p w14:paraId="4F6A106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完善了典型物质选取的说明；核实典型物质包装规模和类别。</w:t>
            </w:r>
          </w:p>
        </w:tc>
      </w:tr>
      <w:tr w14:paraId="2768BD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vMerge w:val="continue"/>
            <w:tcMar>
              <w:left w:w="28" w:type="dxa"/>
              <w:right w:w="28" w:type="dxa"/>
            </w:tcMar>
            <w:vAlign w:val="center"/>
          </w:tcPr>
          <w:p w14:paraId="33DB8E4E">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08EF0701">
            <w:pPr>
              <w:pStyle w:val="175"/>
              <w:rPr>
                <w:color w:val="000000" w:themeColor="text1"/>
                <w14:textFill>
                  <w14:solidFill>
                    <w14:schemeClr w14:val="tx1"/>
                  </w14:solidFill>
                </w14:textFill>
              </w:rPr>
            </w:pPr>
          </w:p>
        </w:tc>
        <w:tc>
          <w:tcPr>
            <w:tcW w:w="1379" w:type="pct"/>
            <w:tcMar>
              <w:left w:w="28" w:type="dxa"/>
              <w:right w:w="28" w:type="dxa"/>
            </w:tcMar>
            <w:vAlign w:val="center"/>
          </w:tcPr>
          <w:p w14:paraId="0A7E0DF2">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5.5.3.3 码头前沿溢油/危险化学品泄露防范措施</w:t>
            </w:r>
          </w:p>
        </w:tc>
        <w:tc>
          <w:tcPr>
            <w:tcW w:w="449" w:type="pct"/>
            <w:tcMar>
              <w:left w:w="28" w:type="dxa"/>
              <w:right w:w="28" w:type="dxa"/>
            </w:tcMar>
            <w:vAlign w:val="center"/>
          </w:tcPr>
          <w:p w14:paraId="4285027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P330</w:t>
            </w:r>
          </w:p>
        </w:tc>
        <w:tc>
          <w:tcPr>
            <w:tcW w:w="1563" w:type="pct"/>
            <w:tcMar>
              <w:left w:w="28" w:type="dxa"/>
              <w:right w:w="28" w:type="dxa"/>
            </w:tcMar>
            <w:vAlign w:val="center"/>
          </w:tcPr>
          <w:p w14:paraId="5D7688B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完善事故泄漏海洋环境风险防治要求和相关措施</w:t>
            </w:r>
          </w:p>
        </w:tc>
      </w:tr>
      <w:tr w14:paraId="78E3A8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vMerge w:val="continue"/>
            <w:tcMar>
              <w:left w:w="28" w:type="dxa"/>
              <w:right w:w="28" w:type="dxa"/>
            </w:tcMar>
            <w:vAlign w:val="center"/>
          </w:tcPr>
          <w:p w14:paraId="784B5CA7">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7E2E62E8">
            <w:pPr>
              <w:pStyle w:val="175"/>
              <w:rPr>
                <w:color w:val="000000" w:themeColor="text1"/>
                <w14:textFill>
                  <w14:solidFill>
                    <w14:schemeClr w14:val="tx1"/>
                  </w14:solidFill>
                </w14:textFill>
              </w:rPr>
            </w:pPr>
          </w:p>
        </w:tc>
        <w:tc>
          <w:tcPr>
            <w:tcW w:w="1379" w:type="pct"/>
            <w:tcMar>
              <w:left w:w="28" w:type="dxa"/>
              <w:right w:w="28" w:type="dxa"/>
            </w:tcMar>
            <w:vAlign w:val="center"/>
          </w:tcPr>
          <w:p w14:paraId="5495626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5.5.3.6 各类危险物质应急物资配备要求</w:t>
            </w:r>
          </w:p>
        </w:tc>
        <w:tc>
          <w:tcPr>
            <w:tcW w:w="449" w:type="pct"/>
            <w:tcMar>
              <w:left w:w="28" w:type="dxa"/>
              <w:right w:w="28" w:type="dxa"/>
            </w:tcMar>
            <w:vAlign w:val="center"/>
          </w:tcPr>
          <w:p w14:paraId="01EC0613">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P332</w:t>
            </w:r>
          </w:p>
        </w:tc>
        <w:tc>
          <w:tcPr>
            <w:tcW w:w="1563" w:type="pct"/>
            <w:tcMar>
              <w:left w:w="28" w:type="dxa"/>
              <w:right w:w="28" w:type="dxa"/>
            </w:tcMar>
            <w:vAlign w:val="center"/>
          </w:tcPr>
          <w:p w14:paraId="56B1AA6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完善各类危险货物风险防范措施及应急物资的配备要求</w:t>
            </w:r>
          </w:p>
        </w:tc>
      </w:tr>
      <w:tr w14:paraId="6DC099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vMerge w:val="continue"/>
            <w:tcMar>
              <w:left w:w="28" w:type="dxa"/>
              <w:right w:w="28" w:type="dxa"/>
            </w:tcMar>
            <w:vAlign w:val="center"/>
          </w:tcPr>
          <w:p w14:paraId="50C27C53">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502864AD">
            <w:pPr>
              <w:pStyle w:val="175"/>
              <w:rPr>
                <w:color w:val="000000" w:themeColor="text1"/>
                <w14:textFill>
                  <w14:solidFill>
                    <w14:schemeClr w14:val="tx1"/>
                  </w14:solidFill>
                </w14:textFill>
              </w:rPr>
            </w:pPr>
          </w:p>
        </w:tc>
        <w:tc>
          <w:tcPr>
            <w:tcW w:w="1379" w:type="pct"/>
            <w:tcMar>
              <w:left w:w="28" w:type="dxa"/>
              <w:right w:w="28" w:type="dxa"/>
            </w:tcMar>
            <w:vAlign w:val="center"/>
          </w:tcPr>
          <w:p w14:paraId="38AB2999">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2.1.10 环保及风险防范措施</w:t>
            </w:r>
          </w:p>
        </w:tc>
        <w:tc>
          <w:tcPr>
            <w:tcW w:w="449" w:type="pct"/>
            <w:tcMar>
              <w:left w:w="28" w:type="dxa"/>
              <w:right w:w="28" w:type="dxa"/>
            </w:tcMar>
            <w:vAlign w:val="center"/>
          </w:tcPr>
          <w:p w14:paraId="1967A9E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P49</w:t>
            </w:r>
          </w:p>
        </w:tc>
        <w:tc>
          <w:tcPr>
            <w:tcW w:w="1563" w:type="pct"/>
            <w:tcMar>
              <w:left w:w="28" w:type="dxa"/>
              <w:right w:w="28" w:type="dxa"/>
            </w:tcMar>
            <w:vAlign w:val="center"/>
          </w:tcPr>
          <w:p w14:paraId="38ECC14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完善了应急处理场地和应急处理池的运行机制。</w:t>
            </w:r>
          </w:p>
        </w:tc>
      </w:tr>
      <w:tr w14:paraId="3C13FB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8" w:hRule="atLeast"/>
          <w:jc w:val="center"/>
        </w:trPr>
        <w:tc>
          <w:tcPr>
            <w:tcW w:w="156" w:type="pct"/>
            <w:vMerge w:val="restart"/>
            <w:tcMar>
              <w:left w:w="28" w:type="dxa"/>
              <w:right w:w="28" w:type="dxa"/>
            </w:tcMar>
            <w:vAlign w:val="center"/>
          </w:tcPr>
          <w:p w14:paraId="56D6F185">
            <w:pPr>
              <w:pStyle w:val="175"/>
              <w:numPr>
                <w:ilvl w:val="0"/>
                <w:numId w:val="40"/>
              </w:numPr>
              <w:jc w:val="center"/>
              <w:rPr>
                <w:color w:val="000000" w:themeColor="text1"/>
                <w14:textFill>
                  <w14:solidFill>
                    <w14:schemeClr w14:val="tx1"/>
                  </w14:solidFill>
                </w14:textFill>
              </w:rPr>
            </w:pPr>
          </w:p>
        </w:tc>
        <w:tc>
          <w:tcPr>
            <w:tcW w:w="1453" w:type="pct"/>
            <w:vMerge w:val="restart"/>
            <w:tcMar>
              <w:left w:w="28" w:type="dxa"/>
              <w:right w:w="28" w:type="dxa"/>
            </w:tcMar>
            <w:vAlign w:val="center"/>
          </w:tcPr>
          <w:p w14:paraId="0EFC4F0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核实环保投资；完善监测计划。</w:t>
            </w:r>
          </w:p>
        </w:tc>
        <w:tc>
          <w:tcPr>
            <w:tcW w:w="1379" w:type="pct"/>
            <w:tcBorders>
              <w:bottom w:val="single" w:color="auto" w:sz="12" w:space="0"/>
            </w:tcBorders>
            <w:tcMar>
              <w:left w:w="28" w:type="dxa"/>
              <w:right w:w="28" w:type="dxa"/>
            </w:tcMar>
            <w:vAlign w:val="center"/>
          </w:tcPr>
          <w:p w14:paraId="006FFBD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6.4 环境保护措施费用估算</w:t>
            </w:r>
          </w:p>
        </w:tc>
        <w:tc>
          <w:tcPr>
            <w:tcW w:w="449" w:type="pct"/>
            <w:tcBorders>
              <w:bottom w:val="single" w:color="auto" w:sz="12" w:space="0"/>
            </w:tcBorders>
            <w:tcMar>
              <w:left w:w="28" w:type="dxa"/>
              <w:right w:w="28" w:type="dxa"/>
            </w:tcMar>
            <w:vAlign w:val="center"/>
          </w:tcPr>
          <w:p w14:paraId="631C063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P343</w:t>
            </w:r>
          </w:p>
        </w:tc>
        <w:tc>
          <w:tcPr>
            <w:tcW w:w="1563" w:type="pct"/>
            <w:tcBorders>
              <w:bottom w:val="single" w:color="auto" w:sz="12" w:space="0"/>
            </w:tcBorders>
            <w:tcMar>
              <w:left w:w="28" w:type="dxa"/>
              <w:right w:w="28" w:type="dxa"/>
            </w:tcMar>
            <w:vAlign w:val="center"/>
          </w:tcPr>
          <w:p w14:paraId="452874C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核实环保投资，主要完善生态补偿措施。</w:t>
            </w:r>
          </w:p>
        </w:tc>
      </w:tr>
      <w:tr w14:paraId="40CA4C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50" w:hRule="atLeast"/>
          <w:jc w:val="center"/>
        </w:trPr>
        <w:tc>
          <w:tcPr>
            <w:tcW w:w="156" w:type="pct"/>
            <w:vMerge w:val="continue"/>
            <w:tcMar>
              <w:left w:w="28" w:type="dxa"/>
              <w:right w:w="28" w:type="dxa"/>
            </w:tcMar>
            <w:vAlign w:val="center"/>
          </w:tcPr>
          <w:p w14:paraId="502DA95D">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02C73A64">
            <w:pPr>
              <w:pStyle w:val="175"/>
              <w:rPr>
                <w:color w:val="000000" w:themeColor="text1"/>
                <w14:textFill>
                  <w14:solidFill>
                    <w14:schemeClr w14:val="tx1"/>
                  </w14:solidFill>
                </w14:textFill>
              </w:rPr>
            </w:pPr>
          </w:p>
        </w:tc>
        <w:tc>
          <w:tcPr>
            <w:tcW w:w="1379" w:type="pct"/>
            <w:tcBorders>
              <w:top w:val="single" w:color="auto" w:sz="12" w:space="0"/>
            </w:tcBorders>
            <w:tcMar>
              <w:left w:w="28" w:type="dxa"/>
              <w:right w:w="28" w:type="dxa"/>
            </w:tcMar>
            <w:vAlign w:val="center"/>
          </w:tcPr>
          <w:p w14:paraId="3017CD7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8.3.3 环境监测计划</w:t>
            </w:r>
          </w:p>
        </w:tc>
        <w:tc>
          <w:tcPr>
            <w:tcW w:w="449" w:type="pct"/>
            <w:tcBorders>
              <w:top w:val="single" w:color="auto" w:sz="12" w:space="0"/>
            </w:tcBorders>
            <w:tcMar>
              <w:left w:w="28" w:type="dxa"/>
              <w:right w:w="28" w:type="dxa"/>
            </w:tcMar>
            <w:vAlign w:val="center"/>
          </w:tcPr>
          <w:p w14:paraId="1C333956">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P350</w:t>
            </w:r>
          </w:p>
        </w:tc>
        <w:tc>
          <w:tcPr>
            <w:tcW w:w="1563" w:type="pct"/>
            <w:tcBorders>
              <w:top w:val="single" w:color="auto" w:sz="12" w:space="0"/>
            </w:tcBorders>
            <w:tcMar>
              <w:left w:w="28" w:type="dxa"/>
              <w:right w:w="28" w:type="dxa"/>
            </w:tcMar>
            <w:vAlign w:val="center"/>
          </w:tcPr>
          <w:p w14:paraId="742B6B8F">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提出项目监测计划可与排污口监测计划统筹实施的建议。</w:t>
            </w:r>
          </w:p>
        </w:tc>
      </w:tr>
      <w:tr w14:paraId="192664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tcMar>
              <w:left w:w="28" w:type="dxa"/>
              <w:right w:w="28" w:type="dxa"/>
            </w:tcMar>
            <w:vAlign w:val="center"/>
          </w:tcPr>
          <w:p w14:paraId="3F761191">
            <w:pPr>
              <w:pStyle w:val="175"/>
              <w:numPr>
                <w:ilvl w:val="0"/>
                <w:numId w:val="40"/>
              </w:numPr>
              <w:jc w:val="center"/>
              <w:rPr>
                <w:color w:val="000000" w:themeColor="text1"/>
                <w14:textFill>
                  <w14:solidFill>
                    <w14:schemeClr w14:val="tx1"/>
                  </w14:solidFill>
                </w14:textFill>
              </w:rPr>
            </w:pPr>
          </w:p>
        </w:tc>
        <w:tc>
          <w:tcPr>
            <w:tcW w:w="1453" w:type="pct"/>
            <w:tcMar>
              <w:left w:w="28" w:type="dxa"/>
              <w:right w:w="28" w:type="dxa"/>
            </w:tcMar>
            <w:vAlign w:val="center"/>
          </w:tcPr>
          <w:p w14:paraId="2F8CBFA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补充完善附图附件。</w:t>
            </w:r>
          </w:p>
        </w:tc>
        <w:tc>
          <w:tcPr>
            <w:tcW w:w="1379" w:type="pct"/>
            <w:tcMar>
              <w:left w:w="28" w:type="dxa"/>
              <w:right w:w="28" w:type="dxa"/>
            </w:tcMar>
            <w:vAlign w:val="center"/>
          </w:tcPr>
          <w:p w14:paraId="45A0E77F">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附图附件</w:t>
            </w:r>
          </w:p>
        </w:tc>
        <w:tc>
          <w:tcPr>
            <w:tcW w:w="449" w:type="pct"/>
            <w:tcMar>
              <w:left w:w="28" w:type="dxa"/>
              <w:right w:w="28" w:type="dxa"/>
            </w:tcMar>
            <w:vAlign w:val="center"/>
          </w:tcPr>
          <w:p w14:paraId="48DDC2B6">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附图附件</w:t>
            </w:r>
          </w:p>
        </w:tc>
        <w:tc>
          <w:tcPr>
            <w:tcW w:w="1563" w:type="pct"/>
            <w:tcMar>
              <w:left w:w="28" w:type="dxa"/>
              <w:right w:w="28" w:type="dxa"/>
            </w:tcMar>
            <w:vAlign w:val="center"/>
          </w:tcPr>
          <w:p w14:paraId="7E83963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附图附件</w:t>
            </w:r>
          </w:p>
        </w:tc>
      </w:tr>
    </w:tbl>
    <w:p w14:paraId="1E76F22B">
      <w:pPr>
        <w:ind w:firstLine="464"/>
        <w:rPr>
          <w:rFonts w:hint="eastAsia" w:ascii="华文仿宋" w:hAnsi="华文仿宋" w:eastAsia="华文仿宋"/>
          <w:sz w:val="36"/>
          <w:szCs w:val="36"/>
        </w:rPr>
      </w:pPr>
      <w:r>
        <w:rPr>
          <w:rFonts w:hint="eastAsia"/>
          <w:b/>
          <w:bCs/>
        </w:rPr>
        <w:t>注：修改内容见文本下划线部分。</w:t>
      </w:r>
    </w:p>
    <w:bookmarkEnd w:id="1"/>
    <w:p w14:paraId="61EF89D7">
      <w:pPr>
        <w:snapToGrid w:val="0"/>
        <w:spacing w:line="360" w:lineRule="auto"/>
        <w:ind w:firstLine="863"/>
        <w:jc w:val="center"/>
        <w:outlineLvl w:val="0"/>
        <w:rPr>
          <w:rFonts w:eastAsia="华文楷体"/>
          <w:b/>
          <w:bCs/>
          <w:sz w:val="44"/>
          <w:szCs w:val="44"/>
        </w:rPr>
        <w:sectPr>
          <w:headerReference r:id="rId11" w:type="even"/>
          <w:pgSz w:w="16840" w:h="11907" w:orient="landscape"/>
          <w:pgMar w:top="1797" w:right="1440" w:bottom="1514" w:left="1440" w:header="992" w:footer="851" w:gutter="284"/>
          <w:pgNumType w:fmt="lowerRoman"/>
          <w:cols w:space="425" w:num="1"/>
          <w:docGrid w:type="linesAndChars" w:linePitch="465" w:charSpace="-1866"/>
        </w:sectPr>
      </w:pPr>
    </w:p>
    <w:bookmarkEnd w:id="2"/>
    <w:bookmarkEnd w:id="3"/>
    <w:bookmarkEnd w:id="4"/>
    <w:bookmarkEnd w:id="5"/>
    <w:p w14:paraId="44CAE9D2">
      <w:pPr>
        <w:pStyle w:val="3"/>
        <w:numPr>
          <w:ilvl w:val="0"/>
          <w:numId w:val="0"/>
        </w:numPr>
      </w:pPr>
      <w:bookmarkStart w:id="11" w:name="_Toc202297958"/>
      <w:bookmarkStart w:id="12" w:name="_Toc217977900"/>
      <w:r>
        <w:t>概  述</w:t>
      </w:r>
      <w:bookmarkEnd w:id="11"/>
      <w:bookmarkEnd w:id="12"/>
    </w:p>
    <w:p w14:paraId="3778ED77">
      <w:pPr>
        <w:numPr>
          <w:ilvl w:val="0"/>
          <w:numId w:val="41"/>
        </w:numPr>
        <w:ind w:firstLine="464"/>
        <w:jc w:val="left"/>
        <w:rPr>
          <w:b/>
        </w:rPr>
      </w:pPr>
      <w:r>
        <w:rPr>
          <w:b/>
        </w:rPr>
        <w:t>项目由来</w:t>
      </w:r>
    </w:p>
    <w:p w14:paraId="58E67BFC">
      <w:pPr>
        <w:ind w:firstLine="462"/>
      </w:pPr>
      <w:bookmarkStart w:id="13" w:name="_Hlk206572924"/>
      <w:r>
        <w:t>“世纪工程”平陆运河</w:t>
      </w:r>
      <w:bookmarkEnd w:id="13"/>
      <w:bookmarkStart w:id="14" w:name="_Hlk206573019"/>
      <w:r>
        <w:t>于2022年8月开工建设，并计划2026底建成</w:t>
      </w:r>
      <w:bookmarkEnd w:id="14"/>
      <w:r>
        <w:t>，平陆运河直接开辟了广西内陆及我国西南、西北地区运距最短、最经济、最便捷的出海通道，将</w:t>
      </w:r>
      <w:bookmarkStart w:id="15" w:name="_Hlk206572976"/>
      <w:r>
        <w:t>大幅提升西部陆海新通道运输能力和效率，大大优化了物流运输体系。</w:t>
      </w:r>
      <w:bookmarkEnd w:id="15"/>
      <w:r>
        <w:t>2023年12月，习近平总书记在广西视察时指出，要共建</w:t>
      </w:r>
      <w:bookmarkStart w:id="16" w:name="_Hlk206572942"/>
      <w:r>
        <w:t>西部陆海新通道</w:t>
      </w:r>
      <w:bookmarkEnd w:id="16"/>
      <w:r>
        <w:t>，实施一批</w:t>
      </w:r>
      <w:bookmarkStart w:id="17" w:name="_Hlk206572951"/>
      <w:r>
        <w:t>重大交通基础设施项目</w:t>
      </w:r>
      <w:bookmarkEnd w:id="17"/>
      <w:r>
        <w:t>，高标准、高质量建设平陆运河，高水平打造北部湾国际门户港，提高江铁海</w:t>
      </w:r>
      <w:bookmarkStart w:id="18" w:name="_Hlk206609878"/>
      <w:r>
        <w:t>多式联运能力和自动化水平</w:t>
      </w:r>
      <w:bookmarkEnd w:id="18"/>
      <w:r>
        <w:t>。</w:t>
      </w:r>
    </w:p>
    <w:p w14:paraId="72C4069F">
      <w:pPr>
        <w:ind w:firstLine="462"/>
      </w:pPr>
      <w:r>
        <w:t>平陆运河建成后，</w:t>
      </w:r>
      <w:bookmarkStart w:id="19" w:name="_Hlk206573047"/>
      <w:r>
        <w:t>北部湾港的货物运输格局以及运量将面临重大调整，一是部分原来通过公路集疏运的货物将改为利用平陆运河水路集疏运，二是部分原来通过西江从珠三角港口出口的货物将改为通过平陆运河从北部湾港口出口</w:t>
      </w:r>
      <w:bookmarkEnd w:id="19"/>
      <w:r>
        <w:t>。钦州港是平陆运河海向贸易的窗口和集结地，目前钦州港已建专业化集装箱泊位均为5万吨级及以上泊位，无</w:t>
      </w:r>
      <w:bookmarkStart w:id="20" w:name="_Hlk206573081"/>
      <w:r>
        <w:t>专用的江海联运驳船专用泊位</w:t>
      </w:r>
      <w:bookmarkEnd w:id="20"/>
      <w:r>
        <w:t>，随着平陆运河的建成，钦</w:t>
      </w:r>
      <w:bookmarkStart w:id="21" w:name="OLE_LINK65"/>
      <w:r>
        <w:t>州港集装箱泊位结构性矛盾明显</w:t>
      </w:r>
      <w:bookmarkEnd w:id="21"/>
      <w:r>
        <w:t>，为充分</w:t>
      </w:r>
      <w:bookmarkStart w:id="22" w:name="_Hlk206573123"/>
      <w:r>
        <w:t>适应平陆运河带来的运输格局调整</w:t>
      </w:r>
      <w:bookmarkEnd w:id="22"/>
      <w:r>
        <w:t>，亟须进行</w:t>
      </w:r>
      <w:bookmarkStart w:id="23" w:name="_Hlk206573134"/>
      <w:r>
        <w:t>集装箱江海联运泊位</w:t>
      </w:r>
      <w:bookmarkEnd w:id="23"/>
      <w:r>
        <w:t>建设。</w:t>
      </w:r>
    </w:p>
    <w:p w14:paraId="39448034">
      <w:pPr>
        <w:ind w:firstLine="462"/>
        <w:rPr>
          <w:sz w:val="21"/>
          <w:szCs w:val="21"/>
        </w:rPr>
      </w:pPr>
      <w:r>
        <w:t>工程建设5个5000吨级集装箱泊位，项目的建设将补齐钦州港江海联运体系短板，构建铁海、陆海、江海最完善的多式联运体系，</w:t>
      </w:r>
      <w:r>
        <w:rPr>
          <w:rFonts w:hint="eastAsia"/>
        </w:rPr>
        <w:t>配合平陆运河</w:t>
      </w:r>
      <w:r>
        <w:t>提升钦州港综合竞争力</w:t>
      </w:r>
      <w:r>
        <w:rPr>
          <w:rFonts w:hint="eastAsia"/>
        </w:rPr>
        <w:t>。</w:t>
      </w:r>
      <w:r>
        <w:t>项目建成后将与7号～10号泊位集装箱泊位进行水水中转联运，可进一步释放自动化海轮泊位的装卸能力，有利于充分发挥北部湾港的区位优势及集疏运体系。</w:t>
      </w:r>
    </w:p>
    <w:p w14:paraId="6BBB43C6">
      <w:pPr>
        <w:numPr>
          <w:ilvl w:val="0"/>
          <w:numId w:val="41"/>
        </w:numPr>
        <w:ind w:firstLine="464"/>
        <w:jc w:val="left"/>
        <w:rPr>
          <w:b/>
        </w:rPr>
      </w:pPr>
      <w:r>
        <w:rPr>
          <w:rFonts w:hint="eastAsia"/>
          <w:b/>
        </w:rPr>
        <w:t>建设项目特点</w:t>
      </w:r>
    </w:p>
    <w:p w14:paraId="04935EAB">
      <w:pPr>
        <w:ind w:firstLine="462"/>
      </w:pPr>
      <w:r>
        <w:rPr>
          <w:rFonts w:hint="eastAsia"/>
        </w:rPr>
        <w:t>项目</w:t>
      </w:r>
      <w:bookmarkStart w:id="24" w:name="OLE_LINK64"/>
      <w:bookmarkStart w:id="25" w:name="OLE_LINK164"/>
      <w:r>
        <w:rPr>
          <w:rFonts w:hint="eastAsia"/>
        </w:rPr>
        <w:t>新建</w:t>
      </w:r>
      <w:bookmarkStart w:id="26" w:name="_Hlk206573831"/>
      <w:r>
        <w:rPr>
          <w:rFonts w:hint="eastAsia"/>
        </w:rPr>
        <w:t>5个5000吨级集装箱泊位</w:t>
      </w:r>
      <w:bookmarkEnd w:id="26"/>
      <w:r>
        <w:rPr>
          <w:rFonts w:hint="eastAsia"/>
        </w:rPr>
        <w:t>，</w:t>
      </w:r>
      <w:bookmarkStart w:id="27" w:name="_Hlk206573841"/>
      <w:r>
        <w:rPr>
          <w:rFonts w:hint="eastAsia"/>
        </w:rPr>
        <w:t>岸线长度695m，年总设计吞吐量为60万TEU</w:t>
      </w:r>
      <w:bookmarkEnd w:id="27"/>
      <w:r>
        <w:rPr>
          <w:rFonts w:hint="eastAsia"/>
        </w:rPr>
        <w:t>。</w:t>
      </w:r>
      <w:bookmarkEnd w:id="24"/>
      <w:bookmarkStart w:id="28" w:name="OLE_LINK6"/>
      <w:r>
        <w:rPr>
          <w:rFonts w:hint="eastAsia"/>
        </w:rPr>
        <w:t>建设内容主要包括</w:t>
      </w:r>
      <w:bookmarkStart w:id="29" w:name="_Hlk206574183"/>
      <w:r>
        <w:rPr>
          <w:rFonts w:hint="eastAsia"/>
        </w:rPr>
        <w:t>陆域及堆场道路、装卸工艺、港池及回旋水域疏浚和配套工程</w:t>
      </w:r>
      <w:bookmarkEnd w:id="28"/>
      <w:r>
        <w:rPr>
          <w:rFonts w:hint="eastAsia"/>
        </w:rPr>
        <w:t>（供电照明、控制、信息与通信、给排水、消防、环保）等</w:t>
      </w:r>
      <w:bookmarkEnd w:id="29"/>
      <w:r>
        <w:rPr>
          <w:rFonts w:hint="eastAsia"/>
        </w:rPr>
        <w:t>；</w:t>
      </w:r>
      <w:bookmarkStart w:id="30" w:name="_Hlk206608138"/>
      <w:r>
        <w:rPr>
          <w:rFonts w:hint="eastAsia"/>
        </w:rPr>
        <w:t>项目</w:t>
      </w:r>
      <w:bookmarkStart w:id="31" w:name="OLE_LINK5"/>
      <w:r>
        <w:rPr>
          <w:rFonts w:hint="eastAsia"/>
        </w:rPr>
        <w:t xml:space="preserve">利用 </w:t>
      </w:r>
      <w:bookmarkStart w:id="32" w:name="OLE_LINK10"/>
      <w:r>
        <w:rPr>
          <w:rFonts w:hint="eastAsia"/>
        </w:rPr>
        <w:t>9 号 10 号泊位扩建工程侧面建设的</w:t>
      </w:r>
      <w:bookmarkStart w:id="33" w:name="_Hlk206573778"/>
      <w:r>
        <w:rPr>
          <w:rFonts w:hint="eastAsia"/>
        </w:rPr>
        <w:t>直立式消浪护岸</w:t>
      </w:r>
      <w:bookmarkEnd w:id="33"/>
      <w:r>
        <w:rPr>
          <w:rFonts w:hint="eastAsia"/>
        </w:rPr>
        <w:t>建设</w:t>
      </w:r>
      <w:bookmarkEnd w:id="32"/>
      <w:r>
        <w:rPr>
          <w:rFonts w:hint="eastAsia"/>
        </w:rPr>
        <w:t>，本次主要</w:t>
      </w:r>
      <w:bookmarkStart w:id="34" w:name="_Hlk206574193"/>
      <w:r>
        <w:rPr>
          <w:rFonts w:hint="eastAsia"/>
        </w:rPr>
        <w:t>在直立式护岸胸墙上</w:t>
      </w:r>
      <w:bookmarkStart w:id="35" w:name="OLE_LINK13"/>
      <w:r>
        <w:rPr>
          <w:rFonts w:hint="eastAsia"/>
        </w:rPr>
        <w:t>安装附属设施（橡胶护舷、系船柱及钢轨）及加设后轨道梁</w:t>
      </w:r>
      <w:bookmarkEnd w:id="31"/>
      <w:bookmarkEnd w:id="34"/>
      <w:r>
        <w:rPr>
          <w:rFonts w:hint="eastAsia"/>
        </w:rPr>
        <w:t>。</w:t>
      </w:r>
      <w:bookmarkEnd w:id="30"/>
    </w:p>
    <w:bookmarkEnd w:id="25"/>
    <w:bookmarkEnd w:id="35"/>
    <w:p w14:paraId="3A920E4B">
      <w:pPr>
        <w:ind w:firstLine="462"/>
        <w:rPr>
          <w:bCs/>
        </w:rPr>
      </w:pPr>
      <w:r>
        <w:rPr>
          <w:rFonts w:hint="eastAsia"/>
        </w:rPr>
        <w:t>项目不涉及</w:t>
      </w:r>
      <w:r>
        <w:rPr>
          <w:rFonts w:hint="eastAsia"/>
          <w:bCs/>
        </w:rPr>
        <w:t>围填海，</w:t>
      </w:r>
      <w:r>
        <w:rPr>
          <w:rFonts w:hint="eastAsia"/>
        </w:rPr>
        <w:t>后方陆域</w:t>
      </w:r>
      <w:bookmarkStart w:id="36" w:name="OLE_LINK19"/>
      <w:r>
        <w:rPr>
          <w:rFonts w:hint="eastAsia"/>
        </w:rPr>
        <w:t>依托9号10号泊</w:t>
      </w:r>
      <w:r>
        <w:rPr>
          <w:rFonts w:hint="eastAsia"/>
          <w:bCs/>
        </w:rPr>
        <w:t>位扩建工程</w:t>
      </w:r>
      <w:bookmarkEnd w:id="36"/>
      <w:r>
        <w:rPr>
          <w:rFonts w:hint="eastAsia"/>
          <w:bCs/>
        </w:rPr>
        <w:t>陆域，面积约14.34万m</w:t>
      </w:r>
      <w:r>
        <w:rPr>
          <w:rFonts w:hint="eastAsia"/>
          <w:bCs/>
          <w:vertAlign w:val="superscript"/>
        </w:rPr>
        <w:t>2</w:t>
      </w:r>
      <w:r>
        <w:rPr>
          <w:rFonts w:hint="eastAsia"/>
          <w:bCs/>
        </w:rPr>
        <w:t>。项目依托已形成陆域布置</w:t>
      </w:r>
      <w:bookmarkStart w:id="37" w:name="_Hlk206574115"/>
      <w:r>
        <w:rPr>
          <w:rFonts w:hint="eastAsia"/>
          <w:bCs/>
        </w:rPr>
        <w:t>集装箱堆场、道路及其他配套设施</w:t>
      </w:r>
      <w:bookmarkEnd w:id="37"/>
      <w:r>
        <w:rPr>
          <w:rFonts w:hint="eastAsia"/>
          <w:bCs/>
        </w:rPr>
        <w:t>，</w:t>
      </w:r>
      <w:bookmarkStart w:id="38" w:name="_Hlk206574210"/>
      <w:r>
        <w:rPr>
          <w:rFonts w:hint="eastAsia"/>
          <w:bCs/>
        </w:rPr>
        <w:t>项目</w:t>
      </w:r>
      <w:bookmarkStart w:id="39" w:name="OLE_LINK9"/>
      <w:r>
        <w:rPr>
          <w:rFonts w:hint="eastAsia"/>
          <w:bCs/>
        </w:rPr>
        <w:t>新建3条自动化集装箱堆场，新增集装箱堆场约9.3万m</w:t>
      </w:r>
      <w:r>
        <w:rPr>
          <w:rFonts w:hint="eastAsia"/>
          <w:bCs/>
          <w:vertAlign w:val="superscript"/>
        </w:rPr>
        <w:t>2</w:t>
      </w:r>
      <w:r>
        <w:rPr>
          <w:rFonts w:hint="eastAsia"/>
          <w:bCs/>
        </w:rPr>
        <w:t>，其中危险货物集装箱堆场1.3万m</w:t>
      </w:r>
      <w:r>
        <w:rPr>
          <w:rFonts w:hint="eastAsia"/>
          <w:bCs/>
          <w:vertAlign w:val="superscript"/>
        </w:rPr>
        <w:t>2</w:t>
      </w:r>
      <w:r>
        <w:rPr>
          <w:rFonts w:hint="eastAsia"/>
          <w:bCs/>
        </w:rPr>
        <w:t>。</w:t>
      </w:r>
      <w:bookmarkEnd w:id="39"/>
      <w:r>
        <w:rPr>
          <w:rFonts w:hint="eastAsia"/>
          <w:bCs/>
        </w:rPr>
        <w:t>项目建成后与已建7号-10号泊位和扩建工程一体化运营。</w:t>
      </w:r>
      <w:bookmarkEnd w:id="38"/>
    </w:p>
    <w:p w14:paraId="501D5360">
      <w:pPr>
        <w:ind w:firstLine="462"/>
      </w:pPr>
      <w:r>
        <w:rPr>
          <w:rFonts w:hint="eastAsia"/>
        </w:rPr>
        <w:t>项目于2025年6月取得中国一马来西亚钦州产业园区行政审批局《关于北部湾港钦州港域大榄坪港区大榄坪南作业区内1号至5号江海联运泊位工程核准变更的批复》（中马园审批核〔2025〕2号，附件2），2025年10月取得广西壮族自治区交通运输厅《关于北部湾港钦州港域大榄坪港区大榄坪南作业区内1号至5号江海联运泊位工程安全条件审查的意见》（桂交行审〔2025〕359 号，附件5）。建设单位同步推进项目其他相关前期论证工作，2025年6月取得项目港口岸线使用专家评审意见（附件3），11月取得初步设计专家评审意见（附件4），12月取得项目用海论证专家评审意见（附件6）。</w:t>
      </w:r>
    </w:p>
    <w:p w14:paraId="3F2210FB">
      <w:pPr>
        <w:numPr>
          <w:ilvl w:val="0"/>
          <w:numId w:val="41"/>
        </w:numPr>
        <w:ind w:firstLine="464"/>
        <w:jc w:val="left"/>
        <w:rPr>
          <w:b/>
        </w:rPr>
      </w:pPr>
      <w:r>
        <w:rPr>
          <w:rFonts w:hint="eastAsia"/>
          <w:b/>
        </w:rPr>
        <w:t>环境影响评价过程</w:t>
      </w:r>
    </w:p>
    <w:p w14:paraId="58912E7D">
      <w:pPr>
        <w:ind w:firstLine="462"/>
      </w:pPr>
      <w:r>
        <w:rPr>
          <w:rFonts w:hint="eastAsia"/>
        </w:rPr>
        <w:t>根据《中华人民共和国环境影响评价法》及《建设项目环境影响评价分类管理名录》（2021年版）等文件的有关规定，本项目属于《建设项目环境影响评价分类管理名录》（2021年版）中“五十二、交通运输业、管道运输业”中“140集装箱专用码头—涉及危险品、 化学品的”，应编制环境影响报告书。项目业主广西钦州保税港区宏港码头有限公司于2025年5月委托广西交科集团有限公司承担该项目的环境影响评价工作。接受委托后，环评单位对工程及周边环境敏感区、污染源分布进行了调查，走访了相关单位，咨询有关规划实施情况及相关项目进展，收集与项目有关的资料文件。根据环境影响评价有关技术导则、规范，确定环境影响评价工作等级，开展区域环境质量现状监测、分析和环境影响预测，提出减缓</w:t>
      </w:r>
      <w:r>
        <w:rPr>
          <w:rFonts w:hint="eastAsia"/>
          <w:lang w:eastAsia="zh-CN"/>
        </w:rPr>
        <w:t>影响</w:t>
      </w:r>
      <w:r>
        <w:rPr>
          <w:rFonts w:hint="eastAsia"/>
        </w:rPr>
        <w:t>的对策措施，于2025年12月编制完成环境影响报告书。同期项目业主按规定开展了公众参与调查。</w:t>
      </w:r>
    </w:p>
    <w:p w14:paraId="54B154D7">
      <w:pPr>
        <w:numPr>
          <w:ilvl w:val="0"/>
          <w:numId w:val="41"/>
        </w:numPr>
        <w:ind w:firstLine="464"/>
        <w:jc w:val="left"/>
        <w:rPr>
          <w:b/>
        </w:rPr>
      </w:pPr>
      <w:r>
        <w:rPr>
          <w:rFonts w:hint="eastAsia"/>
          <w:b/>
        </w:rPr>
        <w:t>分析判定相关情况</w:t>
      </w:r>
    </w:p>
    <w:p w14:paraId="3210975F">
      <w:pPr>
        <w:ind w:firstLine="462"/>
      </w:pPr>
      <w:r>
        <w:rPr>
          <w:rFonts w:hint="eastAsia"/>
        </w:rPr>
        <w:t>1、产业政策合理性</w:t>
      </w:r>
    </w:p>
    <w:p w14:paraId="418BD421">
      <w:pPr>
        <w:ind w:firstLine="462"/>
      </w:pPr>
      <w:r>
        <w:rPr>
          <w:rFonts w:hint="eastAsia"/>
        </w:rPr>
        <w:t>本工程为沿海万吨级以上深水泊位建设，为自动化集装箱泊位。根据</w:t>
      </w:r>
      <w:bookmarkStart w:id="40" w:name="_Hlk206577145"/>
      <w:r>
        <w:rPr>
          <w:rFonts w:hint="eastAsia"/>
        </w:rPr>
        <w:t>《产业结构调整指导目录（2024年本）》</w:t>
      </w:r>
      <w:bookmarkEnd w:id="40"/>
      <w:r>
        <w:rPr>
          <w:rFonts w:hint="eastAsia"/>
        </w:rPr>
        <w:t>，本工程属于鼓励类项目中“第二十五条，水运”分类中“2. 码头泊位建设”。本工程建设期和运营期将分别针对各类污染源采取了有针对性的防范措施，能够做到达标排放，符合国家相关的环境保护政策。</w:t>
      </w:r>
    </w:p>
    <w:p w14:paraId="2C55CDCE">
      <w:pPr>
        <w:ind w:firstLine="462"/>
      </w:pPr>
      <w:r>
        <w:rPr>
          <w:rFonts w:hint="eastAsia"/>
        </w:rPr>
        <w:t>2、生态环境分区管控符合性</w:t>
      </w:r>
    </w:p>
    <w:p w14:paraId="72C52D2D">
      <w:pPr>
        <w:ind w:firstLine="462"/>
      </w:pPr>
      <w:r>
        <w:rPr>
          <w:rFonts w:hint="eastAsia"/>
        </w:rPr>
        <w:t>项目位于</w:t>
      </w:r>
      <w:bookmarkStart w:id="41" w:name="_Hlk206577187"/>
      <w:r>
        <w:rPr>
          <w:rFonts w:hint="eastAsia"/>
        </w:rPr>
        <w:t>《钦州市生态环境局关于印发《钦州市生态环境分区管控动态更新成果（2023版）》的通知》</w:t>
      </w:r>
      <w:bookmarkEnd w:id="41"/>
      <w:r>
        <w:rPr>
          <w:rFonts w:hint="eastAsia"/>
        </w:rPr>
        <w:t>重点管控单元，项目建设与区域环境管控要求相符。项目总体符合生态环境分区管控要求。</w:t>
      </w:r>
    </w:p>
    <w:p w14:paraId="11631348">
      <w:pPr>
        <w:ind w:firstLine="462"/>
      </w:pPr>
      <w:r>
        <w:rPr>
          <w:rFonts w:hint="eastAsia"/>
        </w:rPr>
        <w:t>3、与国土空间规划相符性</w:t>
      </w:r>
    </w:p>
    <w:p w14:paraId="2E13B9F4">
      <w:pPr>
        <w:ind w:firstLine="462"/>
      </w:pPr>
      <w:r>
        <w:rPr>
          <w:rFonts w:hint="eastAsia"/>
        </w:rPr>
        <w:t>工程位于</w:t>
      </w:r>
      <w:bookmarkStart w:id="42" w:name="_Hlk206577180"/>
      <w:r>
        <w:rPr>
          <w:rFonts w:hint="eastAsia"/>
        </w:rPr>
        <w:t>《钦州市国土空间总体规划（2021—2035年）》</w:t>
      </w:r>
      <w:bookmarkEnd w:id="42"/>
      <w:r>
        <w:rPr>
          <w:rFonts w:hint="eastAsia"/>
        </w:rPr>
        <w:t>市域海洋功能分区中划定的钦州港交通运输用海区，主要用于近岸港口陆域、码头、港池等航运设施建设，重点保障平陆运河、金鼓江、大榄坪等发展需求。本项目为码头工程，用海类型为交通运输用海，位于大榄坪港区大榄坪南作业区，用海性质与钦州港交通运输用海区的功能类型及用海方式控制相符。</w:t>
      </w:r>
    </w:p>
    <w:p w14:paraId="6A904F8D">
      <w:pPr>
        <w:ind w:firstLine="462"/>
      </w:pPr>
      <w:r>
        <w:rPr>
          <w:rFonts w:hint="eastAsia"/>
        </w:rPr>
        <w:t>4、与港口规划和规划环评及审查意见的相符性</w:t>
      </w:r>
    </w:p>
    <w:p w14:paraId="2D9CF02F">
      <w:pPr>
        <w:ind w:firstLine="462"/>
      </w:pPr>
      <w:r>
        <w:rPr>
          <w:rFonts w:hint="eastAsia"/>
        </w:rPr>
        <w:t>项目选址位于</w:t>
      </w:r>
      <w:bookmarkStart w:id="43" w:name="_Hlk206577160"/>
      <w:r>
        <w:rPr>
          <w:rFonts w:hint="eastAsia"/>
        </w:rPr>
        <w:t>《北部湾港总体规划（2035年）》</w:t>
      </w:r>
      <w:bookmarkEnd w:id="43"/>
      <w:r>
        <w:rPr>
          <w:rFonts w:hint="eastAsia"/>
        </w:rPr>
        <w:t>中的大榄坪南作业区，为规划集装箱泊位区，项目泊位等级、码头用途均与《北部湾港总体规划（2035年）》及其规划环评审查意见相符，选址合理。</w:t>
      </w:r>
    </w:p>
    <w:p w14:paraId="78B7179C">
      <w:pPr>
        <w:numPr>
          <w:ilvl w:val="0"/>
          <w:numId w:val="41"/>
        </w:numPr>
        <w:ind w:firstLine="464"/>
        <w:jc w:val="left"/>
        <w:rPr>
          <w:b/>
        </w:rPr>
      </w:pPr>
      <w:r>
        <w:rPr>
          <w:rFonts w:hint="eastAsia"/>
          <w:b/>
        </w:rPr>
        <w:t>关注的主要环境问题及影响</w:t>
      </w:r>
    </w:p>
    <w:p w14:paraId="2311A207">
      <w:pPr>
        <w:ind w:firstLine="462"/>
      </w:pPr>
      <w:r>
        <w:rPr>
          <w:rFonts w:hint="eastAsia"/>
        </w:rPr>
        <w:t>工程主要环境问题为施工期疏浚等施工行为造成水环境质量下降和水生生物影响，各类施工机械、船舶噪声影响等；运营期存在港区生活污水、集装箱半挂车、集装箱牵引车等运输车辆产生的扬尘及废气、港区生活垃圾、机械噪声和到港船舶污水等影响；项目为涉及危险化学品的集装箱码头，营运期船舶溢油、化学品泄露等风险事故可能对环境造成不利影响。报告针对项目特点，提出相应的施工降尘、降噪和水污染防治措施及风险防范措施。</w:t>
      </w:r>
    </w:p>
    <w:p w14:paraId="76819ED0">
      <w:pPr>
        <w:numPr>
          <w:ilvl w:val="0"/>
          <w:numId w:val="41"/>
        </w:numPr>
        <w:ind w:firstLine="464"/>
        <w:jc w:val="left"/>
        <w:rPr>
          <w:b/>
        </w:rPr>
      </w:pPr>
      <w:r>
        <w:rPr>
          <w:rFonts w:hint="eastAsia"/>
          <w:b/>
        </w:rPr>
        <w:t>主要结论</w:t>
      </w:r>
    </w:p>
    <w:p w14:paraId="65B67B36">
      <w:pPr>
        <w:ind w:firstLine="462"/>
      </w:pPr>
      <w:r>
        <w:rPr>
          <w:rFonts w:hint="eastAsia"/>
        </w:rPr>
        <w:t>项目的建设未涉及无法避让的重大环境问题，在落实本环评提出的施工期和运营期污染控制措施，落实项目各项风险防范措施并制定完善的应急预案后，项目建设对环境的不利影响可得到有效控制或缓解。在本评价提出的环保措施、环保投资有效落实的情况下，项目的建设和营运造成的环境影响在可接受范围内，项目从环境保护角度是可行的。</w:t>
      </w:r>
    </w:p>
    <w:p w14:paraId="1CB6C7BC">
      <w:pPr>
        <w:ind w:firstLine="624"/>
        <w:jc w:val="center"/>
        <w:rPr>
          <w:rFonts w:eastAsia="黑体"/>
          <w:b/>
          <w:sz w:val="32"/>
          <w:szCs w:val="30"/>
        </w:rPr>
        <w:sectPr>
          <w:headerReference r:id="rId14" w:type="first"/>
          <w:footerReference r:id="rId17" w:type="first"/>
          <w:headerReference r:id="rId12" w:type="default"/>
          <w:footerReference r:id="rId15" w:type="default"/>
          <w:headerReference r:id="rId13" w:type="even"/>
          <w:footerReference r:id="rId16" w:type="even"/>
          <w:pgSz w:w="11907" w:h="16840"/>
          <w:pgMar w:top="1440" w:right="1800" w:bottom="1440" w:left="1800" w:header="992" w:footer="851" w:gutter="284"/>
          <w:pgNumType w:fmt="numberInDash" w:start="1"/>
          <w:cols w:space="425" w:num="1"/>
          <w:titlePg/>
          <w:docGrid w:type="linesAndChars" w:linePitch="465" w:charSpace="-1866"/>
        </w:sectPr>
      </w:pPr>
    </w:p>
    <w:p w14:paraId="7AAC5CF4">
      <w:pPr>
        <w:pStyle w:val="3"/>
        <w:numPr>
          <w:ilvl w:val="0"/>
          <w:numId w:val="0"/>
        </w:numPr>
      </w:pPr>
      <w:bookmarkStart w:id="44" w:name="_Toc202297959"/>
      <w:bookmarkStart w:id="45" w:name="_Toc217977901"/>
      <w:r>
        <w:t>目    录</w:t>
      </w:r>
      <w:bookmarkEnd w:id="44"/>
      <w:bookmarkEnd w:id="45"/>
    </w:p>
    <w:p w14:paraId="3689B2D8">
      <w:pPr>
        <w:pStyle w:val="59"/>
        <w:tabs>
          <w:tab w:val="right" w:leader="dot" w:pos="8302"/>
        </w:tabs>
        <w:ind w:firstLine="542"/>
        <w:rPr>
          <w:rFonts w:hint="eastAsia" w:asciiTheme="minorHAnsi" w:hAnsiTheme="minorHAnsi" w:eastAsiaTheme="minorEastAsia" w:cstheme="minorBidi"/>
          <w:sz w:val="22"/>
          <w14:ligatures w14:val="standardContextual"/>
        </w:rPr>
      </w:pPr>
      <w:r>
        <w:rPr>
          <w:bCs/>
          <w:sz w:val="28"/>
          <w:szCs w:val="28"/>
        </w:rPr>
        <w:fldChar w:fldCharType="begin"/>
      </w:r>
      <w:r>
        <w:rPr>
          <w:bCs/>
          <w:sz w:val="28"/>
          <w:szCs w:val="28"/>
        </w:rPr>
        <w:instrText xml:space="preserve"> TOC \o "1-2" \h \z \u </w:instrText>
      </w:r>
      <w:r>
        <w:rPr>
          <w:bCs/>
          <w:sz w:val="28"/>
          <w:szCs w:val="28"/>
        </w:rPr>
        <w:fldChar w:fldCharType="separate"/>
      </w:r>
      <w:r>
        <w:fldChar w:fldCharType="begin"/>
      </w:r>
      <w:r>
        <w:instrText xml:space="preserve"> HYPERLINK \l "_Toc217977902" </w:instrText>
      </w:r>
      <w:r>
        <w:fldChar w:fldCharType="separate"/>
      </w:r>
      <w:r>
        <w:rPr>
          <w:rStyle w:val="144"/>
          <w:rFonts w:hint="eastAsia"/>
        </w:rPr>
        <w:t>1 总 则</w:t>
      </w:r>
      <w:r>
        <w:rPr>
          <w:rFonts w:hint="eastAsia"/>
        </w:rPr>
        <w:tab/>
      </w:r>
      <w:r>
        <w:rPr>
          <w:rFonts w:hint="eastAsia"/>
        </w:rPr>
        <w:fldChar w:fldCharType="begin"/>
      </w:r>
      <w:r>
        <w:rPr>
          <w:rFonts w:hint="eastAsia"/>
        </w:rPr>
        <w:instrText xml:space="preserve"> </w:instrText>
      </w:r>
      <w:r>
        <w:instrText xml:space="preserve">PAGEREF _Toc217977902 \h</w:instrText>
      </w:r>
      <w:r>
        <w:rPr>
          <w:rFonts w:hint="eastAsia"/>
        </w:rPr>
        <w:instrText xml:space="preserve"> </w:instrText>
      </w:r>
      <w:r>
        <w:rPr>
          <w:rFonts w:hint="eastAsia"/>
        </w:rPr>
        <w:fldChar w:fldCharType="separate"/>
      </w:r>
      <w:r>
        <w:t>- 1 -</w:t>
      </w:r>
      <w:r>
        <w:rPr>
          <w:rFonts w:hint="eastAsia"/>
        </w:rPr>
        <w:fldChar w:fldCharType="end"/>
      </w:r>
      <w:r>
        <w:rPr>
          <w:rFonts w:hint="eastAsia"/>
        </w:rPr>
        <w:fldChar w:fldCharType="end"/>
      </w:r>
    </w:p>
    <w:p w14:paraId="5B9EC742">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"_Toc217977903" </w:instrText>
      </w:r>
      <w:r>
        <w:fldChar w:fldCharType="separate"/>
      </w:r>
      <w:r>
        <w:rPr>
          <w:rStyle w:val="144"/>
          <w:rFonts w:hint="eastAsia"/>
        </w:rPr>
        <w:t>1.1 编制依据</w:t>
      </w:r>
      <w:r>
        <w:rPr>
          <w:rFonts w:hint="eastAsia"/>
        </w:rPr>
        <w:tab/>
      </w:r>
      <w:r>
        <w:rPr>
          <w:rFonts w:hint="eastAsia"/>
        </w:rPr>
        <w:fldChar w:fldCharType="begin"/>
      </w:r>
      <w:r>
        <w:rPr>
          <w:rFonts w:hint="eastAsia"/>
        </w:rPr>
        <w:instrText xml:space="preserve"> </w:instrText>
      </w:r>
      <w:r>
        <w:instrText xml:space="preserve">PAGEREF _Toc217977903 \h</w:instrText>
      </w:r>
      <w:r>
        <w:rPr>
          <w:rFonts w:hint="eastAsia"/>
        </w:rPr>
        <w:instrText xml:space="preserve"> </w:instrText>
      </w:r>
      <w:r>
        <w:rPr>
          <w:rFonts w:hint="eastAsia"/>
        </w:rPr>
        <w:fldChar w:fldCharType="separate"/>
      </w:r>
      <w:r>
        <w:t>- 1 -</w:t>
      </w:r>
      <w:r>
        <w:rPr>
          <w:rFonts w:hint="eastAsia"/>
        </w:rPr>
        <w:fldChar w:fldCharType="end"/>
      </w:r>
      <w:r>
        <w:rPr>
          <w:rFonts w:hint="eastAsia"/>
        </w:rPr>
        <w:fldChar w:fldCharType="end"/>
      </w:r>
    </w:p>
    <w:p w14:paraId="754F110E">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"_Toc217977904" </w:instrText>
      </w:r>
      <w:r>
        <w:fldChar w:fldCharType="separate"/>
      </w:r>
      <w:r>
        <w:rPr>
          <w:rStyle w:val="144"/>
          <w:rFonts w:hint="eastAsia"/>
        </w:rPr>
        <w:t>1.2 评价工作等级和评价范围</w:t>
      </w:r>
      <w:r>
        <w:rPr>
          <w:rFonts w:hint="eastAsia"/>
        </w:rPr>
        <w:tab/>
      </w:r>
      <w:r>
        <w:rPr>
          <w:rFonts w:hint="eastAsia"/>
        </w:rPr>
        <w:fldChar w:fldCharType="begin"/>
      </w:r>
      <w:r>
        <w:rPr>
          <w:rFonts w:hint="eastAsia"/>
        </w:rPr>
        <w:instrText xml:space="preserve"> </w:instrText>
      </w:r>
      <w:r>
        <w:instrText xml:space="preserve">PAGEREF _Toc217977904 \h</w:instrText>
      </w:r>
      <w:r>
        <w:rPr>
          <w:rFonts w:hint="eastAsia"/>
        </w:rPr>
        <w:instrText xml:space="preserve"> </w:instrText>
      </w:r>
      <w:r>
        <w:rPr>
          <w:rFonts w:hint="eastAsia"/>
        </w:rPr>
        <w:fldChar w:fldCharType="separate"/>
      </w:r>
      <w:r>
        <w:t>- 6 -</w:t>
      </w:r>
      <w:r>
        <w:rPr>
          <w:rFonts w:hint="eastAsia"/>
        </w:rPr>
        <w:fldChar w:fldCharType="end"/>
      </w:r>
      <w:r>
        <w:rPr>
          <w:rFonts w:hint="eastAsia"/>
        </w:rPr>
        <w:fldChar w:fldCharType="end"/>
      </w:r>
    </w:p>
    <w:p w14:paraId="754E3D5E">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"_Toc217977905" </w:instrText>
      </w:r>
      <w:r>
        <w:fldChar w:fldCharType="separate"/>
      </w:r>
      <w:r>
        <w:rPr>
          <w:rStyle w:val="144"/>
          <w:rFonts w:hint="eastAsia"/>
        </w:rPr>
        <w:t>1.3 环境功能区划和评价标准</w:t>
      </w:r>
      <w:r>
        <w:rPr>
          <w:rFonts w:hint="eastAsia"/>
        </w:rPr>
        <w:tab/>
      </w:r>
      <w:r>
        <w:rPr>
          <w:rFonts w:hint="eastAsia"/>
        </w:rPr>
        <w:fldChar w:fldCharType="begin"/>
      </w:r>
      <w:r>
        <w:rPr>
          <w:rFonts w:hint="eastAsia"/>
        </w:rPr>
        <w:instrText xml:space="preserve"> </w:instrText>
      </w:r>
      <w:r>
        <w:instrText xml:space="preserve">PAGEREF _Toc217977905 \h</w:instrText>
      </w:r>
      <w:r>
        <w:rPr>
          <w:rFonts w:hint="eastAsia"/>
        </w:rPr>
        <w:instrText xml:space="preserve"> </w:instrText>
      </w:r>
      <w:r>
        <w:rPr>
          <w:rFonts w:hint="eastAsia"/>
        </w:rPr>
        <w:fldChar w:fldCharType="separate"/>
      </w:r>
      <w:r>
        <w:t>- 18 -</w:t>
      </w:r>
      <w:r>
        <w:rPr>
          <w:rFonts w:hint="eastAsia"/>
        </w:rPr>
        <w:fldChar w:fldCharType="end"/>
      </w:r>
      <w:r>
        <w:rPr>
          <w:rFonts w:hint="eastAsia"/>
        </w:rPr>
        <w:fldChar w:fldCharType="end"/>
      </w:r>
    </w:p>
    <w:p w14:paraId="559545F2">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"_Toc217977906" </w:instrText>
      </w:r>
      <w:r>
        <w:fldChar w:fldCharType="separate"/>
      </w:r>
      <w:r>
        <w:rPr>
          <w:rStyle w:val="144"/>
          <w:rFonts w:hint="eastAsia"/>
        </w:rPr>
        <w:t>1.4 环境影响因素识别和评价因子筛选</w:t>
      </w:r>
      <w:r>
        <w:rPr>
          <w:rFonts w:hint="eastAsia"/>
        </w:rPr>
        <w:tab/>
      </w:r>
      <w:r>
        <w:rPr>
          <w:rFonts w:hint="eastAsia"/>
        </w:rPr>
        <w:fldChar w:fldCharType="begin"/>
      </w:r>
      <w:r>
        <w:rPr>
          <w:rFonts w:hint="eastAsia"/>
        </w:rPr>
        <w:instrText xml:space="preserve"> </w:instrText>
      </w:r>
      <w:r>
        <w:instrText xml:space="preserve">PAGEREF _Toc217977906 \h</w:instrText>
      </w:r>
      <w:r>
        <w:rPr>
          <w:rFonts w:hint="eastAsia"/>
        </w:rPr>
        <w:instrText xml:space="preserve"> </w:instrText>
      </w:r>
      <w:r>
        <w:rPr>
          <w:rFonts w:hint="eastAsia"/>
        </w:rPr>
        <w:fldChar w:fldCharType="separate"/>
      </w:r>
      <w:r>
        <w:t>- 25 -</w:t>
      </w:r>
      <w:r>
        <w:rPr>
          <w:rFonts w:hint="eastAsia"/>
        </w:rPr>
        <w:fldChar w:fldCharType="end"/>
      </w:r>
      <w:r>
        <w:rPr>
          <w:rFonts w:hint="eastAsia"/>
        </w:rPr>
        <w:fldChar w:fldCharType="end"/>
      </w:r>
    </w:p>
    <w:p w14:paraId="5AA9260F">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"_Toc217977907" </w:instrText>
      </w:r>
      <w:r>
        <w:fldChar w:fldCharType="separate"/>
      </w:r>
      <w:r>
        <w:rPr>
          <w:rStyle w:val="144"/>
          <w:rFonts w:hint="eastAsia"/>
        </w:rPr>
        <w:t>1.5 环境保护目标</w:t>
      </w:r>
      <w:r>
        <w:rPr>
          <w:rFonts w:hint="eastAsia"/>
        </w:rPr>
        <w:tab/>
      </w:r>
      <w:r>
        <w:rPr>
          <w:rFonts w:hint="eastAsia"/>
        </w:rPr>
        <w:fldChar w:fldCharType="begin"/>
      </w:r>
      <w:r>
        <w:rPr>
          <w:rFonts w:hint="eastAsia"/>
        </w:rPr>
        <w:instrText xml:space="preserve"> </w:instrText>
      </w:r>
      <w:r>
        <w:instrText xml:space="preserve">PAGEREF _Toc217977907 \h</w:instrText>
      </w:r>
      <w:r>
        <w:rPr>
          <w:rFonts w:hint="eastAsia"/>
        </w:rPr>
        <w:instrText xml:space="preserve"> </w:instrText>
      </w:r>
      <w:r>
        <w:rPr>
          <w:rFonts w:hint="eastAsia"/>
        </w:rPr>
        <w:fldChar w:fldCharType="separate"/>
      </w:r>
      <w:r>
        <w:t>- 26 -</w:t>
      </w:r>
      <w:r>
        <w:rPr>
          <w:rFonts w:hint="eastAsia"/>
        </w:rPr>
        <w:fldChar w:fldCharType="end"/>
      </w:r>
      <w:r>
        <w:rPr>
          <w:rFonts w:hint="eastAsia"/>
        </w:rPr>
        <w:fldChar w:fldCharType="end"/>
      </w:r>
    </w:p>
    <w:p w14:paraId="262602CA">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"_Toc217977908" </w:instrText>
      </w:r>
      <w:r>
        <w:fldChar w:fldCharType="separate"/>
      </w:r>
      <w:r>
        <w:rPr>
          <w:rStyle w:val="144"/>
          <w:rFonts w:hint="eastAsia"/>
        </w:rPr>
        <w:t>1.6 评价工作程序</w:t>
      </w:r>
      <w:r>
        <w:rPr>
          <w:rFonts w:hint="eastAsia"/>
        </w:rPr>
        <w:tab/>
      </w:r>
      <w:r>
        <w:rPr>
          <w:rFonts w:hint="eastAsia"/>
        </w:rPr>
        <w:fldChar w:fldCharType="begin"/>
      </w:r>
      <w:r>
        <w:rPr>
          <w:rFonts w:hint="eastAsia"/>
        </w:rPr>
        <w:instrText xml:space="preserve"> </w:instrText>
      </w:r>
      <w:r>
        <w:instrText xml:space="preserve">PAGEREF _Toc217977908 \h</w:instrText>
      </w:r>
      <w:r>
        <w:rPr>
          <w:rFonts w:hint="eastAsia"/>
        </w:rPr>
        <w:instrText xml:space="preserve"> </w:instrText>
      </w:r>
      <w:r>
        <w:rPr>
          <w:rFonts w:hint="eastAsia"/>
        </w:rPr>
        <w:fldChar w:fldCharType="separate"/>
      </w:r>
      <w:r>
        <w:t>- 29 -</w:t>
      </w:r>
      <w:r>
        <w:rPr>
          <w:rFonts w:hint="eastAsia"/>
        </w:rPr>
        <w:fldChar w:fldCharType="end"/>
      </w:r>
      <w:r>
        <w:rPr>
          <w:rFonts w:hint="eastAsia"/>
        </w:rPr>
        <w:fldChar w:fldCharType="end"/>
      </w:r>
    </w:p>
    <w:p w14:paraId="1B45C418">
      <w:pPr>
        <w:pStyle w:val="59"/>
        <w:tabs>
          <w:tab w:val="right" w:leader="dot" w:pos="8302"/>
        </w:tabs>
        <w:ind w:firstLine="462"/>
        <w:rPr>
          <w:rFonts w:hint="eastAsia" w:asciiTheme="minorHAnsi" w:hAnsiTheme="minorHAnsi" w:eastAsiaTheme="minorEastAsia" w:cstheme="minorBidi"/>
          <w:sz w:val="22"/>
          <w14:ligatures w14:val="standardContextual"/>
        </w:rPr>
      </w:pPr>
      <w:r>
        <w:fldChar w:fldCharType="begin"/>
      </w:r>
      <w:r>
        <w:instrText xml:space="preserve"> HYPERLINK \l "_Toc217977909" </w:instrText>
      </w:r>
      <w:r>
        <w:fldChar w:fldCharType="separate"/>
      </w:r>
      <w:r>
        <w:rPr>
          <w:rStyle w:val="144"/>
          <w:rFonts w:hint="eastAsia"/>
        </w:rPr>
        <w:t>2 工程概况</w:t>
      </w:r>
      <w:r>
        <w:rPr>
          <w:rFonts w:hint="eastAsia"/>
        </w:rPr>
        <w:tab/>
      </w:r>
      <w:r>
        <w:rPr>
          <w:rFonts w:hint="eastAsia"/>
        </w:rPr>
        <w:fldChar w:fldCharType="begin"/>
      </w:r>
      <w:r>
        <w:rPr>
          <w:rFonts w:hint="eastAsia"/>
        </w:rPr>
        <w:instrText xml:space="preserve"> </w:instrText>
      </w:r>
      <w:r>
        <w:instrText xml:space="preserve">PAGEREF _Toc217977909 \h</w:instrText>
      </w:r>
      <w:r>
        <w:rPr>
          <w:rFonts w:hint="eastAsia"/>
        </w:rPr>
        <w:instrText xml:space="preserve"> </w:instrText>
      </w:r>
      <w:r>
        <w:rPr>
          <w:rFonts w:hint="eastAsia"/>
        </w:rPr>
        <w:fldChar w:fldCharType="separate"/>
      </w:r>
      <w:r>
        <w:t>- 30 -</w:t>
      </w:r>
      <w:r>
        <w:rPr>
          <w:rFonts w:hint="eastAsia"/>
        </w:rPr>
        <w:fldChar w:fldCharType="end"/>
      </w:r>
      <w:r>
        <w:rPr>
          <w:rFonts w:hint="eastAsia"/>
        </w:rPr>
        <w:fldChar w:fldCharType="end"/>
      </w:r>
    </w:p>
    <w:p w14:paraId="5E8095D9">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"_Toc217977910" </w:instrText>
      </w:r>
      <w:r>
        <w:fldChar w:fldCharType="separate"/>
      </w:r>
      <w:r>
        <w:rPr>
          <w:rStyle w:val="144"/>
          <w:rFonts w:hint="eastAsia"/>
        </w:rPr>
        <w:t>2.1 工程概况</w:t>
      </w:r>
      <w:r>
        <w:rPr>
          <w:rFonts w:hint="eastAsia"/>
        </w:rPr>
        <w:tab/>
      </w:r>
      <w:r>
        <w:rPr>
          <w:rFonts w:hint="eastAsia"/>
        </w:rPr>
        <w:fldChar w:fldCharType="begin"/>
      </w:r>
      <w:r>
        <w:rPr>
          <w:rFonts w:hint="eastAsia"/>
        </w:rPr>
        <w:instrText xml:space="preserve"> </w:instrText>
      </w:r>
      <w:r>
        <w:instrText xml:space="preserve">PAGEREF _Toc217977910 \h</w:instrText>
      </w:r>
      <w:r>
        <w:rPr>
          <w:rFonts w:hint="eastAsia"/>
        </w:rPr>
        <w:instrText xml:space="preserve"> </w:instrText>
      </w:r>
      <w:r>
        <w:rPr>
          <w:rFonts w:hint="eastAsia"/>
        </w:rPr>
        <w:fldChar w:fldCharType="separate"/>
      </w:r>
      <w:r>
        <w:t>- 30 -</w:t>
      </w:r>
      <w:r>
        <w:rPr>
          <w:rFonts w:hint="eastAsia"/>
        </w:rPr>
        <w:fldChar w:fldCharType="end"/>
      </w:r>
      <w:r>
        <w:rPr>
          <w:rFonts w:hint="eastAsia"/>
        </w:rPr>
        <w:fldChar w:fldCharType="end"/>
      </w:r>
    </w:p>
    <w:p w14:paraId="06018A77">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"_Toc217977911" </w:instrText>
      </w:r>
      <w:r>
        <w:fldChar w:fldCharType="separate"/>
      </w:r>
      <w:r>
        <w:rPr>
          <w:rStyle w:val="144"/>
          <w:rFonts w:hint="eastAsia"/>
        </w:rPr>
        <w:t>2.2 施工方案</w:t>
      </w:r>
      <w:r>
        <w:rPr>
          <w:rFonts w:hint="eastAsia"/>
        </w:rPr>
        <w:tab/>
      </w:r>
      <w:r>
        <w:rPr>
          <w:rFonts w:hint="eastAsia"/>
        </w:rPr>
        <w:fldChar w:fldCharType="begin"/>
      </w:r>
      <w:r>
        <w:rPr>
          <w:rFonts w:hint="eastAsia"/>
        </w:rPr>
        <w:instrText xml:space="preserve"> </w:instrText>
      </w:r>
      <w:r>
        <w:instrText xml:space="preserve">PAGEREF _Toc217977911 \h</w:instrText>
      </w:r>
      <w:r>
        <w:rPr>
          <w:rFonts w:hint="eastAsia"/>
        </w:rPr>
        <w:instrText xml:space="preserve"> </w:instrText>
      </w:r>
      <w:r>
        <w:rPr>
          <w:rFonts w:hint="eastAsia"/>
        </w:rPr>
        <w:fldChar w:fldCharType="separate"/>
      </w:r>
      <w:r>
        <w:t>- 60 -</w:t>
      </w:r>
      <w:r>
        <w:rPr>
          <w:rFonts w:hint="eastAsia"/>
        </w:rPr>
        <w:fldChar w:fldCharType="end"/>
      </w:r>
      <w:r>
        <w:rPr>
          <w:rFonts w:hint="eastAsia"/>
        </w:rPr>
        <w:fldChar w:fldCharType="end"/>
      </w:r>
    </w:p>
    <w:p w14:paraId="0429A88A">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"_Toc217977912" </w:instrText>
      </w:r>
      <w:r>
        <w:fldChar w:fldCharType="separate"/>
      </w:r>
      <w:r>
        <w:rPr>
          <w:rStyle w:val="144"/>
          <w:rFonts w:hint="eastAsia"/>
        </w:rPr>
        <w:t>2.3 工程分析</w:t>
      </w:r>
      <w:r>
        <w:rPr>
          <w:rFonts w:hint="eastAsia"/>
        </w:rPr>
        <w:tab/>
      </w:r>
      <w:r>
        <w:rPr>
          <w:rFonts w:hint="eastAsia"/>
        </w:rPr>
        <w:fldChar w:fldCharType="begin"/>
      </w:r>
      <w:r>
        <w:rPr>
          <w:rFonts w:hint="eastAsia"/>
        </w:rPr>
        <w:instrText xml:space="preserve"> </w:instrText>
      </w:r>
      <w:r>
        <w:instrText xml:space="preserve">PAGEREF _Toc217977912 \h</w:instrText>
      </w:r>
      <w:r>
        <w:rPr>
          <w:rFonts w:hint="eastAsia"/>
        </w:rPr>
        <w:instrText xml:space="preserve"> </w:instrText>
      </w:r>
      <w:r>
        <w:rPr>
          <w:rFonts w:hint="eastAsia"/>
        </w:rPr>
        <w:fldChar w:fldCharType="separate"/>
      </w:r>
      <w:r>
        <w:t>- 63 -</w:t>
      </w:r>
      <w:r>
        <w:rPr>
          <w:rFonts w:hint="eastAsia"/>
        </w:rPr>
        <w:fldChar w:fldCharType="end"/>
      </w:r>
      <w:r>
        <w:rPr>
          <w:rFonts w:hint="eastAsia"/>
        </w:rPr>
        <w:fldChar w:fldCharType="end"/>
      </w:r>
    </w:p>
    <w:p w14:paraId="4D33572D">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"_Toc217977913" </w:instrText>
      </w:r>
      <w:r>
        <w:fldChar w:fldCharType="separate"/>
      </w:r>
      <w:r>
        <w:rPr>
          <w:rStyle w:val="144"/>
          <w:rFonts w:hint="eastAsia"/>
        </w:rPr>
        <w:t>2.4 相符性分析</w:t>
      </w:r>
      <w:r>
        <w:rPr>
          <w:rFonts w:hint="eastAsia"/>
        </w:rPr>
        <w:tab/>
      </w:r>
      <w:r>
        <w:rPr>
          <w:rFonts w:hint="eastAsia"/>
        </w:rPr>
        <w:fldChar w:fldCharType="begin"/>
      </w:r>
      <w:r>
        <w:rPr>
          <w:rFonts w:hint="eastAsia"/>
        </w:rPr>
        <w:instrText xml:space="preserve"> </w:instrText>
      </w:r>
      <w:r>
        <w:instrText xml:space="preserve">PAGEREF _Toc217977913 \h</w:instrText>
      </w:r>
      <w:r>
        <w:rPr>
          <w:rFonts w:hint="eastAsia"/>
        </w:rPr>
        <w:instrText xml:space="preserve"> </w:instrText>
      </w:r>
      <w:r>
        <w:rPr>
          <w:rFonts w:hint="eastAsia"/>
        </w:rPr>
        <w:fldChar w:fldCharType="separate"/>
      </w:r>
      <w:r>
        <w:t>- 75 -</w:t>
      </w:r>
      <w:r>
        <w:rPr>
          <w:rFonts w:hint="eastAsia"/>
        </w:rPr>
        <w:fldChar w:fldCharType="end"/>
      </w:r>
      <w:r>
        <w:rPr>
          <w:rFonts w:hint="eastAsia"/>
        </w:rPr>
        <w:fldChar w:fldCharType="end"/>
      </w:r>
    </w:p>
    <w:p w14:paraId="45A43728">
      <w:pPr>
        <w:pStyle w:val="59"/>
        <w:tabs>
          <w:tab w:val="right" w:leader="dot" w:pos="8302"/>
        </w:tabs>
        <w:ind w:firstLine="462"/>
        <w:rPr>
          <w:rFonts w:hint="eastAsia" w:asciiTheme="minorHAnsi" w:hAnsiTheme="minorHAnsi" w:eastAsiaTheme="minorEastAsia" w:cstheme="minorBidi"/>
          <w:sz w:val="22"/>
          <w14:ligatures w14:val="standardContextual"/>
        </w:rPr>
      </w:pPr>
      <w:r>
        <w:fldChar w:fldCharType="begin"/>
      </w:r>
      <w:r>
        <w:instrText xml:space="preserve"> HYPERLINK \l "_Toc217977914" </w:instrText>
      </w:r>
      <w:r>
        <w:fldChar w:fldCharType="separate"/>
      </w:r>
      <w:r>
        <w:rPr>
          <w:rStyle w:val="144"/>
          <w:rFonts w:hint="eastAsia"/>
        </w:rPr>
        <w:t>3 环境现状调查与评价</w:t>
      </w:r>
      <w:r>
        <w:rPr>
          <w:rFonts w:hint="eastAsia"/>
        </w:rPr>
        <w:tab/>
      </w:r>
      <w:r>
        <w:rPr>
          <w:rFonts w:hint="eastAsia"/>
        </w:rPr>
        <w:fldChar w:fldCharType="begin"/>
      </w:r>
      <w:r>
        <w:rPr>
          <w:rFonts w:hint="eastAsia"/>
        </w:rPr>
        <w:instrText xml:space="preserve"> </w:instrText>
      </w:r>
      <w:r>
        <w:instrText xml:space="preserve">PAGEREF _Toc217977914 \h</w:instrText>
      </w:r>
      <w:r>
        <w:rPr>
          <w:rFonts w:hint="eastAsia"/>
        </w:rPr>
        <w:instrText xml:space="preserve"> </w:instrText>
      </w:r>
      <w:r>
        <w:rPr>
          <w:rFonts w:hint="eastAsia"/>
        </w:rPr>
        <w:fldChar w:fldCharType="separate"/>
      </w:r>
      <w:r>
        <w:t>90</w:t>
      </w:r>
      <w:r>
        <w:rPr>
          <w:rFonts w:hint="eastAsia"/>
        </w:rPr>
        <w:fldChar w:fldCharType="end"/>
      </w:r>
      <w:r>
        <w:rPr>
          <w:rFonts w:hint="eastAsia"/>
        </w:rPr>
        <w:fldChar w:fldCharType="end"/>
      </w:r>
    </w:p>
    <w:p w14:paraId="47E4E341">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"_Toc217977915" </w:instrText>
      </w:r>
      <w:r>
        <w:fldChar w:fldCharType="separate"/>
      </w:r>
      <w:r>
        <w:rPr>
          <w:rStyle w:val="144"/>
          <w:rFonts w:hint="eastAsia"/>
        </w:rPr>
        <w:t>3.1 自然环境概况</w:t>
      </w:r>
      <w:r>
        <w:rPr>
          <w:rFonts w:hint="eastAsia"/>
        </w:rPr>
        <w:tab/>
      </w:r>
      <w:r>
        <w:rPr>
          <w:rFonts w:hint="eastAsia"/>
        </w:rPr>
        <w:fldChar w:fldCharType="begin"/>
      </w:r>
      <w:r>
        <w:rPr>
          <w:rFonts w:hint="eastAsia"/>
        </w:rPr>
        <w:instrText xml:space="preserve"> </w:instrText>
      </w:r>
      <w:r>
        <w:instrText xml:space="preserve">PAGEREF _Toc217977915 \h</w:instrText>
      </w:r>
      <w:r>
        <w:rPr>
          <w:rFonts w:hint="eastAsia"/>
        </w:rPr>
        <w:instrText xml:space="preserve"> </w:instrText>
      </w:r>
      <w:r>
        <w:rPr>
          <w:rFonts w:hint="eastAsia"/>
        </w:rPr>
        <w:fldChar w:fldCharType="separate"/>
      </w:r>
      <w:r>
        <w:t>90</w:t>
      </w:r>
      <w:r>
        <w:rPr>
          <w:rFonts w:hint="eastAsia"/>
        </w:rPr>
        <w:fldChar w:fldCharType="end"/>
      </w:r>
      <w:r>
        <w:rPr>
          <w:rFonts w:hint="eastAsia"/>
        </w:rPr>
        <w:fldChar w:fldCharType="end"/>
      </w:r>
    </w:p>
    <w:p w14:paraId="32EF19C5">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"_Toc217977916" </w:instrText>
      </w:r>
      <w:r>
        <w:fldChar w:fldCharType="separate"/>
      </w:r>
      <w:r>
        <w:rPr>
          <w:rStyle w:val="144"/>
          <w:rFonts w:hint="eastAsia"/>
        </w:rPr>
        <w:t>3.2 生态敏感区及珍稀濒危物种调查</w:t>
      </w:r>
      <w:r>
        <w:rPr>
          <w:rFonts w:hint="eastAsia"/>
        </w:rPr>
        <w:tab/>
      </w:r>
      <w:r>
        <w:rPr>
          <w:rFonts w:hint="eastAsia"/>
        </w:rPr>
        <w:fldChar w:fldCharType="begin"/>
      </w:r>
      <w:r>
        <w:rPr>
          <w:rFonts w:hint="eastAsia"/>
        </w:rPr>
        <w:instrText xml:space="preserve"> </w:instrText>
      </w:r>
      <w:r>
        <w:instrText xml:space="preserve">PAGEREF _Toc217977916 \h</w:instrText>
      </w:r>
      <w:r>
        <w:rPr>
          <w:rFonts w:hint="eastAsia"/>
        </w:rPr>
        <w:instrText xml:space="preserve"> </w:instrText>
      </w:r>
      <w:r>
        <w:rPr>
          <w:rFonts w:hint="eastAsia"/>
        </w:rPr>
        <w:fldChar w:fldCharType="separate"/>
      </w:r>
      <w:r>
        <w:t>108</w:t>
      </w:r>
      <w:r>
        <w:rPr>
          <w:rFonts w:hint="eastAsia"/>
        </w:rPr>
        <w:fldChar w:fldCharType="end"/>
      </w:r>
      <w:r>
        <w:rPr>
          <w:rFonts w:hint="eastAsia"/>
        </w:rPr>
        <w:fldChar w:fldCharType="end"/>
      </w:r>
    </w:p>
    <w:p w14:paraId="19BC5649">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"_Toc217977917" </w:instrText>
      </w:r>
      <w:r>
        <w:fldChar w:fldCharType="separate"/>
      </w:r>
      <w:r>
        <w:rPr>
          <w:rStyle w:val="144"/>
          <w:rFonts w:hint="eastAsia"/>
        </w:rPr>
        <w:t>3.3 海洋环境现状调查</w:t>
      </w:r>
      <w:r>
        <w:rPr>
          <w:rFonts w:hint="eastAsia"/>
        </w:rPr>
        <w:tab/>
      </w:r>
      <w:r>
        <w:rPr>
          <w:rFonts w:hint="eastAsia"/>
        </w:rPr>
        <w:fldChar w:fldCharType="begin"/>
      </w:r>
      <w:r>
        <w:rPr>
          <w:rFonts w:hint="eastAsia"/>
        </w:rPr>
        <w:instrText xml:space="preserve"> </w:instrText>
      </w:r>
      <w:r>
        <w:instrText xml:space="preserve">PAGEREF _Toc217977917 \h</w:instrText>
      </w:r>
      <w:r>
        <w:rPr>
          <w:rFonts w:hint="eastAsia"/>
        </w:rPr>
        <w:instrText xml:space="preserve"> </w:instrText>
      </w:r>
      <w:r>
        <w:rPr>
          <w:rFonts w:hint="eastAsia"/>
        </w:rPr>
        <w:fldChar w:fldCharType="separate"/>
      </w:r>
      <w:r>
        <w:t>114</w:t>
      </w:r>
      <w:r>
        <w:rPr>
          <w:rFonts w:hint="eastAsia"/>
        </w:rPr>
        <w:fldChar w:fldCharType="end"/>
      </w:r>
      <w:r>
        <w:rPr>
          <w:rFonts w:hint="eastAsia"/>
        </w:rPr>
        <w:fldChar w:fldCharType="end"/>
      </w:r>
    </w:p>
    <w:p w14:paraId="6946FF71">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"_Toc217977918" </w:instrText>
      </w:r>
      <w:r>
        <w:fldChar w:fldCharType="separate"/>
      </w:r>
      <w:r>
        <w:rPr>
          <w:rStyle w:val="144"/>
          <w:rFonts w:hint="eastAsia"/>
        </w:rPr>
        <w:t>3.4 环境空气质量现状调查与评价</w:t>
      </w:r>
      <w:r>
        <w:rPr>
          <w:rFonts w:hint="eastAsia"/>
        </w:rPr>
        <w:tab/>
      </w:r>
      <w:r>
        <w:rPr>
          <w:rFonts w:hint="eastAsia"/>
        </w:rPr>
        <w:fldChar w:fldCharType="begin"/>
      </w:r>
      <w:r>
        <w:rPr>
          <w:rFonts w:hint="eastAsia"/>
        </w:rPr>
        <w:instrText xml:space="preserve"> </w:instrText>
      </w:r>
      <w:r>
        <w:instrText xml:space="preserve">PAGEREF _Toc217977918 \h</w:instrText>
      </w:r>
      <w:r>
        <w:rPr>
          <w:rFonts w:hint="eastAsia"/>
        </w:rPr>
        <w:instrText xml:space="preserve"> </w:instrText>
      </w:r>
      <w:r>
        <w:rPr>
          <w:rFonts w:hint="eastAsia"/>
        </w:rPr>
        <w:fldChar w:fldCharType="separate"/>
      </w:r>
      <w:r>
        <w:t>- 119 -</w:t>
      </w:r>
      <w:r>
        <w:rPr>
          <w:rFonts w:hint="eastAsia"/>
        </w:rPr>
        <w:fldChar w:fldCharType="end"/>
      </w:r>
      <w:r>
        <w:rPr>
          <w:rFonts w:hint="eastAsia"/>
        </w:rPr>
        <w:fldChar w:fldCharType="end"/>
      </w:r>
    </w:p>
    <w:p w14:paraId="63C2727B">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"_Toc217977919" </w:instrText>
      </w:r>
      <w:r>
        <w:fldChar w:fldCharType="separate"/>
      </w:r>
      <w:r>
        <w:rPr>
          <w:rStyle w:val="144"/>
          <w:rFonts w:hint="eastAsia"/>
        </w:rPr>
        <w:t>3.5 声环境质量现状调查与评价</w:t>
      </w:r>
      <w:r>
        <w:rPr>
          <w:rFonts w:hint="eastAsia"/>
        </w:rPr>
        <w:tab/>
      </w:r>
      <w:r>
        <w:rPr>
          <w:rFonts w:hint="eastAsia"/>
        </w:rPr>
        <w:fldChar w:fldCharType="begin"/>
      </w:r>
      <w:r>
        <w:rPr>
          <w:rFonts w:hint="eastAsia"/>
        </w:rPr>
        <w:instrText xml:space="preserve"> </w:instrText>
      </w:r>
      <w:r>
        <w:instrText xml:space="preserve">PAGEREF _Toc217977919 \h</w:instrText>
      </w:r>
      <w:r>
        <w:rPr>
          <w:rFonts w:hint="eastAsia"/>
        </w:rPr>
        <w:instrText xml:space="preserve"> </w:instrText>
      </w:r>
      <w:r>
        <w:rPr>
          <w:rFonts w:hint="eastAsia"/>
        </w:rPr>
        <w:fldChar w:fldCharType="separate"/>
      </w:r>
      <w:r>
        <w:t>- 121 -</w:t>
      </w:r>
      <w:r>
        <w:rPr>
          <w:rFonts w:hint="eastAsia"/>
        </w:rPr>
        <w:fldChar w:fldCharType="end"/>
      </w:r>
      <w:r>
        <w:rPr>
          <w:rFonts w:hint="eastAsia"/>
        </w:rPr>
        <w:fldChar w:fldCharType="end"/>
      </w:r>
    </w:p>
    <w:p w14:paraId="35AED01F">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"_Toc217977920" </w:instrText>
      </w:r>
      <w:r>
        <w:fldChar w:fldCharType="separate"/>
      </w:r>
      <w:r>
        <w:rPr>
          <w:rStyle w:val="144"/>
          <w:rFonts w:hint="eastAsia"/>
        </w:rPr>
        <w:t>3.6 地下水环境现状调查</w:t>
      </w:r>
      <w:r>
        <w:rPr>
          <w:rFonts w:hint="eastAsia"/>
        </w:rPr>
        <w:tab/>
      </w:r>
      <w:r>
        <w:rPr>
          <w:rFonts w:hint="eastAsia"/>
        </w:rPr>
        <w:fldChar w:fldCharType="begin"/>
      </w:r>
      <w:r>
        <w:rPr>
          <w:rFonts w:hint="eastAsia"/>
        </w:rPr>
        <w:instrText xml:space="preserve"> </w:instrText>
      </w:r>
      <w:r>
        <w:instrText xml:space="preserve">PAGEREF _Toc217977920 \h</w:instrText>
      </w:r>
      <w:r>
        <w:rPr>
          <w:rFonts w:hint="eastAsia"/>
        </w:rPr>
        <w:instrText xml:space="preserve"> </w:instrText>
      </w:r>
      <w:r>
        <w:rPr>
          <w:rFonts w:hint="eastAsia"/>
        </w:rPr>
        <w:fldChar w:fldCharType="separate"/>
      </w:r>
      <w:r>
        <w:t>- 122 -</w:t>
      </w:r>
      <w:r>
        <w:rPr>
          <w:rFonts w:hint="eastAsia"/>
        </w:rPr>
        <w:fldChar w:fldCharType="end"/>
      </w:r>
      <w:r>
        <w:rPr>
          <w:rFonts w:hint="eastAsia"/>
        </w:rPr>
        <w:fldChar w:fldCharType="end"/>
      </w:r>
    </w:p>
    <w:p w14:paraId="6C6B08E5">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"_Toc217977922" </w:instrText>
      </w:r>
      <w:r>
        <w:fldChar w:fldCharType="separate"/>
      </w:r>
      <w:r>
        <w:rPr>
          <w:rStyle w:val="144"/>
          <w:rFonts w:hint="eastAsia"/>
        </w:rPr>
        <w:t>3.7 陆域生态环境现状调查</w:t>
      </w:r>
      <w:r>
        <w:rPr>
          <w:rFonts w:hint="eastAsia"/>
        </w:rPr>
        <w:tab/>
      </w:r>
      <w:r>
        <w:rPr>
          <w:rFonts w:hint="eastAsia"/>
        </w:rPr>
        <w:fldChar w:fldCharType="begin"/>
      </w:r>
      <w:r>
        <w:rPr>
          <w:rFonts w:hint="eastAsia"/>
        </w:rPr>
        <w:instrText xml:space="preserve"> </w:instrText>
      </w:r>
      <w:r>
        <w:instrText xml:space="preserve">PAGEREF _Toc217977922 \h</w:instrText>
      </w:r>
      <w:r>
        <w:rPr>
          <w:rFonts w:hint="eastAsia"/>
        </w:rPr>
        <w:instrText xml:space="preserve"> </w:instrText>
      </w:r>
      <w:r>
        <w:rPr>
          <w:rFonts w:hint="eastAsia"/>
        </w:rPr>
        <w:fldChar w:fldCharType="separate"/>
      </w:r>
      <w:r>
        <w:t>- 123 -</w:t>
      </w:r>
      <w:r>
        <w:rPr>
          <w:rFonts w:hint="eastAsia"/>
        </w:rPr>
        <w:fldChar w:fldCharType="end"/>
      </w:r>
      <w:r>
        <w:rPr>
          <w:rFonts w:hint="eastAsia"/>
        </w:rPr>
        <w:fldChar w:fldCharType="end"/>
      </w:r>
    </w:p>
    <w:p w14:paraId="6141284F">
      <w:pPr>
        <w:pStyle w:val="59"/>
        <w:tabs>
          <w:tab w:val="right" w:leader="dot" w:pos="8302"/>
        </w:tabs>
        <w:ind w:firstLine="462"/>
        <w:rPr>
          <w:rFonts w:hint="eastAsia" w:asciiTheme="minorHAnsi" w:hAnsiTheme="minorHAnsi" w:eastAsiaTheme="minorEastAsia" w:cstheme="minorBidi"/>
          <w:sz w:val="22"/>
          <w14:ligatures w14:val="standardContextual"/>
        </w:rPr>
      </w:pPr>
      <w:r>
        <w:fldChar w:fldCharType="begin"/>
      </w:r>
      <w:r>
        <w:instrText xml:space="preserve"> HYPERLINK \l "_Toc217977923" </w:instrText>
      </w:r>
      <w:r>
        <w:fldChar w:fldCharType="separate"/>
      </w:r>
      <w:r>
        <w:rPr>
          <w:rStyle w:val="144"/>
          <w:rFonts w:hint="eastAsia"/>
        </w:rPr>
        <w:t>4 环境影响预测与评价</w:t>
      </w:r>
      <w:r>
        <w:rPr>
          <w:rFonts w:hint="eastAsia"/>
        </w:rPr>
        <w:tab/>
      </w:r>
      <w:r>
        <w:rPr>
          <w:rFonts w:hint="eastAsia"/>
        </w:rPr>
        <w:fldChar w:fldCharType="begin"/>
      </w:r>
      <w:r>
        <w:rPr>
          <w:rFonts w:hint="eastAsia"/>
        </w:rPr>
        <w:instrText xml:space="preserve"> </w:instrText>
      </w:r>
      <w:r>
        <w:instrText xml:space="preserve">PAGEREF _Toc217977923 \h</w:instrText>
      </w:r>
      <w:r>
        <w:rPr>
          <w:rFonts w:hint="eastAsia"/>
        </w:rPr>
        <w:instrText xml:space="preserve"> </w:instrText>
      </w:r>
      <w:r>
        <w:rPr>
          <w:rFonts w:hint="eastAsia"/>
        </w:rPr>
        <w:fldChar w:fldCharType="separate"/>
      </w:r>
      <w:r>
        <w:t>- 125 -</w:t>
      </w:r>
      <w:r>
        <w:rPr>
          <w:rFonts w:hint="eastAsia"/>
        </w:rPr>
        <w:fldChar w:fldCharType="end"/>
      </w:r>
      <w:r>
        <w:rPr>
          <w:rFonts w:hint="eastAsia"/>
        </w:rPr>
        <w:fldChar w:fldCharType="end"/>
      </w:r>
    </w:p>
    <w:p w14:paraId="1BB446ED">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"_Toc217977924" </w:instrText>
      </w:r>
      <w:r>
        <w:fldChar w:fldCharType="separate"/>
      </w:r>
      <w:r>
        <w:rPr>
          <w:rStyle w:val="144"/>
          <w:rFonts w:hint="eastAsia"/>
        </w:rPr>
        <w:t>4.1 水环境影响分析</w:t>
      </w:r>
      <w:r>
        <w:rPr>
          <w:rFonts w:hint="eastAsia"/>
        </w:rPr>
        <w:tab/>
      </w:r>
      <w:r>
        <w:rPr>
          <w:rFonts w:hint="eastAsia"/>
        </w:rPr>
        <w:fldChar w:fldCharType="begin"/>
      </w:r>
      <w:r>
        <w:rPr>
          <w:rFonts w:hint="eastAsia"/>
        </w:rPr>
        <w:instrText xml:space="preserve"> </w:instrText>
      </w:r>
      <w:r>
        <w:instrText xml:space="preserve">PAGEREF _Toc217977924 \h</w:instrText>
      </w:r>
      <w:r>
        <w:rPr>
          <w:rFonts w:hint="eastAsia"/>
        </w:rPr>
        <w:instrText xml:space="preserve"> </w:instrText>
      </w:r>
      <w:r>
        <w:rPr>
          <w:rFonts w:hint="eastAsia"/>
        </w:rPr>
        <w:fldChar w:fldCharType="separate"/>
      </w:r>
      <w:r>
        <w:t>- 125 -</w:t>
      </w:r>
      <w:r>
        <w:rPr>
          <w:rFonts w:hint="eastAsia"/>
        </w:rPr>
        <w:fldChar w:fldCharType="end"/>
      </w:r>
      <w:r>
        <w:rPr>
          <w:rFonts w:hint="eastAsia"/>
        </w:rPr>
        <w:fldChar w:fldCharType="end"/>
      </w:r>
    </w:p>
    <w:p w14:paraId="6E11BEF9">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"_Toc217977925" </w:instrText>
      </w:r>
      <w:r>
        <w:fldChar w:fldCharType="separate"/>
      </w:r>
      <w:r>
        <w:rPr>
          <w:rStyle w:val="144"/>
          <w:rFonts w:hint="eastAsia"/>
        </w:rPr>
        <w:t>4.2 对生态系统影响与评价</w:t>
      </w:r>
      <w:r>
        <w:rPr>
          <w:rFonts w:hint="eastAsia"/>
        </w:rPr>
        <w:tab/>
      </w:r>
      <w:r>
        <w:rPr>
          <w:rFonts w:hint="eastAsia"/>
        </w:rPr>
        <w:fldChar w:fldCharType="begin"/>
      </w:r>
      <w:r>
        <w:rPr>
          <w:rFonts w:hint="eastAsia"/>
        </w:rPr>
        <w:instrText xml:space="preserve"> </w:instrText>
      </w:r>
      <w:r>
        <w:instrText xml:space="preserve">PAGEREF _Toc217977925 \h</w:instrText>
      </w:r>
      <w:r>
        <w:rPr>
          <w:rFonts w:hint="eastAsia"/>
        </w:rPr>
        <w:instrText xml:space="preserve"> </w:instrText>
      </w:r>
      <w:r>
        <w:rPr>
          <w:rFonts w:hint="eastAsia"/>
        </w:rPr>
        <w:fldChar w:fldCharType="separate"/>
      </w:r>
      <w:r>
        <w:t>- 146 -</w:t>
      </w:r>
      <w:r>
        <w:rPr>
          <w:rFonts w:hint="eastAsia"/>
        </w:rPr>
        <w:fldChar w:fldCharType="end"/>
      </w:r>
      <w:r>
        <w:rPr>
          <w:rFonts w:hint="eastAsia"/>
        </w:rPr>
        <w:fldChar w:fldCharType="end"/>
      </w:r>
    </w:p>
    <w:p w14:paraId="39D83E3C">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"_Toc217977926" </w:instrText>
      </w:r>
      <w:r>
        <w:fldChar w:fldCharType="separate"/>
      </w:r>
      <w:r>
        <w:rPr>
          <w:rStyle w:val="144"/>
          <w:rFonts w:hint="eastAsia"/>
        </w:rPr>
        <w:t>4.3 大气环境影响分析</w:t>
      </w:r>
      <w:r>
        <w:rPr>
          <w:rFonts w:hint="eastAsia"/>
        </w:rPr>
        <w:tab/>
      </w:r>
      <w:r>
        <w:rPr>
          <w:rFonts w:hint="eastAsia"/>
        </w:rPr>
        <w:fldChar w:fldCharType="begin"/>
      </w:r>
      <w:r>
        <w:rPr>
          <w:rFonts w:hint="eastAsia"/>
        </w:rPr>
        <w:instrText xml:space="preserve"> </w:instrText>
      </w:r>
      <w:r>
        <w:instrText xml:space="preserve">PAGEREF _Toc217977926 \h</w:instrText>
      </w:r>
      <w:r>
        <w:rPr>
          <w:rFonts w:hint="eastAsia"/>
        </w:rPr>
        <w:instrText xml:space="preserve"> </w:instrText>
      </w:r>
      <w:r>
        <w:rPr>
          <w:rFonts w:hint="eastAsia"/>
        </w:rPr>
        <w:fldChar w:fldCharType="separate"/>
      </w:r>
      <w:r>
        <w:t>- 159 -</w:t>
      </w:r>
      <w:r>
        <w:rPr>
          <w:rFonts w:hint="eastAsia"/>
        </w:rPr>
        <w:fldChar w:fldCharType="end"/>
      </w:r>
      <w:r>
        <w:rPr>
          <w:rFonts w:hint="eastAsia"/>
        </w:rPr>
        <w:fldChar w:fldCharType="end"/>
      </w:r>
    </w:p>
    <w:p w14:paraId="37D84D4D">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"_Toc217977927" </w:instrText>
      </w:r>
      <w:r>
        <w:fldChar w:fldCharType="separate"/>
      </w:r>
      <w:r>
        <w:rPr>
          <w:rStyle w:val="144"/>
          <w:rFonts w:hint="eastAsia"/>
        </w:rPr>
        <w:t>4.4 声环境影响预测与分析</w:t>
      </w:r>
      <w:r>
        <w:rPr>
          <w:rFonts w:hint="eastAsia"/>
        </w:rPr>
        <w:tab/>
      </w:r>
      <w:r>
        <w:rPr>
          <w:rFonts w:hint="eastAsia"/>
        </w:rPr>
        <w:fldChar w:fldCharType="begin"/>
      </w:r>
      <w:r>
        <w:rPr>
          <w:rFonts w:hint="eastAsia"/>
        </w:rPr>
        <w:instrText xml:space="preserve"> </w:instrText>
      </w:r>
      <w:r>
        <w:instrText xml:space="preserve">PAGEREF _Toc217977927 \h</w:instrText>
      </w:r>
      <w:r>
        <w:rPr>
          <w:rFonts w:hint="eastAsia"/>
        </w:rPr>
        <w:instrText xml:space="preserve"> </w:instrText>
      </w:r>
      <w:r>
        <w:rPr>
          <w:rFonts w:hint="eastAsia"/>
        </w:rPr>
        <w:fldChar w:fldCharType="separate"/>
      </w:r>
      <w:r>
        <w:t>- 160 -</w:t>
      </w:r>
      <w:r>
        <w:rPr>
          <w:rFonts w:hint="eastAsia"/>
        </w:rPr>
        <w:fldChar w:fldCharType="end"/>
      </w:r>
      <w:r>
        <w:rPr>
          <w:rFonts w:hint="eastAsia"/>
        </w:rPr>
        <w:fldChar w:fldCharType="end"/>
      </w:r>
    </w:p>
    <w:p w14:paraId="001A6415">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"_Toc217977928" </w:instrText>
      </w:r>
      <w:r>
        <w:fldChar w:fldCharType="separate"/>
      </w:r>
      <w:r>
        <w:rPr>
          <w:rStyle w:val="144"/>
          <w:rFonts w:hint="eastAsia"/>
        </w:rPr>
        <w:t>4.5 地下水环境影响分析</w:t>
      </w:r>
      <w:r>
        <w:rPr>
          <w:rFonts w:hint="eastAsia"/>
        </w:rPr>
        <w:tab/>
      </w:r>
      <w:r>
        <w:rPr>
          <w:rFonts w:hint="eastAsia"/>
        </w:rPr>
        <w:fldChar w:fldCharType="begin"/>
      </w:r>
      <w:r>
        <w:rPr>
          <w:rFonts w:hint="eastAsia"/>
        </w:rPr>
        <w:instrText xml:space="preserve"> </w:instrText>
      </w:r>
      <w:r>
        <w:instrText xml:space="preserve">PAGEREF _Toc217977928 \h</w:instrText>
      </w:r>
      <w:r>
        <w:rPr>
          <w:rFonts w:hint="eastAsia"/>
        </w:rPr>
        <w:instrText xml:space="preserve"> </w:instrText>
      </w:r>
      <w:r>
        <w:rPr>
          <w:rFonts w:hint="eastAsia"/>
        </w:rPr>
        <w:fldChar w:fldCharType="separate"/>
      </w:r>
      <w:r>
        <w:t>- 162 -</w:t>
      </w:r>
      <w:r>
        <w:rPr>
          <w:rFonts w:hint="eastAsia"/>
        </w:rPr>
        <w:fldChar w:fldCharType="end"/>
      </w:r>
      <w:r>
        <w:rPr>
          <w:rFonts w:hint="eastAsia"/>
        </w:rPr>
        <w:fldChar w:fldCharType="end"/>
      </w:r>
    </w:p>
    <w:p w14:paraId="0F7E3CB1">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"_Toc217977929" </w:instrText>
      </w:r>
      <w:r>
        <w:fldChar w:fldCharType="separate"/>
      </w:r>
      <w:r>
        <w:rPr>
          <w:rStyle w:val="144"/>
          <w:rFonts w:hint="eastAsia"/>
        </w:rPr>
        <w:t>4.6 固体废物环境影响分析</w:t>
      </w:r>
      <w:r>
        <w:rPr>
          <w:rFonts w:hint="eastAsia"/>
        </w:rPr>
        <w:tab/>
      </w:r>
      <w:r>
        <w:rPr>
          <w:rFonts w:hint="eastAsia"/>
        </w:rPr>
        <w:fldChar w:fldCharType="begin"/>
      </w:r>
      <w:r>
        <w:rPr>
          <w:rFonts w:hint="eastAsia"/>
        </w:rPr>
        <w:instrText xml:space="preserve"> </w:instrText>
      </w:r>
      <w:r>
        <w:instrText xml:space="preserve">PAGEREF _Toc217977929 \h</w:instrText>
      </w:r>
      <w:r>
        <w:rPr>
          <w:rFonts w:hint="eastAsia"/>
        </w:rPr>
        <w:instrText xml:space="preserve"> </w:instrText>
      </w:r>
      <w:r>
        <w:rPr>
          <w:rFonts w:hint="eastAsia"/>
        </w:rPr>
        <w:fldChar w:fldCharType="separate"/>
      </w:r>
      <w:r>
        <w:t>- 167 -</w:t>
      </w:r>
      <w:r>
        <w:rPr>
          <w:rFonts w:hint="eastAsia"/>
        </w:rPr>
        <w:fldChar w:fldCharType="end"/>
      </w:r>
      <w:r>
        <w:rPr>
          <w:rFonts w:hint="eastAsia"/>
        </w:rPr>
        <w:fldChar w:fldCharType="end"/>
      </w:r>
    </w:p>
    <w:p w14:paraId="78EB1B94">
      <w:pPr>
        <w:pStyle w:val="59"/>
        <w:tabs>
          <w:tab w:val="right" w:leader="dot" w:pos="8302"/>
        </w:tabs>
        <w:ind w:firstLine="462"/>
        <w:rPr>
          <w:rFonts w:hint="eastAsia" w:asciiTheme="minorHAnsi" w:hAnsiTheme="minorHAnsi" w:eastAsiaTheme="minorEastAsia" w:cstheme="minorBidi"/>
          <w:sz w:val="22"/>
          <w14:ligatures w14:val="standardContextual"/>
        </w:rPr>
      </w:pPr>
      <w:r>
        <w:fldChar w:fldCharType="begin"/>
      </w:r>
      <w:r>
        <w:instrText xml:space="preserve"> HYPERLINK \l "_Toc217977930" </w:instrText>
      </w:r>
      <w:r>
        <w:fldChar w:fldCharType="separate"/>
      </w:r>
      <w:r>
        <w:rPr>
          <w:rStyle w:val="144"/>
          <w:rFonts w:hint="eastAsia"/>
        </w:rPr>
        <w:t>5 环境风险评价</w:t>
      </w:r>
      <w:r>
        <w:rPr>
          <w:rFonts w:hint="eastAsia"/>
        </w:rPr>
        <w:tab/>
      </w:r>
      <w:r>
        <w:rPr>
          <w:rFonts w:hint="eastAsia"/>
        </w:rPr>
        <w:fldChar w:fldCharType="begin"/>
      </w:r>
      <w:r>
        <w:rPr>
          <w:rFonts w:hint="eastAsia"/>
        </w:rPr>
        <w:instrText xml:space="preserve"> </w:instrText>
      </w:r>
      <w:r>
        <w:instrText xml:space="preserve">PAGEREF _Toc217977930 \h</w:instrText>
      </w:r>
      <w:r>
        <w:rPr>
          <w:rFonts w:hint="eastAsia"/>
        </w:rPr>
        <w:instrText xml:space="preserve"> </w:instrText>
      </w:r>
      <w:r>
        <w:rPr>
          <w:rFonts w:hint="eastAsia"/>
        </w:rPr>
        <w:fldChar w:fldCharType="separate"/>
      </w:r>
      <w:r>
        <w:t>- 172 -</w:t>
      </w:r>
      <w:r>
        <w:rPr>
          <w:rFonts w:hint="eastAsia"/>
        </w:rPr>
        <w:fldChar w:fldCharType="end"/>
      </w:r>
      <w:r>
        <w:rPr>
          <w:rFonts w:hint="eastAsia"/>
        </w:rPr>
        <w:fldChar w:fldCharType="end"/>
      </w:r>
    </w:p>
    <w:p w14:paraId="6E8DFDB2">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"_Toc217977931" </w:instrText>
      </w:r>
      <w:r>
        <w:fldChar w:fldCharType="separate"/>
      </w:r>
      <w:r>
        <w:rPr>
          <w:rStyle w:val="144"/>
          <w:rFonts w:hint="eastAsia"/>
        </w:rPr>
        <w:t>5.1 风险调查</w:t>
      </w:r>
      <w:r>
        <w:rPr>
          <w:rFonts w:hint="eastAsia"/>
        </w:rPr>
        <w:tab/>
      </w:r>
      <w:r>
        <w:rPr>
          <w:rFonts w:hint="eastAsia"/>
        </w:rPr>
        <w:fldChar w:fldCharType="begin"/>
      </w:r>
      <w:r>
        <w:rPr>
          <w:rFonts w:hint="eastAsia"/>
        </w:rPr>
        <w:instrText xml:space="preserve"> </w:instrText>
      </w:r>
      <w:r>
        <w:instrText xml:space="preserve">PAGEREF _Toc217977931 \h</w:instrText>
      </w:r>
      <w:r>
        <w:rPr>
          <w:rFonts w:hint="eastAsia"/>
        </w:rPr>
        <w:instrText xml:space="preserve"> </w:instrText>
      </w:r>
      <w:r>
        <w:rPr>
          <w:rFonts w:hint="eastAsia"/>
        </w:rPr>
        <w:fldChar w:fldCharType="separate"/>
      </w:r>
      <w:r>
        <w:t>- 172 -</w:t>
      </w:r>
      <w:r>
        <w:rPr>
          <w:rFonts w:hint="eastAsia"/>
        </w:rPr>
        <w:fldChar w:fldCharType="end"/>
      </w:r>
      <w:r>
        <w:rPr>
          <w:rFonts w:hint="eastAsia"/>
        </w:rPr>
        <w:fldChar w:fldCharType="end"/>
      </w:r>
    </w:p>
    <w:p w14:paraId="584A8E86">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"_Toc217977932" </w:instrText>
      </w:r>
      <w:r>
        <w:fldChar w:fldCharType="separate"/>
      </w:r>
      <w:r>
        <w:rPr>
          <w:rStyle w:val="144"/>
          <w:rFonts w:hint="eastAsia"/>
        </w:rPr>
        <w:t>5.2 风险识别</w:t>
      </w:r>
      <w:r>
        <w:rPr>
          <w:rFonts w:hint="eastAsia"/>
        </w:rPr>
        <w:tab/>
      </w:r>
      <w:r>
        <w:rPr>
          <w:rFonts w:hint="eastAsia"/>
        </w:rPr>
        <w:fldChar w:fldCharType="begin"/>
      </w:r>
      <w:r>
        <w:rPr>
          <w:rFonts w:hint="eastAsia"/>
        </w:rPr>
        <w:instrText xml:space="preserve"> </w:instrText>
      </w:r>
      <w:r>
        <w:instrText xml:space="preserve">PAGEREF _Toc217977932 \h</w:instrText>
      </w:r>
      <w:r>
        <w:rPr>
          <w:rFonts w:hint="eastAsia"/>
        </w:rPr>
        <w:instrText xml:space="preserve"> </w:instrText>
      </w:r>
      <w:r>
        <w:rPr>
          <w:rFonts w:hint="eastAsia"/>
        </w:rPr>
        <w:fldChar w:fldCharType="separate"/>
      </w:r>
      <w:r>
        <w:t>- 172 -</w:t>
      </w:r>
      <w:r>
        <w:rPr>
          <w:rFonts w:hint="eastAsia"/>
        </w:rPr>
        <w:fldChar w:fldCharType="end"/>
      </w:r>
      <w:r>
        <w:rPr>
          <w:rFonts w:hint="eastAsia"/>
        </w:rPr>
        <w:fldChar w:fldCharType="end"/>
      </w:r>
    </w:p>
    <w:p w14:paraId="3F4A8412">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"_Toc217977933" </w:instrText>
      </w:r>
      <w:r>
        <w:fldChar w:fldCharType="separate"/>
      </w:r>
      <w:r>
        <w:rPr>
          <w:rStyle w:val="144"/>
          <w:rFonts w:hint="eastAsia"/>
        </w:rPr>
        <w:t>5.3 风险事故情形分析</w:t>
      </w:r>
      <w:r>
        <w:rPr>
          <w:rFonts w:hint="eastAsia"/>
        </w:rPr>
        <w:tab/>
      </w:r>
      <w:r>
        <w:rPr>
          <w:rFonts w:hint="eastAsia"/>
        </w:rPr>
        <w:fldChar w:fldCharType="begin"/>
      </w:r>
      <w:r>
        <w:rPr>
          <w:rFonts w:hint="eastAsia"/>
        </w:rPr>
        <w:instrText xml:space="preserve"> </w:instrText>
      </w:r>
      <w:r>
        <w:instrText xml:space="preserve">PAGEREF _Toc217977933 \h</w:instrText>
      </w:r>
      <w:r>
        <w:rPr>
          <w:rFonts w:hint="eastAsia"/>
        </w:rPr>
        <w:instrText xml:space="preserve"> </w:instrText>
      </w:r>
      <w:r>
        <w:rPr>
          <w:rFonts w:hint="eastAsia"/>
        </w:rPr>
        <w:fldChar w:fldCharType="separate"/>
      </w:r>
      <w:r>
        <w:t>- 220 -</w:t>
      </w:r>
      <w:r>
        <w:rPr>
          <w:rFonts w:hint="eastAsia"/>
        </w:rPr>
        <w:fldChar w:fldCharType="end"/>
      </w:r>
      <w:r>
        <w:rPr>
          <w:rFonts w:hint="eastAsia"/>
        </w:rPr>
        <w:fldChar w:fldCharType="end"/>
      </w:r>
    </w:p>
    <w:p w14:paraId="28B974C4">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"_Toc217977934" </w:instrText>
      </w:r>
      <w:r>
        <w:fldChar w:fldCharType="separate"/>
      </w:r>
      <w:r>
        <w:rPr>
          <w:rStyle w:val="144"/>
          <w:rFonts w:hint="eastAsia"/>
        </w:rPr>
        <w:t>5.4 风险预测与评价</w:t>
      </w:r>
      <w:r>
        <w:rPr>
          <w:rFonts w:hint="eastAsia"/>
        </w:rPr>
        <w:tab/>
      </w:r>
      <w:r>
        <w:rPr>
          <w:rFonts w:hint="eastAsia"/>
        </w:rPr>
        <w:fldChar w:fldCharType="begin"/>
      </w:r>
      <w:r>
        <w:rPr>
          <w:rFonts w:hint="eastAsia"/>
        </w:rPr>
        <w:instrText xml:space="preserve"> </w:instrText>
      </w:r>
      <w:r>
        <w:instrText xml:space="preserve">PAGEREF _Toc217977934 \h</w:instrText>
      </w:r>
      <w:r>
        <w:rPr>
          <w:rFonts w:hint="eastAsia"/>
        </w:rPr>
        <w:instrText xml:space="preserve"> </w:instrText>
      </w:r>
      <w:r>
        <w:rPr>
          <w:rFonts w:hint="eastAsia"/>
        </w:rPr>
        <w:fldChar w:fldCharType="separate"/>
      </w:r>
      <w:r>
        <w:t>- 235 -</w:t>
      </w:r>
      <w:r>
        <w:rPr>
          <w:rFonts w:hint="eastAsia"/>
        </w:rPr>
        <w:fldChar w:fldCharType="end"/>
      </w:r>
      <w:r>
        <w:rPr>
          <w:rFonts w:hint="eastAsia"/>
        </w:rPr>
        <w:fldChar w:fldCharType="end"/>
      </w:r>
    </w:p>
    <w:p w14:paraId="6DC14EF4">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"_Toc217977935" </w:instrText>
      </w:r>
      <w:r>
        <w:fldChar w:fldCharType="separate"/>
      </w:r>
      <w:r>
        <w:rPr>
          <w:rStyle w:val="144"/>
          <w:rFonts w:hint="eastAsia"/>
        </w:rPr>
        <w:t>5.5 环境风险管理</w:t>
      </w:r>
      <w:r>
        <w:rPr>
          <w:rFonts w:hint="eastAsia"/>
        </w:rPr>
        <w:tab/>
      </w:r>
      <w:r>
        <w:rPr>
          <w:rFonts w:hint="eastAsia"/>
        </w:rPr>
        <w:fldChar w:fldCharType="begin"/>
      </w:r>
      <w:r>
        <w:rPr>
          <w:rFonts w:hint="eastAsia"/>
        </w:rPr>
        <w:instrText xml:space="preserve"> </w:instrText>
      </w:r>
      <w:r>
        <w:instrText xml:space="preserve">PAGEREF _Toc217977935 \h</w:instrText>
      </w:r>
      <w:r>
        <w:rPr>
          <w:rFonts w:hint="eastAsia"/>
        </w:rPr>
        <w:instrText xml:space="preserve"> </w:instrText>
      </w:r>
      <w:r>
        <w:rPr>
          <w:rFonts w:hint="eastAsia"/>
        </w:rPr>
        <w:fldChar w:fldCharType="separate"/>
      </w:r>
      <w:r>
        <w:t>- 270 -</w:t>
      </w:r>
      <w:r>
        <w:rPr>
          <w:rFonts w:hint="eastAsia"/>
        </w:rPr>
        <w:fldChar w:fldCharType="end"/>
      </w:r>
      <w:r>
        <w:rPr>
          <w:rFonts w:hint="eastAsia"/>
        </w:rPr>
        <w:fldChar w:fldCharType="end"/>
      </w:r>
    </w:p>
    <w:p w14:paraId="2BFED8FC">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"_Toc217977936" </w:instrText>
      </w:r>
      <w:r>
        <w:fldChar w:fldCharType="separate"/>
      </w:r>
      <w:r>
        <w:rPr>
          <w:rStyle w:val="144"/>
          <w:rFonts w:hint="eastAsia"/>
        </w:rPr>
        <w:t>5.6 环境风险影响分析结论</w:t>
      </w:r>
      <w:r>
        <w:rPr>
          <w:rFonts w:hint="eastAsia"/>
        </w:rPr>
        <w:tab/>
      </w:r>
      <w:r>
        <w:rPr>
          <w:rFonts w:hint="eastAsia"/>
        </w:rPr>
        <w:fldChar w:fldCharType="begin"/>
      </w:r>
      <w:r>
        <w:rPr>
          <w:rFonts w:hint="eastAsia"/>
        </w:rPr>
        <w:instrText xml:space="preserve"> </w:instrText>
      </w:r>
      <w:r>
        <w:instrText xml:space="preserve">PAGEREF _Toc217977936 \h</w:instrText>
      </w:r>
      <w:r>
        <w:rPr>
          <w:rFonts w:hint="eastAsia"/>
        </w:rPr>
        <w:instrText xml:space="preserve"> </w:instrText>
      </w:r>
      <w:r>
        <w:rPr>
          <w:rFonts w:hint="eastAsia"/>
        </w:rPr>
        <w:fldChar w:fldCharType="separate"/>
      </w:r>
      <w:r>
        <w:t>- 289 -</w:t>
      </w:r>
      <w:r>
        <w:rPr>
          <w:rFonts w:hint="eastAsia"/>
        </w:rPr>
        <w:fldChar w:fldCharType="end"/>
      </w:r>
      <w:r>
        <w:rPr>
          <w:rFonts w:hint="eastAsia"/>
        </w:rPr>
        <w:fldChar w:fldCharType="end"/>
      </w:r>
    </w:p>
    <w:p w14:paraId="6AD6F637">
      <w:pPr>
        <w:pStyle w:val="59"/>
        <w:tabs>
          <w:tab w:val="right" w:leader="dot" w:pos="8302"/>
        </w:tabs>
        <w:ind w:firstLine="462"/>
        <w:rPr>
          <w:rFonts w:hint="eastAsia" w:asciiTheme="minorHAnsi" w:hAnsiTheme="minorHAnsi" w:eastAsiaTheme="minorEastAsia" w:cstheme="minorBidi"/>
          <w:sz w:val="22"/>
          <w14:ligatures w14:val="standardContextual"/>
        </w:rPr>
      </w:pPr>
      <w:r>
        <w:fldChar w:fldCharType="begin"/>
      </w:r>
      <w:r>
        <w:instrText xml:space="preserve"> HYPERLINK \l "_Toc217977937" </w:instrText>
      </w:r>
      <w:r>
        <w:fldChar w:fldCharType="separate"/>
      </w:r>
      <w:r>
        <w:rPr>
          <w:rStyle w:val="144"/>
          <w:rFonts w:hint="eastAsia"/>
        </w:rPr>
        <w:t>6 环境保护措施及可行性论证</w:t>
      </w:r>
      <w:r>
        <w:rPr>
          <w:rFonts w:hint="eastAsia"/>
        </w:rPr>
        <w:tab/>
      </w:r>
      <w:r>
        <w:rPr>
          <w:rFonts w:hint="eastAsia"/>
        </w:rPr>
        <w:fldChar w:fldCharType="begin"/>
      </w:r>
      <w:r>
        <w:rPr>
          <w:rFonts w:hint="eastAsia"/>
        </w:rPr>
        <w:instrText xml:space="preserve"> </w:instrText>
      </w:r>
      <w:r>
        <w:instrText xml:space="preserve">PAGEREF _Toc217977937 \h</w:instrText>
      </w:r>
      <w:r>
        <w:rPr>
          <w:rFonts w:hint="eastAsia"/>
        </w:rPr>
        <w:instrText xml:space="preserve"> </w:instrText>
      </w:r>
      <w:r>
        <w:rPr>
          <w:rFonts w:hint="eastAsia"/>
        </w:rPr>
        <w:fldChar w:fldCharType="separate"/>
      </w:r>
      <w:r>
        <w:t>- 290 -</w:t>
      </w:r>
      <w:r>
        <w:rPr>
          <w:rFonts w:hint="eastAsia"/>
        </w:rPr>
        <w:fldChar w:fldCharType="end"/>
      </w:r>
      <w:r>
        <w:rPr>
          <w:rFonts w:hint="eastAsia"/>
        </w:rPr>
        <w:fldChar w:fldCharType="end"/>
      </w:r>
    </w:p>
    <w:p w14:paraId="53B07E6F">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"_Toc217977938" </w:instrText>
      </w:r>
      <w:r>
        <w:fldChar w:fldCharType="separate"/>
      </w:r>
      <w:r>
        <w:rPr>
          <w:rStyle w:val="144"/>
          <w:rFonts w:hint="eastAsia"/>
        </w:rPr>
        <w:t>6.1 施工阶段环保措施</w:t>
      </w:r>
      <w:r>
        <w:rPr>
          <w:rFonts w:hint="eastAsia"/>
        </w:rPr>
        <w:tab/>
      </w:r>
      <w:r>
        <w:rPr>
          <w:rFonts w:hint="eastAsia"/>
        </w:rPr>
        <w:fldChar w:fldCharType="begin"/>
      </w:r>
      <w:r>
        <w:rPr>
          <w:rFonts w:hint="eastAsia"/>
        </w:rPr>
        <w:instrText xml:space="preserve"> </w:instrText>
      </w:r>
      <w:r>
        <w:instrText xml:space="preserve">PAGEREF _Toc217977938 \h</w:instrText>
      </w:r>
      <w:r>
        <w:rPr>
          <w:rFonts w:hint="eastAsia"/>
        </w:rPr>
        <w:instrText xml:space="preserve"> </w:instrText>
      </w:r>
      <w:r>
        <w:rPr>
          <w:rFonts w:hint="eastAsia"/>
        </w:rPr>
        <w:fldChar w:fldCharType="separate"/>
      </w:r>
      <w:r>
        <w:t>- 290 -</w:t>
      </w:r>
      <w:r>
        <w:rPr>
          <w:rFonts w:hint="eastAsia"/>
        </w:rPr>
        <w:fldChar w:fldCharType="end"/>
      </w:r>
      <w:r>
        <w:rPr>
          <w:rFonts w:hint="eastAsia"/>
        </w:rPr>
        <w:fldChar w:fldCharType="end"/>
      </w:r>
    </w:p>
    <w:p w14:paraId="34EF5C3D">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"_Toc217977939" </w:instrText>
      </w:r>
      <w:r>
        <w:fldChar w:fldCharType="separate"/>
      </w:r>
      <w:r>
        <w:rPr>
          <w:rStyle w:val="144"/>
          <w:rFonts w:hint="eastAsia"/>
        </w:rPr>
        <w:t>6.2 运营期环保措施</w:t>
      </w:r>
      <w:r>
        <w:rPr>
          <w:rFonts w:hint="eastAsia"/>
        </w:rPr>
        <w:tab/>
      </w:r>
      <w:r>
        <w:rPr>
          <w:rFonts w:hint="eastAsia"/>
        </w:rPr>
        <w:fldChar w:fldCharType="begin"/>
      </w:r>
      <w:r>
        <w:rPr>
          <w:rFonts w:hint="eastAsia"/>
        </w:rPr>
        <w:instrText xml:space="preserve"> </w:instrText>
      </w:r>
      <w:r>
        <w:instrText xml:space="preserve">PAGEREF _Toc217977939 \h</w:instrText>
      </w:r>
      <w:r>
        <w:rPr>
          <w:rFonts w:hint="eastAsia"/>
        </w:rPr>
        <w:instrText xml:space="preserve"> </w:instrText>
      </w:r>
      <w:r>
        <w:rPr>
          <w:rFonts w:hint="eastAsia"/>
        </w:rPr>
        <w:fldChar w:fldCharType="separate"/>
      </w:r>
      <w:r>
        <w:t>- 293 -</w:t>
      </w:r>
      <w:r>
        <w:rPr>
          <w:rFonts w:hint="eastAsia"/>
        </w:rPr>
        <w:fldChar w:fldCharType="end"/>
      </w:r>
      <w:r>
        <w:rPr>
          <w:rFonts w:hint="eastAsia"/>
        </w:rPr>
        <w:fldChar w:fldCharType="end"/>
      </w:r>
    </w:p>
    <w:p w14:paraId="5DB269EC">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"_Toc217977940" </w:instrText>
      </w:r>
      <w:r>
        <w:fldChar w:fldCharType="separate"/>
      </w:r>
      <w:r>
        <w:rPr>
          <w:rStyle w:val="144"/>
          <w:rFonts w:hint="eastAsia"/>
        </w:rPr>
        <w:t>6.3 环保措施可行性分析</w:t>
      </w:r>
      <w:r>
        <w:rPr>
          <w:rFonts w:hint="eastAsia"/>
        </w:rPr>
        <w:tab/>
      </w:r>
      <w:r>
        <w:rPr>
          <w:rFonts w:hint="eastAsia"/>
        </w:rPr>
        <w:fldChar w:fldCharType="begin"/>
      </w:r>
      <w:r>
        <w:rPr>
          <w:rFonts w:hint="eastAsia"/>
        </w:rPr>
        <w:instrText xml:space="preserve"> </w:instrText>
      </w:r>
      <w:r>
        <w:instrText xml:space="preserve">PAGEREF _Toc217977940 \h</w:instrText>
      </w:r>
      <w:r>
        <w:rPr>
          <w:rFonts w:hint="eastAsia"/>
        </w:rPr>
        <w:instrText xml:space="preserve"> </w:instrText>
      </w:r>
      <w:r>
        <w:rPr>
          <w:rFonts w:hint="eastAsia"/>
        </w:rPr>
        <w:fldChar w:fldCharType="separate"/>
      </w:r>
      <w:r>
        <w:t>- 295 -</w:t>
      </w:r>
      <w:r>
        <w:rPr>
          <w:rFonts w:hint="eastAsia"/>
        </w:rPr>
        <w:fldChar w:fldCharType="end"/>
      </w:r>
      <w:r>
        <w:rPr>
          <w:rFonts w:hint="eastAsia"/>
        </w:rPr>
        <w:fldChar w:fldCharType="end"/>
      </w:r>
    </w:p>
    <w:p w14:paraId="209673CE">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"_Toc217977941" </w:instrText>
      </w:r>
      <w:r>
        <w:fldChar w:fldCharType="separate"/>
      </w:r>
      <w:r>
        <w:rPr>
          <w:rStyle w:val="144"/>
          <w:rFonts w:hint="eastAsia"/>
        </w:rPr>
        <w:t>6.4 环境保护措施费用估算</w:t>
      </w:r>
      <w:r>
        <w:rPr>
          <w:rFonts w:hint="eastAsia"/>
        </w:rPr>
        <w:tab/>
      </w:r>
      <w:r>
        <w:rPr>
          <w:rFonts w:hint="eastAsia"/>
        </w:rPr>
        <w:fldChar w:fldCharType="begin"/>
      </w:r>
      <w:r>
        <w:rPr>
          <w:rFonts w:hint="eastAsia"/>
        </w:rPr>
        <w:instrText xml:space="preserve"> </w:instrText>
      </w:r>
      <w:r>
        <w:instrText xml:space="preserve">PAGEREF _Toc217977941 \h</w:instrText>
      </w:r>
      <w:r>
        <w:rPr>
          <w:rFonts w:hint="eastAsia"/>
        </w:rPr>
        <w:instrText xml:space="preserve"> </w:instrText>
      </w:r>
      <w:r>
        <w:rPr>
          <w:rFonts w:hint="eastAsia"/>
        </w:rPr>
        <w:fldChar w:fldCharType="separate"/>
      </w:r>
      <w:r>
        <w:t>- 296 -</w:t>
      </w:r>
      <w:r>
        <w:rPr>
          <w:rFonts w:hint="eastAsia"/>
        </w:rPr>
        <w:fldChar w:fldCharType="end"/>
      </w:r>
      <w:r>
        <w:rPr>
          <w:rFonts w:hint="eastAsia"/>
        </w:rPr>
        <w:fldChar w:fldCharType="end"/>
      </w:r>
    </w:p>
    <w:p w14:paraId="46E55CFC">
      <w:pPr>
        <w:pStyle w:val="59"/>
        <w:tabs>
          <w:tab w:val="right" w:leader="dot" w:pos="8302"/>
        </w:tabs>
        <w:ind w:firstLine="462"/>
        <w:rPr>
          <w:rFonts w:hint="eastAsia" w:asciiTheme="minorHAnsi" w:hAnsiTheme="minorHAnsi" w:eastAsiaTheme="minorEastAsia" w:cstheme="minorBidi"/>
          <w:sz w:val="22"/>
          <w14:ligatures w14:val="standardContextual"/>
        </w:rPr>
      </w:pPr>
      <w:r>
        <w:fldChar w:fldCharType="begin"/>
      </w:r>
      <w:r>
        <w:instrText xml:space="preserve"> HYPERLINK \l "_Toc217977942" </w:instrText>
      </w:r>
      <w:r>
        <w:fldChar w:fldCharType="separate"/>
      </w:r>
      <w:r>
        <w:rPr>
          <w:rStyle w:val="144"/>
          <w:rFonts w:hint="eastAsia"/>
        </w:rPr>
        <w:t>7 环境影响经济损益分析</w:t>
      </w:r>
      <w:r>
        <w:rPr>
          <w:rFonts w:hint="eastAsia"/>
        </w:rPr>
        <w:tab/>
      </w:r>
      <w:r>
        <w:rPr>
          <w:rFonts w:hint="eastAsia"/>
        </w:rPr>
        <w:fldChar w:fldCharType="begin"/>
      </w:r>
      <w:r>
        <w:rPr>
          <w:rFonts w:hint="eastAsia"/>
        </w:rPr>
        <w:instrText xml:space="preserve"> </w:instrText>
      </w:r>
      <w:r>
        <w:instrText xml:space="preserve">PAGEREF _Toc217977942 \h</w:instrText>
      </w:r>
      <w:r>
        <w:rPr>
          <w:rFonts w:hint="eastAsia"/>
        </w:rPr>
        <w:instrText xml:space="preserve"> </w:instrText>
      </w:r>
      <w:r>
        <w:rPr>
          <w:rFonts w:hint="eastAsia"/>
        </w:rPr>
        <w:fldChar w:fldCharType="separate"/>
      </w:r>
      <w:r>
        <w:t>- 298 -</w:t>
      </w:r>
      <w:r>
        <w:rPr>
          <w:rFonts w:hint="eastAsia"/>
        </w:rPr>
        <w:fldChar w:fldCharType="end"/>
      </w:r>
      <w:r>
        <w:rPr>
          <w:rFonts w:hint="eastAsia"/>
        </w:rPr>
        <w:fldChar w:fldCharType="end"/>
      </w:r>
    </w:p>
    <w:p w14:paraId="682CFD65">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"_Toc217977943" </w:instrText>
      </w:r>
      <w:r>
        <w:fldChar w:fldCharType="separate"/>
      </w:r>
      <w:r>
        <w:rPr>
          <w:rStyle w:val="144"/>
          <w:rFonts w:hint="eastAsia"/>
        </w:rPr>
        <w:t>7.1 项目建设带来的环境损失</w:t>
      </w:r>
      <w:r>
        <w:rPr>
          <w:rFonts w:hint="eastAsia"/>
        </w:rPr>
        <w:tab/>
      </w:r>
      <w:r>
        <w:rPr>
          <w:rFonts w:hint="eastAsia"/>
        </w:rPr>
        <w:fldChar w:fldCharType="begin"/>
      </w:r>
      <w:r>
        <w:rPr>
          <w:rFonts w:hint="eastAsia"/>
        </w:rPr>
        <w:instrText xml:space="preserve"> </w:instrText>
      </w:r>
      <w:r>
        <w:instrText xml:space="preserve">PAGEREF _Toc217977943 \h</w:instrText>
      </w:r>
      <w:r>
        <w:rPr>
          <w:rFonts w:hint="eastAsia"/>
        </w:rPr>
        <w:instrText xml:space="preserve"> </w:instrText>
      </w:r>
      <w:r>
        <w:rPr>
          <w:rFonts w:hint="eastAsia"/>
        </w:rPr>
        <w:fldChar w:fldCharType="separate"/>
      </w:r>
      <w:r>
        <w:t>- 298 -</w:t>
      </w:r>
      <w:r>
        <w:rPr>
          <w:rFonts w:hint="eastAsia"/>
        </w:rPr>
        <w:fldChar w:fldCharType="end"/>
      </w:r>
      <w:r>
        <w:rPr>
          <w:rFonts w:hint="eastAsia"/>
        </w:rPr>
        <w:fldChar w:fldCharType="end"/>
      </w:r>
    </w:p>
    <w:p w14:paraId="21020155">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"_Toc217977944" </w:instrText>
      </w:r>
      <w:r>
        <w:fldChar w:fldCharType="separate"/>
      </w:r>
      <w:r>
        <w:rPr>
          <w:rStyle w:val="144"/>
          <w:rFonts w:hint="eastAsia"/>
        </w:rPr>
        <w:t>7.2 环境经济效益分析</w:t>
      </w:r>
      <w:r>
        <w:rPr>
          <w:rFonts w:hint="eastAsia"/>
        </w:rPr>
        <w:tab/>
      </w:r>
      <w:r>
        <w:rPr>
          <w:rFonts w:hint="eastAsia"/>
        </w:rPr>
        <w:fldChar w:fldCharType="begin"/>
      </w:r>
      <w:r>
        <w:rPr>
          <w:rFonts w:hint="eastAsia"/>
        </w:rPr>
        <w:instrText xml:space="preserve"> </w:instrText>
      </w:r>
      <w:r>
        <w:instrText xml:space="preserve">PAGEREF _Toc217977944 \h</w:instrText>
      </w:r>
      <w:r>
        <w:rPr>
          <w:rFonts w:hint="eastAsia"/>
        </w:rPr>
        <w:instrText xml:space="preserve"> </w:instrText>
      </w:r>
      <w:r>
        <w:rPr>
          <w:rFonts w:hint="eastAsia"/>
        </w:rPr>
        <w:fldChar w:fldCharType="separate"/>
      </w:r>
      <w:r>
        <w:t>- 298 -</w:t>
      </w:r>
      <w:r>
        <w:rPr>
          <w:rFonts w:hint="eastAsia"/>
        </w:rPr>
        <w:fldChar w:fldCharType="end"/>
      </w:r>
      <w:r>
        <w:rPr>
          <w:rFonts w:hint="eastAsia"/>
        </w:rPr>
        <w:fldChar w:fldCharType="end"/>
      </w:r>
    </w:p>
    <w:p w14:paraId="64F9D419">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"_Toc217977945" </w:instrText>
      </w:r>
      <w:r>
        <w:fldChar w:fldCharType="separate"/>
      </w:r>
      <w:r>
        <w:rPr>
          <w:rStyle w:val="144"/>
          <w:rFonts w:hint="eastAsia"/>
        </w:rPr>
        <w:t>7.3 工程经济和社会效益分析</w:t>
      </w:r>
      <w:r>
        <w:rPr>
          <w:rFonts w:hint="eastAsia"/>
        </w:rPr>
        <w:tab/>
      </w:r>
      <w:r>
        <w:rPr>
          <w:rFonts w:hint="eastAsia"/>
        </w:rPr>
        <w:fldChar w:fldCharType="begin"/>
      </w:r>
      <w:r>
        <w:rPr>
          <w:rFonts w:hint="eastAsia"/>
        </w:rPr>
        <w:instrText xml:space="preserve"> </w:instrText>
      </w:r>
      <w:r>
        <w:instrText xml:space="preserve">PAGEREF _Toc217977945 \h</w:instrText>
      </w:r>
      <w:r>
        <w:rPr>
          <w:rFonts w:hint="eastAsia"/>
        </w:rPr>
        <w:instrText xml:space="preserve"> </w:instrText>
      </w:r>
      <w:r>
        <w:rPr>
          <w:rFonts w:hint="eastAsia"/>
        </w:rPr>
        <w:fldChar w:fldCharType="separate"/>
      </w:r>
      <w:r>
        <w:t>- 298 -</w:t>
      </w:r>
      <w:r>
        <w:rPr>
          <w:rFonts w:hint="eastAsia"/>
        </w:rPr>
        <w:fldChar w:fldCharType="end"/>
      </w:r>
      <w:r>
        <w:rPr>
          <w:rFonts w:hint="eastAsia"/>
        </w:rPr>
        <w:fldChar w:fldCharType="end"/>
      </w:r>
    </w:p>
    <w:p w14:paraId="5F4AA217">
      <w:pPr>
        <w:pStyle w:val="59"/>
        <w:tabs>
          <w:tab w:val="right" w:leader="dot" w:pos="8302"/>
        </w:tabs>
        <w:ind w:firstLine="462"/>
        <w:rPr>
          <w:rFonts w:hint="eastAsia" w:asciiTheme="minorHAnsi" w:hAnsiTheme="minorHAnsi" w:eastAsiaTheme="minorEastAsia" w:cstheme="minorBidi"/>
          <w:sz w:val="22"/>
          <w14:ligatures w14:val="standardContextual"/>
        </w:rPr>
      </w:pPr>
      <w:r>
        <w:fldChar w:fldCharType="begin"/>
      </w:r>
      <w:r>
        <w:instrText xml:space="preserve"> HYPERLINK \l "_Toc217977946" </w:instrText>
      </w:r>
      <w:r>
        <w:fldChar w:fldCharType="separate"/>
      </w:r>
      <w:r>
        <w:rPr>
          <w:rStyle w:val="144"/>
          <w:rFonts w:hint="eastAsia"/>
        </w:rPr>
        <w:t>8 环境保护管理与环境监控计划</w:t>
      </w:r>
      <w:r>
        <w:rPr>
          <w:rFonts w:hint="eastAsia"/>
        </w:rPr>
        <w:tab/>
      </w:r>
      <w:r>
        <w:rPr>
          <w:rFonts w:hint="eastAsia"/>
        </w:rPr>
        <w:fldChar w:fldCharType="begin"/>
      </w:r>
      <w:r>
        <w:rPr>
          <w:rFonts w:hint="eastAsia"/>
        </w:rPr>
        <w:instrText xml:space="preserve"> </w:instrText>
      </w:r>
      <w:r>
        <w:instrText xml:space="preserve">PAGEREF _Toc217977946 \h</w:instrText>
      </w:r>
      <w:r>
        <w:rPr>
          <w:rFonts w:hint="eastAsia"/>
        </w:rPr>
        <w:instrText xml:space="preserve"> </w:instrText>
      </w:r>
      <w:r>
        <w:rPr>
          <w:rFonts w:hint="eastAsia"/>
        </w:rPr>
        <w:fldChar w:fldCharType="separate"/>
      </w:r>
      <w:r>
        <w:t>- 299 -</w:t>
      </w:r>
      <w:r>
        <w:rPr>
          <w:rFonts w:hint="eastAsia"/>
        </w:rPr>
        <w:fldChar w:fldCharType="end"/>
      </w:r>
      <w:r>
        <w:rPr>
          <w:rFonts w:hint="eastAsia"/>
        </w:rPr>
        <w:fldChar w:fldCharType="end"/>
      </w:r>
    </w:p>
    <w:p w14:paraId="4D39327B">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"_Toc217977947" </w:instrText>
      </w:r>
      <w:r>
        <w:fldChar w:fldCharType="separate"/>
      </w:r>
      <w:r>
        <w:rPr>
          <w:rStyle w:val="144"/>
          <w:rFonts w:hint="eastAsia"/>
        </w:rPr>
        <w:t>8.1 环境管理</w:t>
      </w:r>
      <w:r>
        <w:rPr>
          <w:rFonts w:hint="eastAsia"/>
        </w:rPr>
        <w:tab/>
      </w:r>
      <w:r>
        <w:rPr>
          <w:rFonts w:hint="eastAsia"/>
        </w:rPr>
        <w:fldChar w:fldCharType="begin"/>
      </w:r>
      <w:r>
        <w:rPr>
          <w:rFonts w:hint="eastAsia"/>
        </w:rPr>
        <w:instrText xml:space="preserve"> </w:instrText>
      </w:r>
      <w:r>
        <w:instrText xml:space="preserve">PAGEREF _Toc217977947 \h</w:instrText>
      </w:r>
      <w:r>
        <w:rPr>
          <w:rFonts w:hint="eastAsia"/>
        </w:rPr>
        <w:instrText xml:space="preserve"> </w:instrText>
      </w:r>
      <w:r>
        <w:rPr>
          <w:rFonts w:hint="eastAsia"/>
        </w:rPr>
        <w:fldChar w:fldCharType="separate"/>
      </w:r>
      <w:r>
        <w:t>- 299 -</w:t>
      </w:r>
      <w:r>
        <w:rPr>
          <w:rFonts w:hint="eastAsia"/>
        </w:rPr>
        <w:fldChar w:fldCharType="end"/>
      </w:r>
      <w:r>
        <w:rPr>
          <w:rFonts w:hint="eastAsia"/>
        </w:rPr>
        <w:fldChar w:fldCharType="end"/>
      </w:r>
    </w:p>
    <w:p w14:paraId="265288A1">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"_Toc217977948" </w:instrText>
      </w:r>
      <w:r>
        <w:fldChar w:fldCharType="separate"/>
      </w:r>
      <w:r>
        <w:rPr>
          <w:rStyle w:val="144"/>
          <w:rFonts w:hint="eastAsia"/>
        </w:rPr>
        <w:t>8.2 项目污染物排放清单及管理要求</w:t>
      </w:r>
      <w:r>
        <w:rPr>
          <w:rFonts w:hint="eastAsia"/>
        </w:rPr>
        <w:tab/>
      </w:r>
      <w:r>
        <w:rPr>
          <w:rFonts w:hint="eastAsia"/>
        </w:rPr>
        <w:fldChar w:fldCharType="begin"/>
      </w:r>
      <w:r>
        <w:rPr>
          <w:rFonts w:hint="eastAsia"/>
        </w:rPr>
        <w:instrText xml:space="preserve"> </w:instrText>
      </w:r>
      <w:r>
        <w:instrText xml:space="preserve">PAGEREF _Toc217977948 \h</w:instrText>
      </w:r>
      <w:r>
        <w:rPr>
          <w:rFonts w:hint="eastAsia"/>
        </w:rPr>
        <w:instrText xml:space="preserve"> </w:instrText>
      </w:r>
      <w:r>
        <w:rPr>
          <w:rFonts w:hint="eastAsia"/>
        </w:rPr>
        <w:fldChar w:fldCharType="separate"/>
      </w:r>
      <w:r>
        <w:t>- 300 -</w:t>
      </w:r>
      <w:r>
        <w:rPr>
          <w:rFonts w:hint="eastAsia"/>
        </w:rPr>
        <w:fldChar w:fldCharType="end"/>
      </w:r>
      <w:r>
        <w:rPr>
          <w:rFonts w:hint="eastAsia"/>
        </w:rPr>
        <w:fldChar w:fldCharType="end"/>
      </w:r>
    </w:p>
    <w:p w14:paraId="47504A33">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"_Toc217977949" </w:instrText>
      </w:r>
      <w:r>
        <w:fldChar w:fldCharType="separate"/>
      </w:r>
      <w:r>
        <w:rPr>
          <w:rStyle w:val="144"/>
          <w:rFonts w:hint="eastAsia"/>
        </w:rPr>
        <w:t>8.3 环境监测</w:t>
      </w:r>
      <w:r>
        <w:rPr>
          <w:rFonts w:hint="eastAsia"/>
        </w:rPr>
        <w:tab/>
      </w:r>
      <w:r>
        <w:rPr>
          <w:rFonts w:hint="eastAsia"/>
        </w:rPr>
        <w:fldChar w:fldCharType="begin"/>
      </w:r>
      <w:r>
        <w:rPr>
          <w:rFonts w:hint="eastAsia"/>
        </w:rPr>
        <w:instrText xml:space="preserve"> </w:instrText>
      </w:r>
      <w:r>
        <w:instrText xml:space="preserve">PAGEREF _Toc217977949 \h</w:instrText>
      </w:r>
      <w:r>
        <w:rPr>
          <w:rFonts w:hint="eastAsia"/>
        </w:rPr>
        <w:instrText xml:space="preserve"> </w:instrText>
      </w:r>
      <w:r>
        <w:rPr>
          <w:rFonts w:hint="eastAsia"/>
        </w:rPr>
        <w:fldChar w:fldCharType="separate"/>
      </w:r>
      <w:r>
        <w:t>- 302 -</w:t>
      </w:r>
      <w:r>
        <w:rPr>
          <w:rFonts w:hint="eastAsia"/>
        </w:rPr>
        <w:fldChar w:fldCharType="end"/>
      </w:r>
      <w:r>
        <w:rPr>
          <w:rFonts w:hint="eastAsia"/>
        </w:rPr>
        <w:fldChar w:fldCharType="end"/>
      </w:r>
    </w:p>
    <w:p w14:paraId="6E3B6BD4">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"_Toc217977950" </w:instrText>
      </w:r>
      <w:r>
        <w:fldChar w:fldCharType="separate"/>
      </w:r>
      <w:r>
        <w:rPr>
          <w:rStyle w:val="144"/>
          <w:rFonts w:hint="eastAsia"/>
        </w:rPr>
        <w:t>8.4 竣工环保验收</w:t>
      </w:r>
      <w:r>
        <w:rPr>
          <w:rFonts w:hint="eastAsia"/>
        </w:rPr>
        <w:tab/>
      </w:r>
      <w:r>
        <w:rPr>
          <w:rFonts w:hint="eastAsia"/>
        </w:rPr>
        <w:fldChar w:fldCharType="begin"/>
      </w:r>
      <w:r>
        <w:rPr>
          <w:rFonts w:hint="eastAsia"/>
        </w:rPr>
        <w:instrText xml:space="preserve"> </w:instrText>
      </w:r>
      <w:r>
        <w:instrText xml:space="preserve">PAGEREF _Toc217977950 \h</w:instrText>
      </w:r>
      <w:r>
        <w:rPr>
          <w:rFonts w:hint="eastAsia"/>
        </w:rPr>
        <w:instrText xml:space="preserve"> </w:instrText>
      </w:r>
      <w:r>
        <w:rPr>
          <w:rFonts w:hint="eastAsia"/>
        </w:rPr>
        <w:fldChar w:fldCharType="separate"/>
      </w:r>
      <w:r>
        <w:t>- 304 -</w:t>
      </w:r>
      <w:r>
        <w:rPr>
          <w:rFonts w:hint="eastAsia"/>
        </w:rPr>
        <w:fldChar w:fldCharType="end"/>
      </w:r>
      <w:r>
        <w:rPr>
          <w:rFonts w:hint="eastAsia"/>
        </w:rPr>
        <w:fldChar w:fldCharType="end"/>
      </w:r>
    </w:p>
    <w:p w14:paraId="78A49408">
      <w:pPr>
        <w:pStyle w:val="59"/>
        <w:tabs>
          <w:tab w:val="right" w:leader="dot" w:pos="8302"/>
        </w:tabs>
        <w:ind w:firstLine="462"/>
        <w:rPr>
          <w:rFonts w:hint="eastAsia" w:asciiTheme="minorHAnsi" w:hAnsiTheme="minorHAnsi" w:eastAsiaTheme="minorEastAsia" w:cstheme="minorBidi"/>
          <w:sz w:val="22"/>
          <w14:ligatures w14:val="standardContextual"/>
        </w:rPr>
      </w:pPr>
      <w:r>
        <w:fldChar w:fldCharType="begin"/>
      </w:r>
      <w:r>
        <w:instrText xml:space="preserve"> HYPERLINK \l "_Toc217977951" </w:instrText>
      </w:r>
      <w:r>
        <w:fldChar w:fldCharType="separate"/>
      </w:r>
      <w:r>
        <w:rPr>
          <w:rStyle w:val="144"/>
          <w:rFonts w:hint="eastAsia"/>
        </w:rPr>
        <w:t>9 评价结论</w:t>
      </w:r>
      <w:r>
        <w:rPr>
          <w:rFonts w:hint="eastAsia"/>
        </w:rPr>
        <w:tab/>
      </w:r>
      <w:r>
        <w:rPr>
          <w:rFonts w:hint="eastAsia"/>
        </w:rPr>
        <w:fldChar w:fldCharType="begin"/>
      </w:r>
      <w:r>
        <w:rPr>
          <w:rFonts w:hint="eastAsia"/>
        </w:rPr>
        <w:instrText xml:space="preserve"> </w:instrText>
      </w:r>
      <w:r>
        <w:instrText xml:space="preserve">PAGEREF _Toc217977951 \h</w:instrText>
      </w:r>
      <w:r>
        <w:rPr>
          <w:rFonts w:hint="eastAsia"/>
        </w:rPr>
        <w:instrText xml:space="preserve"> </w:instrText>
      </w:r>
      <w:r>
        <w:rPr>
          <w:rFonts w:hint="eastAsia"/>
        </w:rPr>
        <w:fldChar w:fldCharType="separate"/>
      </w:r>
      <w:r>
        <w:t>- 306 -</w:t>
      </w:r>
      <w:r>
        <w:rPr>
          <w:rFonts w:hint="eastAsia"/>
        </w:rPr>
        <w:fldChar w:fldCharType="end"/>
      </w:r>
      <w:r>
        <w:rPr>
          <w:rFonts w:hint="eastAsia"/>
        </w:rPr>
        <w:fldChar w:fldCharType="end"/>
      </w:r>
    </w:p>
    <w:p w14:paraId="5CCFE606">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"_Toc217977952" </w:instrText>
      </w:r>
      <w:r>
        <w:fldChar w:fldCharType="separate"/>
      </w:r>
      <w:r>
        <w:rPr>
          <w:rStyle w:val="144"/>
          <w:rFonts w:hint="eastAsia"/>
        </w:rPr>
        <w:t>9.1 工程概况</w:t>
      </w:r>
      <w:r>
        <w:rPr>
          <w:rFonts w:hint="eastAsia"/>
        </w:rPr>
        <w:tab/>
      </w:r>
      <w:r>
        <w:rPr>
          <w:rFonts w:hint="eastAsia"/>
        </w:rPr>
        <w:fldChar w:fldCharType="begin"/>
      </w:r>
      <w:r>
        <w:rPr>
          <w:rFonts w:hint="eastAsia"/>
        </w:rPr>
        <w:instrText xml:space="preserve"> </w:instrText>
      </w:r>
      <w:r>
        <w:instrText xml:space="preserve">PAGEREF _Toc217977952 \h</w:instrText>
      </w:r>
      <w:r>
        <w:rPr>
          <w:rFonts w:hint="eastAsia"/>
        </w:rPr>
        <w:instrText xml:space="preserve"> </w:instrText>
      </w:r>
      <w:r>
        <w:rPr>
          <w:rFonts w:hint="eastAsia"/>
        </w:rPr>
        <w:fldChar w:fldCharType="separate"/>
      </w:r>
      <w:r>
        <w:t>- 306 -</w:t>
      </w:r>
      <w:r>
        <w:rPr>
          <w:rFonts w:hint="eastAsia"/>
        </w:rPr>
        <w:fldChar w:fldCharType="end"/>
      </w:r>
      <w:r>
        <w:rPr>
          <w:rFonts w:hint="eastAsia"/>
        </w:rPr>
        <w:fldChar w:fldCharType="end"/>
      </w:r>
    </w:p>
    <w:p w14:paraId="2EB85C68">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"_Toc217977953" </w:instrText>
      </w:r>
      <w:r>
        <w:fldChar w:fldCharType="separate"/>
      </w:r>
      <w:r>
        <w:rPr>
          <w:rStyle w:val="144"/>
          <w:rFonts w:hint="eastAsia"/>
        </w:rPr>
        <w:t>9.2 规划一致性分析结论</w:t>
      </w:r>
      <w:r>
        <w:rPr>
          <w:rFonts w:hint="eastAsia"/>
        </w:rPr>
        <w:tab/>
      </w:r>
      <w:r>
        <w:rPr>
          <w:rFonts w:hint="eastAsia"/>
        </w:rPr>
        <w:fldChar w:fldCharType="begin"/>
      </w:r>
      <w:r>
        <w:rPr>
          <w:rFonts w:hint="eastAsia"/>
        </w:rPr>
        <w:instrText xml:space="preserve"> </w:instrText>
      </w:r>
      <w:r>
        <w:instrText xml:space="preserve">PAGEREF _Toc217977953 \h</w:instrText>
      </w:r>
      <w:r>
        <w:rPr>
          <w:rFonts w:hint="eastAsia"/>
        </w:rPr>
        <w:instrText xml:space="preserve"> </w:instrText>
      </w:r>
      <w:r>
        <w:rPr>
          <w:rFonts w:hint="eastAsia"/>
        </w:rPr>
        <w:fldChar w:fldCharType="separate"/>
      </w:r>
      <w:r>
        <w:t>- 306 -</w:t>
      </w:r>
      <w:r>
        <w:rPr>
          <w:rFonts w:hint="eastAsia"/>
        </w:rPr>
        <w:fldChar w:fldCharType="end"/>
      </w:r>
      <w:r>
        <w:rPr>
          <w:rFonts w:hint="eastAsia"/>
        </w:rPr>
        <w:fldChar w:fldCharType="end"/>
      </w:r>
    </w:p>
    <w:p w14:paraId="71BDCEA8">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"_Toc217977954" </w:instrText>
      </w:r>
      <w:r>
        <w:fldChar w:fldCharType="separate"/>
      </w:r>
      <w:r>
        <w:rPr>
          <w:rStyle w:val="144"/>
          <w:rFonts w:hint="eastAsia"/>
        </w:rPr>
        <w:t>9.3 主要环境保护目标</w:t>
      </w:r>
      <w:r>
        <w:rPr>
          <w:rFonts w:hint="eastAsia"/>
        </w:rPr>
        <w:tab/>
      </w:r>
      <w:r>
        <w:rPr>
          <w:rFonts w:hint="eastAsia"/>
        </w:rPr>
        <w:fldChar w:fldCharType="begin"/>
      </w:r>
      <w:r>
        <w:rPr>
          <w:rFonts w:hint="eastAsia"/>
        </w:rPr>
        <w:instrText xml:space="preserve"> </w:instrText>
      </w:r>
      <w:r>
        <w:instrText xml:space="preserve">PAGEREF _Toc217977954 \h</w:instrText>
      </w:r>
      <w:r>
        <w:rPr>
          <w:rFonts w:hint="eastAsia"/>
        </w:rPr>
        <w:instrText xml:space="preserve"> </w:instrText>
      </w:r>
      <w:r>
        <w:rPr>
          <w:rFonts w:hint="eastAsia"/>
        </w:rPr>
        <w:fldChar w:fldCharType="separate"/>
      </w:r>
      <w:r>
        <w:t>- 307 -</w:t>
      </w:r>
      <w:r>
        <w:rPr>
          <w:rFonts w:hint="eastAsia"/>
        </w:rPr>
        <w:fldChar w:fldCharType="end"/>
      </w:r>
      <w:r>
        <w:rPr>
          <w:rFonts w:hint="eastAsia"/>
        </w:rPr>
        <w:fldChar w:fldCharType="end"/>
      </w:r>
    </w:p>
    <w:p w14:paraId="19ADEACF">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"_Toc217977955" </w:instrText>
      </w:r>
      <w:r>
        <w:fldChar w:fldCharType="separate"/>
      </w:r>
      <w:r>
        <w:rPr>
          <w:rStyle w:val="144"/>
          <w:rFonts w:hint="eastAsia"/>
        </w:rPr>
        <w:t>9.4 环境质量现状调查与评价</w:t>
      </w:r>
      <w:r>
        <w:rPr>
          <w:rFonts w:hint="eastAsia"/>
        </w:rPr>
        <w:tab/>
      </w:r>
      <w:r>
        <w:rPr>
          <w:rFonts w:hint="eastAsia"/>
        </w:rPr>
        <w:fldChar w:fldCharType="begin"/>
      </w:r>
      <w:r>
        <w:rPr>
          <w:rFonts w:hint="eastAsia"/>
        </w:rPr>
        <w:instrText xml:space="preserve"> </w:instrText>
      </w:r>
      <w:r>
        <w:instrText xml:space="preserve">PAGEREF _Toc217977955 \h</w:instrText>
      </w:r>
      <w:r>
        <w:rPr>
          <w:rFonts w:hint="eastAsia"/>
        </w:rPr>
        <w:instrText xml:space="preserve"> </w:instrText>
      </w:r>
      <w:r>
        <w:rPr>
          <w:rFonts w:hint="eastAsia"/>
        </w:rPr>
        <w:fldChar w:fldCharType="separate"/>
      </w:r>
      <w:r>
        <w:t>- 307 -</w:t>
      </w:r>
      <w:r>
        <w:rPr>
          <w:rFonts w:hint="eastAsia"/>
        </w:rPr>
        <w:fldChar w:fldCharType="end"/>
      </w:r>
      <w:r>
        <w:rPr>
          <w:rFonts w:hint="eastAsia"/>
        </w:rPr>
        <w:fldChar w:fldCharType="end"/>
      </w:r>
    </w:p>
    <w:p w14:paraId="4015D0B4">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"_Toc217977956" </w:instrText>
      </w:r>
      <w:r>
        <w:fldChar w:fldCharType="separate"/>
      </w:r>
      <w:r>
        <w:rPr>
          <w:rStyle w:val="144"/>
          <w:rFonts w:hint="eastAsia"/>
        </w:rPr>
        <w:t>9.5 环境影响评价结论与主要环境保护措施</w:t>
      </w:r>
      <w:r>
        <w:rPr>
          <w:rFonts w:hint="eastAsia"/>
        </w:rPr>
        <w:tab/>
      </w:r>
      <w:r>
        <w:rPr>
          <w:rFonts w:hint="eastAsia"/>
        </w:rPr>
        <w:fldChar w:fldCharType="begin"/>
      </w:r>
      <w:r>
        <w:rPr>
          <w:rFonts w:hint="eastAsia"/>
        </w:rPr>
        <w:instrText xml:space="preserve"> </w:instrText>
      </w:r>
      <w:r>
        <w:instrText xml:space="preserve">PAGEREF _Toc217977956 \h</w:instrText>
      </w:r>
      <w:r>
        <w:rPr>
          <w:rFonts w:hint="eastAsia"/>
        </w:rPr>
        <w:instrText xml:space="preserve"> </w:instrText>
      </w:r>
      <w:r>
        <w:rPr>
          <w:rFonts w:hint="eastAsia"/>
        </w:rPr>
        <w:fldChar w:fldCharType="separate"/>
      </w:r>
      <w:r>
        <w:t>- 308 -</w:t>
      </w:r>
      <w:r>
        <w:rPr>
          <w:rFonts w:hint="eastAsia"/>
        </w:rPr>
        <w:fldChar w:fldCharType="end"/>
      </w:r>
      <w:r>
        <w:rPr>
          <w:rFonts w:hint="eastAsia"/>
        </w:rPr>
        <w:fldChar w:fldCharType="end"/>
      </w:r>
    </w:p>
    <w:p w14:paraId="1FF46A80">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"_Toc217977957" </w:instrText>
      </w:r>
      <w:r>
        <w:fldChar w:fldCharType="separate"/>
      </w:r>
      <w:r>
        <w:rPr>
          <w:rStyle w:val="144"/>
          <w:rFonts w:hint="eastAsia"/>
        </w:rPr>
        <w:t>9.6 评价总结论</w:t>
      </w:r>
      <w:r>
        <w:rPr>
          <w:rFonts w:hint="eastAsia"/>
        </w:rPr>
        <w:tab/>
      </w:r>
      <w:r>
        <w:rPr>
          <w:rFonts w:hint="eastAsia"/>
        </w:rPr>
        <w:fldChar w:fldCharType="begin"/>
      </w:r>
      <w:r>
        <w:rPr>
          <w:rFonts w:hint="eastAsia"/>
        </w:rPr>
        <w:instrText xml:space="preserve"> </w:instrText>
      </w:r>
      <w:r>
        <w:instrText xml:space="preserve">PAGEREF _Toc217977957 \h</w:instrText>
      </w:r>
      <w:r>
        <w:rPr>
          <w:rFonts w:hint="eastAsia"/>
        </w:rPr>
        <w:instrText xml:space="preserve"> </w:instrText>
      </w:r>
      <w:r>
        <w:rPr>
          <w:rFonts w:hint="eastAsia"/>
        </w:rPr>
        <w:fldChar w:fldCharType="separate"/>
      </w:r>
      <w:r>
        <w:t>- 313 -</w:t>
      </w:r>
      <w:r>
        <w:rPr>
          <w:rFonts w:hint="eastAsia"/>
        </w:rPr>
        <w:fldChar w:fldCharType="end"/>
      </w:r>
      <w:r>
        <w:rPr>
          <w:rFonts w:hint="eastAsia"/>
        </w:rPr>
        <w:fldChar w:fldCharType="end"/>
      </w:r>
    </w:p>
    <w:p w14:paraId="2C3921B2">
      <w:pPr>
        <w:ind w:firstLine="542"/>
        <w:rPr>
          <w:bCs/>
          <w:sz w:val="28"/>
          <w:szCs w:val="28"/>
        </w:rPr>
        <w:sectPr>
          <w:pgSz w:w="11907" w:h="16840"/>
          <w:pgMar w:top="1440" w:right="1514" w:bottom="1440" w:left="1797" w:header="992" w:footer="851" w:gutter="284"/>
          <w:pgNumType w:fmt="numberInDash" w:start="1"/>
          <w:cols w:space="425" w:num="1"/>
          <w:titlePg/>
          <w:docGrid w:type="linesAndChars" w:linePitch="465" w:charSpace="-1866"/>
        </w:sectPr>
      </w:pPr>
      <w:r>
        <w:rPr>
          <w:bCs/>
          <w:sz w:val="28"/>
          <w:szCs w:val="28"/>
        </w:rPr>
        <w:fldChar w:fldCharType="end"/>
      </w:r>
    </w:p>
    <w:p w14:paraId="11FA5E36">
      <w:pPr>
        <w:ind w:firstLine="0" w:firstLineChars="0"/>
        <w:rPr>
          <w:b/>
          <w:bCs/>
        </w:rPr>
      </w:pPr>
      <w:r>
        <w:rPr>
          <w:b/>
          <w:bCs/>
        </w:rPr>
        <w:t>附图：</w:t>
      </w:r>
    </w:p>
    <w:p w14:paraId="4CFCF31E">
      <w:pPr>
        <w:pStyle w:val="165"/>
        <w:numPr>
          <w:ilvl w:val="0"/>
          <w:numId w:val="42"/>
        </w:numPr>
        <w:ind w:left="0" w:firstLine="462"/>
      </w:pPr>
      <w:r>
        <w:t>项目地理位置示意图</w:t>
      </w:r>
    </w:p>
    <w:p w14:paraId="1F0793E7">
      <w:pPr>
        <w:pStyle w:val="165"/>
        <w:numPr>
          <w:ilvl w:val="0"/>
          <w:numId w:val="42"/>
        </w:numPr>
        <w:ind w:left="0" w:firstLine="462"/>
      </w:pPr>
      <w:r>
        <w:t>项目总平面布置图</w:t>
      </w:r>
    </w:p>
    <w:p w14:paraId="47582A27">
      <w:pPr>
        <w:pStyle w:val="165"/>
        <w:numPr>
          <w:ilvl w:val="0"/>
          <w:numId w:val="42"/>
        </w:numPr>
        <w:ind w:left="0" w:firstLine="462"/>
      </w:pPr>
      <w:r>
        <w:rPr>
          <w:rFonts w:hint="eastAsia"/>
        </w:rPr>
        <w:t>项目陆域平面布置图</w:t>
      </w:r>
    </w:p>
    <w:p w14:paraId="00C1BBC5">
      <w:pPr>
        <w:pStyle w:val="165"/>
        <w:numPr>
          <w:ilvl w:val="0"/>
          <w:numId w:val="42"/>
        </w:numPr>
        <w:ind w:left="0" w:firstLine="462"/>
      </w:pPr>
      <w:r>
        <w:t>项目</w:t>
      </w:r>
      <w:r>
        <w:rPr>
          <w:rFonts w:hint="eastAsia"/>
        </w:rPr>
        <w:t>装卸工艺图</w:t>
      </w:r>
    </w:p>
    <w:p w14:paraId="234D268C">
      <w:pPr>
        <w:pStyle w:val="165"/>
        <w:numPr>
          <w:ilvl w:val="0"/>
          <w:numId w:val="42"/>
        </w:numPr>
        <w:ind w:left="0" w:firstLine="462"/>
      </w:pPr>
      <w:r>
        <w:rPr>
          <w:rFonts w:hint="eastAsia"/>
        </w:rPr>
        <w:t>项目水工结构图</w:t>
      </w:r>
    </w:p>
    <w:p w14:paraId="12CB93F3">
      <w:pPr>
        <w:pStyle w:val="165"/>
        <w:numPr>
          <w:ilvl w:val="0"/>
          <w:numId w:val="42"/>
        </w:numPr>
        <w:ind w:left="0" w:firstLine="462"/>
      </w:pPr>
      <w:bookmarkStart w:id="46" w:name="_Hlk135798032"/>
      <w:bookmarkStart w:id="47" w:name="_Hlk183442460"/>
      <w:r>
        <w:t>项目</w:t>
      </w:r>
      <w:bookmarkStart w:id="48" w:name="_Hlk135796987"/>
      <w:r>
        <w:t>与广西近岸海域环境功能区划调整方案位置关系</w:t>
      </w:r>
      <w:bookmarkEnd w:id="48"/>
    </w:p>
    <w:p w14:paraId="26F78774">
      <w:pPr>
        <w:pStyle w:val="165"/>
        <w:numPr>
          <w:ilvl w:val="0"/>
          <w:numId w:val="42"/>
        </w:numPr>
        <w:ind w:left="0" w:firstLine="462"/>
      </w:pPr>
      <w:bookmarkStart w:id="49" w:name="_Hlk135797275"/>
      <w:r>
        <w:rPr>
          <w:rFonts w:hint="eastAsia"/>
        </w:rPr>
        <w:t>项目与《北部湾港总体规划（2021～2035 年）》位置示意图</w:t>
      </w:r>
    </w:p>
    <w:p w14:paraId="01142D22">
      <w:pPr>
        <w:pStyle w:val="165"/>
        <w:numPr>
          <w:ilvl w:val="0"/>
          <w:numId w:val="42"/>
        </w:numPr>
        <w:ind w:left="0" w:firstLine="462"/>
      </w:pPr>
      <w:r>
        <w:rPr>
          <w:rFonts w:hint="eastAsia"/>
        </w:rPr>
        <w:t>项目与钦州市国土空间总体规划（2021-2035）市域国土控制线规划图位置关系示意图</w:t>
      </w:r>
    </w:p>
    <w:p w14:paraId="7E142978">
      <w:pPr>
        <w:pStyle w:val="165"/>
        <w:numPr>
          <w:ilvl w:val="0"/>
          <w:numId w:val="42"/>
        </w:numPr>
        <w:ind w:left="0" w:firstLine="462"/>
      </w:pPr>
      <w:r>
        <w:rPr>
          <w:rFonts w:hint="eastAsia"/>
        </w:rPr>
        <w:t>项目与钦州市国土空间总体规划（2021-2035）市域海洋功能分区图位置关系示意图</w:t>
      </w:r>
    </w:p>
    <w:bookmarkEnd w:id="49"/>
    <w:p w14:paraId="6687E2AB">
      <w:pPr>
        <w:pStyle w:val="165"/>
        <w:numPr>
          <w:ilvl w:val="0"/>
          <w:numId w:val="42"/>
        </w:numPr>
        <w:ind w:left="0" w:firstLine="462"/>
      </w:pPr>
      <w:r>
        <w:t>项目</w:t>
      </w:r>
      <w:r>
        <w:rPr>
          <w:rFonts w:hint="eastAsia"/>
        </w:rPr>
        <w:t>海洋生态评价范围及</w:t>
      </w:r>
      <w:r>
        <w:t>周边主要生态敏感区位置关系示意图</w:t>
      </w:r>
    </w:p>
    <w:p w14:paraId="060FAC17">
      <w:pPr>
        <w:pStyle w:val="165"/>
        <w:numPr>
          <w:ilvl w:val="0"/>
          <w:numId w:val="42"/>
        </w:numPr>
        <w:ind w:left="0" w:firstLine="462"/>
      </w:pPr>
      <w:r>
        <w:rPr>
          <w:rFonts w:hint="eastAsia"/>
        </w:rPr>
        <w:t>项目与钦州市生态环境分区管控单元关系示意图</w:t>
      </w:r>
      <w:bookmarkEnd w:id="46"/>
      <w:bookmarkStart w:id="50" w:name="_Hlk135797559"/>
    </w:p>
    <w:p w14:paraId="2249AC66">
      <w:pPr>
        <w:pStyle w:val="165"/>
        <w:numPr>
          <w:ilvl w:val="0"/>
          <w:numId w:val="42"/>
        </w:numPr>
        <w:ind w:left="0" w:firstLine="462"/>
      </w:pPr>
      <w:bookmarkStart w:id="51" w:name="_Hlk135798278"/>
      <w:r>
        <w:rPr>
          <w:rFonts w:hint="eastAsia"/>
        </w:rPr>
        <w:t>项目与钦州市中心城区声环境功能区划的位置示意图</w:t>
      </w:r>
    </w:p>
    <w:bookmarkEnd w:id="50"/>
    <w:bookmarkEnd w:id="51"/>
    <w:p w14:paraId="37A2F980">
      <w:pPr>
        <w:pStyle w:val="165"/>
        <w:numPr>
          <w:ilvl w:val="0"/>
          <w:numId w:val="42"/>
        </w:numPr>
        <w:ind w:left="0" w:firstLine="462"/>
        <w:rPr>
          <w:u w:val="single"/>
        </w:rPr>
      </w:pPr>
      <w:r>
        <w:rPr>
          <w:rFonts w:hint="eastAsia"/>
          <w:u w:val="single"/>
        </w:rPr>
        <w:t>项目环境现状点位图</w:t>
      </w:r>
    </w:p>
    <w:p w14:paraId="0F49912B">
      <w:pPr>
        <w:pStyle w:val="165"/>
        <w:numPr>
          <w:ilvl w:val="0"/>
          <w:numId w:val="42"/>
        </w:numPr>
        <w:ind w:left="0" w:firstLine="462"/>
        <w:rPr>
          <w:u w:val="single"/>
        </w:rPr>
      </w:pPr>
      <w:r>
        <w:rPr>
          <w:rFonts w:hint="eastAsia"/>
          <w:u w:val="single"/>
        </w:rPr>
        <w:t>项目排水设计及主要环保设施布置图</w:t>
      </w:r>
    </w:p>
    <w:bookmarkEnd w:id="47"/>
    <w:p w14:paraId="7F04E0C8">
      <w:pPr>
        <w:ind w:firstLine="0" w:firstLineChars="0"/>
      </w:pPr>
    </w:p>
    <w:p w14:paraId="79305C3B">
      <w:pPr>
        <w:ind w:firstLine="0" w:firstLineChars="0"/>
      </w:pPr>
    </w:p>
    <w:p w14:paraId="4F4F32DA">
      <w:pPr>
        <w:ind w:firstLine="0" w:firstLineChars="0"/>
        <w:rPr>
          <w:b/>
          <w:bCs/>
        </w:rPr>
      </w:pPr>
      <w:r>
        <w:rPr>
          <w:b/>
          <w:bCs/>
        </w:rPr>
        <w:t>附件：</w:t>
      </w:r>
    </w:p>
    <w:p w14:paraId="7A3B3DAF">
      <w:pPr>
        <w:pStyle w:val="165"/>
        <w:numPr>
          <w:ilvl w:val="0"/>
          <w:numId w:val="43"/>
        </w:numPr>
        <w:ind w:firstLine="462"/>
        <w:jc w:val="left"/>
      </w:pPr>
      <w:r>
        <w:t xml:space="preserve"> 项目</w:t>
      </w:r>
      <w:r>
        <w:rPr>
          <w:rFonts w:hint="eastAsia"/>
        </w:rPr>
        <w:t>合同</w:t>
      </w:r>
    </w:p>
    <w:p w14:paraId="31D96AD5">
      <w:pPr>
        <w:pStyle w:val="165"/>
        <w:numPr>
          <w:ilvl w:val="0"/>
          <w:numId w:val="43"/>
        </w:numPr>
        <w:ind w:firstLine="462"/>
        <w:jc w:val="left"/>
      </w:pPr>
      <w:r>
        <w:rPr>
          <w:rFonts w:hint="eastAsia"/>
        </w:rPr>
        <w:t>关于北部湾港钦州港域大榄坪港区大榄坪南作业区内1号至5号江海联运泊位工程核准变更的批复（中马园审批核〔2025〕2号）</w:t>
      </w:r>
    </w:p>
    <w:p w14:paraId="1CEA9910">
      <w:pPr>
        <w:pStyle w:val="165"/>
        <w:numPr>
          <w:ilvl w:val="0"/>
          <w:numId w:val="43"/>
        </w:numPr>
        <w:ind w:firstLine="462"/>
        <w:jc w:val="left"/>
      </w:pPr>
      <w:r>
        <w:rPr>
          <w:rFonts w:hint="eastAsia"/>
        </w:rPr>
        <w:t>项目岸线使用专家评审意见</w:t>
      </w:r>
    </w:p>
    <w:p w14:paraId="02BA84D4">
      <w:pPr>
        <w:pStyle w:val="165"/>
        <w:numPr>
          <w:ilvl w:val="0"/>
          <w:numId w:val="43"/>
        </w:numPr>
        <w:ind w:firstLine="462"/>
        <w:jc w:val="left"/>
      </w:pPr>
      <w:r>
        <w:rPr>
          <w:rFonts w:hint="eastAsia"/>
        </w:rPr>
        <w:t>项目初步设计专家审查意见</w:t>
      </w:r>
    </w:p>
    <w:p w14:paraId="466D92E5">
      <w:pPr>
        <w:pStyle w:val="165"/>
        <w:numPr>
          <w:ilvl w:val="0"/>
          <w:numId w:val="43"/>
        </w:numPr>
        <w:ind w:firstLine="462"/>
        <w:jc w:val="left"/>
      </w:pPr>
      <w:r>
        <w:rPr>
          <w:rFonts w:hint="eastAsia"/>
        </w:rPr>
        <w:t>广西壮族自治区交通运输厅关于项目安全条件审查的意</w:t>
      </w:r>
      <w:bookmarkStart w:id="52" w:name="OLE_LINK83"/>
      <w:r>
        <w:rPr>
          <w:rFonts w:hint="eastAsia"/>
        </w:rPr>
        <w:t>（桂交行审〔2025〕359 号）</w:t>
      </w:r>
      <w:bookmarkEnd w:id="52"/>
    </w:p>
    <w:p w14:paraId="5A940CBD">
      <w:pPr>
        <w:pStyle w:val="165"/>
        <w:numPr>
          <w:ilvl w:val="0"/>
          <w:numId w:val="43"/>
        </w:numPr>
        <w:ind w:firstLine="462"/>
        <w:jc w:val="left"/>
      </w:pPr>
      <w:r>
        <w:rPr>
          <w:rFonts w:hint="eastAsia"/>
        </w:rPr>
        <w:t>项目用海论证报告专家评审意见</w:t>
      </w:r>
    </w:p>
    <w:p w14:paraId="4F3F5AA1">
      <w:pPr>
        <w:pStyle w:val="165"/>
        <w:numPr>
          <w:ilvl w:val="0"/>
          <w:numId w:val="43"/>
        </w:numPr>
        <w:ind w:firstLine="462"/>
        <w:jc w:val="left"/>
      </w:pPr>
      <w:r>
        <w:rPr>
          <w:rFonts w:hint="eastAsia"/>
        </w:rPr>
        <w:t>关于《北部湾港总体规划（2035年）环境影响报告书》的审查意见</w:t>
      </w:r>
    </w:p>
    <w:p w14:paraId="5C22C000">
      <w:pPr>
        <w:pStyle w:val="165"/>
        <w:numPr>
          <w:ilvl w:val="0"/>
          <w:numId w:val="43"/>
        </w:numPr>
        <w:ind w:firstLine="462"/>
        <w:jc w:val="left"/>
      </w:pPr>
      <w:r>
        <w:rPr>
          <w:rFonts w:hint="eastAsia"/>
        </w:rPr>
        <w:t>引用的环境</w:t>
      </w:r>
      <w:r>
        <w:t>监测报告</w:t>
      </w:r>
    </w:p>
    <w:p w14:paraId="7A1561DE">
      <w:pPr>
        <w:pStyle w:val="165"/>
        <w:numPr>
          <w:ilvl w:val="0"/>
          <w:numId w:val="43"/>
        </w:numPr>
        <w:ind w:firstLine="462"/>
        <w:jc w:val="left"/>
      </w:pPr>
      <w:r>
        <w:rPr>
          <w:rFonts w:hint="eastAsia"/>
        </w:rPr>
        <w:t>运营单位广西钦州保税港区盛港码头有限公司2024年度环境例行监测项目监测报告</w:t>
      </w:r>
    </w:p>
    <w:p w14:paraId="2FCC260B">
      <w:pPr>
        <w:pStyle w:val="165"/>
        <w:numPr>
          <w:ilvl w:val="0"/>
          <w:numId w:val="43"/>
        </w:numPr>
        <w:ind w:firstLine="462"/>
        <w:jc w:val="left"/>
      </w:pPr>
      <w:r>
        <w:rPr>
          <w:rFonts w:hint="eastAsia"/>
        </w:rPr>
        <w:t>钦州港大榄坪港区大榄坪南作业区泊位水域疏浚一期工程疏浚物海洋倾倒监测报告</w:t>
      </w:r>
    </w:p>
    <w:p w14:paraId="026D4AD6">
      <w:pPr>
        <w:pStyle w:val="165"/>
        <w:numPr>
          <w:ilvl w:val="0"/>
          <w:numId w:val="43"/>
        </w:numPr>
        <w:ind w:firstLine="462"/>
        <w:jc w:val="left"/>
      </w:pPr>
      <w:r>
        <w:rPr>
          <w:rFonts w:hint="eastAsia"/>
        </w:rPr>
        <w:t>关于解决钦州港大榄坪A2排污混合区金桂浆纸业公司排污口与港口码头建设项目用海冲突问题的工作方案</w:t>
      </w:r>
    </w:p>
    <w:p w14:paraId="48FB207B">
      <w:pPr>
        <w:pStyle w:val="165"/>
        <w:numPr>
          <w:ilvl w:val="0"/>
          <w:numId w:val="43"/>
        </w:numPr>
        <w:ind w:firstLine="462"/>
        <w:jc w:val="left"/>
      </w:pPr>
      <w:r>
        <w:rPr>
          <w:rFonts w:hint="eastAsia"/>
        </w:rPr>
        <w:t>钦州市人民政府《研究钦州港大榄坪 A2 排污混合区排污口就近迁改有关问题的纪要》（钦政阅〔2025〕36号）</w:t>
      </w:r>
    </w:p>
    <w:p w14:paraId="7817BE8E">
      <w:pPr>
        <w:pStyle w:val="165"/>
        <w:numPr>
          <w:ilvl w:val="0"/>
          <w:numId w:val="43"/>
        </w:numPr>
        <w:ind w:firstLine="462"/>
        <w:jc w:val="left"/>
      </w:pPr>
      <w:r>
        <w:rPr>
          <w:rFonts w:hint="eastAsia"/>
        </w:rPr>
        <w:t>《入海排污口设置选址可行性研究报告》专家评审意见</w:t>
      </w:r>
    </w:p>
    <w:p w14:paraId="54B72421">
      <w:pPr>
        <w:pStyle w:val="165"/>
        <w:numPr>
          <w:ilvl w:val="0"/>
          <w:numId w:val="43"/>
        </w:numPr>
        <w:ind w:firstLine="462"/>
        <w:jc w:val="left"/>
        <w:rPr>
          <w:u w:val="single"/>
        </w:rPr>
      </w:pPr>
      <w:r>
        <w:rPr>
          <w:rFonts w:hint="eastAsia"/>
          <w:u w:val="single"/>
        </w:rPr>
        <w:t>金桂浆纸关于本项目岸线及用海的相关意见</w:t>
      </w:r>
    </w:p>
    <w:p w14:paraId="22A29E3B">
      <w:pPr>
        <w:ind w:firstLine="0" w:firstLineChars="0"/>
        <w:jc w:val="left"/>
      </w:pPr>
    </w:p>
    <w:p w14:paraId="539D0105">
      <w:pPr>
        <w:ind w:firstLine="0" w:firstLineChars="0"/>
        <w:rPr>
          <w:b/>
          <w:bCs/>
        </w:rPr>
      </w:pPr>
      <w:r>
        <w:rPr>
          <w:rFonts w:hint="eastAsia"/>
        </w:rPr>
        <w:t xml:space="preserve"> </w:t>
      </w:r>
      <w:r>
        <w:rPr>
          <w:rFonts w:hint="eastAsia"/>
          <w:b/>
          <w:bCs/>
        </w:rPr>
        <w:t>附表：</w:t>
      </w:r>
    </w:p>
    <w:p w14:paraId="493CF083">
      <w:pPr>
        <w:ind w:firstLine="0" w:firstLineChars="0"/>
      </w:pPr>
      <w:r>
        <w:rPr>
          <w:rFonts w:hint="eastAsia"/>
        </w:rPr>
        <w:t>附表1  大气环境评价自查表</w:t>
      </w:r>
    </w:p>
    <w:p w14:paraId="41E3A74F">
      <w:pPr>
        <w:ind w:firstLine="0" w:firstLineChars="0"/>
      </w:pPr>
      <w:r>
        <w:rPr>
          <w:rFonts w:hint="eastAsia"/>
        </w:rPr>
        <w:t>附表2  建设项目环境风险影响评价自查表</w:t>
      </w:r>
    </w:p>
    <w:p w14:paraId="559653BF">
      <w:pPr>
        <w:ind w:firstLine="0" w:firstLineChars="0"/>
      </w:pPr>
      <w:r>
        <w:rPr>
          <w:rFonts w:hint="eastAsia"/>
        </w:rPr>
        <w:t>附表3  生态影响评价自查表</w:t>
      </w:r>
    </w:p>
    <w:p w14:paraId="03179C42">
      <w:pPr>
        <w:ind w:firstLine="0" w:firstLineChars="0"/>
      </w:pPr>
      <w:r>
        <w:rPr>
          <w:rFonts w:hint="eastAsia"/>
        </w:rPr>
        <w:t>附表4  声环境影响评价自查表</w:t>
      </w:r>
    </w:p>
    <w:p w14:paraId="100D8A17">
      <w:pPr>
        <w:ind w:firstLine="0" w:firstLineChars="0"/>
      </w:pPr>
      <w:r>
        <w:rPr>
          <w:rFonts w:hint="eastAsia"/>
        </w:rPr>
        <w:t>附件5  海洋生态影响评价自查表</w:t>
      </w:r>
    </w:p>
    <w:p w14:paraId="3BD24999">
      <w:pPr>
        <w:ind w:firstLine="0" w:firstLineChars="0"/>
      </w:pPr>
      <w:r>
        <w:rPr>
          <w:rFonts w:hint="eastAsia"/>
        </w:rPr>
        <w:t>附表6  建设项目环评审批基础信息表</w:t>
      </w:r>
    </w:p>
    <w:p w14:paraId="688118FC">
      <w:pPr>
        <w:ind w:firstLine="0" w:firstLineChars="0"/>
      </w:pPr>
    </w:p>
    <w:p w14:paraId="44C2275E">
      <w:pPr>
        <w:ind w:firstLine="462"/>
        <w:sectPr>
          <w:pgSz w:w="11907" w:h="16840"/>
          <w:pgMar w:top="1440" w:right="1514" w:bottom="1440" w:left="1797" w:header="992" w:footer="851" w:gutter="284"/>
          <w:pgNumType w:fmt="numberInDash" w:start="1"/>
          <w:cols w:space="425" w:num="1"/>
          <w:titlePg/>
          <w:docGrid w:type="linesAndChars" w:linePitch="465" w:charSpace="-1866"/>
        </w:sectPr>
      </w:pPr>
    </w:p>
    <w:p w14:paraId="2850C85D">
      <w:pPr>
        <w:pStyle w:val="3"/>
        <w:ind w:firstLine="705"/>
      </w:pPr>
      <w:bookmarkStart w:id="53" w:name="_Toc217977902"/>
      <w:bookmarkStart w:id="54" w:name="_Toc198042306"/>
      <w:r>
        <w:t>总 则</w:t>
      </w:r>
      <w:bookmarkEnd w:id="53"/>
      <w:bookmarkEnd w:id="54"/>
    </w:p>
    <w:p w14:paraId="3E236171">
      <w:pPr>
        <w:pStyle w:val="4"/>
      </w:pPr>
      <w:bookmarkStart w:id="55" w:name="_Toc198042307"/>
      <w:bookmarkStart w:id="56" w:name="_Toc317003231"/>
      <w:bookmarkStart w:id="57" w:name="_Toc317003511"/>
      <w:bookmarkStart w:id="58" w:name="_Toc247517454"/>
      <w:bookmarkStart w:id="59" w:name="_Toc247517527"/>
      <w:bookmarkStart w:id="60" w:name="_Toc232154388"/>
      <w:bookmarkStart w:id="61" w:name="_Toc247517248"/>
      <w:bookmarkStart w:id="62" w:name="_Toc217977903"/>
      <w:r>
        <w:t>编制依据</w:t>
      </w:r>
      <w:bookmarkEnd w:id="55"/>
      <w:bookmarkEnd w:id="56"/>
      <w:bookmarkEnd w:id="57"/>
      <w:bookmarkEnd w:id="58"/>
      <w:bookmarkEnd w:id="59"/>
      <w:bookmarkEnd w:id="60"/>
      <w:bookmarkEnd w:id="61"/>
      <w:bookmarkEnd w:id="62"/>
    </w:p>
    <w:p w14:paraId="6E5DF4BB">
      <w:pPr>
        <w:pStyle w:val="5"/>
      </w:pPr>
      <w:bookmarkStart w:id="63" w:name="_Toc247517249"/>
      <w:bookmarkStart w:id="64" w:name="_Toc232154389"/>
      <w:r>
        <w:t>法律法规</w:t>
      </w:r>
      <w:bookmarkEnd w:id="63"/>
      <w:bookmarkEnd w:id="64"/>
    </w:p>
    <w:p w14:paraId="25828B1E">
      <w:pPr>
        <w:numPr>
          <w:ilvl w:val="0"/>
          <w:numId w:val="44"/>
        </w:numPr>
        <w:ind w:firstLine="462"/>
      </w:pPr>
      <w:r>
        <w:t>《中华人民共和国环境保护法》（2014年</w:t>
      </w:r>
      <w:r>
        <w:rPr>
          <w:rFonts w:hint="eastAsia"/>
        </w:rPr>
        <w:t>修订</w:t>
      </w:r>
      <w:r>
        <w:t>）；</w:t>
      </w:r>
    </w:p>
    <w:p w14:paraId="1C1FC801">
      <w:pPr>
        <w:numPr>
          <w:ilvl w:val="0"/>
          <w:numId w:val="44"/>
        </w:numPr>
        <w:ind w:firstLine="462"/>
        <w:rPr>
          <w:u w:val="single"/>
        </w:rPr>
      </w:pPr>
      <w:bookmarkStart w:id="65" w:name="OLE_LINK246"/>
      <w:bookmarkStart w:id="66" w:name="_Hlk156661707"/>
      <w:r>
        <w:rPr>
          <w:u w:val="single"/>
        </w:rPr>
        <w:t>《中华人民共和国海洋环境保护法》</w:t>
      </w:r>
      <w:bookmarkEnd w:id="65"/>
      <w:r>
        <w:rPr>
          <w:u w:val="single"/>
        </w:rPr>
        <w:t>（20</w:t>
      </w:r>
      <w:r>
        <w:rPr>
          <w:rFonts w:hint="eastAsia"/>
          <w:u w:val="single"/>
        </w:rPr>
        <w:t>23</w:t>
      </w:r>
      <w:r>
        <w:rPr>
          <w:u w:val="single"/>
        </w:rPr>
        <w:t>年</w:t>
      </w:r>
      <w:r>
        <w:rPr>
          <w:rFonts w:hint="eastAsia"/>
          <w:u w:val="single"/>
        </w:rPr>
        <w:t>修订</w:t>
      </w:r>
      <w:r>
        <w:rPr>
          <w:u w:val="single"/>
        </w:rPr>
        <w:t>）</w:t>
      </w:r>
      <w:bookmarkEnd w:id="66"/>
      <w:r>
        <w:rPr>
          <w:u w:val="single"/>
        </w:rPr>
        <w:t>；</w:t>
      </w:r>
    </w:p>
    <w:p w14:paraId="0A489A7E">
      <w:pPr>
        <w:numPr>
          <w:ilvl w:val="0"/>
          <w:numId w:val="44"/>
        </w:numPr>
        <w:ind w:firstLine="462"/>
      </w:pPr>
      <w:r>
        <w:t>《中华人民共和国环境影响评价法》（2018年修正）；</w:t>
      </w:r>
    </w:p>
    <w:p w14:paraId="1E5B9C3B">
      <w:pPr>
        <w:numPr>
          <w:ilvl w:val="0"/>
          <w:numId w:val="44"/>
        </w:numPr>
        <w:ind w:firstLine="462"/>
      </w:pPr>
      <w:r>
        <w:t>《中华人民共和国水污染防治法》（2017年修正）；</w:t>
      </w:r>
    </w:p>
    <w:p w14:paraId="3B854FB6">
      <w:pPr>
        <w:numPr>
          <w:ilvl w:val="0"/>
          <w:numId w:val="44"/>
        </w:numPr>
        <w:ind w:firstLine="462"/>
      </w:pPr>
      <w:r>
        <w:t>《中华人民共和国大气污染防治法》（2018年修正）；</w:t>
      </w:r>
    </w:p>
    <w:p w14:paraId="044FCF83">
      <w:pPr>
        <w:numPr>
          <w:ilvl w:val="0"/>
          <w:numId w:val="44"/>
        </w:numPr>
        <w:ind w:firstLine="462"/>
      </w:pPr>
      <w:r>
        <w:t>《中华人民共和国固体废物污染环境防治法》（2020年修正）；</w:t>
      </w:r>
    </w:p>
    <w:p w14:paraId="04D898A1">
      <w:pPr>
        <w:numPr>
          <w:ilvl w:val="0"/>
          <w:numId w:val="44"/>
        </w:numPr>
        <w:ind w:firstLine="462"/>
      </w:pPr>
      <w:r>
        <w:t>《中华人民共和国土地管理法》（2019年修正）；</w:t>
      </w:r>
    </w:p>
    <w:p w14:paraId="04640945">
      <w:pPr>
        <w:numPr>
          <w:ilvl w:val="0"/>
          <w:numId w:val="44"/>
        </w:numPr>
        <w:ind w:firstLine="462"/>
      </w:pPr>
      <w:r>
        <w:t>《中华人民共和国噪声污染防治法》（2022年6月5日起施行）；</w:t>
      </w:r>
    </w:p>
    <w:p w14:paraId="0CC45910">
      <w:pPr>
        <w:numPr>
          <w:ilvl w:val="0"/>
          <w:numId w:val="44"/>
        </w:numPr>
        <w:ind w:firstLine="462"/>
      </w:pPr>
      <w:r>
        <w:t>《中华人民共和国海域使用管理法》（2002年1月1日起施行）；</w:t>
      </w:r>
    </w:p>
    <w:p w14:paraId="639968BE">
      <w:pPr>
        <w:numPr>
          <w:ilvl w:val="0"/>
          <w:numId w:val="44"/>
        </w:numPr>
        <w:ind w:firstLine="462"/>
      </w:pPr>
      <w:r>
        <w:t xml:space="preserve">《中华人民共和国水土保持法》（2011年3月1日起施行）； </w:t>
      </w:r>
    </w:p>
    <w:p w14:paraId="0F542821">
      <w:pPr>
        <w:numPr>
          <w:ilvl w:val="0"/>
          <w:numId w:val="44"/>
        </w:numPr>
        <w:ind w:firstLine="462"/>
      </w:pPr>
      <w:r>
        <w:t>《中华人民共和国清洁生产促进法》（2012年修正）；</w:t>
      </w:r>
    </w:p>
    <w:p w14:paraId="2A942B11">
      <w:pPr>
        <w:numPr>
          <w:ilvl w:val="0"/>
          <w:numId w:val="44"/>
        </w:numPr>
        <w:ind w:firstLine="462"/>
      </w:pPr>
      <w:r>
        <w:t>《中华人民共和国水法》（2016年修正）；</w:t>
      </w:r>
    </w:p>
    <w:p w14:paraId="1145040B">
      <w:pPr>
        <w:numPr>
          <w:ilvl w:val="0"/>
          <w:numId w:val="44"/>
        </w:numPr>
        <w:ind w:firstLine="462"/>
      </w:pPr>
      <w:r>
        <w:t>《中华人民共和国渔业法》（2013年修正）；</w:t>
      </w:r>
    </w:p>
    <w:p w14:paraId="1FB8DDCF">
      <w:pPr>
        <w:numPr>
          <w:ilvl w:val="0"/>
          <w:numId w:val="44"/>
        </w:numPr>
        <w:ind w:firstLine="462"/>
      </w:pPr>
      <w:r>
        <w:t>《中华人民共和国港口法》（2018年修正）；</w:t>
      </w:r>
    </w:p>
    <w:p w14:paraId="12221070">
      <w:pPr>
        <w:numPr>
          <w:ilvl w:val="0"/>
          <w:numId w:val="44"/>
        </w:numPr>
        <w:ind w:firstLine="462"/>
      </w:pPr>
      <w:r>
        <w:t>《中华人民共和国安全生产法》（2014年修正）；</w:t>
      </w:r>
    </w:p>
    <w:p w14:paraId="3FDD620B">
      <w:pPr>
        <w:numPr>
          <w:ilvl w:val="0"/>
          <w:numId w:val="44"/>
        </w:numPr>
        <w:ind w:firstLine="462"/>
      </w:pPr>
      <w:r>
        <w:t>《中华人民共和国节约能源法》（2018年修正）；</w:t>
      </w:r>
    </w:p>
    <w:p w14:paraId="2B07132B">
      <w:pPr>
        <w:numPr>
          <w:ilvl w:val="0"/>
          <w:numId w:val="44"/>
        </w:numPr>
        <w:ind w:firstLine="462"/>
      </w:pPr>
      <w:r>
        <w:rPr>
          <w:rFonts w:hint="eastAsia"/>
        </w:rPr>
        <w:t>《中华人民共和国航道法》（2016年修正）；</w:t>
      </w:r>
    </w:p>
    <w:p w14:paraId="497723EC">
      <w:pPr>
        <w:numPr>
          <w:ilvl w:val="0"/>
          <w:numId w:val="44"/>
        </w:numPr>
        <w:ind w:firstLine="462"/>
      </w:pPr>
      <w:r>
        <w:rPr>
          <w:rFonts w:hint="eastAsia"/>
        </w:rPr>
        <w:t>《中华人民共和国野生动物保护法》（2022年修订）；</w:t>
      </w:r>
    </w:p>
    <w:p w14:paraId="15484571">
      <w:pPr>
        <w:numPr>
          <w:ilvl w:val="0"/>
          <w:numId w:val="44"/>
        </w:numPr>
        <w:ind w:firstLine="462"/>
        <w:rPr>
          <w:u w:val="single"/>
        </w:rPr>
      </w:pPr>
      <w:r>
        <w:rPr>
          <w:rFonts w:hint="eastAsia"/>
          <w:u w:val="single"/>
        </w:rPr>
        <w:t>《中华人民共和国湿地保护法》（2022年6月1日施行）；</w:t>
      </w:r>
    </w:p>
    <w:p w14:paraId="51138526">
      <w:pPr>
        <w:numPr>
          <w:ilvl w:val="0"/>
          <w:numId w:val="44"/>
        </w:numPr>
        <w:ind w:firstLine="462"/>
        <w:rPr>
          <w:u w:val="single"/>
        </w:rPr>
      </w:pPr>
      <w:r>
        <w:rPr>
          <w:u w:val="single"/>
        </w:rPr>
        <w:t>《中华人民共和国突发事件应对法》</w:t>
      </w:r>
      <w:bookmarkStart w:id="67" w:name="OLE_LINK227"/>
      <w:r>
        <w:rPr>
          <w:rFonts w:hint="eastAsia"/>
          <w:u w:val="single"/>
        </w:rPr>
        <w:t>（2024年11月 1日施行）</w:t>
      </w:r>
      <w:bookmarkEnd w:id="67"/>
      <w:r>
        <w:rPr>
          <w:rFonts w:hint="eastAsia"/>
          <w:u w:val="single"/>
        </w:rPr>
        <w:t>；</w:t>
      </w:r>
    </w:p>
    <w:p w14:paraId="7AAA03A0">
      <w:pPr>
        <w:numPr>
          <w:ilvl w:val="0"/>
          <w:numId w:val="44"/>
        </w:numPr>
        <w:ind w:firstLine="462"/>
      </w:pPr>
      <w:r>
        <w:t>《中华人民共和国</w:t>
      </w:r>
      <w:r>
        <w:rPr>
          <w:rFonts w:hint="eastAsia"/>
        </w:rPr>
        <w:t>航道管理条例》（200</w:t>
      </w:r>
      <w:r>
        <w:t>8</w:t>
      </w:r>
      <w:r>
        <w:rPr>
          <w:rFonts w:hint="eastAsia"/>
        </w:rPr>
        <w:t>年修订）</w:t>
      </w:r>
      <w:r>
        <w:t>；</w:t>
      </w:r>
    </w:p>
    <w:p w14:paraId="675A0ABB">
      <w:pPr>
        <w:numPr>
          <w:ilvl w:val="0"/>
          <w:numId w:val="44"/>
        </w:numPr>
        <w:ind w:firstLine="462"/>
      </w:pPr>
      <w:r>
        <w:t>《危险化学品安全管理条例》（2</w:t>
      </w:r>
      <w:r>
        <w:rPr>
          <w:rFonts w:hint="eastAsia"/>
        </w:rPr>
        <w:t>013年12月修正</w:t>
      </w:r>
      <w:r>
        <w:t>）</w:t>
      </w:r>
      <w:r>
        <w:rPr>
          <w:rFonts w:hint="eastAsia"/>
        </w:rPr>
        <w:t>；</w:t>
      </w:r>
    </w:p>
    <w:p w14:paraId="045AA0A6">
      <w:pPr>
        <w:numPr>
          <w:ilvl w:val="0"/>
          <w:numId w:val="44"/>
        </w:numPr>
        <w:ind w:firstLine="462"/>
      </w:pPr>
      <w:r>
        <w:t>《建设项目环境保护管理条例》（</w:t>
      </w:r>
      <w:r>
        <w:rPr>
          <w:rFonts w:hint="eastAsia"/>
        </w:rPr>
        <w:t>2017年7月16日修订</w:t>
      </w:r>
      <w:r>
        <w:t>）；</w:t>
      </w:r>
    </w:p>
    <w:p w14:paraId="23D1A552">
      <w:pPr>
        <w:numPr>
          <w:ilvl w:val="0"/>
          <w:numId w:val="44"/>
        </w:numPr>
        <w:ind w:firstLine="462"/>
      </w:pPr>
      <w:r>
        <w:t>《中华人民共和国海洋倾废管理条例》（2017年修正）；</w:t>
      </w:r>
    </w:p>
    <w:p w14:paraId="3CC00A4A">
      <w:pPr>
        <w:numPr>
          <w:ilvl w:val="0"/>
          <w:numId w:val="44"/>
        </w:numPr>
        <w:ind w:firstLine="462"/>
      </w:pPr>
      <w:r>
        <w:rPr>
          <w:rFonts w:hint="eastAsia"/>
        </w:rPr>
        <w:t>《中华人民共和国防治海岸工程建设项目污染损害海洋环境管理条例》（2018年修订）；</w:t>
      </w:r>
    </w:p>
    <w:p w14:paraId="2E578802">
      <w:pPr>
        <w:numPr>
          <w:ilvl w:val="0"/>
          <w:numId w:val="44"/>
        </w:numPr>
        <w:ind w:firstLine="462"/>
      </w:pPr>
      <w:r>
        <w:t>《防治海洋工程建设项目污染损害海洋环境管理条例》（2018年修正）；</w:t>
      </w:r>
    </w:p>
    <w:p w14:paraId="6F09875F">
      <w:pPr>
        <w:numPr>
          <w:ilvl w:val="0"/>
          <w:numId w:val="44"/>
        </w:numPr>
        <w:ind w:firstLine="462"/>
      </w:pPr>
      <w:r>
        <w:t>《防治船舶污染海洋环境管理条例》（2018年修订）</w:t>
      </w:r>
      <w:r>
        <w:rPr>
          <w:rFonts w:hint="eastAsia"/>
        </w:rPr>
        <w:t>。</w:t>
      </w:r>
    </w:p>
    <w:p w14:paraId="5B9B2EC3">
      <w:pPr>
        <w:pStyle w:val="5"/>
      </w:pPr>
      <w:r>
        <w:rPr>
          <w:rFonts w:hint="eastAsia"/>
        </w:rPr>
        <w:t>部门</w:t>
      </w:r>
      <w:r>
        <w:t>规章</w:t>
      </w:r>
    </w:p>
    <w:p w14:paraId="6B5DD45E">
      <w:pPr>
        <w:numPr>
          <w:ilvl w:val="0"/>
          <w:numId w:val="45"/>
        </w:numPr>
        <w:ind w:firstLine="462"/>
      </w:pPr>
      <w:r>
        <w:t>《关于印发</w:t>
      </w:r>
      <w:r>
        <w:rPr>
          <w:rFonts w:hint="eastAsia"/>
        </w:rPr>
        <w:t>〈</w:t>
      </w:r>
      <w:r>
        <w:t>沿海海域船舶排污设备铅封管理规定</w:t>
      </w:r>
      <w:r>
        <w:rPr>
          <w:rFonts w:hint="eastAsia"/>
        </w:rPr>
        <w:t>〉</w:t>
      </w:r>
      <w:r>
        <w:t>的通知》（交海发〔2007〕165号）；</w:t>
      </w:r>
    </w:p>
    <w:p w14:paraId="09A8F8B6">
      <w:pPr>
        <w:numPr>
          <w:ilvl w:val="0"/>
          <w:numId w:val="45"/>
        </w:numPr>
        <w:ind w:firstLine="462"/>
      </w:pPr>
      <w:r>
        <w:rPr>
          <w:rFonts w:hint="eastAsia"/>
        </w:rPr>
        <w:t>《近岸海域环境功能区管理办法》（2010年修正）；</w:t>
      </w:r>
    </w:p>
    <w:p w14:paraId="325A1A96">
      <w:pPr>
        <w:numPr>
          <w:ilvl w:val="0"/>
          <w:numId w:val="45"/>
        </w:numPr>
        <w:ind w:firstLine="462"/>
      </w:pPr>
      <w:r>
        <w:t>《关于进一步加强环境影响评价管理防范环境风险的通知》（环发〔2012〕77号）；</w:t>
      </w:r>
    </w:p>
    <w:p w14:paraId="45BAB65F">
      <w:pPr>
        <w:numPr>
          <w:ilvl w:val="0"/>
          <w:numId w:val="45"/>
        </w:numPr>
        <w:ind w:firstLine="462"/>
      </w:pPr>
      <w:r>
        <w:t xml:space="preserve">《环境保护部 </w:t>
      </w:r>
      <w:r>
        <w:rPr>
          <w:rFonts w:hint="eastAsia"/>
          <w:lang w:eastAsia="zh-CN"/>
        </w:rPr>
        <w:t>农业农村部</w:t>
      </w:r>
      <w:r>
        <w:t xml:space="preserve"> 关于进一步加强水生生物资源保护 严格环境影响评价管理的通知》（2013年</w:t>
      </w:r>
      <w:r>
        <w:rPr>
          <w:rFonts w:hint="eastAsia"/>
        </w:rPr>
        <w:t>8月</w:t>
      </w:r>
      <w:r>
        <w:t>）；</w:t>
      </w:r>
    </w:p>
    <w:p w14:paraId="26F33819">
      <w:pPr>
        <w:numPr>
          <w:ilvl w:val="0"/>
          <w:numId w:val="45"/>
        </w:numPr>
        <w:ind w:firstLine="462"/>
        <w:rPr>
          <w:u w:val="single"/>
        </w:rPr>
      </w:pPr>
      <w:bookmarkStart w:id="68" w:name="OLE_LINK238"/>
      <w:r>
        <w:rPr>
          <w:u w:val="single"/>
        </w:rPr>
        <w:t>《</w:t>
      </w:r>
      <w:bookmarkStart w:id="69" w:name="OLE_LINK236"/>
      <w:r>
        <w:rPr>
          <w:u w:val="single"/>
        </w:rPr>
        <w:t>国务院关于印发</w:t>
      </w:r>
      <w:r>
        <w:rPr>
          <w:rFonts w:hint="eastAsia"/>
          <w:u w:val="single"/>
        </w:rPr>
        <w:t>&lt;空气质量持续改善行动计划&gt;</w:t>
      </w:r>
      <w:r>
        <w:rPr>
          <w:u w:val="single"/>
        </w:rPr>
        <w:t>的通知</w:t>
      </w:r>
      <w:bookmarkEnd w:id="69"/>
      <w:r>
        <w:rPr>
          <w:u w:val="single"/>
        </w:rPr>
        <w:t>》（国发〔20</w:t>
      </w:r>
      <w:r>
        <w:rPr>
          <w:rFonts w:hint="eastAsia"/>
          <w:u w:val="single"/>
        </w:rPr>
        <w:t>23</w:t>
      </w:r>
      <w:r>
        <w:rPr>
          <w:u w:val="single"/>
        </w:rPr>
        <w:t>〕</w:t>
      </w:r>
      <w:r>
        <w:rPr>
          <w:rFonts w:hint="eastAsia"/>
          <w:u w:val="single"/>
        </w:rPr>
        <w:t>24</w:t>
      </w:r>
      <w:r>
        <w:rPr>
          <w:u w:val="single"/>
        </w:rPr>
        <w:t>号）；</w:t>
      </w:r>
    </w:p>
    <w:bookmarkEnd w:id="68"/>
    <w:p w14:paraId="5BBBEBE6">
      <w:pPr>
        <w:numPr>
          <w:ilvl w:val="0"/>
          <w:numId w:val="45"/>
        </w:numPr>
        <w:ind w:firstLine="462"/>
      </w:pPr>
      <w:r>
        <w:t>《国务院关于印发水污染防治行动计划的通知》（国发〔2015〕17号）；</w:t>
      </w:r>
    </w:p>
    <w:p w14:paraId="5355C812">
      <w:pPr>
        <w:numPr>
          <w:ilvl w:val="0"/>
          <w:numId w:val="45"/>
        </w:numPr>
        <w:ind w:firstLine="462"/>
      </w:pPr>
      <w:r>
        <w:t>《企业事业单位突发环境事件应急预案备案管理办法（试行）》（环发〔2015〕4号）；</w:t>
      </w:r>
    </w:p>
    <w:p w14:paraId="1CE93B80">
      <w:pPr>
        <w:numPr>
          <w:ilvl w:val="0"/>
          <w:numId w:val="45"/>
        </w:numPr>
        <w:ind w:firstLine="462"/>
        <w:rPr>
          <w:u w:val="single"/>
        </w:rPr>
      </w:pPr>
      <w:r>
        <w:rPr>
          <w:u w:val="single"/>
        </w:rPr>
        <w:t>《</w:t>
      </w:r>
      <w:r>
        <w:rPr>
          <w:rFonts w:hint="eastAsia"/>
          <w:u w:val="single"/>
        </w:rPr>
        <w:t>关于印发&lt;土壤污染源头防控行动计划&gt;的通知</w:t>
      </w:r>
      <w:r>
        <w:rPr>
          <w:u w:val="single"/>
        </w:rPr>
        <w:t>》（</w:t>
      </w:r>
      <w:r>
        <w:rPr>
          <w:rFonts w:hint="eastAsia"/>
          <w:u w:val="single"/>
        </w:rPr>
        <w:t>环土壤</w:t>
      </w:r>
      <w:r>
        <w:rPr>
          <w:u w:val="single"/>
        </w:rPr>
        <w:t>〔20</w:t>
      </w:r>
      <w:r>
        <w:rPr>
          <w:rFonts w:hint="eastAsia"/>
          <w:u w:val="single"/>
        </w:rPr>
        <w:t>24</w:t>
      </w:r>
      <w:r>
        <w:rPr>
          <w:u w:val="single"/>
        </w:rPr>
        <w:t>〕</w:t>
      </w:r>
      <w:r>
        <w:rPr>
          <w:rFonts w:hint="eastAsia"/>
          <w:u w:val="single"/>
        </w:rPr>
        <w:t>80</w:t>
      </w:r>
      <w:r>
        <w:rPr>
          <w:u w:val="single"/>
        </w:rPr>
        <w:t>号）；</w:t>
      </w:r>
    </w:p>
    <w:p w14:paraId="3A9C52A0">
      <w:pPr>
        <w:numPr>
          <w:ilvl w:val="0"/>
          <w:numId w:val="45"/>
        </w:numPr>
        <w:ind w:firstLine="462"/>
      </w:pPr>
      <w:r>
        <w:t>《国务院关于加强滨海湿地保护严格管控围填海的通知》（国发〔2018〕24号）</w:t>
      </w:r>
      <w:r>
        <w:rPr>
          <w:rFonts w:hint="eastAsia"/>
        </w:rPr>
        <w:t>；</w:t>
      </w:r>
    </w:p>
    <w:p w14:paraId="1A1A95A6">
      <w:pPr>
        <w:numPr>
          <w:ilvl w:val="0"/>
          <w:numId w:val="45"/>
        </w:numPr>
        <w:ind w:firstLine="462"/>
      </w:pPr>
      <w:r>
        <w:t>《环境影响评价公众参与办法》（生态环境部2019.1.1）；</w:t>
      </w:r>
    </w:p>
    <w:p w14:paraId="08EBCCC3">
      <w:pPr>
        <w:numPr>
          <w:ilvl w:val="0"/>
          <w:numId w:val="45"/>
        </w:numPr>
        <w:ind w:firstLine="462"/>
      </w:pPr>
      <w:r>
        <w:rPr>
          <w:rFonts w:hint="eastAsia"/>
        </w:rPr>
        <w:t>《自然资源部关于进一步明确围填海历史遗留问题处理有关要求的通知》（自然资规</w:t>
      </w:r>
      <w:r>
        <w:t>〔2018〕</w:t>
      </w:r>
      <w:r>
        <w:rPr>
          <w:rFonts w:hint="eastAsia"/>
        </w:rPr>
        <w:t>7号）；</w:t>
      </w:r>
    </w:p>
    <w:p w14:paraId="5DD9DC8F">
      <w:pPr>
        <w:numPr>
          <w:ilvl w:val="0"/>
          <w:numId w:val="45"/>
        </w:numPr>
        <w:ind w:firstLine="462"/>
        <w:rPr>
          <w:u w:val="single"/>
        </w:rPr>
      </w:pPr>
      <w:r>
        <w:rPr>
          <w:rFonts w:hint="eastAsia"/>
          <w:u w:val="single"/>
        </w:rPr>
        <w:t>《中共中央办公厅 国务院办公厅关于加强生态环境分区管控的意见》(2024年3月6日)；</w:t>
      </w:r>
    </w:p>
    <w:p w14:paraId="591B04F1">
      <w:pPr>
        <w:numPr>
          <w:ilvl w:val="0"/>
          <w:numId w:val="45"/>
        </w:numPr>
        <w:ind w:firstLine="462"/>
      </w:pPr>
      <w:r>
        <w:t>《建设项目环境影响评价分类管理名录》（2021年修正）；</w:t>
      </w:r>
    </w:p>
    <w:p w14:paraId="7C9982EA">
      <w:pPr>
        <w:numPr>
          <w:ilvl w:val="0"/>
          <w:numId w:val="45"/>
        </w:numPr>
        <w:ind w:firstLine="462"/>
      </w:pPr>
      <w:r>
        <w:rPr>
          <w:rFonts w:hint="eastAsia"/>
        </w:rPr>
        <w:t>《国家重点保护野生植物名录》（2021年发布）；</w:t>
      </w:r>
    </w:p>
    <w:p w14:paraId="28404465">
      <w:pPr>
        <w:numPr>
          <w:ilvl w:val="0"/>
          <w:numId w:val="45"/>
        </w:numPr>
        <w:ind w:firstLine="462"/>
      </w:pPr>
      <w:r>
        <w:rPr>
          <w:rFonts w:hint="eastAsia"/>
        </w:rPr>
        <w:t>《国家重点保护野生动物名录》（2021年发布）；</w:t>
      </w:r>
    </w:p>
    <w:p w14:paraId="448C940F">
      <w:pPr>
        <w:numPr>
          <w:ilvl w:val="0"/>
          <w:numId w:val="45"/>
        </w:numPr>
        <w:ind w:firstLine="462"/>
      </w:pPr>
      <w:r>
        <w:rPr>
          <w:rFonts w:hint="eastAsia"/>
        </w:rPr>
        <w:t>《生态环境分区管控管理暂行规定》的通知（环环评〔2024〕41号）；</w:t>
      </w:r>
    </w:p>
    <w:p w14:paraId="6018D438">
      <w:pPr>
        <w:numPr>
          <w:ilvl w:val="0"/>
          <w:numId w:val="45"/>
        </w:numPr>
        <w:ind w:firstLine="462"/>
      </w:pPr>
      <w:r>
        <w:rPr>
          <w:rFonts w:hint="eastAsia"/>
        </w:rPr>
        <w:t>《国家危险废物名录》（2</w:t>
      </w:r>
      <w:r>
        <w:t>0</w:t>
      </w:r>
      <w:r>
        <w:rPr>
          <w:rFonts w:hint="eastAsia"/>
        </w:rPr>
        <w:t>25年版）；</w:t>
      </w:r>
    </w:p>
    <w:p w14:paraId="33926134">
      <w:pPr>
        <w:numPr>
          <w:ilvl w:val="0"/>
          <w:numId w:val="45"/>
        </w:numPr>
        <w:ind w:firstLine="462"/>
      </w:pPr>
      <w:r>
        <w:rPr>
          <w:rFonts w:hint="eastAsia"/>
        </w:rPr>
        <w:t>《危险废物转移管理办法》（生态环境部、公安部、交通运输部令第23号公布，2022年1月1日起施行）；</w:t>
      </w:r>
    </w:p>
    <w:p w14:paraId="11A7E135">
      <w:pPr>
        <w:numPr>
          <w:ilvl w:val="0"/>
          <w:numId w:val="45"/>
        </w:numPr>
        <w:ind w:firstLine="462"/>
      </w:pPr>
      <w:r>
        <w:rPr>
          <w:rFonts w:hint="eastAsia"/>
        </w:rPr>
        <w:t>《产业结构调整指导名录</w:t>
      </w:r>
      <w:r>
        <w:t>（</w:t>
      </w:r>
      <w:r>
        <w:rPr>
          <w:rFonts w:hint="eastAsia"/>
        </w:rPr>
        <w:t>2024年本</w:t>
      </w:r>
      <w:r>
        <w:t>）</w:t>
      </w:r>
      <w:r>
        <w:rPr>
          <w:rFonts w:hint="eastAsia"/>
        </w:rPr>
        <w:t>》；</w:t>
      </w:r>
    </w:p>
    <w:p w14:paraId="70777582">
      <w:pPr>
        <w:numPr>
          <w:ilvl w:val="0"/>
          <w:numId w:val="45"/>
        </w:numPr>
        <w:ind w:firstLine="462"/>
      </w:pPr>
      <w:r>
        <w:rPr>
          <w:rFonts w:hint="eastAsia"/>
        </w:rPr>
        <w:t>《交通运输部 国家发展改革委 自然资源部 生态环境部 水利部 关于加快沿海和内河港口码头改建扩建工作的通知》（交水发〔2023〕18号）。</w:t>
      </w:r>
    </w:p>
    <w:p w14:paraId="31E3F277">
      <w:pPr>
        <w:pStyle w:val="5"/>
      </w:pPr>
      <w:r>
        <w:t>地方相关法律法规</w:t>
      </w:r>
    </w:p>
    <w:p w14:paraId="10D98AFC">
      <w:pPr>
        <w:numPr>
          <w:ilvl w:val="0"/>
          <w:numId w:val="46"/>
        </w:numPr>
        <w:ind w:firstLine="462"/>
      </w:pPr>
      <w:bookmarkStart w:id="70" w:name="_Hlk156661905"/>
      <w:r>
        <w:t>《广西壮族自治区红树林资源保护条例》（20</w:t>
      </w:r>
      <w:r>
        <w:rPr>
          <w:rFonts w:hint="eastAsia"/>
        </w:rPr>
        <w:t>25</w:t>
      </w:r>
      <w:r>
        <w:t>年</w:t>
      </w:r>
      <w:r>
        <w:rPr>
          <w:rFonts w:hint="eastAsia"/>
        </w:rPr>
        <w:t>6</w:t>
      </w:r>
      <w:r>
        <w:t>月1日施行）；</w:t>
      </w:r>
    </w:p>
    <w:bookmarkEnd w:id="70"/>
    <w:p w14:paraId="04B5B187">
      <w:pPr>
        <w:numPr>
          <w:ilvl w:val="0"/>
          <w:numId w:val="46"/>
        </w:numPr>
        <w:ind w:firstLine="462"/>
      </w:pPr>
      <w:r>
        <w:rPr>
          <w:rFonts w:hint="eastAsia"/>
        </w:rPr>
        <w:t>《广西壮族自治区大气污染防治条例》（2018年11月28日）；</w:t>
      </w:r>
    </w:p>
    <w:p w14:paraId="49684290">
      <w:pPr>
        <w:numPr>
          <w:ilvl w:val="0"/>
          <w:numId w:val="46"/>
        </w:numPr>
        <w:ind w:firstLine="462"/>
      </w:pPr>
      <w:r>
        <w:t>《广西壮族自治区环境保护条例》（</w:t>
      </w:r>
      <w:r>
        <w:rPr>
          <w:rFonts w:hint="eastAsia"/>
        </w:rPr>
        <w:t>2019年7月25日修正</w:t>
      </w:r>
      <w:r>
        <w:t>）；</w:t>
      </w:r>
    </w:p>
    <w:p w14:paraId="3FCE62D5">
      <w:pPr>
        <w:numPr>
          <w:ilvl w:val="0"/>
          <w:numId w:val="46"/>
        </w:numPr>
        <w:ind w:firstLine="462"/>
      </w:pPr>
      <w:r>
        <w:rPr>
          <w:rFonts w:hint="eastAsia"/>
        </w:rPr>
        <w:t>《广西壮族自治区水污染防治条例》（2020年1月17日）；</w:t>
      </w:r>
    </w:p>
    <w:p w14:paraId="6BB25B05">
      <w:pPr>
        <w:numPr>
          <w:ilvl w:val="0"/>
          <w:numId w:val="46"/>
        </w:numPr>
        <w:ind w:firstLine="462"/>
      </w:pPr>
      <w:r>
        <w:rPr>
          <w:rFonts w:hint="eastAsia"/>
        </w:rPr>
        <w:t>《广西壮族自治区土壤污染防治条例》（2021年8月4日）；</w:t>
      </w:r>
    </w:p>
    <w:p w14:paraId="345AC042">
      <w:pPr>
        <w:numPr>
          <w:ilvl w:val="0"/>
          <w:numId w:val="46"/>
        </w:numPr>
        <w:ind w:firstLine="462"/>
        <w:rPr>
          <w:kern w:val="0"/>
        </w:rPr>
      </w:pPr>
      <w:r>
        <w:rPr>
          <w:rFonts w:hint="eastAsia"/>
          <w:kern w:val="0"/>
        </w:rPr>
        <w:t>《</w:t>
      </w:r>
      <w:bookmarkStart w:id="71" w:name="OLE_LINK17"/>
      <w:r>
        <w:rPr>
          <w:rFonts w:hint="eastAsia"/>
          <w:kern w:val="0"/>
        </w:rPr>
        <w:t>广西壮族自治区固体废物污染环境防治条例</w:t>
      </w:r>
      <w:bookmarkEnd w:id="71"/>
      <w:r>
        <w:rPr>
          <w:rFonts w:hint="eastAsia"/>
          <w:kern w:val="0"/>
        </w:rPr>
        <w:t>》（2022年7月1日施行）；</w:t>
      </w:r>
    </w:p>
    <w:p w14:paraId="188E7E1E">
      <w:pPr>
        <w:numPr>
          <w:ilvl w:val="0"/>
          <w:numId w:val="46"/>
        </w:numPr>
        <w:ind w:firstLine="462"/>
        <w:rPr>
          <w:kern w:val="0"/>
        </w:rPr>
      </w:pPr>
      <w:r>
        <w:rPr>
          <w:rFonts w:hint="eastAsia"/>
          <w:kern w:val="0"/>
        </w:rPr>
        <w:t>《广西壮族自治区噪声污染防治实施方案（2023—2025年）》（桂环发〔2023〕22号）；</w:t>
      </w:r>
    </w:p>
    <w:p w14:paraId="2D890C15">
      <w:pPr>
        <w:numPr>
          <w:ilvl w:val="0"/>
          <w:numId w:val="46"/>
        </w:numPr>
        <w:ind w:firstLine="462"/>
      </w:pPr>
      <w:r>
        <w:rPr>
          <w:rFonts w:hint="eastAsia"/>
        </w:rPr>
        <w:t>《</w:t>
      </w:r>
      <w:r>
        <w:t>广西壮族自治区实施</w:t>
      </w:r>
      <w:r>
        <w:rPr>
          <w:rFonts w:hint="eastAsia"/>
        </w:rPr>
        <w:t>〈</w:t>
      </w:r>
      <w:r>
        <w:t>中华人民共和国渔业法</w:t>
      </w:r>
      <w:r>
        <w:rPr>
          <w:rFonts w:hint="eastAsia"/>
        </w:rPr>
        <w:t>〉</w:t>
      </w:r>
      <w:r>
        <w:t>办法</w:t>
      </w:r>
      <w:r>
        <w:rPr>
          <w:rFonts w:hint="eastAsia"/>
        </w:rPr>
        <w:t>》</w:t>
      </w:r>
      <w:r>
        <w:t xml:space="preserve">（2016年修正）； </w:t>
      </w:r>
    </w:p>
    <w:p w14:paraId="7DA14A88">
      <w:pPr>
        <w:numPr>
          <w:ilvl w:val="0"/>
          <w:numId w:val="46"/>
        </w:numPr>
        <w:ind w:firstLine="462"/>
      </w:pPr>
      <w:r>
        <w:rPr>
          <w:rFonts w:hint="eastAsia"/>
        </w:rPr>
        <w:t>《广西壮族自治区国土空间规划（2021—2035年）》；</w:t>
      </w:r>
    </w:p>
    <w:p w14:paraId="2FB5397F">
      <w:pPr>
        <w:numPr>
          <w:ilvl w:val="0"/>
          <w:numId w:val="46"/>
        </w:numPr>
        <w:ind w:firstLine="462"/>
      </w:pPr>
      <w:r>
        <w:rPr>
          <w:rFonts w:hint="eastAsia"/>
        </w:rPr>
        <w:t>《广西壮族自治区人民政府关于加强滨海湿地保护严格管控围填海的实施意见》（桂政发〔2019〕15号）；</w:t>
      </w:r>
    </w:p>
    <w:p w14:paraId="7452F71E">
      <w:pPr>
        <w:numPr>
          <w:ilvl w:val="0"/>
          <w:numId w:val="46"/>
        </w:numPr>
        <w:ind w:firstLine="462"/>
        <w:rPr>
          <w:u w:val="single"/>
        </w:rPr>
      </w:pPr>
      <w:r>
        <w:rPr>
          <w:rFonts w:hint="eastAsia"/>
          <w:u w:val="single"/>
        </w:rPr>
        <w:t>《广西壮族自治区生态环境厅关于印发实施广西壮族自治区生态环境分区管控动态更新成果（</w:t>
      </w:r>
      <w:r>
        <w:rPr>
          <w:u w:val="single"/>
        </w:rPr>
        <w:t>2023</w:t>
      </w:r>
      <w:r>
        <w:rPr>
          <w:rFonts w:hint="eastAsia"/>
          <w:u w:val="single"/>
        </w:rPr>
        <w:t>年）的通知》（桂环规范〔</w:t>
      </w:r>
      <w:r>
        <w:rPr>
          <w:u w:val="single"/>
        </w:rPr>
        <w:t>2024</w:t>
      </w:r>
      <w:r>
        <w:rPr>
          <w:rFonts w:hint="eastAsia"/>
          <w:u w:val="single"/>
        </w:rPr>
        <w:t>〕</w:t>
      </w:r>
      <w:r>
        <w:rPr>
          <w:u w:val="single"/>
        </w:rPr>
        <w:t>3</w:t>
      </w:r>
      <w:r>
        <w:rPr>
          <w:rFonts w:hint="eastAsia"/>
          <w:u w:val="single"/>
        </w:rPr>
        <w:t>号）；</w:t>
      </w:r>
    </w:p>
    <w:p w14:paraId="07EFB3EE">
      <w:pPr>
        <w:numPr>
          <w:ilvl w:val="0"/>
          <w:numId w:val="46"/>
        </w:numPr>
        <w:tabs>
          <w:tab w:val="left" w:pos="0"/>
        </w:tabs>
        <w:ind w:firstLine="462"/>
      </w:pPr>
      <w:r>
        <w:rPr>
          <w:rFonts w:hint="eastAsia"/>
        </w:rPr>
        <w:t>《广西壮族自治区野生动物保护条例》（2</w:t>
      </w:r>
      <w:r>
        <w:t>023</w:t>
      </w:r>
      <w:r>
        <w:rPr>
          <w:rFonts w:hint="eastAsia"/>
        </w:rPr>
        <w:t>年7月1日起施行）；</w:t>
      </w:r>
    </w:p>
    <w:p w14:paraId="11D67786">
      <w:pPr>
        <w:numPr>
          <w:ilvl w:val="0"/>
          <w:numId w:val="46"/>
        </w:numPr>
        <w:tabs>
          <w:tab w:val="left" w:pos="0"/>
        </w:tabs>
        <w:ind w:firstLine="462"/>
      </w:pPr>
      <w:r>
        <w:rPr>
          <w:rFonts w:hint="eastAsia"/>
        </w:rPr>
        <w:t>《广西壮族自治区围填海历史遗留问题处置管理办法》（桂海规〔2019〕3号）；</w:t>
      </w:r>
    </w:p>
    <w:p w14:paraId="72F59231">
      <w:pPr>
        <w:numPr>
          <w:ilvl w:val="0"/>
          <w:numId w:val="46"/>
        </w:numPr>
        <w:ind w:firstLine="462"/>
      </w:pPr>
      <w:r>
        <w:rPr>
          <w:rFonts w:hint="eastAsia"/>
        </w:rPr>
        <w:t>《广西壮族自治区海洋生态环境保护高质量发展</w:t>
      </w:r>
      <w:r>
        <w:rPr>
          <w:rFonts w:hint="eastAsia"/>
          <w:lang w:eastAsia="zh-CN"/>
        </w:rPr>
        <w:t>“十四五”规划</w:t>
      </w:r>
      <w:r>
        <w:rPr>
          <w:rFonts w:hint="eastAsia"/>
        </w:rPr>
        <w:t>》（桂环发〔2022〕3号）；</w:t>
      </w:r>
    </w:p>
    <w:p w14:paraId="51F666A6">
      <w:pPr>
        <w:numPr>
          <w:ilvl w:val="0"/>
          <w:numId w:val="46"/>
        </w:numPr>
        <w:ind w:firstLine="462"/>
      </w:pPr>
      <w:r>
        <w:t>《广西</w:t>
      </w:r>
      <w:r>
        <w:rPr>
          <w:rFonts w:hint="eastAsia"/>
        </w:rPr>
        <w:t>生态</w:t>
      </w:r>
      <w:r>
        <w:t>环境保护</w:t>
      </w:r>
      <w:r>
        <w:rPr>
          <w:rFonts w:ascii="宋体" w:hAnsi="宋体"/>
        </w:rPr>
        <w:t>“十</w:t>
      </w:r>
      <w:r>
        <w:rPr>
          <w:rFonts w:hint="eastAsia" w:ascii="宋体" w:hAnsi="宋体"/>
        </w:rPr>
        <w:t>四</w:t>
      </w:r>
      <w:r>
        <w:rPr>
          <w:rFonts w:ascii="宋体" w:hAnsi="宋体"/>
        </w:rPr>
        <w:t>五”</w:t>
      </w:r>
      <w:r>
        <w:t>规划》（</w:t>
      </w:r>
      <w:r>
        <w:rPr>
          <w:rFonts w:hint="eastAsia"/>
        </w:rPr>
        <w:t>桂政办发〔2021〕145号</w:t>
      </w:r>
      <w:r>
        <w:t>）；</w:t>
      </w:r>
      <w:r>
        <w:rPr>
          <w:rFonts w:hint="eastAsia"/>
        </w:rPr>
        <w:t xml:space="preserve"> </w:t>
      </w:r>
    </w:p>
    <w:p w14:paraId="74CCCA17">
      <w:pPr>
        <w:numPr>
          <w:ilvl w:val="0"/>
          <w:numId w:val="46"/>
        </w:numPr>
        <w:ind w:firstLine="462"/>
      </w:pPr>
      <w:r>
        <w:rPr>
          <w:rFonts w:hint="eastAsia"/>
        </w:rPr>
        <w:t>《广西红树林资源保护区规划（2020—2030年）》（桂林发〔2021〕10号）；</w:t>
      </w:r>
    </w:p>
    <w:p w14:paraId="6F71C1C0">
      <w:pPr>
        <w:numPr>
          <w:ilvl w:val="0"/>
          <w:numId w:val="46"/>
        </w:numPr>
        <w:ind w:firstLine="462"/>
      </w:pPr>
      <w:r>
        <w:rPr>
          <w:rFonts w:hint="eastAsia"/>
        </w:rPr>
        <w:t>《广西壮族自治区“十四五”空气质量全面改善规划》（桂环发〔2022〕</w:t>
      </w:r>
      <w:r>
        <w:t>54</w:t>
      </w:r>
      <w:r>
        <w:rPr>
          <w:rFonts w:hint="eastAsia"/>
        </w:rPr>
        <w:t>号）；</w:t>
      </w:r>
    </w:p>
    <w:p w14:paraId="7A22C414">
      <w:pPr>
        <w:numPr>
          <w:ilvl w:val="0"/>
          <w:numId w:val="46"/>
        </w:numPr>
        <w:ind w:firstLine="462"/>
      </w:pPr>
      <w:r>
        <w:t>《广西壮族自治区近岸海域环境功能区划调整方案》</w:t>
      </w:r>
      <w:r>
        <w:rPr>
          <w:rFonts w:hint="eastAsia"/>
        </w:rPr>
        <w:t>（桂环发〔2023〕9号）</w:t>
      </w:r>
      <w:r>
        <w:t>；</w:t>
      </w:r>
    </w:p>
    <w:p w14:paraId="22C931AC">
      <w:pPr>
        <w:numPr>
          <w:ilvl w:val="0"/>
          <w:numId w:val="46"/>
        </w:numPr>
        <w:ind w:firstLine="462"/>
      </w:pPr>
      <w:bookmarkStart w:id="72" w:name="_Hlk183442501"/>
      <w:r>
        <w:t>《</w:t>
      </w:r>
      <w:r>
        <w:rPr>
          <w:rFonts w:hint="eastAsia"/>
        </w:rPr>
        <w:t>北部湾港总体规划（2035年）</w:t>
      </w:r>
      <w:r>
        <w:t>》；</w:t>
      </w:r>
    </w:p>
    <w:bookmarkEnd w:id="72"/>
    <w:p w14:paraId="1B835772">
      <w:pPr>
        <w:numPr>
          <w:ilvl w:val="0"/>
          <w:numId w:val="46"/>
        </w:numPr>
        <w:ind w:firstLine="462"/>
      </w:pPr>
      <w:r>
        <w:rPr>
          <w:rFonts w:hint="eastAsia"/>
        </w:rPr>
        <w:t>《钦州市国土空间总体规划（2021—2035年）》；</w:t>
      </w:r>
    </w:p>
    <w:p w14:paraId="18BE8097">
      <w:pPr>
        <w:numPr>
          <w:ilvl w:val="0"/>
          <w:numId w:val="46"/>
        </w:numPr>
        <w:ind w:firstLine="462"/>
        <w:rPr>
          <w:kern w:val="0"/>
          <w:u w:val="single"/>
        </w:rPr>
      </w:pPr>
      <w:r>
        <w:rPr>
          <w:rFonts w:hint="eastAsia"/>
          <w:kern w:val="0"/>
          <w:u w:val="single"/>
        </w:rPr>
        <w:t>《钦州市养殖水域滩涂规划（2025-2035）》；</w:t>
      </w:r>
    </w:p>
    <w:p w14:paraId="5C103C67">
      <w:pPr>
        <w:numPr>
          <w:ilvl w:val="0"/>
          <w:numId w:val="46"/>
        </w:numPr>
        <w:ind w:firstLine="462"/>
      </w:pPr>
      <w:r>
        <w:rPr>
          <w:rFonts w:hint="eastAsia"/>
        </w:rPr>
        <w:t>《钦州市红树林资源保护规划（2022—2030年）》（钦市林发〔2022〕44号）；</w:t>
      </w:r>
    </w:p>
    <w:p w14:paraId="5F57E1F7">
      <w:pPr>
        <w:numPr>
          <w:ilvl w:val="0"/>
          <w:numId w:val="46"/>
        </w:numPr>
        <w:ind w:firstLine="462"/>
      </w:pPr>
      <w:r>
        <w:rPr>
          <w:rFonts w:hint="eastAsia"/>
        </w:rPr>
        <w:t>《钦州市生态环境分区管控动态更新成果（2023版）》。</w:t>
      </w:r>
    </w:p>
    <w:p w14:paraId="4984BB03">
      <w:pPr>
        <w:pStyle w:val="5"/>
      </w:pPr>
      <w:r>
        <w:t>技术导则及规范</w:t>
      </w:r>
    </w:p>
    <w:p w14:paraId="6441F36D">
      <w:pPr>
        <w:numPr>
          <w:ilvl w:val="0"/>
          <w:numId w:val="47"/>
        </w:numPr>
        <w:ind w:firstLineChars="0"/>
      </w:pPr>
      <w:r>
        <w:t>《建设项目环境影响评价技术导则·总纲》（HJ/T2.1-2016）；</w:t>
      </w:r>
    </w:p>
    <w:p w14:paraId="52BCA1A8">
      <w:pPr>
        <w:numPr>
          <w:ilvl w:val="0"/>
          <w:numId w:val="47"/>
        </w:numPr>
        <w:ind w:firstLineChars="0"/>
      </w:pPr>
      <w:r>
        <w:rPr>
          <w:rFonts w:hint="eastAsia"/>
        </w:rPr>
        <w:t>《环境影响评价技术导则 海洋生态环境》（HJ 1409-2025）</w:t>
      </w:r>
      <w:r>
        <w:t>；</w:t>
      </w:r>
    </w:p>
    <w:p w14:paraId="48B4FF09">
      <w:pPr>
        <w:numPr>
          <w:ilvl w:val="0"/>
          <w:numId w:val="47"/>
        </w:numPr>
        <w:ind w:firstLineChars="0"/>
      </w:pPr>
      <w:r>
        <w:t>《环境影响评价技术导则·大气环境》（HJ 2.2-2018）；</w:t>
      </w:r>
    </w:p>
    <w:p w14:paraId="62A8D668">
      <w:pPr>
        <w:numPr>
          <w:ilvl w:val="0"/>
          <w:numId w:val="47"/>
        </w:numPr>
        <w:ind w:firstLineChars="0"/>
      </w:pPr>
      <w:r>
        <w:t>《环境影响评价技术导则·地表水环境》（HJ2.3-2018）；</w:t>
      </w:r>
    </w:p>
    <w:p w14:paraId="0818B6F9">
      <w:pPr>
        <w:numPr>
          <w:ilvl w:val="0"/>
          <w:numId w:val="47"/>
        </w:numPr>
        <w:ind w:firstLineChars="0"/>
      </w:pPr>
      <w:r>
        <w:t>《环境影响评价技术导则·声环境》（HJ2.4-2021）；</w:t>
      </w:r>
    </w:p>
    <w:p w14:paraId="02364155">
      <w:pPr>
        <w:numPr>
          <w:ilvl w:val="0"/>
          <w:numId w:val="47"/>
        </w:numPr>
        <w:ind w:firstLineChars="0"/>
      </w:pPr>
      <w:r>
        <w:t>《环境影响评价技术导则 土壤环境（试行）》（HJ964-2018）；</w:t>
      </w:r>
    </w:p>
    <w:p w14:paraId="7674FC6B">
      <w:pPr>
        <w:numPr>
          <w:ilvl w:val="0"/>
          <w:numId w:val="47"/>
        </w:numPr>
        <w:ind w:firstLineChars="0"/>
      </w:pPr>
      <w:r>
        <w:t>《建设项目环境风险评价技术导则》（HJ169-2018）；</w:t>
      </w:r>
    </w:p>
    <w:p w14:paraId="0CE1130A">
      <w:pPr>
        <w:numPr>
          <w:ilvl w:val="0"/>
          <w:numId w:val="47"/>
        </w:numPr>
        <w:ind w:firstLineChars="0"/>
      </w:pPr>
      <w:r>
        <w:t>《环境影响评价技术导则·生态影响》（HJ19-2022）</w:t>
      </w:r>
      <w:r>
        <w:rPr>
          <w:rFonts w:hint="eastAsia"/>
        </w:rPr>
        <w:t>；</w:t>
      </w:r>
    </w:p>
    <w:p w14:paraId="4E04A375">
      <w:pPr>
        <w:numPr>
          <w:ilvl w:val="0"/>
          <w:numId w:val="47"/>
        </w:numPr>
        <w:ind w:firstLineChars="0"/>
      </w:pPr>
      <w:r>
        <w:t>《环境影响评价技术导则·地下水环境》（HJ610-2016）；</w:t>
      </w:r>
    </w:p>
    <w:p w14:paraId="4462BBDE">
      <w:pPr>
        <w:numPr>
          <w:ilvl w:val="0"/>
          <w:numId w:val="47"/>
        </w:numPr>
        <w:ind w:firstLineChars="0"/>
      </w:pPr>
      <w:r>
        <w:rPr>
          <w:rFonts w:hint="eastAsia"/>
        </w:rPr>
        <w:t>《水上溢油环境风险评估技术导则》（</w:t>
      </w:r>
      <w:r>
        <w:t>JT//T1143—2017</w:t>
      </w:r>
      <w:r>
        <w:rPr>
          <w:rFonts w:hint="eastAsia"/>
        </w:rPr>
        <w:t>）；</w:t>
      </w:r>
    </w:p>
    <w:p w14:paraId="4A9E7600">
      <w:pPr>
        <w:numPr>
          <w:ilvl w:val="0"/>
          <w:numId w:val="47"/>
        </w:numPr>
        <w:ind w:firstLineChars="0"/>
      </w:pPr>
      <w:r>
        <w:rPr>
          <w:rFonts w:hint="eastAsia"/>
        </w:rPr>
        <w:t>《水运工程建设项目环境影响评价指南》（</w:t>
      </w:r>
      <w:r>
        <w:t>JTS/T</w:t>
      </w:r>
      <w:r>
        <w:rPr>
          <w:rFonts w:hint="eastAsia"/>
        </w:rPr>
        <w:t xml:space="preserve"> </w:t>
      </w:r>
      <w:r>
        <w:t>105—2021</w:t>
      </w:r>
      <w:r>
        <w:rPr>
          <w:rFonts w:hint="eastAsia"/>
        </w:rPr>
        <w:t>）；</w:t>
      </w:r>
    </w:p>
    <w:p w14:paraId="04074CB7">
      <w:pPr>
        <w:numPr>
          <w:ilvl w:val="0"/>
          <w:numId w:val="47"/>
        </w:numPr>
        <w:ind w:firstLineChars="0"/>
      </w:pPr>
      <w:r>
        <w:rPr>
          <w:rFonts w:hint="eastAsia"/>
        </w:rPr>
        <w:t>《海洋生态环境监测技术规程》（2002）；</w:t>
      </w:r>
    </w:p>
    <w:p w14:paraId="2716CE2A">
      <w:pPr>
        <w:numPr>
          <w:ilvl w:val="0"/>
          <w:numId w:val="47"/>
        </w:numPr>
        <w:ind w:firstLineChars="0"/>
      </w:pPr>
      <w:r>
        <w:rPr>
          <w:rFonts w:hint="eastAsia"/>
        </w:rPr>
        <w:t>《海洋生物质量监测技术规程》（2002）；</w:t>
      </w:r>
    </w:p>
    <w:p w14:paraId="30EFF840">
      <w:pPr>
        <w:numPr>
          <w:ilvl w:val="0"/>
          <w:numId w:val="47"/>
        </w:numPr>
        <w:ind w:firstLineChars="0"/>
      </w:pPr>
      <w:r>
        <w:rPr>
          <w:rFonts w:hint="eastAsia"/>
        </w:rPr>
        <w:t>《海洋监测规范》（GB17378-2007）；</w:t>
      </w:r>
    </w:p>
    <w:p w14:paraId="011384AC">
      <w:pPr>
        <w:numPr>
          <w:ilvl w:val="0"/>
          <w:numId w:val="47"/>
        </w:numPr>
        <w:ind w:firstLineChars="0"/>
      </w:pPr>
      <w:r>
        <w:rPr>
          <w:rFonts w:hint="eastAsia"/>
        </w:rPr>
        <w:t>《海洋调查规范》（GB</w:t>
      </w:r>
      <w:r>
        <w:t xml:space="preserve">/T </w:t>
      </w:r>
      <w:r>
        <w:rPr>
          <w:rFonts w:hint="eastAsia"/>
        </w:rPr>
        <w:t>12763-2007）；</w:t>
      </w:r>
    </w:p>
    <w:p w14:paraId="64D570A8">
      <w:pPr>
        <w:numPr>
          <w:ilvl w:val="0"/>
          <w:numId w:val="47"/>
        </w:numPr>
        <w:ind w:firstLineChars="0"/>
      </w:pPr>
      <w:r>
        <w:t>《建设项目对海洋生物资源影响评价技术规程》（SC/T9110-2007）；</w:t>
      </w:r>
    </w:p>
    <w:p w14:paraId="6B4FC362">
      <w:pPr>
        <w:numPr>
          <w:ilvl w:val="0"/>
          <w:numId w:val="47"/>
        </w:numPr>
        <w:ind w:firstLineChars="0"/>
        <w:rPr>
          <w:rFonts w:hint="eastAsia" w:ascii="宋体" w:hAnsi="宋体"/>
        </w:rPr>
      </w:pPr>
      <w:r>
        <w:rPr>
          <w:rFonts w:hint="eastAsia"/>
        </w:rPr>
        <w:t>《爆破安全规程》（GB6722-2014）</w:t>
      </w:r>
      <w:r>
        <w:t>；</w:t>
      </w:r>
    </w:p>
    <w:p w14:paraId="6E07708C">
      <w:pPr>
        <w:numPr>
          <w:ilvl w:val="0"/>
          <w:numId w:val="47"/>
        </w:numPr>
        <w:ind w:firstLineChars="0"/>
      </w:pPr>
      <w:r>
        <w:rPr>
          <w:rFonts w:hint="eastAsia"/>
        </w:rPr>
        <w:t>《海洋倾倒物质评价规范 疏浚物》（GB30980-2014）</w:t>
      </w:r>
      <w:r>
        <w:t>；</w:t>
      </w:r>
    </w:p>
    <w:p w14:paraId="7988765F">
      <w:pPr>
        <w:numPr>
          <w:ilvl w:val="0"/>
          <w:numId w:val="47"/>
        </w:numPr>
        <w:ind w:firstLineChars="0"/>
        <w:rPr>
          <w:u w:val="single"/>
        </w:rPr>
      </w:pPr>
      <w:r>
        <w:rPr>
          <w:rFonts w:hint="eastAsia"/>
          <w:u w:val="single"/>
        </w:rPr>
        <w:t>《围填海工程填充物质成分限制》（GB30736-2014）；</w:t>
      </w:r>
    </w:p>
    <w:p w14:paraId="50BB6CBB">
      <w:pPr>
        <w:numPr>
          <w:ilvl w:val="0"/>
          <w:numId w:val="47"/>
        </w:numPr>
        <w:ind w:firstLineChars="0"/>
      </w:pPr>
      <w:r>
        <w:rPr>
          <w:rFonts w:hint="eastAsia"/>
        </w:rPr>
        <w:t>《港口码头水上污染事故应急防备能力要求》（JT/T451-2017）；</w:t>
      </w:r>
    </w:p>
    <w:p w14:paraId="6203D573">
      <w:pPr>
        <w:numPr>
          <w:ilvl w:val="0"/>
          <w:numId w:val="47"/>
        </w:numPr>
        <w:ind w:firstLineChars="0"/>
      </w:pPr>
      <w:r>
        <w:rPr>
          <w:rFonts w:hint="eastAsia"/>
        </w:rPr>
        <w:t>《建设项目危险废物环境影响评价指南》（2017年10月1日起施行）；</w:t>
      </w:r>
    </w:p>
    <w:p w14:paraId="17B5FA3B">
      <w:pPr>
        <w:numPr>
          <w:ilvl w:val="0"/>
          <w:numId w:val="47"/>
        </w:numPr>
        <w:ind w:firstLineChars="0"/>
      </w:pPr>
      <w:r>
        <w:t>《开发建设项目水土保持技术规范》（GB50433-2018）；</w:t>
      </w:r>
    </w:p>
    <w:p w14:paraId="3B4D77E2">
      <w:pPr>
        <w:numPr>
          <w:ilvl w:val="0"/>
          <w:numId w:val="47"/>
        </w:numPr>
        <w:ind w:firstLineChars="0"/>
      </w:pPr>
      <w:r>
        <w:t>《水运工程环境保护设计规范》（JTS149-2018）</w:t>
      </w:r>
      <w:r>
        <w:rPr>
          <w:rFonts w:hint="eastAsia"/>
        </w:rPr>
        <w:t>；</w:t>
      </w:r>
    </w:p>
    <w:p w14:paraId="25FCF9C3">
      <w:pPr>
        <w:numPr>
          <w:ilvl w:val="0"/>
          <w:numId w:val="47"/>
        </w:numPr>
        <w:ind w:firstLineChars="0"/>
      </w:pPr>
      <w:r>
        <w:rPr>
          <w:rFonts w:hint="eastAsia"/>
        </w:rPr>
        <w:t>《自动化集装箱码头设计规范》（JTS/T 174-2019）；</w:t>
      </w:r>
    </w:p>
    <w:p w14:paraId="75066D73">
      <w:pPr>
        <w:numPr>
          <w:ilvl w:val="0"/>
          <w:numId w:val="47"/>
        </w:numPr>
        <w:ind w:firstLineChars="0"/>
      </w:pPr>
      <w:r>
        <w:rPr>
          <w:rFonts w:hint="eastAsia"/>
        </w:rPr>
        <w:t>《排污许可证申请与核发技术规范 码头》（</w:t>
      </w:r>
      <w:r>
        <w:t>HJ 1107—2020</w:t>
      </w:r>
      <w:r>
        <w:rPr>
          <w:rFonts w:hint="eastAsia"/>
        </w:rPr>
        <w:t>）；</w:t>
      </w:r>
    </w:p>
    <w:p w14:paraId="4F9676BC">
      <w:pPr>
        <w:numPr>
          <w:ilvl w:val="0"/>
          <w:numId w:val="47"/>
        </w:numPr>
        <w:ind w:firstLineChars="0"/>
      </w:pPr>
      <w:r>
        <w:rPr>
          <w:rFonts w:hint="eastAsia"/>
        </w:rPr>
        <w:t>《自动化集装箱码头建设指南》（JTS/T 199-2021）；</w:t>
      </w:r>
    </w:p>
    <w:p w14:paraId="17115AE4">
      <w:pPr>
        <w:numPr>
          <w:ilvl w:val="0"/>
          <w:numId w:val="47"/>
        </w:numPr>
        <w:ind w:firstLineChars="0"/>
      </w:pPr>
      <w:bookmarkStart w:id="73" w:name="OLE_LINK107"/>
      <w:r>
        <w:rPr>
          <w:rFonts w:hint="eastAsia"/>
        </w:rPr>
        <w:t>《港口危险货物集装箱堆场设计规范》（</w:t>
      </w:r>
      <w:r>
        <w:t>JTS 176—2020</w:t>
      </w:r>
      <w:r>
        <w:rPr>
          <w:rFonts w:hint="eastAsia"/>
        </w:rPr>
        <w:t>）</w:t>
      </w:r>
      <w:bookmarkEnd w:id="73"/>
      <w:r>
        <w:rPr>
          <w:rFonts w:hint="eastAsia"/>
        </w:rPr>
        <w:t>；</w:t>
      </w:r>
    </w:p>
    <w:p w14:paraId="6EF8CCE9">
      <w:pPr>
        <w:numPr>
          <w:ilvl w:val="0"/>
          <w:numId w:val="47"/>
        </w:numPr>
        <w:ind w:firstLineChars="0"/>
      </w:pPr>
      <w:r>
        <w:rPr>
          <w:rFonts w:hint="eastAsia"/>
        </w:rPr>
        <w:t>《港口作业安全要求 第4部分：普通货物集装箱》（</w:t>
      </w:r>
      <w:r>
        <w:t>GB 16994.4-2023</w:t>
      </w:r>
      <w:r>
        <w:rPr>
          <w:rFonts w:hint="eastAsia"/>
        </w:rPr>
        <w:t>）；</w:t>
      </w:r>
    </w:p>
    <w:p w14:paraId="629FEF9F">
      <w:pPr>
        <w:numPr>
          <w:ilvl w:val="0"/>
          <w:numId w:val="47"/>
        </w:numPr>
        <w:ind w:firstLineChars="0"/>
      </w:pPr>
      <w:bookmarkStart w:id="74" w:name="OLE_LINK121"/>
      <w:r>
        <w:rPr>
          <w:rFonts w:hint="eastAsia"/>
        </w:rPr>
        <w:t>《港口作业安全要求 第3部分：危险货物集装箱》（</w:t>
      </w:r>
      <w:r>
        <w:t>GB 16994.3-2021</w:t>
      </w:r>
      <w:r>
        <w:rPr>
          <w:rFonts w:hint="eastAsia"/>
        </w:rPr>
        <w:t>）</w:t>
      </w:r>
      <w:bookmarkEnd w:id="74"/>
      <w:r>
        <w:rPr>
          <w:rFonts w:hint="eastAsia"/>
        </w:rPr>
        <w:t>；</w:t>
      </w:r>
    </w:p>
    <w:p w14:paraId="5819A29A">
      <w:pPr>
        <w:numPr>
          <w:ilvl w:val="0"/>
          <w:numId w:val="47"/>
        </w:numPr>
        <w:ind w:firstLineChars="0"/>
        <w:rPr>
          <w:u w:val="single"/>
        </w:rPr>
      </w:pPr>
      <w:r>
        <w:rPr>
          <w:rFonts w:hint="eastAsia"/>
          <w:u w:val="single"/>
        </w:rPr>
        <w:t>《危险货物品名表》（GB 12268-2025）</w:t>
      </w:r>
      <w:r>
        <w:rPr>
          <w:u w:val="single"/>
        </w:rPr>
        <w:t>。</w:t>
      </w:r>
    </w:p>
    <w:p w14:paraId="6A7FDFD6">
      <w:pPr>
        <w:pStyle w:val="5"/>
      </w:pPr>
      <w:r>
        <w:t>相关国际公约</w:t>
      </w:r>
    </w:p>
    <w:p w14:paraId="46BAF22D">
      <w:pPr>
        <w:numPr>
          <w:ilvl w:val="0"/>
          <w:numId w:val="48"/>
        </w:numPr>
        <w:ind w:firstLineChars="0"/>
      </w:pPr>
      <w:r>
        <w:t>《经1978 年议定书修订的1973 年国际防止船舶造成污染公约（MARPOL 73/78）》（国际海事组织，1978 年）；</w:t>
      </w:r>
    </w:p>
    <w:p w14:paraId="0CE99599">
      <w:pPr>
        <w:numPr>
          <w:ilvl w:val="0"/>
          <w:numId w:val="48"/>
        </w:numPr>
        <w:ind w:firstLineChars="0"/>
      </w:pPr>
      <w:r>
        <w:t>MARPOL 73/78 附则I</w:t>
      </w:r>
      <w:r>
        <w:rPr>
          <w:rFonts w:hint="eastAsia"/>
        </w:rPr>
        <w:t>、</w:t>
      </w:r>
      <w:r>
        <w:t>Ⅲ</w:t>
      </w:r>
      <w:r>
        <w:rPr>
          <w:rFonts w:hint="eastAsia"/>
        </w:rPr>
        <w:t>~</w:t>
      </w:r>
      <w:r>
        <w:t xml:space="preserve">VI； </w:t>
      </w:r>
    </w:p>
    <w:p w14:paraId="781CBB9C">
      <w:pPr>
        <w:numPr>
          <w:ilvl w:val="0"/>
          <w:numId w:val="48"/>
        </w:numPr>
        <w:ind w:firstLineChars="0"/>
      </w:pPr>
      <w:r>
        <w:t>《1990 年国际油污防备、响应和合作公约》（国际海事组织，1990年）。</w:t>
      </w:r>
    </w:p>
    <w:p w14:paraId="0156563F">
      <w:pPr>
        <w:pStyle w:val="7"/>
        <w:ind w:firstLine="464"/>
      </w:pPr>
      <w:r>
        <w:t>MARPOL 73/78 附则</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31"/>
        <w:gridCol w:w="3357"/>
        <w:gridCol w:w="2077"/>
        <w:gridCol w:w="1963"/>
      </w:tblGrid>
      <w:tr w14:paraId="1935E7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63" w:type="pct"/>
            <w:vAlign w:val="center"/>
          </w:tcPr>
          <w:p w14:paraId="68376B0D">
            <w:pPr>
              <w:pStyle w:val="34"/>
            </w:pPr>
            <w:r>
              <w:t>附则序号</w:t>
            </w:r>
          </w:p>
        </w:tc>
        <w:tc>
          <w:tcPr>
            <w:tcW w:w="1968" w:type="pct"/>
            <w:vAlign w:val="center"/>
          </w:tcPr>
          <w:p w14:paraId="3112CC75">
            <w:pPr>
              <w:pStyle w:val="34"/>
            </w:pPr>
            <w:r>
              <w:t>附则名称</w:t>
            </w:r>
          </w:p>
        </w:tc>
        <w:tc>
          <w:tcPr>
            <w:tcW w:w="1218" w:type="pct"/>
            <w:vAlign w:val="center"/>
          </w:tcPr>
          <w:p w14:paraId="393A77AD">
            <w:pPr>
              <w:pStyle w:val="34"/>
            </w:pPr>
            <w:r>
              <w:t>附则生效时间</w:t>
            </w:r>
          </w:p>
        </w:tc>
        <w:tc>
          <w:tcPr>
            <w:tcW w:w="1151" w:type="pct"/>
            <w:vAlign w:val="center"/>
          </w:tcPr>
          <w:p w14:paraId="130DF327">
            <w:pPr>
              <w:pStyle w:val="34"/>
            </w:pPr>
            <w:r>
              <w:t>对我国生效时间</w:t>
            </w:r>
          </w:p>
        </w:tc>
      </w:tr>
      <w:tr w14:paraId="444694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63" w:type="pct"/>
            <w:vAlign w:val="center"/>
          </w:tcPr>
          <w:p w14:paraId="44069146">
            <w:pPr>
              <w:pStyle w:val="34"/>
            </w:pPr>
            <w:r>
              <w:t>附则I</w:t>
            </w:r>
          </w:p>
        </w:tc>
        <w:tc>
          <w:tcPr>
            <w:tcW w:w="1968" w:type="pct"/>
            <w:vAlign w:val="center"/>
          </w:tcPr>
          <w:p w14:paraId="4AFFFCB3">
            <w:pPr>
              <w:pStyle w:val="34"/>
            </w:pPr>
            <w:r>
              <w:t>防止油污规则</w:t>
            </w:r>
          </w:p>
        </w:tc>
        <w:tc>
          <w:tcPr>
            <w:tcW w:w="1218" w:type="pct"/>
            <w:vAlign w:val="center"/>
          </w:tcPr>
          <w:p w14:paraId="598E49CD">
            <w:pPr>
              <w:pStyle w:val="34"/>
            </w:pPr>
            <w:r>
              <w:t>与议定书同时</w:t>
            </w:r>
          </w:p>
        </w:tc>
        <w:tc>
          <w:tcPr>
            <w:tcW w:w="1151" w:type="pct"/>
            <w:vAlign w:val="center"/>
          </w:tcPr>
          <w:p w14:paraId="42B21118">
            <w:pPr>
              <w:pStyle w:val="34"/>
            </w:pPr>
            <w:r>
              <w:t>1983年10月2日</w:t>
            </w:r>
          </w:p>
        </w:tc>
      </w:tr>
      <w:tr w14:paraId="56FE02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63" w:type="pct"/>
            <w:vAlign w:val="center"/>
          </w:tcPr>
          <w:p w14:paraId="62BA95C2">
            <w:pPr>
              <w:pStyle w:val="34"/>
            </w:pPr>
            <w:r>
              <w:t>附则IV</w:t>
            </w:r>
          </w:p>
        </w:tc>
        <w:tc>
          <w:tcPr>
            <w:tcW w:w="1968" w:type="pct"/>
            <w:vAlign w:val="center"/>
          </w:tcPr>
          <w:p w14:paraId="2B102F56">
            <w:pPr>
              <w:pStyle w:val="34"/>
            </w:pPr>
            <w:r>
              <w:t>防止船舶生活污水污染规则</w:t>
            </w:r>
          </w:p>
        </w:tc>
        <w:tc>
          <w:tcPr>
            <w:tcW w:w="1218" w:type="pct"/>
            <w:vAlign w:val="center"/>
          </w:tcPr>
          <w:p w14:paraId="26F4B363">
            <w:pPr>
              <w:pStyle w:val="34"/>
            </w:pPr>
            <w:r>
              <w:t>2005年8月1日</w:t>
            </w:r>
          </w:p>
        </w:tc>
        <w:tc>
          <w:tcPr>
            <w:tcW w:w="1151" w:type="pct"/>
            <w:vAlign w:val="center"/>
          </w:tcPr>
          <w:p w14:paraId="149298D6">
            <w:pPr>
              <w:pStyle w:val="34"/>
            </w:pPr>
            <w:r>
              <w:t>2007年2月2日</w:t>
            </w:r>
          </w:p>
        </w:tc>
      </w:tr>
      <w:tr w14:paraId="334804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63" w:type="pct"/>
            <w:vAlign w:val="center"/>
          </w:tcPr>
          <w:p w14:paraId="69A8B659">
            <w:pPr>
              <w:pStyle w:val="34"/>
            </w:pPr>
            <w:r>
              <w:t>附则V</w:t>
            </w:r>
          </w:p>
        </w:tc>
        <w:tc>
          <w:tcPr>
            <w:tcW w:w="1968" w:type="pct"/>
            <w:vAlign w:val="center"/>
          </w:tcPr>
          <w:p w14:paraId="08686C85">
            <w:pPr>
              <w:pStyle w:val="34"/>
            </w:pPr>
            <w:r>
              <w:t>防止船舶垃圾污染规则</w:t>
            </w:r>
          </w:p>
        </w:tc>
        <w:tc>
          <w:tcPr>
            <w:tcW w:w="1218" w:type="pct"/>
            <w:vAlign w:val="center"/>
          </w:tcPr>
          <w:p w14:paraId="2917EB48">
            <w:pPr>
              <w:pStyle w:val="34"/>
            </w:pPr>
            <w:r>
              <w:t>1988年12月31日</w:t>
            </w:r>
          </w:p>
        </w:tc>
        <w:tc>
          <w:tcPr>
            <w:tcW w:w="1151" w:type="pct"/>
            <w:vAlign w:val="center"/>
          </w:tcPr>
          <w:p w14:paraId="15A9EF24">
            <w:pPr>
              <w:pStyle w:val="34"/>
            </w:pPr>
            <w:r>
              <w:t>1989年2月21日</w:t>
            </w:r>
          </w:p>
        </w:tc>
      </w:tr>
      <w:tr w14:paraId="342304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63" w:type="pct"/>
            <w:vAlign w:val="center"/>
          </w:tcPr>
          <w:p w14:paraId="6CE48D0F">
            <w:pPr>
              <w:pStyle w:val="34"/>
            </w:pPr>
            <w:r>
              <w:t>附则VI</w:t>
            </w:r>
          </w:p>
        </w:tc>
        <w:tc>
          <w:tcPr>
            <w:tcW w:w="1968" w:type="pct"/>
            <w:vAlign w:val="center"/>
          </w:tcPr>
          <w:p w14:paraId="17047CDA">
            <w:pPr>
              <w:pStyle w:val="34"/>
            </w:pPr>
            <w:r>
              <w:t>防止船舶造成空气污染国际规则</w:t>
            </w:r>
          </w:p>
        </w:tc>
        <w:tc>
          <w:tcPr>
            <w:tcW w:w="1218" w:type="pct"/>
            <w:vAlign w:val="center"/>
          </w:tcPr>
          <w:p w14:paraId="2236692D">
            <w:pPr>
              <w:pStyle w:val="34"/>
            </w:pPr>
            <w:r>
              <w:t>2005年5月19日</w:t>
            </w:r>
          </w:p>
        </w:tc>
        <w:tc>
          <w:tcPr>
            <w:tcW w:w="1151" w:type="pct"/>
            <w:vAlign w:val="center"/>
          </w:tcPr>
          <w:p w14:paraId="1C6D9CBF">
            <w:pPr>
              <w:pStyle w:val="34"/>
            </w:pPr>
            <w:r>
              <w:t>2006年8月23日</w:t>
            </w:r>
          </w:p>
        </w:tc>
      </w:tr>
    </w:tbl>
    <w:p w14:paraId="3E616CE8">
      <w:pPr>
        <w:pStyle w:val="5"/>
        <w:rPr>
          <w:szCs w:val="32"/>
        </w:rPr>
      </w:pPr>
      <w:r>
        <w:t>项目建设相关文件</w:t>
      </w:r>
    </w:p>
    <w:p w14:paraId="3A9BC5BE">
      <w:pPr>
        <w:numPr>
          <w:ilvl w:val="0"/>
          <w:numId w:val="49"/>
        </w:numPr>
        <w:ind w:left="0" w:firstLine="462"/>
      </w:pPr>
      <w:r>
        <w:t>项目委托书；</w:t>
      </w:r>
    </w:p>
    <w:p w14:paraId="54CC128D">
      <w:pPr>
        <w:numPr>
          <w:ilvl w:val="0"/>
          <w:numId w:val="49"/>
        </w:numPr>
        <w:ind w:left="0" w:firstLine="462"/>
      </w:pPr>
      <w:r>
        <w:rPr>
          <w:rFonts w:hint="eastAsia"/>
        </w:rPr>
        <w:t>《北部湾港钦州港域大榄坪港区大榄坪南作业区内1号至5号江海联运泊位工程可行性研究报告》（2025年4月）；</w:t>
      </w:r>
    </w:p>
    <w:p w14:paraId="5507ED13">
      <w:pPr>
        <w:numPr>
          <w:ilvl w:val="0"/>
          <w:numId w:val="49"/>
        </w:numPr>
        <w:ind w:left="0" w:firstLine="462"/>
      </w:pPr>
      <w:r>
        <w:rPr>
          <w:rFonts w:hint="eastAsia"/>
        </w:rPr>
        <w:t>《北部湾港钦州港域大榄坪港区大榄坪南作业区内1号至5号江海联运泊位工程初步设计》（2025年7月）；</w:t>
      </w:r>
    </w:p>
    <w:p w14:paraId="04FDCC1D">
      <w:pPr>
        <w:numPr>
          <w:ilvl w:val="0"/>
          <w:numId w:val="49"/>
        </w:numPr>
        <w:ind w:left="0" w:firstLine="462"/>
      </w:pPr>
      <w:r>
        <w:rPr>
          <w:rFonts w:hint="eastAsia"/>
        </w:rPr>
        <w:t>《关于北部湾港钦州港域大榄坪港区大榄坪南作业区内1号至5号江海联运泊位工程核准变更的批复》（中马园审批核〔2025〕2号）；</w:t>
      </w:r>
    </w:p>
    <w:p w14:paraId="1482F895">
      <w:pPr>
        <w:numPr>
          <w:ilvl w:val="0"/>
          <w:numId w:val="49"/>
        </w:numPr>
        <w:ind w:left="0" w:firstLine="462"/>
        <w:rPr>
          <w:kern w:val="0"/>
        </w:rPr>
      </w:pPr>
      <w:r>
        <w:rPr>
          <w:rFonts w:hint="eastAsia"/>
          <w:kern w:val="0"/>
        </w:rPr>
        <w:t>《北部湾港钦州港域大榄坪港区大榄坪南作业区内1号至5号江海联运泊位工程海域使用论证报告》（送审稿）；</w:t>
      </w:r>
    </w:p>
    <w:p w14:paraId="029A6D8C">
      <w:pPr>
        <w:numPr>
          <w:ilvl w:val="0"/>
          <w:numId w:val="49"/>
        </w:numPr>
        <w:ind w:left="0" w:firstLine="462"/>
        <w:rPr>
          <w:kern w:val="0"/>
        </w:rPr>
      </w:pPr>
      <w:bookmarkStart w:id="75" w:name="OLE_LINK102"/>
      <w:r>
        <w:rPr>
          <w:rFonts w:hint="eastAsia"/>
          <w:kern w:val="0"/>
        </w:rPr>
        <w:t>《入海排污口设置选址可行性研究报告》</w:t>
      </w:r>
      <w:bookmarkEnd w:id="75"/>
      <w:r>
        <w:rPr>
          <w:rFonts w:hint="eastAsia"/>
          <w:kern w:val="0"/>
        </w:rPr>
        <w:t>（生态环境部华南环境科学研究所，2025年12月）；</w:t>
      </w:r>
    </w:p>
    <w:p w14:paraId="6DD0842F">
      <w:pPr>
        <w:numPr>
          <w:ilvl w:val="0"/>
          <w:numId w:val="49"/>
        </w:numPr>
        <w:ind w:left="0" w:firstLine="462"/>
        <w:rPr>
          <w:kern w:val="0"/>
        </w:rPr>
      </w:pPr>
      <w:r>
        <w:rPr>
          <w:rFonts w:hint="eastAsia"/>
          <w:kern w:val="0"/>
        </w:rPr>
        <w:t>建设单位提供的其他资料。</w:t>
      </w:r>
    </w:p>
    <w:p w14:paraId="46563B22">
      <w:pPr>
        <w:pStyle w:val="4"/>
      </w:pPr>
      <w:bookmarkStart w:id="76" w:name="_Toc198042308"/>
      <w:bookmarkStart w:id="77" w:name="_Toc217977904"/>
      <w:r>
        <w:t>评价工作等级和评价范围</w:t>
      </w:r>
      <w:bookmarkEnd w:id="76"/>
      <w:bookmarkEnd w:id="77"/>
    </w:p>
    <w:p w14:paraId="752751C1">
      <w:pPr>
        <w:pStyle w:val="5"/>
      </w:pPr>
      <w:bookmarkStart w:id="78" w:name="_Toc160857123"/>
      <w:bookmarkStart w:id="79" w:name="_Toc160855805"/>
      <w:bookmarkStart w:id="80" w:name="_Toc160857122"/>
      <w:bookmarkStart w:id="81" w:name="_Toc160855804"/>
      <w:bookmarkStart w:id="82" w:name="_Toc160854849"/>
      <w:bookmarkStart w:id="83" w:name="_Toc160854850"/>
      <w:r>
        <w:t>评价工作等级</w:t>
      </w:r>
    </w:p>
    <w:p w14:paraId="0078411E">
      <w:pPr>
        <w:ind w:firstLine="462"/>
        <w:rPr>
          <w:lang w:val="zh-CN"/>
        </w:rPr>
      </w:pPr>
      <w:r>
        <w:rPr>
          <w:lang w:val="zh-CN"/>
        </w:rPr>
        <w:t>根据《</w:t>
      </w:r>
      <w:r>
        <w:rPr>
          <w:rFonts w:hint="eastAsia"/>
          <w:lang w:val="zh-CN"/>
        </w:rPr>
        <w:t>建设项目环境影响评价技术导则 总纲</w:t>
      </w:r>
      <w:r>
        <w:rPr>
          <w:lang w:val="zh-CN"/>
        </w:rPr>
        <w:t>》</w:t>
      </w:r>
      <w:r>
        <w:rPr>
          <w:rFonts w:hint="eastAsia"/>
          <w:lang w:val="zh-CN"/>
        </w:rPr>
        <w:t>（HJ2.1-2016）、《环境影响评价技术导则 海洋生态环境》（HJ1409-2025）、《环境影响评价技术导则  生态影响》（HJ19-2022）、《环境影响评价技术导则  声环境》（HJ2.4-2021）、《环境影响评价技术导则  地表水环境》（HJ2.3-2018）、《环境影响评价技术导则  地下水环境》（HJ610-2016）、《环境影响评价技术导则  土壤环境》（HJ 964-2018）、《建设项目环境风险评价技术导则》（HJ 169-2018）等</w:t>
      </w:r>
      <w:r>
        <w:rPr>
          <w:lang w:val="zh-CN"/>
        </w:rPr>
        <w:t>环境影响评价等级判定依据，结合工程特点（工程性质、工程规模、污染源强等）及工程所在地环境特征（自然环境特征、环境敏感程度、环境质量现状及社会经济状况等），确定环评各环境要素的评价等级。</w:t>
      </w:r>
    </w:p>
    <w:p w14:paraId="23EFAE08">
      <w:pPr>
        <w:pStyle w:val="6"/>
      </w:pPr>
      <w:r>
        <w:rPr>
          <w:rFonts w:hint="eastAsia"/>
        </w:rPr>
        <w:t>海洋生态</w:t>
      </w:r>
    </w:p>
    <w:p w14:paraId="7E4569FA">
      <w:pPr>
        <w:ind w:firstLine="462"/>
        <w:rPr>
          <w:u w:val="single"/>
        </w:rPr>
      </w:pPr>
      <w:r>
        <w:rPr>
          <w:u w:val="single"/>
        </w:rPr>
        <w:t>工程</w:t>
      </w:r>
      <w:bookmarkStart w:id="84" w:name="_Hlk206577599"/>
      <w:r>
        <w:rPr>
          <w:rFonts w:hint="eastAsia"/>
          <w:u w:val="single"/>
        </w:rPr>
        <w:t>不涉及围填海，涉水施工主要为港池疏浚及少量炸礁，其中</w:t>
      </w:r>
      <w:r>
        <w:rPr>
          <w:u w:val="single"/>
        </w:rPr>
        <w:t>疏浚工程量</w:t>
      </w:r>
      <w:r>
        <w:rPr>
          <w:rFonts w:hint="eastAsia"/>
          <w:u w:val="single"/>
        </w:rPr>
        <w:t>131.16</w:t>
      </w:r>
      <w:r>
        <w:rPr>
          <w:u w:val="single"/>
        </w:rPr>
        <w:t>万m</w:t>
      </w:r>
      <w:r>
        <w:rPr>
          <w:u w:val="single"/>
          <w:vertAlign w:val="superscript"/>
        </w:rPr>
        <w:t>3</w:t>
      </w:r>
      <w:r>
        <w:rPr>
          <w:u w:val="single"/>
        </w:rPr>
        <w:t>，炸礁工程量</w:t>
      </w:r>
      <w:r>
        <w:rPr>
          <w:rFonts w:hint="eastAsia"/>
          <w:u w:val="single"/>
        </w:rPr>
        <w:t>3.91</w:t>
      </w:r>
      <w:r>
        <w:rPr>
          <w:u w:val="single"/>
        </w:rPr>
        <w:t>万m</w:t>
      </w:r>
      <w:r>
        <w:rPr>
          <w:u w:val="single"/>
          <w:vertAlign w:val="superscript"/>
        </w:rPr>
        <w:t>3</w:t>
      </w:r>
      <w:r>
        <w:rPr>
          <w:u w:val="single"/>
        </w:rPr>
        <w:t>，</w:t>
      </w:r>
      <w:bookmarkEnd w:id="84"/>
      <w:r>
        <w:rPr>
          <w:u w:val="single"/>
        </w:rPr>
        <w:t>疏浚面积约</w:t>
      </w:r>
      <w:bookmarkStart w:id="85" w:name="OLE_LINK555"/>
      <w:r>
        <w:rPr>
          <w:rFonts w:hint="eastAsia"/>
          <w:u w:val="single"/>
        </w:rPr>
        <w:t>22.77hm</w:t>
      </w:r>
      <w:r>
        <w:rPr>
          <w:rFonts w:hint="eastAsia"/>
          <w:u w:val="single"/>
          <w:vertAlign w:val="superscript"/>
        </w:rPr>
        <w:t>2</w:t>
      </w:r>
      <w:bookmarkEnd w:id="85"/>
      <w:r>
        <w:rPr>
          <w:rFonts w:hint="eastAsia"/>
          <w:u w:val="single"/>
        </w:rPr>
        <w:t>；项目选址不涉及重要敏感区。</w:t>
      </w:r>
      <w:r>
        <w:rPr>
          <w:u w:val="single"/>
        </w:rPr>
        <w:t>根据</w:t>
      </w:r>
      <w:bookmarkStart w:id="86" w:name="OLE_LINK4"/>
      <w:r>
        <w:rPr>
          <w:rFonts w:hint="eastAsia"/>
          <w:u w:val="single"/>
        </w:rPr>
        <w:t>《环境影响评价技术导则 海洋生态环境》（HJ 1409-2025）</w:t>
      </w:r>
      <w:bookmarkEnd w:id="86"/>
      <w:r>
        <w:rPr>
          <w:u w:val="single"/>
        </w:rPr>
        <w:t>，</w:t>
      </w:r>
      <w:r>
        <w:rPr>
          <w:rFonts w:hint="eastAsia"/>
          <w:u w:val="single"/>
        </w:rPr>
        <w:t>判定本工程海洋生态影响类型为水下工程开挖量、水下炸礁类。</w:t>
      </w:r>
    </w:p>
    <w:p w14:paraId="57108A84">
      <w:pPr>
        <w:pStyle w:val="7"/>
        <w:rPr>
          <w:u w:val="single"/>
        </w:rPr>
      </w:pPr>
      <w:r>
        <w:rPr>
          <w:rFonts w:hint="eastAsia"/>
          <w:u w:val="single"/>
        </w:rPr>
        <w:t>项目影响类型识别</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169"/>
        <w:gridCol w:w="924"/>
        <w:gridCol w:w="4938"/>
        <w:gridCol w:w="1311"/>
      </w:tblGrid>
      <w:tr w14:paraId="4877E00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078" w:type="dxa"/>
            <w:gridSpan w:val="2"/>
            <w:tcMar>
              <w:left w:w="0" w:type="dxa"/>
              <w:right w:w="0" w:type="dxa"/>
            </w:tcMar>
            <w:vAlign w:val="center"/>
          </w:tcPr>
          <w:p w14:paraId="309EBB7A">
            <w:pPr>
              <w:pStyle w:val="1060"/>
              <w:spacing w:line="280" w:lineRule="exact"/>
              <w:rPr>
                <w:sz w:val="21"/>
                <w:szCs w:val="21"/>
                <w:u w:val="single"/>
              </w:rPr>
            </w:pPr>
            <w:r>
              <w:rPr>
                <w:sz w:val="21"/>
                <w:szCs w:val="21"/>
                <w:u w:val="single"/>
              </w:rPr>
              <w:t>影响类型</w:t>
            </w:r>
          </w:p>
        </w:tc>
        <w:tc>
          <w:tcPr>
            <w:tcW w:w="4902" w:type="dxa"/>
            <w:tcMar>
              <w:left w:w="0" w:type="dxa"/>
              <w:right w:w="0" w:type="dxa"/>
            </w:tcMar>
            <w:vAlign w:val="center"/>
          </w:tcPr>
          <w:p w14:paraId="548B02C6">
            <w:pPr>
              <w:pStyle w:val="1060"/>
              <w:spacing w:line="280" w:lineRule="exact"/>
              <w:rPr>
                <w:sz w:val="21"/>
                <w:szCs w:val="21"/>
                <w:u w:val="single"/>
              </w:rPr>
            </w:pPr>
            <w:r>
              <w:rPr>
                <w:sz w:val="21"/>
                <w:szCs w:val="21"/>
                <w:u w:val="single"/>
              </w:rPr>
              <w:t>主要项目类别</w:t>
            </w:r>
          </w:p>
        </w:tc>
        <w:tc>
          <w:tcPr>
            <w:tcW w:w="1302" w:type="dxa"/>
            <w:tcMar>
              <w:left w:w="0" w:type="dxa"/>
              <w:right w:w="0" w:type="dxa"/>
            </w:tcMar>
            <w:vAlign w:val="center"/>
          </w:tcPr>
          <w:p w14:paraId="73F63C65">
            <w:pPr>
              <w:pStyle w:val="1060"/>
              <w:spacing w:line="280" w:lineRule="exact"/>
              <w:rPr>
                <w:sz w:val="21"/>
                <w:szCs w:val="21"/>
                <w:u w:val="single"/>
              </w:rPr>
            </w:pPr>
            <w:r>
              <w:rPr>
                <w:sz w:val="21"/>
                <w:szCs w:val="21"/>
                <w:u w:val="single"/>
              </w:rPr>
              <w:t>工程情况</w:t>
            </w:r>
          </w:p>
        </w:tc>
      </w:tr>
      <w:tr w14:paraId="356237C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078" w:type="dxa"/>
            <w:gridSpan w:val="2"/>
            <w:tcMar>
              <w:left w:w="0" w:type="dxa"/>
              <w:right w:w="0" w:type="dxa"/>
            </w:tcMar>
            <w:vAlign w:val="center"/>
          </w:tcPr>
          <w:p w14:paraId="39DB728C">
            <w:pPr>
              <w:pStyle w:val="1060"/>
              <w:spacing w:line="280" w:lineRule="exact"/>
              <w:rPr>
                <w:sz w:val="21"/>
                <w:szCs w:val="21"/>
                <w:u w:val="single"/>
              </w:rPr>
            </w:pPr>
            <w:r>
              <w:rPr>
                <w:sz w:val="21"/>
                <w:szCs w:val="21"/>
                <w:u w:val="single"/>
              </w:rPr>
              <w:t>向海洋排放废水(新增排放因子或排放量)</w:t>
            </w:r>
          </w:p>
        </w:tc>
        <w:tc>
          <w:tcPr>
            <w:tcW w:w="4902" w:type="dxa"/>
            <w:tcMar>
              <w:left w:w="0" w:type="dxa"/>
              <w:right w:w="0" w:type="dxa"/>
            </w:tcMar>
            <w:vAlign w:val="center"/>
          </w:tcPr>
          <w:p w14:paraId="32C62932">
            <w:pPr>
              <w:pStyle w:val="1060"/>
              <w:spacing w:line="280" w:lineRule="exact"/>
              <w:jc w:val="both"/>
              <w:rPr>
                <w:sz w:val="21"/>
                <w:szCs w:val="21"/>
                <w:u w:val="single"/>
              </w:rPr>
            </w:pPr>
            <w:r>
              <w:rPr>
                <w:sz w:val="21"/>
                <w:szCs w:val="21"/>
                <w:u w:val="single"/>
              </w:rPr>
              <w:t>工业废水排放工程</w:t>
            </w:r>
            <w:r>
              <w:rPr>
                <w:sz w:val="21"/>
                <w:szCs w:val="21"/>
                <w:u w:val="single"/>
                <w:vertAlign w:val="superscript"/>
              </w:rPr>
              <w:t>1</w:t>
            </w:r>
            <w:r>
              <w:rPr>
                <w:sz w:val="21"/>
                <w:szCs w:val="21"/>
                <w:u w:val="single"/>
              </w:rPr>
              <w:t>；城镇生活污水排污管道工程；海洋油气开发工程；矿盐卤水开发工程；海上娱乐及运动、海上景观开发工程；码头工程；水产养殖基地、工厂化养殖、高位池(提水)养殖工程；其他有浓盐水、温(冷)排水排海的工程</w:t>
            </w:r>
          </w:p>
        </w:tc>
        <w:tc>
          <w:tcPr>
            <w:tcW w:w="1302" w:type="dxa"/>
            <w:tcMar>
              <w:left w:w="0" w:type="dxa"/>
              <w:right w:w="0" w:type="dxa"/>
            </w:tcMar>
            <w:vAlign w:val="center"/>
          </w:tcPr>
          <w:p w14:paraId="77272FD0">
            <w:pPr>
              <w:pStyle w:val="1060"/>
              <w:spacing w:line="280" w:lineRule="exact"/>
              <w:rPr>
                <w:sz w:val="21"/>
                <w:szCs w:val="21"/>
                <w:u w:val="single"/>
              </w:rPr>
            </w:pPr>
            <w:r>
              <w:rPr>
                <w:sz w:val="21"/>
                <w:szCs w:val="21"/>
                <w:u w:val="single"/>
              </w:rPr>
              <w:t>不涉及</w:t>
            </w:r>
          </w:p>
        </w:tc>
      </w:tr>
      <w:tr w14:paraId="7574CBC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078" w:type="dxa"/>
            <w:gridSpan w:val="2"/>
            <w:tcMar>
              <w:left w:w="0" w:type="dxa"/>
              <w:right w:w="0" w:type="dxa"/>
            </w:tcMar>
            <w:vAlign w:val="center"/>
          </w:tcPr>
          <w:p w14:paraId="1403630E">
            <w:pPr>
              <w:pStyle w:val="1060"/>
              <w:spacing w:line="280" w:lineRule="exact"/>
              <w:rPr>
                <w:sz w:val="21"/>
                <w:szCs w:val="21"/>
                <w:u w:val="single"/>
              </w:rPr>
            </w:pPr>
            <w:bookmarkStart w:id="87" w:name="OLE_LINK715"/>
            <w:r>
              <w:rPr>
                <w:sz w:val="21"/>
                <w:szCs w:val="21"/>
                <w:u w:val="single"/>
              </w:rPr>
              <w:t>水下工程开挖</w:t>
            </w:r>
            <w:bookmarkEnd w:id="87"/>
            <w:r>
              <w:rPr>
                <w:sz w:val="21"/>
                <w:szCs w:val="21"/>
                <w:u w:val="single"/>
              </w:rPr>
              <w:t>/回填量</w:t>
            </w:r>
          </w:p>
        </w:tc>
        <w:tc>
          <w:tcPr>
            <w:tcW w:w="4902" w:type="dxa"/>
            <w:tcMar>
              <w:left w:w="0" w:type="dxa"/>
              <w:right w:w="0" w:type="dxa"/>
            </w:tcMar>
            <w:vAlign w:val="center"/>
          </w:tcPr>
          <w:p w14:paraId="60FBD0AC">
            <w:pPr>
              <w:pStyle w:val="1060"/>
              <w:spacing w:line="280" w:lineRule="exact"/>
              <w:rPr>
                <w:sz w:val="21"/>
                <w:szCs w:val="21"/>
                <w:u w:val="single"/>
              </w:rPr>
            </w:pPr>
            <w:r>
              <w:rPr>
                <w:sz w:val="21"/>
                <w:szCs w:val="21"/>
                <w:u w:val="single"/>
              </w:rPr>
              <w:t>海洋(海底)矿产资源(不含油气开采)开发、海砂开采工程；清淤、疏浚、取土(沙)等水下开挖工程；滩涂垫高等回填(补沙)工程；海底隧道；航道工程、码头工程、水运辅助工程</w:t>
            </w:r>
          </w:p>
        </w:tc>
        <w:tc>
          <w:tcPr>
            <w:tcW w:w="1302" w:type="dxa"/>
            <w:tcMar>
              <w:left w:w="0" w:type="dxa"/>
              <w:right w:w="0" w:type="dxa"/>
            </w:tcMar>
            <w:vAlign w:val="center"/>
          </w:tcPr>
          <w:p w14:paraId="3781465A">
            <w:pPr>
              <w:pStyle w:val="1060"/>
              <w:spacing w:line="280" w:lineRule="exact"/>
              <w:rPr>
                <w:sz w:val="21"/>
                <w:szCs w:val="21"/>
                <w:u w:val="single"/>
              </w:rPr>
            </w:pPr>
            <w:r>
              <w:rPr>
                <w:sz w:val="21"/>
                <w:szCs w:val="21"/>
                <w:u w:val="single"/>
              </w:rPr>
              <w:t>码头工程</w:t>
            </w:r>
          </w:p>
        </w:tc>
      </w:tr>
      <w:tr w14:paraId="1E93E63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078" w:type="dxa"/>
            <w:gridSpan w:val="2"/>
            <w:tcMar>
              <w:left w:w="0" w:type="dxa"/>
              <w:right w:w="0" w:type="dxa"/>
            </w:tcMar>
            <w:vAlign w:val="center"/>
          </w:tcPr>
          <w:p w14:paraId="1CBB60E6">
            <w:pPr>
              <w:pStyle w:val="1060"/>
              <w:spacing w:line="280" w:lineRule="exact"/>
              <w:rPr>
                <w:sz w:val="21"/>
                <w:szCs w:val="21"/>
                <w:u w:val="single"/>
              </w:rPr>
            </w:pPr>
            <w:r>
              <w:rPr>
                <w:sz w:val="21"/>
                <w:szCs w:val="21"/>
                <w:u w:val="single"/>
              </w:rPr>
              <w:t>挖沟埋设管缆总长度</w:t>
            </w:r>
            <w:r>
              <w:rPr>
                <w:sz w:val="21"/>
                <w:szCs w:val="21"/>
                <w:u w:val="single"/>
                <w:vertAlign w:val="superscript"/>
              </w:rPr>
              <w:t>2</w:t>
            </w:r>
          </w:p>
        </w:tc>
        <w:tc>
          <w:tcPr>
            <w:tcW w:w="4902" w:type="dxa"/>
            <w:tcMar>
              <w:left w:w="0" w:type="dxa"/>
              <w:right w:w="0" w:type="dxa"/>
            </w:tcMar>
            <w:vAlign w:val="center"/>
          </w:tcPr>
          <w:p w14:paraId="5B8120E8">
            <w:pPr>
              <w:pStyle w:val="1060"/>
              <w:spacing w:line="280" w:lineRule="exact"/>
              <w:rPr>
                <w:sz w:val="21"/>
                <w:szCs w:val="21"/>
                <w:u w:val="single"/>
              </w:rPr>
            </w:pPr>
            <w:r>
              <w:rPr>
                <w:sz w:val="21"/>
                <w:szCs w:val="21"/>
                <w:u w:val="single"/>
              </w:rPr>
              <w:t>海底管道及电(光)缆工程；海洋能源开发利用、输送设施及网络工程；海洋油气开发及其附属工程</w:t>
            </w:r>
          </w:p>
        </w:tc>
        <w:tc>
          <w:tcPr>
            <w:tcW w:w="1302" w:type="dxa"/>
            <w:tcMar>
              <w:left w:w="0" w:type="dxa"/>
              <w:right w:w="0" w:type="dxa"/>
            </w:tcMar>
            <w:vAlign w:val="center"/>
          </w:tcPr>
          <w:p w14:paraId="03D85DD2">
            <w:pPr>
              <w:pStyle w:val="1060"/>
              <w:spacing w:line="280" w:lineRule="exact"/>
              <w:rPr>
                <w:sz w:val="21"/>
                <w:szCs w:val="21"/>
                <w:u w:val="single"/>
              </w:rPr>
            </w:pPr>
            <w:r>
              <w:rPr>
                <w:sz w:val="21"/>
                <w:szCs w:val="21"/>
                <w:u w:val="single"/>
              </w:rPr>
              <w:t>不涉及</w:t>
            </w:r>
          </w:p>
        </w:tc>
      </w:tr>
      <w:tr w14:paraId="7336C94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078" w:type="dxa"/>
            <w:gridSpan w:val="2"/>
            <w:tcMar>
              <w:left w:w="0" w:type="dxa"/>
              <w:right w:w="0" w:type="dxa"/>
            </w:tcMar>
            <w:vAlign w:val="center"/>
          </w:tcPr>
          <w:p w14:paraId="2AF42DF7">
            <w:pPr>
              <w:pStyle w:val="1060"/>
              <w:spacing w:line="280" w:lineRule="exact"/>
              <w:rPr>
                <w:sz w:val="21"/>
                <w:szCs w:val="21"/>
                <w:u w:val="single"/>
              </w:rPr>
            </w:pPr>
            <w:r>
              <w:rPr>
                <w:sz w:val="21"/>
                <w:szCs w:val="21"/>
                <w:u w:val="single"/>
              </w:rPr>
              <w:t>水下炸礁、爆破挤淤工程量</w:t>
            </w:r>
          </w:p>
        </w:tc>
        <w:tc>
          <w:tcPr>
            <w:tcW w:w="4902" w:type="dxa"/>
            <w:tcMar>
              <w:left w:w="0" w:type="dxa"/>
              <w:right w:w="0" w:type="dxa"/>
            </w:tcMar>
            <w:vAlign w:val="center"/>
          </w:tcPr>
          <w:p w14:paraId="74942FF9">
            <w:pPr>
              <w:pStyle w:val="1060"/>
              <w:spacing w:line="280" w:lineRule="exact"/>
              <w:rPr>
                <w:sz w:val="21"/>
                <w:szCs w:val="21"/>
                <w:u w:val="single"/>
              </w:rPr>
            </w:pPr>
            <w:r>
              <w:rPr>
                <w:sz w:val="21"/>
                <w:szCs w:val="21"/>
                <w:u w:val="single"/>
              </w:rPr>
              <w:t>水下炸礁(岩)、爆破、挤淤工程</w:t>
            </w:r>
          </w:p>
        </w:tc>
        <w:tc>
          <w:tcPr>
            <w:tcW w:w="1302" w:type="dxa"/>
            <w:tcMar>
              <w:left w:w="0" w:type="dxa"/>
              <w:right w:w="0" w:type="dxa"/>
            </w:tcMar>
            <w:vAlign w:val="center"/>
          </w:tcPr>
          <w:p w14:paraId="74015C17">
            <w:pPr>
              <w:pStyle w:val="1060"/>
              <w:spacing w:line="280" w:lineRule="exact"/>
              <w:rPr>
                <w:sz w:val="21"/>
                <w:szCs w:val="21"/>
                <w:u w:val="single"/>
              </w:rPr>
            </w:pPr>
            <w:r>
              <w:rPr>
                <w:rFonts w:hint="eastAsia"/>
                <w:sz w:val="21"/>
                <w:szCs w:val="21"/>
                <w:u w:val="single"/>
              </w:rPr>
              <w:t>港池涉及炸礁</w:t>
            </w:r>
          </w:p>
        </w:tc>
      </w:tr>
      <w:tr w14:paraId="5C2F57B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078" w:type="dxa"/>
            <w:gridSpan w:val="2"/>
            <w:tcMar>
              <w:left w:w="0" w:type="dxa"/>
              <w:right w:w="0" w:type="dxa"/>
            </w:tcMar>
            <w:vAlign w:val="center"/>
          </w:tcPr>
          <w:p w14:paraId="17D48A6D">
            <w:pPr>
              <w:pStyle w:val="1060"/>
              <w:spacing w:line="280" w:lineRule="exact"/>
              <w:rPr>
                <w:sz w:val="21"/>
                <w:szCs w:val="21"/>
                <w:u w:val="single"/>
              </w:rPr>
            </w:pPr>
            <w:r>
              <w:rPr>
                <w:sz w:val="21"/>
                <w:szCs w:val="21"/>
                <w:u w:val="single"/>
              </w:rPr>
              <w:t>泥浆及钻屑排放量</w:t>
            </w:r>
          </w:p>
        </w:tc>
        <w:tc>
          <w:tcPr>
            <w:tcW w:w="4902" w:type="dxa"/>
            <w:tcMar>
              <w:left w:w="0" w:type="dxa"/>
              <w:right w:w="0" w:type="dxa"/>
            </w:tcMar>
            <w:vAlign w:val="center"/>
          </w:tcPr>
          <w:p w14:paraId="4FCF4526">
            <w:pPr>
              <w:pStyle w:val="1060"/>
              <w:spacing w:line="280" w:lineRule="exact"/>
              <w:rPr>
                <w:sz w:val="21"/>
                <w:szCs w:val="21"/>
                <w:u w:val="single"/>
              </w:rPr>
            </w:pPr>
            <w:r>
              <w:rPr>
                <w:sz w:val="21"/>
                <w:szCs w:val="21"/>
                <w:u w:val="single"/>
              </w:rPr>
              <w:t>海洋油气开发工程；海洋(海底)矿产资源开发；海底物资储藏设施工程、海洋空间资源利用工程</w:t>
            </w:r>
          </w:p>
        </w:tc>
        <w:tc>
          <w:tcPr>
            <w:tcW w:w="1302" w:type="dxa"/>
            <w:tcMar>
              <w:left w:w="0" w:type="dxa"/>
              <w:right w:w="0" w:type="dxa"/>
            </w:tcMar>
            <w:vAlign w:val="center"/>
          </w:tcPr>
          <w:p w14:paraId="5D9C9C91">
            <w:pPr>
              <w:pStyle w:val="1060"/>
              <w:spacing w:line="280" w:lineRule="exact"/>
              <w:rPr>
                <w:sz w:val="21"/>
                <w:szCs w:val="21"/>
                <w:u w:val="single"/>
              </w:rPr>
            </w:pPr>
            <w:r>
              <w:rPr>
                <w:sz w:val="21"/>
                <w:szCs w:val="21"/>
                <w:u w:val="single"/>
              </w:rPr>
              <w:t>不涉及</w:t>
            </w:r>
          </w:p>
        </w:tc>
      </w:tr>
      <w:tr w14:paraId="1F21E2D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078" w:type="dxa"/>
            <w:gridSpan w:val="2"/>
            <w:tcMar>
              <w:left w:w="0" w:type="dxa"/>
              <w:right w:w="0" w:type="dxa"/>
            </w:tcMar>
            <w:vAlign w:val="center"/>
          </w:tcPr>
          <w:p w14:paraId="1F45F189">
            <w:pPr>
              <w:pStyle w:val="1060"/>
              <w:spacing w:line="280" w:lineRule="exact"/>
              <w:rPr>
                <w:sz w:val="21"/>
                <w:szCs w:val="21"/>
                <w:u w:val="single"/>
              </w:rPr>
            </w:pPr>
            <w:r>
              <w:rPr>
                <w:sz w:val="21"/>
                <w:szCs w:val="21"/>
                <w:u w:val="single"/>
              </w:rPr>
              <w:t>入海河口(湾口)宽度束窄/拓宽</w:t>
            </w:r>
            <w:bookmarkStart w:id="88" w:name="OLE_LINK712"/>
            <w:r>
              <w:rPr>
                <w:sz w:val="21"/>
                <w:szCs w:val="21"/>
                <w:u w:val="single"/>
              </w:rPr>
              <w:t>尺度占原宽度的比例</w:t>
            </w:r>
            <w:bookmarkEnd w:id="88"/>
          </w:p>
        </w:tc>
        <w:tc>
          <w:tcPr>
            <w:tcW w:w="4902" w:type="dxa"/>
            <w:tcMar>
              <w:left w:w="0" w:type="dxa"/>
              <w:right w:w="0" w:type="dxa"/>
            </w:tcMar>
            <w:vAlign w:val="center"/>
          </w:tcPr>
          <w:p w14:paraId="594FE29E">
            <w:pPr>
              <w:pStyle w:val="1060"/>
              <w:spacing w:line="280" w:lineRule="exact"/>
              <w:rPr>
                <w:sz w:val="21"/>
                <w:szCs w:val="21"/>
                <w:u w:val="single"/>
              </w:rPr>
            </w:pPr>
            <w:r>
              <w:rPr>
                <w:sz w:val="21"/>
                <w:szCs w:val="21"/>
                <w:u w:val="single"/>
              </w:rPr>
              <w:t>跨海桥梁工程；海上堤坝工程；围填海工程</w:t>
            </w:r>
          </w:p>
        </w:tc>
        <w:tc>
          <w:tcPr>
            <w:tcW w:w="1302" w:type="dxa"/>
            <w:tcMar>
              <w:left w:w="0" w:type="dxa"/>
              <w:right w:w="0" w:type="dxa"/>
            </w:tcMar>
            <w:vAlign w:val="center"/>
          </w:tcPr>
          <w:p w14:paraId="68B5BD09">
            <w:pPr>
              <w:pStyle w:val="1060"/>
              <w:spacing w:line="280" w:lineRule="exact"/>
              <w:rPr>
                <w:sz w:val="21"/>
                <w:szCs w:val="21"/>
                <w:u w:val="single"/>
              </w:rPr>
            </w:pPr>
            <w:r>
              <w:rPr>
                <w:rFonts w:hint="eastAsia"/>
                <w:sz w:val="21"/>
                <w:szCs w:val="21"/>
                <w:u w:val="single"/>
              </w:rPr>
              <w:t>不涉及</w:t>
            </w:r>
          </w:p>
        </w:tc>
      </w:tr>
      <w:tr w14:paraId="269B3A6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61" w:type="dxa"/>
            <w:vMerge w:val="restart"/>
            <w:tcMar>
              <w:left w:w="0" w:type="dxa"/>
              <w:right w:w="0" w:type="dxa"/>
            </w:tcMar>
            <w:vAlign w:val="center"/>
          </w:tcPr>
          <w:p w14:paraId="7208A434">
            <w:pPr>
              <w:pStyle w:val="1060"/>
              <w:spacing w:line="280" w:lineRule="exact"/>
              <w:rPr>
                <w:sz w:val="21"/>
                <w:szCs w:val="21"/>
                <w:u w:val="single"/>
              </w:rPr>
            </w:pPr>
            <w:r>
              <w:rPr>
                <w:sz w:val="21"/>
                <w:szCs w:val="21"/>
                <w:u w:val="single"/>
              </w:rPr>
              <w:t>用海面积</w:t>
            </w:r>
          </w:p>
        </w:tc>
        <w:tc>
          <w:tcPr>
            <w:tcW w:w="917" w:type="dxa"/>
            <w:tcMar>
              <w:left w:w="0" w:type="dxa"/>
              <w:right w:w="0" w:type="dxa"/>
            </w:tcMar>
            <w:vAlign w:val="center"/>
          </w:tcPr>
          <w:p w14:paraId="50904504">
            <w:pPr>
              <w:pStyle w:val="1060"/>
              <w:spacing w:line="280" w:lineRule="exact"/>
              <w:rPr>
                <w:sz w:val="21"/>
                <w:szCs w:val="21"/>
                <w:u w:val="single"/>
              </w:rPr>
            </w:pPr>
            <w:r>
              <w:rPr>
                <w:sz w:val="21"/>
                <w:szCs w:val="21"/>
                <w:u w:val="single"/>
              </w:rPr>
              <w:t>围海</w:t>
            </w:r>
          </w:p>
        </w:tc>
        <w:tc>
          <w:tcPr>
            <w:tcW w:w="4902" w:type="dxa"/>
            <w:tcMar>
              <w:left w:w="0" w:type="dxa"/>
              <w:right w:w="0" w:type="dxa"/>
            </w:tcMar>
            <w:vAlign w:val="center"/>
          </w:tcPr>
          <w:p w14:paraId="49B49A78">
            <w:pPr>
              <w:pStyle w:val="1060"/>
              <w:spacing w:line="280" w:lineRule="exact"/>
              <w:rPr>
                <w:sz w:val="21"/>
                <w:szCs w:val="21"/>
                <w:u w:val="single"/>
              </w:rPr>
            </w:pPr>
            <w:r>
              <w:rPr>
                <w:sz w:val="21"/>
                <w:szCs w:val="21"/>
                <w:u w:val="single"/>
              </w:rPr>
              <w:t>围海工程，围海养殖</w:t>
            </w:r>
          </w:p>
        </w:tc>
        <w:tc>
          <w:tcPr>
            <w:tcW w:w="1302" w:type="dxa"/>
            <w:tcMar>
              <w:left w:w="0" w:type="dxa"/>
              <w:right w:w="0" w:type="dxa"/>
            </w:tcMar>
            <w:vAlign w:val="center"/>
          </w:tcPr>
          <w:p w14:paraId="3096DCA4">
            <w:pPr>
              <w:pStyle w:val="1060"/>
              <w:spacing w:line="280" w:lineRule="exact"/>
              <w:rPr>
                <w:sz w:val="21"/>
                <w:szCs w:val="21"/>
                <w:u w:val="single"/>
              </w:rPr>
            </w:pPr>
            <w:r>
              <w:rPr>
                <w:sz w:val="21"/>
                <w:szCs w:val="21"/>
                <w:u w:val="single"/>
              </w:rPr>
              <w:t>不涉及</w:t>
            </w:r>
          </w:p>
        </w:tc>
      </w:tr>
      <w:tr w14:paraId="0D321DC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61" w:type="dxa"/>
            <w:vMerge w:val="continue"/>
            <w:tcMar>
              <w:left w:w="0" w:type="dxa"/>
              <w:right w:w="0" w:type="dxa"/>
            </w:tcMar>
            <w:vAlign w:val="center"/>
          </w:tcPr>
          <w:p w14:paraId="2C1C2516">
            <w:pPr>
              <w:pStyle w:val="1060"/>
              <w:spacing w:line="280" w:lineRule="exact"/>
              <w:rPr>
                <w:sz w:val="21"/>
                <w:szCs w:val="21"/>
                <w:u w:val="single"/>
              </w:rPr>
            </w:pPr>
          </w:p>
        </w:tc>
        <w:tc>
          <w:tcPr>
            <w:tcW w:w="917" w:type="dxa"/>
            <w:tcMar>
              <w:left w:w="0" w:type="dxa"/>
              <w:right w:w="0" w:type="dxa"/>
            </w:tcMar>
            <w:vAlign w:val="center"/>
          </w:tcPr>
          <w:p w14:paraId="4EC78227">
            <w:pPr>
              <w:pStyle w:val="1060"/>
              <w:spacing w:line="280" w:lineRule="exact"/>
              <w:rPr>
                <w:sz w:val="21"/>
                <w:szCs w:val="21"/>
                <w:u w:val="single"/>
              </w:rPr>
            </w:pPr>
            <w:r>
              <w:rPr>
                <w:sz w:val="21"/>
                <w:szCs w:val="21"/>
                <w:u w:val="single"/>
              </w:rPr>
              <w:t>填海</w:t>
            </w:r>
          </w:p>
        </w:tc>
        <w:tc>
          <w:tcPr>
            <w:tcW w:w="4902" w:type="dxa"/>
            <w:tcMar>
              <w:left w:w="0" w:type="dxa"/>
              <w:right w:w="0" w:type="dxa"/>
            </w:tcMar>
            <w:vAlign w:val="center"/>
          </w:tcPr>
          <w:p w14:paraId="56D8DEBE">
            <w:pPr>
              <w:pStyle w:val="1060"/>
              <w:spacing w:line="280" w:lineRule="exact"/>
              <w:rPr>
                <w:sz w:val="21"/>
                <w:szCs w:val="21"/>
                <w:u w:val="single"/>
              </w:rPr>
            </w:pPr>
            <w:r>
              <w:rPr>
                <w:sz w:val="21"/>
                <w:szCs w:val="21"/>
                <w:u w:val="single"/>
              </w:rPr>
              <w:t>填海工程</w:t>
            </w:r>
          </w:p>
        </w:tc>
        <w:tc>
          <w:tcPr>
            <w:tcW w:w="1302" w:type="dxa"/>
            <w:tcMar>
              <w:left w:w="0" w:type="dxa"/>
              <w:right w:w="0" w:type="dxa"/>
            </w:tcMar>
            <w:vAlign w:val="center"/>
          </w:tcPr>
          <w:p w14:paraId="58E6114A">
            <w:pPr>
              <w:pStyle w:val="1060"/>
              <w:spacing w:line="280" w:lineRule="exact"/>
              <w:rPr>
                <w:sz w:val="21"/>
                <w:szCs w:val="21"/>
                <w:u w:val="single"/>
              </w:rPr>
            </w:pPr>
            <w:r>
              <w:rPr>
                <w:sz w:val="21"/>
                <w:szCs w:val="21"/>
                <w:u w:val="single"/>
              </w:rPr>
              <w:t>不涉及</w:t>
            </w:r>
          </w:p>
        </w:tc>
      </w:tr>
      <w:tr w14:paraId="57B9982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61" w:type="dxa"/>
            <w:vMerge w:val="continue"/>
            <w:tcMar>
              <w:left w:w="0" w:type="dxa"/>
              <w:right w:w="0" w:type="dxa"/>
            </w:tcMar>
            <w:vAlign w:val="center"/>
          </w:tcPr>
          <w:p w14:paraId="56ADF3C0">
            <w:pPr>
              <w:pStyle w:val="1060"/>
              <w:spacing w:line="280" w:lineRule="exact"/>
              <w:rPr>
                <w:sz w:val="21"/>
                <w:szCs w:val="21"/>
                <w:u w:val="single"/>
              </w:rPr>
            </w:pPr>
          </w:p>
        </w:tc>
        <w:tc>
          <w:tcPr>
            <w:tcW w:w="917" w:type="dxa"/>
            <w:tcMar>
              <w:left w:w="0" w:type="dxa"/>
              <w:right w:w="0" w:type="dxa"/>
            </w:tcMar>
            <w:vAlign w:val="center"/>
          </w:tcPr>
          <w:p w14:paraId="6A6CE204">
            <w:pPr>
              <w:pStyle w:val="1060"/>
              <w:spacing w:line="280" w:lineRule="exact"/>
              <w:rPr>
                <w:sz w:val="21"/>
                <w:szCs w:val="21"/>
                <w:u w:val="single"/>
              </w:rPr>
            </w:pPr>
            <w:r>
              <w:rPr>
                <w:sz w:val="21"/>
                <w:szCs w:val="21"/>
                <w:u w:val="single"/>
              </w:rPr>
              <w:t>其他用海</w:t>
            </w:r>
            <w:r>
              <w:rPr>
                <w:sz w:val="21"/>
                <w:szCs w:val="21"/>
                <w:u w:val="single"/>
                <w:vertAlign w:val="superscript"/>
              </w:rPr>
              <w:t>3</w:t>
            </w:r>
          </w:p>
        </w:tc>
        <w:tc>
          <w:tcPr>
            <w:tcW w:w="4902" w:type="dxa"/>
            <w:tcMar>
              <w:left w:w="0" w:type="dxa"/>
              <w:right w:w="0" w:type="dxa"/>
            </w:tcMar>
            <w:vAlign w:val="center"/>
          </w:tcPr>
          <w:p w14:paraId="6E27A86A">
            <w:pPr>
              <w:pStyle w:val="1060"/>
              <w:spacing w:line="280" w:lineRule="exact"/>
              <w:rPr>
                <w:sz w:val="21"/>
                <w:szCs w:val="21"/>
                <w:u w:val="single"/>
              </w:rPr>
            </w:pPr>
            <w:r>
              <w:rPr>
                <w:sz w:val="21"/>
                <w:szCs w:val="21"/>
                <w:u w:val="single"/>
              </w:rPr>
              <w:t>海上风电、海上太阳能发电、海水养殖、各类海上平台及浮式设施工程、海上景观开发工程</w:t>
            </w:r>
          </w:p>
        </w:tc>
        <w:tc>
          <w:tcPr>
            <w:tcW w:w="1302" w:type="dxa"/>
            <w:tcMar>
              <w:left w:w="0" w:type="dxa"/>
              <w:right w:w="0" w:type="dxa"/>
            </w:tcMar>
            <w:vAlign w:val="center"/>
          </w:tcPr>
          <w:p w14:paraId="0274D91B">
            <w:pPr>
              <w:pStyle w:val="1060"/>
              <w:spacing w:line="280" w:lineRule="exact"/>
              <w:rPr>
                <w:sz w:val="21"/>
                <w:szCs w:val="21"/>
                <w:u w:val="single"/>
              </w:rPr>
            </w:pPr>
            <w:r>
              <w:rPr>
                <w:sz w:val="21"/>
                <w:szCs w:val="21"/>
                <w:u w:val="single"/>
              </w:rPr>
              <w:t>不涉及</w:t>
            </w:r>
          </w:p>
        </w:tc>
      </w:tr>
      <w:tr w14:paraId="58F79DF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61" w:type="dxa"/>
            <w:vMerge w:val="restart"/>
            <w:tcMar>
              <w:left w:w="0" w:type="dxa"/>
              <w:right w:w="0" w:type="dxa"/>
            </w:tcMar>
            <w:vAlign w:val="center"/>
          </w:tcPr>
          <w:p w14:paraId="060FFF79">
            <w:pPr>
              <w:pStyle w:val="1060"/>
              <w:spacing w:line="280" w:lineRule="exact"/>
              <w:rPr>
                <w:sz w:val="21"/>
                <w:szCs w:val="21"/>
                <w:u w:val="single"/>
              </w:rPr>
            </w:pPr>
            <w:r>
              <w:rPr>
                <w:sz w:val="21"/>
                <w:szCs w:val="21"/>
                <w:u w:val="single"/>
              </w:rPr>
              <w:t>线性水工构筑物轴线长度</w:t>
            </w:r>
          </w:p>
        </w:tc>
        <w:tc>
          <w:tcPr>
            <w:tcW w:w="917" w:type="dxa"/>
            <w:tcMar>
              <w:left w:w="0" w:type="dxa"/>
              <w:right w:w="0" w:type="dxa"/>
            </w:tcMar>
            <w:vAlign w:val="center"/>
          </w:tcPr>
          <w:p w14:paraId="2EC87882">
            <w:pPr>
              <w:pStyle w:val="1060"/>
              <w:spacing w:line="280" w:lineRule="exact"/>
              <w:rPr>
                <w:sz w:val="21"/>
                <w:szCs w:val="21"/>
                <w:u w:val="single"/>
              </w:rPr>
            </w:pPr>
            <w:r>
              <w:rPr>
                <w:sz w:val="21"/>
                <w:szCs w:val="21"/>
                <w:u w:val="single"/>
              </w:rPr>
              <w:t>透水</w:t>
            </w:r>
          </w:p>
        </w:tc>
        <w:tc>
          <w:tcPr>
            <w:tcW w:w="4902" w:type="dxa"/>
            <w:tcMar>
              <w:left w:w="0" w:type="dxa"/>
              <w:right w:w="0" w:type="dxa"/>
            </w:tcMar>
            <w:vAlign w:val="center"/>
          </w:tcPr>
          <w:p w14:paraId="5BC3EBDE">
            <w:pPr>
              <w:pStyle w:val="1060"/>
              <w:spacing w:line="280" w:lineRule="exact"/>
              <w:rPr>
                <w:sz w:val="21"/>
                <w:szCs w:val="21"/>
                <w:u w:val="single"/>
              </w:rPr>
            </w:pPr>
            <w:r>
              <w:rPr>
                <w:sz w:val="21"/>
                <w:szCs w:val="21"/>
                <w:u w:val="single"/>
              </w:rPr>
              <w:t>跨海桥梁工程；海上栈桥</w:t>
            </w:r>
          </w:p>
        </w:tc>
        <w:tc>
          <w:tcPr>
            <w:tcW w:w="1302" w:type="dxa"/>
            <w:tcMar>
              <w:left w:w="0" w:type="dxa"/>
              <w:right w:w="0" w:type="dxa"/>
            </w:tcMar>
            <w:vAlign w:val="center"/>
          </w:tcPr>
          <w:p w14:paraId="063C78EC">
            <w:pPr>
              <w:pStyle w:val="1060"/>
              <w:spacing w:line="280" w:lineRule="exact"/>
              <w:rPr>
                <w:sz w:val="21"/>
                <w:szCs w:val="21"/>
                <w:u w:val="single"/>
              </w:rPr>
            </w:pPr>
            <w:r>
              <w:rPr>
                <w:sz w:val="21"/>
                <w:szCs w:val="21"/>
                <w:u w:val="single"/>
              </w:rPr>
              <w:t>不涉及</w:t>
            </w:r>
          </w:p>
        </w:tc>
      </w:tr>
      <w:tr w14:paraId="67B0100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61" w:type="dxa"/>
            <w:vMerge w:val="continue"/>
            <w:tcMar>
              <w:left w:w="0" w:type="dxa"/>
              <w:right w:w="0" w:type="dxa"/>
            </w:tcMar>
            <w:vAlign w:val="center"/>
          </w:tcPr>
          <w:p w14:paraId="2E7421B0">
            <w:pPr>
              <w:pStyle w:val="1060"/>
              <w:spacing w:line="280" w:lineRule="exact"/>
              <w:rPr>
                <w:sz w:val="21"/>
                <w:szCs w:val="21"/>
                <w:u w:val="single"/>
              </w:rPr>
            </w:pPr>
          </w:p>
        </w:tc>
        <w:tc>
          <w:tcPr>
            <w:tcW w:w="917" w:type="dxa"/>
            <w:tcMar>
              <w:left w:w="0" w:type="dxa"/>
              <w:right w:w="0" w:type="dxa"/>
            </w:tcMar>
            <w:vAlign w:val="center"/>
          </w:tcPr>
          <w:p w14:paraId="383D3AAC">
            <w:pPr>
              <w:pStyle w:val="1060"/>
              <w:spacing w:line="280" w:lineRule="exact"/>
              <w:rPr>
                <w:sz w:val="21"/>
                <w:szCs w:val="21"/>
                <w:u w:val="single"/>
              </w:rPr>
            </w:pPr>
            <w:r>
              <w:rPr>
                <w:sz w:val="21"/>
                <w:szCs w:val="21"/>
                <w:u w:val="single"/>
              </w:rPr>
              <w:t>非透水</w:t>
            </w:r>
          </w:p>
        </w:tc>
        <w:tc>
          <w:tcPr>
            <w:tcW w:w="4902" w:type="dxa"/>
            <w:tcMar>
              <w:left w:w="0" w:type="dxa"/>
              <w:right w:w="0" w:type="dxa"/>
            </w:tcMar>
            <w:vAlign w:val="center"/>
          </w:tcPr>
          <w:p w14:paraId="2000BB3E">
            <w:pPr>
              <w:pStyle w:val="1060"/>
              <w:spacing w:line="280" w:lineRule="exact"/>
              <w:rPr>
                <w:sz w:val="21"/>
                <w:szCs w:val="21"/>
                <w:u w:val="single"/>
              </w:rPr>
            </w:pPr>
            <w:r>
              <w:rPr>
                <w:sz w:val="21"/>
                <w:szCs w:val="21"/>
                <w:u w:val="single"/>
              </w:rPr>
              <w:t>防波堤等水运辅助工程；海上堤坝、临时围堰、堤坝拆除等工程；海洋能源开发利用类工程</w:t>
            </w:r>
          </w:p>
        </w:tc>
        <w:tc>
          <w:tcPr>
            <w:tcW w:w="1302" w:type="dxa"/>
            <w:tcMar>
              <w:left w:w="0" w:type="dxa"/>
              <w:right w:w="0" w:type="dxa"/>
            </w:tcMar>
            <w:vAlign w:val="center"/>
          </w:tcPr>
          <w:p w14:paraId="571BFC6F">
            <w:pPr>
              <w:pStyle w:val="1060"/>
              <w:spacing w:line="280" w:lineRule="exact"/>
              <w:rPr>
                <w:sz w:val="21"/>
                <w:szCs w:val="21"/>
                <w:u w:val="single"/>
              </w:rPr>
            </w:pPr>
            <w:r>
              <w:rPr>
                <w:sz w:val="21"/>
                <w:szCs w:val="21"/>
                <w:u w:val="single"/>
              </w:rPr>
              <w:t>不涉及</w:t>
            </w:r>
          </w:p>
        </w:tc>
      </w:tr>
      <w:tr w14:paraId="5C8C34B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078" w:type="dxa"/>
            <w:gridSpan w:val="2"/>
            <w:tcMar>
              <w:left w:w="0" w:type="dxa"/>
              <w:right w:w="0" w:type="dxa"/>
            </w:tcMar>
            <w:vAlign w:val="center"/>
          </w:tcPr>
          <w:p w14:paraId="6863D759">
            <w:pPr>
              <w:pStyle w:val="1060"/>
              <w:spacing w:line="280" w:lineRule="exact"/>
              <w:rPr>
                <w:sz w:val="21"/>
                <w:szCs w:val="21"/>
                <w:u w:val="single"/>
              </w:rPr>
            </w:pPr>
            <w:r>
              <w:rPr>
                <w:rFonts w:hint="eastAsia"/>
                <w:sz w:val="21"/>
                <w:szCs w:val="21"/>
                <w:u w:val="single"/>
                <w:lang w:eastAsia="zh-CN"/>
              </w:rPr>
              <w:t>人工渔礁</w:t>
            </w:r>
            <w:r>
              <w:rPr>
                <w:sz w:val="21"/>
                <w:szCs w:val="21"/>
                <w:u w:val="single"/>
              </w:rPr>
              <w:t>固体投放量Q(空方万m³)</w:t>
            </w:r>
          </w:p>
        </w:tc>
        <w:tc>
          <w:tcPr>
            <w:tcW w:w="4902" w:type="dxa"/>
            <w:tcMar>
              <w:left w:w="0" w:type="dxa"/>
              <w:right w:w="0" w:type="dxa"/>
            </w:tcMar>
            <w:vAlign w:val="center"/>
          </w:tcPr>
          <w:p w14:paraId="5949665E">
            <w:pPr>
              <w:pStyle w:val="1060"/>
              <w:spacing w:line="280" w:lineRule="exact"/>
              <w:rPr>
                <w:sz w:val="21"/>
                <w:szCs w:val="21"/>
                <w:u w:val="single"/>
              </w:rPr>
            </w:pPr>
            <w:r>
              <w:rPr>
                <w:sz w:val="21"/>
                <w:szCs w:val="21"/>
                <w:u w:val="single"/>
              </w:rPr>
              <w:t>海洋人工鱼礁工程、含人工鱼礁投放的海洋牧场项目</w:t>
            </w:r>
          </w:p>
        </w:tc>
        <w:tc>
          <w:tcPr>
            <w:tcW w:w="1302" w:type="dxa"/>
            <w:tcMar>
              <w:left w:w="0" w:type="dxa"/>
              <w:right w:w="0" w:type="dxa"/>
            </w:tcMar>
            <w:vAlign w:val="center"/>
          </w:tcPr>
          <w:p w14:paraId="6FE919B5">
            <w:pPr>
              <w:pStyle w:val="1060"/>
              <w:spacing w:line="280" w:lineRule="exact"/>
              <w:rPr>
                <w:sz w:val="21"/>
                <w:szCs w:val="21"/>
                <w:u w:val="single"/>
              </w:rPr>
            </w:pPr>
            <w:r>
              <w:rPr>
                <w:sz w:val="21"/>
                <w:szCs w:val="21"/>
                <w:u w:val="single"/>
              </w:rPr>
              <w:t>不涉及</w:t>
            </w:r>
          </w:p>
        </w:tc>
      </w:tr>
      <w:tr w14:paraId="1557979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282" w:type="dxa"/>
            <w:gridSpan w:val="4"/>
            <w:tcMar>
              <w:left w:w="0" w:type="dxa"/>
              <w:right w:w="0" w:type="dxa"/>
            </w:tcMar>
            <w:vAlign w:val="center"/>
          </w:tcPr>
          <w:p w14:paraId="09CFCD11">
            <w:pPr>
              <w:pStyle w:val="1060"/>
              <w:spacing w:line="280" w:lineRule="exact"/>
              <w:jc w:val="left"/>
              <w:rPr>
                <w:sz w:val="21"/>
                <w:szCs w:val="21"/>
                <w:u w:val="single"/>
              </w:rPr>
            </w:pPr>
            <w:r>
              <w:rPr>
                <w:sz w:val="21"/>
                <w:szCs w:val="21"/>
                <w:u w:val="single"/>
              </w:rPr>
              <w:t>注1:指有工业废水排海的海岸工程或工业废水排污管道工程。</w:t>
            </w:r>
          </w:p>
          <w:p w14:paraId="03FAC492">
            <w:pPr>
              <w:pStyle w:val="1060"/>
              <w:spacing w:line="280" w:lineRule="exact"/>
              <w:jc w:val="left"/>
              <w:rPr>
                <w:sz w:val="21"/>
                <w:szCs w:val="21"/>
                <w:u w:val="single"/>
              </w:rPr>
            </w:pPr>
            <w:r>
              <w:rPr>
                <w:sz w:val="21"/>
                <w:szCs w:val="21"/>
                <w:u w:val="single"/>
              </w:rPr>
              <w:t>注2:可用管缆总长度判定评价等级的建设项目不考虑水下开挖量。</w:t>
            </w:r>
          </w:p>
          <w:p w14:paraId="4653BBC7">
            <w:pPr>
              <w:pStyle w:val="1060"/>
              <w:spacing w:line="280" w:lineRule="exact"/>
              <w:jc w:val="left"/>
              <w:rPr>
                <w:sz w:val="21"/>
                <w:szCs w:val="21"/>
                <w:u w:val="single"/>
              </w:rPr>
            </w:pPr>
            <w:r>
              <w:rPr>
                <w:sz w:val="21"/>
                <w:szCs w:val="21"/>
                <w:u w:val="single"/>
              </w:rPr>
              <w:t>注3:其他用海面积是指项目外缘线投影面积，当项目涉及多个不相连的组成部分，以各组成部分单个外缘线投影面积总和计。</w:t>
            </w:r>
          </w:p>
        </w:tc>
      </w:tr>
    </w:tbl>
    <w:p w14:paraId="3CF41BDC">
      <w:pPr>
        <w:ind w:firstLine="462"/>
        <w:rPr>
          <w:u w:val="single"/>
        </w:rPr>
      </w:pPr>
      <w:r>
        <w:rPr>
          <w:rFonts w:hint="eastAsia"/>
          <w:u w:val="single"/>
        </w:rPr>
        <w:t>项目水下开挖影响海洋生态影响评价等级为2级；水下炸礁生态影响评价等级为2级。综合考虑，项目海洋生态影响评价等级按2级评价。</w:t>
      </w:r>
    </w:p>
    <w:p w14:paraId="7DA44A95">
      <w:pPr>
        <w:pStyle w:val="7"/>
        <w:rPr>
          <w:u w:val="single"/>
        </w:rPr>
      </w:pPr>
      <w:r>
        <w:rPr>
          <w:rFonts w:hint="eastAsia"/>
          <w:u w:val="single"/>
        </w:rPr>
        <w:t>海洋生态</w:t>
      </w:r>
      <w:r>
        <w:rPr>
          <w:u w:val="single"/>
        </w:rPr>
        <w:t>影响评价等级判定</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218"/>
        <w:gridCol w:w="1314"/>
        <w:gridCol w:w="1605"/>
        <w:gridCol w:w="1391"/>
      </w:tblGrid>
      <w:tr w14:paraId="647862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096" w:type="dxa"/>
            <w:tcBorders>
              <w:top w:val="single" w:color="auto" w:sz="12" w:space="0"/>
              <w:bottom w:val="single" w:color="auto" w:sz="6" w:space="0"/>
              <w:tl2br w:val="single" w:color="auto" w:sz="4" w:space="0"/>
            </w:tcBorders>
            <w:vAlign w:val="center"/>
          </w:tcPr>
          <w:p w14:paraId="22CE283F">
            <w:pPr>
              <w:pStyle w:val="34"/>
              <w:jc w:val="right"/>
              <w:rPr>
                <w:u w:val="single"/>
              </w:rPr>
            </w:pPr>
            <w:bookmarkStart w:id="89" w:name="OLE_LINK705"/>
            <w:r>
              <w:rPr>
                <w:u w:val="single"/>
              </w:rPr>
              <w:t>评价等级</w:t>
            </w:r>
          </w:p>
          <w:p w14:paraId="59EAC4F0">
            <w:pPr>
              <w:pStyle w:val="34"/>
              <w:jc w:val="left"/>
              <w:rPr>
                <w:u w:val="single"/>
              </w:rPr>
            </w:pPr>
            <w:r>
              <w:rPr>
                <w:u w:val="single"/>
              </w:rPr>
              <w:t>影响类型</w:t>
            </w:r>
          </w:p>
        </w:tc>
        <w:tc>
          <w:tcPr>
            <w:tcW w:w="1276" w:type="dxa"/>
            <w:vAlign w:val="center"/>
          </w:tcPr>
          <w:p w14:paraId="1E92130A">
            <w:pPr>
              <w:pStyle w:val="34"/>
              <w:rPr>
                <w:u w:val="single"/>
              </w:rPr>
            </w:pPr>
            <w:r>
              <w:rPr>
                <w:u w:val="single"/>
              </w:rPr>
              <w:t>1</w:t>
            </w:r>
          </w:p>
        </w:tc>
        <w:tc>
          <w:tcPr>
            <w:tcW w:w="1559" w:type="dxa"/>
            <w:vAlign w:val="center"/>
          </w:tcPr>
          <w:p w14:paraId="64F13707">
            <w:pPr>
              <w:pStyle w:val="34"/>
              <w:rPr>
                <w:u w:val="single"/>
              </w:rPr>
            </w:pPr>
            <w:r>
              <w:rPr>
                <w:u w:val="single"/>
              </w:rPr>
              <w:t>2</w:t>
            </w:r>
          </w:p>
        </w:tc>
        <w:tc>
          <w:tcPr>
            <w:tcW w:w="1351" w:type="dxa"/>
            <w:vAlign w:val="center"/>
          </w:tcPr>
          <w:p w14:paraId="14D903ED">
            <w:pPr>
              <w:pStyle w:val="34"/>
              <w:rPr>
                <w:u w:val="single"/>
              </w:rPr>
            </w:pPr>
            <w:r>
              <w:rPr>
                <w:u w:val="single"/>
              </w:rPr>
              <w:t>3</w:t>
            </w:r>
          </w:p>
        </w:tc>
      </w:tr>
      <w:tr w14:paraId="2EB1FB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096" w:type="dxa"/>
            <w:tcBorders>
              <w:top w:val="single" w:color="auto" w:sz="6" w:space="0"/>
            </w:tcBorders>
            <w:vAlign w:val="center"/>
          </w:tcPr>
          <w:p w14:paraId="796D8C69">
            <w:pPr>
              <w:pStyle w:val="34"/>
              <w:rPr>
                <w:u w:val="single"/>
              </w:rPr>
            </w:pPr>
            <w:r>
              <w:rPr>
                <w:u w:val="single"/>
              </w:rPr>
              <w:t>水下开挖/回填量 Q（10</w:t>
            </w:r>
            <w:r>
              <w:rPr>
                <w:u w:val="single"/>
                <w:vertAlign w:val="superscript"/>
              </w:rPr>
              <w:t>4</w:t>
            </w:r>
            <w:r>
              <w:rPr>
                <w:u w:val="single"/>
              </w:rPr>
              <w:t>m</w:t>
            </w:r>
            <w:r>
              <w:rPr>
                <w:u w:val="single"/>
                <w:vertAlign w:val="superscript"/>
              </w:rPr>
              <w:t>3</w:t>
            </w:r>
            <w:r>
              <w:rPr>
                <w:u w:val="single"/>
              </w:rPr>
              <w:t>）</w:t>
            </w:r>
          </w:p>
        </w:tc>
        <w:tc>
          <w:tcPr>
            <w:tcW w:w="1276" w:type="dxa"/>
            <w:vAlign w:val="center"/>
          </w:tcPr>
          <w:p w14:paraId="7AB09FFC">
            <w:pPr>
              <w:pStyle w:val="34"/>
              <w:rPr>
                <w:u w:val="single"/>
              </w:rPr>
            </w:pPr>
            <w:r>
              <w:rPr>
                <w:u w:val="single"/>
              </w:rPr>
              <w:t>Q</w:t>
            </w:r>
            <w:r>
              <w:rPr>
                <w:rFonts w:hint="eastAsia"/>
                <w:u w:val="single"/>
              </w:rPr>
              <w:t>≥500</w:t>
            </w:r>
          </w:p>
        </w:tc>
        <w:tc>
          <w:tcPr>
            <w:tcW w:w="1559" w:type="dxa"/>
            <w:vAlign w:val="center"/>
          </w:tcPr>
          <w:p w14:paraId="64F692E3">
            <w:pPr>
              <w:pStyle w:val="34"/>
              <w:rPr>
                <w:b/>
                <w:bCs/>
                <w:u w:val="single"/>
              </w:rPr>
            </w:pPr>
            <w:bookmarkStart w:id="90" w:name="OLE_LINK209"/>
            <w:r>
              <w:rPr>
                <w:rFonts w:hint="eastAsia"/>
                <w:b/>
                <w:bCs/>
                <w:u w:val="single"/>
              </w:rPr>
              <w:t>100≤</w:t>
            </w:r>
            <w:bookmarkStart w:id="91" w:name="OLE_LINK11"/>
            <w:r>
              <w:rPr>
                <w:rFonts w:hint="eastAsia"/>
                <w:b/>
                <w:bCs/>
                <w:u w:val="single"/>
              </w:rPr>
              <w:t>Q＜500</w:t>
            </w:r>
            <w:bookmarkEnd w:id="90"/>
            <w:bookmarkEnd w:id="91"/>
          </w:p>
        </w:tc>
        <w:tc>
          <w:tcPr>
            <w:tcW w:w="1351" w:type="dxa"/>
            <w:vAlign w:val="center"/>
          </w:tcPr>
          <w:p w14:paraId="626DF08B">
            <w:pPr>
              <w:pStyle w:val="34"/>
              <w:rPr>
                <w:u w:val="single"/>
              </w:rPr>
            </w:pPr>
            <w:r>
              <w:rPr>
                <w:rFonts w:hint="eastAsia"/>
                <w:u w:val="single"/>
              </w:rPr>
              <w:t>Q＜100</w:t>
            </w:r>
          </w:p>
        </w:tc>
      </w:tr>
      <w:tr w14:paraId="2D4B7C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096" w:type="dxa"/>
            <w:vAlign w:val="center"/>
          </w:tcPr>
          <w:p w14:paraId="7D150816">
            <w:pPr>
              <w:pStyle w:val="34"/>
              <w:rPr>
                <w:u w:val="single"/>
              </w:rPr>
            </w:pPr>
            <w:r>
              <w:rPr>
                <w:u w:val="single"/>
              </w:rPr>
              <w:t>水下炸礁、爆破挤淤工程量 Q（10</w:t>
            </w:r>
            <w:r>
              <w:rPr>
                <w:u w:val="single"/>
                <w:vertAlign w:val="superscript"/>
              </w:rPr>
              <w:t>4</w:t>
            </w:r>
            <w:r>
              <w:rPr>
                <w:u w:val="single"/>
              </w:rPr>
              <w:t>m</w:t>
            </w:r>
            <w:r>
              <w:rPr>
                <w:u w:val="single"/>
                <w:vertAlign w:val="superscript"/>
              </w:rPr>
              <w:t>3</w:t>
            </w:r>
            <w:r>
              <w:rPr>
                <w:u w:val="single"/>
              </w:rPr>
              <w:t>）</w:t>
            </w:r>
          </w:p>
        </w:tc>
        <w:tc>
          <w:tcPr>
            <w:tcW w:w="1276" w:type="dxa"/>
            <w:vAlign w:val="center"/>
          </w:tcPr>
          <w:p w14:paraId="2AE42B6E">
            <w:pPr>
              <w:pStyle w:val="34"/>
              <w:rPr>
                <w:u w:val="single"/>
              </w:rPr>
            </w:pPr>
            <w:r>
              <w:rPr>
                <w:u w:val="single"/>
              </w:rPr>
              <w:t>Q</w:t>
            </w:r>
            <w:r>
              <w:rPr>
                <w:rFonts w:hint="eastAsia"/>
                <w:u w:val="single"/>
              </w:rPr>
              <w:t>≥6</w:t>
            </w:r>
          </w:p>
        </w:tc>
        <w:tc>
          <w:tcPr>
            <w:tcW w:w="1559" w:type="dxa"/>
            <w:vAlign w:val="center"/>
          </w:tcPr>
          <w:p w14:paraId="0E62E31F">
            <w:pPr>
              <w:pStyle w:val="34"/>
              <w:rPr>
                <w:b/>
                <w:bCs/>
                <w:u w:val="single"/>
              </w:rPr>
            </w:pPr>
            <w:r>
              <w:rPr>
                <w:rFonts w:hint="eastAsia"/>
                <w:b/>
                <w:bCs/>
                <w:u w:val="single"/>
              </w:rPr>
              <w:t>0.2≤Q＜6</w:t>
            </w:r>
          </w:p>
        </w:tc>
        <w:tc>
          <w:tcPr>
            <w:tcW w:w="1351" w:type="dxa"/>
            <w:vAlign w:val="center"/>
          </w:tcPr>
          <w:p w14:paraId="02AFCCAB">
            <w:pPr>
              <w:pStyle w:val="34"/>
              <w:rPr>
                <w:u w:val="single"/>
              </w:rPr>
            </w:pPr>
            <w:r>
              <w:rPr>
                <w:rFonts w:hint="eastAsia"/>
                <w:u w:val="single"/>
              </w:rPr>
              <w:t>Q＜0.2</w:t>
            </w:r>
          </w:p>
        </w:tc>
      </w:tr>
      <w:bookmarkEnd w:id="89"/>
    </w:tbl>
    <w:p w14:paraId="43F93BC1">
      <w:pPr>
        <w:pStyle w:val="6"/>
      </w:pPr>
      <w:r>
        <w:rPr>
          <w:rFonts w:hint="eastAsia"/>
        </w:rPr>
        <w:t>地表水环境</w:t>
      </w:r>
    </w:p>
    <w:p w14:paraId="4B7630FB">
      <w:pPr>
        <w:ind w:firstLine="462"/>
      </w:pPr>
      <w:r>
        <w:t>项目工程疏浚</w:t>
      </w:r>
      <w:r>
        <w:rPr>
          <w:rFonts w:hint="eastAsia"/>
        </w:rPr>
        <w:t>、炸礁涉及地表水环境影响</w:t>
      </w:r>
      <w:r>
        <w:t>，营运</w:t>
      </w:r>
      <w:r>
        <w:rPr>
          <w:rFonts w:hint="eastAsia"/>
        </w:rPr>
        <w:t>期间不设置</w:t>
      </w:r>
      <w:r>
        <w:t>排污口，</w:t>
      </w:r>
      <w:r>
        <w:rPr>
          <w:rFonts w:hint="eastAsia"/>
        </w:rPr>
        <w:t>码头生活</w:t>
      </w:r>
      <w:r>
        <w:t>污水进入</w:t>
      </w:r>
      <w:r>
        <w:rPr>
          <w:rFonts w:hint="eastAsia"/>
        </w:rPr>
        <w:t>大榄坪</w:t>
      </w:r>
      <w:r>
        <w:t>污水处理厂，项目属于水污染影响型及水文要素影响型项目，根据《环境影响评价技术导则</w:t>
      </w:r>
      <w:r>
        <w:rPr>
          <w:rFonts w:hint="eastAsia"/>
        </w:rPr>
        <w:t xml:space="preserve"> </w:t>
      </w:r>
      <w:r>
        <w:t>地表水环境》（HJ2.3-2018）要求，按不同类别分别确定其评价等级。</w:t>
      </w:r>
    </w:p>
    <w:p w14:paraId="1041ED2C">
      <w:pPr>
        <w:ind w:firstLine="464"/>
        <w:rPr>
          <w:b/>
          <w:bCs/>
        </w:rPr>
      </w:pPr>
      <w:r>
        <w:rPr>
          <w:b/>
          <w:bCs/>
        </w:rPr>
        <w:t>1、水污染影响型建设项目评价等级判定</w:t>
      </w:r>
    </w:p>
    <w:p w14:paraId="4C34583F">
      <w:pPr>
        <w:ind w:firstLine="462"/>
      </w:pPr>
      <w:r>
        <w:t>项目营运</w:t>
      </w:r>
      <w:r>
        <w:rPr>
          <w:rFonts w:hint="eastAsia"/>
        </w:rPr>
        <w:t>期间</w:t>
      </w:r>
      <w:r>
        <w:t>产生污水主要包括生活污水、到港船舶废污水等。</w:t>
      </w:r>
      <w:r>
        <w:rPr>
          <w:rFonts w:hint="eastAsia"/>
        </w:rPr>
        <w:t>生活污水由7#、8#泊位后方生活污水处理站预处理后排放至大榄坪污水处理厂</w:t>
      </w:r>
      <w:r>
        <w:t>；到港船舶废污水由有资质的单位处理；工程不设置排污口，无直接排放污水量，工程地表水评价等级为三级B。</w:t>
      </w:r>
    </w:p>
    <w:p w14:paraId="0F2A499F">
      <w:pPr>
        <w:ind w:firstLine="464"/>
        <w:rPr>
          <w:b/>
          <w:bCs/>
        </w:rPr>
      </w:pPr>
      <w:r>
        <w:rPr>
          <w:b/>
          <w:bCs/>
        </w:rPr>
        <w:t>2、水文要素影响型建设项目评价等级判定</w:t>
      </w:r>
    </w:p>
    <w:p w14:paraId="64571F58">
      <w:pPr>
        <w:ind w:firstLine="462"/>
      </w:pPr>
      <w:r>
        <w:t>按照水文要素影响型建设项目判定表1.</w:t>
      </w:r>
      <w:r>
        <w:rPr>
          <w:rFonts w:hint="eastAsia"/>
        </w:rPr>
        <w:t>2</w:t>
      </w:r>
      <w:r>
        <w:t>-</w:t>
      </w:r>
      <w:r>
        <w:rPr>
          <w:rFonts w:hint="eastAsia"/>
        </w:rPr>
        <w:t>2</w:t>
      </w:r>
      <w:r>
        <w:t>，工程位于沿海近岸海域，</w:t>
      </w:r>
      <w:r>
        <w:rPr>
          <w:rFonts w:hint="eastAsia"/>
        </w:rPr>
        <w:t>项目对水温、径流量无直接影响，根据受影响地表水域进行判定。</w:t>
      </w:r>
    </w:p>
    <w:p w14:paraId="7D5A50DA">
      <w:pPr>
        <w:pStyle w:val="7"/>
      </w:pPr>
      <w:r>
        <w:t>水文要素影响型建设项目评价等级判定</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08"/>
        <w:gridCol w:w="1208"/>
        <w:gridCol w:w="1283"/>
        <w:gridCol w:w="714"/>
        <w:gridCol w:w="1143"/>
        <w:gridCol w:w="1143"/>
        <w:gridCol w:w="1643"/>
      </w:tblGrid>
      <w:tr w14:paraId="43A131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724" w:type="pct"/>
            <w:vMerge w:val="restart"/>
            <w:tcMar>
              <w:left w:w="0" w:type="dxa"/>
              <w:right w:w="0" w:type="dxa"/>
            </w:tcMar>
            <w:vAlign w:val="center"/>
          </w:tcPr>
          <w:p w14:paraId="0CDCABE4">
            <w:pPr>
              <w:pStyle w:val="34"/>
            </w:pPr>
            <w:r>
              <w:t>等级评价</w:t>
            </w:r>
          </w:p>
        </w:tc>
        <w:tc>
          <w:tcPr>
            <w:tcW w:w="724" w:type="pct"/>
            <w:tcMar>
              <w:left w:w="0" w:type="dxa"/>
              <w:right w:w="0" w:type="dxa"/>
            </w:tcMar>
            <w:vAlign w:val="center"/>
          </w:tcPr>
          <w:p w14:paraId="08BB0480">
            <w:pPr>
              <w:pStyle w:val="34"/>
            </w:pPr>
            <w:r>
              <w:t>水温</w:t>
            </w:r>
          </w:p>
        </w:tc>
        <w:tc>
          <w:tcPr>
            <w:tcW w:w="1197" w:type="pct"/>
            <w:gridSpan w:val="2"/>
            <w:tcMar>
              <w:left w:w="0" w:type="dxa"/>
              <w:right w:w="0" w:type="dxa"/>
            </w:tcMar>
            <w:vAlign w:val="center"/>
          </w:tcPr>
          <w:p w14:paraId="09A85E99">
            <w:pPr>
              <w:pStyle w:val="34"/>
            </w:pPr>
            <w:r>
              <w:t>径流</w:t>
            </w:r>
          </w:p>
        </w:tc>
        <w:tc>
          <w:tcPr>
            <w:tcW w:w="2355" w:type="pct"/>
            <w:gridSpan w:val="3"/>
            <w:tcMar>
              <w:left w:w="0" w:type="dxa"/>
              <w:right w:w="0" w:type="dxa"/>
            </w:tcMar>
            <w:vAlign w:val="center"/>
          </w:tcPr>
          <w:p w14:paraId="1B41BA9F">
            <w:pPr>
              <w:pStyle w:val="34"/>
            </w:pPr>
            <w:r>
              <w:t>受影响地表水域</w:t>
            </w:r>
          </w:p>
        </w:tc>
      </w:tr>
      <w:tr w14:paraId="4B579A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724" w:type="pct"/>
            <w:vMerge w:val="continue"/>
            <w:tcMar>
              <w:left w:w="0" w:type="dxa"/>
              <w:right w:w="0" w:type="dxa"/>
            </w:tcMar>
            <w:vAlign w:val="center"/>
          </w:tcPr>
          <w:p w14:paraId="19F840CE">
            <w:pPr>
              <w:pStyle w:val="34"/>
            </w:pPr>
          </w:p>
        </w:tc>
        <w:tc>
          <w:tcPr>
            <w:tcW w:w="724" w:type="pct"/>
            <w:vMerge w:val="restart"/>
            <w:tcMar>
              <w:left w:w="0" w:type="dxa"/>
              <w:right w:w="0" w:type="dxa"/>
            </w:tcMar>
            <w:vAlign w:val="center"/>
          </w:tcPr>
          <w:p w14:paraId="63DAD53B">
            <w:pPr>
              <w:pStyle w:val="34"/>
            </w:pPr>
            <w:r>
              <w:t>年径流量与库容百分比α/%</w:t>
            </w:r>
          </w:p>
        </w:tc>
        <w:tc>
          <w:tcPr>
            <w:tcW w:w="769" w:type="pct"/>
            <w:vMerge w:val="restart"/>
            <w:tcMar>
              <w:left w:w="0" w:type="dxa"/>
              <w:right w:w="0" w:type="dxa"/>
            </w:tcMar>
            <w:vAlign w:val="center"/>
          </w:tcPr>
          <w:p w14:paraId="5D3333B0">
            <w:pPr>
              <w:pStyle w:val="34"/>
            </w:pPr>
            <w:r>
              <w:t>兴利库容与年径流量百分比β/%</w:t>
            </w:r>
          </w:p>
        </w:tc>
        <w:tc>
          <w:tcPr>
            <w:tcW w:w="428" w:type="pct"/>
            <w:vMerge w:val="restart"/>
            <w:tcMar>
              <w:left w:w="0" w:type="dxa"/>
              <w:right w:w="0" w:type="dxa"/>
            </w:tcMar>
            <w:vAlign w:val="center"/>
          </w:tcPr>
          <w:p w14:paraId="1052DF6D">
            <w:pPr>
              <w:pStyle w:val="34"/>
            </w:pPr>
            <w:r>
              <w:t>取水量占多年平均径流量比γ/%</w:t>
            </w:r>
          </w:p>
        </w:tc>
        <w:tc>
          <w:tcPr>
            <w:tcW w:w="1370" w:type="pct"/>
            <w:gridSpan w:val="2"/>
            <w:tcMar>
              <w:left w:w="0" w:type="dxa"/>
              <w:right w:w="0" w:type="dxa"/>
            </w:tcMar>
            <w:vAlign w:val="center"/>
          </w:tcPr>
          <w:p w14:paraId="56520F12">
            <w:pPr>
              <w:pStyle w:val="34"/>
            </w:pPr>
            <w:r>
              <w:t>工程垂直投影面积及外扩范围A</w:t>
            </w:r>
            <w:r>
              <w:rPr>
                <w:vertAlign w:val="subscript"/>
              </w:rPr>
              <w:t>1</w:t>
            </w:r>
            <w:r>
              <w:t>/km</w:t>
            </w:r>
            <w:r>
              <w:rPr>
                <w:vertAlign w:val="superscript"/>
              </w:rPr>
              <w:t>2</w:t>
            </w:r>
            <w:r>
              <w:t>；工程扰动水底面积A</w:t>
            </w:r>
            <w:r>
              <w:rPr>
                <w:vertAlign w:val="subscript"/>
              </w:rPr>
              <w:t>2</w:t>
            </w:r>
            <w:r>
              <w:t>/km</w:t>
            </w:r>
            <w:r>
              <w:rPr>
                <w:vertAlign w:val="superscript"/>
              </w:rPr>
              <w:t>2</w:t>
            </w:r>
            <w:r>
              <w:t>；过水断面宽度</w:t>
            </w:r>
            <w:r>
              <w:rPr>
                <w:rFonts w:hint="eastAsia"/>
              </w:rPr>
              <w:t>占</w:t>
            </w:r>
            <w:r>
              <w:t>用比例或占用水域面积比例R/%</w:t>
            </w:r>
          </w:p>
        </w:tc>
        <w:tc>
          <w:tcPr>
            <w:tcW w:w="985" w:type="pct"/>
            <w:tcMar>
              <w:left w:w="0" w:type="dxa"/>
              <w:right w:w="0" w:type="dxa"/>
            </w:tcMar>
            <w:vAlign w:val="center"/>
          </w:tcPr>
          <w:p w14:paraId="25190167">
            <w:pPr>
              <w:pStyle w:val="34"/>
            </w:pPr>
            <w:r>
              <w:t>工程</w:t>
            </w:r>
            <w:bookmarkStart w:id="92" w:name="OLE_LINK554"/>
            <w:r>
              <w:t>垂直投影面积及外扩范围</w:t>
            </w:r>
            <w:bookmarkEnd w:id="92"/>
            <w:r>
              <w:t>A</w:t>
            </w:r>
            <w:r>
              <w:rPr>
                <w:vertAlign w:val="subscript"/>
              </w:rPr>
              <w:t>1</w:t>
            </w:r>
            <w:r>
              <w:t>/km</w:t>
            </w:r>
            <w:r>
              <w:rPr>
                <w:vertAlign w:val="superscript"/>
              </w:rPr>
              <w:t>2</w:t>
            </w:r>
            <w:r>
              <w:t>；工程扰动水底面积A</w:t>
            </w:r>
            <w:r>
              <w:rPr>
                <w:vertAlign w:val="subscript"/>
              </w:rPr>
              <w:t>2</w:t>
            </w:r>
            <w:r>
              <w:t>/km</w:t>
            </w:r>
            <w:r>
              <w:rPr>
                <w:vertAlign w:val="superscript"/>
              </w:rPr>
              <w:t>2</w:t>
            </w:r>
            <w:r>
              <w:t>；</w:t>
            </w:r>
          </w:p>
        </w:tc>
      </w:tr>
      <w:tr w14:paraId="55182A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724" w:type="pct"/>
            <w:vMerge w:val="continue"/>
            <w:tcMar>
              <w:left w:w="0" w:type="dxa"/>
              <w:right w:w="0" w:type="dxa"/>
            </w:tcMar>
            <w:vAlign w:val="center"/>
          </w:tcPr>
          <w:p w14:paraId="7ACBD814">
            <w:pPr>
              <w:pStyle w:val="34"/>
            </w:pPr>
          </w:p>
        </w:tc>
        <w:tc>
          <w:tcPr>
            <w:tcW w:w="724" w:type="pct"/>
            <w:vMerge w:val="continue"/>
            <w:tcMar>
              <w:left w:w="0" w:type="dxa"/>
              <w:right w:w="0" w:type="dxa"/>
            </w:tcMar>
            <w:vAlign w:val="center"/>
          </w:tcPr>
          <w:p w14:paraId="792D75F7">
            <w:pPr>
              <w:pStyle w:val="34"/>
            </w:pPr>
          </w:p>
        </w:tc>
        <w:tc>
          <w:tcPr>
            <w:tcW w:w="769" w:type="pct"/>
            <w:vMerge w:val="continue"/>
            <w:tcMar>
              <w:left w:w="0" w:type="dxa"/>
              <w:right w:w="0" w:type="dxa"/>
            </w:tcMar>
            <w:vAlign w:val="center"/>
          </w:tcPr>
          <w:p w14:paraId="60138AED">
            <w:pPr>
              <w:pStyle w:val="34"/>
            </w:pPr>
          </w:p>
        </w:tc>
        <w:tc>
          <w:tcPr>
            <w:tcW w:w="428" w:type="pct"/>
            <w:vMerge w:val="continue"/>
            <w:tcMar>
              <w:left w:w="0" w:type="dxa"/>
              <w:right w:w="0" w:type="dxa"/>
            </w:tcMar>
            <w:vAlign w:val="center"/>
          </w:tcPr>
          <w:p w14:paraId="68C58C39">
            <w:pPr>
              <w:pStyle w:val="34"/>
            </w:pPr>
          </w:p>
        </w:tc>
        <w:tc>
          <w:tcPr>
            <w:tcW w:w="685" w:type="pct"/>
            <w:tcMar>
              <w:left w:w="0" w:type="dxa"/>
              <w:right w:w="0" w:type="dxa"/>
            </w:tcMar>
            <w:vAlign w:val="center"/>
          </w:tcPr>
          <w:p w14:paraId="7DA156A5">
            <w:pPr>
              <w:pStyle w:val="34"/>
            </w:pPr>
            <w:r>
              <w:t>河流</w:t>
            </w:r>
          </w:p>
        </w:tc>
        <w:tc>
          <w:tcPr>
            <w:tcW w:w="685" w:type="pct"/>
            <w:tcMar>
              <w:left w:w="0" w:type="dxa"/>
              <w:right w:w="0" w:type="dxa"/>
            </w:tcMar>
            <w:vAlign w:val="center"/>
          </w:tcPr>
          <w:p w14:paraId="31860662">
            <w:pPr>
              <w:pStyle w:val="34"/>
            </w:pPr>
            <w:r>
              <w:t>湖库</w:t>
            </w:r>
          </w:p>
        </w:tc>
        <w:tc>
          <w:tcPr>
            <w:tcW w:w="985" w:type="pct"/>
            <w:tcMar>
              <w:left w:w="0" w:type="dxa"/>
              <w:right w:w="0" w:type="dxa"/>
            </w:tcMar>
            <w:vAlign w:val="center"/>
          </w:tcPr>
          <w:p w14:paraId="7DAF9C9D">
            <w:pPr>
              <w:pStyle w:val="34"/>
            </w:pPr>
            <w:r>
              <w:t>入海河口、近岸海域</w:t>
            </w:r>
          </w:p>
        </w:tc>
      </w:tr>
      <w:tr w14:paraId="62B4C3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724" w:type="pct"/>
            <w:tcMar>
              <w:left w:w="0" w:type="dxa"/>
              <w:right w:w="0" w:type="dxa"/>
            </w:tcMar>
            <w:vAlign w:val="center"/>
          </w:tcPr>
          <w:p w14:paraId="1B10ECBE">
            <w:pPr>
              <w:pStyle w:val="34"/>
            </w:pPr>
            <w:r>
              <w:t>一级</w:t>
            </w:r>
          </w:p>
        </w:tc>
        <w:tc>
          <w:tcPr>
            <w:tcW w:w="724" w:type="pct"/>
            <w:tcMar>
              <w:left w:w="0" w:type="dxa"/>
              <w:right w:w="0" w:type="dxa"/>
            </w:tcMar>
            <w:vAlign w:val="center"/>
          </w:tcPr>
          <w:p w14:paraId="7356F037">
            <w:pPr>
              <w:pStyle w:val="34"/>
            </w:pPr>
            <w:r>
              <w:t>α≤10；或稳定分层</w:t>
            </w:r>
          </w:p>
        </w:tc>
        <w:tc>
          <w:tcPr>
            <w:tcW w:w="769" w:type="pct"/>
            <w:tcMar>
              <w:left w:w="0" w:type="dxa"/>
              <w:right w:w="0" w:type="dxa"/>
            </w:tcMar>
            <w:vAlign w:val="center"/>
          </w:tcPr>
          <w:p w14:paraId="694A5AD9">
            <w:pPr>
              <w:pStyle w:val="34"/>
            </w:pPr>
            <w:r>
              <w:t>β≥20；或完全年调节与多年调节</w:t>
            </w:r>
          </w:p>
        </w:tc>
        <w:tc>
          <w:tcPr>
            <w:tcW w:w="428" w:type="pct"/>
            <w:tcMar>
              <w:left w:w="0" w:type="dxa"/>
              <w:right w:w="0" w:type="dxa"/>
            </w:tcMar>
            <w:vAlign w:val="center"/>
          </w:tcPr>
          <w:p w14:paraId="648C342F">
            <w:pPr>
              <w:pStyle w:val="34"/>
            </w:pPr>
            <w:r>
              <w:t>γ≥30</w:t>
            </w:r>
          </w:p>
        </w:tc>
        <w:tc>
          <w:tcPr>
            <w:tcW w:w="685" w:type="pct"/>
            <w:tcMar>
              <w:left w:w="0" w:type="dxa"/>
              <w:right w:w="0" w:type="dxa"/>
            </w:tcMar>
            <w:vAlign w:val="center"/>
          </w:tcPr>
          <w:p w14:paraId="71BAEADA">
            <w:pPr>
              <w:pStyle w:val="34"/>
            </w:pPr>
            <w:r>
              <w:t>A</w:t>
            </w:r>
            <w:r>
              <w:rPr>
                <w:vertAlign w:val="subscript"/>
              </w:rPr>
              <w:t>1</w:t>
            </w:r>
            <w:r>
              <w:t>≥0.3；或A</w:t>
            </w:r>
            <w:r>
              <w:rPr>
                <w:vertAlign w:val="subscript"/>
              </w:rPr>
              <w:t>2</w:t>
            </w:r>
            <w:r>
              <w:t>≥1.5；或R≥10</w:t>
            </w:r>
          </w:p>
        </w:tc>
        <w:tc>
          <w:tcPr>
            <w:tcW w:w="685" w:type="pct"/>
            <w:tcMar>
              <w:left w:w="0" w:type="dxa"/>
              <w:right w:w="0" w:type="dxa"/>
            </w:tcMar>
            <w:vAlign w:val="center"/>
          </w:tcPr>
          <w:p w14:paraId="2AD0B019">
            <w:pPr>
              <w:pStyle w:val="34"/>
            </w:pPr>
            <w:r>
              <w:t>A</w:t>
            </w:r>
            <w:r>
              <w:rPr>
                <w:vertAlign w:val="subscript"/>
              </w:rPr>
              <w:t>1</w:t>
            </w:r>
            <w:r>
              <w:t>≥0.3；或A</w:t>
            </w:r>
            <w:r>
              <w:rPr>
                <w:vertAlign w:val="subscript"/>
              </w:rPr>
              <w:t>2</w:t>
            </w:r>
            <w:r>
              <w:t>≥1.5；或R≥20</w:t>
            </w:r>
          </w:p>
        </w:tc>
        <w:tc>
          <w:tcPr>
            <w:tcW w:w="985" w:type="pct"/>
            <w:tcMar>
              <w:left w:w="0" w:type="dxa"/>
              <w:right w:w="0" w:type="dxa"/>
            </w:tcMar>
            <w:vAlign w:val="center"/>
          </w:tcPr>
          <w:p w14:paraId="23006F26">
            <w:pPr>
              <w:pStyle w:val="34"/>
            </w:pPr>
            <w:r>
              <w:t>A</w:t>
            </w:r>
            <w:r>
              <w:rPr>
                <w:vertAlign w:val="subscript"/>
              </w:rPr>
              <w:t>1</w:t>
            </w:r>
            <w:r>
              <w:t>≥0.5；或A</w:t>
            </w:r>
            <w:r>
              <w:rPr>
                <w:vertAlign w:val="subscript"/>
              </w:rPr>
              <w:t>2</w:t>
            </w:r>
            <w:r>
              <w:t>≥3</w:t>
            </w:r>
          </w:p>
        </w:tc>
      </w:tr>
      <w:tr w14:paraId="7D9ADC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724" w:type="pct"/>
            <w:tcMar>
              <w:left w:w="0" w:type="dxa"/>
              <w:right w:w="0" w:type="dxa"/>
            </w:tcMar>
            <w:vAlign w:val="center"/>
          </w:tcPr>
          <w:p w14:paraId="4BCBFFC8">
            <w:pPr>
              <w:pStyle w:val="34"/>
            </w:pPr>
            <w:r>
              <w:t>二级</w:t>
            </w:r>
          </w:p>
        </w:tc>
        <w:tc>
          <w:tcPr>
            <w:tcW w:w="724" w:type="pct"/>
            <w:tcMar>
              <w:left w:w="0" w:type="dxa"/>
              <w:right w:w="0" w:type="dxa"/>
            </w:tcMar>
            <w:vAlign w:val="center"/>
          </w:tcPr>
          <w:p w14:paraId="6C208275">
            <w:pPr>
              <w:pStyle w:val="34"/>
            </w:pPr>
            <w:r>
              <w:t>20＞α＞10；或不稳定分层</w:t>
            </w:r>
          </w:p>
        </w:tc>
        <w:tc>
          <w:tcPr>
            <w:tcW w:w="769" w:type="pct"/>
            <w:tcMar>
              <w:left w:w="0" w:type="dxa"/>
              <w:right w:w="0" w:type="dxa"/>
            </w:tcMar>
            <w:vAlign w:val="center"/>
          </w:tcPr>
          <w:p w14:paraId="3639A470">
            <w:pPr>
              <w:pStyle w:val="34"/>
            </w:pPr>
            <w:r>
              <w:t>20＞β＞2；或季调节与不完全年调节</w:t>
            </w:r>
          </w:p>
        </w:tc>
        <w:tc>
          <w:tcPr>
            <w:tcW w:w="428" w:type="pct"/>
            <w:tcMar>
              <w:left w:w="0" w:type="dxa"/>
              <w:right w:w="0" w:type="dxa"/>
            </w:tcMar>
            <w:vAlign w:val="center"/>
          </w:tcPr>
          <w:p w14:paraId="5C661FBF">
            <w:pPr>
              <w:pStyle w:val="34"/>
            </w:pPr>
            <w:r>
              <w:t>30＞γ＞10</w:t>
            </w:r>
          </w:p>
        </w:tc>
        <w:tc>
          <w:tcPr>
            <w:tcW w:w="685" w:type="pct"/>
            <w:tcMar>
              <w:left w:w="0" w:type="dxa"/>
              <w:right w:w="0" w:type="dxa"/>
            </w:tcMar>
            <w:vAlign w:val="center"/>
          </w:tcPr>
          <w:p w14:paraId="54DCD207">
            <w:pPr>
              <w:pStyle w:val="34"/>
            </w:pPr>
            <w:r>
              <w:t>0.3＞A</w:t>
            </w:r>
            <w:r>
              <w:rPr>
                <w:vertAlign w:val="subscript"/>
              </w:rPr>
              <w:t>1</w:t>
            </w:r>
            <w:r>
              <w:t>＞0.05；或1.5＞A</w:t>
            </w:r>
            <w:r>
              <w:rPr>
                <w:vertAlign w:val="subscript"/>
              </w:rPr>
              <w:t>2</w:t>
            </w:r>
            <w:r>
              <w:t>＞0.2；或</w:t>
            </w:r>
          </w:p>
          <w:p w14:paraId="3672491C">
            <w:pPr>
              <w:pStyle w:val="34"/>
            </w:pPr>
            <w:r>
              <w:t>10＞R＞5</w:t>
            </w:r>
          </w:p>
        </w:tc>
        <w:tc>
          <w:tcPr>
            <w:tcW w:w="685" w:type="pct"/>
            <w:tcMar>
              <w:left w:w="0" w:type="dxa"/>
              <w:right w:w="0" w:type="dxa"/>
            </w:tcMar>
            <w:vAlign w:val="center"/>
          </w:tcPr>
          <w:p w14:paraId="596B8698">
            <w:pPr>
              <w:pStyle w:val="34"/>
            </w:pPr>
            <w:r>
              <w:t>0.3＞A</w:t>
            </w:r>
            <w:r>
              <w:rPr>
                <w:vertAlign w:val="subscript"/>
              </w:rPr>
              <w:t>1</w:t>
            </w:r>
            <w:r>
              <w:t>＞0.05</w:t>
            </w:r>
          </w:p>
          <w:p w14:paraId="0D1763BE">
            <w:pPr>
              <w:pStyle w:val="34"/>
            </w:pPr>
            <w:r>
              <w:t>1.5＞A</w:t>
            </w:r>
            <w:r>
              <w:rPr>
                <w:vertAlign w:val="subscript"/>
              </w:rPr>
              <w:t>2</w:t>
            </w:r>
            <w:r>
              <w:t>＞0.2；或20＞R＞5</w:t>
            </w:r>
          </w:p>
        </w:tc>
        <w:tc>
          <w:tcPr>
            <w:tcW w:w="985" w:type="pct"/>
            <w:tcMar>
              <w:left w:w="0" w:type="dxa"/>
              <w:right w:w="0" w:type="dxa"/>
            </w:tcMar>
            <w:vAlign w:val="center"/>
          </w:tcPr>
          <w:p w14:paraId="555A206D">
            <w:pPr>
              <w:pStyle w:val="34"/>
            </w:pPr>
            <w:r>
              <w:t>0.5＞A</w:t>
            </w:r>
            <w:r>
              <w:rPr>
                <w:vertAlign w:val="subscript"/>
              </w:rPr>
              <w:t>1</w:t>
            </w:r>
            <w:r>
              <w:t>＞0.15；或3＞A</w:t>
            </w:r>
            <w:r>
              <w:rPr>
                <w:vertAlign w:val="subscript"/>
              </w:rPr>
              <w:t>2</w:t>
            </w:r>
            <w:r>
              <w:t>＞0.5</w:t>
            </w:r>
          </w:p>
        </w:tc>
      </w:tr>
      <w:tr w14:paraId="4884CA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724" w:type="pct"/>
            <w:tcMar>
              <w:left w:w="0" w:type="dxa"/>
              <w:right w:w="0" w:type="dxa"/>
            </w:tcMar>
            <w:vAlign w:val="center"/>
          </w:tcPr>
          <w:p w14:paraId="3908F6DB">
            <w:pPr>
              <w:pStyle w:val="34"/>
            </w:pPr>
            <w:r>
              <w:t>三级</w:t>
            </w:r>
          </w:p>
        </w:tc>
        <w:tc>
          <w:tcPr>
            <w:tcW w:w="724" w:type="pct"/>
            <w:tcMar>
              <w:left w:w="0" w:type="dxa"/>
              <w:right w:w="0" w:type="dxa"/>
            </w:tcMar>
            <w:vAlign w:val="center"/>
          </w:tcPr>
          <w:p w14:paraId="27F314CA">
            <w:pPr>
              <w:pStyle w:val="34"/>
            </w:pPr>
            <w:r>
              <w:t>α≥20；或混合型</w:t>
            </w:r>
          </w:p>
        </w:tc>
        <w:tc>
          <w:tcPr>
            <w:tcW w:w="769" w:type="pct"/>
            <w:tcMar>
              <w:left w:w="0" w:type="dxa"/>
              <w:right w:w="0" w:type="dxa"/>
            </w:tcMar>
            <w:vAlign w:val="center"/>
          </w:tcPr>
          <w:p w14:paraId="33714C12">
            <w:pPr>
              <w:pStyle w:val="34"/>
            </w:pPr>
            <w:r>
              <w:t>β≤2；或无调节</w:t>
            </w:r>
          </w:p>
        </w:tc>
        <w:tc>
          <w:tcPr>
            <w:tcW w:w="428" w:type="pct"/>
            <w:tcMar>
              <w:left w:w="0" w:type="dxa"/>
              <w:right w:w="0" w:type="dxa"/>
            </w:tcMar>
            <w:vAlign w:val="center"/>
          </w:tcPr>
          <w:p w14:paraId="1C801B58">
            <w:pPr>
              <w:pStyle w:val="34"/>
            </w:pPr>
            <w:r>
              <w:t>γ≤10</w:t>
            </w:r>
          </w:p>
        </w:tc>
        <w:tc>
          <w:tcPr>
            <w:tcW w:w="685" w:type="pct"/>
            <w:tcMar>
              <w:left w:w="0" w:type="dxa"/>
              <w:right w:w="0" w:type="dxa"/>
            </w:tcMar>
            <w:vAlign w:val="center"/>
          </w:tcPr>
          <w:p w14:paraId="79A5B969">
            <w:pPr>
              <w:pStyle w:val="34"/>
            </w:pPr>
            <w:r>
              <w:t>A</w:t>
            </w:r>
            <w:r>
              <w:rPr>
                <w:vertAlign w:val="subscript"/>
              </w:rPr>
              <w:t>1</w:t>
            </w:r>
            <w:r>
              <w:t>≤0.05；或A</w:t>
            </w:r>
            <w:r>
              <w:rPr>
                <w:vertAlign w:val="subscript"/>
              </w:rPr>
              <w:t>2</w:t>
            </w:r>
            <w:r>
              <w:t>≤0.2；或R≤5</w:t>
            </w:r>
          </w:p>
        </w:tc>
        <w:tc>
          <w:tcPr>
            <w:tcW w:w="685" w:type="pct"/>
            <w:tcMar>
              <w:left w:w="0" w:type="dxa"/>
              <w:right w:w="0" w:type="dxa"/>
            </w:tcMar>
            <w:vAlign w:val="center"/>
          </w:tcPr>
          <w:p w14:paraId="65C6E50E">
            <w:pPr>
              <w:pStyle w:val="34"/>
            </w:pPr>
            <w:r>
              <w:t>A</w:t>
            </w:r>
            <w:r>
              <w:rPr>
                <w:vertAlign w:val="subscript"/>
              </w:rPr>
              <w:t>1</w:t>
            </w:r>
            <w:r>
              <w:t>≤0.05；或A</w:t>
            </w:r>
            <w:r>
              <w:rPr>
                <w:vertAlign w:val="subscript"/>
              </w:rPr>
              <w:t>2</w:t>
            </w:r>
            <w:r>
              <w:t>≤0.2；或R≤5</w:t>
            </w:r>
          </w:p>
        </w:tc>
        <w:tc>
          <w:tcPr>
            <w:tcW w:w="985" w:type="pct"/>
            <w:tcMar>
              <w:left w:w="0" w:type="dxa"/>
              <w:right w:w="0" w:type="dxa"/>
            </w:tcMar>
            <w:vAlign w:val="center"/>
          </w:tcPr>
          <w:p w14:paraId="1A4E4A4A">
            <w:pPr>
              <w:pStyle w:val="34"/>
            </w:pPr>
            <w:r>
              <w:t>A</w:t>
            </w:r>
            <w:r>
              <w:rPr>
                <w:vertAlign w:val="subscript"/>
              </w:rPr>
              <w:t>1</w:t>
            </w:r>
            <w:r>
              <w:t>≤0.15；A</w:t>
            </w:r>
            <w:r>
              <w:rPr>
                <w:vertAlign w:val="subscript"/>
              </w:rPr>
              <w:t>2</w:t>
            </w:r>
            <w:r>
              <w:t>≤0.5</w:t>
            </w:r>
          </w:p>
        </w:tc>
      </w:tr>
      <w:tr w14:paraId="2E3FA0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00" w:type="pct"/>
            <w:gridSpan w:val="7"/>
            <w:tcMar>
              <w:left w:w="0" w:type="dxa"/>
              <w:right w:w="0" w:type="dxa"/>
            </w:tcMar>
            <w:vAlign w:val="center"/>
          </w:tcPr>
          <w:p w14:paraId="295B82FA">
            <w:pPr>
              <w:pStyle w:val="34"/>
              <w:jc w:val="left"/>
            </w:pPr>
            <w:r>
              <w:t>注1：影响范围涉及饮用水水源保护区、重点保护与珍稀水生生物的栖息地、重要水生生物的自然产卵场、自然保护区等保护目标，评价等级不低于二级。</w:t>
            </w:r>
          </w:p>
          <w:p w14:paraId="36BC7F0C">
            <w:pPr>
              <w:pStyle w:val="34"/>
              <w:jc w:val="left"/>
            </w:pPr>
            <w:r>
              <w:t>注2：跨流域调水、引水式电站、可能受到河流感潮河段影响，评价等级不低于二级。</w:t>
            </w:r>
          </w:p>
          <w:p w14:paraId="7862BB1C">
            <w:pPr>
              <w:pStyle w:val="34"/>
              <w:jc w:val="left"/>
            </w:pPr>
            <w:r>
              <w:t>注3：造成入海河口（湾口）宽度束窄（束窄尺度达到原宽度的5%以上）评价等级应不低于二级。</w:t>
            </w:r>
          </w:p>
          <w:p w14:paraId="7EB11382">
            <w:pPr>
              <w:pStyle w:val="34"/>
              <w:jc w:val="left"/>
            </w:pPr>
            <w:r>
              <w:t>注4：对不透水的单方向建筑尺度较长的水工建筑物（如防波堤、导流堤等），其与潮流或水流主流向切线垂直方向投影长度大于2km时，评价等级应不低于二级。</w:t>
            </w:r>
          </w:p>
          <w:p w14:paraId="6A46699F">
            <w:pPr>
              <w:pStyle w:val="34"/>
              <w:jc w:val="left"/>
            </w:pPr>
            <w:r>
              <w:t>注5：允许在一类海域建设的项目，评价等级为一级。</w:t>
            </w:r>
          </w:p>
          <w:p w14:paraId="2A4EDB4B">
            <w:pPr>
              <w:pStyle w:val="34"/>
              <w:jc w:val="left"/>
            </w:pPr>
            <w:r>
              <w:t>注6：同时存在多个水文要素影响的建设项目，分别判定各水文要素影响评价等级，并取其中最高等级作为水文要素影响型建设项目评价等级。</w:t>
            </w:r>
          </w:p>
        </w:tc>
      </w:tr>
    </w:tbl>
    <w:p w14:paraId="5A01951B">
      <w:pPr>
        <w:ind w:firstLine="462"/>
      </w:pPr>
      <w:r>
        <w:t>工程</w:t>
      </w:r>
      <w:bookmarkStart w:id="93" w:name="_Hlk171069277"/>
      <w:r>
        <w:rPr>
          <w:rFonts w:hint="eastAsia"/>
        </w:rPr>
        <w:t>水工结构依托大榄坪9、10号扩建工程，不新增垂直投影面积及外扩范围；项目疏浚面积</w:t>
      </w:r>
      <w:bookmarkEnd w:id="93"/>
      <w:r>
        <w:rPr>
          <w:rFonts w:hint="eastAsia"/>
        </w:rPr>
        <w:t>约22.77hm</w:t>
      </w:r>
      <w:r>
        <w:rPr>
          <w:rFonts w:hint="eastAsia"/>
          <w:vertAlign w:val="superscript"/>
        </w:rPr>
        <w:t>2</w:t>
      </w:r>
      <w:r>
        <w:rPr>
          <w:rFonts w:hint="eastAsia"/>
        </w:rPr>
        <w:t>，</w:t>
      </w:r>
      <w:r>
        <w:rPr>
          <w:rFonts w:hint="eastAsia"/>
          <w:u w:val="single"/>
        </w:rPr>
        <w:t>即扰动水底面积为0.02km</w:t>
      </w:r>
      <w:r>
        <w:rPr>
          <w:rFonts w:hint="eastAsia"/>
          <w:u w:val="single"/>
          <w:vertAlign w:val="superscript"/>
        </w:rPr>
        <w:t>2</w:t>
      </w:r>
      <w:r>
        <w:rPr>
          <w:rFonts w:hint="eastAsia"/>
        </w:rPr>
        <w:t xml:space="preserve">＜0.5 </w:t>
      </w:r>
      <w:bookmarkStart w:id="94" w:name="OLE_LINK239"/>
      <w:r>
        <w:rPr>
          <w:rFonts w:hint="eastAsia"/>
        </w:rPr>
        <w:t>km</w:t>
      </w:r>
      <w:r>
        <w:rPr>
          <w:rFonts w:hint="eastAsia"/>
          <w:vertAlign w:val="superscript"/>
        </w:rPr>
        <w:t>2</w:t>
      </w:r>
      <w:bookmarkEnd w:id="94"/>
      <w:r>
        <w:rPr>
          <w:rFonts w:hint="eastAsia"/>
        </w:rPr>
        <w:t>，项目</w:t>
      </w:r>
      <w:r>
        <w:t>环境评价等级确定为</w:t>
      </w:r>
      <w:r>
        <w:rPr>
          <w:rFonts w:hint="eastAsia"/>
        </w:rPr>
        <w:t>三级</w:t>
      </w:r>
      <w:r>
        <w:t>，水环境评价范围与海洋环境评价范围一致。</w:t>
      </w:r>
    </w:p>
    <w:p w14:paraId="09C20022">
      <w:pPr>
        <w:pStyle w:val="6"/>
      </w:pPr>
      <w:r>
        <w:rPr>
          <w:rFonts w:hint="eastAsia"/>
        </w:rPr>
        <w:t>地下水环境</w:t>
      </w:r>
    </w:p>
    <w:p w14:paraId="728BCB3A">
      <w:pPr>
        <w:ind w:firstLine="462"/>
      </w:pPr>
      <w:bookmarkStart w:id="95" w:name="_Hlk206577924"/>
      <w:r>
        <w:rPr>
          <w:rFonts w:hint="eastAsia"/>
        </w:rPr>
        <w:t>根据《环境影响评价技术导则 地下水环境》（</w:t>
      </w:r>
      <w:r>
        <w:t>HJ610-2016</w:t>
      </w:r>
      <w:r>
        <w:rPr>
          <w:rFonts w:hint="eastAsia"/>
        </w:rPr>
        <w:t>）附录A，项目属于S 水运中131、涉及危险品、化学品的集装箱码头</w:t>
      </w:r>
      <w:r>
        <w:t>，</w:t>
      </w:r>
      <w:r>
        <w:rPr>
          <w:rFonts w:hint="eastAsia"/>
        </w:rPr>
        <w:t>本次评价按Ⅱ类项目</w:t>
      </w:r>
      <w:r>
        <w:t>。</w:t>
      </w:r>
      <w:bookmarkEnd w:id="95"/>
      <w:r>
        <w:t>项目场地处于钦州港</w:t>
      </w:r>
      <w:r>
        <w:rPr>
          <w:rFonts w:hint="eastAsia"/>
        </w:rPr>
        <w:t>大榄坪港区</w:t>
      </w:r>
      <w:r>
        <w:t>，周边主要为</w:t>
      </w:r>
      <w:r>
        <w:rPr>
          <w:rFonts w:hint="eastAsia"/>
        </w:rPr>
        <w:t>港口码头</w:t>
      </w:r>
      <w:r>
        <w:t>，附近无集中式饮用水水源地，也无国家或地方政府设定的与地下水环境</w:t>
      </w:r>
      <w:r>
        <w:rPr>
          <w:rFonts w:hint="eastAsia"/>
          <w:lang w:eastAsia="zh-CN"/>
        </w:rPr>
        <w:t>相关的其他</w:t>
      </w:r>
      <w:r>
        <w:t>保护区，如热水、矿泉水、温泉等特殊地下水资源保护区。项目周边居民饮水均为自来水，无集中式或分散式饮用水源地及矿泉水、温泉等特殊地下水资源分布区等地下水环境敏感、较敏感区，也不涉及《建设项目环境影响评价分类管理名录》中所界定的涉及地下水的环境敏感区。因此综合判定建设项目的地下水环境敏感程度为“不敏感”。</w:t>
      </w:r>
    </w:p>
    <w:p w14:paraId="780056B8">
      <w:pPr>
        <w:ind w:firstLine="462"/>
      </w:pPr>
      <w:r>
        <w:t>根据地下水评价工作等级分级表，确定本项目的地下水评价工作等级为“三级”。</w:t>
      </w:r>
    </w:p>
    <w:p w14:paraId="400BCB5A">
      <w:pPr>
        <w:pStyle w:val="7"/>
      </w:pPr>
      <w:r>
        <w:rPr>
          <w:rFonts w:hint="eastAsia"/>
        </w:rPr>
        <w:t>地下水评价工作等级分级表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221"/>
        <w:gridCol w:w="1822"/>
        <w:gridCol w:w="1691"/>
        <w:gridCol w:w="1788"/>
      </w:tblGrid>
      <w:tr w14:paraId="704D69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221" w:type="dxa"/>
          </w:tcPr>
          <w:p w14:paraId="1F8514F0">
            <w:pPr>
              <w:spacing w:line="300" w:lineRule="exact"/>
              <w:ind w:firstLine="0" w:firstLineChars="0"/>
              <w:jc w:val="right"/>
              <w:rPr>
                <w:b/>
                <w:bCs/>
                <w:sz w:val="21"/>
                <w:szCs w:val="21"/>
              </w:rPr>
            </w:pPr>
            <w:r>
              <w:rPr>
                <w:sz w:val="21"/>
              </w:rPr>
              <mc:AlternateContent>
                <mc:Choice Requires="wps">
                  <w:drawing>
                    <wp:anchor distT="0" distB="0" distL="114300" distR="114300" simplePos="0" relativeHeight="251664384" behindDoc="0" locked="0" layoutInCell="1" allowOverlap="1">
                      <wp:simplePos x="0" y="0"/>
                      <wp:positionH relativeFrom="column">
                        <wp:posOffset>-64135</wp:posOffset>
                      </wp:positionH>
                      <wp:positionV relativeFrom="paragraph">
                        <wp:posOffset>-8255</wp:posOffset>
                      </wp:positionV>
                      <wp:extent cx="2041525" cy="394970"/>
                      <wp:effectExtent l="12065" t="10795" r="13335" b="13335"/>
                      <wp:wrapNone/>
                      <wp:docPr id="23" name="直接连接符 23"/>
                      <wp:cNvGraphicFramePr/>
                      <a:graphic xmlns:a="http://schemas.openxmlformats.org/drawingml/2006/main">
                        <a:graphicData uri="http://schemas.microsoft.com/office/word/2010/wordprocessingShape">
                          <wps:wsp>
                            <wps:cNvCnPr>
                              <a:cxnSpLocks noChangeShapeType="1"/>
                            </wps:cNvCnPr>
                            <wps:spPr bwMode="auto">
                              <a:xfrm>
                                <a:off x="0" y="0"/>
                                <a:ext cx="2041525" cy="394970"/>
                              </a:xfrm>
                              <a:prstGeom prst="line">
                                <a:avLst/>
                              </a:prstGeom>
                              <a:noFill/>
                              <a:ln w="9525" cmpd="sng">
                                <a:solidFill>
                                  <a:srgbClr val="000000"/>
                                </a:solidFill>
                                <a:round/>
                              </a:ln>
                            </wps:spPr>
                            <wps:bodyPr/>
                          </wps:wsp>
                        </a:graphicData>
                      </a:graphic>
                    </wp:anchor>
                  </w:drawing>
                </mc:Choice>
                <mc:Fallback>
                  <w:pict>
                    <v:line id="_x0000_s1026" o:spid="_x0000_s1026" o:spt="20" style="position:absolute;left:0pt;margin-left:-5.05pt;margin-top:-0.65pt;height:31.1pt;width:160.75pt;z-index:251664384;mso-width-relative:page;mso-height-relative:page;" filled="f" stroked="t" coordsize="21600,21600" o:gfxdata="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QXz6i9cAAAAJAQAADwAAAAAAAAABACAAAAAiAAAAZHJzL2Rvd25yZXYueG1sUEsBAhQAFAAA&#10;AAgAh07iQJO9DUjwAQAAvAMAAA4AAAAAAAAAAQAgAAAAJgEAAGRycy9lMm9Eb2MueG1sUEsFBgAA&#10;AAAGAAYAWQEAAIgFAAAAAA==&#10;">
                      <v:fill on="f" focussize="0,0"/>
                      <v:stroke color="#000000" joinstyle="round"/>
                      <v:imagedata o:title=""/>
                      <o:lock v:ext="edit" aspectratio="f"/>
                    </v:line>
                  </w:pict>
                </mc:Fallback>
              </mc:AlternateContent>
            </w:r>
            <w:r>
              <w:rPr>
                <w:b/>
                <w:bCs/>
                <w:sz w:val="21"/>
                <w:szCs w:val="21"/>
              </w:rPr>
              <w:t>项目类别</w:t>
            </w:r>
          </w:p>
          <w:p w14:paraId="4F80FB7A">
            <w:pPr>
              <w:spacing w:line="300" w:lineRule="exact"/>
              <w:ind w:firstLine="0" w:firstLineChars="0"/>
              <w:rPr>
                <w:b/>
                <w:bCs/>
                <w:sz w:val="21"/>
                <w:szCs w:val="21"/>
              </w:rPr>
            </w:pPr>
            <w:r>
              <w:rPr>
                <w:b/>
                <w:bCs/>
                <w:sz w:val="21"/>
                <w:szCs w:val="21"/>
              </w:rPr>
              <w:t xml:space="preserve">敏感程度        </w:t>
            </w:r>
          </w:p>
        </w:tc>
        <w:tc>
          <w:tcPr>
            <w:tcW w:w="1822" w:type="dxa"/>
            <w:vAlign w:val="center"/>
          </w:tcPr>
          <w:p w14:paraId="223C4B51">
            <w:pPr>
              <w:spacing w:line="300" w:lineRule="exact"/>
              <w:ind w:firstLine="0" w:firstLineChars="0"/>
              <w:jc w:val="center"/>
              <w:rPr>
                <w:b/>
                <w:bCs/>
                <w:sz w:val="21"/>
                <w:szCs w:val="21"/>
              </w:rPr>
            </w:pPr>
            <w:r>
              <w:rPr>
                <w:b/>
                <w:bCs/>
                <w:sz w:val="21"/>
                <w:szCs w:val="21"/>
              </w:rPr>
              <w:t>Ⅰ类项目</w:t>
            </w:r>
          </w:p>
        </w:tc>
        <w:tc>
          <w:tcPr>
            <w:tcW w:w="1691" w:type="dxa"/>
            <w:vAlign w:val="center"/>
          </w:tcPr>
          <w:p w14:paraId="7E222DA6">
            <w:pPr>
              <w:spacing w:line="300" w:lineRule="exact"/>
              <w:ind w:firstLine="0" w:firstLineChars="0"/>
              <w:jc w:val="center"/>
              <w:rPr>
                <w:b/>
                <w:bCs/>
                <w:sz w:val="21"/>
                <w:szCs w:val="21"/>
              </w:rPr>
            </w:pPr>
            <w:r>
              <w:rPr>
                <w:b/>
                <w:bCs/>
                <w:sz w:val="21"/>
                <w:szCs w:val="21"/>
              </w:rPr>
              <w:t>Ⅱ类项目</w:t>
            </w:r>
          </w:p>
        </w:tc>
        <w:tc>
          <w:tcPr>
            <w:tcW w:w="1788" w:type="dxa"/>
            <w:vAlign w:val="center"/>
          </w:tcPr>
          <w:p w14:paraId="003E4799">
            <w:pPr>
              <w:spacing w:line="300" w:lineRule="exact"/>
              <w:ind w:firstLine="0" w:firstLineChars="0"/>
              <w:jc w:val="center"/>
              <w:rPr>
                <w:b/>
                <w:bCs/>
                <w:sz w:val="21"/>
                <w:szCs w:val="21"/>
              </w:rPr>
            </w:pPr>
            <w:r>
              <w:rPr>
                <w:b/>
                <w:bCs/>
                <w:sz w:val="21"/>
                <w:szCs w:val="21"/>
              </w:rPr>
              <w:t>Ⅲ类项目</w:t>
            </w:r>
          </w:p>
        </w:tc>
      </w:tr>
      <w:tr w14:paraId="5E09CC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221" w:type="dxa"/>
          </w:tcPr>
          <w:p w14:paraId="64DB5142">
            <w:pPr>
              <w:spacing w:line="300" w:lineRule="exact"/>
              <w:ind w:firstLine="0" w:firstLineChars="0"/>
              <w:jc w:val="center"/>
              <w:rPr>
                <w:sz w:val="21"/>
                <w:szCs w:val="21"/>
              </w:rPr>
            </w:pPr>
            <w:r>
              <w:rPr>
                <w:sz w:val="21"/>
                <w:szCs w:val="21"/>
              </w:rPr>
              <w:t>敏感</w:t>
            </w:r>
          </w:p>
        </w:tc>
        <w:tc>
          <w:tcPr>
            <w:tcW w:w="1822" w:type="dxa"/>
          </w:tcPr>
          <w:p w14:paraId="4CC94989">
            <w:pPr>
              <w:spacing w:line="300" w:lineRule="exact"/>
              <w:ind w:firstLine="0" w:firstLineChars="0"/>
              <w:jc w:val="center"/>
              <w:rPr>
                <w:sz w:val="21"/>
                <w:szCs w:val="21"/>
              </w:rPr>
            </w:pPr>
            <w:r>
              <w:rPr>
                <w:sz w:val="21"/>
                <w:szCs w:val="21"/>
              </w:rPr>
              <w:t>一</w:t>
            </w:r>
          </w:p>
        </w:tc>
        <w:tc>
          <w:tcPr>
            <w:tcW w:w="1691" w:type="dxa"/>
          </w:tcPr>
          <w:p w14:paraId="6116F093">
            <w:pPr>
              <w:spacing w:line="300" w:lineRule="exact"/>
              <w:ind w:firstLine="0" w:firstLineChars="0"/>
              <w:jc w:val="center"/>
              <w:rPr>
                <w:sz w:val="21"/>
                <w:szCs w:val="21"/>
              </w:rPr>
            </w:pPr>
            <w:r>
              <w:rPr>
                <w:sz w:val="21"/>
                <w:szCs w:val="21"/>
              </w:rPr>
              <w:t>一</w:t>
            </w:r>
          </w:p>
        </w:tc>
        <w:tc>
          <w:tcPr>
            <w:tcW w:w="1788" w:type="dxa"/>
          </w:tcPr>
          <w:p w14:paraId="48180F25">
            <w:pPr>
              <w:spacing w:line="300" w:lineRule="exact"/>
              <w:ind w:firstLine="0" w:firstLineChars="0"/>
              <w:jc w:val="center"/>
              <w:rPr>
                <w:sz w:val="21"/>
                <w:szCs w:val="21"/>
              </w:rPr>
            </w:pPr>
            <w:r>
              <w:rPr>
                <w:sz w:val="21"/>
                <w:szCs w:val="21"/>
              </w:rPr>
              <w:t>二</w:t>
            </w:r>
          </w:p>
        </w:tc>
      </w:tr>
      <w:tr w14:paraId="2B2012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221" w:type="dxa"/>
          </w:tcPr>
          <w:p w14:paraId="3903479E">
            <w:pPr>
              <w:spacing w:line="300" w:lineRule="exact"/>
              <w:ind w:firstLine="0" w:firstLineChars="0"/>
              <w:jc w:val="center"/>
              <w:rPr>
                <w:sz w:val="21"/>
                <w:szCs w:val="21"/>
              </w:rPr>
            </w:pPr>
            <w:r>
              <w:rPr>
                <w:sz w:val="21"/>
                <w:szCs w:val="21"/>
              </w:rPr>
              <w:t>较敏感</w:t>
            </w:r>
          </w:p>
        </w:tc>
        <w:tc>
          <w:tcPr>
            <w:tcW w:w="1822" w:type="dxa"/>
          </w:tcPr>
          <w:p w14:paraId="4DDF3C22">
            <w:pPr>
              <w:spacing w:line="300" w:lineRule="exact"/>
              <w:ind w:firstLine="0" w:firstLineChars="0"/>
              <w:jc w:val="center"/>
              <w:rPr>
                <w:sz w:val="21"/>
                <w:szCs w:val="21"/>
              </w:rPr>
            </w:pPr>
            <w:r>
              <w:rPr>
                <w:sz w:val="21"/>
                <w:szCs w:val="21"/>
              </w:rPr>
              <w:t>一</w:t>
            </w:r>
          </w:p>
        </w:tc>
        <w:tc>
          <w:tcPr>
            <w:tcW w:w="1691" w:type="dxa"/>
          </w:tcPr>
          <w:p w14:paraId="0812C5FD">
            <w:pPr>
              <w:spacing w:line="300" w:lineRule="exact"/>
              <w:ind w:firstLine="0" w:firstLineChars="0"/>
              <w:jc w:val="center"/>
              <w:rPr>
                <w:sz w:val="21"/>
                <w:szCs w:val="21"/>
              </w:rPr>
            </w:pPr>
            <w:r>
              <w:rPr>
                <w:sz w:val="21"/>
                <w:szCs w:val="21"/>
              </w:rPr>
              <w:t>二</w:t>
            </w:r>
          </w:p>
        </w:tc>
        <w:tc>
          <w:tcPr>
            <w:tcW w:w="1788" w:type="dxa"/>
          </w:tcPr>
          <w:p w14:paraId="53422206">
            <w:pPr>
              <w:spacing w:line="300" w:lineRule="exact"/>
              <w:ind w:firstLine="0" w:firstLineChars="0"/>
              <w:jc w:val="center"/>
              <w:rPr>
                <w:sz w:val="21"/>
                <w:szCs w:val="21"/>
              </w:rPr>
            </w:pPr>
            <w:r>
              <w:rPr>
                <w:sz w:val="21"/>
                <w:szCs w:val="21"/>
              </w:rPr>
              <w:t>三</w:t>
            </w:r>
          </w:p>
        </w:tc>
      </w:tr>
      <w:tr w14:paraId="3C0926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221" w:type="dxa"/>
          </w:tcPr>
          <w:p w14:paraId="0884CFA6">
            <w:pPr>
              <w:spacing w:line="300" w:lineRule="exact"/>
              <w:ind w:firstLine="0" w:firstLineChars="0"/>
              <w:jc w:val="center"/>
              <w:rPr>
                <w:sz w:val="21"/>
                <w:szCs w:val="21"/>
              </w:rPr>
            </w:pPr>
            <w:r>
              <w:rPr>
                <w:sz w:val="21"/>
                <w:szCs w:val="21"/>
              </w:rPr>
              <w:t>不敏感</w:t>
            </w:r>
          </w:p>
        </w:tc>
        <w:tc>
          <w:tcPr>
            <w:tcW w:w="1822" w:type="dxa"/>
          </w:tcPr>
          <w:p w14:paraId="6A1ECA13">
            <w:pPr>
              <w:spacing w:line="300" w:lineRule="exact"/>
              <w:ind w:firstLine="0" w:firstLineChars="0"/>
              <w:jc w:val="center"/>
              <w:rPr>
                <w:sz w:val="21"/>
                <w:szCs w:val="21"/>
              </w:rPr>
            </w:pPr>
            <w:r>
              <w:rPr>
                <w:sz w:val="21"/>
                <w:szCs w:val="21"/>
              </w:rPr>
              <w:t>二</w:t>
            </w:r>
          </w:p>
        </w:tc>
        <w:tc>
          <w:tcPr>
            <w:tcW w:w="1691" w:type="dxa"/>
            <w:shd w:val="clear" w:color="auto" w:fill="BFBFBF"/>
          </w:tcPr>
          <w:p w14:paraId="3A3B32A3">
            <w:pPr>
              <w:spacing w:line="300" w:lineRule="exact"/>
              <w:ind w:firstLine="0" w:firstLineChars="0"/>
              <w:jc w:val="center"/>
              <w:rPr>
                <w:sz w:val="21"/>
                <w:szCs w:val="21"/>
              </w:rPr>
            </w:pPr>
            <w:r>
              <w:rPr>
                <w:sz w:val="21"/>
                <w:szCs w:val="21"/>
              </w:rPr>
              <w:t>三</w:t>
            </w:r>
          </w:p>
        </w:tc>
        <w:tc>
          <w:tcPr>
            <w:tcW w:w="1788" w:type="dxa"/>
          </w:tcPr>
          <w:p w14:paraId="0C127B19">
            <w:pPr>
              <w:spacing w:line="300" w:lineRule="exact"/>
              <w:ind w:firstLine="0" w:firstLineChars="0"/>
              <w:jc w:val="center"/>
              <w:rPr>
                <w:sz w:val="21"/>
                <w:szCs w:val="21"/>
              </w:rPr>
            </w:pPr>
            <w:r>
              <w:rPr>
                <w:sz w:val="21"/>
                <w:szCs w:val="21"/>
              </w:rPr>
              <w:t>三</w:t>
            </w:r>
          </w:p>
        </w:tc>
      </w:tr>
    </w:tbl>
    <w:p w14:paraId="46141437">
      <w:pPr>
        <w:pStyle w:val="6"/>
      </w:pPr>
      <w:bookmarkStart w:id="96" w:name="OLE_LINK12"/>
      <w:r>
        <w:rPr>
          <w:rFonts w:hint="eastAsia"/>
        </w:rPr>
        <w:t>土壤</w:t>
      </w:r>
    </w:p>
    <w:p w14:paraId="607FEC6D">
      <w:pPr>
        <w:ind w:firstLine="462"/>
        <w:rPr>
          <w:u w:val="single"/>
        </w:rPr>
      </w:pPr>
      <w:r>
        <w:rPr>
          <w:rFonts w:hint="eastAsia" w:cs="宋体"/>
          <w:u w:val="single"/>
          <w:lang w:bidi="ar"/>
        </w:rPr>
        <w:t>根据</w:t>
      </w:r>
      <w:bookmarkStart w:id="97" w:name="_Hlk206578626"/>
      <w:r>
        <w:rPr>
          <w:rFonts w:hint="eastAsia" w:cs="宋体"/>
          <w:u w:val="single"/>
          <w:lang w:bidi="ar"/>
        </w:rPr>
        <w:t>《环境影响评价技术导则 土壤环境》（</w:t>
      </w:r>
      <w:r>
        <w:rPr>
          <w:u w:val="single"/>
          <w:lang w:bidi="ar"/>
        </w:rPr>
        <w:t>HJ964-2018</w:t>
      </w:r>
      <w:r>
        <w:rPr>
          <w:rFonts w:hint="eastAsia" w:cs="宋体"/>
          <w:u w:val="single"/>
          <w:lang w:bidi="ar"/>
        </w:rPr>
        <w:t>）</w:t>
      </w:r>
      <w:bookmarkEnd w:id="97"/>
      <w:r>
        <w:rPr>
          <w:rFonts w:hint="eastAsia" w:cs="宋体"/>
          <w:u w:val="single"/>
          <w:lang w:bidi="ar"/>
        </w:rPr>
        <w:t>，</w:t>
      </w:r>
      <w:bookmarkStart w:id="98" w:name="OLE_LINK261"/>
      <w:r>
        <w:rPr>
          <w:rFonts w:hint="eastAsia" w:cs="宋体"/>
          <w:u w:val="single"/>
          <w:lang w:bidi="ar"/>
        </w:rPr>
        <w:t>项目建设危险品集装箱堆场，不属于</w:t>
      </w:r>
      <w:bookmarkStart w:id="99" w:name="_Hlk206578642"/>
      <w:r>
        <w:rPr>
          <w:rFonts w:hint="eastAsia" w:cs="宋体"/>
          <w:u w:val="single"/>
          <w:lang w:bidi="ar"/>
        </w:rPr>
        <w:t>涉及危险品、化学品、石油、成品油储罐区，</w:t>
      </w:r>
      <w:bookmarkEnd w:id="99"/>
      <w:r>
        <w:rPr>
          <w:rFonts w:hint="eastAsia" w:cs="宋体"/>
          <w:u w:val="single"/>
          <w:lang w:bidi="ar"/>
        </w:rPr>
        <w:t>为IV类项目，原则上可不开展土壤环境影响评价。项目陆域范围为围填海形成（不属于本次建设内容），考虑项目设置的危险品集装箱堆场如出现风险事故情况且堆场防渗措施失效情况下，可能导致污染物下渗进入土壤环境，本次评价对风险事故下可能发生的土壤环境影响开展简单分析。</w:t>
      </w:r>
      <w:bookmarkEnd w:id="96"/>
      <w:bookmarkEnd w:id="98"/>
    </w:p>
    <w:p w14:paraId="269E0750">
      <w:pPr>
        <w:pStyle w:val="6"/>
      </w:pPr>
      <w:r>
        <w:rPr>
          <w:rFonts w:hint="eastAsia"/>
        </w:rPr>
        <w:t>生态环境</w:t>
      </w:r>
    </w:p>
    <w:p w14:paraId="178B4941">
      <w:pPr>
        <w:ind w:firstLine="462"/>
      </w:pPr>
      <w:r>
        <w:rPr>
          <w:rFonts w:hint="eastAsia"/>
        </w:rPr>
        <w:t>根据《环境影响评价技术导则生态影响》（HJ19-2022），建设项目同时涉及陆生、水生生态影响时，可针对陆生生态、水生生态分别评定评价等级。</w:t>
      </w:r>
      <w:bookmarkStart w:id="100" w:name="OLE_LINK7"/>
      <w:r>
        <w:rPr>
          <w:rFonts w:hint="eastAsia"/>
        </w:rPr>
        <w:t>水生生态</w:t>
      </w:r>
      <w:bookmarkEnd w:id="100"/>
      <w:r>
        <w:rPr>
          <w:rFonts w:hint="eastAsia"/>
        </w:rPr>
        <w:t>评价等级按《环境影响评价技术导则 海洋生态环境》（HJ 1409-2025）确定为2级。项目生态环境评价等级判定见表1.2-4，陆生生态评价等级为三级评价。</w:t>
      </w:r>
    </w:p>
    <w:p w14:paraId="5585F723">
      <w:pPr>
        <w:pStyle w:val="7"/>
      </w:pPr>
      <w:r>
        <w:rPr>
          <w:rFonts w:hint="eastAsia"/>
        </w:rPr>
        <w:t>生态评价等级判定表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129"/>
        <w:gridCol w:w="3689"/>
        <w:gridCol w:w="524"/>
      </w:tblGrid>
      <w:tr w14:paraId="2BE13F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jc w:val="center"/>
        </w:trPr>
        <w:tc>
          <w:tcPr>
            <w:tcW w:w="2475" w:type="pct"/>
            <w:tcMar>
              <w:left w:w="0" w:type="dxa"/>
              <w:right w:w="0" w:type="dxa"/>
            </w:tcMar>
            <w:vAlign w:val="center"/>
          </w:tcPr>
          <w:p w14:paraId="0F66E038">
            <w:pPr>
              <w:pStyle w:val="34"/>
            </w:pPr>
            <w:r>
              <w:rPr>
                <w:rFonts w:hint="eastAsia"/>
              </w:rPr>
              <w:t>划分依据</w:t>
            </w:r>
          </w:p>
        </w:tc>
        <w:tc>
          <w:tcPr>
            <w:tcW w:w="2211" w:type="pct"/>
            <w:tcMar>
              <w:left w:w="0" w:type="dxa"/>
              <w:right w:w="0" w:type="dxa"/>
            </w:tcMar>
            <w:vAlign w:val="center"/>
          </w:tcPr>
          <w:p w14:paraId="78B48A66">
            <w:pPr>
              <w:pStyle w:val="34"/>
            </w:pPr>
            <w:r>
              <w:rPr>
                <w:rFonts w:hint="eastAsia"/>
              </w:rPr>
              <w:t>本项目情况</w:t>
            </w:r>
          </w:p>
        </w:tc>
        <w:tc>
          <w:tcPr>
            <w:tcW w:w="314" w:type="pct"/>
            <w:tcMar>
              <w:left w:w="0" w:type="dxa"/>
              <w:right w:w="0" w:type="dxa"/>
            </w:tcMar>
            <w:vAlign w:val="center"/>
          </w:tcPr>
          <w:p w14:paraId="412E64E3">
            <w:pPr>
              <w:pStyle w:val="34"/>
            </w:pPr>
            <w:r>
              <w:rPr>
                <w:rFonts w:hint="eastAsia"/>
              </w:rPr>
              <w:t>评价等级</w:t>
            </w:r>
          </w:p>
        </w:tc>
      </w:tr>
      <w:tr w14:paraId="784610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75" w:type="pct"/>
            <w:tcMar>
              <w:left w:w="0" w:type="dxa"/>
              <w:right w:w="0" w:type="dxa"/>
            </w:tcMar>
            <w:vAlign w:val="center"/>
          </w:tcPr>
          <w:p w14:paraId="7B5914BA">
            <w:pPr>
              <w:pStyle w:val="34"/>
            </w:pPr>
            <w:r>
              <w:t>a</w:t>
            </w:r>
            <w:r>
              <w:rPr>
                <w:rFonts w:hint="eastAsia"/>
              </w:rPr>
              <w:t>）涉及国家公园、自然保护区、世界自然遗产、重要生境时，评价等级为一级。</w:t>
            </w:r>
          </w:p>
        </w:tc>
        <w:tc>
          <w:tcPr>
            <w:tcW w:w="2211" w:type="pct"/>
            <w:tcMar>
              <w:left w:w="0" w:type="dxa"/>
              <w:right w:w="0" w:type="dxa"/>
            </w:tcMar>
            <w:vAlign w:val="center"/>
          </w:tcPr>
          <w:p w14:paraId="237D1670">
            <w:pPr>
              <w:pStyle w:val="34"/>
            </w:pPr>
            <w:r>
              <w:rPr>
                <w:rFonts w:hint="eastAsia"/>
              </w:rPr>
              <w:t>项目生态评价范围内不涉及国家公园、自然保护区、世界自然遗产、重要生境。</w:t>
            </w:r>
          </w:p>
        </w:tc>
        <w:tc>
          <w:tcPr>
            <w:tcW w:w="314" w:type="pct"/>
            <w:tcMar>
              <w:left w:w="0" w:type="dxa"/>
              <w:right w:w="0" w:type="dxa"/>
            </w:tcMar>
            <w:vAlign w:val="center"/>
          </w:tcPr>
          <w:p w14:paraId="10D28BB3">
            <w:pPr>
              <w:pStyle w:val="34"/>
            </w:pPr>
            <w:r>
              <w:rPr>
                <w:rFonts w:hint="eastAsia"/>
              </w:rPr>
              <w:t>/</w:t>
            </w:r>
          </w:p>
        </w:tc>
      </w:tr>
      <w:tr w14:paraId="503977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75" w:type="pct"/>
            <w:tcMar>
              <w:left w:w="0" w:type="dxa"/>
              <w:right w:w="0" w:type="dxa"/>
            </w:tcMar>
            <w:vAlign w:val="center"/>
          </w:tcPr>
          <w:p w14:paraId="32FA4444">
            <w:pPr>
              <w:pStyle w:val="34"/>
            </w:pPr>
            <w:r>
              <w:t>b</w:t>
            </w:r>
            <w:r>
              <w:rPr>
                <w:rFonts w:hint="eastAsia"/>
              </w:rPr>
              <w:t>）涉及自然公园时，评价等级为二级</w:t>
            </w:r>
          </w:p>
        </w:tc>
        <w:tc>
          <w:tcPr>
            <w:tcW w:w="2211" w:type="pct"/>
            <w:tcMar>
              <w:left w:w="0" w:type="dxa"/>
              <w:right w:w="0" w:type="dxa"/>
            </w:tcMar>
            <w:vAlign w:val="center"/>
          </w:tcPr>
          <w:p w14:paraId="4619BDF1">
            <w:pPr>
              <w:pStyle w:val="34"/>
            </w:pPr>
            <w:r>
              <w:rPr>
                <w:rFonts w:hint="eastAsia"/>
              </w:rPr>
              <w:t>项目生态评价范围内不涉及自然公园。</w:t>
            </w:r>
          </w:p>
        </w:tc>
        <w:tc>
          <w:tcPr>
            <w:tcW w:w="314" w:type="pct"/>
            <w:tcMar>
              <w:left w:w="0" w:type="dxa"/>
              <w:right w:w="0" w:type="dxa"/>
            </w:tcMar>
            <w:vAlign w:val="center"/>
          </w:tcPr>
          <w:p w14:paraId="6498AD33">
            <w:pPr>
              <w:pStyle w:val="34"/>
            </w:pPr>
            <w:r>
              <w:rPr>
                <w:rFonts w:hint="eastAsia"/>
              </w:rPr>
              <w:t>/</w:t>
            </w:r>
          </w:p>
        </w:tc>
      </w:tr>
      <w:tr w14:paraId="58B892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75" w:type="pct"/>
            <w:tcMar>
              <w:left w:w="0" w:type="dxa"/>
              <w:right w:w="0" w:type="dxa"/>
            </w:tcMar>
            <w:vAlign w:val="center"/>
          </w:tcPr>
          <w:p w14:paraId="47B90AB1">
            <w:pPr>
              <w:pStyle w:val="34"/>
            </w:pPr>
            <w:r>
              <w:t>c</w:t>
            </w:r>
            <w:r>
              <w:rPr>
                <w:rFonts w:hint="eastAsia"/>
              </w:rPr>
              <w:t>）涉及生态保护红线时，评价等级不低于二级。</w:t>
            </w:r>
          </w:p>
        </w:tc>
        <w:tc>
          <w:tcPr>
            <w:tcW w:w="2211" w:type="pct"/>
            <w:tcMar>
              <w:left w:w="0" w:type="dxa"/>
              <w:right w:w="0" w:type="dxa"/>
            </w:tcMar>
            <w:vAlign w:val="center"/>
          </w:tcPr>
          <w:p w14:paraId="20DC103B">
            <w:pPr>
              <w:pStyle w:val="34"/>
            </w:pPr>
            <w:r>
              <w:rPr>
                <w:rFonts w:hint="eastAsia"/>
              </w:rPr>
              <w:t>项目生态评价范围内不涉及生态保护红线。</w:t>
            </w:r>
          </w:p>
        </w:tc>
        <w:tc>
          <w:tcPr>
            <w:tcW w:w="314" w:type="pct"/>
            <w:tcMar>
              <w:left w:w="0" w:type="dxa"/>
              <w:right w:w="0" w:type="dxa"/>
            </w:tcMar>
            <w:vAlign w:val="center"/>
          </w:tcPr>
          <w:p w14:paraId="35675870">
            <w:pPr>
              <w:pStyle w:val="34"/>
            </w:pPr>
            <w:r>
              <w:rPr>
                <w:rFonts w:hint="eastAsia"/>
              </w:rPr>
              <w:t>/</w:t>
            </w:r>
          </w:p>
        </w:tc>
      </w:tr>
      <w:tr w14:paraId="52FD9A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75" w:type="pct"/>
            <w:tcMar>
              <w:left w:w="0" w:type="dxa"/>
              <w:right w:w="0" w:type="dxa"/>
            </w:tcMar>
            <w:vAlign w:val="center"/>
          </w:tcPr>
          <w:p w14:paraId="3BDC4C6D">
            <w:pPr>
              <w:pStyle w:val="34"/>
            </w:pPr>
            <w:r>
              <w:t>d</w:t>
            </w:r>
            <w:r>
              <w:rPr>
                <w:rFonts w:hint="eastAsia"/>
              </w:rPr>
              <w:t>）根据</w:t>
            </w:r>
            <w:r>
              <w:t xml:space="preserve"> HJ 2.3 </w:t>
            </w:r>
            <w:r>
              <w:rPr>
                <w:rFonts w:hint="eastAsia"/>
              </w:rPr>
              <w:t>判断属于水文要素影响型且地表水评价等级不低于二级的建设项目，生态影响评价等级不低于二级；</w:t>
            </w:r>
          </w:p>
        </w:tc>
        <w:tc>
          <w:tcPr>
            <w:tcW w:w="2211" w:type="pct"/>
            <w:tcMar>
              <w:left w:w="0" w:type="dxa"/>
              <w:right w:w="0" w:type="dxa"/>
            </w:tcMar>
            <w:vAlign w:val="center"/>
          </w:tcPr>
          <w:p w14:paraId="0D6CB377">
            <w:pPr>
              <w:pStyle w:val="34"/>
            </w:pPr>
            <w:r>
              <w:rPr>
                <w:rFonts w:hint="eastAsia"/>
              </w:rPr>
              <w:t>按《环境影响评价技术导则 海洋生态环境》（HJ 1409-2025）。</w:t>
            </w:r>
          </w:p>
        </w:tc>
        <w:tc>
          <w:tcPr>
            <w:tcW w:w="314" w:type="pct"/>
            <w:tcMar>
              <w:left w:w="0" w:type="dxa"/>
              <w:right w:w="0" w:type="dxa"/>
            </w:tcMar>
            <w:vAlign w:val="center"/>
          </w:tcPr>
          <w:p w14:paraId="1E2D82BF">
            <w:pPr>
              <w:pStyle w:val="34"/>
            </w:pPr>
            <w:r>
              <w:rPr>
                <w:rFonts w:hint="eastAsia"/>
              </w:rPr>
              <w:t>2级</w:t>
            </w:r>
          </w:p>
        </w:tc>
      </w:tr>
      <w:tr w14:paraId="77FDB4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75" w:type="pct"/>
            <w:tcMar>
              <w:left w:w="0" w:type="dxa"/>
              <w:right w:w="0" w:type="dxa"/>
            </w:tcMar>
            <w:vAlign w:val="center"/>
          </w:tcPr>
          <w:p w14:paraId="662873E6">
            <w:pPr>
              <w:pStyle w:val="34"/>
            </w:pPr>
            <w:r>
              <w:t>e</w:t>
            </w:r>
            <w:r>
              <w:rPr>
                <w:rFonts w:hint="eastAsia"/>
              </w:rPr>
              <w:t>）根据</w:t>
            </w:r>
            <w:r>
              <w:t xml:space="preserve"> HJ 610</w:t>
            </w:r>
            <w:r>
              <w:rPr>
                <w:rFonts w:hint="eastAsia"/>
              </w:rPr>
              <w:t>、</w:t>
            </w:r>
            <w:r>
              <w:t xml:space="preserve">HJ 964 </w:t>
            </w:r>
            <w:r>
              <w:rPr>
                <w:rFonts w:hint="eastAsia"/>
              </w:rPr>
              <w:t>判断地下水水位或土壤影响范围内分布有天然林、公益林、湿地等生态保护目标的建设项目，生态影响评价等级不低于二级</w:t>
            </w:r>
          </w:p>
        </w:tc>
        <w:tc>
          <w:tcPr>
            <w:tcW w:w="2211" w:type="pct"/>
            <w:tcMar>
              <w:left w:w="0" w:type="dxa"/>
              <w:right w:w="0" w:type="dxa"/>
            </w:tcMar>
            <w:vAlign w:val="center"/>
          </w:tcPr>
          <w:p w14:paraId="38F33F0F">
            <w:pPr>
              <w:pStyle w:val="34"/>
            </w:pPr>
            <w:r>
              <w:rPr>
                <w:rFonts w:hint="eastAsia"/>
              </w:rPr>
              <w:t>项目位于钦州港保税港区范围内，地下水、土壤影响范围内无天然林、公益林、湿地等生态保护目标分布。</w:t>
            </w:r>
          </w:p>
        </w:tc>
        <w:tc>
          <w:tcPr>
            <w:tcW w:w="314" w:type="pct"/>
            <w:tcMar>
              <w:left w:w="0" w:type="dxa"/>
              <w:right w:w="0" w:type="dxa"/>
            </w:tcMar>
            <w:vAlign w:val="center"/>
          </w:tcPr>
          <w:p w14:paraId="66C6E9A1">
            <w:pPr>
              <w:pStyle w:val="34"/>
            </w:pPr>
            <w:r>
              <w:t>/</w:t>
            </w:r>
          </w:p>
        </w:tc>
      </w:tr>
      <w:tr w14:paraId="7DAEC9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75" w:type="pct"/>
            <w:tcMar>
              <w:left w:w="0" w:type="dxa"/>
              <w:right w:w="0" w:type="dxa"/>
            </w:tcMar>
            <w:vAlign w:val="center"/>
          </w:tcPr>
          <w:p w14:paraId="5B0C4633">
            <w:pPr>
              <w:pStyle w:val="34"/>
            </w:pPr>
            <w:r>
              <w:t>f</w:t>
            </w:r>
            <w:r>
              <w:rPr>
                <w:rFonts w:hint="eastAsia"/>
              </w:rPr>
              <w:t>）当工程占地规模大于</w:t>
            </w:r>
            <w:r>
              <w:t>20km</w:t>
            </w:r>
            <w:r>
              <w:rPr>
                <w:vertAlign w:val="superscript"/>
              </w:rPr>
              <w:t>2</w:t>
            </w:r>
            <w:r>
              <w:rPr>
                <w:rFonts w:hint="eastAsia"/>
              </w:rPr>
              <w:t>时（包括永久和临时占用陆域和水域），评价等级不低于二级；</w:t>
            </w:r>
          </w:p>
        </w:tc>
        <w:tc>
          <w:tcPr>
            <w:tcW w:w="2211" w:type="pct"/>
            <w:tcMar>
              <w:left w:w="0" w:type="dxa"/>
              <w:right w:w="0" w:type="dxa"/>
            </w:tcMar>
            <w:vAlign w:val="center"/>
          </w:tcPr>
          <w:p w14:paraId="00EDF690">
            <w:pPr>
              <w:pStyle w:val="34"/>
            </w:pPr>
            <w:r>
              <w:rPr>
                <w:rFonts w:hint="eastAsia"/>
              </w:rPr>
              <w:t>本项目无新增占地，永久和临时占用水域面积为0.9264</w:t>
            </w:r>
            <w:r>
              <w:t xml:space="preserve"> km</w:t>
            </w:r>
            <w:r>
              <w:rPr>
                <w:vertAlign w:val="superscript"/>
              </w:rPr>
              <w:t>2</w:t>
            </w:r>
            <w:r>
              <w:t>，不大于20km</w:t>
            </w:r>
            <w:r>
              <w:rPr>
                <w:vertAlign w:val="superscript"/>
              </w:rPr>
              <w:t>2</w:t>
            </w:r>
            <w:r>
              <w:rPr>
                <w:rFonts w:hint="eastAsia"/>
              </w:rPr>
              <w:t>。</w:t>
            </w:r>
          </w:p>
        </w:tc>
        <w:tc>
          <w:tcPr>
            <w:tcW w:w="314" w:type="pct"/>
            <w:tcMar>
              <w:left w:w="0" w:type="dxa"/>
              <w:right w:w="0" w:type="dxa"/>
            </w:tcMar>
            <w:vAlign w:val="center"/>
          </w:tcPr>
          <w:p w14:paraId="4418923B">
            <w:pPr>
              <w:pStyle w:val="34"/>
            </w:pPr>
            <w:r>
              <w:rPr>
                <w:rFonts w:hint="eastAsia"/>
              </w:rPr>
              <w:t>/</w:t>
            </w:r>
          </w:p>
        </w:tc>
      </w:tr>
      <w:tr w14:paraId="11D9EB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75" w:type="pct"/>
            <w:tcMar>
              <w:left w:w="0" w:type="dxa"/>
              <w:right w:w="0" w:type="dxa"/>
            </w:tcMar>
            <w:vAlign w:val="center"/>
          </w:tcPr>
          <w:p w14:paraId="3580F07A">
            <w:pPr>
              <w:pStyle w:val="34"/>
            </w:pPr>
            <w:r>
              <w:t>g</w:t>
            </w:r>
            <w:r>
              <w:rPr>
                <w:rFonts w:hint="eastAsia"/>
              </w:rPr>
              <w:t>）除本条</w:t>
            </w:r>
            <w:r>
              <w:t>a</w:t>
            </w:r>
            <w:r>
              <w:rPr>
                <w:rFonts w:hint="eastAsia"/>
              </w:rPr>
              <w:t>）、</w:t>
            </w:r>
            <w:r>
              <w:t>b</w:t>
            </w:r>
            <w:r>
              <w:rPr>
                <w:rFonts w:hint="eastAsia"/>
              </w:rPr>
              <w:t>）、</w:t>
            </w:r>
            <w:r>
              <w:t>c</w:t>
            </w:r>
            <w:r>
              <w:rPr>
                <w:rFonts w:hint="eastAsia"/>
              </w:rPr>
              <w:t>）、</w:t>
            </w:r>
            <w:r>
              <w:t>d</w:t>
            </w:r>
            <w:r>
              <w:rPr>
                <w:rFonts w:hint="eastAsia"/>
              </w:rPr>
              <w:t>）、</w:t>
            </w:r>
            <w:r>
              <w:t>e</w:t>
            </w:r>
            <w:r>
              <w:rPr>
                <w:rFonts w:hint="eastAsia"/>
              </w:rPr>
              <w:t>）、</w:t>
            </w:r>
            <w:r>
              <w:t>f</w:t>
            </w:r>
            <w:r>
              <w:rPr>
                <w:rFonts w:hint="eastAsia"/>
              </w:rPr>
              <w:t>）以外的情况，评价等级为三级；</w:t>
            </w:r>
          </w:p>
        </w:tc>
        <w:tc>
          <w:tcPr>
            <w:tcW w:w="2211" w:type="pct"/>
            <w:tcMar>
              <w:left w:w="0" w:type="dxa"/>
              <w:right w:w="0" w:type="dxa"/>
            </w:tcMar>
            <w:vAlign w:val="center"/>
          </w:tcPr>
          <w:p w14:paraId="2E964FEA">
            <w:pPr>
              <w:pStyle w:val="34"/>
            </w:pPr>
            <w:r>
              <w:rPr>
                <w:rFonts w:hint="eastAsia"/>
              </w:rPr>
              <w:t>本项目不涉及</w:t>
            </w:r>
            <w:r>
              <w:t>a</w:t>
            </w:r>
            <w:r>
              <w:rPr>
                <w:rFonts w:hint="eastAsia"/>
              </w:rPr>
              <w:t>）、</w:t>
            </w:r>
            <w:r>
              <w:t>b</w:t>
            </w:r>
            <w:r>
              <w:rPr>
                <w:rFonts w:hint="eastAsia"/>
              </w:rPr>
              <w:t>）、</w:t>
            </w:r>
            <w:r>
              <w:t>c</w:t>
            </w:r>
            <w:r>
              <w:rPr>
                <w:rFonts w:hint="eastAsia"/>
              </w:rPr>
              <w:t>）、</w:t>
            </w:r>
            <w:r>
              <w:t>e</w:t>
            </w:r>
            <w:r>
              <w:rPr>
                <w:rFonts w:hint="eastAsia"/>
              </w:rPr>
              <w:t>）、</w:t>
            </w:r>
            <w:r>
              <w:t>f</w:t>
            </w:r>
            <w:r>
              <w:rPr>
                <w:rFonts w:hint="eastAsia"/>
              </w:rPr>
              <w:t>）情况。</w:t>
            </w:r>
          </w:p>
        </w:tc>
        <w:tc>
          <w:tcPr>
            <w:tcW w:w="314" w:type="pct"/>
            <w:tcMar>
              <w:left w:w="0" w:type="dxa"/>
              <w:right w:w="0" w:type="dxa"/>
            </w:tcMar>
            <w:vAlign w:val="center"/>
          </w:tcPr>
          <w:p w14:paraId="57848472">
            <w:pPr>
              <w:pStyle w:val="34"/>
            </w:pPr>
            <w:r>
              <w:rPr>
                <w:rFonts w:hint="eastAsia"/>
              </w:rPr>
              <w:t>陆生生态三级</w:t>
            </w:r>
          </w:p>
        </w:tc>
      </w:tr>
    </w:tbl>
    <w:p w14:paraId="70267851">
      <w:pPr>
        <w:pStyle w:val="6"/>
      </w:pPr>
      <w:r>
        <w:t>大气</w:t>
      </w:r>
    </w:p>
    <w:p w14:paraId="0EE2A41B">
      <w:pPr>
        <w:ind w:firstLine="462"/>
      </w:pPr>
      <w:r>
        <w:t>根据《环境影响评价技术导则</w:t>
      </w:r>
      <w:r>
        <w:rPr>
          <w:rFonts w:hint="eastAsia"/>
        </w:rPr>
        <w:t xml:space="preserve"> </w:t>
      </w:r>
      <w:r>
        <w:t>大气环境》（HJ2.2-2018）的规定，选择项目污染源正常排放的主要污染物及排放系数，采用附录A推荐的AERSCREEN模式计算项目污染源的最大环境影响，然后按评价工作分级判据进行分级。评价等级按照下表</w:t>
      </w:r>
      <w:r>
        <w:rPr>
          <w:rFonts w:hint="eastAsia"/>
        </w:rPr>
        <w:t>1.2-5</w:t>
      </w:r>
      <w:r>
        <w:t>的分级判据进行划分。</w:t>
      </w:r>
    </w:p>
    <w:p w14:paraId="27BE49D8">
      <w:pPr>
        <w:pStyle w:val="7"/>
      </w:pPr>
      <w:r>
        <w:t>评价等级判别表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14:paraId="3F916A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vAlign w:val="center"/>
          </w:tcPr>
          <w:p w14:paraId="4A23B97C">
            <w:pPr>
              <w:pStyle w:val="34"/>
            </w:pPr>
            <w:r>
              <w:t>评价工作等级</w:t>
            </w:r>
          </w:p>
        </w:tc>
        <w:tc>
          <w:tcPr>
            <w:tcW w:w="2500" w:type="pct"/>
            <w:vAlign w:val="center"/>
          </w:tcPr>
          <w:p w14:paraId="578FB7F7">
            <w:pPr>
              <w:pStyle w:val="34"/>
            </w:pPr>
            <w:r>
              <w:t>评价工作分级判据</w:t>
            </w:r>
          </w:p>
        </w:tc>
      </w:tr>
      <w:tr w14:paraId="0DCAE6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vAlign w:val="center"/>
          </w:tcPr>
          <w:p w14:paraId="48AEABCD">
            <w:pPr>
              <w:pStyle w:val="34"/>
            </w:pPr>
            <w:r>
              <w:t>一级评价</w:t>
            </w:r>
          </w:p>
        </w:tc>
        <w:tc>
          <w:tcPr>
            <w:tcW w:w="2500" w:type="pct"/>
            <w:vAlign w:val="center"/>
          </w:tcPr>
          <w:p w14:paraId="7001BD5F">
            <w:pPr>
              <w:pStyle w:val="34"/>
            </w:pPr>
            <w:r>
              <w:t>P</w:t>
            </w:r>
            <w:r>
              <w:rPr>
                <w:vertAlign w:val="subscript"/>
              </w:rPr>
              <w:t>max</w:t>
            </w:r>
            <w:r>
              <w:rPr>
                <w:rFonts w:hint="eastAsia"/>
              </w:rPr>
              <w:t>≧</w:t>
            </w:r>
            <w:r>
              <w:t>10%</w:t>
            </w:r>
          </w:p>
        </w:tc>
      </w:tr>
      <w:tr w14:paraId="2B7B1D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vAlign w:val="center"/>
          </w:tcPr>
          <w:p w14:paraId="3C096D29">
            <w:pPr>
              <w:pStyle w:val="34"/>
            </w:pPr>
            <w:r>
              <w:t>二级评价</w:t>
            </w:r>
          </w:p>
        </w:tc>
        <w:tc>
          <w:tcPr>
            <w:tcW w:w="2500" w:type="pct"/>
            <w:vAlign w:val="center"/>
          </w:tcPr>
          <w:p w14:paraId="50AD82AE">
            <w:pPr>
              <w:pStyle w:val="34"/>
            </w:pPr>
            <w:r>
              <w:t>1%</w:t>
            </w:r>
            <w:r>
              <w:rPr>
                <w:rFonts w:hint="eastAsia"/>
              </w:rPr>
              <w:t>≦</w:t>
            </w:r>
            <w:r>
              <w:t>P</w:t>
            </w:r>
            <w:r>
              <w:rPr>
                <w:vertAlign w:val="subscript"/>
              </w:rPr>
              <w:t>max</w:t>
            </w:r>
            <w:r>
              <w:t>&lt;10%</w:t>
            </w:r>
          </w:p>
        </w:tc>
      </w:tr>
      <w:tr w14:paraId="050D6C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vAlign w:val="center"/>
          </w:tcPr>
          <w:p w14:paraId="2D204035">
            <w:pPr>
              <w:pStyle w:val="34"/>
            </w:pPr>
            <w:r>
              <w:t>三级评价</w:t>
            </w:r>
          </w:p>
        </w:tc>
        <w:tc>
          <w:tcPr>
            <w:tcW w:w="2500" w:type="pct"/>
            <w:vAlign w:val="center"/>
          </w:tcPr>
          <w:p w14:paraId="494C094B">
            <w:pPr>
              <w:pStyle w:val="34"/>
            </w:pPr>
            <w:r>
              <w:t>P</w:t>
            </w:r>
            <w:r>
              <w:rPr>
                <w:vertAlign w:val="subscript"/>
              </w:rPr>
              <w:t>max</w:t>
            </w:r>
            <w:r>
              <w:t>&lt;1%</w:t>
            </w:r>
          </w:p>
        </w:tc>
      </w:tr>
    </w:tbl>
    <w:p w14:paraId="1FCBD470">
      <w:pPr>
        <w:wordWrap w:val="0"/>
        <w:ind w:firstLine="462"/>
      </w:pPr>
      <w:bookmarkStart w:id="101" w:name="_Hlk171070520"/>
      <w:r>
        <w:rPr>
          <w:rFonts w:hint="eastAsia" w:cs="宋体"/>
          <w:lang w:bidi="ar"/>
        </w:rPr>
        <w:t>项目为自动化集装箱泊位，主要设备岸桥、轨道吊及</w:t>
      </w:r>
      <w:r>
        <w:rPr>
          <w:lang w:bidi="ar"/>
        </w:rPr>
        <w:t>IGV</w:t>
      </w:r>
      <w:r>
        <w:rPr>
          <w:rFonts w:hint="eastAsia" w:cs="宋体"/>
          <w:lang w:bidi="ar"/>
        </w:rPr>
        <w:t>小车和配套设备等均采用电能，其大气污染物可忽略不计；项目大气污染源主要为进出港运输车辆港内铺装道路扬尘及车辆燃油尾气等。</w:t>
      </w:r>
      <w:r>
        <w:rPr>
          <w:rFonts w:hint="eastAsia"/>
          <w:lang w:bidi="ar"/>
        </w:rPr>
        <w:t>项目场内</w:t>
      </w:r>
      <w:r>
        <w:rPr>
          <w:rFonts w:hint="eastAsia"/>
        </w:rPr>
        <w:t>港区集卡</w:t>
      </w:r>
      <w:r>
        <w:rPr>
          <w:rFonts w:hint="eastAsia"/>
          <w:lang w:bidi="ar"/>
        </w:rPr>
        <w:t>运行距离较短，车辆尾气产生的废气不大。</w:t>
      </w:r>
      <w:bookmarkEnd w:id="101"/>
      <w:r>
        <w:rPr>
          <w:rFonts w:hint="eastAsia"/>
        </w:rPr>
        <w:t>评价重点对运输道路在港区铺装道路扬尘中</w:t>
      </w:r>
      <w:r>
        <w:t>PM</w:t>
      </w:r>
      <w:r>
        <w:rPr>
          <w:vertAlign w:val="subscript"/>
        </w:rPr>
        <w:t>10</w:t>
      </w:r>
      <w:r>
        <w:t>、</w:t>
      </w:r>
      <w:r>
        <w:rPr>
          <w:rFonts w:hint="eastAsia"/>
        </w:rPr>
        <w:t>PM</w:t>
      </w:r>
      <w:r>
        <w:rPr>
          <w:rFonts w:hint="eastAsia"/>
          <w:vertAlign w:val="subscript"/>
        </w:rPr>
        <w:t>2.5</w:t>
      </w:r>
      <w:r>
        <w:rPr>
          <w:rFonts w:hint="eastAsia"/>
        </w:rPr>
        <w:t>、TSP进行评价等级估算预测；根据</w:t>
      </w:r>
      <w:r>
        <w:t>《环境影响评价技术导则</w:t>
      </w:r>
      <w:r>
        <w:rPr>
          <w:rFonts w:hint="eastAsia"/>
        </w:rPr>
        <w:t xml:space="preserve"> </w:t>
      </w:r>
      <w:r>
        <w:t>大气环境》（HJ2.2-2018）</w:t>
      </w:r>
      <w:r>
        <w:rPr>
          <w:rFonts w:hint="eastAsia"/>
        </w:rPr>
        <w:t>8.5.2.2及附录A1.4，当建设项目处于大型水体（海或湖）岸边3km范围内时，应首先采用附录A中的估算模型判定是否会发生熏烟现象，当在近岸内路上建设高烟囱时，需要考虑岸边熏烟。本项目位于海域岸边，但大气污染物排放均为无组织排放污染源，无高烟囱点源，因此不考虑岸边熏烟。</w:t>
      </w:r>
    </w:p>
    <w:p w14:paraId="69A19477">
      <w:pPr>
        <w:pStyle w:val="7"/>
      </w:pPr>
      <w:r>
        <w:t>主要大气污染源参数一览表（矩形面源）</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17"/>
        <w:gridCol w:w="667"/>
        <w:gridCol w:w="552"/>
        <w:gridCol w:w="583"/>
        <w:gridCol w:w="699"/>
        <w:gridCol w:w="878"/>
        <w:gridCol w:w="878"/>
        <w:gridCol w:w="879"/>
        <w:gridCol w:w="879"/>
        <w:gridCol w:w="679"/>
        <w:gridCol w:w="444"/>
        <w:gridCol w:w="973"/>
      </w:tblGrid>
      <w:tr w14:paraId="5E3D02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45" w:type="pct"/>
            <w:vMerge w:val="restart"/>
            <w:vAlign w:val="center"/>
          </w:tcPr>
          <w:p w14:paraId="76C999E1">
            <w:pPr>
              <w:pStyle w:val="34"/>
            </w:pPr>
            <w:r>
              <w:t>编号</w:t>
            </w:r>
          </w:p>
        </w:tc>
        <w:tc>
          <w:tcPr>
            <w:tcW w:w="376" w:type="pct"/>
            <w:vMerge w:val="restart"/>
            <w:vAlign w:val="center"/>
          </w:tcPr>
          <w:p w14:paraId="2F214839">
            <w:pPr>
              <w:pStyle w:val="34"/>
            </w:pPr>
            <w:r>
              <w:t>名称</w:t>
            </w:r>
          </w:p>
        </w:tc>
        <w:tc>
          <w:tcPr>
            <w:tcW w:w="683" w:type="pct"/>
            <w:gridSpan w:val="2"/>
            <w:vAlign w:val="center"/>
          </w:tcPr>
          <w:p w14:paraId="2ADC735F">
            <w:pPr>
              <w:pStyle w:val="34"/>
            </w:pPr>
            <w:r>
              <w:rPr>
                <w:rFonts w:hint="eastAsia"/>
              </w:rPr>
              <w:t>面源起点</w:t>
            </w:r>
          </w:p>
          <w:p w14:paraId="6642D3FC">
            <w:pPr>
              <w:pStyle w:val="34"/>
            </w:pPr>
            <w:r>
              <w:rPr>
                <w:rFonts w:hint="eastAsia"/>
              </w:rPr>
              <w:t>坐标</w:t>
            </w:r>
          </w:p>
        </w:tc>
        <w:tc>
          <w:tcPr>
            <w:tcW w:w="419" w:type="pct"/>
            <w:vMerge w:val="restart"/>
            <w:vAlign w:val="center"/>
          </w:tcPr>
          <w:p w14:paraId="2CCB4789">
            <w:pPr>
              <w:pStyle w:val="34"/>
            </w:pPr>
            <w:r>
              <w:t>面源</w:t>
            </w:r>
            <w:r>
              <w:rPr>
                <w:rFonts w:hint="eastAsia"/>
              </w:rPr>
              <w:t>海拔/m</w:t>
            </w:r>
          </w:p>
        </w:tc>
        <w:tc>
          <w:tcPr>
            <w:tcW w:w="524" w:type="pct"/>
            <w:vMerge w:val="restart"/>
            <w:vAlign w:val="center"/>
          </w:tcPr>
          <w:p w14:paraId="0D841635">
            <w:pPr>
              <w:pStyle w:val="34"/>
            </w:pPr>
            <w:r>
              <w:t>面源长度</w:t>
            </w:r>
            <w:r>
              <w:rPr>
                <w:rFonts w:hint="eastAsia"/>
              </w:rPr>
              <w:t>/m</w:t>
            </w:r>
          </w:p>
        </w:tc>
        <w:tc>
          <w:tcPr>
            <w:tcW w:w="524" w:type="pct"/>
            <w:vMerge w:val="restart"/>
            <w:vAlign w:val="center"/>
          </w:tcPr>
          <w:p w14:paraId="1F54B504">
            <w:pPr>
              <w:pStyle w:val="34"/>
            </w:pPr>
            <w:r>
              <w:rPr>
                <w:rFonts w:hint="eastAsia"/>
              </w:rPr>
              <w:t>面源宽度/m</w:t>
            </w:r>
          </w:p>
        </w:tc>
        <w:tc>
          <w:tcPr>
            <w:tcW w:w="524" w:type="pct"/>
            <w:vMerge w:val="restart"/>
            <w:vAlign w:val="center"/>
          </w:tcPr>
          <w:p w14:paraId="0FB1120E">
            <w:pPr>
              <w:pStyle w:val="34"/>
            </w:pPr>
            <w:r>
              <w:rPr>
                <w:rFonts w:hint="eastAsia"/>
              </w:rPr>
              <w:t>与正北向夹角/°</w:t>
            </w:r>
          </w:p>
        </w:tc>
        <w:tc>
          <w:tcPr>
            <w:tcW w:w="524" w:type="pct"/>
            <w:vMerge w:val="restart"/>
            <w:vAlign w:val="center"/>
          </w:tcPr>
          <w:p w14:paraId="170E4E06">
            <w:pPr>
              <w:pStyle w:val="34"/>
            </w:pPr>
            <w:r>
              <w:t>面源有效排放高度</w:t>
            </w:r>
            <w:r>
              <w:rPr>
                <w:rFonts w:hint="eastAsia"/>
              </w:rPr>
              <w:t>/m</w:t>
            </w:r>
          </w:p>
        </w:tc>
        <w:tc>
          <w:tcPr>
            <w:tcW w:w="407" w:type="pct"/>
            <w:vMerge w:val="restart"/>
            <w:vAlign w:val="center"/>
          </w:tcPr>
          <w:p w14:paraId="1AD3F2BB">
            <w:pPr>
              <w:pStyle w:val="34"/>
            </w:pPr>
            <w:r>
              <w:t>年排放小时数</w:t>
            </w:r>
            <w:r>
              <w:rPr>
                <w:rFonts w:hint="eastAsia"/>
              </w:rPr>
              <w:t>/h</w:t>
            </w:r>
          </w:p>
        </w:tc>
        <w:tc>
          <w:tcPr>
            <w:tcW w:w="269" w:type="pct"/>
            <w:vMerge w:val="restart"/>
            <w:vAlign w:val="center"/>
          </w:tcPr>
          <w:p w14:paraId="5013AC66">
            <w:pPr>
              <w:pStyle w:val="34"/>
            </w:pPr>
            <w:r>
              <w:rPr>
                <w:rFonts w:hint="eastAsia"/>
              </w:rPr>
              <w:t>排放工况</w:t>
            </w:r>
          </w:p>
        </w:tc>
        <w:tc>
          <w:tcPr>
            <w:tcW w:w="504" w:type="pct"/>
            <w:vMerge w:val="restart"/>
            <w:vAlign w:val="center"/>
          </w:tcPr>
          <w:p w14:paraId="1DC9B54D">
            <w:pPr>
              <w:pStyle w:val="34"/>
            </w:pPr>
            <w:r>
              <w:t>排放速率</w:t>
            </w:r>
            <w:r>
              <w:rPr>
                <w:rFonts w:hint="eastAsia"/>
              </w:rPr>
              <w:t>（kg/h）</w:t>
            </w:r>
          </w:p>
        </w:tc>
      </w:tr>
      <w:tr w14:paraId="5A155E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45" w:type="pct"/>
            <w:vMerge w:val="continue"/>
            <w:vAlign w:val="center"/>
          </w:tcPr>
          <w:p w14:paraId="658A0CFB">
            <w:pPr>
              <w:pStyle w:val="34"/>
            </w:pPr>
          </w:p>
        </w:tc>
        <w:tc>
          <w:tcPr>
            <w:tcW w:w="376" w:type="pct"/>
            <w:vMerge w:val="continue"/>
            <w:vAlign w:val="center"/>
          </w:tcPr>
          <w:p w14:paraId="7C20EAB2">
            <w:pPr>
              <w:pStyle w:val="34"/>
            </w:pPr>
          </w:p>
        </w:tc>
        <w:tc>
          <w:tcPr>
            <w:tcW w:w="341" w:type="pct"/>
            <w:vAlign w:val="center"/>
          </w:tcPr>
          <w:p w14:paraId="15D8B5FD">
            <w:pPr>
              <w:pStyle w:val="34"/>
            </w:pPr>
            <w:r>
              <w:rPr>
                <w:rFonts w:hint="eastAsia"/>
              </w:rPr>
              <w:t>X</w:t>
            </w:r>
          </w:p>
        </w:tc>
        <w:tc>
          <w:tcPr>
            <w:tcW w:w="342" w:type="pct"/>
            <w:vAlign w:val="center"/>
          </w:tcPr>
          <w:p w14:paraId="35CA602F">
            <w:pPr>
              <w:pStyle w:val="34"/>
            </w:pPr>
            <w:r>
              <w:rPr>
                <w:rFonts w:hint="eastAsia"/>
              </w:rPr>
              <w:t>Y</w:t>
            </w:r>
          </w:p>
        </w:tc>
        <w:tc>
          <w:tcPr>
            <w:tcW w:w="419" w:type="pct"/>
            <w:vMerge w:val="continue"/>
            <w:vAlign w:val="center"/>
          </w:tcPr>
          <w:p w14:paraId="2FD8CA89">
            <w:pPr>
              <w:pStyle w:val="34"/>
            </w:pPr>
          </w:p>
        </w:tc>
        <w:tc>
          <w:tcPr>
            <w:tcW w:w="524" w:type="pct"/>
            <w:vMerge w:val="continue"/>
          </w:tcPr>
          <w:p w14:paraId="2ADEACFB">
            <w:pPr>
              <w:pStyle w:val="34"/>
            </w:pPr>
          </w:p>
        </w:tc>
        <w:tc>
          <w:tcPr>
            <w:tcW w:w="524" w:type="pct"/>
            <w:vMerge w:val="continue"/>
          </w:tcPr>
          <w:p w14:paraId="3B9EF067">
            <w:pPr>
              <w:pStyle w:val="34"/>
            </w:pPr>
          </w:p>
        </w:tc>
        <w:tc>
          <w:tcPr>
            <w:tcW w:w="524" w:type="pct"/>
            <w:vMerge w:val="continue"/>
          </w:tcPr>
          <w:p w14:paraId="5B796360">
            <w:pPr>
              <w:pStyle w:val="34"/>
            </w:pPr>
          </w:p>
        </w:tc>
        <w:tc>
          <w:tcPr>
            <w:tcW w:w="524" w:type="pct"/>
            <w:vMerge w:val="continue"/>
            <w:vAlign w:val="center"/>
          </w:tcPr>
          <w:p w14:paraId="5AE65069">
            <w:pPr>
              <w:pStyle w:val="34"/>
            </w:pPr>
          </w:p>
        </w:tc>
        <w:tc>
          <w:tcPr>
            <w:tcW w:w="407" w:type="pct"/>
            <w:vMerge w:val="continue"/>
            <w:vAlign w:val="center"/>
          </w:tcPr>
          <w:p w14:paraId="50A7B39F">
            <w:pPr>
              <w:pStyle w:val="34"/>
            </w:pPr>
          </w:p>
        </w:tc>
        <w:tc>
          <w:tcPr>
            <w:tcW w:w="269" w:type="pct"/>
            <w:vMerge w:val="continue"/>
            <w:vAlign w:val="center"/>
          </w:tcPr>
          <w:p w14:paraId="4CA2AEAE">
            <w:pPr>
              <w:pStyle w:val="34"/>
            </w:pPr>
          </w:p>
        </w:tc>
        <w:tc>
          <w:tcPr>
            <w:tcW w:w="504" w:type="pct"/>
            <w:vMerge w:val="continue"/>
            <w:vAlign w:val="center"/>
          </w:tcPr>
          <w:p w14:paraId="181433D6">
            <w:pPr>
              <w:pStyle w:val="34"/>
            </w:pPr>
          </w:p>
        </w:tc>
      </w:tr>
      <w:tr w14:paraId="7E7027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trPr>
        <w:tc>
          <w:tcPr>
            <w:tcW w:w="245" w:type="pct"/>
            <w:vAlign w:val="center"/>
          </w:tcPr>
          <w:p w14:paraId="00D45298">
            <w:pPr>
              <w:pStyle w:val="34"/>
              <w:rPr>
                <w:b/>
              </w:rPr>
            </w:pPr>
            <w:r>
              <w:rPr>
                <w:rFonts w:hint="eastAsia"/>
              </w:rPr>
              <w:t>1</w:t>
            </w:r>
          </w:p>
        </w:tc>
        <w:tc>
          <w:tcPr>
            <w:tcW w:w="376" w:type="pct"/>
            <w:vAlign w:val="center"/>
          </w:tcPr>
          <w:p w14:paraId="6C714045">
            <w:pPr>
              <w:pStyle w:val="34"/>
            </w:pPr>
            <w:r>
              <w:rPr>
                <w:rFonts w:hint="eastAsia"/>
              </w:rPr>
              <w:t>TSP</w:t>
            </w:r>
          </w:p>
        </w:tc>
        <w:tc>
          <w:tcPr>
            <w:tcW w:w="341" w:type="pct"/>
            <w:vMerge w:val="restart"/>
            <w:vAlign w:val="center"/>
          </w:tcPr>
          <w:p w14:paraId="4FBB99F7">
            <w:pPr>
              <w:pStyle w:val="34"/>
            </w:pPr>
            <w:r>
              <w:rPr>
                <w:rFonts w:hint="eastAsia"/>
              </w:rPr>
              <w:t>100</w:t>
            </w:r>
          </w:p>
        </w:tc>
        <w:tc>
          <w:tcPr>
            <w:tcW w:w="342" w:type="pct"/>
            <w:vMerge w:val="restart"/>
            <w:vAlign w:val="center"/>
          </w:tcPr>
          <w:p w14:paraId="6B0E8AB2">
            <w:pPr>
              <w:pStyle w:val="34"/>
            </w:pPr>
            <w:r>
              <w:rPr>
                <w:rFonts w:hint="eastAsia"/>
              </w:rPr>
              <w:t>-324</w:t>
            </w:r>
          </w:p>
        </w:tc>
        <w:tc>
          <w:tcPr>
            <w:tcW w:w="419" w:type="pct"/>
            <w:vMerge w:val="restart"/>
            <w:vAlign w:val="center"/>
          </w:tcPr>
          <w:p w14:paraId="27EBB312">
            <w:pPr>
              <w:pStyle w:val="34"/>
              <w:rPr>
                <w:b/>
              </w:rPr>
            </w:pPr>
            <w:r>
              <w:rPr>
                <w:rFonts w:hint="eastAsia"/>
              </w:rPr>
              <w:t>0</w:t>
            </w:r>
          </w:p>
        </w:tc>
        <w:tc>
          <w:tcPr>
            <w:tcW w:w="524" w:type="pct"/>
            <w:vMerge w:val="restart"/>
            <w:vAlign w:val="center"/>
          </w:tcPr>
          <w:p w14:paraId="18417C4E">
            <w:pPr>
              <w:pStyle w:val="34"/>
              <w:rPr>
                <w:b/>
              </w:rPr>
            </w:pPr>
            <w:r>
              <w:rPr>
                <w:rFonts w:hint="eastAsia"/>
              </w:rPr>
              <w:t>600</w:t>
            </w:r>
          </w:p>
        </w:tc>
        <w:tc>
          <w:tcPr>
            <w:tcW w:w="524" w:type="pct"/>
            <w:vMerge w:val="restart"/>
            <w:vAlign w:val="center"/>
          </w:tcPr>
          <w:p w14:paraId="234A69BF">
            <w:pPr>
              <w:pStyle w:val="34"/>
              <w:rPr>
                <w:b/>
              </w:rPr>
            </w:pPr>
            <w:r>
              <w:rPr>
                <w:rFonts w:hint="eastAsia"/>
              </w:rPr>
              <w:t>220</w:t>
            </w:r>
          </w:p>
        </w:tc>
        <w:tc>
          <w:tcPr>
            <w:tcW w:w="524" w:type="pct"/>
            <w:vMerge w:val="restart"/>
            <w:vAlign w:val="center"/>
          </w:tcPr>
          <w:p w14:paraId="78C77AB5">
            <w:pPr>
              <w:pStyle w:val="34"/>
              <w:rPr>
                <w:b/>
              </w:rPr>
            </w:pPr>
            <w:r>
              <w:rPr>
                <w:rFonts w:hint="eastAsia"/>
              </w:rPr>
              <w:t>40.7</w:t>
            </w:r>
          </w:p>
        </w:tc>
        <w:tc>
          <w:tcPr>
            <w:tcW w:w="524" w:type="pct"/>
            <w:vMerge w:val="restart"/>
            <w:vAlign w:val="center"/>
          </w:tcPr>
          <w:p w14:paraId="17BB660C">
            <w:pPr>
              <w:pStyle w:val="34"/>
              <w:rPr>
                <w:b/>
              </w:rPr>
            </w:pPr>
            <w:r>
              <w:rPr>
                <w:rFonts w:hint="eastAsia"/>
              </w:rPr>
              <w:t>1.0</w:t>
            </w:r>
          </w:p>
        </w:tc>
        <w:tc>
          <w:tcPr>
            <w:tcW w:w="407" w:type="pct"/>
            <w:vMerge w:val="restart"/>
            <w:vAlign w:val="center"/>
          </w:tcPr>
          <w:p w14:paraId="0B468A3E">
            <w:pPr>
              <w:pStyle w:val="34"/>
              <w:rPr>
                <w:b/>
                <w:u w:val="single"/>
              </w:rPr>
            </w:pPr>
            <w:r>
              <w:rPr>
                <w:rFonts w:hint="eastAsia"/>
                <w:u w:val="single"/>
              </w:rPr>
              <w:t>7920</w:t>
            </w:r>
          </w:p>
        </w:tc>
        <w:tc>
          <w:tcPr>
            <w:tcW w:w="269" w:type="pct"/>
            <w:vMerge w:val="restart"/>
            <w:vAlign w:val="center"/>
          </w:tcPr>
          <w:p w14:paraId="2C3222A0">
            <w:pPr>
              <w:pStyle w:val="34"/>
              <w:rPr>
                <w:b/>
              </w:rPr>
            </w:pPr>
            <w:r>
              <w:rPr>
                <w:rFonts w:hint="eastAsia"/>
              </w:rPr>
              <w:t>正常</w:t>
            </w:r>
          </w:p>
        </w:tc>
        <w:tc>
          <w:tcPr>
            <w:tcW w:w="504" w:type="pct"/>
            <w:vAlign w:val="center"/>
          </w:tcPr>
          <w:p w14:paraId="1A670D26">
            <w:pPr>
              <w:pStyle w:val="34"/>
              <w:rPr>
                <w:b/>
              </w:rPr>
            </w:pPr>
            <w:r>
              <w:rPr>
                <w:rFonts w:hint="eastAsia"/>
              </w:rPr>
              <w:t>0.0910</w:t>
            </w:r>
          </w:p>
        </w:tc>
      </w:tr>
      <w:tr w14:paraId="10AC9B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45" w:type="pct"/>
            <w:vAlign w:val="center"/>
          </w:tcPr>
          <w:p w14:paraId="2F96D2B3">
            <w:pPr>
              <w:pStyle w:val="34"/>
              <w:rPr>
                <w:b/>
              </w:rPr>
            </w:pPr>
            <w:r>
              <w:rPr>
                <w:rFonts w:hint="eastAsia"/>
              </w:rPr>
              <w:t>2</w:t>
            </w:r>
          </w:p>
        </w:tc>
        <w:tc>
          <w:tcPr>
            <w:tcW w:w="376" w:type="pct"/>
            <w:vAlign w:val="center"/>
          </w:tcPr>
          <w:p w14:paraId="481DE0B0">
            <w:pPr>
              <w:pStyle w:val="34"/>
            </w:pPr>
            <w:r>
              <w:rPr>
                <w:rFonts w:hint="eastAsia"/>
              </w:rPr>
              <w:t>PM</w:t>
            </w:r>
            <w:r>
              <w:rPr>
                <w:rFonts w:hint="eastAsia"/>
                <w:vertAlign w:val="subscript"/>
              </w:rPr>
              <w:t>10</w:t>
            </w:r>
          </w:p>
        </w:tc>
        <w:tc>
          <w:tcPr>
            <w:tcW w:w="341" w:type="pct"/>
            <w:vMerge w:val="continue"/>
            <w:vAlign w:val="center"/>
          </w:tcPr>
          <w:p w14:paraId="3D419A9A">
            <w:pPr>
              <w:pStyle w:val="34"/>
              <w:rPr>
                <w:b/>
              </w:rPr>
            </w:pPr>
          </w:p>
        </w:tc>
        <w:tc>
          <w:tcPr>
            <w:tcW w:w="342" w:type="pct"/>
            <w:vMerge w:val="continue"/>
            <w:vAlign w:val="center"/>
          </w:tcPr>
          <w:p w14:paraId="18D4D78C">
            <w:pPr>
              <w:pStyle w:val="34"/>
              <w:rPr>
                <w:b/>
              </w:rPr>
            </w:pPr>
          </w:p>
        </w:tc>
        <w:tc>
          <w:tcPr>
            <w:tcW w:w="419" w:type="pct"/>
            <w:vMerge w:val="continue"/>
            <w:vAlign w:val="center"/>
          </w:tcPr>
          <w:p w14:paraId="385DC1EB">
            <w:pPr>
              <w:pStyle w:val="34"/>
              <w:rPr>
                <w:b/>
              </w:rPr>
            </w:pPr>
          </w:p>
        </w:tc>
        <w:tc>
          <w:tcPr>
            <w:tcW w:w="524" w:type="pct"/>
            <w:vMerge w:val="continue"/>
            <w:vAlign w:val="center"/>
          </w:tcPr>
          <w:p w14:paraId="7FE526B7">
            <w:pPr>
              <w:pStyle w:val="34"/>
              <w:rPr>
                <w:b/>
              </w:rPr>
            </w:pPr>
          </w:p>
        </w:tc>
        <w:tc>
          <w:tcPr>
            <w:tcW w:w="524" w:type="pct"/>
            <w:vMerge w:val="continue"/>
            <w:vAlign w:val="center"/>
          </w:tcPr>
          <w:p w14:paraId="150B2C39">
            <w:pPr>
              <w:pStyle w:val="34"/>
              <w:rPr>
                <w:b/>
              </w:rPr>
            </w:pPr>
          </w:p>
        </w:tc>
        <w:tc>
          <w:tcPr>
            <w:tcW w:w="524" w:type="pct"/>
            <w:vMerge w:val="continue"/>
            <w:vAlign w:val="center"/>
          </w:tcPr>
          <w:p w14:paraId="68AC565B">
            <w:pPr>
              <w:pStyle w:val="34"/>
              <w:rPr>
                <w:b/>
              </w:rPr>
            </w:pPr>
          </w:p>
        </w:tc>
        <w:tc>
          <w:tcPr>
            <w:tcW w:w="524" w:type="pct"/>
            <w:vMerge w:val="continue"/>
            <w:vAlign w:val="center"/>
          </w:tcPr>
          <w:p w14:paraId="3679BE1F">
            <w:pPr>
              <w:pStyle w:val="34"/>
              <w:rPr>
                <w:b/>
              </w:rPr>
            </w:pPr>
          </w:p>
        </w:tc>
        <w:tc>
          <w:tcPr>
            <w:tcW w:w="407" w:type="pct"/>
            <w:vMerge w:val="continue"/>
            <w:vAlign w:val="center"/>
          </w:tcPr>
          <w:p w14:paraId="777F75AA">
            <w:pPr>
              <w:pStyle w:val="34"/>
              <w:rPr>
                <w:b/>
              </w:rPr>
            </w:pPr>
          </w:p>
        </w:tc>
        <w:tc>
          <w:tcPr>
            <w:tcW w:w="269" w:type="pct"/>
            <w:vMerge w:val="continue"/>
            <w:vAlign w:val="center"/>
          </w:tcPr>
          <w:p w14:paraId="6FD1E2C1">
            <w:pPr>
              <w:pStyle w:val="34"/>
              <w:rPr>
                <w:b/>
              </w:rPr>
            </w:pPr>
          </w:p>
        </w:tc>
        <w:tc>
          <w:tcPr>
            <w:tcW w:w="504" w:type="pct"/>
            <w:vAlign w:val="center"/>
          </w:tcPr>
          <w:p w14:paraId="61F50ACF">
            <w:pPr>
              <w:pStyle w:val="34"/>
              <w:rPr>
                <w:b/>
              </w:rPr>
            </w:pPr>
            <w:r>
              <w:rPr>
                <w:rFonts w:hint="eastAsia"/>
              </w:rPr>
              <w:t>0.0231</w:t>
            </w:r>
          </w:p>
        </w:tc>
      </w:tr>
      <w:tr w14:paraId="3478D3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45" w:type="pct"/>
            <w:vAlign w:val="center"/>
          </w:tcPr>
          <w:p w14:paraId="48D300C8">
            <w:pPr>
              <w:pStyle w:val="34"/>
              <w:rPr>
                <w:b/>
              </w:rPr>
            </w:pPr>
            <w:r>
              <w:rPr>
                <w:rFonts w:hint="eastAsia"/>
              </w:rPr>
              <w:t>3</w:t>
            </w:r>
          </w:p>
        </w:tc>
        <w:tc>
          <w:tcPr>
            <w:tcW w:w="376" w:type="pct"/>
            <w:vAlign w:val="center"/>
          </w:tcPr>
          <w:p w14:paraId="61D1D93D">
            <w:pPr>
              <w:pStyle w:val="34"/>
            </w:pPr>
            <w:r>
              <w:rPr>
                <w:rFonts w:hint="eastAsia"/>
              </w:rPr>
              <w:t>PM</w:t>
            </w:r>
            <w:r>
              <w:rPr>
                <w:rFonts w:hint="eastAsia"/>
                <w:vertAlign w:val="subscript"/>
              </w:rPr>
              <w:t>2.5</w:t>
            </w:r>
          </w:p>
        </w:tc>
        <w:tc>
          <w:tcPr>
            <w:tcW w:w="341" w:type="pct"/>
            <w:vMerge w:val="continue"/>
            <w:vAlign w:val="center"/>
          </w:tcPr>
          <w:p w14:paraId="4A87D82B">
            <w:pPr>
              <w:pStyle w:val="34"/>
              <w:rPr>
                <w:b/>
              </w:rPr>
            </w:pPr>
          </w:p>
        </w:tc>
        <w:tc>
          <w:tcPr>
            <w:tcW w:w="342" w:type="pct"/>
            <w:vMerge w:val="continue"/>
            <w:vAlign w:val="center"/>
          </w:tcPr>
          <w:p w14:paraId="587CCFBF">
            <w:pPr>
              <w:pStyle w:val="34"/>
              <w:rPr>
                <w:b/>
              </w:rPr>
            </w:pPr>
          </w:p>
        </w:tc>
        <w:tc>
          <w:tcPr>
            <w:tcW w:w="419" w:type="pct"/>
            <w:vMerge w:val="continue"/>
            <w:vAlign w:val="center"/>
          </w:tcPr>
          <w:p w14:paraId="473AC254">
            <w:pPr>
              <w:pStyle w:val="34"/>
              <w:rPr>
                <w:b/>
              </w:rPr>
            </w:pPr>
          </w:p>
        </w:tc>
        <w:tc>
          <w:tcPr>
            <w:tcW w:w="524" w:type="pct"/>
            <w:vMerge w:val="continue"/>
            <w:vAlign w:val="center"/>
          </w:tcPr>
          <w:p w14:paraId="343DF898">
            <w:pPr>
              <w:pStyle w:val="34"/>
              <w:rPr>
                <w:b/>
              </w:rPr>
            </w:pPr>
          </w:p>
        </w:tc>
        <w:tc>
          <w:tcPr>
            <w:tcW w:w="524" w:type="pct"/>
            <w:vMerge w:val="continue"/>
            <w:vAlign w:val="center"/>
          </w:tcPr>
          <w:p w14:paraId="48769E29">
            <w:pPr>
              <w:pStyle w:val="34"/>
              <w:rPr>
                <w:b/>
              </w:rPr>
            </w:pPr>
          </w:p>
        </w:tc>
        <w:tc>
          <w:tcPr>
            <w:tcW w:w="524" w:type="pct"/>
            <w:vMerge w:val="continue"/>
            <w:vAlign w:val="center"/>
          </w:tcPr>
          <w:p w14:paraId="099E548D">
            <w:pPr>
              <w:pStyle w:val="34"/>
              <w:rPr>
                <w:b/>
              </w:rPr>
            </w:pPr>
          </w:p>
        </w:tc>
        <w:tc>
          <w:tcPr>
            <w:tcW w:w="524" w:type="pct"/>
            <w:vMerge w:val="continue"/>
            <w:vAlign w:val="center"/>
          </w:tcPr>
          <w:p w14:paraId="1A1E6DE8">
            <w:pPr>
              <w:pStyle w:val="34"/>
              <w:rPr>
                <w:b/>
              </w:rPr>
            </w:pPr>
          </w:p>
        </w:tc>
        <w:tc>
          <w:tcPr>
            <w:tcW w:w="407" w:type="pct"/>
            <w:vMerge w:val="continue"/>
            <w:vAlign w:val="center"/>
          </w:tcPr>
          <w:p w14:paraId="1C6B181A">
            <w:pPr>
              <w:pStyle w:val="34"/>
              <w:rPr>
                <w:b/>
              </w:rPr>
            </w:pPr>
          </w:p>
        </w:tc>
        <w:tc>
          <w:tcPr>
            <w:tcW w:w="269" w:type="pct"/>
            <w:vMerge w:val="continue"/>
            <w:vAlign w:val="center"/>
          </w:tcPr>
          <w:p w14:paraId="53886779">
            <w:pPr>
              <w:pStyle w:val="34"/>
              <w:rPr>
                <w:b/>
              </w:rPr>
            </w:pPr>
          </w:p>
        </w:tc>
        <w:tc>
          <w:tcPr>
            <w:tcW w:w="504" w:type="pct"/>
            <w:vAlign w:val="center"/>
          </w:tcPr>
          <w:p w14:paraId="32F6787B">
            <w:pPr>
              <w:pStyle w:val="34"/>
              <w:rPr>
                <w:b/>
              </w:rPr>
            </w:pPr>
            <w:r>
              <w:rPr>
                <w:rFonts w:hint="eastAsia"/>
              </w:rPr>
              <w:t>0.0067</w:t>
            </w:r>
          </w:p>
        </w:tc>
      </w:tr>
    </w:tbl>
    <w:p w14:paraId="1A4D7D3F">
      <w:pPr>
        <w:pStyle w:val="7"/>
      </w:pPr>
      <w:r>
        <w:t>估算模型参数表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50"/>
        <w:gridCol w:w="2882"/>
        <w:gridCol w:w="3296"/>
      </w:tblGrid>
      <w:tr w14:paraId="67E49D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068" w:type="pct"/>
            <w:gridSpan w:val="2"/>
            <w:vAlign w:val="center"/>
          </w:tcPr>
          <w:p w14:paraId="29CA8D70">
            <w:pPr>
              <w:pStyle w:val="34"/>
            </w:pPr>
            <w:r>
              <w:t>参数</w:t>
            </w:r>
          </w:p>
        </w:tc>
        <w:tc>
          <w:tcPr>
            <w:tcW w:w="1932" w:type="pct"/>
            <w:vAlign w:val="center"/>
          </w:tcPr>
          <w:p w14:paraId="5AA0DA54">
            <w:pPr>
              <w:pStyle w:val="34"/>
            </w:pPr>
            <w:r>
              <w:t>取值</w:t>
            </w:r>
          </w:p>
        </w:tc>
      </w:tr>
      <w:tr w14:paraId="5BDC26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78" w:type="pct"/>
            <w:vMerge w:val="restart"/>
            <w:vAlign w:val="center"/>
          </w:tcPr>
          <w:p w14:paraId="4885F69E">
            <w:pPr>
              <w:pStyle w:val="34"/>
            </w:pPr>
            <w:r>
              <w:t>城市/农村选项</w:t>
            </w:r>
          </w:p>
        </w:tc>
        <w:tc>
          <w:tcPr>
            <w:tcW w:w="1690" w:type="pct"/>
            <w:vAlign w:val="center"/>
          </w:tcPr>
          <w:p w14:paraId="5652F9FE">
            <w:pPr>
              <w:pStyle w:val="34"/>
            </w:pPr>
            <w:r>
              <w:t>城市/农村</w:t>
            </w:r>
          </w:p>
        </w:tc>
        <w:tc>
          <w:tcPr>
            <w:tcW w:w="1932" w:type="pct"/>
            <w:vAlign w:val="center"/>
          </w:tcPr>
          <w:p w14:paraId="484D6302">
            <w:pPr>
              <w:pStyle w:val="34"/>
            </w:pPr>
            <w:r>
              <w:t>城市</w:t>
            </w:r>
          </w:p>
        </w:tc>
      </w:tr>
      <w:tr w14:paraId="5651E5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78" w:type="pct"/>
            <w:vMerge w:val="continue"/>
            <w:vAlign w:val="center"/>
          </w:tcPr>
          <w:p w14:paraId="27BD25F6">
            <w:pPr>
              <w:pStyle w:val="34"/>
            </w:pPr>
          </w:p>
        </w:tc>
        <w:tc>
          <w:tcPr>
            <w:tcW w:w="1690" w:type="pct"/>
            <w:vAlign w:val="center"/>
          </w:tcPr>
          <w:p w14:paraId="1E6609B6">
            <w:pPr>
              <w:pStyle w:val="34"/>
            </w:pPr>
            <w:r>
              <w:t>人口数（城市选项时）</w:t>
            </w:r>
          </w:p>
        </w:tc>
        <w:tc>
          <w:tcPr>
            <w:tcW w:w="1932" w:type="pct"/>
            <w:vAlign w:val="center"/>
          </w:tcPr>
          <w:p w14:paraId="4B8F5F90">
            <w:pPr>
              <w:pStyle w:val="34"/>
            </w:pPr>
            <w:r>
              <w:rPr>
                <w:rFonts w:hint="eastAsia"/>
              </w:rPr>
              <w:t>60000</w:t>
            </w:r>
          </w:p>
        </w:tc>
      </w:tr>
      <w:tr w14:paraId="35E7BB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068" w:type="pct"/>
            <w:gridSpan w:val="2"/>
            <w:vAlign w:val="center"/>
          </w:tcPr>
          <w:p w14:paraId="1EF0EA1D">
            <w:pPr>
              <w:pStyle w:val="34"/>
            </w:pPr>
            <w:r>
              <w:t>最高环境温度/℃</w:t>
            </w:r>
          </w:p>
        </w:tc>
        <w:tc>
          <w:tcPr>
            <w:tcW w:w="1932" w:type="pct"/>
            <w:vAlign w:val="center"/>
          </w:tcPr>
          <w:p w14:paraId="1B520DCA">
            <w:pPr>
              <w:pStyle w:val="34"/>
            </w:pPr>
            <w:r>
              <w:rPr>
                <w:rFonts w:hint="eastAsia"/>
              </w:rPr>
              <w:t>36.8</w:t>
            </w:r>
          </w:p>
        </w:tc>
      </w:tr>
      <w:tr w14:paraId="67F26E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068" w:type="pct"/>
            <w:gridSpan w:val="2"/>
            <w:vAlign w:val="center"/>
          </w:tcPr>
          <w:p w14:paraId="1603868F">
            <w:pPr>
              <w:pStyle w:val="34"/>
            </w:pPr>
            <w:r>
              <w:t>最低环境温度/℃</w:t>
            </w:r>
          </w:p>
        </w:tc>
        <w:tc>
          <w:tcPr>
            <w:tcW w:w="1932" w:type="pct"/>
            <w:vAlign w:val="center"/>
          </w:tcPr>
          <w:p w14:paraId="204DE90D">
            <w:pPr>
              <w:pStyle w:val="34"/>
            </w:pPr>
            <w:r>
              <w:rPr>
                <w:rFonts w:hint="eastAsia"/>
              </w:rPr>
              <w:t>5</w:t>
            </w:r>
          </w:p>
        </w:tc>
      </w:tr>
      <w:tr w14:paraId="054F39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068" w:type="pct"/>
            <w:gridSpan w:val="2"/>
            <w:vAlign w:val="center"/>
          </w:tcPr>
          <w:p w14:paraId="5A745910">
            <w:pPr>
              <w:pStyle w:val="34"/>
            </w:pPr>
            <w:r>
              <w:t>土地利用类型</w:t>
            </w:r>
          </w:p>
        </w:tc>
        <w:tc>
          <w:tcPr>
            <w:tcW w:w="1932" w:type="pct"/>
            <w:vAlign w:val="center"/>
          </w:tcPr>
          <w:p w14:paraId="3C899613">
            <w:pPr>
              <w:pStyle w:val="34"/>
            </w:pPr>
            <w:r>
              <w:t>城市</w:t>
            </w:r>
          </w:p>
        </w:tc>
      </w:tr>
      <w:tr w14:paraId="75C5D8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068" w:type="pct"/>
            <w:gridSpan w:val="2"/>
            <w:vAlign w:val="center"/>
          </w:tcPr>
          <w:p w14:paraId="4B6C6AEB">
            <w:pPr>
              <w:pStyle w:val="34"/>
            </w:pPr>
            <w:r>
              <w:t>区域湿度条件</w:t>
            </w:r>
          </w:p>
        </w:tc>
        <w:tc>
          <w:tcPr>
            <w:tcW w:w="1932" w:type="pct"/>
            <w:vAlign w:val="center"/>
          </w:tcPr>
          <w:p w14:paraId="194E8EB8">
            <w:pPr>
              <w:pStyle w:val="34"/>
            </w:pPr>
            <w:r>
              <w:t>潮湿气候</w:t>
            </w:r>
          </w:p>
        </w:tc>
      </w:tr>
      <w:tr w14:paraId="3A38A1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78" w:type="pct"/>
            <w:vMerge w:val="restart"/>
            <w:vAlign w:val="center"/>
          </w:tcPr>
          <w:p w14:paraId="41FE2ED5">
            <w:pPr>
              <w:pStyle w:val="34"/>
            </w:pPr>
            <w:r>
              <w:t>是否考虑地形</w:t>
            </w:r>
          </w:p>
        </w:tc>
        <w:tc>
          <w:tcPr>
            <w:tcW w:w="1690" w:type="pct"/>
            <w:vAlign w:val="center"/>
          </w:tcPr>
          <w:p w14:paraId="4F577F90">
            <w:pPr>
              <w:pStyle w:val="34"/>
            </w:pPr>
            <w:r>
              <w:t>考虑地形</w:t>
            </w:r>
          </w:p>
        </w:tc>
        <w:tc>
          <w:tcPr>
            <w:tcW w:w="1932" w:type="pct"/>
            <w:vAlign w:val="center"/>
          </w:tcPr>
          <w:p w14:paraId="6AC59D83">
            <w:pPr>
              <w:pStyle w:val="34"/>
            </w:pPr>
            <w:r>
              <w:rPr/>
              <w:sym w:font="Wingdings 2" w:char="0052"/>
            </w:r>
            <w:r>
              <w:t xml:space="preserve"> 是 □否</w:t>
            </w:r>
          </w:p>
        </w:tc>
      </w:tr>
      <w:tr w14:paraId="099369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78" w:type="pct"/>
            <w:vMerge w:val="continue"/>
            <w:vAlign w:val="center"/>
          </w:tcPr>
          <w:p w14:paraId="29988F88">
            <w:pPr>
              <w:pStyle w:val="34"/>
            </w:pPr>
          </w:p>
        </w:tc>
        <w:tc>
          <w:tcPr>
            <w:tcW w:w="1690" w:type="pct"/>
            <w:vAlign w:val="center"/>
          </w:tcPr>
          <w:p w14:paraId="5CC71AB0">
            <w:pPr>
              <w:pStyle w:val="34"/>
            </w:pPr>
            <w:r>
              <w:t>地形数据分辨率</w:t>
            </w:r>
          </w:p>
        </w:tc>
        <w:tc>
          <w:tcPr>
            <w:tcW w:w="1932" w:type="pct"/>
            <w:vAlign w:val="center"/>
          </w:tcPr>
          <w:p w14:paraId="5D57BA50">
            <w:pPr>
              <w:pStyle w:val="34"/>
            </w:pPr>
            <w:r>
              <w:rPr>
                <w:rFonts w:hint="eastAsia"/>
              </w:rPr>
              <w:t>90m</w:t>
            </w:r>
          </w:p>
        </w:tc>
      </w:tr>
      <w:tr w14:paraId="4F7293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78" w:type="pct"/>
            <w:vMerge w:val="restart"/>
            <w:vAlign w:val="center"/>
          </w:tcPr>
          <w:p w14:paraId="775195E8">
            <w:pPr>
              <w:pStyle w:val="34"/>
            </w:pPr>
            <w:r>
              <w:t>是否考虑岸线熏烟</w:t>
            </w:r>
          </w:p>
        </w:tc>
        <w:tc>
          <w:tcPr>
            <w:tcW w:w="1690" w:type="pct"/>
            <w:vAlign w:val="center"/>
          </w:tcPr>
          <w:p w14:paraId="0FF0D5D4">
            <w:pPr>
              <w:pStyle w:val="34"/>
            </w:pPr>
            <w:r>
              <w:t>考虑岸线熏烟</w:t>
            </w:r>
          </w:p>
        </w:tc>
        <w:tc>
          <w:tcPr>
            <w:tcW w:w="1932" w:type="pct"/>
            <w:vAlign w:val="center"/>
          </w:tcPr>
          <w:p w14:paraId="2547D2E6">
            <w:pPr>
              <w:pStyle w:val="34"/>
            </w:pPr>
            <w:r>
              <w:t xml:space="preserve">□是 </w:t>
            </w:r>
            <w:r>
              <w:rPr/>
              <w:sym w:font="Wingdings 2" w:char="0052"/>
            </w:r>
            <w:r>
              <w:t>否</w:t>
            </w:r>
          </w:p>
        </w:tc>
      </w:tr>
      <w:tr w14:paraId="1315D6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78" w:type="pct"/>
            <w:vMerge w:val="continue"/>
            <w:vAlign w:val="center"/>
          </w:tcPr>
          <w:p w14:paraId="799DF06C">
            <w:pPr>
              <w:pStyle w:val="34"/>
            </w:pPr>
          </w:p>
        </w:tc>
        <w:tc>
          <w:tcPr>
            <w:tcW w:w="1690" w:type="pct"/>
            <w:vAlign w:val="center"/>
          </w:tcPr>
          <w:p w14:paraId="3B1D5938">
            <w:pPr>
              <w:pStyle w:val="34"/>
            </w:pPr>
            <w:r>
              <w:t>岸线距离/km</w:t>
            </w:r>
          </w:p>
        </w:tc>
        <w:tc>
          <w:tcPr>
            <w:tcW w:w="1932" w:type="pct"/>
            <w:vAlign w:val="center"/>
          </w:tcPr>
          <w:p w14:paraId="6FF48817">
            <w:pPr>
              <w:pStyle w:val="34"/>
            </w:pPr>
            <w:r>
              <w:rPr>
                <w:rFonts w:hint="eastAsia"/>
              </w:rPr>
              <w:t>/</w:t>
            </w:r>
          </w:p>
        </w:tc>
      </w:tr>
      <w:tr w14:paraId="434AAD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78" w:type="pct"/>
            <w:vMerge w:val="continue"/>
            <w:vAlign w:val="center"/>
          </w:tcPr>
          <w:p w14:paraId="47E1981C">
            <w:pPr>
              <w:pStyle w:val="34"/>
            </w:pPr>
          </w:p>
        </w:tc>
        <w:tc>
          <w:tcPr>
            <w:tcW w:w="1690" w:type="pct"/>
            <w:vAlign w:val="center"/>
          </w:tcPr>
          <w:p w14:paraId="34953540">
            <w:pPr>
              <w:pStyle w:val="34"/>
            </w:pPr>
            <w:r>
              <w:t>岸线方向/°</w:t>
            </w:r>
          </w:p>
        </w:tc>
        <w:tc>
          <w:tcPr>
            <w:tcW w:w="1932" w:type="pct"/>
            <w:vAlign w:val="center"/>
          </w:tcPr>
          <w:p w14:paraId="5B28B23D">
            <w:pPr>
              <w:pStyle w:val="34"/>
            </w:pPr>
            <w:r>
              <w:rPr>
                <w:rFonts w:hint="eastAsia"/>
              </w:rPr>
              <w:t>/</w:t>
            </w:r>
          </w:p>
        </w:tc>
      </w:tr>
    </w:tbl>
    <w:p w14:paraId="22F92FB7">
      <w:pPr>
        <w:ind w:firstLine="462"/>
        <w:rPr>
          <w:szCs w:val="22"/>
        </w:rPr>
      </w:pPr>
      <w:r>
        <w:rPr>
          <w:szCs w:val="22"/>
        </w:rPr>
        <w:t>最大地面空气质量浓度占标率计算公式：</w:t>
      </w:r>
    </w:p>
    <w:p w14:paraId="4CA84E74">
      <w:pPr>
        <w:ind w:firstLine="462"/>
        <w:jc w:val="center"/>
        <w:rPr>
          <w:szCs w:val="22"/>
        </w:rPr>
      </w:pPr>
      <w:r>
        <w:rPr>
          <w:szCs w:val="22"/>
        </w:rPr>
        <w:drawing>
          <wp:inline distT="0" distB="0" distL="0" distR="0">
            <wp:extent cx="1228725" cy="238125"/>
            <wp:effectExtent l="0" t="0" r="9525"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1228725" cy="238125"/>
                    </a:xfrm>
                    <a:prstGeom prst="rect">
                      <a:avLst/>
                    </a:prstGeom>
                    <a:noFill/>
                    <a:ln>
                      <a:noFill/>
                    </a:ln>
                  </pic:spPr>
                </pic:pic>
              </a:graphicData>
            </a:graphic>
          </wp:inline>
        </w:drawing>
      </w:r>
    </w:p>
    <w:p w14:paraId="6FD6A336">
      <w:pPr>
        <w:ind w:firstLine="462"/>
        <w:rPr>
          <w:szCs w:val="22"/>
        </w:rPr>
      </w:pPr>
      <w:r>
        <w:rPr>
          <w:szCs w:val="22"/>
        </w:rPr>
        <w:t>式中：</w:t>
      </w:r>
      <w:r>
        <w:rPr>
          <w:i/>
          <w:szCs w:val="22"/>
        </w:rPr>
        <w:t>P</w:t>
      </w:r>
      <w:r>
        <w:rPr>
          <w:i/>
          <w:szCs w:val="22"/>
          <w:vertAlign w:val="subscript"/>
        </w:rPr>
        <w:t>i</w:t>
      </w:r>
      <w:r>
        <w:rPr>
          <w:szCs w:val="22"/>
        </w:rPr>
        <w:t>——第i个污染物的最大地面空气质量浓度占标率，%；</w:t>
      </w:r>
    </w:p>
    <w:p w14:paraId="18403E1D">
      <w:pPr>
        <w:ind w:firstLine="462"/>
        <w:rPr>
          <w:szCs w:val="22"/>
        </w:rPr>
      </w:pPr>
      <w:r>
        <w:rPr>
          <w:i/>
          <w:szCs w:val="22"/>
        </w:rPr>
        <w:t>C</w:t>
      </w:r>
      <w:r>
        <w:rPr>
          <w:i/>
          <w:szCs w:val="22"/>
          <w:vertAlign w:val="subscript"/>
        </w:rPr>
        <w:t>i</w:t>
      </w:r>
      <w:r>
        <w:rPr>
          <w:szCs w:val="22"/>
        </w:rPr>
        <w:t>——采用估算模型计算出的第i个污染物的最大1h地面空气质量浓度，μg/m</w:t>
      </w:r>
      <w:r>
        <w:rPr>
          <w:szCs w:val="22"/>
          <w:vertAlign w:val="superscript"/>
        </w:rPr>
        <w:t>3</w:t>
      </w:r>
      <w:r>
        <w:rPr>
          <w:szCs w:val="22"/>
        </w:rPr>
        <w:t>；</w:t>
      </w:r>
    </w:p>
    <w:p w14:paraId="739B9CCC">
      <w:pPr>
        <w:ind w:firstLine="462"/>
        <w:rPr>
          <w:szCs w:val="22"/>
        </w:rPr>
      </w:pPr>
      <w:r>
        <w:rPr>
          <w:i/>
          <w:szCs w:val="22"/>
        </w:rPr>
        <w:t>C</w:t>
      </w:r>
      <w:r>
        <w:rPr>
          <w:i/>
          <w:szCs w:val="22"/>
          <w:vertAlign w:val="subscript"/>
        </w:rPr>
        <w:t>0i</w:t>
      </w:r>
      <w:r>
        <w:rPr>
          <w:szCs w:val="22"/>
        </w:rPr>
        <w:t>——第i个污染物的环境空气质量浓度标准，μg/m</w:t>
      </w:r>
      <w:r>
        <w:rPr>
          <w:szCs w:val="22"/>
          <w:vertAlign w:val="superscript"/>
        </w:rPr>
        <w:t>3</w:t>
      </w:r>
      <w:r>
        <w:rPr>
          <w:szCs w:val="22"/>
        </w:rPr>
        <w:t>。一般选用</w:t>
      </w:r>
      <w:r>
        <w:rPr>
          <w:rFonts w:hint="eastAsia"/>
          <w:szCs w:val="22"/>
        </w:rPr>
        <w:t>GB3095中1h平均质量浓度的二级浓度限值。</w:t>
      </w:r>
    </w:p>
    <w:p w14:paraId="33DB3C24">
      <w:pPr>
        <w:pStyle w:val="7"/>
      </w:pPr>
      <w:r>
        <w:t>P</w:t>
      </w:r>
      <w:r>
        <w:rPr>
          <w:vertAlign w:val="subscript"/>
        </w:rPr>
        <w:t>max</w:t>
      </w:r>
      <w:r>
        <w:t>和D</w:t>
      </w:r>
      <w:r>
        <w:rPr>
          <w:vertAlign w:val="subscript"/>
        </w:rPr>
        <w:t>10%</w:t>
      </w:r>
      <w:r>
        <w:t>预测和计算结果一览表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60"/>
        <w:gridCol w:w="1432"/>
        <w:gridCol w:w="757"/>
        <w:gridCol w:w="1432"/>
        <w:gridCol w:w="757"/>
        <w:gridCol w:w="1432"/>
        <w:gridCol w:w="758"/>
      </w:tblGrid>
      <w:tr w14:paraId="3AFBB1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0" w:type="auto"/>
            <w:vMerge w:val="restart"/>
            <w:vAlign w:val="center"/>
          </w:tcPr>
          <w:p w14:paraId="7C9EF8A2">
            <w:pPr>
              <w:pStyle w:val="34"/>
            </w:pPr>
            <w:r>
              <w:t>下风向距离/m</w:t>
            </w:r>
          </w:p>
        </w:tc>
        <w:tc>
          <w:tcPr>
            <w:tcW w:w="0" w:type="auto"/>
            <w:gridSpan w:val="6"/>
          </w:tcPr>
          <w:p w14:paraId="79B54A98">
            <w:pPr>
              <w:pStyle w:val="34"/>
              <w:rPr>
                <w:bCs/>
                <w:spacing w:val="-8"/>
              </w:rPr>
            </w:pPr>
            <w:r>
              <w:rPr>
                <w:bCs/>
                <w:spacing w:val="-8"/>
              </w:rPr>
              <w:t>道路扬尘</w:t>
            </w:r>
          </w:p>
        </w:tc>
      </w:tr>
      <w:tr w14:paraId="4C5723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0" w:type="auto"/>
            <w:vMerge w:val="continue"/>
            <w:vAlign w:val="center"/>
          </w:tcPr>
          <w:p w14:paraId="64CA5888">
            <w:pPr>
              <w:pStyle w:val="34"/>
            </w:pPr>
          </w:p>
        </w:tc>
        <w:tc>
          <w:tcPr>
            <w:tcW w:w="0" w:type="auto"/>
            <w:gridSpan w:val="2"/>
          </w:tcPr>
          <w:p w14:paraId="41B3332C">
            <w:pPr>
              <w:pStyle w:val="34"/>
            </w:pPr>
            <w:r>
              <w:rPr>
                <w:rFonts w:hint="eastAsia"/>
              </w:rPr>
              <w:t>TSP</w:t>
            </w:r>
          </w:p>
        </w:tc>
        <w:tc>
          <w:tcPr>
            <w:tcW w:w="0" w:type="auto"/>
            <w:gridSpan w:val="2"/>
            <w:vAlign w:val="center"/>
          </w:tcPr>
          <w:p w14:paraId="12BEE9B1">
            <w:pPr>
              <w:pStyle w:val="34"/>
            </w:pPr>
            <w:r>
              <w:rPr>
                <w:rFonts w:hint="eastAsia"/>
              </w:rPr>
              <w:t>PM</w:t>
            </w:r>
            <w:r>
              <w:rPr>
                <w:rFonts w:hint="eastAsia"/>
                <w:vertAlign w:val="subscript"/>
              </w:rPr>
              <w:t>10</w:t>
            </w:r>
          </w:p>
        </w:tc>
        <w:tc>
          <w:tcPr>
            <w:tcW w:w="0" w:type="auto"/>
            <w:gridSpan w:val="2"/>
            <w:vAlign w:val="center"/>
          </w:tcPr>
          <w:p w14:paraId="4117E273">
            <w:pPr>
              <w:pStyle w:val="34"/>
            </w:pPr>
            <w:r>
              <w:rPr>
                <w:bCs/>
                <w:spacing w:val="-8"/>
              </w:rPr>
              <w:t>PM</w:t>
            </w:r>
            <w:r>
              <w:rPr>
                <w:bCs/>
                <w:spacing w:val="-8"/>
                <w:vertAlign w:val="subscript"/>
              </w:rPr>
              <w:t>2.5</w:t>
            </w:r>
          </w:p>
        </w:tc>
      </w:tr>
      <w:tr w14:paraId="53783A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0" w:type="auto"/>
            <w:vMerge w:val="continue"/>
            <w:vAlign w:val="center"/>
          </w:tcPr>
          <w:p w14:paraId="45FEA6C3">
            <w:pPr>
              <w:pStyle w:val="34"/>
            </w:pPr>
          </w:p>
        </w:tc>
        <w:tc>
          <w:tcPr>
            <w:tcW w:w="0" w:type="auto"/>
            <w:vAlign w:val="center"/>
          </w:tcPr>
          <w:p w14:paraId="5550676C">
            <w:pPr>
              <w:pStyle w:val="34"/>
              <w:rPr>
                <w:spacing w:val="-14"/>
              </w:rPr>
            </w:pPr>
            <w:r>
              <w:rPr>
                <w:spacing w:val="-14"/>
              </w:rPr>
              <w:t>预测浓度（</w:t>
            </w:r>
            <w:r>
              <w:rPr>
                <w:rFonts w:hint="eastAsia"/>
                <w:spacing w:val="-14"/>
              </w:rPr>
              <w:t>mg</w:t>
            </w:r>
            <w:r>
              <w:rPr>
                <w:spacing w:val="-14"/>
              </w:rPr>
              <w:t>/m</w:t>
            </w:r>
            <w:r>
              <w:rPr>
                <w:spacing w:val="-14"/>
                <w:vertAlign w:val="superscript"/>
              </w:rPr>
              <w:t>3</w:t>
            </w:r>
            <w:r>
              <w:rPr>
                <w:spacing w:val="-14"/>
              </w:rPr>
              <w:t>）</w:t>
            </w:r>
          </w:p>
        </w:tc>
        <w:tc>
          <w:tcPr>
            <w:tcW w:w="0" w:type="auto"/>
            <w:vAlign w:val="center"/>
          </w:tcPr>
          <w:p w14:paraId="089C793F">
            <w:pPr>
              <w:pStyle w:val="34"/>
              <w:rPr>
                <w:spacing w:val="-14"/>
              </w:rPr>
            </w:pPr>
            <w:r>
              <w:rPr>
                <w:spacing w:val="-14"/>
              </w:rPr>
              <w:t>占标率%</w:t>
            </w:r>
          </w:p>
        </w:tc>
        <w:tc>
          <w:tcPr>
            <w:tcW w:w="0" w:type="auto"/>
            <w:vAlign w:val="center"/>
          </w:tcPr>
          <w:p w14:paraId="75E425A6">
            <w:pPr>
              <w:pStyle w:val="34"/>
              <w:rPr>
                <w:spacing w:val="-14"/>
              </w:rPr>
            </w:pPr>
            <w:r>
              <w:rPr>
                <w:spacing w:val="-14"/>
              </w:rPr>
              <w:t>预测浓度（</w:t>
            </w:r>
            <w:r>
              <w:rPr>
                <w:rFonts w:hint="eastAsia"/>
                <w:spacing w:val="-14"/>
              </w:rPr>
              <w:t>mg</w:t>
            </w:r>
            <w:r>
              <w:rPr>
                <w:spacing w:val="-14"/>
              </w:rPr>
              <w:t>/m</w:t>
            </w:r>
            <w:r>
              <w:rPr>
                <w:spacing w:val="-14"/>
                <w:vertAlign w:val="superscript"/>
              </w:rPr>
              <w:t>3</w:t>
            </w:r>
            <w:r>
              <w:rPr>
                <w:spacing w:val="-14"/>
              </w:rPr>
              <w:t>）</w:t>
            </w:r>
          </w:p>
        </w:tc>
        <w:tc>
          <w:tcPr>
            <w:tcW w:w="0" w:type="auto"/>
            <w:vAlign w:val="center"/>
          </w:tcPr>
          <w:p w14:paraId="4C85413F">
            <w:pPr>
              <w:pStyle w:val="34"/>
              <w:rPr>
                <w:spacing w:val="-14"/>
              </w:rPr>
            </w:pPr>
            <w:r>
              <w:rPr>
                <w:spacing w:val="-14"/>
              </w:rPr>
              <w:t>占标率%</w:t>
            </w:r>
          </w:p>
        </w:tc>
        <w:tc>
          <w:tcPr>
            <w:tcW w:w="0" w:type="auto"/>
            <w:vAlign w:val="center"/>
          </w:tcPr>
          <w:p w14:paraId="2F24F61D">
            <w:pPr>
              <w:pStyle w:val="34"/>
              <w:rPr>
                <w:spacing w:val="-14"/>
              </w:rPr>
            </w:pPr>
            <w:r>
              <w:rPr>
                <w:spacing w:val="-14"/>
              </w:rPr>
              <w:t>预测浓度（</w:t>
            </w:r>
            <w:r>
              <w:rPr>
                <w:rFonts w:hint="eastAsia"/>
                <w:spacing w:val="-14"/>
              </w:rPr>
              <w:t>mg</w:t>
            </w:r>
            <w:r>
              <w:rPr>
                <w:spacing w:val="-14"/>
              </w:rPr>
              <w:t>/m</w:t>
            </w:r>
            <w:r>
              <w:rPr>
                <w:spacing w:val="-14"/>
                <w:vertAlign w:val="superscript"/>
              </w:rPr>
              <w:t>3</w:t>
            </w:r>
            <w:r>
              <w:rPr>
                <w:spacing w:val="-14"/>
              </w:rPr>
              <w:t>）</w:t>
            </w:r>
          </w:p>
        </w:tc>
        <w:tc>
          <w:tcPr>
            <w:tcW w:w="0" w:type="auto"/>
            <w:vAlign w:val="center"/>
          </w:tcPr>
          <w:p w14:paraId="3802836A">
            <w:pPr>
              <w:pStyle w:val="34"/>
              <w:rPr>
                <w:spacing w:val="-14"/>
              </w:rPr>
            </w:pPr>
            <w:r>
              <w:rPr>
                <w:spacing w:val="-14"/>
              </w:rPr>
              <w:t>占标率%</w:t>
            </w:r>
          </w:p>
        </w:tc>
      </w:tr>
      <w:tr w14:paraId="2DAEA5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4679392A">
            <w:pPr>
              <w:pStyle w:val="34"/>
            </w:pPr>
            <w:r>
              <w:t>10</w:t>
            </w:r>
          </w:p>
        </w:tc>
        <w:tc>
          <w:tcPr>
            <w:tcW w:w="0" w:type="auto"/>
          </w:tcPr>
          <w:p w14:paraId="3392DA66">
            <w:pPr>
              <w:pStyle w:val="34"/>
            </w:pPr>
            <w:r>
              <w:rPr>
                <w:rFonts w:hint="eastAsia"/>
              </w:rPr>
              <w:t>0.004</w:t>
            </w:r>
          </w:p>
        </w:tc>
        <w:tc>
          <w:tcPr>
            <w:tcW w:w="0" w:type="auto"/>
            <w:vAlign w:val="center"/>
          </w:tcPr>
          <w:p w14:paraId="23D1423D">
            <w:pPr>
              <w:pStyle w:val="34"/>
            </w:pPr>
            <w:r>
              <w:rPr>
                <w:rFonts w:hint="eastAsia"/>
              </w:rPr>
              <w:t>0.48</w:t>
            </w:r>
          </w:p>
        </w:tc>
        <w:tc>
          <w:tcPr>
            <w:tcW w:w="0" w:type="auto"/>
            <w:vAlign w:val="center"/>
          </w:tcPr>
          <w:p w14:paraId="2DE6E711">
            <w:pPr>
              <w:pStyle w:val="34"/>
            </w:pPr>
            <w:r>
              <w:rPr>
                <w:rFonts w:hint="eastAsia"/>
              </w:rPr>
              <w:t>0.0011</w:t>
            </w:r>
          </w:p>
        </w:tc>
        <w:tc>
          <w:tcPr>
            <w:tcW w:w="0" w:type="auto"/>
            <w:vAlign w:val="center"/>
          </w:tcPr>
          <w:p w14:paraId="0E3B46E7">
            <w:pPr>
              <w:pStyle w:val="34"/>
            </w:pPr>
            <w:r>
              <w:rPr>
                <w:rFonts w:hint="eastAsia"/>
              </w:rPr>
              <w:t>0.26</w:t>
            </w:r>
          </w:p>
        </w:tc>
        <w:tc>
          <w:tcPr>
            <w:tcW w:w="0" w:type="auto"/>
            <w:vAlign w:val="center"/>
          </w:tcPr>
          <w:p w14:paraId="131BC996">
            <w:pPr>
              <w:pStyle w:val="34"/>
            </w:pPr>
            <w:r>
              <w:rPr>
                <w:rFonts w:hint="eastAsia"/>
              </w:rPr>
              <w:t>0.0003</w:t>
            </w:r>
          </w:p>
        </w:tc>
        <w:tc>
          <w:tcPr>
            <w:tcW w:w="0" w:type="auto"/>
            <w:vAlign w:val="center"/>
          </w:tcPr>
          <w:p w14:paraId="2C1145C7">
            <w:pPr>
              <w:pStyle w:val="34"/>
            </w:pPr>
            <w:r>
              <w:rPr>
                <w:rFonts w:hint="eastAsia"/>
              </w:rPr>
              <w:t>0.13</w:t>
            </w:r>
          </w:p>
        </w:tc>
      </w:tr>
      <w:tr w14:paraId="370FD5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20087C27">
            <w:pPr>
              <w:pStyle w:val="34"/>
            </w:pPr>
            <w:r>
              <w:t>25</w:t>
            </w:r>
          </w:p>
        </w:tc>
        <w:tc>
          <w:tcPr>
            <w:tcW w:w="0" w:type="auto"/>
          </w:tcPr>
          <w:p w14:paraId="008F9D58">
            <w:pPr>
              <w:pStyle w:val="34"/>
            </w:pPr>
            <w:r>
              <w:rPr>
                <w:rFonts w:hint="eastAsia"/>
              </w:rPr>
              <w:t>0.005</w:t>
            </w:r>
          </w:p>
        </w:tc>
        <w:tc>
          <w:tcPr>
            <w:tcW w:w="0" w:type="auto"/>
            <w:vAlign w:val="center"/>
          </w:tcPr>
          <w:p w14:paraId="2093DCC9">
            <w:pPr>
              <w:pStyle w:val="34"/>
            </w:pPr>
            <w:r>
              <w:rPr>
                <w:rFonts w:hint="eastAsia"/>
              </w:rPr>
              <w:t>0.52</w:t>
            </w:r>
          </w:p>
        </w:tc>
        <w:tc>
          <w:tcPr>
            <w:tcW w:w="0" w:type="auto"/>
            <w:vAlign w:val="center"/>
          </w:tcPr>
          <w:p w14:paraId="6389DE1D">
            <w:pPr>
              <w:pStyle w:val="34"/>
            </w:pPr>
            <w:r>
              <w:rPr>
                <w:rFonts w:hint="eastAsia"/>
              </w:rPr>
              <w:t>0.0012</w:t>
            </w:r>
          </w:p>
        </w:tc>
        <w:tc>
          <w:tcPr>
            <w:tcW w:w="0" w:type="auto"/>
            <w:vAlign w:val="center"/>
          </w:tcPr>
          <w:p w14:paraId="3B1AF4BC">
            <w:pPr>
              <w:pStyle w:val="34"/>
            </w:pPr>
            <w:r>
              <w:rPr>
                <w:rFonts w:hint="eastAsia"/>
              </w:rPr>
              <w:t>0.28</w:t>
            </w:r>
          </w:p>
        </w:tc>
        <w:tc>
          <w:tcPr>
            <w:tcW w:w="0" w:type="auto"/>
            <w:vAlign w:val="center"/>
          </w:tcPr>
          <w:p w14:paraId="142BAB90">
            <w:pPr>
              <w:pStyle w:val="34"/>
            </w:pPr>
            <w:r>
              <w:rPr>
                <w:rFonts w:hint="eastAsia"/>
              </w:rPr>
              <w:t>0.0003</w:t>
            </w:r>
          </w:p>
        </w:tc>
        <w:tc>
          <w:tcPr>
            <w:tcW w:w="0" w:type="auto"/>
            <w:vAlign w:val="center"/>
          </w:tcPr>
          <w:p w14:paraId="6A616FED">
            <w:pPr>
              <w:pStyle w:val="34"/>
            </w:pPr>
            <w:r>
              <w:rPr>
                <w:rFonts w:hint="eastAsia"/>
              </w:rPr>
              <w:t>0.14</w:t>
            </w:r>
          </w:p>
        </w:tc>
      </w:tr>
      <w:tr w14:paraId="37A7EB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7575DA22">
            <w:pPr>
              <w:pStyle w:val="34"/>
            </w:pPr>
            <w:r>
              <w:t>50</w:t>
            </w:r>
          </w:p>
        </w:tc>
        <w:tc>
          <w:tcPr>
            <w:tcW w:w="0" w:type="auto"/>
          </w:tcPr>
          <w:p w14:paraId="453E4648">
            <w:pPr>
              <w:pStyle w:val="34"/>
            </w:pPr>
            <w:r>
              <w:rPr>
                <w:rFonts w:hint="eastAsia"/>
              </w:rPr>
              <w:t>0.005</w:t>
            </w:r>
          </w:p>
        </w:tc>
        <w:tc>
          <w:tcPr>
            <w:tcW w:w="0" w:type="auto"/>
            <w:vAlign w:val="center"/>
          </w:tcPr>
          <w:p w14:paraId="011B22C9">
            <w:pPr>
              <w:pStyle w:val="34"/>
            </w:pPr>
            <w:r>
              <w:rPr>
                <w:rFonts w:hint="eastAsia"/>
              </w:rPr>
              <w:t>0.57</w:t>
            </w:r>
          </w:p>
        </w:tc>
        <w:tc>
          <w:tcPr>
            <w:tcW w:w="0" w:type="auto"/>
            <w:vAlign w:val="center"/>
          </w:tcPr>
          <w:p w14:paraId="09121858">
            <w:pPr>
              <w:pStyle w:val="34"/>
            </w:pPr>
            <w:r>
              <w:rPr>
                <w:rFonts w:hint="eastAsia"/>
              </w:rPr>
              <w:t>0.0013</w:t>
            </w:r>
          </w:p>
        </w:tc>
        <w:tc>
          <w:tcPr>
            <w:tcW w:w="0" w:type="auto"/>
            <w:vAlign w:val="center"/>
          </w:tcPr>
          <w:p w14:paraId="163C989A">
            <w:pPr>
              <w:pStyle w:val="34"/>
            </w:pPr>
            <w:r>
              <w:rPr>
                <w:rFonts w:hint="eastAsia"/>
              </w:rPr>
              <w:t>0.30</w:t>
            </w:r>
          </w:p>
        </w:tc>
        <w:tc>
          <w:tcPr>
            <w:tcW w:w="0" w:type="auto"/>
            <w:vAlign w:val="center"/>
          </w:tcPr>
          <w:p w14:paraId="2DB70681">
            <w:pPr>
              <w:pStyle w:val="34"/>
            </w:pPr>
            <w:r>
              <w:rPr>
                <w:rFonts w:hint="eastAsia"/>
              </w:rPr>
              <w:t>0.0004</w:t>
            </w:r>
          </w:p>
        </w:tc>
        <w:tc>
          <w:tcPr>
            <w:tcW w:w="0" w:type="auto"/>
            <w:vAlign w:val="center"/>
          </w:tcPr>
          <w:p w14:paraId="618147AF">
            <w:pPr>
              <w:pStyle w:val="34"/>
            </w:pPr>
            <w:r>
              <w:rPr>
                <w:rFonts w:hint="eastAsia"/>
              </w:rPr>
              <w:t>0.15</w:t>
            </w:r>
          </w:p>
        </w:tc>
      </w:tr>
      <w:tr w14:paraId="403216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3FFC33D5">
            <w:pPr>
              <w:pStyle w:val="34"/>
            </w:pPr>
            <w:r>
              <w:t>100</w:t>
            </w:r>
          </w:p>
        </w:tc>
        <w:tc>
          <w:tcPr>
            <w:tcW w:w="0" w:type="auto"/>
          </w:tcPr>
          <w:p w14:paraId="495D5A4E">
            <w:pPr>
              <w:pStyle w:val="34"/>
            </w:pPr>
            <w:r>
              <w:rPr>
                <w:rFonts w:hint="eastAsia"/>
              </w:rPr>
              <w:t>0.006</w:t>
            </w:r>
          </w:p>
        </w:tc>
        <w:tc>
          <w:tcPr>
            <w:tcW w:w="0" w:type="auto"/>
            <w:vAlign w:val="center"/>
          </w:tcPr>
          <w:p w14:paraId="1D5E39B4">
            <w:pPr>
              <w:pStyle w:val="34"/>
            </w:pPr>
            <w:r>
              <w:rPr>
                <w:rFonts w:hint="eastAsia"/>
              </w:rPr>
              <w:t>0.67</w:t>
            </w:r>
          </w:p>
        </w:tc>
        <w:tc>
          <w:tcPr>
            <w:tcW w:w="0" w:type="auto"/>
            <w:vAlign w:val="center"/>
          </w:tcPr>
          <w:p w14:paraId="42D8804A">
            <w:pPr>
              <w:pStyle w:val="34"/>
            </w:pPr>
            <w:r>
              <w:rPr>
                <w:rFonts w:hint="eastAsia"/>
              </w:rPr>
              <w:t>0.0016</w:t>
            </w:r>
          </w:p>
        </w:tc>
        <w:tc>
          <w:tcPr>
            <w:tcW w:w="0" w:type="auto"/>
            <w:vAlign w:val="center"/>
          </w:tcPr>
          <w:p w14:paraId="06BE5ED1">
            <w:pPr>
              <w:pStyle w:val="34"/>
            </w:pPr>
            <w:r>
              <w:rPr>
                <w:rFonts w:hint="eastAsia"/>
              </w:rPr>
              <w:t>0.36</w:t>
            </w:r>
          </w:p>
        </w:tc>
        <w:tc>
          <w:tcPr>
            <w:tcW w:w="0" w:type="auto"/>
            <w:vAlign w:val="center"/>
          </w:tcPr>
          <w:p w14:paraId="504839C9">
            <w:pPr>
              <w:pStyle w:val="34"/>
            </w:pPr>
            <w:r>
              <w:rPr>
                <w:rFonts w:hint="eastAsia"/>
              </w:rPr>
              <w:t>0.0004</w:t>
            </w:r>
          </w:p>
        </w:tc>
        <w:tc>
          <w:tcPr>
            <w:tcW w:w="0" w:type="auto"/>
            <w:vAlign w:val="center"/>
          </w:tcPr>
          <w:p w14:paraId="7DDDC741">
            <w:pPr>
              <w:pStyle w:val="34"/>
            </w:pPr>
            <w:r>
              <w:rPr>
                <w:rFonts w:hint="eastAsia"/>
              </w:rPr>
              <w:t>0.18</w:t>
            </w:r>
          </w:p>
        </w:tc>
      </w:tr>
      <w:tr w14:paraId="69CB22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5C9FB39E">
            <w:pPr>
              <w:pStyle w:val="34"/>
            </w:pPr>
            <w:r>
              <w:t>200</w:t>
            </w:r>
          </w:p>
        </w:tc>
        <w:tc>
          <w:tcPr>
            <w:tcW w:w="0" w:type="auto"/>
          </w:tcPr>
          <w:p w14:paraId="75BA9581">
            <w:pPr>
              <w:pStyle w:val="34"/>
            </w:pPr>
            <w:r>
              <w:rPr>
                <w:rFonts w:hint="eastAsia"/>
              </w:rPr>
              <w:t>0.008</w:t>
            </w:r>
          </w:p>
        </w:tc>
        <w:tc>
          <w:tcPr>
            <w:tcW w:w="0" w:type="auto"/>
            <w:vAlign w:val="center"/>
          </w:tcPr>
          <w:p w14:paraId="12065F4A">
            <w:pPr>
              <w:pStyle w:val="34"/>
            </w:pPr>
            <w:r>
              <w:rPr>
                <w:rFonts w:hint="eastAsia"/>
              </w:rPr>
              <w:t>0.84</w:t>
            </w:r>
          </w:p>
        </w:tc>
        <w:tc>
          <w:tcPr>
            <w:tcW w:w="0" w:type="auto"/>
            <w:vAlign w:val="center"/>
          </w:tcPr>
          <w:p w14:paraId="1982633E">
            <w:pPr>
              <w:pStyle w:val="34"/>
            </w:pPr>
            <w:r>
              <w:rPr>
                <w:rFonts w:hint="eastAsia"/>
              </w:rPr>
              <w:t>0.0020</w:t>
            </w:r>
          </w:p>
        </w:tc>
        <w:tc>
          <w:tcPr>
            <w:tcW w:w="0" w:type="auto"/>
            <w:vAlign w:val="center"/>
          </w:tcPr>
          <w:p w14:paraId="3A25EE55">
            <w:pPr>
              <w:pStyle w:val="34"/>
            </w:pPr>
            <w:r>
              <w:rPr>
                <w:rFonts w:hint="eastAsia"/>
              </w:rPr>
              <w:t>0.45</w:t>
            </w:r>
          </w:p>
        </w:tc>
        <w:tc>
          <w:tcPr>
            <w:tcW w:w="0" w:type="auto"/>
            <w:vAlign w:val="center"/>
          </w:tcPr>
          <w:p w14:paraId="5C34FE2E">
            <w:pPr>
              <w:pStyle w:val="34"/>
            </w:pPr>
            <w:r>
              <w:rPr>
                <w:rFonts w:hint="eastAsia"/>
              </w:rPr>
              <w:t>0.0005</w:t>
            </w:r>
          </w:p>
        </w:tc>
        <w:tc>
          <w:tcPr>
            <w:tcW w:w="0" w:type="auto"/>
            <w:vAlign w:val="center"/>
          </w:tcPr>
          <w:p w14:paraId="7808199A">
            <w:pPr>
              <w:pStyle w:val="34"/>
            </w:pPr>
            <w:r>
              <w:rPr>
                <w:rFonts w:hint="eastAsia"/>
              </w:rPr>
              <w:t>0.22</w:t>
            </w:r>
          </w:p>
        </w:tc>
      </w:tr>
      <w:tr w14:paraId="3B7F3B68">
        <w:tblPrEx>
          <w:tblCellMar>
            <w:top w:w="0" w:type="dxa"/>
            <w:left w:w="108" w:type="dxa"/>
            <w:bottom w:w="0" w:type="dxa"/>
            <w:right w:w="108" w:type="dxa"/>
          </w:tblCellMar>
        </w:tblPrEx>
        <w:trPr>
          <w:jc w:val="center"/>
        </w:trPr>
        <w:tc>
          <w:tcPr>
            <w:tcW w:w="0" w:type="auto"/>
            <w:vAlign w:val="center"/>
          </w:tcPr>
          <w:p w14:paraId="30F973EF">
            <w:pPr>
              <w:pStyle w:val="34"/>
            </w:pPr>
            <w:r>
              <w:t>300</w:t>
            </w:r>
          </w:p>
        </w:tc>
        <w:tc>
          <w:tcPr>
            <w:tcW w:w="0" w:type="auto"/>
          </w:tcPr>
          <w:p w14:paraId="6CE16333">
            <w:pPr>
              <w:pStyle w:val="34"/>
            </w:pPr>
            <w:r>
              <w:rPr>
                <w:rFonts w:hint="eastAsia"/>
              </w:rPr>
              <w:t>0.007</w:t>
            </w:r>
          </w:p>
        </w:tc>
        <w:tc>
          <w:tcPr>
            <w:tcW w:w="0" w:type="auto"/>
            <w:vAlign w:val="center"/>
          </w:tcPr>
          <w:p w14:paraId="1DA79164">
            <w:pPr>
              <w:pStyle w:val="34"/>
            </w:pPr>
            <w:r>
              <w:rPr>
                <w:rFonts w:hint="eastAsia"/>
              </w:rPr>
              <w:t>0.76</w:t>
            </w:r>
          </w:p>
        </w:tc>
        <w:tc>
          <w:tcPr>
            <w:tcW w:w="0" w:type="auto"/>
            <w:vAlign w:val="center"/>
          </w:tcPr>
          <w:p w14:paraId="40817887">
            <w:pPr>
              <w:pStyle w:val="34"/>
            </w:pPr>
            <w:r>
              <w:rPr>
                <w:rFonts w:hint="eastAsia"/>
              </w:rPr>
              <w:t>0.0018</w:t>
            </w:r>
          </w:p>
        </w:tc>
        <w:tc>
          <w:tcPr>
            <w:tcW w:w="0" w:type="auto"/>
            <w:vAlign w:val="center"/>
          </w:tcPr>
          <w:p w14:paraId="41F9ACA8">
            <w:pPr>
              <w:pStyle w:val="34"/>
            </w:pPr>
            <w:r>
              <w:rPr>
                <w:rFonts w:hint="eastAsia"/>
              </w:rPr>
              <w:t>0.41</w:t>
            </w:r>
          </w:p>
        </w:tc>
        <w:tc>
          <w:tcPr>
            <w:tcW w:w="0" w:type="auto"/>
            <w:vAlign w:val="center"/>
          </w:tcPr>
          <w:p w14:paraId="22618C2A">
            <w:pPr>
              <w:pStyle w:val="34"/>
            </w:pPr>
            <w:r>
              <w:rPr>
                <w:rFonts w:hint="eastAsia"/>
              </w:rPr>
              <w:t>0.0004</w:t>
            </w:r>
          </w:p>
        </w:tc>
        <w:tc>
          <w:tcPr>
            <w:tcW w:w="0" w:type="auto"/>
            <w:vAlign w:val="center"/>
          </w:tcPr>
          <w:p w14:paraId="134AE6A6">
            <w:pPr>
              <w:pStyle w:val="34"/>
            </w:pPr>
            <w:r>
              <w:rPr>
                <w:rFonts w:hint="eastAsia"/>
              </w:rPr>
              <w:t>0.20</w:t>
            </w:r>
          </w:p>
        </w:tc>
      </w:tr>
      <w:tr w14:paraId="236F12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1B16DB1A">
            <w:pPr>
              <w:pStyle w:val="34"/>
            </w:pPr>
            <w:r>
              <w:t>500</w:t>
            </w:r>
          </w:p>
        </w:tc>
        <w:tc>
          <w:tcPr>
            <w:tcW w:w="0" w:type="auto"/>
          </w:tcPr>
          <w:p w14:paraId="56E03183">
            <w:pPr>
              <w:pStyle w:val="34"/>
            </w:pPr>
            <w:r>
              <w:rPr>
                <w:rFonts w:hint="eastAsia"/>
              </w:rPr>
              <w:t>0.005</w:t>
            </w:r>
          </w:p>
        </w:tc>
        <w:tc>
          <w:tcPr>
            <w:tcW w:w="0" w:type="auto"/>
            <w:vAlign w:val="center"/>
          </w:tcPr>
          <w:p w14:paraId="71D849DA">
            <w:pPr>
              <w:pStyle w:val="34"/>
            </w:pPr>
            <w:r>
              <w:rPr>
                <w:rFonts w:hint="eastAsia"/>
              </w:rPr>
              <w:t>0.52</w:t>
            </w:r>
          </w:p>
        </w:tc>
        <w:tc>
          <w:tcPr>
            <w:tcW w:w="0" w:type="auto"/>
            <w:vAlign w:val="center"/>
          </w:tcPr>
          <w:p w14:paraId="1196132E">
            <w:pPr>
              <w:pStyle w:val="34"/>
            </w:pPr>
            <w:r>
              <w:rPr>
                <w:rFonts w:hint="eastAsia"/>
              </w:rPr>
              <w:t>0.0012</w:t>
            </w:r>
          </w:p>
        </w:tc>
        <w:tc>
          <w:tcPr>
            <w:tcW w:w="0" w:type="auto"/>
            <w:vAlign w:val="center"/>
          </w:tcPr>
          <w:p w14:paraId="456A7D3D">
            <w:pPr>
              <w:pStyle w:val="34"/>
            </w:pPr>
            <w:r>
              <w:rPr>
                <w:rFonts w:hint="eastAsia"/>
              </w:rPr>
              <w:t>0.28</w:t>
            </w:r>
          </w:p>
        </w:tc>
        <w:tc>
          <w:tcPr>
            <w:tcW w:w="0" w:type="auto"/>
            <w:vAlign w:val="center"/>
          </w:tcPr>
          <w:p w14:paraId="21536979">
            <w:pPr>
              <w:pStyle w:val="34"/>
            </w:pPr>
            <w:r>
              <w:rPr>
                <w:rFonts w:hint="eastAsia"/>
              </w:rPr>
              <w:t>0.0003</w:t>
            </w:r>
          </w:p>
        </w:tc>
        <w:tc>
          <w:tcPr>
            <w:tcW w:w="0" w:type="auto"/>
            <w:vAlign w:val="center"/>
          </w:tcPr>
          <w:p w14:paraId="18021868">
            <w:pPr>
              <w:pStyle w:val="34"/>
            </w:pPr>
            <w:r>
              <w:rPr>
                <w:rFonts w:hint="eastAsia"/>
              </w:rPr>
              <w:t>0.14</w:t>
            </w:r>
          </w:p>
        </w:tc>
      </w:tr>
      <w:tr w14:paraId="683C03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771C954A">
            <w:pPr>
              <w:pStyle w:val="34"/>
            </w:pPr>
            <w:r>
              <w:rPr>
                <w:rFonts w:hint="eastAsia"/>
              </w:rPr>
              <w:t>1</w:t>
            </w:r>
            <w:r>
              <w:t>000</w:t>
            </w:r>
          </w:p>
        </w:tc>
        <w:tc>
          <w:tcPr>
            <w:tcW w:w="0" w:type="auto"/>
          </w:tcPr>
          <w:p w14:paraId="1E9828E1">
            <w:pPr>
              <w:pStyle w:val="34"/>
            </w:pPr>
            <w:r>
              <w:rPr>
                <w:rFonts w:hint="eastAsia"/>
              </w:rPr>
              <w:t>0.002</w:t>
            </w:r>
          </w:p>
        </w:tc>
        <w:tc>
          <w:tcPr>
            <w:tcW w:w="0" w:type="auto"/>
            <w:vAlign w:val="center"/>
          </w:tcPr>
          <w:p w14:paraId="4E64EFEB">
            <w:pPr>
              <w:pStyle w:val="34"/>
            </w:pPr>
            <w:r>
              <w:rPr>
                <w:rFonts w:hint="eastAsia"/>
              </w:rPr>
              <w:t>0.25</w:t>
            </w:r>
          </w:p>
        </w:tc>
        <w:tc>
          <w:tcPr>
            <w:tcW w:w="0" w:type="auto"/>
            <w:vAlign w:val="center"/>
          </w:tcPr>
          <w:p w14:paraId="1154DC59">
            <w:pPr>
              <w:pStyle w:val="34"/>
            </w:pPr>
            <w:r>
              <w:rPr>
                <w:rFonts w:hint="eastAsia"/>
              </w:rPr>
              <w:t>0.0006</w:t>
            </w:r>
          </w:p>
        </w:tc>
        <w:tc>
          <w:tcPr>
            <w:tcW w:w="0" w:type="auto"/>
            <w:vAlign w:val="center"/>
          </w:tcPr>
          <w:p w14:paraId="7F95EADD">
            <w:pPr>
              <w:pStyle w:val="34"/>
            </w:pPr>
            <w:r>
              <w:rPr>
                <w:rFonts w:hint="eastAsia"/>
              </w:rPr>
              <w:t>0.14</w:t>
            </w:r>
          </w:p>
        </w:tc>
        <w:tc>
          <w:tcPr>
            <w:tcW w:w="0" w:type="auto"/>
            <w:vAlign w:val="center"/>
          </w:tcPr>
          <w:p w14:paraId="35602AC1">
            <w:pPr>
              <w:pStyle w:val="34"/>
            </w:pPr>
            <w:r>
              <w:rPr>
                <w:rFonts w:hint="eastAsia"/>
              </w:rPr>
              <w:t>0.0001</w:t>
            </w:r>
          </w:p>
        </w:tc>
        <w:tc>
          <w:tcPr>
            <w:tcW w:w="0" w:type="auto"/>
            <w:vAlign w:val="center"/>
          </w:tcPr>
          <w:p w14:paraId="4554FB5D">
            <w:pPr>
              <w:pStyle w:val="34"/>
            </w:pPr>
            <w:r>
              <w:rPr>
                <w:rFonts w:hint="eastAsia"/>
              </w:rPr>
              <w:t>0.07</w:t>
            </w:r>
          </w:p>
        </w:tc>
      </w:tr>
      <w:tr w14:paraId="29870E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614D71D2">
            <w:pPr>
              <w:pStyle w:val="34"/>
            </w:pPr>
            <w:r>
              <w:t>下风向最大质量浓度及占标率</w:t>
            </w:r>
          </w:p>
        </w:tc>
        <w:tc>
          <w:tcPr>
            <w:tcW w:w="0" w:type="auto"/>
            <w:vAlign w:val="center"/>
          </w:tcPr>
          <w:p w14:paraId="7314614C">
            <w:pPr>
              <w:pStyle w:val="34"/>
            </w:pPr>
            <w:r>
              <w:rPr>
                <w:rFonts w:hint="eastAsia"/>
              </w:rPr>
              <w:t>0.008</w:t>
            </w:r>
          </w:p>
        </w:tc>
        <w:tc>
          <w:tcPr>
            <w:tcW w:w="0" w:type="auto"/>
            <w:vAlign w:val="center"/>
          </w:tcPr>
          <w:p w14:paraId="6FE5A2E8">
            <w:pPr>
              <w:pStyle w:val="34"/>
            </w:pPr>
            <w:r>
              <w:rPr>
                <w:rFonts w:hint="eastAsia"/>
              </w:rPr>
              <w:t>0.84</w:t>
            </w:r>
          </w:p>
        </w:tc>
        <w:tc>
          <w:tcPr>
            <w:tcW w:w="0" w:type="auto"/>
            <w:vAlign w:val="center"/>
          </w:tcPr>
          <w:p w14:paraId="57A799B0">
            <w:pPr>
              <w:pStyle w:val="34"/>
            </w:pPr>
            <w:r>
              <w:rPr>
                <w:rFonts w:hint="eastAsia"/>
              </w:rPr>
              <w:t>0.0020</w:t>
            </w:r>
          </w:p>
        </w:tc>
        <w:tc>
          <w:tcPr>
            <w:tcW w:w="0" w:type="auto"/>
            <w:vAlign w:val="center"/>
          </w:tcPr>
          <w:p w14:paraId="53BFD512">
            <w:pPr>
              <w:pStyle w:val="34"/>
            </w:pPr>
            <w:r>
              <w:rPr>
                <w:rFonts w:hint="eastAsia"/>
              </w:rPr>
              <w:t>0.45</w:t>
            </w:r>
          </w:p>
        </w:tc>
        <w:tc>
          <w:tcPr>
            <w:tcW w:w="0" w:type="auto"/>
            <w:vAlign w:val="center"/>
          </w:tcPr>
          <w:p w14:paraId="015DEF1B">
            <w:pPr>
              <w:pStyle w:val="34"/>
            </w:pPr>
            <w:r>
              <w:rPr>
                <w:rFonts w:hint="eastAsia"/>
              </w:rPr>
              <w:t>0.0005</w:t>
            </w:r>
          </w:p>
        </w:tc>
        <w:tc>
          <w:tcPr>
            <w:tcW w:w="0" w:type="auto"/>
            <w:vAlign w:val="center"/>
          </w:tcPr>
          <w:p w14:paraId="0BAA90F0">
            <w:pPr>
              <w:pStyle w:val="34"/>
            </w:pPr>
            <w:r>
              <w:rPr>
                <w:rFonts w:hint="eastAsia"/>
              </w:rPr>
              <w:t>0.22</w:t>
            </w:r>
          </w:p>
        </w:tc>
      </w:tr>
      <w:tr w14:paraId="2D1C0CCB">
        <w:tblPrEx>
          <w:tblCellMar>
            <w:top w:w="0" w:type="dxa"/>
            <w:left w:w="108" w:type="dxa"/>
            <w:bottom w:w="0" w:type="dxa"/>
            <w:right w:w="108" w:type="dxa"/>
          </w:tblCellMar>
        </w:tblPrEx>
        <w:trPr>
          <w:jc w:val="center"/>
        </w:trPr>
        <w:tc>
          <w:tcPr>
            <w:tcW w:w="0" w:type="auto"/>
            <w:vAlign w:val="center"/>
          </w:tcPr>
          <w:p w14:paraId="3D44E6A9">
            <w:pPr>
              <w:pStyle w:val="34"/>
            </w:pPr>
            <w:r>
              <w:t>D10%最远距离</w:t>
            </w:r>
          </w:p>
        </w:tc>
        <w:tc>
          <w:tcPr>
            <w:tcW w:w="0" w:type="auto"/>
            <w:gridSpan w:val="2"/>
          </w:tcPr>
          <w:p w14:paraId="1751B787">
            <w:pPr>
              <w:pStyle w:val="34"/>
            </w:pPr>
            <w:r>
              <w:t>——</w:t>
            </w:r>
          </w:p>
        </w:tc>
        <w:tc>
          <w:tcPr>
            <w:tcW w:w="0" w:type="auto"/>
            <w:gridSpan w:val="2"/>
            <w:vAlign w:val="center"/>
          </w:tcPr>
          <w:p w14:paraId="34FA74D5">
            <w:pPr>
              <w:pStyle w:val="34"/>
            </w:pPr>
            <w:r>
              <w:t>——</w:t>
            </w:r>
          </w:p>
        </w:tc>
        <w:tc>
          <w:tcPr>
            <w:tcW w:w="0" w:type="auto"/>
            <w:gridSpan w:val="2"/>
            <w:vAlign w:val="center"/>
          </w:tcPr>
          <w:p w14:paraId="0760F177">
            <w:pPr>
              <w:pStyle w:val="34"/>
            </w:pPr>
            <w:r>
              <w:t>——</w:t>
            </w:r>
          </w:p>
        </w:tc>
      </w:tr>
    </w:tbl>
    <w:p w14:paraId="282381D1">
      <w:pPr>
        <w:tabs>
          <w:tab w:val="left" w:pos="7488"/>
        </w:tabs>
        <w:snapToGrid w:val="0"/>
        <w:spacing w:line="348" w:lineRule="auto"/>
        <w:ind w:firstLine="462"/>
      </w:pPr>
      <w:r>
        <w:t>由上表可知，本项目P</w:t>
      </w:r>
      <w:r>
        <w:rPr>
          <w:vertAlign w:val="subscript"/>
        </w:rPr>
        <w:t>max</w:t>
      </w:r>
      <w:r>
        <w:t>最大值为</w:t>
      </w:r>
      <w:r>
        <w:rPr>
          <w:rFonts w:hint="eastAsia"/>
        </w:rPr>
        <w:t>0.84</w:t>
      </w:r>
      <w:r>
        <w:t>%，根据《环境影响评价技术导则 大气环境》</w:t>
      </w:r>
      <w:r>
        <w:rPr>
          <w:rFonts w:hint="eastAsia"/>
        </w:rPr>
        <w:t>（</w:t>
      </w:r>
      <w:r>
        <w:t>HJ2.2-2018</w:t>
      </w:r>
      <w:r>
        <w:rPr>
          <w:rFonts w:hint="eastAsia"/>
        </w:rPr>
        <w:t>）</w:t>
      </w:r>
      <w:r>
        <w:t>分级判据，P</w:t>
      </w:r>
      <w:r>
        <w:rPr>
          <w:vertAlign w:val="subscript"/>
        </w:rPr>
        <w:t>max</w:t>
      </w:r>
      <w:r>
        <w:t>＜1%</w:t>
      </w:r>
      <w:r>
        <w:rPr>
          <w:rFonts w:hint="eastAsia"/>
        </w:rPr>
        <w:t>，</w:t>
      </w:r>
      <w:r>
        <w:t>确定本项目大气环境影响评价工作等级为</w:t>
      </w:r>
      <w:r>
        <w:rPr>
          <w:rFonts w:hint="eastAsia"/>
        </w:rPr>
        <w:t>三</w:t>
      </w:r>
      <w:r>
        <w:t>级。</w:t>
      </w:r>
    </w:p>
    <w:p w14:paraId="7537FFFF">
      <w:pPr>
        <w:pStyle w:val="6"/>
      </w:pPr>
      <w:r>
        <w:rPr>
          <w:rFonts w:hint="eastAsia"/>
        </w:rPr>
        <w:t>声环境</w:t>
      </w:r>
    </w:p>
    <w:p w14:paraId="0064C803">
      <w:pPr>
        <w:tabs>
          <w:tab w:val="left" w:pos="7488"/>
        </w:tabs>
        <w:snapToGrid w:val="0"/>
        <w:spacing w:line="348" w:lineRule="auto"/>
        <w:ind w:firstLine="462"/>
      </w:pPr>
      <w:bookmarkStart w:id="102" w:name="OLE_LINK14"/>
      <w:r>
        <w:rPr>
          <w:rFonts w:hint="eastAsia" w:cs="宋体"/>
          <w:lang w:bidi="ar"/>
        </w:rPr>
        <w:t>根据《环境影响评价技术导则</w:t>
      </w:r>
      <w:r>
        <w:rPr>
          <w:lang w:bidi="ar"/>
        </w:rPr>
        <w:t xml:space="preserve"> </w:t>
      </w:r>
      <w:r>
        <w:rPr>
          <w:rFonts w:hint="eastAsia" w:cs="宋体"/>
          <w:lang w:bidi="ar"/>
        </w:rPr>
        <w:t>声环境》（</w:t>
      </w:r>
      <w:r>
        <w:rPr>
          <w:lang w:bidi="ar"/>
        </w:rPr>
        <w:t>HJ2.4-2021</w:t>
      </w:r>
      <w:r>
        <w:rPr>
          <w:rFonts w:hint="eastAsia" w:cs="宋体"/>
          <w:lang w:bidi="ar"/>
        </w:rPr>
        <w:t>），若建设项目所处的声环境功能区为</w:t>
      </w:r>
      <w:r>
        <w:rPr>
          <w:lang w:bidi="ar"/>
        </w:rPr>
        <w:t xml:space="preserve">GB3096 </w:t>
      </w:r>
      <w:r>
        <w:rPr>
          <w:rFonts w:hint="eastAsia" w:cs="宋体"/>
          <w:lang w:bidi="ar"/>
        </w:rPr>
        <w:t>规定的</w:t>
      </w:r>
      <w:r>
        <w:rPr>
          <w:lang w:bidi="ar"/>
        </w:rPr>
        <w:t>3</w:t>
      </w:r>
      <w:r>
        <w:rPr>
          <w:rFonts w:hint="eastAsia" w:cs="宋体"/>
          <w:lang w:bidi="ar"/>
        </w:rPr>
        <w:t>类、</w:t>
      </w:r>
      <w:r>
        <w:rPr>
          <w:lang w:bidi="ar"/>
        </w:rPr>
        <w:t>4</w:t>
      </w:r>
      <w:r>
        <w:rPr>
          <w:rFonts w:hint="eastAsia" w:cs="宋体"/>
          <w:lang w:bidi="ar"/>
        </w:rPr>
        <w:t>类地区，或建设项目建设前后的评价范围内敏感目标噪声级增高量达</w:t>
      </w:r>
      <w:r>
        <w:rPr>
          <w:lang w:bidi="ar"/>
        </w:rPr>
        <w:t>3dB</w:t>
      </w:r>
      <w:r>
        <w:rPr>
          <w:rFonts w:hint="eastAsia" w:cs="宋体"/>
          <w:lang w:bidi="ar"/>
        </w:rPr>
        <w:t>（</w:t>
      </w:r>
      <w:r>
        <w:rPr>
          <w:lang w:bidi="ar"/>
        </w:rPr>
        <w:t>A</w:t>
      </w:r>
      <w:r>
        <w:rPr>
          <w:rFonts w:hint="eastAsia" w:cs="宋体"/>
          <w:lang w:bidi="ar"/>
        </w:rPr>
        <w:t>）以下，且受影响人口数量变化不大时，按三级评价。本项目位于</w:t>
      </w:r>
      <w:r>
        <w:rPr>
          <w:lang w:bidi="ar"/>
        </w:rPr>
        <w:t>3</w:t>
      </w:r>
      <w:r>
        <w:rPr>
          <w:rFonts w:hint="eastAsia" w:cs="宋体"/>
          <w:lang w:bidi="ar"/>
        </w:rPr>
        <w:t>类声环境功能区，且项目周边无集中居住区，项目噪声源主要为码头进出港船舶辅机运行、装卸作业噪声，项目声环境影响评价等级为三级。</w:t>
      </w:r>
      <w:bookmarkEnd w:id="102"/>
    </w:p>
    <w:p w14:paraId="3559BDA2">
      <w:pPr>
        <w:pStyle w:val="6"/>
      </w:pPr>
      <w:r>
        <w:rPr>
          <w:rFonts w:hint="eastAsia"/>
        </w:rPr>
        <w:t>环境风险</w:t>
      </w:r>
    </w:p>
    <w:p w14:paraId="4ECCBF93">
      <w:pPr>
        <w:tabs>
          <w:tab w:val="left" w:pos="7488"/>
        </w:tabs>
        <w:snapToGrid w:val="0"/>
        <w:spacing w:line="348" w:lineRule="auto"/>
        <w:ind w:firstLine="464"/>
        <w:outlineLvl w:val="4"/>
        <w:rPr>
          <w:b/>
          <w:bCs/>
        </w:rPr>
      </w:pPr>
      <w:r>
        <w:rPr>
          <w:rFonts w:hint="eastAsia"/>
          <w:b/>
          <w:bCs/>
        </w:rPr>
        <w:t>一、P的分级确定</w:t>
      </w:r>
    </w:p>
    <w:p w14:paraId="1FDE5CD2">
      <w:pPr>
        <w:tabs>
          <w:tab w:val="left" w:pos="7488"/>
        </w:tabs>
        <w:snapToGrid w:val="0"/>
        <w:spacing w:line="348" w:lineRule="auto"/>
        <w:ind w:firstLine="462"/>
      </w:pPr>
      <w:r>
        <w:rPr>
          <w:rFonts w:hint="eastAsia"/>
        </w:rPr>
        <w:t>1、危险物质数量及临界量比值（</w:t>
      </w:r>
      <w:r>
        <w:t>Q</w:t>
      </w:r>
      <w:r>
        <w:rPr>
          <w:rFonts w:hint="eastAsia"/>
        </w:rPr>
        <w:t>）</w:t>
      </w:r>
    </w:p>
    <w:p w14:paraId="309BA5C7">
      <w:pPr>
        <w:tabs>
          <w:tab w:val="left" w:pos="7488"/>
        </w:tabs>
        <w:snapToGrid w:val="0"/>
        <w:spacing w:line="348" w:lineRule="auto"/>
        <w:ind w:firstLine="462"/>
      </w:pPr>
      <w:r>
        <w:rPr>
          <w:rFonts w:hint="eastAsia"/>
        </w:rPr>
        <w:t>根据</w:t>
      </w:r>
      <w:r>
        <w:t>《建设项目环境风险评价技术导则》（HJ169-20</w:t>
      </w:r>
      <w:r>
        <w:rPr>
          <w:rFonts w:hint="eastAsia"/>
        </w:rPr>
        <w:t>18</w:t>
      </w:r>
      <w:r>
        <w:t>）</w:t>
      </w:r>
      <w:r>
        <w:rPr>
          <w:rFonts w:hint="eastAsia"/>
        </w:rPr>
        <w:t>，当存在多种危险物质时，物质总量与其临界量比值（</w:t>
      </w:r>
      <w:r>
        <w:t>Q</w:t>
      </w:r>
      <w:r>
        <w:rPr>
          <w:rFonts w:hint="eastAsia"/>
        </w:rPr>
        <w:t>）计算公式如下。</w:t>
      </w:r>
    </w:p>
    <w:p w14:paraId="5E3393B1">
      <w:pPr>
        <w:tabs>
          <w:tab w:val="left" w:pos="7488"/>
        </w:tabs>
        <w:snapToGrid w:val="0"/>
        <w:spacing w:line="348" w:lineRule="auto"/>
        <w:ind w:firstLine="462"/>
        <w:jc w:val="center"/>
      </w:pPr>
      <w:r>
        <w:drawing>
          <wp:inline distT="0" distB="0" distL="114300" distR="114300">
            <wp:extent cx="1959610" cy="417195"/>
            <wp:effectExtent l="0" t="0" r="2540" b="1905"/>
            <wp:docPr id="1375757855"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55" name="图片 224"/>
                    <pic:cNvPicPr>
                      <a:picLocks noChangeAspect="1"/>
                    </pic:cNvPicPr>
                  </pic:nvPicPr>
                  <pic:blipFill>
                    <a:blip r:embed="rId37"/>
                    <a:stretch>
                      <a:fillRect/>
                    </a:stretch>
                  </pic:blipFill>
                  <pic:spPr>
                    <a:xfrm>
                      <a:off x="0" y="0"/>
                      <a:ext cx="1959610" cy="417195"/>
                    </a:xfrm>
                    <a:prstGeom prst="rect">
                      <a:avLst/>
                    </a:prstGeom>
                    <a:noFill/>
                    <a:ln>
                      <a:noFill/>
                    </a:ln>
                  </pic:spPr>
                </pic:pic>
              </a:graphicData>
            </a:graphic>
          </wp:inline>
        </w:drawing>
      </w:r>
    </w:p>
    <w:p w14:paraId="7BB5C351">
      <w:pPr>
        <w:tabs>
          <w:tab w:val="left" w:pos="7488"/>
        </w:tabs>
        <w:snapToGrid w:val="0"/>
        <w:spacing w:line="348" w:lineRule="auto"/>
        <w:ind w:firstLine="462"/>
      </w:pPr>
      <w:r>
        <w:rPr>
          <w:rFonts w:hint="eastAsia"/>
        </w:rPr>
        <w:t>式中：</w:t>
      </w:r>
      <w:r>
        <w:t>q</w:t>
      </w:r>
      <w:r>
        <w:rPr>
          <w:vertAlign w:val="subscript"/>
        </w:rPr>
        <w:t>1</w:t>
      </w:r>
      <w:r>
        <w:rPr>
          <w:rFonts w:hint="eastAsia"/>
        </w:rPr>
        <w:t>，</w:t>
      </w:r>
      <w:r>
        <w:t>q</w:t>
      </w:r>
      <w:r>
        <w:rPr>
          <w:vertAlign w:val="subscript"/>
        </w:rPr>
        <w:t>2</w:t>
      </w:r>
      <w:r>
        <w:rPr>
          <w:rFonts w:hint="eastAsia"/>
        </w:rPr>
        <w:t>，...</w:t>
      </w:r>
      <w:r>
        <w:t>.q</w:t>
      </w:r>
      <w:r>
        <w:rPr>
          <w:vertAlign w:val="subscript"/>
        </w:rPr>
        <w:t>n</w:t>
      </w:r>
      <w:r>
        <w:rPr>
          <w:rFonts w:hint="eastAsia"/>
        </w:rPr>
        <w:t>—每种危险物质的最大存在总量，</w:t>
      </w:r>
      <w:r>
        <w:t>t</w:t>
      </w:r>
      <w:r>
        <w:rPr>
          <w:rFonts w:hint="eastAsia"/>
        </w:rPr>
        <w:t>；</w:t>
      </w:r>
    </w:p>
    <w:p w14:paraId="0712E859">
      <w:pPr>
        <w:tabs>
          <w:tab w:val="left" w:pos="7488"/>
        </w:tabs>
        <w:snapToGrid w:val="0"/>
        <w:spacing w:line="348" w:lineRule="auto"/>
        <w:ind w:firstLine="462"/>
      </w:pPr>
      <w:r>
        <w:rPr>
          <w:rFonts w:hint="eastAsia"/>
        </w:rPr>
        <w:t xml:space="preserve">      </w:t>
      </w:r>
      <w:r>
        <w:t>Q</w:t>
      </w:r>
      <w:r>
        <w:rPr>
          <w:vertAlign w:val="subscript"/>
        </w:rPr>
        <w:t>1</w:t>
      </w:r>
      <w:r>
        <w:rPr>
          <w:rFonts w:hint="eastAsia"/>
        </w:rPr>
        <w:t>，</w:t>
      </w:r>
      <w:r>
        <w:t>Q</w:t>
      </w:r>
      <w:r>
        <w:rPr>
          <w:vertAlign w:val="subscript"/>
        </w:rPr>
        <w:t>2</w:t>
      </w:r>
      <w:r>
        <w:rPr>
          <w:rFonts w:hint="eastAsia"/>
        </w:rPr>
        <w:t>，......</w:t>
      </w:r>
      <w:r>
        <w:t>.Q</w:t>
      </w:r>
      <w:r>
        <w:rPr>
          <w:vertAlign w:val="subscript"/>
        </w:rPr>
        <w:t>n</w:t>
      </w:r>
      <w:r>
        <w:rPr>
          <w:rFonts w:hint="eastAsia"/>
        </w:rPr>
        <w:t>—每种危险物质的临界量，t；</w:t>
      </w:r>
    </w:p>
    <w:p w14:paraId="7B6863CA">
      <w:pPr>
        <w:tabs>
          <w:tab w:val="left" w:pos="7488"/>
        </w:tabs>
        <w:snapToGrid w:val="0"/>
        <w:spacing w:line="348" w:lineRule="auto"/>
        <w:ind w:firstLine="462"/>
      </w:pPr>
      <w:r>
        <w:rPr>
          <w:rFonts w:hint="eastAsia"/>
        </w:rPr>
        <w:t>当</w:t>
      </w:r>
      <w:r>
        <w:t>Q＜1</w:t>
      </w:r>
      <w:r>
        <w:rPr>
          <w:rFonts w:hint="eastAsia"/>
        </w:rPr>
        <w:t>时，该项目环境风险潜势为</w:t>
      </w:r>
      <w:r>
        <w:t>Ⅰ</w:t>
      </w:r>
      <w:r>
        <w:rPr>
          <w:rFonts w:hint="eastAsia"/>
        </w:rPr>
        <w:t>。当</w:t>
      </w:r>
      <w:r>
        <w:t>Q≥1</w:t>
      </w:r>
      <w:r>
        <w:rPr>
          <w:rFonts w:hint="eastAsia"/>
        </w:rPr>
        <w:t>时，将</w:t>
      </w:r>
      <w:r>
        <w:t>Q</w:t>
      </w:r>
      <w:r>
        <w:rPr>
          <w:rFonts w:hint="eastAsia"/>
        </w:rPr>
        <w:t>值划分为：</w:t>
      </w:r>
      <w:r>
        <w:t>1≤Q＜10</w:t>
      </w:r>
      <w:r>
        <w:rPr>
          <w:rFonts w:hint="eastAsia"/>
        </w:rPr>
        <w:t>，</w:t>
      </w:r>
      <w:r>
        <w:t>10≤Q＜100</w:t>
      </w:r>
      <w:r>
        <w:rPr>
          <w:rFonts w:hint="eastAsia"/>
        </w:rPr>
        <w:t>，</w:t>
      </w:r>
      <w:r>
        <w:t>Q≥100</w:t>
      </w:r>
      <w:r>
        <w:rPr>
          <w:rFonts w:hint="eastAsia"/>
        </w:rPr>
        <w:t>。</w:t>
      </w:r>
    </w:p>
    <w:p w14:paraId="6EC924D5">
      <w:pPr>
        <w:tabs>
          <w:tab w:val="left" w:pos="7488"/>
        </w:tabs>
        <w:snapToGrid w:val="0"/>
        <w:spacing w:line="348" w:lineRule="auto"/>
        <w:ind w:firstLine="462"/>
      </w:pPr>
      <w:r>
        <w:rPr>
          <w:rFonts w:hint="eastAsia" w:cs="宋体"/>
          <w:lang w:bidi="ar"/>
        </w:rPr>
        <w:t>项目在23#堆场路侧端设置</w:t>
      </w:r>
      <w:bookmarkStart w:id="103" w:name="OLE_LINK3"/>
      <w:r>
        <w:rPr>
          <w:rFonts w:hint="eastAsia" w:cs="宋体"/>
          <w:lang w:bidi="ar"/>
        </w:rPr>
        <w:t>危险货物集装箱</w:t>
      </w:r>
      <w:bookmarkEnd w:id="103"/>
      <w:r>
        <w:rPr>
          <w:rFonts w:hint="eastAsia" w:cs="宋体"/>
          <w:lang w:bidi="ar"/>
        </w:rPr>
        <w:t>专用堆场，堆场堆存的危险货物集装箱种类为：</w:t>
      </w:r>
      <w:bookmarkStart w:id="104" w:name="OLE_LINK16"/>
      <w:r>
        <w:rPr>
          <w:rFonts w:hint="eastAsia" w:cs="宋体"/>
          <w:lang w:bidi="ar"/>
        </w:rPr>
        <w:t>第2.1项、第2.2项、第3类（不含退敏爆炸品）、第4.1项（不含固态退敏爆炸品）、第4.2项、第4.3项、第5.1项、第5.2项、第6.1项（不含剧毒品）、第8类、第9类危险货物集装箱，不含硝酸铵类。</w:t>
      </w:r>
      <w:bookmarkEnd w:id="104"/>
      <w:r>
        <w:rPr>
          <w:rFonts w:hint="eastAsia" w:cs="宋体"/>
          <w:lang w:bidi="ar"/>
        </w:rPr>
        <w:t>按堆场各类货种最大可能堆存量及堆场货种，参照《建设项目环境风险评价技术导则》（</w:t>
      </w:r>
      <w:r>
        <w:rPr>
          <w:rFonts w:eastAsia="Times New Roman"/>
          <w:lang w:bidi="ar"/>
        </w:rPr>
        <w:t>HJ</w:t>
      </w:r>
      <w:r>
        <w:rPr>
          <w:rFonts w:eastAsia="Times New Roman"/>
          <w:spacing w:val="-1"/>
          <w:lang w:bidi="ar"/>
        </w:rPr>
        <w:t>169-20</w:t>
      </w:r>
      <w:r>
        <w:rPr>
          <w:spacing w:val="-1"/>
          <w:lang w:bidi="ar"/>
        </w:rPr>
        <w:t>18</w:t>
      </w:r>
      <w:r>
        <w:rPr>
          <w:rFonts w:hint="eastAsia" w:cs="宋体"/>
          <w:spacing w:val="-1"/>
          <w:lang w:bidi="ar"/>
        </w:rPr>
        <w:t>）附录</w:t>
      </w:r>
      <w:r>
        <w:rPr>
          <w:spacing w:val="-1"/>
          <w:lang w:bidi="ar"/>
        </w:rPr>
        <w:t>B</w:t>
      </w:r>
      <w:r>
        <w:rPr>
          <w:rFonts w:hint="eastAsia"/>
          <w:spacing w:val="-1"/>
          <w:lang w:bidi="ar"/>
        </w:rPr>
        <w:t>选取各类物质</w:t>
      </w:r>
      <w:r>
        <w:rPr>
          <w:rFonts w:hint="eastAsia" w:cs="宋体"/>
          <w:lang w:bidi="ar"/>
        </w:rPr>
        <w:t>临界量最小的危险货物确认项目Q值。</w:t>
      </w:r>
    </w:p>
    <w:p w14:paraId="784E7D1F">
      <w:pPr>
        <w:pStyle w:val="7"/>
      </w:pPr>
      <w:r>
        <w:rPr>
          <w:rFonts w:hint="eastAsia"/>
        </w:rPr>
        <w:t>项目Q值确认表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093"/>
        <w:gridCol w:w="1293"/>
        <w:gridCol w:w="1290"/>
        <w:gridCol w:w="1078"/>
        <w:gridCol w:w="1295"/>
        <w:gridCol w:w="1293"/>
      </w:tblGrid>
      <w:tr w14:paraId="5F569C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7622FDE7">
            <w:pPr>
              <w:pStyle w:val="34"/>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类别</w:t>
            </w:r>
          </w:p>
        </w:tc>
        <w:tc>
          <w:tcPr>
            <w:tcW w:w="775" w:type="pct"/>
          </w:tcPr>
          <w:p w14:paraId="268FBEBE">
            <w:pPr>
              <w:pStyle w:val="34"/>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设计堆存量/TEU</w:t>
            </w:r>
          </w:p>
        </w:tc>
        <w:tc>
          <w:tcPr>
            <w:tcW w:w="773" w:type="pct"/>
            <w:tcMar>
              <w:top w:w="15" w:type="dxa"/>
              <w:left w:w="0" w:type="dxa"/>
              <w:bottom w:w="15" w:type="dxa"/>
              <w:right w:w="0" w:type="dxa"/>
            </w:tcMar>
            <w:vAlign w:val="center"/>
          </w:tcPr>
          <w:p w14:paraId="640E1949">
            <w:pPr>
              <w:pStyle w:val="34"/>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最大存在总量</w:t>
            </w:r>
            <w:r>
              <w:rPr>
                <w:color w:val="000000" w:themeColor="text1"/>
                <w:lang w:bidi="ar"/>
                <w14:textFill>
                  <w14:solidFill>
                    <w14:schemeClr w14:val="tx1"/>
                  </w14:solidFill>
                </w14:textFill>
              </w:rPr>
              <w:t>q</w:t>
            </w:r>
            <w:r>
              <w:rPr>
                <w:color w:val="000000" w:themeColor="text1"/>
                <w:vertAlign w:val="subscript"/>
                <w:lang w:bidi="ar"/>
                <w14:textFill>
                  <w14:solidFill>
                    <w14:schemeClr w14:val="tx1"/>
                  </w14:solidFill>
                </w14:textFill>
              </w:rPr>
              <w:t>n</w:t>
            </w:r>
            <w:r>
              <w:rPr>
                <w:color w:val="000000" w:themeColor="text1"/>
                <w:lang w:bidi="ar"/>
                <w14:textFill>
                  <w14:solidFill>
                    <w14:schemeClr w14:val="tx1"/>
                  </w14:solidFill>
                </w14:textFill>
              </w:rPr>
              <w:t>/t</w:t>
            </w:r>
          </w:p>
        </w:tc>
        <w:tc>
          <w:tcPr>
            <w:tcW w:w="646" w:type="pct"/>
            <w:tcMar>
              <w:top w:w="15" w:type="dxa"/>
              <w:left w:w="0" w:type="dxa"/>
              <w:bottom w:w="15" w:type="dxa"/>
              <w:right w:w="0" w:type="dxa"/>
            </w:tcMar>
            <w:vAlign w:val="center"/>
          </w:tcPr>
          <w:p w14:paraId="0BECF2C5">
            <w:pPr>
              <w:pStyle w:val="34"/>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临界量</w:t>
            </w:r>
            <w:r>
              <w:rPr>
                <w:color w:val="000000" w:themeColor="text1"/>
                <w:lang w:bidi="ar"/>
                <w14:textFill>
                  <w14:solidFill>
                    <w14:schemeClr w14:val="tx1"/>
                  </w14:solidFill>
                </w14:textFill>
              </w:rPr>
              <w:t>Q</w:t>
            </w:r>
            <w:r>
              <w:rPr>
                <w:color w:val="000000" w:themeColor="text1"/>
                <w:vertAlign w:val="subscript"/>
                <w:lang w:bidi="ar"/>
                <w14:textFill>
                  <w14:solidFill>
                    <w14:schemeClr w14:val="tx1"/>
                  </w14:solidFill>
                </w14:textFill>
              </w:rPr>
              <w:t>n</w:t>
            </w:r>
            <w:r>
              <w:rPr>
                <w:color w:val="000000" w:themeColor="text1"/>
                <w:lang w:bidi="ar"/>
                <w14:textFill>
                  <w14:solidFill>
                    <w14:schemeClr w14:val="tx1"/>
                  </w14:solidFill>
                </w14:textFill>
              </w:rPr>
              <w:t>/t</w:t>
            </w:r>
          </w:p>
        </w:tc>
        <w:tc>
          <w:tcPr>
            <w:tcW w:w="776" w:type="pct"/>
          </w:tcPr>
          <w:p w14:paraId="4FE5F70E">
            <w:pPr>
              <w:pStyle w:val="34"/>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选取的特征物质</w:t>
            </w:r>
          </w:p>
        </w:tc>
        <w:tc>
          <w:tcPr>
            <w:tcW w:w="775" w:type="pct"/>
            <w:tcMar>
              <w:top w:w="15" w:type="dxa"/>
              <w:left w:w="0" w:type="dxa"/>
              <w:bottom w:w="15" w:type="dxa"/>
              <w:right w:w="0" w:type="dxa"/>
            </w:tcMar>
            <w:vAlign w:val="center"/>
          </w:tcPr>
          <w:p w14:paraId="1C2A1C9A">
            <w:pPr>
              <w:pStyle w:val="34"/>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该种危险物质</w:t>
            </w:r>
            <w:r>
              <w:rPr>
                <w:color w:val="000000" w:themeColor="text1"/>
                <w:lang w:bidi="ar"/>
                <w14:textFill>
                  <w14:solidFill>
                    <w14:schemeClr w14:val="tx1"/>
                  </w14:solidFill>
                </w14:textFill>
              </w:rPr>
              <w:t>Q</w:t>
            </w:r>
            <w:r>
              <w:rPr>
                <w:rFonts w:hint="eastAsia"/>
                <w:color w:val="000000" w:themeColor="text1"/>
                <w:lang w:bidi="ar"/>
                <w14:textFill>
                  <w14:solidFill>
                    <w14:schemeClr w14:val="tx1"/>
                  </w14:solidFill>
                </w14:textFill>
              </w:rPr>
              <w:t>值</w:t>
            </w:r>
          </w:p>
        </w:tc>
      </w:tr>
      <w:tr w14:paraId="558F95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7EDDD13E">
            <w:pPr>
              <w:pStyle w:val="34"/>
              <w:rPr>
                <w:color w:val="000000" w:themeColor="text1"/>
                <w:kern w:val="0"/>
                <w:sz w:val="18"/>
                <w:szCs w:val="18"/>
                <w:u w:val="single"/>
                <w:lang w:bidi="ar"/>
                <w14:textFill>
                  <w14:solidFill>
                    <w14:schemeClr w14:val="tx1"/>
                  </w14:solidFill>
                </w14:textFill>
              </w:rPr>
            </w:pPr>
            <w:r>
              <w:rPr>
                <w:rFonts w:hint="eastAsia"/>
                <w:color w:val="000000" w:themeColor="text1"/>
                <w:kern w:val="0"/>
                <w:sz w:val="18"/>
                <w:szCs w:val="18"/>
                <w:u w:val="single"/>
                <w:lang w:bidi="ar"/>
                <w14:textFill>
                  <w14:solidFill>
                    <w14:schemeClr w14:val="tx1"/>
                  </w14:solidFill>
                </w14:textFill>
              </w:rPr>
              <w:t>燃料油（船舶使用）</w:t>
            </w:r>
          </w:p>
        </w:tc>
        <w:tc>
          <w:tcPr>
            <w:tcW w:w="775" w:type="pct"/>
          </w:tcPr>
          <w:p w14:paraId="1EB13900">
            <w:pPr>
              <w:pStyle w:val="34"/>
              <w:rPr>
                <w:color w:val="000000" w:themeColor="text1"/>
                <w:kern w:val="0"/>
                <w:sz w:val="18"/>
                <w:szCs w:val="18"/>
                <w:u w:val="single"/>
                <w:lang w:bidi="ar"/>
                <w14:textFill>
                  <w14:solidFill>
                    <w14:schemeClr w14:val="tx1"/>
                  </w14:solidFill>
                </w14:textFill>
              </w:rPr>
            </w:pPr>
            <w:r>
              <w:rPr>
                <w:rFonts w:hint="eastAsia"/>
                <w:color w:val="000000" w:themeColor="text1"/>
                <w:kern w:val="0"/>
                <w:sz w:val="18"/>
                <w:szCs w:val="18"/>
                <w:u w:val="single"/>
                <w:lang w:bidi="ar"/>
                <w14:textFill>
                  <w14:solidFill>
                    <w14:schemeClr w14:val="tx1"/>
                  </w14:solidFill>
                </w14:textFill>
              </w:rPr>
              <w:t>5艘</w:t>
            </w:r>
          </w:p>
        </w:tc>
        <w:tc>
          <w:tcPr>
            <w:tcW w:w="773" w:type="pct"/>
            <w:tcMar>
              <w:top w:w="15" w:type="dxa"/>
              <w:left w:w="0" w:type="dxa"/>
              <w:bottom w:w="15" w:type="dxa"/>
              <w:right w:w="0" w:type="dxa"/>
            </w:tcMar>
            <w:vAlign w:val="center"/>
          </w:tcPr>
          <w:p w14:paraId="0FE48A0C">
            <w:pPr>
              <w:pStyle w:val="34"/>
              <w:rPr>
                <w:color w:val="000000" w:themeColor="text1"/>
                <w:kern w:val="0"/>
                <w:sz w:val="18"/>
                <w:szCs w:val="18"/>
                <w:u w:val="single"/>
                <w:lang w:bidi="ar"/>
                <w14:textFill>
                  <w14:solidFill>
                    <w14:schemeClr w14:val="tx1"/>
                  </w14:solidFill>
                </w14:textFill>
              </w:rPr>
            </w:pPr>
            <w:r>
              <w:rPr>
                <w:rFonts w:hint="eastAsia"/>
                <w:color w:val="000000" w:themeColor="text1"/>
                <w:kern w:val="0"/>
                <w:sz w:val="18"/>
                <w:szCs w:val="18"/>
                <w:u w:val="single"/>
                <w:lang w:bidi="ar"/>
                <w14:textFill>
                  <w14:solidFill>
                    <w14:schemeClr w14:val="tx1"/>
                  </w14:solidFill>
                </w14:textFill>
              </w:rPr>
              <w:t>1215</w:t>
            </w:r>
          </w:p>
        </w:tc>
        <w:tc>
          <w:tcPr>
            <w:tcW w:w="646" w:type="pct"/>
            <w:tcMar>
              <w:top w:w="15" w:type="dxa"/>
              <w:left w:w="0" w:type="dxa"/>
              <w:bottom w:w="15" w:type="dxa"/>
              <w:right w:w="0" w:type="dxa"/>
            </w:tcMar>
            <w:vAlign w:val="center"/>
          </w:tcPr>
          <w:p w14:paraId="4D90A80E">
            <w:pPr>
              <w:pStyle w:val="34"/>
              <w:rPr>
                <w:color w:val="000000" w:themeColor="text1"/>
                <w:kern w:val="0"/>
                <w:sz w:val="18"/>
                <w:szCs w:val="18"/>
                <w:u w:val="single"/>
                <w:lang w:bidi="ar"/>
                <w14:textFill>
                  <w14:solidFill>
                    <w14:schemeClr w14:val="tx1"/>
                  </w14:solidFill>
                </w14:textFill>
              </w:rPr>
            </w:pPr>
            <w:r>
              <w:rPr>
                <w:rFonts w:hint="eastAsia"/>
                <w:color w:val="000000" w:themeColor="text1"/>
                <w:kern w:val="0"/>
                <w:sz w:val="18"/>
                <w:szCs w:val="18"/>
                <w:u w:val="single"/>
                <w:lang w:bidi="ar"/>
                <w14:textFill>
                  <w14:solidFill>
                    <w14:schemeClr w14:val="tx1"/>
                  </w14:solidFill>
                </w14:textFill>
              </w:rPr>
              <w:t>100</w:t>
            </w:r>
          </w:p>
        </w:tc>
        <w:tc>
          <w:tcPr>
            <w:tcW w:w="776" w:type="pct"/>
          </w:tcPr>
          <w:p w14:paraId="418BF5AE">
            <w:pPr>
              <w:pStyle w:val="34"/>
              <w:rPr>
                <w:color w:val="000000" w:themeColor="text1"/>
                <w:kern w:val="0"/>
                <w:sz w:val="18"/>
                <w:szCs w:val="18"/>
                <w:u w:val="single"/>
                <w:lang w:bidi="ar"/>
                <w14:textFill>
                  <w14:solidFill>
                    <w14:schemeClr w14:val="tx1"/>
                  </w14:solidFill>
                </w14:textFill>
              </w:rPr>
            </w:pPr>
            <w:r>
              <w:rPr>
                <w:rFonts w:hint="eastAsia"/>
                <w:color w:val="000000" w:themeColor="text1"/>
                <w:kern w:val="0"/>
                <w:sz w:val="18"/>
                <w:szCs w:val="18"/>
                <w:u w:val="single"/>
                <w:lang w:bidi="ar"/>
                <w14:textFill>
                  <w14:solidFill>
                    <w14:schemeClr w14:val="tx1"/>
                  </w14:solidFill>
                </w14:textFill>
              </w:rPr>
              <w:t>燃料油</w:t>
            </w:r>
          </w:p>
        </w:tc>
        <w:tc>
          <w:tcPr>
            <w:tcW w:w="775" w:type="pct"/>
            <w:tcMar>
              <w:top w:w="15" w:type="dxa"/>
              <w:left w:w="0" w:type="dxa"/>
              <w:bottom w:w="15" w:type="dxa"/>
              <w:right w:w="0" w:type="dxa"/>
            </w:tcMar>
            <w:vAlign w:val="center"/>
          </w:tcPr>
          <w:p w14:paraId="315CF0D3">
            <w:pPr>
              <w:pStyle w:val="34"/>
              <w:rPr>
                <w:color w:val="000000" w:themeColor="text1"/>
                <w:kern w:val="0"/>
                <w:sz w:val="18"/>
                <w:szCs w:val="18"/>
                <w:u w:val="single"/>
                <w:lang w:bidi="ar"/>
                <w14:textFill>
                  <w14:solidFill>
                    <w14:schemeClr w14:val="tx1"/>
                  </w14:solidFill>
                </w14:textFill>
              </w:rPr>
            </w:pPr>
            <w:r>
              <w:rPr>
                <w:rFonts w:hint="eastAsia"/>
                <w:color w:val="000000" w:themeColor="text1"/>
                <w:kern w:val="0"/>
                <w:sz w:val="18"/>
                <w:szCs w:val="18"/>
                <w:u w:val="single"/>
                <w:lang w:bidi="ar"/>
                <w14:textFill>
                  <w14:solidFill>
                    <w14:schemeClr w14:val="tx1"/>
                  </w14:solidFill>
                </w14:textFill>
              </w:rPr>
              <w:t>12.15</w:t>
            </w:r>
          </w:p>
        </w:tc>
      </w:tr>
      <w:tr w14:paraId="246248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18CE9161">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第2.1项</w:t>
            </w:r>
          </w:p>
        </w:tc>
        <w:tc>
          <w:tcPr>
            <w:tcW w:w="775" w:type="pct"/>
          </w:tcPr>
          <w:p w14:paraId="43176C9D">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6</w:t>
            </w:r>
          </w:p>
        </w:tc>
        <w:tc>
          <w:tcPr>
            <w:tcW w:w="773" w:type="pct"/>
            <w:tcMar>
              <w:top w:w="15" w:type="dxa"/>
              <w:left w:w="0" w:type="dxa"/>
              <w:bottom w:w="15" w:type="dxa"/>
              <w:right w:w="0" w:type="dxa"/>
            </w:tcMar>
            <w:vAlign w:val="center"/>
          </w:tcPr>
          <w:p w14:paraId="2C3A003C">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168</w:t>
            </w:r>
          </w:p>
        </w:tc>
        <w:tc>
          <w:tcPr>
            <w:tcW w:w="646" w:type="pct"/>
            <w:tcMar>
              <w:top w:w="15" w:type="dxa"/>
              <w:left w:w="0" w:type="dxa"/>
              <w:bottom w:w="15" w:type="dxa"/>
              <w:right w:w="0" w:type="dxa"/>
            </w:tcMar>
            <w:vAlign w:val="center"/>
          </w:tcPr>
          <w:p w14:paraId="4827D709">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2.5</w:t>
            </w:r>
          </w:p>
        </w:tc>
        <w:tc>
          <w:tcPr>
            <w:tcW w:w="776" w:type="pct"/>
          </w:tcPr>
          <w:p w14:paraId="72CD7645">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无水三甲胺</w:t>
            </w:r>
          </w:p>
        </w:tc>
        <w:tc>
          <w:tcPr>
            <w:tcW w:w="775" w:type="pct"/>
            <w:tcMar>
              <w:top w:w="15" w:type="dxa"/>
              <w:left w:w="0" w:type="dxa"/>
              <w:bottom w:w="15" w:type="dxa"/>
              <w:right w:w="0" w:type="dxa"/>
            </w:tcMar>
            <w:vAlign w:val="center"/>
          </w:tcPr>
          <w:p w14:paraId="3B715AEC">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67.2</w:t>
            </w:r>
          </w:p>
        </w:tc>
      </w:tr>
      <w:tr w14:paraId="4E4DD8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62D2E3A7">
            <w:pPr>
              <w:pStyle w:val="34"/>
              <w:rPr>
                <w:color w:val="000000" w:themeColor="text1"/>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第2.2项</w:t>
            </w:r>
          </w:p>
        </w:tc>
        <w:tc>
          <w:tcPr>
            <w:tcW w:w="775" w:type="pct"/>
          </w:tcPr>
          <w:p w14:paraId="68F6185B">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6</w:t>
            </w:r>
          </w:p>
        </w:tc>
        <w:tc>
          <w:tcPr>
            <w:tcW w:w="773" w:type="pct"/>
            <w:tcMar>
              <w:top w:w="15" w:type="dxa"/>
              <w:left w:w="0" w:type="dxa"/>
              <w:bottom w:w="15" w:type="dxa"/>
              <w:right w:w="0" w:type="dxa"/>
            </w:tcMar>
            <w:vAlign w:val="center"/>
          </w:tcPr>
          <w:p w14:paraId="3D762617">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168</w:t>
            </w:r>
          </w:p>
        </w:tc>
        <w:tc>
          <w:tcPr>
            <w:tcW w:w="646" w:type="pct"/>
            <w:tcMar>
              <w:top w:w="15" w:type="dxa"/>
              <w:left w:w="0" w:type="dxa"/>
              <w:bottom w:w="15" w:type="dxa"/>
              <w:right w:w="0" w:type="dxa"/>
            </w:tcMar>
            <w:vAlign w:val="center"/>
          </w:tcPr>
          <w:p w14:paraId="78A00669">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50</w:t>
            </w:r>
          </w:p>
        </w:tc>
        <w:tc>
          <w:tcPr>
            <w:tcW w:w="776" w:type="pct"/>
          </w:tcPr>
          <w:p w14:paraId="426D9D8B">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二氟氯甲烷</w:t>
            </w:r>
          </w:p>
        </w:tc>
        <w:tc>
          <w:tcPr>
            <w:tcW w:w="775" w:type="pct"/>
            <w:tcMar>
              <w:top w:w="15" w:type="dxa"/>
              <w:left w:w="0" w:type="dxa"/>
              <w:bottom w:w="15" w:type="dxa"/>
              <w:right w:w="0" w:type="dxa"/>
            </w:tcMar>
            <w:vAlign w:val="center"/>
          </w:tcPr>
          <w:p w14:paraId="2E22E3FB">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3.36</w:t>
            </w:r>
          </w:p>
        </w:tc>
      </w:tr>
      <w:tr w14:paraId="61F391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1B8289E3">
            <w:pPr>
              <w:pStyle w:val="34"/>
              <w:rPr>
                <w:color w:val="000000" w:themeColor="text1"/>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第3项</w:t>
            </w:r>
          </w:p>
        </w:tc>
        <w:tc>
          <w:tcPr>
            <w:tcW w:w="775" w:type="pct"/>
          </w:tcPr>
          <w:p w14:paraId="67547D1D">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6</w:t>
            </w:r>
          </w:p>
        </w:tc>
        <w:tc>
          <w:tcPr>
            <w:tcW w:w="773" w:type="pct"/>
            <w:tcMar>
              <w:top w:w="15" w:type="dxa"/>
              <w:left w:w="0" w:type="dxa"/>
              <w:bottom w:w="15" w:type="dxa"/>
              <w:right w:w="0" w:type="dxa"/>
            </w:tcMar>
            <w:vAlign w:val="center"/>
          </w:tcPr>
          <w:p w14:paraId="1C93BD18">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168</w:t>
            </w:r>
          </w:p>
        </w:tc>
        <w:tc>
          <w:tcPr>
            <w:tcW w:w="646" w:type="pct"/>
            <w:tcMar>
              <w:top w:w="15" w:type="dxa"/>
              <w:left w:w="0" w:type="dxa"/>
              <w:bottom w:w="15" w:type="dxa"/>
              <w:right w:w="0" w:type="dxa"/>
            </w:tcMar>
            <w:vAlign w:val="center"/>
          </w:tcPr>
          <w:p w14:paraId="6AC9F3B2">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0.5</w:t>
            </w:r>
          </w:p>
        </w:tc>
        <w:tc>
          <w:tcPr>
            <w:tcW w:w="776" w:type="pct"/>
          </w:tcPr>
          <w:p w14:paraId="2EEF46BC">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甲醛</w:t>
            </w:r>
          </w:p>
        </w:tc>
        <w:tc>
          <w:tcPr>
            <w:tcW w:w="775" w:type="pct"/>
            <w:tcMar>
              <w:top w:w="15" w:type="dxa"/>
              <w:left w:w="0" w:type="dxa"/>
              <w:bottom w:w="15" w:type="dxa"/>
              <w:right w:w="0" w:type="dxa"/>
            </w:tcMar>
            <w:vAlign w:val="center"/>
          </w:tcPr>
          <w:p w14:paraId="6096D36C">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336</w:t>
            </w:r>
          </w:p>
        </w:tc>
      </w:tr>
      <w:tr w14:paraId="3D2D3A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3BB7182F">
            <w:pPr>
              <w:pStyle w:val="34"/>
              <w:rPr>
                <w:color w:val="000000" w:themeColor="text1"/>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第4.1项</w:t>
            </w:r>
          </w:p>
        </w:tc>
        <w:tc>
          <w:tcPr>
            <w:tcW w:w="775" w:type="pct"/>
          </w:tcPr>
          <w:p w14:paraId="484D7F85">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6</w:t>
            </w:r>
          </w:p>
        </w:tc>
        <w:tc>
          <w:tcPr>
            <w:tcW w:w="773" w:type="pct"/>
            <w:tcMar>
              <w:top w:w="15" w:type="dxa"/>
              <w:left w:w="0" w:type="dxa"/>
              <w:bottom w:w="15" w:type="dxa"/>
              <w:right w:w="0" w:type="dxa"/>
            </w:tcMar>
            <w:vAlign w:val="center"/>
          </w:tcPr>
          <w:p w14:paraId="5B685DF0">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168</w:t>
            </w:r>
          </w:p>
        </w:tc>
        <w:tc>
          <w:tcPr>
            <w:tcW w:w="646" w:type="pct"/>
            <w:tcMar>
              <w:top w:w="15" w:type="dxa"/>
              <w:left w:w="0" w:type="dxa"/>
              <w:bottom w:w="15" w:type="dxa"/>
              <w:right w:w="0" w:type="dxa"/>
            </w:tcMar>
            <w:vAlign w:val="center"/>
          </w:tcPr>
          <w:p w14:paraId="4DE8B380">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10</w:t>
            </w:r>
          </w:p>
        </w:tc>
        <w:tc>
          <w:tcPr>
            <w:tcW w:w="776" w:type="pct"/>
          </w:tcPr>
          <w:p w14:paraId="46BD55AE">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硫磺</w:t>
            </w:r>
          </w:p>
        </w:tc>
        <w:tc>
          <w:tcPr>
            <w:tcW w:w="775" w:type="pct"/>
            <w:tcMar>
              <w:top w:w="15" w:type="dxa"/>
              <w:left w:w="0" w:type="dxa"/>
              <w:bottom w:w="15" w:type="dxa"/>
              <w:right w:w="0" w:type="dxa"/>
            </w:tcMar>
            <w:vAlign w:val="center"/>
          </w:tcPr>
          <w:p w14:paraId="733B243E">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16.8</w:t>
            </w:r>
          </w:p>
        </w:tc>
      </w:tr>
      <w:tr w14:paraId="6BA8FF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0B33C8BF">
            <w:pPr>
              <w:pStyle w:val="34"/>
              <w:rPr>
                <w:color w:val="000000" w:themeColor="text1"/>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第4.2项</w:t>
            </w:r>
          </w:p>
        </w:tc>
        <w:tc>
          <w:tcPr>
            <w:tcW w:w="775" w:type="pct"/>
          </w:tcPr>
          <w:p w14:paraId="13100F22">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6</w:t>
            </w:r>
          </w:p>
        </w:tc>
        <w:tc>
          <w:tcPr>
            <w:tcW w:w="773" w:type="pct"/>
            <w:tcMar>
              <w:top w:w="15" w:type="dxa"/>
              <w:left w:w="0" w:type="dxa"/>
              <w:bottom w:w="15" w:type="dxa"/>
              <w:right w:w="0" w:type="dxa"/>
            </w:tcMar>
            <w:vAlign w:val="center"/>
          </w:tcPr>
          <w:p w14:paraId="592E47A5">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168</w:t>
            </w:r>
          </w:p>
        </w:tc>
        <w:tc>
          <w:tcPr>
            <w:tcW w:w="646" w:type="pct"/>
            <w:tcMar>
              <w:top w:w="15" w:type="dxa"/>
              <w:left w:w="0" w:type="dxa"/>
              <w:bottom w:w="15" w:type="dxa"/>
              <w:right w:w="0" w:type="dxa"/>
            </w:tcMar>
            <w:vAlign w:val="center"/>
          </w:tcPr>
          <w:p w14:paraId="5F7F7A34">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5</w:t>
            </w:r>
          </w:p>
        </w:tc>
        <w:tc>
          <w:tcPr>
            <w:tcW w:w="776" w:type="pct"/>
          </w:tcPr>
          <w:p w14:paraId="7C176269">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白磷</w:t>
            </w:r>
          </w:p>
        </w:tc>
        <w:tc>
          <w:tcPr>
            <w:tcW w:w="775" w:type="pct"/>
            <w:tcMar>
              <w:top w:w="15" w:type="dxa"/>
              <w:left w:w="0" w:type="dxa"/>
              <w:bottom w:w="15" w:type="dxa"/>
              <w:right w:w="0" w:type="dxa"/>
            </w:tcMar>
            <w:vAlign w:val="center"/>
          </w:tcPr>
          <w:p w14:paraId="388000FF">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33.6</w:t>
            </w:r>
          </w:p>
        </w:tc>
      </w:tr>
      <w:tr w14:paraId="4EB4BB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21ED407B">
            <w:pPr>
              <w:pStyle w:val="34"/>
              <w:rPr>
                <w:color w:val="000000" w:themeColor="text1"/>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第4.3项</w:t>
            </w:r>
          </w:p>
        </w:tc>
        <w:tc>
          <w:tcPr>
            <w:tcW w:w="775" w:type="pct"/>
          </w:tcPr>
          <w:p w14:paraId="1A73C5AC">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6</w:t>
            </w:r>
          </w:p>
        </w:tc>
        <w:tc>
          <w:tcPr>
            <w:tcW w:w="773" w:type="pct"/>
            <w:tcMar>
              <w:top w:w="15" w:type="dxa"/>
              <w:left w:w="0" w:type="dxa"/>
              <w:bottom w:w="15" w:type="dxa"/>
              <w:right w:w="0" w:type="dxa"/>
            </w:tcMar>
            <w:vAlign w:val="center"/>
          </w:tcPr>
          <w:p w14:paraId="20E9F114">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168</w:t>
            </w:r>
          </w:p>
        </w:tc>
        <w:tc>
          <w:tcPr>
            <w:tcW w:w="646" w:type="pct"/>
            <w:tcMar>
              <w:top w:w="15" w:type="dxa"/>
              <w:left w:w="0" w:type="dxa"/>
              <w:bottom w:w="15" w:type="dxa"/>
              <w:right w:w="0" w:type="dxa"/>
            </w:tcMar>
            <w:vAlign w:val="center"/>
          </w:tcPr>
          <w:p w14:paraId="49D248EB">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2.5</w:t>
            </w:r>
          </w:p>
        </w:tc>
        <w:tc>
          <w:tcPr>
            <w:tcW w:w="776" w:type="pct"/>
          </w:tcPr>
          <w:p w14:paraId="0622FD5C">
            <w:pPr>
              <w:pStyle w:val="34"/>
              <w:rPr>
                <w:color w:val="000000" w:themeColor="text1"/>
                <w:kern w:val="0"/>
                <w:sz w:val="18"/>
                <w:szCs w:val="18"/>
                <w:lang w:bidi="ar"/>
                <w14:textFill>
                  <w14:solidFill>
                    <w14:schemeClr w14:val="tx1"/>
                  </w14:solidFill>
                </w14:textFill>
              </w:rPr>
            </w:pPr>
            <w:r>
              <w:rPr>
                <w:color w:val="000000" w:themeColor="text1"/>
                <w:kern w:val="0"/>
                <w:sz w:val="18"/>
                <w:szCs w:val="18"/>
                <w:lang w:bidi="ar"/>
                <w14:textFill>
                  <w14:solidFill>
                    <w14:schemeClr w14:val="tx1"/>
                  </w14:solidFill>
                </w14:textFill>
              </w:rPr>
              <w:t>五硫化二磷</w:t>
            </w:r>
          </w:p>
        </w:tc>
        <w:tc>
          <w:tcPr>
            <w:tcW w:w="775" w:type="pct"/>
            <w:tcMar>
              <w:top w:w="15" w:type="dxa"/>
              <w:left w:w="0" w:type="dxa"/>
              <w:bottom w:w="15" w:type="dxa"/>
              <w:right w:w="0" w:type="dxa"/>
            </w:tcMar>
            <w:vAlign w:val="center"/>
          </w:tcPr>
          <w:p w14:paraId="23444DDB">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67.2</w:t>
            </w:r>
          </w:p>
        </w:tc>
      </w:tr>
      <w:tr w14:paraId="2F7153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067A0E77">
            <w:pPr>
              <w:pStyle w:val="34"/>
              <w:rPr>
                <w:color w:val="000000" w:themeColor="text1"/>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第5.1项</w:t>
            </w:r>
          </w:p>
        </w:tc>
        <w:tc>
          <w:tcPr>
            <w:tcW w:w="775" w:type="pct"/>
          </w:tcPr>
          <w:p w14:paraId="65B4D9D5">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18</w:t>
            </w:r>
          </w:p>
        </w:tc>
        <w:tc>
          <w:tcPr>
            <w:tcW w:w="773" w:type="pct"/>
            <w:tcMar>
              <w:top w:w="15" w:type="dxa"/>
              <w:left w:w="0" w:type="dxa"/>
              <w:bottom w:w="15" w:type="dxa"/>
              <w:right w:w="0" w:type="dxa"/>
            </w:tcMar>
            <w:vAlign w:val="center"/>
          </w:tcPr>
          <w:p w14:paraId="239A0068">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504</w:t>
            </w:r>
          </w:p>
        </w:tc>
        <w:tc>
          <w:tcPr>
            <w:tcW w:w="646" w:type="pct"/>
            <w:tcMar>
              <w:top w:w="15" w:type="dxa"/>
              <w:left w:w="0" w:type="dxa"/>
              <w:bottom w:w="15" w:type="dxa"/>
              <w:right w:w="0" w:type="dxa"/>
            </w:tcMar>
            <w:vAlign w:val="center"/>
          </w:tcPr>
          <w:p w14:paraId="660E6A86">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2.5</w:t>
            </w:r>
          </w:p>
        </w:tc>
        <w:tc>
          <w:tcPr>
            <w:tcW w:w="776" w:type="pct"/>
          </w:tcPr>
          <w:p w14:paraId="4E6078BB">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三氟化溴</w:t>
            </w:r>
          </w:p>
        </w:tc>
        <w:tc>
          <w:tcPr>
            <w:tcW w:w="775" w:type="pct"/>
            <w:tcMar>
              <w:top w:w="15" w:type="dxa"/>
              <w:left w:w="0" w:type="dxa"/>
              <w:bottom w:w="15" w:type="dxa"/>
              <w:right w:w="0" w:type="dxa"/>
            </w:tcMar>
            <w:vAlign w:val="center"/>
          </w:tcPr>
          <w:p w14:paraId="5219813A">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201.6</w:t>
            </w:r>
          </w:p>
        </w:tc>
      </w:tr>
      <w:tr w14:paraId="7593AB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29AD336B">
            <w:pPr>
              <w:pStyle w:val="34"/>
              <w:rPr>
                <w:color w:val="000000" w:themeColor="text1"/>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第5.2项</w:t>
            </w:r>
          </w:p>
        </w:tc>
        <w:tc>
          <w:tcPr>
            <w:tcW w:w="775" w:type="pct"/>
          </w:tcPr>
          <w:p w14:paraId="6779549D">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18</w:t>
            </w:r>
          </w:p>
        </w:tc>
        <w:tc>
          <w:tcPr>
            <w:tcW w:w="773" w:type="pct"/>
            <w:tcMar>
              <w:top w:w="15" w:type="dxa"/>
              <w:left w:w="0" w:type="dxa"/>
              <w:bottom w:w="15" w:type="dxa"/>
              <w:right w:w="0" w:type="dxa"/>
            </w:tcMar>
            <w:vAlign w:val="center"/>
          </w:tcPr>
          <w:p w14:paraId="5E051445">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504</w:t>
            </w:r>
          </w:p>
        </w:tc>
        <w:tc>
          <w:tcPr>
            <w:tcW w:w="646" w:type="pct"/>
            <w:tcMar>
              <w:top w:w="15" w:type="dxa"/>
              <w:left w:w="0" w:type="dxa"/>
              <w:bottom w:w="15" w:type="dxa"/>
              <w:right w:w="0" w:type="dxa"/>
            </w:tcMar>
            <w:vAlign w:val="center"/>
          </w:tcPr>
          <w:p w14:paraId="03E777C2">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5</w:t>
            </w:r>
          </w:p>
        </w:tc>
        <w:tc>
          <w:tcPr>
            <w:tcW w:w="776" w:type="pct"/>
          </w:tcPr>
          <w:p w14:paraId="55680D9C">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过氧乙酸</w:t>
            </w:r>
          </w:p>
        </w:tc>
        <w:tc>
          <w:tcPr>
            <w:tcW w:w="775" w:type="pct"/>
            <w:tcMar>
              <w:top w:w="15" w:type="dxa"/>
              <w:left w:w="0" w:type="dxa"/>
              <w:bottom w:w="15" w:type="dxa"/>
              <w:right w:w="0" w:type="dxa"/>
            </w:tcMar>
            <w:vAlign w:val="center"/>
          </w:tcPr>
          <w:p w14:paraId="61E9F509">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100.8</w:t>
            </w:r>
          </w:p>
        </w:tc>
      </w:tr>
      <w:tr w14:paraId="749659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3D341020">
            <w:pPr>
              <w:pStyle w:val="34"/>
              <w:rPr>
                <w:color w:val="000000" w:themeColor="text1"/>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第6.1项</w:t>
            </w:r>
          </w:p>
        </w:tc>
        <w:tc>
          <w:tcPr>
            <w:tcW w:w="775" w:type="pct"/>
          </w:tcPr>
          <w:p w14:paraId="5FF3FD1B">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42</w:t>
            </w:r>
          </w:p>
        </w:tc>
        <w:tc>
          <w:tcPr>
            <w:tcW w:w="773" w:type="pct"/>
            <w:tcMar>
              <w:top w:w="15" w:type="dxa"/>
              <w:left w:w="0" w:type="dxa"/>
              <w:bottom w:w="15" w:type="dxa"/>
              <w:right w:w="0" w:type="dxa"/>
            </w:tcMar>
            <w:vAlign w:val="center"/>
          </w:tcPr>
          <w:p w14:paraId="7E0958A3">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1176</w:t>
            </w:r>
          </w:p>
        </w:tc>
        <w:tc>
          <w:tcPr>
            <w:tcW w:w="646" w:type="pct"/>
            <w:tcMar>
              <w:top w:w="15" w:type="dxa"/>
              <w:left w:w="0" w:type="dxa"/>
              <w:bottom w:w="15" w:type="dxa"/>
              <w:right w:w="0" w:type="dxa"/>
            </w:tcMar>
            <w:vAlign w:val="center"/>
          </w:tcPr>
          <w:p w14:paraId="479A7168">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0.25</w:t>
            </w:r>
          </w:p>
        </w:tc>
        <w:tc>
          <w:tcPr>
            <w:tcW w:w="776" w:type="pct"/>
          </w:tcPr>
          <w:p w14:paraId="6A5EE3B3">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镉化合物</w:t>
            </w:r>
          </w:p>
        </w:tc>
        <w:tc>
          <w:tcPr>
            <w:tcW w:w="775" w:type="pct"/>
            <w:tcMar>
              <w:top w:w="15" w:type="dxa"/>
              <w:left w:w="0" w:type="dxa"/>
              <w:bottom w:w="15" w:type="dxa"/>
              <w:right w:w="0" w:type="dxa"/>
            </w:tcMar>
            <w:vAlign w:val="center"/>
          </w:tcPr>
          <w:p w14:paraId="0AFD76EE">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4704</w:t>
            </w:r>
          </w:p>
        </w:tc>
      </w:tr>
      <w:tr w14:paraId="326BF8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0940DF74">
            <w:pPr>
              <w:pStyle w:val="34"/>
              <w:rPr>
                <w:color w:val="000000" w:themeColor="text1"/>
                <w:kern w:val="0"/>
                <w:sz w:val="18"/>
                <w:szCs w:val="18"/>
                <w:lang w:bidi="ar"/>
                <w14:textFill>
                  <w14:solidFill>
                    <w14:schemeClr w14:val="tx1"/>
                  </w14:solidFill>
                </w14:textFill>
              </w:rPr>
            </w:pPr>
            <w:bookmarkStart w:id="105" w:name="_Hlk217977248"/>
            <w:r>
              <w:rPr>
                <w:rFonts w:hint="eastAsia"/>
                <w:color w:val="000000" w:themeColor="text1"/>
                <w:kern w:val="0"/>
                <w:sz w:val="18"/>
                <w:szCs w:val="18"/>
                <w:lang w:bidi="ar"/>
                <w14:textFill>
                  <w14:solidFill>
                    <w14:schemeClr w14:val="tx1"/>
                  </w14:solidFill>
                </w14:textFill>
              </w:rPr>
              <w:t>第8项</w:t>
            </w:r>
          </w:p>
        </w:tc>
        <w:tc>
          <w:tcPr>
            <w:tcW w:w="775" w:type="pct"/>
          </w:tcPr>
          <w:p w14:paraId="18C90EE1">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80</w:t>
            </w:r>
          </w:p>
        </w:tc>
        <w:tc>
          <w:tcPr>
            <w:tcW w:w="773" w:type="pct"/>
            <w:tcMar>
              <w:top w:w="15" w:type="dxa"/>
              <w:left w:w="0" w:type="dxa"/>
              <w:bottom w:w="15" w:type="dxa"/>
              <w:right w:w="0" w:type="dxa"/>
            </w:tcMar>
            <w:vAlign w:val="center"/>
          </w:tcPr>
          <w:p w14:paraId="744C9642">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2240</w:t>
            </w:r>
          </w:p>
        </w:tc>
        <w:tc>
          <w:tcPr>
            <w:tcW w:w="646" w:type="pct"/>
            <w:tcMar>
              <w:top w:w="15" w:type="dxa"/>
              <w:left w:w="0" w:type="dxa"/>
              <w:bottom w:w="15" w:type="dxa"/>
              <w:right w:w="0" w:type="dxa"/>
            </w:tcMar>
            <w:vAlign w:val="center"/>
          </w:tcPr>
          <w:p w14:paraId="392D4C57">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10</w:t>
            </w:r>
          </w:p>
        </w:tc>
        <w:tc>
          <w:tcPr>
            <w:tcW w:w="776" w:type="pct"/>
          </w:tcPr>
          <w:p w14:paraId="19D6661F">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磷酸</w:t>
            </w:r>
          </w:p>
        </w:tc>
        <w:tc>
          <w:tcPr>
            <w:tcW w:w="775" w:type="pct"/>
            <w:tcMar>
              <w:top w:w="15" w:type="dxa"/>
              <w:left w:w="0" w:type="dxa"/>
              <w:bottom w:w="15" w:type="dxa"/>
              <w:right w:w="0" w:type="dxa"/>
            </w:tcMar>
            <w:vAlign w:val="center"/>
          </w:tcPr>
          <w:p w14:paraId="511875CC">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224</w:t>
            </w:r>
          </w:p>
        </w:tc>
      </w:tr>
      <w:bookmarkEnd w:id="105"/>
      <w:tr w14:paraId="3C7C30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225" w:type="pct"/>
            <w:gridSpan w:val="5"/>
            <w:tcMar>
              <w:top w:w="15" w:type="dxa"/>
              <w:left w:w="0" w:type="dxa"/>
              <w:bottom w:w="15" w:type="dxa"/>
              <w:right w:w="0" w:type="dxa"/>
            </w:tcMar>
            <w:vAlign w:val="center"/>
          </w:tcPr>
          <w:p w14:paraId="1321C558">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合计</w:t>
            </w:r>
          </w:p>
        </w:tc>
        <w:tc>
          <w:tcPr>
            <w:tcW w:w="775" w:type="pct"/>
            <w:tcMar>
              <w:top w:w="15" w:type="dxa"/>
              <w:left w:w="0" w:type="dxa"/>
              <w:bottom w:w="15" w:type="dxa"/>
              <w:right w:w="0" w:type="dxa"/>
            </w:tcMar>
            <w:vAlign w:val="bottom"/>
          </w:tcPr>
          <w:p w14:paraId="119C83E2">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5766.71</w:t>
            </w:r>
          </w:p>
        </w:tc>
      </w:tr>
    </w:tbl>
    <w:p w14:paraId="465902F7">
      <w:pPr>
        <w:tabs>
          <w:tab w:val="left" w:pos="7488"/>
        </w:tabs>
        <w:snapToGrid w:val="0"/>
        <w:spacing w:line="348" w:lineRule="auto"/>
        <w:ind w:firstLine="402"/>
        <w:rPr>
          <w:sz w:val="21"/>
          <w:szCs w:val="21"/>
          <w:u w:val="single"/>
          <w:lang w:bidi="ar"/>
        </w:rPr>
      </w:pPr>
      <w:r>
        <w:rPr>
          <w:rFonts w:hint="eastAsia"/>
          <w:sz w:val="21"/>
          <w:szCs w:val="21"/>
          <w:u w:val="single"/>
          <w:lang w:bidi="ar"/>
        </w:rPr>
        <w:t>注：第9项环境风险较小，难以形成重大风险源，本次不列入Q值计算。</w:t>
      </w:r>
    </w:p>
    <w:p w14:paraId="6ADCE427">
      <w:pPr>
        <w:tabs>
          <w:tab w:val="left" w:pos="7488"/>
        </w:tabs>
        <w:snapToGrid w:val="0"/>
        <w:spacing w:line="348" w:lineRule="auto"/>
        <w:ind w:firstLine="462"/>
      </w:pPr>
      <w:r>
        <w:rPr>
          <w:rFonts w:hint="eastAsia"/>
          <w:lang w:bidi="ar"/>
        </w:rPr>
        <w:t>本项目</w:t>
      </w:r>
      <w:r>
        <w:rPr>
          <w:lang w:bidi="ar"/>
        </w:rPr>
        <w:t>Q</w:t>
      </w:r>
      <w:r>
        <w:rPr>
          <w:rFonts w:hint="eastAsia"/>
          <w:lang w:bidi="ar"/>
        </w:rPr>
        <w:t>＞</w:t>
      </w:r>
      <w:r>
        <w:rPr>
          <w:lang w:bidi="ar"/>
        </w:rPr>
        <w:t>100</w:t>
      </w:r>
      <w:r>
        <w:rPr>
          <w:rFonts w:hint="eastAsia"/>
          <w:lang w:bidi="ar"/>
        </w:rPr>
        <w:t>。</w:t>
      </w:r>
    </w:p>
    <w:p w14:paraId="3729A7CD">
      <w:pPr>
        <w:tabs>
          <w:tab w:val="left" w:pos="7488"/>
        </w:tabs>
        <w:snapToGrid w:val="0"/>
        <w:spacing w:line="348" w:lineRule="auto"/>
        <w:ind w:firstLine="462"/>
      </w:pPr>
      <w:r>
        <w:rPr>
          <w:rFonts w:hint="eastAsia"/>
        </w:rPr>
        <w:t>2、行业及生产工艺（</w:t>
      </w:r>
      <w:r>
        <w:t>M</w:t>
      </w:r>
      <w:r>
        <w:rPr>
          <w:rFonts w:hint="eastAsia"/>
        </w:rPr>
        <w:t>）</w:t>
      </w:r>
    </w:p>
    <w:p w14:paraId="54173239">
      <w:pPr>
        <w:tabs>
          <w:tab w:val="left" w:pos="7488"/>
        </w:tabs>
        <w:snapToGrid w:val="0"/>
        <w:spacing w:line="348" w:lineRule="auto"/>
        <w:ind w:firstLine="462"/>
      </w:pPr>
      <w:r>
        <w:rPr>
          <w:rFonts w:hint="eastAsia"/>
          <w:lang w:bidi="ar"/>
        </w:rPr>
        <w:t>根据</w:t>
      </w:r>
      <w:r>
        <w:rPr>
          <w:lang w:bidi="ar"/>
        </w:rPr>
        <w:t>HJ169-2018</w:t>
      </w:r>
      <w:r>
        <w:rPr>
          <w:rFonts w:hint="eastAsia"/>
          <w:lang w:bidi="ar"/>
        </w:rPr>
        <w:t>附录</w:t>
      </w:r>
      <w:r>
        <w:rPr>
          <w:lang w:bidi="ar"/>
        </w:rPr>
        <w:t>C</w:t>
      </w:r>
      <w:r>
        <w:rPr>
          <w:rFonts w:hint="eastAsia"/>
          <w:lang w:bidi="ar"/>
        </w:rPr>
        <w:t>，分析项目所属行业及生产工艺特点。具有多套工艺单元的项目，对每套生产工艺进行分别评价求和。将</w:t>
      </w:r>
      <w:r>
        <w:rPr>
          <w:lang w:bidi="ar"/>
        </w:rPr>
        <w:t xml:space="preserve"> M </w:t>
      </w:r>
      <w:r>
        <w:rPr>
          <w:rFonts w:hint="eastAsia"/>
          <w:lang w:bidi="ar"/>
        </w:rPr>
        <w:t>划分为（</w:t>
      </w:r>
      <w:r>
        <w:rPr>
          <w:lang w:bidi="ar"/>
        </w:rPr>
        <w:t>1</w:t>
      </w:r>
      <w:r>
        <w:rPr>
          <w:rFonts w:hint="eastAsia"/>
          <w:lang w:bidi="ar"/>
        </w:rPr>
        <w:t>）</w:t>
      </w:r>
      <w:r>
        <w:rPr>
          <w:lang w:bidi="ar"/>
        </w:rPr>
        <w:t>M</w:t>
      </w:r>
      <w:r>
        <w:rPr>
          <w:rFonts w:hint="eastAsia"/>
          <w:lang w:bidi="ar"/>
        </w:rPr>
        <w:t>＞</w:t>
      </w:r>
      <w:r>
        <w:rPr>
          <w:lang w:bidi="ar"/>
        </w:rPr>
        <w:t>20</w:t>
      </w:r>
      <w:r>
        <w:rPr>
          <w:rFonts w:hint="eastAsia"/>
          <w:lang w:bidi="ar"/>
        </w:rPr>
        <w:t>；（</w:t>
      </w:r>
      <w:r>
        <w:rPr>
          <w:lang w:bidi="ar"/>
        </w:rPr>
        <w:t>2</w:t>
      </w:r>
      <w:r>
        <w:rPr>
          <w:rFonts w:hint="eastAsia"/>
          <w:lang w:bidi="ar"/>
        </w:rPr>
        <w:t>）</w:t>
      </w:r>
      <w:r>
        <w:rPr>
          <w:lang w:bidi="ar"/>
        </w:rPr>
        <w:t>10</w:t>
      </w:r>
      <w:r>
        <w:rPr>
          <w:rFonts w:hint="eastAsia"/>
          <w:lang w:bidi="ar"/>
        </w:rPr>
        <w:t>＜</w:t>
      </w:r>
      <w:r>
        <w:rPr>
          <w:lang w:bidi="ar"/>
        </w:rPr>
        <w:t>M≤20</w:t>
      </w:r>
      <w:r>
        <w:rPr>
          <w:rFonts w:hint="eastAsia"/>
          <w:lang w:bidi="ar"/>
        </w:rPr>
        <w:t>；（</w:t>
      </w:r>
      <w:r>
        <w:rPr>
          <w:lang w:bidi="ar"/>
        </w:rPr>
        <w:t>3</w:t>
      </w:r>
      <w:r>
        <w:rPr>
          <w:rFonts w:hint="eastAsia"/>
          <w:lang w:bidi="ar"/>
        </w:rPr>
        <w:t>）</w:t>
      </w:r>
      <w:r>
        <w:rPr>
          <w:lang w:bidi="ar"/>
        </w:rPr>
        <w:t>5</w:t>
      </w:r>
      <w:r>
        <w:rPr>
          <w:rFonts w:hint="eastAsia"/>
          <w:lang w:bidi="ar"/>
        </w:rPr>
        <w:t>＜</w:t>
      </w:r>
      <w:r>
        <w:rPr>
          <w:lang w:bidi="ar"/>
        </w:rPr>
        <w:t>M≤10</w:t>
      </w:r>
      <w:r>
        <w:rPr>
          <w:rFonts w:hint="eastAsia"/>
          <w:lang w:bidi="ar"/>
        </w:rPr>
        <w:t>；（</w:t>
      </w:r>
      <w:r>
        <w:rPr>
          <w:lang w:bidi="ar"/>
        </w:rPr>
        <w:t>4</w:t>
      </w:r>
      <w:r>
        <w:rPr>
          <w:rFonts w:hint="eastAsia"/>
          <w:lang w:bidi="ar"/>
        </w:rPr>
        <w:t>）</w:t>
      </w:r>
      <w:r>
        <w:rPr>
          <w:lang w:bidi="ar"/>
        </w:rPr>
        <w:t>M=5</w:t>
      </w:r>
      <w:r>
        <w:rPr>
          <w:rFonts w:hint="eastAsia"/>
          <w:lang w:bidi="ar"/>
        </w:rPr>
        <w:t>，分别以</w:t>
      </w:r>
      <w:r>
        <w:rPr>
          <w:lang w:bidi="ar"/>
        </w:rPr>
        <w:t xml:space="preserve"> M</w:t>
      </w:r>
      <w:r>
        <w:rPr>
          <w:vertAlign w:val="subscript"/>
          <w:lang w:bidi="ar"/>
        </w:rPr>
        <w:t>1</w:t>
      </w:r>
      <w:r>
        <w:rPr>
          <w:rFonts w:hint="eastAsia"/>
          <w:lang w:bidi="ar"/>
        </w:rPr>
        <w:t>、</w:t>
      </w:r>
      <w:r>
        <w:rPr>
          <w:lang w:bidi="ar"/>
        </w:rPr>
        <w:t>M</w:t>
      </w:r>
      <w:r>
        <w:rPr>
          <w:vertAlign w:val="subscript"/>
          <w:lang w:bidi="ar"/>
        </w:rPr>
        <w:t>2</w:t>
      </w:r>
      <w:r>
        <w:rPr>
          <w:rFonts w:hint="eastAsia"/>
          <w:lang w:bidi="ar"/>
        </w:rPr>
        <w:t>、</w:t>
      </w:r>
      <w:r>
        <w:rPr>
          <w:lang w:bidi="ar"/>
        </w:rPr>
        <w:t>M</w:t>
      </w:r>
      <w:r>
        <w:rPr>
          <w:vertAlign w:val="subscript"/>
          <w:lang w:bidi="ar"/>
        </w:rPr>
        <w:t>3</w:t>
      </w:r>
      <w:r>
        <w:rPr>
          <w:rFonts w:hint="eastAsia"/>
          <w:lang w:bidi="ar"/>
        </w:rPr>
        <w:t>和</w:t>
      </w:r>
      <w:r>
        <w:rPr>
          <w:lang w:bidi="ar"/>
        </w:rPr>
        <w:t>M</w:t>
      </w:r>
      <w:r>
        <w:rPr>
          <w:vertAlign w:val="subscript"/>
          <w:lang w:bidi="ar"/>
        </w:rPr>
        <w:t>4</w:t>
      </w:r>
      <w:r>
        <w:rPr>
          <w:rFonts w:hint="eastAsia"/>
          <w:lang w:bidi="ar"/>
        </w:rPr>
        <w:t>表示。本项目属码头行业，行业及生产工艺（</w:t>
      </w:r>
      <w:r>
        <w:rPr>
          <w:lang w:bidi="ar"/>
        </w:rPr>
        <w:t>M</w:t>
      </w:r>
      <w:r>
        <w:rPr>
          <w:rFonts w:hint="eastAsia"/>
          <w:lang w:bidi="ar"/>
        </w:rPr>
        <w:t>）为</w:t>
      </w:r>
      <w:r>
        <w:rPr>
          <w:lang w:bidi="ar"/>
        </w:rPr>
        <w:t>10</w:t>
      </w:r>
      <w:r>
        <w:rPr>
          <w:rFonts w:hint="eastAsia"/>
          <w:lang w:bidi="ar"/>
        </w:rPr>
        <w:t>，以</w:t>
      </w:r>
      <w:r>
        <w:rPr>
          <w:lang w:bidi="ar"/>
        </w:rPr>
        <w:t>M3</w:t>
      </w:r>
      <w:r>
        <w:rPr>
          <w:rFonts w:hint="eastAsia"/>
          <w:lang w:bidi="ar"/>
        </w:rPr>
        <w:t>表示。</w:t>
      </w:r>
    </w:p>
    <w:p w14:paraId="18EE8AE1">
      <w:pPr>
        <w:tabs>
          <w:tab w:val="left" w:pos="7488"/>
        </w:tabs>
        <w:snapToGrid w:val="0"/>
        <w:spacing w:line="348" w:lineRule="auto"/>
        <w:ind w:firstLine="462"/>
      </w:pPr>
      <w:r>
        <w:rPr>
          <w:rFonts w:hint="eastAsia"/>
        </w:rPr>
        <w:t>3、危险物质及工艺系统危险性(</w:t>
      </w:r>
      <w:r>
        <w:t>P</w:t>
      </w:r>
      <w:r>
        <w:rPr>
          <w:rFonts w:hint="eastAsia"/>
        </w:rPr>
        <w:t>）分级</w:t>
      </w:r>
    </w:p>
    <w:p w14:paraId="125288DF">
      <w:pPr>
        <w:tabs>
          <w:tab w:val="left" w:pos="7488"/>
        </w:tabs>
        <w:snapToGrid w:val="0"/>
        <w:spacing w:line="348" w:lineRule="auto"/>
        <w:ind w:firstLine="462"/>
      </w:pPr>
      <w:r>
        <w:rPr>
          <w:rFonts w:hint="eastAsia" w:cs="宋体"/>
          <w:lang w:bidi="ar"/>
        </w:rPr>
        <w:t>根据危险物质数量与临界量比值（</w:t>
      </w:r>
      <w:r>
        <w:rPr>
          <w:lang w:bidi="ar"/>
        </w:rPr>
        <w:t>Q</w:t>
      </w:r>
      <w:r>
        <w:rPr>
          <w:rFonts w:hint="eastAsia" w:cs="宋体"/>
          <w:lang w:bidi="ar"/>
        </w:rPr>
        <w:t>）和行业及生产工艺（</w:t>
      </w:r>
      <w:r>
        <w:rPr>
          <w:lang w:bidi="ar"/>
        </w:rPr>
        <w:t>M</w:t>
      </w:r>
      <w:r>
        <w:rPr>
          <w:rFonts w:hint="eastAsia" w:cs="宋体"/>
          <w:lang w:bidi="ar"/>
        </w:rPr>
        <w:t>），确定危险物质及工艺系统危险性等级（</w:t>
      </w:r>
      <w:r>
        <w:rPr>
          <w:lang w:bidi="ar"/>
        </w:rPr>
        <w:t>P</w:t>
      </w:r>
      <w:r>
        <w:rPr>
          <w:rFonts w:hint="eastAsia" w:cs="宋体"/>
          <w:lang w:bidi="ar"/>
        </w:rPr>
        <w:t>），分别以</w:t>
      </w:r>
      <w:r>
        <w:rPr>
          <w:lang w:bidi="ar"/>
        </w:rPr>
        <w:t xml:space="preserve"> P1</w:t>
      </w:r>
      <w:r>
        <w:rPr>
          <w:rFonts w:hint="eastAsia" w:cs="宋体"/>
          <w:lang w:bidi="ar"/>
        </w:rPr>
        <w:t>、</w:t>
      </w:r>
      <w:r>
        <w:rPr>
          <w:lang w:bidi="ar"/>
        </w:rPr>
        <w:t>P2</w:t>
      </w:r>
      <w:r>
        <w:rPr>
          <w:rFonts w:hint="eastAsia" w:cs="宋体"/>
          <w:lang w:bidi="ar"/>
        </w:rPr>
        <w:t>、</w:t>
      </w:r>
      <w:r>
        <w:rPr>
          <w:lang w:bidi="ar"/>
        </w:rPr>
        <w:t>P3</w:t>
      </w:r>
      <w:r>
        <w:rPr>
          <w:rFonts w:hint="eastAsia" w:cs="宋体"/>
          <w:lang w:bidi="ar"/>
        </w:rPr>
        <w:t>、</w:t>
      </w:r>
      <w:r>
        <w:rPr>
          <w:lang w:bidi="ar"/>
        </w:rPr>
        <w:t>P4</w:t>
      </w:r>
      <w:r>
        <w:rPr>
          <w:rFonts w:hint="eastAsia" w:cs="宋体"/>
          <w:lang w:bidi="ar"/>
        </w:rPr>
        <w:t>表示，等级判断见表</w:t>
      </w:r>
      <w:r>
        <w:rPr>
          <w:lang w:bidi="ar"/>
        </w:rPr>
        <w:t>1.2-1</w:t>
      </w:r>
      <w:r>
        <w:rPr>
          <w:rFonts w:hint="eastAsia"/>
          <w:lang w:bidi="ar"/>
        </w:rPr>
        <w:t>0</w:t>
      </w:r>
      <w:r>
        <w:rPr>
          <w:rFonts w:hint="eastAsia" w:cs="宋体"/>
          <w:lang w:bidi="ar"/>
        </w:rPr>
        <w:t>。</w:t>
      </w:r>
    </w:p>
    <w:p w14:paraId="03599028">
      <w:pPr>
        <w:pStyle w:val="7"/>
      </w:pPr>
      <w:r>
        <w:rPr>
          <w:rFonts w:hint="eastAsia"/>
        </w:rPr>
        <w:t>危险物质及工艺系统危险性等级判断（</w:t>
      </w:r>
      <w:r>
        <w:rPr>
          <w:rFonts w:cs="Arial"/>
        </w:rPr>
        <w:t>P</w:t>
      </w:r>
      <w:r>
        <w:rPr>
          <w:rFonts w:hint="eastAsia"/>
        </w:rPr>
        <w:t>）</w:t>
      </w:r>
    </w:p>
    <w:tbl>
      <w:tblPr>
        <w:tblStyle w:val="88"/>
        <w:tblW w:w="853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44"/>
        <w:gridCol w:w="1071"/>
        <w:gridCol w:w="1707"/>
        <w:gridCol w:w="1707"/>
        <w:gridCol w:w="1706"/>
      </w:tblGrid>
      <w:tr w14:paraId="3679EE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2342" w:type="dxa"/>
            <w:vMerge w:val="restart"/>
            <w:tcBorders>
              <w:top w:val="single" w:color="auto" w:sz="12" w:space="0"/>
              <w:left w:val="single" w:color="auto" w:sz="12" w:space="0"/>
              <w:bottom w:val="single" w:color="auto" w:sz="4" w:space="0"/>
              <w:right w:val="single" w:color="auto" w:sz="4" w:space="0"/>
            </w:tcBorders>
            <w:vAlign w:val="center"/>
          </w:tcPr>
          <w:p w14:paraId="1DFC0A67">
            <w:pPr>
              <w:snapToGrid w:val="0"/>
              <w:spacing w:line="280" w:lineRule="exact"/>
              <w:ind w:firstLine="403"/>
              <w:jc w:val="center"/>
              <w:rPr>
                <w:sz w:val="21"/>
                <w:szCs w:val="21"/>
              </w:rPr>
            </w:pPr>
            <w:r>
              <w:rPr>
                <w:rFonts w:hint="eastAsia" w:cs="宋体"/>
                <w:b/>
                <w:bCs/>
                <w:sz w:val="21"/>
                <w:szCs w:val="21"/>
                <w:lang w:bidi="ar"/>
              </w:rPr>
              <w:t>危险物质数量与临界量比值（</w:t>
            </w:r>
            <w:r>
              <w:rPr>
                <w:b/>
                <w:bCs/>
                <w:sz w:val="21"/>
                <w:szCs w:val="21"/>
                <w:lang w:bidi="ar"/>
              </w:rPr>
              <w:t>Q</w:t>
            </w:r>
            <w:r>
              <w:rPr>
                <w:rFonts w:hint="eastAsia" w:cs="宋体"/>
                <w:b/>
                <w:bCs/>
                <w:sz w:val="21"/>
                <w:szCs w:val="21"/>
                <w:lang w:bidi="ar"/>
              </w:rPr>
              <w:t>）</w:t>
            </w:r>
          </w:p>
        </w:tc>
        <w:tc>
          <w:tcPr>
            <w:tcW w:w="6191" w:type="dxa"/>
            <w:gridSpan w:val="4"/>
            <w:tcBorders>
              <w:top w:val="single" w:color="auto" w:sz="12" w:space="0"/>
              <w:left w:val="single" w:color="auto" w:sz="4" w:space="0"/>
              <w:bottom w:val="single" w:color="auto" w:sz="4" w:space="0"/>
              <w:right w:val="single" w:color="auto" w:sz="12" w:space="0"/>
            </w:tcBorders>
            <w:vAlign w:val="center"/>
          </w:tcPr>
          <w:p w14:paraId="6927C9E9">
            <w:pPr>
              <w:snapToGrid w:val="0"/>
              <w:spacing w:line="280" w:lineRule="exact"/>
              <w:ind w:firstLine="403"/>
              <w:jc w:val="center"/>
              <w:rPr>
                <w:sz w:val="21"/>
                <w:szCs w:val="21"/>
              </w:rPr>
            </w:pPr>
            <w:r>
              <w:rPr>
                <w:rFonts w:hint="eastAsia" w:cs="宋体"/>
                <w:b/>
                <w:bCs/>
                <w:sz w:val="21"/>
                <w:szCs w:val="21"/>
                <w:lang w:bidi="ar"/>
              </w:rPr>
              <w:t>行业及生产工艺（</w:t>
            </w:r>
            <w:r>
              <w:rPr>
                <w:b/>
                <w:bCs/>
                <w:sz w:val="21"/>
                <w:szCs w:val="21"/>
                <w:lang w:bidi="ar"/>
              </w:rPr>
              <w:t>M</w:t>
            </w:r>
            <w:r>
              <w:rPr>
                <w:rFonts w:hint="eastAsia" w:cs="宋体"/>
                <w:b/>
                <w:bCs/>
                <w:sz w:val="21"/>
                <w:szCs w:val="21"/>
                <w:lang w:bidi="ar"/>
              </w:rPr>
              <w:t>）</w:t>
            </w:r>
          </w:p>
        </w:tc>
      </w:tr>
      <w:tr w14:paraId="07DC91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2342" w:type="dxa"/>
            <w:vMerge w:val="continue"/>
            <w:tcBorders>
              <w:top w:val="single" w:color="auto" w:sz="12" w:space="0"/>
              <w:left w:val="single" w:color="auto" w:sz="12" w:space="0"/>
              <w:bottom w:val="single" w:color="auto" w:sz="4" w:space="0"/>
              <w:right w:val="single" w:color="auto" w:sz="4" w:space="0"/>
            </w:tcBorders>
            <w:vAlign w:val="center"/>
          </w:tcPr>
          <w:p w14:paraId="7EB3EC58">
            <w:pPr>
              <w:ind w:firstLine="382"/>
              <w:rPr>
                <w:sz w:val="20"/>
                <w:szCs w:val="20"/>
              </w:rPr>
            </w:pP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14:paraId="577EF9A8">
            <w:pPr>
              <w:snapToGrid w:val="0"/>
              <w:spacing w:line="280" w:lineRule="exact"/>
              <w:ind w:firstLine="402"/>
              <w:jc w:val="center"/>
              <w:rPr>
                <w:sz w:val="21"/>
                <w:szCs w:val="21"/>
              </w:rPr>
            </w:pPr>
            <w:r>
              <w:rPr>
                <w:sz w:val="21"/>
                <w:szCs w:val="21"/>
                <w:lang w:bidi="ar"/>
              </w:rPr>
              <w:t>M1</w:t>
            </w:r>
          </w:p>
        </w:tc>
        <w:tc>
          <w:tcPr>
            <w:tcW w:w="1707" w:type="dxa"/>
            <w:tcBorders>
              <w:top w:val="single" w:color="auto" w:sz="4" w:space="0"/>
              <w:left w:val="single" w:color="auto" w:sz="4" w:space="0"/>
              <w:bottom w:val="single" w:color="auto" w:sz="4" w:space="0"/>
              <w:right w:val="single" w:color="auto" w:sz="4" w:space="0"/>
            </w:tcBorders>
            <w:shd w:val="clear" w:color="auto" w:fill="FFFFFF"/>
            <w:vAlign w:val="center"/>
          </w:tcPr>
          <w:p w14:paraId="3D3C8E74">
            <w:pPr>
              <w:snapToGrid w:val="0"/>
              <w:spacing w:line="280" w:lineRule="exact"/>
              <w:ind w:firstLine="402"/>
              <w:jc w:val="center"/>
              <w:rPr>
                <w:sz w:val="21"/>
                <w:szCs w:val="21"/>
              </w:rPr>
            </w:pPr>
            <w:r>
              <w:rPr>
                <w:sz w:val="21"/>
                <w:szCs w:val="21"/>
                <w:lang w:bidi="ar"/>
              </w:rPr>
              <w:t>M2</w:t>
            </w:r>
          </w:p>
        </w:tc>
        <w:tc>
          <w:tcPr>
            <w:tcW w:w="1707" w:type="dxa"/>
            <w:tcBorders>
              <w:top w:val="single" w:color="auto" w:sz="4" w:space="0"/>
              <w:left w:val="single" w:color="auto" w:sz="4" w:space="0"/>
              <w:bottom w:val="single" w:color="auto" w:sz="4" w:space="0"/>
              <w:right w:val="single" w:color="auto" w:sz="4" w:space="0"/>
            </w:tcBorders>
            <w:shd w:val="clear" w:color="auto" w:fill="E7E6E6"/>
            <w:vAlign w:val="center"/>
          </w:tcPr>
          <w:p w14:paraId="5731CB9C">
            <w:pPr>
              <w:snapToGrid w:val="0"/>
              <w:spacing w:line="280" w:lineRule="exact"/>
              <w:ind w:firstLine="402"/>
              <w:jc w:val="center"/>
              <w:rPr>
                <w:sz w:val="21"/>
                <w:szCs w:val="21"/>
              </w:rPr>
            </w:pPr>
            <w:r>
              <w:rPr>
                <w:sz w:val="21"/>
                <w:szCs w:val="21"/>
                <w:lang w:bidi="ar"/>
              </w:rPr>
              <w:t>M3</w:t>
            </w:r>
          </w:p>
        </w:tc>
        <w:tc>
          <w:tcPr>
            <w:tcW w:w="1706" w:type="dxa"/>
            <w:tcBorders>
              <w:top w:val="single" w:color="auto" w:sz="4" w:space="0"/>
              <w:left w:val="single" w:color="auto" w:sz="4" w:space="0"/>
              <w:bottom w:val="single" w:color="auto" w:sz="4" w:space="0"/>
              <w:right w:val="single" w:color="auto" w:sz="12" w:space="0"/>
            </w:tcBorders>
            <w:shd w:val="clear" w:color="auto" w:fill="FFFFFF"/>
            <w:vAlign w:val="center"/>
          </w:tcPr>
          <w:p w14:paraId="2C5D06DA">
            <w:pPr>
              <w:snapToGrid w:val="0"/>
              <w:spacing w:line="280" w:lineRule="exact"/>
              <w:ind w:firstLine="402"/>
              <w:jc w:val="center"/>
              <w:rPr>
                <w:sz w:val="21"/>
                <w:szCs w:val="21"/>
              </w:rPr>
            </w:pPr>
            <w:r>
              <w:rPr>
                <w:sz w:val="21"/>
                <w:szCs w:val="21"/>
                <w:lang w:bidi="ar"/>
              </w:rPr>
              <w:t>M4</w:t>
            </w:r>
          </w:p>
        </w:tc>
      </w:tr>
      <w:tr w14:paraId="0A3CB8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342" w:type="dxa"/>
            <w:tcBorders>
              <w:top w:val="single" w:color="auto" w:sz="4" w:space="0"/>
              <w:left w:val="single" w:color="auto" w:sz="12" w:space="0"/>
              <w:bottom w:val="single" w:color="auto" w:sz="4" w:space="0"/>
              <w:right w:val="single" w:color="auto" w:sz="4" w:space="0"/>
            </w:tcBorders>
            <w:shd w:val="clear" w:color="auto" w:fill="D9D9D9"/>
            <w:vAlign w:val="center"/>
          </w:tcPr>
          <w:p w14:paraId="33BCCC45">
            <w:pPr>
              <w:snapToGrid w:val="0"/>
              <w:spacing w:line="280" w:lineRule="exact"/>
              <w:ind w:firstLine="402"/>
              <w:jc w:val="center"/>
              <w:rPr>
                <w:sz w:val="21"/>
                <w:szCs w:val="21"/>
              </w:rPr>
            </w:pPr>
            <w:r>
              <w:rPr>
                <w:sz w:val="21"/>
                <w:szCs w:val="21"/>
                <w:lang w:bidi="ar"/>
              </w:rPr>
              <w:t>Q≥100</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14:paraId="6CF53740">
            <w:pPr>
              <w:snapToGrid w:val="0"/>
              <w:spacing w:line="280" w:lineRule="exact"/>
              <w:ind w:firstLine="402"/>
              <w:jc w:val="center"/>
              <w:rPr>
                <w:sz w:val="21"/>
                <w:szCs w:val="21"/>
              </w:rPr>
            </w:pPr>
            <w:r>
              <w:rPr>
                <w:sz w:val="21"/>
                <w:szCs w:val="21"/>
                <w:lang w:bidi="ar"/>
              </w:rPr>
              <w:t>P1</w:t>
            </w:r>
          </w:p>
        </w:tc>
        <w:tc>
          <w:tcPr>
            <w:tcW w:w="1707" w:type="dxa"/>
            <w:tcBorders>
              <w:top w:val="single" w:color="auto" w:sz="4" w:space="0"/>
              <w:left w:val="single" w:color="auto" w:sz="4" w:space="0"/>
              <w:bottom w:val="single" w:color="auto" w:sz="4" w:space="0"/>
              <w:right w:val="single" w:color="auto" w:sz="4" w:space="0"/>
            </w:tcBorders>
            <w:shd w:val="clear" w:color="auto" w:fill="FFFFFF"/>
            <w:vAlign w:val="center"/>
          </w:tcPr>
          <w:p w14:paraId="16557755">
            <w:pPr>
              <w:snapToGrid w:val="0"/>
              <w:spacing w:line="280" w:lineRule="exact"/>
              <w:ind w:firstLine="402"/>
              <w:jc w:val="center"/>
              <w:rPr>
                <w:sz w:val="21"/>
                <w:szCs w:val="21"/>
              </w:rPr>
            </w:pPr>
            <w:r>
              <w:rPr>
                <w:sz w:val="21"/>
                <w:szCs w:val="21"/>
                <w:lang w:bidi="ar"/>
              </w:rPr>
              <w:t>P1</w:t>
            </w:r>
          </w:p>
        </w:tc>
        <w:tc>
          <w:tcPr>
            <w:tcW w:w="1707" w:type="dxa"/>
            <w:tcBorders>
              <w:top w:val="single" w:color="auto" w:sz="4" w:space="0"/>
              <w:left w:val="single" w:color="auto" w:sz="4" w:space="0"/>
              <w:bottom w:val="single" w:color="auto" w:sz="4" w:space="0"/>
              <w:right w:val="single" w:color="auto" w:sz="4" w:space="0"/>
            </w:tcBorders>
            <w:shd w:val="clear" w:color="auto" w:fill="E7E6E6"/>
            <w:vAlign w:val="center"/>
          </w:tcPr>
          <w:p w14:paraId="67CFACB4">
            <w:pPr>
              <w:snapToGrid w:val="0"/>
              <w:spacing w:line="280" w:lineRule="exact"/>
              <w:ind w:firstLine="402"/>
              <w:jc w:val="center"/>
              <w:rPr>
                <w:sz w:val="21"/>
                <w:szCs w:val="21"/>
              </w:rPr>
            </w:pPr>
            <w:r>
              <w:rPr>
                <w:sz w:val="21"/>
                <w:szCs w:val="21"/>
                <w:lang w:bidi="ar"/>
              </w:rPr>
              <w:t>P2</w:t>
            </w:r>
          </w:p>
        </w:tc>
        <w:tc>
          <w:tcPr>
            <w:tcW w:w="1706" w:type="dxa"/>
            <w:tcBorders>
              <w:top w:val="single" w:color="auto" w:sz="4" w:space="0"/>
              <w:left w:val="single" w:color="auto" w:sz="4" w:space="0"/>
              <w:bottom w:val="single" w:color="auto" w:sz="4" w:space="0"/>
              <w:right w:val="single" w:color="auto" w:sz="12" w:space="0"/>
            </w:tcBorders>
            <w:shd w:val="clear" w:color="auto" w:fill="FFFFFF"/>
            <w:vAlign w:val="center"/>
          </w:tcPr>
          <w:p w14:paraId="25215168">
            <w:pPr>
              <w:snapToGrid w:val="0"/>
              <w:spacing w:line="280" w:lineRule="exact"/>
              <w:ind w:firstLine="402"/>
              <w:jc w:val="center"/>
              <w:rPr>
                <w:sz w:val="21"/>
                <w:szCs w:val="21"/>
              </w:rPr>
            </w:pPr>
            <w:r>
              <w:rPr>
                <w:sz w:val="21"/>
                <w:szCs w:val="21"/>
                <w:lang w:bidi="ar"/>
              </w:rPr>
              <w:t>P3</w:t>
            </w:r>
          </w:p>
        </w:tc>
      </w:tr>
      <w:tr w14:paraId="3E6579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342" w:type="dxa"/>
            <w:tcBorders>
              <w:top w:val="single" w:color="auto" w:sz="4" w:space="0"/>
              <w:left w:val="single" w:color="auto" w:sz="12" w:space="0"/>
              <w:bottom w:val="single" w:color="auto" w:sz="4" w:space="0"/>
              <w:right w:val="single" w:color="auto" w:sz="4" w:space="0"/>
            </w:tcBorders>
            <w:vAlign w:val="center"/>
          </w:tcPr>
          <w:p w14:paraId="56795007">
            <w:pPr>
              <w:snapToGrid w:val="0"/>
              <w:spacing w:line="280" w:lineRule="exact"/>
              <w:ind w:firstLine="402"/>
              <w:jc w:val="center"/>
              <w:rPr>
                <w:sz w:val="21"/>
                <w:szCs w:val="21"/>
              </w:rPr>
            </w:pPr>
            <w:r>
              <w:rPr>
                <w:sz w:val="21"/>
                <w:szCs w:val="21"/>
                <w:lang w:bidi="ar"/>
              </w:rPr>
              <w:t>10≤Q</w:t>
            </w:r>
            <w:r>
              <w:rPr>
                <w:rFonts w:hint="eastAsia" w:cs="宋体"/>
                <w:sz w:val="21"/>
                <w:szCs w:val="21"/>
                <w:lang w:bidi="ar"/>
              </w:rPr>
              <w:t>＜</w:t>
            </w:r>
            <w:r>
              <w:rPr>
                <w:sz w:val="21"/>
                <w:szCs w:val="21"/>
                <w:lang w:bidi="ar"/>
              </w:rPr>
              <w:t>100</w:t>
            </w:r>
          </w:p>
        </w:tc>
        <w:tc>
          <w:tcPr>
            <w:tcW w:w="1071" w:type="dxa"/>
            <w:tcBorders>
              <w:top w:val="single" w:color="auto" w:sz="4" w:space="0"/>
              <w:left w:val="single" w:color="auto" w:sz="4" w:space="0"/>
              <w:bottom w:val="single" w:color="auto" w:sz="4" w:space="0"/>
              <w:right w:val="single" w:color="auto" w:sz="4" w:space="0"/>
            </w:tcBorders>
            <w:vAlign w:val="center"/>
          </w:tcPr>
          <w:p w14:paraId="06FFF5A3">
            <w:pPr>
              <w:snapToGrid w:val="0"/>
              <w:spacing w:line="280" w:lineRule="exact"/>
              <w:ind w:firstLine="402"/>
              <w:jc w:val="center"/>
              <w:rPr>
                <w:sz w:val="21"/>
                <w:szCs w:val="21"/>
              </w:rPr>
            </w:pPr>
            <w:r>
              <w:rPr>
                <w:sz w:val="21"/>
                <w:szCs w:val="21"/>
                <w:lang w:bidi="ar"/>
              </w:rPr>
              <w:t>P1</w:t>
            </w:r>
          </w:p>
        </w:tc>
        <w:tc>
          <w:tcPr>
            <w:tcW w:w="1707" w:type="dxa"/>
            <w:tcBorders>
              <w:top w:val="single" w:color="auto" w:sz="4" w:space="0"/>
              <w:left w:val="single" w:color="auto" w:sz="4" w:space="0"/>
              <w:bottom w:val="single" w:color="auto" w:sz="4" w:space="0"/>
              <w:right w:val="single" w:color="auto" w:sz="4" w:space="0"/>
            </w:tcBorders>
            <w:vAlign w:val="center"/>
          </w:tcPr>
          <w:p w14:paraId="247F2092">
            <w:pPr>
              <w:snapToGrid w:val="0"/>
              <w:spacing w:line="280" w:lineRule="exact"/>
              <w:ind w:firstLine="402"/>
              <w:jc w:val="center"/>
              <w:rPr>
                <w:sz w:val="21"/>
                <w:szCs w:val="21"/>
              </w:rPr>
            </w:pPr>
            <w:r>
              <w:rPr>
                <w:sz w:val="21"/>
                <w:szCs w:val="21"/>
                <w:lang w:bidi="ar"/>
              </w:rPr>
              <w:t>P2</w:t>
            </w:r>
          </w:p>
        </w:tc>
        <w:tc>
          <w:tcPr>
            <w:tcW w:w="1707" w:type="dxa"/>
            <w:tcBorders>
              <w:top w:val="single" w:color="auto" w:sz="4" w:space="0"/>
              <w:left w:val="single" w:color="auto" w:sz="4" w:space="0"/>
              <w:bottom w:val="single" w:color="auto" w:sz="4" w:space="0"/>
              <w:right w:val="single" w:color="auto" w:sz="4" w:space="0"/>
            </w:tcBorders>
            <w:vAlign w:val="center"/>
          </w:tcPr>
          <w:p w14:paraId="3C1136EA">
            <w:pPr>
              <w:snapToGrid w:val="0"/>
              <w:spacing w:line="280" w:lineRule="exact"/>
              <w:ind w:firstLine="402"/>
              <w:jc w:val="center"/>
              <w:rPr>
                <w:sz w:val="21"/>
                <w:szCs w:val="21"/>
              </w:rPr>
            </w:pPr>
            <w:r>
              <w:rPr>
                <w:sz w:val="21"/>
                <w:szCs w:val="21"/>
                <w:lang w:bidi="ar"/>
              </w:rPr>
              <w:t>P3</w:t>
            </w:r>
          </w:p>
        </w:tc>
        <w:tc>
          <w:tcPr>
            <w:tcW w:w="1706" w:type="dxa"/>
            <w:tcBorders>
              <w:top w:val="single" w:color="auto" w:sz="4" w:space="0"/>
              <w:left w:val="single" w:color="auto" w:sz="4" w:space="0"/>
              <w:bottom w:val="single" w:color="auto" w:sz="4" w:space="0"/>
              <w:right w:val="single" w:color="auto" w:sz="12" w:space="0"/>
            </w:tcBorders>
            <w:vAlign w:val="center"/>
          </w:tcPr>
          <w:p w14:paraId="7B74797C">
            <w:pPr>
              <w:snapToGrid w:val="0"/>
              <w:spacing w:line="280" w:lineRule="exact"/>
              <w:ind w:firstLine="402"/>
              <w:jc w:val="center"/>
              <w:rPr>
                <w:sz w:val="21"/>
                <w:szCs w:val="21"/>
              </w:rPr>
            </w:pPr>
            <w:r>
              <w:rPr>
                <w:sz w:val="21"/>
                <w:szCs w:val="21"/>
                <w:lang w:bidi="ar"/>
              </w:rPr>
              <w:t>P4</w:t>
            </w:r>
          </w:p>
        </w:tc>
      </w:tr>
      <w:tr w14:paraId="4B1327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342" w:type="dxa"/>
            <w:tcBorders>
              <w:top w:val="single" w:color="auto" w:sz="4" w:space="0"/>
              <w:left w:val="single" w:color="auto" w:sz="12" w:space="0"/>
              <w:bottom w:val="single" w:color="auto" w:sz="12" w:space="0"/>
              <w:right w:val="single" w:color="auto" w:sz="4" w:space="0"/>
            </w:tcBorders>
            <w:shd w:val="clear" w:color="auto" w:fill="FFFFFF"/>
            <w:vAlign w:val="center"/>
          </w:tcPr>
          <w:p w14:paraId="55E068BE">
            <w:pPr>
              <w:snapToGrid w:val="0"/>
              <w:spacing w:line="280" w:lineRule="exact"/>
              <w:ind w:firstLine="402"/>
              <w:jc w:val="center"/>
              <w:rPr>
                <w:sz w:val="21"/>
                <w:szCs w:val="21"/>
              </w:rPr>
            </w:pPr>
            <w:r>
              <w:rPr>
                <w:sz w:val="21"/>
                <w:szCs w:val="21"/>
                <w:lang w:bidi="ar"/>
              </w:rPr>
              <w:t>1≤Q</w:t>
            </w:r>
            <w:r>
              <w:rPr>
                <w:rFonts w:hint="eastAsia" w:cs="宋体"/>
                <w:sz w:val="21"/>
                <w:szCs w:val="21"/>
                <w:lang w:bidi="ar"/>
              </w:rPr>
              <w:t>＜</w:t>
            </w:r>
            <w:r>
              <w:rPr>
                <w:sz w:val="21"/>
                <w:szCs w:val="21"/>
                <w:lang w:bidi="ar"/>
              </w:rPr>
              <w:t>10</w:t>
            </w:r>
          </w:p>
        </w:tc>
        <w:tc>
          <w:tcPr>
            <w:tcW w:w="1071" w:type="dxa"/>
            <w:tcBorders>
              <w:top w:val="single" w:color="auto" w:sz="4" w:space="0"/>
              <w:left w:val="single" w:color="auto" w:sz="4" w:space="0"/>
              <w:bottom w:val="single" w:color="auto" w:sz="12" w:space="0"/>
              <w:right w:val="single" w:color="auto" w:sz="4" w:space="0"/>
            </w:tcBorders>
            <w:vAlign w:val="center"/>
          </w:tcPr>
          <w:p w14:paraId="1D1F1625">
            <w:pPr>
              <w:snapToGrid w:val="0"/>
              <w:spacing w:line="280" w:lineRule="exact"/>
              <w:ind w:firstLine="402"/>
              <w:jc w:val="center"/>
              <w:rPr>
                <w:sz w:val="21"/>
                <w:szCs w:val="21"/>
              </w:rPr>
            </w:pPr>
            <w:r>
              <w:rPr>
                <w:sz w:val="21"/>
                <w:szCs w:val="21"/>
                <w:lang w:bidi="ar"/>
              </w:rPr>
              <w:t>P2</w:t>
            </w:r>
          </w:p>
        </w:tc>
        <w:tc>
          <w:tcPr>
            <w:tcW w:w="1707" w:type="dxa"/>
            <w:tcBorders>
              <w:top w:val="single" w:color="auto" w:sz="4" w:space="0"/>
              <w:left w:val="single" w:color="auto" w:sz="4" w:space="0"/>
              <w:bottom w:val="single" w:color="auto" w:sz="12" w:space="0"/>
              <w:right w:val="single" w:color="auto" w:sz="4" w:space="0"/>
            </w:tcBorders>
            <w:vAlign w:val="center"/>
          </w:tcPr>
          <w:p w14:paraId="4CA14A1B">
            <w:pPr>
              <w:snapToGrid w:val="0"/>
              <w:spacing w:line="280" w:lineRule="exact"/>
              <w:ind w:firstLine="402"/>
              <w:jc w:val="center"/>
              <w:rPr>
                <w:sz w:val="21"/>
                <w:szCs w:val="21"/>
              </w:rPr>
            </w:pPr>
            <w:r>
              <w:rPr>
                <w:sz w:val="21"/>
                <w:szCs w:val="21"/>
                <w:lang w:bidi="ar"/>
              </w:rPr>
              <w:t>P3</w:t>
            </w:r>
          </w:p>
        </w:tc>
        <w:tc>
          <w:tcPr>
            <w:tcW w:w="1707" w:type="dxa"/>
            <w:tcBorders>
              <w:top w:val="single" w:color="auto" w:sz="4" w:space="0"/>
              <w:left w:val="single" w:color="auto" w:sz="4" w:space="0"/>
              <w:bottom w:val="single" w:color="auto" w:sz="12" w:space="0"/>
              <w:right w:val="single" w:color="auto" w:sz="4" w:space="0"/>
            </w:tcBorders>
            <w:shd w:val="clear" w:color="auto" w:fill="FFFFFF"/>
            <w:vAlign w:val="center"/>
          </w:tcPr>
          <w:p w14:paraId="62A4BE48">
            <w:pPr>
              <w:snapToGrid w:val="0"/>
              <w:spacing w:line="280" w:lineRule="exact"/>
              <w:ind w:firstLine="402"/>
              <w:jc w:val="center"/>
              <w:rPr>
                <w:sz w:val="21"/>
                <w:szCs w:val="21"/>
              </w:rPr>
            </w:pPr>
            <w:r>
              <w:rPr>
                <w:sz w:val="21"/>
                <w:szCs w:val="21"/>
                <w:lang w:bidi="ar"/>
              </w:rPr>
              <w:t>P4</w:t>
            </w:r>
          </w:p>
        </w:tc>
        <w:tc>
          <w:tcPr>
            <w:tcW w:w="1706" w:type="dxa"/>
            <w:tcBorders>
              <w:top w:val="single" w:color="auto" w:sz="4" w:space="0"/>
              <w:left w:val="single" w:color="auto" w:sz="4" w:space="0"/>
              <w:bottom w:val="single" w:color="auto" w:sz="12" w:space="0"/>
              <w:right w:val="single" w:color="auto" w:sz="12" w:space="0"/>
            </w:tcBorders>
            <w:shd w:val="clear" w:color="auto" w:fill="FFFFFF"/>
            <w:vAlign w:val="center"/>
          </w:tcPr>
          <w:p w14:paraId="6524AD24">
            <w:pPr>
              <w:snapToGrid w:val="0"/>
              <w:spacing w:line="280" w:lineRule="exact"/>
              <w:ind w:firstLine="402"/>
              <w:jc w:val="center"/>
              <w:rPr>
                <w:sz w:val="21"/>
                <w:szCs w:val="21"/>
              </w:rPr>
            </w:pPr>
            <w:r>
              <w:rPr>
                <w:sz w:val="21"/>
                <w:szCs w:val="21"/>
                <w:lang w:bidi="ar"/>
              </w:rPr>
              <w:t>P4</w:t>
            </w:r>
          </w:p>
        </w:tc>
      </w:tr>
    </w:tbl>
    <w:p w14:paraId="38EDA87F">
      <w:pPr>
        <w:tabs>
          <w:tab w:val="left" w:pos="7488"/>
        </w:tabs>
        <w:snapToGrid w:val="0"/>
        <w:spacing w:line="348" w:lineRule="auto"/>
        <w:ind w:firstLine="462"/>
      </w:pPr>
      <w:r>
        <w:rPr>
          <w:rFonts w:hint="eastAsia" w:cs="宋体"/>
          <w:lang w:bidi="ar"/>
        </w:rPr>
        <w:t>本项目危险物质数量与临界量比值（</w:t>
      </w:r>
      <w:r>
        <w:rPr>
          <w:lang w:bidi="ar"/>
        </w:rPr>
        <w:t>Q</w:t>
      </w:r>
      <w:r>
        <w:rPr>
          <w:rFonts w:hint="eastAsia" w:cs="宋体"/>
          <w:lang w:bidi="ar"/>
        </w:rPr>
        <w:t>）为</w:t>
      </w:r>
      <w:r>
        <w:rPr>
          <w:lang w:bidi="ar"/>
        </w:rPr>
        <w:t>Q&gt;100</w:t>
      </w:r>
      <w:r>
        <w:rPr>
          <w:rFonts w:hint="eastAsia" w:cs="宋体"/>
          <w:lang w:bidi="ar"/>
        </w:rPr>
        <w:t>；行业及生产工艺（</w:t>
      </w:r>
      <w:r>
        <w:rPr>
          <w:lang w:bidi="ar"/>
        </w:rPr>
        <w:t>M</w:t>
      </w:r>
      <w:r>
        <w:rPr>
          <w:rFonts w:hint="eastAsia" w:cs="宋体"/>
          <w:lang w:bidi="ar"/>
        </w:rPr>
        <w:t>）为</w:t>
      </w:r>
      <w:r>
        <w:rPr>
          <w:lang w:bidi="ar"/>
        </w:rPr>
        <w:t>M3</w:t>
      </w:r>
      <w:r>
        <w:rPr>
          <w:rFonts w:hint="eastAsia" w:cs="宋体"/>
          <w:lang w:bidi="ar"/>
        </w:rPr>
        <w:t>，故危险物质及工艺系统危险性等级为</w:t>
      </w:r>
      <w:r>
        <w:rPr>
          <w:lang w:bidi="ar"/>
        </w:rPr>
        <w:t>P2</w:t>
      </w:r>
      <w:r>
        <w:rPr>
          <w:rFonts w:hint="eastAsia"/>
        </w:rPr>
        <w:t>。</w:t>
      </w:r>
    </w:p>
    <w:p w14:paraId="1065EE1A">
      <w:pPr>
        <w:tabs>
          <w:tab w:val="left" w:pos="7488"/>
        </w:tabs>
        <w:snapToGrid w:val="0"/>
        <w:spacing w:line="348" w:lineRule="auto"/>
        <w:ind w:firstLine="464"/>
        <w:outlineLvl w:val="4"/>
        <w:rPr>
          <w:b/>
          <w:bCs/>
        </w:rPr>
      </w:pPr>
      <w:r>
        <w:rPr>
          <w:rFonts w:hint="eastAsia"/>
          <w:b/>
          <w:bCs/>
        </w:rPr>
        <w:t>二、E的分级确定</w:t>
      </w:r>
    </w:p>
    <w:p w14:paraId="316C0661">
      <w:pPr>
        <w:tabs>
          <w:tab w:val="left" w:pos="7488"/>
        </w:tabs>
        <w:snapToGrid w:val="0"/>
        <w:spacing w:line="348" w:lineRule="auto"/>
        <w:ind w:firstLine="462"/>
      </w:pPr>
      <w:r>
        <w:rPr>
          <w:rFonts w:hint="eastAsia"/>
        </w:rPr>
        <w:t>1、大气环境</w:t>
      </w:r>
    </w:p>
    <w:p w14:paraId="183D9427">
      <w:pPr>
        <w:tabs>
          <w:tab w:val="left" w:pos="7488"/>
        </w:tabs>
        <w:snapToGrid w:val="0"/>
        <w:spacing w:line="348" w:lineRule="auto"/>
        <w:ind w:firstLine="462"/>
      </w:pPr>
      <w:r>
        <w:rPr>
          <w:rFonts w:hint="eastAsia"/>
        </w:rPr>
        <w:t>依据环境敏感目标环境敏感性及人口密度划分环境风险受体的敏感性，共分为三种类型，</w:t>
      </w:r>
      <w:r>
        <w:t>E1</w:t>
      </w:r>
      <w:r>
        <w:rPr>
          <w:rFonts w:hint="eastAsia"/>
        </w:rPr>
        <w:t>为环境高度敏感区，</w:t>
      </w:r>
      <w:r>
        <w:t>E2</w:t>
      </w:r>
      <w:r>
        <w:rPr>
          <w:rFonts w:hint="eastAsia"/>
        </w:rPr>
        <w:t>为环境中度敏感区，</w:t>
      </w:r>
      <w:r>
        <w:t>E3</w:t>
      </w:r>
      <w:r>
        <w:rPr>
          <w:rFonts w:hint="eastAsia"/>
        </w:rPr>
        <w:t>为环境低度敏感区，分级原则见表</w:t>
      </w:r>
      <w:r>
        <w:t>1.</w:t>
      </w:r>
      <w:r>
        <w:rPr>
          <w:rFonts w:hint="eastAsia"/>
        </w:rPr>
        <w:t>2</w:t>
      </w:r>
      <w:r>
        <w:t>-</w:t>
      </w:r>
      <w:r>
        <w:rPr>
          <w:rFonts w:hint="eastAsia"/>
        </w:rPr>
        <w:t>11。</w:t>
      </w:r>
    </w:p>
    <w:p w14:paraId="0D6958A3">
      <w:pPr>
        <w:pStyle w:val="7"/>
      </w:pPr>
      <w:r>
        <w:rPr>
          <w:rFonts w:hint="eastAsia"/>
        </w:rPr>
        <w:t>大气环境敏感程度分级</w:t>
      </w:r>
    </w:p>
    <w:tbl>
      <w:tblPr>
        <w:tblStyle w:val="88"/>
        <w:tblW w:w="853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37"/>
        <w:gridCol w:w="7796"/>
      </w:tblGrid>
      <w:tr w14:paraId="4C394A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737" w:type="dxa"/>
            <w:vAlign w:val="center"/>
          </w:tcPr>
          <w:p w14:paraId="1D7A2F19">
            <w:pPr>
              <w:pStyle w:val="34"/>
            </w:pPr>
            <w:r>
              <w:rPr>
                <w:rFonts w:hint="eastAsia"/>
              </w:rPr>
              <w:t>分级</w:t>
            </w:r>
          </w:p>
        </w:tc>
        <w:tc>
          <w:tcPr>
            <w:tcW w:w="7796" w:type="dxa"/>
            <w:vAlign w:val="center"/>
          </w:tcPr>
          <w:p w14:paraId="736D894D">
            <w:pPr>
              <w:pStyle w:val="34"/>
            </w:pPr>
            <w:r>
              <w:rPr>
                <w:rFonts w:hint="eastAsia"/>
              </w:rPr>
              <w:t>大气环境敏感性</w:t>
            </w:r>
          </w:p>
        </w:tc>
      </w:tr>
      <w:tr w14:paraId="1A44F1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7" w:type="dxa"/>
            <w:vAlign w:val="center"/>
          </w:tcPr>
          <w:p w14:paraId="4CDEABAF">
            <w:pPr>
              <w:pStyle w:val="34"/>
            </w:pPr>
            <w:r>
              <w:t>E1</w:t>
            </w:r>
          </w:p>
        </w:tc>
        <w:tc>
          <w:tcPr>
            <w:tcW w:w="7796" w:type="dxa"/>
            <w:vAlign w:val="center"/>
          </w:tcPr>
          <w:p w14:paraId="156D3989">
            <w:pPr>
              <w:pStyle w:val="34"/>
            </w:pPr>
            <w:r>
              <w:rPr>
                <w:rFonts w:hint="eastAsia"/>
              </w:rPr>
              <w:t>周边</w:t>
            </w:r>
            <w:r>
              <w:t>5km</w:t>
            </w:r>
            <w:r>
              <w:rPr>
                <w:rFonts w:hint="eastAsia"/>
              </w:rPr>
              <w:t>范围内居住区、医疗卫生、文化教育、科研、行政办公等机构人口总数大于</w:t>
            </w:r>
            <w:r>
              <w:t>5</w:t>
            </w:r>
            <w:r>
              <w:rPr>
                <w:rFonts w:hint="eastAsia"/>
              </w:rPr>
              <w:t>万人，或其他需要特殊保护区域；或周边</w:t>
            </w:r>
            <w:r>
              <w:t>500m</w:t>
            </w:r>
            <w:r>
              <w:rPr>
                <w:rFonts w:hint="eastAsia"/>
              </w:rPr>
              <w:t>范围内人口总数大于</w:t>
            </w:r>
            <w:r>
              <w:t>1000</w:t>
            </w:r>
            <w:r>
              <w:rPr>
                <w:rFonts w:hint="eastAsia"/>
              </w:rPr>
              <w:t>人；油气、化学品输送管线管段周边</w:t>
            </w:r>
            <w:r>
              <w:t>200m</w:t>
            </w:r>
            <w:r>
              <w:rPr>
                <w:rFonts w:hint="eastAsia"/>
              </w:rPr>
              <w:t>范围内，每千米管段人口数大于</w:t>
            </w:r>
            <w:r>
              <w:t>200</w:t>
            </w:r>
            <w:r>
              <w:rPr>
                <w:rFonts w:hint="eastAsia"/>
              </w:rPr>
              <w:t>人</w:t>
            </w:r>
          </w:p>
        </w:tc>
      </w:tr>
      <w:tr w14:paraId="75B309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75" w:hRule="atLeast"/>
          <w:jc w:val="center"/>
        </w:trPr>
        <w:tc>
          <w:tcPr>
            <w:tcW w:w="737" w:type="dxa"/>
            <w:vAlign w:val="center"/>
          </w:tcPr>
          <w:p w14:paraId="6200AFB6">
            <w:pPr>
              <w:pStyle w:val="34"/>
            </w:pPr>
            <w:r>
              <w:t>E2</w:t>
            </w:r>
          </w:p>
        </w:tc>
        <w:tc>
          <w:tcPr>
            <w:tcW w:w="7796" w:type="dxa"/>
            <w:vAlign w:val="center"/>
          </w:tcPr>
          <w:p w14:paraId="4F61CAEF">
            <w:pPr>
              <w:pStyle w:val="34"/>
            </w:pPr>
            <w:r>
              <w:rPr>
                <w:rFonts w:hint="eastAsia"/>
              </w:rPr>
              <w:t>周边</w:t>
            </w:r>
            <w:r>
              <w:t>5km</w:t>
            </w:r>
            <w:r>
              <w:rPr>
                <w:rFonts w:hint="eastAsia"/>
              </w:rPr>
              <w:t>范围内居住区、医疗卫生、文化教育、科研、行政办公等机构人口总数大于</w:t>
            </w:r>
            <w:r>
              <w:t>1</w:t>
            </w:r>
            <w:r>
              <w:rPr>
                <w:rFonts w:hint="eastAsia"/>
              </w:rPr>
              <w:t>万人，小于</w:t>
            </w:r>
            <w:r>
              <w:t>5</w:t>
            </w:r>
            <w:r>
              <w:rPr>
                <w:rFonts w:hint="eastAsia"/>
              </w:rPr>
              <w:t>万人；或周边</w:t>
            </w:r>
            <w:r>
              <w:t>500m</w:t>
            </w:r>
            <w:r>
              <w:rPr>
                <w:rFonts w:hint="eastAsia"/>
              </w:rPr>
              <w:t>范围内人口总数大于</w:t>
            </w:r>
            <w:r>
              <w:t>500</w:t>
            </w:r>
            <w:r>
              <w:rPr>
                <w:rFonts w:hint="eastAsia"/>
              </w:rPr>
              <w:t>人，小于</w:t>
            </w:r>
            <w:r>
              <w:t>1000</w:t>
            </w:r>
            <w:r>
              <w:rPr>
                <w:rFonts w:hint="eastAsia"/>
              </w:rPr>
              <w:t xml:space="preserve"> 人；油气、化学 品输送管线管段周边</w:t>
            </w:r>
            <w:r>
              <w:t>200m</w:t>
            </w:r>
            <w:r>
              <w:rPr>
                <w:rFonts w:hint="eastAsia"/>
              </w:rPr>
              <w:t>范围内，每千米管段人口数大于</w:t>
            </w:r>
            <w:r>
              <w:t>100</w:t>
            </w:r>
            <w:r>
              <w:rPr>
                <w:rFonts w:hint="eastAsia"/>
              </w:rPr>
              <w:t>人，小于</w:t>
            </w:r>
            <w:r>
              <w:t>200</w:t>
            </w:r>
            <w:r>
              <w:rPr>
                <w:rFonts w:hint="eastAsia"/>
              </w:rPr>
              <w:t>人</w:t>
            </w:r>
          </w:p>
        </w:tc>
      </w:tr>
      <w:tr w14:paraId="584811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7" w:type="dxa"/>
            <w:shd w:val="clear" w:color="auto" w:fill="F3F3F3"/>
            <w:vAlign w:val="center"/>
          </w:tcPr>
          <w:p w14:paraId="70784D3F">
            <w:pPr>
              <w:pStyle w:val="34"/>
            </w:pPr>
            <w:r>
              <w:t>E3</w:t>
            </w:r>
          </w:p>
        </w:tc>
        <w:tc>
          <w:tcPr>
            <w:tcW w:w="7796" w:type="dxa"/>
            <w:shd w:val="clear" w:color="auto" w:fill="F3F3F3"/>
            <w:vAlign w:val="center"/>
          </w:tcPr>
          <w:p w14:paraId="52386358">
            <w:pPr>
              <w:pStyle w:val="34"/>
            </w:pPr>
            <w:r>
              <w:rPr>
                <w:rFonts w:hint="eastAsia"/>
              </w:rPr>
              <w:t>周边</w:t>
            </w:r>
            <w:r>
              <w:t>5km</w:t>
            </w:r>
            <w:r>
              <w:rPr>
                <w:rFonts w:hint="eastAsia"/>
              </w:rPr>
              <w:t>范围内居住区、医疗卫生、文化教育、科研、行政办公等机构人口总数小于</w:t>
            </w:r>
            <w:r>
              <w:t>1</w:t>
            </w:r>
            <w:r>
              <w:rPr>
                <w:rFonts w:hint="eastAsia"/>
              </w:rPr>
              <w:t>万人；或周边</w:t>
            </w:r>
            <w:r>
              <w:t>500m</w:t>
            </w:r>
            <w:r>
              <w:rPr>
                <w:rFonts w:hint="eastAsia"/>
              </w:rPr>
              <w:t>范围内人口总数小于</w:t>
            </w:r>
            <w:r>
              <w:t>500</w:t>
            </w:r>
            <w:r>
              <w:rPr>
                <w:rFonts w:hint="eastAsia"/>
              </w:rPr>
              <w:t>人；油气、化学品输送管线管段周边</w:t>
            </w:r>
            <w:r>
              <w:t>200m</w:t>
            </w:r>
            <w:r>
              <w:rPr>
                <w:rFonts w:hint="eastAsia"/>
              </w:rPr>
              <w:t>范围内，每千米管段人口数小于</w:t>
            </w:r>
            <w:r>
              <w:t>100</w:t>
            </w:r>
            <w:r>
              <w:rPr>
                <w:rFonts w:hint="eastAsia"/>
              </w:rPr>
              <w:t>人</w:t>
            </w:r>
          </w:p>
        </w:tc>
      </w:tr>
    </w:tbl>
    <w:p w14:paraId="5FDD79A4">
      <w:pPr>
        <w:tabs>
          <w:tab w:val="left" w:pos="7488"/>
        </w:tabs>
        <w:snapToGrid w:val="0"/>
        <w:spacing w:line="348" w:lineRule="auto"/>
        <w:ind w:firstLine="462"/>
      </w:pPr>
      <w:r>
        <w:rPr>
          <w:rFonts w:hint="eastAsia"/>
        </w:rPr>
        <w:t>本项目周边</w:t>
      </w:r>
      <w:r>
        <w:t>500m</w:t>
      </w:r>
      <w:r>
        <w:rPr>
          <w:rFonts w:hint="eastAsia"/>
        </w:rPr>
        <w:t>范围内人口总数小于</w:t>
      </w:r>
      <w:r>
        <w:t>500</w:t>
      </w:r>
      <w:r>
        <w:rPr>
          <w:rFonts w:hint="eastAsia"/>
        </w:rPr>
        <w:t>人，周边</w:t>
      </w:r>
      <w:r>
        <w:t>5km</w:t>
      </w:r>
      <w:r>
        <w:rPr>
          <w:rFonts w:hint="eastAsia"/>
        </w:rPr>
        <w:t>范围内居住区、医疗卫生、文化教育、科研、行政办公等机构人口总数小于</w:t>
      </w:r>
      <w:r>
        <w:t>1</w:t>
      </w:r>
      <w:r>
        <w:rPr>
          <w:rFonts w:hint="eastAsia"/>
        </w:rPr>
        <w:t>万人，大气环境敏感程度分级为环境低度敏感区（</w:t>
      </w:r>
      <w:r>
        <w:t>E</w:t>
      </w:r>
      <w:r>
        <w:rPr>
          <w:rFonts w:hint="eastAsia"/>
        </w:rPr>
        <w:t>3）。</w:t>
      </w:r>
    </w:p>
    <w:p w14:paraId="2E726B73">
      <w:pPr>
        <w:tabs>
          <w:tab w:val="left" w:pos="7488"/>
        </w:tabs>
        <w:snapToGrid w:val="0"/>
        <w:spacing w:line="348" w:lineRule="auto"/>
        <w:ind w:firstLine="462"/>
        <w:rPr>
          <w:u w:val="single"/>
        </w:rPr>
      </w:pPr>
      <w:r>
        <w:rPr>
          <w:rFonts w:hint="eastAsia"/>
          <w:u w:val="single"/>
        </w:rPr>
        <w:t>2、地表水环境</w:t>
      </w:r>
    </w:p>
    <w:p w14:paraId="40B826F9">
      <w:pPr>
        <w:tabs>
          <w:tab w:val="left" w:pos="7488"/>
        </w:tabs>
        <w:snapToGrid w:val="0"/>
        <w:spacing w:line="348" w:lineRule="auto"/>
        <w:ind w:firstLine="462"/>
        <w:rPr>
          <w:u w:val="single"/>
        </w:rPr>
      </w:pPr>
      <w:r>
        <w:rPr>
          <w:rFonts w:hint="eastAsia"/>
          <w:u w:val="single"/>
        </w:rPr>
        <w:t>依据事故情况下危险物质泄漏到水体的排放点受纳地表水体功能敏感性，与下游环境敏感目标情况，共分为三种类型，E</w:t>
      </w:r>
      <w:r>
        <w:rPr>
          <w:u w:val="single"/>
        </w:rPr>
        <w:t>1</w:t>
      </w:r>
      <w:r>
        <w:rPr>
          <w:rFonts w:hint="eastAsia"/>
          <w:u w:val="single"/>
        </w:rPr>
        <w:t>为环境高度敏感区，E</w:t>
      </w:r>
      <w:r>
        <w:rPr>
          <w:u w:val="single"/>
        </w:rPr>
        <w:t>2</w:t>
      </w:r>
      <w:r>
        <w:rPr>
          <w:rFonts w:hint="eastAsia"/>
          <w:u w:val="single"/>
        </w:rPr>
        <w:t>为环境中度敏感区，E</w:t>
      </w:r>
      <w:r>
        <w:rPr>
          <w:u w:val="single"/>
        </w:rPr>
        <w:t>3</w:t>
      </w:r>
      <w:r>
        <w:rPr>
          <w:rFonts w:hint="eastAsia"/>
          <w:u w:val="single"/>
        </w:rPr>
        <w:t>为环境低度敏感区，其中地表水功能敏感性分区、环境敏感目标分级、环境敏感度分级原则分别见表</w:t>
      </w:r>
      <w:r>
        <w:rPr>
          <w:u w:val="single"/>
        </w:rPr>
        <w:t>1.</w:t>
      </w:r>
      <w:r>
        <w:rPr>
          <w:rFonts w:hint="eastAsia"/>
          <w:u w:val="single"/>
        </w:rPr>
        <w:t>2</w:t>
      </w:r>
      <w:r>
        <w:rPr>
          <w:u w:val="single"/>
        </w:rPr>
        <w:t>-1</w:t>
      </w:r>
      <w:r>
        <w:rPr>
          <w:rFonts w:hint="eastAsia"/>
          <w:u w:val="single"/>
        </w:rPr>
        <w:t>2~表</w:t>
      </w:r>
      <w:r>
        <w:rPr>
          <w:u w:val="single"/>
        </w:rPr>
        <w:t>1.</w:t>
      </w:r>
      <w:r>
        <w:rPr>
          <w:rFonts w:hint="eastAsia"/>
          <w:u w:val="single"/>
        </w:rPr>
        <w:t>2</w:t>
      </w:r>
      <w:r>
        <w:rPr>
          <w:u w:val="single"/>
        </w:rPr>
        <w:t>-1</w:t>
      </w:r>
      <w:r>
        <w:rPr>
          <w:rFonts w:hint="eastAsia"/>
          <w:u w:val="single"/>
        </w:rPr>
        <w:t>4。</w:t>
      </w:r>
    </w:p>
    <w:p w14:paraId="73BBFF56">
      <w:pPr>
        <w:pStyle w:val="7"/>
        <w:rPr>
          <w:u w:val="single"/>
        </w:rPr>
      </w:pPr>
      <w:r>
        <w:rPr>
          <w:rFonts w:hint="eastAsia"/>
          <w:u w:val="single"/>
        </w:rPr>
        <w:t>地表水功能敏感性分区</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67"/>
        <w:gridCol w:w="7466"/>
      </w:tblGrid>
      <w:tr w14:paraId="5F7DE8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067" w:type="dxa"/>
            <w:vAlign w:val="center"/>
          </w:tcPr>
          <w:p w14:paraId="0E3F8121">
            <w:pPr>
              <w:snapToGrid w:val="0"/>
              <w:spacing w:line="280" w:lineRule="exact"/>
              <w:ind w:firstLine="0" w:firstLineChars="0"/>
              <w:jc w:val="center"/>
              <w:rPr>
                <w:color w:val="000000"/>
                <w:sz w:val="21"/>
                <w:szCs w:val="21"/>
                <w:u w:val="single"/>
              </w:rPr>
            </w:pPr>
            <w:r>
              <w:rPr>
                <w:rFonts w:hint="eastAsia"/>
                <w:color w:val="000000"/>
                <w:sz w:val="21"/>
                <w:szCs w:val="21"/>
                <w:u w:val="single"/>
              </w:rPr>
              <w:t>敏感性</w:t>
            </w:r>
          </w:p>
        </w:tc>
        <w:tc>
          <w:tcPr>
            <w:tcW w:w="7466" w:type="dxa"/>
            <w:vAlign w:val="center"/>
          </w:tcPr>
          <w:p w14:paraId="35497E45">
            <w:pPr>
              <w:snapToGrid w:val="0"/>
              <w:spacing w:line="280" w:lineRule="exact"/>
              <w:ind w:firstLine="0" w:firstLineChars="0"/>
              <w:jc w:val="center"/>
              <w:rPr>
                <w:color w:val="000000"/>
                <w:sz w:val="21"/>
                <w:szCs w:val="21"/>
                <w:u w:val="single"/>
              </w:rPr>
            </w:pPr>
            <w:r>
              <w:rPr>
                <w:rFonts w:hint="eastAsia"/>
                <w:color w:val="000000"/>
                <w:sz w:val="21"/>
                <w:szCs w:val="21"/>
                <w:u w:val="single"/>
              </w:rPr>
              <w:t>地表水环境敏感特征</w:t>
            </w:r>
          </w:p>
        </w:tc>
      </w:tr>
      <w:tr w14:paraId="740696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7" w:type="dxa"/>
            <w:vAlign w:val="center"/>
          </w:tcPr>
          <w:p w14:paraId="7C3FAD6D">
            <w:pPr>
              <w:snapToGrid w:val="0"/>
              <w:spacing w:line="280" w:lineRule="exact"/>
              <w:ind w:firstLine="0" w:firstLineChars="0"/>
              <w:jc w:val="center"/>
              <w:rPr>
                <w:color w:val="000000"/>
                <w:sz w:val="21"/>
                <w:szCs w:val="21"/>
                <w:u w:val="single"/>
              </w:rPr>
            </w:pPr>
            <w:r>
              <w:rPr>
                <w:rFonts w:hint="eastAsia"/>
                <w:color w:val="000000"/>
                <w:sz w:val="21"/>
                <w:szCs w:val="21"/>
                <w:u w:val="single"/>
              </w:rPr>
              <w:t>敏感</w:t>
            </w:r>
            <w:r>
              <w:rPr>
                <w:color w:val="000000"/>
                <w:sz w:val="21"/>
                <w:szCs w:val="21"/>
                <w:u w:val="single"/>
              </w:rPr>
              <w:t>F1</w:t>
            </w:r>
          </w:p>
        </w:tc>
        <w:tc>
          <w:tcPr>
            <w:tcW w:w="7466" w:type="dxa"/>
            <w:vAlign w:val="center"/>
          </w:tcPr>
          <w:p w14:paraId="31ED3492">
            <w:pPr>
              <w:snapToGrid w:val="0"/>
              <w:spacing w:line="280" w:lineRule="exact"/>
              <w:ind w:firstLine="0" w:firstLineChars="0"/>
              <w:jc w:val="center"/>
              <w:rPr>
                <w:color w:val="000000"/>
                <w:sz w:val="21"/>
                <w:szCs w:val="21"/>
                <w:u w:val="single"/>
              </w:rPr>
            </w:pPr>
            <w:r>
              <w:rPr>
                <w:rFonts w:hint="eastAsia"/>
                <w:color w:val="000000"/>
                <w:sz w:val="21"/>
                <w:szCs w:val="21"/>
                <w:u w:val="single"/>
              </w:rPr>
              <w:t>排放点进入地表水水域环境功能为</w:t>
            </w:r>
            <w:r>
              <w:rPr>
                <w:color w:val="000000"/>
                <w:sz w:val="21"/>
                <w:szCs w:val="21"/>
                <w:u w:val="single"/>
              </w:rPr>
              <w:t>Ⅱ</w:t>
            </w:r>
            <w:r>
              <w:rPr>
                <w:rFonts w:hint="eastAsia"/>
                <w:color w:val="000000"/>
                <w:sz w:val="21"/>
                <w:szCs w:val="21"/>
                <w:u w:val="single"/>
              </w:rPr>
              <w:t>类及以上，或海水水质分类第一类；或以发生事故时，危险物质泄漏到水体的排放点算起，排放进入受纳河流最大流速时，</w:t>
            </w:r>
            <w:r>
              <w:rPr>
                <w:color w:val="000000"/>
                <w:sz w:val="21"/>
                <w:szCs w:val="21"/>
                <w:u w:val="single"/>
              </w:rPr>
              <w:t>24h</w:t>
            </w:r>
            <w:r>
              <w:rPr>
                <w:rFonts w:hint="eastAsia"/>
                <w:color w:val="000000"/>
                <w:sz w:val="21"/>
                <w:szCs w:val="21"/>
                <w:u w:val="single"/>
              </w:rPr>
              <w:t>流经范围内涉跨国界的</w:t>
            </w:r>
          </w:p>
        </w:tc>
      </w:tr>
      <w:tr w14:paraId="475286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7" w:type="dxa"/>
            <w:vAlign w:val="center"/>
          </w:tcPr>
          <w:p w14:paraId="3BBC7E6A">
            <w:pPr>
              <w:snapToGrid w:val="0"/>
              <w:spacing w:line="280" w:lineRule="exact"/>
              <w:ind w:firstLine="0" w:firstLineChars="0"/>
              <w:jc w:val="center"/>
              <w:rPr>
                <w:color w:val="000000"/>
                <w:sz w:val="21"/>
                <w:szCs w:val="21"/>
                <w:u w:val="single"/>
              </w:rPr>
            </w:pPr>
            <w:r>
              <w:rPr>
                <w:rFonts w:hint="eastAsia"/>
                <w:color w:val="000000"/>
                <w:sz w:val="21"/>
                <w:szCs w:val="21"/>
                <w:u w:val="single"/>
              </w:rPr>
              <w:t>较敏感</w:t>
            </w:r>
            <w:r>
              <w:rPr>
                <w:color w:val="000000"/>
                <w:sz w:val="21"/>
                <w:szCs w:val="21"/>
                <w:u w:val="single"/>
              </w:rPr>
              <w:t>F2</w:t>
            </w:r>
          </w:p>
        </w:tc>
        <w:tc>
          <w:tcPr>
            <w:tcW w:w="7466" w:type="dxa"/>
            <w:vAlign w:val="center"/>
          </w:tcPr>
          <w:p w14:paraId="494A6D5E">
            <w:pPr>
              <w:snapToGrid w:val="0"/>
              <w:spacing w:line="280" w:lineRule="exact"/>
              <w:ind w:firstLine="0" w:firstLineChars="0"/>
              <w:jc w:val="center"/>
              <w:rPr>
                <w:color w:val="000000"/>
                <w:sz w:val="21"/>
                <w:szCs w:val="21"/>
                <w:u w:val="single"/>
              </w:rPr>
            </w:pPr>
            <w:r>
              <w:rPr>
                <w:rFonts w:hint="eastAsia"/>
                <w:color w:val="000000"/>
                <w:sz w:val="21"/>
                <w:szCs w:val="21"/>
                <w:u w:val="single"/>
              </w:rPr>
              <w:t>排放点进入地表水水域环境功能为</w:t>
            </w:r>
            <w:r>
              <w:rPr>
                <w:color w:val="000000"/>
                <w:sz w:val="21"/>
                <w:szCs w:val="21"/>
                <w:u w:val="single"/>
              </w:rPr>
              <w:t>Ⅲ</w:t>
            </w:r>
            <w:r>
              <w:rPr>
                <w:rFonts w:hint="eastAsia"/>
                <w:color w:val="000000"/>
                <w:sz w:val="21"/>
                <w:szCs w:val="21"/>
                <w:u w:val="single"/>
              </w:rPr>
              <w:t>类，或海水水质分类第二类；或以发生事故时，危险物质泄漏到水体的排放点算起，排放进入受纳河流最大流速时，</w:t>
            </w:r>
            <w:r>
              <w:rPr>
                <w:color w:val="000000"/>
                <w:sz w:val="21"/>
                <w:szCs w:val="21"/>
                <w:u w:val="single"/>
              </w:rPr>
              <w:t>24h</w:t>
            </w:r>
            <w:r>
              <w:rPr>
                <w:rFonts w:hint="eastAsia"/>
                <w:color w:val="000000"/>
                <w:sz w:val="21"/>
                <w:szCs w:val="21"/>
                <w:u w:val="single"/>
              </w:rPr>
              <w:t>流经范围内涉跨省界的</w:t>
            </w:r>
          </w:p>
        </w:tc>
      </w:tr>
      <w:tr w14:paraId="004EF9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7" w:type="dxa"/>
            <w:shd w:val="clear" w:color="auto" w:fill="F1F1F1"/>
            <w:vAlign w:val="center"/>
          </w:tcPr>
          <w:p w14:paraId="43F3C85E">
            <w:pPr>
              <w:snapToGrid w:val="0"/>
              <w:spacing w:line="280" w:lineRule="exact"/>
              <w:ind w:firstLine="0" w:firstLineChars="0"/>
              <w:jc w:val="center"/>
              <w:rPr>
                <w:color w:val="000000"/>
                <w:sz w:val="21"/>
                <w:szCs w:val="21"/>
                <w:u w:val="single"/>
              </w:rPr>
            </w:pPr>
            <w:r>
              <w:rPr>
                <w:rFonts w:hint="eastAsia"/>
                <w:color w:val="000000"/>
                <w:sz w:val="21"/>
                <w:szCs w:val="21"/>
                <w:u w:val="single"/>
              </w:rPr>
              <w:t>低敏感</w:t>
            </w:r>
            <w:r>
              <w:rPr>
                <w:color w:val="000000"/>
                <w:sz w:val="21"/>
                <w:szCs w:val="21"/>
                <w:u w:val="single"/>
              </w:rPr>
              <w:t>F3</w:t>
            </w:r>
          </w:p>
        </w:tc>
        <w:tc>
          <w:tcPr>
            <w:tcW w:w="7466" w:type="dxa"/>
            <w:shd w:val="clear" w:color="auto" w:fill="F1F1F1"/>
            <w:vAlign w:val="center"/>
          </w:tcPr>
          <w:p w14:paraId="7A5A9690">
            <w:pPr>
              <w:snapToGrid w:val="0"/>
              <w:spacing w:line="280" w:lineRule="exact"/>
              <w:ind w:firstLine="0" w:firstLineChars="0"/>
              <w:jc w:val="center"/>
              <w:rPr>
                <w:color w:val="000000"/>
                <w:sz w:val="21"/>
                <w:szCs w:val="21"/>
                <w:u w:val="single"/>
              </w:rPr>
            </w:pPr>
            <w:r>
              <w:rPr>
                <w:rFonts w:hint="eastAsia"/>
                <w:color w:val="000000"/>
                <w:sz w:val="21"/>
                <w:szCs w:val="21"/>
                <w:u w:val="single"/>
              </w:rPr>
              <w:t>上述地区之外的其他地区</w:t>
            </w:r>
          </w:p>
        </w:tc>
      </w:tr>
    </w:tbl>
    <w:p w14:paraId="70B4CFAB">
      <w:pPr>
        <w:pStyle w:val="7"/>
        <w:rPr>
          <w:u w:val="single"/>
        </w:rPr>
      </w:pPr>
      <w:r>
        <w:rPr>
          <w:rFonts w:hint="eastAsia"/>
          <w:u w:val="single"/>
        </w:rPr>
        <w:t>环境敏感目标分级</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48"/>
        <w:gridCol w:w="7885"/>
      </w:tblGrid>
      <w:tr w14:paraId="5BABB6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48" w:type="dxa"/>
            <w:vAlign w:val="center"/>
          </w:tcPr>
          <w:p w14:paraId="638FC78F">
            <w:pPr>
              <w:snapToGrid w:val="0"/>
              <w:spacing w:line="280" w:lineRule="exact"/>
              <w:ind w:firstLine="0" w:firstLineChars="0"/>
              <w:jc w:val="center"/>
              <w:rPr>
                <w:color w:val="000000"/>
                <w:sz w:val="21"/>
                <w:szCs w:val="21"/>
                <w:u w:val="single"/>
              </w:rPr>
            </w:pPr>
            <w:r>
              <w:rPr>
                <w:rFonts w:hint="eastAsia"/>
                <w:color w:val="000000"/>
                <w:sz w:val="21"/>
                <w:szCs w:val="21"/>
                <w:u w:val="single"/>
              </w:rPr>
              <w:t>分级</w:t>
            </w:r>
          </w:p>
        </w:tc>
        <w:tc>
          <w:tcPr>
            <w:tcW w:w="7885" w:type="dxa"/>
            <w:vAlign w:val="center"/>
          </w:tcPr>
          <w:p w14:paraId="1DE7AB84">
            <w:pPr>
              <w:snapToGrid w:val="0"/>
              <w:spacing w:line="280" w:lineRule="exact"/>
              <w:ind w:firstLine="0" w:firstLineChars="0"/>
              <w:jc w:val="center"/>
              <w:rPr>
                <w:color w:val="000000"/>
                <w:sz w:val="21"/>
                <w:szCs w:val="21"/>
                <w:u w:val="single"/>
              </w:rPr>
            </w:pPr>
            <w:r>
              <w:rPr>
                <w:rFonts w:hint="eastAsia"/>
                <w:color w:val="000000"/>
                <w:sz w:val="21"/>
                <w:szCs w:val="21"/>
                <w:u w:val="single"/>
              </w:rPr>
              <w:t>环境敏感目标</w:t>
            </w:r>
          </w:p>
        </w:tc>
      </w:tr>
      <w:tr w14:paraId="70080B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8" w:type="dxa"/>
            <w:shd w:val="clear" w:color="auto" w:fill="F1F1F1"/>
            <w:vAlign w:val="center"/>
          </w:tcPr>
          <w:p w14:paraId="65806F64">
            <w:pPr>
              <w:snapToGrid w:val="0"/>
              <w:spacing w:line="280" w:lineRule="exact"/>
              <w:ind w:firstLine="0" w:firstLineChars="0"/>
              <w:jc w:val="center"/>
              <w:rPr>
                <w:color w:val="000000"/>
                <w:sz w:val="21"/>
                <w:szCs w:val="21"/>
                <w:u w:val="single"/>
              </w:rPr>
            </w:pPr>
            <w:r>
              <w:rPr>
                <w:color w:val="000000"/>
                <w:sz w:val="21"/>
                <w:szCs w:val="21"/>
                <w:u w:val="single"/>
              </w:rPr>
              <w:t>S1</w:t>
            </w:r>
          </w:p>
        </w:tc>
        <w:tc>
          <w:tcPr>
            <w:tcW w:w="7885" w:type="dxa"/>
            <w:shd w:val="clear" w:color="auto" w:fill="F1F1F1"/>
            <w:vAlign w:val="center"/>
          </w:tcPr>
          <w:p w14:paraId="0B3E4C76">
            <w:pPr>
              <w:snapToGrid w:val="0"/>
              <w:spacing w:line="280" w:lineRule="exact"/>
              <w:ind w:firstLine="0" w:firstLineChars="0"/>
              <w:jc w:val="center"/>
              <w:rPr>
                <w:color w:val="000000"/>
                <w:sz w:val="21"/>
                <w:szCs w:val="21"/>
                <w:u w:val="single"/>
              </w:rPr>
            </w:pPr>
            <w:r>
              <w:rPr>
                <w:rFonts w:hint="eastAsia"/>
                <w:color w:val="000000"/>
                <w:sz w:val="21"/>
                <w:szCs w:val="21"/>
                <w:u w:val="single"/>
              </w:rPr>
              <w:t>发生事故时，危险物质泄漏到内陆水体的排放点下游（顺水流向）</w:t>
            </w:r>
            <w:r>
              <w:rPr>
                <w:color w:val="000000"/>
                <w:sz w:val="21"/>
                <w:szCs w:val="21"/>
                <w:u w:val="single"/>
              </w:rPr>
              <w:t>10km</w:t>
            </w:r>
            <w:r>
              <w:rPr>
                <w:rFonts w:hint="eastAsia"/>
                <w:color w:val="000000"/>
                <w:sz w:val="21"/>
                <w:szCs w:val="21"/>
                <w:u w:val="single"/>
              </w:rPr>
              <w:t>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457076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23" w:hRule="atLeast"/>
        </w:trPr>
        <w:tc>
          <w:tcPr>
            <w:tcW w:w="648" w:type="dxa"/>
            <w:vAlign w:val="center"/>
          </w:tcPr>
          <w:p w14:paraId="7FA97122">
            <w:pPr>
              <w:snapToGrid w:val="0"/>
              <w:spacing w:line="280" w:lineRule="exact"/>
              <w:ind w:firstLine="0" w:firstLineChars="0"/>
              <w:jc w:val="center"/>
              <w:rPr>
                <w:color w:val="000000"/>
                <w:sz w:val="21"/>
                <w:szCs w:val="21"/>
                <w:u w:val="single"/>
              </w:rPr>
            </w:pPr>
            <w:r>
              <w:rPr>
                <w:color w:val="000000"/>
                <w:sz w:val="21"/>
                <w:szCs w:val="21"/>
                <w:u w:val="single"/>
              </w:rPr>
              <w:t>S2</w:t>
            </w:r>
          </w:p>
        </w:tc>
        <w:tc>
          <w:tcPr>
            <w:tcW w:w="7885" w:type="dxa"/>
            <w:vAlign w:val="center"/>
          </w:tcPr>
          <w:p w14:paraId="226630F2">
            <w:pPr>
              <w:snapToGrid w:val="0"/>
              <w:spacing w:line="280" w:lineRule="exact"/>
              <w:ind w:firstLine="0" w:firstLineChars="0"/>
              <w:jc w:val="center"/>
              <w:rPr>
                <w:color w:val="000000"/>
                <w:sz w:val="21"/>
                <w:szCs w:val="21"/>
                <w:u w:val="single"/>
              </w:rPr>
            </w:pPr>
            <w:r>
              <w:rPr>
                <w:rFonts w:hint="eastAsia"/>
                <w:color w:val="000000"/>
                <w:sz w:val="21"/>
                <w:szCs w:val="21"/>
                <w:u w:val="single"/>
              </w:rPr>
              <w:t>发生事故时，危险物质泄漏到内陆水体的排放点下游（顺水流向）</w:t>
            </w:r>
            <w:r>
              <w:rPr>
                <w:color w:val="000000"/>
                <w:sz w:val="21"/>
                <w:szCs w:val="21"/>
                <w:u w:val="single"/>
              </w:rPr>
              <w:t>10km</w:t>
            </w:r>
            <w:r>
              <w:rPr>
                <w:rFonts w:hint="eastAsia"/>
                <w:color w:val="000000"/>
                <w:sz w:val="21"/>
                <w:szCs w:val="21"/>
                <w:u w:val="single"/>
              </w:rPr>
              <w:t>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14:paraId="0A6149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8" w:type="dxa"/>
            <w:vAlign w:val="center"/>
          </w:tcPr>
          <w:p w14:paraId="06859E9F">
            <w:pPr>
              <w:snapToGrid w:val="0"/>
              <w:spacing w:line="280" w:lineRule="exact"/>
              <w:ind w:firstLine="0" w:firstLineChars="0"/>
              <w:jc w:val="center"/>
              <w:rPr>
                <w:color w:val="000000"/>
                <w:sz w:val="21"/>
                <w:szCs w:val="21"/>
                <w:u w:val="single"/>
              </w:rPr>
            </w:pPr>
            <w:r>
              <w:rPr>
                <w:color w:val="000000"/>
                <w:sz w:val="21"/>
                <w:szCs w:val="21"/>
                <w:u w:val="single"/>
              </w:rPr>
              <w:t>S3</w:t>
            </w:r>
          </w:p>
        </w:tc>
        <w:tc>
          <w:tcPr>
            <w:tcW w:w="7885" w:type="dxa"/>
            <w:vAlign w:val="center"/>
          </w:tcPr>
          <w:p w14:paraId="4F22F016">
            <w:pPr>
              <w:snapToGrid w:val="0"/>
              <w:spacing w:line="280" w:lineRule="exact"/>
              <w:ind w:firstLine="0" w:firstLineChars="0"/>
              <w:jc w:val="center"/>
              <w:rPr>
                <w:color w:val="000000"/>
                <w:sz w:val="21"/>
                <w:szCs w:val="21"/>
                <w:u w:val="single"/>
              </w:rPr>
            </w:pPr>
            <w:r>
              <w:rPr>
                <w:rFonts w:hint="eastAsia"/>
                <w:color w:val="000000"/>
                <w:sz w:val="21"/>
                <w:szCs w:val="21"/>
                <w:u w:val="single"/>
              </w:rPr>
              <w:t>排放点下游（顺水流向）</w:t>
            </w:r>
            <w:r>
              <w:rPr>
                <w:color w:val="000000"/>
                <w:sz w:val="21"/>
                <w:szCs w:val="21"/>
                <w:u w:val="single"/>
              </w:rPr>
              <w:t>10km</w:t>
            </w:r>
            <w:r>
              <w:rPr>
                <w:rFonts w:hint="eastAsia"/>
                <w:color w:val="000000"/>
                <w:sz w:val="21"/>
                <w:szCs w:val="21"/>
                <w:u w:val="single"/>
              </w:rPr>
              <w:t>范围、近岸海域一个潮周期水质点可能达到的最大水平距离的两倍范围内无上述类型</w:t>
            </w:r>
            <w:r>
              <w:rPr>
                <w:color w:val="000000"/>
                <w:sz w:val="21"/>
                <w:szCs w:val="21"/>
                <w:u w:val="single"/>
              </w:rPr>
              <w:t>1</w:t>
            </w:r>
            <w:r>
              <w:rPr>
                <w:rFonts w:hint="eastAsia"/>
                <w:color w:val="000000"/>
                <w:sz w:val="21"/>
                <w:szCs w:val="21"/>
                <w:u w:val="single"/>
              </w:rPr>
              <w:t>和类型</w:t>
            </w:r>
            <w:r>
              <w:rPr>
                <w:color w:val="000000"/>
                <w:sz w:val="21"/>
                <w:szCs w:val="21"/>
                <w:u w:val="single"/>
              </w:rPr>
              <w:t>2</w:t>
            </w:r>
            <w:r>
              <w:rPr>
                <w:rFonts w:hint="eastAsia"/>
                <w:color w:val="000000"/>
                <w:sz w:val="21"/>
                <w:szCs w:val="21"/>
                <w:u w:val="single"/>
              </w:rPr>
              <w:t>包括的敏感保护目标</w:t>
            </w:r>
          </w:p>
        </w:tc>
      </w:tr>
    </w:tbl>
    <w:p w14:paraId="515D929D">
      <w:pPr>
        <w:pStyle w:val="7"/>
        <w:rPr>
          <w:u w:val="single"/>
        </w:rPr>
      </w:pPr>
      <w:r>
        <w:rPr>
          <w:rFonts w:hint="eastAsia"/>
          <w:u w:val="single"/>
        </w:rPr>
        <w:t>地表水环境敏感程度分级</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30"/>
        <w:gridCol w:w="2130"/>
        <w:gridCol w:w="2131"/>
        <w:gridCol w:w="2131"/>
      </w:tblGrid>
      <w:tr w14:paraId="428E50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2130" w:type="dxa"/>
            <w:vMerge w:val="restart"/>
            <w:vAlign w:val="center"/>
          </w:tcPr>
          <w:p w14:paraId="0DCE6D80">
            <w:pPr>
              <w:snapToGrid w:val="0"/>
              <w:spacing w:line="280" w:lineRule="exact"/>
              <w:ind w:firstLine="0" w:firstLineChars="0"/>
              <w:jc w:val="center"/>
              <w:rPr>
                <w:color w:val="000000"/>
                <w:sz w:val="21"/>
                <w:szCs w:val="21"/>
                <w:u w:val="single"/>
              </w:rPr>
            </w:pPr>
            <w:r>
              <w:rPr>
                <w:rFonts w:hint="eastAsia"/>
                <w:color w:val="000000"/>
                <w:sz w:val="21"/>
                <w:szCs w:val="21"/>
                <w:u w:val="single"/>
              </w:rPr>
              <w:t>环境敏感目标</w:t>
            </w:r>
          </w:p>
        </w:tc>
        <w:tc>
          <w:tcPr>
            <w:tcW w:w="6392" w:type="dxa"/>
            <w:gridSpan w:val="3"/>
          </w:tcPr>
          <w:p w14:paraId="434B8085">
            <w:pPr>
              <w:snapToGrid w:val="0"/>
              <w:spacing w:line="280" w:lineRule="exact"/>
              <w:ind w:firstLine="0" w:firstLineChars="0"/>
              <w:jc w:val="center"/>
              <w:rPr>
                <w:color w:val="000000"/>
                <w:sz w:val="21"/>
                <w:szCs w:val="21"/>
                <w:u w:val="single"/>
              </w:rPr>
            </w:pPr>
            <w:r>
              <w:rPr>
                <w:rFonts w:hint="eastAsia"/>
                <w:color w:val="000000"/>
                <w:sz w:val="21"/>
                <w:szCs w:val="21"/>
                <w:u w:val="single"/>
              </w:rPr>
              <w:t>地表水功能敏感性</w:t>
            </w:r>
          </w:p>
        </w:tc>
      </w:tr>
      <w:tr w14:paraId="41FEB6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0" w:type="dxa"/>
            <w:vMerge w:val="continue"/>
          </w:tcPr>
          <w:p w14:paraId="68C34912">
            <w:pPr>
              <w:snapToGrid w:val="0"/>
              <w:spacing w:line="280" w:lineRule="exact"/>
              <w:ind w:firstLine="0" w:firstLineChars="0"/>
              <w:jc w:val="center"/>
              <w:rPr>
                <w:color w:val="000000"/>
                <w:sz w:val="21"/>
                <w:szCs w:val="21"/>
                <w:u w:val="single"/>
              </w:rPr>
            </w:pPr>
          </w:p>
        </w:tc>
        <w:tc>
          <w:tcPr>
            <w:tcW w:w="2130" w:type="dxa"/>
          </w:tcPr>
          <w:p w14:paraId="26D7217D">
            <w:pPr>
              <w:snapToGrid w:val="0"/>
              <w:spacing w:line="280" w:lineRule="exact"/>
              <w:ind w:firstLine="0" w:firstLineChars="0"/>
              <w:jc w:val="center"/>
              <w:rPr>
                <w:color w:val="000000"/>
                <w:sz w:val="21"/>
                <w:szCs w:val="21"/>
                <w:u w:val="single"/>
              </w:rPr>
            </w:pPr>
            <w:r>
              <w:rPr>
                <w:color w:val="000000"/>
                <w:sz w:val="21"/>
                <w:szCs w:val="21"/>
                <w:u w:val="single"/>
              </w:rPr>
              <w:t>F1</w:t>
            </w:r>
          </w:p>
        </w:tc>
        <w:tc>
          <w:tcPr>
            <w:tcW w:w="2131" w:type="dxa"/>
          </w:tcPr>
          <w:p w14:paraId="262C8C1B">
            <w:pPr>
              <w:snapToGrid w:val="0"/>
              <w:spacing w:line="280" w:lineRule="exact"/>
              <w:ind w:firstLine="0" w:firstLineChars="0"/>
              <w:jc w:val="center"/>
              <w:rPr>
                <w:color w:val="000000"/>
                <w:sz w:val="21"/>
                <w:szCs w:val="21"/>
                <w:u w:val="single"/>
              </w:rPr>
            </w:pPr>
            <w:r>
              <w:rPr>
                <w:color w:val="000000"/>
                <w:sz w:val="21"/>
                <w:szCs w:val="21"/>
                <w:u w:val="single"/>
              </w:rPr>
              <w:t>F2</w:t>
            </w:r>
          </w:p>
        </w:tc>
        <w:tc>
          <w:tcPr>
            <w:tcW w:w="2131" w:type="dxa"/>
            <w:shd w:val="clear" w:color="auto" w:fill="F2F2F2"/>
          </w:tcPr>
          <w:p w14:paraId="1607BD88">
            <w:pPr>
              <w:snapToGrid w:val="0"/>
              <w:spacing w:line="280" w:lineRule="exact"/>
              <w:ind w:firstLine="0" w:firstLineChars="0"/>
              <w:jc w:val="center"/>
              <w:rPr>
                <w:color w:val="000000"/>
                <w:sz w:val="21"/>
                <w:szCs w:val="21"/>
                <w:u w:val="single"/>
              </w:rPr>
            </w:pPr>
            <w:r>
              <w:rPr>
                <w:color w:val="000000"/>
                <w:sz w:val="21"/>
                <w:szCs w:val="21"/>
                <w:u w:val="single"/>
              </w:rPr>
              <w:t>F3</w:t>
            </w:r>
          </w:p>
        </w:tc>
      </w:tr>
      <w:tr w14:paraId="11B49F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0" w:type="dxa"/>
            <w:shd w:val="clear" w:color="auto" w:fill="F2F2F2"/>
          </w:tcPr>
          <w:p w14:paraId="639C6639">
            <w:pPr>
              <w:snapToGrid w:val="0"/>
              <w:spacing w:line="280" w:lineRule="exact"/>
              <w:ind w:firstLine="0" w:firstLineChars="0"/>
              <w:jc w:val="center"/>
              <w:rPr>
                <w:color w:val="000000"/>
                <w:sz w:val="21"/>
                <w:szCs w:val="21"/>
                <w:u w:val="single"/>
              </w:rPr>
            </w:pPr>
            <w:r>
              <w:rPr>
                <w:color w:val="000000"/>
                <w:sz w:val="21"/>
                <w:szCs w:val="21"/>
                <w:u w:val="single"/>
              </w:rPr>
              <w:t>S1</w:t>
            </w:r>
          </w:p>
        </w:tc>
        <w:tc>
          <w:tcPr>
            <w:tcW w:w="2130" w:type="dxa"/>
          </w:tcPr>
          <w:p w14:paraId="020A78B2">
            <w:pPr>
              <w:snapToGrid w:val="0"/>
              <w:spacing w:line="280" w:lineRule="exact"/>
              <w:ind w:firstLine="0" w:firstLineChars="0"/>
              <w:jc w:val="center"/>
              <w:rPr>
                <w:color w:val="000000"/>
                <w:sz w:val="21"/>
                <w:szCs w:val="21"/>
                <w:u w:val="single"/>
              </w:rPr>
            </w:pPr>
            <w:r>
              <w:rPr>
                <w:color w:val="000000"/>
                <w:sz w:val="21"/>
                <w:szCs w:val="21"/>
                <w:u w:val="single"/>
              </w:rPr>
              <w:t>E1</w:t>
            </w:r>
          </w:p>
        </w:tc>
        <w:tc>
          <w:tcPr>
            <w:tcW w:w="2131" w:type="dxa"/>
          </w:tcPr>
          <w:p w14:paraId="66C4EBED">
            <w:pPr>
              <w:snapToGrid w:val="0"/>
              <w:spacing w:line="280" w:lineRule="exact"/>
              <w:ind w:firstLine="0" w:firstLineChars="0"/>
              <w:jc w:val="center"/>
              <w:rPr>
                <w:color w:val="000000"/>
                <w:sz w:val="21"/>
                <w:szCs w:val="21"/>
                <w:u w:val="single"/>
              </w:rPr>
            </w:pPr>
            <w:r>
              <w:rPr>
                <w:color w:val="000000"/>
                <w:sz w:val="21"/>
                <w:szCs w:val="21"/>
                <w:u w:val="single"/>
              </w:rPr>
              <w:t>E1</w:t>
            </w:r>
          </w:p>
        </w:tc>
        <w:tc>
          <w:tcPr>
            <w:tcW w:w="2131" w:type="dxa"/>
            <w:shd w:val="clear" w:color="auto" w:fill="F2F2F2"/>
          </w:tcPr>
          <w:p w14:paraId="2B9BC3D6">
            <w:pPr>
              <w:snapToGrid w:val="0"/>
              <w:spacing w:line="280" w:lineRule="exact"/>
              <w:ind w:firstLine="0" w:firstLineChars="0"/>
              <w:jc w:val="center"/>
              <w:rPr>
                <w:color w:val="000000"/>
                <w:sz w:val="21"/>
                <w:szCs w:val="21"/>
                <w:u w:val="single"/>
              </w:rPr>
            </w:pPr>
            <w:r>
              <w:rPr>
                <w:color w:val="000000"/>
                <w:sz w:val="21"/>
                <w:szCs w:val="21"/>
                <w:u w:val="single"/>
              </w:rPr>
              <w:t>E2</w:t>
            </w:r>
          </w:p>
        </w:tc>
      </w:tr>
      <w:tr w14:paraId="6E52C6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0" w:type="dxa"/>
          </w:tcPr>
          <w:p w14:paraId="59699B8C">
            <w:pPr>
              <w:snapToGrid w:val="0"/>
              <w:spacing w:line="280" w:lineRule="exact"/>
              <w:ind w:firstLine="0" w:firstLineChars="0"/>
              <w:jc w:val="center"/>
              <w:rPr>
                <w:color w:val="000000"/>
                <w:sz w:val="21"/>
                <w:szCs w:val="21"/>
                <w:u w:val="single"/>
              </w:rPr>
            </w:pPr>
            <w:r>
              <w:rPr>
                <w:color w:val="000000"/>
                <w:sz w:val="21"/>
                <w:szCs w:val="21"/>
                <w:u w:val="single"/>
              </w:rPr>
              <w:t>S2</w:t>
            </w:r>
          </w:p>
        </w:tc>
        <w:tc>
          <w:tcPr>
            <w:tcW w:w="2130" w:type="dxa"/>
          </w:tcPr>
          <w:p w14:paraId="43813B60">
            <w:pPr>
              <w:snapToGrid w:val="0"/>
              <w:spacing w:line="280" w:lineRule="exact"/>
              <w:ind w:firstLine="0" w:firstLineChars="0"/>
              <w:jc w:val="center"/>
              <w:rPr>
                <w:color w:val="000000"/>
                <w:sz w:val="21"/>
                <w:szCs w:val="21"/>
                <w:u w:val="single"/>
              </w:rPr>
            </w:pPr>
            <w:r>
              <w:rPr>
                <w:color w:val="000000"/>
                <w:sz w:val="21"/>
                <w:szCs w:val="21"/>
                <w:u w:val="single"/>
              </w:rPr>
              <w:t>E1</w:t>
            </w:r>
          </w:p>
        </w:tc>
        <w:tc>
          <w:tcPr>
            <w:tcW w:w="2131" w:type="dxa"/>
          </w:tcPr>
          <w:p w14:paraId="4FCFB2D5">
            <w:pPr>
              <w:snapToGrid w:val="0"/>
              <w:spacing w:line="280" w:lineRule="exact"/>
              <w:ind w:firstLine="0" w:firstLineChars="0"/>
              <w:jc w:val="center"/>
              <w:rPr>
                <w:color w:val="000000"/>
                <w:sz w:val="21"/>
                <w:szCs w:val="21"/>
                <w:u w:val="single"/>
              </w:rPr>
            </w:pPr>
            <w:r>
              <w:rPr>
                <w:color w:val="000000"/>
                <w:sz w:val="21"/>
                <w:szCs w:val="21"/>
                <w:u w:val="single"/>
              </w:rPr>
              <w:t>E2</w:t>
            </w:r>
          </w:p>
        </w:tc>
        <w:tc>
          <w:tcPr>
            <w:tcW w:w="2131" w:type="dxa"/>
          </w:tcPr>
          <w:p w14:paraId="6E0C70DD">
            <w:pPr>
              <w:snapToGrid w:val="0"/>
              <w:spacing w:line="280" w:lineRule="exact"/>
              <w:ind w:firstLine="0" w:firstLineChars="0"/>
              <w:jc w:val="center"/>
              <w:rPr>
                <w:color w:val="000000"/>
                <w:sz w:val="21"/>
                <w:szCs w:val="21"/>
                <w:u w:val="single"/>
              </w:rPr>
            </w:pPr>
            <w:r>
              <w:rPr>
                <w:color w:val="000000"/>
                <w:sz w:val="21"/>
                <w:szCs w:val="21"/>
                <w:u w:val="single"/>
              </w:rPr>
              <w:t>E3</w:t>
            </w:r>
          </w:p>
        </w:tc>
      </w:tr>
      <w:tr w14:paraId="72DAA2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0" w:type="dxa"/>
          </w:tcPr>
          <w:p w14:paraId="7889516F">
            <w:pPr>
              <w:snapToGrid w:val="0"/>
              <w:spacing w:line="280" w:lineRule="exact"/>
              <w:ind w:firstLine="0" w:firstLineChars="0"/>
              <w:jc w:val="center"/>
              <w:rPr>
                <w:color w:val="000000"/>
                <w:sz w:val="21"/>
                <w:szCs w:val="21"/>
                <w:u w:val="single"/>
              </w:rPr>
            </w:pPr>
            <w:r>
              <w:rPr>
                <w:color w:val="000000"/>
                <w:sz w:val="21"/>
                <w:szCs w:val="21"/>
                <w:u w:val="single"/>
              </w:rPr>
              <w:t>S3</w:t>
            </w:r>
          </w:p>
        </w:tc>
        <w:tc>
          <w:tcPr>
            <w:tcW w:w="2130" w:type="dxa"/>
          </w:tcPr>
          <w:p w14:paraId="47060C3B">
            <w:pPr>
              <w:snapToGrid w:val="0"/>
              <w:spacing w:line="280" w:lineRule="exact"/>
              <w:ind w:firstLine="0" w:firstLineChars="0"/>
              <w:jc w:val="center"/>
              <w:rPr>
                <w:color w:val="000000"/>
                <w:sz w:val="21"/>
                <w:szCs w:val="21"/>
                <w:u w:val="single"/>
              </w:rPr>
            </w:pPr>
            <w:r>
              <w:rPr>
                <w:color w:val="000000"/>
                <w:sz w:val="21"/>
                <w:szCs w:val="21"/>
                <w:u w:val="single"/>
              </w:rPr>
              <w:t>E1</w:t>
            </w:r>
          </w:p>
        </w:tc>
        <w:tc>
          <w:tcPr>
            <w:tcW w:w="2131" w:type="dxa"/>
          </w:tcPr>
          <w:p w14:paraId="4E10057B">
            <w:pPr>
              <w:snapToGrid w:val="0"/>
              <w:spacing w:line="280" w:lineRule="exact"/>
              <w:ind w:firstLine="0" w:firstLineChars="0"/>
              <w:jc w:val="center"/>
              <w:rPr>
                <w:color w:val="000000"/>
                <w:sz w:val="21"/>
                <w:szCs w:val="21"/>
                <w:u w:val="single"/>
              </w:rPr>
            </w:pPr>
            <w:r>
              <w:rPr>
                <w:color w:val="000000"/>
                <w:sz w:val="21"/>
                <w:szCs w:val="21"/>
                <w:u w:val="single"/>
              </w:rPr>
              <w:t>E2</w:t>
            </w:r>
          </w:p>
        </w:tc>
        <w:tc>
          <w:tcPr>
            <w:tcW w:w="2131" w:type="dxa"/>
          </w:tcPr>
          <w:p w14:paraId="57AF158D">
            <w:pPr>
              <w:snapToGrid w:val="0"/>
              <w:spacing w:line="280" w:lineRule="exact"/>
              <w:ind w:firstLine="0" w:firstLineChars="0"/>
              <w:jc w:val="center"/>
              <w:rPr>
                <w:color w:val="000000"/>
                <w:sz w:val="21"/>
                <w:szCs w:val="21"/>
                <w:u w:val="single"/>
              </w:rPr>
            </w:pPr>
            <w:r>
              <w:rPr>
                <w:color w:val="000000"/>
                <w:sz w:val="21"/>
                <w:szCs w:val="21"/>
                <w:u w:val="single"/>
              </w:rPr>
              <w:t>E3</w:t>
            </w:r>
          </w:p>
        </w:tc>
      </w:tr>
    </w:tbl>
    <w:p w14:paraId="488D98E1">
      <w:pPr>
        <w:tabs>
          <w:tab w:val="left" w:pos="7488"/>
        </w:tabs>
        <w:snapToGrid w:val="0"/>
        <w:spacing w:line="348" w:lineRule="auto"/>
        <w:ind w:firstLine="462"/>
        <w:rPr>
          <w:u w:val="single"/>
        </w:rPr>
      </w:pPr>
      <w:r>
        <w:rPr>
          <w:rFonts w:hint="eastAsia"/>
          <w:u w:val="single"/>
        </w:rPr>
        <w:t>本项目无外排废水，码头前沿水域海水水质为第四类，地表水环境敏感特征为低敏感度</w:t>
      </w:r>
      <w:r>
        <w:rPr>
          <w:u w:val="single"/>
        </w:rPr>
        <w:t>F3</w:t>
      </w:r>
      <w:r>
        <w:rPr>
          <w:rFonts w:hint="eastAsia"/>
          <w:u w:val="single"/>
        </w:rPr>
        <w:t>。项目周边生态敏感区在一个潮周期水质点可能达到的最大水平距离的两倍范围内，故项目环境敏感目标分级为</w:t>
      </w:r>
      <w:r>
        <w:rPr>
          <w:u w:val="single"/>
        </w:rPr>
        <w:t>S</w:t>
      </w:r>
      <w:r>
        <w:rPr>
          <w:rFonts w:hint="eastAsia"/>
          <w:u w:val="single"/>
        </w:rPr>
        <w:t>1。综上所述，地表水环境敏感程度为环境中度敏感区（</w:t>
      </w:r>
      <w:r>
        <w:rPr>
          <w:u w:val="single"/>
        </w:rPr>
        <w:t>E</w:t>
      </w:r>
      <w:r>
        <w:rPr>
          <w:rFonts w:hint="eastAsia"/>
          <w:u w:val="single"/>
        </w:rPr>
        <w:t>2）。</w:t>
      </w:r>
    </w:p>
    <w:p w14:paraId="628113FD">
      <w:pPr>
        <w:tabs>
          <w:tab w:val="left" w:pos="7488"/>
        </w:tabs>
        <w:snapToGrid w:val="0"/>
        <w:spacing w:line="348" w:lineRule="auto"/>
        <w:ind w:firstLine="462"/>
      </w:pPr>
      <w:r>
        <w:rPr>
          <w:rFonts w:hint="eastAsia"/>
        </w:rPr>
        <w:t>3、地下水</w:t>
      </w:r>
    </w:p>
    <w:p w14:paraId="0CE8BFBC">
      <w:pPr>
        <w:tabs>
          <w:tab w:val="left" w:pos="7488"/>
        </w:tabs>
        <w:snapToGrid w:val="0"/>
        <w:spacing w:line="348" w:lineRule="auto"/>
        <w:ind w:firstLine="462"/>
      </w:pPr>
      <w:r>
        <w:rPr>
          <w:rFonts w:hint="eastAsia"/>
        </w:rPr>
        <w:t>依据地下水功能敏感性与包气带防污性能，共分为三种类型，</w:t>
      </w:r>
      <w:r>
        <w:t>E1</w:t>
      </w:r>
      <w:r>
        <w:rPr>
          <w:rFonts w:hint="eastAsia"/>
        </w:rPr>
        <w:t>为环境高度敏感区，</w:t>
      </w:r>
      <w:r>
        <w:t>E2</w:t>
      </w:r>
      <w:r>
        <w:rPr>
          <w:rFonts w:hint="eastAsia"/>
        </w:rPr>
        <w:t>为环境中度敏感区，</w:t>
      </w:r>
      <w:r>
        <w:t>E3</w:t>
      </w:r>
      <w:r>
        <w:rPr>
          <w:rFonts w:hint="eastAsia"/>
        </w:rPr>
        <w:t>为环境低度敏感区。当同一建设项目涉及两个</w:t>
      </w:r>
      <w:r>
        <w:t>G</w:t>
      </w:r>
      <w:r>
        <w:rPr>
          <w:rFonts w:hint="eastAsia"/>
        </w:rPr>
        <w:t>分区或</w:t>
      </w:r>
      <w:r>
        <w:t>D</w:t>
      </w:r>
      <w:r>
        <w:rPr>
          <w:rFonts w:hint="eastAsia"/>
        </w:rPr>
        <w:t>分级及以上时，取相对高值。其中地下水功能敏感性分区、包气带防污性能分级、环境敏感度分级原则分别见表</w:t>
      </w:r>
      <w:r>
        <w:t>1.</w:t>
      </w:r>
      <w:r>
        <w:rPr>
          <w:rFonts w:hint="eastAsia"/>
        </w:rPr>
        <w:t>2</w:t>
      </w:r>
      <w:r>
        <w:t>-1</w:t>
      </w:r>
      <w:r>
        <w:rPr>
          <w:rFonts w:hint="eastAsia"/>
        </w:rPr>
        <w:t>5</w:t>
      </w:r>
      <w:r>
        <w:t>~</w:t>
      </w:r>
      <w:r>
        <w:rPr>
          <w:rFonts w:hint="eastAsia"/>
        </w:rPr>
        <w:t>表</w:t>
      </w:r>
      <w:r>
        <w:t>1.</w:t>
      </w:r>
      <w:r>
        <w:rPr>
          <w:rFonts w:hint="eastAsia"/>
        </w:rPr>
        <w:t>2</w:t>
      </w:r>
      <w:r>
        <w:t>-</w:t>
      </w:r>
      <w:r>
        <w:rPr>
          <w:rFonts w:hint="eastAsia"/>
        </w:rPr>
        <w:t>17。</w:t>
      </w:r>
    </w:p>
    <w:p w14:paraId="58103536">
      <w:pPr>
        <w:pStyle w:val="7"/>
      </w:pPr>
      <w:r>
        <w:rPr>
          <w:rFonts w:hint="eastAsia"/>
        </w:rPr>
        <w:t>地下水功能敏感性分区</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03"/>
        <w:gridCol w:w="7430"/>
      </w:tblGrid>
      <w:tr w14:paraId="3EE684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103" w:type="dxa"/>
            <w:vAlign w:val="center"/>
          </w:tcPr>
          <w:p w14:paraId="00D62F04">
            <w:pPr>
              <w:pStyle w:val="34"/>
            </w:pPr>
            <w:r>
              <w:rPr>
                <w:rFonts w:hint="eastAsia"/>
              </w:rPr>
              <w:t>敏感性</w:t>
            </w:r>
          </w:p>
        </w:tc>
        <w:tc>
          <w:tcPr>
            <w:tcW w:w="7430" w:type="dxa"/>
            <w:vAlign w:val="center"/>
          </w:tcPr>
          <w:p w14:paraId="33D64A20">
            <w:pPr>
              <w:pStyle w:val="34"/>
            </w:pPr>
            <w:r>
              <w:rPr>
                <w:rFonts w:hint="eastAsia"/>
              </w:rPr>
              <w:t>地下水环境敏感特征</w:t>
            </w:r>
          </w:p>
        </w:tc>
      </w:tr>
      <w:tr w14:paraId="0E139F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3" w:type="dxa"/>
            <w:vAlign w:val="center"/>
          </w:tcPr>
          <w:p w14:paraId="2C804210">
            <w:pPr>
              <w:pStyle w:val="34"/>
            </w:pPr>
            <w:r>
              <w:rPr>
                <w:rFonts w:hint="eastAsia"/>
              </w:rPr>
              <w:t>敏感</w:t>
            </w:r>
            <w:r>
              <w:t>G1</w:t>
            </w:r>
          </w:p>
        </w:tc>
        <w:tc>
          <w:tcPr>
            <w:tcW w:w="7430" w:type="dxa"/>
            <w:vAlign w:val="center"/>
          </w:tcPr>
          <w:p w14:paraId="4F731C5B">
            <w:pPr>
              <w:pStyle w:val="34"/>
            </w:pPr>
            <w:r>
              <w:rPr>
                <w:rFonts w:hint="eastAsia"/>
              </w:rPr>
              <w:t>集中式饮用水水源（包括已建成的在用、备用、应急水源，在建和规划的饮用水水源） 准保护区；除集中式饮用水水源以外的国家或地方政府设定的与地下水环境相关的其他保护区，如热水、矿泉水、温泉等特殊地下水资源保护区</w:t>
            </w:r>
          </w:p>
        </w:tc>
      </w:tr>
      <w:tr w14:paraId="6A4F9F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3" w:type="dxa"/>
            <w:vAlign w:val="center"/>
          </w:tcPr>
          <w:p w14:paraId="21EA60BF">
            <w:pPr>
              <w:pStyle w:val="34"/>
            </w:pPr>
            <w:r>
              <w:rPr>
                <w:rFonts w:hint="eastAsia"/>
              </w:rPr>
              <w:t xml:space="preserve">较敏感 </w:t>
            </w:r>
            <w:r>
              <w:t>G2</w:t>
            </w:r>
          </w:p>
        </w:tc>
        <w:tc>
          <w:tcPr>
            <w:tcW w:w="7430" w:type="dxa"/>
            <w:vAlign w:val="center"/>
          </w:tcPr>
          <w:p w14:paraId="378E5495">
            <w:pPr>
              <w:pStyle w:val="34"/>
            </w:pPr>
            <w:r>
              <w:rPr>
                <w:rFonts w:hint="eastAsia"/>
              </w:rPr>
              <w:t>集中式饮用水水源（包括已建成的在用、备用、应急水源，在建和规划的饮用水水源） 准保护区以外的补给径流区；未划定准保护区的集中式饮用水水源，其保护区以外的 补给径流区；分散式饮用水水源地；特殊地下水资源（如热水、矿泉水、温泉等）保护区以外的分布区等其他未列入上述敏感分级的环境敏感区a</w:t>
            </w:r>
          </w:p>
        </w:tc>
      </w:tr>
      <w:tr w14:paraId="5ABD54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3" w:type="dxa"/>
            <w:shd w:val="clear" w:color="auto" w:fill="F1F1F1"/>
            <w:vAlign w:val="center"/>
          </w:tcPr>
          <w:p w14:paraId="0BB0C832">
            <w:pPr>
              <w:pStyle w:val="34"/>
            </w:pPr>
            <w:r>
              <w:rPr>
                <w:rFonts w:hint="eastAsia"/>
              </w:rPr>
              <w:t>不敏感</w:t>
            </w:r>
            <w:r>
              <w:t xml:space="preserve"> G3</w:t>
            </w:r>
          </w:p>
        </w:tc>
        <w:tc>
          <w:tcPr>
            <w:tcW w:w="7430" w:type="dxa"/>
            <w:shd w:val="clear" w:color="auto" w:fill="F1F1F1"/>
            <w:vAlign w:val="center"/>
          </w:tcPr>
          <w:p w14:paraId="17FCDD2A">
            <w:pPr>
              <w:pStyle w:val="34"/>
            </w:pPr>
            <w:r>
              <w:rPr>
                <w:rFonts w:hint="eastAsia"/>
              </w:rPr>
              <w:t>上述地区之外的其他地区</w:t>
            </w:r>
          </w:p>
        </w:tc>
      </w:tr>
      <w:tr w14:paraId="055455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533" w:type="dxa"/>
            <w:gridSpan w:val="2"/>
            <w:vAlign w:val="center"/>
          </w:tcPr>
          <w:p w14:paraId="2C52F381">
            <w:pPr>
              <w:pStyle w:val="34"/>
            </w:pPr>
            <w:r>
              <w:t>a</w:t>
            </w:r>
            <w:r>
              <w:rPr>
                <w:rFonts w:hint="eastAsia"/>
              </w:rPr>
              <w:t>“环境敏感区”是指《建设项目环境影响评价分类管理名录》中所界定的涉及地下水的环境敏感区</w:t>
            </w:r>
          </w:p>
        </w:tc>
      </w:tr>
    </w:tbl>
    <w:p w14:paraId="0F5A83EF">
      <w:pPr>
        <w:pStyle w:val="7"/>
      </w:pPr>
      <w:r>
        <w:rPr>
          <w:rFonts w:hint="eastAsia"/>
        </w:rPr>
        <w:t>包气带防污性能分级</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6"/>
        <w:gridCol w:w="7862"/>
      </w:tblGrid>
      <w:tr w14:paraId="36B863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0" w:type="dxa"/>
            <w:vAlign w:val="center"/>
          </w:tcPr>
          <w:p w14:paraId="1E842A70">
            <w:pPr>
              <w:pStyle w:val="34"/>
            </w:pPr>
            <w:r>
              <w:rPr>
                <w:rFonts w:hint="eastAsia"/>
              </w:rPr>
              <w:t>分级</w:t>
            </w:r>
          </w:p>
        </w:tc>
        <w:tc>
          <w:tcPr>
            <w:tcW w:w="7873" w:type="dxa"/>
            <w:vAlign w:val="center"/>
          </w:tcPr>
          <w:p w14:paraId="4F5CD085">
            <w:pPr>
              <w:pStyle w:val="34"/>
            </w:pPr>
            <w:r>
              <w:rPr>
                <w:rFonts w:hint="eastAsia"/>
              </w:rPr>
              <w:t>包气带岩土的渗透性能</w:t>
            </w:r>
          </w:p>
        </w:tc>
      </w:tr>
      <w:tr w14:paraId="5DBC92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0" w:type="dxa"/>
            <w:vAlign w:val="center"/>
          </w:tcPr>
          <w:p w14:paraId="5AC43510">
            <w:pPr>
              <w:pStyle w:val="34"/>
            </w:pPr>
            <w:r>
              <w:t>D3</w:t>
            </w:r>
          </w:p>
        </w:tc>
        <w:tc>
          <w:tcPr>
            <w:tcW w:w="7873" w:type="dxa"/>
            <w:vAlign w:val="center"/>
          </w:tcPr>
          <w:p w14:paraId="34348419">
            <w:pPr>
              <w:pStyle w:val="34"/>
            </w:pPr>
            <w:r>
              <w:t>Mb≥1.0m</w:t>
            </w:r>
            <w:r>
              <w:rPr>
                <w:rFonts w:hint="eastAsia"/>
              </w:rPr>
              <w:t>，</w:t>
            </w:r>
            <w:r>
              <w:t>K≤1.0×10</w:t>
            </w:r>
            <w:r>
              <w:rPr>
                <w:vertAlign w:val="superscript"/>
              </w:rPr>
              <w:t>-6</w:t>
            </w:r>
            <w:r>
              <w:t>cm/s</w:t>
            </w:r>
            <w:r>
              <w:rPr>
                <w:rFonts w:hint="eastAsia"/>
              </w:rPr>
              <w:t>，且分布连续、稳定</w:t>
            </w:r>
          </w:p>
        </w:tc>
      </w:tr>
      <w:tr w14:paraId="203B3B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0" w:type="dxa"/>
            <w:shd w:val="clear" w:color="auto" w:fill="FFFFFF"/>
            <w:vAlign w:val="center"/>
          </w:tcPr>
          <w:p w14:paraId="2648E1F8">
            <w:pPr>
              <w:pStyle w:val="34"/>
            </w:pPr>
            <w:r>
              <w:t>D2</w:t>
            </w:r>
          </w:p>
        </w:tc>
        <w:tc>
          <w:tcPr>
            <w:tcW w:w="7873" w:type="dxa"/>
            <w:shd w:val="clear" w:color="auto" w:fill="FFFFFF"/>
            <w:vAlign w:val="center"/>
          </w:tcPr>
          <w:p w14:paraId="5511A030">
            <w:pPr>
              <w:pStyle w:val="34"/>
            </w:pPr>
            <w:r>
              <w:t>0.5m≤Mb&lt;1.0m</w:t>
            </w:r>
            <w:r>
              <w:rPr>
                <w:rFonts w:hint="eastAsia"/>
              </w:rPr>
              <w:t>，</w:t>
            </w:r>
            <w:r>
              <w:t>K≤1.0×10</w:t>
            </w:r>
            <w:r>
              <w:rPr>
                <w:vertAlign w:val="superscript"/>
              </w:rPr>
              <w:t>-6</w:t>
            </w:r>
            <w:r>
              <w:t>cm/s</w:t>
            </w:r>
            <w:r>
              <w:rPr>
                <w:rFonts w:hint="eastAsia"/>
              </w:rPr>
              <w:t xml:space="preserve">，且分布连续、稳定 </w:t>
            </w:r>
            <w:r>
              <w:t>Mb≥1.0m</w:t>
            </w:r>
            <w:r>
              <w:rPr>
                <w:rFonts w:hint="eastAsia"/>
              </w:rPr>
              <w:t>，</w:t>
            </w:r>
            <w:r>
              <w:t>1.0×10</w:t>
            </w:r>
            <w:r>
              <w:rPr>
                <w:vertAlign w:val="superscript"/>
              </w:rPr>
              <w:t>-6</w:t>
            </w:r>
            <w:r>
              <w:t>cm/s＜K≤1.0×10</w:t>
            </w:r>
            <w:r>
              <w:rPr>
                <w:vertAlign w:val="superscript"/>
              </w:rPr>
              <w:t>-4</w:t>
            </w:r>
            <w:r>
              <w:t>cm/s</w:t>
            </w:r>
            <w:r>
              <w:rPr>
                <w:rFonts w:hint="eastAsia"/>
              </w:rPr>
              <w:t>，且分布连续、稳定</w:t>
            </w:r>
          </w:p>
        </w:tc>
      </w:tr>
      <w:tr w14:paraId="654356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0" w:type="dxa"/>
            <w:shd w:val="clear" w:color="auto" w:fill="F2F2F2"/>
            <w:vAlign w:val="center"/>
          </w:tcPr>
          <w:p w14:paraId="1B53B94F">
            <w:pPr>
              <w:pStyle w:val="34"/>
            </w:pPr>
            <w:r>
              <w:t>D1</w:t>
            </w:r>
          </w:p>
        </w:tc>
        <w:tc>
          <w:tcPr>
            <w:tcW w:w="7873" w:type="dxa"/>
            <w:shd w:val="clear" w:color="auto" w:fill="F2F2F2"/>
            <w:vAlign w:val="center"/>
          </w:tcPr>
          <w:p w14:paraId="75F8CFA8">
            <w:pPr>
              <w:pStyle w:val="34"/>
            </w:pPr>
            <w:r>
              <w:rPr>
                <w:rFonts w:hint="eastAsia"/>
              </w:rPr>
              <w:t>岩（土）层不满足上述“</w:t>
            </w:r>
            <w:r>
              <w:t>D2</w:t>
            </w:r>
            <w:r>
              <w:rPr>
                <w:rFonts w:hint="eastAsia"/>
              </w:rPr>
              <w:t>”和“</w:t>
            </w:r>
            <w:r>
              <w:t>D3</w:t>
            </w:r>
            <w:r>
              <w:rPr>
                <w:rFonts w:hint="eastAsia"/>
              </w:rPr>
              <w:t>”条件</w:t>
            </w:r>
          </w:p>
        </w:tc>
      </w:tr>
      <w:tr w14:paraId="7D15CB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533" w:type="dxa"/>
            <w:gridSpan w:val="2"/>
            <w:vAlign w:val="center"/>
          </w:tcPr>
          <w:p w14:paraId="635CE04D">
            <w:pPr>
              <w:pStyle w:val="34"/>
            </w:pPr>
            <w:r>
              <w:t>Mb</w:t>
            </w:r>
            <w:r>
              <w:rPr>
                <w:rFonts w:hint="eastAsia"/>
              </w:rPr>
              <w:t>：岩土层单层厚度。</w:t>
            </w:r>
            <w:r>
              <w:t>K</w:t>
            </w:r>
            <w:r>
              <w:rPr>
                <w:rFonts w:hint="eastAsia"/>
              </w:rPr>
              <w:t>：渗透系数。</w:t>
            </w:r>
          </w:p>
        </w:tc>
      </w:tr>
    </w:tbl>
    <w:p w14:paraId="48396665">
      <w:pPr>
        <w:pStyle w:val="7"/>
      </w:pPr>
      <w:r>
        <w:rPr>
          <w:rFonts w:hint="eastAsia"/>
        </w:rPr>
        <w:t>地下水敏感程度分级</w:t>
      </w:r>
    </w:p>
    <w:tbl>
      <w:tblPr>
        <w:tblStyle w:val="88"/>
        <w:tblW w:w="853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33"/>
        <w:gridCol w:w="2133"/>
        <w:gridCol w:w="2134"/>
        <w:gridCol w:w="2133"/>
      </w:tblGrid>
      <w:tr w14:paraId="166249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133" w:type="dxa"/>
            <w:vMerge w:val="restart"/>
            <w:vAlign w:val="center"/>
          </w:tcPr>
          <w:p w14:paraId="5D1A1D90">
            <w:pPr>
              <w:pStyle w:val="34"/>
            </w:pPr>
            <w:r>
              <w:rPr>
                <w:rFonts w:hint="eastAsia"/>
              </w:rPr>
              <w:t>包气带防污性能</w:t>
            </w:r>
          </w:p>
        </w:tc>
        <w:tc>
          <w:tcPr>
            <w:tcW w:w="6400" w:type="dxa"/>
            <w:gridSpan w:val="3"/>
            <w:vAlign w:val="center"/>
          </w:tcPr>
          <w:p w14:paraId="4DECF43B">
            <w:pPr>
              <w:pStyle w:val="34"/>
            </w:pPr>
            <w:r>
              <w:rPr>
                <w:rFonts w:hint="eastAsia"/>
              </w:rPr>
              <w:t>地下水功能敏感性</w:t>
            </w:r>
          </w:p>
        </w:tc>
      </w:tr>
      <w:tr w14:paraId="0BE095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133" w:type="dxa"/>
            <w:vMerge w:val="continue"/>
            <w:vAlign w:val="center"/>
          </w:tcPr>
          <w:p w14:paraId="53B943C2">
            <w:pPr>
              <w:pStyle w:val="34"/>
            </w:pPr>
          </w:p>
        </w:tc>
        <w:tc>
          <w:tcPr>
            <w:tcW w:w="2133" w:type="dxa"/>
            <w:vAlign w:val="center"/>
          </w:tcPr>
          <w:p w14:paraId="05694F75">
            <w:pPr>
              <w:pStyle w:val="34"/>
            </w:pPr>
            <w:r>
              <w:t>G1</w:t>
            </w:r>
          </w:p>
        </w:tc>
        <w:tc>
          <w:tcPr>
            <w:tcW w:w="2134" w:type="dxa"/>
            <w:vAlign w:val="center"/>
          </w:tcPr>
          <w:p w14:paraId="3419F726">
            <w:pPr>
              <w:pStyle w:val="34"/>
            </w:pPr>
            <w:r>
              <w:t>G2</w:t>
            </w:r>
          </w:p>
        </w:tc>
        <w:tc>
          <w:tcPr>
            <w:tcW w:w="2133" w:type="dxa"/>
            <w:shd w:val="clear" w:color="auto" w:fill="F1F1F1"/>
            <w:vAlign w:val="center"/>
          </w:tcPr>
          <w:p w14:paraId="632B36C2">
            <w:pPr>
              <w:pStyle w:val="34"/>
            </w:pPr>
            <w:r>
              <w:t>G3</w:t>
            </w:r>
          </w:p>
        </w:tc>
      </w:tr>
      <w:tr w14:paraId="46FCDD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133" w:type="dxa"/>
            <w:shd w:val="clear" w:color="auto" w:fill="F2F2F2"/>
            <w:vAlign w:val="center"/>
          </w:tcPr>
          <w:p w14:paraId="41C2249B">
            <w:pPr>
              <w:pStyle w:val="34"/>
            </w:pPr>
            <w:r>
              <w:t>D1</w:t>
            </w:r>
          </w:p>
        </w:tc>
        <w:tc>
          <w:tcPr>
            <w:tcW w:w="2133" w:type="dxa"/>
            <w:vAlign w:val="center"/>
          </w:tcPr>
          <w:p w14:paraId="500319D6">
            <w:pPr>
              <w:pStyle w:val="34"/>
            </w:pPr>
            <w:r>
              <w:t>E1</w:t>
            </w:r>
          </w:p>
        </w:tc>
        <w:tc>
          <w:tcPr>
            <w:tcW w:w="2134" w:type="dxa"/>
            <w:vAlign w:val="center"/>
          </w:tcPr>
          <w:p w14:paraId="2203042E">
            <w:pPr>
              <w:pStyle w:val="34"/>
            </w:pPr>
            <w:r>
              <w:t>E1</w:t>
            </w:r>
          </w:p>
        </w:tc>
        <w:tc>
          <w:tcPr>
            <w:tcW w:w="2133" w:type="dxa"/>
            <w:shd w:val="clear" w:color="auto" w:fill="F2F2F2"/>
            <w:vAlign w:val="center"/>
          </w:tcPr>
          <w:p w14:paraId="68C41F97">
            <w:pPr>
              <w:pStyle w:val="34"/>
            </w:pPr>
            <w:r>
              <w:t>E2</w:t>
            </w:r>
          </w:p>
        </w:tc>
      </w:tr>
      <w:tr w14:paraId="3A140A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33" w:type="dxa"/>
            <w:shd w:val="clear" w:color="auto" w:fill="FFFFFF"/>
            <w:vAlign w:val="center"/>
          </w:tcPr>
          <w:p w14:paraId="6DCEB03E">
            <w:pPr>
              <w:pStyle w:val="34"/>
            </w:pPr>
            <w:r>
              <w:t>D2</w:t>
            </w:r>
          </w:p>
        </w:tc>
        <w:tc>
          <w:tcPr>
            <w:tcW w:w="2133" w:type="dxa"/>
            <w:vAlign w:val="center"/>
          </w:tcPr>
          <w:p w14:paraId="2D4C1D0E">
            <w:pPr>
              <w:pStyle w:val="34"/>
            </w:pPr>
            <w:r>
              <w:t>E1</w:t>
            </w:r>
          </w:p>
        </w:tc>
        <w:tc>
          <w:tcPr>
            <w:tcW w:w="2134" w:type="dxa"/>
            <w:vAlign w:val="center"/>
          </w:tcPr>
          <w:p w14:paraId="5C037687">
            <w:pPr>
              <w:pStyle w:val="34"/>
            </w:pPr>
            <w:r>
              <w:t>E2</w:t>
            </w:r>
          </w:p>
        </w:tc>
        <w:tc>
          <w:tcPr>
            <w:tcW w:w="2133" w:type="dxa"/>
            <w:shd w:val="clear" w:color="auto" w:fill="FFFFFF"/>
            <w:vAlign w:val="center"/>
          </w:tcPr>
          <w:p w14:paraId="0BE70E16">
            <w:pPr>
              <w:pStyle w:val="34"/>
            </w:pPr>
            <w:r>
              <w:t>E3</w:t>
            </w:r>
          </w:p>
        </w:tc>
      </w:tr>
      <w:tr w14:paraId="489498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33" w:type="dxa"/>
            <w:vAlign w:val="center"/>
          </w:tcPr>
          <w:p w14:paraId="2DF040A2">
            <w:pPr>
              <w:pStyle w:val="34"/>
            </w:pPr>
            <w:r>
              <w:t>D3</w:t>
            </w:r>
          </w:p>
        </w:tc>
        <w:tc>
          <w:tcPr>
            <w:tcW w:w="2133" w:type="dxa"/>
            <w:vAlign w:val="center"/>
          </w:tcPr>
          <w:p w14:paraId="74EC439E">
            <w:pPr>
              <w:pStyle w:val="34"/>
            </w:pPr>
            <w:r>
              <w:t>E2</w:t>
            </w:r>
          </w:p>
        </w:tc>
        <w:tc>
          <w:tcPr>
            <w:tcW w:w="2134" w:type="dxa"/>
            <w:vAlign w:val="center"/>
          </w:tcPr>
          <w:p w14:paraId="26EAEA27">
            <w:pPr>
              <w:pStyle w:val="34"/>
            </w:pPr>
            <w:r>
              <w:t>E3</w:t>
            </w:r>
          </w:p>
        </w:tc>
        <w:tc>
          <w:tcPr>
            <w:tcW w:w="2133" w:type="dxa"/>
            <w:vAlign w:val="center"/>
          </w:tcPr>
          <w:p w14:paraId="1D25A76C">
            <w:pPr>
              <w:pStyle w:val="34"/>
            </w:pPr>
            <w:r>
              <w:t>E3</w:t>
            </w:r>
          </w:p>
        </w:tc>
      </w:tr>
    </w:tbl>
    <w:p w14:paraId="079CDED1">
      <w:pPr>
        <w:tabs>
          <w:tab w:val="left" w:pos="7488"/>
        </w:tabs>
        <w:snapToGrid w:val="0"/>
        <w:spacing w:line="348" w:lineRule="auto"/>
        <w:ind w:firstLine="462"/>
      </w:pPr>
      <w:r>
        <w:rPr>
          <w:rFonts w:hint="eastAsia"/>
        </w:rPr>
        <w:t>项目所在场地原为海域，属于海岸阶地地貌，经人工吹填砂形成，场地较为平整，包气带防污性能分级为</w:t>
      </w:r>
      <w:r>
        <w:t>D</w:t>
      </w:r>
      <w:r>
        <w:rPr>
          <w:rFonts w:hint="eastAsia"/>
        </w:rPr>
        <w:t>1。</w:t>
      </w:r>
    </w:p>
    <w:p w14:paraId="281CAD94">
      <w:pPr>
        <w:tabs>
          <w:tab w:val="left" w:pos="7488"/>
        </w:tabs>
        <w:snapToGrid w:val="0"/>
        <w:spacing w:line="348" w:lineRule="auto"/>
        <w:ind w:firstLine="462"/>
      </w:pPr>
      <w:r>
        <w:rPr>
          <w:rFonts w:hint="eastAsia"/>
        </w:rPr>
        <w:t>项目所在区域无集中式饮用水水源（包括已建成的在用、备用、应急水源，在建和规划的饮用水水源）准保护区；除集中式饮用水水源以外的国家或地方政府设定的与地下水环境相关的其他保护区等环境敏感区，地下水功能敏感性特征为低敏感</w:t>
      </w:r>
      <w:r>
        <w:t>G3</w:t>
      </w:r>
      <w:r>
        <w:rPr>
          <w:rFonts w:hint="eastAsia"/>
        </w:rPr>
        <w:t>，地下水环境敏感程度为环境低度敏感区（</w:t>
      </w:r>
      <w:r>
        <w:t>E</w:t>
      </w:r>
      <w:r>
        <w:rPr>
          <w:rFonts w:hint="eastAsia"/>
        </w:rPr>
        <w:t>2）。</w:t>
      </w:r>
    </w:p>
    <w:p w14:paraId="261EAD58">
      <w:pPr>
        <w:tabs>
          <w:tab w:val="left" w:pos="7488"/>
        </w:tabs>
        <w:snapToGrid w:val="0"/>
        <w:spacing w:line="348" w:lineRule="auto"/>
        <w:ind w:firstLine="462"/>
      </w:pPr>
      <w:r>
        <w:rPr>
          <w:rFonts w:hint="eastAsia"/>
        </w:rPr>
        <w:t>4、海洋生态</w:t>
      </w:r>
    </w:p>
    <w:p w14:paraId="01ECDD6B">
      <w:pPr>
        <w:tabs>
          <w:tab w:val="left" w:pos="7488"/>
        </w:tabs>
        <w:snapToGrid w:val="0"/>
        <w:spacing w:line="348" w:lineRule="auto"/>
        <w:ind w:firstLine="462"/>
      </w:pPr>
      <w:r>
        <w:rPr>
          <w:rFonts w:hint="eastAsia"/>
        </w:rPr>
        <w:t>对照HJ1409，依据事故情况下危险物质泄漏可能影响生态敏感区的情况，分为三种类型，E1 为环境高度敏感区，E2 为环境中度敏感区，E3 为环境低度敏感区。环境敏感度分级原则分别见表</w:t>
      </w:r>
      <w:r>
        <w:t>1.</w:t>
      </w:r>
      <w:r>
        <w:rPr>
          <w:rFonts w:hint="eastAsia"/>
        </w:rPr>
        <w:t>2</w:t>
      </w:r>
      <w:r>
        <w:t>-</w:t>
      </w:r>
      <w:r>
        <w:rPr>
          <w:rFonts w:hint="eastAsia"/>
        </w:rPr>
        <w:t>18。</w:t>
      </w:r>
    </w:p>
    <w:p w14:paraId="76F6FA2E">
      <w:pPr>
        <w:pStyle w:val="7"/>
      </w:pPr>
      <w:r>
        <w:rPr>
          <w:rFonts w:hint="eastAsia"/>
        </w:rPr>
        <w:t>环境敏感程度分级</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67"/>
        <w:gridCol w:w="7466"/>
      </w:tblGrid>
      <w:tr w14:paraId="5190A8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67" w:type="dxa"/>
            <w:vAlign w:val="center"/>
          </w:tcPr>
          <w:p w14:paraId="7BE8AC46">
            <w:pPr>
              <w:pStyle w:val="34"/>
            </w:pPr>
            <w:r>
              <w:rPr>
                <w:rFonts w:hint="eastAsia"/>
              </w:rPr>
              <w:t>敏感性</w:t>
            </w:r>
          </w:p>
        </w:tc>
        <w:tc>
          <w:tcPr>
            <w:tcW w:w="7466" w:type="dxa"/>
            <w:vAlign w:val="center"/>
          </w:tcPr>
          <w:p w14:paraId="2825EA0C">
            <w:pPr>
              <w:pStyle w:val="34"/>
            </w:pPr>
            <w:r>
              <w:rPr>
                <w:rFonts w:hint="eastAsia"/>
              </w:rPr>
              <w:t>地表水环境敏感特征</w:t>
            </w:r>
          </w:p>
        </w:tc>
      </w:tr>
      <w:tr w14:paraId="04A29D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67" w:type="dxa"/>
            <w:vAlign w:val="center"/>
          </w:tcPr>
          <w:p w14:paraId="359CFDAF">
            <w:pPr>
              <w:pStyle w:val="34"/>
            </w:pPr>
            <w:r>
              <w:rPr>
                <w:rFonts w:hint="eastAsia"/>
              </w:rPr>
              <w:t>E1</w:t>
            </w:r>
          </w:p>
        </w:tc>
        <w:tc>
          <w:tcPr>
            <w:tcW w:w="7466" w:type="dxa"/>
            <w:vAlign w:val="center"/>
          </w:tcPr>
          <w:p w14:paraId="62BCEB7A">
            <w:pPr>
              <w:pStyle w:val="34"/>
            </w:pPr>
            <w:r>
              <w:rPr>
                <w:rFonts w:hint="eastAsia"/>
              </w:rPr>
              <w:t>危险物质泄漏到海洋的排放点位于海水水质分类第一类区域或重要敏感区</w:t>
            </w:r>
          </w:p>
        </w:tc>
      </w:tr>
      <w:tr w14:paraId="1E6EE5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67" w:type="dxa"/>
            <w:vAlign w:val="center"/>
          </w:tcPr>
          <w:p w14:paraId="6D7D82CF">
            <w:pPr>
              <w:pStyle w:val="34"/>
            </w:pPr>
            <w:r>
              <w:rPr>
                <w:rFonts w:hint="eastAsia"/>
              </w:rPr>
              <w:t>E2</w:t>
            </w:r>
          </w:p>
        </w:tc>
        <w:tc>
          <w:tcPr>
            <w:tcW w:w="7466" w:type="dxa"/>
            <w:vAlign w:val="center"/>
          </w:tcPr>
          <w:p w14:paraId="03102BD9">
            <w:pPr>
              <w:pStyle w:val="34"/>
            </w:pPr>
            <w:r>
              <w:rPr>
                <w:rFonts w:hint="eastAsia"/>
              </w:rPr>
              <w:t>危险物质泄漏到海洋的排放点位于海水水质分类第二类区域或一般敏感区</w:t>
            </w:r>
          </w:p>
        </w:tc>
      </w:tr>
      <w:tr w14:paraId="3A8A08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67" w:type="dxa"/>
            <w:shd w:val="clear" w:color="auto" w:fill="F1F1F1"/>
            <w:vAlign w:val="center"/>
          </w:tcPr>
          <w:p w14:paraId="1F7A2A07">
            <w:pPr>
              <w:pStyle w:val="34"/>
            </w:pPr>
            <w:r>
              <w:rPr>
                <w:rFonts w:hint="eastAsia"/>
              </w:rPr>
              <w:t>E3</w:t>
            </w:r>
          </w:p>
        </w:tc>
        <w:tc>
          <w:tcPr>
            <w:tcW w:w="7466" w:type="dxa"/>
            <w:shd w:val="clear" w:color="auto" w:fill="F1F1F1"/>
            <w:vAlign w:val="center"/>
          </w:tcPr>
          <w:p w14:paraId="2CAB167A">
            <w:pPr>
              <w:pStyle w:val="34"/>
            </w:pPr>
            <w:r>
              <w:rPr>
                <w:rFonts w:hint="eastAsia"/>
              </w:rPr>
              <w:t>上述地区之外的其他地区</w:t>
            </w:r>
          </w:p>
        </w:tc>
      </w:tr>
    </w:tbl>
    <w:p w14:paraId="481699FF">
      <w:pPr>
        <w:tabs>
          <w:tab w:val="left" w:pos="7488"/>
        </w:tabs>
        <w:snapToGrid w:val="0"/>
        <w:spacing w:line="348" w:lineRule="auto"/>
        <w:ind w:firstLine="462"/>
      </w:pPr>
      <w:r>
        <w:rPr>
          <w:rFonts w:hint="eastAsia"/>
        </w:rPr>
        <w:t>项目无外排废水，码头前沿水域海水水质为第四类，海洋生态环境敏感特征为E</w:t>
      </w:r>
      <w:r>
        <w:t>3</w:t>
      </w:r>
      <w:r>
        <w:rPr>
          <w:rFonts w:hint="eastAsia"/>
        </w:rPr>
        <w:t>。</w:t>
      </w:r>
    </w:p>
    <w:p w14:paraId="6F3BBC56">
      <w:pPr>
        <w:tabs>
          <w:tab w:val="left" w:pos="7488"/>
        </w:tabs>
        <w:snapToGrid w:val="0"/>
        <w:spacing w:line="348" w:lineRule="auto"/>
        <w:ind w:firstLine="464"/>
        <w:outlineLvl w:val="4"/>
        <w:rPr>
          <w:b/>
          <w:bCs/>
        </w:rPr>
      </w:pPr>
      <w:r>
        <w:rPr>
          <w:rFonts w:hint="eastAsia"/>
          <w:b/>
          <w:bCs/>
        </w:rPr>
        <w:t>三、环境风险潜势判断、评价等级</w:t>
      </w:r>
    </w:p>
    <w:p w14:paraId="61B52A93">
      <w:pPr>
        <w:tabs>
          <w:tab w:val="left" w:pos="7488"/>
        </w:tabs>
        <w:snapToGrid w:val="0"/>
        <w:spacing w:line="348" w:lineRule="auto"/>
        <w:ind w:firstLine="462"/>
      </w:pPr>
      <w:r>
        <w:rPr>
          <w:rFonts w:hint="eastAsia" w:cs="宋体"/>
          <w:lang w:bidi="ar"/>
        </w:rPr>
        <w:t>根据建设项目涉及的物质和工艺系统的危险性及其所在地的环境敏感程度，结合事故情形下环境影响途径，对建设项目潜在环境危害程度进行概化分析，按照表</w:t>
      </w:r>
      <w:r>
        <w:rPr>
          <w:lang w:bidi="ar"/>
        </w:rPr>
        <w:t>1.2-</w:t>
      </w:r>
      <w:r>
        <w:rPr>
          <w:rFonts w:hint="eastAsia"/>
          <w:lang w:bidi="ar"/>
        </w:rPr>
        <w:t>19</w:t>
      </w:r>
      <w:r>
        <w:rPr>
          <w:rFonts w:hint="eastAsia" w:cs="宋体"/>
          <w:lang w:bidi="ar"/>
        </w:rPr>
        <w:t>确定环境风险潜势，表</w:t>
      </w:r>
      <w:r>
        <w:rPr>
          <w:lang w:bidi="ar"/>
        </w:rPr>
        <w:t>1.2-</w:t>
      </w:r>
      <w:r>
        <w:rPr>
          <w:rFonts w:hint="eastAsia"/>
          <w:lang w:bidi="ar"/>
        </w:rPr>
        <w:t>18</w:t>
      </w:r>
      <w:r>
        <w:rPr>
          <w:rFonts w:hint="eastAsia" w:cs="宋体"/>
          <w:lang w:bidi="ar"/>
        </w:rPr>
        <w:t>确定环境风险等级。建设项目环境风险潜势综合等级取各要素等级的相对高值。</w:t>
      </w:r>
    </w:p>
    <w:p w14:paraId="7E2F22A3">
      <w:pPr>
        <w:pStyle w:val="7"/>
      </w:pPr>
      <w:bookmarkStart w:id="106" w:name="OLE_LINK27"/>
      <w:r>
        <w:rPr>
          <w:rFonts w:hint="eastAsia"/>
        </w:rPr>
        <w:t>建设项目环境风险潜势划分</w:t>
      </w:r>
    </w:p>
    <w:tbl>
      <w:tblPr>
        <w:tblStyle w:val="88"/>
        <w:tblW w:w="0" w:type="auto"/>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6"/>
        <w:gridCol w:w="1706"/>
        <w:gridCol w:w="1707"/>
        <w:gridCol w:w="1707"/>
        <w:gridCol w:w="1707"/>
      </w:tblGrid>
      <w:tr w14:paraId="7A5E9A0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6" w:type="dxa"/>
            <w:vMerge w:val="restart"/>
            <w:tcBorders>
              <w:top w:val="single" w:color="auto" w:sz="12" w:space="0"/>
              <w:left w:val="single" w:color="auto" w:sz="12" w:space="0"/>
              <w:bottom w:val="single" w:color="auto" w:sz="4" w:space="0"/>
              <w:right w:val="single" w:color="auto" w:sz="4" w:space="0"/>
            </w:tcBorders>
            <w:vAlign w:val="center"/>
          </w:tcPr>
          <w:p w14:paraId="7150D43A">
            <w:pPr>
              <w:pStyle w:val="34"/>
            </w:pPr>
            <w:r>
              <w:rPr>
                <w:rFonts w:hint="eastAsia"/>
              </w:rPr>
              <w:t>环境敏感程度（</w:t>
            </w:r>
            <w:r>
              <w:t>E</w:t>
            </w:r>
            <w:r>
              <w:rPr>
                <w:rFonts w:hint="eastAsia"/>
              </w:rPr>
              <w:t>）</w:t>
            </w:r>
          </w:p>
        </w:tc>
        <w:tc>
          <w:tcPr>
            <w:tcW w:w="6827" w:type="dxa"/>
            <w:gridSpan w:val="4"/>
            <w:tcBorders>
              <w:top w:val="single" w:color="auto" w:sz="12" w:space="0"/>
              <w:left w:val="single" w:color="auto" w:sz="4" w:space="0"/>
              <w:bottom w:val="single" w:color="auto" w:sz="4" w:space="0"/>
              <w:right w:val="single" w:color="auto" w:sz="12" w:space="0"/>
            </w:tcBorders>
            <w:vAlign w:val="center"/>
          </w:tcPr>
          <w:p w14:paraId="44EAAF94">
            <w:pPr>
              <w:pStyle w:val="34"/>
            </w:pPr>
            <w:r>
              <w:rPr>
                <w:rFonts w:hint="eastAsia"/>
              </w:rPr>
              <w:t>危险物质及工艺系统危险性（</w:t>
            </w:r>
            <w:r>
              <w:t>P</w:t>
            </w:r>
            <w:r>
              <w:rPr>
                <w:rFonts w:hint="eastAsia"/>
              </w:rPr>
              <w:t>）</w:t>
            </w:r>
          </w:p>
        </w:tc>
      </w:tr>
      <w:tr w14:paraId="07D0BEE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6" w:type="dxa"/>
            <w:vMerge w:val="continue"/>
            <w:tcBorders>
              <w:top w:val="single" w:color="auto" w:sz="12" w:space="0"/>
              <w:left w:val="single" w:color="auto" w:sz="12" w:space="0"/>
              <w:bottom w:val="single" w:color="auto" w:sz="4" w:space="0"/>
              <w:right w:val="single" w:color="auto" w:sz="4" w:space="0"/>
            </w:tcBorders>
            <w:vAlign w:val="center"/>
          </w:tcPr>
          <w:p w14:paraId="1A46FF05">
            <w:pPr>
              <w:pStyle w:val="34"/>
              <w:rPr>
                <w:sz w:val="20"/>
                <w:szCs w:val="20"/>
              </w:rPr>
            </w:pPr>
          </w:p>
        </w:tc>
        <w:tc>
          <w:tcPr>
            <w:tcW w:w="1706" w:type="dxa"/>
            <w:tcBorders>
              <w:top w:val="single" w:color="auto" w:sz="4" w:space="0"/>
              <w:left w:val="single" w:color="auto" w:sz="4" w:space="0"/>
              <w:bottom w:val="single" w:color="auto" w:sz="4" w:space="0"/>
              <w:right w:val="single" w:color="auto" w:sz="4" w:space="0"/>
            </w:tcBorders>
            <w:vAlign w:val="center"/>
          </w:tcPr>
          <w:p w14:paraId="30B21099">
            <w:pPr>
              <w:pStyle w:val="34"/>
            </w:pPr>
            <w:r>
              <w:rPr>
                <w:rFonts w:hint="eastAsia"/>
              </w:rPr>
              <w:t>极高危害（</w:t>
            </w:r>
            <w:r>
              <w:t>P1</w:t>
            </w:r>
            <w:r>
              <w:rPr>
                <w:rFonts w:hint="eastAsia"/>
              </w:rPr>
              <w:t>）</w:t>
            </w:r>
          </w:p>
        </w:tc>
        <w:tc>
          <w:tcPr>
            <w:tcW w:w="1707" w:type="dxa"/>
            <w:tcBorders>
              <w:top w:val="single" w:color="auto" w:sz="4" w:space="0"/>
              <w:left w:val="single" w:color="auto" w:sz="4" w:space="0"/>
              <w:bottom w:val="single" w:color="auto" w:sz="4" w:space="0"/>
              <w:right w:val="single" w:color="auto" w:sz="4" w:space="0"/>
            </w:tcBorders>
            <w:shd w:val="clear" w:color="auto" w:fill="E7E6E6"/>
            <w:vAlign w:val="center"/>
          </w:tcPr>
          <w:p w14:paraId="3A3396BF">
            <w:pPr>
              <w:pStyle w:val="34"/>
            </w:pPr>
            <w:r>
              <w:rPr>
                <w:rFonts w:hint="eastAsia"/>
              </w:rPr>
              <w:t>高度危害（</w:t>
            </w:r>
            <w:r>
              <w:t>P2</w:t>
            </w:r>
            <w:r>
              <w:rPr>
                <w:rFonts w:hint="eastAsia"/>
              </w:rPr>
              <w:t>）</w:t>
            </w:r>
          </w:p>
        </w:tc>
        <w:tc>
          <w:tcPr>
            <w:tcW w:w="1707" w:type="dxa"/>
            <w:tcBorders>
              <w:top w:val="single" w:color="auto" w:sz="4" w:space="0"/>
              <w:left w:val="single" w:color="auto" w:sz="4" w:space="0"/>
              <w:bottom w:val="single" w:color="auto" w:sz="4" w:space="0"/>
              <w:right w:val="single" w:color="auto" w:sz="4" w:space="0"/>
            </w:tcBorders>
            <w:vAlign w:val="center"/>
          </w:tcPr>
          <w:p w14:paraId="682AFD11">
            <w:pPr>
              <w:pStyle w:val="34"/>
            </w:pPr>
            <w:r>
              <w:rPr>
                <w:rFonts w:hint="eastAsia"/>
              </w:rPr>
              <w:t>中度危害（</w:t>
            </w:r>
            <w:r>
              <w:t>P3</w:t>
            </w:r>
            <w:r>
              <w:rPr>
                <w:rFonts w:hint="eastAsia"/>
              </w:rPr>
              <w:t>）</w:t>
            </w:r>
          </w:p>
        </w:tc>
        <w:tc>
          <w:tcPr>
            <w:tcW w:w="1707" w:type="dxa"/>
            <w:tcBorders>
              <w:top w:val="single" w:color="auto" w:sz="4" w:space="0"/>
              <w:left w:val="single" w:color="auto" w:sz="4" w:space="0"/>
              <w:bottom w:val="single" w:color="auto" w:sz="4" w:space="0"/>
              <w:right w:val="single" w:color="auto" w:sz="12" w:space="0"/>
            </w:tcBorders>
            <w:shd w:val="clear" w:color="auto" w:fill="FFFFFF"/>
            <w:vAlign w:val="center"/>
          </w:tcPr>
          <w:p w14:paraId="543B73A7">
            <w:pPr>
              <w:pStyle w:val="34"/>
            </w:pPr>
            <w:r>
              <w:rPr>
                <w:rFonts w:hint="eastAsia"/>
              </w:rPr>
              <w:t>轻度危害（</w:t>
            </w:r>
            <w:r>
              <w:t>P4</w:t>
            </w:r>
            <w:r>
              <w:rPr>
                <w:rFonts w:hint="eastAsia"/>
              </w:rPr>
              <w:t>）</w:t>
            </w:r>
          </w:p>
        </w:tc>
      </w:tr>
      <w:tr w14:paraId="08B3EE3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6" w:type="dxa"/>
            <w:tcBorders>
              <w:top w:val="single" w:color="auto" w:sz="4" w:space="0"/>
              <w:left w:val="single" w:color="auto" w:sz="12" w:space="0"/>
              <w:bottom w:val="single" w:color="auto" w:sz="4" w:space="0"/>
              <w:right w:val="single" w:color="auto" w:sz="4" w:space="0"/>
            </w:tcBorders>
            <w:vAlign w:val="center"/>
          </w:tcPr>
          <w:p w14:paraId="6E37CF8C">
            <w:pPr>
              <w:pStyle w:val="34"/>
            </w:pPr>
            <w:r>
              <w:rPr>
                <w:rFonts w:hint="eastAsia"/>
              </w:rPr>
              <w:t>环境高度敏感区（</w:t>
            </w:r>
            <w:r>
              <w:t>E1</w:t>
            </w:r>
            <w:r>
              <w:rPr>
                <w:rFonts w:hint="eastAsia"/>
              </w:rPr>
              <w:t>）</w:t>
            </w:r>
          </w:p>
        </w:tc>
        <w:tc>
          <w:tcPr>
            <w:tcW w:w="1706" w:type="dxa"/>
            <w:tcBorders>
              <w:top w:val="single" w:color="auto" w:sz="4" w:space="0"/>
              <w:left w:val="single" w:color="auto" w:sz="4" w:space="0"/>
              <w:bottom w:val="single" w:color="auto" w:sz="4" w:space="0"/>
              <w:right w:val="single" w:color="auto" w:sz="4" w:space="0"/>
            </w:tcBorders>
            <w:vAlign w:val="center"/>
          </w:tcPr>
          <w:p w14:paraId="6E2219D4">
            <w:pPr>
              <w:pStyle w:val="34"/>
            </w:pPr>
            <w:r>
              <w:t>Ⅳ</w:t>
            </w:r>
            <w:r>
              <w:rPr>
                <w:vertAlign w:val="superscript"/>
              </w:rPr>
              <w:t>+</w:t>
            </w:r>
          </w:p>
        </w:tc>
        <w:tc>
          <w:tcPr>
            <w:tcW w:w="1707" w:type="dxa"/>
            <w:tcBorders>
              <w:top w:val="single" w:color="auto" w:sz="4" w:space="0"/>
              <w:left w:val="single" w:color="auto" w:sz="4" w:space="0"/>
              <w:bottom w:val="single" w:color="auto" w:sz="4" w:space="0"/>
              <w:right w:val="single" w:color="auto" w:sz="4" w:space="0"/>
            </w:tcBorders>
            <w:shd w:val="clear" w:color="auto" w:fill="FFFFFF"/>
            <w:vAlign w:val="center"/>
          </w:tcPr>
          <w:p w14:paraId="2D45D07B">
            <w:pPr>
              <w:pStyle w:val="34"/>
            </w:pPr>
            <w:r>
              <w:t>Ⅳ</w:t>
            </w:r>
          </w:p>
        </w:tc>
        <w:tc>
          <w:tcPr>
            <w:tcW w:w="1707" w:type="dxa"/>
            <w:tcBorders>
              <w:top w:val="single" w:color="auto" w:sz="4" w:space="0"/>
              <w:left w:val="single" w:color="auto" w:sz="4" w:space="0"/>
              <w:bottom w:val="single" w:color="auto" w:sz="4" w:space="0"/>
              <w:right w:val="single" w:color="auto" w:sz="4" w:space="0"/>
            </w:tcBorders>
            <w:vAlign w:val="center"/>
          </w:tcPr>
          <w:p w14:paraId="6A5BB8E7">
            <w:pPr>
              <w:pStyle w:val="34"/>
            </w:pPr>
            <w:r>
              <w:t>Ⅲ</w:t>
            </w:r>
          </w:p>
        </w:tc>
        <w:tc>
          <w:tcPr>
            <w:tcW w:w="1707" w:type="dxa"/>
            <w:tcBorders>
              <w:top w:val="single" w:color="auto" w:sz="4" w:space="0"/>
              <w:left w:val="single" w:color="auto" w:sz="4" w:space="0"/>
              <w:bottom w:val="single" w:color="auto" w:sz="4" w:space="0"/>
              <w:right w:val="single" w:color="auto" w:sz="12" w:space="0"/>
            </w:tcBorders>
            <w:shd w:val="clear" w:color="auto" w:fill="FFFFFF"/>
            <w:vAlign w:val="center"/>
          </w:tcPr>
          <w:p w14:paraId="5BD154ED">
            <w:pPr>
              <w:pStyle w:val="34"/>
            </w:pPr>
            <w:r>
              <w:t>Ⅲ</w:t>
            </w:r>
          </w:p>
        </w:tc>
      </w:tr>
      <w:tr w14:paraId="2B3E823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6" w:type="dxa"/>
            <w:tcBorders>
              <w:top w:val="single" w:color="auto" w:sz="4" w:space="0"/>
              <w:left w:val="single" w:color="auto" w:sz="12" w:space="0"/>
              <w:bottom w:val="single" w:color="auto" w:sz="4" w:space="0"/>
              <w:right w:val="single" w:color="auto" w:sz="4" w:space="0"/>
            </w:tcBorders>
            <w:shd w:val="clear" w:color="auto" w:fill="F1F1F1"/>
            <w:vAlign w:val="center"/>
          </w:tcPr>
          <w:p w14:paraId="79C6F0A6">
            <w:pPr>
              <w:pStyle w:val="34"/>
            </w:pPr>
            <w:r>
              <w:rPr>
                <w:rFonts w:hint="eastAsia"/>
              </w:rPr>
              <w:t>环境中度敏感区（</w:t>
            </w:r>
            <w:r>
              <w:t>E2</w:t>
            </w:r>
            <w:r>
              <w:rPr>
                <w:rFonts w:hint="eastAsia"/>
              </w:rPr>
              <w:t>）</w:t>
            </w:r>
          </w:p>
        </w:tc>
        <w:tc>
          <w:tcPr>
            <w:tcW w:w="1706" w:type="dxa"/>
            <w:tcBorders>
              <w:top w:val="single" w:color="auto" w:sz="4" w:space="0"/>
              <w:left w:val="single" w:color="auto" w:sz="4" w:space="0"/>
              <w:bottom w:val="single" w:color="auto" w:sz="4" w:space="0"/>
              <w:right w:val="single" w:color="auto" w:sz="4" w:space="0"/>
            </w:tcBorders>
            <w:vAlign w:val="center"/>
          </w:tcPr>
          <w:p w14:paraId="600AF861">
            <w:pPr>
              <w:pStyle w:val="34"/>
            </w:pPr>
            <w:r>
              <w:t>Ⅳ</w:t>
            </w:r>
          </w:p>
        </w:tc>
        <w:tc>
          <w:tcPr>
            <w:tcW w:w="1707" w:type="dxa"/>
            <w:tcBorders>
              <w:top w:val="single" w:color="auto" w:sz="4" w:space="0"/>
              <w:left w:val="single" w:color="auto" w:sz="4" w:space="0"/>
              <w:bottom w:val="single" w:color="auto" w:sz="4" w:space="0"/>
              <w:right w:val="single" w:color="auto" w:sz="4" w:space="0"/>
            </w:tcBorders>
            <w:shd w:val="clear" w:color="auto" w:fill="E7E6E6"/>
            <w:vAlign w:val="center"/>
          </w:tcPr>
          <w:p w14:paraId="1FE7869E">
            <w:pPr>
              <w:pStyle w:val="34"/>
            </w:pPr>
            <w:r>
              <w:t>Ⅲ</w:t>
            </w:r>
          </w:p>
        </w:tc>
        <w:tc>
          <w:tcPr>
            <w:tcW w:w="1707" w:type="dxa"/>
            <w:tcBorders>
              <w:top w:val="single" w:color="auto" w:sz="4" w:space="0"/>
              <w:left w:val="single" w:color="auto" w:sz="4" w:space="0"/>
              <w:bottom w:val="single" w:color="auto" w:sz="4" w:space="0"/>
              <w:right w:val="single" w:color="auto" w:sz="4" w:space="0"/>
            </w:tcBorders>
            <w:vAlign w:val="center"/>
          </w:tcPr>
          <w:p w14:paraId="10242C06">
            <w:pPr>
              <w:pStyle w:val="34"/>
            </w:pPr>
            <w:r>
              <w:t>Ⅲ</w:t>
            </w:r>
          </w:p>
        </w:tc>
        <w:tc>
          <w:tcPr>
            <w:tcW w:w="1707" w:type="dxa"/>
            <w:tcBorders>
              <w:top w:val="single" w:color="auto" w:sz="4" w:space="0"/>
              <w:left w:val="single" w:color="auto" w:sz="4" w:space="0"/>
              <w:bottom w:val="single" w:color="auto" w:sz="4" w:space="0"/>
              <w:right w:val="single" w:color="auto" w:sz="12" w:space="0"/>
            </w:tcBorders>
            <w:shd w:val="clear" w:color="auto" w:fill="FFFFFF"/>
            <w:vAlign w:val="center"/>
          </w:tcPr>
          <w:p w14:paraId="56B9A6BD">
            <w:pPr>
              <w:pStyle w:val="34"/>
            </w:pPr>
            <w:r>
              <w:t>Ⅱ</w:t>
            </w:r>
          </w:p>
        </w:tc>
      </w:tr>
      <w:tr w14:paraId="524E4EA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6" w:type="dxa"/>
            <w:tcBorders>
              <w:top w:val="single" w:color="auto" w:sz="4" w:space="0"/>
              <w:left w:val="single" w:color="auto" w:sz="12" w:space="0"/>
              <w:bottom w:val="single" w:color="auto" w:sz="4" w:space="0"/>
              <w:right w:val="single" w:color="auto" w:sz="4" w:space="0"/>
            </w:tcBorders>
            <w:vAlign w:val="center"/>
          </w:tcPr>
          <w:p w14:paraId="181664DB">
            <w:pPr>
              <w:pStyle w:val="34"/>
            </w:pPr>
            <w:r>
              <w:rPr>
                <w:rFonts w:hint="eastAsia"/>
              </w:rPr>
              <w:t>环境低度敏感区（</w:t>
            </w:r>
            <w:r>
              <w:t>E3</w:t>
            </w:r>
            <w:r>
              <w:rPr>
                <w:rFonts w:hint="eastAsia"/>
              </w:rPr>
              <w:t>）</w:t>
            </w:r>
          </w:p>
        </w:tc>
        <w:tc>
          <w:tcPr>
            <w:tcW w:w="1706" w:type="dxa"/>
            <w:tcBorders>
              <w:top w:val="single" w:color="auto" w:sz="4" w:space="0"/>
              <w:left w:val="single" w:color="auto" w:sz="4" w:space="0"/>
              <w:bottom w:val="single" w:color="auto" w:sz="4" w:space="0"/>
              <w:right w:val="single" w:color="auto" w:sz="4" w:space="0"/>
            </w:tcBorders>
            <w:vAlign w:val="center"/>
          </w:tcPr>
          <w:p w14:paraId="2E27D61D">
            <w:pPr>
              <w:pStyle w:val="34"/>
            </w:pPr>
            <w:r>
              <w:t>Ⅲ</w:t>
            </w:r>
          </w:p>
        </w:tc>
        <w:tc>
          <w:tcPr>
            <w:tcW w:w="1707" w:type="dxa"/>
            <w:tcBorders>
              <w:top w:val="single" w:color="auto" w:sz="4" w:space="0"/>
              <w:left w:val="single" w:color="auto" w:sz="4" w:space="0"/>
              <w:bottom w:val="single" w:color="auto" w:sz="4" w:space="0"/>
              <w:right w:val="single" w:color="auto" w:sz="4" w:space="0"/>
            </w:tcBorders>
            <w:vAlign w:val="center"/>
          </w:tcPr>
          <w:p w14:paraId="494DE4FC">
            <w:pPr>
              <w:pStyle w:val="34"/>
            </w:pPr>
            <w:r>
              <w:t>Ⅲ</w:t>
            </w:r>
          </w:p>
        </w:tc>
        <w:tc>
          <w:tcPr>
            <w:tcW w:w="1707" w:type="dxa"/>
            <w:tcBorders>
              <w:top w:val="single" w:color="auto" w:sz="4" w:space="0"/>
              <w:left w:val="single" w:color="auto" w:sz="4" w:space="0"/>
              <w:bottom w:val="single" w:color="auto" w:sz="4" w:space="0"/>
              <w:right w:val="single" w:color="auto" w:sz="4" w:space="0"/>
            </w:tcBorders>
            <w:vAlign w:val="center"/>
          </w:tcPr>
          <w:p w14:paraId="4C567834">
            <w:pPr>
              <w:pStyle w:val="34"/>
            </w:pPr>
            <w:r>
              <w:t>Ⅱ</w:t>
            </w:r>
          </w:p>
        </w:tc>
        <w:tc>
          <w:tcPr>
            <w:tcW w:w="1707" w:type="dxa"/>
            <w:tcBorders>
              <w:top w:val="single" w:color="auto" w:sz="4" w:space="0"/>
              <w:left w:val="single" w:color="auto" w:sz="4" w:space="0"/>
              <w:bottom w:val="single" w:color="auto" w:sz="4" w:space="0"/>
              <w:right w:val="single" w:color="auto" w:sz="12" w:space="0"/>
            </w:tcBorders>
            <w:vAlign w:val="center"/>
          </w:tcPr>
          <w:p w14:paraId="2C4E48DF">
            <w:pPr>
              <w:pStyle w:val="34"/>
            </w:pPr>
            <w:r>
              <w:t>Ⅰ</w:t>
            </w:r>
          </w:p>
        </w:tc>
      </w:tr>
      <w:tr w14:paraId="3B92441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33" w:type="dxa"/>
            <w:gridSpan w:val="5"/>
            <w:tcBorders>
              <w:top w:val="single" w:color="auto" w:sz="4" w:space="0"/>
              <w:left w:val="single" w:color="auto" w:sz="12" w:space="0"/>
              <w:bottom w:val="single" w:color="auto" w:sz="12" w:space="0"/>
              <w:right w:val="single" w:color="auto" w:sz="12" w:space="0"/>
            </w:tcBorders>
            <w:vAlign w:val="center"/>
          </w:tcPr>
          <w:p w14:paraId="212C4CFD">
            <w:pPr>
              <w:pStyle w:val="34"/>
            </w:pPr>
            <w:r>
              <w:rPr>
                <w:rFonts w:hint="eastAsia"/>
              </w:rPr>
              <w:t>注：</w:t>
            </w:r>
            <w:r>
              <w:t>Ⅳ</w:t>
            </w:r>
            <w:r>
              <w:rPr>
                <w:vertAlign w:val="superscript"/>
              </w:rPr>
              <w:t>+</w:t>
            </w:r>
            <w:r>
              <w:rPr>
                <w:rFonts w:hint="eastAsia"/>
              </w:rPr>
              <w:t>为极高环境风险</w:t>
            </w:r>
          </w:p>
        </w:tc>
      </w:tr>
    </w:tbl>
    <w:p w14:paraId="754B6A24">
      <w:pPr>
        <w:pStyle w:val="7"/>
      </w:pPr>
      <w:r>
        <w:rPr>
          <w:rFonts w:hint="eastAsia"/>
        </w:rPr>
        <w:t>评价工作等级划分</w:t>
      </w:r>
    </w:p>
    <w:tbl>
      <w:tblPr>
        <w:tblStyle w:val="88"/>
        <w:tblW w:w="8535" w:type="dxa"/>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7"/>
        <w:gridCol w:w="1708"/>
        <w:gridCol w:w="1706"/>
        <w:gridCol w:w="1707"/>
        <w:gridCol w:w="1707"/>
      </w:tblGrid>
      <w:tr w14:paraId="56E8E77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6" w:type="dxa"/>
            <w:tcBorders>
              <w:top w:val="single" w:color="auto" w:sz="12" w:space="0"/>
              <w:left w:val="single" w:color="auto" w:sz="12" w:space="0"/>
              <w:bottom w:val="single" w:color="auto" w:sz="4" w:space="0"/>
              <w:right w:val="single" w:color="auto" w:sz="4" w:space="0"/>
            </w:tcBorders>
            <w:vAlign w:val="center"/>
          </w:tcPr>
          <w:p w14:paraId="6933D8F8">
            <w:pPr>
              <w:pStyle w:val="34"/>
            </w:pPr>
            <w:r>
              <w:rPr>
                <w:rFonts w:hint="eastAsia"/>
              </w:rPr>
              <w:t>环境风险潜势</w:t>
            </w:r>
          </w:p>
        </w:tc>
        <w:tc>
          <w:tcPr>
            <w:tcW w:w="1707" w:type="dxa"/>
            <w:tcBorders>
              <w:top w:val="single" w:color="auto" w:sz="12" w:space="0"/>
              <w:left w:val="single" w:color="auto" w:sz="4" w:space="0"/>
              <w:bottom w:val="single" w:color="auto" w:sz="4" w:space="0"/>
              <w:right w:val="single" w:color="auto" w:sz="4" w:space="0"/>
            </w:tcBorders>
            <w:vAlign w:val="center"/>
          </w:tcPr>
          <w:p w14:paraId="05177F89">
            <w:pPr>
              <w:pStyle w:val="34"/>
            </w:pPr>
            <w:r>
              <w:t>Ⅳ</w:t>
            </w:r>
            <w:r>
              <w:rPr>
                <w:rFonts w:hint="eastAsia"/>
              </w:rPr>
              <w:t>、</w:t>
            </w:r>
            <w:r>
              <w:t>Ⅳ</w:t>
            </w:r>
            <w:r>
              <w:rPr>
                <w:vertAlign w:val="superscript"/>
              </w:rPr>
              <w:t>+</w:t>
            </w:r>
          </w:p>
        </w:tc>
        <w:tc>
          <w:tcPr>
            <w:tcW w:w="1706" w:type="dxa"/>
            <w:tcBorders>
              <w:top w:val="single" w:color="auto" w:sz="12" w:space="0"/>
              <w:left w:val="single" w:color="auto" w:sz="4" w:space="0"/>
              <w:bottom w:val="single" w:color="auto" w:sz="4" w:space="0"/>
              <w:right w:val="single" w:color="auto" w:sz="4" w:space="0"/>
            </w:tcBorders>
            <w:shd w:val="clear" w:color="auto" w:fill="E7E6E6"/>
            <w:vAlign w:val="center"/>
          </w:tcPr>
          <w:p w14:paraId="71844B49">
            <w:pPr>
              <w:pStyle w:val="34"/>
            </w:pPr>
            <w:r>
              <w:t>Ⅲ</w:t>
            </w:r>
          </w:p>
        </w:tc>
        <w:tc>
          <w:tcPr>
            <w:tcW w:w="1707" w:type="dxa"/>
            <w:tcBorders>
              <w:top w:val="single" w:color="auto" w:sz="12" w:space="0"/>
              <w:left w:val="single" w:color="auto" w:sz="4" w:space="0"/>
              <w:bottom w:val="single" w:color="auto" w:sz="4" w:space="0"/>
              <w:right w:val="single" w:color="auto" w:sz="4" w:space="0"/>
            </w:tcBorders>
            <w:shd w:val="clear" w:color="auto" w:fill="FFFFFF"/>
            <w:vAlign w:val="center"/>
          </w:tcPr>
          <w:p w14:paraId="7B492946">
            <w:pPr>
              <w:pStyle w:val="34"/>
            </w:pPr>
            <w:r>
              <w:t>Ⅱ</w:t>
            </w:r>
          </w:p>
        </w:tc>
        <w:tc>
          <w:tcPr>
            <w:tcW w:w="1707" w:type="dxa"/>
            <w:tcBorders>
              <w:top w:val="single" w:color="auto" w:sz="12" w:space="0"/>
              <w:left w:val="single" w:color="auto" w:sz="4" w:space="0"/>
              <w:bottom w:val="single" w:color="auto" w:sz="4" w:space="0"/>
              <w:right w:val="single" w:color="auto" w:sz="12" w:space="0"/>
            </w:tcBorders>
            <w:vAlign w:val="center"/>
          </w:tcPr>
          <w:p w14:paraId="40C16913">
            <w:pPr>
              <w:pStyle w:val="34"/>
            </w:pPr>
            <w:r>
              <w:t>Ⅰ</w:t>
            </w:r>
          </w:p>
        </w:tc>
      </w:tr>
      <w:tr w14:paraId="4C961A3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6" w:type="dxa"/>
            <w:tcBorders>
              <w:top w:val="single" w:color="auto" w:sz="4" w:space="0"/>
              <w:left w:val="single" w:color="auto" w:sz="12" w:space="0"/>
              <w:bottom w:val="single" w:color="auto" w:sz="4" w:space="0"/>
              <w:right w:val="single" w:color="auto" w:sz="4" w:space="0"/>
            </w:tcBorders>
            <w:vAlign w:val="center"/>
          </w:tcPr>
          <w:p w14:paraId="40050A8A">
            <w:pPr>
              <w:pStyle w:val="34"/>
            </w:pPr>
            <w:r>
              <w:rPr>
                <w:rFonts w:hint="eastAsia"/>
              </w:rPr>
              <w:t>评价工作等级</w:t>
            </w:r>
          </w:p>
        </w:tc>
        <w:tc>
          <w:tcPr>
            <w:tcW w:w="1707" w:type="dxa"/>
            <w:tcBorders>
              <w:top w:val="single" w:color="auto" w:sz="4" w:space="0"/>
              <w:left w:val="single" w:color="auto" w:sz="4" w:space="0"/>
              <w:bottom w:val="single" w:color="auto" w:sz="4" w:space="0"/>
              <w:right w:val="single" w:color="auto" w:sz="4" w:space="0"/>
            </w:tcBorders>
            <w:vAlign w:val="center"/>
          </w:tcPr>
          <w:p w14:paraId="1C721418">
            <w:pPr>
              <w:pStyle w:val="34"/>
            </w:pPr>
            <w:r>
              <w:rPr>
                <w:rFonts w:hint="eastAsia"/>
              </w:rPr>
              <w:t>一</w:t>
            </w:r>
          </w:p>
        </w:tc>
        <w:tc>
          <w:tcPr>
            <w:tcW w:w="1706" w:type="dxa"/>
            <w:tcBorders>
              <w:top w:val="single" w:color="auto" w:sz="4" w:space="0"/>
              <w:left w:val="single" w:color="auto" w:sz="4" w:space="0"/>
              <w:bottom w:val="single" w:color="auto" w:sz="4" w:space="0"/>
              <w:right w:val="single" w:color="auto" w:sz="4" w:space="0"/>
            </w:tcBorders>
            <w:shd w:val="clear" w:color="auto" w:fill="E7E6E6"/>
            <w:vAlign w:val="center"/>
          </w:tcPr>
          <w:p w14:paraId="5F79ACE4">
            <w:pPr>
              <w:pStyle w:val="34"/>
            </w:pPr>
            <w:r>
              <w:rPr>
                <w:rFonts w:hint="eastAsia"/>
              </w:rPr>
              <w:t>二</w:t>
            </w:r>
          </w:p>
        </w:tc>
        <w:tc>
          <w:tcPr>
            <w:tcW w:w="1707" w:type="dxa"/>
            <w:tcBorders>
              <w:top w:val="single" w:color="auto" w:sz="4" w:space="0"/>
              <w:left w:val="single" w:color="auto" w:sz="4" w:space="0"/>
              <w:bottom w:val="single" w:color="auto" w:sz="4" w:space="0"/>
              <w:right w:val="single" w:color="auto" w:sz="4" w:space="0"/>
            </w:tcBorders>
            <w:shd w:val="clear" w:color="auto" w:fill="FFFFFF"/>
            <w:vAlign w:val="center"/>
          </w:tcPr>
          <w:p w14:paraId="59EA8E4E">
            <w:pPr>
              <w:pStyle w:val="34"/>
            </w:pPr>
            <w:r>
              <w:rPr>
                <w:rFonts w:hint="eastAsia"/>
              </w:rPr>
              <w:t>三</w:t>
            </w:r>
          </w:p>
        </w:tc>
        <w:tc>
          <w:tcPr>
            <w:tcW w:w="1707" w:type="dxa"/>
            <w:tcBorders>
              <w:top w:val="single" w:color="auto" w:sz="4" w:space="0"/>
              <w:left w:val="single" w:color="auto" w:sz="4" w:space="0"/>
              <w:bottom w:val="single" w:color="auto" w:sz="4" w:space="0"/>
              <w:right w:val="single" w:color="auto" w:sz="12" w:space="0"/>
            </w:tcBorders>
            <w:vAlign w:val="center"/>
          </w:tcPr>
          <w:p w14:paraId="16621A42">
            <w:pPr>
              <w:pStyle w:val="34"/>
            </w:pPr>
            <w:r>
              <w:rPr>
                <w:rFonts w:hint="eastAsia"/>
              </w:rPr>
              <w:t>简单分析</w:t>
            </w:r>
            <w:r>
              <w:rPr>
                <w:vertAlign w:val="superscript"/>
              </w:rPr>
              <w:t>a</w:t>
            </w:r>
          </w:p>
        </w:tc>
      </w:tr>
      <w:tr w14:paraId="0BC5447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33" w:type="dxa"/>
            <w:gridSpan w:val="5"/>
            <w:tcBorders>
              <w:top w:val="single" w:color="auto" w:sz="4" w:space="0"/>
              <w:left w:val="single" w:color="auto" w:sz="12" w:space="0"/>
              <w:bottom w:val="single" w:color="auto" w:sz="12" w:space="0"/>
              <w:right w:val="single" w:color="auto" w:sz="12" w:space="0"/>
            </w:tcBorders>
            <w:vAlign w:val="center"/>
          </w:tcPr>
          <w:p w14:paraId="35795BD8">
            <w:pPr>
              <w:pStyle w:val="34"/>
            </w:pPr>
            <w:r>
              <w:rPr>
                <w:vertAlign w:val="superscript"/>
              </w:rPr>
              <w:t>a</w:t>
            </w:r>
            <w:r>
              <w:rPr>
                <w:rFonts w:hint="eastAsia"/>
              </w:rPr>
              <w:t>是相对于详细评价工作内容而言，在描述危险物质、环境影响途径、环境危害后果、风险防范措施等方面给出定性的说明。见附录</w:t>
            </w:r>
            <w:r>
              <w:t>A</w:t>
            </w:r>
            <w:r>
              <w:rPr>
                <w:rFonts w:hint="eastAsia"/>
              </w:rPr>
              <w:t>。</w:t>
            </w:r>
          </w:p>
        </w:tc>
      </w:tr>
    </w:tbl>
    <w:p w14:paraId="29E0384A">
      <w:pPr>
        <w:tabs>
          <w:tab w:val="left" w:pos="7488"/>
        </w:tabs>
        <w:snapToGrid w:val="0"/>
        <w:spacing w:line="348" w:lineRule="auto"/>
        <w:ind w:firstLine="462"/>
        <w:rPr>
          <w:rFonts w:cs="宋体"/>
          <w:lang w:bidi="ar"/>
        </w:rPr>
      </w:pPr>
      <w:r>
        <w:rPr>
          <w:rFonts w:hint="eastAsia" w:cs="宋体"/>
          <w:lang w:bidi="ar"/>
        </w:rPr>
        <w:t>根据</w:t>
      </w:r>
      <w:r>
        <w:rPr>
          <w:lang w:bidi="ar"/>
        </w:rPr>
        <w:t>HJ169-2018</w:t>
      </w:r>
      <w:r>
        <w:rPr>
          <w:rFonts w:hint="eastAsia" w:cs="宋体"/>
          <w:lang w:bidi="ar"/>
        </w:rPr>
        <w:t>，项目大气环境敏感程度分级为</w:t>
      </w:r>
      <w:r>
        <w:rPr>
          <w:lang w:bidi="ar"/>
        </w:rPr>
        <w:t>E3</w:t>
      </w:r>
      <w:r>
        <w:rPr>
          <w:rFonts w:hint="eastAsia" w:cs="宋体"/>
          <w:lang w:bidi="ar"/>
        </w:rPr>
        <w:t>环境低度敏感区、海洋环境敏感程度分级为</w:t>
      </w:r>
      <w:r>
        <w:rPr>
          <w:lang w:bidi="ar"/>
        </w:rPr>
        <w:t>E</w:t>
      </w:r>
      <w:r>
        <w:rPr>
          <w:rFonts w:hint="eastAsia"/>
          <w:lang w:bidi="ar"/>
        </w:rPr>
        <w:t>3</w:t>
      </w:r>
      <w:r>
        <w:rPr>
          <w:rFonts w:hint="eastAsia" w:cs="宋体"/>
          <w:lang w:bidi="ar"/>
        </w:rPr>
        <w:t>环境低度敏感区、地下水环境敏感程度分级为</w:t>
      </w:r>
      <w:r>
        <w:rPr>
          <w:lang w:bidi="ar"/>
        </w:rPr>
        <w:t>E2</w:t>
      </w:r>
      <w:r>
        <w:rPr>
          <w:rFonts w:hint="eastAsia" w:cs="宋体"/>
          <w:lang w:bidi="ar"/>
        </w:rPr>
        <w:t>环境低度敏感区，危险物质及工艺系统危险性等级为</w:t>
      </w:r>
      <w:r>
        <w:rPr>
          <w:lang w:bidi="ar"/>
        </w:rPr>
        <w:t>P2</w:t>
      </w:r>
      <w:r>
        <w:rPr>
          <w:rFonts w:hint="eastAsia" w:cs="宋体"/>
          <w:lang w:bidi="ar"/>
        </w:rPr>
        <w:t>，项目环境风险潜势综合等级为Ⅲ，项目环境风险综合评价等级为二级。</w:t>
      </w:r>
      <w:bookmarkEnd w:id="106"/>
    </w:p>
    <w:p w14:paraId="2E5DE322">
      <w:pPr>
        <w:pStyle w:val="5"/>
        <w:rPr>
          <w:lang w:bidi="ar"/>
        </w:rPr>
      </w:pPr>
      <w:r>
        <w:rPr>
          <w:rFonts w:hint="eastAsia"/>
          <w:lang w:bidi="ar"/>
        </w:rPr>
        <w:t>评价等级小结</w:t>
      </w:r>
    </w:p>
    <w:p w14:paraId="26B348E0">
      <w:pPr>
        <w:ind w:firstLine="462"/>
        <w:rPr>
          <w:lang w:bidi="ar"/>
        </w:rPr>
      </w:pPr>
      <w:r>
        <w:rPr>
          <w:rFonts w:hint="eastAsia"/>
          <w:lang w:bidi="ar"/>
        </w:rPr>
        <w:t>综上所述，项目各要素评价等级如下：</w:t>
      </w:r>
    </w:p>
    <w:p w14:paraId="1DED0FCA">
      <w:pPr>
        <w:pStyle w:val="7"/>
      </w:pPr>
      <w:r>
        <w:t>评价等级划分一览表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68"/>
        <w:gridCol w:w="2339"/>
        <w:gridCol w:w="2965"/>
        <w:gridCol w:w="1870"/>
      </w:tblGrid>
      <w:tr w14:paraId="2863EA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00" w:type="pct"/>
            <w:tcMar>
              <w:left w:w="0" w:type="dxa"/>
              <w:right w:w="0" w:type="dxa"/>
            </w:tcMar>
            <w:vAlign w:val="center"/>
          </w:tcPr>
          <w:p w14:paraId="2A83772D">
            <w:pPr>
              <w:pStyle w:val="34"/>
            </w:pPr>
            <w:r>
              <w:t>环境要素</w:t>
            </w:r>
          </w:p>
        </w:tc>
        <w:tc>
          <w:tcPr>
            <w:tcW w:w="1402" w:type="pct"/>
            <w:tcMar>
              <w:left w:w="0" w:type="dxa"/>
              <w:right w:w="0" w:type="dxa"/>
            </w:tcMar>
            <w:vAlign w:val="center"/>
          </w:tcPr>
          <w:p w14:paraId="107FB512">
            <w:pPr>
              <w:pStyle w:val="34"/>
            </w:pPr>
            <w:r>
              <w:t>评价导则</w:t>
            </w:r>
          </w:p>
        </w:tc>
        <w:tc>
          <w:tcPr>
            <w:tcW w:w="1777" w:type="pct"/>
            <w:tcMar>
              <w:left w:w="0" w:type="dxa"/>
              <w:right w:w="0" w:type="dxa"/>
            </w:tcMar>
            <w:vAlign w:val="center"/>
          </w:tcPr>
          <w:p w14:paraId="0E521E1A">
            <w:pPr>
              <w:pStyle w:val="34"/>
            </w:pPr>
            <w:r>
              <w:t>判定依据</w:t>
            </w:r>
          </w:p>
        </w:tc>
        <w:tc>
          <w:tcPr>
            <w:tcW w:w="1122" w:type="pct"/>
            <w:tcMar>
              <w:left w:w="0" w:type="dxa"/>
              <w:right w:w="0" w:type="dxa"/>
            </w:tcMar>
            <w:vAlign w:val="center"/>
          </w:tcPr>
          <w:p w14:paraId="7F598583">
            <w:pPr>
              <w:pStyle w:val="34"/>
            </w:pPr>
            <w:r>
              <w:t>分项判定等级</w:t>
            </w:r>
          </w:p>
        </w:tc>
      </w:tr>
      <w:tr w14:paraId="0AA261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78" w:hRule="atLeast"/>
          <w:jc w:val="center"/>
        </w:trPr>
        <w:tc>
          <w:tcPr>
            <w:tcW w:w="700" w:type="pct"/>
            <w:tcMar>
              <w:left w:w="0" w:type="dxa"/>
              <w:right w:w="0" w:type="dxa"/>
            </w:tcMar>
            <w:vAlign w:val="center"/>
          </w:tcPr>
          <w:p w14:paraId="1C15D6B4">
            <w:pPr>
              <w:pStyle w:val="34"/>
              <w:rPr>
                <w:snapToGrid w:val="0"/>
              </w:rPr>
            </w:pPr>
            <w:r>
              <w:rPr>
                <w:rFonts w:hint="eastAsia"/>
                <w:snapToGrid w:val="0"/>
              </w:rPr>
              <w:t>海洋</w:t>
            </w:r>
          </w:p>
          <w:p w14:paraId="0CDA67CC">
            <w:pPr>
              <w:pStyle w:val="34"/>
              <w:rPr>
                <w:snapToGrid w:val="0"/>
              </w:rPr>
            </w:pPr>
            <w:r>
              <w:rPr>
                <w:rFonts w:hint="eastAsia"/>
                <w:snapToGrid w:val="0"/>
              </w:rPr>
              <w:t>生态</w:t>
            </w:r>
          </w:p>
        </w:tc>
        <w:tc>
          <w:tcPr>
            <w:tcW w:w="1402" w:type="pct"/>
            <w:tcMar>
              <w:left w:w="0" w:type="dxa"/>
              <w:right w:w="0" w:type="dxa"/>
            </w:tcMar>
            <w:vAlign w:val="center"/>
          </w:tcPr>
          <w:p w14:paraId="31CCBDA0">
            <w:pPr>
              <w:pStyle w:val="34"/>
            </w:pPr>
            <w:r>
              <w:rPr>
                <w:rFonts w:hint="eastAsia"/>
              </w:rPr>
              <w:t>《环境影响评价技术导则 海洋生态环境》（HJ 1409</w:t>
            </w:r>
            <w:r>
              <w:t>-20</w:t>
            </w:r>
            <w:r>
              <w:rPr>
                <w:rFonts w:hint="eastAsia"/>
              </w:rPr>
              <w:t>25）</w:t>
            </w:r>
          </w:p>
        </w:tc>
        <w:tc>
          <w:tcPr>
            <w:tcW w:w="1777" w:type="pct"/>
            <w:tcMar>
              <w:left w:w="0" w:type="dxa"/>
              <w:right w:w="0" w:type="dxa"/>
            </w:tcMar>
            <w:vAlign w:val="center"/>
          </w:tcPr>
          <w:p w14:paraId="169365AA">
            <w:pPr>
              <w:pStyle w:val="34"/>
            </w:pPr>
            <w:r>
              <w:rPr>
                <w:rFonts w:hint="eastAsia"/>
              </w:rPr>
              <w:t>根据《环境影响评价技术导则 海洋生态环境》（HJ 1409</w:t>
            </w:r>
            <w:r>
              <w:t>-20</w:t>
            </w:r>
            <w:r>
              <w:rPr>
                <w:rFonts w:hint="eastAsia"/>
              </w:rPr>
              <w:t>25），水下开挖量100≤Q＜500万m³为2级评级，水下炸礁量0.2~6万m³为2级评价。</w:t>
            </w:r>
          </w:p>
        </w:tc>
        <w:tc>
          <w:tcPr>
            <w:tcW w:w="1122" w:type="pct"/>
            <w:tcMar>
              <w:left w:w="0" w:type="dxa"/>
              <w:right w:w="0" w:type="dxa"/>
            </w:tcMar>
            <w:vAlign w:val="center"/>
          </w:tcPr>
          <w:p w14:paraId="2FAFE9A0">
            <w:pPr>
              <w:pStyle w:val="34"/>
            </w:pPr>
            <w:r>
              <w:rPr>
                <w:rFonts w:hint="eastAsia"/>
              </w:rPr>
              <w:t>海洋生态2级</w:t>
            </w:r>
          </w:p>
        </w:tc>
      </w:tr>
      <w:tr w14:paraId="120E93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78" w:hRule="atLeast"/>
          <w:jc w:val="center"/>
        </w:trPr>
        <w:tc>
          <w:tcPr>
            <w:tcW w:w="700" w:type="pct"/>
            <w:tcMar>
              <w:left w:w="0" w:type="dxa"/>
              <w:right w:w="0" w:type="dxa"/>
            </w:tcMar>
            <w:vAlign w:val="center"/>
          </w:tcPr>
          <w:p w14:paraId="128F355E">
            <w:pPr>
              <w:pStyle w:val="34"/>
              <w:rPr>
                <w:snapToGrid w:val="0"/>
              </w:rPr>
            </w:pPr>
            <w:r>
              <w:rPr>
                <w:rFonts w:hint="eastAsia"/>
                <w:snapToGrid w:val="0"/>
              </w:rPr>
              <w:t>地表水环境</w:t>
            </w:r>
          </w:p>
        </w:tc>
        <w:tc>
          <w:tcPr>
            <w:tcW w:w="1402" w:type="pct"/>
            <w:tcMar>
              <w:left w:w="0" w:type="dxa"/>
              <w:right w:w="0" w:type="dxa"/>
            </w:tcMar>
            <w:vAlign w:val="center"/>
          </w:tcPr>
          <w:p w14:paraId="1AFF1198">
            <w:pPr>
              <w:pStyle w:val="34"/>
            </w:pPr>
            <w:r>
              <w:t>《环境影响评价技术导则 地表水环境》（HJ2.3-2018）</w:t>
            </w:r>
          </w:p>
        </w:tc>
        <w:tc>
          <w:tcPr>
            <w:tcW w:w="1777" w:type="pct"/>
            <w:tcMar>
              <w:left w:w="0" w:type="dxa"/>
              <w:right w:w="0" w:type="dxa"/>
            </w:tcMar>
            <w:vAlign w:val="center"/>
          </w:tcPr>
          <w:p w14:paraId="4652C1C5">
            <w:pPr>
              <w:pStyle w:val="34"/>
            </w:pPr>
            <w:r>
              <w:rPr>
                <w:rFonts w:hint="eastAsia"/>
              </w:rPr>
              <w:t>本工程不设置排污口，运营期生活污水接入市政管网，评价等级为水污染型建设项目三级B。</w:t>
            </w:r>
          </w:p>
        </w:tc>
        <w:tc>
          <w:tcPr>
            <w:tcW w:w="1122" w:type="pct"/>
            <w:tcMar>
              <w:left w:w="0" w:type="dxa"/>
              <w:right w:w="0" w:type="dxa"/>
            </w:tcMar>
            <w:vAlign w:val="center"/>
          </w:tcPr>
          <w:p w14:paraId="6FE07C54">
            <w:pPr>
              <w:pStyle w:val="34"/>
              <w:rPr>
                <w:lang w:val="zh-CN"/>
              </w:rPr>
            </w:pPr>
            <w:r>
              <w:t>水污染三级B</w:t>
            </w:r>
          </w:p>
        </w:tc>
      </w:tr>
      <w:tr w14:paraId="6E137C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0" w:type="pct"/>
            <w:tcMar>
              <w:left w:w="0" w:type="dxa"/>
              <w:right w:w="0" w:type="dxa"/>
            </w:tcMar>
            <w:vAlign w:val="center"/>
          </w:tcPr>
          <w:p w14:paraId="544098B7">
            <w:pPr>
              <w:pStyle w:val="34"/>
              <w:rPr>
                <w:snapToGrid w:val="0"/>
              </w:rPr>
            </w:pPr>
            <w:r>
              <w:rPr>
                <w:snapToGrid w:val="0"/>
              </w:rPr>
              <w:t>地下水</w:t>
            </w:r>
          </w:p>
          <w:p w14:paraId="4D2F794C">
            <w:pPr>
              <w:pStyle w:val="34"/>
              <w:rPr>
                <w:snapToGrid w:val="0"/>
              </w:rPr>
            </w:pPr>
            <w:r>
              <w:rPr>
                <w:snapToGrid w:val="0"/>
              </w:rPr>
              <w:t>环境</w:t>
            </w:r>
          </w:p>
        </w:tc>
        <w:tc>
          <w:tcPr>
            <w:tcW w:w="1402" w:type="pct"/>
            <w:tcMar>
              <w:left w:w="0" w:type="dxa"/>
              <w:right w:w="0" w:type="dxa"/>
            </w:tcMar>
            <w:vAlign w:val="center"/>
          </w:tcPr>
          <w:p w14:paraId="314D4A21">
            <w:pPr>
              <w:pStyle w:val="34"/>
            </w:pPr>
            <w:r>
              <w:t>《环境影响评价技术导则 地下水环境》</w:t>
            </w:r>
          </w:p>
          <w:p w14:paraId="7D218E94">
            <w:pPr>
              <w:pStyle w:val="34"/>
            </w:pPr>
            <w:r>
              <w:t>（HJ610-2016）</w:t>
            </w:r>
          </w:p>
        </w:tc>
        <w:tc>
          <w:tcPr>
            <w:tcW w:w="1777" w:type="pct"/>
            <w:tcMar>
              <w:left w:w="0" w:type="dxa"/>
              <w:right w:w="0" w:type="dxa"/>
            </w:tcMar>
            <w:vAlign w:val="center"/>
          </w:tcPr>
          <w:p w14:paraId="0B67C59F">
            <w:pPr>
              <w:pStyle w:val="34"/>
            </w:pPr>
            <w:r>
              <w:t>本项目属于</w:t>
            </w:r>
            <w:r>
              <w:rPr>
                <w:rFonts w:hint="eastAsia" w:ascii="宋体" w:hAnsi="宋体"/>
              </w:rPr>
              <w:t>II</w:t>
            </w:r>
            <w:r>
              <w:t>类项目，</w:t>
            </w:r>
            <w:r>
              <w:rPr>
                <w:rFonts w:hint="eastAsia"/>
              </w:rPr>
              <w:t>地下水敏感程度为不敏感，三级</w:t>
            </w:r>
            <w:r>
              <w:t>。</w:t>
            </w:r>
          </w:p>
        </w:tc>
        <w:tc>
          <w:tcPr>
            <w:tcW w:w="1122" w:type="pct"/>
            <w:tcMar>
              <w:left w:w="0" w:type="dxa"/>
              <w:right w:w="0" w:type="dxa"/>
            </w:tcMar>
            <w:vAlign w:val="center"/>
          </w:tcPr>
          <w:p w14:paraId="27150FFF">
            <w:pPr>
              <w:pStyle w:val="34"/>
            </w:pPr>
            <w:r>
              <w:t>三级</w:t>
            </w:r>
          </w:p>
        </w:tc>
      </w:tr>
      <w:tr w14:paraId="62ED2D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700" w:type="pct"/>
            <w:tcMar>
              <w:left w:w="0" w:type="dxa"/>
              <w:right w:w="0" w:type="dxa"/>
            </w:tcMar>
            <w:vAlign w:val="center"/>
          </w:tcPr>
          <w:p w14:paraId="7C8B1DCB">
            <w:pPr>
              <w:pStyle w:val="34"/>
              <w:rPr>
                <w:snapToGrid w:val="0"/>
              </w:rPr>
            </w:pPr>
            <w:r>
              <w:rPr>
                <w:snapToGrid w:val="0"/>
              </w:rPr>
              <w:t>生态环境</w:t>
            </w:r>
          </w:p>
        </w:tc>
        <w:tc>
          <w:tcPr>
            <w:tcW w:w="1402" w:type="pct"/>
            <w:tcMar>
              <w:left w:w="0" w:type="dxa"/>
              <w:right w:w="0" w:type="dxa"/>
            </w:tcMar>
            <w:vAlign w:val="center"/>
          </w:tcPr>
          <w:p w14:paraId="0002E691">
            <w:pPr>
              <w:pStyle w:val="34"/>
            </w:pPr>
            <w:r>
              <w:t>《环境影响评价技术导则</w:t>
            </w:r>
            <w:r>
              <w:rPr>
                <w:rFonts w:hint="eastAsia"/>
              </w:rPr>
              <w:t>－</w:t>
            </w:r>
            <w:r>
              <w:t>生态影响》（HJ19-2022）</w:t>
            </w:r>
          </w:p>
        </w:tc>
        <w:tc>
          <w:tcPr>
            <w:tcW w:w="1777" w:type="pct"/>
            <w:tcMar>
              <w:left w:w="0" w:type="dxa"/>
              <w:right w:w="0" w:type="dxa"/>
            </w:tcMar>
            <w:vAlign w:val="center"/>
          </w:tcPr>
          <w:p w14:paraId="0A53F8DC">
            <w:pPr>
              <w:pStyle w:val="34"/>
            </w:pPr>
            <w:r>
              <w:t>本工程不涉及导则6.1.2所列条件，陆生生态评价等级为三级。</w:t>
            </w:r>
          </w:p>
        </w:tc>
        <w:tc>
          <w:tcPr>
            <w:tcW w:w="1122" w:type="pct"/>
            <w:tcMar>
              <w:left w:w="0" w:type="dxa"/>
              <w:right w:w="0" w:type="dxa"/>
            </w:tcMar>
            <w:vAlign w:val="center"/>
          </w:tcPr>
          <w:p w14:paraId="527EBB88">
            <w:pPr>
              <w:pStyle w:val="34"/>
            </w:pPr>
            <w:r>
              <w:t>三级</w:t>
            </w:r>
          </w:p>
        </w:tc>
      </w:tr>
      <w:tr w14:paraId="56FF0E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0" w:type="pct"/>
            <w:tcMar>
              <w:left w:w="0" w:type="dxa"/>
              <w:right w:w="0" w:type="dxa"/>
            </w:tcMar>
            <w:vAlign w:val="center"/>
          </w:tcPr>
          <w:p w14:paraId="3FE98B8E">
            <w:pPr>
              <w:pStyle w:val="34"/>
            </w:pPr>
            <w:r>
              <w:t>环境空气</w:t>
            </w:r>
          </w:p>
        </w:tc>
        <w:tc>
          <w:tcPr>
            <w:tcW w:w="1402" w:type="pct"/>
            <w:tcMar>
              <w:left w:w="0" w:type="dxa"/>
              <w:right w:w="0" w:type="dxa"/>
            </w:tcMar>
            <w:vAlign w:val="center"/>
          </w:tcPr>
          <w:p w14:paraId="7D9B9961">
            <w:pPr>
              <w:pStyle w:val="34"/>
            </w:pPr>
            <w:r>
              <w:t>《环境影响评价技术导则 大气环境》</w:t>
            </w:r>
          </w:p>
          <w:p w14:paraId="5558136D">
            <w:pPr>
              <w:pStyle w:val="34"/>
            </w:pPr>
            <w:r>
              <w:t>（HJ2.2-2018）</w:t>
            </w:r>
          </w:p>
        </w:tc>
        <w:tc>
          <w:tcPr>
            <w:tcW w:w="1777" w:type="pct"/>
            <w:tcMar>
              <w:left w:w="0" w:type="dxa"/>
              <w:right w:w="0" w:type="dxa"/>
            </w:tcMar>
            <w:vAlign w:val="center"/>
          </w:tcPr>
          <w:p w14:paraId="2EEE19BC">
            <w:pPr>
              <w:pStyle w:val="34"/>
            </w:pPr>
            <w:r>
              <w:t>经核算，本项目各污染源P</w:t>
            </w:r>
            <w:r>
              <w:rPr>
                <w:vertAlign w:val="subscript"/>
              </w:rPr>
              <w:t>max</w:t>
            </w:r>
            <w:r>
              <w:t>＜1%，故评价等级为</w:t>
            </w:r>
            <w:r>
              <w:rPr>
                <w:rFonts w:hint="eastAsia"/>
              </w:rPr>
              <w:t>三</w:t>
            </w:r>
            <w:r>
              <w:t>级。</w:t>
            </w:r>
          </w:p>
        </w:tc>
        <w:tc>
          <w:tcPr>
            <w:tcW w:w="1122" w:type="pct"/>
            <w:tcMar>
              <w:left w:w="0" w:type="dxa"/>
              <w:right w:w="0" w:type="dxa"/>
            </w:tcMar>
            <w:vAlign w:val="center"/>
          </w:tcPr>
          <w:p w14:paraId="7F5E12AA">
            <w:pPr>
              <w:pStyle w:val="34"/>
            </w:pPr>
            <w:r>
              <w:rPr>
                <w:rFonts w:hint="eastAsia"/>
              </w:rPr>
              <w:t>三</w:t>
            </w:r>
            <w:r>
              <w:t>级</w:t>
            </w:r>
          </w:p>
        </w:tc>
      </w:tr>
      <w:tr w14:paraId="41B724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0" w:type="pct"/>
            <w:tcMar>
              <w:left w:w="0" w:type="dxa"/>
              <w:right w:w="0" w:type="dxa"/>
            </w:tcMar>
            <w:vAlign w:val="center"/>
          </w:tcPr>
          <w:p w14:paraId="11C8F4CA">
            <w:pPr>
              <w:pStyle w:val="34"/>
              <w:rPr>
                <w:snapToGrid w:val="0"/>
              </w:rPr>
            </w:pPr>
            <w:r>
              <w:rPr>
                <w:snapToGrid w:val="0"/>
              </w:rPr>
              <w:t>声环境</w:t>
            </w:r>
          </w:p>
        </w:tc>
        <w:tc>
          <w:tcPr>
            <w:tcW w:w="1402" w:type="pct"/>
            <w:tcMar>
              <w:left w:w="0" w:type="dxa"/>
              <w:right w:w="0" w:type="dxa"/>
            </w:tcMar>
            <w:vAlign w:val="center"/>
          </w:tcPr>
          <w:p w14:paraId="6563943D">
            <w:pPr>
              <w:pStyle w:val="34"/>
              <w:rPr>
                <w:snapToGrid w:val="0"/>
              </w:rPr>
            </w:pPr>
            <w:r>
              <w:rPr>
                <w:snapToGrid w:val="0"/>
              </w:rPr>
              <w:t>《环境影响评价技术导则  声环境》（HJ2.4-2021）</w:t>
            </w:r>
          </w:p>
        </w:tc>
        <w:tc>
          <w:tcPr>
            <w:tcW w:w="1777" w:type="pct"/>
            <w:tcMar>
              <w:left w:w="0" w:type="dxa"/>
              <w:right w:w="0" w:type="dxa"/>
            </w:tcMar>
            <w:vAlign w:val="center"/>
          </w:tcPr>
          <w:p w14:paraId="383AE478">
            <w:pPr>
              <w:pStyle w:val="34"/>
            </w:pPr>
            <w:r>
              <w:t>工程位于3类声环境功能区，且项目建设后评价范围内无声环境敏感目标。</w:t>
            </w:r>
          </w:p>
        </w:tc>
        <w:tc>
          <w:tcPr>
            <w:tcW w:w="1122" w:type="pct"/>
            <w:tcMar>
              <w:left w:w="0" w:type="dxa"/>
              <w:right w:w="0" w:type="dxa"/>
            </w:tcMar>
            <w:vAlign w:val="center"/>
          </w:tcPr>
          <w:p w14:paraId="465B902F">
            <w:pPr>
              <w:pStyle w:val="34"/>
            </w:pPr>
            <w:r>
              <w:t>三级</w:t>
            </w:r>
          </w:p>
        </w:tc>
      </w:tr>
      <w:tr w14:paraId="78CAD0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0" w:type="pct"/>
            <w:tcMar>
              <w:left w:w="0" w:type="dxa"/>
              <w:right w:w="0" w:type="dxa"/>
            </w:tcMar>
            <w:vAlign w:val="center"/>
          </w:tcPr>
          <w:p w14:paraId="2A0322E0">
            <w:pPr>
              <w:pStyle w:val="34"/>
              <w:rPr>
                <w:snapToGrid w:val="0"/>
              </w:rPr>
            </w:pPr>
            <w:r>
              <w:rPr>
                <w:snapToGrid w:val="0"/>
              </w:rPr>
              <w:t>土壤环境</w:t>
            </w:r>
          </w:p>
        </w:tc>
        <w:tc>
          <w:tcPr>
            <w:tcW w:w="1402" w:type="pct"/>
            <w:tcMar>
              <w:left w:w="0" w:type="dxa"/>
              <w:right w:w="0" w:type="dxa"/>
            </w:tcMar>
            <w:vAlign w:val="center"/>
          </w:tcPr>
          <w:p w14:paraId="555DAE6F">
            <w:pPr>
              <w:pStyle w:val="34"/>
              <w:rPr>
                <w:snapToGrid w:val="0"/>
              </w:rPr>
            </w:pPr>
            <w:r>
              <w:rPr>
                <w:snapToGrid w:val="0"/>
              </w:rPr>
              <w:t>《环境影响评价技术导则  土壤环境（试行）》（HJ964-2018）</w:t>
            </w:r>
          </w:p>
        </w:tc>
        <w:tc>
          <w:tcPr>
            <w:tcW w:w="1777" w:type="pct"/>
            <w:tcMar>
              <w:left w:w="0" w:type="dxa"/>
              <w:right w:w="0" w:type="dxa"/>
            </w:tcMar>
            <w:vAlign w:val="center"/>
          </w:tcPr>
          <w:p w14:paraId="05F9C7F9">
            <w:pPr>
              <w:pStyle w:val="34"/>
            </w:pPr>
            <w:r>
              <w:t>本工程</w:t>
            </w:r>
            <w:r>
              <w:rPr>
                <w:rFonts w:hint="eastAsia"/>
              </w:rPr>
              <w:t>设置危险品集装箱堆场，但不属于危险品、化学品储罐区，属于其他项目，IV类项目。</w:t>
            </w:r>
          </w:p>
        </w:tc>
        <w:tc>
          <w:tcPr>
            <w:tcW w:w="1122" w:type="pct"/>
            <w:tcMar>
              <w:left w:w="0" w:type="dxa"/>
              <w:right w:w="0" w:type="dxa"/>
            </w:tcMar>
            <w:vAlign w:val="center"/>
          </w:tcPr>
          <w:p w14:paraId="5A79414B">
            <w:pPr>
              <w:pStyle w:val="34"/>
            </w:pPr>
            <w:r>
              <w:rPr>
                <w:rFonts w:hint="eastAsia"/>
              </w:rPr>
              <w:t>不判定等级</w:t>
            </w:r>
          </w:p>
        </w:tc>
      </w:tr>
      <w:tr w14:paraId="1D3B4F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26" w:hRule="atLeast"/>
          <w:jc w:val="center"/>
        </w:trPr>
        <w:tc>
          <w:tcPr>
            <w:tcW w:w="700" w:type="pct"/>
            <w:tcMar>
              <w:left w:w="0" w:type="dxa"/>
              <w:right w:w="0" w:type="dxa"/>
            </w:tcMar>
            <w:vAlign w:val="center"/>
          </w:tcPr>
          <w:p w14:paraId="179BB16E">
            <w:pPr>
              <w:pStyle w:val="34"/>
              <w:rPr>
                <w:snapToGrid w:val="0"/>
              </w:rPr>
            </w:pPr>
            <w:r>
              <w:rPr>
                <w:snapToGrid w:val="0"/>
              </w:rPr>
              <w:t>环境风险</w:t>
            </w:r>
          </w:p>
        </w:tc>
        <w:tc>
          <w:tcPr>
            <w:tcW w:w="1402" w:type="pct"/>
            <w:tcMar>
              <w:left w:w="0" w:type="dxa"/>
              <w:right w:w="0" w:type="dxa"/>
            </w:tcMar>
            <w:vAlign w:val="center"/>
          </w:tcPr>
          <w:p w14:paraId="4AF27970">
            <w:pPr>
              <w:pStyle w:val="34"/>
              <w:rPr>
                <w:snapToGrid w:val="0"/>
              </w:rPr>
            </w:pPr>
            <w:r>
              <w:rPr>
                <w:snapToGrid w:val="0"/>
              </w:rPr>
              <w:t>《建设项目环境风险评价技术导则》（HJ169-2018）</w:t>
            </w:r>
          </w:p>
          <w:p w14:paraId="5329AB88">
            <w:pPr>
              <w:pStyle w:val="34"/>
              <w:rPr>
                <w:snapToGrid w:val="0"/>
              </w:rPr>
            </w:pPr>
            <w:r>
              <w:rPr>
                <w:rFonts w:hint="eastAsia"/>
              </w:rPr>
              <w:t>《环境影响评价技术导则 海洋 生态环境》（HJ 1409</w:t>
            </w:r>
            <w:r>
              <w:t>-20</w:t>
            </w:r>
            <w:r>
              <w:rPr>
                <w:rFonts w:hint="eastAsia"/>
              </w:rPr>
              <w:t>25）</w:t>
            </w:r>
          </w:p>
        </w:tc>
        <w:tc>
          <w:tcPr>
            <w:tcW w:w="1777" w:type="pct"/>
            <w:tcMar>
              <w:left w:w="0" w:type="dxa"/>
              <w:right w:w="0" w:type="dxa"/>
            </w:tcMar>
            <w:vAlign w:val="center"/>
          </w:tcPr>
          <w:p w14:paraId="00A66530">
            <w:pPr>
              <w:pStyle w:val="34"/>
            </w:pPr>
            <w:r>
              <w:t>本工程Q</w:t>
            </w:r>
            <w:r>
              <w:rPr>
                <w:rFonts w:hint="eastAsia"/>
              </w:rPr>
              <w:t>＞100</w:t>
            </w:r>
            <w:r>
              <w:t>，为</w:t>
            </w:r>
            <w:r>
              <w:rPr>
                <w:rFonts w:hint="eastAsia"/>
              </w:rPr>
              <w:t>M3类项目，项目危害程度为</w:t>
            </w:r>
            <w:r>
              <w:rPr>
                <w:rFonts w:hint="eastAsia"/>
                <w:u w:val="single"/>
              </w:rPr>
              <w:t>P2高度危害，项目大气环境敏感程度分级为E3环境低度敏感区、海洋生态环境敏感程度分级为E3环境低度敏感区、地下水环境敏感程度分级为E2环境低度敏感区、地表水为E2环境低度敏感区</w:t>
            </w:r>
            <w:r>
              <w:rPr>
                <w:rFonts w:hint="eastAsia"/>
              </w:rPr>
              <w:t>，</w:t>
            </w:r>
            <w:r>
              <w:t>环境风险潜势</w:t>
            </w:r>
            <w:r>
              <w:rPr>
                <w:rFonts w:hint="eastAsia"/>
              </w:rPr>
              <w:t>III</w:t>
            </w:r>
            <w:r>
              <w:t>，本项目环境风险评价工作等级为</w:t>
            </w:r>
            <w:r>
              <w:rPr>
                <w:rFonts w:hint="eastAsia"/>
              </w:rPr>
              <w:t>二级</w:t>
            </w:r>
            <w:r>
              <w:t>。</w:t>
            </w:r>
          </w:p>
        </w:tc>
        <w:tc>
          <w:tcPr>
            <w:tcW w:w="1122" w:type="pct"/>
            <w:tcMar>
              <w:left w:w="0" w:type="dxa"/>
              <w:right w:w="0" w:type="dxa"/>
            </w:tcMar>
            <w:vAlign w:val="center"/>
          </w:tcPr>
          <w:p w14:paraId="0A84A1AE">
            <w:pPr>
              <w:pStyle w:val="34"/>
            </w:pPr>
            <w:r>
              <w:rPr>
                <w:rFonts w:hint="eastAsia"/>
              </w:rPr>
              <w:t>二级</w:t>
            </w:r>
          </w:p>
        </w:tc>
      </w:tr>
    </w:tbl>
    <w:p w14:paraId="19DC250F">
      <w:pPr>
        <w:pStyle w:val="5"/>
      </w:pPr>
      <w:r>
        <w:t>评价范围</w:t>
      </w:r>
    </w:p>
    <w:p w14:paraId="2D867070">
      <w:pPr>
        <w:tabs>
          <w:tab w:val="left" w:pos="7488"/>
        </w:tabs>
        <w:snapToGrid w:val="0"/>
        <w:spacing w:line="348" w:lineRule="auto"/>
        <w:ind w:firstLine="462"/>
      </w:pPr>
      <w:r>
        <w:t>根据评价等级、周围敏感资源分布情况，确定各要素评价范围，详见表1.2-</w:t>
      </w:r>
      <w:r>
        <w:rPr>
          <w:rFonts w:hint="eastAsia"/>
        </w:rPr>
        <w:t>19</w:t>
      </w:r>
      <w:r>
        <w:t>。</w:t>
      </w:r>
    </w:p>
    <w:p w14:paraId="1994572D">
      <w:pPr>
        <w:pStyle w:val="7"/>
      </w:pPr>
      <w:r>
        <w:t>本工程各环境要素评价范围一览表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26"/>
        <w:gridCol w:w="2554"/>
        <w:gridCol w:w="1133"/>
        <w:gridCol w:w="3929"/>
      </w:tblGrid>
      <w:tr w14:paraId="74D2A1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blHeader/>
          <w:jc w:val="center"/>
        </w:trPr>
        <w:tc>
          <w:tcPr>
            <w:tcW w:w="435" w:type="pct"/>
            <w:vAlign w:val="center"/>
          </w:tcPr>
          <w:p w14:paraId="6AE10EB2">
            <w:pPr>
              <w:pStyle w:val="34"/>
            </w:pPr>
            <w:r>
              <w:t>评价</w:t>
            </w:r>
          </w:p>
          <w:p w14:paraId="56FDA917">
            <w:pPr>
              <w:pStyle w:val="34"/>
            </w:pPr>
            <w:r>
              <w:t>要素</w:t>
            </w:r>
          </w:p>
        </w:tc>
        <w:tc>
          <w:tcPr>
            <w:tcW w:w="1531" w:type="pct"/>
            <w:vAlign w:val="center"/>
          </w:tcPr>
          <w:p w14:paraId="5C4CBCE2">
            <w:pPr>
              <w:pStyle w:val="34"/>
            </w:pPr>
            <w:r>
              <w:t>评价导则</w:t>
            </w:r>
          </w:p>
        </w:tc>
        <w:tc>
          <w:tcPr>
            <w:tcW w:w="679" w:type="pct"/>
            <w:vAlign w:val="center"/>
          </w:tcPr>
          <w:p w14:paraId="06F708AA">
            <w:pPr>
              <w:pStyle w:val="34"/>
            </w:pPr>
            <w:r>
              <w:t>判定等级</w:t>
            </w:r>
          </w:p>
        </w:tc>
        <w:tc>
          <w:tcPr>
            <w:tcW w:w="2355" w:type="pct"/>
            <w:vAlign w:val="center"/>
          </w:tcPr>
          <w:p w14:paraId="4E141E13">
            <w:pPr>
              <w:pStyle w:val="34"/>
            </w:pPr>
            <w:r>
              <w:t>评价范围</w:t>
            </w:r>
          </w:p>
        </w:tc>
      </w:tr>
      <w:tr w14:paraId="4DFDFB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70" w:hRule="atLeast"/>
          <w:jc w:val="center"/>
        </w:trPr>
        <w:tc>
          <w:tcPr>
            <w:tcW w:w="435" w:type="pct"/>
            <w:vAlign w:val="center"/>
          </w:tcPr>
          <w:p w14:paraId="4F7F5415">
            <w:pPr>
              <w:pStyle w:val="34"/>
            </w:pPr>
            <w:r>
              <w:t>地表水</w:t>
            </w:r>
          </w:p>
          <w:p w14:paraId="62C97DC6">
            <w:pPr>
              <w:pStyle w:val="34"/>
            </w:pPr>
            <w:r>
              <w:t>环境</w:t>
            </w:r>
          </w:p>
        </w:tc>
        <w:tc>
          <w:tcPr>
            <w:tcW w:w="1531" w:type="pct"/>
            <w:vAlign w:val="center"/>
          </w:tcPr>
          <w:p w14:paraId="66EAEE18">
            <w:pPr>
              <w:pStyle w:val="34"/>
            </w:pPr>
            <w:r>
              <w:t>《环境影响评价技术导则 地表水环境》（HJ2.3-2018）</w:t>
            </w:r>
          </w:p>
        </w:tc>
        <w:tc>
          <w:tcPr>
            <w:tcW w:w="679" w:type="pct"/>
            <w:vAlign w:val="center"/>
          </w:tcPr>
          <w:p w14:paraId="5DBCEE67">
            <w:pPr>
              <w:pStyle w:val="34"/>
            </w:pPr>
            <w:r>
              <w:t>三级B</w:t>
            </w:r>
          </w:p>
        </w:tc>
        <w:tc>
          <w:tcPr>
            <w:tcW w:w="2355" w:type="pct"/>
            <w:vAlign w:val="center"/>
          </w:tcPr>
          <w:p w14:paraId="3412BD89">
            <w:pPr>
              <w:pStyle w:val="34"/>
            </w:pPr>
            <w:r>
              <w:t>与海洋评价范围一致</w:t>
            </w:r>
          </w:p>
        </w:tc>
      </w:tr>
      <w:tr w14:paraId="263AE9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35" w:type="pct"/>
            <w:vMerge w:val="restart"/>
            <w:vAlign w:val="center"/>
          </w:tcPr>
          <w:p w14:paraId="4ACE1795">
            <w:pPr>
              <w:pStyle w:val="34"/>
            </w:pPr>
            <w:r>
              <w:t>生态</w:t>
            </w:r>
          </w:p>
          <w:p w14:paraId="5F6B88F7">
            <w:pPr>
              <w:pStyle w:val="34"/>
            </w:pPr>
            <w:r>
              <w:t>环境</w:t>
            </w:r>
          </w:p>
        </w:tc>
        <w:tc>
          <w:tcPr>
            <w:tcW w:w="1531" w:type="pct"/>
            <w:vMerge w:val="restart"/>
            <w:vAlign w:val="center"/>
          </w:tcPr>
          <w:p w14:paraId="3B7263C4">
            <w:pPr>
              <w:pStyle w:val="34"/>
            </w:pPr>
            <w:r>
              <w:t>《环境影响评价技术导则 生态影响》（HJ19-2022）</w:t>
            </w:r>
          </w:p>
        </w:tc>
        <w:tc>
          <w:tcPr>
            <w:tcW w:w="679" w:type="pct"/>
            <w:vAlign w:val="center"/>
          </w:tcPr>
          <w:p w14:paraId="2E6A2F98">
            <w:pPr>
              <w:pStyle w:val="34"/>
            </w:pPr>
            <w:r>
              <w:t>陆生生态三级</w:t>
            </w:r>
          </w:p>
        </w:tc>
        <w:tc>
          <w:tcPr>
            <w:tcW w:w="2355" w:type="pct"/>
            <w:vAlign w:val="center"/>
          </w:tcPr>
          <w:p w14:paraId="3AB0A872">
            <w:pPr>
              <w:pStyle w:val="34"/>
            </w:pPr>
            <w:r>
              <w:t>陆域工程生态评价范围为工程直接占用区域外300m以内的区域</w:t>
            </w:r>
          </w:p>
        </w:tc>
      </w:tr>
      <w:tr w14:paraId="739B75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35" w:type="pct"/>
            <w:vMerge w:val="continue"/>
            <w:vAlign w:val="center"/>
          </w:tcPr>
          <w:p w14:paraId="3D0FE299">
            <w:pPr>
              <w:pStyle w:val="34"/>
            </w:pPr>
          </w:p>
        </w:tc>
        <w:tc>
          <w:tcPr>
            <w:tcW w:w="1531" w:type="pct"/>
            <w:vMerge w:val="continue"/>
            <w:vAlign w:val="center"/>
          </w:tcPr>
          <w:p w14:paraId="2574E877">
            <w:pPr>
              <w:pStyle w:val="34"/>
            </w:pPr>
          </w:p>
        </w:tc>
        <w:tc>
          <w:tcPr>
            <w:tcW w:w="679" w:type="pct"/>
            <w:vAlign w:val="center"/>
          </w:tcPr>
          <w:p w14:paraId="1106F1C1">
            <w:pPr>
              <w:pStyle w:val="34"/>
            </w:pPr>
            <w:r>
              <w:t>水生生态</w:t>
            </w:r>
            <w:r>
              <w:rPr>
                <w:rFonts w:hint="eastAsia"/>
              </w:rPr>
              <w:t>2</w:t>
            </w:r>
            <w:r>
              <w:t>级</w:t>
            </w:r>
          </w:p>
        </w:tc>
        <w:tc>
          <w:tcPr>
            <w:tcW w:w="2355" w:type="pct"/>
            <w:vAlign w:val="center"/>
          </w:tcPr>
          <w:p w14:paraId="52752864">
            <w:pPr>
              <w:pStyle w:val="34"/>
            </w:pPr>
            <w:r>
              <w:t>项目水生生态评价等级参照</w:t>
            </w:r>
            <w:r>
              <w:rPr>
                <w:rFonts w:hint="eastAsia"/>
              </w:rPr>
              <w:t>《环境影响评价技术导则 海洋生态环境》（HJ 1409-2025）</w:t>
            </w:r>
            <w:r>
              <w:t>，水生生态评价范围与海洋评价范围一致</w:t>
            </w:r>
          </w:p>
        </w:tc>
      </w:tr>
      <w:tr w14:paraId="5C0272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35" w:type="pct"/>
            <w:vAlign w:val="center"/>
          </w:tcPr>
          <w:p w14:paraId="2E01E08F">
            <w:pPr>
              <w:pStyle w:val="34"/>
            </w:pPr>
            <w:r>
              <w:t>大气</w:t>
            </w:r>
          </w:p>
          <w:p w14:paraId="19108746">
            <w:pPr>
              <w:pStyle w:val="34"/>
            </w:pPr>
            <w:r>
              <w:t>环境</w:t>
            </w:r>
          </w:p>
        </w:tc>
        <w:tc>
          <w:tcPr>
            <w:tcW w:w="1531" w:type="pct"/>
            <w:vAlign w:val="center"/>
          </w:tcPr>
          <w:p w14:paraId="2A223A2F">
            <w:pPr>
              <w:pStyle w:val="34"/>
            </w:pPr>
            <w:r>
              <w:t>《环境影响评价技术导则 大气环境》（HJ2.2-2018）</w:t>
            </w:r>
          </w:p>
        </w:tc>
        <w:tc>
          <w:tcPr>
            <w:tcW w:w="679" w:type="pct"/>
            <w:vAlign w:val="center"/>
          </w:tcPr>
          <w:p w14:paraId="7E1EE7ED">
            <w:pPr>
              <w:pStyle w:val="34"/>
            </w:pPr>
            <w:r>
              <w:rPr>
                <w:rFonts w:hint="eastAsia"/>
              </w:rPr>
              <w:t>三级</w:t>
            </w:r>
          </w:p>
        </w:tc>
        <w:tc>
          <w:tcPr>
            <w:tcW w:w="2355" w:type="pct"/>
            <w:vAlign w:val="center"/>
          </w:tcPr>
          <w:p w14:paraId="02B45A8D">
            <w:pPr>
              <w:pStyle w:val="34"/>
            </w:pPr>
            <w:r>
              <w:rPr>
                <w:rFonts w:hint="eastAsia"/>
              </w:rPr>
              <w:t>不</w:t>
            </w:r>
            <w:r>
              <w:t>设置评价范围。</w:t>
            </w:r>
          </w:p>
        </w:tc>
      </w:tr>
      <w:tr w14:paraId="10C11F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35" w:type="pct"/>
            <w:vAlign w:val="center"/>
          </w:tcPr>
          <w:p w14:paraId="64F3F55C">
            <w:pPr>
              <w:pStyle w:val="34"/>
            </w:pPr>
            <w:r>
              <w:t>声环境</w:t>
            </w:r>
          </w:p>
        </w:tc>
        <w:tc>
          <w:tcPr>
            <w:tcW w:w="1531" w:type="pct"/>
            <w:vAlign w:val="center"/>
          </w:tcPr>
          <w:p w14:paraId="7E18B2B8">
            <w:pPr>
              <w:pStyle w:val="34"/>
            </w:pPr>
            <w:r>
              <w:t>《环境影响评价技术导则  声环境》（HJ2.4-2021）</w:t>
            </w:r>
          </w:p>
        </w:tc>
        <w:tc>
          <w:tcPr>
            <w:tcW w:w="679" w:type="pct"/>
            <w:vAlign w:val="center"/>
          </w:tcPr>
          <w:p w14:paraId="148D370E">
            <w:pPr>
              <w:pStyle w:val="34"/>
            </w:pPr>
            <w:r>
              <w:t>三级</w:t>
            </w:r>
          </w:p>
        </w:tc>
        <w:tc>
          <w:tcPr>
            <w:tcW w:w="2355" w:type="pct"/>
            <w:vAlign w:val="center"/>
          </w:tcPr>
          <w:p w14:paraId="0885D175">
            <w:pPr>
              <w:pStyle w:val="34"/>
            </w:pPr>
            <w:r>
              <w:t>厂界外200m以内的区域</w:t>
            </w:r>
          </w:p>
        </w:tc>
      </w:tr>
      <w:tr w14:paraId="7CE2C7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35" w:type="pct"/>
            <w:vAlign w:val="center"/>
          </w:tcPr>
          <w:p w14:paraId="5FC59833">
            <w:pPr>
              <w:pStyle w:val="34"/>
            </w:pPr>
            <w:r>
              <w:rPr>
                <w:rFonts w:hint="eastAsia"/>
              </w:rPr>
              <w:t>地下水环境</w:t>
            </w:r>
          </w:p>
        </w:tc>
        <w:tc>
          <w:tcPr>
            <w:tcW w:w="1531" w:type="pct"/>
            <w:vAlign w:val="center"/>
          </w:tcPr>
          <w:p w14:paraId="3A6CD876">
            <w:pPr>
              <w:pStyle w:val="34"/>
            </w:pPr>
            <w:r>
              <w:rPr>
                <w:rFonts w:hint="eastAsia"/>
              </w:rPr>
              <w:t>《环境影响评价技术导则 地下水环境》（HJ610-2016）</w:t>
            </w:r>
          </w:p>
        </w:tc>
        <w:tc>
          <w:tcPr>
            <w:tcW w:w="679" w:type="pct"/>
            <w:vAlign w:val="center"/>
          </w:tcPr>
          <w:p w14:paraId="7CB8EAF9">
            <w:pPr>
              <w:pStyle w:val="34"/>
            </w:pPr>
            <w:r>
              <w:rPr>
                <w:rFonts w:hint="eastAsia"/>
              </w:rPr>
              <w:t>三级</w:t>
            </w:r>
          </w:p>
        </w:tc>
        <w:tc>
          <w:tcPr>
            <w:tcW w:w="2355" w:type="pct"/>
            <w:vAlign w:val="center"/>
          </w:tcPr>
          <w:p w14:paraId="5D1B56EE">
            <w:pPr>
              <w:pStyle w:val="34"/>
            </w:pPr>
            <w:r>
              <w:rPr>
                <w:rFonts w:hint="eastAsia"/>
              </w:rPr>
              <w:t>作业区所在水文地质单元内</w:t>
            </w:r>
          </w:p>
        </w:tc>
      </w:tr>
      <w:tr w14:paraId="4FDA8F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35" w:type="pct"/>
            <w:vAlign w:val="center"/>
          </w:tcPr>
          <w:p w14:paraId="5BF22681">
            <w:pPr>
              <w:pStyle w:val="34"/>
            </w:pPr>
            <w:r>
              <w:t>海洋</w:t>
            </w:r>
          </w:p>
          <w:p w14:paraId="73BBFC2D">
            <w:pPr>
              <w:pStyle w:val="34"/>
            </w:pPr>
            <w:r>
              <w:rPr>
                <w:rFonts w:hint="eastAsia"/>
              </w:rPr>
              <w:t>生态</w:t>
            </w:r>
          </w:p>
        </w:tc>
        <w:tc>
          <w:tcPr>
            <w:tcW w:w="1531" w:type="pct"/>
            <w:vAlign w:val="center"/>
          </w:tcPr>
          <w:p w14:paraId="0DC637F9">
            <w:pPr>
              <w:pStyle w:val="34"/>
            </w:pPr>
            <w:r>
              <w:rPr>
                <w:rFonts w:hint="eastAsia"/>
              </w:rPr>
              <w:t>《环境影响评价技术导则 海洋生态环境》（</w:t>
            </w:r>
            <w:bookmarkStart w:id="107" w:name="OLE_LINK243"/>
            <w:r>
              <w:rPr>
                <w:rFonts w:hint="eastAsia"/>
              </w:rPr>
              <w:t>HJ 1409</w:t>
            </w:r>
            <w:bookmarkEnd w:id="107"/>
            <w:r>
              <w:rPr>
                <w:rFonts w:hint="eastAsia"/>
              </w:rPr>
              <w:t>-2025）</w:t>
            </w:r>
          </w:p>
        </w:tc>
        <w:tc>
          <w:tcPr>
            <w:tcW w:w="679" w:type="pct"/>
            <w:vAlign w:val="center"/>
          </w:tcPr>
          <w:p w14:paraId="085DF50C">
            <w:pPr>
              <w:pStyle w:val="34"/>
            </w:pPr>
            <w:r>
              <w:rPr>
                <w:rFonts w:hint="eastAsia"/>
              </w:rPr>
              <w:t>2级</w:t>
            </w:r>
          </w:p>
        </w:tc>
        <w:tc>
          <w:tcPr>
            <w:tcW w:w="2355" w:type="pct"/>
            <w:vAlign w:val="center"/>
          </w:tcPr>
          <w:p w14:paraId="178E7992">
            <w:pPr>
              <w:pStyle w:val="34"/>
              <w:rPr>
                <w:u w:val="single"/>
              </w:rPr>
            </w:pPr>
            <w:r>
              <w:rPr>
                <w:rFonts w:hint="eastAsia"/>
                <w:u w:val="single"/>
              </w:rPr>
              <w:t>根据HJ 1409，2级</w:t>
            </w:r>
            <w:r>
              <w:rPr>
                <w:rFonts w:hint="eastAsia"/>
                <w:u w:val="single"/>
                <w:lang w:eastAsia="zh-CN"/>
              </w:rPr>
              <w:t>评价</w:t>
            </w:r>
            <w:r>
              <w:rPr>
                <w:rFonts w:hint="eastAsia"/>
                <w:u w:val="single"/>
              </w:rPr>
              <w:t>范围为潮流主流向扩展距离不小于5~15km，本次评价根据水动力预测结果，正常工况下水质质点48h运移距离越12km，因此</w:t>
            </w:r>
            <w:r>
              <w:rPr>
                <w:u w:val="single"/>
              </w:rPr>
              <w:t>以工程区向四周延伸</w:t>
            </w:r>
            <w:r>
              <w:rPr>
                <w:rFonts w:hint="eastAsia"/>
                <w:u w:val="single"/>
              </w:rPr>
              <w:t>12</w:t>
            </w:r>
            <w:r>
              <w:rPr>
                <w:u w:val="single"/>
              </w:rPr>
              <w:t>km直至岸线的范围作为调查和评价范围。</w:t>
            </w:r>
          </w:p>
        </w:tc>
      </w:tr>
      <w:tr w14:paraId="027243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35" w:type="pct"/>
            <w:vAlign w:val="center"/>
          </w:tcPr>
          <w:p w14:paraId="0ED19382">
            <w:pPr>
              <w:pStyle w:val="34"/>
            </w:pPr>
            <w:r>
              <w:t>环境</w:t>
            </w:r>
          </w:p>
          <w:p w14:paraId="19148C1D">
            <w:pPr>
              <w:pStyle w:val="34"/>
            </w:pPr>
            <w:r>
              <w:t>风险</w:t>
            </w:r>
          </w:p>
        </w:tc>
        <w:tc>
          <w:tcPr>
            <w:tcW w:w="1531" w:type="pct"/>
            <w:vAlign w:val="center"/>
          </w:tcPr>
          <w:p w14:paraId="444FFC9E">
            <w:pPr>
              <w:pStyle w:val="34"/>
            </w:pPr>
            <w:r>
              <w:t>《建设项目环境风险评价技术导则》（HJ169-2018）</w:t>
            </w:r>
          </w:p>
        </w:tc>
        <w:tc>
          <w:tcPr>
            <w:tcW w:w="679" w:type="pct"/>
            <w:vAlign w:val="center"/>
          </w:tcPr>
          <w:p w14:paraId="4B9B0932">
            <w:pPr>
              <w:pStyle w:val="34"/>
            </w:pPr>
            <w:r>
              <w:rPr>
                <w:rFonts w:hint="eastAsia"/>
              </w:rPr>
              <w:t>二</w:t>
            </w:r>
            <w:r>
              <w:t>级</w:t>
            </w:r>
          </w:p>
        </w:tc>
        <w:tc>
          <w:tcPr>
            <w:tcW w:w="2355" w:type="pct"/>
            <w:vAlign w:val="center"/>
          </w:tcPr>
          <w:p w14:paraId="15BCAE2A">
            <w:pPr>
              <w:pStyle w:val="34"/>
            </w:pPr>
            <w:r>
              <w:rPr>
                <w:rFonts w:hint="eastAsia"/>
              </w:rPr>
              <w:t>大气环境风险评价范围为距离项目边界不低于5km；地下水环境风险评价范围与地下水环境评价范围一致；海域环境风险评价范围与海洋生态评价范围一致。</w:t>
            </w:r>
          </w:p>
        </w:tc>
      </w:tr>
    </w:tbl>
    <w:p w14:paraId="049BD30F">
      <w:pPr>
        <w:pStyle w:val="4"/>
      </w:pPr>
      <w:bookmarkStart w:id="108" w:name="_Toc477530843"/>
      <w:bookmarkStart w:id="109" w:name="_Toc198042309"/>
      <w:bookmarkStart w:id="110" w:name="_Toc217977905"/>
      <w:r>
        <w:t>环境功能区划</w:t>
      </w:r>
      <w:bookmarkEnd w:id="108"/>
      <w:r>
        <w:t>和评价标准</w:t>
      </w:r>
      <w:bookmarkEnd w:id="109"/>
      <w:bookmarkEnd w:id="110"/>
    </w:p>
    <w:p w14:paraId="68FCA204">
      <w:pPr>
        <w:pStyle w:val="5"/>
      </w:pPr>
      <w:r>
        <w:t>环境功能区划</w:t>
      </w:r>
    </w:p>
    <w:p w14:paraId="3EE05CCD">
      <w:pPr>
        <w:ind w:firstLine="462"/>
      </w:pPr>
      <w:r>
        <w:t>1、环境空气功能区划</w:t>
      </w:r>
    </w:p>
    <w:p w14:paraId="40550D26">
      <w:pPr>
        <w:ind w:firstLine="462"/>
      </w:pPr>
      <w:r>
        <w:t>项目所在地尚未划分环境空气功能区。项目所在区域属于</w:t>
      </w:r>
      <w:r>
        <w:rPr>
          <w:rFonts w:hint="eastAsia"/>
        </w:rPr>
        <w:t>港口</w:t>
      </w:r>
      <w:r>
        <w:t>工业区，根据所在地环境特点及相关标准，环境空气质量执行《环境空气质量标准》（GB3095-2012）二级标准。</w:t>
      </w:r>
    </w:p>
    <w:p w14:paraId="19E63B21">
      <w:pPr>
        <w:ind w:firstLine="462"/>
      </w:pPr>
      <w:r>
        <w:t>2、近岸海域环境功能区划</w:t>
      </w:r>
    </w:p>
    <w:p w14:paraId="3077300A">
      <w:pPr>
        <w:ind w:firstLine="462"/>
      </w:pPr>
      <w:r>
        <w:rPr>
          <w:rFonts w:hint="eastAsia"/>
          <w:lang w:bidi="ar"/>
        </w:rPr>
        <w:t>根据《广西壮族自治区生态环境厅关于印发广西壮族自治区近岸海域环境功能区划调整方案的通知》（桂环发〔</w:t>
      </w:r>
      <w:r>
        <w:rPr>
          <w:lang w:bidi="ar"/>
        </w:rPr>
        <w:t>2023</w:t>
      </w:r>
      <w:r>
        <w:rPr>
          <w:rFonts w:hint="eastAsia"/>
          <w:lang w:bidi="ar"/>
        </w:rPr>
        <w:t>〕</w:t>
      </w:r>
      <w:r>
        <w:rPr>
          <w:lang w:bidi="ar"/>
        </w:rPr>
        <w:t>9</w:t>
      </w:r>
      <w:r>
        <w:rPr>
          <w:rFonts w:hint="eastAsia"/>
          <w:lang w:bidi="ar"/>
        </w:rPr>
        <w:t>号），工程位于钦州港大榄坪排污混合区（</w:t>
      </w:r>
      <w:r>
        <w:rPr>
          <w:lang w:bidi="ar"/>
        </w:rPr>
        <w:t>GX057DⅣ</w:t>
      </w:r>
      <w:r>
        <w:rPr>
          <w:rFonts w:hint="eastAsia"/>
          <w:lang w:bidi="ar"/>
        </w:rPr>
        <w:t>），主导功能为港口、工业、生活排污用海，属四类环境功能区，水质保护目标为海水水质标准第四类</w:t>
      </w:r>
      <w:bookmarkStart w:id="111" w:name="OLE_LINK696"/>
      <w:r>
        <w:rPr>
          <w:rFonts w:hint="eastAsia"/>
          <w:lang w:bidi="ar"/>
        </w:rPr>
        <w:t>；功能区周围设置</w:t>
      </w:r>
      <w:r>
        <w:rPr>
          <w:lang w:bidi="ar"/>
        </w:rPr>
        <w:t>0.5</w:t>
      </w:r>
      <w:r>
        <w:rPr>
          <w:rFonts w:eastAsia="华文楷体"/>
          <w:lang w:bidi="ar"/>
        </w:rPr>
        <w:t>km</w:t>
      </w:r>
      <w:r>
        <w:rPr>
          <w:rFonts w:hint="eastAsia"/>
          <w:lang w:bidi="ar"/>
        </w:rPr>
        <w:t>水质过渡带，水质保护目标为海水水质标准第三类。</w:t>
      </w:r>
      <w:bookmarkEnd w:id="111"/>
      <w:r>
        <w:rPr>
          <w:rFonts w:hint="eastAsia"/>
          <w:lang w:bidi="ar"/>
        </w:rPr>
        <w:t>临近海域还包括</w:t>
      </w:r>
      <w:bookmarkStart w:id="112" w:name="OLE_LINK213"/>
      <w:r>
        <w:rPr>
          <w:rFonts w:hint="eastAsia"/>
          <w:lang w:bidi="ar"/>
        </w:rPr>
        <w:t>钦州港大榄坪港口、工业区（GX055DⅣ）</w:t>
      </w:r>
      <w:bookmarkEnd w:id="112"/>
      <w:r>
        <w:rPr>
          <w:rFonts w:hint="eastAsia"/>
          <w:lang w:bidi="ar"/>
        </w:rPr>
        <w:t>，主导功能为港口、工业用海，属四类环境功能区，水质保护目标为海水水质标准第四类，周围设0.5公里水质过渡带，水质保护目标为海水水质标准第三类；</w:t>
      </w:r>
      <w:bookmarkStart w:id="113" w:name="OLE_LINK214"/>
      <w:r>
        <w:rPr>
          <w:rFonts w:hint="eastAsia"/>
          <w:lang w:bidi="ar"/>
        </w:rPr>
        <w:t>钦州南部渔业用海区（GX064BⅡ）</w:t>
      </w:r>
      <w:bookmarkEnd w:id="113"/>
      <w:r>
        <w:rPr>
          <w:rFonts w:hint="eastAsia"/>
          <w:lang w:bidi="ar"/>
        </w:rPr>
        <w:t>，主导功能为鱼类、对虾等海产品养殖、增殖及捕捞用海，属二类环境功能区，水质保护目标为海水水质标准第二类等。</w:t>
      </w:r>
    </w:p>
    <w:p w14:paraId="677ABB4F">
      <w:pPr>
        <w:ind w:firstLine="462"/>
      </w:pPr>
      <w:r>
        <w:t>3、声环境功能区划</w:t>
      </w:r>
    </w:p>
    <w:p w14:paraId="6A70B112">
      <w:pPr>
        <w:ind w:firstLine="462"/>
      </w:pPr>
      <w:r>
        <w:t>根据《</w:t>
      </w:r>
      <w:r>
        <w:rPr>
          <w:rFonts w:hint="eastAsia"/>
        </w:rPr>
        <w:t>钦州市中心城区声环境功能区划</w:t>
      </w:r>
      <w:r>
        <w:t>》（钦政办规</w:t>
      </w:r>
      <w:r>
        <w:rPr>
          <w:rFonts w:hint="eastAsia"/>
        </w:rPr>
        <w:t>〔2023〕11号</w:t>
      </w:r>
      <w:r>
        <w:t>），</w:t>
      </w:r>
      <w:r>
        <w:rPr>
          <w:rFonts w:hint="eastAsia"/>
        </w:rPr>
        <w:t>以工业生产、仓储物流为主要功能，需要防止工业噪声对周围环境产生严重影响的区域划分为3类声环境功能区。</w:t>
      </w:r>
      <w:r>
        <w:t>项目工程所在钦州综合保税区划分为3类声环境功能区。</w:t>
      </w:r>
    </w:p>
    <w:p w14:paraId="0045E48C">
      <w:pPr>
        <w:ind w:firstLine="462"/>
      </w:pPr>
      <w:r>
        <w:t>4、海洋功能区划</w:t>
      </w:r>
    </w:p>
    <w:p w14:paraId="145D7CA5">
      <w:pPr>
        <w:ind w:firstLine="462"/>
      </w:pPr>
      <w:r>
        <w:t>依据</w:t>
      </w:r>
      <w:r>
        <w:rPr>
          <w:rFonts w:hint="eastAsia"/>
        </w:rPr>
        <w:t>《钦州市国土空间总体规划（2021</w:t>
      </w:r>
      <w:r>
        <w:t>－</w:t>
      </w:r>
      <w:r>
        <w:rPr>
          <w:rFonts w:hint="eastAsia"/>
        </w:rPr>
        <w:t>2035年）》</w:t>
      </w:r>
      <w:r>
        <w:t>，工程所在海域</w:t>
      </w:r>
      <w:r>
        <w:rPr>
          <w:rFonts w:hint="eastAsia"/>
        </w:rPr>
        <w:t>位于钦州港交通运输用海区</w:t>
      </w:r>
      <w:r>
        <w:t>。规划用途为保障港口航运用海，优先保障大榄坪发展需要。</w:t>
      </w:r>
    </w:p>
    <w:p w14:paraId="618378BE">
      <w:pPr>
        <w:pStyle w:val="5"/>
      </w:pPr>
      <w:r>
        <w:t>评价标准</w:t>
      </w:r>
    </w:p>
    <w:p w14:paraId="0BBBFF14">
      <w:pPr>
        <w:pStyle w:val="6"/>
      </w:pPr>
      <w:bookmarkStart w:id="114" w:name="_Toc160855800"/>
      <w:bookmarkStart w:id="115" w:name="_Toc160854845"/>
      <w:bookmarkStart w:id="116" w:name="_Toc160857118"/>
      <w:r>
        <w:t>环境空气</w:t>
      </w:r>
      <w:bookmarkEnd w:id="114"/>
      <w:bookmarkEnd w:id="115"/>
      <w:bookmarkEnd w:id="116"/>
    </w:p>
    <w:p w14:paraId="46355717">
      <w:pPr>
        <w:ind w:firstLine="462"/>
        <w:rPr>
          <w:u w:val="single"/>
        </w:rPr>
      </w:pPr>
      <w:r>
        <w:t>评价区属于二类环境空气功能区，环境空气现状和影响评价执行《环境空气质量标准》（GB3095-2012）中二级标准。</w:t>
      </w:r>
      <w:r>
        <w:rPr>
          <w:rFonts w:hint="eastAsia"/>
          <w:u w:val="single"/>
        </w:rPr>
        <w:t>事故状态时</w:t>
      </w:r>
      <w:r>
        <w:rPr>
          <w:szCs w:val="22"/>
          <w:u w:val="single"/>
          <w:lang w:bidi="ar"/>
        </w:rPr>
        <w:t>挥发性有机物VOCs 标准值</w:t>
      </w:r>
      <w:bookmarkStart w:id="117" w:name="OLE_LINK254"/>
      <w:r>
        <w:rPr>
          <w:szCs w:val="22"/>
          <w:u w:val="single"/>
          <w:lang w:bidi="ar"/>
        </w:rPr>
        <w:t>参照《环境影响评价技术导则大气环境》（HJ 2.2-2018）附录D</w:t>
      </w:r>
      <w:bookmarkEnd w:id="117"/>
      <w:r>
        <w:rPr>
          <w:szCs w:val="22"/>
          <w:u w:val="single"/>
          <w:lang w:bidi="ar"/>
        </w:rPr>
        <w:t>中总挥发性有机物8h平均值600ug/m</w:t>
      </w:r>
      <w:r>
        <w:rPr>
          <w:szCs w:val="22"/>
          <w:u w:val="single"/>
          <w:vertAlign w:val="superscript"/>
          <w:lang w:bidi="ar"/>
        </w:rPr>
        <w:t>3</w:t>
      </w:r>
      <w:r>
        <w:rPr>
          <w:szCs w:val="22"/>
          <w:u w:val="single"/>
          <w:lang w:bidi="ar"/>
        </w:rPr>
        <w:t>；环评按2倍折算为1h质量浓度限值为1200ug/m</w:t>
      </w:r>
      <w:r>
        <w:rPr>
          <w:szCs w:val="22"/>
          <w:u w:val="single"/>
          <w:vertAlign w:val="superscript"/>
          <w:lang w:bidi="ar"/>
        </w:rPr>
        <w:t>3</w:t>
      </w:r>
      <w:r>
        <w:rPr>
          <w:szCs w:val="22"/>
          <w:u w:val="single"/>
          <w:lang w:bidi="ar"/>
        </w:rPr>
        <w:t>。</w:t>
      </w:r>
    </w:p>
    <w:p w14:paraId="075AE95F">
      <w:pPr>
        <w:pStyle w:val="7"/>
        <w:rPr>
          <w:sz w:val="21"/>
          <w:szCs w:val="21"/>
        </w:rPr>
      </w:pPr>
      <w:r>
        <w:t xml:space="preserve">《环境空气质量标准》（GB3095-2012）  </w:t>
      </w:r>
      <w:r>
        <w:rPr>
          <w:rFonts w:hint="eastAsia"/>
        </w:rPr>
        <w:t xml:space="preserve"> </w:t>
      </w:r>
      <w:r>
        <w:t xml:space="preserve"> </w:t>
      </w:r>
      <w:r>
        <w:rPr>
          <w:sz w:val="21"/>
          <w:szCs w:val="21"/>
        </w:rPr>
        <w:t>单位：mg/m</w:t>
      </w:r>
      <w:r>
        <w:rPr>
          <w:sz w:val="21"/>
          <w:szCs w:val="21"/>
          <w:vertAlign w:val="superscript"/>
        </w:rPr>
        <w:t>3</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33"/>
        <w:gridCol w:w="2469"/>
        <w:gridCol w:w="1462"/>
        <w:gridCol w:w="1964"/>
      </w:tblGrid>
      <w:tr w14:paraId="77DE4A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544" w:type="pct"/>
            <w:vAlign w:val="center"/>
          </w:tcPr>
          <w:p w14:paraId="45B79716">
            <w:pPr>
              <w:pStyle w:val="34"/>
            </w:pPr>
            <w:r>
              <w:t>污染物</w:t>
            </w:r>
          </w:p>
        </w:tc>
        <w:tc>
          <w:tcPr>
            <w:tcW w:w="1447" w:type="pct"/>
            <w:vAlign w:val="center"/>
          </w:tcPr>
          <w:p w14:paraId="2F2BFBF6">
            <w:pPr>
              <w:pStyle w:val="34"/>
            </w:pPr>
            <w:r>
              <w:t>取值时间</w:t>
            </w:r>
          </w:p>
        </w:tc>
        <w:tc>
          <w:tcPr>
            <w:tcW w:w="857" w:type="pct"/>
            <w:vAlign w:val="center"/>
          </w:tcPr>
          <w:p w14:paraId="456DE575">
            <w:pPr>
              <w:pStyle w:val="34"/>
            </w:pPr>
            <w:r>
              <w:t>单位</w:t>
            </w:r>
          </w:p>
        </w:tc>
        <w:tc>
          <w:tcPr>
            <w:tcW w:w="1151" w:type="pct"/>
            <w:vAlign w:val="center"/>
          </w:tcPr>
          <w:p w14:paraId="24089239">
            <w:pPr>
              <w:pStyle w:val="34"/>
            </w:pPr>
            <w:r>
              <w:t>二级标准浓度限值</w:t>
            </w:r>
          </w:p>
        </w:tc>
      </w:tr>
      <w:tr w14:paraId="257A4A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restart"/>
            <w:vAlign w:val="center"/>
          </w:tcPr>
          <w:p w14:paraId="25E0009C">
            <w:pPr>
              <w:pStyle w:val="34"/>
            </w:pPr>
            <w:r>
              <w:t>二氧化硫（SO</w:t>
            </w:r>
            <w:r>
              <w:rPr>
                <w:vertAlign w:val="subscript"/>
              </w:rPr>
              <w:t>2</w:t>
            </w:r>
            <w:r>
              <w:t>）</w:t>
            </w:r>
          </w:p>
        </w:tc>
        <w:tc>
          <w:tcPr>
            <w:tcW w:w="1447" w:type="pct"/>
            <w:vAlign w:val="center"/>
          </w:tcPr>
          <w:p w14:paraId="1D84296E">
            <w:pPr>
              <w:pStyle w:val="34"/>
            </w:pPr>
            <w:r>
              <w:t>年平均</w:t>
            </w:r>
          </w:p>
        </w:tc>
        <w:tc>
          <w:tcPr>
            <w:tcW w:w="857" w:type="pct"/>
            <w:vAlign w:val="center"/>
          </w:tcPr>
          <w:p w14:paraId="723622BF">
            <w:pPr>
              <w:pStyle w:val="34"/>
            </w:pPr>
            <w:r>
              <w:t>μg/m</w:t>
            </w:r>
            <w:r>
              <w:rPr>
                <w:vertAlign w:val="superscript"/>
              </w:rPr>
              <w:t>3</w:t>
            </w:r>
          </w:p>
        </w:tc>
        <w:tc>
          <w:tcPr>
            <w:tcW w:w="1151" w:type="pct"/>
            <w:vAlign w:val="center"/>
          </w:tcPr>
          <w:p w14:paraId="21DFE5A9">
            <w:pPr>
              <w:pStyle w:val="34"/>
            </w:pPr>
            <w:r>
              <w:t>60</w:t>
            </w:r>
          </w:p>
        </w:tc>
      </w:tr>
      <w:tr w14:paraId="59C6B1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continue"/>
            <w:vAlign w:val="center"/>
          </w:tcPr>
          <w:p w14:paraId="5F75D863">
            <w:pPr>
              <w:pStyle w:val="34"/>
            </w:pPr>
          </w:p>
        </w:tc>
        <w:tc>
          <w:tcPr>
            <w:tcW w:w="1447" w:type="pct"/>
            <w:vAlign w:val="center"/>
          </w:tcPr>
          <w:p w14:paraId="46FB2781">
            <w:pPr>
              <w:pStyle w:val="34"/>
            </w:pPr>
            <w:r>
              <w:t>24小时平均</w:t>
            </w:r>
          </w:p>
        </w:tc>
        <w:tc>
          <w:tcPr>
            <w:tcW w:w="857" w:type="pct"/>
            <w:vAlign w:val="center"/>
          </w:tcPr>
          <w:p w14:paraId="2C275C07">
            <w:pPr>
              <w:pStyle w:val="34"/>
            </w:pPr>
            <w:r>
              <w:t>μg/m</w:t>
            </w:r>
            <w:r>
              <w:rPr>
                <w:vertAlign w:val="superscript"/>
              </w:rPr>
              <w:t>3</w:t>
            </w:r>
          </w:p>
        </w:tc>
        <w:tc>
          <w:tcPr>
            <w:tcW w:w="1151" w:type="pct"/>
            <w:vAlign w:val="center"/>
          </w:tcPr>
          <w:p w14:paraId="7D023C0D">
            <w:pPr>
              <w:pStyle w:val="34"/>
            </w:pPr>
            <w:r>
              <w:t>150</w:t>
            </w:r>
          </w:p>
        </w:tc>
      </w:tr>
      <w:tr w14:paraId="62BF05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continue"/>
            <w:vAlign w:val="center"/>
          </w:tcPr>
          <w:p w14:paraId="36A05267">
            <w:pPr>
              <w:pStyle w:val="34"/>
            </w:pPr>
          </w:p>
        </w:tc>
        <w:tc>
          <w:tcPr>
            <w:tcW w:w="1447" w:type="pct"/>
            <w:vAlign w:val="center"/>
          </w:tcPr>
          <w:p w14:paraId="3F860B17">
            <w:pPr>
              <w:pStyle w:val="34"/>
            </w:pPr>
            <w:r>
              <w:t>1小时平均</w:t>
            </w:r>
          </w:p>
        </w:tc>
        <w:tc>
          <w:tcPr>
            <w:tcW w:w="857" w:type="pct"/>
            <w:vAlign w:val="center"/>
          </w:tcPr>
          <w:p w14:paraId="14644ABF">
            <w:pPr>
              <w:pStyle w:val="34"/>
            </w:pPr>
            <w:r>
              <w:t>μg/m</w:t>
            </w:r>
            <w:r>
              <w:rPr>
                <w:vertAlign w:val="superscript"/>
              </w:rPr>
              <w:t>3</w:t>
            </w:r>
          </w:p>
        </w:tc>
        <w:tc>
          <w:tcPr>
            <w:tcW w:w="1151" w:type="pct"/>
            <w:vAlign w:val="center"/>
          </w:tcPr>
          <w:p w14:paraId="66944F9C">
            <w:pPr>
              <w:pStyle w:val="34"/>
            </w:pPr>
            <w:r>
              <w:t>500</w:t>
            </w:r>
          </w:p>
        </w:tc>
      </w:tr>
      <w:tr w14:paraId="5200B8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restart"/>
            <w:vAlign w:val="center"/>
          </w:tcPr>
          <w:p w14:paraId="554DE25C">
            <w:pPr>
              <w:pStyle w:val="34"/>
            </w:pPr>
            <w:r>
              <w:t>二氧化氮（NO</w:t>
            </w:r>
            <w:r>
              <w:rPr>
                <w:vertAlign w:val="subscript"/>
              </w:rPr>
              <w:t>2</w:t>
            </w:r>
            <w:r>
              <w:t>）</w:t>
            </w:r>
          </w:p>
        </w:tc>
        <w:tc>
          <w:tcPr>
            <w:tcW w:w="1447" w:type="pct"/>
            <w:vAlign w:val="center"/>
          </w:tcPr>
          <w:p w14:paraId="27F1C44E">
            <w:pPr>
              <w:pStyle w:val="34"/>
            </w:pPr>
            <w:r>
              <w:t>年平均</w:t>
            </w:r>
          </w:p>
        </w:tc>
        <w:tc>
          <w:tcPr>
            <w:tcW w:w="857" w:type="pct"/>
            <w:vAlign w:val="center"/>
          </w:tcPr>
          <w:p w14:paraId="0104B8DC">
            <w:pPr>
              <w:pStyle w:val="34"/>
            </w:pPr>
            <w:r>
              <w:t>μg/m</w:t>
            </w:r>
            <w:r>
              <w:rPr>
                <w:vertAlign w:val="superscript"/>
              </w:rPr>
              <w:t>3</w:t>
            </w:r>
          </w:p>
        </w:tc>
        <w:tc>
          <w:tcPr>
            <w:tcW w:w="1151" w:type="pct"/>
            <w:vAlign w:val="center"/>
          </w:tcPr>
          <w:p w14:paraId="2D347F34">
            <w:pPr>
              <w:pStyle w:val="34"/>
            </w:pPr>
            <w:r>
              <w:t>40</w:t>
            </w:r>
          </w:p>
        </w:tc>
      </w:tr>
      <w:tr w14:paraId="1CFB3B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continue"/>
            <w:vAlign w:val="center"/>
          </w:tcPr>
          <w:p w14:paraId="00C4E797">
            <w:pPr>
              <w:pStyle w:val="34"/>
            </w:pPr>
          </w:p>
        </w:tc>
        <w:tc>
          <w:tcPr>
            <w:tcW w:w="1447" w:type="pct"/>
            <w:vAlign w:val="center"/>
          </w:tcPr>
          <w:p w14:paraId="1CF52D6D">
            <w:pPr>
              <w:pStyle w:val="34"/>
            </w:pPr>
            <w:r>
              <w:t>24小时平均</w:t>
            </w:r>
          </w:p>
        </w:tc>
        <w:tc>
          <w:tcPr>
            <w:tcW w:w="857" w:type="pct"/>
            <w:vAlign w:val="center"/>
          </w:tcPr>
          <w:p w14:paraId="04DC7077">
            <w:pPr>
              <w:pStyle w:val="34"/>
            </w:pPr>
            <w:r>
              <w:t>μg/m</w:t>
            </w:r>
            <w:r>
              <w:rPr>
                <w:vertAlign w:val="superscript"/>
              </w:rPr>
              <w:t>3</w:t>
            </w:r>
          </w:p>
        </w:tc>
        <w:tc>
          <w:tcPr>
            <w:tcW w:w="1151" w:type="pct"/>
            <w:vAlign w:val="center"/>
          </w:tcPr>
          <w:p w14:paraId="17D3373F">
            <w:pPr>
              <w:pStyle w:val="34"/>
            </w:pPr>
            <w:r>
              <w:t>80</w:t>
            </w:r>
          </w:p>
        </w:tc>
      </w:tr>
      <w:tr w14:paraId="14E49D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continue"/>
            <w:vAlign w:val="center"/>
          </w:tcPr>
          <w:p w14:paraId="6D37A31E">
            <w:pPr>
              <w:pStyle w:val="34"/>
            </w:pPr>
          </w:p>
        </w:tc>
        <w:tc>
          <w:tcPr>
            <w:tcW w:w="1447" w:type="pct"/>
            <w:vAlign w:val="center"/>
          </w:tcPr>
          <w:p w14:paraId="0A79A32F">
            <w:pPr>
              <w:pStyle w:val="34"/>
            </w:pPr>
            <w:r>
              <w:t>1小时平均</w:t>
            </w:r>
          </w:p>
        </w:tc>
        <w:tc>
          <w:tcPr>
            <w:tcW w:w="857" w:type="pct"/>
            <w:vAlign w:val="center"/>
          </w:tcPr>
          <w:p w14:paraId="777605E2">
            <w:pPr>
              <w:pStyle w:val="34"/>
            </w:pPr>
            <w:r>
              <w:t>μg/m</w:t>
            </w:r>
            <w:r>
              <w:rPr>
                <w:vertAlign w:val="superscript"/>
              </w:rPr>
              <w:t>3</w:t>
            </w:r>
          </w:p>
        </w:tc>
        <w:tc>
          <w:tcPr>
            <w:tcW w:w="1151" w:type="pct"/>
            <w:vAlign w:val="center"/>
          </w:tcPr>
          <w:p w14:paraId="05CC97B5">
            <w:pPr>
              <w:pStyle w:val="34"/>
            </w:pPr>
            <w:r>
              <w:t>200</w:t>
            </w:r>
          </w:p>
        </w:tc>
      </w:tr>
      <w:tr w14:paraId="543D16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restart"/>
            <w:vAlign w:val="center"/>
          </w:tcPr>
          <w:p w14:paraId="21847B8F">
            <w:pPr>
              <w:pStyle w:val="34"/>
            </w:pPr>
            <w:r>
              <w:t>总悬浮颗粒物（TSP）</w:t>
            </w:r>
          </w:p>
        </w:tc>
        <w:tc>
          <w:tcPr>
            <w:tcW w:w="1447" w:type="pct"/>
            <w:vAlign w:val="center"/>
          </w:tcPr>
          <w:p w14:paraId="7284E840">
            <w:pPr>
              <w:pStyle w:val="34"/>
            </w:pPr>
            <w:r>
              <w:t>年平均</w:t>
            </w:r>
          </w:p>
        </w:tc>
        <w:tc>
          <w:tcPr>
            <w:tcW w:w="857" w:type="pct"/>
            <w:vAlign w:val="center"/>
          </w:tcPr>
          <w:p w14:paraId="6FCECE24">
            <w:pPr>
              <w:pStyle w:val="34"/>
            </w:pPr>
            <w:r>
              <w:t>μg/m</w:t>
            </w:r>
            <w:r>
              <w:rPr>
                <w:vertAlign w:val="superscript"/>
              </w:rPr>
              <w:t>3</w:t>
            </w:r>
          </w:p>
        </w:tc>
        <w:tc>
          <w:tcPr>
            <w:tcW w:w="1151" w:type="pct"/>
            <w:vAlign w:val="center"/>
          </w:tcPr>
          <w:p w14:paraId="6BC734AF">
            <w:pPr>
              <w:pStyle w:val="34"/>
            </w:pPr>
            <w:r>
              <w:t>200</w:t>
            </w:r>
          </w:p>
        </w:tc>
      </w:tr>
      <w:tr w14:paraId="3EBF5E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continue"/>
            <w:vAlign w:val="center"/>
          </w:tcPr>
          <w:p w14:paraId="468CB9F9">
            <w:pPr>
              <w:pStyle w:val="34"/>
            </w:pPr>
          </w:p>
        </w:tc>
        <w:tc>
          <w:tcPr>
            <w:tcW w:w="1447" w:type="pct"/>
            <w:vAlign w:val="center"/>
          </w:tcPr>
          <w:p w14:paraId="1FC75BED">
            <w:pPr>
              <w:pStyle w:val="34"/>
            </w:pPr>
            <w:r>
              <w:t>24小时平均</w:t>
            </w:r>
          </w:p>
        </w:tc>
        <w:tc>
          <w:tcPr>
            <w:tcW w:w="857" w:type="pct"/>
            <w:vAlign w:val="center"/>
          </w:tcPr>
          <w:p w14:paraId="3E1E5E1A">
            <w:pPr>
              <w:pStyle w:val="34"/>
            </w:pPr>
            <w:r>
              <w:t>μg/m</w:t>
            </w:r>
            <w:r>
              <w:rPr>
                <w:vertAlign w:val="superscript"/>
              </w:rPr>
              <w:t>3</w:t>
            </w:r>
          </w:p>
        </w:tc>
        <w:tc>
          <w:tcPr>
            <w:tcW w:w="1151" w:type="pct"/>
            <w:vAlign w:val="center"/>
          </w:tcPr>
          <w:p w14:paraId="2E0CDE78">
            <w:pPr>
              <w:pStyle w:val="34"/>
            </w:pPr>
            <w:r>
              <w:t>300</w:t>
            </w:r>
          </w:p>
        </w:tc>
      </w:tr>
      <w:tr w14:paraId="2FED6E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restart"/>
            <w:vAlign w:val="center"/>
          </w:tcPr>
          <w:p w14:paraId="4EAAD424">
            <w:pPr>
              <w:pStyle w:val="34"/>
            </w:pPr>
            <w:r>
              <w:t>可吸入颗粒物（PM</w:t>
            </w:r>
            <w:r>
              <w:rPr>
                <w:vertAlign w:val="subscript"/>
              </w:rPr>
              <w:t>10</w:t>
            </w:r>
            <w:r>
              <w:t>）</w:t>
            </w:r>
          </w:p>
        </w:tc>
        <w:tc>
          <w:tcPr>
            <w:tcW w:w="1447" w:type="pct"/>
            <w:vAlign w:val="center"/>
          </w:tcPr>
          <w:p w14:paraId="0A993B94">
            <w:pPr>
              <w:pStyle w:val="34"/>
            </w:pPr>
            <w:r>
              <w:t>年平均</w:t>
            </w:r>
          </w:p>
        </w:tc>
        <w:tc>
          <w:tcPr>
            <w:tcW w:w="857" w:type="pct"/>
            <w:vAlign w:val="center"/>
          </w:tcPr>
          <w:p w14:paraId="338F4FB8">
            <w:pPr>
              <w:pStyle w:val="34"/>
            </w:pPr>
            <w:r>
              <w:t>μg/m</w:t>
            </w:r>
            <w:r>
              <w:rPr>
                <w:vertAlign w:val="superscript"/>
              </w:rPr>
              <w:t>3</w:t>
            </w:r>
          </w:p>
        </w:tc>
        <w:tc>
          <w:tcPr>
            <w:tcW w:w="1151" w:type="pct"/>
            <w:vAlign w:val="center"/>
          </w:tcPr>
          <w:p w14:paraId="1BF20D1A">
            <w:pPr>
              <w:pStyle w:val="34"/>
            </w:pPr>
            <w:r>
              <w:t>70</w:t>
            </w:r>
          </w:p>
        </w:tc>
      </w:tr>
      <w:tr w14:paraId="4E072A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continue"/>
            <w:vAlign w:val="center"/>
          </w:tcPr>
          <w:p w14:paraId="42AE0B64">
            <w:pPr>
              <w:pStyle w:val="34"/>
            </w:pPr>
          </w:p>
        </w:tc>
        <w:tc>
          <w:tcPr>
            <w:tcW w:w="1447" w:type="pct"/>
            <w:vAlign w:val="center"/>
          </w:tcPr>
          <w:p w14:paraId="29F7DFBC">
            <w:pPr>
              <w:pStyle w:val="34"/>
            </w:pPr>
            <w:r>
              <w:t>24小时平均</w:t>
            </w:r>
          </w:p>
        </w:tc>
        <w:tc>
          <w:tcPr>
            <w:tcW w:w="857" w:type="pct"/>
            <w:vAlign w:val="center"/>
          </w:tcPr>
          <w:p w14:paraId="254EF20F">
            <w:pPr>
              <w:pStyle w:val="34"/>
            </w:pPr>
            <w:r>
              <w:t>μg/m</w:t>
            </w:r>
            <w:r>
              <w:rPr>
                <w:vertAlign w:val="superscript"/>
              </w:rPr>
              <w:t>3</w:t>
            </w:r>
          </w:p>
        </w:tc>
        <w:tc>
          <w:tcPr>
            <w:tcW w:w="1151" w:type="pct"/>
            <w:vAlign w:val="center"/>
          </w:tcPr>
          <w:p w14:paraId="60A8FD38">
            <w:pPr>
              <w:pStyle w:val="34"/>
            </w:pPr>
            <w:r>
              <w:t>150</w:t>
            </w:r>
          </w:p>
        </w:tc>
      </w:tr>
      <w:tr w14:paraId="2AE1AE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restart"/>
            <w:vAlign w:val="center"/>
          </w:tcPr>
          <w:p w14:paraId="03E442D6">
            <w:pPr>
              <w:pStyle w:val="34"/>
            </w:pPr>
            <w:r>
              <w:t>细颗粒物（PM</w:t>
            </w:r>
            <w:r>
              <w:rPr>
                <w:vertAlign w:val="subscript"/>
              </w:rPr>
              <w:t>2.5</w:t>
            </w:r>
            <w:r>
              <w:t>）</w:t>
            </w:r>
          </w:p>
        </w:tc>
        <w:tc>
          <w:tcPr>
            <w:tcW w:w="1447" w:type="pct"/>
            <w:vAlign w:val="center"/>
          </w:tcPr>
          <w:p w14:paraId="66E4BB9F">
            <w:pPr>
              <w:pStyle w:val="34"/>
            </w:pPr>
            <w:r>
              <w:t>年平均</w:t>
            </w:r>
          </w:p>
        </w:tc>
        <w:tc>
          <w:tcPr>
            <w:tcW w:w="857" w:type="pct"/>
            <w:vAlign w:val="center"/>
          </w:tcPr>
          <w:p w14:paraId="6FFE9F38">
            <w:pPr>
              <w:pStyle w:val="34"/>
            </w:pPr>
            <w:r>
              <w:t>μg/m</w:t>
            </w:r>
            <w:r>
              <w:rPr>
                <w:vertAlign w:val="superscript"/>
              </w:rPr>
              <w:t>3</w:t>
            </w:r>
          </w:p>
        </w:tc>
        <w:tc>
          <w:tcPr>
            <w:tcW w:w="1151" w:type="pct"/>
            <w:vAlign w:val="center"/>
          </w:tcPr>
          <w:p w14:paraId="162F2D18">
            <w:pPr>
              <w:pStyle w:val="34"/>
            </w:pPr>
            <w:r>
              <w:t>35</w:t>
            </w:r>
          </w:p>
        </w:tc>
      </w:tr>
      <w:tr w14:paraId="1EB173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continue"/>
            <w:vAlign w:val="center"/>
          </w:tcPr>
          <w:p w14:paraId="2EDE7194">
            <w:pPr>
              <w:pStyle w:val="34"/>
            </w:pPr>
          </w:p>
        </w:tc>
        <w:tc>
          <w:tcPr>
            <w:tcW w:w="1447" w:type="pct"/>
            <w:vAlign w:val="center"/>
          </w:tcPr>
          <w:p w14:paraId="26B7FA3B">
            <w:pPr>
              <w:pStyle w:val="34"/>
            </w:pPr>
            <w:r>
              <w:t>24小时平均</w:t>
            </w:r>
          </w:p>
        </w:tc>
        <w:tc>
          <w:tcPr>
            <w:tcW w:w="857" w:type="pct"/>
            <w:vAlign w:val="center"/>
          </w:tcPr>
          <w:p w14:paraId="7B077D80">
            <w:pPr>
              <w:pStyle w:val="34"/>
            </w:pPr>
            <w:r>
              <w:t>μg/m</w:t>
            </w:r>
            <w:r>
              <w:rPr>
                <w:vertAlign w:val="superscript"/>
              </w:rPr>
              <w:t>3</w:t>
            </w:r>
          </w:p>
        </w:tc>
        <w:tc>
          <w:tcPr>
            <w:tcW w:w="1151" w:type="pct"/>
            <w:vAlign w:val="center"/>
          </w:tcPr>
          <w:p w14:paraId="6966900F">
            <w:pPr>
              <w:pStyle w:val="34"/>
            </w:pPr>
            <w:r>
              <w:t>75</w:t>
            </w:r>
          </w:p>
        </w:tc>
      </w:tr>
      <w:tr w14:paraId="5526BE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Align w:val="center"/>
          </w:tcPr>
          <w:p w14:paraId="186EEB13">
            <w:pPr>
              <w:pStyle w:val="34"/>
              <w:rPr>
                <w:u w:val="single"/>
              </w:rPr>
            </w:pPr>
            <w:r>
              <w:rPr>
                <w:rFonts w:hint="eastAsia"/>
                <w:u w:val="single"/>
              </w:rPr>
              <w:t>VOCs</w:t>
            </w:r>
          </w:p>
        </w:tc>
        <w:tc>
          <w:tcPr>
            <w:tcW w:w="1447" w:type="pct"/>
            <w:vAlign w:val="center"/>
          </w:tcPr>
          <w:p w14:paraId="723CF1E5">
            <w:pPr>
              <w:pStyle w:val="34"/>
              <w:rPr>
                <w:u w:val="single"/>
              </w:rPr>
            </w:pPr>
            <w:r>
              <w:rPr>
                <w:rFonts w:hint="eastAsia"/>
                <w:u w:val="single"/>
              </w:rPr>
              <w:t>1平均值</w:t>
            </w:r>
          </w:p>
        </w:tc>
        <w:tc>
          <w:tcPr>
            <w:tcW w:w="857" w:type="pct"/>
            <w:vAlign w:val="center"/>
          </w:tcPr>
          <w:p w14:paraId="2718CEA9">
            <w:pPr>
              <w:pStyle w:val="34"/>
              <w:rPr>
                <w:u w:val="single"/>
              </w:rPr>
            </w:pPr>
            <w:r>
              <w:rPr>
                <w:rFonts w:hint="eastAsia"/>
                <w:u w:val="single"/>
              </w:rPr>
              <w:t>u</w:t>
            </w:r>
            <w:r>
              <w:rPr>
                <w:u w:val="single"/>
              </w:rPr>
              <w:t>g/m</w:t>
            </w:r>
            <w:r>
              <w:rPr>
                <w:u w:val="single"/>
                <w:vertAlign w:val="superscript"/>
              </w:rPr>
              <w:t>3</w:t>
            </w:r>
          </w:p>
        </w:tc>
        <w:tc>
          <w:tcPr>
            <w:tcW w:w="1151" w:type="pct"/>
            <w:vAlign w:val="center"/>
          </w:tcPr>
          <w:p w14:paraId="7DBCF598">
            <w:pPr>
              <w:pStyle w:val="34"/>
              <w:rPr>
                <w:u w:val="single"/>
              </w:rPr>
            </w:pPr>
            <w:r>
              <w:rPr>
                <w:rFonts w:hint="eastAsia"/>
                <w:u w:val="single"/>
              </w:rPr>
              <w:t>1200</w:t>
            </w:r>
          </w:p>
        </w:tc>
      </w:tr>
    </w:tbl>
    <w:p w14:paraId="18A23C3A">
      <w:pPr>
        <w:ind w:firstLine="462"/>
        <w:rPr>
          <w:u w:val="single"/>
        </w:rPr>
      </w:pPr>
      <w:bookmarkStart w:id="118" w:name="_Toc160854846"/>
      <w:bookmarkStart w:id="119" w:name="_Toc160857119"/>
      <w:bookmarkStart w:id="120" w:name="_Toc160855801"/>
      <w:r>
        <w:rPr>
          <w:rFonts w:hint="eastAsia"/>
        </w:rPr>
        <w:t>大气污染物二氧化硫、氮氧化物、颗粒物排放执行《大气污染物综合排放标准》（</w:t>
      </w:r>
      <w:r>
        <w:t>GB16297</w:t>
      </w:r>
      <w:r>
        <w:rPr>
          <w:rFonts w:hint="eastAsia"/>
        </w:rPr>
        <w:t>－</w:t>
      </w:r>
      <w:r>
        <w:t>1996</w:t>
      </w:r>
      <w:r>
        <w:rPr>
          <w:rFonts w:hint="eastAsia"/>
        </w:rPr>
        <w:t>）中无组织排放监控浓度限值。</w:t>
      </w:r>
      <w:r>
        <w:rPr>
          <w:szCs w:val="22"/>
          <w:u w:val="single"/>
          <w:lang w:bidi="ar"/>
        </w:rPr>
        <w:t>非甲烷总烃NMHC参照</w:t>
      </w:r>
      <w:r>
        <w:rPr>
          <w:rFonts w:hint="eastAsia"/>
          <w:szCs w:val="22"/>
          <w:u w:val="single"/>
          <w:lang w:bidi="ar"/>
        </w:rPr>
        <w:t>《挥发性有机物无组织排放控制标准》（GB37822-2019）1h</w:t>
      </w:r>
      <w:r>
        <w:rPr>
          <w:szCs w:val="22"/>
          <w:u w:val="single"/>
          <w:lang w:bidi="ar"/>
        </w:rPr>
        <w:t>浓度限值</w:t>
      </w:r>
      <w:r>
        <w:rPr>
          <w:rFonts w:hint="eastAsia"/>
          <w:szCs w:val="22"/>
          <w:u w:val="single"/>
          <w:lang w:bidi="ar"/>
        </w:rPr>
        <w:t>10</w:t>
      </w:r>
      <w:r>
        <w:rPr>
          <w:szCs w:val="22"/>
          <w:u w:val="single"/>
          <w:lang w:bidi="ar"/>
        </w:rPr>
        <w:t>mg/m</w:t>
      </w:r>
      <w:r>
        <w:rPr>
          <w:szCs w:val="22"/>
          <w:u w:val="single"/>
          <w:vertAlign w:val="superscript"/>
          <w:lang w:bidi="ar"/>
        </w:rPr>
        <w:t>3</w:t>
      </w:r>
      <w:r>
        <w:rPr>
          <w:szCs w:val="22"/>
          <w:u w:val="single"/>
          <w:lang w:bidi="ar"/>
        </w:rPr>
        <w:t>要求。</w:t>
      </w:r>
    </w:p>
    <w:p w14:paraId="22ED4754">
      <w:pPr>
        <w:pStyle w:val="7"/>
        <w:rPr>
          <w:u w:val="single"/>
        </w:rPr>
      </w:pPr>
      <w:r>
        <w:rPr>
          <w:u w:val="single"/>
        </w:rPr>
        <w:t>大气污染物排放标准</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361"/>
        <w:gridCol w:w="866"/>
        <w:gridCol w:w="2185"/>
        <w:gridCol w:w="1923"/>
        <w:gridCol w:w="3033"/>
      </w:tblGrid>
      <w:tr w14:paraId="67302A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70" w:hRule="atLeast"/>
          <w:jc w:val="center"/>
        </w:trPr>
        <w:tc>
          <w:tcPr>
            <w:tcW w:w="0" w:type="auto"/>
            <w:vMerge w:val="restart"/>
            <w:vAlign w:val="center"/>
          </w:tcPr>
          <w:p w14:paraId="03D61538">
            <w:pPr>
              <w:pStyle w:val="34"/>
              <w:rPr>
                <w:snapToGrid w:val="0"/>
                <w:u w:val="single"/>
              </w:rPr>
            </w:pPr>
            <w:r>
              <w:rPr>
                <w:snapToGrid w:val="0"/>
                <w:u w:val="single"/>
              </w:rPr>
              <w:t>序号</w:t>
            </w:r>
          </w:p>
        </w:tc>
        <w:tc>
          <w:tcPr>
            <w:tcW w:w="0" w:type="auto"/>
            <w:vMerge w:val="restart"/>
            <w:vAlign w:val="center"/>
          </w:tcPr>
          <w:p w14:paraId="46F8C58F">
            <w:pPr>
              <w:pStyle w:val="34"/>
              <w:rPr>
                <w:snapToGrid w:val="0"/>
                <w:u w:val="single"/>
              </w:rPr>
            </w:pPr>
            <w:r>
              <w:rPr>
                <w:snapToGrid w:val="0"/>
                <w:u w:val="single"/>
              </w:rPr>
              <w:t>污染物名称</w:t>
            </w:r>
          </w:p>
        </w:tc>
        <w:tc>
          <w:tcPr>
            <w:tcW w:w="0" w:type="auto"/>
            <w:gridSpan w:val="2"/>
            <w:vAlign w:val="center"/>
          </w:tcPr>
          <w:p w14:paraId="50BFCBFA">
            <w:pPr>
              <w:pStyle w:val="34"/>
              <w:rPr>
                <w:snapToGrid w:val="0"/>
                <w:u w:val="single"/>
              </w:rPr>
            </w:pPr>
            <w:r>
              <w:rPr>
                <w:snapToGrid w:val="0"/>
                <w:u w:val="single"/>
              </w:rPr>
              <w:t>无组织排放监控浓度限值</w:t>
            </w:r>
          </w:p>
        </w:tc>
        <w:tc>
          <w:tcPr>
            <w:tcW w:w="0" w:type="auto"/>
            <w:vMerge w:val="restart"/>
            <w:vAlign w:val="center"/>
          </w:tcPr>
          <w:p w14:paraId="6901052B">
            <w:pPr>
              <w:pStyle w:val="34"/>
              <w:rPr>
                <w:snapToGrid w:val="0"/>
                <w:u w:val="single"/>
              </w:rPr>
            </w:pPr>
            <w:r>
              <w:rPr>
                <w:snapToGrid w:val="0"/>
                <w:u w:val="single"/>
              </w:rPr>
              <w:t>执行标准</w:t>
            </w:r>
          </w:p>
        </w:tc>
      </w:tr>
      <w:tr w14:paraId="23C90C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70" w:hRule="atLeast"/>
          <w:jc w:val="center"/>
        </w:trPr>
        <w:tc>
          <w:tcPr>
            <w:tcW w:w="0" w:type="auto"/>
            <w:vMerge w:val="continue"/>
            <w:vAlign w:val="center"/>
          </w:tcPr>
          <w:p w14:paraId="3DCEB4DF">
            <w:pPr>
              <w:pStyle w:val="34"/>
              <w:rPr>
                <w:snapToGrid w:val="0"/>
                <w:u w:val="single"/>
              </w:rPr>
            </w:pPr>
          </w:p>
        </w:tc>
        <w:tc>
          <w:tcPr>
            <w:tcW w:w="0" w:type="auto"/>
            <w:vMerge w:val="continue"/>
            <w:vAlign w:val="center"/>
          </w:tcPr>
          <w:p w14:paraId="3DFDB584">
            <w:pPr>
              <w:pStyle w:val="34"/>
              <w:rPr>
                <w:snapToGrid w:val="0"/>
                <w:u w:val="single"/>
              </w:rPr>
            </w:pPr>
          </w:p>
        </w:tc>
        <w:tc>
          <w:tcPr>
            <w:tcW w:w="0" w:type="auto"/>
            <w:vAlign w:val="center"/>
          </w:tcPr>
          <w:p w14:paraId="49294F03">
            <w:pPr>
              <w:pStyle w:val="34"/>
              <w:rPr>
                <w:snapToGrid w:val="0"/>
                <w:u w:val="single"/>
              </w:rPr>
            </w:pPr>
            <w:r>
              <w:rPr>
                <w:snapToGrid w:val="0"/>
                <w:u w:val="single"/>
              </w:rPr>
              <w:t>监控点</w:t>
            </w:r>
          </w:p>
        </w:tc>
        <w:tc>
          <w:tcPr>
            <w:tcW w:w="0" w:type="auto"/>
            <w:vAlign w:val="center"/>
          </w:tcPr>
          <w:p w14:paraId="50C8F98F">
            <w:pPr>
              <w:pStyle w:val="34"/>
              <w:rPr>
                <w:snapToGrid w:val="0"/>
                <w:u w:val="single"/>
              </w:rPr>
            </w:pPr>
            <w:r>
              <w:rPr>
                <w:snapToGrid w:val="0"/>
                <w:u w:val="single"/>
              </w:rPr>
              <w:t>浓度（mg</w:t>
            </w:r>
            <w:r>
              <w:rPr>
                <w:snapToGrid w:val="0"/>
                <w:u w:val="single"/>
              </w:rPr>
              <w:sym w:font="Courier New" w:char="002F"/>
            </w:r>
            <w:r>
              <w:rPr>
                <w:snapToGrid w:val="0"/>
                <w:u w:val="single"/>
              </w:rPr>
              <w:t>m</w:t>
            </w:r>
            <w:r>
              <w:rPr>
                <w:snapToGrid w:val="0"/>
                <w:u w:val="single"/>
                <w:vertAlign w:val="superscript"/>
              </w:rPr>
              <w:t>3</w:t>
            </w:r>
            <w:r>
              <w:rPr>
                <w:snapToGrid w:val="0"/>
                <w:u w:val="single"/>
              </w:rPr>
              <w:t>）</w:t>
            </w:r>
          </w:p>
        </w:tc>
        <w:tc>
          <w:tcPr>
            <w:tcW w:w="0" w:type="auto"/>
            <w:vMerge w:val="continue"/>
            <w:vAlign w:val="center"/>
          </w:tcPr>
          <w:p w14:paraId="491ACA20">
            <w:pPr>
              <w:pStyle w:val="34"/>
              <w:rPr>
                <w:snapToGrid w:val="0"/>
                <w:u w:val="single"/>
              </w:rPr>
            </w:pPr>
          </w:p>
        </w:tc>
      </w:tr>
      <w:tr w14:paraId="0FE2DC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70" w:hRule="atLeast"/>
          <w:jc w:val="center"/>
        </w:trPr>
        <w:tc>
          <w:tcPr>
            <w:tcW w:w="0" w:type="auto"/>
            <w:vAlign w:val="center"/>
          </w:tcPr>
          <w:p w14:paraId="72DF8A03">
            <w:pPr>
              <w:pStyle w:val="34"/>
              <w:rPr>
                <w:u w:val="single"/>
              </w:rPr>
            </w:pPr>
            <w:r>
              <w:rPr>
                <w:rFonts w:hint="eastAsia"/>
                <w:u w:val="single"/>
              </w:rPr>
              <w:t>1</w:t>
            </w:r>
          </w:p>
        </w:tc>
        <w:tc>
          <w:tcPr>
            <w:tcW w:w="0" w:type="auto"/>
            <w:vAlign w:val="center"/>
          </w:tcPr>
          <w:p w14:paraId="04BE7FA4">
            <w:pPr>
              <w:pStyle w:val="34"/>
              <w:rPr>
                <w:u w:val="single"/>
              </w:rPr>
            </w:pPr>
            <w:r>
              <w:rPr>
                <w:u w:val="single"/>
              </w:rPr>
              <w:t>二氧化硫</w:t>
            </w:r>
          </w:p>
        </w:tc>
        <w:tc>
          <w:tcPr>
            <w:tcW w:w="0" w:type="auto"/>
            <w:vMerge w:val="restart"/>
            <w:vAlign w:val="center"/>
          </w:tcPr>
          <w:p w14:paraId="1B337572">
            <w:pPr>
              <w:pStyle w:val="34"/>
              <w:rPr>
                <w:u w:val="single"/>
              </w:rPr>
            </w:pPr>
            <w:r>
              <w:rPr>
                <w:u w:val="single"/>
              </w:rPr>
              <w:t>周界外浓度最高点</w:t>
            </w:r>
          </w:p>
        </w:tc>
        <w:tc>
          <w:tcPr>
            <w:tcW w:w="0" w:type="auto"/>
            <w:vAlign w:val="center"/>
          </w:tcPr>
          <w:p w14:paraId="202D591A">
            <w:pPr>
              <w:pStyle w:val="34"/>
              <w:rPr>
                <w:u w:val="single"/>
              </w:rPr>
            </w:pPr>
            <w:r>
              <w:rPr>
                <w:u w:val="single"/>
              </w:rPr>
              <w:t>0.40</w:t>
            </w:r>
          </w:p>
        </w:tc>
        <w:tc>
          <w:tcPr>
            <w:tcW w:w="0" w:type="auto"/>
            <w:vMerge w:val="restart"/>
            <w:vAlign w:val="center"/>
          </w:tcPr>
          <w:p w14:paraId="06C00740">
            <w:pPr>
              <w:pStyle w:val="34"/>
              <w:rPr>
                <w:u w:val="single"/>
              </w:rPr>
            </w:pPr>
            <w:r>
              <w:rPr>
                <w:u w:val="single"/>
              </w:rPr>
              <w:t>《大气污染物综合排放标准》（GB16297—1996）</w:t>
            </w:r>
          </w:p>
        </w:tc>
      </w:tr>
      <w:tr w14:paraId="6D161F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70" w:hRule="atLeast"/>
          <w:jc w:val="center"/>
        </w:trPr>
        <w:tc>
          <w:tcPr>
            <w:tcW w:w="0" w:type="auto"/>
            <w:vAlign w:val="center"/>
          </w:tcPr>
          <w:p w14:paraId="0D396638">
            <w:pPr>
              <w:pStyle w:val="34"/>
              <w:rPr>
                <w:u w:val="single"/>
              </w:rPr>
            </w:pPr>
            <w:r>
              <w:rPr>
                <w:rFonts w:hint="eastAsia"/>
                <w:u w:val="single"/>
              </w:rPr>
              <w:t>2</w:t>
            </w:r>
          </w:p>
        </w:tc>
        <w:tc>
          <w:tcPr>
            <w:tcW w:w="0" w:type="auto"/>
            <w:vAlign w:val="center"/>
          </w:tcPr>
          <w:p w14:paraId="6E1325BE">
            <w:pPr>
              <w:pStyle w:val="34"/>
              <w:rPr>
                <w:u w:val="single"/>
              </w:rPr>
            </w:pPr>
            <w:r>
              <w:rPr>
                <w:u w:val="single"/>
              </w:rPr>
              <w:t>氮氧化物</w:t>
            </w:r>
          </w:p>
        </w:tc>
        <w:tc>
          <w:tcPr>
            <w:tcW w:w="0" w:type="auto"/>
            <w:vMerge w:val="continue"/>
            <w:vAlign w:val="center"/>
          </w:tcPr>
          <w:p w14:paraId="6F9BDB16">
            <w:pPr>
              <w:pStyle w:val="34"/>
              <w:rPr>
                <w:u w:val="single"/>
              </w:rPr>
            </w:pPr>
          </w:p>
        </w:tc>
        <w:tc>
          <w:tcPr>
            <w:tcW w:w="0" w:type="auto"/>
            <w:vAlign w:val="center"/>
          </w:tcPr>
          <w:p w14:paraId="4930DEF1">
            <w:pPr>
              <w:pStyle w:val="34"/>
              <w:rPr>
                <w:u w:val="single"/>
              </w:rPr>
            </w:pPr>
            <w:r>
              <w:rPr>
                <w:u w:val="single"/>
              </w:rPr>
              <w:t>0.12</w:t>
            </w:r>
          </w:p>
        </w:tc>
        <w:tc>
          <w:tcPr>
            <w:tcW w:w="0" w:type="auto"/>
            <w:vMerge w:val="continue"/>
            <w:vAlign w:val="center"/>
          </w:tcPr>
          <w:p w14:paraId="72E59871">
            <w:pPr>
              <w:pStyle w:val="34"/>
              <w:rPr>
                <w:u w:val="single"/>
              </w:rPr>
            </w:pPr>
          </w:p>
        </w:tc>
      </w:tr>
      <w:tr w14:paraId="04EE35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70" w:hRule="atLeast"/>
          <w:jc w:val="center"/>
        </w:trPr>
        <w:tc>
          <w:tcPr>
            <w:tcW w:w="0" w:type="auto"/>
            <w:vAlign w:val="center"/>
          </w:tcPr>
          <w:p w14:paraId="04C4A79C">
            <w:pPr>
              <w:pStyle w:val="34"/>
              <w:rPr>
                <w:u w:val="single"/>
              </w:rPr>
            </w:pPr>
            <w:r>
              <w:rPr>
                <w:rFonts w:hint="eastAsia"/>
                <w:u w:val="single"/>
              </w:rPr>
              <w:t>3</w:t>
            </w:r>
          </w:p>
        </w:tc>
        <w:tc>
          <w:tcPr>
            <w:tcW w:w="0" w:type="auto"/>
            <w:vAlign w:val="center"/>
          </w:tcPr>
          <w:p w14:paraId="075EC140">
            <w:pPr>
              <w:pStyle w:val="34"/>
              <w:rPr>
                <w:u w:val="single"/>
              </w:rPr>
            </w:pPr>
            <w:r>
              <w:rPr>
                <w:u w:val="single"/>
              </w:rPr>
              <w:t>颗粒物</w:t>
            </w:r>
          </w:p>
        </w:tc>
        <w:tc>
          <w:tcPr>
            <w:tcW w:w="0" w:type="auto"/>
            <w:vAlign w:val="center"/>
          </w:tcPr>
          <w:p w14:paraId="592862DB">
            <w:pPr>
              <w:pStyle w:val="34"/>
              <w:rPr>
                <w:u w:val="single"/>
              </w:rPr>
            </w:pPr>
            <w:r>
              <w:rPr>
                <w:u w:val="single"/>
              </w:rPr>
              <w:t>无组织排放源上风向设参照点，下风向设监控点</w:t>
            </w:r>
          </w:p>
        </w:tc>
        <w:tc>
          <w:tcPr>
            <w:tcW w:w="0" w:type="auto"/>
            <w:vAlign w:val="center"/>
          </w:tcPr>
          <w:p w14:paraId="7D6544A5">
            <w:pPr>
              <w:pStyle w:val="34"/>
              <w:rPr>
                <w:u w:val="single"/>
              </w:rPr>
            </w:pPr>
            <w:r>
              <w:rPr>
                <w:u w:val="single"/>
              </w:rPr>
              <w:t>1.0（监控点与参照点浓度差值）</w:t>
            </w:r>
          </w:p>
        </w:tc>
        <w:tc>
          <w:tcPr>
            <w:tcW w:w="0" w:type="auto"/>
            <w:vMerge w:val="continue"/>
            <w:vAlign w:val="center"/>
          </w:tcPr>
          <w:p w14:paraId="31076D05">
            <w:pPr>
              <w:pStyle w:val="34"/>
              <w:rPr>
                <w:u w:val="single"/>
              </w:rPr>
            </w:pPr>
          </w:p>
        </w:tc>
      </w:tr>
      <w:tr w14:paraId="03A29E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70" w:hRule="atLeast"/>
          <w:jc w:val="center"/>
        </w:trPr>
        <w:tc>
          <w:tcPr>
            <w:tcW w:w="0" w:type="auto"/>
            <w:vAlign w:val="center"/>
          </w:tcPr>
          <w:p w14:paraId="7CB39049">
            <w:pPr>
              <w:pStyle w:val="34"/>
              <w:rPr>
                <w:u w:val="single"/>
              </w:rPr>
            </w:pPr>
            <w:r>
              <w:rPr>
                <w:rFonts w:hint="eastAsia"/>
                <w:u w:val="single"/>
              </w:rPr>
              <w:t>4</w:t>
            </w:r>
          </w:p>
        </w:tc>
        <w:tc>
          <w:tcPr>
            <w:tcW w:w="0" w:type="auto"/>
            <w:vAlign w:val="center"/>
          </w:tcPr>
          <w:p w14:paraId="0FB33CC1">
            <w:pPr>
              <w:pStyle w:val="34"/>
              <w:rPr>
                <w:u w:val="single"/>
              </w:rPr>
            </w:pPr>
            <w:r>
              <w:rPr>
                <w:szCs w:val="22"/>
                <w:u w:val="single"/>
                <w:lang w:bidi="ar"/>
              </w:rPr>
              <w:t>NMHC</w:t>
            </w:r>
          </w:p>
        </w:tc>
        <w:tc>
          <w:tcPr>
            <w:tcW w:w="0" w:type="auto"/>
            <w:vAlign w:val="center"/>
          </w:tcPr>
          <w:p w14:paraId="6A2E71E1">
            <w:pPr>
              <w:pStyle w:val="34"/>
              <w:rPr>
                <w:u w:val="single"/>
              </w:rPr>
            </w:pPr>
            <w:r>
              <w:rPr>
                <w:rFonts w:hint="eastAsia"/>
                <w:u w:val="single"/>
              </w:rPr>
              <w:t>在厂房外设置监控点</w:t>
            </w:r>
          </w:p>
        </w:tc>
        <w:tc>
          <w:tcPr>
            <w:tcW w:w="0" w:type="auto"/>
            <w:vAlign w:val="center"/>
          </w:tcPr>
          <w:p w14:paraId="12D3C6AB">
            <w:pPr>
              <w:pStyle w:val="34"/>
              <w:rPr>
                <w:u w:val="single"/>
              </w:rPr>
            </w:pPr>
            <w:r>
              <w:rPr>
                <w:rFonts w:hint="eastAsia"/>
                <w:szCs w:val="22"/>
                <w:u w:val="single"/>
                <w:lang w:bidi="ar"/>
              </w:rPr>
              <w:t>10</w:t>
            </w:r>
          </w:p>
        </w:tc>
        <w:tc>
          <w:tcPr>
            <w:tcW w:w="0" w:type="auto"/>
            <w:vAlign w:val="center"/>
          </w:tcPr>
          <w:p w14:paraId="6179403F">
            <w:pPr>
              <w:pStyle w:val="34"/>
              <w:rPr>
                <w:u w:val="single"/>
              </w:rPr>
            </w:pPr>
            <w:r>
              <w:rPr>
                <w:szCs w:val="22"/>
                <w:u w:val="single"/>
                <w:lang w:bidi="ar"/>
              </w:rPr>
              <w:t>《大气污染物综合排放标准详解》</w:t>
            </w:r>
          </w:p>
        </w:tc>
      </w:tr>
    </w:tbl>
    <w:p w14:paraId="41762491">
      <w:pPr>
        <w:pStyle w:val="6"/>
      </w:pPr>
      <w:r>
        <w:rPr>
          <w:rFonts w:hint="eastAsia"/>
        </w:rPr>
        <w:t>海洋</w:t>
      </w:r>
      <w:bookmarkEnd w:id="118"/>
      <w:bookmarkEnd w:id="119"/>
      <w:bookmarkEnd w:id="120"/>
      <w:r>
        <w:t>及水环境</w:t>
      </w:r>
    </w:p>
    <w:p w14:paraId="6C659747">
      <w:pPr>
        <w:ind w:firstLine="462"/>
      </w:pPr>
      <w:r>
        <w:t>（一）环境质量标准</w:t>
      </w:r>
    </w:p>
    <w:p w14:paraId="0B344E54">
      <w:pPr>
        <w:ind w:firstLine="462"/>
      </w:pPr>
      <w:r>
        <w:t>根据《广西壮族自治区生态环境厅关于印发广西壮族自治区近岸海域环境功能区划调整方案的通知》（桂环发〔2023〕9号）规定的海水标准执行。项目位于钦州港大榄坪排污混合区（GX057DⅣ），海水水质执行</w:t>
      </w:r>
      <w:bookmarkStart w:id="121" w:name="OLE_LINK215"/>
      <w:r>
        <w:t>四类</w:t>
      </w:r>
      <w:bookmarkEnd w:id="121"/>
      <w:r>
        <w:t>标准，海洋环境</w:t>
      </w:r>
      <w:r>
        <w:rPr>
          <w:rFonts w:hint="eastAsia"/>
        </w:rPr>
        <w:t>评价范围内海水水质执行四类标准；</w:t>
      </w:r>
      <w:r>
        <w:rPr>
          <w:rFonts w:hint="eastAsia"/>
          <w:lang w:eastAsia="zh-CN"/>
        </w:rPr>
        <w:t>邻近</w:t>
      </w:r>
      <w:r>
        <w:rPr>
          <w:rFonts w:hint="eastAsia"/>
        </w:rPr>
        <w:t>海域分布的</w:t>
      </w:r>
      <w:r>
        <w:rPr>
          <w:rFonts w:hint="eastAsia"/>
          <w:lang w:bidi="ar"/>
        </w:rPr>
        <w:t>钦州港大榄坪港口、工业区（GX055DⅣ）及其过渡带、钦州南部渔业用海区（GX064BⅡ）等分别执行</w:t>
      </w:r>
      <w:r>
        <w:t>四类</w:t>
      </w:r>
      <w:r>
        <w:rPr>
          <w:rFonts w:hint="eastAsia"/>
        </w:rPr>
        <w:t>、三类、二类水质标准</w:t>
      </w:r>
      <w:r>
        <w:t>。</w:t>
      </w:r>
    </w:p>
    <w:p w14:paraId="1EF22059">
      <w:pPr>
        <w:ind w:firstLine="462"/>
      </w:pPr>
      <w:r>
        <w:t>沉积物质量执行《海洋沉积物质量》（GB18668-2002）。</w:t>
      </w:r>
    </w:p>
    <w:p w14:paraId="10697F60">
      <w:pPr>
        <w:ind w:firstLine="462"/>
      </w:pPr>
      <w:bookmarkStart w:id="122" w:name="OLE_LINK41"/>
      <w:r>
        <w:t>海洋生物</w:t>
      </w:r>
      <w:bookmarkStart w:id="123" w:name="OLE_LINK37"/>
      <w:r>
        <w:rPr>
          <w:rFonts w:hint="eastAsia"/>
        </w:rPr>
        <w:t>双壳贝类</w:t>
      </w:r>
      <w:bookmarkEnd w:id="123"/>
      <w:r>
        <w:rPr>
          <w:rFonts w:hint="eastAsia"/>
        </w:rPr>
        <w:t>生物执行《海洋生物质量》（GB18421-2001）中的第一、二类、三类标准；其他软体动物、甲壳动物和鱼类等的重金属、石油烃的评价标准参考《环境影响评价技术导则 海洋生态环境》（HJ 1409-2025）附录 C；铬参考《全国海岸带和海涂资源综合调查简明规程》中相关规定</w:t>
      </w:r>
      <w:bookmarkEnd w:id="122"/>
      <w:r>
        <w:rPr>
          <w:rFonts w:hint="eastAsia"/>
        </w:rPr>
        <w:t>。</w:t>
      </w:r>
    </w:p>
    <w:p w14:paraId="3A482DAA">
      <w:pPr>
        <w:pStyle w:val="7"/>
      </w:pPr>
      <w:r>
        <w:t>海水水质标准（GB3097-1997）</w:t>
      </w:r>
      <w:r>
        <w:rPr>
          <w:rFonts w:hint="eastAsia"/>
        </w:rPr>
        <w:t xml:space="preserve">     </w:t>
      </w:r>
      <w:r>
        <w:rPr>
          <w:bCs/>
          <w:sz w:val="21"/>
          <w:szCs w:val="21"/>
        </w:rPr>
        <w:t>单位：mg/L</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17" w:type="dxa"/>
          <w:left w:w="108" w:type="dxa"/>
          <w:bottom w:w="17" w:type="dxa"/>
          <w:right w:w="108" w:type="dxa"/>
        </w:tblCellMar>
      </w:tblPr>
      <w:tblGrid>
        <w:gridCol w:w="2187"/>
        <w:gridCol w:w="1455"/>
        <w:gridCol w:w="1455"/>
        <w:gridCol w:w="1741"/>
        <w:gridCol w:w="1690"/>
      </w:tblGrid>
      <w:tr w14:paraId="11E2FA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tblHeader/>
          <w:jc w:val="center"/>
        </w:trPr>
        <w:tc>
          <w:tcPr>
            <w:tcW w:w="1282" w:type="pct"/>
            <w:vAlign w:val="center"/>
          </w:tcPr>
          <w:p w14:paraId="7E0C978A">
            <w:pPr>
              <w:pStyle w:val="34"/>
              <w:spacing w:line="260" w:lineRule="exact"/>
            </w:pPr>
            <w:r>
              <w:t>污染物名称</w:t>
            </w:r>
          </w:p>
        </w:tc>
        <w:tc>
          <w:tcPr>
            <w:tcW w:w="853" w:type="pct"/>
          </w:tcPr>
          <w:p w14:paraId="441E7F98">
            <w:pPr>
              <w:pStyle w:val="34"/>
              <w:spacing w:line="260" w:lineRule="exact"/>
            </w:pPr>
            <w:r>
              <w:t>第一类</w:t>
            </w:r>
          </w:p>
        </w:tc>
        <w:tc>
          <w:tcPr>
            <w:tcW w:w="853" w:type="pct"/>
            <w:vAlign w:val="center"/>
          </w:tcPr>
          <w:p w14:paraId="6111CACD">
            <w:pPr>
              <w:pStyle w:val="34"/>
              <w:spacing w:line="260" w:lineRule="exact"/>
            </w:pPr>
            <w:r>
              <w:t xml:space="preserve"> 第二类</w:t>
            </w:r>
          </w:p>
        </w:tc>
        <w:tc>
          <w:tcPr>
            <w:tcW w:w="1021" w:type="pct"/>
            <w:vAlign w:val="center"/>
          </w:tcPr>
          <w:p w14:paraId="029DF97C">
            <w:pPr>
              <w:pStyle w:val="34"/>
              <w:spacing w:line="260" w:lineRule="exact"/>
            </w:pPr>
            <w:r>
              <w:t>第三类</w:t>
            </w:r>
          </w:p>
        </w:tc>
        <w:tc>
          <w:tcPr>
            <w:tcW w:w="991" w:type="pct"/>
            <w:vAlign w:val="center"/>
          </w:tcPr>
          <w:p w14:paraId="0178C9D1">
            <w:pPr>
              <w:pStyle w:val="34"/>
              <w:spacing w:line="260" w:lineRule="exact"/>
            </w:pPr>
            <w:r>
              <w:t xml:space="preserve">第四类 </w:t>
            </w:r>
          </w:p>
        </w:tc>
      </w:tr>
      <w:tr w14:paraId="0E8004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4BA33626">
            <w:pPr>
              <w:pStyle w:val="34"/>
              <w:spacing w:line="260" w:lineRule="exact"/>
            </w:pPr>
            <w:r>
              <w:t>悬浮物</w:t>
            </w:r>
          </w:p>
        </w:tc>
        <w:tc>
          <w:tcPr>
            <w:tcW w:w="1706" w:type="pct"/>
            <w:gridSpan w:val="2"/>
          </w:tcPr>
          <w:p w14:paraId="4F613F47">
            <w:pPr>
              <w:pStyle w:val="34"/>
              <w:spacing w:line="260" w:lineRule="exact"/>
            </w:pPr>
            <w:r>
              <w:t>人为增量≤10</w:t>
            </w:r>
          </w:p>
        </w:tc>
        <w:tc>
          <w:tcPr>
            <w:tcW w:w="1021" w:type="pct"/>
            <w:vAlign w:val="center"/>
          </w:tcPr>
          <w:p w14:paraId="60C5734A">
            <w:pPr>
              <w:pStyle w:val="34"/>
              <w:spacing w:line="260" w:lineRule="exact"/>
            </w:pPr>
            <w:r>
              <w:t>人为增量≤100</w:t>
            </w:r>
          </w:p>
        </w:tc>
        <w:tc>
          <w:tcPr>
            <w:tcW w:w="991" w:type="pct"/>
            <w:vAlign w:val="center"/>
          </w:tcPr>
          <w:p w14:paraId="11E4B853">
            <w:pPr>
              <w:pStyle w:val="34"/>
              <w:spacing w:line="260" w:lineRule="exact"/>
            </w:pPr>
            <w:r>
              <w:t>人为增量≤150</w:t>
            </w:r>
          </w:p>
        </w:tc>
      </w:tr>
      <w:tr w14:paraId="78324A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6046B140">
            <w:pPr>
              <w:pStyle w:val="34"/>
              <w:spacing w:line="260" w:lineRule="exact"/>
            </w:pPr>
            <w:r>
              <w:t>pH</w:t>
            </w:r>
          </w:p>
        </w:tc>
        <w:tc>
          <w:tcPr>
            <w:tcW w:w="1706" w:type="pct"/>
            <w:gridSpan w:val="2"/>
          </w:tcPr>
          <w:p w14:paraId="130ADBD7">
            <w:pPr>
              <w:pStyle w:val="34"/>
              <w:spacing w:line="260" w:lineRule="exact"/>
            </w:pPr>
            <w:r>
              <w:t>7.8~8.5</w:t>
            </w:r>
          </w:p>
        </w:tc>
        <w:tc>
          <w:tcPr>
            <w:tcW w:w="1021" w:type="pct"/>
            <w:vAlign w:val="center"/>
          </w:tcPr>
          <w:p w14:paraId="22A076B0">
            <w:pPr>
              <w:pStyle w:val="34"/>
              <w:spacing w:line="260" w:lineRule="exact"/>
            </w:pPr>
            <w:r>
              <w:t>6.8~8.8</w:t>
            </w:r>
          </w:p>
        </w:tc>
        <w:tc>
          <w:tcPr>
            <w:tcW w:w="991" w:type="pct"/>
            <w:vAlign w:val="center"/>
          </w:tcPr>
          <w:p w14:paraId="00F5FE88">
            <w:pPr>
              <w:pStyle w:val="34"/>
              <w:spacing w:line="260" w:lineRule="exact"/>
            </w:pPr>
            <w:r>
              <w:t>6.8~8.8</w:t>
            </w:r>
          </w:p>
        </w:tc>
      </w:tr>
      <w:tr w14:paraId="4F1575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3C62BDF8">
            <w:pPr>
              <w:pStyle w:val="34"/>
              <w:spacing w:line="260" w:lineRule="exact"/>
            </w:pPr>
            <w:r>
              <w:t>溶解氧</w:t>
            </w:r>
            <w:r>
              <w:rPr>
                <w:rFonts w:hint="eastAsia"/>
              </w:rPr>
              <w:t>〉</w:t>
            </w:r>
          </w:p>
        </w:tc>
        <w:tc>
          <w:tcPr>
            <w:tcW w:w="853" w:type="pct"/>
          </w:tcPr>
          <w:p w14:paraId="331EA1B2">
            <w:pPr>
              <w:pStyle w:val="34"/>
              <w:spacing w:line="260" w:lineRule="exact"/>
            </w:pPr>
            <w:r>
              <w:rPr>
                <w:rFonts w:hint="eastAsia"/>
              </w:rPr>
              <w:t>6</w:t>
            </w:r>
          </w:p>
        </w:tc>
        <w:tc>
          <w:tcPr>
            <w:tcW w:w="853" w:type="pct"/>
            <w:vAlign w:val="center"/>
          </w:tcPr>
          <w:p w14:paraId="392DF1E5">
            <w:pPr>
              <w:pStyle w:val="34"/>
              <w:spacing w:line="260" w:lineRule="exact"/>
            </w:pPr>
            <w:r>
              <w:t>5</w:t>
            </w:r>
          </w:p>
        </w:tc>
        <w:tc>
          <w:tcPr>
            <w:tcW w:w="1021" w:type="pct"/>
            <w:vAlign w:val="center"/>
          </w:tcPr>
          <w:p w14:paraId="32A5BBEE">
            <w:pPr>
              <w:pStyle w:val="34"/>
              <w:spacing w:line="260" w:lineRule="exact"/>
            </w:pPr>
            <w:r>
              <w:t>4</w:t>
            </w:r>
          </w:p>
        </w:tc>
        <w:tc>
          <w:tcPr>
            <w:tcW w:w="991" w:type="pct"/>
            <w:vAlign w:val="center"/>
          </w:tcPr>
          <w:p w14:paraId="1B2755DB">
            <w:pPr>
              <w:pStyle w:val="34"/>
              <w:spacing w:line="260" w:lineRule="exact"/>
            </w:pPr>
            <w:r>
              <w:t>3</w:t>
            </w:r>
          </w:p>
        </w:tc>
      </w:tr>
      <w:tr w14:paraId="0130EE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05485E4E">
            <w:pPr>
              <w:pStyle w:val="34"/>
              <w:spacing w:line="260" w:lineRule="exact"/>
            </w:pPr>
            <w:r>
              <w:t>化学需氧量≤</w:t>
            </w:r>
          </w:p>
        </w:tc>
        <w:tc>
          <w:tcPr>
            <w:tcW w:w="853" w:type="pct"/>
          </w:tcPr>
          <w:p w14:paraId="4456846B">
            <w:pPr>
              <w:pStyle w:val="34"/>
              <w:spacing w:line="260" w:lineRule="exact"/>
            </w:pPr>
            <w:r>
              <w:rPr>
                <w:rFonts w:hint="eastAsia"/>
              </w:rPr>
              <w:t>2</w:t>
            </w:r>
          </w:p>
        </w:tc>
        <w:tc>
          <w:tcPr>
            <w:tcW w:w="853" w:type="pct"/>
            <w:vAlign w:val="center"/>
          </w:tcPr>
          <w:p w14:paraId="4622CB8C">
            <w:pPr>
              <w:pStyle w:val="34"/>
              <w:spacing w:line="260" w:lineRule="exact"/>
            </w:pPr>
            <w:r>
              <w:t>3</w:t>
            </w:r>
          </w:p>
        </w:tc>
        <w:tc>
          <w:tcPr>
            <w:tcW w:w="1021" w:type="pct"/>
            <w:vAlign w:val="center"/>
          </w:tcPr>
          <w:p w14:paraId="3FE7890F">
            <w:pPr>
              <w:pStyle w:val="34"/>
              <w:spacing w:line="260" w:lineRule="exact"/>
            </w:pPr>
            <w:r>
              <w:t>4</w:t>
            </w:r>
          </w:p>
        </w:tc>
        <w:tc>
          <w:tcPr>
            <w:tcW w:w="991" w:type="pct"/>
            <w:vAlign w:val="center"/>
          </w:tcPr>
          <w:p w14:paraId="3081DE11">
            <w:pPr>
              <w:pStyle w:val="34"/>
              <w:spacing w:line="260" w:lineRule="exact"/>
            </w:pPr>
            <w:r>
              <w:t>5</w:t>
            </w:r>
          </w:p>
        </w:tc>
      </w:tr>
      <w:tr w14:paraId="7E9D27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4D4B794E">
            <w:pPr>
              <w:pStyle w:val="34"/>
              <w:spacing w:line="260" w:lineRule="exact"/>
            </w:pPr>
            <w:r>
              <w:t>无机氮≤</w:t>
            </w:r>
          </w:p>
        </w:tc>
        <w:tc>
          <w:tcPr>
            <w:tcW w:w="853" w:type="pct"/>
          </w:tcPr>
          <w:p w14:paraId="63797270">
            <w:pPr>
              <w:pStyle w:val="34"/>
              <w:spacing w:line="260" w:lineRule="exact"/>
            </w:pPr>
            <w:r>
              <w:rPr>
                <w:rFonts w:hint="eastAsia"/>
              </w:rPr>
              <w:t>0.20</w:t>
            </w:r>
          </w:p>
        </w:tc>
        <w:tc>
          <w:tcPr>
            <w:tcW w:w="853" w:type="pct"/>
            <w:vAlign w:val="center"/>
          </w:tcPr>
          <w:p w14:paraId="45281478">
            <w:pPr>
              <w:pStyle w:val="34"/>
              <w:spacing w:line="260" w:lineRule="exact"/>
            </w:pPr>
            <w:r>
              <w:t>0.30</w:t>
            </w:r>
          </w:p>
        </w:tc>
        <w:tc>
          <w:tcPr>
            <w:tcW w:w="1021" w:type="pct"/>
            <w:vAlign w:val="center"/>
          </w:tcPr>
          <w:p w14:paraId="2DA61B02">
            <w:pPr>
              <w:pStyle w:val="34"/>
              <w:spacing w:line="260" w:lineRule="exact"/>
            </w:pPr>
            <w:r>
              <w:t>0.40</w:t>
            </w:r>
          </w:p>
        </w:tc>
        <w:tc>
          <w:tcPr>
            <w:tcW w:w="991" w:type="pct"/>
            <w:vAlign w:val="center"/>
          </w:tcPr>
          <w:p w14:paraId="5866E647">
            <w:pPr>
              <w:pStyle w:val="34"/>
              <w:spacing w:line="260" w:lineRule="exact"/>
            </w:pPr>
            <w:r>
              <w:t>0.50</w:t>
            </w:r>
          </w:p>
        </w:tc>
      </w:tr>
      <w:tr w14:paraId="1B196C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6E0A0706">
            <w:pPr>
              <w:pStyle w:val="34"/>
              <w:spacing w:line="260" w:lineRule="exact"/>
            </w:pPr>
            <w:r>
              <w:t>活性磷酸盐≤</w:t>
            </w:r>
          </w:p>
        </w:tc>
        <w:tc>
          <w:tcPr>
            <w:tcW w:w="853" w:type="pct"/>
          </w:tcPr>
          <w:p w14:paraId="11BC6625">
            <w:pPr>
              <w:pStyle w:val="34"/>
              <w:spacing w:line="260" w:lineRule="exact"/>
            </w:pPr>
            <w:r>
              <w:rPr>
                <w:rFonts w:hint="eastAsia"/>
              </w:rPr>
              <w:t>0.015</w:t>
            </w:r>
          </w:p>
        </w:tc>
        <w:tc>
          <w:tcPr>
            <w:tcW w:w="853" w:type="pct"/>
            <w:vAlign w:val="center"/>
          </w:tcPr>
          <w:p w14:paraId="03A761C0">
            <w:pPr>
              <w:pStyle w:val="34"/>
              <w:spacing w:line="260" w:lineRule="exact"/>
            </w:pPr>
            <w:r>
              <w:t>0.030</w:t>
            </w:r>
          </w:p>
        </w:tc>
        <w:tc>
          <w:tcPr>
            <w:tcW w:w="1021" w:type="pct"/>
            <w:vAlign w:val="center"/>
          </w:tcPr>
          <w:p w14:paraId="475DC117">
            <w:pPr>
              <w:pStyle w:val="34"/>
              <w:spacing w:line="260" w:lineRule="exact"/>
            </w:pPr>
            <w:r>
              <w:t>0.030</w:t>
            </w:r>
          </w:p>
        </w:tc>
        <w:tc>
          <w:tcPr>
            <w:tcW w:w="991" w:type="pct"/>
            <w:vAlign w:val="center"/>
          </w:tcPr>
          <w:p w14:paraId="72C56DFD">
            <w:pPr>
              <w:pStyle w:val="34"/>
              <w:spacing w:line="260" w:lineRule="exact"/>
            </w:pPr>
            <w:r>
              <w:t>0.045</w:t>
            </w:r>
          </w:p>
        </w:tc>
      </w:tr>
      <w:tr w14:paraId="1F4FFD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39668849">
            <w:pPr>
              <w:pStyle w:val="34"/>
              <w:spacing w:line="260" w:lineRule="exact"/>
            </w:pPr>
            <w:r>
              <w:t>铅≤</w:t>
            </w:r>
          </w:p>
        </w:tc>
        <w:tc>
          <w:tcPr>
            <w:tcW w:w="853" w:type="pct"/>
          </w:tcPr>
          <w:p w14:paraId="2D87264C">
            <w:pPr>
              <w:pStyle w:val="34"/>
              <w:spacing w:line="260" w:lineRule="exact"/>
            </w:pPr>
            <w:r>
              <w:rPr>
                <w:rFonts w:hint="eastAsia"/>
              </w:rPr>
              <w:t>0.001</w:t>
            </w:r>
          </w:p>
        </w:tc>
        <w:tc>
          <w:tcPr>
            <w:tcW w:w="853" w:type="pct"/>
            <w:vAlign w:val="center"/>
          </w:tcPr>
          <w:p w14:paraId="34D4F9EB">
            <w:pPr>
              <w:pStyle w:val="34"/>
              <w:spacing w:line="260" w:lineRule="exact"/>
            </w:pPr>
            <w:r>
              <w:t>0.005</w:t>
            </w:r>
          </w:p>
        </w:tc>
        <w:tc>
          <w:tcPr>
            <w:tcW w:w="1021" w:type="pct"/>
            <w:vAlign w:val="center"/>
          </w:tcPr>
          <w:p w14:paraId="69846AB6">
            <w:pPr>
              <w:pStyle w:val="34"/>
              <w:spacing w:line="260" w:lineRule="exact"/>
            </w:pPr>
            <w:r>
              <w:t>0.010</w:t>
            </w:r>
          </w:p>
        </w:tc>
        <w:tc>
          <w:tcPr>
            <w:tcW w:w="991" w:type="pct"/>
            <w:vAlign w:val="center"/>
          </w:tcPr>
          <w:p w14:paraId="17FEA6C1">
            <w:pPr>
              <w:pStyle w:val="34"/>
              <w:spacing w:line="260" w:lineRule="exact"/>
            </w:pPr>
            <w:r>
              <w:t>0.050</w:t>
            </w:r>
          </w:p>
        </w:tc>
      </w:tr>
      <w:tr w14:paraId="61394C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5AB9103D">
            <w:pPr>
              <w:pStyle w:val="34"/>
              <w:spacing w:line="260" w:lineRule="exact"/>
            </w:pPr>
            <w:r>
              <w:t>铜≤</w:t>
            </w:r>
          </w:p>
        </w:tc>
        <w:tc>
          <w:tcPr>
            <w:tcW w:w="853" w:type="pct"/>
          </w:tcPr>
          <w:p w14:paraId="08B0DA5E">
            <w:pPr>
              <w:pStyle w:val="34"/>
              <w:spacing w:line="260" w:lineRule="exact"/>
            </w:pPr>
            <w:r>
              <w:rPr>
                <w:rFonts w:hint="eastAsia"/>
              </w:rPr>
              <w:t>0.005</w:t>
            </w:r>
          </w:p>
        </w:tc>
        <w:tc>
          <w:tcPr>
            <w:tcW w:w="853" w:type="pct"/>
            <w:vAlign w:val="center"/>
          </w:tcPr>
          <w:p w14:paraId="03B5F256">
            <w:pPr>
              <w:pStyle w:val="34"/>
              <w:spacing w:line="260" w:lineRule="exact"/>
            </w:pPr>
            <w:r>
              <w:t>0.010</w:t>
            </w:r>
          </w:p>
        </w:tc>
        <w:tc>
          <w:tcPr>
            <w:tcW w:w="1021" w:type="pct"/>
            <w:vAlign w:val="center"/>
          </w:tcPr>
          <w:p w14:paraId="761E8AD5">
            <w:pPr>
              <w:pStyle w:val="34"/>
              <w:spacing w:line="260" w:lineRule="exact"/>
            </w:pPr>
            <w:r>
              <w:t>0.050</w:t>
            </w:r>
          </w:p>
        </w:tc>
        <w:tc>
          <w:tcPr>
            <w:tcW w:w="991" w:type="pct"/>
            <w:vAlign w:val="center"/>
          </w:tcPr>
          <w:p w14:paraId="0CC0F30F">
            <w:pPr>
              <w:pStyle w:val="34"/>
              <w:spacing w:line="260" w:lineRule="exact"/>
            </w:pPr>
            <w:r>
              <w:t>0.050</w:t>
            </w:r>
          </w:p>
        </w:tc>
      </w:tr>
      <w:tr w14:paraId="4171A1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6E3EAA6F">
            <w:pPr>
              <w:pStyle w:val="34"/>
              <w:spacing w:line="260" w:lineRule="exact"/>
            </w:pPr>
            <w:r>
              <w:t>汞≤</w:t>
            </w:r>
          </w:p>
        </w:tc>
        <w:tc>
          <w:tcPr>
            <w:tcW w:w="853" w:type="pct"/>
          </w:tcPr>
          <w:p w14:paraId="751D699E">
            <w:pPr>
              <w:pStyle w:val="34"/>
              <w:spacing w:line="260" w:lineRule="exact"/>
            </w:pPr>
            <w:r>
              <w:rPr>
                <w:rFonts w:hint="eastAsia"/>
              </w:rPr>
              <w:t>0.00005</w:t>
            </w:r>
          </w:p>
        </w:tc>
        <w:tc>
          <w:tcPr>
            <w:tcW w:w="853" w:type="pct"/>
            <w:vAlign w:val="center"/>
          </w:tcPr>
          <w:p w14:paraId="0469D800">
            <w:pPr>
              <w:pStyle w:val="34"/>
              <w:spacing w:line="260" w:lineRule="exact"/>
            </w:pPr>
            <w:r>
              <w:t>0.0002</w:t>
            </w:r>
          </w:p>
        </w:tc>
        <w:tc>
          <w:tcPr>
            <w:tcW w:w="1021" w:type="pct"/>
            <w:vAlign w:val="center"/>
          </w:tcPr>
          <w:p w14:paraId="6B902661">
            <w:pPr>
              <w:pStyle w:val="34"/>
              <w:spacing w:line="260" w:lineRule="exact"/>
            </w:pPr>
            <w:r>
              <w:t>0.0002</w:t>
            </w:r>
          </w:p>
        </w:tc>
        <w:tc>
          <w:tcPr>
            <w:tcW w:w="991" w:type="pct"/>
            <w:vAlign w:val="center"/>
          </w:tcPr>
          <w:p w14:paraId="141D41CA">
            <w:pPr>
              <w:pStyle w:val="34"/>
              <w:spacing w:line="260" w:lineRule="exact"/>
            </w:pPr>
            <w:r>
              <w:t>0.0005</w:t>
            </w:r>
          </w:p>
        </w:tc>
      </w:tr>
      <w:tr w14:paraId="194B82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3F43D6F0">
            <w:pPr>
              <w:pStyle w:val="34"/>
              <w:spacing w:line="260" w:lineRule="exact"/>
            </w:pPr>
            <w:r>
              <w:t>砷≤</w:t>
            </w:r>
          </w:p>
        </w:tc>
        <w:tc>
          <w:tcPr>
            <w:tcW w:w="853" w:type="pct"/>
          </w:tcPr>
          <w:p w14:paraId="289981FE">
            <w:pPr>
              <w:pStyle w:val="34"/>
              <w:spacing w:line="260" w:lineRule="exact"/>
            </w:pPr>
            <w:r>
              <w:rPr>
                <w:rFonts w:hint="eastAsia"/>
              </w:rPr>
              <w:t>0.02</w:t>
            </w:r>
          </w:p>
        </w:tc>
        <w:tc>
          <w:tcPr>
            <w:tcW w:w="853" w:type="pct"/>
            <w:vAlign w:val="center"/>
          </w:tcPr>
          <w:p w14:paraId="241CA7B8">
            <w:pPr>
              <w:pStyle w:val="34"/>
              <w:spacing w:line="260" w:lineRule="exact"/>
            </w:pPr>
            <w:r>
              <w:t>0.030</w:t>
            </w:r>
          </w:p>
        </w:tc>
        <w:tc>
          <w:tcPr>
            <w:tcW w:w="1021" w:type="pct"/>
            <w:vAlign w:val="center"/>
          </w:tcPr>
          <w:p w14:paraId="7A5B0B64">
            <w:pPr>
              <w:pStyle w:val="34"/>
              <w:spacing w:line="260" w:lineRule="exact"/>
            </w:pPr>
            <w:r>
              <w:t>0.050</w:t>
            </w:r>
          </w:p>
        </w:tc>
        <w:tc>
          <w:tcPr>
            <w:tcW w:w="991" w:type="pct"/>
            <w:vAlign w:val="center"/>
          </w:tcPr>
          <w:p w14:paraId="11D0FB75">
            <w:pPr>
              <w:pStyle w:val="34"/>
              <w:spacing w:line="260" w:lineRule="exact"/>
            </w:pPr>
            <w:r>
              <w:t>0.050</w:t>
            </w:r>
          </w:p>
        </w:tc>
      </w:tr>
      <w:tr w14:paraId="5B294E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00D4C883">
            <w:pPr>
              <w:pStyle w:val="34"/>
              <w:spacing w:line="260" w:lineRule="exact"/>
            </w:pPr>
            <w:r>
              <w:t>锌≤</w:t>
            </w:r>
          </w:p>
        </w:tc>
        <w:tc>
          <w:tcPr>
            <w:tcW w:w="853" w:type="pct"/>
          </w:tcPr>
          <w:p w14:paraId="7E1CE8D5">
            <w:pPr>
              <w:pStyle w:val="34"/>
              <w:spacing w:line="260" w:lineRule="exact"/>
            </w:pPr>
            <w:r>
              <w:rPr>
                <w:rFonts w:hint="eastAsia"/>
              </w:rPr>
              <w:t>0.02</w:t>
            </w:r>
          </w:p>
        </w:tc>
        <w:tc>
          <w:tcPr>
            <w:tcW w:w="853" w:type="pct"/>
            <w:vAlign w:val="center"/>
          </w:tcPr>
          <w:p w14:paraId="361D29C5">
            <w:pPr>
              <w:pStyle w:val="34"/>
              <w:spacing w:line="260" w:lineRule="exact"/>
            </w:pPr>
            <w:r>
              <w:t>0.050</w:t>
            </w:r>
          </w:p>
        </w:tc>
        <w:tc>
          <w:tcPr>
            <w:tcW w:w="1021" w:type="pct"/>
            <w:vAlign w:val="center"/>
          </w:tcPr>
          <w:p w14:paraId="17D82949">
            <w:pPr>
              <w:pStyle w:val="34"/>
              <w:spacing w:line="260" w:lineRule="exact"/>
            </w:pPr>
            <w:r>
              <w:t>0.10</w:t>
            </w:r>
          </w:p>
        </w:tc>
        <w:tc>
          <w:tcPr>
            <w:tcW w:w="991" w:type="pct"/>
            <w:vAlign w:val="center"/>
          </w:tcPr>
          <w:p w14:paraId="5AB48A45">
            <w:pPr>
              <w:pStyle w:val="34"/>
              <w:spacing w:line="260" w:lineRule="exact"/>
            </w:pPr>
            <w:r>
              <w:t>0.50</w:t>
            </w:r>
          </w:p>
        </w:tc>
      </w:tr>
      <w:tr w14:paraId="539097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5AA6683B">
            <w:pPr>
              <w:pStyle w:val="34"/>
              <w:spacing w:line="260" w:lineRule="exact"/>
            </w:pPr>
            <w:r>
              <w:t>镍≤</w:t>
            </w:r>
          </w:p>
        </w:tc>
        <w:tc>
          <w:tcPr>
            <w:tcW w:w="853" w:type="pct"/>
          </w:tcPr>
          <w:p w14:paraId="3CF97407">
            <w:pPr>
              <w:pStyle w:val="34"/>
              <w:spacing w:line="260" w:lineRule="exact"/>
            </w:pPr>
            <w:r>
              <w:rPr>
                <w:rFonts w:hint="eastAsia"/>
              </w:rPr>
              <w:t>0.005</w:t>
            </w:r>
          </w:p>
        </w:tc>
        <w:tc>
          <w:tcPr>
            <w:tcW w:w="853" w:type="pct"/>
            <w:vAlign w:val="center"/>
          </w:tcPr>
          <w:p w14:paraId="48E50D27">
            <w:pPr>
              <w:pStyle w:val="34"/>
              <w:spacing w:line="260" w:lineRule="exact"/>
            </w:pPr>
            <w:r>
              <w:t>0.010</w:t>
            </w:r>
          </w:p>
        </w:tc>
        <w:tc>
          <w:tcPr>
            <w:tcW w:w="1021" w:type="pct"/>
            <w:vAlign w:val="center"/>
          </w:tcPr>
          <w:p w14:paraId="16367E7E">
            <w:pPr>
              <w:pStyle w:val="34"/>
              <w:spacing w:line="260" w:lineRule="exact"/>
            </w:pPr>
            <w:r>
              <w:t>0.020</w:t>
            </w:r>
          </w:p>
        </w:tc>
        <w:tc>
          <w:tcPr>
            <w:tcW w:w="991" w:type="pct"/>
            <w:vAlign w:val="center"/>
          </w:tcPr>
          <w:p w14:paraId="439F5BC6">
            <w:pPr>
              <w:pStyle w:val="34"/>
              <w:spacing w:line="260" w:lineRule="exact"/>
            </w:pPr>
            <w:r>
              <w:t>0.050</w:t>
            </w:r>
          </w:p>
        </w:tc>
      </w:tr>
      <w:tr w14:paraId="722BDE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6CFE575B">
            <w:pPr>
              <w:pStyle w:val="34"/>
              <w:spacing w:line="260" w:lineRule="exact"/>
            </w:pPr>
            <w:r>
              <w:t>石油类≤</w:t>
            </w:r>
          </w:p>
        </w:tc>
        <w:tc>
          <w:tcPr>
            <w:tcW w:w="853" w:type="pct"/>
          </w:tcPr>
          <w:p w14:paraId="746A3544">
            <w:pPr>
              <w:pStyle w:val="34"/>
              <w:spacing w:line="260" w:lineRule="exact"/>
            </w:pPr>
            <w:r>
              <w:rPr>
                <w:rFonts w:hint="eastAsia"/>
              </w:rPr>
              <w:t>0.05</w:t>
            </w:r>
          </w:p>
        </w:tc>
        <w:tc>
          <w:tcPr>
            <w:tcW w:w="853" w:type="pct"/>
            <w:vAlign w:val="center"/>
          </w:tcPr>
          <w:p w14:paraId="298A719B">
            <w:pPr>
              <w:pStyle w:val="34"/>
              <w:spacing w:line="260" w:lineRule="exact"/>
            </w:pPr>
            <w:r>
              <w:t>0.05</w:t>
            </w:r>
          </w:p>
        </w:tc>
        <w:tc>
          <w:tcPr>
            <w:tcW w:w="1021" w:type="pct"/>
            <w:vAlign w:val="center"/>
          </w:tcPr>
          <w:p w14:paraId="3F35238C">
            <w:pPr>
              <w:pStyle w:val="34"/>
              <w:spacing w:line="260" w:lineRule="exact"/>
            </w:pPr>
            <w:r>
              <w:t>0.30</w:t>
            </w:r>
          </w:p>
        </w:tc>
        <w:tc>
          <w:tcPr>
            <w:tcW w:w="991" w:type="pct"/>
            <w:vAlign w:val="center"/>
          </w:tcPr>
          <w:p w14:paraId="74A17C56">
            <w:pPr>
              <w:pStyle w:val="34"/>
              <w:spacing w:line="260" w:lineRule="exact"/>
            </w:pPr>
            <w:r>
              <w:t>0.50</w:t>
            </w:r>
          </w:p>
        </w:tc>
      </w:tr>
      <w:tr w14:paraId="7D4681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17F897E9">
            <w:pPr>
              <w:pStyle w:val="34"/>
              <w:spacing w:line="260" w:lineRule="exact"/>
            </w:pPr>
            <w:r>
              <w:t>镉≤</w:t>
            </w:r>
          </w:p>
        </w:tc>
        <w:tc>
          <w:tcPr>
            <w:tcW w:w="853" w:type="pct"/>
          </w:tcPr>
          <w:p w14:paraId="36E8747A">
            <w:pPr>
              <w:pStyle w:val="34"/>
              <w:spacing w:line="260" w:lineRule="exact"/>
            </w:pPr>
            <w:r>
              <w:rPr>
                <w:rFonts w:hint="eastAsia"/>
              </w:rPr>
              <w:t>0.001</w:t>
            </w:r>
          </w:p>
        </w:tc>
        <w:tc>
          <w:tcPr>
            <w:tcW w:w="853" w:type="pct"/>
            <w:vAlign w:val="center"/>
          </w:tcPr>
          <w:p w14:paraId="0EC933F5">
            <w:pPr>
              <w:pStyle w:val="34"/>
              <w:spacing w:line="260" w:lineRule="exact"/>
            </w:pPr>
            <w:r>
              <w:t>0.005</w:t>
            </w:r>
          </w:p>
        </w:tc>
        <w:tc>
          <w:tcPr>
            <w:tcW w:w="1021" w:type="pct"/>
            <w:vAlign w:val="center"/>
          </w:tcPr>
          <w:p w14:paraId="57DAE3FE">
            <w:pPr>
              <w:pStyle w:val="34"/>
              <w:spacing w:line="260" w:lineRule="exact"/>
            </w:pPr>
            <w:r>
              <w:t>0.01</w:t>
            </w:r>
          </w:p>
        </w:tc>
        <w:tc>
          <w:tcPr>
            <w:tcW w:w="991" w:type="pct"/>
            <w:vAlign w:val="center"/>
          </w:tcPr>
          <w:p w14:paraId="036964A3">
            <w:pPr>
              <w:pStyle w:val="34"/>
              <w:spacing w:line="260" w:lineRule="exact"/>
            </w:pPr>
            <w:r>
              <w:t>0.01</w:t>
            </w:r>
          </w:p>
        </w:tc>
      </w:tr>
      <w:tr w14:paraId="21F0B7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14D4A682">
            <w:pPr>
              <w:pStyle w:val="34"/>
              <w:spacing w:line="260" w:lineRule="exact"/>
            </w:pPr>
            <w:r>
              <w:t>总铬≤</w:t>
            </w:r>
          </w:p>
        </w:tc>
        <w:tc>
          <w:tcPr>
            <w:tcW w:w="853" w:type="pct"/>
          </w:tcPr>
          <w:p w14:paraId="3D0482B2">
            <w:pPr>
              <w:pStyle w:val="34"/>
              <w:spacing w:line="260" w:lineRule="exact"/>
            </w:pPr>
            <w:r>
              <w:rPr>
                <w:rFonts w:hint="eastAsia"/>
              </w:rPr>
              <w:t>0.05</w:t>
            </w:r>
          </w:p>
        </w:tc>
        <w:tc>
          <w:tcPr>
            <w:tcW w:w="853" w:type="pct"/>
            <w:vAlign w:val="center"/>
          </w:tcPr>
          <w:p w14:paraId="7116CCB7">
            <w:pPr>
              <w:pStyle w:val="34"/>
              <w:spacing w:line="260" w:lineRule="exact"/>
            </w:pPr>
            <w:r>
              <w:t>0.10</w:t>
            </w:r>
          </w:p>
        </w:tc>
        <w:tc>
          <w:tcPr>
            <w:tcW w:w="1021" w:type="pct"/>
            <w:vAlign w:val="center"/>
          </w:tcPr>
          <w:p w14:paraId="12B87175">
            <w:pPr>
              <w:pStyle w:val="34"/>
              <w:spacing w:line="260" w:lineRule="exact"/>
            </w:pPr>
            <w:r>
              <w:t>0.20</w:t>
            </w:r>
          </w:p>
        </w:tc>
        <w:tc>
          <w:tcPr>
            <w:tcW w:w="991" w:type="pct"/>
            <w:vAlign w:val="center"/>
          </w:tcPr>
          <w:p w14:paraId="48E55B69">
            <w:pPr>
              <w:pStyle w:val="34"/>
              <w:spacing w:line="260" w:lineRule="exact"/>
            </w:pPr>
            <w:r>
              <w:t>0.50</w:t>
            </w:r>
          </w:p>
        </w:tc>
      </w:tr>
      <w:tr w14:paraId="561B33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2AAAEA0E">
            <w:pPr>
              <w:pStyle w:val="34"/>
              <w:spacing w:line="260" w:lineRule="exact"/>
            </w:pPr>
            <w:r>
              <w:t>硫化物≤（以S计）</w:t>
            </w:r>
          </w:p>
        </w:tc>
        <w:tc>
          <w:tcPr>
            <w:tcW w:w="853" w:type="pct"/>
          </w:tcPr>
          <w:p w14:paraId="79E1D261">
            <w:pPr>
              <w:pStyle w:val="34"/>
              <w:spacing w:line="260" w:lineRule="exact"/>
            </w:pPr>
            <w:r>
              <w:rPr>
                <w:rFonts w:hint="eastAsia"/>
              </w:rPr>
              <w:t>0.02</w:t>
            </w:r>
          </w:p>
        </w:tc>
        <w:tc>
          <w:tcPr>
            <w:tcW w:w="853" w:type="pct"/>
            <w:vAlign w:val="center"/>
          </w:tcPr>
          <w:p w14:paraId="6750D563">
            <w:pPr>
              <w:pStyle w:val="34"/>
              <w:spacing w:line="260" w:lineRule="exact"/>
            </w:pPr>
            <w:r>
              <w:t>0.05</w:t>
            </w:r>
          </w:p>
        </w:tc>
        <w:tc>
          <w:tcPr>
            <w:tcW w:w="1021" w:type="pct"/>
            <w:vAlign w:val="center"/>
          </w:tcPr>
          <w:p w14:paraId="23172470">
            <w:pPr>
              <w:pStyle w:val="34"/>
              <w:spacing w:line="260" w:lineRule="exact"/>
            </w:pPr>
            <w:r>
              <w:t>0.10</w:t>
            </w:r>
          </w:p>
        </w:tc>
        <w:tc>
          <w:tcPr>
            <w:tcW w:w="991" w:type="pct"/>
            <w:vAlign w:val="center"/>
          </w:tcPr>
          <w:p w14:paraId="49DD9EA0">
            <w:pPr>
              <w:pStyle w:val="34"/>
              <w:spacing w:line="260" w:lineRule="exact"/>
            </w:pPr>
            <w:r>
              <w:t>0.25</w:t>
            </w:r>
          </w:p>
        </w:tc>
      </w:tr>
      <w:tr w14:paraId="31B7A5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6CA594BF">
            <w:pPr>
              <w:pStyle w:val="34"/>
              <w:spacing w:line="260" w:lineRule="exact"/>
            </w:pPr>
            <w:r>
              <w:t>挥发性酚≤</w:t>
            </w:r>
          </w:p>
        </w:tc>
        <w:tc>
          <w:tcPr>
            <w:tcW w:w="853" w:type="pct"/>
          </w:tcPr>
          <w:p w14:paraId="2748538E">
            <w:pPr>
              <w:pStyle w:val="34"/>
              <w:spacing w:line="260" w:lineRule="exact"/>
            </w:pPr>
            <w:r>
              <w:rPr>
                <w:rFonts w:hint="eastAsia"/>
              </w:rPr>
              <w:t>0.005</w:t>
            </w:r>
          </w:p>
        </w:tc>
        <w:tc>
          <w:tcPr>
            <w:tcW w:w="853" w:type="pct"/>
            <w:vAlign w:val="center"/>
          </w:tcPr>
          <w:p w14:paraId="1CBA4548">
            <w:pPr>
              <w:pStyle w:val="34"/>
              <w:spacing w:line="260" w:lineRule="exact"/>
            </w:pPr>
            <w:r>
              <w:t>0.005</w:t>
            </w:r>
          </w:p>
        </w:tc>
        <w:tc>
          <w:tcPr>
            <w:tcW w:w="1021" w:type="pct"/>
            <w:vAlign w:val="center"/>
          </w:tcPr>
          <w:p w14:paraId="310094B4">
            <w:pPr>
              <w:pStyle w:val="34"/>
              <w:spacing w:line="260" w:lineRule="exact"/>
            </w:pPr>
            <w:r>
              <w:t>0.010</w:t>
            </w:r>
          </w:p>
        </w:tc>
        <w:tc>
          <w:tcPr>
            <w:tcW w:w="991" w:type="pct"/>
            <w:vAlign w:val="center"/>
          </w:tcPr>
          <w:p w14:paraId="7E55840B">
            <w:pPr>
              <w:pStyle w:val="34"/>
              <w:spacing w:line="260" w:lineRule="exact"/>
            </w:pPr>
            <w:r>
              <w:t>0.050</w:t>
            </w:r>
          </w:p>
        </w:tc>
      </w:tr>
    </w:tbl>
    <w:p w14:paraId="6D49F556">
      <w:pPr>
        <w:snapToGrid w:val="0"/>
        <w:ind w:firstLine="342"/>
        <w:rPr>
          <w:sz w:val="18"/>
          <w:szCs w:val="18"/>
        </w:rPr>
      </w:pPr>
      <w:r>
        <w:rPr>
          <w:sz w:val="18"/>
          <w:szCs w:val="18"/>
        </w:rPr>
        <w:t>注：第一类 适用于海洋渔业海域，海上自然保护区和珍稀濒危海洋生物保护区。第二类 适用于水产养殖区，海水浴场，人体直接接触海水的海上运动或娱乐区，以及与人类食用直接有关的工业用水区。第三类 适用于一般工业用水区，滨海风景旅游区。第四类 适用于海洋港口海域，海洋开发作业区。</w:t>
      </w:r>
    </w:p>
    <w:p w14:paraId="4955D396">
      <w:pPr>
        <w:pStyle w:val="7"/>
      </w:pPr>
      <w:r>
        <w:t>海洋沉积物质量标准（GB18668-2002）</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97"/>
        <w:gridCol w:w="721"/>
        <w:gridCol w:w="1376"/>
        <w:gridCol w:w="68"/>
        <w:gridCol w:w="1447"/>
        <w:gridCol w:w="3219"/>
      </w:tblGrid>
      <w:tr w14:paraId="550DDF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1418" w:type="pct"/>
            <w:gridSpan w:val="2"/>
            <w:vAlign w:val="center"/>
          </w:tcPr>
          <w:p w14:paraId="7CA2F855">
            <w:pPr>
              <w:pStyle w:val="34"/>
            </w:pPr>
            <w:r>
              <w:t>项目</w:t>
            </w:r>
          </w:p>
        </w:tc>
        <w:tc>
          <w:tcPr>
            <w:tcW w:w="807" w:type="pct"/>
            <w:vAlign w:val="center"/>
          </w:tcPr>
          <w:p w14:paraId="131DC2BA">
            <w:pPr>
              <w:pStyle w:val="34"/>
            </w:pPr>
            <w:r>
              <w:t>第一类</w:t>
            </w:r>
          </w:p>
        </w:tc>
        <w:tc>
          <w:tcPr>
            <w:tcW w:w="888" w:type="pct"/>
            <w:gridSpan w:val="2"/>
            <w:vAlign w:val="center"/>
          </w:tcPr>
          <w:p w14:paraId="77C41822">
            <w:pPr>
              <w:pStyle w:val="34"/>
            </w:pPr>
            <w:r>
              <w:t>第二类</w:t>
            </w:r>
          </w:p>
        </w:tc>
        <w:tc>
          <w:tcPr>
            <w:tcW w:w="1888" w:type="pct"/>
            <w:vAlign w:val="center"/>
          </w:tcPr>
          <w:p w14:paraId="38DEC3E4">
            <w:pPr>
              <w:pStyle w:val="34"/>
            </w:pPr>
            <w:r>
              <w:t>第三类</w:t>
            </w:r>
          </w:p>
        </w:tc>
      </w:tr>
      <w:tr w14:paraId="350ED4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418" w:type="pct"/>
            <w:gridSpan w:val="2"/>
            <w:vAlign w:val="center"/>
          </w:tcPr>
          <w:p w14:paraId="103AFA97">
            <w:pPr>
              <w:pStyle w:val="34"/>
            </w:pPr>
            <w:r>
              <w:t>废弃物及</w:t>
            </w:r>
            <w:r>
              <w:rPr>
                <w:rFonts w:hint="eastAsia"/>
              </w:rPr>
              <w:t>其他</w:t>
            </w:r>
          </w:p>
        </w:tc>
        <w:tc>
          <w:tcPr>
            <w:tcW w:w="1694" w:type="pct"/>
            <w:gridSpan w:val="3"/>
            <w:vAlign w:val="center"/>
          </w:tcPr>
          <w:p w14:paraId="41AC1FE3">
            <w:pPr>
              <w:pStyle w:val="34"/>
            </w:pPr>
            <w:r>
              <w:t>海底无工业、生活废弃物，无大型植物碎屑和动物尸体等</w:t>
            </w:r>
          </w:p>
        </w:tc>
        <w:tc>
          <w:tcPr>
            <w:tcW w:w="1888" w:type="pct"/>
            <w:vAlign w:val="center"/>
          </w:tcPr>
          <w:p w14:paraId="035027AD">
            <w:pPr>
              <w:pStyle w:val="34"/>
            </w:pPr>
            <w:r>
              <w:t>海底无明显工业、生活废弃物，无明显大型植物碎屑和动物尸体等</w:t>
            </w:r>
          </w:p>
        </w:tc>
      </w:tr>
      <w:tr w14:paraId="5DE0AB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14E871D4">
            <w:pPr>
              <w:pStyle w:val="34"/>
            </w:pPr>
            <w:r>
              <w:t>汞</w:t>
            </w:r>
            <w:r>
              <w:rPr>
                <w:rFonts w:hint="eastAsia"/>
              </w:rPr>
              <w:t>（</w:t>
            </w:r>
            <w:r>
              <w:t>×10</w:t>
            </w:r>
            <w:r>
              <w:rPr>
                <w:vertAlign w:val="superscript"/>
              </w:rPr>
              <w:t>-6</w:t>
            </w:r>
            <w:r>
              <w:rPr>
                <w:rFonts w:hint="eastAsia"/>
              </w:rPr>
              <w:t>）</w:t>
            </w:r>
          </w:p>
        </w:tc>
        <w:tc>
          <w:tcPr>
            <w:tcW w:w="423" w:type="pct"/>
            <w:vAlign w:val="center"/>
          </w:tcPr>
          <w:p w14:paraId="34638A5D">
            <w:pPr>
              <w:pStyle w:val="34"/>
            </w:pPr>
            <w:r>
              <w:t>≤</w:t>
            </w:r>
          </w:p>
        </w:tc>
        <w:tc>
          <w:tcPr>
            <w:tcW w:w="847" w:type="pct"/>
            <w:gridSpan w:val="2"/>
            <w:vAlign w:val="center"/>
          </w:tcPr>
          <w:p w14:paraId="69BFDC09">
            <w:pPr>
              <w:pStyle w:val="34"/>
            </w:pPr>
            <w:r>
              <w:t>0.20</w:t>
            </w:r>
          </w:p>
        </w:tc>
        <w:tc>
          <w:tcPr>
            <w:tcW w:w="847" w:type="pct"/>
            <w:vAlign w:val="center"/>
          </w:tcPr>
          <w:p w14:paraId="006945B3">
            <w:pPr>
              <w:pStyle w:val="34"/>
            </w:pPr>
            <w:r>
              <w:t>0.50</w:t>
            </w:r>
          </w:p>
        </w:tc>
        <w:tc>
          <w:tcPr>
            <w:tcW w:w="1888" w:type="pct"/>
            <w:vAlign w:val="center"/>
          </w:tcPr>
          <w:p w14:paraId="61A3A43D">
            <w:pPr>
              <w:pStyle w:val="34"/>
            </w:pPr>
            <w:r>
              <w:t>1.00</w:t>
            </w:r>
          </w:p>
        </w:tc>
      </w:tr>
      <w:tr w14:paraId="66B76C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0F221DF6">
            <w:pPr>
              <w:pStyle w:val="34"/>
            </w:pPr>
            <w:r>
              <w:t>镉</w:t>
            </w:r>
            <w:r>
              <w:rPr>
                <w:rFonts w:hint="eastAsia"/>
              </w:rPr>
              <w:t>（</w:t>
            </w:r>
            <w:r>
              <w:t>×10</w:t>
            </w:r>
            <w:r>
              <w:rPr>
                <w:vertAlign w:val="superscript"/>
              </w:rPr>
              <w:t>-6</w:t>
            </w:r>
            <w:r>
              <w:rPr>
                <w:rFonts w:hint="eastAsia"/>
              </w:rPr>
              <w:t>）</w:t>
            </w:r>
          </w:p>
        </w:tc>
        <w:tc>
          <w:tcPr>
            <w:tcW w:w="423" w:type="pct"/>
            <w:vAlign w:val="center"/>
          </w:tcPr>
          <w:p w14:paraId="2AE422C3">
            <w:pPr>
              <w:pStyle w:val="34"/>
            </w:pPr>
            <w:r>
              <w:t>≤</w:t>
            </w:r>
          </w:p>
        </w:tc>
        <w:tc>
          <w:tcPr>
            <w:tcW w:w="847" w:type="pct"/>
            <w:gridSpan w:val="2"/>
            <w:vAlign w:val="center"/>
          </w:tcPr>
          <w:p w14:paraId="0D1655C1">
            <w:pPr>
              <w:pStyle w:val="34"/>
            </w:pPr>
            <w:r>
              <w:t>0.50</w:t>
            </w:r>
          </w:p>
        </w:tc>
        <w:tc>
          <w:tcPr>
            <w:tcW w:w="847" w:type="pct"/>
            <w:vAlign w:val="center"/>
          </w:tcPr>
          <w:p w14:paraId="2CE48875">
            <w:pPr>
              <w:pStyle w:val="34"/>
            </w:pPr>
            <w:r>
              <w:t>1.50</w:t>
            </w:r>
          </w:p>
        </w:tc>
        <w:tc>
          <w:tcPr>
            <w:tcW w:w="1888" w:type="pct"/>
            <w:vAlign w:val="center"/>
          </w:tcPr>
          <w:p w14:paraId="5653C4F2">
            <w:pPr>
              <w:pStyle w:val="34"/>
            </w:pPr>
            <w:r>
              <w:t>5.00</w:t>
            </w:r>
          </w:p>
        </w:tc>
      </w:tr>
      <w:tr w14:paraId="601EB6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25DB9BD7">
            <w:pPr>
              <w:pStyle w:val="34"/>
            </w:pPr>
            <w:r>
              <w:t>铅</w:t>
            </w:r>
            <w:r>
              <w:rPr>
                <w:rFonts w:hint="eastAsia"/>
              </w:rPr>
              <w:t>（</w:t>
            </w:r>
            <w:r>
              <w:t>×10</w:t>
            </w:r>
            <w:r>
              <w:rPr>
                <w:vertAlign w:val="superscript"/>
              </w:rPr>
              <w:t>-6</w:t>
            </w:r>
            <w:r>
              <w:rPr>
                <w:rFonts w:hint="eastAsia"/>
              </w:rPr>
              <w:t>）</w:t>
            </w:r>
          </w:p>
        </w:tc>
        <w:tc>
          <w:tcPr>
            <w:tcW w:w="423" w:type="pct"/>
            <w:vAlign w:val="center"/>
          </w:tcPr>
          <w:p w14:paraId="74F660B8">
            <w:pPr>
              <w:pStyle w:val="34"/>
            </w:pPr>
            <w:r>
              <w:t>≤</w:t>
            </w:r>
          </w:p>
        </w:tc>
        <w:tc>
          <w:tcPr>
            <w:tcW w:w="847" w:type="pct"/>
            <w:gridSpan w:val="2"/>
            <w:vAlign w:val="center"/>
          </w:tcPr>
          <w:p w14:paraId="2AE955FA">
            <w:pPr>
              <w:pStyle w:val="34"/>
            </w:pPr>
            <w:r>
              <w:t>60.0</w:t>
            </w:r>
          </w:p>
        </w:tc>
        <w:tc>
          <w:tcPr>
            <w:tcW w:w="847" w:type="pct"/>
            <w:vAlign w:val="center"/>
          </w:tcPr>
          <w:p w14:paraId="54941749">
            <w:pPr>
              <w:pStyle w:val="34"/>
            </w:pPr>
            <w:r>
              <w:t>130.0</w:t>
            </w:r>
          </w:p>
        </w:tc>
        <w:tc>
          <w:tcPr>
            <w:tcW w:w="1888" w:type="pct"/>
            <w:vAlign w:val="center"/>
          </w:tcPr>
          <w:p w14:paraId="504E1F97">
            <w:pPr>
              <w:pStyle w:val="34"/>
            </w:pPr>
            <w:r>
              <w:t>250.0</w:t>
            </w:r>
          </w:p>
        </w:tc>
      </w:tr>
      <w:tr w14:paraId="64299E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153AF488">
            <w:pPr>
              <w:pStyle w:val="34"/>
            </w:pPr>
            <w:r>
              <w:t>铬</w:t>
            </w:r>
            <w:r>
              <w:rPr>
                <w:rFonts w:hint="eastAsia"/>
              </w:rPr>
              <w:t>（</w:t>
            </w:r>
            <w:r>
              <w:t>×10</w:t>
            </w:r>
            <w:r>
              <w:rPr>
                <w:vertAlign w:val="superscript"/>
              </w:rPr>
              <w:t>-6</w:t>
            </w:r>
            <w:r>
              <w:rPr>
                <w:rFonts w:hint="eastAsia"/>
              </w:rPr>
              <w:t>）</w:t>
            </w:r>
          </w:p>
        </w:tc>
        <w:tc>
          <w:tcPr>
            <w:tcW w:w="423" w:type="pct"/>
            <w:vAlign w:val="center"/>
          </w:tcPr>
          <w:p w14:paraId="11C3B6CA">
            <w:pPr>
              <w:pStyle w:val="34"/>
            </w:pPr>
            <w:r>
              <w:t>≤</w:t>
            </w:r>
          </w:p>
        </w:tc>
        <w:tc>
          <w:tcPr>
            <w:tcW w:w="847" w:type="pct"/>
            <w:gridSpan w:val="2"/>
            <w:vAlign w:val="center"/>
          </w:tcPr>
          <w:p w14:paraId="1C480B66">
            <w:pPr>
              <w:pStyle w:val="34"/>
            </w:pPr>
            <w:r>
              <w:t>80.0</w:t>
            </w:r>
          </w:p>
        </w:tc>
        <w:tc>
          <w:tcPr>
            <w:tcW w:w="847" w:type="pct"/>
            <w:vAlign w:val="center"/>
          </w:tcPr>
          <w:p w14:paraId="12E9FB62">
            <w:pPr>
              <w:pStyle w:val="34"/>
            </w:pPr>
            <w:r>
              <w:t>150.0</w:t>
            </w:r>
          </w:p>
        </w:tc>
        <w:tc>
          <w:tcPr>
            <w:tcW w:w="1888" w:type="pct"/>
            <w:vAlign w:val="center"/>
          </w:tcPr>
          <w:p w14:paraId="355DA256">
            <w:pPr>
              <w:pStyle w:val="34"/>
            </w:pPr>
            <w:r>
              <w:t>270.0</w:t>
            </w:r>
          </w:p>
        </w:tc>
      </w:tr>
      <w:tr w14:paraId="78FAE9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2BC0C4DA">
            <w:pPr>
              <w:pStyle w:val="34"/>
            </w:pPr>
            <w:r>
              <w:t>砷</w:t>
            </w:r>
            <w:r>
              <w:rPr>
                <w:rFonts w:hint="eastAsia"/>
              </w:rPr>
              <w:t>（</w:t>
            </w:r>
            <w:r>
              <w:t>×10</w:t>
            </w:r>
            <w:r>
              <w:rPr>
                <w:vertAlign w:val="superscript"/>
              </w:rPr>
              <w:t>-6</w:t>
            </w:r>
            <w:r>
              <w:rPr>
                <w:rFonts w:hint="eastAsia"/>
              </w:rPr>
              <w:t>）</w:t>
            </w:r>
          </w:p>
        </w:tc>
        <w:tc>
          <w:tcPr>
            <w:tcW w:w="423" w:type="pct"/>
            <w:vAlign w:val="center"/>
          </w:tcPr>
          <w:p w14:paraId="1D4CB1FE">
            <w:pPr>
              <w:pStyle w:val="34"/>
            </w:pPr>
            <w:r>
              <w:t>≤</w:t>
            </w:r>
          </w:p>
        </w:tc>
        <w:tc>
          <w:tcPr>
            <w:tcW w:w="847" w:type="pct"/>
            <w:gridSpan w:val="2"/>
            <w:vAlign w:val="center"/>
          </w:tcPr>
          <w:p w14:paraId="22552C1A">
            <w:pPr>
              <w:pStyle w:val="34"/>
            </w:pPr>
            <w:r>
              <w:t>20.0</w:t>
            </w:r>
          </w:p>
        </w:tc>
        <w:tc>
          <w:tcPr>
            <w:tcW w:w="847" w:type="pct"/>
            <w:vAlign w:val="center"/>
          </w:tcPr>
          <w:p w14:paraId="38899838">
            <w:pPr>
              <w:pStyle w:val="34"/>
            </w:pPr>
            <w:r>
              <w:t>65.0</w:t>
            </w:r>
          </w:p>
        </w:tc>
        <w:tc>
          <w:tcPr>
            <w:tcW w:w="1888" w:type="pct"/>
            <w:vAlign w:val="center"/>
          </w:tcPr>
          <w:p w14:paraId="11A16DB8">
            <w:pPr>
              <w:pStyle w:val="34"/>
            </w:pPr>
            <w:r>
              <w:t>93.0</w:t>
            </w:r>
          </w:p>
        </w:tc>
      </w:tr>
      <w:tr w14:paraId="78C8DF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4CD74D21">
            <w:pPr>
              <w:pStyle w:val="34"/>
            </w:pPr>
            <w:r>
              <w:t>铜</w:t>
            </w:r>
            <w:r>
              <w:rPr>
                <w:rFonts w:hint="eastAsia"/>
              </w:rPr>
              <w:t>（</w:t>
            </w:r>
            <w:r>
              <w:t>×10</w:t>
            </w:r>
            <w:r>
              <w:rPr>
                <w:vertAlign w:val="superscript"/>
              </w:rPr>
              <w:t>-6</w:t>
            </w:r>
            <w:r>
              <w:rPr>
                <w:rFonts w:hint="eastAsia"/>
              </w:rPr>
              <w:t>）</w:t>
            </w:r>
          </w:p>
        </w:tc>
        <w:tc>
          <w:tcPr>
            <w:tcW w:w="423" w:type="pct"/>
            <w:vAlign w:val="center"/>
          </w:tcPr>
          <w:p w14:paraId="7AB6DB9A">
            <w:pPr>
              <w:pStyle w:val="34"/>
            </w:pPr>
            <w:r>
              <w:t>≤</w:t>
            </w:r>
          </w:p>
        </w:tc>
        <w:tc>
          <w:tcPr>
            <w:tcW w:w="847" w:type="pct"/>
            <w:gridSpan w:val="2"/>
            <w:vAlign w:val="center"/>
          </w:tcPr>
          <w:p w14:paraId="5413A35F">
            <w:pPr>
              <w:pStyle w:val="34"/>
            </w:pPr>
            <w:r>
              <w:t>35.0</w:t>
            </w:r>
          </w:p>
        </w:tc>
        <w:tc>
          <w:tcPr>
            <w:tcW w:w="847" w:type="pct"/>
            <w:vAlign w:val="center"/>
          </w:tcPr>
          <w:p w14:paraId="106F5A3E">
            <w:pPr>
              <w:pStyle w:val="34"/>
            </w:pPr>
            <w:r>
              <w:t>100.0</w:t>
            </w:r>
          </w:p>
        </w:tc>
        <w:tc>
          <w:tcPr>
            <w:tcW w:w="1888" w:type="pct"/>
            <w:vAlign w:val="center"/>
          </w:tcPr>
          <w:p w14:paraId="1AE5B120">
            <w:pPr>
              <w:pStyle w:val="34"/>
            </w:pPr>
            <w:r>
              <w:t>200.0</w:t>
            </w:r>
          </w:p>
        </w:tc>
      </w:tr>
      <w:tr w14:paraId="5602BF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4D3BF13C">
            <w:pPr>
              <w:pStyle w:val="34"/>
            </w:pPr>
            <w:r>
              <w:t>锌</w:t>
            </w:r>
            <w:r>
              <w:rPr>
                <w:rFonts w:hint="eastAsia"/>
              </w:rPr>
              <w:t>（</w:t>
            </w:r>
            <w:r>
              <w:t>×10</w:t>
            </w:r>
            <w:r>
              <w:rPr>
                <w:vertAlign w:val="superscript"/>
              </w:rPr>
              <w:t>-6</w:t>
            </w:r>
            <w:r>
              <w:rPr>
                <w:rFonts w:hint="eastAsia"/>
              </w:rPr>
              <w:t>）</w:t>
            </w:r>
          </w:p>
        </w:tc>
        <w:tc>
          <w:tcPr>
            <w:tcW w:w="423" w:type="pct"/>
            <w:vAlign w:val="center"/>
          </w:tcPr>
          <w:p w14:paraId="0FA25EA5">
            <w:pPr>
              <w:pStyle w:val="34"/>
            </w:pPr>
            <w:r>
              <w:t>≤</w:t>
            </w:r>
          </w:p>
        </w:tc>
        <w:tc>
          <w:tcPr>
            <w:tcW w:w="847" w:type="pct"/>
            <w:gridSpan w:val="2"/>
            <w:vAlign w:val="center"/>
          </w:tcPr>
          <w:p w14:paraId="63159D3B">
            <w:pPr>
              <w:pStyle w:val="34"/>
            </w:pPr>
            <w:r>
              <w:t>150.0</w:t>
            </w:r>
          </w:p>
        </w:tc>
        <w:tc>
          <w:tcPr>
            <w:tcW w:w="847" w:type="pct"/>
            <w:vAlign w:val="center"/>
          </w:tcPr>
          <w:p w14:paraId="4F3DD09A">
            <w:pPr>
              <w:pStyle w:val="34"/>
            </w:pPr>
            <w:r>
              <w:t>350.0</w:t>
            </w:r>
          </w:p>
        </w:tc>
        <w:tc>
          <w:tcPr>
            <w:tcW w:w="1888" w:type="pct"/>
            <w:vAlign w:val="center"/>
          </w:tcPr>
          <w:p w14:paraId="11787A91">
            <w:pPr>
              <w:pStyle w:val="34"/>
            </w:pPr>
            <w:r>
              <w:t>600.0</w:t>
            </w:r>
          </w:p>
        </w:tc>
      </w:tr>
      <w:tr w14:paraId="71817A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426FEB64">
            <w:pPr>
              <w:pStyle w:val="34"/>
            </w:pPr>
            <w:r>
              <w:t>石油类</w:t>
            </w:r>
            <w:r>
              <w:rPr>
                <w:rFonts w:hint="eastAsia"/>
              </w:rPr>
              <w:t>（</w:t>
            </w:r>
            <w:r>
              <w:t>×10</w:t>
            </w:r>
            <w:r>
              <w:rPr>
                <w:vertAlign w:val="superscript"/>
              </w:rPr>
              <w:t>-6</w:t>
            </w:r>
            <w:r>
              <w:rPr>
                <w:rFonts w:hint="eastAsia"/>
              </w:rPr>
              <w:t>）</w:t>
            </w:r>
          </w:p>
        </w:tc>
        <w:tc>
          <w:tcPr>
            <w:tcW w:w="423" w:type="pct"/>
            <w:vAlign w:val="center"/>
          </w:tcPr>
          <w:p w14:paraId="5AA63FCE">
            <w:pPr>
              <w:pStyle w:val="34"/>
            </w:pPr>
            <w:r>
              <w:t>≤</w:t>
            </w:r>
          </w:p>
        </w:tc>
        <w:tc>
          <w:tcPr>
            <w:tcW w:w="847" w:type="pct"/>
            <w:gridSpan w:val="2"/>
            <w:vAlign w:val="center"/>
          </w:tcPr>
          <w:p w14:paraId="36EAB1EE">
            <w:pPr>
              <w:pStyle w:val="34"/>
            </w:pPr>
            <w:r>
              <w:t>500.0</w:t>
            </w:r>
          </w:p>
        </w:tc>
        <w:tc>
          <w:tcPr>
            <w:tcW w:w="847" w:type="pct"/>
            <w:vAlign w:val="center"/>
          </w:tcPr>
          <w:p w14:paraId="64B8C71C">
            <w:pPr>
              <w:pStyle w:val="34"/>
            </w:pPr>
            <w:r>
              <w:t>1000.0</w:t>
            </w:r>
          </w:p>
        </w:tc>
        <w:tc>
          <w:tcPr>
            <w:tcW w:w="1888" w:type="pct"/>
            <w:vAlign w:val="center"/>
          </w:tcPr>
          <w:p w14:paraId="1FBB5A3C">
            <w:pPr>
              <w:pStyle w:val="34"/>
            </w:pPr>
            <w:r>
              <w:t>1500.0</w:t>
            </w:r>
          </w:p>
        </w:tc>
      </w:tr>
      <w:tr w14:paraId="5C4A49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0F39DE88">
            <w:pPr>
              <w:pStyle w:val="34"/>
            </w:pPr>
            <w:r>
              <w:t>有机碳</w:t>
            </w:r>
            <w:r>
              <w:rPr>
                <w:rFonts w:hint="eastAsia"/>
              </w:rPr>
              <w:t>（</w:t>
            </w:r>
            <w:r>
              <w:t>×10</w:t>
            </w:r>
            <w:r>
              <w:rPr>
                <w:vertAlign w:val="superscript"/>
              </w:rPr>
              <w:t>-6</w:t>
            </w:r>
            <w:r>
              <w:rPr>
                <w:rFonts w:hint="eastAsia"/>
              </w:rPr>
              <w:t>）</w:t>
            </w:r>
          </w:p>
        </w:tc>
        <w:tc>
          <w:tcPr>
            <w:tcW w:w="423" w:type="pct"/>
            <w:vAlign w:val="center"/>
          </w:tcPr>
          <w:p w14:paraId="3A1ABF61">
            <w:pPr>
              <w:pStyle w:val="34"/>
            </w:pPr>
            <w:r>
              <w:t>≤</w:t>
            </w:r>
          </w:p>
        </w:tc>
        <w:tc>
          <w:tcPr>
            <w:tcW w:w="847" w:type="pct"/>
            <w:gridSpan w:val="2"/>
            <w:vAlign w:val="center"/>
          </w:tcPr>
          <w:p w14:paraId="2F2CBA04">
            <w:pPr>
              <w:pStyle w:val="34"/>
            </w:pPr>
            <w:r>
              <w:t>2.0</w:t>
            </w:r>
          </w:p>
        </w:tc>
        <w:tc>
          <w:tcPr>
            <w:tcW w:w="847" w:type="pct"/>
            <w:vAlign w:val="center"/>
          </w:tcPr>
          <w:p w14:paraId="61E8F3C2">
            <w:pPr>
              <w:pStyle w:val="34"/>
            </w:pPr>
            <w:r>
              <w:t>3.0</w:t>
            </w:r>
          </w:p>
        </w:tc>
        <w:tc>
          <w:tcPr>
            <w:tcW w:w="1888" w:type="pct"/>
            <w:vAlign w:val="center"/>
          </w:tcPr>
          <w:p w14:paraId="40DC3E2E">
            <w:pPr>
              <w:pStyle w:val="34"/>
            </w:pPr>
            <w:r>
              <w:t>4.0</w:t>
            </w:r>
          </w:p>
        </w:tc>
      </w:tr>
      <w:tr w14:paraId="453753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28EC9E9F">
            <w:pPr>
              <w:pStyle w:val="34"/>
            </w:pPr>
            <w:r>
              <w:t>硫化物</w:t>
            </w:r>
            <w:r>
              <w:rPr>
                <w:rFonts w:hint="eastAsia"/>
              </w:rPr>
              <w:t>（</w:t>
            </w:r>
            <w:r>
              <w:t>×10</w:t>
            </w:r>
            <w:r>
              <w:rPr>
                <w:vertAlign w:val="superscript"/>
              </w:rPr>
              <w:t>-6</w:t>
            </w:r>
            <w:r>
              <w:rPr>
                <w:rFonts w:hint="eastAsia"/>
              </w:rPr>
              <w:t>）</w:t>
            </w:r>
          </w:p>
        </w:tc>
        <w:tc>
          <w:tcPr>
            <w:tcW w:w="423" w:type="pct"/>
            <w:vAlign w:val="center"/>
          </w:tcPr>
          <w:p w14:paraId="188DF196">
            <w:pPr>
              <w:pStyle w:val="34"/>
            </w:pPr>
            <w:r>
              <w:t>≤</w:t>
            </w:r>
          </w:p>
        </w:tc>
        <w:tc>
          <w:tcPr>
            <w:tcW w:w="847" w:type="pct"/>
            <w:gridSpan w:val="2"/>
            <w:vAlign w:val="center"/>
          </w:tcPr>
          <w:p w14:paraId="1879C755">
            <w:pPr>
              <w:pStyle w:val="34"/>
            </w:pPr>
            <w:r>
              <w:t>300.0</w:t>
            </w:r>
          </w:p>
        </w:tc>
        <w:tc>
          <w:tcPr>
            <w:tcW w:w="847" w:type="pct"/>
            <w:vAlign w:val="center"/>
          </w:tcPr>
          <w:p w14:paraId="12E0D86E">
            <w:pPr>
              <w:pStyle w:val="34"/>
            </w:pPr>
            <w:r>
              <w:t>500.0</w:t>
            </w:r>
          </w:p>
        </w:tc>
        <w:tc>
          <w:tcPr>
            <w:tcW w:w="1888" w:type="pct"/>
            <w:vAlign w:val="center"/>
          </w:tcPr>
          <w:p w14:paraId="56DBB18D">
            <w:pPr>
              <w:pStyle w:val="34"/>
            </w:pPr>
            <w:r>
              <w:t>600.0</w:t>
            </w:r>
          </w:p>
        </w:tc>
      </w:tr>
    </w:tbl>
    <w:p w14:paraId="769A8B0C">
      <w:pPr>
        <w:snapToGrid w:val="0"/>
        <w:ind w:firstLine="342"/>
        <w:rPr>
          <w:sz w:val="18"/>
          <w:szCs w:val="18"/>
        </w:rPr>
      </w:pPr>
      <w:r>
        <w:rPr>
          <w:sz w:val="18"/>
          <w:szCs w:val="18"/>
        </w:rPr>
        <w:t>注：第一类  适用于海洋渔业海域、海洋自然保护区，珍稀与濒危生物自然保护区，海洋养殖区，海水浴场，人体直接接触沉积物的海上运动或娱乐区，与人类食用直接有关的工业用水区。</w:t>
      </w:r>
    </w:p>
    <w:p w14:paraId="21D54C2A">
      <w:pPr>
        <w:snapToGrid w:val="0"/>
        <w:ind w:firstLine="342"/>
        <w:rPr>
          <w:sz w:val="18"/>
          <w:szCs w:val="18"/>
        </w:rPr>
      </w:pPr>
      <w:r>
        <w:rPr>
          <w:sz w:val="18"/>
          <w:szCs w:val="18"/>
        </w:rPr>
        <w:t xml:space="preserve">    第二类  适用于一般工业用水区，滨海风景旅游区。</w:t>
      </w:r>
    </w:p>
    <w:p w14:paraId="0ED7A407">
      <w:pPr>
        <w:snapToGrid w:val="0"/>
        <w:ind w:firstLine="342"/>
        <w:rPr>
          <w:sz w:val="18"/>
          <w:szCs w:val="18"/>
        </w:rPr>
      </w:pPr>
      <w:r>
        <w:rPr>
          <w:sz w:val="18"/>
          <w:szCs w:val="18"/>
        </w:rPr>
        <w:t xml:space="preserve">    第三类  适用于海洋港口海域，特殊用途的海洋开发作业区。</w:t>
      </w:r>
    </w:p>
    <w:p w14:paraId="01BC5FF0">
      <w:pPr>
        <w:pStyle w:val="7"/>
        <w:jc w:val="right"/>
      </w:pPr>
      <w:r>
        <w:t>海洋生物质量（GB18421-2001）</w:t>
      </w:r>
      <w:r>
        <w:rPr>
          <w:rFonts w:hint="eastAsia"/>
        </w:rPr>
        <w:t xml:space="preserve">（双壳贝类）    </w:t>
      </w:r>
      <w:r>
        <w:rPr>
          <w:rFonts w:hint="eastAsia"/>
          <w:b w:val="0"/>
          <w:bCs/>
          <w:sz w:val="21"/>
          <w:szCs w:val="21"/>
        </w:rPr>
        <w:t xml:space="preserve"> </w:t>
      </w:r>
      <w:r>
        <w:rPr>
          <w:b w:val="0"/>
          <w:bCs/>
          <w:sz w:val="21"/>
          <w:szCs w:val="21"/>
        </w:rPr>
        <w:t>单位：mg/kg</w:t>
      </w:r>
    </w:p>
    <w:tbl>
      <w:tblPr>
        <w:tblStyle w:val="88"/>
        <w:tblW w:w="5000"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1586"/>
        <w:gridCol w:w="2055"/>
        <w:gridCol w:w="2055"/>
        <w:gridCol w:w="2032"/>
      </w:tblGrid>
      <w:tr w14:paraId="67EDEFE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469" w:type="pct"/>
            <w:vAlign w:val="center"/>
          </w:tcPr>
          <w:p w14:paraId="32B920ED">
            <w:pPr>
              <w:pStyle w:val="34"/>
              <w:rPr>
                <w:szCs w:val="21"/>
              </w:rPr>
            </w:pPr>
            <w:r>
              <w:rPr>
                <w:szCs w:val="21"/>
              </w:rPr>
              <w:t>序号</w:t>
            </w:r>
          </w:p>
        </w:tc>
        <w:tc>
          <w:tcPr>
            <w:tcW w:w="930" w:type="pct"/>
            <w:vAlign w:val="center"/>
          </w:tcPr>
          <w:p w14:paraId="0330FA6C">
            <w:pPr>
              <w:pStyle w:val="34"/>
              <w:rPr>
                <w:szCs w:val="21"/>
              </w:rPr>
            </w:pPr>
            <w:r>
              <w:rPr>
                <w:szCs w:val="21"/>
              </w:rPr>
              <w:t>监测项目</w:t>
            </w:r>
          </w:p>
        </w:tc>
        <w:tc>
          <w:tcPr>
            <w:tcW w:w="1205" w:type="pct"/>
            <w:vAlign w:val="center"/>
          </w:tcPr>
          <w:p w14:paraId="0903AEF2">
            <w:pPr>
              <w:pStyle w:val="34"/>
              <w:rPr>
                <w:szCs w:val="21"/>
              </w:rPr>
            </w:pPr>
            <w:r>
              <w:rPr>
                <w:szCs w:val="21"/>
              </w:rPr>
              <w:t>第一类</w:t>
            </w:r>
          </w:p>
        </w:tc>
        <w:tc>
          <w:tcPr>
            <w:tcW w:w="1205" w:type="pct"/>
            <w:vAlign w:val="center"/>
          </w:tcPr>
          <w:p w14:paraId="6D5B25BF">
            <w:pPr>
              <w:pStyle w:val="34"/>
              <w:rPr>
                <w:szCs w:val="21"/>
              </w:rPr>
            </w:pPr>
            <w:r>
              <w:rPr>
                <w:szCs w:val="21"/>
              </w:rPr>
              <w:t>第二类</w:t>
            </w:r>
          </w:p>
        </w:tc>
        <w:tc>
          <w:tcPr>
            <w:tcW w:w="1191" w:type="pct"/>
            <w:vAlign w:val="center"/>
          </w:tcPr>
          <w:p w14:paraId="5CC40B2F">
            <w:pPr>
              <w:pStyle w:val="34"/>
              <w:rPr>
                <w:szCs w:val="21"/>
              </w:rPr>
            </w:pPr>
            <w:r>
              <w:rPr>
                <w:szCs w:val="21"/>
              </w:rPr>
              <w:t>第三类</w:t>
            </w:r>
          </w:p>
        </w:tc>
      </w:tr>
      <w:tr w14:paraId="68C682CF">
        <w:tblPrEx>
          <w:tblCellMar>
            <w:top w:w="0" w:type="dxa"/>
            <w:left w:w="108" w:type="dxa"/>
            <w:bottom w:w="0" w:type="dxa"/>
            <w:right w:w="108" w:type="dxa"/>
          </w:tblCellMar>
        </w:tblPrEx>
        <w:trPr>
          <w:trHeight w:val="20" w:hRule="atLeast"/>
        </w:trPr>
        <w:tc>
          <w:tcPr>
            <w:tcW w:w="469" w:type="pct"/>
            <w:vAlign w:val="center"/>
          </w:tcPr>
          <w:p w14:paraId="2E1944FD">
            <w:pPr>
              <w:pStyle w:val="34"/>
              <w:rPr>
                <w:szCs w:val="21"/>
              </w:rPr>
            </w:pPr>
            <w:r>
              <w:rPr>
                <w:szCs w:val="21"/>
              </w:rPr>
              <w:t>1</w:t>
            </w:r>
          </w:p>
        </w:tc>
        <w:tc>
          <w:tcPr>
            <w:tcW w:w="930" w:type="pct"/>
            <w:vAlign w:val="center"/>
          </w:tcPr>
          <w:p w14:paraId="1A78701C">
            <w:pPr>
              <w:pStyle w:val="34"/>
              <w:rPr>
                <w:szCs w:val="21"/>
              </w:rPr>
            </w:pPr>
            <w:r>
              <w:rPr>
                <w:szCs w:val="21"/>
              </w:rPr>
              <w:t>总汞≤</w:t>
            </w:r>
          </w:p>
        </w:tc>
        <w:tc>
          <w:tcPr>
            <w:tcW w:w="1205" w:type="pct"/>
            <w:vAlign w:val="center"/>
          </w:tcPr>
          <w:p w14:paraId="19719F9E">
            <w:pPr>
              <w:pStyle w:val="34"/>
              <w:rPr>
                <w:szCs w:val="21"/>
              </w:rPr>
            </w:pPr>
            <w:r>
              <w:rPr>
                <w:szCs w:val="21"/>
              </w:rPr>
              <w:t>0.05</w:t>
            </w:r>
          </w:p>
        </w:tc>
        <w:tc>
          <w:tcPr>
            <w:tcW w:w="1205" w:type="pct"/>
            <w:vAlign w:val="center"/>
          </w:tcPr>
          <w:p w14:paraId="370521C7">
            <w:pPr>
              <w:pStyle w:val="34"/>
              <w:rPr>
                <w:szCs w:val="21"/>
              </w:rPr>
            </w:pPr>
            <w:r>
              <w:rPr>
                <w:szCs w:val="21"/>
              </w:rPr>
              <w:t>0.10</w:t>
            </w:r>
          </w:p>
        </w:tc>
        <w:tc>
          <w:tcPr>
            <w:tcW w:w="1191" w:type="pct"/>
            <w:vAlign w:val="center"/>
          </w:tcPr>
          <w:p w14:paraId="5AED9DAB">
            <w:pPr>
              <w:pStyle w:val="34"/>
              <w:rPr>
                <w:szCs w:val="21"/>
              </w:rPr>
            </w:pPr>
            <w:r>
              <w:rPr>
                <w:szCs w:val="21"/>
              </w:rPr>
              <w:t>0.30</w:t>
            </w:r>
          </w:p>
        </w:tc>
      </w:tr>
      <w:tr w14:paraId="4D4231F6">
        <w:tblPrEx>
          <w:tblCellMar>
            <w:top w:w="0" w:type="dxa"/>
            <w:left w:w="108" w:type="dxa"/>
            <w:bottom w:w="0" w:type="dxa"/>
            <w:right w:w="108" w:type="dxa"/>
          </w:tblCellMar>
        </w:tblPrEx>
        <w:trPr>
          <w:trHeight w:val="20" w:hRule="atLeast"/>
        </w:trPr>
        <w:tc>
          <w:tcPr>
            <w:tcW w:w="469" w:type="pct"/>
            <w:vAlign w:val="center"/>
          </w:tcPr>
          <w:p w14:paraId="2295294D">
            <w:pPr>
              <w:pStyle w:val="34"/>
              <w:rPr>
                <w:szCs w:val="21"/>
              </w:rPr>
            </w:pPr>
            <w:r>
              <w:rPr>
                <w:szCs w:val="21"/>
              </w:rPr>
              <w:t>2</w:t>
            </w:r>
          </w:p>
        </w:tc>
        <w:tc>
          <w:tcPr>
            <w:tcW w:w="930" w:type="pct"/>
            <w:vAlign w:val="center"/>
          </w:tcPr>
          <w:p w14:paraId="4F5E2A3E">
            <w:pPr>
              <w:pStyle w:val="34"/>
              <w:rPr>
                <w:szCs w:val="21"/>
              </w:rPr>
            </w:pPr>
            <w:r>
              <w:rPr>
                <w:szCs w:val="21"/>
              </w:rPr>
              <w:t>镉≤</w:t>
            </w:r>
          </w:p>
        </w:tc>
        <w:tc>
          <w:tcPr>
            <w:tcW w:w="1205" w:type="pct"/>
            <w:vAlign w:val="center"/>
          </w:tcPr>
          <w:p w14:paraId="6A8759FF">
            <w:pPr>
              <w:pStyle w:val="34"/>
              <w:rPr>
                <w:szCs w:val="21"/>
              </w:rPr>
            </w:pPr>
            <w:r>
              <w:rPr>
                <w:szCs w:val="21"/>
              </w:rPr>
              <w:t>0.2</w:t>
            </w:r>
          </w:p>
        </w:tc>
        <w:tc>
          <w:tcPr>
            <w:tcW w:w="1205" w:type="pct"/>
            <w:vAlign w:val="center"/>
          </w:tcPr>
          <w:p w14:paraId="659484CB">
            <w:pPr>
              <w:pStyle w:val="34"/>
              <w:rPr>
                <w:szCs w:val="21"/>
              </w:rPr>
            </w:pPr>
            <w:r>
              <w:rPr>
                <w:szCs w:val="21"/>
              </w:rPr>
              <w:t>2.0</w:t>
            </w:r>
          </w:p>
        </w:tc>
        <w:tc>
          <w:tcPr>
            <w:tcW w:w="1191" w:type="pct"/>
            <w:vAlign w:val="center"/>
          </w:tcPr>
          <w:p w14:paraId="0DB754F0">
            <w:pPr>
              <w:pStyle w:val="34"/>
              <w:rPr>
                <w:szCs w:val="21"/>
              </w:rPr>
            </w:pPr>
            <w:r>
              <w:rPr>
                <w:szCs w:val="21"/>
              </w:rPr>
              <w:t>5.0</w:t>
            </w:r>
          </w:p>
        </w:tc>
      </w:tr>
      <w:tr w14:paraId="4CA977B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7F837BBC">
            <w:pPr>
              <w:pStyle w:val="34"/>
              <w:rPr>
                <w:szCs w:val="21"/>
              </w:rPr>
            </w:pPr>
            <w:r>
              <w:rPr>
                <w:szCs w:val="21"/>
              </w:rPr>
              <w:t>3</w:t>
            </w:r>
          </w:p>
        </w:tc>
        <w:tc>
          <w:tcPr>
            <w:tcW w:w="930" w:type="pct"/>
            <w:vAlign w:val="center"/>
          </w:tcPr>
          <w:p w14:paraId="722EE589">
            <w:pPr>
              <w:pStyle w:val="34"/>
              <w:rPr>
                <w:szCs w:val="21"/>
              </w:rPr>
            </w:pPr>
            <w:r>
              <w:rPr>
                <w:szCs w:val="21"/>
              </w:rPr>
              <w:t>铅≤</w:t>
            </w:r>
          </w:p>
        </w:tc>
        <w:tc>
          <w:tcPr>
            <w:tcW w:w="1205" w:type="pct"/>
            <w:vAlign w:val="center"/>
          </w:tcPr>
          <w:p w14:paraId="0C28BDEC">
            <w:pPr>
              <w:pStyle w:val="34"/>
              <w:rPr>
                <w:szCs w:val="21"/>
              </w:rPr>
            </w:pPr>
            <w:r>
              <w:rPr>
                <w:szCs w:val="21"/>
              </w:rPr>
              <w:t>0.1</w:t>
            </w:r>
          </w:p>
        </w:tc>
        <w:tc>
          <w:tcPr>
            <w:tcW w:w="1205" w:type="pct"/>
            <w:vAlign w:val="center"/>
          </w:tcPr>
          <w:p w14:paraId="120AB1AC">
            <w:pPr>
              <w:pStyle w:val="34"/>
              <w:rPr>
                <w:szCs w:val="21"/>
              </w:rPr>
            </w:pPr>
            <w:r>
              <w:rPr>
                <w:szCs w:val="21"/>
              </w:rPr>
              <w:t>2.0</w:t>
            </w:r>
          </w:p>
        </w:tc>
        <w:tc>
          <w:tcPr>
            <w:tcW w:w="1191" w:type="pct"/>
            <w:vAlign w:val="center"/>
          </w:tcPr>
          <w:p w14:paraId="3F4ECA08">
            <w:pPr>
              <w:pStyle w:val="34"/>
              <w:rPr>
                <w:szCs w:val="21"/>
              </w:rPr>
            </w:pPr>
            <w:r>
              <w:rPr>
                <w:szCs w:val="21"/>
              </w:rPr>
              <w:t>6.0</w:t>
            </w:r>
          </w:p>
        </w:tc>
      </w:tr>
      <w:tr w14:paraId="4151FB4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1C63578B">
            <w:pPr>
              <w:pStyle w:val="34"/>
              <w:rPr>
                <w:szCs w:val="21"/>
              </w:rPr>
            </w:pPr>
            <w:r>
              <w:rPr>
                <w:szCs w:val="21"/>
              </w:rPr>
              <w:t>4</w:t>
            </w:r>
          </w:p>
        </w:tc>
        <w:tc>
          <w:tcPr>
            <w:tcW w:w="930" w:type="pct"/>
            <w:vAlign w:val="center"/>
          </w:tcPr>
          <w:p w14:paraId="2A2226B8">
            <w:pPr>
              <w:pStyle w:val="34"/>
              <w:rPr>
                <w:szCs w:val="21"/>
              </w:rPr>
            </w:pPr>
            <w:r>
              <w:rPr>
                <w:szCs w:val="21"/>
              </w:rPr>
              <w:t>砷≤</w:t>
            </w:r>
          </w:p>
        </w:tc>
        <w:tc>
          <w:tcPr>
            <w:tcW w:w="1205" w:type="pct"/>
            <w:vAlign w:val="center"/>
          </w:tcPr>
          <w:p w14:paraId="7B3435A9">
            <w:pPr>
              <w:pStyle w:val="34"/>
              <w:rPr>
                <w:szCs w:val="21"/>
              </w:rPr>
            </w:pPr>
            <w:r>
              <w:rPr>
                <w:szCs w:val="21"/>
              </w:rPr>
              <w:t>1.0</w:t>
            </w:r>
          </w:p>
        </w:tc>
        <w:tc>
          <w:tcPr>
            <w:tcW w:w="1205" w:type="pct"/>
            <w:vAlign w:val="center"/>
          </w:tcPr>
          <w:p w14:paraId="1CFB85EA">
            <w:pPr>
              <w:pStyle w:val="34"/>
              <w:rPr>
                <w:szCs w:val="21"/>
              </w:rPr>
            </w:pPr>
            <w:r>
              <w:rPr>
                <w:szCs w:val="21"/>
              </w:rPr>
              <w:t>5.0</w:t>
            </w:r>
          </w:p>
        </w:tc>
        <w:tc>
          <w:tcPr>
            <w:tcW w:w="1191" w:type="pct"/>
            <w:vAlign w:val="center"/>
          </w:tcPr>
          <w:p w14:paraId="784D1CAC">
            <w:pPr>
              <w:pStyle w:val="34"/>
              <w:rPr>
                <w:szCs w:val="21"/>
              </w:rPr>
            </w:pPr>
            <w:r>
              <w:rPr>
                <w:szCs w:val="21"/>
              </w:rPr>
              <w:t>8.0</w:t>
            </w:r>
          </w:p>
        </w:tc>
      </w:tr>
      <w:tr w14:paraId="71C8A14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0122ACE4">
            <w:pPr>
              <w:pStyle w:val="34"/>
              <w:rPr>
                <w:szCs w:val="21"/>
              </w:rPr>
            </w:pPr>
            <w:r>
              <w:rPr>
                <w:szCs w:val="21"/>
              </w:rPr>
              <w:t>5</w:t>
            </w:r>
          </w:p>
        </w:tc>
        <w:tc>
          <w:tcPr>
            <w:tcW w:w="930" w:type="pct"/>
            <w:vAlign w:val="center"/>
          </w:tcPr>
          <w:p w14:paraId="2A4F5A3B">
            <w:pPr>
              <w:pStyle w:val="34"/>
              <w:rPr>
                <w:szCs w:val="21"/>
              </w:rPr>
            </w:pPr>
            <w:r>
              <w:rPr>
                <w:szCs w:val="21"/>
              </w:rPr>
              <w:t>铜≤</w:t>
            </w:r>
          </w:p>
        </w:tc>
        <w:tc>
          <w:tcPr>
            <w:tcW w:w="1205" w:type="pct"/>
            <w:vAlign w:val="center"/>
          </w:tcPr>
          <w:p w14:paraId="41455423">
            <w:pPr>
              <w:pStyle w:val="34"/>
              <w:rPr>
                <w:szCs w:val="21"/>
              </w:rPr>
            </w:pPr>
            <w:r>
              <w:rPr>
                <w:szCs w:val="21"/>
              </w:rPr>
              <w:t>10</w:t>
            </w:r>
          </w:p>
        </w:tc>
        <w:tc>
          <w:tcPr>
            <w:tcW w:w="1205" w:type="pct"/>
            <w:vAlign w:val="center"/>
          </w:tcPr>
          <w:p w14:paraId="1BB9ABBB">
            <w:pPr>
              <w:pStyle w:val="34"/>
              <w:rPr>
                <w:szCs w:val="21"/>
              </w:rPr>
            </w:pPr>
            <w:r>
              <w:rPr>
                <w:szCs w:val="21"/>
              </w:rPr>
              <w:t>25</w:t>
            </w:r>
          </w:p>
        </w:tc>
        <w:tc>
          <w:tcPr>
            <w:tcW w:w="1191" w:type="pct"/>
            <w:vAlign w:val="center"/>
          </w:tcPr>
          <w:p w14:paraId="3CFDDB08">
            <w:pPr>
              <w:pStyle w:val="34"/>
              <w:rPr>
                <w:szCs w:val="21"/>
              </w:rPr>
            </w:pPr>
            <w:r>
              <w:rPr>
                <w:szCs w:val="21"/>
              </w:rPr>
              <w:t>50（牡蛎100）</w:t>
            </w:r>
          </w:p>
        </w:tc>
      </w:tr>
      <w:tr w14:paraId="792FF953">
        <w:tblPrEx>
          <w:tblCellMar>
            <w:top w:w="0" w:type="dxa"/>
            <w:left w:w="108" w:type="dxa"/>
            <w:bottom w:w="0" w:type="dxa"/>
            <w:right w:w="108" w:type="dxa"/>
          </w:tblCellMar>
        </w:tblPrEx>
        <w:trPr>
          <w:trHeight w:val="20" w:hRule="atLeast"/>
        </w:trPr>
        <w:tc>
          <w:tcPr>
            <w:tcW w:w="469" w:type="pct"/>
            <w:vAlign w:val="center"/>
          </w:tcPr>
          <w:p w14:paraId="38E0767D">
            <w:pPr>
              <w:pStyle w:val="34"/>
              <w:rPr>
                <w:szCs w:val="21"/>
              </w:rPr>
            </w:pPr>
            <w:r>
              <w:rPr>
                <w:szCs w:val="21"/>
              </w:rPr>
              <w:t>6</w:t>
            </w:r>
          </w:p>
        </w:tc>
        <w:tc>
          <w:tcPr>
            <w:tcW w:w="930" w:type="pct"/>
            <w:vAlign w:val="center"/>
          </w:tcPr>
          <w:p w14:paraId="162E74C0">
            <w:pPr>
              <w:pStyle w:val="34"/>
              <w:rPr>
                <w:szCs w:val="21"/>
              </w:rPr>
            </w:pPr>
            <w:r>
              <w:rPr>
                <w:szCs w:val="21"/>
              </w:rPr>
              <w:t>铬≤</w:t>
            </w:r>
          </w:p>
        </w:tc>
        <w:tc>
          <w:tcPr>
            <w:tcW w:w="1205" w:type="pct"/>
            <w:vAlign w:val="center"/>
          </w:tcPr>
          <w:p w14:paraId="0F41AD57">
            <w:pPr>
              <w:pStyle w:val="34"/>
              <w:rPr>
                <w:szCs w:val="21"/>
              </w:rPr>
            </w:pPr>
            <w:r>
              <w:rPr>
                <w:szCs w:val="21"/>
              </w:rPr>
              <w:t>0.5</w:t>
            </w:r>
          </w:p>
        </w:tc>
        <w:tc>
          <w:tcPr>
            <w:tcW w:w="1205" w:type="pct"/>
            <w:vAlign w:val="center"/>
          </w:tcPr>
          <w:p w14:paraId="65A38FEF">
            <w:pPr>
              <w:pStyle w:val="34"/>
              <w:rPr>
                <w:szCs w:val="21"/>
              </w:rPr>
            </w:pPr>
            <w:r>
              <w:rPr>
                <w:szCs w:val="21"/>
              </w:rPr>
              <w:t>2.0</w:t>
            </w:r>
          </w:p>
        </w:tc>
        <w:tc>
          <w:tcPr>
            <w:tcW w:w="1191" w:type="pct"/>
            <w:vAlign w:val="center"/>
          </w:tcPr>
          <w:p w14:paraId="4ED5BFE8">
            <w:pPr>
              <w:pStyle w:val="34"/>
              <w:rPr>
                <w:szCs w:val="21"/>
              </w:rPr>
            </w:pPr>
            <w:r>
              <w:rPr>
                <w:szCs w:val="21"/>
              </w:rPr>
              <w:t>6.0</w:t>
            </w:r>
          </w:p>
        </w:tc>
      </w:tr>
      <w:tr w14:paraId="585AF2F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407CE162">
            <w:pPr>
              <w:pStyle w:val="34"/>
              <w:rPr>
                <w:szCs w:val="21"/>
              </w:rPr>
            </w:pPr>
            <w:r>
              <w:rPr>
                <w:szCs w:val="21"/>
              </w:rPr>
              <w:t>7</w:t>
            </w:r>
          </w:p>
        </w:tc>
        <w:tc>
          <w:tcPr>
            <w:tcW w:w="930" w:type="pct"/>
            <w:vAlign w:val="center"/>
          </w:tcPr>
          <w:p w14:paraId="11DF4CBD">
            <w:pPr>
              <w:pStyle w:val="34"/>
              <w:rPr>
                <w:szCs w:val="21"/>
              </w:rPr>
            </w:pPr>
            <w:r>
              <w:rPr>
                <w:szCs w:val="21"/>
              </w:rPr>
              <w:t>锌≤</w:t>
            </w:r>
          </w:p>
        </w:tc>
        <w:tc>
          <w:tcPr>
            <w:tcW w:w="1205" w:type="pct"/>
            <w:vAlign w:val="center"/>
          </w:tcPr>
          <w:p w14:paraId="3E8FA3DC">
            <w:pPr>
              <w:pStyle w:val="34"/>
              <w:rPr>
                <w:szCs w:val="21"/>
              </w:rPr>
            </w:pPr>
            <w:r>
              <w:rPr>
                <w:szCs w:val="21"/>
              </w:rPr>
              <w:t>20</w:t>
            </w:r>
          </w:p>
        </w:tc>
        <w:tc>
          <w:tcPr>
            <w:tcW w:w="1205" w:type="pct"/>
            <w:vAlign w:val="center"/>
          </w:tcPr>
          <w:p w14:paraId="278E076A">
            <w:pPr>
              <w:pStyle w:val="34"/>
              <w:rPr>
                <w:szCs w:val="21"/>
              </w:rPr>
            </w:pPr>
            <w:r>
              <w:rPr>
                <w:szCs w:val="21"/>
              </w:rPr>
              <w:t>50</w:t>
            </w:r>
          </w:p>
        </w:tc>
        <w:tc>
          <w:tcPr>
            <w:tcW w:w="1191" w:type="pct"/>
            <w:vAlign w:val="center"/>
          </w:tcPr>
          <w:p w14:paraId="0EBF34D8">
            <w:pPr>
              <w:pStyle w:val="34"/>
              <w:rPr>
                <w:szCs w:val="21"/>
              </w:rPr>
            </w:pPr>
            <w:r>
              <w:rPr>
                <w:szCs w:val="21"/>
              </w:rPr>
              <w:t>100（牡蛎500）</w:t>
            </w:r>
          </w:p>
        </w:tc>
      </w:tr>
      <w:tr w14:paraId="1805A6B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34271BC3">
            <w:pPr>
              <w:pStyle w:val="34"/>
              <w:rPr>
                <w:szCs w:val="21"/>
              </w:rPr>
            </w:pPr>
            <w:r>
              <w:rPr>
                <w:szCs w:val="21"/>
              </w:rPr>
              <w:t>8</w:t>
            </w:r>
          </w:p>
        </w:tc>
        <w:tc>
          <w:tcPr>
            <w:tcW w:w="930" w:type="pct"/>
            <w:vAlign w:val="center"/>
          </w:tcPr>
          <w:p w14:paraId="5B60C641">
            <w:pPr>
              <w:pStyle w:val="34"/>
              <w:rPr>
                <w:szCs w:val="21"/>
              </w:rPr>
            </w:pPr>
            <w:r>
              <w:rPr>
                <w:szCs w:val="21"/>
              </w:rPr>
              <w:t>石油烃≤</w:t>
            </w:r>
          </w:p>
        </w:tc>
        <w:tc>
          <w:tcPr>
            <w:tcW w:w="1205" w:type="pct"/>
            <w:vAlign w:val="center"/>
          </w:tcPr>
          <w:p w14:paraId="2AA29138">
            <w:pPr>
              <w:pStyle w:val="34"/>
              <w:rPr>
                <w:szCs w:val="21"/>
              </w:rPr>
            </w:pPr>
            <w:r>
              <w:rPr>
                <w:szCs w:val="21"/>
              </w:rPr>
              <w:t>15</w:t>
            </w:r>
          </w:p>
        </w:tc>
        <w:tc>
          <w:tcPr>
            <w:tcW w:w="1205" w:type="pct"/>
            <w:vAlign w:val="center"/>
          </w:tcPr>
          <w:p w14:paraId="39A9D082">
            <w:pPr>
              <w:pStyle w:val="34"/>
              <w:rPr>
                <w:szCs w:val="21"/>
              </w:rPr>
            </w:pPr>
            <w:r>
              <w:rPr>
                <w:szCs w:val="21"/>
              </w:rPr>
              <w:t>50</w:t>
            </w:r>
          </w:p>
        </w:tc>
        <w:tc>
          <w:tcPr>
            <w:tcW w:w="1191" w:type="pct"/>
            <w:vAlign w:val="center"/>
          </w:tcPr>
          <w:p w14:paraId="42B0E9C9">
            <w:pPr>
              <w:pStyle w:val="34"/>
              <w:rPr>
                <w:szCs w:val="21"/>
              </w:rPr>
            </w:pPr>
            <w:r>
              <w:rPr>
                <w:szCs w:val="21"/>
              </w:rPr>
              <w:t>80</w:t>
            </w:r>
          </w:p>
        </w:tc>
      </w:tr>
      <w:tr w14:paraId="237EC4F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2BD90356">
            <w:pPr>
              <w:pStyle w:val="34"/>
              <w:rPr>
                <w:szCs w:val="21"/>
              </w:rPr>
            </w:pPr>
            <w:r>
              <w:rPr>
                <w:szCs w:val="21"/>
              </w:rPr>
              <w:t>9</w:t>
            </w:r>
          </w:p>
        </w:tc>
        <w:tc>
          <w:tcPr>
            <w:tcW w:w="930" w:type="pct"/>
            <w:vAlign w:val="center"/>
          </w:tcPr>
          <w:p w14:paraId="3F61B9B5">
            <w:pPr>
              <w:pStyle w:val="34"/>
              <w:rPr>
                <w:szCs w:val="21"/>
              </w:rPr>
            </w:pPr>
            <w:r>
              <w:rPr>
                <w:szCs w:val="21"/>
              </w:rPr>
              <w:t>六六六≤</w:t>
            </w:r>
          </w:p>
        </w:tc>
        <w:tc>
          <w:tcPr>
            <w:tcW w:w="1205" w:type="pct"/>
            <w:vAlign w:val="center"/>
          </w:tcPr>
          <w:p w14:paraId="231E28D3">
            <w:pPr>
              <w:pStyle w:val="34"/>
              <w:rPr>
                <w:szCs w:val="21"/>
              </w:rPr>
            </w:pPr>
            <w:r>
              <w:rPr>
                <w:szCs w:val="21"/>
              </w:rPr>
              <w:t>0.02</w:t>
            </w:r>
          </w:p>
        </w:tc>
        <w:tc>
          <w:tcPr>
            <w:tcW w:w="1205" w:type="pct"/>
            <w:vAlign w:val="center"/>
          </w:tcPr>
          <w:p w14:paraId="5710F8D9">
            <w:pPr>
              <w:pStyle w:val="34"/>
              <w:rPr>
                <w:szCs w:val="21"/>
              </w:rPr>
            </w:pPr>
            <w:r>
              <w:rPr>
                <w:szCs w:val="21"/>
              </w:rPr>
              <w:t>0.15</w:t>
            </w:r>
          </w:p>
        </w:tc>
        <w:tc>
          <w:tcPr>
            <w:tcW w:w="1191" w:type="pct"/>
            <w:vAlign w:val="center"/>
          </w:tcPr>
          <w:p w14:paraId="412780A3">
            <w:pPr>
              <w:pStyle w:val="34"/>
              <w:rPr>
                <w:szCs w:val="21"/>
              </w:rPr>
            </w:pPr>
            <w:r>
              <w:rPr>
                <w:szCs w:val="21"/>
              </w:rPr>
              <w:t>0.50</w:t>
            </w:r>
          </w:p>
        </w:tc>
      </w:tr>
      <w:tr w14:paraId="40F3B42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5156B961">
            <w:pPr>
              <w:pStyle w:val="34"/>
              <w:rPr>
                <w:szCs w:val="21"/>
              </w:rPr>
            </w:pPr>
            <w:r>
              <w:rPr>
                <w:szCs w:val="21"/>
              </w:rPr>
              <w:t>10</w:t>
            </w:r>
          </w:p>
        </w:tc>
        <w:tc>
          <w:tcPr>
            <w:tcW w:w="930" w:type="pct"/>
            <w:vAlign w:val="center"/>
          </w:tcPr>
          <w:p w14:paraId="071297EE">
            <w:pPr>
              <w:pStyle w:val="34"/>
              <w:rPr>
                <w:szCs w:val="21"/>
              </w:rPr>
            </w:pPr>
            <w:r>
              <w:rPr>
                <w:szCs w:val="21"/>
              </w:rPr>
              <w:t>滴滴涕≤</w:t>
            </w:r>
          </w:p>
        </w:tc>
        <w:tc>
          <w:tcPr>
            <w:tcW w:w="1205" w:type="pct"/>
            <w:vAlign w:val="center"/>
          </w:tcPr>
          <w:p w14:paraId="6F5B4932">
            <w:pPr>
              <w:pStyle w:val="34"/>
              <w:rPr>
                <w:szCs w:val="21"/>
              </w:rPr>
            </w:pPr>
            <w:r>
              <w:rPr>
                <w:szCs w:val="21"/>
              </w:rPr>
              <w:t>0.01</w:t>
            </w:r>
          </w:p>
        </w:tc>
        <w:tc>
          <w:tcPr>
            <w:tcW w:w="1205" w:type="pct"/>
            <w:vAlign w:val="center"/>
          </w:tcPr>
          <w:p w14:paraId="1C13E4CC">
            <w:pPr>
              <w:pStyle w:val="34"/>
              <w:rPr>
                <w:szCs w:val="21"/>
              </w:rPr>
            </w:pPr>
            <w:r>
              <w:rPr>
                <w:szCs w:val="21"/>
              </w:rPr>
              <w:t>0.10</w:t>
            </w:r>
          </w:p>
        </w:tc>
        <w:tc>
          <w:tcPr>
            <w:tcW w:w="1191" w:type="pct"/>
            <w:vAlign w:val="center"/>
          </w:tcPr>
          <w:p w14:paraId="423D33A9">
            <w:pPr>
              <w:pStyle w:val="34"/>
              <w:rPr>
                <w:szCs w:val="21"/>
              </w:rPr>
            </w:pPr>
            <w:r>
              <w:rPr>
                <w:szCs w:val="21"/>
              </w:rPr>
              <w:t>0.50</w:t>
            </w:r>
          </w:p>
        </w:tc>
      </w:tr>
      <w:tr w14:paraId="77BAF21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5"/>
            <w:vAlign w:val="center"/>
          </w:tcPr>
          <w:p w14:paraId="60535399">
            <w:pPr>
              <w:pStyle w:val="34"/>
              <w:rPr>
                <w:szCs w:val="21"/>
              </w:rPr>
            </w:pPr>
            <w:r>
              <w:rPr>
                <w:szCs w:val="21"/>
              </w:rPr>
              <w:t>注：第一类适用于海洋渔业海域、海水养殖区、海洋自然保护区，与人类食用直接有关的工业用水区；第二类：适用于一般工业用水区、滨海风景旅游区；第三类：适用于港口海域和海洋开发作业区。</w:t>
            </w:r>
          </w:p>
        </w:tc>
      </w:tr>
    </w:tbl>
    <w:p w14:paraId="59E65091">
      <w:pPr>
        <w:pStyle w:val="7"/>
        <w:jc w:val="right"/>
      </w:pPr>
      <w:r>
        <w:rPr>
          <w:rFonts w:hint="eastAsia"/>
        </w:rPr>
        <w:t>其他海洋生物质量参考值（鲜重）</w:t>
      </w:r>
      <w:r>
        <w:t xml:space="preserve">   </w:t>
      </w:r>
      <w:r>
        <w:rPr>
          <w:rFonts w:hint="eastAsia"/>
        </w:rPr>
        <w:t xml:space="preserve">          </w:t>
      </w:r>
      <w:r>
        <w:t xml:space="preserve"> 单位：mg/kg</w:t>
      </w:r>
    </w:p>
    <w:tbl>
      <w:tblPr>
        <w:tblStyle w:val="8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131"/>
        <w:gridCol w:w="2784"/>
        <w:gridCol w:w="1481"/>
        <w:gridCol w:w="2132"/>
      </w:tblGrid>
      <w:tr w14:paraId="708B47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tcBorders>
              <w:top w:val="single" w:color="auto" w:sz="12" w:space="0"/>
              <w:bottom w:val="single" w:color="auto" w:sz="6" w:space="0"/>
              <w:tl2br w:val="single" w:color="auto" w:sz="4" w:space="0"/>
            </w:tcBorders>
            <w:vAlign w:val="center"/>
          </w:tcPr>
          <w:p w14:paraId="28012DD7">
            <w:pPr>
              <w:pStyle w:val="34"/>
              <w:jc w:val="right"/>
              <w:rPr>
                <w:rFonts w:ascii="Calibri" w:hAnsi="Calibri" w:cs="Calibri"/>
              </w:rPr>
            </w:pPr>
            <w:r>
              <w:rPr>
                <w:rFonts w:ascii="Times New Roman" w:hAnsi="Times New Roman" w:cs="Times New Roman"/>
              </w:rPr>
              <w:t>生物类别</w:t>
            </w:r>
          </w:p>
          <w:p w14:paraId="50485870">
            <w:pPr>
              <w:pStyle w:val="34"/>
              <w:jc w:val="left"/>
              <w:rPr>
                <w:rFonts w:ascii="Calibri" w:hAnsi="Calibri" w:cs="Calibri"/>
              </w:rPr>
            </w:pPr>
            <w:r>
              <w:rPr>
                <w:rFonts w:ascii="Times New Roman" w:hAnsi="Times New Roman" w:cs="Times New Roman"/>
              </w:rPr>
              <w:t>评价因子</w:t>
            </w:r>
          </w:p>
        </w:tc>
        <w:tc>
          <w:tcPr>
            <w:tcW w:w="2802" w:type="dxa"/>
            <w:vAlign w:val="center"/>
          </w:tcPr>
          <w:p w14:paraId="02759789">
            <w:pPr>
              <w:pStyle w:val="34"/>
              <w:rPr>
                <w:rFonts w:ascii="Calibri" w:hAnsi="Calibri" w:cs="Calibri"/>
              </w:rPr>
            </w:pPr>
            <w:r>
              <w:rPr>
                <w:rFonts w:ascii="Times New Roman" w:hAnsi="Times New Roman" w:cs="Times New Roman"/>
              </w:rPr>
              <w:t xml:space="preserve">软体动物（非双壳贝类） </w:t>
            </w:r>
          </w:p>
        </w:tc>
        <w:tc>
          <w:tcPr>
            <w:tcW w:w="1489" w:type="dxa"/>
            <w:vAlign w:val="center"/>
          </w:tcPr>
          <w:p w14:paraId="744303E3">
            <w:pPr>
              <w:pStyle w:val="34"/>
              <w:rPr>
                <w:rFonts w:ascii="Calibri" w:hAnsi="Calibri" w:cs="Calibri"/>
              </w:rPr>
            </w:pPr>
            <w:r>
              <w:rPr>
                <w:rFonts w:ascii="Times New Roman" w:hAnsi="Times New Roman" w:cs="Times New Roman"/>
              </w:rPr>
              <w:t xml:space="preserve">甲壳类 </w:t>
            </w:r>
          </w:p>
        </w:tc>
        <w:tc>
          <w:tcPr>
            <w:tcW w:w="2146" w:type="dxa"/>
            <w:vAlign w:val="center"/>
          </w:tcPr>
          <w:p w14:paraId="49F9003F">
            <w:pPr>
              <w:pStyle w:val="34"/>
              <w:rPr>
                <w:rFonts w:ascii="Calibri" w:hAnsi="Calibri" w:cs="Calibri"/>
              </w:rPr>
            </w:pPr>
            <w:r>
              <w:rPr>
                <w:rFonts w:ascii="Times New Roman" w:hAnsi="Times New Roman" w:cs="Times New Roman"/>
              </w:rPr>
              <w:t>鱼类</w:t>
            </w:r>
          </w:p>
        </w:tc>
      </w:tr>
      <w:tr w14:paraId="5108D0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tcBorders>
              <w:top w:val="single" w:color="auto" w:sz="6" w:space="0"/>
            </w:tcBorders>
            <w:vAlign w:val="center"/>
          </w:tcPr>
          <w:p w14:paraId="2A349974">
            <w:pPr>
              <w:pStyle w:val="34"/>
              <w:rPr>
                <w:rFonts w:ascii="Calibri" w:hAnsi="Calibri" w:cs="Calibri"/>
              </w:rPr>
            </w:pPr>
            <w:r>
              <w:rPr>
                <w:rFonts w:ascii="Times New Roman" w:hAnsi="Times New Roman" w:cs="Times New Roman"/>
              </w:rPr>
              <w:t>总汞</w:t>
            </w:r>
          </w:p>
        </w:tc>
        <w:tc>
          <w:tcPr>
            <w:tcW w:w="2802" w:type="dxa"/>
            <w:vAlign w:val="center"/>
          </w:tcPr>
          <w:p w14:paraId="3EEFB050">
            <w:pPr>
              <w:pStyle w:val="34"/>
              <w:rPr>
                <w:rFonts w:ascii="Calibri" w:hAnsi="Calibri" w:cs="Calibri"/>
              </w:rPr>
            </w:pPr>
            <w:r>
              <w:rPr>
                <w:rFonts w:ascii="Times New Roman" w:hAnsi="Times New Roman" w:cs="Times New Roman"/>
              </w:rPr>
              <w:t>0.3</w:t>
            </w:r>
          </w:p>
        </w:tc>
        <w:tc>
          <w:tcPr>
            <w:tcW w:w="1489" w:type="dxa"/>
            <w:vAlign w:val="center"/>
          </w:tcPr>
          <w:p w14:paraId="0C4BB73F">
            <w:pPr>
              <w:pStyle w:val="34"/>
              <w:rPr>
                <w:rFonts w:ascii="Calibri" w:hAnsi="Calibri" w:cs="Calibri"/>
              </w:rPr>
            </w:pPr>
            <w:r>
              <w:rPr>
                <w:rFonts w:ascii="Times New Roman" w:hAnsi="Times New Roman" w:cs="Times New Roman"/>
              </w:rPr>
              <w:t>0.2</w:t>
            </w:r>
          </w:p>
        </w:tc>
        <w:tc>
          <w:tcPr>
            <w:tcW w:w="2146" w:type="dxa"/>
            <w:vAlign w:val="center"/>
          </w:tcPr>
          <w:p w14:paraId="4FC1989E">
            <w:pPr>
              <w:pStyle w:val="34"/>
              <w:rPr>
                <w:rFonts w:ascii="Calibri" w:hAnsi="Calibri" w:cs="Calibri"/>
              </w:rPr>
            </w:pPr>
            <w:r>
              <w:rPr>
                <w:rFonts w:ascii="Times New Roman" w:hAnsi="Times New Roman" w:cs="Times New Roman"/>
              </w:rPr>
              <w:t>0.3</w:t>
            </w:r>
          </w:p>
        </w:tc>
      </w:tr>
      <w:tr w14:paraId="693C9A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vAlign w:val="center"/>
          </w:tcPr>
          <w:p w14:paraId="5A241BBB">
            <w:pPr>
              <w:pStyle w:val="34"/>
              <w:rPr>
                <w:rFonts w:ascii="Calibri" w:hAnsi="Calibri" w:cs="Calibri"/>
              </w:rPr>
            </w:pPr>
            <w:r>
              <w:rPr>
                <w:rFonts w:ascii="Times New Roman" w:hAnsi="Times New Roman" w:cs="Times New Roman"/>
              </w:rPr>
              <w:t xml:space="preserve">镉 </w:t>
            </w:r>
          </w:p>
        </w:tc>
        <w:tc>
          <w:tcPr>
            <w:tcW w:w="2802" w:type="dxa"/>
            <w:vAlign w:val="center"/>
          </w:tcPr>
          <w:p w14:paraId="3648CE2B">
            <w:pPr>
              <w:pStyle w:val="34"/>
              <w:rPr>
                <w:rFonts w:ascii="Calibri" w:hAnsi="Calibri" w:cs="Calibri"/>
              </w:rPr>
            </w:pPr>
            <w:r>
              <w:rPr>
                <w:rFonts w:ascii="Times New Roman" w:hAnsi="Times New Roman" w:cs="Times New Roman"/>
              </w:rPr>
              <w:t>5.5</w:t>
            </w:r>
          </w:p>
        </w:tc>
        <w:tc>
          <w:tcPr>
            <w:tcW w:w="1489" w:type="dxa"/>
            <w:vAlign w:val="center"/>
          </w:tcPr>
          <w:p w14:paraId="221A1D6B">
            <w:pPr>
              <w:pStyle w:val="34"/>
              <w:rPr>
                <w:rFonts w:ascii="Calibri" w:hAnsi="Calibri" w:cs="Calibri"/>
              </w:rPr>
            </w:pPr>
            <w:r>
              <w:rPr>
                <w:rFonts w:ascii="Times New Roman" w:hAnsi="Times New Roman" w:cs="Times New Roman"/>
              </w:rPr>
              <w:t>2</w:t>
            </w:r>
          </w:p>
        </w:tc>
        <w:tc>
          <w:tcPr>
            <w:tcW w:w="2146" w:type="dxa"/>
            <w:vAlign w:val="center"/>
          </w:tcPr>
          <w:p w14:paraId="5EE74485">
            <w:pPr>
              <w:pStyle w:val="34"/>
              <w:rPr>
                <w:rFonts w:ascii="Calibri" w:hAnsi="Calibri" w:cs="Calibri"/>
              </w:rPr>
            </w:pPr>
            <w:r>
              <w:rPr>
                <w:rFonts w:ascii="Times New Roman" w:hAnsi="Times New Roman" w:cs="Times New Roman"/>
              </w:rPr>
              <w:t>0.6</w:t>
            </w:r>
          </w:p>
        </w:tc>
      </w:tr>
      <w:tr w14:paraId="0219DC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vAlign w:val="center"/>
          </w:tcPr>
          <w:p w14:paraId="54FD27F4">
            <w:pPr>
              <w:pStyle w:val="34"/>
              <w:rPr>
                <w:rFonts w:ascii="Calibri" w:hAnsi="Calibri" w:cs="Calibri"/>
              </w:rPr>
            </w:pPr>
            <w:r>
              <w:rPr>
                <w:rFonts w:ascii="Times New Roman" w:hAnsi="Times New Roman" w:cs="Times New Roman"/>
              </w:rPr>
              <w:t>锌</w:t>
            </w:r>
          </w:p>
        </w:tc>
        <w:tc>
          <w:tcPr>
            <w:tcW w:w="2802" w:type="dxa"/>
            <w:vAlign w:val="center"/>
          </w:tcPr>
          <w:p w14:paraId="0EF2AC1C">
            <w:pPr>
              <w:pStyle w:val="34"/>
              <w:rPr>
                <w:rFonts w:ascii="Calibri" w:hAnsi="Calibri" w:cs="Calibri"/>
              </w:rPr>
            </w:pPr>
            <w:r>
              <w:rPr>
                <w:rFonts w:ascii="Times New Roman" w:hAnsi="Times New Roman" w:cs="Times New Roman"/>
              </w:rPr>
              <w:t>250</w:t>
            </w:r>
          </w:p>
        </w:tc>
        <w:tc>
          <w:tcPr>
            <w:tcW w:w="1489" w:type="dxa"/>
            <w:vAlign w:val="center"/>
          </w:tcPr>
          <w:p w14:paraId="0EC17A4D">
            <w:pPr>
              <w:pStyle w:val="34"/>
              <w:rPr>
                <w:rFonts w:ascii="Calibri" w:hAnsi="Calibri" w:cs="Calibri"/>
              </w:rPr>
            </w:pPr>
            <w:r>
              <w:rPr>
                <w:rFonts w:ascii="Times New Roman" w:hAnsi="Times New Roman" w:cs="Times New Roman"/>
              </w:rPr>
              <w:t>150</w:t>
            </w:r>
          </w:p>
        </w:tc>
        <w:tc>
          <w:tcPr>
            <w:tcW w:w="2146" w:type="dxa"/>
            <w:vAlign w:val="center"/>
          </w:tcPr>
          <w:p w14:paraId="2F7DA46E">
            <w:pPr>
              <w:pStyle w:val="34"/>
              <w:rPr>
                <w:rFonts w:ascii="Calibri" w:hAnsi="Calibri" w:cs="Calibri"/>
              </w:rPr>
            </w:pPr>
            <w:r>
              <w:rPr>
                <w:rFonts w:ascii="Times New Roman" w:hAnsi="Times New Roman" w:cs="Times New Roman"/>
              </w:rPr>
              <w:t>40</w:t>
            </w:r>
          </w:p>
        </w:tc>
      </w:tr>
      <w:tr w14:paraId="5B85A2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vAlign w:val="center"/>
          </w:tcPr>
          <w:p w14:paraId="3522E68E">
            <w:pPr>
              <w:pStyle w:val="34"/>
              <w:rPr>
                <w:rFonts w:ascii="Calibri" w:hAnsi="Calibri" w:cs="Calibri"/>
              </w:rPr>
            </w:pPr>
            <w:r>
              <w:rPr>
                <w:rFonts w:ascii="Times New Roman" w:hAnsi="Times New Roman" w:cs="Times New Roman"/>
              </w:rPr>
              <w:t>铅</w:t>
            </w:r>
          </w:p>
        </w:tc>
        <w:tc>
          <w:tcPr>
            <w:tcW w:w="2802" w:type="dxa"/>
            <w:vAlign w:val="center"/>
          </w:tcPr>
          <w:p w14:paraId="16F399A0">
            <w:pPr>
              <w:pStyle w:val="34"/>
              <w:rPr>
                <w:rFonts w:ascii="Calibri" w:hAnsi="Calibri" w:cs="Calibri"/>
              </w:rPr>
            </w:pPr>
            <w:r>
              <w:rPr>
                <w:rFonts w:ascii="Times New Roman" w:hAnsi="Times New Roman" w:cs="Times New Roman"/>
              </w:rPr>
              <w:t>10</w:t>
            </w:r>
          </w:p>
        </w:tc>
        <w:tc>
          <w:tcPr>
            <w:tcW w:w="1489" w:type="dxa"/>
            <w:vAlign w:val="center"/>
          </w:tcPr>
          <w:p w14:paraId="1A5956E9">
            <w:pPr>
              <w:pStyle w:val="34"/>
              <w:rPr>
                <w:rFonts w:ascii="Calibri" w:hAnsi="Calibri" w:cs="Calibri"/>
              </w:rPr>
            </w:pPr>
            <w:r>
              <w:rPr>
                <w:rFonts w:ascii="Times New Roman" w:hAnsi="Times New Roman" w:cs="Times New Roman"/>
              </w:rPr>
              <w:t>2</w:t>
            </w:r>
          </w:p>
        </w:tc>
        <w:tc>
          <w:tcPr>
            <w:tcW w:w="2146" w:type="dxa"/>
            <w:vAlign w:val="center"/>
          </w:tcPr>
          <w:p w14:paraId="7067DC91">
            <w:pPr>
              <w:pStyle w:val="34"/>
              <w:rPr>
                <w:rFonts w:ascii="Calibri" w:hAnsi="Calibri" w:cs="Calibri"/>
              </w:rPr>
            </w:pPr>
            <w:r>
              <w:rPr>
                <w:rFonts w:ascii="Times New Roman" w:hAnsi="Times New Roman" w:cs="Times New Roman"/>
              </w:rPr>
              <w:t>2</w:t>
            </w:r>
          </w:p>
        </w:tc>
      </w:tr>
      <w:tr w14:paraId="7B6838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vAlign w:val="center"/>
          </w:tcPr>
          <w:p w14:paraId="30AABF8F">
            <w:pPr>
              <w:pStyle w:val="34"/>
              <w:rPr>
                <w:rFonts w:ascii="Calibri" w:hAnsi="Calibri" w:cs="Calibri"/>
              </w:rPr>
            </w:pPr>
            <w:r>
              <w:rPr>
                <w:rFonts w:ascii="Times New Roman" w:hAnsi="Times New Roman" w:cs="Times New Roman"/>
              </w:rPr>
              <w:t>铜</w:t>
            </w:r>
          </w:p>
        </w:tc>
        <w:tc>
          <w:tcPr>
            <w:tcW w:w="2802" w:type="dxa"/>
            <w:vAlign w:val="center"/>
          </w:tcPr>
          <w:p w14:paraId="2183A16D">
            <w:pPr>
              <w:pStyle w:val="34"/>
              <w:rPr>
                <w:rFonts w:ascii="Calibri" w:hAnsi="Calibri" w:cs="Calibri"/>
              </w:rPr>
            </w:pPr>
            <w:r>
              <w:rPr>
                <w:rFonts w:ascii="Times New Roman" w:hAnsi="Times New Roman" w:cs="Times New Roman"/>
              </w:rPr>
              <w:t>100</w:t>
            </w:r>
          </w:p>
        </w:tc>
        <w:tc>
          <w:tcPr>
            <w:tcW w:w="1489" w:type="dxa"/>
            <w:vAlign w:val="center"/>
          </w:tcPr>
          <w:p w14:paraId="51D48938">
            <w:pPr>
              <w:pStyle w:val="34"/>
              <w:rPr>
                <w:rFonts w:ascii="Calibri" w:hAnsi="Calibri" w:cs="Calibri"/>
              </w:rPr>
            </w:pPr>
            <w:r>
              <w:rPr>
                <w:rFonts w:ascii="Times New Roman" w:hAnsi="Times New Roman" w:cs="Times New Roman"/>
              </w:rPr>
              <w:t>100</w:t>
            </w:r>
          </w:p>
        </w:tc>
        <w:tc>
          <w:tcPr>
            <w:tcW w:w="2146" w:type="dxa"/>
            <w:vAlign w:val="center"/>
          </w:tcPr>
          <w:p w14:paraId="61A11324">
            <w:pPr>
              <w:pStyle w:val="34"/>
              <w:rPr>
                <w:rFonts w:ascii="Calibri" w:hAnsi="Calibri" w:cs="Calibri"/>
              </w:rPr>
            </w:pPr>
            <w:r>
              <w:rPr>
                <w:rFonts w:ascii="Times New Roman" w:hAnsi="Times New Roman" w:cs="Times New Roman"/>
              </w:rPr>
              <w:t>20</w:t>
            </w:r>
          </w:p>
        </w:tc>
      </w:tr>
      <w:tr w14:paraId="116A09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vAlign w:val="center"/>
          </w:tcPr>
          <w:p w14:paraId="6840DA7C">
            <w:pPr>
              <w:pStyle w:val="34"/>
              <w:rPr>
                <w:rFonts w:ascii="Calibri" w:hAnsi="Calibri" w:cs="Calibri"/>
              </w:rPr>
            </w:pPr>
            <w:r>
              <w:rPr>
                <w:rFonts w:ascii="Times New Roman" w:hAnsi="Times New Roman" w:cs="Times New Roman"/>
              </w:rPr>
              <w:t>砷</w:t>
            </w:r>
          </w:p>
        </w:tc>
        <w:tc>
          <w:tcPr>
            <w:tcW w:w="2802" w:type="dxa"/>
            <w:vAlign w:val="center"/>
          </w:tcPr>
          <w:p w14:paraId="1B0ABEDC">
            <w:pPr>
              <w:pStyle w:val="34"/>
              <w:rPr>
                <w:rFonts w:ascii="Calibri" w:hAnsi="Calibri" w:cs="Calibri"/>
              </w:rPr>
            </w:pPr>
            <w:r>
              <w:rPr>
                <w:rFonts w:ascii="Times New Roman" w:hAnsi="Times New Roman" w:cs="Times New Roman"/>
              </w:rPr>
              <w:t>1</w:t>
            </w:r>
          </w:p>
        </w:tc>
        <w:tc>
          <w:tcPr>
            <w:tcW w:w="1489" w:type="dxa"/>
            <w:vAlign w:val="center"/>
          </w:tcPr>
          <w:p w14:paraId="0648C269">
            <w:pPr>
              <w:pStyle w:val="34"/>
              <w:rPr>
                <w:rFonts w:ascii="Calibri" w:hAnsi="Calibri" w:cs="Calibri"/>
              </w:rPr>
            </w:pPr>
            <w:r>
              <w:rPr>
                <w:rFonts w:ascii="Times New Roman" w:hAnsi="Times New Roman" w:cs="Times New Roman"/>
              </w:rPr>
              <w:t>1</w:t>
            </w:r>
          </w:p>
        </w:tc>
        <w:tc>
          <w:tcPr>
            <w:tcW w:w="2146" w:type="dxa"/>
            <w:vAlign w:val="center"/>
          </w:tcPr>
          <w:p w14:paraId="3056EA5F">
            <w:pPr>
              <w:pStyle w:val="34"/>
              <w:rPr>
                <w:rFonts w:ascii="Calibri" w:hAnsi="Calibri" w:cs="Calibri"/>
              </w:rPr>
            </w:pPr>
            <w:r>
              <w:rPr>
                <w:rFonts w:ascii="Times New Roman" w:hAnsi="Times New Roman" w:cs="Times New Roman"/>
              </w:rPr>
              <w:t>1</w:t>
            </w:r>
          </w:p>
        </w:tc>
      </w:tr>
      <w:tr w14:paraId="648B8A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vAlign w:val="center"/>
          </w:tcPr>
          <w:p w14:paraId="2BED809F">
            <w:pPr>
              <w:pStyle w:val="34"/>
              <w:rPr>
                <w:rFonts w:ascii="Calibri" w:hAnsi="Calibri" w:cs="Calibri"/>
              </w:rPr>
            </w:pPr>
            <w:r>
              <w:rPr>
                <w:rFonts w:ascii="Times New Roman" w:hAnsi="Times New Roman" w:cs="Times New Roman"/>
              </w:rPr>
              <w:t>石油烃</w:t>
            </w:r>
          </w:p>
        </w:tc>
        <w:tc>
          <w:tcPr>
            <w:tcW w:w="2802" w:type="dxa"/>
            <w:vAlign w:val="center"/>
          </w:tcPr>
          <w:p w14:paraId="516C25BC">
            <w:pPr>
              <w:pStyle w:val="34"/>
              <w:rPr>
                <w:rFonts w:ascii="Calibri" w:hAnsi="Calibri" w:cs="Calibri"/>
              </w:rPr>
            </w:pPr>
            <w:r>
              <w:rPr>
                <w:rFonts w:ascii="Times New Roman" w:hAnsi="Times New Roman" w:cs="Times New Roman"/>
              </w:rPr>
              <w:t>20</w:t>
            </w:r>
          </w:p>
        </w:tc>
        <w:tc>
          <w:tcPr>
            <w:tcW w:w="1489" w:type="dxa"/>
            <w:vAlign w:val="center"/>
          </w:tcPr>
          <w:p w14:paraId="3CF06C32">
            <w:pPr>
              <w:pStyle w:val="34"/>
              <w:rPr>
                <w:rFonts w:ascii="Calibri" w:hAnsi="Calibri" w:cs="Calibri"/>
              </w:rPr>
            </w:pPr>
            <w:r>
              <w:rPr>
                <w:rFonts w:ascii="Times New Roman" w:hAnsi="Times New Roman" w:cs="Times New Roman"/>
              </w:rPr>
              <w:t>20</w:t>
            </w:r>
          </w:p>
        </w:tc>
        <w:tc>
          <w:tcPr>
            <w:tcW w:w="2146" w:type="dxa"/>
            <w:vAlign w:val="center"/>
          </w:tcPr>
          <w:p w14:paraId="6E739E44">
            <w:pPr>
              <w:pStyle w:val="34"/>
              <w:rPr>
                <w:rFonts w:ascii="Calibri" w:hAnsi="Calibri" w:cs="Calibri"/>
              </w:rPr>
            </w:pPr>
            <w:r>
              <w:rPr>
                <w:rFonts w:ascii="Times New Roman" w:hAnsi="Times New Roman" w:cs="Times New Roman"/>
              </w:rPr>
              <w:t>20</w:t>
            </w:r>
          </w:p>
        </w:tc>
      </w:tr>
      <w:tr w14:paraId="729DF8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vAlign w:val="center"/>
          </w:tcPr>
          <w:p w14:paraId="584629C1">
            <w:pPr>
              <w:pStyle w:val="34"/>
              <w:rPr>
                <w:rFonts w:ascii="Calibri" w:hAnsi="Calibri" w:cs="Calibri"/>
              </w:rPr>
            </w:pPr>
            <w:bookmarkStart w:id="124" w:name="OLE_LINK502"/>
            <w:r>
              <w:rPr>
                <w:rFonts w:ascii="Times New Roman" w:hAnsi="Times New Roman" w:cs="Times New Roman"/>
              </w:rPr>
              <w:t>铬</w:t>
            </w:r>
            <w:bookmarkEnd w:id="124"/>
          </w:p>
        </w:tc>
        <w:tc>
          <w:tcPr>
            <w:tcW w:w="2802" w:type="dxa"/>
            <w:vAlign w:val="center"/>
          </w:tcPr>
          <w:p w14:paraId="16BCB346">
            <w:pPr>
              <w:pStyle w:val="34"/>
              <w:rPr>
                <w:rFonts w:ascii="Calibri" w:hAnsi="Calibri" w:cs="Calibri"/>
              </w:rPr>
            </w:pPr>
            <w:r>
              <w:rPr>
                <w:rFonts w:ascii="Times New Roman" w:hAnsi="Times New Roman" w:cs="Times New Roman"/>
              </w:rPr>
              <w:t>5.5</w:t>
            </w:r>
          </w:p>
        </w:tc>
        <w:tc>
          <w:tcPr>
            <w:tcW w:w="1489" w:type="dxa"/>
            <w:vAlign w:val="center"/>
          </w:tcPr>
          <w:p w14:paraId="603635F5">
            <w:pPr>
              <w:pStyle w:val="34"/>
              <w:rPr>
                <w:rFonts w:ascii="Calibri" w:hAnsi="Calibri" w:cs="Calibri"/>
              </w:rPr>
            </w:pPr>
            <w:r>
              <w:rPr>
                <w:rFonts w:ascii="Times New Roman" w:hAnsi="Times New Roman" w:cs="Times New Roman"/>
              </w:rPr>
              <w:t>1.5</w:t>
            </w:r>
          </w:p>
        </w:tc>
        <w:tc>
          <w:tcPr>
            <w:tcW w:w="2146" w:type="dxa"/>
            <w:vAlign w:val="center"/>
          </w:tcPr>
          <w:p w14:paraId="1AC0D451">
            <w:pPr>
              <w:pStyle w:val="34"/>
              <w:rPr>
                <w:rFonts w:ascii="Calibri" w:hAnsi="Calibri" w:cs="Calibri"/>
              </w:rPr>
            </w:pPr>
            <w:r>
              <w:rPr>
                <w:rFonts w:ascii="Times New Roman" w:hAnsi="Times New Roman" w:cs="Times New Roman"/>
              </w:rPr>
              <w:t>1.5</w:t>
            </w:r>
          </w:p>
        </w:tc>
      </w:tr>
      <w:tr w14:paraId="01C06B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582" w:type="dxa"/>
            <w:gridSpan w:val="4"/>
            <w:vAlign w:val="center"/>
          </w:tcPr>
          <w:p w14:paraId="31616DDC">
            <w:pPr>
              <w:pStyle w:val="34"/>
              <w:jc w:val="left"/>
              <w:rPr>
                <w:rFonts w:ascii="Calibri" w:hAnsi="Calibri" w:cs="Calibri"/>
              </w:rPr>
            </w:pPr>
            <w:r>
              <w:rPr>
                <w:rFonts w:ascii="Times New Roman" w:hAnsi="Times New Roman" w:cs="Times New Roman"/>
              </w:rPr>
              <w:t>注：铬参考《全国海岸带和海涂资源综合调查简明规程》中相关规定</w:t>
            </w:r>
          </w:p>
        </w:tc>
      </w:tr>
    </w:tbl>
    <w:p w14:paraId="7A3C5828">
      <w:pPr>
        <w:ind w:firstLine="462"/>
      </w:pPr>
      <w:r>
        <w:t>（二）污染物</w:t>
      </w:r>
      <w:r>
        <w:rPr>
          <w:rFonts w:hint="eastAsia"/>
        </w:rPr>
        <w:t>排放</w:t>
      </w:r>
      <w:r>
        <w:t>标准</w:t>
      </w:r>
    </w:p>
    <w:p w14:paraId="780EE38C">
      <w:pPr>
        <w:ind w:firstLine="462"/>
      </w:pPr>
      <w:r>
        <w:rPr>
          <w:rFonts w:hint="eastAsia"/>
          <w:lang w:bidi="ar"/>
        </w:rPr>
        <w:t>项目泊位生活污水统一收集进入</w:t>
      </w:r>
      <w:r>
        <w:rPr>
          <w:lang w:bidi="ar"/>
        </w:rPr>
        <w:t>7#</w:t>
      </w:r>
      <w:r>
        <w:rPr>
          <w:rFonts w:hint="eastAsia"/>
          <w:lang w:bidi="ar"/>
        </w:rPr>
        <w:t>、</w:t>
      </w:r>
      <w:r>
        <w:rPr>
          <w:lang w:bidi="ar"/>
        </w:rPr>
        <w:t>8#</w:t>
      </w:r>
      <w:r>
        <w:rPr>
          <w:rFonts w:hint="eastAsia"/>
          <w:lang w:bidi="ar"/>
        </w:rPr>
        <w:t>泊位后方陆域生活污水处理站，达到</w:t>
      </w:r>
      <w:bookmarkStart w:id="125" w:name="OLE_LINK29"/>
      <w:r>
        <w:rPr>
          <w:rFonts w:hint="eastAsia"/>
          <w:lang w:bidi="ar"/>
        </w:rPr>
        <w:t>《污水综合排放标准》（</w:t>
      </w:r>
      <w:r>
        <w:rPr>
          <w:lang w:bidi="ar"/>
        </w:rPr>
        <w:t>GB 8978-1996</w:t>
      </w:r>
      <w:r>
        <w:rPr>
          <w:rFonts w:hint="eastAsia"/>
          <w:lang w:bidi="ar"/>
        </w:rPr>
        <w:t>）三级标准后进入</w:t>
      </w:r>
      <w:bookmarkStart w:id="126" w:name="_Hlk183458191"/>
      <w:r>
        <w:rPr>
          <w:rFonts w:hint="eastAsia"/>
          <w:lang w:bidi="ar"/>
        </w:rPr>
        <w:t>大榄坪污水处理厂</w:t>
      </w:r>
      <w:bookmarkEnd w:id="125"/>
      <w:bookmarkEnd w:id="126"/>
      <w:r>
        <w:rPr>
          <w:rFonts w:hint="eastAsia"/>
          <w:lang w:bidi="ar"/>
        </w:rPr>
        <w:t>；洗车废水</w:t>
      </w:r>
      <w:r>
        <w:rPr>
          <w:rFonts w:hint="eastAsia"/>
          <w:u w:val="single"/>
          <w:lang w:bidi="ar"/>
        </w:rPr>
        <w:t>经</w:t>
      </w:r>
      <w:r>
        <w:rPr>
          <w:u w:val="single"/>
          <w:lang w:bidi="ar"/>
        </w:rPr>
        <w:t>7#</w:t>
      </w:r>
      <w:r>
        <w:rPr>
          <w:rFonts w:hint="eastAsia"/>
          <w:u w:val="single"/>
          <w:lang w:bidi="ar"/>
        </w:rPr>
        <w:t>、</w:t>
      </w:r>
      <w:r>
        <w:rPr>
          <w:u w:val="single"/>
          <w:lang w:bidi="ar"/>
        </w:rPr>
        <w:t>8#</w:t>
      </w:r>
      <w:r>
        <w:rPr>
          <w:rFonts w:hint="eastAsia"/>
          <w:u w:val="single"/>
          <w:lang w:bidi="ar"/>
        </w:rPr>
        <w:t>泊位后方陆域</w:t>
      </w:r>
      <w:bookmarkStart w:id="127" w:name="OLE_LINK32"/>
      <w:r>
        <w:rPr>
          <w:rFonts w:hint="eastAsia"/>
          <w:u w:val="single"/>
          <w:lang w:bidi="ar"/>
        </w:rPr>
        <w:t>生产废水处理站处理达《污水综合排放标准》（</w:t>
      </w:r>
      <w:r>
        <w:rPr>
          <w:u w:val="single"/>
          <w:lang w:bidi="ar"/>
        </w:rPr>
        <w:t>GB 8978-1996</w:t>
      </w:r>
      <w:r>
        <w:rPr>
          <w:rFonts w:hint="eastAsia"/>
          <w:u w:val="single"/>
          <w:lang w:bidi="ar"/>
        </w:rPr>
        <w:t>）三级标准及大榄坪污水处理厂纳管标准后进入大榄坪污水处理厂处理。</w:t>
      </w:r>
      <w:bookmarkEnd w:id="127"/>
    </w:p>
    <w:p w14:paraId="6E3C7D26">
      <w:pPr>
        <w:pStyle w:val="7"/>
      </w:pPr>
      <w:r>
        <w:rPr>
          <w:rFonts w:hint="eastAsia"/>
        </w:rPr>
        <w:t xml:space="preserve">污水综合排放标准（GB8978-1996） </w:t>
      </w:r>
      <w:r>
        <w:t xml:space="preserve">  </w:t>
      </w:r>
      <w:r>
        <w:rPr>
          <w:rFonts w:hint="eastAsia"/>
        </w:rPr>
        <w:t xml:space="preserve">     </w:t>
      </w:r>
      <w:r>
        <w:rPr>
          <w:rFonts w:hint="eastAsia"/>
          <w:bCs/>
          <w:sz w:val="21"/>
          <w:szCs w:val="21"/>
        </w:rPr>
        <w:t>单位：mg/L</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2228"/>
        <w:gridCol w:w="3190"/>
        <w:gridCol w:w="3110"/>
      </w:tblGrid>
      <w:tr w14:paraId="4B01238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306" w:type="pct"/>
            <w:tcBorders>
              <w:top w:val="single" w:color="000000" w:sz="12" w:space="0"/>
              <w:left w:val="single" w:color="000000" w:sz="12" w:space="0"/>
              <w:bottom w:val="single" w:color="000000" w:sz="6" w:space="0"/>
              <w:right w:val="single" w:color="000000" w:sz="6" w:space="0"/>
              <w:tl2br w:val="single" w:color="auto" w:sz="4" w:space="0"/>
            </w:tcBorders>
            <w:vAlign w:val="center"/>
          </w:tcPr>
          <w:p w14:paraId="219A0E6C">
            <w:pPr>
              <w:pStyle w:val="34"/>
              <w:jc w:val="right"/>
            </w:pPr>
            <w:r>
              <w:t>污染物</w:t>
            </w:r>
          </w:p>
          <w:p w14:paraId="2E280334">
            <w:pPr>
              <w:pStyle w:val="34"/>
              <w:jc w:val="left"/>
            </w:pPr>
            <w:r>
              <w:t>项目</w:t>
            </w:r>
          </w:p>
        </w:tc>
        <w:tc>
          <w:tcPr>
            <w:tcW w:w="1870" w:type="pct"/>
            <w:tcBorders>
              <w:top w:val="single" w:color="000000" w:sz="12" w:space="0"/>
              <w:left w:val="single" w:color="000000" w:sz="6" w:space="0"/>
              <w:bottom w:val="single" w:color="000000" w:sz="6" w:space="0"/>
              <w:right w:val="single" w:color="000000" w:sz="6" w:space="0"/>
            </w:tcBorders>
            <w:vAlign w:val="center"/>
          </w:tcPr>
          <w:p w14:paraId="500F9DAF">
            <w:pPr>
              <w:pStyle w:val="34"/>
            </w:pPr>
            <w:r>
              <w:t>适用范围</w:t>
            </w:r>
          </w:p>
        </w:tc>
        <w:tc>
          <w:tcPr>
            <w:tcW w:w="1823" w:type="pct"/>
            <w:tcBorders>
              <w:top w:val="single" w:color="000000" w:sz="12" w:space="0"/>
              <w:left w:val="single" w:color="000000" w:sz="6" w:space="0"/>
              <w:bottom w:val="single" w:color="000000" w:sz="6" w:space="0"/>
              <w:right w:val="single" w:color="000000" w:sz="12" w:space="0"/>
            </w:tcBorders>
            <w:vAlign w:val="center"/>
          </w:tcPr>
          <w:p w14:paraId="02211A78">
            <w:pPr>
              <w:pStyle w:val="34"/>
            </w:pPr>
            <w:r>
              <w:rPr>
                <w:rFonts w:hint="eastAsia"/>
              </w:rPr>
              <w:t>三级</w:t>
            </w:r>
            <w:r>
              <w:t>标准</w:t>
            </w:r>
          </w:p>
        </w:tc>
      </w:tr>
      <w:tr w14:paraId="44FB4C0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306" w:type="pct"/>
            <w:tcBorders>
              <w:top w:val="single" w:color="000000" w:sz="6" w:space="0"/>
              <w:left w:val="single" w:color="000000" w:sz="12" w:space="0"/>
              <w:bottom w:val="single" w:color="000000" w:sz="6" w:space="0"/>
              <w:right w:val="single" w:color="000000" w:sz="6" w:space="0"/>
            </w:tcBorders>
            <w:vAlign w:val="center"/>
          </w:tcPr>
          <w:p w14:paraId="05BD5CF3">
            <w:pPr>
              <w:pStyle w:val="34"/>
            </w:pPr>
            <w:r>
              <w:t>pH值</w:t>
            </w:r>
          </w:p>
        </w:tc>
        <w:tc>
          <w:tcPr>
            <w:tcW w:w="1870" w:type="pct"/>
            <w:tcBorders>
              <w:top w:val="single" w:color="000000" w:sz="6" w:space="0"/>
              <w:left w:val="single" w:color="000000" w:sz="6" w:space="0"/>
              <w:bottom w:val="single" w:color="000000" w:sz="6" w:space="0"/>
              <w:right w:val="single" w:color="000000" w:sz="6" w:space="0"/>
            </w:tcBorders>
            <w:vAlign w:val="center"/>
          </w:tcPr>
          <w:p w14:paraId="4CA38B67">
            <w:pPr>
              <w:pStyle w:val="34"/>
            </w:pPr>
            <w:r>
              <w:t>一切排污单位</w:t>
            </w:r>
          </w:p>
        </w:tc>
        <w:tc>
          <w:tcPr>
            <w:tcW w:w="1823" w:type="pct"/>
            <w:tcBorders>
              <w:top w:val="single" w:color="000000" w:sz="6" w:space="0"/>
              <w:left w:val="single" w:color="000000" w:sz="6" w:space="0"/>
              <w:bottom w:val="single" w:color="000000" w:sz="6" w:space="0"/>
              <w:right w:val="single" w:color="000000" w:sz="12" w:space="0"/>
            </w:tcBorders>
            <w:vAlign w:val="center"/>
          </w:tcPr>
          <w:p w14:paraId="3927BFF1">
            <w:pPr>
              <w:pStyle w:val="34"/>
            </w:pPr>
            <w:r>
              <w:t>6~9</w:t>
            </w:r>
          </w:p>
        </w:tc>
      </w:tr>
      <w:tr w14:paraId="78C8AF5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306" w:type="pct"/>
            <w:tcBorders>
              <w:top w:val="single" w:color="000000" w:sz="6" w:space="0"/>
              <w:left w:val="single" w:color="000000" w:sz="12" w:space="0"/>
              <w:bottom w:val="single" w:color="000000" w:sz="6" w:space="0"/>
              <w:right w:val="single" w:color="000000" w:sz="6" w:space="0"/>
            </w:tcBorders>
            <w:vAlign w:val="center"/>
          </w:tcPr>
          <w:p w14:paraId="779F98D4">
            <w:pPr>
              <w:pStyle w:val="34"/>
            </w:pPr>
            <w:r>
              <w:t>悬浮物（SS）</w:t>
            </w:r>
          </w:p>
        </w:tc>
        <w:tc>
          <w:tcPr>
            <w:tcW w:w="1870" w:type="pct"/>
            <w:tcBorders>
              <w:top w:val="single" w:color="000000" w:sz="6" w:space="0"/>
              <w:left w:val="single" w:color="000000" w:sz="6" w:space="0"/>
              <w:bottom w:val="single" w:color="000000" w:sz="6" w:space="0"/>
              <w:right w:val="single" w:color="000000" w:sz="6" w:space="0"/>
            </w:tcBorders>
            <w:vAlign w:val="center"/>
          </w:tcPr>
          <w:p w14:paraId="40B6EE62">
            <w:pPr>
              <w:pStyle w:val="34"/>
            </w:pPr>
            <w:r>
              <w:rPr>
                <w:rFonts w:hint="eastAsia"/>
                <w:lang w:eastAsia="zh-CN"/>
              </w:rPr>
              <w:t>其他</w:t>
            </w:r>
            <w:r>
              <w:t>排污单位</w:t>
            </w:r>
          </w:p>
        </w:tc>
        <w:tc>
          <w:tcPr>
            <w:tcW w:w="1823" w:type="pct"/>
            <w:tcBorders>
              <w:top w:val="single" w:color="000000" w:sz="6" w:space="0"/>
              <w:left w:val="single" w:color="000000" w:sz="6" w:space="0"/>
              <w:bottom w:val="single" w:color="000000" w:sz="6" w:space="0"/>
              <w:right w:val="single" w:color="000000" w:sz="12" w:space="0"/>
            </w:tcBorders>
            <w:vAlign w:val="center"/>
          </w:tcPr>
          <w:p w14:paraId="44E3F8B2">
            <w:pPr>
              <w:pStyle w:val="34"/>
            </w:pPr>
            <w:r>
              <w:t>400</w:t>
            </w:r>
          </w:p>
        </w:tc>
      </w:tr>
      <w:tr w14:paraId="5E27511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306" w:type="pct"/>
            <w:tcBorders>
              <w:top w:val="single" w:color="000000" w:sz="6" w:space="0"/>
              <w:left w:val="single" w:color="000000" w:sz="12" w:space="0"/>
              <w:bottom w:val="single" w:color="000000" w:sz="6" w:space="0"/>
              <w:right w:val="single" w:color="000000" w:sz="6" w:space="0"/>
            </w:tcBorders>
            <w:vAlign w:val="center"/>
          </w:tcPr>
          <w:p w14:paraId="45FC4F70">
            <w:pPr>
              <w:pStyle w:val="34"/>
            </w:pPr>
            <w:r>
              <w:t>COD</w:t>
            </w:r>
          </w:p>
        </w:tc>
        <w:tc>
          <w:tcPr>
            <w:tcW w:w="1870" w:type="pct"/>
            <w:tcBorders>
              <w:top w:val="single" w:color="000000" w:sz="6" w:space="0"/>
              <w:left w:val="single" w:color="000000" w:sz="6" w:space="0"/>
              <w:bottom w:val="single" w:color="000000" w:sz="6" w:space="0"/>
              <w:right w:val="single" w:color="000000" w:sz="6" w:space="0"/>
            </w:tcBorders>
            <w:vAlign w:val="center"/>
          </w:tcPr>
          <w:p w14:paraId="7B804EA1">
            <w:pPr>
              <w:pStyle w:val="34"/>
            </w:pPr>
            <w:r>
              <w:rPr>
                <w:rFonts w:hint="eastAsia"/>
                <w:lang w:eastAsia="zh-CN"/>
              </w:rPr>
              <w:t>其他</w:t>
            </w:r>
            <w:r>
              <w:t>排污单位</w:t>
            </w:r>
          </w:p>
        </w:tc>
        <w:tc>
          <w:tcPr>
            <w:tcW w:w="1823" w:type="pct"/>
            <w:tcBorders>
              <w:top w:val="single" w:color="000000" w:sz="6" w:space="0"/>
              <w:left w:val="single" w:color="000000" w:sz="6" w:space="0"/>
              <w:bottom w:val="single" w:color="000000" w:sz="6" w:space="0"/>
              <w:right w:val="single" w:color="000000" w:sz="12" w:space="0"/>
            </w:tcBorders>
            <w:vAlign w:val="center"/>
          </w:tcPr>
          <w:p w14:paraId="0455799E">
            <w:pPr>
              <w:pStyle w:val="34"/>
            </w:pPr>
            <w:r>
              <w:t>500</w:t>
            </w:r>
          </w:p>
        </w:tc>
      </w:tr>
      <w:tr w14:paraId="55C8B2F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306" w:type="pct"/>
            <w:tcBorders>
              <w:top w:val="single" w:color="000000" w:sz="6" w:space="0"/>
              <w:left w:val="single" w:color="000000" w:sz="12" w:space="0"/>
              <w:bottom w:val="single" w:color="000000" w:sz="6" w:space="0"/>
              <w:right w:val="single" w:color="000000" w:sz="6" w:space="0"/>
            </w:tcBorders>
            <w:vAlign w:val="center"/>
          </w:tcPr>
          <w:p w14:paraId="255E4C53">
            <w:pPr>
              <w:pStyle w:val="34"/>
            </w:pPr>
            <w:r>
              <w:t>BOD</w:t>
            </w:r>
            <w:r>
              <w:rPr>
                <w:vertAlign w:val="subscript"/>
              </w:rPr>
              <w:t>5</w:t>
            </w:r>
          </w:p>
        </w:tc>
        <w:tc>
          <w:tcPr>
            <w:tcW w:w="1870" w:type="pct"/>
            <w:tcBorders>
              <w:top w:val="single" w:color="000000" w:sz="6" w:space="0"/>
              <w:left w:val="single" w:color="000000" w:sz="6" w:space="0"/>
              <w:bottom w:val="single" w:color="000000" w:sz="6" w:space="0"/>
              <w:right w:val="single" w:color="000000" w:sz="6" w:space="0"/>
            </w:tcBorders>
            <w:vAlign w:val="center"/>
          </w:tcPr>
          <w:p w14:paraId="2DA2E0BF">
            <w:pPr>
              <w:pStyle w:val="34"/>
            </w:pPr>
            <w:r>
              <w:rPr>
                <w:rFonts w:hint="eastAsia"/>
                <w:lang w:eastAsia="zh-CN"/>
              </w:rPr>
              <w:t>其他</w:t>
            </w:r>
            <w:r>
              <w:t>排污单位</w:t>
            </w:r>
          </w:p>
        </w:tc>
        <w:tc>
          <w:tcPr>
            <w:tcW w:w="1823" w:type="pct"/>
            <w:tcBorders>
              <w:top w:val="single" w:color="000000" w:sz="6" w:space="0"/>
              <w:left w:val="single" w:color="000000" w:sz="6" w:space="0"/>
              <w:bottom w:val="single" w:color="000000" w:sz="6" w:space="0"/>
              <w:right w:val="single" w:color="000000" w:sz="12" w:space="0"/>
            </w:tcBorders>
            <w:vAlign w:val="center"/>
          </w:tcPr>
          <w:p w14:paraId="5C94DBFF">
            <w:pPr>
              <w:pStyle w:val="34"/>
            </w:pPr>
            <w:r>
              <w:t>300</w:t>
            </w:r>
          </w:p>
        </w:tc>
      </w:tr>
      <w:tr w14:paraId="38E3533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306" w:type="pct"/>
            <w:tcBorders>
              <w:top w:val="single" w:color="000000" w:sz="6" w:space="0"/>
              <w:left w:val="single" w:color="000000" w:sz="12" w:space="0"/>
              <w:bottom w:val="single" w:color="000000" w:sz="6" w:space="0"/>
              <w:right w:val="single" w:color="000000" w:sz="6" w:space="0"/>
            </w:tcBorders>
            <w:vAlign w:val="center"/>
          </w:tcPr>
          <w:p w14:paraId="0F863B5F">
            <w:pPr>
              <w:pStyle w:val="34"/>
            </w:pPr>
            <w:r>
              <w:t>NH</w:t>
            </w:r>
            <w:r>
              <w:rPr>
                <w:vertAlign w:val="subscript"/>
              </w:rPr>
              <w:t>3</w:t>
            </w:r>
            <w:r>
              <w:t>-N</w:t>
            </w:r>
          </w:p>
        </w:tc>
        <w:tc>
          <w:tcPr>
            <w:tcW w:w="1870" w:type="pct"/>
            <w:tcBorders>
              <w:top w:val="single" w:color="000000" w:sz="6" w:space="0"/>
              <w:left w:val="single" w:color="000000" w:sz="6" w:space="0"/>
              <w:bottom w:val="single" w:color="000000" w:sz="6" w:space="0"/>
              <w:right w:val="single" w:color="000000" w:sz="6" w:space="0"/>
            </w:tcBorders>
            <w:vAlign w:val="center"/>
          </w:tcPr>
          <w:p w14:paraId="2BA0613D">
            <w:pPr>
              <w:pStyle w:val="34"/>
            </w:pPr>
            <w:r>
              <w:rPr>
                <w:rFonts w:hint="eastAsia"/>
                <w:lang w:eastAsia="zh-CN"/>
              </w:rPr>
              <w:t>其他</w:t>
            </w:r>
            <w:r>
              <w:t>排污单位</w:t>
            </w:r>
          </w:p>
        </w:tc>
        <w:tc>
          <w:tcPr>
            <w:tcW w:w="1823" w:type="pct"/>
            <w:tcBorders>
              <w:top w:val="single" w:color="000000" w:sz="6" w:space="0"/>
              <w:left w:val="single" w:color="000000" w:sz="6" w:space="0"/>
              <w:bottom w:val="single" w:color="000000" w:sz="6" w:space="0"/>
              <w:right w:val="single" w:color="000000" w:sz="12" w:space="0"/>
            </w:tcBorders>
            <w:vAlign w:val="center"/>
          </w:tcPr>
          <w:p w14:paraId="42BF1DB4">
            <w:pPr>
              <w:pStyle w:val="34"/>
            </w:pPr>
            <w:r>
              <w:t>/</w:t>
            </w:r>
          </w:p>
        </w:tc>
      </w:tr>
      <w:tr w14:paraId="1D89639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306" w:type="pct"/>
            <w:tcBorders>
              <w:top w:val="single" w:color="000000" w:sz="6" w:space="0"/>
              <w:left w:val="single" w:color="000000" w:sz="12" w:space="0"/>
              <w:bottom w:val="single" w:color="000000" w:sz="12" w:space="0"/>
              <w:right w:val="single" w:color="000000" w:sz="6" w:space="0"/>
            </w:tcBorders>
            <w:vAlign w:val="center"/>
          </w:tcPr>
          <w:p w14:paraId="03FD24A1">
            <w:pPr>
              <w:pStyle w:val="34"/>
            </w:pPr>
            <w:r>
              <w:t>石油类</w:t>
            </w:r>
          </w:p>
        </w:tc>
        <w:tc>
          <w:tcPr>
            <w:tcW w:w="1870" w:type="pct"/>
            <w:tcBorders>
              <w:top w:val="single" w:color="000000" w:sz="6" w:space="0"/>
              <w:left w:val="single" w:color="000000" w:sz="6" w:space="0"/>
              <w:bottom w:val="single" w:color="000000" w:sz="12" w:space="0"/>
              <w:right w:val="single" w:color="000000" w:sz="6" w:space="0"/>
            </w:tcBorders>
            <w:vAlign w:val="center"/>
          </w:tcPr>
          <w:p w14:paraId="2172E352">
            <w:pPr>
              <w:pStyle w:val="34"/>
            </w:pPr>
            <w:r>
              <w:t>一切排污单位</w:t>
            </w:r>
          </w:p>
        </w:tc>
        <w:tc>
          <w:tcPr>
            <w:tcW w:w="1823" w:type="pct"/>
            <w:tcBorders>
              <w:top w:val="single" w:color="000000" w:sz="6" w:space="0"/>
              <w:left w:val="single" w:color="000000" w:sz="6" w:space="0"/>
              <w:bottom w:val="single" w:color="000000" w:sz="12" w:space="0"/>
              <w:right w:val="single" w:color="000000" w:sz="12" w:space="0"/>
            </w:tcBorders>
            <w:vAlign w:val="center"/>
          </w:tcPr>
          <w:p w14:paraId="4F87886B">
            <w:pPr>
              <w:pStyle w:val="34"/>
            </w:pPr>
            <w:r>
              <w:t>20</w:t>
            </w:r>
          </w:p>
        </w:tc>
      </w:tr>
    </w:tbl>
    <w:p w14:paraId="3ABE4EDA">
      <w:pPr>
        <w:ind w:firstLine="462"/>
        <w:rPr>
          <w:u w:val="single"/>
        </w:rPr>
      </w:pPr>
      <w:r>
        <w:rPr>
          <w:rFonts w:hint="eastAsia"/>
        </w:rPr>
        <w:t>大榄坪污水处理厂出水水质执行《城镇污水处理厂污染物排放标准》（GB18918-2002）一级A标准。</w:t>
      </w:r>
      <w:r>
        <w:rPr>
          <w:rFonts w:hint="eastAsia"/>
          <w:u w:val="single"/>
        </w:rPr>
        <w:t>大榄坪污水处理厂进水水质和出水水质如下表：</w:t>
      </w:r>
    </w:p>
    <w:p w14:paraId="31E3E779">
      <w:pPr>
        <w:pStyle w:val="7"/>
      </w:pPr>
      <w:r>
        <w:rPr>
          <w:rFonts w:hint="eastAsia"/>
        </w:rPr>
        <w:t>大榄坪</w:t>
      </w:r>
      <w:r>
        <w:t>污水处理厂设计进出水水质标准</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657"/>
        <w:gridCol w:w="1028"/>
        <w:gridCol w:w="1189"/>
        <w:gridCol w:w="826"/>
        <w:gridCol w:w="776"/>
        <w:gridCol w:w="1312"/>
        <w:gridCol w:w="740"/>
      </w:tblGrid>
      <w:tr w14:paraId="1887FF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1558" w:type="pct"/>
          </w:tcPr>
          <w:p w14:paraId="0F33E47A">
            <w:pPr>
              <w:pStyle w:val="34"/>
            </w:pPr>
            <w:r>
              <w:t>项目</w:t>
            </w:r>
          </w:p>
        </w:tc>
        <w:tc>
          <w:tcPr>
            <w:tcW w:w="603" w:type="pct"/>
          </w:tcPr>
          <w:p w14:paraId="54D0D5CA">
            <w:pPr>
              <w:pStyle w:val="34"/>
            </w:pPr>
            <w:r>
              <w:rPr>
                <w:rFonts w:hint="eastAsia"/>
              </w:rPr>
              <w:t>COD</w:t>
            </w:r>
          </w:p>
        </w:tc>
        <w:tc>
          <w:tcPr>
            <w:tcW w:w="697" w:type="pct"/>
          </w:tcPr>
          <w:p w14:paraId="6AA68C6F">
            <w:pPr>
              <w:pStyle w:val="34"/>
            </w:pPr>
            <w:r>
              <w:rPr>
                <w:rFonts w:hint="eastAsia"/>
              </w:rPr>
              <w:t>BOD</w:t>
            </w:r>
            <w:r>
              <w:rPr>
                <w:rFonts w:hint="eastAsia"/>
                <w:vertAlign w:val="subscript"/>
              </w:rPr>
              <w:t>5</w:t>
            </w:r>
          </w:p>
        </w:tc>
        <w:tc>
          <w:tcPr>
            <w:tcW w:w="484" w:type="pct"/>
          </w:tcPr>
          <w:p w14:paraId="1266674D">
            <w:pPr>
              <w:pStyle w:val="34"/>
            </w:pPr>
            <w:r>
              <w:rPr>
                <w:rFonts w:hint="eastAsia"/>
              </w:rPr>
              <w:t>SS</w:t>
            </w:r>
          </w:p>
        </w:tc>
        <w:tc>
          <w:tcPr>
            <w:tcW w:w="455" w:type="pct"/>
          </w:tcPr>
          <w:p w14:paraId="7D95BACD">
            <w:pPr>
              <w:pStyle w:val="34"/>
            </w:pPr>
            <w:r>
              <w:rPr>
                <w:rFonts w:hint="eastAsia"/>
              </w:rPr>
              <w:t>TN</w:t>
            </w:r>
          </w:p>
        </w:tc>
        <w:tc>
          <w:tcPr>
            <w:tcW w:w="769" w:type="pct"/>
          </w:tcPr>
          <w:p w14:paraId="742C55C3">
            <w:pPr>
              <w:pStyle w:val="34"/>
            </w:pPr>
            <w:r>
              <w:rPr>
                <w:rFonts w:hint="eastAsia"/>
              </w:rPr>
              <w:t>NH</w:t>
            </w:r>
            <w:r>
              <w:rPr>
                <w:rFonts w:hint="eastAsia"/>
                <w:vertAlign w:val="subscript"/>
              </w:rPr>
              <w:t>3</w:t>
            </w:r>
            <w:r>
              <w:rPr>
                <w:rFonts w:hint="eastAsia"/>
              </w:rPr>
              <w:t>-N</w:t>
            </w:r>
          </w:p>
        </w:tc>
        <w:tc>
          <w:tcPr>
            <w:tcW w:w="434" w:type="pct"/>
          </w:tcPr>
          <w:p w14:paraId="63E30D74">
            <w:pPr>
              <w:pStyle w:val="34"/>
            </w:pPr>
            <w:r>
              <w:rPr>
                <w:rFonts w:hint="eastAsia"/>
              </w:rPr>
              <w:t>TP</w:t>
            </w:r>
          </w:p>
        </w:tc>
      </w:tr>
      <w:tr w14:paraId="755049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8" w:type="pct"/>
            <w:vAlign w:val="center"/>
          </w:tcPr>
          <w:p w14:paraId="346080C0">
            <w:pPr>
              <w:pStyle w:val="34"/>
            </w:pPr>
            <w:r>
              <w:t>设计进水水质</w:t>
            </w:r>
          </w:p>
        </w:tc>
        <w:tc>
          <w:tcPr>
            <w:tcW w:w="603" w:type="pct"/>
            <w:vAlign w:val="center"/>
          </w:tcPr>
          <w:p w14:paraId="75381DA3">
            <w:pPr>
              <w:pStyle w:val="34"/>
            </w:pPr>
            <w:r>
              <w:t>≤</w:t>
            </w:r>
            <w:r>
              <w:rPr>
                <w:rFonts w:hint="eastAsia"/>
              </w:rPr>
              <w:t>450</w:t>
            </w:r>
          </w:p>
        </w:tc>
        <w:tc>
          <w:tcPr>
            <w:tcW w:w="697" w:type="pct"/>
            <w:vAlign w:val="center"/>
          </w:tcPr>
          <w:p w14:paraId="04D5F8E5">
            <w:pPr>
              <w:pStyle w:val="34"/>
            </w:pPr>
            <w:r>
              <w:t>≤</w:t>
            </w:r>
            <w:r>
              <w:rPr>
                <w:rFonts w:hint="eastAsia"/>
              </w:rPr>
              <w:t>200</w:t>
            </w:r>
          </w:p>
        </w:tc>
        <w:tc>
          <w:tcPr>
            <w:tcW w:w="484" w:type="pct"/>
            <w:vAlign w:val="center"/>
          </w:tcPr>
          <w:p w14:paraId="1FBA1447">
            <w:pPr>
              <w:pStyle w:val="34"/>
            </w:pPr>
            <w:r>
              <w:t>≤</w:t>
            </w:r>
            <w:r>
              <w:rPr>
                <w:rFonts w:hint="eastAsia"/>
              </w:rPr>
              <w:t>300</w:t>
            </w:r>
          </w:p>
        </w:tc>
        <w:tc>
          <w:tcPr>
            <w:tcW w:w="455" w:type="pct"/>
            <w:vAlign w:val="center"/>
          </w:tcPr>
          <w:p w14:paraId="40A8AC47">
            <w:pPr>
              <w:pStyle w:val="34"/>
            </w:pPr>
            <w:r>
              <w:t>≤</w:t>
            </w:r>
            <w:r>
              <w:rPr>
                <w:rFonts w:hint="eastAsia"/>
              </w:rPr>
              <w:t>45</w:t>
            </w:r>
          </w:p>
        </w:tc>
        <w:tc>
          <w:tcPr>
            <w:tcW w:w="769" w:type="pct"/>
            <w:vAlign w:val="center"/>
          </w:tcPr>
          <w:p w14:paraId="21E5FA62">
            <w:pPr>
              <w:pStyle w:val="34"/>
            </w:pPr>
            <w:r>
              <w:t>≤</w:t>
            </w:r>
            <w:r>
              <w:rPr>
                <w:rFonts w:hint="eastAsia"/>
              </w:rPr>
              <w:t>35</w:t>
            </w:r>
          </w:p>
        </w:tc>
        <w:tc>
          <w:tcPr>
            <w:tcW w:w="434" w:type="pct"/>
            <w:vAlign w:val="center"/>
          </w:tcPr>
          <w:p w14:paraId="0EC34C3C">
            <w:pPr>
              <w:pStyle w:val="34"/>
            </w:pPr>
            <w:r>
              <w:t>≤</w:t>
            </w:r>
            <w:r>
              <w:rPr>
                <w:rFonts w:hint="eastAsia"/>
              </w:rPr>
              <w:t>5</w:t>
            </w:r>
          </w:p>
        </w:tc>
      </w:tr>
      <w:tr w14:paraId="14466E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8" w:type="pct"/>
            <w:vAlign w:val="center"/>
          </w:tcPr>
          <w:p w14:paraId="2432CDCB">
            <w:pPr>
              <w:pStyle w:val="34"/>
            </w:pPr>
            <w:r>
              <w:t>设计出水水质</w:t>
            </w:r>
            <w:r>
              <w:rPr>
                <w:rFonts w:hint="eastAsia"/>
              </w:rPr>
              <w:t>（一级A标准）</w:t>
            </w:r>
          </w:p>
        </w:tc>
        <w:tc>
          <w:tcPr>
            <w:tcW w:w="603" w:type="pct"/>
            <w:vAlign w:val="center"/>
          </w:tcPr>
          <w:p w14:paraId="4C0DB3CC">
            <w:pPr>
              <w:pStyle w:val="34"/>
            </w:pPr>
            <w:r>
              <w:t>≤</w:t>
            </w:r>
            <w:r>
              <w:rPr>
                <w:rFonts w:hint="eastAsia"/>
              </w:rPr>
              <w:t>50</w:t>
            </w:r>
          </w:p>
        </w:tc>
        <w:tc>
          <w:tcPr>
            <w:tcW w:w="697" w:type="pct"/>
            <w:vAlign w:val="center"/>
          </w:tcPr>
          <w:p w14:paraId="44B764C9">
            <w:pPr>
              <w:pStyle w:val="34"/>
            </w:pPr>
            <w:r>
              <w:t>≤</w:t>
            </w:r>
            <w:r>
              <w:rPr>
                <w:rFonts w:hint="eastAsia"/>
              </w:rPr>
              <w:t>10</w:t>
            </w:r>
          </w:p>
        </w:tc>
        <w:tc>
          <w:tcPr>
            <w:tcW w:w="484" w:type="pct"/>
            <w:vAlign w:val="center"/>
          </w:tcPr>
          <w:p w14:paraId="4AA25E64">
            <w:pPr>
              <w:pStyle w:val="34"/>
            </w:pPr>
            <w:r>
              <w:t>≤</w:t>
            </w:r>
            <w:r>
              <w:rPr>
                <w:rFonts w:hint="eastAsia"/>
              </w:rPr>
              <w:t>10</w:t>
            </w:r>
          </w:p>
        </w:tc>
        <w:tc>
          <w:tcPr>
            <w:tcW w:w="455" w:type="pct"/>
            <w:vAlign w:val="center"/>
          </w:tcPr>
          <w:p w14:paraId="520C0755">
            <w:pPr>
              <w:pStyle w:val="34"/>
            </w:pPr>
            <w:r>
              <w:t>≤</w:t>
            </w:r>
            <w:r>
              <w:rPr>
                <w:rFonts w:hint="eastAsia"/>
              </w:rPr>
              <w:t>15</w:t>
            </w:r>
          </w:p>
        </w:tc>
        <w:tc>
          <w:tcPr>
            <w:tcW w:w="769" w:type="pct"/>
            <w:vAlign w:val="center"/>
          </w:tcPr>
          <w:p w14:paraId="32821C06">
            <w:pPr>
              <w:pStyle w:val="34"/>
            </w:pPr>
            <w:r>
              <w:t>≤</w:t>
            </w:r>
            <w:r>
              <w:rPr>
                <w:rFonts w:hint="eastAsia"/>
              </w:rPr>
              <w:t>5（8）</w:t>
            </w:r>
          </w:p>
        </w:tc>
        <w:tc>
          <w:tcPr>
            <w:tcW w:w="434" w:type="pct"/>
            <w:vAlign w:val="center"/>
          </w:tcPr>
          <w:p w14:paraId="4479EB58">
            <w:pPr>
              <w:pStyle w:val="34"/>
            </w:pPr>
            <w:r>
              <w:t>≤</w:t>
            </w:r>
            <w:r>
              <w:rPr>
                <w:rFonts w:hint="eastAsia"/>
              </w:rPr>
              <w:t>0.5</w:t>
            </w:r>
          </w:p>
        </w:tc>
      </w:tr>
    </w:tbl>
    <w:p w14:paraId="6D0FD4C8">
      <w:pPr>
        <w:ind w:firstLine="462"/>
      </w:pPr>
      <w:r>
        <w:rPr>
          <w:rFonts w:hint="eastAsia"/>
        </w:rPr>
        <w:t>船舶在港期间船舶污水执行《沿海海域船舶排污设备铅封管理规定》，不得排放到港口水体。</w:t>
      </w:r>
      <w:bookmarkStart w:id="128" w:name="OLE_LINK30"/>
      <w:r>
        <w:rPr>
          <w:rFonts w:hint="eastAsia"/>
        </w:rPr>
        <w:t>船舶含油污水、生活污水原则上船舶靠岸后有需求的由码头联系有资质单位前往码头接收；码头前沿</w:t>
      </w:r>
      <w:bookmarkStart w:id="129" w:name="OLE_LINK61"/>
      <w:r>
        <w:rPr>
          <w:rFonts w:hint="eastAsia"/>
        </w:rPr>
        <w:t>设置船舶生活污水接收设施和船舶含油污水接收设施，应急时船舶生活污水、船舶含油污水分别通过接收设施进入生活污水收集箱和含油污水接收箱，生活污水经收集后泵送至 7 号 8 号泊位的生活污水处理站预处理后排入大榄坪污水处理厂</w:t>
      </w:r>
      <w:bookmarkEnd w:id="129"/>
      <w:r>
        <w:rPr>
          <w:rFonts w:hint="eastAsia"/>
        </w:rPr>
        <w:t>，含油污水委托有资质单位接收处理。</w:t>
      </w:r>
      <w:bookmarkEnd w:id="128"/>
      <w:r>
        <w:rPr>
          <w:rFonts w:hint="eastAsia"/>
        </w:rPr>
        <w:t>船舶航行途中船舶污水自行处理时，污染物排放执行《船舶水污染物排放控制标准》（GB3552-2018）</w:t>
      </w:r>
      <w:r>
        <w:t>。</w:t>
      </w:r>
    </w:p>
    <w:p w14:paraId="1362EDE0">
      <w:pPr>
        <w:pStyle w:val="7"/>
      </w:pPr>
      <w:r>
        <w:t>船舶水污染物排放标准</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92"/>
        <w:gridCol w:w="720"/>
        <w:gridCol w:w="750"/>
        <w:gridCol w:w="2029"/>
        <w:gridCol w:w="3100"/>
        <w:gridCol w:w="1351"/>
      </w:tblGrid>
      <w:tr w14:paraId="3AB307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gridSpan w:val="2"/>
            <w:tcMar>
              <w:left w:w="0" w:type="dxa"/>
              <w:right w:w="0" w:type="dxa"/>
            </w:tcMar>
            <w:vAlign w:val="center"/>
          </w:tcPr>
          <w:p w14:paraId="554C6F88">
            <w:pPr>
              <w:pStyle w:val="34"/>
            </w:pPr>
            <w:bookmarkStart w:id="130" w:name="_Hlk58775992"/>
            <w:r>
              <w:t>污水类型</w:t>
            </w:r>
          </w:p>
        </w:tc>
        <w:tc>
          <w:tcPr>
            <w:tcW w:w="750" w:type="dxa"/>
            <w:tcMar>
              <w:left w:w="0" w:type="dxa"/>
              <w:right w:w="0" w:type="dxa"/>
            </w:tcMar>
            <w:vAlign w:val="center"/>
          </w:tcPr>
          <w:p w14:paraId="705FA758">
            <w:pPr>
              <w:pStyle w:val="34"/>
            </w:pPr>
            <w:r>
              <w:t>水域类别</w:t>
            </w:r>
          </w:p>
        </w:tc>
        <w:tc>
          <w:tcPr>
            <w:tcW w:w="2029" w:type="dxa"/>
            <w:tcMar>
              <w:left w:w="0" w:type="dxa"/>
              <w:right w:w="0" w:type="dxa"/>
            </w:tcMar>
            <w:vAlign w:val="center"/>
          </w:tcPr>
          <w:p w14:paraId="20A3CD3D">
            <w:pPr>
              <w:pStyle w:val="34"/>
            </w:pPr>
            <w:r>
              <w:t>船舶类别</w:t>
            </w:r>
          </w:p>
        </w:tc>
        <w:tc>
          <w:tcPr>
            <w:tcW w:w="3100" w:type="dxa"/>
            <w:tcMar>
              <w:left w:w="0" w:type="dxa"/>
              <w:right w:w="0" w:type="dxa"/>
            </w:tcMar>
            <w:vAlign w:val="center"/>
          </w:tcPr>
          <w:p w14:paraId="470550C9">
            <w:pPr>
              <w:pStyle w:val="34"/>
            </w:pPr>
            <w:r>
              <w:t>排放控制标准</w:t>
            </w:r>
          </w:p>
        </w:tc>
        <w:tc>
          <w:tcPr>
            <w:tcW w:w="1351" w:type="dxa"/>
            <w:tcMar>
              <w:left w:w="0" w:type="dxa"/>
              <w:right w:w="0" w:type="dxa"/>
            </w:tcMar>
            <w:vAlign w:val="center"/>
          </w:tcPr>
          <w:p w14:paraId="31F90EA1">
            <w:pPr>
              <w:pStyle w:val="34"/>
            </w:pPr>
            <w:r>
              <w:t>污染物排放监控位置</w:t>
            </w:r>
          </w:p>
        </w:tc>
      </w:tr>
      <w:tr w14:paraId="037854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restart"/>
            <w:tcMar>
              <w:left w:w="0" w:type="dxa"/>
              <w:right w:w="0" w:type="dxa"/>
            </w:tcMar>
            <w:vAlign w:val="center"/>
          </w:tcPr>
          <w:p w14:paraId="0138C732">
            <w:pPr>
              <w:pStyle w:val="34"/>
            </w:pPr>
            <w:r>
              <w:t>含油污水</w:t>
            </w:r>
          </w:p>
        </w:tc>
        <w:tc>
          <w:tcPr>
            <w:tcW w:w="0" w:type="auto"/>
            <w:tcMar>
              <w:left w:w="0" w:type="dxa"/>
              <w:right w:w="0" w:type="dxa"/>
            </w:tcMar>
            <w:vAlign w:val="center"/>
          </w:tcPr>
          <w:p w14:paraId="7A3E6782">
            <w:pPr>
              <w:pStyle w:val="34"/>
            </w:pPr>
            <w:r>
              <w:t>机器处所污水</w:t>
            </w:r>
          </w:p>
        </w:tc>
        <w:tc>
          <w:tcPr>
            <w:tcW w:w="750" w:type="dxa"/>
            <w:tcMar>
              <w:left w:w="0" w:type="dxa"/>
              <w:right w:w="0" w:type="dxa"/>
            </w:tcMar>
            <w:vAlign w:val="center"/>
          </w:tcPr>
          <w:p w14:paraId="4715D5B9">
            <w:pPr>
              <w:pStyle w:val="34"/>
            </w:pPr>
            <w:r>
              <w:t>沿海</w:t>
            </w:r>
          </w:p>
        </w:tc>
        <w:tc>
          <w:tcPr>
            <w:tcW w:w="2029" w:type="dxa"/>
            <w:tcMar>
              <w:left w:w="0" w:type="dxa"/>
              <w:right w:w="0" w:type="dxa"/>
            </w:tcMar>
            <w:vAlign w:val="center"/>
          </w:tcPr>
          <w:p w14:paraId="2BB4E403">
            <w:pPr>
              <w:pStyle w:val="34"/>
            </w:pPr>
            <w:r>
              <w:t>400总吨级以上船舶</w:t>
            </w:r>
          </w:p>
        </w:tc>
        <w:tc>
          <w:tcPr>
            <w:tcW w:w="3100" w:type="dxa"/>
            <w:tcMar>
              <w:left w:w="0" w:type="dxa"/>
              <w:right w:w="0" w:type="dxa"/>
            </w:tcMar>
            <w:vAlign w:val="center"/>
          </w:tcPr>
          <w:p w14:paraId="559C1DB5">
            <w:pPr>
              <w:pStyle w:val="34"/>
            </w:pPr>
            <w:r>
              <w:t>石油类≤15或收集并排入接收设施</w:t>
            </w:r>
          </w:p>
        </w:tc>
        <w:tc>
          <w:tcPr>
            <w:tcW w:w="1351" w:type="dxa"/>
            <w:vMerge w:val="restart"/>
            <w:tcMar>
              <w:left w:w="0" w:type="dxa"/>
              <w:right w:w="0" w:type="dxa"/>
            </w:tcMar>
            <w:vAlign w:val="center"/>
          </w:tcPr>
          <w:p w14:paraId="612C81B1">
            <w:pPr>
              <w:pStyle w:val="34"/>
            </w:pPr>
            <w:r>
              <w:t>油污水处理装置出水口</w:t>
            </w:r>
          </w:p>
        </w:tc>
      </w:tr>
      <w:tr w14:paraId="204614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continue"/>
            <w:tcMar>
              <w:left w:w="0" w:type="dxa"/>
              <w:right w:w="0" w:type="dxa"/>
            </w:tcMar>
            <w:vAlign w:val="center"/>
          </w:tcPr>
          <w:p w14:paraId="3A4C5788">
            <w:pPr>
              <w:pStyle w:val="34"/>
            </w:pPr>
          </w:p>
        </w:tc>
        <w:tc>
          <w:tcPr>
            <w:tcW w:w="0" w:type="auto"/>
            <w:tcMar>
              <w:left w:w="0" w:type="dxa"/>
              <w:right w:w="0" w:type="dxa"/>
            </w:tcMar>
            <w:vAlign w:val="center"/>
          </w:tcPr>
          <w:p w14:paraId="1DC6C623">
            <w:pPr>
              <w:pStyle w:val="34"/>
            </w:pPr>
            <w:r>
              <w:t>含货油残余物的油污水</w:t>
            </w:r>
          </w:p>
        </w:tc>
        <w:tc>
          <w:tcPr>
            <w:tcW w:w="750" w:type="dxa"/>
            <w:tcMar>
              <w:left w:w="0" w:type="dxa"/>
              <w:right w:w="0" w:type="dxa"/>
            </w:tcMar>
            <w:vAlign w:val="center"/>
          </w:tcPr>
          <w:p w14:paraId="6DABFC5C">
            <w:pPr>
              <w:pStyle w:val="34"/>
            </w:pPr>
            <w:r>
              <w:t>沿海</w:t>
            </w:r>
          </w:p>
        </w:tc>
        <w:tc>
          <w:tcPr>
            <w:tcW w:w="2029" w:type="dxa"/>
            <w:tcMar>
              <w:left w:w="0" w:type="dxa"/>
              <w:right w:w="0" w:type="dxa"/>
            </w:tcMar>
            <w:vAlign w:val="center"/>
          </w:tcPr>
          <w:p w14:paraId="79FD58D8">
            <w:pPr>
              <w:pStyle w:val="34"/>
            </w:pPr>
            <w:r>
              <w:t>150总吨及以上船舶</w:t>
            </w:r>
          </w:p>
        </w:tc>
        <w:tc>
          <w:tcPr>
            <w:tcW w:w="3100" w:type="dxa"/>
            <w:tcMar>
              <w:left w:w="0" w:type="dxa"/>
              <w:right w:w="0" w:type="dxa"/>
            </w:tcMar>
            <w:vAlign w:val="center"/>
          </w:tcPr>
          <w:p w14:paraId="07464764">
            <w:pPr>
              <w:pStyle w:val="34"/>
            </w:pPr>
            <w:r>
              <w:t>收集并排入接收设施，或在船舶航行中排放，并同时满足下列条件：（1）油船距最近陆地50海里以上；（2）排入海中油污水含油量瞬间排放率不超过30升/海里；（3）排入海中油污水含油量不得超过货油总量的1/30000；（4）排油监控系统运转正常。</w:t>
            </w:r>
          </w:p>
        </w:tc>
        <w:tc>
          <w:tcPr>
            <w:tcW w:w="1351" w:type="dxa"/>
            <w:vMerge w:val="continue"/>
            <w:tcMar>
              <w:left w:w="0" w:type="dxa"/>
              <w:right w:w="0" w:type="dxa"/>
            </w:tcMar>
            <w:vAlign w:val="center"/>
          </w:tcPr>
          <w:p w14:paraId="2E2D709D">
            <w:pPr>
              <w:pStyle w:val="34"/>
            </w:pPr>
          </w:p>
        </w:tc>
      </w:tr>
      <w:tr w14:paraId="313CF4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gridSpan w:val="2"/>
            <w:vMerge w:val="restart"/>
            <w:tcMar>
              <w:left w:w="0" w:type="dxa"/>
              <w:right w:w="0" w:type="dxa"/>
            </w:tcMar>
            <w:vAlign w:val="center"/>
          </w:tcPr>
          <w:p w14:paraId="3B7DCD7D">
            <w:pPr>
              <w:pStyle w:val="34"/>
            </w:pPr>
            <w:r>
              <w:t>船舶生活污水</w:t>
            </w:r>
          </w:p>
        </w:tc>
        <w:tc>
          <w:tcPr>
            <w:tcW w:w="750" w:type="dxa"/>
            <w:vMerge w:val="restart"/>
            <w:tcMar>
              <w:left w:w="0" w:type="dxa"/>
              <w:right w:w="0" w:type="dxa"/>
            </w:tcMar>
            <w:vAlign w:val="center"/>
          </w:tcPr>
          <w:p w14:paraId="6440F60C">
            <w:pPr>
              <w:pStyle w:val="34"/>
            </w:pPr>
            <w:r>
              <w:t>沿海</w:t>
            </w:r>
          </w:p>
        </w:tc>
        <w:tc>
          <w:tcPr>
            <w:tcW w:w="2029" w:type="dxa"/>
            <w:tcMar>
              <w:left w:w="0" w:type="dxa"/>
              <w:right w:w="0" w:type="dxa"/>
            </w:tcMar>
            <w:vAlign w:val="center"/>
          </w:tcPr>
          <w:p w14:paraId="2B2C08B2">
            <w:pPr>
              <w:pStyle w:val="34"/>
            </w:pPr>
            <w:r>
              <w:t>2012年1月1日以前安装（含更换）生活污水处理装置的船舶</w:t>
            </w:r>
          </w:p>
        </w:tc>
        <w:tc>
          <w:tcPr>
            <w:tcW w:w="3100" w:type="dxa"/>
            <w:tcMar>
              <w:left w:w="0" w:type="dxa"/>
              <w:right w:w="0" w:type="dxa"/>
            </w:tcMar>
            <w:vAlign w:val="center"/>
          </w:tcPr>
          <w:p w14:paraId="53566270">
            <w:pPr>
              <w:pStyle w:val="34"/>
            </w:pPr>
            <w:r>
              <w:t>BOD</w:t>
            </w:r>
            <w:r>
              <w:rPr>
                <w:vertAlign w:val="subscript"/>
              </w:rPr>
              <w:t>5</w:t>
            </w:r>
            <w:r>
              <w:t>≤50；SS≤150；耐热大肠菌群数≤2500个/L</w:t>
            </w:r>
          </w:p>
        </w:tc>
        <w:tc>
          <w:tcPr>
            <w:tcW w:w="1351" w:type="dxa"/>
            <w:vMerge w:val="restart"/>
            <w:tcMar>
              <w:left w:w="0" w:type="dxa"/>
              <w:right w:w="0" w:type="dxa"/>
            </w:tcMar>
            <w:vAlign w:val="center"/>
          </w:tcPr>
          <w:p w14:paraId="340B515C">
            <w:pPr>
              <w:pStyle w:val="34"/>
            </w:pPr>
            <w:r>
              <w:t>生活污水处理装置出水口</w:t>
            </w:r>
          </w:p>
        </w:tc>
      </w:tr>
      <w:tr w14:paraId="6A55FF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gridSpan w:val="2"/>
            <w:vMerge w:val="continue"/>
            <w:tcMar>
              <w:left w:w="0" w:type="dxa"/>
              <w:right w:w="0" w:type="dxa"/>
            </w:tcMar>
            <w:vAlign w:val="center"/>
          </w:tcPr>
          <w:p w14:paraId="0A86BB7A">
            <w:pPr>
              <w:pStyle w:val="34"/>
            </w:pPr>
          </w:p>
        </w:tc>
        <w:tc>
          <w:tcPr>
            <w:tcW w:w="750" w:type="dxa"/>
            <w:vMerge w:val="continue"/>
            <w:tcMar>
              <w:left w:w="0" w:type="dxa"/>
              <w:right w:w="0" w:type="dxa"/>
            </w:tcMar>
            <w:vAlign w:val="center"/>
          </w:tcPr>
          <w:p w14:paraId="6DD2FA9A">
            <w:pPr>
              <w:pStyle w:val="34"/>
            </w:pPr>
          </w:p>
        </w:tc>
        <w:tc>
          <w:tcPr>
            <w:tcW w:w="2029" w:type="dxa"/>
            <w:tcMar>
              <w:left w:w="0" w:type="dxa"/>
              <w:right w:w="0" w:type="dxa"/>
            </w:tcMar>
            <w:vAlign w:val="center"/>
          </w:tcPr>
          <w:p w14:paraId="51E4EA7E">
            <w:pPr>
              <w:pStyle w:val="34"/>
            </w:pPr>
            <w:r>
              <w:t>2012年1月1日</w:t>
            </w:r>
            <w:r>
              <w:rPr>
                <w:rFonts w:hint="eastAsia"/>
              </w:rPr>
              <w:t>～</w:t>
            </w:r>
            <w:r>
              <w:t>2021年1月1日安装（含更换）生活污水处理装置的船舶</w:t>
            </w:r>
          </w:p>
        </w:tc>
        <w:tc>
          <w:tcPr>
            <w:tcW w:w="3100" w:type="dxa"/>
            <w:tcMar>
              <w:left w:w="0" w:type="dxa"/>
              <w:right w:w="0" w:type="dxa"/>
            </w:tcMar>
            <w:vAlign w:val="center"/>
          </w:tcPr>
          <w:p w14:paraId="5604CA0D">
            <w:pPr>
              <w:pStyle w:val="34"/>
            </w:pPr>
            <w:r>
              <w:t>BOD</w:t>
            </w:r>
            <w:r>
              <w:rPr>
                <w:vertAlign w:val="subscript"/>
              </w:rPr>
              <w:t>5</w:t>
            </w:r>
            <w:r>
              <w:t>≤25；SS≤35；耐热大肠菌群数≤1000个/L；CODcr≤125；pH值6～8.5；总氯（总余氯）＜0.5</w:t>
            </w:r>
          </w:p>
        </w:tc>
        <w:tc>
          <w:tcPr>
            <w:tcW w:w="1351" w:type="dxa"/>
            <w:vMerge w:val="continue"/>
            <w:tcMar>
              <w:left w:w="0" w:type="dxa"/>
              <w:right w:w="0" w:type="dxa"/>
            </w:tcMar>
            <w:vAlign w:val="center"/>
          </w:tcPr>
          <w:p w14:paraId="10C82C3E">
            <w:pPr>
              <w:pStyle w:val="34"/>
            </w:pPr>
          </w:p>
        </w:tc>
      </w:tr>
      <w:tr w14:paraId="76A3E9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gridSpan w:val="2"/>
            <w:vMerge w:val="continue"/>
            <w:tcMar>
              <w:left w:w="0" w:type="dxa"/>
              <w:right w:w="0" w:type="dxa"/>
            </w:tcMar>
            <w:vAlign w:val="center"/>
          </w:tcPr>
          <w:p w14:paraId="004A9954">
            <w:pPr>
              <w:pStyle w:val="34"/>
            </w:pPr>
          </w:p>
        </w:tc>
        <w:tc>
          <w:tcPr>
            <w:tcW w:w="750" w:type="dxa"/>
            <w:vMerge w:val="continue"/>
            <w:tcMar>
              <w:left w:w="0" w:type="dxa"/>
              <w:right w:w="0" w:type="dxa"/>
            </w:tcMar>
            <w:vAlign w:val="center"/>
          </w:tcPr>
          <w:p w14:paraId="48E8EE20">
            <w:pPr>
              <w:pStyle w:val="34"/>
            </w:pPr>
          </w:p>
        </w:tc>
        <w:tc>
          <w:tcPr>
            <w:tcW w:w="2029" w:type="dxa"/>
            <w:tcMar>
              <w:left w:w="0" w:type="dxa"/>
              <w:right w:w="0" w:type="dxa"/>
            </w:tcMar>
            <w:vAlign w:val="center"/>
          </w:tcPr>
          <w:p w14:paraId="2B042DD3">
            <w:pPr>
              <w:pStyle w:val="34"/>
            </w:pPr>
            <w:r>
              <w:t>2021年1月1日以后安装（含更换）生活污水处理装置的船舶</w:t>
            </w:r>
          </w:p>
        </w:tc>
        <w:tc>
          <w:tcPr>
            <w:tcW w:w="3100" w:type="dxa"/>
            <w:tcMar>
              <w:left w:w="0" w:type="dxa"/>
              <w:right w:w="0" w:type="dxa"/>
            </w:tcMar>
            <w:vAlign w:val="center"/>
          </w:tcPr>
          <w:p w14:paraId="5A5EC49A">
            <w:pPr>
              <w:pStyle w:val="34"/>
            </w:pPr>
            <w:r>
              <w:t>BOD</w:t>
            </w:r>
            <w:r>
              <w:rPr>
                <w:vertAlign w:val="subscript"/>
              </w:rPr>
              <w:t>5</w:t>
            </w:r>
            <w:r>
              <w:t>≤20；SS≤20；耐热大肠菌群数≤1000个/L；CODcr≤60；pH值6～8.5；总氯（总余氯）＜0.5；总氮≤20；氨氮≤15；总磷≤1</w:t>
            </w:r>
          </w:p>
        </w:tc>
        <w:tc>
          <w:tcPr>
            <w:tcW w:w="1351" w:type="dxa"/>
            <w:vMerge w:val="continue"/>
            <w:tcMar>
              <w:left w:w="0" w:type="dxa"/>
              <w:right w:w="0" w:type="dxa"/>
            </w:tcMar>
            <w:vAlign w:val="center"/>
          </w:tcPr>
          <w:p w14:paraId="00A936B2">
            <w:pPr>
              <w:pStyle w:val="34"/>
            </w:pPr>
          </w:p>
        </w:tc>
      </w:tr>
      <w:bookmarkEnd w:id="130"/>
    </w:tbl>
    <w:p w14:paraId="0945E031">
      <w:pPr>
        <w:pStyle w:val="6"/>
      </w:pPr>
      <w:r>
        <w:t>声环境</w:t>
      </w:r>
    </w:p>
    <w:p w14:paraId="58B660A3">
      <w:pPr>
        <w:ind w:firstLine="462"/>
      </w:pPr>
      <w:r>
        <w:rPr>
          <w:rFonts w:hint="eastAsia"/>
        </w:rPr>
        <w:t>（1）环境质量标准</w:t>
      </w:r>
    </w:p>
    <w:p w14:paraId="67A626D4">
      <w:pPr>
        <w:ind w:firstLine="462"/>
      </w:pPr>
      <w:r>
        <w:rPr>
          <w:rFonts w:hint="eastAsia"/>
        </w:rPr>
        <w:t>本项目</w:t>
      </w:r>
      <w:r>
        <w:t>声环境质量执行</w:t>
      </w:r>
      <w:r>
        <w:rPr>
          <w:rFonts w:hint="eastAsia"/>
        </w:rPr>
        <w:t>《声环境质量标准》（</w:t>
      </w:r>
      <w:r>
        <w:t>GB3096-2008</w:t>
      </w:r>
      <w:r>
        <w:rPr>
          <w:rFonts w:hint="eastAsia"/>
        </w:rPr>
        <w:t>）</w:t>
      </w:r>
      <w:r>
        <w:t>中的3类标准。</w:t>
      </w:r>
    </w:p>
    <w:p w14:paraId="6C2C7625">
      <w:pPr>
        <w:pStyle w:val="7"/>
      </w:pPr>
      <w:r>
        <w:t xml:space="preserve">声环境质量标准  </w:t>
      </w:r>
      <w:r>
        <w:rPr>
          <w:rFonts w:hint="eastAsia"/>
        </w:rPr>
        <w:t xml:space="preserve">           </w:t>
      </w:r>
      <w:r>
        <w:t xml:space="preserve">   </w:t>
      </w:r>
      <w:r>
        <w:rPr>
          <w:sz w:val="21"/>
        </w:rPr>
        <w:t>Leq：dB</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725"/>
        <w:gridCol w:w="2823"/>
        <w:gridCol w:w="2980"/>
      </w:tblGrid>
      <w:tr w14:paraId="73BA7B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1598" w:type="pct"/>
            <w:vAlign w:val="center"/>
          </w:tcPr>
          <w:p w14:paraId="00BD4F33">
            <w:pPr>
              <w:pStyle w:val="34"/>
              <w:rPr>
                <w:snapToGrid w:val="0"/>
              </w:rPr>
            </w:pPr>
            <w:r>
              <w:rPr>
                <w:snapToGrid w:val="0"/>
              </w:rPr>
              <w:t>类   别</w:t>
            </w:r>
          </w:p>
        </w:tc>
        <w:tc>
          <w:tcPr>
            <w:tcW w:w="1655" w:type="pct"/>
            <w:vAlign w:val="center"/>
          </w:tcPr>
          <w:p w14:paraId="7993FE69">
            <w:pPr>
              <w:pStyle w:val="34"/>
              <w:rPr>
                <w:snapToGrid w:val="0"/>
              </w:rPr>
            </w:pPr>
            <w:r>
              <w:rPr>
                <w:snapToGrid w:val="0"/>
              </w:rPr>
              <w:t>昼   间</w:t>
            </w:r>
          </w:p>
        </w:tc>
        <w:tc>
          <w:tcPr>
            <w:tcW w:w="1747" w:type="pct"/>
            <w:vAlign w:val="center"/>
          </w:tcPr>
          <w:p w14:paraId="3D940CC3">
            <w:pPr>
              <w:pStyle w:val="34"/>
              <w:rPr>
                <w:snapToGrid w:val="0"/>
              </w:rPr>
            </w:pPr>
            <w:r>
              <w:rPr>
                <w:snapToGrid w:val="0"/>
              </w:rPr>
              <w:t>夜   间</w:t>
            </w:r>
          </w:p>
        </w:tc>
      </w:tr>
      <w:tr w14:paraId="6B6E34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4" w:hRule="atLeast"/>
          <w:jc w:val="center"/>
        </w:trPr>
        <w:tc>
          <w:tcPr>
            <w:tcW w:w="1598" w:type="pct"/>
            <w:vAlign w:val="center"/>
          </w:tcPr>
          <w:p w14:paraId="542344A3">
            <w:pPr>
              <w:pStyle w:val="34"/>
              <w:rPr>
                <w:snapToGrid w:val="0"/>
              </w:rPr>
            </w:pPr>
            <w:r>
              <w:rPr>
                <w:snapToGrid w:val="0"/>
              </w:rPr>
              <w:t>3</w:t>
            </w:r>
          </w:p>
        </w:tc>
        <w:tc>
          <w:tcPr>
            <w:tcW w:w="1655" w:type="pct"/>
            <w:vAlign w:val="center"/>
          </w:tcPr>
          <w:p w14:paraId="680D0ED5">
            <w:pPr>
              <w:pStyle w:val="34"/>
              <w:rPr>
                <w:snapToGrid w:val="0"/>
              </w:rPr>
            </w:pPr>
            <w:r>
              <w:rPr>
                <w:snapToGrid w:val="0"/>
              </w:rPr>
              <w:t>65</w:t>
            </w:r>
          </w:p>
        </w:tc>
        <w:tc>
          <w:tcPr>
            <w:tcW w:w="1747" w:type="pct"/>
            <w:vAlign w:val="center"/>
          </w:tcPr>
          <w:p w14:paraId="57FEF79D">
            <w:pPr>
              <w:pStyle w:val="34"/>
              <w:rPr>
                <w:snapToGrid w:val="0"/>
              </w:rPr>
            </w:pPr>
            <w:r>
              <w:rPr>
                <w:snapToGrid w:val="0"/>
              </w:rPr>
              <w:t>55</w:t>
            </w:r>
          </w:p>
        </w:tc>
      </w:tr>
    </w:tbl>
    <w:p w14:paraId="7DCDC867">
      <w:pPr>
        <w:ind w:firstLine="462"/>
      </w:pPr>
      <w:r>
        <w:rPr>
          <w:rFonts w:hint="eastAsia"/>
        </w:rPr>
        <w:t>（</w:t>
      </w:r>
      <w:r>
        <w:t>2</w:t>
      </w:r>
      <w:r>
        <w:rPr>
          <w:rFonts w:hint="eastAsia"/>
        </w:rPr>
        <w:t>）排放标准</w:t>
      </w:r>
    </w:p>
    <w:p w14:paraId="5A8E008B">
      <w:pPr>
        <w:ind w:firstLine="462"/>
      </w:pPr>
      <w:r>
        <w:t>运营期执行《工业企业厂界环境噪声排放标准》（GB12348-2008）中的3类标准</w:t>
      </w:r>
      <w:r>
        <w:rPr>
          <w:rFonts w:hint="eastAsia"/>
        </w:rPr>
        <w:t>。</w:t>
      </w:r>
    </w:p>
    <w:p w14:paraId="14B7A858">
      <w:pPr>
        <w:pStyle w:val="7"/>
      </w:pPr>
      <w:r>
        <w:t xml:space="preserve">工业企业厂界环境噪声排放标准    </w:t>
      </w:r>
      <w:r>
        <w:rPr>
          <w:sz w:val="21"/>
        </w:rPr>
        <w:t>LAeq：dB</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273"/>
        <w:gridCol w:w="2627"/>
        <w:gridCol w:w="2628"/>
      </w:tblGrid>
      <w:tr w14:paraId="6EFFC3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919" w:type="pct"/>
            <w:vMerge w:val="restart"/>
            <w:vAlign w:val="center"/>
          </w:tcPr>
          <w:p w14:paraId="64C1F542">
            <w:pPr>
              <w:pStyle w:val="34"/>
            </w:pPr>
            <w:r>
              <w:t>厂界外声环境功能区类别</w:t>
            </w:r>
          </w:p>
        </w:tc>
        <w:tc>
          <w:tcPr>
            <w:tcW w:w="3081" w:type="pct"/>
            <w:gridSpan w:val="2"/>
            <w:vAlign w:val="center"/>
          </w:tcPr>
          <w:p w14:paraId="7FEAD524">
            <w:pPr>
              <w:pStyle w:val="34"/>
            </w:pPr>
            <w:r>
              <w:t>噪声限值</w:t>
            </w:r>
          </w:p>
        </w:tc>
      </w:tr>
      <w:tr w14:paraId="262E64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919" w:type="pct"/>
            <w:vMerge w:val="continue"/>
            <w:vAlign w:val="center"/>
          </w:tcPr>
          <w:p w14:paraId="64EAEF63">
            <w:pPr>
              <w:pStyle w:val="34"/>
            </w:pPr>
          </w:p>
        </w:tc>
        <w:tc>
          <w:tcPr>
            <w:tcW w:w="1540" w:type="pct"/>
            <w:vAlign w:val="center"/>
          </w:tcPr>
          <w:p w14:paraId="23EE9A2F">
            <w:pPr>
              <w:pStyle w:val="34"/>
            </w:pPr>
            <w:r>
              <w:t>昼间</w:t>
            </w:r>
          </w:p>
        </w:tc>
        <w:tc>
          <w:tcPr>
            <w:tcW w:w="1541" w:type="pct"/>
            <w:vAlign w:val="center"/>
          </w:tcPr>
          <w:p w14:paraId="139DC229">
            <w:pPr>
              <w:pStyle w:val="34"/>
            </w:pPr>
            <w:r>
              <w:t>夜间</w:t>
            </w:r>
          </w:p>
        </w:tc>
      </w:tr>
      <w:tr w14:paraId="16B55E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919" w:type="pct"/>
            <w:vAlign w:val="center"/>
          </w:tcPr>
          <w:p w14:paraId="5CD278E3">
            <w:pPr>
              <w:pStyle w:val="34"/>
            </w:pPr>
            <w:r>
              <w:t>3</w:t>
            </w:r>
          </w:p>
        </w:tc>
        <w:tc>
          <w:tcPr>
            <w:tcW w:w="1540" w:type="pct"/>
            <w:vAlign w:val="center"/>
          </w:tcPr>
          <w:p w14:paraId="11747602">
            <w:pPr>
              <w:pStyle w:val="34"/>
            </w:pPr>
            <w:r>
              <w:t>65</w:t>
            </w:r>
          </w:p>
        </w:tc>
        <w:tc>
          <w:tcPr>
            <w:tcW w:w="1541" w:type="pct"/>
            <w:vAlign w:val="center"/>
          </w:tcPr>
          <w:p w14:paraId="3BDFE087">
            <w:pPr>
              <w:pStyle w:val="34"/>
            </w:pPr>
            <w:r>
              <w:t>55</w:t>
            </w:r>
          </w:p>
        </w:tc>
      </w:tr>
    </w:tbl>
    <w:p w14:paraId="46F93A50">
      <w:pPr>
        <w:ind w:firstLine="462"/>
      </w:pPr>
      <w:r>
        <w:t>施工期噪声排放标准执行</w:t>
      </w:r>
      <w:bookmarkStart w:id="131" w:name="OLE_LINK104"/>
      <w:r>
        <w:t>《</w:t>
      </w:r>
      <w:bookmarkStart w:id="132" w:name="OLE_LINK103"/>
      <w:r>
        <w:t>建筑施工</w:t>
      </w:r>
      <w:bookmarkEnd w:id="132"/>
      <w:r>
        <w:t>噪声排放</w:t>
      </w:r>
      <w:r>
        <w:rPr>
          <w:rFonts w:hint="eastAsia"/>
        </w:rPr>
        <w:t>标准</w:t>
      </w:r>
      <w:r>
        <w:t>》（GB12523-</w:t>
      </w:r>
      <w:r>
        <w:rPr>
          <w:rFonts w:hint="eastAsia"/>
        </w:rPr>
        <w:t>2025</w:t>
      </w:r>
      <w:r>
        <w:t>）</w:t>
      </w:r>
      <w:bookmarkEnd w:id="131"/>
      <w:r>
        <w:t>。</w:t>
      </w:r>
    </w:p>
    <w:p w14:paraId="623EE8E6">
      <w:pPr>
        <w:pStyle w:val="7"/>
      </w:pPr>
      <w:r>
        <w:t xml:space="preserve">建筑施工场界噪声排放限值      </w:t>
      </w:r>
      <w:r>
        <w:rPr>
          <w:sz w:val="21"/>
        </w:rPr>
        <w:t>Leq：dB</w:t>
      </w:r>
      <w:r>
        <w:rPr>
          <w:rFonts w:hint="eastAsia"/>
          <w:sz w:val="21"/>
        </w:rPr>
        <w:t>（A）</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148"/>
        <w:gridCol w:w="4380"/>
      </w:tblGrid>
      <w:tr w14:paraId="31C140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32" w:type="pct"/>
            <w:vAlign w:val="center"/>
          </w:tcPr>
          <w:p w14:paraId="2279B798">
            <w:pPr>
              <w:pStyle w:val="34"/>
              <w:rPr>
                <w:snapToGrid w:val="0"/>
              </w:rPr>
            </w:pPr>
            <w:r>
              <w:rPr>
                <w:snapToGrid w:val="0"/>
              </w:rPr>
              <w:t>昼   间</w:t>
            </w:r>
          </w:p>
        </w:tc>
        <w:tc>
          <w:tcPr>
            <w:tcW w:w="2568" w:type="pct"/>
            <w:vAlign w:val="center"/>
          </w:tcPr>
          <w:p w14:paraId="3284F53F">
            <w:pPr>
              <w:pStyle w:val="34"/>
              <w:rPr>
                <w:snapToGrid w:val="0"/>
              </w:rPr>
            </w:pPr>
            <w:r>
              <w:rPr>
                <w:snapToGrid w:val="0"/>
              </w:rPr>
              <w:t>夜   间</w:t>
            </w:r>
          </w:p>
        </w:tc>
      </w:tr>
      <w:tr w14:paraId="753676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32" w:type="pct"/>
            <w:vAlign w:val="center"/>
          </w:tcPr>
          <w:p w14:paraId="5DC56449">
            <w:pPr>
              <w:pStyle w:val="34"/>
              <w:rPr>
                <w:snapToGrid w:val="0"/>
              </w:rPr>
            </w:pPr>
            <w:r>
              <w:rPr>
                <w:snapToGrid w:val="0"/>
              </w:rPr>
              <w:t>70</w:t>
            </w:r>
          </w:p>
        </w:tc>
        <w:tc>
          <w:tcPr>
            <w:tcW w:w="2568" w:type="pct"/>
            <w:vAlign w:val="center"/>
          </w:tcPr>
          <w:p w14:paraId="78A536DB">
            <w:pPr>
              <w:pStyle w:val="34"/>
              <w:rPr>
                <w:snapToGrid w:val="0"/>
              </w:rPr>
            </w:pPr>
            <w:r>
              <w:rPr>
                <w:snapToGrid w:val="0"/>
              </w:rPr>
              <w:t>55</w:t>
            </w:r>
          </w:p>
        </w:tc>
      </w:tr>
    </w:tbl>
    <w:p w14:paraId="4578916E">
      <w:pPr>
        <w:pStyle w:val="6"/>
      </w:pPr>
      <w:r>
        <w:rPr>
          <w:rFonts w:hint="eastAsia"/>
        </w:rPr>
        <w:t>地下水环境</w:t>
      </w:r>
    </w:p>
    <w:p w14:paraId="3D7005A6">
      <w:pPr>
        <w:adjustRightInd w:val="0"/>
        <w:ind w:firstLine="462"/>
      </w:pPr>
      <w:r>
        <w:rPr>
          <w:rFonts w:hint="eastAsia" w:cs="宋体"/>
          <w:bCs/>
          <w:lang w:bidi="ar"/>
        </w:rPr>
        <w:t>项目所在区域地下水环境执行《地下水质量标准》（</w:t>
      </w:r>
      <w:r>
        <w:rPr>
          <w:bCs/>
          <w:lang w:bidi="ar"/>
        </w:rPr>
        <w:t>GB/T14848-2017</w:t>
      </w:r>
      <w:r>
        <w:rPr>
          <w:rFonts w:hint="eastAsia" w:cs="宋体"/>
          <w:bCs/>
          <w:lang w:bidi="ar"/>
        </w:rPr>
        <w:t>）</w:t>
      </w:r>
      <w:r>
        <w:rPr>
          <w:bCs/>
          <w:lang w:bidi="ar"/>
        </w:rPr>
        <w:t>Ⅲ</w:t>
      </w:r>
      <w:r>
        <w:rPr>
          <w:rFonts w:hint="eastAsia" w:cs="宋体"/>
          <w:bCs/>
          <w:lang w:bidi="ar"/>
        </w:rPr>
        <w:t>类水质标准，石油类参考执行《生活饮用水卫生标准》（</w:t>
      </w:r>
      <w:r>
        <w:rPr>
          <w:bCs/>
          <w:lang w:bidi="ar"/>
        </w:rPr>
        <w:t>GB5749-2022</w:t>
      </w:r>
      <w:r>
        <w:rPr>
          <w:rFonts w:hint="eastAsia" w:cs="宋体"/>
          <w:bCs/>
          <w:lang w:bidi="ar"/>
        </w:rPr>
        <w:t>）附录</w:t>
      </w:r>
      <w:r>
        <w:rPr>
          <w:bCs/>
          <w:lang w:bidi="ar"/>
        </w:rPr>
        <w:t>A</w:t>
      </w:r>
      <w:r>
        <w:rPr>
          <w:rFonts w:hint="eastAsia" w:cs="宋体"/>
          <w:bCs/>
          <w:lang w:bidi="ar"/>
        </w:rPr>
        <w:t>要求。具体见下表。</w:t>
      </w:r>
    </w:p>
    <w:p w14:paraId="0D957F3C">
      <w:pPr>
        <w:pStyle w:val="7"/>
      </w:pPr>
      <w:r>
        <w:rPr>
          <w:rFonts w:hint="eastAsia"/>
        </w:rPr>
        <w:t>《地下水质量标准》（</w:t>
      </w:r>
      <w:r>
        <w:t>GB/T14848-2017</w:t>
      </w:r>
      <w:r>
        <w:rPr>
          <w:rFonts w:hint="eastAsia"/>
        </w:rPr>
        <w:t>）</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38"/>
        <w:gridCol w:w="4617"/>
        <w:gridCol w:w="2622"/>
      </w:tblGrid>
      <w:tr w14:paraId="33A107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1038" w:type="dxa"/>
            <w:tcBorders>
              <w:top w:val="single" w:color="auto" w:sz="12" w:space="0"/>
              <w:left w:val="single" w:color="auto" w:sz="12" w:space="0"/>
              <w:bottom w:val="single" w:color="auto" w:sz="6" w:space="0"/>
              <w:right w:val="single" w:color="auto" w:sz="6" w:space="0"/>
            </w:tcBorders>
            <w:vAlign w:val="center"/>
          </w:tcPr>
          <w:p w14:paraId="3B3ED0AD">
            <w:pPr>
              <w:pStyle w:val="34"/>
            </w:pPr>
            <w:r>
              <w:rPr>
                <w:rFonts w:hint="eastAsia"/>
                <w:lang w:bidi="ar"/>
              </w:rPr>
              <w:t>序号</w:t>
            </w:r>
          </w:p>
        </w:tc>
        <w:tc>
          <w:tcPr>
            <w:tcW w:w="4617" w:type="dxa"/>
            <w:tcBorders>
              <w:top w:val="single" w:color="auto" w:sz="12" w:space="0"/>
              <w:left w:val="single" w:color="auto" w:sz="6" w:space="0"/>
              <w:bottom w:val="single" w:color="auto" w:sz="6" w:space="0"/>
              <w:right w:val="single" w:color="auto" w:sz="6" w:space="0"/>
            </w:tcBorders>
            <w:vAlign w:val="center"/>
          </w:tcPr>
          <w:p w14:paraId="73D8594E">
            <w:pPr>
              <w:pStyle w:val="34"/>
            </w:pPr>
            <w:r>
              <w:rPr>
                <w:rFonts w:hint="eastAsia"/>
                <w:lang w:bidi="ar"/>
              </w:rPr>
              <w:t>项目</w:t>
            </w:r>
          </w:p>
        </w:tc>
        <w:tc>
          <w:tcPr>
            <w:tcW w:w="2622" w:type="dxa"/>
            <w:tcBorders>
              <w:top w:val="single" w:color="auto" w:sz="12" w:space="0"/>
              <w:left w:val="single" w:color="auto" w:sz="6" w:space="0"/>
              <w:bottom w:val="single" w:color="auto" w:sz="6" w:space="0"/>
              <w:right w:val="single" w:color="auto" w:sz="12" w:space="0"/>
            </w:tcBorders>
            <w:vAlign w:val="center"/>
          </w:tcPr>
          <w:p w14:paraId="4DE70B15">
            <w:pPr>
              <w:pStyle w:val="34"/>
            </w:pPr>
            <w:r>
              <w:rPr>
                <w:lang w:bidi="ar"/>
              </w:rPr>
              <w:t>Ⅲ</w:t>
            </w:r>
            <w:r>
              <w:rPr>
                <w:rFonts w:hint="eastAsia"/>
                <w:lang w:bidi="ar"/>
              </w:rPr>
              <w:t>类标准</w:t>
            </w:r>
          </w:p>
        </w:tc>
      </w:tr>
      <w:tr w14:paraId="66499C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43A24401">
            <w:pPr>
              <w:pStyle w:val="34"/>
            </w:pPr>
            <w:r>
              <w:rPr>
                <w:lang w:bidi="ar"/>
              </w:rPr>
              <w:t>1</w:t>
            </w:r>
          </w:p>
        </w:tc>
        <w:tc>
          <w:tcPr>
            <w:tcW w:w="4617" w:type="dxa"/>
            <w:tcBorders>
              <w:top w:val="single" w:color="auto" w:sz="6" w:space="0"/>
              <w:left w:val="single" w:color="auto" w:sz="6" w:space="0"/>
              <w:bottom w:val="single" w:color="auto" w:sz="6" w:space="0"/>
              <w:right w:val="single" w:color="auto" w:sz="6" w:space="0"/>
            </w:tcBorders>
            <w:vAlign w:val="center"/>
          </w:tcPr>
          <w:p w14:paraId="4317C031">
            <w:pPr>
              <w:pStyle w:val="34"/>
            </w:pPr>
            <w:r>
              <w:rPr>
                <w:lang w:bidi="ar"/>
              </w:rPr>
              <w:t>pH</w:t>
            </w:r>
            <w:r>
              <w:rPr>
                <w:rFonts w:hint="eastAsia"/>
                <w:lang w:bidi="ar"/>
              </w:rPr>
              <w:t>值</w:t>
            </w:r>
          </w:p>
        </w:tc>
        <w:tc>
          <w:tcPr>
            <w:tcW w:w="2622" w:type="dxa"/>
            <w:tcBorders>
              <w:top w:val="single" w:color="auto" w:sz="6" w:space="0"/>
              <w:left w:val="single" w:color="auto" w:sz="6" w:space="0"/>
              <w:bottom w:val="single" w:color="auto" w:sz="6" w:space="0"/>
              <w:right w:val="single" w:color="auto" w:sz="12" w:space="0"/>
            </w:tcBorders>
            <w:vAlign w:val="center"/>
          </w:tcPr>
          <w:p w14:paraId="0134EBE0">
            <w:pPr>
              <w:pStyle w:val="34"/>
            </w:pPr>
            <w:r>
              <w:rPr>
                <w:lang w:bidi="ar"/>
              </w:rPr>
              <w:t>6.5</w:t>
            </w:r>
            <w:r>
              <w:rPr>
                <w:rFonts w:hint="eastAsia"/>
                <w:lang w:bidi="ar"/>
              </w:rPr>
              <w:t>～</w:t>
            </w:r>
            <w:r>
              <w:rPr>
                <w:lang w:bidi="ar"/>
              </w:rPr>
              <w:t>8.5</w:t>
            </w:r>
          </w:p>
        </w:tc>
      </w:tr>
      <w:tr w14:paraId="5F9F43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30FA8110">
            <w:pPr>
              <w:pStyle w:val="34"/>
            </w:pPr>
            <w:r>
              <w:rPr>
                <w:lang w:bidi="ar"/>
              </w:rPr>
              <w:t>2</w:t>
            </w:r>
          </w:p>
        </w:tc>
        <w:tc>
          <w:tcPr>
            <w:tcW w:w="4617" w:type="dxa"/>
            <w:tcBorders>
              <w:top w:val="single" w:color="auto" w:sz="6" w:space="0"/>
              <w:left w:val="single" w:color="auto" w:sz="6" w:space="0"/>
              <w:bottom w:val="single" w:color="auto" w:sz="6" w:space="0"/>
              <w:right w:val="single" w:color="auto" w:sz="6" w:space="0"/>
            </w:tcBorders>
            <w:vAlign w:val="center"/>
          </w:tcPr>
          <w:p w14:paraId="1535FFA8">
            <w:pPr>
              <w:pStyle w:val="34"/>
            </w:pPr>
            <w:r>
              <w:rPr>
                <w:rFonts w:hint="eastAsia"/>
                <w:lang w:bidi="ar"/>
              </w:rPr>
              <w:t>总硬度（以</w:t>
            </w:r>
            <w:r>
              <w:rPr>
                <w:lang w:bidi="ar"/>
              </w:rPr>
              <w:t>CaCO</w:t>
            </w:r>
            <w:r>
              <w:rPr>
                <w:vertAlign w:val="subscript"/>
                <w:lang w:bidi="ar"/>
              </w:rPr>
              <w:t>3</w:t>
            </w:r>
            <w:r>
              <w:rPr>
                <w:rFonts w:hint="eastAsia"/>
                <w:lang w:bidi="ar"/>
              </w:rPr>
              <w:t>计）（</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539D9663">
            <w:pPr>
              <w:pStyle w:val="34"/>
            </w:pPr>
            <w:r>
              <w:rPr>
                <w:lang w:bidi="ar"/>
              </w:rPr>
              <w:t>450</w:t>
            </w:r>
          </w:p>
        </w:tc>
      </w:tr>
      <w:tr w14:paraId="1BC808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7BE60463">
            <w:pPr>
              <w:pStyle w:val="34"/>
            </w:pPr>
            <w:r>
              <w:rPr>
                <w:lang w:bidi="ar"/>
              </w:rPr>
              <w:t>3</w:t>
            </w:r>
          </w:p>
        </w:tc>
        <w:tc>
          <w:tcPr>
            <w:tcW w:w="4617" w:type="dxa"/>
            <w:tcBorders>
              <w:top w:val="single" w:color="auto" w:sz="6" w:space="0"/>
              <w:left w:val="single" w:color="auto" w:sz="6" w:space="0"/>
              <w:bottom w:val="single" w:color="auto" w:sz="6" w:space="0"/>
              <w:right w:val="single" w:color="auto" w:sz="6" w:space="0"/>
            </w:tcBorders>
            <w:vAlign w:val="center"/>
          </w:tcPr>
          <w:p w14:paraId="4243503D">
            <w:pPr>
              <w:pStyle w:val="34"/>
            </w:pPr>
            <w:r>
              <w:rPr>
                <w:rFonts w:hint="eastAsia"/>
                <w:lang w:bidi="ar"/>
              </w:rPr>
              <w:t>溶解性总固体（</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2B69FAD2">
            <w:pPr>
              <w:pStyle w:val="34"/>
            </w:pPr>
            <w:r>
              <w:rPr>
                <w:lang w:bidi="ar"/>
              </w:rPr>
              <w:t>1000</w:t>
            </w:r>
          </w:p>
        </w:tc>
      </w:tr>
      <w:tr w14:paraId="0E9002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6405A6DD">
            <w:pPr>
              <w:pStyle w:val="34"/>
            </w:pPr>
            <w:r>
              <w:rPr>
                <w:lang w:bidi="ar"/>
              </w:rPr>
              <w:t>4</w:t>
            </w:r>
          </w:p>
        </w:tc>
        <w:tc>
          <w:tcPr>
            <w:tcW w:w="4617" w:type="dxa"/>
            <w:tcBorders>
              <w:top w:val="single" w:color="auto" w:sz="6" w:space="0"/>
              <w:left w:val="single" w:color="auto" w:sz="6" w:space="0"/>
              <w:bottom w:val="single" w:color="auto" w:sz="6" w:space="0"/>
              <w:right w:val="single" w:color="auto" w:sz="6" w:space="0"/>
            </w:tcBorders>
            <w:vAlign w:val="center"/>
          </w:tcPr>
          <w:p w14:paraId="47DF4DB1">
            <w:pPr>
              <w:pStyle w:val="34"/>
            </w:pPr>
            <w:r>
              <w:rPr>
                <w:rFonts w:hint="eastAsia"/>
                <w:lang w:bidi="ar"/>
              </w:rPr>
              <w:t>耗氧量（</w:t>
            </w:r>
            <w:r>
              <w:rPr>
                <w:lang w:bidi="ar"/>
              </w:rPr>
              <w:t>CODMn</w:t>
            </w:r>
            <w:r>
              <w:rPr>
                <w:rFonts w:hint="eastAsia"/>
                <w:lang w:bidi="ar"/>
              </w:rPr>
              <w:t>法，以</w:t>
            </w:r>
            <w:r>
              <w:rPr>
                <w:lang w:bidi="ar"/>
              </w:rPr>
              <w:t>O</w:t>
            </w:r>
            <w:r>
              <w:rPr>
                <w:vertAlign w:val="subscript"/>
                <w:lang w:bidi="ar"/>
              </w:rPr>
              <w:t>2</w:t>
            </w:r>
            <w:r>
              <w:rPr>
                <w:rFonts w:hint="eastAsia"/>
                <w:lang w:bidi="ar"/>
              </w:rPr>
              <w:t>计）（</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5CB45E3C">
            <w:pPr>
              <w:pStyle w:val="34"/>
            </w:pPr>
            <w:r>
              <w:rPr>
                <w:lang w:bidi="ar"/>
              </w:rPr>
              <w:t>3.0</w:t>
            </w:r>
          </w:p>
        </w:tc>
      </w:tr>
      <w:tr w14:paraId="176AB0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45CE3EB4">
            <w:pPr>
              <w:pStyle w:val="34"/>
            </w:pPr>
            <w:r>
              <w:rPr>
                <w:lang w:bidi="ar"/>
              </w:rPr>
              <w:t>5</w:t>
            </w:r>
          </w:p>
        </w:tc>
        <w:tc>
          <w:tcPr>
            <w:tcW w:w="4617" w:type="dxa"/>
            <w:tcBorders>
              <w:top w:val="single" w:color="auto" w:sz="6" w:space="0"/>
              <w:left w:val="single" w:color="auto" w:sz="6" w:space="0"/>
              <w:bottom w:val="single" w:color="auto" w:sz="6" w:space="0"/>
              <w:right w:val="single" w:color="auto" w:sz="6" w:space="0"/>
            </w:tcBorders>
            <w:vAlign w:val="center"/>
          </w:tcPr>
          <w:p w14:paraId="14486718">
            <w:pPr>
              <w:pStyle w:val="34"/>
            </w:pPr>
            <w:r>
              <w:rPr>
                <w:rFonts w:hint="eastAsia"/>
                <w:lang w:bidi="ar"/>
              </w:rPr>
              <w:t>氨氮（</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38A7C62E">
            <w:pPr>
              <w:pStyle w:val="34"/>
            </w:pPr>
            <w:r>
              <w:rPr>
                <w:lang w:bidi="ar"/>
              </w:rPr>
              <w:t>0.50</w:t>
            </w:r>
          </w:p>
        </w:tc>
      </w:tr>
      <w:tr w14:paraId="41098B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73140743">
            <w:pPr>
              <w:pStyle w:val="34"/>
            </w:pPr>
            <w:r>
              <w:rPr>
                <w:lang w:bidi="ar"/>
              </w:rPr>
              <w:t>6</w:t>
            </w:r>
          </w:p>
        </w:tc>
        <w:tc>
          <w:tcPr>
            <w:tcW w:w="4617" w:type="dxa"/>
            <w:tcBorders>
              <w:top w:val="single" w:color="auto" w:sz="6" w:space="0"/>
              <w:left w:val="single" w:color="auto" w:sz="6" w:space="0"/>
              <w:bottom w:val="single" w:color="auto" w:sz="6" w:space="0"/>
              <w:right w:val="single" w:color="auto" w:sz="6" w:space="0"/>
            </w:tcBorders>
            <w:vAlign w:val="center"/>
          </w:tcPr>
          <w:p w14:paraId="62678821">
            <w:pPr>
              <w:pStyle w:val="34"/>
            </w:pPr>
            <w:r>
              <w:rPr>
                <w:rFonts w:hint="eastAsia"/>
                <w:lang w:bidi="ar"/>
              </w:rPr>
              <w:t>亚硝酸盐氮（以</w:t>
            </w:r>
            <w:r>
              <w:rPr>
                <w:lang w:bidi="ar"/>
              </w:rPr>
              <w:t>N</w:t>
            </w:r>
            <w:r>
              <w:rPr>
                <w:rFonts w:hint="eastAsia"/>
                <w:lang w:bidi="ar"/>
              </w:rPr>
              <w:t>计）（</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38DE3E51">
            <w:pPr>
              <w:pStyle w:val="34"/>
            </w:pPr>
            <w:r>
              <w:rPr>
                <w:lang w:bidi="ar"/>
              </w:rPr>
              <w:t>1.00</w:t>
            </w:r>
          </w:p>
        </w:tc>
      </w:tr>
      <w:tr w14:paraId="572637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263CAB06">
            <w:pPr>
              <w:pStyle w:val="34"/>
            </w:pPr>
            <w:r>
              <w:rPr>
                <w:lang w:bidi="ar"/>
              </w:rPr>
              <w:t>7</w:t>
            </w:r>
          </w:p>
        </w:tc>
        <w:tc>
          <w:tcPr>
            <w:tcW w:w="4617" w:type="dxa"/>
            <w:tcBorders>
              <w:top w:val="single" w:color="auto" w:sz="6" w:space="0"/>
              <w:left w:val="single" w:color="auto" w:sz="6" w:space="0"/>
              <w:bottom w:val="single" w:color="auto" w:sz="6" w:space="0"/>
              <w:right w:val="single" w:color="auto" w:sz="6" w:space="0"/>
            </w:tcBorders>
            <w:vAlign w:val="center"/>
          </w:tcPr>
          <w:p w14:paraId="0079BB22">
            <w:pPr>
              <w:pStyle w:val="34"/>
            </w:pPr>
            <w:r>
              <w:rPr>
                <w:rFonts w:hint="eastAsia"/>
                <w:lang w:bidi="ar"/>
              </w:rPr>
              <w:t>硝酸盐氮（以</w:t>
            </w:r>
            <w:r>
              <w:rPr>
                <w:lang w:bidi="ar"/>
              </w:rPr>
              <w:t>N</w:t>
            </w:r>
            <w:r>
              <w:rPr>
                <w:rFonts w:hint="eastAsia"/>
                <w:lang w:bidi="ar"/>
              </w:rPr>
              <w:t>计）（</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590CB26F">
            <w:pPr>
              <w:pStyle w:val="34"/>
            </w:pPr>
            <w:r>
              <w:rPr>
                <w:lang w:bidi="ar"/>
              </w:rPr>
              <w:t>20.0</w:t>
            </w:r>
          </w:p>
        </w:tc>
      </w:tr>
      <w:tr w14:paraId="435224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701F7909">
            <w:pPr>
              <w:pStyle w:val="34"/>
            </w:pPr>
            <w:r>
              <w:rPr>
                <w:lang w:bidi="ar"/>
              </w:rPr>
              <w:t>8</w:t>
            </w:r>
          </w:p>
        </w:tc>
        <w:tc>
          <w:tcPr>
            <w:tcW w:w="4617" w:type="dxa"/>
            <w:tcBorders>
              <w:top w:val="single" w:color="auto" w:sz="6" w:space="0"/>
              <w:left w:val="single" w:color="auto" w:sz="6" w:space="0"/>
              <w:bottom w:val="single" w:color="auto" w:sz="6" w:space="0"/>
              <w:right w:val="single" w:color="auto" w:sz="6" w:space="0"/>
            </w:tcBorders>
            <w:vAlign w:val="center"/>
          </w:tcPr>
          <w:p w14:paraId="02733740">
            <w:pPr>
              <w:pStyle w:val="34"/>
            </w:pPr>
            <w:r>
              <w:rPr>
                <w:rFonts w:hint="eastAsia"/>
                <w:lang w:bidi="ar"/>
              </w:rPr>
              <w:t>总大肠菌群</w:t>
            </w:r>
            <w:r>
              <w:rPr>
                <w:lang w:bidi="ar"/>
              </w:rPr>
              <w:t>/</w:t>
            </w:r>
            <w:r>
              <w:rPr>
                <w:rFonts w:hint="eastAsia"/>
                <w:lang w:bidi="ar"/>
              </w:rPr>
              <w:t>（</w:t>
            </w:r>
            <w:r>
              <w:rPr>
                <w:lang w:bidi="ar"/>
              </w:rPr>
              <w:t>MPNb/100ml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191B31CC">
            <w:pPr>
              <w:pStyle w:val="34"/>
            </w:pPr>
            <w:r>
              <w:rPr>
                <w:lang w:bidi="ar"/>
              </w:rPr>
              <w:t>3.0</w:t>
            </w:r>
          </w:p>
        </w:tc>
      </w:tr>
      <w:tr w14:paraId="7B7EC3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4154AE00">
            <w:pPr>
              <w:pStyle w:val="34"/>
            </w:pPr>
            <w:r>
              <w:rPr>
                <w:lang w:bidi="ar"/>
              </w:rPr>
              <w:t>9</w:t>
            </w:r>
          </w:p>
        </w:tc>
        <w:tc>
          <w:tcPr>
            <w:tcW w:w="4617" w:type="dxa"/>
            <w:tcBorders>
              <w:top w:val="single" w:color="auto" w:sz="6" w:space="0"/>
              <w:left w:val="single" w:color="auto" w:sz="6" w:space="0"/>
              <w:bottom w:val="single" w:color="auto" w:sz="6" w:space="0"/>
              <w:right w:val="single" w:color="auto" w:sz="6" w:space="0"/>
            </w:tcBorders>
            <w:vAlign w:val="center"/>
          </w:tcPr>
          <w:p w14:paraId="68A40A98">
            <w:pPr>
              <w:pStyle w:val="34"/>
            </w:pPr>
            <w:r>
              <w:rPr>
                <w:rFonts w:hint="eastAsia"/>
                <w:lang w:bidi="ar"/>
              </w:rPr>
              <w:t>菌落总数</w:t>
            </w:r>
            <w:r>
              <w:rPr>
                <w:lang w:bidi="ar"/>
              </w:rPr>
              <w:t>/</w:t>
            </w:r>
            <w:r>
              <w:rPr>
                <w:rFonts w:hint="eastAsia"/>
                <w:lang w:bidi="ar"/>
              </w:rPr>
              <w:t>（</w:t>
            </w:r>
            <w:r>
              <w:rPr>
                <w:lang w:bidi="ar"/>
              </w:rPr>
              <w:t>CFU/ml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83745D4">
            <w:pPr>
              <w:pStyle w:val="34"/>
            </w:pPr>
            <w:r>
              <w:rPr>
                <w:lang w:bidi="ar"/>
              </w:rPr>
              <w:t>100</w:t>
            </w:r>
          </w:p>
        </w:tc>
      </w:tr>
      <w:tr w14:paraId="095073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491894AE">
            <w:pPr>
              <w:pStyle w:val="34"/>
            </w:pPr>
            <w:r>
              <w:rPr>
                <w:lang w:bidi="ar"/>
              </w:rPr>
              <w:t>10</w:t>
            </w:r>
          </w:p>
        </w:tc>
        <w:tc>
          <w:tcPr>
            <w:tcW w:w="4617" w:type="dxa"/>
            <w:tcBorders>
              <w:top w:val="single" w:color="auto" w:sz="6" w:space="0"/>
              <w:left w:val="single" w:color="auto" w:sz="6" w:space="0"/>
              <w:bottom w:val="single" w:color="auto" w:sz="6" w:space="0"/>
              <w:right w:val="single" w:color="auto" w:sz="6" w:space="0"/>
            </w:tcBorders>
            <w:vAlign w:val="center"/>
          </w:tcPr>
          <w:p w14:paraId="4F0CBA57">
            <w:pPr>
              <w:pStyle w:val="34"/>
            </w:pPr>
            <w:r>
              <w:rPr>
                <w:rFonts w:hint="eastAsia"/>
                <w:lang w:bidi="ar"/>
              </w:rPr>
              <w:t>氯化物（</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3655815C">
            <w:pPr>
              <w:pStyle w:val="34"/>
            </w:pPr>
            <w:r>
              <w:rPr>
                <w:lang w:bidi="ar"/>
              </w:rPr>
              <w:t>250</w:t>
            </w:r>
          </w:p>
        </w:tc>
      </w:tr>
      <w:tr w14:paraId="29BBD5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6E6CB1FF">
            <w:pPr>
              <w:pStyle w:val="34"/>
            </w:pPr>
            <w:r>
              <w:rPr>
                <w:lang w:bidi="ar"/>
              </w:rPr>
              <w:t>11</w:t>
            </w:r>
          </w:p>
        </w:tc>
        <w:tc>
          <w:tcPr>
            <w:tcW w:w="4617" w:type="dxa"/>
            <w:tcBorders>
              <w:top w:val="single" w:color="auto" w:sz="6" w:space="0"/>
              <w:left w:val="single" w:color="auto" w:sz="6" w:space="0"/>
              <w:bottom w:val="single" w:color="auto" w:sz="6" w:space="0"/>
              <w:right w:val="single" w:color="auto" w:sz="6" w:space="0"/>
            </w:tcBorders>
            <w:vAlign w:val="center"/>
          </w:tcPr>
          <w:p w14:paraId="5AF56711">
            <w:pPr>
              <w:pStyle w:val="34"/>
            </w:pPr>
            <w:r>
              <w:rPr>
                <w:rFonts w:hint="eastAsia"/>
                <w:lang w:bidi="ar"/>
              </w:rPr>
              <w:t>硫酸盐（</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137FD284">
            <w:pPr>
              <w:pStyle w:val="34"/>
            </w:pPr>
            <w:r>
              <w:rPr>
                <w:lang w:bidi="ar"/>
              </w:rPr>
              <w:t>250</w:t>
            </w:r>
          </w:p>
        </w:tc>
      </w:tr>
      <w:tr w14:paraId="04E49F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25FBE2D4">
            <w:pPr>
              <w:pStyle w:val="34"/>
            </w:pPr>
            <w:r>
              <w:rPr>
                <w:lang w:bidi="ar"/>
              </w:rPr>
              <w:t>12</w:t>
            </w:r>
          </w:p>
        </w:tc>
        <w:tc>
          <w:tcPr>
            <w:tcW w:w="4617" w:type="dxa"/>
            <w:tcBorders>
              <w:top w:val="single" w:color="auto" w:sz="6" w:space="0"/>
              <w:left w:val="single" w:color="auto" w:sz="6" w:space="0"/>
              <w:bottom w:val="single" w:color="auto" w:sz="6" w:space="0"/>
              <w:right w:val="single" w:color="auto" w:sz="6" w:space="0"/>
            </w:tcBorders>
            <w:vAlign w:val="center"/>
          </w:tcPr>
          <w:p w14:paraId="4B39B4BC">
            <w:pPr>
              <w:pStyle w:val="34"/>
            </w:pPr>
            <w:r>
              <w:rPr>
                <w:rFonts w:hint="eastAsia"/>
                <w:lang w:bidi="ar"/>
              </w:rPr>
              <w:t>挥发酚（</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FD76257">
            <w:pPr>
              <w:pStyle w:val="34"/>
            </w:pPr>
            <w:r>
              <w:rPr>
                <w:lang w:bidi="ar"/>
              </w:rPr>
              <w:t>0.002</w:t>
            </w:r>
          </w:p>
        </w:tc>
      </w:tr>
      <w:tr w14:paraId="0D925D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51D4B4E0">
            <w:pPr>
              <w:pStyle w:val="34"/>
            </w:pPr>
            <w:r>
              <w:rPr>
                <w:lang w:bidi="ar"/>
              </w:rPr>
              <w:t>13</w:t>
            </w:r>
          </w:p>
        </w:tc>
        <w:tc>
          <w:tcPr>
            <w:tcW w:w="4617" w:type="dxa"/>
            <w:tcBorders>
              <w:top w:val="single" w:color="auto" w:sz="6" w:space="0"/>
              <w:left w:val="single" w:color="auto" w:sz="6" w:space="0"/>
              <w:bottom w:val="single" w:color="auto" w:sz="6" w:space="0"/>
              <w:right w:val="single" w:color="auto" w:sz="6" w:space="0"/>
            </w:tcBorders>
            <w:vAlign w:val="center"/>
          </w:tcPr>
          <w:p w14:paraId="682BD0EF">
            <w:pPr>
              <w:pStyle w:val="34"/>
            </w:pPr>
            <w:r>
              <w:rPr>
                <w:rFonts w:hint="eastAsia"/>
                <w:lang w:bidi="ar"/>
              </w:rPr>
              <w:t>氰化物（</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3FB5FAD">
            <w:pPr>
              <w:pStyle w:val="34"/>
            </w:pPr>
            <w:r>
              <w:rPr>
                <w:lang w:bidi="ar"/>
              </w:rPr>
              <w:t>0.05</w:t>
            </w:r>
          </w:p>
        </w:tc>
      </w:tr>
      <w:tr w14:paraId="7AE738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431B7457">
            <w:pPr>
              <w:pStyle w:val="34"/>
            </w:pPr>
            <w:r>
              <w:rPr>
                <w:lang w:bidi="ar"/>
              </w:rPr>
              <w:t>14</w:t>
            </w:r>
          </w:p>
        </w:tc>
        <w:tc>
          <w:tcPr>
            <w:tcW w:w="4617" w:type="dxa"/>
            <w:tcBorders>
              <w:top w:val="single" w:color="auto" w:sz="6" w:space="0"/>
              <w:left w:val="single" w:color="auto" w:sz="6" w:space="0"/>
              <w:bottom w:val="single" w:color="auto" w:sz="6" w:space="0"/>
              <w:right w:val="single" w:color="auto" w:sz="6" w:space="0"/>
            </w:tcBorders>
            <w:vAlign w:val="center"/>
          </w:tcPr>
          <w:p w14:paraId="0F4AF517">
            <w:pPr>
              <w:pStyle w:val="34"/>
            </w:pPr>
            <w:r>
              <w:rPr>
                <w:rFonts w:hint="eastAsia"/>
                <w:lang w:bidi="ar"/>
              </w:rPr>
              <w:t>氟化物（</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49A931C5">
            <w:pPr>
              <w:pStyle w:val="34"/>
            </w:pPr>
            <w:r>
              <w:rPr>
                <w:lang w:bidi="ar"/>
              </w:rPr>
              <w:t>1.0</w:t>
            </w:r>
          </w:p>
        </w:tc>
      </w:tr>
      <w:tr w14:paraId="79D7E6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1362AF27">
            <w:pPr>
              <w:pStyle w:val="34"/>
            </w:pPr>
            <w:r>
              <w:rPr>
                <w:lang w:bidi="ar"/>
              </w:rPr>
              <w:t>15</w:t>
            </w:r>
          </w:p>
        </w:tc>
        <w:tc>
          <w:tcPr>
            <w:tcW w:w="4617" w:type="dxa"/>
            <w:tcBorders>
              <w:top w:val="single" w:color="auto" w:sz="6" w:space="0"/>
              <w:left w:val="single" w:color="auto" w:sz="6" w:space="0"/>
              <w:bottom w:val="single" w:color="auto" w:sz="6" w:space="0"/>
              <w:right w:val="single" w:color="auto" w:sz="6" w:space="0"/>
            </w:tcBorders>
            <w:vAlign w:val="center"/>
          </w:tcPr>
          <w:p w14:paraId="4BE62370">
            <w:pPr>
              <w:pStyle w:val="34"/>
            </w:pPr>
            <w:r>
              <w:rPr>
                <w:rFonts w:hint="eastAsia"/>
                <w:lang w:bidi="ar"/>
              </w:rPr>
              <w:t>铁（</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56EA6956">
            <w:pPr>
              <w:pStyle w:val="34"/>
            </w:pPr>
            <w:r>
              <w:rPr>
                <w:lang w:bidi="ar"/>
              </w:rPr>
              <w:t>0.3</w:t>
            </w:r>
          </w:p>
        </w:tc>
      </w:tr>
      <w:tr w14:paraId="3B1B20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6AAFC9CC">
            <w:pPr>
              <w:pStyle w:val="34"/>
            </w:pPr>
            <w:r>
              <w:rPr>
                <w:lang w:bidi="ar"/>
              </w:rPr>
              <w:t>16</w:t>
            </w:r>
          </w:p>
        </w:tc>
        <w:tc>
          <w:tcPr>
            <w:tcW w:w="4617" w:type="dxa"/>
            <w:tcBorders>
              <w:top w:val="single" w:color="auto" w:sz="6" w:space="0"/>
              <w:left w:val="single" w:color="auto" w:sz="6" w:space="0"/>
              <w:bottom w:val="single" w:color="auto" w:sz="6" w:space="0"/>
              <w:right w:val="single" w:color="auto" w:sz="6" w:space="0"/>
            </w:tcBorders>
            <w:vAlign w:val="center"/>
          </w:tcPr>
          <w:p w14:paraId="74DD8E05">
            <w:pPr>
              <w:pStyle w:val="34"/>
            </w:pPr>
            <w:r>
              <w:rPr>
                <w:rFonts w:hint="eastAsia"/>
                <w:lang w:bidi="ar"/>
              </w:rPr>
              <w:t>锰（</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29E39C5">
            <w:pPr>
              <w:pStyle w:val="34"/>
            </w:pPr>
            <w:r>
              <w:rPr>
                <w:lang w:bidi="ar"/>
              </w:rPr>
              <w:t>0.10</w:t>
            </w:r>
          </w:p>
        </w:tc>
      </w:tr>
      <w:tr w14:paraId="6F78BA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1AB696D7">
            <w:pPr>
              <w:pStyle w:val="34"/>
            </w:pPr>
            <w:r>
              <w:rPr>
                <w:lang w:bidi="ar"/>
              </w:rPr>
              <w:t>17</w:t>
            </w:r>
          </w:p>
        </w:tc>
        <w:tc>
          <w:tcPr>
            <w:tcW w:w="4617" w:type="dxa"/>
            <w:tcBorders>
              <w:top w:val="single" w:color="auto" w:sz="6" w:space="0"/>
              <w:left w:val="single" w:color="auto" w:sz="6" w:space="0"/>
              <w:bottom w:val="single" w:color="auto" w:sz="6" w:space="0"/>
              <w:right w:val="single" w:color="auto" w:sz="6" w:space="0"/>
            </w:tcBorders>
            <w:vAlign w:val="center"/>
          </w:tcPr>
          <w:p w14:paraId="69C568E8">
            <w:pPr>
              <w:pStyle w:val="34"/>
            </w:pPr>
            <w:r>
              <w:rPr>
                <w:rFonts w:hint="eastAsia"/>
                <w:lang w:bidi="ar"/>
              </w:rPr>
              <w:t>铜（</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55566BF7">
            <w:pPr>
              <w:pStyle w:val="34"/>
            </w:pPr>
            <w:r>
              <w:rPr>
                <w:lang w:bidi="ar"/>
              </w:rPr>
              <w:t>1.00</w:t>
            </w:r>
          </w:p>
        </w:tc>
      </w:tr>
      <w:tr w14:paraId="16D810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05A4E1B0">
            <w:pPr>
              <w:pStyle w:val="34"/>
            </w:pPr>
            <w:r>
              <w:rPr>
                <w:lang w:bidi="ar"/>
              </w:rPr>
              <w:t>18</w:t>
            </w:r>
          </w:p>
        </w:tc>
        <w:tc>
          <w:tcPr>
            <w:tcW w:w="4617" w:type="dxa"/>
            <w:tcBorders>
              <w:top w:val="single" w:color="auto" w:sz="6" w:space="0"/>
              <w:left w:val="single" w:color="auto" w:sz="6" w:space="0"/>
              <w:bottom w:val="single" w:color="auto" w:sz="6" w:space="0"/>
              <w:right w:val="single" w:color="auto" w:sz="6" w:space="0"/>
            </w:tcBorders>
            <w:vAlign w:val="center"/>
          </w:tcPr>
          <w:p w14:paraId="2172E219">
            <w:pPr>
              <w:pStyle w:val="34"/>
            </w:pPr>
            <w:r>
              <w:rPr>
                <w:rFonts w:hint="eastAsia"/>
                <w:lang w:bidi="ar"/>
              </w:rPr>
              <w:t>锌（</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4F58A5A8">
            <w:pPr>
              <w:pStyle w:val="34"/>
            </w:pPr>
            <w:r>
              <w:rPr>
                <w:lang w:bidi="ar"/>
              </w:rPr>
              <w:t>1.00</w:t>
            </w:r>
          </w:p>
        </w:tc>
      </w:tr>
      <w:tr w14:paraId="6F9586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79F60D85">
            <w:pPr>
              <w:pStyle w:val="34"/>
            </w:pPr>
            <w:r>
              <w:rPr>
                <w:lang w:bidi="ar"/>
              </w:rPr>
              <w:t>19</w:t>
            </w:r>
          </w:p>
        </w:tc>
        <w:tc>
          <w:tcPr>
            <w:tcW w:w="4617" w:type="dxa"/>
            <w:tcBorders>
              <w:top w:val="single" w:color="auto" w:sz="6" w:space="0"/>
              <w:left w:val="single" w:color="auto" w:sz="6" w:space="0"/>
              <w:bottom w:val="single" w:color="auto" w:sz="6" w:space="0"/>
              <w:right w:val="single" w:color="auto" w:sz="6" w:space="0"/>
            </w:tcBorders>
            <w:vAlign w:val="center"/>
          </w:tcPr>
          <w:p w14:paraId="6F71A651">
            <w:pPr>
              <w:pStyle w:val="34"/>
            </w:pPr>
            <w:r>
              <w:rPr>
                <w:rFonts w:hint="eastAsia"/>
                <w:lang w:bidi="ar"/>
              </w:rPr>
              <w:t>砷（</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6066D21">
            <w:pPr>
              <w:pStyle w:val="34"/>
            </w:pPr>
            <w:r>
              <w:rPr>
                <w:lang w:bidi="ar"/>
              </w:rPr>
              <w:t>0.01</w:t>
            </w:r>
          </w:p>
        </w:tc>
      </w:tr>
      <w:tr w14:paraId="796F46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5668AFCA">
            <w:pPr>
              <w:pStyle w:val="34"/>
            </w:pPr>
            <w:r>
              <w:rPr>
                <w:lang w:bidi="ar"/>
              </w:rPr>
              <w:t>20</w:t>
            </w:r>
          </w:p>
        </w:tc>
        <w:tc>
          <w:tcPr>
            <w:tcW w:w="4617" w:type="dxa"/>
            <w:tcBorders>
              <w:top w:val="single" w:color="auto" w:sz="6" w:space="0"/>
              <w:left w:val="single" w:color="auto" w:sz="6" w:space="0"/>
              <w:bottom w:val="single" w:color="auto" w:sz="6" w:space="0"/>
              <w:right w:val="single" w:color="auto" w:sz="6" w:space="0"/>
            </w:tcBorders>
            <w:vAlign w:val="center"/>
          </w:tcPr>
          <w:p w14:paraId="092CB96B">
            <w:pPr>
              <w:pStyle w:val="34"/>
            </w:pPr>
            <w:r>
              <w:rPr>
                <w:rFonts w:hint="eastAsia"/>
                <w:lang w:bidi="ar"/>
              </w:rPr>
              <w:t>汞（</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13D1F9F7">
            <w:pPr>
              <w:pStyle w:val="34"/>
            </w:pPr>
            <w:r>
              <w:rPr>
                <w:lang w:bidi="ar"/>
              </w:rPr>
              <w:t>0.001</w:t>
            </w:r>
          </w:p>
        </w:tc>
      </w:tr>
      <w:tr w14:paraId="0D63CE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3CE2522E">
            <w:pPr>
              <w:pStyle w:val="34"/>
            </w:pPr>
            <w:r>
              <w:rPr>
                <w:lang w:bidi="ar"/>
              </w:rPr>
              <w:t>21</w:t>
            </w:r>
          </w:p>
        </w:tc>
        <w:tc>
          <w:tcPr>
            <w:tcW w:w="4617" w:type="dxa"/>
            <w:tcBorders>
              <w:top w:val="single" w:color="auto" w:sz="6" w:space="0"/>
              <w:left w:val="single" w:color="auto" w:sz="6" w:space="0"/>
              <w:bottom w:val="single" w:color="auto" w:sz="6" w:space="0"/>
              <w:right w:val="single" w:color="auto" w:sz="6" w:space="0"/>
            </w:tcBorders>
            <w:vAlign w:val="center"/>
          </w:tcPr>
          <w:p w14:paraId="517781A8">
            <w:pPr>
              <w:pStyle w:val="34"/>
            </w:pPr>
            <w:r>
              <w:rPr>
                <w:rFonts w:hint="eastAsia"/>
                <w:lang w:bidi="ar"/>
              </w:rPr>
              <w:t>铬（六价）（</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0B5E6CA">
            <w:pPr>
              <w:pStyle w:val="34"/>
            </w:pPr>
            <w:r>
              <w:rPr>
                <w:lang w:bidi="ar"/>
              </w:rPr>
              <w:t>0.05</w:t>
            </w:r>
          </w:p>
        </w:tc>
      </w:tr>
      <w:tr w14:paraId="548A30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48FB3BC6">
            <w:pPr>
              <w:pStyle w:val="34"/>
            </w:pPr>
            <w:r>
              <w:rPr>
                <w:lang w:bidi="ar"/>
              </w:rPr>
              <w:t>22</w:t>
            </w:r>
          </w:p>
        </w:tc>
        <w:tc>
          <w:tcPr>
            <w:tcW w:w="4617" w:type="dxa"/>
            <w:tcBorders>
              <w:top w:val="single" w:color="auto" w:sz="6" w:space="0"/>
              <w:left w:val="single" w:color="auto" w:sz="6" w:space="0"/>
              <w:bottom w:val="single" w:color="auto" w:sz="6" w:space="0"/>
              <w:right w:val="single" w:color="auto" w:sz="6" w:space="0"/>
            </w:tcBorders>
            <w:vAlign w:val="center"/>
          </w:tcPr>
          <w:p w14:paraId="6930FEBB">
            <w:pPr>
              <w:pStyle w:val="34"/>
            </w:pPr>
            <w:r>
              <w:rPr>
                <w:rFonts w:hint="eastAsia"/>
                <w:lang w:bidi="ar"/>
              </w:rPr>
              <w:t>铅（</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17A94A0A">
            <w:pPr>
              <w:pStyle w:val="34"/>
            </w:pPr>
            <w:r>
              <w:rPr>
                <w:lang w:bidi="ar"/>
              </w:rPr>
              <w:t>0.01</w:t>
            </w:r>
          </w:p>
        </w:tc>
      </w:tr>
      <w:tr w14:paraId="509BD4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5460966A">
            <w:pPr>
              <w:pStyle w:val="34"/>
            </w:pPr>
            <w:r>
              <w:rPr>
                <w:lang w:bidi="ar"/>
              </w:rPr>
              <w:t>23</w:t>
            </w:r>
          </w:p>
        </w:tc>
        <w:tc>
          <w:tcPr>
            <w:tcW w:w="4617" w:type="dxa"/>
            <w:tcBorders>
              <w:top w:val="single" w:color="auto" w:sz="6" w:space="0"/>
              <w:left w:val="single" w:color="auto" w:sz="6" w:space="0"/>
              <w:bottom w:val="single" w:color="auto" w:sz="6" w:space="0"/>
              <w:right w:val="single" w:color="auto" w:sz="6" w:space="0"/>
            </w:tcBorders>
            <w:vAlign w:val="center"/>
          </w:tcPr>
          <w:p w14:paraId="18774A9C">
            <w:pPr>
              <w:pStyle w:val="34"/>
            </w:pPr>
            <w:r>
              <w:rPr>
                <w:rFonts w:hint="eastAsia"/>
                <w:lang w:bidi="ar"/>
              </w:rPr>
              <w:t>镉（</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3375FDF1">
            <w:pPr>
              <w:pStyle w:val="34"/>
            </w:pPr>
            <w:r>
              <w:rPr>
                <w:lang w:bidi="ar"/>
              </w:rPr>
              <w:t>0.005</w:t>
            </w:r>
          </w:p>
        </w:tc>
      </w:tr>
      <w:tr w14:paraId="7FB3EC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0521E358">
            <w:pPr>
              <w:pStyle w:val="34"/>
            </w:pPr>
            <w:r>
              <w:rPr>
                <w:lang w:bidi="ar"/>
              </w:rPr>
              <w:t>24</w:t>
            </w:r>
          </w:p>
        </w:tc>
        <w:tc>
          <w:tcPr>
            <w:tcW w:w="4617" w:type="dxa"/>
            <w:tcBorders>
              <w:top w:val="single" w:color="auto" w:sz="6" w:space="0"/>
              <w:left w:val="single" w:color="auto" w:sz="6" w:space="0"/>
              <w:bottom w:val="single" w:color="auto" w:sz="6" w:space="0"/>
              <w:right w:val="single" w:color="auto" w:sz="6" w:space="0"/>
            </w:tcBorders>
            <w:vAlign w:val="center"/>
          </w:tcPr>
          <w:p w14:paraId="001B4F6F">
            <w:pPr>
              <w:pStyle w:val="34"/>
            </w:pPr>
            <w:r>
              <w:rPr>
                <w:lang w:bidi="ar"/>
              </w:rPr>
              <w:t>K+</w:t>
            </w:r>
          </w:p>
        </w:tc>
        <w:tc>
          <w:tcPr>
            <w:tcW w:w="2622" w:type="dxa"/>
            <w:tcBorders>
              <w:top w:val="single" w:color="auto" w:sz="6" w:space="0"/>
              <w:left w:val="single" w:color="auto" w:sz="6" w:space="0"/>
              <w:bottom w:val="single" w:color="auto" w:sz="6" w:space="0"/>
              <w:right w:val="single" w:color="auto" w:sz="12" w:space="0"/>
            </w:tcBorders>
            <w:vAlign w:val="center"/>
          </w:tcPr>
          <w:p w14:paraId="32C30C19">
            <w:pPr>
              <w:pStyle w:val="34"/>
            </w:pPr>
            <w:r>
              <w:rPr>
                <w:lang w:bidi="ar"/>
              </w:rPr>
              <w:t>/</w:t>
            </w:r>
          </w:p>
        </w:tc>
      </w:tr>
      <w:tr w14:paraId="77CDB7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34831068">
            <w:pPr>
              <w:pStyle w:val="34"/>
            </w:pPr>
            <w:r>
              <w:rPr>
                <w:lang w:bidi="ar"/>
              </w:rPr>
              <w:t>25</w:t>
            </w:r>
          </w:p>
        </w:tc>
        <w:tc>
          <w:tcPr>
            <w:tcW w:w="4617" w:type="dxa"/>
            <w:tcBorders>
              <w:top w:val="single" w:color="auto" w:sz="6" w:space="0"/>
              <w:left w:val="single" w:color="auto" w:sz="6" w:space="0"/>
              <w:bottom w:val="single" w:color="auto" w:sz="6" w:space="0"/>
              <w:right w:val="single" w:color="auto" w:sz="6" w:space="0"/>
            </w:tcBorders>
            <w:vAlign w:val="center"/>
          </w:tcPr>
          <w:p w14:paraId="23193FC6">
            <w:pPr>
              <w:pStyle w:val="34"/>
            </w:pPr>
            <w:r>
              <w:rPr>
                <w:lang w:bidi="ar"/>
              </w:rPr>
              <w:t>Na+</w:t>
            </w:r>
          </w:p>
        </w:tc>
        <w:tc>
          <w:tcPr>
            <w:tcW w:w="2622" w:type="dxa"/>
            <w:tcBorders>
              <w:top w:val="single" w:color="auto" w:sz="6" w:space="0"/>
              <w:left w:val="single" w:color="auto" w:sz="6" w:space="0"/>
              <w:bottom w:val="single" w:color="auto" w:sz="6" w:space="0"/>
              <w:right w:val="single" w:color="auto" w:sz="12" w:space="0"/>
            </w:tcBorders>
            <w:vAlign w:val="center"/>
          </w:tcPr>
          <w:p w14:paraId="1AB0482D">
            <w:pPr>
              <w:pStyle w:val="34"/>
            </w:pPr>
            <w:r>
              <w:rPr>
                <w:lang w:bidi="ar"/>
              </w:rPr>
              <w:t>/</w:t>
            </w:r>
          </w:p>
        </w:tc>
      </w:tr>
      <w:tr w14:paraId="314CC2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2A05521D">
            <w:pPr>
              <w:pStyle w:val="34"/>
            </w:pPr>
            <w:r>
              <w:rPr>
                <w:lang w:bidi="ar"/>
              </w:rPr>
              <w:t>26</w:t>
            </w:r>
          </w:p>
        </w:tc>
        <w:tc>
          <w:tcPr>
            <w:tcW w:w="4617" w:type="dxa"/>
            <w:tcBorders>
              <w:top w:val="single" w:color="auto" w:sz="6" w:space="0"/>
              <w:left w:val="single" w:color="auto" w:sz="6" w:space="0"/>
              <w:bottom w:val="single" w:color="auto" w:sz="6" w:space="0"/>
              <w:right w:val="single" w:color="auto" w:sz="6" w:space="0"/>
            </w:tcBorders>
            <w:vAlign w:val="center"/>
          </w:tcPr>
          <w:p w14:paraId="292BE765">
            <w:pPr>
              <w:pStyle w:val="34"/>
            </w:pPr>
            <w:r>
              <w:rPr>
                <w:lang w:bidi="ar"/>
              </w:rPr>
              <w:t>Ca</w:t>
            </w:r>
            <w:r>
              <w:rPr>
                <w:vertAlign w:val="superscript"/>
                <w:lang w:bidi="ar"/>
              </w:rPr>
              <w:t>2</w:t>
            </w:r>
            <w:r>
              <w:rPr>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1458E4C3">
            <w:pPr>
              <w:pStyle w:val="34"/>
            </w:pPr>
            <w:r>
              <w:rPr>
                <w:lang w:bidi="ar"/>
              </w:rPr>
              <w:t>/</w:t>
            </w:r>
          </w:p>
        </w:tc>
      </w:tr>
      <w:tr w14:paraId="6D5A82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68DC70B3">
            <w:pPr>
              <w:pStyle w:val="34"/>
            </w:pPr>
            <w:r>
              <w:rPr>
                <w:lang w:bidi="ar"/>
              </w:rPr>
              <w:t>27</w:t>
            </w:r>
          </w:p>
        </w:tc>
        <w:tc>
          <w:tcPr>
            <w:tcW w:w="4617" w:type="dxa"/>
            <w:tcBorders>
              <w:top w:val="single" w:color="auto" w:sz="6" w:space="0"/>
              <w:left w:val="single" w:color="auto" w:sz="6" w:space="0"/>
              <w:bottom w:val="single" w:color="auto" w:sz="6" w:space="0"/>
              <w:right w:val="single" w:color="auto" w:sz="6" w:space="0"/>
            </w:tcBorders>
            <w:vAlign w:val="center"/>
          </w:tcPr>
          <w:p w14:paraId="6BDC69C0">
            <w:pPr>
              <w:pStyle w:val="34"/>
            </w:pPr>
            <w:r>
              <w:rPr>
                <w:lang w:bidi="ar"/>
              </w:rPr>
              <w:t>Mg</w:t>
            </w:r>
            <w:r>
              <w:rPr>
                <w:vertAlign w:val="superscript"/>
                <w:lang w:bidi="ar"/>
              </w:rPr>
              <w:t>2</w:t>
            </w:r>
            <w:r>
              <w:rPr>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01D1EC15">
            <w:pPr>
              <w:pStyle w:val="34"/>
            </w:pPr>
            <w:r>
              <w:rPr>
                <w:lang w:bidi="ar"/>
              </w:rPr>
              <w:t>/</w:t>
            </w:r>
          </w:p>
        </w:tc>
      </w:tr>
      <w:tr w14:paraId="530CA9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444E1E8E">
            <w:pPr>
              <w:pStyle w:val="34"/>
            </w:pPr>
            <w:r>
              <w:rPr>
                <w:lang w:bidi="ar"/>
              </w:rPr>
              <w:t>28</w:t>
            </w:r>
          </w:p>
        </w:tc>
        <w:tc>
          <w:tcPr>
            <w:tcW w:w="4617" w:type="dxa"/>
            <w:tcBorders>
              <w:top w:val="single" w:color="auto" w:sz="6" w:space="0"/>
              <w:left w:val="single" w:color="auto" w:sz="6" w:space="0"/>
              <w:bottom w:val="single" w:color="auto" w:sz="6" w:space="0"/>
              <w:right w:val="single" w:color="auto" w:sz="6" w:space="0"/>
            </w:tcBorders>
            <w:vAlign w:val="center"/>
          </w:tcPr>
          <w:p w14:paraId="03F71045">
            <w:pPr>
              <w:pStyle w:val="34"/>
            </w:pPr>
            <w:r>
              <w:rPr>
                <w:lang w:bidi="ar"/>
              </w:rPr>
              <w:t>CO</w:t>
            </w:r>
            <w:r>
              <w:rPr>
                <w:vertAlign w:val="subscript"/>
                <w:lang w:bidi="ar"/>
              </w:rPr>
              <w:t>3</w:t>
            </w:r>
            <w:r>
              <w:rPr>
                <w:vertAlign w:val="superscript"/>
                <w:lang w:bidi="ar"/>
              </w:rPr>
              <w:t>2-</w:t>
            </w:r>
          </w:p>
        </w:tc>
        <w:tc>
          <w:tcPr>
            <w:tcW w:w="2622" w:type="dxa"/>
            <w:tcBorders>
              <w:top w:val="single" w:color="auto" w:sz="6" w:space="0"/>
              <w:left w:val="single" w:color="auto" w:sz="6" w:space="0"/>
              <w:bottom w:val="single" w:color="auto" w:sz="6" w:space="0"/>
              <w:right w:val="single" w:color="auto" w:sz="12" w:space="0"/>
            </w:tcBorders>
            <w:vAlign w:val="center"/>
          </w:tcPr>
          <w:p w14:paraId="3837E303">
            <w:pPr>
              <w:pStyle w:val="34"/>
            </w:pPr>
            <w:r>
              <w:rPr>
                <w:lang w:bidi="ar"/>
              </w:rPr>
              <w:t>/</w:t>
            </w:r>
          </w:p>
        </w:tc>
      </w:tr>
      <w:tr w14:paraId="382CE4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27D180A8">
            <w:pPr>
              <w:pStyle w:val="34"/>
            </w:pPr>
            <w:r>
              <w:rPr>
                <w:lang w:bidi="ar"/>
              </w:rPr>
              <w:t>29</w:t>
            </w:r>
          </w:p>
        </w:tc>
        <w:tc>
          <w:tcPr>
            <w:tcW w:w="4617" w:type="dxa"/>
            <w:tcBorders>
              <w:top w:val="single" w:color="auto" w:sz="6" w:space="0"/>
              <w:left w:val="single" w:color="auto" w:sz="6" w:space="0"/>
              <w:bottom w:val="single" w:color="auto" w:sz="6" w:space="0"/>
              <w:right w:val="single" w:color="auto" w:sz="6" w:space="0"/>
            </w:tcBorders>
            <w:vAlign w:val="center"/>
          </w:tcPr>
          <w:p w14:paraId="2B417F3B">
            <w:pPr>
              <w:pStyle w:val="34"/>
            </w:pPr>
            <w:r>
              <w:rPr>
                <w:lang w:bidi="ar"/>
              </w:rPr>
              <w:t>HCO</w:t>
            </w:r>
            <w:r>
              <w:rPr>
                <w:vertAlign w:val="subscript"/>
                <w:lang w:bidi="ar"/>
              </w:rPr>
              <w:t>3</w:t>
            </w:r>
            <w:r>
              <w:rPr>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0ABAB7E1">
            <w:pPr>
              <w:pStyle w:val="34"/>
            </w:pPr>
            <w:r>
              <w:rPr>
                <w:lang w:bidi="ar"/>
              </w:rPr>
              <w:t>/</w:t>
            </w:r>
          </w:p>
        </w:tc>
      </w:tr>
      <w:tr w14:paraId="5E64D4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2D382146">
            <w:pPr>
              <w:pStyle w:val="34"/>
            </w:pPr>
            <w:r>
              <w:rPr>
                <w:lang w:bidi="ar"/>
              </w:rPr>
              <w:t>30</w:t>
            </w:r>
          </w:p>
        </w:tc>
        <w:tc>
          <w:tcPr>
            <w:tcW w:w="4617" w:type="dxa"/>
            <w:tcBorders>
              <w:top w:val="single" w:color="auto" w:sz="6" w:space="0"/>
              <w:left w:val="single" w:color="auto" w:sz="6" w:space="0"/>
              <w:bottom w:val="single" w:color="auto" w:sz="6" w:space="0"/>
              <w:right w:val="single" w:color="auto" w:sz="6" w:space="0"/>
            </w:tcBorders>
            <w:vAlign w:val="center"/>
          </w:tcPr>
          <w:p w14:paraId="5D61541E">
            <w:pPr>
              <w:pStyle w:val="34"/>
            </w:pPr>
            <w:r>
              <w:rPr>
                <w:rFonts w:hint="eastAsia"/>
                <w:lang w:bidi="ar"/>
              </w:rPr>
              <w:t>石油类（</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9E4ECFE">
            <w:pPr>
              <w:pStyle w:val="34"/>
            </w:pPr>
            <w:r>
              <w:rPr>
                <w:lang w:bidi="ar"/>
              </w:rPr>
              <w:t>0.05</w:t>
            </w:r>
          </w:p>
        </w:tc>
      </w:tr>
      <w:tr w14:paraId="2FC822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5D30289E">
            <w:pPr>
              <w:pStyle w:val="34"/>
            </w:pPr>
            <w:r>
              <w:rPr>
                <w:lang w:bidi="ar"/>
              </w:rPr>
              <w:t>31</w:t>
            </w:r>
          </w:p>
        </w:tc>
        <w:tc>
          <w:tcPr>
            <w:tcW w:w="4617" w:type="dxa"/>
            <w:tcBorders>
              <w:top w:val="single" w:color="auto" w:sz="6" w:space="0"/>
              <w:left w:val="single" w:color="auto" w:sz="6" w:space="0"/>
              <w:bottom w:val="single" w:color="auto" w:sz="6" w:space="0"/>
              <w:right w:val="single" w:color="auto" w:sz="6" w:space="0"/>
            </w:tcBorders>
            <w:vAlign w:val="center"/>
          </w:tcPr>
          <w:p w14:paraId="1B930F2A">
            <w:pPr>
              <w:pStyle w:val="34"/>
            </w:pPr>
            <w:r>
              <w:rPr>
                <w:rFonts w:hint="eastAsia"/>
                <w:lang w:bidi="ar"/>
              </w:rPr>
              <w:t>三氯甲烷（</w:t>
            </w:r>
            <w:r>
              <w:rPr>
                <w:lang w:bidi="ar"/>
              </w:rPr>
              <w:t>μg/L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3B988F5">
            <w:pPr>
              <w:pStyle w:val="34"/>
            </w:pPr>
            <w:r>
              <w:rPr>
                <w:lang w:bidi="ar"/>
              </w:rPr>
              <w:t>60</w:t>
            </w:r>
          </w:p>
        </w:tc>
      </w:tr>
      <w:tr w14:paraId="652D55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2BEEDF97">
            <w:pPr>
              <w:pStyle w:val="34"/>
            </w:pPr>
            <w:r>
              <w:rPr>
                <w:lang w:bidi="ar"/>
              </w:rPr>
              <w:t>32</w:t>
            </w:r>
          </w:p>
        </w:tc>
        <w:tc>
          <w:tcPr>
            <w:tcW w:w="4617" w:type="dxa"/>
            <w:tcBorders>
              <w:top w:val="single" w:color="auto" w:sz="6" w:space="0"/>
              <w:left w:val="single" w:color="auto" w:sz="6" w:space="0"/>
              <w:bottom w:val="single" w:color="auto" w:sz="6" w:space="0"/>
              <w:right w:val="single" w:color="auto" w:sz="6" w:space="0"/>
            </w:tcBorders>
            <w:vAlign w:val="center"/>
          </w:tcPr>
          <w:p w14:paraId="06047322">
            <w:pPr>
              <w:pStyle w:val="34"/>
            </w:pPr>
            <w:r>
              <w:rPr>
                <w:rFonts w:hint="eastAsia"/>
                <w:lang w:bidi="ar"/>
              </w:rPr>
              <w:t>四氯化碳（</w:t>
            </w:r>
            <w:r>
              <w:rPr>
                <w:lang w:bidi="ar"/>
              </w:rPr>
              <w:t>μg/L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3C19991">
            <w:pPr>
              <w:pStyle w:val="34"/>
            </w:pPr>
            <w:r>
              <w:rPr>
                <w:lang w:bidi="ar"/>
              </w:rPr>
              <w:t>2.0</w:t>
            </w:r>
          </w:p>
        </w:tc>
      </w:tr>
      <w:tr w14:paraId="437018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1724937D">
            <w:pPr>
              <w:pStyle w:val="34"/>
            </w:pPr>
            <w:r>
              <w:rPr>
                <w:lang w:bidi="ar"/>
              </w:rPr>
              <w:t>33</w:t>
            </w:r>
          </w:p>
        </w:tc>
        <w:tc>
          <w:tcPr>
            <w:tcW w:w="4617" w:type="dxa"/>
            <w:tcBorders>
              <w:top w:val="single" w:color="auto" w:sz="6" w:space="0"/>
              <w:left w:val="single" w:color="auto" w:sz="6" w:space="0"/>
              <w:bottom w:val="single" w:color="auto" w:sz="6" w:space="0"/>
              <w:right w:val="single" w:color="auto" w:sz="6" w:space="0"/>
            </w:tcBorders>
            <w:vAlign w:val="center"/>
          </w:tcPr>
          <w:p w14:paraId="713AEBFD">
            <w:pPr>
              <w:pStyle w:val="34"/>
            </w:pPr>
            <w:r>
              <w:rPr>
                <w:rFonts w:hint="eastAsia"/>
                <w:lang w:bidi="ar"/>
              </w:rPr>
              <w:t>苯（</w:t>
            </w:r>
            <w:r>
              <w:rPr>
                <w:lang w:bidi="ar"/>
              </w:rPr>
              <w:t>μg/L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C7C30FB">
            <w:pPr>
              <w:pStyle w:val="34"/>
            </w:pPr>
            <w:r>
              <w:rPr>
                <w:lang w:bidi="ar"/>
              </w:rPr>
              <w:t>10.0</w:t>
            </w:r>
          </w:p>
        </w:tc>
      </w:tr>
      <w:tr w14:paraId="6A1FF0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12" w:space="0"/>
              <w:right w:val="single" w:color="auto" w:sz="6" w:space="0"/>
            </w:tcBorders>
            <w:vAlign w:val="center"/>
          </w:tcPr>
          <w:p w14:paraId="3E790CCC">
            <w:pPr>
              <w:pStyle w:val="34"/>
            </w:pPr>
            <w:r>
              <w:rPr>
                <w:lang w:bidi="ar"/>
              </w:rPr>
              <w:t>34</w:t>
            </w:r>
          </w:p>
        </w:tc>
        <w:tc>
          <w:tcPr>
            <w:tcW w:w="4617" w:type="dxa"/>
            <w:tcBorders>
              <w:top w:val="single" w:color="auto" w:sz="6" w:space="0"/>
              <w:left w:val="single" w:color="auto" w:sz="6" w:space="0"/>
              <w:bottom w:val="single" w:color="auto" w:sz="12" w:space="0"/>
              <w:right w:val="single" w:color="auto" w:sz="6" w:space="0"/>
            </w:tcBorders>
            <w:vAlign w:val="center"/>
          </w:tcPr>
          <w:p w14:paraId="44ECB9A3">
            <w:pPr>
              <w:pStyle w:val="34"/>
            </w:pPr>
            <w:r>
              <w:rPr>
                <w:rFonts w:hint="eastAsia"/>
                <w:lang w:bidi="ar"/>
              </w:rPr>
              <w:t>甲苯（</w:t>
            </w:r>
            <w:r>
              <w:rPr>
                <w:lang w:bidi="ar"/>
              </w:rPr>
              <w:t>μg/L</w:t>
            </w:r>
            <w:r>
              <w:rPr>
                <w:rFonts w:hint="eastAsia"/>
                <w:lang w:bidi="ar"/>
              </w:rPr>
              <w:t>）</w:t>
            </w:r>
          </w:p>
        </w:tc>
        <w:tc>
          <w:tcPr>
            <w:tcW w:w="2622" w:type="dxa"/>
            <w:tcBorders>
              <w:top w:val="single" w:color="auto" w:sz="6" w:space="0"/>
              <w:left w:val="single" w:color="auto" w:sz="6" w:space="0"/>
              <w:bottom w:val="single" w:color="auto" w:sz="12" w:space="0"/>
              <w:right w:val="single" w:color="auto" w:sz="12" w:space="0"/>
            </w:tcBorders>
            <w:vAlign w:val="center"/>
          </w:tcPr>
          <w:p w14:paraId="489A7FA6">
            <w:pPr>
              <w:pStyle w:val="34"/>
            </w:pPr>
            <w:r>
              <w:rPr>
                <w:lang w:bidi="ar"/>
              </w:rPr>
              <w:t>700</w:t>
            </w:r>
          </w:p>
        </w:tc>
      </w:tr>
    </w:tbl>
    <w:p w14:paraId="6B19B312">
      <w:pPr>
        <w:pStyle w:val="6"/>
      </w:pPr>
      <w:r>
        <w:t>固体废物</w:t>
      </w:r>
    </w:p>
    <w:p w14:paraId="53F7BC5D">
      <w:pPr>
        <w:ind w:firstLine="462"/>
      </w:pPr>
      <w:r>
        <w:rPr>
          <w:rFonts w:hint="eastAsia"/>
          <w:u w:val="single"/>
        </w:rPr>
        <w:t>一般工业固体废物贮存、处置按照《中华人民共和国固体废物污染环境防治法（2020年修订）》要求</w:t>
      </w:r>
      <w:r>
        <w:rPr>
          <w:rFonts w:hint="eastAsia"/>
        </w:rPr>
        <w:t>；危险废物执行《危险废物贮存污染控制标准》（GB18597-2023）。船舶垃圾执行《船舶水污染物排放控制标准》（GB3552-2018）中的相应标准。</w:t>
      </w:r>
    </w:p>
    <w:p w14:paraId="62021B51">
      <w:pPr>
        <w:pStyle w:val="4"/>
      </w:pPr>
      <w:bookmarkStart w:id="133" w:name="_Toc217977906"/>
      <w:bookmarkStart w:id="134" w:name="_Toc198042310"/>
      <w:r>
        <w:t>环境影响因素识别和评价因子筛选</w:t>
      </w:r>
      <w:bookmarkEnd w:id="133"/>
      <w:bookmarkEnd w:id="134"/>
    </w:p>
    <w:p w14:paraId="05DEE2F9">
      <w:pPr>
        <w:pStyle w:val="5"/>
      </w:pPr>
      <w:r>
        <w:t>环境影响因素识别</w:t>
      </w:r>
    </w:p>
    <w:p w14:paraId="52B61730">
      <w:pPr>
        <w:ind w:firstLine="462"/>
      </w:pPr>
      <w:r>
        <w:t>根据工程特点及初步分析，工程施工期主要是对</w:t>
      </w:r>
      <w:r>
        <w:rPr>
          <w:rFonts w:hint="eastAsia"/>
        </w:rPr>
        <w:t>海洋</w:t>
      </w:r>
      <w:r>
        <w:t>环境产生不利影响，运营期主要是对海洋</w:t>
      </w:r>
      <w:r>
        <w:rPr>
          <w:rFonts w:hint="eastAsia"/>
        </w:rPr>
        <w:t>、空气等</w:t>
      </w:r>
      <w:r>
        <w:t>环境风险。具体见表1.</w:t>
      </w:r>
      <w:r>
        <w:rPr>
          <w:rFonts w:hint="eastAsia"/>
        </w:rPr>
        <w:t>4</w:t>
      </w:r>
      <w:r>
        <w:t>-1。</w:t>
      </w:r>
    </w:p>
    <w:p w14:paraId="2EA47723">
      <w:pPr>
        <w:pStyle w:val="7"/>
      </w:pPr>
      <w:r>
        <w:t>环境影响矩阵分析</w:t>
      </w:r>
    </w:p>
    <w:tbl>
      <w:tblPr>
        <w:tblStyle w:val="88"/>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518"/>
        <w:gridCol w:w="1433"/>
        <w:gridCol w:w="507"/>
        <w:gridCol w:w="505"/>
        <w:gridCol w:w="508"/>
        <w:gridCol w:w="505"/>
        <w:gridCol w:w="505"/>
        <w:gridCol w:w="508"/>
        <w:gridCol w:w="505"/>
        <w:gridCol w:w="505"/>
        <w:gridCol w:w="508"/>
        <w:gridCol w:w="505"/>
        <w:gridCol w:w="505"/>
        <w:gridCol w:w="508"/>
        <w:gridCol w:w="503"/>
      </w:tblGrid>
      <w:tr w14:paraId="3E24D9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blHeader/>
        </w:trPr>
        <w:tc>
          <w:tcPr>
            <w:tcW w:w="1144" w:type="pct"/>
            <w:gridSpan w:val="2"/>
            <w:tcBorders>
              <w:top w:val="single" w:color="auto" w:sz="12" w:space="0"/>
              <w:left w:val="single" w:color="auto" w:sz="12" w:space="0"/>
              <w:bottom w:val="single" w:color="auto" w:sz="4" w:space="0"/>
              <w:right w:val="single" w:color="auto" w:sz="4" w:space="0"/>
              <w:tl2br w:val="single" w:color="000000" w:sz="4" w:space="0"/>
            </w:tcBorders>
          </w:tcPr>
          <w:p w14:paraId="767B465D">
            <w:pPr>
              <w:pStyle w:val="34"/>
            </w:pPr>
            <w:r>
              <w:t>环境要素</w:t>
            </w:r>
          </w:p>
          <w:p w14:paraId="72475704">
            <w:pPr>
              <w:pStyle w:val="34"/>
            </w:pPr>
          </w:p>
          <w:p w14:paraId="35E230C3">
            <w:pPr>
              <w:pStyle w:val="34"/>
            </w:pPr>
          </w:p>
          <w:p w14:paraId="41756981">
            <w:pPr>
              <w:pStyle w:val="34"/>
            </w:pPr>
            <w:r>
              <w:t>项目类别</w:t>
            </w:r>
          </w:p>
        </w:tc>
        <w:tc>
          <w:tcPr>
            <w:tcW w:w="297" w:type="pct"/>
            <w:tcBorders>
              <w:top w:val="single" w:color="auto" w:sz="12" w:space="0"/>
              <w:left w:val="single" w:color="auto" w:sz="4" w:space="0"/>
              <w:bottom w:val="single" w:color="auto" w:sz="4" w:space="0"/>
              <w:right w:val="single" w:color="auto" w:sz="4" w:space="0"/>
            </w:tcBorders>
            <w:vAlign w:val="center"/>
          </w:tcPr>
          <w:p w14:paraId="505D4A56">
            <w:pPr>
              <w:pStyle w:val="34"/>
            </w:pPr>
            <w:r>
              <w:t>海洋水文</w:t>
            </w:r>
          </w:p>
        </w:tc>
        <w:tc>
          <w:tcPr>
            <w:tcW w:w="296" w:type="pct"/>
            <w:tcBorders>
              <w:top w:val="single" w:color="auto" w:sz="12" w:space="0"/>
              <w:left w:val="single" w:color="auto" w:sz="4" w:space="0"/>
              <w:bottom w:val="single" w:color="auto" w:sz="4" w:space="0"/>
              <w:right w:val="single" w:color="auto" w:sz="4" w:space="0"/>
            </w:tcBorders>
            <w:vAlign w:val="center"/>
          </w:tcPr>
          <w:p w14:paraId="25F9A23B">
            <w:pPr>
              <w:pStyle w:val="34"/>
            </w:pPr>
            <w:r>
              <w:t>岸线变化</w:t>
            </w:r>
          </w:p>
        </w:tc>
        <w:tc>
          <w:tcPr>
            <w:tcW w:w="298" w:type="pct"/>
            <w:tcBorders>
              <w:top w:val="single" w:color="auto" w:sz="12" w:space="0"/>
              <w:left w:val="single" w:color="auto" w:sz="4" w:space="0"/>
              <w:bottom w:val="single" w:color="auto" w:sz="4" w:space="0"/>
              <w:right w:val="single" w:color="auto" w:sz="4" w:space="0"/>
            </w:tcBorders>
            <w:vAlign w:val="center"/>
          </w:tcPr>
          <w:p w14:paraId="74D174DE">
            <w:pPr>
              <w:pStyle w:val="34"/>
            </w:pPr>
            <w:r>
              <w:t>海水水质</w:t>
            </w:r>
          </w:p>
        </w:tc>
        <w:tc>
          <w:tcPr>
            <w:tcW w:w="296" w:type="pct"/>
            <w:tcBorders>
              <w:top w:val="single" w:color="auto" w:sz="12" w:space="0"/>
              <w:left w:val="single" w:color="auto" w:sz="4" w:space="0"/>
              <w:bottom w:val="single" w:color="auto" w:sz="4" w:space="0"/>
              <w:right w:val="single" w:color="auto" w:sz="4" w:space="0"/>
            </w:tcBorders>
            <w:vAlign w:val="center"/>
          </w:tcPr>
          <w:p w14:paraId="227D54C6">
            <w:pPr>
              <w:pStyle w:val="34"/>
            </w:pPr>
            <w:r>
              <w:t>空气质量</w:t>
            </w:r>
          </w:p>
        </w:tc>
        <w:tc>
          <w:tcPr>
            <w:tcW w:w="296" w:type="pct"/>
            <w:tcBorders>
              <w:top w:val="single" w:color="auto" w:sz="12" w:space="0"/>
              <w:left w:val="single" w:color="auto" w:sz="4" w:space="0"/>
              <w:bottom w:val="single" w:color="auto" w:sz="4" w:space="0"/>
              <w:right w:val="single" w:color="auto" w:sz="4" w:space="0"/>
            </w:tcBorders>
            <w:vAlign w:val="center"/>
          </w:tcPr>
          <w:p w14:paraId="3D29E79A">
            <w:pPr>
              <w:pStyle w:val="34"/>
            </w:pPr>
            <w:r>
              <w:t>噪声</w:t>
            </w:r>
          </w:p>
        </w:tc>
        <w:tc>
          <w:tcPr>
            <w:tcW w:w="298" w:type="pct"/>
            <w:tcBorders>
              <w:top w:val="single" w:color="auto" w:sz="12" w:space="0"/>
              <w:left w:val="single" w:color="auto" w:sz="4" w:space="0"/>
              <w:bottom w:val="single" w:color="auto" w:sz="4" w:space="0"/>
              <w:right w:val="single" w:color="auto" w:sz="4" w:space="0"/>
            </w:tcBorders>
            <w:vAlign w:val="center"/>
          </w:tcPr>
          <w:p w14:paraId="0BA6D737">
            <w:pPr>
              <w:pStyle w:val="34"/>
            </w:pPr>
            <w:r>
              <w:t>海洋生态</w:t>
            </w:r>
          </w:p>
        </w:tc>
        <w:tc>
          <w:tcPr>
            <w:tcW w:w="296" w:type="pct"/>
            <w:tcBorders>
              <w:top w:val="single" w:color="auto" w:sz="12" w:space="0"/>
              <w:left w:val="single" w:color="auto" w:sz="4" w:space="0"/>
              <w:bottom w:val="single" w:color="auto" w:sz="4" w:space="0"/>
              <w:right w:val="single" w:color="auto" w:sz="4" w:space="0"/>
            </w:tcBorders>
            <w:vAlign w:val="center"/>
          </w:tcPr>
          <w:p w14:paraId="1A9B0B69">
            <w:pPr>
              <w:pStyle w:val="34"/>
            </w:pPr>
            <w:r>
              <w:t>陆域生态</w:t>
            </w:r>
          </w:p>
        </w:tc>
        <w:tc>
          <w:tcPr>
            <w:tcW w:w="296" w:type="pct"/>
            <w:tcBorders>
              <w:top w:val="single" w:color="auto" w:sz="12" w:space="0"/>
              <w:left w:val="single" w:color="auto" w:sz="4" w:space="0"/>
              <w:bottom w:val="single" w:color="auto" w:sz="4" w:space="0"/>
              <w:right w:val="single" w:color="auto" w:sz="4" w:space="0"/>
            </w:tcBorders>
            <w:vAlign w:val="center"/>
          </w:tcPr>
          <w:p w14:paraId="491177FC">
            <w:pPr>
              <w:pStyle w:val="34"/>
            </w:pPr>
            <w:r>
              <w:t>区域交通</w:t>
            </w:r>
          </w:p>
        </w:tc>
        <w:tc>
          <w:tcPr>
            <w:tcW w:w="298" w:type="pct"/>
            <w:tcBorders>
              <w:top w:val="single" w:color="auto" w:sz="12" w:space="0"/>
              <w:left w:val="single" w:color="auto" w:sz="4" w:space="0"/>
              <w:bottom w:val="single" w:color="auto" w:sz="4" w:space="0"/>
              <w:right w:val="single" w:color="auto" w:sz="4" w:space="0"/>
            </w:tcBorders>
            <w:vAlign w:val="center"/>
          </w:tcPr>
          <w:p w14:paraId="3E34EB45">
            <w:pPr>
              <w:pStyle w:val="34"/>
            </w:pPr>
            <w:r>
              <w:t>环境风险</w:t>
            </w:r>
          </w:p>
        </w:tc>
        <w:tc>
          <w:tcPr>
            <w:tcW w:w="296" w:type="pct"/>
            <w:tcBorders>
              <w:top w:val="single" w:color="auto" w:sz="12" w:space="0"/>
              <w:left w:val="single" w:color="auto" w:sz="4" w:space="0"/>
              <w:bottom w:val="single" w:color="auto" w:sz="4" w:space="0"/>
              <w:right w:val="single" w:color="auto" w:sz="4" w:space="0"/>
            </w:tcBorders>
            <w:vAlign w:val="center"/>
          </w:tcPr>
          <w:p w14:paraId="0F327F0D">
            <w:pPr>
              <w:pStyle w:val="34"/>
            </w:pPr>
            <w:r>
              <w:t>就业</w:t>
            </w:r>
          </w:p>
        </w:tc>
        <w:tc>
          <w:tcPr>
            <w:tcW w:w="296" w:type="pct"/>
            <w:tcBorders>
              <w:top w:val="single" w:color="auto" w:sz="12" w:space="0"/>
              <w:left w:val="single" w:color="auto" w:sz="4" w:space="0"/>
              <w:bottom w:val="single" w:color="auto" w:sz="4" w:space="0"/>
              <w:right w:val="single" w:color="auto" w:sz="4" w:space="0"/>
            </w:tcBorders>
            <w:vAlign w:val="center"/>
          </w:tcPr>
          <w:p w14:paraId="1F40C60E">
            <w:pPr>
              <w:pStyle w:val="34"/>
            </w:pPr>
            <w:r>
              <w:t>渔业生产</w:t>
            </w:r>
          </w:p>
        </w:tc>
        <w:tc>
          <w:tcPr>
            <w:tcW w:w="298" w:type="pct"/>
            <w:tcBorders>
              <w:top w:val="single" w:color="auto" w:sz="12" w:space="0"/>
              <w:left w:val="single" w:color="auto" w:sz="4" w:space="0"/>
              <w:bottom w:val="single" w:color="auto" w:sz="4" w:space="0"/>
              <w:right w:val="single" w:color="auto" w:sz="4" w:space="0"/>
            </w:tcBorders>
            <w:vAlign w:val="center"/>
          </w:tcPr>
          <w:p w14:paraId="12FAC0A2">
            <w:pPr>
              <w:pStyle w:val="34"/>
            </w:pPr>
            <w:r>
              <w:t>景观</w:t>
            </w:r>
          </w:p>
        </w:tc>
        <w:tc>
          <w:tcPr>
            <w:tcW w:w="295" w:type="pct"/>
            <w:tcBorders>
              <w:top w:val="single" w:color="auto" w:sz="12" w:space="0"/>
              <w:left w:val="single" w:color="auto" w:sz="4" w:space="0"/>
              <w:bottom w:val="single" w:color="auto" w:sz="4" w:space="0"/>
              <w:right w:val="single" w:color="auto" w:sz="12" w:space="0"/>
            </w:tcBorders>
            <w:vAlign w:val="center"/>
          </w:tcPr>
          <w:p w14:paraId="38BCCD82">
            <w:pPr>
              <w:pStyle w:val="34"/>
            </w:pPr>
            <w:r>
              <w:t>社会经济</w:t>
            </w:r>
          </w:p>
        </w:tc>
      </w:tr>
      <w:tr w14:paraId="3FB83F4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304" w:type="pct"/>
            <w:vMerge w:val="restart"/>
            <w:tcBorders>
              <w:top w:val="single" w:color="auto" w:sz="4" w:space="0"/>
              <w:left w:val="single" w:color="auto" w:sz="12" w:space="0"/>
              <w:right w:val="single" w:color="auto" w:sz="4" w:space="0"/>
            </w:tcBorders>
            <w:vAlign w:val="center"/>
          </w:tcPr>
          <w:p w14:paraId="26A8C0D7">
            <w:pPr>
              <w:pStyle w:val="34"/>
            </w:pPr>
            <w:r>
              <w:t>施工期</w:t>
            </w:r>
          </w:p>
        </w:tc>
        <w:tc>
          <w:tcPr>
            <w:tcW w:w="840" w:type="pct"/>
            <w:tcBorders>
              <w:top w:val="single" w:color="auto" w:sz="4" w:space="0"/>
              <w:left w:val="single" w:color="auto" w:sz="4" w:space="0"/>
              <w:bottom w:val="single" w:color="auto" w:sz="4" w:space="0"/>
              <w:right w:val="single" w:color="auto" w:sz="4" w:space="0"/>
            </w:tcBorders>
            <w:vAlign w:val="center"/>
          </w:tcPr>
          <w:p w14:paraId="32FAB326">
            <w:pPr>
              <w:pStyle w:val="34"/>
            </w:pPr>
            <w:r>
              <w:rPr>
                <w:rFonts w:hint="eastAsia"/>
              </w:rPr>
              <w:t>港池疏浚</w:t>
            </w:r>
          </w:p>
          <w:p w14:paraId="56B797BD">
            <w:pPr>
              <w:pStyle w:val="34"/>
            </w:pPr>
            <w:r>
              <w:rPr>
                <w:rFonts w:hint="eastAsia"/>
              </w:rPr>
              <w:t>（炸礁）</w:t>
            </w:r>
          </w:p>
        </w:tc>
        <w:tc>
          <w:tcPr>
            <w:tcW w:w="297" w:type="pct"/>
            <w:tcBorders>
              <w:top w:val="single" w:color="auto" w:sz="4" w:space="0"/>
              <w:left w:val="single" w:color="auto" w:sz="4" w:space="0"/>
              <w:bottom w:val="single" w:color="auto" w:sz="4" w:space="0"/>
              <w:right w:val="single" w:color="auto" w:sz="4" w:space="0"/>
            </w:tcBorders>
            <w:vAlign w:val="center"/>
          </w:tcPr>
          <w:p w14:paraId="5C450CD1">
            <w:pPr>
              <w:pStyle w:val="34"/>
            </w:pPr>
            <w:r>
              <w:t>●</w:t>
            </w:r>
          </w:p>
        </w:tc>
        <w:tc>
          <w:tcPr>
            <w:tcW w:w="296" w:type="pct"/>
            <w:tcBorders>
              <w:top w:val="single" w:color="auto" w:sz="4" w:space="0"/>
              <w:left w:val="single" w:color="auto" w:sz="4" w:space="0"/>
              <w:bottom w:val="single" w:color="auto" w:sz="4" w:space="0"/>
              <w:right w:val="single" w:color="auto" w:sz="4" w:space="0"/>
            </w:tcBorders>
            <w:vAlign w:val="center"/>
          </w:tcPr>
          <w:p w14:paraId="6009A1FD">
            <w:pPr>
              <w:pStyle w:val="34"/>
            </w:pPr>
            <w:r>
              <w:t>●</w:t>
            </w:r>
          </w:p>
        </w:tc>
        <w:tc>
          <w:tcPr>
            <w:tcW w:w="298" w:type="pct"/>
            <w:tcBorders>
              <w:top w:val="single" w:color="auto" w:sz="4" w:space="0"/>
              <w:left w:val="single" w:color="auto" w:sz="4" w:space="0"/>
              <w:bottom w:val="single" w:color="auto" w:sz="4" w:space="0"/>
              <w:right w:val="single" w:color="auto" w:sz="4" w:space="0"/>
            </w:tcBorders>
            <w:vAlign w:val="center"/>
          </w:tcPr>
          <w:p w14:paraId="6C984E9C">
            <w:pPr>
              <w:pStyle w:val="34"/>
            </w:pPr>
            <w:r>
              <w:t>■</w:t>
            </w:r>
          </w:p>
        </w:tc>
        <w:tc>
          <w:tcPr>
            <w:tcW w:w="296" w:type="pct"/>
            <w:tcBorders>
              <w:top w:val="single" w:color="auto" w:sz="4" w:space="0"/>
              <w:left w:val="single" w:color="auto" w:sz="4" w:space="0"/>
              <w:bottom w:val="single" w:color="auto" w:sz="4" w:space="0"/>
              <w:right w:val="single" w:color="auto" w:sz="4" w:space="0"/>
            </w:tcBorders>
            <w:vAlign w:val="center"/>
          </w:tcPr>
          <w:p w14:paraId="2A0C9F80">
            <w:pPr>
              <w:pStyle w:val="34"/>
            </w:pPr>
            <w:r>
              <w:t>●</w:t>
            </w:r>
          </w:p>
        </w:tc>
        <w:tc>
          <w:tcPr>
            <w:tcW w:w="296" w:type="pct"/>
            <w:tcBorders>
              <w:top w:val="single" w:color="auto" w:sz="4" w:space="0"/>
              <w:left w:val="single" w:color="auto" w:sz="4" w:space="0"/>
              <w:bottom w:val="single" w:color="auto" w:sz="4" w:space="0"/>
              <w:right w:val="single" w:color="auto" w:sz="4" w:space="0"/>
            </w:tcBorders>
            <w:vAlign w:val="center"/>
          </w:tcPr>
          <w:p w14:paraId="414FA979">
            <w:pPr>
              <w:pStyle w:val="34"/>
            </w:pPr>
            <w:r>
              <w:t>■</w:t>
            </w:r>
          </w:p>
        </w:tc>
        <w:tc>
          <w:tcPr>
            <w:tcW w:w="298" w:type="pct"/>
            <w:tcBorders>
              <w:top w:val="single" w:color="auto" w:sz="4" w:space="0"/>
              <w:left w:val="single" w:color="auto" w:sz="4" w:space="0"/>
              <w:bottom w:val="single" w:color="auto" w:sz="4" w:space="0"/>
              <w:right w:val="single" w:color="auto" w:sz="4" w:space="0"/>
            </w:tcBorders>
            <w:vAlign w:val="center"/>
          </w:tcPr>
          <w:p w14:paraId="282554BC">
            <w:pPr>
              <w:pStyle w:val="34"/>
            </w:pPr>
            <w:r>
              <w:t>■</w:t>
            </w:r>
          </w:p>
        </w:tc>
        <w:tc>
          <w:tcPr>
            <w:tcW w:w="296" w:type="pct"/>
            <w:tcBorders>
              <w:top w:val="single" w:color="auto" w:sz="4" w:space="0"/>
              <w:left w:val="single" w:color="auto" w:sz="4" w:space="0"/>
              <w:bottom w:val="single" w:color="auto" w:sz="4" w:space="0"/>
              <w:right w:val="single" w:color="auto" w:sz="4" w:space="0"/>
            </w:tcBorders>
            <w:vAlign w:val="center"/>
          </w:tcPr>
          <w:p w14:paraId="3B30789A">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4D8F90A6">
            <w:pPr>
              <w:pStyle w:val="34"/>
            </w:pPr>
          </w:p>
        </w:tc>
        <w:tc>
          <w:tcPr>
            <w:tcW w:w="298" w:type="pct"/>
            <w:tcBorders>
              <w:top w:val="single" w:color="auto" w:sz="4" w:space="0"/>
              <w:left w:val="single" w:color="auto" w:sz="4" w:space="0"/>
              <w:bottom w:val="single" w:color="auto" w:sz="4" w:space="0"/>
              <w:right w:val="single" w:color="auto" w:sz="4" w:space="0"/>
            </w:tcBorders>
            <w:vAlign w:val="center"/>
          </w:tcPr>
          <w:p w14:paraId="17AD0EF1">
            <w:pPr>
              <w:pStyle w:val="34"/>
            </w:pPr>
            <w:r>
              <w:t>■</w:t>
            </w:r>
          </w:p>
        </w:tc>
        <w:tc>
          <w:tcPr>
            <w:tcW w:w="296" w:type="pct"/>
            <w:tcBorders>
              <w:top w:val="single" w:color="auto" w:sz="4" w:space="0"/>
              <w:left w:val="single" w:color="auto" w:sz="4" w:space="0"/>
              <w:bottom w:val="single" w:color="auto" w:sz="4" w:space="0"/>
              <w:right w:val="single" w:color="auto" w:sz="4" w:space="0"/>
            </w:tcBorders>
            <w:vAlign w:val="center"/>
          </w:tcPr>
          <w:p w14:paraId="6522F6D6">
            <w:pPr>
              <w:pStyle w:val="34"/>
            </w:pPr>
            <w:r>
              <w:t>○</w:t>
            </w:r>
          </w:p>
        </w:tc>
        <w:tc>
          <w:tcPr>
            <w:tcW w:w="296" w:type="pct"/>
            <w:tcBorders>
              <w:top w:val="single" w:color="auto" w:sz="4" w:space="0"/>
              <w:left w:val="single" w:color="auto" w:sz="4" w:space="0"/>
              <w:bottom w:val="single" w:color="auto" w:sz="4" w:space="0"/>
              <w:right w:val="single" w:color="auto" w:sz="4" w:space="0"/>
            </w:tcBorders>
            <w:vAlign w:val="center"/>
          </w:tcPr>
          <w:p w14:paraId="09644DEE">
            <w:pPr>
              <w:pStyle w:val="34"/>
            </w:pPr>
            <w:r>
              <w:t>●</w:t>
            </w:r>
          </w:p>
        </w:tc>
        <w:tc>
          <w:tcPr>
            <w:tcW w:w="298" w:type="pct"/>
            <w:tcBorders>
              <w:top w:val="single" w:color="auto" w:sz="4" w:space="0"/>
              <w:left w:val="single" w:color="auto" w:sz="4" w:space="0"/>
              <w:bottom w:val="single" w:color="auto" w:sz="4" w:space="0"/>
              <w:right w:val="single" w:color="auto" w:sz="4" w:space="0"/>
            </w:tcBorders>
            <w:vAlign w:val="center"/>
          </w:tcPr>
          <w:p w14:paraId="680E634C">
            <w:pPr>
              <w:pStyle w:val="34"/>
            </w:pPr>
            <w:r>
              <w:t>●</w:t>
            </w:r>
          </w:p>
        </w:tc>
        <w:tc>
          <w:tcPr>
            <w:tcW w:w="295" w:type="pct"/>
            <w:tcBorders>
              <w:top w:val="single" w:color="auto" w:sz="4" w:space="0"/>
              <w:left w:val="single" w:color="auto" w:sz="4" w:space="0"/>
              <w:bottom w:val="single" w:color="auto" w:sz="4" w:space="0"/>
              <w:right w:val="single" w:color="auto" w:sz="12" w:space="0"/>
            </w:tcBorders>
            <w:vAlign w:val="center"/>
          </w:tcPr>
          <w:p w14:paraId="0B045186">
            <w:pPr>
              <w:pStyle w:val="34"/>
            </w:pPr>
            <w:r>
              <w:t>○</w:t>
            </w:r>
          </w:p>
        </w:tc>
      </w:tr>
      <w:tr w14:paraId="650D7F7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304" w:type="pct"/>
            <w:vMerge w:val="continue"/>
            <w:tcBorders>
              <w:left w:val="single" w:color="auto" w:sz="12" w:space="0"/>
              <w:right w:val="single" w:color="auto" w:sz="4" w:space="0"/>
            </w:tcBorders>
            <w:vAlign w:val="center"/>
          </w:tcPr>
          <w:p w14:paraId="1A601FBF">
            <w:pPr>
              <w:pStyle w:val="34"/>
            </w:pPr>
          </w:p>
        </w:tc>
        <w:tc>
          <w:tcPr>
            <w:tcW w:w="840" w:type="pct"/>
            <w:tcBorders>
              <w:top w:val="single" w:color="auto" w:sz="4" w:space="0"/>
              <w:left w:val="single" w:color="auto" w:sz="4" w:space="0"/>
              <w:bottom w:val="single" w:color="auto" w:sz="4" w:space="0"/>
              <w:right w:val="single" w:color="auto" w:sz="4" w:space="0"/>
            </w:tcBorders>
            <w:vAlign w:val="center"/>
          </w:tcPr>
          <w:p w14:paraId="74AEA884">
            <w:pPr>
              <w:pStyle w:val="34"/>
            </w:pPr>
            <w:r>
              <w:rPr>
                <w:rFonts w:hint="eastAsia"/>
              </w:rPr>
              <w:t>水工</w:t>
            </w:r>
            <w:r>
              <w:t>建筑物</w:t>
            </w:r>
          </w:p>
          <w:p w14:paraId="6B83D0C1">
            <w:pPr>
              <w:pStyle w:val="34"/>
            </w:pPr>
            <w:r>
              <w:t>施工</w:t>
            </w:r>
          </w:p>
        </w:tc>
        <w:tc>
          <w:tcPr>
            <w:tcW w:w="297" w:type="pct"/>
            <w:tcBorders>
              <w:top w:val="single" w:color="auto" w:sz="4" w:space="0"/>
              <w:left w:val="single" w:color="auto" w:sz="4" w:space="0"/>
              <w:bottom w:val="single" w:color="auto" w:sz="4" w:space="0"/>
              <w:right w:val="single" w:color="auto" w:sz="4" w:space="0"/>
            </w:tcBorders>
            <w:vAlign w:val="center"/>
          </w:tcPr>
          <w:p w14:paraId="3AEC5F3E">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190EB35B">
            <w:pPr>
              <w:pStyle w:val="34"/>
            </w:pPr>
          </w:p>
        </w:tc>
        <w:tc>
          <w:tcPr>
            <w:tcW w:w="298" w:type="pct"/>
            <w:tcBorders>
              <w:top w:val="single" w:color="auto" w:sz="4" w:space="0"/>
              <w:left w:val="single" w:color="auto" w:sz="4" w:space="0"/>
              <w:bottom w:val="single" w:color="auto" w:sz="4" w:space="0"/>
              <w:right w:val="single" w:color="auto" w:sz="4" w:space="0"/>
            </w:tcBorders>
            <w:vAlign w:val="center"/>
          </w:tcPr>
          <w:p w14:paraId="640357C3">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6F4ACC66">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239048DC">
            <w:pPr>
              <w:pStyle w:val="34"/>
            </w:pPr>
            <w:r>
              <w:t>■</w:t>
            </w:r>
          </w:p>
        </w:tc>
        <w:tc>
          <w:tcPr>
            <w:tcW w:w="298" w:type="pct"/>
            <w:tcBorders>
              <w:top w:val="single" w:color="auto" w:sz="4" w:space="0"/>
              <w:left w:val="single" w:color="auto" w:sz="4" w:space="0"/>
              <w:bottom w:val="single" w:color="auto" w:sz="4" w:space="0"/>
              <w:right w:val="single" w:color="auto" w:sz="4" w:space="0"/>
            </w:tcBorders>
            <w:vAlign w:val="center"/>
          </w:tcPr>
          <w:p w14:paraId="7147F7A9">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70F50321">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02860932">
            <w:pPr>
              <w:pStyle w:val="34"/>
            </w:pPr>
          </w:p>
        </w:tc>
        <w:tc>
          <w:tcPr>
            <w:tcW w:w="298" w:type="pct"/>
            <w:tcBorders>
              <w:top w:val="single" w:color="auto" w:sz="4" w:space="0"/>
              <w:left w:val="single" w:color="auto" w:sz="4" w:space="0"/>
              <w:bottom w:val="single" w:color="auto" w:sz="4" w:space="0"/>
              <w:right w:val="single" w:color="auto" w:sz="4" w:space="0"/>
            </w:tcBorders>
            <w:vAlign w:val="center"/>
          </w:tcPr>
          <w:p w14:paraId="6B1B6E8C">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166CD139">
            <w:pPr>
              <w:pStyle w:val="34"/>
            </w:pPr>
            <w:r>
              <w:t>○</w:t>
            </w:r>
          </w:p>
        </w:tc>
        <w:tc>
          <w:tcPr>
            <w:tcW w:w="296" w:type="pct"/>
            <w:tcBorders>
              <w:top w:val="single" w:color="auto" w:sz="4" w:space="0"/>
              <w:left w:val="single" w:color="auto" w:sz="4" w:space="0"/>
              <w:bottom w:val="single" w:color="auto" w:sz="4" w:space="0"/>
              <w:right w:val="single" w:color="auto" w:sz="4" w:space="0"/>
            </w:tcBorders>
            <w:vAlign w:val="center"/>
          </w:tcPr>
          <w:p w14:paraId="67A33286">
            <w:pPr>
              <w:pStyle w:val="34"/>
            </w:pPr>
            <w:r>
              <w:t>●</w:t>
            </w:r>
          </w:p>
        </w:tc>
        <w:tc>
          <w:tcPr>
            <w:tcW w:w="298" w:type="pct"/>
            <w:tcBorders>
              <w:top w:val="single" w:color="auto" w:sz="4" w:space="0"/>
              <w:left w:val="single" w:color="auto" w:sz="4" w:space="0"/>
              <w:bottom w:val="single" w:color="auto" w:sz="4" w:space="0"/>
              <w:right w:val="single" w:color="auto" w:sz="4" w:space="0"/>
            </w:tcBorders>
            <w:vAlign w:val="center"/>
          </w:tcPr>
          <w:p w14:paraId="7AD62F12">
            <w:pPr>
              <w:pStyle w:val="34"/>
            </w:pPr>
            <w:r>
              <w:t>●</w:t>
            </w:r>
          </w:p>
        </w:tc>
        <w:tc>
          <w:tcPr>
            <w:tcW w:w="295" w:type="pct"/>
            <w:tcBorders>
              <w:top w:val="single" w:color="auto" w:sz="4" w:space="0"/>
              <w:left w:val="single" w:color="auto" w:sz="4" w:space="0"/>
              <w:bottom w:val="single" w:color="auto" w:sz="4" w:space="0"/>
              <w:right w:val="single" w:color="auto" w:sz="12" w:space="0"/>
            </w:tcBorders>
            <w:vAlign w:val="center"/>
          </w:tcPr>
          <w:p w14:paraId="05D8B111">
            <w:pPr>
              <w:pStyle w:val="34"/>
            </w:pPr>
            <w:r>
              <w:t>□</w:t>
            </w:r>
          </w:p>
        </w:tc>
      </w:tr>
      <w:tr w14:paraId="42D4D86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304" w:type="pct"/>
            <w:vMerge w:val="continue"/>
            <w:tcBorders>
              <w:left w:val="single" w:color="auto" w:sz="12" w:space="0"/>
              <w:right w:val="single" w:color="auto" w:sz="4" w:space="0"/>
            </w:tcBorders>
            <w:vAlign w:val="center"/>
          </w:tcPr>
          <w:p w14:paraId="51DFCB1A">
            <w:pPr>
              <w:pStyle w:val="34"/>
            </w:pPr>
          </w:p>
        </w:tc>
        <w:tc>
          <w:tcPr>
            <w:tcW w:w="840" w:type="pct"/>
            <w:tcBorders>
              <w:top w:val="single" w:color="auto" w:sz="4" w:space="0"/>
              <w:left w:val="single" w:color="auto" w:sz="4" w:space="0"/>
              <w:bottom w:val="single" w:color="auto" w:sz="4" w:space="0"/>
              <w:right w:val="single" w:color="auto" w:sz="4" w:space="0"/>
            </w:tcBorders>
            <w:vAlign w:val="center"/>
          </w:tcPr>
          <w:p w14:paraId="117F7A3E">
            <w:pPr>
              <w:pStyle w:val="34"/>
            </w:pPr>
            <w:r>
              <w:t>材料运输</w:t>
            </w:r>
          </w:p>
        </w:tc>
        <w:tc>
          <w:tcPr>
            <w:tcW w:w="297" w:type="pct"/>
            <w:tcBorders>
              <w:top w:val="single" w:color="auto" w:sz="4" w:space="0"/>
              <w:left w:val="single" w:color="auto" w:sz="4" w:space="0"/>
              <w:bottom w:val="single" w:color="auto" w:sz="4" w:space="0"/>
              <w:right w:val="single" w:color="auto" w:sz="4" w:space="0"/>
            </w:tcBorders>
          </w:tcPr>
          <w:p w14:paraId="62814F2C">
            <w:pPr>
              <w:pStyle w:val="34"/>
            </w:pPr>
          </w:p>
        </w:tc>
        <w:tc>
          <w:tcPr>
            <w:tcW w:w="296" w:type="pct"/>
            <w:tcBorders>
              <w:top w:val="single" w:color="auto" w:sz="4" w:space="0"/>
              <w:left w:val="single" w:color="auto" w:sz="4" w:space="0"/>
              <w:bottom w:val="single" w:color="auto" w:sz="4" w:space="0"/>
              <w:right w:val="single" w:color="auto" w:sz="4" w:space="0"/>
            </w:tcBorders>
          </w:tcPr>
          <w:p w14:paraId="15C74319">
            <w:pPr>
              <w:pStyle w:val="34"/>
            </w:pPr>
          </w:p>
        </w:tc>
        <w:tc>
          <w:tcPr>
            <w:tcW w:w="298" w:type="pct"/>
            <w:tcBorders>
              <w:top w:val="single" w:color="auto" w:sz="4" w:space="0"/>
              <w:left w:val="single" w:color="auto" w:sz="4" w:space="0"/>
              <w:bottom w:val="single" w:color="auto" w:sz="4" w:space="0"/>
              <w:right w:val="single" w:color="auto" w:sz="4" w:space="0"/>
            </w:tcBorders>
            <w:vAlign w:val="center"/>
          </w:tcPr>
          <w:p w14:paraId="1865D014">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tcPr>
          <w:p w14:paraId="14EC595F">
            <w:pPr>
              <w:pStyle w:val="34"/>
            </w:pPr>
            <w:r>
              <w:t>●</w:t>
            </w:r>
          </w:p>
        </w:tc>
        <w:tc>
          <w:tcPr>
            <w:tcW w:w="296" w:type="pct"/>
            <w:tcBorders>
              <w:top w:val="single" w:color="auto" w:sz="4" w:space="0"/>
              <w:left w:val="single" w:color="auto" w:sz="4" w:space="0"/>
              <w:bottom w:val="single" w:color="auto" w:sz="4" w:space="0"/>
              <w:right w:val="single" w:color="auto" w:sz="4" w:space="0"/>
            </w:tcBorders>
          </w:tcPr>
          <w:p w14:paraId="4A2D5DA3">
            <w:pPr>
              <w:pStyle w:val="34"/>
            </w:pPr>
            <w:r>
              <w:t>■</w:t>
            </w:r>
          </w:p>
        </w:tc>
        <w:tc>
          <w:tcPr>
            <w:tcW w:w="298" w:type="pct"/>
            <w:tcBorders>
              <w:top w:val="single" w:color="auto" w:sz="4" w:space="0"/>
              <w:left w:val="single" w:color="auto" w:sz="4" w:space="0"/>
              <w:bottom w:val="single" w:color="auto" w:sz="4" w:space="0"/>
              <w:right w:val="single" w:color="auto" w:sz="4" w:space="0"/>
            </w:tcBorders>
            <w:vAlign w:val="center"/>
          </w:tcPr>
          <w:p w14:paraId="496E2509">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218F968C">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vAlign w:val="center"/>
          </w:tcPr>
          <w:p w14:paraId="1C8F4F41">
            <w:pPr>
              <w:pStyle w:val="34"/>
            </w:pPr>
            <w:r>
              <w:t xml:space="preserve">● </w:t>
            </w:r>
          </w:p>
        </w:tc>
        <w:tc>
          <w:tcPr>
            <w:tcW w:w="298" w:type="pct"/>
            <w:tcBorders>
              <w:top w:val="single" w:color="auto" w:sz="4" w:space="0"/>
              <w:left w:val="single" w:color="auto" w:sz="4" w:space="0"/>
              <w:bottom w:val="single" w:color="auto" w:sz="4" w:space="0"/>
              <w:right w:val="single" w:color="auto" w:sz="4" w:space="0"/>
            </w:tcBorders>
          </w:tcPr>
          <w:p w14:paraId="40E034A6">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74509B72">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tcPr>
          <w:p w14:paraId="536847C5">
            <w:pPr>
              <w:pStyle w:val="34"/>
            </w:pPr>
          </w:p>
        </w:tc>
        <w:tc>
          <w:tcPr>
            <w:tcW w:w="298" w:type="pct"/>
            <w:tcBorders>
              <w:top w:val="single" w:color="auto" w:sz="4" w:space="0"/>
              <w:left w:val="single" w:color="auto" w:sz="4" w:space="0"/>
              <w:bottom w:val="single" w:color="auto" w:sz="4" w:space="0"/>
              <w:right w:val="single" w:color="auto" w:sz="4" w:space="0"/>
            </w:tcBorders>
          </w:tcPr>
          <w:p w14:paraId="62962502">
            <w:pPr>
              <w:pStyle w:val="34"/>
            </w:pPr>
          </w:p>
        </w:tc>
        <w:tc>
          <w:tcPr>
            <w:tcW w:w="295" w:type="pct"/>
            <w:tcBorders>
              <w:top w:val="single" w:color="auto" w:sz="4" w:space="0"/>
              <w:left w:val="single" w:color="auto" w:sz="4" w:space="0"/>
              <w:bottom w:val="single" w:color="auto" w:sz="4" w:space="0"/>
              <w:right w:val="single" w:color="auto" w:sz="12" w:space="0"/>
            </w:tcBorders>
            <w:vAlign w:val="center"/>
          </w:tcPr>
          <w:p w14:paraId="3516B2C4">
            <w:pPr>
              <w:pStyle w:val="34"/>
            </w:pPr>
            <w:r>
              <w:t xml:space="preserve">□ </w:t>
            </w:r>
          </w:p>
        </w:tc>
      </w:tr>
      <w:tr w14:paraId="47B83EB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304" w:type="pct"/>
            <w:vMerge w:val="restart"/>
            <w:tcBorders>
              <w:top w:val="single" w:color="auto" w:sz="4" w:space="0"/>
              <w:left w:val="single" w:color="auto" w:sz="12" w:space="0"/>
              <w:bottom w:val="single" w:color="auto" w:sz="4" w:space="0"/>
              <w:right w:val="single" w:color="auto" w:sz="4" w:space="0"/>
            </w:tcBorders>
            <w:vAlign w:val="center"/>
          </w:tcPr>
          <w:p w14:paraId="7A7EC107">
            <w:pPr>
              <w:pStyle w:val="34"/>
            </w:pPr>
            <w:r>
              <w:t>运营期</w:t>
            </w:r>
          </w:p>
        </w:tc>
        <w:tc>
          <w:tcPr>
            <w:tcW w:w="840" w:type="pct"/>
            <w:tcBorders>
              <w:top w:val="single" w:color="auto" w:sz="4" w:space="0"/>
              <w:left w:val="single" w:color="auto" w:sz="4" w:space="0"/>
              <w:bottom w:val="single" w:color="auto" w:sz="4" w:space="0"/>
              <w:right w:val="single" w:color="auto" w:sz="4" w:space="0"/>
            </w:tcBorders>
            <w:vAlign w:val="center"/>
          </w:tcPr>
          <w:p w14:paraId="6BC03309">
            <w:pPr>
              <w:pStyle w:val="34"/>
            </w:pPr>
            <w:r>
              <w:t>码头区生产</w:t>
            </w:r>
          </w:p>
        </w:tc>
        <w:tc>
          <w:tcPr>
            <w:tcW w:w="297" w:type="pct"/>
            <w:tcBorders>
              <w:top w:val="single" w:color="auto" w:sz="4" w:space="0"/>
              <w:left w:val="single" w:color="auto" w:sz="4" w:space="0"/>
              <w:bottom w:val="single" w:color="auto" w:sz="4" w:space="0"/>
              <w:right w:val="single" w:color="auto" w:sz="4" w:space="0"/>
            </w:tcBorders>
            <w:vAlign w:val="center"/>
          </w:tcPr>
          <w:p w14:paraId="4772C619">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tcPr>
          <w:p w14:paraId="1926813B">
            <w:pPr>
              <w:pStyle w:val="34"/>
            </w:pPr>
          </w:p>
        </w:tc>
        <w:tc>
          <w:tcPr>
            <w:tcW w:w="298" w:type="pct"/>
            <w:tcBorders>
              <w:top w:val="single" w:color="auto" w:sz="4" w:space="0"/>
              <w:left w:val="single" w:color="auto" w:sz="4" w:space="0"/>
              <w:bottom w:val="single" w:color="auto" w:sz="4" w:space="0"/>
              <w:right w:val="single" w:color="auto" w:sz="4" w:space="0"/>
            </w:tcBorders>
            <w:vAlign w:val="center"/>
          </w:tcPr>
          <w:p w14:paraId="7538673B">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vAlign w:val="center"/>
          </w:tcPr>
          <w:p w14:paraId="0FDD487C">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tcPr>
          <w:p w14:paraId="37326EE0">
            <w:pPr>
              <w:pStyle w:val="34"/>
            </w:pPr>
          </w:p>
        </w:tc>
        <w:tc>
          <w:tcPr>
            <w:tcW w:w="298" w:type="pct"/>
            <w:tcBorders>
              <w:top w:val="single" w:color="auto" w:sz="4" w:space="0"/>
              <w:left w:val="single" w:color="auto" w:sz="4" w:space="0"/>
              <w:bottom w:val="single" w:color="auto" w:sz="4" w:space="0"/>
              <w:right w:val="single" w:color="auto" w:sz="4" w:space="0"/>
            </w:tcBorders>
            <w:vAlign w:val="center"/>
          </w:tcPr>
          <w:p w14:paraId="24D45933">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tcPr>
          <w:p w14:paraId="016EBA7F">
            <w:pPr>
              <w:pStyle w:val="34"/>
            </w:pPr>
          </w:p>
        </w:tc>
        <w:tc>
          <w:tcPr>
            <w:tcW w:w="296" w:type="pct"/>
            <w:tcBorders>
              <w:top w:val="single" w:color="auto" w:sz="4" w:space="0"/>
              <w:left w:val="single" w:color="auto" w:sz="4" w:space="0"/>
              <w:bottom w:val="single" w:color="auto" w:sz="4" w:space="0"/>
              <w:right w:val="single" w:color="auto" w:sz="4" w:space="0"/>
            </w:tcBorders>
          </w:tcPr>
          <w:p w14:paraId="0FF539C2">
            <w:pPr>
              <w:pStyle w:val="34"/>
            </w:pPr>
          </w:p>
        </w:tc>
        <w:tc>
          <w:tcPr>
            <w:tcW w:w="298" w:type="pct"/>
            <w:tcBorders>
              <w:top w:val="single" w:color="auto" w:sz="4" w:space="0"/>
              <w:left w:val="single" w:color="auto" w:sz="4" w:space="0"/>
              <w:bottom w:val="single" w:color="auto" w:sz="4" w:space="0"/>
              <w:right w:val="single" w:color="auto" w:sz="4" w:space="0"/>
            </w:tcBorders>
            <w:vAlign w:val="center"/>
          </w:tcPr>
          <w:p w14:paraId="4DB593FB">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vAlign w:val="center"/>
          </w:tcPr>
          <w:p w14:paraId="49FAD49E">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vAlign w:val="center"/>
          </w:tcPr>
          <w:p w14:paraId="36BB9E0C">
            <w:pPr>
              <w:pStyle w:val="34"/>
            </w:pPr>
            <w:r>
              <w:t xml:space="preserve">● </w:t>
            </w:r>
          </w:p>
        </w:tc>
        <w:tc>
          <w:tcPr>
            <w:tcW w:w="298" w:type="pct"/>
            <w:tcBorders>
              <w:top w:val="single" w:color="auto" w:sz="4" w:space="0"/>
              <w:left w:val="single" w:color="auto" w:sz="4" w:space="0"/>
              <w:bottom w:val="single" w:color="auto" w:sz="4" w:space="0"/>
              <w:right w:val="single" w:color="auto" w:sz="4" w:space="0"/>
            </w:tcBorders>
          </w:tcPr>
          <w:p w14:paraId="56AAF45F">
            <w:pPr>
              <w:pStyle w:val="34"/>
            </w:pPr>
          </w:p>
        </w:tc>
        <w:tc>
          <w:tcPr>
            <w:tcW w:w="295" w:type="pct"/>
            <w:tcBorders>
              <w:top w:val="single" w:color="auto" w:sz="4" w:space="0"/>
              <w:left w:val="single" w:color="auto" w:sz="4" w:space="0"/>
              <w:bottom w:val="single" w:color="auto" w:sz="4" w:space="0"/>
              <w:right w:val="single" w:color="auto" w:sz="12" w:space="0"/>
            </w:tcBorders>
            <w:vAlign w:val="center"/>
          </w:tcPr>
          <w:p w14:paraId="776DBB52">
            <w:pPr>
              <w:pStyle w:val="34"/>
            </w:pPr>
            <w:r>
              <w:t xml:space="preserve">□ </w:t>
            </w:r>
          </w:p>
        </w:tc>
      </w:tr>
      <w:tr w14:paraId="63FFBB7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304" w:type="pct"/>
            <w:vMerge w:val="continue"/>
            <w:tcBorders>
              <w:top w:val="single" w:color="auto" w:sz="4" w:space="0"/>
              <w:left w:val="single" w:color="auto" w:sz="12" w:space="0"/>
              <w:bottom w:val="single" w:color="auto" w:sz="4" w:space="0"/>
              <w:right w:val="single" w:color="auto" w:sz="4" w:space="0"/>
            </w:tcBorders>
            <w:vAlign w:val="center"/>
          </w:tcPr>
          <w:p w14:paraId="0249B032">
            <w:pPr>
              <w:pStyle w:val="34"/>
            </w:pPr>
          </w:p>
        </w:tc>
        <w:tc>
          <w:tcPr>
            <w:tcW w:w="840" w:type="pct"/>
            <w:tcBorders>
              <w:top w:val="single" w:color="auto" w:sz="4" w:space="0"/>
              <w:left w:val="single" w:color="auto" w:sz="4" w:space="0"/>
              <w:bottom w:val="single" w:color="auto" w:sz="4" w:space="0"/>
              <w:right w:val="single" w:color="auto" w:sz="4" w:space="0"/>
            </w:tcBorders>
            <w:vAlign w:val="center"/>
          </w:tcPr>
          <w:p w14:paraId="5FF921DD">
            <w:pPr>
              <w:pStyle w:val="34"/>
            </w:pPr>
            <w:r>
              <w:t>社会效益</w:t>
            </w:r>
          </w:p>
        </w:tc>
        <w:tc>
          <w:tcPr>
            <w:tcW w:w="297" w:type="pct"/>
            <w:tcBorders>
              <w:top w:val="single" w:color="auto" w:sz="4" w:space="0"/>
              <w:left w:val="single" w:color="auto" w:sz="4" w:space="0"/>
              <w:bottom w:val="single" w:color="auto" w:sz="4" w:space="0"/>
              <w:right w:val="single" w:color="auto" w:sz="4" w:space="0"/>
            </w:tcBorders>
          </w:tcPr>
          <w:p w14:paraId="739501DD">
            <w:pPr>
              <w:pStyle w:val="34"/>
            </w:pPr>
          </w:p>
        </w:tc>
        <w:tc>
          <w:tcPr>
            <w:tcW w:w="296" w:type="pct"/>
            <w:tcBorders>
              <w:top w:val="single" w:color="auto" w:sz="4" w:space="0"/>
              <w:left w:val="single" w:color="auto" w:sz="4" w:space="0"/>
              <w:bottom w:val="single" w:color="auto" w:sz="4" w:space="0"/>
              <w:right w:val="single" w:color="auto" w:sz="4" w:space="0"/>
            </w:tcBorders>
          </w:tcPr>
          <w:p w14:paraId="36755F51">
            <w:pPr>
              <w:pStyle w:val="34"/>
            </w:pPr>
          </w:p>
        </w:tc>
        <w:tc>
          <w:tcPr>
            <w:tcW w:w="298" w:type="pct"/>
            <w:tcBorders>
              <w:top w:val="single" w:color="auto" w:sz="4" w:space="0"/>
              <w:left w:val="single" w:color="auto" w:sz="4" w:space="0"/>
              <w:bottom w:val="single" w:color="auto" w:sz="4" w:space="0"/>
              <w:right w:val="single" w:color="auto" w:sz="4" w:space="0"/>
            </w:tcBorders>
          </w:tcPr>
          <w:p w14:paraId="4FD66CC8">
            <w:pPr>
              <w:pStyle w:val="34"/>
            </w:pPr>
          </w:p>
        </w:tc>
        <w:tc>
          <w:tcPr>
            <w:tcW w:w="296" w:type="pct"/>
            <w:tcBorders>
              <w:top w:val="single" w:color="auto" w:sz="4" w:space="0"/>
              <w:left w:val="single" w:color="auto" w:sz="4" w:space="0"/>
              <w:bottom w:val="single" w:color="auto" w:sz="4" w:space="0"/>
              <w:right w:val="single" w:color="auto" w:sz="4" w:space="0"/>
            </w:tcBorders>
          </w:tcPr>
          <w:p w14:paraId="701823FF">
            <w:pPr>
              <w:pStyle w:val="34"/>
            </w:pPr>
          </w:p>
        </w:tc>
        <w:tc>
          <w:tcPr>
            <w:tcW w:w="296" w:type="pct"/>
            <w:tcBorders>
              <w:top w:val="single" w:color="auto" w:sz="4" w:space="0"/>
              <w:left w:val="single" w:color="auto" w:sz="4" w:space="0"/>
              <w:bottom w:val="single" w:color="auto" w:sz="4" w:space="0"/>
              <w:right w:val="single" w:color="auto" w:sz="4" w:space="0"/>
            </w:tcBorders>
          </w:tcPr>
          <w:p w14:paraId="6929EAB1">
            <w:pPr>
              <w:pStyle w:val="34"/>
            </w:pPr>
          </w:p>
        </w:tc>
        <w:tc>
          <w:tcPr>
            <w:tcW w:w="298" w:type="pct"/>
            <w:tcBorders>
              <w:top w:val="single" w:color="auto" w:sz="4" w:space="0"/>
              <w:left w:val="single" w:color="auto" w:sz="4" w:space="0"/>
              <w:bottom w:val="single" w:color="auto" w:sz="4" w:space="0"/>
              <w:right w:val="single" w:color="auto" w:sz="4" w:space="0"/>
            </w:tcBorders>
          </w:tcPr>
          <w:p w14:paraId="081D684A">
            <w:pPr>
              <w:pStyle w:val="34"/>
            </w:pPr>
          </w:p>
        </w:tc>
        <w:tc>
          <w:tcPr>
            <w:tcW w:w="296" w:type="pct"/>
            <w:tcBorders>
              <w:top w:val="single" w:color="auto" w:sz="4" w:space="0"/>
              <w:left w:val="single" w:color="auto" w:sz="4" w:space="0"/>
              <w:bottom w:val="single" w:color="auto" w:sz="4" w:space="0"/>
              <w:right w:val="single" w:color="auto" w:sz="4" w:space="0"/>
            </w:tcBorders>
          </w:tcPr>
          <w:p w14:paraId="6B368625">
            <w:pPr>
              <w:pStyle w:val="34"/>
            </w:pPr>
          </w:p>
        </w:tc>
        <w:tc>
          <w:tcPr>
            <w:tcW w:w="296" w:type="pct"/>
            <w:tcBorders>
              <w:top w:val="single" w:color="auto" w:sz="4" w:space="0"/>
              <w:left w:val="single" w:color="auto" w:sz="4" w:space="0"/>
              <w:bottom w:val="single" w:color="auto" w:sz="4" w:space="0"/>
              <w:right w:val="single" w:color="auto" w:sz="4" w:space="0"/>
            </w:tcBorders>
          </w:tcPr>
          <w:p w14:paraId="25C51A2D">
            <w:pPr>
              <w:pStyle w:val="34"/>
            </w:pPr>
          </w:p>
        </w:tc>
        <w:tc>
          <w:tcPr>
            <w:tcW w:w="298" w:type="pct"/>
            <w:tcBorders>
              <w:top w:val="single" w:color="auto" w:sz="4" w:space="0"/>
              <w:left w:val="single" w:color="auto" w:sz="4" w:space="0"/>
              <w:bottom w:val="single" w:color="auto" w:sz="4" w:space="0"/>
              <w:right w:val="single" w:color="auto" w:sz="4" w:space="0"/>
            </w:tcBorders>
          </w:tcPr>
          <w:p w14:paraId="1589F702">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68D5C637">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tcPr>
          <w:p w14:paraId="6C22188D">
            <w:pPr>
              <w:pStyle w:val="34"/>
            </w:pPr>
          </w:p>
        </w:tc>
        <w:tc>
          <w:tcPr>
            <w:tcW w:w="298" w:type="pct"/>
            <w:tcBorders>
              <w:top w:val="single" w:color="auto" w:sz="4" w:space="0"/>
              <w:left w:val="single" w:color="auto" w:sz="4" w:space="0"/>
              <w:bottom w:val="single" w:color="auto" w:sz="4" w:space="0"/>
              <w:right w:val="single" w:color="auto" w:sz="4" w:space="0"/>
            </w:tcBorders>
          </w:tcPr>
          <w:p w14:paraId="7314BAA0">
            <w:pPr>
              <w:pStyle w:val="34"/>
            </w:pPr>
          </w:p>
        </w:tc>
        <w:tc>
          <w:tcPr>
            <w:tcW w:w="295" w:type="pct"/>
            <w:tcBorders>
              <w:top w:val="single" w:color="auto" w:sz="4" w:space="0"/>
              <w:left w:val="single" w:color="auto" w:sz="4" w:space="0"/>
              <w:bottom w:val="single" w:color="auto" w:sz="4" w:space="0"/>
              <w:right w:val="single" w:color="auto" w:sz="12" w:space="0"/>
            </w:tcBorders>
            <w:vAlign w:val="center"/>
          </w:tcPr>
          <w:p w14:paraId="7D48916B">
            <w:pPr>
              <w:pStyle w:val="34"/>
            </w:pPr>
            <w:r>
              <w:t xml:space="preserve">□ </w:t>
            </w:r>
          </w:p>
        </w:tc>
      </w:tr>
      <w:tr w14:paraId="3241E74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304" w:type="pct"/>
            <w:vMerge w:val="continue"/>
            <w:tcBorders>
              <w:top w:val="single" w:color="auto" w:sz="4" w:space="0"/>
              <w:left w:val="single" w:color="auto" w:sz="12" w:space="0"/>
              <w:bottom w:val="single" w:color="auto" w:sz="12" w:space="0"/>
              <w:right w:val="single" w:color="auto" w:sz="4" w:space="0"/>
            </w:tcBorders>
            <w:vAlign w:val="center"/>
          </w:tcPr>
          <w:p w14:paraId="64C7BF56">
            <w:pPr>
              <w:pStyle w:val="34"/>
            </w:pPr>
          </w:p>
        </w:tc>
        <w:tc>
          <w:tcPr>
            <w:tcW w:w="840" w:type="pct"/>
            <w:tcBorders>
              <w:top w:val="single" w:color="auto" w:sz="4" w:space="0"/>
              <w:left w:val="single" w:color="auto" w:sz="4" w:space="0"/>
              <w:bottom w:val="single" w:color="auto" w:sz="12" w:space="0"/>
              <w:right w:val="single" w:color="auto" w:sz="4" w:space="0"/>
            </w:tcBorders>
            <w:vAlign w:val="center"/>
          </w:tcPr>
          <w:p w14:paraId="5E0430CA">
            <w:pPr>
              <w:pStyle w:val="34"/>
            </w:pPr>
            <w:r>
              <w:t>环保工程</w:t>
            </w:r>
          </w:p>
        </w:tc>
        <w:tc>
          <w:tcPr>
            <w:tcW w:w="297" w:type="pct"/>
            <w:tcBorders>
              <w:top w:val="single" w:color="auto" w:sz="4" w:space="0"/>
              <w:left w:val="single" w:color="auto" w:sz="4" w:space="0"/>
              <w:bottom w:val="single" w:color="auto" w:sz="12" w:space="0"/>
              <w:right w:val="single" w:color="auto" w:sz="4" w:space="0"/>
            </w:tcBorders>
          </w:tcPr>
          <w:p w14:paraId="61D09A76">
            <w:pPr>
              <w:pStyle w:val="34"/>
            </w:pPr>
          </w:p>
        </w:tc>
        <w:tc>
          <w:tcPr>
            <w:tcW w:w="296" w:type="pct"/>
            <w:tcBorders>
              <w:top w:val="single" w:color="auto" w:sz="4" w:space="0"/>
              <w:left w:val="single" w:color="auto" w:sz="4" w:space="0"/>
              <w:bottom w:val="single" w:color="auto" w:sz="12" w:space="0"/>
              <w:right w:val="single" w:color="auto" w:sz="4" w:space="0"/>
            </w:tcBorders>
          </w:tcPr>
          <w:p w14:paraId="1AC27BFC">
            <w:pPr>
              <w:pStyle w:val="34"/>
            </w:pPr>
          </w:p>
        </w:tc>
        <w:tc>
          <w:tcPr>
            <w:tcW w:w="298" w:type="pct"/>
            <w:tcBorders>
              <w:top w:val="single" w:color="auto" w:sz="4" w:space="0"/>
              <w:left w:val="single" w:color="auto" w:sz="4" w:space="0"/>
              <w:bottom w:val="single" w:color="auto" w:sz="12" w:space="0"/>
              <w:right w:val="single" w:color="auto" w:sz="4" w:space="0"/>
            </w:tcBorders>
            <w:vAlign w:val="center"/>
          </w:tcPr>
          <w:p w14:paraId="321B213A">
            <w:pPr>
              <w:pStyle w:val="34"/>
            </w:pPr>
            <w:r>
              <w:t xml:space="preserve">□ </w:t>
            </w:r>
          </w:p>
        </w:tc>
        <w:tc>
          <w:tcPr>
            <w:tcW w:w="296" w:type="pct"/>
            <w:tcBorders>
              <w:top w:val="single" w:color="auto" w:sz="4" w:space="0"/>
              <w:left w:val="single" w:color="auto" w:sz="4" w:space="0"/>
              <w:bottom w:val="single" w:color="auto" w:sz="12" w:space="0"/>
              <w:right w:val="single" w:color="auto" w:sz="4" w:space="0"/>
            </w:tcBorders>
            <w:vAlign w:val="center"/>
          </w:tcPr>
          <w:p w14:paraId="55D68E21">
            <w:pPr>
              <w:pStyle w:val="34"/>
            </w:pPr>
            <w:r>
              <w:t xml:space="preserve">□ </w:t>
            </w:r>
          </w:p>
        </w:tc>
        <w:tc>
          <w:tcPr>
            <w:tcW w:w="296" w:type="pct"/>
            <w:tcBorders>
              <w:top w:val="single" w:color="auto" w:sz="4" w:space="0"/>
              <w:left w:val="single" w:color="auto" w:sz="4" w:space="0"/>
              <w:bottom w:val="single" w:color="auto" w:sz="12" w:space="0"/>
              <w:right w:val="single" w:color="auto" w:sz="4" w:space="0"/>
            </w:tcBorders>
            <w:vAlign w:val="center"/>
          </w:tcPr>
          <w:p w14:paraId="23175C96">
            <w:pPr>
              <w:pStyle w:val="34"/>
            </w:pPr>
            <w:r>
              <w:t xml:space="preserve">○ </w:t>
            </w:r>
          </w:p>
        </w:tc>
        <w:tc>
          <w:tcPr>
            <w:tcW w:w="298" w:type="pct"/>
            <w:tcBorders>
              <w:top w:val="single" w:color="auto" w:sz="4" w:space="0"/>
              <w:left w:val="single" w:color="auto" w:sz="4" w:space="0"/>
              <w:bottom w:val="single" w:color="auto" w:sz="12" w:space="0"/>
              <w:right w:val="single" w:color="auto" w:sz="4" w:space="0"/>
            </w:tcBorders>
            <w:vAlign w:val="center"/>
          </w:tcPr>
          <w:p w14:paraId="52479CBD">
            <w:pPr>
              <w:pStyle w:val="34"/>
            </w:pPr>
            <w:r>
              <w:t xml:space="preserve">□ </w:t>
            </w:r>
          </w:p>
        </w:tc>
        <w:tc>
          <w:tcPr>
            <w:tcW w:w="296" w:type="pct"/>
            <w:tcBorders>
              <w:top w:val="single" w:color="auto" w:sz="4" w:space="0"/>
              <w:left w:val="single" w:color="auto" w:sz="4" w:space="0"/>
              <w:bottom w:val="single" w:color="auto" w:sz="12" w:space="0"/>
              <w:right w:val="single" w:color="auto" w:sz="4" w:space="0"/>
            </w:tcBorders>
            <w:vAlign w:val="center"/>
          </w:tcPr>
          <w:p w14:paraId="2054EBFC">
            <w:pPr>
              <w:pStyle w:val="34"/>
            </w:pPr>
            <w:r>
              <w:t xml:space="preserve">□ </w:t>
            </w:r>
          </w:p>
        </w:tc>
        <w:tc>
          <w:tcPr>
            <w:tcW w:w="296" w:type="pct"/>
            <w:tcBorders>
              <w:top w:val="single" w:color="auto" w:sz="4" w:space="0"/>
              <w:left w:val="single" w:color="auto" w:sz="4" w:space="0"/>
              <w:bottom w:val="single" w:color="auto" w:sz="12" w:space="0"/>
              <w:right w:val="single" w:color="auto" w:sz="4" w:space="0"/>
            </w:tcBorders>
          </w:tcPr>
          <w:p w14:paraId="74EDD68B">
            <w:pPr>
              <w:pStyle w:val="34"/>
            </w:pPr>
          </w:p>
        </w:tc>
        <w:tc>
          <w:tcPr>
            <w:tcW w:w="298" w:type="pct"/>
            <w:tcBorders>
              <w:top w:val="single" w:color="auto" w:sz="4" w:space="0"/>
              <w:left w:val="single" w:color="auto" w:sz="4" w:space="0"/>
              <w:bottom w:val="single" w:color="auto" w:sz="12" w:space="0"/>
              <w:right w:val="single" w:color="auto" w:sz="4" w:space="0"/>
            </w:tcBorders>
            <w:vAlign w:val="center"/>
          </w:tcPr>
          <w:p w14:paraId="634C94F2">
            <w:pPr>
              <w:pStyle w:val="34"/>
            </w:pPr>
            <w:r>
              <w:t xml:space="preserve">□ </w:t>
            </w:r>
          </w:p>
        </w:tc>
        <w:tc>
          <w:tcPr>
            <w:tcW w:w="296" w:type="pct"/>
            <w:tcBorders>
              <w:top w:val="single" w:color="auto" w:sz="4" w:space="0"/>
              <w:left w:val="single" w:color="auto" w:sz="4" w:space="0"/>
              <w:bottom w:val="single" w:color="auto" w:sz="12" w:space="0"/>
              <w:right w:val="single" w:color="auto" w:sz="4" w:space="0"/>
            </w:tcBorders>
          </w:tcPr>
          <w:p w14:paraId="0BFAEAE6">
            <w:pPr>
              <w:pStyle w:val="34"/>
            </w:pPr>
          </w:p>
        </w:tc>
        <w:tc>
          <w:tcPr>
            <w:tcW w:w="296" w:type="pct"/>
            <w:tcBorders>
              <w:top w:val="single" w:color="auto" w:sz="4" w:space="0"/>
              <w:left w:val="single" w:color="auto" w:sz="4" w:space="0"/>
              <w:bottom w:val="single" w:color="auto" w:sz="12" w:space="0"/>
              <w:right w:val="single" w:color="auto" w:sz="4" w:space="0"/>
            </w:tcBorders>
            <w:vAlign w:val="center"/>
          </w:tcPr>
          <w:p w14:paraId="34122B02">
            <w:pPr>
              <w:pStyle w:val="34"/>
            </w:pPr>
            <w:r>
              <w:t xml:space="preserve">□ </w:t>
            </w:r>
          </w:p>
        </w:tc>
        <w:tc>
          <w:tcPr>
            <w:tcW w:w="298" w:type="pct"/>
            <w:tcBorders>
              <w:top w:val="single" w:color="auto" w:sz="4" w:space="0"/>
              <w:left w:val="single" w:color="auto" w:sz="4" w:space="0"/>
              <w:bottom w:val="single" w:color="auto" w:sz="12" w:space="0"/>
              <w:right w:val="single" w:color="auto" w:sz="4" w:space="0"/>
            </w:tcBorders>
            <w:vAlign w:val="center"/>
          </w:tcPr>
          <w:p w14:paraId="3808C112">
            <w:pPr>
              <w:pStyle w:val="34"/>
            </w:pPr>
            <w:r>
              <w:t xml:space="preserve">□ </w:t>
            </w:r>
          </w:p>
        </w:tc>
        <w:tc>
          <w:tcPr>
            <w:tcW w:w="295" w:type="pct"/>
            <w:tcBorders>
              <w:top w:val="single" w:color="auto" w:sz="4" w:space="0"/>
              <w:left w:val="single" w:color="auto" w:sz="4" w:space="0"/>
              <w:bottom w:val="single" w:color="auto" w:sz="12" w:space="0"/>
              <w:right w:val="single" w:color="auto" w:sz="12" w:space="0"/>
            </w:tcBorders>
            <w:vAlign w:val="center"/>
          </w:tcPr>
          <w:p w14:paraId="42E3A51B">
            <w:pPr>
              <w:pStyle w:val="34"/>
            </w:pPr>
            <w:r>
              <w:t xml:space="preserve">○ </w:t>
            </w:r>
          </w:p>
        </w:tc>
      </w:tr>
    </w:tbl>
    <w:p w14:paraId="25529345">
      <w:pPr>
        <w:snapToGrid w:val="0"/>
        <w:ind w:firstLine="402"/>
        <w:rPr>
          <w:sz w:val="21"/>
          <w:szCs w:val="21"/>
        </w:rPr>
      </w:pPr>
      <w:r>
        <w:rPr>
          <w:sz w:val="21"/>
          <w:szCs w:val="21"/>
        </w:rPr>
        <w:t>注：“□”显著正影响；“○”较小正影响；“空白”基本无影响；“■”显著负影响；“●”较小负影响。</w:t>
      </w:r>
    </w:p>
    <w:p w14:paraId="6BE876EF">
      <w:pPr>
        <w:pStyle w:val="5"/>
      </w:pPr>
      <w:r>
        <w:rPr>
          <w:rFonts w:hint="eastAsia"/>
        </w:rPr>
        <w:t>评价内容及重点</w:t>
      </w:r>
    </w:p>
    <w:p w14:paraId="5027A9DB">
      <w:pPr>
        <w:ind w:firstLine="462"/>
      </w:pPr>
      <w:r>
        <w:rPr>
          <w:rFonts w:hint="eastAsia"/>
        </w:rPr>
        <w:t>根据影响矩阵识别结果，确定本项目环评内容及重点见表1.4-2。</w:t>
      </w:r>
    </w:p>
    <w:p w14:paraId="1CAC1A4A">
      <w:pPr>
        <w:pStyle w:val="7"/>
      </w:pPr>
      <w:r>
        <w:rPr>
          <w:rFonts w:hint="eastAsia"/>
        </w:rPr>
        <w:t>环境影响评价内容及重点</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33"/>
        <w:gridCol w:w="1114"/>
        <w:gridCol w:w="2409"/>
        <w:gridCol w:w="1559"/>
        <w:gridCol w:w="2513"/>
      </w:tblGrid>
      <w:tr w14:paraId="0A37E9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547" w:type="pct"/>
            <w:vAlign w:val="center"/>
          </w:tcPr>
          <w:p w14:paraId="117959A9">
            <w:pPr>
              <w:pStyle w:val="34"/>
            </w:pPr>
            <w:r>
              <w:rPr>
                <w:rFonts w:hint="eastAsia"/>
              </w:rPr>
              <w:t>工程</w:t>
            </w:r>
          </w:p>
          <w:p w14:paraId="77715486">
            <w:pPr>
              <w:pStyle w:val="34"/>
            </w:pPr>
            <w:r>
              <w:rPr>
                <w:rFonts w:hint="eastAsia"/>
              </w:rPr>
              <w:t>时段</w:t>
            </w:r>
          </w:p>
        </w:tc>
        <w:tc>
          <w:tcPr>
            <w:tcW w:w="653" w:type="pct"/>
            <w:vAlign w:val="center"/>
          </w:tcPr>
          <w:p w14:paraId="51C4985B">
            <w:pPr>
              <w:pStyle w:val="34"/>
            </w:pPr>
            <w:r>
              <w:rPr>
                <w:rFonts w:hint="eastAsia"/>
              </w:rPr>
              <w:t>工程类别</w:t>
            </w:r>
          </w:p>
        </w:tc>
        <w:tc>
          <w:tcPr>
            <w:tcW w:w="1412" w:type="pct"/>
            <w:vAlign w:val="center"/>
          </w:tcPr>
          <w:p w14:paraId="7E15C8AD">
            <w:pPr>
              <w:pStyle w:val="34"/>
            </w:pPr>
            <w:r>
              <w:rPr>
                <w:rFonts w:hint="eastAsia"/>
              </w:rPr>
              <w:t>工程内容</w:t>
            </w:r>
          </w:p>
        </w:tc>
        <w:tc>
          <w:tcPr>
            <w:tcW w:w="914" w:type="pct"/>
            <w:vAlign w:val="center"/>
          </w:tcPr>
          <w:p w14:paraId="24C08B16">
            <w:pPr>
              <w:pStyle w:val="34"/>
            </w:pPr>
            <w:r>
              <w:rPr>
                <w:rFonts w:hint="eastAsia"/>
              </w:rPr>
              <w:t>生态影响和主要污染因子</w:t>
            </w:r>
          </w:p>
        </w:tc>
        <w:tc>
          <w:tcPr>
            <w:tcW w:w="1473" w:type="pct"/>
            <w:vAlign w:val="center"/>
          </w:tcPr>
          <w:p w14:paraId="09A496C0">
            <w:pPr>
              <w:pStyle w:val="34"/>
            </w:pPr>
            <w:r>
              <w:rPr>
                <w:rFonts w:hint="eastAsia"/>
              </w:rPr>
              <w:t>评价分析内容</w:t>
            </w:r>
          </w:p>
        </w:tc>
      </w:tr>
      <w:tr w14:paraId="5B4C70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547" w:type="pct"/>
            <w:vMerge w:val="restart"/>
            <w:vAlign w:val="center"/>
          </w:tcPr>
          <w:p w14:paraId="1E0075AB">
            <w:pPr>
              <w:pStyle w:val="34"/>
            </w:pPr>
            <w:r>
              <w:t>施工期</w:t>
            </w:r>
          </w:p>
        </w:tc>
        <w:tc>
          <w:tcPr>
            <w:tcW w:w="653" w:type="pct"/>
            <w:vMerge w:val="restart"/>
            <w:vAlign w:val="center"/>
          </w:tcPr>
          <w:p w14:paraId="12AEF5A5">
            <w:pPr>
              <w:pStyle w:val="34"/>
            </w:pPr>
            <w:r>
              <w:t>涉水施工</w:t>
            </w:r>
          </w:p>
        </w:tc>
        <w:tc>
          <w:tcPr>
            <w:tcW w:w="1412" w:type="pct"/>
            <w:vAlign w:val="center"/>
          </w:tcPr>
          <w:p w14:paraId="5D126A38">
            <w:pPr>
              <w:pStyle w:val="34"/>
            </w:pPr>
            <w:r>
              <w:t>疏浚工程：疏浚工程量</w:t>
            </w:r>
            <w:r>
              <w:rPr>
                <w:rFonts w:hint="eastAsia"/>
              </w:rPr>
              <w:t>131.16</w:t>
            </w:r>
            <w:r>
              <w:t>万m</w:t>
            </w:r>
            <w:r>
              <w:rPr>
                <w:vertAlign w:val="superscript"/>
              </w:rPr>
              <w:t>3</w:t>
            </w:r>
          </w:p>
        </w:tc>
        <w:tc>
          <w:tcPr>
            <w:tcW w:w="914" w:type="pct"/>
            <w:vMerge w:val="restart"/>
            <w:vAlign w:val="center"/>
          </w:tcPr>
          <w:p w14:paraId="2681D7C9">
            <w:pPr>
              <w:pStyle w:val="34"/>
            </w:pPr>
            <w:r>
              <w:rPr>
                <w:rFonts w:hint="eastAsia"/>
              </w:rPr>
              <w:t>海洋</w:t>
            </w:r>
            <w:r>
              <w:t>生态影响</w:t>
            </w:r>
            <w:r>
              <w:rPr>
                <w:rFonts w:hint="eastAsia"/>
              </w:rPr>
              <w:t>；SS、噪声</w:t>
            </w:r>
          </w:p>
        </w:tc>
        <w:tc>
          <w:tcPr>
            <w:tcW w:w="1473" w:type="pct"/>
            <w:vMerge w:val="restart"/>
            <w:vAlign w:val="center"/>
          </w:tcPr>
          <w:p w14:paraId="5E401402">
            <w:pPr>
              <w:pStyle w:val="34"/>
            </w:pPr>
            <w:r>
              <w:t>海洋水质</w:t>
            </w:r>
            <w:r>
              <w:rPr>
                <w:rFonts w:hint="eastAsia"/>
              </w:rPr>
              <w:t>、</w:t>
            </w:r>
            <w:r>
              <w:t>沉积物</w:t>
            </w:r>
            <w:r>
              <w:rPr>
                <w:rFonts w:hint="eastAsia"/>
              </w:rPr>
              <w:t>、</w:t>
            </w:r>
            <w:r>
              <w:t>生态环境现状</w:t>
            </w:r>
            <w:r>
              <w:rPr>
                <w:rFonts w:hint="eastAsia"/>
              </w:rPr>
              <w:t>、</w:t>
            </w:r>
            <w:r>
              <w:t>水动力</w:t>
            </w:r>
            <w:r>
              <w:rPr>
                <w:rFonts w:hint="eastAsia"/>
              </w:rPr>
              <w:t>、</w:t>
            </w:r>
            <w:r>
              <w:t>地形地貌冲淤等现状</w:t>
            </w:r>
          </w:p>
        </w:tc>
      </w:tr>
      <w:tr w14:paraId="09BB56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7" w:type="pct"/>
            <w:vMerge w:val="continue"/>
            <w:vAlign w:val="center"/>
          </w:tcPr>
          <w:p w14:paraId="1E7E6464">
            <w:pPr>
              <w:pStyle w:val="34"/>
            </w:pPr>
          </w:p>
        </w:tc>
        <w:tc>
          <w:tcPr>
            <w:tcW w:w="653" w:type="pct"/>
            <w:vMerge w:val="continue"/>
            <w:vAlign w:val="center"/>
          </w:tcPr>
          <w:p w14:paraId="71DE1F4D">
            <w:pPr>
              <w:pStyle w:val="34"/>
            </w:pPr>
          </w:p>
        </w:tc>
        <w:tc>
          <w:tcPr>
            <w:tcW w:w="1412" w:type="pct"/>
            <w:vAlign w:val="center"/>
          </w:tcPr>
          <w:p w14:paraId="7163B80B">
            <w:pPr>
              <w:pStyle w:val="34"/>
            </w:pPr>
            <w:r>
              <w:t>炸礁工程：炸礁工程量</w:t>
            </w:r>
            <w:r>
              <w:rPr>
                <w:rFonts w:hint="eastAsia"/>
              </w:rPr>
              <w:t>3.91</w:t>
            </w:r>
            <w:r>
              <w:t>万m</w:t>
            </w:r>
            <w:r>
              <w:rPr>
                <w:vertAlign w:val="superscript"/>
              </w:rPr>
              <w:t>3</w:t>
            </w:r>
          </w:p>
        </w:tc>
        <w:tc>
          <w:tcPr>
            <w:tcW w:w="914" w:type="pct"/>
            <w:vMerge w:val="continue"/>
            <w:vAlign w:val="center"/>
          </w:tcPr>
          <w:p w14:paraId="19986D91">
            <w:pPr>
              <w:pStyle w:val="34"/>
            </w:pPr>
          </w:p>
        </w:tc>
        <w:tc>
          <w:tcPr>
            <w:tcW w:w="1473" w:type="pct"/>
            <w:vMerge w:val="continue"/>
            <w:vAlign w:val="center"/>
          </w:tcPr>
          <w:p w14:paraId="07B018FD">
            <w:pPr>
              <w:pStyle w:val="34"/>
            </w:pPr>
          </w:p>
        </w:tc>
      </w:tr>
      <w:tr w14:paraId="32F67E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0" w:hRule="atLeast"/>
        </w:trPr>
        <w:tc>
          <w:tcPr>
            <w:tcW w:w="547" w:type="pct"/>
            <w:vMerge w:val="continue"/>
            <w:vAlign w:val="center"/>
          </w:tcPr>
          <w:p w14:paraId="72E16778">
            <w:pPr>
              <w:pStyle w:val="34"/>
            </w:pPr>
          </w:p>
        </w:tc>
        <w:tc>
          <w:tcPr>
            <w:tcW w:w="653" w:type="pct"/>
            <w:vAlign w:val="center"/>
          </w:tcPr>
          <w:p w14:paraId="4C4B679F">
            <w:pPr>
              <w:pStyle w:val="34"/>
            </w:pPr>
            <w:r>
              <w:rPr>
                <w:rFonts w:hint="eastAsia"/>
              </w:rPr>
              <w:t>陆域施工</w:t>
            </w:r>
          </w:p>
        </w:tc>
        <w:tc>
          <w:tcPr>
            <w:tcW w:w="1412" w:type="pct"/>
            <w:vAlign w:val="center"/>
          </w:tcPr>
          <w:p w14:paraId="03D31083">
            <w:pPr>
              <w:pStyle w:val="34"/>
            </w:pPr>
            <w:r>
              <w:t>配套工程</w:t>
            </w:r>
          </w:p>
        </w:tc>
        <w:tc>
          <w:tcPr>
            <w:tcW w:w="914" w:type="pct"/>
            <w:vAlign w:val="center"/>
          </w:tcPr>
          <w:p w14:paraId="532D2B95">
            <w:pPr>
              <w:pStyle w:val="34"/>
            </w:pPr>
            <w:r>
              <w:t>废水</w:t>
            </w:r>
            <w:r>
              <w:rPr>
                <w:rFonts w:hint="eastAsia"/>
              </w:rPr>
              <w:t>、</w:t>
            </w:r>
            <w:r>
              <w:t>废气</w:t>
            </w:r>
            <w:r>
              <w:rPr>
                <w:rFonts w:hint="eastAsia"/>
              </w:rPr>
              <w:t>、</w:t>
            </w:r>
          </w:p>
          <w:p w14:paraId="06EDE39A">
            <w:pPr>
              <w:pStyle w:val="34"/>
            </w:pPr>
            <w:r>
              <w:t>固废</w:t>
            </w:r>
            <w:r>
              <w:rPr>
                <w:rFonts w:hint="eastAsia"/>
              </w:rPr>
              <w:t>、</w:t>
            </w:r>
            <w:r>
              <w:t>噪声</w:t>
            </w:r>
          </w:p>
        </w:tc>
        <w:tc>
          <w:tcPr>
            <w:tcW w:w="1473" w:type="pct"/>
            <w:vAlign w:val="center"/>
          </w:tcPr>
          <w:p w14:paraId="6F4130B5">
            <w:pPr>
              <w:pStyle w:val="34"/>
            </w:pPr>
            <w:r>
              <w:t>施工废水</w:t>
            </w:r>
            <w:r>
              <w:rPr>
                <w:rFonts w:hint="eastAsia"/>
              </w:rPr>
              <w:t>、</w:t>
            </w:r>
            <w:r>
              <w:t>废气</w:t>
            </w:r>
            <w:r>
              <w:rPr>
                <w:rFonts w:hint="eastAsia"/>
              </w:rPr>
              <w:t>、</w:t>
            </w:r>
            <w:r>
              <w:t>噪声达标排放</w:t>
            </w:r>
            <w:r>
              <w:rPr>
                <w:rFonts w:hint="eastAsia"/>
              </w:rPr>
              <w:t>，</w:t>
            </w:r>
            <w:r>
              <w:t>固废</w:t>
            </w:r>
            <w:r>
              <w:rPr>
                <w:rFonts w:hint="eastAsia"/>
              </w:rPr>
              <w:t>外运</w:t>
            </w:r>
            <w:r>
              <w:t>处理</w:t>
            </w:r>
          </w:p>
        </w:tc>
      </w:tr>
      <w:tr w14:paraId="083508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7" w:type="pct"/>
            <w:vMerge w:val="restart"/>
            <w:vAlign w:val="center"/>
          </w:tcPr>
          <w:p w14:paraId="356299C1">
            <w:pPr>
              <w:pStyle w:val="34"/>
            </w:pPr>
            <w:r>
              <w:t>运营期</w:t>
            </w:r>
          </w:p>
        </w:tc>
        <w:tc>
          <w:tcPr>
            <w:tcW w:w="653" w:type="pct"/>
            <w:vMerge w:val="restart"/>
            <w:vAlign w:val="center"/>
          </w:tcPr>
          <w:p w14:paraId="22B15E7A">
            <w:pPr>
              <w:pStyle w:val="34"/>
            </w:pPr>
            <w:r>
              <w:rPr>
                <w:rFonts w:hint="eastAsia"/>
              </w:rPr>
              <w:t>码头生产作业</w:t>
            </w:r>
          </w:p>
        </w:tc>
        <w:tc>
          <w:tcPr>
            <w:tcW w:w="1412" w:type="pct"/>
            <w:vMerge w:val="restart"/>
            <w:vAlign w:val="center"/>
          </w:tcPr>
          <w:p w14:paraId="09822E3D">
            <w:pPr>
              <w:pStyle w:val="34"/>
            </w:pPr>
            <w:r>
              <w:rPr>
                <w:rFonts w:hint="eastAsia"/>
              </w:rPr>
              <w:t>普通货物集装箱装卸、转运</w:t>
            </w:r>
          </w:p>
          <w:p w14:paraId="62348B50">
            <w:pPr>
              <w:pStyle w:val="34"/>
            </w:pPr>
            <w:r>
              <w:rPr>
                <w:rFonts w:hint="eastAsia"/>
              </w:rPr>
              <w:t>普通货物集装箱堆存</w:t>
            </w:r>
          </w:p>
          <w:p w14:paraId="14D15BE6">
            <w:pPr>
              <w:pStyle w:val="34"/>
            </w:pPr>
            <w:r>
              <w:rPr>
                <w:rFonts w:hint="eastAsia"/>
              </w:rPr>
              <w:t>危险货物集装箱装卸、转运</w:t>
            </w:r>
          </w:p>
          <w:p w14:paraId="4AF6A17F">
            <w:pPr>
              <w:pStyle w:val="34"/>
            </w:pPr>
            <w:r>
              <w:rPr>
                <w:rFonts w:hint="eastAsia"/>
              </w:rPr>
              <w:t>危险货物集装箱堆存</w:t>
            </w:r>
          </w:p>
        </w:tc>
        <w:tc>
          <w:tcPr>
            <w:tcW w:w="914" w:type="pct"/>
            <w:vAlign w:val="center"/>
          </w:tcPr>
          <w:p w14:paraId="729E7155">
            <w:pPr>
              <w:pStyle w:val="34"/>
            </w:pPr>
            <w:r>
              <w:t>废气</w:t>
            </w:r>
          </w:p>
        </w:tc>
        <w:tc>
          <w:tcPr>
            <w:tcW w:w="1473" w:type="pct"/>
            <w:vAlign w:val="center"/>
          </w:tcPr>
          <w:p w14:paraId="436EAECF">
            <w:pPr>
              <w:pStyle w:val="34"/>
            </w:pPr>
            <w:r>
              <w:t>污染源及源强</w:t>
            </w:r>
            <w:r>
              <w:rPr>
                <w:rFonts w:hint="eastAsia"/>
              </w:rPr>
              <w:t>、</w:t>
            </w:r>
            <w:r>
              <w:t>主要污染物对周围环境空气质量的影响</w:t>
            </w:r>
          </w:p>
        </w:tc>
      </w:tr>
      <w:tr w14:paraId="2C40D6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7" w:type="pct"/>
            <w:vMerge w:val="continue"/>
            <w:vAlign w:val="center"/>
          </w:tcPr>
          <w:p w14:paraId="75920807">
            <w:pPr>
              <w:pStyle w:val="34"/>
            </w:pPr>
          </w:p>
        </w:tc>
        <w:tc>
          <w:tcPr>
            <w:tcW w:w="653" w:type="pct"/>
            <w:vMerge w:val="continue"/>
            <w:vAlign w:val="center"/>
          </w:tcPr>
          <w:p w14:paraId="7E4AF617">
            <w:pPr>
              <w:pStyle w:val="34"/>
            </w:pPr>
          </w:p>
        </w:tc>
        <w:tc>
          <w:tcPr>
            <w:tcW w:w="1412" w:type="pct"/>
            <w:vMerge w:val="continue"/>
          </w:tcPr>
          <w:p w14:paraId="1CCFD2CF">
            <w:pPr>
              <w:pStyle w:val="34"/>
            </w:pPr>
          </w:p>
        </w:tc>
        <w:tc>
          <w:tcPr>
            <w:tcW w:w="914" w:type="pct"/>
            <w:vAlign w:val="center"/>
          </w:tcPr>
          <w:p w14:paraId="6BD70BD0">
            <w:pPr>
              <w:pStyle w:val="34"/>
            </w:pPr>
            <w:r>
              <w:t>废水</w:t>
            </w:r>
          </w:p>
        </w:tc>
        <w:tc>
          <w:tcPr>
            <w:tcW w:w="1473" w:type="pct"/>
            <w:vAlign w:val="center"/>
          </w:tcPr>
          <w:p w14:paraId="33ED28BE">
            <w:pPr>
              <w:pStyle w:val="34"/>
            </w:pPr>
            <w:r>
              <w:t>生活污水源强</w:t>
            </w:r>
            <w:r>
              <w:rPr>
                <w:rFonts w:hint="eastAsia"/>
              </w:rPr>
              <w:t>；污水</w:t>
            </w:r>
            <w:r>
              <w:t>收集</w:t>
            </w:r>
            <w:r>
              <w:rPr>
                <w:rFonts w:hint="eastAsia"/>
              </w:rPr>
              <w:t>、</w:t>
            </w:r>
            <w:r>
              <w:t>达标处理情况</w:t>
            </w:r>
          </w:p>
        </w:tc>
      </w:tr>
      <w:tr w14:paraId="27EFEE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7" w:type="pct"/>
            <w:vMerge w:val="continue"/>
            <w:vAlign w:val="center"/>
          </w:tcPr>
          <w:p w14:paraId="4E6CA9B7">
            <w:pPr>
              <w:pStyle w:val="34"/>
            </w:pPr>
          </w:p>
        </w:tc>
        <w:tc>
          <w:tcPr>
            <w:tcW w:w="653" w:type="pct"/>
            <w:vMerge w:val="continue"/>
            <w:vAlign w:val="center"/>
          </w:tcPr>
          <w:p w14:paraId="39B7BBF4">
            <w:pPr>
              <w:pStyle w:val="34"/>
            </w:pPr>
          </w:p>
        </w:tc>
        <w:tc>
          <w:tcPr>
            <w:tcW w:w="1412" w:type="pct"/>
            <w:vMerge w:val="continue"/>
          </w:tcPr>
          <w:p w14:paraId="58B25DC0">
            <w:pPr>
              <w:pStyle w:val="34"/>
            </w:pPr>
          </w:p>
        </w:tc>
        <w:tc>
          <w:tcPr>
            <w:tcW w:w="914" w:type="pct"/>
            <w:vAlign w:val="center"/>
          </w:tcPr>
          <w:p w14:paraId="4DC36DFC">
            <w:pPr>
              <w:pStyle w:val="34"/>
            </w:pPr>
            <w:r>
              <w:t>噪声</w:t>
            </w:r>
          </w:p>
        </w:tc>
        <w:tc>
          <w:tcPr>
            <w:tcW w:w="1473" w:type="pct"/>
            <w:vAlign w:val="center"/>
          </w:tcPr>
          <w:p w14:paraId="5D5F3137">
            <w:pPr>
              <w:pStyle w:val="34"/>
            </w:pPr>
            <w:r>
              <w:t>主要噪声源强分析</w:t>
            </w:r>
            <w:r>
              <w:rPr>
                <w:rFonts w:hint="eastAsia"/>
              </w:rPr>
              <w:t>；</w:t>
            </w:r>
            <w:r>
              <w:t>场界噪声达标情况</w:t>
            </w:r>
          </w:p>
        </w:tc>
      </w:tr>
      <w:tr w14:paraId="35CE94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7" w:type="pct"/>
            <w:vMerge w:val="continue"/>
            <w:vAlign w:val="center"/>
          </w:tcPr>
          <w:p w14:paraId="3A9FCD26">
            <w:pPr>
              <w:pStyle w:val="34"/>
            </w:pPr>
          </w:p>
        </w:tc>
        <w:tc>
          <w:tcPr>
            <w:tcW w:w="653" w:type="pct"/>
            <w:vMerge w:val="continue"/>
            <w:vAlign w:val="center"/>
          </w:tcPr>
          <w:p w14:paraId="1F8E058C">
            <w:pPr>
              <w:pStyle w:val="34"/>
            </w:pPr>
          </w:p>
        </w:tc>
        <w:tc>
          <w:tcPr>
            <w:tcW w:w="1412" w:type="pct"/>
            <w:vMerge w:val="continue"/>
          </w:tcPr>
          <w:p w14:paraId="26777E10">
            <w:pPr>
              <w:pStyle w:val="34"/>
            </w:pPr>
          </w:p>
        </w:tc>
        <w:tc>
          <w:tcPr>
            <w:tcW w:w="914" w:type="pct"/>
            <w:vAlign w:val="center"/>
          </w:tcPr>
          <w:p w14:paraId="512BFA1D">
            <w:pPr>
              <w:pStyle w:val="34"/>
            </w:pPr>
            <w:r>
              <w:t>固废</w:t>
            </w:r>
          </w:p>
        </w:tc>
        <w:tc>
          <w:tcPr>
            <w:tcW w:w="1473" w:type="pct"/>
            <w:vAlign w:val="center"/>
          </w:tcPr>
          <w:p w14:paraId="1F26FD42">
            <w:pPr>
              <w:pStyle w:val="34"/>
            </w:pPr>
            <w:r>
              <w:t>固废</w:t>
            </w:r>
            <w:r>
              <w:rPr>
                <w:rFonts w:hint="eastAsia"/>
              </w:rPr>
              <w:t>暂存</w:t>
            </w:r>
            <w:r>
              <w:t>及外运措施可行性</w:t>
            </w:r>
          </w:p>
        </w:tc>
      </w:tr>
      <w:tr w14:paraId="27ABFD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7" w:type="pct"/>
            <w:vMerge w:val="continue"/>
            <w:vAlign w:val="center"/>
          </w:tcPr>
          <w:p w14:paraId="513090A3">
            <w:pPr>
              <w:pStyle w:val="34"/>
            </w:pPr>
          </w:p>
        </w:tc>
        <w:tc>
          <w:tcPr>
            <w:tcW w:w="653" w:type="pct"/>
            <w:vAlign w:val="center"/>
          </w:tcPr>
          <w:p w14:paraId="4F298E36">
            <w:pPr>
              <w:pStyle w:val="34"/>
            </w:pPr>
            <w:r>
              <w:rPr>
                <w:rFonts w:hint="eastAsia"/>
              </w:rPr>
              <w:t>事故风险</w:t>
            </w:r>
          </w:p>
        </w:tc>
        <w:tc>
          <w:tcPr>
            <w:tcW w:w="2409" w:type="dxa"/>
            <w:vAlign w:val="center"/>
          </w:tcPr>
          <w:p w14:paraId="08419506">
            <w:pPr>
              <w:pStyle w:val="34"/>
            </w:pPr>
            <w:r>
              <w:rPr>
                <w:rFonts w:hint="eastAsia" w:cs="宋体"/>
                <w:lang w:bidi="ar"/>
              </w:rPr>
              <w:t>泄漏事故及引发的次生污染</w:t>
            </w:r>
          </w:p>
        </w:tc>
        <w:tc>
          <w:tcPr>
            <w:tcW w:w="1559" w:type="dxa"/>
            <w:vAlign w:val="center"/>
          </w:tcPr>
          <w:p w14:paraId="56FEADC4">
            <w:pPr>
              <w:pStyle w:val="34"/>
            </w:pPr>
            <w:r>
              <w:rPr>
                <w:rFonts w:hint="eastAsia" w:cs="宋体"/>
                <w:lang w:bidi="ar"/>
              </w:rPr>
              <w:t>化学泄漏、二次污染物等</w:t>
            </w:r>
          </w:p>
        </w:tc>
        <w:tc>
          <w:tcPr>
            <w:tcW w:w="2513" w:type="dxa"/>
            <w:vAlign w:val="center"/>
          </w:tcPr>
          <w:p w14:paraId="035D26F3">
            <w:pPr>
              <w:pStyle w:val="34"/>
            </w:pPr>
            <w:r>
              <w:rPr>
                <w:rFonts w:hint="eastAsia" w:cs="宋体"/>
                <w:lang w:bidi="ar"/>
              </w:rPr>
              <w:t>预测工程危险化学品泄漏对环境空气、海域水质及生态等方面的影响</w:t>
            </w:r>
          </w:p>
        </w:tc>
      </w:tr>
    </w:tbl>
    <w:p w14:paraId="0C2C3E02">
      <w:pPr>
        <w:pStyle w:val="5"/>
      </w:pPr>
      <w:r>
        <w:t>评价因子筛选</w:t>
      </w:r>
    </w:p>
    <w:p w14:paraId="18539664">
      <w:pPr>
        <w:ind w:firstLine="462"/>
      </w:pPr>
      <w:r>
        <w:t>通过对工程</w:t>
      </w:r>
      <w:r>
        <w:rPr>
          <w:rFonts w:hint="eastAsia"/>
        </w:rPr>
        <w:t>内容</w:t>
      </w:r>
      <w:r>
        <w:t>及重点的识别，确定本工程环境影响评价因子见表1.4-</w:t>
      </w:r>
      <w:r>
        <w:rPr>
          <w:rFonts w:hint="eastAsia"/>
        </w:rPr>
        <w:t>3。</w:t>
      </w:r>
    </w:p>
    <w:p w14:paraId="59BD2EA0">
      <w:pPr>
        <w:pStyle w:val="7"/>
      </w:pPr>
      <w:r>
        <w:t>项目环境影响评价因子一览表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1752"/>
        <w:gridCol w:w="2905"/>
        <w:gridCol w:w="3711"/>
      </w:tblGrid>
      <w:tr w14:paraId="6273E2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54" w:hRule="atLeast"/>
          <w:tblHeader/>
          <w:jc w:val="center"/>
        </w:trPr>
        <w:tc>
          <w:tcPr>
            <w:tcW w:w="1047" w:type="pct"/>
            <w:tcBorders>
              <w:top w:val="single" w:color="auto" w:sz="12" w:space="0"/>
              <w:left w:val="single" w:color="auto" w:sz="12" w:space="0"/>
              <w:bottom w:val="single" w:color="auto" w:sz="6" w:space="0"/>
              <w:right w:val="single" w:color="auto" w:sz="6" w:space="0"/>
            </w:tcBorders>
            <w:vAlign w:val="center"/>
          </w:tcPr>
          <w:p w14:paraId="49B2A816">
            <w:pPr>
              <w:pStyle w:val="34"/>
            </w:pPr>
            <w:bookmarkStart w:id="135" w:name="_Hlk53733890"/>
            <w:r>
              <w:rPr>
                <w:rFonts w:hint="eastAsia"/>
                <w:lang w:bidi="ar"/>
              </w:rPr>
              <w:t>环境要素</w:t>
            </w:r>
          </w:p>
        </w:tc>
        <w:tc>
          <w:tcPr>
            <w:tcW w:w="1736" w:type="pct"/>
            <w:tcBorders>
              <w:top w:val="single" w:color="auto" w:sz="12" w:space="0"/>
              <w:left w:val="single" w:color="auto" w:sz="6" w:space="0"/>
              <w:bottom w:val="single" w:color="auto" w:sz="6" w:space="0"/>
              <w:right w:val="single" w:color="auto" w:sz="6" w:space="0"/>
            </w:tcBorders>
            <w:vAlign w:val="center"/>
          </w:tcPr>
          <w:p w14:paraId="3ADDD6F0">
            <w:pPr>
              <w:pStyle w:val="34"/>
            </w:pPr>
            <w:r>
              <w:rPr>
                <w:rFonts w:hint="eastAsia"/>
                <w:lang w:bidi="ar"/>
              </w:rPr>
              <w:t>现状评价因子</w:t>
            </w:r>
          </w:p>
        </w:tc>
        <w:tc>
          <w:tcPr>
            <w:tcW w:w="2217" w:type="pct"/>
            <w:tcBorders>
              <w:top w:val="single" w:color="auto" w:sz="12" w:space="0"/>
              <w:left w:val="single" w:color="auto" w:sz="6" w:space="0"/>
              <w:bottom w:val="single" w:color="auto" w:sz="6" w:space="0"/>
              <w:right w:val="single" w:color="auto" w:sz="12" w:space="0"/>
            </w:tcBorders>
            <w:vAlign w:val="center"/>
          </w:tcPr>
          <w:p w14:paraId="6B8B84D5">
            <w:pPr>
              <w:pStyle w:val="34"/>
            </w:pPr>
            <w:r>
              <w:rPr>
                <w:rFonts w:hint="eastAsia"/>
                <w:lang w:bidi="ar"/>
              </w:rPr>
              <w:t>影响预测因子</w:t>
            </w:r>
          </w:p>
        </w:tc>
      </w:tr>
      <w:tr w14:paraId="1D8B29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047" w:type="pct"/>
            <w:tcBorders>
              <w:top w:val="single" w:color="auto" w:sz="6" w:space="0"/>
              <w:left w:val="single" w:color="auto" w:sz="12" w:space="0"/>
              <w:bottom w:val="single" w:color="auto" w:sz="6" w:space="0"/>
              <w:right w:val="single" w:color="auto" w:sz="6" w:space="0"/>
            </w:tcBorders>
            <w:vAlign w:val="center"/>
          </w:tcPr>
          <w:p w14:paraId="12D0C365">
            <w:pPr>
              <w:pStyle w:val="34"/>
            </w:pPr>
            <w:r>
              <w:rPr>
                <w:rFonts w:hint="eastAsia"/>
                <w:lang w:bidi="ar"/>
              </w:rPr>
              <w:t>环境空气</w:t>
            </w:r>
          </w:p>
        </w:tc>
        <w:tc>
          <w:tcPr>
            <w:tcW w:w="1736" w:type="pct"/>
            <w:tcBorders>
              <w:top w:val="single" w:color="auto" w:sz="6" w:space="0"/>
              <w:left w:val="single" w:color="auto" w:sz="6" w:space="0"/>
              <w:bottom w:val="single" w:color="auto" w:sz="6" w:space="0"/>
              <w:right w:val="single" w:color="auto" w:sz="6" w:space="0"/>
            </w:tcBorders>
            <w:vAlign w:val="center"/>
          </w:tcPr>
          <w:p w14:paraId="774A4E02">
            <w:pPr>
              <w:pStyle w:val="34"/>
            </w:pPr>
            <w:r>
              <w:rPr>
                <w:lang w:bidi="ar"/>
              </w:rPr>
              <w:t>SO</w:t>
            </w:r>
            <w:r>
              <w:rPr>
                <w:vertAlign w:val="subscript"/>
                <w:lang w:bidi="ar"/>
              </w:rPr>
              <w:t>2</w:t>
            </w:r>
            <w:r>
              <w:rPr>
                <w:rFonts w:hint="eastAsia"/>
                <w:lang w:bidi="ar"/>
              </w:rPr>
              <w:t>、</w:t>
            </w:r>
            <w:r>
              <w:rPr>
                <w:lang w:bidi="ar"/>
              </w:rPr>
              <w:t>NO</w:t>
            </w:r>
            <w:r>
              <w:rPr>
                <w:vertAlign w:val="subscript"/>
                <w:lang w:bidi="ar"/>
              </w:rPr>
              <w:t>2</w:t>
            </w:r>
            <w:r>
              <w:rPr>
                <w:rFonts w:hint="eastAsia"/>
                <w:lang w:bidi="ar"/>
              </w:rPr>
              <w:t>、</w:t>
            </w:r>
            <w:r>
              <w:rPr>
                <w:lang w:bidi="ar"/>
              </w:rPr>
              <w:t>PM</w:t>
            </w:r>
            <w:r>
              <w:rPr>
                <w:vertAlign w:val="subscript"/>
                <w:lang w:bidi="ar"/>
              </w:rPr>
              <w:t>10</w:t>
            </w:r>
            <w:r>
              <w:rPr>
                <w:rFonts w:hint="eastAsia"/>
                <w:lang w:bidi="ar"/>
              </w:rPr>
              <w:t>、</w:t>
            </w:r>
            <w:r>
              <w:rPr>
                <w:lang w:bidi="ar"/>
              </w:rPr>
              <w:t>PM</w:t>
            </w:r>
            <w:r>
              <w:rPr>
                <w:vertAlign w:val="subscript"/>
                <w:lang w:bidi="ar"/>
              </w:rPr>
              <w:t>2.5</w:t>
            </w:r>
            <w:r>
              <w:rPr>
                <w:rFonts w:hint="eastAsia"/>
                <w:lang w:bidi="ar"/>
              </w:rPr>
              <w:t>、</w:t>
            </w:r>
            <w:r>
              <w:rPr>
                <w:lang w:bidi="ar"/>
              </w:rPr>
              <w:t>CO</w:t>
            </w:r>
            <w:r>
              <w:rPr>
                <w:rFonts w:hint="eastAsia"/>
                <w:lang w:bidi="ar"/>
              </w:rPr>
              <w:t>、</w:t>
            </w:r>
            <w:r>
              <w:rPr>
                <w:lang w:bidi="ar"/>
              </w:rPr>
              <w:t>O</w:t>
            </w:r>
            <w:r>
              <w:rPr>
                <w:vertAlign w:val="subscript"/>
                <w:lang w:bidi="ar"/>
              </w:rPr>
              <w:t>3</w:t>
            </w:r>
            <w:r>
              <w:rPr>
                <w:rFonts w:hint="eastAsia"/>
                <w:lang w:bidi="ar"/>
              </w:rPr>
              <w:t>、</w:t>
            </w:r>
            <w:r>
              <w:rPr>
                <w:lang w:bidi="ar"/>
              </w:rPr>
              <w:t>TSP</w:t>
            </w:r>
          </w:p>
        </w:tc>
        <w:tc>
          <w:tcPr>
            <w:tcW w:w="2217" w:type="pct"/>
            <w:tcBorders>
              <w:top w:val="single" w:color="auto" w:sz="6" w:space="0"/>
              <w:left w:val="single" w:color="auto" w:sz="6" w:space="0"/>
              <w:bottom w:val="single" w:color="auto" w:sz="6" w:space="0"/>
              <w:right w:val="single" w:color="auto" w:sz="12" w:space="0"/>
            </w:tcBorders>
            <w:vAlign w:val="center"/>
          </w:tcPr>
          <w:p w14:paraId="789F97B0">
            <w:pPr>
              <w:pStyle w:val="34"/>
            </w:pPr>
            <w:r>
              <w:rPr>
                <w:lang w:bidi="ar"/>
              </w:rPr>
              <w:t>PM</w:t>
            </w:r>
            <w:r>
              <w:rPr>
                <w:vertAlign w:val="subscript"/>
                <w:lang w:bidi="ar"/>
              </w:rPr>
              <w:t>10</w:t>
            </w:r>
            <w:r>
              <w:rPr>
                <w:rFonts w:hint="eastAsia"/>
                <w:lang w:bidi="ar"/>
              </w:rPr>
              <w:t>、</w:t>
            </w:r>
            <w:r>
              <w:rPr>
                <w:lang w:bidi="ar"/>
              </w:rPr>
              <w:t>PM</w:t>
            </w:r>
            <w:r>
              <w:rPr>
                <w:vertAlign w:val="subscript"/>
                <w:lang w:bidi="ar"/>
              </w:rPr>
              <w:t>2.5</w:t>
            </w:r>
            <w:r>
              <w:rPr>
                <w:rFonts w:hint="eastAsia"/>
                <w:lang w:bidi="ar"/>
              </w:rPr>
              <w:t>、</w:t>
            </w:r>
            <w:r>
              <w:rPr>
                <w:lang w:bidi="ar"/>
              </w:rPr>
              <w:t>TSP</w:t>
            </w:r>
            <w:r>
              <w:rPr>
                <w:rFonts w:hint="eastAsia"/>
                <w:lang w:bidi="ar"/>
              </w:rPr>
              <w:t>等</w:t>
            </w:r>
          </w:p>
        </w:tc>
      </w:tr>
      <w:tr w14:paraId="7E9003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047" w:type="pct"/>
            <w:tcBorders>
              <w:top w:val="single" w:color="auto" w:sz="6" w:space="0"/>
              <w:left w:val="single" w:color="auto" w:sz="12" w:space="0"/>
              <w:bottom w:val="single" w:color="auto" w:sz="6" w:space="0"/>
              <w:right w:val="single" w:color="auto" w:sz="6" w:space="0"/>
            </w:tcBorders>
            <w:noWrap/>
            <w:vAlign w:val="center"/>
          </w:tcPr>
          <w:p w14:paraId="5F9BAD86">
            <w:pPr>
              <w:pStyle w:val="34"/>
            </w:pPr>
            <w:r>
              <w:rPr>
                <w:szCs w:val="21"/>
              </w:rPr>
              <w:t>海水水质</w:t>
            </w:r>
          </w:p>
        </w:tc>
        <w:tc>
          <w:tcPr>
            <w:tcW w:w="1736" w:type="pct"/>
            <w:tcBorders>
              <w:top w:val="single" w:color="auto" w:sz="6" w:space="0"/>
              <w:left w:val="single" w:color="auto" w:sz="6" w:space="0"/>
              <w:bottom w:val="single" w:color="auto" w:sz="6" w:space="0"/>
              <w:right w:val="single" w:color="auto" w:sz="6" w:space="0"/>
            </w:tcBorders>
            <w:vAlign w:val="center"/>
          </w:tcPr>
          <w:p w14:paraId="6E2AF64B">
            <w:pPr>
              <w:pStyle w:val="34"/>
            </w:pPr>
            <w:r>
              <w:rPr>
                <w:rFonts w:hint="eastAsia"/>
                <w:szCs w:val="21"/>
              </w:rPr>
              <w:t>水温、水深、</w:t>
            </w:r>
            <w:r>
              <w:rPr>
                <w:szCs w:val="21"/>
              </w:rPr>
              <w:t>pH</w:t>
            </w:r>
            <w:r>
              <w:rPr>
                <w:rFonts w:hint="eastAsia"/>
                <w:szCs w:val="21"/>
              </w:rPr>
              <w:t>值、盐度、悬浮物、化学需氧量、溶解氧、硝酸盐氮、亚硝酸盐氮、氨氮、活性磷酸盐、氰化物、硫化物、氟化物、挥发性酚、石油类、铜、铅、锌、镉、汞、砷、总铬</w:t>
            </w:r>
          </w:p>
        </w:tc>
        <w:tc>
          <w:tcPr>
            <w:tcW w:w="2217" w:type="pct"/>
            <w:tcBorders>
              <w:top w:val="single" w:color="auto" w:sz="6" w:space="0"/>
              <w:left w:val="single" w:color="auto" w:sz="6" w:space="0"/>
              <w:bottom w:val="single" w:color="auto" w:sz="6" w:space="0"/>
              <w:right w:val="single" w:color="auto" w:sz="12" w:space="0"/>
            </w:tcBorders>
            <w:noWrap/>
            <w:vAlign w:val="center"/>
          </w:tcPr>
          <w:p w14:paraId="4C33E975">
            <w:pPr>
              <w:pStyle w:val="34"/>
            </w:pPr>
            <w:r>
              <w:rPr>
                <w:szCs w:val="21"/>
              </w:rPr>
              <w:t>/</w:t>
            </w:r>
          </w:p>
        </w:tc>
      </w:tr>
      <w:tr w14:paraId="7C224C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047" w:type="pct"/>
            <w:tcBorders>
              <w:top w:val="single" w:color="auto" w:sz="6" w:space="0"/>
              <w:left w:val="single" w:color="auto" w:sz="12" w:space="0"/>
              <w:bottom w:val="single" w:color="auto" w:sz="6" w:space="0"/>
              <w:right w:val="single" w:color="auto" w:sz="6" w:space="0"/>
            </w:tcBorders>
            <w:noWrap/>
            <w:vAlign w:val="center"/>
          </w:tcPr>
          <w:p w14:paraId="38504393">
            <w:pPr>
              <w:pStyle w:val="34"/>
              <w:rPr>
                <w:lang w:bidi="ar"/>
              </w:rPr>
            </w:pPr>
            <w:r>
              <w:rPr>
                <w:szCs w:val="21"/>
              </w:rPr>
              <w:t>海洋沉积物</w:t>
            </w:r>
          </w:p>
        </w:tc>
        <w:tc>
          <w:tcPr>
            <w:tcW w:w="1736" w:type="pct"/>
            <w:tcBorders>
              <w:top w:val="single" w:color="auto" w:sz="6" w:space="0"/>
              <w:left w:val="single" w:color="auto" w:sz="6" w:space="0"/>
              <w:bottom w:val="single" w:color="auto" w:sz="6" w:space="0"/>
              <w:right w:val="single" w:color="auto" w:sz="6" w:space="0"/>
            </w:tcBorders>
            <w:vAlign w:val="center"/>
          </w:tcPr>
          <w:p w14:paraId="7A3D1DF0">
            <w:pPr>
              <w:pStyle w:val="34"/>
              <w:rPr>
                <w:lang w:bidi="ar"/>
              </w:rPr>
            </w:pPr>
            <w:r>
              <w:rPr>
                <w:szCs w:val="21"/>
              </w:rPr>
              <w:t>铜、铅、锌、镉、铬、汞、砷、石油类、硫化物、有机碳</w:t>
            </w:r>
          </w:p>
        </w:tc>
        <w:tc>
          <w:tcPr>
            <w:tcW w:w="2217" w:type="pct"/>
            <w:tcBorders>
              <w:top w:val="single" w:color="auto" w:sz="6" w:space="0"/>
              <w:left w:val="single" w:color="auto" w:sz="6" w:space="0"/>
              <w:bottom w:val="single" w:color="auto" w:sz="6" w:space="0"/>
              <w:right w:val="single" w:color="auto" w:sz="12" w:space="0"/>
            </w:tcBorders>
            <w:noWrap/>
            <w:vAlign w:val="center"/>
          </w:tcPr>
          <w:p w14:paraId="15B28197">
            <w:pPr>
              <w:pStyle w:val="34"/>
              <w:rPr>
                <w:lang w:bidi="ar"/>
              </w:rPr>
            </w:pPr>
            <w:r>
              <w:rPr>
                <w:rFonts w:hint="eastAsia"/>
                <w:szCs w:val="21"/>
              </w:rPr>
              <w:t>/</w:t>
            </w:r>
          </w:p>
        </w:tc>
      </w:tr>
      <w:tr w14:paraId="54ED60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047" w:type="pct"/>
            <w:tcBorders>
              <w:top w:val="single" w:color="auto" w:sz="6" w:space="0"/>
              <w:left w:val="single" w:color="auto" w:sz="12" w:space="0"/>
              <w:bottom w:val="single" w:color="auto" w:sz="6" w:space="0"/>
              <w:right w:val="single" w:color="auto" w:sz="6" w:space="0"/>
            </w:tcBorders>
            <w:vAlign w:val="center"/>
          </w:tcPr>
          <w:p w14:paraId="75F53DEC">
            <w:pPr>
              <w:pStyle w:val="34"/>
            </w:pPr>
            <w:r>
              <w:rPr>
                <w:szCs w:val="21"/>
              </w:rPr>
              <w:t>海洋生态</w:t>
            </w:r>
          </w:p>
        </w:tc>
        <w:tc>
          <w:tcPr>
            <w:tcW w:w="1736" w:type="pct"/>
            <w:tcBorders>
              <w:top w:val="single" w:color="auto" w:sz="6" w:space="0"/>
              <w:left w:val="single" w:color="auto" w:sz="6" w:space="0"/>
              <w:bottom w:val="single" w:color="auto" w:sz="6" w:space="0"/>
              <w:right w:val="single" w:color="auto" w:sz="6" w:space="0"/>
            </w:tcBorders>
            <w:vAlign w:val="center"/>
          </w:tcPr>
          <w:p w14:paraId="55F31048">
            <w:pPr>
              <w:pStyle w:val="34"/>
            </w:pPr>
            <w:r>
              <w:rPr>
                <w:spacing w:val="-12"/>
                <w:szCs w:val="21"/>
              </w:rPr>
              <w:t>叶绿素a和营养状态指数，潮间带生物，浮游植物，浮游动物、鱼卵和仔鱼、底栖生物、游泳生物、生物残毒等</w:t>
            </w:r>
          </w:p>
        </w:tc>
        <w:tc>
          <w:tcPr>
            <w:tcW w:w="2217" w:type="pct"/>
            <w:tcBorders>
              <w:top w:val="single" w:color="auto" w:sz="6" w:space="0"/>
              <w:left w:val="single" w:color="auto" w:sz="6" w:space="0"/>
              <w:bottom w:val="single" w:color="auto" w:sz="6" w:space="0"/>
              <w:right w:val="single" w:color="auto" w:sz="12" w:space="0"/>
            </w:tcBorders>
            <w:vAlign w:val="center"/>
          </w:tcPr>
          <w:p w14:paraId="68C47C9C">
            <w:pPr>
              <w:pStyle w:val="34"/>
            </w:pPr>
            <w:r>
              <w:rPr>
                <w:rFonts w:hint="eastAsia"/>
                <w:spacing w:val="-12"/>
                <w:szCs w:val="21"/>
              </w:rPr>
              <w:t>/</w:t>
            </w:r>
          </w:p>
        </w:tc>
      </w:tr>
      <w:tr w14:paraId="470EDD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047" w:type="pct"/>
            <w:tcBorders>
              <w:top w:val="single" w:color="auto" w:sz="6" w:space="0"/>
              <w:left w:val="single" w:color="auto" w:sz="12" w:space="0"/>
              <w:bottom w:val="single" w:color="auto" w:sz="6" w:space="0"/>
              <w:right w:val="single" w:color="auto" w:sz="6" w:space="0"/>
            </w:tcBorders>
            <w:vAlign w:val="center"/>
          </w:tcPr>
          <w:p w14:paraId="31997484">
            <w:pPr>
              <w:pStyle w:val="34"/>
            </w:pPr>
            <w:r>
              <w:rPr>
                <w:rFonts w:hint="eastAsia"/>
                <w:lang w:bidi="ar"/>
              </w:rPr>
              <w:t>地下水环境</w:t>
            </w:r>
          </w:p>
        </w:tc>
        <w:tc>
          <w:tcPr>
            <w:tcW w:w="1736" w:type="pct"/>
            <w:tcBorders>
              <w:top w:val="single" w:color="auto" w:sz="6" w:space="0"/>
              <w:left w:val="single" w:color="auto" w:sz="6" w:space="0"/>
              <w:bottom w:val="single" w:color="auto" w:sz="6" w:space="0"/>
              <w:right w:val="single" w:color="auto" w:sz="6" w:space="0"/>
            </w:tcBorders>
            <w:vAlign w:val="center"/>
          </w:tcPr>
          <w:p w14:paraId="15035A52">
            <w:pPr>
              <w:pStyle w:val="34"/>
            </w:pPr>
            <w:r>
              <w:rPr>
                <w:bCs/>
                <w:lang w:bidi="ar"/>
              </w:rPr>
              <w:t>K</w:t>
            </w:r>
            <w:r>
              <w:rPr>
                <w:bCs/>
                <w:vertAlign w:val="superscript"/>
                <w:lang w:bidi="ar"/>
              </w:rPr>
              <w:t>+</w:t>
            </w:r>
            <w:r>
              <w:rPr>
                <w:rFonts w:hint="eastAsia"/>
                <w:bCs/>
                <w:lang w:bidi="ar"/>
              </w:rPr>
              <w:t>、</w:t>
            </w:r>
            <w:r>
              <w:rPr>
                <w:bCs/>
                <w:lang w:bidi="ar"/>
              </w:rPr>
              <w:t>Na</w:t>
            </w:r>
            <w:r>
              <w:rPr>
                <w:bCs/>
                <w:vertAlign w:val="superscript"/>
                <w:lang w:bidi="ar"/>
              </w:rPr>
              <w:t>+</w:t>
            </w:r>
            <w:r>
              <w:rPr>
                <w:rFonts w:hint="eastAsia"/>
                <w:bCs/>
                <w:lang w:bidi="ar"/>
              </w:rPr>
              <w:t>、</w:t>
            </w:r>
            <w:r>
              <w:rPr>
                <w:bCs/>
                <w:lang w:bidi="ar"/>
              </w:rPr>
              <w:t>Ca</w:t>
            </w:r>
            <w:r>
              <w:rPr>
                <w:bCs/>
                <w:vertAlign w:val="superscript"/>
                <w:lang w:bidi="ar"/>
              </w:rPr>
              <w:t>2+</w:t>
            </w:r>
            <w:r>
              <w:rPr>
                <w:rFonts w:hint="eastAsia"/>
                <w:bCs/>
                <w:lang w:bidi="ar"/>
              </w:rPr>
              <w:t>、</w:t>
            </w:r>
            <w:r>
              <w:rPr>
                <w:bCs/>
                <w:lang w:bidi="ar"/>
              </w:rPr>
              <w:t>Mg</w:t>
            </w:r>
            <w:r>
              <w:rPr>
                <w:bCs/>
                <w:vertAlign w:val="superscript"/>
                <w:lang w:bidi="ar"/>
              </w:rPr>
              <w:t>2+</w:t>
            </w:r>
            <w:r>
              <w:rPr>
                <w:rFonts w:hint="eastAsia"/>
                <w:bCs/>
                <w:lang w:bidi="ar"/>
              </w:rPr>
              <w:t>、</w:t>
            </w:r>
            <w:r>
              <w:rPr>
                <w:bCs/>
                <w:lang w:bidi="ar"/>
              </w:rPr>
              <w:t>CO</w:t>
            </w:r>
            <w:r>
              <w:rPr>
                <w:bCs/>
                <w:vertAlign w:val="subscript"/>
                <w:lang w:bidi="ar"/>
              </w:rPr>
              <w:t>3</w:t>
            </w:r>
            <w:r>
              <w:rPr>
                <w:bCs/>
                <w:vertAlign w:val="superscript"/>
                <w:lang w:bidi="ar"/>
              </w:rPr>
              <w:t>2-</w:t>
            </w:r>
            <w:r>
              <w:rPr>
                <w:rFonts w:hint="eastAsia"/>
                <w:bCs/>
                <w:lang w:bidi="ar"/>
              </w:rPr>
              <w:t>、</w:t>
            </w:r>
            <w:r>
              <w:rPr>
                <w:bCs/>
                <w:lang w:bidi="ar"/>
              </w:rPr>
              <w:t>HCO</w:t>
            </w:r>
            <w:r>
              <w:rPr>
                <w:bCs/>
                <w:vertAlign w:val="subscript"/>
                <w:lang w:bidi="ar"/>
              </w:rPr>
              <w:t>3</w:t>
            </w:r>
            <w:r>
              <w:rPr>
                <w:bCs/>
                <w:vertAlign w:val="superscript"/>
                <w:lang w:bidi="ar"/>
              </w:rPr>
              <w:t>-</w:t>
            </w:r>
            <w:r>
              <w:rPr>
                <w:rFonts w:hint="eastAsia"/>
                <w:bCs/>
                <w:lang w:bidi="ar"/>
              </w:rPr>
              <w:t>、</w:t>
            </w:r>
            <w:r>
              <w:rPr>
                <w:bCs/>
                <w:lang w:bidi="ar"/>
              </w:rPr>
              <w:t>Cl</w:t>
            </w:r>
            <w:r>
              <w:rPr>
                <w:bCs/>
                <w:vertAlign w:val="superscript"/>
                <w:lang w:bidi="ar"/>
              </w:rPr>
              <w:t>-</w:t>
            </w:r>
            <w:r>
              <w:rPr>
                <w:rFonts w:hint="eastAsia"/>
                <w:lang w:bidi="ar"/>
              </w:rPr>
              <w:t>、</w:t>
            </w:r>
            <w:r>
              <w:rPr>
                <w:lang w:bidi="ar"/>
              </w:rPr>
              <w:t>SO</w:t>
            </w:r>
            <w:r>
              <w:rPr>
                <w:vertAlign w:val="subscript"/>
                <w:lang w:bidi="ar"/>
              </w:rPr>
              <w:t>4</w:t>
            </w:r>
            <w:r>
              <w:rPr>
                <w:vertAlign w:val="superscript"/>
                <w:lang w:bidi="ar"/>
              </w:rPr>
              <w:t>2-</w:t>
            </w:r>
            <w:r>
              <w:rPr>
                <w:rFonts w:hint="eastAsia"/>
                <w:bCs/>
                <w:lang w:bidi="ar"/>
              </w:rPr>
              <w:t>、</w:t>
            </w:r>
            <w:r>
              <w:rPr>
                <w:bCs/>
                <w:lang w:bidi="ar"/>
              </w:rPr>
              <w:t>pH</w:t>
            </w:r>
            <w:r>
              <w:rPr>
                <w:rFonts w:hint="eastAsia"/>
                <w:bCs/>
                <w:lang w:bidi="ar"/>
              </w:rPr>
              <w:t>、总硬度（以</w:t>
            </w:r>
            <w:r>
              <w:rPr>
                <w:bCs/>
                <w:lang w:bidi="ar"/>
              </w:rPr>
              <w:t>CaCO</w:t>
            </w:r>
            <w:r>
              <w:rPr>
                <w:bCs/>
                <w:vertAlign w:val="subscript"/>
                <w:lang w:bidi="ar"/>
              </w:rPr>
              <w:t>3</w:t>
            </w:r>
            <w:r>
              <w:rPr>
                <w:rFonts w:hint="eastAsia"/>
                <w:bCs/>
                <w:lang w:bidi="ar"/>
              </w:rPr>
              <w:t>计）、溶解性总固体、耗氧量、氨氮、亚硝酸盐氮、硝酸盐氮、总大肠菌群、细菌总数、氯化物、硫酸盐、挥发性酚类、氰化物、氟化物、铁、锰、铜、锌、砷、汞、铬（六价）、铅、镉、石油类、三氯甲烷、四氯化碳、苯、甲苯</w:t>
            </w:r>
          </w:p>
        </w:tc>
        <w:tc>
          <w:tcPr>
            <w:tcW w:w="2217" w:type="pct"/>
            <w:tcBorders>
              <w:top w:val="single" w:color="auto" w:sz="6" w:space="0"/>
              <w:left w:val="single" w:color="auto" w:sz="6" w:space="0"/>
              <w:bottom w:val="single" w:color="auto" w:sz="6" w:space="0"/>
              <w:right w:val="single" w:color="auto" w:sz="12" w:space="0"/>
            </w:tcBorders>
            <w:vAlign w:val="center"/>
          </w:tcPr>
          <w:p w14:paraId="3CACAA52">
            <w:pPr>
              <w:pStyle w:val="34"/>
            </w:pPr>
            <w:r>
              <w:rPr>
                <w:rFonts w:hint="eastAsia"/>
                <w:bCs/>
                <w:lang w:bidi="ar"/>
              </w:rPr>
              <w:t>石油类、</w:t>
            </w:r>
            <w:r>
              <w:rPr>
                <w:bCs/>
                <w:lang w:bidi="ar"/>
              </w:rPr>
              <w:t>COD</w:t>
            </w:r>
            <w:r>
              <w:rPr>
                <w:rFonts w:hint="eastAsia"/>
                <w:bCs/>
                <w:lang w:bidi="ar"/>
              </w:rPr>
              <w:t>、氨氮</w:t>
            </w:r>
          </w:p>
        </w:tc>
      </w:tr>
      <w:tr w14:paraId="4EA67D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047" w:type="pct"/>
            <w:tcBorders>
              <w:top w:val="single" w:color="auto" w:sz="6" w:space="0"/>
              <w:left w:val="single" w:color="auto" w:sz="12" w:space="0"/>
              <w:bottom w:val="single" w:color="auto" w:sz="6" w:space="0"/>
              <w:right w:val="single" w:color="auto" w:sz="6" w:space="0"/>
            </w:tcBorders>
            <w:vAlign w:val="center"/>
          </w:tcPr>
          <w:p w14:paraId="4A25F50F">
            <w:pPr>
              <w:pStyle w:val="34"/>
            </w:pPr>
            <w:r>
              <w:rPr>
                <w:rFonts w:hint="eastAsia"/>
                <w:lang w:bidi="ar"/>
              </w:rPr>
              <w:t>固体废物</w:t>
            </w:r>
          </w:p>
        </w:tc>
        <w:tc>
          <w:tcPr>
            <w:tcW w:w="1736" w:type="pct"/>
            <w:tcBorders>
              <w:top w:val="single" w:color="auto" w:sz="6" w:space="0"/>
              <w:left w:val="single" w:color="auto" w:sz="6" w:space="0"/>
              <w:bottom w:val="single" w:color="auto" w:sz="6" w:space="0"/>
              <w:right w:val="single" w:color="auto" w:sz="6" w:space="0"/>
            </w:tcBorders>
            <w:vAlign w:val="center"/>
          </w:tcPr>
          <w:p w14:paraId="36C19181">
            <w:pPr>
              <w:pStyle w:val="34"/>
            </w:pPr>
            <w:r>
              <w:rPr>
                <w:rFonts w:hint="eastAsia"/>
                <w:lang w:bidi="ar"/>
              </w:rPr>
              <w:t>疏浚土石方、生活垃圾</w:t>
            </w:r>
          </w:p>
        </w:tc>
        <w:tc>
          <w:tcPr>
            <w:tcW w:w="2217" w:type="pct"/>
            <w:tcBorders>
              <w:top w:val="single" w:color="auto" w:sz="6" w:space="0"/>
              <w:left w:val="single" w:color="auto" w:sz="6" w:space="0"/>
              <w:bottom w:val="single" w:color="auto" w:sz="6" w:space="0"/>
              <w:right w:val="single" w:color="auto" w:sz="12" w:space="0"/>
            </w:tcBorders>
            <w:vAlign w:val="center"/>
          </w:tcPr>
          <w:p w14:paraId="3AF7C753">
            <w:pPr>
              <w:pStyle w:val="34"/>
            </w:pPr>
            <w:r>
              <w:rPr>
                <w:rFonts w:hint="eastAsia"/>
                <w:lang w:bidi="ar"/>
              </w:rPr>
              <w:t>疏浚土石方、生活垃圾</w:t>
            </w:r>
          </w:p>
        </w:tc>
      </w:tr>
      <w:tr w14:paraId="1F0192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047" w:type="pct"/>
            <w:tcBorders>
              <w:top w:val="single" w:color="auto" w:sz="6" w:space="0"/>
              <w:left w:val="single" w:color="auto" w:sz="12" w:space="0"/>
              <w:bottom w:val="single" w:color="auto" w:sz="12" w:space="0"/>
              <w:right w:val="single" w:color="auto" w:sz="6" w:space="0"/>
            </w:tcBorders>
            <w:vAlign w:val="center"/>
          </w:tcPr>
          <w:p w14:paraId="641F6EF1">
            <w:pPr>
              <w:pStyle w:val="34"/>
            </w:pPr>
            <w:r>
              <w:rPr>
                <w:rFonts w:hint="eastAsia"/>
                <w:lang w:bidi="ar"/>
              </w:rPr>
              <w:t>事故风险</w:t>
            </w:r>
          </w:p>
        </w:tc>
        <w:tc>
          <w:tcPr>
            <w:tcW w:w="1736" w:type="pct"/>
            <w:tcBorders>
              <w:top w:val="single" w:color="auto" w:sz="6" w:space="0"/>
              <w:left w:val="single" w:color="auto" w:sz="6" w:space="0"/>
              <w:bottom w:val="single" w:color="auto" w:sz="12" w:space="0"/>
              <w:right w:val="single" w:color="auto" w:sz="6" w:space="0"/>
            </w:tcBorders>
            <w:vAlign w:val="center"/>
          </w:tcPr>
          <w:p w14:paraId="23AF4449">
            <w:pPr>
              <w:pStyle w:val="34"/>
            </w:pPr>
            <w:r>
              <w:rPr>
                <w:rFonts w:hint="eastAsia"/>
                <w:lang w:bidi="ar"/>
              </w:rPr>
              <w:t>——</w:t>
            </w:r>
          </w:p>
        </w:tc>
        <w:tc>
          <w:tcPr>
            <w:tcW w:w="2217" w:type="pct"/>
            <w:tcBorders>
              <w:top w:val="single" w:color="auto" w:sz="6" w:space="0"/>
              <w:left w:val="single" w:color="auto" w:sz="6" w:space="0"/>
              <w:bottom w:val="single" w:color="auto" w:sz="12" w:space="0"/>
              <w:right w:val="single" w:color="auto" w:sz="12" w:space="0"/>
            </w:tcBorders>
            <w:vAlign w:val="center"/>
          </w:tcPr>
          <w:p w14:paraId="15DB7419">
            <w:pPr>
              <w:pStyle w:val="34"/>
            </w:pPr>
            <w:r>
              <w:rPr>
                <w:rFonts w:hint="eastAsia"/>
                <w:lang w:bidi="ar"/>
              </w:rPr>
              <w:t>风险事故导致的溢油对海域的影响，包括溢油路径、扩散面积、扫海面积；气体泄漏等</w:t>
            </w:r>
          </w:p>
        </w:tc>
      </w:tr>
      <w:bookmarkEnd w:id="78"/>
      <w:bookmarkEnd w:id="79"/>
      <w:bookmarkEnd w:id="80"/>
      <w:bookmarkEnd w:id="81"/>
      <w:bookmarkEnd w:id="82"/>
      <w:bookmarkEnd w:id="83"/>
      <w:bookmarkEnd w:id="135"/>
    </w:tbl>
    <w:p w14:paraId="1A6A0417">
      <w:pPr>
        <w:pStyle w:val="4"/>
      </w:pPr>
      <w:bookmarkStart w:id="136" w:name="_Toc247517532"/>
      <w:bookmarkStart w:id="137" w:name="_Toc317003236"/>
      <w:bookmarkStart w:id="138" w:name="_Toc247517459"/>
      <w:bookmarkStart w:id="139" w:name="_Toc198042311"/>
      <w:bookmarkStart w:id="140" w:name="_Toc232154403"/>
      <w:bookmarkStart w:id="141" w:name="_Toc317003516"/>
      <w:bookmarkStart w:id="142" w:name="_Toc247517264"/>
      <w:bookmarkStart w:id="143" w:name="_Toc217977907"/>
      <w:r>
        <w:t>环境保护目标</w:t>
      </w:r>
      <w:bookmarkEnd w:id="136"/>
      <w:bookmarkEnd w:id="137"/>
      <w:bookmarkEnd w:id="138"/>
      <w:bookmarkEnd w:id="139"/>
      <w:bookmarkEnd w:id="140"/>
      <w:bookmarkEnd w:id="141"/>
      <w:bookmarkEnd w:id="142"/>
      <w:bookmarkEnd w:id="143"/>
    </w:p>
    <w:p w14:paraId="702BA79E">
      <w:pPr>
        <w:pStyle w:val="5"/>
      </w:pPr>
      <w:bookmarkStart w:id="144" w:name="_Toc232154404"/>
      <w:bookmarkStart w:id="145" w:name="_Toc232336560"/>
      <w:bookmarkStart w:id="146" w:name="_Toc232337004"/>
      <w:bookmarkStart w:id="147" w:name="_Toc232337533"/>
      <w:bookmarkStart w:id="148" w:name="_Toc232337795"/>
      <w:bookmarkStart w:id="149" w:name="_Toc232338057"/>
      <w:bookmarkStart w:id="150" w:name="_Toc232337269"/>
      <w:r>
        <w:rPr>
          <w:rFonts w:hint="eastAsia"/>
        </w:rPr>
        <w:t>生态敏感目标</w:t>
      </w:r>
    </w:p>
    <w:p w14:paraId="55CA3A41">
      <w:pPr>
        <w:ind w:firstLine="462"/>
      </w:pPr>
      <w:r>
        <w:t>根据</w:t>
      </w:r>
      <w:r>
        <w:rPr>
          <w:rFonts w:hint="eastAsia"/>
        </w:rPr>
        <w:t>《环境影响评价技术导则 海洋生态环境》（HJ 1409-2025）</w:t>
      </w:r>
      <w:r>
        <w:t>，海洋生态环境敏感区指海洋生态服务功能价值较高，且遭受损害后较难恢复其功能的海域。以</w:t>
      </w:r>
      <w:r>
        <w:rPr>
          <w:rFonts w:hint="eastAsia"/>
        </w:rPr>
        <w:t>码头周边300m陆域及12km海域生态系统为主要目标</w:t>
      </w:r>
      <w:r>
        <w:t>，</w:t>
      </w:r>
      <w:r>
        <w:rPr>
          <w:rFonts w:hint="eastAsia"/>
        </w:rPr>
        <w:t>工程附近区域海洋生态环境敏感目标主要包括：</w:t>
      </w:r>
      <w:bookmarkStart w:id="151" w:name="OLE_LINK221"/>
      <w:r>
        <w:rPr>
          <w:rFonts w:hint="eastAsia"/>
        </w:rPr>
        <w:t>金鼓江红树林湿地、北部湾水源涵养生态保护红线区、钦州港青菜头南浅海滩涂养殖区。</w:t>
      </w:r>
      <w:bookmarkEnd w:id="151"/>
    </w:p>
    <w:p w14:paraId="4A29B225">
      <w:pPr>
        <w:pStyle w:val="7"/>
      </w:pPr>
      <w:bookmarkStart w:id="152" w:name="_Hlk54189494"/>
      <w:r>
        <w:t>项目与评价范围内</w:t>
      </w:r>
      <w:r>
        <w:rPr>
          <w:rFonts w:hint="eastAsia"/>
        </w:rPr>
        <w:t>生态</w:t>
      </w:r>
      <w:r>
        <w:t>敏感</w:t>
      </w:r>
      <w:r>
        <w:rPr>
          <w:rFonts w:hint="eastAsia"/>
        </w:rPr>
        <w:t>目标</w:t>
      </w:r>
      <w:r>
        <w:t>关系一览</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50"/>
        <w:gridCol w:w="789"/>
        <w:gridCol w:w="1712"/>
        <w:gridCol w:w="1710"/>
        <w:gridCol w:w="1094"/>
        <w:gridCol w:w="712"/>
        <w:gridCol w:w="858"/>
        <w:gridCol w:w="1217"/>
      </w:tblGrid>
      <w:tr w14:paraId="1A4887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50" w:type="pct"/>
            <w:tcMar>
              <w:left w:w="0" w:type="dxa"/>
              <w:right w:w="0" w:type="dxa"/>
            </w:tcMar>
            <w:vAlign w:val="center"/>
          </w:tcPr>
          <w:p w14:paraId="3CA409D0">
            <w:pPr>
              <w:pStyle w:val="34"/>
            </w:pPr>
            <w:bookmarkStart w:id="153" w:name="_Hlk183457761"/>
            <w:r>
              <w:t>序号</w:t>
            </w:r>
          </w:p>
        </w:tc>
        <w:tc>
          <w:tcPr>
            <w:tcW w:w="473" w:type="pct"/>
            <w:tcMar>
              <w:left w:w="0" w:type="dxa"/>
              <w:right w:w="0" w:type="dxa"/>
            </w:tcMar>
            <w:vAlign w:val="center"/>
          </w:tcPr>
          <w:p w14:paraId="7C193844">
            <w:pPr>
              <w:pStyle w:val="34"/>
            </w:pPr>
            <w:r>
              <w:t>类型</w:t>
            </w:r>
          </w:p>
        </w:tc>
        <w:tc>
          <w:tcPr>
            <w:tcW w:w="1026" w:type="pct"/>
            <w:tcMar>
              <w:left w:w="0" w:type="dxa"/>
              <w:right w:w="0" w:type="dxa"/>
            </w:tcMar>
            <w:vAlign w:val="center"/>
          </w:tcPr>
          <w:p w14:paraId="6E908262">
            <w:pPr>
              <w:pStyle w:val="34"/>
            </w:pPr>
            <w:r>
              <w:t>环境保护目标名称</w:t>
            </w:r>
          </w:p>
        </w:tc>
        <w:tc>
          <w:tcPr>
            <w:tcW w:w="1025" w:type="pct"/>
            <w:tcMar>
              <w:left w:w="0" w:type="dxa"/>
              <w:right w:w="0" w:type="dxa"/>
            </w:tcMar>
            <w:vAlign w:val="center"/>
          </w:tcPr>
          <w:p w14:paraId="38E6E935">
            <w:pPr>
              <w:pStyle w:val="34"/>
            </w:pPr>
            <w:r>
              <w:rPr>
                <w:rFonts w:hint="eastAsia"/>
              </w:rPr>
              <w:t>保护级别/依据</w:t>
            </w:r>
          </w:p>
        </w:tc>
        <w:tc>
          <w:tcPr>
            <w:tcW w:w="656" w:type="pct"/>
            <w:vAlign w:val="center"/>
          </w:tcPr>
          <w:p w14:paraId="5AAC3279">
            <w:pPr>
              <w:pStyle w:val="34"/>
            </w:pPr>
            <w:r>
              <w:rPr>
                <w:rFonts w:hint="eastAsia"/>
              </w:rPr>
              <w:t>位置描述</w:t>
            </w:r>
          </w:p>
        </w:tc>
        <w:tc>
          <w:tcPr>
            <w:tcW w:w="427" w:type="pct"/>
            <w:tcMar>
              <w:left w:w="0" w:type="dxa"/>
              <w:right w:w="0" w:type="dxa"/>
            </w:tcMar>
            <w:vAlign w:val="center"/>
          </w:tcPr>
          <w:p w14:paraId="0D8D569F">
            <w:pPr>
              <w:pStyle w:val="34"/>
            </w:pPr>
            <w:r>
              <w:t>方位</w:t>
            </w:r>
          </w:p>
        </w:tc>
        <w:tc>
          <w:tcPr>
            <w:tcW w:w="514" w:type="pct"/>
            <w:tcMar>
              <w:left w:w="0" w:type="dxa"/>
              <w:right w:w="0" w:type="dxa"/>
            </w:tcMar>
            <w:vAlign w:val="center"/>
          </w:tcPr>
          <w:p w14:paraId="0A06A4E5">
            <w:pPr>
              <w:pStyle w:val="34"/>
            </w:pPr>
            <w:r>
              <w:t>最近距离（km）</w:t>
            </w:r>
          </w:p>
        </w:tc>
        <w:tc>
          <w:tcPr>
            <w:tcW w:w="729" w:type="pct"/>
            <w:tcMar>
              <w:left w:w="0" w:type="dxa"/>
              <w:right w:w="0" w:type="dxa"/>
            </w:tcMar>
            <w:vAlign w:val="center"/>
          </w:tcPr>
          <w:p w14:paraId="3BF0A722">
            <w:pPr>
              <w:pStyle w:val="34"/>
            </w:pPr>
            <w:r>
              <w:t>保护内容</w:t>
            </w:r>
          </w:p>
        </w:tc>
      </w:tr>
      <w:tr w14:paraId="027A23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50" w:type="pct"/>
            <w:tcMar>
              <w:left w:w="0" w:type="dxa"/>
              <w:right w:w="0" w:type="dxa"/>
            </w:tcMar>
            <w:vAlign w:val="center"/>
          </w:tcPr>
          <w:p w14:paraId="66C59634">
            <w:pPr>
              <w:pStyle w:val="34"/>
            </w:pPr>
            <w:r>
              <w:rPr>
                <w:rFonts w:hint="eastAsia"/>
              </w:rPr>
              <w:t>1</w:t>
            </w:r>
          </w:p>
        </w:tc>
        <w:tc>
          <w:tcPr>
            <w:tcW w:w="473" w:type="pct"/>
            <w:tcMar>
              <w:left w:w="0" w:type="dxa"/>
              <w:right w:w="0" w:type="dxa"/>
            </w:tcMar>
            <w:vAlign w:val="center"/>
          </w:tcPr>
          <w:p w14:paraId="4520378F">
            <w:pPr>
              <w:pStyle w:val="34"/>
            </w:pPr>
            <w:r>
              <w:rPr>
                <w:rFonts w:hint="eastAsia"/>
              </w:rPr>
              <w:t>生态保护红线</w:t>
            </w:r>
          </w:p>
        </w:tc>
        <w:tc>
          <w:tcPr>
            <w:tcW w:w="1026" w:type="pct"/>
            <w:tcMar>
              <w:left w:w="0" w:type="dxa"/>
              <w:right w:w="0" w:type="dxa"/>
            </w:tcMar>
            <w:vAlign w:val="center"/>
          </w:tcPr>
          <w:p w14:paraId="00004DA8">
            <w:pPr>
              <w:pStyle w:val="34"/>
            </w:pPr>
            <w:r>
              <w:rPr>
                <w:rFonts w:hint="eastAsia"/>
              </w:rPr>
              <w:t>北部湾水源涵养生态保护红线区</w:t>
            </w:r>
          </w:p>
        </w:tc>
        <w:tc>
          <w:tcPr>
            <w:tcW w:w="1025" w:type="pct"/>
            <w:tcMar>
              <w:left w:w="0" w:type="dxa"/>
              <w:right w:w="0" w:type="dxa"/>
            </w:tcMar>
            <w:vAlign w:val="center"/>
          </w:tcPr>
          <w:p w14:paraId="26AFDE4E">
            <w:pPr>
              <w:pStyle w:val="34"/>
            </w:pPr>
            <w:r>
              <w:rPr>
                <w:rFonts w:hint="eastAsia"/>
              </w:rPr>
              <w:t>《钦州市国土空间总体规划（2021—2035年）》</w:t>
            </w:r>
          </w:p>
        </w:tc>
        <w:tc>
          <w:tcPr>
            <w:tcW w:w="656" w:type="pct"/>
            <w:vAlign w:val="center"/>
          </w:tcPr>
          <w:p w14:paraId="33552089">
            <w:pPr>
              <w:pStyle w:val="34"/>
            </w:pPr>
            <w:r>
              <w:rPr>
                <w:rFonts w:hint="eastAsia"/>
              </w:rPr>
              <w:t>金鼓江部分红树林湿地划为保护红线</w:t>
            </w:r>
          </w:p>
        </w:tc>
        <w:tc>
          <w:tcPr>
            <w:tcW w:w="427" w:type="pct"/>
            <w:tcMar>
              <w:left w:w="0" w:type="dxa"/>
              <w:right w:w="0" w:type="dxa"/>
            </w:tcMar>
            <w:vAlign w:val="center"/>
          </w:tcPr>
          <w:p w14:paraId="43F0199F">
            <w:pPr>
              <w:pStyle w:val="34"/>
            </w:pPr>
            <w:r>
              <w:rPr>
                <w:rFonts w:hint="eastAsia"/>
              </w:rPr>
              <w:t>N</w:t>
            </w:r>
          </w:p>
        </w:tc>
        <w:tc>
          <w:tcPr>
            <w:tcW w:w="514" w:type="pct"/>
            <w:tcMar>
              <w:left w:w="0" w:type="dxa"/>
              <w:right w:w="0" w:type="dxa"/>
            </w:tcMar>
            <w:vAlign w:val="center"/>
          </w:tcPr>
          <w:p w14:paraId="6D13D4BB">
            <w:pPr>
              <w:pStyle w:val="34"/>
            </w:pPr>
            <w:r>
              <w:rPr>
                <w:rFonts w:hint="eastAsia"/>
              </w:rPr>
              <w:t>10.1</w:t>
            </w:r>
          </w:p>
        </w:tc>
        <w:tc>
          <w:tcPr>
            <w:tcW w:w="729" w:type="pct"/>
            <w:tcMar>
              <w:left w:w="0" w:type="dxa"/>
              <w:right w:w="0" w:type="dxa"/>
            </w:tcMar>
            <w:vAlign w:val="center"/>
          </w:tcPr>
          <w:p w14:paraId="2CD50052">
            <w:pPr>
              <w:pStyle w:val="34"/>
              <w:rPr>
                <w:sz w:val="22"/>
                <w:szCs w:val="22"/>
              </w:rPr>
            </w:pPr>
            <w:r>
              <w:rPr>
                <w:rFonts w:hint="eastAsia"/>
                <w:sz w:val="22"/>
                <w:szCs w:val="22"/>
              </w:rPr>
              <w:t>水源涵养</w:t>
            </w:r>
          </w:p>
        </w:tc>
      </w:tr>
      <w:tr w14:paraId="192FF3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50" w:type="pct"/>
            <w:vMerge w:val="restart"/>
            <w:tcMar>
              <w:left w:w="0" w:type="dxa"/>
              <w:right w:w="0" w:type="dxa"/>
            </w:tcMar>
            <w:vAlign w:val="center"/>
          </w:tcPr>
          <w:p w14:paraId="20C9D40C">
            <w:pPr>
              <w:pStyle w:val="34"/>
            </w:pPr>
            <w:r>
              <w:rPr>
                <w:rFonts w:hint="eastAsia"/>
              </w:rPr>
              <w:t>2</w:t>
            </w:r>
          </w:p>
        </w:tc>
        <w:tc>
          <w:tcPr>
            <w:tcW w:w="473" w:type="pct"/>
            <w:vMerge w:val="restart"/>
            <w:tcMar>
              <w:left w:w="0" w:type="dxa"/>
              <w:right w:w="0" w:type="dxa"/>
            </w:tcMar>
            <w:vAlign w:val="center"/>
          </w:tcPr>
          <w:p w14:paraId="79D88D59">
            <w:pPr>
              <w:pStyle w:val="34"/>
            </w:pPr>
            <w:r>
              <w:t>红树林分布区</w:t>
            </w:r>
          </w:p>
        </w:tc>
        <w:tc>
          <w:tcPr>
            <w:tcW w:w="1026" w:type="pct"/>
            <w:tcMar>
              <w:left w:w="0" w:type="dxa"/>
              <w:right w:w="0" w:type="dxa"/>
            </w:tcMar>
            <w:vAlign w:val="center"/>
          </w:tcPr>
          <w:p w14:paraId="03B389FE">
            <w:pPr>
              <w:pStyle w:val="34"/>
              <w:rPr>
                <w:u w:val="single"/>
              </w:rPr>
            </w:pPr>
            <w:r>
              <w:rPr>
                <w:rFonts w:hint="eastAsia"/>
                <w:u w:val="single"/>
              </w:rPr>
              <w:t>金鼓江红树林</w:t>
            </w:r>
          </w:p>
        </w:tc>
        <w:tc>
          <w:tcPr>
            <w:tcW w:w="1025" w:type="pct"/>
            <w:tcMar>
              <w:left w:w="0" w:type="dxa"/>
              <w:right w:w="0" w:type="dxa"/>
            </w:tcMar>
            <w:vAlign w:val="center"/>
          </w:tcPr>
          <w:p w14:paraId="19C19617">
            <w:pPr>
              <w:pStyle w:val="34"/>
              <w:rPr>
                <w:u w:val="single"/>
              </w:rPr>
            </w:pPr>
            <w:r>
              <w:rPr>
                <w:rFonts w:hint="eastAsia"/>
                <w:u w:val="single"/>
              </w:rPr>
              <w:t>/</w:t>
            </w:r>
          </w:p>
        </w:tc>
        <w:tc>
          <w:tcPr>
            <w:tcW w:w="656" w:type="pct"/>
            <w:vAlign w:val="center"/>
          </w:tcPr>
          <w:p w14:paraId="6EC4EA80">
            <w:pPr>
              <w:pStyle w:val="34"/>
              <w:rPr>
                <w:u w:val="single"/>
              </w:rPr>
            </w:pPr>
            <w:r>
              <w:rPr>
                <w:rFonts w:hint="eastAsia"/>
                <w:u w:val="single"/>
              </w:rPr>
              <w:t>金鼓江岸滩</w:t>
            </w:r>
          </w:p>
        </w:tc>
        <w:tc>
          <w:tcPr>
            <w:tcW w:w="427" w:type="pct"/>
            <w:tcMar>
              <w:left w:w="0" w:type="dxa"/>
              <w:right w:w="0" w:type="dxa"/>
            </w:tcMar>
            <w:vAlign w:val="center"/>
          </w:tcPr>
          <w:p w14:paraId="32A7A867">
            <w:pPr>
              <w:pStyle w:val="34"/>
              <w:rPr>
                <w:u w:val="single"/>
              </w:rPr>
            </w:pPr>
            <w:r>
              <w:rPr>
                <w:rFonts w:hint="eastAsia"/>
                <w:u w:val="single"/>
              </w:rPr>
              <w:t>N</w:t>
            </w:r>
          </w:p>
        </w:tc>
        <w:tc>
          <w:tcPr>
            <w:tcW w:w="514" w:type="pct"/>
            <w:tcMar>
              <w:left w:w="0" w:type="dxa"/>
              <w:right w:w="0" w:type="dxa"/>
            </w:tcMar>
            <w:vAlign w:val="center"/>
          </w:tcPr>
          <w:p w14:paraId="64F44C29">
            <w:pPr>
              <w:pStyle w:val="34"/>
              <w:rPr>
                <w:u w:val="single"/>
              </w:rPr>
            </w:pPr>
            <w:r>
              <w:rPr>
                <w:rFonts w:hint="eastAsia"/>
                <w:u w:val="single"/>
              </w:rPr>
              <w:t>10.1</w:t>
            </w:r>
          </w:p>
        </w:tc>
        <w:tc>
          <w:tcPr>
            <w:tcW w:w="729" w:type="pct"/>
            <w:vMerge w:val="restart"/>
            <w:tcMar>
              <w:left w:w="0" w:type="dxa"/>
              <w:right w:w="0" w:type="dxa"/>
            </w:tcMar>
            <w:vAlign w:val="center"/>
          </w:tcPr>
          <w:p w14:paraId="0B1AAB72">
            <w:pPr>
              <w:pStyle w:val="34"/>
            </w:pPr>
            <w:r>
              <w:t>水质、生态环境、红树林及其生态系统</w:t>
            </w:r>
          </w:p>
        </w:tc>
      </w:tr>
      <w:tr w14:paraId="09C108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50" w:type="pct"/>
            <w:vMerge w:val="continue"/>
            <w:tcMar>
              <w:left w:w="0" w:type="dxa"/>
              <w:right w:w="0" w:type="dxa"/>
            </w:tcMar>
            <w:vAlign w:val="center"/>
          </w:tcPr>
          <w:p w14:paraId="76A31721">
            <w:pPr>
              <w:pStyle w:val="34"/>
            </w:pPr>
          </w:p>
        </w:tc>
        <w:tc>
          <w:tcPr>
            <w:tcW w:w="473" w:type="pct"/>
            <w:vMerge w:val="continue"/>
            <w:tcMar>
              <w:left w:w="0" w:type="dxa"/>
              <w:right w:w="0" w:type="dxa"/>
            </w:tcMar>
            <w:vAlign w:val="center"/>
          </w:tcPr>
          <w:p w14:paraId="69BB40AD">
            <w:pPr>
              <w:pStyle w:val="34"/>
            </w:pPr>
          </w:p>
        </w:tc>
        <w:tc>
          <w:tcPr>
            <w:tcW w:w="1026" w:type="pct"/>
            <w:tcMar>
              <w:left w:w="0" w:type="dxa"/>
              <w:right w:w="0" w:type="dxa"/>
            </w:tcMar>
            <w:vAlign w:val="center"/>
          </w:tcPr>
          <w:p w14:paraId="4FAD1812">
            <w:pPr>
              <w:pStyle w:val="34"/>
            </w:pPr>
            <w:r>
              <w:rPr>
                <w:rFonts w:hint="eastAsia"/>
              </w:rPr>
              <w:t>茅尾海口门处红树林</w:t>
            </w:r>
          </w:p>
        </w:tc>
        <w:tc>
          <w:tcPr>
            <w:tcW w:w="1025" w:type="pct"/>
            <w:tcMar>
              <w:left w:w="0" w:type="dxa"/>
              <w:right w:w="0" w:type="dxa"/>
            </w:tcMar>
            <w:vAlign w:val="center"/>
          </w:tcPr>
          <w:p w14:paraId="3E81419B">
            <w:pPr>
              <w:pStyle w:val="34"/>
            </w:pPr>
            <w:r>
              <w:rPr>
                <w:rFonts w:hint="eastAsia"/>
              </w:rPr>
              <w:t>/</w:t>
            </w:r>
          </w:p>
        </w:tc>
        <w:tc>
          <w:tcPr>
            <w:tcW w:w="656" w:type="pct"/>
            <w:vAlign w:val="center"/>
          </w:tcPr>
          <w:p w14:paraId="296F5925">
            <w:pPr>
              <w:pStyle w:val="34"/>
            </w:pPr>
            <w:r>
              <w:rPr>
                <w:rFonts w:hint="eastAsia"/>
              </w:rPr>
              <w:t>茅尾海湾口处</w:t>
            </w:r>
          </w:p>
        </w:tc>
        <w:tc>
          <w:tcPr>
            <w:tcW w:w="427" w:type="pct"/>
            <w:tcMar>
              <w:left w:w="0" w:type="dxa"/>
              <w:right w:w="0" w:type="dxa"/>
            </w:tcMar>
            <w:vAlign w:val="center"/>
          </w:tcPr>
          <w:p w14:paraId="7FBEB3B1">
            <w:pPr>
              <w:pStyle w:val="34"/>
            </w:pPr>
            <w:r>
              <w:rPr>
                <w:rFonts w:hint="eastAsia"/>
              </w:rPr>
              <w:t>W</w:t>
            </w:r>
          </w:p>
        </w:tc>
        <w:tc>
          <w:tcPr>
            <w:tcW w:w="514" w:type="pct"/>
            <w:tcMar>
              <w:left w:w="0" w:type="dxa"/>
              <w:right w:w="0" w:type="dxa"/>
            </w:tcMar>
            <w:vAlign w:val="center"/>
          </w:tcPr>
          <w:p w14:paraId="52008C14">
            <w:pPr>
              <w:pStyle w:val="34"/>
            </w:pPr>
            <w:r>
              <w:rPr>
                <w:rFonts w:hint="eastAsia"/>
              </w:rPr>
              <w:t>8.8</w:t>
            </w:r>
          </w:p>
        </w:tc>
        <w:tc>
          <w:tcPr>
            <w:tcW w:w="729" w:type="pct"/>
            <w:vMerge w:val="continue"/>
            <w:tcMar>
              <w:left w:w="0" w:type="dxa"/>
              <w:right w:w="0" w:type="dxa"/>
            </w:tcMar>
            <w:vAlign w:val="center"/>
          </w:tcPr>
          <w:p w14:paraId="7A0AC1FD">
            <w:pPr>
              <w:pStyle w:val="34"/>
            </w:pPr>
          </w:p>
        </w:tc>
      </w:tr>
      <w:tr w14:paraId="686B6B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50" w:type="pct"/>
            <w:tcMar>
              <w:left w:w="0" w:type="dxa"/>
              <w:right w:w="0" w:type="dxa"/>
            </w:tcMar>
            <w:vAlign w:val="center"/>
          </w:tcPr>
          <w:p w14:paraId="1345799E">
            <w:pPr>
              <w:pStyle w:val="34"/>
              <w:rPr>
                <w:u w:val="single"/>
              </w:rPr>
            </w:pPr>
            <w:r>
              <w:rPr>
                <w:rFonts w:hint="eastAsia"/>
                <w:u w:val="single"/>
              </w:rPr>
              <w:t>3</w:t>
            </w:r>
          </w:p>
        </w:tc>
        <w:tc>
          <w:tcPr>
            <w:tcW w:w="473" w:type="pct"/>
            <w:tcMar>
              <w:left w:w="0" w:type="dxa"/>
              <w:right w:w="0" w:type="dxa"/>
            </w:tcMar>
            <w:vAlign w:val="center"/>
          </w:tcPr>
          <w:p w14:paraId="6B575952">
            <w:pPr>
              <w:pStyle w:val="34"/>
              <w:rPr>
                <w:u w:val="single"/>
              </w:rPr>
            </w:pPr>
            <w:r>
              <w:rPr>
                <w:u w:val="single"/>
              </w:rPr>
              <w:t>养殖区</w:t>
            </w:r>
          </w:p>
        </w:tc>
        <w:tc>
          <w:tcPr>
            <w:tcW w:w="1026" w:type="pct"/>
            <w:tcMar>
              <w:left w:w="0" w:type="dxa"/>
              <w:right w:w="0" w:type="dxa"/>
            </w:tcMar>
            <w:vAlign w:val="center"/>
          </w:tcPr>
          <w:p w14:paraId="110A7E1A">
            <w:pPr>
              <w:pStyle w:val="34"/>
              <w:rPr>
                <w:u w:val="single"/>
              </w:rPr>
            </w:pPr>
            <w:r>
              <w:rPr>
                <w:rFonts w:hint="eastAsia"/>
                <w:u w:val="single"/>
              </w:rPr>
              <w:t>钦州港青菜头南浅海滩涂养殖区（3.1.1-3）</w:t>
            </w:r>
          </w:p>
        </w:tc>
        <w:tc>
          <w:tcPr>
            <w:tcW w:w="1025" w:type="pct"/>
            <w:tcMar>
              <w:left w:w="0" w:type="dxa"/>
              <w:right w:w="0" w:type="dxa"/>
            </w:tcMar>
            <w:vAlign w:val="center"/>
          </w:tcPr>
          <w:p w14:paraId="094F524E">
            <w:pPr>
              <w:pStyle w:val="34"/>
              <w:rPr>
                <w:u w:val="single"/>
              </w:rPr>
            </w:pPr>
            <w:r>
              <w:rPr>
                <w:rFonts w:hint="eastAsia"/>
                <w:u w:val="single"/>
              </w:rPr>
              <w:t>《钦州市养殖水域滩涂规划（2025-2035）》</w:t>
            </w:r>
          </w:p>
        </w:tc>
        <w:tc>
          <w:tcPr>
            <w:tcW w:w="656" w:type="pct"/>
            <w:vAlign w:val="center"/>
          </w:tcPr>
          <w:p w14:paraId="4AAD89F7">
            <w:pPr>
              <w:pStyle w:val="34"/>
              <w:rPr>
                <w:u w:val="single"/>
              </w:rPr>
            </w:pPr>
            <w:r>
              <w:rPr>
                <w:rFonts w:hint="eastAsia"/>
                <w:u w:val="single"/>
              </w:rPr>
              <w:t>茅尾海口门外侧</w:t>
            </w:r>
          </w:p>
        </w:tc>
        <w:tc>
          <w:tcPr>
            <w:tcW w:w="427" w:type="pct"/>
            <w:tcMar>
              <w:left w:w="0" w:type="dxa"/>
              <w:right w:w="0" w:type="dxa"/>
            </w:tcMar>
            <w:vAlign w:val="center"/>
          </w:tcPr>
          <w:p w14:paraId="43153D8C">
            <w:pPr>
              <w:pStyle w:val="34"/>
              <w:rPr>
                <w:u w:val="single"/>
              </w:rPr>
            </w:pPr>
            <w:r>
              <w:rPr>
                <w:rFonts w:hint="eastAsia"/>
                <w:u w:val="single"/>
              </w:rPr>
              <w:t>W</w:t>
            </w:r>
          </w:p>
        </w:tc>
        <w:tc>
          <w:tcPr>
            <w:tcW w:w="514" w:type="pct"/>
            <w:tcMar>
              <w:left w:w="0" w:type="dxa"/>
              <w:right w:w="0" w:type="dxa"/>
            </w:tcMar>
            <w:vAlign w:val="center"/>
          </w:tcPr>
          <w:p w14:paraId="20E6FB14">
            <w:pPr>
              <w:pStyle w:val="34"/>
              <w:rPr>
                <w:u w:val="single"/>
              </w:rPr>
            </w:pPr>
            <w:r>
              <w:rPr>
                <w:rFonts w:hint="eastAsia"/>
                <w:u w:val="single"/>
              </w:rPr>
              <w:t>2.5</w:t>
            </w:r>
          </w:p>
        </w:tc>
        <w:tc>
          <w:tcPr>
            <w:tcW w:w="729" w:type="pct"/>
            <w:tcMar>
              <w:left w:w="0" w:type="dxa"/>
              <w:right w:w="0" w:type="dxa"/>
            </w:tcMar>
            <w:vAlign w:val="center"/>
          </w:tcPr>
          <w:p w14:paraId="583AF239">
            <w:pPr>
              <w:pStyle w:val="34"/>
              <w:rPr>
                <w:sz w:val="22"/>
                <w:szCs w:val="22"/>
                <w:u w:val="single"/>
              </w:rPr>
            </w:pPr>
            <w:r>
              <w:rPr>
                <w:u w:val="single"/>
              </w:rPr>
              <w:t>水质、</w:t>
            </w:r>
            <w:r>
              <w:rPr>
                <w:rFonts w:hint="eastAsia"/>
                <w:u w:val="single"/>
              </w:rPr>
              <w:t>渔业资源</w:t>
            </w:r>
          </w:p>
        </w:tc>
      </w:tr>
      <w:bookmarkEnd w:id="152"/>
      <w:bookmarkEnd w:id="153"/>
    </w:tbl>
    <w:p w14:paraId="09550B56">
      <w:pPr>
        <w:pStyle w:val="5"/>
      </w:pPr>
      <w:r>
        <w:rPr>
          <w:rFonts w:hint="eastAsia"/>
        </w:rPr>
        <w:t>地表水环境</w:t>
      </w:r>
    </w:p>
    <w:p w14:paraId="1EA0AB00">
      <w:pPr>
        <w:ind w:firstLine="462"/>
      </w:pPr>
      <w:r>
        <w:rPr>
          <w:rFonts w:hint="eastAsia"/>
          <w:lang w:bidi="ar"/>
        </w:rPr>
        <w:t>项目水环境保护目标为所处水域海水水质。工程位于钦州港大榄坪排污混合区（</w:t>
      </w:r>
      <w:r>
        <w:rPr>
          <w:lang w:bidi="ar"/>
        </w:rPr>
        <w:t>GX057D</w:t>
      </w:r>
      <w:r>
        <w:rPr>
          <w:rFonts w:hint="eastAsia"/>
          <w:lang w:bidi="ar"/>
        </w:rPr>
        <w:t>Ⅳ），执行海水水质标准第四类，功能区周围设置</w:t>
      </w:r>
      <w:r>
        <w:rPr>
          <w:lang w:bidi="ar"/>
        </w:rPr>
        <w:t>0.5</w:t>
      </w:r>
      <w:r>
        <w:rPr>
          <w:rFonts w:eastAsia="华文楷体"/>
          <w:lang w:bidi="ar"/>
        </w:rPr>
        <w:t>km</w:t>
      </w:r>
      <w:r>
        <w:rPr>
          <w:rFonts w:hint="eastAsia"/>
          <w:lang w:bidi="ar"/>
        </w:rPr>
        <w:t>水质过渡带，水质保护目标为海水水质标准第三类。</w:t>
      </w:r>
    </w:p>
    <w:p w14:paraId="14CCE0CA">
      <w:pPr>
        <w:pStyle w:val="5"/>
      </w:pPr>
      <w:r>
        <w:rPr>
          <w:rFonts w:hint="eastAsia"/>
        </w:rPr>
        <w:t>环境空气</w:t>
      </w:r>
    </w:p>
    <w:p w14:paraId="12D86B4B">
      <w:pPr>
        <w:ind w:firstLine="462"/>
      </w:pPr>
      <w:bookmarkStart w:id="154" w:name="_Hlk183457904"/>
      <w:r>
        <w:rPr>
          <w:rFonts w:hint="eastAsia"/>
        </w:rPr>
        <w:t>项目大气影响评价等级为三级，不设大气评价范围</w:t>
      </w:r>
      <w:bookmarkEnd w:id="154"/>
      <w:r>
        <w:rPr>
          <w:rFonts w:hint="eastAsia"/>
        </w:rPr>
        <w:t>。</w:t>
      </w:r>
    </w:p>
    <w:p w14:paraId="1398E1C8">
      <w:pPr>
        <w:pStyle w:val="5"/>
      </w:pPr>
      <w:r>
        <w:t>声环境</w:t>
      </w:r>
    </w:p>
    <w:p w14:paraId="6B1A7EB6">
      <w:pPr>
        <w:ind w:firstLine="462"/>
      </w:pPr>
      <w:r>
        <w:t>项目200m范围内无声环境敏感目标</w:t>
      </w:r>
      <w:r>
        <w:rPr>
          <w:rFonts w:hint="eastAsia"/>
        </w:rPr>
        <w:t>。</w:t>
      </w:r>
    </w:p>
    <w:p w14:paraId="727BE9C6">
      <w:pPr>
        <w:pStyle w:val="5"/>
      </w:pPr>
      <w:r>
        <w:rPr>
          <w:rFonts w:hint="eastAsia"/>
        </w:rPr>
        <w:t>地下水环境</w:t>
      </w:r>
    </w:p>
    <w:p w14:paraId="16C4533C">
      <w:pPr>
        <w:ind w:firstLine="462"/>
      </w:pPr>
      <w:r>
        <w:rPr>
          <w:rFonts w:hint="eastAsia" w:cs="宋体"/>
          <w:lang w:bidi="ar"/>
        </w:rPr>
        <w:t>地下水环境保护目标为项目场址地下水。经现场踏勘，本项目所处的水文地质单元范围内，不存在集中式地下水饮用水源地、特殊地下水源等地下水环境保护目标。</w:t>
      </w:r>
    </w:p>
    <w:p w14:paraId="690A90D5">
      <w:pPr>
        <w:pStyle w:val="5"/>
      </w:pPr>
      <w:r>
        <w:rPr>
          <w:rFonts w:hint="eastAsia"/>
        </w:rPr>
        <w:t>环境风险</w:t>
      </w:r>
    </w:p>
    <w:p w14:paraId="556317FD">
      <w:pPr>
        <w:ind w:firstLine="462"/>
      </w:pPr>
      <w:r>
        <w:t>根据环境风险预测结果，项目环境风险敏感目标分布见表</w:t>
      </w:r>
      <w:r>
        <w:rPr>
          <w:rFonts w:hint="eastAsia"/>
        </w:rPr>
        <w:t>1.5-2。</w:t>
      </w:r>
    </w:p>
    <w:p w14:paraId="559C323B">
      <w:pPr>
        <w:pStyle w:val="7"/>
      </w:pPr>
      <w:r>
        <w:rPr>
          <w:rFonts w:hint="eastAsia"/>
        </w:rPr>
        <w:t>项目风险评价环境敏感目标情况表</w:t>
      </w:r>
    </w:p>
    <w:tbl>
      <w:tblPr>
        <w:tblStyle w:val="88"/>
        <w:tblW w:w="8522"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866"/>
        <w:gridCol w:w="660"/>
        <w:gridCol w:w="19"/>
        <w:gridCol w:w="473"/>
        <w:gridCol w:w="1153"/>
        <w:gridCol w:w="247"/>
        <w:gridCol w:w="50"/>
        <w:gridCol w:w="43"/>
        <w:gridCol w:w="813"/>
        <w:gridCol w:w="370"/>
        <w:gridCol w:w="111"/>
        <w:gridCol w:w="222"/>
        <w:gridCol w:w="450"/>
        <w:gridCol w:w="443"/>
        <w:gridCol w:w="50"/>
        <w:gridCol w:w="33"/>
        <w:gridCol w:w="627"/>
        <w:gridCol w:w="616"/>
        <w:gridCol w:w="1276"/>
      </w:tblGrid>
      <w:tr w14:paraId="2C014A1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tcMar>
              <w:left w:w="0" w:type="dxa"/>
              <w:right w:w="0" w:type="dxa"/>
            </w:tcMar>
            <w:vAlign w:val="center"/>
          </w:tcPr>
          <w:p w14:paraId="643FDBCC">
            <w:pPr>
              <w:pStyle w:val="34"/>
            </w:pPr>
            <w:r>
              <w:t>类别</w:t>
            </w:r>
          </w:p>
        </w:tc>
        <w:tc>
          <w:tcPr>
            <w:tcW w:w="7656" w:type="dxa"/>
            <w:gridSpan w:val="18"/>
            <w:tcMar>
              <w:left w:w="0" w:type="dxa"/>
              <w:right w:w="0" w:type="dxa"/>
            </w:tcMar>
            <w:vAlign w:val="center"/>
          </w:tcPr>
          <w:p w14:paraId="00DFFD33">
            <w:pPr>
              <w:pStyle w:val="34"/>
            </w:pPr>
            <w:r>
              <w:t>环境敏感特征</w:t>
            </w:r>
          </w:p>
        </w:tc>
      </w:tr>
      <w:tr w14:paraId="3705BEA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restart"/>
            <w:tcMar>
              <w:left w:w="0" w:type="dxa"/>
              <w:right w:w="0" w:type="dxa"/>
            </w:tcMar>
            <w:vAlign w:val="center"/>
          </w:tcPr>
          <w:p w14:paraId="57D52E09">
            <w:pPr>
              <w:pStyle w:val="34"/>
            </w:pPr>
            <w:r>
              <w:rPr>
                <w:szCs w:val="21"/>
              </w:rPr>
              <w:t>环境空 气</w:t>
            </w:r>
          </w:p>
        </w:tc>
        <w:tc>
          <w:tcPr>
            <w:tcW w:w="7656" w:type="dxa"/>
            <w:gridSpan w:val="18"/>
            <w:tcMar>
              <w:left w:w="0" w:type="dxa"/>
              <w:right w:w="0" w:type="dxa"/>
            </w:tcMar>
            <w:vAlign w:val="center"/>
          </w:tcPr>
          <w:p w14:paraId="2853EF08">
            <w:pPr>
              <w:pStyle w:val="34"/>
            </w:pPr>
            <w:r>
              <w:rPr>
                <w:rFonts w:hint="eastAsia"/>
              </w:rPr>
              <w:t>厂址周边5km范围内</w:t>
            </w:r>
          </w:p>
        </w:tc>
      </w:tr>
      <w:tr w14:paraId="003E5D6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1FEE23D0">
            <w:pPr>
              <w:pStyle w:val="34"/>
            </w:pPr>
          </w:p>
        </w:tc>
        <w:tc>
          <w:tcPr>
            <w:tcW w:w="679" w:type="dxa"/>
            <w:gridSpan w:val="2"/>
            <w:tcMar>
              <w:left w:w="0" w:type="dxa"/>
              <w:right w:w="0" w:type="dxa"/>
            </w:tcMar>
            <w:vAlign w:val="center"/>
          </w:tcPr>
          <w:p w14:paraId="061C393A">
            <w:pPr>
              <w:pStyle w:val="34"/>
            </w:pPr>
            <w:r>
              <w:rPr>
                <w:szCs w:val="21"/>
              </w:rPr>
              <w:t>序号</w:t>
            </w:r>
          </w:p>
        </w:tc>
        <w:tc>
          <w:tcPr>
            <w:tcW w:w="1873" w:type="dxa"/>
            <w:gridSpan w:val="3"/>
            <w:tcMar>
              <w:left w:w="0" w:type="dxa"/>
              <w:right w:w="0" w:type="dxa"/>
            </w:tcMar>
            <w:vAlign w:val="center"/>
          </w:tcPr>
          <w:p w14:paraId="03CC09F7">
            <w:pPr>
              <w:pStyle w:val="34"/>
            </w:pPr>
            <w:r>
              <w:rPr>
                <w:szCs w:val="21"/>
              </w:rPr>
              <w:t>敏感目标名称</w:t>
            </w:r>
          </w:p>
        </w:tc>
        <w:tc>
          <w:tcPr>
            <w:tcW w:w="1276" w:type="dxa"/>
            <w:gridSpan w:val="4"/>
            <w:tcMar>
              <w:left w:w="0" w:type="dxa"/>
              <w:right w:w="0" w:type="dxa"/>
            </w:tcMar>
            <w:vAlign w:val="center"/>
          </w:tcPr>
          <w:p w14:paraId="45A6FC6E">
            <w:pPr>
              <w:pStyle w:val="34"/>
            </w:pPr>
            <w:r>
              <w:rPr>
                <w:szCs w:val="21"/>
              </w:rPr>
              <w:t>相对方位</w:t>
            </w:r>
          </w:p>
        </w:tc>
        <w:tc>
          <w:tcPr>
            <w:tcW w:w="1276" w:type="dxa"/>
            <w:gridSpan w:val="5"/>
            <w:tcMar>
              <w:left w:w="0" w:type="dxa"/>
              <w:right w:w="0" w:type="dxa"/>
            </w:tcMar>
            <w:vAlign w:val="center"/>
          </w:tcPr>
          <w:p w14:paraId="322EEE8A">
            <w:pPr>
              <w:pStyle w:val="34"/>
            </w:pPr>
            <w:r>
              <w:rPr>
                <w:szCs w:val="21"/>
              </w:rPr>
              <w:t>距离/m</w:t>
            </w:r>
          </w:p>
        </w:tc>
        <w:tc>
          <w:tcPr>
            <w:tcW w:w="1276" w:type="dxa"/>
            <w:gridSpan w:val="3"/>
            <w:tcMar>
              <w:left w:w="0" w:type="dxa"/>
              <w:right w:w="0" w:type="dxa"/>
            </w:tcMar>
            <w:vAlign w:val="center"/>
          </w:tcPr>
          <w:p w14:paraId="4D81F129">
            <w:pPr>
              <w:pStyle w:val="34"/>
            </w:pPr>
            <w:r>
              <w:rPr>
                <w:szCs w:val="21"/>
              </w:rPr>
              <w:t>属性</w:t>
            </w:r>
          </w:p>
        </w:tc>
        <w:tc>
          <w:tcPr>
            <w:tcW w:w="1276" w:type="dxa"/>
            <w:tcMar>
              <w:left w:w="0" w:type="dxa"/>
              <w:right w:w="0" w:type="dxa"/>
            </w:tcMar>
            <w:vAlign w:val="center"/>
          </w:tcPr>
          <w:p w14:paraId="0DE0B2F7">
            <w:pPr>
              <w:pStyle w:val="34"/>
            </w:pPr>
            <w:r>
              <w:rPr>
                <w:szCs w:val="21"/>
              </w:rPr>
              <w:t>人口数</w:t>
            </w:r>
          </w:p>
        </w:tc>
      </w:tr>
      <w:tr w14:paraId="35B4AC1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42F86AA4">
            <w:pPr>
              <w:pStyle w:val="34"/>
            </w:pPr>
            <w:bookmarkStart w:id="155" w:name="_Hlk218072675"/>
          </w:p>
        </w:tc>
        <w:tc>
          <w:tcPr>
            <w:tcW w:w="679" w:type="dxa"/>
            <w:gridSpan w:val="2"/>
            <w:tcMar>
              <w:left w:w="0" w:type="dxa"/>
              <w:right w:w="0" w:type="dxa"/>
            </w:tcMar>
            <w:vAlign w:val="center"/>
          </w:tcPr>
          <w:p w14:paraId="4F1FF855">
            <w:pPr>
              <w:pStyle w:val="34"/>
            </w:pPr>
            <w:r>
              <w:rPr>
                <w:rFonts w:hint="eastAsia"/>
              </w:rPr>
              <w:t>1</w:t>
            </w:r>
          </w:p>
        </w:tc>
        <w:tc>
          <w:tcPr>
            <w:tcW w:w="1873" w:type="dxa"/>
            <w:gridSpan w:val="3"/>
            <w:tcMar>
              <w:left w:w="0" w:type="dxa"/>
              <w:right w:w="0" w:type="dxa"/>
            </w:tcMar>
            <w:vAlign w:val="center"/>
          </w:tcPr>
          <w:p w14:paraId="1886BE28">
            <w:pPr>
              <w:pStyle w:val="34"/>
            </w:pPr>
            <w:bookmarkStart w:id="156" w:name="OLE_LINK160"/>
            <w:r>
              <w:rPr>
                <w:rFonts w:hint="eastAsia"/>
              </w:rPr>
              <w:t>港务大厦</w:t>
            </w:r>
            <w:bookmarkEnd w:id="156"/>
          </w:p>
        </w:tc>
        <w:tc>
          <w:tcPr>
            <w:tcW w:w="1276" w:type="dxa"/>
            <w:gridSpan w:val="4"/>
            <w:tcMar>
              <w:left w:w="0" w:type="dxa"/>
              <w:right w:w="0" w:type="dxa"/>
            </w:tcMar>
            <w:vAlign w:val="center"/>
          </w:tcPr>
          <w:p w14:paraId="0439BFE1">
            <w:pPr>
              <w:pStyle w:val="34"/>
            </w:pPr>
            <w:r>
              <w:rPr>
                <w:rFonts w:hint="eastAsia"/>
              </w:rPr>
              <w:t>西北</w:t>
            </w:r>
          </w:p>
        </w:tc>
        <w:tc>
          <w:tcPr>
            <w:tcW w:w="1276" w:type="dxa"/>
            <w:gridSpan w:val="5"/>
            <w:tcMar>
              <w:left w:w="0" w:type="dxa"/>
              <w:right w:w="0" w:type="dxa"/>
            </w:tcMar>
            <w:vAlign w:val="center"/>
          </w:tcPr>
          <w:p w14:paraId="3682C8D2">
            <w:pPr>
              <w:pStyle w:val="34"/>
            </w:pPr>
            <w:r>
              <w:rPr>
                <w:rFonts w:hint="eastAsia"/>
              </w:rPr>
              <w:t>3070</w:t>
            </w:r>
          </w:p>
        </w:tc>
        <w:tc>
          <w:tcPr>
            <w:tcW w:w="1276" w:type="dxa"/>
            <w:gridSpan w:val="3"/>
            <w:tcMar>
              <w:left w:w="0" w:type="dxa"/>
              <w:right w:w="0" w:type="dxa"/>
            </w:tcMar>
            <w:vAlign w:val="center"/>
          </w:tcPr>
          <w:p w14:paraId="525EEEF7">
            <w:pPr>
              <w:pStyle w:val="34"/>
            </w:pPr>
            <w:r>
              <w:rPr>
                <w:szCs w:val="21"/>
              </w:rPr>
              <w:t>行政办公</w:t>
            </w:r>
          </w:p>
        </w:tc>
        <w:tc>
          <w:tcPr>
            <w:tcW w:w="1276" w:type="dxa"/>
            <w:tcMar>
              <w:left w:w="0" w:type="dxa"/>
              <w:right w:w="0" w:type="dxa"/>
            </w:tcMar>
            <w:vAlign w:val="center"/>
          </w:tcPr>
          <w:p w14:paraId="1F0248EF">
            <w:pPr>
              <w:pStyle w:val="34"/>
            </w:pPr>
            <w:r>
              <w:rPr>
                <w:szCs w:val="21"/>
              </w:rPr>
              <w:t>450人</w:t>
            </w:r>
          </w:p>
        </w:tc>
      </w:tr>
      <w:tr w14:paraId="1B5396A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7E606215">
            <w:pPr>
              <w:pStyle w:val="34"/>
            </w:pPr>
          </w:p>
        </w:tc>
        <w:tc>
          <w:tcPr>
            <w:tcW w:w="679" w:type="dxa"/>
            <w:gridSpan w:val="2"/>
            <w:tcMar>
              <w:left w:w="0" w:type="dxa"/>
              <w:right w:w="0" w:type="dxa"/>
            </w:tcMar>
            <w:vAlign w:val="center"/>
          </w:tcPr>
          <w:p w14:paraId="529FC11B">
            <w:pPr>
              <w:pStyle w:val="34"/>
            </w:pPr>
            <w:r>
              <w:rPr>
                <w:rFonts w:hint="eastAsia"/>
              </w:rPr>
              <w:t>2</w:t>
            </w:r>
          </w:p>
        </w:tc>
        <w:tc>
          <w:tcPr>
            <w:tcW w:w="1873" w:type="dxa"/>
            <w:gridSpan w:val="3"/>
            <w:tcMar>
              <w:left w:w="0" w:type="dxa"/>
              <w:right w:w="0" w:type="dxa"/>
            </w:tcMar>
            <w:vAlign w:val="center"/>
          </w:tcPr>
          <w:p w14:paraId="55BFFDDA">
            <w:pPr>
              <w:pStyle w:val="34"/>
            </w:pPr>
            <w:r>
              <w:rPr>
                <w:rFonts w:hint="eastAsia"/>
              </w:rPr>
              <w:t>保税港管委会</w:t>
            </w:r>
          </w:p>
        </w:tc>
        <w:tc>
          <w:tcPr>
            <w:tcW w:w="1276" w:type="dxa"/>
            <w:gridSpan w:val="4"/>
            <w:tcMar>
              <w:left w:w="0" w:type="dxa"/>
              <w:right w:w="0" w:type="dxa"/>
            </w:tcMar>
            <w:vAlign w:val="center"/>
          </w:tcPr>
          <w:p w14:paraId="417A7441">
            <w:pPr>
              <w:pStyle w:val="34"/>
            </w:pPr>
            <w:r>
              <w:rPr>
                <w:rFonts w:hint="eastAsia"/>
              </w:rPr>
              <w:t>西北</w:t>
            </w:r>
          </w:p>
        </w:tc>
        <w:tc>
          <w:tcPr>
            <w:tcW w:w="1276" w:type="dxa"/>
            <w:gridSpan w:val="5"/>
            <w:tcMar>
              <w:left w:w="0" w:type="dxa"/>
              <w:right w:w="0" w:type="dxa"/>
            </w:tcMar>
            <w:vAlign w:val="center"/>
          </w:tcPr>
          <w:p w14:paraId="11CAB636">
            <w:pPr>
              <w:pStyle w:val="34"/>
            </w:pPr>
            <w:r>
              <w:rPr>
                <w:rFonts w:hint="eastAsia"/>
              </w:rPr>
              <w:t>3235</w:t>
            </w:r>
          </w:p>
        </w:tc>
        <w:tc>
          <w:tcPr>
            <w:tcW w:w="1276" w:type="dxa"/>
            <w:gridSpan w:val="3"/>
            <w:tcMar>
              <w:left w:w="0" w:type="dxa"/>
              <w:right w:w="0" w:type="dxa"/>
            </w:tcMar>
            <w:vAlign w:val="center"/>
          </w:tcPr>
          <w:p w14:paraId="28BCEBDE">
            <w:pPr>
              <w:pStyle w:val="34"/>
            </w:pPr>
            <w:r>
              <w:rPr>
                <w:szCs w:val="21"/>
              </w:rPr>
              <w:t>行政办公</w:t>
            </w:r>
          </w:p>
        </w:tc>
        <w:tc>
          <w:tcPr>
            <w:tcW w:w="1276" w:type="dxa"/>
            <w:tcMar>
              <w:left w:w="0" w:type="dxa"/>
              <w:right w:w="0" w:type="dxa"/>
            </w:tcMar>
            <w:vAlign w:val="center"/>
          </w:tcPr>
          <w:p w14:paraId="72B16A9A">
            <w:pPr>
              <w:pStyle w:val="34"/>
            </w:pPr>
            <w:r>
              <w:rPr>
                <w:szCs w:val="21"/>
              </w:rPr>
              <w:t>120人</w:t>
            </w:r>
          </w:p>
        </w:tc>
      </w:tr>
      <w:tr w14:paraId="112B559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2CEDDF65">
            <w:pPr>
              <w:pStyle w:val="34"/>
            </w:pPr>
          </w:p>
        </w:tc>
        <w:tc>
          <w:tcPr>
            <w:tcW w:w="679" w:type="dxa"/>
            <w:gridSpan w:val="2"/>
            <w:tcMar>
              <w:left w:w="0" w:type="dxa"/>
              <w:right w:w="0" w:type="dxa"/>
            </w:tcMar>
            <w:vAlign w:val="center"/>
          </w:tcPr>
          <w:p w14:paraId="3C9FFC3C">
            <w:pPr>
              <w:pStyle w:val="34"/>
            </w:pPr>
            <w:r>
              <w:rPr>
                <w:rFonts w:hint="eastAsia"/>
              </w:rPr>
              <w:t>3</w:t>
            </w:r>
          </w:p>
        </w:tc>
        <w:tc>
          <w:tcPr>
            <w:tcW w:w="1873" w:type="dxa"/>
            <w:gridSpan w:val="3"/>
            <w:tcMar>
              <w:left w:w="0" w:type="dxa"/>
              <w:right w:w="0" w:type="dxa"/>
            </w:tcMar>
            <w:vAlign w:val="center"/>
          </w:tcPr>
          <w:p w14:paraId="609C5BC4">
            <w:pPr>
              <w:pStyle w:val="34"/>
            </w:pPr>
            <w:r>
              <w:rPr>
                <w:bCs/>
                <w:szCs w:val="21"/>
              </w:rPr>
              <w:t>保税港区生活区</w:t>
            </w:r>
          </w:p>
        </w:tc>
        <w:tc>
          <w:tcPr>
            <w:tcW w:w="1276" w:type="dxa"/>
            <w:gridSpan w:val="4"/>
            <w:tcMar>
              <w:left w:w="0" w:type="dxa"/>
              <w:right w:w="0" w:type="dxa"/>
            </w:tcMar>
            <w:vAlign w:val="center"/>
          </w:tcPr>
          <w:p w14:paraId="69796377">
            <w:pPr>
              <w:pStyle w:val="34"/>
            </w:pPr>
            <w:r>
              <w:rPr>
                <w:rFonts w:hint="eastAsia"/>
              </w:rPr>
              <w:t>北</w:t>
            </w:r>
          </w:p>
        </w:tc>
        <w:tc>
          <w:tcPr>
            <w:tcW w:w="1276" w:type="dxa"/>
            <w:gridSpan w:val="5"/>
            <w:tcMar>
              <w:left w:w="0" w:type="dxa"/>
              <w:right w:w="0" w:type="dxa"/>
            </w:tcMar>
            <w:vAlign w:val="center"/>
          </w:tcPr>
          <w:p w14:paraId="70E9B055">
            <w:pPr>
              <w:pStyle w:val="34"/>
            </w:pPr>
            <w:r>
              <w:rPr>
                <w:rFonts w:hint="eastAsia"/>
              </w:rPr>
              <w:t>3313</w:t>
            </w:r>
          </w:p>
        </w:tc>
        <w:tc>
          <w:tcPr>
            <w:tcW w:w="1276" w:type="dxa"/>
            <w:gridSpan w:val="3"/>
            <w:tcMar>
              <w:left w:w="0" w:type="dxa"/>
              <w:right w:w="0" w:type="dxa"/>
            </w:tcMar>
            <w:vAlign w:val="center"/>
          </w:tcPr>
          <w:p w14:paraId="501EA07E">
            <w:pPr>
              <w:pStyle w:val="34"/>
            </w:pPr>
            <w:r>
              <w:rPr>
                <w:rFonts w:hint="eastAsia"/>
              </w:rPr>
              <w:t>居住区</w:t>
            </w:r>
          </w:p>
        </w:tc>
        <w:tc>
          <w:tcPr>
            <w:tcW w:w="1276" w:type="dxa"/>
            <w:tcMar>
              <w:left w:w="0" w:type="dxa"/>
              <w:right w:w="0" w:type="dxa"/>
            </w:tcMar>
            <w:vAlign w:val="center"/>
          </w:tcPr>
          <w:p w14:paraId="41FFE61A">
            <w:pPr>
              <w:pStyle w:val="34"/>
            </w:pPr>
            <w:r>
              <w:rPr>
                <w:szCs w:val="21"/>
              </w:rPr>
              <w:t>300人</w:t>
            </w:r>
          </w:p>
        </w:tc>
      </w:tr>
      <w:bookmarkEnd w:id="155"/>
      <w:tr w14:paraId="2C3B8E6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03AF1634">
            <w:pPr>
              <w:pStyle w:val="34"/>
            </w:pPr>
          </w:p>
        </w:tc>
        <w:tc>
          <w:tcPr>
            <w:tcW w:w="6380" w:type="dxa"/>
            <w:gridSpan w:val="17"/>
            <w:tcMar>
              <w:left w:w="0" w:type="dxa"/>
              <w:right w:w="0" w:type="dxa"/>
            </w:tcMar>
            <w:vAlign w:val="center"/>
          </w:tcPr>
          <w:p w14:paraId="46C21394">
            <w:pPr>
              <w:pStyle w:val="34"/>
            </w:pPr>
            <w:r>
              <w:rPr>
                <w:szCs w:val="21"/>
              </w:rPr>
              <w:t>厂址周边500m范围内人口数小计</w:t>
            </w:r>
          </w:p>
        </w:tc>
        <w:tc>
          <w:tcPr>
            <w:tcW w:w="1276" w:type="dxa"/>
            <w:tcMar>
              <w:left w:w="0" w:type="dxa"/>
              <w:right w:w="0" w:type="dxa"/>
            </w:tcMar>
            <w:vAlign w:val="center"/>
          </w:tcPr>
          <w:p w14:paraId="1E75E76A">
            <w:pPr>
              <w:pStyle w:val="34"/>
              <w:rPr>
                <w:szCs w:val="21"/>
              </w:rPr>
            </w:pPr>
            <w:r>
              <w:rPr>
                <w:rFonts w:hint="eastAsia"/>
                <w:szCs w:val="21"/>
              </w:rPr>
              <w:t>0</w:t>
            </w:r>
            <w:r>
              <w:rPr>
                <w:szCs w:val="21"/>
              </w:rPr>
              <w:t>人</w:t>
            </w:r>
          </w:p>
        </w:tc>
      </w:tr>
      <w:tr w14:paraId="36E34FC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5DB79E16">
            <w:pPr>
              <w:pStyle w:val="34"/>
            </w:pPr>
          </w:p>
        </w:tc>
        <w:tc>
          <w:tcPr>
            <w:tcW w:w="6380" w:type="dxa"/>
            <w:gridSpan w:val="17"/>
            <w:tcMar>
              <w:left w:w="0" w:type="dxa"/>
              <w:right w:w="0" w:type="dxa"/>
            </w:tcMar>
            <w:vAlign w:val="center"/>
          </w:tcPr>
          <w:p w14:paraId="77F6FA3A">
            <w:pPr>
              <w:pStyle w:val="34"/>
            </w:pPr>
            <w:r>
              <w:rPr>
                <w:szCs w:val="21"/>
              </w:rPr>
              <w:t>厂址周边5km范围内人口数小计</w:t>
            </w:r>
          </w:p>
        </w:tc>
        <w:tc>
          <w:tcPr>
            <w:tcW w:w="1276" w:type="dxa"/>
            <w:tcMar>
              <w:left w:w="0" w:type="dxa"/>
              <w:right w:w="0" w:type="dxa"/>
            </w:tcMar>
            <w:vAlign w:val="center"/>
          </w:tcPr>
          <w:p w14:paraId="58EA7DA7">
            <w:pPr>
              <w:pStyle w:val="34"/>
              <w:rPr>
                <w:szCs w:val="21"/>
              </w:rPr>
            </w:pPr>
            <w:r>
              <w:rPr>
                <w:rFonts w:hint="eastAsia"/>
                <w:szCs w:val="21"/>
              </w:rPr>
              <w:t>870</w:t>
            </w:r>
            <w:r>
              <w:rPr>
                <w:szCs w:val="21"/>
              </w:rPr>
              <w:t>人</w:t>
            </w:r>
          </w:p>
        </w:tc>
      </w:tr>
      <w:tr w14:paraId="312A4BA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6ED543F3">
            <w:pPr>
              <w:pStyle w:val="34"/>
            </w:pPr>
          </w:p>
        </w:tc>
        <w:tc>
          <w:tcPr>
            <w:tcW w:w="6380" w:type="dxa"/>
            <w:gridSpan w:val="17"/>
            <w:tcMar>
              <w:left w:w="0" w:type="dxa"/>
              <w:right w:w="0" w:type="dxa"/>
            </w:tcMar>
            <w:vAlign w:val="center"/>
          </w:tcPr>
          <w:p w14:paraId="1A7F3052">
            <w:pPr>
              <w:pStyle w:val="34"/>
            </w:pPr>
            <w:r>
              <w:rPr>
                <w:szCs w:val="21"/>
              </w:rPr>
              <w:t>大气环境敏感程度E值</w:t>
            </w:r>
          </w:p>
        </w:tc>
        <w:tc>
          <w:tcPr>
            <w:tcW w:w="1276" w:type="dxa"/>
            <w:tcMar>
              <w:left w:w="0" w:type="dxa"/>
              <w:right w:w="0" w:type="dxa"/>
            </w:tcMar>
            <w:vAlign w:val="center"/>
          </w:tcPr>
          <w:p w14:paraId="1C6D88EA">
            <w:pPr>
              <w:pStyle w:val="34"/>
              <w:rPr>
                <w:szCs w:val="21"/>
              </w:rPr>
            </w:pPr>
            <w:r>
              <w:rPr>
                <w:szCs w:val="21"/>
              </w:rPr>
              <w:t>E3</w:t>
            </w:r>
          </w:p>
        </w:tc>
      </w:tr>
      <w:tr w14:paraId="5D9A6D4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restart"/>
            <w:tcMar>
              <w:left w:w="0" w:type="dxa"/>
              <w:right w:w="0" w:type="dxa"/>
            </w:tcMar>
            <w:vAlign w:val="center"/>
          </w:tcPr>
          <w:p w14:paraId="48836563">
            <w:pPr>
              <w:pStyle w:val="34"/>
            </w:pPr>
            <w:r>
              <w:rPr>
                <w:rFonts w:hint="eastAsia"/>
              </w:rPr>
              <w:t>环境风险地表水/生态敏感保护目标</w:t>
            </w:r>
          </w:p>
        </w:tc>
        <w:tc>
          <w:tcPr>
            <w:tcW w:w="7656" w:type="dxa"/>
            <w:gridSpan w:val="18"/>
            <w:tcMar>
              <w:left w:w="0" w:type="dxa"/>
              <w:right w:w="0" w:type="dxa"/>
            </w:tcMar>
            <w:vAlign w:val="center"/>
          </w:tcPr>
          <w:p w14:paraId="73D56BEE">
            <w:pPr>
              <w:pStyle w:val="34"/>
            </w:pPr>
            <w:r>
              <w:t>受纳水体</w:t>
            </w:r>
          </w:p>
        </w:tc>
      </w:tr>
      <w:tr w14:paraId="255E1F4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085EA173">
            <w:pPr>
              <w:pStyle w:val="34"/>
            </w:pPr>
          </w:p>
        </w:tc>
        <w:tc>
          <w:tcPr>
            <w:tcW w:w="660" w:type="dxa"/>
            <w:tcMar>
              <w:left w:w="0" w:type="dxa"/>
              <w:right w:w="0" w:type="dxa"/>
            </w:tcMar>
            <w:vAlign w:val="center"/>
          </w:tcPr>
          <w:p w14:paraId="316460CA">
            <w:pPr>
              <w:pStyle w:val="34"/>
            </w:pPr>
            <w:r>
              <w:t>序号</w:t>
            </w:r>
          </w:p>
        </w:tc>
        <w:tc>
          <w:tcPr>
            <w:tcW w:w="1942" w:type="dxa"/>
            <w:gridSpan w:val="5"/>
            <w:tcMar>
              <w:left w:w="0" w:type="dxa"/>
              <w:right w:w="0" w:type="dxa"/>
            </w:tcMar>
            <w:vAlign w:val="center"/>
          </w:tcPr>
          <w:p w14:paraId="72E1FF12">
            <w:pPr>
              <w:pStyle w:val="34"/>
            </w:pPr>
            <w:r>
              <w:t>受纳水体名称</w:t>
            </w:r>
          </w:p>
        </w:tc>
        <w:tc>
          <w:tcPr>
            <w:tcW w:w="2535" w:type="dxa"/>
            <w:gridSpan w:val="9"/>
            <w:tcMar>
              <w:left w:w="0" w:type="dxa"/>
              <w:right w:w="0" w:type="dxa"/>
            </w:tcMar>
            <w:vAlign w:val="center"/>
          </w:tcPr>
          <w:p w14:paraId="63033FA3">
            <w:pPr>
              <w:pStyle w:val="34"/>
            </w:pPr>
            <w:r>
              <w:t>排放点水域环境功能</w:t>
            </w:r>
          </w:p>
        </w:tc>
        <w:tc>
          <w:tcPr>
            <w:tcW w:w="2519" w:type="dxa"/>
            <w:gridSpan w:val="3"/>
            <w:tcMar>
              <w:left w:w="0" w:type="dxa"/>
              <w:right w:w="0" w:type="dxa"/>
            </w:tcMar>
            <w:vAlign w:val="center"/>
          </w:tcPr>
          <w:p w14:paraId="0EAD31DA">
            <w:pPr>
              <w:pStyle w:val="34"/>
            </w:pPr>
            <w:r>
              <w:t>24h内流经范围/km</w:t>
            </w:r>
          </w:p>
        </w:tc>
      </w:tr>
      <w:tr w14:paraId="417D328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26E3EC7F">
            <w:pPr>
              <w:pStyle w:val="34"/>
            </w:pPr>
          </w:p>
        </w:tc>
        <w:tc>
          <w:tcPr>
            <w:tcW w:w="660" w:type="dxa"/>
            <w:tcMar>
              <w:left w:w="0" w:type="dxa"/>
              <w:right w:w="0" w:type="dxa"/>
            </w:tcMar>
            <w:vAlign w:val="center"/>
          </w:tcPr>
          <w:p w14:paraId="10F492F7">
            <w:pPr>
              <w:pStyle w:val="34"/>
            </w:pPr>
            <w:r>
              <w:t>1</w:t>
            </w:r>
          </w:p>
        </w:tc>
        <w:tc>
          <w:tcPr>
            <w:tcW w:w="1942" w:type="dxa"/>
            <w:gridSpan w:val="5"/>
            <w:tcMar>
              <w:left w:w="0" w:type="dxa"/>
              <w:right w:w="0" w:type="dxa"/>
            </w:tcMar>
            <w:vAlign w:val="center"/>
          </w:tcPr>
          <w:p w14:paraId="11B6C482">
            <w:pPr>
              <w:pStyle w:val="34"/>
            </w:pPr>
            <w:r>
              <w:t>钦州湾</w:t>
            </w:r>
          </w:p>
        </w:tc>
        <w:tc>
          <w:tcPr>
            <w:tcW w:w="2535" w:type="dxa"/>
            <w:gridSpan w:val="9"/>
            <w:tcMar>
              <w:left w:w="0" w:type="dxa"/>
              <w:right w:w="0" w:type="dxa"/>
            </w:tcMar>
            <w:vAlign w:val="center"/>
          </w:tcPr>
          <w:p w14:paraId="2B9D5A3D">
            <w:pPr>
              <w:pStyle w:val="34"/>
            </w:pPr>
            <w:r>
              <w:t>第四类海水功能区</w:t>
            </w:r>
          </w:p>
        </w:tc>
        <w:tc>
          <w:tcPr>
            <w:tcW w:w="2519" w:type="dxa"/>
            <w:gridSpan w:val="3"/>
            <w:tcMar>
              <w:left w:w="0" w:type="dxa"/>
              <w:right w:w="0" w:type="dxa"/>
            </w:tcMar>
            <w:vAlign w:val="center"/>
          </w:tcPr>
          <w:p w14:paraId="4E9B93AD">
            <w:pPr>
              <w:pStyle w:val="34"/>
            </w:pPr>
            <w:r>
              <w:rPr>
                <w:rFonts w:hint="eastAsia"/>
              </w:rPr>
              <w:t>12</w:t>
            </w:r>
          </w:p>
        </w:tc>
      </w:tr>
      <w:tr w14:paraId="27C0FD5E">
        <w:tblPrEx>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7B096233">
            <w:pPr>
              <w:pStyle w:val="34"/>
            </w:pPr>
          </w:p>
        </w:tc>
        <w:tc>
          <w:tcPr>
            <w:tcW w:w="7656" w:type="dxa"/>
            <w:gridSpan w:val="18"/>
            <w:tcMar>
              <w:left w:w="0" w:type="dxa"/>
              <w:right w:w="0" w:type="dxa"/>
            </w:tcMar>
            <w:vAlign w:val="center"/>
          </w:tcPr>
          <w:p w14:paraId="32093EF5">
            <w:pPr>
              <w:pStyle w:val="34"/>
            </w:pPr>
            <w:r>
              <w:t>范围内敏感目标</w:t>
            </w:r>
          </w:p>
        </w:tc>
      </w:tr>
      <w:tr w14:paraId="0607CB0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31C4DA1D">
            <w:pPr>
              <w:pStyle w:val="34"/>
            </w:pPr>
          </w:p>
        </w:tc>
        <w:tc>
          <w:tcPr>
            <w:tcW w:w="660" w:type="dxa"/>
            <w:tcMar>
              <w:left w:w="0" w:type="dxa"/>
              <w:right w:w="0" w:type="dxa"/>
            </w:tcMar>
            <w:vAlign w:val="center"/>
          </w:tcPr>
          <w:p w14:paraId="67F051A4">
            <w:pPr>
              <w:pStyle w:val="34"/>
            </w:pPr>
            <w:r>
              <w:t>序号</w:t>
            </w:r>
          </w:p>
        </w:tc>
        <w:tc>
          <w:tcPr>
            <w:tcW w:w="1985" w:type="dxa"/>
            <w:gridSpan w:val="6"/>
            <w:tcMar>
              <w:left w:w="0" w:type="dxa"/>
              <w:right w:w="0" w:type="dxa"/>
            </w:tcMar>
            <w:vAlign w:val="center"/>
          </w:tcPr>
          <w:p w14:paraId="0978E8E2">
            <w:pPr>
              <w:pStyle w:val="34"/>
            </w:pPr>
            <w:r>
              <w:t>敏感目标名称</w:t>
            </w:r>
          </w:p>
        </w:tc>
        <w:tc>
          <w:tcPr>
            <w:tcW w:w="2409" w:type="dxa"/>
            <w:gridSpan w:val="6"/>
            <w:tcMar>
              <w:left w:w="0" w:type="dxa"/>
              <w:right w:w="0" w:type="dxa"/>
            </w:tcMar>
            <w:vAlign w:val="center"/>
          </w:tcPr>
          <w:p w14:paraId="7E8AD394">
            <w:pPr>
              <w:pStyle w:val="34"/>
            </w:pPr>
            <w:r>
              <w:t>环境敏感特征</w:t>
            </w:r>
          </w:p>
        </w:tc>
        <w:tc>
          <w:tcPr>
            <w:tcW w:w="710" w:type="dxa"/>
            <w:gridSpan w:val="3"/>
            <w:tcMar>
              <w:left w:w="0" w:type="dxa"/>
              <w:right w:w="0" w:type="dxa"/>
            </w:tcMar>
            <w:vAlign w:val="center"/>
          </w:tcPr>
          <w:p w14:paraId="2EE3DEC9">
            <w:pPr>
              <w:pStyle w:val="34"/>
            </w:pPr>
            <w:r>
              <w:t>水质目标</w:t>
            </w:r>
          </w:p>
        </w:tc>
        <w:tc>
          <w:tcPr>
            <w:tcW w:w="1892" w:type="dxa"/>
            <w:gridSpan w:val="2"/>
            <w:tcMar>
              <w:left w:w="0" w:type="dxa"/>
              <w:right w:w="0" w:type="dxa"/>
            </w:tcMar>
            <w:vAlign w:val="center"/>
          </w:tcPr>
          <w:p w14:paraId="76E68EF9">
            <w:pPr>
              <w:pStyle w:val="34"/>
            </w:pPr>
            <w:r>
              <w:t>与排放点距离</w:t>
            </w:r>
          </w:p>
        </w:tc>
      </w:tr>
      <w:tr w14:paraId="146710F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740402EF">
            <w:pPr>
              <w:pStyle w:val="34"/>
            </w:pPr>
          </w:p>
        </w:tc>
        <w:tc>
          <w:tcPr>
            <w:tcW w:w="660" w:type="dxa"/>
            <w:tcMar>
              <w:left w:w="0" w:type="dxa"/>
              <w:right w:w="0" w:type="dxa"/>
            </w:tcMar>
            <w:vAlign w:val="center"/>
          </w:tcPr>
          <w:p w14:paraId="58F18AA7">
            <w:pPr>
              <w:pStyle w:val="34"/>
            </w:pPr>
            <w:r>
              <w:rPr>
                <w:rFonts w:hint="eastAsia"/>
              </w:rPr>
              <w:t>1</w:t>
            </w:r>
          </w:p>
        </w:tc>
        <w:tc>
          <w:tcPr>
            <w:tcW w:w="1985" w:type="dxa"/>
            <w:gridSpan w:val="6"/>
            <w:tcMar>
              <w:left w:w="0" w:type="dxa"/>
              <w:right w:w="0" w:type="dxa"/>
            </w:tcMar>
            <w:vAlign w:val="center"/>
          </w:tcPr>
          <w:p w14:paraId="4560FE03">
            <w:pPr>
              <w:pStyle w:val="34"/>
            </w:pPr>
            <w:r>
              <w:rPr>
                <w:rFonts w:hint="eastAsia"/>
              </w:rPr>
              <w:t>广西茅尾海红树林自治区级自然保护区（七十二泾片）</w:t>
            </w:r>
          </w:p>
        </w:tc>
        <w:tc>
          <w:tcPr>
            <w:tcW w:w="1516" w:type="dxa"/>
            <w:gridSpan w:val="4"/>
            <w:tcMar>
              <w:left w:w="0" w:type="dxa"/>
              <w:right w:w="0" w:type="dxa"/>
            </w:tcMar>
            <w:vAlign w:val="center"/>
          </w:tcPr>
          <w:p w14:paraId="34FD8EA9">
            <w:pPr>
              <w:pStyle w:val="34"/>
            </w:pPr>
            <w:r>
              <w:rPr>
                <w:rFonts w:hint="eastAsia"/>
              </w:rPr>
              <w:t>自然保护区</w:t>
            </w:r>
          </w:p>
        </w:tc>
        <w:tc>
          <w:tcPr>
            <w:tcW w:w="893" w:type="dxa"/>
            <w:gridSpan w:val="2"/>
            <w:tcMar>
              <w:left w:w="0" w:type="dxa"/>
              <w:right w:w="0" w:type="dxa"/>
            </w:tcMar>
            <w:vAlign w:val="center"/>
          </w:tcPr>
          <w:p w14:paraId="7E56AD80">
            <w:pPr>
              <w:pStyle w:val="34"/>
            </w:pPr>
            <w:r>
              <w:rPr>
                <w:rFonts w:hint="eastAsia"/>
              </w:rPr>
              <w:t>水质、红树林生态</w:t>
            </w:r>
          </w:p>
        </w:tc>
        <w:tc>
          <w:tcPr>
            <w:tcW w:w="710" w:type="dxa"/>
            <w:gridSpan w:val="3"/>
            <w:tcMar>
              <w:left w:w="0" w:type="dxa"/>
              <w:right w:w="0" w:type="dxa"/>
            </w:tcMar>
            <w:vAlign w:val="center"/>
          </w:tcPr>
          <w:p w14:paraId="5E4B0BF9">
            <w:pPr>
              <w:pStyle w:val="34"/>
            </w:pPr>
            <w:r>
              <w:rPr>
                <w:rFonts w:hint="eastAsia"/>
              </w:rPr>
              <w:t>/</w:t>
            </w:r>
          </w:p>
        </w:tc>
        <w:tc>
          <w:tcPr>
            <w:tcW w:w="1892" w:type="dxa"/>
            <w:gridSpan w:val="2"/>
            <w:tcMar>
              <w:left w:w="0" w:type="dxa"/>
              <w:right w:w="0" w:type="dxa"/>
            </w:tcMar>
            <w:vAlign w:val="center"/>
          </w:tcPr>
          <w:p w14:paraId="00172EB2">
            <w:pPr>
              <w:pStyle w:val="34"/>
            </w:pPr>
            <w:r>
              <w:t>NNW，</w:t>
            </w:r>
            <w:r>
              <w:rPr>
                <w:rFonts w:hint="eastAsia"/>
              </w:rPr>
              <w:t>10.6km</w:t>
            </w:r>
          </w:p>
        </w:tc>
      </w:tr>
      <w:tr w14:paraId="08773C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5102DDAD">
            <w:pPr>
              <w:pStyle w:val="34"/>
            </w:pPr>
          </w:p>
        </w:tc>
        <w:tc>
          <w:tcPr>
            <w:tcW w:w="660" w:type="dxa"/>
            <w:tcMar>
              <w:left w:w="0" w:type="dxa"/>
              <w:right w:w="0" w:type="dxa"/>
            </w:tcMar>
            <w:vAlign w:val="center"/>
          </w:tcPr>
          <w:p w14:paraId="75FF0656">
            <w:pPr>
              <w:pStyle w:val="34"/>
            </w:pPr>
            <w:r>
              <w:rPr>
                <w:rFonts w:hint="eastAsia"/>
              </w:rPr>
              <w:t>2</w:t>
            </w:r>
          </w:p>
        </w:tc>
        <w:tc>
          <w:tcPr>
            <w:tcW w:w="1985" w:type="dxa"/>
            <w:gridSpan w:val="6"/>
            <w:tcMar>
              <w:left w:w="0" w:type="dxa"/>
              <w:right w:w="0" w:type="dxa"/>
            </w:tcMar>
            <w:vAlign w:val="center"/>
          </w:tcPr>
          <w:p w14:paraId="53A30CB9">
            <w:pPr>
              <w:pStyle w:val="34"/>
            </w:pPr>
            <w:r>
              <w:t>茅尾海国家级海洋公园</w:t>
            </w:r>
          </w:p>
        </w:tc>
        <w:tc>
          <w:tcPr>
            <w:tcW w:w="1516" w:type="dxa"/>
            <w:gridSpan w:val="4"/>
            <w:tcMar>
              <w:left w:w="0" w:type="dxa"/>
              <w:right w:w="0" w:type="dxa"/>
            </w:tcMar>
            <w:vAlign w:val="center"/>
          </w:tcPr>
          <w:p w14:paraId="312BFC3C">
            <w:pPr>
              <w:pStyle w:val="34"/>
            </w:pPr>
            <w:r>
              <w:rPr>
                <w:rFonts w:hint="eastAsia"/>
              </w:rPr>
              <w:t>海洋公园</w:t>
            </w:r>
          </w:p>
        </w:tc>
        <w:tc>
          <w:tcPr>
            <w:tcW w:w="893" w:type="dxa"/>
            <w:gridSpan w:val="2"/>
            <w:tcMar>
              <w:left w:w="0" w:type="dxa"/>
              <w:right w:w="0" w:type="dxa"/>
            </w:tcMar>
            <w:vAlign w:val="center"/>
          </w:tcPr>
          <w:p w14:paraId="7F785A44">
            <w:pPr>
              <w:pStyle w:val="34"/>
            </w:pPr>
            <w:r>
              <w:rPr>
                <w:rFonts w:hint="eastAsia"/>
              </w:rPr>
              <w:t>水质、红树林生态</w:t>
            </w:r>
          </w:p>
        </w:tc>
        <w:tc>
          <w:tcPr>
            <w:tcW w:w="710" w:type="dxa"/>
            <w:gridSpan w:val="3"/>
            <w:tcMar>
              <w:left w:w="0" w:type="dxa"/>
              <w:right w:w="0" w:type="dxa"/>
            </w:tcMar>
            <w:vAlign w:val="center"/>
          </w:tcPr>
          <w:p w14:paraId="472BE60D">
            <w:pPr>
              <w:pStyle w:val="34"/>
            </w:pPr>
            <w:r>
              <w:rPr>
                <w:rFonts w:hint="eastAsia"/>
              </w:rPr>
              <w:t>/</w:t>
            </w:r>
          </w:p>
        </w:tc>
        <w:tc>
          <w:tcPr>
            <w:tcW w:w="1892" w:type="dxa"/>
            <w:gridSpan w:val="2"/>
            <w:tcMar>
              <w:left w:w="0" w:type="dxa"/>
              <w:right w:w="0" w:type="dxa"/>
            </w:tcMar>
            <w:vAlign w:val="center"/>
          </w:tcPr>
          <w:p w14:paraId="7A256A98">
            <w:pPr>
              <w:pStyle w:val="34"/>
            </w:pPr>
            <w:r>
              <w:t>NNW，</w:t>
            </w:r>
            <w:r>
              <w:rPr>
                <w:rFonts w:hint="eastAsia"/>
              </w:rPr>
              <w:t>17.5km</w:t>
            </w:r>
          </w:p>
        </w:tc>
      </w:tr>
      <w:tr w14:paraId="5A0DFAC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61517C89">
            <w:pPr>
              <w:pStyle w:val="34"/>
            </w:pPr>
          </w:p>
        </w:tc>
        <w:tc>
          <w:tcPr>
            <w:tcW w:w="660" w:type="dxa"/>
            <w:tcMar>
              <w:left w:w="0" w:type="dxa"/>
              <w:right w:w="0" w:type="dxa"/>
            </w:tcMar>
            <w:vAlign w:val="center"/>
          </w:tcPr>
          <w:p w14:paraId="0E238BCF">
            <w:pPr>
              <w:pStyle w:val="34"/>
            </w:pPr>
            <w:r>
              <w:rPr>
                <w:rFonts w:hint="eastAsia"/>
              </w:rPr>
              <w:t>3</w:t>
            </w:r>
          </w:p>
        </w:tc>
        <w:tc>
          <w:tcPr>
            <w:tcW w:w="1985" w:type="dxa"/>
            <w:gridSpan w:val="6"/>
            <w:tcMar>
              <w:left w:w="0" w:type="dxa"/>
              <w:right w:w="0" w:type="dxa"/>
            </w:tcMar>
            <w:vAlign w:val="center"/>
          </w:tcPr>
          <w:p w14:paraId="04B7373B">
            <w:pPr>
              <w:pStyle w:val="34"/>
            </w:pPr>
            <w:r>
              <w:rPr>
                <w:rFonts w:hint="eastAsia"/>
              </w:rPr>
              <w:t>钦州市鹿耳环重要滩涂及浅海水域红线区</w:t>
            </w:r>
          </w:p>
        </w:tc>
        <w:tc>
          <w:tcPr>
            <w:tcW w:w="1516" w:type="dxa"/>
            <w:gridSpan w:val="4"/>
            <w:vMerge w:val="restart"/>
            <w:tcMar>
              <w:left w:w="0" w:type="dxa"/>
              <w:right w:w="0" w:type="dxa"/>
            </w:tcMar>
            <w:vAlign w:val="center"/>
          </w:tcPr>
          <w:p w14:paraId="03CE7A4D">
            <w:pPr>
              <w:pStyle w:val="34"/>
            </w:pPr>
            <w:r>
              <w:rPr>
                <w:rFonts w:hint="eastAsia"/>
                <w:kern w:val="0"/>
              </w:rPr>
              <w:t>《钦州市国土空间总体规划（2021—2035年）》</w:t>
            </w:r>
            <w:r>
              <w:t>生态保护红线</w:t>
            </w:r>
          </w:p>
        </w:tc>
        <w:tc>
          <w:tcPr>
            <w:tcW w:w="893" w:type="dxa"/>
            <w:gridSpan w:val="2"/>
            <w:tcMar>
              <w:left w:w="0" w:type="dxa"/>
              <w:right w:w="0" w:type="dxa"/>
            </w:tcMar>
            <w:vAlign w:val="center"/>
          </w:tcPr>
          <w:p w14:paraId="2336815D">
            <w:pPr>
              <w:pStyle w:val="34"/>
            </w:pPr>
            <w:r>
              <w:t>水质、生态环境</w:t>
            </w:r>
          </w:p>
        </w:tc>
        <w:tc>
          <w:tcPr>
            <w:tcW w:w="710" w:type="dxa"/>
            <w:gridSpan w:val="3"/>
            <w:tcMar>
              <w:left w:w="0" w:type="dxa"/>
              <w:right w:w="0" w:type="dxa"/>
            </w:tcMar>
            <w:vAlign w:val="center"/>
          </w:tcPr>
          <w:p w14:paraId="7D0D98C2">
            <w:pPr>
              <w:pStyle w:val="34"/>
            </w:pPr>
            <w:r>
              <w:t>/</w:t>
            </w:r>
          </w:p>
        </w:tc>
        <w:tc>
          <w:tcPr>
            <w:tcW w:w="1892" w:type="dxa"/>
            <w:gridSpan w:val="2"/>
            <w:tcMar>
              <w:left w:w="0" w:type="dxa"/>
              <w:right w:w="0" w:type="dxa"/>
            </w:tcMar>
            <w:vAlign w:val="center"/>
          </w:tcPr>
          <w:p w14:paraId="0DAA51BA">
            <w:pPr>
              <w:pStyle w:val="34"/>
            </w:pPr>
            <w:r>
              <w:rPr>
                <w:rFonts w:hint="eastAsia"/>
                <w:kern w:val="0"/>
              </w:rPr>
              <w:t>SE</w:t>
            </w:r>
            <w:r>
              <w:rPr>
                <w:rFonts w:hint="eastAsia"/>
                <w:szCs w:val="20"/>
              </w:rPr>
              <w:t>，6.8km（三墩公路相隔）</w:t>
            </w:r>
          </w:p>
        </w:tc>
      </w:tr>
      <w:tr w14:paraId="3CE9C4D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655B6715">
            <w:pPr>
              <w:pStyle w:val="34"/>
            </w:pPr>
          </w:p>
        </w:tc>
        <w:tc>
          <w:tcPr>
            <w:tcW w:w="660" w:type="dxa"/>
            <w:tcMar>
              <w:left w:w="0" w:type="dxa"/>
              <w:right w:w="0" w:type="dxa"/>
            </w:tcMar>
            <w:vAlign w:val="center"/>
          </w:tcPr>
          <w:p w14:paraId="7E8E7DF2">
            <w:pPr>
              <w:pStyle w:val="34"/>
            </w:pPr>
            <w:r>
              <w:rPr>
                <w:rFonts w:hint="eastAsia"/>
              </w:rPr>
              <w:t>4</w:t>
            </w:r>
          </w:p>
        </w:tc>
        <w:tc>
          <w:tcPr>
            <w:tcW w:w="1985" w:type="dxa"/>
            <w:gridSpan w:val="6"/>
            <w:tcMar>
              <w:left w:w="0" w:type="dxa"/>
              <w:right w:w="0" w:type="dxa"/>
            </w:tcMar>
            <w:vAlign w:val="center"/>
          </w:tcPr>
          <w:p w14:paraId="3B82ADA4">
            <w:pPr>
              <w:pStyle w:val="34"/>
            </w:pPr>
            <w:r>
              <w:rPr>
                <w:rFonts w:hint="eastAsia"/>
              </w:rPr>
              <w:t>北部湾水源涵养生态保护红线区</w:t>
            </w:r>
          </w:p>
        </w:tc>
        <w:tc>
          <w:tcPr>
            <w:tcW w:w="1516" w:type="dxa"/>
            <w:gridSpan w:val="4"/>
            <w:vMerge w:val="continue"/>
            <w:tcMar>
              <w:left w:w="0" w:type="dxa"/>
              <w:right w:w="0" w:type="dxa"/>
            </w:tcMar>
            <w:vAlign w:val="center"/>
          </w:tcPr>
          <w:p w14:paraId="1F4C48D1">
            <w:pPr>
              <w:pStyle w:val="34"/>
            </w:pPr>
          </w:p>
        </w:tc>
        <w:tc>
          <w:tcPr>
            <w:tcW w:w="893" w:type="dxa"/>
            <w:gridSpan w:val="2"/>
            <w:tcMar>
              <w:left w:w="0" w:type="dxa"/>
              <w:right w:w="0" w:type="dxa"/>
            </w:tcMar>
            <w:vAlign w:val="center"/>
          </w:tcPr>
          <w:p w14:paraId="4C924467">
            <w:pPr>
              <w:pStyle w:val="34"/>
            </w:pPr>
            <w:r>
              <w:rPr>
                <w:rFonts w:hint="eastAsia"/>
              </w:rPr>
              <w:t>水源涵养</w:t>
            </w:r>
          </w:p>
        </w:tc>
        <w:tc>
          <w:tcPr>
            <w:tcW w:w="710" w:type="dxa"/>
            <w:gridSpan w:val="3"/>
            <w:tcMar>
              <w:left w:w="0" w:type="dxa"/>
              <w:right w:w="0" w:type="dxa"/>
            </w:tcMar>
            <w:vAlign w:val="center"/>
          </w:tcPr>
          <w:p w14:paraId="22571264">
            <w:pPr>
              <w:pStyle w:val="34"/>
            </w:pPr>
            <w:r>
              <w:rPr>
                <w:rFonts w:hint="eastAsia"/>
              </w:rPr>
              <w:t>/</w:t>
            </w:r>
          </w:p>
        </w:tc>
        <w:tc>
          <w:tcPr>
            <w:tcW w:w="1892" w:type="dxa"/>
            <w:gridSpan w:val="2"/>
            <w:tcMar>
              <w:left w:w="0" w:type="dxa"/>
              <w:right w:w="0" w:type="dxa"/>
            </w:tcMar>
            <w:vAlign w:val="center"/>
          </w:tcPr>
          <w:p w14:paraId="01693A2F">
            <w:pPr>
              <w:pStyle w:val="34"/>
            </w:pPr>
            <w:r>
              <w:rPr>
                <w:rFonts w:hint="eastAsia"/>
                <w:szCs w:val="20"/>
              </w:rPr>
              <w:t>E，5.3km</w:t>
            </w:r>
          </w:p>
        </w:tc>
      </w:tr>
      <w:tr w14:paraId="674B117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6F321711">
            <w:pPr>
              <w:pStyle w:val="34"/>
            </w:pPr>
          </w:p>
        </w:tc>
        <w:tc>
          <w:tcPr>
            <w:tcW w:w="660" w:type="dxa"/>
            <w:tcMar>
              <w:left w:w="0" w:type="dxa"/>
              <w:right w:w="0" w:type="dxa"/>
            </w:tcMar>
            <w:vAlign w:val="center"/>
          </w:tcPr>
          <w:p w14:paraId="6FABE919">
            <w:pPr>
              <w:pStyle w:val="34"/>
            </w:pPr>
            <w:r>
              <w:rPr>
                <w:rFonts w:hint="eastAsia"/>
              </w:rPr>
              <w:t>5</w:t>
            </w:r>
          </w:p>
        </w:tc>
        <w:tc>
          <w:tcPr>
            <w:tcW w:w="1985" w:type="dxa"/>
            <w:gridSpan w:val="6"/>
            <w:tcMar>
              <w:left w:w="0" w:type="dxa"/>
              <w:right w:w="0" w:type="dxa"/>
            </w:tcMar>
            <w:vAlign w:val="center"/>
          </w:tcPr>
          <w:p w14:paraId="311A6316">
            <w:pPr>
              <w:pStyle w:val="34"/>
            </w:pPr>
            <w:r>
              <w:rPr>
                <w:rFonts w:hint="eastAsia"/>
              </w:rPr>
              <w:t>钦州市月亮湾海岸防护极重要区</w:t>
            </w:r>
          </w:p>
        </w:tc>
        <w:tc>
          <w:tcPr>
            <w:tcW w:w="1516" w:type="dxa"/>
            <w:gridSpan w:val="4"/>
            <w:vMerge w:val="continue"/>
            <w:tcMar>
              <w:left w:w="0" w:type="dxa"/>
              <w:right w:w="0" w:type="dxa"/>
            </w:tcMar>
            <w:vAlign w:val="center"/>
          </w:tcPr>
          <w:p w14:paraId="5C581856">
            <w:pPr>
              <w:pStyle w:val="34"/>
            </w:pPr>
          </w:p>
        </w:tc>
        <w:tc>
          <w:tcPr>
            <w:tcW w:w="893" w:type="dxa"/>
            <w:gridSpan w:val="2"/>
            <w:tcMar>
              <w:left w:w="0" w:type="dxa"/>
              <w:right w:w="0" w:type="dxa"/>
            </w:tcMar>
            <w:vAlign w:val="center"/>
          </w:tcPr>
          <w:p w14:paraId="3AAA70D0">
            <w:pPr>
              <w:pStyle w:val="34"/>
            </w:pPr>
            <w:r>
              <w:t>水质、生态环境</w:t>
            </w:r>
          </w:p>
        </w:tc>
        <w:tc>
          <w:tcPr>
            <w:tcW w:w="710" w:type="dxa"/>
            <w:gridSpan w:val="3"/>
            <w:tcMar>
              <w:left w:w="0" w:type="dxa"/>
              <w:right w:w="0" w:type="dxa"/>
            </w:tcMar>
            <w:vAlign w:val="center"/>
          </w:tcPr>
          <w:p w14:paraId="37B69FAC">
            <w:pPr>
              <w:pStyle w:val="34"/>
            </w:pPr>
            <w:r>
              <w:rPr>
                <w:rFonts w:hint="eastAsia"/>
              </w:rPr>
              <w:t>/</w:t>
            </w:r>
          </w:p>
        </w:tc>
        <w:tc>
          <w:tcPr>
            <w:tcW w:w="1892" w:type="dxa"/>
            <w:gridSpan w:val="2"/>
            <w:tcMar>
              <w:left w:w="0" w:type="dxa"/>
              <w:right w:w="0" w:type="dxa"/>
            </w:tcMar>
            <w:vAlign w:val="center"/>
          </w:tcPr>
          <w:p w14:paraId="74186797">
            <w:pPr>
              <w:pStyle w:val="34"/>
            </w:pPr>
            <w:r>
              <w:rPr>
                <w:rFonts w:hint="eastAsia"/>
                <w:szCs w:val="20"/>
              </w:rPr>
              <w:t>SE，6.7km</w:t>
            </w:r>
          </w:p>
        </w:tc>
      </w:tr>
      <w:tr w14:paraId="4C1A99F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45E963E2">
            <w:pPr>
              <w:pStyle w:val="34"/>
            </w:pPr>
          </w:p>
        </w:tc>
        <w:tc>
          <w:tcPr>
            <w:tcW w:w="660" w:type="dxa"/>
            <w:tcMar>
              <w:left w:w="0" w:type="dxa"/>
              <w:right w:w="0" w:type="dxa"/>
            </w:tcMar>
            <w:vAlign w:val="center"/>
          </w:tcPr>
          <w:p w14:paraId="25A9BFA7">
            <w:pPr>
              <w:pStyle w:val="34"/>
            </w:pPr>
            <w:r>
              <w:rPr>
                <w:rFonts w:hint="eastAsia"/>
              </w:rPr>
              <w:t>6</w:t>
            </w:r>
          </w:p>
        </w:tc>
        <w:tc>
          <w:tcPr>
            <w:tcW w:w="1985" w:type="dxa"/>
            <w:gridSpan w:val="6"/>
            <w:tcMar>
              <w:left w:w="0" w:type="dxa"/>
              <w:right w:w="0" w:type="dxa"/>
            </w:tcMar>
            <w:vAlign w:val="center"/>
          </w:tcPr>
          <w:p w14:paraId="7C2A2861">
            <w:pPr>
              <w:pStyle w:val="34"/>
            </w:pPr>
            <w:r>
              <w:rPr>
                <w:rFonts w:hint="eastAsia"/>
              </w:rPr>
              <w:t>钦州市七十二泾红树林红线区</w:t>
            </w:r>
          </w:p>
        </w:tc>
        <w:tc>
          <w:tcPr>
            <w:tcW w:w="1516" w:type="dxa"/>
            <w:gridSpan w:val="4"/>
            <w:vMerge w:val="continue"/>
            <w:tcMar>
              <w:left w:w="0" w:type="dxa"/>
              <w:right w:w="0" w:type="dxa"/>
            </w:tcMar>
            <w:vAlign w:val="center"/>
          </w:tcPr>
          <w:p w14:paraId="785C12B6">
            <w:pPr>
              <w:pStyle w:val="34"/>
            </w:pPr>
          </w:p>
        </w:tc>
        <w:tc>
          <w:tcPr>
            <w:tcW w:w="893" w:type="dxa"/>
            <w:gridSpan w:val="2"/>
            <w:tcMar>
              <w:left w:w="0" w:type="dxa"/>
              <w:right w:w="0" w:type="dxa"/>
            </w:tcMar>
            <w:vAlign w:val="center"/>
          </w:tcPr>
          <w:p w14:paraId="7F46CB85">
            <w:pPr>
              <w:pStyle w:val="34"/>
            </w:pPr>
            <w:r>
              <w:t>红树林</w:t>
            </w:r>
          </w:p>
        </w:tc>
        <w:tc>
          <w:tcPr>
            <w:tcW w:w="710" w:type="dxa"/>
            <w:gridSpan w:val="3"/>
            <w:tcMar>
              <w:left w:w="0" w:type="dxa"/>
              <w:right w:w="0" w:type="dxa"/>
            </w:tcMar>
            <w:vAlign w:val="center"/>
          </w:tcPr>
          <w:p w14:paraId="59FAB3D0">
            <w:pPr>
              <w:pStyle w:val="34"/>
            </w:pPr>
            <w:r>
              <w:rPr>
                <w:rFonts w:hint="eastAsia"/>
              </w:rPr>
              <w:t>/</w:t>
            </w:r>
          </w:p>
        </w:tc>
        <w:tc>
          <w:tcPr>
            <w:tcW w:w="1892" w:type="dxa"/>
            <w:gridSpan w:val="2"/>
            <w:tcMar>
              <w:left w:w="0" w:type="dxa"/>
              <w:right w:w="0" w:type="dxa"/>
            </w:tcMar>
            <w:vAlign w:val="center"/>
          </w:tcPr>
          <w:p w14:paraId="01D10E34">
            <w:pPr>
              <w:pStyle w:val="34"/>
              <w:rPr>
                <w:szCs w:val="20"/>
              </w:rPr>
            </w:pPr>
            <w:r>
              <w:t>NNW，</w:t>
            </w:r>
            <w:r>
              <w:rPr>
                <w:rFonts w:hint="eastAsia"/>
              </w:rPr>
              <w:t>10.6km</w:t>
            </w:r>
          </w:p>
        </w:tc>
      </w:tr>
      <w:tr w14:paraId="3BD4694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4249C20E">
            <w:pPr>
              <w:pStyle w:val="34"/>
            </w:pPr>
          </w:p>
        </w:tc>
        <w:tc>
          <w:tcPr>
            <w:tcW w:w="660" w:type="dxa"/>
            <w:tcMar>
              <w:left w:w="0" w:type="dxa"/>
              <w:right w:w="0" w:type="dxa"/>
            </w:tcMar>
            <w:vAlign w:val="center"/>
          </w:tcPr>
          <w:p w14:paraId="22A679BD">
            <w:pPr>
              <w:pStyle w:val="34"/>
            </w:pPr>
            <w:r>
              <w:rPr>
                <w:rFonts w:hint="eastAsia"/>
              </w:rPr>
              <w:t>7</w:t>
            </w:r>
          </w:p>
        </w:tc>
        <w:tc>
          <w:tcPr>
            <w:tcW w:w="1985" w:type="dxa"/>
            <w:gridSpan w:val="6"/>
            <w:tcMar>
              <w:left w:w="0" w:type="dxa"/>
              <w:right w:w="0" w:type="dxa"/>
            </w:tcMar>
            <w:vAlign w:val="center"/>
          </w:tcPr>
          <w:p w14:paraId="67991BA7">
            <w:pPr>
              <w:pStyle w:val="34"/>
            </w:pPr>
            <w:r>
              <w:rPr>
                <w:rFonts w:hint="eastAsia"/>
              </w:rPr>
              <w:t>金鼓江红树林</w:t>
            </w:r>
          </w:p>
        </w:tc>
        <w:tc>
          <w:tcPr>
            <w:tcW w:w="2409" w:type="dxa"/>
            <w:gridSpan w:val="6"/>
            <w:vMerge w:val="restart"/>
            <w:tcMar>
              <w:left w:w="0" w:type="dxa"/>
              <w:right w:w="0" w:type="dxa"/>
            </w:tcMar>
            <w:vAlign w:val="center"/>
          </w:tcPr>
          <w:p w14:paraId="77C6C742">
            <w:pPr>
              <w:pStyle w:val="34"/>
            </w:pPr>
            <w:r>
              <w:rPr>
                <w:kern w:val="0"/>
              </w:rPr>
              <w:t>水质、生态环境、红树林及其生态系统</w:t>
            </w:r>
          </w:p>
        </w:tc>
        <w:tc>
          <w:tcPr>
            <w:tcW w:w="710" w:type="dxa"/>
            <w:gridSpan w:val="3"/>
            <w:tcMar>
              <w:left w:w="0" w:type="dxa"/>
              <w:right w:w="0" w:type="dxa"/>
            </w:tcMar>
            <w:vAlign w:val="center"/>
          </w:tcPr>
          <w:p w14:paraId="1FD716E8">
            <w:pPr>
              <w:pStyle w:val="34"/>
            </w:pPr>
            <w:r>
              <w:rPr>
                <w:rFonts w:hint="eastAsia"/>
              </w:rPr>
              <w:t>/</w:t>
            </w:r>
          </w:p>
        </w:tc>
        <w:tc>
          <w:tcPr>
            <w:tcW w:w="1892" w:type="dxa"/>
            <w:gridSpan w:val="2"/>
            <w:tcMar>
              <w:left w:w="0" w:type="dxa"/>
              <w:right w:w="0" w:type="dxa"/>
            </w:tcMar>
            <w:vAlign w:val="center"/>
          </w:tcPr>
          <w:p w14:paraId="1996735D">
            <w:pPr>
              <w:pStyle w:val="34"/>
              <w:rPr>
                <w:szCs w:val="20"/>
              </w:rPr>
            </w:pPr>
            <w:r>
              <w:rPr>
                <w:rFonts w:hint="eastAsia"/>
                <w:szCs w:val="20"/>
              </w:rPr>
              <w:t>N，9.6km</w:t>
            </w:r>
          </w:p>
        </w:tc>
      </w:tr>
      <w:tr w14:paraId="5F4E423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5ED7FFB1">
            <w:pPr>
              <w:pStyle w:val="34"/>
            </w:pPr>
          </w:p>
        </w:tc>
        <w:tc>
          <w:tcPr>
            <w:tcW w:w="660" w:type="dxa"/>
            <w:tcMar>
              <w:left w:w="0" w:type="dxa"/>
              <w:right w:w="0" w:type="dxa"/>
            </w:tcMar>
            <w:vAlign w:val="center"/>
          </w:tcPr>
          <w:p w14:paraId="1F7911E7">
            <w:pPr>
              <w:pStyle w:val="34"/>
            </w:pPr>
            <w:r>
              <w:rPr>
                <w:rFonts w:hint="eastAsia"/>
              </w:rPr>
              <w:t>8</w:t>
            </w:r>
          </w:p>
        </w:tc>
        <w:tc>
          <w:tcPr>
            <w:tcW w:w="1985" w:type="dxa"/>
            <w:gridSpan w:val="6"/>
            <w:tcMar>
              <w:left w:w="0" w:type="dxa"/>
              <w:right w:w="0" w:type="dxa"/>
            </w:tcMar>
            <w:vAlign w:val="center"/>
          </w:tcPr>
          <w:p w14:paraId="02B09447">
            <w:pPr>
              <w:pStyle w:val="34"/>
            </w:pPr>
            <w:r>
              <w:rPr>
                <w:rFonts w:hint="eastAsia"/>
              </w:rPr>
              <w:t>鹿耳环江红树林</w:t>
            </w:r>
          </w:p>
        </w:tc>
        <w:tc>
          <w:tcPr>
            <w:tcW w:w="2409" w:type="dxa"/>
            <w:gridSpan w:val="6"/>
            <w:vMerge w:val="continue"/>
            <w:tcMar>
              <w:left w:w="0" w:type="dxa"/>
              <w:right w:w="0" w:type="dxa"/>
            </w:tcMar>
            <w:vAlign w:val="center"/>
          </w:tcPr>
          <w:p w14:paraId="4B35149A">
            <w:pPr>
              <w:pStyle w:val="34"/>
            </w:pPr>
          </w:p>
        </w:tc>
        <w:tc>
          <w:tcPr>
            <w:tcW w:w="710" w:type="dxa"/>
            <w:gridSpan w:val="3"/>
            <w:tcMar>
              <w:left w:w="0" w:type="dxa"/>
              <w:right w:w="0" w:type="dxa"/>
            </w:tcMar>
            <w:vAlign w:val="center"/>
          </w:tcPr>
          <w:p w14:paraId="4E642340">
            <w:pPr>
              <w:pStyle w:val="34"/>
            </w:pPr>
            <w:r>
              <w:rPr>
                <w:rFonts w:hint="eastAsia"/>
              </w:rPr>
              <w:t>/</w:t>
            </w:r>
          </w:p>
        </w:tc>
        <w:tc>
          <w:tcPr>
            <w:tcW w:w="1892" w:type="dxa"/>
            <w:gridSpan w:val="2"/>
            <w:tcMar>
              <w:left w:w="0" w:type="dxa"/>
              <w:right w:w="0" w:type="dxa"/>
            </w:tcMar>
            <w:vAlign w:val="center"/>
          </w:tcPr>
          <w:p w14:paraId="72A92DC8">
            <w:pPr>
              <w:pStyle w:val="34"/>
              <w:rPr>
                <w:szCs w:val="20"/>
              </w:rPr>
            </w:pPr>
            <w:r>
              <w:rPr>
                <w:rFonts w:hint="eastAsia"/>
                <w:szCs w:val="20"/>
              </w:rPr>
              <w:t>NE，6.3km</w:t>
            </w:r>
          </w:p>
        </w:tc>
      </w:tr>
      <w:tr w14:paraId="2EFD1BD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584E71C6">
            <w:pPr>
              <w:pStyle w:val="34"/>
            </w:pPr>
          </w:p>
        </w:tc>
        <w:tc>
          <w:tcPr>
            <w:tcW w:w="660" w:type="dxa"/>
            <w:tcMar>
              <w:left w:w="0" w:type="dxa"/>
              <w:right w:w="0" w:type="dxa"/>
            </w:tcMar>
            <w:vAlign w:val="center"/>
          </w:tcPr>
          <w:p w14:paraId="546F8B33">
            <w:pPr>
              <w:pStyle w:val="34"/>
            </w:pPr>
            <w:r>
              <w:rPr>
                <w:rFonts w:hint="eastAsia"/>
              </w:rPr>
              <w:t>9</w:t>
            </w:r>
          </w:p>
        </w:tc>
        <w:tc>
          <w:tcPr>
            <w:tcW w:w="1985" w:type="dxa"/>
            <w:gridSpan w:val="6"/>
            <w:tcMar>
              <w:left w:w="0" w:type="dxa"/>
              <w:right w:w="0" w:type="dxa"/>
            </w:tcMar>
            <w:vAlign w:val="center"/>
          </w:tcPr>
          <w:p w14:paraId="563C0E4D">
            <w:pPr>
              <w:pStyle w:val="34"/>
            </w:pPr>
            <w:r>
              <w:rPr>
                <w:rFonts w:hint="eastAsia"/>
              </w:rPr>
              <w:t>龙门海峡红树林</w:t>
            </w:r>
          </w:p>
        </w:tc>
        <w:tc>
          <w:tcPr>
            <w:tcW w:w="2409" w:type="dxa"/>
            <w:gridSpan w:val="6"/>
            <w:vMerge w:val="continue"/>
            <w:tcMar>
              <w:left w:w="0" w:type="dxa"/>
              <w:right w:w="0" w:type="dxa"/>
            </w:tcMar>
            <w:vAlign w:val="center"/>
          </w:tcPr>
          <w:p w14:paraId="58FD7397">
            <w:pPr>
              <w:pStyle w:val="34"/>
            </w:pPr>
          </w:p>
        </w:tc>
        <w:tc>
          <w:tcPr>
            <w:tcW w:w="710" w:type="dxa"/>
            <w:gridSpan w:val="3"/>
            <w:tcMar>
              <w:left w:w="0" w:type="dxa"/>
              <w:right w:w="0" w:type="dxa"/>
            </w:tcMar>
            <w:vAlign w:val="center"/>
          </w:tcPr>
          <w:p w14:paraId="0E485CF9">
            <w:pPr>
              <w:pStyle w:val="34"/>
            </w:pPr>
            <w:r>
              <w:rPr>
                <w:rFonts w:hint="eastAsia"/>
              </w:rPr>
              <w:t>/</w:t>
            </w:r>
          </w:p>
        </w:tc>
        <w:tc>
          <w:tcPr>
            <w:tcW w:w="1892" w:type="dxa"/>
            <w:gridSpan w:val="2"/>
            <w:tcMar>
              <w:left w:w="0" w:type="dxa"/>
              <w:right w:w="0" w:type="dxa"/>
            </w:tcMar>
            <w:vAlign w:val="center"/>
          </w:tcPr>
          <w:p w14:paraId="09236C44">
            <w:pPr>
              <w:pStyle w:val="34"/>
              <w:rPr>
                <w:szCs w:val="20"/>
              </w:rPr>
            </w:pPr>
            <w:r>
              <w:rPr>
                <w:rFonts w:hint="eastAsia"/>
                <w:szCs w:val="20"/>
              </w:rPr>
              <w:t>NNW，8.65km</w:t>
            </w:r>
          </w:p>
        </w:tc>
      </w:tr>
      <w:tr w14:paraId="335B3F8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3F219DE2">
            <w:pPr>
              <w:pStyle w:val="34"/>
            </w:pPr>
          </w:p>
        </w:tc>
        <w:tc>
          <w:tcPr>
            <w:tcW w:w="660" w:type="dxa"/>
            <w:tcMar>
              <w:left w:w="0" w:type="dxa"/>
              <w:right w:w="0" w:type="dxa"/>
            </w:tcMar>
            <w:vAlign w:val="center"/>
          </w:tcPr>
          <w:p w14:paraId="07B2C956">
            <w:pPr>
              <w:pStyle w:val="34"/>
            </w:pPr>
            <w:r>
              <w:rPr>
                <w:rFonts w:hint="eastAsia"/>
              </w:rPr>
              <w:t>10</w:t>
            </w:r>
          </w:p>
        </w:tc>
        <w:tc>
          <w:tcPr>
            <w:tcW w:w="1985" w:type="dxa"/>
            <w:gridSpan w:val="6"/>
            <w:tcMar>
              <w:left w:w="0" w:type="dxa"/>
              <w:right w:w="0" w:type="dxa"/>
            </w:tcMar>
            <w:vAlign w:val="center"/>
          </w:tcPr>
          <w:p w14:paraId="70E2A0BC">
            <w:pPr>
              <w:pStyle w:val="34"/>
            </w:pPr>
            <w:r>
              <w:rPr>
                <w:rFonts w:hint="eastAsia"/>
              </w:rPr>
              <w:t>北部湾二长棘鲷长毛对虾国家级种质资源保护区（实验区）</w:t>
            </w:r>
          </w:p>
        </w:tc>
        <w:tc>
          <w:tcPr>
            <w:tcW w:w="2409" w:type="dxa"/>
            <w:gridSpan w:val="6"/>
            <w:tcMar>
              <w:left w:w="0" w:type="dxa"/>
              <w:right w:w="0" w:type="dxa"/>
            </w:tcMar>
            <w:vAlign w:val="center"/>
          </w:tcPr>
          <w:p w14:paraId="413D4ADA">
            <w:pPr>
              <w:pStyle w:val="34"/>
            </w:pPr>
            <w:r>
              <w:rPr>
                <w:rFonts w:hint="eastAsia"/>
              </w:rPr>
              <w:t>海洋生态环境和物种多样性</w:t>
            </w:r>
          </w:p>
        </w:tc>
        <w:tc>
          <w:tcPr>
            <w:tcW w:w="710" w:type="dxa"/>
            <w:gridSpan w:val="3"/>
            <w:tcMar>
              <w:left w:w="0" w:type="dxa"/>
              <w:right w:w="0" w:type="dxa"/>
            </w:tcMar>
            <w:vAlign w:val="center"/>
          </w:tcPr>
          <w:p w14:paraId="676D5F17">
            <w:pPr>
              <w:pStyle w:val="34"/>
            </w:pPr>
            <w:r>
              <w:rPr>
                <w:rFonts w:hint="eastAsia"/>
              </w:rPr>
              <w:t>/</w:t>
            </w:r>
          </w:p>
        </w:tc>
        <w:tc>
          <w:tcPr>
            <w:tcW w:w="1892" w:type="dxa"/>
            <w:gridSpan w:val="2"/>
            <w:tcMar>
              <w:left w:w="0" w:type="dxa"/>
              <w:right w:w="0" w:type="dxa"/>
            </w:tcMar>
            <w:vAlign w:val="center"/>
          </w:tcPr>
          <w:p w14:paraId="69E5E3A6">
            <w:pPr>
              <w:pStyle w:val="34"/>
              <w:rPr>
                <w:szCs w:val="20"/>
              </w:rPr>
            </w:pPr>
            <w:r>
              <w:rPr>
                <w:rFonts w:hint="eastAsia"/>
                <w:szCs w:val="20"/>
              </w:rPr>
              <w:t>S，16.3km</w:t>
            </w:r>
          </w:p>
        </w:tc>
      </w:tr>
      <w:tr w14:paraId="02681DC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4EA11148">
            <w:pPr>
              <w:pStyle w:val="34"/>
            </w:pPr>
          </w:p>
        </w:tc>
        <w:tc>
          <w:tcPr>
            <w:tcW w:w="660" w:type="dxa"/>
            <w:tcMar>
              <w:left w:w="0" w:type="dxa"/>
              <w:right w:w="0" w:type="dxa"/>
            </w:tcMar>
            <w:vAlign w:val="center"/>
          </w:tcPr>
          <w:p w14:paraId="1420DEEF">
            <w:pPr>
              <w:pStyle w:val="34"/>
            </w:pPr>
            <w:r>
              <w:rPr>
                <w:rFonts w:hint="eastAsia"/>
              </w:rPr>
              <w:t>11</w:t>
            </w:r>
          </w:p>
        </w:tc>
        <w:tc>
          <w:tcPr>
            <w:tcW w:w="1985" w:type="dxa"/>
            <w:gridSpan w:val="6"/>
            <w:tcMar>
              <w:left w:w="0" w:type="dxa"/>
              <w:right w:w="0" w:type="dxa"/>
            </w:tcMar>
            <w:vAlign w:val="center"/>
          </w:tcPr>
          <w:p w14:paraId="4C154041">
            <w:pPr>
              <w:pStyle w:val="34"/>
              <w:rPr>
                <w:u w:val="single"/>
              </w:rPr>
            </w:pPr>
            <w:bookmarkStart w:id="157" w:name="OLE_LINK108"/>
            <w:r>
              <w:rPr>
                <w:rFonts w:hint="eastAsia"/>
                <w:u w:val="single"/>
              </w:rPr>
              <w:t>钦州港青菜头南浅海滩涂养殖区</w:t>
            </w:r>
            <w:bookmarkEnd w:id="157"/>
            <w:r>
              <w:rPr>
                <w:rFonts w:hint="eastAsia"/>
                <w:u w:val="single"/>
              </w:rPr>
              <w:t>（</w:t>
            </w:r>
            <w:r>
              <w:rPr>
                <w:u w:val="single"/>
              </w:rPr>
              <w:t>3.1.1-3</w:t>
            </w:r>
            <w:r>
              <w:rPr>
                <w:rFonts w:hint="eastAsia"/>
                <w:u w:val="single"/>
              </w:rPr>
              <w:t>）</w:t>
            </w:r>
          </w:p>
        </w:tc>
        <w:tc>
          <w:tcPr>
            <w:tcW w:w="1294" w:type="dxa"/>
            <w:gridSpan w:val="3"/>
            <w:vMerge w:val="restart"/>
            <w:tcMar>
              <w:left w:w="0" w:type="dxa"/>
              <w:right w:w="0" w:type="dxa"/>
            </w:tcMar>
            <w:vAlign w:val="center"/>
          </w:tcPr>
          <w:p w14:paraId="664ED7C0">
            <w:pPr>
              <w:pStyle w:val="34"/>
              <w:rPr>
                <w:u w:val="single"/>
              </w:rPr>
            </w:pPr>
            <w:r>
              <w:rPr>
                <w:rFonts w:hint="eastAsia"/>
                <w:kern w:val="0"/>
                <w:u w:val="single"/>
              </w:rPr>
              <w:t>《钦州市养殖水域滩涂规划（2025-2035）》养殖区</w:t>
            </w:r>
          </w:p>
        </w:tc>
        <w:tc>
          <w:tcPr>
            <w:tcW w:w="1115" w:type="dxa"/>
            <w:gridSpan w:val="3"/>
            <w:vMerge w:val="restart"/>
            <w:tcMar>
              <w:left w:w="0" w:type="dxa"/>
              <w:right w:w="0" w:type="dxa"/>
            </w:tcMar>
            <w:vAlign w:val="center"/>
          </w:tcPr>
          <w:p w14:paraId="79B7CE4B">
            <w:pPr>
              <w:pStyle w:val="34"/>
            </w:pPr>
            <w:r>
              <w:rPr>
                <w:kern w:val="0"/>
              </w:rPr>
              <w:t>水质、</w:t>
            </w:r>
            <w:r>
              <w:rPr>
                <w:rFonts w:hint="eastAsia"/>
                <w:kern w:val="0"/>
              </w:rPr>
              <w:t>渔业资源</w:t>
            </w:r>
          </w:p>
        </w:tc>
        <w:tc>
          <w:tcPr>
            <w:tcW w:w="710" w:type="dxa"/>
            <w:gridSpan w:val="3"/>
            <w:vMerge w:val="restart"/>
            <w:tcMar>
              <w:left w:w="0" w:type="dxa"/>
              <w:right w:w="0" w:type="dxa"/>
            </w:tcMar>
            <w:vAlign w:val="center"/>
          </w:tcPr>
          <w:p w14:paraId="1B720284">
            <w:pPr>
              <w:pStyle w:val="34"/>
            </w:pPr>
            <w:r>
              <w:rPr>
                <w:rFonts w:hint="eastAsia"/>
              </w:rPr>
              <w:t>二类</w:t>
            </w:r>
          </w:p>
        </w:tc>
        <w:tc>
          <w:tcPr>
            <w:tcW w:w="1892" w:type="dxa"/>
            <w:gridSpan w:val="2"/>
            <w:tcMar>
              <w:left w:w="0" w:type="dxa"/>
              <w:right w:w="0" w:type="dxa"/>
            </w:tcMar>
            <w:vAlign w:val="center"/>
          </w:tcPr>
          <w:p w14:paraId="7FD751C0">
            <w:pPr>
              <w:pStyle w:val="34"/>
              <w:rPr>
                <w:szCs w:val="20"/>
              </w:rPr>
            </w:pPr>
            <w:r>
              <w:rPr>
                <w:rFonts w:hint="eastAsia"/>
                <w:szCs w:val="20"/>
              </w:rPr>
              <w:t xml:space="preserve">W，2.5km </w:t>
            </w:r>
          </w:p>
        </w:tc>
      </w:tr>
      <w:tr w14:paraId="3A01902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6F4A10E9">
            <w:pPr>
              <w:pStyle w:val="34"/>
            </w:pPr>
          </w:p>
        </w:tc>
        <w:tc>
          <w:tcPr>
            <w:tcW w:w="660" w:type="dxa"/>
            <w:tcMar>
              <w:left w:w="0" w:type="dxa"/>
              <w:right w:w="0" w:type="dxa"/>
            </w:tcMar>
            <w:vAlign w:val="center"/>
          </w:tcPr>
          <w:p w14:paraId="0777A367">
            <w:pPr>
              <w:pStyle w:val="34"/>
            </w:pPr>
            <w:r>
              <w:rPr>
                <w:rFonts w:hint="eastAsia"/>
              </w:rPr>
              <w:t>12</w:t>
            </w:r>
          </w:p>
        </w:tc>
        <w:tc>
          <w:tcPr>
            <w:tcW w:w="1985" w:type="dxa"/>
            <w:gridSpan w:val="6"/>
            <w:tcMar>
              <w:left w:w="0" w:type="dxa"/>
              <w:right w:w="0" w:type="dxa"/>
            </w:tcMar>
            <w:vAlign w:val="center"/>
          </w:tcPr>
          <w:p w14:paraId="13C44810">
            <w:pPr>
              <w:pStyle w:val="34"/>
              <w:rPr>
                <w:u w:val="single"/>
              </w:rPr>
            </w:pPr>
            <w:bookmarkStart w:id="158" w:name="OLE_LINK109"/>
            <w:r>
              <w:rPr>
                <w:rFonts w:hint="eastAsia"/>
                <w:u w:val="single"/>
              </w:rPr>
              <w:t>茅尾海浅海滩涂养殖区</w:t>
            </w:r>
            <w:bookmarkEnd w:id="158"/>
            <w:r>
              <w:rPr>
                <w:rFonts w:hint="eastAsia"/>
                <w:u w:val="single"/>
              </w:rPr>
              <w:t>（</w:t>
            </w:r>
            <w:bookmarkStart w:id="159" w:name="OLE_LINK110"/>
            <w:r>
              <w:rPr>
                <w:u w:val="single"/>
              </w:rPr>
              <w:t>3.1.1-</w:t>
            </w:r>
            <w:r>
              <w:rPr>
                <w:rFonts w:hint="eastAsia"/>
                <w:u w:val="single"/>
              </w:rPr>
              <w:t>1</w:t>
            </w:r>
            <w:bookmarkEnd w:id="159"/>
            <w:r>
              <w:rPr>
                <w:rFonts w:hint="eastAsia"/>
                <w:u w:val="single"/>
              </w:rPr>
              <w:t>）</w:t>
            </w:r>
          </w:p>
        </w:tc>
        <w:tc>
          <w:tcPr>
            <w:tcW w:w="1294" w:type="dxa"/>
            <w:gridSpan w:val="3"/>
            <w:vMerge w:val="continue"/>
            <w:tcMar>
              <w:left w:w="0" w:type="dxa"/>
              <w:right w:w="0" w:type="dxa"/>
            </w:tcMar>
            <w:vAlign w:val="center"/>
          </w:tcPr>
          <w:p w14:paraId="6C0D56A4">
            <w:pPr>
              <w:pStyle w:val="34"/>
            </w:pPr>
          </w:p>
        </w:tc>
        <w:tc>
          <w:tcPr>
            <w:tcW w:w="1115" w:type="dxa"/>
            <w:gridSpan w:val="3"/>
            <w:vMerge w:val="continue"/>
            <w:tcMar>
              <w:left w:w="0" w:type="dxa"/>
              <w:right w:w="0" w:type="dxa"/>
            </w:tcMar>
            <w:vAlign w:val="center"/>
          </w:tcPr>
          <w:p w14:paraId="56C1C0B2">
            <w:pPr>
              <w:pStyle w:val="34"/>
            </w:pPr>
          </w:p>
        </w:tc>
        <w:tc>
          <w:tcPr>
            <w:tcW w:w="710" w:type="dxa"/>
            <w:gridSpan w:val="3"/>
            <w:vMerge w:val="continue"/>
            <w:tcMar>
              <w:left w:w="0" w:type="dxa"/>
              <w:right w:w="0" w:type="dxa"/>
            </w:tcMar>
            <w:vAlign w:val="center"/>
          </w:tcPr>
          <w:p w14:paraId="620A54E3">
            <w:pPr>
              <w:pStyle w:val="34"/>
            </w:pPr>
          </w:p>
        </w:tc>
        <w:tc>
          <w:tcPr>
            <w:tcW w:w="1892" w:type="dxa"/>
            <w:gridSpan w:val="2"/>
            <w:tcMar>
              <w:left w:w="0" w:type="dxa"/>
              <w:right w:w="0" w:type="dxa"/>
            </w:tcMar>
            <w:vAlign w:val="center"/>
          </w:tcPr>
          <w:p w14:paraId="41677BB4">
            <w:pPr>
              <w:pStyle w:val="34"/>
              <w:rPr>
                <w:szCs w:val="20"/>
              </w:rPr>
            </w:pPr>
            <w:r>
              <w:rPr>
                <w:rFonts w:hint="eastAsia"/>
                <w:szCs w:val="20"/>
              </w:rPr>
              <w:t>NNW，17.5km</w:t>
            </w:r>
          </w:p>
        </w:tc>
      </w:tr>
      <w:tr w14:paraId="5B2318A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69048B0C">
            <w:pPr>
              <w:pStyle w:val="34"/>
            </w:pPr>
          </w:p>
        </w:tc>
        <w:tc>
          <w:tcPr>
            <w:tcW w:w="660" w:type="dxa"/>
            <w:tcMar>
              <w:left w:w="0" w:type="dxa"/>
              <w:right w:w="0" w:type="dxa"/>
            </w:tcMar>
            <w:vAlign w:val="center"/>
          </w:tcPr>
          <w:p w14:paraId="6E574BDC">
            <w:pPr>
              <w:pStyle w:val="34"/>
            </w:pPr>
            <w:r>
              <w:rPr>
                <w:rFonts w:hint="eastAsia"/>
              </w:rPr>
              <w:t>13</w:t>
            </w:r>
          </w:p>
        </w:tc>
        <w:tc>
          <w:tcPr>
            <w:tcW w:w="1985" w:type="dxa"/>
            <w:gridSpan w:val="6"/>
            <w:tcMar>
              <w:left w:w="0" w:type="dxa"/>
              <w:right w:w="0" w:type="dxa"/>
            </w:tcMar>
            <w:vAlign w:val="center"/>
          </w:tcPr>
          <w:p w14:paraId="26062478">
            <w:pPr>
              <w:pStyle w:val="34"/>
              <w:rPr>
                <w:u w:val="single"/>
              </w:rPr>
            </w:pPr>
            <w:r>
              <w:rPr>
                <w:rFonts w:hint="eastAsia"/>
                <w:u w:val="single"/>
              </w:rPr>
              <w:t>龙门岛浅海滩涂养殖区（</w:t>
            </w:r>
            <w:r>
              <w:rPr>
                <w:u w:val="single"/>
              </w:rPr>
              <w:t>3.1.1-</w:t>
            </w:r>
            <w:r>
              <w:rPr>
                <w:rFonts w:hint="eastAsia"/>
                <w:u w:val="single"/>
              </w:rPr>
              <w:t>2）</w:t>
            </w:r>
          </w:p>
        </w:tc>
        <w:tc>
          <w:tcPr>
            <w:tcW w:w="1294" w:type="dxa"/>
            <w:gridSpan w:val="3"/>
            <w:vMerge w:val="continue"/>
            <w:tcMar>
              <w:left w:w="0" w:type="dxa"/>
              <w:right w:w="0" w:type="dxa"/>
            </w:tcMar>
            <w:vAlign w:val="center"/>
          </w:tcPr>
          <w:p w14:paraId="54B1D8A6">
            <w:pPr>
              <w:pStyle w:val="34"/>
            </w:pPr>
          </w:p>
        </w:tc>
        <w:tc>
          <w:tcPr>
            <w:tcW w:w="1115" w:type="dxa"/>
            <w:gridSpan w:val="3"/>
            <w:vMerge w:val="continue"/>
            <w:tcMar>
              <w:left w:w="0" w:type="dxa"/>
              <w:right w:w="0" w:type="dxa"/>
            </w:tcMar>
            <w:vAlign w:val="center"/>
          </w:tcPr>
          <w:p w14:paraId="45D135F7">
            <w:pPr>
              <w:pStyle w:val="34"/>
            </w:pPr>
          </w:p>
        </w:tc>
        <w:tc>
          <w:tcPr>
            <w:tcW w:w="710" w:type="dxa"/>
            <w:gridSpan w:val="3"/>
            <w:vMerge w:val="continue"/>
            <w:tcMar>
              <w:left w:w="0" w:type="dxa"/>
              <w:right w:w="0" w:type="dxa"/>
            </w:tcMar>
            <w:vAlign w:val="center"/>
          </w:tcPr>
          <w:p w14:paraId="06102086">
            <w:pPr>
              <w:pStyle w:val="34"/>
            </w:pPr>
          </w:p>
        </w:tc>
        <w:tc>
          <w:tcPr>
            <w:tcW w:w="1892" w:type="dxa"/>
            <w:gridSpan w:val="2"/>
            <w:tcMar>
              <w:left w:w="0" w:type="dxa"/>
              <w:right w:w="0" w:type="dxa"/>
            </w:tcMar>
            <w:vAlign w:val="center"/>
          </w:tcPr>
          <w:p w14:paraId="33BC5559">
            <w:pPr>
              <w:pStyle w:val="34"/>
              <w:rPr>
                <w:szCs w:val="20"/>
              </w:rPr>
            </w:pPr>
            <w:r>
              <w:rPr>
                <w:rFonts w:hint="eastAsia"/>
                <w:szCs w:val="20"/>
              </w:rPr>
              <w:t>NNW，16.2km</w:t>
            </w:r>
          </w:p>
        </w:tc>
      </w:tr>
      <w:tr w14:paraId="6DB84DD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05599E84">
            <w:pPr>
              <w:pStyle w:val="34"/>
            </w:pPr>
          </w:p>
        </w:tc>
        <w:tc>
          <w:tcPr>
            <w:tcW w:w="5764" w:type="dxa"/>
            <w:gridSpan w:val="16"/>
            <w:tcMar>
              <w:left w:w="0" w:type="dxa"/>
              <w:right w:w="0" w:type="dxa"/>
            </w:tcMar>
            <w:vAlign w:val="center"/>
          </w:tcPr>
          <w:p w14:paraId="5A22E46D">
            <w:pPr>
              <w:pStyle w:val="34"/>
            </w:pPr>
            <w:r>
              <w:t>地表水环境敏感程度E值</w:t>
            </w:r>
          </w:p>
        </w:tc>
        <w:tc>
          <w:tcPr>
            <w:tcW w:w="1892" w:type="dxa"/>
            <w:gridSpan w:val="2"/>
            <w:tcMar>
              <w:left w:w="0" w:type="dxa"/>
              <w:right w:w="0" w:type="dxa"/>
            </w:tcMar>
            <w:vAlign w:val="center"/>
          </w:tcPr>
          <w:p w14:paraId="07A20577">
            <w:pPr>
              <w:pStyle w:val="34"/>
            </w:pPr>
            <w:r>
              <w:t>E2</w:t>
            </w:r>
          </w:p>
        </w:tc>
      </w:tr>
      <w:tr w14:paraId="5AF8A65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restart"/>
            <w:tcMar>
              <w:left w:w="0" w:type="dxa"/>
              <w:right w:w="0" w:type="dxa"/>
            </w:tcMar>
            <w:vAlign w:val="center"/>
          </w:tcPr>
          <w:p w14:paraId="1D12ACE1">
            <w:pPr>
              <w:pStyle w:val="34"/>
            </w:pPr>
            <w:r>
              <w:rPr>
                <w:szCs w:val="21"/>
              </w:rPr>
              <w:t>地下水</w:t>
            </w:r>
          </w:p>
        </w:tc>
        <w:tc>
          <w:tcPr>
            <w:tcW w:w="1152" w:type="dxa"/>
            <w:gridSpan w:val="3"/>
            <w:tcMar>
              <w:left w:w="0" w:type="dxa"/>
              <w:right w:w="0" w:type="dxa"/>
            </w:tcMar>
            <w:vAlign w:val="center"/>
          </w:tcPr>
          <w:p w14:paraId="67E678FA">
            <w:pPr>
              <w:pStyle w:val="34"/>
            </w:pPr>
            <w:r>
              <w:rPr>
                <w:szCs w:val="21"/>
              </w:rPr>
              <w:t>序号</w:t>
            </w:r>
          </w:p>
        </w:tc>
        <w:tc>
          <w:tcPr>
            <w:tcW w:w="1153" w:type="dxa"/>
            <w:tcMar>
              <w:left w:w="0" w:type="dxa"/>
              <w:right w:w="0" w:type="dxa"/>
            </w:tcMar>
            <w:vAlign w:val="center"/>
          </w:tcPr>
          <w:p w14:paraId="0FBC0DD4">
            <w:pPr>
              <w:pStyle w:val="34"/>
            </w:pPr>
            <w:r>
              <w:rPr>
                <w:szCs w:val="21"/>
              </w:rPr>
              <w:t>环境敏感区名称</w:t>
            </w:r>
          </w:p>
        </w:tc>
        <w:tc>
          <w:tcPr>
            <w:tcW w:w="1153" w:type="dxa"/>
            <w:gridSpan w:val="4"/>
            <w:tcMar>
              <w:left w:w="0" w:type="dxa"/>
              <w:right w:w="0" w:type="dxa"/>
            </w:tcMar>
            <w:vAlign w:val="center"/>
          </w:tcPr>
          <w:p w14:paraId="3C6B2CEC">
            <w:pPr>
              <w:pStyle w:val="34"/>
            </w:pPr>
            <w:r>
              <w:rPr>
                <w:szCs w:val="21"/>
              </w:rPr>
              <w:t>环境敏感特征</w:t>
            </w:r>
          </w:p>
        </w:tc>
        <w:tc>
          <w:tcPr>
            <w:tcW w:w="1153" w:type="dxa"/>
            <w:gridSpan w:val="4"/>
            <w:tcMar>
              <w:left w:w="0" w:type="dxa"/>
              <w:right w:w="0" w:type="dxa"/>
            </w:tcMar>
            <w:vAlign w:val="center"/>
          </w:tcPr>
          <w:p w14:paraId="76A72855">
            <w:pPr>
              <w:pStyle w:val="34"/>
            </w:pPr>
            <w:r>
              <w:rPr>
                <w:szCs w:val="21"/>
              </w:rPr>
              <w:t>水质目标</w:t>
            </w:r>
          </w:p>
        </w:tc>
        <w:tc>
          <w:tcPr>
            <w:tcW w:w="1153" w:type="dxa"/>
            <w:gridSpan w:val="4"/>
            <w:tcMar>
              <w:left w:w="0" w:type="dxa"/>
              <w:right w:w="0" w:type="dxa"/>
            </w:tcMar>
            <w:vAlign w:val="center"/>
          </w:tcPr>
          <w:p w14:paraId="707EFCF1">
            <w:pPr>
              <w:pStyle w:val="34"/>
            </w:pPr>
            <w:r>
              <w:rPr>
                <w:szCs w:val="21"/>
              </w:rPr>
              <w:t>包气带防污性能</w:t>
            </w:r>
          </w:p>
        </w:tc>
        <w:tc>
          <w:tcPr>
            <w:tcW w:w="1892" w:type="dxa"/>
            <w:gridSpan w:val="2"/>
            <w:tcMar>
              <w:left w:w="0" w:type="dxa"/>
              <w:right w:w="0" w:type="dxa"/>
            </w:tcMar>
            <w:vAlign w:val="center"/>
          </w:tcPr>
          <w:p w14:paraId="52BA9526">
            <w:pPr>
              <w:pStyle w:val="34"/>
            </w:pPr>
            <w:r>
              <w:rPr>
                <w:szCs w:val="21"/>
              </w:rPr>
              <w:t>与下游厂界距离/m</w:t>
            </w:r>
          </w:p>
        </w:tc>
      </w:tr>
      <w:tr w14:paraId="428E921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6317C474">
            <w:pPr>
              <w:pStyle w:val="34"/>
            </w:pPr>
          </w:p>
        </w:tc>
        <w:tc>
          <w:tcPr>
            <w:tcW w:w="1152" w:type="dxa"/>
            <w:gridSpan w:val="3"/>
            <w:tcMar>
              <w:left w:w="0" w:type="dxa"/>
              <w:right w:w="0" w:type="dxa"/>
            </w:tcMar>
            <w:vAlign w:val="center"/>
          </w:tcPr>
          <w:p w14:paraId="21D88483">
            <w:pPr>
              <w:pStyle w:val="34"/>
            </w:pPr>
            <w:r>
              <w:rPr>
                <w:szCs w:val="21"/>
              </w:rPr>
              <w:t>1</w:t>
            </w:r>
          </w:p>
        </w:tc>
        <w:tc>
          <w:tcPr>
            <w:tcW w:w="1153" w:type="dxa"/>
            <w:tcMar>
              <w:left w:w="0" w:type="dxa"/>
              <w:right w:w="0" w:type="dxa"/>
            </w:tcMar>
            <w:vAlign w:val="center"/>
          </w:tcPr>
          <w:p w14:paraId="0A605E6C">
            <w:pPr>
              <w:pStyle w:val="34"/>
            </w:pPr>
            <w:r>
              <w:rPr>
                <w:szCs w:val="21"/>
              </w:rPr>
              <w:t>—</w:t>
            </w:r>
          </w:p>
        </w:tc>
        <w:tc>
          <w:tcPr>
            <w:tcW w:w="1153" w:type="dxa"/>
            <w:gridSpan w:val="4"/>
            <w:tcMar>
              <w:left w:w="0" w:type="dxa"/>
              <w:right w:w="0" w:type="dxa"/>
            </w:tcMar>
            <w:vAlign w:val="center"/>
          </w:tcPr>
          <w:p w14:paraId="2E131DFE">
            <w:pPr>
              <w:pStyle w:val="34"/>
            </w:pPr>
            <w:r>
              <w:rPr>
                <w:szCs w:val="21"/>
              </w:rPr>
              <w:t>—</w:t>
            </w:r>
          </w:p>
        </w:tc>
        <w:tc>
          <w:tcPr>
            <w:tcW w:w="1153" w:type="dxa"/>
            <w:gridSpan w:val="4"/>
            <w:tcMar>
              <w:left w:w="0" w:type="dxa"/>
              <w:right w:w="0" w:type="dxa"/>
            </w:tcMar>
            <w:vAlign w:val="center"/>
          </w:tcPr>
          <w:p w14:paraId="2E725B10">
            <w:pPr>
              <w:pStyle w:val="34"/>
            </w:pPr>
            <w:r>
              <w:rPr>
                <w:szCs w:val="21"/>
              </w:rPr>
              <w:t>—</w:t>
            </w:r>
          </w:p>
        </w:tc>
        <w:tc>
          <w:tcPr>
            <w:tcW w:w="1153" w:type="dxa"/>
            <w:gridSpan w:val="4"/>
            <w:tcMar>
              <w:left w:w="0" w:type="dxa"/>
              <w:right w:w="0" w:type="dxa"/>
            </w:tcMar>
            <w:vAlign w:val="center"/>
          </w:tcPr>
          <w:p w14:paraId="741C3AB8">
            <w:pPr>
              <w:pStyle w:val="34"/>
            </w:pPr>
            <w:r>
              <w:rPr>
                <w:szCs w:val="21"/>
              </w:rPr>
              <w:t>—</w:t>
            </w:r>
          </w:p>
        </w:tc>
        <w:tc>
          <w:tcPr>
            <w:tcW w:w="1892" w:type="dxa"/>
            <w:gridSpan w:val="2"/>
            <w:tcMar>
              <w:left w:w="0" w:type="dxa"/>
              <w:right w:w="0" w:type="dxa"/>
            </w:tcMar>
            <w:vAlign w:val="center"/>
          </w:tcPr>
          <w:p w14:paraId="7A0590BD">
            <w:pPr>
              <w:pStyle w:val="34"/>
            </w:pPr>
            <w:r>
              <w:rPr>
                <w:szCs w:val="21"/>
              </w:rPr>
              <w:t>—</w:t>
            </w:r>
          </w:p>
        </w:tc>
      </w:tr>
      <w:tr w14:paraId="740D290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5F7DC74A">
            <w:pPr>
              <w:pStyle w:val="34"/>
            </w:pPr>
          </w:p>
        </w:tc>
        <w:tc>
          <w:tcPr>
            <w:tcW w:w="5764" w:type="dxa"/>
            <w:gridSpan w:val="16"/>
            <w:tcMar>
              <w:left w:w="0" w:type="dxa"/>
              <w:right w:w="0" w:type="dxa"/>
            </w:tcMar>
            <w:vAlign w:val="center"/>
          </w:tcPr>
          <w:p w14:paraId="77533C78">
            <w:pPr>
              <w:pStyle w:val="34"/>
            </w:pPr>
            <w:r>
              <w:rPr>
                <w:szCs w:val="21"/>
              </w:rPr>
              <w:t>地下水环境敏感程度E值</w:t>
            </w:r>
          </w:p>
        </w:tc>
        <w:tc>
          <w:tcPr>
            <w:tcW w:w="1892" w:type="dxa"/>
            <w:gridSpan w:val="2"/>
            <w:tcMar>
              <w:left w:w="0" w:type="dxa"/>
              <w:right w:w="0" w:type="dxa"/>
            </w:tcMar>
            <w:vAlign w:val="center"/>
          </w:tcPr>
          <w:p w14:paraId="4F43B896">
            <w:pPr>
              <w:pStyle w:val="34"/>
            </w:pPr>
            <w:r>
              <w:rPr>
                <w:szCs w:val="21"/>
              </w:rPr>
              <w:t>E3</w:t>
            </w:r>
          </w:p>
        </w:tc>
      </w:tr>
    </w:tbl>
    <w:p w14:paraId="3B89B7F4">
      <w:pPr>
        <w:pStyle w:val="8"/>
      </w:pPr>
      <w:r>
        <w:rPr>
          <w:rFonts w:hint="eastAsia"/>
        </w:rPr>
        <w:t>大气风险评价范围及敏感目标分布情况</w:t>
      </w:r>
    </w:p>
    <w:p w14:paraId="09BFF3CD">
      <w:pPr>
        <w:pStyle w:val="8"/>
        <w:rPr>
          <w:u w:val="single"/>
        </w:rPr>
      </w:pPr>
      <w:r>
        <w:rPr>
          <w:rFonts w:hint="eastAsia"/>
          <w:u w:val="single"/>
        </w:rPr>
        <w:t>项目周边海洋生态敏感目标分布情况</w:t>
      </w:r>
    </w:p>
    <w:p w14:paraId="2493DF63">
      <w:pPr>
        <w:ind w:firstLine="0" w:firstLineChars="0"/>
      </w:pPr>
    </w:p>
    <w:bookmarkEnd w:id="144"/>
    <w:bookmarkEnd w:id="145"/>
    <w:bookmarkEnd w:id="146"/>
    <w:bookmarkEnd w:id="147"/>
    <w:bookmarkEnd w:id="148"/>
    <w:bookmarkEnd w:id="149"/>
    <w:bookmarkEnd w:id="150"/>
    <w:p w14:paraId="52901ADC">
      <w:pPr>
        <w:pStyle w:val="4"/>
      </w:pPr>
      <w:bookmarkStart w:id="160" w:name="_Toc317003237"/>
      <w:bookmarkStart w:id="161" w:name="_Toc317003517"/>
      <w:bookmarkStart w:id="162" w:name="_Toc232154406"/>
      <w:bookmarkStart w:id="163" w:name="_Toc247517265"/>
      <w:bookmarkStart w:id="164" w:name="_Toc198042312"/>
      <w:bookmarkStart w:id="165" w:name="_Toc247517533"/>
      <w:bookmarkStart w:id="166" w:name="_Toc247517460"/>
      <w:bookmarkStart w:id="167" w:name="_Toc217977908"/>
      <w:r>
        <w:t>评价工作程序</w:t>
      </w:r>
      <w:bookmarkEnd w:id="160"/>
      <w:bookmarkEnd w:id="161"/>
      <w:bookmarkEnd w:id="162"/>
      <w:bookmarkEnd w:id="163"/>
      <w:bookmarkEnd w:id="164"/>
      <w:bookmarkEnd w:id="165"/>
      <w:bookmarkEnd w:id="166"/>
      <w:bookmarkEnd w:id="167"/>
    </w:p>
    <w:p w14:paraId="7D634242">
      <w:pPr>
        <w:pStyle w:val="8"/>
      </w:pPr>
      <w:r>
        <w:drawing>
          <wp:anchor distT="0" distB="0" distL="114300" distR="114300" simplePos="0" relativeHeight="251660288" behindDoc="0" locked="0" layoutInCell="1" allowOverlap="1">
            <wp:simplePos x="0" y="0"/>
            <wp:positionH relativeFrom="column">
              <wp:posOffset>86360</wp:posOffset>
            </wp:positionH>
            <wp:positionV relativeFrom="paragraph">
              <wp:posOffset>26670</wp:posOffset>
            </wp:positionV>
            <wp:extent cx="4827905" cy="5532120"/>
            <wp:effectExtent l="19050" t="19050" r="10795" b="1143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8">
                      <a:extLst>
                        <a:ext uri="{28A0092B-C50C-407E-A947-70E740481C1C}">
                          <a14:useLocalDpi xmlns:a14="http://schemas.microsoft.com/office/drawing/2010/main" val="0"/>
                        </a:ext>
                      </a:extLst>
                    </a:blip>
                    <a:srcRect l="3291" t="3280" r="17714" b="2184"/>
                    <a:stretch>
                      <a:fillRect/>
                    </a:stretch>
                  </pic:blipFill>
                  <pic:spPr>
                    <a:xfrm>
                      <a:off x="0" y="0"/>
                      <a:ext cx="4827905" cy="5532120"/>
                    </a:xfrm>
                    <a:prstGeom prst="rect">
                      <a:avLst/>
                    </a:prstGeom>
                    <a:ln>
                      <a:solidFill>
                        <a:schemeClr val="tx1"/>
                      </a:solidFill>
                    </a:ln>
                  </pic:spPr>
                </pic:pic>
              </a:graphicData>
            </a:graphic>
          </wp:anchor>
        </w:drawing>
      </w:r>
      <w:r>
        <w:t>评价工作程序图</w:t>
      </w:r>
    </w:p>
    <w:p w14:paraId="2CB72D12">
      <w:pPr>
        <w:ind w:firstLine="462"/>
        <w:sectPr>
          <w:headerReference r:id="rId18" w:type="default"/>
          <w:footerReference r:id="rId20" w:type="default"/>
          <w:headerReference r:id="rId19" w:type="even"/>
          <w:footerReference r:id="rId21" w:type="even"/>
          <w:pgSz w:w="11907" w:h="16840"/>
          <w:pgMar w:top="1440" w:right="1514" w:bottom="1440" w:left="1797" w:header="992" w:footer="851" w:gutter="284"/>
          <w:pgNumType w:fmt="numberInDash" w:start="1"/>
          <w:cols w:space="425" w:num="1"/>
          <w:docGrid w:type="linesAndChars" w:linePitch="465" w:charSpace="-1866"/>
        </w:sectPr>
      </w:pPr>
      <w:bookmarkStart w:id="168" w:name="_Toc317003238"/>
      <w:bookmarkStart w:id="169" w:name="_Toc317003518"/>
    </w:p>
    <w:p w14:paraId="51C87251">
      <w:pPr>
        <w:pStyle w:val="3"/>
      </w:pPr>
      <w:bookmarkStart w:id="170" w:name="_Toc198042313"/>
      <w:bookmarkStart w:id="171" w:name="_Toc217977909"/>
      <w:r>
        <w:t>工程概况</w:t>
      </w:r>
      <w:bookmarkEnd w:id="168"/>
      <w:bookmarkEnd w:id="169"/>
      <w:bookmarkEnd w:id="170"/>
      <w:bookmarkEnd w:id="171"/>
      <w:bookmarkStart w:id="172" w:name="_Toc91594503"/>
      <w:bookmarkStart w:id="173" w:name="_Toc99875758"/>
      <w:bookmarkStart w:id="174" w:name="_Toc160849702"/>
      <w:bookmarkStart w:id="175" w:name="_Toc100118323"/>
      <w:bookmarkStart w:id="176" w:name="_Toc317003522"/>
      <w:bookmarkStart w:id="177" w:name="_Toc100061293"/>
      <w:bookmarkStart w:id="178" w:name="_Toc317003242"/>
    </w:p>
    <w:p w14:paraId="687E164C">
      <w:pPr>
        <w:pStyle w:val="4"/>
      </w:pPr>
      <w:bookmarkStart w:id="179" w:name="_Toc160849696"/>
      <w:bookmarkStart w:id="180" w:name="_Toc247517541"/>
      <w:bookmarkStart w:id="181" w:name="_Toc232154426"/>
      <w:bookmarkStart w:id="182" w:name="_Toc130368648"/>
      <w:bookmarkStart w:id="183" w:name="_Toc247517279"/>
      <w:bookmarkStart w:id="184" w:name="_Toc247517468"/>
      <w:bookmarkStart w:id="185" w:name="_Toc317003519"/>
      <w:bookmarkStart w:id="186" w:name="_Toc217977910"/>
      <w:bookmarkStart w:id="187" w:name="_Toc198042314"/>
      <w:bookmarkStart w:id="188" w:name="_Toc317003239"/>
      <w:r>
        <w:rPr>
          <w:rFonts w:hint="eastAsia"/>
        </w:rPr>
        <w:t>工程</w:t>
      </w:r>
      <w:bookmarkEnd w:id="179"/>
      <w:bookmarkEnd w:id="180"/>
      <w:bookmarkEnd w:id="181"/>
      <w:bookmarkEnd w:id="182"/>
      <w:bookmarkEnd w:id="183"/>
      <w:bookmarkEnd w:id="184"/>
      <w:r>
        <w:rPr>
          <w:rFonts w:hint="eastAsia"/>
        </w:rPr>
        <w:t>概况</w:t>
      </w:r>
      <w:bookmarkEnd w:id="185"/>
      <w:bookmarkEnd w:id="186"/>
      <w:bookmarkEnd w:id="187"/>
      <w:bookmarkEnd w:id="188"/>
    </w:p>
    <w:p w14:paraId="482A4ACF">
      <w:pPr>
        <w:pStyle w:val="5"/>
      </w:pPr>
      <w:r>
        <w:rPr>
          <w:rFonts w:hint="eastAsia"/>
        </w:rPr>
        <w:t>建设规模</w:t>
      </w:r>
    </w:p>
    <w:p w14:paraId="1984C1F1">
      <w:pPr>
        <w:adjustRightInd w:val="0"/>
        <w:ind w:firstLine="464"/>
      </w:pPr>
      <w:r>
        <w:rPr>
          <w:rFonts w:hint="eastAsia" w:cs="宋体"/>
          <w:b/>
          <w:bCs/>
          <w:szCs w:val="28"/>
          <w:lang w:bidi="ar"/>
        </w:rPr>
        <w:t>项目名称</w:t>
      </w:r>
      <w:r>
        <w:rPr>
          <w:rFonts w:hint="eastAsia" w:cs="宋体"/>
          <w:bCs/>
          <w:szCs w:val="28"/>
          <w:lang w:bidi="ar"/>
        </w:rPr>
        <w:t>：</w:t>
      </w:r>
      <w:bookmarkStart w:id="189" w:name="OLE_LINK162"/>
      <w:r>
        <w:rPr>
          <w:rFonts w:hint="eastAsia" w:cs="宋体"/>
          <w:bCs/>
          <w:lang w:bidi="ar"/>
        </w:rPr>
        <w:t>北部湾港钦州港域大榄坪港区</w:t>
      </w:r>
      <w:bookmarkStart w:id="190" w:name="OLE_LINK46"/>
      <w:r>
        <w:rPr>
          <w:rFonts w:hint="eastAsia" w:cs="宋体"/>
          <w:bCs/>
          <w:lang w:bidi="ar"/>
        </w:rPr>
        <w:t>大榄坪南作业区内</w:t>
      </w:r>
      <w:r>
        <w:rPr>
          <w:bCs/>
          <w:lang w:bidi="ar"/>
        </w:rPr>
        <w:t>1</w:t>
      </w:r>
      <w:r>
        <w:rPr>
          <w:rFonts w:hint="eastAsia" w:cs="宋体"/>
          <w:bCs/>
          <w:lang w:bidi="ar"/>
        </w:rPr>
        <w:t>号至</w:t>
      </w:r>
      <w:r>
        <w:rPr>
          <w:bCs/>
          <w:lang w:bidi="ar"/>
        </w:rPr>
        <w:t>5</w:t>
      </w:r>
      <w:r>
        <w:rPr>
          <w:rFonts w:hint="eastAsia" w:cs="宋体"/>
          <w:bCs/>
          <w:lang w:bidi="ar"/>
        </w:rPr>
        <w:t>号江海联运泊位工程</w:t>
      </w:r>
      <w:bookmarkEnd w:id="189"/>
      <w:bookmarkEnd w:id="190"/>
      <w:r>
        <w:rPr>
          <w:rFonts w:hint="eastAsia" w:cs="宋体"/>
          <w:bCs/>
          <w:lang w:bidi="ar"/>
        </w:rPr>
        <w:t>；</w:t>
      </w:r>
    </w:p>
    <w:p w14:paraId="1510ECC1">
      <w:pPr>
        <w:adjustRightInd w:val="0"/>
        <w:ind w:firstLine="464"/>
        <w:rPr>
          <w:u w:val="single"/>
        </w:rPr>
      </w:pPr>
      <w:r>
        <w:rPr>
          <w:rFonts w:hint="eastAsia" w:cs="宋体"/>
          <w:b/>
          <w:bCs/>
          <w:u w:val="single"/>
          <w:lang w:bidi="ar"/>
        </w:rPr>
        <w:t>项目性质</w:t>
      </w:r>
      <w:r>
        <w:rPr>
          <w:rFonts w:hint="eastAsia" w:cs="宋体"/>
          <w:bCs/>
          <w:u w:val="single"/>
          <w:lang w:bidi="ar"/>
        </w:rPr>
        <w:t>：新建；</w:t>
      </w:r>
    </w:p>
    <w:p w14:paraId="4557766A">
      <w:pPr>
        <w:adjustRightInd w:val="0"/>
        <w:ind w:firstLine="464"/>
      </w:pPr>
      <w:r>
        <w:rPr>
          <w:rFonts w:hint="eastAsia" w:cs="宋体"/>
          <w:b/>
          <w:bCs/>
          <w:lang w:bidi="ar"/>
        </w:rPr>
        <w:t>项目建设单位</w:t>
      </w:r>
      <w:r>
        <w:rPr>
          <w:rFonts w:hint="eastAsia" w:cs="宋体"/>
          <w:bCs/>
          <w:lang w:bidi="ar"/>
        </w:rPr>
        <w:t>：</w:t>
      </w:r>
      <w:bookmarkStart w:id="191" w:name="_Hlk183452950"/>
      <w:r>
        <w:rPr>
          <w:rFonts w:hint="eastAsia" w:cs="宋体"/>
          <w:bCs/>
          <w:lang w:bidi="ar"/>
        </w:rPr>
        <w:t>广西钦州港保税港区宏港码头有限公司</w:t>
      </w:r>
      <w:bookmarkEnd w:id="191"/>
      <w:r>
        <w:rPr>
          <w:rFonts w:hint="eastAsia" w:cs="宋体"/>
          <w:bCs/>
          <w:lang w:bidi="ar"/>
        </w:rPr>
        <w:t>；</w:t>
      </w:r>
    </w:p>
    <w:p w14:paraId="4766933B">
      <w:pPr>
        <w:ind w:firstLine="464"/>
        <w:rPr>
          <w:kern w:val="0"/>
          <w:sz w:val="10"/>
          <w:szCs w:val="10"/>
        </w:rPr>
      </w:pPr>
      <w:r>
        <w:rPr>
          <w:rFonts w:hint="eastAsia" w:cs="宋体"/>
          <w:b/>
          <w:szCs w:val="28"/>
          <w:lang w:bidi="ar"/>
        </w:rPr>
        <w:t>项目地理位置</w:t>
      </w:r>
      <w:r>
        <w:rPr>
          <w:rFonts w:hint="eastAsia" w:cs="宋体"/>
          <w:szCs w:val="28"/>
          <w:lang w:bidi="ar"/>
        </w:rPr>
        <w:t>：</w:t>
      </w:r>
      <w:bookmarkStart w:id="192" w:name="_Hlk139815407"/>
      <w:bookmarkStart w:id="193" w:name="_Hlk183452966"/>
      <w:r>
        <w:rPr>
          <w:rFonts w:hint="eastAsia" w:cs="宋体"/>
          <w:szCs w:val="28"/>
          <w:lang w:bidi="ar"/>
        </w:rPr>
        <w:t>北部湾港钦州港域大榄坪港区</w:t>
      </w:r>
      <w:bookmarkStart w:id="194" w:name="OLE_LINK230"/>
      <w:r>
        <w:rPr>
          <w:rFonts w:hint="eastAsia" w:cs="宋体"/>
          <w:szCs w:val="28"/>
          <w:lang w:bidi="ar"/>
        </w:rPr>
        <w:t>大榄坪南作业区</w:t>
      </w:r>
      <w:bookmarkEnd w:id="192"/>
      <w:bookmarkEnd w:id="194"/>
      <w:r>
        <w:rPr>
          <w:rFonts w:hint="eastAsia" w:cs="宋体"/>
          <w:szCs w:val="28"/>
          <w:lang w:bidi="ar"/>
        </w:rPr>
        <w:t>（地理坐标：</w:t>
      </w:r>
      <w:bookmarkStart w:id="195" w:name="OLE_LINK1"/>
      <w:bookmarkStart w:id="196" w:name="_Hlk139813174"/>
      <w:r>
        <w:rPr>
          <w:szCs w:val="28"/>
          <w:lang w:bidi="ar"/>
        </w:rPr>
        <w:t>108°39′26.4436″</w:t>
      </w:r>
      <w:bookmarkEnd w:id="195"/>
      <w:r>
        <w:rPr>
          <w:szCs w:val="28"/>
          <w:lang w:bidi="ar"/>
        </w:rPr>
        <w:t>E</w:t>
      </w:r>
      <w:bookmarkEnd w:id="196"/>
      <w:r>
        <w:rPr>
          <w:rFonts w:hint="eastAsia" w:cs="宋体"/>
          <w:szCs w:val="28"/>
          <w:lang w:bidi="ar"/>
        </w:rPr>
        <w:t>，</w:t>
      </w:r>
      <w:bookmarkStart w:id="197" w:name="OLE_LINK8"/>
      <w:bookmarkStart w:id="198" w:name="_Hlk139813153"/>
      <w:r>
        <w:rPr>
          <w:szCs w:val="28"/>
          <w:lang w:bidi="ar"/>
        </w:rPr>
        <w:t>21°39′38.4344″</w:t>
      </w:r>
      <w:bookmarkEnd w:id="197"/>
      <w:r>
        <w:rPr>
          <w:szCs w:val="28"/>
          <w:lang w:bidi="ar"/>
        </w:rPr>
        <w:t>N</w:t>
      </w:r>
      <w:bookmarkEnd w:id="198"/>
      <w:r>
        <w:rPr>
          <w:rFonts w:hint="eastAsia" w:cs="宋体"/>
          <w:szCs w:val="28"/>
          <w:lang w:bidi="ar"/>
        </w:rPr>
        <w:t>）</w:t>
      </w:r>
      <w:bookmarkEnd w:id="193"/>
      <w:r>
        <w:rPr>
          <w:rFonts w:hint="eastAsia" w:cs="宋体"/>
          <w:szCs w:val="28"/>
          <w:lang w:bidi="ar"/>
        </w:rPr>
        <w:t>。具体地理位置见附图</w:t>
      </w:r>
      <w:r>
        <w:rPr>
          <w:szCs w:val="28"/>
          <w:lang w:bidi="ar"/>
        </w:rPr>
        <w:t>1</w:t>
      </w:r>
      <w:r>
        <w:rPr>
          <w:rFonts w:hint="eastAsia" w:cs="宋体"/>
          <w:szCs w:val="28"/>
          <w:lang w:bidi="ar"/>
        </w:rPr>
        <w:t>。</w:t>
      </w:r>
    </w:p>
    <w:p w14:paraId="452B064A">
      <w:pPr>
        <w:ind w:firstLine="464"/>
        <w:rPr>
          <w:szCs w:val="28"/>
        </w:rPr>
      </w:pPr>
      <w:bookmarkStart w:id="199" w:name="_Hlk171077176"/>
      <w:r>
        <w:rPr>
          <w:rFonts w:hint="eastAsia" w:cs="宋体"/>
          <w:b/>
          <w:szCs w:val="28"/>
          <w:lang w:bidi="ar"/>
        </w:rPr>
        <w:t>建设规模</w:t>
      </w:r>
      <w:r>
        <w:rPr>
          <w:rFonts w:hint="eastAsia" w:cs="宋体"/>
          <w:szCs w:val="28"/>
          <w:lang w:bidi="ar"/>
        </w:rPr>
        <w:t>：</w:t>
      </w:r>
      <w:bookmarkEnd w:id="199"/>
      <w:bookmarkStart w:id="200" w:name="_Hlk183453025"/>
      <w:bookmarkStart w:id="201" w:name="OLE_LINK87"/>
      <w:r>
        <w:rPr>
          <w:rFonts w:hint="eastAsia" w:cs="宋体"/>
          <w:szCs w:val="28"/>
          <w:lang w:bidi="ar"/>
        </w:rPr>
        <w:t>利用</w:t>
      </w:r>
      <w:bookmarkStart w:id="202" w:name="OLE_LINK232"/>
      <w:r>
        <w:rPr>
          <w:rFonts w:hint="eastAsia" w:cs="宋体"/>
          <w:szCs w:val="28"/>
          <w:lang w:bidi="ar"/>
        </w:rPr>
        <w:t>大榄坪南作业区</w:t>
      </w:r>
      <w:r>
        <w:rPr>
          <w:szCs w:val="28"/>
          <w:lang w:bidi="ar"/>
        </w:rPr>
        <w:t>9</w:t>
      </w:r>
      <w:r>
        <w:rPr>
          <w:rFonts w:hint="eastAsia" w:cs="宋体"/>
          <w:szCs w:val="28"/>
          <w:lang w:bidi="ar"/>
        </w:rPr>
        <w:t>号</w:t>
      </w:r>
      <w:r>
        <w:rPr>
          <w:szCs w:val="28"/>
          <w:lang w:bidi="ar"/>
        </w:rPr>
        <w:t>10</w:t>
      </w:r>
      <w:r>
        <w:rPr>
          <w:rFonts w:hint="eastAsia" w:cs="宋体"/>
          <w:szCs w:val="28"/>
          <w:lang w:bidi="ar"/>
        </w:rPr>
        <w:t>号泊位扩建工程</w:t>
      </w:r>
      <w:bookmarkEnd w:id="202"/>
      <w:r>
        <w:rPr>
          <w:rFonts w:hint="eastAsia" w:cs="宋体"/>
          <w:szCs w:val="28"/>
          <w:lang w:bidi="ar"/>
        </w:rPr>
        <w:t>（2024年12月取得环评批复自贸钦审批环〔2024</w:t>
      </w:r>
      <w:r>
        <w:rPr>
          <w:rFonts w:hint="eastAsia" w:ascii="宋体" w:hAnsi="宋体" w:cs="宋体"/>
          <w:szCs w:val="28"/>
          <w:lang w:bidi="ar"/>
        </w:rPr>
        <w:t>〕</w:t>
      </w:r>
      <w:r>
        <w:rPr>
          <w:rFonts w:hint="eastAsia" w:cs="宋体"/>
          <w:szCs w:val="28"/>
          <w:lang w:bidi="ar"/>
        </w:rPr>
        <w:t>58号）陆域和消浪护岸，建设 5 个 5000 吨级集装箱泊位及配套设施，利用岸线长度695m；年设计通过能力为</w:t>
      </w:r>
      <w:r>
        <w:rPr>
          <w:szCs w:val="28"/>
          <w:lang w:bidi="ar"/>
        </w:rPr>
        <w:t>65</w:t>
      </w:r>
      <w:r>
        <w:rPr>
          <w:rFonts w:hint="eastAsia" w:cs="宋体"/>
          <w:szCs w:val="28"/>
          <w:lang w:bidi="ar"/>
        </w:rPr>
        <w:t>万</w:t>
      </w:r>
      <w:r>
        <w:rPr>
          <w:szCs w:val="28"/>
          <w:lang w:bidi="ar"/>
        </w:rPr>
        <w:t>TEU</w:t>
      </w:r>
      <w:r>
        <w:rPr>
          <w:rFonts w:hint="eastAsia"/>
          <w:szCs w:val="28"/>
          <w:lang w:bidi="ar"/>
        </w:rPr>
        <w:t>，</w:t>
      </w:r>
      <w:r>
        <w:rPr>
          <w:rFonts w:hint="eastAsia" w:cs="宋体"/>
          <w:szCs w:val="28"/>
          <w:lang w:bidi="ar"/>
        </w:rPr>
        <w:t>设计吞吐量为</w:t>
      </w:r>
      <w:r>
        <w:rPr>
          <w:szCs w:val="28"/>
          <w:lang w:bidi="ar"/>
        </w:rPr>
        <w:t>60</w:t>
      </w:r>
      <w:r>
        <w:rPr>
          <w:rFonts w:hint="eastAsia" w:cs="宋体"/>
          <w:szCs w:val="28"/>
          <w:lang w:bidi="ar"/>
        </w:rPr>
        <w:t>万</w:t>
      </w:r>
      <w:r>
        <w:rPr>
          <w:szCs w:val="28"/>
          <w:lang w:bidi="ar"/>
        </w:rPr>
        <w:t>TEU</w:t>
      </w:r>
      <w:r>
        <w:rPr>
          <w:rFonts w:hint="eastAsia"/>
          <w:szCs w:val="28"/>
          <w:lang w:bidi="ar"/>
        </w:rPr>
        <w:t>。码头</w:t>
      </w:r>
      <w:r>
        <w:rPr>
          <w:rFonts w:hint="eastAsia" w:cs="宋体"/>
          <w:szCs w:val="28"/>
          <w:lang w:bidi="ar"/>
        </w:rPr>
        <w:t>陆域面积约</w:t>
      </w:r>
      <w:r>
        <w:rPr>
          <w:szCs w:val="28"/>
          <w:lang w:bidi="ar"/>
        </w:rPr>
        <w:t>14.</w:t>
      </w:r>
      <w:r>
        <w:rPr>
          <w:rFonts w:hint="eastAsia"/>
          <w:szCs w:val="28"/>
          <w:lang w:bidi="ar"/>
        </w:rPr>
        <w:t>4</w:t>
      </w:r>
      <w:r>
        <w:rPr>
          <w:rFonts w:hint="eastAsia" w:cs="宋体"/>
          <w:szCs w:val="28"/>
          <w:lang w:bidi="ar"/>
        </w:rPr>
        <w:t>万</w:t>
      </w:r>
      <w:r>
        <w:rPr>
          <w:szCs w:val="28"/>
          <w:lang w:bidi="ar"/>
        </w:rPr>
        <w:t>m</w:t>
      </w:r>
      <w:r>
        <w:rPr>
          <w:szCs w:val="28"/>
          <w:vertAlign w:val="superscript"/>
          <w:lang w:bidi="ar"/>
        </w:rPr>
        <w:t>2</w:t>
      </w:r>
      <w:r>
        <w:rPr>
          <w:rFonts w:hint="eastAsia" w:cs="宋体"/>
          <w:szCs w:val="28"/>
          <w:lang w:bidi="ar"/>
        </w:rPr>
        <w:t>，陆域纵深</w:t>
      </w:r>
      <w:bookmarkStart w:id="203" w:name="OLE_LINK18"/>
      <w:r>
        <w:rPr>
          <w:szCs w:val="28"/>
          <w:lang w:bidi="ar"/>
        </w:rPr>
        <w:t>727</w:t>
      </w:r>
      <w:bookmarkEnd w:id="203"/>
      <w:r>
        <w:rPr>
          <w:szCs w:val="28"/>
          <w:lang w:bidi="ar"/>
        </w:rPr>
        <w:t>m</w:t>
      </w:r>
      <w:bookmarkEnd w:id="200"/>
      <w:r>
        <w:rPr>
          <w:rFonts w:hint="eastAsia" w:cs="宋体"/>
          <w:szCs w:val="28"/>
          <w:lang w:bidi="ar"/>
        </w:rPr>
        <w:t>；挖入式港池宽</w:t>
      </w:r>
      <w:r>
        <w:rPr>
          <w:rFonts w:hint="eastAsia"/>
          <w:szCs w:val="28"/>
          <w:lang w:bidi="ar"/>
        </w:rPr>
        <w:t>220.5</w:t>
      </w:r>
      <w:r>
        <w:rPr>
          <w:szCs w:val="28"/>
          <w:lang w:bidi="ar"/>
        </w:rPr>
        <w:t>m</w:t>
      </w:r>
      <w:r>
        <w:rPr>
          <w:rFonts w:hint="eastAsia" w:cs="宋体"/>
          <w:szCs w:val="28"/>
          <w:lang w:bidi="ar"/>
        </w:rPr>
        <w:t>，泊位前沿停泊水域宽度</w:t>
      </w:r>
      <w:r>
        <w:rPr>
          <w:szCs w:val="28"/>
          <w:lang w:bidi="ar"/>
        </w:rPr>
        <w:t>39m</w:t>
      </w:r>
      <w:r>
        <w:rPr>
          <w:rFonts w:hint="eastAsia" w:cs="宋体"/>
          <w:szCs w:val="28"/>
          <w:lang w:bidi="ar"/>
        </w:rPr>
        <w:t>，港池宽度</w:t>
      </w:r>
      <w:r>
        <w:rPr>
          <w:szCs w:val="28"/>
          <w:lang w:bidi="ar"/>
        </w:rPr>
        <w:t>181.5m</w:t>
      </w:r>
      <w:r>
        <w:rPr>
          <w:rFonts w:hint="eastAsia" w:cs="宋体"/>
          <w:szCs w:val="28"/>
          <w:lang w:bidi="ar"/>
        </w:rPr>
        <w:t>，码头前沿停泊水域及连接水域底高程为</w:t>
      </w:r>
      <w:r>
        <w:rPr>
          <w:szCs w:val="28"/>
          <w:lang w:bidi="ar"/>
        </w:rPr>
        <w:t>-7.8m</w:t>
      </w:r>
      <w:r>
        <w:rPr>
          <w:rFonts w:hint="eastAsia" w:cs="宋体"/>
          <w:szCs w:val="28"/>
          <w:lang w:bidi="ar"/>
        </w:rPr>
        <w:t>。</w:t>
      </w:r>
      <w:bookmarkEnd w:id="201"/>
    </w:p>
    <w:p w14:paraId="1E9D2624">
      <w:pPr>
        <w:ind w:firstLine="462"/>
        <w:rPr>
          <w:bCs/>
        </w:rPr>
      </w:pPr>
      <w:r>
        <w:rPr>
          <w:rFonts w:hint="eastAsia" w:cs="宋体"/>
          <w:szCs w:val="28"/>
          <w:lang w:bidi="ar"/>
        </w:rPr>
        <w:t>码头前沿作业地带宽度为</w:t>
      </w:r>
      <w:r>
        <w:rPr>
          <w:szCs w:val="28"/>
          <w:lang w:bidi="ar"/>
        </w:rPr>
        <w:t>65.8m</w:t>
      </w:r>
      <w:r>
        <w:rPr>
          <w:rFonts w:hint="eastAsia" w:cs="宋体"/>
          <w:szCs w:val="28"/>
          <w:lang w:bidi="ar"/>
        </w:rPr>
        <w:t>，堆场区垂直码头方向宽度为</w:t>
      </w:r>
      <w:r>
        <w:rPr>
          <w:szCs w:val="28"/>
          <w:lang w:bidi="ar"/>
        </w:rPr>
        <w:t>165m</w:t>
      </w:r>
      <w:r>
        <w:rPr>
          <w:rFonts w:hint="eastAsia" w:cs="宋体"/>
          <w:szCs w:val="28"/>
          <w:lang w:bidi="ar"/>
        </w:rPr>
        <w:t>，平行码头方向宽度为</w:t>
      </w:r>
      <w:r>
        <w:rPr>
          <w:szCs w:val="28"/>
          <w:lang w:bidi="ar"/>
        </w:rPr>
        <w:t>607m</w:t>
      </w:r>
      <w:r>
        <w:rPr>
          <w:rFonts w:hint="eastAsia" w:cs="宋体"/>
          <w:szCs w:val="28"/>
          <w:lang w:bidi="ar"/>
        </w:rPr>
        <w:t>。采用自动化单小车岸桥作业，陆侧端集装箱堆场占地面积约</w:t>
      </w:r>
      <w:r>
        <w:rPr>
          <w:szCs w:val="28"/>
          <w:lang w:bidi="ar"/>
        </w:rPr>
        <w:t>9.3</w:t>
      </w:r>
      <w:r>
        <w:rPr>
          <w:rFonts w:hint="eastAsia" w:cs="宋体"/>
          <w:szCs w:val="28"/>
          <w:lang w:bidi="ar"/>
        </w:rPr>
        <w:t>万</w:t>
      </w:r>
      <w:r>
        <w:rPr>
          <w:szCs w:val="28"/>
          <w:lang w:bidi="ar"/>
        </w:rPr>
        <w:t>m</w:t>
      </w:r>
      <w:r>
        <w:rPr>
          <w:szCs w:val="28"/>
          <w:vertAlign w:val="superscript"/>
          <w:lang w:bidi="ar"/>
        </w:rPr>
        <w:t>2</w:t>
      </w:r>
      <w:r>
        <w:rPr>
          <w:rFonts w:hint="eastAsia" w:cs="宋体"/>
          <w:szCs w:val="28"/>
          <w:lang w:bidi="ar"/>
        </w:rPr>
        <w:t>，其中危险货物集装箱堆场约</w:t>
      </w:r>
      <w:r>
        <w:rPr>
          <w:szCs w:val="28"/>
          <w:lang w:bidi="ar"/>
        </w:rPr>
        <w:t>1.</w:t>
      </w:r>
      <w:r>
        <w:rPr>
          <w:rFonts w:hint="eastAsia"/>
          <w:szCs w:val="28"/>
          <w:lang w:bidi="ar"/>
        </w:rPr>
        <w:t>3</w:t>
      </w:r>
      <w:r>
        <w:rPr>
          <w:rFonts w:hint="eastAsia" w:cs="宋体"/>
          <w:szCs w:val="28"/>
          <w:lang w:bidi="ar"/>
        </w:rPr>
        <w:t>万</w:t>
      </w:r>
      <w:r>
        <w:rPr>
          <w:szCs w:val="28"/>
          <w:lang w:bidi="ar"/>
        </w:rPr>
        <w:t>m</w:t>
      </w:r>
      <w:r>
        <w:rPr>
          <w:szCs w:val="28"/>
          <w:vertAlign w:val="superscript"/>
          <w:lang w:bidi="ar"/>
        </w:rPr>
        <w:t>2</w:t>
      </w:r>
      <w:r>
        <w:rPr>
          <w:rFonts w:hint="eastAsia"/>
          <w:szCs w:val="28"/>
          <w:lang w:bidi="ar"/>
        </w:rPr>
        <w:t>，危险货物种类需求包括：第2.1项、第2.2项、第3类（不含退敏爆炸品）、第4.1项（不含退敏爆炸品）、第4.2项、第4.3项、第5.1项、第5.2项、第6.1项（不含剧毒品）、第8类、第9类，</w:t>
      </w:r>
      <w:r>
        <w:rPr>
          <w:rFonts w:hint="eastAsia"/>
        </w:rPr>
        <w:t>吞吐量约7200TEU/a</w:t>
      </w:r>
      <w:r>
        <w:rPr>
          <w:rFonts w:hint="eastAsia" w:cs="宋体"/>
          <w:szCs w:val="28"/>
          <w:lang w:bidi="ar"/>
        </w:rPr>
        <w:t>。</w:t>
      </w:r>
    </w:p>
    <w:p w14:paraId="0DCD0414">
      <w:pPr>
        <w:adjustRightInd w:val="0"/>
        <w:ind w:firstLine="464"/>
      </w:pPr>
      <w:r>
        <w:rPr>
          <w:rFonts w:hint="eastAsia" w:cs="宋体"/>
          <w:b/>
          <w:szCs w:val="28"/>
          <w:lang w:bidi="ar"/>
        </w:rPr>
        <w:t>建设内容</w:t>
      </w:r>
      <w:r>
        <w:rPr>
          <w:rFonts w:hint="eastAsia" w:cs="宋体"/>
          <w:szCs w:val="28"/>
          <w:lang w:bidi="ar"/>
        </w:rPr>
        <w:t>：包括</w:t>
      </w:r>
      <w:bookmarkStart w:id="204" w:name="_Hlk183456374"/>
      <w:r>
        <w:rPr>
          <w:rFonts w:hint="eastAsia" w:cs="宋体"/>
          <w:szCs w:val="28"/>
          <w:lang w:bidi="ar"/>
        </w:rPr>
        <w:t>水域疏浚、水工建筑、地基处理、道路及堆场、配套工程等</w:t>
      </w:r>
      <w:bookmarkEnd w:id="204"/>
      <w:r>
        <w:rPr>
          <w:rFonts w:hint="eastAsia" w:cs="宋体"/>
          <w:szCs w:val="28"/>
          <w:lang w:bidi="ar"/>
        </w:rPr>
        <w:t>工程</w:t>
      </w:r>
      <w:r>
        <w:rPr>
          <w:rFonts w:hint="eastAsia" w:cs="宋体"/>
          <w:bCs/>
          <w:lang w:bidi="ar"/>
        </w:rPr>
        <w:t>。</w:t>
      </w:r>
    </w:p>
    <w:p w14:paraId="0D22344F">
      <w:pPr>
        <w:adjustRightInd w:val="0"/>
        <w:ind w:firstLine="464"/>
        <w:rPr>
          <w:lang w:val="zh-CN"/>
        </w:rPr>
      </w:pPr>
      <w:r>
        <w:rPr>
          <w:rFonts w:hint="eastAsia" w:cs="宋体"/>
          <w:b/>
          <w:lang w:val="zh-CN" w:bidi="ar"/>
        </w:rPr>
        <w:t>项目总投资：</w:t>
      </w:r>
      <w:r>
        <w:rPr>
          <w:rFonts w:hint="eastAsia" w:cs="宋体"/>
          <w:lang w:val="zh-CN" w:bidi="ar"/>
        </w:rPr>
        <w:t>项目总投资</w:t>
      </w:r>
      <w:bookmarkStart w:id="205" w:name="OLE_LINK175"/>
      <w:r>
        <w:t>94122</w:t>
      </w:r>
      <w:bookmarkEnd w:id="205"/>
      <w:r>
        <w:rPr>
          <w:rFonts w:hint="eastAsia" w:cs="宋体"/>
          <w:lang w:val="zh-CN" w:bidi="ar"/>
        </w:rPr>
        <w:t>万元。</w:t>
      </w:r>
    </w:p>
    <w:p w14:paraId="743D6149">
      <w:pPr>
        <w:pStyle w:val="7"/>
      </w:pPr>
      <w:r>
        <w:rPr>
          <w:rFonts w:hint="eastAsia"/>
        </w:rPr>
        <w:t>工程主要指标及工程数量表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4"/>
        <w:gridCol w:w="2125"/>
        <w:gridCol w:w="896"/>
        <w:gridCol w:w="806"/>
        <w:gridCol w:w="3926"/>
      </w:tblGrid>
      <w:tr w14:paraId="559BA8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54" w:type="pct"/>
            <w:tcBorders>
              <w:top w:val="single" w:color="auto" w:sz="12" w:space="0"/>
              <w:left w:val="single" w:color="auto" w:sz="12" w:space="0"/>
              <w:bottom w:val="single" w:color="auto" w:sz="4" w:space="0"/>
              <w:right w:val="single" w:color="auto" w:sz="4" w:space="0"/>
            </w:tcBorders>
            <w:vAlign w:val="center"/>
          </w:tcPr>
          <w:p w14:paraId="71CA1C43">
            <w:pPr>
              <w:pStyle w:val="34"/>
              <w:rPr>
                <w:szCs w:val="21"/>
              </w:rPr>
            </w:pPr>
            <w:bookmarkStart w:id="206" w:name="_Hlk183456941"/>
            <w:r>
              <w:rPr>
                <w:rFonts w:hint="eastAsia"/>
                <w:szCs w:val="21"/>
              </w:rPr>
              <w:t>序号</w:t>
            </w:r>
          </w:p>
        </w:tc>
        <w:tc>
          <w:tcPr>
            <w:tcW w:w="1246" w:type="pct"/>
            <w:tcBorders>
              <w:top w:val="single" w:color="auto" w:sz="12" w:space="0"/>
              <w:left w:val="single" w:color="auto" w:sz="4" w:space="0"/>
              <w:bottom w:val="single" w:color="auto" w:sz="4" w:space="0"/>
              <w:right w:val="single" w:color="auto" w:sz="4" w:space="0"/>
            </w:tcBorders>
            <w:vAlign w:val="center"/>
          </w:tcPr>
          <w:p w14:paraId="71AB2229">
            <w:pPr>
              <w:pStyle w:val="34"/>
              <w:rPr>
                <w:szCs w:val="21"/>
              </w:rPr>
            </w:pPr>
            <w:r>
              <w:rPr>
                <w:rFonts w:hint="eastAsia"/>
                <w:szCs w:val="21"/>
              </w:rPr>
              <w:t>项目名称</w:t>
            </w:r>
          </w:p>
        </w:tc>
        <w:tc>
          <w:tcPr>
            <w:tcW w:w="525" w:type="pct"/>
            <w:tcBorders>
              <w:top w:val="single" w:color="auto" w:sz="12" w:space="0"/>
              <w:left w:val="single" w:color="auto" w:sz="4" w:space="0"/>
              <w:bottom w:val="single" w:color="auto" w:sz="4" w:space="0"/>
              <w:right w:val="single" w:color="auto" w:sz="4" w:space="0"/>
            </w:tcBorders>
            <w:vAlign w:val="center"/>
          </w:tcPr>
          <w:p w14:paraId="4D4A676B">
            <w:pPr>
              <w:pStyle w:val="34"/>
              <w:rPr>
                <w:szCs w:val="21"/>
              </w:rPr>
            </w:pPr>
            <w:r>
              <w:rPr>
                <w:rFonts w:hint="eastAsia"/>
                <w:szCs w:val="21"/>
              </w:rPr>
              <w:t>单位</w:t>
            </w:r>
          </w:p>
        </w:tc>
        <w:tc>
          <w:tcPr>
            <w:tcW w:w="473" w:type="pct"/>
            <w:tcBorders>
              <w:top w:val="single" w:color="auto" w:sz="12" w:space="0"/>
              <w:left w:val="single" w:color="auto" w:sz="4" w:space="0"/>
              <w:bottom w:val="single" w:color="auto" w:sz="4" w:space="0"/>
              <w:right w:val="single" w:color="auto" w:sz="4" w:space="0"/>
            </w:tcBorders>
            <w:vAlign w:val="center"/>
          </w:tcPr>
          <w:p w14:paraId="3A6E5CB2">
            <w:pPr>
              <w:pStyle w:val="34"/>
              <w:rPr>
                <w:szCs w:val="21"/>
              </w:rPr>
            </w:pPr>
            <w:r>
              <w:rPr>
                <w:rFonts w:hint="eastAsia"/>
                <w:szCs w:val="21"/>
              </w:rPr>
              <w:t>数量</w:t>
            </w:r>
          </w:p>
        </w:tc>
        <w:tc>
          <w:tcPr>
            <w:tcW w:w="2302" w:type="pct"/>
            <w:tcBorders>
              <w:top w:val="single" w:color="auto" w:sz="12" w:space="0"/>
              <w:left w:val="single" w:color="auto" w:sz="4" w:space="0"/>
              <w:bottom w:val="single" w:color="auto" w:sz="4" w:space="0"/>
              <w:right w:val="single" w:color="auto" w:sz="12" w:space="0"/>
            </w:tcBorders>
            <w:vAlign w:val="center"/>
          </w:tcPr>
          <w:p w14:paraId="36E6F6ED">
            <w:pPr>
              <w:pStyle w:val="34"/>
              <w:rPr>
                <w:szCs w:val="21"/>
              </w:rPr>
            </w:pPr>
            <w:r>
              <w:rPr>
                <w:rFonts w:hint="eastAsia"/>
                <w:szCs w:val="21"/>
              </w:rPr>
              <w:t>备注</w:t>
            </w:r>
          </w:p>
        </w:tc>
      </w:tr>
      <w:tr w14:paraId="55D4BB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454" w:type="pct"/>
            <w:tcBorders>
              <w:top w:val="single" w:color="auto" w:sz="4" w:space="0"/>
              <w:left w:val="single" w:color="auto" w:sz="12" w:space="0"/>
              <w:bottom w:val="single" w:color="auto" w:sz="4" w:space="0"/>
              <w:right w:val="single" w:color="auto" w:sz="4" w:space="0"/>
            </w:tcBorders>
            <w:vAlign w:val="center"/>
          </w:tcPr>
          <w:p w14:paraId="4FAB98B5">
            <w:pPr>
              <w:pStyle w:val="34"/>
              <w:rPr>
                <w:szCs w:val="21"/>
              </w:rPr>
            </w:pPr>
            <w:r>
              <w:rPr>
                <w:szCs w:val="21"/>
              </w:rPr>
              <w:t>1</w:t>
            </w:r>
          </w:p>
        </w:tc>
        <w:tc>
          <w:tcPr>
            <w:tcW w:w="1246" w:type="pct"/>
            <w:tcBorders>
              <w:top w:val="single" w:color="auto" w:sz="4" w:space="0"/>
              <w:left w:val="single" w:color="auto" w:sz="4" w:space="0"/>
              <w:bottom w:val="single" w:color="auto" w:sz="4" w:space="0"/>
              <w:right w:val="single" w:color="auto" w:sz="4" w:space="0"/>
            </w:tcBorders>
            <w:vAlign w:val="center"/>
          </w:tcPr>
          <w:p w14:paraId="050E3C16">
            <w:pPr>
              <w:pStyle w:val="34"/>
              <w:rPr>
                <w:szCs w:val="21"/>
              </w:rPr>
            </w:pPr>
            <w:r>
              <w:rPr>
                <w:rFonts w:hint="eastAsia"/>
                <w:szCs w:val="21"/>
              </w:rPr>
              <w:t>内</w:t>
            </w:r>
            <w:r>
              <w:rPr>
                <w:szCs w:val="21"/>
              </w:rPr>
              <w:t>1</w:t>
            </w:r>
            <w:r>
              <w:rPr>
                <w:rFonts w:hint="eastAsia"/>
                <w:szCs w:val="21"/>
              </w:rPr>
              <w:t>号至</w:t>
            </w:r>
            <w:r>
              <w:rPr>
                <w:szCs w:val="21"/>
              </w:rPr>
              <w:t>5</w:t>
            </w:r>
            <w:r>
              <w:rPr>
                <w:rFonts w:hint="eastAsia"/>
                <w:szCs w:val="21"/>
              </w:rPr>
              <w:t>号泊位</w:t>
            </w:r>
          </w:p>
        </w:tc>
        <w:tc>
          <w:tcPr>
            <w:tcW w:w="525" w:type="pct"/>
            <w:tcBorders>
              <w:top w:val="single" w:color="auto" w:sz="4" w:space="0"/>
              <w:left w:val="single" w:color="auto" w:sz="4" w:space="0"/>
              <w:bottom w:val="single" w:color="auto" w:sz="4" w:space="0"/>
              <w:right w:val="single" w:color="auto" w:sz="4" w:space="0"/>
            </w:tcBorders>
            <w:vAlign w:val="center"/>
          </w:tcPr>
          <w:p w14:paraId="0E23D3CA">
            <w:pPr>
              <w:pStyle w:val="34"/>
              <w:rPr>
                <w:szCs w:val="21"/>
              </w:rPr>
            </w:pPr>
            <w:r>
              <w:rPr>
                <w:szCs w:val="21"/>
              </w:rPr>
              <w:t>m</w:t>
            </w:r>
          </w:p>
        </w:tc>
        <w:tc>
          <w:tcPr>
            <w:tcW w:w="473" w:type="pct"/>
            <w:tcBorders>
              <w:top w:val="single" w:color="auto" w:sz="4" w:space="0"/>
              <w:left w:val="single" w:color="auto" w:sz="4" w:space="0"/>
              <w:bottom w:val="single" w:color="auto" w:sz="4" w:space="0"/>
              <w:right w:val="single" w:color="auto" w:sz="4" w:space="0"/>
            </w:tcBorders>
            <w:vAlign w:val="center"/>
          </w:tcPr>
          <w:p w14:paraId="0F809DEA">
            <w:pPr>
              <w:pStyle w:val="34"/>
              <w:rPr>
                <w:szCs w:val="21"/>
              </w:rPr>
            </w:pPr>
            <w:r>
              <w:rPr>
                <w:szCs w:val="21"/>
              </w:rPr>
              <w:t>695</w:t>
            </w:r>
          </w:p>
        </w:tc>
        <w:tc>
          <w:tcPr>
            <w:tcW w:w="2302" w:type="pct"/>
            <w:tcBorders>
              <w:top w:val="single" w:color="auto" w:sz="4" w:space="0"/>
              <w:left w:val="single" w:color="auto" w:sz="4" w:space="0"/>
              <w:bottom w:val="single" w:color="auto" w:sz="4" w:space="0"/>
              <w:right w:val="single" w:color="auto" w:sz="12" w:space="0"/>
            </w:tcBorders>
            <w:vAlign w:val="center"/>
          </w:tcPr>
          <w:p w14:paraId="5436CFF5">
            <w:pPr>
              <w:pStyle w:val="34"/>
              <w:rPr>
                <w:szCs w:val="21"/>
              </w:rPr>
            </w:pPr>
            <w:r>
              <w:rPr>
                <w:szCs w:val="21"/>
              </w:rPr>
              <w:t>5</w:t>
            </w:r>
            <w:r>
              <w:rPr>
                <w:rFonts w:hint="eastAsia"/>
                <w:szCs w:val="21"/>
              </w:rPr>
              <w:t>个</w:t>
            </w:r>
            <w:r>
              <w:rPr>
                <w:szCs w:val="21"/>
              </w:rPr>
              <w:t>5</w:t>
            </w:r>
            <w:r>
              <w:rPr>
                <w:rFonts w:hint="eastAsia"/>
                <w:szCs w:val="21"/>
              </w:rPr>
              <w:t>千吨级集装箱船泊位</w:t>
            </w:r>
          </w:p>
        </w:tc>
      </w:tr>
      <w:tr w14:paraId="72DD97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5D2815A0">
            <w:pPr>
              <w:pStyle w:val="34"/>
              <w:rPr>
                <w:szCs w:val="21"/>
              </w:rPr>
            </w:pPr>
            <w:r>
              <w:rPr>
                <w:szCs w:val="21"/>
              </w:rPr>
              <w:t>2</w:t>
            </w:r>
          </w:p>
        </w:tc>
        <w:tc>
          <w:tcPr>
            <w:tcW w:w="1246" w:type="pct"/>
            <w:tcBorders>
              <w:top w:val="single" w:color="auto" w:sz="4" w:space="0"/>
              <w:left w:val="single" w:color="auto" w:sz="4" w:space="0"/>
              <w:bottom w:val="single" w:color="auto" w:sz="4" w:space="0"/>
              <w:right w:val="single" w:color="auto" w:sz="4" w:space="0"/>
            </w:tcBorders>
            <w:vAlign w:val="center"/>
          </w:tcPr>
          <w:p w14:paraId="65D275B6">
            <w:pPr>
              <w:pStyle w:val="34"/>
              <w:rPr>
                <w:szCs w:val="21"/>
              </w:rPr>
            </w:pPr>
            <w:r>
              <w:rPr>
                <w:rFonts w:hint="eastAsia"/>
                <w:szCs w:val="21"/>
              </w:rPr>
              <w:t>年总设计吞吐量</w:t>
            </w:r>
          </w:p>
        </w:tc>
        <w:tc>
          <w:tcPr>
            <w:tcW w:w="525" w:type="pct"/>
            <w:tcBorders>
              <w:top w:val="single" w:color="auto" w:sz="4" w:space="0"/>
              <w:left w:val="single" w:color="auto" w:sz="4" w:space="0"/>
              <w:bottom w:val="single" w:color="auto" w:sz="4" w:space="0"/>
              <w:right w:val="single" w:color="auto" w:sz="4" w:space="0"/>
            </w:tcBorders>
            <w:vAlign w:val="center"/>
          </w:tcPr>
          <w:p w14:paraId="55FAB81C">
            <w:pPr>
              <w:pStyle w:val="34"/>
              <w:rPr>
                <w:szCs w:val="21"/>
              </w:rPr>
            </w:pPr>
            <w:r>
              <w:rPr>
                <w:rFonts w:hint="eastAsia"/>
                <w:szCs w:val="21"/>
              </w:rPr>
              <w:t>万</w:t>
            </w:r>
            <w:r>
              <w:rPr>
                <w:szCs w:val="21"/>
              </w:rPr>
              <w:t>TEU</w:t>
            </w:r>
          </w:p>
        </w:tc>
        <w:tc>
          <w:tcPr>
            <w:tcW w:w="473" w:type="pct"/>
            <w:tcBorders>
              <w:top w:val="single" w:color="auto" w:sz="4" w:space="0"/>
              <w:left w:val="single" w:color="auto" w:sz="4" w:space="0"/>
              <w:bottom w:val="single" w:color="auto" w:sz="4" w:space="0"/>
              <w:right w:val="single" w:color="auto" w:sz="4" w:space="0"/>
            </w:tcBorders>
            <w:vAlign w:val="center"/>
          </w:tcPr>
          <w:p w14:paraId="0E75E0B8">
            <w:pPr>
              <w:pStyle w:val="34"/>
              <w:rPr>
                <w:szCs w:val="21"/>
              </w:rPr>
            </w:pPr>
            <w:r>
              <w:rPr>
                <w:szCs w:val="21"/>
              </w:rPr>
              <w:t>60</w:t>
            </w:r>
          </w:p>
        </w:tc>
        <w:tc>
          <w:tcPr>
            <w:tcW w:w="2302" w:type="pct"/>
            <w:tcBorders>
              <w:top w:val="single" w:color="auto" w:sz="4" w:space="0"/>
              <w:left w:val="single" w:color="auto" w:sz="4" w:space="0"/>
              <w:bottom w:val="single" w:color="auto" w:sz="4" w:space="0"/>
              <w:right w:val="single" w:color="auto" w:sz="12" w:space="0"/>
            </w:tcBorders>
            <w:vAlign w:val="center"/>
          </w:tcPr>
          <w:p w14:paraId="5B3A9E73">
            <w:pPr>
              <w:pStyle w:val="34"/>
              <w:rPr>
                <w:szCs w:val="21"/>
              </w:rPr>
            </w:pPr>
          </w:p>
        </w:tc>
      </w:tr>
      <w:tr w14:paraId="70A533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454" w:type="pct"/>
            <w:tcBorders>
              <w:top w:val="single" w:color="auto" w:sz="4" w:space="0"/>
              <w:left w:val="single" w:color="auto" w:sz="12" w:space="0"/>
              <w:bottom w:val="single" w:color="auto" w:sz="4" w:space="0"/>
              <w:right w:val="single" w:color="auto" w:sz="4" w:space="0"/>
            </w:tcBorders>
            <w:vAlign w:val="center"/>
          </w:tcPr>
          <w:p w14:paraId="39F83EBD">
            <w:pPr>
              <w:pStyle w:val="34"/>
              <w:rPr>
                <w:szCs w:val="21"/>
              </w:rPr>
            </w:pPr>
            <w:r>
              <w:rPr>
                <w:szCs w:val="21"/>
              </w:rPr>
              <w:t>3</w:t>
            </w:r>
          </w:p>
        </w:tc>
        <w:tc>
          <w:tcPr>
            <w:tcW w:w="1246" w:type="pct"/>
            <w:tcBorders>
              <w:top w:val="single" w:color="auto" w:sz="4" w:space="0"/>
              <w:left w:val="single" w:color="auto" w:sz="4" w:space="0"/>
              <w:bottom w:val="single" w:color="auto" w:sz="4" w:space="0"/>
              <w:right w:val="single" w:color="auto" w:sz="4" w:space="0"/>
            </w:tcBorders>
            <w:vAlign w:val="center"/>
          </w:tcPr>
          <w:p w14:paraId="038BA5EA">
            <w:pPr>
              <w:pStyle w:val="34"/>
              <w:rPr>
                <w:szCs w:val="21"/>
              </w:rPr>
            </w:pPr>
            <w:r>
              <w:rPr>
                <w:rFonts w:hint="eastAsia"/>
                <w:szCs w:val="21"/>
              </w:rPr>
              <w:t>年总设计通过能力</w:t>
            </w:r>
          </w:p>
        </w:tc>
        <w:tc>
          <w:tcPr>
            <w:tcW w:w="525" w:type="pct"/>
            <w:tcBorders>
              <w:top w:val="single" w:color="auto" w:sz="4" w:space="0"/>
              <w:left w:val="single" w:color="auto" w:sz="4" w:space="0"/>
              <w:bottom w:val="single" w:color="auto" w:sz="4" w:space="0"/>
              <w:right w:val="single" w:color="auto" w:sz="4" w:space="0"/>
            </w:tcBorders>
            <w:vAlign w:val="center"/>
          </w:tcPr>
          <w:p w14:paraId="1F68BFE7">
            <w:pPr>
              <w:pStyle w:val="34"/>
              <w:rPr>
                <w:szCs w:val="21"/>
              </w:rPr>
            </w:pPr>
            <w:r>
              <w:rPr>
                <w:rFonts w:hint="eastAsia"/>
                <w:szCs w:val="21"/>
              </w:rPr>
              <w:t>万</w:t>
            </w:r>
            <w:r>
              <w:rPr>
                <w:szCs w:val="21"/>
              </w:rPr>
              <w:t>TEU</w:t>
            </w:r>
          </w:p>
        </w:tc>
        <w:tc>
          <w:tcPr>
            <w:tcW w:w="473" w:type="pct"/>
            <w:tcBorders>
              <w:top w:val="single" w:color="auto" w:sz="4" w:space="0"/>
              <w:left w:val="single" w:color="auto" w:sz="4" w:space="0"/>
              <w:bottom w:val="single" w:color="auto" w:sz="4" w:space="0"/>
              <w:right w:val="single" w:color="auto" w:sz="4" w:space="0"/>
            </w:tcBorders>
            <w:vAlign w:val="center"/>
          </w:tcPr>
          <w:p w14:paraId="1096B5BF">
            <w:pPr>
              <w:pStyle w:val="34"/>
              <w:rPr>
                <w:szCs w:val="21"/>
              </w:rPr>
            </w:pPr>
            <w:r>
              <w:rPr>
                <w:szCs w:val="21"/>
              </w:rPr>
              <w:t>65</w:t>
            </w:r>
          </w:p>
        </w:tc>
        <w:tc>
          <w:tcPr>
            <w:tcW w:w="2302" w:type="pct"/>
            <w:tcBorders>
              <w:top w:val="single" w:color="auto" w:sz="4" w:space="0"/>
              <w:left w:val="single" w:color="auto" w:sz="4" w:space="0"/>
              <w:bottom w:val="single" w:color="auto" w:sz="4" w:space="0"/>
              <w:right w:val="single" w:color="auto" w:sz="12" w:space="0"/>
            </w:tcBorders>
            <w:vAlign w:val="center"/>
          </w:tcPr>
          <w:p w14:paraId="00C7160A">
            <w:pPr>
              <w:pStyle w:val="34"/>
              <w:rPr>
                <w:szCs w:val="21"/>
              </w:rPr>
            </w:pPr>
          </w:p>
        </w:tc>
      </w:tr>
      <w:tr w14:paraId="06FAFB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0CAA4D3A">
            <w:pPr>
              <w:pStyle w:val="34"/>
              <w:rPr>
                <w:szCs w:val="21"/>
              </w:rPr>
            </w:pPr>
            <w:r>
              <w:rPr>
                <w:szCs w:val="21"/>
              </w:rPr>
              <w:t>4</w:t>
            </w:r>
          </w:p>
        </w:tc>
        <w:tc>
          <w:tcPr>
            <w:tcW w:w="1246" w:type="pct"/>
            <w:tcBorders>
              <w:top w:val="single" w:color="auto" w:sz="4" w:space="0"/>
              <w:left w:val="single" w:color="auto" w:sz="4" w:space="0"/>
              <w:bottom w:val="single" w:color="auto" w:sz="4" w:space="0"/>
              <w:right w:val="single" w:color="auto" w:sz="4" w:space="0"/>
            </w:tcBorders>
            <w:vAlign w:val="center"/>
          </w:tcPr>
          <w:p w14:paraId="7C616855">
            <w:pPr>
              <w:pStyle w:val="34"/>
              <w:rPr>
                <w:szCs w:val="21"/>
              </w:rPr>
            </w:pPr>
            <w:r>
              <w:rPr>
                <w:rFonts w:hint="eastAsia"/>
                <w:szCs w:val="21"/>
              </w:rPr>
              <w:t>泊位长度</w:t>
            </w:r>
          </w:p>
        </w:tc>
        <w:tc>
          <w:tcPr>
            <w:tcW w:w="525" w:type="pct"/>
            <w:tcBorders>
              <w:top w:val="single" w:color="auto" w:sz="4" w:space="0"/>
              <w:left w:val="single" w:color="auto" w:sz="4" w:space="0"/>
              <w:bottom w:val="single" w:color="auto" w:sz="4" w:space="0"/>
              <w:right w:val="single" w:color="auto" w:sz="4" w:space="0"/>
            </w:tcBorders>
            <w:vAlign w:val="center"/>
          </w:tcPr>
          <w:p w14:paraId="3FEC82E9">
            <w:pPr>
              <w:pStyle w:val="34"/>
              <w:rPr>
                <w:szCs w:val="21"/>
              </w:rPr>
            </w:pPr>
            <w:r>
              <w:rPr>
                <w:szCs w:val="21"/>
              </w:rPr>
              <w:t>m</w:t>
            </w:r>
          </w:p>
        </w:tc>
        <w:tc>
          <w:tcPr>
            <w:tcW w:w="473" w:type="pct"/>
            <w:tcBorders>
              <w:top w:val="single" w:color="auto" w:sz="4" w:space="0"/>
              <w:left w:val="single" w:color="auto" w:sz="4" w:space="0"/>
              <w:bottom w:val="single" w:color="auto" w:sz="4" w:space="0"/>
              <w:right w:val="single" w:color="auto" w:sz="4" w:space="0"/>
            </w:tcBorders>
            <w:vAlign w:val="center"/>
          </w:tcPr>
          <w:p w14:paraId="6F66EC33">
            <w:pPr>
              <w:pStyle w:val="34"/>
              <w:rPr>
                <w:szCs w:val="21"/>
              </w:rPr>
            </w:pPr>
            <w:r>
              <w:rPr>
                <w:szCs w:val="21"/>
              </w:rPr>
              <w:t>695</w:t>
            </w:r>
          </w:p>
        </w:tc>
        <w:tc>
          <w:tcPr>
            <w:tcW w:w="2302" w:type="pct"/>
            <w:tcBorders>
              <w:top w:val="single" w:color="auto" w:sz="4" w:space="0"/>
              <w:left w:val="single" w:color="auto" w:sz="4" w:space="0"/>
              <w:bottom w:val="single" w:color="auto" w:sz="4" w:space="0"/>
              <w:right w:val="single" w:color="auto" w:sz="12" w:space="0"/>
            </w:tcBorders>
            <w:vAlign w:val="center"/>
          </w:tcPr>
          <w:p w14:paraId="5A804C46">
            <w:pPr>
              <w:pStyle w:val="34"/>
              <w:rPr>
                <w:szCs w:val="21"/>
              </w:rPr>
            </w:pPr>
          </w:p>
        </w:tc>
      </w:tr>
      <w:tr w14:paraId="1F43EA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657E6249">
            <w:pPr>
              <w:pStyle w:val="34"/>
              <w:rPr>
                <w:szCs w:val="21"/>
              </w:rPr>
            </w:pPr>
            <w:r>
              <w:rPr>
                <w:szCs w:val="21"/>
              </w:rPr>
              <w:t>5</w:t>
            </w:r>
          </w:p>
        </w:tc>
        <w:tc>
          <w:tcPr>
            <w:tcW w:w="1246" w:type="pct"/>
            <w:tcBorders>
              <w:top w:val="single" w:color="auto" w:sz="4" w:space="0"/>
              <w:left w:val="single" w:color="auto" w:sz="4" w:space="0"/>
              <w:bottom w:val="single" w:color="auto" w:sz="4" w:space="0"/>
              <w:right w:val="single" w:color="auto" w:sz="4" w:space="0"/>
            </w:tcBorders>
            <w:vAlign w:val="center"/>
          </w:tcPr>
          <w:p w14:paraId="3C8D83AE">
            <w:pPr>
              <w:pStyle w:val="34"/>
              <w:rPr>
                <w:szCs w:val="21"/>
              </w:rPr>
            </w:pPr>
            <w:r>
              <w:rPr>
                <w:rFonts w:hint="eastAsia"/>
                <w:szCs w:val="21"/>
              </w:rPr>
              <w:t>陆域总面积</w:t>
            </w:r>
          </w:p>
        </w:tc>
        <w:tc>
          <w:tcPr>
            <w:tcW w:w="525" w:type="pct"/>
            <w:tcBorders>
              <w:top w:val="single" w:color="auto" w:sz="4" w:space="0"/>
              <w:left w:val="single" w:color="auto" w:sz="4" w:space="0"/>
              <w:bottom w:val="single" w:color="auto" w:sz="4" w:space="0"/>
              <w:right w:val="single" w:color="auto" w:sz="4" w:space="0"/>
            </w:tcBorders>
            <w:vAlign w:val="center"/>
          </w:tcPr>
          <w:p w14:paraId="1C01790A">
            <w:pPr>
              <w:pStyle w:val="34"/>
              <w:rPr>
                <w:szCs w:val="21"/>
              </w:rPr>
            </w:pPr>
            <w:r>
              <w:rPr>
                <w:rFonts w:hint="eastAsia"/>
                <w:szCs w:val="21"/>
              </w:rPr>
              <w:t>万</w:t>
            </w:r>
            <w:r>
              <w:rPr>
                <w:szCs w:val="21"/>
              </w:rPr>
              <w:t>m</w:t>
            </w:r>
            <w:r>
              <w:rPr>
                <w:szCs w:val="21"/>
                <w:vertAlign w:val="superscript"/>
              </w:rPr>
              <w:t>2</w:t>
            </w:r>
          </w:p>
        </w:tc>
        <w:tc>
          <w:tcPr>
            <w:tcW w:w="473" w:type="pct"/>
            <w:tcBorders>
              <w:top w:val="single" w:color="auto" w:sz="4" w:space="0"/>
              <w:left w:val="single" w:color="auto" w:sz="4" w:space="0"/>
              <w:bottom w:val="single" w:color="auto" w:sz="4" w:space="0"/>
              <w:right w:val="single" w:color="auto" w:sz="4" w:space="0"/>
            </w:tcBorders>
            <w:vAlign w:val="center"/>
          </w:tcPr>
          <w:p w14:paraId="7F8D2B67">
            <w:pPr>
              <w:pStyle w:val="34"/>
              <w:rPr>
                <w:szCs w:val="21"/>
              </w:rPr>
            </w:pPr>
            <w:r>
              <w:rPr>
                <w:szCs w:val="21"/>
              </w:rPr>
              <w:t>14.</w:t>
            </w:r>
            <w:r>
              <w:rPr>
                <w:rFonts w:hint="eastAsia"/>
                <w:szCs w:val="21"/>
              </w:rPr>
              <w:t>4</w:t>
            </w:r>
          </w:p>
        </w:tc>
        <w:tc>
          <w:tcPr>
            <w:tcW w:w="2302" w:type="pct"/>
            <w:tcBorders>
              <w:top w:val="single" w:color="auto" w:sz="4" w:space="0"/>
              <w:left w:val="single" w:color="auto" w:sz="4" w:space="0"/>
              <w:bottom w:val="single" w:color="auto" w:sz="4" w:space="0"/>
              <w:right w:val="single" w:color="auto" w:sz="12" w:space="0"/>
            </w:tcBorders>
            <w:vAlign w:val="center"/>
          </w:tcPr>
          <w:p w14:paraId="65C70627">
            <w:pPr>
              <w:pStyle w:val="34"/>
              <w:rPr>
                <w:szCs w:val="21"/>
              </w:rPr>
            </w:pPr>
          </w:p>
        </w:tc>
      </w:tr>
      <w:tr w14:paraId="3B887D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0B7C6CD0">
            <w:pPr>
              <w:pStyle w:val="34"/>
              <w:rPr>
                <w:szCs w:val="21"/>
              </w:rPr>
            </w:pPr>
            <w:r>
              <w:rPr>
                <w:szCs w:val="21"/>
              </w:rPr>
              <w:t>5.1</w:t>
            </w:r>
          </w:p>
        </w:tc>
        <w:tc>
          <w:tcPr>
            <w:tcW w:w="1246" w:type="pct"/>
            <w:tcBorders>
              <w:top w:val="single" w:color="auto" w:sz="4" w:space="0"/>
              <w:left w:val="single" w:color="auto" w:sz="4" w:space="0"/>
              <w:bottom w:val="single" w:color="auto" w:sz="4" w:space="0"/>
              <w:right w:val="single" w:color="auto" w:sz="4" w:space="0"/>
            </w:tcBorders>
            <w:vAlign w:val="center"/>
          </w:tcPr>
          <w:p w14:paraId="3F672993">
            <w:pPr>
              <w:pStyle w:val="34"/>
              <w:rPr>
                <w:szCs w:val="21"/>
              </w:rPr>
            </w:pPr>
            <w:r>
              <w:rPr>
                <w:rFonts w:hint="eastAsia"/>
                <w:szCs w:val="21"/>
              </w:rPr>
              <w:t>码头前沿作业地带</w:t>
            </w:r>
          </w:p>
        </w:tc>
        <w:tc>
          <w:tcPr>
            <w:tcW w:w="525" w:type="pct"/>
            <w:vMerge w:val="restart"/>
            <w:tcBorders>
              <w:top w:val="single" w:color="auto" w:sz="4" w:space="0"/>
              <w:left w:val="single" w:color="auto" w:sz="4" w:space="0"/>
              <w:bottom w:val="single" w:color="auto" w:sz="4" w:space="0"/>
              <w:right w:val="single" w:color="auto" w:sz="4" w:space="0"/>
            </w:tcBorders>
            <w:vAlign w:val="center"/>
          </w:tcPr>
          <w:p w14:paraId="73B2C736">
            <w:pPr>
              <w:pStyle w:val="34"/>
              <w:rPr>
                <w:szCs w:val="21"/>
              </w:rPr>
            </w:pPr>
            <w:r>
              <w:rPr>
                <w:rFonts w:hint="eastAsia"/>
                <w:szCs w:val="21"/>
              </w:rPr>
              <w:t>万</w:t>
            </w:r>
            <w:r>
              <w:rPr>
                <w:szCs w:val="21"/>
              </w:rPr>
              <w:t>m</w:t>
            </w:r>
            <w:r>
              <w:rPr>
                <w:szCs w:val="21"/>
                <w:vertAlign w:val="superscript"/>
              </w:rPr>
              <w:t>2</w:t>
            </w:r>
          </w:p>
        </w:tc>
        <w:tc>
          <w:tcPr>
            <w:tcW w:w="473" w:type="pct"/>
            <w:tcBorders>
              <w:top w:val="single" w:color="auto" w:sz="4" w:space="0"/>
              <w:left w:val="single" w:color="auto" w:sz="4" w:space="0"/>
              <w:bottom w:val="single" w:color="auto" w:sz="4" w:space="0"/>
              <w:right w:val="single" w:color="auto" w:sz="4" w:space="0"/>
            </w:tcBorders>
            <w:vAlign w:val="center"/>
          </w:tcPr>
          <w:p w14:paraId="2C916884">
            <w:pPr>
              <w:pStyle w:val="34"/>
              <w:rPr>
                <w:szCs w:val="21"/>
              </w:rPr>
            </w:pPr>
            <w:r>
              <w:rPr>
                <w:szCs w:val="21"/>
              </w:rPr>
              <w:t>4.2</w:t>
            </w:r>
          </w:p>
        </w:tc>
        <w:tc>
          <w:tcPr>
            <w:tcW w:w="2302" w:type="pct"/>
            <w:tcBorders>
              <w:top w:val="single" w:color="auto" w:sz="4" w:space="0"/>
              <w:left w:val="single" w:color="auto" w:sz="4" w:space="0"/>
              <w:bottom w:val="single" w:color="auto" w:sz="4" w:space="0"/>
              <w:right w:val="single" w:color="auto" w:sz="12" w:space="0"/>
            </w:tcBorders>
            <w:vAlign w:val="center"/>
          </w:tcPr>
          <w:p w14:paraId="61635A35">
            <w:pPr>
              <w:pStyle w:val="34"/>
              <w:rPr>
                <w:szCs w:val="21"/>
              </w:rPr>
            </w:pPr>
          </w:p>
        </w:tc>
      </w:tr>
      <w:tr w14:paraId="23382F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7E3C7300">
            <w:pPr>
              <w:pStyle w:val="34"/>
              <w:rPr>
                <w:szCs w:val="21"/>
              </w:rPr>
            </w:pPr>
            <w:r>
              <w:rPr>
                <w:szCs w:val="21"/>
              </w:rPr>
              <w:t>5.2</w:t>
            </w:r>
          </w:p>
        </w:tc>
        <w:tc>
          <w:tcPr>
            <w:tcW w:w="1246" w:type="pct"/>
            <w:tcBorders>
              <w:top w:val="single" w:color="auto" w:sz="4" w:space="0"/>
              <w:left w:val="single" w:color="auto" w:sz="4" w:space="0"/>
              <w:bottom w:val="single" w:color="auto" w:sz="4" w:space="0"/>
              <w:right w:val="single" w:color="auto" w:sz="4" w:space="0"/>
            </w:tcBorders>
            <w:vAlign w:val="center"/>
          </w:tcPr>
          <w:p w14:paraId="7014BA63">
            <w:pPr>
              <w:pStyle w:val="34"/>
              <w:rPr>
                <w:szCs w:val="21"/>
              </w:rPr>
            </w:pPr>
            <w:r>
              <w:rPr>
                <w:rFonts w:hint="eastAsia"/>
                <w:szCs w:val="21"/>
              </w:rPr>
              <w:t>集装箱堆场</w:t>
            </w:r>
          </w:p>
        </w:tc>
        <w:tc>
          <w:tcPr>
            <w:tcW w:w="525" w:type="pct"/>
            <w:vMerge w:val="continue"/>
            <w:tcBorders>
              <w:top w:val="single" w:color="auto" w:sz="4" w:space="0"/>
              <w:left w:val="single" w:color="auto" w:sz="4" w:space="0"/>
              <w:bottom w:val="single" w:color="auto" w:sz="4" w:space="0"/>
              <w:right w:val="single" w:color="auto" w:sz="4" w:space="0"/>
            </w:tcBorders>
            <w:vAlign w:val="center"/>
          </w:tcPr>
          <w:p w14:paraId="663F5DAD">
            <w:pPr>
              <w:pStyle w:val="34"/>
              <w:rPr>
                <w:szCs w:val="21"/>
              </w:rPr>
            </w:pPr>
          </w:p>
        </w:tc>
        <w:tc>
          <w:tcPr>
            <w:tcW w:w="473" w:type="pct"/>
            <w:tcBorders>
              <w:top w:val="single" w:color="auto" w:sz="4" w:space="0"/>
              <w:left w:val="single" w:color="auto" w:sz="4" w:space="0"/>
              <w:bottom w:val="single" w:color="auto" w:sz="4" w:space="0"/>
              <w:right w:val="single" w:color="auto" w:sz="4" w:space="0"/>
            </w:tcBorders>
            <w:vAlign w:val="center"/>
          </w:tcPr>
          <w:p w14:paraId="27F99D7A">
            <w:pPr>
              <w:pStyle w:val="34"/>
              <w:rPr>
                <w:szCs w:val="21"/>
              </w:rPr>
            </w:pPr>
            <w:r>
              <w:rPr>
                <w:szCs w:val="21"/>
              </w:rPr>
              <w:t>9.3</w:t>
            </w:r>
          </w:p>
        </w:tc>
        <w:tc>
          <w:tcPr>
            <w:tcW w:w="2302" w:type="pct"/>
            <w:tcBorders>
              <w:top w:val="single" w:color="auto" w:sz="4" w:space="0"/>
              <w:left w:val="single" w:color="auto" w:sz="4" w:space="0"/>
              <w:bottom w:val="single" w:color="auto" w:sz="4" w:space="0"/>
              <w:right w:val="single" w:color="auto" w:sz="12" w:space="0"/>
            </w:tcBorders>
            <w:vAlign w:val="center"/>
          </w:tcPr>
          <w:p w14:paraId="5EC769F1">
            <w:pPr>
              <w:pStyle w:val="34"/>
              <w:rPr>
                <w:szCs w:val="21"/>
              </w:rPr>
            </w:pPr>
            <w:r>
              <w:rPr>
                <w:rFonts w:hint="eastAsia"/>
                <w:szCs w:val="21"/>
                <w:lang w:bidi="ar"/>
              </w:rPr>
              <w:t>堆场区纵深</w:t>
            </w:r>
            <w:r>
              <w:rPr>
                <w:szCs w:val="21"/>
                <w:lang w:bidi="ar"/>
              </w:rPr>
              <w:t>563m</w:t>
            </w:r>
            <w:r>
              <w:rPr>
                <w:rFonts w:hint="eastAsia"/>
                <w:szCs w:val="21"/>
                <w:lang w:bidi="ar"/>
              </w:rPr>
              <w:t>，含含变电所、 前方材料库、IGV 充电区、 拖车道和箱道之间区域</w:t>
            </w:r>
          </w:p>
        </w:tc>
      </w:tr>
      <w:tr w14:paraId="46D4F5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3D7D3948">
            <w:pPr>
              <w:pStyle w:val="34"/>
              <w:rPr>
                <w:szCs w:val="21"/>
              </w:rPr>
            </w:pPr>
            <w:r>
              <w:rPr>
                <w:szCs w:val="21"/>
              </w:rPr>
              <w:t>5.3</w:t>
            </w:r>
          </w:p>
        </w:tc>
        <w:tc>
          <w:tcPr>
            <w:tcW w:w="1246" w:type="pct"/>
            <w:tcBorders>
              <w:top w:val="single" w:color="auto" w:sz="4" w:space="0"/>
              <w:left w:val="single" w:color="auto" w:sz="4" w:space="0"/>
              <w:bottom w:val="single" w:color="auto" w:sz="4" w:space="0"/>
              <w:right w:val="single" w:color="auto" w:sz="4" w:space="0"/>
            </w:tcBorders>
            <w:vAlign w:val="center"/>
          </w:tcPr>
          <w:p w14:paraId="080B51BB">
            <w:pPr>
              <w:pStyle w:val="34"/>
              <w:rPr>
                <w:szCs w:val="21"/>
              </w:rPr>
            </w:pPr>
            <w:r>
              <w:rPr>
                <w:rFonts w:hint="eastAsia"/>
                <w:szCs w:val="21"/>
              </w:rPr>
              <w:t>港内道路</w:t>
            </w:r>
          </w:p>
        </w:tc>
        <w:tc>
          <w:tcPr>
            <w:tcW w:w="525" w:type="pct"/>
            <w:vMerge w:val="continue"/>
            <w:tcBorders>
              <w:top w:val="single" w:color="auto" w:sz="4" w:space="0"/>
              <w:left w:val="single" w:color="auto" w:sz="4" w:space="0"/>
              <w:bottom w:val="single" w:color="auto" w:sz="4" w:space="0"/>
              <w:right w:val="single" w:color="auto" w:sz="4" w:space="0"/>
            </w:tcBorders>
            <w:vAlign w:val="center"/>
          </w:tcPr>
          <w:p w14:paraId="354B2CDB">
            <w:pPr>
              <w:pStyle w:val="34"/>
              <w:rPr>
                <w:szCs w:val="21"/>
              </w:rPr>
            </w:pPr>
          </w:p>
        </w:tc>
        <w:tc>
          <w:tcPr>
            <w:tcW w:w="473" w:type="pct"/>
            <w:tcBorders>
              <w:top w:val="single" w:color="auto" w:sz="4" w:space="0"/>
              <w:left w:val="single" w:color="auto" w:sz="4" w:space="0"/>
              <w:bottom w:val="single" w:color="auto" w:sz="4" w:space="0"/>
              <w:right w:val="single" w:color="auto" w:sz="4" w:space="0"/>
            </w:tcBorders>
            <w:vAlign w:val="center"/>
          </w:tcPr>
          <w:p w14:paraId="200490B2">
            <w:pPr>
              <w:pStyle w:val="34"/>
              <w:rPr>
                <w:szCs w:val="21"/>
              </w:rPr>
            </w:pPr>
            <w:r>
              <w:rPr>
                <w:szCs w:val="21"/>
              </w:rPr>
              <w:t>0.9</w:t>
            </w:r>
          </w:p>
        </w:tc>
        <w:tc>
          <w:tcPr>
            <w:tcW w:w="2302" w:type="pct"/>
            <w:tcBorders>
              <w:top w:val="single" w:color="auto" w:sz="4" w:space="0"/>
              <w:left w:val="single" w:color="auto" w:sz="4" w:space="0"/>
              <w:bottom w:val="single" w:color="auto" w:sz="4" w:space="0"/>
              <w:right w:val="single" w:color="auto" w:sz="12" w:space="0"/>
            </w:tcBorders>
            <w:vAlign w:val="center"/>
          </w:tcPr>
          <w:p w14:paraId="6A2FCCE9">
            <w:pPr>
              <w:pStyle w:val="34"/>
              <w:rPr>
                <w:szCs w:val="21"/>
              </w:rPr>
            </w:pPr>
          </w:p>
        </w:tc>
      </w:tr>
      <w:tr w14:paraId="0DEB66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19CFEDA3">
            <w:pPr>
              <w:pStyle w:val="34"/>
              <w:rPr>
                <w:szCs w:val="21"/>
              </w:rPr>
            </w:pPr>
            <w:r>
              <w:rPr>
                <w:rFonts w:hint="eastAsia"/>
                <w:szCs w:val="21"/>
              </w:rPr>
              <w:t>6</w:t>
            </w:r>
          </w:p>
        </w:tc>
        <w:tc>
          <w:tcPr>
            <w:tcW w:w="1246" w:type="pct"/>
            <w:tcBorders>
              <w:top w:val="single" w:color="auto" w:sz="4" w:space="0"/>
              <w:left w:val="single" w:color="auto" w:sz="4" w:space="0"/>
              <w:bottom w:val="single" w:color="auto" w:sz="4" w:space="0"/>
              <w:right w:val="single" w:color="auto" w:sz="4" w:space="0"/>
            </w:tcBorders>
            <w:vAlign w:val="center"/>
          </w:tcPr>
          <w:p w14:paraId="58DC442E">
            <w:pPr>
              <w:pStyle w:val="34"/>
              <w:rPr>
                <w:szCs w:val="21"/>
              </w:rPr>
            </w:pPr>
            <w:r>
              <w:rPr>
                <w:rFonts w:hint="eastAsia"/>
                <w:szCs w:val="21"/>
              </w:rPr>
              <w:t>水域面积</w:t>
            </w:r>
          </w:p>
        </w:tc>
        <w:tc>
          <w:tcPr>
            <w:tcW w:w="525" w:type="pct"/>
            <w:tcBorders>
              <w:top w:val="single" w:color="auto" w:sz="4" w:space="0"/>
              <w:left w:val="single" w:color="auto" w:sz="4" w:space="0"/>
              <w:bottom w:val="single" w:color="auto" w:sz="4" w:space="0"/>
              <w:right w:val="single" w:color="auto" w:sz="4" w:space="0"/>
            </w:tcBorders>
            <w:vAlign w:val="center"/>
          </w:tcPr>
          <w:p w14:paraId="15307ADF">
            <w:pPr>
              <w:pStyle w:val="34"/>
              <w:rPr>
                <w:szCs w:val="21"/>
              </w:rPr>
            </w:pPr>
            <w:r>
              <w:rPr>
                <w:rFonts w:hint="eastAsia"/>
                <w:szCs w:val="21"/>
              </w:rPr>
              <w:t>万</w:t>
            </w:r>
            <w:r>
              <w:rPr>
                <w:szCs w:val="21"/>
              </w:rPr>
              <w:t>m</w:t>
            </w:r>
            <w:r>
              <w:rPr>
                <w:szCs w:val="21"/>
                <w:vertAlign w:val="superscript"/>
              </w:rPr>
              <w:t>2</w:t>
            </w:r>
          </w:p>
        </w:tc>
        <w:tc>
          <w:tcPr>
            <w:tcW w:w="473" w:type="pct"/>
            <w:tcBorders>
              <w:top w:val="single" w:color="auto" w:sz="4" w:space="0"/>
              <w:left w:val="single" w:color="auto" w:sz="4" w:space="0"/>
              <w:bottom w:val="single" w:color="auto" w:sz="4" w:space="0"/>
              <w:right w:val="single" w:color="auto" w:sz="4" w:space="0"/>
            </w:tcBorders>
            <w:vAlign w:val="center"/>
          </w:tcPr>
          <w:p w14:paraId="7FE66E89">
            <w:pPr>
              <w:pStyle w:val="34"/>
              <w:rPr>
                <w:szCs w:val="21"/>
              </w:rPr>
            </w:pPr>
            <w:r>
              <w:rPr>
                <w:rFonts w:hint="eastAsia"/>
                <w:szCs w:val="21"/>
              </w:rPr>
              <w:t>22.77</w:t>
            </w:r>
          </w:p>
        </w:tc>
        <w:tc>
          <w:tcPr>
            <w:tcW w:w="2302" w:type="pct"/>
            <w:tcBorders>
              <w:top w:val="single" w:color="auto" w:sz="4" w:space="0"/>
              <w:left w:val="single" w:color="auto" w:sz="4" w:space="0"/>
              <w:bottom w:val="single" w:color="auto" w:sz="4" w:space="0"/>
              <w:right w:val="single" w:color="auto" w:sz="12" w:space="0"/>
            </w:tcBorders>
            <w:vAlign w:val="center"/>
          </w:tcPr>
          <w:p w14:paraId="462B8072">
            <w:pPr>
              <w:pStyle w:val="34"/>
              <w:rPr>
                <w:szCs w:val="21"/>
              </w:rPr>
            </w:pPr>
          </w:p>
        </w:tc>
      </w:tr>
      <w:tr w14:paraId="11E6A4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1AD5F0C6">
            <w:pPr>
              <w:pStyle w:val="34"/>
              <w:rPr>
                <w:szCs w:val="21"/>
              </w:rPr>
            </w:pPr>
            <w:r>
              <w:rPr>
                <w:rFonts w:hint="eastAsia"/>
                <w:szCs w:val="21"/>
              </w:rPr>
              <w:t>7</w:t>
            </w:r>
          </w:p>
        </w:tc>
        <w:tc>
          <w:tcPr>
            <w:tcW w:w="1246" w:type="pct"/>
            <w:tcBorders>
              <w:top w:val="single" w:color="auto" w:sz="4" w:space="0"/>
              <w:left w:val="single" w:color="auto" w:sz="4" w:space="0"/>
              <w:bottom w:val="single" w:color="auto" w:sz="4" w:space="0"/>
              <w:right w:val="single" w:color="auto" w:sz="4" w:space="0"/>
            </w:tcBorders>
            <w:vAlign w:val="center"/>
          </w:tcPr>
          <w:p w14:paraId="1C829028">
            <w:pPr>
              <w:pStyle w:val="34"/>
              <w:rPr>
                <w:szCs w:val="21"/>
              </w:rPr>
            </w:pPr>
            <w:r>
              <w:rPr>
                <w:rFonts w:hint="eastAsia"/>
                <w:szCs w:val="21"/>
              </w:rPr>
              <w:t>水域疏浚工程量</w:t>
            </w:r>
          </w:p>
        </w:tc>
        <w:tc>
          <w:tcPr>
            <w:tcW w:w="525" w:type="pct"/>
            <w:tcBorders>
              <w:top w:val="single" w:color="auto" w:sz="4" w:space="0"/>
              <w:left w:val="single" w:color="auto" w:sz="4" w:space="0"/>
              <w:bottom w:val="single" w:color="auto" w:sz="4" w:space="0"/>
              <w:right w:val="single" w:color="auto" w:sz="4" w:space="0"/>
            </w:tcBorders>
            <w:vAlign w:val="center"/>
          </w:tcPr>
          <w:p w14:paraId="57E11929">
            <w:pPr>
              <w:pStyle w:val="34"/>
              <w:rPr>
                <w:szCs w:val="21"/>
              </w:rPr>
            </w:pPr>
            <w:r>
              <w:rPr>
                <w:rFonts w:hint="eastAsia"/>
                <w:szCs w:val="21"/>
              </w:rPr>
              <w:t>万</w:t>
            </w:r>
            <w:r>
              <w:rPr>
                <w:szCs w:val="21"/>
              </w:rPr>
              <w:t>m</w:t>
            </w:r>
            <w:r>
              <w:rPr>
                <w:szCs w:val="21"/>
                <w:vertAlign w:val="superscript"/>
              </w:rPr>
              <w:t>3</w:t>
            </w:r>
          </w:p>
        </w:tc>
        <w:tc>
          <w:tcPr>
            <w:tcW w:w="473" w:type="pct"/>
            <w:tcBorders>
              <w:top w:val="single" w:color="auto" w:sz="4" w:space="0"/>
              <w:left w:val="single" w:color="auto" w:sz="4" w:space="0"/>
              <w:bottom w:val="single" w:color="auto" w:sz="4" w:space="0"/>
              <w:right w:val="single" w:color="auto" w:sz="4" w:space="0"/>
            </w:tcBorders>
            <w:vAlign w:val="center"/>
          </w:tcPr>
          <w:p w14:paraId="718F106F">
            <w:pPr>
              <w:pStyle w:val="34"/>
              <w:rPr>
                <w:szCs w:val="21"/>
              </w:rPr>
            </w:pPr>
            <w:r>
              <w:rPr>
                <w:szCs w:val="21"/>
              </w:rPr>
              <w:t>131.16</w:t>
            </w:r>
          </w:p>
        </w:tc>
        <w:tc>
          <w:tcPr>
            <w:tcW w:w="2302" w:type="pct"/>
            <w:tcBorders>
              <w:top w:val="single" w:color="auto" w:sz="4" w:space="0"/>
              <w:left w:val="single" w:color="auto" w:sz="4" w:space="0"/>
              <w:bottom w:val="single" w:color="auto" w:sz="4" w:space="0"/>
              <w:right w:val="single" w:color="auto" w:sz="12" w:space="0"/>
            </w:tcBorders>
            <w:vAlign w:val="center"/>
          </w:tcPr>
          <w:p w14:paraId="18766AA9">
            <w:pPr>
              <w:pStyle w:val="34"/>
              <w:rPr>
                <w:szCs w:val="21"/>
              </w:rPr>
            </w:pPr>
            <w:r>
              <w:rPr>
                <w:rFonts w:hint="eastAsia"/>
                <w:szCs w:val="21"/>
              </w:rPr>
              <w:t>含炸礁量</w:t>
            </w:r>
            <w:r>
              <w:rPr>
                <w:szCs w:val="21"/>
              </w:rPr>
              <w:t>3.91</w:t>
            </w:r>
            <w:r>
              <w:rPr>
                <w:rFonts w:hint="eastAsia"/>
                <w:szCs w:val="21"/>
              </w:rPr>
              <w:t>万</w:t>
            </w:r>
            <w:r>
              <w:rPr>
                <w:szCs w:val="21"/>
              </w:rPr>
              <w:t>m</w:t>
            </w:r>
            <w:r>
              <w:rPr>
                <w:szCs w:val="21"/>
                <w:vertAlign w:val="superscript"/>
              </w:rPr>
              <w:t>3</w:t>
            </w:r>
          </w:p>
        </w:tc>
      </w:tr>
      <w:tr w14:paraId="783ACF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583F7517">
            <w:pPr>
              <w:pStyle w:val="34"/>
              <w:rPr>
                <w:szCs w:val="21"/>
              </w:rPr>
            </w:pPr>
            <w:r>
              <w:rPr>
                <w:rFonts w:hint="eastAsia"/>
                <w:szCs w:val="21"/>
              </w:rPr>
              <w:t>8</w:t>
            </w:r>
          </w:p>
        </w:tc>
        <w:tc>
          <w:tcPr>
            <w:tcW w:w="1246" w:type="pct"/>
            <w:tcBorders>
              <w:top w:val="single" w:color="auto" w:sz="4" w:space="0"/>
              <w:left w:val="single" w:color="auto" w:sz="4" w:space="0"/>
              <w:bottom w:val="single" w:color="auto" w:sz="4" w:space="0"/>
              <w:right w:val="single" w:color="auto" w:sz="4" w:space="0"/>
            </w:tcBorders>
            <w:vAlign w:val="center"/>
          </w:tcPr>
          <w:p w14:paraId="157BDEBB">
            <w:pPr>
              <w:pStyle w:val="34"/>
              <w:rPr>
                <w:szCs w:val="21"/>
              </w:rPr>
            </w:pPr>
            <w:r>
              <w:rPr>
                <w:rFonts w:hint="eastAsia"/>
                <w:szCs w:val="21"/>
              </w:rPr>
              <w:t>水工建筑物工程</w:t>
            </w:r>
          </w:p>
        </w:tc>
        <w:tc>
          <w:tcPr>
            <w:tcW w:w="525" w:type="pct"/>
            <w:tcBorders>
              <w:top w:val="single" w:color="auto" w:sz="4" w:space="0"/>
              <w:left w:val="single" w:color="auto" w:sz="4" w:space="0"/>
              <w:bottom w:val="single" w:color="auto" w:sz="4" w:space="0"/>
              <w:right w:val="single" w:color="auto" w:sz="4" w:space="0"/>
            </w:tcBorders>
            <w:vAlign w:val="center"/>
          </w:tcPr>
          <w:p w14:paraId="4C1C6A93">
            <w:pPr>
              <w:pStyle w:val="34"/>
              <w:rPr>
                <w:szCs w:val="21"/>
              </w:rPr>
            </w:pPr>
            <w:r>
              <w:rPr>
                <w:rFonts w:hint="eastAsia"/>
                <w:szCs w:val="21"/>
              </w:rPr>
              <w:t>项</w:t>
            </w:r>
          </w:p>
        </w:tc>
        <w:tc>
          <w:tcPr>
            <w:tcW w:w="473" w:type="pct"/>
            <w:tcBorders>
              <w:top w:val="single" w:color="auto" w:sz="4" w:space="0"/>
              <w:left w:val="single" w:color="auto" w:sz="4" w:space="0"/>
              <w:bottom w:val="single" w:color="auto" w:sz="4" w:space="0"/>
              <w:right w:val="single" w:color="auto" w:sz="4" w:space="0"/>
            </w:tcBorders>
            <w:vAlign w:val="center"/>
          </w:tcPr>
          <w:p w14:paraId="79315D8B">
            <w:pPr>
              <w:pStyle w:val="34"/>
              <w:rPr>
                <w:szCs w:val="21"/>
              </w:rPr>
            </w:pPr>
            <w:r>
              <w:rPr>
                <w:szCs w:val="21"/>
              </w:rPr>
              <w:t>1</w:t>
            </w:r>
          </w:p>
        </w:tc>
        <w:tc>
          <w:tcPr>
            <w:tcW w:w="2302" w:type="pct"/>
            <w:tcBorders>
              <w:top w:val="single" w:color="auto" w:sz="4" w:space="0"/>
              <w:left w:val="single" w:color="auto" w:sz="4" w:space="0"/>
              <w:bottom w:val="single" w:color="auto" w:sz="4" w:space="0"/>
              <w:right w:val="single" w:color="auto" w:sz="12" w:space="0"/>
            </w:tcBorders>
            <w:vAlign w:val="center"/>
          </w:tcPr>
          <w:p w14:paraId="75DE9D05">
            <w:pPr>
              <w:pStyle w:val="34"/>
              <w:rPr>
                <w:szCs w:val="21"/>
              </w:rPr>
            </w:pPr>
            <w:r>
              <w:rPr>
                <w:rFonts w:hint="eastAsia"/>
                <w:szCs w:val="21"/>
              </w:rPr>
              <w:t>附属设施（橡胶护舷、系船柱及钢轨）、后轨道梁</w:t>
            </w:r>
          </w:p>
        </w:tc>
      </w:tr>
      <w:tr w14:paraId="1C71DC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03248C39">
            <w:pPr>
              <w:pStyle w:val="34"/>
              <w:rPr>
                <w:szCs w:val="21"/>
              </w:rPr>
            </w:pPr>
            <w:r>
              <w:rPr>
                <w:rFonts w:hint="eastAsia"/>
                <w:szCs w:val="21"/>
              </w:rPr>
              <w:t>9</w:t>
            </w:r>
          </w:p>
        </w:tc>
        <w:tc>
          <w:tcPr>
            <w:tcW w:w="1246" w:type="pct"/>
            <w:tcBorders>
              <w:top w:val="single" w:color="auto" w:sz="4" w:space="0"/>
              <w:left w:val="single" w:color="auto" w:sz="4" w:space="0"/>
              <w:bottom w:val="single" w:color="auto" w:sz="4" w:space="0"/>
              <w:right w:val="single" w:color="auto" w:sz="4" w:space="0"/>
            </w:tcBorders>
            <w:vAlign w:val="center"/>
          </w:tcPr>
          <w:p w14:paraId="2C240A00">
            <w:pPr>
              <w:pStyle w:val="34"/>
              <w:rPr>
                <w:szCs w:val="21"/>
              </w:rPr>
            </w:pPr>
            <w:r>
              <w:rPr>
                <w:rFonts w:hint="eastAsia"/>
                <w:szCs w:val="21"/>
              </w:rPr>
              <w:t>港区定员</w:t>
            </w:r>
          </w:p>
        </w:tc>
        <w:tc>
          <w:tcPr>
            <w:tcW w:w="525" w:type="pct"/>
            <w:tcBorders>
              <w:top w:val="single" w:color="auto" w:sz="4" w:space="0"/>
              <w:left w:val="single" w:color="auto" w:sz="4" w:space="0"/>
              <w:bottom w:val="single" w:color="auto" w:sz="4" w:space="0"/>
              <w:right w:val="single" w:color="auto" w:sz="4" w:space="0"/>
            </w:tcBorders>
            <w:vAlign w:val="center"/>
          </w:tcPr>
          <w:p w14:paraId="7DA06AAE">
            <w:pPr>
              <w:pStyle w:val="34"/>
              <w:rPr>
                <w:szCs w:val="21"/>
              </w:rPr>
            </w:pPr>
            <w:r>
              <w:rPr>
                <w:rFonts w:hint="eastAsia"/>
                <w:szCs w:val="21"/>
              </w:rPr>
              <w:t>人</w:t>
            </w:r>
          </w:p>
        </w:tc>
        <w:tc>
          <w:tcPr>
            <w:tcW w:w="473" w:type="pct"/>
            <w:tcBorders>
              <w:top w:val="single" w:color="auto" w:sz="4" w:space="0"/>
              <w:left w:val="single" w:color="auto" w:sz="4" w:space="0"/>
              <w:bottom w:val="single" w:color="auto" w:sz="4" w:space="0"/>
              <w:right w:val="single" w:color="auto" w:sz="4" w:space="0"/>
            </w:tcBorders>
            <w:vAlign w:val="center"/>
          </w:tcPr>
          <w:p w14:paraId="0E298D66">
            <w:pPr>
              <w:pStyle w:val="34"/>
              <w:rPr>
                <w:szCs w:val="21"/>
              </w:rPr>
            </w:pPr>
            <w:r>
              <w:rPr>
                <w:szCs w:val="21"/>
              </w:rPr>
              <w:t>98</w:t>
            </w:r>
          </w:p>
        </w:tc>
        <w:tc>
          <w:tcPr>
            <w:tcW w:w="2302" w:type="pct"/>
            <w:tcBorders>
              <w:top w:val="single" w:color="auto" w:sz="4" w:space="0"/>
              <w:left w:val="single" w:color="auto" w:sz="4" w:space="0"/>
              <w:bottom w:val="single" w:color="auto" w:sz="4" w:space="0"/>
              <w:right w:val="single" w:color="auto" w:sz="12" w:space="0"/>
            </w:tcBorders>
            <w:vAlign w:val="center"/>
          </w:tcPr>
          <w:p w14:paraId="6B224304">
            <w:pPr>
              <w:pStyle w:val="34"/>
              <w:rPr>
                <w:szCs w:val="21"/>
              </w:rPr>
            </w:pPr>
          </w:p>
        </w:tc>
      </w:tr>
      <w:bookmarkEnd w:id="206"/>
      <w:tr w14:paraId="045C0F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57307120">
            <w:pPr>
              <w:pStyle w:val="34"/>
              <w:rPr>
                <w:szCs w:val="21"/>
              </w:rPr>
            </w:pPr>
            <w:bookmarkStart w:id="207" w:name="_Toc247517282"/>
            <w:bookmarkStart w:id="208" w:name="_Toc232154428"/>
            <w:bookmarkStart w:id="209" w:name="_Toc160849698"/>
            <w:r>
              <w:rPr>
                <w:rFonts w:hint="eastAsia"/>
                <w:szCs w:val="21"/>
              </w:rPr>
              <w:t>10</w:t>
            </w:r>
          </w:p>
        </w:tc>
        <w:tc>
          <w:tcPr>
            <w:tcW w:w="1246" w:type="pct"/>
            <w:tcBorders>
              <w:top w:val="single" w:color="auto" w:sz="4" w:space="0"/>
              <w:left w:val="single" w:color="auto" w:sz="4" w:space="0"/>
              <w:bottom w:val="single" w:color="auto" w:sz="4" w:space="0"/>
              <w:right w:val="single" w:color="auto" w:sz="4" w:space="0"/>
            </w:tcBorders>
            <w:vAlign w:val="center"/>
          </w:tcPr>
          <w:p w14:paraId="7870AB7E">
            <w:pPr>
              <w:pStyle w:val="34"/>
              <w:rPr>
                <w:szCs w:val="21"/>
              </w:rPr>
            </w:pPr>
            <w:r>
              <w:rPr>
                <w:rFonts w:hint="eastAsia"/>
                <w:szCs w:val="21"/>
              </w:rPr>
              <w:t>码头前停泊水域宽度</w:t>
            </w:r>
          </w:p>
        </w:tc>
        <w:tc>
          <w:tcPr>
            <w:tcW w:w="525" w:type="pct"/>
            <w:tcBorders>
              <w:top w:val="single" w:color="auto" w:sz="4" w:space="0"/>
              <w:left w:val="single" w:color="auto" w:sz="4" w:space="0"/>
              <w:bottom w:val="single" w:color="auto" w:sz="4" w:space="0"/>
              <w:right w:val="single" w:color="auto" w:sz="4" w:space="0"/>
            </w:tcBorders>
            <w:vAlign w:val="center"/>
          </w:tcPr>
          <w:p w14:paraId="156FFCEF">
            <w:pPr>
              <w:pStyle w:val="34"/>
              <w:rPr>
                <w:szCs w:val="21"/>
              </w:rPr>
            </w:pPr>
            <w:r>
              <w:rPr>
                <w:szCs w:val="21"/>
              </w:rPr>
              <w:t>m</w:t>
            </w:r>
          </w:p>
        </w:tc>
        <w:tc>
          <w:tcPr>
            <w:tcW w:w="473" w:type="pct"/>
            <w:tcBorders>
              <w:top w:val="single" w:color="auto" w:sz="4" w:space="0"/>
              <w:left w:val="single" w:color="auto" w:sz="4" w:space="0"/>
              <w:bottom w:val="single" w:color="auto" w:sz="4" w:space="0"/>
              <w:right w:val="single" w:color="auto" w:sz="4" w:space="0"/>
            </w:tcBorders>
            <w:vAlign w:val="center"/>
          </w:tcPr>
          <w:p w14:paraId="04470F8E">
            <w:pPr>
              <w:pStyle w:val="34"/>
              <w:rPr>
                <w:szCs w:val="21"/>
              </w:rPr>
            </w:pPr>
            <w:r>
              <w:rPr>
                <w:szCs w:val="21"/>
              </w:rPr>
              <w:t>39</w:t>
            </w:r>
          </w:p>
        </w:tc>
        <w:tc>
          <w:tcPr>
            <w:tcW w:w="2302" w:type="pct"/>
            <w:tcBorders>
              <w:top w:val="single" w:color="auto" w:sz="4" w:space="0"/>
              <w:left w:val="single" w:color="auto" w:sz="4" w:space="0"/>
              <w:bottom w:val="single" w:color="auto" w:sz="4" w:space="0"/>
              <w:right w:val="single" w:color="auto" w:sz="12" w:space="0"/>
            </w:tcBorders>
            <w:vAlign w:val="center"/>
          </w:tcPr>
          <w:p w14:paraId="352C6CF0">
            <w:pPr>
              <w:pStyle w:val="34"/>
              <w:rPr>
                <w:szCs w:val="21"/>
              </w:rPr>
            </w:pPr>
          </w:p>
        </w:tc>
      </w:tr>
      <w:tr w14:paraId="1EA102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5AC89313">
            <w:pPr>
              <w:pStyle w:val="34"/>
              <w:rPr>
                <w:szCs w:val="21"/>
              </w:rPr>
            </w:pPr>
            <w:r>
              <w:rPr>
                <w:rFonts w:hint="eastAsia"/>
                <w:szCs w:val="21"/>
              </w:rPr>
              <w:t>11</w:t>
            </w:r>
          </w:p>
        </w:tc>
        <w:tc>
          <w:tcPr>
            <w:tcW w:w="1246" w:type="pct"/>
            <w:tcBorders>
              <w:top w:val="single" w:color="auto" w:sz="4" w:space="0"/>
              <w:left w:val="single" w:color="auto" w:sz="4" w:space="0"/>
              <w:bottom w:val="single" w:color="auto" w:sz="4" w:space="0"/>
              <w:right w:val="single" w:color="auto" w:sz="4" w:space="0"/>
            </w:tcBorders>
            <w:vAlign w:val="center"/>
          </w:tcPr>
          <w:p w14:paraId="5BBF2EDF">
            <w:pPr>
              <w:pStyle w:val="34"/>
              <w:rPr>
                <w:szCs w:val="21"/>
              </w:rPr>
            </w:pPr>
            <w:r>
              <w:rPr>
                <w:rFonts w:hint="eastAsia"/>
                <w:szCs w:val="21"/>
              </w:rPr>
              <w:t>码头前停泊水域长度</w:t>
            </w:r>
          </w:p>
        </w:tc>
        <w:tc>
          <w:tcPr>
            <w:tcW w:w="525" w:type="pct"/>
            <w:tcBorders>
              <w:top w:val="single" w:color="auto" w:sz="4" w:space="0"/>
              <w:left w:val="single" w:color="auto" w:sz="4" w:space="0"/>
              <w:bottom w:val="single" w:color="auto" w:sz="4" w:space="0"/>
              <w:right w:val="single" w:color="auto" w:sz="4" w:space="0"/>
            </w:tcBorders>
            <w:vAlign w:val="center"/>
          </w:tcPr>
          <w:p w14:paraId="5075FB3A">
            <w:pPr>
              <w:pStyle w:val="34"/>
              <w:rPr>
                <w:szCs w:val="21"/>
              </w:rPr>
            </w:pPr>
            <w:r>
              <w:rPr>
                <w:szCs w:val="21"/>
              </w:rPr>
              <w:t>m</w:t>
            </w:r>
          </w:p>
        </w:tc>
        <w:tc>
          <w:tcPr>
            <w:tcW w:w="473" w:type="pct"/>
            <w:tcBorders>
              <w:top w:val="single" w:color="auto" w:sz="4" w:space="0"/>
              <w:left w:val="single" w:color="auto" w:sz="4" w:space="0"/>
              <w:bottom w:val="single" w:color="auto" w:sz="4" w:space="0"/>
              <w:right w:val="single" w:color="auto" w:sz="4" w:space="0"/>
            </w:tcBorders>
            <w:vAlign w:val="center"/>
          </w:tcPr>
          <w:p w14:paraId="5933AE38">
            <w:pPr>
              <w:pStyle w:val="34"/>
              <w:rPr>
                <w:szCs w:val="21"/>
              </w:rPr>
            </w:pPr>
            <w:r>
              <w:rPr>
                <w:szCs w:val="21"/>
              </w:rPr>
              <w:t>695</w:t>
            </w:r>
          </w:p>
        </w:tc>
        <w:tc>
          <w:tcPr>
            <w:tcW w:w="2302" w:type="pct"/>
            <w:tcBorders>
              <w:top w:val="single" w:color="auto" w:sz="4" w:space="0"/>
              <w:left w:val="single" w:color="auto" w:sz="4" w:space="0"/>
              <w:bottom w:val="single" w:color="auto" w:sz="4" w:space="0"/>
              <w:right w:val="single" w:color="auto" w:sz="12" w:space="0"/>
            </w:tcBorders>
            <w:vAlign w:val="center"/>
          </w:tcPr>
          <w:p w14:paraId="2EAF857E">
            <w:pPr>
              <w:pStyle w:val="34"/>
              <w:rPr>
                <w:szCs w:val="21"/>
              </w:rPr>
            </w:pPr>
          </w:p>
        </w:tc>
      </w:tr>
    </w:tbl>
    <w:p w14:paraId="6594D948">
      <w:pPr>
        <w:pStyle w:val="5"/>
      </w:pPr>
      <w:r>
        <w:rPr>
          <w:rFonts w:hint="eastAsia"/>
        </w:rPr>
        <w:t>吞吐量</w:t>
      </w:r>
    </w:p>
    <w:p w14:paraId="1A607973">
      <w:pPr>
        <w:adjustRightInd w:val="0"/>
        <w:ind w:firstLine="462"/>
      </w:pPr>
      <w:r>
        <w:rPr>
          <w:rFonts w:hint="eastAsia" w:cs="宋体"/>
          <w:bCs/>
          <w:lang w:bidi="ar"/>
        </w:rPr>
        <w:t>项目拟建</w:t>
      </w:r>
      <w:r>
        <w:rPr>
          <w:bCs/>
          <w:lang w:bidi="ar"/>
        </w:rPr>
        <w:t>5</w:t>
      </w:r>
      <w:r>
        <w:rPr>
          <w:rFonts w:hint="eastAsia" w:cs="宋体"/>
          <w:bCs/>
          <w:lang w:bidi="ar"/>
        </w:rPr>
        <w:t>个</w:t>
      </w:r>
      <w:r>
        <w:rPr>
          <w:bCs/>
          <w:lang w:bidi="ar"/>
        </w:rPr>
        <w:t>5000</w:t>
      </w:r>
      <w:r>
        <w:rPr>
          <w:rFonts w:hint="eastAsia" w:cs="宋体"/>
          <w:bCs/>
          <w:lang w:bidi="ar"/>
        </w:rPr>
        <w:t>吨级集装箱泊位，满足钦州港港域集装箱发展带来的小船泊位集装箱运输需求，本项目吞吐量为</w:t>
      </w:r>
      <w:r>
        <w:rPr>
          <w:bCs/>
          <w:lang w:bidi="ar"/>
        </w:rPr>
        <w:t>60</w:t>
      </w:r>
      <w:r>
        <w:rPr>
          <w:rFonts w:hint="eastAsia" w:cs="宋体"/>
          <w:bCs/>
          <w:lang w:bidi="ar"/>
        </w:rPr>
        <w:t>万</w:t>
      </w:r>
      <w:r>
        <w:rPr>
          <w:bCs/>
          <w:lang w:bidi="ar"/>
        </w:rPr>
        <w:t>TEU</w:t>
      </w:r>
      <w:r>
        <w:rPr>
          <w:rFonts w:hint="eastAsia" w:cs="宋体"/>
          <w:bCs/>
          <w:lang w:bidi="ar"/>
        </w:rPr>
        <w:t>。</w:t>
      </w:r>
    </w:p>
    <w:p w14:paraId="021FDF89">
      <w:pPr>
        <w:pStyle w:val="7"/>
        <w:jc w:val="right"/>
      </w:pPr>
      <w:r>
        <w:rPr>
          <w:rFonts w:hint="eastAsia"/>
        </w:rPr>
        <w:t>项目吞吐量预测及流量流向</w:t>
      </w:r>
      <w:r>
        <w:t xml:space="preserve">         </w:t>
      </w:r>
      <w:r>
        <w:rPr>
          <w:rFonts w:hint="eastAsia"/>
        </w:rPr>
        <w:t>单位：万</w:t>
      </w:r>
      <w:r>
        <w:rPr>
          <w:lang w:bidi="ar"/>
        </w:rPr>
        <w:t>TEU</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83"/>
        <w:gridCol w:w="667"/>
        <w:gridCol w:w="667"/>
        <w:gridCol w:w="667"/>
        <w:gridCol w:w="5644"/>
      </w:tblGrid>
      <w:tr w14:paraId="569307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8" w:type="pct"/>
            <w:tcBorders>
              <w:top w:val="single" w:color="auto" w:sz="12" w:space="0"/>
              <w:left w:val="single" w:color="auto" w:sz="12" w:space="0"/>
              <w:bottom w:val="single" w:color="auto" w:sz="6" w:space="0"/>
              <w:right w:val="single" w:color="auto" w:sz="6" w:space="0"/>
            </w:tcBorders>
            <w:vAlign w:val="center"/>
          </w:tcPr>
          <w:p w14:paraId="1BCF4B6F">
            <w:pPr>
              <w:pStyle w:val="34"/>
            </w:pPr>
            <w:r>
              <w:rPr>
                <w:rFonts w:hint="eastAsia"/>
              </w:rPr>
              <w:t>货种</w:t>
            </w:r>
          </w:p>
        </w:tc>
        <w:tc>
          <w:tcPr>
            <w:tcW w:w="391" w:type="pct"/>
            <w:tcBorders>
              <w:top w:val="single" w:color="auto" w:sz="12" w:space="0"/>
              <w:left w:val="single" w:color="auto" w:sz="6" w:space="0"/>
              <w:bottom w:val="single" w:color="auto" w:sz="6" w:space="0"/>
              <w:right w:val="single" w:color="auto" w:sz="6" w:space="0"/>
            </w:tcBorders>
            <w:vAlign w:val="center"/>
          </w:tcPr>
          <w:p w14:paraId="7A8DB1CC">
            <w:pPr>
              <w:pStyle w:val="34"/>
            </w:pPr>
            <w:r>
              <w:rPr>
                <w:rFonts w:hint="eastAsia"/>
              </w:rPr>
              <w:t>合计</w:t>
            </w:r>
          </w:p>
        </w:tc>
        <w:tc>
          <w:tcPr>
            <w:tcW w:w="391" w:type="pct"/>
            <w:tcBorders>
              <w:top w:val="single" w:color="auto" w:sz="12" w:space="0"/>
              <w:left w:val="single" w:color="auto" w:sz="6" w:space="0"/>
              <w:bottom w:val="single" w:color="auto" w:sz="6" w:space="0"/>
              <w:right w:val="single" w:color="auto" w:sz="6" w:space="0"/>
            </w:tcBorders>
            <w:vAlign w:val="center"/>
          </w:tcPr>
          <w:p w14:paraId="28EAD31A">
            <w:pPr>
              <w:pStyle w:val="34"/>
            </w:pPr>
            <w:r>
              <w:rPr>
                <w:rFonts w:hint="eastAsia"/>
              </w:rPr>
              <w:t>进港</w:t>
            </w:r>
          </w:p>
        </w:tc>
        <w:tc>
          <w:tcPr>
            <w:tcW w:w="391" w:type="pct"/>
            <w:tcBorders>
              <w:top w:val="single" w:color="auto" w:sz="12" w:space="0"/>
              <w:left w:val="single" w:color="auto" w:sz="6" w:space="0"/>
              <w:bottom w:val="single" w:color="auto" w:sz="6" w:space="0"/>
              <w:right w:val="single" w:color="auto" w:sz="6" w:space="0"/>
            </w:tcBorders>
            <w:vAlign w:val="center"/>
          </w:tcPr>
          <w:p w14:paraId="53B146D0">
            <w:pPr>
              <w:pStyle w:val="34"/>
            </w:pPr>
            <w:r>
              <w:rPr>
                <w:rFonts w:hint="eastAsia"/>
              </w:rPr>
              <w:t>出港</w:t>
            </w:r>
          </w:p>
        </w:tc>
        <w:tc>
          <w:tcPr>
            <w:tcW w:w="3309" w:type="pct"/>
            <w:tcBorders>
              <w:top w:val="single" w:color="auto" w:sz="12" w:space="0"/>
              <w:left w:val="single" w:color="auto" w:sz="6" w:space="0"/>
              <w:bottom w:val="single" w:color="auto" w:sz="6" w:space="0"/>
              <w:right w:val="single" w:color="auto" w:sz="12" w:space="0"/>
            </w:tcBorders>
            <w:vAlign w:val="center"/>
          </w:tcPr>
          <w:p w14:paraId="52F68682">
            <w:pPr>
              <w:pStyle w:val="34"/>
            </w:pPr>
            <w:r>
              <w:rPr>
                <w:rFonts w:hint="eastAsia"/>
              </w:rPr>
              <w:t>流向</w:t>
            </w:r>
          </w:p>
        </w:tc>
      </w:tr>
      <w:tr w14:paraId="2CE1AD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8" w:type="pct"/>
            <w:tcBorders>
              <w:top w:val="single" w:color="auto" w:sz="6" w:space="0"/>
              <w:left w:val="single" w:color="auto" w:sz="12" w:space="0"/>
              <w:bottom w:val="single" w:color="auto" w:sz="12" w:space="0"/>
              <w:right w:val="single" w:color="auto" w:sz="6" w:space="0"/>
            </w:tcBorders>
            <w:vAlign w:val="center"/>
          </w:tcPr>
          <w:p w14:paraId="6184ADDD">
            <w:pPr>
              <w:pStyle w:val="34"/>
            </w:pPr>
            <w:r>
              <w:rPr>
                <w:rFonts w:hint="eastAsia"/>
              </w:rPr>
              <w:t>集装箱</w:t>
            </w:r>
          </w:p>
        </w:tc>
        <w:tc>
          <w:tcPr>
            <w:tcW w:w="391" w:type="pct"/>
            <w:tcBorders>
              <w:top w:val="single" w:color="auto" w:sz="6" w:space="0"/>
              <w:left w:val="single" w:color="auto" w:sz="6" w:space="0"/>
              <w:bottom w:val="single" w:color="auto" w:sz="12" w:space="0"/>
              <w:right w:val="single" w:color="auto" w:sz="6" w:space="0"/>
            </w:tcBorders>
            <w:vAlign w:val="center"/>
          </w:tcPr>
          <w:p w14:paraId="3A0ED851">
            <w:pPr>
              <w:pStyle w:val="34"/>
            </w:pPr>
            <w:r>
              <w:t>60</w:t>
            </w:r>
          </w:p>
        </w:tc>
        <w:tc>
          <w:tcPr>
            <w:tcW w:w="391" w:type="pct"/>
            <w:tcBorders>
              <w:top w:val="single" w:color="auto" w:sz="6" w:space="0"/>
              <w:left w:val="single" w:color="auto" w:sz="6" w:space="0"/>
              <w:bottom w:val="single" w:color="auto" w:sz="12" w:space="0"/>
              <w:right w:val="single" w:color="auto" w:sz="6" w:space="0"/>
            </w:tcBorders>
            <w:vAlign w:val="center"/>
          </w:tcPr>
          <w:p w14:paraId="668D7DE1">
            <w:pPr>
              <w:pStyle w:val="34"/>
            </w:pPr>
            <w:r>
              <w:t>30</w:t>
            </w:r>
          </w:p>
        </w:tc>
        <w:tc>
          <w:tcPr>
            <w:tcW w:w="391" w:type="pct"/>
            <w:tcBorders>
              <w:top w:val="single" w:color="auto" w:sz="6" w:space="0"/>
              <w:left w:val="single" w:color="auto" w:sz="6" w:space="0"/>
              <w:bottom w:val="single" w:color="auto" w:sz="12" w:space="0"/>
              <w:right w:val="single" w:color="auto" w:sz="6" w:space="0"/>
            </w:tcBorders>
            <w:vAlign w:val="center"/>
          </w:tcPr>
          <w:p w14:paraId="5D231480">
            <w:pPr>
              <w:pStyle w:val="34"/>
            </w:pPr>
            <w:r>
              <w:t>30</w:t>
            </w:r>
          </w:p>
        </w:tc>
        <w:tc>
          <w:tcPr>
            <w:tcW w:w="3309" w:type="pct"/>
            <w:tcBorders>
              <w:top w:val="single" w:color="auto" w:sz="6" w:space="0"/>
              <w:left w:val="single" w:color="auto" w:sz="6" w:space="0"/>
              <w:bottom w:val="single" w:color="auto" w:sz="12" w:space="0"/>
              <w:right w:val="single" w:color="auto" w:sz="12" w:space="0"/>
            </w:tcBorders>
            <w:vAlign w:val="center"/>
          </w:tcPr>
          <w:p w14:paraId="7750E8FF">
            <w:pPr>
              <w:pStyle w:val="34"/>
              <w:jc w:val="left"/>
            </w:pPr>
            <w:r>
              <w:rPr>
                <w:rFonts w:hint="eastAsia"/>
              </w:rPr>
              <w:t>1.经钦州港域中转的外贸箱量主要运往东南亚等近洋；</w:t>
            </w:r>
          </w:p>
          <w:p w14:paraId="6FB98DC7">
            <w:pPr>
              <w:pStyle w:val="34"/>
              <w:jc w:val="left"/>
            </w:pPr>
            <w:r>
              <w:rPr>
                <w:rFonts w:hint="eastAsia"/>
              </w:rPr>
              <w:t>2.经钦州港域中转的内贸箱量主要运往贵港、 南宁、 百色、来宾等内河港口与海运大泊位的联运</w:t>
            </w:r>
          </w:p>
          <w:p w14:paraId="3C8102E1">
            <w:pPr>
              <w:pStyle w:val="34"/>
              <w:jc w:val="left"/>
            </w:pPr>
            <w:r>
              <w:rPr>
                <w:rFonts w:hint="eastAsia"/>
              </w:rPr>
              <w:t>3.从上游直达钦州港域的内贸箱量</w:t>
            </w:r>
          </w:p>
          <w:p w14:paraId="3C5847AE">
            <w:pPr>
              <w:pStyle w:val="34"/>
              <w:jc w:val="left"/>
            </w:pPr>
            <w:r>
              <w:rPr>
                <w:rFonts w:hint="eastAsia"/>
              </w:rPr>
              <w:t>4.往来三港域的穿梭巴士量</w:t>
            </w:r>
          </w:p>
          <w:p w14:paraId="21C2C52A">
            <w:pPr>
              <w:pStyle w:val="34"/>
              <w:jc w:val="left"/>
            </w:pPr>
            <w:r>
              <w:rPr>
                <w:rFonts w:hint="eastAsia"/>
              </w:rPr>
              <w:t>5.往来近洋、 港澳的外贸航线量</w:t>
            </w:r>
          </w:p>
          <w:p w14:paraId="25D664B1">
            <w:pPr>
              <w:pStyle w:val="34"/>
              <w:jc w:val="left"/>
            </w:pPr>
            <w:r>
              <w:rPr>
                <w:rFonts w:hint="eastAsia"/>
              </w:rPr>
              <w:t>6.国内短距内贸航线量</w:t>
            </w:r>
          </w:p>
        </w:tc>
      </w:tr>
    </w:tbl>
    <w:p w14:paraId="68C026A5">
      <w:pPr>
        <w:pStyle w:val="7"/>
        <w:jc w:val="right"/>
      </w:pPr>
      <w:r>
        <w:rPr>
          <w:rFonts w:hint="eastAsia"/>
        </w:rPr>
        <w:t>项目集疏运量预测</w:t>
      </w:r>
      <w:r>
        <w:t xml:space="preserve">              </w:t>
      </w:r>
      <w:r>
        <w:rPr>
          <w:rFonts w:hint="eastAsia"/>
        </w:rPr>
        <w:t>单位：万</w:t>
      </w:r>
      <w:r>
        <w:t>TEU</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18"/>
        <w:gridCol w:w="1216"/>
        <w:gridCol w:w="1216"/>
        <w:gridCol w:w="1223"/>
        <w:gridCol w:w="1216"/>
        <w:gridCol w:w="1216"/>
        <w:gridCol w:w="1223"/>
      </w:tblGrid>
      <w:tr w14:paraId="3A521E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714" w:type="pct"/>
            <w:vMerge w:val="restart"/>
            <w:tcBorders>
              <w:top w:val="single" w:color="auto" w:sz="12" w:space="0"/>
              <w:left w:val="single" w:color="auto" w:sz="12" w:space="0"/>
              <w:bottom w:val="single" w:color="auto" w:sz="6" w:space="0"/>
              <w:right w:val="single" w:color="auto" w:sz="6" w:space="0"/>
            </w:tcBorders>
            <w:vAlign w:val="center"/>
          </w:tcPr>
          <w:p w14:paraId="2E978333">
            <w:pPr>
              <w:pStyle w:val="34"/>
            </w:pPr>
            <w:r>
              <w:rPr>
                <w:rFonts w:hint="eastAsia"/>
              </w:rPr>
              <w:t>合计</w:t>
            </w:r>
          </w:p>
        </w:tc>
        <w:tc>
          <w:tcPr>
            <w:tcW w:w="2143" w:type="pct"/>
            <w:gridSpan w:val="3"/>
            <w:tcBorders>
              <w:top w:val="single" w:color="auto" w:sz="12" w:space="0"/>
              <w:left w:val="single" w:color="auto" w:sz="6" w:space="0"/>
              <w:bottom w:val="single" w:color="auto" w:sz="6" w:space="0"/>
              <w:right w:val="single" w:color="auto" w:sz="6" w:space="0"/>
            </w:tcBorders>
            <w:vAlign w:val="center"/>
          </w:tcPr>
          <w:p w14:paraId="05910DA7">
            <w:pPr>
              <w:pStyle w:val="34"/>
            </w:pPr>
            <w:r>
              <w:rPr>
                <w:rFonts w:hint="eastAsia"/>
              </w:rPr>
              <w:t>集运</w:t>
            </w:r>
          </w:p>
        </w:tc>
        <w:tc>
          <w:tcPr>
            <w:tcW w:w="2143" w:type="pct"/>
            <w:gridSpan w:val="3"/>
            <w:tcBorders>
              <w:top w:val="single" w:color="auto" w:sz="12" w:space="0"/>
              <w:left w:val="single" w:color="auto" w:sz="6" w:space="0"/>
              <w:bottom w:val="single" w:color="auto" w:sz="6" w:space="0"/>
              <w:right w:val="single" w:color="auto" w:sz="12" w:space="0"/>
            </w:tcBorders>
            <w:vAlign w:val="center"/>
          </w:tcPr>
          <w:p w14:paraId="28C57625">
            <w:pPr>
              <w:pStyle w:val="34"/>
            </w:pPr>
            <w:r>
              <w:rPr>
                <w:rFonts w:hint="eastAsia"/>
              </w:rPr>
              <w:t>疏运</w:t>
            </w:r>
          </w:p>
        </w:tc>
      </w:tr>
      <w:tr w14:paraId="789478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4" w:type="pct"/>
            <w:vMerge w:val="continue"/>
            <w:tcBorders>
              <w:top w:val="single" w:color="auto" w:sz="12" w:space="0"/>
              <w:left w:val="single" w:color="auto" w:sz="12" w:space="0"/>
              <w:bottom w:val="single" w:color="auto" w:sz="6" w:space="0"/>
              <w:right w:val="single" w:color="auto" w:sz="6" w:space="0"/>
            </w:tcBorders>
            <w:vAlign w:val="center"/>
          </w:tcPr>
          <w:p w14:paraId="7B79D18C">
            <w:pPr>
              <w:pStyle w:val="34"/>
              <w:rPr>
                <w:sz w:val="20"/>
                <w:szCs w:val="20"/>
              </w:rPr>
            </w:pPr>
          </w:p>
        </w:tc>
        <w:tc>
          <w:tcPr>
            <w:tcW w:w="713" w:type="pct"/>
            <w:tcBorders>
              <w:top w:val="single" w:color="auto" w:sz="6" w:space="0"/>
              <w:left w:val="single" w:color="auto" w:sz="6" w:space="0"/>
              <w:bottom w:val="single" w:color="auto" w:sz="6" w:space="0"/>
              <w:right w:val="single" w:color="auto" w:sz="6" w:space="0"/>
            </w:tcBorders>
            <w:vAlign w:val="center"/>
          </w:tcPr>
          <w:p w14:paraId="0B68EB70">
            <w:pPr>
              <w:pStyle w:val="34"/>
            </w:pPr>
            <w:r>
              <w:rPr>
                <w:rFonts w:hint="eastAsia"/>
              </w:rPr>
              <w:t>小计</w:t>
            </w:r>
          </w:p>
        </w:tc>
        <w:tc>
          <w:tcPr>
            <w:tcW w:w="713" w:type="pct"/>
            <w:tcBorders>
              <w:top w:val="single" w:color="auto" w:sz="6" w:space="0"/>
              <w:left w:val="single" w:color="auto" w:sz="6" w:space="0"/>
              <w:bottom w:val="single" w:color="auto" w:sz="6" w:space="0"/>
              <w:right w:val="single" w:color="auto" w:sz="6" w:space="0"/>
            </w:tcBorders>
            <w:vAlign w:val="center"/>
          </w:tcPr>
          <w:p w14:paraId="531CD9AA">
            <w:pPr>
              <w:pStyle w:val="34"/>
            </w:pPr>
            <w:r>
              <w:rPr>
                <w:rFonts w:hint="eastAsia"/>
              </w:rPr>
              <w:t>水运</w:t>
            </w:r>
          </w:p>
        </w:tc>
        <w:tc>
          <w:tcPr>
            <w:tcW w:w="717" w:type="pct"/>
            <w:tcBorders>
              <w:top w:val="single" w:color="auto" w:sz="6" w:space="0"/>
              <w:left w:val="single" w:color="auto" w:sz="6" w:space="0"/>
              <w:bottom w:val="single" w:color="auto" w:sz="6" w:space="0"/>
              <w:right w:val="single" w:color="auto" w:sz="6" w:space="0"/>
            </w:tcBorders>
            <w:vAlign w:val="center"/>
          </w:tcPr>
          <w:p w14:paraId="14D72E85">
            <w:pPr>
              <w:pStyle w:val="34"/>
            </w:pPr>
            <w:r>
              <w:rPr>
                <w:rFonts w:hint="eastAsia"/>
              </w:rPr>
              <w:t>其他</w:t>
            </w:r>
          </w:p>
        </w:tc>
        <w:tc>
          <w:tcPr>
            <w:tcW w:w="713" w:type="pct"/>
            <w:tcBorders>
              <w:top w:val="single" w:color="auto" w:sz="6" w:space="0"/>
              <w:left w:val="single" w:color="auto" w:sz="6" w:space="0"/>
              <w:bottom w:val="single" w:color="auto" w:sz="6" w:space="0"/>
              <w:right w:val="single" w:color="auto" w:sz="6" w:space="0"/>
            </w:tcBorders>
            <w:vAlign w:val="center"/>
          </w:tcPr>
          <w:p w14:paraId="1E205D0A">
            <w:pPr>
              <w:pStyle w:val="34"/>
            </w:pPr>
            <w:r>
              <w:rPr>
                <w:rFonts w:hint="eastAsia"/>
              </w:rPr>
              <w:t>小计</w:t>
            </w:r>
          </w:p>
        </w:tc>
        <w:tc>
          <w:tcPr>
            <w:tcW w:w="713" w:type="pct"/>
            <w:tcBorders>
              <w:top w:val="single" w:color="auto" w:sz="6" w:space="0"/>
              <w:left w:val="single" w:color="auto" w:sz="6" w:space="0"/>
              <w:bottom w:val="single" w:color="auto" w:sz="6" w:space="0"/>
              <w:right w:val="single" w:color="auto" w:sz="6" w:space="0"/>
            </w:tcBorders>
            <w:vAlign w:val="center"/>
          </w:tcPr>
          <w:p w14:paraId="5A9E0F5D">
            <w:pPr>
              <w:pStyle w:val="34"/>
            </w:pPr>
            <w:r>
              <w:rPr>
                <w:rFonts w:hint="eastAsia"/>
              </w:rPr>
              <w:t>水运</w:t>
            </w:r>
          </w:p>
        </w:tc>
        <w:tc>
          <w:tcPr>
            <w:tcW w:w="717" w:type="pct"/>
            <w:tcBorders>
              <w:top w:val="single" w:color="auto" w:sz="6" w:space="0"/>
              <w:left w:val="single" w:color="auto" w:sz="6" w:space="0"/>
              <w:bottom w:val="single" w:color="auto" w:sz="6" w:space="0"/>
              <w:right w:val="single" w:color="auto" w:sz="12" w:space="0"/>
            </w:tcBorders>
            <w:vAlign w:val="center"/>
          </w:tcPr>
          <w:p w14:paraId="7CC04E9B">
            <w:pPr>
              <w:pStyle w:val="34"/>
            </w:pPr>
            <w:r>
              <w:rPr>
                <w:rFonts w:hint="eastAsia"/>
              </w:rPr>
              <w:t>其他</w:t>
            </w:r>
          </w:p>
        </w:tc>
      </w:tr>
      <w:tr w14:paraId="6684FD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4" w:type="pct"/>
            <w:tcBorders>
              <w:top w:val="single" w:color="auto" w:sz="6" w:space="0"/>
              <w:left w:val="single" w:color="auto" w:sz="12" w:space="0"/>
              <w:bottom w:val="single" w:color="auto" w:sz="12" w:space="0"/>
              <w:right w:val="single" w:color="auto" w:sz="6" w:space="0"/>
            </w:tcBorders>
            <w:vAlign w:val="center"/>
          </w:tcPr>
          <w:p w14:paraId="72E98C68">
            <w:pPr>
              <w:pStyle w:val="34"/>
            </w:pPr>
            <w:r>
              <w:t>120</w:t>
            </w:r>
          </w:p>
        </w:tc>
        <w:tc>
          <w:tcPr>
            <w:tcW w:w="713" w:type="pct"/>
            <w:tcBorders>
              <w:top w:val="single" w:color="auto" w:sz="6" w:space="0"/>
              <w:left w:val="single" w:color="auto" w:sz="6" w:space="0"/>
              <w:bottom w:val="single" w:color="auto" w:sz="12" w:space="0"/>
              <w:right w:val="single" w:color="auto" w:sz="6" w:space="0"/>
            </w:tcBorders>
            <w:vAlign w:val="center"/>
          </w:tcPr>
          <w:p w14:paraId="04BC5B36">
            <w:pPr>
              <w:pStyle w:val="34"/>
            </w:pPr>
            <w:r>
              <w:t>60</w:t>
            </w:r>
          </w:p>
        </w:tc>
        <w:tc>
          <w:tcPr>
            <w:tcW w:w="713" w:type="pct"/>
            <w:tcBorders>
              <w:top w:val="single" w:color="auto" w:sz="6" w:space="0"/>
              <w:left w:val="single" w:color="auto" w:sz="6" w:space="0"/>
              <w:bottom w:val="single" w:color="auto" w:sz="12" w:space="0"/>
              <w:right w:val="single" w:color="auto" w:sz="6" w:space="0"/>
            </w:tcBorders>
            <w:vAlign w:val="center"/>
          </w:tcPr>
          <w:p w14:paraId="4903C99C">
            <w:pPr>
              <w:pStyle w:val="34"/>
            </w:pPr>
            <w:r>
              <w:t>30</w:t>
            </w:r>
          </w:p>
        </w:tc>
        <w:tc>
          <w:tcPr>
            <w:tcW w:w="717" w:type="pct"/>
            <w:tcBorders>
              <w:top w:val="single" w:color="auto" w:sz="6" w:space="0"/>
              <w:left w:val="single" w:color="auto" w:sz="6" w:space="0"/>
              <w:bottom w:val="single" w:color="auto" w:sz="12" w:space="0"/>
              <w:right w:val="single" w:color="auto" w:sz="6" w:space="0"/>
            </w:tcBorders>
            <w:vAlign w:val="center"/>
          </w:tcPr>
          <w:p w14:paraId="315A38D8">
            <w:pPr>
              <w:pStyle w:val="34"/>
            </w:pPr>
            <w:r>
              <w:t>30</w:t>
            </w:r>
          </w:p>
        </w:tc>
        <w:tc>
          <w:tcPr>
            <w:tcW w:w="713" w:type="pct"/>
            <w:tcBorders>
              <w:top w:val="single" w:color="auto" w:sz="6" w:space="0"/>
              <w:left w:val="single" w:color="auto" w:sz="6" w:space="0"/>
              <w:bottom w:val="single" w:color="auto" w:sz="12" w:space="0"/>
              <w:right w:val="single" w:color="auto" w:sz="6" w:space="0"/>
            </w:tcBorders>
            <w:vAlign w:val="center"/>
          </w:tcPr>
          <w:p w14:paraId="6D4381C5">
            <w:pPr>
              <w:pStyle w:val="34"/>
            </w:pPr>
            <w:r>
              <w:t>60</w:t>
            </w:r>
          </w:p>
        </w:tc>
        <w:tc>
          <w:tcPr>
            <w:tcW w:w="713" w:type="pct"/>
            <w:tcBorders>
              <w:top w:val="single" w:color="auto" w:sz="6" w:space="0"/>
              <w:left w:val="single" w:color="auto" w:sz="6" w:space="0"/>
              <w:bottom w:val="single" w:color="auto" w:sz="12" w:space="0"/>
              <w:right w:val="single" w:color="auto" w:sz="6" w:space="0"/>
            </w:tcBorders>
            <w:vAlign w:val="center"/>
          </w:tcPr>
          <w:p w14:paraId="51D65176">
            <w:pPr>
              <w:pStyle w:val="34"/>
            </w:pPr>
            <w:r>
              <w:t>30</w:t>
            </w:r>
          </w:p>
        </w:tc>
        <w:tc>
          <w:tcPr>
            <w:tcW w:w="717" w:type="pct"/>
            <w:tcBorders>
              <w:top w:val="single" w:color="auto" w:sz="6" w:space="0"/>
              <w:left w:val="single" w:color="auto" w:sz="6" w:space="0"/>
              <w:bottom w:val="single" w:color="auto" w:sz="12" w:space="0"/>
              <w:right w:val="single" w:color="auto" w:sz="12" w:space="0"/>
            </w:tcBorders>
            <w:vAlign w:val="center"/>
          </w:tcPr>
          <w:p w14:paraId="25FFEF1D">
            <w:pPr>
              <w:pStyle w:val="34"/>
            </w:pPr>
            <w:r>
              <w:t>30</w:t>
            </w:r>
          </w:p>
        </w:tc>
      </w:tr>
    </w:tbl>
    <w:p w14:paraId="585121C3">
      <w:pPr>
        <w:ind w:firstLine="462"/>
      </w:pPr>
      <w:r>
        <w:rPr>
          <w:rFonts w:hint="eastAsia"/>
        </w:rPr>
        <w:t>结合钦州港危险货物集装箱运输的发展需求，预测项目危险货物集装箱占本项目</w:t>
      </w:r>
      <w:bookmarkStart w:id="210" w:name="OLE_LINK229"/>
      <w:r>
        <w:rPr>
          <w:rFonts w:hint="eastAsia"/>
        </w:rPr>
        <w:t>吞吐量的1.2%，约7200TEU。</w:t>
      </w:r>
      <w:bookmarkEnd w:id="210"/>
      <w:r>
        <w:rPr>
          <w:rFonts w:hint="eastAsia"/>
        </w:rPr>
        <w:t>其中装卸</w:t>
      </w:r>
      <w:bookmarkStart w:id="211" w:name="OLE_LINK228"/>
      <w:r>
        <w:rPr>
          <w:rFonts w:hint="eastAsia"/>
        </w:rPr>
        <w:t>危险货物种类需求包括：第2.1项、第2.2项、第3类（不含退敏爆炸品）、第4.1项（不含退敏爆炸品）、第4.2项、第4.3项、第5.1项、第5.2项、第6.1项（不含剧毒品）、第8类、第9类。</w:t>
      </w:r>
      <w:bookmarkEnd w:id="211"/>
    </w:p>
    <w:p w14:paraId="1709B29D">
      <w:pPr>
        <w:pStyle w:val="6"/>
      </w:pPr>
      <w:r>
        <w:rPr>
          <w:rFonts w:hint="eastAsia"/>
        </w:rPr>
        <w:t>设计船型</w:t>
      </w:r>
    </w:p>
    <w:p w14:paraId="6A15DE4A">
      <w:pPr>
        <w:adjustRightInd w:val="0"/>
        <w:ind w:firstLine="462"/>
      </w:pPr>
      <w:r>
        <w:rPr>
          <w:rFonts w:hint="eastAsia" w:cs="宋体"/>
          <w:bCs/>
          <w:lang w:bidi="ar"/>
        </w:rPr>
        <w:t>项目位于钦州港域大榄坪港区大榄坪南作业区平陆运河江海联运区内，集装箱主要为贵港、南宁、百色、来宾等内河港口与海运大泊位的联运，以及满足穿梭巴士内支线运输靠泊需求。基于项目相关货种流量流向，结合平陆运河江海联运港区布局，预测项目到港船型为</w:t>
      </w:r>
      <w:r>
        <w:rPr>
          <w:bCs/>
          <w:lang w:bidi="ar"/>
        </w:rPr>
        <w:t>5000</w:t>
      </w:r>
      <w:r>
        <w:rPr>
          <w:rFonts w:hint="eastAsia" w:cs="宋体"/>
          <w:bCs/>
          <w:lang w:bidi="ar"/>
        </w:rPr>
        <w:t>吨级及以下集装箱船。</w:t>
      </w:r>
    </w:p>
    <w:p w14:paraId="63FDB1FE">
      <w:pPr>
        <w:pStyle w:val="7"/>
      </w:pPr>
      <w:r>
        <w:rPr>
          <w:rFonts w:hint="eastAsia"/>
        </w:rPr>
        <w:t>设计代表船型</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137"/>
        <w:gridCol w:w="1070"/>
        <w:gridCol w:w="1078"/>
        <w:gridCol w:w="967"/>
        <w:gridCol w:w="1262"/>
        <w:gridCol w:w="828"/>
      </w:tblGrid>
      <w:tr w14:paraId="26A5A6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tcMar>
              <w:left w:w="0" w:type="dxa"/>
              <w:right w:w="0" w:type="dxa"/>
            </w:tcMar>
            <w:vAlign w:val="center"/>
          </w:tcPr>
          <w:p w14:paraId="47A25EE8">
            <w:pPr>
              <w:pStyle w:val="34"/>
              <w:rPr>
                <w:szCs w:val="21"/>
              </w:rPr>
            </w:pPr>
            <w:r>
              <w:rPr>
                <w:szCs w:val="21"/>
              </w:rPr>
              <w:t>船型</w:t>
            </w:r>
          </w:p>
        </w:tc>
        <w:tc>
          <w:tcPr>
            <w:tcW w:w="0" w:type="auto"/>
            <w:tcMar>
              <w:left w:w="0" w:type="dxa"/>
              <w:right w:w="0" w:type="dxa"/>
            </w:tcMar>
            <w:vAlign w:val="center"/>
          </w:tcPr>
          <w:p w14:paraId="3B1FC685">
            <w:pPr>
              <w:pStyle w:val="34"/>
              <w:rPr>
                <w:szCs w:val="21"/>
              </w:rPr>
            </w:pPr>
            <w:r>
              <w:rPr>
                <w:szCs w:val="21"/>
              </w:rPr>
              <w:t>总长L（m）</w:t>
            </w:r>
          </w:p>
        </w:tc>
        <w:tc>
          <w:tcPr>
            <w:tcW w:w="0" w:type="auto"/>
            <w:tcMar>
              <w:left w:w="0" w:type="dxa"/>
              <w:right w:w="0" w:type="dxa"/>
            </w:tcMar>
            <w:vAlign w:val="center"/>
          </w:tcPr>
          <w:p w14:paraId="4D0FA6CB">
            <w:pPr>
              <w:pStyle w:val="34"/>
              <w:rPr>
                <w:szCs w:val="21"/>
              </w:rPr>
            </w:pPr>
            <w:r>
              <w:rPr>
                <w:szCs w:val="21"/>
              </w:rPr>
              <w:t>型宽B（m）</w:t>
            </w:r>
          </w:p>
        </w:tc>
        <w:tc>
          <w:tcPr>
            <w:tcW w:w="0" w:type="auto"/>
            <w:tcMar>
              <w:left w:w="0" w:type="dxa"/>
              <w:right w:w="0" w:type="dxa"/>
            </w:tcMar>
            <w:vAlign w:val="center"/>
          </w:tcPr>
          <w:p w14:paraId="6C7EA8B6">
            <w:pPr>
              <w:pStyle w:val="34"/>
              <w:rPr>
                <w:szCs w:val="21"/>
              </w:rPr>
            </w:pPr>
            <w:r>
              <w:rPr>
                <w:szCs w:val="21"/>
              </w:rPr>
              <w:t>型深H（m）</w:t>
            </w:r>
          </w:p>
        </w:tc>
        <w:tc>
          <w:tcPr>
            <w:tcW w:w="0" w:type="auto"/>
            <w:tcMar>
              <w:left w:w="0" w:type="dxa"/>
              <w:right w:w="0" w:type="dxa"/>
            </w:tcMar>
            <w:vAlign w:val="center"/>
          </w:tcPr>
          <w:p w14:paraId="521B4EB1">
            <w:pPr>
              <w:pStyle w:val="34"/>
              <w:rPr>
                <w:szCs w:val="21"/>
              </w:rPr>
            </w:pPr>
            <w:r>
              <w:rPr>
                <w:szCs w:val="21"/>
              </w:rPr>
              <w:t>满载吃水T（m）</w:t>
            </w:r>
          </w:p>
        </w:tc>
        <w:tc>
          <w:tcPr>
            <w:tcW w:w="0" w:type="auto"/>
            <w:tcMar>
              <w:left w:w="0" w:type="dxa"/>
              <w:right w:w="0" w:type="dxa"/>
            </w:tcMar>
            <w:vAlign w:val="center"/>
          </w:tcPr>
          <w:p w14:paraId="7CA6D0D0">
            <w:pPr>
              <w:pStyle w:val="34"/>
              <w:rPr>
                <w:szCs w:val="21"/>
              </w:rPr>
            </w:pPr>
            <w:r>
              <w:rPr>
                <w:szCs w:val="21"/>
              </w:rPr>
              <w:t>备注</w:t>
            </w:r>
          </w:p>
        </w:tc>
      </w:tr>
      <w:tr w14:paraId="026EC1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3BF9645E">
            <w:pPr>
              <w:pStyle w:val="34"/>
              <w:rPr>
                <w:szCs w:val="21"/>
              </w:rPr>
            </w:pPr>
            <w:r>
              <w:rPr>
                <w:szCs w:val="21"/>
              </w:rPr>
              <w:t xml:space="preserve">70TEU </w:t>
            </w:r>
          </w:p>
        </w:tc>
        <w:tc>
          <w:tcPr>
            <w:tcW w:w="0" w:type="auto"/>
            <w:noWrap/>
            <w:tcMar>
              <w:left w:w="0" w:type="dxa"/>
              <w:right w:w="0" w:type="dxa"/>
            </w:tcMar>
            <w:vAlign w:val="center"/>
          </w:tcPr>
          <w:p w14:paraId="698C323A">
            <w:pPr>
              <w:pStyle w:val="34"/>
              <w:rPr>
                <w:szCs w:val="21"/>
              </w:rPr>
            </w:pPr>
            <w:r>
              <w:rPr>
                <w:szCs w:val="21"/>
              </w:rPr>
              <w:t xml:space="preserve">54.0～60.0 </w:t>
            </w:r>
          </w:p>
        </w:tc>
        <w:tc>
          <w:tcPr>
            <w:tcW w:w="0" w:type="auto"/>
            <w:noWrap/>
            <w:tcMar>
              <w:left w:w="0" w:type="dxa"/>
              <w:right w:w="0" w:type="dxa"/>
            </w:tcMar>
            <w:vAlign w:val="center"/>
          </w:tcPr>
          <w:p w14:paraId="426FD13B">
            <w:pPr>
              <w:pStyle w:val="34"/>
              <w:rPr>
                <w:szCs w:val="21"/>
              </w:rPr>
            </w:pPr>
            <w:r>
              <w:rPr>
                <w:szCs w:val="21"/>
              </w:rPr>
              <w:t xml:space="preserve">10.8～11.0 </w:t>
            </w:r>
          </w:p>
        </w:tc>
        <w:tc>
          <w:tcPr>
            <w:tcW w:w="0" w:type="auto"/>
            <w:noWrap/>
            <w:tcMar>
              <w:left w:w="0" w:type="dxa"/>
              <w:right w:w="0" w:type="dxa"/>
            </w:tcMar>
            <w:vAlign w:val="center"/>
          </w:tcPr>
          <w:p w14:paraId="56BAAF6E">
            <w:pPr>
              <w:pStyle w:val="34"/>
              <w:rPr>
                <w:szCs w:val="21"/>
              </w:rPr>
            </w:pPr>
          </w:p>
        </w:tc>
        <w:tc>
          <w:tcPr>
            <w:tcW w:w="0" w:type="auto"/>
            <w:noWrap/>
            <w:tcMar>
              <w:left w:w="0" w:type="dxa"/>
              <w:right w:w="0" w:type="dxa"/>
            </w:tcMar>
            <w:vAlign w:val="center"/>
          </w:tcPr>
          <w:p w14:paraId="52E8F77C">
            <w:pPr>
              <w:pStyle w:val="34"/>
              <w:rPr>
                <w:szCs w:val="21"/>
              </w:rPr>
            </w:pPr>
            <w:r>
              <w:rPr>
                <w:szCs w:val="21"/>
              </w:rPr>
              <w:t xml:space="preserve">2.4～3.0 </w:t>
            </w:r>
          </w:p>
        </w:tc>
        <w:tc>
          <w:tcPr>
            <w:tcW w:w="0" w:type="auto"/>
            <w:noWrap/>
            <w:tcMar>
              <w:left w:w="0" w:type="dxa"/>
              <w:right w:w="0" w:type="dxa"/>
            </w:tcMar>
            <w:vAlign w:val="center"/>
          </w:tcPr>
          <w:p w14:paraId="4E6B38CC">
            <w:pPr>
              <w:pStyle w:val="34"/>
              <w:rPr>
                <w:szCs w:val="21"/>
              </w:rPr>
            </w:pPr>
            <w:r>
              <w:rPr>
                <w:szCs w:val="21"/>
              </w:rPr>
              <w:t>兼顾船型</w:t>
            </w:r>
          </w:p>
        </w:tc>
      </w:tr>
      <w:tr w14:paraId="1ACB8C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6DFE5758">
            <w:pPr>
              <w:pStyle w:val="34"/>
              <w:rPr>
                <w:szCs w:val="21"/>
              </w:rPr>
            </w:pPr>
            <w:r>
              <w:rPr>
                <w:szCs w:val="21"/>
              </w:rPr>
              <w:t xml:space="preserve">160TEU </w:t>
            </w:r>
          </w:p>
        </w:tc>
        <w:tc>
          <w:tcPr>
            <w:tcW w:w="0" w:type="auto"/>
            <w:noWrap/>
            <w:tcMar>
              <w:left w:w="0" w:type="dxa"/>
              <w:right w:w="0" w:type="dxa"/>
            </w:tcMar>
            <w:vAlign w:val="center"/>
          </w:tcPr>
          <w:p w14:paraId="5169BD63">
            <w:pPr>
              <w:pStyle w:val="34"/>
              <w:rPr>
                <w:szCs w:val="21"/>
              </w:rPr>
            </w:pPr>
            <w:r>
              <w:rPr>
                <w:szCs w:val="21"/>
              </w:rPr>
              <w:t xml:space="preserve">68.0～74.0 </w:t>
            </w:r>
          </w:p>
        </w:tc>
        <w:tc>
          <w:tcPr>
            <w:tcW w:w="0" w:type="auto"/>
            <w:noWrap/>
            <w:tcMar>
              <w:left w:w="0" w:type="dxa"/>
              <w:right w:w="0" w:type="dxa"/>
            </w:tcMar>
            <w:vAlign w:val="center"/>
          </w:tcPr>
          <w:p w14:paraId="60935774">
            <w:pPr>
              <w:pStyle w:val="34"/>
              <w:rPr>
                <w:szCs w:val="21"/>
              </w:rPr>
            </w:pPr>
            <w:r>
              <w:rPr>
                <w:szCs w:val="21"/>
              </w:rPr>
              <w:t xml:space="preserve">13.8～14.0 </w:t>
            </w:r>
          </w:p>
        </w:tc>
        <w:tc>
          <w:tcPr>
            <w:tcW w:w="0" w:type="auto"/>
            <w:noWrap/>
            <w:tcMar>
              <w:left w:w="0" w:type="dxa"/>
              <w:right w:w="0" w:type="dxa"/>
            </w:tcMar>
            <w:vAlign w:val="center"/>
          </w:tcPr>
          <w:p w14:paraId="0F8EEAD7">
            <w:pPr>
              <w:pStyle w:val="34"/>
              <w:rPr>
                <w:szCs w:val="21"/>
              </w:rPr>
            </w:pPr>
          </w:p>
        </w:tc>
        <w:tc>
          <w:tcPr>
            <w:tcW w:w="0" w:type="auto"/>
            <w:noWrap/>
            <w:tcMar>
              <w:left w:w="0" w:type="dxa"/>
              <w:right w:w="0" w:type="dxa"/>
            </w:tcMar>
            <w:vAlign w:val="center"/>
          </w:tcPr>
          <w:p w14:paraId="78D3EA95">
            <w:pPr>
              <w:pStyle w:val="34"/>
              <w:rPr>
                <w:szCs w:val="21"/>
              </w:rPr>
            </w:pPr>
            <w:r>
              <w:rPr>
                <w:szCs w:val="21"/>
              </w:rPr>
              <w:t xml:space="preserve">3.0～3.4 </w:t>
            </w:r>
          </w:p>
        </w:tc>
        <w:tc>
          <w:tcPr>
            <w:tcW w:w="0" w:type="auto"/>
            <w:noWrap/>
            <w:tcMar>
              <w:left w:w="0" w:type="dxa"/>
              <w:right w:w="0" w:type="dxa"/>
            </w:tcMar>
            <w:vAlign w:val="center"/>
          </w:tcPr>
          <w:p w14:paraId="74DB43F9">
            <w:pPr>
              <w:pStyle w:val="34"/>
              <w:rPr>
                <w:szCs w:val="21"/>
              </w:rPr>
            </w:pPr>
            <w:r>
              <w:rPr>
                <w:szCs w:val="21"/>
              </w:rPr>
              <w:t>兼顾船型</w:t>
            </w:r>
          </w:p>
        </w:tc>
      </w:tr>
      <w:tr w14:paraId="0BACF5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0DD57F38">
            <w:pPr>
              <w:pStyle w:val="34"/>
              <w:rPr>
                <w:szCs w:val="21"/>
              </w:rPr>
            </w:pPr>
            <w:r>
              <w:rPr>
                <w:szCs w:val="21"/>
              </w:rPr>
              <w:t xml:space="preserve">200TEU </w:t>
            </w:r>
          </w:p>
        </w:tc>
        <w:tc>
          <w:tcPr>
            <w:tcW w:w="0" w:type="auto"/>
            <w:noWrap/>
            <w:tcMar>
              <w:left w:w="0" w:type="dxa"/>
              <w:right w:w="0" w:type="dxa"/>
            </w:tcMar>
            <w:vAlign w:val="center"/>
          </w:tcPr>
          <w:p w14:paraId="527E453C">
            <w:pPr>
              <w:pStyle w:val="34"/>
              <w:rPr>
                <w:szCs w:val="21"/>
              </w:rPr>
            </w:pPr>
            <w:r>
              <w:rPr>
                <w:szCs w:val="21"/>
              </w:rPr>
              <w:t xml:space="preserve">68.0～74.0 </w:t>
            </w:r>
          </w:p>
        </w:tc>
        <w:tc>
          <w:tcPr>
            <w:tcW w:w="0" w:type="auto"/>
            <w:noWrap/>
            <w:tcMar>
              <w:left w:w="0" w:type="dxa"/>
              <w:right w:w="0" w:type="dxa"/>
            </w:tcMar>
            <w:vAlign w:val="center"/>
          </w:tcPr>
          <w:p w14:paraId="5132E9FC">
            <w:pPr>
              <w:pStyle w:val="34"/>
              <w:rPr>
                <w:szCs w:val="21"/>
              </w:rPr>
            </w:pPr>
            <w:r>
              <w:rPr>
                <w:szCs w:val="21"/>
              </w:rPr>
              <w:t xml:space="preserve">15.5～15.8 </w:t>
            </w:r>
          </w:p>
        </w:tc>
        <w:tc>
          <w:tcPr>
            <w:tcW w:w="0" w:type="auto"/>
            <w:noWrap/>
            <w:tcMar>
              <w:left w:w="0" w:type="dxa"/>
              <w:right w:w="0" w:type="dxa"/>
            </w:tcMar>
            <w:vAlign w:val="center"/>
          </w:tcPr>
          <w:p w14:paraId="2947448F">
            <w:pPr>
              <w:pStyle w:val="34"/>
              <w:rPr>
                <w:szCs w:val="21"/>
              </w:rPr>
            </w:pPr>
          </w:p>
        </w:tc>
        <w:tc>
          <w:tcPr>
            <w:tcW w:w="0" w:type="auto"/>
            <w:noWrap/>
            <w:tcMar>
              <w:left w:w="0" w:type="dxa"/>
              <w:right w:w="0" w:type="dxa"/>
            </w:tcMar>
            <w:vAlign w:val="center"/>
          </w:tcPr>
          <w:p w14:paraId="2E1DFDE3">
            <w:pPr>
              <w:pStyle w:val="34"/>
              <w:rPr>
                <w:szCs w:val="21"/>
              </w:rPr>
            </w:pPr>
            <w:r>
              <w:rPr>
                <w:szCs w:val="21"/>
              </w:rPr>
              <w:t xml:space="preserve">4.2～4.8 </w:t>
            </w:r>
          </w:p>
        </w:tc>
        <w:tc>
          <w:tcPr>
            <w:tcW w:w="0" w:type="auto"/>
            <w:noWrap/>
            <w:tcMar>
              <w:left w:w="0" w:type="dxa"/>
              <w:right w:w="0" w:type="dxa"/>
            </w:tcMar>
            <w:vAlign w:val="center"/>
          </w:tcPr>
          <w:p w14:paraId="4FA1C26F">
            <w:pPr>
              <w:pStyle w:val="34"/>
              <w:rPr>
                <w:szCs w:val="21"/>
              </w:rPr>
            </w:pPr>
            <w:r>
              <w:rPr>
                <w:szCs w:val="21"/>
              </w:rPr>
              <w:t>兼顾船型</w:t>
            </w:r>
          </w:p>
        </w:tc>
      </w:tr>
      <w:tr w14:paraId="7DC0FD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054FBC3A">
            <w:pPr>
              <w:pStyle w:val="34"/>
              <w:rPr>
                <w:szCs w:val="21"/>
              </w:rPr>
            </w:pPr>
            <w:r>
              <w:rPr>
                <w:szCs w:val="21"/>
              </w:rPr>
              <w:t xml:space="preserve">250TEU </w:t>
            </w:r>
          </w:p>
        </w:tc>
        <w:tc>
          <w:tcPr>
            <w:tcW w:w="0" w:type="auto"/>
            <w:noWrap/>
            <w:tcMar>
              <w:left w:w="0" w:type="dxa"/>
              <w:right w:w="0" w:type="dxa"/>
            </w:tcMar>
            <w:vAlign w:val="center"/>
          </w:tcPr>
          <w:p w14:paraId="5EF4B2F1">
            <w:pPr>
              <w:pStyle w:val="34"/>
              <w:rPr>
                <w:szCs w:val="21"/>
              </w:rPr>
            </w:pPr>
            <w:r>
              <w:rPr>
                <w:szCs w:val="21"/>
              </w:rPr>
              <w:t xml:space="preserve">86.0～90.0 </w:t>
            </w:r>
          </w:p>
        </w:tc>
        <w:tc>
          <w:tcPr>
            <w:tcW w:w="0" w:type="auto"/>
            <w:noWrap/>
            <w:tcMar>
              <w:left w:w="0" w:type="dxa"/>
              <w:right w:w="0" w:type="dxa"/>
            </w:tcMar>
            <w:vAlign w:val="center"/>
          </w:tcPr>
          <w:p w14:paraId="6C81B864">
            <w:pPr>
              <w:pStyle w:val="34"/>
              <w:rPr>
                <w:szCs w:val="21"/>
              </w:rPr>
            </w:pPr>
            <w:r>
              <w:rPr>
                <w:szCs w:val="21"/>
              </w:rPr>
              <w:t xml:space="preserve">15.5～15.8 </w:t>
            </w:r>
          </w:p>
        </w:tc>
        <w:tc>
          <w:tcPr>
            <w:tcW w:w="0" w:type="auto"/>
            <w:noWrap/>
            <w:tcMar>
              <w:left w:w="0" w:type="dxa"/>
              <w:right w:w="0" w:type="dxa"/>
            </w:tcMar>
            <w:vAlign w:val="center"/>
          </w:tcPr>
          <w:p w14:paraId="478BC34C">
            <w:pPr>
              <w:pStyle w:val="34"/>
              <w:rPr>
                <w:szCs w:val="21"/>
              </w:rPr>
            </w:pPr>
          </w:p>
        </w:tc>
        <w:tc>
          <w:tcPr>
            <w:tcW w:w="0" w:type="auto"/>
            <w:noWrap/>
            <w:tcMar>
              <w:left w:w="0" w:type="dxa"/>
              <w:right w:w="0" w:type="dxa"/>
            </w:tcMar>
            <w:vAlign w:val="center"/>
          </w:tcPr>
          <w:p w14:paraId="57D014E6">
            <w:pPr>
              <w:pStyle w:val="34"/>
              <w:rPr>
                <w:szCs w:val="21"/>
              </w:rPr>
            </w:pPr>
            <w:r>
              <w:rPr>
                <w:szCs w:val="21"/>
              </w:rPr>
              <w:t xml:space="preserve">4.6～4.8 </w:t>
            </w:r>
          </w:p>
        </w:tc>
        <w:tc>
          <w:tcPr>
            <w:tcW w:w="0" w:type="auto"/>
            <w:noWrap/>
            <w:tcMar>
              <w:left w:w="0" w:type="dxa"/>
              <w:right w:w="0" w:type="dxa"/>
            </w:tcMar>
            <w:vAlign w:val="center"/>
          </w:tcPr>
          <w:p w14:paraId="64BE90AC">
            <w:pPr>
              <w:pStyle w:val="34"/>
              <w:rPr>
                <w:szCs w:val="21"/>
              </w:rPr>
            </w:pPr>
            <w:r>
              <w:rPr>
                <w:szCs w:val="21"/>
              </w:rPr>
              <w:t>兼顾船型</w:t>
            </w:r>
          </w:p>
        </w:tc>
      </w:tr>
      <w:tr w14:paraId="5BA1C0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6FCA5B0F">
            <w:pPr>
              <w:pStyle w:val="34"/>
              <w:rPr>
                <w:szCs w:val="21"/>
              </w:rPr>
            </w:pPr>
            <w:r>
              <w:rPr>
                <w:szCs w:val="21"/>
              </w:rPr>
              <w:t xml:space="preserve">5 千吨级内河集装箱船 </w:t>
            </w:r>
          </w:p>
        </w:tc>
        <w:tc>
          <w:tcPr>
            <w:tcW w:w="0" w:type="auto"/>
            <w:noWrap/>
            <w:tcMar>
              <w:left w:w="0" w:type="dxa"/>
              <w:right w:w="0" w:type="dxa"/>
            </w:tcMar>
            <w:vAlign w:val="center"/>
          </w:tcPr>
          <w:p w14:paraId="411451F3">
            <w:pPr>
              <w:pStyle w:val="34"/>
              <w:rPr>
                <w:szCs w:val="21"/>
              </w:rPr>
            </w:pPr>
            <w:r>
              <w:rPr>
                <w:szCs w:val="21"/>
              </w:rPr>
              <w:t>90</w:t>
            </w:r>
          </w:p>
        </w:tc>
        <w:tc>
          <w:tcPr>
            <w:tcW w:w="0" w:type="auto"/>
            <w:noWrap/>
            <w:tcMar>
              <w:left w:w="0" w:type="dxa"/>
              <w:right w:w="0" w:type="dxa"/>
            </w:tcMar>
            <w:vAlign w:val="center"/>
          </w:tcPr>
          <w:p w14:paraId="4398A8B9">
            <w:pPr>
              <w:pStyle w:val="34"/>
              <w:rPr>
                <w:szCs w:val="21"/>
              </w:rPr>
            </w:pPr>
            <w:r>
              <w:rPr>
                <w:szCs w:val="21"/>
              </w:rPr>
              <w:t>15.8</w:t>
            </w:r>
          </w:p>
        </w:tc>
        <w:tc>
          <w:tcPr>
            <w:tcW w:w="0" w:type="auto"/>
            <w:noWrap/>
            <w:tcMar>
              <w:left w:w="0" w:type="dxa"/>
              <w:right w:w="0" w:type="dxa"/>
            </w:tcMar>
            <w:vAlign w:val="center"/>
          </w:tcPr>
          <w:p w14:paraId="528DAC0E">
            <w:pPr>
              <w:pStyle w:val="34"/>
              <w:rPr>
                <w:szCs w:val="21"/>
              </w:rPr>
            </w:pPr>
          </w:p>
        </w:tc>
        <w:tc>
          <w:tcPr>
            <w:tcW w:w="0" w:type="auto"/>
            <w:noWrap/>
            <w:tcMar>
              <w:left w:w="0" w:type="dxa"/>
              <w:right w:w="0" w:type="dxa"/>
            </w:tcMar>
            <w:vAlign w:val="center"/>
          </w:tcPr>
          <w:p w14:paraId="200E6FAD">
            <w:pPr>
              <w:pStyle w:val="34"/>
              <w:rPr>
                <w:szCs w:val="21"/>
              </w:rPr>
            </w:pPr>
            <w:r>
              <w:rPr>
                <w:szCs w:val="21"/>
              </w:rPr>
              <w:t>5</w:t>
            </w:r>
          </w:p>
        </w:tc>
        <w:tc>
          <w:tcPr>
            <w:tcW w:w="0" w:type="auto"/>
            <w:noWrap/>
            <w:tcMar>
              <w:left w:w="0" w:type="dxa"/>
              <w:right w:w="0" w:type="dxa"/>
            </w:tcMar>
            <w:vAlign w:val="center"/>
          </w:tcPr>
          <w:p w14:paraId="64DF0A79">
            <w:pPr>
              <w:pStyle w:val="34"/>
              <w:rPr>
                <w:szCs w:val="21"/>
              </w:rPr>
            </w:pPr>
            <w:r>
              <w:rPr>
                <w:szCs w:val="21"/>
              </w:rPr>
              <w:t>兼顾船型</w:t>
            </w:r>
          </w:p>
        </w:tc>
      </w:tr>
      <w:tr w14:paraId="088C33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6770B041">
            <w:pPr>
              <w:pStyle w:val="34"/>
              <w:rPr>
                <w:szCs w:val="21"/>
              </w:rPr>
            </w:pPr>
            <w:r>
              <w:rPr>
                <w:szCs w:val="21"/>
              </w:rPr>
              <w:t>5 千吨级江海直达船 （集装箱船）</w:t>
            </w:r>
          </w:p>
        </w:tc>
        <w:tc>
          <w:tcPr>
            <w:tcW w:w="0" w:type="auto"/>
            <w:noWrap/>
            <w:tcMar>
              <w:left w:w="0" w:type="dxa"/>
              <w:right w:w="0" w:type="dxa"/>
            </w:tcMar>
            <w:vAlign w:val="center"/>
          </w:tcPr>
          <w:p w14:paraId="6926A2E0">
            <w:pPr>
              <w:pStyle w:val="34"/>
              <w:rPr>
                <w:szCs w:val="21"/>
              </w:rPr>
            </w:pPr>
            <w:r>
              <w:rPr>
                <w:szCs w:val="21"/>
              </w:rPr>
              <w:t>90</w:t>
            </w:r>
          </w:p>
        </w:tc>
        <w:tc>
          <w:tcPr>
            <w:tcW w:w="0" w:type="auto"/>
            <w:noWrap/>
            <w:tcMar>
              <w:left w:w="0" w:type="dxa"/>
              <w:right w:w="0" w:type="dxa"/>
            </w:tcMar>
            <w:vAlign w:val="center"/>
          </w:tcPr>
          <w:p w14:paraId="0A434F7C">
            <w:pPr>
              <w:pStyle w:val="34"/>
              <w:rPr>
                <w:szCs w:val="21"/>
              </w:rPr>
            </w:pPr>
            <w:r>
              <w:rPr>
                <w:szCs w:val="21"/>
              </w:rPr>
              <w:t>15.6</w:t>
            </w:r>
          </w:p>
        </w:tc>
        <w:tc>
          <w:tcPr>
            <w:tcW w:w="0" w:type="auto"/>
            <w:noWrap/>
            <w:tcMar>
              <w:left w:w="0" w:type="dxa"/>
              <w:right w:w="0" w:type="dxa"/>
            </w:tcMar>
            <w:vAlign w:val="center"/>
          </w:tcPr>
          <w:p w14:paraId="534CEEEF">
            <w:pPr>
              <w:pStyle w:val="34"/>
              <w:rPr>
                <w:szCs w:val="21"/>
              </w:rPr>
            </w:pPr>
            <w:r>
              <w:rPr>
                <w:szCs w:val="21"/>
              </w:rPr>
              <w:t>7.15</w:t>
            </w:r>
          </w:p>
        </w:tc>
        <w:tc>
          <w:tcPr>
            <w:tcW w:w="0" w:type="auto"/>
            <w:noWrap/>
            <w:tcMar>
              <w:left w:w="0" w:type="dxa"/>
              <w:right w:w="0" w:type="dxa"/>
            </w:tcMar>
            <w:vAlign w:val="center"/>
          </w:tcPr>
          <w:p w14:paraId="49772B14">
            <w:pPr>
              <w:pStyle w:val="34"/>
              <w:rPr>
                <w:szCs w:val="21"/>
              </w:rPr>
            </w:pPr>
            <w:r>
              <w:rPr>
                <w:szCs w:val="21"/>
              </w:rPr>
              <w:t>5.55</w:t>
            </w:r>
          </w:p>
        </w:tc>
        <w:tc>
          <w:tcPr>
            <w:tcW w:w="0" w:type="auto"/>
            <w:noWrap/>
            <w:tcMar>
              <w:left w:w="0" w:type="dxa"/>
              <w:right w:w="0" w:type="dxa"/>
            </w:tcMar>
            <w:vAlign w:val="center"/>
          </w:tcPr>
          <w:p w14:paraId="7BBC7973">
            <w:pPr>
              <w:pStyle w:val="34"/>
              <w:rPr>
                <w:szCs w:val="21"/>
              </w:rPr>
            </w:pPr>
            <w:r>
              <w:rPr>
                <w:szCs w:val="21"/>
              </w:rPr>
              <w:t>兼顾船型</w:t>
            </w:r>
          </w:p>
        </w:tc>
      </w:tr>
      <w:tr w14:paraId="05208E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tcMar>
              <w:left w:w="0" w:type="dxa"/>
              <w:right w:w="0" w:type="dxa"/>
            </w:tcMar>
            <w:vAlign w:val="center"/>
          </w:tcPr>
          <w:p w14:paraId="05933B1C">
            <w:pPr>
              <w:pStyle w:val="34"/>
              <w:rPr>
                <w:szCs w:val="21"/>
              </w:rPr>
            </w:pPr>
            <w:r>
              <w:rPr>
                <w:szCs w:val="21"/>
              </w:rPr>
              <w:t xml:space="preserve">5 千吨级江海直达船（集装箱船） </w:t>
            </w:r>
          </w:p>
        </w:tc>
        <w:tc>
          <w:tcPr>
            <w:tcW w:w="0" w:type="auto"/>
            <w:noWrap/>
            <w:tcMar>
              <w:left w:w="0" w:type="dxa"/>
              <w:right w:w="0" w:type="dxa"/>
            </w:tcMar>
            <w:vAlign w:val="center"/>
          </w:tcPr>
          <w:p w14:paraId="7C4F4FC6">
            <w:pPr>
              <w:pStyle w:val="34"/>
              <w:rPr>
                <w:szCs w:val="21"/>
              </w:rPr>
            </w:pPr>
            <w:r>
              <w:rPr>
                <w:szCs w:val="21"/>
              </w:rPr>
              <w:t>108</w:t>
            </w:r>
          </w:p>
        </w:tc>
        <w:tc>
          <w:tcPr>
            <w:tcW w:w="0" w:type="auto"/>
            <w:noWrap/>
            <w:tcMar>
              <w:left w:w="0" w:type="dxa"/>
              <w:right w:w="0" w:type="dxa"/>
            </w:tcMar>
            <w:vAlign w:val="center"/>
          </w:tcPr>
          <w:p w14:paraId="09B45E63">
            <w:pPr>
              <w:pStyle w:val="34"/>
              <w:rPr>
                <w:szCs w:val="21"/>
              </w:rPr>
            </w:pPr>
            <w:r>
              <w:rPr>
                <w:szCs w:val="21"/>
              </w:rPr>
              <w:t>16.2</w:t>
            </w:r>
          </w:p>
        </w:tc>
        <w:tc>
          <w:tcPr>
            <w:tcW w:w="0" w:type="auto"/>
            <w:noWrap/>
            <w:tcMar>
              <w:left w:w="0" w:type="dxa"/>
              <w:right w:w="0" w:type="dxa"/>
            </w:tcMar>
            <w:vAlign w:val="center"/>
          </w:tcPr>
          <w:p w14:paraId="6795AE64">
            <w:pPr>
              <w:pStyle w:val="34"/>
              <w:rPr>
                <w:szCs w:val="21"/>
              </w:rPr>
            </w:pPr>
          </w:p>
        </w:tc>
        <w:tc>
          <w:tcPr>
            <w:tcW w:w="0" w:type="auto"/>
            <w:noWrap/>
            <w:tcMar>
              <w:left w:w="0" w:type="dxa"/>
              <w:right w:w="0" w:type="dxa"/>
            </w:tcMar>
            <w:vAlign w:val="center"/>
          </w:tcPr>
          <w:p w14:paraId="74501588">
            <w:pPr>
              <w:pStyle w:val="34"/>
              <w:rPr>
                <w:szCs w:val="21"/>
              </w:rPr>
            </w:pPr>
            <w:r>
              <w:rPr>
                <w:szCs w:val="21"/>
              </w:rPr>
              <w:t>5.8</w:t>
            </w:r>
          </w:p>
        </w:tc>
        <w:tc>
          <w:tcPr>
            <w:tcW w:w="0" w:type="auto"/>
            <w:noWrap/>
            <w:tcMar>
              <w:left w:w="0" w:type="dxa"/>
              <w:right w:w="0" w:type="dxa"/>
            </w:tcMar>
            <w:vAlign w:val="center"/>
          </w:tcPr>
          <w:p w14:paraId="3F56EF21">
            <w:pPr>
              <w:pStyle w:val="34"/>
              <w:rPr>
                <w:szCs w:val="21"/>
              </w:rPr>
            </w:pPr>
            <w:r>
              <w:rPr>
                <w:szCs w:val="21"/>
              </w:rPr>
              <w:t>兼顾船型</w:t>
            </w:r>
          </w:p>
        </w:tc>
      </w:tr>
      <w:tr w14:paraId="06E952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4CF619A8">
            <w:pPr>
              <w:pStyle w:val="34"/>
              <w:rPr>
                <w:szCs w:val="21"/>
              </w:rPr>
            </w:pPr>
            <w:r>
              <w:rPr>
                <w:szCs w:val="21"/>
              </w:rPr>
              <w:t xml:space="preserve">1 千吨级集装箱船 </w:t>
            </w:r>
          </w:p>
        </w:tc>
        <w:tc>
          <w:tcPr>
            <w:tcW w:w="0" w:type="auto"/>
            <w:noWrap/>
            <w:tcMar>
              <w:left w:w="0" w:type="dxa"/>
              <w:right w:w="0" w:type="dxa"/>
            </w:tcMar>
            <w:vAlign w:val="center"/>
          </w:tcPr>
          <w:p w14:paraId="18431DD2">
            <w:pPr>
              <w:pStyle w:val="34"/>
              <w:rPr>
                <w:szCs w:val="21"/>
              </w:rPr>
            </w:pPr>
            <w:r>
              <w:rPr>
                <w:szCs w:val="21"/>
              </w:rPr>
              <w:t>90</w:t>
            </w:r>
          </w:p>
        </w:tc>
        <w:tc>
          <w:tcPr>
            <w:tcW w:w="0" w:type="auto"/>
            <w:noWrap/>
            <w:tcMar>
              <w:left w:w="0" w:type="dxa"/>
              <w:right w:w="0" w:type="dxa"/>
            </w:tcMar>
            <w:vAlign w:val="center"/>
          </w:tcPr>
          <w:p w14:paraId="61DBC852">
            <w:pPr>
              <w:pStyle w:val="34"/>
              <w:rPr>
                <w:szCs w:val="21"/>
              </w:rPr>
            </w:pPr>
            <w:r>
              <w:rPr>
                <w:szCs w:val="21"/>
              </w:rPr>
              <w:t>15.4</w:t>
            </w:r>
          </w:p>
        </w:tc>
        <w:tc>
          <w:tcPr>
            <w:tcW w:w="0" w:type="auto"/>
            <w:noWrap/>
            <w:tcMar>
              <w:left w:w="0" w:type="dxa"/>
              <w:right w:w="0" w:type="dxa"/>
            </w:tcMar>
            <w:vAlign w:val="center"/>
          </w:tcPr>
          <w:p w14:paraId="47A0D31F">
            <w:pPr>
              <w:pStyle w:val="34"/>
              <w:rPr>
                <w:szCs w:val="21"/>
              </w:rPr>
            </w:pPr>
            <w:r>
              <w:rPr>
                <w:szCs w:val="21"/>
              </w:rPr>
              <w:t>6.8</w:t>
            </w:r>
          </w:p>
        </w:tc>
        <w:tc>
          <w:tcPr>
            <w:tcW w:w="0" w:type="auto"/>
            <w:noWrap/>
            <w:tcMar>
              <w:left w:w="0" w:type="dxa"/>
              <w:right w:w="0" w:type="dxa"/>
            </w:tcMar>
            <w:vAlign w:val="center"/>
          </w:tcPr>
          <w:p w14:paraId="7FD02439">
            <w:pPr>
              <w:pStyle w:val="34"/>
              <w:rPr>
                <w:szCs w:val="21"/>
              </w:rPr>
            </w:pPr>
            <w:r>
              <w:rPr>
                <w:szCs w:val="21"/>
              </w:rPr>
              <w:t>4.8</w:t>
            </w:r>
          </w:p>
        </w:tc>
        <w:tc>
          <w:tcPr>
            <w:tcW w:w="0" w:type="auto"/>
            <w:noWrap/>
            <w:tcMar>
              <w:left w:w="0" w:type="dxa"/>
              <w:right w:w="0" w:type="dxa"/>
            </w:tcMar>
            <w:vAlign w:val="center"/>
          </w:tcPr>
          <w:p w14:paraId="6F0AA859">
            <w:pPr>
              <w:pStyle w:val="34"/>
              <w:rPr>
                <w:szCs w:val="21"/>
              </w:rPr>
            </w:pPr>
            <w:r>
              <w:rPr>
                <w:szCs w:val="21"/>
              </w:rPr>
              <w:t>兼顾船型</w:t>
            </w:r>
          </w:p>
        </w:tc>
      </w:tr>
      <w:tr w14:paraId="5038A8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3FFF54FC">
            <w:pPr>
              <w:pStyle w:val="34"/>
              <w:rPr>
                <w:szCs w:val="21"/>
              </w:rPr>
            </w:pPr>
            <w:r>
              <w:rPr>
                <w:szCs w:val="21"/>
              </w:rPr>
              <w:t xml:space="preserve">3 千吨级集装箱船 </w:t>
            </w:r>
          </w:p>
        </w:tc>
        <w:tc>
          <w:tcPr>
            <w:tcW w:w="0" w:type="auto"/>
            <w:noWrap/>
            <w:tcMar>
              <w:left w:w="0" w:type="dxa"/>
              <w:right w:w="0" w:type="dxa"/>
            </w:tcMar>
            <w:vAlign w:val="center"/>
          </w:tcPr>
          <w:p w14:paraId="416C2176">
            <w:pPr>
              <w:pStyle w:val="34"/>
              <w:rPr>
                <w:szCs w:val="21"/>
              </w:rPr>
            </w:pPr>
            <w:r>
              <w:rPr>
                <w:szCs w:val="21"/>
              </w:rPr>
              <w:t>106</w:t>
            </w:r>
          </w:p>
        </w:tc>
        <w:tc>
          <w:tcPr>
            <w:tcW w:w="0" w:type="auto"/>
            <w:noWrap/>
            <w:tcMar>
              <w:left w:w="0" w:type="dxa"/>
              <w:right w:w="0" w:type="dxa"/>
            </w:tcMar>
            <w:vAlign w:val="center"/>
          </w:tcPr>
          <w:p w14:paraId="6C4C8481">
            <w:pPr>
              <w:pStyle w:val="34"/>
              <w:rPr>
                <w:szCs w:val="21"/>
              </w:rPr>
            </w:pPr>
            <w:r>
              <w:rPr>
                <w:szCs w:val="21"/>
              </w:rPr>
              <w:t>17.6</w:t>
            </w:r>
          </w:p>
        </w:tc>
        <w:tc>
          <w:tcPr>
            <w:tcW w:w="0" w:type="auto"/>
            <w:noWrap/>
            <w:tcMar>
              <w:left w:w="0" w:type="dxa"/>
              <w:right w:w="0" w:type="dxa"/>
            </w:tcMar>
            <w:vAlign w:val="center"/>
          </w:tcPr>
          <w:p w14:paraId="4E84447F">
            <w:pPr>
              <w:pStyle w:val="34"/>
              <w:rPr>
                <w:szCs w:val="21"/>
              </w:rPr>
            </w:pPr>
            <w:r>
              <w:rPr>
                <w:szCs w:val="21"/>
              </w:rPr>
              <w:t>8.7</w:t>
            </w:r>
          </w:p>
        </w:tc>
        <w:tc>
          <w:tcPr>
            <w:tcW w:w="0" w:type="auto"/>
            <w:noWrap/>
            <w:tcMar>
              <w:left w:w="0" w:type="dxa"/>
              <w:right w:w="0" w:type="dxa"/>
            </w:tcMar>
            <w:vAlign w:val="center"/>
          </w:tcPr>
          <w:p w14:paraId="43448AE3">
            <w:pPr>
              <w:pStyle w:val="34"/>
              <w:rPr>
                <w:szCs w:val="21"/>
              </w:rPr>
            </w:pPr>
            <w:r>
              <w:rPr>
                <w:szCs w:val="21"/>
              </w:rPr>
              <w:t>5.8</w:t>
            </w:r>
          </w:p>
        </w:tc>
        <w:tc>
          <w:tcPr>
            <w:tcW w:w="0" w:type="auto"/>
            <w:noWrap/>
            <w:tcMar>
              <w:left w:w="0" w:type="dxa"/>
              <w:right w:w="0" w:type="dxa"/>
            </w:tcMar>
            <w:vAlign w:val="center"/>
          </w:tcPr>
          <w:p w14:paraId="3790FCA2">
            <w:pPr>
              <w:pStyle w:val="34"/>
              <w:rPr>
                <w:szCs w:val="21"/>
              </w:rPr>
            </w:pPr>
            <w:r>
              <w:rPr>
                <w:szCs w:val="21"/>
              </w:rPr>
              <w:t>兼顾船型</w:t>
            </w:r>
          </w:p>
        </w:tc>
      </w:tr>
      <w:tr w14:paraId="227229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289F1B7A">
            <w:pPr>
              <w:pStyle w:val="34"/>
              <w:rPr>
                <w:szCs w:val="21"/>
              </w:rPr>
            </w:pPr>
            <w:r>
              <w:rPr>
                <w:szCs w:val="21"/>
              </w:rPr>
              <w:t xml:space="preserve">5 千吨级集装箱船 </w:t>
            </w:r>
          </w:p>
        </w:tc>
        <w:tc>
          <w:tcPr>
            <w:tcW w:w="0" w:type="auto"/>
            <w:noWrap/>
            <w:tcMar>
              <w:left w:w="0" w:type="dxa"/>
              <w:right w:w="0" w:type="dxa"/>
            </w:tcMar>
            <w:vAlign w:val="center"/>
          </w:tcPr>
          <w:p w14:paraId="7AEDD32F">
            <w:pPr>
              <w:pStyle w:val="34"/>
              <w:rPr>
                <w:szCs w:val="21"/>
              </w:rPr>
            </w:pPr>
            <w:r>
              <w:rPr>
                <w:szCs w:val="21"/>
              </w:rPr>
              <w:t>121</w:t>
            </w:r>
          </w:p>
        </w:tc>
        <w:tc>
          <w:tcPr>
            <w:tcW w:w="0" w:type="auto"/>
            <w:noWrap/>
            <w:tcMar>
              <w:left w:w="0" w:type="dxa"/>
              <w:right w:w="0" w:type="dxa"/>
            </w:tcMar>
            <w:vAlign w:val="center"/>
          </w:tcPr>
          <w:p w14:paraId="10CBB74D">
            <w:pPr>
              <w:pStyle w:val="34"/>
              <w:rPr>
                <w:szCs w:val="21"/>
              </w:rPr>
            </w:pPr>
            <w:r>
              <w:rPr>
                <w:szCs w:val="21"/>
              </w:rPr>
              <w:t>19.2</w:t>
            </w:r>
          </w:p>
        </w:tc>
        <w:tc>
          <w:tcPr>
            <w:tcW w:w="0" w:type="auto"/>
            <w:noWrap/>
            <w:tcMar>
              <w:left w:w="0" w:type="dxa"/>
              <w:right w:w="0" w:type="dxa"/>
            </w:tcMar>
            <w:vAlign w:val="center"/>
          </w:tcPr>
          <w:p w14:paraId="7243B6F2">
            <w:pPr>
              <w:pStyle w:val="34"/>
              <w:rPr>
                <w:szCs w:val="21"/>
              </w:rPr>
            </w:pPr>
            <w:r>
              <w:rPr>
                <w:szCs w:val="21"/>
              </w:rPr>
              <w:t>9.2</w:t>
            </w:r>
          </w:p>
        </w:tc>
        <w:tc>
          <w:tcPr>
            <w:tcW w:w="0" w:type="auto"/>
            <w:noWrap/>
            <w:tcMar>
              <w:left w:w="0" w:type="dxa"/>
              <w:right w:w="0" w:type="dxa"/>
            </w:tcMar>
            <w:vAlign w:val="center"/>
          </w:tcPr>
          <w:p w14:paraId="2ACE680A">
            <w:pPr>
              <w:pStyle w:val="34"/>
              <w:rPr>
                <w:szCs w:val="21"/>
              </w:rPr>
            </w:pPr>
            <w:r>
              <w:rPr>
                <w:szCs w:val="21"/>
              </w:rPr>
              <w:t>6.9</w:t>
            </w:r>
          </w:p>
        </w:tc>
        <w:tc>
          <w:tcPr>
            <w:tcW w:w="0" w:type="auto"/>
            <w:noWrap/>
            <w:tcMar>
              <w:left w:w="0" w:type="dxa"/>
              <w:right w:w="0" w:type="dxa"/>
            </w:tcMar>
            <w:vAlign w:val="center"/>
          </w:tcPr>
          <w:p w14:paraId="4B7A0081">
            <w:pPr>
              <w:pStyle w:val="34"/>
              <w:rPr>
                <w:szCs w:val="21"/>
              </w:rPr>
            </w:pPr>
            <w:r>
              <w:rPr>
                <w:szCs w:val="21"/>
              </w:rPr>
              <w:t>设计船型</w:t>
            </w:r>
          </w:p>
        </w:tc>
      </w:tr>
    </w:tbl>
    <w:p w14:paraId="556CB430">
      <w:pPr>
        <w:pStyle w:val="6"/>
      </w:pPr>
      <w:r>
        <w:rPr>
          <w:rFonts w:hint="eastAsia"/>
        </w:rPr>
        <w:t>其他主要设计参数</w:t>
      </w:r>
    </w:p>
    <w:p w14:paraId="46496E61">
      <w:pPr>
        <w:adjustRightInd w:val="0"/>
        <w:ind w:firstLine="462"/>
        <w:rPr>
          <w:lang w:val="zh-CN"/>
        </w:rPr>
      </w:pPr>
      <w:r>
        <w:rPr>
          <w:rFonts w:hint="eastAsia" w:cs="宋体"/>
          <w:bCs/>
          <w:lang w:val="zh-CN" w:bidi="ar"/>
        </w:rPr>
        <w:t>设计通过能力：</w:t>
      </w:r>
      <w:r>
        <w:rPr>
          <w:bCs/>
          <w:lang w:bidi="ar"/>
        </w:rPr>
        <w:t>65</w:t>
      </w:r>
      <w:r>
        <w:rPr>
          <w:rFonts w:hint="eastAsia" w:cs="宋体"/>
          <w:bCs/>
          <w:lang w:bidi="ar"/>
        </w:rPr>
        <w:t>万</w:t>
      </w:r>
      <w:r>
        <w:rPr>
          <w:bCs/>
          <w:lang w:bidi="ar"/>
        </w:rPr>
        <w:t>TEU</w:t>
      </w:r>
    </w:p>
    <w:p w14:paraId="0A1C4A05">
      <w:pPr>
        <w:adjustRightInd w:val="0"/>
        <w:ind w:firstLine="462"/>
        <w:rPr>
          <w:lang w:val="zh-CN"/>
        </w:rPr>
      </w:pPr>
      <w:r>
        <w:rPr>
          <w:rFonts w:hint="eastAsia" w:cs="宋体"/>
          <w:bCs/>
          <w:lang w:val="zh-CN" w:bidi="ar"/>
        </w:rPr>
        <w:t>泊位年</w:t>
      </w:r>
      <w:bookmarkStart w:id="212" w:name="OLE_LINK20"/>
      <w:r>
        <w:rPr>
          <w:rFonts w:hint="eastAsia" w:cs="宋体"/>
          <w:bCs/>
          <w:lang w:val="zh-CN" w:bidi="ar"/>
        </w:rPr>
        <w:t>营运</w:t>
      </w:r>
      <w:bookmarkEnd w:id="212"/>
      <w:r>
        <w:rPr>
          <w:rFonts w:hint="eastAsia" w:cs="宋体"/>
          <w:bCs/>
          <w:lang w:val="zh-CN" w:bidi="ar"/>
        </w:rPr>
        <w:t>天数：</w:t>
      </w:r>
      <w:r>
        <w:rPr>
          <w:bCs/>
          <w:lang w:val="zh-CN" w:bidi="ar"/>
        </w:rPr>
        <w:t>3</w:t>
      </w:r>
      <w:r>
        <w:rPr>
          <w:rFonts w:hint="eastAsia"/>
          <w:bCs/>
          <w:lang w:val="zh-CN" w:bidi="ar"/>
        </w:rPr>
        <w:t>10</w:t>
      </w:r>
      <w:r>
        <w:rPr>
          <w:bCs/>
          <w:lang w:val="zh-CN" w:bidi="ar"/>
        </w:rPr>
        <w:t>d</w:t>
      </w:r>
      <w:r>
        <w:rPr>
          <w:rFonts w:hint="eastAsia" w:cs="宋体"/>
          <w:bCs/>
          <w:lang w:val="zh-CN" w:bidi="ar"/>
        </w:rPr>
        <w:t>；</w:t>
      </w:r>
      <w:r>
        <w:rPr>
          <w:bCs/>
          <w:lang w:val="zh-CN" w:bidi="ar"/>
        </w:rPr>
        <w:t xml:space="preserve"> </w:t>
      </w:r>
    </w:p>
    <w:p w14:paraId="7A505FEE">
      <w:pPr>
        <w:adjustRightInd w:val="0"/>
        <w:ind w:firstLine="462"/>
        <w:rPr>
          <w:lang w:val="zh-CN"/>
        </w:rPr>
      </w:pPr>
      <w:r>
        <w:rPr>
          <w:rFonts w:hint="eastAsia" w:cs="宋体"/>
          <w:bCs/>
          <w:lang w:val="zh-CN" w:bidi="ar"/>
        </w:rPr>
        <w:t>堆场年运营天数：</w:t>
      </w:r>
      <w:r>
        <w:rPr>
          <w:bCs/>
          <w:lang w:val="zh-CN" w:bidi="ar"/>
        </w:rPr>
        <w:t>360d</w:t>
      </w:r>
      <w:r>
        <w:rPr>
          <w:rFonts w:hint="eastAsia" w:cs="宋体"/>
          <w:bCs/>
          <w:lang w:val="zh-CN" w:bidi="ar"/>
        </w:rPr>
        <w:t>；</w:t>
      </w:r>
    </w:p>
    <w:p w14:paraId="787D1D8D">
      <w:pPr>
        <w:adjustRightInd w:val="0"/>
        <w:ind w:firstLine="462"/>
        <w:rPr>
          <w:lang w:val="zh-CN"/>
        </w:rPr>
      </w:pPr>
      <w:r>
        <w:rPr>
          <w:rFonts w:hint="eastAsia" w:cs="宋体"/>
          <w:bCs/>
          <w:lang w:bidi="ar"/>
        </w:rPr>
        <w:t>集装箱船舶单船平均装卸箱量：</w:t>
      </w:r>
      <w:r>
        <w:rPr>
          <w:bCs/>
          <w:lang w:bidi="ar"/>
        </w:rPr>
        <w:t>250 TEU</w:t>
      </w:r>
      <w:r>
        <w:rPr>
          <w:rFonts w:hint="eastAsia" w:cs="宋体"/>
          <w:bCs/>
          <w:lang w:bidi="ar"/>
        </w:rPr>
        <w:t>；</w:t>
      </w:r>
      <w:r>
        <w:rPr>
          <w:bCs/>
          <w:lang w:val="zh-CN" w:bidi="ar"/>
        </w:rPr>
        <w:t xml:space="preserve"> </w:t>
      </w:r>
    </w:p>
    <w:p w14:paraId="72E3A03B">
      <w:pPr>
        <w:adjustRightInd w:val="0"/>
        <w:ind w:firstLine="462"/>
      </w:pPr>
      <w:r>
        <w:rPr>
          <w:rFonts w:hint="eastAsia" w:cs="宋体"/>
          <w:bCs/>
          <w:lang w:bidi="ar"/>
        </w:rPr>
        <w:t>劳动定员：</w:t>
      </w:r>
      <w:r>
        <w:rPr>
          <w:bCs/>
          <w:lang w:bidi="ar"/>
        </w:rPr>
        <w:t>98</w:t>
      </w:r>
      <w:r>
        <w:rPr>
          <w:rFonts w:hint="eastAsia" w:cs="宋体"/>
          <w:bCs/>
          <w:lang w:bidi="ar"/>
        </w:rPr>
        <w:t>人；</w:t>
      </w:r>
    </w:p>
    <w:p w14:paraId="2186FAEF">
      <w:pPr>
        <w:adjustRightInd w:val="0"/>
        <w:ind w:firstLine="462"/>
      </w:pPr>
      <w:r>
        <w:rPr>
          <w:rFonts w:hint="eastAsia" w:cs="宋体"/>
          <w:bCs/>
          <w:lang w:bidi="ar"/>
        </w:rPr>
        <w:t>昼夜作业班次：</w:t>
      </w:r>
      <w:r>
        <w:rPr>
          <w:bCs/>
          <w:lang w:bidi="ar"/>
        </w:rPr>
        <w:t>3</w:t>
      </w:r>
      <w:r>
        <w:rPr>
          <w:rFonts w:hint="eastAsia" w:cs="宋体"/>
          <w:bCs/>
          <w:lang w:bidi="ar"/>
        </w:rPr>
        <w:t>班</w:t>
      </w:r>
      <w:r>
        <w:rPr>
          <w:bCs/>
          <w:lang w:bidi="ar"/>
        </w:rPr>
        <w:t>/d</w:t>
      </w:r>
      <w:r>
        <w:rPr>
          <w:rFonts w:hint="eastAsia" w:cs="宋体"/>
          <w:bCs/>
          <w:lang w:bidi="ar"/>
        </w:rPr>
        <w:t>。</w:t>
      </w:r>
    </w:p>
    <w:p w14:paraId="52557445">
      <w:pPr>
        <w:pStyle w:val="5"/>
      </w:pPr>
      <w:r>
        <w:rPr>
          <w:rFonts w:hint="eastAsia"/>
        </w:rPr>
        <w:t>总平面布置方案</w:t>
      </w:r>
    </w:p>
    <w:p w14:paraId="6BA38A5E">
      <w:pPr>
        <w:adjustRightInd w:val="0"/>
        <w:ind w:firstLine="462"/>
        <w:rPr>
          <w:rFonts w:cs="宋体"/>
          <w:bCs/>
          <w:lang w:bidi="ar"/>
        </w:rPr>
      </w:pPr>
      <w:r>
        <w:rPr>
          <w:rFonts w:hint="eastAsia" w:cs="宋体"/>
          <w:bCs/>
          <w:lang w:bidi="ar"/>
        </w:rPr>
        <w:t>工程在在建的北部湾港钦州港域大榄坪港区大榄坪南作业区</w:t>
      </w:r>
      <w:r>
        <w:rPr>
          <w:bCs/>
          <w:lang w:bidi="ar"/>
        </w:rPr>
        <w:t>9</w:t>
      </w:r>
      <w:r>
        <w:rPr>
          <w:rFonts w:hint="eastAsia" w:cs="宋体"/>
          <w:bCs/>
          <w:lang w:bidi="ar"/>
        </w:rPr>
        <w:t>号</w:t>
      </w:r>
      <w:r>
        <w:rPr>
          <w:bCs/>
          <w:lang w:bidi="ar"/>
        </w:rPr>
        <w:t>10</w:t>
      </w:r>
      <w:r>
        <w:rPr>
          <w:rFonts w:hint="eastAsia" w:cs="宋体"/>
          <w:bCs/>
          <w:lang w:bidi="ar"/>
        </w:rPr>
        <w:t>号泊位扩建工程基础上进行建设，码头陆域利用扩建工程后方陆域。项目建成后与已建</w:t>
      </w:r>
      <w:r>
        <w:rPr>
          <w:bCs/>
          <w:lang w:bidi="ar"/>
        </w:rPr>
        <w:t>7</w:t>
      </w:r>
      <w:r>
        <w:rPr>
          <w:rFonts w:hint="eastAsia" w:cs="宋体"/>
          <w:bCs/>
          <w:lang w:bidi="ar"/>
        </w:rPr>
        <w:t>号～</w:t>
      </w:r>
      <w:r>
        <w:rPr>
          <w:bCs/>
          <w:lang w:bidi="ar"/>
        </w:rPr>
        <w:t>10</w:t>
      </w:r>
      <w:r>
        <w:rPr>
          <w:rFonts w:hint="eastAsia" w:cs="宋体"/>
          <w:bCs/>
          <w:lang w:bidi="ar"/>
        </w:rPr>
        <w:t>号泊位及拟建</w:t>
      </w:r>
      <w:bookmarkStart w:id="213" w:name="_Hlk206573608"/>
      <w:r>
        <w:rPr>
          <w:bCs/>
          <w:lang w:bidi="ar"/>
        </w:rPr>
        <w:t>9</w:t>
      </w:r>
      <w:r>
        <w:rPr>
          <w:rFonts w:hint="eastAsia" w:cs="宋体"/>
          <w:bCs/>
          <w:lang w:bidi="ar"/>
        </w:rPr>
        <w:t>号</w:t>
      </w:r>
      <w:r>
        <w:rPr>
          <w:bCs/>
          <w:lang w:bidi="ar"/>
        </w:rPr>
        <w:t>10</w:t>
      </w:r>
      <w:r>
        <w:rPr>
          <w:rFonts w:hint="eastAsia" w:cs="宋体"/>
          <w:bCs/>
          <w:lang w:bidi="ar"/>
        </w:rPr>
        <w:t>号泊位扩建工程</w:t>
      </w:r>
      <w:bookmarkEnd w:id="213"/>
      <w:r>
        <w:rPr>
          <w:rFonts w:hint="eastAsia" w:cs="宋体"/>
          <w:bCs/>
          <w:lang w:bidi="ar"/>
        </w:rPr>
        <w:t>一体化运营。</w:t>
      </w:r>
    </w:p>
    <w:p w14:paraId="335A65EA">
      <w:pPr>
        <w:adjustRightInd w:val="0"/>
        <w:ind w:firstLine="462"/>
      </w:pPr>
      <w:r>
        <w:drawing>
          <wp:inline distT="0" distB="0" distL="114300" distR="114300">
            <wp:extent cx="4716780" cy="2639060"/>
            <wp:effectExtent l="0" t="0" r="7620" b="8890"/>
            <wp:docPr id="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7"/>
                    <pic:cNvPicPr>
                      <a:picLocks noChangeAspect="1"/>
                    </pic:cNvPicPr>
                  </pic:nvPicPr>
                  <pic:blipFill>
                    <a:blip r:embed="rId39"/>
                    <a:stretch>
                      <a:fillRect/>
                    </a:stretch>
                  </pic:blipFill>
                  <pic:spPr>
                    <a:xfrm>
                      <a:off x="0" y="0"/>
                      <a:ext cx="4746249" cy="2655846"/>
                    </a:xfrm>
                    <a:prstGeom prst="rect">
                      <a:avLst/>
                    </a:prstGeom>
                    <a:noFill/>
                    <a:ln>
                      <a:noFill/>
                    </a:ln>
                  </pic:spPr>
                </pic:pic>
              </a:graphicData>
            </a:graphic>
          </wp:inline>
        </w:drawing>
      </w:r>
    </w:p>
    <w:p w14:paraId="31294229">
      <w:pPr>
        <w:pStyle w:val="8"/>
        <w:keepLines/>
      </w:pPr>
      <w:r>
        <w:rPr>
          <w:rFonts w:hint="eastAsia"/>
          <w:lang w:bidi="ar"/>
        </w:rPr>
        <w:t>项目与已建</w:t>
      </w:r>
      <w:r>
        <w:rPr>
          <w:lang w:bidi="ar"/>
        </w:rPr>
        <w:t>7</w:t>
      </w:r>
      <w:r>
        <w:rPr>
          <w:rFonts w:hint="eastAsia"/>
          <w:lang w:bidi="ar"/>
        </w:rPr>
        <w:t>号</w:t>
      </w:r>
      <w:r>
        <w:rPr>
          <w:lang w:bidi="ar"/>
        </w:rPr>
        <w:t>~10</w:t>
      </w:r>
      <w:r>
        <w:rPr>
          <w:rFonts w:hint="eastAsia"/>
          <w:lang w:bidi="ar"/>
        </w:rPr>
        <w:t>号泊位及在建扩建工程位置关系图</w:t>
      </w:r>
    </w:p>
    <w:p w14:paraId="16DBF0DF">
      <w:pPr>
        <w:pStyle w:val="6"/>
      </w:pPr>
      <w:r>
        <w:rPr>
          <w:rFonts w:hint="eastAsia"/>
        </w:rPr>
        <w:t>码头布置</w:t>
      </w:r>
    </w:p>
    <w:p w14:paraId="0EB45A8E">
      <w:pPr>
        <w:adjustRightInd w:val="0"/>
        <w:ind w:firstLine="462"/>
      </w:pPr>
      <w:r>
        <w:rPr>
          <w:rFonts w:hint="eastAsia" w:cs="宋体"/>
          <w:bCs/>
          <w:lang w:bidi="ar"/>
        </w:rPr>
        <w:t>工程利用</w:t>
      </w:r>
      <w:r>
        <w:rPr>
          <w:bCs/>
          <w:lang w:bidi="ar"/>
        </w:rPr>
        <w:t>10</w:t>
      </w:r>
      <w:r>
        <w:rPr>
          <w:rFonts w:hint="eastAsia" w:cs="宋体"/>
          <w:bCs/>
          <w:lang w:bidi="ar"/>
        </w:rPr>
        <w:t>号泊位侧面建设的直立式消浪护岸（属于2024年12月取得环评批复自贸钦审批环〔2024〕58号的</w:t>
      </w:r>
      <w:r>
        <w:rPr>
          <w:rFonts w:hint="eastAsia" w:cs="宋体"/>
          <w:szCs w:val="28"/>
          <w:lang w:bidi="ar"/>
        </w:rPr>
        <w:t>大榄坪南作业区</w:t>
      </w:r>
      <w:r>
        <w:rPr>
          <w:szCs w:val="28"/>
          <w:lang w:bidi="ar"/>
        </w:rPr>
        <w:t>9</w:t>
      </w:r>
      <w:r>
        <w:rPr>
          <w:rFonts w:hint="eastAsia" w:cs="宋体"/>
          <w:szCs w:val="28"/>
          <w:lang w:bidi="ar"/>
        </w:rPr>
        <w:t>号</w:t>
      </w:r>
      <w:r>
        <w:rPr>
          <w:szCs w:val="28"/>
          <w:lang w:bidi="ar"/>
        </w:rPr>
        <w:t>10</w:t>
      </w:r>
      <w:r>
        <w:rPr>
          <w:rFonts w:hint="eastAsia" w:cs="宋体"/>
          <w:szCs w:val="28"/>
          <w:lang w:bidi="ar"/>
        </w:rPr>
        <w:t>号泊位扩建工程建设内容，目前正在开展建设</w:t>
      </w:r>
      <w:r>
        <w:rPr>
          <w:rFonts w:hint="eastAsia" w:cs="宋体"/>
          <w:bCs/>
          <w:lang w:bidi="ar"/>
        </w:rPr>
        <w:t>）建设</w:t>
      </w:r>
      <w:r>
        <w:rPr>
          <w:bCs/>
          <w:lang w:bidi="ar"/>
        </w:rPr>
        <w:t>5</w:t>
      </w:r>
      <w:r>
        <w:rPr>
          <w:rFonts w:hint="eastAsia" w:cs="宋体"/>
          <w:bCs/>
          <w:lang w:bidi="ar"/>
        </w:rPr>
        <w:t>个</w:t>
      </w:r>
      <w:r>
        <w:rPr>
          <w:bCs/>
          <w:lang w:bidi="ar"/>
        </w:rPr>
        <w:t>5</w:t>
      </w:r>
      <w:r>
        <w:rPr>
          <w:rFonts w:hint="eastAsia" w:cs="宋体"/>
          <w:bCs/>
          <w:lang w:bidi="ar"/>
        </w:rPr>
        <w:t>千吨级集装箱泊位，</w:t>
      </w:r>
      <w:r>
        <w:rPr>
          <w:bCs/>
          <w:lang w:bidi="ar"/>
        </w:rPr>
        <w:t>5</w:t>
      </w:r>
      <w:r>
        <w:rPr>
          <w:rFonts w:hint="eastAsia" w:cs="宋体"/>
          <w:bCs/>
          <w:lang w:bidi="ar"/>
        </w:rPr>
        <w:t>千吨级集装箱泊位前沿与</w:t>
      </w:r>
      <w:r>
        <w:rPr>
          <w:bCs/>
          <w:lang w:bidi="ar"/>
        </w:rPr>
        <w:t>9</w:t>
      </w:r>
      <w:r>
        <w:rPr>
          <w:rFonts w:hint="eastAsia" w:cs="宋体"/>
          <w:bCs/>
          <w:lang w:bidi="ar"/>
        </w:rPr>
        <w:t>号</w:t>
      </w:r>
      <w:r>
        <w:rPr>
          <w:bCs/>
          <w:lang w:bidi="ar"/>
        </w:rPr>
        <w:t>10</w:t>
      </w:r>
      <w:r>
        <w:rPr>
          <w:rFonts w:hint="eastAsia" w:cs="宋体"/>
          <w:bCs/>
          <w:lang w:bidi="ar"/>
        </w:rPr>
        <w:t>号泊位扩建段泊位前沿线垂直，泊位总长</w:t>
      </w:r>
      <w:r>
        <w:rPr>
          <w:bCs/>
          <w:lang w:bidi="ar"/>
        </w:rPr>
        <w:t>695m</w:t>
      </w:r>
      <w:r>
        <w:rPr>
          <w:rFonts w:hint="eastAsia" w:cs="宋体"/>
          <w:bCs/>
          <w:lang w:bidi="ar"/>
        </w:rPr>
        <w:t>，顶高程为</w:t>
      </w:r>
      <w:r>
        <w:rPr>
          <w:bCs/>
          <w:lang w:bidi="ar"/>
        </w:rPr>
        <w:t>6.6m</w:t>
      </w:r>
      <w:r>
        <w:rPr>
          <w:rFonts w:hint="eastAsia" w:cs="宋体"/>
          <w:bCs/>
          <w:lang w:bidi="ar"/>
        </w:rPr>
        <w:t>。</w:t>
      </w:r>
    </w:p>
    <w:p w14:paraId="3802AE43">
      <w:pPr>
        <w:pStyle w:val="6"/>
      </w:pPr>
      <w:r>
        <w:rPr>
          <w:rFonts w:hint="eastAsia"/>
        </w:rPr>
        <w:t>水域平面布置</w:t>
      </w:r>
      <w:r>
        <w:t xml:space="preserve"> </w:t>
      </w:r>
    </w:p>
    <w:p w14:paraId="59E40E6A">
      <w:pPr>
        <w:adjustRightInd w:val="0"/>
        <w:ind w:firstLine="462"/>
      </w:pPr>
      <w:r>
        <w:rPr>
          <w:rFonts w:hint="eastAsia" w:cs="宋体"/>
          <w:bCs/>
          <w:lang w:bidi="ar"/>
        </w:rPr>
        <w:t>挖入式港池宽</w:t>
      </w:r>
      <w:r>
        <w:rPr>
          <w:rFonts w:hint="eastAsia"/>
          <w:bCs/>
          <w:lang w:bidi="ar"/>
        </w:rPr>
        <w:t>242</w:t>
      </w:r>
      <w:r>
        <w:rPr>
          <w:bCs/>
          <w:lang w:bidi="ar"/>
        </w:rPr>
        <w:t>m</w:t>
      </w:r>
      <w:r>
        <w:rPr>
          <w:rFonts w:hint="eastAsia" w:cs="宋体"/>
          <w:bCs/>
          <w:lang w:bidi="ar"/>
        </w:rPr>
        <w:t>，江海联运泊位前沿停泊水域宽度</w:t>
      </w:r>
      <w:r>
        <w:rPr>
          <w:bCs/>
          <w:lang w:bidi="ar"/>
        </w:rPr>
        <w:t>39m</w:t>
      </w:r>
      <w:r>
        <w:rPr>
          <w:rFonts w:hint="eastAsia" w:cs="宋体"/>
          <w:bCs/>
          <w:lang w:bidi="ar"/>
        </w:rPr>
        <w:t>，港池宽度</w:t>
      </w:r>
      <w:r>
        <w:rPr>
          <w:bCs/>
          <w:lang w:bidi="ar"/>
        </w:rPr>
        <w:t>181.5m</w:t>
      </w:r>
      <w:r>
        <w:rPr>
          <w:rFonts w:hint="eastAsia" w:cs="宋体"/>
          <w:bCs/>
          <w:lang w:bidi="ar"/>
        </w:rPr>
        <w:t>，水域按靠泊</w:t>
      </w:r>
      <w:r>
        <w:rPr>
          <w:bCs/>
          <w:lang w:bidi="ar"/>
        </w:rPr>
        <w:t>5</w:t>
      </w:r>
      <w:r>
        <w:rPr>
          <w:rFonts w:hint="eastAsia" w:cs="宋体"/>
          <w:bCs/>
          <w:lang w:bidi="ar"/>
        </w:rPr>
        <w:t>千吨级集装箱船设计，码头前沿停泊水域及连接水域底高程为</w:t>
      </w:r>
      <w:r>
        <w:rPr>
          <w:bCs/>
          <w:lang w:bidi="ar"/>
        </w:rPr>
        <w:t>-7.8m</w:t>
      </w:r>
      <w:r>
        <w:rPr>
          <w:rFonts w:hint="eastAsia" w:cs="宋体"/>
          <w:bCs/>
          <w:lang w:bidi="ar"/>
        </w:rPr>
        <w:t>。</w:t>
      </w:r>
    </w:p>
    <w:p w14:paraId="1D09DCB0">
      <w:pPr>
        <w:pStyle w:val="6"/>
      </w:pPr>
      <w:r>
        <w:rPr>
          <w:rFonts w:hint="eastAsia"/>
        </w:rPr>
        <w:t>陆域平面布置</w:t>
      </w:r>
    </w:p>
    <w:p w14:paraId="1E642029">
      <w:pPr>
        <w:adjustRightInd w:val="0"/>
        <w:ind w:firstLine="462"/>
      </w:pPr>
      <w:r>
        <w:rPr>
          <w:rFonts w:hint="eastAsia" w:cs="宋体"/>
          <w:bCs/>
          <w:lang w:bidi="ar"/>
        </w:rPr>
        <w:t>工程陆域利用</w:t>
      </w:r>
      <w:r>
        <w:rPr>
          <w:bCs/>
          <w:lang w:bidi="ar"/>
        </w:rPr>
        <w:t>9</w:t>
      </w:r>
      <w:r>
        <w:rPr>
          <w:rFonts w:hint="eastAsia" w:cs="宋体"/>
          <w:bCs/>
          <w:lang w:bidi="ar"/>
        </w:rPr>
        <w:t>号</w:t>
      </w:r>
      <w:r>
        <w:rPr>
          <w:bCs/>
          <w:lang w:bidi="ar"/>
        </w:rPr>
        <w:t>10</w:t>
      </w:r>
      <w:r>
        <w:rPr>
          <w:rFonts w:hint="eastAsia" w:cs="宋体"/>
          <w:bCs/>
          <w:lang w:bidi="ar"/>
        </w:rPr>
        <w:t>号泊位扩建工程陆域，设计范围面积约</w:t>
      </w:r>
      <w:r>
        <w:rPr>
          <w:rFonts w:hint="eastAsia"/>
          <w:bCs/>
          <w:lang w:bidi="ar"/>
        </w:rPr>
        <w:t>14.4</w:t>
      </w:r>
      <w:r>
        <w:rPr>
          <w:rFonts w:hint="eastAsia" w:cs="宋体"/>
          <w:bCs/>
          <w:lang w:bidi="ar"/>
        </w:rPr>
        <w:t>万</w:t>
      </w:r>
      <w:r>
        <w:rPr>
          <w:bCs/>
          <w:lang w:bidi="ar"/>
        </w:rPr>
        <w:t>m</w:t>
      </w:r>
      <w:r>
        <w:rPr>
          <w:bCs/>
          <w:vertAlign w:val="superscript"/>
          <w:lang w:bidi="ar"/>
        </w:rPr>
        <w:t>2</w:t>
      </w:r>
      <w:r>
        <w:rPr>
          <w:rFonts w:hint="eastAsia" w:cs="宋体"/>
          <w:bCs/>
          <w:lang w:bidi="ar"/>
        </w:rPr>
        <w:t>，陆域纵深</w:t>
      </w:r>
      <w:r>
        <w:rPr>
          <w:bCs/>
          <w:lang w:bidi="ar"/>
        </w:rPr>
        <w:t>727m</w:t>
      </w:r>
      <w:r>
        <w:rPr>
          <w:rFonts w:hint="eastAsia" w:cs="宋体"/>
          <w:bCs/>
          <w:lang w:bidi="ar"/>
        </w:rPr>
        <w:t>。陆域按照使用功能划分为码头前沿作业地带和堆场区，码头前沿作业地带宽度为</w:t>
      </w:r>
      <w:r>
        <w:rPr>
          <w:bCs/>
          <w:lang w:bidi="ar"/>
        </w:rPr>
        <w:t>65.8m</w:t>
      </w:r>
      <w:r>
        <w:rPr>
          <w:rFonts w:hint="eastAsia" w:cs="宋体"/>
          <w:bCs/>
          <w:lang w:bidi="ar"/>
        </w:rPr>
        <w:t>，堆场区垂直码头方向宽度为</w:t>
      </w:r>
      <w:r>
        <w:rPr>
          <w:bCs/>
          <w:lang w:bidi="ar"/>
        </w:rPr>
        <w:t>165m</w:t>
      </w:r>
      <w:r>
        <w:rPr>
          <w:rFonts w:hint="eastAsia" w:cs="宋体"/>
          <w:bCs/>
          <w:lang w:bidi="ar"/>
        </w:rPr>
        <w:t>，平行码头方向宽度为</w:t>
      </w:r>
      <w:r>
        <w:rPr>
          <w:bCs/>
          <w:lang w:bidi="ar"/>
        </w:rPr>
        <w:t>607m</w:t>
      </w:r>
      <w:r>
        <w:rPr>
          <w:rFonts w:hint="eastAsia" w:cs="宋体"/>
          <w:bCs/>
          <w:lang w:bidi="ar"/>
        </w:rPr>
        <w:t>。</w:t>
      </w:r>
    </w:p>
    <w:p w14:paraId="02327EAB">
      <w:pPr>
        <w:adjustRightInd w:val="0"/>
        <w:ind w:firstLine="462"/>
      </w:pPr>
      <w:r>
        <w:rPr>
          <w:rFonts w:hint="eastAsia" w:cs="宋体"/>
          <w:bCs/>
          <w:lang w:bidi="ar"/>
        </w:rPr>
        <w:t>（</w:t>
      </w:r>
      <w:r>
        <w:rPr>
          <w:bCs/>
          <w:lang w:bidi="ar"/>
        </w:rPr>
        <w:t>1</w:t>
      </w:r>
      <w:r>
        <w:rPr>
          <w:rFonts w:hint="eastAsia" w:cs="宋体"/>
          <w:bCs/>
          <w:lang w:bidi="ar"/>
        </w:rPr>
        <w:t>）码头前沿作业地带</w:t>
      </w:r>
    </w:p>
    <w:p w14:paraId="66321B51">
      <w:pPr>
        <w:adjustRightInd w:val="0"/>
        <w:ind w:firstLine="462"/>
      </w:pPr>
      <w:r>
        <w:rPr>
          <w:rFonts w:hint="eastAsia" w:cs="宋体"/>
          <w:bCs/>
          <w:lang w:bidi="ar"/>
        </w:rPr>
        <w:t>江海联运泊位码头前沿作业地带宽度取</w:t>
      </w:r>
      <w:r>
        <w:rPr>
          <w:bCs/>
          <w:lang w:bidi="ar"/>
        </w:rPr>
        <w:t>65.8m</w:t>
      </w:r>
      <w:r>
        <w:rPr>
          <w:rFonts w:hint="eastAsia" w:cs="宋体"/>
          <w:bCs/>
          <w:lang w:bidi="ar"/>
        </w:rPr>
        <w:t>，采用自动化单小车岸桥作业，岸桥轨内布置</w:t>
      </w:r>
      <w:r>
        <w:rPr>
          <w:bCs/>
          <w:lang w:bidi="ar"/>
        </w:rPr>
        <w:t>2</w:t>
      </w:r>
      <w:r>
        <w:rPr>
          <w:rFonts w:hint="eastAsia" w:cs="宋体"/>
          <w:bCs/>
          <w:lang w:bidi="ar"/>
        </w:rPr>
        <w:t>条特殊箱通道，陆侧轨后布置</w:t>
      </w:r>
      <w:r>
        <w:rPr>
          <w:bCs/>
          <w:lang w:bidi="ar"/>
        </w:rPr>
        <w:t>3</w:t>
      </w:r>
      <w:r>
        <w:rPr>
          <w:rFonts w:hint="eastAsia" w:cs="宋体"/>
          <w:bCs/>
          <w:lang w:bidi="ar"/>
        </w:rPr>
        <w:t>条</w:t>
      </w:r>
      <w:r>
        <w:rPr>
          <w:bCs/>
          <w:lang w:bidi="ar"/>
        </w:rPr>
        <w:t>IGV</w:t>
      </w:r>
      <w:r>
        <w:rPr>
          <w:rFonts w:hint="eastAsia" w:cs="宋体"/>
          <w:bCs/>
          <w:lang w:bidi="ar"/>
        </w:rPr>
        <w:t>装卸车道、</w:t>
      </w:r>
      <w:r>
        <w:rPr>
          <w:bCs/>
          <w:lang w:bidi="ar"/>
        </w:rPr>
        <w:t>6</w:t>
      </w:r>
      <w:r>
        <w:rPr>
          <w:rFonts w:hint="eastAsia" w:cs="宋体"/>
          <w:bCs/>
          <w:lang w:bidi="ar"/>
        </w:rPr>
        <w:t>条</w:t>
      </w:r>
      <w:r>
        <w:rPr>
          <w:bCs/>
          <w:lang w:bidi="ar"/>
        </w:rPr>
        <w:t>IGV</w:t>
      </w:r>
      <w:r>
        <w:rPr>
          <w:rFonts w:hint="eastAsia" w:cs="宋体"/>
          <w:bCs/>
          <w:lang w:bidi="ar"/>
        </w:rPr>
        <w:t>快速行车道和</w:t>
      </w:r>
      <w:r>
        <w:rPr>
          <w:bCs/>
          <w:lang w:bidi="ar"/>
        </w:rPr>
        <w:t>1</w:t>
      </w:r>
      <w:r>
        <w:rPr>
          <w:rFonts w:hint="eastAsia" w:cs="宋体"/>
          <w:bCs/>
          <w:lang w:bidi="ar"/>
        </w:rPr>
        <w:t>条堆场装卸道，宽度依次为</w:t>
      </w:r>
      <w:r>
        <w:rPr>
          <w:bCs/>
          <w:lang w:bidi="ar"/>
        </w:rPr>
        <w:t>12m</w:t>
      </w:r>
      <w:r>
        <w:rPr>
          <w:rFonts w:hint="eastAsia" w:cs="宋体"/>
          <w:bCs/>
          <w:lang w:bidi="ar"/>
        </w:rPr>
        <w:t>、</w:t>
      </w:r>
      <w:r>
        <w:rPr>
          <w:bCs/>
          <w:lang w:bidi="ar"/>
        </w:rPr>
        <w:t>24m</w:t>
      </w:r>
      <w:r>
        <w:rPr>
          <w:rFonts w:hint="eastAsia" w:cs="宋体"/>
          <w:bCs/>
          <w:lang w:bidi="ar"/>
        </w:rPr>
        <w:t>和</w:t>
      </w:r>
      <w:r>
        <w:rPr>
          <w:bCs/>
          <w:lang w:bidi="ar"/>
        </w:rPr>
        <w:t>4m</w:t>
      </w:r>
      <w:r>
        <w:rPr>
          <w:rFonts w:hint="eastAsia" w:cs="宋体"/>
          <w:bCs/>
          <w:lang w:bidi="ar"/>
        </w:rPr>
        <w:t>。</w:t>
      </w:r>
    </w:p>
    <w:p w14:paraId="2B4EF149">
      <w:pPr>
        <w:adjustRightInd w:val="0"/>
        <w:ind w:firstLine="462"/>
      </w:pPr>
      <w:r>
        <w:rPr>
          <w:rFonts w:hint="eastAsia" w:cs="宋体"/>
          <w:bCs/>
          <w:lang w:bidi="ar"/>
        </w:rPr>
        <w:t>（</w:t>
      </w:r>
      <w:r>
        <w:rPr>
          <w:bCs/>
          <w:lang w:bidi="ar"/>
        </w:rPr>
        <w:t>2</w:t>
      </w:r>
      <w:r>
        <w:rPr>
          <w:rFonts w:hint="eastAsia" w:cs="宋体"/>
          <w:bCs/>
          <w:lang w:bidi="ar"/>
        </w:rPr>
        <w:t>）堆场区</w:t>
      </w:r>
    </w:p>
    <w:p w14:paraId="0E8B357F">
      <w:pPr>
        <w:adjustRightInd w:val="0"/>
        <w:ind w:firstLine="462"/>
      </w:pPr>
      <w:r>
        <w:rPr>
          <w:rFonts w:hint="eastAsia" w:cs="宋体"/>
          <w:bCs/>
          <w:lang w:bidi="ar"/>
        </w:rPr>
        <w:t>码头前沿作业地带后方作为堆场区，集装箱堆场布置延续</w:t>
      </w:r>
      <w:r>
        <w:rPr>
          <w:bCs/>
          <w:lang w:bidi="ar"/>
        </w:rPr>
        <w:t>7</w:t>
      </w:r>
      <w:r>
        <w:rPr>
          <w:rFonts w:hint="eastAsia" w:cs="宋体"/>
          <w:bCs/>
          <w:lang w:bidi="ar"/>
        </w:rPr>
        <w:t>号～</w:t>
      </w:r>
      <w:r>
        <w:rPr>
          <w:bCs/>
          <w:lang w:bidi="ar"/>
        </w:rPr>
        <w:t>10</w:t>
      </w:r>
      <w:r>
        <w:rPr>
          <w:rFonts w:hint="eastAsia" w:cs="宋体"/>
          <w:bCs/>
          <w:lang w:bidi="ar"/>
        </w:rPr>
        <w:t>号泊位堆场布置基本原则，堆场垂直</w:t>
      </w:r>
      <w:r>
        <w:rPr>
          <w:bCs/>
          <w:lang w:bidi="ar"/>
        </w:rPr>
        <w:t>20</w:t>
      </w:r>
      <w:r>
        <w:rPr>
          <w:rFonts w:hint="eastAsia" w:cs="宋体"/>
          <w:bCs/>
          <w:lang w:bidi="ar"/>
        </w:rPr>
        <w:t>万吨级集装箱泊位前沿线布置，采用轨距</w:t>
      </w:r>
      <w:r>
        <w:rPr>
          <w:bCs/>
          <w:lang w:bidi="ar"/>
        </w:rPr>
        <w:t>40.5m</w:t>
      </w:r>
      <w:r>
        <w:rPr>
          <w:rFonts w:hint="eastAsia" w:cs="宋体"/>
          <w:bCs/>
          <w:lang w:bidi="ar"/>
        </w:rPr>
        <w:t>的双悬臂自动化集装箱轨道龙门吊（</w:t>
      </w:r>
      <w:r>
        <w:rPr>
          <w:bCs/>
          <w:lang w:bidi="ar"/>
        </w:rPr>
        <w:t>ARMG</w:t>
      </w:r>
      <w:r>
        <w:rPr>
          <w:rFonts w:hint="eastAsia" w:cs="宋体"/>
          <w:bCs/>
          <w:lang w:bidi="ar"/>
        </w:rPr>
        <w:t>）进行装卸作业。集装箱堆场区纵深</w:t>
      </w:r>
      <w:r>
        <w:rPr>
          <w:bCs/>
          <w:lang w:bidi="ar"/>
        </w:rPr>
        <w:t>563m</w:t>
      </w:r>
      <w:r>
        <w:rPr>
          <w:rFonts w:hint="eastAsia" w:cs="宋体"/>
          <w:bCs/>
          <w:lang w:bidi="ar"/>
        </w:rPr>
        <w:t>，在</w:t>
      </w:r>
      <w:r>
        <w:rPr>
          <w:bCs/>
          <w:lang w:bidi="ar"/>
        </w:rPr>
        <w:t>24</w:t>
      </w:r>
      <w:r>
        <w:rPr>
          <w:rFonts w:hint="eastAsia" w:cs="宋体"/>
          <w:bCs/>
          <w:lang w:bidi="ar"/>
        </w:rPr>
        <w:t>号堆场海侧端设置</w:t>
      </w:r>
      <w:r>
        <w:rPr>
          <w:bCs/>
          <w:lang w:bidi="ar"/>
        </w:rPr>
        <w:t>1001</w:t>
      </w:r>
      <w:r>
        <w:rPr>
          <w:rFonts w:hint="eastAsia" w:cs="宋体"/>
          <w:bCs/>
          <w:lang w:bidi="ar"/>
        </w:rPr>
        <w:t>变电所、前方材料库和</w:t>
      </w:r>
      <w:r>
        <w:rPr>
          <w:bCs/>
          <w:lang w:bidi="ar"/>
        </w:rPr>
        <w:t>IGV</w:t>
      </w:r>
      <w:r>
        <w:rPr>
          <w:rFonts w:hint="eastAsia" w:cs="宋体"/>
          <w:bCs/>
          <w:lang w:bidi="ar"/>
        </w:rPr>
        <w:t>充电区，共布置</w:t>
      </w:r>
      <w:r>
        <w:rPr>
          <w:bCs/>
          <w:lang w:bidi="ar"/>
        </w:rPr>
        <w:t>2</w:t>
      </w:r>
      <w:r>
        <w:rPr>
          <w:rFonts w:hint="eastAsia" w:cs="宋体"/>
          <w:bCs/>
          <w:lang w:bidi="ar"/>
        </w:rPr>
        <w:t>套</w:t>
      </w:r>
      <w:r>
        <w:rPr>
          <w:bCs/>
          <w:lang w:bidi="ar"/>
        </w:rPr>
        <w:t>IGV</w:t>
      </w:r>
      <w:r>
        <w:rPr>
          <w:rFonts w:hint="eastAsia" w:cs="宋体"/>
          <w:bCs/>
          <w:lang w:bidi="ar"/>
        </w:rPr>
        <w:t>自动充电装置。在</w:t>
      </w:r>
      <w:r>
        <w:rPr>
          <w:bCs/>
          <w:lang w:bidi="ar"/>
        </w:rPr>
        <w:t>23#</w:t>
      </w:r>
      <w:r>
        <w:rPr>
          <w:rFonts w:hint="eastAsia" w:cs="宋体"/>
          <w:bCs/>
          <w:lang w:bidi="ar"/>
        </w:rPr>
        <w:t>堆场陆侧端部设置危险货物集装箱专用堆场和应急处理场，并用围网隔离封闭。在</w:t>
      </w:r>
      <w:r>
        <w:rPr>
          <w:bCs/>
          <w:lang w:bidi="ar"/>
        </w:rPr>
        <w:t>25</w:t>
      </w:r>
      <w:r>
        <w:rPr>
          <w:rFonts w:hint="eastAsia" w:cs="宋体"/>
          <w:bCs/>
          <w:lang w:bidi="ar"/>
        </w:rPr>
        <w:t>号堆场陆侧端设置</w:t>
      </w:r>
      <w:r>
        <w:rPr>
          <w:bCs/>
          <w:lang w:bidi="ar"/>
        </w:rPr>
        <w:t>1002</w:t>
      </w:r>
      <w:r>
        <w:rPr>
          <w:rFonts w:hint="eastAsia" w:cs="宋体"/>
          <w:bCs/>
          <w:lang w:bidi="ar"/>
        </w:rPr>
        <w:t>号变电所，在22号堆场新增3套IGV自动充电装置。</w:t>
      </w:r>
    </w:p>
    <w:p w14:paraId="0D8FF08D">
      <w:pPr>
        <w:adjustRightInd w:val="0"/>
        <w:ind w:firstLine="462"/>
      </w:pPr>
      <w:r>
        <w:rPr>
          <w:rFonts w:hint="eastAsia" w:cs="宋体"/>
          <w:bCs/>
          <w:lang w:bidi="ar"/>
        </w:rPr>
        <w:t>陆侧端设置新增集装箱堆场占地面积约</w:t>
      </w:r>
      <w:r>
        <w:rPr>
          <w:bCs/>
          <w:lang w:bidi="ar"/>
        </w:rPr>
        <w:t>9.3</w:t>
      </w:r>
      <w:r>
        <w:rPr>
          <w:rFonts w:hint="eastAsia" w:cs="宋体"/>
          <w:bCs/>
          <w:lang w:bidi="ar"/>
        </w:rPr>
        <w:t>万</w:t>
      </w:r>
      <w:r>
        <w:rPr>
          <w:bCs/>
          <w:lang w:bidi="ar"/>
        </w:rPr>
        <w:t>m</w:t>
      </w:r>
      <w:r>
        <w:rPr>
          <w:bCs/>
          <w:vertAlign w:val="superscript"/>
          <w:lang w:bidi="ar"/>
        </w:rPr>
        <w:t>2</w:t>
      </w:r>
      <w:r>
        <w:rPr>
          <w:rFonts w:hint="eastAsia" w:cs="宋体"/>
          <w:bCs/>
          <w:lang w:bidi="ar"/>
        </w:rPr>
        <w:t>，其中危险货物集装箱堆场约</w:t>
      </w:r>
      <w:r>
        <w:rPr>
          <w:bCs/>
          <w:lang w:bidi="ar"/>
        </w:rPr>
        <w:t>1.</w:t>
      </w:r>
      <w:r>
        <w:rPr>
          <w:rFonts w:hint="eastAsia"/>
          <w:bCs/>
          <w:lang w:bidi="ar"/>
        </w:rPr>
        <w:t>3</w:t>
      </w:r>
      <w:r>
        <w:rPr>
          <w:rFonts w:hint="eastAsia" w:cs="宋体"/>
          <w:bCs/>
          <w:lang w:bidi="ar"/>
        </w:rPr>
        <w:t>万</w:t>
      </w:r>
      <w:r>
        <w:rPr>
          <w:bCs/>
          <w:lang w:bidi="ar"/>
        </w:rPr>
        <w:t>m</w:t>
      </w:r>
      <w:r>
        <w:rPr>
          <w:bCs/>
          <w:vertAlign w:val="superscript"/>
          <w:lang w:bidi="ar"/>
        </w:rPr>
        <w:t>2</w:t>
      </w:r>
      <w:r>
        <w:rPr>
          <w:rFonts w:hint="eastAsia" w:cs="宋体"/>
          <w:bCs/>
          <w:lang w:bidi="ar"/>
        </w:rPr>
        <w:t>；普通重、空箱采用混堆方式。</w:t>
      </w:r>
    </w:p>
    <w:p w14:paraId="660C1987">
      <w:pPr>
        <w:adjustRightInd w:val="0"/>
        <w:ind w:firstLine="462"/>
      </w:pPr>
      <w:r>
        <w:rPr>
          <w:rFonts w:hint="eastAsia" w:cs="宋体"/>
          <w:bCs/>
          <w:lang w:bidi="ar"/>
        </w:rPr>
        <w:t>（</w:t>
      </w:r>
      <w:r>
        <w:rPr>
          <w:bCs/>
          <w:lang w:bidi="ar"/>
        </w:rPr>
        <w:t>3</w:t>
      </w:r>
      <w:r>
        <w:rPr>
          <w:rFonts w:hint="eastAsia" w:cs="宋体"/>
          <w:bCs/>
          <w:lang w:bidi="ar"/>
        </w:rPr>
        <w:t>）泊位道路</w:t>
      </w:r>
    </w:p>
    <w:p w14:paraId="793C34BE">
      <w:pPr>
        <w:adjustRightInd w:val="0"/>
        <w:ind w:firstLine="462"/>
      </w:pPr>
      <w:r>
        <w:rPr>
          <w:rFonts w:hint="eastAsia" w:cs="宋体"/>
          <w:bCs/>
          <w:lang w:bidi="ar"/>
        </w:rPr>
        <w:t>本工程结合</w:t>
      </w:r>
      <w:r>
        <w:rPr>
          <w:bCs/>
          <w:lang w:bidi="ar"/>
        </w:rPr>
        <w:t>7</w:t>
      </w:r>
      <w:r>
        <w:rPr>
          <w:rFonts w:hint="eastAsia" w:cs="宋体"/>
          <w:bCs/>
          <w:lang w:bidi="ar"/>
        </w:rPr>
        <w:t>号～</w:t>
      </w:r>
      <w:r>
        <w:rPr>
          <w:bCs/>
          <w:lang w:bidi="ar"/>
        </w:rPr>
        <w:t>10</w:t>
      </w:r>
      <w:r>
        <w:rPr>
          <w:rFonts w:hint="eastAsia" w:cs="宋体"/>
          <w:bCs/>
          <w:lang w:bidi="ar"/>
        </w:rPr>
        <w:t>号泊位道路布置，横向路布置</w:t>
      </w:r>
      <w:r>
        <w:rPr>
          <w:bCs/>
          <w:lang w:bidi="ar"/>
        </w:rPr>
        <w:t>2</w:t>
      </w:r>
      <w:r>
        <w:rPr>
          <w:rFonts w:hint="eastAsia" w:cs="宋体"/>
          <w:bCs/>
          <w:lang w:bidi="ar"/>
        </w:rPr>
        <w:t>条横向主干道，其中横一路位于</w:t>
      </w:r>
      <w:r>
        <w:rPr>
          <w:bCs/>
          <w:lang w:bidi="ar"/>
        </w:rPr>
        <w:t>7</w:t>
      </w:r>
      <w:r>
        <w:rPr>
          <w:rFonts w:hint="eastAsia" w:cs="宋体"/>
          <w:bCs/>
          <w:lang w:bidi="ar"/>
        </w:rPr>
        <w:t>号～</w:t>
      </w:r>
      <w:r>
        <w:rPr>
          <w:bCs/>
          <w:lang w:bidi="ar"/>
        </w:rPr>
        <w:t>10</w:t>
      </w:r>
      <w:r>
        <w:rPr>
          <w:rFonts w:hint="eastAsia" w:cs="宋体"/>
          <w:bCs/>
          <w:lang w:bidi="ar"/>
        </w:rPr>
        <w:t>号泊位堆场和本工程堆场衔接区海侧，为</w:t>
      </w:r>
      <w:r>
        <w:rPr>
          <w:bCs/>
          <w:lang w:bidi="ar"/>
        </w:rPr>
        <w:t>IGV</w:t>
      </w:r>
      <w:r>
        <w:rPr>
          <w:rFonts w:hint="eastAsia" w:cs="宋体"/>
          <w:bCs/>
          <w:lang w:bidi="ar"/>
        </w:rPr>
        <w:t>快速行车道，设</w:t>
      </w:r>
      <w:r>
        <w:rPr>
          <w:bCs/>
          <w:lang w:bidi="ar"/>
        </w:rPr>
        <w:t>6</w:t>
      </w:r>
      <w:r>
        <w:rPr>
          <w:rFonts w:hint="eastAsia" w:cs="宋体"/>
          <w:bCs/>
          <w:lang w:bidi="ar"/>
        </w:rPr>
        <w:t>车道，宽度为</w:t>
      </w:r>
      <w:r>
        <w:rPr>
          <w:bCs/>
          <w:lang w:bidi="ar"/>
        </w:rPr>
        <w:t>24.5m</w:t>
      </w:r>
      <w:r>
        <w:rPr>
          <w:rFonts w:hint="eastAsia" w:cs="宋体"/>
          <w:bCs/>
          <w:lang w:bidi="ar"/>
        </w:rPr>
        <w:t>；横二路位于</w:t>
      </w:r>
      <w:r>
        <w:rPr>
          <w:bCs/>
          <w:lang w:bidi="ar"/>
        </w:rPr>
        <w:t>7</w:t>
      </w:r>
      <w:r>
        <w:rPr>
          <w:rFonts w:hint="eastAsia" w:cs="宋体"/>
          <w:bCs/>
          <w:lang w:bidi="ar"/>
        </w:rPr>
        <w:t>号～</w:t>
      </w:r>
      <w:r>
        <w:rPr>
          <w:bCs/>
          <w:lang w:bidi="ar"/>
        </w:rPr>
        <w:t>10</w:t>
      </w:r>
      <w:r>
        <w:rPr>
          <w:rFonts w:hint="eastAsia" w:cs="宋体"/>
          <w:bCs/>
          <w:lang w:bidi="ar"/>
        </w:rPr>
        <w:t>号泊位堆场陆侧，为港区进出港主要通道，设</w:t>
      </w:r>
      <w:r>
        <w:rPr>
          <w:bCs/>
          <w:lang w:bidi="ar"/>
        </w:rPr>
        <w:t>11</w:t>
      </w:r>
      <w:r>
        <w:rPr>
          <w:rFonts w:hint="eastAsia" w:cs="宋体"/>
          <w:bCs/>
          <w:lang w:bidi="ar"/>
        </w:rPr>
        <w:t>车道，宽度为</w:t>
      </w:r>
      <w:r>
        <w:rPr>
          <w:bCs/>
          <w:lang w:bidi="ar"/>
        </w:rPr>
        <w:t>44m</w:t>
      </w:r>
      <w:r>
        <w:rPr>
          <w:rFonts w:hint="eastAsia" w:cs="宋体"/>
          <w:bCs/>
          <w:lang w:bidi="ar"/>
        </w:rPr>
        <w:t>。纵向路利用</w:t>
      </w:r>
      <w:r>
        <w:rPr>
          <w:bCs/>
          <w:lang w:bidi="ar"/>
        </w:rPr>
        <w:t>7</w:t>
      </w:r>
      <w:r>
        <w:rPr>
          <w:rFonts w:hint="eastAsia" w:cs="宋体"/>
          <w:bCs/>
          <w:lang w:bidi="ar"/>
        </w:rPr>
        <w:t>号</w:t>
      </w:r>
      <w:r>
        <w:rPr>
          <w:bCs/>
          <w:lang w:bidi="ar"/>
        </w:rPr>
        <w:t>8</w:t>
      </w:r>
      <w:r>
        <w:rPr>
          <w:rFonts w:hint="eastAsia" w:cs="宋体"/>
          <w:bCs/>
          <w:lang w:bidi="ar"/>
        </w:rPr>
        <w:t>号泊位</w:t>
      </w:r>
      <w:r>
        <w:rPr>
          <w:bCs/>
          <w:lang w:bidi="ar"/>
        </w:rPr>
        <w:t>1</w:t>
      </w:r>
      <w:r>
        <w:rPr>
          <w:rFonts w:hint="eastAsia" w:cs="宋体"/>
          <w:bCs/>
          <w:lang w:bidi="ar"/>
        </w:rPr>
        <w:t>号堆场北侧的</w:t>
      </w:r>
      <w:r>
        <w:rPr>
          <w:bCs/>
          <w:lang w:bidi="ar"/>
        </w:rPr>
        <w:t>2</w:t>
      </w:r>
      <w:r>
        <w:rPr>
          <w:rFonts w:hint="eastAsia" w:cs="宋体"/>
          <w:bCs/>
          <w:lang w:bidi="ar"/>
        </w:rPr>
        <w:t>条外集卡车道和江海联运泊位轨内</w:t>
      </w:r>
      <w:r>
        <w:rPr>
          <w:bCs/>
          <w:lang w:bidi="ar"/>
        </w:rPr>
        <w:t>2</w:t>
      </w:r>
      <w:r>
        <w:rPr>
          <w:rFonts w:hint="eastAsia" w:cs="宋体"/>
          <w:bCs/>
          <w:lang w:bidi="ar"/>
        </w:rPr>
        <w:t>条特殊箱车道，道路分别宽</w:t>
      </w:r>
      <w:r>
        <w:rPr>
          <w:bCs/>
          <w:lang w:bidi="ar"/>
        </w:rPr>
        <w:t>11.5m</w:t>
      </w:r>
      <w:r>
        <w:rPr>
          <w:rFonts w:hint="eastAsia" w:cs="宋体"/>
          <w:bCs/>
          <w:lang w:bidi="ar"/>
        </w:rPr>
        <w:t>和</w:t>
      </w:r>
      <w:r>
        <w:rPr>
          <w:bCs/>
          <w:lang w:bidi="ar"/>
        </w:rPr>
        <w:t>12m</w:t>
      </w:r>
      <w:r>
        <w:rPr>
          <w:rFonts w:hint="eastAsia" w:cs="宋体"/>
          <w:bCs/>
          <w:lang w:bidi="ar"/>
        </w:rPr>
        <w:t>。</w:t>
      </w:r>
    </w:p>
    <w:p w14:paraId="15C06206">
      <w:pPr>
        <w:adjustRightInd w:val="0"/>
        <w:ind w:firstLine="462"/>
      </w:pPr>
      <w:r>
        <w:rPr>
          <w:rFonts w:hint="eastAsia" w:cs="宋体"/>
          <w:bCs/>
          <w:lang w:bidi="ar"/>
        </w:rPr>
        <w:t>特殊箱环形通道依托横二路、</w:t>
      </w:r>
      <w:r>
        <w:rPr>
          <w:bCs/>
          <w:lang w:bidi="ar"/>
        </w:rPr>
        <w:t>7</w:t>
      </w:r>
      <w:r>
        <w:rPr>
          <w:rFonts w:hint="eastAsia" w:cs="宋体"/>
          <w:bCs/>
          <w:lang w:bidi="ar"/>
        </w:rPr>
        <w:t>号</w:t>
      </w:r>
      <w:r>
        <w:rPr>
          <w:bCs/>
          <w:lang w:bidi="ar"/>
        </w:rPr>
        <w:t>8</w:t>
      </w:r>
      <w:r>
        <w:rPr>
          <w:rFonts w:hint="eastAsia" w:cs="宋体"/>
          <w:bCs/>
          <w:lang w:bidi="ar"/>
        </w:rPr>
        <w:t>号泊位的纵一路、</w:t>
      </w:r>
      <w:r>
        <w:rPr>
          <w:bCs/>
          <w:lang w:bidi="ar"/>
        </w:rPr>
        <w:t>7</w:t>
      </w:r>
      <w:r>
        <w:rPr>
          <w:rFonts w:hint="eastAsia" w:cs="宋体"/>
          <w:bCs/>
          <w:lang w:bidi="ar"/>
        </w:rPr>
        <w:t>号～</w:t>
      </w:r>
      <w:r>
        <w:rPr>
          <w:bCs/>
          <w:lang w:bidi="ar"/>
        </w:rPr>
        <w:t>10</w:t>
      </w:r>
      <w:r>
        <w:rPr>
          <w:rFonts w:hint="eastAsia" w:cs="宋体"/>
          <w:bCs/>
          <w:lang w:bidi="ar"/>
        </w:rPr>
        <w:t>号泊位码头前沿作业地带两轨内的特殊箱通道和江海联运泊位轨内特殊箱车道形成环形的通道。</w:t>
      </w:r>
    </w:p>
    <w:p w14:paraId="107D438B">
      <w:pPr>
        <w:pStyle w:val="5"/>
      </w:pPr>
      <w:r>
        <w:rPr>
          <w:rFonts w:hint="eastAsia"/>
        </w:rPr>
        <w:t>炸礁疏浚工程</w:t>
      </w:r>
    </w:p>
    <w:p w14:paraId="5BECD499">
      <w:pPr>
        <w:adjustRightInd w:val="0"/>
        <w:ind w:firstLine="462"/>
        <w:rPr>
          <w:rFonts w:cs="宋体"/>
          <w:bCs/>
          <w:lang w:bidi="ar"/>
        </w:rPr>
      </w:pPr>
      <w:r>
        <w:rPr>
          <w:rFonts w:hint="eastAsia" w:cs="宋体"/>
          <w:bCs/>
          <w:lang w:bidi="ar"/>
        </w:rPr>
        <w:t>根据《北部湾港钦州港域大榄坪港区大榄坪南作业区内</w:t>
      </w:r>
      <w:r>
        <w:rPr>
          <w:bCs/>
          <w:lang w:bidi="ar"/>
        </w:rPr>
        <w:t>1</w:t>
      </w:r>
      <w:r>
        <w:rPr>
          <w:rFonts w:hint="eastAsia" w:cs="宋体"/>
          <w:bCs/>
          <w:lang w:bidi="ar"/>
        </w:rPr>
        <w:t>号至</w:t>
      </w:r>
      <w:r>
        <w:rPr>
          <w:bCs/>
          <w:lang w:bidi="ar"/>
        </w:rPr>
        <w:t>5</w:t>
      </w:r>
      <w:r>
        <w:rPr>
          <w:rFonts w:hint="eastAsia" w:cs="宋体"/>
          <w:bCs/>
          <w:lang w:bidi="ar"/>
        </w:rPr>
        <w:t>号江海联运泊位工程可行性研究报告》，项目疏浚深度范围内主要土质为淤泥类土、砂性土和岩，挖泥边坡取</w:t>
      </w:r>
      <w:r>
        <w:rPr>
          <w:bCs/>
          <w:lang w:bidi="ar"/>
        </w:rPr>
        <w:t>1</w:t>
      </w:r>
      <w:r>
        <w:rPr>
          <w:rFonts w:hint="eastAsia" w:cs="宋体"/>
          <w:bCs/>
          <w:lang w:bidi="ar"/>
        </w:rPr>
        <w:t>：</w:t>
      </w:r>
      <w:r>
        <w:rPr>
          <w:rFonts w:hint="eastAsia"/>
          <w:bCs/>
          <w:lang w:bidi="ar"/>
        </w:rPr>
        <w:t>5</w:t>
      </w:r>
      <w:r>
        <w:rPr>
          <w:rFonts w:hint="eastAsia" w:cs="宋体"/>
          <w:bCs/>
          <w:lang w:bidi="ar"/>
        </w:rPr>
        <w:t>。本工程疏浚区域包括港池，疏浚总量约</w:t>
      </w:r>
      <w:r>
        <w:rPr>
          <w:bCs/>
          <w:lang w:bidi="ar"/>
        </w:rPr>
        <w:t>131.16</w:t>
      </w:r>
      <w:r>
        <w:rPr>
          <w:rFonts w:hint="eastAsia" w:cs="宋体"/>
          <w:bCs/>
          <w:lang w:bidi="ar"/>
        </w:rPr>
        <w:t>万</w:t>
      </w:r>
      <w:r>
        <w:rPr>
          <w:bCs/>
          <w:lang w:bidi="ar"/>
        </w:rPr>
        <w:t>m</w:t>
      </w:r>
      <w:r>
        <w:rPr>
          <w:bCs/>
          <w:vertAlign w:val="superscript"/>
          <w:lang w:bidi="ar"/>
        </w:rPr>
        <w:t>3</w:t>
      </w:r>
      <w:r>
        <w:rPr>
          <w:rFonts w:hint="eastAsia" w:cs="宋体"/>
          <w:bCs/>
          <w:lang w:bidi="ar"/>
        </w:rPr>
        <w:t>（其中炸礁</w:t>
      </w:r>
      <w:r>
        <w:rPr>
          <w:bCs/>
          <w:lang w:bidi="ar"/>
        </w:rPr>
        <w:t>3.91</w:t>
      </w:r>
      <w:r>
        <w:rPr>
          <w:rFonts w:hint="eastAsia" w:cs="宋体"/>
          <w:bCs/>
          <w:lang w:bidi="ar"/>
        </w:rPr>
        <w:t>万</w:t>
      </w:r>
      <w:r>
        <w:rPr>
          <w:bCs/>
          <w:lang w:bidi="ar"/>
        </w:rPr>
        <w:t>m</w:t>
      </w:r>
      <w:r>
        <w:rPr>
          <w:bCs/>
          <w:vertAlign w:val="superscript"/>
          <w:lang w:bidi="ar"/>
        </w:rPr>
        <w:t>3</w:t>
      </w:r>
      <w:r>
        <w:rPr>
          <w:rFonts w:hint="eastAsia" w:cs="宋体"/>
          <w:bCs/>
          <w:lang w:bidi="ar"/>
        </w:rPr>
        <w:t>）。其中，项目利用约</w:t>
      </w:r>
      <w:r>
        <w:rPr>
          <w:rFonts w:hint="eastAsia"/>
          <w:bCs/>
          <w:lang w:bidi="ar"/>
        </w:rPr>
        <w:t>52.41</w:t>
      </w:r>
      <w:r>
        <w:rPr>
          <w:rFonts w:hint="eastAsia" w:cs="宋体"/>
          <w:bCs/>
          <w:lang w:bidi="ar"/>
        </w:rPr>
        <w:t>万</w:t>
      </w:r>
      <w:r>
        <w:rPr>
          <w:bCs/>
          <w:lang w:bidi="ar"/>
        </w:rPr>
        <w:t>m</w:t>
      </w:r>
      <w:r>
        <w:rPr>
          <w:bCs/>
          <w:vertAlign w:val="superscript"/>
          <w:lang w:bidi="ar"/>
        </w:rPr>
        <w:t>3</w:t>
      </w:r>
      <w:r>
        <w:rPr>
          <w:rFonts w:hint="eastAsia" w:cs="宋体"/>
          <w:bCs/>
          <w:lang w:bidi="ar"/>
        </w:rPr>
        <w:t>疏浚砂用于后方陆域形成，其中疏浚砂采用</w:t>
      </w:r>
      <w:r>
        <w:rPr>
          <w:bCs/>
          <w:lang w:bidi="ar"/>
        </w:rPr>
        <w:t>1450m³/h</w:t>
      </w:r>
      <w:r>
        <w:rPr>
          <w:rFonts w:hint="eastAsia" w:cs="宋体"/>
          <w:bCs/>
          <w:lang w:bidi="ar"/>
        </w:rPr>
        <w:t>绞吸式挖泥船吹填至未回填水域；</w:t>
      </w:r>
      <w:r>
        <w:rPr>
          <w:bCs/>
          <w:u w:val="single"/>
          <w:lang w:bidi="ar"/>
        </w:rPr>
        <w:t>3.91</w:t>
      </w:r>
      <w:r>
        <w:rPr>
          <w:rFonts w:hint="eastAsia" w:cs="宋体"/>
          <w:bCs/>
          <w:u w:val="single"/>
          <w:lang w:bidi="ar"/>
        </w:rPr>
        <w:t>万</w:t>
      </w:r>
      <w:r>
        <w:rPr>
          <w:bCs/>
          <w:u w:val="single"/>
          <w:lang w:bidi="ar"/>
        </w:rPr>
        <w:t>m</w:t>
      </w:r>
      <w:r>
        <w:rPr>
          <w:bCs/>
          <w:u w:val="single"/>
          <w:vertAlign w:val="superscript"/>
          <w:lang w:bidi="ar"/>
        </w:rPr>
        <w:t>3</w:t>
      </w:r>
      <w:r>
        <w:rPr>
          <w:rFonts w:hint="eastAsia" w:cs="宋体"/>
          <w:bCs/>
          <w:u w:val="single"/>
          <w:lang w:bidi="ar"/>
        </w:rPr>
        <w:t>强风化岩和中风化岩采用爆破炸礁后，采用</w:t>
      </w:r>
      <w:r>
        <w:rPr>
          <w:bCs/>
          <w:u w:val="single"/>
          <w:lang w:bidi="ar"/>
        </w:rPr>
        <w:t>13m</w:t>
      </w:r>
      <w:r>
        <w:rPr>
          <w:bCs/>
          <w:u w:val="single"/>
          <w:vertAlign w:val="superscript"/>
          <w:lang w:bidi="ar"/>
        </w:rPr>
        <w:t>3</w:t>
      </w:r>
      <w:r>
        <w:rPr>
          <w:rFonts w:hint="eastAsia" w:cs="宋体"/>
          <w:bCs/>
          <w:u w:val="single"/>
          <w:lang w:bidi="ar"/>
        </w:rPr>
        <w:t>抓斗式挖泥船进行清礁施工，开挖后清运至本项目后方陆域回填</w:t>
      </w:r>
      <w:r>
        <w:rPr>
          <w:rFonts w:hint="eastAsia" w:cs="宋体"/>
          <w:bCs/>
          <w:lang w:bidi="ar"/>
        </w:rPr>
        <w:t>；其余</w:t>
      </w:r>
      <w:bookmarkStart w:id="214" w:name="OLE_LINK21"/>
      <w:r>
        <w:rPr>
          <w:rFonts w:hint="eastAsia"/>
          <w:bCs/>
          <w:lang w:bidi="ar"/>
        </w:rPr>
        <w:t>74.84</w:t>
      </w:r>
      <w:bookmarkEnd w:id="214"/>
      <w:r>
        <w:rPr>
          <w:rFonts w:hint="eastAsia" w:cs="宋体"/>
          <w:bCs/>
          <w:lang w:bidi="ar"/>
        </w:rPr>
        <w:t>万</w:t>
      </w:r>
      <w:r>
        <w:rPr>
          <w:bCs/>
          <w:lang w:bidi="ar"/>
        </w:rPr>
        <w:t>m</w:t>
      </w:r>
      <w:r>
        <w:rPr>
          <w:bCs/>
          <w:vertAlign w:val="superscript"/>
          <w:lang w:bidi="ar"/>
        </w:rPr>
        <w:t>3</w:t>
      </w:r>
      <w:r>
        <w:rPr>
          <w:rFonts w:hint="eastAsia" w:cs="宋体"/>
          <w:bCs/>
          <w:lang w:bidi="ar"/>
        </w:rPr>
        <w:t>疏浚土石采用抓斗式挖泥船进行疏浚施工，开挖后泥驳运至</w:t>
      </w:r>
      <w:r>
        <w:rPr>
          <w:bCs/>
          <w:lang w:bidi="ar"/>
        </w:rPr>
        <w:t>53km</w:t>
      </w:r>
      <w:r>
        <w:rPr>
          <w:rFonts w:hint="eastAsia" w:cs="宋体"/>
          <w:bCs/>
          <w:lang w:bidi="ar"/>
        </w:rPr>
        <w:t>外的钦州港</w:t>
      </w:r>
      <w:r>
        <w:rPr>
          <w:bCs/>
          <w:lang w:bidi="ar"/>
        </w:rPr>
        <w:t>30</w:t>
      </w:r>
      <w:r>
        <w:rPr>
          <w:rFonts w:hint="eastAsia" w:cs="宋体"/>
          <w:bCs/>
          <w:lang w:bidi="ar"/>
        </w:rPr>
        <w:t>万吨级进港航道疏浚工程疏浚物临时性海洋倾倒区</w:t>
      </w:r>
      <w:r>
        <w:rPr>
          <w:bCs/>
          <w:lang w:bidi="ar"/>
        </w:rPr>
        <w:t>B</w:t>
      </w:r>
      <w:r>
        <w:rPr>
          <w:rFonts w:hint="eastAsia" w:cs="宋体"/>
          <w:bCs/>
          <w:lang w:bidi="ar"/>
        </w:rPr>
        <w:t>区抛卸。采用水下钻孔爆破方法，由炸礁船进行水下钻孔爆破施工。由绞吸式挖泥船及</w:t>
      </w:r>
      <w:r>
        <w:rPr>
          <w:bCs/>
          <w:lang w:bidi="ar"/>
        </w:rPr>
        <w:t>13m</w:t>
      </w:r>
      <w:r>
        <w:rPr>
          <w:bCs/>
          <w:vertAlign w:val="superscript"/>
          <w:lang w:bidi="ar"/>
        </w:rPr>
        <w:t>3</w:t>
      </w:r>
      <w:r>
        <w:rPr>
          <w:rFonts w:hint="eastAsia" w:cs="宋体"/>
          <w:bCs/>
          <w:lang w:bidi="ar"/>
        </w:rPr>
        <w:t>抓斗式挖泥船清渣，弃渣经自航泥驳运输至上述临时性海洋倾倒</w:t>
      </w:r>
      <w:r>
        <w:rPr>
          <w:bCs/>
          <w:lang w:bidi="ar"/>
        </w:rPr>
        <w:t>B</w:t>
      </w:r>
      <w:r>
        <w:rPr>
          <w:rFonts w:hint="eastAsia" w:cs="宋体"/>
          <w:bCs/>
          <w:lang w:bidi="ar"/>
        </w:rPr>
        <w:t>区抛卸。</w:t>
      </w:r>
    </w:p>
    <w:p w14:paraId="66063ECC">
      <w:pPr>
        <w:pStyle w:val="8"/>
        <w:keepLines/>
        <w:adjustRightInd w:val="0"/>
        <w:ind w:firstLine="480"/>
      </w:pPr>
      <w:r>
        <w:rPr>
          <w:rFonts w:hint="eastAsia"/>
          <w:lang w:bidi="ar"/>
        </w:rPr>
        <w:t>项目疏浚炸礁范围示意图</w:t>
      </w:r>
    </w:p>
    <w:p w14:paraId="27A4E8DF">
      <w:pPr>
        <w:pStyle w:val="7"/>
      </w:pPr>
      <w:r>
        <w:rPr>
          <w:rFonts w:hint="eastAsia"/>
        </w:rPr>
        <w:t>炸礁疏浚主要工程量汇总表</w:t>
      </w:r>
      <w:r>
        <w:t xml:space="preserve"> </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9"/>
        <w:gridCol w:w="5973"/>
        <w:gridCol w:w="759"/>
        <w:gridCol w:w="1117"/>
      </w:tblGrid>
      <w:tr w14:paraId="3C2735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3900" w:type="pct"/>
            <w:gridSpan w:val="2"/>
            <w:tcBorders>
              <w:top w:val="single" w:color="auto" w:sz="12" w:space="0"/>
              <w:left w:val="single" w:color="auto" w:sz="12" w:space="0"/>
              <w:bottom w:val="single" w:color="auto" w:sz="6" w:space="0"/>
              <w:right w:val="single" w:color="auto" w:sz="6" w:space="0"/>
            </w:tcBorders>
            <w:vAlign w:val="center"/>
          </w:tcPr>
          <w:p w14:paraId="7C866D14">
            <w:pPr>
              <w:pStyle w:val="34"/>
              <w:rPr>
                <w:u w:val="single"/>
              </w:rPr>
            </w:pPr>
            <w:r>
              <w:rPr>
                <w:rFonts w:hint="eastAsia"/>
                <w:u w:val="single"/>
              </w:rPr>
              <w:t>工程类别</w:t>
            </w:r>
          </w:p>
        </w:tc>
        <w:tc>
          <w:tcPr>
            <w:tcW w:w="445" w:type="pct"/>
            <w:tcBorders>
              <w:top w:val="single" w:color="auto" w:sz="12" w:space="0"/>
              <w:left w:val="single" w:color="auto" w:sz="6" w:space="0"/>
              <w:bottom w:val="single" w:color="auto" w:sz="6" w:space="0"/>
              <w:right w:val="single" w:color="auto" w:sz="6" w:space="0"/>
            </w:tcBorders>
            <w:vAlign w:val="center"/>
          </w:tcPr>
          <w:p w14:paraId="4C138FB3">
            <w:pPr>
              <w:pStyle w:val="34"/>
              <w:rPr>
                <w:u w:val="single"/>
              </w:rPr>
            </w:pPr>
            <w:r>
              <w:rPr>
                <w:rFonts w:hint="eastAsia"/>
                <w:u w:val="single"/>
              </w:rPr>
              <w:t>单位</w:t>
            </w:r>
          </w:p>
        </w:tc>
        <w:tc>
          <w:tcPr>
            <w:tcW w:w="655" w:type="pct"/>
            <w:tcBorders>
              <w:top w:val="single" w:color="auto" w:sz="12" w:space="0"/>
              <w:left w:val="single" w:color="auto" w:sz="6" w:space="0"/>
              <w:bottom w:val="single" w:color="auto" w:sz="6" w:space="0"/>
              <w:right w:val="single" w:color="auto" w:sz="12" w:space="0"/>
            </w:tcBorders>
            <w:vAlign w:val="center"/>
          </w:tcPr>
          <w:p w14:paraId="257CB48C">
            <w:pPr>
              <w:pStyle w:val="34"/>
              <w:rPr>
                <w:u w:val="single"/>
              </w:rPr>
            </w:pPr>
            <w:r>
              <w:rPr>
                <w:rFonts w:hint="eastAsia"/>
                <w:u w:val="single"/>
              </w:rPr>
              <w:t>工程数量</w:t>
            </w:r>
          </w:p>
        </w:tc>
      </w:tr>
      <w:tr w14:paraId="2C471F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900" w:type="pct"/>
            <w:gridSpan w:val="2"/>
            <w:tcBorders>
              <w:top w:val="single" w:color="auto" w:sz="6" w:space="0"/>
              <w:left w:val="single" w:color="auto" w:sz="12" w:space="0"/>
              <w:bottom w:val="single" w:color="auto" w:sz="6" w:space="0"/>
              <w:right w:val="single" w:color="auto" w:sz="6" w:space="0"/>
            </w:tcBorders>
            <w:vAlign w:val="center"/>
          </w:tcPr>
          <w:p w14:paraId="47412200">
            <w:pPr>
              <w:pStyle w:val="34"/>
              <w:rPr>
                <w:u w:val="single"/>
              </w:rPr>
            </w:pPr>
            <w:r>
              <w:rPr>
                <w:rFonts w:hint="eastAsia"/>
                <w:u w:val="single"/>
              </w:rPr>
              <w:t>疏浚工程</w:t>
            </w:r>
          </w:p>
        </w:tc>
        <w:tc>
          <w:tcPr>
            <w:tcW w:w="445" w:type="pct"/>
            <w:tcBorders>
              <w:top w:val="single" w:color="auto" w:sz="6" w:space="0"/>
              <w:left w:val="single" w:color="auto" w:sz="6" w:space="0"/>
              <w:bottom w:val="single" w:color="auto" w:sz="6" w:space="0"/>
              <w:right w:val="single" w:color="auto" w:sz="6" w:space="0"/>
            </w:tcBorders>
            <w:vAlign w:val="center"/>
          </w:tcPr>
          <w:p w14:paraId="28C242E7">
            <w:pPr>
              <w:pStyle w:val="34"/>
              <w:rPr>
                <w:u w:val="single"/>
              </w:rPr>
            </w:pPr>
            <w:r>
              <w:rPr>
                <w:rFonts w:hint="eastAsia"/>
                <w:u w:val="single"/>
              </w:rPr>
              <w:t>万</w:t>
            </w:r>
            <w:r>
              <w:rPr>
                <w:u w:val="single"/>
              </w:rPr>
              <w:t>m</w:t>
            </w:r>
            <w:r>
              <w:rPr>
                <w:u w:val="single"/>
                <w:vertAlign w:val="superscript"/>
              </w:rPr>
              <w:t>3</w:t>
            </w:r>
          </w:p>
        </w:tc>
        <w:tc>
          <w:tcPr>
            <w:tcW w:w="655" w:type="pct"/>
            <w:tcBorders>
              <w:top w:val="single" w:color="auto" w:sz="6" w:space="0"/>
              <w:left w:val="single" w:color="auto" w:sz="6" w:space="0"/>
              <w:bottom w:val="single" w:color="auto" w:sz="6" w:space="0"/>
              <w:right w:val="single" w:color="auto" w:sz="12" w:space="0"/>
            </w:tcBorders>
            <w:vAlign w:val="center"/>
          </w:tcPr>
          <w:p w14:paraId="3F8D56C8">
            <w:pPr>
              <w:pStyle w:val="34"/>
              <w:rPr>
                <w:u w:val="single"/>
              </w:rPr>
            </w:pPr>
            <w:r>
              <w:rPr>
                <w:u w:val="single"/>
              </w:rPr>
              <w:t>131.16</w:t>
            </w:r>
          </w:p>
        </w:tc>
      </w:tr>
      <w:tr w14:paraId="69AC8C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98" w:type="pct"/>
            <w:vMerge w:val="restart"/>
            <w:tcBorders>
              <w:top w:val="single" w:color="auto" w:sz="6" w:space="0"/>
              <w:left w:val="single" w:color="auto" w:sz="12" w:space="0"/>
              <w:bottom w:val="single" w:color="auto" w:sz="12" w:space="0"/>
              <w:right w:val="single" w:color="auto" w:sz="6" w:space="0"/>
            </w:tcBorders>
            <w:vAlign w:val="center"/>
          </w:tcPr>
          <w:p w14:paraId="3F982F8E">
            <w:pPr>
              <w:pStyle w:val="34"/>
              <w:rPr>
                <w:u w:val="single"/>
              </w:rPr>
            </w:pPr>
            <w:r>
              <w:rPr>
                <w:rFonts w:hint="eastAsia"/>
                <w:u w:val="single"/>
              </w:rPr>
              <w:t>其中</w:t>
            </w:r>
          </w:p>
        </w:tc>
        <w:tc>
          <w:tcPr>
            <w:tcW w:w="3502" w:type="pct"/>
            <w:tcBorders>
              <w:top w:val="single" w:color="auto" w:sz="6" w:space="0"/>
              <w:left w:val="single" w:color="auto" w:sz="6" w:space="0"/>
              <w:bottom w:val="single" w:color="auto" w:sz="6" w:space="0"/>
              <w:right w:val="single" w:color="auto" w:sz="6" w:space="0"/>
            </w:tcBorders>
            <w:vAlign w:val="center"/>
          </w:tcPr>
          <w:p w14:paraId="4C653B65">
            <w:pPr>
              <w:pStyle w:val="34"/>
              <w:rPr>
                <w:u w:val="single"/>
              </w:rPr>
            </w:pPr>
            <w:r>
              <w:rPr>
                <w:rFonts w:hint="eastAsia"/>
                <w:u w:val="single"/>
              </w:rPr>
              <w:t>绞吸挖泥船，陆域堆载</w:t>
            </w:r>
          </w:p>
        </w:tc>
        <w:tc>
          <w:tcPr>
            <w:tcW w:w="445" w:type="pct"/>
            <w:tcBorders>
              <w:top w:val="single" w:color="auto" w:sz="6" w:space="0"/>
              <w:left w:val="single" w:color="auto" w:sz="6" w:space="0"/>
              <w:bottom w:val="single" w:color="auto" w:sz="6" w:space="0"/>
              <w:right w:val="single" w:color="auto" w:sz="6" w:space="0"/>
            </w:tcBorders>
            <w:vAlign w:val="center"/>
          </w:tcPr>
          <w:p w14:paraId="62A45F3E">
            <w:pPr>
              <w:pStyle w:val="34"/>
              <w:rPr>
                <w:u w:val="single"/>
              </w:rPr>
            </w:pPr>
            <w:r>
              <w:rPr>
                <w:rFonts w:hint="eastAsia"/>
                <w:u w:val="single"/>
              </w:rPr>
              <w:t>万</w:t>
            </w:r>
            <w:r>
              <w:rPr>
                <w:u w:val="single"/>
              </w:rPr>
              <w:t>m</w:t>
            </w:r>
            <w:r>
              <w:rPr>
                <w:u w:val="single"/>
                <w:vertAlign w:val="superscript"/>
              </w:rPr>
              <w:t>3</w:t>
            </w:r>
          </w:p>
        </w:tc>
        <w:tc>
          <w:tcPr>
            <w:tcW w:w="655" w:type="pct"/>
            <w:tcBorders>
              <w:top w:val="single" w:color="auto" w:sz="6" w:space="0"/>
              <w:left w:val="single" w:color="auto" w:sz="6" w:space="0"/>
              <w:bottom w:val="single" w:color="auto" w:sz="6" w:space="0"/>
              <w:right w:val="single" w:color="auto" w:sz="12" w:space="0"/>
            </w:tcBorders>
            <w:vAlign w:val="center"/>
          </w:tcPr>
          <w:p w14:paraId="56E6A749">
            <w:pPr>
              <w:pStyle w:val="34"/>
              <w:rPr>
                <w:u w:val="single"/>
              </w:rPr>
            </w:pPr>
            <w:r>
              <w:rPr>
                <w:u w:val="single"/>
              </w:rPr>
              <w:t>52.41</w:t>
            </w:r>
          </w:p>
        </w:tc>
      </w:tr>
      <w:tr w14:paraId="249130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98" w:type="pct"/>
            <w:vMerge w:val="continue"/>
            <w:tcBorders>
              <w:top w:val="single" w:color="auto" w:sz="6" w:space="0"/>
              <w:left w:val="single" w:color="auto" w:sz="12" w:space="0"/>
              <w:bottom w:val="single" w:color="auto" w:sz="12" w:space="0"/>
              <w:right w:val="single" w:color="auto" w:sz="6" w:space="0"/>
            </w:tcBorders>
            <w:vAlign w:val="center"/>
          </w:tcPr>
          <w:p w14:paraId="1B9A3401">
            <w:pPr>
              <w:pStyle w:val="34"/>
              <w:rPr>
                <w:sz w:val="20"/>
                <w:szCs w:val="20"/>
                <w:u w:val="single"/>
              </w:rPr>
            </w:pPr>
          </w:p>
        </w:tc>
        <w:tc>
          <w:tcPr>
            <w:tcW w:w="3502" w:type="pct"/>
            <w:tcBorders>
              <w:top w:val="single" w:color="auto" w:sz="6" w:space="0"/>
              <w:left w:val="single" w:color="auto" w:sz="6" w:space="0"/>
              <w:bottom w:val="single" w:color="auto" w:sz="6" w:space="0"/>
              <w:right w:val="single" w:color="auto" w:sz="6" w:space="0"/>
            </w:tcBorders>
            <w:vAlign w:val="center"/>
          </w:tcPr>
          <w:p w14:paraId="05C9D838">
            <w:pPr>
              <w:pStyle w:val="34"/>
              <w:rPr>
                <w:u w:val="single"/>
              </w:rPr>
            </w:pPr>
            <w:r>
              <w:rPr>
                <w:rFonts w:hint="eastAsia"/>
                <w:u w:val="single"/>
              </w:rPr>
              <w:t>抓斗挖泥船，外抛转运</w:t>
            </w:r>
          </w:p>
        </w:tc>
        <w:tc>
          <w:tcPr>
            <w:tcW w:w="445" w:type="pct"/>
            <w:tcBorders>
              <w:top w:val="single" w:color="auto" w:sz="6" w:space="0"/>
              <w:left w:val="single" w:color="auto" w:sz="6" w:space="0"/>
              <w:bottom w:val="single" w:color="auto" w:sz="6" w:space="0"/>
              <w:right w:val="single" w:color="auto" w:sz="6" w:space="0"/>
            </w:tcBorders>
            <w:vAlign w:val="center"/>
          </w:tcPr>
          <w:p w14:paraId="2B788542">
            <w:pPr>
              <w:pStyle w:val="34"/>
              <w:rPr>
                <w:u w:val="single"/>
              </w:rPr>
            </w:pPr>
            <w:r>
              <w:rPr>
                <w:rFonts w:hint="eastAsia"/>
                <w:u w:val="single"/>
              </w:rPr>
              <w:t>万</w:t>
            </w:r>
            <w:r>
              <w:rPr>
                <w:u w:val="single"/>
              </w:rPr>
              <w:t>m</w:t>
            </w:r>
            <w:r>
              <w:rPr>
                <w:u w:val="single"/>
                <w:vertAlign w:val="superscript"/>
              </w:rPr>
              <w:t>3</w:t>
            </w:r>
          </w:p>
        </w:tc>
        <w:tc>
          <w:tcPr>
            <w:tcW w:w="655" w:type="pct"/>
            <w:tcBorders>
              <w:top w:val="single" w:color="auto" w:sz="6" w:space="0"/>
              <w:left w:val="single" w:color="auto" w:sz="6" w:space="0"/>
              <w:bottom w:val="single" w:color="auto" w:sz="6" w:space="0"/>
              <w:right w:val="single" w:color="auto" w:sz="12" w:space="0"/>
            </w:tcBorders>
            <w:vAlign w:val="center"/>
          </w:tcPr>
          <w:p w14:paraId="499CEF32">
            <w:pPr>
              <w:pStyle w:val="34"/>
              <w:rPr>
                <w:u w:val="single"/>
              </w:rPr>
            </w:pPr>
            <w:r>
              <w:rPr>
                <w:u w:val="single"/>
              </w:rPr>
              <w:t>74.84</w:t>
            </w:r>
          </w:p>
        </w:tc>
      </w:tr>
      <w:tr w14:paraId="2F205D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98" w:type="pct"/>
            <w:vMerge w:val="continue"/>
            <w:tcBorders>
              <w:top w:val="single" w:color="auto" w:sz="6" w:space="0"/>
              <w:left w:val="single" w:color="auto" w:sz="12" w:space="0"/>
              <w:bottom w:val="single" w:color="auto" w:sz="6" w:space="0"/>
              <w:right w:val="single" w:color="auto" w:sz="6" w:space="0"/>
            </w:tcBorders>
            <w:vAlign w:val="center"/>
          </w:tcPr>
          <w:p w14:paraId="70F1EE1C">
            <w:pPr>
              <w:pStyle w:val="34"/>
              <w:rPr>
                <w:sz w:val="20"/>
                <w:szCs w:val="20"/>
                <w:u w:val="single"/>
              </w:rPr>
            </w:pPr>
          </w:p>
        </w:tc>
        <w:tc>
          <w:tcPr>
            <w:tcW w:w="3502" w:type="pct"/>
            <w:tcBorders>
              <w:top w:val="single" w:color="auto" w:sz="6" w:space="0"/>
              <w:left w:val="single" w:color="auto" w:sz="6" w:space="0"/>
              <w:bottom w:val="single" w:color="auto" w:sz="6" w:space="0"/>
              <w:right w:val="single" w:color="auto" w:sz="6" w:space="0"/>
            </w:tcBorders>
            <w:vAlign w:val="center"/>
          </w:tcPr>
          <w:p w14:paraId="0C48981E">
            <w:pPr>
              <w:pStyle w:val="34"/>
              <w:rPr>
                <w:u w:val="single"/>
              </w:rPr>
            </w:pPr>
            <w:r>
              <w:rPr>
                <w:rFonts w:hint="eastAsia"/>
                <w:u w:val="single"/>
              </w:rPr>
              <w:t>水下炸礁及清礁，陆域堆载</w:t>
            </w:r>
          </w:p>
        </w:tc>
        <w:tc>
          <w:tcPr>
            <w:tcW w:w="445" w:type="pct"/>
            <w:tcBorders>
              <w:top w:val="single" w:color="auto" w:sz="6" w:space="0"/>
              <w:left w:val="single" w:color="auto" w:sz="6" w:space="0"/>
              <w:bottom w:val="single" w:color="auto" w:sz="6" w:space="0"/>
              <w:right w:val="single" w:color="auto" w:sz="6" w:space="0"/>
            </w:tcBorders>
            <w:vAlign w:val="center"/>
          </w:tcPr>
          <w:p w14:paraId="580078C2">
            <w:pPr>
              <w:pStyle w:val="34"/>
              <w:rPr>
                <w:u w:val="single"/>
              </w:rPr>
            </w:pPr>
            <w:r>
              <w:rPr>
                <w:rFonts w:hint="eastAsia"/>
                <w:u w:val="single"/>
              </w:rPr>
              <w:t>万</w:t>
            </w:r>
            <w:r>
              <w:rPr>
                <w:u w:val="single"/>
              </w:rPr>
              <w:t>m</w:t>
            </w:r>
            <w:r>
              <w:rPr>
                <w:u w:val="single"/>
                <w:vertAlign w:val="superscript"/>
              </w:rPr>
              <w:t>3</w:t>
            </w:r>
          </w:p>
        </w:tc>
        <w:tc>
          <w:tcPr>
            <w:tcW w:w="655" w:type="pct"/>
            <w:tcBorders>
              <w:top w:val="single" w:color="auto" w:sz="6" w:space="0"/>
              <w:left w:val="single" w:color="auto" w:sz="6" w:space="0"/>
              <w:bottom w:val="single" w:color="auto" w:sz="6" w:space="0"/>
              <w:right w:val="single" w:color="auto" w:sz="12" w:space="0"/>
            </w:tcBorders>
            <w:vAlign w:val="center"/>
          </w:tcPr>
          <w:p w14:paraId="25259DB8">
            <w:pPr>
              <w:pStyle w:val="34"/>
              <w:rPr>
                <w:u w:val="single"/>
              </w:rPr>
            </w:pPr>
            <w:r>
              <w:rPr>
                <w:u w:val="single"/>
              </w:rPr>
              <w:t>3.91</w:t>
            </w:r>
          </w:p>
        </w:tc>
      </w:tr>
    </w:tbl>
    <w:p w14:paraId="07A67669">
      <w:pPr>
        <w:pStyle w:val="5"/>
      </w:pPr>
      <w:r>
        <w:rPr>
          <w:rFonts w:hint="eastAsia"/>
        </w:rPr>
        <w:t>水工建筑物</w:t>
      </w:r>
    </w:p>
    <w:p w14:paraId="18194DEC">
      <w:pPr>
        <w:adjustRightInd w:val="0"/>
        <w:ind w:firstLine="462"/>
      </w:pPr>
      <w:bookmarkStart w:id="215" w:name="_Toc235237810"/>
      <w:bookmarkStart w:id="216" w:name="_Toc279393645"/>
      <w:bookmarkStart w:id="217" w:name="_Toc198998972"/>
      <w:bookmarkStart w:id="218" w:name="_Toc279065214"/>
      <w:r>
        <w:rPr>
          <w:rFonts w:hint="eastAsia" w:cs="宋体"/>
          <w:bCs/>
          <w:lang w:bidi="ar"/>
        </w:rPr>
        <w:t>水工建筑物建设内容包括：</w:t>
      </w:r>
    </w:p>
    <w:p w14:paraId="1DCF1DEB">
      <w:pPr>
        <w:adjustRightInd w:val="0"/>
        <w:ind w:firstLine="462"/>
      </w:pPr>
      <w:r>
        <w:rPr>
          <w:rFonts w:hint="eastAsia" w:cs="宋体"/>
          <w:bCs/>
          <w:lang w:bidi="ar"/>
        </w:rPr>
        <w:t>（</w:t>
      </w:r>
      <w:r>
        <w:rPr>
          <w:bCs/>
          <w:lang w:bidi="ar"/>
        </w:rPr>
        <w:t>1</w:t>
      </w:r>
      <w:r>
        <w:rPr>
          <w:rFonts w:hint="eastAsia" w:cs="宋体"/>
          <w:bCs/>
          <w:lang w:bidi="ar"/>
        </w:rPr>
        <w:t>）在 9 号 10 号泊位扩建工程的基础上安装护舷及系船柱主体结构。</w:t>
      </w:r>
    </w:p>
    <w:p w14:paraId="25B55707">
      <w:pPr>
        <w:adjustRightInd w:val="0"/>
        <w:ind w:firstLine="462"/>
        <w:rPr>
          <w:bCs/>
          <w:lang w:bidi="ar"/>
        </w:rPr>
      </w:pPr>
      <w:r>
        <w:rPr>
          <w:rFonts w:hint="eastAsia"/>
          <w:bCs/>
          <w:lang w:bidi="ar"/>
        </w:rPr>
        <w:t>9号10号泊位扩建段消浪护岸分为两部分，其中一部分护岸段位于扩建工程的南侧，长695m；另外一部分位于挖入式港池底部的护岸过渡段，长155.6m。695m护岸段分成三段，A段长260m，结构按2万吨级集装箱船预留设计；B段长108m，结构按照1万吨级集装箱泊位预留设计；C长327m，结构按照5千吨级集装箱泊位设计；155.6m护岸过渡段结构按照5千吨级集装箱泊位设计。</w:t>
      </w:r>
    </w:p>
    <w:p w14:paraId="32D3D61B">
      <w:pPr>
        <w:adjustRightInd w:val="0"/>
        <w:ind w:firstLine="462"/>
        <w:rPr>
          <w:bCs/>
          <w:lang w:bidi="ar"/>
        </w:rPr>
      </w:pPr>
      <w:r>
        <w:rPr>
          <w:rFonts w:hint="eastAsia"/>
          <w:bCs/>
          <w:lang w:bidi="ar"/>
        </w:rPr>
        <w:t>护岸均采用岸壁式沉箱结构，顶面标高6.6m，沉箱顶标高3.0m。</w:t>
      </w:r>
    </w:p>
    <w:p w14:paraId="030338A6">
      <w:pPr>
        <w:adjustRightInd w:val="0"/>
        <w:ind w:firstLine="462"/>
        <w:rPr>
          <w:bCs/>
          <w:lang w:bidi="ar"/>
        </w:rPr>
      </w:pPr>
      <w:r>
        <w:rPr>
          <w:rFonts w:hint="eastAsia"/>
          <w:bCs/>
          <w:lang w:bidi="ar"/>
        </w:rPr>
        <w:t>A段护岸沉箱底标高-11.8m，沉箱总高14.8m，底宽13.7m（其中趾长度1.0m），长24.5m，预制沉箱采用C40混凝土，单个沉箱重约2380t。沉箱仓格内回填疏浚砂，仓格上方设置现浇混凝土胸墙。沉箱后回填中粗砂并振冲密实，沉箱底部设置10～100kg块石基床，抛石基床坐落于强风化或中风化泥岩上。</w:t>
      </w:r>
    </w:p>
    <w:p w14:paraId="1148ABEC">
      <w:pPr>
        <w:adjustRightInd w:val="0"/>
        <w:ind w:firstLine="462"/>
        <w:rPr>
          <w:bCs/>
          <w:lang w:bidi="ar"/>
        </w:rPr>
      </w:pPr>
      <w:r>
        <w:rPr>
          <w:rFonts w:hint="eastAsia"/>
          <w:bCs/>
          <w:lang w:bidi="ar"/>
        </w:rPr>
        <w:t>B段护岸沉箱底标高-9.6m，沉箱总高12.6m，底宽11m（其中趾长度1m），长15.2m，预制沉箱采用C40混凝土，单个沉箱重约1053t。</w:t>
      </w:r>
    </w:p>
    <w:p w14:paraId="6AA8FCB0">
      <w:pPr>
        <w:adjustRightInd w:val="0"/>
        <w:ind w:firstLine="462"/>
        <w:rPr>
          <w:bCs/>
          <w:lang w:bidi="ar"/>
        </w:rPr>
      </w:pPr>
      <w:r>
        <w:rPr>
          <w:rFonts w:hint="eastAsia"/>
          <w:bCs/>
          <w:lang w:bidi="ar"/>
        </w:rPr>
        <w:t>C段护岸沉箱底标高-8.2m，沉箱总高11.2m，底宽10.8m（其中趾长度0.8m），长15.2m，预制沉箱采用C40混凝土，单个沉箱重约965t。155.6m护岸过渡段结构与C段一致。</w:t>
      </w:r>
    </w:p>
    <w:p w14:paraId="011B03FD">
      <w:pPr>
        <w:adjustRightInd w:val="0"/>
        <w:ind w:firstLine="462"/>
      </w:pPr>
      <w:r>
        <w:rPr>
          <w:rFonts w:hint="eastAsia" w:cs="宋体"/>
          <w:bCs/>
          <w:lang w:bidi="ar"/>
        </w:rPr>
        <w:t>沉箱仓格内均回填疏浚砂，仓格上方设置现浇混凝土胸墙。沉箱后回填中粗砂并振冲密实，沉箱底部设置</w:t>
      </w:r>
      <w:r>
        <w:rPr>
          <w:bCs/>
          <w:lang w:bidi="ar"/>
        </w:rPr>
        <w:t>10</w:t>
      </w:r>
      <w:r>
        <w:rPr>
          <w:rFonts w:hint="eastAsia" w:cs="宋体"/>
          <w:bCs/>
          <w:lang w:bidi="ar"/>
        </w:rPr>
        <w:t>～</w:t>
      </w:r>
      <w:r>
        <w:rPr>
          <w:bCs/>
          <w:lang w:bidi="ar"/>
        </w:rPr>
        <w:t>100kg</w:t>
      </w:r>
      <w:r>
        <w:rPr>
          <w:rFonts w:hint="eastAsia" w:cs="宋体"/>
          <w:bCs/>
          <w:lang w:bidi="ar"/>
        </w:rPr>
        <w:t>块石基床，抛石基床坐落于强风化岩上。</w:t>
      </w:r>
    </w:p>
    <w:p w14:paraId="0474A0D5">
      <w:pPr>
        <w:adjustRightInd w:val="0"/>
        <w:ind w:firstLine="462"/>
        <w:rPr>
          <w:rFonts w:cs="宋体"/>
          <w:b/>
          <w:lang w:bidi="ar"/>
        </w:rPr>
      </w:pPr>
      <w:r>
        <w:rPr>
          <w:rFonts w:hint="eastAsia" w:cs="宋体"/>
          <w:bCs/>
          <w:lang w:bidi="ar"/>
        </w:rPr>
        <w:t>两段结构胸墙浇筑时，均提前预埋了护舷及系船柱地脚螺栓，</w:t>
      </w:r>
      <w:r>
        <w:rPr>
          <w:rFonts w:hint="eastAsia" w:cs="宋体"/>
          <w:b/>
          <w:lang w:bidi="ar"/>
        </w:rPr>
        <w:t>本项目仅需安装护舷及系船柱主体结构即可。</w:t>
      </w:r>
    </w:p>
    <w:p w14:paraId="556B4040">
      <w:pPr>
        <w:adjustRightInd w:val="0"/>
        <w:ind w:firstLine="0" w:firstLineChars="0"/>
      </w:pPr>
      <w:r>
        <w:drawing>
          <wp:inline distT="0" distB="0" distL="0" distR="0">
            <wp:extent cx="5278120" cy="3418840"/>
            <wp:effectExtent l="0" t="0" r="0" b="0"/>
            <wp:docPr id="13485398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39864" name="图片 1"/>
                    <pic:cNvPicPr>
                      <a:picLocks noChangeAspect="1"/>
                    </pic:cNvPicPr>
                  </pic:nvPicPr>
                  <pic:blipFill>
                    <a:blip r:embed="rId40"/>
                    <a:stretch>
                      <a:fillRect/>
                    </a:stretch>
                  </pic:blipFill>
                  <pic:spPr>
                    <a:xfrm>
                      <a:off x="0" y="0"/>
                      <a:ext cx="5278120" cy="3418840"/>
                    </a:xfrm>
                    <a:prstGeom prst="rect">
                      <a:avLst/>
                    </a:prstGeom>
                  </pic:spPr>
                </pic:pic>
              </a:graphicData>
            </a:graphic>
          </wp:inline>
        </w:drawing>
      </w:r>
    </w:p>
    <w:p w14:paraId="6E85384B">
      <w:pPr>
        <w:pStyle w:val="8"/>
      </w:pPr>
      <w:r>
        <w:t>A</w:t>
      </w:r>
      <w:r>
        <w:rPr>
          <w:rFonts w:hint="eastAsia"/>
        </w:rPr>
        <w:t>段护岸断面图</w:t>
      </w:r>
    </w:p>
    <w:p w14:paraId="48F953EE">
      <w:pPr>
        <w:adjustRightInd w:val="0"/>
        <w:ind w:firstLine="0" w:firstLineChars="0"/>
      </w:pPr>
      <w:r>
        <w:drawing>
          <wp:inline distT="0" distB="0" distL="0" distR="0">
            <wp:extent cx="5278120" cy="3041650"/>
            <wp:effectExtent l="0" t="0" r="0" b="6350"/>
            <wp:docPr id="11971434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43495" name="图片 1"/>
                    <pic:cNvPicPr>
                      <a:picLocks noChangeAspect="1"/>
                    </pic:cNvPicPr>
                  </pic:nvPicPr>
                  <pic:blipFill>
                    <a:blip r:embed="rId41"/>
                    <a:stretch>
                      <a:fillRect/>
                    </a:stretch>
                  </pic:blipFill>
                  <pic:spPr>
                    <a:xfrm>
                      <a:off x="0" y="0"/>
                      <a:ext cx="5278120" cy="3041650"/>
                    </a:xfrm>
                    <a:prstGeom prst="rect">
                      <a:avLst/>
                    </a:prstGeom>
                  </pic:spPr>
                </pic:pic>
              </a:graphicData>
            </a:graphic>
          </wp:inline>
        </w:drawing>
      </w:r>
    </w:p>
    <w:p w14:paraId="196D622B">
      <w:pPr>
        <w:pStyle w:val="8"/>
      </w:pPr>
      <w:bookmarkStart w:id="219" w:name="OLE_LINK22"/>
      <w:r>
        <w:rPr>
          <w:rFonts w:hint="eastAsia"/>
        </w:rPr>
        <w:t>B段护岸断面图</w:t>
      </w:r>
    </w:p>
    <w:bookmarkEnd w:id="219"/>
    <w:p w14:paraId="7E66D75C">
      <w:pPr>
        <w:adjustRightInd w:val="0"/>
        <w:ind w:firstLine="0" w:firstLineChars="0"/>
      </w:pPr>
      <w:r>
        <w:drawing>
          <wp:inline distT="0" distB="0" distL="0" distR="0">
            <wp:extent cx="5278120" cy="2790190"/>
            <wp:effectExtent l="0" t="0" r="0" b="0"/>
            <wp:docPr id="812127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2717" name="图片 1"/>
                    <pic:cNvPicPr>
                      <a:picLocks noChangeAspect="1"/>
                    </pic:cNvPicPr>
                  </pic:nvPicPr>
                  <pic:blipFill>
                    <a:blip r:embed="rId42"/>
                    <a:stretch>
                      <a:fillRect/>
                    </a:stretch>
                  </pic:blipFill>
                  <pic:spPr>
                    <a:xfrm>
                      <a:off x="0" y="0"/>
                      <a:ext cx="5278120" cy="2790190"/>
                    </a:xfrm>
                    <a:prstGeom prst="rect">
                      <a:avLst/>
                    </a:prstGeom>
                  </pic:spPr>
                </pic:pic>
              </a:graphicData>
            </a:graphic>
          </wp:inline>
        </w:drawing>
      </w:r>
    </w:p>
    <w:p w14:paraId="67CB6E57">
      <w:pPr>
        <w:pStyle w:val="8"/>
        <w:ind w:firstLine="480"/>
      </w:pPr>
      <w:r>
        <w:rPr>
          <w:rFonts w:hint="eastAsia"/>
        </w:rPr>
        <w:t>C段护岸断面图</w:t>
      </w:r>
    </w:p>
    <w:p w14:paraId="59BA2931">
      <w:pPr>
        <w:adjustRightInd w:val="0"/>
        <w:ind w:firstLine="462"/>
      </w:pPr>
      <w:r>
        <w:rPr>
          <w:rFonts w:hint="eastAsia" w:cs="宋体"/>
          <w:bCs/>
          <w:lang w:bidi="ar"/>
        </w:rPr>
        <w:t>（</w:t>
      </w:r>
      <w:r>
        <w:rPr>
          <w:bCs/>
          <w:lang w:bidi="ar"/>
        </w:rPr>
        <w:t>2</w:t>
      </w:r>
      <w:r>
        <w:rPr>
          <w:rFonts w:hint="eastAsia" w:cs="宋体"/>
          <w:bCs/>
          <w:lang w:bidi="ar"/>
        </w:rPr>
        <w:t>）在距离护岸前沿线</w:t>
      </w:r>
      <w:r>
        <w:rPr>
          <w:bCs/>
          <w:lang w:bidi="ar"/>
        </w:rPr>
        <w:t>19m</w:t>
      </w:r>
      <w:r>
        <w:rPr>
          <w:rFonts w:hint="eastAsia" w:cs="宋体"/>
          <w:bCs/>
          <w:lang w:bidi="ar"/>
        </w:rPr>
        <w:t>位置处加设后轨道梁，后轨长约</w:t>
      </w:r>
      <w:r>
        <w:rPr>
          <w:bCs/>
          <w:lang w:bidi="ar"/>
        </w:rPr>
        <w:t>644m</w:t>
      </w:r>
      <w:r>
        <w:rPr>
          <w:rFonts w:hint="eastAsia" w:cs="宋体"/>
          <w:bCs/>
          <w:lang w:bidi="ar"/>
        </w:rPr>
        <w:t>。</w:t>
      </w:r>
    </w:p>
    <w:p w14:paraId="55CB149E">
      <w:pPr>
        <w:adjustRightInd w:val="0"/>
        <w:ind w:firstLine="462"/>
        <w:rPr>
          <w:rFonts w:cs="宋体"/>
          <w:bCs/>
          <w:lang w:bidi="ar"/>
        </w:rPr>
      </w:pPr>
      <w:r>
        <w:rPr>
          <w:rFonts w:hint="eastAsia" w:cs="宋体"/>
          <w:bCs/>
          <w:lang w:bidi="ar"/>
        </w:rPr>
        <w:t>前轨落在胸墙上，后轨基础采用直径</w:t>
      </w:r>
      <w:r>
        <w:rPr>
          <w:bCs/>
          <w:lang w:bidi="ar"/>
        </w:rPr>
        <w:t>800mmPHC</w:t>
      </w:r>
      <w:r>
        <w:rPr>
          <w:rFonts w:hint="eastAsia" w:cs="宋体"/>
          <w:bCs/>
          <w:lang w:bidi="ar"/>
        </w:rPr>
        <w:t>桩，桩间距</w:t>
      </w:r>
      <w:r>
        <w:rPr>
          <w:bCs/>
          <w:lang w:bidi="ar"/>
        </w:rPr>
        <w:t>3.5m</w:t>
      </w:r>
      <w:r>
        <w:rPr>
          <w:rFonts w:hint="eastAsia" w:cs="宋体"/>
          <w:bCs/>
          <w:lang w:bidi="ar"/>
        </w:rPr>
        <w:t>，桩端持力层主要为中风化粉砂岩，轨道梁高</w:t>
      </w:r>
      <w:r>
        <w:rPr>
          <w:bCs/>
          <w:lang w:bidi="ar"/>
        </w:rPr>
        <w:t>2m</w:t>
      </w:r>
      <w:r>
        <w:rPr>
          <w:rFonts w:hint="eastAsia" w:cs="宋体"/>
          <w:bCs/>
          <w:lang w:bidi="ar"/>
        </w:rPr>
        <w:t>，宽</w:t>
      </w:r>
      <w:r>
        <w:rPr>
          <w:bCs/>
          <w:lang w:bidi="ar"/>
        </w:rPr>
        <w:t>1.8m</w:t>
      </w:r>
      <w:r>
        <w:rPr>
          <w:rFonts w:hint="eastAsia" w:cs="宋体"/>
          <w:bCs/>
          <w:lang w:bidi="ar"/>
        </w:rPr>
        <w:t>。</w:t>
      </w:r>
    </w:p>
    <w:bookmarkEnd w:id="215"/>
    <w:bookmarkEnd w:id="216"/>
    <w:bookmarkEnd w:id="217"/>
    <w:bookmarkEnd w:id="218"/>
    <w:p w14:paraId="6AE2C6BD">
      <w:pPr>
        <w:pStyle w:val="5"/>
      </w:pPr>
      <w:bookmarkStart w:id="220" w:name="OLE_LINK277"/>
      <w:r>
        <w:rPr>
          <w:rFonts w:hint="eastAsia"/>
        </w:rPr>
        <w:t>装卸工艺</w:t>
      </w:r>
    </w:p>
    <w:bookmarkEnd w:id="220"/>
    <w:p w14:paraId="18EF3C98">
      <w:pPr>
        <w:pStyle w:val="6"/>
      </w:pPr>
      <w:r>
        <w:rPr>
          <w:rFonts w:hint="eastAsia"/>
        </w:rPr>
        <w:t>装卸工艺参数</w:t>
      </w:r>
    </w:p>
    <w:p w14:paraId="34CCCF5E">
      <w:pPr>
        <w:adjustRightInd w:val="0"/>
        <w:ind w:firstLine="462"/>
      </w:pPr>
      <w:r>
        <w:rPr>
          <w:rFonts w:hint="eastAsia" w:cs="宋体"/>
          <w:bCs/>
          <w:lang w:bidi="ar"/>
        </w:rPr>
        <w:t>工程拟建设5个5000吨级集装箱泊位，以满足平陆运河江海联运装卸需求。根据钦州港域大榄坪港区集装箱的营运特点及项目建设规模、功能定位，主要工艺设计参数如下。</w:t>
      </w:r>
    </w:p>
    <w:p w14:paraId="303C2024">
      <w:pPr>
        <w:pStyle w:val="7"/>
      </w:pPr>
      <w:r>
        <w:rPr>
          <w:rFonts w:hint="eastAsia"/>
        </w:rPr>
        <w:t>装卸工艺主要设计参数</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94"/>
        <w:gridCol w:w="2284"/>
        <w:gridCol w:w="1552"/>
        <w:gridCol w:w="836"/>
        <w:gridCol w:w="647"/>
        <w:gridCol w:w="2429"/>
      </w:tblGrid>
      <w:tr w14:paraId="427F5C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356" w:type="pct"/>
            <w:tcBorders>
              <w:top w:val="single" w:color="auto" w:sz="12" w:space="0"/>
              <w:left w:val="single" w:color="auto" w:sz="12" w:space="0"/>
              <w:bottom w:val="single" w:color="auto" w:sz="6" w:space="0"/>
              <w:right w:val="single" w:color="auto" w:sz="6" w:space="0"/>
            </w:tcBorders>
            <w:tcMar>
              <w:left w:w="0" w:type="dxa"/>
              <w:right w:w="0" w:type="dxa"/>
            </w:tcMar>
            <w:vAlign w:val="center"/>
          </w:tcPr>
          <w:p w14:paraId="0DA9DA80">
            <w:pPr>
              <w:pStyle w:val="34"/>
            </w:pPr>
            <w:r>
              <w:rPr>
                <w:rFonts w:hint="eastAsia"/>
              </w:rPr>
              <w:t>序号</w:t>
            </w:r>
          </w:p>
        </w:tc>
        <w:tc>
          <w:tcPr>
            <w:tcW w:w="2299" w:type="pct"/>
            <w:gridSpan w:val="2"/>
            <w:tcBorders>
              <w:top w:val="single" w:color="auto" w:sz="12" w:space="0"/>
              <w:left w:val="single" w:color="auto" w:sz="6" w:space="0"/>
              <w:bottom w:val="single" w:color="auto" w:sz="6" w:space="0"/>
              <w:right w:val="single" w:color="auto" w:sz="6" w:space="0"/>
            </w:tcBorders>
            <w:tcMar>
              <w:left w:w="0" w:type="dxa"/>
              <w:right w:w="0" w:type="dxa"/>
            </w:tcMar>
            <w:vAlign w:val="center"/>
          </w:tcPr>
          <w:p w14:paraId="483016AC">
            <w:pPr>
              <w:pStyle w:val="34"/>
            </w:pPr>
            <w:r>
              <w:rPr>
                <w:rFonts w:hint="eastAsia"/>
              </w:rPr>
              <w:t>项目名称</w:t>
            </w:r>
          </w:p>
        </w:tc>
        <w:tc>
          <w:tcPr>
            <w:tcW w:w="501" w:type="pct"/>
            <w:tcBorders>
              <w:top w:val="single" w:color="auto" w:sz="12" w:space="0"/>
              <w:left w:val="single" w:color="auto" w:sz="6" w:space="0"/>
              <w:bottom w:val="single" w:color="auto" w:sz="6" w:space="0"/>
              <w:right w:val="single" w:color="auto" w:sz="6" w:space="0"/>
            </w:tcBorders>
            <w:tcMar>
              <w:left w:w="0" w:type="dxa"/>
              <w:right w:w="0" w:type="dxa"/>
            </w:tcMar>
            <w:vAlign w:val="center"/>
          </w:tcPr>
          <w:p w14:paraId="77E2AAD5">
            <w:pPr>
              <w:pStyle w:val="34"/>
            </w:pPr>
            <w:r>
              <w:rPr>
                <w:rFonts w:hint="eastAsia"/>
              </w:rPr>
              <w:t>单位</w:t>
            </w:r>
          </w:p>
        </w:tc>
        <w:tc>
          <w:tcPr>
            <w:tcW w:w="388" w:type="pct"/>
            <w:tcBorders>
              <w:top w:val="single" w:color="auto" w:sz="12" w:space="0"/>
              <w:left w:val="single" w:color="auto" w:sz="6" w:space="0"/>
              <w:bottom w:val="single" w:color="auto" w:sz="6" w:space="0"/>
              <w:right w:val="single" w:color="auto" w:sz="6" w:space="0"/>
            </w:tcBorders>
            <w:tcMar>
              <w:left w:w="0" w:type="dxa"/>
              <w:right w:w="0" w:type="dxa"/>
            </w:tcMar>
            <w:vAlign w:val="center"/>
          </w:tcPr>
          <w:p w14:paraId="4DC0B23A">
            <w:pPr>
              <w:pStyle w:val="34"/>
            </w:pPr>
            <w:r>
              <w:rPr>
                <w:rFonts w:hint="eastAsia"/>
              </w:rPr>
              <w:t>数量</w:t>
            </w:r>
          </w:p>
        </w:tc>
        <w:tc>
          <w:tcPr>
            <w:tcW w:w="1455" w:type="pct"/>
            <w:tcBorders>
              <w:top w:val="single" w:color="auto" w:sz="12" w:space="0"/>
              <w:left w:val="single" w:color="auto" w:sz="6" w:space="0"/>
              <w:bottom w:val="single" w:color="auto" w:sz="6" w:space="0"/>
              <w:right w:val="single" w:color="auto" w:sz="12" w:space="0"/>
            </w:tcBorders>
            <w:tcMar>
              <w:left w:w="0" w:type="dxa"/>
              <w:right w:w="0" w:type="dxa"/>
            </w:tcMar>
            <w:vAlign w:val="center"/>
          </w:tcPr>
          <w:p w14:paraId="748236DB">
            <w:pPr>
              <w:pStyle w:val="34"/>
            </w:pPr>
            <w:r>
              <w:rPr>
                <w:rFonts w:hint="eastAsia"/>
              </w:rPr>
              <w:t>备注</w:t>
            </w:r>
          </w:p>
        </w:tc>
      </w:tr>
      <w:tr w14:paraId="7C09FB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2B1DDDF9">
            <w:pPr>
              <w:pStyle w:val="34"/>
            </w:pPr>
            <w:r>
              <w:t>1</w:t>
            </w:r>
          </w:p>
        </w:tc>
        <w:tc>
          <w:tcPr>
            <w:tcW w:w="2299" w:type="pct"/>
            <w:gridSpan w:val="2"/>
            <w:tcBorders>
              <w:top w:val="single" w:color="auto" w:sz="6" w:space="0"/>
              <w:left w:val="single" w:color="auto" w:sz="6" w:space="0"/>
              <w:bottom w:val="single" w:color="auto" w:sz="6" w:space="0"/>
              <w:right w:val="single" w:color="auto" w:sz="6" w:space="0"/>
            </w:tcBorders>
            <w:tcMar>
              <w:left w:w="0" w:type="dxa"/>
              <w:right w:w="0" w:type="dxa"/>
            </w:tcMar>
            <w:vAlign w:val="center"/>
          </w:tcPr>
          <w:p w14:paraId="33D9716D">
            <w:pPr>
              <w:pStyle w:val="34"/>
            </w:pPr>
            <w:r>
              <w:rPr>
                <w:rFonts w:hint="eastAsia"/>
              </w:rPr>
              <w:t>设计船型</w:t>
            </w:r>
          </w:p>
        </w:tc>
        <w:tc>
          <w:tcPr>
            <w:tcW w:w="501"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37E11F84">
            <w:pPr>
              <w:pStyle w:val="34"/>
            </w:pPr>
            <w:r>
              <w:t>DWT</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282D847">
            <w:pPr>
              <w:pStyle w:val="34"/>
            </w:pPr>
            <w:r>
              <w:t>5</w:t>
            </w:r>
            <w:r>
              <w:rPr>
                <w:rFonts w:hint="eastAsia"/>
              </w:rPr>
              <w:t>千</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00B00705">
            <w:pPr>
              <w:pStyle w:val="34"/>
            </w:pPr>
            <w:r>
              <w:rPr>
                <w:rFonts w:hint="eastAsia"/>
              </w:rPr>
              <w:t>集装箱船</w:t>
            </w:r>
          </w:p>
        </w:tc>
      </w:tr>
      <w:tr w14:paraId="01C36E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2602F9B5">
            <w:pPr>
              <w:pStyle w:val="34"/>
            </w:pPr>
            <w:r>
              <w:t>2</w:t>
            </w:r>
          </w:p>
        </w:tc>
        <w:tc>
          <w:tcPr>
            <w:tcW w:w="2299" w:type="pct"/>
            <w:gridSpan w:val="2"/>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B32526B">
            <w:pPr>
              <w:pStyle w:val="34"/>
            </w:pPr>
            <w:r>
              <w:rPr>
                <w:rFonts w:hint="eastAsia"/>
              </w:rPr>
              <w:t>本工程新增年设计吞吐量</w:t>
            </w:r>
          </w:p>
        </w:tc>
        <w:tc>
          <w:tcPr>
            <w:tcW w:w="501"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3490BF85">
            <w:pPr>
              <w:pStyle w:val="34"/>
            </w:pPr>
            <w:r>
              <w:rPr>
                <w:rFonts w:hint="eastAsia"/>
              </w:rPr>
              <w:t>万</w:t>
            </w:r>
            <w:r>
              <w:t>TEU</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30101354">
            <w:pPr>
              <w:pStyle w:val="34"/>
            </w:pPr>
            <w:r>
              <w:t>60</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73C25853">
            <w:pPr>
              <w:pStyle w:val="34"/>
            </w:pPr>
          </w:p>
        </w:tc>
      </w:tr>
      <w:tr w14:paraId="1F0CA6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4161B2FA">
            <w:pPr>
              <w:pStyle w:val="34"/>
            </w:pPr>
            <w:r>
              <w:t>3</w:t>
            </w:r>
          </w:p>
        </w:tc>
        <w:tc>
          <w:tcPr>
            <w:tcW w:w="2299" w:type="pct"/>
            <w:gridSpan w:val="2"/>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C1BFAE3">
            <w:pPr>
              <w:pStyle w:val="34"/>
            </w:pPr>
            <w:r>
              <w:rPr>
                <w:rFonts w:hint="eastAsia"/>
              </w:rPr>
              <w:t>泊位年营运天数</w:t>
            </w:r>
          </w:p>
        </w:tc>
        <w:tc>
          <w:tcPr>
            <w:tcW w:w="501"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3874ADAF">
            <w:pPr>
              <w:pStyle w:val="34"/>
            </w:pPr>
            <w:r>
              <w:rPr>
                <w:rFonts w:hint="eastAsia"/>
              </w:rPr>
              <w:t>天</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F37D688">
            <w:pPr>
              <w:pStyle w:val="34"/>
            </w:pPr>
            <w:r>
              <w:t>3</w:t>
            </w:r>
            <w:r>
              <w:rPr>
                <w:rFonts w:hint="eastAsia"/>
              </w:rPr>
              <w:t>10</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4C2E15F1">
            <w:pPr>
              <w:pStyle w:val="34"/>
            </w:pPr>
          </w:p>
        </w:tc>
      </w:tr>
      <w:tr w14:paraId="42C026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434FEE34">
            <w:pPr>
              <w:pStyle w:val="34"/>
            </w:pPr>
            <w:r>
              <w:t>4</w:t>
            </w:r>
          </w:p>
        </w:tc>
        <w:tc>
          <w:tcPr>
            <w:tcW w:w="2299" w:type="pct"/>
            <w:gridSpan w:val="2"/>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C722345">
            <w:pPr>
              <w:pStyle w:val="34"/>
            </w:pPr>
            <w:r>
              <w:rPr>
                <w:rFonts w:hint="eastAsia"/>
              </w:rPr>
              <w:t>堆场年营运天数</w:t>
            </w:r>
          </w:p>
        </w:tc>
        <w:tc>
          <w:tcPr>
            <w:tcW w:w="501"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71BFFADC">
            <w:pPr>
              <w:pStyle w:val="34"/>
            </w:pPr>
            <w:r>
              <w:rPr>
                <w:rFonts w:hint="eastAsia"/>
              </w:rPr>
              <w:t>天</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D07C03B">
            <w:pPr>
              <w:pStyle w:val="34"/>
            </w:pPr>
            <w:r>
              <w:t>360</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5D669071">
            <w:pPr>
              <w:pStyle w:val="34"/>
            </w:pPr>
          </w:p>
        </w:tc>
      </w:tr>
      <w:tr w14:paraId="6DD9D2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608D1D38">
            <w:pPr>
              <w:pStyle w:val="34"/>
            </w:pPr>
            <w:r>
              <w:t>5</w:t>
            </w:r>
          </w:p>
        </w:tc>
        <w:tc>
          <w:tcPr>
            <w:tcW w:w="2299" w:type="pct"/>
            <w:gridSpan w:val="2"/>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0A6E036">
            <w:pPr>
              <w:pStyle w:val="34"/>
            </w:pPr>
            <w:r>
              <w:rPr>
                <w:rFonts w:hint="eastAsia"/>
              </w:rPr>
              <w:t>堆场不平衡系数</w:t>
            </w:r>
          </w:p>
        </w:tc>
        <w:tc>
          <w:tcPr>
            <w:tcW w:w="501"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3CF43C8D">
            <w:pPr>
              <w:pStyle w:val="34"/>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0C3CB43">
            <w:pPr>
              <w:pStyle w:val="34"/>
            </w:pPr>
            <w:r>
              <w:t>1.2</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72597B3D">
            <w:pPr>
              <w:pStyle w:val="34"/>
            </w:pPr>
            <w:r>
              <w:rPr>
                <w:rFonts w:hint="eastAsia"/>
              </w:rPr>
              <w:t>危险货物集装箱堆场取</w:t>
            </w:r>
            <w:r>
              <w:t>1.5</w:t>
            </w:r>
          </w:p>
        </w:tc>
      </w:tr>
      <w:tr w14:paraId="6E8E14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586635E1">
            <w:pPr>
              <w:pStyle w:val="34"/>
            </w:pPr>
            <w:r>
              <w:t>6</w:t>
            </w:r>
          </w:p>
        </w:tc>
        <w:tc>
          <w:tcPr>
            <w:tcW w:w="2299" w:type="pct"/>
            <w:gridSpan w:val="2"/>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42DEB74">
            <w:pPr>
              <w:pStyle w:val="34"/>
            </w:pPr>
            <w:r>
              <w:rPr>
                <w:rFonts w:hint="eastAsia"/>
              </w:rPr>
              <w:t>泊位有效利用率</w:t>
            </w:r>
          </w:p>
        </w:tc>
        <w:tc>
          <w:tcPr>
            <w:tcW w:w="501"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0AE9E80">
            <w:pPr>
              <w:pStyle w:val="34"/>
            </w:pPr>
            <w:r>
              <w:t>%</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6037AC7">
            <w:pPr>
              <w:pStyle w:val="34"/>
            </w:pPr>
            <w:r>
              <w:t>68</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5E89FBCF">
            <w:pPr>
              <w:pStyle w:val="34"/>
            </w:pPr>
          </w:p>
        </w:tc>
      </w:tr>
      <w:tr w14:paraId="7BE558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restar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5BA35CF5">
            <w:pPr>
              <w:pStyle w:val="34"/>
            </w:pPr>
            <w:r>
              <w:t>7</w:t>
            </w:r>
          </w:p>
        </w:tc>
        <w:tc>
          <w:tcPr>
            <w:tcW w:w="1369" w:type="pct"/>
            <w:vMerge w:val="restar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5320C21">
            <w:pPr>
              <w:pStyle w:val="34"/>
            </w:pPr>
            <w:r>
              <w:rPr>
                <w:rFonts w:hint="eastAsia"/>
              </w:rPr>
              <w:t>箱型比例</w:t>
            </w: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C0821C3">
            <w:pPr>
              <w:pStyle w:val="34"/>
            </w:pPr>
            <w:r>
              <w:t>20’</w:t>
            </w:r>
            <w:r>
              <w:rPr>
                <w:rFonts w:hint="eastAsia"/>
              </w:rPr>
              <w:t>箱</w:t>
            </w:r>
          </w:p>
        </w:tc>
        <w:tc>
          <w:tcPr>
            <w:tcW w:w="501" w:type="pct"/>
            <w:vMerge w:val="restar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F03EC2A">
            <w:pPr>
              <w:pStyle w:val="34"/>
            </w:pPr>
            <w:r>
              <w:t>%</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4487D52F">
            <w:pPr>
              <w:pStyle w:val="34"/>
            </w:pPr>
            <w:r>
              <w:t>70</w:t>
            </w:r>
          </w:p>
        </w:tc>
        <w:tc>
          <w:tcPr>
            <w:tcW w:w="1455" w:type="pct"/>
            <w:vMerge w:val="restar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669EF9E3">
            <w:pPr>
              <w:pStyle w:val="34"/>
            </w:pPr>
            <w:r>
              <w:rPr>
                <w:rFonts w:hint="eastAsia"/>
                <w:lang w:bidi="ar"/>
              </w:rPr>
              <w:t>标准箱折算系数按</w:t>
            </w:r>
            <w:r>
              <w:rPr>
                <w:lang w:bidi="ar"/>
              </w:rPr>
              <w:t>1.3</w:t>
            </w:r>
            <w:r>
              <w:rPr>
                <w:rFonts w:hint="eastAsia"/>
              </w:rPr>
              <w:t>考虑</w:t>
            </w:r>
          </w:p>
        </w:tc>
      </w:tr>
      <w:tr w14:paraId="2695B1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288E5F70">
            <w:pPr>
              <w:pStyle w:val="34"/>
              <w:rPr>
                <w:sz w:val="20"/>
                <w:szCs w:val="20"/>
              </w:rPr>
            </w:pPr>
          </w:p>
        </w:tc>
        <w:tc>
          <w:tcPr>
            <w:tcW w:w="1369"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78F02706">
            <w:pPr>
              <w:pStyle w:val="34"/>
              <w:rPr>
                <w:sz w:val="20"/>
                <w:szCs w:val="20"/>
              </w:rPr>
            </w:pP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3015FB21">
            <w:pPr>
              <w:pStyle w:val="34"/>
            </w:pPr>
            <w:r>
              <w:t>40’</w:t>
            </w:r>
            <w:r>
              <w:rPr>
                <w:rFonts w:hint="eastAsia"/>
              </w:rPr>
              <w:t>箱</w:t>
            </w:r>
          </w:p>
        </w:tc>
        <w:tc>
          <w:tcPr>
            <w:tcW w:w="501"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64FF4D5">
            <w:pPr>
              <w:pStyle w:val="34"/>
              <w:rPr>
                <w:sz w:val="20"/>
                <w:szCs w:val="20"/>
              </w:rPr>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4707308">
            <w:pPr>
              <w:pStyle w:val="34"/>
            </w:pPr>
            <w:r>
              <w:t>30</w:t>
            </w:r>
          </w:p>
        </w:tc>
        <w:tc>
          <w:tcPr>
            <w:tcW w:w="1455" w:type="pct"/>
            <w:vMerge w:val="continue"/>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78F9EA12">
            <w:pPr>
              <w:pStyle w:val="34"/>
              <w:rPr>
                <w:sz w:val="20"/>
                <w:szCs w:val="20"/>
              </w:rPr>
            </w:pPr>
          </w:p>
        </w:tc>
      </w:tr>
      <w:tr w14:paraId="685C97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restar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57C81441">
            <w:pPr>
              <w:pStyle w:val="34"/>
            </w:pPr>
            <w:r>
              <w:t>8</w:t>
            </w:r>
          </w:p>
        </w:tc>
        <w:tc>
          <w:tcPr>
            <w:tcW w:w="1369" w:type="pct"/>
            <w:vMerge w:val="restar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31BDF2C2">
            <w:pPr>
              <w:pStyle w:val="34"/>
            </w:pPr>
            <w:r>
              <w:rPr>
                <w:rFonts w:hint="eastAsia"/>
              </w:rPr>
              <w:t>各种集装箱占总运量百分比</w:t>
            </w: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F16BA97">
            <w:pPr>
              <w:pStyle w:val="34"/>
            </w:pPr>
            <w:r>
              <w:rPr>
                <w:rFonts w:hint="eastAsia"/>
              </w:rPr>
              <w:t>重箱</w:t>
            </w:r>
          </w:p>
        </w:tc>
        <w:tc>
          <w:tcPr>
            <w:tcW w:w="501" w:type="pct"/>
            <w:vMerge w:val="restar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60122F4">
            <w:pPr>
              <w:pStyle w:val="34"/>
            </w:pPr>
            <w:r>
              <w:t>%</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74A693EC">
            <w:pPr>
              <w:pStyle w:val="34"/>
            </w:pPr>
            <w:r>
              <w:rPr>
                <w:rFonts w:hint="eastAsia"/>
              </w:rPr>
              <w:t>66.8</w:t>
            </w:r>
          </w:p>
        </w:tc>
        <w:tc>
          <w:tcPr>
            <w:tcW w:w="1456"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3585C829">
            <w:pPr>
              <w:pStyle w:val="34"/>
            </w:pPr>
          </w:p>
        </w:tc>
      </w:tr>
      <w:tr w14:paraId="2A8012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432AE65A">
            <w:pPr>
              <w:pStyle w:val="34"/>
              <w:rPr>
                <w:sz w:val="20"/>
                <w:szCs w:val="20"/>
              </w:rPr>
            </w:pPr>
          </w:p>
        </w:tc>
        <w:tc>
          <w:tcPr>
            <w:tcW w:w="1369"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FD3E0C9">
            <w:pPr>
              <w:pStyle w:val="34"/>
              <w:rPr>
                <w:sz w:val="20"/>
                <w:szCs w:val="20"/>
              </w:rPr>
            </w:pP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E6373E8">
            <w:pPr>
              <w:pStyle w:val="34"/>
            </w:pPr>
            <w:r>
              <w:rPr>
                <w:rFonts w:hint="eastAsia"/>
              </w:rPr>
              <w:t>空箱</w:t>
            </w:r>
          </w:p>
        </w:tc>
        <w:tc>
          <w:tcPr>
            <w:tcW w:w="501"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86272E9">
            <w:pPr>
              <w:pStyle w:val="34"/>
              <w:rPr>
                <w:sz w:val="20"/>
                <w:szCs w:val="20"/>
              </w:rPr>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3DF1023">
            <w:pPr>
              <w:pStyle w:val="34"/>
            </w:pPr>
            <w:r>
              <w:t>30</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7F7AF118">
            <w:pPr>
              <w:pStyle w:val="34"/>
            </w:pPr>
          </w:p>
        </w:tc>
      </w:tr>
      <w:tr w14:paraId="334B36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0E5321E8">
            <w:pPr>
              <w:pStyle w:val="34"/>
              <w:rPr>
                <w:sz w:val="20"/>
                <w:szCs w:val="20"/>
              </w:rPr>
            </w:pPr>
          </w:p>
        </w:tc>
        <w:tc>
          <w:tcPr>
            <w:tcW w:w="1369"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6486D7E">
            <w:pPr>
              <w:pStyle w:val="34"/>
              <w:rPr>
                <w:sz w:val="20"/>
                <w:szCs w:val="20"/>
              </w:rPr>
            </w:pP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439D34B1">
            <w:pPr>
              <w:pStyle w:val="34"/>
            </w:pPr>
            <w:r>
              <w:rPr>
                <w:rFonts w:hint="eastAsia"/>
              </w:rPr>
              <w:t>冷藏箱</w:t>
            </w:r>
          </w:p>
        </w:tc>
        <w:tc>
          <w:tcPr>
            <w:tcW w:w="501"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0FB53CE">
            <w:pPr>
              <w:pStyle w:val="34"/>
              <w:rPr>
                <w:sz w:val="20"/>
                <w:szCs w:val="20"/>
              </w:rPr>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44CAAFB9">
            <w:pPr>
              <w:pStyle w:val="34"/>
            </w:pPr>
            <w:r>
              <w:t>2</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2EC4144A">
            <w:pPr>
              <w:pStyle w:val="34"/>
            </w:pPr>
          </w:p>
        </w:tc>
      </w:tr>
      <w:tr w14:paraId="309740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67690C6B">
            <w:pPr>
              <w:pStyle w:val="34"/>
              <w:rPr>
                <w:sz w:val="20"/>
                <w:szCs w:val="20"/>
              </w:rPr>
            </w:pPr>
          </w:p>
        </w:tc>
        <w:tc>
          <w:tcPr>
            <w:tcW w:w="1369"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440E630D">
            <w:pPr>
              <w:pStyle w:val="34"/>
              <w:rPr>
                <w:sz w:val="20"/>
                <w:szCs w:val="20"/>
              </w:rPr>
            </w:pP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76FABF10">
            <w:pPr>
              <w:pStyle w:val="34"/>
            </w:pPr>
            <w:r>
              <w:rPr>
                <w:rFonts w:hint="eastAsia"/>
              </w:rPr>
              <w:t>危险货物集装箱</w:t>
            </w:r>
          </w:p>
        </w:tc>
        <w:tc>
          <w:tcPr>
            <w:tcW w:w="501"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C80C4BF">
            <w:pPr>
              <w:pStyle w:val="34"/>
              <w:rPr>
                <w:sz w:val="20"/>
                <w:szCs w:val="20"/>
              </w:rPr>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430897A6">
            <w:pPr>
              <w:pStyle w:val="34"/>
            </w:pPr>
            <w:r>
              <w:rPr>
                <w:rFonts w:hint="eastAsia"/>
              </w:rPr>
              <w:t>1.2</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3BAE80FD">
            <w:pPr>
              <w:pStyle w:val="34"/>
            </w:pPr>
          </w:p>
        </w:tc>
      </w:tr>
      <w:tr w14:paraId="7FED51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restar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35A1B356">
            <w:pPr>
              <w:pStyle w:val="34"/>
            </w:pPr>
            <w:r>
              <w:t>9</w:t>
            </w:r>
          </w:p>
        </w:tc>
        <w:tc>
          <w:tcPr>
            <w:tcW w:w="1369" w:type="pct"/>
            <w:vMerge w:val="restar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1769C6C8">
            <w:pPr>
              <w:pStyle w:val="34"/>
            </w:pPr>
            <w:r>
              <w:rPr>
                <w:rFonts w:hint="eastAsia"/>
              </w:rPr>
              <w:t>各种集装箱平均堆存期</w:t>
            </w: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4FFBA6A5">
            <w:pPr>
              <w:pStyle w:val="34"/>
            </w:pPr>
            <w:r>
              <w:rPr>
                <w:rFonts w:hint="eastAsia"/>
              </w:rPr>
              <w:t>重箱</w:t>
            </w:r>
          </w:p>
        </w:tc>
        <w:tc>
          <w:tcPr>
            <w:tcW w:w="501" w:type="pct"/>
            <w:vMerge w:val="restar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434E66E">
            <w:pPr>
              <w:pStyle w:val="34"/>
            </w:pPr>
            <w:r>
              <w:rPr>
                <w:rFonts w:hint="eastAsia"/>
              </w:rPr>
              <w:t>天</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7C78BF4E">
            <w:pPr>
              <w:pStyle w:val="34"/>
            </w:pPr>
            <w:r>
              <w:t>7</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3F502020">
            <w:pPr>
              <w:pStyle w:val="34"/>
            </w:pPr>
          </w:p>
        </w:tc>
      </w:tr>
      <w:tr w14:paraId="29B08A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4E4F23BA">
            <w:pPr>
              <w:pStyle w:val="34"/>
              <w:rPr>
                <w:sz w:val="20"/>
                <w:szCs w:val="20"/>
              </w:rPr>
            </w:pPr>
          </w:p>
        </w:tc>
        <w:tc>
          <w:tcPr>
            <w:tcW w:w="1369"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4D1A7966">
            <w:pPr>
              <w:pStyle w:val="34"/>
              <w:rPr>
                <w:sz w:val="20"/>
                <w:szCs w:val="20"/>
              </w:rPr>
            </w:pP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BB02E4D">
            <w:pPr>
              <w:pStyle w:val="34"/>
            </w:pPr>
            <w:r>
              <w:rPr>
                <w:rFonts w:hint="eastAsia"/>
              </w:rPr>
              <w:t>空箱</w:t>
            </w:r>
          </w:p>
        </w:tc>
        <w:tc>
          <w:tcPr>
            <w:tcW w:w="501"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0ECF733">
            <w:pPr>
              <w:pStyle w:val="34"/>
              <w:rPr>
                <w:sz w:val="20"/>
                <w:szCs w:val="20"/>
              </w:rPr>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1DD40DFC">
            <w:pPr>
              <w:pStyle w:val="34"/>
            </w:pPr>
            <w:r>
              <w:t>12</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6B2947B3">
            <w:pPr>
              <w:pStyle w:val="34"/>
            </w:pPr>
          </w:p>
        </w:tc>
      </w:tr>
      <w:tr w14:paraId="11A940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74BDA138">
            <w:pPr>
              <w:pStyle w:val="34"/>
              <w:rPr>
                <w:sz w:val="20"/>
                <w:szCs w:val="20"/>
              </w:rPr>
            </w:pPr>
          </w:p>
        </w:tc>
        <w:tc>
          <w:tcPr>
            <w:tcW w:w="1369"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9DEC9F2">
            <w:pPr>
              <w:pStyle w:val="34"/>
              <w:rPr>
                <w:sz w:val="20"/>
                <w:szCs w:val="20"/>
              </w:rPr>
            </w:pP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2F61244">
            <w:pPr>
              <w:pStyle w:val="34"/>
            </w:pPr>
            <w:r>
              <w:rPr>
                <w:rFonts w:hint="eastAsia"/>
              </w:rPr>
              <w:t>冷藏箱</w:t>
            </w:r>
          </w:p>
        </w:tc>
        <w:tc>
          <w:tcPr>
            <w:tcW w:w="501"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1527B43D">
            <w:pPr>
              <w:pStyle w:val="34"/>
              <w:rPr>
                <w:sz w:val="20"/>
                <w:szCs w:val="20"/>
              </w:rPr>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F3A5377">
            <w:pPr>
              <w:pStyle w:val="34"/>
            </w:pPr>
            <w:r>
              <w:t>4</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6BA0C4C2">
            <w:pPr>
              <w:pStyle w:val="34"/>
            </w:pPr>
          </w:p>
        </w:tc>
      </w:tr>
      <w:tr w14:paraId="6C53FA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250C5E57">
            <w:pPr>
              <w:pStyle w:val="34"/>
              <w:rPr>
                <w:sz w:val="20"/>
                <w:szCs w:val="20"/>
              </w:rPr>
            </w:pPr>
          </w:p>
        </w:tc>
        <w:tc>
          <w:tcPr>
            <w:tcW w:w="1369"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68BFAFB">
            <w:pPr>
              <w:pStyle w:val="34"/>
              <w:rPr>
                <w:sz w:val="20"/>
                <w:szCs w:val="20"/>
              </w:rPr>
            </w:pP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328650C">
            <w:pPr>
              <w:pStyle w:val="34"/>
            </w:pPr>
            <w:r>
              <w:rPr>
                <w:rFonts w:hint="eastAsia"/>
              </w:rPr>
              <w:t>危险货物集装箱</w:t>
            </w:r>
          </w:p>
        </w:tc>
        <w:tc>
          <w:tcPr>
            <w:tcW w:w="501"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FB94C7B">
            <w:pPr>
              <w:pStyle w:val="34"/>
              <w:rPr>
                <w:sz w:val="20"/>
                <w:szCs w:val="20"/>
              </w:rPr>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2B803B1">
            <w:pPr>
              <w:pStyle w:val="34"/>
            </w:pPr>
            <w:r>
              <w:rPr>
                <w:rFonts w:hint="eastAsia"/>
              </w:rPr>
              <w:t>3</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4872848D">
            <w:pPr>
              <w:pStyle w:val="34"/>
            </w:pPr>
          </w:p>
        </w:tc>
      </w:tr>
      <w:tr w14:paraId="69A797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restart"/>
            <w:tcBorders>
              <w:top w:val="single" w:color="auto" w:sz="6" w:space="0"/>
              <w:left w:val="single" w:color="auto" w:sz="12" w:space="0"/>
              <w:bottom w:val="single" w:color="auto" w:sz="12" w:space="0"/>
              <w:right w:val="single" w:color="auto" w:sz="6" w:space="0"/>
            </w:tcBorders>
            <w:tcMar>
              <w:left w:w="0" w:type="dxa"/>
              <w:right w:w="0" w:type="dxa"/>
            </w:tcMar>
            <w:vAlign w:val="center"/>
          </w:tcPr>
          <w:p w14:paraId="6CC1B691">
            <w:pPr>
              <w:pStyle w:val="34"/>
            </w:pPr>
            <w:r>
              <w:t>10</w:t>
            </w:r>
          </w:p>
        </w:tc>
        <w:tc>
          <w:tcPr>
            <w:tcW w:w="1369" w:type="pct"/>
            <w:vMerge w:val="restart"/>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5E85C399">
            <w:pPr>
              <w:pStyle w:val="34"/>
            </w:pPr>
            <w:r>
              <w:rPr>
                <w:rFonts w:hint="eastAsia"/>
              </w:rPr>
              <w:t>各种集装箱堆场容量利用率</w:t>
            </w: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4CADA637">
            <w:pPr>
              <w:pStyle w:val="34"/>
            </w:pPr>
            <w:r>
              <w:rPr>
                <w:rFonts w:hint="eastAsia"/>
              </w:rPr>
              <w:t>重箱、冷藏箱</w:t>
            </w:r>
          </w:p>
        </w:tc>
        <w:tc>
          <w:tcPr>
            <w:tcW w:w="501" w:type="pct"/>
            <w:vMerge w:val="restart"/>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3CCE5975">
            <w:pPr>
              <w:pStyle w:val="34"/>
            </w:pPr>
            <w:r>
              <w:t>%</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34AB04C">
            <w:pPr>
              <w:pStyle w:val="34"/>
            </w:pPr>
            <w:r>
              <w:t>65</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735A48CB">
            <w:pPr>
              <w:pStyle w:val="34"/>
            </w:pPr>
          </w:p>
        </w:tc>
      </w:tr>
      <w:tr w14:paraId="019DC6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12" w:space="0"/>
              <w:right w:val="single" w:color="auto" w:sz="6" w:space="0"/>
            </w:tcBorders>
            <w:tcMar>
              <w:left w:w="0" w:type="dxa"/>
              <w:right w:w="0" w:type="dxa"/>
            </w:tcMar>
            <w:vAlign w:val="center"/>
          </w:tcPr>
          <w:p w14:paraId="5D621D55">
            <w:pPr>
              <w:pStyle w:val="34"/>
              <w:rPr>
                <w:sz w:val="20"/>
                <w:szCs w:val="20"/>
              </w:rPr>
            </w:pPr>
          </w:p>
        </w:tc>
        <w:tc>
          <w:tcPr>
            <w:tcW w:w="1369" w:type="pct"/>
            <w:vMerge w:val="continue"/>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180C30BB">
            <w:pPr>
              <w:pStyle w:val="34"/>
              <w:rPr>
                <w:sz w:val="20"/>
                <w:szCs w:val="20"/>
              </w:rPr>
            </w:pP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6B62A29">
            <w:pPr>
              <w:pStyle w:val="34"/>
            </w:pPr>
            <w:r>
              <w:rPr>
                <w:rFonts w:hint="eastAsia"/>
              </w:rPr>
              <w:t>空箱</w:t>
            </w:r>
          </w:p>
        </w:tc>
        <w:tc>
          <w:tcPr>
            <w:tcW w:w="501" w:type="pct"/>
            <w:vMerge w:val="continue"/>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357C3186">
            <w:pPr>
              <w:pStyle w:val="34"/>
              <w:rPr>
                <w:sz w:val="20"/>
                <w:szCs w:val="20"/>
              </w:rPr>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7884B838">
            <w:pPr>
              <w:pStyle w:val="34"/>
            </w:pPr>
            <w:r>
              <w:t>75</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169C34AE">
            <w:pPr>
              <w:pStyle w:val="34"/>
            </w:pPr>
          </w:p>
        </w:tc>
      </w:tr>
      <w:tr w14:paraId="49DF0C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12" w:space="0"/>
              <w:right w:val="single" w:color="auto" w:sz="6" w:space="0"/>
            </w:tcBorders>
            <w:tcMar>
              <w:left w:w="0" w:type="dxa"/>
              <w:right w:w="0" w:type="dxa"/>
            </w:tcMar>
            <w:vAlign w:val="center"/>
          </w:tcPr>
          <w:p w14:paraId="1CCBC405">
            <w:pPr>
              <w:pStyle w:val="34"/>
              <w:rPr>
                <w:sz w:val="20"/>
                <w:szCs w:val="20"/>
              </w:rPr>
            </w:pPr>
          </w:p>
        </w:tc>
        <w:tc>
          <w:tcPr>
            <w:tcW w:w="1369" w:type="pct"/>
            <w:vMerge w:val="continue"/>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502BB8D3">
            <w:pPr>
              <w:pStyle w:val="34"/>
              <w:rPr>
                <w:sz w:val="20"/>
                <w:szCs w:val="20"/>
              </w:rPr>
            </w:pPr>
          </w:p>
        </w:tc>
        <w:tc>
          <w:tcPr>
            <w:tcW w:w="929" w:type="pct"/>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385E6728">
            <w:pPr>
              <w:pStyle w:val="34"/>
            </w:pPr>
            <w:r>
              <w:rPr>
                <w:rFonts w:hint="eastAsia"/>
              </w:rPr>
              <w:t>危险货物集装箱</w:t>
            </w:r>
          </w:p>
        </w:tc>
        <w:tc>
          <w:tcPr>
            <w:tcW w:w="501" w:type="pct"/>
            <w:vMerge w:val="continue"/>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18A84C4A">
            <w:pPr>
              <w:pStyle w:val="34"/>
              <w:rPr>
                <w:sz w:val="20"/>
                <w:szCs w:val="20"/>
              </w:rPr>
            </w:pPr>
          </w:p>
        </w:tc>
        <w:tc>
          <w:tcPr>
            <w:tcW w:w="388" w:type="pct"/>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0B8375CC">
            <w:pPr>
              <w:pStyle w:val="34"/>
            </w:pPr>
            <w:r>
              <w:t>60</w:t>
            </w:r>
          </w:p>
        </w:tc>
        <w:tc>
          <w:tcPr>
            <w:tcW w:w="1455" w:type="pct"/>
            <w:tcBorders>
              <w:top w:val="single" w:color="auto" w:sz="6" w:space="0"/>
              <w:left w:val="single" w:color="auto" w:sz="6" w:space="0"/>
              <w:bottom w:val="single" w:color="auto" w:sz="12" w:space="0"/>
              <w:right w:val="single" w:color="auto" w:sz="12" w:space="0"/>
            </w:tcBorders>
            <w:tcMar>
              <w:left w:w="0" w:type="dxa"/>
              <w:right w:w="0" w:type="dxa"/>
            </w:tcMar>
            <w:vAlign w:val="center"/>
          </w:tcPr>
          <w:p w14:paraId="4D4ACE74">
            <w:pPr>
              <w:pStyle w:val="34"/>
            </w:pPr>
          </w:p>
        </w:tc>
      </w:tr>
    </w:tbl>
    <w:p w14:paraId="0CF2A52C">
      <w:pPr>
        <w:pStyle w:val="6"/>
      </w:pPr>
      <w:r>
        <w:rPr>
          <w:rFonts w:hint="eastAsia"/>
        </w:rPr>
        <w:t>危险货物集装箱装卸类型</w:t>
      </w:r>
    </w:p>
    <w:p w14:paraId="18E08133">
      <w:pPr>
        <w:adjustRightInd w:val="0"/>
        <w:ind w:firstLine="462"/>
        <w:rPr>
          <w:rFonts w:cs="宋体"/>
          <w:bCs/>
          <w:lang w:bidi="ar"/>
        </w:rPr>
      </w:pPr>
      <w:r>
        <w:rPr>
          <w:rFonts w:hint="eastAsia" w:cs="宋体"/>
          <w:bCs/>
          <w:lang w:bidi="ar"/>
        </w:rPr>
        <w:t>码头装卸作业的危险货物集装箱种类：第2.1项、第2.2项、第3类（不含退敏爆炸品）、第4.1项（不含</w:t>
      </w:r>
      <w:bookmarkStart w:id="221" w:name="OLE_LINK172"/>
      <w:r>
        <w:rPr>
          <w:rFonts w:hint="eastAsia" w:cs="宋体"/>
          <w:bCs/>
          <w:lang w:bidi="ar"/>
        </w:rPr>
        <w:t>固态退敏爆炸品</w:t>
      </w:r>
      <w:bookmarkEnd w:id="221"/>
      <w:r>
        <w:rPr>
          <w:rFonts w:hint="eastAsia" w:cs="宋体"/>
          <w:bCs/>
          <w:lang w:bidi="ar"/>
        </w:rPr>
        <w:t>）、第4.2项、第4.3项、第5.1项、第5.2项、第6.1项（不含剧毒品）、第8类、第9类危险货物集装箱。</w:t>
      </w:r>
    </w:p>
    <w:p w14:paraId="53B731D2">
      <w:pPr>
        <w:adjustRightInd w:val="0"/>
        <w:ind w:firstLine="462"/>
        <w:rPr>
          <w:rFonts w:cs="宋体"/>
          <w:bCs/>
          <w:lang w:bidi="ar"/>
        </w:rPr>
      </w:pPr>
      <w:r>
        <w:rPr>
          <w:rFonts w:hint="eastAsia" w:cs="宋体"/>
          <w:bCs/>
          <w:lang w:bidi="ar"/>
        </w:rPr>
        <w:t>危险货物集装箱堆场堆存的危险货物集装箱种类为：第2.1项、第2.2项、第3类（不含退敏爆炸品）、第4.1项（不含固态退敏爆炸品）、第4.2项、第4.3项、第5.1项、第5.2项、第6.1项（不含剧毒品）、第8类、第9类危险货物集装箱，不含</w:t>
      </w:r>
      <w:bookmarkStart w:id="222" w:name="OLE_LINK171"/>
      <w:r>
        <w:rPr>
          <w:rFonts w:hint="eastAsia" w:cs="宋体"/>
          <w:bCs/>
          <w:lang w:bidi="ar"/>
        </w:rPr>
        <w:t>硝酸铵类物质</w:t>
      </w:r>
      <w:bookmarkEnd w:id="222"/>
      <w:r>
        <w:rPr>
          <w:rFonts w:hint="eastAsia" w:cs="宋体"/>
          <w:bCs/>
          <w:lang w:bidi="ar"/>
        </w:rPr>
        <w:t>（即硝酸铵类物质的危险货物集装箱在码头只进行直装直取作业，不在堆场堆存）。</w:t>
      </w:r>
    </w:p>
    <w:p w14:paraId="2DA66F72">
      <w:pPr>
        <w:adjustRightInd w:val="0"/>
        <w:ind w:firstLine="462"/>
        <w:rPr>
          <w:spacing w:val="-1"/>
          <w:u w:val="single"/>
        </w:rPr>
      </w:pPr>
      <w:r>
        <w:rPr>
          <w:rFonts w:hint="eastAsia" w:cs="宋体"/>
          <w:bCs/>
          <w:u w:val="single"/>
          <w:lang w:bidi="ar"/>
        </w:rPr>
        <w:t>根据统计，</w:t>
      </w:r>
      <w:r>
        <w:rPr>
          <w:rFonts w:hint="eastAsia"/>
          <w:spacing w:val="-1"/>
          <w:u w:val="single"/>
        </w:rPr>
        <w:t>码头装卸作业危险货种共8类，1734种；堆场可堆存危险货种8类，1729种。</w:t>
      </w:r>
    </w:p>
    <w:p w14:paraId="7DE95842">
      <w:pPr>
        <w:pStyle w:val="7"/>
        <w:rPr>
          <w:u w:val="single"/>
        </w:rPr>
      </w:pPr>
      <w:r>
        <w:rPr>
          <w:rFonts w:hint="eastAsia"/>
          <w:u w:val="single"/>
        </w:rPr>
        <w:t>项目危险货种作业情况一览表</w:t>
      </w:r>
    </w:p>
    <w:tbl>
      <w:tblPr>
        <w:tblStyle w:val="88"/>
        <w:tblW w:w="8336" w:type="dxa"/>
        <w:tblInd w:w="-4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07"/>
        <w:gridCol w:w="1475"/>
        <w:gridCol w:w="5754"/>
      </w:tblGrid>
      <w:tr w14:paraId="5FFA4F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blHeader/>
        </w:trPr>
        <w:tc>
          <w:tcPr>
            <w:tcW w:w="1107" w:type="dxa"/>
            <w:tcMar>
              <w:left w:w="0" w:type="dxa"/>
              <w:right w:w="0" w:type="dxa"/>
            </w:tcMar>
            <w:vAlign w:val="center"/>
          </w:tcPr>
          <w:p w14:paraId="7BEBD522">
            <w:pPr>
              <w:pStyle w:val="34"/>
              <w:spacing w:line="240" w:lineRule="exact"/>
              <w:rPr>
                <w:color w:val="000000"/>
                <w:szCs w:val="21"/>
                <w:u w:val="single"/>
              </w:rPr>
            </w:pPr>
            <w:r>
              <w:rPr>
                <w:rFonts w:hint="eastAsia"/>
                <w:color w:val="000000"/>
                <w:szCs w:val="21"/>
                <w:u w:val="single"/>
              </w:rPr>
              <w:t>作业区域</w:t>
            </w:r>
          </w:p>
        </w:tc>
        <w:tc>
          <w:tcPr>
            <w:tcW w:w="1475" w:type="dxa"/>
          </w:tcPr>
          <w:p w14:paraId="215C6E9E">
            <w:pPr>
              <w:pStyle w:val="34"/>
              <w:spacing w:line="240" w:lineRule="exact"/>
              <w:rPr>
                <w:color w:val="000000"/>
                <w:szCs w:val="21"/>
                <w:u w:val="single"/>
              </w:rPr>
            </w:pPr>
            <w:r>
              <w:rPr>
                <w:rFonts w:hint="eastAsia"/>
                <w:color w:val="000000"/>
                <w:szCs w:val="21"/>
                <w:u w:val="single"/>
              </w:rPr>
              <w:t>危险货种数量</w:t>
            </w:r>
          </w:p>
        </w:tc>
        <w:tc>
          <w:tcPr>
            <w:tcW w:w="5754" w:type="dxa"/>
            <w:tcMar>
              <w:left w:w="0" w:type="dxa"/>
              <w:right w:w="0" w:type="dxa"/>
            </w:tcMar>
            <w:vAlign w:val="center"/>
          </w:tcPr>
          <w:p w14:paraId="720C6136">
            <w:pPr>
              <w:pStyle w:val="34"/>
              <w:spacing w:line="240" w:lineRule="exact"/>
              <w:rPr>
                <w:color w:val="000000"/>
                <w:szCs w:val="21"/>
                <w:u w:val="single"/>
              </w:rPr>
            </w:pPr>
            <w:r>
              <w:rPr>
                <w:rFonts w:hint="eastAsia"/>
                <w:color w:val="000000"/>
                <w:szCs w:val="21"/>
                <w:u w:val="single"/>
              </w:rPr>
              <w:t>货种种类</w:t>
            </w:r>
          </w:p>
        </w:tc>
      </w:tr>
      <w:tr w14:paraId="75F4F3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restart"/>
            <w:tcMar>
              <w:left w:w="0" w:type="dxa"/>
              <w:right w:w="0" w:type="dxa"/>
            </w:tcMar>
            <w:vAlign w:val="center"/>
          </w:tcPr>
          <w:p w14:paraId="20BD37AA">
            <w:pPr>
              <w:pStyle w:val="34"/>
              <w:spacing w:line="240" w:lineRule="exact"/>
              <w:rPr>
                <w:color w:val="000000"/>
                <w:szCs w:val="21"/>
                <w:u w:val="single"/>
              </w:rPr>
            </w:pPr>
            <w:r>
              <w:rPr>
                <w:rFonts w:hint="eastAsia"/>
                <w:color w:val="000000"/>
                <w:szCs w:val="21"/>
                <w:u w:val="single"/>
              </w:rPr>
              <w:t>码头作业</w:t>
            </w:r>
          </w:p>
        </w:tc>
        <w:tc>
          <w:tcPr>
            <w:tcW w:w="1475" w:type="dxa"/>
            <w:vMerge w:val="restart"/>
            <w:vAlign w:val="center"/>
          </w:tcPr>
          <w:p w14:paraId="160D29F6">
            <w:pPr>
              <w:pStyle w:val="34"/>
              <w:spacing w:line="240" w:lineRule="exact"/>
              <w:rPr>
                <w:color w:val="000000"/>
                <w:szCs w:val="21"/>
                <w:u w:val="single"/>
              </w:rPr>
            </w:pPr>
            <w:r>
              <w:rPr>
                <w:rFonts w:hint="eastAsia"/>
                <w:color w:val="000000"/>
                <w:szCs w:val="21"/>
                <w:u w:val="single"/>
              </w:rPr>
              <w:t>8类，1734种</w:t>
            </w:r>
          </w:p>
        </w:tc>
        <w:tc>
          <w:tcPr>
            <w:tcW w:w="5754" w:type="dxa"/>
            <w:tcMar>
              <w:left w:w="0" w:type="dxa"/>
              <w:right w:w="0" w:type="dxa"/>
            </w:tcMar>
            <w:vAlign w:val="center"/>
          </w:tcPr>
          <w:p w14:paraId="120F747F">
            <w:pPr>
              <w:pStyle w:val="34"/>
              <w:spacing w:line="240" w:lineRule="exact"/>
              <w:rPr>
                <w:color w:val="000000"/>
                <w:szCs w:val="21"/>
                <w:u w:val="single"/>
              </w:rPr>
            </w:pPr>
            <w:r>
              <w:rPr>
                <w:rFonts w:hint="eastAsia"/>
                <w:color w:val="000000"/>
                <w:szCs w:val="21"/>
                <w:u w:val="single"/>
              </w:rPr>
              <w:t>第2类 压缩气体和液化气体（2.1易燃气体、2.2非易燃气体），148种。</w:t>
            </w:r>
          </w:p>
        </w:tc>
      </w:tr>
      <w:tr w14:paraId="381C63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512D196F">
            <w:pPr>
              <w:pStyle w:val="34"/>
              <w:spacing w:line="240" w:lineRule="exact"/>
              <w:rPr>
                <w:color w:val="000000"/>
                <w:szCs w:val="21"/>
                <w:u w:val="single"/>
              </w:rPr>
            </w:pPr>
          </w:p>
        </w:tc>
        <w:tc>
          <w:tcPr>
            <w:tcW w:w="1475" w:type="dxa"/>
            <w:vMerge w:val="continue"/>
            <w:vAlign w:val="center"/>
          </w:tcPr>
          <w:p w14:paraId="4A35A53E">
            <w:pPr>
              <w:pStyle w:val="34"/>
              <w:spacing w:line="240" w:lineRule="exact"/>
              <w:rPr>
                <w:color w:val="000000"/>
                <w:szCs w:val="21"/>
                <w:u w:val="single"/>
              </w:rPr>
            </w:pPr>
          </w:p>
        </w:tc>
        <w:tc>
          <w:tcPr>
            <w:tcW w:w="5754" w:type="dxa"/>
            <w:tcMar>
              <w:left w:w="0" w:type="dxa"/>
              <w:right w:w="0" w:type="dxa"/>
            </w:tcMar>
            <w:vAlign w:val="center"/>
          </w:tcPr>
          <w:p w14:paraId="07112746">
            <w:pPr>
              <w:pStyle w:val="34"/>
              <w:spacing w:line="240" w:lineRule="exact"/>
              <w:rPr>
                <w:color w:val="000000"/>
                <w:szCs w:val="21"/>
                <w:u w:val="single"/>
              </w:rPr>
            </w:pPr>
            <w:r>
              <w:rPr>
                <w:rFonts w:hint="eastAsia"/>
                <w:color w:val="000000"/>
                <w:szCs w:val="21"/>
                <w:u w:val="single"/>
              </w:rPr>
              <w:t>第3类 易燃液体，390种。</w:t>
            </w:r>
          </w:p>
        </w:tc>
      </w:tr>
      <w:tr w14:paraId="2D8B7E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3423D7C3">
            <w:pPr>
              <w:pStyle w:val="34"/>
              <w:spacing w:line="240" w:lineRule="exact"/>
              <w:rPr>
                <w:color w:val="000000"/>
                <w:szCs w:val="21"/>
                <w:u w:val="single"/>
              </w:rPr>
            </w:pPr>
          </w:p>
        </w:tc>
        <w:tc>
          <w:tcPr>
            <w:tcW w:w="1475" w:type="dxa"/>
            <w:vMerge w:val="continue"/>
            <w:vAlign w:val="center"/>
          </w:tcPr>
          <w:p w14:paraId="5E192EE0">
            <w:pPr>
              <w:pStyle w:val="34"/>
              <w:spacing w:line="240" w:lineRule="exact"/>
              <w:rPr>
                <w:color w:val="000000"/>
                <w:szCs w:val="21"/>
                <w:u w:val="single"/>
              </w:rPr>
            </w:pPr>
          </w:p>
        </w:tc>
        <w:tc>
          <w:tcPr>
            <w:tcW w:w="5754" w:type="dxa"/>
            <w:tcMar>
              <w:left w:w="0" w:type="dxa"/>
              <w:right w:w="0" w:type="dxa"/>
            </w:tcMar>
            <w:vAlign w:val="center"/>
          </w:tcPr>
          <w:p w14:paraId="07283BD1">
            <w:pPr>
              <w:pStyle w:val="34"/>
              <w:spacing w:line="240" w:lineRule="exact"/>
              <w:rPr>
                <w:color w:val="000000"/>
                <w:szCs w:val="21"/>
                <w:u w:val="single"/>
              </w:rPr>
            </w:pPr>
            <w:r>
              <w:rPr>
                <w:rFonts w:hint="eastAsia"/>
                <w:color w:val="000000"/>
                <w:szCs w:val="21"/>
                <w:u w:val="single"/>
              </w:rPr>
              <w:t>第4类 易燃固体、自燃物品和遇湿易燃物品（4.1易燃固体、4.2自燃物品、4.3遇湿易燃物品），279种。</w:t>
            </w:r>
          </w:p>
        </w:tc>
      </w:tr>
      <w:tr w14:paraId="6617E0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5B8A133E">
            <w:pPr>
              <w:pStyle w:val="34"/>
              <w:spacing w:line="240" w:lineRule="exact"/>
              <w:rPr>
                <w:color w:val="000000"/>
                <w:szCs w:val="21"/>
                <w:u w:val="single"/>
              </w:rPr>
            </w:pPr>
          </w:p>
        </w:tc>
        <w:tc>
          <w:tcPr>
            <w:tcW w:w="1475" w:type="dxa"/>
            <w:vMerge w:val="continue"/>
            <w:vAlign w:val="center"/>
          </w:tcPr>
          <w:p w14:paraId="5B1111A8">
            <w:pPr>
              <w:pStyle w:val="34"/>
              <w:spacing w:line="240" w:lineRule="exact"/>
              <w:rPr>
                <w:color w:val="000000"/>
                <w:szCs w:val="21"/>
                <w:u w:val="single"/>
              </w:rPr>
            </w:pPr>
          </w:p>
        </w:tc>
        <w:tc>
          <w:tcPr>
            <w:tcW w:w="5754" w:type="dxa"/>
            <w:tcMar>
              <w:left w:w="0" w:type="dxa"/>
              <w:right w:w="0" w:type="dxa"/>
            </w:tcMar>
            <w:vAlign w:val="center"/>
          </w:tcPr>
          <w:p w14:paraId="38DF3598">
            <w:pPr>
              <w:pStyle w:val="34"/>
              <w:spacing w:line="240" w:lineRule="exact"/>
              <w:rPr>
                <w:color w:val="000000"/>
                <w:szCs w:val="21"/>
                <w:u w:val="single"/>
              </w:rPr>
            </w:pPr>
            <w:bookmarkStart w:id="223" w:name="OLE_LINK244"/>
            <w:r>
              <w:rPr>
                <w:rFonts w:hint="eastAsia"/>
                <w:color w:val="000000"/>
                <w:szCs w:val="21"/>
                <w:u w:val="single"/>
              </w:rPr>
              <w:t>第5类 氧化剂和有机过氧化物（5.1氧化物、5.2有机过氧化物），</w:t>
            </w:r>
            <w:bookmarkEnd w:id="223"/>
            <w:r>
              <w:rPr>
                <w:rFonts w:hint="eastAsia"/>
                <w:color w:val="000000"/>
                <w:szCs w:val="21"/>
                <w:u w:val="single"/>
              </w:rPr>
              <w:t>155种。</w:t>
            </w:r>
          </w:p>
        </w:tc>
      </w:tr>
      <w:tr w14:paraId="4FD8C1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3D146D73">
            <w:pPr>
              <w:pStyle w:val="34"/>
              <w:spacing w:line="240" w:lineRule="exact"/>
              <w:rPr>
                <w:color w:val="000000"/>
                <w:szCs w:val="21"/>
                <w:u w:val="single"/>
              </w:rPr>
            </w:pPr>
          </w:p>
        </w:tc>
        <w:tc>
          <w:tcPr>
            <w:tcW w:w="1475" w:type="dxa"/>
            <w:vMerge w:val="continue"/>
            <w:vAlign w:val="center"/>
          </w:tcPr>
          <w:p w14:paraId="53B7AB9E">
            <w:pPr>
              <w:pStyle w:val="34"/>
              <w:spacing w:line="240" w:lineRule="exact"/>
              <w:rPr>
                <w:color w:val="000000"/>
                <w:szCs w:val="21"/>
                <w:u w:val="single"/>
              </w:rPr>
            </w:pPr>
          </w:p>
        </w:tc>
        <w:tc>
          <w:tcPr>
            <w:tcW w:w="5754" w:type="dxa"/>
            <w:tcMar>
              <w:left w:w="0" w:type="dxa"/>
              <w:right w:w="0" w:type="dxa"/>
            </w:tcMar>
            <w:vAlign w:val="center"/>
          </w:tcPr>
          <w:p w14:paraId="483FBA3E">
            <w:pPr>
              <w:pStyle w:val="34"/>
              <w:spacing w:line="240" w:lineRule="exact"/>
              <w:rPr>
                <w:color w:val="000000"/>
                <w:szCs w:val="21"/>
                <w:u w:val="single"/>
              </w:rPr>
            </w:pPr>
            <w:r>
              <w:rPr>
                <w:rFonts w:hint="eastAsia"/>
                <w:color w:val="000000"/>
                <w:szCs w:val="21"/>
                <w:u w:val="single"/>
              </w:rPr>
              <w:t>第6类 毒害品和感染性物品（6.1项 毒性物质【剧毒物除外】），439种。</w:t>
            </w:r>
          </w:p>
        </w:tc>
      </w:tr>
      <w:tr w14:paraId="7B7B6F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497C8C93">
            <w:pPr>
              <w:pStyle w:val="34"/>
              <w:spacing w:line="240" w:lineRule="exact"/>
              <w:rPr>
                <w:color w:val="000000"/>
                <w:szCs w:val="21"/>
                <w:u w:val="single"/>
              </w:rPr>
            </w:pPr>
          </w:p>
        </w:tc>
        <w:tc>
          <w:tcPr>
            <w:tcW w:w="1475" w:type="dxa"/>
            <w:vMerge w:val="continue"/>
            <w:vAlign w:val="center"/>
          </w:tcPr>
          <w:p w14:paraId="4A29C8EE">
            <w:pPr>
              <w:pStyle w:val="34"/>
              <w:spacing w:line="240" w:lineRule="exact"/>
              <w:rPr>
                <w:color w:val="000000"/>
                <w:szCs w:val="21"/>
                <w:u w:val="single"/>
              </w:rPr>
            </w:pPr>
          </w:p>
        </w:tc>
        <w:tc>
          <w:tcPr>
            <w:tcW w:w="5754" w:type="dxa"/>
            <w:tcMar>
              <w:left w:w="0" w:type="dxa"/>
              <w:right w:w="0" w:type="dxa"/>
            </w:tcMar>
            <w:vAlign w:val="center"/>
          </w:tcPr>
          <w:p w14:paraId="400E3105">
            <w:pPr>
              <w:pStyle w:val="34"/>
              <w:spacing w:line="240" w:lineRule="exact"/>
              <w:rPr>
                <w:color w:val="000000"/>
                <w:szCs w:val="21"/>
                <w:u w:val="single"/>
              </w:rPr>
            </w:pPr>
            <w:r>
              <w:rPr>
                <w:rFonts w:hint="eastAsia"/>
                <w:color w:val="000000"/>
                <w:szCs w:val="21"/>
                <w:u w:val="single"/>
              </w:rPr>
              <w:t>第8类 腐蚀性物质，275种。</w:t>
            </w:r>
          </w:p>
        </w:tc>
      </w:tr>
      <w:tr w14:paraId="0D83FB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49713D71">
            <w:pPr>
              <w:pStyle w:val="34"/>
              <w:spacing w:line="240" w:lineRule="exact"/>
              <w:rPr>
                <w:color w:val="000000"/>
                <w:szCs w:val="21"/>
                <w:u w:val="single"/>
              </w:rPr>
            </w:pPr>
          </w:p>
        </w:tc>
        <w:tc>
          <w:tcPr>
            <w:tcW w:w="1475" w:type="dxa"/>
            <w:vMerge w:val="continue"/>
            <w:vAlign w:val="center"/>
          </w:tcPr>
          <w:p w14:paraId="184EFDE2">
            <w:pPr>
              <w:pStyle w:val="34"/>
              <w:spacing w:line="240" w:lineRule="exact"/>
              <w:rPr>
                <w:color w:val="000000"/>
                <w:szCs w:val="21"/>
                <w:u w:val="single"/>
              </w:rPr>
            </w:pPr>
          </w:p>
        </w:tc>
        <w:tc>
          <w:tcPr>
            <w:tcW w:w="5754" w:type="dxa"/>
            <w:tcMar>
              <w:left w:w="0" w:type="dxa"/>
              <w:right w:w="0" w:type="dxa"/>
            </w:tcMar>
            <w:vAlign w:val="center"/>
          </w:tcPr>
          <w:p w14:paraId="296E74CF">
            <w:pPr>
              <w:pStyle w:val="34"/>
              <w:spacing w:line="240" w:lineRule="exact"/>
              <w:rPr>
                <w:color w:val="000000"/>
                <w:szCs w:val="21"/>
                <w:u w:val="single"/>
              </w:rPr>
            </w:pPr>
            <w:r>
              <w:rPr>
                <w:rFonts w:hint="eastAsia"/>
                <w:color w:val="000000"/>
                <w:szCs w:val="21"/>
                <w:u w:val="single"/>
              </w:rPr>
              <w:t>第9类 杂项危险物质和物品，48种。</w:t>
            </w:r>
          </w:p>
        </w:tc>
      </w:tr>
      <w:tr w14:paraId="787E00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1B503580">
            <w:pPr>
              <w:pStyle w:val="34"/>
              <w:spacing w:line="240" w:lineRule="exact"/>
              <w:rPr>
                <w:color w:val="000000"/>
                <w:szCs w:val="21"/>
                <w:u w:val="single"/>
              </w:rPr>
            </w:pPr>
          </w:p>
        </w:tc>
        <w:tc>
          <w:tcPr>
            <w:tcW w:w="1475" w:type="dxa"/>
            <w:vMerge w:val="continue"/>
            <w:vAlign w:val="center"/>
          </w:tcPr>
          <w:p w14:paraId="6F2120E0">
            <w:pPr>
              <w:pStyle w:val="34"/>
              <w:spacing w:line="240" w:lineRule="exact"/>
              <w:rPr>
                <w:color w:val="000000"/>
                <w:szCs w:val="21"/>
                <w:u w:val="single"/>
              </w:rPr>
            </w:pPr>
          </w:p>
        </w:tc>
        <w:tc>
          <w:tcPr>
            <w:tcW w:w="5754" w:type="dxa"/>
            <w:tcMar>
              <w:left w:w="0" w:type="dxa"/>
              <w:right w:w="0" w:type="dxa"/>
            </w:tcMar>
            <w:vAlign w:val="center"/>
          </w:tcPr>
          <w:p w14:paraId="64F7261D">
            <w:pPr>
              <w:pStyle w:val="34"/>
              <w:spacing w:line="240" w:lineRule="exact"/>
              <w:rPr>
                <w:color w:val="000000"/>
                <w:szCs w:val="21"/>
                <w:u w:val="single"/>
              </w:rPr>
            </w:pPr>
            <w:r>
              <w:rPr>
                <w:rFonts w:hint="eastAsia"/>
                <w:color w:val="000000"/>
                <w:szCs w:val="21"/>
                <w:u w:val="single"/>
              </w:rPr>
              <w:t>合计：1734种</w:t>
            </w:r>
          </w:p>
        </w:tc>
      </w:tr>
      <w:tr w14:paraId="49E610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restart"/>
            <w:tcMar>
              <w:left w:w="0" w:type="dxa"/>
              <w:right w:w="0" w:type="dxa"/>
            </w:tcMar>
            <w:vAlign w:val="center"/>
          </w:tcPr>
          <w:p w14:paraId="14E1348D">
            <w:pPr>
              <w:pStyle w:val="34"/>
              <w:spacing w:line="240" w:lineRule="exact"/>
              <w:rPr>
                <w:color w:val="000000"/>
                <w:szCs w:val="21"/>
                <w:u w:val="single"/>
              </w:rPr>
            </w:pPr>
            <w:r>
              <w:rPr>
                <w:rFonts w:hint="eastAsia"/>
                <w:color w:val="000000"/>
                <w:szCs w:val="21"/>
                <w:u w:val="single"/>
              </w:rPr>
              <w:t>堆场作业</w:t>
            </w:r>
          </w:p>
        </w:tc>
        <w:tc>
          <w:tcPr>
            <w:tcW w:w="1475" w:type="dxa"/>
            <w:vMerge w:val="restart"/>
            <w:vAlign w:val="center"/>
          </w:tcPr>
          <w:p w14:paraId="1EA9B867">
            <w:pPr>
              <w:pStyle w:val="34"/>
              <w:spacing w:line="240" w:lineRule="exact"/>
              <w:rPr>
                <w:color w:val="000000"/>
                <w:szCs w:val="21"/>
                <w:u w:val="single"/>
              </w:rPr>
            </w:pPr>
            <w:r>
              <w:rPr>
                <w:rFonts w:hint="eastAsia"/>
                <w:color w:val="000000"/>
                <w:szCs w:val="21"/>
                <w:u w:val="single"/>
              </w:rPr>
              <w:t>8类，1729种</w:t>
            </w:r>
          </w:p>
        </w:tc>
        <w:tc>
          <w:tcPr>
            <w:tcW w:w="5754" w:type="dxa"/>
            <w:tcMar>
              <w:left w:w="0" w:type="dxa"/>
              <w:right w:w="0" w:type="dxa"/>
            </w:tcMar>
            <w:vAlign w:val="center"/>
          </w:tcPr>
          <w:p w14:paraId="7013FD37">
            <w:pPr>
              <w:pStyle w:val="34"/>
              <w:spacing w:line="240" w:lineRule="exact"/>
              <w:rPr>
                <w:color w:val="000000"/>
                <w:szCs w:val="21"/>
                <w:u w:val="single"/>
              </w:rPr>
            </w:pPr>
            <w:r>
              <w:rPr>
                <w:rFonts w:hint="eastAsia"/>
                <w:color w:val="000000"/>
                <w:szCs w:val="21"/>
                <w:u w:val="single"/>
              </w:rPr>
              <w:t>第2类 压缩气体和液化气体（2.1易燃气体、2.2非易燃气体），148种。</w:t>
            </w:r>
          </w:p>
        </w:tc>
      </w:tr>
      <w:tr w14:paraId="406FD1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1A216E5D">
            <w:pPr>
              <w:pStyle w:val="34"/>
              <w:spacing w:line="240" w:lineRule="exact"/>
              <w:rPr>
                <w:color w:val="000000"/>
                <w:szCs w:val="21"/>
                <w:u w:val="single"/>
              </w:rPr>
            </w:pPr>
          </w:p>
        </w:tc>
        <w:tc>
          <w:tcPr>
            <w:tcW w:w="1475" w:type="dxa"/>
            <w:vMerge w:val="continue"/>
            <w:vAlign w:val="center"/>
          </w:tcPr>
          <w:p w14:paraId="0F93A03C">
            <w:pPr>
              <w:pStyle w:val="34"/>
              <w:spacing w:line="240" w:lineRule="exact"/>
              <w:rPr>
                <w:color w:val="000000"/>
                <w:szCs w:val="21"/>
                <w:u w:val="single"/>
              </w:rPr>
            </w:pPr>
          </w:p>
        </w:tc>
        <w:tc>
          <w:tcPr>
            <w:tcW w:w="5754" w:type="dxa"/>
            <w:tcMar>
              <w:left w:w="0" w:type="dxa"/>
              <w:right w:w="0" w:type="dxa"/>
            </w:tcMar>
            <w:vAlign w:val="center"/>
          </w:tcPr>
          <w:p w14:paraId="2D76C4FC">
            <w:pPr>
              <w:pStyle w:val="34"/>
              <w:spacing w:line="240" w:lineRule="exact"/>
              <w:rPr>
                <w:color w:val="000000"/>
                <w:szCs w:val="21"/>
                <w:u w:val="single"/>
              </w:rPr>
            </w:pPr>
            <w:r>
              <w:rPr>
                <w:rFonts w:hint="eastAsia"/>
                <w:color w:val="000000"/>
                <w:szCs w:val="21"/>
                <w:u w:val="single"/>
              </w:rPr>
              <w:t>第3类 易燃液体，390种。</w:t>
            </w:r>
          </w:p>
        </w:tc>
      </w:tr>
      <w:tr w14:paraId="581C3E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1CBDB4C5">
            <w:pPr>
              <w:pStyle w:val="34"/>
              <w:spacing w:line="240" w:lineRule="exact"/>
              <w:rPr>
                <w:color w:val="000000"/>
                <w:szCs w:val="21"/>
                <w:u w:val="single"/>
              </w:rPr>
            </w:pPr>
          </w:p>
        </w:tc>
        <w:tc>
          <w:tcPr>
            <w:tcW w:w="1475" w:type="dxa"/>
            <w:vMerge w:val="continue"/>
            <w:vAlign w:val="center"/>
          </w:tcPr>
          <w:p w14:paraId="34CCA0B7">
            <w:pPr>
              <w:pStyle w:val="34"/>
              <w:spacing w:line="240" w:lineRule="exact"/>
              <w:rPr>
                <w:color w:val="000000"/>
                <w:szCs w:val="21"/>
                <w:u w:val="single"/>
              </w:rPr>
            </w:pPr>
          </w:p>
        </w:tc>
        <w:tc>
          <w:tcPr>
            <w:tcW w:w="5754" w:type="dxa"/>
            <w:tcMar>
              <w:left w:w="0" w:type="dxa"/>
              <w:right w:w="0" w:type="dxa"/>
            </w:tcMar>
            <w:vAlign w:val="center"/>
          </w:tcPr>
          <w:p w14:paraId="293E5A55">
            <w:pPr>
              <w:pStyle w:val="34"/>
              <w:spacing w:line="240" w:lineRule="exact"/>
              <w:rPr>
                <w:color w:val="000000"/>
                <w:szCs w:val="21"/>
                <w:u w:val="single"/>
              </w:rPr>
            </w:pPr>
            <w:r>
              <w:rPr>
                <w:rFonts w:hint="eastAsia"/>
                <w:color w:val="000000"/>
                <w:szCs w:val="21"/>
                <w:u w:val="single"/>
              </w:rPr>
              <w:t>第4类 易燃固体、自燃物品和遇湿易燃物品（4.1易燃固体、4.2自燃物品、4.3遇湿易燃物品），279种。</w:t>
            </w:r>
          </w:p>
        </w:tc>
      </w:tr>
      <w:tr w14:paraId="7D1715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4E893EC0">
            <w:pPr>
              <w:pStyle w:val="34"/>
              <w:spacing w:line="240" w:lineRule="exact"/>
              <w:rPr>
                <w:color w:val="000000"/>
                <w:szCs w:val="21"/>
                <w:u w:val="single"/>
              </w:rPr>
            </w:pPr>
          </w:p>
        </w:tc>
        <w:tc>
          <w:tcPr>
            <w:tcW w:w="1475" w:type="dxa"/>
            <w:vMerge w:val="continue"/>
            <w:vAlign w:val="center"/>
          </w:tcPr>
          <w:p w14:paraId="02392AC3">
            <w:pPr>
              <w:pStyle w:val="34"/>
              <w:spacing w:line="240" w:lineRule="exact"/>
              <w:rPr>
                <w:color w:val="000000"/>
                <w:szCs w:val="21"/>
                <w:u w:val="single"/>
              </w:rPr>
            </w:pPr>
          </w:p>
        </w:tc>
        <w:tc>
          <w:tcPr>
            <w:tcW w:w="5754" w:type="dxa"/>
            <w:tcMar>
              <w:left w:w="0" w:type="dxa"/>
              <w:right w:w="0" w:type="dxa"/>
            </w:tcMar>
            <w:vAlign w:val="center"/>
          </w:tcPr>
          <w:p w14:paraId="662A3A9A">
            <w:pPr>
              <w:pStyle w:val="34"/>
              <w:spacing w:line="240" w:lineRule="exact"/>
              <w:rPr>
                <w:color w:val="000000"/>
                <w:szCs w:val="21"/>
                <w:u w:val="single"/>
              </w:rPr>
            </w:pPr>
            <w:r>
              <w:rPr>
                <w:rFonts w:hint="eastAsia"/>
                <w:color w:val="000000"/>
                <w:szCs w:val="21"/>
                <w:u w:val="single"/>
              </w:rPr>
              <w:t>第5类 氧化剂和有机过氧化物（5.1氧化物、5.2有机过氧化物），151种（4种硝酸铵类直装直取）。</w:t>
            </w:r>
          </w:p>
        </w:tc>
      </w:tr>
      <w:tr w14:paraId="4E843C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79AFA48A">
            <w:pPr>
              <w:pStyle w:val="34"/>
              <w:spacing w:line="240" w:lineRule="exact"/>
              <w:rPr>
                <w:color w:val="000000"/>
                <w:szCs w:val="21"/>
                <w:u w:val="single"/>
              </w:rPr>
            </w:pPr>
          </w:p>
        </w:tc>
        <w:tc>
          <w:tcPr>
            <w:tcW w:w="1475" w:type="dxa"/>
            <w:vMerge w:val="continue"/>
            <w:vAlign w:val="center"/>
          </w:tcPr>
          <w:p w14:paraId="624844BB">
            <w:pPr>
              <w:pStyle w:val="34"/>
              <w:spacing w:line="240" w:lineRule="exact"/>
              <w:rPr>
                <w:color w:val="000000"/>
                <w:szCs w:val="21"/>
                <w:u w:val="single"/>
              </w:rPr>
            </w:pPr>
          </w:p>
        </w:tc>
        <w:tc>
          <w:tcPr>
            <w:tcW w:w="5754" w:type="dxa"/>
            <w:tcMar>
              <w:left w:w="0" w:type="dxa"/>
              <w:right w:w="0" w:type="dxa"/>
            </w:tcMar>
            <w:vAlign w:val="center"/>
          </w:tcPr>
          <w:p w14:paraId="0981AADB">
            <w:pPr>
              <w:pStyle w:val="34"/>
              <w:spacing w:line="240" w:lineRule="exact"/>
              <w:rPr>
                <w:color w:val="000000"/>
                <w:szCs w:val="21"/>
                <w:u w:val="single"/>
              </w:rPr>
            </w:pPr>
            <w:r>
              <w:rPr>
                <w:rFonts w:hint="eastAsia"/>
                <w:color w:val="000000"/>
                <w:szCs w:val="21"/>
                <w:u w:val="single"/>
              </w:rPr>
              <w:t>第6类 毒害品和感染性物品（6.1项 毒性物质【剧毒物除外】），439种</w:t>
            </w:r>
          </w:p>
        </w:tc>
      </w:tr>
      <w:tr w14:paraId="2473AA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421C27A9">
            <w:pPr>
              <w:pStyle w:val="34"/>
              <w:spacing w:line="240" w:lineRule="exact"/>
              <w:rPr>
                <w:color w:val="000000"/>
                <w:szCs w:val="21"/>
                <w:u w:val="single"/>
              </w:rPr>
            </w:pPr>
          </w:p>
        </w:tc>
        <w:tc>
          <w:tcPr>
            <w:tcW w:w="1475" w:type="dxa"/>
            <w:vMerge w:val="continue"/>
            <w:vAlign w:val="center"/>
          </w:tcPr>
          <w:p w14:paraId="4D2A4CEB">
            <w:pPr>
              <w:pStyle w:val="34"/>
              <w:spacing w:line="240" w:lineRule="exact"/>
              <w:rPr>
                <w:color w:val="000000"/>
                <w:szCs w:val="21"/>
                <w:u w:val="single"/>
              </w:rPr>
            </w:pPr>
          </w:p>
        </w:tc>
        <w:tc>
          <w:tcPr>
            <w:tcW w:w="5754" w:type="dxa"/>
            <w:tcMar>
              <w:left w:w="0" w:type="dxa"/>
              <w:right w:w="0" w:type="dxa"/>
            </w:tcMar>
            <w:vAlign w:val="center"/>
          </w:tcPr>
          <w:p w14:paraId="6AD5BAFF">
            <w:pPr>
              <w:pStyle w:val="34"/>
              <w:spacing w:line="240" w:lineRule="exact"/>
              <w:rPr>
                <w:color w:val="000000"/>
                <w:szCs w:val="21"/>
                <w:u w:val="single"/>
              </w:rPr>
            </w:pPr>
            <w:r>
              <w:rPr>
                <w:rFonts w:hint="eastAsia"/>
                <w:color w:val="000000"/>
                <w:szCs w:val="21"/>
                <w:u w:val="single"/>
              </w:rPr>
              <w:t>第8类 腐蚀性物质，275种。</w:t>
            </w:r>
          </w:p>
        </w:tc>
      </w:tr>
      <w:tr w14:paraId="312DAF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0460864F">
            <w:pPr>
              <w:pStyle w:val="34"/>
              <w:spacing w:line="240" w:lineRule="exact"/>
              <w:rPr>
                <w:color w:val="000000"/>
                <w:szCs w:val="21"/>
                <w:u w:val="single"/>
              </w:rPr>
            </w:pPr>
          </w:p>
        </w:tc>
        <w:tc>
          <w:tcPr>
            <w:tcW w:w="1475" w:type="dxa"/>
            <w:vMerge w:val="continue"/>
            <w:vAlign w:val="center"/>
          </w:tcPr>
          <w:p w14:paraId="060D32B6">
            <w:pPr>
              <w:pStyle w:val="34"/>
              <w:spacing w:line="240" w:lineRule="exact"/>
              <w:rPr>
                <w:color w:val="000000"/>
                <w:szCs w:val="21"/>
                <w:u w:val="single"/>
              </w:rPr>
            </w:pPr>
          </w:p>
        </w:tc>
        <w:tc>
          <w:tcPr>
            <w:tcW w:w="5754" w:type="dxa"/>
            <w:tcMar>
              <w:left w:w="0" w:type="dxa"/>
              <w:right w:w="0" w:type="dxa"/>
            </w:tcMar>
            <w:vAlign w:val="center"/>
          </w:tcPr>
          <w:p w14:paraId="435F1176">
            <w:pPr>
              <w:pStyle w:val="34"/>
              <w:spacing w:line="240" w:lineRule="exact"/>
              <w:rPr>
                <w:color w:val="000000"/>
                <w:szCs w:val="21"/>
                <w:u w:val="single"/>
              </w:rPr>
            </w:pPr>
            <w:r>
              <w:rPr>
                <w:rFonts w:hint="eastAsia"/>
                <w:color w:val="000000"/>
                <w:szCs w:val="21"/>
                <w:u w:val="single"/>
              </w:rPr>
              <w:t>第9类 杂项危险物质和物品，47种（1种硝酸铵类直装直取）。</w:t>
            </w:r>
          </w:p>
        </w:tc>
      </w:tr>
      <w:tr w14:paraId="733849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40A69DAD">
            <w:pPr>
              <w:pStyle w:val="34"/>
              <w:spacing w:line="240" w:lineRule="exact"/>
              <w:rPr>
                <w:color w:val="000000"/>
                <w:szCs w:val="21"/>
                <w:u w:val="single"/>
              </w:rPr>
            </w:pPr>
          </w:p>
        </w:tc>
        <w:tc>
          <w:tcPr>
            <w:tcW w:w="1475" w:type="dxa"/>
            <w:vMerge w:val="continue"/>
            <w:vAlign w:val="center"/>
          </w:tcPr>
          <w:p w14:paraId="52FBDC80">
            <w:pPr>
              <w:pStyle w:val="34"/>
              <w:spacing w:line="240" w:lineRule="exact"/>
              <w:rPr>
                <w:color w:val="000000"/>
                <w:szCs w:val="21"/>
                <w:u w:val="single"/>
              </w:rPr>
            </w:pPr>
          </w:p>
        </w:tc>
        <w:tc>
          <w:tcPr>
            <w:tcW w:w="5754" w:type="dxa"/>
            <w:tcMar>
              <w:left w:w="0" w:type="dxa"/>
              <w:right w:w="0" w:type="dxa"/>
            </w:tcMar>
            <w:vAlign w:val="center"/>
          </w:tcPr>
          <w:p w14:paraId="2346EE7F">
            <w:pPr>
              <w:pStyle w:val="34"/>
              <w:spacing w:line="240" w:lineRule="exact"/>
              <w:rPr>
                <w:color w:val="000000"/>
                <w:szCs w:val="21"/>
                <w:u w:val="single"/>
              </w:rPr>
            </w:pPr>
            <w:r>
              <w:rPr>
                <w:rFonts w:hint="eastAsia"/>
                <w:color w:val="000000"/>
                <w:szCs w:val="21"/>
                <w:u w:val="single"/>
              </w:rPr>
              <w:t>合计：1729种（硝酸铵类除外）</w:t>
            </w:r>
          </w:p>
        </w:tc>
      </w:tr>
    </w:tbl>
    <w:p w14:paraId="35FF1EE7">
      <w:pPr>
        <w:pStyle w:val="6"/>
      </w:pPr>
      <w:r>
        <w:rPr>
          <w:rFonts w:hint="eastAsia"/>
        </w:rPr>
        <w:t>自动化工艺方案</w:t>
      </w:r>
    </w:p>
    <w:p w14:paraId="1751670D">
      <w:pPr>
        <w:adjustRightInd w:val="0"/>
        <w:ind w:firstLine="462"/>
      </w:pPr>
      <w:r>
        <w:rPr>
          <w:rFonts w:hint="eastAsia" w:cs="宋体"/>
          <w:bCs/>
          <w:lang w:bidi="ar"/>
        </w:rPr>
        <w:t>江海联运泊位与集装箱堆场之间的水平运输衔接采用智能引导车（</w:t>
      </w:r>
      <w:r>
        <w:rPr>
          <w:bCs/>
          <w:lang w:bidi="ar"/>
        </w:rPr>
        <w:t>IGV</w:t>
      </w:r>
      <w:r>
        <w:rPr>
          <w:rFonts w:hint="eastAsia" w:cs="宋体"/>
          <w:bCs/>
          <w:lang w:bidi="ar"/>
        </w:rPr>
        <w:t>），</w:t>
      </w:r>
      <w:r>
        <w:rPr>
          <w:bCs/>
          <w:lang w:bidi="ar"/>
        </w:rPr>
        <w:t>IGV</w:t>
      </w:r>
      <w:r>
        <w:rPr>
          <w:rFonts w:hint="eastAsia" w:cs="宋体"/>
          <w:bCs/>
          <w:lang w:bidi="ar"/>
        </w:rPr>
        <w:t>在江海联运装卸完成后，经自动化堆场海侧</w:t>
      </w:r>
      <w:r>
        <w:rPr>
          <w:bCs/>
          <w:lang w:bidi="ar"/>
        </w:rPr>
        <w:t xml:space="preserve"> IGV </w:t>
      </w:r>
      <w:r>
        <w:rPr>
          <w:rFonts w:hint="eastAsia" w:cs="宋体"/>
          <w:bCs/>
          <w:lang w:bidi="ar"/>
        </w:rPr>
        <w:t>运行通道进入自动化集装箱堆场。</w:t>
      </w:r>
    </w:p>
    <w:p w14:paraId="28EB1D1D">
      <w:pPr>
        <w:pStyle w:val="6"/>
      </w:pPr>
      <w:r>
        <w:rPr>
          <w:rFonts w:hint="eastAsia"/>
        </w:rPr>
        <w:t>码头前沿装卸船作业方案及装卸工艺布置</w:t>
      </w:r>
    </w:p>
    <w:p w14:paraId="5EC8AEA3">
      <w:pPr>
        <w:adjustRightInd w:val="0"/>
        <w:ind w:firstLine="462"/>
      </w:pPr>
      <w:r>
        <w:rPr>
          <w:rFonts w:hint="eastAsia" w:cs="宋体"/>
          <w:bCs/>
          <w:lang w:bidi="ar"/>
        </w:rPr>
        <w:t>码头前沿作业宽度</w:t>
      </w:r>
      <w:r>
        <w:rPr>
          <w:bCs/>
          <w:lang w:bidi="ar"/>
        </w:rPr>
        <w:t>65.8m</w:t>
      </w:r>
      <w:r>
        <w:rPr>
          <w:rFonts w:hint="eastAsia" w:cs="宋体"/>
          <w:bCs/>
          <w:lang w:bidi="ar"/>
        </w:rPr>
        <w:t>，采用自动化单小车岸桥作业，岸桥上带拆装锁平台，方便拆装锁作业，岸桥轨距</w:t>
      </w:r>
      <w:r>
        <w:rPr>
          <w:bCs/>
          <w:lang w:bidi="ar"/>
        </w:rPr>
        <w:t>16m</w:t>
      </w:r>
      <w:r>
        <w:rPr>
          <w:rFonts w:hint="eastAsia" w:cs="宋体"/>
          <w:bCs/>
          <w:lang w:bidi="ar"/>
        </w:rPr>
        <w:t>，轨内布置</w:t>
      </w:r>
      <w:r>
        <w:rPr>
          <w:bCs/>
          <w:lang w:bidi="ar"/>
        </w:rPr>
        <w:t>2</w:t>
      </w:r>
      <w:r>
        <w:rPr>
          <w:rFonts w:hint="eastAsia" w:cs="宋体"/>
          <w:bCs/>
          <w:lang w:bidi="ar"/>
        </w:rPr>
        <w:t>条特殊箱车道，陆侧轨后为</w:t>
      </w:r>
      <w:r>
        <w:rPr>
          <w:bCs/>
          <w:lang w:bidi="ar"/>
        </w:rPr>
        <w:t>IGV</w:t>
      </w:r>
      <w:r>
        <w:rPr>
          <w:rFonts w:hint="eastAsia" w:cs="宋体"/>
          <w:bCs/>
          <w:lang w:bidi="ar"/>
        </w:rPr>
        <w:t>装卸运输区，布置</w:t>
      </w:r>
      <w:r>
        <w:rPr>
          <w:bCs/>
          <w:lang w:bidi="ar"/>
        </w:rPr>
        <w:t>3</w:t>
      </w:r>
      <w:r>
        <w:rPr>
          <w:rFonts w:hint="eastAsia" w:cs="宋体"/>
          <w:bCs/>
          <w:lang w:bidi="ar"/>
        </w:rPr>
        <w:t>条</w:t>
      </w:r>
      <w:r>
        <w:rPr>
          <w:bCs/>
          <w:lang w:bidi="ar"/>
        </w:rPr>
        <w:t>IGV</w:t>
      </w:r>
      <w:r>
        <w:rPr>
          <w:rFonts w:hint="eastAsia" w:cs="宋体"/>
          <w:bCs/>
          <w:lang w:bidi="ar"/>
        </w:rPr>
        <w:t>岸桥下的装卸作业车道、</w:t>
      </w:r>
      <w:r>
        <w:rPr>
          <w:bCs/>
          <w:lang w:bidi="ar"/>
        </w:rPr>
        <w:t>6</w:t>
      </w:r>
      <w:r>
        <w:rPr>
          <w:rFonts w:hint="eastAsia" w:cs="宋体"/>
          <w:bCs/>
          <w:lang w:bidi="ar"/>
        </w:rPr>
        <w:t>条</w:t>
      </w:r>
      <w:r>
        <w:rPr>
          <w:bCs/>
          <w:lang w:bidi="ar"/>
        </w:rPr>
        <w:t>IGV</w:t>
      </w:r>
      <w:r>
        <w:rPr>
          <w:rFonts w:hint="eastAsia" w:cs="宋体"/>
          <w:bCs/>
          <w:lang w:bidi="ar"/>
        </w:rPr>
        <w:t>快速行车道和</w:t>
      </w:r>
      <w:r>
        <w:rPr>
          <w:bCs/>
          <w:lang w:bidi="ar"/>
        </w:rPr>
        <w:t>1</w:t>
      </w:r>
      <w:r>
        <w:rPr>
          <w:rFonts w:hint="eastAsia" w:cs="宋体"/>
          <w:bCs/>
          <w:lang w:bidi="ar"/>
        </w:rPr>
        <w:t>条堆场装卸道（</w:t>
      </w:r>
      <w:r>
        <w:rPr>
          <w:bCs/>
          <w:lang w:bidi="ar"/>
        </w:rPr>
        <w:t>25</w:t>
      </w:r>
      <w:r>
        <w:rPr>
          <w:rFonts w:hint="eastAsia" w:cs="宋体"/>
          <w:bCs/>
          <w:lang w:bidi="ar"/>
        </w:rPr>
        <w:t>号堆场</w:t>
      </w:r>
      <w:r>
        <w:rPr>
          <w:bCs/>
          <w:lang w:bidi="ar"/>
        </w:rPr>
        <w:t>IGV</w:t>
      </w:r>
      <w:r>
        <w:rPr>
          <w:rFonts w:hint="eastAsia" w:cs="宋体"/>
          <w:bCs/>
          <w:lang w:bidi="ar"/>
        </w:rPr>
        <w:t>装卸车道），装卸断面图如下所示：</w:t>
      </w:r>
    </w:p>
    <w:p w14:paraId="53E07988">
      <w:pPr>
        <w:ind w:firstLine="0" w:firstLineChars="0"/>
        <w:jc w:val="center"/>
      </w:pPr>
      <w:r>
        <w:drawing>
          <wp:inline distT="0" distB="0" distL="0" distR="0">
            <wp:extent cx="5278120" cy="1698625"/>
            <wp:effectExtent l="0" t="0" r="0" b="0"/>
            <wp:docPr id="6106586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58602" name="图片 1"/>
                    <pic:cNvPicPr>
                      <a:picLocks noChangeAspect="1"/>
                    </pic:cNvPicPr>
                  </pic:nvPicPr>
                  <pic:blipFill>
                    <a:blip r:embed="rId43"/>
                    <a:stretch>
                      <a:fillRect/>
                    </a:stretch>
                  </pic:blipFill>
                  <pic:spPr>
                    <a:xfrm>
                      <a:off x="0" y="0"/>
                      <a:ext cx="5278120" cy="1698625"/>
                    </a:xfrm>
                    <a:prstGeom prst="rect">
                      <a:avLst/>
                    </a:prstGeom>
                  </pic:spPr>
                </pic:pic>
              </a:graphicData>
            </a:graphic>
          </wp:inline>
        </w:drawing>
      </w:r>
    </w:p>
    <w:p w14:paraId="65A339D6">
      <w:pPr>
        <w:pStyle w:val="8"/>
      </w:pPr>
      <w:r>
        <w:rPr>
          <w:rFonts w:hint="eastAsia"/>
          <w:lang w:bidi="ar"/>
        </w:rPr>
        <w:t>码头前沿作业地带布置断面图</w:t>
      </w:r>
    </w:p>
    <w:p w14:paraId="41EEA201">
      <w:pPr>
        <w:pStyle w:val="6"/>
      </w:pPr>
      <w:r>
        <w:rPr>
          <w:rFonts w:hint="eastAsia"/>
        </w:rPr>
        <w:t>集装箱堆场装卸作业方案及装卸工艺布置</w:t>
      </w:r>
    </w:p>
    <w:p w14:paraId="7AC9E357">
      <w:pPr>
        <w:adjustRightInd w:val="0"/>
        <w:ind w:firstLine="462"/>
        <w:rPr>
          <w:u w:val="single"/>
        </w:rPr>
      </w:pPr>
      <w:r>
        <w:rPr>
          <w:rFonts w:hint="eastAsia" w:cs="宋体"/>
          <w:bCs/>
          <w:u w:val="single"/>
          <w:lang w:bidi="ar"/>
        </w:rPr>
        <w:t>（</w:t>
      </w:r>
      <w:r>
        <w:rPr>
          <w:bCs/>
          <w:u w:val="single"/>
          <w:lang w:bidi="ar"/>
        </w:rPr>
        <w:t>1</w:t>
      </w:r>
      <w:r>
        <w:rPr>
          <w:rFonts w:hint="eastAsia" w:cs="宋体"/>
          <w:bCs/>
          <w:u w:val="single"/>
          <w:lang w:bidi="ar"/>
        </w:rPr>
        <w:t>）自动化集装箱堆场</w:t>
      </w:r>
    </w:p>
    <w:p w14:paraId="2E237EC9">
      <w:pPr>
        <w:adjustRightInd w:val="0"/>
        <w:ind w:firstLine="462"/>
        <w:rPr>
          <w:u w:val="single"/>
        </w:rPr>
      </w:pPr>
      <w:r>
        <w:rPr>
          <w:rFonts w:hint="eastAsia" w:cs="宋体"/>
          <w:bCs/>
          <w:u w:val="single"/>
          <w:lang w:bidi="ar"/>
        </w:rPr>
        <w:t>工程新建</w:t>
      </w:r>
      <w:r>
        <w:rPr>
          <w:bCs/>
          <w:u w:val="single"/>
          <w:lang w:bidi="ar"/>
        </w:rPr>
        <w:t>3</w:t>
      </w:r>
      <w:r>
        <w:rPr>
          <w:rFonts w:hint="eastAsia" w:cs="宋体"/>
          <w:bCs/>
          <w:u w:val="single"/>
          <w:lang w:bidi="ar"/>
        </w:rPr>
        <w:t>条自动化集装箱堆场（</w:t>
      </w:r>
      <w:r>
        <w:rPr>
          <w:bCs/>
          <w:u w:val="single"/>
          <w:lang w:bidi="ar"/>
        </w:rPr>
        <w:t>23-25</w:t>
      </w:r>
      <w:r>
        <w:rPr>
          <w:rFonts w:hint="eastAsia" w:cs="宋体"/>
          <w:bCs/>
          <w:u w:val="single"/>
          <w:lang w:bidi="ar"/>
        </w:rPr>
        <w:t>堆场），堆场装卸工艺方案与</w:t>
      </w:r>
      <w:r>
        <w:rPr>
          <w:bCs/>
          <w:u w:val="single"/>
          <w:lang w:bidi="ar"/>
        </w:rPr>
        <w:t>7</w:t>
      </w:r>
      <w:r>
        <w:rPr>
          <w:rFonts w:hint="eastAsia" w:cs="宋体"/>
          <w:bCs/>
          <w:u w:val="single"/>
          <w:lang w:bidi="ar"/>
        </w:rPr>
        <w:t>号</w:t>
      </w:r>
      <w:r>
        <w:rPr>
          <w:bCs/>
          <w:u w:val="single"/>
          <w:lang w:bidi="ar"/>
        </w:rPr>
        <w:t>-10</w:t>
      </w:r>
      <w:r>
        <w:rPr>
          <w:rFonts w:hint="eastAsia" w:cs="宋体"/>
          <w:bCs/>
          <w:u w:val="single"/>
          <w:lang w:bidi="ar"/>
        </w:rPr>
        <w:t>号泊位基本一致，采用“</w:t>
      </w:r>
      <w:r>
        <w:rPr>
          <w:bCs/>
          <w:u w:val="single"/>
          <w:lang w:bidi="ar"/>
        </w:rPr>
        <w:t>U</w:t>
      </w:r>
      <w:r>
        <w:rPr>
          <w:rFonts w:hint="eastAsia" w:cs="宋体"/>
          <w:bCs/>
          <w:u w:val="single"/>
          <w:lang w:bidi="ar"/>
        </w:rPr>
        <w:t>”型布局方案，同时为增加堆场集装箱堆存容量，本次新建的自动化集装箱堆场调整了自动化集装箱轨道龙门吊（</w:t>
      </w:r>
      <w:r>
        <w:rPr>
          <w:bCs/>
          <w:u w:val="single"/>
          <w:lang w:bidi="ar"/>
        </w:rPr>
        <w:t>ARMG</w:t>
      </w:r>
      <w:r>
        <w:rPr>
          <w:rFonts w:hint="eastAsia" w:cs="宋体"/>
          <w:bCs/>
          <w:u w:val="single"/>
          <w:lang w:bidi="ar"/>
        </w:rPr>
        <w:t>）轨距和轨内车道布置，具体如下：</w:t>
      </w:r>
    </w:p>
    <w:p w14:paraId="22C3BA5D">
      <w:pPr>
        <w:adjustRightInd w:val="0"/>
        <w:ind w:firstLine="462"/>
        <w:rPr>
          <w:u w:val="single"/>
        </w:rPr>
      </w:pPr>
      <w:r>
        <w:rPr>
          <w:rFonts w:hint="eastAsia" w:cs="宋体"/>
          <w:bCs/>
          <w:u w:val="single"/>
          <w:lang w:bidi="ar"/>
        </w:rPr>
        <w:t>自动化集装箱堆场采用双悬臂自动化集装箱轨道龙门吊（</w:t>
      </w:r>
      <w:r>
        <w:rPr>
          <w:bCs/>
          <w:u w:val="single"/>
          <w:lang w:bidi="ar"/>
        </w:rPr>
        <w:t>ARMG</w:t>
      </w:r>
      <w:r>
        <w:rPr>
          <w:rFonts w:hint="eastAsia" w:cs="宋体"/>
          <w:bCs/>
          <w:u w:val="single"/>
          <w:lang w:bidi="ar"/>
        </w:rPr>
        <w:t>）作业，</w:t>
      </w:r>
      <w:r>
        <w:rPr>
          <w:bCs/>
          <w:u w:val="single"/>
          <w:lang w:bidi="ar"/>
        </w:rPr>
        <w:t>ARMG</w:t>
      </w:r>
      <w:r>
        <w:rPr>
          <w:rFonts w:hint="eastAsia" w:cs="宋体"/>
          <w:bCs/>
          <w:u w:val="single"/>
          <w:lang w:bidi="ar"/>
        </w:rPr>
        <w:t>轨距</w:t>
      </w:r>
      <w:r>
        <w:rPr>
          <w:bCs/>
          <w:u w:val="single"/>
          <w:lang w:bidi="ar"/>
        </w:rPr>
        <w:t>40.5m</w:t>
      </w:r>
      <w:r>
        <w:rPr>
          <w:rFonts w:hint="eastAsia" w:cs="宋体"/>
          <w:bCs/>
          <w:u w:val="single"/>
          <w:lang w:bidi="ar"/>
        </w:rPr>
        <w:t>，堆</w:t>
      </w:r>
      <w:r>
        <w:rPr>
          <w:bCs/>
          <w:u w:val="single"/>
          <w:lang w:bidi="ar"/>
        </w:rPr>
        <w:t>6</w:t>
      </w:r>
      <w:r>
        <w:rPr>
          <w:rFonts w:hint="eastAsia" w:cs="宋体"/>
          <w:bCs/>
          <w:u w:val="single"/>
          <w:lang w:bidi="ar"/>
        </w:rPr>
        <w:t>过</w:t>
      </w:r>
      <w:r>
        <w:rPr>
          <w:bCs/>
          <w:u w:val="single"/>
          <w:lang w:bidi="ar"/>
        </w:rPr>
        <w:t>7</w:t>
      </w:r>
      <w:r>
        <w:rPr>
          <w:rFonts w:hint="eastAsia" w:cs="宋体"/>
          <w:bCs/>
          <w:u w:val="single"/>
          <w:lang w:bidi="ar"/>
        </w:rPr>
        <w:t>，悬臂有效外伸距</w:t>
      </w:r>
      <w:r>
        <w:rPr>
          <w:bCs/>
          <w:u w:val="single"/>
          <w:lang w:bidi="ar"/>
        </w:rPr>
        <w:t>4.7m</w:t>
      </w:r>
      <w:r>
        <w:rPr>
          <w:rFonts w:hint="eastAsia" w:cs="宋体"/>
          <w:bCs/>
          <w:u w:val="single"/>
          <w:lang w:bidi="ar"/>
        </w:rPr>
        <w:t>。自动化堆场每条堆箱区配置</w:t>
      </w:r>
      <w:r>
        <w:rPr>
          <w:bCs/>
          <w:u w:val="single"/>
          <w:lang w:bidi="ar"/>
        </w:rPr>
        <w:t>2</w:t>
      </w:r>
      <w:r>
        <w:rPr>
          <w:rFonts w:hint="eastAsia" w:cs="宋体"/>
          <w:bCs/>
          <w:u w:val="single"/>
          <w:lang w:bidi="ar"/>
        </w:rPr>
        <w:t>台双悬臂</w:t>
      </w:r>
      <w:r>
        <w:rPr>
          <w:bCs/>
          <w:u w:val="single"/>
          <w:lang w:bidi="ar"/>
        </w:rPr>
        <w:t>ARMG</w:t>
      </w:r>
      <w:r>
        <w:rPr>
          <w:rFonts w:hint="eastAsia" w:cs="宋体"/>
          <w:bCs/>
          <w:u w:val="single"/>
          <w:lang w:bidi="ar"/>
        </w:rPr>
        <w:t>，相邻两条堆场间间隔布置集装箱水平运输通道，港内集装箱水平运输采用</w:t>
      </w:r>
      <w:r>
        <w:rPr>
          <w:bCs/>
          <w:u w:val="single"/>
          <w:lang w:bidi="ar"/>
        </w:rPr>
        <w:t>IGV</w:t>
      </w:r>
      <w:r>
        <w:rPr>
          <w:rFonts w:hint="eastAsia" w:cs="宋体"/>
          <w:bCs/>
          <w:u w:val="single"/>
          <w:lang w:bidi="ar"/>
        </w:rPr>
        <w:t>，港外集卡和</w:t>
      </w:r>
      <w:r>
        <w:rPr>
          <w:bCs/>
          <w:u w:val="single"/>
          <w:lang w:bidi="ar"/>
        </w:rPr>
        <w:t>IGV</w:t>
      </w:r>
      <w:r>
        <w:rPr>
          <w:rFonts w:hint="eastAsia" w:cs="宋体"/>
          <w:bCs/>
          <w:u w:val="single"/>
          <w:lang w:bidi="ar"/>
        </w:rPr>
        <w:t>分别在</w:t>
      </w:r>
      <w:r>
        <w:rPr>
          <w:bCs/>
          <w:u w:val="single"/>
          <w:lang w:bidi="ar"/>
        </w:rPr>
        <w:t>ARMG</w:t>
      </w:r>
      <w:r>
        <w:rPr>
          <w:rFonts w:hint="eastAsia" w:cs="宋体"/>
          <w:bCs/>
          <w:u w:val="single"/>
          <w:lang w:bidi="ar"/>
        </w:rPr>
        <w:t>悬臂两侧进行装卸作业，并利用围网将港内外水平运输设备隔离。</w:t>
      </w:r>
    </w:p>
    <w:p w14:paraId="49D1575A">
      <w:pPr>
        <w:adjustRightInd w:val="0"/>
        <w:ind w:firstLine="462"/>
        <w:rPr>
          <w:u w:val="single"/>
        </w:rPr>
      </w:pPr>
      <w:r>
        <w:rPr>
          <w:rFonts w:hint="eastAsia" w:cs="宋体"/>
          <w:bCs/>
          <w:u w:val="single"/>
          <w:lang w:bidi="ar"/>
        </w:rPr>
        <w:t>其中堆场间</w:t>
      </w:r>
      <w:r>
        <w:rPr>
          <w:bCs/>
          <w:u w:val="single"/>
          <w:lang w:bidi="ar"/>
        </w:rPr>
        <w:t>IGV</w:t>
      </w:r>
      <w:r>
        <w:rPr>
          <w:rFonts w:hint="eastAsia" w:cs="宋体"/>
          <w:bCs/>
          <w:u w:val="single"/>
          <w:lang w:bidi="ar"/>
        </w:rPr>
        <w:t>装卸运输通道为</w:t>
      </w:r>
      <w:r>
        <w:rPr>
          <w:bCs/>
          <w:u w:val="single"/>
          <w:lang w:bidi="ar"/>
        </w:rPr>
        <w:t>4</w:t>
      </w:r>
      <w:r>
        <w:rPr>
          <w:rFonts w:hint="eastAsia" w:cs="宋体"/>
          <w:bCs/>
          <w:u w:val="single"/>
          <w:lang w:bidi="ar"/>
        </w:rPr>
        <w:t>车道，宽</w:t>
      </w:r>
      <w:r>
        <w:rPr>
          <w:bCs/>
          <w:u w:val="single"/>
          <w:lang w:bidi="ar"/>
        </w:rPr>
        <w:t>20m</w:t>
      </w:r>
      <w:r>
        <w:rPr>
          <w:rFonts w:hint="eastAsia" w:cs="宋体"/>
          <w:bCs/>
          <w:u w:val="single"/>
          <w:lang w:bidi="ar"/>
        </w:rPr>
        <w:t>（</w:t>
      </w:r>
      <w:r>
        <w:rPr>
          <w:bCs/>
          <w:u w:val="single"/>
          <w:lang w:bidi="ar"/>
        </w:rPr>
        <w:t>ARMG</w:t>
      </w:r>
      <w:r>
        <w:rPr>
          <w:rFonts w:hint="eastAsia" w:cs="宋体"/>
          <w:bCs/>
          <w:u w:val="single"/>
          <w:lang w:bidi="ar"/>
        </w:rPr>
        <w:t>轨道中心线间距），</w:t>
      </w:r>
      <w:r>
        <w:rPr>
          <w:bCs/>
          <w:u w:val="single"/>
          <w:lang w:bidi="ar"/>
        </w:rPr>
        <w:t>IGV</w:t>
      </w:r>
      <w:r>
        <w:rPr>
          <w:rFonts w:hint="eastAsia" w:cs="宋体"/>
          <w:bCs/>
          <w:u w:val="single"/>
          <w:lang w:bidi="ar"/>
        </w:rPr>
        <w:t>车道布置情况为：相邻</w:t>
      </w:r>
      <w:r>
        <w:rPr>
          <w:bCs/>
          <w:u w:val="single"/>
          <w:lang w:bidi="ar"/>
        </w:rPr>
        <w:t>ARMG</w:t>
      </w:r>
      <w:r>
        <w:rPr>
          <w:rFonts w:hint="eastAsia" w:cs="宋体"/>
          <w:bCs/>
          <w:u w:val="single"/>
          <w:lang w:bidi="ar"/>
        </w:rPr>
        <w:t>之间布置</w:t>
      </w:r>
      <w:r>
        <w:rPr>
          <w:bCs/>
          <w:u w:val="single"/>
          <w:lang w:bidi="ar"/>
        </w:rPr>
        <w:t>4</w:t>
      </w:r>
      <w:r>
        <w:rPr>
          <w:rFonts w:hint="eastAsia" w:cs="宋体"/>
          <w:bCs/>
          <w:u w:val="single"/>
          <w:lang w:bidi="ar"/>
        </w:rPr>
        <w:t>个</w:t>
      </w:r>
      <w:r>
        <w:rPr>
          <w:bCs/>
          <w:u w:val="single"/>
          <w:lang w:bidi="ar"/>
        </w:rPr>
        <w:t>IGV</w:t>
      </w:r>
      <w:r>
        <w:rPr>
          <w:rFonts w:hint="eastAsia" w:cs="宋体"/>
          <w:bCs/>
          <w:u w:val="single"/>
          <w:lang w:bidi="ar"/>
        </w:rPr>
        <w:t>装卸运输车道，两侧</w:t>
      </w:r>
      <w:r>
        <w:rPr>
          <w:bCs/>
          <w:u w:val="single"/>
          <w:lang w:bidi="ar"/>
        </w:rPr>
        <w:t>2</w:t>
      </w:r>
      <w:r>
        <w:rPr>
          <w:rFonts w:hint="eastAsia" w:cs="宋体"/>
          <w:bCs/>
          <w:u w:val="single"/>
          <w:lang w:bidi="ar"/>
        </w:rPr>
        <w:t>个</w:t>
      </w:r>
      <w:r>
        <w:rPr>
          <w:bCs/>
          <w:u w:val="single"/>
          <w:lang w:bidi="ar"/>
        </w:rPr>
        <w:t>IGV</w:t>
      </w:r>
      <w:r>
        <w:rPr>
          <w:rFonts w:hint="eastAsia" w:cs="宋体"/>
          <w:bCs/>
          <w:u w:val="single"/>
          <w:lang w:bidi="ar"/>
        </w:rPr>
        <w:t>装卸车道、中间</w:t>
      </w:r>
      <w:r>
        <w:rPr>
          <w:bCs/>
          <w:u w:val="single"/>
          <w:lang w:bidi="ar"/>
        </w:rPr>
        <w:t>1</w:t>
      </w:r>
      <w:r>
        <w:rPr>
          <w:rFonts w:hint="eastAsia" w:cs="宋体"/>
          <w:bCs/>
          <w:u w:val="single"/>
          <w:lang w:bidi="ar"/>
        </w:rPr>
        <w:t>个</w:t>
      </w:r>
      <w:r>
        <w:rPr>
          <w:bCs/>
          <w:u w:val="single"/>
          <w:lang w:bidi="ar"/>
        </w:rPr>
        <w:t>IGV</w:t>
      </w:r>
      <w:r>
        <w:rPr>
          <w:rFonts w:hint="eastAsia" w:cs="宋体"/>
          <w:bCs/>
          <w:u w:val="single"/>
          <w:lang w:bidi="ar"/>
        </w:rPr>
        <w:t>超车道和</w:t>
      </w:r>
      <w:r>
        <w:rPr>
          <w:bCs/>
          <w:u w:val="single"/>
          <w:lang w:bidi="ar"/>
        </w:rPr>
        <w:t>1</w:t>
      </w:r>
      <w:r>
        <w:rPr>
          <w:rFonts w:hint="eastAsia" w:cs="宋体"/>
          <w:bCs/>
          <w:u w:val="single"/>
          <w:lang w:bidi="ar"/>
        </w:rPr>
        <w:t>个</w:t>
      </w:r>
      <w:r>
        <w:rPr>
          <w:bCs/>
          <w:u w:val="single"/>
          <w:lang w:bidi="ar"/>
        </w:rPr>
        <w:t>IGV</w:t>
      </w:r>
      <w:r>
        <w:rPr>
          <w:rFonts w:hint="eastAsia" w:cs="宋体"/>
          <w:bCs/>
          <w:u w:val="single"/>
          <w:lang w:bidi="ar"/>
        </w:rPr>
        <w:t>折返车道，</w:t>
      </w:r>
      <w:r>
        <w:rPr>
          <w:bCs/>
          <w:u w:val="single"/>
          <w:lang w:bidi="ar"/>
        </w:rPr>
        <w:t>IGV</w:t>
      </w:r>
      <w:r>
        <w:rPr>
          <w:rFonts w:hint="eastAsia" w:cs="宋体"/>
          <w:bCs/>
          <w:u w:val="single"/>
          <w:lang w:bidi="ar"/>
        </w:rPr>
        <w:t>折返车道与</w:t>
      </w:r>
      <w:r>
        <w:rPr>
          <w:bCs/>
          <w:u w:val="single"/>
          <w:lang w:bidi="ar"/>
        </w:rPr>
        <w:t>IGV</w:t>
      </w:r>
      <w:r>
        <w:rPr>
          <w:rFonts w:hint="eastAsia" w:cs="宋体"/>
          <w:bCs/>
          <w:u w:val="single"/>
          <w:lang w:bidi="ar"/>
        </w:rPr>
        <w:t>装卸车道、</w:t>
      </w:r>
      <w:r>
        <w:rPr>
          <w:bCs/>
          <w:u w:val="single"/>
          <w:lang w:bidi="ar"/>
        </w:rPr>
        <w:t>IGV</w:t>
      </w:r>
      <w:r>
        <w:rPr>
          <w:rFonts w:hint="eastAsia" w:cs="宋体"/>
          <w:bCs/>
          <w:u w:val="single"/>
          <w:lang w:bidi="ar"/>
        </w:rPr>
        <w:t>超车道交通流向相反。</w:t>
      </w:r>
    </w:p>
    <w:p w14:paraId="7F11022A">
      <w:pPr>
        <w:adjustRightInd w:val="0"/>
        <w:ind w:firstLine="462"/>
        <w:rPr>
          <w:u w:val="single"/>
        </w:rPr>
      </w:pPr>
      <w:r>
        <w:rPr>
          <w:rFonts w:hint="eastAsia" w:cs="宋体"/>
          <w:bCs/>
          <w:u w:val="single"/>
          <w:lang w:bidi="ar"/>
        </w:rPr>
        <w:t>堆场间港外集卡装卸运输通道为</w:t>
      </w:r>
      <w:r>
        <w:rPr>
          <w:bCs/>
          <w:u w:val="single"/>
          <w:lang w:bidi="ar"/>
        </w:rPr>
        <w:t>3</w:t>
      </w:r>
      <w:r>
        <w:rPr>
          <w:rFonts w:hint="eastAsia" w:cs="宋体"/>
          <w:bCs/>
          <w:u w:val="single"/>
          <w:lang w:bidi="ar"/>
        </w:rPr>
        <w:t>车道，宽</w:t>
      </w:r>
      <w:r>
        <w:rPr>
          <w:bCs/>
          <w:u w:val="single"/>
          <w:lang w:bidi="ar"/>
        </w:rPr>
        <w:t>19.75m</w:t>
      </w:r>
      <w:r>
        <w:rPr>
          <w:rFonts w:hint="eastAsia" w:cs="宋体"/>
          <w:bCs/>
          <w:u w:val="single"/>
          <w:lang w:bidi="ar"/>
        </w:rPr>
        <w:t>（</w:t>
      </w:r>
      <w:r>
        <w:rPr>
          <w:bCs/>
          <w:u w:val="single"/>
          <w:lang w:bidi="ar"/>
        </w:rPr>
        <w:t>ARMG</w:t>
      </w:r>
      <w:r>
        <w:rPr>
          <w:rFonts w:hint="eastAsia" w:cs="宋体"/>
          <w:bCs/>
          <w:u w:val="single"/>
          <w:lang w:bidi="ar"/>
        </w:rPr>
        <w:t>轨道中心线间距），外集卡车道呈“</w:t>
      </w:r>
      <w:r>
        <w:rPr>
          <w:bCs/>
          <w:u w:val="single"/>
          <w:lang w:bidi="ar"/>
        </w:rPr>
        <w:t>U</w:t>
      </w:r>
      <w:r>
        <w:rPr>
          <w:rFonts w:hint="eastAsia" w:cs="宋体"/>
          <w:bCs/>
          <w:u w:val="single"/>
          <w:lang w:bidi="ar"/>
        </w:rPr>
        <w:t>型”布置，每隔一个箱区在</w:t>
      </w:r>
      <w:r>
        <w:rPr>
          <w:bCs/>
          <w:u w:val="single"/>
          <w:lang w:bidi="ar"/>
        </w:rPr>
        <w:t>ARMG</w:t>
      </w:r>
      <w:r>
        <w:rPr>
          <w:rFonts w:hint="eastAsia" w:cs="宋体"/>
          <w:bCs/>
          <w:u w:val="single"/>
          <w:lang w:bidi="ar"/>
        </w:rPr>
        <w:t>轨内布置</w:t>
      </w:r>
      <w:r>
        <w:rPr>
          <w:bCs/>
          <w:u w:val="single"/>
          <w:lang w:bidi="ar"/>
        </w:rPr>
        <w:t>1</w:t>
      </w:r>
      <w:r>
        <w:rPr>
          <w:rFonts w:hint="eastAsia" w:cs="宋体"/>
          <w:bCs/>
          <w:u w:val="single"/>
          <w:lang w:bidi="ar"/>
        </w:rPr>
        <w:t>条港外集卡行驶通道，外集卡在</w:t>
      </w:r>
      <w:r>
        <w:rPr>
          <w:bCs/>
          <w:u w:val="single"/>
          <w:lang w:bidi="ar"/>
        </w:rPr>
        <w:t>ARMG</w:t>
      </w:r>
      <w:r>
        <w:rPr>
          <w:rFonts w:hint="eastAsia" w:cs="宋体"/>
          <w:bCs/>
          <w:u w:val="single"/>
          <w:lang w:bidi="ar"/>
        </w:rPr>
        <w:t>一侧悬臂装卸完成后绕至</w:t>
      </w:r>
      <w:r>
        <w:rPr>
          <w:bCs/>
          <w:u w:val="single"/>
          <w:lang w:bidi="ar"/>
        </w:rPr>
        <w:t>ARMG</w:t>
      </w:r>
      <w:r>
        <w:rPr>
          <w:rFonts w:hint="eastAsia" w:cs="宋体"/>
          <w:bCs/>
          <w:u w:val="single"/>
          <w:lang w:bidi="ar"/>
        </w:rPr>
        <w:t>轨内的车道进行掉头转向。</w:t>
      </w:r>
      <w:r>
        <w:rPr>
          <w:bCs/>
          <w:u w:val="single"/>
          <w:lang w:bidi="ar"/>
        </w:rPr>
        <w:t>ARMG</w:t>
      </w:r>
      <w:r>
        <w:rPr>
          <w:rFonts w:hint="eastAsia" w:cs="宋体"/>
          <w:bCs/>
          <w:u w:val="single"/>
          <w:lang w:bidi="ar"/>
        </w:rPr>
        <w:t>轨内有港外集卡掉头车道的布置</w:t>
      </w:r>
      <w:r>
        <w:rPr>
          <w:bCs/>
          <w:u w:val="single"/>
          <w:lang w:bidi="ar"/>
        </w:rPr>
        <w:t>11</w:t>
      </w:r>
      <w:r>
        <w:rPr>
          <w:rFonts w:hint="eastAsia" w:cs="宋体"/>
          <w:bCs/>
          <w:u w:val="single"/>
          <w:lang w:bidi="ar"/>
        </w:rPr>
        <w:t>排箱，无港外集卡掉头车道的布置</w:t>
      </w:r>
      <w:r>
        <w:rPr>
          <w:bCs/>
          <w:u w:val="single"/>
          <w:lang w:bidi="ar"/>
        </w:rPr>
        <w:t>13</w:t>
      </w:r>
      <w:r>
        <w:rPr>
          <w:rFonts w:hint="eastAsia" w:cs="宋体"/>
          <w:bCs/>
          <w:u w:val="single"/>
          <w:lang w:bidi="ar"/>
        </w:rPr>
        <w:t>排箱。堆场断面及车道分布示意图如下所示：</w:t>
      </w:r>
    </w:p>
    <w:tbl>
      <w:tblPr>
        <w:tblStyle w:val="88"/>
        <w:tblW w:w="0" w:type="auto"/>
        <w:tblInd w:w="0" w:type="dxa"/>
        <w:tblLayout w:type="autofit"/>
        <w:tblCellMar>
          <w:top w:w="0" w:type="dxa"/>
          <w:left w:w="108" w:type="dxa"/>
          <w:bottom w:w="0" w:type="dxa"/>
          <w:right w:w="108" w:type="dxa"/>
        </w:tblCellMar>
      </w:tblPr>
      <w:tblGrid>
        <w:gridCol w:w="8528"/>
      </w:tblGrid>
      <w:tr w14:paraId="6A4D884A">
        <w:tblPrEx>
          <w:tblCellMar>
            <w:top w:w="0" w:type="dxa"/>
            <w:left w:w="108" w:type="dxa"/>
            <w:bottom w:w="0" w:type="dxa"/>
            <w:right w:w="108" w:type="dxa"/>
          </w:tblCellMar>
        </w:tblPrEx>
        <w:tc>
          <w:tcPr>
            <w:tcW w:w="8528" w:type="dxa"/>
            <w:vAlign w:val="center"/>
          </w:tcPr>
          <w:p w14:paraId="4A8D09BB">
            <w:pPr>
              <w:ind w:firstLine="0" w:firstLineChars="0"/>
              <w:jc w:val="center"/>
              <w:rPr>
                <w:u w:val="single"/>
              </w:rPr>
            </w:pPr>
            <w:r>
              <w:rPr>
                <w:b/>
                <w:u w:val="single"/>
                <w:lang w:bidi="ar"/>
              </w:rPr>
              <w:drawing>
                <wp:inline distT="0" distB="0" distL="114300" distR="114300">
                  <wp:extent cx="5305425" cy="1238250"/>
                  <wp:effectExtent l="0" t="0" r="9525" b="0"/>
                  <wp:docPr id="41" name="图片 1375757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75757854"/>
                          <pic:cNvPicPr>
                            <a:picLocks noChangeAspect="1"/>
                          </pic:cNvPicPr>
                        </pic:nvPicPr>
                        <pic:blipFill>
                          <a:blip r:embed="rId44"/>
                          <a:stretch>
                            <a:fillRect/>
                          </a:stretch>
                        </pic:blipFill>
                        <pic:spPr>
                          <a:xfrm>
                            <a:off x="0" y="0"/>
                            <a:ext cx="5305425" cy="1238250"/>
                          </a:xfrm>
                          <a:prstGeom prst="rect">
                            <a:avLst/>
                          </a:prstGeom>
                          <a:noFill/>
                          <a:ln>
                            <a:noFill/>
                          </a:ln>
                        </pic:spPr>
                      </pic:pic>
                    </a:graphicData>
                  </a:graphic>
                </wp:inline>
              </w:drawing>
            </w:r>
          </w:p>
          <w:p w14:paraId="1FBB2A2B">
            <w:pPr>
              <w:pStyle w:val="8"/>
              <w:rPr>
                <w:u w:val="single"/>
              </w:rPr>
            </w:pPr>
            <w:r>
              <w:rPr>
                <w:rFonts w:hint="eastAsia"/>
                <w:u w:val="single"/>
              </w:rPr>
              <w:t>自动化集装箱堆场断面图</w:t>
            </w:r>
          </w:p>
        </w:tc>
      </w:tr>
      <w:tr w14:paraId="3CE590EA">
        <w:tblPrEx>
          <w:tblCellMar>
            <w:top w:w="0" w:type="dxa"/>
            <w:left w:w="108" w:type="dxa"/>
            <w:bottom w:w="0" w:type="dxa"/>
            <w:right w:w="108" w:type="dxa"/>
          </w:tblCellMar>
        </w:tblPrEx>
        <w:tc>
          <w:tcPr>
            <w:tcW w:w="8528" w:type="dxa"/>
            <w:vAlign w:val="center"/>
          </w:tcPr>
          <w:p w14:paraId="3B726277">
            <w:pPr>
              <w:ind w:firstLine="0" w:firstLineChars="0"/>
              <w:jc w:val="center"/>
              <w:rPr>
                <w:u w:val="single"/>
              </w:rPr>
            </w:pPr>
            <w:r>
              <w:rPr>
                <w:b/>
                <w:u w:val="single"/>
                <w:lang w:bidi="ar"/>
              </w:rPr>
              <w:drawing>
                <wp:inline distT="0" distB="0" distL="114300" distR="114300">
                  <wp:extent cx="5305425" cy="3314700"/>
                  <wp:effectExtent l="0" t="0" r="9525" b="0"/>
                  <wp:docPr id="67" name="图片 1507739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507739618"/>
                          <pic:cNvPicPr>
                            <a:picLocks noChangeAspect="1"/>
                          </pic:cNvPicPr>
                        </pic:nvPicPr>
                        <pic:blipFill>
                          <a:blip r:embed="rId45"/>
                          <a:stretch>
                            <a:fillRect/>
                          </a:stretch>
                        </pic:blipFill>
                        <pic:spPr>
                          <a:xfrm>
                            <a:off x="0" y="0"/>
                            <a:ext cx="5305425" cy="3314700"/>
                          </a:xfrm>
                          <a:prstGeom prst="rect">
                            <a:avLst/>
                          </a:prstGeom>
                          <a:noFill/>
                          <a:ln>
                            <a:noFill/>
                          </a:ln>
                        </pic:spPr>
                      </pic:pic>
                    </a:graphicData>
                  </a:graphic>
                </wp:inline>
              </w:drawing>
            </w:r>
          </w:p>
          <w:p w14:paraId="2E383211">
            <w:pPr>
              <w:pStyle w:val="8"/>
              <w:rPr>
                <w:u w:val="single"/>
              </w:rPr>
            </w:pPr>
            <w:r>
              <w:rPr>
                <w:rFonts w:hint="eastAsia"/>
                <w:u w:val="single"/>
              </w:rPr>
              <w:t>自动化集装箱堆场车道分布示意图</w:t>
            </w:r>
          </w:p>
        </w:tc>
      </w:tr>
    </w:tbl>
    <w:p w14:paraId="4DF53993">
      <w:pPr>
        <w:adjustRightInd w:val="0"/>
        <w:ind w:firstLine="462"/>
        <w:rPr>
          <w:u w:val="single"/>
        </w:rPr>
      </w:pPr>
      <w:r>
        <w:rPr>
          <w:rFonts w:hint="eastAsia" w:cs="宋体"/>
          <w:bCs/>
          <w:u w:val="single"/>
          <w:lang w:bidi="ar"/>
        </w:rPr>
        <w:t>工程新增的集装箱堆场建成后与</w:t>
      </w:r>
      <w:r>
        <w:rPr>
          <w:bCs/>
          <w:u w:val="single"/>
          <w:lang w:bidi="ar"/>
        </w:rPr>
        <w:t>9</w:t>
      </w:r>
      <w:r>
        <w:rPr>
          <w:rFonts w:hint="eastAsia" w:cs="宋体"/>
          <w:bCs/>
          <w:u w:val="single"/>
          <w:lang w:bidi="ar"/>
        </w:rPr>
        <w:t>号</w:t>
      </w:r>
      <w:r>
        <w:rPr>
          <w:bCs/>
          <w:u w:val="single"/>
          <w:lang w:bidi="ar"/>
        </w:rPr>
        <w:t>10</w:t>
      </w:r>
      <w:r>
        <w:rPr>
          <w:rFonts w:hint="eastAsia" w:cs="宋体"/>
          <w:bCs/>
          <w:u w:val="single"/>
          <w:lang w:bidi="ar"/>
        </w:rPr>
        <w:t>号泊位一起统筹共用，整个堆场纵深</w:t>
      </w:r>
      <w:r>
        <w:rPr>
          <w:bCs/>
          <w:u w:val="single"/>
          <w:lang w:bidi="ar"/>
        </w:rPr>
        <w:t>563m</w:t>
      </w:r>
      <w:r>
        <w:rPr>
          <w:rFonts w:hint="eastAsia" w:cs="宋体"/>
          <w:bCs/>
          <w:u w:val="single"/>
          <w:lang w:bidi="ar"/>
        </w:rPr>
        <w:t>，其中普通重、空箱混堆，堆高</w:t>
      </w:r>
      <w:r>
        <w:rPr>
          <w:bCs/>
          <w:u w:val="single"/>
          <w:lang w:bidi="ar"/>
        </w:rPr>
        <w:t>6</w:t>
      </w:r>
      <w:r>
        <w:rPr>
          <w:rFonts w:hint="eastAsia" w:cs="宋体"/>
          <w:bCs/>
          <w:u w:val="single"/>
          <w:lang w:bidi="ar"/>
        </w:rPr>
        <w:t>层。冷藏箱利用原</w:t>
      </w:r>
      <w:r>
        <w:rPr>
          <w:bCs/>
          <w:u w:val="single"/>
          <w:lang w:bidi="ar"/>
        </w:rPr>
        <w:t>7</w:t>
      </w:r>
      <w:r>
        <w:rPr>
          <w:rFonts w:hint="eastAsia" w:cs="宋体"/>
          <w:bCs/>
          <w:u w:val="single"/>
          <w:lang w:bidi="ar"/>
        </w:rPr>
        <w:t>号</w:t>
      </w:r>
      <w:r>
        <w:rPr>
          <w:bCs/>
          <w:u w:val="single"/>
          <w:lang w:bidi="ar"/>
        </w:rPr>
        <w:t>-10</w:t>
      </w:r>
      <w:r>
        <w:rPr>
          <w:rFonts w:hint="eastAsia" w:cs="宋体"/>
          <w:bCs/>
          <w:u w:val="single"/>
          <w:lang w:bidi="ar"/>
        </w:rPr>
        <w:t>号已建冷藏箱堆场堆存。</w:t>
      </w:r>
    </w:p>
    <w:p w14:paraId="53AE8AB4">
      <w:pPr>
        <w:adjustRightInd w:val="0"/>
        <w:ind w:firstLine="462"/>
        <w:rPr>
          <w:u w:val="single"/>
        </w:rPr>
      </w:pPr>
      <w:r>
        <w:rPr>
          <w:rFonts w:hint="eastAsia" w:cs="宋体"/>
          <w:bCs/>
          <w:u w:val="single"/>
          <w:lang w:bidi="ar"/>
        </w:rPr>
        <w:t>（</w:t>
      </w:r>
      <w:r>
        <w:rPr>
          <w:bCs/>
          <w:u w:val="single"/>
          <w:lang w:bidi="ar"/>
        </w:rPr>
        <w:t>2</w:t>
      </w:r>
      <w:r>
        <w:rPr>
          <w:rFonts w:hint="eastAsia" w:cs="宋体"/>
          <w:bCs/>
          <w:u w:val="single"/>
          <w:lang w:bidi="ar"/>
        </w:rPr>
        <w:t>）</w:t>
      </w:r>
      <w:bookmarkStart w:id="224" w:name="OLE_LINK253"/>
      <w:r>
        <w:rPr>
          <w:rFonts w:hint="eastAsia" w:cs="宋体"/>
          <w:bCs/>
          <w:u w:val="single"/>
          <w:lang w:bidi="ar"/>
        </w:rPr>
        <w:t>危险货物集装箱堆场</w:t>
      </w:r>
      <w:bookmarkEnd w:id="224"/>
    </w:p>
    <w:p w14:paraId="6A0BEE1C">
      <w:pPr>
        <w:adjustRightInd w:val="0"/>
        <w:ind w:firstLine="462"/>
        <w:rPr>
          <w:u w:val="single"/>
        </w:rPr>
      </w:pPr>
      <w:r>
        <w:rPr>
          <w:rFonts w:hint="eastAsia" w:cs="宋体"/>
          <w:bCs/>
          <w:u w:val="single"/>
          <w:lang w:bidi="ar"/>
        </w:rPr>
        <w:t>在</w:t>
      </w:r>
      <w:r>
        <w:rPr>
          <w:bCs/>
          <w:u w:val="single"/>
          <w:lang w:bidi="ar"/>
        </w:rPr>
        <w:t xml:space="preserve"> 23#</w:t>
      </w:r>
      <w:r>
        <w:rPr>
          <w:rFonts w:hint="eastAsia" w:cs="宋体"/>
          <w:bCs/>
          <w:u w:val="single"/>
          <w:lang w:bidi="ar"/>
        </w:rPr>
        <w:t>堆场陆侧端部设置危险货物集装箱专用堆场，堆场堆存的危险货物集装箱种类为：第</w:t>
      </w:r>
      <w:r>
        <w:rPr>
          <w:bCs/>
          <w:u w:val="single"/>
          <w:lang w:bidi="ar"/>
        </w:rPr>
        <w:t xml:space="preserve"> 2.1 </w:t>
      </w:r>
      <w:r>
        <w:rPr>
          <w:rFonts w:hint="eastAsia" w:cs="宋体"/>
          <w:bCs/>
          <w:u w:val="single"/>
          <w:lang w:bidi="ar"/>
        </w:rPr>
        <w:t>项、第</w:t>
      </w:r>
      <w:r>
        <w:rPr>
          <w:bCs/>
          <w:u w:val="single"/>
          <w:lang w:bidi="ar"/>
        </w:rPr>
        <w:t xml:space="preserve"> 2.2 </w:t>
      </w:r>
      <w:r>
        <w:rPr>
          <w:rFonts w:hint="eastAsia" w:cs="宋体"/>
          <w:bCs/>
          <w:u w:val="single"/>
          <w:lang w:bidi="ar"/>
        </w:rPr>
        <w:t>项、第</w:t>
      </w:r>
      <w:r>
        <w:rPr>
          <w:bCs/>
          <w:u w:val="single"/>
          <w:lang w:bidi="ar"/>
        </w:rPr>
        <w:t xml:space="preserve"> 3 </w:t>
      </w:r>
      <w:r>
        <w:rPr>
          <w:rFonts w:hint="eastAsia" w:cs="宋体"/>
          <w:bCs/>
          <w:u w:val="single"/>
          <w:lang w:bidi="ar"/>
        </w:rPr>
        <w:t>类（不含退敏爆炸品）、第</w:t>
      </w:r>
      <w:r>
        <w:rPr>
          <w:bCs/>
          <w:u w:val="single"/>
          <w:lang w:bidi="ar"/>
        </w:rPr>
        <w:t xml:space="preserve"> 4.1 </w:t>
      </w:r>
      <w:r>
        <w:rPr>
          <w:rFonts w:hint="eastAsia" w:cs="宋体"/>
          <w:bCs/>
          <w:u w:val="single"/>
          <w:lang w:bidi="ar"/>
        </w:rPr>
        <w:t>项（不含退敏爆炸品）、第</w:t>
      </w:r>
      <w:r>
        <w:rPr>
          <w:bCs/>
          <w:u w:val="single"/>
          <w:lang w:bidi="ar"/>
        </w:rPr>
        <w:t xml:space="preserve"> 4.2 </w:t>
      </w:r>
      <w:r>
        <w:rPr>
          <w:rFonts w:hint="eastAsia" w:cs="宋体"/>
          <w:bCs/>
          <w:u w:val="single"/>
          <w:lang w:bidi="ar"/>
        </w:rPr>
        <w:t>项、第</w:t>
      </w:r>
      <w:r>
        <w:rPr>
          <w:bCs/>
          <w:u w:val="single"/>
          <w:lang w:bidi="ar"/>
        </w:rPr>
        <w:t xml:space="preserve"> 4.3 </w:t>
      </w:r>
      <w:r>
        <w:rPr>
          <w:rFonts w:hint="eastAsia" w:cs="宋体"/>
          <w:bCs/>
          <w:u w:val="single"/>
          <w:lang w:bidi="ar"/>
        </w:rPr>
        <w:t>项、第</w:t>
      </w:r>
      <w:r>
        <w:rPr>
          <w:bCs/>
          <w:u w:val="single"/>
          <w:lang w:bidi="ar"/>
        </w:rPr>
        <w:t xml:space="preserve"> 5.1 </w:t>
      </w:r>
      <w:r>
        <w:rPr>
          <w:rFonts w:hint="eastAsia" w:cs="宋体"/>
          <w:bCs/>
          <w:u w:val="single"/>
          <w:lang w:bidi="ar"/>
        </w:rPr>
        <w:t>项、第</w:t>
      </w:r>
      <w:r>
        <w:rPr>
          <w:bCs/>
          <w:u w:val="single"/>
          <w:lang w:bidi="ar"/>
        </w:rPr>
        <w:t xml:space="preserve"> 5.2 </w:t>
      </w:r>
      <w:r>
        <w:rPr>
          <w:rFonts w:hint="eastAsia" w:cs="宋体"/>
          <w:bCs/>
          <w:u w:val="single"/>
          <w:lang w:bidi="ar"/>
        </w:rPr>
        <w:t>项、第</w:t>
      </w:r>
      <w:r>
        <w:rPr>
          <w:bCs/>
          <w:u w:val="single"/>
          <w:lang w:bidi="ar"/>
        </w:rPr>
        <w:t xml:space="preserve"> 6.1 </w:t>
      </w:r>
      <w:r>
        <w:rPr>
          <w:rFonts w:hint="eastAsia" w:cs="宋体"/>
          <w:bCs/>
          <w:u w:val="single"/>
          <w:lang w:bidi="ar"/>
        </w:rPr>
        <w:t>项（不含剧毒品）、第</w:t>
      </w:r>
      <w:r>
        <w:rPr>
          <w:bCs/>
          <w:u w:val="single"/>
          <w:lang w:bidi="ar"/>
        </w:rPr>
        <w:t xml:space="preserve"> 8 </w:t>
      </w:r>
      <w:r>
        <w:rPr>
          <w:rFonts w:hint="eastAsia" w:cs="宋体"/>
          <w:bCs/>
          <w:u w:val="single"/>
          <w:lang w:bidi="ar"/>
        </w:rPr>
        <w:t>类、第</w:t>
      </w:r>
      <w:r>
        <w:rPr>
          <w:bCs/>
          <w:u w:val="single"/>
          <w:lang w:bidi="ar"/>
        </w:rPr>
        <w:t xml:space="preserve"> 9</w:t>
      </w:r>
      <w:r>
        <w:rPr>
          <w:rFonts w:hint="eastAsia" w:cs="宋体"/>
          <w:bCs/>
          <w:u w:val="single"/>
          <w:lang w:bidi="ar"/>
        </w:rPr>
        <w:t xml:space="preserve">类，不含硝酸铵类物质（硝酸铵类危险货物集装箱只进行直装直取作业）。对于上述可在危险货物集装箱堆场堆存的危险货物，作业安全要求满足《港口作业安全要求 第3部分：危险货物集装箱》（GB </w:t>
      </w:r>
      <w:bookmarkStart w:id="225" w:name="OLE_LINK275"/>
      <w:r>
        <w:rPr>
          <w:rFonts w:hint="eastAsia" w:cs="宋体"/>
          <w:bCs/>
          <w:u w:val="single"/>
          <w:lang w:bidi="ar"/>
        </w:rPr>
        <w:t>16994.3</w:t>
      </w:r>
      <w:bookmarkEnd w:id="225"/>
      <w:r>
        <w:rPr>
          <w:rFonts w:hint="eastAsia" w:cs="宋体"/>
          <w:bCs/>
          <w:u w:val="single"/>
          <w:lang w:bidi="ar"/>
        </w:rPr>
        <w:t>-2021），装卸工艺基本一致。</w:t>
      </w:r>
    </w:p>
    <w:p w14:paraId="66BA9664">
      <w:pPr>
        <w:adjustRightInd w:val="0"/>
        <w:ind w:firstLine="462"/>
        <w:rPr>
          <w:rFonts w:cs="宋体"/>
          <w:bCs/>
          <w:u w:val="single"/>
          <w:lang w:bidi="ar"/>
        </w:rPr>
      </w:pPr>
      <w:r>
        <w:rPr>
          <w:rFonts w:hint="eastAsia" w:cs="宋体"/>
          <w:bCs/>
          <w:u w:val="single"/>
          <w:lang w:bidi="ar"/>
        </w:rPr>
        <w:t>危险货物集装箱堆场周边利用围网封闭，与自动化集装箱堆场共用</w:t>
      </w:r>
      <w:r>
        <w:rPr>
          <w:bCs/>
          <w:u w:val="single"/>
          <w:lang w:bidi="ar"/>
        </w:rPr>
        <w:t xml:space="preserve"> ARMG</w:t>
      </w:r>
      <w:r>
        <w:rPr>
          <w:rFonts w:hint="eastAsia" w:cs="宋体"/>
          <w:bCs/>
          <w:u w:val="single"/>
          <w:lang w:bidi="ar"/>
        </w:rPr>
        <w:t>，考虑到消防等需求，</w:t>
      </w:r>
      <w:r>
        <w:rPr>
          <w:bCs/>
          <w:u w:val="single"/>
          <w:lang w:bidi="ar"/>
        </w:rPr>
        <w:t xml:space="preserve">ARMG </w:t>
      </w:r>
      <w:r>
        <w:rPr>
          <w:rFonts w:hint="eastAsia" w:cs="宋体"/>
          <w:bCs/>
          <w:u w:val="single"/>
          <w:lang w:bidi="ar"/>
        </w:rPr>
        <w:t>轨内布置</w:t>
      </w:r>
      <w:r>
        <w:rPr>
          <w:bCs/>
          <w:u w:val="single"/>
          <w:lang w:bidi="ar"/>
        </w:rPr>
        <w:t xml:space="preserve"> 6 </w:t>
      </w:r>
      <w:r>
        <w:rPr>
          <w:rFonts w:hint="eastAsia" w:cs="宋体"/>
          <w:bCs/>
          <w:u w:val="single"/>
          <w:lang w:bidi="ar"/>
        </w:rPr>
        <w:t>排危险货物集装箱，危险货物集装箱堆场地面箱位为</w:t>
      </w:r>
      <w:r>
        <w:rPr>
          <w:rFonts w:hint="eastAsia"/>
          <w:bCs/>
          <w:u w:val="single"/>
          <w:lang w:bidi="ar"/>
        </w:rPr>
        <w:t>342</w:t>
      </w:r>
      <w:r>
        <w:rPr>
          <w:bCs/>
          <w:u w:val="single"/>
          <w:lang w:bidi="ar"/>
        </w:rPr>
        <w:t>TEU</w:t>
      </w:r>
      <w:r>
        <w:rPr>
          <w:rFonts w:hint="eastAsia" w:cs="宋体"/>
          <w:bCs/>
          <w:u w:val="single"/>
          <w:lang w:bidi="ar"/>
        </w:rPr>
        <w:t>，其中易燃易爆危险货物集装箱类型堆高</w:t>
      </w:r>
      <w:r>
        <w:rPr>
          <w:bCs/>
          <w:u w:val="single"/>
          <w:lang w:bidi="ar"/>
        </w:rPr>
        <w:t xml:space="preserve"> 2 </w:t>
      </w:r>
      <w:r>
        <w:rPr>
          <w:rFonts w:hint="eastAsia" w:cs="宋体"/>
          <w:bCs/>
          <w:u w:val="single"/>
          <w:lang w:bidi="ar"/>
        </w:rPr>
        <w:t>层，其余危险货物集装箱堆高不超过</w:t>
      </w:r>
      <w:r>
        <w:rPr>
          <w:bCs/>
          <w:u w:val="single"/>
          <w:lang w:bidi="ar"/>
        </w:rPr>
        <w:t xml:space="preserve"> 3 </w:t>
      </w:r>
      <w:r>
        <w:rPr>
          <w:rFonts w:hint="eastAsia" w:cs="宋体"/>
          <w:bCs/>
          <w:u w:val="single"/>
          <w:lang w:bidi="ar"/>
        </w:rPr>
        <w:t>层。另外，堆场内设置了部分电源插座，满足需要温度控制危险货物集装箱的堆存。</w:t>
      </w:r>
    </w:p>
    <w:p w14:paraId="479B781B">
      <w:pPr>
        <w:adjustRightInd w:val="0"/>
        <w:ind w:firstLine="462"/>
        <w:rPr>
          <w:rFonts w:cs="宋体"/>
          <w:bCs/>
          <w:u w:val="single"/>
          <w:lang w:bidi="ar"/>
        </w:rPr>
      </w:pPr>
      <w:r>
        <w:rPr>
          <w:rFonts w:hint="eastAsia" w:cs="宋体"/>
          <w:bCs/>
          <w:u w:val="single"/>
          <w:lang w:bidi="ar"/>
        </w:rPr>
        <w:t>项目危险货物集装箱水平运输采用人工驾驶集卡，在码头前沿岸桥轨内进行装卸作业，装卸作业完成后通过横二路并经U型外集卡车道进出危险货物集装箱堆场，再经7号-10号泊位特殊箱车道进入码头前沿继续装卸作业。危险货物集装箱装卸交通组织如下图所示：</w:t>
      </w:r>
    </w:p>
    <w:p w14:paraId="3DFA8755">
      <w:pPr>
        <w:adjustRightInd w:val="0"/>
        <w:ind w:firstLine="0" w:firstLineChars="0"/>
        <w:rPr>
          <w:rFonts w:cs="宋体"/>
          <w:bCs/>
          <w:u w:val="single"/>
          <w:lang w:bidi="ar"/>
        </w:rPr>
      </w:pPr>
      <w:r>
        <w:rPr>
          <w:u w:val="single"/>
        </w:rPr>
        <w:drawing>
          <wp:inline distT="0" distB="0" distL="0" distR="0">
            <wp:extent cx="5278120" cy="3091815"/>
            <wp:effectExtent l="0" t="0" r="0" b="0"/>
            <wp:docPr id="10665820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82003" name="图片 1"/>
                    <pic:cNvPicPr>
                      <a:picLocks noChangeAspect="1"/>
                    </pic:cNvPicPr>
                  </pic:nvPicPr>
                  <pic:blipFill>
                    <a:blip r:embed="rId46"/>
                    <a:stretch>
                      <a:fillRect/>
                    </a:stretch>
                  </pic:blipFill>
                  <pic:spPr>
                    <a:xfrm>
                      <a:off x="0" y="0"/>
                      <a:ext cx="5278120" cy="3091815"/>
                    </a:xfrm>
                    <a:prstGeom prst="rect">
                      <a:avLst/>
                    </a:prstGeom>
                  </pic:spPr>
                </pic:pic>
              </a:graphicData>
            </a:graphic>
          </wp:inline>
        </w:drawing>
      </w:r>
    </w:p>
    <w:p w14:paraId="153C5193">
      <w:pPr>
        <w:pStyle w:val="8"/>
        <w:rPr>
          <w:u w:val="single"/>
        </w:rPr>
      </w:pPr>
      <w:bookmarkStart w:id="226" w:name="OLE_LINK240"/>
      <w:r>
        <w:rPr>
          <w:rFonts w:hint="eastAsia"/>
          <w:u w:val="single"/>
        </w:rPr>
        <w:t>危险货物集装箱堆场装卸交通组织图</w:t>
      </w:r>
    </w:p>
    <w:bookmarkEnd w:id="226"/>
    <w:p w14:paraId="777DD598">
      <w:pPr>
        <w:ind w:firstLine="0" w:firstLineChars="0"/>
        <w:rPr>
          <w:u w:val="single"/>
        </w:rPr>
      </w:pPr>
      <w:r>
        <w:rPr>
          <w:u w:val="single"/>
        </w:rPr>
        <w:drawing>
          <wp:inline distT="0" distB="0" distL="0" distR="0">
            <wp:extent cx="5278120" cy="3082925"/>
            <wp:effectExtent l="0" t="0" r="0" b="3175"/>
            <wp:docPr id="10901566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56624" name="图片 1"/>
                    <pic:cNvPicPr>
                      <a:picLocks noChangeAspect="1"/>
                    </pic:cNvPicPr>
                  </pic:nvPicPr>
                  <pic:blipFill>
                    <a:blip r:embed="rId47"/>
                    <a:stretch>
                      <a:fillRect/>
                    </a:stretch>
                  </pic:blipFill>
                  <pic:spPr>
                    <a:xfrm>
                      <a:off x="0" y="0"/>
                      <a:ext cx="5278120" cy="3082925"/>
                    </a:xfrm>
                    <a:prstGeom prst="rect">
                      <a:avLst/>
                    </a:prstGeom>
                  </pic:spPr>
                </pic:pic>
              </a:graphicData>
            </a:graphic>
          </wp:inline>
        </w:drawing>
      </w:r>
    </w:p>
    <w:p w14:paraId="5EA8EB54">
      <w:pPr>
        <w:pStyle w:val="8"/>
        <w:rPr>
          <w:u w:val="single"/>
        </w:rPr>
      </w:pPr>
      <w:r>
        <w:rPr>
          <w:rFonts w:hint="eastAsia"/>
          <w:u w:val="single"/>
        </w:rPr>
        <w:t>危险货物集装箱堆场直装直取交通组织图</w:t>
      </w:r>
    </w:p>
    <w:p w14:paraId="1F285B96">
      <w:pPr>
        <w:adjustRightInd w:val="0"/>
        <w:ind w:firstLine="462"/>
        <w:rPr>
          <w:u w:val="single"/>
        </w:rPr>
      </w:pPr>
      <w:r>
        <w:rPr>
          <w:rFonts w:hint="eastAsia" w:cs="宋体"/>
          <w:bCs/>
          <w:u w:val="single"/>
          <w:lang w:bidi="ar"/>
        </w:rPr>
        <w:t>堆场内各危险货物集装箱相互堆存间距应严格按照《港口作业安全要求</w:t>
      </w:r>
      <w:r>
        <w:rPr>
          <w:bCs/>
          <w:u w:val="single"/>
          <w:lang w:bidi="ar"/>
        </w:rPr>
        <w:t xml:space="preserve"> </w:t>
      </w:r>
      <w:r>
        <w:rPr>
          <w:rFonts w:hint="eastAsia" w:cs="宋体"/>
          <w:bCs/>
          <w:u w:val="single"/>
          <w:lang w:bidi="ar"/>
        </w:rPr>
        <w:t>第</w:t>
      </w:r>
      <w:r>
        <w:rPr>
          <w:bCs/>
          <w:u w:val="single"/>
          <w:lang w:bidi="ar"/>
        </w:rPr>
        <w:t xml:space="preserve"> 3 </w:t>
      </w:r>
      <w:r>
        <w:rPr>
          <w:rFonts w:hint="eastAsia" w:cs="宋体"/>
          <w:bCs/>
          <w:u w:val="single"/>
          <w:lang w:bidi="ar"/>
        </w:rPr>
        <w:t>部分：危险货物集装箱》（</w:t>
      </w:r>
      <w:r>
        <w:rPr>
          <w:bCs/>
          <w:u w:val="single"/>
          <w:lang w:bidi="ar"/>
        </w:rPr>
        <w:t>GB16994.3-2021</w:t>
      </w:r>
      <w:r>
        <w:rPr>
          <w:rFonts w:hint="eastAsia" w:cs="宋体"/>
          <w:bCs/>
          <w:u w:val="single"/>
          <w:lang w:bidi="ar"/>
        </w:rPr>
        <w:t>）要求执行。</w:t>
      </w:r>
    </w:p>
    <w:p w14:paraId="7C195203">
      <w:pPr>
        <w:adjustRightInd w:val="0"/>
        <w:ind w:firstLine="462"/>
        <w:rPr>
          <w:u w:val="single"/>
        </w:rPr>
      </w:pPr>
      <w:r>
        <w:rPr>
          <w:rFonts w:hint="eastAsia" w:cs="宋体"/>
          <w:bCs/>
          <w:u w:val="single"/>
          <w:lang w:bidi="ar"/>
        </w:rPr>
        <w:t>在本工程危险货物集装箱堆场设置应急处理场，当危险货物集装箱在堆场内堆存过程中发生损漏或破箱事故时，及时发生事故的集装箱吊运至应急处理场进行处理。</w:t>
      </w:r>
    </w:p>
    <w:p w14:paraId="726C2829">
      <w:pPr>
        <w:pStyle w:val="6"/>
      </w:pPr>
      <w:r>
        <w:rPr>
          <w:rFonts w:hint="eastAsia"/>
        </w:rPr>
        <w:t>水平运输流程</w:t>
      </w:r>
    </w:p>
    <w:p w14:paraId="3A4D9C77">
      <w:pPr>
        <w:adjustRightInd w:val="0"/>
        <w:ind w:firstLine="462"/>
      </w:pPr>
      <w:r>
        <w:rPr>
          <w:rFonts w:hint="eastAsia" w:cs="宋体"/>
          <w:bCs/>
          <w:lang w:bidi="ar"/>
        </w:rPr>
        <w:t>码头与自动化集装箱堆场之间的集装箱水平运输，采用智能引导车（</w:t>
      </w:r>
      <w:r>
        <w:rPr>
          <w:bCs/>
          <w:lang w:bidi="ar"/>
        </w:rPr>
        <w:t>IGV</w:t>
      </w:r>
      <w:r>
        <w:rPr>
          <w:rFonts w:hint="eastAsia" w:cs="宋体"/>
          <w:bCs/>
          <w:lang w:bidi="ar"/>
        </w:rPr>
        <w:t>）。</w:t>
      </w:r>
    </w:p>
    <w:p w14:paraId="4E78468A">
      <w:pPr>
        <w:adjustRightInd w:val="0"/>
        <w:ind w:firstLine="462"/>
        <w:rPr>
          <w:rFonts w:cs="宋体"/>
          <w:bCs/>
          <w:lang w:bidi="ar"/>
        </w:rPr>
      </w:pPr>
      <w:r>
        <w:rPr>
          <w:bCs/>
          <w:lang w:bidi="ar"/>
        </w:rPr>
        <w:t>IGV</w:t>
      </w:r>
      <w:r>
        <w:rPr>
          <w:rFonts w:hint="eastAsia" w:cs="宋体"/>
          <w:bCs/>
          <w:lang w:bidi="ar"/>
        </w:rPr>
        <w:t>为全电驱动，采用智能化导航和避障技术，实现在自动化作业区内的自动行驶。在自动化堆场海侧端端部设置</w:t>
      </w:r>
      <w:r>
        <w:rPr>
          <w:bCs/>
          <w:lang w:bidi="ar"/>
        </w:rPr>
        <w:t>IGV</w:t>
      </w:r>
      <w:r>
        <w:rPr>
          <w:rFonts w:hint="eastAsia" w:cs="宋体"/>
          <w:bCs/>
          <w:lang w:bidi="ar"/>
        </w:rPr>
        <w:t>自动充电装置，补充电能。本工程使用大电流快速充电系统，具有功率大、防护等级高、交互容差性强等特点，当</w:t>
      </w:r>
      <w:r>
        <w:rPr>
          <w:bCs/>
          <w:lang w:bidi="ar"/>
        </w:rPr>
        <w:t>IGV</w:t>
      </w:r>
      <w:r>
        <w:rPr>
          <w:rFonts w:hint="eastAsia" w:cs="宋体"/>
          <w:bCs/>
          <w:lang w:bidi="ar"/>
        </w:rPr>
        <w:t>电池包电量低至某个</w:t>
      </w:r>
      <w:r>
        <w:rPr>
          <w:bCs/>
          <w:lang w:bidi="ar"/>
        </w:rPr>
        <w:t xml:space="preserve"> </w:t>
      </w:r>
      <w:r>
        <w:rPr>
          <w:rFonts w:hint="eastAsia" w:cs="宋体"/>
          <w:bCs/>
          <w:lang w:bidi="ar"/>
        </w:rPr>
        <w:t>预设值时，</w:t>
      </w:r>
      <w:r>
        <w:rPr>
          <w:bCs/>
          <w:lang w:bidi="ar"/>
        </w:rPr>
        <w:t>IGV</w:t>
      </w:r>
      <w:r>
        <w:rPr>
          <w:rFonts w:hint="eastAsia" w:cs="宋体"/>
          <w:bCs/>
          <w:lang w:bidi="ar"/>
        </w:rPr>
        <w:t>自动行驶至充电区充电。</w:t>
      </w:r>
    </w:p>
    <w:p w14:paraId="017B8D46">
      <w:pPr>
        <w:adjustRightInd w:val="0"/>
        <w:ind w:firstLine="462"/>
      </w:pPr>
      <w:r>
        <w:rPr>
          <w:rFonts w:hint="eastAsia" w:cs="宋体"/>
          <w:bCs/>
          <w:u w:val="single"/>
          <w:lang w:bidi="ar"/>
        </w:rPr>
        <w:t>用于危险品集装箱水平运输的集装箱牵引半挂车拟利用现有码头已有设备，不考虑新增；用于危险品运输车辆需满足GB16994.3相关要求，</w:t>
      </w:r>
      <w:bookmarkStart w:id="227" w:name="OLE_LINK276"/>
      <w:r>
        <w:rPr>
          <w:rFonts w:cs="宋体"/>
          <w:bCs/>
          <w:u w:val="single"/>
          <w:lang w:bidi="ar"/>
        </w:rPr>
        <w:t>配备灭火器材</w:t>
      </w:r>
      <w:r>
        <w:rPr>
          <w:rFonts w:hint="eastAsia" w:cs="宋体"/>
          <w:bCs/>
          <w:u w:val="single"/>
          <w:lang w:bidi="ar"/>
        </w:rPr>
        <w:t>、</w:t>
      </w:r>
      <w:r>
        <w:rPr>
          <w:rFonts w:cs="宋体"/>
          <w:bCs/>
          <w:u w:val="single"/>
          <w:lang w:bidi="ar"/>
        </w:rPr>
        <w:t>安装专用标志灯和标志牌</w:t>
      </w:r>
      <w:r>
        <w:rPr>
          <w:rFonts w:hint="eastAsia" w:cs="宋体"/>
          <w:bCs/>
          <w:u w:val="single"/>
          <w:lang w:bidi="ar"/>
        </w:rPr>
        <w:t>，</w:t>
      </w:r>
      <w:r>
        <w:rPr>
          <w:rFonts w:cs="宋体"/>
          <w:bCs/>
          <w:u w:val="single"/>
          <w:lang w:bidi="ar"/>
        </w:rPr>
        <w:t>易燃易爆危险货物运输车辆应安装导静电橡胶拖地带</w:t>
      </w:r>
      <w:bookmarkEnd w:id="227"/>
      <w:r>
        <w:rPr>
          <w:rFonts w:hint="eastAsia" w:cs="宋体"/>
          <w:bCs/>
          <w:u w:val="single"/>
          <w:lang w:bidi="ar"/>
        </w:rPr>
        <w:t>。</w:t>
      </w:r>
    </w:p>
    <w:p w14:paraId="7736F6A5">
      <w:pPr>
        <w:pStyle w:val="6"/>
      </w:pPr>
      <w:r>
        <w:rPr>
          <w:rFonts w:hint="eastAsia"/>
        </w:rPr>
        <w:t>装卸工艺流程</w:t>
      </w:r>
    </w:p>
    <w:p w14:paraId="12A101F8">
      <w:pPr>
        <w:adjustRightInd w:val="0"/>
        <w:ind w:firstLine="462"/>
      </w:pPr>
      <w:r>
        <w:rPr>
          <w:rFonts w:hint="eastAsia" w:cs="宋体"/>
          <w:bCs/>
          <w:lang w:bidi="ar"/>
        </w:rPr>
        <w:t>（</w:t>
      </w:r>
      <w:r>
        <w:rPr>
          <w:bCs/>
          <w:lang w:bidi="ar"/>
        </w:rPr>
        <w:t>1</w:t>
      </w:r>
      <w:r>
        <w:rPr>
          <w:rFonts w:hint="eastAsia" w:cs="宋体"/>
          <w:bCs/>
          <w:lang w:bidi="ar"/>
        </w:rPr>
        <w:t>）集装箱船←→自动化集装箱堆场</w:t>
      </w:r>
    </w:p>
    <w:p w14:paraId="45D53B78">
      <w:pPr>
        <w:adjustRightInd w:val="0"/>
        <w:ind w:firstLine="462"/>
      </w:pPr>
      <w:r>
        <w:rPr>
          <w:rFonts w:hint="eastAsia" w:cs="宋体"/>
          <w:bCs/>
          <w:lang w:bidi="ar"/>
        </w:rPr>
        <w:t>集装箱船←→自动化单小车岸桥←→</w:t>
      </w:r>
      <w:r>
        <w:rPr>
          <w:bCs/>
          <w:lang w:bidi="ar"/>
        </w:rPr>
        <w:t>IGV</w:t>
      </w:r>
      <w:r>
        <w:rPr>
          <w:rFonts w:hint="eastAsia" w:cs="宋体"/>
          <w:bCs/>
          <w:lang w:bidi="ar"/>
        </w:rPr>
        <w:t>←→</w:t>
      </w:r>
      <w:r>
        <w:rPr>
          <w:bCs/>
          <w:lang w:bidi="ar"/>
        </w:rPr>
        <w:t>ARMG</w:t>
      </w:r>
      <w:r>
        <w:rPr>
          <w:rFonts w:hint="eastAsia" w:cs="宋体"/>
          <w:bCs/>
          <w:lang w:bidi="ar"/>
        </w:rPr>
        <w:t>←→自动化集装箱堆场</w:t>
      </w:r>
    </w:p>
    <w:p w14:paraId="20574329">
      <w:pPr>
        <w:adjustRightInd w:val="0"/>
        <w:ind w:firstLine="462"/>
        <w:rPr>
          <w:u w:val="single"/>
        </w:rPr>
      </w:pPr>
      <w:r>
        <w:rPr>
          <w:rFonts w:hint="eastAsia" w:cs="宋体"/>
          <w:bCs/>
          <w:u w:val="single"/>
          <w:lang w:bidi="ar"/>
        </w:rPr>
        <w:t>（</w:t>
      </w:r>
      <w:r>
        <w:rPr>
          <w:bCs/>
          <w:u w:val="single"/>
          <w:lang w:bidi="ar"/>
        </w:rPr>
        <w:t>2</w:t>
      </w:r>
      <w:r>
        <w:rPr>
          <w:rFonts w:hint="eastAsia" w:cs="宋体"/>
          <w:bCs/>
          <w:u w:val="single"/>
          <w:lang w:bidi="ar"/>
        </w:rPr>
        <w:t>）集装箱船←→危险货物集装箱堆场</w:t>
      </w:r>
    </w:p>
    <w:p w14:paraId="4EB84A32">
      <w:pPr>
        <w:adjustRightInd w:val="0"/>
        <w:ind w:firstLine="462"/>
        <w:rPr>
          <w:u w:val="single"/>
        </w:rPr>
      </w:pPr>
      <w:r>
        <w:rPr>
          <w:rFonts w:hint="eastAsia" w:cs="宋体"/>
          <w:bCs/>
          <w:u w:val="single"/>
          <w:lang w:bidi="ar"/>
        </w:rPr>
        <w:t>集装箱船←→</w:t>
      </w:r>
      <w:bookmarkStart w:id="228" w:name="OLE_LINK23"/>
      <w:r>
        <w:rPr>
          <w:rFonts w:hint="eastAsia" w:cs="宋体"/>
          <w:bCs/>
          <w:u w:val="single"/>
          <w:lang w:bidi="ar"/>
        </w:rPr>
        <w:t>自动化单小车岸桥</w:t>
      </w:r>
      <w:bookmarkEnd w:id="228"/>
      <w:r>
        <w:rPr>
          <w:rFonts w:hint="eastAsia" w:cs="宋体"/>
          <w:bCs/>
          <w:u w:val="single"/>
          <w:lang w:bidi="ar"/>
        </w:rPr>
        <w:t>←→</w:t>
      </w:r>
      <w:bookmarkStart w:id="229" w:name="OLE_LINK76"/>
      <w:r>
        <w:rPr>
          <w:rFonts w:hint="eastAsia" w:cs="宋体"/>
          <w:bCs/>
          <w:u w:val="single"/>
          <w:lang w:bidi="ar"/>
        </w:rPr>
        <w:t>集装箱牵引半挂车</w:t>
      </w:r>
      <w:bookmarkEnd w:id="229"/>
      <w:r>
        <w:rPr>
          <w:rFonts w:hint="eastAsia" w:cs="宋体"/>
          <w:bCs/>
          <w:u w:val="single"/>
          <w:lang w:bidi="ar"/>
        </w:rPr>
        <w:t>（港内，利用现有7-10号泊位）←→</w:t>
      </w:r>
      <w:r>
        <w:rPr>
          <w:bCs/>
          <w:u w:val="single"/>
          <w:lang w:bidi="ar"/>
        </w:rPr>
        <w:t>ARMG</w:t>
      </w:r>
      <w:r>
        <w:rPr>
          <w:rFonts w:hint="eastAsia" w:cs="宋体"/>
          <w:bCs/>
          <w:u w:val="single"/>
          <w:lang w:bidi="ar"/>
        </w:rPr>
        <w:t>←→危险货物集装箱堆场</w:t>
      </w:r>
    </w:p>
    <w:p w14:paraId="0F0332E3">
      <w:pPr>
        <w:adjustRightInd w:val="0"/>
        <w:ind w:firstLine="462"/>
      </w:pPr>
      <w:r>
        <w:rPr>
          <w:rFonts w:hint="eastAsia" w:cs="宋体"/>
          <w:bCs/>
          <w:lang w:bidi="ar"/>
        </w:rPr>
        <w:t>（</w:t>
      </w:r>
      <w:r>
        <w:rPr>
          <w:bCs/>
          <w:lang w:bidi="ar"/>
        </w:rPr>
        <w:t>3</w:t>
      </w:r>
      <w:r>
        <w:rPr>
          <w:rFonts w:hint="eastAsia" w:cs="宋体"/>
          <w:bCs/>
          <w:lang w:bidi="ar"/>
        </w:rPr>
        <w:t>）自动化集装箱堆场←→铁路集装箱中心站港口作业区</w:t>
      </w:r>
    </w:p>
    <w:p w14:paraId="08C3F653">
      <w:pPr>
        <w:adjustRightInd w:val="0"/>
        <w:ind w:firstLine="462"/>
      </w:pPr>
      <w:r>
        <w:rPr>
          <w:rFonts w:hint="eastAsia" w:cs="宋体"/>
          <w:bCs/>
          <w:lang w:bidi="ar"/>
        </w:rPr>
        <w:t>自动化集装箱堆场←→</w:t>
      </w:r>
      <w:r>
        <w:rPr>
          <w:bCs/>
          <w:lang w:bidi="ar"/>
        </w:rPr>
        <w:t>ARMG</w:t>
      </w:r>
      <w:r>
        <w:rPr>
          <w:rFonts w:hint="eastAsia" w:cs="宋体"/>
          <w:bCs/>
          <w:lang w:bidi="ar"/>
        </w:rPr>
        <w:t>←→集装箱牵引半挂车←→</w:t>
      </w:r>
      <w:r>
        <w:rPr>
          <w:bCs/>
          <w:lang w:bidi="ar"/>
        </w:rPr>
        <w:t>{</w:t>
      </w:r>
      <w:r>
        <w:rPr>
          <w:rFonts w:hint="eastAsia" w:cs="宋体"/>
          <w:bCs/>
          <w:lang w:bidi="ar"/>
        </w:rPr>
        <w:t>铁路集装箱中心站港口作业区</w:t>
      </w:r>
      <w:r>
        <w:rPr>
          <w:bCs/>
          <w:lang w:bidi="ar"/>
        </w:rPr>
        <w:t>}</w:t>
      </w:r>
    </w:p>
    <w:p w14:paraId="60CD890B">
      <w:pPr>
        <w:adjustRightInd w:val="0"/>
        <w:ind w:firstLine="462"/>
      </w:pPr>
      <w:r>
        <w:rPr>
          <w:rFonts w:hint="eastAsia" w:cs="宋体"/>
          <w:bCs/>
          <w:lang w:bidi="ar"/>
        </w:rPr>
        <w:t>（</w:t>
      </w:r>
      <w:r>
        <w:rPr>
          <w:bCs/>
          <w:lang w:bidi="ar"/>
        </w:rPr>
        <w:t>4</w:t>
      </w:r>
      <w:r>
        <w:rPr>
          <w:rFonts w:hint="eastAsia" w:cs="宋体"/>
          <w:bCs/>
          <w:lang w:bidi="ar"/>
        </w:rPr>
        <w:t>）自动化集装箱堆场←→货主</w:t>
      </w:r>
    </w:p>
    <w:p w14:paraId="480F625B">
      <w:pPr>
        <w:adjustRightInd w:val="0"/>
        <w:ind w:firstLine="462"/>
      </w:pPr>
      <w:r>
        <w:rPr>
          <w:rFonts w:hint="eastAsia" w:cs="宋体"/>
          <w:bCs/>
          <w:lang w:bidi="ar"/>
        </w:rPr>
        <w:t>自动化集装箱堆场←→</w:t>
      </w:r>
      <w:r>
        <w:rPr>
          <w:bCs/>
          <w:lang w:bidi="ar"/>
        </w:rPr>
        <w:t>ARMG</w:t>
      </w:r>
      <w:r>
        <w:rPr>
          <w:rFonts w:hint="eastAsia" w:cs="宋体"/>
          <w:bCs/>
          <w:lang w:bidi="ar"/>
        </w:rPr>
        <w:t>←→</w:t>
      </w:r>
      <w:bookmarkStart w:id="230" w:name="OLE_LINK77"/>
      <w:r>
        <w:rPr>
          <w:rFonts w:hint="eastAsia" w:cs="宋体"/>
          <w:bCs/>
          <w:lang w:bidi="ar"/>
        </w:rPr>
        <w:t>集装箱牵引半挂车</w:t>
      </w:r>
      <w:bookmarkEnd w:id="230"/>
      <w:r>
        <w:rPr>
          <w:rFonts w:hint="eastAsia" w:cs="宋体"/>
          <w:bCs/>
          <w:lang w:bidi="ar"/>
        </w:rPr>
        <w:t>（港外）←→货主</w:t>
      </w:r>
    </w:p>
    <w:p w14:paraId="113D2476">
      <w:pPr>
        <w:adjustRightInd w:val="0"/>
        <w:ind w:firstLine="462"/>
      </w:pPr>
      <w:r>
        <w:rPr>
          <w:rFonts w:hint="eastAsia" w:cs="宋体"/>
          <w:bCs/>
          <w:lang w:bidi="ar"/>
        </w:rPr>
        <w:t>（</w:t>
      </w:r>
      <w:r>
        <w:rPr>
          <w:bCs/>
          <w:lang w:bidi="ar"/>
        </w:rPr>
        <w:t>5</w:t>
      </w:r>
      <w:r>
        <w:rPr>
          <w:rFonts w:hint="eastAsia" w:cs="宋体"/>
          <w:bCs/>
          <w:lang w:bidi="ar"/>
        </w:rPr>
        <w:t>）危险货物集装箱堆场←→货主</w:t>
      </w:r>
    </w:p>
    <w:p w14:paraId="71AC8FD1">
      <w:pPr>
        <w:adjustRightInd w:val="0"/>
        <w:ind w:firstLine="462"/>
      </w:pPr>
      <w:r>
        <w:rPr>
          <w:rFonts w:hint="eastAsia" w:cs="宋体"/>
          <w:bCs/>
          <w:lang w:bidi="ar"/>
        </w:rPr>
        <w:t>危险货物集装箱堆场←→</w:t>
      </w:r>
      <w:r>
        <w:rPr>
          <w:bCs/>
          <w:lang w:bidi="ar"/>
        </w:rPr>
        <w:t>ARMG</w:t>
      </w:r>
      <w:r>
        <w:rPr>
          <w:rFonts w:hint="eastAsia" w:cs="宋体"/>
          <w:bCs/>
          <w:lang w:bidi="ar"/>
        </w:rPr>
        <w:t>←→集装箱牵引半挂车（港外）←→货主</w:t>
      </w:r>
    </w:p>
    <w:p w14:paraId="56E89000">
      <w:pPr>
        <w:adjustRightInd w:val="0"/>
        <w:ind w:firstLine="462"/>
      </w:pPr>
      <w:r>
        <w:rPr>
          <w:rFonts w:hint="eastAsia" w:cs="宋体"/>
          <w:bCs/>
          <w:lang w:bidi="ar"/>
        </w:rPr>
        <w:t>（</w:t>
      </w:r>
      <w:r>
        <w:rPr>
          <w:rFonts w:hint="eastAsia"/>
          <w:bCs/>
          <w:lang w:bidi="ar"/>
        </w:rPr>
        <w:t>6</w:t>
      </w:r>
      <w:r>
        <w:rPr>
          <w:rFonts w:hint="eastAsia" w:cs="宋体"/>
          <w:bCs/>
          <w:lang w:bidi="ar"/>
        </w:rPr>
        <w:t>）危险货物集装箱直装直取装卸工艺流程</w:t>
      </w:r>
    </w:p>
    <w:p w14:paraId="32E931C8">
      <w:pPr>
        <w:adjustRightInd w:val="0"/>
        <w:ind w:firstLine="462"/>
      </w:pPr>
      <w:r>
        <w:rPr>
          <w:rFonts w:hint="eastAsia" w:cs="宋体"/>
          <w:bCs/>
          <w:lang w:bidi="ar"/>
        </w:rPr>
        <w:t>集装箱船舶←→自动化单小车岸桥←→集装箱牵引半挂车（港外）←→港外</w:t>
      </w:r>
    </w:p>
    <w:p w14:paraId="3727A112">
      <w:pPr>
        <w:adjustRightInd w:val="0"/>
        <w:ind w:firstLine="462"/>
      </w:pPr>
      <w:r>
        <w:rPr>
          <w:rFonts w:hint="eastAsia" w:cs="宋体"/>
          <w:bCs/>
          <w:lang w:bidi="ar"/>
        </w:rPr>
        <w:t>注：｛｝不在本项目工程内容内</w:t>
      </w:r>
    </w:p>
    <w:p w14:paraId="065AFA19">
      <w:pPr>
        <w:pStyle w:val="6"/>
      </w:pPr>
      <w:r>
        <w:rPr>
          <w:rFonts w:hint="eastAsia"/>
        </w:rPr>
        <w:t>装卸设备</w:t>
      </w:r>
    </w:p>
    <w:p w14:paraId="6B393A4A">
      <w:pPr>
        <w:adjustRightInd w:val="0"/>
        <w:ind w:firstLine="462"/>
      </w:pPr>
      <w:r>
        <w:rPr>
          <w:rFonts w:hint="eastAsia" w:cs="宋体"/>
          <w:bCs/>
          <w:lang w:bidi="ar"/>
        </w:rPr>
        <w:t>（</w:t>
      </w:r>
      <w:r>
        <w:rPr>
          <w:bCs/>
          <w:lang w:bidi="ar"/>
        </w:rPr>
        <w:t>1</w:t>
      </w:r>
      <w:r>
        <w:rPr>
          <w:rFonts w:hint="eastAsia" w:cs="宋体"/>
          <w:bCs/>
          <w:lang w:bidi="ar"/>
        </w:rPr>
        <w:t>）码头前沿装卸设备</w:t>
      </w:r>
    </w:p>
    <w:p w14:paraId="0D7E2558">
      <w:pPr>
        <w:adjustRightInd w:val="0"/>
        <w:ind w:firstLine="462"/>
      </w:pPr>
      <w:r>
        <w:rPr>
          <w:rFonts w:hint="eastAsia" w:cs="宋体"/>
          <w:bCs/>
          <w:lang w:bidi="ar"/>
        </w:rPr>
        <w:t>本工程建设</w:t>
      </w:r>
      <w:r>
        <w:rPr>
          <w:bCs/>
          <w:lang w:bidi="ar"/>
        </w:rPr>
        <w:t>5</w:t>
      </w:r>
      <w:r>
        <w:rPr>
          <w:rFonts w:hint="eastAsia" w:cs="宋体"/>
          <w:bCs/>
          <w:lang w:bidi="ar"/>
        </w:rPr>
        <w:t>个</w:t>
      </w:r>
      <w:r>
        <w:rPr>
          <w:bCs/>
          <w:lang w:bidi="ar"/>
        </w:rPr>
        <w:t>5000</w:t>
      </w:r>
      <w:r>
        <w:rPr>
          <w:rFonts w:hint="eastAsia" w:cs="宋体"/>
          <w:bCs/>
          <w:lang w:bidi="ar"/>
        </w:rPr>
        <w:t>吨级集装箱船泊位，码头前沿自动化单小车岸桥作业，同时结合远期发展需求，岸桥轨距取</w:t>
      </w:r>
      <w:r>
        <w:rPr>
          <w:bCs/>
          <w:lang w:bidi="ar"/>
        </w:rPr>
        <w:t>16m</w:t>
      </w:r>
      <w:r>
        <w:rPr>
          <w:rFonts w:hint="eastAsia" w:cs="宋体"/>
          <w:bCs/>
          <w:lang w:bidi="ar"/>
        </w:rPr>
        <w:t>，吊具下额定起重量</w:t>
      </w:r>
      <w:r>
        <w:rPr>
          <w:bCs/>
          <w:lang w:bidi="ar"/>
        </w:rPr>
        <w:t>70t</w:t>
      </w:r>
      <w:r>
        <w:rPr>
          <w:rFonts w:hint="eastAsia" w:cs="宋体"/>
          <w:bCs/>
          <w:lang w:bidi="ar"/>
        </w:rPr>
        <w:t>，配置双</w:t>
      </w:r>
      <w:r>
        <w:rPr>
          <w:bCs/>
          <w:lang w:bidi="ar"/>
        </w:rPr>
        <w:t>20</w:t>
      </w:r>
      <w:r>
        <w:rPr>
          <w:rFonts w:hint="eastAsia" w:cs="宋体"/>
          <w:bCs/>
          <w:lang w:bidi="ar"/>
        </w:rPr>
        <w:t>’箱吊具，岸桥陆侧配置单工位拆锁平台，外伸距</w:t>
      </w:r>
      <w:r>
        <w:rPr>
          <w:bCs/>
          <w:lang w:bidi="ar"/>
        </w:rPr>
        <w:t>32m</w:t>
      </w:r>
      <w:r>
        <w:rPr>
          <w:rFonts w:hint="eastAsia" w:cs="宋体"/>
          <w:bCs/>
          <w:lang w:bidi="ar"/>
        </w:rPr>
        <w:t>，后伸距</w:t>
      </w:r>
      <w:r>
        <w:rPr>
          <w:bCs/>
          <w:lang w:bidi="ar"/>
        </w:rPr>
        <w:t>16m</w:t>
      </w:r>
      <w:r>
        <w:rPr>
          <w:rFonts w:hint="eastAsia" w:cs="宋体"/>
          <w:bCs/>
          <w:lang w:bidi="ar"/>
        </w:rPr>
        <w:t>，轨上起升高度</w:t>
      </w:r>
      <w:r>
        <w:rPr>
          <w:bCs/>
          <w:lang w:bidi="ar"/>
        </w:rPr>
        <w:t>25m</w:t>
      </w:r>
      <w:r>
        <w:rPr>
          <w:rFonts w:hint="eastAsia" w:cs="宋体"/>
          <w:bCs/>
          <w:lang w:bidi="ar"/>
        </w:rPr>
        <w:t>。本项目共配置</w:t>
      </w:r>
      <w:r>
        <w:rPr>
          <w:bCs/>
          <w:lang w:bidi="ar"/>
        </w:rPr>
        <w:t>5</w:t>
      </w:r>
      <w:r>
        <w:rPr>
          <w:rFonts w:hint="eastAsia" w:cs="宋体"/>
          <w:bCs/>
          <w:lang w:bidi="ar"/>
        </w:rPr>
        <w:t>台自动化单小车岸桥。</w:t>
      </w:r>
    </w:p>
    <w:p w14:paraId="3B6B4935">
      <w:pPr>
        <w:adjustRightInd w:val="0"/>
        <w:ind w:firstLine="462"/>
      </w:pPr>
      <w:r>
        <w:rPr>
          <w:rFonts w:hint="eastAsia" w:cs="宋体"/>
          <w:bCs/>
          <w:lang w:bidi="ar"/>
        </w:rPr>
        <w:t>（</w:t>
      </w:r>
      <w:r>
        <w:rPr>
          <w:bCs/>
          <w:lang w:bidi="ar"/>
        </w:rPr>
        <w:t>2</w:t>
      </w:r>
      <w:r>
        <w:rPr>
          <w:rFonts w:hint="eastAsia" w:cs="宋体"/>
          <w:bCs/>
          <w:lang w:bidi="ar"/>
        </w:rPr>
        <w:t>）堆场作业设备</w:t>
      </w:r>
    </w:p>
    <w:p w14:paraId="1DE43E7D">
      <w:pPr>
        <w:adjustRightInd w:val="0"/>
        <w:ind w:firstLine="462"/>
      </w:pPr>
      <w:r>
        <w:rPr>
          <w:rFonts w:hint="eastAsia" w:cs="宋体"/>
          <w:bCs/>
          <w:lang w:bidi="ar"/>
        </w:rPr>
        <w:t>本工程集装箱堆场空、重箱混堆，采用双悬臂</w:t>
      </w:r>
      <w:r>
        <w:rPr>
          <w:bCs/>
          <w:lang w:bidi="ar"/>
        </w:rPr>
        <w:t>ARMG</w:t>
      </w:r>
      <w:r>
        <w:rPr>
          <w:rFonts w:hint="eastAsia" w:cs="宋体"/>
          <w:bCs/>
          <w:lang w:bidi="ar"/>
        </w:rPr>
        <w:t>作业，</w:t>
      </w:r>
      <w:r>
        <w:rPr>
          <w:bCs/>
          <w:lang w:bidi="ar"/>
        </w:rPr>
        <w:t>ARMG</w:t>
      </w:r>
      <w:r>
        <w:rPr>
          <w:rFonts w:hint="eastAsia" w:cs="宋体"/>
          <w:bCs/>
          <w:lang w:bidi="ar"/>
        </w:rPr>
        <w:t>轨距采用</w:t>
      </w:r>
      <w:r>
        <w:rPr>
          <w:bCs/>
          <w:lang w:bidi="ar"/>
        </w:rPr>
        <w:t>40.5m</w:t>
      </w:r>
      <w:r>
        <w:rPr>
          <w:rFonts w:hint="eastAsia" w:cs="宋体"/>
          <w:bCs/>
          <w:lang w:bidi="ar"/>
        </w:rPr>
        <w:t>，轨内可并列</w:t>
      </w:r>
      <w:r>
        <w:rPr>
          <w:bCs/>
          <w:lang w:bidi="ar"/>
        </w:rPr>
        <w:t>13</w:t>
      </w:r>
      <w:r>
        <w:rPr>
          <w:rFonts w:hint="eastAsia" w:cs="宋体"/>
          <w:bCs/>
          <w:lang w:bidi="ar"/>
        </w:rPr>
        <w:t>排箱，堆</w:t>
      </w:r>
      <w:r>
        <w:rPr>
          <w:bCs/>
          <w:lang w:bidi="ar"/>
        </w:rPr>
        <w:t>6</w:t>
      </w:r>
      <w:r>
        <w:rPr>
          <w:rFonts w:hint="eastAsia" w:cs="宋体"/>
          <w:bCs/>
          <w:lang w:bidi="ar"/>
        </w:rPr>
        <w:t>过</w:t>
      </w:r>
      <w:r>
        <w:rPr>
          <w:bCs/>
          <w:lang w:bidi="ar"/>
        </w:rPr>
        <w:t>7</w:t>
      </w:r>
      <w:r>
        <w:rPr>
          <w:rFonts w:hint="eastAsia" w:cs="宋体"/>
          <w:bCs/>
          <w:lang w:bidi="ar"/>
        </w:rPr>
        <w:t>，悬臂有效外伸距</w:t>
      </w:r>
      <w:r>
        <w:rPr>
          <w:bCs/>
          <w:lang w:bidi="ar"/>
        </w:rPr>
        <w:t>4.7m</w:t>
      </w:r>
      <w:r>
        <w:rPr>
          <w:rFonts w:hint="eastAsia" w:cs="宋体"/>
          <w:bCs/>
          <w:lang w:bidi="ar"/>
        </w:rPr>
        <w:t>，</w:t>
      </w:r>
      <w:r>
        <w:rPr>
          <w:bCs/>
          <w:lang w:bidi="ar"/>
        </w:rPr>
        <w:t>ARMG</w:t>
      </w:r>
      <w:r>
        <w:rPr>
          <w:rFonts w:hint="eastAsia" w:cs="宋体"/>
          <w:bCs/>
          <w:lang w:bidi="ar"/>
        </w:rPr>
        <w:t>一侧悬臂下为</w:t>
      </w:r>
      <w:r>
        <w:rPr>
          <w:bCs/>
          <w:lang w:bidi="ar"/>
        </w:rPr>
        <w:t>IGV</w:t>
      </w:r>
      <w:r>
        <w:rPr>
          <w:rFonts w:hint="eastAsia" w:cs="宋体"/>
          <w:bCs/>
          <w:lang w:bidi="ar"/>
        </w:rPr>
        <w:t>车道，另一侧悬臂下为普通外集卡装卸作业车道。</w:t>
      </w:r>
    </w:p>
    <w:p w14:paraId="583DF8C8">
      <w:pPr>
        <w:adjustRightInd w:val="0"/>
        <w:ind w:firstLine="462"/>
      </w:pPr>
      <w:r>
        <w:rPr>
          <w:rFonts w:hint="eastAsia" w:cs="宋体"/>
          <w:bCs/>
          <w:lang w:bidi="ar"/>
        </w:rPr>
        <w:t>新建的自动化集装箱堆场共配置</w:t>
      </w:r>
      <w:r>
        <w:rPr>
          <w:bCs/>
          <w:lang w:bidi="ar"/>
        </w:rPr>
        <w:t>6</w:t>
      </w:r>
      <w:r>
        <w:rPr>
          <w:rFonts w:hint="eastAsia" w:cs="宋体"/>
          <w:bCs/>
          <w:lang w:bidi="ar"/>
        </w:rPr>
        <w:t>台</w:t>
      </w:r>
      <w:r>
        <w:rPr>
          <w:bCs/>
          <w:lang w:bidi="ar"/>
        </w:rPr>
        <w:t>ARMG</w:t>
      </w:r>
      <w:r>
        <w:rPr>
          <w:rFonts w:hint="eastAsia" w:cs="宋体"/>
          <w:bCs/>
          <w:lang w:bidi="ar"/>
        </w:rPr>
        <w:t>，其中</w:t>
      </w:r>
      <w:r>
        <w:rPr>
          <w:bCs/>
          <w:lang w:bidi="ar"/>
        </w:rPr>
        <w:t>5</w:t>
      </w:r>
      <w:r>
        <w:rPr>
          <w:rFonts w:hint="eastAsia" w:cs="宋体"/>
          <w:bCs/>
          <w:lang w:bidi="ar"/>
        </w:rPr>
        <w:t>台</w:t>
      </w:r>
      <w:r>
        <w:rPr>
          <w:bCs/>
          <w:lang w:bidi="ar"/>
        </w:rPr>
        <w:t>ARMG</w:t>
      </w:r>
      <w:r>
        <w:rPr>
          <w:rFonts w:hint="eastAsia" w:cs="宋体"/>
          <w:bCs/>
          <w:lang w:bidi="ar"/>
        </w:rPr>
        <w:t>吊具下额定起重量为</w:t>
      </w:r>
      <w:r>
        <w:rPr>
          <w:bCs/>
          <w:lang w:bidi="ar"/>
        </w:rPr>
        <w:t>41t</w:t>
      </w:r>
      <w:r>
        <w:rPr>
          <w:rFonts w:hint="eastAsia" w:cs="宋体"/>
          <w:bCs/>
          <w:lang w:bidi="ar"/>
        </w:rPr>
        <w:t>；另外，为满足危险货物集装箱堆场储能柜的作业需求，配置</w:t>
      </w:r>
      <w:r>
        <w:rPr>
          <w:bCs/>
          <w:lang w:bidi="ar"/>
        </w:rPr>
        <w:t>1</w:t>
      </w:r>
      <w:r>
        <w:rPr>
          <w:rFonts w:hint="eastAsia" w:cs="宋体"/>
          <w:bCs/>
          <w:lang w:bidi="ar"/>
        </w:rPr>
        <w:t>台吊具下额定起重量</w:t>
      </w:r>
      <w:r>
        <w:rPr>
          <w:bCs/>
          <w:lang w:bidi="ar"/>
        </w:rPr>
        <w:t>50t</w:t>
      </w:r>
      <w:r>
        <w:rPr>
          <w:rFonts w:hint="eastAsia" w:cs="宋体"/>
          <w:bCs/>
          <w:lang w:bidi="ar"/>
        </w:rPr>
        <w:t>的</w:t>
      </w:r>
      <w:r>
        <w:rPr>
          <w:bCs/>
          <w:lang w:bidi="ar"/>
        </w:rPr>
        <w:t>ARMG</w:t>
      </w:r>
      <w:r>
        <w:rPr>
          <w:rFonts w:hint="eastAsia" w:cs="宋体"/>
          <w:bCs/>
          <w:lang w:bidi="ar"/>
        </w:rPr>
        <w:t>。</w:t>
      </w:r>
    </w:p>
    <w:p w14:paraId="5C7DF369">
      <w:pPr>
        <w:adjustRightInd w:val="0"/>
        <w:ind w:firstLine="462"/>
      </w:pPr>
      <w:r>
        <w:rPr>
          <w:rFonts w:hint="eastAsia" w:cs="宋体"/>
          <w:bCs/>
          <w:lang w:bidi="ar"/>
        </w:rPr>
        <w:t>（</w:t>
      </w:r>
      <w:r>
        <w:rPr>
          <w:bCs/>
          <w:lang w:bidi="ar"/>
        </w:rPr>
        <w:t>3</w:t>
      </w:r>
      <w:r>
        <w:rPr>
          <w:rFonts w:hint="eastAsia" w:cs="宋体"/>
          <w:bCs/>
          <w:lang w:bidi="ar"/>
        </w:rPr>
        <w:t>）水平运输设备</w:t>
      </w:r>
    </w:p>
    <w:p w14:paraId="66EFEC6B">
      <w:pPr>
        <w:adjustRightInd w:val="0"/>
        <w:ind w:firstLine="462"/>
      </w:pPr>
      <w:r>
        <w:rPr>
          <w:rFonts w:hint="eastAsia" w:cs="宋体"/>
          <w:bCs/>
          <w:lang w:bidi="ar"/>
        </w:rPr>
        <w:t>集装箱水平运输设备采用智能引导车（</w:t>
      </w:r>
      <w:r>
        <w:rPr>
          <w:bCs/>
          <w:lang w:bidi="ar"/>
        </w:rPr>
        <w:t>IGV</w:t>
      </w:r>
      <w:r>
        <w:rPr>
          <w:rFonts w:hint="eastAsia" w:cs="宋体"/>
          <w:bCs/>
          <w:lang w:bidi="ar"/>
        </w:rPr>
        <w:t>），可载</w:t>
      </w:r>
      <w:r>
        <w:rPr>
          <w:bCs/>
          <w:lang w:bidi="ar"/>
        </w:rPr>
        <w:t>1</w:t>
      </w:r>
      <w:r>
        <w:rPr>
          <w:rFonts w:hint="eastAsia" w:cs="宋体"/>
          <w:bCs/>
          <w:lang w:bidi="ar"/>
        </w:rPr>
        <w:t>个</w:t>
      </w:r>
      <w:r>
        <w:rPr>
          <w:bCs/>
          <w:lang w:bidi="ar"/>
        </w:rPr>
        <w:t>40</w:t>
      </w:r>
      <w:r>
        <w:rPr>
          <w:rFonts w:hint="eastAsia" w:cs="宋体"/>
          <w:bCs/>
          <w:lang w:bidi="ar"/>
        </w:rPr>
        <w:t>’</w:t>
      </w:r>
      <w:r>
        <w:rPr>
          <w:bCs/>
          <w:lang w:bidi="ar"/>
        </w:rPr>
        <w:t>/45</w:t>
      </w:r>
      <w:r>
        <w:rPr>
          <w:rFonts w:hint="eastAsia" w:cs="宋体"/>
          <w:bCs/>
          <w:lang w:bidi="ar"/>
        </w:rPr>
        <w:t>’或</w:t>
      </w:r>
      <w:r>
        <w:rPr>
          <w:bCs/>
          <w:lang w:bidi="ar"/>
        </w:rPr>
        <w:t>2</w:t>
      </w:r>
      <w:r>
        <w:rPr>
          <w:rFonts w:hint="eastAsia" w:cs="宋体"/>
          <w:bCs/>
          <w:lang w:bidi="ar"/>
        </w:rPr>
        <w:t>个</w:t>
      </w:r>
      <w:r>
        <w:rPr>
          <w:bCs/>
          <w:lang w:bidi="ar"/>
        </w:rPr>
        <w:t>20</w:t>
      </w:r>
      <w:r>
        <w:rPr>
          <w:rFonts w:hint="eastAsia" w:cs="宋体"/>
          <w:bCs/>
          <w:lang w:bidi="ar"/>
        </w:rPr>
        <w:t>’箱，</w:t>
      </w:r>
      <w:r>
        <w:rPr>
          <w:bCs/>
          <w:lang w:bidi="ar"/>
        </w:rPr>
        <w:t>IGV</w:t>
      </w:r>
      <w:r>
        <w:rPr>
          <w:rFonts w:hint="eastAsia" w:cs="宋体"/>
          <w:bCs/>
          <w:lang w:bidi="ar"/>
        </w:rPr>
        <w:t>为全电驱动，并采用磁钉进行导航定位，并与码头调度系统、</w:t>
      </w:r>
      <w:r>
        <w:rPr>
          <w:bCs/>
          <w:lang w:bidi="ar"/>
        </w:rPr>
        <w:t>TOS</w:t>
      </w:r>
      <w:r>
        <w:rPr>
          <w:rFonts w:hint="eastAsia" w:cs="宋体"/>
          <w:bCs/>
          <w:lang w:bidi="ar"/>
        </w:rPr>
        <w:t>系统相结合，将本工程码头、堆场区域有机串联，实现最优的码头装卸方式。本工程新增</w:t>
      </w:r>
      <w:r>
        <w:rPr>
          <w:bCs/>
          <w:lang w:bidi="ar"/>
        </w:rPr>
        <w:t>30</w:t>
      </w:r>
      <w:r>
        <w:rPr>
          <w:rFonts w:hint="eastAsia" w:cs="宋体"/>
          <w:bCs/>
          <w:lang w:bidi="ar"/>
        </w:rPr>
        <w:t>台</w:t>
      </w:r>
      <w:r>
        <w:rPr>
          <w:bCs/>
          <w:lang w:bidi="ar"/>
        </w:rPr>
        <w:t>IGV</w:t>
      </w:r>
      <w:r>
        <w:rPr>
          <w:rFonts w:hint="eastAsia" w:cs="宋体"/>
          <w:bCs/>
          <w:lang w:bidi="ar"/>
        </w:rPr>
        <w:t>，新增</w:t>
      </w:r>
      <w:r>
        <w:rPr>
          <w:bCs/>
          <w:lang w:bidi="ar"/>
        </w:rPr>
        <w:t>IGV</w:t>
      </w:r>
      <w:r>
        <w:rPr>
          <w:rFonts w:hint="eastAsia" w:cs="宋体"/>
          <w:bCs/>
          <w:lang w:bidi="ar"/>
        </w:rPr>
        <w:t>与自动化集装箱码头现有水平运输设备统筹调配使用。</w:t>
      </w:r>
      <w:r>
        <w:rPr>
          <w:rFonts w:hint="eastAsia" w:cs="宋体"/>
          <w:bCs/>
          <w:u w:val="single"/>
          <w:lang w:bidi="ar"/>
        </w:rPr>
        <w:t>用于危险品集装箱水平运输的集装箱牵引半挂车拟利用现有码头已有设备，不考虑新增；用于危险品运输车辆需满足GB16994.3相关要求，</w:t>
      </w:r>
      <w:r>
        <w:rPr>
          <w:rFonts w:cs="宋体"/>
          <w:bCs/>
          <w:u w:val="single"/>
          <w:lang w:bidi="ar"/>
        </w:rPr>
        <w:t>配备灭火器材</w:t>
      </w:r>
      <w:r>
        <w:rPr>
          <w:rFonts w:hint="eastAsia" w:cs="宋体"/>
          <w:bCs/>
          <w:u w:val="single"/>
          <w:lang w:bidi="ar"/>
        </w:rPr>
        <w:t>、</w:t>
      </w:r>
      <w:r>
        <w:rPr>
          <w:rFonts w:cs="宋体"/>
          <w:bCs/>
          <w:u w:val="single"/>
          <w:lang w:bidi="ar"/>
        </w:rPr>
        <w:t>安装专用标志灯和标志牌</w:t>
      </w:r>
      <w:r>
        <w:rPr>
          <w:rFonts w:hint="eastAsia" w:cs="宋体"/>
          <w:bCs/>
          <w:u w:val="single"/>
          <w:lang w:bidi="ar"/>
        </w:rPr>
        <w:t>，</w:t>
      </w:r>
      <w:r>
        <w:rPr>
          <w:rFonts w:cs="宋体"/>
          <w:bCs/>
          <w:u w:val="single"/>
          <w:lang w:bidi="ar"/>
        </w:rPr>
        <w:t>易燃易爆危险货物运输车辆应安装导静电橡胶拖地带</w:t>
      </w:r>
      <w:r>
        <w:rPr>
          <w:rFonts w:hint="eastAsia" w:cs="宋体"/>
          <w:bCs/>
          <w:u w:val="single"/>
          <w:lang w:bidi="ar"/>
        </w:rPr>
        <w:t>。</w:t>
      </w:r>
    </w:p>
    <w:p w14:paraId="1D4DA694">
      <w:pPr>
        <w:pStyle w:val="7"/>
        <w:rPr>
          <w:u w:val="single"/>
        </w:rPr>
      </w:pPr>
      <w:r>
        <w:rPr>
          <w:rFonts w:hint="eastAsia"/>
          <w:u w:val="single"/>
        </w:rPr>
        <w:t>主要装卸设备配置表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54"/>
        <w:gridCol w:w="1717"/>
        <w:gridCol w:w="4570"/>
        <w:gridCol w:w="347"/>
        <w:gridCol w:w="347"/>
        <w:gridCol w:w="1007"/>
      </w:tblGrid>
      <w:tr w14:paraId="116C38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Mar>
              <w:left w:w="0" w:type="dxa"/>
              <w:right w:w="0" w:type="dxa"/>
            </w:tcMar>
            <w:vAlign w:val="center"/>
          </w:tcPr>
          <w:p w14:paraId="46FC5036">
            <w:pPr>
              <w:pStyle w:val="34"/>
              <w:rPr>
                <w:u w:val="single"/>
              </w:rPr>
            </w:pPr>
            <w:r>
              <w:rPr>
                <w:rFonts w:hint="eastAsia"/>
                <w:u w:val="single"/>
              </w:rPr>
              <w:t>序号</w:t>
            </w:r>
          </w:p>
        </w:tc>
        <w:tc>
          <w:tcPr>
            <w:tcW w:w="0" w:type="auto"/>
            <w:tcMar>
              <w:left w:w="0" w:type="dxa"/>
              <w:right w:w="0" w:type="dxa"/>
            </w:tcMar>
            <w:vAlign w:val="center"/>
          </w:tcPr>
          <w:p w14:paraId="589DF64A">
            <w:pPr>
              <w:pStyle w:val="34"/>
              <w:rPr>
                <w:u w:val="single"/>
              </w:rPr>
            </w:pPr>
            <w:r>
              <w:rPr>
                <w:rFonts w:hint="eastAsia"/>
                <w:u w:val="single"/>
              </w:rPr>
              <w:t>名称</w:t>
            </w:r>
          </w:p>
        </w:tc>
        <w:tc>
          <w:tcPr>
            <w:tcW w:w="0" w:type="auto"/>
            <w:tcMar>
              <w:left w:w="0" w:type="dxa"/>
              <w:right w:w="0" w:type="dxa"/>
            </w:tcMar>
            <w:vAlign w:val="center"/>
          </w:tcPr>
          <w:p w14:paraId="3EFE6A72">
            <w:pPr>
              <w:pStyle w:val="34"/>
              <w:rPr>
                <w:u w:val="single"/>
              </w:rPr>
            </w:pPr>
            <w:r>
              <w:rPr>
                <w:rFonts w:hint="eastAsia"/>
                <w:u w:val="single"/>
              </w:rPr>
              <w:t>规格</w:t>
            </w:r>
          </w:p>
        </w:tc>
        <w:tc>
          <w:tcPr>
            <w:tcW w:w="0" w:type="auto"/>
            <w:tcMar>
              <w:left w:w="0" w:type="dxa"/>
              <w:right w:w="0" w:type="dxa"/>
            </w:tcMar>
            <w:vAlign w:val="center"/>
          </w:tcPr>
          <w:p w14:paraId="41467107">
            <w:pPr>
              <w:pStyle w:val="34"/>
              <w:rPr>
                <w:u w:val="single"/>
              </w:rPr>
            </w:pPr>
            <w:r>
              <w:rPr>
                <w:rFonts w:hint="eastAsia"/>
                <w:u w:val="single"/>
              </w:rPr>
              <w:t>单位</w:t>
            </w:r>
          </w:p>
        </w:tc>
        <w:tc>
          <w:tcPr>
            <w:tcW w:w="0" w:type="auto"/>
            <w:tcMar>
              <w:left w:w="0" w:type="dxa"/>
              <w:right w:w="0" w:type="dxa"/>
            </w:tcMar>
            <w:vAlign w:val="center"/>
          </w:tcPr>
          <w:p w14:paraId="466AFCAC">
            <w:pPr>
              <w:pStyle w:val="34"/>
              <w:rPr>
                <w:u w:val="single"/>
              </w:rPr>
            </w:pPr>
            <w:r>
              <w:rPr>
                <w:rFonts w:hint="eastAsia"/>
                <w:u w:val="single"/>
              </w:rPr>
              <w:t>数量</w:t>
            </w:r>
          </w:p>
        </w:tc>
        <w:tc>
          <w:tcPr>
            <w:tcW w:w="0" w:type="auto"/>
            <w:tcMar>
              <w:left w:w="0" w:type="dxa"/>
              <w:right w:w="0" w:type="dxa"/>
            </w:tcMar>
            <w:vAlign w:val="center"/>
          </w:tcPr>
          <w:p w14:paraId="49E96009">
            <w:pPr>
              <w:pStyle w:val="34"/>
              <w:rPr>
                <w:u w:val="single"/>
              </w:rPr>
            </w:pPr>
            <w:r>
              <w:rPr>
                <w:rFonts w:hint="eastAsia"/>
                <w:u w:val="single"/>
              </w:rPr>
              <w:t>位置</w:t>
            </w:r>
          </w:p>
        </w:tc>
      </w:tr>
      <w:tr w14:paraId="3CBCB3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Mar>
              <w:left w:w="0" w:type="dxa"/>
              <w:right w:w="0" w:type="dxa"/>
            </w:tcMar>
            <w:vAlign w:val="center"/>
          </w:tcPr>
          <w:p w14:paraId="7FB64942">
            <w:pPr>
              <w:pStyle w:val="34"/>
              <w:rPr>
                <w:u w:val="single"/>
              </w:rPr>
            </w:pPr>
            <w:r>
              <w:rPr>
                <w:u w:val="single"/>
              </w:rPr>
              <w:t>1</w:t>
            </w:r>
          </w:p>
        </w:tc>
        <w:tc>
          <w:tcPr>
            <w:tcW w:w="0" w:type="auto"/>
            <w:tcMar>
              <w:left w:w="0" w:type="dxa"/>
              <w:right w:w="0" w:type="dxa"/>
            </w:tcMar>
            <w:vAlign w:val="center"/>
          </w:tcPr>
          <w:p w14:paraId="0F2565A9">
            <w:pPr>
              <w:pStyle w:val="34"/>
              <w:rPr>
                <w:u w:val="single"/>
              </w:rPr>
            </w:pPr>
            <w:r>
              <w:rPr>
                <w:rFonts w:hint="eastAsia"/>
                <w:u w:val="single"/>
              </w:rPr>
              <w:t>自动化双小车岸桥</w:t>
            </w:r>
          </w:p>
        </w:tc>
        <w:tc>
          <w:tcPr>
            <w:tcW w:w="0" w:type="auto"/>
            <w:tcMar>
              <w:left w:w="0" w:type="dxa"/>
              <w:right w:w="0" w:type="dxa"/>
            </w:tcMar>
            <w:vAlign w:val="center"/>
          </w:tcPr>
          <w:p w14:paraId="793FA720">
            <w:pPr>
              <w:pStyle w:val="34"/>
              <w:rPr>
                <w:u w:val="single"/>
              </w:rPr>
            </w:pPr>
            <w:r>
              <w:rPr>
                <w:rFonts w:hint="eastAsia"/>
                <w:u w:val="single"/>
                <w:lang w:bidi="ar"/>
              </w:rPr>
              <w:t>轨距</w:t>
            </w:r>
            <w:r>
              <w:rPr>
                <w:u w:val="single"/>
                <w:lang w:bidi="ar"/>
              </w:rPr>
              <w:t xml:space="preserve"> 16m</w:t>
            </w:r>
            <w:r>
              <w:rPr>
                <w:rFonts w:hint="eastAsia"/>
                <w:u w:val="single"/>
                <w:lang w:bidi="ar"/>
              </w:rPr>
              <w:t>，外伸距</w:t>
            </w:r>
            <w:r>
              <w:rPr>
                <w:u w:val="single"/>
                <w:lang w:bidi="ar"/>
              </w:rPr>
              <w:t xml:space="preserve"> 32m</w:t>
            </w:r>
            <w:r>
              <w:rPr>
                <w:rFonts w:hint="eastAsia"/>
                <w:u w:val="single"/>
                <w:lang w:bidi="ar"/>
              </w:rPr>
              <w:t>，吊具下额定</w:t>
            </w:r>
            <w:r>
              <w:rPr>
                <w:rFonts w:hint="eastAsia"/>
                <w:u w:val="single"/>
              </w:rPr>
              <w:t>起重量</w:t>
            </w:r>
            <w:r>
              <w:rPr>
                <w:u w:val="single"/>
              </w:rPr>
              <w:t xml:space="preserve"> 70t</w:t>
            </w:r>
          </w:p>
        </w:tc>
        <w:tc>
          <w:tcPr>
            <w:tcW w:w="0" w:type="auto"/>
            <w:tcMar>
              <w:left w:w="0" w:type="dxa"/>
              <w:right w:w="0" w:type="dxa"/>
            </w:tcMar>
            <w:vAlign w:val="center"/>
          </w:tcPr>
          <w:p w14:paraId="19FB7FF9">
            <w:pPr>
              <w:pStyle w:val="34"/>
              <w:rPr>
                <w:u w:val="single"/>
              </w:rPr>
            </w:pPr>
            <w:r>
              <w:rPr>
                <w:rFonts w:hint="eastAsia"/>
                <w:u w:val="single"/>
              </w:rPr>
              <w:t>台</w:t>
            </w:r>
          </w:p>
        </w:tc>
        <w:tc>
          <w:tcPr>
            <w:tcW w:w="0" w:type="auto"/>
            <w:tcMar>
              <w:left w:w="0" w:type="dxa"/>
              <w:right w:w="0" w:type="dxa"/>
            </w:tcMar>
            <w:vAlign w:val="center"/>
          </w:tcPr>
          <w:p w14:paraId="606924FC">
            <w:pPr>
              <w:pStyle w:val="34"/>
              <w:rPr>
                <w:u w:val="single"/>
              </w:rPr>
            </w:pPr>
            <w:r>
              <w:rPr>
                <w:u w:val="single"/>
              </w:rPr>
              <w:t>5</w:t>
            </w:r>
          </w:p>
        </w:tc>
        <w:tc>
          <w:tcPr>
            <w:tcW w:w="0" w:type="auto"/>
            <w:tcMar>
              <w:left w:w="0" w:type="dxa"/>
              <w:right w:w="0" w:type="dxa"/>
            </w:tcMar>
            <w:vAlign w:val="center"/>
          </w:tcPr>
          <w:p w14:paraId="7DAE98F0">
            <w:pPr>
              <w:pStyle w:val="34"/>
              <w:rPr>
                <w:u w:val="single"/>
              </w:rPr>
            </w:pPr>
            <w:r>
              <w:rPr>
                <w:rFonts w:hint="eastAsia"/>
                <w:u w:val="single"/>
              </w:rPr>
              <w:t>码头前沿装卸船</w:t>
            </w:r>
          </w:p>
        </w:tc>
      </w:tr>
      <w:tr w14:paraId="49AD91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Mar>
              <w:left w:w="0" w:type="dxa"/>
              <w:right w:w="0" w:type="dxa"/>
            </w:tcMar>
            <w:vAlign w:val="center"/>
          </w:tcPr>
          <w:p w14:paraId="2E4CD05F">
            <w:pPr>
              <w:pStyle w:val="34"/>
              <w:rPr>
                <w:u w:val="single"/>
              </w:rPr>
            </w:pPr>
            <w:r>
              <w:rPr>
                <w:u w:val="single"/>
              </w:rPr>
              <w:t>2</w:t>
            </w:r>
          </w:p>
        </w:tc>
        <w:tc>
          <w:tcPr>
            <w:tcW w:w="0" w:type="auto"/>
            <w:tcMar>
              <w:left w:w="0" w:type="dxa"/>
              <w:right w:w="0" w:type="dxa"/>
            </w:tcMar>
            <w:vAlign w:val="center"/>
          </w:tcPr>
          <w:p w14:paraId="53E290FF">
            <w:pPr>
              <w:pStyle w:val="34"/>
              <w:rPr>
                <w:u w:val="single"/>
              </w:rPr>
            </w:pPr>
            <w:r>
              <w:rPr>
                <w:rFonts w:hint="eastAsia"/>
                <w:u w:val="single"/>
              </w:rPr>
              <w:t>自动化集装箱轨道龙门吊</w:t>
            </w:r>
          </w:p>
        </w:tc>
        <w:tc>
          <w:tcPr>
            <w:tcW w:w="0" w:type="auto"/>
            <w:tcMar>
              <w:left w:w="0" w:type="dxa"/>
              <w:right w:w="0" w:type="dxa"/>
            </w:tcMar>
            <w:vAlign w:val="center"/>
          </w:tcPr>
          <w:p w14:paraId="225BB8B3">
            <w:pPr>
              <w:pStyle w:val="34"/>
              <w:rPr>
                <w:u w:val="single"/>
              </w:rPr>
            </w:pPr>
            <w:r>
              <w:rPr>
                <w:rFonts w:hint="eastAsia"/>
                <w:u w:val="single"/>
                <w:lang w:bidi="ar"/>
              </w:rPr>
              <w:t>双悬臂，轨距</w:t>
            </w:r>
            <w:r>
              <w:rPr>
                <w:u w:val="single"/>
                <w:lang w:bidi="ar"/>
              </w:rPr>
              <w:t xml:space="preserve"> 40.5m</w:t>
            </w:r>
            <w:r>
              <w:rPr>
                <w:rFonts w:hint="eastAsia"/>
                <w:u w:val="single"/>
                <w:lang w:bidi="ar"/>
              </w:rPr>
              <w:t>，堆</w:t>
            </w:r>
            <w:r>
              <w:rPr>
                <w:u w:val="single"/>
                <w:lang w:bidi="ar"/>
              </w:rPr>
              <w:t xml:space="preserve"> 6 </w:t>
            </w:r>
            <w:r>
              <w:rPr>
                <w:rFonts w:hint="eastAsia"/>
                <w:u w:val="single"/>
                <w:lang w:bidi="ar"/>
              </w:rPr>
              <w:t>过</w:t>
            </w:r>
            <w:r>
              <w:rPr>
                <w:u w:val="single"/>
                <w:lang w:bidi="ar"/>
              </w:rPr>
              <w:t xml:space="preserve"> 7</w:t>
            </w:r>
            <w:r>
              <w:rPr>
                <w:rFonts w:hint="eastAsia"/>
                <w:u w:val="single"/>
                <w:lang w:bidi="ar"/>
              </w:rPr>
              <w:t>，有</w:t>
            </w:r>
            <w:r>
              <w:rPr>
                <w:rFonts w:hint="eastAsia"/>
                <w:u w:val="single"/>
              </w:rPr>
              <w:t>效外伸距</w:t>
            </w:r>
            <w:r>
              <w:rPr>
                <w:u w:val="single"/>
              </w:rPr>
              <w:t xml:space="preserve"> 4.7m</w:t>
            </w:r>
            <w:r>
              <w:rPr>
                <w:rFonts w:hint="eastAsia"/>
                <w:u w:val="single"/>
              </w:rPr>
              <w:t>，吊具下起重量</w:t>
            </w:r>
            <w:r>
              <w:rPr>
                <w:u w:val="single"/>
              </w:rPr>
              <w:t xml:space="preserve"> 41t</w:t>
            </w:r>
          </w:p>
        </w:tc>
        <w:tc>
          <w:tcPr>
            <w:tcW w:w="0" w:type="auto"/>
            <w:tcMar>
              <w:left w:w="0" w:type="dxa"/>
              <w:right w:w="0" w:type="dxa"/>
            </w:tcMar>
            <w:vAlign w:val="center"/>
          </w:tcPr>
          <w:p w14:paraId="33C98192">
            <w:pPr>
              <w:pStyle w:val="34"/>
              <w:rPr>
                <w:u w:val="single"/>
              </w:rPr>
            </w:pPr>
            <w:r>
              <w:rPr>
                <w:rFonts w:hint="eastAsia"/>
                <w:u w:val="single"/>
              </w:rPr>
              <w:t>台</w:t>
            </w:r>
          </w:p>
        </w:tc>
        <w:tc>
          <w:tcPr>
            <w:tcW w:w="0" w:type="auto"/>
            <w:tcMar>
              <w:left w:w="0" w:type="dxa"/>
              <w:right w:w="0" w:type="dxa"/>
            </w:tcMar>
            <w:vAlign w:val="center"/>
          </w:tcPr>
          <w:p w14:paraId="547C9002">
            <w:pPr>
              <w:pStyle w:val="34"/>
              <w:rPr>
                <w:u w:val="single"/>
              </w:rPr>
            </w:pPr>
            <w:r>
              <w:rPr>
                <w:u w:val="single"/>
              </w:rPr>
              <w:t>5</w:t>
            </w:r>
          </w:p>
        </w:tc>
        <w:tc>
          <w:tcPr>
            <w:tcW w:w="0" w:type="auto"/>
            <w:tcMar>
              <w:left w:w="0" w:type="dxa"/>
              <w:right w:w="0" w:type="dxa"/>
            </w:tcMar>
            <w:vAlign w:val="center"/>
          </w:tcPr>
          <w:p w14:paraId="3B1F550C">
            <w:pPr>
              <w:pStyle w:val="34"/>
              <w:rPr>
                <w:u w:val="single"/>
              </w:rPr>
            </w:pPr>
            <w:r>
              <w:rPr>
                <w:rFonts w:hint="eastAsia"/>
                <w:u w:val="single"/>
              </w:rPr>
              <w:t>堆场</w:t>
            </w:r>
          </w:p>
        </w:tc>
      </w:tr>
      <w:tr w14:paraId="3EAAE0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Mar>
              <w:left w:w="0" w:type="dxa"/>
              <w:right w:w="0" w:type="dxa"/>
            </w:tcMar>
            <w:vAlign w:val="center"/>
          </w:tcPr>
          <w:p w14:paraId="22C67B04">
            <w:pPr>
              <w:pStyle w:val="34"/>
              <w:rPr>
                <w:u w:val="single"/>
              </w:rPr>
            </w:pPr>
            <w:r>
              <w:rPr>
                <w:u w:val="single"/>
              </w:rPr>
              <w:t>3</w:t>
            </w:r>
          </w:p>
        </w:tc>
        <w:tc>
          <w:tcPr>
            <w:tcW w:w="0" w:type="auto"/>
            <w:tcMar>
              <w:left w:w="0" w:type="dxa"/>
              <w:right w:w="0" w:type="dxa"/>
            </w:tcMar>
            <w:vAlign w:val="center"/>
          </w:tcPr>
          <w:p w14:paraId="336A15B5">
            <w:pPr>
              <w:pStyle w:val="34"/>
              <w:rPr>
                <w:u w:val="single"/>
              </w:rPr>
            </w:pPr>
            <w:r>
              <w:rPr>
                <w:rFonts w:hint="eastAsia"/>
                <w:u w:val="single"/>
              </w:rPr>
              <w:t>自动化集装箱轨道龙门吊</w:t>
            </w:r>
          </w:p>
        </w:tc>
        <w:tc>
          <w:tcPr>
            <w:tcW w:w="0" w:type="auto"/>
            <w:tcMar>
              <w:left w:w="0" w:type="dxa"/>
              <w:right w:w="0" w:type="dxa"/>
            </w:tcMar>
            <w:vAlign w:val="center"/>
          </w:tcPr>
          <w:p w14:paraId="3E3A5B21">
            <w:pPr>
              <w:pStyle w:val="34"/>
              <w:rPr>
                <w:u w:val="single"/>
              </w:rPr>
            </w:pPr>
            <w:r>
              <w:rPr>
                <w:rFonts w:hint="eastAsia"/>
                <w:u w:val="single"/>
                <w:lang w:bidi="ar"/>
              </w:rPr>
              <w:t>双悬臂，轨距</w:t>
            </w:r>
            <w:r>
              <w:rPr>
                <w:u w:val="single"/>
                <w:lang w:bidi="ar"/>
              </w:rPr>
              <w:t xml:space="preserve"> 40.5m</w:t>
            </w:r>
            <w:r>
              <w:rPr>
                <w:rFonts w:hint="eastAsia"/>
                <w:u w:val="single"/>
                <w:lang w:bidi="ar"/>
              </w:rPr>
              <w:t>，堆</w:t>
            </w:r>
            <w:r>
              <w:rPr>
                <w:u w:val="single"/>
                <w:lang w:bidi="ar"/>
              </w:rPr>
              <w:t xml:space="preserve"> 6 </w:t>
            </w:r>
            <w:r>
              <w:rPr>
                <w:rFonts w:hint="eastAsia"/>
                <w:u w:val="single"/>
                <w:lang w:bidi="ar"/>
              </w:rPr>
              <w:t>过</w:t>
            </w:r>
            <w:r>
              <w:rPr>
                <w:u w:val="single"/>
                <w:lang w:bidi="ar"/>
              </w:rPr>
              <w:t xml:space="preserve"> 7</w:t>
            </w:r>
            <w:r>
              <w:rPr>
                <w:rFonts w:hint="eastAsia"/>
                <w:u w:val="single"/>
                <w:lang w:bidi="ar"/>
              </w:rPr>
              <w:t>，有</w:t>
            </w:r>
            <w:r>
              <w:rPr>
                <w:rFonts w:hint="eastAsia"/>
                <w:u w:val="single"/>
              </w:rPr>
              <w:t>效外伸距</w:t>
            </w:r>
            <w:r>
              <w:rPr>
                <w:u w:val="single"/>
              </w:rPr>
              <w:t xml:space="preserve"> 4.7m</w:t>
            </w:r>
            <w:r>
              <w:rPr>
                <w:rFonts w:hint="eastAsia"/>
                <w:u w:val="single"/>
              </w:rPr>
              <w:t>，吊具下起重量</w:t>
            </w:r>
            <w:r>
              <w:rPr>
                <w:u w:val="single"/>
              </w:rPr>
              <w:t xml:space="preserve"> 50t</w:t>
            </w:r>
          </w:p>
        </w:tc>
        <w:tc>
          <w:tcPr>
            <w:tcW w:w="0" w:type="auto"/>
            <w:tcMar>
              <w:left w:w="0" w:type="dxa"/>
              <w:right w:w="0" w:type="dxa"/>
            </w:tcMar>
            <w:vAlign w:val="center"/>
          </w:tcPr>
          <w:p w14:paraId="5FC6DD00">
            <w:pPr>
              <w:pStyle w:val="34"/>
              <w:rPr>
                <w:u w:val="single"/>
              </w:rPr>
            </w:pPr>
            <w:r>
              <w:rPr>
                <w:rFonts w:hint="eastAsia"/>
                <w:u w:val="single"/>
              </w:rPr>
              <w:t>台</w:t>
            </w:r>
          </w:p>
        </w:tc>
        <w:tc>
          <w:tcPr>
            <w:tcW w:w="0" w:type="auto"/>
            <w:tcMar>
              <w:left w:w="0" w:type="dxa"/>
              <w:right w:w="0" w:type="dxa"/>
            </w:tcMar>
            <w:vAlign w:val="center"/>
          </w:tcPr>
          <w:p w14:paraId="6B1924EF">
            <w:pPr>
              <w:pStyle w:val="34"/>
              <w:rPr>
                <w:u w:val="single"/>
              </w:rPr>
            </w:pPr>
            <w:r>
              <w:rPr>
                <w:u w:val="single"/>
              </w:rPr>
              <w:t>1</w:t>
            </w:r>
          </w:p>
        </w:tc>
        <w:tc>
          <w:tcPr>
            <w:tcW w:w="0" w:type="auto"/>
            <w:tcMar>
              <w:left w:w="0" w:type="dxa"/>
              <w:right w:w="0" w:type="dxa"/>
            </w:tcMar>
            <w:vAlign w:val="center"/>
          </w:tcPr>
          <w:p w14:paraId="1251B921">
            <w:pPr>
              <w:pStyle w:val="34"/>
              <w:rPr>
                <w:u w:val="single"/>
              </w:rPr>
            </w:pPr>
            <w:r>
              <w:rPr>
                <w:rFonts w:hint="eastAsia"/>
                <w:u w:val="single"/>
              </w:rPr>
              <w:t>堆场</w:t>
            </w:r>
          </w:p>
        </w:tc>
      </w:tr>
      <w:tr w14:paraId="05C3D1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Mar>
              <w:left w:w="0" w:type="dxa"/>
              <w:right w:w="0" w:type="dxa"/>
            </w:tcMar>
            <w:vAlign w:val="center"/>
          </w:tcPr>
          <w:p w14:paraId="3C6637C5">
            <w:pPr>
              <w:pStyle w:val="34"/>
              <w:rPr>
                <w:u w:val="single"/>
              </w:rPr>
            </w:pPr>
            <w:r>
              <w:rPr>
                <w:u w:val="single"/>
              </w:rPr>
              <w:t>4</w:t>
            </w:r>
          </w:p>
        </w:tc>
        <w:tc>
          <w:tcPr>
            <w:tcW w:w="0" w:type="auto"/>
            <w:tcMar>
              <w:left w:w="0" w:type="dxa"/>
              <w:right w:w="0" w:type="dxa"/>
            </w:tcMar>
            <w:vAlign w:val="center"/>
          </w:tcPr>
          <w:p w14:paraId="38766738">
            <w:pPr>
              <w:pStyle w:val="34"/>
              <w:rPr>
                <w:u w:val="single"/>
              </w:rPr>
            </w:pPr>
            <w:r>
              <w:rPr>
                <w:rFonts w:hint="eastAsia"/>
                <w:u w:val="single"/>
              </w:rPr>
              <w:t>智能引导车（</w:t>
            </w:r>
            <w:r>
              <w:rPr>
                <w:u w:val="single"/>
              </w:rPr>
              <w:t>IGV</w:t>
            </w:r>
            <w:r>
              <w:rPr>
                <w:rFonts w:hint="eastAsia"/>
                <w:u w:val="single"/>
              </w:rPr>
              <w:t>）</w:t>
            </w:r>
          </w:p>
        </w:tc>
        <w:tc>
          <w:tcPr>
            <w:tcW w:w="0" w:type="auto"/>
            <w:tcMar>
              <w:left w:w="0" w:type="dxa"/>
              <w:right w:w="0" w:type="dxa"/>
            </w:tcMar>
            <w:vAlign w:val="center"/>
          </w:tcPr>
          <w:p w14:paraId="3162A357">
            <w:pPr>
              <w:pStyle w:val="34"/>
              <w:rPr>
                <w:u w:val="single"/>
              </w:rPr>
            </w:pPr>
            <w:r>
              <w:rPr>
                <w:rFonts w:hint="eastAsia"/>
                <w:u w:val="single"/>
              </w:rPr>
              <w:t>载</w:t>
            </w:r>
            <w:r>
              <w:rPr>
                <w:u w:val="single"/>
              </w:rPr>
              <w:t xml:space="preserve"> 1</w:t>
            </w:r>
            <w:r>
              <w:rPr>
                <w:rFonts w:hint="eastAsia"/>
                <w:u w:val="single"/>
              </w:rPr>
              <w:t>×</w:t>
            </w:r>
            <w:r>
              <w:rPr>
                <w:u w:val="single"/>
              </w:rPr>
              <w:t>40</w:t>
            </w:r>
            <w:r>
              <w:rPr>
                <w:rFonts w:hint="eastAsia"/>
                <w:u w:val="single"/>
              </w:rPr>
              <w:t>’</w:t>
            </w:r>
            <w:r>
              <w:rPr>
                <w:u w:val="single"/>
              </w:rPr>
              <w:t>/45</w:t>
            </w:r>
            <w:r>
              <w:rPr>
                <w:rFonts w:hint="eastAsia"/>
                <w:u w:val="single"/>
              </w:rPr>
              <w:t>’和</w:t>
            </w:r>
            <w:r>
              <w:rPr>
                <w:u w:val="single"/>
              </w:rPr>
              <w:t xml:space="preserve"> 2</w:t>
            </w:r>
            <w:r>
              <w:rPr>
                <w:rFonts w:hint="eastAsia"/>
                <w:u w:val="single"/>
              </w:rPr>
              <w:t>×</w:t>
            </w:r>
            <w:r>
              <w:rPr>
                <w:u w:val="single"/>
              </w:rPr>
              <w:t>20</w:t>
            </w:r>
            <w:r>
              <w:rPr>
                <w:rFonts w:hint="eastAsia"/>
                <w:u w:val="single"/>
              </w:rPr>
              <w:t>’箱</w:t>
            </w:r>
          </w:p>
        </w:tc>
        <w:tc>
          <w:tcPr>
            <w:tcW w:w="0" w:type="auto"/>
            <w:tcMar>
              <w:left w:w="0" w:type="dxa"/>
              <w:right w:w="0" w:type="dxa"/>
            </w:tcMar>
            <w:vAlign w:val="center"/>
          </w:tcPr>
          <w:p w14:paraId="30210BD6">
            <w:pPr>
              <w:pStyle w:val="34"/>
              <w:rPr>
                <w:u w:val="single"/>
              </w:rPr>
            </w:pPr>
            <w:r>
              <w:rPr>
                <w:rFonts w:hint="eastAsia"/>
                <w:u w:val="single"/>
              </w:rPr>
              <w:t>台</w:t>
            </w:r>
          </w:p>
        </w:tc>
        <w:tc>
          <w:tcPr>
            <w:tcW w:w="0" w:type="auto"/>
            <w:tcMar>
              <w:left w:w="0" w:type="dxa"/>
              <w:right w:w="0" w:type="dxa"/>
            </w:tcMar>
            <w:vAlign w:val="center"/>
          </w:tcPr>
          <w:p w14:paraId="7ECFD24D">
            <w:pPr>
              <w:pStyle w:val="34"/>
              <w:rPr>
                <w:u w:val="single"/>
              </w:rPr>
            </w:pPr>
            <w:r>
              <w:rPr>
                <w:u w:val="single"/>
              </w:rPr>
              <w:t>30</w:t>
            </w:r>
          </w:p>
        </w:tc>
        <w:tc>
          <w:tcPr>
            <w:tcW w:w="0" w:type="auto"/>
            <w:tcMar>
              <w:left w:w="0" w:type="dxa"/>
              <w:right w:w="0" w:type="dxa"/>
            </w:tcMar>
            <w:vAlign w:val="center"/>
          </w:tcPr>
          <w:p w14:paraId="4CF8C215">
            <w:pPr>
              <w:pStyle w:val="34"/>
              <w:rPr>
                <w:u w:val="single"/>
              </w:rPr>
            </w:pPr>
            <w:r>
              <w:rPr>
                <w:rFonts w:hint="eastAsia"/>
                <w:u w:val="single"/>
              </w:rPr>
              <w:t>港区内水平运输</w:t>
            </w:r>
          </w:p>
        </w:tc>
      </w:tr>
      <w:tr w14:paraId="22D811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Mar>
              <w:left w:w="0" w:type="dxa"/>
              <w:right w:w="0" w:type="dxa"/>
            </w:tcMar>
            <w:vAlign w:val="center"/>
          </w:tcPr>
          <w:p w14:paraId="4450B870">
            <w:pPr>
              <w:pStyle w:val="34"/>
              <w:rPr>
                <w:u w:val="single"/>
              </w:rPr>
            </w:pPr>
            <w:r>
              <w:rPr>
                <w:rFonts w:hint="eastAsia"/>
                <w:u w:val="single"/>
              </w:rPr>
              <w:t>5</w:t>
            </w:r>
          </w:p>
        </w:tc>
        <w:tc>
          <w:tcPr>
            <w:tcW w:w="0" w:type="auto"/>
            <w:tcMar>
              <w:left w:w="0" w:type="dxa"/>
              <w:right w:w="0" w:type="dxa"/>
            </w:tcMar>
            <w:vAlign w:val="center"/>
          </w:tcPr>
          <w:p w14:paraId="67C0768E">
            <w:pPr>
              <w:pStyle w:val="34"/>
              <w:rPr>
                <w:u w:val="single"/>
              </w:rPr>
            </w:pPr>
            <w:r>
              <w:rPr>
                <w:rFonts w:hint="eastAsia"/>
                <w:u w:val="single"/>
              </w:rPr>
              <w:t>其他</w:t>
            </w:r>
          </w:p>
        </w:tc>
        <w:tc>
          <w:tcPr>
            <w:tcW w:w="0" w:type="auto"/>
            <w:tcMar>
              <w:left w:w="0" w:type="dxa"/>
              <w:right w:w="0" w:type="dxa"/>
            </w:tcMar>
            <w:vAlign w:val="center"/>
          </w:tcPr>
          <w:p w14:paraId="5D910591">
            <w:pPr>
              <w:pStyle w:val="34"/>
              <w:rPr>
                <w:u w:val="single"/>
              </w:rPr>
            </w:pPr>
            <w:r>
              <w:rPr>
                <w:rFonts w:hint="eastAsia"/>
                <w:u w:val="single"/>
              </w:rPr>
              <w:t>含地面划线及标志牌</w:t>
            </w:r>
          </w:p>
        </w:tc>
        <w:tc>
          <w:tcPr>
            <w:tcW w:w="0" w:type="auto"/>
            <w:tcMar>
              <w:left w:w="0" w:type="dxa"/>
              <w:right w:w="0" w:type="dxa"/>
            </w:tcMar>
            <w:vAlign w:val="center"/>
          </w:tcPr>
          <w:p w14:paraId="1F8F7FAB">
            <w:pPr>
              <w:pStyle w:val="34"/>
              <w:rPr>
                <w:u w:val="single"/>
              </w:rPr>
            </w:pPr>
            <w:r>
              <w:rPr>
                <w:rFonts w:hint="eastAsia"/>
                <w:u w:val="single"/>
              </w:rPr>
              <w:t>项</w:t>
            </w:r>
          </w:p>
        </w:tc>
        <w:tc>
          <w:tcPr>
            <w:tcW w:w="0" w:type="auto"/>
            <w:tcMar>
              <w:left w:w="0" w:type="dxa"/>
              <w:right w:w="0" w:type="dxa"/>
            </w:tcMar>
            <w:vAlign w:val="center"/>
          </w:tcPr>
          <w:p w14:paraId="5F217D7D">
            <w:pPr>
              <w:pStyle w:val="34"/>
              <w:rPr>
                <w:u w:val="single"/>
              </w:rPr>
            </w:pPr>
            <w:r>
              <w:rPr>
                <w:u w:val="single"/>
              </w:rPr>
              <w:t>1</w:t>
            </w:r>
          </w:p>
        </w:tc>
        <w:tc>
          <w:tcPr>
            <w:tcW w:w="0" w:type="auto"/>
            <w:tcMar>
              <w:left w:w="0" w:type="dxa"/>
              <w:right w:w="0" w:type="dxa"/>
            </w:tcMar>
            <w:vAlign w:val="center"/>
          </w:tcPr>
          <w:p w14:paraId="27DC3988">
            <w:pPr>
              <w:pStyle w:val="34"/>
              <w:rPr>
                <w:u w:val="single"/>
              </w:rPr>
            </w:pPr>
          </w:p>
        </w:tc>
      </w:tr>
    </w:tbl>
    <w:p w14:paraId="561EADF1">
      <w:pPr>
        <w:pStyle w:val="6"/>
      </w:pPr>
      <w:r>
        <w:rPr>
          <w:rFonts w:hint="eastAsia"/>
        </w:rPr>
        <w:t>堆场容量及地面箱位数</w:t>
      </w:r>
    </w:p>
    <w:p w14:paraId="7203E73D">
      <w:pPr>
        <w:adjustRightInd w:val="0"/>
        <w:ind w:firstLine="462"/>
      </w:pPr>
      <w:r>
        <w:rPr>
          <w:rFonts w:hint="eastAsia" w:cs="宋体"/>
          <w:bCs/>
          <w:lang w:bidi="ar"/>
        </w:rPr>
        <w:t>本工程建成后集装箱堆场与已建</w:t>
      </w:r>
      <w:r>
        <w:rPr>
          <w:bCs/>
          <w:lang w:bidi="ar"/>
        </w:rPr>
        <w:t>7</w:t>
      </w:r>
      <w:r>
        <w:rPr>
          <w:rFonts w:hint="eastAsia" w:cs="宋体"/>
          <w:bCs/>
          <w:lang w:bidi="ar"/>
        </w:rPr>
        <w:t>号</w:t>
      </w:r>
      <w:r>
        <w:rPr>
          <w:bCs/>
          <w:lang w:bidi="ar"/>
        </w:rPr>
        <w:t>-10</w:t>
      </w:r>
      <w:r>
        <w:rPr>
          <w:rFonts w:hint="eastAsia" w:cs="宋体"/>
          <w:bCs/>
          <w:lang w:bidi="ar"/>
        </w:rPr>
        <w:t>号泊位及拟建</w:t>
      </w:r>
      <w:r>
        <w:rPr>
          <w:bCs/>
          <w:lang w:bidi="ar"/>
        </w:rPr>
        <w:t>9</w:t>
      </w:r>
      <w:r>
        <w:rPr>
          <w:rFonts w:hint="eastAsia" w:cs="宋体"/>
          <w:bCs/>
          <w:lang w:bidi="ar"/>
        </w:rPr>
        <w:t>号</w:t>
      </w:r>
      <w:r>
        <w:rPr>
          <w:bCs/>
          <w:lang w:bidi="ar"/>
        </w:rPr>
        <w:t>10</w:t>
      </w:r>
      <w:r>
        <w:rPr>
          <w:rFonts w:hint="eastAsia" w:cs="宋体"/>
          <w:bCs/>
          <w:lang w:bidi="ar"/>
        </w:rPr>
        <w:t>号泊位扩建工程一体化运营。本工程新增</w:t>
      </w:r>
      <w:r>
        <w:rPr>
          <w:bCs/>
          <w:lang w:bidi="ar"/>
        </w:rPr>
        <w:t xml:space="preserve"> 3 </w:t>
      </w:r>
      <w:r>
        <w:rPr>
          <w:rFonts w:hint="eastAsia" w:cs="宋体"/>
          <w:bCs/>
          <w:lang w:bidi="ar"/>
        </w:rPr>
        <w:t>条自动化集装箱堆场，新增堆场与</w:t>
      </w:r>
      <w:r>
        <w:rPr>
          <w:bCs/>
          <w:lang w:bidi="ar"/>
        </w:rPr>
        <w:t>7</w:t>
      </w:r>
      <w:r>
        <w:rPr>
          <w:rFonts w:hint="eastAsia" w:cs="宋体"/>
          <w:bCs/>
          <w:lang w:bidi="ar"/>
        </w:rPr>
        <w:t>号</w:t>
      </w:r>
      <w:r>
        <w:rPr>
          <w:bCs/>
          <w:lang w:bidi="ar"/>
        </w:rPr>
        <w:t>-10</w:t>
      </w:r>
      <w:r>
        <w:rPr>
          <w:rFonts w:hint="eastAsia" w:cs="宋体"/>
          <w:bCs/>
          <w:lang w:bidi="ar"/>
        </w:rPr>
        <w:t>号堆场能力统筹考虑，布置堆场容量和地面箱位如下表所示：</w:t>
      </w:r>
    </w:p>
    <w:p w14:paraId="1ACB168F">
      <w:pPr>
        <w:pStyle w:val="7"/>
      </w:pPr>
      <w:r>
        <w:rPr>
          <w:rFonts w:hint="eastAsia"/>
        </w:rPr>
        <w:t>堆场容量和地面箱位数一览表</w:t>
      </w:r>
      <w:r>
        <w:t xml:space="preserve">       </w:t>
      </w:r>
      <w:r>
        <w:rPr>
          <w:rFonts w:hint="eastAsia"/>
        </w:rPr>
        <w:t>单位：</w:t>
      </w:r>
      <w:r>
        <w:t>TEU</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48"/>
        <w:gridCol w:w="625"/>
        <w:gridCol w:w="851"/>
        <w:gridCol w:w="1275"/>
        <w:gridCol w:w="1560"/>
        <w:gridCol w:w="2768"/>
      </w:tblGrid>
      <w:tr w14:paraId="7B59BA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tcBorders>
              <w:top w:val="single" w:color="auto" w:sz="12" w:space="0"/>
              <w:left w:val="single" w:color="auto" w:sz="12" w:space="0"/>
              <w:bottom w:val="single" w:color="auto" w:sz="6" w:space="0"/>
              <w:right w:val="single" w:color="auto" w:sz="6" w:space="0"/>
            </w:tcBorders>
            <w:tcMar>
              <w:left w:w="0" w:type="dxa"/>
              <w:right w:w="0" w:type="dxa"/>
            </w:tcMar>
            <w:vAlign w:val="center"/>
          </w:tcPr>
          <w:p w14:paraId="7C2D281D">
            <w:pPr>
              <w:pStyle w:val="34"/>
            </w:pPr>
            <w:r>
              <w:rPr>
                <w:rFonts w:hint="eastAsia"/>
              </w:rPr>
              <w:t>项目</w:t>
            </w:r>
          </w:p>
        </w:tc>
        <w:tc>
          <w:tcPr>
            <w:tcW w:w="625" w:type="dxa"/>
            <w:tcBorders>
              <w:top w:val="single" w:color="auto" w:sz="12" w:space="0"/>
              <w:left w:val="single" w:color="auto" w:sz="6" w:space="0"/>
              <w:bottom w:val="single" w:color="auto" w:sz="6" w:space="0"/>
              <w:right w:val="single" w:color="auto" w:sz="6" w:space="0"/>
            </w:tcBorders>
            <w:tcMar>
              <w:left w:w="0" w:type="dxa"/>
              <w:right w:w="0" w:type="dxa"/>
            </w:tcMar>
            <w:vAlign w:val="center"/>
          </w:tcPr>
          <w:p w14:paraId="6B68DB44">
            <w:pPr>
              <w:pStyle w:val="34"/>
            </w:pPr>
            <w:r>
              <w:rPr>
                <w:rFonts w:hint="eastAsia"/>
              </w:rPr>
              <w:t>重箱</w:t>
            </w:r>
          </w:p>
        </w:tc>
        <w:tc>
          <w:tcPr>
            <w:tcW w:w="851" w:type="dxa"/>
            <w:tcBorders>
              <w:top w:val="single" w:color="auto" w:sz="12" w:space="0"/>
              <w:left w:val="single" w:color="auto" w:sz="6" w:space="0"/>
              <w:bottom w:val="single" w:color="auto" w:sz="6" w:space="0"/>
              <w:right w:val="single" w:color="auto" w:sz="6" w:space="0"/>
            </w:tcBorders>
            <w:tcMar>
              <w:left w:w="0" w:type="dxa"/>
              <w:right w:w="0" w:type="dxa"/>
            </w:tcMar>
            <w:vAlign w:val="center"/>
          </w:tcPr>
          <w:p w14:paraId="30B0ADED">
            <w:pPr>
              <w:pStyle w:val="34"/>
            </w:pPr>
            <w:r>
              <w:rPr>
                <w:rFonts w:hint="eastAsia"/>
              </w:rPr>
              <w:t>空箱</w:t>
            </w:r>
          </w:p>
        </w:tc>
        <w:tc>
          <w:tcPr>
            <w:tcW w:w="1275" w:type="dxa"/>
            <w:tcBorders>
              <w:top w:val="single" w:color="auto" w:sz="12" w:space="0"/>
              <w:left w:val="single" w:color="auto" w:sz="6" w:space="0"/>
              <w:bottom w:val="single" w:color="auto" w:sz="6" w:space="0"/>
              <w:right w:val="single" w:color="auto" w:sz="6" w:space="0"/>
            </w:tcBorders>
            <w:tcMar>
              <w:left w:w="0" w:type="dxa"/>
              <w:right w:w="0" w:type="dxa"/>
            </w:tcMar>
            <w:vAlign w:val="center"/>
          </w:tcPr>
          <w:p w14:paraId="050D1812">
            <w:pPr>
              <w:pStyle w:val="34"/>
            </w:pPr>
            <w:r>
              <w:rPr>
                <w:rFonts w:hint="eastAsia"/>
              </w:rPr>
              <w:t>冷藏箱</w:t>
            </w:r>
          </w:p>
        </w:tc>
        <w:tc>
          <w:tcPr>
            <w:tcW w:w="1560" w:type="dxa"/>
            <w:tcBorders>
              <w:top w:val="single" w:color="auto" w:sz="12" w:space="0"/>
              <w:left w:val="single" w:color="auto" w:sz="6" w:space="0"/>
              <w:bottom w:val="single" w:color="auto" w:sz="6" w:space="0"/>
              <w:right w:val="single" w:color="auto" w:sz="6" w:space="0"/>
            </w:tcBorders>
            <w:tcMar>
              <w:left w:w="0" w:type="dxa"/>
              <w:right w:w="0" w:type="dxa"/>
            </w:tcMar>
            <w:vAlign w:val="center"/>
          </w:tcPr>
          <w:p w14:paraId="62611C24">
            <w:pPr>
              <w:pStyle w:val="34"/>
            </w:pPr>
            <w:r>
              <w:rPr>
                <w:rFonts w:hint="eastAsia"/>
              </w:rPr>
              <w:t>危险货物集装箱</w:t>
            </w:r>
          </w:p>
        </w:tc>
        <w:tc>
          <w:tcPr>
            <w:tcW w:w="2768" w:type="dxa"/>
            <w:tcBorders>
              <w:top w:val="single" w:color="auto" w:sz="12" w:space="0"/>
              <w:left w:val="single" w:color="auto" w:sz="6" w:space="0"/>
              <w:bottom w:val="single" w:color="auto" w:sz="6" w:space="0"/>
              <w:right w:val="single" w:color="auto" w:sz="12" w:space="0"/>
            </w:tcBorders>
            <w:tcMar>
              <w:left w:w="0" w:type="dxa"/>
              <w:right w:w="0" w:type="dxa"/>
            </w:tcMar>
            <w:vAlign w:val="center"/>
          </w:tcPr>
          <w:p w14:paraId="4281745C">
            <w:pPr>
              <w:pStyle w:val="34"/>
            </w:pPr>
            <w:r>
              <w:rPr>
                <w:rFonts w:hint="eastAsia"/>
              </w:rPr>
              <w:t>备注</w:t>
            </w:r>
          </w:p>
        </w:tc>
      </w:tr>
      <w:tr w14:paraId="511DA7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7" w:hRule="atLeast"/>
        </w:trPr>
        <w:tc>
          <w:tcPr>
            <w:tcW w:w="0" w:type="auto"/>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3C5E1C9C">
            <w:pPr>
              <w:pStyle w:val="34"/>
            </w:pPr>
            <w:r>
              <w:rPr>
                <w:rFonts w:hint="eastAsia"/>
              </w:rPr>
              <w:t>实际布置地面箱位数</w:t>
            </w:r>
          </w:p>
        </w:tc>
        <w:tc>
          <w:tcPr>
            <w:tcW w:w="1476" w:type="dxa"/>
            <w:gridSpan w:val="2"/>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17C63D1">
            <w:pPr>
              <w:pStyle w:val="34"/>
            </w:pPr>
            <w:r>
              <w:t>19904</w:t>
            </w:r>
          </w:p>
        </w:tc>
        <w:tc>
          <w:tcPr>
            <w:tcW w:w="1275" w:type="dxa"/>
            <w:tcBorders>
              <w:top w:val="single" w:color="auto" w:sz="6" w:space="0"/>
              <w:left w:val="single" w:color="auto" w:sz="6" w:space="0"/>
              <w:bottom w:val="single" w:color="auto" w:sz="6" w:space="0"/>
              <w:right w:val="single" w:color="auto" w:sz="6" w:space="0"/>
            </w:tcBorders>
            <w:tcMar>
              <w:left w:w="0" w:type="dxa"/>
              <w:right w:w="0" w:type="dxa"/>
            </w:tcMar>
            <w:vAlign w:val="center"/>
          </w:tcPr>
          <w:p w14:paraId="1C0E05EC">
            <w:pPr>
              <w:pStyle w:val="34"/>
            </w:pPr>
            <w:r>
              <w:rPr>
                <w:rFonts w:hint="eastAsia"/>
              </w:rPr>
              <w:t>408</w:t>
            </w:r>
          </w:p>
        </w:tc>
        <w:tc>
          <w:tcPr>
            <w:tcW w:w="1560" w:type="dxa"/>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105DCAA">
            <w:pPr>
              <w:pStyle w:val="34"/>
            </w:pPr>
            <w:r>
              <w:rPr>
                <w:rFonts w:hint="eastAsia"/>
              </w:rPr>
              <w:t>342</w:t>
            </w:r>
          </w:p>
        </w:tc>
        <w:tc>
          <w:tcPr>
            <w:tcW w:w="2768" w:type="dxa"/>
            <w:vMerge w:val="restart"/>
            <w:tcBorders>
              <w:top w:val="single" w:color="auto" w:sz="6" w:space="0"/>
              <w:left w:val="single" w:color="auto" w:sz="6" w:space="0"/>
              <w:bottom w:val="single" w:color="auto" w:sz="12" w:space="0"/>
              <w:right w:val="single" w:color="auto" w:sz="12" w:space="0"/>
            </w:tcBorders>
            <w:tcMar>
              <w:left w:w="0" w:type="dxa"/>
              <w:right w:w="0" w:type="dxa"/>
            </w:tcMar>
            <w:vAlign w:val="center"/>
          </w:tcPr>
          <w:p w14:paraId="38EF585D">
            <w:pPr>
              <w:pStyle w:val="34"/>
            </w:pPr>
            <w:r>
              <w:rPr>
                <w:rFonts w:hint="eastAsia"/>
              </w:rPr>
              <w:t>本工程新增普通重、空箱地面箱位</w:t>
            </w:r>
            <w:r>
              <w:t xml:space="preserve"> </w:t>
            </w:r>
            <w:r>
              <w:rPr>
                <w:rFonts w:hint="eastAsia"/>
              </w:rPr>
              <w:t>1961</w:t>
            </w:r>
            <w:r>
              <w:t>TEU</w:t>
            </w:r>
            <w:r>
              <w:rPr>
                <w:rFonts w:hint="eastAsia"/>
              </w:rPr>
              <w:t>；危险货物集装箱全部为本工程新增。</w:t>
            </w:r>
          </w:p>
        </w:tc>
      </w:tr>
      <w:tr w14:paraId="11E2FA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tcBorders>
              <w:top w:val="single" w:color="auto" w:sz="6" w:space="0"/>
              <w:left w:val="single" w:color="auto" w:sz="12" w:space="0"/>
              <w:bottom w:val="single" w:color="auto" w:sz="12" w:space="0"/>
              <w:right w:val="single" w:color="auto" w:sz="6" w:space="0"/>
            </w:tcBorders>
            <w:tcMar>
              <w:left w:w="0" w:type="dxa"/>
              <w:right w:w="0" w:type="dxa"/>
            </w:tcMar>
            <w:vAlign w:val="center"/>
          </w:tcPr>
          <w:p w14:paraId="79AEB5EE">
            <w:pPr>
              <w:pStyle w:val="34"/>
            </w:pPr>
            <w:r>
              <w:rPr>
                <w:rFonts w:hint="eastAsia"/>
              </w:rPr>
              <w:t>实际所需堆场容量</w:t>
            </w:r>
          </w:p>
        </w:tc>
        <w:tc>
          <w:tcPr>
            <w:tcW w:w="1476" w:type="dxa"/>
            <w:gridSpan w:val="2"/>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3E8657A8">
            <w:pPr>
              <w:pStyle w:val="34"/>
            </w:pPr>
            <w:r>
              <w:t>82397</w:t>
            </w:r>
          </w:p>
        </w:tc>
        <w:tc>
          <w:tcPr>
            <w:tcW w:w="1275" w:type="dxa"/>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42DDACF6">
            <w:pPr>
              <w:pStyle w:val="34"/>
            </w:pPr>
            <w:r>
              <w:t>1326</w:t>
            </w:r>
          </w:p>
        </w:tc>
        <w:tc>
          <w:tcPr>
            <w:tcW w:w="1560" w:type="dxa"/>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4D41268B">
            <w:pPr>
              <w:pStyle w:val="34"/>
            </w:pPr>
            <w:r>
              <w:t>410</w:t>
            </w:r>
          </w:p>
        </w:tc>
        <w:tc>
          <w:tcPr>
            <w:tcW w:w="2768" w:type="dxa"/>
            <w:vMerge w:val="continue"/>
            <w:tcBorders>
              <w:top w:val="single" w:color="auto" w:sz="6" w:space="0"/>
              <w:left w:val="single" w:color="auto" w:sz="6" w:space="0"/>
              <w:bottom w:val="single" w:color="auto" w:sz="12" w:space="0"/>
              <w:right w:val="single" w:color="auto" w:sz="12" w:space="0"/>
            </w:tcBorders>
            <w:tcMar>
              <w:left w:w="0" w:type="dxa"/>
              <w:right w:w="0" w:type="dxa"/>
            </w:tcMar>
            <w:vAlign w:val="center"/>
          </w:tcPr>
          <w:p w14:paraId="57707FC8">
            <w:pPr>
              <w:pStyle w:val="34"/>
              <w:rPr>
                <w:sz w:val="20"/>
                <w:szCs w:val="20"/>
              </w:rPr>
            </w:pPr>
          </w:p>
        </w:tc>
      </w:tr>
    </w:tbl>
    <w:p w14:paraId="3BD71DE2">
      <w:pPr>
        <w:pStyle w:val="5"/>
      </w:pPr>
      <w:r>
        <w:rPr>
          <w:rFonts w:hint="eastAsia"/>
        </w:rPr>
        <w:t>地基处理</w:t>
      </w:r>
    </w:p>
    <w:p w14:paraId="2E518D0E">
      <w:pPr>
        <w:adjustRightInd w:val="0"/>
        <w:ind w:firstLine="462"/>
      </w:pPr>
      <w:r>
        <w:rPr>
          <w:rFonts w:hint="eastAsia" w:cs="宋体"/>
          <w:bCs/>
          <w:lang w:bidi="ar"/>
        </w:rPr>
        <w:t>项目陆域完全利用北部湾港钦州港域大榄坪港区大榄坪南作业区</w:t>
      </w:r>
      <w:r>
        <w:rPr>
          <w:bCs/>
          <w:lang w:bidi="ar"/>
        </w:rPr>
        <w:t>9</w:t>
      </w:r>
      <w:r>
        <w:rPr>
          <w:rFonts w:hint="eastAsia" w:cs="宋体"/>
          <w:bCs/>
          <w:lang w:bidi="ar"/>
        </w:rPr>
        <w:t>号</w:t>
      </w:r>
      <w:r>
        <w:rPr>
          <w:bCs/>
          <w:lang w:bidi="ar"/>
        </w:rPr>
        <w:t>10</w:t>
      </w:r>
      <w:r>
        <w:rPr>
          <w:rFonts w:hint="eastAsia" w:cs="宋体"/>
          <w:bCs/>
          <w:lang w:bidi="ar"/>
        </w:rPr>
        <w:t>号泊位扩建工程后方陆域，</w:t>
      </w:r>
      <w:r>
        <w:rPr>
          <w:rFonts w:hint="eastAsia"/>
        </w:rPr>
        <w:t>项目场地地质条件具备以下特点：一是软土分布不均匀，场地西部软土较厚，东部软土厚度小或无软土。二是人工填土层的形成时间和回填材料有差别，更早成陆的东部场地回填料主要是中砂，拟在9号10号泊位扩建工程中形成陆域的西部场地有较大面积区域的回填料采用了砂混淤泥。三是南部区域的天然地基在码头结构施工中需进行开挖换填。根据地质条件对场地进行分区处理，其中软基处理采用</w:t>
      </w:r>
      <w:bookmarkStart w:id="231" w:name="OLE_LINK56"/>
      <w:r>
        <w:rPr>
          <w:rFonts w:hint="eastAsia"/>
        </w:rPr>
        <w:t>堆载预压</w:t>
      </w:r>
      <w:bookmarkEnd w:id="231"/>
      <w:r>
        <w:rPr>
          <w:rFonts w:hint="eastAsia"/>
        </w:rPr>
        <w:t>方案、深厚回填砂采用强夯方案处理、邻近已建构筑物的回填砂采用振冲密实方案处理。</w:t>
      </w:r>
    </w:p>
    <w:p w14:paraId="099D23D6">
      <w:pPr>
        <w:pStyle w:val="5"/>
      </w:pPr>
      <w:r>
        <w:rPr>
          <w:rFonts w:hint="eastAsia"/>
        </w:rPr>
        <w:t>道路及堆场</w:t>
      </w:r>
    </w:p>
    <w:p w14:paraId="50B33889">
      <w:pPr>
        <w:pStyle w:val="6"/>
        <w:rPr>
          <w:rFonts w:cs="宋体"/>
          <w:bCs w:val="0"/>
          <w:lang w:bidi="ar"/>
        </w:rPr>
      </w:pPr>
      <w:r>
        <w:rPr>
          <w:rFonts w:hint="eastAsia" w:cs="宋体"/>
          <w:bCs w:val="0"/>
          <w:lang w:bidi="ar"/>
        </w:rPr>
        <w:t>主要结构</w:t>
      </w:r>
    </w:p>
    <w:p w14:paraId="284F2B21">
      <w:pPr>
        <w:adjustRightInd w:val="0"/>
        <w:ind w:firstLine="462"/>
        <w:rPr>
          <w:rFonts w:cs="宋体"/>
          <w:bCs/>
          <w:lang w:bidi="ar"/>
        </w:rPr>
      </w:pPr>
      <w:r>
        <w:rPr>
          <w:rFonts w:hint="eastAsia" w:cs="宋体"/>
          <w:bCs/>
          <w:lang w:bidi="ar"/>
        </w:rPr>
        <w:t>根据总平面布置及装卸工艺设计要求，本工程道路、堆场工程主要为港区道路、普通集装箱重箱堆场及危货堆场（第</w:t>
      </w:r>
      <w:r>
        <w:rPr>
          <w:bCs/>
          <w:lang w:bidi="ar"/>
        </w:rPr>
        <w:t>23~25</w:t>
      </w:r>
      <w:r>
        <w:rPr>
          <w:rFonts w:hint="eastAsia" w:cs="宋体"/>
          <w:bCs/>
          <w:lang w:bidi="ar"/>
        </w:rPr>
        <w:t>号堆场）、码头前沿作业地带（包括</w:t>
      </w:r>
      <w:r>
        <w:rPr>
          <w:bCs/>
          <w:lang w:bidi="ar"/>
        </w:rPr>
        <w:t>IGV</w:t>
      </w:r>
      <w:r>
        <w:rPr>
          <w:rFonts w:hint="eastAsia" w:cs="宋体"/>
          <w:bCs/>
          <w:lang w:bidi="ar"/>
        </w:rPr>
        <w:t>快速行车道、特殊箱通道、轨后</w:t>
      </w:r>
      <w:r>
        <w:rPr>
          <w:bCs/>
          <w:lang w:bidi="ar"/>
        </w:rPr>
        <w:t xml:space="preserve"> IGV </w:t>
      </w:r>
      <w:r>
        <w:rPr>
          <w:rFonts w:hint="eastAsia" w:cs="宋体"/>
          <w:bCs/>
          <w:lang w:bidi="ar"/>
        </w:rPr>
        <w:t>装卸作业车道等）。</w:t>
      </w:r>
    </w:p>
    <w:p w14:paraId="414E6877">
      <w:pPr>
        <w:adjustRightInd w:val="0"/>
        <w:ind w:firstLine="462"/>
        <w:rPr>
          <w:rFonts w:cs="宋体"/>
          <w:bCs/>
          <w:lang w:bidi="ar"/>
        </w:rPr>
      </w:pPr>
      <w:r>
        <w:rPr>
          <w:rFonts w:hint="eastAsia" w:cs="宋体"/>
          <w:bCs/>
          <w:lang w:bidi="ar"/>
        </w:rPr>
        <w:t>1、港区主干道</w:t>
      </w:r>
    </w:p>
    <w:p w14:paraId="2FF34191">
      <w:pPr>
        <w:adjustRightInd w:val="0"/>
        <w:ind w:firstLine="462"/>
        <w:rPr>
          <w:rFonts w:cs="宋体"/>
          <w:bCs/>
          <w:lang w:bidi="ar"/>
        </w:rPr>
      </w:pPr>
      <w:r>
        <w:rPr>
          <w:rFonts w:hint="eastAsia" w:cs="宋体"/>
          <w:bCs/>
          <w:lang w:bidi="ar"/>
        </w:rPr>
        <w:t>采用现浇水泥混凝土铺面结构。结构层分别为：36cm厚现浇水泥混凝土面层、20cm厚水泥稳定碎石基层、20cm厚级配碎石底基层，地基压实。</w:t>
      </w:r>
    </w:p>
    <w:p w14:paraId="4510C764">
      <w:pPr>
        <w:adjustRightInd w:val="0"/>
        <w:ind w:firstLine="462"/>
        <w:rPr>
          <w:rFonts w:cs="宋体"/>
          <w:bCs/>
          <w:lang w:bidi="ar"/>
        </w:rPr>
      </w:pPr>
      <w:bookmarkStart w:id="232" w:name="OLE_LINK24"/>
      <w:r>
        <w:rPr>
          <w:rFonts w:hint="eastAsia" w:cs="宋体"/>
          <w:bCs/>
          <w:lang w:bidi="ar"/>
        </w:rPr>
        <w:t>2、重箱堆场</w:t>
      </w:r>
    </w:p>
    <w:bookmarkEnd w:id="232"/>
    <w:p w14:paraId="0CADB271">
      <w:pPr>
        <w:adjustRightInd w:val="0"/>
        <w:ind w:firstLine="462"/>
        <w:rPr>
          <w:rFonts w:cs="宋体"/>
          <w:bCs/>
          <w:lang w:bidi="ar"/>
        </w:rPr>
      </w:pPr>
      <w:bookmarkStart w:id="233" w:name="OLE_LINK25"/>
      <w:r>
        <w:rPr>
          <w:rFonts w:hint="eastAsia" w:cs="宋体"/>
          <w:bCs/>
          <w:lang w:bidi="ar"/>
        </w:rPr>
        <w:t>轨道基础：</w:t>
      </w:r>
      <w:bookmarkEnd w:id="233"/>
      <w:r>
        <w:rPr>
          <w:rFonts w:hint="eastAsia" w:cs="宋体"/>
          <w:bCs/>
          <w:lang w:bidi="ar"/>
        </w:rPr>
        <w:t>采用整体性好、沉降变形小、后期维护少的PHC桩基轨道梁。其结构型式为：1.4m高×0.8m宽现浇钢筋混凝土梁，10cm厚C15贫混凝土垫层，基础采用φ600PHC管桩。钢轨采用QU100，扣件采用柔性轨道固定系统，并考虑在钢轨中心处设置止挡结构，减少钢轨纵向位移。</w:t>
      </w:r>
    </w:p>
    <w:p w14:paraId="2A61D36F">
      <w:pPr>
        <w:adjustRightInd w:val="0"/>
        <w:ind w:firstLine="462"/>
        <w:rPr>
          <w:rFonts w:cs="宋体"/>
          <w:bCs/>
          <w:lang w:bidi="ar"/>
        </w:rPr>
      </w:pPr>
      <w:bookmarkStart w:id="234" w:name="OLE_LINK26"/>
      <w:r>
        <w:rPr>
          <w:rFonts w:hint="eastAsia" w:cs="宋体"/>
          <w:bCs/>
          <w:lang w:bidi="ar"/>
        </w:rPr>
        <w:t>堆箱区：</w:t>
      </w:r>
      <w:bookmarkEnd w:id="234"/>
      <w:r>
        <w:rPr>
          <w:rFonts w:hint="eastAsia" w:cs="宋体"/>
          <w:bCs/>
          <w:lang w:bidi="ar"/>
        </w:rPr>
        <w:t>采用箱角基础+箱角间区现浇混凝土简易铺面。箱角基础宽度根据箱位摆放和结构需要进行设计，其中以宽1.6m为主。箱角基础结构层分别为：45cm厚现浇C40钢筋混凝土箱角梁、10cm厚C15贫混凝土垫层、梁下基础采用φ500PHC管桩。</w:t>
      </w:r>
    </w:p>
    <w:p w14:paraId="41201B6E">
      <w:pPr>
        <w:adjustRightInd w:val="0"/>
        <w:ind w:firstLine="462"/>
        <w:rPr>
          <w:rFonts w:cs="宋体"/>
          <w:bCs/>
          <w:lang w:bidi="ar"/>
        </w:rPr>
      </w:pPr>
      <w:r>
        <w:rPr>
          <w:rFonts w:hint="eastAsia" w:cs="宋体"/>
          <w:bCs/>
          <w:lang w:bidi="ar"/>
        </w:rPr>
        <w:t>IGV车道：现浇混凝土铺面结构，结构层分别为：36cm厚现浇水泥混凝土面层、20cm厚水泥稳定碎石基层、20cm厚级配碎石底基层，地基压实。</w:t>
      </w:r>
    </w:p>
    <w:p w14:paraId="77D40581">
      <w:pPr>
        <w:adjustRightInd w:val="0"/>
        <w:ind w:firstLine="462"/>
        <w:rPr>
          <w:rFonts w:cs="宋体"/>
          <w:bCs/>
          <w:lang w:bidi="ar"/>
        </w:rPr>
      </w:pPr>
      <w:r>
        <w:rPr>
          <w:rFonts w:hint="eastAsia" w:cs="宋体"/>
          <w:bCs/>
          <w:lang w:bidi="ar"/>
        </w:rPr>
        <w:t>外集卡车道：现浇混凝土铺面结构，结构层分别为：34cm厚现浇水泥混凝土面层、20cm厚水泥稳定碎石基层、20cm厚级配碎石底基层，地基压实。</w:t>
      </w:r>
    </w:p>
    <w:p w14:paraId="496B6DBD">
      <w:pPr>
        <w:adjustRightInd w:val="0"/>
        <w:ind w:firstLine="462"/>
        <w:rPr>
          <w:rFonts w:cs="宋体"/>
          <w:bCs/>
          <w:lang w:bidi="ar"/>
        </w:rPr>
      </w:pPr>
      <w:r>
        <w:rPr>
          <w:rFonts w:hint="eastAsia" w:cs="宋体"/>
          <w:bCs/>
          <w:lang w:bidi="ar"/>
        </w:rPr>
        <w:t>3、危险货物集装箱堆场</w:t>
      </w:r>
    </w:p>
    <w:p w14:paraId="17E62AC2">
      <w:pPr>
        <w:adjustRightInd w:val="0"/>
        <w:ind w:firstLine="462"/>
        <w:rPr>
          <w:rFonts w:cs="宋体"/>
          <w:bCs/>
          <w:lang w:bidi="ar"/>
        </w:rPr>
      </w:pPr>
      <w:r>
        <w:rPr>
          <w:rFonts w:hint="eastAsia" w:cs="宋体"/>
          <w:bCs/>
          <w:lang w:bidi="ar"/>
        </w:rPr>
        <w:t>轨道基础：同普通重箱堆场。</w:t>
      </w:r>
    </w:p>
    <w:p w14:paraId="1E4A4018">
      <w:pPr>
        <w:adjustRightInd w:val="0"/>
        <w:ind w:firstLine="462"/>
        <w:rPr>
          <w:rFonts w:cs="宋体"/>
          <w:bCs/>
          <w:lang w:bidi="ar"/>
        </w:rPr>
      </w:pPr>
      <w:r>
        <w:rPr>
          <w:rFonts w:hint="eastAsia" w:cs="宋体"/>
          <w:bCs/>
          <w:lang w:bidi="ar"/>
        </w:rPr>
        <w:t>堆箱区：钢筋混凝土条形箱角基础+箱角间区现浇混凝土铺面方案。箱角基础结构同普通重箱堆场；箱角间区采用现浇防渗混凝土铺面，根据受力特点和大小，采用不同的面层厚度。结构层分别为：现浇防渗水泥混凝土面层，HDPE防渗膜，水泥稳定碎石基层及级配碎石底基层，地基压实。</w:t>
      </w:r>
    </w:p>
    <w:p w14:paraId="354166EC">
      <w:pPr>
        <w:adjustRightInd w:val="0"/>
        <w:ind w:firstLine="462"/>
        <w:rPr>
          <w:rFonts w:cs="宋体"/>
          <w:bCs/>
          <w:lang w:bidi="ar"/>
        </w:rPr>
      </w:pPr>
      <w:r>
        <w:rPr>
          <w:rFonts w:hint="eastAsia" w:cs="宋体"/>
          <w:bCs/>
          <w:lang w:bidi="ar"/>
        </w:rPr>
        <w:t>流动机械（IGV、拖挂车）行驶通道：采用现浇混凝土铺面结构，方案同普通重箱堆场。</w:t>
      </w:r>
    </w:p>
    <w:p w14:paraId="631D3F2A">
      <w:pPr>
        <w:adjustRightInd w:val="0"/>
        <w:ind w:firstLine="462"/>
        <w:jc w:val="center"/>
        <w:rPr>
          <w:rFonts w:cs="宋体"/>
          <w:bCs/>
          <w:lang w:bidi="ar"/>
        </w:rPr>
      </w:pPr>
      <w:r>
        <w:drawing>
          <wp:inline distT="0" distB="0" distL="0" distR="0">
            <wp:extent cx="4018915" cy="4566285"/>
            <wp:effectExtent l="0" t="0" r="635" b="5715"/>
            <wp:docPr id="2331626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62604" name="图片 1"/>
                    <pic:cNvPicPr>
                      <a:picLocks noChangeAspect="1"/>
                    </pic:cNvPicPr>
                  </pic:nvPicPr>
                  <pic:blipFill>
                    <a:blip r:embed="rId48"/>
                    <a:stretch>
                      <a:fillRect/>
                    </a:stretch>
                  </pic:blipFill>
                  <pic:spPr>
                    <a:xfrm>
                      <a:off x="0" y="0"/>
                      <a:ext cx="4025717" cy="4573966"/>
                    </a:xfrm>
                    <a:prstGeom prst="rect">
                      <a:avLst/>
                    </a:prstGeom>
                  </pic:spPr>
                </pic:pic>
              </a:graphicData>
            </a:graphic>
          </wp:inline>
        </w:drawing>
      </w:r>
    </w:p>
    <w:p w14:paraId="48B7DCDA">
      <w:pPr>
        <w:pStyle w:val="8"/>
        <w:rPr>
          <w:rFonts w:cs="宋体"/>
          <w:bCs/>
          <w:lang w:bidi="ar"/>
        </w:rPr>
      </w:pPr>
      <w:r>
        <w:rPr>
          <w:rFonts w:hint="eastAsia" w:cs="宋体"/>
          <w:bCs/>
          <w:lang w:bidi="ar"/>
        </w:rPr>
        <w:t>危险品集装箱堆场典型区域面层结构</w:t>
      </w:r>
    </w:p>
    <w:p w14:paraId="132CD179">
      <w:pPr>
        <w:adjustRightInd w:val="0"/>
        <w:ind w:firstLine="462"/>
        <w:rPr>
          <w:rFonts w:cs="宋体"/>
          <w:bCs/>
          <w:lang w:bidi="ar"/>
        </w:rPr>
      </w:pPr>
      <w:r>
        <w:rPr>
          <w:rFonts w:hint="eastAsia" w:cs="宋体"/>
          <w:bCs/>
          <w:lang w:bidi="ar"/>
        </w:rPr>
        <w:t>4、码头前沿作业地带（IGV缓冲区、IGV快速行车道）</w:t>
      </w:r>
    </w:p>
    <w:p w14:paraId="55EDF048">
      <w:pPr>
        <w:adjustRightInd w:val="0"/>
        <w:ind w:firstLine="462"/>
        <w:rPr>
          <w:rFonts w:cs="宋体"/>
          <w:bCs/>
          <w:lang w:bidi="ar"/>
        </w:rPr>
      </w:pPr>
      <w:r>
        <w:rPr>
          <w:rFonts w:hint="eastAsia" w:cs="宋体"/>
          <w:bCs/>
          <w:lang w:bidi="ar"/>
        </w:rPr>
        <w:t>铺面结构同港区主干道。</w:t>
      </w:r>
    </w:p>
    <w:p w14:paraId="64CD7308">
      <w:pPr>
        <w:adjustRightInd w:val="0"/>
        <w:ind w:firstLine="462"/>
        <w:rPr>
          <w:rFonts w:cs="宋体"/>
          <w:bCs/>
          <w:lang w:bidi="ar"/>
        </w:rPr>
      </w:pPr>
      <w:r>
        <w:rPr>
          <w:rFonts w:hint="eastAsia" w:cs="宋体"/>
          <w:bCs/>
          <w:lang w:bidi="ar"/>
        </w:rPr>
        <w:t>5、码头前沿作业地带（特殊箱通道）</w:t>
      </w:r>
    </w:p>
    <w:p w14:paraId="28F3CD83">
      <w:pPr>
        <w:adjustRightInd w:val="0"/>
        <w:ind w:firstLine="462"/>
        <w:rPr>
          <w:rFonts w:cs="宋体"/>
          <w:bCs/>
          <w:lang w:bidi="ar"/>
        </w:rPr>
      </w:pPr>
      <w:r>
        <w:rPr>
          <w:rFonts w:hint="eastAsia" w:cs="宋体"/>
          <w:bCs/>
          <w:lang w:bidi="ar"/>
        </w:rPr>
        <w:t>铺面结构同外集卡车道。</w:t>
      </w:r>
    </w:p>
    <w:p w14:paraId="5EE8A90A">
      <w:pPr>
        <w:adjustRightInd w:val="0"/>
        <w:ind w:firstLine="462"/>
        <w:rPr>
          <w:rFonts w:cs="宋体"/>
          <w:bCs/>
          <w:lang w:bidi="ar"/>
        </w:rPr>
      </w:pPr>
      <w:r>
        <w:rPr>
          <w:rFonts w:hint="eastAsia" w:cs="宋体"/>
          <w:bCs/>
          <w:lang w:bidi="ar"/>
        </w:rPr>
        <w:t>6、码头前沿作业地带（轨后IGV装卸作业通道）</w:t>
      </w:r>
    </w:p>
    <w:p w14:paraId="534661EE">
      <w:pPr>
        <w:adjustRightInd w:val="0"/>
        <w:ind w:firstLine="462"/>
        <w:rPr>
          <w:rFonts w:cs="宋体"/>
          <w:bCs/>
          <w:lang w:bidi="ar"/>
        </w:rPr>
      </w:pPr>
      <w:r>
        <w:rPr>
          <w:rFonts w:hint="eastAsia" w:cs="宋体"/>
          <w:bCs/>
          <w:lang w:bidi="ar"/>
        </w:rPr>
        <w:t>采用现浇混凝土铺面结构，结构层分别为：40cm厚现浇水泥混凝土面层、25cm厚水泥稳定石基层、20cm厚级配碎石底基层，地基压实。</w:t>
      </w:r>
    </w:p>
    <w:p w14:paraId="4CC856C4">
      <w:pPr>
        <w:adjustRightInd w:val="0"/>
        <w:ind w:firstLine="462"/>
      </w:pPr>
      <w:r>
        <w:rPr>
          <w:rFonts w:hint="eastAsia" w:cs="宋体"/>
          <w:bCs/>
          <w:lang w:bidi="ar"/>
        </w:rPr>
        <w:t>本项目道路及堆场主要工程数量见表</w:t>
      </w:r>
      <w:r>
        <w:rPr>
          <w:bCs/>
          <w:lang w:bidi="ar"/>
        </w:rPr>
        <w:t>2.</w:t>
      </w:r>
      <w:r>
        <w:rPr>
          <w:rFonts w:hint="eastAsia"/>
          <w:bCs/>
          <w:lang w:bidi="ar"/>
        </w:rPr>
        <w:t>1</w:t>
      </w:r>
      <w:r>
        <w:rPr>
          <w:bCs/>
          <w:lang w:bidi="ar"/>
        </w:rPr>
        <w:t>-</w:t>
      </w:r>
      <w:r>
        <w:rPr>
          <w:rFonts w:hint="eastAsia"/>
          <w:bCs/>
          <w:lang w:bidi="ar"/>
        </w:rPr>
        <w:t>9</w:t>
      </w:r>
      <w:r>
        <w:rPr>
          <w:rFonts w:hint="eastAsia" w:cs="宋体"/>
          <w:bCs/>
          <w:lang w:bidi="ar"/>
        </w:rPr>
        <w:t>。</w:t>
      </w:r>
    </w:p>
    <w:p w14:paraId="3CB56968">
      <w:pPr>
        <w:pStyle w:val="7"/>
      </w:pPr>
      <w:r>
        <w:rPr>
          <w:rFonts w:hint="eastAsia"/>
        </w:rPr>
        <w:t>道路、堆场铺面主要工程数量表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64"/>
        <w:gridCol w:w="3961"/>
        <w:gridCol w:w="697"/>
        <w:gridCol w:w="980"/>
        <w:gridCol w:w="1980"/>
      </w:tblGrid>
      <w:tr w14:paraId="263AFC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664" w:type="dxa"/>
            <w:tcBorders>
              <w:top w:val="single" w:color="auto" w:sz="12" w:space="0"/>
              <w:left w:val="single" w:color="auto" w:sz="12" w:space="0"/>
              <w:bottom w:val="single" w:color="auto" w:sz="4" w:space="0"/>
              <w:right w:val="single" w:color="auto" w:sz="4" w:space="0"/>
            </w:tcBorders>
            <w:vAlign w:val="center"/>
          </w:tcPr>
          <w:p w14:paraId="16998A35">
            <w:pPr>
              <w:pStyle w:val="34"/>
            </w:pPr>
            <w:r>
              <w:rPr>
                <w:rFonts w:hint="eastAsia"/>
              </w:rPr>
              <w:t>序号</w:t>
            </w:r>
          </w:p>
        </w:tc>
        <w:tc>
          <w:tcPr>
            <w:tcW w:w="3961" w:type="dxa"/>
            <w:tcBorders>
              <w:top w:val="single" w:color="auto" w:sz="12" w:space="0"/>
              <w:left w:val="single" w:color="auto" w:sz="4" w:space="0"/>
              <w:bottom w:val="single" w:color="auto" w:sz="4" w:space="0"/>
              <w:right w:val="single" w:color="auto" w:sz="4" w:space="0"/>
            </w:tcBorders>
            <w:vAlign w:val="center"/>
          </w:tcPr>
          <w:p w14:paraId="1B57DB6A">
            <w:pPr>
              <w:pStyle w:val="34"/>
            </w:pPr>
            <w:r>
              <w:rPr>
                <w:rFonts w:hint="eastAsia"/>
              </w:rPr>
              <w:t>项目名称</w:t>
            </w:r>
          </w:p>
        </w:tc>
        <w:tc>
          <w:tcPr>
            <w:tcW w:w="697" w:type="dxa"/>
            <w:tcBorders>
              <w:top w:val="single" w:color="auto" w:sz="12" w:space="0"/>
              <w:left w:val="single" w:color="auto" w:sz="4" w:space="0"/>
              <w:bottom w:val="single" w:color="auto" w:sz="4" w:space="0"/>
              <w:right w:val="single" w:color="auto" w:sz="4" w:space="0"/>
            </w:tcBorders>
            <w:vAlign w:val="center"/>
          </w:tcPr>
          <w:p w14:paraId="148921EA">
            <w:pPr>
              <w:pStyle w:val="34"/>
            </w:pPr>
            <w:r>
              <w:rPr>
                <w:rFonts w:hint="eastAsia"/>
              </w:rPr>
              <w:t>单位</w:t>
            </w:r>
          </w:p>
        </w:tc>
        <w:tc>
          <w:tcPr>
            <w:tcW w:w="980" w:type="dxa"/>
            <w:tcBorders>
              <w:top w:val="single" w:color="auto" w:sz="12" w:space="0"/>
              <w:left w:val="single" w:color="auto" w:sz="4" w:space="0"/>
              <w:bottom w:val="single" w:color="auto" w:sz="4" w:space="0"/>
              <w:right w:val="single" w:color="auto" w:sz="4" w:space="0"/>
            </w:tcBorders>
            <w:vAlign w:val="center"/>
          </w:tcPr>
          <w:p w14:paraId="6BE6CE85">
            <w:pPr>
              <w:pStyle w:val="34"/>
            </w:pPr>
            <w:r>
              <w:rPr>
                <w:rFonts w:hint="eastAsia"/>
              </w:rPr>
              <w:t>数量</w:t>
            </w:r>
          </w:p>
        </w:tc>
        <w:tc>
          <w:tcPr>
            <w:tcW w:w="1980" w:type="dxa"/>
            <w:tcBorders>
              <w:top w:val="single" w:color="auto" w:sz="12" w:space="0"/>
              <w:left w:val="single" w:color="auto" w:sz="4" w:space="0"/>
              <w:bottom w:val="single" w:color="auto" w:sz="4" w:space="0"/>
              <w:right w:val="single" w:color="auto" w:sz="12" w:space="0"/>
            </w:tcBorders>
            <w:vAlign w:val="center"/>
          </w:tcPr>
          <w:p w14:paraId="108DAD38">
            <w:pPr>
              <w:pStyle w:val="34"/>
            </w:pPr>
            <w:r>
              <w:rPr>
                <w:rFonts w:hint="eastAsia"/>
              </w:rPr>
              <w:t>备注</w:t>
            </w:r>
          </w:p>
        </w:tc>
      </w:tr>
      <w:tr w14:paraId="54AE24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left w:val="single" w:color="auto" w:sz="12" w:space="0"/>
              <w:bottom w:val="single" w:color="auto" w:sz="4" w:space="0"/>
              <w:right w:val="single" w:color="auto" w:sz="4" w:space="0"/>
            </w:tcBorders>
            <w:vAlign w:val="center"/>
          </w:tcPr>
          <w:p w14:paraId="3FEA664E">
            <w:pPr>
              <w:pStyle w:val="34"/>
            </w:pPr>
            <w:r>
              <w:t>1</w:t>
            </w:r>
          </w:p>
        </w:tc>
        <w:tc>
          <w:tcPr>
            <w:tcW w:w="3961" w:type="dxa"/>
            <w:tcBorders>
              <w:top w:val="single" w:color="auto" w:sz="4" w:space="0"/>
              <w:left w:val="single" w:color="auto" w:sz="4" w:space="0"/>
              <w:bottom w:val="single" w:color="auto" w:sz="4" w:space="0"/>
              <w:right w:val="single" w:color="auto" w:sz="4" w:space="0"/>
            </w:tcBorders>
            <w:vAlign w:val="center"/>
          </w:tcPr>
          <w:p w14:paraId="1E638B24">
            <w:pPr>
              <w:pStyle w:val="34"/>
            </w:pPr>
            <w:r>
              <w:rPr>
                <w:rFonts w:hint="eastAsia"/>
              </w:rPr>
              <w:t>港区主干道、</w:t>
            </w:r>
            <w:r>
              <w:t>IGV</w:t>
            </w:r>
            <w:r>
              <w:rPr>
                <w:rFonts w:hint="eastAsia"/>
              </w:rPr>
              <w:t>缓冲区、</w:t>
            </w:r>
            <w:r>
              <w:t>IGV</w:t>
            </w:r>
            <w:r>
              <w:rPr>
                <w:rFonts w:hint="eastAsia"/>
              </w:rPr>
              <w:t>快速行车道</w:t>
            </w:r>
          </w:p>
        </w:tc>
        <w:tc>
          <w:tcPr>
            <w:tcW w:w="697" w:type="dxa"/>
            <w:tcBorders>
              <w:top w:val="single" w:color="auto" w:sz="4" w:space="0"/>
              <w:left w:val="single" w:color="auto" w:sz="4" w:space="0"/>
              <w:bottom w:val="single" w:color="auto" w:sz="4" w:space="0"/>
              <w:right w:val="single" w:color="auto" w:sz="4" w:space="0"/>
            </w:tcBorders>
            <w:vAlign w:val="center"/>
          </w:tcPr>
          <w:p w14:paraId="6BDD9E85">
            <w:pPr>
              <w:pStyle w:val="34"/>
            </w:pPr>
            <w:r>
              <w:t>m</w:t>
            </w:r>
            <w:r>
              <w:rPr>
                <w:vertAlign w:val="superscript"/>
              </w:rPr>
              <w:t>2</w:t>
            </w:r>
          </w:p>
        </w:tc>
        <w:tc>
          <w:tcPr>
            <w:tcW w:w="980" w:type="dxa"/>
            <w:tcBorders>
              <w:top w:val="single" w:color="auto" w:sz="4" w:space="0"/>
              <w:left w:val="single" w:color="auto" w:sz="4" w:space="0"/>
              <w:bottom w:val="single" w:color="auto" w:sz="4" w:space="0"/>
              <w:right w:val="single" w:color="auto" w:sz="4" w:space="0"/>
            </w:tcBorders>
            <w:vAlign w:val="center"/>
          </w:tcPr>
          <w:p w14:paraId="3017483B">
            <w:pPr>
              <w:pStyle w:val="34"/>
            </w:pPr>
            <w:r>
              <w:t>35880</w:t>
            </w:r>
          </w:p>
        </w:tc>
        <w:tc>
          <w:tcPr>
            <w:tcW w:w="1980" w:type="dxa"/>
            <w:tcBorders>
              <w:top w:val="single" w:color="auto" w:sz="4" w:space="0"/>
              <w:left w:val="single" w:color="auto" w:sz="4" w:space="0"/>
              <w:bottom w:val="single" w:color="auto" w:sz="4" w:space="0"/>
              <w:right w:val="single" w:color="auto" w:sz="12" w:space="0"/>
            </w:tcBorders>
            <w:vAlign w:val="center"/>
          </w:tcPr>
          <w:p w14:paraId="083AD947">
            <w:pPr>
              <w:pStyle w:val="34"/>
            </w:pPr>
            <w:r>
              <w:rPr>
                <w:rFonts w:hint="eastAsia"/>
              </w:rPr>
              <w:t>现浇混凝土铺面</w:t>
            </w:r>
          </w:p>
        </w:tc>
      </w:tr>
      <w:tr w14:paraId="08D09A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left w:val="single" w:color="auto" w:sz="12" w:space="0"/>
              <w:bottom w:val="single" w:color="auto" w:sz="4" w:space="0"/>
              <w:right w:val="single" w:color="auto" w:sz="4" w:space="0"/>
            </w:tcBorders>
            <w:vAlign w:val="center"/>
          </w:tcPr>
          <w:p w14:paraId="37ABD2D6">
            <w:pPr>
              <w:pStyle w:val="34"/>
            </w:pPr>
            <w:r>
              <w:t>2</w:t>
            </w:r>
          </w:p>
        </w:tc>
        <w:tc>
          <w:tcPr>
            <w:tcW w:w="3961" w:type="dxa"/>
            <w:tcBorders>
              <w:top w:val="single" w:color="auto" w:sz="4" w:space="0"/>
              <w:left w:val="single" w:color="auto" w:sz="4" w:space="0"/>
              <w:bottom w:val="single" w:color="auto" w:sz="4" w:space="0"/>
              <w:right w:val="single" w:color="auto" w:sz="4" w:space="0"/>
            </w:tcBorders>
            <w:vAlign w:val="center"/>
          </w:tcPr>
          <w:p w14:paraId="55C429F7">
            <w:pPr>
              <w:pStyle w:val="34"/>
            </w:pPr>
            <w:r>
              <w:rPr>
                <w:rFonts w:hint="eastAsia"/>
              </w:rPr>
              <w:t>外集卡车道、特殊箱通道（码头前沿处）</w:t>
            </w:r>
          </w:p>
        </w:tc>
        <w:tc>
          <w:tcPr>
            <w:tcW w:w="697" w:type="dxa"/>
            <w:tcBorders>
              <w:top w:val="single" w:color="auto" w:sz="4" w:space="0"/>
              <w:left w:val="single" w:color="auto" w:sz="4" w:space="0"/>
              <w:bottom w:val="single" w:color="auto" w:sz="4" w:space="0"/>
              <w:right w:val="single" w:color="auto" w:sz="4" w:space="0"/>
            </w:tcBorders>
            <w:vAlign w:val="center"/>
          </w:tcPr>
          <w:p w14:paraId="618ADAD8">
            <w:pPr>
              <w:pStyle w:val="34"/>
            </w:pPr>
            <w:r>
              <w:t>m</w:t>
            </w:r>
            <w:r>
              <w:rPr>
                <w:vertAlign w:val="superscript"/>
              </w:rPr>
              <w:t>2</w:t>
            </w:r>
          </w:p>
        </w:tc>
        <w:tc>
          <w:tcPr>
            <w:tcW w:w="980" w:type="dxa"/>
            <w:tcBorders>
              <w:top w:val="single" w:color="auto" w:sz="4" w:space="0"/>
              <w:left w:val="single" w:color="auto" w:sz="4" w:space="0"/>
              <w:bottom w:val="single" w:color="auto" w:sz="4" w:space="0"/>
              <w:right w:val="single" w:color="auto" w:sz="4" w:space="0"/>
            </w:tcBorders>
            <w:vAlign w:val="center"/>
          </w:tcPr>
          <w:p w14:paraId="26FA82D0">
            <w:pPr>
              <w:pStyle w:val="34"/>
            </w:pPr>
            <w:r>
              <w:t>26340</w:t>
            </w:r>
          </w:p>
        </w:tc>
        <w:tc>
          <w:tcPr>
            <w:tcW w:w="1980" w:type="dxa"/>
            <w:tcBorders>
              <w:top w:val="single" w:color="auto" w:sz="4" w:space="0"/>
              <w:left w:val="single" w:color="auto" w:sz="4" w:space="0"/>
              <w:bottom w:val="single" w:color="auto" w:sz="4" w:space="0"/>
              <w:right w:val="single" w:color="auto" w:sz="12" w:space="0"/>
            </w:tcBorders>
            <w:vAlign w:val="center"/>
          </w:tcPr>
          <w:p w14:paraId="73792014">
            <w:pPr>
              <w:pStyle w:val="34"/>
            </w:pPr>
            <w:r>
              <w:rPr>
                <w:rFonts w:hint="eastAsia"/>
              </w:rPr>
              <w:t>现浇混凝土铺面</w:t>
            </w:r>
          </w:p>
        </w:tc>
      </w:tr>
      <w:tr w14:paraId="605ACF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left w:val="single" w:color="auto" w:sz="12" w:space="0"/>
              <w:bottom w:val="single" w:color="auto" w:sz="4" w:space="0"/>
              <w:right w:val="single" w:color="auto" w:sz="4" w:space="0"/>
            </w:tcBorders>
            <w:vAlign w:val="center"/>
          </w:tcPr>
          <w:p w14:paraId="45B67973">
            <w:pPr>
              <w:pStyle w:val="34"/>
            </w:pPr>
            <w:r>
              <w:t>3</w:t>
            </w:r>
          </w:p>
        </w:tc>
        <w:tc>
          <w:tcPr>
            <w:tcW w:w="3961" w:type="dxa"/>
            <w:tcBorders>
              <w:top w:val="single" w:color="auto" w:sz="4" w:space="0"/>
              <w:left w:val="single" w:color="auto" w:sz="4" w:space="0"/>
              <w:bottom w:val="single" w:color="auto" w:sz="4" w:space="0"/>
              <w:right w:val="single" w:color="auto" w:sz="4" w:space="0"/>
            </w:tcBorders>
            <w:vAlign w:val="center"/>
          </w:tcPr>
          <w:p w14:paraId="045DFBDC">
            <w:pPr>
              <w:pStyle w:val="34"/>
            </w:pPr>
            <w:r>
              <w:rPr>
                <w:rFonts w:hint="eastAsia"/>
              </w:rPr>
              <w:t>轨后</w:t>
            </w:r>
            <w:r>
              <w:t>IGV</w:t>
            </w:r>
            <w:r>
              <w:rPr>
                <w:rFonts w:hint="eastAsia"/>
              </w:rPr>
              <w:t>装卸作业车道</w:t>
            </w:r>
          </w:p>
        </w:tc>
        <w:tc>
          <w:tcPr>
            <w:tcW w:w="697" w:type="dxa"/>
            <w:tcBorders>
              <w:top w:val="single" w:color="auto" w:sz="4" w:space="0"/>
              <w:left w:val="single" w:color="auto" w:sz="4" w:space="0"/>
              <w:bottom w:val="single" w:color="auto" w:sz="4" w:space="0"/>
              <w:right w:val="single" w:color="auto" w:sz="4" w:space="0"/>
            </w:tcBorders>
            <w:vAlign w:val="center"/>
          </w:tcPr>
          <w:p w14:paraId="2493DA8D">
            <w:pPr>
              <w:pStyle w:val="34"/>
            </w:pPr>
            <w:r>
              <w:t>m</w:t>
            </w:r>
            <w:r>
              <w:rPr>
                <w:vertAlign w:val="superscript"/>
              </w:rPr>
              <w:t>2</w:t>
            </w:r>
          </w:p>
        </w:tc>
        <w:tc>
          <w:tcPr>
            <w:tcW w:w="980" w:type="dxa"/>
            <w:tcBorders>
              <w:top w:val="single" w:color="auto" w:sz="4" w:space="0"/>
              <w:left w:val="single" w:color="auto" w:sz="4" w:space="0"/>
              <w:bottom w:val="single" w:color="auto" w:sz="4" w:space="0"/>
              <w:right w:val="single" w:color="auto" w:sz="4" w:space="0"/>
            </w:tcBorders>
            <w:vAlign w:val="center"/>
          </w:tcPr>
          <w:p w14:paraId="57340C77">
            <w:pPr>
              <w:pStyle w:val="34"/>
            </w:pPr>
            <w:r>
              <w:t>7800</w:t>
            </w:r>
          </w:p>
        </w:tc>
        <w:tc>
          <w:tcPr>
            <w:tcW w:w="1980" w:type="dxa"/>
            <w:tcBorders>
              <w:top w:val="single" w:color="auto" w:sz="4" w:space="0"/>
              <w:left w:val="single" w:color="auto" w:sz="4" w:space="0"/>
              <w:bottom w:val="single" w:color="auto" w:sz="4" w:space="0"/>
              <w:right w:val="single" w:color="auto" w:sz="12" w:space="0"/>
            </w:tcBorders>
            <w:vAlign w:val="center"/>
          </w:tcPr>
          <w:p w14:paraId="02CF28BF">
            <w:pPr>
              <w:pStyle w:val="34"/>
            </w:pPr>
            <w:r>
              <w:rPr>
                <w:rFonts w:hint="eastAsia"/>
              </w:rPr>
              <w:t>现浇混凝土铺面</w:t>
            </w:r>
            <w:bookmarkEnd w:id="207"/>
            <w:bookmarkEnd w:id="208"/>
          </w:p>
        </w:tc>
      </w:tr>
      <w:bookmarkEnd w:id="209"/>
      <w:tr w14:paraId="737867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left w:val="single" w:color="auto" w:sz="12" w:space="0"/>
              <w:bottom w:val="single" w:color="auto" w:sz="4" w:space="0"/>
              <w:right w:val="single" w:color="auto" w:sz="4" w:space="0"/>
            </w:tcBorders>
            <w:vAlign w:val="center"/>
          </w:tcPr>
          <w:p w14:paraId="16EA54B7">
            <w:pPr>
              <w:pStyle w:val="34"/>
            </w:pPr>
            <w:bookmarkStart w:id="235" w:name="_Toc232154430"/>
            <w:bookmarkStart w:id="236" w:name="_Toc279393644"/>
            <w:bookmarkStart w:id="237" w:name="_Toc247517284"/>
            <w:r>
              <w:t>4</w:t>
            </w:r>
          </w:p>
        </w:tc>
        <w:tc>
          <w:tcPr>
            <w:tcW w:w="3961" w:type="dxa"/>
            <w:tcBorders>
              <w:top w:val="single" w:color="auto" w:sz="4" w:space="0"/>
              <w:left w:val="single" w:color="auto" w:sz="4" w:space="0"/>
              <w:bottom w:val="single" w:color="auto" w:sz="4" w:space="0"/>
              <w:right w:val="single" w:color="auto" w:sz="4" w:space="0"/>
            </w:tcBorders>
            <w:vAlign w:val="center"/>
          </w:tcPr>
          <w:p w14:paraId="36C0AA40">
            <w:pPr>
              <w:pStyle w:val="34"/>
            </w:pPr>
            <w:r>
              <w:rPr>
                <w:rFonts w:hint="eastAsia"/>
              </w:rPr>
              <w:t>正面吊重载行驶道路</w:t>
            </w:r>
          </w:p>
        </w:tc>
        <w:tc>
          <w:tcPr>
            <w:tcW w:w="697" w:type="dxa"/>
            <w:tcBorders>
              <w:top w:val="single" w:color="auto" w:sz="4" w:space="0"/>
              <w:left w:val="single" w:color="auto" w:sz="4" w:space="0"/>
              <w:bottom w:val="single" w:color="auto" w:sz="4" w:space="0"/>
              <w:right w:val="single" w:color="auto" w:sz="4" w:space="0"/>
            </w:tcBorders>
            <w:vAlign w:val="center"/>
          </w:tcPr>
          <w:p w14:paraId="185034D1">
            <w:pPr>
              <w:pStyle w:val="34"/>
            </w:pPr>
            <w:r>
              <w:t>m</w:t>
            </w:r>
            <w:r>
              <w:rPr>
                <w:vertAlign w:val="superscript"/>
              </w:rPr>
              <w:t>2</w:t>
            </w:r>
          </w:p>
        </w:tc>
        <w:tc>
          <w:tcPr>
            <w:tcW w:w="980" w:type="dxa"/>
            <w:tcBorders>
              <w:top w:val="single" w:color="auto" w:sz="4" w:space="0"/>
              <w:left w:val="single" w:color="auto" w:sz="4" w:space="0"/>
              <w:bottom w:val="single" w:color="auto" w:sz="4" w:space="0"/>
              <w:right w:val="single" w:color="auto" w:sz="4" w:space="0"/>
            </w:tcBorders>
            <w:vAlign w:val="center"/>
          </w:tcPr>
          <w:p w14:paraId="5806E80D">
            <w:pPr>
              <w:pStyle w:val="34"/>
            </w:pPr>
            <w:r>
              <w:t>2110</w:t>
            </w:r>
          </w:p>
        </w:tc>
        <w:tc>
          <w:tcPr>
            <w:tcW w:w="1980" w:type="dxa"/>
            <w:tcBorders>
              <w:top w:val="single" w:color="auto" w:sz="4" w:space="0"/>
              <w:left w:val="single" w:color="auto" w:sz="4" w:space="0"/>
              <w:bottom w:val="single" w:color="auto" w:sz="4" w:space="0"/>
              <w:right w:val="single" w:color="auto" w:sz="12" w:space="0"/>
            </w:tcBorders>
            <w:vAlign w:val="center"/>
          </w:tcPr>
          <w:p w14:paraId="1C01286C">
            <w:pPr>
              <w:pStyle w:val="34"/>
            </w:pPr>
            <w:r>
              <w:rPr>
                <w:rFonts w:hint="eastAsia"/>
              </w:rPr>
              <w:t>现浇混凝土铺面</w:t>
            </w:r>
          </w:p>
        </w:tc>
      </w:tr>
      <w:tr w14:paraId="17274C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left w:val="single" w:color="auto" w:sz="12" w:space="0"/>
              <w:bottom w:val="single" w:color="auto" w:sz="4" w:space="0"/>
              <w:right w:val="single" w:color="auto" w:sz="4" w:space="0"/>
            </w:tcBorders>
            <w:vAlign w:val="center"/>
          </w:tcPr>
          <w:p w14:paraId="6D2F9EF6">
            <w:pPr>
              <w:pStyle w:val="34"/>
            </w:pPr>
            <w:r>
              <w:t>5</w:t>
            </w:r>
          </w:p>
        </w:tc>
        <w:tc>
          <w:tcPr>
            <w:tcW w:w="3961" w:type="dxa"/>
            <w:tcBorders>
              <w:top w:val="single" w:color="auto" w:sz="4" w:space="0"/>
              <w:left w:val="single" w:color="auto" w:sz="4" w:space="0"/>
              <w:bottom w:val="single" w:color="auto" w:sz="4" w:space="0"/>
              <w:right w:val="single" w:color="auto" w:sz="4" w:space="0"/>
            </w:tcBorders>
            <w:vAlign w:val="center"/>
          </w:tcPr>
          <w:p w14:paraId="56F2284B">
            <w:pPr>
              <w:pStyle w:val="34"/>
            </w:pPr>
            <w:r>
              <w:rPr>
                <w:rFonts w:hint="eastAsia"/>
              </w:rPr>
              <w:t>集装箱堆场堆箱区</w:t>
            </w:r>
          </w:p>
        </w:tc>
        <w:tc>
          <w:tcPr>
            <w:tcW w:w="697" w:type="dxa"/>
            <w:tcBorders>
              <w:top w:val="single" w:color="auto" w:sz="4" w:space="0"/>
              <w:left w:val="single" w:color="auto" w:sz="4" w:space="0"/>
              <w:bottom w:val="single" w:color="auto" w:sz="4" w:space="0"/>
              <w:right w:val="single" w:color="auto" w:sz="4" w:space="0"/>
            </w:tcBorders>
            <w:vAlign w:val="center"/>
          </w:tcPr>
          <w:p w14:paraId="2300B8DD">
            <w:pPr>
              <w:pStyle w:val="34"/>
            </w:pPr>
            <w:r>
              <w:t>m</w:t>
            </w:r>
            <w:r>
              <w:rPr>
                <w:vertAlign w:val="superscript"/>
              </w:rPr>
              <w:t>2</w:t>
            </w:r>
          </w:p>
        </w:tc>
        <w:tc>
          <w:tcPr>
            <w:tcW w:w="980" w:type="dxa"/>
            <w:tcBorders>
              <w:top w:val="single" w:color="auto" w:sz="4" w:space="0"/>
              <w:left w:val="single" w:color="auto" w:sz="4" w:space="0"/>
              <w:bottom w:val="single" w:color="auto" w:sz="4" w:space="0"/>
              <w:right w:val="single" w:color="auto" w:sz="4" w:space="0"/>
            </w:tcBorders>
            <w:vAlign w:val="center"/>
          </w:tcPr>
          <w:p w14:paraId="6DC0B42C">
            <w:pPr>
              <w:pStyle w:val="34"/>
            </w:pPr>
            <w:r>
              <w:t>43760</w:t>
            </w:r>
          </w:p>
        </w:tc>
        <w:tc>
          <w:tcPr>
            <w:tcW w:w="1980" w:type="dxa"/>
            <w:tcBorders>
              <w:top w:val="single" w:color="auto" w:sz="4" w:space="0"/>
              <w:left w:val="single" w:color="auto" w:sz="4" w:space="0"/>
              <w:bottom w:val="single" w:color="auto" w:sz="4" w:space="0"/>
              <w:right w:val="single" w:color="auto" w:sz="12" w:space="0"/>
            </w:tcBorders>
            <w:vAlign w:val="center"/>
          </w:tcPr>
          <w:p w14:paraId="14CCFD8A">
            <w:pPr>
              <w:pStyle w:val="34"/>
            </w:pPr>
            <w:r>
              <w:rPr>
                <w:rFonts w:hint="eastAsia"/>
              </w:rPr>
              <w:t>箱角基础+箱角基础间混凝土铺面</w:t>
            </w:r>
          </w:p>
        </w:tc>
      </w:tr>
      <w:tr w14:paraId="5AC296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left w:val="single" w:color="auto" w:sz="12" w:space="0"/>
              <w:bottom w:val="single" w:color="auto" w:sz="4" w:space="0"/>
              <w:right w:val="single" w:color="auto" w:sz="4" w:space="0"/>
            </w:tcBorders>
            <w:vAlign w:val="center"/>
          </w:tcPr>
          <w:p w14:paraId="59BC5076">
            <w:pPr>
              <w:pStyle w:val="34"/>
            </w:pPr>
            <w:r>
              <w:t>6</w:t>
            </w:r>
          </w:p>
        </w:tc>
        <w:tc>
          <w:tcPr>
            <w:tcW w:w="3961" w:type="dxa"/>
            <w:tcBorders>
              <w:top w:val="single" w:color="auto" w:sz="4" w:space="0"/>
              <w:left w:val="single" w:color="auto" w:sz="4" w:space="0"/>
              <w:bottom w:val="single" w:color="auto" w:sz="4" w:space="0"/>
              <w:right w:val="single" w:color="auto" w:sz="4" w:space="0"/>
            </w:tcBorders>
            <w:vAlign w:val="center"/>
          </w:tcPr>
          <w:p w14:paraId="2867B614">
            <w:pPr>
              <w:pStyle w:val="34"/>
            </w:pPr>
            <w:r>
              <w:rPr>
                <w:rFonts w:hint="eastAsia"/>
              </w:rPr>
              <w:t>危货堆场堆箱区</w:t>
            </w:r>
          </w:p>
        </w:tc>
        <w:tc>
          <w:tcPr>
            <w:tcW w:w="697" w:type="dxa"/>
            <w:tcBorders>
              <w:top w:val="single" w:color="auto" w:sz="4" w:space="0"/>
              <w:left w:val="single" w:color="auto" w:sz="4" w:space="0"/>
              <w:bottom w:val="single" w:color="auto" w:sz="4" w:space="0"/>
              <w:right w:val="single" w:color="auto" w:sz="4" w:space="0"/>
            </w:tcBorders>
            <w:vAlign w:val="center"/>
          </w:tcPr>
          <w:p w14:paraId="2DC0F6BB">
            <w:pPr>
              <w:pStyle w:val="34"/>
            </w:pPr>
            <w:r>
              <w:t>m</w:t>
            </w:r>
            <w:r>
              <w:rPr>
                <w:vertAlign w:val="superscript"/>
              </w:rPr>
              <w:t>2</w:t>
            </w:r>
          </w:p>
        </w:tc>
        <w:tc>
          <w:tcPr>
            <w:tcW w:w="980" w:type="dxa"/>
            <w:tcBorders>
              <w:top w:val="single" w:color="auto" w:sz="4" w:space="0"/>
              <w:left w:val="single" w:color="auto" w:sz="4" w:space="0"/>
              <w:bottom w:val="single" w:color="auto" w:sz="4" w:space="0"/>
              <w:right w:val="single" w:color="auto" w:sz="4" w:space="0"/>
            </w:tcBorders>
            <w:vAlign w:val="center"/>
          </w:tcPr>
          <w:p w14:paraId="5EC63920">
            <w:pPr>
              <w:pStyle w:val="34"/>
            </w:pPr>
            <w:r>
              <w:t>13281</w:t>
            </w:r>
          </w:p>
        </w:tc>
        <w:tc>
          <w:tcPr>
            <w:tcW w:w="1980" w:type="dxa"/>
            <w:tcBorders>
              <w:top w:val="single" w:color="auto" w:sz="4" w:space="0"/>
              <w:left w:val="single" w:color="auto" w:sz="4" w:space="0"/>
              <w:bottom w:val="single" w:color="auto" w:sz="4" w:space="0"/>
              <w:right w:val="single" w:color="auto" w:sz="12" w:space="0"/>
            </w:tcBorders>
            <w:vAlign w:val="center"/>
          </w:tcPr>
          <w:p w14:paraId="758A6E9E">
            <w:pPr>
              <w:pStyle w:val="34"/>
            </w:pPr>
            <w:bookmarkStart w:id="238" w:name="OLE_LINK28"/>
            <w:r>
              <w:rPr>
                <w:rFonts w:hint="eastAsia"/>
              </w:rPr>
              <w:t>箱角基础+箱角基础间混凝土铺面</w:t>
            </w:r>
            <w:bookmarkEnd w:id="235"/>
            <w:bookmarkEnd w:id="236"/>
            <w:bookmarkEnd w:id="238"/>
          </w:p>
        </w:tc>
      </w:tr>
      <w:bookmarkEnd w:id="237"/>
      <w:tr w14:paraId="292BE9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left w:val="single" w:color="auto" w:sz="12" w:space="0"/>
              <w:bottom w:val="single" w:color="auto" w:sz="4" w:space="0"/>
              <w:right w:val="single" w:color="auto" w:sz="4" w:space="0"/>
            </w:tcBorders>
            <w:vAlign w:val="center"/>
          </w:tcPr>
          <w:p w14:paraId="7605B3F8">
            <w:pPr>
              <w:pStyle w:val="34"/>
            </w:pPr>
            <w:r>
              <w:rPr>
                <w:lang w:bidi="ar"/>
              </w:rPr>
              <w:t>7</w:t>
            </w:r>
          </w:p>
        </w:tc>
        <w:tc>
          <w:tcPr>
            <w:tcW w:w="3961" w:type="dxa"/>
            <w:tcBorders>
              <w:top w:val="single" w:color="auto" w:sz="4" w:space="0"/>
              <w:left w:val="single" w:color="auto" w:sz="4" w:space="0"/>
              <w:bottom w:val="single" w:color="auto" w:sz="4" w:space="0"/>
              <w:right w:val="single" w:color="auto" w:sz="4" w:space="0"/>
            </w:tcBorders>
            <w:vAlign w:val="center"/>
          </w:tcPr>
          <w:p w14:paraId="53D61E57">
            <w:pPr>
              <w:pStyle w:val="34"/>
            </w:pPr>
            <w:r>
              <w:rPr>
                <w:rFonts w:hint="eastAsia"/>
                <w:lang w:bidi="ar"/>
              </w:rPr>
              <w:t>轨道基础</w:t>
            </w:r>
          </w:p>
        </w:tc>
        <w:tc>
          <w:tcPr>
            <w:tcW w:w="697" w:type="dxa"/>
            <w:tcBorders>
              <w:top w:val="single" w:color="auto" w:sz="4" w:space="0"/>
              <w:left w:val="single" w:color="auto" w:sz="4" w:space="0"/>
              <w:bottom w:val="single" w:color="auto" w:sz="4" w:space="0"/>
              <w:right w:val="single" w:color="auto" w:sz="4" w:space="0"/>
            </w:tcBorders>
            <w:vAlign w:val="center"/>
          </w:tcPr>
          <w:p w14:paraId="5856C326">
            <w:pPr>
              <w:pStyle w:val="34"/>
            </w:pPr>
            <w:r>
              <w:rPr>
                <w:lang w:bidi="ar"/>
              </w:rPr>
              <w:t>m</w:t>
            </w:r>
          </w:p>
        </w:tc>
        <w:tc>
          <w:tcPr>
            <w:tcW w:w="980" w:type="dxa"/>
            <w:tcBorders>
              <w:top w:val="single" w:color="auto" w:sz="4" w:space="0"/>
              <w:left w:val="single" w:color="auto" w:sz="4" w:space="0"/>
              <w:bottom w:val="single" w:color="auto" w:sz="4" w:space="0"/>
              <w:right w:val="single" w:color="auto" w:sz="4" w:space="0"/>
            </w:tcBorders>
            <w:vAlign w:val="center"/>
          </w:tcPr>
          <w:p w14:paraId="138976F4">
            <w:pPr>
              <w:pStyle w:val="34"/>
            </w:pPr>
            <w:r>
              <w:rPr>
                <w:lang w:bidi="ar"/>
              </w:rPr>
              <w:t>3150</w:t>
            </w:r>
          </w:p>
        </w:tc>
        <w:tc>
          <w:tcPr>
            <w:tcW w:w="1980" w:type="dxa"/>
            <w:tcBorders>
              <w:top w:val="single" w:color="auto" w:sz="4" w:space="0"/>
              <w:left w:val="single" w:color="auto" w:sz="4" w:space="0"/>
              <w:bottom w:val="single" w:color="auto" w:sz="4" w:space="0"/>
              <w:right w:val="single" w:color="auto" w:sz="12" w:space="0"/>
            </w:tcBorders>
            <w:vAlign w:val="center"/>
          </w:tcPr>
          <w:p w14:paraId="1BA52292">
            <w:pPr>
              <w:pStyle w:val="34"/>
            </w:pPr>
            <w:r>
              <w:rPr>
                <w:lang w:bidi="ar"/>
              </w:rPr>
              <w:t>PHC</w:t>
            </w:r>
            <w:r>
              <w:rPr>
                <w:rFonts w:hint="eastAsia"/>
                <w:lang w:bidi="ar"/>
              </w:rPr>
              <w:t>桩基轨道梁</w:t>
            </w:r>
          </w:p>
        </w:tc>
      </w:tr>
    </w:tbl>
    <w:p w14:paraId="36D0E018">
      <w:pPr>
        <w:pStyle w:val="6"/>
      </w:pPr>
      <w:r>
        <w:rPr>
          <w:rFonts w:hint="eastAsia"/>
        </w:rPr>
        <w:t>危险品堆场特殊要求</w:t>
      </w:r>
    </w:p>
    <w:p w14:paraId="2B5EC13E">
      <w:pPr>
        <w:ind w:firstLine="462"/>
        <w:rPr>
          <w:u w:val="single"/>
        </w:rPr>
      </w:pPr>
      <w:r>
        <w:rPr>
          <w:rFonts w:hint="eastAsia"/>
          <w:u w:val="single"/>
        </w:rPr>
        <w:t>项目危险品堆场根据《港口危险货物集装箱堆场设计规范》（JTS176—2020）进行设计，与普货集装箱堆场相比，危险品集装箱堆场相关设计如下：</w:t>
      </w:r>
    </w:p>
    <w:p w14:paraId="0BCECFE5">
      <w:pPr>
        <w:ind w:firstLine="462"/>
        <w:rPr>
          <w:u w:val="single"/>
        </w:rPr>
      </w:pPr>
      <w:r>
        <w:rPr>
          <w:rFonts w:hint="eastAsia"/>
          <w:u w:val="single"/>
        </w:rPr>
        <w:t>1、危险货物集装箱堆场四周设围网与其他区域隔离，满足《港口危险货物集装箱堆场设计规范》（JTS176-2020）第4.4.1条“危险货物集装箱堆场独立封闭布置，港口危险货物集装箱堆场应与其他堆场分开，单独、封闭布置”的规定。</w:t>
      </w:r>
    </w:p>
    <w:p w14:paraId="415ED224">
      <w:pPr>
        <w:ind w:firstLine="462"/>
        <w:rPr>
          <w:u w:val="single"/>
        </w:rPr>
      </w:pPr>
      <w:r>
        <w:rPr>
          <w:rFonts w:hint="eastAsia"/>
          <w:u w:val="single"/>
        </w:rPr>
        <w:t>2、该工程危险货物集装箱堆场设置应急处理场、值班室以及接闪杆、降温喷淋等配套设施，满足《港口危险货物集装箱堆场设计规范》（JTS176-2020）第3.0.3条“港口危险货物集装箱堆场应设置安全、消防和环保设施”的要求。</w:t>
      </w:r>
    </w:p>
    <w:p w14:paraId="6E8874E7">
      <w:pPr>
        <w:ind w:firstLine="462"/>
        <w:rPr>
          <w:u w:val="single"/>
        </w:rPr>
      </w:pPr>
      <w:r>
        <w:rPr>
          <w:rFonts w:hint="eastAsia"/>
          <w:u w:val="single"/>
        </w:rPr>
        <w:t>3、危险货物集装箱堆场与周边其他堆场、生产管理区等的安全间距满足规范要求。</w:t>
      </w:r>
    </w:p>
    <w:p w14:paraId="48BC591F">
      <w:pPr>
        <w:ind w:firstLine="462"/>
        <w:rPr>
          <w:u w:val="single"/>
        </w:rPr>
      </w:pPr>
      <w:r>
        <w:rPr>
          <w:rFonts w:hint="eastAsia"/>
          <w:u w:val="single"/>
        </w:rPr>
        <w:t>4、危险货物集装箱堆场荷载按照重载集装箱堆3层考虑，易燃易爆危险货物集装箱堆高2层（第2.1项最大堆高1层），其他危险货物集装箱类型堆高不超过3层，设计堆高符合《港口作业安全要求第3部分：危险货物集装箱》（GB16994.3-2021）第7.11条“易燃易爆危险货物集装箱堆码高度不应超过两层，其他危险货物集装箱堆码高度不应超过三层”的规定。</w:t>
      </w:r>
    </w:p>
    <w:p w14:paraId="7FC14083">
      <w:pPr>
        <w:ind w:firstLine="462"/>
        <w:rPr>
          <w:u w:val="single"/>
        </w:rPr>
      </w:pPr>
      <w:r>
        <w:rPr>
          <w:rFonts w:hint="eastAsia"/>
          <w:u w:val="single"/>
        </w:rPr>
        <w:t>5、危险货物集装箱堆场采用现浇防渗水泥混凝土面层，水泥稳定碎石基层及级配碎石底基层，地基压实，满足《港口危险货物集装箱堆场设计规范》（JTS176-2020）第5.1.1条、第5.2.1条要求。</w:t>
      </w:r>
    </w:p>
    <w:p w14:paraId="482AD737">
      <w:pPr>
        <w:ind w:firstLine="462"/>
        <w:rPr>
          <w:u w:val="single"/>
        </w:rPr>
      </w:pPr>
      <w:r>
        <w:rPr>
          <w:rFonts w:hint="eastAsia"/>
          <w:u w:val="single"/>
        </w:rPr>
        <w:t>6、危险货物集装箱堆场边设置应急处置场地、应急处置池（有效容积80m³）、回用水池（有效容积300m³）及事故水池（有效容积700m³），满足《港口危险货物集装箱堆场设计规范》（JTS176-2020）第7.0.1条、第7.0.2条、第7.0.3条要求。</w:t>
      </w:r>
    </w:p>
    <w:p w14:paraId="5FAAB14A">
      <w:pPr>
        <w:ind w:firstLine="462"/>
      </w:pPr>
      <w:r>
        <w:rPr>
          <w:rFonts w:hint="eastAsia"/>
          <w:u w:val="single"/>
        </w:rPr>
        <w:t>7、危险货物集装箱堆场产生的清洁雨水、喷淋降温水经收集后排入港区雨水管网，泄漏废水、消防废水经收集后进入事故水池，然后委托有资质的单位外运处理，满足《港口危险货物集装箱堆场设计规范》（JTS176-2020）第5.2.3条要求。</w:t>
      </w:r>
    </w:p>
    <w:p w14:paraId="14B4F7C7">
      <w:pPr>
        <w:pStyle w:val="5"/>
      </w:pPr>
      <w:r>
        <w:rPr>
          <w:rFonts w:hint="eastAsia"/>
        </w:rPr>
        <w:t>给水排水</w:t>
      </w:r>
    </w:p>
    <w:p w14:paraId="7D923766">
      <w:pPr>
        <w:pStyle w:val="6"/>
      </w:pPr>
      <w:r>
        <w:rPr>
          <w:rFonts w:hint="eastAsia"/>
        </w:rPr>
        <w:t>给水</w:t>
      </w:r>
    </w:p>
    <w:p w14:paraId="6D644767">
      <w:pPr>
        <w:ind w:firstLine="462"/>
      </w:pPr>
      <w:r>
        <w:rPr>
          <w:rFonts w:hint="eastAsia" w:cs="宋体"/>
          <w:szCs w:val="20"/>
          <w:lang w:bidi="ar"/>
        </w:rPr>
        <w:t>项目生活、消防给水水源来源于钦州港大榄坪港区大榄坪南作业区</w:t>
      </w:r>
      <w:r>
        <w:rPr>
          <w:szCs w:val="20"/>
          <w:lang w:bidi="ar"/>
        </w:rPr>
        <w:t>7</w:t>
      </w:r>
      <w:r>
        <w:rPr>
          <w:rFonts w:hint="eastAsia" w:cs="宋体"/>
          <w:szCs w:val="20"/>
          <w:lang w:bidi="ar"/>
        </w:rPr>
        <w:t>、</w:t>
      </w:r>
      <w:r>
        <w:rPr>
          <w:szCs w:val="20"/>
          <w:lang w:bidi="ar"/>
        </w:rPr>
        <w:t>8#</w:t>
      </w:r>
      <w:r>
        <w:rPr>
          <w:rFonts w:hint="eastAsia" w:cs="宋体"/>
          <w:szCs w:val="20"/>
          <w:lang w:bidi="ar"/>
        </w:rPr>
        <w:t>泊位工程的供水调节站，接管点位于港区与</w:t>
      </w:r>
      <w:r>
        <w:rPr>
          <w:szCs w:val="20"/>
          <w:lang w:bidi="ar"/>
        </w:rPr>
        <w:t>9</w:t>
      </w:r>
      <w:r>
        <w:rPr>
          <w:rFonts w:hint="eastAsia" w:cs="宋体"/>
          <w:szCs w:val="20"/>
          <w:lang w:bidi="ar"/>
        </w:rPr>
        <w:t>、</w:t>
      </w:r>
      <w:r>
        <w:rPr>
          <w:szCs w:val="20"/>
          <w:lang w:bidi="ar"/>
        </w:rPr>
        <w:t>10#</w:t>
      </w:r>
      <w:r>
        <w:rPr>
          <w:rFonts w:hint="eastAsia" w:cs="宋体"/>
          <w:szCs w:val="20"/>
          <w:lang w:bidi="ar"/>
        </w:rPr>
        <w:t>泊位交界处，生活给水管径为</w:t>
      </w:r>
      <w:r>
        <w:rPr>
          <w:szCs w:val="20"/>
          <w:lang w:bidi="ar"/>
        </w:rPr>
        <w:t xml:space="preserve"> DN200</w:t>
      </w:r>
      <w:r>
        <w:rPr>
          <w:rFonts w:hint="eastAsia" w:cs="宋体"/>
          <w:szCs w:val="20"/>
          <w:lang w:bidi="ar"/>
        </w:rPr>
        <w:t>，供水压力不小于</w:t>
      </w:r>
      <w:r>
        <w:rPr>
          <w:szCs w:val="20"/>
          <w:lang w:bidi="ar"/>
        </w:rPr>
        <w:t>0.35Mpa</w:t>
      </w:r>
      <w:r>
        <w:rPr>
          <w:rFonts w:hint="eastAsia" w:cs="宋体"/>
          <w:szCs w:val="20"/>
          <w:lang w:bidi="ar"/>
        </w:rPr>
        <w:t>；消防给水管径为</w:t>
      </w:r>
      <w:r>
        <w:rPr>
          <w:szCs w:val="20"/>
          <w:lang w:bidi="ar"/>
        </w:rPr>
        <w:t>DN250</w:t>
      </w:r>
      <w:r>
        <w:rPr>
          <w:rFonts w:hint="eastAsia" w:cs="宋体"/>
          <w:szCs w:val="20"/>
          <w:lang w:bidi="ar"/>
        </w:rPr>
        <w:t>，供水压力不小于</w:t>
      </w:r>
      <w:r>
        <w:rPr>
          <w:szCs w:val="20"/>
          <w:lang w:bidi="ar"/>
        </w:rPr>
        <w:t xml:space="preserve"> 0.45Mpa</w:t>
      </w:r>
      <w:r>
        <w:rPr>
          <w:rFonts w:hint="eastAsia" w:cs="宋体"/>
          <w:szCs w:val="20"/>
          <w:lang w:bidi="ar"/>
        </w:rPr>
        <w:t>，水质符合《生活饮用水卫生标准》（</w:t>
      </w:r>
      <w:r>
        <w:rPr>
          <w:szCs w:val="20"/>
          <w:lang w:bidi="ar"/>
        </w:rPr>
        <w:t>GB5749-2022</w:t>
      </w:r>
      <w:r>
        <w:rPr>
          <w:rFonts w:hint="eastAsia" w:cs="宋体"/>
          <w:szCs w:val="20"/>
          <w:lang w:bidi="ar"/>
        </w:rPr>
        <w:t>）。</w:t>
      </w:r>
    </w:p>
    <w:p w14:paraId="3B14244B">
      <w:pPr>
        <w:ind w:firstLine="462"/>
      </w:pPr>
      <w:r>
        <w:rPr>
          <w:rFonts w:hint="eastAsia" w:cs="宋体"/>
          <w:szCs w:val="20"/>
          <w:lang w:bidi="ar"/>
        </w:rPr>
        <w:t>工程设置船舶</w:t>
      </w:r>
      <w:r>
        <w:rPr>
          <w:szCs w:val="20"/>
          <w:lang w:bidi="ar"/>
        </w:rPr>
        <w:t>+</w:t>
      </w:r>
      <w:r>
        <w:rPr>
          <w:rFonts w:hint="eastAsia" w:cs="宋体"/>
          <w:szCs w:val="20"/>
          <w:lang w:bidi="ar"/>
        </w:rPr>
        <w:t>生活</w:t>
      </w:r>
      <w:r>
        <w:rPr>
          <w:szCs w:val="20"/>
          <w:lang w:bidi="ar"/>
        </w:rPr>
        <w:t>+</w:t>
      </w:r>
      <w:r>
        <w:rPr>
          <w:rFonts w:hint="eastAsia" w:cs="宋体"/>
          <w:szCs w:val="20"/>
          <w:lang w:bidi="ar"/>
        </w:rPr>
        <w:t>生产给水系统与已建</w:t>
      </w:r>
      <w:r>
        <w:rPr>
          <w:szCs w:val="20"/>
          <w:lang w:bidi="ar"/>
        </w:rPr>
        <w:t>9</w:t>
      </w:r>
      <w:r>
        <w:rPr>
          <w:rFonts w:hint="eastAsia" w:cs="宋体"/>
          <w:szCs w:val="20"/>
          <w:lang w:bidi="ar"/>
        </w:rPr>
        <w:t>号</w:t>
      </w:r>
      <w:r>
        <w:rPr>
          <w:szCs w:val="20"/>
          <w:lang w:bidi="ar"/>
        </w:rPr>
        <w:t>10</w:t>
      </w:r>
      <w:r>
        <w:rPr>
          <w:rFonts w:hint="eastAsia" w:cs="宋体"/>
          <w:szCs w:val="20"/>
          <w:lang w:bidi="ar"/>
        </w:rPr>
        <w:t>号泊位船舶</w:t>
      </w:r>
      <w:r>
        <w:rPr>
          <w:szCs w:val="20"/>
          <w:lang w:bidi="ar"/>
        </w:rPr>
        <w:t>+</w:t>
      </w:r>
      <w:r>
        <w:rPr>
          <w:rFonts w:hint="eastAsia" w:cs="宋体"/>
          <w:szCs w:val="20"/>
          <w:lang w:bidi="ar"/>
        </w:rPr>
        <w:t>生活</w:t>
      </w:r>
      <w:r>
        <w:rPr>
          <w:szCs w:val="20"/>
          <w:lang w:bidi="ar"/>
        </w:rPr>
        <w:t>+</w:t>
      </w:r>
      <w:r>
        <w:rPr>
          <w:rFonts w:hint="eastAsia" w:cs="宋体"/>
          <w:szCs w:val="20"/>
          <w:lang w:bidi="ar"/>
        </w:rPr>
        <w:t>生产给水系统呈环状布置，主干管管径</w:t>
      </w:r>
      <w:r>
        <w:rPr>
          <w:szCs w:val="20"/>
          <w:lang w:bidi="ar"/>
        </w:rPr>
        <w:t>DN200</w:t>
      </w:r>
      <w:r>
        <w:rPr>
          <w:rFonts w:hint="eastAsia" w:cs="宋体"/>
          <w:szCs w:val="20"/>
          <w:lang w:bidi="ar"/>
        </w:rPr>
        <w:t>，系统工作压力</w:t>
      </w:r>
      <w:r>
        <w:rPr>
          <w:szCs w:val="20"/>
          <w:lang w:bidi="ar"/>
        </w:rPr>
        <w:t>0.60MPa</w:t>
      </w:r>
      <w:r>
        <w:rPr>
          <w:rFonts w:hint="eastAsia" w:cs="宋体"/>
          <w:szCs w:val="20"/>
          <w:lang w:bidi="ar"/>
        </w:rPr>
        <w:t>，管道沿途敷设在道路边或管沟内。</w:t>
      </w:r>
    </w:p>
    <w:p w14:paraId="0EC11E0D">
      <w:pPr>
        <w:ind w:firstLine="462"/>
      </w:pPr>
      <w:r>
        <w:rPr>
          <w:rFonts w:hint="eastAsia" w:cs="宋体"/>
          <w:szCs w:val="20"/>
          <w:lang w:bidi="ar"/>
        </w:rPr>
        <w:t>危险货物堆场在应急处置场地等附近设置淋浴洗眼器，洗眼器带声光报警及流量信号传输功能。危险货物堆场设置降温喷淋给水系统，主要为需降温的危险货物箱进行喷水冷却，防止因温度骤升引起的自燃、爆炸风险，以减少火灾隐患。降温喷淋管网呈支状布置，主管管径</w:t>
      </w:r>
      <w:r>
        <w:rPr>
          <w:szCs w:val="20"/>
          <w:lang w:bidi="ar"/>
        </w:rPr>
        <w:t>DN150</w:t>
      </w:r>
      <w:r>
        <w:rPr>
          <w:rFonts w:hint="eastAsia" w:cs="宋体"/>
          <w:szCs w:val="20"/>
          <w:lang w:bidi="ar"/>
        </w:rPr>
        <w:t>，压力等级</w:t>
      </w:r>
      <w:r>
        <w:rPr>
          <w:szCs w:val="20"/>
          <w:lang w:bidi="ar"/>
        </w:rPr>
        <w:t>1.6MPa</w:t>
      </w:r>
      <w:r>
        <w:rPr>
          <w:rFonts w:hint="eastAsia" w:cs="宋体"/>
          <w:szCs w:val="20"/>
          <w:lang w:bidi="ar"/>
        </w:rPr>
        <w:t>，供给堆场区域的喷枪供水。当室外环境温度超过</w:t>
      </w:r>
      <w:r>
        <w:rPr>
          <w:szCs w:val="20"/>
          <w:lang w:bidi="ar"/>
        </w:rPr>
        <w:t>30</w:t>
      </w:r>
      <w:r>
        <w:rPr>
          <w:rFonts w:hint="eastAsia" w:cs="宋体"/>
          <w:szCs w:val="20"/>
          <w:lang w:bidi="ar"/>
        </w:rPr>
        <w:t>°</w:t>
      </w:r>
      <w:r>
        <w:rPr>
          <w:szCs w:val="20"/>
          <w:lang w:bidi="ar"/>
        </w:rPr>
        <w:t>C</w:t>
      </w:r>
      <w:r>
        <w:rPr>
          <w:rFonts w:hint="eastAsia" w:cs="宋体"/>
          <w:szCs w:val="20"/>
          <w:lang w:bidi="ar"/>
        </w:rPr>
        <w:t>时，根据堆存货种需求开启喷淋降温系统，一次开启喷枪数量（每个喷枪流量</w:t>
      </w:r>
      <w:r>
        <w:rPr>
          <w:szCs w:val="20"/>
          <w:lang w:bidi="ar"/>
        </w:rPr>
        <w:t>10m</w:t>
      </w:r>
      <w:r>
        <w:rPr>
          <w:szCs w:val="20"/>
          <w:vertAlign w:val="superscript"/>
          <w:lang w:bidi="ar"/>
        </w:rPr>
        <w:t>3</w:t>
      </w:r>
      <w:r>
        <w:rPr>
          <w:szCs w:val="20"/>
          <w:lang w:bidi="ar"/>
        </w:rPr>
        <w:t>/h</w:t>
      </w:r>
      <w:r>
        <w:rPr>
          <w:rFonts w:hint="eastAsia" w:cs="宋体"/>
          <w:szCs w:val="20"/>
          <w:lang w:bidi="ar"/>
        </w:rPr>
        <w:t>，压力</w:t>
      </w:r>
      <w:r>
        <w:rPr>
          <w:szCs w:val="20"/>
          <w:lang w:bidi="ar"/>
        </w:rPr>
        <w:t>0.3MPa</w:t>
      </w:r>
      <w:r>
        <w:rPr>
          <w:rFonts w:hint="eastAsia" w:cs="宋体"/>
          <w:szCs w:val="20"/>
          <w:lang w:bidi="ar"/>
        </w:rPr>
        <w:t>）</w:t>
      </w:r>
      <w:r>
        <w:rPr>
          <w:szCs w:val="20"/>
          <w:lang w:bidi="ar"/>
        </w:rPr>
        <w:t>2</w:t>
      </w:r>
      <w:r>
        <w:rPr>
          <w:rFonts w:hint="eastAsia" w:cs="宋体"/>
          <w:szCs w:val="20"/>
          <w:lang w:bidi="ar"/>
        </w:rPr>
        <w:t>台，各喷枪逐次轮流启动；每台喷枪均可独立控制，控制系统位于值班室。</w:t>
      </w:r>
    </w:p>
    <w:p w14:paraId="21AA932B">
      <w:pPr>
        <w:pStyle w:val="6"/>
      </w:pPr>
      <w:r>
        <w:rPr>
          <w:rFonts w:hint="eastAsia"/>
        </w:rPr>
        <w:t>排水</w:t>
      </w:r>
    </w:p>
    <w:p w14:paraId="2FBE7560">
      <w:pPr>
        <w:ind w:firstLine="462"/>
        <w:rPr>
          <w:rFonts w:cs="宋体"/>
          <w:szCs w:val="20"/>
          <w:u w:val="single"/>
          <w:lang w:bidi="ar"/>
        </w:rPr>
      </w:pPr>
      <w:r>
        <w:rPr>
          <w:rFonts w:hint="eastAsia" w:cs="宋体"/>
          <w:szCs w:val="20"/>
          <w:u w:val="single"/>
          <w:lang w:bidi="ar"/>
        </w:rPr>
        <w:t>港区采取雨污分流，其中雨水经排水明沟、暗管收集后经码头雨水排口排放；本项目雨水排水体系与9、10号泊位扩建工程衔接，陆域北部雨水管网经本</w:t>
      </w:r>
      <w:bookmarkStart w:id="239" w:name="OLE_LINK517"/>
      <w:r>
        <w:rPr>
          <w:rFonts w:hint="eastAsia" w:cs="宋体"/>
          <w:szCs w:val="20"/>
          <w:u w:val="single"/>
          <w:lang w:bidi="ar"/>
        </w:rPr>
        <w:t>码头前沿平台</w:t>
      </w:r>
      <w:bookmarkEnd w:id="239"/>
      <w:r>
        <w:rPr>
          <w:rFonts w:hint="eastAsia" w:cs="宋体"/>
          <w:szCs w:val="20"/>
          <w:u w:val="single"/>
          <w:lang w:bidi="ar"/>
        </w:rPr>
        <w:t>北侧一处雨水排水口排放，南侧雨水管道与9、10号泊位扩建工程已设计管道连接，最终经9、10号泊位扩建工程码头前沿平台雨水排水口排放。</w:t>
      </w:r>
    </w:p>
    <w:p w14:paraId="27DCA62C">
      <w:pPr>
        <w:ind w:firstLine="462"/>
        <w:rPr>
          <w:rFonts w:cs="宋体"/>
          <w:szCs w:val="20"/>
          <w:lang w:bidi="ar"/>
        </w:rPr>
      </w:pPr>
      <w:r>
        <w:rPr>
          <w:rFonts w:hint="eastAsia" w:cs="宋体"/>
          <w:szCs w:val="20"/>
          <w:u w:val="single"/>
          <w:lang w:bidi="ar"/>
        </w:rPr>
        <w:t>在码头前沿设置（附图14）</w:t>
      </w:r>
      <w:r>
        <w:rPr>
          <w:rFonts w:hint="eastAsia" w:cs="宋体"/>
          <w:szCs w:val="20"/>
          <w:lang w:bidi="ar"/>
        </w:rPr>
        <w:t>；港区生活污水依托</w:t>
      </w:r>
      <w:r>
        <w:rPr>
          <w:szCs w:val="20"/>
          <w:lang w:bidi="ar"/>
        </w:rPr>
        <w:t>7#</w:t>
      </w:r>
      <w:r>
        <w:rPr>
          <w:rFonts w:hint="eastAsia" w:cs="宋体"/>
          <w:szCs w:val="20"/>
          <w:lang w:bidi="ar"/>
        </w:rPr>
        <w:t>、</w:t>
      </w:r>
      <w:r>
        <w:rPr>
          <w:szCs w:val="20"/>
          <w:lang w:bidi="ar"/>
        </w:rPr>
        <w:t>8#</w:t>
      </w:r>
      <w:r>
        <w:rPr>
          <w:rFonts w:hint="eastAsia" w:cs="宋体"/>
          <w:szCs w:val="20"/>
          <w:lang w:bidi="ar"/>
        </w:rPr>
        <w:t>泊位生活污水处理站处理达到《污水综合排放标准》（</w:t>
      </w:r>
      <w:r>
        <w:rPr>
          <w:szCs w:val="20"/>
          <w:lang w:bidi="ar"/>
        </w:rPr>
        <w:t>GB 8978-1996</w:t>
      </w:r>
      <w:r>
        <w:rPr>
          <w:rFonts w:hint="eastAsia" w:cs="宋体"/>
          <w:szCs w:val="20"/>
          <w:lang w:bidi="ar"/>
        </w:rPr>
        <w:t>）三级标准后排入大榄坪污水处理厂。</w:t>
      </w:r>
    </w:p>
    <w:p w14:paraId="676EC7C2">
      <w:pPr>
        <w:ind w:firstLine="462"/>
      </w:pPr>
      <w:r>
        <w:rPr>
          <w:rFonts w:hint="eastAsia"/>
        </w:rPr>
        <w:t xml:space="preserve">船舶含油污水、生活污水原则上船舶靠岸后有需求的由码头联系有资质单位前往码头接收；码头前沿设置船舶生活污水接收设施和船舶含油污水接收设施，应急时船舶生活污水、船舶含油污水分别通过接收设施进入生活污水收集箱和含油污水接收箱，生活污水经收集后泵送至 </w:t>
      </w:r>
      <w:bookmarkStart w:id="240" w:name="OLE_LINK31"/>
      <w:r>
        <w:rPr>
          <w:rFonts w:hint="eastAsia"/>
        </w:rPr>
        <w:t>7 # 、8 #</w:t>
      </w:r>
      <w:bookmarkEnd w:id="240"/>
      <w:r>
        <w:rPr>
          <w:rFonts w:hint="eastAsia"/>
        </w:rPr>
        <w:t>泊位的生活污水处理站预处理后排入大榄坪污水处理厂，含油污水委托有资质单位接收处理。</w:t>
      </w:r>
    </w:p>
    <w:p w14:paraId="226CB264">
      <w:pPr>
        <w:ind w:firstLine="462"/>
      </w:pPr>
      <w:bookmarkStart w:id="241" w:name="OLE_LINK50"/>
      <w:r>
        <w:rPr>
          <w:rFonts w:hint="eastAsia"/>
        </w:rPr>
        <w:t>项目24#堆场南端材料库设有一处洗车间，洗车废水经污水管进入7 # 、8 #泊位生产废水处理站处理达《污水综合排放标准》（GB 8978-1996）三级标准后进入大榄坪污水处理厂。</w:t>
      </w:r>
    </w:p>
    <w:bookmarkEnd w:id="241"/>
    <w:p w14:paraId="56DFBFBF">
      <w:pPr>
        <w:pStyle w:val="5"/>
      </w:pPr>
      <w:bookmarkStart w:id="242" w:name="OLE_LINK279"/>
      <w:r>
        <w:rPr>
          <w:rFonts w:hint="eastAsia"/>
        </w:rPr>
        <w:t>环保及风险防范措施</w:t>
      </w:r>
    </w:p>
    <w:bookmarkEnd w:id="242"/>
    <w:p w14:paraId="60CBF374">
      <w:pPr>
        <w:ind w:firstLine="462"/>
      </w:pPr>
      <w:r>
        <w:rPr>
          <w:rFonts w:hint="eastAsia" w:cs="宋体"/>
          <w:szCs w:val="20"/>
          <w:lang w:bidi="ar"/>
        </w:rPr>
        <w:t>项目</w:t>
      </w:r>
      <w:bookmarkStart w:id="243" w:name="OLE_LINK52"/>
      <w:r>
        <w:rPr>
          <w:rFonts w:hint="eastAsia" w:cs="宋体"/>
          <w:szCs w:val="20"/>
          <w:lang w:bidi="ar"/>
        </w:rPr>
        <w:t>生活污水、生产废水、危险废物等均依托</w:t>
      </w:r>
      <w:r>
        <w:rPr>
          <w:szCs w:val="20"/>
          <w:lang w:bidi="ar"/>
        </w:rPr>
        <w:t>7</w:t>
      </w:r>
      <w:r>
        <w:rPr>
          <w:rFonts w:hint="eastAsia" w:cs="宋体"/>
          <w:szCs w:val="20"/>
          <w:lang w:bidi="ar"/>
        </w:rPr>
        <w:t>号</w:t>
      </w:r>
      <w:r>
        <w:rPr>
          <w:szCs w:val="20"/>
          <w:lang w:bidi="ar"/>
        </w:rPr>
        <w:t>8</w:t>
      </w:r>
      <w:r>
        <w:rPr>
          <w:rFonts w:hint="eastAsia" w:cs="宋体"/>
          <w:szCs w:val="20"/>
          <w:lang w:bidi="ar"/>
        </w:rPr>
        <w:t>号泊位已建设施，与</w:t>
      </w:r>
      <w:r>
        <w:rPr>
          <w:szCs w:val="20"/>
          <w:lang w:bidi="ar"/>
        </w:rPr>
        <w:t>7</w:t>
      </w:r>
      <w:r>
        <w:rPr>
          <w:rFonts w:hint="eastAsia" w:cs="宋体"/>
          <w:szCs w:val="20"/>
          <w:lang w:bidi="ar"/>
        </w:rPr>
        <w:t>号</w:t>
      </w:r>
      <w:r>
        <w:rPr>
          <w:szCs w:val="20"/>
          <w:lang w:bidi="ar"/>
        </w:rPr>
        <w:t>~10</w:t>
      </w:r>
      <w:r>
        <w:rPr>
          <w:rFonts w:hint="eastAsia" w:cs="宋体"/>
          <w:szCs w:val="20"/>
          <w:lang w:bidi="ar"/>
        </w:rPr>
        <w:t>号泊位及</w:t>
      </w:r>
      <w:r>
        <w:rPr>
          <w:szCs w:val="20"/>
          <w:lang w:bidi="ar"/>
        </w:rPr>
        <w:t>9</w:t>
      </w:r>
      <w:r>
        <w:rPr>
          <w:rFonts w:hint="eastAsia" w:cs="宋体"/>
          <w:szCs w:val="20"/>
          <w:lang w:bidi="ar"/>
        </w:rPr>
        <w:t>号</w:t>
      </w:r>
      <w:r>
        <w:rPr>
          <w:szCs w:val="20"/>
          <w:lang w:bidi="ar"/>
        </w:rPr>
        <w:t>10</w:t>
      </w:r>
      <w:r>
        <w:rPr>
          <w:rFonts w:hint="eastAsia" w:cs="宋体"/>
          <w:szCs w:val="20"/>
          <w:lang w:bidi="ar"/>
        </w:rPr>
        <w:t>号泊位扩建工程共用。</w:t>
      </w:r>
      <w:bookmarkEnd w:id="243"/>
      <w:r>
        <w:rPr>
          <w:rFonts w:hint="eastAsia" w:cs="宋体"/>
          <w:szCs w:val="20"/>
          <w:lang w:bidi="ar"/>
        </w:rPr>
        <w:t>项目本次拟针对危险货物集装箱堆场新增风险防范措施。</w:t>
      </w:r>
    </w:p>
    <w:p w14:paraId="4068513A">
      <w:pPr>
        <w:ind w:firstLine="462"/>
      </w:pPr>
      <w:r>
        <w:t>根据《水运工程环境保护设计规范》（JTS149-2018）10.2.3款“危险货物集装箱堆场必须设置</w:t>
      </w:r>
      <w:r>
        <w:rPr>
          <w:b/>
          <w:bCs/>
        </w:rPr>
        <w:t>独立的应急处理场地和应急处置池</w:t>
      </w:r>
      <w:r>
        <w:t>。应急处理场地面积不小于2个TEU箱位所占面积，应急处置池容积不应小于40m</w:t>
      </w:r>
      <w:r>
        <w:rPr>
          <w:vertAlign w:val="superscript"/>
        </w:rPr>
        <w:t>3</w:t>
      </w:r>
      <w:r>
        <w:t>。”10.2.4款“危险货物集装箱堆场必须设置</w:t>
      </w:r>
      <w:r>
        <w:rPr>
          <w:b/>
          <w:bCs/>
        </w:rPr>
        <w:t>独立的污水收集系统</w:t>
      </w:r>
      <w:r>
        <w:t>。堆场四周必须设置独立排水沟，场地冲洗水、消防水应设水池收集。收集水池必须与港区排水系统隔离，水池容积应根据货物类型、消防延续时间和消防用水量计算确定。”</w:t>
      </w:r>
    </w:p>
    <w:p w14:paraId="7D00FB6D">
      <w:pPr>
        <w:numPr>
          <w:ilvl w:val="0"/>
          <w:numId w:val="50"/>
        </w:numPr>
        <w:ind w:firstLineChars="0"/>
        <w:rPr>
          <w:rFonts w:hint="eastAsia" w:ascii="宋体" w:hAnsi="宋体" w:cs="宋体"/>
        </w:rPr>
      </w:pPr>
      <w:r>
        <w:t>应急处理场地和应急处置池</w:t>
      </w:r>
    </w:p>
    <w:p w14:paraId="29BA913D">
      <w:pPr>
        <w:ind w:firstLine="462"/>
      </w:pPr>
      <w:r>
        <w:rPr>
          <w:rFonts w:hint="eastAsia"/>
        </w:rPr>
        <w:t>项目拟在危险品集装箱堆场建设一处独立应急处理场地，应急处理场地面积大于2个TEU箱位占地面积，配套建设应急处置池容积80 m³＞4</w:t>
      </w:r>
      <w:r>
        <w:t>0</w:t>
      </w:r>
      <w:bookmarkStart w:id="244" w:name="OLE_LINK78"/>
      <w:r>
        <w:rPr>
          <w:rFonts w:hint="eastAsia"/>
        </w:rPr>
        <w:t>m³</w:t>
      </w:r>
      <w:bookmarkEnd w:id="244"/>
      <w:r>
        <w:rPr>
          <w:rFonts w:hint="eastAsia"/>
        </w:rPr>
        <w:t>；项目设置的应急处理场地和应急处置池</w:t>
      </w:r>
      <w:bookmarkStart w:id="245" w:name="OLE_LINK80"/>
      <w:r>
        <w:rPr>
          <w:rFonts w:hint="eastAsia"/>
        </w:rPr>
        <w:t>满足</w:t>
      </w:r>
      <w:r>
        <w:t>《水运工程环境保护设计规范》（JTS149-2018）</w:t>
      </w:r>
      <w:r>
        <w:rPr>
          <w:rFonts w:hint="eastAsia"/>
        </w:rPr>
        <w:t>要求。</w:t>
      </w:r>
      <w:bookmarkEnd w:id="245"/>
    </w:p>
    <w:p w14:paraId="05AEFF7B">
      <w:pPr>
        <w:ind w:firstLine="462"/>
        <w:rPr>
          <w:u w:val="single"/>
        </w:rPr>
      </w:pPr>
      <w:r>
        <w:rPr>
          <w:rFonts w:hint="eastAsia"/>
          <w:u w:val="single"/>
        </w:rPr>
        <w:t>该应急处理场地主要用于危险货物集装箱堆场内发生危险货物集装箱破损情况下的紧急处理和收集。一旦发现危险货物</w:t>
      </w:r>
      <w:bookmarkStart w:id="246" w:name="OLE_LINK267"/>
      <w:r>
        <w:rPr>
          <w:rFonts w:hint="eastAsia"/>
          <w:u w:val="single"/>
        </w:rPr>
        <w:t>集装箱破损</w:t>
      </w:r>
      <w:bookmarkEnd w:id="246"/>
      <w:r>
        <w:rPr>
          <w:rFonts w:hint="eastAsia"/>
          <w:u w:val="single"/>
        </w:rPr>
        <w:t>泄露事件，立即将破损箱体转移至应急处理场地，尽量将泄漏事态控制在应急处理场地范围内，并启动应急响应，在此工程中危险品持续泄露、或在此过程中产生的其他废水，进入到应急处理池内收集。事故结束后，委托由有资质单位对泄漏物质和事故水抽吸外运处理。</w:t>
      </w:r>
    </w:p>
    <w:p w14:paraId="55383668">
      <w:pPr>
        <w:ind w:firstLine="462"/>
        <w:rPr>
          <w:u w:val="single"/>
        </w:rPr>
      </w:pPr>
      <w:r>
        <w:rPr>
          <w:rFonts w:hint="eastAsia"/>
          <w:u w:val="single"/>
        </w:rPr>
        <w:t>应急处理场与应急池为联动状态，一旦集装箱破损箱进入应急处理场地，立即打开与应急处理池联通阀，通过阀门控制使其成为独立系统。</w:t>
      </w:r>
    </w:p>
    <w:p w14:paraId="23826B81">
      <w:pPr>
        <w:ind w:firstLine="0" w:firstLineChars="0"/>
      </w:pPr>
      <w:r>
        <w:object>
          <v:shape id="_x0000_i1025" o:spt="75" type="#_x0000_t75" style="height:153.1pt;width:376.4pt;" o:ole="t" filled="f" o:preferrelative="t" stroked="f" coordsize="21600,21600">
            <v:path/>
            <v:fill on="f" focussize="0,0"/>
            <v:stroke on="f" joinstyle="miter"/>
            <v:imagedata r:id="rId50" o:title=""/>
            <o:lock v:ext="edit" aspectratio="t"/>
            <w10:wrap type="none"/>
            <w10:anchorlock/>
          </v:shape>
          <o:OLEObject Type="Embed" ProgID="Visio.Drawing.11" ShapeID="_x0000_i1025" DrawAspect="Content" ObjectID="_1468075725" r:id="rId49">
            <o:LockedField>false</o:LockedField>
          </o:OLEObject>
        </w:object>
      </w:r>
    </w:p>
    <w:p w14:paraId="195F5D6B">
      <w:pPr>
        <w:pStyle w:val="8"/>
      </w:pPr>
      <w:r>
        <w:rPr>
          <w:rFonts w:hint="eastAsia"/>
        </w:rPr>
        <w:t>危险品堆场应急处理场地、处置池等运行示意图</w:t>
      </w:r>
    </w:p>
    <w:p w14:paraId="7562A8C0">
      <w:pPr>
        <w:numPr>
          <w:ilvl w:val="0"/>
          <w:numId w:val="50"/>
        </w:numPr>
        <w:ind w:firstLineChars="0"/>
      </w:pPr>
      <w:r>
        <w:rPr>
          <w:rFonts w:hint="eastAsia"/>
        </w:rPr>
        <w:t>独立的污水收集系统和集污池</w:t>
      </w:r>
    </w:p>
    <w:p w14:paraId="0BA35565">
      <w:pPr>
        <w:ind w:firstLine="462"/>
        <w:rPr>
          <w:rFonts w:hint="eastAsia" w:ascii="宋体" w:hAnsi="宋体" w:cs="宋体"/>
        </w:rPr>
      </w:pPr>
      <w:r>
        <w:rPr>
          <w:rFonts w:hint="eastAsia" w:ascii="宋体" w:hAnsi="宋体" w:cs="宋体"/>
        </w:rPr>
        <w:t>本项目危险品堆场四周设置独立排水沟，并在堆场设有配套事故水池，有效容</w:t>
      </w:r>
      <w:r>
        <w:t>积700m³</w:t>
      </w:r>
      <w:r>
        <w:rPr>
          <w:rFonts w:hint="eastAsia" w:ascii="宋体" w:hAnsi="宋体" w:cs="宋体"/>
        </w:rPr>
        <w:t>。</w:t>
      </w:r>
    </w:p>
    <w:p w14:paraId="22F4FB3D">
      <w:pPr>
        <w:ind w:firstLine="462"/>
      </w:pPr>
      <w:r>
        <w:rPr>
          <w:rFonts w:hint="eastAsia" w:ascii="宋体" w:hAnsi="宋体" w:cs="宋体"/>
          <w:kern w:val="0"/>
        </w:rPr>
        <w:t>项目堆场危险品涉及液体化学品，事故收集水池容积根据发生事故的一个罐组物料量和消防用水量计算。</w:t>
      </w:r>
      <w:r>
        <w:t>其中发生事故的一个罐组物料量按一个标准集装箱完全泄露，按20GP标准集装箱最大容积33.1m</w:t>
      </w:r>
      <w:r>
        <w:rPr>
          <w:vertAlign w:val="superscript"/>
        </w:rPr>
        <w:t>3</w:t>
      </w:r>
      <w:r>
        <w:t>；发生事故时的消防用水根据码头设计资料进行计算，堆场消防水量</w:t>
      </w:r>
      <w:r>
        <w:rPr>
          <w:rFonts w:hint="eastAsia"/>
        </w:rPr>
        <w:t>40</w:t>
      </w:r>
      <w:r>
        <w:t>L/s，火灾延续时间3h，则消防用水量为</w:t>
      </w:r>
      <w:r>
        <w:rPr>
          <w:rFonts w:hint="eastAsia"/>
        </w:rPr>
        <w:t>432</w:t>
      </w:r>
      <w:r>
        <w:t>m³</w:t>
      </w:r>
      <w:r>
        <w:rPr>
          <w:rFonts w:hint="eastAsia"/>
        </w:rPr>
        <w:t>。因此，项目发生事故时废水量约为</w:t>
      </w:r>
      <w:bookmarkStart w:id="247" w:name="OLE_LINK79"/>
      <w:r>
        <w:rPr>
          <w:rFonts w:hint="eastAsia"/>
        </w:rPr>
        <w:t>465.1m³</w:t>
      </w:r>
      <w:bookmarkEnd w:id="247"/>
      <w:r>
        <w:rPr>
          <w:rFonts w:hint="eastAsia"/>
        </w:rPr>
        <w:t>。项目设置的事故水池容积为</w:t>
      </w:r>
      <w:r>
        <w:t>700m³</w:t>
      </w:r>
      <w:r>
        <w:rPr>
          <w:rFonts w:hint="eastAsia"/>
        </w:rPr>
        <w:t>＞事故最大废水量465.1m³。项目设置的</w:t>
      </w:r>
      <w:r>
        <w:rPr>
          <w:rFonts w:hint="eastAsia" w:ascii="宋体" w:hAnsi="宋体" w:cs="宋体"/>
        </w:rPr>
        <w:t>事故水池</w:t>
      </w:r>
      <w:r>
        <w:rPr>
          <w:rFonts w:hint="eastAsia"/>
        </w:rPr>
        <w:t>满足</w:t>
      </w:r>
      <w:r>
        <w:t>《水运工程环境保护设计规范》（JTS149-2018）</w:t>
      </w:r>
      <w:r>
        <w:rPr>
          <w:rFonts w:hint="eastAsia"/>
        </w:rPr>
        <w:t>要求。</w:t>
      </w:r>
    </w:p>
    <w:p w14:paraId="06B8E6FC">
      <w:pPr>
        <w:ind w:firstLine="0" w:firstLineChars="0"/>
        <w:jc w:val="center"/>
      </w:pPr>
      <w:bookmarkStart w:id="248" w:name="OLE_LINK2"/>
      <w:r>
        <w:object>
          <v:shape id="_x0000_i1026" o:spt="75" type="#_x0000_t75" style="height:171.35pt;width:401.9pt;" o:ole="t" filled="f" o:preferrelative="t" stroked="f" coordsize="21600,21600">
            <v:path/>
            <v:fill on="f" focussize="0,0"/>
            <v:stroke on="f" joinstyle="miter"/>
            <v:imagedata r:id="rId52" o:title=""/>
            <o:lock v:ext="edit" aspectratio="t"/>
            <w10:wrap type="none"/>
            <w10:anchorlock/>
          </v:shape>
          <o:OLEObject Type="Embed" ProgID="Visio.Drawing.11" ShapeID="_x0000_i1026" DrawAspect="Content" ObjectID="_1468075726" r:id="rId51">
            <o:LockedField>false</o:LockedField>
          </o:OLEObject>
        </w:object>
      </w:r>
      <w:bookmarkEnd w:id="248"/>
    </w:p>
    <w:p w14:paraId="5B5A0553">
      <w:pPr>
        <w:pStyle w:val="8"/>
      </w:pPr>
      <w:r>
        <w:rPr>
          <w:rFonts w:hint="eastAsia"/>
        </w:rPr>
        <w:t>危险品堆场集污池运行示意图</w:t>
      </w:r>
    </w:p>
    <w:p w14:paraId="5BA6FBE3">
      <w:pPr>
        <w:pStyle w:val="5"/>
      </w:pPr>
      <w:bookmarkStart w:id="249" w:name="OLE_LINK278"/>
      <w:r>
        <w:rPr>
          <w:rFonts w:hint="eastAsia"/>
        </w:rPr>
        <w:t>依托工程</w:t>
      </w:r>
    </w:p>
    <w:bookmarkEnd w:id="249"/>
    <w:p w14:paraId="7AD7BFBB">
      <w:pPr>
        <w:ind w:firstLine="462"/>
      </w:pPr>
      <w:r>
        <w:rPr>
          <w:rFonts w:hint="eastAsia"/>
        </w:rPr>
        <w:t>项目拟依托9号10号泊位扩建工程直立式消浪护岸形成泊位，相关的生活污水、生产废水、危险废物及应急物资等均依托7号8号泊位已建设施，与7号~10号泊位及9号10号泊位扩建工程共用。</w:t>
      </w:r>
    </w:p>
    <w:p w14:paraId="70F3E67E">
      <w:pPr>
        <w:pStyle w:val="6"/>
      </w:pPr>
      <w:r>
        <w:rPr>
          <w:rFonts w:hint="eastAsia"/>
        </w:rPr>
        <w:t>大榄坪南作业区</w:t>
      </w:r>
      <w:bookmarkStart w:id="250" w:name="OLE_LINK34"/>
      <w:r>
        <w:rPr>
          <w:rFonts w:hint="eastAsia"/>
        </w:rPr>
        <w:t>9号10号泊位扩建工程</w:t>
      </w:r>
      <w:bookmarkEnd w:id="250"/>
      <w:r>
        <w:rPr>
          <w:rFonts w:hint="eastAsia"/>
        </w:rPr>
        <w:t>建设概况</w:t>
      </w:r>
    </w:p>
    <w:p w14:paraId="3069F4E8">
      <w:pPr>
        <w:ind w:firstLine="462"/>
      </w:pPr>
      <w:r>
        <w:rPr>
          <w:rFonts w:hint="eastAsia"/>
        </w:rPr>
        <w:t>项目紧邻</w:t>
      </w:r>
      <w:bookmarkStart w:id="251" w:name="OLE_LINK48"/>
      <w:r>
        <w:rPr>
          <w:rFonts w:hint="eastAsia"/>
        </w:rPr>
        <w:t>北部湾港钦州港域大榄坪港区大榄坪南作业区9号10号泊位扩建工程</w:t>
      </w:r>
      <w:bookmarkEnd w:id="251"/>
      <w:r>
        <w:rPr>
          <w:rFonts w:hint="eastAsia"/>
        </w:rPr>
        <w:t>，利用</w:t>
      </w:r>
      <w:bookmarkStart w:id="252" w:name="OLE_LINK51"/>
      <w:r>
        <w:rPr>
          <w:rFonts w:hint="eastAsia"/>
        </w:rPr>
        <w:t>9号10号泊位扩建工程直立式消浪护岸形成</w:t>
      </w:r>
      <w:bookmarkEnd w:id="252"/>
      <w:r>
        <w:rPr>
          <w:rFonts w:hint="eastAsia"/>
        </w:rPr>
        <w:t>5个5000吨级集装箱泊位。该项目于2023年开展相关前期工作，建设内容为：在现有9 号 10 号泊位向南侧扩建 208m岸线并形成码头前沿作业地带，在10 号泊位侧面建设直立式消浪护岸及过渡段，组成填海围堤；对原9.10号泊位预留的22号堆场范围布置集装箱堆场；后方陆域依托</w:t>
      </w:r>
      <w:bookmarkStart w:id="253" w:name="OLE_LINK36"/>
      <w:r>
        <w:rPr>
          <w:rFonts w:hint="eastAsia"/>
        </w:rPr>
        <w:t>昊鼎仓储物流中心围填海项目</w:t>
      </w:r>
      <w:bookmarkEnd w:id="253"/>
      <w:r>
        <w:rPr>
          <w:rFonts w:hint="eastAsia"/>
        </w:rPr>
        <w:t>。</w:t>
      </w:r>
    </w:p>
    <w:p w14:paraId="13574C21">
      <w:pPr>
        <w:ind w:firstLine="462"/>
      </w:pPr>
      <w:r>
        <w:rPr>
          <w:rFonts w:hint="eastAsia"/>
        </w:rPr>
        <w:t>北部湾港钦州港域大榄坪港区</w:t>
      </w:r>
      <w:bookmarkStart w:id="254" w:name="OLE_LINK42"/>
      <w:r>
        <w:rPr>
          <w:rFonts w:hint="eastAsia"/>
        </w:rPr>
        <w:t>大榄坪南作业区9号10号泊位扩建工程</w:t>
      </w:r>
      <w:bookmarkEnd w:id="254"/>
      <w:r>
        <w:rPr>
          <w:rFonts w:hint="eastAsia"/>
        </w:rPr>
        <w:t>环评于2024年12月取得自贸钦审批环〔2024〕58号批复，并于2025年9月开工建设。该项目建设时序与本项目存在重叠。</w:t>
      </w:r>
    </w:p>
    <w:p w14:paraId="652AE9B8">
      <w:pPr>
        <w:ind w:firstLine="0" w:firstLineChars="0"/>
        <w:jc w:val="center"/>
      </w:pPr>
      <w:r>
        <w:drawing>
          <wp:inline distT="0" distB="0" distL="0" distR="0">
            <wp:extent cx="4843145" cy="2807970"/>
            <wp:effectExtent l="0" t="0" r="0" b="0"/>
            <wp:docPr id="4914173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17386" name="图片 1"/>
                    <pic:cNvPicPr>
                      <a:picLocks noChangeAspect="1"/>
                    </pic:cNvPicPr>
                  </pic:nvPicPr>
                  <pic:blipFill>
                    <a:blip r:embed="rId53"/>
                    <a:stretch>
                      <a:fillRect/>
                    </a:stretch>
                  </pic:blipFill>
                  <pic:spPr>
                    <a:xfrm>
                      <a:off x="0" y="0"/>
                      <a:ext cx="4847610" cy="2811054"/>
                    </a:xfrm>
                    <a:prstGeom prst="rect">
                      <a:avLst/>
                    </a:prstGeom>
                  </pic:spPr>
                </pic:pic>
              </a:graphicData>
            </a:graphic>
          </wp:inline>
        </w:drawing>
      </w:r>
    </w:p>
    <w:p w14:paraId="461F5A65">
      <w:pPr>
        <w:pStyle w:val="8"/>
      </w:pPr>
      <w:r>
        <w:rPr>
          <w:rFonts w:hint="eastAsia"/>
        </w:rPr>
        <w:t>大榄坪南9号10号泊位扩建工程建设内容</w:t>
      </w:r>
    </w:p>
    <w:p w14:paraId="714E61CC">
      <w:pPr>
        <w:ind w:firstLine="0" w:firstLineChars="0"/>
      </w:pPr>
      <w:r>
        <w:drawing>
          <wp:inline distT="0" distB="0" distL="0" distR="0">
            <wp:extent cx="5274310" cy="3051175"/>
            <wp:effectExtent l="0" t="0" r="2540" b="0"/>
            <wp:docPr id="17446504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650490" name="图片 1"/>
                    <pic:cNvPicPr>
                      <a:picLocks noChangeAspect="1"/>
                    </pic:cNvPicPr>
                  </pic:nvPicPr>
                  <pic:blipFill>
                    <a:blip r:embed="rId54"/>
                    <a:stretch>
                      <a:fillRect/>
                    </a:stretch>
                  </pic:blipFill>
                  <pic:spPr>
                    <a:xfrm>
                      <a:off x="0" y="0"/>
                      <a:ext cx="5274310" cy="3051175"/>
                    </a:xfrm>
                    <a:prstGeom prst="rect">
                      <a:avLst/>
                    </a:prstGeom>
                  </pic:spPr>
                </pic:pic>
              </a:graphicData>
            </a:graphic>
          </wp:inline>
        </w:drawing>
      </w:r>
    </w:p>
    <w:p w14:paraId="0771B712">
      <w:pPr>
        <w:pStyle w:val="8"/>
      </w:pPr>
      <w:bookmarkStart w:id="255" w:name="OLE_LINK280"/>
      <w:r>
        <w:rPr>
          <w:rFonts w:hint="eastAsia"/>
        </w:rPr>
        <w:t>内1号至5号</w:t>
      </w:r>
      <w:bookmarkEnd w:id="255"/>
      <w:r>
        <w:rPr>
          <w:rFonts w:hint="eastAsia"/>
        </w:rPr>
        <w:t>与</w:t>
      </w:r>
      <w:r>
        <w:t>9号10号泊位扩建工程</w:t>
      </w:r>
      <w:r>
        <w:rPr>
          <w:rFonts w:hint="eastAsia"/>
        </w:rPr>
        <w:t>建设范围关系图</w:t>
      </w:r>
    </w:p>
    <w:p w14:paraId="30E0A973">
      <w:pPr>
        <w:pStyle w:val="7"/>
        <w:rPr>
          <w:u w:val="single"/>
        </w:rPr>
      </w:pPr>
      <w:r>
        <w:rPr>
          <w:rFonts w:hint="eastAsia"/>
          <w:u w:val="single"/>
        </w:rPr>
        <w:t>两项目工程建设一览表</w:t>
      </w:r>
    </w:p>
    <w:tbl>
      <w:tblPr>
        <w:tblStyle w:val="8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98"/>
        <w:gridCol w:w="4087"/>
        <w:gridCol w:w="3143"/>
      </w:tblGrid>
      <w:tr w14:paraId="25E452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vMerge w:val="restart"/>
            <w:vAlign w:val="center"/>
          </w:tcPr>
          <w:p w14:paraId="16469E1E">
            <w:pPr>
              <w:spacing w:line="240" w:lineRule="exact"/>
              <w:ind w:firstLine="0" w:firstLineChars="0"/>
              <w:jc w:val="center"/>
              <w:rPr>
                <w:rFonts w:ascii="Times New Roman" w:hAnsi="Times New Roman" w:cs="Times New Roman"/>
                <w:sz w:val="18"/>
                <w:szCs w:val="18"/>
                <w:u w:val="single"/>
              </w:rPr>
            </w:pPr>
            <w:r>
              <w:rPr>
                <w:rFonts w:ascii="Times New Roman" w:hAnsi="Times New Roman" w:cs="Times New Roman"/>
                <w:sz w:val="18"/>
                <w:szCs w:val="18"/>
                <w:u w:val="single"/>
              </w:rPr>
              <w:t>主要建设内容</w:t>
            </w:r>
          </w:p>
        </w:tc>
        <w:tc>
          <w:tcPr>
            <w:tcW w:w="7021" w:type="dxa"/>
            <w:gridSpan w:val="2"/>
            <w:vAlign w:val="center"/>
          </w:tcPr>
          <w:p w14:paraId="039E815B">
            <w:pPr>
              <w:spacing w:line="240" w:lineRule="exact"/>
              <w:ind w:firstLine="0" w:firstLineChars="0"/>
              <w:jc w:val="center"/>
              <w:rPr>
                <w:rFonts w:ascii="Times New Roman" w:hAnsi="Times New Roman" w:cs="Times New Roman"/>
                <w:sz w:val="18"/>
                <w:szCs w:val="18"/>
                <w:u w:val="single"/>
              </w:rPr>
            </w:pPr>
            <w:r>
              <w:rPr>
                <w:rFonts w:ascii="Times New Roman" w:hAnsi="Times New Roman" w:cs="Times New Roman"/>
                <w:sz w:val="18"/>
                <w:szCs w:val="18"/>
                <w:u w:val="single"/>
              </w:rPr>
              <w:t>建设时期</w:t>
            </w:r>
          </w:p>
        </w:tc>
      </w:tr>
      <w:tr w14:paraId="2031DC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vMerge w:val="continue"/>
            <w:vAlign w:val="center"/>
          </w:tcPr>
          <w:p w14:paraId="7A2D7FC2">
            <w:pPr>
              <w:spacing w:line="240" w:lineRule="exact"/>
              <w:ind w:firstLine="0" w:firstLineChars="0"/>
              <w:jc w:val="center"/>
              <w:rPr>
                <w:rFonts w:ascii="Times New Roman" w:hAnsi="Times New Roman" w:cs="Times New Roman"/>
                <w:sz w:val="18"/>
                <w:szCs w:val="18"/>
                <w:u w:val="single"/>
              </w:rPr>
            </w:pPr>
          </w:p>
        </w:tc>
        <w:tc>
          <w:tcPr>
            <w:tcW w:w="3969" w:type="dxa"/>
            <w:vAlign w:val="center"/>
          </w:tcPr>
          <w:p w14:paraId="3E8B4198">
            <w:pPr>
              <w:spacing w:line="240" w:lineRule="exact"/>
              <w:ind w:firstLine="0" w:firstLineChars="0"/>
              <w:jc w:val="center"/>
              <w:rPr>
                <w:rFonts w:ascii="Times New Roman" w:hAnsi="Times New Roman" w:cs="Times New Roman"/>
                <w:sz w:val="18"/>
                <w:szCs w:val="18"/>
                <w:u w:val="single"/>
              </w:rPr>
            </w:pPr>
            <w:r>
              <w:rPr>
                <w:rFonts w:ascii="Times New Roman" w:hAnsi="Times New Roman" w:cs="Times New Roman"/>
                <w:sz w:val="18"/>
                <w:szCs w:val="18"/>
                <w:u w:val="single"/>
              </w:rPr>
              <w:t>9号10号泊位扩建工程</w:t>
            </w:r>
          </w:p>
        </w:tc>
        <w:tc>
          <w:tcPr>
            <w:tcW w:w="3052" w:type="dxa"/>
            <w:vAlign w:val="center"/>
          </w:tcPr>
          <w:p w14:paraId="7F603177">
            <w:pPr>
              <w:spacing w:line="240" w:lineRule="exact"/>
              <w:ind w:firstLine="0" w:firstLineChars="0"/>
              <w:jc w:val="center"/>
              <w:rPr>
                <w:rFonts w:ascii="Times New Roman" w:hAnsi="Times New Roman" w:cs="Times New Roman"/>
                <w:sz w:val="18"/>
                <w:szCs w:val="18"/>
                <w:u w:val="single"/>
              </w:rPr>
            </w:pPr>
            <w:r>
              <w:rPr>
                <w:rFonts w:ascii="Times New Roman" w:hAnsi="Times New Roman" w:cs="Times New Roman"/>
                <w:sz w:val="18"/>
                <w:szCs w:val="18"/>
                <w:u w:val="single"/>
              </w:rPr>
              <w:t>内1号至5号工程</w:t>
            </w:r>
          </w:p>
        </w:tc>
      </w:tr>
      <w:tr w14:paraId="1E1ECD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vAlign w:val="center"/>
          </w:tcPr>
          <w:p w14:paraId="433C9072">
            <w:pPr>
              <w:spacing w:line="240" w:lineRule="exact"/>
              <w:ind w:firstLine="0" w:firstLineChars="0"/>
              <w:jc w:val="center"/>
              <w:rPr>
                <w:rFonts w:ascii="Times New Roman" w:hAnsi="Times New Roman" w:cs="Times New Roman"/>
                <w:sz w:val="18"/>
                <w:szCs w:val="18"/>
                <w:u w:val="single"/>
              </w:rPr>
            </w:pPr>
            <w:r>
              <w:rPr>
                <w:rFonts w:ascii="Times New Roman" w:hAnsi="Times New Roman" w:cs="Times New Roman"/>
                <w:sz w:val="18"/>
                <w:szCs w:val="18"/>
                <w:u w:val="single"/>
              </w:rPr>
              <w:t>码头前沿水工</w:t>
            </w:r>
          </w:p>
        </w:tc>
        <w:tc>
          <w:tcPr>
            <w:tcW w:w="3969" w:type="dxa"/>
            <w:vAlign w:val="center"/>
          </w:tcPr>
          <w:p w14:paraId="057E50DD">
            <w:pPr>
              <w:spacing w:line="240" w:lineRule="exact"/>
              <w:ind w:firstLine="0" w:firstLineChars="0"/>
              <w:jc w:val="center"/>
              <w:rPr>
                <w:rFonts w:ascii="Times New Roman" w:hAnsi="Times New Roman" w:cs="Times New Roman"/>
                <w:sz w:val="18"/>
                <w:szCs w:val="18"/>
                <w:u w:val="single"/>
              </w:rPr>
            </w:pPr>
            <w:r>
              <w:rPr>
                <w:rFonts w:hint="eastAsia" w:ascii="Times New Roman" w:hAnsi="Times New Roman" w:cs="Times New Roman"/>
                <w:sz w:val="18"/>
                <w:szCs w:val="18"/>
                <w:u w:val="single"/>
              </w:rPr>
              <w:t>沿原</w:t>
            </w:r>
            <w:bookmarkStart w:id="256" w:name="OLE_LINK282"/>
            <w:r>
              <w:rPr>
                <w:rFonts w:hint="eastAsia" w:ascii="Times New Roman" w:hAnsi="Times New Roman" w:cs="Times New Roman"/>
                <w:sz w:val="18"/>
                <w:szCs w:val="18"/>
                <w:u w:val="single"/>
              </w:rPr>
              <w:t>9、10号泊位</w:t>
            </w:r>
            <w:bookmarkEnd w:id="256"/>
            <w:r>
              <w:rPr>
                <w:rFonts w:hint="eastAsia" w:ascii="Times New Roman" w:hAnsi="Times New Roman" w:cs="Times New Roman"/>
                <w:sz w:val="18"/>
                <w:szCs w:val="18"/>
                <w:u w:val="single"/>
              </w:rPr>
              <w:t>岸线扩建208m码头水工平台</w:t>
            </w:r>
          </w:p>
        </w:tc>
        <w:tc>
          <w:tcPr>
            <w:tcW w:w="3052" w:type="dxa"/>
            <w:vAlign w:val="center"/>
          </w:tcPr>
          <w:p w14:paraId="59F0F3E4">
            <w:pPr>
              <w:spacing w:line="240" w:lineRule="exact"/>
              <w:ind w:firstLine="0" w:firstLineChars="0"/>
              <w:jc w:val="center"/>
              <w:rPr>
                <w:rFonts w:ascii="Times New Roman" w:hAnsi="Times New Roman" w:cs="Times New Roman"/>
                <w:sz w:val="18"/>
                <w:szCs w:val="18"/>
                <w:u w:val="single"/>
              </w:rPr>
            </w:pPr>
            <w:r>
              <w:rPr>
                <w:rFonts w:hint="eastAsia" w:ascii="Times New Roman" w:hAnsi="Times New Roman" w:cs="Times New Roman"/>
                <w:sz w:val="18"/>
                <w:szCs w:val="18"/>
                <w:u w:val="single"/>
              </w:rPr>
              <w:t>/</w:t>
            </w:r>
          </w:p>
        </w:tc>
      </w:tr>
      <w:tr w14:paraId="63770D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vAlign w:val="center"/>
          </w:tcPr>
          <w:p w14:paraId="1EBDAB32">
            <w:pPr>
              <w:spacing w:line="240" w:lineRule="exact"/>
              <w:ind w:firstLine="0" w:firstLineChars="0"/>
              <w:jc w:val="center"/>
              <w:rPr>
                <w:rFonts w:ascii="Times New Roman" w:hAnsi="Times New Roman" w:cs="Times New Roman"/>
                <w:sz w:val="18"/>
                <w:szCs w:val="18"/>
                <w:u w:val="single"/>
              </w:rPr>
            </w:pPr>
            <w:r>
              <w:rPr>
                <w:rFonts w:hint="eastAsia" w:ascii="Times New Roman" w:hAnsi="Times New Roman" w:cs="Times New Roman"/>
                <w:sz w:val="18"/>
                <w:szCs w:val="18"/>
                <w:u w:val="single"/>
              </w:rPr>
              <w:t>后方陆域形成</w:t>
            </w:r>
          </w:p>
        </w:tc>
        <w:tc>
          <w:tcPr>
            <w:tcW w:w="3969" w:type="dxa"/>
            <w:vAlign w:val="center"/>
          </w:tcPr>
          <w:p w14:paraId="6D5D69E3">
            <w:pPr>
              <w:spacing w:line="240" w:lineRule="exact"/>
              <w:ind w:firstLine="0" w:firstLineChars="0"/>
              <w:jc w:val="center"/>
              <w:rPr>
                <w:rFonts w:ascii="Times New Roman" w:hAnsi="Times New Roman" w:cs="Times New Roman"/>
                <w:sz w:val="18"/>
                <w:szCs w:val="18"/>
                <w:u w:val="single"/>
              </w:rPr>
            </w:pPr>
            <w:bookmarkStart w:id="257" w:name="OLE_LINK281"/>
            <w:r>
              <w:rPr>
                <w:rFonts w:hint="eastAsia" w:ascii="Times New Roman" w:hAnsi="Times New Roman" w:cs="Times New Roman"/>
                <w:sz w:val="18"/>
                <w:szCs w:val="18"/>
                <w:u w:val="single"/>
              </w:rPr>
              <w:t>依托昊鼎围填海项目，</w:t>
            </w:r>
            <w:bookmarkEnd w:id="257"/>
            <w:r>
              <w:rPr>
                <w:rFonts w:hint="eastAsia" w:ascii="Times New Roman" w:hAnsi="Times New Roman" w:cs="Times New Roman"/>
                <w:sz w:val="18"/>
                <w:szCs w:val="18"/>
                <w:u w:val="single"/>
              </w:rPr>
              <w:t>但回填来源于本项目疏浚泥沙</w:t>
            </w:r>
          </w:p>
        </w:tc>
        <w:tc>
          <w:tcPr>
            <w:tcW w:w="3052" w:type="dxa"/>
            <w:vAlign w:val="center"/>
          </w:tcPr>
          <w:p w14:paraId="33B429AB">
            <w:pPr>
              <w:spacing w:line="240" w:lineRule="exact"/>
              <w:ind w:firstLine="0" w:firstLineChars="0"/>
              <w:jc w:val="center"/>
              <w:rPr>
                <w:rFonts w:ascii="Times New Roman" w:hAnsi="Times New Roman" w:cs="Times New Roman"/>
                <w:sz w:val="18"/>
                <w:szCs w:val="18"/>
                <w:u w:val="single"/>
              </w:rPr>
            </w:pPr>
            <w:r>
              <w:rPr>
                <w:rFonts w:hint="eastAsia" w:ascii="Times New Roman" w:hAnsi="Times New Roman" w:cs="Times New Roman"/>
                <w:sz w:val="18"/>
                <w:szCs w:val="18"/>
                <w:u w:val="single"/>
              </w:rPr>
              <w:t>依托昊鼎围填海项目，项目部分疏浚泥沙进一步回填</w:t>
            </w:r>
          </w:p>
        </w:tc>
      </w:tr>
      <w:tr w14:paraId="1BCA1A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vAlign w:val="center"/>
          </w:tcPr>
          <w:p w14:paraId="695A7081">
            <w:pPr>
              <w:spacing w:line="240" w:lineRule="exact"/>
              <w:ind w:firstLine="0" w:firstLineChars="0"/>
              <w:jc w:val="center"/>
              <w:rPr>
                <w:rFonts w:ascii="Times New Roman" w:hAnsi="Times New Roman" w:cs="Times New Roman"/>
                <w:sz w:val="18"/>
                <w:szCs w:val="18"/>
                <w:u w:val="single"/>
              </w:rPr>
            </w:pPr>
            <w:r>
              <w:rPr>
                <w:rFonts w:hint="eastAsia" w:ascii="Times New Roman" w:hAnsi="Times New Roman" w:cs="Times New Roman"/>
                <w:sz w:val="18"/>
                <w:szCs w:val="18"/>
                <w:u w:val="single"/>
              </w:rPr>
              <w:t>集装箱堆场</w:t>
            </w:r>
          </w:p>
        </w:tc>
        <w:tc>
          <w:tcPr>
            <w:tcW w:w="3969" w:type="dxa"/>
            <w:vAlign w:val="center"/>
          </w:tcPr>
          <w:p w14:paraId="4D9AF3AF">
            <w:pPr>
              <w:spacing w:line="240" w:lineRule="exact"/>
              <w:ind w:firstLine="0" w:firstLineChars="0"/>
              <w:jc w:val="center"/>
              <w:rPr>
                <w:rFonts w:ascii="Times New Roman" w:hAnsi="Times New Roman" w:cs="Times New Roman"/>
                <w:sz w:val="18"/>
                <w:szCs w:val="18"/>
                <w:u w:val="single"/>
              </w:rPr>
            </w:pPr>
            <w:r>
              <w:rPr>
                <w:rFonts w:hint="eastAsia" w:ascii="Times New Roman" w:hAnsi="Times New Roman" w:cs="Times New Roman"/>
                <w:sz w:val="18"/>
                <w:szCs w:val="18"/>
                <w:u w:val="single"/>
              </w:rPr>
              <w:t>对原9、10号泊位预留的22#堆场建设为集装箱堆场；其余回填形成的陆域不进行建设，仅作为堆场衔接区预留。</w:t>
            </w:r>
          </w:p>
        </w:tc>
        <w:tc>
          <w:tcPr>
            <w:tcW w:w="3052" w:type="dxa"/>
            <w:vAlign w:val="center"/>
          </w:tcPr>
          <w:p w14:paraId="4C834CDA">
            <w:pPr>
              <w:spacing w:line="240" w:lineRule="exact"/>
              <w:ind w:firstLine="0" w:firstLineChars="0"/>
              <w:jc w:val="center"/>
              <w:rPr>
                <w:rFonts w:ascii="Times New Roman" w:hAnsi="Times New Roman" w:cs="Times New Roman"/>
                <w:sz w:val="18"/>
                <w:szCs w:val="18"/>
                <w:u w:val="single"/>
              </w:rPr>
            </w:pPr>
            <w:r>
              <w:rPr>
                <w:rFonts w:hint="eastAsia" w:ascii="Times New Roman" w:hAnsi="Times New Roman" w:cs="Times New Roman"/>
                <w:sz w:val="18"/>
                <w:szCs w:val="18"/>
                <w:u w:val="single"/>
              </w:rPr>
              <w:t>对预留的堆场衔接区进一步回填、地基处理后，建设为23#~25#集装箱堆场。</w:t>
            </w:r>
          </w:p>
        </w:tc>
      </w:tr>
      <w:tr w14:paraId="6CCEB2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vAlign w:val="center"/>
          </w:tcPr>
          <w:p w14:paraId="0F7BB947">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消浪护岸</w:t>
            </w:r>
          </w:p>
        </w:tc>
        <w:tc>
          <w:tcPr>
            <w:tcW w:w="3969" w:type="dxa"/>
            <w:vAlign w:val="center"/>
          </w:tcPr>
          <w:p w14:paraId="187F8CF2">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建成695m消浪护岸和157.8m消浪护岸过渡带</w:t>
            </w:r>
          </w:p>
        </w:tc>
        <w:tc>
          <w:tcPr>
            <w:tcW w:w="3052" w:type="dxa"/>
            <w:vAlign w:val="center"/>
          </w:tcPr>
          <w:p w14:paraId="704EE392">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利用695m消浪护岸形成码头作业平台。</w:t>
            </w:r>
          </w:p>
        </w:tc>
      </w:tr>
      <w:tr w14:paraId="46ED68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vAlign w:val="center"/>
          </w:tcPr>
          <w:p w14:paraId="7DB238D3">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装卸工艺</w:t>
            </w:r>
          </w:p>
        </w:tc>
        <w:tc>
          <w:tcPr>
            <w:tcW w:w="3969" w:type="dxa"/>
            <w:vAlign w:val="center"/>
          </w:tcPr>
          <w:p w14:paraId="393B0026">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仅包括</w:t>
            </w:r>
            <w:r>
              <w:rPr>
                <w:rFonts w:hint="eastAsia" w:ascii="Times New Roman" w:hAnsi="Times New Roman" w:cs="Times New Roman"/>
                <w:sz w:val="18"/>
                <w:szCs w:val="18"/>
                <w:u w:val="single"/>
              </w:rPr>
              <w:t>208m码头水工平台及22#堆场装卸设备及工艺。</w:t>
            </w:r>
          </w:p>
        </w:tc>
        <w:tc>
          <w:tcPr>
            <w:tcW w:w="3052" w:type="dxa"/>
            <w:vAlign w:val="center"/>
          </w:tcPr>
          <w:p w14:paraId="27817145">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码头作业平台和</w:t>
            </w:r>
            <w:r>
              <w:rPr>
                <w:rFonts w:hint="eastAsia" w:ascii="Times New Roman" w:hAnsi="Times New Roman" w:cs="Times New Roman"/>
                <w:sz w:val="18"/>
                <w:szCs w:val="18"/>
                <w:u w:val="single"/>
              </w:rPr>
              <w:t>23#~25#集装箱堆场装卸设备及工艺。</w:t>
            </w:r>
          </w:p>
        </w:tc>
      </w:tr>
      <w:tr w14:paraId="674436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vAlign w:val="center"/>
          </w:tcPr>
          <w:p w14:paraId="6FA9E3FE">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港池疏浚开挖等</w:t>
            </w:r>
          </w:p>
        </w:tc>
        <w:tc>
          <w:tcPr>
            <w:tcW w:w="3969" w:type="dxa"/>
            <w:vAlign w:val="center"/>
          </w:tcPr>
          <w:p w14:paraId="639C8800">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码头前沿港池疏浚及消浪护岸施工水域疏浚</w:t>
            </w:r>
          </w:p>
        </w:tc>
        <w:tc>
          <w:tcPr>
            <w:tcW w:w="3052" w:type="dxa"/>
            <w:vAlign w:val="center"/>
          </w:tcPr>
          <w:p w14:paraId="071A443E">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码头前沿（消浪护岸）港池疏浚</w:t>
            </w:r>
          </w:p>
        </w:tc>
      </w:tr>
    </w:tbl>
    <w:p w14:paraId="08D3E4A1">
      <w:pPr>
        <w:pStyle w:val="6"/>
      </w:pPr>
      <w:bookmarkStart w:id="258" w:name="OLE_LINK33"/>
      <w:r>
        <w:rPr>
          <w:rFonts w:hint="eastAsia"/>
        </w:rPr>
        <w:t>依托生活污水处理站</w:t>
      </w:r>
    </w:p>
    <w:bookmarkEnd w:id="258"/>
    <w:p w14:paraId="042C2092">
      <w:pPr>
        <w:ind w:firstLine="462"/>
      </w:pPr>
      <w:r>
        <w:rPr>
          <w:rFonts w:hint="eastAsia" w:cs="宋体"/>
          <w:lang w:bidi="ar"/>
        </w:rPr>
        <w:t>泊位生活污水经收集后泵送至</w:t>
      </w:r>
      <w:r>
        <w:rPr>
          <w:lang w:bidi="ar"/>
        </w:rPr>
        <w:t>7</w:t>
      </w:r>
      <w:r>
        <w:rPr>
          <w:rFonts w:hint="eastAsia" w:cs="宋体"/>
          <w:lang w:bidi="ar"/>
        </w:rPr>
        <w:t>号</w:t>
      </w:r>
      <w:r>
        <w:rPr>
          <w:lang w:bidi="ar"/>
        </w:rPr>
        <w:t>8</w:t>
      </w:r>
      <w:r>
        <w:rPr>
          <w:rFonts w:hint="eastAsia" w:cs="宋体"/>
          <w:lang w:bidi="ar"/>
        </w:rPr>
        <w:t>号泊位现有生活污水处理站预处理。</w:t>
      </w:r>
    </w:p>
    <w:p w14:paraId="2BEA27C7">
      <w:pPr>
        <w:ind w:firstLine="464"/>
        <w:rPr>
          <w:b/>
        </w:rPr>
      </w:pPr>
      <w:r>
        <w:rPr>
          <w:b/>
          <w:lang w:bidi="ar"/>
        </w:rPr>
        <w:t>1</w:t>
      </w:r>
      <w:r>
        <w:rPr>
          <w:rFonts w:hint="eastAsia" w:cs="宋体"/>
          <w:b/>
          <w:lang w:bidi="ar"/>
        </w:rPr>
        <w:t>、生活污水处理站概况</w:t>
      </w:r>
    </w:p>
    <w:p w14:paraId="5104D39C">
      <w:pPr>
        <w:ind w:firstLine="462"/>
        <w:rPr>
          <w:u w:val="single"/>
        </w:rPr>
      </w:pPr>
      <w:r>
        <w:rPr>
          <w:rFonts w:hint="eastAsia" w:cs="宋体"/>
          <w:u w:val="single"/>
          <w:lang w:bidi="ar"/>
        </w:rPr>
        <w:t>生活污水处理站位于</w:t>
      </w:r>
      <w:bookmarkStart w:id="259" w:name="OLE_LINK49"/>
      <w:r>
        <w:rPr>
          <w:u w:val="single"/>
          <w:lang w:bidi="ar"/>
        </w:rPr>
        <w:t>7</w:t>
      </w:r>
      <w:r>
        <w:rPr>
          <w:rFonts w:hint="eastAsia" w:cs="宋体"/>
          <w:u w:val="single"/>
          <w:lang w:bidi="ar"/>
        </w:rPr>
        <w:t>号</w:t>
      </w:r>
      <w:r>
        <w:rPr>
          <w:u w:val="single"/>
          <w:lang w:bidi="ar"/>
        </w:rPr>
        <w:t>8</w:t>
      </w:r>
      <w:r>
        <w:rPr>
          <w:rFonts w:hint="eastAsia" w:cs="宋体"/>
          <w:u w:val="single"/>
          <w:lang w:bidi="ar"/>
        </w:rPr>
        <w:t>号泊位</w:t>
      </w:r>
      <w:bookmarkEnd w:id="259"/>
      <w:r>
        <w:rPr>
          <w:rFonts w:hint="eastAsia" w:cs="宋体"/>
          <w:u w:val="single"/>
          <w:lang w:bidi="ar"/>
        </w:rPr>
        <w:t>后方陆域，处理规模为</w:t>
      </w:r>
      <w:r>
        <w:rPr>
          <w:u w:val="single"/>
          <w:lang w:bidi="ar"/>
        </w:rPr>
        <w:t>5m</w:t>
      </w:r>
      <w:r>
        <w:rPr>
          <w:u w:val="single"/>
          <w:vertAlign w:val="superscript"/>
          <w:lang w:bidi="ar"/>
        </w:rPr>
        <w:t>3</w:t>
      </w:r>
      <w:r>
        <w:rPr>
          <w:u w:val="single"/>
          <w:lang w:bidi="ar"/>
        </w:rPr>
        <w:t>/h</w:t>
      </w:r>
      <w:r>
        <w:rPr>
          <w:rFonts w:hint="eastAsia" w:cs="宋体"/>
          <w:u w:val="single"/>
          <w:lang w:bidi="ar"/>
        </w:rPr>
        <w:t>。生活污水处理站设置控制机房</w:t>
      </w:r>
      <w:r>
        <w:rPr>
          <w:u w:val="single"/>
          <w:lang w:bidi="ar"/>
        </w:rPr>
        <w:t>1</w:t>
      </w:r>
      <w:r>
        <w:rPr>
          <w:rFonts w:hint="eastAsia" w:cs="宋体"/>
          <w:u w:val="single"/>
          <w:lang w:bidi="ar"/>
        </w:rPr>
        <w:t>座，</w:t>
      </w:r>
      <w:r>
        <w:rPr>
          <w:u w:val="single"/>
          <w:lang w:bidi="ar"/>
        </w:rPr>
        <w:t>6</w:t>
      </w:r>
      <w:r>
        <w:rPr>
          <w:rFonts w:hint="eastAsia" w:cs="宋体"/>
          <w:u w:val="single"/>
          <w:lang w:bidi="ar"/>
        </w:rPr>
        <w:t>×</w:t>
      </w:r>
      <w:r>
        <w:rPr>
          <w:u w:val="single"/>
          <w:lang w:bidi="ar"/>
        </w:rPr>
        <w:t>4</w:t>
      </w:r>
      <w:r>
        <w:rPr>
          <w:rFonts w:hint="eastAsia" w:cs="宋体"/>
          <w:u w:val="single"/>
          <w:lang w:bidi="ar"/>
        </w:rPr>
        <w:t>×</w:t>
      </w:r>
      <w:r>
        <w:rPr>
          <w:u w:val="single"/>
          <w:lang w:bidi="ar"/>
        </w:rPr>
        <w:t>5m</w:t>
      </w:r>
      <w:r>
        <w:rPr>
          <w:rFonts w:hint="eastAsia" w:cs="宋体"/>
          <w:u w:val="single"/>
          <w:lang w:bidi="ar"/>
        </w:rPr>
        <w:t>调节池</w:t>
      </w:r>
      <w:r>
        <w:rPr>
          <w:u w:val="single"/>
          <w:lang w:bidi="ar"/>
        </w:rPr>
        <w:t>+</w:t>
      </w:r>
      <w:r>
        <w:rPr>
          <w:rFonts w:hint="eastAsia" w:cs="宋体"/>
          <w:u w:val="single"/>
          <w:lang w:bidi="ar"/>
        </w:rPr>
        <w:t>清水池</w:t>
      </w:r>
      <w:r>
        <w:rPr>
          <w:u w:val="single"/>
          <w:lang w:bidi="ar"/>
        </w:rPr>
        <w:t>+</w:t>
      </w:r>
      <w:r>
        <w:rPr>
          <w:rFonts w:hint="eastAsia" w:cs="宋体"/>
          <w:u w:val="single"/>
          <w:lang w:bidi="ar"/>
        </w:rPr>
        <w:t>回用池（地下）</w:t>
      </w:r>
      <w:r>
        <w:rPr>
          <w:u w:val="single"/>
          <w:lang w:bidi="ar"/>
        </w:rPr>
        <w:t>12</w:t>
      </w:r>
      <w:r>
        <w:rPr>
          <w:rFonts w:hint="eastAsia" w:cs="宋体"/>
          <w:u w:val="single"/>
          <w:lang w:bidi="ar"/>
        </w:rPr>
        <w:t>×</w:t>
      </w:r>
      <w:r>
        <w:rPr>
          <w:u w:val="single"/>
          <w:lang w:bidi="ar"/>
        </w:rPr>
        <w:t>4</w:t>
      </w:r>
      <w:r>
        <w:rPr>
          <w:rFonts w:hint="eastAsia" w:cs="宋体"/>
          <w:u w:val="single"/>
          <w:lang w:bidi="ar"/>
        </w:rPr>
        <w:t>×</w:t>
      </w:r>
      <w:r>
        <w:rPr>
          <w:u w:val="single"/>
          <w:lang w:bidi="ar"/>
        </w:rPr>
        <w:t>3.6m+</w:t>
      </w:r>
      <w:r>
        <w:rPr>
          <w:rFonts w:hint="eastAsia" w:cs="宋体"/>
          <w:u w:val="single"/>
          <w:lang w:bidi="ar"/>
        </w:rPr>
        <w:t>生化处理池基础（地下）</w:t>
      </w:r>
      <w:r>
        <w:rPr>
          <w:u w:val="single"/>
          <w:lang w:bidi="ar"/>
        </w:rPr>
        <w:t>12</w:t>
      </w:r>
      <w:r>
        <w:rPr>
          <w:rFonts w:hint="eastAsia" w:cs="宋体"/>
          <w:u w:val="single"/>
          <w:lang w:bidi="ar"/>
        </w:rPr>
        <w:t>×</w:t>
      </w:r>
      <w:r>
        <w:rPr>
          <w:u w:val="single"/>
          <w:lang w:bidi="ar"/>
        </w:rPr>
        <w:t>4</w:t>
      </w:r>
      <w:r>
        <w:rPr>
          <w:rFonts w:hint="eastAsia" w:cs="宋体"/>
          <w:u w:val="single"/>
          <w:lang w:bidi="ar"/>
        </w:rPr>
        <w:t>×</w:t>
      </w:r>
      <w:r>
        <w:rPr>
          <w:u w:val="single"/>
          <w:lang w:bidi="ar"/>
        </w:rPr>
        <w:t>0.4m</w:t>
      </w:r>
      <w:r>
        <w:rPr>
          <w:rFonts w:hint="eastAsia" w:cs="宋体"/>
          <w:u w:val="single"/>
          <w:lang w:bidi="ar"/>
        </w:rPr>
        <w:t>。</w:t>
      </w:r>
    </w:p>
    <w:tbl>
      <w:tblPr>
        <w:tblStyle w:val="88"/>
        <w:tblW w:w="5000" w:type="pct"/>
        <w:tblInd w:w="0" w:type="dxa"/>
        <w:tblLayout w:type="autofit"/>
        <w:tblCellMar>
          <w:top w:w="0" w:type="dxa"/>
          <w:left w:w="108" w:type="dxa"/>
          <w:bottom w:w="0" w:type="dxa"/>
          <w:right w:w="108" w:type="dxa"/>
        </w:tblCellMar>
      </w:tblPr>
      <w:tblGrid>
        <w:gridCol w:w="8528"/>
      </w:tblGrid>
      <w:tr w14:paraId="015B45BD">
        <w:tblPrEx>
          <w:tblCellMar>
            <w:top w:w="0" w:type="dxa"/>
            <w:left w:w="108" w:type="dxa"/>
            <w:bottom w:w="0" w:type="dxa"/>
            <w:right w:w="108" w:type="dxa"/>
          </w:tblCellMar>
        </w:tblPrEx>
        <w:tc>
          <w:tcPr>
            <w:tcW w:w="5000" w:type="pct"/>
            <w:vAlign w:val="center"/>
          </w:tcPr>
          <w:p w14:paraId="4136EB1A">
            <w:pPr>
              <w:pStyle w:val="166"/>
            </w:pPr>
            <w:r>
              <w:rPr>
                <w:lang w:bidi="ar"/>
              </w:rPr>
              <w:drawing>
                <wp:inline distT="0" distB="0" distL="114300" distR="114300">
                  <wp:extent cx="4086225" cy="2628900"/>
                  <wp:effectExtent l="0" t="0" r="9525" b="0"/>
                  <wp:docPr id="4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0"/>
                          <pic:cNvPicPr>
                            <a:picLocks noChangeAspect="1"/>
                          </pic:cNvPicPr>
                        </pic:nvPicPr>
                        <pic:blipFill>
                          <a:blip r:embed="rId55"/>
                          <a:stretch>
                            <a:fillRect/>
                          </a:stretch>
                        </pic:blipFill>
                        <pic:spPr>
                          <a:xfrm>
                            <a:off x="0" y="0"/>
                            <a:ext cx="4086225" cy="2628900"/>
                          </a:xfrm>
                          <a:prstGeom prst="rect">
                            <a:avLst/>
                          </a:prstGeom>
                          <a:noFill/>
                          <a:ln>
                            <a:noFill/>
                          </a:ln>
                        </pic:spPr>
                      </pic:pic>
                    </a:graphicData>
                  </a:graphic>
                </wp:inline>
              </w:drawing>
            </w:r>
          </w:p>
          <w:p w14:paraId="72E61FB5">
            <w:pPr>
              <w:pStyle w:val="8"/>
            </w:pPr>
            <w:r>
              <w:rPr>
                <w:rFonts w:hint="eastAsia"/>
                <w:lang w:bidi="ar"/>
              </w:rPr>
              <w:t>生活污水处理站</w:t>
            </w:r>
          </w:p>
        </w:tc>
      </w:tr>
      <w:tr w14:paraId="3638D8B3">
        <w:tblPrEx>
          <w:tblCellMar>
            <w:top w:w="0" w:type="dxa"/>
            <w:left w:w="108" w:type="dxa"/>
            <w:bottom w:w="0" w:type="dxa"/>
            <w:right w:w="108" w:type="dxa"/>
          </w:tblCellMar>
        </w:tblPrEx>
        <w:tc>
          <w:tcPr>
            <w:tcW w:w="5000" w:type="pct"/>
            <w:vAlign w:val="center"/>
          </w:tcPr>
          <w:p w14:paraId="258F1531">
            <w:pPr>
              <w:pStyle w:val="166"/>
            </w:pPr>
            <w:r>
              <w:rPr>
                <w:lang w:bidi="ar"/>
              </w:rPr>
              <w:drawing>
                <wp:inline distT="0" distB="0" distL="114300" distR="114300">
                  <wp:extent cx="5114925" cy="2400300"/>
                  <wp:effectExtent l="0" t="0" r="9525" b="0"/>
                  <wp:docPr id="44" name="图片 150773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507739638"/>
                          <pic:cNvPicPr>
                            <a:picLocks noChangeAspect="1"/>
                          </pic:cNvPicPr>
                        </pic:nvPicPr>
                        <pic:blipFill>
                          <a:blip r:embed="rId56"/>
                          <a:srcRect r="2541"/>
                          <a:stretch>
                            <a:fillRect/>
                          </a:stretch>
                        </pic:blipFill>
                        <pic:spPr>
                          <a:xfrm>
                            <a:off x="0" y="0"/>
                            <a:ext cx="5114925" cy="2400300"/>
                          </a:xfrm>
                          <a:prstGeom prst="rect">
                            <a:avLst/>
                          </a:prstGeom>
                          <a:noFill/>
                          <a:ln>
                            <a:noFill/>
                          </a:ln>
                        </pic:spPr>
                      </pic:pic>
                    </a:graphicData>
                  </a:graphic>
                </wp:inline>
              </w:drawing>
            </w:r>
          </w:p>
          <w:p w14:paraId="7D2CAEBF">
            <w:pPr>
              <w:pStyle w:val="8"/>
              <w:rPr>
                <w:u w:val="single"/>
              </w:rPr>
            </w:pPr>
            <w:r>
              <w:rPr>
                <w:rFonts w:hint="eastAsia"/>
                <w:u w:val="single"/>
                <w:lang w:bidi="ar"/>
              </w:rPr>
              <w:t>生活污水处理站处理流程</w:t>
            </w:r>
          </w:p>
        </w:tc>
      </w:tr>
    </w:tbl>
    <w:p w14:paraId="3DDE1E46">
      <w:pPr>
        <w:ind w:firstLine="464"/>
        <w:rPr>
          <w:b/>
        </w:rPr>
      </w:pPr>
      <w:r>
        <w:rPr>
          <w:b/>
          <w:lang w:bidi="ar"/>
        </w:rPr>
        <w:t>2</w:t>
      </w:r>
      <w:r>
        <w:rPr>
          <w:rFonts w:hint="eastAsia" w:cs="宋体"/>
          <w:b/>
          <w:lang w:bidi="ar"/>
        </w:rPr>
        <w:t>、运行情况</w:t>
      </w:r>
    </w:p>
    <w:p w14:paraId="59E4FECD">
      <w:pPr>
        <w:ind w:firstLine="462"/>
      </w:pPr>
      <w:r>
        <w:rPr>
          <w:rFonts w:hint="eastAsia" w:cs="宋体"/>
          <w:lang w:bidi="ar"/>
        </w:rPr>
        <w:t>根据</w:t>
      </w:r>
      <w:r>
        <w:rPr>
          <w:lang w:bidi="ar"/>
        </w:rPr>
        <w:t>2024</w:t>
      </w:r>
      <w:r>
        <w:rPr>
          <w:rFonts w:hint="eastAsia" w:cs="宋体"/>
          <w:lang w:bidi="ar"/>
        </w:rPr>
        <w:t>年生活污水处理设施日常运行记录，生活污水处理站</w:t>
      </w:r>
      <w:r>
        <w:rPr>
          <w:lang w:bidi="ar"/>
        </w:rPr>
        <w:t>1</w:t>
      </w:r>
      <w:r>
        <w:rPr>
          <w:rFonts w:hint="eastAsia" w:cs="宋体"/>
          <w:lang w:bidi="ar"/>
        </w:rPr>
        <w:t>月～</w:t>
      </w:r>
      <w:r>
        <w:rPr>
          <w:lang w:bidi="ar"/>
        </w:rPr>
        <w:t>5</w:t>
      </w:r>
      <w:r>
        <w:rPr>
          <w:rFonts w:hint="eastAsia" w:cs="宋体"/>
          <w:lang w:bidi="ar"/>
        </w:rPr>
        <w:t>月日处理水量</w:t>
      </w:r>
      <w:r>
        <w:rPr>
          <w:lang w:bidi="ar"/>
        </w:rPr>
        <w:t>10</w:t>
      </w:r>
      <w:r>
        <w:rPr>
          <w:rFonts w:hint="eastAsia" w:cs="宋体"/>
          <w:lang w:bidi="ar"/>
        </w:rPr>
        <w:t>～</w:t>
      </w:r>
      <w:r>
        <w:rPr>
          <w:lang w:bidi="ar"/>
        </w:rPr>
        <w:t>25t</w:t>
      </w:r>
      <w:r>
        <w:rPr>
          <w:rFonts w:hint="eastAsia" w:cs="宋体"/>
          <w:lang w:bidi="ar"/>
        </w:rPr>
        <w:t>，设备每日开闭时间</w:t>
      </w:r>
      <w:r>
        <w:rPr>
          <w:lang w:bidi="ar"/>
        </w:rPr>
        <w:t>2</w:t>
      </w:r>
      <w:r>
        <w:rPr>
          <w:rFonts w:hint="eastAsia" w:cs="宋体"/>
          <w:lang w:bidi="ar"/>
        </w:rPr>
        <w:t>～</w:t>
      </w:r>
      <w:r>
        <w:rPr>
          <w:lang w:bidi="ar"/>
        </w:rPr>
        <w:t>4h</w:t>
      </w:r>
      <w:r>
        <w:rPr>
          <w:rFonts w:hint="eastAsia" w:cs="宋体"/>
          <w:lang w:bidi="ar"/>
        </w:rPr>
        <w:t>，平均处理量为</w:t>
      </w:r>
      <w:r>
        <w:rPr>
          <w:lang w:bidi="ar"/>
        </w:rPr>
        <w:t>11.91t/d</w:t>
      </w:r>
      <w:r>
        <w:rPr>
          <w:rFonts w:hint="eastAsia" w:cs="宋体"/>
          <w:lang w:bidi="ar"/>
        </w:rPr>
        <w:t>。该生活污水处理站已接入市政污水处理站，经咨询建设单位，为确保项目排放污水能满足污水处理厂进水水质要求，目前该生活污水处理站仍处于运行状态，暂不考虑停用。</w:t>
      </w:r>
    </w:p>
    <w:tbl>
      <w:tblPr>
        <w:tblStyle w:val="88"/>
        <w:tblW w:w="0" w:type="auto"/>
        <w:tblInd w:w="0" w:type="dxa"/>
        <w:tblLayout w:type="autofit"/>
        <w:tblCellMar>
          <w:top w:w="0" w:type="dxa"/>
          <w:left w:w="108" w:type="dxa"/>
          <w:bottom w:w="0" w:type="dxa"/>
          <w:right w:w="108" w:type="dxa"/>
        </w:tblCellMar>
      </w:tblPr>
      <w:tblGrid>
        <w:gridCol w:w="8522"/>
      </w:tblGrid>
      <w:tr w14:paraId="16FBB179">
        <w:tblPrEx>
          <w:tblCellMar>
            <w:top w:w="0" w:type="dxa"/>
            <w:left w:w="108" w:type="dxa"/>
            <w:bottom w:w="0" w:type="dxa"/>
            <w:right w:w="108" w:type="dxa"/>
          </w:tblCellMar>
        </w:tblPrEx>
        <w:tc>
          <w:tcPr>
            <w:tcW w:w="8522" w:type="dxa"/>
            <w:vAlign w:val="center"/>
          </w:tcPr>
          <w:p w14:paraId="410FD218">
            <w:pPr>
              <w:ind w:firstLine="462"/>
              <w:jc w:val="center"/>
            </w:pPr>
            <w:r>
              <w:rPr>
                <w:lang w:bidi="ar"/>
              </w:rPr>
              <w:drawing>
                <wp:inline distT="0" distB="0" distL="114300" distR="114300">
                  <wp:extent cx="4095750" cy="2819400"/>
                  <wp:effectExtent l="0" t="0" r="0" b="0"/>
                  <wp:docPr id="75" name="图片 150773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507739645"/>
                          <pic:cNvPicPr>
                            <a:picLocks noChangeAspect="1"/>
                          </pic:cNvPicPr>
                        </pic:nvPicPr>
                        <pic:blipFill>
                          <a:blip r:embed="rId57"/>
                          <a:stretch>
                            <a:fillRect/>
                          </a:stretch>
                        </pic:blipFill>
                        <pic:spPr>
                          <a:xfrm>
                            <a:off x="0" y="0"/>
                            <a:ext cx="4095750" cy="2819400"/>
                          </a:xfrm>
                          <a:prstGeom prst="rect">
                            <a:avLst/>
                          </a:prstGeom>
                          <a:noFill/>
                          <a:ln>
                            <a:noFill/>
                          </a:ln>
                        </pic:spPr>
                      </pic:pic>
                    </a:graphicData>
                  </a:graphic>
                </wp:inline>
              </w:drawing>
            </w:r>
          </w:p>
        </w:tc>
      </w:tr>
      <w:tr w14:paraId="2A264463">
        <w:tblPrEx>
          <w:tblCellMar>
            <w:top w:w="0" w:type="dxa"/>
            <w:left w:w="108" w:type="dxa"/>
            <w:bottom w:w="0" w:type="dxa"/>
            <w:right w:w="108" w:type="dxa"/>
          </w:tblCellMar>
        </w:tblPrEx>
        <w:tc>
          <w:tcPr>
            <w:tcW w:w="8522" w:type="dxa"/>
          </w:tcPr>
          <w:p w14:paraId="50D41EC3">
            <w:pPr>
              <w:ind w:firstLine="462"/>
              <w:jc w:val="center"/>
            </w:pPr>
            <w:r>
              <w:rPr>
                <w:lang w:bidi="ar"/>
              </w:rPr>
              <w:drawing>
                <wp:inline distT="0" distB="0" distL="114300" distR="114300">
                  <wp:extent cx="4095750" cy="2600325"/>
                  <wp:effectExtent l="0" t="0" r="0" b="9525"/>
                  <wp:docPr id="48" name="图片 150773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507739644"/>
                          <pic:cNvPicPr>
                            <a:picLocks noChangeAspect="1"/>
                          </pic:cNvPicPr>
                        </pic:nvPicPr>
                        <pic:blipFill>
                          <a:blip r:embed="rId58"/>
                          <a:srcRect l="1392" t="4305" r="2435" b="7089"/>
                          <a:stretch>
                            <a:fillRect/>
                          </a:stretch>
                        </pic:blipFill>
                        <pic:spPr>
                          <a:xfrm>
                            <a:off x="0" y="0"/>
                            <a:ext cx="4095750" cy="2600325"/>
                          </a:xfrm>
                          <a:prstGeom prst="rect">
                            <a:avLst/>
                          </a:prstGeom>
                          <a:noFill/>
                          <a:ln>
                            <a:noFill/>
                          </a:ln>
                        </pic:spPr>
                      </pic:pic>
                    </a:graphicData>
                  </a:graphic>
                </wp:inline>
              </w:drawing>
            </w:r>
          </w:p>
          <w:p w14:paraId="74ACF455">
            <w:pPr>
              <w:pStyle w:val="8"/>
            </w:pPr>
            <w:r>
              <w:rPr>
                <w:rFonts w:hint="eastAsia"/>
                <w:lang w:bidi="ar"/>
              </w:rPr>
              <w:t>生活污水处理站运行记录表（节选）</w:t>
            </w:r>
          </w:p>
        </w:tc>
      </w:tr>
    </w:tbl>
    <w:p w14:paraId="191A45D6">
      <w:pPr>
        <w:ind w:firstLine="464"/>
        <w:rPr>
          <w:b/>
        </w:rPr>
      </w:pPr>
      <w:r>
        <w:rPr>
          <w:b/>
          <w:lang w:bidi="ar"/>
        </w:rPr>
        <w:t>3</w:t>
      </w:r>
      <w:r>
        <w:rPr>
          <w:rFonts w:hint="eastAsia" w:cs="宋体"/>
          <w:b/>
          <w:lang w:bidi="ar"/>
        </w:rPr>
        <w:t>、污水处理设施运行效果</w:t>
      </w:r>
    </w:p>
    <w:p w14:paraId="1FF5DB3E">
      <w:pPr>
        <w:ind w:firstLine="462"/>
      </w:pPr>
      <w:r>
        <w:rPr>
          <w:rFonts w:hint="eastAsia" w:cs="宋体"/>
          <w:lang w:bidi="ar"/>
        </w:rPr>
        <w:t>根据《广西钦州保税港区盛港码头有限公司</w:t>
      </w:r>
      <w:r>
        <w:rPr>
          <w:lang w:bidi="ar"/>
        </w:rPr>
        <w:t>2024</w:t>
      </w:r>
      <w:r>
        <w:rPr>
          <w:rFonts w:hint="eastAsia" w:cs="宋体"/>
          <w:lang w:bidi="ar"/>
        </w:rPr>
        <w:t>年度环境例行监测项目》，生活污水处理站</w:t>
      </w:r>
      <w:r>
        <w:rPr>
          <w:lang w:bidi="ar"/>
        </w:rPr>
        <w:t>2024</w:t>
      </w:r>
      <w:r>
        <w:rPr>
          <w:rFonts w:hint="eastAsia" w:cs="宋体"/>
          <w:lang w:bidi="ar"/>
        </w:rPr>
        <w:t>年</w:t>
      </w:r>
      <w:r>
        <w:rPr>
          <w:lang w:bidi="ar"/>
        </w:rPr>
        <w:t>2</w:t>
      </w:r>
      <w:r>
        <w:rPr>
          <w:rFonts w:hint="eastAsia" w:cs="宋体"/>
          <w:lang w:bidi="ar"/>
        </w:rPr>
        <w:t>月进出水口水质监测结果见表</w:t>
      </w:r>
      <w:r>
        <w:rPr>
          <w:lang w:bidi="ar"/>
        </w:rPr>
        <w:t>2.1-</w:t>
      </w:r>
      <w:r>
        <w:rPr>
          <w:rFonts w:hint="eastAsia"/>
          <w:lang w:bidi="ar"/>
        </w:rPr>
        <w:t>10</w:t>
      </w:r>
      <w:r>
        <w:rPr>
          <w:rFonts w:hint="eastAsia" w:cs="宋体"/>
          <w:lang w:bidi="ar"/>
        </w:rPr>
        <w:t>、表</w:t>
      </w:r>
      <w:r>
        <w:rPr>
          <w:lang w:bidi="ar"/>
        </w:rPr>
        <w:t>2.1-</w:t>
      </w:r>
      <w:r>
        <w:rPr>
          <w:rFonts w:hint="eastAsia"/>
          <w:lang w:bidi="ar"/>
        </w:rPr>
        <w:t>11</w:t>
      </w:r>
      <w:r>
        <w:rPr>
          <w:rFonts w:hint="eastAsia" w:cs="宋体"/>
          <w:lang w:bidi="ar"/>
        </w:rPr>
        <w:t>，监测时段内生活污水处理量为</w:t>
      </w:r>
      <w:r>
        <w:rPr>
          <w:lang w:bidi="ar"/>
        </w:rPr>
        <w:t>15t/d</w:t>
      </w:r>
      <w:r>
        <w:rPr>
          <w:rFonts w:hint="eastAsia" w:cs="宋体"/>
          <w:lang w:bidi="ar"/>
        </w:rPr>
        <w:t>。由表</w:t>
      </w:r>
      <w:r>
        <w:rPr>
          <w:lang w:bidi="ar"/>
        </w:rPr>
        <w:t>2.1-</w:t>
      </w:r>
      <w:r>
        <w:rPr>
          <w:rFonts w:hint="eastAsia"/>
          <w:lang w:bidi="ar"/>
        </w:rPr>
        <w:t>11</w:t>
      </w:r>
      <w:r>
        <w:rPr>
          <w:rFonts w:hint="eastAsia" w:cs="宋体"/>
          <w:lang w:bidi="ar"/>
        </w:rPr>
        <w:t>可知，生活污水处理站出水口水质能满足《污水综合排放标准》（</w:t>
      </w:r>
      <w:r>
        <w:rPr>
          <w:lang w:bidi="ar"/>
        </w:rPr>
        <w:t>GB 8978-1996</w:t>
      </w:r>
      <w:r>
        <w:rPr>
          <w:rFonts w:hint="eastAsia" w:cs="宋体"/>
          <w:lang w:bidi="ar"/>
        </w:rPr>
        <w:t>）三级标准。</w:t>
      </w:r>
    </w:p>
    <w:p w14:paraId="35E88B5A">
      <w:pPr>
        <w:pStyle w:val="7"/>
      </w:pPr>
      <w:r>
        <w:rPr>
          <w:rFonts w:hint="eastAsia"/>
        </w:rPr>
        <w:t>生活污水处理站进水口水质监测结果</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33"/>
        <w:gridCol w:w="1358"/>
        <w:gridCol w:w="2450"/>
        <w:gridCol w:w="797"/>
        <w:gridCol w:w="797"/>
        <w:gridCol w:w="797"/>
        <w:gridCol w:w="1196"/>
      </w:tblGrid>
      <w:tr w14:paraId="2A68BE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65" w:type="pct"/>
            <w:vMerge w:val="restart"/>
            <w:tcBorders>
              <w:top w:val="single" w:color="auto" w:sz="12" w:space="0"/>
              <w:left w:val="single" w:color="auto" w:sz="12" w:space="0"/>
              <w:bottom w:val="single" w:color="auto" w:sz="6" w:space="0"/>
              <w:right w:val="single" w:color="auto" w:sz="6" w:space="0"/>
            </w:tcBorders>
            <w:vAlign w:val="center"/>
          </w:tcPr>
          <w:p w14:paraId="3536CD85">
            <w:pPr>
              <w:pStyle w:val="34"/>
              <w:rPr>
                <w:lang w:val="zh-CN"/>
              </w:rPr>
            </w:pPr>
            <w:r>
              <w:rPr>
                <w:rFonts w:hint="eastAsia"/>
                <w:lang w:val="zh-CN" w:bidi="ar"/>
              </w:rPr>
              <w:t>采样日期</w:t>
            </w:r>
          </w:p>
        </w:tc>
        <w:tc>
          <w:tcPr>
            <w:tcW w:w="796" w:type="pct"/>
            <w:vMerge w:val="restart"/>
            <w:tcBorders>
              <w:top w:val="single" w:color="auto" w:sz="12" w:space="0"/>
              <w:left w:val="single" w:color="auto" w:sz="6" w:space="0"/>
              <w:bottom w:val="single" w:color="auto" w:sz="6" w:space="0"/>
              <w:right w:val="single" w:color="auto" w:sz="6" w:space="0"/>
            </w:tcBorders>
            <w:vAlign w:val="center"/>
          </w:tcPr>
          <w:p w14:paraId="12772848">
            <w:pPr>
              <w:pStyle w:val="34"/>
              <w:rPr>
                <w:lang w:val="zh-CN"/>
              </w:rPr>
            </w:pPr>
            <w:r>
              <w:rPr>
                <w:rFonts w:hint="eastAsia"/>
                <w:lang w:val="zh-CN" w:bidi="ar"/>
              </w:rPr>
              <w:t>监测点位</w:t>
            </w:r>
          </w:p>
        </w:tc>
        <w:tc>
          <w:tcPr>
            <w:tcW w:w="1436" w:type="pct"/>
            <w:vMerge w:val="restart"/>
            <w:tcBorders>
              <w:top w:val="single" w:color="auto" w:sz="12" w:space="0"/>
              <w:left w:val="single" w:color="auto" w:sz="6" w:space="0"/>
              <w:bottom w:val="single" w:color="auto" w:sz="6" w:space="0"/>
              <w:right w:val="single" w:color="auto" w:sz="6" w:space="0"/>
            </w:tcBorders>
            <w:vAlign w:val="center"/>
          </w:tcPr>
          <w:p w14:paraId="00511825">
            <w:pPr>
              <w:pStyle w:val="34"/>
              <w:rPr>
                <w:lang w:val="zh-CN"/>
              </w:rPr>
            </w:pPr>
            <w:r>
              <w:rPr>
                <w:rFonts w:hint="eastAsia"/>
                <w:lang w:val="zh-CN" w:bidi="ar"/>
              </w:rPr>
              <w:t>监测项目</w:t>
            </w:r>
          </w:p>
        </w:tc>
        <w:tc>
          <w:tcPr>
            <w:tcW w:w="2102" w:type="pct"/>
            <w:gridSpan w:val="4"/>
            <w:tcBorders>
              <w:top w:val="single" w:color="auto" w:sz="12" w:space="0"/>
              <w:left w:val="single" w:color="auto" w:sz="6" w:space="0"/>
              <w:bottom w:val="single" w:color="auto" w:sz="6" w:space="0"/>
              <w:right w:val="single" w:color="auto" w:sz="12" w:space="0"/>
            </w:tcBorders>
          </w:tcPr>
          <w:p w14:paraId="4217E995">
            <w:pPr>
              <w:pStyle w:val="34"/>
              <w:rPr>
                <w:lang w:val="zh-CN"/>
              </w:rPr>
            </w:pPr>
            <w:r>
              <w:rPr>
                <w:rFonts w:hint="eastAsia"/>
                <w:lang w:val="zh-CN" w:bidi="ar"/>
              </w:rPr>
              <w:t>监测结果</w:t>
            </w:r>
          </w:p>
        </w:tc>
      </w:tr>
      <w:tr w14:paraId="2AB3F2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65" w:type="pct"/>
            <w:vMerge w:val="continue"/>
            <w:tcBorders>
              <w:top w:val="single" w:color="auto" w:sz="12" w:space="0"/>
              <w:left w:val="single" w:color="auto" w:sz="12" w:space="0"/>
              <w:bottom w:val="single" w:color="auto" w:sz="6" w:space="0"/>
              <w:right w:val="single" w:color="auto" w:sz="6" w:space="0"/>
            </w:tcBorders>
            <w:vAlign w:val="center"/>
          </w:tcPr>
          <w:p w14:paraId="0F50583D">
            <w:pPr>
              <w:pStyle w:val="34"/>
              <w:rPr>
                <w:sz w:val="20"/>
                <w:szCs w:val="20"/>
              </w:rPr>
            </w:pPr>
          </w:p>
        </w:tc>
        <w:tc>
          <w:tcPr>
            <w:tcW w:w="796" w:type="pct"/>
            <w:vMerge w:val="continue"/>
            <w:tcBorders>
              <w:top w:val="single" w:color="auto" w:sz="12" w:space="0"/>
              <w:left w:val="single" w:color="auto" w:sz="6" w:space="0"/>
              <w:bottom w:val="single" w:color="auto" w:sz="6" w:space="0"/>
              <w:right w:val="single" w:color="auto" w:sz="6" w:space="0"/>
            </w:tcBorders>
            <w:vAlign w:val="center"/>
          </w:tcPr>
          <w:p w14:paraId="1855C945">
            <w:pPr>
              <w:pStyle w:val="34"/>
              <w:rPr>
                <w:sz w:val="20"/>
                <w:szCs w:val="20"/>
              </w:rPr>
            </w:pPr>
          </w:p>
        </w:tc>
        <w:tc>
          <w:tcPr>
            <w:tcW w:w="1436" w:type="pct"/>
            <w:vMerge w:val="continue"/>
            <w:tcBorders>
              <w:top w:val="single" w:color="auto" w:sz="12" w:space="0"/>
              <w:left w:val="single" w:color="auto" w:sz="6" w:space="0"/>
              <w:bottom w:val="single" w:color="auto" w:sz="6" w:space="0"/>
              <w:right w:val="single" w:color="auto" w:sz="6" w:space="0"/>
            </w:tcBorders>
            <w:vAlign w:val="center"/>
          </w:tcPr>
          <w:p w14:paraId="2E171CE1">
            <w:pPr>
              <w:pStyle w:val="34"/>
              <w:rPr>
                <w:sz w:val="20"/>
                <w:szCs w:val="20"/>
              </w:rPr>
            </w:pPr>
          </w:p>
        </w:tc>
        <w:tc>
          <w:tcPr>
            <w:tcW w:w="467" w:type="pct"/>
            <w:tcBorders>
              <w:top w:val="single" w:color="auto" w:sz="6" w:space="0"/>
              <w:left w:val="single" w:color="auto" w:sz="6" w:space="0"/>
              <w:bottom w:val="single" w:color="auto" w:sz="6" w:space="0"/>
              <w:right w:val="single" w:color="auto" w:sz="6" w:space="0"/>
            </w:tcBorders>
          </w:tcPr>
          <w:p w14:paraId="47BBC226">
            <w:pPr>
              <w:pStyle w:val="34"/>
              <w:rPr>
                <w:lang w:val="zh-CN"/>
              </w:rPr>
            </w:pPr>
            <w:r>
              <w:rPr>
                <w:rFonts w:hint="eastAsia"/>
                <w:lang w:val="zh-CN" w:bidi="ar"/>
              </w:rPr>
              <w:t>第</w:t>
            </w:r>
            <w:r>
              <w:rPr>
                <w:lang w:val="zh-CN" w:bidi="ar"/>
              </w:rPr>
              <w:t>1</w:t>
            </w:r>
            <w:r>
              <w:rPr>
                <w:rFonts w:hint="eastAsia"/>
                <w:lang w:val="zh-CN" w:bidi="ar"/>
              </w:rPr>
              <w:t>次</w:t>
            </w:r>
          </w:p>
        </w:tc>
        <w:tc>
          <w:tcPr>
            <w:tcW w:w="467" w:type="pct"/>
            <w:tcBorders>
              <w:top w:val="single" w:color="auto" w:sz="6" w:space="0"/>
              <w:left w:val="single" w:color="auto" w:sz="6" w:space="0"/>
              <w:bottom w:val="single" w:color="auto" w:sz="6" w:space="0"/>
              <w:right w:val="single" w:color="auto" w:sz="6" w:space="0"/>
            </w:tcBorders>
          </w:tcPr>
          <w:p w14:paraId="0914008D">
            <w:pPr>
              <w:pStyle w:val="34"/>
              <w:rPr>
                <w:lang w:val="zh-CN"/>
              </w:rPr>
            </w:pPr>
            <w:r>
              <w:rPr>
                <w:rFonts w:hint="eastAsia"/>
                <w:lang w:val="zh-CN" w:bidi="ar"/>
              </w:rPr>
              <w:t>第</w:t>
            </w:r>
            <w:r>
              <w:rPr>
                <w:lang w:val="zh-CN" w:bidi="ar"/>
              </w:rPr>
              <w:t>2</w:t>
            </w:r>
            <w:r>
              <w:rPr>
                <w:rFonts w:hint="eastAsia"/>
                <w:lang w:val="zh-CN" w:bidi="ar"/>
              </w:rPr>
              <w:t>次</w:t>
            </w:r>
          </w:p>
        </w:tc>
        <w:tc>
          <w:tcPr>
            <w:tcW w:w="467" w:type="pct"/>
            <w:tcBorders>
              <w:top w:val="single" w:color="auto" w:sz="6" w:space="0"/>
              <w:left w:val="single" w:color="auto" w:sz="6" w:space="0"/>
              <w:bottom w:val="single" w:color="auto" w:sz="6" w:space="0"/>
              <w:right w:val="single" w:color="auto" w:sz="6" w:space="0"/>
            </w:tcBorders>
          </w:tcPr>
          <w:p w14:paraId="5F65E568">
            <w:pPr>
              <w:pStyle w:val="34"/>
              <w:rPr>
                <w:lang w:val="zh-CN"/>
              </w:rPr>
            </w:pPr>
            <w:r>
              <w:rPr>
                <w:rFonts w:hint="eastAsia"/>
                <w:lang w:val="zh-CN" w:bidi="ar"/>
              </w:rPr>
              <w:t>第</w:t>
            </w:r>
            <w:r>
              <w:rPr>
                <w:lang w:val="zh-CN" w:bidi="ar"/>
              </w:rPr>
              <w:t>3</w:t>
            </w:r>
            <w:r>
              <w:rPr>
                <w:rFonts w:hint="eastAsia"/>
                <w:lang w:val="zh-CN" w:bidi="ar"/>
              </w:rPr>
              <w:t>次</w:t>
            </w:r>
          </w:p>
        </w:tc>
        <w:tc>
          <w:tcPr>
            <w:tcW w:w="701" w:type="pct"/>
            <w:tcBorders>
              <w:top w:val="single" w:color="auto" w:sz="6" w:space="0"/>
              <w:left w:val="single" w:color="auto" w:sz="6" w:space="0"/>
              <w:bottom w:val="single" w:color="auto" w:sz="6" w:space="0"/>
              <w:right w:val="single" w:color="auto" w:sz="12" w:space="0"/>
            </w:tcBorders>
          </w:tcPr>
          <w:p w14:paraId="631EABDC">
            <w:pPr>
              <w:pStyle w:val="34"/>
              <w:rPr>
                <w:lang w:val="zh-CN"/>
              </w:rPr>
            </w:pPr>
            <w:r>
              <w:rPr>
                <w:rFonts w:hint="eastAsia"/>
                <w:lang w:val="zh-CN" w:bidi="ar"/>
              </w:rPr>
              <w:t>均值</w:t>
            </w:r>
            <w:r>
              <w:rPr>
                <w:lang w:val="zh-CN" w:bidi="ar"/>
              </w:rPr>
              <w:t>/</w:t>
            </w:r>
            <w:r>
              <w:rPr>
                <w:rFonts w:hint="eastAsia"/>
                <w:lang w:val="zh-CN" w:bidi="ar"/>
              </w:rPr>
              <w:t>范围</w:t>
            </w:r>
          </w:p>
        </w:tc>
      </w:tr>
      <w:tr w14:paraId="3656F1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restart"/>
            <w:tcBorders>
              <w:top w:val="single" w:color="auto" w:sz="6" w:space="0"/>
              <w:left w:val="single" w:color="auto" w:sz="12" w:space="0"/>
              <w:bottom w:val="single" w:color="auto" w:sz="12" w:space="0"/>
              <w:right w:val="single" w:color="auto" w:sz="6" w:space="0"/>
            </w:tcBorders>
            <w:vAlign w:val="center"/>
          </w:tcPr>
          <w:p w14:paraId="54591850">
            <w:pPr>
              <w:pStyle w:val="34"/>
              <w:rPr>
                <w:lang w:val="zh-CN"/>
              </w:rPr>
            </w:pPr>
            <w:r>
              <w:rPr>
                <w:lang w:val="zh-CN" w:bidi="ar"/>
              </w:rPr>
              <w:t>2</w:t>
            </w:r>
            <w:r>
              <w:rPr>
                <w:rFonts w:hint="eastAsia"/>
                <w:lang w:val="zh-CN" w:bidi="ar"/>
              </w:rPr>
              <w:t>月</w:t>
            </w:r>
            <w:r>
              <w:rPr>
                <w:lang w:val="zh-CN" w:bidi="ar"/>
              </w:rPr>
              <w:t>23</w:t>
            </w:r>
            <w:r>
              <w:rPr>
                <w:rFonts w:hint="eastAsia"/>
                <w:lang w:val="zh-CN" w:bidi="ar"/>
              </w:rPr>
              <w:t>日</w:t>
            </w:r>
          </w:p>
        </w:tc>
        <w:tc>
          <w:tcPr>
            <w:tcW w:w="796" w:type="pct"/>
            <w:vMerge w:val="restart"/>
            <w:tcBorders>
              <w:top w:val="single" w:color="auto" w:sz="6" w:space="0"/>
              <w:left w:val="single" w:color="auto" w:sz="6" w:space="0"/>
              <w:bottom w:val="single" w:color="auto" w:sz="12" w:space="0"/>
              <w:right w:val="single" w:color="auto" w:sz="6" w:space="0"/>
            </w:tcBorders>
            <w:vAlign w:val="center"/>
          </w:tcPr>
          <w:p w14:paraId="7906951E">
            <w:pPr>
              <w:pStyle w:val="34"/>
              <w:rPr>
                <w:lang w:val="zh-CN"/>
              </w:rPr>
            </w:pPr>
            <w:r>
              <w:rPr>
                <w:rFonts w:hint="eastAsia"/>
                <w:lang w:val="zh-CN" w:bidi="ar"/>
              </w:rPr>
              <w:t>生活污水</w:t>
            </w:r>
          </w:p>
          <w:p w14:paraId="0C939ADC">
            <w:pPr>
              <w:pStyle w:val="34"/>
              <w:rPr>
                <w:lang w:val="zh-CN"/>
              </w:rPr>
            </w:pPr>
            <w:r>
              <w:rPr>
                <w:rFonts w:hint="eastAsia"/>
                <w:lang w:val="zh-CN" w:bidi="ar"/>
              </w:rPr>
              <w:t>处理站</w:t>
            </w:r>
          </w:p>
          <w:p w14:paraId="15A8A03F">
            <w:pPr>
              <w:pStyle w:val="34"/>
              <w:rPr>
                <w:lang w:val="zh-CN"/>
              </w:rPr>
            </w:pPr>
            <w:r>
              <w:rPr>
                <w:rFonts w:hint="eastAsia"/>
                <w:lang w:val="zh-CN" w:bidi="ar"/>
              </w:rPr>
              <w:t>进水口</w:t>
            </w:r>
          </w:p>
          <w:p w14:paraId="01185ED1">
            <w:pPr>
              <w:pStyle w:val="34"/>
              <w:rPr>
                <w:lang w:val="zh-CN"/>
              </w:rPr>
            </w:pPr>
            <w:r>
              <w:rPr>
                <w:rFonts w:hint="eastAsia"/>
                <w:lang w:val="zh-CN" w:bidi="ar"/>
              </w:rPr>
              <w:t>（格栅井）</w:t>
            </w:r>
          </w:p>
        </w:tc>
        <w:tc>
          <w:tcPr>
            <w:tcW w:w="1436" w:type="pct"/>
            <w:tcBorders>
              <w:top w:val="single" w:color="auto" w:sz="6" w:space="0"/>
              <w:left w:val="single" w:color="auto" w:sz="6" w:space="0"/>
              <w:bottom w:val="single" w:color="auto" w:sz="6" w:space="0"/>
              <w:right w:val="single" w:color="auto" w:sz="6" w:space="0"/>
            </w:tcBorders>
            <w:vAlign w:val="center"/>
          </w:tcPr>
          <w:p w14:paraId="1EFA27CF">
            <w:pPr>
              <w:pStyle w:val="34"/>
              <w:rPr>
                <w:lang w:val="zh-CN"/>
              </w:rPr>
            </w:pPr>
            <w:r>
              <w:rPr>
                <w:rFonts w:hint="eastAsia"/>
                <w:lang w:val="zh-CN" w:bidi="ar"/>
              </w:rPr>
              <w:t>水温（℃</w:t>
            </w:r>
            <w:r>
              <w:rPr>
                <w:lang w:val="zh-CN" w:bidi="ar"/>
              </w:rPr>
              <w:t>)</w:t>
            </w:r>
          </w:p>
        </w:tc>
        <w:tc>
          <w:tcPr>
            <w:tcW w:w="467" w:type="pct"/>
            <w:tcBorders>
              <w:top w:val="single" w:color="auto" w:sz="6" w:space="0"/>
              <w:left w:val="single" w:color="auto" w:sz="6" w:space="0"/>
              <w:bottom w:val="single" w:color="auto" w:sz="6" w:space="0"/>
              <w:right w:val="single" w:color="auto" w:sz="6" w:space="0"/>
            </w:tcBorders>
            <w:vAlign w:val="center"/>
          </w:tcPr>
          <w:p w14:paraId="7DD5E64C">
            <w:pPr>
              <w:pStyle w:val="34"/>
              <w:rPr>
                <w:lang w:val="zh-CN"/>
              </w:rPr>
            </w:pPr>
            <w:r>
              <w:rPr>
                <w:lang w:val="zh-CN" w:bidi="ar"/>
              </w:rPr>
              <w:t>20.6</w:t>
            </w:r>
          </w:p>
        </w:tc>
        <w:tc>
          <w:tcPr>
            <w:tcW w:w="467" w:type="pct"/>
            <w:tcBorders>
              <w:top w:val="single" w:color="auto" w:sz="6" w:space="0"/>
              <w:left w:val="single" w:color="auto" w:sz="6" w:space="0"/>
              <w:bottom w:val="single" w:color="auto" w:sz="6" w:space="0"/>
              <w:right w:val="single" w:color="auto" w:sz="6" w:space="0"/>
            </w:tcBorders>
            <w:vAlign w:val="center"/>
          </w:tcPr>
          <w:p w14:paraId="11F0DC7F">
            <w:pPr>
              <w:pStyle w:val="34"/>
              <w:rPr>
                <w:lang w:val="zh-CN"/>
              </w:rPr>
            </w:pPr>
            <w:r>
              <w:rPr>
                <w:lang w:val="zh-CN" w:bidi="ar"/>
              </w:rPr>
              <w:t>20.9</w:t>
            </w:r>
          </w:p>
        </w:tc>
        <w:tc>
          <w:tcPr>
            <w:tcW w:w="467" w:type="pct"/>
            <w:tcBorders>
              <w:top w:val="single" w:color="auto" w:sz="6" w:space="0"/>
              <w:left w:val="single" w:color="auto" w:sz="6" w:space="0"/>
              <w:bottom w:val="single" w:color="auto" w:sz="6" w:space="0"/>
              <w:right w:val="single" w:color="auto" w:sz="6" w:space="0"/>
            </w:tcBorders>
            <w:vAlign w:val="center"/>
          </w:tcPr>
          <w:p w14:paraId="6047BF23">
            <w:pPr>
              <w:pStyle w:val="34"/>
              <w:rPr>
                <w:lang w:val="zh-CN"/>
              </w:rPr>
            </w:pPr>
            <w:r>
              <w:rPr>
                <w:lang w:val="zh-CN" w:bidi="ar"/>
              </w:rPr>
              <w:t>20.7</w:t>
            </w:r>
          </w:p>
        </w:tc>
        <w:tc>
          <w:tcPr>
            <w:tcW w:w="701" w:type="pct"/>
            <w:tcBorders>
              <w:top w:val="single" w:color="auto" w:sz="6" w:space="0"/>
              <w:left w:val="single" w:color="auto" w:sz="6" w:space="0"/>
              <w:bottom w:val="single" w:color="auto" w:sz="6" w:space="0"/>
              <w:right w:val="single" w:color="auto" w:sz="12" w:space="0"/>
            </w:tcBorders>
            <w:vAlign w:val="center"/>
          </w:tcPr>
          <w:p w14:paraId="3B7C9B19">
            <w:pPr>
              <w:pStyle w:val="34"/>
              <w:rPr>
                <w:lang w:val="zh-CN"/>
              </w:rPr>
            </w:pPr>
            <w:r>
              <w:rPr>
                <w:lang w:val="zh-CN" w:bidi="ar"/>
              </w:rPr>
              <w:t>20.7</w:t>
            </w:r>
          </w:p>
        </w:tc>
      </w:tr>
      <w:tr w14:paraId="0FE110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40878956">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2AAC7ABD">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35ED7DFA">
            <w:pPr>
              <w:pStyle w:val="34"/>
              <w:rPr>
                <w:lang w:val="zh-CN"/>
              </w:rPr>
            </w:pPr>
            <w:r>
              <w:rPr>
                <w:lang w:val="zh-CN" w:bidi="ar"/>
              </w:rPr>
              <w:t xml:space="preserve">pH </w:t>
            </w:r>
            <w:r>
              <w:rPr>
                <w:rFonts w:hint="eastAsia"/>
                <w:lang w:val="zh-CN" w:bidi="ar"/>
              </w:rPr>
              <w:t>值（无纲量）</w:t>
            </w:r>
          </w:p>
        </w:tc>
        <w:tc>
          <w:tcPr>
            <w:tcW w:w="467" w:type="pct"/>
            <w:tcBorders>
              <w:top w:val="single" w:color="auto" w:sz="6" w:space="0"/>
              <w:left w:val="single" w:color="auto" w:sz="6" w:space="0"/>
              <w:bottom w:val="single" w:color="auto" w:sz="6" w:space="0"/>
              <w:right w:val="single" w:color="auto" w:sz="6" w:space="0"/>
            </w:tcBorders>
            <w:vAlign w:val="center"/>
          </w:tcPr>
          <w:p w14:paraId="7306A713">
            <w:pPr>
              <w:pStyle w:val="34"/>
              <w:rPr>
                <w:lang w:val="zh-CN"/>
              </w:rPr>
            </w:pPr>
            <w:r>
              <w:rPr>
                <w:lang w:val="zh-CN" w:bidi="ar"/>
              </w:rPr>
              <w:t>7.3</w:t>
            </w:r>
          </w:p>
        </w:tc>
        <w:tc>
          <w:tcPr>
            <w:tcW w:w="467" w:type="pct"/>
            <w:tcBorders>
              <w:top w:val="single" w:color="auto" w:sz="6" w:space="0"/>
              <w:left w:val="single" w:color="auto" w:sz="6" w:space="0"/>
              <w:bottom w:val="single" w:color="auto" w:sz="6" w:space="0"/>
              <w:right w:val="single" w:color="auto" w:sz="6" w:space="0"/>
            </w:tcBorders>
            <w:vAlign w:val="center"/>
          </w:tcPr>
          <w:p w14:paraId="61447A23">
            <w:pPr>
              <w:pStyle w:val="34"/>
              <w:rPr>
                <w:lang w:val="zh-CN"/>
              </w:rPr>
            </w:pPr>
            <w:r>
              <w:rPr>
                <w:lang w:val="zh-CN" w:bidi="ar"/>
              </w:rPr>
              <w:t>7.3</w:t>
            </w:r>
          </w:p>
        </w:tc>
        <w:tc>
          <w:tcPr>
            <w:tcW w:w="467" w:type="pct"/>
            <w:tcBorders>
              <w:top w:val="single" w:color="auto" w:sz="6" w:space="0"/>
              <w:left w:val="single" w:color="auto" w:sz="6" w:space="0"/>
              <w:bottom w:val="single" w:color="auto" w:sz="6" w:space="0"/>
              <w:right w:val="single" w:color="auto" w:sz="6" w:space="0"/>
            </w:tcBorders>
            <w:vAlign w:val="center"/>
          </w:tcPr>
          <w:p w14:paraId="1B0E82D5">
            <w:pPr>
              <w:pStyle w:val="34"/>
              <w:rPr>
                <w:lang w:val="zh-CN"/>
              </w:rPr>
            </w:pPr>
            <w:r>
              <w:rPr>
                <w:lang w:val="zh-CN" w:bidi="ar"/>
              </w:rPr>
              <w:t>7.3</w:t>
            </w:r>
          </w:p>
        </w:tc>
        <w:tc>
          <w:tcPr>
            <w:tcW w:w="701" w:type="pct"/>
            <w:tcBorders>
              <w:top w:val="single" w:color="auto" w:sz="6" w:space="0"/>
              <w:left w:val="single" w:color="auto" w:sz="6" w:space="0"/>
              <w:bottom w:val="single" w:color="auto" w:sz="6" w:space="0"/>
              <w:right w:val="single" w:color="auto" w:sz="12" w:space="0"/>
            </w:tcBorders>
            <w:vAlign w:val="center"/>
          </w:tcPr>
          <w:p w14:paraId="16BDF15C">
            <w:pPr>
              <w:pStyle w:val="34"/>
              <w:rPr>
                <w:lang w:val="zh-CN"/>
              </w:rPr>
            </w:pPr>
            <w:r>
              <w:rPr>
                <w:lang w:val="zh-CN" w:bidi="ar"/>
              </w:rPr>
              <w:t>7.3</w:t>
            </w:r>
          </w:p>
        </w:tc>
      </w:tr>
      <w:tr w14:paraId="07FE6F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4853C212">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5049022E">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1BE59028">
            <w:pPr>
              <w:pStyle w:val="34"/>
              <w:rPr>
                <w:lang w:val="zh-CN"/>
              </w:rPr>
            </w:pPr>
            <w:r>
              <w:rPr>
                <w:rFonts w:hint="eastAsia"/>
                <w:lang w:val="zh-CN" w:bidi="ar"/>
              </w:rPr>
              <w:t>化学需氧量（</w:t>
            </w:r>
            <w:r>
              <w:rPr>
                <w:lang w:val="zh-CN"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50D80228">
            <w:pPr>
              <w:pStyle w:val="34"/>
              <w:rPr>
                <w:lang w:val="zh-CN"/>
              </w:rPr>
            </w:pPr>
            <w:r>
              <w:rPr>
                <w:lang w:val="zh-CN" w:bidi="ar"/>
              </w:rPr>
              <w:t>202</w:t>
            </w:r>
          </w:p>
        </w:tc>
        <w:tc>
          <w:tcPr>
            <w:tcW w:w="467" w:type="pct"/>
            <w:tcBorders>
              <w:top w:val="single" w:color="auto" w:sz="6" w:space="0"/>
              <w:left w:val="single" w:color="auto" w:sz="6" w:space="0"/>
              <w:bottom w:val="single" w:color="auto" w:sz="6" w:space="0"/>
              <w:right w:val="single" w:color="auto" w:sz="6" w:space="0"/>
            </w:tcBorders>
            <w:vAlign w:val="center"/>
          </w:tcPr>
          <w:p w14:paraId="09D79825">
            <w:pPr>
              <w:pStyle w:val="34"/>
              <w:rPr>
                <w:lang w:val="zh-CN"/>
              </w:rPr>
            </w:pPr>
            <w:r>
              <w:rPr>
                <w:lang w:val="zh-CN" w:bidi="ar"/>
              </w:rPr>
              <w:t>222</w:t>
            </w:r>
          </w:p>
        </w:tc>
        <w:tc>
          <w:tcPr>
            <w:tcW w:w="467" w:type="pct"/>
            <w:tcBorders>
              <w:top w:val="single" w:color="auto" w:sz="6" w:space="0"/>
              <w:left w:val="single" w:color="auto" w:sz="6" w:space="0"/>
              <w:bottom w:val="single" w:color="auto" w:sz="6" w:space="0"/>
              <w:right w:val="single" w:color="auto" w:sz="6" w:space="0"/>
            </w:tcBorders>
            <w:vAlign w:val="center"/>
          </w:tcPr>
          <w:p w14:paraId="2EF46E3A">
            <w:pPr>
              <w:pStyle w:val="34"/>
              <w:rPr>
                <w:lang w:val="zh-CN"/>
              </w:rPr>
            </w:pPr>
            <w:r>
              <w:rPr>
                <w:lang w:val="zh-CN" w:bidi="ar"/>
              </w:rPr>
              <w:t>237</w:t>
            </w:r>
          </w:p>
        </w:tc>
        <w:tc>
          <w:tcPr>
            <w:tcW w:w="701" w:type="pct"/>
            <w:tcBorders>
              <w:top w:val="single" w:color="auto" w:sz="6" w:space="0"/>
              <w:left w:val="single" w:color="auto" w:sz="6" w:space="0"/>
              <w:bottom w:val="single" w:color="auto" w:sz="6" w:space="0"/>
              <w:right w:val="single" w:color="auto" w:sz="12" w:space="0"/>
            </w:tcBorders>
            <w:vAlign w:val="center"/>
          </w:tcPr>
          <w:p w14:paraId="7235760B">
            <w:pPr>
              <w:pStyle w:val="34"/>
              <w:rPr>
                <w:lang w:val="zh-CN"/>
              </w:rPr>
            </w:pPr>
            <w:r>
              <w:rPr>
                <w:lang w:val="zh-CN" w:bidi="ar"/>
              </w:rPr>
              <w:t>220</w:t>
            </w:r>
          </w:p>
        </w:tc>
      </w:tr>
      <w:tr w14:paraId="52B51A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46F7CEBE">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2BC33A9F">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7BACB94E">
            <w:pPr>
              <w:pStyle w:val="34"/>
            </w:pPr>
            <w:r>
              <w:rPr>
                <w:rFonts w:hint="eastAsia"/>
                <w:lang w:val="zh-CN" w:bidi="ar"/>
              </w:rPr>
              <w:t>五日生化需氧量</w:t>
            </w:r>
            <w:r>
              <w:rPr>
                <w:rFonts w:hint="eastAsia"/>
                <w:lang w:bidi="ar"/>
              </w:rPr>
              <w:t>（</w:t>
            </w:r>
            <w:r>
              <w:rPr>
                <w:lang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2C4DD37B">
            <w:pPr>
              <w:pStyle w:val="34"/>
              <w:rPr>
                <w:lang w:val="zh-CN"/>
              </w:rPr>
            </w:pPr>
            <w:r>
              <w:rPr>
                <w:lang w:val="zh-CN" w:bidi="ar"/>
              </w:rPr>
              <w:t>102</w:t>
            </w:r>
          </w:p>
        </w:tc>
        <w:tc>
          <w:tcPr>
            <w:tcW w:w="467" w:type="pct"/>
            <w:tcBorders>
              <w:top w:val="single" w:color="auto" w:sz="6" w:space="0"/>
              <w:left w:val="single" w:color="auto" w:sz="6" w:space="0"/>
              <w:bottom w:val="single" w:color="auto" w:sz="6" w:space="0"/>
              <w:right w:val="single" w:color="auto" w:sz="6" w:space="0"/>
            </w:tcBorders>
            <w:vAlign w:val="center"/>
          </w:tcPr>
          <w:p w14:paraId="40B6F01F">
            <w:pPr>
              <w:pStyle w:val="34"/>
              <w:rPr>
                <w:lang w:val="zh-CN"/>
              </w:rPr>
            </w:pPr>
            <w:r>
              <w:rPr>
                <w:lang w:val="zh-CN" w:bidi="ar"/>
              </w:rPr>
              <w:t>103</w:t>
            </w:r>
          </w:p>
        </w:tc>
        <w:tc>
          <w:tcPr>
            <w:tcW w:w="467" w:type="pct"/>
            <w:tcBorders>
              <w:top w:val="single" w:color="auto" w:sz="6" w:space="0"/>
              <w:left w:val="single" w:color="auto" w:sz="6" w:space="0"/>
              <w:bottom w:val="single" w:color="auto" w:sz="6" w:space="0"/>
              <w:right w:val="single" w:color="auto" w:sz="6" w:space="0"/>
            </w:tcBorders>
            <w:vAlign w:val="center"/>
          </w:tcPr>
          <w:p w14:paraId="4526B851">
            <w:pPr>
              <w:pStyle w:val="34"/>
              <w:rPr>
                <w:lang w:val="zh-CN"/>
              </w:rPr>
            </w:pPr>
            <w:r>
              <w:rPr>
                <w:lang w:val="zh-CN" w:bidi="ar"/>
              </w:rPr>
              <w:t>98.6</w:t>
            </w:r>
          </w:p>
        </w:tc>
        <w:tc>
          <w:tcPr>
            <w:tcW w:w="701" w:type="pct"/>
            <w:tcBorders>
              <w:top w:val="single" w:color="auto" w:sz="6" w:space="0"/>
              <w:left w:val="single" w:color="auto" w:sz="6" w:space="0"/>
              <w:bottom w:val="single" w:color="auto" w:sz="6" w:space="0"/>
              <w:right w:val="single" w:color="auto" w:sz="12" w:space="0"/>
            </w:tcBorders>
            <w:vAlign w:val="center"/>
          </w:tcPr>
          <w:p w14:paraId="7979DA35">
            <w:pPr>
              <w:pStyle w:val="34"/>
              <w:rPr>
                <w:lang w:val="zh-CN"/>
              </w:rPr>
            </w:pPr>
            <w:r>
              <w:rPr>
                <w:lang w:val="zh-CN" w:bidi="ar"/>
              </w:rPr>
              <w:t>101</w:t>
            </w:r>
          </w:p>
        </w:tc>
      </w:tr>
      <w:tr w14:paraId="54D28E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08D3800D">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34E43350">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31914D92">
            <w:pPr>
              <w:pStyle w:val="34"/>
              <w:rPr>
                <w:lang w:val="zh-CN"/>
              </w:rPr>
            </w:pPr>
            <w:r>
              <w:rPr>
                <w:rFonts w:hint="eastAsia"/>
                <w:lang w:val="zh-CN" w:bidi="ar"/>
              </w:rPr>
              <w:t>悬浮物（</w:t>
            </w:r>
            <w:r>
              <w:rPr>
                <w:lang w:val="zh-CN"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2E5994C9">
            <w:pPr>
              <w:pStyle w:val="34"/>
              <w:rPr>
                <w:lang w:val="zh-CN"/>
              </w:rPr>
            </w:pPr>
            <w:r>
              <w:rPr>
                <w:lang w:val="zh-CN" w:bidi="ar"/>
              </w:rPr>
              <w:t>120</w:t>
            </w:r>
          </w:p>
        </w:tc>
        <w:tc>
          <w:tcPr>
            <w:tcW w:w="467" w:type="pct"/>
            <w:tcBorders>
              <w:top w:val="single" w:color="auto" w:sz="6" w:space="0"/>
              <w:left w:val="single" w:color="auto" w:sz="6" w:space="0"/>
              <w:bottom w:val="single" w:color="auto" w:sz="6" w:space="0"/>
              <w:right w:val="single" w:color="auto" w:sz="6" w:space="0"/>
            </w:tcBorders>
            <w:vAlign w:val="center"/>
          </w:tcPr>
          <w:p w14:paraId="3DADA615">
            <w:pPr>
              <w:pStyle w:val="34"/>
              <w:rPr>
                <w:lang w:val="zh-CN"/>
              </w:rPr>
            </w:pPr>
            <w:r>
              <w:rPr>
                <w:lang w:val="zh-CN" w:bidi="ar"/>
              </w:rPr>
              <w:t>108</w:t>
            </w:r>
          </w:p>
        </w:tc>
        <w:tc>
          <w:tcPr>
            <w:tcW w:w="467" w:type="pct"/>
            <w:tcBorders>
              <w:top w:val="single" w:color="auto" w:sz="6" w:space="0"/>
              <w:left w:val="single" w:color="auto" w:sz="6" w:space="0"/>
              <w:bottom w:val="single" w:color="auto" w:sz="6" w:space="0"/>
              <w:right w:val="single" w:color="auto" w:sz="6" w:space="0"/>
            </w:tcBorders>
            <w:vAlign w:val="center"/>
          </w:tcPr>
          <w:p w14:paraId="49C93CE9">
            <w:pPr>
              <w:pStyle w:val="34"/>
              <w:rPr>
                <w:lang w:val="zh-CN"/>
              </w:rPr>
            </w:pPr>
            <w:r>
              <w:rPr>
                <w:lang w:val="zh-CN" w:bidi="ar"/>
              </w:rPr>
              <w:t>95</w:t>
            </w:r>
          </w:p>
        </w:tc>
        <w:tc>
          <w:tcPr>
            <w:tcW w:w="701" w:type="pct"/>
            <w:tcBorders>
              <w:top w:val="single" w:color="auto" w:sz="6" w:space="0"/>
              <w:left w:val="single" w:color="auto" w:sz="6" w:space="0"/>
              <w:bottom w:val="single" w:color="auto" w:sz="6" w:space="0"/>
              <w:right w:val="single" w:color="auto" w:sz="12" w:space="0"/>
            </w:tcBorders>
            <w:vAlign w:val="center"/>
          </w:tcPr>
          <w:p w14:paraId="483282D9">
            <w:pPr>
              <w:pStyle w:val="34"/>
              <w:rPr>
                <w:lang w:val="zh-CN"/>
              </w:rPr>
            </w:pPr>
            <w:r>
              <w:rPr>
                <w:lang w:val="zh-CN" w:bidi="ar"/>
              </w:rPr>
              <w:t>108</w:t>
            </w:r>
          </w:p>
        </w:tc>
      </w:tr>
      <w:tr w14:paraId="24A922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2CA84222">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4DFDE91E">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20E50AC7">
            <w:pPr>
              <w:pStyle w:val="34"/>
              <w:rPr>
                <w:lang w:val="zh-CN"/>
              </w:rPr>
            </w:pPr>
            <w:r>
              <w:rPr>
                <w:rFonts w:hint="eastAsia"/>
                <w:lang w:val="zh-CN" w:bidi="ar"/>
              </w:rPr>
              <w:t>氨氮</w:t>
            </w:r>
            <w:r>
              <w:rPr>
                <w:lang w:val="zh-CN" w:bidi="ar"/>
              </w:rPr>
              <w:t xml:space="preserve"> (mg/L)</w:t>
            </w:r>
          </w:p>
        </w:tc>
        <w:tc>
          <w:tcPr>
            <w:tcW w:w="467" w:type="pct"/>
            <w:tcBorders>
              <w:top w:val="single" w:color="auto" w:sz="6" w:space="0"/>
              <w:left w:val="single" w:color="auto" w:sz="6" w:space="0"/>
              <w:bottom w:val="single" w:color="auto" w:sz="6" w:space="0"/>
              <w:right w:val="single" w:color="auto" w:sz="6" w:space="0"/>
            </w:tcBorders>
            <w:vAlign w:val="center"/>
          </w:tcPr>
          <w:p w14:paraId="0DDB36D5">
            <w:pPr>
              <w:pStyle w:val="34"/>
              <w:rPr>
                <w:lang w:val="zh-CN"/>
              </w:rPr>
            </w:pPr>
            <w:r>
              <w:rPr>
                <w:lang w:val="zh-CN" w:bidi="ar"/>
              </w:rPr>
              <w:t>48.8</w:t>
            </w:r>
          </w:p>
        </w:tc>
        <w:tc>
          <w:tcPr>
            <w:tcW w:w="467" w:type="pct"/>
            <w:tcBorders>
              <w:top w:val="single" w:color="auto" w:sz="6" w:space="0"/>
              <w:left w:val="single" w:color="auto" w:sz="6" w:space="0"/>
              <w:bottom w:val="single" w:color="auto" w:sz="6" w:space="0"/>
              <w:right w:val="single" w:color="auto" w:sz="6" w:space="0"/>
            </w:tcBorders>
            <w:vAlign w:val="center"/>
          </w:tcPr>
          <w:p w14:paraId="2DD3483F">
            <w:pPr>
              <w:pStyle w:val="34"/>
              <w:rPr>
                <w:lang w:val="zh-CN"/>
              </w:rPr>
            </w:pPr>
            <w:r>
              <w:rPr>
                <w:lang w:val="zh-CN" w:bidi="ar"/>
              </w:rPr>
              <w:t>53.0</w:t>
            </w:r>
          </w:p>
        </w:tc>
        <w:tc>
          <w:tcPr>
            <w:tcW w:w="467" w:type="pct"/>
            <w:tcBorders>
              <w:top w:val="single" w:color="auto" w:sz="6" w:space="0"/>
              <w:left w:val="single" w:color="auto" w:sz="6" w:space="0"/>
              <w:bottom w:val="single" w:color="auto" w:sz="6" w:space="0"/>
              <w:right w:val="single" w:color="auto" w:sz="6" w:space="0"/>
            </w:tcBorders>
            <w:vAlign w:val="center"/>
          </w:tcPr>
          <w:p w14:paraId="1D875B93">
            <w:pPr>
              <w:pStyle w:val="34"/>
              <w:rPr>
                <w:lang w:val="zh-CN"/>
              </w:rPr>
            </w:pPr>
            <w:r>
              <w:rPr>
                <w:lang w:val="zh-CN" w:bidi="ar"/>
              </w:rPr>
              <w:t>46.5</w:t>
            </w:r>
          </w:p>
        </w:tc>
        <w:tc>
          <w:tcPr>
            <w:tcW w:w="701" w:type="pct"/>
            <w:tcBorders>
              <w:top w:val="single" w:color="auto" w:sz="6" w:space="0"/>
              <w:left w:val="single" w:color="auto" w:sz="6" w:space="0"/>
              <w:bottom w:val="single" w:color="auto" w:sz="6" w:space="0"/>
              <w:right w:val="single" w:color="auto" w:sz="12" w:space="0"/>
            </w:tcBorders>
            <w:vAlign w:val="center"/>
          </w:tcPr>
          <w:p w14:paraId="6CD0E334">
            <w:pPr>
              <w:pStyle w:val="34"/>
              <w:rPr>
                <w:lang w:val="zh-CN"/>
              </w:rPr>
            </w:pPr>
            <w:r>
              <w:rPr>
                <w:lang w:val="zh-CN" w:bidi="ar"/>
              </w:rPr>
              <w:t>49.4</w:t>
            </w:r>
          </w:p>
        </w:tc>
      </w:tr>
      <w:tr w14:paraId="4E8D78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07A4FA95">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5F2DD987">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7CFF011B">
            <w:pPr>
              <w:pStyle w:val="34"/>
              <w:rPr>
                <w:lang w:val="zh-CN"/>
              </w:rPr>
            </w:pPr>
            <w:r>
              <w:rPr>
                <w:rFonts w:hint="eastAsia"/>
                <w:lang w:val="zh-CN" w:bidi="ar"/>
              </w:rPr>
              <w:t>总磷（</w:t>
            </w:r>
            <w:r>
              <w:rPr>
                <w:lang w:val="zh-CN"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5DDA6CAE">
            <w:pPr>
              <w:pStyle w:val="34"/>
              <w:rPr>
                <w:lang w:val="zh-CN"/>
              </w:rPr>
            </w:pPr>
            <w:r>
              <w:rPr>
                <w:lang w:val="zh-CN" w:bidi="ar"/>
              </w:rPr>
              <w:t>3.06</w:t>
            </w:r>
          </w:p>
        </w:tc>
        <w:tc>
          <w:tcPr>
            <w:tcW w:w="467" w:type="pct"/>
            <w:tcBorders>
              <w:top w:val="single" w:color="auto" w:sz="6" w:space="0"/>
              <w:left w:val="single" w:color="auto" w:sz="6" w:space="0"/>
              <w:bottom w:val="single" w:color="auto" w:sz="6" w:space="0"/>
              <w:right w:val="single" w:color="auto" w:sz="6" w:space="0"/>
            </w:tcBorders>
            <w:vAlign w:val="center"/>
          </w:tcPr>
          <w:p w14:paraId="1F88436D">
            <w:pPr>
              <w:pStyle w:val="34"/>
              <w:rPr>
                <w:lang w:val="zh-CN"/>
              </w:rPr>
            </w:pPr>
            <w:r>
              <w:rPr>
                <w:lang w:val="zh-CN" w:bidi="ar"/>
              </w:rPr>
              <w:t>3.20</w:t>
            </w:r>
          </w:p>
        </w:tc>
        <w:tc>
          <w:tcPr>
            <w:tcW w:w="467" w:type="pct"/>
            <w:tcBorders>
              <w:top w:val="single" w:color="auto" w:sz="6" w:space="0"/>
              <w:left w:val="single" w:color="auto" w:sz="6" w:space="0"/>
              <w:bottom w:val="single" w:color="auto" w:sz="6" w:space="0"/>
              <w:right w:val="single" w:color="auto" w:sz="6" w:space="0"/>
            </w:tcBorders>
            <w:vAlign w:val="center"/>
          </w:tcPr>
          <w:p w14:paraId="498F7BDF">
            <w:pPr>
              <w:pStyle w:val="34"/>
              <w:rPr>
                <w:lang w:val="zh-CN"/>
              </w:rPr>
            </w:pPr>
            <w:r>
              <w:rPr>
                <w:lang w:val="zh-CN" w:bidi="ar"/>
              </w:rPr>
              <w:t>2.96</w:t>
            </w:r>
          </w:p>
        </w:tc>
        <w:tc>
          <w:tcPr>
            <w:tcW w:w="701" w:type="pct"/>
            <w:tcBorders>
              <w:top w:val="single" w:color="auto" w:sz="6" w:space="0"/>
              <w:left w:val="single" w:color="auto" w:sz="6" w:space="0"/>
              <w:bottom w:val="single" w:color="auto" w:sz="6" w:space="0"/>
              <w:right w:val="single" w:color="auto" w:sz="12" w:space="0"/>
            </w:tcBorders>
            <w:vAlign w:val="center"/>
          </w:tcPr>
          <w:p w14:paraId="208FFA99">
            <w:pPr>
              <w:pStyle w:val="34"/>
              <w:rPr>
                <w:lang w:val="zh-CN"/>
              </w:rPr>
            </w:pPr>
            <w:r>
              <w:rPr>
                <w:lang w:val="zh-CN" w:bidi="ar"/>
              </w:rPr>
              <w:t>3.07</w:t>
            </w:r>
          </w:p>
        </w:tc>
      </w:tr>
      <w:tr w14:paraId="105B78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244A2F33">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4D01811B">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4DC2D0E2">
            <w:pPr>
              <w:pStyle w:val="34"/>
              <w:rPr>
                <w:lang w:val="zh-CN"/>
              </w:rPr>
            </w:pPr>
            <w:r>
              <w:rPr>
                <w:rFonts w:hint="eastAsia"/>
                <w:lang w:val="zh-CN" w:bidi="ar"/>
              </w:rPr>
              <w:t>总氮（</w:t>
            </w:r>
            <w:r>
              <w:rPr>
                <w:lang w:val="zh-CN"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45D45368">
            <w:pPr>
              <w:pStyle w:val="34"/>
              <w:rPr>
                <w:lang w:val="zh-CN"/>
              </w:rPr>
            </w:pPr>
            <w:r>
              <w:rPr>
                <w:lang w:val="zh-CN" w:bidi="ar"/>
              </w:rPr>
              <w:t>55.7</w:t>
            </w:r>
          </w:p>
        </w:tc>
        <w:tc>
          <w:tcPr>
            <w:tcW w:w="467" w:type="pct"/>
            <w:tcBorders>
              <w:top w:val="single" w:color="auto" w:sz="6" w:space="0"/>
              <w:left w:val="single" w:color="auto" w:sz="6" w:space="0"/>
              <w:bottom w:val="single" w:color="auto" w:sz="6" w:space="0"/>
              <w:right w:val="single" w:color="auto" w:sz="6" w:space="0"/>
            </w:tcBorders>
            <w:vAlign w:val="center"/>
          </w:tcPr>
          <w:p w14:paraId="7D90866F">
            <w:pPr>
              <w:pStyle w:val="34"/>
              <w:rPr>
                <w:lang w:val="zh-CN"/>
              </w:rPr>
            </w:pPr>
            <w:r>
              <w:rPr>
                <w:lang w:val="zh-CN" w:bidi="ar"/>
              </w:rPr>
              <w:t>59.1</w:t>
            </w:r>
          </w:p>
        </w:tc>
        <w:tc>
          <w:tcPr>
            <w:tcW w:w="467" w:type="pct"/>
            <w:tcBorders>
              <w:top w:val="single" w:color="auto" w:sz="6" w:space="0"/>
              <w:left w:val="single" w:color="auto" w:sz="6" w:space="0"/>
              <w:bottom w:val="single" w:color="auto" w:sz="6" w:space="0"/>
              <w:right w:val="single" w:color="auto" w:sz="6" w:space="0"/>
            </w:tcBorders>
            <w:vAlign w:val="center"/>
          </w:tcPr>
          <w:p w14:paraId="2C823F5F">
            <w:pPr>
              <w:pStyle w:val="34"/>
              <w:rPr>
                <w:lang w:val="zh-CN"/>
              </w:rPr>
            </w:pPr>
            <w:r>
              <w:rPr>
                <w:lang w:val="zh-CN" w:bidi="ar"/>
              </w:rPr>
              <w:t>58.6</w:t>
            </w:r>
          </w:p>
        </w:tc>
        <w:tc>
          <w:tcPr>
            <w:tcW w:w="701" w:type="pct"/>
            <w:tcBorders>
              <w:top w:val="single" w:color="auto" w:sz="6" w:space="0"/>
              <w:left w:val="single" w:color="auto" w:sz="6" w:space="0"/>
              <w:bottom w:val="single" w:color="auto" w:sz="6" w:space="0"/>
              <w:right w:val="single" w:color="auto" w:sz="12" w:space="0"/>
            </w:tcBorders>
            <w:vAlign w:val="center"/>
          </w:tcPr>
          <w:p w14:paraId="1BC5DA7C">
            <w:pPr>
              <w:pStyle w:val="34"/>
              <w:rPr>
                <w:lang w:val="zh-CN"/>
              </w:rPr>
            </w:pPr>
            <w:r>
              <w:rPr>
                <w:lang w:val="zh-CN" w:bidi="ar"/>
              </w:rPr>
              <w:t>57.8</w:t>
            </w:r>
          </w:p>
        </w:tc>
      </w:tr>
      <w:tr w14:paraId="5F1B29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20305B96">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7A3656D1">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11AD7B27">
            <w:pPr>
              <w:pStyle w:val="34"/>
              <w:rPr>
                <w:lang w:val="zh-CN"/>
              </w:rPr>
            </w:pPr>
            <w:r>
              <w:rPr>
                <w:rFonts w:hint="eastAsia"/>
                <w:lang w:val="zh-CN" w:bidi="ar"/>
              </w:rPr>
              <w:t>石油类（</w:t>
            </w:r>
            <w:r>
              <w:rPr>
                <w:lang w:val="zh-CN"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475A37F2">
            <w:pPr>
              <w:pStyle w:val="34"/>
              <w:rPr>
                <w:lang w:val="zh-CN"/>
              </w:rPr>
            </w:pPr>
            <w:r>
              <w:rPr>
                <w:lang w:val="zh-CN" w:bidi="ar"/>
              </w:rPr>
              <w:t>0.34</w:t>
            </w:r>
          </w:p>
        </w:tc>
        <w:tc>
          <w:tcPr>
            <w:tcW w:w="467" w:type="pct"/>
            <w:tcBorders>
              <w:top w:val="single" w:color="auto" w:sz="6" w:space="0"/>
              <w:left w:val="single" w:color="auto" w:sz="6" w:space="0"/>
              <w:bottom w:val="single" w:color="auto" w:sz="6" w:space="0"/>
              <w:right w:val="single" w:color="auto" w:sz="6" w:space="0"/>
            </w:tcBorders>
            <w:vAlign w:val="center"/>
          </w:tcPr>
          <w:p w14:paraId="6B212244">
            <w:pPr>
              <w:pStyle w:val="34"/>
              <w:rPr>
                <w:lang w:val="zh-CN"/>
              </w:rPr>
            </w:pPr>
            <w:r>
              <w:rPr>
                <w:lang w:val="zh-CN" w:bidi="ar"/>
              </w:rPr>
              <w:t>0.30</w:t>
            </w:r>
          </w:p>
        </w:tc>
        <w:tc>
          <w:tcPr>
            <w:tcW w:w="467" w:type="pct"/>
            <w:tcBorders>
              <w:top w:val="single" w:color="auto" w:sz="6" w:space="0"/>
              <w:left w:val="single" w:color="auto" w:sz="6" w:space="0"/>
              <w:bottom w:val="single" w:color="auto" w:sz="6" w:space="0"/>
              <w:right w:val="single" w:color="auto" w:sz="6" w:space="0"/>
            </w:tcBorders>
            <w:vAlign w:val="center"/>
          </w:tcPr>
          <w:p w14:paraId="712C855C">
            <w:pPr>
              <w:pStyle w:val="34"/>
              <w:rPr>
                <w:lang w:val="zh-CN"/>
              </w:rPr>
            </w:pPr>
            <w:r>
              <w:rPr>
                <w:lang w:val="zh-CN" w:bidi="ar"/>
              </w:rPr>
              <w:t>0.21</w:t>
            </w:r>
          </w:p>
        </w:tc>
        <w:tc>
          <w:tcPr>
            <w:tcW w:w="701" w:type="pct"/>
            <w:tcBorders>
              <w:top w:val="single" w:color="auto" w:sz="6" w:space="0"/>
              <w:left w:val="single" w:color="auto" w:sz="6" w:space="0"/>
              <w:bottom w:val="single" w:color="auto" w:sz="6" w:space="0"/>
              <w:right w:val="single" w:color="auto" w:sz="12" w:space="0"/>
            </w:tcBorders>
            <w:vAlign w:val="center"/>
          </w:tcPr>
          <w:p w14:paraId="54050199">
            <w:pPr>
              <w:pStyle w:val="34"/>
              <w:rPr>
                <w:lang w:val="zh-CN"/>
              </w:rPr>
            </w:pPr>
            <w:r>
              <w:rPr>
                <w:lang w:val="zh-CN" w:bidi="ar"/>
              </w:rPr>
              <w:t>0.28</w:t>
            </w:r>
          </w:p>
        </w:tc>
      </w:tr>
      <w:tr w14:paraId="48E373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30034CE4">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09A986E5">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47A8BE48">
            <w:pPr>
              <w:pStyle w:val="34"/>
              <w:rPr>
                <w:lang w:val="zh-CN"/>
              </w:rPr>
            </w:pPr>
            <w:r>
              <w:rPr>
                <w:rFonts w:hint="eastAsia"/>
                <w:lang w:val="zh-CN" w:bidi="ar"/>
              </w:rPr>
              <w:t>挥发酚（</w:t>
            </w:r>
            <w:r>
              <w:rPr>
                <w:lang w:val="zh-CN"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2F98A7C0">
            <w:pPr>
              <w:pStyle w:val="34"/>
              <w:rPr>
                <w:lang w:val="zh-CN"/>
              </w:rPr>
            </w:pPr>
            <w:r>
              <w:rPr>
                <w:lang w:val="zh-CN" w:bidi="ar"/>
              </w:rPr>
              <w:t>0.136</w:t>
            </w:r>
          </w:p>
        </w:tc>
        <w:tc>
          <w:tcPr>
            <w:tcW w:w="467" w:type="pct"/>
            <w:tcBorders>
              <w:top w:val="single" w:color="auto" w:sz="6" w:space="0"/>
              <w:left w:val="single" w:color="auto" w:sz="6" w:space="0"/>
              <w:bottom w:val="single" w:color="auto" w:sz="6" w:space="0"/>
              <w:right w:val="single" w:color="auto" w:sz="6" w:space="0"/>
            </w:tcBorders>
            <w:vAlign w:val="center"/>
          </w:tcPr>
          <w:p w14:paraId="0E683131">
            <w:pPr>
              <w:pStyle w:val="34"/>
              <w:rPr>
                <w:lang w:val="zh-CN"/>
              </w:rPr>
            </w:pPr>
            <w:r>
              <w:rPr>
                <w:lang w:val="zh-CN" w:bidi="ar"/>
              </w:rPr>
              <w:t>0.125</w:t>
            </w:r>
          </w:p>
        </w:tc>
        <w:tc>
          <w:tcPr>
            <w:tcW w:w="467" w:type="pct"/>
            <w:tcBorders>
              <w:top w:val="single" w:color="auto" w:sz="6" w:space="0"/>
              <w:left w:val="single" w:color="auto" w:sz="6" w:space="0"/>
              <w:bottom w:val="single" w:color="auto" w:sz="6" w:space="0"/>
              <w:right w:val="single" w:color="auto" w:sz="6" w:space="0"/>
            </w:tcBorders>
            <w:vAlign w:val="center"/>
          </w:tcPr>
          <w:p w14:paraId="4E33E05E">
            <w:pPr>
              <w:pStyle w:val="34"/>
              <w:rPr>
                <w:lang w:val="zh-CN"/>
              </w:rPr>
            </w:pPr>
            <w:r>
              <w:rPr>
                <w:lang w:val="zh-CN" w:bidi="ar"/>
              </w:rPr>
              <w:t>0.116</w:t>
            </w:r>
          </w:p>
        </w:tc>
        <w:tc>
          <w:tcPr>
            <w:tcW w:w="701" w:type="pct"/>
            <w:tcBorders>
              <w:top w:val="single" w:color="auto" w:sz="6" w:space="0"/>
              <w:left w:val="single" w:color="auto" w:sz="6" w:space="0"/>
              <w:bottom w:val="single" w:color="auto" w:sz="6" w:space="0"/>
              <w:right w:val="single" w:color="auto" w:sz="12" w:space="0"/>
            </w:tcBorders>
            <w:vAlign w:val="center"/>
          </w:tcPr>
          <w:p w14:paraId="37335F80">
            <w:pPr>
              <w:pStyle w:val="34"/>
              <w:rPr>
                <w:lang w:val="zh-CN"/>
              </w:rPr>
            </w:pPr>
            <w:r>
              <w:rPr>
                <w:lang w:val="zh-CN" w:bidi="ar"/>
              </w:rPr>
              <w:t>0.126</w:t>
            </w:r>
          </w:p>
        </w:tc>
      </w:tr>
      <w:tr w14:paraId="684880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58DEC2E2">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74E74D83">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68958CA1">
            <w:pPr>
              <w:pStyle w:val="34"/>
              <w:rPr>
                <w:lang w:val="zh-CN"/>
              </w:rPr>
            </w:pPr>
            <w:r>
              <w:rPr>
                <w:rFonts w:hint="eastAsia"/>
                <w:lang w:val="zh-CN" w:bidi="ar"/>
              </w:rPr>
              <w:t>总氰化物（</w:t>
            </w:r>
            <w:r>
              <w:rPr>
                <w:lang w:val="zh-CN"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4C40E803">
            <w:pPr>
              <w:pStyle w:val="34"/>
              <w:rPr>
                <w:lang w:val="zh-CN"/>
              </w:rPr>
            </w:pPr>
            <w:r>
              <w:rPr>
                <w:lang w:val="zh-CN" w:bidi="ar"/>
              </w:rPr>
              <w:t>0.010</w:t>
            </w:r>
          </w:p>
        </w:tc>
        <w:tc>
          <w:tcPr>
            <w:tcW w:w="467" w:type="pct"/>
            <w:tcBorders>
              <w:top w:val="single" w:color="auto" w:sz="6" w:space="0"/>
              <w:left w:val="single" w:color="auto" w:sz="6" w:space="0"/>
              <w:bottom w:val="single" w:color="auto" w:sz="6" w:space="0"/>
              <w:right w:val="single" w:color="auto" w:sz="6" w:space="0"/>
            </w:tcBorders>
            <w:vAlign w:val="center"/>
          </w:tcPr>
          <w:p w14:paraId="711187AA">
            <w:pPr>
              <w:pStyle w:val="34"/>
              <w:rPr>
                <w:lang w:val="zh-CN"/>
              </w:rPr>
            </w:pPr>
            <w:r>
              <w:rPr>
                <w:lang w:val="zh-CN" w:bidi="ar"/>
              </w:rPr>
              <w:t>0.012</w:t>
            </w:r>
          </w:p>
        </w:tc>
        <w:tc>
          <w:tcPr>
            <w:tcW w:w="467" w:type="pct"/>
            <w:tcBorders>
              <w:top w:val="single" w:color="auto" w:sz="6" w:space="0"/>
              <w:left w:val="single" w:color="auto" w:sz="6" w:space="0"/>
              <w:bottom w:val="single" w:color="auto" w:sz="6" w:space="0"/>
              <w:right w:val="single" w:color="auto" w:sz="6" w:space="0"/>
            </w:tcBorders>
            <w:vAlign w:val="center"/>
          </w:tcPr>
          <w:p w14:paraId="488E7706">
            <w:pPr>
              <w:pStyle w:val="34"/>
              <w:rPr>
                <w:lang w:val="zh-CN"/>
              </w:rPr>
            </w:pPr>
            <w:r>
              <w:rPr>
                <w:lang w:val="zh-CN" w:bidi="ar"/>
              </w:rPr>
              <w:t>0.009</w:t>
            </w:r>
          </w:p>
        </w:tc>
        <w:tc>
          <w:tcPr>
            <w:tcW w:w="701" w:type="pct"/>
            <w:tcBorders>
              <w:top w:val="single" w:color="auto" w:sz="6" w:space="0"/>
              <w:left w:val="single" w:color="auto" w:sz="6" w:space="0"/>
              <w:bottom w:val="single" w:color="auto" w:sz="6" w:space="0"/>
              <w:right w:val="single" w:color="auto" w:sz="12" w:space="0"/>
            </w:tcBorders>
            <w:vAlign w:val="center"/>
          </w:tcPr>
          <w:p w14:paraId="1C78FB2C">
            <w:pPr>
              <w:pStyle w:val="34"/>
              <w:rPr>
                <w:lang w:val="zh-CN"/>
              </w:rPr>
            </w:pPr>
            <w:r>
              <w:rPr>
                <w:lang w:val="zh-CN" w:bidi="ar"/>
              </w:rPr>
              <w:t>0.010</w:t>
            </w:r>
          </w:p>
        </w:tc>
      </w:tr>
      <w:tr w14:paraId="5BEA77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406C2895">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105DAB1B">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7479EF84">
            <w:pPr>
              <w:pStyle w:val="34"/>
              <w:rPr>
                <w:lang w:val="zh-CN"/>
              </w:rPr>
            </w:pPr>
            <w:r>
              <w:rPr>
                <w:rFonts w:hint="eastAsia"/>
                <w:lang w:val="zh-CN" w:bidi="ar"/>
              </w:rPr>
              <w:t>硫化物（</w:t>
            </w:r>
            <w:r>
              <w:rPr>
                <w:lang w:val="zh-CN"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04E68A73">
            <w:pPr>
              <w:pStyle w:val="34"/>
              <w:rPr>
                <w:lang w:val="zh-CN"/>
              </w:rPr>
            </w:pPr>
            <w:r>
              <w:rPr>
                <w:lang w:val="zh-CN" w:bidi="ar"/>
              </w:rPr>
              <w:t>2.95</w:t>
            </w:r>
          </w:p>
        </w:tc>
        <w:tc>
          <w:tcPr>
            <w:tcW w:w="467" w:type="pct"/>
            <w:tcBorders>
              <w:top w:val="single" w:color="auto" w:sz="6" w:space="0"/>
              <w:left w:val="single" w:color="auto" w:sz="6" w:space="0"/>
              <w:bottom w:val="single" w:color="auto" w:sz="6" w:space="0"/>
              <w:right w:val="single" w:color="auto" w:sz="6" w:space="0"/>
            </w:tcBorders>
            <w:vAlign w:val="center"/>
          </w:tcPr>
          <w:p w14:paraId="1B5A1C0C">
            <w:pPr>
              <w:pStyle w:val="34"/>
              <w:rPr>
                <w:lang w:val="zh-CN"/>
              </w:rPr>
            </w:pPr>
            <w:r>
              <w:rPr>
                <w:lang w:val="zh-CN" w:bidi="ar"/>
              </w:rPr>
              <w:t>3.03</w:t>
            </w:r>
          </w:p>
        </w:tc>
        <w:tc>
          <w:tcPr>
            <w:tcW w:w="467" w:type="pct"/>
            <w:tcBorders>
              <w:top w:val="single" w:color="auto" w:sz="6" w:space="0"/>
              <w:left w:val="single" w:color="auto" w:sz="6" w:space="0"/>
              <w:bottom w:val="single" w:color="auto" w:sz="6" w:space="0"/>
              <w:right w:val="single" w:color="auto" w:sz="6" w:space="0"/>
            </w:tcBorders>
            <w:vAlign w:val="center"/>
          </w:tcPr>
          <w:p w14:paraId="6AF2A9A9">
            <w:pPr>
              <w:pStyle w:val="34"/>
              <w:rPr>
                <w:lang w:val="zh-CN"/>
              </w:rPr>
            </w:pPr>
            <w:r>
              <w:rPr>
                <w:lang w:val="zh-CN" w:bidi="ar"/>
              </w:rPr>
              <w:t>2.84</w:t>
            </w:r>
          </w:p>
        </w:tc>
        <w:tc>
          <w:tcPr>
            <w:tcW w:w="701" w:type="pct"/>
            <w:tcBorders>
              <w:top w:val="single" w:color="auto" w:sz="6" w:space="0"/>
              <w:left w:val="single" w:color="auto" w:sz="6" w:space="0"/>
              <w:bottom w:val="single" w:color="auto" w:sz="6" w:space="0"/>
              <w:right w:val="single" w:color="auto" w:sz="12" w:space="0"/>
            </w:tcBorders>
            <w:vAlign w:val="center"/>
          </w:tcPr>
          <w:p w14:paraId="7A63A629">
            <w:pPr>
              <w:pStyle w:val="34"/>
              <w:rPr>
                <w:lang w:val="zh-CN"/>
              </w:rPr>
            </w:pPr>
            <w:r>
              <w:rPr>
                <w:lang w:val="zh-CN" w:bidi="ar"/>
              </w:rPr>
              <w:t>2.94</w:t>
            </w:r>
          </w:p>
        </w:tc>
      </w:tr>
      <w:tr w14:paraId="0D8C1C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4CE990D8">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37669678">
            <w:pPr>
              <w:pStyle w:val="34"/>
              <w:rPr>
                <w:sz w:val="20"/>
                <w:szCs w:val="20"/>
              </w:rPr>
            </w:pPr>
          </w:p>
        </w:tc>
        <w:tc>
          <w:tcPr>
            <w:tcW w:w="1436" w:type="pct"/>
            <w:tcBorders>
              <w:top w:val="single" w:color="auto" w:sz="6" w:space="0"/>
              <w:left w:val="single" w:color="auto" w:sz="6" w:space="0"/>
              <w:bottom w:val="single" w:color="auto" w:sz="12" w:space="0"/>
              <w:right w:val="single" w:color="auto" w:sz="6" w:space="0"/>
            </w:tcBorders>
            <w:vAlign w:val="center"/>
          </w:tcPr>
          <w:p w14:paraId="75A757ED">
            <w:pPr>
              <w:pStyle w:val="34"/>
              <w:rPr>
                <w:lang w:val="zh-CN"/>
              </w:rPr>
            </w:pPr>
            <w:r>
              <w:rPr>
                <w:rFonts w:hint="eastAsia"/>
                <w:lang w:val="zh-CN" w:bidi="ar"/>
              </w:rPr>
              <w:t>氟化物（</w:t>
            </w:r>
            <w:r>
              <w:rPr>
                <w:lang w:val="zh-CN" w:bidi="ar"/>
              </w:rPr>
              <w:t>mg/L)</w:t>
            </w:r>
          </w:p>
        </w:tc>
        <w:tc>
          <w:tcPr>
            <w:tcW w:w="467" w:type="pct"/>
            <w:tcBorders>
              <w:top w:val="single" w:color="auto" w:sz="6" w:space="0"/>
              <w:left w:val="single" w:color="auto" w:sz="6" w:space="0"/>
              <w:bottom w:val="single" w:color="auto" w:sz="12" w:space="0"/>
              <w:right w:val="single" w:color="auto" w:sz="6" w:space="0"/>
            </w:tcBorders>
            <w:vAlign w:val="center"/>
          </w:tcPr>
          <w:p w14:paraId="2FE5133D">
            <w:pPr>
              <w:pStyle w:val="34"/>
              <w:rPr>
                <w:lang w:val="zh-CN"/>
              </w:rPr>
            </w:pPr>
            <w:r>
              <w:rPr>
                <w:lang w:val="zh-CN" w:bidi="ar"/>
              </w:rPr>
              <w:t>0.113</w:t>
            </w:r>
          </w:p>
        </w:tc>
        <w:tc>
          <w:tcPr>
            <w:tcW w:w="467" w:type="pct"/>
            <w:tcBorders>
              <w:top w:val="single" w:color="auto" w:sz="6" w:space="0"/>
              <w:left w:val="single" w:color="auto" w:sz="6" w:space="0"/>
              <w:bottom w:val="single" w:color="auto" w:sz="12" w:space="0"/>
              <w:right w:val="single" w:color="auto" w:sz="6" w:space="0"/>
            </w:tcBorders>
            <w:vAlign w:val="center"/>
          </w:tcPr>
          <w:p w14:paraId="021FD39F">
            <w:pPr>
              <w:pStyle w:val="34"/>
              <w:rPr>
                <w:lang w:val="zh-CN"/>
              </w:rPr>
            </w:pPr>
            <w:r>
              <w:rPr>
                <w:lang w:val="zh-CN" w:bidi="ar"/>
              </w:rPr>
              <w:t>0.104</w:t>
            </w:r>
          </w:p>
        </w:tc>
        <w:tc>
          <w:tcPr>
            <w:tcW w:w="467" w:type="pct"/>
            <w:tcBorders>
              <w:top w:val="single" w:color="auto" w:sz="6" w:space="0"/>
              <w:left w:val="single" w:color="auto" w:sz="6" w:space="0"/>
              <w:bottom w:val="single" w:color="auto" w:sz="12" w:space="0"/>
              <w:right w:val="single" w:color="auto" w:sz="6" w:space="0"/>
            </w:tcBorders>
            <w:vAlign w:val="center"/>
          </w:tcPr>
          <w:p w14:paraId="1A0620AE">
            <w:pPr>
              <w:pStyle w:val="34"/>
              <w:rPr>
                <w:lang w:val="zh-CN"/>
              </w:rPr>
            </w:pPr>
            <w:r>
              <w:rPr>
                <w:lang w:val="zh-CN" w:bidi="ar"/>
              </w:rPr>
              <w:t>0.108</w:t>
            </w:r>
          </w:p>
        </w:tc>
        <w:tc>
          <w:tcPr>
            <w:tcW w:w="701" w:type="pct"/>
            <w:tcBorders>
              <w:top w:val="single" w:color="auto" w:sz="6" w:space="0"/>
              <w:left w:val="single" w:color="auto" w:sz="6" w:space="0"/>
              <w:bottom w:val="single" w:color="auto" w:sz="12" w:space="0"/>
              <w:right w:val="single" w:color="auto" w:sz="12" w:space="0"/>
            </w:tcBorders>
            <w:vAlign w:val="center"/>
          </w:tcPr>
          <w:p w14:paraId="7820633D">
            <w:pPr>
              <w:pStyle w:val="34"/>
              <w:rPr>
                <w:lang w:val="zh-CN"/>
              </w:rPr>
            </w:pPr>
            <w:r>
              <w:rPr>
                <w:lang w:val="zh-CN" w:bidi="ar"/>
              </w:rPr>
              <w:t>0.108</w:t>
            </w:r>
          </w:p>
        </w:tc>
      </w:tr>
    </w:tbl>
    <w:p w14:paraId="53308E76">
      <w:pPr>
        <w:pStyle w:val="7"/>
      </w:pPr>
      <w:r>
        <w:rPr>
          <w:rFonts w:hint="eastAsia"/>
        </w:rPr>
        <w:t>生活污水处理站出水口水质监测结果</w:t>
      </w:r>
    </w:p>
    <w:tbl>
      <w:tblPr>
        <w:tblStyle w:val="88"/>
        <w:tblW w:w="853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68"/>
        <w:gridCol w:w="1111"/>
        <w:gridCol w:w="1542"/>
        <w:gridCol w:w="846"/>
        <w:gridCol w:w="845"/>
        <w:gridCol w:w="846"/>
        <w:gridCol w:w="1091"/>
        <w:gridCol w:w="823"/>
        <w:gridCol w:w="764"/>
      </w:tblGrid>
      <w:tr w14:paraId="22C34C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blHeader/>
        </w:trPr>
        <w:tc>
          <w:tcPr>
            <w:tcW w:w="668" w:type="dxa"/>
            <w:vMerge w:val="restart"/>
            <w:tcBorders>
              <w:top w:val="single" w:color="auto" w:sz="12" w:space="0"/>
              <w:left w:val="single" w:color="auto" w:sz="12" w:space="0"/>
              <w:bottom w:val="single" w:color="auto" w:sz="6" w:space="0"/>
              <w:right w:val="single" w:color="auto" w:sz="6" w:space="0"/>
            </w:tcBorders>
            <w:vAlign w:val="center"/>
          </w:tcPr>
          <w:p w14:paraId="08D63005">
            <w:pPr>
              <w:pStyle w:val="34"/>
              <w:rPr>
                <w:lang w:val="zh-CN"/>
              </w:rPr>
            </w:pPr>
            <w:r>
              <w:rPr>
                <w:rFonts w:hint="eastAsia"/>
                <w:lang w:val="zh-CN" w:bidi="ar"/>
              </w:rPr>
              <w:t>采样</w:t>
            </w:r>
          </w:p>
          <w:p w14:paraId="1BFCD98E">
            <w:pPr>
              <w:pStyle w:val="34"/>
              <w:rPr>
                <w:lang w:val="zh-CN"/>
              </w:rPr>
            </w:pPr>
            <w:r>
              <w:rPr>
                <w:rFonts w:hint="eastAsia"/>
                <w:lang w:val="zh-CN" w:bidi="ar"/>
              </w:rPr>
              <w:t>日期</w:t>
            </w:r>
          </w:p>
        </w:tc>
        <w:tc>
          <w:tcPr>
            <w:tcW w:w="1111" w:type="dxa"/>
            <w:vMerge w:val="restart"/>
            <w:tcBorders>
              <w:top w:val="single" w:color="auto" w:sz="12" w:space="0"/>
              <w:left w:val="single" w:color="auto" w:sz="6" w:space="0"/>
              <w:bottom w:val="single" w:color="auto" w:sz="6" w:space="0"/>
              <w:right w:val="single" w:color="auto" w:sz="6" w:space="0"/>
            </w:tcBorders>
            <w:vAlign w:val="center"/>
          </w:tcPr>
          <w:p w14:paraId="4E32D6BB">
            <w:pPr>
              <w:pStyle w:val="34"/>
              <w:rPr>
                <w:lang w:val="zh-CN"/>
              </w:rPr>
            </w:pPr>
            <w:r>
              <w:rPr>
                <w:rFonts w:hint="eastAsia"/>
                <w:lang w:val="zh-CN" w:bidi="ar"/>
              </w:rPr>
              <w:t>监测点位</w:t>
            </w:r>
          </w:p>
        </w:tc>
        <w:tc>
          <w:tcPr>
            <w:tcW w:w="1542" w:type="dxa"/>
            <w:vMerge w:val="restart"/>
            <w:tcBorders>
              <w:top w:val="single" w:color="auto" w:sz="12" w:space="0"/>
              <w:left w:val="single" w:color="auto" w:sz="6" w:space="0"/>
              <w:bottom w:val="single" w:color="auto" w:sz="6" w:space="0"/>
              <w:right w:val="single" w:color="auto" w:sz="6" w:space="0"/>
            </w:tcBorders>
            <w:vAlign w:val="center"/>
          </w:tcPr>
          <w:p w14:paraId="0F649BFA">
            <w:pPr>
              <w:pStyle w:val="34"/>
              <w:rPr>
                <w:lang w:val="zh-CN"/>
              </w:rPr>
            </w:pPr>
            <w:r>
              <w:rPr>
                <w:rFonts w:hint="eastAsia"/>
                <w:lang w:val="zh-CN" w:bidi="ar"/>
              </w:rPr>
              <w:t>监测项目</w:t>
            </w:r>
          </w:p>
        </w:tc>
        <w:tc>
          <w:tcPr>
            <w:tcW w:w="3628" w:type="dxa"/>
            <w:gridSpan w:val="4"/>
            <w:tcBorders>
              <w:top w:val="single" w:color="auto" w:sz="12" w:space="0"/>
              <w:left w:val="single" w:color="auto" w:sz="6" w:space="0"/>
              <w:bottom w:val="single" w:color="auto" w:sz="6" w:space="0"/>
              <w:right w:val="single" w:color="auto" w:sz="6" w:space="0"/>
            </w:tcBorders>
            <w:vAlign w:val="center"/>
          </w:tcPr>
          <w:p w14:paraId="21C089B5">
            <w:pPr>
              <w:pStyle w:val="34"/>
              <w:rPr>
                <w:lang w:val="zh-CN"/>
              </w:rPr>
            </w:pPr>
            <w:r>
              <w:rPr>
                <w:rFonts w:hint="eastAsia"/>
                <w:lang w:val="zh-CN" w:bidi="ar"/>
              </w:rPr>
              <w:t>监测结果</w:t>
            </w:r>
          </w:p>
        </w:tc>
        <w:tc>
          <w:tcPr>
            <w:tcW w:w="823" w:type="dxa"/>
            <w:vMerge w:val="restart"/>
            <w:tcBorders>
              <w:top w:val="single" w:color="auto" w:sz="12" w:space="0"/>
              <w:left w:val="single" w:color="auto" w:sz="6" w:space="0"/>
              <w:bottom w:val="single" w:color="auto" w:sz="6" w:space="0"/>
              <w:right w:val="single" w:color="auto" w:sz="6" w:space="0"/>
            </w:tcBorders>
            <w:vAlign w:val="center"/>
          </w:tcPr>
          <w:p w14:paraId="726FADF5">
            <w:pPr>
              <w:pStyle w:val="34"/>
              <w:rPr>
                <w:lang w:val="zh-CN"/>
              </w:rPr>
            </w:pPr>
            <w:r>
              <w:rPr>
                <w:rFonts w:hint="eastAsia"/>
                <w:lang w:val="zh-CN" w:bidi="ar"/>
              </w:rPr>
              <w:t>标准</w:t>
            </w:r>
          </w:p>
          <w:p w14:paraId="41717B9A">
            <w:pPr>
              <w:pStyle w:val="34"/>
              <w:rPr>
                <w:lang w:val="zh-CN"/>
              </w:rPr>
            </w:pPr>
            <w:r>
              <w:rPr>
                <w:rFonts w:hint="eastAsia"/>
                <w:lang w:val="zh-CN" w:bidi="ar"/>
              </w:rPr>
              <w:t>限值</w:t>
            </w:r>
          </w:p>
        </w:tc>
        <w:tc>
          <w:tcPr>
            <w:tcW w:w="764" w:type="dxa"/>
            <w:vMerge w:val="restart"/>
            <w:tcBorders>
              <w:top w:val="single" w:color="auto" w:sz="12" w:space="0"/>
              <w:left w:val="single" w:color="auto" w:sz="6" w:space="0"/>
              <w:bottom w:val="single" w:color="auto" w:sz="6" w:space="0"/>
              <w:right w:val="single" w:color="auto" w:sz="12" w:space="0"/>
            </w:tcBorders>
            <w:vAlign w:val="center"/>
          </w:tcPr>
          <w:p w14:paraId="399F967E">
            <w:pPr>
              <w:pStyle w:val="34"/>
              <w:rPr>
                <w:lang w:val="zh-CN"/>
              </w:rPr>
            </w:pPr>
            <w:r>
              <w:rPr>
                <w:rFonts w:hint="eastAsia"/>
                <w:lang w:val="zh-CN" w:bidi="ar"/>
              </w:rPr>
              <w:t>达标</w:t>
            </w:r>
          </w:p>
          <w:p w14:paraId="3A5D278E">
            <w:pPr>
              <w:pStyle w:val="34"/>
              <w:rPr>
                <w:lang w:val="zh-CN"/>
              </w:rPr>
            </w:pPr>
            <w:r>
              <w:rPr>
                <w:rFonts w:hint="eastAsia"/>
                <w:lang w:val="zh-CN" w:bidi="ar"/>
              </w:rPr>
              <w:t>情况</w:t>
            </w:r>
          </w:p>
        </w:tc>
      </w:tr>
      <w:tr w14:paraId="373530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68" w:type="dxa"/>
            <w:vMerge w:val="continue"/>
            <w:tcBorders>
              <w:top w:val="single" w:color="auto" w:sz="12" w:space="0"/>
              <w:left w:val="single" w:color="auto" w:sz="12" w:space="0"/>
              <w:bottom w:val="single" w:color="auto" w:sz="6" w:space="0"/>
              <w:right w:val="single" w:color="auto" w:sz="6" w:space="0"/>
            </w:tcBorders>
            <w:vAlign w:val="center"/>
          </w:tcPr>
          <w:p w14:paraId="3969027F">
            <w:pPr>
              <w:pStyle w:val="34"/>
              <w:rPr>
                <w:sz w:val="20"/>
                <w:szCs w:val="20"/>
              </w:rPr>
            </w:pPr>
          </w:p>
        </w:tc>
        <w:tc>
          <w:tcPr>
            <w:tcW w:w="1111" w:type="dxa"/>
            <w:vMerge w:val="continue"/>
            <w:tcBorders>
              <w:top w:val="single" w:color="auto" w:sz="12" w:space="0"/>
              <w:left w:val="single" w:color="auto" w:sz="6" w:space="0"/>
              <w:bottom w:val="single" w:color="auto" w:sz="6" w:space="0"/>
              <w:right w:val="single" w:color="auto" w:sz="6" w:space="0"/>
            </w:tcBorders>
            <w:vAlign w:val="center"/>
          </w:tcPr>
          <w:p w14:paraId="0C9182CE">
            <w:pPr>
              <w:pStyle w:val="34"/>
              <w:rPr>
                <w:sz w:val="20"/>
                <w:szCs w:val="20"/>
              </w:rPr>
            </w:pPr>
          </w:p>
        </w:tc>
        <w:tc>
          <w:tcPr>
            <w:tcW w:w="1542" w:type="dxa"/>
            <w:vMerge w:val="continue"/>
            <w:tcBorders>
              <w:top w:val="single" w:color="auto" w:sz="12" w:space="0"/>
              <w:left w:val="single" w:color="auto" w:sz="6" w:space="0"/>
              <w:bottom w:val="single" w:color="auto" w:sz="6" w:space="0"/>
              <w:right w:val="single" w:color="auto" w:sz="6" w:space="0"/>
            </w:tcBorders>
            <w:vAlign w:val="center"/>
          </w:tcPr>
          <w:p w14:paraId="4553C2F2">
            <w:pPr>
              <w:pStyle w:val="34"/>
              <w:rPr>
                <w:sz w:val="20"/>
                <w:szCs w:val="20"/>
              </w:rPr>
            </w:pPr>
          </w:p>
        </w:tc>
        <w:tc>
          <w:tcPr>
            <w:tcW w:w="846" w:type="dxa"/>
            <w:tcBorders>
              <w:top w:val="single" w:color="auto" w:sz="6" w:space="0"/>
              <w:left w:val="single" w:color="auto" w:sz="6" w:space="0"/>
              <w:bottom w:val="single" w:color="auto" w:sz="6" w:space="0"/>
              <w:right w:val="single" w:color="auto" w:sz="6" w:space="0"/>
            </w:tcBorders>
            <w:vAlign w:val="center"/>
          </w:tcPr>
          <w:p w14:paraId="396A9AE7">
            <w:pPr>
              <w:pStyle w:val="34"/>
              <w:rPr>
                <w:kern w:val="0"/>
                <w:szCs w:val="21"/>
                <w:lang w:val="zh-CN"/>
              </w:rPr>
            </w:pPr>
            <w:r>
              <w:rPr>
                <w:rFonts w:hint="eastAsia" w:cs="宋体"/>
                <w:kern w:val="0"/>
                <w:szCs w:val="21"/>
                <w:lang w:val="zh-CN" w:bidi="ar"/>
              </w:rPr>
              <w:t>第</w:t>
            </w:r>
            <w:r>
              <w:rPr>
                <w:kern w:val="0"/>
                <w:szCs w:val="21"/>
                <w:lang w:val="zh-CN" w:bidi="ar"/>
              </w:rPr>
              <w:t>1</w:t>
            </w:r>
            <w:r>
              <w:rPr>
                <w:rFonts w:hint="eastAsia" w:cs="宋体"/>
                <w:kern w:val="0"/>
                <w:szCs w:val="21"/>
                <w:lang w:val="zh-CN" w:bidi="ar"/>
              </w:rPr>
              <w:t>次</w:t>
            </w:r>
          </w:p>
        </w:tc>
        <w:tc>
          <w:tcPr>
            <w:tcW w:w="845" w:type="dxa"/>
            <w:tcBorders>
              <w:top w:val="single" w:color="auto" w:sz="6" w:space="0"/>
              <w:left w:val="single" w:color="auto" w:sz="6" w:space="0"/>
              <w:bottom w:val="single" w:color="auto" w:sz="6" w:space="0"/>
              <w:right w:val="single" w:color="auto" w:sz="6" w:space="0"/>
            </w:tcBorders>
            <w:vAlign w:val="center"/>
          </w:tcPr>
          <w:p w14:paraId="49C5535A">
            <w:pPr>
              <w:pStyle w:val="34"/>
              <w:rPr>
                <w:kern w:val="0"/>
                <w:szCs w:val="21"/>
                <w:lang w:val="zh-CN"/>
              </w:rPr>
            </w:pPr>
            <w:r>
              <w:rPr>
                <w:rFonts w:hint="eastAsia" w:cs="宋体"/>
                <w:kern w:val="0"/>
                <w:szCs w:val="21"/>
                <w:lang w:val="zh-CN" w:bidi="ar"/>
              </w:rPr>
              <w:t>第</w:t>
            </w:r>
            <w:r>
              <w:rPr>
                <w:kern w:val="0"/>
                <w:szCs w:val="21"/>
                <w:lang w:val="zh-CN" w:bidi="ar"/>
              </w:rPr>
              <w:t>2</w:t>
            </w:r>
            <w:r>
              <w:rPr>
                <w:rFonts w:hint="eastAsia" w:cs="宋体"/>
                <w:kern w:val="0"/>
                <w:szCs w:val="21"/>
                <w:lang w:val="zh-CN" w:bidi="ar"/>
              </w:rPr>
              <w:t>次</w:t>
            </w:r>
          </w:p>
        </w:tc>
        <w:tc>
          <w:tcPr>
            <w:tcW w:w="846" w:type="dxa"/>
            <w:tcBorders>
              <w:top w:val="single" w:color="auto" w:sz="6" w:space="0"/>
              <w:left w:val="single" w:color="auto" w:sz="6" w:space="0"/>
              <w:bottom w:val="single" w:color="auto" w:sz="6" w:space="0"/>
              <w:right w:val="single" w:color="auto" w:sz="6" w:space="0"/>
            </w:tcBorders>
            <w:vAlign w:val="center"/>
          </w:tcPr>
          <w:p w14:paraId="321B8FD1">
            <w:pPr>
              <w:pStyle w:val="34"/>
              <w:rPr>
                <w:kern w:val="0"/>
                <w:szCs w:val="21"/>
                <w:lang w:val="zh-CN"/>
              </w:rPr>
            </w:pPr>
            <w:r>
              <w:rPr>
                <w:rFonts w:hint="eastAsia" w:cs="宋体"/>
                <w:kern w:val="0"/>
                <w:szCs w:val="21"/>
                <w:lang w:val="zh-CN" w:bidi="ar"/>
              </w:rPr>
              <w:t>第</w:t>
            </w:r>
            <w:r>
              <w:rPr>
                <w:kern w:val="0"/>
                <w:szCs w:val="21"/>
                <w:lang w:val="zh-CN" w:bidi="ar"/>
              </w:rPr>
              <w:t>3</w:t>
            </w:r>
            <w:r>
              <w:rPr>
                <w:rFonts w:hint="eastAsia" w:cs="宋体"/>
                <w:kern w:val="0"/>
                <w:szCs w:val="21"/>
                <w:lang w:val="zh-CN" w:bidi="ar"/>
              </w:rPr>
              <w:t>次</w:t>
            </w:r>
          </w:p>
        </w:tc>
        <w:tc>
          <w:tcPr>
            <w:tcW w:w="1091" w:type="dxa"/>
            <w:tcBorders>
              <w:top w:val="single" w:color="auto" w:sz="6" w:space="0"/>
              <w:left w:val="single" w:color="auto" w:sz="6" w:space="0"/>
              <w:bottom w:val="single" w:color="auto" w:sz="6" w:space="0"/>
              <w:right w:val="single" w:color="auto" w:sz="6" w:space="0"/>
            </w:tcBorders>
            <w:vAlign w:val="center"/>
          </w:tcPr>
          <w:p w14:paraId="666922E2">
            <w:pPr>
              <w:pStyle w:val="34"/>
              <w:rPr>
                <w:kern w:val="0"/>
                <w:szCs w:val="21"/>
                <w:lang w:val="zh-CN"/>
              </w:rPr>
            </w:pPr>
            <w:r>
              <w:rPr>
                <w:rFonts w:hint="eastAsia" w:cs="宋体"/>
                <w:kern w:val="0"/>
                <w:szCs w:val="21"/>
                <w:lang w:val="zh-CN" w:bidi="ar"/>
              </w:rPr>
              <w:t>均值</w:t>
            </w:r>
            <w:r>
              <w:rPr>
                <w:kern w:val="0"/>
                <w:szCs w:val="21"/>
                <w:lang w:val="zh-CN" w:bidi="ar"/>
              </w:rPr>
              <w:t>/</w:t>
            </w:r>
            <w:r>
              <w:rPr>
                <w:rFonts w:hint="eastAsia" w:cs="宋体"/>
                <w:kern w:val="0"/>
                <w:szCs w:val="21"/>
                <w:lang w:val="zh-CN" w:bidi="ar"/>
              </w:rPr>
              <w:t>范围</w:t>
            </w:r>
          </w:p>
        </w:tc>
        <w:tc>
          <w:tcPr>
            <w:tcW w:w="823" w:type="dxa"/>
            <w:vMerge w:val="continue"/>
            <w:tcBorders>
              <w:top w:val="single" w:color="auto" w:sz="12" w:space="0"/>
              <w:left w:val="single" w:color="auto" w:sz="6" w:space="0"/>
              <w:bottom w:val="single" w:color="auto" w:sz="6" w:space="0"/>
              <w:right w:val="single" w:color="auto" w:sz="6" w:space="0"/>
            </w:tcBorders>
            <w:vAlign w:val="center"/>
          </w:tcPr>
          <w:p w14:paraId="6A6C2FC3">
            <w:pPr>
              <w:pStyle w:val="34"/>
              <w:rPr>
                <w:sz w:val="20"/>
                <w:szCs w:val="20"/>
              </w:rPr>
            </w:pPr>
          </w:p>
        </w:tc>
        <w:tc>
          <w:tcPr>
            <w:tcW w:w="764" w:type="dxa"/>
            <w:vMerge w:val="continue"/>
            <w:tcBorders>
              <w:top w:val="single" w:color="auto" w:sz="12" w:space="0"/>
              <w:left w:val="single" w:color="auto" w:sz="6" w:space="0"/>
              <w:bottom w:val="single" w:color="auto" w:sz="6" w:space="0"/>
              <w:right w:val="single" w:color="auto" w:sz="12" w:space="0"/>
            </w:tcBorders>
            <w:vAlign w:val="center"/>
          </w:tcPr>
          <w:p w14:paraId="537128C0">
            <w:pPr>
              <w:pStyle w:val="34"/>
              <w:rPr>
                <w:sz w:val="20"/>
                <w:szCs w:val="20"/>
              </w:rPr>
            </w:pPr>
          </w:p>
        </w:tc>
      </w:tr>
      <w:tr w14:paraId="5DB869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restart"/>
            <w:tcBorders>
              <w:top w:val="single" w:color="auto" w:sz="6" w:space="0"/>
              <w:left w:val="single" w:color="auto" w:sz="12" w:space="0"/>
              <w:bottom w:val="single" w:color="auto" w:sz="12" w:space="0"/>
              <w:right w:val="single" w:color="auto" w:sz="6" w:space="0"/>
            </w:tcBorders>
            <w:vAlign w:val="center"/>
          </w:tcPr>
          <w:p w14:paraId="0E958E03">
            <w:pPr>
              <w:pStyle w:val="34"/>
              <w:rPr>
                <w:kern w:val="0"/>
                <w:szCs w:val="21"/>
                <w:lang w:val="zh-CN"/>
              </w:rPr>
            </w:pPr>
            <w:r>
              <w:rPr>
                <w:kern w:val="0"/>
                <w:szCs w:val="21"/>
                <w:lang w:val="zh-CN" w:bidi="ar"/>
              </w:rPr>
              <w:t>2</w:t>
            </w:r>
            <w:r>
              <w:rPr>
                <w:rFonts w:hint="eastAsia" w:cs="宋体"/>
                <w:kern w:val="0"/>
                <w:szCs w:val="21"/>
                <w:lang w:val="zh-CN" w:bidi="ar"/>
              </w:rPr>
              <w:t>月</w:t>
            </w:r>
          </w:p>
          <w:p w14:paraId="1A75C051">
            <w:pPr>
              <w:pStyle w:val="34"/>
              <w:rPr>
                <w:kern w:val="0"/>
                <w:szCs w:val="21"/>
                <w:lang w:val="zh-CN"/>
              </w:rPr>
            </w:pPr>
            <w:r>
              <w:rPr>
                <w:kern w:val="0"/>
                <w:szCs w:val="21"/>
                <w:lang w:val="zh-CN" w:bidi="ar"/>
              </w:rPr>
              <w:t>23</w:t>
            </w:r>
            <w:r>
              <w:rPr>
                <w:rFonts w:hint="eastAsia" w:cs="宋体"/>
                <w:kern w:val="0"/>
                <w:szCs w:val="21"/>
                <w:lang w:val="zh-CN" w:bidi="ar"/>
              </w:rPr>
              <w:t>日</w:t>
            </w:r>
          </w:p>
        </w:tc>
        <w:tc>
          <w:tcPr>
            <w:tcW w:w="1111" w:type="dxa"/>
            <w:vMerge w:val="restart"/>
            <w:tcBorders>
              <w:top w:val="single" w:color="auto" w:sz="6" w:space="0"/>
              <w:left w:val="single" w:color="auto" w:sz="6" w:space="0"/>
              <w:bottom w:val="single" w:color="auto" w:sz="12" w:space="0"/>
              <w:right w:val="single" w:color="auto" w:sz="6" w:space="0"/>
            </w:tcBorders>
            <w:vAlign w:val="center"/>
          </w:tcPr>
          <w:p w14:paraId="325F91E2">
            <w:pPr>
              <w:pStyle w:val="34"/>
              <w:rPr>
                <w:kern w:val="0"/>
                <w:szCs w:val="21"/>
                <w:lang w:val="zh-CN"/>
              </w:rPr>
            </w:pPr>
            <w:r>
              <w:rPr>
                <w:rFonts w:hint="eastAsia" w:cs="宋体"/>
                <w:kern w:val="0"/>
                <w:szCs w:val="21"/>
                <w:lang w:val="zh-CN" w:bidi="ar"/>
              </w:rPr>
              <w:t>生活污水</w:t>
            </w:r>
          </w:p>
          <w:p w14:paraId="176C5642">
            <w:pPr>
              <w:pStyle w:val="34"/>
              <w:rPr>
                <w:kern w:val="0"/>
                <w:szCs w:val="21"/>
                <w:lang w:val="zh-CN"/>
              </w:rPr>
            </w:pPr>
            <w:r>
              <w:rPr>
                <w:rFonts w:hint="eastAsia" w:cs="宋体"/>
                <w:kern w:val="0"/>
                <w:szCs w:val="21"/>
                <w:lang w:val="zh-CN" w:bidi="ar"/>
              </w:rPr>
              <w:t>处理站</w:t>
            </w:r>
          </w:p>
          <w:p w14:paraId="3235DC92">
            <w:pPr>
              <w:pStyle w:val="34"/>
              <w:rPr>
                <w:kern w:val="0"/>
                <w:szCs w:val="21"/>
                <w:lang w:val="zh-CN"/>
              </w:rPr>
            </w:pPr>
            <w:r>
              <w:rPr>
                <w:rFonts w:hint="eastAsia" w:cs="宋体"/>
                <w:kern w:val="0"/>
                <w:szCs w:val="21"/>
                <w:lang w:val="zh-CN" w:bidi="ar"/>
              </w:rPr>
              <w:t>出水口</w:t>
            </w:r>
          </w:p>
          <w:p w14:paraId="575BA887">
            <w:pPr>
              <w:pStyle w:val="34"/>
              <w:rPr>
                <w:kern w:val="0"/>
                <w:szCs w:val="21"/>
                <w:lang w:val="zh-CN"/>
              </w:rPr>
            </w:pPr>
            <w:r>
              <w:rPr>
                <w:rFonts w:hint="eastAsia" w:cs="宋体"/>
                <w:kern w:val="0"/>
                <w:szCs w:val="21"/>
                <w:lang w:val="zh-CN" w:bidi="ar"/>
              </w:rPr>
              <w:t>（清水池）</w:t>
            </w:r>
          </w:p>
        </w:tc>
        <w:tc>
          <w:tcPr>
            <w:tcW w:w="1542" w:type="dxa"/>
            <w:tcBorders>
              <w:top w:val="single" w:color="auto" w:sz="6" w:space="0"/>
              <w:left w:val="single" w:color="auto" w:sz="6" w:space="0"/>
              <w:bottom w:val="single" w:color="auto" w:sz="6" w:space="0"/>
              <w:right w:val="single" w:color="auto" w:sz="6" w:space="0"/>
            </w:tcBorders>
            <w:vAlign w:val="center"/>
          </w:tcPr>
          <w:p w14:paraId="725D1490">
            <w:pPr>
              <w:pStyle w:val="34"/>
              <w:rPr>
                <w:kern w:val="0"/>
                <w:szCs w:val="21"/>
                <w:lang w:val="zh-CN"/>
              </w:rPr>
            </w:pPr>
            <w:r>
              <w:rPr>
                <w:rFonts w:hint="eastAsia" w:cs="宋体"/>
                <w:kern w:val="0"/>
                <w:szCs w:val="21"/>
                <w:lang w:val="zh-CN" w:bidi="ar"/>
              </w:rPr>
              <w:t>水温（℃</w:t>
            </w:r>
            <w:r>
              <w:rPr>
                <w:kern w:val="0"/>
                <w:szCs w:val="21"/>
                <w:lang w:val="zh-CN" w:bidi="ar"/>
              </w:rPr>
              <w:t>)</w:t>
            </w:r>
          </w:p>
        </w:tc>
        <w:tc>
          <w:tcPr>
            <w:tcW w:w="846" w:type="dxa"/>
            <w:tcBorders>
              <w:top w:val="single" w:color="auto" w:sz="6" w:space="0"/>
              <w:left w:val="single" w:color="auto" w:sz="6" w:space="0"/>
              <w:bottom w:val="single" w:color="auto" w:sz="6" w:space="0"/>
              <w:right w:val="single" w:color="auto" w:sz="6" w:space="0"/>
            </w:tcBorders>
            <w:vAlign w:val="center"/>
          </w:tcPr>
          <w:p w14:paraId="77EACA20">
            <w:pPr>
              <w:pStyle w:val="34"/>
              <w:rPr>
                <w:kern w:val="0"/>
                <w:szCs w:val="21"/>
                <w:lang w:val="zh-CN"/>
              </w:rPr>
            </w:pPr>
            <w:r>
              <w:rPr>
                <w:kern w:val="0"/>
                <w:szCs w:val="21"/>
                <w:lang w:val="zh-CN" w:bidi="ar"/>
              </w:rPr>
              <w:t>20.2</w:t>
            </w:r>
          </w:p>
        </w:tc>
        <w:tc>
          <w:tcPr>
            <w:tcW w:w="845" w:type="dxa"/>
            <w:tcBorders>
              <w:top w:val="single" w:color="auto" w:sz="6" w:space="0"/>
              <w:left w:val="single" w:color="auto" w:sz="6" w:space="0"/>
              <w:bottom w:val="single" w:color="auto" w:sz="6" w:space="0"/>
              <w:right w:val="single" w:color="auto" w:sz="6" w:space="0"/>
            </w:tcBorders>
            <w:vAlign w:val="center"/>
          </w:tcPr>
          <w:p w14:paraId="05592A89">
            <w:pPr>
              <w:pStyle w:val="34"/>
              <w:rPr>
                <w:kern w:val="0"/>
                <w:szCs w:val="21"/>
                <w:lang w:val="zh-CN"/>
              </w:rPr>
            </w:pPr>
            <w:r>
              <w:rPr>
                <w:kern w:val="0"/>
                <w:szCs w:val="21"/>
                <w:lang w:val="zh-CN" w:bidi="ar"/>
              </w:rPr>
              <w:t>20.8</w:t>
            </w:r>
          </w:p>
        </w:tc>
        <w:tc>
          <w:tcPr>
            <w:tcW w:w="846" w:type="dxa"/>
            <w:tcBorders>
              <w:top w:val="single" w:color="auto" w:sz="6" w:space="0"/>
              <w:left w:val="single" w:color="auto" w:sz="6" w:space="0"/>
              <w:bottom w:val="single" w:color="auto" w:sz="6" w:space="0"/>
              <w:right w:val="single" w:color="auto" w:sz="6" w:space="0"/>
            </w:tcBorders>
            <w:vAlign w:val="center"/>
          </w:tcPr>
          <w:p w14:paraId="48C17574">
            <w:pPr>
              <w:pStyle w:val="34"/>
              <w:rPr>
                <w:kern w:val="0"/>
                <w:szCs w:val="21"/>
                <w:lang w:val="zh-CN"/>
              </w:rPr>
            </w:pPr>
            <w:r>
              <w:rPr>
                <w:kern w:val="0"/>
                <w:szCs w:val="21"/>
                <w:lang w:val="zh-CN" w:bidi="ar"/>
              </w:rPr>
              <w:t>20.5</w:t>
            </w:r>
          </w:p>
        </w:tc>
        <w:tc>
          <w:tcPr>
            <w:tcW w:w="1091" w:type="dxa"/>
            <w:tcBorders>
              <w:top w:val="single" w:color="auto" w:sz="6" w:space="0"/>
              <w:left w:val="single" w:color="auto" w:sz="6" w:space="0"/>
              <w:bottom w:val="single" w:color="auto" w:sz="6" w:space="0"/>
              <w:right w:val="single" w:color="auto" w:sz="6" w:space="0"/>
            </w:tcBorders>
            <w:vAlign w:val="center"/>
          </w:tcPr>
          <w:p w14:paraId="40C3B902">
            <w:pPr>
              <w:pStyle w:val="34"/>
              <w:rPr>
                <w:kern w:val="0"/>
                <w:szCs w:val="21"/>
                <w:lang w:val="zh-CN"/>
              </w:rPr>
            </w:pPr>
            <w:r>
              <w:rPr>
                <w:kern w:val="0"/>
                <w:szCs w:val="21"/>
                <w:lang w:val="zh-CN" w:bidi="ar"/>
              </w:rPr>
              <w:t>20.5</w:t>
            </w:r>
          </w:p>
        </w:tc>
        <w:tc>
          <w:tcPr>
            <w:tcW w:w="823" w:type="dxa"/>
            <w:tcBorders>
              <w:top w:val="single" w:color="auto" w:sz="6" w:space="0"/>
              <w:left w:val="single" w:color="auto" w:sz="6" w:space="0"/>
              <w:bottom w:val="single" w:color="auto" w:sz="6" w:space="0"/>
              <w:right w:val="single" w:color="auto" w:sz="6" w:space="0"/>
            </w:tcBorders>
            <w:vAlign w:val="center"/>
          </w:tcPr>
          <w:p w14:paraId="2F9D61B6">
            <w:pPr>
              <w:pStyle w:val="34"/>
              <w:rPr>
                <w:kern w:val="0"/>
                <w:szCs w:val="21"/>
                <w:lang w:val="zh-CN"/>
              </w:rPr>
            </w:pPr>
            <w:r>
              <w:rPr>
                <w:kern w:val="0"/>
                <w:szCs w:val="21"/>
                <w:lang w:val="zh-CN" w:bidi="ar"/>
              </w:rPr>
              <w:t>40</w:t>
            </w:r>
          </w:p>
        </w:tc>
        <w:tc>
          <w:tcPr>
            <w:tcW w:w="764" w:type="dxa"/>
            <w:tcBorders>
              <w:top w:val="single" w:color="auto" w:sz="6" w:space="0"/>
              <w:left w:val="single" w:color="auto" w:sz="6" w:space="0"/>
              <w:bottom w:val="single" w:color="auto" w:sz="6" w:space="0"/>
              <w:right w:val="single" w:color="auto" w:sz="12" w:space="0"/>
            </w:tcBorders>
            <w:vAlign w:val="center"/>
          </w:tcPr>
          <w:p w14:paraId="43BA50BE">
            <w:pPr>
              <w:pStyle w:val="34"/>
              <w:rPr>
                <w:kern w:val="0"/>
                <w:szCs w:val="21"/>
                <w:lang w:val="zh-CN"/>
              </w:rPr>
            </w:pPr>
            <w:r>
              <w:rPr>
                <w:rFonts w:hint="eastAsia" w:cs="宋体"/>
                <w:kern w:val="0"/>
                <w:szCs w:val="21"/>
                <w:lang w:val="zh-CN" w:bidi="ar"/>
              </w:rPr>
              <w:t>达标</w:t>
            </w:r>
          </w:p>
        </w:tc>
      </w:tr>
      <w:tr w14:paraId="5F93ED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06BDFE10">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41C86356">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3F97A492">
            <w:pPr>
              <w:pStyle w:val="34"/>
              <w:rPr>
                <w:kern w:val="0"/>
                <w:szCs w:val="21"/>
                <w:lang w:val="zh-CN"/>
              </w:rPr>
            </w:pPr>
            <w:r>
              <w:rPr>
                <w:kern w:val="0"/>
                <w:szCs w:val="21"/>
                <w:lang w:val="zh-CN" w:bidi="ar"/>
              </w:rPr>
              <w:t xml:space="preserve">pH </w:t>
            </w:r>
            <w:r>
              <w:rPr>
                <w:rFonts w:hint="eastAsia" w:cs="宋体"/>
                <w:kern w:val="0"/>
                <w:szCs w:val="21"/>
                <w:lang w:val="zh-CN" w:bidi="ar"/>
              </w:rPr>
              <w:t>值</w:t>
            </w:r>
          </w:p>
          <w:p w14:paraId="37915612">
            <w:pPr>
              <w:pStyle w:val="34"/>
              <w:rPr>
                <w:kern w:val="0"/>
                <w:szCs w:val="21"/>
                <w:lang w:val="zh-CN"/>
              </w:rPr>
            </w:pPr>
            <w:r>
              <w:rPr>
                <w:rFonts w:hint="eastAsia" w:cs="宋体"/>
                <w:kern w:val="0"/>
                <w:szCs w:val="21"/>
                <w:lang w:val="zh-CN" w:bidi="ar"/>
              </w:rPr>
              <w:t>（无纲量）</w:t>
            </w:r>
          </w:p>
        </w:tc>
        <w:tc>
          <w:tcPr>
            <w:tcW w:w="846" w:type="dxa"/>
            <w:tcBorders>
              <w:top w:val="single" w:color="auto" w:sz="6" w:space="0"/>
              <w:left w:val="single" w:color="auto" w:sz="6" w:space="0"/>
              <w:bottom w:val="single" w:color="auto" w:sz="6" w:space="0"/>
              <w:right w:val="single" w:color="auto" w:sz="6" w:space="0"/>
            </w:tcBorders>
            <w:vAlign w:val="center"/>
          </w:tcPr>
          <w:p w14:paraId="5D9FD2FE">
            <w:pPr>
              <w:pStyle w:val="34"/>
              <w:rPr>
                <w:kern w:val="0"/>
                <w:szCs w:val="21"/>
                <w:lang w:val="zh-CN"/>
              </w:rPr>
            </w:pPr>
            <w:r>
              <w:rPr>
                <w:kern w:val="0"/>
                <w:szCs w:val="21"/>
                <w:lang w:val="zh-CN" w:bidi="ar"/>
              </w:rPr>
              <w:t>7.1</w:t>
            </w:r>
          </w:p>
        </w:tc>
        <w:tc>
          <w:tcPr>
            <w:tcW w:w="845" w:type="dxa"/>
            <w:tcBorders>
              <w:top w:val="single" w:color="auto" w:sz="6" w:space="0"/>
              <w:left w:val="single" w:color="auto" w:sz="6" w:space="0"/>
              <w:bottom w:val="single" w:color="auto" w:sz="6" w:space="0"/>
              <w:right w:val="single" w:color="auto" w:sz="6" w:space="0"/>
            </w:tcBorders>
            <w:vAlign w:val="center"/>
          </w:tcPr>
          <w:p w14:paraId="576E4E09">
            <w:pPr>
              <w:pStyle w:val="34"/>
              <w:rPr>
                <w:kern w:val="0"/>
                <w:szCs w:val="21"/>
                <w:lang w:val="zh-CN"/>
              </w:rPr>
            </w:pPr>
            <w:r>
              <w:rPr>
                <w:kern w:val="0"/>
                <w:szCs w:val="21"/>
                <w:lang w:val="zh-CN" w:bidi="ar"/>
              </w:rPr>
              <w:t>7.2</w:t>
            </w:r>
          </w:p>
        </w:tc>
        <w:tc>
          <w:tcPr>
            <w:tcW w:w="846" w:type="dxa"/>
            <w:tcBorders>
              <w:top w:val="single" w:color="auto" w:sz="6" w:space="0"/>
              <w:left w:val="single" w:color="auto" w:sz="6" w:space="0"/>
              <w:bottom w:val="single" w:color="auto" w:sz="6" w:space="0"/>
              <w:right w:val="single" w:color="auto" w:sz="6" w:space="0"/>
            </w:tcBorders>
            <w:vAlign w:val="center"/>
          </w:tcPr>
          <w:p w14:paraId="3DB4A176">
            <w:pPr>
              <w:pStyle w:val="34"/>
              <w:rPr>
                <w:kern w:val="0"/>
                <w:szCs w:val="21"/>
                <w:lang w:val="zh-CN"/>
              </w:rPr>
            </w:pPr>
            <w:r>
              <w:rPr>
                <w:kern w:val="0"/>
                <w:szCs w:val="21"/>
                <w:lang w:val="zh-CN" w:bidi="ar"/>
              </w:rPr>
              <w:t>7.1</w:t>
            </w:r>
          </w:p>
        </w:tc>
        <w:tc>
          <w:tcPr>
            <w:tcW w:w="1091" w:type="dxa"/>
            <w:tcBorders>
              <w:top w:val="single" w:color="auto" w:sz="6" w:space="0"/>
              <w:left w:val="single" w:color="auto" w:sz="6" w:space="0"/>
              <w:bottom w:val="single" w:color="auto" w:sz="6" w:space="0"/>
              <w:right w:val="single" w:color="auto" w:sz="6" w:space="0"/>
            </w:tcBorders>
            <w:vAlign w:val="center"/>
          </w:tcPr>
          <w:p w14:paraId="55A2FED0">
            <w:pPr>
              <w:pStyle w:val="34"/>
              <w:rPr>
                <w:kern w:val="0"/>
                <w:szCs w:val="21"/>
                <w:lang w:val="zh-CN"/>
              </w:rPr>
            </w:pPr>
            <w:r>
              <w:rPr>
                <w:kern w:val="0"/>
                <w:szCs w:val="21"/>
                <w:lang w:val="zh-CN" w:bidi="ar"/>
              </w:rPr>
              <w:t>7.1~7.2</w:t>
            </w:r>
          </w:p>
        </w:tc>
        <w:tc>
          <w:tcPr>
            <w:tcW w:w="823" w:type="dxa"/>
            <w:tcBorders>
              <w:top w:val="single" w:color="auto" w:sz="6" w:space="0"/>
              <w:left w:val="single" w:color="auto" w:sz="6" w:space="0"/>
              <w:bottom w:val="single" w:color="auto" w:sz="6" w:space="0"/>
              <w:right w:val="single" w:color="auto" w:sz="6" w:space="0"/>
            </w:tcBorders>
            <w:vAlign w:val="center"/>
          </w:tcPr>
          <w:p w14:paraId="69164E52">
            <w:pPr>
              <w:pStyle w:val="34"/>
              <w:rPr>
                <w:kern w:val="0"/>
                <w:szCs w:val="21"/>
                <w:lang w:val="zh-CN"/>
              </w:rPr>
            </w:pPr>
            <w:r>
              <w:rPr>
                <w:kern w:val="0"/>
                <w:szCs w:val="21"/>
                <w:lang w:val="zh-CN" w:bidi="ar"/>
              </w:rPr>
              <w:t>6.5~9.5</w:t>
            </w:r>
          </w:p>
        </w:tc>
        <w:tc>
          <w:tcPr>
            <w:tcW w:w="764" w:type="dxa"/>
            <w:tcBorders>
              <w:top w:val="single" w:color="auto" w:sz="6" w:space="0"/>
              <w:left w:val="single" w:color="auto" w:sz="6" w:space="0"/>
              <w:bottom w:val="single" w:color="auto" w:sz="6" w:space="0"/>
              <w:right w:val="single" w:color="auto" w:sz="12" w:space="0"/>
            </w:tcBorders>
            <w:vAlign w:val="center"/>
          </w:tcPr>
          <w:p w14:paraId="17C79B0D">
            <w:pPr>
              <w:pStyle w:val="34"/>
              <w:rPr>
                <w:kern w:val="0"/>
                <w:szCs w:val="21"/>
                <w:lang w:val="zh-CN"/>
              </w:rPr>
            </w:pPr>
            <w:r>
              <w:rPr>
                <w:rFonts w:hint="eastAsia" w:cs="宋体"/>
                <w:kern w:val="0"/>
                <w:szCs w:val="21"/>
                <w:lang w:val="zh-CN" w:bidi="ar"/>
              </w:rPr>
              <w:t>达标</w:t>
            </w:r>
          </w:p>
        </w:tc>
      </w:tr>
      <w:tr w14:paraId="4E4FD6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490A6485">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2EBF1E2E">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74F598B5">
            <w:pPr>
              <w:pStyle w:val="34"/>
              <w:rPr>
                <w:kern w:val="0"/>
                <w:szCs w:val="21"/>
                <w:lang w:val="zh-CN"/>
              </w:rPr>
            </w:pPr>
            <w:r>
              <w:rPr>
                <w:rFonts w:hint="eastAsia" w:cs="宋体"/>
                <w:kern w:val="0"/>
                <w:szCs w:val="21"/>
                <w:lang w:val="zh-CN" w:bidi="ar"/>
              </w:rPr>
              <w:t>化学需氧量（</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0CF05B55">
            <w:pPr>
              <w:pStyle w:val="34"/>
              <w:rPr>
                <w:kern w:val="0"/>
                <w:szCs w:val="21"/>
                <w:lang w:val="zh-CN"/>
              </w:rPr>
            </w:pPr>
            <w:r>
              <w:rPr>
                <w:kern w:val="0"/>
                <w:szCs w:val="21"/>
                <w:lang w:val="zh-CN" w:bidi="ar"/>
              </w:rPr>
              <w:t>50</w:t>
            </w:r>
          </w:p>
        </w:tc>
        <w:tc>
          <w:tcPr>
            <w:tcW w:w="845" w:type="dxa"/>
            <w:tcBorders>
              <w:top w:val="single" w:color="auto" w:sz="6" w:space="0"/>
              <w:left w:val="single" w:color="auto" w:sz="6" w:space="0"/>
              <w:bottom w:val="single" w:color="auto" w:sz="6" w:space="0"/>
              <w:right w:val="single" w:color="auto" w:sz="6" w:space="0"/>
            </w:tcBorders>
            <w:vAlign w:val="center"/>
          </w:tcPr>
          <w:p w14:paraId="7BEC7DDA">
            <w:pPr>
              <w:pStyle w:val="34"/>
              <w:rPr>
                <w:kern w:val="0"/>
                <w:szCs w:val="21"/>
                <w:lang w:val="zh-CN"/>
              </w:rPr>
            </w:pPr>
            <w:r>
              <w:rPr>
                <w:kern w:val="0"/>
                <w:szCs w:val="21"/>
                <w:lang w:val="zh-CN" w:bidi="ar"/>
              </w:rPr>
              <w:t>57</w:t>
            </w:r>
          </w:p>
        </w:tc>
        <w:tc>
          <w:tcPr>
            <w:tcW w:w="846" w:type="dxa"/>
            <w:tcBorders>
              <w:top w:val="single" w:color="auto" w:sz="6" w:space="0"/>
              <w:left w:val="single" w:color="auto" w:sz="6" w:space="0"/>
              <w:bottom w:val="single" w:color="auto" w:sz="6" w:space="0"/>
              <w:right w:val="single" w:color="auto" w:sz="6" w:space="0"/>
            </w:tcBorders>
            <w:vAlign w:val="center"/>
          </w:tcPr>
          <w:p w14:paraId="3AA51A51">
            <w:pPr>
              <w:pStyle w:val="34"/>
              <w:rPr>
                <w:kern w:val="0"/>
                <w:szCs w:val="21"/>
                <w:lang w:val="zh-CN"/>
              </w:rPr>
            </w:pPr>
            <w:r>
              <w:rPr>
                <w:kern w:val="0"/>
                <w:szCs w:val="21"/>
                <w:lang w:val="zh-CN" w:bidi="ar"/>
              </w:rPr>
              <w:t>73</w:t>
            </w:r>
          </w:p>
        </w:tc>
        <w:tc>
          <w:tcPr>
            <w:tcW w:w="1091" w:type="dxa"/>
            <w:tcBorders>
              <w:top w:val="single" w:color="auto" w:sz="6" w:space="0"/>
              <w:left w:val="single" w:color="auto" w:sz="6" w:space="0"/>
              <w:bottom w:val="single" w:color="auto" w:sz="6" w:space="0"/>
              <w:right w:val="single" w:color="auto" w:sz="6" w:space="0"/>
            </w:tcBorders>
            <w:vAlign w:val="center"/>
          </w:tcPr>
          <w:p w14:paraId="6AEF74A8">
            <w:pPr>
              <w:pStyle w:val="34"/>
              <w:rPr>
                <w:kern w:val="0"/>
                <w:szCs w:val="21"/>
                <w:lang w:val="zh-CN"/>
              </w:rPr>
            </w:pPr>
            <w:r>
              <w:rPr>
                <w:kern w:val="0"/>
                <w:szCs w:val="21"/>
                <w:lang w:val="zh-CN" w:bidi="ar"/>
              </w:rPr>
              <w:t>60</w:t>
            </w:r>
          </w:p>
        </w:tc>
        <w:tc>
          <w:tcPr>
            <w:tcW w:w="823" w:type="dxa"/>
            <w:tcBorders>
              <w:top w:val="single" w:color="auto" w:sz="6" w:space="0"/>
              <w:left w:val="single" w:color="auto" w:sz="6" w:space="0"/>
              <w:bottom w:val="single" w:color="auto" w:sz="6" w:space="0"/>
              <w:right w:val="single" w:color="auto" w:sz="6" w:space="0"/>
            </w:tcBorders>
            <w:vAlign w:val="center"/>
          </w:tcPr>
          <w:p w14:paraId="7F5B4C0F">
            <w:pPr>
              <w:pStyle w:val="34"/>
              <w:rPr>
                <w:kern w:val="0"/>
                <w:szCs w:val="21"/>
                <w:lang w:val="zh-CN"/>
              </w:rPr>
            </w:pPr>
            <w:r>
              <w:rPr>
                <w:kern w:val="0"/>
                <w:szCs w:val="21"/>
                <w:lang w:val="zh-CN" w:bidi="ar"/>
              </w:rPr>
              <w:t>500</w:t>
            </w:r>
          </w:p>
        </w:tc>
        <w:tc>
          <w:tcPr>
            <w:tcW w:w="764" w:type="dxa"/>
            <w:tcBorders>
              <w:top w:val="single" w:color="auto" w:sz="6" w:space="0"/>
              <w:left w:val="single" w:color="auto" w:sz="6" w:space="0"/>
              <w:bottom w:val="single" w:color="auto" w:sz="6" w:space="0"/>
              <w:right w:val="single" w:color="auto" w:sz="12" w:space="0"/>
            </w:tcBorders>
            <w:vAlign w:val="center"/>
          </w:tcPr>
          <w:p w14:paraId="6C81E58A">
            <w:pPr>
              <w:pStyle w:val="34"/>
              <w:rPr>
                <w:kern w:val="0"/>
                <w:szCs w:val="21"/>
                <w:lang w:val="zh-CN"/>
              </w:rPr>
            </w:pPr>
            <w:r>
              <w:rPr>
                <w:rFonts w:hint="eastAsia" w:cs="宋体"/>
                <w:kern w:val="0"/>
                <w:szCs w:val="21"/>
                <w:lang w:val="zh-CN" w:bidi="ar"/>
              </w:rPr>
              <w:t>达标</w:t>
            </w:r>
          </w:p>
        </w:tc>
      </w:tr>
      <w:tr w14:paraId="253E9A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67DEC782">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6898A263">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429A99D7">
            <w:pPr>
              <w:pStyle w:val="34"/>
              <w:rPr>
                <w:kern w:val="0"/>
                <w:szCs w:val="21"/>
              </w:rPr>
            </w:pPr>
            <w:r>
              <w:rPr>
                <w:rFonts w:hint="eastAsia" w:cs="宋体"/>
                <w:kern w:val="0"/>
                <w:szCs w:val="21"/>
                <w:lang w:val="zh-CN" w:bidi="ar"/>
              </w:rPr>
              <w:t>五日生化需氧量</w:t>
            </w:r>
            <w:r>
              <w:rPr>
                <w:rFonts w:hint="eastAsia" w:cs="宋体"/>
                <w:kern w:val="0"/>
                <w:szCs w:val="21"/>
                <w:lang w:bidi="ar"/>
              </w:rPr>
              <w:t>（</w:t>
            </w:r>
            <w:r>
              <w:rPr>
                <w:kern w:val="0"/>
                <w:szCs w:val="21"/>
                <w:lang w:bidi="ar"/>
              </w:rPr>
              <w:t>mg)</w:t>
            </w:r>
          </w:p>
        </w:tc>
        <w:tc>
          <w:tcPr>
            <w:tcW w:w="846" w:type="dxa"/>
            <w:tcBorders>
              <w:top w:val="single" w:color="auto" w:sz="6" w:space="0"/>
              <w:left w:val="single" w:color="auto" w:sz="6" w:space="0"/>
              <w:bottom w:val="single" w:color="auto" w:sz="6" w:space="0"/>
              <w:right w:val="single" w:color="auto" w:sz="6" w:space="0"/>
            </w:tcBorders>
            <w:vAlign w:val="center"/>
          </w:tcPr>
          <w:p w14:paraId="400C99D5">
            <w:pPr>
              <w:pStyle w:val="34"/>
              <w:rPr>
                <w:kern w:val="0"/>
                <w:szCs w:val="21"/>
                <w:lang w:val="zh-CN"/>
              </w:rPr>
            </w:pPr>
            <w:r>
              <w:rPr>
                <w:kern w:val="0"/>
                <w:szCs w:val="21"/>
                <w:lang w:val="zh-CN" w:bidi="ar"/>
              </w:rPr>
              <w:t>12.1</w:t>
            </w:r>
          </w:p>
        </w:tc>
        <w:tc>
          <w:tcPr>
            <w:tcW w:w="845" w:type="dxa"/>
            <w:tcBorders>
              <w:top w:val="single" w:color="auto" w:sz="6" w:space="0"/>
              <w:left w:val="single" w:color="auto" w:sz="6" w:space="0"/>
              <w:bottom w:val="single" w:color="auto" w:sz="6" w:space="0"/>
              <w:right w:val="single" w:color="auto" w:sz="6" w:space="0"/>
            </w:tcBorders>
            <w:vAlign w:val="center"/>
          </w:tcPr>
          <w:p w14:paraId="3E765A38">
            <w:pPr>
              <w:pStyle w:val="34"/>
              <w:rPr>
                <w:kern w:val="0"/>
                <w:szCs w:val="21"/>
                <w:lang w:val="zh-CN"/>
              </w:rPr>
            </w:pPr>
            <w:r>
              <w:rPr>
                <w:kern w:val="0"/>
                <w:szCs w:val="21"/>
                <w:lang w:val="zh-CN" w:bidi="ar"/>
              </w:rPr>
              <w:t>10.6</w:t>
            </w:r>
          </w:p>
        </w:tc>
        <w:tc>
          <w:tcPr>
            <w:tcW w:w="846" w:type="dxa"/>
            <w:tcBorders>
              <w:top w:val="single" w:color="auto" w:sz="6" w:space="0"/>
              <w:left w:val="single" w:color="auto" w:sz="6" w:space="0"/>
              <w:bottom w:val="single" w:color="auto" w:sz="6" w:space="0"/>
              <w:right w:val="single" w:color="auto" w:sz="6" w:space="0"/>
            </w:tcBorders>
            <w:vAlign w:val="center"/>
          </w:tcPr>
          <w:p w14:paraId="5D6FE804">
            <w:pPr>
              <w:pStyle w:val="34"/>
              <w:rPr>
                <w:kern w:val="0"/>
                <w:szCs w:val="21"/>
                <w:lang w:val="zh-CN"/>
              </w:rPr>
            </w:pPr>
            <w:r>
              <w:rPr>
                <w:kern w:val="0"/>
                <w:szCs w:val="21"/>
                <w:lang w:val="zh-CN" w:bidi="ar"/>
              </w:rPr>
              <w:t>10.6</w:t>
            </w:r>
          </w:p>
        </w:tc>
        <w:tc>
          <w:tcPr>
            <w:tcW w:w="1091" w:type="dxa"/>
            <w:tcBorders>
              <w:top w:val="single" w:color="auto" w:sz="6" w:space="0"/>
              <w:left w:val="single" w:color="auto" w:sz="6" w:space="0"/>
              <w:bottom w:val="single" w:color="auto" w:sz="6" w:space="0"/>
              <w:right w:val="single" w:color="auto" w:sz="6" w:space="0"/>
            </w:tcBorders>
            <w:vAlign w:val="center"/>
          </w:tcPr>
          <w:p w14:paraId="2924BAD8">
            <w:pPr>
              <w:pStyle w:val="34"/>
              <w:rPr>
                <w:kern w:val="0"/>
                <w:szCs w:val="21"/>
                <w:lang w:val="zh-CN"/>
              </w:rPr>
            </w:pPr>
            <w:r>
              <w:rPr>
                <w:kern w:val="0"/>
                <w:szCs w:val="21"/>
                <w:lang w:val="zh-CN" w:bidi="ar"/>
              </w:rPr>
              <w:t>11.1</w:t>
            </w:r>
          </w:p>
        </w:tc>
        <w:tc>
          <w:tcPr>
            <w:tcW w:w="823" w:type="dxa"/>
            <w:tcBorders>
              <w:top w:val="single" w:color="auto" w:sz="6" w:space="0"/>
              <w:left w:val="single" w:color="auto" w:sz="6" w:space="0"/>
              <w:bottom w:val="single" w:color="auto" w:sz="6" w:space="0"/>
              <w:right w:val="single" w:color="auto" w:sz="6" w:space="0"/>
            </w:tcBorders>
            <w:vAlign w:val="center"/>
          </w:tcPr>
          <w:p w14:paraId="0120BEB3">
            <w:pPr>
              <w:pStyle w:val="34"/>
              <w:rPr>
                <w:kern w:val="0"/>
                <w:szCs w:val="21"/>
                <w:lang w:val="zh-CN"/>
              </w:rPr>
            </w:pPr>
            <w:r>
              <w:rPr>
                <w:kern w:val="0"/>
                <w:szCs w:val="21"/>
                <w:lang w:val="zh-CN" w:bidi="ar"/>
              </w:rPr>
              <w:t>350</w:t>
            </w:r>
          </w:p>
        </w:tc>
        <w:tc>
          <w:tcPr>
            <w:tcW w:w="764" w:type="dxa"/>
            <w:tcBorders>
              <w:top w:val="single" w:color="auto" w:sz="6" w:space="0"/>
              <w:left w:val="single" w:color="auto" w:sz="6" w:space="0"/>
              <w:bottom w:val="single" w:color="auto" w:sz="6" w:space="0"/>
              <w:right w:val="single" w:color="auto" w:sz="12" w:space="0"/>
            </w:tcBorders>
            <w:vAlign w:val="center"/>
          </w:tcPr>
          <w:p w14:paraId="60407E6A">
            <w:pPr>
              <w:pStyle w:val="34"/>
              <w:rPr>
                <w:kern w:val="0"/>
                <w:szCs w:val="21"/>
                <w:lang w:val="zh-CN"/>
              </w:rPr>
            </w:pPr>
            <w:r>
              <w:rPr>
                <w:rFonts w:hint="eastAsia" w:cs="宋体"/>
                <w:kern w:val="0"/>
                <w:szCs w:val="21"/>
                <w:lang w:val="zh-CN" w:bidi="ar"/>
              </w:rPr>
              <w:t>达标</w:t>
            </w:r>
          </w:p>
        </w:tc>
      </w:tr>
      <w:tr w14:paraId="4F7DA6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6DC7632D">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1534A837">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20260AFE">
            <w:pPr>
              <w:pStyle w:val="34"/>
              <w:rPr>
                <w:kern w:val="0"/>
                <w:szCs w:val="21"/>
                <w:lang w:val="zh-CN"/>
              </w:rPr>
            </w:pPr>
            <w:r>
              <w:rPr>
                <w:rFonts w:hint="eastAsia" w:cs="宋体"/>
                <w:kern w:val="0"/>
                <w:szCs w:val="21"/>
                <w:lang w:val="zh-CN" w:bidi="ar"/>
              </w:rPr>
              <w:t>悬浮物（</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6E8070E9">
            <w:pPr>
              <w:pStyle w:val="34"/>
              <w:rPr>
                <w:kern w:val="0"/>
                <w:szCs w:val="21"/>
                <w:lang w:val="zh-CN"/>
              </w:rPr>
            </w:pPr>
            <w:r>
              <w:rPr>
                <w:kern w:val="0"/>
                <w:szCs w:val="21"/>
                <w:lang w:val="zh-CN" w:bidi="ar"/>
              </w:rPr>
              <w:t>28</w:t>
            </w:r>
          </w:p>
        </w:tc>
        <w:tc>
          <w:tcPr>
            <w:tcW w:w="845" w:type="dxa"/>
            <w:tcBorders>
              <w:top w:val="single" w:color="auto" w:sz="6" w:space="0"/>
              <w:left w:val="single" w:color="auto" w:sz="6" w:space="0"/>
              <w:bottom w:val="single" w:color="auto" w:sz="6" w:space="0"/>
              <w:right w:val="single" w:color="auto" w:sz="6" w:space="0"/>
            </w:tcBorders>
            <w:vAlign w:val="center"/>
          </w:tcPr>
          <w:p w14:paraId="50789527">
            <w:pPr>
              <w:pStyle w:val="34"/>
              <w:rPr>
                <w:kern w:val="0"/>
                <w:szCs w:val="21"/>
                <w:lang w:val="zh-CN"/>
              </w:rPr>
            </w:pPr>
            <w:r>
              <w:rPr>
                <w:kern w:val="0"/>
                <w:szCs w:val="21"/>
                <w:lang w:val="zh-CN" w:bidi="ar"/>
              </w:rPr>
              <w:t>33</w:t>
            </w:r>
          </w:p>
        </w:tc>
        <w:tc>
          <w:tcPr>
            <w:tcW w:w="846" w:type="dxa"/>
            <w:tcBorders>
              <w:top w:val="single" w:color="auto" w:sz="6" w:space="0"/>
              <w:left w:val="single" w:color="auto" w:sz="6" w:space="0"/>
              <w:bottom w:val="single" w:color="auto" w:sz="6" w:space="0"/>
              <w:right w:val="single" w:color="auto" w:sz="6" w:space="0"/>
            </w:tcBorders>
            <w:vAlign w:val="center"/>
          </w:tcPr>
          <w:p w14:paraId="3CFED268">
            <w:pPr>
              <w:pStyle w:val="34"/>
              <w:rPr>
                <w:kern w:val="0"/>
                <w:szCs w:val="21"/>
                <w:lang w:val="zh-CN"/>
              </w:rPr>
            </w:pPr>
            <w:r>
              <w:rPr>
                <w:kern w:val="0"/>
                <w:szCs w:val="21"/>
                <w:lang w:val="zh-CN" w:bidi="ar"/>
              </w:rPr>
              <w:t>30</w:t>
            </w:r>
          </w:p>
        </w:tc>
        <w:tc>
          <w:tcPr>
            <w:tcW w:w="1091" w:type="dxa"/>
            <w:tcBorders>
              <w:top w:val="single" w:color="auto" w:sz="6" w:space="0"/>
              <w:left w:val="single" w:color="auto" w:sz="6" w:space="0"/>
              <w:bottom w:val="single" w:color="auto" w:sz="6" w:space="0"/>
              <w:right w:val="single" w:color="auto" w:sz="6" w:space="0"/>
            </w:tcBorders>
            <w:vAlign w:val="center"/>
          </w:tcPr>
          <w:p w14:paraId="16DAC670">
            <w:pPr>
              <w:pStyle w:val="34"/>
              <w:rPr>
                <w:kern w:val="0"/>
                <w:szCs w:val="21"/>
                <w:lang w:val="zh-CN"/>
              </w:rPr>
            </w:pPr>
            <w:r>
              <w:rPr>
                <w:kern w:val="0"/>
                <w:szCs w:val="21"/>
                <w:lang w:val="zh-CN" w:bidi="ar"/>
              </w:rPr>
              <w:t>30</w:t>
            </w:r>
          </w:p>
        </w:tc>
        <w:tc>
          <w:tcPr>
            <w:tcW w:w="823" w:type="dxa"/>
            <w:tcBorders>
              <w:top w:val="single" w:color="auto" w:sz="6" w:space="0"/>
              <w:left w:val="single" w:color="auto" w:sz="6" w:space="0"/>
              <w:bottom w:val="single" w:color="auto" w:sz="6" w:space="0"/>
              <w:right w:val="single" w:color="auto" w:sz="6" w:space="0"/>
            </w:tcBorders>
            <w:vAlign w:val="center"/>
          </w:tcPr>
          <w:p w14:paraId="61FB6451">
            <w:pPr>
              <w:pStyle w:val="34"/>
              <w:rPr>
                <w:kern w:val="0"/>
                <w:szCs w:val="21"/>
                <w:lang w:val="zh-CN"/>
              </w:rPr>
            </w:pPr>
            <w:r>
              <w:rPr>
                <w:kern w:val="0"/>
                <w:szCs w:val="21"/>
                <w:lang w:val="zh-CN" w:bidi="ar"/>
              </w:rPr>
              <w:t>400</w:t>
            </w:r>
          </w:p>
        </w:tc>
        <w:tc>
          <w:tcPr>
            <w:tcW w:w="764" w:type="dxa"/>
            <w:tcBorders>
              <w:top w:val="single" w:color="auto" w:sz="6" w:space="0"/>
              <w:left w:val="single" w:color="auto" w:sz="6" w:space="0"/>
              <w:bottom w:val="single" w:color="auto" w:sz="6" w:space="0"/>
              <w:right w:val="single" w:color="auto" w:sz="12" w:space="0"/>
            </w:tcBorders>
            <w:vAlign w:val="center"/>
          </w:tcPr>
          <w:p w14:paraId="04446905">
            <w:pPr>
              <w:pStyle w:val="34"/>
              <w:rPr>
                <w:kern w:val="0"/>
                <w:szCs w:val="21"/>
                <w:lang w:val="zh-CN"/>
              </w:rPr>
            </w:pPr>
            <w:r>
              <w:rPr>
                <w:rFonts w:hint="eastAsia" w:cs="宋体"/>
                <w:kern w:val="0"/>
                <w:szCs w:val="21"/>
                <w:lang w:val="zh-CN" w:bidi="ar"/>
              </w:rPr>
              <w:t>达标</w:t>
            </w:r>
          </w:p>
        </w:tc>
      </w:tr>
      <w:tr w14:paraId="4A5992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2264AE9B">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0B8B4235">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7877B32F">
            <w:pPr>
              <w:pStyle w:val="34"/>
              <w:rPr>
                <w:kern w:val="0"/>
                <w:szCs w:val="21"/>
                <w:lang w:val="zh-CN"/>
              </w:rPr>
            </w:pPr>
            <w:r>
              <w:rPr>
                <w:rFonts w:hint="eastAsia" w:cs="宋体"/>
                <w:kern w:val="0"/>
                <w:szCs w:val="21"/>
                <w:lang w:val="zh-CN" w:bidi="ar"/>
              </w:rPr>
              <w:t>氨氮（</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2321FA4D">
            <w:pPr>
              <w:pStyle w:val="34"/>
              <w:rPr>
                <w:kern w:val="0"/>
                <w:szCs w:val="21"/>
                <w:lang w:val="zh-CN"/>
              </w:rPr>
            </w:pPr>
            <w:r>
              <w:rPr>
                <w:kern w:val="0"/>
                <w:szCs w:val="21"/>
                <w:lang w:val="zh-CN" w:bidi="ar"/>
              </w:rPr>
              <w:t>21.5</w:t>
            </w:r>
          </w:p>
        </w:tc>
        <w:tc>
          <w:tcPr>
            <w:tcW w:w="845" w:type="dxa"/>
            <w:tcBorders>
              <w:top w:val="single" w:color="auto" w:sz="6" w:space="0"/>
              <w:left w:val="single" w:color="auto" w:sz="6" w:space="0"/>
              <w:bottom w:val="single" w:color="auto" w:sz="6" w:space="0"/>
              <w:right w:val="single" w:color="auto" w:sz="6" w:space="0"/>
            </w:tcBorders>
            <w:vAlign w:val="center"/>
          </w:tcPr>
          <w:p w14:paraId="698C28EC">
            <w:pPr>
              <w:pStyle w:val="34"/>
              <w:rPr>
                <w:kern w:val="0"/>
                <w:szCs w:val="21"/>
                <w:lang w:val="zh-CN"/>
              </w:rPr>
            </w:pPr>
            <w:r>
              <w:rPr>
                <w:kern w:val="0"/>
                <w:szCs w:val="21"/>
                <w:lang w:val="zh-CN" w:bidi="ar"/>
              </w:rPr>
              <w:t>20.2</w:t>
            </w:r>
          </w:p>
        </w:tc>
        <w:tc>
          <w:tcPr>
            <w:tcW w:w="846" w:type="dxa"/>
            <w:tcBorders>
              <w:top w:val="single" w:color="auto" w:sz="6" w:space="0"/>
              <w:left w:val="single" w:color="auto" w:sz="6" w:space="0"/>
              <w:bottom w:val="single" w:color="auto" w:sz="6" w:space="0"/>
              <w:right w:val="single" w:color="auto" w:sz="6" w:space="0"/>
            </w:tcBorders>
            <w:vAlign w:val="center"/>
          </w:tcPr>
          <w:p w14:paraId="410AD47B">
            <w:pPr>
              <w:pStyle w:val="34"/>
              <w:rPr>
                <w:kern w:val="0"/>
                <w:szCs w:val="21"/>
                <w:lang w:val="zh-CN"/>
              </w:rPr>
            </w:pPr>
            <w:r>
              <w:rPr>
                <w:kern w:val="0"/>
                <w:szCs w:val="21"/>
                <w:lang w:val="zh-CN" w:bidi="ar"/>
              </w:rPr>
              <w:t>22.6</w:t>
            </w:r>
          </w:p>
        </w:tc>
        <w:tc>
          <w:tcPr>
            <w:tcW w:w="1091" w:type="dxa"/>
            <w:tcBorders>
              <w:top w:val="single" w:color="auto" w:sz="6" w:space="0"/>
              <w:left w:val="single" w:color="auto" w:sz="6" w:space="0"/>
              <w:bottom w:val="single" w:color="auto" w:sz="6" w:space="0"/>
              <w:right w:val="single" w:color="auto" w:sz="6" w:space="0"/>
            </w:tcBorders>
            <w:vAlign w:val="center"/>
          </w:tcPr>
          <w:p w14:paraId="578637FE">
            <w:pPr>
              <w:pStyle w:val="34"/>
              <w:rPr>
                <w:kern w:val="0"/>
                <w:szCs w:val="21"/>
                <w:lang w:val="zh-CN"/>
              </w:rPr>
            </w:pPr>
            <w:r>
              <w:rPr>
                <w:kern w:val="0"/>
                <w:szCs w:val="21"/>
                <w:lang w:val="zh-CN" w:bidi="ar"/>
              </w:rPr>
              <w:t>21.4</w:t>
            </w:r>
          </w:p>
        </w:tc>
        <w:tc>
          <w:tcPr>
            <w:tcW w:w="823" w:type="dxa"/>
            <w:tcBorders>
              <w:top w:val="single" w:color="auto" w:sz="6" w:space="0"/>
              <w:left w:val="single" w:color="auto" w:sz="6" w:space="0"/>
              <w:bottom w:val="single" w:color="auto" w:sz="6" w:space="0"/>
              <w:right w:val="single" w:color="auto" w:sz="6" w:space="0"/>
            </w:tcBorders>
            <w:vAlign w:val="center"/>
          </w:tcPr>
          <w:p w14:paraId="531EE5C9">
            <w:pPr>
              <w:pStyle w:val="34"/>
              <w:rPr>
                <w:kern w:val="0"/>
                <w:szCs w:val="21"/>
                <w:lang w:val="zh-CN"/>
              </w:rPr>
            </w:pPr>
            <w:r>
              <w:rPr>
                <w:kern w:val="0"/>
                <w:szCs w:val="21"/>
                <w:lang w:val="zh-CN" w:bidi="ar"/>
              </w:rPr>
              <w:t>45</w:t>
            </w:r>
          </w:p>
        </w:tc>
        <w:tc>
          <w:tcPr>
            <w:tcW w:w="764" w:type="dxa"/>
            <w:tcBorders>
              <w:top w:val="single" w:color="auto" w:sz="6" w:space="0"/>
              <w:left w:val="single" w:color="auto" w:sz="6" w:space="0"/>
              <w:bottom w:val="single" w:color="auto" w:sz="6" w:space="0"/>
              <w:right w:val="single" w:color="auto" w:sz="12" w:space="0"/>
            </w:tcBorders>
            <w:vAlign w:val="center"/>
          </w:tcPr>
          <w:p w14:paraId="63623A0B">
            <w:pPr>
              <w:pStyle w:val="34"/>
              <w:rPr>
                <w:kern w:val="0"/>
                <w:szCs w:val="21"/>
                <w:lang w:val="zh-CN"/>
              </w:rPr>
            </w:pPr>
            <w:r>
              <w:rPr>
                <w:rFonts w:hint="eastAsia" w:cs="宋体"/>
                <w:kern w:val="0"/>
                <w:szCs w:val="21"/>
                <w:lang w:val="zh-CN" w:bidi="ar"/>
              </w:rPr>
              <w:t>达标</w:t>
            </w:r>
          </w:p>
        </w:tc>
      </w:tr>
      <w:tr w14:paraId="211327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695C2EFD">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108398B3">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2385B703">
            <w:pPr>
              <w:pStyle w:val="34"/>
              <w:rPr>
                <w:kern w:val="0"/>
                <w:szCs w:val="21"/>
                <w:lang w:val="zh-CN"/>
              </w:rPr>
            </w:pPr>
            <w:r>
              <w:rPr>
                <w:rFonts w:hint="eastAsia" w:cs="宋体"/>
                <w:kern w:val="0"/>
                <w:szCs w:val="21"/>
                <w:lang w:val="zh-CN" w:bidi="ar"/>
              </w:rPr>
              <w:t>总磷（</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5BCAB977">
            <w:pPr>
              <w:pStyle w:val="34"/>
              <w:rPr>
                <w:kern w:val="0"/>
                <w:szCs w:val="21"/>
                <w:lang w:val="zh-CN"/>
              </w:rPr>
            </w:pPr>
            <w:r>
              <w:rPr>
                <w:kern w:val="0"/>
                <w:szCs w:val="21"/>
                <w:lang w:val="zh-CN" w:bidi="ar"/>
              </w:rPr>
              <w:t>2.86</w:t>
            </w:r>
          </w:p>
        </w:tc>
        <w:tc>
          <w:tcPr>
            <w:tcW w:w="845" w:type="dxa"/>
            <w:tcBorders>
              <w:top w:val="single" w:color="auto" w:sz="6" w:space="0"/>
              <w:left w:val="single" w:color="auto" w:sz="6" w:space="0"/>
              <w:bottom w:val="single" w:color="auto" w:sz="6" w:space="0"/>
              <w:right w:val="single" w:color="auto" w:sz="6" w:space="0"/>
            </w:tcBorders>
            <w:vAlign w:val="center"/>
          </w:tcPr>
          <w:p w14:paraId="0B3A0019">
            <w:pPr>
              <w:pStyle w:val="34"/>
              <w:rPr>
                <w:kern w:val="0"/>
                <w:szCs w:val="21"/>
                <w:lang w:val="zh-CN"/>
              </w:rPr>
            </w:pPr>
            <w:r>
              <w:rPr>
                <w:kern w:val="0"/>
                <w:szCs w:val="21"/>
                <w:lang w:val="zh-CN" w:bidi="ar"/>
              </w:rPr>
              <w:t>2.83</w:t>
            </w:r>
          </w:p>
        </w:tc>
        <w:tc>
          <w:tcPr>
            <w:tcW w:w="846" w:type="dxa"/>
            <w:tcBorders>
              <w:top w:val="single" w:color="auto" w:sz="6" w:space="0"/>
              <w:left w:val="single" w:color="auto" w:sz="6" w:space="0"/>
              <w:bottom w:val="single" w:color="auto" w:sz="6" w:space="0"/>
              <w:right w:val="single" w:color="auto" w:sz="6" w:space="0"/>
            </w:tcBorders>
            <w:vAlign w:val="center"/>
          </w:tcPr>
          <w:p w14:paraId="4B2267D8">
            <w:pPr>
              <w:pStyle w:val="34"/>
              <w:rPr>
                <w:kern w:val="0"/>
                <w:szCs w:val="21"/>
                <w:lang w:val="zh-CN"/>
              </w:rPr>
            </w:pPr>
            <w:r>
              <w:rPr>
                <w:kern w:val="0"/>
                <w:szCs w:val="21"/>
                <w:lang w:val="zh-CN" w:bidi="ar"/>
              </w:rPr>
              <w:t>2.80</w:t>
            </w:r>
          </w:p>
        </w:tc>
        <w:tc>
          <w:tcPr>
            <w:tcW w:w="1091" w:type="dxa"/>
            <w:tcBorders>
              <w:top w:val="single" w:color="auto" w:sz="6" w:space="0"/>
              <w:left w:val="single" w:color="auto" w:sz="6" w:space="0"/>
              <w:bottom w:val="single" w:color="auto" w:sz="6" w:space="0"/>
              <w:right w:val="single" w:color="auto" w:sz="6" w:space="0"/>
            </w:tcBorders>
            <w:vAlign w:val="center"/>
          </w:tcPr>
          <w:p w14:paraId="01F69C1E">
            <w:pPr>
              <w:pStyle w:val="34"/>
              <w:rPr>
                <w:kern w:val="0"/>
                <w:szCs w:val="21"/>
                <w:lang w:val="zh-CN"/>
              </w:rPr>
            </w:pPr>
            <w:r>
              <w:rPr>
                <w:kern w:val="0"/>
                <w:szCs w:val="21"/>
                <w:lang w:val="zh-CN" w:bidi="ar"/>
              </w:rPr>
              <w:t>2.83</w:t>
            </w:r>
          </w:p>
        </w:tc>
        <w:tc>
          <w:tcPr>
            <w:tcW w:w="823" w:type="dxa"/>
            <w:tcBorders>
              <w:top w:val="single" w:color="auto" w:sz="6" w:space="0"/>
              <w:left w:val="single" w:color="auto" w:sz="6" w:space="0"/>
              <w:bottom w:val="single" w:color="auto" w:sz="6" w:space="0"/>
              <w:right w:val="single" w:color="auto" w:sz="6" w:space="0"/>
            </w:tcBorders>
            <w:vAlign w:val="center"/>
          </w:tcPr>
          <w:p w14:paraId="6CCFEBC9">
            <w:pPr>
              <w:pStyle w:val="34"/>
              <w:rPr>
                <w:kern w:val="0"/>
                <w:szCs w:val="21"/>
                <w:lang w:val="zh-CN"/>
              </w:rPr>
            </w:pPr>
            <w:r>
              <w:rPr>
                <w:kern w:val="0"/>
                <w:szCs w:val="21"/>
                <w:lang w:val="zh-CN" w:bidi="ar"/>
              </w:rPr>
              <w:t>8</w:t>
            </w:r>
          </w:p>
        </w:tc>
        <w:tc>
          <w:tcPr>
            <w:tcW w:w="764" w:type="dxa"/>
            <w:tcBorders>
              <w:top w:val="single" w:color="auto" w:sz="6" w:space="0"/>
              <w:left w:val="single" w:color="auto" w:sz="6" w:space="0"/>
              <w:bottom w:val="single" w:color="auto" w:sz="6" w:space="0"/>
              <w:right w:val="single" w:color="auto" w:sz="12" w:space="0"/>
            </w:tcBorders>
            <w:vAlign w:val="center"/>
          </w:tcPr>
          <w:p w14:paraId="7F956365">
            <w:pPr>
              <w:pStyle w:val="34"/>
              <w:rPr>
                <w:kern w:val="0"/>
                <w:szCs w:val="21"/>
                <w:lang w:val="zh-CN"/>
              </w:rPr>
            </w:pPr>
            <w:r>
              <w:rPr>
                <w:rFonts w:hint="eastAsia" w:cs="宋体"/>
                <w:kern w:val="0"/>
                <w:szCs w:val="21"/>
                <w:lang w:val="zh-CN" w:bidi="ar"/>
              </w:rPr>
              <w:t>达标</w:t>
            </w:r>
          </w:p>
        </w:tc>
      </w:tr>
      <w:tr w14:paraId="03FD28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76E62024">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756BEE6D">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48A6B46C">
            <w:pPr>
              <w:pStyle w:val="34"/>
              <w:rPr>
                <w:kern w:val="0"/>
                <w:szCs w:val="21"/>
                <w:lang w:val="zh-CN"/>
              </w:rPr>
            </w:pPr>
            <w:r>
              <w:rPr>
                <w:rFonts w:hint="eastAsia" w:cs="宋体"/>
                <w:kern w:val="0"/>
                <w:szCs w:val="21"/>
                <w:lang w:val="zh-CN" w:bidi="ar"/>
              </w:rPr>
              <w:t>总氮（</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3E647192">
            <w:pPr>
              <w:pStyle w:val="34"/>
              <w:rPr>
                <w:kern w:val="0"/>
                <w:szCs w:val="21"/>
                <w:lang w:val="zh-CN"/>
              </w:rPr>
            </w:pPr>
            <w:r>
              <w:rPr>
                <w:kern w:val="0"/>
                <w:szCs w:val="21"/>
                <w:lang w:val="zh-CN" w:bidi="ar"/>
              </w:rPr>
              <w:t>35.0</w:t>
            </w:r>
          </w:p>
        </w:tc>
        <w:tc>
          <w:tcPr>
            <w:tcW w:w="845" w:type="dxa"/>
            <w:tcBorders>
              <w:top w:val="single" w:color="auto" w:sz="6" w:space="0"/>
              <w:left w:val="single" w:color="auto" w:sz="6" w:space="0"/>
              <w:bottom w:val="single" w:color="auto" w:sz="6" w:space="0"/>
              <w:right w:val="single" w:color="auto" w:sz="6" w:space="0"/>
            </w:tcBorders>
            <w:vAlign w:val="center"/>
          </w:tcPr>
          <w:p w14:paraId="2E65BBD1">
            <w:pPr>
              <w:pStyle w:val="34"/>
              <w:rPr>
                <w:kern w:val="0"/>
                <w:szCs w:val="21"/>
                <w:lang w:val="zh-CN"/>
              </w:rPr>
            </w:pPr>
            <w:r>
              <w:rPr>
                <w:kern w:val="0"/>
                <w:szCs w:val="21"/>
                <w:lang w:val="zh-CN" w:bidi="ar"/>
              </w:rPr>
              <w:t>36.1</w:t>
            </w:r>
          </w:p>
        </w:tc>
        <w:tc>
          <w:tcPr>
            <w:tcW w:w="846" w:type="dxa"/>
            <w:tcBorders>
              <w:top w:val="single" w:color="auto" w:sz="6" w:space="0"/>
              <w:left w:val="single" w:color="auto" w:sz="6" w:space="0"/>
              <w:bottom w:val="single" w:color="auto" w:sz="6" w:space="0"/>
              <w:right w:val="single" w:color="auto" w:sz="6" w:space="0"/>
            </w:tcBorders>
            <w:vAlign w:val="center"/>
          </w:tcPr>
          <w:p w14:paraId="0FE3093C">
            <w:pPr>
              <w:pStyle w:val="34"/>
              <w:rPr>
                <w:kern w:val="0"/>
                <w:szCs w:val="21"/>
                <w:lang w:val="zh-CN"/>
              </w:rPr>
            </w:pPr>
            <w:r>
              <w:rPr>
                <w:kern w:val="0"/>
                <w:szCs w:val="21"/>
                <w:lang w:val="zh-CN" w:bidi="ar"/>
              </w:rPr>
              <w:t>35.9</w:t>
            </w:r>
          </w:p>
        </w:tc>
        <w:tc>
          <w:tcPr>
            <w:tcW w:w="1091" w:type="dxa"/>
            <w:tcBorders>
              <w:top w:val="single" w:color="auto" w:sz="6" w:space="0"/>
              <w:left w:val="single" w:color="auto" w:sz="6" w:space="0"/>
              <w:bottom w:val="single" w:color="auto" w:sz="6" w:space="0"/>
              <w:right w:val="single" w:color="auto" w:sz="6" w:space="0"/>
            </w:tcBorders>
            <w:vAlign w:val="center"/>
          </w:tcPr>
          <w:p w14:paraId="13E60124">
            <w:pPr>
              <w:pStyle w:val="34"/>
              <w:rPr>
                <w:kern w:val="0"/>
                <w:szCs w:val="21"/>
                <w:lang w:val="zh-CN"/>
              </w:rPr>
            </w:pPr>
            <w:r>
              <w:rPr>
                <w:kern w:val="0"/>
                <w:szCs w:val="21"/>
                <w:lang w:val="zh-CN" w:bidi="ar"/>
              </w:rPr>
              <w:t>35.7</w:t>
            </w:r>
          </w:p>
        </w:tc>
        <w:tc>
          <w:tcPr>
            <w:tcW w:w="823" w:type="dxa"/>
            <w:tcBorders>
              <w:top w:val="single" w:color="auto" w:sz="6" w:space="0"/>
              <w:left w:val="single" w:color="auto" w:sz="6" w:space="0"/>
              <w:bottom w:val="single" w:color="auto" w:sz="6" w:space="0"/>
              <w:right w:val="single" w:color="auto" w:sz="6" w:space="0"/>
            </w:tcBorders>
            <w:vAlign w:val="center"/>
          </w:tcPr>
          <w:p w14:paraId="79C67A59">
            <w:pPr>
              <w:pStyle w:val="34"/>
              <w:rPr>
                <w:kern w:val="0"/>
                <w:szCs w:val="21"/>
                <w:lang w:val="zh-CN"/>
              </w:rPr>
            </w:pPr>
            <w:r>
              <w:rPr>
                <w:kern w:val="0"/>
                <w:szCs w:val="21"/>
                <w:lang w:val="zh-CN" w:bidi="ar"/>
              </w:rPr>
              <w:t>70</w:t>
            </w:r>
          </w:p>
        </w:tc>
        <w:tc>
          <w:tcPr>
            <w:tcW w:w="764" w:type="dxa"/>
            <w:tcBorders>
              <w:top w:val="single" w:color="auto" w:sz="6" w:space="0"/>
              <w:left w:val="single" w:color="auto" w:sz="6" w:space="0"/>
              <w:bottom w:val="single" w:color="auto" w:sz="6" w:space="0"/>
              <w:right w:val="single" w:color="auto" w:sz="12" w:space="0"/>
            </w:tcBorders>
            <w:vAlign w:val="center"/>
          </w:tcPr>
          <w:p w14:paraId="4E5091FB">
            <w:pPr>
              <w:pStyle w:val="34"/>
              <w:rPr>
                <w:kern w:val="0"/>
                <w:szCs w:val="21"/>
                <w:lang w:val="zh-CN"/>
              </w:rPr>
            </w:pPr>
            <w:r>
              <w:rPr>
                <w:rFonts w:hint="eastAsia" w:cs="宋体"/>
                <w:kern w:val="0"/>
                <w:szCs w:val="21"/>
                <w:lang w:val="zh-CN" w:bidi="ar"/>
              </w:rPr>
              <w:t>达标</w:t>
            </w:r>
          </w:p>
        </w:tc>
      </w:tr>
      <w:tr w14:paraId="754083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22084418">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32291507">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6D186BE2">
            <w:pPr>
              <w:pStyle w:val="34"/>
              <w:rPr>
                <w:kern w:val="0"/>
                <w:szCs w:val="21"/>
                <w:lang w:val="zh-CN"/>
              </w:rPr>
            </w:pPr>
            <w:r>
              <w:rPr>
                <w:rFonts w:hint="eastAsia" w:cs="宋体"/>
                <w:kern w:val="0"/>
                <w:szCs w:val="21"/>
                <w:lang w:val="zh-CN" w:bidi="ar"/>
              </w:rPr>
              <w:t>石油类（</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5CEF9BBC">
            <w:pPr>
              <w:pStyle w:val="34"/>
              <w:rPr>
                <w:kern w:val="0"/>
                <w:szCs w:val="21"/>
                <w:lang w:val="zh-CN"/>
              </w:rPr>
            </w:pPr>
            <w:r>
              <w:rPr>
                <w:kern w:val="0"/>
                <w:szCs w:val="21"/>
                <w:lang w:val="zh-CN" w:bidi="ar"/>
              </w:rPr>
              <w:t>0.21</w:t>
            </w:r>
          </w:p>
        </w:tc>
        <w:tc>
          <w:tcPr>
            <w:tcW w:w="845" w:type="dxa"/>
            <w:tcBorders>
              <w:top w:val="single" w:color="auto" w:sz="6" w:space="0"/>
              <w:left w:val="single" w:color="auto" w:sz="6" w:space="0"/>
              <w:bottom w:val="single" w:color="auto" w:sz="6" w:space="0"/>
              <w:right w:val="single" w:color="auto" w:sz="6" w:space="0"/>
            </w:tcBorders>
            <w:vAlign w:val="center"/>
          </w:tcPr>
          <w:p w14:paraId="6F366505">
            <w:pPr>
              <w:pStyle w:val="34"/>
              <w:rPr>
                <w:kern w:val="0"/>
                <w:szCs w:val="21"/>
                <w:lang w:val="zh-CN"/>
              </w:rPr>
            </w:pPr>
            <w:r>
              <w:rPr>
                <w:kern w:val="0"/>
                <w:szCs w:val="21"/>
                <w:lang w:val="zh-CN" w:bidi="ar"/>
              </w:rPr>
              <w:t>0.29</w:t>
            </w:r>
          </w:p>
        </w:tc>
        <w:tc>
          <w:tcPr>
            <w:tcW w:w="846" w:type="dxa"/>
            <w:tcBorders>
              <w:top w:val="single" w:color="auto" w:sz="6" w:space="0"/>
              <w:left w:val="single" w:color="auto" w:sz="6" w:space="0"/>
              <w:bottom w:val="single" w:color="auto" w:sz="6" w:space="0"/>
              <w:right w:val="single" w:color="auto" w:sz="6" w:space="0"/>
            </w:tcBorders>
            <w:vAlign w:val="center"/>
          </w:tcPr>
          <w:p w14:paraId="14CE55F9">
            <w:pPr>
              <w:pStyle w:val="34"/>
              <w:rPr>
                <w:kern w:val="0"/>
                <w:szCs w:val="21"/>
                <w:lang w:val="zh-CN"/>
              </w:rPr>
            </w:pPr>
            <w:r>
              <w:rPr>
                <w:kern w:val="0"/>
                <w:szCs w:val="21"/>
                <w:lang w:val="zh-CN" w:bidi="ar"/>
              </w:rPr>
              <w:t>0.24</w:t>
            </w:r>
          </w:p>
        </w:tc>
        <w:tc>
          <w:tcPr>
            <w:tcW w:w="1091" w:type="dxa"/>
            <w:tcBorders>
              <w:top w:val="single" w:color="auto" w:sz="6" w:space="0"/>
              <w:left w:val="single" w:color="auto" w:sz="6" w:space="0"/>
              <w:bottom w:val="single" w:color="auto" w:sz="6" w:space="0"/>
              <w:right w:val="single" w:color="auto" w:sz="6" w:space="0"/>
            </w:tcBorders>
            <w:vAlign w:val="center"/>
          </w:tcPr>
          <w:p w14:paraId="4AC4ED53">
            <w:pPr>
              <w:pStyle w:val="34"/>
              <w:rPr>
                <w:kern w:val="0"/>
                <w:szCs w:val="21"/>
                <w:lang w:val="zh-CN"/>
              </w:rPr>
            </w:pPr>
            <w:r>
              <w:rPr>
                <w:kern w:val="0"/>
                <w:szCs w:val="21"/>
                <w:lang w:val="zh-CN" w:bidi="ar"/>
              </w:rPr>
              <w:t>0.25</w:t>
            </w:r>
          </w:p>
        </w:tc>
        <w:tc>
          <w:tcPr>
            <w:tcW w:w="823" w:type="dxa"/>
            <w:tcBorders>
              <w:top w:val="single" w:color="auto" w:sz="6" w:space="0"/>
              <w:left w:val="single" w:color="auto" w:sz="6" w:space="0"/>
              <w:bottom w:val="single" w:color="auto" w:sz="6" w:space="0"/>
              <w:right w:val="single" w:color="auto" w:sz="6" w:space="0"/>
            </w:tcBorders>
            <w:vAlign w:val="center"/>
          </w:tcPr>
          <w:p w14:paraId="7FD16802">
            <w:pPr>
              <w:pStyle w:val="34"/>
              <w:rPr>
                <w:kern w:val="0"/>
                <w:szCs w:val="21"/>
                <w:lang w:val="zh-CN"/>
              </w:rPr>
            </w:pPr>
            <w:r>
              <w:rPr>
                <w:kern w:val="0"/>
                <w:szCs w:val="21"/>
                <w:lang w:val="zh-CN" w:bidi="ar"/>
              </w:rPr>
              <w:t>15</w:t>
            </w:r>
          </w:p>
        </w:tc>
        <w:tc>
          <w:tcPr>
            <w:tcW w:w="764" w:type="dxa"/>
            <w:tcBorders>
              <w:top w:val="single" w:color="auto" w:sz="6" w:space="0"/>
              <w:left w:val="single" w:color="auto" w:sz="6" w:space="0"/>
              <w:bottom w:val="single" w:color="auto" w:sz="6" w:space="0"/>
              <w:right w:val="single" w:color="auto" w:sz="12" w:space="0"/>
            </w:tcBorders>
            <w:vAlign w:val="center"/>
          </w:tcPr>
          <w:p w14:paraId="1F901348">
            <w:pPr>
              <w:pStyle w:val="34"/>
              <w:rPr>
                <w:kern w:val="0"/>
                <w:szCs w:val="21"/>
                <w:lang w:val="zh-CN"/>
              </w:rPr>
            </w:pPr>
            <w:r>
              <w:rPr>
                <w:rFonts w:hint="eastAsia" w:cs="宋体"/>
                <w:kern w:val="0"/>
                <w:szCs w:val="21"/>
                <w:lang w:val="zh-CN" w:bidi="ar"/>
              </w:rPr>
              <w:t>达标</w:t>
            </w:r>
          </w:p>
        </w:tc>
      </w:tr>
      <w:tr w14:paraId="4D317F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46F07804">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123919AE">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339AF517">
            <w:pPr>
              <w:pStyle w:val="34"/>
              <w:rPr>
                <w:kern w:val="0"/>
                <w:szCs w:val="21"/>
                <w:lang w:val="zh-CN"/>
              </w:rPr>
            </w:pPr>
            <w:r>
              <w:rPr>
                <w:rFonts w:hint="eastAsia" w:cs="宋体"/>
                <w:kern w:val="0"/>
                <w:szCs w:val="21"/>
                <w:lang w:val="zh-CN" w:bidi="ar"/>
              </w:rPr>
              <w:t>挥发酚（</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5AB934C4">
            <w:pPr>
              <w:pStyle w:val="34"/>
              <w:rPr>
                <w:kern w:val="0"/>
                <w:szCs w:val="21"/>
                <w:lang w:val="zh-CN"/>
              </w:rPr>
            </w:pPr>
            <w:r>
              <w:rPr>
                <w:kern w:val="0"/>
                <w:szCs w:val="21"/>
                <w:lang w:val="zh-CN" w:bidi="ar"/>
              </w:rPr>
              <w:t>0.022</w:t>
            </w:r>
          </w:p>
        </w:tc>
        <w:tc>
          <w:tcPr>
            <w:tcW w:w="845" w:type="dxa"/>
            <w:tcBorders>
              <w:top w:val="single" w:color="auto" w:sz="6" w:space="0"/>
              <w:left w:val="single" w:color="auto" w:sz="6" w:space="0"/>
              <w:bottom w:val="single" w:color="auto" w:sz="6" w:space="0"/>
              <w:right w:val="single" w:color="auto" w:sz="6" w:space="0"/>
            </w:tcBorders>
            <w:vAlign w:val="center"/>
          </w:tcPr>
          <w:p w14:paraId="0E2A3300">
            <w:pPr>
              <w:pStyle w:val="34"/>
              <w:rPr>
                <w:kern w:val="0"/>
                <w:szCs w:val="21"/>
                <w:lang w:val="zh-CN"/>
              </w:rPr>
            </w:pPr>
            <w:r>
              <w:rPr>
                <w:kern w:val="0"/>
                <w:szCs w:val="21"/>
                <w:lang w:val="zh-CN" w:bidi="ar"/>
              </w:rPr>
              <w:t>0.022</w:t>
            </w:r>
          </w:p>
        </w:tc>
        <w:tc>
          <w:tcPr>
            <w:tcW w:w="846" w:type="dxa"/>
            <w:tcBorders>
              <w:top w:val="single" w:color="auto" w:sz="6" w:space="0"/>
              <w:left w:val="single" w:color="auto" w:sz="6" w:space="0"/>
              <w:bottom w:val="single" w:color="auto" w:sz="6" w:space="0"/>
              <w:right w:val="single" w:color="auto" w:sz="6" w:space="0"/>
            </w:tcBorders>
            <w:vAlign w:val="center"/>
          </w:tcPr>
          <w:p w14:paraId="03F33AC8">
            <w:pPr>
              <w:pStyle w:val="34"/>
              <w:rPr>
                <w:kern w:val="0"/>
                <w:szCs w:val="21"/>
                <w:lang w:val="zh-CN"/>
              </w:rPr>
            </w:pPr>
            <w:r>
              <w:rPr>
                <w:kern w:val="0"/>
                <w:szCs w:val="21"/>
                <w:lang w:val="zh-CN" w:bidi="ar"/>
              </w:rPr>
              <w:t>0.022</w:t>
            </w:r>
          </w:p>
        </w:tc>
        <w:tc>
          <w:tcPr>
            <w:tcW w:w="1091" w:type="dxa"/>
            <w:tcBorders>
              <w:top w:val="single" w:color="auto" w:sz="6" w:space="0"/>
              <w:left w:val="single" w:color="auto" w:sz="6" w:space="0"/>
              <w:bottom w:val="single" w:color="auto" w:sz="6" w:space="0"/>
              <w:right w:val="single" w:color="auto" w:sz="6" w:space="0"/>
            </w:tcBorders>
            <w:vAlign w:val="center"/>
          </w:tcPr>
          <w:p w14:paraId="2522AB7A">
            <w:pPr>
              <w:pStyle w:val="34"/>
              <w:rPr>
                <w:kern w:val="0"/>
                <w:szCs w:val="21"/>
                <w:lang w:val="zh-CN"/>
              </w:rPr>
            </w:pPr>
            <w:r>
              <w:rPr>
                <w:kern w:val="0"/>
                <w:szCs w:val="21"/>
                <w:lang w:val="zh-CN" w:bidi="ar"/>
              </w:rPr>
              <w:t>0.022</w:t>
            </w:r>
          </w:p>
        </w:tc>
        <w:tc>
          <w:tcPr>
            <w:tcW w:w="823" w:type="dxa"/>
            <w:tcBorders>
              <w:top w:val="single" w:color="auto" w:sz="6" w:space="0"/>
              <w:left w:val="single" w:color="auto" w:sz="6" w:space="0"/>
              <w:bottom w:val="single" w:color="auto" w:sz="6" w:space="0"/>
              <w:right w:val="single" w:color="auto" w:sz="6" w:space="0"/>
            </w:tcBorders>
            <w:vAlign w:val="center"/>
          </w:tcPr>
          <w:p w14:paraId="3E19303A">
            <w:pPr>
              <w:pStyle w:val="34"/>
              <w:rPr>
                <w:kern w:val="0"/>
                <w:szCs w:val="21"/>
                <w:lang w:val="zh-CN"/>
              </w:rPr>
            </w:pPr>
            <w:r>
              <w:rPr>
                <w:kern w:val="0"/>
                <w:szCs w:val="21"/>
                <w:lang w:val="zh-CN" w:bidi="ar"/>
              </w:rPr>
              <w:t>1</w:t>
            </w:r>
          </w:p>
        </w:tc>
        <w:tc>
          <w:tcPr>
            <w:tcW w:w="764" w:type="dxa"/>
            <w:tcBorders>
              <w:top w:val="single" w:color="auto" w:sz="6" w:space="0"/>
              <w:left w:val="single" w:color="auto" w:sz="6" w:space="0"/>
              <w:bottom w:val="single" w:color="auto" w:sz="6" w:space="0"/>
              <w:right w:val="single" w:color="auto" w:sz="12" w:space="0"/>
            </w:tcBorders>
            <w:vAlign w:val="center"/>
          </w:tcPr>
          <w:p w14:paraId="675BF0CB">
            <w:pPr>
              <w:pStyle w:val="34"/>
              <w:rPr>
                <w:kern w:val="0"/>
                <w:szCs w:val="21"/>
                <w:lang w:val="zh-CN"/>
              </w:rPr>
            </w:pPr>
            <w:r>
              <w:rPr>
                <w:rFonts w:hint="eastAsia" w:cs="宋体"/>
                <w:kern w:val="0"/>
                <w:szCs w:val="21"/>
                <w:lang w:val="zh-CN" w:bidi="ar"/>
              </w:rPr>
              <w:t>达标</w:t>
            </w:r>
          </w:p>
        </w:tc>
      </w:tr>
      <w:tr w14:paraId="21F0DD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7EFFBB92">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33CBDEC7">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2F2E532F">
            <w:pPr>
              <w:pStyle w:val="34"/>
              <w:rPr>
                <w:kern w:val="0"/>
                <w:szCs w:val="21"/>
                <w:lang w:val="zh-CN"/>
              </w:rPr>
            </w:pPr>
            <w:r>
              <w:rPr>
                <w:rFonts w:hint="eastAsia" w:cs="宋体"/>
                <w:kern w:val="0"/>
                <w:szCs w:val="21"/>
                <w:lang w:val="zh-CN" w:bidi="ar"/>
              </w:rPr>
              <w:t>总氰化物（</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1F39F237">
            <w:pPr>
              <w:pStyle w:val="34"/>
              <w:rPr>
                <w:kern w:val="0"/>
                <w:szCs w:val="21"/>
                <w:lang w:val="zh-CN"/>
              </w:rPr>
            </w:pPr>
            <w:r>
              <w:rPr>
                <w:rFonts w:hint="eastAsia" w:cs="宋体"/>
                <w:kern w:val="0"/>
                <w:szCs w:val="21"/>
                <w:lang w:val="zh-CN" w:bidi="ar"/>
              </w:rPr>
              <w:t>＜</w:t>
            </w:r>
            <w:r>
              <w:rPr>
                <w:kern w:val="0"/>
                <w:szCs w:val="21"/>
                <w:lang w:val="zh-CN" w:bidi="ar"/>
              </w:rPr>
              <w:t>0.004</w:t>
            </w:r>
          </w:p>
        </w:tc>
        <w:tc>
          <w:tcPr>
            <w:tcW w:w="845" w:type="dxa"/>
            <w:tcBorders>
              <w:top w:val="single" w:color="auto" w:sz="6" w:space="0"/>
              <w:left w:val="single" w:color="auto" w:sz="6" w:space="0"/>
              <w:bottom w:val="single" w:color="auto" w:sz="6" w:space="0"/>
              <w:right w:val="single" w:color="auto" w:sz="6" w:space="0"/>
            </w:tcBorders>
            <w:vAlign w:val="center"/>
          </w:tcPr>
          <w:p w14:paraId="0D0DEE0B">
            <w:pPr>
              <w:pStyle w:val="34"/>
              <w:rPr>
                <w:kern w:val="0"/>
                <w:szCs w:val="21"/>
                <w:lang w:val="zh-CN"/>
              </w:rPr>
            </w:pPr>
            <w:r>
              <w:rPr>
                <w:rFonts w:hint="eastAsia" w:cs="宋体"/>
                <w:kern w:val="0"/>
                <w:szCs w:val="21"/>
                <w:lang w:val="zh-CN" w:bidi="ar"/>
              </w:rPr>
              <w:t>＜</w:t>
            </w:r>
            <w:r>
              <w:rPr>
                <w:kern w:val="0"/>
                <w:szCs w:val="21"/>
                <w:lang w:val="zh-CN" w:bidi="ar"/>
              </w:rPr>
              <w:t>0.004</w:t>
            </w:r>
          </w:p>
        </w:tc>
        <w:tc>
          <w:tcPr>
            <w:tcW w:w="846" w:type="dxa"/>
            <w:tcBorders>
              <w:top w:val="single" w:color="auto" w:sz="6" w:space="0"/>
              <w:left w:val="single" w:color="auto" w:sz="6" w:space="0"/>
              <w:bottom w:val="single" w:color="auto" w:sz="6" w:space="0"/>
              <w:right w:val="single" w:color="auto" w:sz="6" w:space="0"/>
            </w:tcBorders>
            <w:vAlign w:val="center"/>
          </w:tcPr>
          <w:p w14:paraId="6A71C91A">
            <w:pPr>
              <w:pStyle w:val="34"/>
              <w:rPr>
                <w:kern w:val="0"/>
                <w:szCs w:val="21"/>
                <w:lang w:val="zh-CN"/>
              </w:rPr>
            </w:pPr>
            <w:r>
              <w:rPr>
                <w:rFonts w:hint="eastAsia" w:cs="宋体"/>
                <w:kern w:val="0"/>
                <w:szCs w:val="21"/>
                <w:lang w:val="zh-CN" w:bidi="ar"/>
              </w:rPr>
              <w:t>＜</w:t>
            </w:r>
            <w:r>
              <w:rPr>
                <w:kern w:val="0"/>
                <w:szCs w:val="21"/>
                <w:lang w:val="zh-CN" w:bidi="ar"/>
              </w:rPr>
              <w:t>0.004</w:t>
            </w:r>
          </w:p>
        </w:tc>
        <w:tc>
          <w:tcPr>
            <w:tcW w:w="1091" w:type="dxa"/>
            <w:tcBorders>
              <w:top w:val="single" w:color="auto" w:sz="6" w:space="0"/>
              <w:left w:val="single" w:color="auto" w:sz="6" w:space="0"/>
              <w:bottom w:val="single" w:color="auto" w:sz="6" w:space="0"/>
              <w:right w:val="single" w:color="auto" w:sz="6" w:space="0"/>
            </w:tcBorders>
            <w:vAlign w:val="center"/>
          </w:tcPr>
          <w:p w14:paraId="2A3CD1A0">
            <w:pPr>
              <w:pStyle w:val="34"/>
              <w:rPr>
                <w:kern w:val="0"/>
                <w:szCs w:val="21"/>
                <w:lang w:val="zh-CN"/>
              </w:rPr>
            </w:pPr>
            <w:r>
              <w:rPr>
                <w:rFonts w:hint="eastAsia" w:cs="宋体"/>
                <w:kern w:val="0"/>
                <w:szCs w:val="21"/>
                <w:lang w:val="zh-CN" w:bidi="ar"/>
              </w:rPr>
              <w:t>＜</w:t>
            </w:r>
            <w:r>
              <w:rPr>
                <w:kern w:val="0"/>
                <w:szCs w:val="21"/>
                <w:lang w:val="zh-CN" w:bidi="ar"/>
              </w:rPr>
              <w:t>0.004</w:t>
            </w:r>
          </w:p>
        </w:tc>
        <w:tc>
          <w:tcPr>
            <w:tcW w:w="823" w:type="dxa"/>
            <w:tcBorders>
              <w:top w:val="single" w:color="auto" w:sz="6" w:space="0"/>
              <w:left w:val="single" w:color="auto" w:sz="6" w:space="0"/>
              <w:bottom w:val="single" w:color="auto" w:sz="6" w:space="0"/>
              <w:right w:val="single" w:color="auto" w:sz="6" w:space="0"/>
            </w:tcBorders>
            <w:vAlign w:val="center"/>
          </w:tcPr>
          <w:p w14:paraId="7A429F2B">
            <w:pPr>
              <w:pStyle w:val="34"/>
              <w:rPr>
                <w:kern w:val="0"/>
                <w:szCs w:val="21"/>
                <w:lang w:val="zh-CN"/>
              </w:rPr>
            </w:pPr>
            <w:r>
              <w:rPr>
                <w:kern w:val="0"/>
                <w:szCs w:val="21"/>
                <w:lang w:val="zh-CN" w:bidi="ar"/>
              </w:rPr>
              <w:t>0.5</w:t>
            </w:r>
          </w:p>
        </w:tc>
        <w:tc>
          <w:tcPr>
            <w:tcW w:w="764" w:type="dxa"/>
            <w:tcBorders>
              <w:top w:val="single" w:color="auto" w:sz="6" w:space="0"/>
              <w:left w:val="single" w:color="auto" w:sz="6" w:space="0"/>
              <w:bottom w:val="single" w:color="auto" w:sz="6" w:space="0"/>
              <w:right w:val="single" w:color="auto" w:sz="12" w:space="0"/>
            </w:tcBorders>
            <w:vAlign w:val="center"/>
          </w:tcPr>
          <w:p w14:paraId="68E12FBA">
            <w:pPr>
              <w:pStyle w:val="34"/>
              <w:rPr>
                <w:kern w:val="0"/>
                <w:szCs w:val="21"/>
                <w:lang w:val="zh-CN"/>
              </w:rPr>
            </w:pPr>
            <w:r>
              <w:rPr>
                <w:rFonts w:hint="eastAsia" w:cs="宋体"/>
                <w:kern w:val="0"/>
                <w:szCs w:val="21"/>
                <w:lang w:val="zh-CN" w:bidi="ar"/>
              </w:rPr>
              <w:t>达标</w:t>
            </w:r>
          </w:p>
        </w:tc>
      </w:tr>
      <w:tr w14:paraId="14B4AE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30628CD9">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4FC237D3">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68E46F12">
            <w:pPr>
              <w:pStyle w:val="34"/>
              <w:rPr>
                <w:kern w:val="0"/>
                <w:szCs w:val="21"/>
                <w:lang w:val="zh-CN"/>
              </w:rPr>
            </w:pPr>
            <w:r>
              <w:rPr>
                <w:rFonts w:hint="eastAsia" w:cs="宋体"/>
                <w:kern w:val="0"/>
                <w:szCs w:val="21"/>
                <w:lang w:val="zh-CN" w:bidi="ar"/>
              </w:rPr>
              <w:t>硫化物（</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1E85E214">
            <w:pPr>
              <w:pStyle w:val="34"/>
              <w:rPr>
                <w:kern w:val="0"/>
                <w:szCs w:val="21"/>
                <w:lang w:val="zh-CN"/>
              </w:rPr>
            </w:pPr>
            <w:r>
              <w:rPr>
                <w:rFonts w:hint="eastAsia" w:cs="宋体"/>
                <w:kern w:val="0"/>
                <w:szCs w:val="21"/>
                <w:lang w:val="zh-CN" w:bidi="ar"/>
              </w:rPr>
              <w:t>＜</w:t>
            </w:r>
            <w:r>
              <w:rPr>
                <w:kern w:val="0"/>
                <w:szCs w:val="21"/>
                <w:lang w:val="zh-CN" w:bidi="ar"/>
              </w:rPr>
              <w:t>0.01</w:t>
            </w:r>
          </w:p>
        </w:tc>
        <w:tc>
          <w:tcPr>
            <w:tcW w:w="845" w:type="dxa"/>
            <w:tcBorders>
              <w:top w:val="single" w:color="auto" w:sz="6" w:space="0"/>
              <w:left w:val="single" w:color="auto" w:sz="6" w:space="0"/>
              <w:bottom w:val="single" w:color="auto" w:sz="6" w:space="0"/>
              <w:right w:val="single" w:color="auto" w:sz="6" w:space="0"/>
            </w:tcBorders>
            <w:vAlign w:val="center"/>
          </w:tcPr>
          <w:p w14:paraId="113ED942">
            <w:pPr>
              <w:pStyle w:val="34"/>
              <w:rPr>
                <w:kern w:val="0"/>
                <w:szCs w:val="21"/>
                <w:lang w:val="zh-CN"/>
              </w:rPr>
            </w:pPr>
            <w:r>
              <w:rPr>
                <w:rFonts w:hint="eastAsia" w:cs="宋体"/>
                <w:kern w:val="0"/>
                <w:szCs w:val="21"/>
                <w:lang w:val="zh-CN" w:bidi="ar"/>
              </w:rPr>
              <w:t>＜</w:t>
            </w:r>
            <w:r>
              <w:rPr>
                <w:kern w:val="0"/>
                <w:szCs w:val="21"/>
                <w:lang w:val="zh-CN" w:bidi="ar"/>
              </w:rPr>
              <w:t>0.01</w:t>
            </w:r>
          </w:p>
        </w:tc>
        <w:tc>
          <w:tcPr>
            <w:tcW w:w="846" w:type="dxa"/>
            <w:tcBorders>
              <w:top w:val="single" w:color="auto" w:sz="6" w:space="0"/>
              <w:left w:val="single" w:color="auto" w:sz="6" w:space="0"/>
              <w:bottom w:val="single" w:color="auto" w:sz="6" w:space="0"/>
              <w:right w:val="single" w:color="auto" w:sz="6" w:space="0"/>
            </w:tcBorders>
            <w:vAlign w:val="center"/>
          </w:tcPr>
          <w:p w14:paraId="33217119">
            <w:pPr>
              <w:pStyle w:val="34"/>
              <w:rPr>
                <w:kern w:val="0"/>
                <w:szCs w:val="21"/>
                <w:lang w:val="zh-CN"/>
              </w:rPr>
            </w:pPr>
            <w:r>
              <w:rPr>
                <w:rFonts w:hint="eastAsia" w:cs="宋体"/>
                <w:kern w:val="0"/>
                <w:szCs w:val="21"/>
                <w:lang w:val="zh-CN" w:bidi="ar"/>
              </w:rPr>
              <w:t>＜</w:t>
            </w:r>
            <w:r>
              <w:rPr>
                <w:kern w:val="0"/>
                <w:szCs w:val="21"/>
                <w:lang w:val="zh-CN" w:bidi="ar"/>
              </w:rPr>
              <w:t>0.01</w:t>
            </w:r>
          </w:p>
        </w:tc>
        <w:tc>
          <w:tcPr>
            <w:tcW w:w="1091" w:type="dxa"/>
            <w:tcBorders>
              <w:top w:val="single" w:color="auto" w:sz="6" w:space="0"/>
              <w:left w:val="single" w:color="auto" w:sz="6" w:space="0"/>
              <w:bottom w:val="single" w:color="auto" w:sz="6" w:space="0"/>
              <w:right w:val="single" w:color="auto" w:sz="6" w:space="0"/>
            </w:tcBorders>
            <w:vAlign w:val="center"/>
          </w:tcPr>
          <w:p w14:paraId="24FCA7CC">
            <w:pPr>
              <w:pStyle w:val="34"/>
              <w:rPr>
                <w:kern w:val="0"/>
                <w:szCs w:val="21"/>
                <w:lang w:val="zh-CN"/>
              </w:rPr>
            </w:pPr>
            <w:r>
              <w:rPr>
                <w:rFonts w:hint="eastAsia" w:cs="宋体"/>
                <w:kern w:val="0"/>
                <w:szCs w:val="21"/>
                <w:lang w:val="zh-CN" w:bidi="ar"/>
              </w:rPr>
              <w:t>＜</w:t>
            </w:r>
            <w:r>
              <w:rPr>
                <w:kern w:val="0"/>
                <w:szCs w:val="21"/>
                <w:lang w:val="zh-CN" w:bidi="ar"/>
              </w:rPr>
              <w:t>0.01</w:t>
            </w:r>
          </w:p>
        </w:tc>
        <w:tc>
          <w:tcPr>
            <w:tcW w:w="823" w:type="dxa"/>
            <w:tcBorders>
              <w:top w:val="single" w:color="auto" w:sz="6" w:space="0"/>
              <w:left w:val="single" w:color="auto" w:sz="6" w:space="0"/>
              <w:bottom w:val="single" w:color="auto" w:sz="6" w:space="0"/>
              <w:right w:val="single" w:color="auto" w:sz="6" w:space="0"/>
            </w:tcBorders>
            <w:vAlign w:val="center"/>
          </w:tcPr>
          <w:p w14:paraId="0BBDFD2D">
            <w:pPr>
              <w:pStyle w:val="34"/>
              <w:rPr>
                <w:kern w:val="0"/>
                <w:szCs w:val="21"/>
                <w:lang w:val="zh-CN"/>
              </w:rPr>
            </w:pPr>
            <w:r>
              <w:rPr>
                <w:kern w:val="0"/>
                <w:szCs w:val="21"/>
                <w:lang w:val="zh-CN" w:bidi="ar"/>
              </w:rPr>
              <w:t>1</w:t>
            </w:r>
          </w:p>
        </w:tc>
        <w:tc>
          <w:tcPr>
            <w:tcW w:w="764" w:type="dxa"/>
            <w:tcBorders>
              <w:top w:val="single" w:color="auto" w:sz="6" w:space="0"/>
              <w:left w:val="single" w:color="auto" w:sz="6" w:space="0"/>
              <w:bottom w:val="single" w:color="auto" w:sz="6" w:space="0"/>
              <w:right w:val="single" w:color="auto" w:sz="12" w:space="0"/>
            </w:tcBorders>
            <w:vAlign w:val="center"/>
          </w:tcPr>
          <w:p w14:paraId="12A66671">
            <w:pPr>
              <w:pStyle w:val="34"/>
              <w:rPr>
                <w:kern w:val="0"/>
                <w:szCs w:val="21"/>
                <w:lang w:val="zh-CN"/>
              </w:rPr>
            </w:pPr>
            <w:r>
              <w:rPr>
                <w:rFonts w:hint="eastAsia" w:cs="宋体"/>
                <w:kern w:val="0"/>
                <w:szCs w:val="21"/>
                <w:lang w:val="zh-CN" w:bidi="ar"/>
              </w:rPr>
              <w:t>达标</w:t>
            </w:r>
          </w:p>
        </w:tc>
      </w:tr>
      <w:tr w14:paraId="6C703D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728EC098">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697F6926">
            <w:pPr>
              <w:pStyle w:val="34"/>
              <w:rPr>
                <w:sz w:val="20"/>
                <w:szCs w:val="20"/>
              </w:rPr>
            </w:pPr>
          </w:p>
        </w:tc>
        <w:tc>
          <w:tcPr>
            <w:tcW w:w="1542" w:type="dxa"/>
            <w:tcBorders>
              <w:top w:val="single" w:color="auto" w:sz="6" w:space="0"/>
              <w:left w:val="single" w:color="auto" w:sz="6" w:space="0"/>
              <w:bottom w:val="single" w:color="auto" w:sz="12" w:space="0"/>
              <w:right w:val="single" w:color="auto" w:sz="6" w:space="0"/>
            </w:tcBorders>
            <w:vAlign w:val="center"/>
          </w:tcPr>
          <w:p w14:paraId="57F1C03A">
            <w:pPr>
              <w:pStyle w:val="34"/>
              <w:rPr>
                <w:kern w:val="0"/>
                <w:szCs w:val="21"/>
                <w:lang w:val="zh-CN"/>
              </w:rPr>
            </w:pPr>
            <w:r>
              <w:rPr>
                <w:rFonts w:hint="eastAsia" w:cs="宋体"/>
                <w:kern w:val="0"/>
                <w:szCs w:val="21"/>
                <w:lang w:val="zh-CN" w:bidi="ar"/>
              </w:rPr>
              <w:t>氟化物（</w:t>
            </w:r>
            <w:r>
              <w:rPr>
                <w:kern w:val="0"/>
                <w:szCs w:val="21"/>
                <w:lang w:val="zh-CN" w:bidi="ar"/>
              </w:rPr>
              <w:t>mg/L)</w:t>
            </w:r>
          </w:p>
        </w:tc>
        <w:tc>
          <w:tcPr>
            <w:tcW w:w="846" w:type="dxa"/>
            <w:tcBorders>
              <w:top w:val="single" w:color="auto" w:sz="6" w:space="0"/>
              <w:left w:val="single" w:color="auto" w:sz="6" w:space="0"/>
              <w:bottom w:val="single" w:color="auto" w:sz="12" w:space="0"/>
              <w:right w:val="single" w:color="auto" w:sz="6" w:space="0"/>
            </w:tcBorders>
            <w:vAlign w:val="center"/>
          </w:tcPr>
          <w:p w14:paraId="706860B6">
            <w:pPr>
              <w:pStyle w:val="34"/>
              <w:rPr>
                <w:kern w:val="0"/>
                <w:szCs w:val="21"/>
                <w:lang w:val="zh-CN"/>
              </w:rPr>
            </w:pPr>
            <w:r>
              <w:rPr>
                <w:kern w:val="0"/>
                <w:szCs w:val="21"/>
                <w:lang w:val="zh-CN" w:bidi="ar"/>
              </w:rPr>
              <w:t>0.056</w:t>
            </w:r>
          </w:p>
        </w:tc>
        <w:tc>
          <w:tcPr>
            <w:tcW w:w="845" w:type="dxa"/>
            <w:tcBorders>
              <w:top w:val="single" w:color="auto" w:sz="6" w:space="0"/>
              <w:left w:val="single" w:color="auto" w:sz="6" w:space="0"/>
              <w:bottom w:val="single" w:color="auto" w:sz="12" w:space="0"/>
              <w:right w:val="single" w:color="auto" w:sz="6" w:space="0"/>
            </w:tcBorders>
            <w:vAlign w:val="center"/>
          </w:tcPr>
          <w:p w14:paraId="6F5318AE">
            <w:pPr>
              <w:pStyle w:val="34"/>
              <w:rPr>
                <w:kern w:val="0"/>
                <w:szCs w:val="21"/>
                <w:lang w:val="zh-CN"/>
              </w:rPr>
            </w:pPr>
            <w:r>
              <w:rPr>
                <w:kern w:val="0"/>
                <w:szCs w:val="21"/>
                <w:lang w:val="zh-CN" w:bidi="ar"/>
              </w:rPr>
              <w:t>0.057</w:t>
            </w:r>
          </w:p>
        </w:tc>
        <w:tc>
          <w:tcPr>
            <w:tcW w:w="846" w:type="dxa"/>
            <w:tcBorders>
              <w:top w:val="single" w:color="auto" w:sz="6" w:space="0"/>
              <w:left w:val="single" w:color="auto" w:sz="6" w:space="0"/>
              <w:bottom w:val="single" w:color="auto" w:sz="12" w:space="0"/>
              <w:right w:val="single" w:color="auto" w:sz="6" w:space="0"/>
            </w:tcBorders>
            <w:vAlign w:val="center"/>
          </w:tcPr>
          <w:p w14:paraId="61E6C112">
            <w:pPr>
              <w:pStyle w:val="34"/>
              <w:rPr>
                <w:kern w:val="0"/>
                <w:szCs w:val="21"/>
                <w:lang w:val="zh-CN"/>
              </w:rPr>
            </w:pPr>
            <w:r>
              <w:rPr>
                <w:kern w:val="0"/>
                <w:szCs w:val="21"/>
                <w:lang w:val="zh-CN" w:bidi="ar"/>
              </w:rPr>
              <w:t>0.055</w:t>
            </w:r>
          </w:p>
        </w:tc>
        <w:tc>
          <w:tcPr>
            <w:tcW w:w="1091" w:type="dxa"/>
            <w:tcBorders>
              <w:top w:val="single" w:color="auto" w:sz="6" w:space="0"/>
              <w:left w:val="single" w:color="auto" w:sz="6" w:space="0"/>
              <w:bottom w:val="single" w:color="auto" w:sz="12" w:space="0"/>
              <w:right w:val="single" w:color="auto" w:sz="6" w:space="0"/>
            </w:tcBorders>
            <w:vAlign w:val="center"/>
          </w:tcPr>
          <w:p w14:paraId="6C89C519">
            <w:pPr>
              <w:pStyle w:val="34"/>
              <w:rPr>
                <w:kern w:val="0"/>
                <w:szCs w:val="21"/>
                <w:lang w:val="zh-CN"/>
              </w:rPr>
            </w:pPr>
            <w:r>
              <w:rPr>
                <w:kern w:val="0"/>
                <w:szCs w:val="21"/>
                <w:lang w:val="zh-CN" w:bidi="ar"/>
              </w:rPr>
              <w:t>0.056</w:t>
            </w:r>
          </w:p>
        </w:tc>
        <w:tc>
          <w:tcPr>
            <w:tcW w:w="823" w:type="dxa"/>
            <w:tcBorders>
              <w:top w:val="single" w:color="auto" w:sz="6" w:space="0"/>
              <w:left w:val="single" w:color="auto" w:sz="6" w:space="0"/>
              <w:bottom w:val="single" w:color="auto" w:sz="12" w:space="0"/>
              <w:right w:val="single" w:color="auto" w:sz="6" w:space="0"/>
            </w:tcBorders>
            <w:vAlign w:val="center"/>
          </w:tcPr>
          <w:p w14:paraId="7C5B500E">
            <w:pPr>
              <w:pStyle w:val="34"/>
              <w:rPr>
                <w:kern w:val="0"/>
                <w:szCs w:val="21"/>
                <w:lang w:val="zh-CN"/>
              </w:rPr>
            </w:pPr>
            <w:r>
              <w:rPr>
                <w:kern w:val="0"/>
                <w:szCs w:val="21"/>
                <w:lang w:val="zh-CN" w:bidi="ar"/>
              </w:rPr>
              <w:t>20</w:t>
            </w:r>
          </w:p>
        </w:tc>
        <w:tc>
          <w:tcPr>
            <w:tcW w:w="764" w:type="dxa"/>
            <w:tcBorders>
              <w:top w:val="single" w:color="auto" w:sz="6" w:space="0"/>
              <w:left w:val="single" w:color="auto" w:sz="6" w:space="0"/>
              <w:bottom w:val="single" w:color="auto" w:sz="12" w:space="0"/>
              <w:right w:val="single" w:color="auto" w:sz="12" w:space="0"/>
            </w:tcBorders>
            <w:vAlign w:val="center"/>
          </w:tcPr>
          <w:p w14:paraId="561B3294">
            <w:pPr>
              <w:pStyle w:val="34"/>
              <w:rPr>
                <w:kern w:val="0"/>
                <w:szCs w:val="21"/>
                <w:lang w:val="zh-CN"/>
              </w:rPr>
            </w:pPr>
            <w:r>
              <w:rPr>
                <w:rFonts w:hint="eastAsia" w:cs="宋体"/>
                <w:kern w:val="0"/>
                <w:szCs w:val="21"/>
                <w:lang w:val="zh-CN" w:bidi="ar"/>
              </w:rPr>
              <w:t>达标</w:t>
            </w:r>
          </w:p>
        </w:tc>
      </w:tr>
    </w:tbl>
    <w:p w14:paraId="2A0C6D2D">
      <w:pPr>
        <w:pStyle w:val="6"/>
      </w:pPr>
      <w:r>
        <w:rPr>
          <w:rFonts w:hint="eastAsia"/>
        </w:rPr>
        <w:t>依托生产污水处理站</w:t>
      </w:r>
    </w:p>
    <w:p w14:paraId="1DAC3202">
      <w:pPr>
        <w:ind w:firstLine="462"/>
        <w:rPr>
          <w:bCs/>
        </w:rPr>
      </w:pPr>
      <w:r>
        <w:rPr>
          <w:rFonts w:hint="eastAsia"/>
          <w:bCs/>
        </w:rPr>
        <w:t>项目24#堆场南端材料库设有一处洗车间，</w:t>
      </w:r>
      <w:bookmarkStart w:id="260" w:name="OLE_LINK75"/>
      <w:r>
        <w:rPr>
          <w:rFonts w:hint="eastAsia"/>
          <w:bCs/>
        </w:rPr>
        <w:t>洗车废水经污水管进入7 # 、8 #泊位生产废水处理站处理达</w:t>
      </w:r>
      <w:bookmarkStart w:id="261" w:name="OLE_LINK15"/>
      <w:r>
        <w:rPr>
          <w:rFonts w:hint="eastAsia"/>
          <w:bCs/>
        </w:rPr>
        <w:t>《污水综合排放标准》（GB 8978-1996）三级标准</w:t>
      </w:r>
      <w:bookmarkEnd w:id="261"/>
      <w:r>
        <w:rPr>
          <w:rFonts w:hint="eastAsia"/>
          <w:bCs/>
        </w:rPr>
        <w:t>后进入大榄坪污水处理厂。</w:t>
      </w:r>
      <w:bookmarkEnd w:id="260"/>
    </w:p>
    <w:p w14:paraId="701E9CF0">
      <w:pPr>
        <w:ind w:firstLine="464"/>
        <w:rPr>
          <w:b/>
        </w:rPr>
      </w:pPr>
      <w:r>
        <w:rPr>
          <w:rFonts w:hint="eastAsia"/>
          <w:b/>
        </w:rPr>
        <w:t>1、生产污水处理站概况</w:t>
      </w:r>
    </w:p>
    <w:p w14:paraId="6177A7BC">
      <w:pPr>
        <w:ind w:firstLine="462"/>
      </w:pPr>
      <w:r>
        <w:rPr>
          <w:rFonts w:hint="eastAsia"/>
          <w:u w:val="single"/>
        </w:rPr>
        <w:t>生产污水处理站位于7号8号泊位后方陆域，紧邻生活污水处理站，处理规模为5m</w:t>
      </w:r>
      <w:r>
        <w:rPr>
          <w:rFonts w:hint="eastAsia"/>
          <w:u w:val="single"/>
          <w:vertAlign w:val="superscript"/>
        </w:rPr>
        <w:t>3</w:t>
      </w:r>
      <w:r>
        <w:rPr>
          <w:rFonts w:hint="eastAsia"/>
          <w:u w:val="single"/>
        </w:rPr>
        <w:t>/h，生产废水及含油污水经生产污水处理站预处理达到</w:t>
      </w:r>
      <w:r>
        <w:rPr>
          <w:rFonts w:hint="eastAsia"/>
          <w:bCs/>
          <w:u w:val="single"/>
        </w:rPr>
        <w:t>《污水综合排放标准》（GB 8978-1996）三级标准</w:t>
      </w:r>
      <w:r>
        <w:rPr>
          <w:rFonts w:hint="eastAsia"/>
          <w:u w:val="single"/>
        </w:rPr>
        <w:t>后，进入大榄坪污水处理厂。</w:t>
      </w:r>
      <w:r>
        <w:rPr>
          <w:rFonts w:hint="eastAsia"/>
        </w:rPr>
        <w:t>生产污水处理站设置控制机房1座，</w:t>
      </w:r>
      <w:r>
        <w:t>1</w:t>
      </w:r>
      <w:r>
        <w:rPr>
          <w:rFonts w:hint="eastAsia"/>
        </w:rPr>
        <w:t>座格栅井</w:t>
      </w:r>
      <w:r>
        <w:t>3.25×0.60×2.3m</w:t>
      </w:r>
      <w:r>
        <w:rPr>
          <w:rFonts w:hint="eastAsia"/>
        </w:rPr>
        <w:t>+1#预沉隔油池</w:t>
      </w:r>
      <w:r>
        <w:t>3.25×1.575×3.5</w:t>
      </w:r>
      <w:r>
        <w:rPr>
          <w:rFonts w:hint="eastAsia"/>
        </w:rPr>
        <w:t>m+2#预沉隔油池</w:t>
      </w:r>
      <w:r>
        <w:t>3.25×1.45×3m</w:t>
      </w:r>
      <w:r>
        <w:rPr>
          <w:rFonts w:hint="eastAsia"/>
        </w:rPr>
        <w:t>+调节池</w:t>
      </w:r>
      <w:r>
        <w:t>5.975×3.25×3</w:t>
      </w:r>
      <w:r>
        <w:rPr>
          <w:rFonts w:hint="eastAsia"/>
        </w:rPr>
        <w:t>m+中间水池</w:t>
      </w:r>
      <w:r>
        <w:t>2.5×2.0×3.5</w:t>
      </w:r>
      <w:r>
        <w:rPr>
          <w:rFonts w:hint="eastAsia"/>
        </w:rPr>
        <w:t>m+排放水池</w:t>
      </w:r>
      <w:r>
        <w:t>2.5×2.0×3.5</w:t>
      </w:r>
      <w:r>
        <w:rPr>
          <w:rFonts w:hint="eastAsia"/>
        </w:rPr>
        <w:t>m，污泥池</w:t>
      </w:r>
      <w:r>
        <w:t>4.0×2.0×3.5</w:t>
      </w:r>
      <w:r>
        <w:rPr>
          <w:rFonts w:hint="eastAsia"/>
        </w:rPr>
        <w:t>m。</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3E262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Borders>
              <w:top w:val="nil"/>
              <w:left w:val="nil"/>
              <w:bottom w:val="nil"/>
              <w:right w:val="nil"/>
            </w:tcBorders>
            <w:vAlign w:val="center"/>
          </w:tcPr>
          <w:p w14:paraId="466ABD93">
            <w:pPr>
              <w:ind w:firstLine="0" w:firstLineChars="0"/>
              <w:jc w:val="center"/>
            </w:pPr>
            <w:r>
              <w:rPr>
                <w:i/>
                <w:sz w:val="21"/>
                <w:szCs w:val="21"/>
              </w:rPr>
              <w:drawing>
                <wp:inline distT="0" distB="0" distL="0" distR="0">
                  <wp:extent cx="4095115" cy="3069590"/>
                  <wp:effectExtent l="0" t="0" r="635" b="0"/>
                  <wp:docPr id="916016430" name="图片 40" descr="说明: C:\Users\yanni\AppData\Local\Temp\WeChat Files\6eb84fae5ca665e6fd6bc01241750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16430" name="图片 40" descr="说明: C:\Users\yanni\AppData\Local\Temp\WeChat Files\6eb84fae5ca665e6fd6bc01241750a7.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4095115" cy="3069590"/>
                          </a:xfrm>
                          <a:prstGeom prst="rect">
                            <a:avLst/>
                          </a:prstGeom>
                          <a:noFill/>
                          <a:ln>
                            <a:noFill/>
                          </a:ln>
                        </pic:spPr>
                      </pic:pic>
                    </a:graphicData>
                  </a:graphic>
                </wp:inline>
              </w:drawing>
            </w:r>
          </w:p>
          <w:p w14:paraId="07F787EC">
            <w:pPr>
              <w:pStyle w:val="8"/>
              <w:rPr>
                <w:rFonts w:cs="Arial"/>
              </w:rPr>
            </w:pPr>
            <w:r>
              <w:rPr>
                <w:rFonts w:hint="eastAsia"/>
              </w:rPr>
              <w:t>生产污水处理站现状</w:t>
            </w:r>
          </w:p>
        </w:tc>
      </w:tr>
      <w:tr w14:paraId="23510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Borders>
              <w:top w:val="nil"/>
              <w:left w:val="nil"/>
              <w:bottom w:val="nil"/>
              <w:right w:val="nil"/>
            </w:tcBorders>
            <w:vAlign w:val="center"/>
          </w:tcPr>
          <w:p w14:paraId="57FB0AF1">
            <w:pPr>
              <w:ind w:firstLine="0" w:firstLineChars="0"/>
              <w:jc w:val="center"/>
            </w:pPr>
            <w:r>
              <w:drawing>
                <wp:inline distT="0" distB="0" distL="0" distR="0">
                  <wp:extent cx="4885690" cy="1554480"/>
                  <wp:effectExtent l="0" t="0" r="0" b="7620"/>
                  <wp:docPr id="27244272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42721" name="图片 39"/>
                          <pic:cNvPicPr>
                            <a:picLocks noChangeAspect="1" noChangeArrowheads="1"/>
                          </pic:cNvPicPr>
                        </pic:nvPicPr>
                        <pic:blipFill>
                          <a:blip r:embed="rId60">
                            <a:extLst>
                              <a:ext uri="{28A0092B-C50C-407E-A947-70E740481C1C}">
                                <a14:useLocalDpi xmlns:a14="http://schemas.microsoft.com/office/drawing/2010/main" val="0"/>
                              </a:ext>
                            </a:extLst>
                          </a:blip>
                          <a:srcRect r="3299"/>
                          <a:stretch>
                            <a:fillRect/>
                          </a:stretch>
                        </pic:blipFill>
                        <pic:spPr>
                          <a:xfrm>
                            <a:off x="0" y="0"/>
                            <a:ext cx="4885690" cy="1554480"/>
                          </a:xfrm>
                          <a:prstGeom prst="rect">
                            <a:avLst/>
                          </a:prstGeom>
                          <a:noFill/>
                          <a:ln>
                            <a:noFill/>
                          </a:ln>
                        </pic:spPr>
                      </pic:pic>
                    </a:graphicData>
                  </a:graphic>
                </wp:inline>
              </w:drawing>
            </w:r>
          </w:p>
          <w:p w14:paraId="54DFA886">
            <w:pPr>
              <w:pStyle w:val="8"/>
              <w:rPr>
                <w:i/>
                <w:sz w:val="21"/>
                <w:szCs w:val="21"/>
                <w:u w:val="single"/>
              </w:rPr>
            </w:pPr>
            <w:r>
              <w:rPr>
                <w:rFonts w:hint="eastAsia"/>
                <w:u w:val="single"/>
              </w:rPr>
              <w:t>生产污水处理站处理流程</w:t>
            </w:r>
          </w:p>
        </w:tc>
      </w:tr>
    </w:tbl>
    <w:p w14:paraId="76CE5E4D">
      <w:pPr>
        <w:ind w:firstLine="464"/>
        <w:rPr>
          <w:b/>
        </w:rPr>
      </w:pPr>
      <w:r>
        <w:rPr>
          <w:rFonts w:hint="eastAsia"/>
          <w:b/>
        </w:rPr>
        <w:t>2、2024年运行情况</w:t>
      </w:r>
    </w:p>
    <w:p w14:paraId="6604A383">
      <w:pPr>
        <w:ind w:firstLine="462"/>
      </w:pPr>
      <w:r>
        <w:rPr>
          <w:rFonts w:hint="eastAsia"/>
        </w:rPr>
        <w:t>根据2024年生产污水处理设施日常运行记录，生产污水处理站处理水量约为10t/d，设备每日开闭时间2h，项目运行期间生活污水产生量较小。</w:t>
      </w:r>
    </w:p>
    <w:tbl>
      <w:tblPr>
        <w:tblStyle w:val="88"/>
        <w:tblW w:w="0" w:type="auto"/>
        <w:tblInd w:w="0" w:type="dxa"/>
        <w:tblLayout w:type="fixed"/>
        <w:tblCellMar>
          <w:top w:w="0" w:type="dxa"/>
          <w:left w:w="108" w:type="dxa"/>
          <w:bottom w:w="0" w:type="dxa"/>
          <w:right w:w="108" w:type="dxa"/>
        </w:tblCellMar>
      </w:tblPr>
      <w:tblGrid>
        <w:gridCol w:w="8522"/>
      </w:tblGrid>
      <w:tr w14:paraId="6BB0F16C">
        <w:tblPrEx>
          <w:tblCellMar>
            <w:top w:w="0" w:type="dxa"/>
            <w:left w:w="108" w:type="dxa"/>
            <w:bottom w:w="0" w:type="dxa"/>
            <w:right w:w="108" w:type="dxa"/>
          </w:tblCellMar>
        </w:tblPrEx>
        <w:tc>
          <w:tcPr>
            <w:tcW w:w="8522" w:type="dxa"/>
            <w:vAlign w:val="center"/>
          </w:tcPr>
          <w:p w14:paraId="5B01B606">
            <w:pPr>
              <w:ind w:firstLine="0" w:firstLineChars="0"/>
              <w:jc w:val="center"/>
            </w:pPr>
            <w:r>
              <w:drawing>
                <wp:inline distT="0" distB="0" distL="0" distR="0">
                  <wp:extent cx="4095115" cy="3017520"/>
                  <wp:effectExtent l="0" t="0" r="635" b="0"/>
                  <wp:docPr id="72166952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669526" name="图片 3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4095115" cy="3017520"/>
                          </a:xfrm>
                          <a:prstGeom prst="rect">
                            <a:avLst/>
                          </a:prstGeom>
                          <a:noFill/>
                          <a:ln>
                            <a:noFill/>
                          </a:ln>
                        </pic:spPr>
                      </pic:pic>
                    </a:graphicData>
                  </a:graphic>
                </wp:inline>
              </w:drawing>
            </w:r>
          </w:p>
        </w:tc>
      </w:tr>
      <w:tr w14:paraId="2E6C7E29">
        <w:tblPrEx>
          <w:tblCellMar>
            <w:top w:w="0" w:type="dxa"/>
            <w:left w:w="108" w:type="dxa"/>
            <w:bottom w:w="0" w:type="dxa"/>
            <w:right w:w="108" w:type="dxa"/>
          </w:tblCellMar>
        </w:tblPrEx>
        <w:tc>
          <w:tcPr>
            <w:tcW w:w="8522" w:type="dxa"/>
          </w:tcPr>
          <w:p w14:paraId="7E2AB5FD">
            <w:pPr>
              <w:ind w:firstLine="0" w:firstLineChars="0"/>
              <w:jc w:val="center"/>
            </w:pPr>
            <w:r>
              <w:drawing>
                <wp:inline distT="0" distB="0" distL="0" distR="0">
                  <wp:extent cx="4095115" cy="2599690"/>
                  <wp:effectExtent l="0" t="0" r="635" b="0"/>
                  <wp:docPr id="33460532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05322" name="图片 3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4095115" cy="2599690"/>
                          </a:xfrm>
                          <a:prstGeom prst="rect">
                            <a:avLst/>
                          </a:prstGeom>
                          <a:noFill/>
                          <a:ln>
                            <a:noFill/>
                          </a:ln>
                        </pic:spPr>
                      </pic:pic>
                    </a:graphicData>
                  </a:graphic>
                </wp:inline>
              </w:drawing>
            </w:r>
          </w:p>
          <w:p w14:paraId="4794B18E">
            <w:pPr>
              <w:pStyle w:val="8"/>
            </w:pPr>
            <w:r>
              <w:rPr>
                <w:rFonts w:hint="eastAsia"/>
              </w:rPr>
              <w:t>生产污水处理站运行记录表</w:t>
            </w:r>
          </w:p>
        </w:tc>
      </w:tr>
    </w:tbl>
    <w:p w14:paraId="1330C21D">
      <w:pPr>
        <w:ind w:firstLine="464"/>
        <w:rPr>
          <w:b/>
        </w:rPr>
      </w:pPr>
      <w:r>
        <w:rPr>
          <w:rFonts w:hint="eastAsia"/>
          <w:b/>
        </w:rPr>
        <w:t>3、污水处理设施运行效果</w:t>
      </w:r>
    </w:p>
    <w:p w14:paraId="5093967F">
      <w:pPr>
        <w:ind w:firstLine="462"/>
      </w:pPr>
      <w:r>
        <w:rPr>
          <w:rFonts w:hint="eastAsia"/>
        </w:rPr>
        <w:t>《广西钦州保税港区盛港码头有限公司2024年度环境例行监测项目》2024年3月对生产污水处理站进出水口水质监测结果见表2.1-12、表2.1-13，监测时段内无生产污水排入污水处理站，仅雨水排入生产污水处理站处理。由表2.1-13可知，污水处理设施运行及处理效果良好。</w:t>
      </w:r>
    </w:p>
    <w:p w14:paraId="4901564F">
      <w:pPr>
        <w:ind w:firstLine="462"/>
        <w:rPr>
          <w:u w:val="single"/>
        </w:rPr>
      </w:pPr>
    </w:p>
    <w:p w14:paraId="5358FC2D">
      <w:pPr>
        <w:pStyle w:val="7"/>
      </w:pPr>
      <w:r>
        <w:rPr>
          <w:rFonts w:hint="eastAsia"/>
        </w:rPr>
        <w:t>生产污水处理站进水口水质监测结果</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56"/>
        <w:gridCol w:w="1266"/>
        <w:gridCol w:w="2281"/>
        <w:gridCol w:w="899"/>
        <w:gridCol w:w="899"/>
        <w:gridCol w:w="899"/>
        <w:gridCol w:w="1115"/>
      </w:tblGrid>
      <w:tr w14:paraId="7A6373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056" w:type="dxa"/>
            <w:vMerge w:val="restart"/>
            <w:vAlign w:val="center"/>
          </w:tcPr>
          <w:p w14:paraId="17CF1E4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采样日期</w:t>
            </w:r>
          </w:p>
        </w:tc>
        <w:tc>
          <w:tcPr>
            <w:tcW w:w="1266" w:type="dxa"/>
            <w:vMerge w:val="restart"/>
            <w:vAlign w:val="center"/>
          </w:tcPr>
          <w:p w14:paraId="7FC9015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监测点位</w:t>
            </w:r>
          </w:p>
        </w:tc>
        <w:tc>
          <w:tcPr>
            <w:tcW w:w="2281" w:type="dxa"/>
            <w:vMerge w:val="restart"/>
            <w:vAlign w:val="center"/>
          </w:tcPr>
          <w:p w14:paraId="5D44B93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监测项目</w:t>
            </w:r>
          </w:p>
        </w:tc>
        <w:tc>
          <w:tcPr>
            <w:tcW w:w="3812" w:type="dxa"/>
            <w:gridSpan w:val="4"/>
          </w:tcPr>
          <w:p w14:paraId="3081B0A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监测结果</w:t>
            </w:r>
          </w:p>
        </w:tc>
      </w:tr>
      <w:tr w14:paraId="79A8B8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056" w:type="dxa"/>
            <w:vMerge w:val="continue"/>
          </w:tcPr>
          <w:p w14:paraId="5451E39D">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6495E536">
            <w:pPr>
              <w:autoSpaceDE w:val="0"/>
              <w:autoSpaceDN w:val="0"/>
              <w:adjustRightInd w:val="0"/>
              <w:snapToGrid w:val="0"/>
              <w:spacing w:line="276" w:lineRule="auto"/>
              <w:ind w:firstLine="0" w:firstLineChars="0"/>
              <w:jc w:val="center"/>
              <w:rPr>
                <w:kern w:val="0"/>
                <w:sz w:val="21"/>
                <w:szCs w:val="21"/>
                <w:lang w:val="zh-CN"/>
              </w:rPr>
            </w:pPr>
          </w:p>
        </w:tc>
        <w:tc>
          <w:tcPr>
            <w:tcW w:w="2281" w:type="dxa"/>
            <w:vMerge w:val="continue"/>
          </w:tcPr>
          <w:p w14:paraId="65872706">
            <w:pPr>
              <w:autoSpaceDE w:val="0"/>
              <w:autoSpaceDN w:val="0"/>
              <w:adjustRightInd w:val="0"/>
              <w:snapToGrid w:val="0"/>
              <w:spacing w:line="276" w:lineRule="auto"/>
              <w:ind w:firstLine="0" w:firstLineChars="0"/>
              <w:jc w:val="center"/>
              <w:rPr>
                <w:kern w:val="0"/>
                <w:sz w:val="21"/>
                <w:szCs w:val="21"/>
                <w:lang w:val="zh-CN"/>
              </w:rPr>
            </w:pPr>
          </w:p>
        </w:tc>
        <w:tc>
          <w:tcPr>
            <w:tcW w:w="899" w:type="dxa"/>
          </w:tcPr>
          <w:p w14:paraId="0CF10C4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第1次</w:t>
            </w:r>
          </w:p>
        </w:tc>
        <w:tc>
          <w:tcPr>
            <w:tcW w:w="899" w:type="dxa"/>
          </w:tcPr>
          <w:p w14:paraId="1671371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第2次</w:t>
            </w:r>
          </w:p>
        </w:tc>
        <w:tc>
          <w:tcPr>
            <w:tcW w:w="899" w:type="dxa"/>
          </w:tcPr>
          <w:p w14:paraId="105A6C4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第3次</w:t>
            </w:r>
          </w:p>
        </w:tc>
        <w:tc>
          <w:tcPr>
            <w:tcW w:w="1115" w:type="dxa"/>
          </w:tcPr>
          <w:p w14:paraId="77F7D4B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均值/范围</w:t>
            </w:r>
          </w:p>
        </w:tc>
      </w:tr>
      <w:tr w14:paraId="1A09A9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restart"/>
            <w:vAlign w:val="center"/>
          </w:tcPr>
          <w:p w14:paraId="58BF3F2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3月21日</w:t>
            </w:r>
          </w:p>
        </w:tc>
        <w:tc>
          <w:tcPr>
            <w:tcW w:w="1266" w:type="dxa"/>
            <w:vMerge w:val="restart"/>
            <w:vAlign w:val="center"/>
          </w:tcPr>
          <w:p w14:paraId="3BE7304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生产污水</w:t>
            </w:r>
          </w:p>
          <w:p w14:paraId="2F33337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处理站</w:t>
            </w:r>
          </w:p>
          <w:p w14:paraId="5A4912E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进水口</w:t>
            </w:r>
          </w:p>
          <w:p w14:paraId="4066D8C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（格栅井）</w:t>
            </w:r>
          </w:p>
        </w:tc>
        <w:tc>
          <w:tcPr>
            <w:tcW w:w="2281" w:type="dxa"/>
            <w:vAlign w:val="center"/>
          </w:tcPr>
          <w:p w14:paraId="4496E7E4">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水温(℃)</w:t>
            </w:r>
          </w:p>
        </w:tc>
        <w:tc>
          <w:tcPr>
            <w:tcW w:w="899" w:type="dxa"/>
            <w:vAlign w:val="center"/>
          </w:tcPr>
          <w:p w14:paraId="6C4AE60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26.3</w:t>
            </w:r>
          </w:p>
        </w:tc>
        <w:tc>
          <w:tcPr>
            <w:tcW w:w="899" w:type="dxa"/>
            <w:vAlign w:val="center"/>
          </w:tcPr>
          <w:p w14:paraId="1066757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27.0</w:t>
            </w:r>
          </w:p>
        </w:tc>
        <w:tc>
          <w:tcPr>
            <w:tcW w:w="899" w:type="dxa"/>
            <w:vAlign w:val="center"/>
          </w:tcPr>
          <w:p w14:paraId="45B59D5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27.2</w:t>
            </w:r>
          </w:p>
        </w:tc>
        <w:tc>
          <w:tcPr>
            <w:tcW w:w="1115" w:type="dxa"/>
            <w:vAlign w:val="center"/>
          </w:tcPr>
          <w:p w14:paraId="6360F7A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26.8</w:t>
            </w:r>
          </w:p>
        </w:tc>
      </w:tr>
      <w:tr w14:paraId="6ABD1D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7FBC0395">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6AE26363">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0A0BBB5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pH 值(无纲量)</w:t>
            </w:r>
          </w:p>
        </w:tc>
        <w:tc>
          <w:tcPr>
            <w:tcW w:w="899" w:type="dxa"/>
            <w:vAlign w:val="center"/>
          </w:tcPr>
          <w:p w14:paraId="7F1E9B2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7.9</w:t>
            </w:r>
          </w:p>
        </w:tc>
        <w:tc>
          <w:tcPr>
            <w:tcW w:w="899" w:type="dxa"/>
            <w:vAlign w:val="center"/>
          </w:tcPr>
          <w:p w14:paraId="5432D08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8.0</w:t>
            </w:r>
          </w:p>
        </w:tc>
        <w:tc>
          <w:tcPr>
            <w:tcW w:w="899" w:type="dxa"/>
            <w:vAlign w:val="center"/>
          </w:tcPr>
          <w:p w14:paraId="3C76AF1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7.9</w:t>
            </w:r>
          </w:p>
        </w:tc>
        <w:tc>
          <w:tcPr>
            <w:tcW w:w="1115" w:type="dxa"/>
            <w:vAlign w:val="center"/>
          </w:tcPr>
          <w:p w14:paraId="3027323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7.9~8.0</w:t>
            </w:r>
          </w:p>
        </w:tc>
      </w:tr>
      <w:tr w14:paraId="5E4DD4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741F9F96">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7C3A4363">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62381D9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化学需氧量(mg/L)</w:t>
            </w:r>
          </w:p>
        </w:tc>
        <w:tc>
          <w:tcPr>
            <w:tcW w:w="899" w:type="dxa"/>
            <w:vAlign w:val="center"/>
          </w:tcPr>
          <w:p w14:paraId="1DD3B74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18</w:t>
            </w:r>
          </w:p>
        </w:tc>
        <w:tc>
          <w:tcPr>
            <w:tcW w:w="899" w:type="dxa"/>
            <w:vAlign w:val="center"/>
          </w:tcPr>
          <w:p w14:paraId="5E2A993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20</w:t>
            </w:r>
          </w:p>
        </w:tc>
        <w:tc>
          <w:tcPr>
            <w:tcW w:w="899" w:type="dxa"/>
            <w:vAlign w:val="center"/>
          </w:tcPr>
          <w:p w14:paraId="2345F52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20</w:t>
            </w:r>
          </w:p>
        </w:tc>
        <w:tc>
          <w:tcPr>
            <w:tcW w:w="1115" w:type="dxa"/>
            <w:vAlign w:val="center"/>
          </w:tcPr>
          <w:p w14:paraId="4DDACF4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19</w:t>
            </w:r>
          </w:p>
        </w:tc>
      </w:tr>
      <w:tr w14:paraId="464E4B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6AE38439">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35546715">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02036B8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五日生化需氧量(mg/L)</w:t>
            </w:r>
          </w:p>
        </w:tc>
        <w:tc>
          <w:tcPr>
            <w:tcW w:w="899" w:type="dxa"/>
            <w:vAlign w:val="center"/>
          </w:tcPr>
          <w:p w14:paraId="58408D74">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7.4</w:t>
            </w:r>
          </w:p>
        </w:tc>
        <w:tc>
          <w:tcPr>
            <w:tcW w:w="899" w:type="dxa"/>
            <w:vAlign w:val="center"/>
          </w:tcPr>
          <w:p w14:paraId="3F7F879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7.9</w:t>
            </w:r>
          </w:p>
        </w:tc>
        <w:tc>
          <w:tcPr>
            <w:tcW w:w="899" w:type="dxa"/>
            <w:vAlign w:val="center"/>
          </w:tcPr>
          <w:p w14:paraId="1A8089C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6.9</w:t>
            </w:r>
          </w:p>
        </w:tc>
        <w:tc>
          <w:tcPr>
            <w:tcW w:w="1115" w:type="dxa"/>
            <w:vAlign w:val="center"/>
          </w:tcPr>
          <w:p w14:paraId="5032C22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7.4</w:t>
            </w:r>
          </w:p>
        </w:tc>
      </w:tr>
      <w:tr w14:paraId="7D0430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44A89E60">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13D0AC75">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4774C75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悬浮物(mg/L)</w:t>
            </w:r>
          </w:p>
        </w:tc>
        <w:tc>
          <w:tcPr>
            <w:tcW w:w="899" w:type="dxa"/>
            <w:vAlign w:val="center"/>
          </w:tcPr>
          <w:p w14:paraId="66102F5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5</w:t>
            </w:r>
          </w:p>
        </w:tc>
        <w:tc>
          <w:tcPr>
            <w:tcW w:w="899" w:type="dxa"/>
            <w:vAlign w:val="center"/>
          </w:tcPr>
          <w:p w14:paraId="15F51B8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8</w:t>
            </w:r>
          </w:p>
        </w:tc>
        <w:tc>
          <w:tcPr>
            <w:tcW w:w="899" w:type="dxa"/>
            <w:vAlign w:val="center"/>
          </w:tcPr>
          <w:p w14:paraId="772E251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8</w:t>
            </w:r>
          </w:p>
        </w:tc>
        <w:tc>
          <w:tcPr>
            <w:tcW w:w="1115" w:type="dxa"/>
            <w:vAlign w:val="center"/>
          </w:tcPr>
          <w:p w14:paraId="4050F64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w:t>
            </w:r>
          </w:p>
        </w:tc>
      </w:tr>
      <w:tr w14:paraId="589F44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24B9CF6C">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07573363">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375B0594">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氨氮 (mg/L)</w:t>
            </w:r>
          </w:p>
        </w:tc>
        <w:tc>
          <w:tcPr>
            <w:tcW w:w="899" w:type="dxa"/>
            <w:vAlign w:val="center"/>
          </w:tcPr>
          <w:p w14:paraId="39F1C37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0.299</w:t>
            </w:r>
          </w:p>
        </w:tc>
        <w:tc>
          <w:tcPr>
            <w:tcW w:w="899" w:type="dxa"/>
            <w:vAlign w:val="center"/>
          </w:tcPr>
          <w:p w14:paraId="0AE4E874">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0.339</w:t>
            </w:r>
          </w:p>
        </w:tc>
        <w:tc>
          <w:tcPr>
            <w:tcW w:w="899" w:type="dxa"/>
            <w:vAlign w:val="center"/>
          </w:tcPr>
          <w:p w14:paraId="0AB6686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0.290</w:t>
            </w:r>
          </w:p>
        </w:tc>
        <w:tc>
          <w:tcPr>
            <w:tcW w:w="1115" w:type="dxa"/>
            <w:vAlign w:val="center"/>
          </w:tcPr>
          <w:p w14:paraId="12D0357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0.309</w:t>
            </w:r>
          </w:p>
        </w:tc>
      </w:tr>
      <w:tr w14:paraId="3964FE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71079CE2">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4C1A73D3">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2DDA4AE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总磷(mg/L)</w:t>
            </w:r>
          </w:p>
        </w:tc>
        <w:tc>
          <w:tcPr>
            <w:tcW w:w="899" w:type="dxa"/>
            <w:vAlign w:val="center"/>
          </w:tcPr>
          <w:p w14:paraId="2A7782C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0.13</w:t>
            </w:r>
          </w:p>
        </w:tc>
        <w:tc>
          <w:tcPr>
            <w:tcW w:w="899" w:type="dxa"/>
            <w:vAlign w:val="center"/>
          </w:tcPr>
          <w:p w14:paraId="45E14C2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0.13</w:t>
            </w:r>
          </w:p>
        </w:tc>
        <w:tc>
          <w:tcPr>
            <w:tcW w:w="899" w:type="dxa"/>
            <w:vAlign w:val="center"/>
          </w:tcPr>
          <w:p w14:paraId="6F3487E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0.13</w:t>
            </w:r>
          </w:p>
        </w:tc>
        <w:tc>
          <w:tcPr>
            <w:tcW w:w="1115" w:type="dxa"/>
            <w:vAlign w:val="center"/>
          </w:tcPr>
          <w:p w14:paraId="4D4DB6A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0.13</w:t>
            </w:r>
          </w:p>
        </w:tc>
      </w:tr>
      <w:tr w14:paraId="3EE4C7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728492E5">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63045AF1">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3921C43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总氮(mg/L)</w:t>
            </w:r>
          </w:p>
        </w:tc>
        <w:tc>
          <w:tcPr>
            <w:tcW w:w="899" w:type="dxa"/>
            <w:vAlign w:val="center"/>
          </w:tcPr>
          <w:p w14:paraId="5F7144B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1.07</w:t>
            </w:r>
          </w:p>
        </w:tc>
        <w:tc>
          <w:tcPr>
            <w:tcW w:w="899" w:type="dxa"/>
            <w:vAlign w:val="center"/>
          </w:tcPr>
          <w:p w14:paraId="1765754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0.91</w:t>
            </w:r>
          </w:p>
        </w:tc>
        <w:tc>
          <w:tcPr>
            <w:tcW w:w="899" w:type="dxa"/>
            <w:vAlign w:val="center"/>
          </w:tcPr>
          <w:p w14:paraId="2A4FD32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1.22</w:t>
            </w:r>
          </w:p>
        </w:tc>
        <w:tc>
          <w:tcPr>
            <w:tcW w:w="1115" w:type="dxa"/>
            <w:vAlign w:val="center"/>
          </w:tcPr>
          <w:p w14:paraId="5364037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1.07</w:t>
            </w:r>
          </w:p>
        </w:tc>
      </w:tr>
      <w:tr w14:paraId="0B0AD3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69B68A4E">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1AE4C115">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54D007F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石油类(mg/L)</w:t>
            </w:r>
          </w:p>
        </w:tc>
        <w:tc>
          <w:tcPr>
            <w:tcW w:w="899" w:type="dxa"/>
            <w:vAlign w:val="center"/>
          </w:tcPr>
          <w:p w14:paraId="4BCD5CB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0.09</w:t>
            </w:r>
          </w:p>
        </w:tc>
        <w:tc>
          <w:tcPr>
            <w:tcW w:w="899" w:type="dxa"/>
            <w:vAlign w:val="center"/>
          </w:tcPr>
          <w:p w14:paraId="206A290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0.13</w:t>
            </w:r>
          </w:p>
        </w:tc>
        <w:tc>
          <w:tcPr>
            <w:tcW w:w="899" w:type="dxa"/>
            <w:vAlign w:val="center"/>
          </w:tcPr>
          <w:p w14:paraId="23B5B26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0.14</w:t>
            </w:r>
          </w:p>
        </w:tc>
        <w:tc>
          <w:tcPr>
            <w:tcW w:w="1115" w:type="dxa"/>
            <w:vAlign w:val="center"/>
          </w:tcPr>
          <w:p w14:paraId="0C89519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0.12</w:t>
            </w:r>
          </w:p>
        </w:tc>
      </w:tr>
      <w:tr w14:paraId="066F61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3969A5A5">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25047652">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373BF74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挥发酚(mg/L)</w:t>
            </w:r>
          </w:p>
        </w:tc>
        <w:tc>
          <w:tcPr>
            <w:tcW w:w="899" w:type="dxa"/>
            <w:vAlign w:val="center"/>
          </w:tcPr>
          <w:p w14:paraId="128AA10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99" w:type="dxa"/>
            <w:vAlign w:val="center"/>
          </w:tcPr>
          <w:p w14:paraId="6B4F9C5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99" w:type="dxa"/>
            <w:vAlign w:val="center"/>
          </w:tcPr>
          <w:p w14:paraId="682ECFC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1115" w:type="dxa"/>
            <w:vAlign w:val="center"/>
          </w:tcPr>
          <w:p w14:paraId="66E5515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r>
      <w:tr w14:paraId="665B44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7A043F6E">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100267A2">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474E715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总氰化物(mg/L)</w:t>
            </w:r>
          </w:p>
        </w:tc>
        <w:tc>
          <w:tcPr>
            <w:tcW w:w="899" w:type="dxa"/>
            <w:vAlign w:val="center"/>
          </w:tcPr>
          <w:p w14:paraId="275E047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＜0.004</w:t>
            </w:r>
          </w:p>
        </w:tc>
        <w:tc>
          <w:tcPr>
            <w:tcW w:w="899" w:type="dxa"/>
            <w:vAlign w:val="center"/>
          </w:tcPr>
          <w:p w14:paraId="5CDF4E5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＜0.004</w:t>
            </w:r>
          </w:p>
        </w:tc>
        <w:tc>
          <w:tcPr>
            <w:tcW w:w="899" w:type="dxa"/>
            <w:vAlign w:val="center"/>
          </w:tcPr>
          <w:p w14:paraId="7DCCF6A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＜0.004</w:t>
            </w:r>
          </w:p>
        </w:tc>
        <w:tc>
          <w:tcPr>
            <w:tcW w:w="1115" w:type="dxa"/>
            <w:vAlign w:val="center"/>
          </w:tcPr>
          <w:p w14:paraId="3B206F5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＜0.004</w:t>
            </w:r>
          </w:p>
        </w:tc>
      </w:tr>
      <w:tr w14:paraId="05AD2D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566E2608">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5AB5E6E2">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0F674E1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硫化物(mg/L)</w:t>
            </w:r>
          </w:p>
        </w:tc>
        <w:tc>
          <w:tcPr>
            <w:tcW w:w="899" w:type="dxa"/>
            <w:vAlign w:val="center"/>
          </w:tcPr>
          <w:p w14:paraId="092C522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99" w:type="dxa"/>
            <w:vAlign w:val="center"/>
          </w:tcPr>
          <w:p w14:paraId="04577A2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99" w:type="dxa"/>
            <w:vAlign w:val="center"/>
          </w:tcPr>
          <w:p w14:paraId="2AF7076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1115" w:type="dxa"/>
            <w:vAlign w:val="center"/>
          </w:tcPr>
          <w:p w14:paraId="61E412A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r>
      <w:tr w14:paraId="6572AF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5FC77D9D">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032AE9CC">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2057F0F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氟化物(mg/L)</w:t>
            </w:r>
          </w:p>
        </w:tc>
        <w:tc>
          <w:tcPr>
            <w:tcW w:w="899" w:type="dxa"/>
            <w:vAlign w:val="center"/>
          </w:tcPr>
          <w:p w14:paraId="68C3A32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1.41</w:t>
            </w:r>
          </w:p>
        </w:tc>
        <w:tc>
          <w:tcPr>
            <w:tcW w:w="899" w:type="dxa"/>
            <w:vAlign w:val="center"/>
          </w:tcPr>
          <w:p w14:paraId="3457BA5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1.40</w:t>
            </w:r>
          </w:p>
        </w:tc>
        <w:tc>
          <w:tcPr>
            <w:tcW w:w="899" w:type="dxa"/>
            <w:vAlign w:val="center"/>
          </w:tcPr>
          <w:p w14:paraId="24951A1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1.41</w:t>
            </w:r>
          </w:p>
        </w:tc>
        <w:tc>
          <w:tcPr>
            <w:tcW w:w="1115" w:type="dxa"/>
            <w:vAlign w:val="center"/>
          </w:tcPr>
          <w:p w14:paraId="0715ABF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1.41</w:t>
            </w:r>
          </w:p>
        </w:tc>
      </w:tr>
    </w:tbl>
    <w:p w14:paraId="7BB6E44D">
      <w:pPr>
        <w:pStyle w:val="7"/>
      </w:pPr>
      <w:r>
        <w:rPr>
          <w:rFonts w:hint="eastAsia"/>
        </w:rPr>
        <w:t>生产污水处理站出水口水质监测结果</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5"/>
        <w:gridCol w:w="1125"/>
        <w:gridCol w:w="1559"/>
        <w:gridCol w:w="851"/>
        <w:gridCol w:w="850"/>
        <w:gridCol w:w="851"/>
        <w:gridCol w:w="997"/>
        <w:gridCol w:w="855"/>
        <w:gridCol w:w="773"/>
      </w:tblGrid>
      <w:tr w14:paraId="72AF39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restart"/>
            <w:vAlign w:val="center"/>
          </w:tcPr>
          <w:p w14:paraId="32615C74">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采样</w:t>
            </w:r>
          </w:p>
          <w:p w14:paraId="5C2498F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日期</w:t>
            </w:r>
          </w:p>
        </w:tc>
        <w:tc>
          <w:tcPr>
            <w:tcW w:w="1125" w:type="dxa"/>
            <w:vMerge w:val="restart"/>
            <w:vAlign w:val="center"/>
          </w:tcPr>
          <w:p w14:paraId="030E33B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监测点位</w:t>
            </w:r>
          </w:p>
        </w:tc>
        <w:tc>
          <w:tcPr>
            <w:tcW w:w="1559" w:type="dxa"/>
            <w:vMerge w:val="restart"/>
            <w:vAlign w:val="center"/>
          </w:tcPr>
          <w:p w14:paraId="52E305D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监测项目</w:t>
            </w:r>
          </w:p>
        </w:tc>
        <w:tc>
          <w:tcPr>
            <w:tcW w:w="3549" w:type="dxa"/>
            <w:gridSpan w:val="4"/>
            <w:vAlign w:val="center"/>
          </w:tcPr>
          <w:p w14:paraId="6A62F2F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监测结果</w:t>
            </w:r>
          </w:p>
        </w:tc>
        <w:tc>
          <w:tcPr>
            <w:tcW w:w="855" w:type="dxa"/>
            <w:vMerge w:val="restart"/>
            <w:vAlign w:val="center"/>
          </w:tcPr>
          <w:p w14:paraId="710F44D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标准</w:t>
            </w:r>
          </w:p>
          <w:p w14:paraId="71CFFF6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限值</w:t>
            </w:r>
          </w:p>
        </w:tc>
        <w:tc>
          <w:tcPr>
            <w:tcW w:w="773" w:type="dxa"/>
            <w:vMerge w:val="restart"/>
            <w:vAlign w:val="center"/>
          </w:tcPr>
          <w:p w14:paraId="53853D6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p w14:paraId="39905F9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情况</w:t>
            </w:r>
          </w:p>
        </w:tc>
      </w:tr>
      <w:tr w14:paraId="7F2FE5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47479986">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20D97FA0">
            <w:pPr>
              <w:autoSpaceDE w:val="0"/>
              <w:autoSpaceDN w:val="0"/>
              <w:adjustRightInd w:val="0"/>
              <w:snapToGrid w:val="0"/>
              <w:spacing w:line="276" w:lineRule="auto"/>
              <w:ind w:firstLine="0" w:firstLineChars="0"/>
              <w:jc w:val="center"/>
              <w:rPr>
                <w:kern w:val="0"/>
                <w:sz w:val="21"/>
                <w:szCs w:val="21"/>
                <w:lang w:val="zh-CN"/>
              </w:rPr>
            </w:pPr>
          </w:p>
        </w:tc>
        <w:tc>
          <w:tcPr>
            <w:tcW w:w="1559" w:type="dxa"/>
            <w:vMerge w:val="continue"/>
            <w:vAlign w:val="center"/>
          </w:tcPr>
          <w:p w14:paraId="5301DDB6">
            <w:pPr>
              <w:autoSpaceDE w:val="0"/>
              <w:autoSpaceDN w:val="0"/>
              <w:adjustRightInd w:val="0"/>
              <w:snapToGrid w:val="0"/>
              <w:spacing w:line="276" w:lineRule="auto"/>
              <w:ind w:firstLine="0" w:firstLineChars="0"/>
              <w:jc w:val="center"/>
              <w:rPr>
                <w:kern w:val="0"/>
                <w:sz w:val="21"/>
                <w:szCs w:val="21"/>
                <w:lang w:val="zh-CN"/>
              </w:rPr>
            </w:pPr>
          </w:p>
        </w:tc>
        <w:tc>
          <w:tcPr>
            <w:tcW w:w="851" w:type="dxa"/>
            <w:vAlign w:val="center"/>
          </w:tcPr>
          <w:p w14:paraId="09A37EFD">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第1次</w:t>
            </w:r>
          </w:p>
        </w:tc>
        <w:tc>
          <w:tcPr>
            <w:tcW w:w="850" w:type="dxa"/>
            <w:vAlign w:val="center"/>
          </w:tcPr>
          <w:p w14:paraId="604B6AA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第2次</w:t>
            </w:r>
          </w:p>
        </w:tc>
        <w:tc>
          <w:tcPr>
            <w:tcW w:w="851" w:type="dxa"/>
            <w:vAlign w:val="center"/>
          </w:tcPr>
          <w:p w14:paraId="4847721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第3次</w:t>
            </w:r>
          </w:p>
        </w:tc>
        <w:tc>
          <w:tcPr>
            <w:tcW w:w="997" w:type="dxa"/>
            <w:vAlign w:val="center"/>
          </w:tcPr>
          <w:p w14:paraId="77F0CBF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均值/范围</w:t>
            </w:r>
          </w:p>
        </w:tc>
        <w:tc>
          <w:tcPr>
            <w:tcW w:w="855" w:type="dxa"/>
            <w:vMerge w:val="continue"/>
            <w:vAlign w:val="center"/>
          </w:tcPr>
          <w:p w14:paraId="6BCEE833">
            <w:pPr>
              <w:autoSpaceDE w:val="0"/>
              <w:autoSpaceDN w:val="0"/>
              <w:adjustRightInd w:val="0"/>
              <w:snapToGrid w:val="0"/>
              <w:spacing w:line="276" w:lineRule="auto"/>
              <w:ind w:firstLine="0" w:firstLineChars="0"/>
              <w:jc w:val="center"/>
              <w:rPr>
                <w:kern w:val="0"/>
                <w:sz w:val="21"/>
                <w:szCs w:val="21"/>
                <w:lang w:val="zh-CN"/>
              </w:rPr>
            </w:pPr>
          </w:p>
        </w:tc>
        <w:tc>
          <w:tcPr>
            <w:tcW w:w="773" w:type="dxa"/>
            <w:vMerge w:val="continue"/>
            <w:vAlign w:val="center"/>
          </w:tcPr>
          <w:p w14:paraId="7BAEE263">
            <w:pPr>
              <w:autoSpaceDE w:val="0"/>
              <w:autoSpaceDN w:val="0"/>
              <w:adjustRightInd w:val="0"/>
              <w:snapToGrid w:val="0"/>
              <w:spacing w:line="276" w:lineRule="auto"/>
              <w:ind w:firstLine="0" w:firstLineChars="0"/>
              <w:jc w:val="center"/>
              <w:rPr>
                <w:kern w:val="0"/>
                <w:sz w:val="21"/>
                <w:szCs w:val="21"/>
                <w:lang w:val="zh-CN"/>
              </w:rPr>
            </w:pPr>
          </w:p>
        </w:tc>
      </w:tr>
      <w:tr w14:paraId="7A7E25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restart"/>
            <w:vAlign w:val="center"/>
          </w:tcPr>
          <w:p w14:paraId="6B8545B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3月</w:t>
            </w:r>
          </w:p>
          <w:p w14:paraId="72D1011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21日</w:t>
            </w:r>
          </w:p>
        </w:tc>
        <w:tc>
          <w:tcPr>
            <w:tcW w:w="1125" w:type="dxa"/>
            <w:vMerge w:val="restart"/>
            <w:vAlign w:val="center"/>
          </w:tcPr>
          <w:p w14:paraId="5724517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生产污水</w:t>
            </w:r>
          </w:p>
          <w:p w14:paraId="2756D27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处理站</w:t>
            </w:r>
          </w:p>
          <w:p w14:paraId="48D4356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出水口</w:t>
            </w:r>
          </w:p>
          <w:p w14:paraId="1012AAE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（清水池）</w:t>
            </w:r>
          </w:p>
        </w:tc>
        <w:tc>
          <w:tcPr>
            <w:tcW w:w="1559" w:type="dxa"/>
            <w:vAlign w:val="center"/>
          </w:tcPr>
          <w:p w14:paraId="3732657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水温(℃)</w:t>
            </w:r>
          </w:p>
        </w:tc>
        <w:tc>
          <w:tcPr>
            <w:tcW w:w="851" w:type="dxa"/>
            <w:vAlign w:val="center"/>
          </w:tcPr>
          <w:p w14:paraId="236C278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24.4</w:t>
            </w:r>
          </w:p>
        </w:tc>
        <w:tc>
          <w:tcPr>
            <w:tcW w:w="850" w:type="dxa"/>
            <w:vAlign w:val="center"/>
          </w:tcPr>
          <w:p w14:paraId="07354BF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24.5</w:t>
            </w:r>
          </w:p>
        </w:tc>
        <w:tc>
          <w:tcPr>
            <w:tcW w:w="851" w:type="dxa"/>
            <w:vAlign w:val="center"/>
          </w:tcPr>
          <w:p w14:paraId="22AF5DF4">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24.7</w:t>
            </w:r>
          </w:p>
        </w:tc>
        <w:tc>
          <w:tcPr>
            <w:tcW w:w="997" w:type="dxa"/>
            <w:vAlign w:val="center"/>
          </w:tcPr>
          <w:p w14:paraId="3CB427B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24.5</w:t>
            </w:r>
          </w:p>
        </w:tc>
        <w:tc>
          <w:tcPr>
            <w:tcW w:w="855" w:type="dxa"/>
            <w:vAlign w:val="center"/>
          </w:tcPr>
          <w:p w14:paraId="66647BA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40</w:t>
            </w:r>
          </w:p>
        </w:tc>
        <w:tc>
          <w:tcPr>
            <w:tcW w:w="773" w:type="dxa"/>
            <w:vAlign w:val="center"/>
          </w:tcPr>
          <w:p w14:paraId="37E8D69D">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543F94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5464BE2F">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37E0E9B7">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4A72E6C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pH 值(无纲量)</w:t>
            </w:r>
          </w:p>
        </w:tc>
        <w:tc>
          <w:tcPr>
            <w:tcW w:w="851" w:type="dxa"/>
            <w:vAlign w:val="center"/>
          </w:tcPr>
          <w:p w14:paraId="350B225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7.2</w:t>
            </w:r>
          </w:p>
        </w:tc>
        <w:tc>
          <w:tcPr>
            <w:tcW w:w="850" w:type="dxa"/>
            <w:vAlign w:val="center"/>
          </w:tcPr>
          <w:p w14:paraId="07319EE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7.2</w:t>
            </w:r>
          </w:p>
        </w:tc>
        <w:tc>
          <w:tcPr>
            <w:tcW w:w="851" w:type="dxa"/>
            <w:vAlign w:val="center"/>
          </w:tcPr>
          <w:p w14:paraId="15AAC7D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7.1</w:t>
            </w:r>
          </w:p>
        </w:tc>
        <w:tc>
          <w:tcPr>
            <w:tcW w:w="997" w:type="dxa"/>
            <w:vAlign w:val="center"/>
          </w:tcPr>
          <w:p w14:paraId="53C1192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7.1~7.2</w:t>
            </w:r>
          </w:p>
        </w:tc>
        <w:tc>
          <w:tcPr>
            <w:tcW w:w="855" w:type="dxa"/>
            <w:vAlign w:val="center"/>
          </w:tcPr>
          <w:p w14:paraId="31EE16A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6.5~9.5</w:t>
            </w:r>
          </w:p>
        </w:tc>
        <w:tc>
          <w:tcPr>
            <w:tcW w:w="773" w:type="dxa"/>
            <w:vAlign w:val="center"/>
          </w:tcPr>
          <w:p w14:paraId="15E6D9D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2551EE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263D3154">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149A32B8">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7A98701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化学需氧量(mg/L)</w:t>
            </w:r>
          </w:p>
        </w:tc>
        <w:tc>
          <w:tcPr>
            <w:tcW w:w="851" w:type="dxa"/>
            <w:vAlign w:val="center"/>
          </w:tcPr>
          <w:p w14:paraId="45112BD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16</w:t>
            </w:r>
          </w:p>
        </w:tc>
        <w:tc>
          <w:tcPr>
            <w:tcW w:w="850" w:type="dxa"/>
            <w:vAlign w:val="center"/>
          </w:tcPr>
          <w:p w14:paraId="3ECC09A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15</w:t>
            </w:r>
          </w:p>
        </w:tc>
        <w:tc>
          <w:tcPr>
            <w:tcW w:w="851" w:type="dxa"/>
            <w:vAlign w:val="center"/>
          </w:tcPr>
          <w:p w14:paraId="349B6C7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13</w:t>
            </w:r>
          </w:p>
        </w:tc>
        <w:tc>
          <w:tcPr>
            <w:tcW w:w="997" w:type="dxa"/>
            <w:vAlign w:val="center"/>
          </w:tcPr>
          <w:p w14:paraId="499CE36D">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15</w:t>
            </w:r>
          </w:p>
        </w:tc>
        <w:tc>
          <w:tcPr>
            <w:tcW w:w="855" w:type="dxa"/>
            <w:vAlign w:val="center"/>
          </w:tcPr>
          <w:p w14:paraId="22CDB06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300</w:t>
            </w:r>
          </w:p>
        </w:tc>
        <w:tc>
          <w:tcPr>
            <w:tcW w:w="773" w:type="dxa"/>
            <w:vAlign w:val="center"/>
          </w:tcPr>
          <w:p w14:paraId="47F5372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278664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532EA6C1">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3FC02436">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493A0D4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五日生化需氧量(mg)</w:t>
            </w:r>
          </w:p>
        </w:tc>
        <w:tc>
          <w:tcPr>
            <w:tcW w:w="851" w:type="dxa"/>
            <w:vAlign w:val="center"/>
          </w:tcPr>
          <w:p w14:paraId="531B1DB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8.6</w:t>
            </w:r>
          </w:p>
        </w:tc>
        <w:tc>
          <w:tcPr>
            <w:tcW w:w="850" w:type="dxa"/>
            <w:vAlign w:val="center"/>
          </w:tcPr>
          <w:p w14:paraId="52503B5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7.9</w:t>
            </w:r>
          </w:p>
        </w:tc>
        <w:tc>
          <w:tcPr>
            <w:tcW w:w="851" w:type="dxa"/>
            <w:vAlign w:val="center"/>
          </w:tcPr>
          <w:p w14:paraId="6B0253F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8.9</w:t>
            </w:r>
          </w:p>
        </w:tc>
        <w:tc>
          <w:tcPr>
            <w:tcW w:w="997" w:type="dxa"/>
            <w:vAlign w:val="center"/>
          </w:tcPr>
          <w:p w14:paraId="535C549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8.5</w:t>
            </w:r>
          </w:p>
        </w:tc>
        <w:tc>
          <w:tcPr>
            <w:tcW w:w="855" w:type="dxa"/>
            <w:vAlign w:val="center"/>
          </w:tcPr>
          <w:p w14:paraId="18261CA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150</w:t>
            </w:r>
          </w:p>
        </w:tc>
        <w:tc>
          <w:tcPr>
            <w:tcW w:w="773" w:type="dxa"/>
            <w:vAlign w:val="center"/>
          </w:tcPr>
          <w:p w14:paraId="0926909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4C63EA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69D9962E">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5B635F9D">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0E58026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悬浮物(mg/L)</w:t>
            </w:r>
          </w:p>
        </w:tc>
        <w:tc>
          <w:tcPr>
            <w:tcW w:w="851" w:type="dxa"/>
            <w:vAlign w:val="center"/>
          </w:tcPr>
          <w:p w14:paraId="615FC56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6</w:t>
            </w:r>
          </w:p>
        </w:tc>
        <w:tc>
          <w:tcPr>
            <w:tcW w:w="850" w:type="dxa"/>
            <w:vAlign w:val="center"/>
          </w:tcPr>
          <w:p w14:paraId="3225314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8</w:t>
            </w:r>
          </w:p>
        </w:tc>
        <w:tc>
          <w:tcPr>
            <w:tcW w:w="851" w:type="dxa"/>
            <w:vAlign w:val="center"/>
          </w:tcPr>
          <w:p w14:paraId="57DF318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9</w:t>
            </w:r>
          </w:p>
        </w:tc>
        <w:tc>
          <w:tcPr>
            <w:tcW w:w="997" w:type="dxa"/>
            <w:vAlign w:val="center"/>
          </w:tcPr>
          <w:p w14:paraId="287ADFC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8</w:t>
            </w:r>
          </w:p>
        </w:tc>
        <w:tc>
          <w:tcPr>
            <w:tcW w:w="855" w:type="dxa"/>
            <w:vAlign w:val="center"/>
          </w:tcPr>
          <w:p w14:paraId="0CE6CA4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250</w:t>
            </w:r>
          </w:p>
        </w:tc>
        <w:tc>
          <w:tcPr>
            <w:tcW w:w="773" w:type="dxa"/>
            <w:vAlign w:val="center"/>
          </w:tcPr>
          <w:p w14:paraId="0CEBC7FD">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62ECBB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30276C04">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7367AE8A">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6B9FE33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氨氮(mg/L)</w:t>
            </w:r>
          </w:p>
        </w:tc>
        <w:tc>
          <w:tcPr>
            <w:tcW w:w="851" w:type="dxa"/>
            <w:vAlign w:val="center"/>
          </w:tcPr>
          <w:p w14:paraId="6FDC6AD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0.034</w:t>
            </w:r>
          </w:p>
        </w:tc>
        <w:tc>
          <w:tcPr>
            <w:tcW w:w="850" w:type="dxa"/>
            <w:vAlign w:val="center"/>
          </w:tcPr>
          <w:p w14:paraId="75FC1E1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0.028</w:t>
            </w:r>
          </w:p>
        </w:tc>
        <w:tc>
          <w:tcPr>
            <w:tcW w:w="851" w:type="dxa"/>
            <w:vAlign w:val="center"/>
          </w:tcPr>
          <w:p w14:paraId="641C0E2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0.034</w:t>
            </w:r>
          </w:p>
        </w:tc>
        <w:tc>
          <w:tcPr>
            <w:tcW w:w="997" w:type="dxa"/>
            <w:vAlign w:val="center"/>
          </w:tcPr>
          <w:p w14:paraId="2358FE3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0.032</w:t>
            </w:r>
          </w:p>
        </w:tc>
        <w:tc>
          <w:tcPr>
            <w:tcW w:w="855" w:type="dxa"/>
            <w:vAlign w:val="center"/>
          </w:tcPr>
          <w:p w14:paraId="281D2EF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25</w:t>
            </w:r>
          </w:p>
        </w:tc>
        <w:tc>
          <w:tcPr>
            <w:tcW w:w="773" w:type="dxa"/>
            <w:vAlign w:val="center"/>
          </w:tcPr>
          <w:p w14:paraId="02A083C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2E8E0A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2ED251FA">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559FAE86">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69F7283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总磷(mg/L)</w:t>
            </w:r>
          </w:p>
        </w:tc>
        <w:tc>
          <w:tcPr>
            <w:tcW w:w="851" w:type="dxa"/>
            <w:vAlign w:val="center"/>
          </w:tcPr>
          <w:p w14:paraId="49CDADA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0.10</w:t>
            </w:r>
          </w:p>
        </w:tc>
        <w:tc>
          <w:tcPr>
            <w:tcW w:w="850" w:type="dxa"/>
            <w:vAlign w:val="center"/>
          </w:tcPr>
          <w:p w14:paraId="728BAEF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0.10</w:t>
            </w:r>
          </w:p>
        </w:tc>
        <w:tc>
          <w:tcPr>
            <w:tcW w:w="851" w:type="dxa"/>
            <w:vAlign w:val="center"/>
          </w:tcPr>
          <w:p w14:paraId="73C3342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0.10</w:t>
            </w:r>
          </w:p>
        </w:tc>
        <w:tc>
          <w:tcPr>
            <w:tcW w:w="997" w:type="dxa"/>
            <w:vAlign w:val="center"/>
          </w:tcPr>
          <w:p w14:paraId="22B3DB7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0.10</w:t>
            </w:r>
          </w:p>
        </w:tc>
        <w:tc>
          <w:tcPr>
            <w:tcW w:w="855" w:type="dxa"/>
            <w:vAlign w:val="center"/>
          </w:tcPr>
          <w:p w14:paraId="68F61E7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5</w:t>
            </w:r>
          </w:p>
        </w:tc>
        <w:tc>
          <w:tcPr>
            <w:tcW w:w="773" w:type="dxa"/>
            <w:vAlign w:val="center"/>
          </w:tcPr>
          <w:p w14:paraId="44FCBA9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6FA94F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1A3B17BD">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680A5F30">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70F290B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总氮(mg/L)</w:t>
            </w:r>
          </w:p>
        </w:tc>
        <w:tc>
          <w:tcPr>
            <w:tcW w:w="851" w:type="dxa"/>
            <w:vAlign w:val="center"/>
          </w:tcPr>
          <w:p w14:paraId="24A7E73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0.22</w:t>
            </w:r>
          </w:p>
        </w:tc>
        <w:tc>
          <w:tcPr>
            <w:tcW w:w="850" w:type="dxa"/>
            <w:vAlign w:val="center"/>
          </w:tcPr>
          <w:p w14:paraId="585D541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0.13</w:t>
            </w:r>
          </w:p>
        </w:tc>
        <w:tc>
          <w:tcPr>
            <w:tcW w:w="851" w:type="dxa"/>
            <w:vAlign w:val="center"/>
          </w:tcPr>
          <w:p w14:paraId="0F6FB18D">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0.25</w:t>
            </w:r>
          </w:p>
        </w:tc>
        <w:tc>
          <w:tcPr>
            <w:tcW w:w="997" w:type="dxa"/>
            <w:vAlign w:val="center"/>
          </w:tcPr>
          <w:p w14:paraId="4AFB34B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0.20</w:t>
            </w:r>
          </w:p>
        </w:tc>
        <w:tc>
          <w:tcPr>
            <w:tcW w:w="855" w:type="dxa"/>
            <w:vAlign w:val="center"/>
          </w:tcPr>
          <w:p w14:paraId="2222C0D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45</w:t>
            </w:r>
          </w:p>
        </w:tc>
        <w:tc>
          <w:tcPr>
            <w:tcW w:w="773" w:type="dxa"/>
            <w:vAlign w:val="center"/>
          </w:tcPr>
          <w:p w14:paraId="2A4D39A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1CC734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4D5F868F">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64B9FE07">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4E5349D4">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石油类(mg/L)</w:t>
            </w:r>
          </w:p>
        </w:tc>
        <w:tc>
          <w:tcPr>
            <w:tcW w:w="851" w:type="dxa"/>
            <w:vAlign w:val="center"/>
          </w:tcPr>
          <w:p w14:paraId="6C442A7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＜0.06</w:t>
            </w:r>
          </w:p>
        </w:tc>
        <w:tc>
          <w:tcPr>
            <w:tcW w:w="850" w:type="dxa"/>
            <w:vAlign w:val="center"/>
          </w:tcPr>
          <w:p w14:paraId="0E1D4ED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＜0.06</w:t>
            </w:r>
          </w:p>
        </w:tc>
        <w:tc>
          <w:tcPr>
            <w:tcW w:w="851" w:type="dxa"/>
            <w:vAlign w:val="center"/>
          </w:tcPr>
          <w:p w14:paraId="1566C95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＜0.06</w:t>
            </w:r>
          </w:p>
        </w:tc>
        <w:tc>
          <w:tcPr>
            <w:tcW w:w="997" w:type="dxa"/>
            <w:vAlign w:val="center"/>
          </w:tcPr>
          <w:p w14:paraId="2347587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＜0.06</w:t>
            </w:r>
          </w:p>
        </w:tc>
        <w:tc>
          <w:tcPr>
            <w:tcW w:w="855" w:type="dxa"/>
            <w:vAlign w:val="center"/>
          </w:tcPr>
          <w:p w14:paraId="03198DB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10</w:t>
            </w:r>
          </w:p>
        </w:tc>
        <w:tc>
          <w:tcPr>
            <w:tcW w:w="773" w:type="dxa"/>
            <w:vAlign w:val="center"/>
          </w:tcPr>
          <w:p w14:paraId="065F9AED">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21711C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2147C16A">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58D3B3FE">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4CAD0D7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挥发酚(mg/L)</w:t>
            </w:r>
          </w:p>
        </w:tc>
        <w:tc>
          <w:tcPr>
            <w:tcW w:w="851" w:type="dxa"/>
            <w:vAlign w:val="center"/>
          </w:tcPr>
          <w:p w14:paraId="25EAB63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50" w:type="dxa"/>
            <w:vAlign w:val="center"/>
          </w:tcPr>
          <w:p w14:paraId="385D655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51" w:type="dxa"/>
            <w:vAlign w:val="center"/>
          </w:tcPr>
          <w:p w14:paraId="7204F8F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997" w:type="dxa"/>
            <w:vAlign w:val="center"/>
          </w:tcPr>
          <w:p w14:paraId="43D0177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55" w:type="dxa"/>
            <w:vAlign w:val="center"/>
          </w:tcPr>
          <w:p w14:paraId="211FF95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0.5</w:t>
            </w:r>
          </w:p>
        </w:tc>
        <w:tc>
          <w:tcPr>
            <w:tcW w:w="773" w:type="dxa"/>
            <w:vAlign w:val="center"/>
          </w:tcPr>
          <w:p w14:paraId="62ACFCF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490FD9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0B721BE3">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33A47E40">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488C2C3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总氰化物(mg/L)</w:t>
            </w:r>
          </w:p>
        </w:tc>
        <w:tc>
          <w:tcPr>
            <w:tcW w:w="851" w:type="dxa"/>
            <w:vAlign w:val="center"/>
          </w:tcPr>
          <w:p w14:paraId="448971C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＜0.004</w:t>
            </w:r>
          </w:p>
        </w:tc>
        <w:tc>
          <w:tcPr>
            <w:tcW w:w="850" w:type="dxa"/>
            <w:vAlign w:val="center"/>
          </w:tcPr>
          <w:p w14:paraId="67DECEC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＜0.004</w:t>
            </w:r>
          </w:p>
        </w:tc>
        <w:tc>
          <w:tcPr>
            <w:tcW w:w="851" w:type="dxa"/>
            <w:vAlign w:val="center"/>
          </w:tcPr>
          <w:p w14:paraId="69AFD9A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＜0.004</w:t>
            </w:r>
          </w:p>
        </w:tc>
        <w:tc>
          <w:tcPr>
            <w:tcW w:w="997" w:type="dxa"/>
            <w:vAlign w:val="center"/>
          </w:tcPr>
          <w:p w14:paraId="1A3D8CF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＜0.004</w:t>
            </w:r>
          </w:p>
        </w:tc>
        <w:tc>
          <w:tcPr>
            <w:tcW w:w="855" w:type="dxa"/>
            <w:vAlign w:val="center"/>
          </w:tcPr>
          <w:p w14:paraId="4655F3DD">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0.5</w:t>
            </w:r>
          </w:p>
        </w:tc>
        <w:tc>
          <w:tcPr>
            <w:tcW w:w="773" w:type="dxa"/>
            <w:vAlign w:val="center"/>
          </w:tcPr>
          <w:p w14:paraId="6A79431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2D9E04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0015A935">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5A0911F8">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29034E6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硫化物(mg/L)</w:t>
            </w:r>
          </w:p>
        </w:tc>
        <w:tc>
          <w:tcPr>
            <w:tcW w:w="851" w:type="dxa"/>
            <w:vAlign w:val="center"/>
          </w:tcPr>
          <w:p w14:paraId="7EE2CD4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50" w:type="dxa"/>
            <w:vAlign w:val="center"/>
          </w:tcPr>
          <w:p w14:paraId="5DEB230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51" w:type="dxa"/>
            <w:vAlign w:val="center"/>
          </w:tcPr>
          <w:p w14:paraId="20AB500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997" w:type="dxa"/>
            <w:vAlign w:val="center"/>
          </w:tcPr>
          <w:p w14:paraId="672B0FB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55" w:type="dxa"/>
            <w:vAlign w:val="center"/>
          </w:tcPr>
          <w:p w14:paraId="7A0799A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w:t>
            </w:r>
          </w:p>
        </w:tc>
        <w:tc>
          <w:tcPr>
            <w:tcW w:w="773" w:type="dxa"/>
            <w:vAlign w:val="center"/>
          </w:tcPr>
          <w:p w14:paraId="109E8D4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408346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222EE949">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7CB8676A">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49643BCD">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氟化物(mg/L)</w:t>
            </w:r>
          </w:p>
        </w:tc>
        <w:tc>
          <w:tcPr>
            <w:tcW w:w="851" w:type="dxa"/>
            <w:vAlign w:val="center"/>
          </w:tcPr>
          <w:p w14:paraId="25570FB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0.542</w:t>
            </w:r>
          </w:p>
        </w:tc>
        <w:tc>
          <w:tcPr>
            <w:tcW w:w="850" w:type="dxa"/>
            <w:vAlign w:val="center"/>
          </w:tcPr>
          <w:p w14:paraId="180212E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0.544</w:t>
            </w:r>
          </w:p>
        </w:tc>
        <w:tc>
          <w:tcPr>
            <w:tcW w:w="851" w:type="dxa"/>
            <w:vAlign w:val="center"/>
          </w:tcPr>
          <w:p w14:paraId="229C0FB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0.544</w:t>
            </w:r>
          </w:p>
        </w:tc>
        <w:tc>
          <w:tcPr>
            <w:tcW w:w="997" w:type="dxa"/>
            <w:vAlign w:val="center"/>
          </w:tcPr>
          <w:p w14:paraId="5812E91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0.543</w:t>
            </w:r>
          </w:p>
        </w:tc>
        <w:tc>
          <w:tcPr>
            <w:tcW w:w="855" w:type="dxa"/>
            <w:vAlign w:val="center"/>
          </w:tcPr>
          <w:p w14:paraId="688517D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20</w:t>
            </w:r>
          </w:p>
        </w:tc>
        <w:tc>
          <w:tcPr>
            <w:tcW w:w="773" w:type="dxa"/>
            <w:vAlign w:val="center"/>
          </w:tcPr>
          <w:p w14:paraId="54F11A1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bl>
    <w:p w14:paraId="1557B38F">
      <w:pPr>
        <w:pStyle w:val="6"/>
      </w:pPr>
      <w:r>
        <w:rPr>
          <w:rFonts w:hint="eastAsia"/>
        </w:rPr>
        <w:t>水上污染事故应急设备库</w:t>
      </w:r>
    </w:p>
    <w:p w14:paraId="6090432C">
      <w:pPr>
        <w:ind w:firstLine="462"/>
      </w:pPr>
      <w:r>
        <w:rPr>
          <w:rFonts w:hint="eastAsia" w:cs="宋体"/>
          <w:szCs w:val="20"/>
          <w:lang w:bidi="ar"/>
        </w:rPr>
        <w:t>水上污染事故应急设备库布置于</w:t>
      </w:r>
      <w:r>
        <w:rPr>
          <w:szCs w:val="20"/>
          <w:lang w:bidi="ar"/>
        </w:rPr>
        <w:t>7</w:t>
      </w:r>
      <w:r>
        <w:rPr>
          <w:rFonts w:hint="eastAsia" w:cs="宋体"/>
          <w:szCs w:val="20"/>
          <w:lang w:bidi="ar"/>
        </w:rPr>
        <w:t>号</w:t>
      </w:r>
      <w:r>
        <w:rPr>
          <w:szCs w:val="20"/>
          <w:lang w:bidi="ar"/>
        </w:rPr>
        <w:t>8</w:t>
      </w:r>
      <w:r>
        <w:rPr>
          <w:rFonts w:hint="eastAsia" w:cs="宋体"/>
          <w:szCs w:val="20"/>
          <w:lang w:bidi="ar"/>
        </w:rPr>
        <w:t>号泊位后方陆域，面积为</w:t>
      </w:r>
      <w:r>
        <w:rPr>
          <w:szCs w:val="20"/>
          <w:lang w:bidi="ar"/>
        </w:rPr>
        <w:t>115m</w:t>
      </w:r>
      <w:r>
        <w:rPr>
          <w:szCs w:val="20"/>
          <w:vertAlign w:val="superscript"/>
          <w:lang w:bidi="ar"/>
        </w:rPr>
        <w:t>2</w:t>
      </w:r>
      <w:r>
        <w:rPr>
          <w:rFonts w:hint="eastAsia" w:cs="宋体"/>
          <w:szCs w:val="20"/>
          <w:lang w:bidi="ar"/>
        </w:rPr>
        <w:t>，泊位运营管理单位购置了一批环境风险应急物资和设备，主要包括：油拖网、吸油毡等存放在</w:t>
      </w:r>
      <w:r>
        <w:rPr>
          <w:szCs w:val="20"/>
          <w:lang w:bidi="ar"/>
        </w:rPr>
        <w:t>7</w:t>
      </w:r>
      <w:r>
        <w:rPr>
          <w:rFonts w:hint="eastAsia" w:cs="宋体"/>
          <w:szCs w:val="20"/>
          <w:lang w:bidi="ar"/>
        </w:rPr>
        <w:t>号</w:t>
      </w:r>
      <w:r>
        <w:rPr>
          <w:szCs w:val="20"/>
          <w:lang w:bidi="ar"/>
        </w:rPr>
        <w:t>8</w:t>
      </w:r>
      <w:r>
        <w:rPr>
          <w:rFonts w:hint="eastAsia" w:cs="宋体"/>
          <w:szCs w:val="20"/>
          <w:lang w:bidi="ar"/>
        </w:rPr>
        <w:t>号泊位后方新建的水上污染事故应急设备库内，并安排有专职人员负责日常管理和维护。</w:t>
      </w:r>
    </w:p>
    <w:tbl>
      <w:tblPr>
        <w:tblStyle w:val="88"/>
        <w:tblW w:w="0" w:type="auto"/>
        <w:tblInd w:w="0" w:type="dxa"/>
        <w:tblLayout w:type="autofit"/>
        <w:tblCellMar>
          <w:top w:w="0" w:type="dxa"/>
          <w:left w:w="108" w:type="dxa"/>
          <w:bottom w:w="0" w:type="dxa"/>
          <w:right w:w="108" w:type="dxa"/>
        </w:tblCellMar>
      </w:tblPr>
      <w:tblGrid>
        <w:gridCol w:w="4264"/>
        <w:gridCol w:w="4264"/>
      </w:tblGrid>
      <w:tr w14:paraId="5FD6061D">
        <w:tblPrEx>
          <w:tblCellMar>
            <w:top w:w="0" w:type="dxa"/>
            <w:left w:w="108" w:type="dxa"/>
            <w:bottom w:w="0" w:type="dxa"/>
            <w:right w:w="108" w:type="dxa"/>
          </w:tblCellMar>
        </w:tblPrEx>
        <w:tc>
          <w:tcPr>
            <w:tcW w:w="4156" w:type="dxa"/>
            <w:vAlign w:val="center"/>
          </w:tcPr>
          <w:p w14:paraId="196DE11A">
            <w:pPr>
              <w:ind w:firstLine="464"/>
              <w:jc w:val="center"/>
            </w:pPr>
            <w:r>
              <w:rPr>
                <w:b/>
                <w:lang w:bidi="ar"/>
              </w:rPr>
              <w:drawing>
                <wp:inline distT="0" distB="0" distL="114300" distR="114300">
                  <wp:extent cx="2514600" cy="1885950"/>
                  <wp:effectExtent l="0" t="0" r="0" b="0"/>
                  <wp:docPr id="80" name="图片 1129" descr="ca379d9e85efc45dcebb9fc0d55ae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29" descr="ca379d9e85efc45dcebb9fc0d55aee7"/>
                          <pic:cNvPicPr>
                            <a:picLocks noChangeAspect="1"/>
                          </pic:cNvPicPr>
                        </pic:nvPicPr>
                        <pic:blipFill>
                          <a:blip r:embed="rId63"/>
                          <a:stretch>
                            <a:fillRect/>
                          </a:stretch>
                        </pic:blipFill>
                        <pic:spPr>
                          <a:xfrm>
                            <a:off x="0" y="0"/>
                            <a:ext cx="2514600" cy="1885950"/>
                          </a:xfrm>
                          <a:prstGeom prst="rect">
                            <a:avLst/>
                          </a:prstGeom>
                          <a:noFill/>
                          <a:ln>
                            <a:noFill/>
                          </a:ln>
                        </pic:spPr>
                      </pic:pic>
                    </a:graphicData>
                  </a:graphic>
                </wp:inline>
              </w:drawing>
            </w:r>
          </w:p>
        </w:tc>
        <w:tc>
          <w:tcPr>
            <w:tcW w:w="4156" w:type="dxa"/>
          </w:tcPr>
          <w:p w14:paraId="27616E6D">
            <w:pPr>
              <w:ind w:firstLine="464"/>
              <w:jc w:val="center"/>
            </w:pPr>
            <w:r>
              <w:rPr>
                <w:b/>
                <w:lang w:bidi="ar"/>
              </w:rPr>
              <w:drawing>
                <wp:inline distT="0" distB="0" distL="114300" distR="114300">
                  <wp:extent cx="2514600" cy="1885950"/>
                  <wp:effectExtent l="0" t="0" r="0" b="0"/>
                  <wp:docPr id="81" name="图片 1130" descr="831418cbc80a38d15f54b57cc5bcf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130" descr="831418cbc80a38d15f54b57cc5bcf5c"/>
                          <pic:cNvPicPr>
                            <a:picLocks noChangeAspect="1"/>
                          </pic:cNvPicPr>
                        </pic:nvPicPr>
                        <pic:blipFill>
                          <a:blip r:embed="rId64"/>
                          <a:stretch>
                            <a:fillRect/>
                          </a:stretch>
                        </pic:blipFill>
                        <pic:spPr>
                          <a:xfrm>
                            <a:off x="0" y="0"/>
                            <a:ext cx="2514600" cy="1885950"/>
                          </a:xfrm>
                          <a:prstGeom prst="rect">
                            <a:avLst/>
                          </a:prstGeom>
                          <a:noFill/>
                          <a:ln>
                            <a:noFill/>
                          </a:ln>
                        </pic:spPr>
                      </pic:pic>
                    </a:graphicData>
                  </a:graphic>
                </wp:inline>
              </w:drawing>
            </w:r>
          </w:p>
        </w:tc>
      </w:tr>
      <w:tr w14:paraId="3E32BB84">
        <w:tblPrEx>
          <w:tblCellMar>
            <w:top w:w="0" w:type="dxa"/>
            <w:left w:w="108" w:type="dxa"/>
            <w:bottom w:w="0" w:type="dxa"/>
            <w:right w:w="108" w:type="dxa"/>
          </w:tblCellMar>
        </w:tblPrEx>
        <w:tc>
          <w:tcPr>
            <w:tcW w:w="8312" w:type="dxa"/>
            <w:gridSpan w:val="2"/>
            <w:vAlign w:val="center"/>
          </w:tcPr>
          <w:p w14:paraId="30B5816B">
            <w:pPr>
              <w:pStyle w:val="8"/>
              <w:rPr>
                <w:spacing w:val="-2"/>
              </w:rPr>
            </w:pPr>
            <w:r>
              <w:rPr>
                <w:rFonts w:hint="eastAsia"/>
                <w:lang w:bidi="ar"/>
              </w:rPr>
              <w:t>应急设备库内应急物资现状</w:t>
            </w:r>
          </w:p>
        </w:tc>
      </w:tr>
    </w:tbl>
    <w:p w14:paraId="3ACD417B">
      <w:pPr>
        <w:pStyle w:val="6"/>
      </w:pPr>
      <w:r>
        <w:rPr>
          <w:rFonts w:hint="eastAsia"/>
        </w:rPr>
        <w:t>危险废物贮存库</w:t>
      </w:r>
    </w:p>
    <w:p w14:paraId="6F55D02A">
      <w:pPr>
        <w:adjustRightInd w:val="0"/>
        <w:ind w:firstLine="462"/>
      </w:pPr>
      <w:r>
        <w:rPr>
          <w:rFonts w:hint="eastAsia" w:cs="宋体"/>
          <w:bCs/>
          <w:lang w:bidi="ar"/>
        </w:rPr>
        <w:t>危险废物贮存库布置于</w:t>
      </w:r>
      <w:r>
        <w:rPr>
          <w:bCs/>
          <w:lang w:bidi="ar"/>
        </w:rPr>
        <w:t>7</w:t>
      </w:r>
      <w:r>
        <w:rPr>
          <w:rFonts w:hint="eastAsia" w:cs="宋体"/>
          <w:bCs/>
          <w:lang w:bidi="ar"/>
        </w:rPr>
        <w:t>号</w:t>
      </w:r>
      <w:r>
        <w:rPr>
          <w:bCs/>
          <w:lang w:bidi="ar"/>
        </w:rPr>
        <w:t>8</w:t>
      </w:r>
      <w:r>
        <w:rPr>
          <w:rFonts w:hint="eastAsia" w:cs="宋体"/>
          <w:bCs/>
          <w:lang w:bidi="ar"/>
        </w:rPr>
        <w:t>号泊位后方陆域，危险废物贮存库设置在机修车间旁，面积为</w:t>
      </w:r>
      <w:r>
        <w:rPr>
          <w:bCs/>
          <w:lang w:bidi="ar"/>
        </w:rPr>
        <w:t>144m</w:t>
      </w:r>
      <w:r>
        <w:rPr>
          <w:bCs/>
          <w:vertAlign w:val="superscript"/>
          <w:lang w:bidi="ar"/>
        </w:rPr>
        <w:t>2</w:t>
      </w:r>
      <w:r>
        <w:rPr>
          <w:rFonts w:hint="eastAsia" w:cs="宋体"/>
          <w:bCs/>
          <w:lang w:bidi="ar"/>
        </w:rPr>
        <w:t>，危废贮存间已按照《危险废物贮存污染控制标准》（</w:t>
      </w:r>
      <w:r>
        <w:rPr>
          <w:bCs/>
          <w:lang w:bidi="ar"/>
        </w:rPr>
        <w:t>GB18597-2023</w:t>
      </w:r>
      <w:r>
        <w:rPr>
          <w:rFonts w:hint="eastAsia" w:cs="宋体"/>
          <w:bCs/>
          <w:lang w:bidi="ar"/>
        </w:rPr>
        <w:t>）相关要求进行设计，采取防扬散、防流失、防渗漏、防风、防雨、防晒等措施。危险废物于暂存地分类收集、分区存放，收集的危险废物置于专用的密闭容器内，暂存于危险废物贮存库。</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67AAF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Borders>
              <w:top w:val="nil"/>
              <w:left w:val="nil"/>
              <w:bottom w:val="nil"/>
              <w:right w:val="nil"/>
            </w:tcBorders>
            <w:vAlign w:val="center"/>
          </w:tcPr>
          <w:p w14:paraId="4A1FDC36">
            <w:pPr>
              <w:adjustRightInd w:val="0"/>
              <w:ind w:firstLine="462"/>
            </w:pPr>
            <w:r>
              <w:rPr>
                <w:bCs/>
                <w:lang w:bidi="ar"/>
              </w:rPr>
              <w:drawing>
                <wp:inline distT="0" distB="0" distL="114300" distR="114300">
                  <wp:extent cx="4095750" cy="2800350"/>
                  <wp:effectExtent l="0" t="0" r="0" b="0"/>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65"/>
                          <a:stretch>
                            <a:fillRect/>
                          </a:stretch>
                        </pic:blipFill>
                        <pic:spPr>
                          <a:xfrm>
                            <a:off x="0" y="0"/>
                            <a:ext cx="4095750" cy="2800350"/>
                          </a:xfrm>
                          <a:prstGeom prst="rect">
                            <a:avLst/>
                          </a:prstGeom>
                          <a:noFill/>
                          <a:ln>
                            <a:noFill/>
                          </a:ln>
                        </pic:spPr>
                      </pic:pic>
                    </a:graphicData>
                  </a:graphic>
                </wp:inline>
              </w:drawing>
            </w:r>
          </w:p>
          <w:p w14:paraId="434FCE52">
            <w:pPr>
              <w:pStyle w:val="8"/>
            </w:pPr>
            <w:r>
              <w:rPr>
                <w:rFonts w:hint="eastAsia"/>
                <w:lang w:bidi="ar"/>
              </w:rPr>
              <w:t>危险废物贮存库</w:t>
            </w:r>
          </w:p>
        </w:tc>
      </w:tr>
    </w:tbl>
    <w:p w14:paraId="25C440D3">
      <w:pPr>
        <w:adjustRightInd w:val="0"/>
        <w:ind w:firstLine="462"/>
        <w:rPr>
          <w:rFonts w:cs="宋体"/>
          <w:bCs/>
          <w:lang w:bidi="ar"/>
        </w:rPr>
      </w:pPr>
      <w:r>
        <w:rPr>
          <w:bCs/>
          <w:lang w:bidi="ar"/>
        </w:rPr>
        <w:t>2023</w:t>
      </w:r>
      <w:r>
        <w:rPr>
          <w:rFonts w:hint="eastAsia" w:cs="宋体"/>
          <w:bCs/>
          <w:lang w:bidi="ar"/>
        </w:rPr>
        <w:t>年度危险废物产生总量</w:t>
      </w:r>
      <w:r>
        <w:rPr>
          <w:bCs/>
          <w:lang w:bidi="ar"/>
        </w:rPr>
        <w:t>5.396 t</w:t>
      </w:r>
      <w:r>
        <w:rPr>
          <w:rFonts w:hint="eastAsia" w:cs="宋体"/>
          <w:bCs/>
          <w:lang w:bidi="ar"/>
        </w:rPr>
        <w:t>，危险废物贮存库内贮存废物量</w:t>
      </w:r>
      <w:r>
        <w:rPr>
          <w:bCs/>
          <w:lang w:bidi="ar"/>
        </w:rPr>
        <w:t>1.684 t</w:t>
      </w:r>
      <w:r>
        <w:rPr>
          <w:rFonts w:hint="eastAsia" w:cs="宋体"/>
          <w:bCs/>
          <w:lang w:bidi="ar"/>
        </w:rPr>
        <w:t>，</w:t>
      </w:r>
      <w:bookmarkStart w:id="262" w:name="OLE_LINK504"/>
      <w:r>
        <w:rPr>
          <w:rFonts w:hint="eastAsia" w:cs="宋体"/>
          <w:bCs/>
          <w:lang w:bidi="ar"/>
        </w:rPr>
        <w:t>危险废物在贮存间暂存后由有资质的单位及时清运，贮存库容量充足。</w:t>
      </w:r>
      <w:bookmarkEnd w:id="262"/>
    </w:p>
    <w:p w14:paraId="70700B82">
      <w:pPr>
        <w:pStyle w:val="5"/>
      </w:pPr>
      <w:r>
        <w:rPr>
          <w:rFonts w:hint="eastAsia"/>
        </w:rPr>
        <w:t>用地及用海</w:t>
      </w:r>
    </w:p>
    <w:p w14:paraId="15767137">
      <w:pPr>
        <w:ind w:firstLine="464"/>
        <w:rPr>
          <w:b/>
        </w:rPr>
      </w:pPr>
      <w:r>
        <w:rPr>
          <w:b/>
          <w:szCs w:val="20"/>
          <w:lang w:bidi="ar"/>
        </w:rPr>
        <w:t>1</w:t>
      </w:r>
      <w:r>
        <w:rPr>
          <w:rFonts w:hint="eastAsia" w:cs="宋体"/>
          <w:b/>
          <w:szCs w:val="20"/>
          <w:lang w:bidi="ar"/>
        </w:rPr>
        <w:t>、码头前沿港池用海</w:t>
      </w:r>
    </w:p>
    <w:p w14:paraId="71E79CFC">
      <w:pPr>
        <w:ind w:firstLine="462"/>
        <w:rPr>
          <w:rFonts w:cs="宋体"/>
          <w:szCs w:val="20"/>
          <w:lang w:bidi="ar"/>
        </w:rPr>
      </w:pPr>
      <w:r>
        <w:rPr>
          <w:rFonts w:hint="eastAsia" w:cs="宋体"/>
          <w:szCs w:val="20"/>
          <w:lang w:bidi="ar"/>
        </w:rPr>
        <w:t>项目不涉及围填海。码头岸线前沿港池</w:t>
      </w:r>
      <w:bookmarkStart w:id="263" w:name="OLE_LINK106"/>
      <w:r>
        <w:rPr>
          <w:rFonts w:hint="eastAsia" w:cs="宋体"/>
          <w:szCs w:val="20"/>
          <w:lang w:bidi="ar"/>
        </w:rPr>
        <w:t>8.4321公顷</w:t>
      </w:r>
      <w:bookmarkEnd w:id="263"/>
      <w:r>
        <w:rPr>
          <w:rFonts w:hint="eastAsia" w:cs="宋体"/>
          <w:szCs w:val="20"/>
          <w:lang w:bidi="ar"/>
        </w:rPr>
        <w:t>为钦州保税港区昊鼎仓储项目物流中心项目用海范围，该用海范围2019年5月转划给本项目码头业主宏港码头公司，并于2024年底变更用海方式（填海造地变更为港池用海），本次无需再办理用海手续。项目新增回旋水域申请用海办理范围见图</w:t>
      </w:r>
      <w:r>
        <w:rPr>
          <w:szCs w:val="20"/>
          <w:lang w:bidi="ar"/>
        </w:rPr>
        <w:t>2.</w:t>
      </w:r>
      <w:r>
        <w:rPr>
          <w:rFonts w:hint="eastAsia"/>
          <w:szCs w:val="20"/>
          <w:lang w:bidi="ar"/>
        </w:rPr>
        <w:t>1</w:t>
      </w:r>
      <w:r>
        <w:rPr>
          <w:szCs w:val="20"/>
          <w:lang w:bidi="ar"/>
        </w:rPr>
        <w:t>-1</w:t>
      </w:r>
      <w:r>
        <w:rPr>
          <w:rFonts w:hint="eastAsia"/>
          <w:szCs w:val="20"/>
          <w:lang w:bidi="ar"/>
        </w:rPr>
        <w:t>2</w:t>
      </w:r>
      <w:r>
        <w:rPr>
          <w:rFonts w:hint="eastAsia" w:cs="宋体"/>
          <w:szCs w:val="20"/>
          <w:lang w:bidi="ar"/>
        </w:rPr>
        <w:t>。项目用海类型为交通运输用海（一级类）中的港口用海（二级类），用海方式为围海用海（一级方式）中的港池、蓄水用海（二级方式），面积为</w:t>
      </w:r>
      <w:r>
        <w:rPr>
          <w:rFonts w:hint="eastAsia"/>
          <w:szCs w:val="20"/>
          <w:lang w:bidi="ar"/>
        </w:rPr>
        <w:t>10.9738</w:t>
      </w:r>
      <w:r>
        <w:rPr>
          <w:rFonts w:hint="eastAsia" w:cs="宋体"/>
          <w:szCs w:val="20"/>
          <w:lang w:bidi="ar"/>
        </w:rPr>
        <w:t>公顷</w:t>
      </w:r>
      <w:r>
        <w:rPr>
          <w:rFonts w:hint="eastAsia"/>
          <w:szCs w:val="20"/>
          <w:lang w:bidi="ar"/>
        </w:rPr>
        <w:t>，用海期限为2年。项目海域使用论证报告于2025年12月通过了专家评审会，拟上报申请用海批复</w:t>
      </w:r>
      <w:r>
        <w:rPr>
          <w:rFonts w:hint="eastAsia" w:cs="宋体"/>
          <w:szCs w:val="20"/>
          <w:lang w:bidi="ar"/>
        </w:rPr>
        <w:t>。</w:t>
      </w:r>
    </w:p>
    <w:p w14:paraId="63F6B605">
      <w:pPr>
        <w:ind w:firstLine="0" w:firstLineChars="0"/>
        <w:jc w:val="center"/>
        <w:rPr>
          <w:rFonts w:cs="宋体"/>
          <w:szCs w:val="20"/>
          <w:lang w:bidi="ar"/>
        </w:rPr>
      </w:pPr>
    </w:p>
    <w:p w14:paraId="1303ADAA">
      <w:pPr>
        <w:ind w:firstLine="0" w:firstLineChars="0"/>
        <w:jc w:val="center"/>
        <w:rPr>
          <w:rFonts w:cs="宋体"/>
          <w:szCs w:val="20"/>
          <w:lang w:bidi="ar"/>
        </w:rPr>
      </w:pPr>
    </w:p>
    <w:p w14:paraId="29F33057">
      <w:pPr>
        <w:pStyle w:val="8"/>
        <w:rPr>
          <w:lang w:bidi="ar"/>
        </w:rPr>
      </w:pPr>
      <w:bookmarkStart w:id="264" w:name="OLE_LINK53"/>
      <w:r>
        <w:rPr>
          <w:rFonts w:hint="eastAsia"/>
          <w:lang w:bidi="ar"/>
        </w:rPr>
        <w:t>项目申请港池用海宗海图</w:t>
      </w:r>
    </w:p>
    <w:bookmarkEnd w:id="264"/>
    <w:p w14:paraId="7E2CA391">
      <w:pPr>
        <w:ind w:firstLine="464"/>
        <w:rPr>
          <w:b/>
        </w:rPr>
      </w:pPr>
      <w:r>
        <w:rPr>
          <w:b/>
          <w:szCs w:val="20"/>
          <w:lang w:bidi="ar"/>
        </w:rPr>
        <w:t>2</w:t>
      </w:r>
      <w:r>
        <w:rPr>
          <w:rFonts w:hint="eastAsia" w:cs="宋体"/>
          <w:b/>
          <w:szCs w:val="20"/>
          <w:lang w:bidi="ar"/>
        </w:rPr>
        <w:t>、陆域用地情况</w:t>
      </w:r>
    </w:p>
    <w:p w14:paraId="42046850">
      <w:pPr>
        <w:ind w:firstLine="462"/>
        <w:rPr>
          <w:rFonts w:cs="宋体"/>
          <w:szCs w:val="20"/>
          <w:lang w:bidi="ar"/>
        </w:rPr>
      </w:pPr>
      <w:r>
        <w:rPr>
          <w:rFonts w:hint="eastAsia" w:cs="宋体"/>
          <w:szCs w:val="20"/>
          <w:lang w:bidi="ar"/>
        </w:rPr>
        <w:t>项目直立式护岸主体水工建筑物由大榄坪南作业区</w:t>
      </w:r>
      <w:bookmarkStart w:id="265" w:name="OLE_LINK54"/>
      <w:bookmarkStart w:id="266" w:name="OLE_LINK35"/>
      <w:r>
        <w:rPr>
          <w:szCs w:val="20"/>
          <w:lang w:bidi="ar"/>
        </w:rPr>
        <w:t>9</w:t>
      </w:r>
      <w:r>
        <w:rPr>
          <w:rFonts w:hint="eastAsia" w:cs="宋体"/>
          <w:szCs w:val="20"/>
          <w:lang w:bidi="ar"/>
        </w:rPr>
        <w:t>号</w:t>
      </w:r>
      <w:r>
        <w:rPr>
          <w:szCs w:val="20"/>
          <w:lang w:bidi="ar"/>
        </w:rPr>
        <w:t>10</w:t>
      </w:r>
      <w:r>
        <w:rPr>
          <w:rFonts w:hint="eastAsia" w:cs="宋体"/>
          <w:szCs w:val="20"/>
          <w:lang w:bidi="ar"/>
        </w:rPr>
        <w:t>号泊位扩建</w:t>
      </w:r>
      <w:bookmarkEnd w:id="265"/>
      <w:r>
        <w:rPr>
          <w:rFonts w:hint="eastAsia" w:cs="宋体"/>
          <w:szCs w:val="20"/>
          <w:lang w:bidi="ar"/>
        </w:rPr>
        <w:t>工程</w:t>
      </w:r>
      <w:bookmarkEnd w:id="266"/>
      <w:r>
        <w:rPr>
          <w:rFonts w:hint="eastAsia" w:cs="宋体"/>
          <w:szCs w:val="20"/>
          <w:lang w:bidi="ar"/>
        </w:rPr>
        <w:t>完成，该项目于</w:t>
      </w:r>
      <w:r>
        <w:rPr>
          <w:szCs w:val="20"/>
          <w:lang w:bidi="ar"/>
        </w:rPr>
        <w:t>2024</w:t>
      </w:r>
      <w:r>
        <w:rPr>
          <w:rFonts w:hint="eastAsia" w:cs="宋体"/>
          <w:szCs w:val="20"/>
          <w:lang w:bidi="ar"/>
        </w:rPr>
        <w:t>年</w:t>
      </w:r>
      <w:r>
        <w:rPr>
          <w:szCs w:val="20"/>
          <w:lang w:bidi="ar"/>
        </w:rPr>
        <w:t>12</w:t>
      </w:r>
      <w:r>
        <w:rPr>
          <w:rFonts w:hint="eastAsia" w:cs="宋体"/>
          <w:szCs w:val="20"/>
          <w:lang w:bidi="ar"/>
        </w:rPr>
        <w:t>月取得《中国</w:t>
      </w:r>
      <w:r>
        <w:rPr>
          <w:szCs w:val="20"/>
          <w:lang w:bidi="ar"/>
        </w:rPr>
        <w:t>(</w:t>
      </w:r>
      <w:r>
        <w:rPr>
          <w:rFonts w:hint="eastAsia" w:cs="宋体"/>
          <w:szCs w:val="20"/>
          <w:lang w:bidi="ar"/>
        </w:rPr>
        <w:t>广西</w:t>
      </w:r>
      <w:r>
        <w:rPr>
          <w:szCs w:val="20"/>
          <w:lang w:bidi="ar"/>
        </w:rPr>
        <w:t>)</w:t>
      </w:r>
      <w:r>
        <w:rPr>
          <w:rFonts w:hint="eastAsia" w:cs="宋体"/>
          <w:szCs w:val="20"/>
          <w:lang w:bidi="ar"/>
        </w:rPr>
        <w:t>自由贸易试验区钦州港片区行政审批局关于北部湾港钦州港域大榄坪港区大榄坪南作业区</w:t>
      </w:r>
      <w:r>
        <w:rPr>
          <w:szCs w:val="20"/>
          <w:lang w:bidi="ar"/>
        </w:rPr>
        <w:t>9</w:t>
      </w:r>
      <w:r>
        <w:rPr>
          <w:rFonts w:hint="eastAsia" w:cs="宋体"/>
          <w:szCs w:val="20"/>
          <w:lang w:bidi="ar"/>
        </w:rPr>
        <w:t>号</w:t>
      </w:r>
      <w:r>
        <w:rPr>
          <w:szCs w:val="20"/>
          <w:lang w:bidi="ar"/>
        </w:rPr>
        <w:t>10</w:t>
      </w:r>
      <w:r>
        <w:rPr>
          <w:rFonts w:hint="eastAsia" w:cs="宋体"/>
          <w:szCs w:val="20"/>
          <w:lang w:bidi="ar"/>
        </w:rPr>
        <w:t>号泊位扩建工程环境影响报告书的批复》（自贸钦审批环〔</w:t>
      </w:r>
      <w:r>
        <w:rPr>
          <w:szCs w:val="20"/>
          <w:lang w:bidi="ar"/>
        </w:rPr>
        <w:t>2024</w:t>
      </w:r>
      <w:r>
        <w:rPr>
          <w:rFonts w:hint="eastAsia" w:cs="宋体"/>
          <w:szCs w:val="20"/>
          <w:lang w:bidi="ar"/>
        </w:rPr>
        <w:t>〕</w:t>
      </w:r>
      <w:r>
        <w:rPr>
          <w:szCs w:val="20"/>
          <w:lang w:bidi="ar"/>
        </w:rPr>
        <w:t>58</w:t>
      </w:r>
      <w:r>
        <w:rPr>
          <w:rFonts w:hint="eastAsia" w:cs="宋体"/>
          <w:szCs w:val="20"/>
          <w:lang w:bidi="ar"/>
        </w:rPr>
        <w:t>号）；陆域依托</w:t>
      </w:r>
      <w:r>
        <w:rPr>
          <w:szCs w:val="20"/>
          <w:lang w:bidi="ar"/>
        </w:rPr>
        <w:t>9</w:t>
      </w:r>
      <w:r>
        <w:rPr>
          <w:rFonts w:hint="eastAsia" w:cs="宋体"/>
          <w:szCs w:val="20"/>
          <w:lang w:bidi="ar"/>
        </w:rPr>
        <w:t>号</w:t>
      </w:r>
      <w:r>
        <w:rPr>
          <w:szCs w:val="20"/>
          <w:lang w:bidi="ar"/>
        </w:rPr>
        <w:t>10</w:t>
      </w:r>
      <w:r>
        <w:rPr>
          <w:rFonts w:hint="eastAsia" w:cs="宋体"/>
          <w:szCs w:val="20"/>
          <w:lang w:bidi="ar"/>
        </w:rPr>
        <w:t>号泊位扩建工程同期实施的昊鼎仓储物流中心围填海项目。</w:t>
      </w:r>
    </w:p>
    <w:p w14:paraId="765558A6">
      <w:pPr>
        <w:ind w:firstLine="462"/>
      </w:pPr>
      <w:bookmarkStart w:id="267" w:name="OLE_LINK111"/>
      <w:r>
        <w:rPr>
          <w:rFonts w:hint="eastAsia"/>
        </w:rPr>
        <w:t>钦州保税港区昊鼎仓储物流中心项目于2009年3月经钦州市发展和改革委员会批复项目立项，2009年11月经钦州市人民政府报自治区人民政府批准钦州保税港区昊鼎仓储物流中心项目使用海域，用海面积为38.9219公顷（用海方式为填海）。2009年12月取得自治区海洋局颁发的项目海域使用权证书，并于2010年开始填海。2019年5月广西钦州保税港区开发投资有限责任公司将该项目海域使用权无偿划转</w:t>
      </w:r>
      <w:bookmarkStart w:id="268" w:name="OLE_LINK120"/>
      <w:r>
        <w:rPr>
          <w:rFonts w:hint="eastAsia"/>
        </w:rPr>
        <w:t>广西钦州保税港区宏港码头有限公司</w:t>
      </w:r>
      <w:bookmarkEnd w:id="268"/>
      <w:r>
        <w:rPr>
          <w:rFonts w:hint="eastAsia"/>
        </w:rPr>
        <w:t>，不动产权证书编号为：桂（2019）钦州市不动产权第0181131号。至2023年尚有22.8591公顷处于批而未填状态，2023年11月取得《广西壮族自治区海洋局关于钦州保税港区昊鼎仓储物流中心项目继续填海有关事项的批复》（桂海函〔2023〕年790号），经自治区海洋局报自治区人民政府同意项目继续填海。</w:t>
      </w:r>
      <w:bookmarkEnd w:id="267"/>
      <w:r>
        <w:rPr>
          <w:rFonts w:hint="eastAsia"/>
        </w:rPr>
        <w:t>2024年11月，基于《北部湾港总体规划（2035年）》中泊位规划情况，广西钦州保税港区宏港码头有限公司申请将该项目中的8.4321公顷用海方式由填海造地改成港池用海（即本次项目部分港池用海）。</w:t>
      </w:r>
    </w:p>
    <w:p w14:paraId="10BE7739">
      <w:pPr>
        <w:ind w:firstLine="0" w:firstLineChars="0"/>
      </w:pPr>
      <w:r>
        <w:rPr>
          <w:rFonts w:hint="eastAsia"/>
        </w:rPr>
        <mc:AlternateContent>
          <mc:Choice Requires="wps">
            <w:drawing>
              <wp:anchor distT="0" distB="0" distL="114300" distR="114300" simplePos="0" relativeHeight="251668480" behindDoc="0" locked="0" layoutInCell="1" allowOverlap="1">
                <wp:simplePos x="0" y="0"/>
                <wp:positionH relativeFrom="column">
                  <wp:posOffset>1505585</wp:posOffset>
                </wp:positionH>
                <wp:positionV relativeFrom="paragraph">
                  <wp:posOffset>1917700</wp:posOffset>
                </wp:positionV>
                <wp:extent cx="1395730" cy="536575"/>
                <wp:effectExtent l="0" t="323850" r="0" b="320675"/>
                <wp:wrapNone/>
                <wp:docPr id="515157178" name="文本框 36"/>
                <wp:cNvGraphicFramePr/>
                <a:graphic xmlns:a="http://schemas.openxmlformats.org/drawingml/2006/main">
                  <a:graphicData uri="http://schemas.microsoft.com/office/word/2010/wordprocessingShape">
                    <wps:wsp>
                      <wps:cNvSpPr txBox="1"/>
                      <wps:spPr>
                        <a:xfrm rot="19319366">
                          <a:off x="0" y="0"/>
                          <a:ext cx="1395630" cy="536615"/>
                        </a:xfrm>
                        <a:prstGeom prst="rect">
                          <a:avLst/>
                        </a:prstGeom>
                        <a:noFill/>
                        <a:ln w="6350">
                          <a:noFill/>
                        </a:ln>
                      </wps:spPr>
                      <wps:txbx>
                        <w:txbxContent>
                          <w:p w14:paraId="7BB152D0">
                            <w:pPr>
                              <w:spacing w:line="240" w:lineRule="exact"/>
                              <w:ind w:firstLine="0" w:firstLineChars="0"/>
                              <w:rPr>
                                <w:rFonts w:ascii="华文新魏" w:eastAsia="华文新魏"/>
                                <w:b/>
                                <w:bCs/>
                                <w:color w:val="EE0000"/>
                                <w:sz w:val="18"/>
                                <w:szCs w:val="18"/>
                              </w:rPr>
                            </w:pPr>
                            <w:r>
                              <w:rPr>
                                <w:rFonts w:hint="eastAsia" w:ascii="华文新魏" w:eastAsia="华文新魏"/>
                                <w:b/>
                                <w:bCs/>
                                <w:color w:val="EE0000"/>
                                <w:sz w:val="18"/>
                                <w:szCs w:val="18"/>
                              </w:rPr>
                              <w:t>本项目岸线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6" o:spid="_x0000_s1026" o:spt="202" type="#_x0000_t202" style="position:absolute;left:0pt;margin-left:118.55pt;margin-top:151pt;height:42.25pt;width:109.9pt;rotation:-2491060f;z-index:251668480;mso-width-relative:page;mso-height-relative:page;" filled="f" stroked="f" coordsize="21600,21600" o:gfxdata="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RcLCF9cAAAALAQAADwAAAAAAAAAB&#10;ACAAAAAiAAAAZHJzL2Rvd25yZXYueG1sUEsBAhQAFAAAAAgAh07iQMxW2LVKAgAAfgQAAA4AAAAA&#10;AAAAAQAgAAAAJgEAAGRycy9lMm9Eb2MueG1sUEsFBgAAAAAGAAYAWQEAAOIFAAAAAA==&#10;">
                <v:fill on="f" focussize="0,0"/>
                <v:stroke on="f" weight="0.5pt"/>
                <v:imagedata o:title=""/>
                <o:lock v:ext="edit" aspectratio="f"/>
                <v:textbox>
                  <w:txbxContent>
                    <w:p w14:paraId="7BB152D0">
                      <w:pPr>
                        <w:spacing w:line="240" w:lineRule="exact"/>
                        <w:ind w:firstLine="0" w:firstLineChars="0"/>
                        <w:rPr>
                          <w:rFonts w:ascii="华文新魏" w:eastAsia="华文新魏"/>
                          <w:b/>
                          <w:bCs/>
                          <w:color w:val="EE0000"/>
                          <w:sz w:val="18"/>
                          <w:szCs w:val="18"/>
                        </w:rPr>
                      </w:pPr>
                      <w:r>
                        <w:rPr>
                          <w:rFonts w:hint="eastAsia" w:ascii="华文新魏" w:eastAsia="华文新魏"/>
                          <w:b/>
                          <w:bCs/>
                          <w:color w:val="EE0000"/>
                          <w:sz w:val="18"/>
                          <w:szCs w:val="18"/>
                        </w:rPr>
                        <w:t>本项目岸线</w:t>
                      </w:r>
                    </w:p>
                  </w:txbxContent>
                </v:textbox>
              </v:shape>
            </w:pict>
          </mc:Fallback>
        </mc:AlternateContent>
      </w:r>
      <w:r>
        <w:rPr>
          <w:rFonts w:hint="eastAsia"/>
        </w:rPr>
        <mc:AlternateContent>
          <mc:Choice Requires="wps">
            <w:drawing>
              <wp:anchor distT="0" distB="0" distL="114300" distR="114300" simplePos="0" relativeHeight="251667456" behindDoc="0" locked="0" layoutInCell="1" allowOverlap="1">
                <wp:simplePos x="0" y="0"/>
                <wp:positionH relativeFrom="column">
                  <wp:posOffset>1280795</wp:posOffset>
                </wp:positionH>
                <wp:positionV relativeFrom="paragraph">
                  <wp:posOffset>1740535</wp:posOffset>
                </wp:positionV>
                <wp:extent cx="1471295" cy="1043305"/>
                <wp:effectExtent l="19050" t="19050" r="15240" b="23495"/>
                <wp:wrapNone/>
                <wp:docPr id="1562111256" name="任意多边形: 形状 39"/>
                <wp:cNvGraphicFramePr/>
                <a:graphic xmlns:a="http://schemas.openxmlformats.org/drawingml/2006/main">
                  <a:graphicData uri="http://schemas.microsoft.com/office/word/2010/wordprocessingShape">
                    <wps:wsp>
                      <wps:cNvSpPr/>
                      <wps:spPr>
                        <a:xfrm>
                          <a:off x="0" y="0"/>
                          <a:ext cx="1471246" cy="1043354"/>
                        </a:xfrm>
                        <a:custGeom>
                          <a:avLst/>
                          <a:gdLst>
                            <a:gd name="connsiteX0" fmla="*/ 0 w 1471246"/>
                            <a:gd name="connsiteY0" fmla="*/ 1043354 h 1043354"/>
                            <a:gd name="connsiteX1" fmla="*/ 1471246 w 1471246"/>
                            <a:gd name="connsiteY1" fmla="*/ 0 h 1043354"/>
                          </a:gdLst>
                          <a:ahLst/>
                          <a:cxnLst>
                            <a:cxn ang="0">
                              <a:pos x="connsiteX0" y="connsiteY0"/>
                            </a:cxn>
                            <a:cxn ang="0">
                              <a:pos x="connsiteX1" y="connsiteY1"/>
                            </a:cxn>
                          </a:cxnLst>
                          <a:rect l="l" t="t" r="r" b="b"/>
                          <a:pathLst>
                            <a:path w="1471246" h="1043354">
                              <a:moveTo>
                                <a:pt x="0" y="1043354"/>
                              </a:moveTo>
                              <a:lnTo>
                                <a:pt x="1471246" y="0"/>
                              </a:lnTo>
                            </a:path>
                          </a:pathLst>
                        </a:custGeom>
                        <a:noFill/>
                        <a:ln w="28575">
                          <a:solidFill>
                            <a:srgbClr val="0000F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39" o:spid="_x0000_s1026" o:spt="100" style="position:absolute;left:0pt;margin-left:100.85pt;margin-top:137.05pt;height:82.15pt;width:115.85pt;z-index:251667456;v-text-anchor:middle;mso-width-relative:page;mso-height-relative:page;" filled="f" stroked="t" coordsize="1471246,1043354" o:gfxdata="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" path="m0,1043354l1471246,0e">
                <v:path o:connectlocs="0,1043354;1471246,0" o:connectangles="0,0"/>
                <v:fill on="f" focussize="0,0"/>
                <v:stroke weight="2.25pt" color="#0000FF [3204]" miterlimit="8" joinstyle="miter"/>
                <v:imagedata o:title=""/>
                <o:lock v:ext="edit" aspectratio="f"/>
              </v:shape>
            </w:pict>
          </mc:Fallback>
        </mc:AlternateContent>
      </w:r>
      <w:r>
        <w:rPr>
          <w:rFonts w:hint="eastAsia"/>
        </w:rPr>
        <mc:AlternateContent>
          <mc:Choice Requires="wps">
            <w:drawing>
              <wp:anchor distT="0" distB="0" distL="114300" distR="114300" simplePos="0" relativeHeight="251666432" behindDoc="0" locked="0" layoutInCell="1" allowOverlap="1">
                <wp:simplePos x="0" y="0"/>
                <wp:positionH relativeFrom="column">
                  <wp:posOffset>905510</wp:posOffset>
                </wp:positionH>
                <wp:positionV relativeFrom="paragraph">
                  <wp:posOffset>2291715</wp:posOffset>
                </wp:positionV>
                <wp:extent cx="375285" cy="504190"/>
                <wp:effectExtent l="19050" t="19050" r="25400" b="10795"/>
                <wp:wrapNone/>
                <wp:docPr id="573087671" name="任意多边形: 形状 38"/>
                <wp:cNvGraphicFramePr/>
                <a:graphic xmlns:a="http://schemas.openxmlformats.org/drawingml/2006/main">
                  <a:graphicData uri="http://schemas.microsoft.com/office/word/2010/wordprocessingShape">
                    <wps:wsp>
                      <wps:cNvSpPr/>
                      <wps:spPr>
                        <a:xfrm>
                          <a:off x="0" y="0"/>
                          <a:ext cx="375138" cy="504092"/>
                        </a:xfrm>
                        <a:custGeom>
                          <a:avLst/>
                          <a:gdLst>
                            <a:gd name="connsiteX0" fmla="*/ 0 w 375138"/>
                            <a:gd name="connsiteY0" fmla="*/ 0 h 504092"/>
                            <a:gd name="connsiteX1" fmla="*/ 375138 w 375138"/>
                            <a:gd name="connsiteY1" fmla="*/ 504092 h 504092"/>
                          </a:gdLst>
                          <a:ahLst/>
                          <a:cxnLst>
                            <a:cxn ang="0">
                              <a:pos x="connsiteX0" y="connsiteY0"/>
                            </a:cxn>
                            <a:cxn ang="0">
                              <a:pos x="connsiteX1" y="connsiteY1"/>
                            </a:cxn>
                          </a:cxnLst>
                          <a:rect l="l" t="t" r="r" b="b"/>
                          <a:pathLst>
                            <a:path w="375138" h="504092">
                              <a:moveTo>
                                <a:pt x="0" y="0"/>
                              </a:moveTo>
                              <a:lnTo>
                                <a:pt x="375138" y="504092"/>
                              </a:lnTo>
                            </a:path>
                          </a:pathLst>
                        </a:custGeom>
                        <a:noFill/>
                        <a:ln w="28575">
                          <a:solidFill>
                            <a:srgbClr val="0000F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38" o:spid="_x0000_s1026" o:spt="100" style="position:absolute;left:0pt;margin-left:71.3pt;margin-top:180.45pt;height:39.7pt;width:29.55pt;z-index:251666432;v-text-anchor:middle;mso-width-relative:page;mso-height-relative:page;" filled="f" stroked="t" coordsize="375138,504092" o:gfxdata="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" path="m0,0l375138,504092e">
                <v:path o:connectlocs="0,0;375138,504092" o:connectangles="0,0"/>
                <v:fill on="f" focussize="0,0"/>
                <v:stroke weight="2.25pt" color="#0000FF [3204]" miterlimit="8" joinstyle="miter"/>
                <v:imagedata o:title=""/>
                <o:lock v:ext="edit" aspectratio="f"/>
              </v:shape>
            </w:pict>
          </mc:Fallback>
        </mc:AlternateContent>
      </w:r>
      <w:r>
        <w:rPr>
          <w:rFonts w:hint="eastAsia"/>
        </w:rPr>
        <mc:AlternateContent>
          <mc:Choice Requires="wps">
            <w:drawing>
              <wp:anchor distT="0" distB="0" distL="114300" distR="114300" simplePos="0" relativeHeight="251665408" behindDoc="0" locked="0" layoutInCell="1" allowOverlap="1">
                <wp:simplePos x="0" y="0"/>
                <wp:positionH relativeFrom="column">
                  <wp:posOffset>482600</wp:posOffset>
                </wp:positionH>
                <wp:positionV relativeFrom="paragraph">
                  <wp:posOffset>2473960</wp:posOffset>
                </wp:positionV>
                <wp:extent cx="815340" cy="536575"/>
                <wp:effectExtent l="139382" t="13018" r="47943" b="28892"/>
                <wp:wrapNone/>
                <wp:docPr id="671360214" name="文本框 36"/>
                <wp:cNvGraphicFramePr/>
                <a:graphic xmlns:a="http://schemas.openxmlformats.org/drawingml/2006/main">
                  <a:graphicData uri="http://schemas.microsoft.com/office/word/2010/wordprocessingShape">
                    <wps:wsp>
                      <wps:cNvSpPr txBox="1"/>
                      <wps:spPr>
                        <a:xfrm rot="3134530">
                          <a:off x="0" y="0"/>
                          <a:ext cx="815514" cy="536615"/>
                        </a:xfrm>
                        <a:prstGeom prst="rect">
                          <a:avLst/>
                        </a:prstGeom>
                        <a:noFill/>
                        <a:ln w="6350">
                          <a:noFill/>
                        </a:ln>
                      </wps:spPr>
                      <wps:txbx>
                        <w:txbxContent>
                          <w:p w14:paraId="07A9E846">
                            <w:pPr>
                              <w:spacing w:line="240" w:lineRule="exact"/>
                              <w:ind w:firstLine="0" w:firstLineChars="0"/>
                              <w:rPr>
                                <w:rFonts w:ascii="华文新魏" w:eastAsia="华文新魏"/>
                                <w:b/>
                                <w:bCs/>
                                <w:color w:val="EE0000"/>
                                <w:sz w:val="18"/>
                                <w:szCs w:val="18"/>
                              </w:rPr>
                            </w:pPr>
                            <w:r>
                              <w:rPr>
                                <w:rFonts w:hint="eastAsia" w:ascii="华文新魏" w:eastAsia="华文新魏"/>
                                <w:b/>
                                <w:bCs/>
                                <w:color w:val="EE0000"/>
                                <w:sz w:val="18"/>
                                <w:szCs w:val="18"/>
                              </w:rPr>
                              <w:t>9、10号扩建工程岸线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6" o:spid="_x0000_s1026" o:spt="202" type="#_x0000_t202" style="position:absolute;left:0pt;margin-left:38pt;margin-top:194.8pt;height:42.25pt;width:64.2pt;rotation:3423743f;z-index:251665408;mso-width-relative:page;mso-height-relative:page;" filled="f" stroked="f" coordsize="21600,21600" o:gfxdata="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OIJF3bAAAACgEAAA8AAAAA&#10;AAAAAQAgAAAAIgAAAGRycy9kb3ducmV2LnhtbFBLAQIUABQAAAAIAIdO4kDieA6aSgIAAHwEAAAO&#10;AAAAAAAAAAEAIAAAACoBAABkcnMvZTJvRG9jLnhtbFBLBQYAAAAABgAGAFkBAADmBQAAAAA=&#10;">
                <v:fill on="f" focussize="0,0"/>
                <v:stroke on="f" weight="0.5pt"/>
                <v:imagedata o:title=""/>
                <o:lock v:ext="edit" aspectratio="f"/>
                <v:textbox>
                  <w:txbxContent>
                    <w:p w14:paraId="07A9E846">
                      <w:pPr>
                        <w:spacing w:line="240" w:lineRule="exact"/>
                        <w:ind w:firstLine="0" w:firstLineChars="0"/>
                        <w:rPr>
                          <w:rFonts w:ascii="华文新魏" w:eastAsia="华文新魏"/>
                          <w:b/>
                          <w:bCs/>
                          <w:color w:val="EE0000"/>
                          <w:sz w:val="18"/>
                          <w:szCs w:val="18"/>
                        </w:rPr>
                      </w:pPr>
                      <w:r>
                        <w:rPr>
                          <w:rFonts w:hint="eastAsia" w:ascii="华文新魏" w:eastAsia="华文新魏"/>
                          <w:b/>
                          <w:bCs/>
                          <w:color w:val="EE0000"/>
                          <w:sz w:val="18"/>
                          <w:szCs w:val="18"/>
                        </w:rPr>
                        <w:t>9、10号扩建工程岸线</w:t>
                      </w:r>
                    </w:p>
                  </w:txbxContent>
                </v:textbox>
              </v:shape>
            </w:pict>
          </mc:Fallback>
        </mc:AlternateContent>
      </w:r>
    </w:p>
    <w:p w14:paraId="097DD555">
      <w:pPr>
        <w:pStyle w:val="8"/>
      </w:pPr>
      <w:r>
        <w:rPr>
          <w:rFonts w:hint="eastAsia"/>
        </w:rPr>
        <w:t>昊鼎仓储用海范围划分情况</w:t>
      </w:r>
    </w:p>
    <w:p w14:paraId="3E22A99E">
      <w:pPr>
        <w:pStyle w:val="5"/>
      </w:pPr>
      <w:r>
        <w:rPr>
          <w:rFonts w:hint="eastAsia"/>
        </w:rPr>
        <w:t>航道、锚地</w:t>
      </w:r>
    </w:p>
    <w:p w14:paraId="5902019C">
      <w:pPr>
        <w:adjustRightInd w:val="0"/>
        <w:ind w:firstLine="462"/>
      </w:pPr>
      <w:r>
        <w:rPr>
          <w:rFonts w:hint="eastAsia" w:cs="宋体"/>
          <w:bCs/>
          <w:lang w:bidi="ar"/>
        </w:rPr>
        <w:t>工程码头前沿为钦州湾东航道，进出港可利用</w:t>
      </w:r>
      <w:bookmarkStart w:id="269" w:name="OLE_LINK231"/>
      <w:r>
        <w:rPr>
          <w:rFonts w:hint="eastAsia" w:cs="宋体"/>
          <w:bCs/>
          <w:lang w:bidi="ar"/>
        </w:rPr>
        <w:t>钦州港东航道</w:t>
      </w:r>
      <w:bookmarkEnd w:id="269"/>
      <w:r>
        <w:rPr>
          <w:rFonts w:hint="eastAsia" w:cs="宋体"/>
          <w:bCs/>
          <w:lang w:bidi="ar"/>
        </w:rPr>
        <w:t>和平陆运河。钦州港东航道现状南段航道底高程</w:t>
      </w:r>
      <w:r>
        <w:rPr>
          <w:bCs/>
          <w:lang w:bidi="ar"/>
        </w:rPr>
        <w:t>-16.3m</w:t>
      </w:r>
      <w:r>
        <w:rPr>
          <w:rFonts w:hint="eastAsia" w:cs="宋体"/>
          <w:bCs/>
          <w:lang w:bidi="ar"/>
        </w:rPr>
        <w:t>，三墩航道底高程</w:t>
      </w:r>
      <w:r>
        <w:rPr>
          <w:bCs/>
          <w:lang w:bidi="ar"/>
        </w:rPr>
        <w:t>-16.3m</w:t>
      </w:r>
      <w:r>
        <w:rPr>
          <w:rFonts w:hint="eastAsia" w:cs="宋体"/>
          <w:bCs/>
          <w:lang w:bidi="ar"/>
        </w:rPr>
        <w:t>（岩石区</w:t>
      </w:r>
      <w:r>
        <w:rPr>
          <w:bCs/>
          <w:lang w:bidi="ar"/>
        </w:rPr>
        <w:t>-16.5m</w:t>
      </w:r>
      <w:r>
        <w:rPr>
          <w:rFonts w:hint="eastAsia" w:cs="宋体"/>
          <w:bCs/>
          <w:lang w:bidi="ar"/>
        </w:rPr>
        <w:t>），大榄坪航道</w:t>
      </w:r>
      <w:r>
        <w:rPr>
          <w:bCs/>
          <w:lang w:bidi="ar"/>
        </w:rPr>
        <w:t>1</w:t>
      </w:r>
      <w:r>
        <w:rPr>
          <w:rFonts w:hint="eastAsia" w:cs="宋体"/>
          <w:bCs/>
          <w:lang w:bidi="ar"/>
        </w:rPr>
        <w:t>底高程</w:t>
      </w:r>
      <w:r>
        <w:rPr>
          <w:bCs/>
          <w:lang w:bidi="ar"/>
        </w:rPr>
        <w:t>-16.3m</w:t>
      </w:r>
      <w:r>
        <w:rPr>
          <w:rFonts w:hint="eastAsia" w:cs="宋体"/>
          <w:bCs/>
          <w:lang w:bidi="ar"/>
        </w:rPr>
        <w:t>，大榄坪航道</w:t>
      </w:r>
      <w:r>
        <w:rPr>
          <w:bCs/>
          <w:lang w:bidi="ar"/>
        </w:rPr>
        <w:t>2</w:t>
      </w:r>
      <w:r>
        <w:rPr>
          <w:rFonts w:hint="eastAsia" w:cs="宋体"/>
          <w:bCs/>
          <w:lang w:bidi="ar"/>
        </w:rPr>
        <w:t>（至大榄坪</w:t>
      </w:r>
      <w:r>
        <w:rPr>
          <w:bCs/>
          <w:lang w:bidi="ar"/>
        </w:rPr>
        <w:t>9</w:t>
      </w:r>
      <w:r>
        <w:rPr>
          <w:rFonts w:hint="eastAsia" w:cs="宋体"/>
          <w:bCs/>
          <w:lang w:bidi="ar"/>
        </w:rPr>
        <w:t>号泊位航段）底高程</w:t>
      </w:r>
      <w:r>
        <w:rPr>
          <w:bCs/>
          <w:lang w:bidi="ar"/>
        </w:rPr>
        <w:t>-16.3m</w:t>
      </w:r>
      <w:r>
        <w:rPr>
          <w:rFonts w:hint="eastAsia" w:cs="宋体"/>
          <w:bCs/>
          <w:lang w:bidi="ar"/>
        </w:rPr>
        <w:t>，现状大榄坪航道</w:t>
      </w:r>
      <w:r>
        <w:rPr>
          <w:bCs/>
          <w:lang w:bidi="ar"/>
        </w:rPr>
        <w:t>1</w:t>
      </w:r>
      <w:r>
        <w:rPr>
          <w:rFonts w:hint="eastAsia" w:cs="宋体"/>
          <w:bCs/>
          <w:lang w:bidi="ar"/>
        </w:rPr>
        <w:t>和大榄坪航道</w:t>
      </w:r>
      <w:r>
        <w:rPr>
          <w:bCs/>
          <w:lang w:bidi="ar"/>
        </w:rPr>
        <w:t>2</w:t>
      </w:r>
      <w:r>
        <w:rPr>
          <w:rFonts w:hint="eastAsia" w:cs="宋体"/>
          <w:bCs/>
          <w:lang w:bidi="ar"/>
        </w:rPr>
        <w:t>（至大榄坪</w:t>
      </w:r>
      <w:r>
        <w:rPr>
          <w:bCs/>
          <w:lang w:bidi="ar"/>
        </w:rPr>
        <w:t>9</w:t>
      </w:r>
      <w:r>
        <w:rPr>
          <w:rFonts w:hint="eastAsia" w:cs="宋体"/>
          <w:bCs/>
          <w:lang w:bidi="ar"/>
        </w:rPr>
        <w:t>号泊位航段）底高程</w:t>
      </w:r>
      <w:r>
        <w:rPr>
          <w:bCs/>
          <w:lang w:bidi="ar"/>
        </w:rPr>
        <w:t>-16.3m</w:t>
      </w:r>
      <w:r>
        <w:rPr>
          <w:rFonts w:hint="eastAsia" w:cs="宋体"/>
          <w:bCs/>
          <w:lang w:bidi="ar"/>
        </w:rPr>
        <w:t>，满足</w:t>
      </w:r>
      <w:r>
        <w:rPr>
          <w:bCs/>
          <w:lang w:bidi="ar"/>
        </w:rPr>
        <w:t>5</w:t>
      </w:r>
      <w:r>
        <w:rPr>
          <w:rFonts w:hint="eastAsia" w:cs="宋体"/>
          <w:bCs/>
          <w:lang w:bidi="ar"/>
        </w:rPr>
        <w:t>千吨级集装箱船满载进出港的要求。项目回旋水域前方航道条件良好，不需再配套建设进港航道。</w:t>
      </w:r>
    </w:p>
    <w:p w14:paraId="3D049B1C">
      <w:pPr>
        <w:adjustRightInd w:val="0"/>
        <w:ind w:firstLine="462"/>
      </w:pPr>
      <w:r>
        <w:rPr>
          <w:rFonts w:hint="eastAsia" w:cs="宋体"/>
          <w:bCs/>
          <w:lang w:bidi="ar"/>
        </w:rPr>
        <w:t>项目</w:t>
      </w:r>
      <w:r>
        <w:rPr>
          <w:bCs/>
          <w:lang w:bidi="ar"/>
        </w:rPr>
        <w:t>5000</w:t>
      </w:r>
      <w:r>
        <w:rPr>
          <w:rFonts w:hint="eastAsia" w:cs="宋体"/>
          <w:bCs/>
          <w:lang w:bidi="ar"/>
        </w:rPr>
        <w:t>吨级集装箱船选用钦州湾内锚地为内</w:t>
      </w:r>
      <w:r>
        <w:rPr>
          <w:bCs/>
          <w:lang w:bidi="ar"/>
        </w:rPr>
        <w:t>1#~</w:t>
      </w:r>
      <w:r>
        <w:rPr>
          <w:rFonts w:hint="eastAsia" w:cs="宋体"/>
          <w:bCs/>
          <w:lang w:bidi="ar"/>
        </w:rPr>
        <w:t>内</w:t>
      </w:r>
      <w:r>
        <w:rPr>
          <w:bCs/>
          <w:lang w:bidi="ar"/>
        </w:rPr>
        <w:t>2#</w:t>
      </w:r>
      <w:r>
        <w:rPr>
          <w:rFonts w:hint="eastAsia" w:cs="宋体"/>
          <w:bCs/>
          <w:lang w:bidi="ar"/>
        </w:rPr>
        <w:t>锚地和规划的锚地钦州湾内</w:t>
      </w:r>
      <w:r>
        <w:rPr>
          <w:bCs/>
          <w:lang w:bidi="ar"/>
        </w:rPr>
        <w:t>3</w:t>
      </w:r>
      <w:r>
        <w:rPr>
          <w:rFonts w:hint="eastAsia" w:cs="宋体"/>
          <w:bCs/>
          <w:lang w:bidi="ar"/>
        </w:rPr>
        <w:t>号锚地锚泊。</w:t>
      </w:r>
    </w:p>
    <w:p w14:paraId="0214F73C">
      <w:pPr>
        <w:pStyle w:val="5"/>
      </w:pPr>
      <w:r>
        <w:rPr>
          <w:rFonts w:hint="eastAsia"/>
        </w:rPr>
        <w:t>投资估算</w:t>
      </w:r>
    </w:p>
    <w:p w14:paraId="1CD2A166">
      <w:pPr>
        <w:ind w:firstLine="462"/>
        <w:rPr>
          <w:u w:val="single"/>
          <w:lang w:bidi="ar"/>
        </w:rPr>
      </w:pPr>
      <w:r>
        <w:rPr>
          <w:rFonts w:hint="eastAsia"/>
          <w:u w:val="single"/>
          <w:lang w:bidi="ar"/>
        </w:rPr>
        <w:t>项目工程总投资为</w:t>
      </w:r>
      <w:r>
        <w:rPr>
          <w:u w:val="single"/>
        </w:rPr>
        <w:t>94122</w:t>
      </w:r>
      <w:r>
        <w:rPr>
          <w:rFonts w:hint="eastAsia"/>
          <w:u w:val="single"/>
          <w:lang w:bidi="ar"/>
        </w:rPr>
        <w:t>万元。</w:t>
      </w:r>
    </w:p>
    <w:p w14:paraId="11FE9050">
      <w:pPr>
        <w:pStyle w:val="4"/>
      </w:pPr>
      <w:bookmarkStart w:id="270" w:name="_Toc217977911"/>
      <w:bookmarkStart w:id="271" w:name="_Toc198042315"/>
      <w:r>
        <w:t>施工方案</w:t>
      </w:r>
      <w:bookmarkEnd w:id="270"/>
      <w:bookmarkEnd w:id="271"/>
    </w:p>
    <w:p w14:paraId="6DF31883">
      <w:pPr>
        <w:pStyle w:val="5"/>
      </w:pPr>
      <w:r>
        <w:t>施工方案</w:t>
      </w:r>
    </w:p>
    <w:p w14:paraId="2200566C">
      <w:pPr>
        <w:ind w:firstLine="462"/>
      </w:pPr>
      <w:r>
        <w:t>项目施工内容主要为水域疏浚</w:t>
      </w:r>
      <w:r>
        <w:rPr>
          <w:rFonts w:hint="eastAsia"/>
        </w:rPr>
        <w:t>、</w:t>
      </w:r>
      <w:r>
        <w:t>陆域</w:t>
      </w:r>
      <w:r>
        <w:rPr>
          <w:rFonts w:hint="eastAsia"/>
        </w:rPr>
        <w:t>工程施工等</w:t>
      </w:r>
      <w:r>
        <w:t>。</w:t>
      </w:r>
    </w:p>
    <w:p w14:paraId="02003864">
      <w:pPr>
        <w:pStyle w:val="6"/>
      </w:pPr>
      <w:r>
        <w:rPr>
          <w:rFonts w:hint="eastAsia"/>
        </w:rPr>
        <w:t>水域疏浚</w:t>
      </w:r>
    </w:p>
    <w:p w14:paraId="5D800EEC">
      <w:pPr>
        <w:ind w:firstLine="462"/>
        <w:rPr>
          <w:kern w:val="0"/>
        </w:rPr>
      </w:pPr>
      <w:r>
        <w:rPr>
          <w:rFonts w:hint="eastAsia"/>
          <w:kern w:val="0"/>
        </w:rPr>
        <w:t>水域疏浚为停泊水域和港池的疏浚量，根据工程区域地质资料，工程疏浚深度范围内主要土质为淤泥类土、砂性土和少量岩，挖泥边坡取1：5~1:7，疏浚总量约131.16万m</w:t>
      </w:r>
      <w:r>
        <w:rPr>
          <w:rFonts w:hint="eastAsia"/>
          <w:kern w:val="0"/>
          <w:vertAlign w:val="superscript"/>
        </w:rPr>
        <w:t>3</w:t>
      </w:r>
      <w:r>
        <w:rPr>
          <w:rFonts w:hint="eastAsia"/>
          <w:kern w:val="0"/>
        </w:rPr>
        <w:t>（其中炸礁3.91万m</w:t>
      </w:r>
      <w:r>
        <w:rPr>
          <w:rFonts w:hint="eastAsia"/>
          <w:kern w:val="0"/>
          <w:vertAlign w:val="superscript"/>
        </w:rPr>
        <w:t>3</w:t>
      </w:r>
      <w:r>
        <w:rPr>
          <w:rFonts w:hint="eastAsia"/>
          <w:kern w:val="0"/>
        </w:rPr>
        <w:t>）。</w:t>
      </w:r>
    </w:p>
    <w:p w14:paraId="14C94F3A">
      <w:pPr>
        <w:ind w:firstLine="462"/>
        <w:rPr>
          <w:u w:val="single"/>
        </w:rPr>
      </w:pPr>
      <w:r>
        <w:rPr>
          <w:rFonts w:hint="eastAsia"/>
          <w:u w:val="single"/>
        </w:rPr>
        <w:t>1、疏浚砂的利用。疏浚砂采用</w:t>
      </w:r>
      <w:bookmarkStart w:id="272" w:name="OLE_LINK55"/>
      <w:r>
        <w:rPr>
          <w:u w:val="single"/>
        </w:rPr>
        <w:t>1450</w:t>
      </w:r>
      <w:bookmarkEnd w:id="272"/>
      <w:r>
        <w:rPr>
          <w:u w:val="single"/>
        </w:rPr>
        <w:t>m³/h</w:t>
      </w:r>
      <w:r>
        <w:rPr>
          <w:rFonts w:hint="eastAsia"/>
          <w:u w:val="single"/>
        </w:rPr>
        <w:t>绞吸式挖泥船进行疏浚施工，吹填至</w:t>
      </w:r>
      <w:bookmarkStart w:id="273" w:name="OLE_LINK257"/>
      <w:r>
        <w:rPr>
          <w:rFonts w:hint="eastAsia"/>
          <w:u w:val="single"/>
        </w:rPr>
        <w:t>陆域进行堆载</w:t>
      </w:r>
      <w:bookmarkEnd w:id="273"/>
      <w:r>
        <w:rPr>
          <w:rFonts w:hint="eastAsia"/>
          <w:u w:val="single"/>
        </w:rPr>
        <w:t>。</w:t>
      </w:r>
    </w:p>
    <w:p w14:paraId="03548E30">
      <w:pPr>
        <w:ind w:firstLine="462"/>
        <w:rPr>
          <w:u w:val="single"/>
        </w:rPr>
      </w:pPr>
      <w:r>
        <w:rPr>
          <w:rFonts w:hint="eastAsia"/>
          <w:u w:val="single"/>
        </w:rPr>
        <w:t>2、炸礁工艺。采用水下钻孔爆破方法，由炸礁船进行水下钻孔爆破施工。炸礁船舶为了准确定位礁石，应配备DGPS高精度差分GPS定位系统仪器设备，并配备专业的测量人员进行放样。爆破的孔网参数（包括炮孔直径、炮孔间距、炮孔排距等）和单孔装药量计算应符合《水运工程爆破技术规范》（ JTS204-2023）的规定。炸礁碴石利用13m</w:t>
      </w:r>
      <w:r>
        <w:rPr>
          <w:rFonts w:hint="eastAsia"/>
          <w:u w:val="single"/>
          <w:vertAlign w:val="superscript"/>
        </w:rPr>
        <w:t>3</w:t>
      </w:r>
      <w:r>
        <w:rPr>
          <w:rFonts w:hint="eastAsia"/>
          <w:u w:val="single"/>
        </w:rPr>
        <w:t>抓斗式挖泥船清运至陆域进行堆载。</w:t>
      </w:r>
    </w:p>
    <w:p w14:paraId="61197914">
      <w:pPr>
        <w:ind w:firstLine="462"/>
        <w:rPr>
          <w:u w:val="single"/>
        </w:rPr>
      </w:pPr>
      <w:r>
        <w:rPr>
          <w:rFonts w:hint="eastAsia"/>
          <w:u w:val="single"/>
        </w:rPr>
        <w:t>4、多余砂石去向。疏浚产生多余的</w:t>
      </w:r>
      <w:r>
        <w:rPr>
          <w:rFonts w:hint="eastAsia"/>
          <w:bCs/>
          <w:u w:val="single"/>
          <w:lang w:bidi="ar"/>
        </w:rPr>
        <w:t>74.84</w:t>
      </w:r>
      <w:r>
        <w:rPr>
          <w:rFonts w:hint="eastAsia"/>
          <w:u w:val="single"/>
        </w:rPr>
        <w:t>万m</w:t>
      </w:r>
      <w:r>
        <w:rPr>
          <w:rFonts w:hint="eastAsia"/>
          <w:u w:val="single"/>
          <w:vertAlign w:val="superscript"/>
        </w:rPr>
        <w:t>3</w:t>
      </w:r>
      <w:r>
        <w:rPr>
          <w:rFonts w:hint="eastAsia"/>
          <w:u w:val="single"/>
        </w:rPr>
        <w:t>疏浚土石，采用抓斗式挖泥船堆放至泥驳后，由泥驳运至53km外的钦州港30万吨级进港航道疏浚工程疏浚物临时性海洋倾倒区</w:t>
      </w:r>
      <w:r>
        <w:rPr>
          <w:u w:val="single"/>
        </w:rPr>
        <w:t>B</w:t>
      </w:r>
      <w:r>
        <w:rPr>
          <w:rFonts w:hint="eastAsia"/>
          <w:u w:val="single"/>
        </w:rPr>
        <w:t>区抛卸。</w:t>
      </w:r>
    </w:p>
    <w:p w14:paraId="2946D753">
      <w:pPr>
        <w:ind w:firstLine="462"/>
      </w:pPr>
      <w:r>
        <w:rPr>
          <w:rFonts w:hint="eastAsia"/>
        </w:rPr>
        <w:t>下一步施工单位应办理倾倒许可证并缴纳废弃物海洋倾倒费，严格按照倾倒证许可的倾倒废弃物类型及数量进行倾倒，禁止改变倾倒物类别及新增倾倒物数量。</w:t>
      </w:r>
    </w:p>
    <w:p w14:paraId="2F7FE312">
      <w:pPr>
        <w:pStyle w:val="6"/>
      </w:pPr>
      <w:r>
        <w:rPr>
          <w:rFonts w:hint="eastAsia"/>
        </w:rPr>
        <w:t>水工建筑物安装</w:t>
      </w:r>
    </w:p>
    <w:p w14:paraId="5836EA20">
      <w:pPr>
        <w:ind w:firstLine="462"/>
      </w:pPr>
      <w:r>
        <w:t>项目水工建筑物仅为</w:t>
      </w:r>
      <w:r>
        <w:rPr>
          <w:rFonts w:hint="eastAsia"/>
        </w:rPr>
        <w:t>直立式护岸胸墙上安装附属设施（橡胶护舷、系船柱及钢轨）及护岸前沿加设后轨道梁，由施工船舶进行构建安装，并在陆域进行混凝土浇筑。</w:t>
      </w:r>
    </w:p>
    <w:p w14:paraId="18C4A561">
      <w:pPr>
        <w:pStyle w:val="6"/>
      </w:pPr>
      <w:r>
        <w:rPr>
          <w:rFonts w:hint="eastAsia"/>
        </w:rPr>
        <w:t>码头</w:t>
      </w:r>
    </w:p>
    <w:p w14:paraId="229C2568">
      <w:pPr>
        <w:ind w:firstLine="462"/>
      </w:pPr>
      <w:r>
        <w:rPr>
          <w:rFonts w:hint="eastAsia"/>
        </w:rPr>
        <w:t>地基分区处理，分别采用堆载预压+强夯方案、堆载预压+振冲密实方案、强夯方案、振冲密实方案等。码头主要施工内容为后轨道梁，轨道梁PHC桩采用陆上打桩。道路堆场均为现浇混凝土面层，装卸设备采用现场组装或整体安装后联机调试。</w:t>
      </w:r>
    </w:p>
    <w:p w14:paraId="4DC0BD7E">
      <w:pPr>
        <w:pStyle w:val="5"/>
      </w:pPr>
      <w:r>
        <w:rPr>
          <w:rFonts w:hint="eastAsia"/>
        </w:rPr>
        <w:t>施工流程</w:t>
      </w:r>
    </w:p>
    <w:p w14:paraId="76326BE1">
      <w:pPr>
        <w:ind w:firstLine="464"/>
        <w:rPr>
          <w:b/>
        </w:rPr>
      </w:pPr>
      <w:r>
        <w:rPr>
          <w:b/>
        </w:rPr>
        <w:t>1</w:t>
      </w:r>
      <w:r>
        <w:rPr>
          <w:rFonts w:hint="eastAsia"/>
          <w:b/>
        </w:rPr>
        <w:t>、水域疏浚施工流程</w:t>
      </w:r>
    </w:p>
    <w:p w14:paraId="0761802B">
      <w:pPr>
        <w:ind w:firstLine="462"/>
      </w:pPr>
      <w:r>
        <w:rPr>
          <w:rFonts w:hint="eastAsia"/>
        </w:rPr>
        <w:t>设置</w:t>
      </w:r>
      <w:r>
        <w:t>GPS</w:t>
      </w:r>
      <w:r>
        <w:rPr>
          <w:rFonts w:hint="eastAsia"/>
        </w:rPr>
        <w:t>基站→挖泥→卸到预定位置→清淤→验收。</w:t>
      </w:r>
    </w:p>
    <w:p w14:paraId="52C9829E">
      <w:pPr>
        <w:ind w:firstLine="464"/>
        <w:rPr>
          <w:b/>
        </w:rPr>
      </w:pPr>
      <w:bookmarkStart w:id="274" w:name="OLE_LINK38"/>
      <w:r>
        <w:rPr>
          <w:rFonts w:hint="eastAsia"/>
          <w:b/>
        </w:rPr>
        <w:t>2、炸礁及清渣施工流程</w:t>
      </w:r>
    </w:p>
    <w:bookmarkEnd w:id="274"/>
    <w:p w14:paraId="597874E6">
      <w:pPr>
        <w:ind w:firstLine="462"/>
      </w:pPr>
      <w:r>
        <w:rPr>
          <w:rFonts w:hint="eastAsia"/>
        </w:rPr>
        <w:t>炸礁： 施工放样（测量设标） →加工药卷→移船定位→钻孔→装药→接线→移船→警戒→起爆→清底→扫床测深；</w:t>
      </w:r>
    </w:p>
    <w:p w14:paraId="1F841E6E">
      <w:pPr>
        <w:ind w:firstLine="462"/>
      </w:pPr>
      <w:r>
        <w:rPr>
          <w:rFonts w:hint="eastAsia"/>
        </w:rPr>
        <w:t>清礁： 抓斗船开挖→装泥驳→纳泥区抛卸→泥驳返回装驳。</w:t>
      </w:r>
    </w:p>
    <w:p w14:paraId="4AD98E62">
      <w:pPr>
        <w:ind w:firstLine="464"/>
        <w:rPr>
          <w:b/>
        </w:rPr>
      </w:pPr>
      <w:r>
        <w:rPr>
          <w:rFonts w:hint="eastAsia"/>
          <w:b/>
        </w:rPr>
        <w:t>3、码头施工工艺流程</w:t>
      </w:r>
    </w:p>
    <w:p w14:paraId="1F3B67BD">
      <w:pPr>
        <w:ind w:firstLine="462"/>
      </w:pPr>
      <w:r>
        <w:rPr>
          <w:rFonts w:hint="eastAsia"/>
        </w:rPr>
        <w:t>施工准备→测量定位放线→桩机就位→吊桩→喂桩→沉桩→接桩→继续沉桩→送桩（如需）→收锤（达到终压标准）→移机→桩头处理→桩基检测→上部轨道梁施工→防风锚碇系统安装→验收</w:t>
      </w:r>
    </w:p>
    <w:p w14:paraId="427E949D">
      <w:pPr>
        <w:ind w:firstLine="464"/>
        <w:rPr>
          <w:b/>
        </w:rPr>
      </w:pPr>
      <w:bookmarkStart w:id="275" w:name="OLE_LINK39"/>
      <w:r>
        <w:rPr>
          <w:rFonts w:hint="eastAsia"/>
          <w:b/>
        </w:rPr>
        <w:t>4、地基处理</w:t>
      </w:r>
    </w:p>
    <w:bookmarkEnd w:id="275"/>
    <w:p w14:paraId="714BA28E">
      <w:pPr>
        <w:ind w:firstLine="462"/>
      </w:pPr>
      <w:r>
        <w:rPr>
          <w:rFonts w:hint="eastAsia"/>
        </w:rPr>
        <w:t>堆载预压施工流程：铺设砂垫层后插打塑料排水板，并静止15天；分级堆载后满载预压约120天至固结度（不小于90%）及工后沉降达到设计要求后卸载；卸载后平整场地、进行强夯或振冲密实施工，补填平整至交工标高。</w:t>
      </w:r>
    </w:p>
    <w:p w14:paraId="7DA8107A">
      <w:pPr>
        <w:ind w:firstLine="462"/>
      </w:pPr>
      <w:r>
        <w:rPr>
          <w:rFonts w:hint="eastAsia"/>
        </w:rPr>
        <w:t>陆上插板主要工艺流程：①铺设水平排水垫层→②测放各施工分区边界线，定出塑料排水板位置并做好标记→③打设机定位，在套管内穿入塑料排水板→④安装管靴→⑤沉设套管→⑥打设至施工控制高程→⑦提升套管→⑧剪断塑料排水板→⑨检查并记录塑料排水板打设情况→⑩移机至下一板位。</w:t>
      </w:r>
    </w:p>
    <w:p w14:paraId="338D11EE">
      <w:pPr>
        <w:ind w:firstLine="462"/>
      </w:pPr>
      <w:r>
        <w:rPr>
          <w:rFonts w:hint="eastAsia"/>
        </w:rPr>
        <w:t>振冲施工流程：施工准备→定标放线→振冲机定位→振动设备检查完好性→下放振冲器至砂面标高→启动水泵→启动振冲器→振动冲孔→达到设计深度→留振、分段提升→成孔→提升1～2m后移至下一孔位→重复振冲→效果检测→验收。</w:t>
      </w:r>
    </w:p>
    <w:p w14:paraId="441EF03F">
      <w:pPr>
        <w:ind w:firstLine="462"/>
      </w:pPr>
      <w:r>
        <w:rPr>
          <w:rFonts w:hint="eastAsia"/>
        </w:rPr>
        <w:t>强夯施工流程：①清理并平整场地→②标出第一遍夯点位置，并测量场地高程→③起重机就位，夯锤置于夯点位置→④测量夯前锤顶高程→⑤起吊夯锤到预定高度，开启脱钩装置，待夯锤脱钩自由下落后放下吊钩，测量锤顶高程→⑥重复第⑤步骤，按设计规定的夯击次数及收锤标准，完成一个夯点的夯击→⑦换夯点，重复第③～⑥步骤→⑧用推土机将夯坑填平，并测量场地高程→⑨在满足遍夯间歇时间后，按上述步骤逐次完成全部夯击遍数，最后进行满夯，将场地地表土夯实，并测量夯后场地高程。</w:t>
      </w:r>
    </w:p>
    <w:p w14:paraId="2B921935">
      <w:pPr>
        <w:ind w:firstLine="464"/>
        <w:rPr>
          <w:b/>
        </w:rPr>
      </w:pPr>
      <w:r>
        <w:rPr>
          <w:rFonts w:hint="eastAsia"/>
          <w:b/>
        </w:rPr>
        <w:t>5、道路堆场铺面施工</w:t>
      </w:r>
    </w:p>
    <w:p w14:paraId="6009FF52">
      <w:pPr>
        <w:ind w:firstLine="462"/>
      </w:pPr>
      <w:r>
        <w:rPr>
          <w:rFonts w:hint="eastAsia"/>
        </w:rPr>
        <w:t>①道路堆场铺面施工</w:t>
      </w:r>
    </w:p>
    <w:p w14:paraId="3AB427B8">
      <w:pPr>
        <w:ind w:firstLine="462"/>
      </w:pPr>
      <w:r>
        <w:rPr>
          <w:rFonts w:hint="eastAsia"/>
        </w:rPr>
        <w:t>主要施工流程：首先对地基进行场地平整、地基压实施工，再铺筑级配碎石底基层、水泥稳定碎石基层，而后铺设现浇混凝土面层。</w:t>
      </w:r>
    </w:p>
    <w:p w14:paraId="2C648BB2">
      <w:pPr>
        <w:ind w:firstLine="462"/>
      </w:pPr>
      <w:r>
        <w:rPr>
          <w:rFonts w:hint="eastAsia"/>
        </w:rPr>
        <w:t>②轨道基础施工</w:t>
      </w:r>
    </w:p>
    <w:p w14:paraId="7C803593">
      <w:pPr>
        <w:ind w:firstLine="462"/>
      </w:pPr>
      <w:r>
        <w:rPr>
          <w:rFonts w:hint="eastAsia"/>
        </w:rPr>
        <w:t>轨道基础采用PHC桩基轨道梁。主要施工流程：首先PHC桩基础施工，铺设素混凝土垫层，然后进行施工放线、钢筋绑扎、模板支立、</w:t>
      </w:r>
      <w:r>
        <w:rPr>
          <w:rFonts w:hint="eastAsia"/>
          <w:lang w:eastAsia="zh-CN"/>
        </w:rPr>
        <w:t>混凝土浇筑</w:t>
      </w:r>
      <w:r>
        <w:rPr>
          <w:rFonts w:hint="eastAsia"/>
        </w:rPr>
        <w:t>、养护，最后进行上部钢轨吊装和设备调试。PHC桩施工工序：场地开挖、平整→桩位测放→打桩机就位→吊机辅助喂桩、校正→PHC桩施打→桩身承载力检测→桩头切除→浇筑桩芯混凝土。</w:t>
      </w:r>
    </w:p>
    <w:p w14:paraId="5D943E43">
      <w:pPr>
        <w:pStyle w:val="5"/>
      </w:pPr>
      <w:r>
        <w:rPr>
          <w:rFonts w:hint="eastAsia"/>
        </w:rPr>
        <w:t>施工进度</w:t>
      </w:r>
    </w:p>
    <w:p w14:paraId="1B2585E8">
      <w:pPr>
        <w:ind w:firstLine="462"/>
      </w:pPr>
      <w:r>
        <w:t>施工工期拟定为</w:t>
      </w:r>
      <w:r>
        <w:rPr>
          <w:rFonts w:hint="eastAsia"/>
        </w:rPr>
        <w:t>18个月，地基处理和道路堆场</w:t>
      </w:r>
      <w:r>
        <w:t>为主要控制工期的关键项目。为保证按计划工期完成施工，应进行合理的分段流水施工作业。</w:t>
      </w:r>
    </w:p>
    <w:p w14:paraId="098EC889">
      <w:pPr>
        <w:pStyle w:val="7"/>
      </w:pPr>
      <w:r>
        <w:rPr>
          <w:rFonts w:hint="eastAsia"/>
        </w:rPr>
        <w:t>项目施工进度安排表</w:t>
      </w:r>
    </w:p>
    <w:p w14:paraId="45AFEC89">
      <w:pPr>
        <w:pStyle w:val="166"/>
      </w:pPr>
      <w:r>
        <w:drawing>
          <wp:inline distT="0" distB="0" distL="0" distR="0">
            <wp:extent cx="5278120" cy="2226310"/>
            <wp:effectExtent l="0" t="0" r="0" b="2540"/>
            <wp:docPr id="1507739622" name="图片 1507739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39622" name="图片 1507739622"/>
                    <pic:cNvPicPr>
                      <a:picLocks noChangeAspect="1"/>
                    </pic:cNvPicPr>
                  </pic:nvPicPr>
                  <pic:blipFill>
                    <a:blip r:embed="rId66"/>
                    <a:stretch>
                      <a:fillRect/>
                    </a:stretch>
                  </pic:blipFill>
                  <pic:spPr>
                    <a:xfrm>
                      <a:off x="0" y="0"/>
                      <a:ext cx="5278120" cy="2226707"/>
                    </a:xfrm>
                    <a:prstGeom prst="rect">
                      <a:avLst/>
                    </a:prstGeom>
                  </pic:spPr>
                </pic:pic>
              </a:graphicData>
            </a:graphic>
          </wp:inline>
        </w:drawing>
      </w:r>
    </w:p>
    <w:p w14:paraId="09122987">
      <w:pPr>
        <w:pStyle w:val="4"/>
      </w:pPr>
      <w:bookmarkStart w:id="276" w:name="_Toc217977912"/>
      <w:bookmarkStart w:id="277" w:name="_Toc198042316"/>
      <w:r>
        <w:t>工程分析</w:t>
      </w:r>
      <w:bookmarkEnd w:id="276"/>
      <w:bookmarkEnd w:id="277"/>
    </w:p>
    <w:p w14:paraId="18CFC6C9">
      <w:pPr>
        <w:pStyle w:val="5"/>
      </w:pPr>
      <w:r>
        <w:t>施工期</w:t>
      </w:r>
    </w:p>
    <w:p w14:paraId="7609BCF8">
      <w:pPr>
        <w:pStyle w:val="6"/>
      </w:pPr>
      <w:r>
        <w:rPr>
          <w:rFonts w:hint="eastAsia"/>
        </w:rPr>
        <w:t>产污节点分析</w:t>
      </w:r>
    </w:p>
    <w:p w14:paraId="08B045DF">
      <w:pPr>
        <w:ind w:firstLine="462"/>
      </w:pPr>
      <w:r>
        <w:t>施工期主要产污环节包括：水域疏浚</w:t>
      </w:r>
      <w:r>
        <w:rPr>
          <w:rFonts w:hint="eastAsia"/>
        </w:rPr>
        <w:t>、</w:t>
      </w:r>
      <w:r>
        <w:t>炸礁产生的悬浮泥沙，施工船舶生活污水、机舱油污水及生活垃圾等。水域开挖造成周边海域水动力条件、生态环境、地形地貌与冲淤环境发生变化。</w:t>
      </w:r>
    </w:p>
    <w:p w14:paraId="46748002">
      <w:pPr>
        <w:ind w:firstLine="0" w:firstLineChars="0"/>
      </w:pPr>
      <w:r>
        <w:object>
          <v:shape id="_x0000_i1027" o:spt="75" type="#_x0000_t75" style="height:327.2pt;width:441.1pt;" o:ole="t" filled="f" o:preferrelative="t" stroked="f" coordsize="21600,21600">
            <v:path/>
            <v:fill on="f" focussize="0,0"/>
            <v:stroke on="f" joinstyle="miter"/>
            <v:imagedata r:id="rId68" o:title=""/>
            <o:lock v:ext="edit" aspectratio="t"/>
            <w10:wrap type="none"/>
            <w10:anchorlock/>
          </v:shape>
          <o:OLEObject Type="Embed" ProgID="Visio.Drawing.11" ShapeID="_x0000_i1027" DrawAspect="Content" ObjectID="_1468075727" r:id="rId67">
            <o:LockedField>false</o:LockedField>
          </o:OLEObject>
        </w:object>
      </w:r>
    </w:p>
    <w:p w14:paraId="446E5C7F">
      <w:pPr>
        <w:pStyle w:val="8"/>
      </w:pPr>
      <w:r>
        <w:t>施工期产污节点图</w:t>
      </w:r>
    </w:p>
    <w:p w14:paraId="58DF4ECC">
      <w:pPr>
        <w:pStyle w:val="6"/>
      </w:pPr>
      <w:r>
        <w:t>水环境污染源</w:t>
      </w:r>
    </w:p>
    <w:p w14:paraId="09DEE013">
      <w:pPr>
        <w:ind w:firstLine="462"/>
      </w:pPr>
      <w:r>
        <w:rPr>
          <w:rFonts w:hint="eastAsia"/>
        </w:rPr>
        <w:t>1、</w:t>
      </w:r>
      <w:r>
        <w:t>悬浮泥沙源强分析</w:t>
      </w:r>
    </w:p>
    <w:p w14:paraId="4646E4F6">
      <w:pPr>
        <w:ind w:firstLine="462"/>
      </w:pPr>
      <w:r>
        <w:rPr>
          <w:rFonts w:hint="eastAsia"/>
        </w:rPr>
        <w:t>（1）</w:t>
      </w:r>
      <w:r>
        <w:t>疏浚产生的悬沙源强</w:t>
      </w:r>
    </w:p>
    <w:p w14:paraId="28CA83B7">
      <w:pPr>
        <w:ind w:firstLine="462"/>
        <w:rPr>
          <w:u w:val="single"/>
        </w:rPr>
      </w:pPr>
      <w:r>
        <w:rPr>
          <w:rFonts w:hint="eastAsia"/>
          <w:u w:val="single"/>
        </w:rPr>
        <w:t>根据设计资料，项目水域范围内主要为淤泥类土，以淤泥混砂、 砂混淤泥为主， 厚度2.0-10.0m之间，部分考虑加固处理后满足场地回填要求。其中松软土质主要由1台</w:t>
      </w:r>
      <w:r>
        <w:rPr>
          <w:u w:val="single"/>
        </w:rPr>
        <w:t>1450m³/h绞吸式挖泥船进行吹填作业</w:t>
      </w:r>
      <w:r>
        <w:rPr>
          <w:rFonts w:hint="eastAsia"/>
          <w:u w:val="single"/>
        </w:rPr>
        <w:t>，局部</w:t>
      </w:r>
      <w:bookmarkStart w:id="278" w:name="OLE_LINK283"/>
      <w:r>
        <w:rPr>
          <w:rFonts w:hint="eastAsia"/>
          <w:u w:val="single"/>
        </w:rPr>
        <w:t>中风化岩及硬质土层</w:t>
      </w:r>
      <w:bookmarkEnd w:id="278"/>
      <w:r>
        <w:rPr>
          <w:rFonts w:hint="eastAsia"/>
          <w:u w:val="single"/>
        </w:rPr>
        <w:t>采用1台1</w:t>
      </w:r>
      <w:r>
        <w:rPr>
          <w:u w:val="single"/>
        </w:rPr>
        <w:t>3</w:t>
      </w:r>
      <w:r>
        <w:rPr>
          <w:rFonts w:hint="eastAsia"/>
          <w:u w:val="single"/>
        </w:rPr>
        <w:t>m</w:t>
      </w:r>
      <w:r>
        <w:rPr>
          <w:rFonts w:hint="eastAsia"/>
          <w:u w:val="single"/>
          <w:vertAlign w:val="superscript"/>
        </w:rPr>
        <w:t>3</w:t>
      </w:r>
      <w:r>
        <w:rPr>
          <w:rFonts w:hint="eastAsia"/>
          <w:u w:val="single"/>
        </w:rPr>
        <w:t>抓斗式挖泥船进行作业</w:t>
      </w:r>
      <w:r>
        <w:rPr>
          <w:u w:val="single"/>
        </w:rPr>
        <w:t>。</w:t>
      </w:r>
    </w:p>
    <w:p w14:paraId="7C2BCEDB">
      <w:pPr>
        <w:ind w:firstLine="462"/>
      </w:pPr>
      <w:r>
        <w:rPr>
          <w:rFonts w:hint="eastAsia" w:ascii="宋体" w:hAnsi="宋体"/>
        </w:rPr>
        <w:t>①港池疏浚</w:t>
      </w:r>
      <w:r>
        <w:t>抓斗式挖泥船源强</w:t>
      </w:r>
    </w:p>
    <w:p w14:paraId="37AB9D6C">
      <w:pPr>
        <w:ind w:firstLine="462"/>
      </w:pPr>
      <w:r>
        <w:rPr>
          <w:rFonts w:hint="eastAsia"/>
        </w:rPr>
        <w:t>根据项目设计资料，项目中风化岩及硬质土层（按4类疏浚土石考虑）采用13m</w:t>
      </w:r>
      <w:r>
        <w:rPr>
          <w:rFonts w:hint="eastAsia"/>
          <w:vertAlign w:val="superscript"/>
        </w:rPr>
        <w:t>3</w:t>
      </w:r>
      <w:r>
        <w:rPr>
          <w:rFonts w:hint="eastAsia"/>
        </w:rPr>
        <w:t>抓斗式</w:t>
      </w:r>
      <w:r>
        <w:t>挖泥船清挖</w:t>
      </w:r>
      <w:r>
        <w:rPr>
          <w:rFonts w:hint="eastAsia"/>
        </w:rPr>
        <w:t>。</w:t>
      </w:r>
      <w:r>
        <w:t>根据《水运工程建设项目</w:t>
      </w:r>
      <w:r>
        <w:rPr>
          <w:rFonts w:hint="eastAsia"/>
        </w:rPr>
        <w:t>环境影响评价指南</w:t>
      </w:r>
      <w:r>
        <w:t>》（JTS 105－2021），疏浚作业悬浮物源强计算公式为：</w:t>
      </w:r>
    </w:p>
    <w:p w14:paraId="4DC3076F">
      <w:pPr>
        <w:ind w:firstLine="462"/>
      </w:pPr>
      <m:oMathPara>
        <m:oMath>
          <m:sSub>
            <m:sSubPr>
              <m:ctrlPr>
                <w:rPr>
                  <w:rFonts w:ascii="Cambria Math" w:hAnsi="Cambria Math"/>
                </w:rPr>
              </m:ctrlPr>
            </m:sSubPr>
            <m:e>
              <m:r>
                <m:rPr/>
                <w:rPr>
                  <w:rFonts w:ascii="Cambria Math" w:hAnsi="Cambria Math"/>
                </w:rPr>
                <m:t>Q</m:t>
              </m:r>
              <m:ctrlPr>
                <w:rPr>
                  <w:rFonts w:ascii="Cambria Math" w:hAnsi="Cambria Math"/>
                </w:rPr>
              </m:ctrlPr>
            </m:e>
            <m:sub>
              <m:r>
                <m:rPr>
                  <m:sty m:val="p"/>
                </m:rPr>
                <w:rPr>
                  <w:rFonts w:ascii="Cambria Math" w:hAnsi="Cambria Math"/>
                </w:rPr>
                <m:t>1</m:t>
              </m:r>
              <m:ctrlPr>
                <w:rPr>
                  <w:rFonts w:ascii="Cambria Math" w:hAnsi="Cambria Math"/>
                </w:rPr>
              </m:ctrlPr>
            </m:sub>
          </m:sSub>
          <m:r>
            <m:rPr>
              <m:sty m:val="p"/>
            </m:rPr>
            <w:rPr>
              <w:rFonts w:ascii="Cambria Math" w:hAnsi="Cambria Math"/>
            </w:rPr>
            <m:t>=</m:t>
          </m:r>
          <m:f>
            <m:fPr>
              <m:ctrlPr>
                <w:rPr>
                  <w:rFonts w:ascii="Cambria Math" w:hAnsi="Cambria Math"/>
                </w:rPr>
              </m:ctrlPr>
            </m:fPr>
            <m:num>
              <m:r>
                <m:rPr/>
                <w:rPr>
                  <w:rFonts w:ascii="Cambria Math" w:hAnsi="Cambria Math"/>
                </w:rPr>
                <m:t>R</m:t>
              </m:r>
              <m:ctrlPr>
                <w:rPr>
                  <w:rFonts w:ascii="Cambria Math" w:hAnsi="Cambria Math"/>
                </w:rPr>
              </m:ctrlPr>
            </m:num>
            <m:den>
              <m:sSub>
                <m:sSubPr>
                  <m:ctrlPr>
                    <w:rPr>
                      <w:rFonts w:ascii="Cambria Math" w:hAnsi="Cambria Math"/>
                    </w:rPr>
                  </m:ctrlPr>
                </m:sSubPr>
                <m:e>
                  <m:r>
                    <m:rPr/>
                    <w:rPr>
                      <w:rFonts w:ascii="Cambria Math" w:hAnsi="Cambria Math"/>
                    </w:rPr>
                    <m:t>R</m:t>
                  </m:r>
                  <m:ctrlPr>
                    <w:rPr>
                      <w:rFonts w:ascii="Cambria Math" w:hAnsi="Cambria Math"/>
                    </w:rPr>
                  </m:ctrlPr>
                </m:e>
                <m:sub>
                  <m:r>
                    <m:rPr>
                      <m:sty m:val="p"/>
                    </m:rPr>
                    <w:rPr>
                      <w:rFonts w:ascii="Cambria Math" w:hAnsi="Cambria Math"/>
                    </w:rPr>
                    <m:t>0</m:t>
                  </m:r>
                  <m:ctrlPr>
                    <w:rPr>
                      <w:rFonts w:ascii="Cambria Math" w:hAnsi="Cambria Math"/>
                    </w:rPr>
                  </m:ctrlPr>
                </m:sub>
              </m:sSub>
              <m:ctrlPr>
                <w:rPr>
                  <w:rFonts w:ascii="Cambria Math" w:hAnsi="Cambria Math"/>
                </w:rPr>
              </m:ctrlPr>
            </m:den>
          </m:f>
          <m:r>
            <m:rPr>
              <m:sty m:val="p"/>
            </m:rPr>
            <w:rPr>
              <w:rFonts w:ascii="Cambria Math" w:hAnsi="Cambria Math"/>
            </w:rPr>
            <m:t>×</m:t>
          </m:r>
          <m:r>
            <m:rPr/>
            <w:rPr>
              <w:rFonts w:ascii="Cambria Math" w:hAnsi="Cambria Math"/>
            </w:rPr>
            <m:t>T</m:t>
          </m:r>
          <m:r>
            <m:rPr>
              <m:sty m:val="p"/>
            </m:rPr>
            <w:rPr>
              <w:rFonts w:ascii="Cambria Math" w:hAnsi="Cambria Math"/>
            </w:rPr>
            <m:t>×</m:t>
          </m:r>
          <m:sSub>
            <m:sSubPr>
              <m:ctrlPr>
                <w:rPr>
                  <w:rFonts w:ascii="Cambria Math" w:hAnsi="Cambria Math"/>
                </w:rPr>
              </m:ctrlPr>
            </m:sSubPr>
            <m:e>
              <m:r>
                <m:rPr/>
                <w:rPr>
                  <w:rFonts w:ascii="Cambria Math" w:hAnsi="Cambria Math"/>
                </w:rPr>
                <m:t>W</m:t>
              </m:r>
              <m:ctrlPr>
                <w:rPr>
                  <w:rFonts w:ascii="Cambria Math" w:hAnsi="Cambria Math"/>
                </w:rPr>
              </m:ctrlPr>
            </m:e>
            <m:sub>
              <m:r>
                <m:rPr>
                  <m:sty m:val="p"/>
                </m:rPr>
                <w:rPr>
                  <w:rFonts w:ascii="Cambria Math" w:hAnsi="Cambria Math"/>
                </w:rPr>
                <m:t>0</m:t>
              </m:r>
              <m:ctrlPr>
                <w:rPr>
                  <w:rFonts w:ascii="Cambria Math" w:hAnsi="Cambria Math"/>
                </w:rPr>
              </m:ctrlPr>
            </m:sub>
          </m:sSub>
        </m:oMath>
      </m:oMathPara>
    </w:p>
    <w:p w14:paraId="4E0106F0">
      <w:pPr>
        <w:ind w:firstLine="462"/>
      </w:pPr>
      <w:r>
        <w:t>式中：</w:t>
      </w:r>
    </w:p>
    <w:p w14:paraId="18740852">
      <w:pPr>
        <w:ind w:firstLine="462"/>
      </w:pPr>
      <w:r>
        <w:t>Q</w:t>
      </w:r>
      <w:r>
        <w:rPr>
          <w:vertAlign w:val="subscript"/>
        </w:rPr>
        <w:t>1</w:t>
      </w:r>
      <w:r>
        <w:t>——疏浚作业悬浮物产生量（t/h）；</w:t>
      </w:r>
    </w:p>
    <w:p w14:paraId="366FF12E">
      <w:pPr>
        <w:ind w:firstLine="462"/>
      </w:pPr>
      <w:r>
        <w:t>R——现场流速悬浮物临界离子累计百分比（%），取89.2%；</w:t>
      </w:r>
    </w:p>
    <w:p w14:paraId="7F843ECF">
      <w:pPr>
        <w:ind w:firstLine="462"/>
      </w:pPr>
      <w:r>
        <w:t>R</w:t>
      </w:r>
      <w:r>
        <w:rPr>
          <w:vertAlign w:val="subscript"/>
        </w:rPr>
        <w:t>0</w:t>
      </w:r>
      <w:r>
        <w:t>——产生系数为W</w:t>
      </w:r>
      <w:r>
        <w:rPr>
          <w:vertAlign w:val="subscript"/>
        </w:rPr>
        <w:t>0</w:t>
      </w:r>
      <w:r>
        <w:t>时的悬浮物粒径累计百分比（%），取80.2%；</w:t>
      </w:r>
    </w:p>
    <w:p w14:paraId="0F6A87E2">
      <w:pPr>
        <w:ind w:firstLine="462"/>
      </w:pPr>
      <w:r>
        <w:t>T——挖泥船疏浚效率（m</w:t>
      </w:r>
      <w:r>
        <w:rPr>
          <w:vertAlign w:val="superscript"/>
        </w:rPr>
        <w:t>3</w:t>
      </w:r>
      <w:r>
        <w:t>/h）；</w:t>
      </w:r>
    </w:p>
    <w:p w14:paraId="04EBA62C">
      <w:pPr>
        <w:ind w:firstLine="462"/>
      </w:pPr>
      <w:r>
        <w:t>W</w:t>
      </w:r>
      <w:r>
        <w:rPr>
          <w:vertAlign w:val="subscript"/>
        </w:rPr>
        <w:t>0</w:t>
      </w:r>
      <w:r>
        <w:t>——悬浮物产生系数（t/m</w:t>
      </w:r>
      <w:r>
        <w:rPr>
          <w:vertAlign w:val="superscript"/>
        </w:rPr>
        <w:t>3</w:t>
      </w:r>
      <w:r>
        <w:t>），取38.0×10</w:t>
      </w:r>
      <w:r>
        <w:rPr>
          <w:vertAlign w:val="superscript"/>
        </w:rPr>
        <w:t>-3</w:t>
      </w:r>
      <w:r>
        <w:t>。</w:t>
      </w:r>
    </w:p>
    <w:p w14:paraId="5F529AE2">
      <w:pPr>
        <w:ind w:firstLine="462"/>
      </w:pPr>
      <w:r>
        <w:t>根据《水运工程建设项目</w:t>
      </w:r>
      <w:r>
        <w:rPr>
          <w:rFonts w:hint="eastAsia"/>
        </w:rPr>
        <w:t>环境影响评价指南</w:t>
      </w:r>
      <w:r>
        <w:t>》（JTS 105－2021），取R为89.2%，R</w:t>
      </w:r>
      <w:r>
        <w:rPr>
          <w:vertAlign w:val="subscript"/>
        </w:rPr>
        <w:t>0</w:t>
      </w:r>
      <w:r>
        <w:t>为80.2%，W</w:t>
      </w:r>
      <w:r>
        <w:rPr>
          <w:vertAlign w:val="subscript"/>
        </w:rPr>
        <w:t>0</w:t>
      </w:r>
      <w:r>
        <w:t>为38×10</w:t>
      </w:r>
      <w:r>
        <w:rPr>
          <w:rFonts w:hint="eastAsia"/>
          <w:vertAlign w:val="superscript"/>
        </w:rPr>
        <w:t>-</w:t>
      </w:r>
      <w:r>
        <w:rPr>
          <w:vertAlign w:val="superscript"/>
        </w:rPr>
        <w:t>3</w:t>
      </w:r>
      <w:r>
        <w:t>t/m</w:t>
      </w:r>
      <w:r>
        <w:rPr>
          <w:vertAlign w:val="superscript"/>
        </w:rPr>
        <w:t>3</w:t>
      </w:r>
      <w:r>
        <w:t>。</w:t>
      </w:r>
    </w:p>
    <w:p w14:paraId="7F0CB314">
      <w:pPr>
        <w:ind w:firstLine="462"/>
        <w:rPr>
          <w:u w:val="single"/>
        </w:rPr>
      </w:pPr>
      <w:r>
        <w:rPr>
          <w:rFonts w:hint="eastAsia"/>
          <w:u w:val="single"/>
        </w:rPr>
        <w:t>根据交通运输部发布《</w:t>
      </w:r>
      <w:bookmarkStart w:id="279" w:name="OLE_LINK258"/>
      <w:r>
        <w:rPr>
          <w:rFonts w:hint="eastAsia"/>
          <w:u w:val="single"/>
        </w:rPr>
        <w:t>疏浚工程预算定额</w:t>
      </w:r>
      <w:bookmarkEnd w:id="279"/>
      <w:r>
        <w:rPr>
          <w:rFonts w:hint="eastAsia"/>
          <w:u w:val="single"/>
        </w:rPr>
        <w:t>》（JTS/T 278-1</w:t>
      </w:r>
      <w:r>
        <w:rPr>
          <w:u w:val="single"/>
        </w:rPr>
        <w:t>－20</w:t>
      </w:r>
      <w:r>
        <w:rPr>
          <w:rFonts w:hint="eastAsia"/>
          <w:u w:val="single"/>
        </w:rPr>
        <w:t>19），4类土13m</w:t>
      </w:r>
      <w:r>
        <w:rPr>
          <w:rFonts w:hint="eastAsia"/>
          <w:u w:val="single"/>
          <w:vertAlign w:val="superscript"/>
        </w:rPr>
        <w:t>3</w:t>
      </w:r>
      <w:r>
        <w:rPr>
          <w:rFonts w:hint="eastAsia"/>
          <w:u w:val="single"/>
        </w:rPr>
        <w:t>抓斗式挖泥船疏浚效率10000m</w:t>
      </w:r>
      <w:r>
        <w:rPr>
          <w:rFonts w:hint="eastAsia"/>
          <w:u w:val="single"/>
          <w:vertAlign w:val="superscript"/>
        </w:rPr>
        <w:t>3</w:t>
      </w:r>
      <w:r>
        <w:rPr>
          <w:rFonts w:hint="eastAsia"/>
          <w:u w:val="single"/>
        </w:rPr>
        <w:t>需5.4台班（1台班按8h计算），则疏浚效率约为232m</w:t>
      </w:r>
      <w:r>
        <w:rPr>
          <w:rFonts w:hint="eastAsia"/>
          <w:u w:val="single"/>
          <w:vertAlign w:val="superscript"/>
        </w:rPr>
        <w:t>3</w:t>
      </w:r>
      <w:r>
        <w:rPr>
          <w:rFonts w:hint="eastAsia"/>
          <w:u w:val="single"/>
        </w:rPr>
        <w:t>/h</w:t>
      </w:r>
      <w:r>
        <w:rPr>
          <w:u w:val="single"/>
        </w:rPr>
        <w:t>。则疏浚产生的悬浮物源强约为</w:t>
      </w:r>
      <w:r>
        <w:rPr>
          <w:rFonts w:hint="eastAsia"/>
          <w:u w:val="single"/>
        </w:rPr>
        <w:t xml:space="preserve">9.98 </w:t>
      </w:r>
      <w:r>
        <w:rPr>
          <w:u w:val="single"/>
        </w:rPr>
        <w:t>t/h（</w:t>
      </w:r>
      <w:r>
        <w:rPr>
          <w:rFonts w:hint="eastAsia"/>
          <w:u w:val="single"/>
        </w:rPr>
        <w:t>2.72</w:t>
      </w:r>
      <w:r>
        <w:rPr>
          <w:u w:val="single"/>
        </w:rPr>
        <w:t>kg/s）</w:t>
      </w:r>
      <w:r>
        <w:rPr>
          <w:rFonts w:hint="eastAsia"/>
          <w:u w:val="single"/>
        </w:rPr>
        <w:t>。</w:t>
      </w:r>
    </w:p>
    <w:p w14:paraId="253F0472">
      <w:pPr>
        <w:ind w:firstLine="462"/>
      </w:pPr>
      <w:r>
        <w:rPr>
          <w:rFonts w:hint="eastAsia"/>
        </w:rPr>
        <w:t>②疏浚绞吸式挖泥船源强</w:t>
      </w:r>
    </w:p>
    <w:p w14:paraId="7D9A5EC1">
      <w:pPr>
        <w:ind w:firstLine="462"/>
        <w:rPr>
          <w:u w:val="single"/>
        </w:rPr>
      </w:pPr>
      <w:r>
        <w:rPr>
          <w:rFonts w:hint="eastAsia"/>
          <w:u w:val="single"/>
        </w:rPr>
        <w:t>根据项目设计资料，项目疏浚区淤泥类土（2类疏浚土）采用疏浚效率为</w:t>
      </w:r>
      <w:bookmarkStart w:id="280" w:name="OLE_LINK44"/>
      <w:r>
        <w:rPr>
          <w:u w:val="single"/>
        </w:rPr>
        <w:t>1450m³/h的绞吸式挖泥船</w:t>
      </w:r>
      <w:bookmarkEnd w:id="280"/>
      <w:r>
        <w:rPr>
          <w:u w:val="single"/>
        </w:rPr>
        <w:t>清挖</w:t>
      </w:r>
      <w:r>
        <w:rPr>
          <w:rFonts w:hint="eastAsia"/>
          <w:u w:val="single"/>
        </w:rPr>
        <w:t>。根据上述《水运工程建设项目环境影响评价指南》（JTS 105－2021）中</w:t>
      </w:r>
      <w:r>
        <w:rPr>
          <w:u w:val="single"/>
        </w:rPr>
        <w:t>疏浚作业悬浮物源强计算公式，本项目采用的1450m</w:t>
      </w:r>
      <w:r>
        <w:rPr>
          <w:u w:val="single"/>
          <w:vertAlign w:val="superscript"/>
        </w:rPr>
        <w:t>3</w:t>
      </w:r>
      <w:r>
        <w:rPr>
          <w:u w:val="single"/>
        </w:rPr>
        <w:t>/h绞吸式挖泥船进行港池</w:t>
      </w:r>
      <w:r>
        <w:rPr>
          <w:rFonts w:hint="eastAsia"/>
          <w:u w:val="single"/>
        </w:rPr>
        <w:t>2类土疏浚</w:t>
      </w:r>
      <w:r>
        <w:rPr>
          <w:u w:val="single"/>
        </w:rPr>
        <w:t>，取R为89.2%，R</w:t>
      </w:r>
      <w:r>
        <w:rPr>
          <w:u w:val="single"/>
          <w:vertAlign w:val="subscript"/>
        </w:rPr>
        <w:t>0</w:t>
      </w:r>
      <w:r>
        <w:rPr>
          <w:u w:val="single"/>
        </w:rPr>
        <w:t>为80.2%，W</w:t>
      </w:r>
      <w:r>
        <w:rPr>
          <w:u w:val="single"/>
          <w:vertAlign w:val="subscript"/>
        </w:rPr>
        <w:t>0</w:t>
      </w:r>
      <w:r>
        <w:rPr>
          <w:u w:val="single"/>
        </w:rPr>
        <w:t>为38×10</w:t>
      </w:r>
      <w:r>
        <w:rPr>
          <w:rFonts w:hint="eastAsia"/>
          <w:u w:val="single"/>
          <w:vertAlign w:val="superscript"/>
        </w:rPr>
        <w:t>-</w:t>
      </w:r>
      <w:r>
        <w:rPr>
          <w:u w:val="single"/>
          <w:vertAlign w:val="superscript"/>
        </w:rPr>
        <w:t>3</w:t>
      </w:r>
      <w:r>
        <w:rPr>
          <w:u w:val="single"/>
        </w:rPr>
        <w:t>t/m</w:t>
      </w:r>
      <w:r>
        <w:rPr>
          <w:u w:val="single"/>
          <w:vertAlign w:val="superscript"/>
        </w:rPr>
        <w:t>3</w:t>
      </w:r>
      <w:r>
        <w:rPr>
          <w:u w:val="single"/>
        </w:rPr>
        <w:t>，</w:t>
      </w:r>
      <w:r>
        <w:rPr>
          <w:rFonts w:hint="eastAsia"/>
          <w:u w:val="single"/>
        </w:rPr>
        <w:t>根据《疏浚工程预算定额》（JTS/T 278-1</w:t>
      </w:r>
      <w:r>
        <w:rPr>
          <w:u w:val="single"/>
        </w:rPr>
        <w:t>－20</w:t>
      </w:r>
      <w:r>
        <w:rPr>
          <w:rFonts w:hint="eastAsia"/>
          <w:u w:val="single"/>
        </w:rPr>
        <w:t>19），2类土</w:t>
      </w:r>
      <w:r>
        <w:rPr>
          <w:u w:val="single"/>
        </w:rPr>
        <w:t>1450m</w:t>
      </w:r>
      <w:r>
        <w:rPr>
          <w:u w:val="single"/>
          <w:vertAlign w:val="superscript"/>
        </w:rPr>
        <w:t>3</w:t>
      </w:r>
      <w:r>
        <w:rPr>
          <w:u w:val="single"/>
        </w:rPr>
        <w:t>/h绞吸式</w:t>
      </w:r>
      <w:r>
        <w:rPr>
          <w:rFonts w:hint="eastAsia"/>
          <w:u w:val="single"/>
        </w:rPr>
        <w:t>挖泥船疏浚效率10000m</w:t>
      </w:r>
      <w:r>
        <w:rPr>
          <w:rFonts w:hint="eastAsia"/>
          <w:u w:val="single"/>
          <w:vertAlign w:val="superscript"/>
        </w:rPr>
        <w:t>3</w:t>
      </w:r>
      <w:r>
        <w:rPr>
          <w:rFonts w:hint="eastAsia"/>
          <w:u w:val="single"/>
        </w:rPr>
        <w:t>需1.98台班（1台班按8h计算），则疏浚效率约为631m</w:t>
      </w:r>
      <w:r>
        <w:rPr>
          <w:rFonts w:hint="eastAsia"/>
          <w:u w:val="single"/>
          <w:vertAlign w:val="superscript"/>
        </w:rPr>
        <w:t>3</w:t>
      </w:r>
      <w:r>
        <w:rPr>
          <w:rFonts w:hint="eastAsia"/>
          <w:u w:val="single"/>
        </w:rPr>
        <w:t>/h</w:t>
      </w:r>
      <w:r>
        <w:rPr>
          <w:u w:val="single"/>
        </w:rPr>
        <w:t>。则疏浚产生的悬浮物源强约为</w:t>
      </w:r>
      <w:r>
        <w:rPr>
          <w:rFonts w:hint="eastAsia"/>
          <w:u w:val="single"/>
        </w:rPr>
        <w:t>26.65</w:t>
      </w:r>
      <w:r>
        <w:rPr>
          <w:u w:val="single"/>
        </w:rPr>
        <w:t>t/h（</w:t>
      </w:r>
      <w:r>
        <w:rPr>
          <w:rFonts w:hint="eastAsia"/>
          <w:u w:val="single"/>
        </w:rPr>
        <w:t>7.41</w:t>
      </w:r>
      <w:r>
        <w:rPr>
          <w:u w:val="single"/>
        </w:rPr>
        <w:t xml:space="preserve"> kg/s）</w:t>
      </w:r>
      <w:r>
        <w:rPr>
          <w:rFonts w:hint="eastAsia"/>
          <w:u w:val="single"/>
        </w:rPr>
        <w:t>。</w:t>
      </w:r>
    </w:p>
    <w:p w14:paraId="26320E0C">
      <w:pPr>
        <w:ind w:firstLine="462"/>
      </w:pPr>
      <w:bookmarkStart w:id="281" w:name="OLE_LINK40"/>
      <w:r>
        <w:t>（2）炸礁</w:t>
      </w:r>
    </w:p>
    <w:bookmarkEnd w:id="281"/>
    <w:p w14:paraId="6951A69E">
      <w:pPr>
        <w:ind w:firstLine="462"/>
      </w:pPr>
      <w:r>
        <w:t>炸礁工程SS的产生量与水下工程施工的工程量、施工方式、施工强度、底质组成等有关。</w:t>
      </w:r>
      <w:r>
        <w:rPr>
          <w:rFonts w:hint="eastAsia"/>
        </w:rPr>
        <w:t>工程采用先钻爆，后清渣，再扫浅分步实施，采用1艘炸礁船进行钻爆作业。一般每次钻爆炸礁量最多不超过250 m</w:t>
      </w:r>
      <w:r>
        <w:rPr>
          <w:rFonts w:hint="eastAsia"/>
          <w:vertAlign w:val="superscript"/>
        </w:rPr>
        <w:t>3</w:t>
      </w:r>
      <w:r>
        <w:rPr>
          <w:rFonts w:hint="eastAsia"/>
        </w:rPr>
        <w:t>，参照国内炸礁悬浮物源强计算及相关研究，水下炸礁泥沙起悬量与工程区地质组成有关，通常起悬比不超过5%，按此比例，每次爆破悬砂量应少于12.5m</w:t>
      </w:r>
      <w:r>
        <w:rPr>
          <w:rFonts w:hint="eastAsia"/>
          <w:vertAlign w:val="superscript"/>
        </w:rPr>
        <w:t>3</w:t>
      </w:r>
      <w:r>
        <w:rPr>
          <w:rFonts w:hint="eastAsia"/>
        </w:rPr>
        <w:t>，因此，水下炸礁瞬时悬沙泥沙源强为12.5 m</w:t>
      </w:r>
      <w:r>
        <w:rPr>
          <w:rFonts w:hint="eastAsia"/>
          <w:vertAlign w:val="superscript"/>
        </w:rPr>
        <w:t>3</w:t>
      </w:r>
      <w:r>
        <w:rPr>
          <w:rFonts w:hint="eastAsia"/>
        </w:rPr>
        <w:t>。</w:t>
      </w:r>
    </w:p>
    <w:p w14:paraId="24F38ACD">
      <w:pPr>
        <w:ind w:firstLine="462"/>
      </w:pPr>
      <w:r>
        <w:t>（</w:t>
      </w:r>
      <w:r>
        <w:rPr>
          <w:rFonts w:hint="eastAsia"/>
        </w:rPr>
        <w:t>3</w:t>
      </w:r>
      <w:r>
        <w:t>）</w:t>
      </w:r>
      <w:r>
        <w:rPr>
          <w:rFonts w:hint="eastAsia"/>
        </w:rPr>
        <w:t>吹填溢流</w:t>
      </w:r>
    </w:p>
    <w:p w14:paraId="61EBE312">
      <w:pPr>
        <w:ind w:firstLine="462"/>
      </w:pPr>
      <w:r>
        <w:rPr>
          <w:rFonts w:hint="eastAsia"/>
        </w:rPr>
        <w:t>项目约52.41万m³疏浚泥砂拟吹填至后方陆域以满足堆场标高需求。后方陆域由昊鼎仓储物流中心围填海项目形成，并由大榄坪南作业区</w:t>
      </w:r>
      <w:bookmarkStart w:id="282" w:name="OLE_LINK43"/>
      <w:r>
        <w:rPr>
          <w:rFonts w:hint="eastAsia"/>
        </w:rPr>
        <w:t>9号10号泊位扩建工程</w:t>
      </w:r>
      <w:bookmarkEnd w:id="282"/>
      <w:r>
        <w:rPr>
          <w:rFonts w:hint="eastAsia"/>
        </w:rPr>
        <w:t>疏浚泥砂进行吹填；项目与后方陆域形成施工期交叉，</w:t>
      </w:r>
      <w:r>
        <w:rPr>
          <w:rFonts w:hint="eastAsia"/>
          <w:u w:val="single"/>
        </w:rPr>
        <w:t>拟依托</w:t>
      </w:r>
      <w:bookmarkStart w:id="283" w:name="OLE_LINK259"/>
      <w:r>
        <w:rPr>
          <w:rFonts w:hint="eastAsia"/>
          <w:u w:val="single"/>
        </w:rPr>
        <w:t>9号10号泊位扩建工程</w:t>
      </w:r>
      <w:bookmarkEnd w:id="283"/>
      <w:r>
        <w:rPr>
          <w:rFonts w:hint="eastAsia"/>
          <w:u w:val="single"/>
        </w:rPr>
        <w:t>施工形成的吹填溢流口，本次项目不再考虑另行设置溢流口。目前，9号10号泊位扩建工程处于施工初期，回填水域正在形成围堰区，溢流口尚未完成建设；现阶段初步的施工方案溢流口选址位置如下图：</w:t>
      </w:r>
    </w:p>
    <w:p w14:paraId="4CB43593">
      <w:pPr>
        <w:pStyle w:val="8"/>
        <w:rPr>
          <w:u w:val="single"/>
        </w:rPr>
      </w:pPr>
      <w:r>
        <w:rPr>
          <w:rFonts w:hint="eastAsia"/>
          <w:u w:val="single"/>
        </w:rPr>
        <w:t>拟依托溢流口选址位置</w:t>
      </w:r>
    </w:p>
    <w:p w14:paraId="0EC6ADA6">
      <w:pPr>
        <w:ind w:firstLine="462"/>
        <w:rPr>
          <w:color w:val="000000" w:themeColor="text1"/>
          <w14:textFill>
            <w14:solidFill>
              <w14:schemeClr w14:val="tx1"/>
            </w14:solidFill>
          </w14:textFill>
        </w:rPr>
      </w:pPr>
      <w:r>
        <w:rPr>
          <w:rFonts w:hint="eastAsia"/>
        </w:rPr>
        <w:t>项目与</w:t>
      </w:r>
      <w:bookmarkStart w:id="284" w:name="OLE_LINK45"/>
      <w:r>
        <w:rPr>
          <w:rFonts w:hint="eastAsia"/>
        </w:rPr>
        <w:t>9号10号泊位扩建工程吹填</w:t>
      </w:r>
      <w:bookmarkEnd w:id="284"/>
      <w:r>
        <w:rPr>
          <w:rFonts w:hint="eastAsia"/>
        </w:rPr>
        <w:t>工艺一致，均采用</w:t>
      </w:r>
      <w:r>
        <w:t>1450m³/h的绞吸式挖泥船</w:t>
      </w:r>
      <w:r>
        <w:rPr>
          <w:rFonts w:hint="eastAsia"/>
        </w:rPr>
        <w:t>进行吹填，溢流口悬浮泥沙排放浓度与9号10号泊位扩建工程吹填期保持一致。</w:t>
      </w:r>
      <w:r>
        <w:rPr>
          <w:rFonts w:hint="eastAsia"/>
          <w:color w:val="000000" w:themeColor="text1"/>
          <w14:textFill>
            <w14:solidFill>
              <w14:schemeClr w14:val="tx1"/>
            </w14:solidFill>
          </w14:textFill>
        </w:rPr>
        <w:t>参照</w:t>
      </w:r>
      <w:r>
        <w:rPr>
          <w:color w:val="000000" w:themeColor="text1"/>
          <w14:textFill>
            <w14:solidFill>
              <w14:schemeClr w14:val="tx1"/>
            </w14:solidFill>
          </w14:textFill>
        </w:rPr>
        <w:t>《水运工程建设项目环境影响评价指南》（JTS/T105-2021）吹填溢流口处的悬浮物发生量可按下式计算：</w:t>
      </w:r>
    </w:p>
    <w:p w14:paraId="77007F0F">
      <w:pPr>
        <w:pStyle w:val="173"/>
        <w:ind w:firstLine="462"/>
        <w:jc w:val="center"/>
        <w:rPr>
          <w:color w:val="000000" w:themeColor="text1"/>
          <w14:textFill>
            <w14:solidFill>
              <w14:schemeClr w14:val="tx1"/>
            </w14:solidFill>
          </w14:textFill>
        </w:rPr>
      </w:pPr>
      <w:r>
        <w:rPr>
          <w:color w:val="000000" w:themeColor="text1"/>
          <w14:textFill>
            <w14:solidFill>
              <w14:schemeClr w14:val="tx1"/>
            </w14:solidFill>
          </w14:textFill>
        </w:rPr>
        <w:object>
          <v:shape id="_x0000_i1028" o:spt="75" type="#_x0000_t75" style="height:21.85pt;width:41.9pt;" o:ole="t" filled="f" o:preferrelative="t" stroked="f" coordsize="21600,21600">
            <v:path/>
            <v:fill on="f" focussize="0,0"/>
            <v:stroke on="f" joinstyle="miter"/>
            <v:imagedata r:id="rId70" o:title=""/>
            <o:lock v:ext="edit" aspectratio="t"/>
            <w10:wrap type="none"/>
            <w10:anchorlock/>
          </v:shape>
          <o:OLEObject Type="Embed" ProgID="Equation.3" ShapeID="_x0000_i1028" DrawAspect="Content" ObjectID="_1468075728" r:id="rId69">
            <o:LockedField>false</o:LockedField>
          </o:OLEObject>
        </w:object>
      </w:r>
    </w:p>
    <w:p w14:paraId="691766C5">
      <w:pPr>
        <w:pStyle w:val="173"/>
        <w:ind w:firstLine="462"/>
        <w:rPr>
          <w:color w:val="000000" w:themeColor="text1"/>
          <w14:textFill>
            <w14:solidFill>
              <w14:schemeClr w14:val="tx1"/>
            </w14:solidFill>
          </w14:textFill>
        </w:rPr>
      </w:pPr>
      <w:r>
        <w:rPr>
          <w:color w:val="000000" w:themeColor="text1"/>
          <w14:textFill>
            <w14:solidFill>
              <w14:schemeClr w14:val="tx1"/>
            </w14:solidFill>
          </w14:textFill>
        </w:rPr>
        <w:t>式中：Q</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——溢流口悬浮物源强（kg/s）；</w:t>
      </w:r>
    </w:p>
    <w:p w14:paraId="41CE8B61">
      <w:pPr>
        <w:pStyle w:val="173"/>
        <w:ind w:firstLine="462"/>
        <w:rPr>
          <w:color w:val="000000" w:themeColor="text1"/>
          <w14:textFill>
            <w14:solidFill>
              <w14:schemeClr w14:val="tx1"/>
            </w14:solidFill>
          </w14:textFill>
        </w:rPr>
      </w:pPr>
      <w:r>
        <w:rPr>
          <w:color w:val="000000" w:themeColor="text1"/>
          <w14:textFill>
            <w14:solidFill>
              <w14:schemeClr w14:val="tx1"/>
            </w14:solidFill>
          </w14:textFill>
        </w:rPr>
        <w:t>c——溢流口悬浮物浓度控制标准（kg/m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2BC5CCB9">
      <w:pPr>
        <w:pStyle w:val="173"/>
        <w:ind w:firstLine="462"/>
        <w:rPr>
          <w:color w:val="000000" w:themeColor="text1"/>
          <w:u w:val="single"/>
          <w14:textFill>
            <w14:solidFill>
              <w14:schemeClr w14:val="tx1"/>
            </w14:solidFill>
          </w14:textFill>
        </w:rPr>
      </w:pPr>
      <w:r>
        <w:rPr>
          <w:color w:val="000000" w:themeColor="text1"/>
          <w:u w:val="single"/>
          <w14:textFill>
            <w14:solidFill>
              <w14:schemeClr w14:val="tx1"/>
            </w14:solidFill>
          </w14:textFill>
        </w:rPr>
        <w:t>Q——溢流口流量（m</w:t>
      </w:r>
      <w:r>
        <w:rPr>
          <w:color w:val="000000" w:themeColor="text1"/>
          <w:u w:val="single"/>
          <w:vertAlign w:val="superscript"/>
          <w14:textFill>
            <w14:solidFill>
              <w14:schemeClr w14:val="tx1"/>
            </w14:solidFill>
          </w14:textFill>
        </w:rPr>
        <w:t>3</w:t>
      </w:r>
      <w:r>
        <w:rPr>
          <w:color w:val="000000" w:themeColor="text1"/>
          <w:u w:val="single"/>
          <w14:textFill>
            <w14:solidFill>
              <w14:schemeClr w14:val="tx1"/>
            </w14:solidFill>
          </w14:textFill>
        </w:rPr>
        <w:t>/s），按本次疏浚</w:t>
      </w:r>
      <w:r>
        <w:rPr>
          <w:rFonts w:hint="eastAsia"/>
          <w:color w:val="000000" w:themeColor="text1"/>
          <w:u w:val="single"/>
          <w14:textFill>
            <w14:solidFill>
              <w14:schemeClr w14:val="tx1"/>
            </w14:solidFill>
          </w14:textFill>
        </w:rPr>
        <w:t>绞吸式</w:t>
      </w:r>
      <w:r>
        <w:rPr>
          <w:color w:val="000000" w:themeColor="text1"/>
          <w:u w:val="single"/>
          <w14:textFill>
            <w14:solidFill>
              <w14:schemeClr w14:val="tx1"/>
            </w14:solidFill>
          </w14:textFill>
        </w:rPr>
        <w:t>挖泥船吹填效率取</w:t>
      </w:r>
      <w:r>
        <w:rPr>
          <w:rFonts w:hint="eastAsia"/>
          <w:color w:val="000000" w:themeColor="text1"/>
          <w:u w:val="single"/>
          <w14:textFill>
            <w14:solidFill>
              <w14:schemeClr w14:val="tx1"/>
            </w14:solidFill>
          </w14:textFill>
        </w:rPr>
        <w:t>0.35</w:t>
      </w:r>
      <w:r>
        <w:rPr>
          <w:color w:val="000000" w:themeColor="text1"/>
          <w:u w:val="single"/>
          <w14:textFill>
            <w14:solidFill>
              <w14:schemeClr w14:val="tx1"/>
            </w14:solidFill>
          </w14:textFill>
        </w:rPr>
        <w:t>m</w:t>
      </w:r>
      <w:r>
        <w:rPr>
          <w:color w:val="000000" w:themeColor="text1"/>
          <w:u w:val="single"/>
          <w:vertAlign w:val="superscript"/>
          <w14:textFill>
            <w14:solidFill>
              <w14:schemeClr w14:val="tx1"/>
            </w14:solidFill>
          </w14:textFill>
        </w:rPr>
        <w:t>3</w:t>
      </w:r>
      <w:r>
        <w:rPr>
          <w:color w:val="000000" w:themeColor="text1"/>
          <w:u w:val="single"/>
          <w14:textFill>
            <w14:solidFill>
              <w14:schemeClr w14:val="tx1"/>
            </w14:solidFill>
          </w14:textFill>
        </w:rPr>
        <w:t>/s。</w:t>
      </w:r>
    </w:p>
    <w:p w14:paraId="5E4BAFCB">
      <w:pPr>
        <w:pStyle w:val="173"/>
        <w:ind w:firstLine="462"/>
        <w:rPr>
          <w:color w:val="000000" w:themeColor="text1"/>
          <w:u w:val="single"/>
          <w14:textFill>
            <w14:solidFill>
              <w14:schemeClr w14:val="tx1"/>
            </w14:solidFill>
          </w14:textFill>
        </w:rPr>
      </w:pPr>
      <w:r>
        <w:rPr>
          <w:color w:val="000000" w:themeColor="text1"/>
          <w:u w:val="single"/>
          <w14:textFill>
            <w14:solidFill>
              <w14:schemeClr w14:val="tx1"/>
            </w14:solidFill>
          </w14:textFill>
        </w:rPr>
        <w:t>则溢流口悬浮物源强取</w:t>
      </w:r>
      <w:r>
        <w:rPr>
          <w:rFonts w:hint="eastAsia"/>
          <w:color w:val="000000" w:themeColor="text1"/>
          <w:u w:val="single"/>
          <w14:textFill>
            <w14:solidFill>
              <w14:schemeClr w14:val="tx1"/>
            </w14:solidFill>
          </w14:textFill>
        </w:rPr>
        <w:t>0.05</w:t>
      </w:r>
      <w:r>
        <w:rPr>
          <w:color w:val="000000" w:themeColor="text1"/>
          <w:u w:val="single"/>
          <w14:textFill>
            <w14:solidFill>
              <w14:schemeClr w14:val="tx1"/>
            </w14:solidFill>
          </w14:textFill>
        </w:rPr>
        <w:t>kg/s。</w:t>
      </w:r>
    </w:p>
    <w:p w14:paraId="7C71E771">
      <w:pPr>
        <w:ind w:firstLine="462"/>
      </w:pPr>
      <w:r>
        <w:rPr>
          <w:rFonts w:hint="eastAsia"/>
        </w:rPr>
        <w:t>2</w:t>
      </w:r>
      <w:r>
        <w:t>、</w:t>
      </w:r>
      <w:r>
        <w:rPr>
          <w:rFonts w:hint="eastAsia"/>
        </w:rPr>
        <w:t>施工</w:t>
      </w:r>
      <w:r>
        <w:t>船舶污水</w:t>
      </w:r>
    </w:p>
    <w:p w14:paraId="38C8D768">
      <w:pPr>
        <w:ind w:firstLine="462"/>
      </w:pPr>
      <w:r>
        <w:rPr>
          <w:rFonts w:hint="eastAsia"/>
        </w:rPr>
        <w:t>施工船舶污水包括船舶机舱含油污水和施工人员产生的生活污水。</w:t>
      </w:r>
    </w:p>
    <w:p w14:paraId="0BFC8647">
      <w:pPr>
        <w:ind w:firstLine="462"/>
      </w:pPr>
      <w:r>
        <w:t>根据《工程船舶劳动定员》（JT/T383.2-2008）、《水运工程环境保护设计规范》（JTS149-2018），工程船舶定员如下表所示；船舶污水产生量指标按《水运工程环境保护设计规范》（JTS149-2018）表4.2.4由内插法确定，详见表2.</w:t>
      </w:r>
      <w:r>
        <w:rPr>
          <w:rFonts w:hint="eastAsia"/>
        </w:rPr>
        <w:t>3</w:t>
      </w:r>
      <w:r>
        <w:t>-1。经估算，施工期共产生船舶生活污水</w:t>
      </w:r>
      <w:r>
        <w:rPr>
          <w:rFonts w:hint="eastAsia"/>
        </w:rPr>
        <w:t>350</w:t>
      </w:r>
      <w:r>
        <w:t>t，油污水</w:t>
      </w:r>
      <w:r>
        <w:rPr>
          <w:rFonts w:hint="eastAsia"/>
        </w:rPr>
        <w:t>252</w:t>
      </w:r>
      <w:r>
        <w:t>t。项目施工期船舶机舱含油污水及船舶生活污水委托有资质的单位接收处理</w:t>
      </w:r>
      <w:r>
        <w:rPr>
          <w:rFonts w:hint="eastAsia"/>
        </w:rPr>
        <w:t>。</w:t>
      </w:r>
    </w:p>
    <w:p w14:paraId="71B80EEF">
      <w:pPr>
        <w:pStyle w:val="7"/>
      </w:pPr>
      <w:r>
        <w:t>船舶废水产生量</w:t>
      </w:r>
    </w:p>
    <w:tbl>
      <w:tblPr>
        <w:tblStyle w:val="88"/>
        <w:tblW w:w="0" w:type="auto"/>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787"/>
        <w:gridCol w:w="929"/>
        <w:gridCol w:w="567"/>
        <w:gridCol w:w="993"/>
        <w:gridCol w:w="1134"/>
        <w:gridCol w:w="1559"/>
        <w:gridCol w:w="992"/>
        <w:gridCol w:w="1381"/>
      </w:tblGrid>
      <w:tr w14:paraId="5FA2959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5" w:hRule="atLeast"/>
          <w:tblHeader/>
          <w:jc w:val="center"/>
        </w:trPr>
        <w:tc>
          <w:tcPr>
            <w:tcW w:w="0" w:type="auto"/>
            <w:vMerge w:val="restart"/>
            <w:vAlign w:val="center"/>
          </w:tcPr>
          <w:p w14:paraId="3D21C90E">
            <w:pPr>
              <w:pStyle w:val="34"/>
            </w:pPr>
            <w:r>
              <w:t>船舶</w:t>
            </w:r>
          </w:p>
          <w:p w14:paraId="542AFD05">
            <w:pPr>
              <w:pStyle w:val="34"/>
            </w:pPr>
            <w:r>
              <w:t>类型</w:t>
            </w:r>
          </w:p>
        </w:tc>
        <w:tc>
          <w:tcPr>
            <w:tcW w:w="929" w:type="dxa"/>
            <w:vMerge w:val="restart"/>
            <w:vAlign w:val="center"/>
          </w:tcPr>
          <w:p w14:paraId="103987FB">
            <w:pPr>
              <w:pStyle w:val="34"/>
            </w:pPr>
            <w:r>
              <w:t>定员</w:t>
            </w:r>
          </w:p>
          <w:p w14:paraId="0A224F86">
            <w:pPr>
              <w:pStyle w:val="34"/>
            </w:pPr>
            <w:r>
              <w:t>（单艘）</w:t>
            </w:r>
          </w:p>
        </w:tc>
        <w:tc>
          <w:tcPr>
            <w:tcW w:w="567" w:type="dxa"/>
            <w:vMerge w:val="restart"/>
            <w:vAlign w:val="center"/>
          </w:tcPr>
          <w:p w14:paraId="61518904">
            <w:pPr>
              <w:pStyle w:val="34"/>
            </w:pPr>
            <w:r>
              <w:t>船舶数量</w:t>
            </w:r>
          </w:p>
        </w:tc>
        <w:tc>
          <w:tcPr>
            <w:tcW w:w="993" w:type="dxa"/>
            <w:vMerge w:val="restart"/>
            <w:vAlign w:val="center"/>
          </w:tcPr>
          <w:p w14:paraId="10024748">
            <w:pPr>
              <w:pStyle w:val="34"/>
            </w:pPr>
            <w:r>
              <w:t>有效施工天数</w:t>
            </w:r>
          </w:p>
        </w:tc>
        <w:tc>
          <w:tcPr>
            <w:tcW w:w="2693" w:type="dxa"/>
            <w:gridSpan w:val="2"/>
            <w:vAlign w:val="center"/>
          </w:tcPr>
          <w:p w14:paraId="42754D0E">
            <w:pPr>
              <w:pStyle w:val="34"/>
            </w:pPr>
            <w:r>
              <w:t>生活污水</w:t>
            </w:r>
          </w:p>
        </w:tc>
        <w:tc>
          <w:tcPr>
            <w:tcW w:w="2373" w:type="dxa"/>
            <w:gridSpan w:val="2"/>
            <w:vAlign w:val="center"/>
          </w:tcPr>
          <w:p w14:paraId="2919D8E5">
            <w:pPr>
              <w:pStyle w:val="34"/>
            </w:pPr>
            <w:r>
              <w:t>油污水</w:t>
            </w:r>
          </w:p>
        </w:tc>
      </w:tr>
      <w:tr w14:paraId="11F9566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PrEx>
        <w:trPr>
          <w:trHeight w:val="15" w:hRule="atLeast"/>
          <w:tblHeader/>
          <w:jc w:val="center"/>
        </w:trPr>
        <w:tc>
          <w:tcPr>
            <w:tcW w:w="0" w:type="auto"/>
            <w:vMerge w:val="continue"/>
            <w:vAlign w:val="center"/>
          </w:tcPr>
          <w:p w14:paraId="7B52B2B9">
            <w:pPr>
              <w:pStyle w:val="34"/>
            </w:pPr>
          </w:p>
        </w:tc>
        <w:tc>
          <w:tcPr>
            <w:tcW w:w="929" w:type="dxa"/>
            <w:vMerge w:val="continue"/>
            <w:vAlign w:val="center"/>
          </w:tcPr>
          <w:p w14:paraId="2E9F6BBA">
            <w:pPr>
              <w:pStyle w:val="34"/>
            </w:pPr>
          </w:p>
        </w:tc>
        <w:tc>
          <w:tcPr>
            <w:tcW w:w="567" w:type="dxa"/>
            <w:vMerge w:val="continue"/>
            <w:vAlign w:val="center"/>
          </w:tcPr>
          <w:p w14:paraId="34F4969D">
            <w:pPr>
              <w:pStyle w:val="34"/>
            </w:pPr>
          </w:p>
        </w:tc>
        <w:tc>
          <w:tcPr>
            <w:tcW w:w="993" w:type="dxa"/>
            <w:vMerge w:val="continue"/>
            <w:vAlign w:val="center"/>
          </w:tcPr>
          <w:p w14:paraId="2642C8EC">
            <w:pPr>
              <w:pStyle w:val="34"/>
            </w:pPr>
          </w:p>
        </w:tc>
        <w:tc>
          <w:tcPr>
            <w:tcW w:w="1134" w:type="dxa"/>
            <w:vAlign w:val="center"/>
          </w:tcPr>
          <w:p w14:paraId="6B22CEF0">
            <w:pPr>
              <w:pStyle w:val="34"/>
            </w:pPr>
            <w:r>
              <w:t>人均污水量（L/人•d）</w:t>
            </w:r>
          </w:p>
        </w:tc>
        <w:tc>
          <w:tcPr>
            <w:tcW w:w="1559" w:type="dxa"/>
            <w:vAlign w:val="center"/>
          </w:tcPr>
          <w:p w14:paraId="3169B8C9">
            <w:pPr>
              <w:pStyle w:val="34"/>
            </w:pPr>
            <w:r>
              <w:t>污水产生量</w:t>
            </w:r>
          </w:p>
          <w:p w14:paraId="3FE2CA91">
            <w:pPr>
              <w:pStyle w:val="34"/>
            </w:pPr>
            <w:r>
              <w:t>（t）</w:t>
            </w:r>
          </w:p>
        </w:tc>
        <w:tc>
          <w:tcPr>
            <w:tcW w:w="992" w:type="dxa"/>
            <w:vAlign w:val="center"/>
          </w:tcPr>
          <w:p w14:paraId="7A81E474">
            <w:pPr>
              <w:pStyle w:val="34"/>
            </w:pPr>
            <w:r>
              <w:t>产生指标</w:t>
            </w:r>
          </w:p>
          <w:p w14:paraId="642636CA">
            <w:pPr>
              <w:pStyle w:val="34"/>
            </w:pPr>
            <w:r>
              <w:t>（t/d•艘）</w:t>
            </w:r>
          </w:p>
        </w:tc>
        <w:tc>
          <w:tcPr>
            <w:tcW w:w="1381" w:type="dxa"/>
            <w:vAlign w:val="center"/>
          </w:tcPr>
          <w:p w14:paraId="2910DEF1">
            <w:pPr>
              <w:pStyle w:val="34"/>
            </w:pPr>
            <w:r>
              <w:t>产生量</w:t>
            </w:r>
          </w:p>
          <w:p w14:paraId="07458B30">
            <w:pPr>
              <w:pStyle w:val="34"/>
            </w:pPr>
            <w:r>
              <w:t>（t）</w:t>
            </w:r>
          </w:p>
        </w:tc>
      </w:tr>
      <w:tr w14:paraId="2639487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5" w:hRule="atLeast"/>
          <w:jc w:val="center"/>
        </w:trPr>
        <w:tc>
          <w:tcPr>
            <w:tcW w:w="0" w:type="auto"/>
            <w:vAlign w:val="center"/>
          </w:tcPr>
          <w:p w14:paraId="257570F6">
            <w:pPr>
              <w:pStyle w:val="34"/>
            </w:pPr>
            <w:r>
              <w:t>炸礁船</w:t>
            </w:r>
          </w:p>
        </w:tc>
        <w:tc>
          <w:tcPr>
            <w:tcW w:w="929" w:type="dxa"/>
            <w:vAlign w:val="center"/>
          </w:tcPr>
          <w:p w14:paraId="257B4D48">
            <w:pPr>
              <w:pStyle w:val="34"/>
            </w:pPr>
            <w:r>
              <w:t>8</w:t>
            </w:r>
          </w:p>
        </w:tc>
        <w:tc>
          <w:tcPr>
            <w:tcW w:w="567" w:type="dxa"/>
            <w:vAlign w:val="center"/>
          </w:tcPr>
          <w:p w14:paraId="06509AAD">
            <w:pPr>
              <w:pStyle w:val="34"/>
            </w:pPr>
            <w:r>
              <w:t>1</w:t>
            </w:r>
          </w:p>
        </w:tc>
        <w:tc>
          <w:tcPr>
            <w:tcW w:w="993" w:type="dxa"/>
            <w:vAlign w:val="center"/>
          </w:tcPr>
          <w:p w14:paraId="5D4A9851">
            <w:pPr>
              <w:pStyle w:val="34"/>
            </w:pPr>
            <w:r>
              <w:rPr>
                <w:rFonts w:hint="eastAsia"/>
              </w:rPr>
              <w:t>50</w:t>
            </w:r>
          </w:p>
        </w:tc>
        <w:tc>
          <w:tcPr>
            <w:tcW w:w="1134" w:type="dxa"/>
            <w:vAlign w:val="center"/>
          </w:tcPr>
          <w:p w14:paraId="11C2417B">
            <w:pPr>
              <w:pStyle w:val="34"/>
            </w:pPr>
            <w:r>
              <w:t>100</w:t>
            </w:r>
          </w:p>
        </w:tc>
        <w:tc>
          <w:tcPr>
            <w:tcW w:w="1559" w:type="dxa"/>
            <w:vAlign w:val="center"/>
          </w:tcPr>
          <w:p w14:paraId="6456CE4B">
            <w:pPr>
              <w:pStyle w:val="34"/>
            </w:pPr>
            <w:r>
              <w:rPr>
                <w:rFonts w:hint="eastAsia"/>
              </w:rPr>
              <w:t>40</w:t>
            </w:r>
          </w:p>
        </w:tc>
        <w:tc>
          <w:tcPr>
            <w:tcW w:w="992" w:type="dxa"/>
            <w:vAlign w:val="center"/>
          </w:tcPr>
          <w:p w14:paraId="7134FF71">
            <w:pPr>
              <w:pStyle w:val="34"/>
            </w:pPr>
            <w:r>
              <w:t>0.14</w:t>
            </w:r>
          </w:p>
        </w:tc>
        <w:tc>
          <w:tcPr>
            <w:tcW w:w="1381" w:type="dxa"/>
            <w:vAlign w:val="center"/>
          </w:tcPr>
          <w:p w14:paraId="193876FB">
            <w:pPr>
              <w:pStyle w:val="34"/>
            </w:pPr>
            <w:r>
              <w:rPr>
                <w:rFonts w:hint="eastAsia"/>
              </w:rPr>
              <w:t>7</w:t>
            </w:r>
          </w:p>
        </w:tc>
      </w:tr>
      <w:tr w14:paraId="1730F8E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5" w:hRule="atLeast"/>
          <w:jc w:val="center"/>
        </w:trPr>
        <w:tc>
          <w:tcPr>
            <w:tcW w:w="0" w:type="auto"/>
            <w:vAlign w:val="center"/>
          </w:tcPr>
          <w:p w14:paraId="7E9CAE93">
            <w:pPr>
              <w:pStyle w:val="34"/>
            </w:pPr>
            <w:r>
              <w:t>抓斗式挖泥船</w:t>
            </w:r>
          </w:p>
        </w:tc>
        <w:tc>
          <w:tcPr>
            <w:tcW w:w="929" w:type="dxa"/>
            <w:vAlign w:val="center"/>
          </w:tcPr>
          <w:p w14:paraId="5BE23EF4">
            <w:pPr>
              <w:pStyle w:val="34"/>
            </w:pPr>
            <w:r>
              <w:t>8</w:t>
            </w:r>
          </w:p>
        </w:tc>
        <w:tc>
          <w:tcPr>
            <w:tcW w:w="567" w:type="dxa"/>
            <w:vAlign w:val="center"/>
          </w:tcPr>
          <w:p w14:paraId="1195F2BB">
            <w:pPr>
              <w:pStyle w:val="34"/>
            </w:pPr>
            <w:r>
              <w:t>1</w:t>
            </w:r>
          </w:p>
        </w:tc>
        <w:tc>
          <w:tcPr>
            <w:tcW w:w="993" w:type="dxa"/>
            <w:vAlign w:val="center"/>
          </w:tcPr>
          <w:p w14:paraId="408DAC7A">
            <w:pPr>
              <w:pStyle w:val="34"/>
            </w:pPr>
            <w:r>
              <w:rPr>
                <w:rFonts w:hint="eastAsia"/>
              </w:rPr>
              <w:t>150</w:t>
            </w:r>
          </w:p>
        </w:tc>
        <w:tc>
          <w:tcPr>
            <w:tcW w:w="1134" w:type="dxa"/>
            <w:vAlign w:val="center"/>
          </w:tcPr>
          <w:p w14:paraId="161E952C">
            <w:pPr>
              <w:pStyle w:val="34"/>
            </w:pPr>
            <w:r>
              <w:t>100</w:t>
            </w:r>
          </w:p>
        </w:tc>
        <w:tc>
          <w:tcPr>
            <w:tcW w:w="1559" w:type="dxa"/>
            <w:vAlign w:val="center"/>
          </w:tcPr>
          <w:p w14:paraId="2E4D6C16">
            <w:pPr>
              <w:pStyle w:val="34"/>
            </w:pPr>
            <w:r>
              <w:rPr>
                <w:rFonts w:hint="eastAsia"/>
              </w:rPr>
              <w:t>120</w:t>
            </w:r>
          </w:p>
        </w:tc>
        <w:tc>
          <w:tcPr>
            <w:tcW w:w="992" w:type="dxa"/>
            <w:vAlign w:val="center"/>
          </w:tcPr>
          <w:p w14:paraId="6B385D2F">
            <w:pPr>
              <w:pStyle w:val="34"/>
            </w:pPr>
            <w:r>
              <w:t>0.14</w:t>
            </w:r>
          </w:p>
        </w:tc>
        <w:tc>
          <w:tcPr>
            <w:tcW w:w="1381" w:type="dxa"/>
            <w:vAlign w:val="center"/>
          </w:tcPr>
          <w:p w14:paraId="6C5BC211">
            <w:pPr>
              <w:pStyle w:val="34"/>
            </w:pPr>
            <w:r>
              <w:rPr>
                <w:rFonts w:hint="eastAsia"/>
              </w:rPr>
              <w:t>21</w:t>
            </w:r>
          </w:p>
        </w:tc>
      </w:tr>
      <w:tr w14:paraId="095EC26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5" w:hRule="atLeast"/>
          <w:jc w:val="center"/>
        </w:trPr>
        <w:tc>
          <w:tcPr>
            <w:tcW w:w="0" w:type="auto"/>
            <w:vAlign w:val="center"/>
          </w:tcPr>
          <w:p w14:paraId="4CC92043">
            <w:pPr>
              <w:pStyle w:val="34"/>
            </w:pPr>
            <w:r>
              <w:t>绞吸式挖泥船</w:t>
            </w:r>
          </w:p>
        </w:tc>
        <w:tc>
          <w:tcPr>
            <w:tcW w:w="929" w:type="dxa"/>
            <w:vAlign w:val="center"/>
          </w:tcPr>
          <w:p w14:paraId="5AE79795">
            <w:pPr>
              <w:pStyle w:val="34"/>
            </w:pPr>
            <w:r>
              <w:t>9</w:t>
            </w:r>
          </w:p>
        </w:tc>
        <w:tc>
          <w:tcPr>
            <w:tcW w:w="567" w:type="dxa"/>
            <w:vAlign w:val="center"/>
          </w:tcPr>
          <w:p w14:paraId="01AF28E4">
            <w:pPr>
              <w:pStyle w:val="34"/>
            </w:pPr>
            <w:r>
              <w:t>1</w:t>
            </w:r>
          </w:p>
        </w:tc>
        <w:tc>
          <w:tcPr>
            <w:tcW w:w="993" w:type="dxa"/>
            <w:vAlign w:val="center"/>
          </w:tcPr>
          <w:p w14:paraId="37C06CAC">
            <w:pPr>
              <w:pStyle w:val="34"/>
            </w:pPr>
            <w:r>
              <w:rPr>
                <w:rFonts w:hint="eastAsia"/>
              </w:rPr>
              <w:t>100</w:t>
            </w:r>
          </w:p>
        </w:tc>
        <w:tc>
          <w:tcPr>
            <w:tcW w:w="1134" w:type="dxa"/>
            <w:vAlign w:val="center"/>
          </w:tcPr>
          <w:p w14:paraId="6C15E504">
            <w:pPr>
              <w:pStyle w:val="34"/>
            </w:pPr>
            <w:r>
              <w:t>100</w:t>
            </w:r>
          </w:p>
        </w:tc>
        <w:tc>
          <w:tcPr>
            <w:tcW w:w="1559" w:type="dxa"/>
            <w:vAlign w:val="center"/>
          </w:tcPr>
          <w:p w14:paraId="1EFFB5D4">
            <w:pPr>
              <w:pStyle w:val="34"/>
            </w:pPr>
            <w:r>
              <w:rPr>
                <w:rFonts w:hint="eastAsia"/>
              </w:rPr>
              <w:t>90</w:t>
            </w:r>
          </w:p>
        </w:tc>
        <w:tc>
          <w:tcPr>
            <w:tcW w:w="992" w:type="dxa"/>
            <w:vAlign w:val="center"/>
          </w:tcPr>
          <w:p w14:paraId="52EF44BB">
            <w:pPr>
              <w:pStyle w:val="34"/>
            </w:pPr>
            <w:r>
              <w:t>0.14</w:t>
            </w:r>
          </w:p>
        </w:tc>
        <w:tc>
          <w:tcPr>
            <w:tcW w:w="1381" w:type="dxa"/>
            <w:vAlign w:val="center"/>
          </w:tcPr>
          <w:p w14:paraId="402C950C">
            <w:pPr>
              <w:pStyle w:val="34"/>
            </w:pPr>
            <w:r>
              <w:rPr>
                <w:rFonts w:hint="eastAsia"/>
              </w:rPr>
              <w:t>14</w:t>
            </w:r>
          </w:p>
        </w:tc>
      </w:tr>
      <w:tr w14:paraId="6129C22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70" w:hRule="atLeast"/>
          <w:jc w:val="center"/>
        </w:trPr>
        <w:tc>
          <w:tcPr>
            <w:tcW w:w="0" w:type="auto"/>
            <w:vAlign w:val="center"/>
          </w:tcPr>
          <w:p w14:paraId="1354C97B">
            <w:pPr>
              <w:pStyle w:val="34"/>
            </w:pPr>
            <w:r>
              <w:t>驳船</w:t>
            </w:r>
          </w:p>
        </w:tc>
        <w:tc>
          <w:tcPr>
            <w:tcW w:w="929" w:type="dxa"/>
            <w:vAlign w:val="center"/>
          </w:tcPr>
          <w:p w14:paraId="36C221EA">
            <w:pPr>
              <w:pStyle w:val="34"/>
            </w:pPr>
            <w:r>
              <w:t>4</w:t>
            </w:r>
          </w:p>
        </w:tc>
        <w:tc>
          <w:tcPr>
            <w:tcW w:w="567" w:type="dxa"/>
            <w:vAlign w:val="center"/>
          </w:tcPr>
          <w:p w14:paraId="509BEA9E">
            <w:pPr>
              <w:pStyle w:val="34"/>
            </w:pPr>
            <w:r>
              <w:t>6</w:t>
            </w:r>
          </w:p>
        </w:tc>
        <w:tc>
          <w:tcPr>
            <w:tcW w:w="993" w:type="dxa"/>
            <w:vAlign w:val="center"/>
          </w:tcPr>
          <w:p w14:paraId="08849CB9">
            <w:pPr>
              <w:pStyle w:val="34"/>
            </w:pPr>
            <w:r>
              <w:rPr>
                <w:rFonts w:hint="eastAsia"/>
              </w:rPr>
              <w:t>250</w:t>
            </w:r>
          </w:p>
        </w:tc>
        <w:tc>
          <w:tcPr>
            <w:tcW w:w="1134" w:type="dxa"/>
            <w:vAlign w:val="center"/>
          </w:tcPr>
          <w:p w14:paraId="627D1935">
            <w:pPr>
              <w:pStyle w:val="34"/>
            </w:pPr>
            <w:r>
              <w:t>100</w:t>
            </w:r>
          </w:p>
        </w:tc>
        <w:tc>
          <w:tcPr>
            <w:tcW w:w="1559" w:type="dxa"/>
          </w:tcPr>
          <w:p w14:paraId="743CE257">
            <w:pPr>
              <w:pStyle w:val="34"/>
            </w:pPr>
            <w:r>
              <w:rPr>
                <w:rFonts w:hint="eastAsia"/>
              </w:rPr>
              <w:t>1</w:t>
            </w:r>
            <w:r>
              <w:t>00</w:t>
            </w:r>
          </w:p>
        </w:tc>
        <w:tc>
          <w:tcPr>
            <w:tcW w:w="992" w:type="dxa"/>
            <w:vAlign w:val="center"/>
          </w:tcPr>
          <w:p w14:paraId="5EC40682">
            <w:pPr>
              <w:pStyle w:val="34"/>
            </w:pPr>
            <w:r>
              <w:t>0.10</w:t>
            </w:r>
          </w:p>
        </w:tc>
        <w:tc>
          <w:tcPr>
            <w:tcW w:w="1381" w:type="dxa"/>
          </w:tcPr>
          <w:p w14:paraId="213AA071">
            <w:pPr>
              <w:pStyle w:val="34"/>
            </w:pPr>
            <w:r>
              <w:rPr>
                <w:rFonts w:hint="eastAsia"/>
              </w:rPr>
              <w:t>210</w:t>
            </w:r>
          </w:p>
        </w:tc>
      </w:tr>
      <w:tr w14:paraId="150628F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5" w:hRule="atLeast"/>
          <w:jc w:val="center"/>
        </w:trPr>
        <w:tc>
          <w:tcPr>
            <w:tcW w:w="0" w:type="auto"/>
            <w:vAlign w:val="center"/>
          </w:tcPr>
          <w:p w14:paraId="1A0A275D">
            <w:pPr>
              <w:pStyle w:val="34"/>
            </w:pPr>
            <w:r>
              <w:t>合计</w:t>
            </w:r>
          </w:p>
        </w:tc>
        <w:tc>
          <w:tcPr>
            <w:tcW w:w="929" w:type="dxa"/>
            <w:vAlign w:val="center"/>
          </w:tcPr>
          <w:p w14:paraId="1294E26B">
            <w:pPr>
              <w:pStyle w:val="34"/>
            </w:pPr>
            <w:r>
              <w:t>29</w:t>
            </w:r>
          </w:p>
        </w:tc>
        <w:tc>
          <w:tcPr>
            <w:tcW w:w="567" w:type="dxa"/>
            <w:vAlign w:val="center"/>
          </w:tcPr>
          <w:p w14:paraId="74BEEF38">
            <w:pPr>
              <w:pStyle w:val="34"/>
            </w:pPr>
            <w:r>
              <w:t>——</w:t>
            </w:r>
          </w:p>
        </w:tc>
        <w:tc>
          <w:tcPr>
            <w:tcW w:w="993" w:type="dxa"/>
            <w:vAlign w:val="center"/>
          </w:tcPr>
          <w:p w14:paraId="5BEC3B11">
            <w:pPr>
              <w:pStyle w:val="34"/>
            </w:pPr>
            <w:r>
              <w:t>——</w:t>
            </w:r>
          </w:p>
        </w:tc>
        <w:tc>
          <w:tcPr>
            <w:tcW w:w="1134" w:type="dxa"/>
            <w:vAlign w:val="center"/>
          </w:tcPr>
          <w:p w14:paraId="10A2E19B">
            <w:pPr>
              <w:pStyle w:val="34"/>
            </w:pPr>
            <w:r>
              <w:t>——</w:t>
            </w:r>
          </w:p>
        </w:tc>
        <w:tc>
          <w:tcPr>
            <w:tcW w:w="1559" w:type="dxa"/>
          </w:tcPr>
          <w:p w14:paraId="53B5B666">
            <w:pPr>
              <w:pStyle w:val="34"/>
            </w:pPr>
            <w:r>
              <w:rPr>
                <w:rFonts w:hint="eastAsia"/>
              </w:rPr>
              <w:t>350</w:t>
            </w:r>
          </w:p>
        </w:tc>
        <w:tc>
          <w:tcPr>
            <w:tcW w:w="992" w:type="dxa"/>
            <w:vAlign w:val="center"/>
          </w:tcPr>
          <w:p w14:paraId="7D233EA4">
            <w:pPr>
              <w:pStyle w:val="34"/>
            </w:pPr>
            <w:r>
              <w:t>——</w:t>
            </w:r>
          </w:p>
        </w:tc>
        <w:tc>
          <w:tcPr>
            <w:tcW w:w="1381" w:type="dxa"/>
          </w:tcPr>
          <w:p w14:paraId="4C2726BE">
            <w:pPr>
              <w:pStyle w:val="34"/>
            </w:pPr>
            <w:r>
              <w:rPr>
                <w:rFonts w:hint="eastAsia"/>
              </w:rPr>
              <w:t>252</w:t>
            </w:r>
          </w:p>
        </w:tc>
      </w:tr>
      <w:tr w14:paraId="6D5D398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5" w:hRule="atLeast"/>
          <w:jc w:val="center"/>
        </w:trPr>
        <w:tc>
          <w:tcPr>
            <w:tcW w:w="0" w:type="auto"/>
            <w:vAlign w:val="center"/>
          </w:tcPr>
          <w:p w14:paraId="285E01FE">
            <w:pPr>
              <w:pStyle w:val="34"/>
            </w:pPr>
            <w:r>
              <w:t>主要污染物</w:t>
            </w:r>
          </w:p>
        </w:tc>
        <w:tc>
          <w:tcPr>
            <w:tcW w:w="929" w:type="dxa"/>
            <w:vAlign w:val="center"/>
          </w:tcPr>
          <w:p w14:paraId="397F2F96">
            <w:pPr>
              <w:pStyle w:val="34"/>
            </w:pPr>
            <w:r>
              <w:t>——</w:t>
            </w:r>
          </w:p>
        </w:tc>
        <w:tc>
          <w:tcPr>
            <w:tcW w:w="567" w:type="dxa"/>
            <w:vAlign w:val="center"/>
          </w:tcPr>
          <w:p w14:paraId="5F515DD0">
            <w:pPr>
              <w:pStyle w:val="34"/>
            </w:pPr>
            <w:r>
              <w:t>——</w:t>
            </w:r>
          </w:p>
        </w:tc>
        <w:tc>
          <w:tcPr>
            <w:tcW w:w="993" w:type="dxa"/>
            <w:vAlign w:val="center"/>
          </w:tcPr>
          <w:p w14:paraId="4F88E9F9">
            <w:pPr>
              <w:pStyle w:val="34"/>
            </w:pPr>
            <w:r>
              <w:t>——</w:t>
            </w:r>
          </w:p>
        </w:tc>
        <w:tc>
          <w:tcPr>
            <w:tcW w:w="1134" w:type="dxa"/>
            <w:vAlign w:val="center"/>
          </w:tcPr>
          <w:p w14:paraId="5284E77F">
            <w:pPr>
              <w:pStyle w:val="34"/>
            </w:pPr>
            <w:r>
              <w:t>——</w:t>
            </w:r>
          </w:p>
        </w:tc>
        <w:tc>
          <w:tcPr>
            <w:tcW w:w="1559" w:type="dxa"/>
            <w:vAlign w:val="center"/>
          </w:tcPr>
          <w:p w14:paraId="4FB1DE82">
            <w:pPr>
              <w:pStyle w:val="34"/>
            </w:pPr>
            <w:r>
              <w:t>COD（300mg/L，</w:t>
            </w:r>
          </w:p>
          <w:p w14:paraId="75B2063A">
            <w:pPr>
              <w:pStyle w:val="34"/>
            </w:pPr>
            <w:r>
              <w:t>共计</w:t>
            </w:r>
            <w:r>
              <w:rPr>
                <w:rFonts w:hint="eastAsia"/>
              </w:rPr>
              <w:t>105</w:t>
            </w:r>
            <w:r>
              <w:t>kg）；</w:t>
            </w:r>
          </w:p>
          <w:p w14:paraId="49A5D994">
            <w:pPr>
              <w:pStyle w:val="34"/>
            </w:pPr>
            <w:r>
              <w:t>BOD</w:t>
            </w:r>
            <w:r>
              <w:rPr>
                <w:vertAlign w:val="subscript"/>
              </w:rPr>
              <w:t>5</w:t>
            </w:r>
            <w:r>
              <w:t>（200mg/L，</w:t>
            </w:r>
          </w:p>
          <w:p w14:paraId="7A98DC01">
            <w:pPr>
              <w:pStyle w:val="34"/>
            </w:pPr>
            <w:r>
              <w:t>共计</w:t>
            </w:r>
            <w:r>
              <w:rPr>
                <w:rFonts w:hint="eastAsia"/>
              </w:rPr>
              <w:t>70</w:t>
            </w:r>
            <w:r>
              <w:t>kg）；</w:t>
            </w:r>
          </w:p>
          <w:p w14:paraId="553CF904">
            <w:pPr>
              <w:pStyle w:val="34"/>
            </w:pPr>
            <w:r>
              <w:t>SS（400 mg/L，</w:t>
            </w:r>
          </w:p>
          <w:p w14:paraId="1F29E29A">
            <w:pPr>
              <w:pStyle w:val="34"/>
            </w:pPr>
            <w:r>
              <w:t>共计</w:t>
            </w:r>
            <w:r>
              <w:rPr>
                <w:rFonts w:hint="eastAsia"/>
              </w:rPr>
              <w:t>140</w:t>
            </w:r>
            <w:r>
              <w:t>kg）</w:t>
            </w:r>
          </w:p>
        </w:tc>
        <w:tc>
          <w:tcPr>
            <w:tcW w:w="992" w:type="dxa"/>
            <w:vAlign w:val="center"/>
          </w:tcPr>
          <w:p w14:paraId="24E6E0C0">
            <w:pPr>
              <w:pStyle w:val="34"/>
            </w:pPr>
            <w:r>
              <w:t>——</w:t>
            </w:r>
          </w:p>
        </w:tc>
        <w:tc>
          <w:tcPr>
            <w:tcW w:w="1381" w:type="dxa"/>
            <w:vAlign w:val="center"/>
          </w:tcPr>
          <w:p w14:paraId="4848DF12">
            <w:pPr>
              <w:pStyle w:val="34"/>
            </w:pPr>
            <w:r>
              <w:t>石油类</w:t>
            </w:r>
          </w:p>
          <w:p w14:paraId="2EA28DA8">
            <w:pPr>
              <w:pStyle w:val="34"/>
            </w:pPr>
            <w:r>
              <w:t>（5000mg/L，</w:t>
            </w:r>
          </w:p>
          <w:p w14:paraId="2D2130E3">
            <w:pPr>
              <w:pStyle w:val="34"/>
            </w:pPr>
            <w:r>
              <w:t>共计</w:t>
            </w:r>
            <w:r>
              <w:rPr>
                <w:rFonts w:hint="eastAsia"/>
              </w:rPr>
              <w:t>1260</w:t>
            </w:r>
            <w:r>
              <w:t>kg）</w:t>
            </w:r>
          </w:p>
        </w:tc>
      </w:tr>
    </w:tbl>
    <w:p w14:paraId="2C759BD5">
      <w:pPr>
        <w:ind w:firstLine="462"/>
      </w:pPr>
      <w:r>
        <w:rPr>
          <w:rFonts w:hint="eastAsia"/>
        </w:rPr>
        <w:t>3</w:t>
      </w:r>
      <w:r>
        <w:t>、</w:t>
      </w:r>
      <w:r>
        <w:rPr>
          <w:rFonts w:hint="eastAsia"/>
        </w:rPr>
        <w:t>港区</w:t>
      </w:r>
      <w:r>
        <w:t>施工</w:t>
      </w:r>
      <w:r>
        <w:rPr>
          <w:rFonts w:hint="eastAsia"/>
        </w:rPr>
        <w:t>污水</w:t>
      </w:r>
    </w:p>
    <w:p w14:paraId="36E80A7A">
      <w:pPr>
        <w:ind w:firstLine="462"/>
      </w:pPr>
      <w:r>
        <w:t>港区施工</w:t>
      </w:r>
      <w:r>
        <w:rPr>
          <w:rFonts w:hint="eastAsia"/>
        </w:rPr>
        <w:t>污水</w:t>
      </w:r>
      <w:r>
        <w:t>包括施工生产废水和生活污水</w:t>
      </w:r>
      <w:r>
        <w:rPr>
          <w:rFonts w:hint="eastAsia"/>
        </w:rPr>
        <w:t>：</w:t>
      </w:r>
    </w:p>
    <w:p w14:paraId="7EE6CAD3">
      <w:pPr>
        <w:ind w:firstLine="462"/>
      </w:pPr>
      <w:r>
        <w:t>（1）施工生产废水</w:t>
      </w:r>
    </w:p>
    <w:p w14:paraId="76FFFF0E">
      <w:pPr>
        <w:ind w:firstLine="462"/>
      </w:pPr>
      <w:r>
        <w:rPr>
          <w:rFonts w:hint="eastAsia"/>
        </w:rPr>
        <w:t>工程</w:t>
      </w:r>
      <w:r>
        <w:t>陆域施工过程中将产生少量的生产废水，</w:t>
      </w:r>
      <w:r>
        <w:rPr>
          <w:rFonts w:hint="eastAsia"/>
        </w:rPr>
        <w:t>施工过程中可自然蒸发干化</w:t>
      </w:r>
      <w:r>
        <w:t>。</w:t>
      </w:r>
    </w:p>
    <w:p w14:paraId="55E8A668">
      <w:pPr>
        <w:ind w:firstLine="462"/>
      </w:pPr>
      <w:r>
        <w:t>（2）施工人员生活污水</w:t>
      </w:r>
    </w:p>
    <w:p w14:paraId="5944DA64">
      <w:pPr>
        <w:ind w:firstLine="462"/>
        <w:rPr>
          <w:snapToGrid w:val="0"/>
        </w:rPr>
      </w:pPr>
      <w:r>
        <w:rPr>
          <w:rFonts w:hint="eastAsia"/>
          <w:snapToGrid w:val="0"/>
        </w:rPr>
        <w:t>项目不设置施工营地，施工人员生活污水依托9号10号泊位现有厕所，按陆域施工人员10人计，施工人员污水产生量约1m</w:t>
      </w:r>
      <w:r>
        <w:rPr>
          <w:rFonts w:hint="eastAsia"/>
          <w:snapToGrid w:val="0"/>
          <w:vertAlign w:val="superscript"/>
        </w:rPr>
        <w:t>3</w:t>
      </w:r>
      <w:r>
        <w:rPr>
          <w:rFonts w:hint="eastAsia"/>
          <w:snapToGrid w:val="0"/>
        </w:rPr>
        <w:t>/d，施工期污水产生总量为840t，进入7号8号泊位生活污水处理站，预处理达到《污水综合排放标准》（GB 8978-1996）三级标准后进入大榄坪污水处理厂</w:t>
      </w:r>
      <w:r>
        <w:rPr>
          <w:snapToGrid w:val="0"/>
        </w:rPr>
        <w:t>。</w:t>
      </w:r>
    </w:p>
    <w:p w14:paraId="417B1CC6">
      <w:pPr>
        <w:pStyle w:val="6"/>
      </w:pPr>
      <w:r>
        <w:t>大气环境污染源</w:t>
      </w:r>
    </w:p>
    <w:p w14:paraId="2B0BA7BB">
      <w:pPr>
        <w:ind w:firstLine="462"/>
      </w:pPr>
      <w:r>
        <w:rPr>
          <w:rFonts w:hint="eastAsia"/>
        </w:rPr>
        <w:t>1、施工期</w:t>
      </w:r>
      <w:r>
        <w:t>扬尘</w:t>
      </w:r>
    </w:p>
    <w:p w14:paraId="792E7591">
      <w:pPr>
        <w:ind w:firstLine="462"/>
      </w:pPr>
      <w:r>
        <w:t>项目施工期扬尘污染物主要为进场道路及施工场地内车辆运输扬尘、</w:t>
      </w:r>
      <w:r>
        <w:rPr>
          <w:rFonts w:hint="eastAsia"/>
        </w:rPr>
        <w:t>陆域土方</w:t>
      </w:r>
      <w:r>
        <w:t>施工扬尘。</w:t>
      </w:r>
    </w:p>
    <w:p w14:paraId="57B6A15A">
      <w:pPr>
        <w:ind w:firstLine="462"/>
      </w:pPr>
      <w:r>
        <w:t>根据国内港口工程施工现场监测资料，在正常风况下，</w:t>
      </w:r>
      <w:r>
        <w:rPr>
          <w:rFonts w:hint="eastAsia"/>
        </w:rPr>
        <w:t>码头</w:t>
      </w:r>
      <w:r>
        <w:t>施工活动将使施工现场TSP近地面浓度达到1.5～30mg/m</w:t>
      </w:r>
      <w:r>
        <w:rPr>
          <w:vertAlign w:val="superscript"/>
        </w:rPr>
        <w:t>3</w:t>
      </w:r>
      <w:r>
        <w:t>，距施工现场约200m外的TSP浓度符合《环境空气质量标准》（GB3095-</w:t>
      </w:r>
      <w:r>
        <w:rPr>
          <w:rFonts w:hint="eastAsia"/>
        </w:rPr>
        <w:t>2012</w:t>
      </w:r>
      <w:r>
        <w:t>）二级标准要求。在未采取抑尘措施的情况下，施工场地道路车辆运输扬尘影响范围超过200m，在距路边下风向50m，TSP浓度大于10mg/m</w:t>
      </w:r>
      <w:r>
        <w:rPr>
          <w:vertAlign w:val="superscript"/>
        </w:rPr>
        <w:t>3</w:t>
      </w:r>
      <w:r>
        <w:t>；在距路边下风向150m，TSP约为5.09mg/m</w:t>
      </w:r>
      <w:r>
        <w:rPr>
          <w:vertAlign w:val="superscript"/>
        </w:rPr>
        <w:t>3</w:t>
      </w:r>
      <w:r>
        <w:t>，超过GB3095-2012中二级标准。如采用洒水措施，将利于TSP沉降，在施工下风向200m外，TSP浓度满足二级标准</w:t>
      </w:r>
      <w:r>
        <w:rPr>
          <w:rFonts w:hint="eastAsia"/>
        </w:rPr>
        <w:t>。</w:t>
      </w:r>
      <w:r>
        <w:t>施工路段洒水降尘试验结果见表2.</w:t>
      </w:r>
      <w:r>
        <w:rPr>
          <w:rFonts w:hint="eastAsia"/>
        </w:rPr>
        <w:t>3</w:t>
      </w:r>
      <w:r>
        <w:t>-</w:t>
      </w:r>
      <w:r>
        <w:rPr>
          <w:rFonts w:hint="eastAsia"/>
        </w:rPr>
        <w:t>2</w:t>
      </w:r>
      <w:r>
        <w:t>。</w:t>
      </w:r>
    </w:p>
    <w:p w14:paraId="1458D7F5">
      <w:pPr>
        <w:pStyle w:val="7"/>
      </w:pPr>
      <w:r>
        <w:t>施工路段洒水降尘试验结果</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442"/>
        <w:gridCol w:w="1330"/>
        <w:gridCol w:w="1081"/>
        <w:gridCol w:w="919"/>
        <w:gridCol w:w="919"/>
        <w:gridCol w:w="920"/>
        <w:gridCol w:w="917"/>
      </w:tblGrid>
      <w:tr w14:paraId="709DA9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2211" w:type="pct"/>
            <w:gridSpan w:val="2"/>
            <w:tcBorders>
              <w:top w:val="single" w:color="auto" w:sz="12" w:space="0"/>
              <w:left w:val="single" w:color="auto" w:sz="12" w:space="0"/>
              <w:bottom w:val="single" w:color="auto" w:sz="6" w:space="0"/>
              <w:right w:val="single" w:color="auto" w:sz="6" w:space="0"/>
            </w:tcBorders>
            <w:vAlign w:val="center"/>
          </w:tcPr>
          <w:p w14:paraId="2F6198D0">
            <w:pPr>
              <w:snapToGrid w:val="0"/>
              <w:ind w:firstLine="0" w:firstLineChars="0"/>
              <w:jc w:val="center"/>
              <w:rPr>
                <w:sz w:val="21"/>
                <w:szCs w:val="21"/>
              </w:rPr>
            </w:pPr>
            <w:r>
              <w:rPr>
                <w:sz w:val="21"/>
                <w:szCs w:val="21"/>
              </w:rPr>
              <w:t>距路边距离（m）</w:t>
            </w:r>
          </w:p>
        </w:tc>
        <w:tc>
          <w:tcPr>
            <w:tcW w:w="634" w:type="pct"/>
            <w:tcBorders>
              <w:top w:val="single" w:color="auto" w:sz="12" w:space="0"/>
              <w:left w:val="single" w:color="auto" w:sz="6" w:space="0"/>
              <w:bottom w:val="single" w:color="auto" w:sz="6" w:space="0"/>
              <w:right w:val="single" w:color="auto" w:sz="6" w:space="0"/>
            </w:tcBorders>
            <w:vAlign w:val="center"/>
          </w:tcPr>
          <w:p w14:paraId="4E302FFD">
            <w:pPr>
              <w:snapToGrid w:val="0"/>
              <w:ind w:firstLine="0" w:firstLineChars="0"/>
              <w:jc w:val="center"/>
              <w:rPr>
                <w:sz w:val="21"/>
                <w:szCs w:val="21"/>
              </w:rPr>
            </w:pPr>
            <w:r>
              <w:rPr>
                <w:sz w:val="21"/>
                <w:szCs w:val="21"/>
              </w:rPr>
              <w:t>0</w:t>
            </w:r>
          </w:p>
        </w:tc>
        <w:tc>
          <w:tcPr>
            <w:tcW w:w="539" w:type="pct"/>
            <w:tcBorders>
              <w:top w:val="single" w:color="auto" w:sz="12" w:space="0"/>
              <w:left w:val="single" w:color="auto" w:sz="6" w:space="0"/>
              <w:bottom w:val="single" w:color="auto" w:sz="6" w:space="0"/>
              <w:right w:val="single" w:color="auto" w:sz="6" w:space="0"/>
            </w:tcBorders>
            <w:vAlign w:val="center"/>
          </w:tcPr>
          <w:p w14:paraId="29ADE13E">
            <w:pPr>
              <w:snapToGrid w:val="0"/>
              <w:ind w:firstLine="0" w:firstLineChars="0"/>
              <w:jc w:val="center"/>
              <w:rPr>
                <w:sz w:val="21"/>
                <w:szCs w:val="21"/>
              </w:rPr>
            </w:pPr>
            <w:r>
              <w:rPr>
                <w:sz w:val="21"/>
                <w:szCs w:val="21"/>
              </w:rPr>
              <w:t>20</w:t>
            </w:r>
          </w:p>
        </w:tc>
        <w:tc>
          <w:tcPr>
            <w:tcW w:w="539" w:type="pct"/>
            <w:tcBorders>
              <w:top w:val="single" w:color="auto" w:sz="12" w:space="0"/>
              <w:left w:val="single" w:color="auto" w:sz="6" w:space="0"/>
              <w:bottom w:val="single" w:color="auto" w:sz="6" w:space="0"/>
              <w:right w:val="single" w:color="auto" w:sz="6" w:space="0"/>
            </w:tcBorders>
            <w:vAlign w:val="center"/>
          </w:tcPr>
          <w:p w14:paraId="0EA6C352">
            <w:pPr>
              <w:snapToGrid w:val="0"/>
              <w:ind w:firstLine="0" w:firstLineChars="0"/>
              <w:jc w:val="center"/>
              <w:rPr>
                <w:sz w:val="21"/>
                <w:szCs w:val="21"/>
              </w:rPr>
            </w:pPr>
            <w:r>
              <w:rPr>
                <w:sz w:val="21"/>
                <w:szCs w:val="21"/>
              </w:rPr>
              <w:t>50</w:t>
            </w:r>
          </w:p>
        </w:tc>
        <w:tc>
          <w:tcPr>
            <w:tcW w:w="539" w:type="pct"/>
            <w:tcBorders>
              <w:top w:val="single" w:color="auto" w:sz="12" w:space="0"/>
              <w:left w:val="single" w:color="auto" w:sz="6" w:space="0"/>
              <w:bottom w:val="single" w:color="auto" w:sz="6" w:space="0"/>
              <w:right w:val="single" w:color="auto" w:sz="6" w:space="0"/>
            </w:tcBorders>
            <w:vAlign w:val="center"/>
          </w:tcPr>
          <w:p w14:paraId="2E9FD251">
            <w:pPr>
              <w:snapToGrid w:val="0"/>
              <w:ind w:firstLine="0" w:firstLineChars="0"/>
              <w:jc w:val="center"/>
              <w:rPr>
                <w:sz w:val="21"/>
                <w:szCs w:val="21"/>
              </w:rPr>
            </w:pPr>
            <w:r>
              <w:rPr>
                <w:sz w:val="21"/>
                <w:szCs w:val="21"/>
              </w:rPr>
              <w:t>100</w:t>
            </w:r>
          </w:p>
        </w:tc>
        <w:tc>
          <w:tcPr>
            <w:tcW w:w="539" w:type="pct"/>
            <w:tcBorders>
              <w:top w:val="single" w:color="auto" w:sz="12" w:space="0"/>
              <w:left w:val="single" w:color="auto" w:sz="6" w:space="0"/>
              <w:bottom w:val="single" w:color="auto" w:sz="6" w:space="0"/>
              <w:right w:val="single" w:color="auto" w:sz="12" w:space="0"/>
            </w:tcBorders>
            <w:vAlign w:val="center"/>
          </w:tcPr>
          <w:p w14:paraId="445449BD">
            <w:pPr>
              <w:snapToGrid w:val="0"/>
              <w:ind w:firstLine="0" w:firstLineChars="0"/>
              <w:jc w:val="center"/>
              <w:rPr>
                <w:sz w:val="21"/>
                <w:szCs w:val="21"/>
              </w:rPr>
            </w:pPr>
            <w:r>
              <w:rPr>
                <w:sz w:val="21"/>
                <w:szCs w:val="21"/>
              </w:rPr>
              <w:t>200</w:t>
            </w:r>
          </w:p>
        </w:tc>
      </w:tr>
      <w:tr w14:paraId="1A669F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32" w:type="pct"/>
            <w:vMerge w:val="restart"/>
            <w:tcBorders>
              <w:top w:val="single" w:color="auto" w:sz="6" w:space="0"/>
              <w:left w:val="single" w:color="auto" w:sz="12" w:space="0"/>
              <w:bottom w:val="single" w:color="auto" w:sz="12" w:space="0"/>
              <w:right w:val="single" w:color="auto" w:sz="6" w:space="0"/>
            </w:tcBorders>
            <w:vAlign w:val="center"/>
          </w:tcPr>
          <w:p w14:paraId="6B6D5BA7">
            <w:pPr>
              <w:snapToGrid w:val="0"/>
              <w:ind w:firstLine="0" w:firstLineChars="0"/>
              <w:jc w:val="center"/>
              <w:rPr>
                <w:sz w:val="21"/>
                <w:szCs w:val="21"/>
              </w:rPr>
            </w:pPr>
            <w:r>
              <w:rPr>
                <w:sz w:val="21"/>
                <w:szCs w:val="21"/>
              </w:rPr>
              <w:t>TSP（mg/m</w:t>
            </w:r>
            <w:r>
              <w:rPr>
                <w:sz w:val="21"/>
                <w:szCs w:val="21"/>
                <w:vertAlign w:val="superscript"/>
              </w:rPr>
              <w:t>3</w:t>
            </w:r>
            <w:r>
              <w:rPr>
                <w:sz w:val="21"/>
                <w:szCs w:val="21"/>
              </w:rPr>
              <w:t>）</w:t>
            </w:r>
          </w:p>
        </w:tc>
        <w:tc>
          <w:tcPr>
            <w:tcW w:w="780" w:type="pct"/>
            <w:tcBorders>
              <w:top w:val="single" w:color="auto" w:sz="6" w:space="0"/>
              <w:left w:val="single" w:color="auto" w:sz="6" w:space="0"/>
              <w:bottom w:val="single" w:color="auto" w:sz="6" w:space="0"/>
              <w:right w:val="single" w:color="auto" w:sz="6" w:space="0"/>
            </w:tcBorders>
            <w:vAlign w:val="center"/>
          </w:tcPr>
          <w:p w14:paraId="5D6216C5">
            <w:pPr>
              <w:snapToGrid w:val="0"/>
              <w:ind w:firstLine="0" w:firstLineChars="0"/>
              <w:jc w:val="center"/>
              <w:rPr>
                <w:sz w:val="21"/>
                <w:szCs w:val="21"/>
              </w:rPr>
            </w:pPr>
            <w:r>
              <w:rPr>
                <w:sz w:val="21"/>
                <w:szCs w:val="21"/>
              </w:rPr>
              <w:t>不洒水</w:t>
            </w:r>
          </w:p>
        </w:tc>
        <w:tc>
          <w:tcPr>
            <w:tcW w:w="634" w:type="pct"/>
            <w:tcBorders>
              <w:top w:val="single" w:color="auto" w:sz="6" w:space="0"/>
              <w:left w:val="single" w:color="auto" w:sz="6" w:space="0"/>
              <w:bottom w:val="single" w:color="auto" w:sz="6" w:space="0"/>
              <w:right w:val="single" w:color="auto" w:sz="6" w:space="0"/>
            </w:tcBorders>
            <w:vAlign w:val="center"/>
          </w:tcPr>
          <w:p w14:paraId="17105C36">
            <w:pPr>
              <w:snapToGrid w:val="0"/>
              <w:ind w:firstLine="0" w:firstLineChars="0"/>
              <w:jc w:val="center"/>
              <w:rPr>
                <w:sz w:val="21"/>
                <w:szCs w:val="21"/>
              </w:rPr>
            </w:pPr>
            <w:r>
              <w:rPr>
                <w:sz w:val="21"/>
                <w:szCs w:val="21"/>
              </w:rPr>
              <w:t>11.03</w:t>
            </w:r>
          </w:p>
        </w:tc>
        <w:tc>
          <w:tcPr>
            <w:tcW w:w="539" w:type="pct"/>
            <w:tcBorders>
              <w:top w:val="single" w:color="auto" w:sz="6" w:space="0"/>
              <w:left w:val="single" w:color="auto" w:sz="6" w:space="0"/>
              <w:bottom w:val="single" w:color="auto" w:sz="6" w:space="0"/>
              <w:right w:val="single" w:color="auto" w:sz="6" w:space="0"/>
            </w:tcBorders>
            <w:vAlign w:val="center"/>
          </w:tcPr>
          <w:p w14:paraId="69AE3285">
            <w:pPr>
              <w:snapToGrid w:val="0"/>
              <w:ind w:firstLine="0" w:firstLineChars="0"/>
              <w:jc w:val="center"/>
              <w:rPr>
                <w:sz w:val="21"/>
                <w:szCs w:val="21"/>
              </w:rPr>
            </w:pPr>
            <w:r>
              <w:rPr>
                <w:sz w:val="21"/>
                <w:szCs w:val="21"/>
              </w:rPr>
              <w:t>2.89</w:t>
            </w:r>
          </w:p>
        </w:tc>
        <w:tc>
          <w:tcPr>
            <w:tcW w:w="539" w:type="pct"/>
            <w:tcBorders>
              <w:top w:val="single" w:color="auto" w:sz="6" w:space="0"/>
              <w:left w:val="single" w:color="auto" w:sz="6" w:space="0"/>
              <w:bottom w:val="single" w:color="auto" w:sz="6" w:space="0"/>
              <w:right w:val="single" w:color="auto" w:sz="6" w:space="0"/>
            </w:tcBorders>
            <w:vAlign w:val="center"/>
          </w:tcPr>
          <w:p w14:paraId="5AD50D47">
            <w:pPr>
              <w:snapToGrid w:val="0"/>
              <w:ind w:firstLine="0" w:firstLineChars="0"/>
              <w:jc w:val="center"/>
              <w:rPr>
                <w:sz w:val="21"/>
                <w:szCs w:val="21"/>
              </w:rPr>
            </w:pPr>
            <w:r>
              <w:rPr>
                <w:sz w:val="21"/>
                <w:szCs w:val="21"/>
              </w:rPr>
              <w:t>1.15</w:t>
            </w:r>
          </w:p>
        </w:tc>
        <w:tc>
          <w:tcPr>
            <w:tcW w:w="539" w:type="pct"/>
            <w:tcBorders>
              <w:top w:val="single" w:color="auto" w:sz="6" w:space="0"/>
              <w:left w:val="single" w:color="auto" w:sz="6" w:space="0"/>
              <w:bottom w:val="single" w:color="auto" w:sz="6" w:space="0"/>
              <w:right w:val="single" w:color="auto" w:sz="6" w:space="0"/>
            </w:tcBorders>
            <w:vAlign w:val="center"/>
          </w:tcPr>
          <w:p w14:paraId="3A6B4B63">
            <w:pPr>
              <w:snapToGrid w:val="0"/>
              <w:ind w:firstLine="0" w:firstLineChars="0"/>
              <w:jc w:val="center"/>
              <w:rPr>
                <w:sz w:val="21"/>
                <w:szCs w:val="21"/>
              </w:rPr>
            </w:pPr>
            <w:r>
              <w:rPr>
                <w:sz w:val="21"/>
                <w:szCs w:val="21"/>
              </w:rPr>
              <w:t>0.86</w:t>
            </w:r>
          </w:p>
        </w:tc>
        <w:tc>
          <w:tcPr>
            <w:tcW w:w="539" w:type="pct"/>
            <w:tcBorders>
              <w:top w:val="single" w:color="auto" w:sz="6" w:space="0"/>
              <w:left w:val="single" w:color="auto" w:sz="6" w:space="0"/>
              <w:bottom w:val="single" w:color="auto" w:sz="6" w:space="0"/>
              <w:right w:val="single" w:color="auto" w:sz="12" w:space="0"/>
            </w:tcBorders>
            <w:vAlign w:val="center"/>
          </w:tcPr>
          <w:p w14:paraId="4137F2B3">
            <w:pPr>
              <w:snapToGrid w:val="0"/>
              <w:ind w:firstLine="0" w:firstLineChars="0"/>
              <w:jc w:val="center"/>
              <w:rPr>
                <w:sz w:val="21"/>
                <w:szCs w:val="21"/>
              </w:rPr>
            </w:pPr>
            <w:r>
              <w:rPr>
                <w:sz w:val="21"/>
                <w:szCs w:val="21"/>
              </w:rPr>
              <w:t>0.56</w:t>
            </w:r>
          </w:p>
        </w:tc>
      </w:tr>
      <w:tr w14:paraId="46D89F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32" w:type="pct"/>
            <w:vMerge w:val="continue"/>
            <w:tcBorders>
              <w:top w:val="single" w:color="auto" w:sz="6" w:space="0"/>
              <w:left w:val="single" w:color="auto" w:sz="12" w:space="0"/>
              <w:bottom w:val="single" w:color="auto" w:sz="12" w:space="0"/>
              <w:right w:val="single" w:color="auto" w:sz="6" w:space="0"/>
            </w:tcBorders>
            <w:vAlign w:val="center"/>
          </w:tcPr>
          <w:p w14:paraId="6E0CA4EE">
            <w:pPr>
              <w:snapToGrid w:val="0"/>
              <w:ind w:firstLine="0" w:firstLineChars="0"/>
              <w:jc w:val="center"/>
              <w:rPr>
                <w:sz w:val="21"/>
                <w:szCs w:val="21"/>
              </w:rPr>
            </w:pPr>
          </w:p>
        </w:tc>
        <w:tc>
          <w:tcPr>
            <w:tcW w:w="780" w:type="pct"/>
            <w:tcBorders>
              <w:top w:val="single" w:color="auto" w:sz="6" w:space="0"/>
              <w:left w:val="single" w:color="auto" w:sz="6" w:space="0"/>
              <w:bottom w:val="single" w:color="auto" w:sz="12" w:space="0"/>
              <w:right w:val="single" w:color="auto" w:sz="6" w:space="0"/>
            </w:tcBorders>
            <w:vAlign w:val="center"/>
          </w:tcPr>
          <w:p w14:paraId="7620202A">
            <w:pPr>
              <w:snapToGrid w:val="0"/>
              <w:ind w:firstLine="0" w:firstLineChars="0"/>
              <w:jc w:val="center"/>
              <w:rPr>
                <w:sz w:val="21"/>
                <w:szCs w:val="21"/>
              </w:rPr>
            </w:pPr>
            <w:r>
              <w:rPr>
                <w:sz w:val="21"/>
                <w:szCs w:val="21"/>
              </w:rPr>
              <w:t>洒水</w:t>
            </w:r>
          </w:p>
        </w:tc>
        <w:tc>
          <w:tcPr>
            <w:tcW w:w="634" w:type="pct"/>
            <w:tcBorders>
              <w:top w:val="single" w:color="auto" w:sz="6" w:space="0"/>
              <w:left w:val="single" w:color="auto" w:sz="6" w:space="0"/>
              <w:bottom w:val="single" w:color="auto" w:sz="12" w:space="0"/>
              <w:right w:val="single" w:color="auto" w:sz="6" w:space="0"/>
            </w:tcBorders>
            <w:vAlign w:val="center"/>
          </w:tcPr>
          <w:p w14:paraId="497EE611">
            <w:pPr>
              <w:snapToGrid w:val="0"/>
              <w:ind w:firstLine="0" w:firstLineChars="0"/>
              <w:jc w:val="center"/>
              <w:rPr>
                <w:sz w:val="21"/>
                <w:szCs w:val="21"/>
              </w:rPr>
            </w:pPr>
            <w:r>
              <w:rPr>
                <w:sz w:val="21"/>
                <w:szCs w:val="21"/>
              </w:rPr>
              <w:t>2.11</w:t>
            </w:r>
          </w:p>
        </w:tc>
        <w:tc>
          <w:tcPr>
            <w:tcW w:w="539" w:type="pct"/>
            <w:tcBorders>
              <w:top w:val="single" w:color="auto" w:sz="6" w:space="0"/>
              <w:left w:val="single" w:color="auto" w:sz="6" w:space="0"/>
              <w:bottom w:val="single" w:color="auto" w:sz="12" w:space="0"/>
              <w:right w:val="single" w:color="auto" w:sz="6" w:space="0"/>
            </w:tcBorders>
            <w:vAlign w:val="center"/>
          </w:tcPr>
          <w:p w14:paraId="244CE8ED">
            <w:pPr>
              <w:snapToGrid w:val="0"/>
              <w:ind w:firstLine="0" w:firstLineChars="0"/>
              <w:jc w:val="center"/>
              <w:rPr>
                <w:sz w:val="21"/>
                <w:szCs w:val="21"/>
              </w:rPr>
            </w:pPr>
            <w:r>
              <w:rPr>
                <w:sz w:val="21"/>
                <w:szCs w:val="21"/>
              </w:rPr>
              <w:t>1.40</w:t>
            </w:r>
          </w:p>
        </w:tc>
        <w:tc>
          <w:tcPr>
            <w:tcW w:w="539" w:type="pct"/>
            <w:tcBorders>
              <w:top w:val="single" w:color="auto" w:sz="6" w:space="0"/>
              <w:left w:val="single" w:color="auto" w:sz="6" w:space="0"/>
              <w:bottom w:val="single" w:color="auto" w:sz="12" w:space="0"/>
              <w:right w:val="single" w:color="auto" w:sz="6" w:space="0"/>
            </w:tcBorders>
            <w:vAlign w:val="center"/>
          </w:tcPr>
          <w:p w14:paraId="3590A244">
            <w:pPr>
              <w:snapToGrid w:val="0"/>
              <w:ind w:firstLine="0" w:firstLineChars="0"/>
              <w:jc w:val="center"/>
              <w:rPr>
                <w:sz w:val="21"/>
                <w:szCs w:val="21"/>
              </w:rPr>
            </w:pPr>
            <w:r>
              <w:rPr>
                <w:sz w:val="21"/>
                <w:szCs w:val="21"/>
              </w:rPr>
              <w:t>0.68</w:t>
            </w:r>
          </w:p>
        </w:tc>
        <w:tc>
          <w:tcPr>
            <w:tcW w:w="539" w:type="pct"/>
            <w:tcBorders>
              <w:top w:val="single" w:color="auto" w:sz="6" w:space="0"/>
              <w:left w:val="single" w:color="auto" w:sz="6" w:space="0"/>
              <w:bottom w:val="single" w:color="auto" w:sz="12" w:space="0"/>
              <w:right w:val="single" w:color="auto" w:sz="6" w:space="0"/>
            </w:tcBorders>
            <w:vAlign w:val="center"/>
          </w:tcPr>
          <w:p w14:paraId="08ADE033">
            <w:pPr>
              <w:snapToGrid w:val="0"/>
              <w:ind w:firstLine="0" w:firstLineChars="0"/>
              <w:jc w:val="center"/>
              <w:rPr>
                <w:sz w:val="21"/>
                <w:szCs w:val="21"/>
              </w:rPr>
            </w:pPr>
            <w:r>
              <w:rPr>
                <w:sz w:val="21"/>
                <w:szCs w:val="21"/>
              </w:rPr>
              <w:t>0.60</w:t>
            </w:r>
          </w:p>
        </w:tc>
        <w:tc>
          <w:tcPr>
            <w:tcW w:w="539" w:type="pct"/>
            <w:tcBorders>
              <w:top w:val="single" w:color="auto" w:sz="6" w:space="0"/>
              <w:left w:val="single" w:color="auto" w:sz="6" w:space="0"/>
              <w:bottom w:val="single" w:color="auto" w:sz="12" w:space="0"/>
              <w:right w:val="single" w:color="auto" w:sz="12" w:space="0"/>
            </w:tcBorders>
            <w:vAlign w:val="center"/>
          </w:tcPr>
          <w:p w14:paraId="117EC1AC">
            <w:pPr>
              <w:snapToGrid w:val="0"/>
              <w:ind w:firstLine="0" w:firstLineChars="0"/>
              <w:jc w:val="center"/>
              <w:rPr>
                <w:sz w:val="21"/>
                <w:szCs w:val="21"/>
              </w:rPr>
            </w:pPr>
            <w:r>
              <w:rPr>
                <w:sz w:val="21"/>
                <w:szCs w:val="21"/>
              </w:rPr>
              <w:t>0.29</w:t>
            </w:r>
          </w:p>
        </w:tc>
      </w:tr>
    </w:tbl>
    <w:p w14:paraId="7F661E8D">
      <w:pPr>
        <w:ind w:firstLine="462"/>
      </w:pPr>
      <w:r>
        <w:rPr>
          <w:rFonts w:hint="eastAsia"/>
        </w:rPr>
        <w:t>项目疏浚土吹填上岸，为湿式作业，基本无运输扬尘影响。</w:t>
      </w:r>
    </w:p>
    <w:p w14:paraId="0BAF05C8">
      <w:pPr>
        <w:ind w:firstLine="462"/>
      </w:pPr>
      <w:r>
        <w:t>2</w:t>
      </w:r>
      <w:r>
        <w:rPr>
          <w:rFonts w:hint="eastAsia"/>
        </w:rPr>
        <w:t>、</w:t>
      </w:r>
      <w:r>
        <w:t>施工船舶废气</w:t>
      </w:r>
    </w:p>
    <w:p w14:paraId="547D7530">
      <w:pPr>
        <w:ind w:firstLine="462"/>
      </w:pPr>
      <w:r>
        <w:rPr>
          <w:rFonts w:hint="eastAsia"/>
        </w:rPr>
        <w:t>施工船舶</w:t>
      </w:r>
      <w:r>
        <w:t>工作时耗油量，采用英国劳式船级社推荐的方法，即每1kW•h耗油量平均为231g，估算整个施工期间施工船舶耗油量</w:t>
      </w:r>
      <w:r>
        <w:rPr>
          <w:rFonts w:hint="eastAsia"/>
        </w:rPr>
        <w:t>552.09</w:t>
      </w:r>
      <w:r>
        <w:t>t。施工船舶以含硫率＜0.1%的轻质柴油为燃料，SO</w:t>
      </w:r>
      <w:r>
        <w:rPr>
          <w:vertAlign w:val="subscript"/>
        </w:rPr>
        <w:t>2</w:t>
      </w:r>
      <w:r>
        <w:t>产生系数约为0.002kg/kg，NO</w:t>
      </w:r>
      <w:r>
        <w:rPr>
          <w:vertAlign w:val="subscript"/>
        </w:rPr>
        <w:t>x</w:t>
      </w:r>
      <w:r>
        <w:t>产生系数约为0.01kg/kg。估算得出，工程施工船舶废气中SO</w:t>
      </w:r>
      <w:r>
        <w:rPr>
          <w:vertAlign w:val="subscript"/>
        </w:rPr>
        <w:t>2</w:t>
      </w:r>
      <w:r>
        <w:t>和NO</w:t>
      </w:r>
      <w:r>
        <w:rPr>
          <w:vertAlign w:val="subscript"/>
        </w:rPr>
        <w:t>x</w:t>
      </w:r>
      <w:r>
        <w:t>产生量分别为</w:t>
      </w:r>
      <w:r>
        <w:rPr>
          <w:rFonts w:hint="eastAsia"/>
        </w:rPr>
        <w:t>1.10</w:t>
      </w:r>
      <w:r>
        <w:t>t、</w:t>
      </w:r>
      <w:r>
        <w:rPr>
          <w:rFonts w:hint="eastAsia"/>
        </w:rPr>
        <w:t>5.52</w:t>
      </w:r>
      <w:r>
        <w:t>t。</w:t>
      </w:r>
    </w:p>
    <w:p w14:paraId="6C05A0BB">
      <w:pPr>
        <w:pStyle w:val="7"/>
      </w:pPr>
      <w:r>
        <w:rPr>
          <w:snapToGrid w:val="0"/>
        </w:rPr>
        <w:t>施工期</w:t>
      </w:r>
      <w:r>
        <w:rPr>
          <w:rFonts w:hint="eastAsia"/>
          <w:snapToGrid w:val="0"/>
        </w:rPr>
        <w:t>船舶</w:t>
      </w:r>
      <w:r>
        <w:t>废气排放量估算</w:t>
      </w:r>
    </w:p>
    <w:tbl>
      <w:tblPr>
        <w:tblStyle w:val="88"/>
        <w:tblW w:w="5000" w:type="pct"/>
        <w:tblInd w:w="-1"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376"/>
        <w:gridCol w:w="1018"/>
        <w:gridCol w:w="1540"/>
        <w:gridCol w:w="1625"/>
        <w:gridCol w:w="1625"/>
        <w:gridCol w:w="1158"/>
      </w:tblGrid>
      <w:tr w14:paraId="434C432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0" w:hRule="atLeast"/>
          <w:tblHeader/>
        </w:trPr>
        <w:tc>
          <w:tcPr>
            <w:tcW w:w="825" w:type="pct"/>
            <w:vAlign w:val="center"/>
          </w:tcPr>
          <w:p w14:paraId="2EF40E29">
            <w:pPr>
              <w:snapToGrid w:val="0"/>
              <w:ind w:firstLine="0" w:firstLineChars="0"/>
              <w:jc w:val="center"/>
              <w:rPr>
                <w:sz w:val="21"/>
                <w:szCs w:val="21"/>
              </w:rPr>
            </w:pPr>
            <w:r>
              <w:rPr>
                <w:sz w:val="21"/>
                <w:szCs w:val="21"/>
              </w:rPr>
              <w:t>船舶类型</w:t>
            </w:r>
          </w:p>
        </w:tc>
        <w:tc>
          <w:tcPr>
            <w:tcW w:w="610" w:type="pct"/>
            <w:vAlign w:val="center"/>
          </w:tcPr>
          <w:p w14:paraId="63D007D8">
            <w:pPr>
              <w:snapToGrid w:val="0"/>
              <w:ind w:firstLine="0" w:firstLineChars="0"/>
              <w:jc w:val="center"/>
              <w:rPr>
                <w:sz w:val="21"/>
                <w:szCs w:val="21"/>
              </w:rPr>
            </w:pPr>
            <w:r>
              <w:rPr>
                <w:sz w:val="21"/>
                <w:szCs w:val="21"/>
              </w:rPr>
              <w:t>施工天数</w:t>
            </w:r>
          </w:p>
        </w:tc>
        <w:tc>
          <w:tcPr>
            <w:tcW w:w="923" w:type="pct"/>
            <w:vAlign w:val="center"/>
          </w:tcPr>
          <w:p w14:paraId="3EC9D837">
            <w:pPr>
              <w:snapToGrid w:val="0"/>
              <w:ind w:firstLine="0" w:firstLineChars="0"/>
              <w:jc w:val="center"/>
              <w:rPr>
                <w:sz w:val="21"/>
                <w:szCs w:val="21"/>
              </w:rPr>
            </w:pPr>
            <w:r>
              <w:rPr>
                <w:sz w:val="21"/>
                <w:szCs w:val="21"/>
              </w:rPr>
              <w:t>平均工作效率（</w:t>
            </w:r>
            <w:r>
              <w:rPr>
                <w:rFonts w:hint="eastAsia"/>
                <w:sz w:val="21"/>
                <w:szCs w:val="21"/>
              </w:rPr>
              <w:t>k</w:t>
            </w:r>
            <w:r>
              <w:rPr>
                <w:sz w:val="21"/>
                <w:szCs w:val="21"/>
              </w:rPr>
              <w:t>W·h）</w:t>
            </w:r>
          </w:p>
        </w:tc>
        <w:tc>
          <w:tcPr>
            <w:tcW w:w="974" w:type="pct"/>
            <w:vAlign w:val="center"/>
          </w:tcPr>
          <w:p w14:paraId="60787B4A">
            <w:pPr>
              <w:snapToGrid w:val="0"/>
              <w:ind w:firstLine="0" w:firstLineChars="0"/>
              <w:jc w:val="center"/>
              <w:rPr>
                <w:sz w:val="21"/>
                <w:szCs w:val="21"/>
              </w:rPr>
            </w:pPr>
            <w:r>
              <w:rPr>
                <w:sz w:val="21"/>
                <w:szCs w:val="21"/>
              </w:rPr>
              <w:t>每天有效工作时间（</w:t>
            </w:r>
            <w:r>
              <w:rPr>
                <w:rFonts w:hint="eastAsia"/>
                <w:sz w:val="21"/>
                <w:szCs w:val="21"/>
              </w:rPr>
              <w:t>h</w:t>
            </w:r>
            <w:r>
              <w:rPr>
                <w:sz w:val="21"/>
                <w:szCs w:val="21"/>
              </w:rPr>
              <w:t>）</w:t>
            </w:r>
          </w:p>
        </w:tc>
        <w:tc>
          <w:tcPr>
            <w:tcW w:w="974" w:type="pct"/>
            <w:vAlign w:val="center"/>
          </w:tcPr>
          <w:p w14:paraId="091EA066">
            <w:pPr>
              <w:snapToGrid w:val="0"/>
              <w:ind w:firstLine="0" w:firstLineChars="0"/>
              <w:jc w:val="center"/>
              <w:rPr>
                <w:sz w:val="21"/>
                <w:szCs w:val="21"/>
              </w:rPr>
            </w:pPr>
            <w:r>
              <w:rPr>
                <w:sz w:val="21"/>
                <w:szCs w:val="21"/>
              </w:rPr>
              <w:t>耗油系数（g/</w:t>
            </w:r>
            <w:r>
              <w:rPr>
                <w:rFonts w:hint="eastAsia"/>
                <w:sz w:val="21"/>
                <w:szCs w:val="21"/>
              </w:rPr>
              <w:t>k</w:t>
            </w:r>
            <w:r>
              <w:rPr>
                <w:sz w:val="21"/>
                <w:szCs w:val="21"/>
              </w:rPr>
              <w:t>W•h）</w:t>
            </w:r>
          </w:p>
        </w:tc>
        <w:tc>
          <w:tcPr>
            <w:tcW w:w="694" w:type="pct"/>
            <w:vAlign w:val="center"/>
          </w:tcPr>
          <w:p w14:paraId="76FC2CB6">
            <w:pPr>
              <w:snapToGrid w:val="0"/>
              <w:ind w:firstLine="0" w:firstLineChars="0"/>
              <w:jc w:val="center"/>
              <w:rPr>
                <w:sz w:val="21"/>
                <w:szCs w:val="21"/>
              </w:rPr>
            </w:pPr>
            <w:r>
              <w:rPr>
                <w:sz w:val="21"/>
                <w:szCs w:val="21"/>
              </w:rPr>
              <w:t>耗油量（t）</w:t>
            </w:r>
          </w:p>
        </w:tc>
      </w:tr>
      <w:tr w14:paraId="627EDA9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825" w:type="pct"/>
            <w:vAlign w:val="center"/>
          </w:tcPr>
          <w:p w14:paraId="5FB8B430">
            <w:pPr>
              <w:snapToGrid w:val="0"/>
              <w:ind w:firstLine="0" w:firstLineChars="0"/>
              <w:jc w:val="center"/>
              <w:rPr>
                <w:sz w:val="21"/>
                <w:szCs w:val="21"/>
              </w:rPr>
            </w:pPr>
            <w:r>
              <w:rPr>
                <w:sz w:val="21"/>
                <w:szCs w:val="21"/>
              </w:rPr>
              <w:t>炸礁船</w:t>
            </w:r>
          </w:p>
        </w:tc>
        <w:tc>
          <w:tcPr>
            <w:tcW w:w="610" w:type="pct"/>
            <w:vAlign w:val="center"/>
          </w:tcPr>
          <w:p w14:paraId="4BE575CB">
            <w:pPr>
              <w:snapToGrid w:val="0"/>
              <w:ind w:firstLine="0" w:firstLineChars="0"/>
              <w:jc w:val="center"/>
              <w:rPr>
                <w:sz w:val="21"/>
                <w:szCs w:val="21"/>
              </w:rPr>
            </w:pPr>
            <w:r>
              <w:rPr>
                <w:rFonts w:hint="eastAsia"/>
                <w:sz w:val="21"/>
                <w:szCs w:val="21"/>
              </w:rPr>
              <w:t>50</w:t>
            </w:r>
          </w:p>
        </w:tc>
        <w:tc>
          <w:tcPr>
            <w:tcW w:w="923" w:type="pct"/>
            <w:vAlign w:val="center"/>
          </w:tcPr>
          <w:p w14:paraId="3CE4DD37">
            <w:pPr>
              <w:snapToGrid w:val="0"/>
              <w:ind w:firstLine="0" w:firstLineChars="0"/>
              <w:jc w:val="center"/>
              <w:rPr>
                <w:sz w:val="21"/>
                <w:szCs w:val="21"/>
              </w:rPr>
            </w:pPr>
            <w:r>
              <w:rPr>
                <w:sz w:val="21"/>
                <w:szCs w:val="21"/>
              </w:rPr>
              <w:t>500</w:t>
            </w:r>
          </w:p>
        </w:tc>
        <w:tc>
          <w:tcPr>
            <w:tcW w:w="974" w:type="pct"/>
            <w:vAlign w:val="center"/>
          </w:tcPr>
          <w:p w14:paraId="3307531C">
            <w:pPr>
              <w:snapToGrid w:val="0"/>
              <w:ind w:firstLine="0" w:firstLineChars="0"/>
              <w:jc w:val="center"/>
              <w:rPr>
                <w:sz w:val="21"/>
                <w:szCs w:val="21"/>
              </w:rPr>
            </w:pPr>
            <w:r>
              <w:rPr>
                <w:sz w:val="21"/>
                <w:szCs w:val="21"/>
              </w:rPr>
              <w:t>2</w:t>
            </w:r>
          </w:p>
        </w:tc>
        <w:tc>
          <w:tcPr>
            <w:tcW w:w="974" w:type="pct"/>
            <w:vAlign w:val="center"/>
          </w:tcPr>
          <w:p w14:paraId="3B0C21A1">
            <w:pPr>
              <w:snapToGrid w:val="0"/>
              <w:ind w:firstLine="0" w:firstLineChars="0"/>
              <w:jc w:val="center"/>
              <w:rPr>
                <w:sz w:val="21"/>
                <w:szCs w:val="21"/>
              </w:rPr>
            </w:pPr>
            <w:r>
              <w:rPr>
                <w:sz w:val="21"/>
                <w:szCs w:val="21"/>
              </w:rPr>
              <w:t>231</w:t>
            </w:r>
          </w:p>
        </w:tc>
        <w:tc>
          <w:tcPr>
            <w:tcW w:w="694" w:type="pct"/>
          </w:tcPr>
          <w:p w14:paraId="5B72E9C4">
            <w:pPr>
              <w:snapToGrid w:val="0"/>
              <w:ind w:firstLine="0" w:firstLineChars="0"/>
              <w:jc w:val="center"/>
              <w:rPr>
                <w:sz w:val="21"/>
                <w:szCs w:val="21"/>
              </w:rPr>
            </w:pPr>
            <w:r>
              <w:rPr>
                <w:rFonts w:hint="eastAsia"/>
                <w:sz w:val="21"/>
                <w:szCs w:val="21"/>
              </w:rPr>
              <w:t>11.55</w:t>
            </w:r>
          </w:p>
        </w:tc>
      </w:tr>
      <w:tr w14:paraId="608CB6E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825" w:type="pct"/>
            <w:vAlign w:val="center"/>
          </w:tcPr>
          <w:p w14:paraId="3794E39E">
            <w:pPr>
              <w:snapToGrid w:val="0"/>
              <w:ind w:firstLine="0" w:firstLineChars="0"/>
              <w:jc w:val="center"/>
              <w:rPr>
                <w:sz w:val="21"/>
                <w:szCs w:val="21"/>
              </w:rPr>
            </w:pPr>
            <w:r>
              <w:rPr>
                <w:sz w:val="21"/>
                <w:szCs w:val="21"/>
              </w:rPr>
              <w:t>绞吸式挖泥船</w:t>
            </w:r>
          </w:p>
        </w:tc>
        <w:tc>
          <w:tcPr>
            <w:tcW w:w="610" w:type="pct"/>
            <w:vAlign w:val="center"/>
          </w:tcPr>
          <w:p w14:paraId="65ECFB8A">
            <w:pPr>
              <w:snapToGrid w:val="0"/>
              <w:ind w:firstLine="0" w:firstLineChars="0"/>
              <w:jc w:val="center"/>
              <w:rPr>
                <w:sz w:val="21"/>
                <w:szCs w:val="21"/>
              </w:rPr>
            </w:pPr>
            <w:r>
              <w:rPr>
                <w:rFonts w:hint="eastAsia"/>
                <w:sz w:val="21"/>
                <w:szCs w:val="21"/>
              </w:rPr>
              <w:t>100</w:t>
            </w:r>
          </w:p>
        </w:tc>
        <w:tc>
          <w:tcPr>
            <w:tcW w:w="923" w:type="pct"/>
            <w:vAlign w:val="center"/>
          </w:tcPr>
          <w:p w14:paraId="4F7AC07D">
            <w:pPr>
              <w:snapToGrid w:val="0"/>
              <w:ind w:firstLine="0" w:firstLineChars="0"/>
              <w:jc w:val="center"/>
              <w:rPr>
                <w:sz w:val="21"/>
                <w:szCs w:val="21"/>
              </w:rPr>
            </w:pPr>
            <w:r>
              <w:rPr>
                <w:rFonts w:hint="eastAsia"/>
                <w:sz w:val="21"/>
                <w:szCs w:val="21"/>
              </w:rPr>
              <w:t>600</w:t>
            </w:r>
          </w:p>
        </w:tc>
        <w:tc>
          <w:tcPr>
            <w:tcW w:w="974" w:type="pct"/>
            <w:vAlign w:val="center"/>
          </w:tcPr>
          <w:p w14:paraId="33374FB5">
            <w:pPr>
              <w:snapToGrid w:val="0"/>
              <w:ind w:firstLine="0" w:firstLineChars="0"/>
              <w:jc w:val="center"/>
              <w:rPr>
                <w:sz w:val="21"/>
                <w:szCs w:val="21"/>
              </w:rPr>
            </w:pPr>
            <w:r>
              <w:rPr>
                <w:rFonts w:hint="eastAsia"/>
                <w:sz w:val="21"/>
                <w:szCs w:val="21"/>
              </w:rPr>
              <w:t>5</w:t>
            </w:r>
          </w:p>
        </w:tc>
        <w:tc>
          <w:tcPr>
            <w:tcW w:w="974" w:type="pct"/>
            <w:vAlign w:val="center"/>
          </w:tcPr>
          <w:p w14:paraId="6BF9937D">
            <w:pPr>
              <w:snapToGrid w:val="0"/>
              <w:ind w:firstLine="0" w:firstLineChars="0"/>
              <w:jc w:val="center"/>
              <w:rPr>
                <w:sz w:val="21"/>
                <w:szCs w:val="21"/>
              </w:rPr>
            </w:pPr>
            <w:r>
              <w:rPr>
                <w:rFonts w:hint="eastAsia"/>
                <w:sz w:val="21"/>
                <w:szCs w:val="21"/>
              </w:rPr>
              <w:t>231</w:t>
            </w:r>
          </w:p>
        </w:tc>
        <w:tc>
          <w:tcPr>
            <w:tcW w:w="694" w:type="pct"/>
          </w:tcPr>
          <w:p w14:paraId="609C2037">
            <w:pPr>
              <w:snapToGrid w:val="0"/>
              <w:ind w:firstLine="0" w:firstLineChars="0"/>
              <w:jc w:val="center"/>
              <w:rPr>
                <w:sz w:val="21"/>
                <w:szCs w:val="21"/>
              </w:rPr>
            </w:pPr>
            <w:r>
              <w:rPr>
                <w:rFonts w:hint="eastAsia"/>
                <w:sz w:val="21"/>
                <w:szCs w:val="21"/>
              </w:rPr>
              <w:t>69.30</w:t>
            </w:r>
          </w:p>
        </w:tc>
      </w:tr>
      <w:tr w14:paraId="3878F4A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825" w:type="pct"/>
            <w:vAlign w:val="center"/>
          </w:tcPr>
          <w:p w14:paraId="11524684">
            <w:pPr>
              <w:snapToGrid w:val="0"/>
              <w:ind w:firstLine="0" w:firstLineChars="0"/>
              <w:jc w:val="center"/>
              <w:rPr>
                <w:sz w:val="21"/>
                <w:szCs w:val="21"/>
              </w:rPr>
            </w:pPr>
            <w:r>
              <w:rPr>
                <w:sz w:val="21"/>
                <w:szCs w:val="21"/>
              </w:rPr>
              <w:t>抓斗式挖泥船</w:t>
            </w:r>
          </w:p>
        </w:tc>
        <w:tc>
          <w:tcPr>
            <w:tcW w:w="610" w:type="pct"/>
            <w:vAlign w:val="center"/>
          </w:tcPr>
          <w:p w14:paraId="1C67F412">
            <w:pPr>
              <w:snapToGrid w:val="0"/>
              <w:ind w:firstLine="0" w:firstLineChars="0"/>
              <w:jc w:val="center"/>
              <w:rPr>
                <w:sz w:val="21"/>
                <w:szCs w:val="21"/>
              </w:rPr>
            </w:pPr>
            <w:r>
              <w:rPr>
                <w:rFonts w:hint="eastAsia"/>
                <w:sz w:val="21"/>
                <w:szCs w:val="21"/>
              </w:rPr>
              <w:t>150</w:t>
            </w:r>
          </w:p>
        </w:tc>
        <w:tc>
          <w:tcPr>
            <w:tcW w:w="923" w:type="pct"/>
            <w:vAlign w:val="center"/>
          </w:tcPr>
          <w:p w14:paraId="5B0B2044">
            <w:pPr>
              <w:snapToGrid w:val="0"/>
              <w:ind w:firstLine="0" w:firstLineChars="0"/>
              <w:jc w:val="center"/>
              <w:rPr>
                <w:sz w:val="21"/>
                <w:szCs w:val="21"/>
              </w:rPr>
            </w:pPr>
            <w:r>
              <w:rPr>
                <w:sz w:val="21"/>
                <w:szCs w:val="21"/>
              </w:rPr>
              <w:t>800</w:t>
            </w:r>
          </w:p>
        </w:tc>
        <w:tc>
          <w:tcPr>
            <w:tcW w:w="974" w:type="pct"/>
            <w:vAlign w:val="center"/>
          </w:tcPr>
          <w:p w14:paraId="54E1C6B7">
            <w:pPr>
              <w:snapToGrid w:val="0"/>
              <w:ind w:firstLine="0" w:firstLineChars="0"/>
              <w:jc w:val="center"/>
              <w:rPr>
                <w:sz w:val="21"/>
                <w:szCs w:val="21"/>
              </w:rPr>
            </w:pPr>
            <w:r>
              <w:rPr>
                <w:sz w:val="21"/>
                <w:szCs w:val="21"/>
              </w:rPr>
              <w:t>2</w:t>
            </w:r>
          </w:p>
        </w:tc>
        <w:tc>
          <w:tcPr>
            <w:tcW w:w="974" w:type="pct"/>
            <w:vAlign w:val="center"/>
          </w:tcPr>
          <w:p w14:paraId="7491378A">
            <w:pPr>
              <w:snapToGrid w:val="0"/>
              <w:ind w:firstLine="0" w:firstLineChars="0"/>
              <w:jc w:val="center"/>
              <w:rPr>
                <w:sz w:val="21"/>
                <w:szCs w:val="21"/>
              </w:rPr>
            </w:pPr>
            <w:r>
              <w:rPr>
                <w:sz w:val="21"/>
                <w:szCs w:val="21"/>
              </w:rPr>
              <w:t>231</w:t>
            </w:r>
          </w:p>
        </w:tc>
        <w:tc>
          <w:tcPr>
            <w:tcW w:w="694" w:type="pct"/>
            <w:vAlign w:val="center"/>
          </w:tcPr>
          <w:p w14:paraId="020C99E7">
            <w:pPr>
              <w:snapToGrid w:val="0"/>
              <w:ind w:firstLine="0" w:firstLineChars="0"/>
              <w:jc w:val="center"/>
              <w:rPr>
                <w:sz w:val="21"/>
                <w:szCs w:val="21"/>
              </w:rPr>
            </w:pPr>
            <w:r>
              <w:rPr>
                <w:rFonts w:hint="eastAsia"/>
                <w:sz w:val="21"/>
                <w:szCs w:val="21"/>
              </w:rPr>
              <w:t>55.44</w:t>
            </w:r>
          </w:p>
        </w:tc>
      </w:tr>
      <w:tr w14:paraId="32B8DDD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825" w:type="pct"/>
            <w:vAlign w:val="center"/>
          </w:tcPr>
          <w:p w14:paraId="134DA9CC">
            <w:pPr>
              <w:snapToGrid w:val="0"/>
              <w:ind w:firstLine="0" w:firstLineChars="0"/>
              <w:jc w:val="center"/>
              <w:rPr>
                <w:sz w:val="21"/>
                <w:szCs w:val="21"/>
              </w:rPr>
            </w:pPr>
            <w:r>
              <w:rPr>
                <w:sz w:val="21"/>
                <w:szCs w:val="21"/>
              </w:rPr>
              <w:t>驳船</w:t>
            </w:r>
          </w:p>
        </w:tc>
        <w:tc>
          <w:tcPr>
            <w:tcW w:w="610" w:type="pct"/>
            <w:vAlign w:val="center"/>
          </w:tcPr>
          <w:p w14:paraId="2577B168">
            <w:pPr>
              <w:snapToGrid w:val="0"/>
              <w:ind w:firstLine="0" w:firstLineChars="0"/>
              <w:jc w:val="center"/>
              <w:rPr>
                <w:sz w:val="21"/>
                <w:szCs w:val="21"/>
              </w:rPr>
            </w:pPr>
            <w:r>
              <w:rPr>
                <w:rFonts w:hint="eastAsia"/>
                <w:sz w:val="21"/>
                <w:szCs w:val="21"/>
              </w:rPr>
              <w:t>250</w:t>
            </w:r>
          </w:p>
        </w:tc>
        <w:tc>
          <w:tcPr>
            <w:tcW w:w="923" w:type="pct"/>
            <w:vAlign w:val="center"/>
          </w:tcPr>
          <w:p w14:paraId="7BDDA264">
            <w:pPr>
              <w:snapToGrid w:val="0"/>
              <w:ind w:firstLine="0" w:firstLineChars="0"/>
              <w:jc w:val="center"/>
              <w:rPr>
                <w:sz w:val="21"/>
                <w:szCs w:val="21"/>
              </w:rPr>
            </w:pPr>
            <w:r>
              <w:rPr>
                <w:sz w:val="21"/>
                <w:szCs w:val="21"/>
              </w:rPr>
              <w:t>600</w:t>
            </w:r>
          </w:p>
        </w:tc>
        <w:tc>
          <w:tcPr>
            <w:tcW w:w="974" w:type="pct"/>
            <w:vAlign w:val="center"/>
          </w:tcPr>
          <w:p w14:paraId="00ABDEB4">
            <w:pPr>
              <w:snapToGrid w:val="0"/>
              <w:ind w:firstLine="0" w:firstLineChars="0"/>
              <w:jc w:val="center"/>
              <w:rPr>
                <w:sz w:val="21"/>
                <w:szCs w:val="21"/>
              </w:rPr>
            </w:pPr>
            <w:r>
              <w:rPr>
                <w:sz w:val="21"/>
                <w:szCs w:val="21"/>
              </w:rPr>
              <w:t>12</w:t>
            </w:r>
          </w:p>
        </w:tc>
        <w:tc>
          <w:tcPr>
            <w:tcW w:w="974" w:type="pct"/>
            <w:vAlign w:val="center"/>
          </w:tcPr>
          <w:p w14:paraId="5C8B42FB">
            <w:pPr>
              <w:snapToGrid w:val="0"/>
              <w:ind w:firstLine="0" w:firstLineChars="0"/>
              <w:jc w:val="center"/>
              <w:rPr>
                <w:sz w:val="21"/>
                <w:szCs w:val="21"/>
              </w:rPr>
            </w:pPr>
            <w:r>
              <w:rPr>
                <w:sz w:val="21"/>
                <w:szCs w:val="21"/>
              </w:rPr>
              <w:t>231</w:t>
            </w:r>
          </w:p>
        </w:tc>
        <w:tc>
          <w:tcPr>
            <w:tcW w:w="694" w:type="pct"/>
          </w:tcPr>
          <w:p w14:paraId="65957BBD">
            <w:pPr>
              <w:snapToGrid w:val="0"/>
              <w:ind w:firstLine="0" w:firstLineChars="0"/>
              <w:jc w:val="center"/>
              <w:rPr>
                <w:sz w:val="21"/>
                <w:szCs w:val="21"/>
              </w:rPr>
            </w:pPr>
            <w:r>
              <w:rPr>
                <w:rFonts w:hint="eastAsia"/>
                <w:sz w:val="21"/>
                <w:szCs w:val="21"/>
              </w:rPr>
              <w:t>415.8</w:t>
            </w:r>
          </w:p>
        </w:tc>
      </w:tr>
      <w:tr w14:paraId="65BC9F8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77" w:hRule="atLeast"/>
        </w:trPr>
        <w:tc>
          <w:tcPr>
            <w:tcW w:w="825" w:type="pct"/>
            <w:vAlign w:val="center"/>
          </w:tcPr>
          <w:p w14:paraId="7922AB29">
            <w:pPr>
              <w:snapToGrid w:val="0"/>
              <w:ind w:firstLine="0" w:firstLineChars="0"/>
              <w:jc w:val="center"/>
              <w:rPr>
                <w:sz w:val="21"/>
                <w:szCs w:val="21"/>
              </w:rPr>
            </w:pPr>
            <w:r>
              <w:rPr>
                <w:sz w:val="21"/>
                <w:szCs w:val="21"/>
              </w:rPr>
              <w:t>合计</w:t>
            </w:r>
          </w:p>
        </w:tc>
        <w:tc>
          <w:tcPr>
            <w:tcW w:w="610" w:type="pct"/>
            <w:vAlign w:val="center"/>
          </w:tcPr>
          <w:p w14:paraId="420D36FC">
            <w:pPr>
              <w:snapToGrid w:val="0"/>
              <w:ind w:firstLine="0" w:firstLineChars="0"/>
              <w:jc w:val="center"/>
              <w:rPr>
                <w:sz w:val="21"/>
                <w:szCs w:val="21"/>
              </w:rPr>
            </w:pPr>
            <w:r>
              <w:rPr>
                <w:sz w:val="21"/>
                <w:szCs w:val="21"/>
              </w:rPr>
              <w:t>——</w:t>
            </w:r>
          </w:p>
        </w:tc>
        <w:tc>
          <w:tcPr>
            <w:tcW w:w="923" w:type="pct"/>
            <w:vAlign w:val="center"/>
          </w:tcPr>
          <w:p w14:paraId="10033B64">
            <w:pPr>
              <w:snapToGrid w:val="0"/>
              <w:ind w:firstLine="0" w:firstLineChars="0"/>
              <w:jc w:val="center"/>
              <w:rPr>
                <w:sz w:val="21"/>
                <w:szCs w:val="21"/>
              </w:rPr>
            </w:pPr>
            <w:r>
              <w:rPr>
                <w:sz w:val="21"/>
                <w:szCs w:val="21"/>
              </w:rPr>
              <w:t>——</w:t>
            </w:r>
          </w:p>
        </w:tc>
        <w:tc>
          <w:tcPr>
            <w:tcW w:w="974" w:type="pct"/>
            <w:vAlign w:val="center"/>
          </w:tcPr>
          <w:p w14:paraId="670A16A2">
            <w:pPr>
              <w:snapToGrid w:val="0"/>
              <w:ind w:firstLine="0" w:firstLineChars="0"/>
              <w:jc w:val="center"/>
              <w:rPr>
                <w:sz w:val="21"/>
                <w:szCs w:val="21"/>
              </w:rPr>
            </w:pPr>
            <w:r>
              <w:rPr>
                <w:sz w:val="21"/>
                <w:szCs w:val="21"/>
              </w:rPr>
              <w:t>　</w:t>
            </w:r>
          </w:p>
        </w:tc>
        <w:tc>
          <w:tcPr>
            <w:tcW w:w="974" w:type="pct"/>
            <w:vAlign w:val="center"/>
          </w:tcPr>
          <w:p w14:paraId="0913449C">
            <w:pPr>
              <w:snapToGrid w:val="0"/>
              <w:ind w:firstLine="0" w:firstLineChars="0"/>
              <w:jc w:val="center"/>
              <w:rPr>
                <w:sz w:val="21"/>
                <w:szCs w:val="21"/>
              </w:rPr>
            </w:pPr>
            <w:r>
              <w:rPr>
                <w:sz w:val="21"/>
                <w:szCs w:val="21"/>
              </w:rPr>
              <w:t>——</w:t>
            </w:r>
          </w:p>
        </w:tc>
        <w:tc>
          <w:tcPr>
            <w:tcW w:w="694" w:type="pct"/>
          </w:tcPr>
          <w:p w14:paraId="433BBC89">
            <w:pPr>
              <w:snapToGrid w:val="0"/>
              <w:ind w:firstLine="0" w:firstLineChars="0"/>
              <w:jc w:val="center"/>
              <w:rPr>
                <w:sz w:val="21"/>
                <w:szCs w:val="21"/>
              </w:rPr>
            </w:pPr>
            <w:r>
              <w:rPr>
                <w:rFonts w:hint="eastAsia"/>
                <w:sz w:val="21"/>
                <w:szCs w:val="21"/>
              </w:rPr>
              <w:t>552.09</w:t>
            </w:r>
          </w:p>
        </w:tc>
      </w:tr>
    </w:tbl>
    <w:p w14:paraId="1040A3A9">
      <w:pPr>
        <w:pStyle w:val="6"/>
      </w:pPr>
      <w:r>
        <w:t>声环境污染源</w:t>
      </w:r>
    </w:p>
    <w:p w14:paraId="1AD344EB">
      <w:pPr>
        <w:ind w:firstLine="462"/>
        <w:rPr>
          <w:snapToGrid w:val="0"/>
        </w:rPr>
      </w:pPr>
      <w:r>
        <w:t>项目建设中，可能使用的机械设备包括装载机</w:t>
      </w:r>
      <w:r>
        <w:rPr>
          <w:rFonts w:hint="eastAsia"/>
        </w:rPr>
        <w:t>、</w:t>
      </w:r>
      <w:r>
        <w:t>挖掘机</w:t>
      </w:r>
      <w:r>
        <w:rPr>
          <w:rFonts w:hint="eastAsia"/>
        </w:rPr>
        <w:t>、</w:t>
      </w:r>
      <w:r>
        <w:t>自卸车</w:t>
      </w:r>
      <w:r>
        <w:rPr>
          <w:rFonts w:hint="eastAsia"/>
        </w:rPr>
        <w:t>、</w:t>
      </w:r>
      <w:r>
        <w:t>推土机</w:t>
      </w:r>
      <w:r>
        <w:rPr>
          <w:rFonts w:hint="eastAsia"/>
        </w:rPr>
        <w:t>、</w:t>
      </w:r>
      <w:r>
        <w:t>履带吊</w:t>
      </w:r>
      <w:r>
        <w:rPr>
          <w:rFonts w:hint="eastAsia"/>
        </w:rPr>
        <w:t>、</w:t>
      </w:r>
      <w:r>
        <w:t>搅拌机</w:t>
      </w:r>
      <w:r>
        <w:rPr>
          <w:rFonts w:hint="eastAsia"/>
        </w:rPr>
        <w:t>、</w:t>
      </w:r>
      <w:r>
        <w:t>施工船舶等</w:t>
      </w:r>
      <w:r>
        <w:rPr>
          <w:rFonts w:hint="eastAsia"/>
        </w:rPr>
        <w:t>，</w:t>
      </w:r>
      <w:r>
        <w:t>典型</w:t>
      </w:r>
      <w:r>
        <w:rPr>
          <w:snapToGrid w:val="0"/>
        </w:rPr>
        <w:t>施工机械噪声源强见表2.</w:t>
      </w:r>
      <w:r>
        <w:rPr>
          <w:rFonts w:hint="eastAsia"/>
          <w:snapToGrid w:val="0"/>
        </w:rPr>
        <w:t>3</w:t>
      </w:r>
      <w:r>
        <w:rPr>
          <w:snapToGrid w:val="0"/>
        </w:rPr>
        <w:t>-</w:t>
      </w:r>
      <w:r>
        <w:rPr>
          <w:rFonts w:hint="eastAsia"/>
          <w:snapToGrid w:val="0"/>
        </w:rPr>
        <w:t>4</w:t>
      </w:r>
      <w:r>
        <w:rPr>
          <w:snapToGrid w:val="0"/>
        </w:rPr>
        <w:t>。</w:t>
      </w:r>
    </w:p>
    <w:p w14:paraId="36079987">
      <w:pPr>
        <w:pStyle w:val="7"/>
      </w:pPr>
      <w:r>
        <w:t>主要施工机械噪声值一览 单位：dB（A）</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37"/>
        <w:gridCol w:w="2386"/>
        <w:gridCol w:w="3396"/>
        <w:gridCol w:w="1709"/>
      </w:tblGrid>
      <w:tr w14:paraId="7732D1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608" w:type="pct"/>
            <w:vAlign w:val="center"/>
          </w:tcPr>
          <w:p w14:paraId="5C99A5AF">
            <w:pPr>
              <w:snapToGrid w:val="0"/>
              <w:ind w:firstLine="0" w:firstLineChars="0"/>
              <w:jc w:val="center"/>
              <w:rPr>
                <w:sz w:val="21"/>
                <w:szCs w:val="21"/>
              </w:rPr>
            </w:pPr>
            <w:r>
              <w:rPr>
                <w:sz w:val="21"/>
                <w:szCs w:val="21"/>
              </w:rPr>
              <w:t>序号</w:t>
            </w:r>
          </w:p>
        </w:tc>
        <w:tc>
          <w:tcPr>
            <w:tcW w:w="1399" w:type="pct"/>
            <w:vAlign w:val="center"/>
          </w:tcPr>
          <w:p w14:paraId="0D761C05">
            <w:pPr>
              <w:snapToGrid w:val="0"/>
              <w:ind w:firstLine="0" w:firstLineChars="0"/>
              <w:jc w:val="center"/>
              <w:rPr>
                <w:sz w:val="21"/>
                <w:szCs w:val="21"/>
              </w:rPr>
            </w:pPr>
            <w:r>
              <w:rPr>
                <w:sz w:val="21"/>
                <w:szCs w:val="21"/>
              </w:rPr>
              <w:t>噪声源</w:t>
            </w:r>
          </w:p>
        </w:tc>
        <w:tc>
          <w:tcPr>
            <w:tcW w:w="1991" w:type="pct"/>
            <w:vAlign w:val="center"/>
          </w:tcPr>
          <w:p w14:paraId="071D9F72">
            <w:pPr>
              <w:snapToGrid w:val="0"/>
              <w:ind w:firstLine="0" w:firstLineChars="0"/>
              <w:jc w:val="center"/>
              <w:rPr>
                <w:sz w:val="21"/>
                <w:szCs w:val="21"/>
              </w:rPr>
            </w:pPr>
            <w:r>
              <w:rPr>
                <w:sz w:val="21"/>
                <w:szCs w:val="21"/>
              </w:rPr>
              <w:t>声级值/距离（dB（A）/m）</w:t>
            </w:r>
          </w:p>
        </w:tc>
        <w:tc>
          <w:tcPr>
            <w:tcW w:w="1002" w:type="pct"/>
            <w:vAlign w:val="center"/>
          </w:tcPr>
          <w:p w14:paraId="167A91AA">
            <w:pPr>
              <w:snapToGrid w:val="0"/>
              <w:ind w:firstLine="0" w:firstLineChars="0"/>
              <w:jc w:val="center"/>
              <w:rPr>
                <w:sz w:val="21"/>
                <w:szCs w:val="21"/>
              </w:rPr>
            </w:pPr>
            <w:r>
              <w:rPr>
                <w:sz w:val="21"/>
                <w:szCs w:val="21"/>
              </w:rPr>
              <w:t>指向特性</w:t>
            </w:r>
          </w:p>
        </w:tc>
      </w:tr>
      <w:tr w14:paraId="4707A7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739D9078">
            <w:pPr>
              <w:snapToGrid w:val="0"/>
              <w:ind w:firstLine="0" w:firstLineChars="0"/>
              <w:jc w:val="center"/>
              <w:rPr>
                <w:sz w:val="21"/>
                <w:szCs w:val="21"/>
              </w:rPr>
            </w:pPr>
            <w:r>
              <w:rPr>
                <w:sz w:val="21"/>
                <w:szCs w:val="21"/>
              </w:rPr>
              <w:t>1</w:t>
            </w:r>
          </w:p>
        </w:tc>
        <w:tc>
          <w:tcPr>
            <w:tcW w:w="1399" w:type="pct"/>
            <w:vAlign w:val="center"/>
          </w:tcPr>
          <w:p w14:paraId="7EBC36D0">
            <w:pPr>
              <w:snapToGrid w:val="0"/>
              <w:ind w:firstLine="0" w:firstLineChars="0"/>
              <w:jc w:val="center"/>
              <w:rPr>
                <w:sz w:val="21"/>
                <w:szCs w:val="21"/>
              </w:rPr>
            </w:pPr>
            <w:r>
              <w:rPr>
                <w:rFonts w:hint="eastAsia"/>
                <w:sz w:val="21"/>
                <w:szCs w:val="21"/>
              </w:rPr>
              <w:t>轮式</w:t>
            </w:r>
            <w:r>
              <w:rPr>
                <w:sz w:val="21"/>
                <w:szCs w:val="21"/>
              </w:rPr>
              <w:t>装载机</w:t>
            </w:r>
          </w:p>
        </w:tc>
        <w:tc>
          <w:tcPr>
            <w:tcW w:w="1991" w:type="pct"/>
            <w:vAlign w:val="center"/>
          </w:tcPr>
          <w:p w14:paraId="158FC712">
            <w:pPr>
              <w:snapToGrid w:val="0"/>
              <w:ind w:firstLine="0" w:firstLineChars="0"/>
              <w:jc w:val="center"/>
              <w:rPr>
                <w:sz w:val="21"/>
                <w:szCs w:val="21"/>
              </w:rPr>
            </w:pPr>
            <w:r>
              <w:rPr>
                <w:rFonts w:hint="eastAsia"/>
                <w:sz w:val="21"/>
                <w:szCs w:val="21"/>
              </w:rPr>
              <w:t>90~95</w:t>
            </w:r>
            <w:r>
              <w:rPr>
                <w:sz w:val="21"/>
                <w:szCs w:val="21"/>
              </w:rPr>
              <w:t>/</w:t>
            </w:r>
            <w:r>
              <w:rPr>
                <w:rFonts w:hint="eastAsia"/>
                <w:sz w:val="21"/>
                <w:szCs w:val="21"/>
              </w:rPr>
              <w:t>5</w:t>
            </w:r>
          </w:p>
        </w:tc>
        <w:tc>
          <w:tcPr>
            <w:tcW w:w="1002" w:type="pct"/>
            <w:vAlign w:val="center"/>
          </w:tcPr>
          <w:p w14:paraId="47D4BA9B">
            <w:pPr>
              <w:snapToGrid w:val="0"/>
              <w:ind w:firstLine="0" w:firstLineChars="0"/>
              <w:jc w:val="center"/>
              <w:rPr>
                <w:sz w:val="21"/>
                <w:szCs w:val="21"/>
              </w:rPr>
            </w:pPr>
            <w:r>
              <w:rPr>
                <w:sz w:val="21"/>
                <w:szCs w:val="21"/>
              </w:rPr>
              <w:t>无</w:t>
            </w:r>
          </w:p>
        </w:tc>
      </w:tr>
      <w:tr w14:paraId="30DFA5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0BB46F06">
            <w:pPr>
              <w:snapToGrid w:val="0"/>
              <w:ind w:firstLine="0" w:firstLineChars="0"/>
              <w:jc w:val="center"/>
              <w:rPr>
                <w:sz w:val="21"/>
                <w:szCs w:val="21"/>
              </w:rPr>
            </w:pPr>
            <w:r>
              <w:rPr>
                <w:rFonts w:hint="eastAsia"/>
                <w:sz w:val="21"/>
                <w:szCs w:val="21"/>
              </w:rPr>
              <w:t>2</w:t>
            </w:r>
          </w:p>
        </w:tc>
        <w:tc>
          <w:tcPr>
            <w:tcW w:w="1399" w:type="pct"/>
            <w:vAlign w:val="center"/>
          </w:tcPr>
          <w:p w14:paraId="2413EAA2">
            <w:pPr>
              <w:snapToGrid w:val="0"/>
              <w:ind w:firstLine="0" w:firstLineChars="0"/>
              <w:jc w:val="center"/>
              <w:rPr>
                <w:sz w:val="21"/>
                <w:szCs w:val="21"/>
              </w:rPr>
            </w:pPr>
            <w:r>
              <w:rPr>
                <w:sz w:val="21"/>
                <w:szCs w:val="21"/>
              </w:rPr>
              <w:t>液压挖掘机</w:t>
            </w:r>
          </w:p>
        </w:tc>
        <w:tc>
          <w:tcPr>
            <w:tcW w:w="1991" w:type="pct"/>
            <w:vAlign w:val="center"/>
          </w:tcPr>
          <w:p w14:paraId="2B1D1E32">
            <w:pPr>
              <w:snapToGrid w:val="0"/>
              <w:ind w:firstLine="0" w:firstLineChars="0"/>
              <w:jc w:val="center"/>
              <w:rPr>
                <w:sz w:val="21"/>
                <w:szCs w:val="21"/>
              </w:rPr>
            </w:pPr>
            <w:r>
              <w:rPr>
                <w:rFonts w:hint="eastAsia"/>
                <w:sz w:val="21"/>
                <w:szCs w:val="21"/>
              </w:rPr>
              <w:t>82~</w:t>
            </w:r>
            <w:r>
              <w:rPr>
                <w:sz w:val="21"/>
                <w:szCs w:val="21"/>
              </w:rPr>
              <w:t>90/</w:t>
            </w:r>
            <w:r>
              <w:rPr>
                <w:rFonts w:hint="eastAsia"/>
                <w:sz w:val="21"/>
                <w:szCs w:val="21"/>
              </w:rPr>
              <w:t>5</w:t>
            </w:r>
          </w:p>
        </w:tc>
        <w:tc>
          <w:tcPr>
            <w:tcW w:w="1002" w:type="pct"/>
            <w:vAlign w:val="center"/>
          </w:tcPr>
          <w:p w14:paraId="171C39BC">
            <w:pPr>
              <w:snapToGrid w:val="0"/>
              <w:ind w:firstLine="0" w:firstLineChars="0"/>
              <w:jc w:val="center"/>
              <w:rPr>
                <w:sz w:val="21"/>
                <w:szCs w:val="21"/>
              </w:rPr>
            </w:pPr>
            <w:r>
              <w:rPr>
                <w:sz w:val="21"/>
                <w:szCs w:val="21"/>
              </w:rPr>
              <w:t>无</w:t>
            </w:r>
          </w:p>
        </w:tc>
      </w:tr>
      <w:tr w14:paraId="7ADC1D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0ED964E5">
            <w:pPr>
              <w:snapToGrid w:val="0"/>
              <w:ind w:firstLine="0" w:firstLineChars="0"/>
              <w:jc w:val="center"/>
              <w:rPr>
                <w:sz w:val="21"/>
                <w:szCs w:val="21"/>
              </w:rPr>
            </w:pPr>
            <w:r>
              <w:rPr>
                <w:sz w:val="21"/>
                <w:szCs w:val="21"/>
              </w:rPr>
              <w:t>3</w:t>
            </w:r>
          </w:p>
        </w:tc>
        <w:tc>
          <w:tcPr>
            <w:tcW w:w="1399" w:type="pct"/>
            <w:vAlign w:val="center"/>
          </w:tcPr>
          <w:p w14:paraId="45005E10">
            <w:pPr>
              <w:snapToGrid w:val="0"/>
              <w:ind w:firstLine="0" w:firstLineChars="0"/>
              <w:jc w:val="center"/>
              <w:rPr>
                <w:sz w:val="21"/>
                <w:szCs w:val="21"/>
              </w:rPr>
            </w:pPr>
            <w:r>
              <w:rPr>
                <w:rFonts w:hint="eastAsia"/>
                <w:sz w:val="21"/>
                <w:szCs w:val="21"/>
              </w:rPr>
              <w:t>履带</w:t>
            </w:r>
            <w:r>
              <w:rPr>
                <w:sz w:val="21"/>
                <w:szCs w:val="21"/>
              </w:rPr>
              <w:t>吊</w:t>
            </w:r>
          </w:p>
        </w:tc>
        <w:tc>
          <w:tcPr>
            <w:tcW w:w="1991" w:type="pct"/>
            <w:vAlign w:val="center"/>
          </w:tcPr>
          <w:p w14:paraId="3A25607B">
            <w:pPr>
              <w:snapToGrid w:val="0"/>
              <w:ind w:firstLine="0" w:firstLineChars="0"/>
              <w:jc w:val="center"/>
              <w:rPr>
                <w:sz w:val="21"/>
                <w:szCs w:val="21"/>
              </w:rPr>
            </w:pPr>
            <w:r>
              <w:rPr>
                <w:sz w:val="21"/>
                <w:szCs w:val="21"/>
              </w:rPr>
              <w:t>76/8</w:t>
            </w:r>
          </w:p>
        </w:tc>
        <w:tc>
          <w:tcPr>
            <w:tcW w:w="1002" w:type="pct"/>
            <w:vAlign w:val="center"/>
          </w:tcPr>
          <w:p w14:paraId="46F33243">
            <w:pPr>
              <w:snapToGrid w:val="0"/>
              <w:ind w:firstLine="0" w:firstLineChars="0"/>
              <w:jc w:val="center"/>
              <w:rPr>
                <w:sz w:val="21"/>
                <w:szCs w:val="21"/>
              </w:rPr>
            </w:pPr>
            <w:r>
              <w:rPr>
                <w:sz w:val="21"/>
                <w:szCs w:val="21"/>
              </w:rPr>
              <w:t>无</w:t>
            </w:r>
          </w:p>
        </w:tc>
      </w:tr>
      <w:tr w14:paraId="03F2C1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696611DE">
            <w:pPr>
              <w:snapToGrid w:val="0"/>
              <w:ind w:firstLine="0" w:firstLineChars="0"/>
              <w:jc w:val="center"/>
              <w:rPr>
                <w:sz w:val="21"/>
                <w:szCs w:val="21"/>
              </w:rPr>
            </w:pPr>
            <w:r>
              <w:rPr>
                <w:sz w:val="21"/>
                <w:szCs w:val="21"/>
              </w:rPr>
              <w:t>4</w:t>
            </w:r>
          </w:p>
        </w:tc>
        <w:tc>
          <w:tcPr>
            <w:tcW w:w="1399" w:type="pct"/>
            <w:vAlign w:val="center"/>
          </w:tcPr>
          <w:p w14:paraId="0BC870A8">
            <w:pPr>
              <w:snapToGrid w:val="0"/>
              <w:ind w:firstLine="0" w:firstLineChars="0"/>
              <w:jc w:val="center"/>
              <w:rPr>
                <w:sz w:val="21"/>
                <w:szCs w:val="21"/>
              </w:rPr>
            </w:pPr>
            <w:r>
              <w:rPr>
                <w:rFonts w:hint="eastAsia"/>
                <w:sz w:val="21"/>
                <w:szCs w:val="21"/>
              </w:rPr>
              <w:t>皮带机</w:t>
            </w:r>
          </w:p>
        </w:tc>
        <w:tc>
          <w:tcPr>
            <w:tcW w:w="1991" w:type="pct"/>
            <w:vAlign w:val="center"/>
          </w:tcPr>
          <w:p w14:paraId="23968BF0">
            <w:pPr>
              <w:snapToGrid w:val="0"/>
              <w:ind w:firstLine="0" w:firstLineChars="0"/>
              <w:jc w:val="center"/>
              <w:rPr>
                <w:sz w:val="21"/>
                <w:szCs w:val="21"/>
              </w:rPr>
            </w:pPr>
            <w:r>
              <w:rPr>
                <w:rFonts w:hint="eastAsia"/>
                <w:sz w:val="21"/>
                <w:szCs w:val="21"/>
              </w:rPr>
              <w:t>91/3</w:t>
            </w:r>
          </w:p>
        </w:tc>
        <w:tc>
          <w:tcPr>
            <w:tcW w:w="1002" w:type="pct"/>
            <w:vAlign w:val="center"/>
          </w:tcPr>
          <w:p w14:paraId="618344C9">
            <w:pPr>
              <w:snapToGrid w:val="0"/>
              <w:ind w:firstLine="0" w:firstLineChars="0"/>
              <w:jc w:val="center"/>
              <w:rPr>
                <w:sz w:val="21"/>
                <w:szCs w:val="21"/>
              </w:rPr>
            </w:pPr>
            <w:r>
              <w:rPr>
                <w:sz w:val="21"/>
                <w:szCs w:val="21"/>
              </w:rPr>
              <w:t>无</w:t>
            </w:r>
          </w:p>
        </w:tc>
      </w:tr>
      <w:tr w14:paraId="6C25F1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12FA81C6">
            <w:pPr>
              <w:snapToGrid w:val="0"/>
              <w:ind w:firstLine="0" w:firstLineChars="0"/>
              <w:jc w:val="center"/>
              <w:rPr>
                <w:sz w:val="21"/>
                <w:szCs w:val="21"/>
              </w:rPr>
            </w:pPr>
            <w:r>
              <w:rPr>
                <w:rFonts w:hint="eastAsia"/>
                <w:sz w:val="21"/>
                <w:szCs w:val="21"/>
              </w:rPr>
              <w:t>5</w:t>
            </w:r>
          </w:p>
        </w:tc>
        <w:tc>
          <w:tcPr>
            <w:tcW w:w="1399" w:type="pct"/>
            <w:vAlign w:val="center"/>
          </w:tcPr>
          <w:p w14:paraId="2F514553">
            <w:pPr>
              <w:snapToGrid w:val="0"/>
              <w:ind w:firstLine="0" w:firstLineChars="0"/>
              <w:jc w:val="center"/>
              <w:rPr>
                <w:sz w:val="21"/>
                <w:szCs w:val="21"/>
              </w:rPr>
            </w:pPr>
            <w:r>
              <w:rPr>
                <w:rFonts w:hint="eastAsia"/>
                <w:sz w:val="21"/>
                <w:szCs w:val="21"/>
              </w:rPr>
              <w:t>自卸卡车</w:t>
            </w:r>
          </w:p>
        </w:tc>
        <w:tc>
          <w:tcPr>
            <w:tcW w:w="1991" w:type="pct"/>
            <w:vAlign w:val="center"/>
          </w:tcPr>
          <w:p w14:paraId="5BDD4410">
            <w:pPr>
              <w:snapToGrid w:val="0"/>
              <w:ind w:firstLine="0" w:firstLineChars="0"/>
              <w:jc w:val="center"/>
              <w:rPr>
                <w:sz w:val="21"/>
                <w:szCs w:val="21"/>
              </w:rPr>
            </w:pPr>
            <w:r>
              <w:rPr>
                <w:sz w:val="21"/>
                <w:szCs w:val="21"/>
              </w:rPr>
              <w:t>88/2</w:t>
            </w:r>
          </w:p>
        </w:tc>
        <w:tc>
          <w:tcPr>
            <w:tcW w:w="1002" w:type="pct"/>
            <w:vAlign w:val="center"/>
          </w:tcPr>
          <w:p w14:paraId="5288FB85">
            <w:pPr>
              <w:snapToGrid w:val="0"/>
              <w:ind w:firstLine="0" w:firstLineChars="0"/>
              <w:jc w:val="center"/>
              <w:rPr>
                <w:sz w:val="21"/>
                <w:szCs w:val="21"/>
              </w:rPr>
            </w:pPr>
            <w:r>
              <w:rPr>
                <w:sz w:val="21"/>
                <w:szCs w:val="21"/>
              </w:rPr>
              <w:t>无</w:t>
            </w:r>
          </w:p>
        </w:tc>
      </w:tr>
      <w:tr w14:paraId="2D0EB3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06B89485">
            <w:pPr>
              <w:snapToGrid w:val="0"/>
              <w:ind w:firstLine="0" w:firstLineChars="0"/>
              <w:jc w:val="center"/>
              <w:rPr>
                <w:sz w:val="21"/>
                <w:szCs w:val="21"/>
              </w:rPr>
            </w:pPr>
            <w:r>
              <w:rPr>
                <w:rFonts w:hint="eastAsia"/>
                <w:sz w:val="21"/>
                <w:szCs w:val="21"/>
              </w:rPr>
              <w:t>6</w:t>
            </w:r>
          </w:p>
        </w:tc>
        <w:tc>
          <w:tcPr>
            <w:tcW w:w="1399" w:type="pct"/>
            <w:vAlign w:val="center"/>
          </w:tcPr>
          <w:p w14:paraId="72265B4D">
            <w:pPr>
              <w:snapToGrid w:val="0"/>
              <w:ind w:firstLine="0" w:firstLineChars="0"/>
              <w:jc w:val="center"/>
              <w:rPr>
                <w:sz w:val="21"/>
                <w:szCs w:val="21"/>
              </w:rPr>
            </w:pPr>
            <w:r>
              <w:rPr>
                <w:sz w:val="21"/>
                <w:szCs w:val="21"/>
              </w:rPr>
              <w:t>混凝土搅拌机</w:t>
            </w:r>
          </w:p>
        </w:tc>
        <w:tc>
          <w:tcPr>
            <w:tcW w:w="1991" w:type="pct"/>
            <w:vAlign w:val="center"/>
          </w:tcPr>
          <w:p w14:paraId="44898086">
            <w:pPr>
              <w:snapToGrid w:val="0"/>
              <w:ind w:firstLine="0" w:firstLineChars="0"/>
              <w:jc w:val="center"/>
              <w:rPr>
                <w:sz w:val="21"/>
                <w:szCs w:val="21"/>
              </w:rPr>
            </w:pPr>
            <w:r>
              <w:rPr>
                <w:sz w:val="21"/>
                <w:szCs w:val="21"/>
              </w:rPr>
              <w:t>8</w:t>
            </w:r>
            <w:r>
              <w:rPr>
                <w:rFonts w:hint="eastAsia"/>
                <w:sz w:val="21"/>
                <w:szCs w:val="21"/>
              </w:rPr>
              <w:t>5~90</w:t>
            </w:r>
            <w:r>
              <w:rPr>
                <w:sz w:val="21"/>
                <w:szCs w:val="21"/>
              </w:rPr>
              <w:t>/5</w:t>
            </w:r>
          </w:p>
        </w:tc>
        <w:tc>
          <w:tcPr>
            <w:tcW w:w="1002" w:type="pct"/>
            <w:vAlign w:val="center"/>
          </w:tcPr>
          <w:p w14:paraId="6A146FB7">
            <w:pPr>
              <w:snapToGrid w:val="0"/>
              <w:ind w:firstLine="0" w:firstLineChars="0"/>
              <w:jc w:val="center"/>
              <w:rPr>
                <w:sz w:val="21"/>
                <w:szCs w:val="21"/>
              </w:rPr>
            </w:pPr>
            <w:r>
              <w:rPr>
                <w:sz w:val="21"/>
                <w:szCs w:val="21"/>
              </w:rPr>
              <w:t>无</w:t>
            </w:r>
          </w:p>
        </w:tc>
      </w:tr>
      <w:tr w14:paraId="3A02E5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2819228D">
            <w:pPr>
              <w:snapToGrid w:val="0"/>
              <w:ind w:firstLine="0" w:firstLineChars="0"/>
              <w:jc w:val="center"/>
              <w:rPr>
                <w:sz w:val="21"/>
                <w:szCs w:val="21"/>
              </w:rPr>
            </w:pPr>
            <w:r>
              <w:rPr>
                <w:rFonts w:hint="eastAsia"/>
                <w:sz w:val="21"/>
                <w:szCs w:val="21"/>
              </w:rPr>
              <w:t>7</w:t>
            </w:r>
          </w:p>
        </w:tc>
        <w:tc>
          <w:tcPr>
            <w:tcW w:w="1399" w:type="pct"/>
            <w:vAlign w:val="center"/>
          </w:tcPr>
          <w:p w14:paraId="674F4F71">
            <w:pPr>
              <w:snapToGrid w:val="0"/>
              <w:ind w:firstLine="0" w:firstLineChars="0"/>
              <w:jc w:val="center"/>
              <w:rPr>
                <w:sz w:val="21"/>
                <w:szCs w:val="21"/>
              </w:rPr>
            </w:pPr>
            <w:r>
              <w:rPr>
                <w:sz w:val="21"/>
                <w:szCs w:val="21"/>
              </w:rPr>
              <w:t>打桩机</w:t>
            </w:r>
          </w:p>
        </w:tc>
        <w:tc>
          <w:tcPr>
            <w:tcW w:w="1991" w:type="pct"/>
            <w:vAlign w:val="center"/>
          </w:tcPr>
          <w:p w14:paraId="68A7822E">
            <w:pPr>
              <w:snapToGrid w:val="0"/>
              <w:ind w:firstLine="0" w:firstLineChars="0"/>
              <w:jc w:val="center"/>
              <w:rPr>
                <w:sz w:val="21"/>
                <w:szCs w:val="21"/>
              </w:rPr>
            </w:pPr>
            <w:r>
              <w:rPr>
                <w:rFonts w:hint="eastAsia"/>
                <w:sz w:val="21"/>
                <w:szCs w:val="21"/>
              </w:rPr>
              <w:t>100~110</w:t>
            </w:r>
            <w:r>
              <w:rPr>
                <w:sz w:val="21"/>
                <w:szCs w:val="21"/>
              </w:rPr>
              <w:t>/</w:t>
            </w:r>
            <w:r>
              <w:rPr>
                <w:rFonts w:hint="eastAsia"/>
                <w:sz w:val="21"/>
                <w:szCs w:val="21"/>
              </w:rPr>
              <w:t>5</w:t>
            </w:r>
          </w:p>
        </w:tc>
        <w:tc>
          <w:tcPr>
            <w:tcW w:w="1002" w:type="pct"/>
            <w:vAlign w:val="center"/>
          </w:tcPr>
          <w:p w14:paraId="7D3A20A2">
            <w:pPr>
              <w:snapToGrid w:val="0"/>
              <w:ind w:firstLine="0" w:firstLineChars="0"/>
              <w:jc w:val="center"/>
              <w:rPr>
                <w:sz w:val="21"/>
                <w:szCs w:val="21"/>
              </w:rPr>
            </w:pPr>
            <w:r>
              <w:rPr>
                <w:sz w:val="21"/>
                <w:szCs w:val="21"/>
              </w:rPr>
              <w:t>无</w:t>
            </w:r>
          </w:p>
        </w:tc>
      </w:tr>
      <w:tr w14:paraId="3CB127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1C33182A">
            <w:pPr>
              <w:snapToGrid w:val="0"/>
              <w:ind w:firstLine="0" w:firstLineChars="0"/>
              <w:jc w:val="center"/>
              <w:rPr>
                <w:sz w:val="21"/>
                <w:szCs w:val="21"/>
              </w:rPr>
            </w:pPr>
            <w:r>
              <w:rPr>
                <w:rFonts w:hint="eastAsia"/>
                <w:sz w:val="21"/>
                <w:szCs w:val="21"/>
              </w:rPr>
              <w:t>8</w:t>
            </w:r>
          </w:p>
        </w:tc>
        <w:tc>
          <w:tcPr>
            <w:tcW w:w="1399" w:type="pct"/>
            <w:vAlign w:val="center"/>
          </w:tcPr>
          <w:p w14:paraId="6F32BAB4">
            <w:pPr>
              <w:snapToGrid w:val="0"/>
              <w:ind w:firstLine="0" w:firstLineChars="0"/>
              <w:jc w:val="center"/>
              <w:rPr>
                <w:sz w:val="21"/>
                <w:szCs w:val="21"/>
              </w:rPr>
            </w:pPr>
            <w:r>
              <w:rPr>
                <w:sz w:val="21"/>
                <w:szCs w:val="21"/>
              </w:rPr>
              <w:t>施工船舶</w:t>
            </w:r>
          </w:p>
        </w:tc>
        <w:tc>
          <w:tcPr>
            <w:tcW w:w="1991" w:type="pct"/>
            <w:vAlign w:val="center"/>
          </w:tcPr>
          <w:p w14:paraId="0831751E">
            <w:pPr>
              <w:snapToGrid w:val="0"/>
              <w:ind w:firstLine="0" w:firstLineChars="0"/>
              <w:jc w:val="center"/>
              <w:rPr>
                <w:sz w:val="21"/>
                <w:szCs w:val="21"/>
              </w:rPr>
            </w:pPr>
            <w:r>
              <w:rPr>
                <w:rFonts w:hint="eastAsia"/>
                <w:sz w:val="21"/>
                <w:szCs w:val="21"/>
              </w:rPr>
              <w:t>65/20</w:t>
            </w:r>
          </w:p>
        </w:tc>
        <w:tc>
          <w:tcPr>
            <w:tcW w:w="1002" w:type="pct"/>
            <w:vAlign w:val="center"/>
          </w:tcPr>
          <w:p w14:paraId="6C66BEC3">
            <w:pPr>
              <w:snapToGrid w:val="0"/>
              <w:ind w:firstLine="0" w:firstLineChars="0"/>
              <w:jc w:val="center"/>
              <w:rPr>
                <w:sz w:val="21"/>
                <w:szCs w:val="21"/>
              </w:rPr>
            </w:pPr>
            <w:r>
              <w:rPr>
                <w:rFonts w:hint="eastAsia"/>
                <w:sz w:val="21"/>
                <w:szCs w:val="21"/>
              </w:rPr>
              <w:t>无</w:t>
            </w:r>
          </w:p>
        </w:tc>
      </w:tr>
    </w:tbl>
    <w:p w14:paraId="735422C7">
      <w:pPr>
        <w:pStyle w:val="6"/>
      </w:pPr>
      <w:r>
        <w:t>固体废物</w:t>
      </w:r>
    </w:p>
    <w:p w14:paraId="7DC71B09">
      <w:pPr>
        <w:ind w:firstLine="462"/>
      </w:pPr>
      <w:r>
        <w:rPr>
          <w:rFonts w:hint="eastAsia"/>
        </w:rPr>
        <w:t>施工期固体废物包括施工船舶垃圾、施工人员生活垃圾和疏浚物</w:t>
      </w:r>
      <w:r>
        <w:t>：</w:t>
      </w:r>
    </w:p>
    <w:p w14:paraId="5A651417">
      <w:pPr>
        <w:ind w:firstLine="462"/>
      </w:pPr>
      <w:r>
        <w:rPr>
          <w:rFonts w:hint="eastAsia"/>
        </w:rPr>
        <w:t>1、施工船舶垃圾</w:t>
      </w:r>
    </w:p>
    <w:p w14:paraId="72C09EE1">
      <w:pPr>
        <w:ind w:firstLine="462"/>
      </w:pPr>
      <w:r>
        <w:t>按照《水运工程环境保护设计规范》（JTS149-2018），施工船舶生活垃圾发生系数按照1kg/d∙人估算，施工期船舶垃圾产生量约为</w:t>
      </w:r>
      <w:r>
        <w:rPr>
          <w:rFonts w:hint="eastAsia"/>
        </w:rPr>
        <w:t>8.5</w:t>
      </w:r>
      <w:r>
        <w:t>t，详见表2.</w:t>
      </w:r>
      <w:r>
        <w:rPr>
          <w:rFonts w:hint="eastAsia"/>
        </w:rPr>
        <w:t>3-5</w:t>
      </w:r>
      <w:r>
        <w:t>。</w:t>
      </w:r>
    </w:p>
    <w:p w14:paraId="629C067C">
      <w:pPr>
        <w:ind w:firstLine="462"/>
      </w:pPr>
      <w:r>
        <w:t>施工船舶垃圾应做好日常的收集、分类与储存工作，严格按照船舶污染物监管“联单制度”进行管理，建立固体废物产生、外运、处置及最终去向的详细台账，并定期向当地环保部门报告。施工船舶垃圾委托船舶污染物接收单位接收处理，严禁将船舶垃圾倾倒入海污染水域。</w:t>
      </w:r>
    </w:p>
    <w:p w14:paraId="16B1C0DB">
      <w:pPr>
        <w:pStyle w:val="7"/>
      </w:pPr>
      <w:r>
        <w:rPr>
          <w:rFonts w:hint="eastAsia"/>
        </w:rPr>
        <w:t>本工程施工期船舶垃圾产生量</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24"/>
        <w:gridCol w:w="1602"/>
        <w:gridCol w:w="1431"/>
        <w:gridCol w:w="1823"/>
        <w:gridCol w:w="2048"/>
      </w:tblGrid>
      <w:tr w14:paraId="54085A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952" w:type="pct"/>
            <w:vMerge w:val="restart"/>
            <w:vAlign w:val="center"/>
          </w:tcPr>
          <w:p w14:paraId="3C404410">
            <w:pPr>
              <w:pStyle w:val="34"/>
            </w:pPr>
            <w:r>
              <w:t>船舶类型</w:t>
            </w:r>
          </w:p>
        </w:tc>
        <w:tc>
          <w:tcPr>
            <w:tcW w:w="939" w:type="pct"/>
            <w:vMerge w:val="restart"/>
            <w:vAlign w:val="center"/>
          </w:tcPr>
          <w:p w14:paraId="087FDDA0">
            <w:pPr>
              <w:pStyle w:val="34"/>
            </w:pPr>
            <w:r>
              <w:t>定员（单艘人）</w:t>
            </w:r>
          </w:p>
        </w:tc>
        <w:tc>
          <w:tcPr>
            <w:tcW w:w="839" w:type="pct"/>
            <w:vMerge w:val="restart"/>
            <w:vAlign w:val="center"/>
          </w:tcPr>
          <w:p w14:paraId="2C66055D">
            <w:pPr>
              <w:pStyle w:val="34"/>
            </w:pPr>
            <w:r>
              <w:t>有效施工天数（艘/单艘天）</w:t>
            </w:r>
          </w:p>
        </w:tc>
        <w:tc>
          <w:tcPr>
            <w:tcW w:w="2271" w:type="pct"/>
            <w:gridSpan w:val="2"/>
            <w:vAlign w:val="center"/>
          </w:tcPr>
          <w:p w14:paraId="60E88A23">
            <w:pPr>
              <w:pStyle w:val="34"/>
            </w:pPr>
            <w:r>
              <w:t>船舶生活垃圾</w:t>
            </w:r>
          </w:p>
        </w:tc>
      </w:tr>
      <w:tr w14:paraId="0343A1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952" w:type="pct"/>
            <w:vMerge w:val="continue"/>
            <w:vAlign w:val="center"/>
          </w:tcPr>
          <w:p w14:paraId="5F7B148D">
            <w:pPr>
              <w:pStyle w:val="34"/>
            </w:pPr>
          </w:p>
        </w:tc>
        <w:tc>
          <w:tcPr>
            <w:tcW w:w="939" w:type="pct"/>
            <w:vMerge w:val="continue"/>
            <w:vAlign w:val="center"/>
          </w:tcPr>
          <w:p w14:paraId="0FD0541F">
            <w:pPr>
              <w:pStyle w:val="34"/>
            </w:pPr>
          </w:p>
        </w:tc>
        <w:tc>
          <w:tcPr>
            <w:tcW w:w="839" w:type="pct"/>
            <w:vMerge w:val="continue"/>
            <w:vAlign w:val="center"/>
          </w:tcPr>
          <w:p w14:paraId="4637D625">
            <w:pPr>
              <w:pStyle w:val="34"/>
            </w:pPr>
          </w:p>
        </w:tc>
        <w:tc>
          <w:tcPr>
            <w:tcW w:w="1069" w:type="pct"/>
            <w:vAlign w:val="center"/>
          </w:tcPr>
          <w:p w14:paraId="671F1BB6">
            <w:pPr>
              <w:pStyle w:val="34"/>
            </w:pPr>
            <w:r>
              <w:t>废物量（kg/人•d）</w:t>
            </w:r>
          </w:p>
        </w:tc>
        <w:tc>
          <w:tcPr>
            <w:tcW w:w="1202" w:type="pct"/>
            <w:vAlign w:val="center"/>
          </w:tcPr>
          <w:p w14:paraId="2F76FFE4">
            <w:pPr>
              <w:pStyle w:val="34"/>
            </w:pPr>
            <w:r>
              <w:t>船舶垃圾产生量（t）</w:t>
            </w:r>
          </w:p>
        </w:tc>
      </w:tr>
      <w:tr w14:paraId="624A39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2" w:type="pct"/>
            <w:vAlign w:val="center"/>
          </w:tcPr>
          <w:p w14:paraId="54958787">
            <w:pPr>
              <w:pStyle w:val="34"/>
            </w:pPr>
            <w:r>
              <w:rPr>
                <w:rFonts w:hint="eastAsia"/>
              </w:rPr>
              <w:t>炸礁船</w:t>
            </w:r>
          </w:p>
        </w:tc>
        <w:tc>
          <w:tcPr>
            <w:tcW w:w="939" w:type="pct"/>
            <w:vAlign w:val="center"/>
          </w:tcPr>
          <w:p w14:paraId="077D1C37">
            <w:pPr>
              <w:pStyle w:val="34"/>
            </w:pPr>
            <w:r>
              <w:rPr>
                <w:rFonts w:hint="eastAsia"/>
              </w:rPr>
              <w:t>8</w:t>
            </w:r>
          </w:p>
        </w:tc>
        <w:tc>
          <w:tcPr>
            <w:tcW w:w="839" w:type="pct"/>
            <w:vAlign w:val="center"/>
          </w:tcPr>
          <w:p w14:paraId="65B0301D">
            <w:pPr>
              <w:pStyle w:val="34"/>
            </w:pPr>
            <w:r>
              <w:t>1/</w:t>
            </w:r>
            <w:r>
              <w:rPr>
                <w:rFonts w:hint="eastAsia"/>
              </w:rPr>
              <w:t>50</w:t>
            </w:r>
          </w:p>
        </w:tc>
        <w:tc>
          <w:tcPr>
            <w:tcW w:w="1069" w:type="pct"/>
            <w:vAlign w:val="center"/>
          </w:tcPr>
          <w:p w14:paraId="3332A2FA">
            <w:pPr>
              <w:pStyle w:val="34"/>
            </w:pPr>
            <w:r>
              <w:t>1</w:t>
            </w:r>
          </w:p>
        </w:tc>
        <w:tc>
          <w:tcPr>
            <w:tcW w:w="1202" w:type="pct"/>
            <w:vAlign w:val="bottom"/>
          </w:tcPr>
          <w:p w14:paraId="38A30D83">
            <w:pPr>
              <w:pStyle w:val="34"/>
            </w:pPr>
            <w:r>
              <w:rPr>
                <w:rFonts w:hint="eastAsia"/>
              </w:rPr>
              <w:t>0.4</w:t>
            </w:r>
          </w:p>
        </w:tc>
      </w:tr>
      <w:tr w14:paraId="0CBAC4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2" w:type="pct"/>
            <w:vAlign w:val="center"/>
          </w:tcPr>
          <w:p w14:paraId="5487E919">
            <w:pPr>
              <w:pStyle w:val="34"/>
            </w:pPr>
            <w:r>
              <w:rPr>
                <w:rFonts w:hint="eastAsia"/>
              </w:rPr>
              <w:t>抓斗式挖泥船</w:t>
            </w:r>
          </w:p>
        </w:tc>
        <w:tc>
          <w:tcPr>
            <w:tcW w:w="939" w:type="pct"/>
            <w:vAlign w:val="center"/>
          </w:tcPr>
          <w:p w14:paraId="7D063A05">
            <w:pPr>
              <w:pStyle w:val="34"/>
            </w:pPr>
            <w:r>
              <w:rPr>
                <w:rFonts w:hint="eastAsia"/>
              </w:rPr>
              <w:t>8</w:t>
            </w:r>
          </w:p>
        </w:tc>
        <w:tc>
          <w:tcPr>
            <w:tcW w:w="839" w:type="pct"/>
            <w:vAlign w:val="center"/>
          </w:tcPr>
          <w:p w14:paraId="72ECDF21">
            <w:pPr>
              <w:pStyle w:val="34"/>
            </w:pPr>
            <w:r>
              <w:rPr>
                <w:rFonts w:hint="eastAsia"/>
              </w:rPr>
              <w:t>1/150</w:t>
            </w:r>
          </w:p>
        </w:tc>
        <w:tc>
          <w:tcPr>
            <w:tcW w:w="1069" w:type="pct"/>
            <w:vAlign w:val="center"/>
          </w:tcPr>
          <w:p w14:paraId="0438E503">
            <w:pPr>
              <w:pStyle w:val="34"/>
            </w:pPr>
            <w:r>
              <w:t>1</w:t>
            </w:r>
          </w:p>
        </w:tc>
        <w:tc>
          <w:tcPr>
            <w:tcW w:w="1202" w:type="pct"/>
            <w:vAlign w:val="bottom"/>
          </w:tcPr>
          <w:p w14:paraId="15B6467C">
            <w:pPr>
              <w:pStyle w:val="34"/>
            </w:pPr>
            <w:r>
              <w:rPr>
                <w:rFonts w:hint="eastAsia"/>
              </w:rPr>
              <w:t>1.2</w:t>
            </w:r>
          </w:p>
        </w:tc>
      </w:tr>
      <w:tr w14:paraId="0E7518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2" w:type="pct"/>
            <w:vAlign w:val="center"/>
          </w:tcPr>
          <w:p w14:paraId="741E0BA6">
            <w:pPr>
              <w:pStyle w:val="34"/>
            </w:pPr>
            <w:r>
              <w:rPr>
                <w:rFonts w:hint="eastAsia"/>
              </w:rPr>
              <w:t>绞吸式挖泥船</w:t>
            </w:r>
          </w:p>
        </w:tc>
        <w:tc>
          <w:tcPr>
            <w:tcW w:w="939" w:type="pct"/>
            <w:vAlign w:val="center"/>
          </w:tcPr>
          <w:p w14:paraId="3FB1CB34">
            <w:pPr>
              <w:pStyle w:val="34"/>
            </w:pPr>
            <w:r>
              <w:rPr>
                <w:rFonts w:hint="eastAsia"/>
              </w:rPr>
              <w:t>9</w:t>
            </w:r>
          </w:p>
        </w:tc>
        <w:tc>
          <w:tcPr>
            <w:tcW w:w="839" w:type="pct"/>
            <w:vAlign w:val="center"/>
          </w:tcPr>
          <w:p w14:paraId="22CD52F3">
            <w:pPr>
              <w:pStyle w:val="34"/>
            </w:pPr>
            <w:r>
              <w:rPr>
                <w:rFonts w:hint="eastAsia"/>
              </w:rPr>
              <w:t>1/100</w:t>
            </w:r>
          </w:p>
        </w:tc>
        <w:tc>
          <w:tcPr>
            <w:tcW w:w="1069" w:type="pct"/>
            <w:vAlign w:val="center"/>
          </w:tcPr>
          <w:p w14:paraId="39F3EB93">
            <w:pPr>
              <w:pStyle w:val="34"/>
            </w:pPr>
            <w:r>
              <w:rPr>
                <w:rFonts w:hint="eastAsia"/>
              </w:rPr>
              <w:t>1</w:t>
            </w:r>
          </w:p>
        </w:tc>
        <w:tc>
          <w:tcPr>
            <w:tcW w:w="1202" w:type="pct"/>
            <w:vAlign w:val="bottom"/>
          </w:tcPr>
          <w:p w14:paraId="5DA14230">
            <w:pPr>
              <w:pStyle w:val="34"/>
            </w:pPr>
            <w:r>
              <w:rPr>
                <w:rFonts w:hint="eastAsia"/>
              </w:rPr>
              <w:t>0.9</w:t>
            </w:r>
          </w:p>
        </w:tc>
      </w:tr>
      <w:tr w14:paraId="779524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2" w:type="pct"/>
            <w:vAlign w:val="center"/>
          </w:tcPr>
          <w:p w14:paraId="3D4684B6">
            <w:pPr>
              <w:pStyle w:val="34"/>
            </w:pPr>
            <w:r>
              <w:rPr>
                <w:rFonts w:hint="eastAsia"/>
              </w:rPr>
              <w:t>驳船</w:t>
            </w:r>
          </w:p>
        </w:tc>
        <w:tc>
          <w:tcPr>
            <w:tcW w:w="939" w:type="pct"/>
            <w:vAlign w:val="center"/>
          </w:tcPr>
          <w:p w14:paraId="555E1215">
            <w:pPr>
              <w:pStyle w:val="34"/>
            </w:pPr>
            <w:r>
              <w:rPr>
                <w:rFonts w:hint="eastAsia"/>
              </w:rPr>
              <w:t>4</w:t>
            </w:r>
          </w:p>
        </w:tc>
        <w:tc>
          <w:tcPr>
            <w:tcW w:w="839" w:type="pct"/>
            <w:vAlign w:val="center"/>
          </w:tcPr>
          <w:p w14:paraId="14E892E9">
            <w:pPr>
              <w:pStyle w:val="34"/>
            </w:pPr>
            <w:r>
              <w:rPr>
                <w:rFonts w:hint="eastAsia"/>
              </w:rPr>
              <w:t>6/200</w:t>
            </w:r>
          </w:p>
        </w:tc>
        <w:tc>
          <w:tcPr>
            <w:tcW w:w="1069" w:type="pct"/>
            <w:vAlign w:val="center"/>
          </w:tcPr>
          <w:p w14:paraId="3958C1F9">
            <w:pPr>
              <w:pStyle w:val="34"/>
            </w:pPr>
            <w:r>
              <w:t>1</w:t>
            </w:r>
          </w:p>
        </w:tc>
        <w:tc>
          <w:tcPr>
            <w:tcW w:w="1202" w:type="pct"/>
            <w:vAlign w:val="bottom"/>
          </w:tcPr>
          <w:p w14:paraId="1D163252">
            <w:pPr>
              <w:pStyle w:val="34"/>
            </w:pPr>
            <w:r>
              <w:rPr>
                <w:rFonts w:hint="eastAsia"/>
              </w:rPr>
              <w:t>6</w:t>
            </w:r>
          </w:p>
        </w:tc>
      </w:tr>
      <w:tr w14:paraId="45CB68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98" w:type="pct"/>
            <w:gridSpan w:val="4"/>
            <w:vAlign w:val="center"/>
          </w:tcPr>
          <w:p w14:paraId="2FA5D229">
            <w:pPr>
              <w:pStyle w:val="34"/>
            </w:pPr>
            <w:r>
              <w:t>合计</w:t>
            </w:r>
          </w:p>
        </w:tc>
        <w:tc>
          <w:tcPr>
            <w:tcW w:w="1202" w:type="pct"/>
            <w:vAlign w:val="center"/>
          </w:tcPr>
          <w:p w14:paraId="077C4763">
            <w:pPr>
              <w:pStyle w:val="34"/>
            </w:pPr>
            <w:r>
              <w:rPr>
                <w:rFonts w:hint="eastAsia"/>
              </w:rPr>
              <w:t>8.5</w:t>
            </w:r>
          </w:p>
        </w:tc>
      </w:tr>
    </w:tbl>
    <w:p w14:paraId="276D0274">
      <w:pPr>
        <w:ind w:firstLine="462"/>
        <w:rPr>
          <w:u w:val="single"/>
        </w:rPr>
      </w:pPr>
      <w:r>
        <w:rPr>
          <w:rFonts w:hint="eastAsia"/>
          <w:u w:val="single"/>
        </w:rPr>
        <w:t>2、疏浚泥沙处置</w:t>
      </w:r>
    </w:p>
    <w:p w14:paraId="1C03E3A0">
      <w:pPr>
        <w:ind w:firstLine="462"/>
        <w:rPr>
          <w:u w:val="single"/>
        </w:rPr>
      </w:pPr>
      <w:r>
        <w:rPr>
          <w:u w:val="single"/>
        </w:rPr>
        <w:t>港池疏浚</w:t>
      </w:r>
      <w:r>
        <w:rPr>
          <w:rFonts w:hint="eastAsia"/>
          <w:u w:val="single"/>
        </w:rPr>
        <w:t>总</w:t>
      </w:r>
      <w:r>
        <w:rPr>
          <w:u w:val="single"/>
        </w:rPr>
        <w:t>工程量</w:t>
      </w:r>
      <w:r>
        <w:rPr>
          <w:rFonts w:hint="eastAsia"/>
          <w:u w:val="single"/>
        </w:rPr>
        <w:t>131.16</w:t>
      </w:r>
      <w:r>
        <w:rPr>
          <w:u w:val="single"/>
        </w:rPr>
        <w:t>万m</w:t>
      </w:r>
      <w:r>
        <w:rPr>
          <w:u w:val="single"/>
          <w:vertAlign w:val="superscript"/>
        </w:rPr>
        <w:t>3</w:t>
      </w:r>
      <w:r>
        <w:rPr>
          <w:u w:val="single"/>
        </w:rPr>
        <w:t>，</w:t>
      </w:r>
      <w:r>
        <w:rPr>
          <w:rFonts w:hint="eastAsia"/>
          <w:u w:val="single"/>
        </w:rPr>
        <w:t>其中疏浚砂52.41万m</w:t>
      </w:r>
      <w:r>
        <w:rPr>
          <w:rFonts w:hint="eastAsia"/>
          <w:u w:val="single"/>
          <w:vertAlign w:val="superscript"/>
        </w:rPr>
        <w:t>3</w:t>
      </w:r>
      <w:r>
        <w:rPr>
          <w:rFonts w:hint="eastAsia"/>
          <w:u w:val="single"/>
        </w:rPr>
        <w:t>和3.91万m</w:t>
      </w:r>
      <w:r>
        <w:rPr>
          <w:rFonts w:hint="eastAsia"/>
          <w:u w:val="single"/>
          <w:vertAlign w:val="superscript"/>
        </w:rPr>
        <w:t>3</w:t>
      </w:r>
      <w:r>
        <w:rPr>
          <w:rFonts w:hint="eastAsia"/>
          <w:u w:val="single"/>
        </w:rPr>
        <w:t>强风化岩和中风化岩炸礁碴石用于陆域堆载，位于本项目红线范围内；74.84万m</w:t>
      </w:r>
      <w:r>
        <w:rPr>
          <w:rFonts w:hint="eastAsia"/>
          <w:u w:val="single"/>
          <w:vertAlign w:val="superscript"/>
        </w:rPr>
        <w:t>3</w:t>
      </w:r>
      <w:r>
        <w:rPr>
          <w:rFonts w:hint="eastAsia"/>
          <w:u w:val="single"/>
        </w:rPr>
        <w:t>疏浚土泥驳运至53km外的钦州港30万吨级进港航道疏浚工程疏浚物临时性海洋倾倒区B区抛卸。</w:t>
      </w:r>
    </w:p>
    <w:p w14:paraId="5C402F8A">
      <w:pPr>
        <w:ind w:firstLine="0" w:firstLineChars="0"/>
      </w:pPr>
      <w:r>
        <mc:AlternateContent>
          <mc:Choice Requires="wpc">
            <w:drawing>
              <wp:inline distT="0" distB="0" distL="0" distR="0">
                <wp:extent cx="5200015" cy="2510790"/>
                <wp:effectExtent l="0" t="0" r="19685" b="0"/>
                <wp:docPr id="2016705841" name="画布 201670584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61243848" name="矩形 361243848"/>
                        <wps:cNvSpPr/>
                        <wps:spPr>
                          <a:xfrm>
                            <a:off x="35999" y="922564"/>
                            <a:ext cx="742950" cy="381000"/>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FC0417">
                              <w:pPr>
                                <w:snapToGri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水域疏浚</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0729155" name="矩形 30729155"/>
                        <wps:cNvSpPr/>
                        <wps:spPr>
                          <a:xfrm>
                            <a:off x="630901" y="681770"/>
                            <a:ext cx="982361" cy="58578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DE3018">
                              <w:pPr>
                                <w:snapToGrid w:val="0"/>
                                <w:spacing w:line="240" w:lineRule="exact"/>
                                <w:ind w:firstLine="0" w:firstLineChars="0"/>
                                <w:jc w:val="center"/>
                                <w:rPr>
                                  <w:color w:val="000000" w:themeColor="text1"/>
                                  <w:sz w:val="20"/>
                                  <w:szCs w:val="20"/>
                                  <w14:textFill>
                                    <w14:solidFill>
                                      <w14:schemeClr w14:val="tx1"/>
                                    </w14:solidFill>
                                  </w14:textFill>
                                </w:rPr>
                              </w:pPr>
                              <w:r>
                                <w:rPr>
                                  <w:rFonts w:hint="eastAsia"/>
                                  <w:color w:val="000000" w:themeColor="text1"/>
                                  <w:sz w:val="20"/>
                                  <w:szCs w:val="20"/>
                                  <w14:textFill>
                                    <w14:solidFill>
                                      <w14:schemeClr w14:val="tx1"/>
                                    </w14:solidFill>
                                  </w14:textFill>
                                </w:rPr>
                                <w:t>疏浚量</w:t>
                              </w:r>
                            </w:p>
                            <w:p w14:paraId="17E7FF1C">
                              <w:pPr>
                                <w:snapToGrid w:val="0"/>
                                <w:spacing w:line="240" w:lineRule="exact"/>
                                <w:ind w:firstLine="0" w:firstLineChars="0"/>
                                <w:jc w:val="center"/>
                                <w:rPr>
                                  <w:color w:val="000000" w:themeColor="text1"/>
                                  <w:sz w:val="20"/>
                                  <w:szCs w:val="20"/>
                                  <w14:textFill>
                                    <w14:solidFill>
                                      <w14:schemeClr w14:val="tx1"/>
                                    </w14:solidFill>
                                  </w14:textFill>
                                </w:rPr>
                              </w:pPr>
                              <w:r>
                                <w:rPr>
                                  <w:rFonts w:hint="eastAsia"/>
                                  <w:color w:val="000000" w:themeColor="text1"/>
                                  <w:sz w:val="20"/>
                                  <w:szCs w:val="20"/>
                                  <w14:textFill>
                                    <w14:solidFill>
                                      <w14:schemeClr w14:val="tx1"/>
                                    </w14:solidFill>
                                  </w14:textFill>
                                </w:rPr>
                                <w:t>131.16万m</w:t>
                              </w:r>
                              <w:r>
                                <w:rPr>
                                  <w:rFonts w:hint="eastAsia"/>
                                  <w:color w:val="000000" w:themeColor="text1"/>
                                  <w:sz w:val="20"/>
                                  <w:szCs w:val="20"/>
                                  <w:vertAlign w:val="superscript"/>
                                  <w14:textFill>
                                    <w14:solidFill>
                                      <w14:schemeClr w14:val="tx1"/>
                                    </w14:solidFill>
                                  </w14:textFill>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32441303" name="直接连接符 832441303"/>
                        <wps:cNvCnPr/>
                        <wps:spPr>
                          <a:xfrm>
                            <a:off x="778949" y="1132114"/>
                            <a:ext cx="714374"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02719482" name="矩形 2002719482"/>
                        <wps:cNvSpPr/>
                        <wps:spPr>
                          <a:xfrm>
                            <a:off x="2245123" y="232001"/>
                            <a:ext cx="828674" cy="3333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1812CA">
                              <w:pPr>
                                <w:pStyle w:val="166"/>
                                <w:snapToGrid w:val="0"/>
                                <w:spacing w:line="24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疏浚砂</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20821922" name="矩形 1220821922"/>
                        <wps:cNvSpPr/>
                        <wps:spPr>
                          <a:xfrm>
                            <a:off x="2255324" y="1997914"/>
                            <a:ext cx="828674" cy="3333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108448">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疏浚砂石</w:t>
                              </w:r>
                            </w:p>
                          </w:txbxContent>
                        </wps:txbx>
                        <wps:bodyPr rot="0" spcFirstLastPara="0" vert="horz" wrap="square" lIns="91440" tIns="45720" rIns="91440" bIns="45720" numCol="1" spcCol="0" rtlCol="0" fromWordArt="0" anchor="ctr" anchorCtr="0" forceAA="0" compatLnSpc="1">
                          <a:noAutofit/>
                        </wps:bodyPr>
                      </wps:wsp>
                      <wps:wsp>
                        <wps:cNvPr id="1436387389" name="矩形 1436387389"/>
                        <wps:cNvSpPr/>
                        <wps:spPr>
                          <a:xfrm>
                            <a:off x="2255324" y="1226389"/>
                            <a:ext cx="828040" cy="3333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B8F57">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炸礁碴石</w:t>
                              </w:r>
                            </w:p>
                          </w:txbxContent>
                        </wps:txbx>
                        <wps:bodyPr rot="0" spcFirstLastPara="0" vert="horz" wrap="square" lIns="91440" tIns="45720" rIns="91440" bIns="45720" numCol="1" spcCol="0" rtlCol="0" fromWordArt="0" anchor="ctr" anchorCtr="0" forceAA="0" compatLnSpc="1">
                          <a:noAutofit/>
                        </wps:bodyPr>
                      </wps:wsp>
                      <wps:wsp>
                        <wps:cNvPr id="432233565" name="直接连接符 432233565"/>
                        <wps:cNvCnPr/>
                        <wps:spPr>
                          <a:xfrm flipH="1">
                            <a:off x="1502172" y="427264"/>
                            <a:ext cx="676" cy="173733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71500493" name="直接箭头连接符 2071500493"/>
                        <wps:cNvCnPr/>
                        <wps:spPr>
                          <a:xfrm flipV="1">
                            <a:off x="1491971" y="398689"/>
                            <a:ext cx="753152" cy="4762"/>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103957859" name="矩形 1103957859"/>
                        <wps:cNvSpPr/>
                        <wps:spPr>
                          <a:xfrm>
                            <a:off x="1445697" y="74796"/>
                            <a:ext cx="872960" cy="514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CE48B8">
                              <w:pPr>
                                <w:snapToGrid w:val="0"/>
                                <w:spacing w:line="240" w:lineRule="exact"/>
                                <w:ind w:firstLine="0" w:firstLineChars="0"/>
                                <w:jc w:val="center"/>
                              </w:pPr>
                              <w:r>
                                <w:rPr>
                                  <w:rFonts w:hint="eastAsia"/>
                                  <w:color w:val="000000"/>
                                  <w:sz w:val="21"/>
                                  <w:szCs w:val="21"/>
                                </w:rPr>
                                <w:t>52.41万</w:t>
                              </w:r>
                              <w:r>
                                <w:rPr>
                                  <w:color w:val="000000"/>
                                  <w:sz w:val="21"/>
                                  <w:szCs w:val="21"/>
                                </w:rPr>
                                <w:t>m</w:t>
                              </w:r>
                              <w:r>
                                <w:rPr>
                                  <w:rFonts w:hint="eastAsia"/>
                                  <w:color w:val="000000"/>
                                  <w:sz w:val="21"/>
                                  <w:szCs w:val="21"/>
                                  <w:vertAlign w:val="superscript"/>
                                </w:rPr>
                                <w:t>3</w:t>
                              </w:r>
                            </w:p>
                          </w:txbxContent>
                        </wps:txbx>
                        <wps:bodyPr rot="0" spcFirstLastPara="0" vert="horz" wrap="square" lIns="91440" tIns="45720" rIns="91440" bIns="45720" numCol="1" spcCol="0" rtlCol="0" fromWordArt="0" anchor="ctr" anchorCtr="0" forceAA="0" compatLnSpc="1">
                          <a:noAutofit/>
                        </wps:bodyPr>
                      </wps:wsp>
                      <wps:wsp>
                        <wps:cNvPr id="2086188090" name="直接箭头连接符 2086188090"/>
                        <wps:cNvCnPr/>
                        <wps:spPr>
                          <a:xfrm>
                            <a:off x="1502172" y="1393077"/>
                            <a:ext cx="753151"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92406392" name="矩形 992406392"/>
                        <wps:cNvSpPr/>
                        <wps:spPr>
                          <a:xfrm>
                            <a:off x="1426648" y="940639"/>
                            <a:ext cx="809625" cy="514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B6A1EE">
                              <w:pPr>
                                <w:spacing w:line="240" w:lineRule="exact"/>
                                <w:ind w:firstLine="0" w:firstLineChars="0"/>
                                <w:jc w:val="center"/>
                                <w:rPr>
                                  <w:color w:val="000000"/>
                                  <w:sz w:val="21"/>
                                  <w:szCs w:val="21"/>
                                </w:rPr>
                              </w:pPr>
                              <w:r>
                                <w:rPr>
                                  <w:rFonts w:hint="eastAsia"/>
                                  <w:color w:val="000000"/>
                                  <w:sz w:val="21"/>
                                  <w:szCs w:val="21"/>
                                </w:rPr>
                                <w:t>炸礁</w:t>
                              </w:r>
                            </w:p>
                            <w:p w14:paraId="656F0186">
                              <w:pPr>
                                <w:spacing w:line="240" w:lineRule="exact"/>
                                <w:ind w:firstLine="0" w:firstLineChars="0"/>
                                <w:jc w:val="center"/>
                              </w:pPr>
                              <w:r>
                                <w:rPr>
                                  <w:rFonts w:hint="eastAsia"/>
                                  <w:color w:val="000000"/>
                                  <w:sz w:val="21"/>
                                  <w:szCs w:val="21"/>
                                </w:rPr>
                                <w:t>3.91</w:t>
                              </w:r>
                              <w:r>
                                <w:rPr>
                                  <w:color w:val="000000"/>
                                  <w:sz w:val="21"/>
                                  <w:szCs w:val="21"/>
                                </w:rPr>
                                <w:t>m</w:t>
                              </w:r>
                              <w:r>
                                <w:rPr>
                                  <w:rFonts w:hint="eastAsia"/>
                                  <w:color w:val="000000"/>
                                  <w:sz w:val="21"/>
                                  <w:szCs w:val="21"/>
                                  <w:vertAlign w:val="superscript"/>
                                </w:rPr>
                                <w:t>3</w:t>
                              </w:r>
                            </w:p>
                          </w:txbxContent>
                        </wps:txbx>
                        <wps:bodyPr rot="0" spcFirstLastPara="0" vert="horz" wrap="square" lIns="91440" tIns="45720" rIns="91440" bIns="45720" numCol="1" spcCol="0" rtlCol="0" fromWordArt="0" anchor="ctr" anchorCtr="0" forceAA="0" compatLnSpc="1">
                          <a:noAutofit/>
                        </wps:bodyPr>
                      </wps:wsp>
                      <wps:wsp>
                        <wps:cNvPr id="2022453787" name="直接箭头连接符 2022453787"/>
                        <wps:cNvCnPr/>
                        <wps:spPr>
                          <a:xfrm>
                            <a:off x="1502848" y="2164602"/>
                            <a:ext cx="752475"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986540410" name="矩形 1986540410"/>
                        <wps:cNvSpPr/>
                        <wps:spPr>
                          <a:xfrm>
                            <a:off x="1426646" y="1768965"/>
                            <a:ext cx="892008" cy="514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38A901">
                              <w:pPr>
                                <w:spacing w:line="240" w:lineRule="exact"/>
                                <w:ind w:firstLine="0" w:firstLineChars="0"/>
                                <w:jc w:val="center"/>
                                <w:rPr>
                                  <w:sz w:val="22"/>
                                  <w:szCs w:val="22"/>
                                </w:rPr>
                              </w:pPr>
                              <w:r>
                                <w:rPr>
                                  <w:rFonts w:hint="eastAsia"/>
                                  <w:color w:val="000000"/>
                                  <w:sz w:val="20"/>
                                  <w:szCs w:val="20"/>
                                </w:rPr>
                                <w:t>74.84</w:t>
                              </w:r>
                              <w:r>
                                <w:rPr>
                                  <w:color w:val="000000"/>
                                  <w:sz w:val="20"/>
                                  <w:szCs w:val="20"/>
                                </w:rPr>
                                <w:t>万</w:t>
                              </w:r>
                              <w:r>
                                <w:rPr>
                                  <w:color w:val="000000"/>
                                  <w:sz w:val="21"/>
                                  <w:szCs w:val="21"/>
                                </w:rPr>
                                <w:t>m</w:t>
                              </w:r>
                              <w:r>
                                <w:rPr>
                                  <w:rFonts w:hint="eastAsia"/>
                                  <w:color w:val="000000"/>
                                  <w:sz w:val="21"/>
                                  <w:szCs w:val="21"/>
                                  <w:vertAlign w:val="superscript"/>
                                </w:rPr>
                                <w:t>3</w:t>
                              </w:r>
                            </w:p>
                          </w:txbxContent>
                        </wps:txbx>
                        <wps:bodyPr rot="0" spcFirstLastPara="0" vert="horz" wrap="square" lIns="91440" tIns="45720" rIns="91440" bIns="45720" numCol="1" spcCol="0" rtlCol="0" fromWordArt="0" anchor="ctr" anchorCtr="0" forceAA="0" compatLnSpc="1">
                          <a:noAutofit/>
                        </wps:bodyPr>
                      </wps:wsp>
                      <wps:wsp>
                        <wps:cNvPr id="1403102029" name="直接连接符 1403102029"/>
                        <wps:cNvCnPr/>
                        <wps:spPr>
                          <a:xfrm>
                            <a:off x="3083364" y="1393077"/>
                            <a:ext cx="762464"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82147600" name="直接连接符 1682147600"/>
                        <wps:cNvCnPr/>
                        <wps:spPr>
                          <a:xfrm>
                            <a:off x="3083998" y="2164602"/>
                            <a:ext cx="61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93787455" name="矩形 1793787455"/>
                        <wps:cNvSpPr/>
                        <wps:spPr>
                          <a:xfrm>
                            <a:off x="3036203" y="1056750"/>
                            <a:ext cx="809625" cy="514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7CDFAB">
                              <w:pPr>
                                <w:spacing w:line="240" w:lineRule="exact"/>
                                <w:ind w:firstLine="0" w:firstLineChars="0"/>
                                <w:jc w:val="center"/>
                                <w:rPr>
                                  <w:sz w:val="22"/>
                                  <w:szCs w:val="22"/>
                                </w:rPr>
                              </w:pPr>
                              <w:r>
                                <w:rPr>
                                  <w:rFonts w:hint="eastAsia"/>
                                  <w:color w:val="000000"/>
                                  <w:sz w:val="20"/>
                                  <w:szCs w:val="20"/>
                                </w:rPr>
                                <w:t>3.91</w:t>
                              </w:r>
                              <w:r>
                                <w:rPr>
                                  <w:color w:val="000000"/>
                                  <w:sz w:val="20"/>
                                  <w:szCs w:val="20"/>
                                </w:rPr>
                                <w:t>万</w:t>
                              </w:r>
                              <w:r>
                                <w:rPr>
                                  <w:color w:val="000000"/>
                                  <w:sz w:val="21"/>
                                  <w:szCs w:val="21"/>
                                </w:rPr>
                                <w:t>m</w:t>
                              </w:r>
                              <w:r>
                                <w:rPr>
                                  <w:rFonts w:hint="eastAsia"/>
                                  <w:color w:val="000000"/>
                                  <w:sz w:val="21"/>
                                  <w:szCs w:val="21"/>
                                  <w:vertAlign w:val="superscript"/>
                                </w:rPr>
                                <w:t>3</w:t>
                              </w:r>
                            </w:p>
                          </w:txbxContent>
                        </wps:txbx>
                        <wps:bodyPr rot="0" spcFirstLastPara="0" vert="horz" wrap="square" lIns="91440" tIns="45720" rIns="91440" bIns="45720" numCol="1" spcCol="0" rtlCol="0" fromWordArt="0" anchor="ctr" anchorCtr="0" forceAA="0" compatLnSpc="1">
                          <a:noAutofit/>
                        </wps:bodyPr>
                      </wps:wsp>
                      <wps:wsp>
                        <wps:cNvPr id="609135019" name="矩形 609135019"/>
                        <wps:cNvSpPr/>
                        <wps:spPr>
                          <a:xfrm>
                            <a:off x="3285126" y="1820415"/>
                            <a:ext cx="903025" cy="514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F7F93B">
                              <w:pPr>
                                <w:spacing w:line="240" w:lineRule="exact"/>
                                <w:ind w:firstLine="0" w:firstLineChars="0"/>
                                <w:jc w:val="center"/>
                                <w:rPr>
                                  <w:sz w:val="22"/>
                                  <w:szCs w:val="22"/>
                                </w:rPr>
                              </w:pPr>
                              <w:r>
                                <w:rPr>
                                  <w:rFonts w:hint="eastAsia"/>
                                  <w:color w:val="000000"/>
                                  <w:sz w:val="20"/>
                                  <w:szCs w:val="20"/>
                                </w:rPr>
                                <w:t>74.84</w:t>
                              </w:r>
                              <w:r>
                                <w:rPr>
                                  <w:color w:val="000000"/>
                                  <w:sz w:val="20"/>
                                  <w:szCs w:val="20"/>
                                </w:rPr>
                                <w:t>万</w:t>
                              </w:r>
                              <w:r>
                                <w:rPr>
                                  <w:color w:val="000000"/>
                                  <w:sz w:val="21"/>
                                  <w:szCs w:val="21"/>
                                </w:rPr>
                                <w:t>m</w:t>
                              </w:r>
                              <w:r>
                                <w:rPr>
                                  <w:rFonts w:hint="eastAsia"/>
                                  <w:color w:val="000000"/>
                                  <w:sz w:val="21"/>
                                  <w:szCs w:val="21"/>
                                  <w:vertAlign w:val="superscript"/>
                                </w:rPr>
                                <w:t>3</w:t>
                              </w:r>
                            </w:p>
                          </w:txbxContent>
                        </wps:txbx>
                        <wps:bodyPr rot="0" spcFirstLastPara="0" vert="horz" wrap="square" lIns="91440" tIns="45720" rIns="91440" bIns="45720" numCol="1" spcCol="0" rtlCol="0" fromWordArt="0" anchor="ctr" anchorCtr="0" forceAA="0" compatLnSpc="1">
                          <a:noAutofit/>
                        </wps:bodyPr>
                      </wps:wsp>
                      <wps:wsp>
                        <wps:cNvPr id="1219974297" name="直接箭头连接符 1219974297"/>
                        <wps:cNvCnPr/>
                        <wps:spPr>
                          <a:xfrm>
                            <a:off x="3080741" y="392951"/>
                            <a:ext cx="1388625" cy="1050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75258041" name="矩形 1675258041"/>
                        <wps:cNvSpPr/>
                        <wps:spPr>
                          <a:xfrm>
                            <a:off x="4469366" y="59803"/>
                            <a:ext cx="730649" cy="619126"/>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CF3F3E">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陆域堆载</w:t>
                              </w:r>
                            </w:p>
                          </w:txbxContent>
                        </wps:txbx>
                        <wps:bodyPr rot="0" spcFirstLastPara="0" vert="horz" wrap="square" lIns="91440" tIns="45720" rIns="91440" bIns="45720" numCol="1" spcCol="0" rtlCol="0" fromWordArt="0" anchor="ctr" anchorCtr="0" forceAA="0" compatLnSpc="1">
                          <a:noAutofit/>
                        </wps:bodyPr>
                      </wps:wsp>
                      <wps:wsp>
                        <wps:cNvPr id="769801065" name="直接连接符 769801065"/>
                        <wps:cNvCnPr/>
                        <wps:spPr>
                          <a:xfrm>
                            <a:off x="3843094" y="403451"/>
                            <a:ext cx="2734" cy="96581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87783472" name="直接箭头连接符 1587783472"/>
                        <wps:cNvCnPr/>
                        <wps:spPr>
                          <a:xfrm>
                            <a:off x="3695357" y="2167290"/>
                            <a:ext cx="788807"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2879591" name="矩形 172879591"/>
                        <wps:cNvSpPr/>
                        <wps:spPr>
                          <a:xfrm>
                            <a:off x="4484164" y="1705515"/>
                            <a:ext cx="715851" cy="61912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AF7E4E">
                              <w:pPr>
                                <w:spacing w:line="240" w:lineRule="exact"/>
                                <w:ind w:firstLine="0" w:firstLineChars="0"/>
                                <w:jc w:val="center"/>
                              </w:pPr>
                              <w:r>
                                <w:rPr>
                                  <w:rFonts w:hint="eastAsia"/>
                                  <w:color w:val="000000"/>
                                  <w:sz w:val="21"/>
                                  <w:szCs w:val="21"/>
                                </w:rPr>
                                <w:t>临时性海洋倾倒B区</w:t>
                              </w:r>
                            </w:p>
                          </w:txbxContent>
                        </wps:txbx>
                        <wps:bodyPr rot="0" spcFirstLastPara="0" vert="horz" wrap="square" lIns="91440" tIns="45720" rIns="91440" bIns="45720" numCol="1" spcCol="0" rtlCol="0" fromWordArt="0" anchor="ctr" anchorCtr="0" forceAA="0" compatLnSpc="1">
                          <a:noAutofit/>
                        </wps:bodyPr>
                      </wps:wsp>
                      <wps:wsp>
                        <wps:cNvPr id="117579717" name="矩形 117579717"/>
                        <wps:cNvSpPr/>
                        <wps:spPr>
                          <a:xfrm>
                            <a:off x="2734949" y="54005"/>
                            <a:ext cx="1453202" cy="485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EE6ED2">
                              <w:pPr>
                                <w:spacing w:line="240" w:lineRule="exact"/>
                                <w:ind w:firstLine="0" w:firstLineChars="0"/>
                                <w:jc w:val="center"/>
                              </w:pPr>
                              <w:r>
                                <w:rPr>
                                  <w:rFonts w:hint="eastAsia"/>
                                  <w:color w:val="000000"/>
                                  <w:sz w:val="21"/>
                                  <w:szCs w:val="21"/>
                                </w:rPr>
                                <w:t>52.41</w:t>
                              </w:r>
                              <w:r>
                                <w:rPr>
                                  <w:color w:val="000000"/>
                                  <w:sz w:val="21"/>
                                  <w:szCs w:val="21"/>
                                </w:rPr>
                                <w:t>万m</w:t>
                              </w:r>
                              <w:r>
                                <w:rPr>
                                  <w:rFonts w:hint="eastAsia"/>
                                  <w:color w:val="000000"/>
                                  <w:sz w:val="21"/>
                                  <w:szCs w:val="21"/>
                                  <w:vertAlign w:val="superscript"/>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197.7pt;width:409.45pt;" coordsize="5200015,2510790" editas="canvas" o:gfxdata="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">
                <o:lock v:ext="edit" aspectratio="f"/>
                <v:shape id="_x0000_s1026" o:spid="_x0000_s1026" style="position:absolute;left:0;top:0;height:2510790;width:5200015;" filled="f" stroked="f" coordsize="21600,21600" o:gfxdata="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">
                  <v:fill on="f" focussize="0,0"/>
                  <v:stroke on="f"/>
                  <v:imagedata o:title=""/>
                  <o:lock v:ext="edit" aspectratio="t"/>
                </v:shape>
                <v:rect id="_x0000_s1026" o:spid="_x0000_s1026" o:spt="1" style="position:absolute;left:35999;top:922564;height:381000;width:742950;v-text-anchor:middle;" fillcolor="#FFFFFF [3212]" filled="t" stroked="t" coordsize="21600,21600" o:gfxdata="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MtPI9rVAAAABQEAAA8AAAAA&#10;AAAAAQAgAAAAIgAAAGRycy9kb3ducmV2LnhtbFBLAQIUABQAAAAIAIdO4kDbm3A6iQIAABcFAAAO&#10;AAAAAAAAAAEAIAAAACQBAABkcnMvZTJvRG9jLnhtbFBLBQYAAAAABgAGAFkBAAAfBgAAAAA=&#10;">
                  <v:fill on="t" focussize="0,0"/>
                  <v:stroke weight="1.5pt" color="#000000 [3213]" miterlimit="8" joinstyle="miter"/>
                  <v:imagedata o:title=""/>
                  <o:lock v:ext="edit" aspectratio="f"/>
                  <v:textbox>
                    <w:txbxContent>
                      <w:p w14:paraId="7FFC0417">
                        <w:pPr>
                          <w:snapToGri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水域疏浚</w:t>
                        </w:r>
                      </w:p>
                    </w:txbxContent>
                  </v:textbox>
                </v:rect>
                <v:rect id="_x0000_s1026" o:spid="_x0000_s1026" o:spt="1" style="position:absolute;left:630901;top:681770;height:585787;width:982361;v-text-anchor:middle;" filled="f" stroked="f" coordsize="21600,21600" o:gfxdata="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8/Kd+NQAAAAFAQAADwAAAAAAAAABACAAAAAiAAAAZHJzL2Rvd25yZXYu&#10;eG1sUEsBAhQAFAAAAAgAh07iQExephFxAgAAxAQAAA4AAAAAAAAAAQAgAAAAIwEAAGRycy9lMm9E&#10;b2MueG1sUEsFBgAAAAAGAAYAWQEAAAYGAAAAAA==&#10;">
                  <v:fill on="f" focussize="0,0"/>
                  <v:stroke on="f" weight="1pt" miterlimit="8" joinstyle="miter"/>
                  <v:imagedata o:title=""/>
                  <o:lock v:ext="edit" aspectratio="f"/>
                  <v:textbox>
                    <w:txbxContent>
                      <w:p w14:paraId="65DE3018">
                        <w:pPr>
                          <w:snapToGrid w:val="0"/>
                          <w:spacing w:line="240" w:lineRule="exact"/>
                          <w:ind w:firstLine="0" w:firstLineChars="0"/>
                          <w:jc w:val="center"/>
                          <w:rPr>
                            <w:color w:val="000000" w:themeColor="text1"/>
                            <w:sz w:val="20"/>
                            <w:szCs w:val="20"/>
                            <w14:textFill>
                              <w14:solidFill>
                                <w14:schemeClr w14:val="tx1"/>
                              </w14:solidFill>
                            </w14:textFill>
                          </w:rPr>
                        </w:pPr>
                        <w:r>
                          <w:rPr>
                            <w:rFonts w:hint="eastAsia"/>
                            <w:color w:val="000000" w:themeColor="text1"/>
                            <w:sz w:val="20"/>
                            <w:szCs w:val="20"/>
                            <w14:textFill>
                              <w14:solidFill>
                                <w14:schemeClr w14:val="tx1"/>
                              </w14:solidFill>
                            </w14:textFill>
                          </w:rPr>
                          <w:t>疏浚量</w:t>
                        </w:r>
                      </w:p>
                      <w:p w14:paraId="17E7FF1C">
                        <w:pPr>
                          <w:snapToGrid w:val="0"/>
                          <w:spacing w:line="240" w:lineRule="exact"/>
                          <w:ind w:firstLine="0" w:firstLineChars="0"/>
                          <w:jc w:val="center"/>
                          <w:rPr>
                            <w:color w:val="000000" w:themeColor="text1"/>
                            <w:sz w:val="20"/>
                            <w:szCs w:val="20"/>
                            <w14:textFill>
                              <w14:solidFill>
                                <w14:schemeClr w14:val="tx1"/>
                              </w14:solidFill>
                            </w14:textFill>
                          </w:rPr>
                        </w:pPr>
                        <w:r>
                          <w:rPr>
                            <w:rFonts w:hint="eastAsia"/>
                            <w:color w:val="000000" w:themeColor="text1"/>
                            <w:sz w:val="20"/>
                            <w:szCs w:val="20"/>
                            <w14:textFill>
                              <w14:solidFill>
                                <w14:schemeClr w14:val="tx1"/>
                              </w14:solidFill>
                            </w14:textFill>
                          </w:rPr>
                          <w:t>131.16万m</w:t>
                        </w:r>
                        <w:r>
                          <w:rPr>
                            <w:rFonts w:hint="eastAsia"/>
                            <w:color w:val="000000" w:themeColor="text1"/>
                            <w:sz w:val="20"/>
                            <w:szCs w:val="20"/>
                            <w:vertAlign w:val="superscript"/>
                            <w14:textFill>
                              <w14:solidFill>
                                <w14:schemeClr w14:val="tx1"/>
                              </w14:solidFill>
                            </w14:textFill>
                          </w:rPr>
                          <w:t>3</w:t>
                        </w:r>
                      </w:p>
                    </w:txbxContent>
                  </v:textbox>
                </v:rect>
                <v:line id="_x0000_s1026" o:spid="_x0000_s1026" o:spt="20" style="position:absolute;left:778949;top:1132114;height:0;width:714374;" filled="f" stroked="t" coordsize="21600,21600" o:gfxdata="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N+PZt1gAAAAUBAAAPAAAAAAAAAAEAIAAAACIAAABkcnMvZG93bnJldi54bWxQ&#10;SwECFAAUAAAACACHTuJA4+57dfkBAADMAwAADgAAAAAAAAABACAAAAAlAQAAZHJzL2Uyb0RvYy54&#10;bWxQSwUGAAAAAAYABgBZAQAAkAUAAAAA&#10;">
                  <v:fill on="f" focussize="0,0"/>
                  <v:stroke weight="1.5pt" color="#000000 [3213]" miterlimit="8" joinstyle="miter"/>
                  <v:imagedata o:title=""/>
                  <o:lock v:ext="edit" aspectratio="f"/>
                </v:line>
                <v:rect id="_x0000_s1026" o:spid="_x0000_s1026" o:spt="1" style="position:absolute;left:2245123;top:232001;height:333375;width:828674;v-text-anchor:middle;" filled="f" stroked="t" coordsize="21600,21600" o:gfxdata="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L+/EfHWAAAABQEAAA8AAAAAAAAAAQAgAAAA&#10;IgAAAGRycy9kb3ducmV2LnhtbFBLAQIUABQAAAAIAIdO4kC6w1w+fwIAAPIEAAAOAAAAAAAAAAEA&#10;IAAAACUBAABkcnMvZTJvRG9jLnhtbFBLBQYAAAAABgAGAFkBAAAWBgAAAAA=&#10;">
                  <v:fill on="f" focussize="0,0"/>
                  <v:stroke weight="1.5pt" color="#000000 [3213]" miterlimit="8" joinstyle="miter"/>
                  <v:imagedata o:title=""/>
                  <o:lock v:ext="edit" aspectratio="f"/>
                  <v:textbox>
                    <w:txbxContent>
                      <w:p w14:paraId="431812CA">
                        <w:pPr>
                          <w:pStyle w:val="166"/>
                          <w:snapToGrid w:val="0"/>
                          <w:spacing w:line="24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疏浚砂</w:t>
                        </w:r>
                      </w:p>
                    </w:txbxContent>
                  </v:textbox>
                </v:rect>
                <v:rect id="_x0000_s1026" o:spid="_x0000_s1026" o:spt="1" style="position:absolute;left:2255324;top:1997914;height:333375;width:828674;v-text-anchor:middle;" filled="f" stroked="t" coordsize="21600,21600" o:gfxdata="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EfHWAAAABQEAAA8AAAAAAAAAAQAgAAAAIgAAAGRycy9kb3ducmV2Lnht&#10;bFBLAQIUABQAAAAIAIdO4kC94/4VbQIAAMMEAAAOAAAAAAAAAAEAIAAAACUBAABkcnMvZTJvRG9j&#10;LnhtbFBLBQYAAAAABgAGAFkBAAAEBgAAAAA=&#10;">
                  <v:fill on="f" focussize="0,0"/>
                  <v:stroke weight="1.5pt" color="#000000 [3213]" miterlimit="8" joinstyle="miter"/>
                  <v:imagedata o:title=""/>
                  <o:lock v:ext="edit" aspectratio="f"/>
                  <v:textbox>
                    <w:txbxContent>
                      <w:p w14:paraId="44108448">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疏浚砂石</w:t>
                        </w:r>
                      </w:p>
                    </w:txbxContent>
                  </v:textbox>
                </v:rect>
                <v:rect id="_x0000_s1026" o:spid="_x0000_s1026" o:spt="1" style="position:absolute;left:2255324;top:1226389;height:333375;width:828040;v-text-anchor:middle;" filled="f" stroked="t" coordsize="21600,21600" o:gfxdata="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vxHx1gAAAAUBAAAPAAAAAAAAAAEAIAAAACIAAABkcnMvZG93bnJldi54&#10;bWxQSwECFAAUAAAACACHTuJAjLn4cm4CAADDBAAADgAAAAAAAAABACAAAAAlAQAAZHJzL2Uyb0Rv&#10;Yy54bWxQSwUGAAAAAAYABgBZAQAABQYAAAAA&#10;">
                  <v:fill on="f" focussize="0,0"/>
                  <v:stroke weight="1.5pt" color="#000000 [3213]" miterlimit="8" joinstyle="miter"/>
                  <v:imagedata o:title=""/>
                  <o:lock v:ext="edit" aspectratio="f"/>
                  <v:textbox>
                    <w:txbxContent>
                      <w:p w14:paraId="125B8F57">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炸礁碴石</w:t>
                        </w:r>
                      </w:p>
                    </w:txbxContent>
                  </v:textbox>
                </v:rect>
                <v:line id="_x0000_s1026" o:spid="_x0000_s1026" o:spt="20" style="position:absolute;left:1502172;top:427264;flip:x;height:1737338;width:676;" filled="f" stroked="t" coordsize="21600,21600" o:gfxdata="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E3yyQ7UAAAABQEAAA8AAAAAAAAAAQAgAAAAIgAAAGRycy9kb3du&#10;cmV2LnhtbFBLAQIUABQAAAAIAIdO4kBhjmjhAwIAANkDAAAOAAAAAAAAAAEAIAAAACMBAABkcnMv&#10;ZTJvRG9jLnhtbFBLBQYAAAAABgAGAFkBAACYBQAAAAA=&#10;">
                  <v:fill on="f" focussize="0,0"/>
                  <v:stroke weight="1.5pt" color="#000000 [3213]" miterlimit="8" joinstyle="miter"/>
                  <v:imagedata o:title=""/>
                  <o:lock v:ext="edit" aspectratio="f"/>
                </v:line>
                <v:shape id="_x0000_s1026" o:spid="_x0000_s1026" o:spt="32" type="#_x0000_t32" style="position:absolute;left:1491971;top:398689;flip:y;height:4762;width:753152;" filled="f" stroked="t" coordsize="21600,21600" o:gfxdata="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HiU&#10;EtcAAAAFAQAADwAAAAAAAAABACAAAAAiAAAAZHJzL2Rvd25yZXYueG1sUEsBAhQAFAAAAAgAh07i&#10;QH47wWojAgAACAQAAA4AAAAAAAAAAQAgAAAAJgEAAGRycy9lMm9Eb2MueG1sUEsFBgAAAAAGAAYA&#10;WQEAALsFAAAAAA==&#10;">
                  <v:fill on="f" focussize="0,0"/>
                  <v:stroke weight="1.5pt" color="#000000 [3213]" miterlimit="8" joinstyle="miter" endarrow="open"/>
                  <v:imagedata o:title=""/>
                  <o:lock v:ext="edit" aspectratio="f"/>
                </v:shape>
                <v:rect id="_x0000_s1026" o:spid="_x0000_s1026" o:spt="1" style="position:absolute;left:1445697;top:74796;height:514350;width:872960;v-text-anchor:middle;" filled="f" stroked="f" coordsize="21600,21600" o:gfxdata="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z&#10;8p341AAAAAUBAAAPAAAAAAAAAAEAIAAAACIAAABkcnMvZG93bnJldi54bWxQSwECFAAUAAAACACH&#10;TuJAN4N9hWECAACYBAAADgAAAAAAAAABACAAAAAjAQAAZHJzL2Uyb0RvYy54bWxQSwUGAAAAAAYA&#10;BgBZAQAA9gUAAAAA&#10;">
                  <v:fill on="f" focussize="0,0"/>
                  <v:stroke on="f" weight="1pt" miterlimit="8" joinstyle="miter"/>
                  <v:imagedata o:title=""/>
                  <o:lock v:ext="edit" aspectratio="f"/>
                  <v:textbox>
                    <w:txbxContent>
                      <w:p w14:paraId="78CE48B8">
                        <w:pPr>
                          <w:snapToGrid w:val="0"/>
                          <w:spacing w:line="240" w:lineRule="exact"/>
                          <w:ind w:firstLine="0" w:firstLineChars="0"/>
                          <w:jc w:val="center"/>
                        </w:pPr>
                        <w:r>
                          <w:rPr>
                            <w:rFonts w:hint="eastAsia"/>
                            <w:color w:val="000000"/>
                            <w:sz w:val="21"/>
                            <w:szCs w:val="21"/>
                          </w:rPr>
                          <w:t>52.41万</w:t>
                        </w:r>
                        <w:r>
                          <w:rPr>
                            <w:color w:val="000000"/>
                            <w:sz w:val="21"/>
                            <w:szCs w:val="21"/>
                          </w:rPr>
                          <w:t>m</w:t>
                        </w:r>
                        <w:r>
                          <w:rPr>
                            <w:rFonts w:hint="eastAsia"/>
                            <w:color w:val="000000"/>
                            <w:sz w:val="21"/>
                            <w:szCs w:val="21"/>
                            <w:vertAlign w:val="superscript"/>
                          </w:rPr>
                          <w:t>3</w:t>
                        </w:r>
                      </w:p>
                    </w:txbxContent>
                  </v:textbox>
                </v:rect>
                <v:shape id="_x0000_s1026" o:spid="_x0000_s1026" o:spt="32" type="#_x0000_t32" style="position:absolute;left:1502172;top:1393077;height:0;width:753151;" filled="f" stroked="t" coordsize="21600,21600" o:gfxdata="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J4eZjLUAAAABQEAAA8A&#10;AAAAAAAAAQAgAAAAIgAAAGRycy9kb3ducmV2LnhtbFBLAQIUABQAAAAIAIdO4kBfB07bGwIAAPwD&#10;AAAOAAAAAAAAAAEAIAAAACMBAABkcnMvZTJvRG9jLnhtbFBLBQYAAAAABgAGAFkBAACwBQAAAAA=&#10;">
                  <v:fill on="f" focussize="0,0"/>
                  <v:stroke weight="1.5pt" color="#000000 [3213]" miterlimit="8" joinstyle="miter" endarrow="open"/>
                  <v:imagedata o:title=""/>
                  <o:lock v:ext="edit" aspectratio="f"/>
                </v:shape>
                <v:rect id="_x0000_s1026" o:spid="_x0000_s1026" o:spt="1" style="position:absolute;left:1426648;top:940639;height:514350;width:809625;v-text-anchor:middle;" filled="f" stroked="f" coordsize="21600,21600" o:gfxdata="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8/Kd&#10;+NQAAAAFAQAADwAAAAAAAAABACAAAAAiAAAAZHJzL2Rvd25yZXYueG1sUEsBAhQAFAAAAAgAh07i&#10;QOxNuldfAgAAlwQAAA4AAAAAAAAAAQAgAAAAIwEAAGRycy9lMm9Eb2MueG1sUEsFBgAAAAAGAAYA&#10;WQEAAPQFAAAAAA==&#10;">
                  <v:fill on="f" focussize="0,0"/>
                  <v:stroke on="f" weight="1pt" miterlimit="8" joinstyle="miter"/>
                  <v:imagedata o:title=""/>
                  <o:lock v:ext="edit" aspectratio="f"/>
                  <v:textbox>
                    <w:txbxContent>
                      <w:p w14:paraId="5CB6A1EE">
                        <w:pPr>
                          <w:spacing w:line="240" w:lineRule="exact"/>
                          <w:ind w:firstLine="0" w:firstLineChars="0"/>
                          <w:jc w:val="center"/>
                          <w:rPr>
                            <w:color w:val="000000"/>
                            <w:sz w:val="21"/>
                            <w:szCs w:val="21"/>
                          </w:rPr>
                        </w:pPr>
                        <w:r>
                          <w:rPr>
                            <w:rFonts w:hint="eastAsia"/>
                            <w:color w:val="000000"/>
                            <w:sz w:val="21"/>
                            <w:szCs w:val="21"/>
                          </w:rPr>
                          <w:t>炸礁</w:t>
                        </w:r>
                      </w:p>
                      <w:p w14:paraId="656F0186">
                        <w:pPr>
                          <w:spacing w:line="240" w:lineRule="exact"/>
                          <w:ind w:firstLine="0" w:firstLineChars="0"/>
                          <w:jc w:val="center"/>
                        </w:pPr>
                        <w:r>
                          <w:rPr>
                            <w:rFonts w:hint="eastAsia"/>
                            <w:color w:val="000000"/>
                            <w:sz w:val="21"/>
                            <w:szCs w:val="21"/>
                          </w:rPr>
                          <w:t>3.91</w:t>
                        </w:r>
                        <w:r>
                          <w:rPr>
                            <w:color w:val="000000"/>
                            <w:sz w:val="21"/>
                            <w:szCs w:val="21"/>
                          </w:rPr>
                          <w:t>m</w:t>
                        </w:r>
                        <w:r>
                          <w:rPr>
                            <w:rFonts w:hint="eastAsia"/>
                            <w:color w:val="000000"/>
                            <w:sz w:val="21"/>
                            <w:szCs w:val="21"/>
                            <w:vertAlign w:val="superscript"/>
                          </w:rPr>
                          <w:t>3</w:t>
                        </w:r>
                      </w:p>
                    </w:txbxContent>
                  </v:textbox>
                </v:rect>
                <v:shape id="_x0000_s1026" o:spid="_x0000_s1026" o:spt="32" type="#_x0000_t32" style="position:absolute;left:1502848;top:2164602;height:0;width:752475;" filled="f" stroked="t" coordsize="21600,21600" o:gfxdata="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J4eZjLUAAAABQEAAA8A&#10;AAAAAAAAAQAgAAAAIgAAAGRycy9kb3ducmV2LnhtbFBLAQIUABQAAAAIAIdO4kCilvQrGwIAAPwD&#10;AAAOAAAAAAAAAAEAIAAAACMBAABkcnMvZTJvRG9jLnhtbFBLBQYAAAAABgAGAFkBAACwBQAAAAA=&#10;">
                  <v:fill on="f" focussize="0,0"/>
                  <v:stroke weight="1.5pt" color="#000000 [3213]" miterlimit="8" joinstyle="miter" endarrow="open"/>
                  <v:imagedata o:title=""/>
                  <o:lock v:ext="edit" aspectratio="f"/>
                </v:shape>
                <v:rect id="_x0000_s1026" o:spid="_x0000_s1026" o:spt="1" style="position:absolute;left:1426646;top:1768965;height:514350;width:892008;v-text-anchor:middle;" filled="f" stroked="f" coordsize="21600,21600" o:gfxdata="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8/Kd+NQAAAAFAQAADwAAAAAAAAABACAAAAAiAAAAZHJzL2Rvd25yZXYueG1sUEsBAhQAFAAAAAgA&#10;h07iQLjEJv5iAgAAmgQAAA4AAAAAAAAAAQAgAAAAIwEAAGRycy9lMm9Eb2MueG1sUEsFBgAAAAAG&#10;AAYAWQEAAPcFAAAAAA==&#10;">
                  <v:fill on="f" focussize="0,0"/>
                  <v:stroke on="f" weight="1pt" miterlimit="8" joinstyle="miter"/>
                  <v:imagedata o:title=""/>
                  <o:lock v:ext="edit" aspectratio="f"/>
                  <v:textbox>
                    <w:txbxContent>
                      <w:p w14:paraId="3238A901">
                        <w:pPr>
                          <w:spacing w:line="240" w:lineRule="exact"/>
                          <w:ind w:firstLine="0" w:firstLineChars="0"/>
                          <w:jc w:val="center"/>
                          <w:rPr>
                            <w:sz w:val="22"/>
                            <w:szCs w:val="22"/>
                          </w:rPr>
                        </w:pPr>
                        <w:r>
                          <w:rPr>
                            <w:rFonts w:hint="eastAsia"/>
                            <w:color w:val="000000"/>
                            <w:sz w:val="20"/>
                            <w:szCs w:val="20"/>
                          </w:rPr>
                          <w:t>74.84</w:t>
                        </w:r>
                        <w:r>
                          <w:rPr>
                            <w:color w:val="000000"/>
                            <w:sz w:val="20"/>
                            <w:szCs w:val="20"/>
                          </w:rPr>
                          <w:t>万</w:t>
                        </w:r>
                        <w:r>
                          <w:rPr>
                            <w:color w:val="000000"/>
                            <w:sz w:val="21"/>
                            <w:szCs w:val="21"/>
                          </w:rPr>
                          <w:t>m</w:t>
                        </w:r>
                        <w:r>
                          <w:rPr>
                            <w:rFonts w:hint="eastAsia"/>
                            <w:color w:val="000000"/>
                            <w:sz w:val="21"/>
                            <w:szCs w:val="21"/>
                            <w:vertAlign w:val="superscript"/>
                          </w:rPr>
                          <w:t>3</w:t>
                        </w:r>
                      </w:p>
                    </w:txbxContent>
                  </v:textbox>
                </v:rect>
                <v:line id="_x0000_s1026" o:spid="_x0000_s1026" o:spt="20" style="position:absolute;left:3083364;top:1393077;height:0;width:762464;" filled="f" stroked="t" coordsize="21600,21600" o:gfxdata="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N+PZt1gAAAAUBAAAPAAAAAAAAAAEAIAAAACIAAABkcnMvZG93bnJldi54bWxQ&#10;SwECFAAUAAAACACHTuJAdPUBdfkBAADPAwAADgAAAAAAAAABACAAAAAlAQAAZHJzL2Uyb0RvYy54&#10;bWxQSwUGAAAAAAYABgBZAQAAkAUAAAAA&#10;">
                  <v:fill on="f" focussize="0,0"/>
                  <v:stroke weight="1.5pt" color="#000000 [3213]" miterlimit="8" joinstyle="miter"/>
                  <v:imagedata o:title=""/>
                  <o:lock v:ext="edit" aspectratio="f"/>
                </v:line>
                <v:line id="_x0000_s1026" o:spid="_x0000_s1026" o:spt="20" style="position:absolute;left:3083998;top:2164602;height:0;width:612000;" filled="f" stroked="t" coordsize="21600,21600" o:gfxdata="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Dfj2bdYAAAAFAQAADwAAAAAAAAABACAAAAAiAAAAZHJzL2Rvd25yZXYueG1s&#10;UEsBAhQAFAAAAAgAh07iQKFjWxf6AQAAzwMAAA4AAAAAAAAAAQAgAAAAJQEAAGRycy9lMm9Eb2Mu&#10;eG1sUEsFBgAAAAAGAAYAWQEAAJEFAAAAAA==&#10;">
                  <v:fill on="f" focussize="0,0"/>
                  <v:stroke weight="1.5pt" color="#000000 [3213]" miterlimit="8" joinstyle="miter"/>
                  <v:imagedata o:title=""/>
                  <o:lock v:ext="edit" aspectratio="f"/>
                </v:line>
                <v:rect id="_x0000_s1026" o:spid="_x0000_s1026" o:spt="1" style="position:absolute;left:3036203;top:1056750;height:514350;width:809625;v-text-anchor:middle;" filled="f" stroked="f" coordsize="21600,21600" o:gfxdata="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z&#10;8p341AAAAAUBAAAPAAAAAAAAAAEAIAAAACIAAABkcnMvZG93bnJldi54bWxQSwECFAAUAAAACACH&#10;TuJADo9TAGECAACaBAAADgAAAAAAAAABACAAAAAjAQAAZHJzL2Uyb0RvYy54bWxQSwUGAAAAAAYA&#10;BgBZAQAA9gUAAAAA&#10;">
                  <v:fill on="f" focussize="0,0"/>
                  <v:stroke on="f" weight="1pt" miterlimit="8" joinstyle="miter"/>
                  <v:imagedata o:title=""/>
                  <o:lock v:ext="edit" aspectratio="f"/>
                  <v:textbox>
                    <w:txbxContent>
                      <w:p w14:paraId="357CDFAB">
                        <w:pPr>
                          <w:spacing w:line="240" w:lineRule="exact"/>
                          <w:ind w:firstLine="0" w:firstLineChars="0"/>
                          <w:jc w:val="center"/>
                          <w:rPr>
                            <w:sz w:val="22"/>
                            <w:szCs w:val="22"/>
                          </w:rPr>
                        </w:pPr>
                        <w:r>
                          <w:rPr>
                            <w:rFonts w:hint="eastAsia"/>
                            <w:color w:val="000000"/>
                            <w:sz w:val="20"/>
                            <w:szCs w:val="20"/>
                          </w:rPr>
                          <w:t>3.91</w:t>
                        </w:r>
                        <w:r>
                          <w:rPr>
                            <w:color w:val="000000"/>
                            <w:sz w:val="20"/>
                            <w:szCs w:val="20"/>
                          </w:rPr>
                          <w:t>万</w:t>
                        </w:r>
                        <w:r>
                          <w:rPr>
                            <w:color w:val="000000"/>
                            <w:sz w:val="21"/>
                            <w:szCs w:val="21"/>
                          </w:rPr>
                          <w:t>m</w:t>
                        </w:r>
                        <w:r>
                          <w:rPr>
                            <w:rFonts w:hint="eastAsia"/>
                            <w:color w:val="000000"/>
                            <w:sz w:val="21"/>
                            <w:szCs w:val="21"/>
                            <w:vertAlign w:val="superscript"/>
                          </w:rPr>
                          <w:t>3</w:t>
                        </w:r>
                      </w:p>
                    </w:txbxContent>
                  </v:textbox>
                </v:rect>
                <v:rect id="_x0000_s1026" o:spid="_x0000_s1026" o:spt="1" style="position:absolute;left:3285126;top:1820415;height:514350;width:903025;v-text-anchor:middle;" filled="f" stroked="f" coordsize="21600,21600" o:gfxdata="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PynfjUAAAABQEAAA8AAAAAAAAAAQAgAAAAIgAAAGRycy9kb3ducmV2LnhtbFBLAQIUABQAAAAI&#10;AIdO4kCB62jZYwIAAJgEAAAOAAAAAAAAAAEAIAAAACMBAABkcnMvZTJvRG9jLnhtbFBLBQYAAAAA&#10;BgAGAFkBAAD4BQAAAAA=&#10;">
                  <v:fill on="f" focussize="0,0"/>
                  <v:stroke on="f" weight="1pt" miterlimit="8" joinstyle="miter"/>
                  <v:imagedata o:title=""/>
                  <o:lock v:ext="edit" aspectratio="f"/>
                  <v:textbox>
                    <w:txbxContent>
                      <w:p w14:paraId="3EF7F93B">
                        <w:pPr>
                          <w:spacing w:line="240" w:lineRule="exact"/>
                          <w:ind w:firstLine="0" w:firstLineChars="0"/>
                          <w:jc w:val="center"/>
                          <w:rPr>
                            <w:sz w:val="22"/>
                            <w:szCs w:val="22"/>
                          </w:rPr>
                        </w:pPr>
                        <w:r>
                          <w:rPr>
                            <w:rFonts w:hint="eastAsia"/>
                            <w:color w:val="000000"/>
                            <w:sz w:val="20"/>
                            <w:szCs w:val="20"/>
                          </w:rPr>
                          <w:t>74.84</w:t>
                        </w:r>
                        <w:r>
                          <w:rPr>
                            <w:color w:val="000000"/>
                            <w:sz w:val="20"/>
                            <w:szCs w:val="20"/>
                          </w:rPr>
                          <w:t>万</w:t>
                        </w:r>
                        <w:r>
                          <w:rPr>
                            <w:color w:val="000000"/>
                            <w:sz w:val="21"/>
                            <w:szCs w:val="21"/>
                          </w:rPr>
                          <w:t>m</w:t>
                        </w:r>
                        <w:r>
                          <w:rPr>
                            <w:rFonts w:hint="eastAsia"/>
                            <w:color w:val="000000"/>
                            <w:sz w:val="21"/>
                            <w:szCs w:val="21"/>
                            <w:vertAlign w:val="superscript"/>
                          </w:rPr>
                          <w:t>3</w:t>
                        </w:r>
                      </w:p>
                    </w:txbxContent>
                  </v:textbox>
                </v:rect>
                <v:shape id="_x0000_s1026" o:spid="_x0000_s1026" o:spt="32" type="#_x0000_t32" style="position:absolute;left:3080741;top:392951;height:10500;width:1388625;" filled="f" stroked="t" coordsize="21600,21600" o:gfxdata="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J4eZjLUAAAABQEA&#10;AA8AAAAAAAAAAQAgAAAAIgAAAGRycy9kb3ducmV2LnhtbFBLAQIUABQAAAAIAIdO4kBSeghNHgIA&#10;AAAEAAAOAAAAAAAAAAEAIAAAACMBAABkcnMvZTJvRG9jLnhtbFBLBQYAAAAABgAGAFkBAACzBQAA&#10;AAA=&#10;">
                  <v:fill on="f" focussize="0,0"/>
                  <v:stroke weight="1.5pt" color="#000000 [3213]" miterlimit="8" joinstyle="miter" endarrow="open"/>
                  <v:imagedata o:title=""/>
                  <o:lock v:ext="edit" aspectratio="f"/>
                </v:shape>
                <v:rect id="_x0000_s1026" o:spid="_x0000_s1026" o:spt="1" style="position:absolute;left:4469366;top:59803;height:619126;width:730649;v-text-anchor:middle;" fillcolor="#FFFFFF [3212]" filled="t" stroked="t" coordsize="21600,21600" o:gfxdata="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MtPI9rVAAAABQEAAA8AAAAAAAAAAQAgAAAAIgAAAGRycy9k&#10;b3ducmV2LnhtbFBLAQIUABQAAAAIAIdO4kC6EPgzdwIAAOoEAAAOAAAAAAAAAAEAIAAAACQBAABk&#10;cnMvZTJvRG9jLnhtbFBLBQYAAAAABgAGAFkBAAANBgAAAAA=&#10;">
                  <v:fill on="t" focussize="0,0"/>
                  <v:stroke weight="1.5pt" color="#000000 [3213]" miterlimit="8" joinstyle="miter"/>
                  <v:imagedata o:title=""/>
                  <o:lock v:ext="edit" aspectratio="f"/>
                  <v:textbox>
                    <w:txbxContent>
                      <w:p w14:paraId="71CF3F3E">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陆域堆载</w:t>
                        </w:r>
                      </w:p>
                    </w:txbxContent>
                  </v:textbox>
                </v:rect>
                <v:line id="_x0000_s1026" o:spid="_x0000_s1026" o:spt="20" style="position:absolute;left:3843094;top:403451;height:965813;width:2734;" filled="f" stroked="t" coordsize="21600,21600" o:gfxdata="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Dfj2bdYAAAAFAQAADwAAAAAAAAABACAAAAAiAAAAZHJzL2Rvd25yZXYueG1s&#10;UEsBAhQAFAAAAAgAh07iQH7uG9H6AQAAzwMAAA4AAAAAAAAAAQAgAAAAJQEAAGRycy9lMm9Eb2Mu&#10;eG1sUEsFBgAAAAAGAAYAWQEAAJEFAAAAAA==&#10;">
                  <v:fill on="f" focussize="0,0"/>
                  <v:stroke weight="1.5pt" color="#000000 [3213]" miterlimit="8" joinstyle="miter"/>
                  <v:imagedata o:title=""/>
                  <o:lock v:ext="edit" aspectratio="f"/>
                </v:line>
                <v:shape id="_x0000_s1026" o:spid="_x0000_s1026" o:spt="32" type="#_x0000_t32" style="position:absolute;left:3695357;top:2167290;height:0;width:788807;" filled="f" stroked="t" coordsize="21600,21600" o:gfxdata="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J4eZjLUAAAABQEAAA8A&#10;AAAAAAAAAQAgAAAAIgAAAGRycy9kb3ducmV2LnhtbFBLAQIUABQAAAAIAIdO4kAP2Z4CGwIAAPwD&#10;AAAOAAAAAAAAAAEAIAAAACMBAABkcnMvZTJvRG9jLnhtbFBLBQYAAAAABgAGAFkBAACwBQAAAAA=&#10;">
                  <v:fill on="f" focussize="0,0"/>
                  <v:stroke weight="1.5pt" color="#000000 [3213]" miterlimit="8" joinstyle="miter" endarrow="open"/>
                  <v:imagedata o:title=""/>
                  <o:lock v:ext="edit" aspectratio="f"/>
                </v:shape>
                <v:rect id="_x0000_s1026" o:spid="_x0000_s1026" o:spt="1" style="position:absolute;left:4484164;top:1705515;height:619125;width:715851;v-text-anchor:middle;" fillcolor="#FFFFFF [3212]" filled="t" stroked="t" coordsize="21600,21600" o:gfxdata="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MtPI9rVAAAABQEAAA8AAAAAAAAAAQAgAAAAIgAAAGRycy9k&#10;b3ducmV2LnhtbFBLAQIUABQAAAAIAIdO4kB5LZZpdwIAAOoEAAAOAAAAAAAAAAEAIAAAACQBAABk&#10;cnMvZTJvRG9jLnhtbFBLBQYAAAAABgAGAFkBAAANBgAAAAA=&#10;">
                  <v:fill on="t" focussize="0,0"/>
                  <v:stroke weight="1.5pt" color="#000000 [3213]" miterlimit="8" joinstyle="miter"/>
                  <v:imagedata o:title=""/>
                  <o:lock v:ext="edit" aspectratio="f"/>
                  <v:textbox>
                    <w:txbxContent>
                      <w:p w14:paraId="21AF7E4E">
                        <w:pPr>
                          <w:spacing w:line="240" w:lineRule="exact"/>
                          <w:ind w:firstLine="0" w:firstLineChars="0"/>
                          <w:jc w:val="center"/>
                        </w:pPr>
                        <w:r>
                          <w:rPr>
                            <w:rFonts w:hint="eastAsia"/>
                            <w:color w:val="000000"/>
                            <w:sz w:val="21"/>
                            <w:szCs w:val="21"/>
                          </w:rPr>
                          <w:t>临时性海洋倾倒B区</w:t>
                        </w:r>
                      </w:p>
                    </w:txbxContent>
                  </v:textbox>
                </v:rect>
                <v:rect id="_x0000_s1026" o:spid="_x0000_s1026" o:spt="1" style="position:absolute;left:2734949;top:54005;height:485775;width:1453202;v-text-anchor:middle;" filled="f" stroked="f" coordsize="21600,21600" o:gfxdata="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8/Kd+NQAAAAFAQAADwAAAAAAAAABACAAAAAiAAAAZHJzL2Rvd25y&#10;ZXYueG1sUEsBAhQAFAAAAAgAh07iQPPvf/J0AgAAxwQAAA4AAAAAAAAAAQAgAAAAIwEAAGRycy9l&#10;Mm9Eb2MueG1sUEsFBgAAAAAGAAYAWQEAAAkGAAAAAA==&#10;">
                  <v:fill on="f" focussize="0,0"/>
                  <v:stroke on="f" weight="1pt" miterlimit="8" joinstyle="miter"/>
                  <v:imagedata o:title=""/>
                  <o:lock v:ext="edit" aspectratio="f"/>
                  <v:textbox>
                    <w:txbxContent>
                      <w:p w14:paraId="20EE6ED2">
                        <w:pPr>
                          <w:spacing w:line="240" w:lineRule="exact"/>
                          <w:ind w:firstLine="0" w:firstLineChars="0"/>
                          <w:jc w:val="center"/>
                        </w:pPr>
                        <w:r>
                          <w:rPr>
                            <w:rFonts w:hint="eastAsia"/>
                            <w:color w:val="000000"/>
                            <w:sz w:val="21"/>
                            <w:szCs w:val="21"/>
                          </w:rPr>
                          <w:t>52.41</w:t>
                        </w:r>
                        <w:r>
                          <w:rPr>
                            <w:color w:val="000000"/>
                            <w:sz w:val="21"/>
                            <w:szCs w:val="21"/>
                          </w:rPr>
                          <w:t>万m</w:t>
                        </w:r>
                        <w:r>
                          <w:rPr>
                            <w:rFonts w:hint="eastAsia"/>
                            <w:color w:val="000000"/>
                            <w:sz w:val="21"/>
                            <w:szCs w:val="21"/>
                            <w:vertAlign w:val="superscript"/>
                          </w:rPr>
                          <w:t>3</w:t>
                        </w:r>
                      </w:p>
                    </w:txbxContent>
                  </v:textbox>
                </v:rect>
                <w10:wrap type="none"/>
                <w10:anchorlock/>
              </v:group>
            </w:pict>
          </mc:Fallback>
        </mc:AlternateContent>
      </w:r>
    </w:p>
    <w:p w14:paraId="256CA6BD">
      <w:pPr>
        <w:pStyle w:val="8"/>
        <w:rPr>
          <w:u w:val="single"/>
        </w:rPr>
      </w:pPr>
      <w:r>
        <w:rPr>
          <w:u w:val="single"/>
        </w:rPr>
        <w:t>项目施工期疏浚工程土石方平衡流向图</w:t>
      </w:r>
    </w:p>
    <w:p w14:paraId="54455FD3">
      <w:pPr>
        <w:ind w:firstLine="462"/>
      </w:pPr>
      <w:r>
        <w:rPr>
          <w:rFonts w:hint="eastAsia"/>
        </w:rPr>
        <w:t>3、</w:t>
      </w:r>
      <w:r>
        <w:t>陆域</w:t>
      </w:r>
      <w:r>
        <w:rPr>
          <w:rFonts w:hint="eastAsia"/>
        </w:rPr>
        <w:t>施工生产</w:t>
      </w:r>
      <w:r>
        <w:t>生活垃圾</w:t>
      </w:r>
    </w:p>
    <w:p w14:paraId="5766FA4C">
      <w:pPr>
        <w:ind w:firstLine="462"/>
        <w:rPr>
          <w:lang w:val="zh-CN"/>
        </w:rPr>
      </w:pPr>
      <w:r>
        <w:t>工程除水上施工外，还包括</w:t>
      </w:r>
      <w:r>
        <w:rPr>
          <w:rFonts w:hint="eastAsia"/>
        </w:rPr>
        <w:t>陆域堆场、道路、</w:t>
      </w:r>
      <w:r>
        <w:t>辅助</w:t>
      </w:r>
      <w:r>
        <w:rPr>
          <w:rFonts w:hint="eastAsia"/>
        </w:rPr>
        <w:t>工程</w:t>
      </w:r>
      <w:r>
        <w:t>施工等，建筑材料均可得到有效利用，因此仅有少量的建筑垃圾产生。港区施工人员按100人计，施工人员生活垃圾发生系数按照1.0kg/天</w:t>
      </w:r>
      <w:r>
        <w:rPr>
          <w:rFonts w:eastAsia="微软雅黑"/>
        </w:rPr>
        <w:t>∙</w:t>
      </w:r>
      <w:r>
        <w:t>人估算，则港区生活垃圾产生量为0.1t/d。</w:t>
      </w:r>
      <w:r>
        <w:rPr>
          <w:rFonts w:hint="eastAsia"/>
        </w:rPr>
        <w:t>项目施工期18个月</w:t>
      </w:r>
      <w:r>
        <w:t>，则整个施工期港区生活垃圾产生量约</w:t>
      </w:r>
      <w:r>
        <w:rPr>
          <w:rFonts w:hint="eastAsia"/>
        </w:rPr>
        <w:t>54</w:t>
      </w:r>
      <w:r>
        <w:t>t。生产生活垃圾</w:t>
      </w:r>
      <w:r>
        <w:rPr>
          <w:rFonts w:hint="eastAsia"/>
        </w:rPr>
        <w:t>依托现有码头</w:t>
      </w:r>
      <w:r>
        <w:t>定点收集后送城市垃圾处理场统一处理。</w:t>
      </w:r>
    </w:p>
    <w:p w14:paraId="249D17EB">
      <w:pPr>
        <w:pStyle w:val="6"/>
      </w:pPr>
      <w:r>
        <w:t>生态环境</w:t>
      </w:r>
    </w:p>
    <w:p w14:paraId="0984DC74">
      <w:pPr>
        <w:ind w:firstLine="462"/>
      </w:pPr>
      <w:r>
        <w:rPr>
          <w:rFonts w:hint="eastAsia"/>
        </w:rPr>
        <w:t>项目疏浚炸礁工程紧邻码头陆域，且周边现有泊位已进行船舶靠泊及货物装卸作业，所在区域生态结构简单，项目施工产生的生态环境影响主要为停泊水域及回旋水域疏浚挖泥造成底栖生物的死亡，施工期悬浮物扩散也将导致周边海域水生生态生境恶化，其次炸礁冲击波对底栖生物、游泳生物、鱼类等生物的影响。</w:t>
      </w:r>
    </w:p>
    <w:p w14:paraId="39AB51D6">
      <w:pPr>
        <w:ind w:firstLine="462"/>
      </w:pPr>
      <w:r>
        <w:rPr>
          <w:rFonts w:hint="eastAsia"/>
        </w:rPr>
        <w:t>项目后方陆域依托回填，不会对陆域生态造成不利影响。</w:t>
      </w:r>
    </w:p>
    <w:p w14:paraId="7C6F52CF">
      <w:pPr>
        <w:pStyle w:val="5"/>
      </w:pPr>
      <w:r>
        <w:t>运营期</w:t>
      </w:r>
    </w:p>
    <w:p w14:paraId="55C8C7C2">
      <w:pPr>
        <w:ind w:firstLine="462"/>
      </w:pPr>
      <w:r>
        <w:rPr>
          <w:rFonts w:hint="eastAsia"/>
        </w:rPr>
        <w:t>项目运营期劳动定员98人；年吞吐量60万TEU，配置5台双小车岸桥，配置双20’箱吊具，3条集装箱堆场，配备6台自动化集装箱轨道龙门吊，水平运输设置30台IGV小车。项目运营期主要产排污情况如下：</w:t>
      </w:r>
    </w:p>
    <w:p w14:paraId="12A4415C">
      <w:pPr>
        <w:pStyle w:val="6"/>
      </w:pPr>
      <w:r>
        <w:t>水环境污染源</w:t>
      </w:r>
    </w:p>
    <w:p w14:paraId="70612A41">
      <w:pPr>
        <w:ind w:firstLine="462"/>
        <w:rPr>
          <w:snapToGrid w:val="0"/>
        </w:rPr>
      </w:pPr>
      <w:r>
        <w:rPr>
          <w:rFonts w:hint="eastAsia"/>
          <w:snapToGrid w:val="0"/>
        </w:rPr>
        <w:t>项目</w:t>
      </w:r>
      <w:r>
        <w:rPr>
          <w:snapToGrid w:val="0"/>
        </w:rPr>
        <w:t>运营时仅提供集装箱的存放和转运业务</w:t>
      </w:r>
      <w:r>
        <w:rPr>
          <w:rFonts w:hint="eastAsia"/>
          <w:snapToGrid w:val="0"/>
        </w:rPr>
        <w:t>，</w:t>
      </w:r>
      <w:r>
        <w:rPr>
          <w:snapToGrid w:val="0"/>
        </w:rPr>
        <w:t>无开箱业务</w:t>
      </w:r>
      <w:r>
        <w:rPr>
          <w:rFonts w:hint="eastAsia"/>
          <w:snapToGrid w:val="0"/>
        </w:rPr>
        <w:t>，</w:t>
      </w:r>
      <w:r>
        <w:rPr>
          <w:snapToGrid w:val="0"/>
        </w:rPr>
        <w:t>无洗箱作业工艺</w:t>
      </w:r>
      <w:r>
        <w:rPr>
          <w:rFonts w:hint="eastAsia"/>
          <w:snapToGrid w:val="0"/>
        </w:rPr>
        <w:t>，</w:t>
      </w:r>
      <w:r>
        <w:rPr>
          <w:snapToGrid w:val="0"/>
        </w:rPr>
        <w:t>无洗箱废水产生</w:t>
      </w:r>
      <w:r>
        <w:rPr>
          <w:rFonts w:hint="eastAsia"/>
          <w:snapToGrid w:val="0"/>
        </w:rPr>
        <w:t>。水环境污染源主要为到港船舶污水、陆域生活污水等。</w:t>
      </w:r>
      <w:r>
        <w:t>运营期</w:t>
      </w:r>
      <w:r>
        <w:rPr>
          <w:rFonts w:hint="eastAsia"/>
        </w:rPr>
        <w:t>泊位总</w:t>
      </w:r>
      <w:r>
        <w:t>吞吐量</w:t>
      </w:r>
      <w:r>
        <w:rPr>
          <w:rFonts w:hint="eastAsia"/>
        </w:rPr>
        <w:t>60</w:t>
      </w:r>
      <w:r>
        <w:t>万</w:t>
      </w:r>
      <w:r>
        <w:rPr>
          <w:rFonts w:hint="eastAsia"/>
        </w:rPr>
        <w:t>TEU</w:t>
      </w:r>
      <w:r>
        <w:t>，泊位年作业天数按</w:t>
      </w:r>
      <w:r>
        <w:rPr>
          <w:rFonts w:hint="eastAsia"/>
        </w:rPr>
        <w:t>360天</w:t>
      </w:r>
      <w:r>
        <w:t>，评价按泊位最大吨级设计船型（</w:t>
      </w:r>
      <w:r>
        <w:rPr>
          <w:rFonts w:hint="eastAsia"/>
        </w:rPr>
        <w:t>5千吨级集装箱船</w:t>
      </w:r>
      <w:r>
        <w:t>），工程全年到港船舶数量约</w:t>
      </w:r>
      <w:r>
        <w:rPr>
          <w:rFonts w:hint="eastAsia"/>
        </w:rPr>
        <w:t>2400</w:t>
      </w:r>
      <w:r>
        <w:t>艘次</w:t>
      </w:r>
      <w:r>
        <w:rPr>
          <w:rFonts w:hint="eastAsia"/>
        </w:rPr>
        <w:t>。</w:t>
      </w:r>
    </w:p>
    <w:p w14:paraId="48E535D2">
      <w:pPr>
        <w:ind w:firstLine="462"/>
      </w:pPr>
      <w:r>
        <w:rPr>
          <w:rFonts w:hint="eastAsia"/>
        </w:rPr>
        <w:t>1、</w:t>
      </w:r>
      <w:r>
        <w:t>到港船舶污水</w:t>
      </w:r>
    </w:p>
    <w:p w14:paraId="4EA6428D">
      <w:pPr>
        <w:ind w:firstLine="462"/>
      </w:pPr>
      <w:r>
        <w:fldChar w:fldCharType="begin"/>
      </w:r>
      <w:r>
        <w:instrText xml:space="preserve"> = 1 \* GB3 </w:instrText>
      </w:r>
      <w:r>
        <w:fldChar w:fldCharType="separate"/>
      </w:r>
      <w:r>
        <w:rPr>
          <w:rFonts w:hint="eastAsia" w:ascii="宋体" w:hAnsi="宋体" w:cs="宋体"/>
        </w:rPr>
        <w:t>①</w:t>
      </w:r>
      <w:r>
        <w:fldChar w:fldCharType="end"/>
      </w:r>
      <w:r>
        <w:t>船舶生活污水</w:t>
      </w:r>
    </w:p>
    <w:p w14:paraId="2C452D1D">
      <w:pPr>
        <w:ind w:firstLine="462"/>
      </w:pPr>
      <w:r>
        <w:t>根据</w:t>
      </w:r>
      <w:r>
        <w:rPr>
          <w:rFonts w:hint="eastAsia"/>
        </w:rPr>
        <w:t>项目码头吞吐量和设计船型，工程全年到港船舶约2400艘。根据《</w:t>
      </w:r>
      <w:bookmarkStart w:id="285" w:name="OLE_LINK57"/>
      <w:r>
        <w:rPr>
          <w:rFonts w:hint="eastAsia"/>
        </w:rPr>
        <w:t>中华人民共和国船舶最低安全配员规则</w:t>
      </w:r>
      <w:bookmarkEnd w:id="285"/>
      <w:r>
        <w:rPr>
          <w:rFonts w:hint="eastAsia"/>
        </w:rPr>
        <w:t>》，每</w:t>
      </w:r>
      <w:bookmarkStart w:id="286" w:name="OLE_LINK59"/>
      <w:r>
        <w:rPr>
          <w:rFonts w:hint="eastAsia"/>
        </w:rPr>
        <w:t>艘</w:t>
      </w:r>
      <w:bookmarkEnd w:id="286"/>
      <w:r>
        <w:rPr>
          <w:rFonts w:hint="eastAsia"/>
        </w:rPr>
        <w:t>船到港船舶船员按10人计，</w:t>
      </w:r>
      <w:bookmarkStart w:id="287" w:name="OLE_LINK58"/>
      <w:r>
        <w:rPr>
          <w:snapToGrid w:val="0"/>
          <w:kern w:val="0"/>
        </w:rPr>
        <w:t>每人每天日平均用水量100L计，</w:t>
      </w:r>
      <w:bookmarkEnd w:id="287"/>
      <w:r>
        <w:rPr>
          <w:snapToGrid w:val="0"/>
          <w:kern w:val="0"/>
        </w:rPr>
        <w:t>排污系数取0.85，</w:t>
      </w:r>
      <w:r>
        <w:t>则船舶生活污水产生量约为</w:t>
      </w:r>
      <w:r>
        <w:rPr>
          <w:rFonts w:hint="eastAsia"/>
        </w:rPr>
        <w:t>0.85</w:t>
      </w:r>
      <w:r>
        <w:t>m</w:t>
      </w:r>
      <w:r>
        <w:rPr>
          <w:vertAlign w:val="superscript"/>
        </w:rPr>
        <w:t>3</w:t>
      </w:r>
      <w:r>
        <w:t>/d</w:t>
      </w:r>
      <w:r>
        <w:rPr>
          <w:rFonts w:hint="eastAsia"/>
        </w:rPr>
        <w:t>；按每艘到港船舶</w:t>
      </w:r>
      <w:r>
        <w:rPr>
          <w:snapToGrid w:val="0"/>
          <w:kern w:val="0"/>
        </w:rPr>
        <w:t>平均在港停留时间</w:t>
      </w:r>
      <w:r>
        <w:rPr>
          <w:rFonts w:hint="eastAsia"/>
          <w:snapToGrid w:val="0"/>
          <w:kern w:val="0"/>
        </w:rPr>
        <w:t>1</w:t>
      </w:r>
      <w:r>
        <w:rPr>
          <w:snapToGrid w:val="0"/>
          <w:kern w:val="0"/>
        </w:rPr>
        <w:t>天计算</w:t>
      </w:r>
      <w:r>
        <w:rPr>
          <w:rFonts w:hint="eastAsia"/>
        </w:rPr>
        <w:t>，则船舶生活污水产生量约</w:t>
      </w:r>
      <w:bookmarkStart w:id="288" w:name="OLE_LINK99"/>
      <w:r>
        <w:rPr>
          <w:rFonts w:hint="eastAsia"/>
        </w:rPr>
        <w:t>2040</w:t>
      </w:r>
      <w:bookmarkEnd w:id="288"/>
      <w:r>
        <w:rPr>
          <w:snapToGrid w:val="0"/>
          <w:kern w:val="0"/>
        </w:rPr>
        <w:t>m</w:t>
      </w:r>
      <w:r>
        <w:rPr>
          <w:snapToGrid w:val="0"/>
          <w:kern w:val="0"/>
          <w:vertAlign w:val="superscript"/>
        </w:rPr>
        <w:t>3</w:t>
      </w:r>
      <w:r>
        <w:rPr>
          <w:snapToGrid w:val="0"/>
          <w:kern w:val="0"/>
        </w:rPr>
        <w:t>/a。</w:t>
      </w:r>
    </w:p>
    <w:p w14:paraId="1C4E935B">
      <w:pPr>
        <w:ind w:firstLine="462"/>
      </w:pPr>
      <w:r>
        <w:rPr>
          <w:snapToGrid w:val="0"/>
          <w:kern w:val="0"/>
        </w:rPr>
        <w:t>根据《水运工程环境保护设计规范》（JTS149-2018），生活污水水质无实测资料时，BOD</w:t>
      </w:r>
      <w:r>
        <w:rPr>
          <w:snapToGrid w:val="0"/>
          <w:kern w:val="0"/>
          <w:vertAlign w:val="subscript"/>
        </w:rPr>
        <w:t>5</w:t>
      </w:r>
      <w:r>
        <w:rPr>
          <w:snapToGrid w:val="0"/>
          <w:kern w:val="0"/>
        </w:rPr>
        <w:t>值可取150~300mg/L，SS浓度可取350~500mg/L，船舶生活污水宜取下限值，即BOD</w:t>
      </w:r>
      <w:r>
        <w:rPr>
          <w:snapToGrid w:val="0"/>
          <w:kern w:val="0"/>
          <w:vertAlign w:val="subscript"/>
        </w:rPr>
        <w:t>5</w:t>
      </w:r>
      <w:r>
        <w:rPr>
          <w:snapToGrid w:val="0"/>
          <w:kern w:val="0"/>
        </w:rPr>
        <w:t>排放浓度为150mg/L，SS浓度为350mg/L</w:t>
      </w:r>
      <w:r>
        <w:rPr>
          <w:rFonts w:hint="eastAsia"/>
          <w:snapToGrid w:val="0"/>
          <w:kern w:val="0"/>
        </w:rPr>
        <w:t>；</w:t>
      </w:r>
      <w:r>
        <w:rPr>
          <w:snapToGrid w:val="0"/>
          <w:kern w:val="0"/>
        </w:rPr>
        <w:t>污染因子COD、NH</w:t>
      </w:r>
      <w:r>
        <w:rPr>
          <w:snapToGrid w:val="0"/>
          <w:kern w:val="0"/>
          <w:vertAlign w:val="subscript"/>
        </w:rPr>
        <w:t>3</w:t>
      </w:r>
      <w:r>
        <w:rPr>
          <w:snapToGrid w:val="0"/>
          <w:kern w:val="0"/>
        </w:rPr>
        <w:t>-N排放浓度分别</w:t>
      </w:r>
      <w:r>
        <w:rPr>
          <w:rFonts w:hint="eastAsia"/>
          <w:snapToGrid w:val="0"/>
          <w:kern w:val="0"/>
        </w:rPr>
        <w:t>按</w:t>
      </w:r>
      <w:r>
        <w:rPr>
          <w:snapToGrid w:val="0"/>
          <w:kern w:val="0"/>
        </w:rPr>
        <w:t>300mg/L、35mg/L，则COD、BOD</w:t>
      </w:r>
      <w:r>
        <w:rPr>
          <w:snapToGrid w:val="0"/>
          <w:kern w:val="0"/>
          <w:vertAlign w:val="subscript"/>
        </w:rPr>
        <w:t>5</w:t>
      </w:r>
      <w:r>
        <w:rPr>
          <w:rFonts w:hint="eastAsia"/>
          <w:snapToGrid w:val="0"/>
          <w:kern w:val="0"/>
        </w:rPr>
        <w:t>、</w:t>
      </w:r>
      <w:r>
        <w:rPr>
          <w:snapToGrid w:val="0"/>
          <w:kern w:val="0"/>
        </w:rPr>
        <w:t>NH</w:t>
      </w:r>
      <w:r>
        <w:rPr>
          <w:snapToGrid w:val="0"/>
          <w:kern w:val="0"/>
          <w:vertAlign w:val="subscript"/>
        </w:rPr>
        <w:t>3</w:t>
      </w:r>
      <w:r>
        <w:rPr>
          <w:snapToGrid w:val="0"/>
          <w:kern w:val="0"/>
        </w:rPr>
        <w:t>-N</w:t>
      </w:r>
      <w:r>
        <w:rPr>
          <w:rFonts w:hint="eastAsia"/>
          <w:snapToGrid w:val="0"/>
          <w:kern w:val="0"/>
        </w:rPr>
        <w:t>和</w:t>
      </w:r>
      <w:r>
        <w:rPr>
          <w:snapToGrid w:val="0"/>
          <w:kern w:val="0"/>
        </w:rPr>
        <w:t>SS 的发生量分别为0.</w:t>
      </w:r>
      <w:r>
        <w:rPr>
          <w:rFonts w:hint="eastAsia"/>
          <w:snapToGrid w:val="0"/>
          <w:kern w:val="0"/>
        </w:rPr>
        <w:t>61</w:t>
      </w:r>
      <w:r>
        <w:rPr>
          <w:snapToGrid w:val="0"/>
          <w:kern w:val="0"/>
        </w:rPr>
        <w:t>t/a、0.</w:t>
      </w:r>
      <w:r>
        <w:rPr>
          <w:rFonts w:hint="eastAsia"/>
          <w:snapToGrid w:val="0"/>
          <w:kern w:val="0"/>
        </w:rPr>
        <w:t>31</w:t>
      </w:r>
      <w:r>
        <w:rPr>
          <w:snapToGrid w:val="0"/>
          <w:kern w:val="0"/>
        </w:rPr>
        <w:t>/a</w:t>
      </w:r>
      <w:r>
        <w:rPr>
          <w:rFonts w:hint="eastAsia"/>
          <w:snapToGrid w:val="0"/>
          <w:kern w:val="0"/>
        </w:rPr>
        <w:t>、</w:t>
      </w:r>
      <w:r>
        <w:rPr>
          <w:snapToGrid w:val="0"/>
          <w:kern w:val="0"/>
        </w:rPr>
        <w:t>0.</w:t>
      </w:r>
      <w:r>
        <w:rPr>
          <w:rFonts w:hint="eastAsia"/>
          <w:snapToGrid w:val="0"/>
          <w:kern w:val="0"/>
        </w:rPr>
        <w:t>07</w:t>
      </w:r>
      <w:r>
        <w:rPr>
          <w:snapToGrid w:val="0"/>
          <w:kern w:val="0"/>
        </w:rPr>
        <w:t>t/a和</w:t>
      </w:r>
      <w:r>
        <w:rPr>
          <w:rFonts w:hint="eastAsia"/>
          <w:snapToGrid w:val="0"/>
          <w:kern w:val="0"/>
        </w:rPr>
        <w:t>0.71</w:t>
      </w:r>
      <w:r>
        <w:rPr>
          <w:snapToGrid w:val="0"/>
          <w:kern w:val="0"/>
        </w:rPr>
        <w:t>/a。</w:t>
      </w:r>
    </w:p>
    <w:p w14:paraId="0D77CA47">
      <w:pPr>
        <w:ind w:firstLine="462"/>
      </w:pPr>
      <w:bookmarkStart w:id="289" w:name="OLE_LINK210"/>
      <w:r>
        <w:rPr>
          <w:rFonts w:hint="eastAsia"/>
        </w:rPr>
        <w:t>项目到港船舶污水</w:t>
      </w:r>
      <w:bookmarkStart w:id="290" w:name="OLE_LINK66"/>
      <w:r>
        <w:rPr>
          <w:rFonts w:hint="eastAsia"/>
        </w:rPr>
        <w:t>原则上</w:t>
      </w:r>
      <w:bookmarkEnd w:id="290"/>
      <w:r>
        <w:rPr>
          <w:rFonts w:hint="eastAsia"/>
        </w:rPr>
        <w:t>由具有接收资质单位接收转运；</w:t>
      </w:r>
      <w:bookmarkStart w:id="291" w:name="OLE_LINK67"/>
      <w:bookmarkStart w:id="292" w:name="OLE_LINK69"/>
      <w:r>
        <w:rPr>
          <w:rFonts w:hint="eastAsia"/>
        </w:rPr>
        <w:t>码头在前沿设置船舶生活污水接收设施，应急时船舶生活污水通过接收设施进入生活污水收集箱，生活污水经收集后泵送至 7 号 8 号泊位的生活污水处理站预处理后排入大榄坪污水处理厂。</w:t>
      </w:r>
      <w:bookmarkEnd w:id="289"/>
      <w:bookmarkEnd w:id="291"/>
    </w:p>
    <w:bookmarkEnd w:id="292"/>
    <w:p w14:paraId="3A7B0C9C">
      <w:pPr>
        <w:ind w:firstLine="462"/>
      </w:pPr>
      <w:r>
        <w:rPr>
          <w:rFonts w:hint="eastAsia" w:ascii="宋体" w:hAnsi="宋体" w:cs="宋体"/>
        </w:rPr>
        <w:t>②</w:t>
      </w:r>
      <w:bookmarkStart w:id="293" w:name="_Hlk157007394"/>
      <w:r>
        <w:t>机舱油污水</w:t>
      </w:r>
      <w:bookmarkEnd w:id="293"/>
    </w:p>
    <w:p w14:paraId="576BC068">
      <w:pPr>
        <w:ind w:firstLine="462"/>
        <w:rPr>
          <w:snapToGrid w:val="0"/>
          <w:kern w:val="0"/>
        </w:rPr>
      </w:pPr>
      <w:r>
        <w:rPr>
          <w:snapToGrid w:val="0"/>
          <w:kern w:val="0"/>
        </w:rPr>
        <w:t>根据《水运工程环境保护设计规范》（JTS149-2018）</w:t>
      </w:r>
      <w:r>
        <w:rPr>
          <w:rFonts w:hint="eastAsia"/>
          <w:snapToGrid w:val="0"/>
          <w:kern w:val="0"/>
        </w:rPr>
        <w:t>，5000吨级</w:t>
      </w:r>
      <w:r>
        <w:rPr>
          <w:snapToGrid w:val="0"/>
          <w:kern w:val="0"/>
        </w:rPr>
        <w:t>船舶底含油污水的发生量为</w:t>
      </w:r>
      <w:r>
        <w:rPr>
          <w:rFonts w:hint="eastAsia"/>
          <w:snapToGrid w:val="0"/>
          <w:kern w:val="0"/>
        </w:rPr>
        <w:t>1.39</w:t>
      </w:r>
      <w:r>
        <w:rPr>
          <w:snapToGrid w:val="0"/>
          <w:kern w:val="0"/>
        </w:rPr>
        <w:t>t/d·艘，石油类浓度取2000~20000mg/L。工程全年到港船舶数量约</w:t>
      </w:r>
      <w:r>
        <w:rPr>
          <w:rFonts w:hint="eastAsia"/>
          <w:snapToGrid w:val="0"/>
          <w:kern w:val="0"/>
        </w:rPr>
        <w:t>2400</w:t>
      </w:r>
      <w:r>
        <w:rPr>
          <w:snapToGrid w:val="0"/>
          <w:kern w:val="0"/>
        </w:rPr>
        <w:t>艘次，按停泊1艘船舶、平均在港停留时间</w:t>
      </w:r>
      <w:r>
        <w:rPr>
          <w:rFonts w:hint="eastAsia"/>
          <w:snapToGrid w:val="0"/>
          <w:kern w:val="0"/>
        </w:rPr>
        <w:t>1</w:t>
      </w:r>
      <w:r>
        <w:rPr>
          <w:snapToGrid w:val="0"/>
          <w:kern w:val="0"/>
        </w:rPr>
        <w:t>天计算，确定到港船舶舱底含油污水全年产生总量约为</w:t>
      </w:r>
      <w:r>
        <w:rPr>
          <w:rFonts w:hint="eastAsia"/>
          <w:snapToGrid w:val="0"/>
          <w:kern w:val="0"/>
        </w:rPr>
        <w:t>3324t</w:t>
      </w:r>
      <w:r>
        <w:rPr>
          <w:snapToGrid w:val="0"/>
          <w:kern w:val="0"/>
        </w:rPr>
        <w:t>/a。评价取舱底含油污水的平均含油浓度为10000mg/L，石油类的发生量为</w:t>
      </w:r>
      <w:bookmarkStart w:id="294" w:name="OLE_LINK100"/>
      <w:r>
        <w:rPr>
          <w:rFonts w:hint="eastAsia"/>
          <w:snapToGrid w:val="0"/>
          <w:kern w:val="0"/>
        </w:rPr>
        <w:t>33.24</w:t>
      </w:r>
      <w:bookmarkEnd w:id="294"/>
      <w:r>
        <w:rPr>
          <w:snapToGrid w:val="0"/>
          <w:kern w:val="0"/>
        </w:rPr>
        <w:t>t/a。</w:t>
      </w:r>
    </w:p>
    <w:p w14:paraId="3E49BC28">
      <w:pPr>
        <w:ind w:firstLine="462"/>
      </w:pPr>
      <w:r>
        <w:rPr>
          <w:rFonts w:hint="eastAsia"/>
          <w:snapToGrid w:val="0"/>
          <w:kern w:val="0"/>
        </w:rPr>
        <w:t>船舶</w:t>
      </w:r>
      <w:r>
        <w:t>含油污水</w:t>
      </w:r>
      <w:r>
        <w:rPr>
          <w:rFonts w:hint="eastAsia"/>
        </w:rPr>
        <w:t>原则上在船舶靠岸后有需求的由码头联系有资质单位前往码头接收；码头在前沿设置船舶含油污水接收设施，应急时船舶含油污水通过接收设施进入含油污水收集箱，再由有资质单位接收处理。</w:t>
      </w:r>
    </w:p>
    <w:p w14:paraId="751179D0">
      <w:pPr>
        <w:ind w:firstLine="462"/>
      </w:pPr>
      <w:bookmarkStart w:id="295" w:name="_Hlk157009422"/>
      <w:r>
        <w:rPr>
          <w:snapToGrid w:val="0"/>
          <w:kern w:val="0"/>
        </w:rPr>
        <w:t>根据《MARPOL73/78防污公约》附则1-“防治油污规则”规定要求船舶应配备机舱油污水处理系统，确保在公海排放机舱污水时油量不超过15ppm。根据《防治船舶污染海洋环境管理条例》，船舶在中华人民共和国管辖海域向海洋排放的船舶来</w:t>
      </w:r>
      <w:r>
        <w:rPr>
          <w:rFonts w:hint="eastAsia"/>
          <w:snapToGrid w:val="0"/>
          <w:kern w:val="0"/>
        </w:rPr>
        <w:t>垃圾、</w:t>
      </w:r>
      <w:r>
        <w:rPr>
          <w:snapToGrid w:val="0"/>
          <w:kern w:val="0"/>
        </w:rPr>
        <w:t>生活污水、含油污水</w:t>
      </w:r>
      <w:r>
        <w:rPr>
          <w:rFonts w:hint="eastAsia"/>
          <w:snapToGrid w:val="0"/>
          <w:kern w:val="0"/>
        </w:rPr>
        <w:t>、</w:t>
      </w:r>
      <w:r>
        <w:rPr>
          <w:snapToGrid w:val="0"/>
          <w:kern w:val="0"/>
        </w:rPr>
        <w:t>含有毒害物质污水</w:t>
      </w:r>
      <w:r>
        <w:rPr>
          <w:rFonts w:hint="eastAsia"/>
          <w:snapToGrid w:val="0"/>
          <w:kern w:val="0"/>
        </w:rPr>
        <w:t>、</w:t>
      </w:r>
      <w:r>
        <w:rPr>
          <w:snapToGrid w:val="0"/>
          <w:kern w:val="0"/>
        </w:rPr>
        <w:t>废气等污染物以及</w:t>
      </w:r>
      <w:r>
        <w:rPr>
          <w:rFonts w:hint="eastAsia"/>
          <w:snapToGrid w:val="0"/>
          <w:kern w:val="0"/>
        </w:rPr>
        <w:t>压载水</w:t>
      </w:r>
      <w:r>
        <w:rPr>
          <w:snapToGrid w:val="0"/>
          <w:kern w:val="0"/>
        </w:rPr>
        <w:t>，应</w:t>
      </w:r>
      <w:r>
        <w:rPr>
          <w:rFonts w:hint="eastAsia"/>
          <w:snapToGrid w:val="0"/>
          <w:kern w:val="0"/>
        </w:rPr>
        <w:t>当</w:t>
      </w:r>
      <w:r>
        <w:rPr>
          <w:snapToGrid w:val="0"/>
          <w:kern w:val="0"/>
        </w:rPr>
        <w:t>符合法律</w:t>
      </w:r>
      <w:r>
        <w:rPr>
          <w:rFonts w:hint="eastAsia"/>
          <w:snapToGrid w:val="0"/>
          <w:kern w:val="0"/>
        </w:rPr>
        <w:t>、</w:t>
      </w:r>
      <w:r>
        <w:rPr>
          <w:snapToGrid w:val="0"/>
          <w:kern w:val="0"/>
        </w:rPr>
        <w:t>行政法规</w:t>
      </w:r>
      <w:r>
        <w:rPr>
          <w:rFonts w:hint="eastAsia"/>
          <w:snapToGrid w:val="0"/>
          <w:kern w:val="0"/>
        </w:rPr>
        <w:t>、</w:t>
      </w:r>
      <w:r>
        <w:rPr>
          <w:snapToGrid w:val="0"/>
          <w:kern w:val="0"/>
        </w:rPr>
        <w:t>中华人民共和国缔结或者参</w:t>
      </w:r>
      <w:r>
        <w:rPr>
          <w:rFonts w:hint="eastAsia"/>
          <w:snapToGrid w:val="0"/>
          <w:kern w:val="0"/>
        </w:rPr>
        <w:t>加</w:t>
      </w:r>
      <w:r>
        <w:rPr>
          <w:snapToGrid w:val="0"/>
          <w:kern w:val="0"/>
        </w:rPr>
        <w:t>的国际</w:t>
      </w:r>
      <w:r>
        <w:rPr>
          <w:rFonts w:hint="eastAsia"/>
          <w:snapToGrid w:val="0"/>
          <w:kern w:val="0"/>
        </w:rPr>
        <w:t>条约</w:t>
      </w:r>
      <w:r>
        <w:rPr>
          <w:snapToGrid w:val="0"/>
          <w:kern w:val="0"/>
        </w:rPr>
        <w:t>以及相关标准的要求。另据《MARPOL73/78防污公约》附则Ⅳ“防止船舶生活污水污染规则”规定，船舶应当配有经海事管理机构认可的生活污水处理装置，且须保证生活污水处理设施的正常运转，达到排放标准后在航行中并且在3海里以外排放。</w:t>
      </w:r>
      <w:bookmarkEnd w:id="295"/>
    </w:p>
    <w:p w14:paraId="4797AC75">
      <w:pPr>
        <w:ind w:firstLine="462"/>
      </w:pPr>
      <w:r>
        <w:rPr>
          <w:rFonts w:hint="eastAsia"/>
        </w:rPr>
        <w:t>2</w:t>
      </w:r>
      <w:r>
        <w:t>、陆域生活污水</w:t>
      </w:r>
    </w:p>
    <w:p w14:paraId="7F40AD23">
      <w:pPr>
        <w:ind w:firstLine="462"/>
      </w:pPr>
      <w:r>
        <w:rPr>
          <w:rFonts w:hint="eastAsia"/>
        </w:rPr>
        <w:t>项目</w:t>
      </w:r>
      <w:r>
        <w:t>劳动</w:t>
      </w:r>
      <w:r>
        <w:rPr>
          <w:rFonts w:hint="eastAsia"/>
        </w:rPr>
        <w:t>定员98人，根据项目设计资料，项目定员不在码头住宿，依托7~10#泊位食堂供定员餐饮；</w:t>
      </w:r>
      <w:r>
        <w:t>用水量按</w:t>
      </w:r>
      <w:r>
        <w:rPr>
          <w:rFonts w:hint="eastAsia"/>
        </w:rPr>
        <w:t>75</w:t>
      </w:r>
      <w:r>
        <w:t>L/d</w:t>
      </w:r>
      <w:r>
        <w:rPr>
          <w:rFonts w:eastAsia="微软雅黑"/>
        </w:rPr>
        <w:t>∙</w:t>
      </w:r>
      <w:r>
        <w:t>人计，污水发生系数为0.8，则生活污水产生量</w:t>
      </w:r>
      <w:r>
        <w:rPr>
          <w:rFonts w:hint="eastAsia"/>
        </w:rPr>
        <w:t>5.88</w:t>
      </w:r>
      <w:r>
        <w:t>t/d；码头年运行330天，则生活污水年产生量</w:t>
      </w:r>
      <w:bookmarkStart w:id="296" w:name="OLE_LINK70"/>
      <w:r>
        <w:rPr>
          <w:rFonts w:hint="eastAsia"/>
        </w:rPr>
        <w:t>1940.4</w:t>
      </w:r>
      <w:bookmarkEnd w:id="296"/>
      <w:r>
        <w:t>t。</w:t>
      </w:r>
    </w:p>
    <w:p w14:paraId="20BFD3DB">
      <w:pPr>
        <w:ind w:firstLine="462"/>
      </w:pPr>
      <w:r>
        <w:rPr>
          <w:rFonts w:hint="eastAsia"/>
        </w:rPr>
        <w:t>生活污水经收集后泵送至</w:t>
      </w:r>
      <w:bookmarkStart w:id="297" w:name="OLE_LINK72"/>
      <w:r>
        <w:t>7</w:t>
      </w:r>
      <w:r>
        <w:rPr>
          <w:rFonts w:hint="eastAsia"/>
        </w:rPr>
        <w:t>号</w:t>
      </w:r>
      <w:r>
        <w:t>8</w:t>
      </w:r>
      <w:r>
        <w:rPr>
          <w:rFonts w:hint="eastAsia"/>
        </w:rPr>
        <w:t>号泊位</w:t>
      </w:r>
      <w:bookmarkEnd w:id="297"/>
      <w:r>
        <w:rPr>
          <w:rFonts w:hint="eastAsia"/>
        </w:rPr>
        <w:t>的生活污水处理站处理达到《污水综合排放标准》（GB 8978-1996）三级标准后，进入大榄坪污水处理厂。</w:t>
      </w:r>
    </w:p>
    <w:p w14:paraId="7A2F39BE">
      <w:pPr>
        <w:pStyle w:val="7"/>
      </w:pPr>
      <w:r>
        <w:rPr>
          <w:rFonts w:hint="eastAsia"/>
        </w:rPr>
        <w:t>运营期生活污水产生情况表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39"/>
        <w:gridCol w:w="595"/>
        <w:gridCol w:w="963"/>
        <w:gridCol w:w="787"/>
        <w:gridCol w:w="1055"/>
        <w:gridCol w:w="875"/>
        <w:gridCol w:w="3614"/>
      </w:tblGrid>
      <w:tr w14:paraId="53B48B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1" w:hRule="atLeast"/>
          <w:jc w:val="center"/>
        </w:trPr>
        <w:tc>
          <w:tcPr>
            <w:tcW w:w="650" w:type="dxa"/>
            <w:vMerge w:val="restart"/>
            <w:vAlign w:val="center"/>
          </w:tcPr>
          <w:p w14:paraId="00C72F47">
            <w:pPr>
              <w:pStyle w:val="34"/>
            </w:pPr>
            <w:r>
              <w:rPr>
                <w:rFonts w:hint="eastAsia"/>
              </w:rPr>
              <w:t>污染类别</w:t>
            </w:r>
          </w:p>
        </w:tc>
        <w:tc>
          <w:tcPr>
            <w:tcW w:w="1462" w:type="dxa"/>
            <w:gridSpan w:val="2"/>
            <w:vMerge w:val="restart"/>
            <w:vAlign w:val="center"/>
          </w:tcPr>
          <w:p w14:paraId="746D7701">
            <w:pPr>
              <w:pStyle w:val="34"/>
              <w:rPr>
                <w:szCs w:val="21"/>
              </w:rPr>
            </w:pPr>
            <w:r>
              <w:rPr>
                <w:rFonts w:hint="eastAsia"/>
                <w:szCs w:val="21"/>
              </w:rPr>
              <w:t>产生量</w:t>
            </w:r>
          </w:p>
        </w:tc>
        <w:tc>
          <w:tcPr>
            <w:tcW w:w="0" w:type="auto"/>
            <w:vMerge w:val="restart"/>
            <w:vAlign w:val="center"/>
          </w:tcPr>
          <w:p w14:paraId="267B54C2">
            <w:pPr>
              <w:pStyle w:val="34"/>
              <w:rPr>
                <w:szCs w:val="21"/>
              </w:rPr>
            </w:pPr>
            <w:r>
              <w:rPr>
                <w:szCs w:val="21"/>
              </w:rPr>
              <w:t>污染因子</w:t>
            </w:r>
          </w:p>
        </w:tc>
        <w:tc>
          <w:tcPr>
            <w:tcW w:w="1966" w:type="dxa"/>
            <w:gridSpan w:val="2"/>
            <w:vAlign w:val="center"/>
          </w:tcPr>
          <w:p w14:paraId="646F4B00">
            <w:pPr>
              <w:pStyle w:val="34"/>
              <w:rPr>
                <w:bCs/>
              </w:rPr>
            </w:pPr>
            <w:r>
              <w:rPr>
                <w:rFonts w:hint="eastAsia"/>
                <w:bCs/>
              </w:rPr>
              <w:t>排放情况</w:t>
            </w:r>
          </w:p>
        </w:tc>
        <w:tc>
          <w:tcPr>
            <w:tcW w:w="3726" w:type="dxa"/>
            <w:vMerge w:val="restart"/>
            <w:vAlign w:val="center"/>
          </w:tcPr>
          <w:p w14:paraId="1C9D2581">
            <w:pPr>
              <w:pStyle w:val="34"/>
              <w:rPr>
                <w:bCs/>
              </w:rPr>
            </w:pPr>
            <w:r>
              <w:rPr>
                <w:rFonts w:hint="eastAsia"/>
                <w:bCs/>
              </w:rPr>
              <w:t>处理措施及去向</w:t>
            </w:r>
          </w:p>
        </w:tc>
      </w:tr>
      <w:tr w14:paraId="3AE53F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650" w:type="dxa"/>
            <w:vMerge w:val="continue"/>
            <w:vAlign w:val="center"/>
          </w:tcPr>
          <w:p w14:paraId="5068B034">
            <w:pPr>
              <w:pStyle w:val="34"/>
            </w:pPr>
          </w:p>
        </w:tc>
        <w:tc>
          <w:tcPr>
            <w:tcW w:w="1462" w:type="dxa"/>
            <w:gridSpan w:val="2"/>
            <w:vMerge w:val="continue"/>
            <w:vAlign w:val="center"/>
          </w:tcPr>
          <w:p w14:paraId="5B3CA211">
            <w:pPr>
              <w:pStyle w:val="34"/>
              <w:rPr>
                <w:szCs w:val="21"/>
              </w:rPr>
            </w:pPr>
          </w:p>
        </w:tc>
        <w:tc>
          <w:tcPr>
            <w:tcW w:w="0" w:type="auto"/>
            <w:vMerge w:val="continue"/>
            <w:vAlign w:val="center"/>
          </w:tcPr>
          <w:p w14:paraId="40224496">
            <w:pPr>
              <w:pStyle w:val="34"/>
              <w:rPr>
                <w:szCs w:val="21"/>
              </w:rPr>
            </w:pPr>
          </w:p>
        </w:tc>
        <w:tc>
          <w:tcPr>
            <w:tcW w:w="0" w:type="auto"/>
            <w:vAlign w:val="center"/>
          </w:tcPr>
          <w:p w14:paraId="7DAE033C">
            <w:pPr>
              <w:pStyle w:val="34"/>
            </w:pPr>
            <w:r>
              <w:t>排放浓度（</w:t>
            </w:r>
            <w:r>
              <w:rPr>
                <w:szCs w:val="21"/>
              </w:rPr>
              <w:t>mg/L</w:t>
            </w:r>
            <w:r>
              <w:t>）</w:t>
            </w:r>
          </w:p>
        </w:tc>
        <w:tc>
          <w:tcPr>
            <w:tcW w:w="878" w:type="dxa"/>
            <w:vAlign w:val="center"/>
          </w:tcPr>
          <w:p w14:paraId="17BEFF59">
            <w:pPr>
              <w:pStyle w:val="34"/>
              <w:rPr>
                <w:bCs/>
              </w:rPr>
            </w:pPr>
            <w:r>
              <w:rPr>
                <w:rFonts w:hint="eastAsia"/>
                <w:bCs/>
              </w:rPr>
              <w:t>排放量（t/a）</w:t>
            </w:r>
          </w:p>
        </w:tc>
        <w:tc>
          <w:tcPr>
            <w:tcW w:w="3726" w:type="dxa"/>
            <w:vMerge w:val="continue"/>
            <w:vAlign w:val="center"/>
          </w:tcPr>
          <w:p w14:paraId="1556B833">
            <w:pPr>
              <w:pStyle w:val="34"/>
              <w:rPr>
                <w:bCs/>
              </w:rPr>
            </w:pPr>
          </w:p>
        </w:tc>
      </w:tr>
      <w:tr w14:paraId="4CCAEC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7" w:hRule="atLeast"/>
          <w:jc w:val="center"/>
        </w:trPr>
        <w:tc>
          <w:tcPr>
            <w:tcW w:w="650" w:type="dxa"/>
            <w:vMerge w:val="restart"/>
            <w:vAlign w:val="center"/>
          </w:tcPr>
          <w:p w14:paraId="07B6EDC9">
            <w:pPr>
              <w:pStyle w:val="34"/>
            </w:pPr>
            <w:r>
              <w:rPr>
                <w:rFonts w:hint="eastAsia"/>
              </w:rPr>
              <w:t>陆域生活污水</w:t>
            </w:r>
          </w:p>
        </w:tc>
        <w:tc>
          <w:tcPr>
            <w:tcW w:w="595" w:type="dxa"/>
            <w:vMerge w:val="restart"/>
            <w:vAlign w:val="center"/>
          </w:tcPr>
          <w:p w14:paraId="0FCCF278">
            <w:pPr>
              <w:pStyle w:val="34"/>
              <w:rPr>
                <w:szCs w:val="21"/>
              </w:rPr>
            </w:pPr>
            <w:r>
              <w:rPr>
                <w:rFonts w:hint="eastAsia"/>
                <w:szCs w:val="21"/>
              </w:rPr>
              <w:t>5.88</w:t>
            </w:r>
          </w:p>
          <w:p w14:paraId="447E8CC8">
            <w:pPr>
              <w:pStyle w:val="34"/>
              <w:rPr>
                <w:szCs w:val="21"/>
              </w:rPr>
            </w:pPr>
            <w:r>
              <w:rPr>
                <w:szCs w:val="21"/>
              </w:rPr>
              <w:t>m</w:t>
            </w:r>
            <w:r>
              <w:rPr>
                <w:szCs w:val="21"/>
                <w:vertAlign w:val="superscript"/>
              </w:rPr>
              <w:t>3</w:t>
            </w:r>
            <w:r>
              <w:rPr>
                <w:szCs w:val="21"/>
              </w:rPr>
              <w:t>/d</w:t>
            </w:r>
          </w:p>
        </w:tc>
        <w:tc>
          <w:tcPr>
            <w:tcW w:w="0" w:type="auto"/>
            <w:vMerge w:val="restart"/>
            <w:vAlign w:val="center"/>
          </w:tcPr>
          <w:p w14:paraId="7D8F2FEF">
            <w:pPr>
              <w:pStyle w:val="34"/>
              <w:rPr>
                <w:szCs w:val="21"/>
              </w:rPr>
            </w:pPr>
            <w:r>
              <w:rPr>
                <w:rFonts w:hint="eastAsia"/>
              </w:rPr>
              <w:t>1940.4</w:t>
            </w:r>
            <w:r>
              <w:rPr>
                <w:szCs w:val="21"/>
              </w:rPr>
              <w:t>t/a</w:t>
            </w:r>
          </w:p>
        </w:tc>
        <w:tc>
          <w:tcPr>
            <w:tcW w:w="0" w:type="auto"/>
            <w:vAlign w:val="center"/>
          </w:tcPr>
          <w:p w14:paraId="792EE7B2">
            <w:pPr>
              <w:pStyle w:val="34"/>
              <w:rPr>
                <w:szCs w:val="21"/>
              </w:rPr>
            </w:pPr>
            <w:r>
              <w:rPr>
                <w:szCs w:val="21"/>
              </w:rPr>
              <w:t>COD</w:t>
            </w:r>
          </w:p>
        </w:tc>
        <w:tc>
          <w:tcPr>
            <w:tcW w:w="0" w:type="auto"/>
            <w:vAlign w:val="center"/>
          </w:tcPr>
          <w:p w14:paraId="177B8BE1">
            <w:pPr>
              <w:pStyle w:val="34"/>
              <w:rPr>
                <w:szCs w:val="21"/>
              </w:rPr>
            </w:pPr>
            <w:r>
              <w:rPr>
                <w:rFonts w:hint="eastAsia"/>
                <w:szCs w:val="21"/>
              </w:rPr>
              <w:t>500</w:t>
            </w:r>
          </w:p>
        </w:tc>
        <w:tc>
          <w:tcPr>
            <w:tcW w:w="878" w:type="dxa"/>
            <w:vAlign w:val="center"/>
          </w:tcPr>
          <w:p w14:paraId="79B20616">
            <w:pPr>
              <w:pStyle w:val="34"/>
              <w:rPr>
                <w:bCs/>
              </w:rPr>
            </w:pPr>
            <w:r>
              <w:rPr>
                <w:rFonts w:hint="eastAsia"/>
                <w:bCs/>
              </w:rPr>
              <w:t>0.97</w:t>
            </w:r>
          </w:p>
        </w:tc>
        <w:tc>
          <w:tcPr>
            <w:tcW w:w="3726" w:type="dxa"/>
            <w:vMerge w:val="restart"/>
            <w:vAlign w:val="center"/>
          </w:tcPr>
          <w:p w14:paraId="3DA0618B">
            <w:pPr>
              <w:pStyle w:val="34"/>
            </w:pPr>
            <w:r>
              <w:rPr>
                <w:rFonts w:hint="eastAsia"/>
                <w:bCs/>
              </w:rPr>
              <w:t>经</w:t>
            </w:r>
            <w:r>
              <w:t>7</w:t>
            </w:r>
            <w:r>
              <w:rPr>
                <w:rFonts w:hint="eastAsia"/>
              </w:rPr>
              <w:t>号</w:t>
            </w:r>
            <w:r>
              <w:t>8</w:t>
            </w:r>
            <w:r>
              <w:rPr>
                <w:rFonts w:hint="eastAsia"/>
              </w:rPr>
              <w:t>号泊位</w:t>
            </w:r>
            <w:r>
              <w:rPr>
                <w:rFonts w:hint="eastAsia"/>
                <w:bCs/>
              </w:rPr>
              <w:t>生活污水处理站处理达到《污水综合排放标准》（GB 8978-1996）三级标准，进入大榄坪污水处理厂</w:t>
            </w:r>
          </w:p>
        </w:tc>
      </w:tr>
      <w:tr w14:paraId="30EDB2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650" w:type="dxa"/>
            <w:vMerge w:val="continue"/>
            <w:vAlign w:val="center"/>
          </w:tcPr>
          <w:p w14:paraId="1FE111D9">
            <w:pPr>
              <w:pStyle w:val="34"/>
            </w:pPr>
          </w:p>
        </w:tc>
        <w:tc>
          <w:tcPr>
            <w:tcW w:w="595" w:type="dxa"/>
            <w:vMerge w:val="continue"/>
            <w:vAlign w:val="center"/>
          </w:tcPr>
          <w:p w14:paraId="18766FA7">
            <w:pPr>
              <w:pStyle w:val="34"/>
              <w:rPr>
                <w:szCs w:val="21"/>
              </w:rPr>
            </w:pPr>
          </w:p>
        </w:tc>
        <w:tc>
          <w:tcPr>
            <w:tcW w:w="0" w:type="auto"/>
            <w:vMerge w:val="continue"/>
            <w:vAlign w:val="center"/>
          </w:tcPr>
          <w:p w14:paraId="12A60787">
            <w:pPr>
              <w:pStyle w:val="34"/>
              <w:rPr>
                <w:szCs w:val="21"/>
              </w:rPr>
            </w:pPr>
          </w:p>
        </w:tc>
        <w:tc>
          <w:tcPr>
            <w:tcW w:w="0" w:type="auto"/>
            <w:vAlign w:val="center"/>
          </w:tcPr>
          <w:p w14:paraId="067B7FD1">
            <w:pPr>
              <w:pStyle w:val="34"/>
              <w:rPr>
                <w:szCs w:val="21"/>
              </w:rPr>
            </w:pPr>
            <w:r>
              <w:rPr>
                <w:szCs w:val="21"/>
              </w:rPr>
              <w:t>BOD</w:t>
            </w:r>
            <w:r>
              <w:rPr>
                <w:szCs w:val="21"/>
                <w:vertAlign w:val="subscript"/>
              </w:rPr>
              <w:t>5</w:t>
            </w:r>
          </w:p>
        </w:tc>
        <w:tc>
          <w:tcPr>
            <w:tcW w:w="0" w:type="auto"/>
            <w:vAlign w:val="center"/>
          </w:tcPr>
          <w:p w14:paraId="4AE32A20">
            <w:pPr>
              <w:pStyle w:val="34"/>
              <w:rPr>
                <w:szCs w:val="21"/>
              </w:rPr>
            </w:pPr>
            <w:r>
              <w:rPr>
                <w:szCs w:val="21"/>
              </w:rPr>
              <w:t>300</w:t>
            </w:r>
          </w:p>
        </w:tc>
        <w:tc>
          <w:tcPr>
            <w:tcW w:w="878" w:type="dxa"/>
            <w:vAlign w:val="center"/>
          </w:tcPr>
          <w:p w14:paraId="07D3E61E">
            <w:pPr>
              <w:pStyle w:val="34"/>
            </w:pPr>
            <w:r>
              <w:rPr>
                <w:rFonts w:hint="eastAsia"/>
              </w:rPr>
              <w:t>0.58</w:t>
            </w:r>
          </w:p>
        </w:tc>
        <w:tc>
          <w:tcPr>
            <w:tcW w:w="3726" w:type="dxa"/>
            <w:vMerge w:val="continue"/>
            <w:vAlign w:val="center"/>
          </w:tcPr>
          <w:p w14:paraId="672FD43A">
            <w:pPr>
              <w:pStyle w:val="34"/>
            </w:pPr>
          </w:p>
        </w:tc>
      </w:tr>
      <w:tr w14:paraId="754EED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2" w:hRule="atLeast"/>
          <w:jc w:val="center"/>
        </w:trPr>
        <w:tc>
          <w:tcPr>
            <w:tcW w:w="650" w:type="dxa"/>
            <w:vMerge w:val="continue"/>
            <w:vAlign w:val="center"/>
          </w:tcPr>
          <w:p w14:paraId="29DD1547">
            <w:pPr>
              <w:pStyle w:val="34"/>
            </w:pPr>
          </w:p>
        </w:tc>
        <w:tc>
          <w:tcPr>
            <w:tcW w:w="595" w:type="dxa"/>
            <w:vMerge w:val="continue"/>
            <w:vAlign w:val="center"/>
          </w:tcPr>
          <w:p w14:paraId="21860336">
            <w:pPr>
              <w:pStyle w:val="34"/>
              <w:rPr>
                <w:szCs w:val="21"/>
              </w:rPr>
            </w:pPr>
          </w:p>
        </w:tc>
        <w:tc>
          <w:tcPr>
            <w:tcW w:w="0" w:type="auto"/>
            <w:vMerge w:val="continue"/>
            <w:vAlign w:val="center"/>
          </w:tcPr>
          <w:p w14:paraId="2D35EDDC">
            <w:pPr>
              <w:pStyle w:val="34"/>
              <w:rPr>
                <w:szCs w:val="21"/>
              </w:rPr>
            </w:pPr>
          </w:p>
        </w:tc>
        <w:tc>
          <w:tcPr>
            <w:tcW w:w="0" w:type="auto"/>
            <w:vAlign w:val="center"/>
          </w:tcPr>
          <w:p w14:paraId="08F2D017">
            <w:pPr>
              <w:pStyle w:val="34"/>
              <w:rPr>
                <w:szCs w:val="21"/>
              </w:rPr>
            </w:pPr>
            <w:r>
              <w:t>NH</w:t>
            </w:r>
            <w:r>
              <w:rPr>
                <w:vertAlign w:val="subscript"/>
              </w:rPr>
              <w:t>3</w:t>
            </w:r>
            <w:r>
              <w:t>-N</w:t>
            </w:r>
          </w:p>
        </w:tc>
        <w:tc>
          <w:tcPr>
            <w:tcW w:w="0" w:type="auto"/>
            <w:vAlign w:val="center"/>
          </w:tcPr>
          <w:p w14:paraId="6625BA8D">
            <w:pPr>
              <w:pStyle w:val="34"/>
              <w:rPr>
                <w:szCs w:val="21"/>
              </w:rPr>
            </w:pPr>
            <w:r>
              <w:rPr>
                <w:rFonts w:hint="eastAsia"/>
                <w:szCs w:val="21"/>
              </w:rPr>
              <w:t>45</w:t>
            </w:r>
          </w:p>
        </w:tc>
        <w:tc>
          <w:tcPr>
            <w:tcW w:w="878" w:type="dxa"/>
            <w:vAlign w:val="center"/>
          </w:tcPr>
          <w:p w14:paraId="507295E7">
            <w:pPr>
              <w:pStyle w:val="34"/>
            </w:pPr>
            <w:r>
              <w:rPr>
                <w:rFonts w:hint="eastAsia"/>
              </w:rPr>
              <w:t>0.087</w:t>
            </w:r>
          </w:p>
        </w:tc>
        <w:tc>
          <w:tcPr>
            <w:tcW w:w="3726" w:type="dxa"/>
            <w:vMerge w:val="continue"/>
            <w:vAlign w:val="center"/>
          </w:tcPr>
          <w:p w14:paraId="56EDA139">
            <w:pPr>
              <w:pStyle w:val="34"/>
            </w:pPr>
          </w:p>
        </w:tc>
      </w:tr>
    </w:tbl>
    <w:p w14:paraId="6FFB74D6">
      <w:pPr>
        <w:ind w:firstLine="462"/>
        <w:rPr>
          <w:snapToGrid w:val="0"/>
        </w:rPr>
      </w:pPr>
      <w:r>
        <w:rPr>
          <w:rFonts w:hint="eastAsia"/>
          <w:snapToGrid w:val="0"/>
        </w:rPr>
        <w:t>3</w:t>
      </w:r>
      <w:r>
        <w:rPr>
          <w:snapToGrid w:val="0"/>
        </w:rPr>
        <w:t>、</w:t>
      </w:r>
      <w:r>
        <w:rPr>
          <w:rFonts w:hint="eastAsia"/>
          <w:snapToGrid w:val="0"/>
        </w:rPr>
        <w:t>陆域</w:t>
      </w:r>
      <w:r>
        <w:rPr>
          <w:snapToGrid w:val="0"/>
        </w:rPr>
        <w:t>生产废水</w:t>
      </w:r>
    </w:p>
    <w:p w14:paraId="7433330D">
      <w:pPr>
        <w:ind w:firstLine="462"/>
      </w:pPr>
      <w:r>
        <w:rPr>
          <w:rFonts w:hint="eastAsia"/>
          <w:snapToGrid w:val="0"/>
        </w:rPr>
        <w:t>项目在24#堆场南端材料库设有一处洗车间，主要用于</w:t>
      </w:r>
      <w:r>
        <w:rPr>
          <w:rFonts w:hint="eastAsia"/>
        </w:rPr>
        <w:t>IGV小车冲洗等。根据</w:t>
      </w:r>
      <w:r>
        <w:t>《水运工程环境保护设计规范》（JTS149-2018）</w:t>
      </w:r>
      <w:r>
        <w:rPr>
          <w:rFonts w:hint="eastAsia"/>
        </w:rPr>
        <w:t>，项目冲洗用水量取6</w:t>
      </w:r>
      <w:r>
        <w:t>00</w:t>
      </w:r>
      <w:r>
        <w:rPr>
          <w:rFonts w:hint="eastAsia"/>
        </w:rPr>
        <w:t>L</w:t>
      </w:r>
      <w:r>
        <w:t>/</w:t>
      </w:r>
      <w:r>
        <w:rPr>
          <w:rFonts w:hint="eastAsia"/>
        </w:rPr>
        <w:t>台</w:t>
      </w:r>
      <w:r>
        <w:rPr>
          <w:rFonts w:hint="eastAsia" w:ascii="宋体" w:hAnsi="宋体"/>
        </w:rPr>
        <w:t>·</w:t>
      </w:r>
      <w:r>
        <w:rPr>
          <w:rFonts w:hint="eastAsia"/>
        </w:rPr>
        <w:t>次，按每10天冲洗一次估算，则含油废水产生量约</w:t>
      </w:r>
      <w:bookmarkStart w:id="298" w:name="OLE_LINK91"/>
      <w:r>
        <w:rPr>
          <w:rFonts w:hint="eastAsia"/>
        </w:rPr>
        <w:t>514.8m³</w:t>
      </w:r>
      <w:r>
        <w:t>/</w:t>
      </w:r>
      <w:r>
        <w:rPr>
          <w:rFonts w:hint="eastAsia"/>
        </w:rPr>
        <w:t>a（</w:t>
      </w:r>
      <w:bookmarkStart w:id="299" w:name="OLE_LINK90"/>
      <w:r>
        <w:rPr>
          <w:rFonts w:hint="eastAsia"/>
        </w:rPr>
        <w:t>1.56m³</w:t>
      </w:r>
      <w:r>
        <w:t>/</w:t>
      </w:r>
      <w:r>
        <w:rPr>
          <w:rFonts w:hint="eastAsia"/>
        </w:rPr>
        <w:t>d</w:t>
      </w:r>
      <w:bookmarkEnd w:id="299"/>
      <w:r>
        <w:rPr>
          <w:rFonts w:hint="eastAsia"/>
        </w:rPr>
        <w:t>）</w:t>
      </w:r>
      <w:bookmarkEnd w:id="298"/>
      <w:r>
        <w:rPr>
          <w:rFonts w:hint="eastAsia"/>
        </w:rPr>
        <w:t>，主要污染物为石油类和SS，按石油类浓度1</w:t>
      </w:r>
      <w:r>
        <w:t>00mg/l</w:t>
      </w:r>
      <w:r>
        <w:rPr>
          <w:rFonts w:hint="eastAsia"/>
        </w:rPr>
        <w:t>、SS浓度3</w:t>
      </w:r>
      <w:r>
        <w:t>00mg/L</w:t>
      </w:r>
      <w:r>
        <w:rPr>
          <w:rFonts w:hint="eastAsia"/>
        </w:rPr>
        <w:t>计算，则石油类和SS产生量为0.05t/a、0.15t/a。</w:t>
      </w:r>
      <w:r>
        <w:rPr>
          <w:rFonts w:hint="eastAsia"/>
          <w:bCs/>
        </w:rPr>
        <w:t>洗车废水经污水管进入7 # 、8 #泊位生产废水处理站处理达《污水综合排放标准》（GB 8978-1996）三级标准后进入大榄坪污水处理厂。</w:t>
      </w:r>
    </w:p>
    <w:p w14:paraId="4708E398">
      <w:pPr>
        <w:pStyle w:val="6"/>
      </w:pPr>
      <w:r>
        <w:t>大气环境污染源</w:t>
      </w:r>
    </w:p>
    <w:p w14:paraId="3B1014B0">
      <w:pPr>
        <w:ind w:firstLine="462"/>
      </w:pPr>
      <w:r>
        <w:rPr>
          <w:rFonts w:hint="eastAsia"/>
        </w:rPr>
        <w:t>码头前沿装卸岸桥、堆场装卸设备及IGV小车均采用电能，无设备废气。运营期大气污染源主要来自车辆港内运输扬尘及牵引半挂车车辆燃油尾气。根据项目设计吞吐量，</w:t>
      </w:r>
      <w:r>
        <w:rPr>
          <w:rFonts w:hint="eastAsia" w:cs="宋体"/>
          <w:bCs/>
          <w:lang w:bidi="ar"/>
        </w:rPr>
        <w:t>集装箱牵引半挂车</w:t>
      </w:r>
      <w:r>
        <w:rPr>
          <w:rFonts w:hint="eastAsia"/>
        </w:rPr>
        <w:t>运输车辆约315辆/d，运营期大气环境污染源计算如下：</w:t>
      </w:r>
    </w:p>
    <w:p w14:paraId="72F66EF0">
      <w:pPr>
        <w:ind w:firstLine="462"/>
      </w:pPr>
      <w:r>
        <w:rPr>
          <w:rFonts w:hint="eastAsia"/>
        </w:rPr>
        <w:t>1、车辆燃油尾气</w:t>
      </w:r>
    </w:p>
    <w:p w14:paraId="730AE692">
      <w:pPr>
        <w:ind w:firstLine="462"/>
      </w:pPr>
      <w:r>
        <w:rPr>
          <w:rFonts w:hint="eastAsia"/>
        </w:rPr>
        <w:t>集装箱货物进出</w:t>
      </w:r>
      <w:bookmarkStart w:id="300" w:name="OLE_LINK197"/>
      <w:r>
        <w:rPr>
          <w:rFonts w:hint="eastAsia"/>
        </w:rPr>
        <w:t>港区集卡</w:t>
      </w:r>
      <w:bookmarkEnd w:id="300"/>
      <w:r>
        <w:rPr>
          <w:rFonts w:hint="eastAsia"/>
        </w:rPr>
        <w:t>等运输车辆以柴油为原料，集卡汽车尾气污染物SO</w:t>
      </w:r>
      <w:r>
        <w:rPr>
          <w:rFonts w:hint="eastAsia"/>
          <w:vertAlign w:val="subscript"/>
        </w:rPr>
        <w:t>2</w:t>
      </w:r>
      <w:r>
        <w:rPr>
          <w:rFonts w:hint="eastAsia"/>
        </w:rPr>
        <w:t>、CO、NO</w:t>
      </w:r>
      <w:r>
        <w:rPr>
          <w:rFonts w:hint="eastAsia"/>
          <w:vertAlign w:val="subscript"/>
        </w:rPr>
        <w:t>x</w:t>
      </w:r>
      <w:r>
        <w:rPr>
          <w:rFonts w:hint="eastAsia"/>
        </w:rPr>
        <w:t>，港区内车辆运行距离较短，且</w:t>
      </w:r>
      <w:r>
        <w:t>港内通风良好</w:t>
      </w:r>
      <w:r>
        <w:rPr>
          <w:rFonts w:hint="eastAsia"/>
        </w:rPr>
        <w:t>，</w:t>
      </w:r>
      <w:r>
        <w:t>车辆排放的废气污染物对外界环境的影响</w:t>
      </w:r>
      <w:r>
        <w:rPr>
          <w:rFonts w:hint="eastAsia"/>
        </w:rPr>
        <w:t>不大。</w:t>
      </w:r>
    </w:p>
    <w:p w14:paraId="043C52C6">
      <w:pPr>
        <w:ind w:firstLine="462"/>
      </w:pPr>
      <w:r>
        <w:rPr>
          <w:rFonts w:hint="eastAsia"/>
        </w:rPr>
        <w:t>2、车辆道路扬尘</w:t>
      </w:r>
    </w:p>
    <w:p w14:paraId="1940206B">
      <w:pPr>
        <w:ind w:firstLine="462"/>
      </w:pPr>
      <w:r>
        <w:rPr>
          <w:rFonts w:hint="eastAsia"/>
        </w:rPr>
        <w:t>根据《水运工程建设项目环境影响评价指南》（JTS/T 105-2021），车辆港内铺装道路起尘按下列公式计算：</w:t>
      </w:r>
    </w:p>
    <w:p w14:paraId="4C285BF9">
      <w:pPr>
        <w:ind w:firstLine="462"/>
      </w:pPr>
      <m:oMathPara>
        <m:oMath>
          <m:sSub>
            <m:sSubPr>
              <m:ctrlPr>
                <w:rPr>
                  <w:rFonts w:ascii="Cambria Math" w:hAnsi="Cambria Math"/>
                </w:rPr>
              </m:ctrlPr>
            </m:sSubPr>
            <m:e>
              <m:r>
                <m:rPr/>
                <w:rPr>
                  <w:rFonts w:ascii="Cambria Math" w:hAnsi="Cambria Math"/>
                </w:rPr>
                <m:t>W</m:t>
              </m:r>
              <m:ctrlPr>
                <w:rPr>
                  <w:rFonts w:ascii="Cambria Math" w:hAnsi="Cambria Math"/>
                </w:rPr>
              </m:ctrlPr>
            </m:e>
            <m:sub>
              <m:r>
                <m:rPr/>
                <w:rPr>
                  <w:rFonts w:ascii="Cambria Math" w:hAnsi="Cambria Math"/>
                </w:rPr>
                <m:t>Ri</m:t>
              </m:r>
              <m:ctrlPr>
                <w:rPr>
                  <w:rFonts w:ascii="Cambria Math" w:hAnsi="Cambria Math"/>
                </w:rPr>
              </m:ctrlPr>
            </m:sub>
          </m:sSub>
          <m:r>
            <m:rPr>
              <m:sty m:val="p"/>
            </m:rPr>
            <w:rPr>
              <w:rFonts w:ascii="Cambria Math" w:hAnsi="Cambria Math"/>
            </w:rPr>
            <m:t>=</m:t>
          </m:r>
          <m:sSub>
            <m:sSubPr>
              <m:ctrlPr>
                <w:rPr>
                  <w:rFonts w:ascii="Cambria Math" w:hAnsi="Cambria Math"/>
                </w:rPr>
              </m:ctrlPr>
            </m:sSubPr>
            <m:e>
              <m:r>
                <m:rPr/>
                <w:rPr>
                  <w:rFonts w:ascii="Cambria Math" w:hAnsi="Cambria Math"/>
                </w:rPr>
                <m:t>E</m:t>
              </m:r>
              <m:ctrlPr>
                <w:rPr>
                  <w:rFonts w:ascii="Cambria Math" w:hAnsi="Cambria Math"/>
                </w:rPr>
              </m:ctrlPr>
            </m:e>
            <m:sub>
              <m:r>
                <m:rPr/>
                <w:rPr>
                  <w:rFonts w:ascii="Cambria Math" w:hAnsi="Cambria Math"/>
                </w:rPr>
                <m:t>Ri</m:t>
              </m:r>
              <m:ctrlPr>
                <w:rPr>
                  <w:rFonts w:ascii="Cambria Math" w:hAnsi="Cambria Math"/>
                </w:rPr>
              </m:ctrlPr>
            </m:sub>
          </m:sSub>
          <m:sSub>
            <m:sSubPr>
              <m:ctrlPr>
                <w:rPr>
                  <w:rFonts w:ascii="Cambria Math" w:hAnsi="Cambria Math"/>
                </w:rPr>
              </m:ctrlPr>
            </m:sSubPr>
            <m:e>
              <m:r>
                <m:rPr/>
                <w:rPr>
                  <w:rFonts w:ascii="Cambria Math" w:hAnsi="Cambria Math"/>
                </w:rPr>
                <m:t>L</m:t>
              </m:r>
              <m:ctrlPr>
                <w:rPr>
                  <w:rFonts w:ascii="Cambria Math" w:hAnsi="Cambria Math"/>
                </w:rPr>
              </m:ctrlPr>
            </m:e>
            <m:sub>
              <m:r>
                <m:rPr/>
                <w:rPr>
                  <w:rFonts w:ascii="Cambria Math" w:hAnsi="Cambria Math"/>
                </w:rPr>
                <m:t>R</m:t>
              </m:r>
              <m:ctrlPr>
                <w:rPr>
                  <w:rFonts w:ascii="Cambria Math" w:hAnsi="Cambria Math"/>
                </w:rPr>
              </m:ctrlPr>
            </m:sub>
          </m:sSub>
          <m:sSub>
            <m:sSubPr>
              <m:ctrlPr>
                <w:rPr>
                  <w:rFonts w:ascii="Cambria Math" w:hAnsi="Cambria Math"/>
                </w:rPr>
              </m:ctrlPr>
            </m:sSubPr>
            <m:e>
              <m:r>
                <m:rPr/>
                <w:rPr>
                  <w:rFonts w:ascii="Cambria Math" w:hAnsi="Cambria Math"/>
                </w:rPr>
                <m:t>N</m:t>
              </m:r>
              <m:ctrlPr>
                <w:rPr>
                  <w:rFonts w:ascii="Cambria Math" w:hAnsi="Cambria Math"/>
                </w:rPr>
              </m:ctrlPr>
            </m:e>
            <m:sub>
              <m:r>
                <m:rPr/>
                <w:rPr>
                  <w:rFonts w:ascii="Cambria Math" w:hAnsi="Cambria Math"/>
                </w:rPr>
                <m:t>R</m:t>
              </m:r>
              <m:ctrlPr>
                <w:rPr>
                  <w:rFonts w:ascii="Cambria Math" w:hAnsi="Cambria Math"/>
                </w:rPr>
              </m:ctrlPr>
            </m:sub>
          </m:sSub>
          <m:d>
            <m:dPr>
              <m:begChr m:val="["/>
              <m:endChr m:val="]"/>
              <m:ctrlPr>
                <w:rPr>
                  <w:rFonts w:ascii="Cambria Math" w:hAnsi="Cambria Math"/>
                </w:rPr>
              </m:ctrlPr>
            </m:dPr>
            <m:e>
              <m:r>
                <m:rPr>
                  <m:sty m:val="p"/>
                </m:rPr>
                <w:rPr>
                  <w:rFonts w:ascii="Cambria Math" w:hAnsi="Cambria Math"/>
                </w:rPr>
                <m:t>1−</m:t>
              </m:r>
              <m:d>
                <m:dPr>
                  <m:ctrlPr>
                    <w:rPr>
                      <w:rFonts w:ascii="Cambria Math" w:hAnsi="Cambria Math"/>
                    </w:rPr>
                  </m:ctrlPr>
                </m:dPr>
                <m:e>
                  <m:sSub>
                    <m:sSubPr>
                      <m:ctrlPr>
                        <w:rPr>
                          <w:rFonts w:ascii="Cambria Math" w:hAnsi="Cambria Math"/>
                        </w:rPr>
                      </m:ctrlPr>
                    </m:sSubPr>
                    <m:e>
                      <m:r>
                        <m:rPr/>
                        <w:rPr>
                          <w:rFonts w:ascii="Cambria Math" w:hAnsi="Cambria Math"/>
                        </w:rPr>
                        <m:t>n</m:t>
                      </m:r>
                      <m:ctrlPr>
                        <w:rPr>
                          <w:rFonts w:ascii="Cambria Math" w:hAnsi="Cambria Math"/>
                        </w:rPr>
                      </m:ctrlPr>
                    </m:e>
                    <m:sub>
                      <m:r>
                        <m:rPr/>
                        <w:rPr>
                          <w:rFonts w:ascii="Cambria Math" w:hAnsi="Cambria Math"/>
                        </w:rPr>
                        <m:t>r</m:t>
                      </m:r>
                      <m:ctrlPr>
                        <w:rPr>
                          <w:rFonts w:ascii="Cambria Math" w:hAnsi="Cambria Math"/>
                        </w:rPr>
                      </m:ctrlPr>
                    </m:sub>
                  </m:sSub>
                  <m:r>
                    <m:rPr>
                      <m:sty m:val="p"/>
                    </m:rPr>
                    <w:rPr>
                      <w:rFonts w:ascii="Cambria Math" w:hAnsi="Cambria Math"/>
                    </w:rPr>
                    <m:t>/365</m:t>
                  </m:r>
                  <m:ctrlPr>
                    <w:rPr>
                      <w:rFonts w:ascii="Cambria Math" w:hAnsi="Cambria Math"/>
                    </w:rPr>
                  </m:ctrlPr>
                </m:e>
              </m:d>
              <m:ctrlPr>
                <w:rPr>
                  <w:rFonts w:ascii="Cambria Math" w:hAnsi="Cambria Math"/>
                </w:rPr>
              </m:ctrlPr>
            </m:e>
          </m:d>
          <m:r>
            <m:rPr>
              <m:sty m:val="p"/>
            </m:rPr>
            <w:rPr>
              <w:rFonts w:ascii="Cambria Math" w:hAnsi="Cambria Math"/>
            </w:rPr>
            <m:t>×</m:t>
          </m:r>
          <m:sSup>
            <m:sSupPr>
              <m:ctrlPr>
                <w:rPr>
                  <w:rFonts w:ascii="Cambria Math" w:hAnsi="Cambria Math"/>
                </w:rPr>
              </m:ctrlPr>
            </m:sSupPr>
            <m:e>
              <m:r>
                <m:rPr>
                  <m:sty m:val="p"/>
                </m:rPr>
                <w:rPr>
                  <w:rFonts w:ascii="Cambria Math" w:hAnsi="Cambria Math"/>
                </w:rPr>
                <m:t>10</m:t>
              </m:r>
              <m:ctrlPr>
                <w:rPr>
                  <w:rFonts w:ascii="Cambria Math" w:hAnsi="Cambria Math"/>
                </w:rPr>
              </m:ctrlPr>
            </m:e>
            <m:sup>
              <m:r>
                <m:rPr>
                  <m:sty m:val="p"/>
                </m:rPr>
                <w:rPr>
                  <w:rFonts w:ascii="Cambria Math" w:hAnsi="Cambria Math"/>
                </w:rPr>
                <m:t>−6</m:t>
              </m:r>
              <m:ctrlPr>
                <w:rPr>
                  <w:rFonts w:ascii="Cambria Math" w:hAnsi="Cambria Math"/>
                </w:rPr>
              </m:ctrlPr>
            </m:sup>
          </m:sSup>
        </m:oMath>
      </m:oMathPara>
    </w:p>
    <w:p w14:paraId="435D34A7">
      <w:pPr>
        <w:ind w:firstLine="462"/>
      </w:pPr>
      <w:r>
        <w:rPr>
          <w:rFonts w:hint="eastAsia"/>
        </w:rPr>
        <w:t xml:space="preserve">式中   </w:t>
      </w:r>
      <w:r>
        <w:rPr>
          <w:rFonts w:hint="eastAsia"/>
          <w:i/>
          <w:iCs/>
        </w:rPr>
        <w:t>W</w:t>
      </w:r>
      <w:r>
        <w:rPr>
          <w:rFonts w:hint="eastAsia"/>
          <w:i/>
          <w:iCs/>
          <w:vertAlign w:val="subscript"/>
        </w:rPr>
        <w:t>Ri</w:t>
      </w:r>
      <w:r>
        <w:rPr>
          <w:rFonts w:hint="eastAsia"/>
        </w:rPr>
        <w:t>———道路扬尘源中颗粒物P</w:t>
      </w:r>
      <w:r>
        <w:rPr>
          <w:rFonts w:hint="eastAsia"/>
          <w:vertAlign w:val="subscript"/>
        </w:rPr>
        <w:t>Mi</w:t>
      </w:r>
      <w:r>
        <w:rPr>
          <w:rFonts w:hint="eastAsia"/>
        </w:rPr>
        <w:t>的总排放量（t/a）；</w:t>
      </w:r>
    </w:p>
    <w:p w14:paraId="69B9B24C">
      <w:pPr>
        <w:ind w:firstLine="462"/>
      </w:pPr>
      <w:r>
        <w:rPr>
          <w:rFonts w:hint="eastAsia"/>
          <w:i/>
          <w:iCs/>
        </w:rPr>
        <w:t>E</w:t>
      </w:r>
      <w:r>
        <w:rPr>
          <w:rFonts w:hint="eastAsia"/>
          <w:i/>
          <w:iCs/>
          <w:vertAlign w:val="subscript"/>
        </w:rPr>
        <w:t>Ri</w:t>
      </w:r>
      <w:r>
        <w:rPr>
          <w:rFonts w:hint="eastAsia"/>
          <w:i/>
          <w:iCs/>
        </w:rPr>
        <w:t>———</w:t>
      </w:r>
      <w:r>
        <w:rPr>
          <w:rFonts w:hint="eastAsia"/>
        </w:rPr>
        <w:t>数（g/km·辆）；</w:t>
      </w:r>
    </w:p>
    <w:p w14:paraId="13FA0054">
      <w:pPr>
        <w:ind w:firstLine="462"/>
      </w:pPr>
      <w:r>
        <w:rPr>
          <w:rFonts w:hint="eastAsia"/>
          <w:i/>
          <w:iCs/>
        </w:rPr>
        <w:t>L</w:t>
      </w:r>
      <w:r>
        <w:rPr>
          <w:rFonts w:hint="eastAsia"/>
          <w:i/>
          <w:iCs/>
          <w:vertAlign w:val="subscript"/>
        </w:rPr>
        <w:t>R</w:t>
      </w:r>
      <w:r>
        <w:rPr>
          <w:rFonts w:hint="eastAsia"/>
          <w:i/>
          <w:iCs/>
        </w:rPr>
        <w:t>———</w:t>
      </w:r>
      <w:r>
        <w:rPr>
          <w:rFonts w:hint="eastAsia"/>
        </w:rPr>
        <w:t>道路长度（km），按集卡港内运输平均路线长度0.3km；</w:t>
      </w:r>
    </w:p>
    <w:p w14:paraId="78EB4D83">
      <w:pPr>
        <w:ind w:firstLine="462"/>
      </w:pPr>
      <w:r>
        <w:rPr>
          <w:rFonts w:hint="eastAsia"/>
          <w:i/>
          <w:iCs/>
        </w:rPr>
        <w:t>N</w:t>
      </w:r>
      <w:r>
        <w:rPr>
          <w:rFonts w:hint="eastAsia"/>
          <w:i/>
          <w:iCs/>
          <w:vertAlign w:val="subscript"/>
        </w:rPr>
        <w:t>R</w:t>
      </w:r>
      <w:r>
        <w:rPr>
          <w:rFonts w:hint="eastAsia"/>
          <w:i/>
          <w:iCs/>
        </w:rPr>
        <w:t>———</w:t>
      </w:r>
      <w:r>
        <w:rPr>
          <w:rFonts w:hint="eastAsia"/>
        </w:rPr>
        <w:t>一定时期内车辆在该段道路上的平均车流量（辆/a），根据集运疏设计量项目车流量约100000辆/a；</w:t>
      </w:r>
    </w:p>
    <w:p w14:paraId="760980DD">
      <w:pPr>
        <w:ind w:firstLine="462"/>
      </w:pPr>
      <w:r>
        <w:rPr>
          <w:rFonts w:hint="eastAsia"/>
          <w:i/>
          <w:iCs/>
        </w:rPr>
        <w:t>n</w:t>
      </w:r>
      <w:r>
        <w:rPr>
          <w:rFonts w:hint="eastAsia"/>
          <w:i/>
          <w:iCs/>
          <w:vertAlign w:val="subscript"/>
        </w:rPr>
        <w:t>r</w:t>
      </w:r>
      <w:r>
        <w:rPr>
          <w:rFonts w:hint="eastAsia"/>
        </w:rPr>
        <w:t>——不起尘天数，取160d。</w:t>
      </w:r>
    </w:p>
    <w:p w14:paraId="65A19C3D">
      <w:pPr>
        <w:ind w:firstLine="462"/>
      </w:pPr>
      <w:r>
        <w:rPr>
          <w:rFonts w:hint="eastAsia"/>
        </w:rPr>
        <w:t>其中，铺装道路起尘排放系数计算公式如下：</w:t>
      </w:r>
    </w:p>
    <w:p w14:paraId="03F3B70A">
      <w:pPr>
        <w:ind w:firstLine="462"/>
      </w:pPr>
      <m:oMathPara>
        <m:oMath>
          <m:sSub>
            <m:sSubPr>
              <m:ctrlPr>
                <w:rPr>
                  <w:rFonts w:ascii="Cambria Math" w:hAnsi="Cambria Math"/>
                </w:rPr>
              </m:ctrlPr>
            </m:sSubPr>
            <m:e>
              <m:r>
                <m:rPr/>
                <w:rPr>
                  <w:rFonts w:ascii="Cambria Math" w:hAnsi="Cambria Math"/>
                </w:rPr>
                <m:t>E</m:t>
              </m:r>
              <m:ctrlPr>
                <w:rPr>
                  <w:rFonts w:ascii="Cambria Math" w:hAnsi="Cambria Math"/>
                </w:rPr>
              </m:ctrlPr>
            </m:e>
            <m:sub>
              <m:r>
                <m:rPr/>
                <w:rPr>
                  <w:rFonts w:ascii="Cambria Math" w:hAnsi="Cambria Math"/>
                </w:rPr>
                <m:t>Ri</m:t>
              </m:r>
              <m:ctrlPr>
                <w:rPr>
                  <w:rFonts w:ascii="Cambria Math" w:hAnsi="Cambria Math"/>
                </w:rPr>
              </m:ctrlPr>
            </m:sub>
          </m:sSub>
          <m:r>
            <m:rPr>
              <m:sty m:val="p"/>
            </m:rPr>
            <w:rPr>
              <w:rFonts w:ascii="Cambria Math" w:hAnsi="Cambria Math"/>
            </w:rPr>
            <m:t>=</m:t>
          </m:r>
          <m:sSub>
            <m:sSubPr>
              <m:ctrlPr>
                <w:rPr>
                  <w:rFonts w:ascii="Cambria Math" w:hAnsi="Cambria Math"/>
                </w:rPr>
              </m:ctrlPr>
            </m:sSubPr>
            <m:e>
              <m:r>
                <m:rPr/>
                <w:rPr>
                  <w:rFonts w:ascii="Cambria Math" w:hAnsi="Cambria Math"/>
                </w:rPr>
                <m:t>k</m:t>
              </m:r>
              <m:ctrlPr>
                <w:rPr>
                  <w:rFonts w:ascii="Cambria Math" w:hAnsi="Cambria Math"/>
                </w:rPr>
              </m:ctrlPr>
            </m:e>
            <m:sub>
              <m:r>
                <m:rPr/>
                <w:rPr>
                  <w:rFonts w:ascii="Cambria Math" w:hAnsi="Cambria Math"/>
                </w:rPr>
                <m:t>i</m:t>
              </m:r>
              <m:ctrlPr>
                <w:rPr>
                  <w:rFonts w:ascii="Cambria Math" w:hAnsi="Cambria Math"/>
                </w:rPr>
              </m:ctrlPr>
            </m:sub>
          </m:sSub>
          <m:sSup>
            <m:sSupPr>
              <m:ctrlPr>
                <w:rPr>
                  <w:rFonts w:ascii="Cambria Math" w:hAnsi="Cambria Math"/>
                </w:rPr>
              </m:ctrlPr>
            </m:sSupPr>
            <m:e>
              <m:d>
                <m:dPr>
                  <m:ctrlPr>
                    <w:rPr>
                      <w:rFonts w:ascii="Cambria Math" w:hAnsi="Cambria Math"/>
                    </w:rPr>
                  </m:ctrlPr>
                </m:dPr>
                <m:e>
                  <m:r>
                    <m:rPr/>
                    <w:rPr>
                      <w:rFonts w:ascii="Cambria Math" w:hAnsi="Cambria Math"/>
                    </w:rPr>
                    <m:t>sL</m:t>
                  </m:r>
                  <m:ctrlPr>
                    <w:rPr>
                      <w:rFonts w:ascii="Cambria Math" w:hAnsi="Cambria Math"/>
                    </w:rPr>
                  </m:ctrlPr>
                </m:e>
              </m:d>
              <m:ctrlPr>
                <w:rPr>
                  <w:rFonts w:ascii="Cambria Math" w:hAnsi="Cambria Math"/>
                </w:rPr>
              </m:ctrlPr>
            </m:e>
            <m:sup>
              <m:r>
                <m:rPr>
                  <m:sty m:val="p"/>
                </m:rPr>
                <w:rPr>
                  <w:rFonts w:ascii="Cambria Math" w:hAnsi="Cambria Math"/>
                </w:rPr>
                <m:t>0.91</m:t>
              </m:r>
              <m:ctrlPr>
                <w:rPr>
                  <w:rFonts w:ascii="Cambria Math" w:hAnsi="Cambria Math"/>
                </w:rPr>
              </m:ctrlPr>
            </m:sup>
          </m:sSup>
          <m:sSup>
            <m:sSupPr>
              <m:ctrlPr>
                <w:rPr>
                  <w:rFonts w:ascii="Cambria Math" w:hAnsi="Cambria Math"/>
                </w:rPr>
              </m:ctrlPr>
            </m:sSupPr>
            <m:e>
              <m:d>
                <m:dPr>
                  <m:ctrlPr>
                    <w:rPr>
                      <w:rFonts w:ascii="Cambria Math" w:hAnsi="Cambria Math"/>
                    </w:rPr>
                  </m:ctrlPr>
                </m:dPr>
                <m:e>
                  <m:r>
                    <m:rPr/>
                    <w:rPr>
                      <w:rFonts w:ascii="Cambria Math" w:hAnsi="Cambria Math"/>
                    </w:rPr>
                    <m:t>W</m:t>
                  </m:r>
                  <m:ctrlPr>
                    <w:rPr>
                      <w:rFonts w:ascii="Cambria Math" w:hAnsi="Cambria Math"/>
                    </w:rPr>
                  </m:ctrlPr>
                </m:e>
              </m:d>
              <m:ctrlPr>
                <w:rPr>
                  <w:rFonts w:ascii="Cambria Math" w:hAnsi="Cambria Math"/>
                </w:rPr>
              </m:ctrlPr>
            </m:e>
            <m:sup>
              <m:r>
                <m:rPr>
                  <m:sty m:val="p"/>
                </m:rPr>
                <w:rPr>
                  <w:rFonts w:ascii="Cambria Math" w:hAnsi="Cambria Math"/>
                </w:rPr>
                <m:t>1.02</m:t>
              </m:r>
              <m:ctrlPr>
                <w:rPr>
                  <w:rFonts w:ascii="Cambria Math" w:hAnsi="Cambria Math"/>
                </w:rPr>
              </m:ctrlPr>
            </m:sup>
          </m:sSup>
          <m:d>
            <m:dPr>
              <m:ctrlPr>
                <w:rPr>
                  <w:rFonts w:ascii="Cambria Math" w:hAnsi="Cambria Math"/>
                </w:rPr>
              </m:ctrlPr>
            </m:dPr>
            <m:e>
              <m:r>
                <m:rPr>
                  <m:sty m:val="p"/>
                </m:rPr>
                <w:rPr>
                  <w:rFonts w:ascii="Cambria Math" w:hAnsi="Cambria Math"/>
                </w:rPr>
                <m:t>1−</m:t>
              </m:r>
              <m:r>
                <m:rPr/>
                <w:rPr>
                  <w:rFonts w:ascii="Cambria Math" w:hAnsi="Cambria Math"/>
                </w:rPr>
                <m:t>η</m:t>
              </m:r>
              <m:ctrlPr>
                <w:rPr>
                  <w:rFonts w:ascii="Cambria Math" w:hAnsi="Cambria Math"/>
                </w:rPr>
              </m:ctrlPr>
            </m:e>
          </m:d>
        </m:oMath>
      </m:oMathPara>
    </w:p>
    <w:p w14:paraId="37C1BD2C">
      <w:pPr>
        <w:ind w:firstLine="462"/>
      </w:pPr>
      <w:r>
        <w:rPr>
          <w:rFonts w:hint="eastAsia"/>
        </w:rPr>
        <w:t xml:space="preserve">式中   </w:t>
      </w:r>
      <w:r>
        <w:rPr>
          <w:rFonts w:hint="eastAsia"/>
          <w:i/>
          <w:iCs/>
        </w:rPr>
        <w:t>E</w:t>
      </w:r>
      <w:r>
        <w:rPr>
          <w:rFonts w:hint="eastAsia"/>
          <w:i/>
          <w:iCs/>
          <w:vertAlign w:val="subscript"/>
        </w:rPr>
        <w:t>Ri</w:t>
      </w:r>
      <w:r>
        <w:rPr>
          <w:rFonts w:hint="eastAsia"/>
        </w:rPr>
        <w:t>———铺装道路的扬尘中P</w:t>
      </w:r>
      <w:r>
        <w:rPr>
          <w:rFonts w:hint="eastAsia"/>
          <w:vertAlign w:val="subscript"/>
        </w:rPr>
        <w:t>Mi</w:t>
      </w:r>
      <w:r>
        <w:rPr>
          <w:rFonts w:hint="eastAsia"/>
        </w:rPr>
        <w:t>排放系数（g/km）；</w:t>
      </w:r>
    </w:p>
    <w:p w14:paraId="1E82FFDA">
      <w:pPr>
        <w:ind w:firstLine="462"/>
      </w:pPr>
      <w:r>
        <w:rPr>
          <w:rFonts w:hint="eastAsia"/>
          <w:i/>
          <w:iCs/>
        </w:rPr>
        <w:t>k</w:t>
      </w:r>
      <w:r>
        <w:rPr>
          <w:rFonts w:hint="eastAsia"/>
          <w:i/>
          <w:iCs/>
          <w:vertAlign w:val="subscript"/>
        </w:rPr>
        <w:t>i</w:t>
      </w:r>
      <w:r>
        <w:rPr>
          <w:rFonts w:hint="eastAsia"/>
        </w:rPr>
        <w:t>———扬尘中P</w:t>
      </w:r>
      <w:r>
        <w:rPr>
          <w:rFonts w:hint="eastAsia"/>
          <w:vertAlign w:val="subscript"/>
        </w:rPr>
        <w:t>Mi</w:t>
      </w:r>
      <w:r>
        <w:rPr>
          <w:rFonts w:hint="eastAsia"/>
        </w:rPr>
        <w:t>的粒度乘数，参考值见表2.3-7；</w:t>
      </w:r>
    </w:p>
    <w:p w14:paraId="229E10E2">
      <w:pPr>
        <w:ind w:firstLine="462"/>
      </w:pPr>
      <w:r>
        <w:rPr>
          <w:rFonts w:hint="eastAsia"/>
          <w:i/>
          <w:iCs/>
        </w:rPr>
        <w:t>sL</w:t>
      </w:r>
      <w:r>
        <w:rPr>
          <w:rFonts w:hint="eastAsia"/>
        </w:rPr>
        <w:t>——道路积尘负荷（g/m</w:t>
      </w:r>
      <w:r>
        <w:rPr>
          <w:rFonts w:hint="eastAsia"/>
          <w:vertAlign w:val="superscript"/>
        </w:rPr>
        <w:t>2</w:t>
      </w:r>
      <w:r>
        <w:rPr>
          <w:rFonts w:hint="eastAsia"/>
        </w:rPr>
        <w:t>），参照《</w:t>
      </w:r>
      <w:bookmarkStart w:id="301" w:name="OLE_LINK198"/>
      <w:r>
        <w:rPr>
          <w:rFonts w:hint="eastAsia"/>
        </w:rPr>
        <w:t>防治城市扬尘污染技术规范</w:t>
      </w:r>
      <w:bookmarkEnd w:id="301"/>
      <w:r>
        <w:rPr>
          <w:rFonts w:hint="eastAsia"/>
        </w:rPr>
        <w:t>》（HJ/T393-2007）附录C中道路类型为“优”的机动车道积尘负荷限定标准参考值，取1g/m</w:t>
      </w:r>
      <w:r>
        <w:rPr>
          <w:rFonts w:hint="eastAsia"/>
          <w:vertAlign w:val="superscript"/>
        </w:rPr>
        <w:t>2</w:t>
      </w:r>
      <w:r>
        <w:rPr>
          <w:rFonts w:hint="eastAsia"/>
        </w:rPr>
        <w:t>；</w:t>
      </w:r>
    </w:p>
    <w:p w14:paraId="24FA7AE8">
      <w:pPr>
        <w:ind w:firstLine="462"/>
      </w:pPr>
      <w:r>
        <w:rPr>
          <w:rFonts w:hint="eastAsia"/>
          <w:i/>
          <w:iCs/>
        </w:rPr>
        <w:t>W</w:t>
      </w:r>
      <w:r>
        <w:rPr>
          <w:rFonts w:hint="eastAsia"/>
        </w:rPr>
        <w:t>——平均车重（t），取40t；</w:t>
      </w:r>
    </w:p>
    <w:p w14:paraId="3849D0BA">
      <w:pPr>
        <w:ind w:firstLine="462"/>
      </w:pPr>
      <w:r>
        <w:rPr>
          <w:rFonts w:hint="eastAsia"/>
          <w:i/>
          <w:iCs/>
        </w:rPr>
        <w:t>η</w:t>
      </w:r>
      <w:r>
        <w:rPr>
          <w:rFonts w:hint="eastAsia"/>
        </w:rPr>
        <w:t>——污染控制技术对扬尘的控制效率（%），推荐值见表2.3-8。</w:t>
      </w:r>
    </w:p>
    <w:p w14:paraId="02D93D20">
      <w:pPr>
        <w:ind w:firstLine="462"/>
      </w:pPr>
      <w:r>
        <w:rPr>
          <w:rFonts w:hint="eastAsia"/>
        </w:rPr>
        <w:t>运输道路起尘源强参数见表2.3-9。</w:t>
      </w:r>
    </w:p>
    <w:p w14:paraId="630AA806">
      <w:pPr>
        <w:pStyle w:val="7"/>
      </w:pPr>
      <w:r>
        <w:rPr>
          <w:rFonts w:hint="eastAsia"/>
        </w:rPr>
        <w:t>铺装道路产生颗粒物的粒度乘数</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29"/>
        <w:gridCol w:w="2128"/>
        <w:gridCol w:w="2131"/>
        <w:gridCol w:w="2131"/>
      </w:tblGrid>
      <w:tr w14:paraId="697C58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9" w:type="dxa"/>
            <w:vAlign w:val="center"/>
          </w:tcPr>
          <w:p w14:paraId="2ADCDF40">
            <w:pPr>
              <w:pStyle w:val="34"/>
            </w:pPr>
            <w:r>
              <w:rPr>
                <w:rFonts w:hint="eastAsia"/>
              </w:rPr>
              <w:t>粒径</w:t>
            </w:r>
          </w:p>
        </w:tc>
        <w:tc>
          <w:tcPr>
            <w:tcW w:w="2128" w:type="dxa"/>
            <w:vAlign w:val="center"/>
          </w:tcPr>
          <w:p w14:paraId="766D6866">
            <w:pPr>
              <w:pStyle w:val="34"/>
            </w:pPr>
            <w:r>
              <w:rPr>
                <w:rFonts w:hint="eastAsia"/>
              </w:rPr>
              <w:t>TSP</w:t>
            </w:r>
          </w:p>
        </w:tc>
        <w:tc>
          <w:tcPr>
            <w:tcW w:w="2131" w:type="dxa"/>
            <w:vAlign w:val="center"/>
          </w:tcPr>
          <w:p w14:paraId="5E4AFC33">
            <w:pPr>
              <w:pStyle w:val="34"/>
            </w:pPr>
            <w:r>
              <w:rPr>
                <w:rFonts w:hint="eastAsia"/>
              </w:rPr>
              <w:t>PM</w:t>
            </w:r>
            <w:r>
              <w:rPr>
                <w:rFonts w:hint="eastAsia"/>
                <w:vertAlign w:val="subscript"/>
              </w:rPr>
              <w:t>10</w:t>
            </w:r>
          </w:p>
        </w:tc>
        <w:tc>
          <w:tcPr>
            <w:tcW w:w="2131" w:type="dxa"/>
            <w:vAlign w:val="center"/>
          </w:tcPr>
          <w:p w14:paraId="7DBA2723">
            <w:pPr>
              <w:pStyle w:val="34"/>
            </w:pPr>
            <w:r>
              <w:rPr>
                <w:rFonts w:hint="eastAsia"/>
              </w:rPr>
              <w:t>PM</w:t>
            </w:r>
            <w:r>
              <w:rPr>
                <w:rFonts w:hint="eastAsia"/>
                <w:vertAlign w:val="subscript"/>
              </w:rPr>
              <w:t>2.5</w:t>
            </w:r>
          </w:p>
        </w:tc>
      </w:tr>
      <w:tr w14:paraId="12A255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9" w:type="dxa"/>
            <w:vAlign w:val="center"/>
          </w:tcPr>
          <w:p w14:paraId="624EECD7">
            <w:pPr>
              <w:pStyle w:val="34"/>
            </w:pPr>
            <w:r>
              <w:rPr>
                <w:rFonts w:hint="eastAsia"/>
              </w:rPr>
              <w:t>粒度乘数</w:t>
            </w:r>
          </w:p>
        </w:tc>
        <w:tc>
          <w:tcPr>
            <w:tcW w:w="2128" w:type="dxa"/>
            <w:vAlign w:val="center"/>
          </w:tcPr>
          <w:p w14:paraId="08E0ED0B">
            <w:pPr>
              <w:pStyle w:val="34"/>
            </w:pPr>
            <w:r>
              <w:rPr>
                <w:rFonts w:hint="eastAsia"/>
              </w:rPr>
              <w:t>3.23</w:t>
            </w:r>
          </w:p>
        </w:tc>
        <w:tc>
          <w:tcPr>
            <w:tcW w:w="2131" w:type="dxa"/>
            <w:vAlign w:val="center"/>
          </w:tcPr>
          <w:p w14:paraId="37F278EB">
            <w:pPr>
              <w:pStyle w:val="34"/>
            </w:pPr>
            <w:r>
              <w:rPr>
                <w:rFonts w:hint="eastAsia"/>
              </w:rPr>
              <w:t>0.62</w:t>
            </w:r>
          </w:p>
        </w:tc>
        <w:tc>
          <w:tcPr>
            <w:tcW w:w="2131" w:type="dxa"/>
            <w:vAlign w:val="center"/>
          </w:tcPr>
          <w:p w14:paraId="6C159281">
            <w:pPr>
              <w:pStyle w:val="34"/>
            </w:pPr>
            <w:r>
              <w:rPr>
                <w:rFonts w:hint="eastAsia"/>
              </w:rPr>
              <w:t>0.15</w:t>
            </w:r>
          </w:p>
        </w:tc>
      </w:tr>
    </w:tbl>
    <w:p w14:paraId="78B5F179">
      <w:pPr>
        <w:pStyle w:val="7"/>
      </w:pPr>
      <w:r>
        <w:rPr>
          <w:rFonts w:hint="eastAsia"/>
        </w:rPr>
        <w:t>铺装道路扬尘源控制措施的控制效率</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29"/>
        <w:gridCol w:w="2128"/>
        <w:gridCol w:w="2131"/>
        <w:gridCol w:w="2131"/>
      </w:tblGrid>
      <w:tr w14:paraId="0DA93A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9" w:type="dxa"/>
            <w:vAlign w:val="center"/>
          </w:tcPr>
          <w:p w14:paraId="76FDAC16">
            <w:pPr>
              <w:pStyle w:val="34"/>
            </w:pPr>
            <w:r>
              <w:rPr>
                <w:rFonts w:hint="eastAsia"/>
              </w:rPr>
              <w:t>控制措施</w:t>
            </w:r>
          </w:p>
        </w:tc>
        <w:tc>
          <w:tcPr>
            <w:tcW w:w="2128" w:type="dxa"/>
            <w:vAlign w:val="center"/>
          </w:tcPr>
          <w:p w14:paraId="7CBFAF04">
            <w:pPr>
              <w:pStyle w:val="34"/>
            </w:pPr>
            <w:r>
              <w:rPr>
                <w:rFonts w:hint="eastAsia"/>
              </w:rPr>
              <w:t>TSP控制效率</w:t>
            </w:r>
          </w:p>
        </w:tc>
        <w:tc>
          <w:tcPr>
            <w:tcW w:w="2131" w:type="dxa"/>
            <w:vAlign w:val="center"/>
          </w:tcPr>
          <w:p w14:paraId="60AA235D">
            <w:pPr>
              <w:pStyle w:val="34"/>
            </w:pPr>
            <w:r>
              <w:rPr>
                <w:rFonts w:hint="eastAsia"/>
              </w:rPr>
              <w:t>PM</w:t>
            </w:r>
            <w:r>
              <w:rPr>
                <w:rFonts w:hint="eastAsia"/>
                <w:vertAlign w:val="subscript"/>
              </w:rPr>
              <w:t>10</w:t>
            </w:r>
            <w:r>
              <w:rPr>
                <w:rFonts w:hint="eastAsia"/>
              </w:rPr>
              <w:t>控制效率</w:t>
            </w:r>
          </w:p>
        </w:tc>
        <w:tc>
          <w:tcPr>
            <w:tcW w:w="2131" w:type="dxa"/>
            <w:vAlign w:val="center"/>
          </w:tcPr>
          <w:p w14:paraId="7A1B8AD0">
            <w:pPr>
              <w:pStyle w:val="34"/>
            </w:pPr>
            <w:r>
              <w:rPr>
                <w:rFonts w:hint="eastAsia"/>
              </w:rPr>
              <w:t>PM</w:t>
            </w:r>
            <w:r>
              <w:rPr>
                <w:rFonts w:hint="eastAsia"/>
                <w:vertAlign w:val="subscript"/>
              </w:rPr>
              <w:t>2.5</w:t>
            </w:r>
            <w:r>
              <w:rPr>
                <w:rFonts w:hint="eastAsia"/>
              </w:rPr>
              <w:t>控制效率</w:t>
            </w:r>
          </w:p>
        </w:tc>
      </w:tr>
      <w:tr w14:paraId="346F3B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9" w:type="dxa"/>
            <w:vAlign w:val="center"/>
          </w:tcPr>
          <w:p w14:paraId="302AEBC8">
            <w:pPr>
              <w:pStyle w:val="34"/>
            </w:pPr>
            <w:r>
              <w:rPr>
                <w:rFonts w:hint="eastAsia"/>
              </w:rPr>
              <w:t>洒水（2次/天）</w:t>
            </w:r>
          </w:p>
        </w:tc>
        <w:tc>
          <w:tcPr>
            <w:tcW w:w="2128" w:type="dxa"/>
            <w:vAlign w:val="center"/>
          </w:tcPr>
          <w:p w14:paraId="79A41A0A">
            <w:pPr>
              <w:pStyle w:val="34"/>
            </w:pPr>
            <w:r>
              <w:rPr>
                <w:rFonts w:hint="eastAsia"/>
              </w:rPr>
              <w:t>66%</w:t>
            </w:r>
          </w:p>
        </w:tc>
        <w:tc>
          <w:tcPr>
            <w:tcW w:w="2131" w:type="dxa"/>
            <w:vAlign w:val="center"/>
          </w:tcPr>
          <w:p w14:paraId="2787EF4A">
            <w:pPr>
              <w:pStyle w:val="34"/>
            </w:pPr>
            <w:r>
              <w:rPr>
                <w:rFonts w:hint="eastAsia"/>
              </w:rPr>
              <w:t>55%</w:t>
            </w:r>
          </w:p>
        </w:tc>
        <w:tc>
          <w:tcPr>
            <w:tcW w:w="2131" w:type="dxa"/>
            <w:vAlign w:val="center"/>
          </w:tcPr>
          <w:p w14:paraId="24F3B4E3">
            <w:pPr>
              <w:pStyle w:val="34"/>
            </w:pPr>
            <w:r>
              <w:rPr>
                <w:rFonts w:hint="eastAsia"/>
              </w:rPr>
              <w:t>46%</w:t>
            </w:r>
          </w:p>
        </w:tc>
      </w:tr>
    </w:tbl>
    <w:p w14:paraId="2A49E7C7">
      <w:pPr>
        <w:pStyle w:val="7"/>
      </w:pPr>
      <w:r>
        <w:rPr>
          <w:rFonts w:hint="eastAsia"/>
        </w:rPr>
        <w:t>运输道路起尘源强估算结果</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54"/>
        <w:gridCol w:w="2463"/>
        <w:gridCol w:w="4005"/>
      </w:tblGrid>
      <w:tr w14:paraId="3FBAB6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2054" w:type="dxa"/>
            <w:vAlign w:val="center"/>
          </w:tcPr>
          <w:p w14:paraId="704D8E10">
            <w:pPr>
              <w:pStyle w:val="34"/>
            </w:pPr>
            <w:r>
              <w:rPr>
                <w:rFonts w:hint="eastAsia"/>
              </w:rPr>
              <w:t>扬尘源</w:t>
            </w:r>
          </w:p>
        </w:tc>
        <w:tc>
          <w:tcPr>
            <w:tcW w:w="2463" w:type="dxa"/>
            <w:vAlign w:val="center"/>
          </w:tcPr>
          <w:p w14:paraId="6A4FF4AB">
            <w:pPr>
              <w:pStyle w:val="34"/>
            </w:pPr>
            <w:r>
              <w:rPr>
                <w:rFonts w:hint="eastAsia"/>
              </w:rPr>
              <w:t>污染物类型</w:t>
            </w:r>
          </w:p>
        </w:tc>
        <w:tc>
          <w:tcPr>
            <w:tcW w:w="4005" w:type="dxa"/>
            <w:vAlign w:val="center"/>
          </w:tcPr>
          <w:p w14:paraId="186A43E0">
            <w:pPr>
              <w:pStyle w:val="34"/>
            </w:pPr>
            <w:r>
              <w:rPr>
                <w:rFonts w:hint="eastAsia"/>
              </w:rPr>
              <w:t>污染源源强（t/a）</w:t>
            </w:r>
          </w:p>
        </w:tc>
      </w:tr>
      <w:tr w14:paraId="52F458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54" w:type="dxa"/>
            <w:vMerge w:val="restart"/>
            <w:vAlign w:val="center"/>
          </w:tcPr>
          <w:p w14:paraId="78FBFDB2">
            <w:pPr>
              <w:pStyle w:val="34"/>
            </w:pPr>
            <w:bookmarkStart w:id="302" w:name="_Hlk211866403"/>
            <w:r>
              <w:rPr>
                <w:rFonts w:hint="eastAsia"/>
              </w:rPr>
              <w:t>运输</w:t>
            </w:r>
            <w:r>
              <w:t>道路</w:t>
            </w:r>
          </w:p>
        </w:tc>
        <w:tc>
          <w:tcPr>
            <w:tcW w:w="2463" w:type="dxa"/>
            <w:vAlign w:val="center"/>
          </w:tcPr>
          <w:p w14:paraId="76408800">
            <w:pPr>
              <w:pStyle w:val="34"/>
            </w:pPr>
            <w:r>
              <w:rPr>
                <w:rFonts w:hint="eastAsia"/>
              </w:rPr>
              <w:t>TSP</w:t>
            </w:r>
          </w:p>
        </w:tc>
        <w:tc>
          <w:tcPr>
            <w:tcW w:w="4005" w:type="dxa"/>
            <w:vAlign w:val="center"/>
          </w:tcPr>
          <w:p w14:paraId="24AE6F66">
            <w:pPr>
              <w:pStyle w:val="34"/>
            </w:pPr>
            <w:r>
              <w:rPr>
                <w:rFonts w:hint="eastAsia"/>
              </w:rPr>
              <w:t>0.80</w:t>
            </w:r>
          </w:p>
        </w:tc>
      </w:tr>
      <w:tr w14:paraId="1BAAA2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54" w:type="dxa"/>
            <w:vMerge w:val="continue"/>
            <w:vAlign w:val="center"/>
          </w:tcPr>
          <w:p w14:paraId="02E95715">
            <w:pPr>
              <w:pStyle w:val="34"/>
            </w:pPr>
          </w:p>
        </w:tc>
        <w:tc>
          <w:tcPr>
            <w:tcW w:w="2463" w:type="dxa"/>
            <w:vAlign w:val="center"/>
          </w:tcPr>
          <w:p w14:paraId="4CBE61F9">
            <w:pPr>
              <w:pStyle w:val="34"/>
            </w:pPr>
            <w:r>
              <w:rPr>
                <w:rFonts w:hint="eastAsia"/>
              </w:rPr>
              <w:t>PM</w:t>
            </w:r>
            <w:r>
              <w:rPr>
                <w:rFonts w:hint="eastAsia"/>
                <w:vertAlign w:val="subscript"/>
              </w:rPr>
              <w:t>10</w:t>
            </w:r>
          </w:p>
        </w:tc>
        <w:tc>
          <w:tcPr>
            <w:tcW w:w="4005" w:type="dxa"/>
            <w:vAlign w:val="center"/>
          </w:tcPr>
          <w:p w14:paraId="3EC160C8">
            <w:pPr>
              <w:pStyle w:val="34"/>
            </w:pPr>
            <w:r>
              <w:rPr>
                <w:rFonts w:hint="eastAsia"/>
              </w:rPr>
              <w:t>0.20</w:t>
            </w:r>
          </w:p>
        </w:tc>
      </w:tr>
      <w:tr w14:paraId="580DEF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54" w:type="dxa"/>
            <w:vMerge w:val="continue"/>
            <w:vAlign w:val="center"/>
          </w:tcPr>
          <w:p w14:paraId="7C2A3F5A">
            <w:pPr>
              <w:pStyle w:val="34"/>
            </w:pPr>
          </w:p>
        </w:tc>
        <w:tc>
          <w:tcPr>
            <w:tcW w:w="2463" w:type="dxa"/>
            <w:vAlign w:val="center"/>
          </w:tcPr>
          <w:p w14:paraId="7BCD5AE0">
            <w:pPr>
              <w:pStyle w:val="34"/>
            </w:pPr>
            <w:r>
              <w:rPr>
                <w:rFonts w:hint="eastAsia"/>
              </w:rPr>
              <w:t>PM</w:t>
            </w:r>
            <w:r>
              <w:rPr>
                <w:rFonts w:hint="eastAsia"/>
                <w:vertAlign w:val="subscript"/>
              </w:rPr>
              <w:t>2.5</w:t>
            </w:r>
          </w:p>
        </w:tc>
        <w:tc>
          <w:tcPr>
            <w:tcW w:w="4005" w:type="dxa"/>
            <w:vAlign w:val="center"/>
          </w:tcPr>
          <w:p w14:paraId="102434E5">
            <w:pPr>
              <w:pStyle w:val="34"/>
            </w:pPr>
            <w:r>
              <w:rPr>
                <w:rFonts w:hint="eastAsia"/>
              </w:rPr>
              <w:t>0.06</w:t>
            </w:r>
          </w:p>
        </w:tc>
      </w:tr>
      <w:bookmarkEnd w:id="302"/>
    </w:tbl>
    <w:p w14:paraId="29B7AD61">
      <w:pPr>
        <w:pStyle w:val="6"/>
      </w:pPr>
      <w:r>
        <w:t>声环境污染源</w:t>
      </w:r>
    </w:p>
    <w:p w14:paraId="06832FA5">
      <w:pPr>
        <w:ind w:firstLine="462"/>
        <w:rPr>
          <w:sz w:val="28"/>
          <w:szCs w:val="28"/>
        </w:rPr>
      </w:pPr>
      <w:r>
        <w:t>项目噪声源主要为码头进出港船舶辅机运行、装卸作业噪声，主要设备噪声级见表</w:t>
      </w:r>
      <w:r>
        <w:rPr>
          <w:rFonts w:hint="eastAsia"/>
        </w:rPr>
        <w:t>2.3-10。</w:t>
      </w:r>
    </w:p>
    <w:p w14:paraId="71C77267">
      <w:pPr>
        <w:pStyle w:val="7"/>
      </w:pPr>
      <w:r>
        <w:rPr>
          <w:rFonts w:hint="eastAsia"/>
        </w:rPr>
        <w:t>运营期主要设备噪声级</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04"/>
        <w:gridCol w:w="1704"/>
        <w:gridCol w:w="1704"/>
        <w:gridCol w:w="1705"/>
        <w:gridCol w:w="1705"/>
      </w:tblGrid>
      <w:tr w14:paraId="7AB4FD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704" w:type="dxa"/>
          </w:tcPr>
          <w:p w14:paraId="0B7CD2BB">
            <w:pPr>
              <w:pStyle w:val="34"/>
            </w:pPr>
            <w:r>
              <w:t>序号</w:t>
            </w:r>
          </w:p>
        </w:tc>
        <w:tc>
          <w:tcPr>
            <w:tcW w:w="1704" w:type="dxa"/>
          </w:tcPr>
          <w:p w14:paraId="4EAD0668">
            <w:pPr>
              <w:pStyle w:val="34"/>
            </w:pPr>
            <w:r>
              <w:t>噪声源</w:t>
            </w:r>
          </w:p>
        </w:tc>
        <w:tc>
          <w:tcPr>
            <w:tcW w:w="1704" w:type="dxa"/>
          </w:tcPr>
          <w:p w14:paraId="5EDB9FA4">
            <w:pPr>
              <w:pStyle w:val="34"/>
            </w:pPr>
            <w:r>
              <w:t>测点距离（m）</w:t>
            </w:r>
          </w:p>
        </w:tc>
        <w:tc>
          <w:tcPr>
            <w:tcW w:w="1705" w:type="dxa"/>
          </w:tcPr>
          <w:p w14:paraId="2A884AF2">
            <w:pPr>
              <w:pStyle w:val="34"/>
            </w:pPr>
            <w:r>
              <w:rPr>
                <w:rFonts w:hint="eastAsia"/>
              </w:rPr>
              <w:t>数量</w:t>
            </w:r>
          </w:p>
        </w:tc>
        <w:tc>
          <w:tcPr>
            <w:tcW w:w="1705" w:type="dxa"/>
          </w:tcPr>
          <w:p w14:paraId="49AFDCC3">
            <w:pPr>
              <w:pStyle w:val="34"/>
            </w:pPr>
            <w:r>
              <w:t>最大噪声级</w:t>
            </w:r>
          </w:p>
        </w:tc>
      </w:tr>
      <w:tr w14:paraId="1E78D2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704" w:type="dxa"/>
          </w:tcPr>
          <w:p w14:paraId="0C61AD79">
            <w:pPr>
              <w:pStyle w:val="34"/>
            </w:pPr>
            <w:r>
              <w:rPr>
                <w:rFonts w:hint="eastAsia"/>
              </w:rPr>
              <w:t>1</w:t>
            </w:r>
          </w:p>
        </w:tc>
        <w:tc>
          <w:tcPr>
            <w:tcW w:w="1704" w:type="dxa"/>
          </w:tcPr>
          <w:p w14:paraId="1A48B3D5">
            <w:pPr>
              <w:pStyle w:val="34"/>
            </w:pPr>
            <w:r>
              <w:rPr>
                <w:rFonts w:hint="eastAsia"/>
              </w:rPr>
              <w:t>岸桥</w:t>
            </w:r>
          </w:p>
        </w:tc>
        <w:tc>
          <w:tcPr>
            <w:tcW w:w="1704" w:type="dxa"/>
          </w:tcPr>
          <w:p w14:paraId="7227A0AF">
            <w:pPr>
              <w:pStyle w:val="34"/>
            </w:pPr>
            <w:r>
              <w:rPr>
                <w:rFonts w:hint="eastAsia"/>
              </w:rPr>
              <w:t>5</w:t>
            </w:r>
          </w:p>
        </w:tc>
        <w:tc>
          <w:tcPr>
            <w:tcW w:w="1705" w:type="dxa"/>
          </w:tcPr>
          <w:p w14:paraId="754C3D27">
            <w:pPr>
              <w:pStyle w:val="34"/>
            </w:pPr>
            <w:r>
              <w:rPr>
                <w:rFonts w:hint="eastAsia"/>
              </w:rPr>
              <w:t>5</w:t>
            </w:r>
          </w:p>
        </w:tc>
        <w:tc>
          <w:tcPr>
            <w:tcW w:w="1705" w:type="dxa"/>
          </w:tcPr>
          <w:p w14:paraId="08D2EA72">
            <w:pPr>
              <w:pStyle w:val="34"/>
            </w:pPr>
            <w:r>
              <w:rPr>
                <w:rFonts w:hint="eastAsia"/>
              </w:rPr>
              <w:t>75</w:t>
            </w:r>
          </w:p>
        </w:tc>
      </w:tr>
      <w:tr w14:paraId="36107C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704" w:type="dxa"/>
          </w:tcPr>
          <w:p w14:paraId="1C3D10CB">
            <w:pPr>
              <w:pStyle w:val="34"/>
            </w:pPr>
            <w:r>
              <w:rPr>
                <w:rFonts w:hint="eastAsia"/>
              </w:rPr>
              <w:t>2</w:t>
            </w:r>
          </w:p>
        </w:tc>
        <w:tc>
          <w:tcPr>
            <w:tcW w:w="1704" w:type="dxa"/>
          </w:tcPr>
          <w:p w14:paraId="6DBA064C">
            <w:pPr>
              <w:pStyle w:val="34"/>
            </w:pPr>
            <w:bookmarkStart w:id="303" w:name="OLE_LINK166"/>
            <w:r>
              <w:rPr>
                <w:rFonts w:hint="eastAsia"/>
              </w:rPr>
              <w:t>集装箱轨道吊</w:t>
            </w:r>
            <w:bookmarkEnd w:id="303"/>
          </w:p>
        </w:tc>
        <w:tc>
          <w:tcPr>
            <w:tcW w:w="1704" w:type="dxa"/>
          </w:tcPr>
          <w:p w14:paraId="1490878D">
            <w:pPr>
              <w:pStyle w:val="34"/>
            </w:pPr>
            <w:r>
              <w:rPr>
                <w:rFonts w:hint="eastAsia"/>
              </w:rPr>
              <w:t>5</w:t>
            </w:r>
          </w:p>
        </w:tc>
        <w:tc>
          <w:tcPr>
            <w:tcW w:w="1705" w:type="dxa"/>
          </w:tcPr>
          <w:p w14:paraId="07ACDC1B">
            <w:pPr>
              <w:pStyle w:val="34"/>
            </w:pPr>
            <w:r>
              <w:rPr>
                <w:rFonts w:hint="eastAsia"/>
              </w:rPr>
              <w:t>6</w:t>
            </w:r>
          </w:p>
        </w:tc>
        <w:tc>
          <w:tcPr>
            <w:tcW w:w="1705" w:type="dxa"/>
          </w:tcPr>
          <w:p w14:paraId="0D84ADE9">
            <w:pPr>
              <w:pStyle w:val="34"/>
            </w:pPr>
            <w:r>
              <w:rPr>
                <w:rFonts w:hint="eastAsia"/>
              </w:rPr>
              <w:t>75</w:t>
            </w:r>
          </w:p>
        </w:tc>
      </w:tr>
      <w:tr w14:paraId="7F5265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704" w:type="dxa"/>
          </w:tcPr>
          <w:p w14:paraId="318B685D">
            <w:pPr>
              <w:pStyle w:val="34"/>
            </w:pPr>
            <w:r>
              <w:rPr>
                <w:rFonts w:hint="eastAsia"/>
              </w:rPr>
              <w:t>3</w:t>
            </w:r>
          </w:p>
        </w:tc>
        <w:tc>
          <w:tcPr>
            <w:tcW w:w="1704" w:type="dxa"/>
          </w:tcPr>
          <w:p w14:paraId="4C2F931F">
            <w:pPr>
              <w:pStyle w:val="34"/>
            </w:pPr>
            <w:r>
              <w:rPr>
                <w:rFonts w:hint="eastAsia"/>
              </w:rPr>
              <w:t>IGV小车</w:t>
            </w:r>
          </w:p>
        </w:tc>
        <w:tc>
          <w:tcPr>
            <w:tcW w:w="1704" w:type="dxa"/>
          </w:tcPr>
          <w:p w14:paraId="582BF636">
            <w:pPr>
              <w:pStyle w:val="34"/>
            </w:pPr>
            <w:r>
              <w:rPr>
                <w:rFonts w:hint="eastAsia"/>
              </w:rPr>
              <w:t>5</w:t>
            </w:r>
          </w:p>
        </w:tc>
        <w:tc>
          <w:tcPr>
            <w:tcW w:w="1705" w:type="dxa"/>
          </w:tcPr>
          <w:p w14:paraId="29914950">
            <w:pPr>
              <w:pStyle w:val="34"/>
            </w:pPr>
            <w:r>
              <w:rPr>
                <w:rFonts w:hint="eastAsia"/>
              </w:rPr>
              <w:t>30</w:t>
            </w:r>
          </w:p>
        </w:tc>
        <w:tc>
          <w:tcPr>
            <w:tcW w:w="1705" w:type="dxa"/>
          </w:tcPr>
          <w:p w14:paraId="45B657C8">
            <w:pPr>
              <w:pStyle w:val="34"/>
            </w:pPr>
            <w:r>
              <w:rPr>
                <w:rFonts w:hint="eastAsia"/>
              </w:rPr>
              <w:t>70</w:t>
            </w:r>
          </w:p>
        </w:tc>
      </w:tr>
      <w:tr w14:paraId="37A588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704" w:type="dxa"/>
          </w:tcPr>
          <w:p w14:paraId="17148043">
            <w:pPr>
              <w:pStyle w:val="34"/>
            </w:pPr>
            <w:r>
              <w:rPr>
                <w:rFonts w:hint="eastAsia"/>
              </w:rPr>
              <w:t>4</w:t>
            </w:r>
          </w:p>
        </w:tc>
        <w:tc>
          <w:tcPr>
            <w:tcW w:w="1704" w:type="dxa"/>
          </w:tcPr>
          <w:p w14:paraId="0889441D">
            <w:pPr>
              <w:pStyle w:val="34"/>
            </w:pPr>
            <w:r>
              <w:rPr>
                <w:rFonts w:hint="eastAsia"/>
              </w:rPr>
              <w:t>船舶</w:t>
            </w:r>
          </w:p>
        </w:tc>
        <w:tc>
          <w:tcPr>
            <w:tcW w:w="1704" w:type="dxa"/>
          </w:tcPr>
          <w:p w14:paraId="1506C1BD">
            <w:pPr>
              <w:pStyle w:val="34"/>
            </w:pPr>
            <w:r>
              <w:rPr>
                <w:rFonts w:hint="eastAsia"/>
              </w:rPr>
              <w:t>10</w:t>
            </w:r>
          </w:p>
        </w:tc>
        <w:tc>
          <w:tcPr>
            <w:tcW w:w="1705" w:type="dxa"/>
          </w:tcPr>
          <w:p w14:paraId="3F4321CA">
            <w:pPr>
              <w:pStyle w:val="34"/>
            </w:pPr>
            <w:r>
              <w:rPr>
                <w:rFonts w:hint="eastAsia"/>
              </w:rPr>
              <w:t>-</w:t>
            </w:r>
          </w:p>
        </w:tc>
        <w:tc>
          <w:tcPr>
            <w:tcW w:w="1705" w:type="dxa"/>
          </w:tcPr>
          <w:p w14:paraId="0D7409B8">
            <w:pPr>
              <w:pStyle w:val="34"/>
            </w:pPr>
            <w:r>
              <w:rPr>
                <w:rFonts w:hint="eastAsia"/>
              </w:rPr>
              <w:t>90</w:t>
            </w:r>
          </w:p>
        </w:tc>
      </w:tr>
      <w:tr w14:paraId="1A8C3D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704" w:type="dxa"/>
          </w:tcPr>
          <w:p w14:paraId="646B9FA2">
            <w:pPr>
              <w:pStyle w:val="34"/>
            </w:pPr>
            <w:r>
              <w:rPr>
                <w:rFonts w:hint="eastAsia"/>
              </w:rPr>
              <w:t>5</w:t>
            </w:r>
          </w:p>
        </w:tc>
        <w:tc>
          <w:tcPr>
            <w:tcW w:w="1704" w:type="dxa"/>
          </w:tcPr>
          <w:p w14:paraId="0FD7EEA2">
            <w:pPr>
              <w:pStyle w:val="34"/>
            </w:pPr>
            <w:r>
              <w:rPr>
                <w:rFonts w:hint="eastAsia"/>
              </w:rPr>
              <w:t>进出港运输集卡</w:t>
            </w:r>
          </w:p>
        </w:tc>
        <w:tc>
          <w:tcPr>
            <w:tcW w:w="1704" w:type="dxa"/>
          </w:tcPr>
          <w:p w14:paraId="69EA7C17">
            <w:pPr>
              <w:pStyle w:val="34"/>
            </w:pPr>
            <w:r>
              <w:rPr>
                <w:rFonts w:hint="eastAsia"/>
              </w:rPr>
              <w:t>-</w:t>
            </w:r>
          </w:p>
        </w:tc>
        <w:tc>
          <w:tcPr>
            <w:tcW w:w="1705" w:type="dxa"/>
          </w:tcPr>
          <w:p w14:paraId="63A763E2">
            <w:pPr>
              <w:pStyle w:val="34"/>
            </w:pPr>
            <w:r>
              <w:rPr>
                <w:rFonts w:hint="eastAsia"/>
              </w:rPr>
              <w:t>-</w:t>
            </w:r>
          </w:p>
        </w:tc>
        <w:tc>
          <w:tcPr>
            <w:tcW w:w="1705" w:type="dxa"/>
          </w:tcPr>
          <w:p w14:paraId="27AFB3AA">
            <w:pPr>
              <w:pStyle w:val="34"/>
            </w:pPr>
            <w:r>
              <w:rPr>
                <w:rFonts w:hint="eastAsia"/>
              </w:rPr>
              <w:t>82</w:t>
            </w:r>
          </w:p>
        </w:tc>
      </w:tr>
    </w:tbl>
    <w:p w14:paraId="110FE436">
      <w:pPr>
        <w:pStyle w:val="6"/>
      </w:pPr>
      <w:r>
        <w:t>生态环境</w:t>
      </w:r>
    </w:p>
    <w:p w14:paraId="29B2AB15">
      <w:pPr>
        <w:ind w:firstLine="462"/>
      </w:pPr>
      <w:r>
        <w:rPr>
          <w:snapToGrid w:val="0"/>
        </w:rPr>
        <w:t>运营期码头作业、船舶运行密度增加将破坏原有水生生境，</w:t>
      </w:r>
      <w:r>
        <w:rPr>
          <w:rFonts w:hint="eastAsia"/>
          <w:snapToGrid w:val="0"/>
        </w:rPr>
        <w:t>对</w:t>
      </w:r>
      <w:r>
        <w:rPr>
          <w:snapToGrid w:val="0"/>
        </w:rPr>
        <w:t>水生生物的正常生长、繁衍</w:t>
      </w:r>
      <w:r>
        <w:rPr>
          <w:rFonts w:hint="eastAsia"/>
          <w:snapToGrid w:val="0"/>
        </w:rPr>
        <w:t>带来不利影响</w:t>
      </w:r>
      <w:r>
        <w:rPr>
          <w:snapToGrid w:val="0"/>
        </w:rPr>
        <w:t>，鱼类中不适应新生境的物种可以通过主动迁徙避开该影响；随着项目的</w:t>
      </w:r>
      <w:r>
        <w:rPr>
          <w:rFonts w:hint="eastAsia"/>
          <w:snapToGrid w:val="0"/>
        </w:rPr>
        <w:t>运营</w:t>
      </w:r>
      <w:r>
        <w:rPr>
          <w:snapToGrid w:val="0"/>
        </w:rPr>
        <w:t>，经过一段时间，能适应新环境的水生生物又会在此择地而居，形成新的生态平衡。此外，港区建设及营运增加航运船舶密度，可能引起船舶事故的</w:t>
      </w:r>
      <w:r>
        <w:rPr>
          <w:rFonts w:hint="eastAsia"/>
          <w:snapToGrid w:val="0"/>
        </w:rPr>
        <w:t>概率</w:t>
      </w:r>
      <w:r>
        <w:rPr>
          <w:snapToGrid w:val="0"/>
        </w:rPr>
        <w:t>增大（如危险化学品泄漏、溢油污染），使区域水生生态环境及水生生物的生存受潜在威胁。</w:t>
      </w:r>
    </w:p>
    <w:p w14:paraId="465A18B3">
      <w:pPr>
        <w:pStyle w:val="6"/>
      </w:pPr>
      <w:r>
        <w:t>固体废物</w:t>
      </w:r>
    </w:p>
    <w:p w14:paraId="09725D3A">
      <w:pPr>
        <w:ind w:firstLine="462"/>
      </w:pPr>
      <w:r>
        <w:rPr>
          <w:rFonts w:hint="eastAsia"/>
        </w:rPr>
        <w:t>项目运营期固体废物主要来自到港船舶生活垃圾、陆域生活垃圾等。</w:t>
      </w:r>
    </w:p>
    <w:p w14:paraId="036F3784">
      <w:pPr>
        <w:ind w:firstLine="462"/>
      </w:pPr>
      <w:r>
        <w:rPr>
          <w:rFonts w:hint="eastAsia"/>
        </w:rPr>
        <w:t>1、</w:t>
      </w:r>
      <w:r>
        <w:t>到港船舶垃圾</w:t>
      </w:r>
    </w:p>
    <w:p w14:paraId="5CB17454">
      <w:pPr>
        <w:ind w:firstLine="462"/>
      </w:pPr>
      <w:bookmarkStart w:id="304" w:name="OLE_LINK178"/>
      <w:r>
        <w:t>根据设计代表船型以及《水运工程环境保护设计规范》（JTS149-2018），</w:t>
      </w:r>
      <w:r>
        <w:rPr>
          <w:rFonts w:hint="eastAsia"/>
        </w:rPr>
        <w:t>内河、沿海船舶</w:t>
      </w:r>
      <w:r>
        <w:t>船员生活垃圾产生量按</w:t>
      </w:r>
      <w:r>
        <w:rPr>
          <w:rFonts w:hint="eastAsia"/>
        </w:rPr>
        <w:t>1.5</w:t>
      </w:r>
      <w:r>
        <w:t>kg/天</w:t>
      </w:r>
      <w:bookmarkStart w:id="305" w:name="OLE_LINK81"/>
      <w:r>
        <w:t>·</w:t>
      </w:r>
      <w:bookmarkEnd w:id="305"/>
      <w:r>
        <w:t>人计算，</w:t>
      </w:r>
      <w:r>
        <w:rPr>
          <w:rFonts w:hint="eastAsia"/>
        </w:rPr>
        <w:t>到港船舶船员按10人/船计，</w:t>
      </w:r>
      <w:r>
        <w:t>到港船舶生活垃圾产生量约</w:t>
      </w:r>
      <w:r>
        <w:rPr>
          <w:rFonts w:hint="eastAsia"/>
        </w:rPr>
        <w:t>52.8</w:t>
      </w:r>
      <w:r>
        <w:t>t/a。</w:t>
      </w:r>
      <w:r>
        <w:rPr>
          <w:rFonts w:hint="eastAsia"/>
        </w:rPr>
        <w:t>项目</w:t>
      </w:r>
      <w:r>
        <w:t>运营期到港船舶</w:t>
      </w:r>
      <w:r>
        <w:rPr>
          <w:rFonts w:hint="eastAsia"/>
        </w:rPr>
        <w:t>生活</w:t>
      </w:r>
      <w:r>
        <w:t>垃圾</w:t>
      </w:r>
      <w:r>
        <w:rPr>
          <w:rFonts w:hint="eastAsia"/>
        </w:rPr>
        <w:t>委托有资质的单位接收处理。</w:t>
      </w:r>
      <w:bookmarkEnd w:id="304"/>
    </w:p>
    <w:p w14:paraId="1EC8AF42">
      <w:pPr>
        <w:ind w:firstLine="462"/>
      </w:pPr>
      <w:bookmarkStart w:id="306" w:name="OLE_LINK88"/>
      <w:r>
        <w:rPr>
          <w:rFonts w:hint="eastAsia"/>
        </w:rPr>
        <w:t>2、陆域生活垃圾</w:t>
      </w:r>
    </w:p>
    <w:bookmarkEnd w:id="306"/>
    <w:p w14:paraId="13F82A4E">
      <w:pPr>
        <w:ind w:firstLine="462"/>
      </w:pPr>
      <w:bookmarkStart w:id="307" w:name="OLE_LINK68"/>
      <w:r>
        <w:rPr>
          <w:rFonts w:hint="eastAsia"/>
        </w:rPr>
        <w:t>项目运营期港区定员98人，工作期间生活垃圾产生量按1</w:t>
      </w:r>
      <w:r>
        <w:t>kg/</w:t>
      </w:r>
      <w:r>
        <w:rPr>
          <w:rFonts w:hint="eastAsia"/>
        </w:rPr>
        <w:t>天</w:t>
      </w:r>
      <w:r>
        <w:t>·</w:t>
      </w:r>
      <w:r>
        <w:rPr>
          <w:rFonts w:hint="eastAsia"/>
        </w:rPr>
        <w:t>人计算，产生量为98</w:t>
      </w:r>
      <w:r>
        <w:t>kg/d</w:t>
      </w:r>
      <w:r>
        <w:rPr>
          <w:rFonts w:hint="eastAsia"/>
        </w:rPr>
        <w:t>，年生活垃圾产生量约35.28</w:t>
      </w:r>
      <w:r>
        <w:t>t/a</w:t>
      </w:r>
      <w:r>
        <w:rPr>
          <w:rFonts w:hint="eastAsia"/>
        </w:rPr>
        <w:t>，收集后生活垃圾集中由钦州港环卫部门上门清运处理。</w:t>
      </w:r>
      <w:bookmarkEnd w:id="307"/>
    </w:p>
    <w:p w14:paraId="263DFAB2">
      <w:pPr>
        <w:ind w:firstLine="462"/>
      </w:pPr>
      <w:r>
        <w:rPr>
          <w:rFonts w:hint="eastAsia"/>
        </w:rPr>
        <w:t>3、生产废物</w:t>
      </w:r>
    </w:p>
    <w:p w14:paraId="573FFCCF">
      <w:pPr>
        <w:ind w:firstLine="462"/>
      </w:pPr>
      <w:r>
        <w:rPr>
          <w:rFonts w:hint="eastAsia"/>
        </w:rPr>
        <w:t>项目运营期与7#~10#泊位共同运营，机械保养作业可经</w:t>
      </w:r>
      <w:bookmarkStart w:id="308" w:name="OLE_LINK89"/>
      <w:r>
        <w:rPr>
          <w:rFonts w:hint="eastAsia"/>
        </w:rPr>
        <w:t>7号8号泊位</w:t>
      </w:r>
      <w:bookmarkEnd w:id="308"/>
      <w:r>
        <w:rPr>
          <w:rFonts w:hint="eastAsia"/>
        </w:rPr>
        <w:t>陆域后方维修间开展，本次项目范围内不设置维修车间；洗车产生的含油废水经管道泵送至7号8号泊位现有含油污水处理站进行处理。</w:t>
      </w:r>
    </w:p>
    <w:p w14:paraId="327BB613">
      <w:pPr>
        <w:ind w:firstLine="462"/>
      </w:pPr>
      <w:r>
        <w:rPr>
          <w:rFonts w:hint="eastAsia"/>
        </w:rPr>
        <w:t>项目建成后含油污水量约514.8m³</w:t>
      </w:r>
      <w:r>
        <w:t>/</w:t>
      </w:r>
      <w:r>
        <w:rPr>
          <w:rFonts w:hint="eastAsia"/>
        </w:rPr>
        <w:t>a（1.56m³</w:t>
      </w:r>
      <w:r>
        <w:t>/</w:t>
      </w:r>
      <w:r>
        <w:rPr>
          <w:rFonts w:hint="eastAsia"/>
        </w:rPr>
        <w:t>d），拟产生含油污泥约0.04</w:t>
      </w:r>
      <w:bookmarkStart w:id="309" w:name="OLE_LINK93"/>
      <w:r>
        <w:rPr>
          <w:rFonts w:hint="eastAsia"/>
        </w:rPr>
        <w:t>t/a</w:t>
      </w:r>
      <w:bookmarkEnd w:id="309"/>
      <w:r>
        <w:rPr>
          <w:rFonts w:hint="eastAsia"/>
        </w:rPr>
        <w:t>，根据《国家危险废物名录》（2025年版），含油污泥属于</w:t>
      </w:r>
      <w:bookmarkStart w:id="310" w:name="OLE_LINK94"/>
      <w:r>
        <w:rPr>
          <w:rFonts w:hint="eastAsia"/>
        </w:rPr>
        <w:t>危险废物HW08废矿物油与含矿物油废物类别（代码900-210-08）</w:t>
      </w:r>
      <w:bookmarkEnd w:id="310"/>
      <w:r>
        <w:rPr>
          <w:rFonts w:hint="eastAsia"/>
        </w:rPr>
        <w:t>；机械维修产生的废矿物油约0.05 t/a，主要源于机械设备日常简单机修以及设备润滑使用后残留等产生，属于危险废物HW08废矿物油与含矿物油废物类别（代码</w:t>
      </w:r>
      <w:r>
        <w:t>900-214-08</w:t>
      </w:r>
      <w:r>
        <w:rPr>
          <w:rFonts w:hint="eastAsia"/>
        </w:rPr>
        <w:t>）；机械设备日常简单机修以及维护过程中还会产生废弃电池，属于HW31 含铅废物（900-052-31），产生量约1.0t/a；同时还会产生少量含油抹布，产生量约0.1t/a。产生危险废物均存放于7号8号泊位后方危险废物贮存</w:t>
      </w:r>
      <w:r>
        <w:t>间</w:t>
      </w:r>
      <w:r>
        <w:rPr>
          <w:rFonts w:hint="eastAsia"/>
        </w:rPr>
        <w:t>内，委托有资质的污染物接收单位接收处理。</w:t>
      </w:r>
    </w:p>
    <w:p w14:paraId="643C37CA">
      <w:pPr>
        <w:pStyle w:val="7"/>
      </w:pPr>
      <w:r>
        <w:t>运营期危险废物汇总表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16"/>
        <w:gridCol w:w="698"/>
        <w:gridCol w:w="1080"/>
        <w:gridCol w:w="928"/>
        <w:gridCol w:w="750"/>
        <w:gridCol w:w="1192"/>
        <w:gridCol w:w="764"/>
        <w:gridCol w:w="766"/>
        <w:gridCol w:w="1749"/>
      </w:tblGrid>
      <w:tr w14:paraId="0E70A5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249" w:type="pct"/>
            <w:tcMar>
              <w:left w:w="0" w:type="dxa"/>
              <w:right w:w="0" w:type="dxa"/>
            </w:tcMar>
            <w:vAlign w:val="center"/>
          </w:tcPr>
          <w:p w14:paraId="75353A5D">
            <w:pPr>
              <w:pStyle w:val="175"/>
              <w:jc w:val="center"/>
              <w:rPr>
                <w:b/>
                <w:bCs/>
              </w:rPr>
            </w:pPr>
            <w:r>
              <w:rPr>
                <w:b/>
                <w:bCs/>
              </w:rPr>
              <w:t>序号</w:t>
            </w:r>
          </w:p>
        </w:tc>
        <w:tc>
          <w:tcPr>
            <w:tcW w:w="418" w:type="pct"/>
            <w:tcMar>
              <w:left w:w="0" w:type="dxa"/>
              <w:right w:w="0" w:type="dxa"/>
            </w:tcMar>
            <w:vAlign w:val="center"/>
          </w:tcPr>
          <w:p w14:paraId="160CF6E7">
            <w:pPr>
              <w:pStyle w:val="175"/>
              <w:jc w:val="center"/>
              <w:rPr>
                <w:b/>
                <w:bCs/>
              </w:rPr>
            </w:pPr>
            <w:r>
              <w:rPr>
                <w:b/>
                <w:bCs/>
              </w:rPr>
              <w:t>危废名称</w:t>
            </w:r>
          </w:p>
        </w:tc>
        <w:tc>
          <w:tcPr>
            <w:tcW w:w="647" w:type="pct"/>
            <w:tcMar>
              <w:left w:w="0" w:type="dxa"/>
              <w:right w:w="0" w:type="dxa"/>
            </w:tcMar>
            <w:vAlign w:val="center"/>
          </w:tcPr>
          <w:p w14:paraId="0A68ABCD">
            <w:pPr>
              <w:pStyle w:val="175"/>
              <w:jc w:val="center"/>
              <w:rPr>
                <w:b/>
                <w:bCs/>
              </w:rPr>
            </w:pPr>
            <w:r>
              <w:rPr>
                <w:b/>
                <w:bCs/>
              </w:rPr>
              <w:t>危废</w:t>
            </w:r>
          </w:p>
          <w:p w14:paraId="6C938D92">
            <w:pPr>
              <w:pStyle w:val="175"/>
              <w:jc w:val="center"/>
              <w:rPr>
                <w:b/>
                <w:bCs/>
              </w:rPr>
            </w:pPr>
            <w:r>
              <w:rPr>
                <w:b/>
                <w:bCs/>
              </w:rPr>
              <w:t>类别</w:t>
            </w:r>
          </w:p>
        </w:tc>
        <w:tc>
          <w:tcPr>
            <w:tcW w:w="556" w:type="pct"/>
            <w:tcMar>
              <w:left w:w="0" w:type="dxa"/>
              <w:right w:w="0" w:type="dxa"/>
            </w:tcMar>
            <w:vAlign w:val="center"/>
          </w:tcPr>
          <w:p w14:paraId="73AAF96C">
            <w:pPr>
              <w:pStyle w:val="175"/>
              <w:jc w:val="center"/>
              <w:rPr>
                <w:b/>
                <w:bCs/>
              </w:rPr>
            </w:pPr>
            <w:r>
              <w:rPr>
                <w:b/>
                <w:bCs/>
              </w:rPr>
              <w:t>危废</w:t>
            </w:r>
          </w:p>
          <w:p w14:paraId="012F86EB">
            <w:pPr>
              <w:pStyle w:val="175"/>
              <w:jc w:val="center"/>
              <w:rPr>
                <w:b/>
                <w:bCs/>
              </w:rPr>
            </w:pPr>
            <w:r>
              <w:rPr>
                <w:b/>
                <w:bCs/>
              </w:rPr>
              <w:t>代码</w:t>
            </w:r>
          </w:p>
        </w:tc>
        <w:tc>
          <w:tcPr>
            <w:tcW w:w="450" w:type="pct"/>
            <w:tcMar>
              <w:left w:w="0" w:type="dxa"/>
              <w:right w:w="0" w:type="dxa"/>
            </w:tcMar>
            <w:vAlign w:val="center"/>
          </w:tcPr>
          <w:p w14:paraId="1757A164">
            <w:pPr>
              <w:pStyle w:val="175"/>
              <w:jc w:val="center"/>
              <w:rPr>
                <w:b/>
                <w:bCs/>
              </w:rPr>
            </w:pPr>
            <w:r>
              <w:rPr>
                <w:b/>
                <w:bCs/>
              </w:rPr>
              <w:t>产生量(t/a)</w:t>
            </w:r>
          </w:p>
        </w:tc>
        <w:tc>
          <w:tcPr>
            <w:tcW w:w="714" w:type="pct"/>
            <w:tcMar>
              <w:left w:w="0" w:type="dxa"/>
              <w:right w:w="0" w:type="dxa"/>
            </w:tcMar>
            <w:vAlign w:val="center"/>
          </w:tcPr>
          <w:p w14:paraId="17D73FC4">
            <w:pPr>
              <w:pStyle w:val="175"/>
              <w:jc w:val="center"/>
              <w:rPr>
                <w:b/>
                <w:bCs/>
              </w:rPr>
            </w:pPr>
            <w:r>
              <w:rPr>
                <w:b/>
                <w:bCs/>
              </w:rPr>
              <w:t>产生工序</w:t>
            </w:r>
          </w:p>
        </w:tc>
        <w:tc>
          <w:tcPr>
            <w:tcW w:w="458" w:type="pct"/>
            <w:tcMar>
              <w:left w:w="0" w:type="dxa"/>
              <w:right w:w="0" w:type="dxa"/>
            </w:tcMar>
            <w:vAlign w:val="center"/>
          </w:tcPr>
          <w:p w14:paraId="37B5F74A">
            <w:pPr>
              <w:pStyle w:val="175"/>
              <w:jc w:val="center"/>
              <w:rPr>
                <w:b/>
                <w:bCs/>
              </w:rPr>
            </w:pPr>
            <w:r>
              <w:rPr>
                <w:b/>
                <w:bCs/>
              </w:rPr>
              <w:t>主要</w:t>
            </w:r>
          </w:p>
          <w:p w14:paraId="5ADCB31A">
            <w:pPr>
              <w:pStyle w:val="175"/>
              <w:jc w:val="center"/>
              <w:rPr>
                <w:b/>
                <w:bCs/>
              </w:rPr>
            </w:pPr>
            <w:r>
              <w:rPr>
                <w:b/>
                <w:bCs/>
              </w:rPr>
              <w:t>成分</w:t>
            </w:r>
          </w:p>
        </w:tc>
        <w:tc>
          <w:tcPr>
            <w:tcW w:w="459" w:type="pct"/>
            <w:tcMar>
              <w:left w:w="0" w:type="dxa"/>
              <w:right w:w="0" w:type="dxa"/>
            </w:tcMar>
            <w:vAlign w:val="center"/>
          </w:tcPr>
          <w:p w14:paraId="5FCFCD1A">
            <w:pPr>
              <w:pStyle w:val="175"/>
              <w:jc w:val="center"/>
              <w:rPr>
                <w:b/>
                <w:bCs/>
              </w:rPr>
            </w:pPr>
            <w:r>
              <w:rPr>
                <w:b/>
                <w:bCs/>
              </w:rPr>
              <w:t>危险</w:t>
            </w:r>
          </w:p>
          <w:p w14:paraId="41FC446C">
            <w:pPr>
              <w:pStyle w:val="175"/>
              <w:jc w:val="center"/>
              <w:rPr>
                <w:b/>
                <w:bCs/>
              </w:rPr>
            </w:pPr>
            <w:r>
              <w:rPr>
                <w:b/>
                <w:bCs/>
              </w:rPr>
              <w:t>特性</w:t>
            </w:r>
          </w:p>
        </w:tc>
        <w:tc>
          <w:tcPr>
            <w:tcW w:w="1048" w:type="pct"/>
            <w:tcMar>
              <w:left w:w="0" w:type="dxa"/>
              <w:right w:w="0" w:type="dxa"/>
            </w:tcMar>
            <w:vAlign w:val="center"/>
          </w:tcPr>
          <w:p w14:paraId="05D9C53F">
            <w:pPr>
              <w:pStyle w:val="175"/>
              <w:jc w:val="center"/>
              <w:rPr>
                <w:b/>
                <w:bCs/>
              </w:rPr>
            </w:pPr>
            <w:r>
              <w:rPr>
                <w:b/>
                <w:bCs/>
              </w:rPr>
              <w:t>污染防治措施</w:t>
            </w:r>
          </w:p>
        </w:tc>
      </w:tr>
      <w:tr w14:paraId="7C038F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9" w:type="pct"/>
            <w:tcMar>
              <w:left w:w="0" w:type="dxa"/>
              <w:right w:w="0" w:type="dxa"/>
            </w:tcMar>
            <w:vAlign w:val="center"/>
          </w:tcPr>
          <w:p w14:paraId="12891DE1">
            <w:pPr>
              <w:pStyle w:val="175"/>
              <w:jc w:val="center"/>
            </w:pPr>
            <w:r>
              <w:t>1</w:t>
            </w:r>
          </w:p>
        </w:tc>
        <w:tc>
          <w:tcPr>
            <w:tcW w:w="418" w:type="pct"/>
            <w:tcMar>
              <w:left w:w="0" w:type="dxa"/>
              <w:right w:w="0" w:type="dxa"/>
            </w:tcMar>
            <w:vAlign w:val="center"/>
          </w:tcPr>
          <w:p w14:paraId="314BEB13">
            <w:pPr>
              <w:pStyle w:val="175"/>
              <w:jc w:val="center"/>
            </w:pPr>
            <w:r>
              <w:rPr>
                <w:rFonts w:hint="eastAsia"/>
              </w:rPr>
              <w:t>含油污泥</w:t>
            </w:r>
          </w:p>
        </w:tc>
        <w:tc>
          <w:tcPr>
            <w:tcW w:w="647" w:type="pct"/>
            <w:tcMar>
              <w:left w:w="0" w:type="dxa"/>
              <w:right w:w="0" w:type="dxa"/>
            </w:tcMar>
            <w:vAlign w:val="center"/>
          </w:tcPr>
          <w:p w14:paraId="4886036E">
            <w:pPr>
              <w:pStyle w:val="175"/>
              <w:jc w:val="center"/>
            </w:pPr>
            <w:r>
              <w:rPr>
                <w:rFonts w:hint="eastAsia"/>
              </w:rPr>
              <w:t>HW08废矿物油与含矿物油</w:t>
            </w:r>
          </w:p>
        </w:tc>
        <w:tc>
          <w:tcPr>
            <w:tcW w:w="556" w:type="pct"/>
            <w:tcMar>
              <w:left w:w="0" w:type="dxa"/>
              <w:right w:w="0" w:type="dxa"/>
            </w:tcMar>
            <w:vAlign w:val="center"/>
          </w:tcPr>
          <w:p w14:paraId="583E7065">
            <w:pPr>
              <w:pStyle w:val="175"/>
              <w:jc w:val="center"/>
            </w:pPr>
            <w:r>
              <w:t>900-210-08</w:t>
            </w:r>
          </w:p>
        </w:tc>
        <w:tc>
          <w:tcPr>
            <w:tcW w:w="450" w:type="pct"/>
            <w:tcMar>
              <w:left w:w="0" w:type="dxa"/>
              <w:right w:w="0" w:type="dxa"/>
            </w:tcMar>
            <w:vAlign w:val="center"/>
          </w:tcPr>
          <w:p w14:paraId="6E6ABFEF">
            <w:pPr>
              <w:pStyle w:val="175"/>
              <w:jc w:val="center"/>
            </w:pPr>
            <w:r>
              <w:rPr>
                <w:rFonts w:hint="eastAsia"/>
              </w:rPr>
              <w:t>0.04</w:t>
            </w:r>
          </w:p>
        </w:tc>
        <w:tc>
          <w:tcPr>
            <w:tcW w:w="714" w:type="pct"/>
            <w:tcMar>
              <w:left w:w="0" w:type="dxa"/>
              <w:right w:w="0" w:type="dxa"/>
            </w:tcMar>
            <w:vAlign w:val="center"/>
          </w:tcPr>
          <w:p w14:paraId="10522D96">
            <w:pPr>
              <w:pStyle w:val="175"/>
              <w:jc w:val="center"/>
            </w:pPr>
            <w:r>
              <w:rPr>
                <w:rFonts w:hint="eastAsia"/>
              </w:rPr>
              <w:t>含油污水处理站</w:t>
            </w:r>
          </w:p>
        </w:tc>
        <w:tc>
          <w:tcPr>
            <w:tcW w:w="458" w:type="pct"/>
            <w:vMerge w:val="restart"/>
            <w:tcMar>
              <w:left w:w="0" w:type="dxa"/>
              <w:right w:w="0" w:type="dxa"/>
            </w:tcMar>
            <w:vAlign w:val="center"/>
          </w:tcPr>
          <w:p w14:paraId="3BAB8D6A">
            <w:pPr>
              <w:pStyle w:val="175"/>
              <w:jc w:val="center"/>
            </w:pPr>
            <w:r>
              <w:rPr>
                <w:rFonts w:hint="eastAsia"/>
              </w:rPr>
              <w:t>石油类</w:t>
            </w:r>
          </w:p>
        </w:tc>
        <w:tc>
          <w:tcPr>
            <w:tcW w:w="459" w:type="pct"/>
            <w:tcMar>
              <w:left w:w="0" w:type="dxa"/>
              <w:right w:w="0" w:type="dxa"/>
            </w:tcMar>
            <w:vAlign w:val="center"/>
          </w:tcPr>
          <w:p w14:paraId="3F5CDEA5">
            <w:pPr>
              <w:pStyle w:val="175"/>
              <w:jc w:val="center"/>
            </w:pPr>
            <w:r>
              <w:rPr>
                <w:rFonts w:hint="eastAsia"/>
              </w:rPr>
              <w:t>T，I</w:t>
            </w:r>
          </w:p>
        </w:tc>
        <w:tc>
          <w:tcPr>
            <w:tcW w:w="1048" w:type="pct"/>
            <w:vMerge w:val="restart"/>
            <w:tcMar>
              <w:left w:w="0" w:type="dxa"/>
              <w:right w:w="0" w:type="dxa"/>
            </w:tcMar>
            <w:vAlign w:val="center"/>
          </w:tcPr>
          <w:p w14:paraId="68D63030">
            <w:pPr>
              <w:pStyle w:val="175"/>
              <w:jc w:val="center"/>
            </w:pPr>
            <w:r>
              <w:rPr>
                <w:rFonts w:hint="eastAsia"/>
              </w:rPr>
              <w:t>含有污泥、废机油分别由袋装、密闭桶收集后临时存储在码头厂区危废暂存间，定期委托</w:t>
            </w:r>
            <w:r>
              <w:t>专业危险废物处置单位</w:t>
            </w:r>
            <w:r>
              <w:rPr>
                <w:rFonts w:hint="eastAsia"/>
              </w:rPr>
              <w:t>清运</w:t>
            </w:r>
          </w:p>
        </w:tc>
      </w:tr>
      <w:tr w14:paraId="2F81E2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9" w:type="pct"/>
            <w:tcMar>
              <w:left w:w="0" w:type="dxa"/>
              <w:right w:w="0" w:type="dxa"/>
            </w:tcMar>
            <w:vAlign w:val="center"/>
          </w:tcPr>
          <w:p w14:paraId="2FB3A0E7">
            <w:pPr>
              <w:pStyle w:val="175"/>
              <w:jc w:val="center"/>
            </w:pPr>
            <w:r>
              <w:rPr>
                <w:rFonts w:hint="eastAsia"/>
              </w:rPr>
              <w:t>2</w:t>
            </w:r>
          </w:p>
        </w:tc>
        <w:tc>
          <w:tcPr>
            <w:tcW w:w="418" w:type="pct"/>
            <w:tcMar>
              <w:left w:w="0" w:type="dxa"/>
              <w:right w:w="0" w:type="dxa"/>
            </w:tcMar>
            <w:vAlign w:val="center"/>
          </w:tcPr>
          <w:p w14:paraId="193082A1">
            <w:pPr>
              <w:pStyle w:val="175"/>
              <w:jc w:val="center"/>
            </w:pPr>
            <w:r>
              <w:t>维修废机油</w:t>
            </w:r>
          </w:p>
        </w:tc>
        <w:tc>
          <w:tcPr>
            <w:tcW w:w="647" w:type="pct"/>
            <w:tcMar>
              <w:left w:w="0" w:type="dxa"/>
              <w:right w:w="0" w:type="dxa"/>
            </w:tcMar>
            <w:vAlign w:val="center"/>
          </w:tcPr>
          <w:p w14:paraId="7510239E">
            <w:pPr>
              <w:pStyle w:val="175"/>
              <w:jc w:val="center"/>
            </w:pPr>
            <w:r>
              <w:t>HW08 废矿物油与含矿物油废物</w:t>
            </w:r>
          </w:p>
        </w:tc>
        <w:tc>
          <w:tcPr>
            <w:tcW w:w="556" w:type="pct"/>
            <w:tcMar>
              <w:left w:w="0" w:type="dxa"/>
              <w:right w:w="0" w:type="dxa"/>
            </w:tcMar>
            <w:vAlign w:val="center"/>
          </w:tcPr>
          <w:p w14:paraId="07334908">
            <w:pPr>
              <w:pStyle w:val="175"/>
              <w:jc w:val="center"/>
            </w:pPr>
            <w:bookmarkStart w:id="311" w:name="OLE_LINK97"/>
            <w:r>
              <w:t>900-214-08</w:t>
            </w:r>
            <w:bookmarkEnd w:id="311"/>
          </w:p>
        </w:tc>
        <w:tc>
          <w:tcPr>
            <w:tcW w:w="450" w:type="pct"/>
            <w:tcMar>
              <w:left w:w="0" w:type="dxa"/>
              <w:right w:w="0" w:type="dxa"/>
            </w:tcMar>
            <w:vAlign w:val="center"/>
          </w:tcPr>
          <w:p w14:paraId="55856948">
            <w:pPr>
              <w:pStyle w:val="175"/>
              <w:jc w:val="center"/>
            </w:pPr>
            <w:r>
              <w:rPr>
                <w:rFonts w:hint="eastAsia"/>
              </w:rPr>
              <w:t>0.05</w:t>
            </w:r>
          </w:p>
        </w:tc>
        <w:tc>
          <w:tcPr>
            <w:tcW w:w="714" w:type="pct"/>
            <w:tcMar>
              <w:left w:w="0" w:type="dxa"/>
              <w:right w:w="0" w:type="dxa"/>
            </w:tcMar>
            <w:vAlign w:val="center"/>
          </w:tcPr>
          <w:p w14:paraId="7A24E3E4">
            <w:pPr>
              <w:pStyle w:val="175"/>
              <w:jc w:val="center"/>
            </w:pPr>
            <w:r>
              <w:t>装卸设备</w:t>
            </w:r>
          </w:p>
          <w:p w14:paraId="7447A1E1">
            <w:pPr>
              <w:pStyle w:val="175"/>
              <w:jc w:val="center"/>
            </w:pPr>
            <w:r>
              <w:t>维修</w:t>
            </w:r>
          </w:p>
        </w:tc>
        <w:tc>
          <w:tcPr>
            <w:tcW w:w="458" w:type="pct"/>
            <w:vMerge w:val="continue"/>
            <w:tcMar>
              <w:left w:w="0" w:type="dxa"/>
              <w:right w:w="0" w:type="dxa"/>
            </w:tcMar>
            <w:vAlign w:val="center"/>
          </w:tcPr>
          <w:p w14:paraId="7B1A1EE9">
            <w:pPr>
              <w:pStyle w:val="175"/>
              <w:jc w:val="center"/>
            </w:pPr>
          </w:p>
        </w:tc>
        <w:tc>
          <w:tcPr>
            <w:tcW w:w="459" w:type="pct"/>
            <w:tcMar>
              <w:left w:w="0" w:type="dxa"/>
              <w:right w:w="0" w:type="dxa"/>
            </w:tcMar>
            <w:vAlign w:val="center"/>
          </w:tcPr>
          <w:p w14:paraId="66724F2F">
            <w:pPr>
              <w:pStyle w:val="175"/>
              <w:jc w:val="center"/>
            </w:pPr>
            <w:bookmarkStart w:id="312" w:name="OLE_LINK98"/>
            <w:r>
              <w:rPr>
                <w:rFonts w:hint="eastAsia"/>
              </w:rPr>
              <w:t>T，I</w:t>
            </w:r>
            <w:bookmarkEnd w:id="312"/>
          </w:p>
        </w:tc>
        <w:tc>
          <w:tcPr>
            <w:tcW w:w="1048" w:type="pct"/>
            <w:vMerge w:val="continue"/>
            <w:tcMar>
              <w:left w:w="0" w:type="dxa"/>
              <w:right w:w="0" w:type="dxa"/>
            </w:tcMar>
            <w:vAlign w:val="center"/>
          </w:tcPr>
          <w:p w14:paraId="4A54BA74">
            <w:pPr>
              <w:pStyle w:val="175"/>
              <w:jc w:val="center"/>
            </w:pPr>
          </w:p>
        </w:tc>
      </w:tr>
      <w:tr w14:paraId="079CC5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9" w:type="pct"/>
            <w:tcMar>
              <w:left w:w="0" w:type="dxa"/>
              <w:right w:w="0" w:type="dxa"/>
            </w:tcMar>
            <w:vAlign w:val="center"/>
          </w:tcPr>
          <w:p w14:paraId="24CA4533">
            <w:pPr>
              <w:pStyle w:val="175"/>
              <w:jc w:val="center"/>
            </w:pPr>
            <w:r>
              <w:t>3</w:t>
            </w:r>
          </w:p>
        </w:tc>
        <w:tc>
          <w:tcPr>
            <w:tcW w:w="418" w:type="pct"/>
            <w:tcMar>
              <w:left w:w="0" w:type="dxa"/>
              <w:right w:w="0" w:type="dxa"/>
            </w:tcMar>
            <w:vAlign w:val="center"/>
          </w:tcPr>
          <w:p w14:paraId="7ECD70A4">
            <w:pPr>
              <w:pStyle w:val="175"/>
              <w:jc w:val="center"/>
            </w:pPr>
            <w:r>
              <w:rPr>
                <w:rFonts w:hint="eastAsia"/>
              </w:rPr>
              <w:t>废弃电池</w:t>
            </w:r>
          </w:p>
        </w:tc>
        <w:tc>
          <w:tcPr>
            <w:tcW w:w="647" w:type="pct"/>
            <w:tcMar>
              <w:left w:w="0" w:type="dxa"/>
              <w:right w:w="0" w:type="dxa"/>
            </w:tcMar>
            <w:vAlign w:val="center"/>
          </w:tcPr>
          <w:p w14:paraId="2A674FD8">
            <w:pPr>
              <w:pStyle w:val="175"/>
              <w:jc w:val="center"/>
            </w:pPr>
            <w:r>
              <w:rPr>
                <w:rFonts w:hint="eastAsia"/>
              </w:rPr>
              <w:t>HW31 含铅废物</w:t>
            </w:r>
          </w:p>
        </w:tc>
        <w:tc>
          <w:tcPr>
            <w:tcW w:w="556" w:type="pct"/>
            <w:tcMar>
              <w:left w:w="0" w:type="dxa"/>
              <w:right w:w="0" w:type="dxa"/>
            </w:tcMar>
            <w:vAlign w:val="center"/>
          </w:tcPr>
          <w:p w14:paraId="586EEC81">
            <w:pPr>
              <w:pStyle w:val="175"/>
              <w:jc w:val="center"/>
            </w:pPr>
            <w:bookmarkStart w:id="313" w:name="OLE_LINK96"/>
            <w:r>
              <w:rPr>
                <w:rFonts w:hint="eastAsia"/>
              </w:rPr>
              <w:t>900-052-31</w:t>
            </w:r>
            <w:bookmarkEnd w:id="313"/>
          </w:p>
        </w:tc>
        <w:tc>
          <w:tcPr>
            <w:tcW w:w="450" w:type="pct"/>
            <w:tcMar>
              <w:left w:w="0" w:type="dxa"/>
              <w:right w:w="0" w:type="dxa"/>
            </w:tcMar>
            <w:vAlign w:val="center"/>
          </w:tcPr>
          <w:p w14:paraId="3274054E">
            <w:pPr>
              <w:pStyle w:val="175"/>
              <w:jc w:val="center"/>
            </w:pPr>
            <w:r>
              <w:rPr>
                <w:rFonts w:hint="eastAsia"/>
              </w:rPr>
              <w:t>1.0</w:t>
            </w:r>
          </w:p>
        </w:tc>
        <w:tc>
          <w:tcPr>
            <w:tcW w:w="714" w:type="pct"/>
            <w:tcMar>
              <w:left w:w="0" w:type="dxa"/>
              <w:right w:w="0" w:type="dxa"/>
            </w:tcMar>
            <w:vAlign w:val="center"/>
          </w:tcPr>
          <w:p w14:paraId="27FC3F27">
            <w:pPr>
              <w:pStyle w:val="175"/>
              <w:jc w:val="center"/>
            </w:pPr>
            <w:r>
              <w:t>装卸设备</w:t>
            </w:r>
          </w:p>
          <w:p w14:paraId="130F8F64">
            <w:pPr>
              <w:pStyle w:val="175"/>
              <w:jc w:val="center"/>
            </w:pPr>
            <w:r>
              <w:t>维修</w:t>
            </w:r>
          </w:p>
        </w:tc>
        <w:tc>
          <w:tcPr>
            <w:tcW w:w="458" w:type="pct"/>
            <w:tcMar>
              <w:left w:w="0" w:type="dxa"/>
              <w:right w:w="0" w:type="dxa"/>
            </w:tcMar>
            <w:vAlign w:val="center"/>
          </w:tcPr>
          <w:p w14:paraId="56FCA919">
            <w:pPr>
              <w:pStyle w:val="175"/>
              <w:jc w:val="center"/>
            </w:pPr>
            <w:r>
              <w:rPr>
                <w:rFonts w:hint="eastAsia"/>
              </w:rPr>
              <w:t>重金属</w:t>
            </w:r>
          </w:p>
        </w:tc>
        <w:tc>
          <w:tcPr>
            <w:tcW w:w="459" w:type="pct"/>
            <w:tcMar>
              <w:left w:w="0" w:type="dxa"/>
              <w:right w:w="0" w:type="dxa"/>
            </w:tcMar>
            <w:vAlign w:val="center"/>
          </w:tcPr>
          <w:p w14:paraId="532F356E">
            <w:pPr>
              <w:pStyle w:val="175"/>
              <w:jc w:val="center"/>
            </w:pPr>
            <w:r>
              <w:rPr>
                <w:rFonts w:hint="eastAsia"/>
              </w:rPr>
              <w:t>T，C</w:t>
            </w:r>
          </w:p>
        </w:tc>
        <w:tc>
          <w:tcPr>
            <w:tcW w:w="1048" w:type="pct"/>
            <w:vMerge w:val="continue"/>
            <w:tcMar>
              <w:left w:w="0" w:type="dxa"/>
              <w:right w:w="0" w:type="dxa"/>
            </w:tcMar>
            <w:vAlign w:val="center"/>
          </w:tcPr>
          <w:p w14:paraId="5521AAA8">
            <w:pPr>
              <w:pStyle w:val="175"/>
              <w:jc w:val="center"/>
            </w:pPr>
          </w:p>
        </w:tc>
      </w:tr>
      <w:tr w14:paraId="6D0284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07" w:hRule="atLeast"/>
          <w:jc w:val="center"/>
        </w:trPr>
        <w:tc>
          <w:tcPr>
            <w:tcW w:w="249" w:type="pct"/>
            <w:tcMar>
              <w:left w:w="0" w:type="dxa"/>
              <w:right w:w="0" w:type="dxa"/>
            </w:tcMar>
            <w:vAlign w:val="center"/>
          </w:tcPr>
          <w:p w14:paraId="245FE9DC">
            <w:pPr>
              <w:pStyle w:val="175"/>
              <w:jc w:val="center"/>
            </w:pPr>
            <w:r>
              <w:rPr>
                <w:rFonts w:hint="eastAsia"/>
              </w:rPr>
              <w:t>4</w:t>
            </w:r>
          </w:p>
        </w:tc>
        <w:tc>
          <w:tcPr>
            <w:tcW w:w="418" w:type="pct"/>
            <w:tcMar>
              <w:left w:w="0" w:type="dxa"/>
              <w:right w:w="0" w:type="dxa"/>
            </w:tcMar>
            <w:vAlign w:val="center"/>
          </w:tcPr>
          <w:p w14:paraId="0E9B5B57">
            <w:pPr>
              <w:pStyle w:val="175"/>
              <w:jc w:val="center"/>
            </w:pPr>
            <w:r>
              <w:t>含油抹布</w:t>
            </w:r>
          </w:p>
        </w:tc>
        <w:tc>
          <w:tcPr>
            <w:tcW w:w="647" w:type="pct"/>
            <w:tcMar>
              <w:left w:w="0" w:type="dxa"/>
              <w:right w:w="0" w:type="dxa"/>
            </w:tcMar>
            <w:vAlign w:val="center"/>
          </w:tcPr>
          <w:p w14:paraId="790BD7D7">
            <w:pPr>
              <w:pStyle w:val="175"/>
              <w:jc w:val="center"/>
            </w:pPr>
            <w:r>
              <w:t>HW49 其他废物</w:t>
            </w:r>
          </w:p>
        </w:tc>
        <w:tc>
          <w:tcPr>
            <w:tcW w:w="556" w:type="pct"/>
            <w:tcMar>
              <w:left w:w="0" w:type="dxa"/>
              <w:right w:w="0" w:type="dxa"/>
            </w:tcMar>
            <w:vAlign w:val="center"/>
          </w:tcPr>
          <w:p w14:paraId="56645EFF">
            <w:pPr>
              <w:pStyle w:val="175"/>
              <w:jc w:val="center"/>
            </w:pPr>
            <w:r>
              <w:t>900-041-49</w:t>
            </w:r>
          </w:p>
        </w:tc>
        <w:tc>
          <w:tcPr>
            <w:tcW w:w="450" w:type="pct"/>
            <w:tcMar>
              <w:left w:w="0" w:type="dxa"/>
              <w:right w:w="0" w:type="dxa"/>
            </w:tcMar>
            <w:vAlign w:val="center"/>
          </w:tcPr>
          <w:p w14:paraId="639D3B45">
            <w:pPr>
              <w:pStyle w:val="175"/>
              <w:jc w:val="center"/>
            </w:pPr>
            <w:r>
              <w:t>0.</w:t>
            </w:r>
            <w:r>
              <w:rPr>
                <w:rFonts w:hint="eastAsia"/>
              </w:rPr>
              <w:t>1</w:t>
            </w:r>
          </w:p>
        </w:tc>
        <w:tc>
          <w:tcPr>
            <w:tcW w:w="714" w:type="pct"/>
            <w:tcMar>
              <w:left w:w="0" w:type="dxa"/>
              <w:right w:w="0" w:type="dxa"/>
            </w:tcMar>
            <w:vAlign w:val="center"/>
          </w:tcPr>
          <w:p w14:paraId="21F7AFB8">
            <w:pPr>
              <w:pStyle w:val="175"/>
              <w:jc w:val="center"/>
            </w:pPr>
            <w:r>
              <w:t>装卸设备</w:t>
            </w:r>
          </w:p>
          <w:p w14:paraId="361CDDAB">
            <w:pPr>
              <w:pStyle w:val="175"/>
              <w:jc w:val="center"/>
            </w:pPr>
            <w:r>
              <w:t>维修</w:t>
            </w:r>
          </w:p>
        </w:tc>
        <w:tc>
          <w:tcPr>
            <w:tcW w:w="458" w:type="pct"/>
            <w:tcMar>
              <w:left w:w="0" w:type="dxa"/>
              <w:right w:w="0" w:type="dxa"/>
            </w:tcMar>
            <w:vAlign w:val="center"/>
          </w:tcPr>
          <w:p w14:paraId="0C70A8F7">
            <w:pPr>
              <w:pStyle w:val="175"/>
              <w:jc w:val="center"/>
            </w:pPr>
            <w:r>
              <w:rPr>
                <w:rFonts w:hint="eastAsia"/>
              </w:rPr>
              <w:t>石油类</w:t>
            </w:r>
          </w:p>
        </w:tc>
        <w:tc>
          <w:tcPr>
            <w:tcW w:w="459" w:type="pct"/>
            <w:tcMar>
              <w:left w:w="0" w:type="dxa"/>
              <w:right w:w="0" w:type="dxa"/>
            </w:tcMar>
            <w:vAlign w:val="center"/>
          </w:tcPr>
          <w:p w14:paraId="590EB5EA">
            <w:pPr>
              <w:pStyle w:val="175"/>
              <w:jc w:val="center"/>
            </w:pPr>
            <w:r>
              <w:t>T/In</w:t>
            </w:r>
          </w:p>
        </w:tc>
        <w:tc>
          <w:tcPr>
            <w:tcW w:w="1048" w:type="pct"/>
            <w:vMerge w:val="continue"/>
            <w:tcMar>
              <w:left w:w="0" w:type="dxa"/>
              <w:right w:w="0" w:type="dxa"/>
            </w:tcMar>
            <w:vAlign w:val="center"/>
          </w:tcPr>
          <w:p w14:paraId="2465B5F7">
            <w:pPr>
              <w:pStyle w:val="175"/>
              <w:jc w:val="center"/>
            </w:pPr>
          </w:p>
        </w:tc>
      </w:tr>
    </w:tbl>
    <w:p w14:paraId="4F04B22C">
      <w:pPr>
        <w:pStyle w:val="6"/>
      </w:pPr>
      <w:r>
        <w:t>环境风险</w:t>
      </w:r>
    </w:p>
    <w:p w14:paraId="02340F77">
      <w:pPr>
        <w:ind w:firstLine="462"/>
      </w:pPr>
      <w:r>
        <w:t>码头</w:t>
      </w:r>
      <w:r>
        <w:rPr>
          <w:rFonts w:hint="eastAsia"/>
        </w:rPr>
        <w:t>建设</w:t>
      </w:r>
      <w:r>
        <w:t>完成后为</w:t>
      </w:r>
      <w:r>
        <w:rPr>
          <w:rFonts w:hint="eastAsia"/>
          <w:szCs w:val="28"/>
        </w:rPr>
        <w:t>5</w:t>
      </w:r>
      <w:r>
        <w:rPr>
          <w:szCs w:val="28"/>
        </w:rPr>
        <w:t>个</w:t>
      </w:r>
      <w:r>
        <w:rPr>
          <w:rFonts w:hint="eastAsia"/>
          <w:szCs w:val="28"/>
        </w:rPr>
        <w:t>5千</w:t>
      </w:r>
      <w:r>
        <w:rPr>
          <w:szCs w:val="28"/>
        </w:rPr>
        <w:t>吨</w:t>
      </w:r>
      <w:r>
        <w:t>级</w:t>
      </w:r>
      <w:r>
        <w:rPr>
          <w:rFonts w:hint="eastAsia"/>
          <w:iCs/>
        </w:rPr>
        <w:t>集装</w:t>
      </w:r>
      <w:r>
        <w:rPr>
          <w:iCs/>
        </w:rPr>
        <w:t>箱泊位</w:t>
      </w:r>
      <w:r>
        <w:t>，涉及危险品和化学品货种的储运；事故风险主要来源于</w:t>
      </w:r>
      <w:r>
        <w:rPr>
          <w:rFonts w:hint="eastAsia"/>
        </w:rPr>
        <w:t>化学品泄漏和火灾爆炸事故</w:t>
      </w:r>
      <w:r>
        <w:t>，对海域水生生态环境造成的不利影响。</w:t>
      </w:r>
      <w:r>
        <w:rPr>
          <w:rFonts w:hint="eastAsia"/>
        </w:rPr>
        <w:t>具体源强和影响见5章。</w:t>
      </w:r>
    </w:p>
    <w:p w14:paraId="2241F4AA">
      <w:pPr>
        <w:pStyle w:val="5"/>
      </w:pPr>
      <w:r>
        <w:t>项目污染物排放情况</w:t>
      </w:r>
    </w:p>
    <w:p w14:paraId="5753EC95">
      <w:pPr>
        <w:ind w:firstLine="462"/>
      </w:pPr>
      <w:r>
        <w:t>项目施工期主要污染物排放情况见下表2.</w:t>
      </w:r>
      <w:r>
        <w:rPr>
          <w:rFonts w:hint="eastAsia"/>
        </w:rPr>
        <w:t>3</w:t>
      </w:r>
      <w:r>
        <w:t>-</w:t>
      </w:r>
      <w:r>
        <w:rPr>
          <w:rFonts w:hint="eastAsia"/>
        </w:rPr>
        <w:t>12，运营期主要污染物排放情况见表2.3-13</w:t>
      </w:r>
      <w:r>
        <w:t>。</w:t>
      </w:r>
    </w:p>
    <w:p w14:paraId="49A80444">
      <w:pPr>
        <w:pStyle w:val="7"/>
      </w:pPr>
      <w:r>
        <w:t>施工期间主要污染物排放情况</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1" w:type="dxa"/>
          <w:bottom w:w="0" w:type="dxa"/>
          <w:right w:w="51" w:type="dxa"/>
        </w:tblCellMar>
      </w:tblPr>
      <w:tblGrid>
        <w:gridCol w:w="697"/>
        <w:gridCol w:w="1420"/>
        <w:gridCol w:w="1580"/>
        <w:gridCol w:w="1713"/>
        <w:gridCol w:w="2932"/>
      </w:tblGrid>
      <w:tr w14:paraId="3AA397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9" w:hRule="atLeast"/>
          <w:tblHeader/>
          <w:jc w:val="center"/>
        </w:trPr>
        <w:tc>
          <w:tcPr>
            <w:tcW w:w="418" w:type="pct"/>
            <w:tcMar>
              <w:left w:w="0" w:type="dxa"/>
              <w:right w:w="0" w:type="dxa"/>
            </w:tcMar>
            <w:vAlign w:val="center"/>
          </w:tcPr>
          <w:p w14:paraId="4DB8935F">
            <w:pPr>
              <w:pStyle w:val="34"/>
            </w:pPr>
            <w:r>
              <w:t>种类</w:t>
            </w:r>
          </w:p>
        </w:tc>
        <w:tc>
          <w:tcPr>
            <w:tcW w:w="851" w:type="pct"/>
            <w:tcMar>
              <w:left w:w="0" w:type="dxa"/>
              <w:right w:w="0" w:type="dxa"/>
            </w:tcMar>
            <w:vAlign w:val="center"/>
          </w:tcPr>
          <w:p w14:paraId="3CFA8837">
            <w:pPr>
              <w:pStyle w:val="34"/>
            </w:pPr>
            <w:r>
              <w:t>污染源</w:t>
            </w:r>
          </w:p>
        </w:tc>
        <w:tc>
          <w:tcPr>
            <w:tcW w:w="947" w:type="pct"/>
            <w:tcMar>
              <w:left w:w="0" w:type="dxa"/>
              <w:right w:w="0" w:type="dxa"/>
            </w:tcMar>
            <w:vAlign w:val="center"/>
          </w:tcPr>
          <w:p w14:paraId="7248849D">
            <w:pPr>
              <w:pStyle w:val="34"/>
            </w:pPr>
            <w:r>
              <w:t>发生量</w:t>
            </w:r>
          </w:p>
        </w:tc>
        <w:tc>
          <w:tcPr>
            <w:tcW w:w="1027" w:type="pct"/>
            <w:tcMar>
              <w:left w:w="0" w:type="dxa"/>
              <w:right w:w="0" w:type="dxa"/>
            </w:tcMar>
            <w:vAlign w:val="center"/>
          </w:tcPr>
          <w:p w14:paraId="631464AF">
            <w:pPr>
              <w:pStyle w:val="34"/>
            </w:pPr>
            <w:r>
              <w:t>主要污染物</w:t>
            </w:r>
          </w:p>
        </w:tc>
        <w:tc>
          <w:tcPr>
            <w:tcW w:w="1757" w:type="pct"/>
            <w:tcMar>
              <w:left w:w="0" w:type="dxa"/>
              <w:right w:w="0" w:type="dxa"/>
            </w:tcMar>
            <w:vAlign w:val="center"/>
          </w:tcPr>
          <w:p w14:paraId="20676BE9">
            <w:pPr>
              <w:pStyle w:val="34"/>
            </w:pPr>
            <w:r>
              <w:t>排放方式</w:t>
            </w:r>
          </w:p>
        </w:tc>
      </w:tr>
      <w:tr w14:paraId="0DF6F9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9" w:hRule="atLeast"/>
          <w:jc w:val="center"/>
        </w:trPr>
        <w:tc>
          <w:tcPr>
            <w:tcW w:w="418" w:type="pct"/>
            <w:vMerge w:val="restart"/>
            <w:tcMar>
              <w:left w:w="0" w:type="dxa"/>
              <w:right w:w="0" w:type="dxa"/>
            </w:tcMar>
            <w:vAlign w:val="center"/>
          </w:tcPr>
          <w:p w14:paraId="30F4D28B">
            <w:pPr>
              <w:pStyle w:val="34"/>
            </w:pPr>
            <w:r>
              <w:t>废水</w:t>
            </w:r>
          </w:p>
        </w:tc>
        <w:tc>
          <w:tcPr>
            <w:tcW w:w="851" w:type="pct"/>
            <w:tcMar>
              <w:left w:w="0" w:type="dxa"/>
              <w:right w:w="0" w:type="dxa"/>
            </w:tcMar>
            <w:vAlign w:val="center"/>
          </w:tcPr>
          <w:p w14:paraId="3B3DDCD6">
            <w:pPr>
              <w:pStyle w:val="34"/>
              <w:rPr>
                <w:kern w:val="0"/>
                <w:szCs w:val="21"/>
              </w:rPr>
            </w:pPr>
            <w:r>
              <w:rPr>
                <w:kern w:val="0"/>
                <w:szCs w:val="21"/>
              </w:rPr>
              <w:t>水域疏浚</w:t>
            </w:r>
          </w:p>
        </w:tc>
        <w:tc>
          <w:tcPr>
            <w:tcW w:w="947" w:type="pct"/>
            <w:tcMar>
              <w:left w:w="0" w:type="dxa"/>
              <w:right w:w="0" w:type="dxa"/>
            </w:tcMar>
            <w:vAlign w:val="center"/>
          </w:tcPr>
          <w:p w14:paraId="4F4DDC60">
            <w:pPr>
              <w:pStyle w:val="34"/>
              <w:rPr>
                <w:kern w:val="0"/>
                <w:szCs w:val="21"/>
              </w:rPr>
            </w:pPr>
            <w:r>
              <w:rPr>
                <w:kern w:val="0"/>
                <w:szCs w:val="21"/>
              </w:rPr>
              <w:t>7.41 kg/s</w:t>
            </w:r>
          </w:p>
        </w:tc>
        <w:tc>
          <w:tcPr>
            <w:tcW w:w="1027" w:type="pct"/>
            <w:tcMar>
              <w:left w:w="0" w:type="dxa"/>
              <w:right w:w="0" w:type="dxa"/>
            </w:tcMar>
            <w:vAlign w:val="center"/>
          </w:tcPr>
          <w:p w14:paraId="790C3885">
            <w:pPr>
              <w:pStyle w:val="34"/>
              <w:rPr>
                <w:kern w:val="0"/>
                <w:szCs w:val="21"/>
              </w:rPr>
            </w:pPr>
            <w:r>
              <w:rPr>
                <w:kern w:val="0"/>
                <w:szCs w:val="21"/>
              </w:rPr>
              <w:t>悬浮物（SS）</w:t>
            </w:r>
          </w:p>
        </w:tc>
        <w:tc>
          <w:tcPr>
            <w:tcW w:w="1757" w:type="pct"/>
            <w:tcMar>
              <w:left w:w="0" w:type="dxa"/>
              <w:right w:w="0" w:type="dxa"/>
            </w:tcMar>
            <w:vAlign w:val="center"/>
          </w:tcPr>
          <w:p w14:paraId="64E14ADD">
            <w:pPr>
              <w:pStyle w:val="34"/>
              <w:rPr>
                <w:kern w:val="0"/>
                <w:szCs w:val="21"/>
              </w:rPr>
            </w:pPr>
            <w:r>
              <w:rPr>
                <w:kern w:val="0"/>
                <w:szCs w:val="21"/>
              </w:rPr>
              <w:t>无组织排放</w:t>
            </w:r>
          </w:p>
          <w:p w14:paraId="3201E690">
            <w:pPr>
              <w:pStyle w:val="34"/>
              <w:rPr>
                <w:kern w:val="0"/>
                <w:szCs w:val="21"/>
              </w:rPr>
            </w:pPr>
            <w:r>
              <w:rPr>
                <w:kern w:val="0"/>
                <w:szCs w:val="21"/>
              </w:rPr>
              <w:t>（</w:t>
            </w:r>
            <w:r>
              <w:rPr>
                <w:rFonts w:hint="eastAsia"/>
                <w:kern w:val="0"/>
                <w:szCs w:val="21"/>
              </w:rPr>
              <w:t>两种</w:t>
            </w:r>
            <w:r>
              <w:rPr>
                <w:kern w:val="0"/>
                <w:szCs w:val="21"/>
              </w:rPr>
              <w:t>挖泥船不同时作业，污染物源强以发生量较大的</w:t>
            </w:r>
            <w:r>
              <w:rPr>
                <w:rFonts w:hint="eastAsia"/>
                <w:kern w:val="0"/>
                <w:szCs w:val="21"/>
              </w:rPr>
              <w:t>绞吸式</w:t>
            </w:r>
            <w:r>
              <w:rPr>
                <w:kern w:val="0"/>
                <w:szCs w:val="21"/>
              </w:rPr>
              <w:t>挖泥船为准）</w:t>
            </w:r>
          </w:p>
        </w:tc>
      </w:tr>
      <w:tr w14:paraId="729CF4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9" w:hRule="atLeast"/>
          <w:jc w:val="center"/>
        </w:trPr>
        <w:tc>
          <w:tcPr>
            <w:tcW w:w="418" w:type="pct"/>
            <w:vMerge w:val="continue"/>
            <w:tcMar>
              <w:left w:w="0" w:type="dxa"/>
              <w:right w:w="0" w:type="dxa"/>
            </w:tcMar>
            <w:vAlign w:val="center"/>
          </w:tcPr>
          <w:p w14:paraId="56DB19D9">
            <w:pPr>
              <w:pStyle w:val="34"/>
            </w:pPr>
          </w:p>
        </w:tc>
        <w:tc>
          <w:tcPr>
            <w:tcW w:w="851" w:type="pct"/>
            <w:tcMar>
              <w:left w:w="0" w:type="dxa"/>
              <w:right w:w="0" w:type="dxa"/>
            </w:tcMar>
            <w:vAlign w:val="center"/>
          </w:tcPr>
          <w:p w14:paraId="2E7B7FE3">
            <w:pPr>
              <w:pStyle w:val="34"/>
              <w:rPr>
                <w:kern w:val="0"/>
                <w:szCs w:val="21"/>
              </w:rPr>
            </w:pPr>
            <w:r>
              <w:rPr>
                <w:kern w:val="0"/>
                <w:szCs w:val="21"/>
              </w:rPr>
              <w:t>水域炸礁</w:t>
            </w:r>
          </w:p>
        </w:tc>
        <w:tc>
          <w:tcPr>
            <w:tcW w:w="947" w:type="pct"/>
            <w:tcMar>
              <w:left w:w="0" w:type="dxa"/>
              <w:right w:w="0" w:type="dxa"/>
            </w:tcMar>
            <w:vAlign w:val="center"/>
          </w:tcPr>
          <w:p w14:paraId="52E5EA13">
            <w:pPr>
              <w:pStyle w:val="34"/>
              <w:rPr>
                <w:kern w:val="0"/>
                <w:szCs w:val="21"/>
              </w:rPr>
            </w:pPr>
            <w:r>
              <w:rPr>
                <w:rFonts w:hint="eastAsia"/>
                <w:kern w:val="0"/>
                <w:szCs w:val="21"/>
              </w:rPr>
              <w:t>12.5m</w:t>
            </w:r>
            <w:r>
              <w:rPr>
                <w:rFonts w:hint="eastAsia"/>
                <w:kern w:val="0"/>
                <w:szCs w:val="21"/>
                <w:vertAlign w:val="superscript"/>
              </w:rPr>
              <w:t>3</w:t>
            </w:r>
          </w:p>
          <w:p w14:paraId="5951C719">
            <w:pPr>
              <w:pStyle w:val="34"/>
              <w:rPr>
                <w:kern w:val="0"/>
                <w:szCs w:val="21"/>
              </w:rPr>
            </w:pPr>
            <w:r>
              <w:rPr>
                <w:kern w:val="0"/>
                <w:szCs w:val="21"/>
              </w:rPr>
              <w:t>（瞬时</w:t>
            </w:r>
            <w:r>
              <w:rPr>
                <w:rFonts w:hint="eastAsia"/>
                <w:kern w:val="0"/>
                <w:szCs w:val="21"/>
              </w:rPr>
              <w:t>、单次</w:t>
            </w:r>
            <w:r>
              <w:rPr>
                <w:kern w:val="0"/>
                <w:szCs w:val="21"/>
              </w:rPr>
              <w:t>）</w:t>
            </w:r>
          </w:p>
        </w:tc>
        <w:tc>
          <w:tcPr>
            <w:tcW w:w="1027" w:type="pct"/>
            <w:tcMar>
              <w:left w:w="0" w:type="dxa"/>
              <w:right w:w="0" w:type="dxa"/>
            </w:tcMar>
            <w:vAlign w:val="center"/>
          </w:tcPr>
          <w:p w14:paraId="314FEF03">
            <w:pPr>
              <w:pStyle w:val="34"/>
              <w:rPr>
                <w:kern w:val="0"/>
                <w:szCs w:val="21"/>
              </w:rPr>
            </w:pPr>
            <w:r>
              <w:rPr>
                <w:kern w:val="0"/>
                <w:szCs w:val="21"/>
              </w:rPr>
              <w:t>悬浮物（SS）</w:t>
            </w:r>
          </w:p>
        </w:tc>
        <w:tc>
          <w:tcPr>
            <w:tcW w:w="1757" w:type="pct"/>
            <w:tcMar>
              <w:left w:w="0" w:type="dxa"/>
              <w:right w:w="0" w:type="dxa"/>
            </w:tcMar>
            <w:vAlign w:val="center"/>
          </w:tcPr>
          <w:p w14:paraId="62911344">
            <w:pPr>
              <w:pStyle w:val="34"/>
              <w:rPr>
                <w:kern w:val="0"/>
                <w:szCs w:val="21"/>
              </w:rPr>
            </w:pPr>
            <w:r>
              <w:rPr>
                <w:rFonts w:hint="eastAsia"/>
                <w:kern w:val="0"/>
                <w:szCs w:val="21"/>
              </w:rPr>
              <w:t>无组织</w:t>
            </w:r>
            <w:r>
              <w:rPr>
                <w:kern w:val="0"/>
                <w:szCs w:val="21"/>
              </w:rPr>
              <w:t>排放</w:t>
            </w:r>
          </w:p>
        </w:tc>
      </w:tr>
      <w:tr w14:paraId="2AD1EE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9" w:hRule="atLeast"/>
          <w:jc w:val="center"/>
        </w:trPr>
        <w:tc>
          <w:tcPr>
            <w:tcW w:w="418" w:type="pct"/>
            <w:vMerge w:val="continue"/>
            <w:tcMar>
              <w:left w:w="0" w:type="dxa"/>
              <w:right w:w="0" w:type="dxa"/>
            </w:tcMar>
            <w:vAlign w:val="center"/>
          </w:tcPr>
          <w:p w14:paraId="0A6F6D39">
            <w:pPr>
              <w:pStyle w:val="34"/>
            </w:pPr>
          </w:p>
        </w:tc>
        <w:tc>
          <w:tcPr>
            <w:tcW w:w="851" w:type="pct"/>
            <w:tcMar>
              <w:left w:w="0" w:type="dxa"/>
              <w:right w:w="0" w:type="dxa"/>
            </w:tcMar>
            <w:vAlign w:val="center"/>
          </w:tcPr>
          <w:p w14:paraId="6FBDD8FA">
            <w:pPr>
              <w:pStyle w:val="34"/>
              <w:rPr>
                <w:kern w:val="0"/>
                <w:szCs w:val="21"/>
              </w:rPr>
            </w:pPr>
            <w:r>
              <w:rPr>
                <w:kern w:val="0"/>
                <w:szCs w:val="21"/>
              </w:rPr>
              <w:t>船舶生活污水</w:t>
            </w:r>
          </w:p>
        </w:tc>
        <w:tc>
          <w:tcPr>
            <w:tcW w:w="947" w:type="pct"/>
            <w:tcMar>
              <w:left w:w="0" w:type="dxa"/>
              <w:right w:w="0" w:type="dxa"/>
            </w:tcMar>
            <w:vAlign w:val="center"/>
          </w:tcPr>
          <w:p w14:paraId="6139F4A4">
            <w:pPr>
              <w:pStyle w:val="34"/>
              <w:rPr>
                <w:kern w:val="0"/>
                <w:szCs w:val="21"/>
              </w:rPr>
            </w:pPr>
            <w:r>
              <w:rPr>
                <w:rFonts w:hint="eastAsia"/>
                <w:kern w:val="0"/>
                <w:szCs w:val="21"/>
              </w:rPr>
              <w:t xml:space="preserve">350 </w:t>
            </w:r>
            <w:r>
              <w:rPr>
                <w:kern w:val="0"/>
                <w:szCs w:val="21"/>
              </w:rPr>
              <w:t>t</w:t>
            </w:r>
          </w:p>
        </w:tc>
        <w:tc>
          <w:tcPr>
            <w:tcW w:w="1027" w:type="pct"/>
            <w:tcMar>
              <w:left w:w="0" w:type="dxa"/>
              <w:right w:w="0" w:type="dxa"/>
            </w:tcMar>
            <w:vAlign w:val="center"/>
          </w:tcPr>
          <w:p w14:paraId="076B214E">
            <w:pPr>
              <w:pStyle w:val="34"/>
              <w:rPr>
                <w:kern w:val="0"/>
                <w:szCs w:val="21"/>
              </w:rPr>
            </w:pPr>
            <w:r>
              <w:rPr>
                <w:kern w:val="0"/>
                <w:szCs w:val="21"/>
              </w:rPr>
              <w:t>COD（</w:t>
            </w:r>
            <w:r>
              <w:rPr>
                <w:rFonts w:hint="eastAsia"/>
                <w:kern w:val="0"/>
                <w:szCs w:val="21"/>
              </w:rPr>
              <w:t>105</w:t>
            </w:r>
            <w:r>
              <w:rPr>
                <w:kern w:val="0"/>
                <w:szCs w:val="21"/>
              </w:rPr>
              <w:t>kg）</w:t>
            </w:r>
          </w:p>
          <w:p w14:paraId="33E96C20">
            <w:pPr>
              <w:pStyle w:val="34"/>
              <w:rPr>
                <w:kern w:val="0"/>
                <w:szCs w:val="21"/>
              </w:rPr>
            </w:pPr>
            <w:r>
              <w:rPr>
                <w:kern w:val="0"/>
                <w:szCs w:val="21"/>
              </w:rPr>
              <w:t>BOD</w:t>
            </w:r>
            <w:r>
              <w:rPr>
                <w:kern w:val="0"/>
                <w:szCs w:val="21"/>
                <w:vertAlign w:val="subscript"/>
              </w:rPr>
              <w:t>5</w:t>
            </w:r>
            <w:r>
              <w:rPr>
                <w:kern w:val="0"/>
                <w:szCs w:val="21"/>
              </w:rPr>
              <w:t>（</w:t>
            </w:r>
            <w:r>
              <w:rPr>
                <w:rFonts w:hint="eastAsia"/>
                <w:kern w:val="0"/>
                <w:szCs w:val="21"/>
              </w:rPr>
              <w:t>70</w:t>
            </w:r>
            <w:r>
              <w:rPr>
                <w:kern w:val="0"/>
                <w:szCs w:val="21"/>
              </w:rPr>
              <w:t>kg）</w:t>
            </w:r>
          </w:p>
          <w:p w14:paraId="1CE5E9B5">
            <w:pPr>
              <w:pStyle w:val="34"/>
              <w:rPr>
                <w:kern w:val="0"/>
                <w:szCs w:val="21"/>
              </w:rPr>
            </w:pPr>
            <w:r>
              <w:rPr>
                <w:kern w:val="0"/>
                <w:szCs w:val="21"/>
              </w:rPr>
              <w:t>SS（</w:t>
            </w:r>
            <w:r>
              <w:rPr>
                <w:rFonts w:hint="eastAsia"/>
                <w:kern w:val="0"/>
                <w:szCs w:val="21"/>
              </w:rPr>
              <w:t>140</w:t>
            </w:r>
            <w:r>
              <w:rPr>
                <w:kern w:val="0"/>
                <w:szCs w:val="21"/>
              </w:rPr>
              <w:t>kg）</w:t>
            </w:r>
          </w:p>
        </w:tc>
        <w:tc>
          <w:tcPr>
            <w:tcW w:w="1757" w:type="pct"/>
            <w:vMerge w:val="restart"/>
            <w:tcMar>
              <w:left w:w="0" w:type="dxa"/>
              <w:right w:w="0" w:type="dxa"/>
            </w:tcMar>
            <w:vAlign w:val="center"/>
          </w:tcPr>
          <w:p w14:paraId="3B4395AD">
            <w:pPr>
              <w:pStyle w:val="34"/>
              <w:rPr>
                <w:kern w:val="0"/>
                <w:szCs w:val="21"/>
              </w:rPr>
            </w:pPr>
            <w:r>
              <w:rPr>
                <w:kern w:val="0"/>
                <w:szCs w:val="21"/>
              </w:rPr>
              <w:t>固定接收船接收，委托有资质单位处置</w:t>
            </w:r>
          </w:p>
        </w:tc>
      </w:tr>
      <w:tr w14:paraId="5423C1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9" w:hRule="atLeast"/>
          <w:jc w:val="center"/>
        </w:trPr>
        <w:tc>
          <w:tcPr>
            <w:tcW w:w="418" w:type="pct"/>
            <w:vMerge w:val="continue"/>
            <w:tcMar>
              <w:left w:w="0" w:type="dxa"/>
              <w:right w:w="0" w:type="dxa"/>
            </w:tcMar>
            <w:vAlign w:val="center"/>
          </w:tcPr>
          <w:p w14:paraId="52AF113A">
            <w:pPr>
              <w:pStyle w:val="34"/>
            </w:pPr>
          </w:p>
        </w:tc>
        <w:tc>
          <w:tcPr>
            <w:tcW w:w="851" w:type="pct"/>
            <w:tcMar>
              <w:left w:w="0" w:type="dxa"/>
              <w:right w:w="0" w:type="dxa"/>
            </w:tcMar>
            <w:vAlign w:val="center"/>
          </w:tcPr>
          <w:p w14:paraId="2134CC71">
            <w:pPr>
              <w:pStyle w:val="34"/>
              <w:rPr>
                <w:kern w:val="0"/>
                <w:szCs w:val="21"/>
              </w:rPr>
            </w:pPr>
            <w:r>
              <w:rPr>
                <w:kern w:val="0"/>
                <w:szCs w:val="21"/>
              </w:rPr>
              <w:t>船舶含油污水</w:t>
            </w:r>
          </w:p>
        </w:tc>
        <w:tc>
          <w:tcPr>
            <w:tcW w:w="947" w:type="pct"/>
            <w:tcMar>
              <w:left w:w="0" w:type="dxa"/>
              <w:right w:w="0" w:type="dxa"/>
            </w:tcMar>
            <w:vAlign w:val="center"/>
          </w:tcPr>
          <w:p w14:paraId="0193D3E3">
            <w:pPr>
              <w:pStyle w:val="34"/>
              <w:rPr>
                <w:kern w:val="0"/>
                <w:szCs w:val="21"/>
              </w:rPr>
            </w:pPr>
            <w:r>
              <w:rPr>
                <w:rFonts w:hint="eastAsia"/>
                <w:kern w:val="0"/>
                <w:szCs w:val="21"/>
              </w:rPr>
              <w:t>252</w:t>
            </w:r>
            <w:r>
              <w:rPr>
                <w:kern w:val="0"/>
                <w:szCs w:val="21"/>
              </w:rPr>
              <w:t xml:space="preserve"> t</w:t>
            </w:r>
          </w:p>
        </w:tc>
        <w:tc>
          <w:tcPr>
            <w:tcW w:w="1027" w:type="pct"/>
            <w:tcMar>
              <w:left w:w="0" w:type="dxa"/>
              <w:right w:w="0" w:type="dxa"/>
            </w:tcMar>
            <w:vAlign w:val="center"/>
          </w:tcPr>
          <w:p w14:paraId="1F344DDC">
            <w:pPr>
              <w:pStyle w:val="34"/>
              <w:rPr>
                <w:kern w:val="0"/>
                <w:szCs w:val="21"/>
              </w:rPr>
            </w:pPr>
            <w:r>
              <w:rPr>
                <w:kern w:val="0"/>
                <w:szCs w:val="21"/>
              </w:rPr>
              <w:t>石油类（</w:t>
            </w:r>
            <w:r>
              <w:rPr>
                <w:rFonts w:hint="eastAsia"/>
                <w:kern w:val="0"/>
                <w:szCs w:val="21"/>
              </w:rPr>
              <w:t>1260</w:t>
            </w:r>
            <w:r>
              <w:rPr>
                <w:kern w:val="0"/>
                <w:szCs w:val="21"/>
              </w:rPr>
              <w:t>kg）</w:t>
            </w:r>
          </w:p>
        </w:tc>
        <w:tc>
          <w:tcPr>
            <w:tcW w:w="1757" w:type="pct"/>
            <w:vMerge w:val="continue"/>
            <w:tcMar>
              <w:left w:w="0" w:type="dxa"/>
              <w:right w:w="0" w:type="dxa"/>
            </w:tcMar>
            <w:vAlign w:val="center"/>
          </w:tcPr>
          <w:p w14:paraId="349BB2B6">
            <w:pPr>
              <w:pStyle w:val="34"/>
              <w:rPr>
                <w:kern w:val="0"/>
                <w:szCs w:val="21"/>
              </w:rPr>
            </w:pPr>
          </w:p>
        </w:tc>
      </w:tr>
      <w:tr w14:paraId="79C323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9" w:hRule="atLeast"/>
          <w:jc w:val="center"/>
        </w:trPr>
        <w:tc>
          <w:tcPr>
            <w:tcW w:w="418" w:type="pct"/>
            <w:vMerge w:val="continue"/>
            <w:tcMar>
              <w:left w:w="0" w:type="dxa"/>
              <w:right w:w="0" w:type="dxa"/>
            </w:tcMar>
            <w:vAlign w:val="center"/>
          </w:tcPr>
          <w:p w14:paraId="7AC42C39">
            <w:pPr>
              <w:pStyle w:val="34"/>
            </w:pPr>
          </w:p>
        </w:tc>
        <w:tc>
          <w:tcPr>
            <w:tcW w:w="851" w:type="pct"/>
            <w:tcMar>
              <w:left w:w="0" w:type="dxa"/>
              <w:right w:w="0" w:type="dxa"/>
            </w:tcMar>
            <w:vAlign w:val="center"/>
          </w:tcPr>
          <w:p w14:paraId="52E17680">
            <w:pPr>
              <w:pStyle w:val="34"/>
              <w:rPr>
                <w:kern w:val="0"/>
                <w:szCs w:val="21"/>
              </w:rPr>
            </w:pPr>
            <w:r>
              <w:rPr>
                <w:kern w:val="0"/>
                <w:szCs w:val="21"/>
              </w:rPr>
              <w:t>陆域施工生活废水</w:t>
            </w:r>
          </w:p>
        </w:tc>
        <w:tc>
          <w:tcPr>
            <w:tcW w:w="947" w:type="pct"/>
            <w:tcMar>
              <w:left w:w="0" w:type="dxa"/>
              <w:right w:w="0" w:type="dxa"/>
            </w:tcMar>
            <w:vAlign w:val="center"/>
          </w:tcPr>
          <w:p w14:paraId="2E8BE6A4">
            <w:pPr>
              <w:pStyle w:val="34"/>
              <w:rPr>
                <w:kern w:val="0"/>
                <w:szCs w:val="21"/>
              </w:rPr>
            </w:pPr>
            <w:r>
              <w:rPr>
                <w:rFonts w:hint="eastAsia"/>
                <w:kern w:val="0"/>
                <w:szCs w:val="21"/>
              </w:rPr>
              <w:t xml:space="preserve">840 </w:t>
            </w:r>
            <w:r>
              <w:rPr>
                <w:kern w:val="0"/>
                <w:szCs w:val="21"/>
              </w:rPr>
              <w:t>t</w:t>
            </w:r>
          </w:p>
        </w:tc>
        <w:tc>
          <w:tcPr>
            <w:tcW w:w="1027" w:type="pct"/>
            <w:tcMar>
              <w:left w:w="0" w:type="dxa"/>
              <w:right w:w="0" w:type="dxa"/>
            </w:tcMar>
            <w:vAlign w:val="center"/>
          </w:tcPr>
          <w:p w14:paraId="481BE8C3">
            <w:pPr>
              <w:pStyle w:val="34"/>
              <w:rPr>
                <w:kern w:val="0"/>
                <w:szCs w:val="21"/>
              </w:rPr>
            </w:pPr>
            <w:r>
              <w:rPr>
                <w:kern w:val="0"/>
                <w:szCs w:val="21"/>
              </w:rPr>
              <w:t>COD（</w:t>
            </w:r>
            <w:r>
              <w:rPr>
                <w:rFonts w:hint="eastAsia"/>
                <w:kern w:val="0"/>
                <w:szCs w:val="21"/>
              </w:rPr>
              <w:t>420</w:t>
            </w:r>
            <w:r>
              <w:rPr>
                <w:kern w:val="0"/>
                <w:szCs w:val="21"/>
              </w:rPr>
              <w:t>kg）</w:t>
            </w:r>
          </w:p>
          <w:p w14:paraId="71BD49BE">
            <w:pPr>
              <w:pStyle w:val="34"/>
              <w:rPr>
                <w:kern w:val="0"/>
                <w:szCs w:val="21"/>
              </w:rPr>
            </w:pPr>
            <w:r>
              <w:rPr>
                <w:kern w:val="0"/>
                <w:szCs w:val="21"/>
              </w:rPr>
              <w:t>BOD</w:t>
            </w:r>
            <w:r>
              <w:rPr>
                <w:kern w:val="0"/>
                <w:szCs w:val="21"/>
                <w:vertAlign w:val="subscript"/>
              </w:rPr>
              <w:t>5</w:t>
            </w:r>
            <w:r>
              <w:rPr>
                <w:kern w:val="0"/>
                <w:szCs w:val="21"/>
              </w:rPr>
              <w:t>（</w:t>
            </w:r>
            <w:r>
              <w:rPr>
                <w:rFonts w:hint="eastAsia"/>
                <w:kern w:val="0"/>
                <w:szCs w:val="21"/>
              </w:rPr>
              <w:t>294</w:t>
            </w:r>
            <w:r>
              <w:rPr>
                <w:kern w:val="0"/>
                <w:szCs w:val="21"/>
              </w:rPr>
              <w:t>kg）</w:t>
            </w:r>
          </w:p>
          <w:p w14:paraId="05C2F41D">
            <w:pPr>
              <w:pStyle w:val="34"/>
              <w:rPr>
                <w:kern w:val="0"/>
                <w:szCs w:val="21"/>
              </w:rPr>
            </w:pPr>
            <w:r>
              <w:rPr>
                <w:kern w:val="0"/>
                <w:szCs w:val="21"/>
              </w:rPr>
              <w:t>NH</w:t>
            </w:r>
            <w:r>
              <w:rPr>
                <w:kern w:val="0"/>
                <w:szCs w:val="21"/>
                <w:vertAlign w:val="subscript"/>
              </w:rPr>
              <w:t>3</w:t>
            </w:r>
            <w:r>
              <w:rPr>
                <w:kern w:val="0"/>
                <w:szCs w:val="21"/>
              </w:rPr>
              <w:t>-N（</w:t>
            </w:r>
            <w:r>
              <w:rPr>
                <w:rFonts w:hint="eastAsia"/>
                <w:kern w:val="0"/>
                <w:szCs w:val="21"/>
              </w:rPr>
              <w:t>22.68</w:t>
            </w:r>
            <w:r>
              <w:rPr>
                <w:kern w:val="0"/>
                <w:szCs w:val="21"/>
              </w:rPr>
              <w:t>kg）</w:t>
            </w:r>
          </w:p>
        </w:tc>
        <w:tc>
          <w:tcPr>
            <w:tcW w:w="1757" w:type="pct"/>
            <w:tcMar>
              <w:left w:w="0" w:type="dxa"/>
              <w:right w:w="0" w:type="dxa"/>
            </w:tcMar>
            <w:vAlign w:val="center"/>
          </w:tcPr>
          <w:p w14:paraId="231BBA34">
            <w:pPr>
              <w:pStyle w:val="34"/>
              <w:rPr>
                <w:kern w:val="0"/>
                <w:szCs w:val="21"/>
              </w:rPr>
            </w:pPr>
            <w:r>
              <w:rPr>
                <w:rFonts w:hint="eastAsia"/>
                <w:kern w:val="0"/>
                <w:szCs w:val="21"/>
              </w:rPr>
              <w:t>9号10号泊位现有厕所，收集后泵送至7号8号泊位生活污水处理站，经预处理后进入大榄坪污水处理厂</w:t>
            </w:r>
          </w:p>
        </w:tc>
      </w:tr>
      <w:tr w14:paraId="29FB3F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798" w:hRule="atLeast"/>
          <w:jc w:val="center"/>
        </w:trPr>
        <w:tc>
          <w:tcPr>
            <w:tcW w:w="418" w:type="pct"/>
            <w:vMerge w:val="restart"/>
            <w:tcMar>
              <w:left w:w="0" w:type="dxa"/>
              <w:right w:w="0" w:type="dxa"/>
            </w:tcMar>
            <w:vAlign w:val="center"/>
          </w:tcPr>
          <w:p w14:paraId="4E29375C">
            <w:pPr>
              <w:pStyle w:val="34"/>
            </w:pPr>
            <w:r>
              <w:t>废气</w:t>
            </w:r>
          </w:p>
        </w:tc>
        <w:tc>
          <w:tcPr>
            <w:tcW w:w="851" w:type="pct"/>
            <w:tcMar>
              <w:left w:w="0" w:type="dxa"/>
              <w:right w:w="0" w:type="dxa"/>
            </w:tcMar>
            <w:vAlign w:val="center"/>
          </w:tcPr>
          <w:p w14:paraId="1E3D9F50">
            <w:pPr>
              <w:pStyle w:val="34"/>
              <w:rPr>
                <w:kern w:val="0"/>
                <w:szCs w:val="21"/>
              </w:rPr>
            </w:pPr>
            <w:r>
              <w:rPr>
                <w:kern w:val="0"/>
                <w:szCs w:val="21"/>
              </w:rPr>
              <w:t>材料运输扬尘</w:t>
            </w:r>
          </w:p>
        </w:tc>
        <w:tc>
          <w:tcPr>
            <w:tcW w:w="947" w:type="pct"/>
            <w:tcMar>
              <w:left w:w="0" w:type="dxa"/>
              <w:right w:w="0" w:type="dxa"/>
            </w:tcMar>
            <w:vAlign w:val="center"/>
          </w:tcPr>
          <w:p w14:paraId="3D158034">
            <w:pPr>
              <w:pStyle w:val="34"/>
              <w:rPr>
                <w:kern w:val="0"/>
                <w:szCs w:val="21"/>
              </w:rPr>
            </w:pPr>
            <w:r>
              <w:rPr>
                <w:rFonts w:hint="eastAsia"/>
                <w:kern w:val="0"/>
                <w:szCs w:val="21"/>
              </w:rPr>
              <w:t>/</w:t>
            </w:r>
          </w:p>
        </w:tc>
        <w:tc>
          <w:tcPr>
            <w:tcW w:w="1027" w:type="pct"/>
            <w:tcMar>
              <w:left w:w="0" w:type="dxa"/>
              <w:right w:w="0" w:type="dxa"/>
            </w:tcMar>
            <w:vAlign w:val="center"/>
          </w:tcPr>
          <w:p w14:paraId="7CE410F2">
            <w:pPr>
              <w:pStyle w:val="34"/>
              <w:rPr>
                <w:kern w:val="0"/>
                <w:szCs w:val="21"/>
              </w:rPr>
            </w:pPr>
            <w:r>
              <w:rPr>
                <w:rFonts w:hint="eastAsia"/>
                <w:kern w:val="0"/>
                <w:szCs w:val="21"/>
              </w:rPr>
              <w:t>TSP（</w:t>
            </w:r>
            <w:r>
              <w:rPr>
                <w:kern w:val="0"/>
                <w:szCs w:val="21"/>
              </w:rPr>
              <w:t>距路边下风向50m，TSP浓度大于10mg/m</w:t>
            </w:r>
            <w:r>
              <w:rPr>
                <w:kern w:val="0"/>
                <w:szCs w:val="21"/>
                <w:vertAlign w:val="superscript"/>
              </w:rPr>
              <w:t>3</w:t>
            </w:r>
            <w:r>
              <w:rPr>
                <w:rFonts w:hint="eastAsia"/>
                <w:kern w:val="0"/>
                <w:szCs w:val="21"/>
              </w:rPr>
              <w:t>）</w:t>
            </w:r>
          </w:p>
        </w:tc>
        <w:tc>
          <w:tcPr>
            <w:tcW w:w="1757" w:type="pct"/>
            <w:tcMar>
              <w:left w:w="0" w:type="dxa"/>
              <w:right w:w="0" w:type="dxa"/>
            </w:tcMar>
            <w:vAlign w:val="center"/>
          </w:tcPr>
          <w:p w14:paraId="546B0DBF">
            <w:pPr>
              <w:pStyle w:val="34"/>
              <w:rPr>
                <w:kern w:val="0"/>
                <w:szCs w:val="21"/>
              </w:rPr>
            </w:pPr>
            <w:r>
              <w:rPr>
                <w:kern w:val="0"/>
                <w:szCs w:val="21"/>
              </w:rPr>
              <w:t>无组织排放</w:t>
            </w:r>
          </w:p>
        </w:tc>
      </w:tr>
      <w:tr w14:paraId="7E1688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546" w:hRule="atLeast"/>
          <w:jc w:val="center"/>
        </w:trPr>
        <w:tc>
          <w:tcPr>
            <w:tcW w:w="418" w:type="pct"/>
            <w:vMerge w:val="continue"/>
            <w:tcMar>
              <w:left w:w="0" w:type="dxa"/>
              <w:right w:w="0" w:type="dxa"/>
            </w:tcMar>
            <w:vAlign w:val="center"/>
          </w:tcPr>
          <w:p w14:paraId="26C81577">
            <w:pPr>
              <w:pStyle w:val="34"/>
            </w:pPr>
          </w:p>
        </w:tc>
        <w:tc>
          <w:tcPr>
            <w:tcW w:w="851" w:type="pct"/>
            <w:tcMar>
              <w:left w:w="0" w:type="dxa"/>
              <w:right w:w="0" w:type="dxa"/>
            </w:tcMar>
            <w:vAlign w:val="center"/>
          </w:tcPr>
          <w:p w14:paraId="64EC42BB">
            <w:pPr>
              <w:pStyle w:val="34"/>
              <w:rPr>
                <w:kern w:val="0"/>
                <w:szCs w:val="21"/>
              </w:rPr>
            </w:pPr>
            <w:r>
              <w:rPr>
                <w:kern w:val="0"/>
                <w:szCs w:val="21"/>
              </w:rPr>
              <w:t>施工船舶</w:t>
            </w:r>
          </w:p>
        </w:tc>
        <w:tc>
          <w:tcPr>
            <w:tcW w:w="947" w:type="pct"/>
            <w:tcMar>
              <w:left w:w="0" w:type="dxa"/>
              <w:right w:w="0" w:type="dxa"/>
            </w:tcMar>
            <w:vAlign w:val="center"/>
          </w:tcPr>
          <w:p w14:paraId="56C8EB3B">
            <w:pPr>
              <w:pStyle w:val="34"/>
              <w:rPr>
                <w:kern w:val="0"/>
                <w:szCs w:val="21"/>
              </w:rPr>
            </w:pPr>
            <w:r>
              <w:rPr>
                <w:rFonts w:hint="eastAsia"/>
                <w:kern w:val="0"/>
                <w:szCs w:val="21"/>
              </w:rPr>
              <w:t>/</w:t>
            </w:r>
          </w:p>
        </w:tc>
        <w:tc>
          <w:tcPr>
            <w:tcW w:w="1027" w:type="pct"/>
            <w:tcMar>
              <w:left w:w="0" w:type="dxa"/>
              <w:right w:w="0" w:type="dxa"/>
            </w:tcMar>
            <w:vAlign w:val="center"/>
          </w:tcPr>
          <w:p w14:paraId="74F51477">
            <w:pPr>
              <w:pStyle w:val="34"/>
              <w:rPr>
                <w:kern w:val="0"/>
                <w:szCs w:val="21"/>
              </w:rPr>
            </w:pPr>
            <w:r>
              <w:rPr>
                <w:kern w:val="0"/>
                <w:szCs w:val="21"/>
              </w:rPr>
              <w:t>SO</w:t>
            </w:r>
            <w:r>
              <w:rPr>
                <w:kern w:val="0"/>
                <w:szCs w:val="21"/>
                <w:vertAlign w:val="subscript"/>
              </w:rPr>
              <w:t>2</w:t>
            </w:r>
            <w:r>
              <w:rPr>
                <w:kern w:val="0"/>
                <w:szCs w:val="21"/>
              </w:rPr>
              <w:t>（</w:t>
            </w:r>
            <w:r>
              <w:rPr>
                <w:rFonts w:hint="eastAsia"/>
                <w:kern w:val="0"/>
                <w:szCs w:val="21"/>
              </w:rPr>
              <w:t>1.10</w:t>
            </w:r>
            <w:r>
              <w:rPr>
                <w:kern w:val="0"/>
                <w:szCs w:val="21"/>
              </w:rPr>
              <w:t>t）</w:t>
            </w:r>
          </w:p>
          <w:p w14:paraId="791F17DB">
            <w:pPr>
              <w:pStyle w:val="34"/>
              <w:rPr>
                <w:kern w:val="0"/>
                <w:szCs w:val="21"/>
              </w:rPr>
            </w:pPr>
            <w:r>
              <w:rPr>
                <w:kern w:val="0"/>
                <w:szCs w:val="21"/>
              </w:rPr>
              <w:t>NO</w:t>
            </w:r>
            <w:r>
              <w:rPr>
                <w:kern w:val="0"/>
                <w:szCs w:val="21"/>
                <w:vertAlign w:val="subscript"/>
              </w:rPr>
              <w:t>2</w:t>
            </w:r>
            <w:r>
              <w:rPr>
                <w:kern w:val="0"/>
                <w:szCs w:val="21"/>
              </w:rPr>
              <w:t>（</w:t>
            </w:r>
            <w:r>
              <w:rPr>
                <w:rFonts w:hint="eastAsia"/>
                <w:kern w:val="0"/>
                <w:szCs w:val="21"/>
              </w:rPr>
              <w:t>5.52</w:t>
            </w:r>
            <w:r>
              <w:rPr>
                <w:kern w:val="0"/>
                <w:szCs w:val="21"/>
              </w:rPr>
              <w:t>t）</w:t>
            </w:r>
          </w:p>
        </w:tc>
        <w:tc>
          <w:tcPr>
            <w:tcW w:w="1757" w:type="pct"/>
            <w:tcMar>
              <w:left w:w="0" w:type="dxa"/>
              <w:right w:w="0" w:type="dxa"/>
            </w:tcMar>
            <w:vAlign w:val="center"/>
          </w:tcPr>
          <w:p w14:paraId="38E32BDD">
            <w:pPr>
              <w:pStyle w:val="34"/>
              <w:rPr>
                <w:kern w:val="0"/>
                <w:szCs w:val="21"/>
              </w:rPr>
            </w:pPr>
            <w:r>
              <w:rPr>
                <w:kern w:val="0"/>
                <w:szCs w:val="21"/>
              </w:rPr>
              <w:t>无组织排放</w:t>
            </w:r>
          </w:p>
        </w:tc>
      </w:tr>
      <w:tr w14:paraId="3F803A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9" w:hRule="atLeast"/>
          <w:jc w:val="center"/>
        </w:trPr>
        <w:tc>
          <w:tcPr>
            <w:tcW w:w="418" w:type="pct"/>
            <w:vMerge w:val="restart"/>
            <w:tcMar>
              <w:left w:w="0" w:type="dxa"/>
              <w:right w:w="0" w:type="dxa"/>
            </w:tcMar>
            <w:vAlign w:val="center"/>
          </w:tcPr>
          <w:p w14:paraId="4171922A">
            <w:pPr>
              <w:pStyle w:val="34"/>
            </w:pPr>
            <w:r>
              <w:t>固废</w:t>
            </w:r>
          </w:p>
        </w:tc>
        <w:tc>
          <w:tcPr>
            <w:tcW w:w="851" w:type="pct"/>
            <w:tcMar>
              <w:left w:w="0" w:type="dxa"/>
              <w:right w:w="0" w:type="dxa"/>
            </w:tcMar>
            <w:vAlign w:val="center"/>
          </w:tcPr>
          <w:p w14:paraId="3D011B04">
            <w:pPr>
              <w:pStyle w:val="34"/>
              <w:rPr>
                <w:kern w:val="0"/>
                <w:szCs w:val="21"/>
              </w:rPr>
            </w:pPr>
            <w:r>
              <w:rPr>
                <w:kern w:val="0"/>
                <w:szCs w:val="21"/>
              </w:rPr>
              <w:t>炸礁</w:t>
            </w:r>
            <w:r>
              <w:rPr>
                <w:rFonts w:hint="eastAsia"/>
                <w:kern w:val="0"/>
                <w:szCs w:val="21"/>
              </w:rPr>
              <w:t>、</w:t>
            </w:r>
            <w:r>
              <w:rPr>
                <w:kern w:val="0"/>
                <w:szCs w:val="21"/>
              </w:rPr>
              <w:t>疏浚物</w:t>
            </w:r>
          </w:p>
        </w:tc>
        <w:tc>
          <w:tcPr>
            <w:tcW w:w="947" w:type="pct"/>
            <w:tcMar>
              <w:left w:w="0" w:type="dxa"/>
              <w:right w:w="0" w:type="dxa"/>
            </w:tcMar>
            <w:vAlign w:val="center"/>
          </w:tcPr>
          <w:p w14:paraId="6E764669">
            <w:pPr>
              <w:pStyle w:val="34"/>
              <w:rPr>
                <w:kern w:val="0"/>
                <w:szCs w:val="21"/>
              </w:rPr>
            </w:pPr>
            <w:r>
              <w:rPr>
                <w:rFonts w:hint="eastAsia"/>
                <w:kern w:val="0"/>
                <w:szCs w:val="21"/>
              </w:rPr>
              <w:t>131.16</w:t>
            </w:r>
            <w:r>
              <w:rPr>
                <w:kern w:val="0"/>
                <w:szCs w:val="21"/>
              </w:rPr>
              <w:t>万m</w:t>
            </w:r>
            <w:r>
              <w:rPr>
                <w:kern w:val="0"/>
                <w:szCs w:val="21"/>
                <w:vertAlign w:val="superscript"/>
              </w:rPr>
              <w:t>3</w:t>
            </w:r>
            <w:r>
              <w:rPr>
                <w:rFonts w:hint="eastAsia"/>
                <w:kern w:val="0"/>
                <w:szCs w:val="21"/>
              </w:rPr>
              <w:t>（其中炸礁3.91</w:t>
            </w:r>
            <w:r>
              <w:rPr>
                <w:kern w:val="0"/>
                <w:szCs w:val="21"/>
              </w:rPr>
              <w:t>万m</w:t>
            </w:r>
            <w:r>
              <w:rPr>
                <w:kern w:val="0"/>
                <w:szCs w:val="21"/>
                <w:vertAlign w:val="superscript"/>
              </w:rPr>
              <w:t>3</w:t>
            </w:r>
            <w:r>
              <w:rPr>
                <w:rFonts w:hint="eastAsia"/>
                <w:kern w:val="0"/>
                <w:szCs w:val="21"/>
              </w:rPr>
              <w:t>）</w:t>
            </w:r>
          </w:p>
        </w:tc>
        <w:tc>
          <w:tcPr>
            <w:tcW w:w="1027" w:type="pct"/>
            <w:vMerge w:val="restart"/>
            <w:tcMar>
              <w:left w:w="0" w:type="dxa"/>
              <w:right w:w="0" w:type="dxa"/>
            </w:tcMar>
            <w:vAlign w:val="center"/>
          </w:tcPr>
          <w:p w14:paraId="4A7821CE">
            <w:pPr>
              <w:pStyle w:val="34"/>
              <w:rPr>
                <w:kern w:val="0"/>
                <w:szCs w:val="21"/>
              </w:rPr>
            </w:pPr>
            <w:r>
              <w:rPr>
                <w:rFonts w:hint="eastAsia"/>
                <w:kern w:val="0"/>
                <w:szCs w:val="21"/>
              </w:rPr>
              <w:t>/</w:t>
            </w:r>
          </w:p>
        </w:tc>
        <w:tc>
          <w:tcPr>
            <w:tcW w:w="1757" w:type="pct"/>
            <w:tcMar>
              <w:left w:w="0" w:type="dxa"/>
              <w:right w:w="0" w:type="dxa"/>
            </w:tcMar>
            <w:vAlign w:val="center"/>
          </w:tcPr>
          <w:p w14:paraId="7DB5B8D2">
            <w:pPr>
              <w:pStyle w:val="34"/>
              <w:rPr>
                <w:kern w:val="0"/>
                <w:szCs w:val="21"/>
              </w:rPr>
            </w:pPr>
            <w:r>
              <w:rPr>
                <w:rFonts w:hint="eastAsia"/>
                <w:kern w:val="0"/>
                <w:szCs w:val="21"/>
              </w:rPr>
              <w:t>74.84万</w:t>
            </w:r>
            <w:r>
              <w:rPr>
                <w:kern w:val="0"/>
                <w:szCs w:val="21"/>
              </w:rPr>
              <w:t>m</w:t>
            </w:r>
            <w:r>
              <w:rPr>
                <w:kern w:val="0"/>
                <w:szCs w:val="21"/>
                <w:vertAlign w:val="superscript"/>
              </w:rPr>
              <w:t>3</w:t>
            </w:r>
            <w:r>
              <w:rPr>
                <w:kern w:val="0"/>
                <w:szCs w:val="21"/>
              </w:rPr>
              <w:t>运往</w:t>
            </w:r>
            <w:r>
              <w:rPr>
                <w:rFonts w:hint="eastAsia"/>
                <w:kern w:val="0"/>
                <w:szCs w:val="21"/>
              </w:rPr>
              <w:t>钦州港30万吨级进港航道疏浚工程疏浚物临时性海洋倾倒区B区，56.32万</w:t>
            </w:r>
            <w:r>
              <w:rPr>
                <w:kern w:val="0"/>
                <w:szCs w:val="21"/>
              </w:rPr>
              <w:t>m</w:t>
            </w:r>
            <w:r>
              <w:rPr>
                <w:kern w:val="0"/>
                <w:szCs w:val="21"/>
                <w:vertAlign w:val="superscript"/>
              </w:rPr>
              <w:t>3</w:t>
            </w:r>
            <w:r>
              <w:rPr>
                <w:rFonts w:hint="eastAsia"/>
                <w:kern w:val="0"/>
                <w:szCs w:val="21"/>
              </w:rPr>
              <w:t>用于陆域堆载。</w:t>
            </w:r>
          </w:p>
        </w:tc>
      </w:tr>
      <w:tr w14:paraId="18FAD6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63" w:hRule="atLeast"/>
          <w:jc w:val="center"/>
        </w:trPr>
        <w:tc>
          <w:tcPr>
            <w:tcW w:w="418" w:type="pct"/>
            <w:vMerge w:val="continue"/>
            <w:tcMar>
              <w:left w:w="0" w:type="dxa"/>
              <w:right w:w="0" w:type="dxa"/>
            </w:tcMar>
            <w:vAlign w:val="center"/>
          </w:tcPr>
          <w:p w14:paraId="35414A1D">
            <w:pPr>
              <w:pStyle w:val="34"/>
            </w:pPr>
          </w:p>
        </w:tc>
        <w:tc>
          <w:tcPr>
            <w:tcW w:w="851" w:type="pct"/>
            <w:tcMar>
              <w:left w:w="0" w:type="dxa"/>
              <w:right w:w="0" w:type="dxa"/>
            </w:tcMar>
            <w:vAlign w:val="center"/>
          </w:tcPr>
          <w:p w14:paraId="24C5187F">
            <w:pPr>
              <w:pStyle w:val="34"/>
              <w:rPr>
                <w:kern w:val="0"/>
                <w:szCs w:val="21"/>
              </w:rPr>
            </w:pPr>
            <w:r>
              <w:rPr>
                <w:kern w:val="0"/>
                <w:szCs w:val="21"/>
              </w:rPr>
              <w:t>船舶生活垃圾</w:t>
            </w:r>
          </w:p>
        </w:tc>
        <w:tc>
          <w:tcPr>
            <w:tcW w:w="947" w:type="pct"/>
            <w:tcMar>
              <w:left w:w="0" w:type="dxa"/>
              <w:right w:w="0" w:type="dxa"/>
            </w:tcMar>
            <w:vAlign w:val="center"/>
          </w:tcPr>
          <w:p w14:paraId="3849916F">
            <w:pPr>
              <w:pStyle w:val="34"/>
              <w:rPr>
                <w:kern w:val="0"/>
                <w:szCs w:val="21"/>
              </w:rPr>
            </w:pPr>
            <w:r>
              <w:rPr>
                <w:rFonts w:hint="eastAsia"/>
                <w:kern w:val="0"/>
                <w:szCs w:val="21"/>
              </w:rPr>
              <w:t>8.5</w:t>
            </w:r>
            <w:r>
              <w:rPr>
                <w:kern w:val="0"/>
                <w:szCs w:val="21"/>
              </w:rPr>
              <w:t>t</w:t>
            </w:r>
          </w:p>
        </w:tc>
        <w:tc>
          <w:tcPr>
            <w:tcW w:w="1027" w:type="pct"/>
            <w:vMerge w:val="continue"/>
            <w:tcMar>
              <w:left w:w="0" w:type="dxa"/>
              <w:right w:w="0" w:type="dxa"/>
            </w:tcMar>
            <w:vAlign w:val="center"/>
          </w:tcPr>
          <w:p w14:paraId="795D2C3B">
            <w:pPr>
              <w:pStyle w:val="34"/>
              <w:rPr>
                <w:kern w:val="0"/>
                <w:szCs w:val="21"/>
              </w:rPr>
            </w:pPr>
          </w:p>
        </w:tc>
        <w:tc>
          <w:tcPr>
            <w:tcW w:w="1757" w:type="pct"/>
            <w:tcMar>
              <w:left w:w="0" w:type="dxa"/>
              <w:right w:w="0" w:type="dxa"/>
            </w:tcMar>
            <w:vAlign w:val="center"/>
          </w:tcPr>
          <w:p w14:paraId="0676DCA2">
            <w:pPr>
              <w:pStyle w:val="34"/>
              <w:rPr>
                <w:kern w:val="0"/>
                <w:szCs w:val="21"/>
              </w:rPr>
            </w:pPr>
            <w:r>
              <w:rPr>
                <w:rFonts w:hint="eastAsia"/>
                <w:kern w:val="0"/>
                <w:szCs w:val="21"/>
              </w:rPr>
              <w:t>委托接收</w:t>
            </w:r>
          </w:p>
        </w:tc>
      </w:tr>
      <w:tr w14:paraId="489DCA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9" w:hRule="atLeast"/>
          <w:jc w:val="center"/>
        </w:trPr>
        <w:tc>
          <w:tcPr>
            <w:tcW w:w="418" w:type="pct"/>
            <w:tcMar>
              <w:left w:w="0" w:type="dxa"/>
              <w:right w:w="0" w:type="dxa"/>
            </w:tcMar>
            <w:vAlign w:val="center"/>
          </w:tcPr>
          <w:p w14:paraId="6A01919A">
            <w:pPr>
              <w:pStyle w:val="34"/>
            </w:pPr>
            <w:r>
              <w:t>生态环境</w:t>
            </w:r>
          </w:p>
        </w:tc>
        <w:tc>
          <w:tcPr>
            <w:tcW w:w="851" w:type="pct"/>
            <w:tcMar>
              <w:left w:w="0" w:type="dxa"/>
              <w:right w:w="0" w:type="dxa"/>
            </w:tcMar>
            <w:vAlign w:val="center"/>
          </w:tcPr>
          <w:p w14:paraId="593BB801">
            <w:pPr>
              <w:pStyle w:val="34"/>
              <w:rPr>
                <w:kern w:val="0"/>
                <w:szCs w:val="21"/>
              </w:rPr>
            </w:pPr>
            <w:r>
              <w:rPr>
                <w:kern w:val="0"/>
                <w:szCs w:val="21"/>
              </w:rPr>
              <w:t>港池疏浚</w:t>
            </w:r>
          </w:p>
        </w:tc>
        <w:tc>
          <w:tcPr>
            <w:tcW w:w="947" w:type="pct"/>
            <w:tcMar>
              <w:left w:w="0" w:type="dxa"/>
              <w:right w:w="0" w:type="dxa"/>
            </w:tcMar>
            <w:vAlign w:val="center"/>
          </w:tcPr>
          <w:p w14:paraId="630EF041">
            <w:pPr>
              <w:pStyle w:val="34"/>
              <w:rPr>
                <w:kern w:val="0"/>
                <w:szCs w:val="21"/>
              </w:rPr>
            </w:pPr>
            <w:r>
              <w:rPr>
                <w:rFonts w:hint="eastAsia"/>
                <w:kern w:val="0"/>
                <w:szCs w:val="21"/>
              </w:rPr>
              <w:t>疏浚（炸礁）悬浮物扩散</w:t>
            </w:r>
          </w:p>
        </w:tc>
        <w:tc>
          <w:tcPr>
            <w:tcW w:w="1027" w:type="pct"/>
            <w:tcMar>
              <w:left w:w="0" w:type="dxa"/>
              <w:right w:w="0" w:type="dxa"/>
            </w:tcMar>
            <w:vAlign w:val="center"/>
          </w:tcPr>
          <w:p w14:paraId="4F23CB0C">
            <w:pPr>
              <w:pStyle w:val="34"/>
              <w:rPr>
                <w:kern w:val="0"/>
                <w:szCs w:val="21"/>
              </w:rPr>
            </w:pPr>
            <w:r>
              <w:rPr>
                <w:kern w:val="0"/>
                <w:szCs w:val="21"/>
              </w:rPr>
              <w:t>底栖生物死亡</w:t>
            </w:r>
          </w:p>
          <w:p w14:paraId="2B31789B">
            <w:pPr>
              <w:pStyle w:val="34"/>
              <w:rPr>
                <w:kern w:val="0"/>
                <w:szCs w:val="21"/>
              </w:rPr>
            </w:pPr>
            <w:r>
              <w:rPr>
                <w:kern w:val="0"/>
                <w:szCs w:val="21"/>
              </w:rPr>
              <w:t>冲淤条件变化</w:t>
            </w:r>
          </w:p>
        </w:tc>
        <w:tc>
          <w:tcPr>
            <w:tcW w:w="1757" w:type="pct"/>
            <w:tcMar>
              <w:left w:w="0" w:type="dxa"/>
              <w:right w:w="0" w:type="dxa"/>
            </w:tcMar>
            <w:vAlign w:val="center"/>
          </w:tcPr>
          <w:p w14:paraId="23ECA5B5">
            <w:pPr>
              <w:pStyle w:val="34"/>
              <w:rPr>
                <w:kern w:val="0"/>
                <w:szCs w:val="21"/>
              </w:rPr>
            </w:pPr>
            <w:r>
              <w:rPr>
                <w:kern w:val="0"/>
                <w:szCs w:val="21"/>
              </w:rPr>
              <w:t>/</w:t>
            </w:r>
          </w:p>
        </w:tc>
      </w:tr>
    </w:tbl>
    <w:p w14:paraId="6872321C">
      <w:pPr>
        <w:pStyle w:val="7"/>
      </w:pPr>
      <w:r>
        <w:t>项目运营期污染物排放状况</w:t>
      </w:r>
    </w:p>
    <w:tbl>
      <w:tblPr>
        <w:tblStyle w:val="88"/>
        <w:tblW w:w="498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
      <w:tblGrid>
        <w:gridCol w:w="439"/>
        <w:gridCol w:w="1692"/>
        <w:gridCol w:w="944"/>
        <w:gridCol w:w="992"/>
        <w:gridCol w:w="992"/>
        <w:gridCol w:w="1134"/>
        <w:gridCol w:w="2118"/>
      </w:tblGrid>
      <w:tr w14:paraId="31D119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blHeader/>
          <w:jc w:val="center"/>
        </w:trPr>
        <w:tc>
          <w:tcPr>
            <w:tcW w:w="264" w:type="pct"/>
            <w:vMerge w:val="restart"/>
            <w:vAlign w:val="center"/>
          </w:tcPr>
          <w:p w14:paraId="7FF956E7">
            <w:pPr>
              <w:pStyle w:val="34"/>
            </w:pPr>
            <w:r>
              <w:t>类别</w:t>
            </w:r>
          </w:p>
        </w:tc>
        <w:tc>
          <w:tcPr>
            <w:tcW w:w="1018" w:type="pct"/>
            <w:vMerge w:val="restart"/>
            <w:vAlign w:val="center"/>
          </w:tcPr>
          <w:p w14:paraId="1B87C9FD">
            <w:pPr>
              <w:pStyle w:val="34"/>
            </w:pPr>
            <w:r>
              <w:t>污染源</w:t>
            </w:r>
          </w:p>
        </w:tc>
        <w:tc>
          <w:tcPr>
            <w:tcW w:w="568" w:type="pct"/>
            <w:vMerge w:val="restart"/>
            <w:vAlign w:val="center"/>
          </w:tcPr>
          <w:p w14:paraId="435CC24E">
            <w:pPr>
              <w:pStyle w:val="34"/>
            </w:pPr>
            <w:r>
              <w:t>年排放量</w:t>
            </w:r>
          </w:p>
          <w:p w14:paraId="58970A8B">
            <w:pPr>
              <w:pStyle w:val="34"/>
            </w:pPr>
            <w:r>
              <w:rPr>
                <w:rFonts w:hint="eastAsia"/>
              </w:rPr>
              <w:t>t</w:t>
            </w:r>
            <w:r>
              <w:t>/a</w:t>
            </w:r>
          </w:p>
        </w:tc>
        <w:tc>
          <w:tcPr>
            <w:tcW w:w="1876" w:type="pct"/>
            <w:gridSpan w:val="3"/>
            <w:vAlign w:val="center"/>
          </w:tcPr>
          <w:p w14:paraId="357C5907">
            <w:pPr>
              <w:pStyle w:val="34"/>
            </w:pPr>
            <w:r>
              <w:t>主要污染物</w:t>
            </w:r>
          </w:p>
        </w:tc>
        <w:tc>
          <w:tcPr>
            <w:tcW w:w="1274" w:type="pct"/>
            <w:vMerge w:val="restart"/>
            <w:vAlign w:val="center"/>
          </w:tcPr>
          <w:p w14:paraId="7E7035E9">
            <w:pPr>
              <w:pStyle w:val="34"/>
            </w:pPr>
            <w:r>
              <w:t>排放去向</w:t>
            </w:r>
          </w:p>
        </w:tc>
      </w:tr>
      <w:tr w14:paraId="1BD7C2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blHeader/>
          <w:jc w:val="center"/>
        </w:trPr>
        <w:tc>
          <w:tcPr>
            <w:tcW w:w="264" w:type="pct"/>
            <w:vMerge w:val="continue"/>
            <w:vAlign w:val="center"/>
          </w:tcPr>
          <w:p w14:paraId="3DD454E0">
            <w:pPr>
              <w:pStyle w:val="34"/>
            </w:pPr>
          </w:p>
        </w:tc>
        <w:tc>
          <w:tcPr>
            <w:tcW w:w="1018" w:type="pct"/>
            <w:vMerge w:val="continue"/>
            <w:vAlign w:val="center"/>
          </w:tcPr>
          <w:p w14:paraId="15C8F596">
            <w:pPr>
              <w:pStyle w:val="34"/>
            </w:pPr>
          </w:p>
        </w:tc>
        <w:tc>
          <w:tcPr>
            <w:tcW w:w="568" w:type="pct"/>
            <w:vMerge w:val="continue"/>
            <w:vAlign w:val="center"/>
          </w:tcPr>
          <w:p w14:paraId="598237A9">
            <w:pPr>
              <w:pStyle w:val="34"/>
            </w:pPr>
          </w:p>
        </w:tc>
        <w:tc>
          <w:tcPr>
            <w:tcW w:w="597" w:type="pct"/>
            <w:vAlign w:val="center"/>
          </w:tcPr>
          <w:p w14:paraId="739E22C3">
            <w:pPr>
              <w:pStyle w:val="34"/>
            </w:pPr>
            <w:r>
              <w:t>污染因子</w:t>
            </w:r>
          </w:p>
        </w:tc>
        <w:tc>
          <w:tcPr>
            <w:tcW w:w="597" w:type="pct"/>
            <w:vAlign w:val="center"/>
          </w:tcPr>
          <w:p w14:paraId="14A880EA">
            <w:pPr>
              <w:pStyle w:val="34"/>
            </w:pPr>
            <w:r>
              <w:t>排放浓度</w:t>
            </w:r>
          </w:p>
          <w:p w14:paraId="1F663E0B">
            <w:pPr>
              <w:pStyle w:val="34"/>
            </w:pPr>
            <w:r>
              <w:t>（mg/</w:t>
            </w:r>
            <w:r>
              <w:rPr>
                <w:rFonts w:hint="eastAsia"/>
              </w:rPr>
              <w:t>L</w:t>
            </w:r>
            <w:r>
              <w:t>）</w:t>
            </w:r>
          </w:p>
        </w:tc>
        <w:tc>
          <w:tcPr>
            <w:tcW w:w="682" w:type="pct"/>
            <w:vAlign w:val="center"/>
          </w:tcPr>
          <w:p w14:paraId="3066E5D8">
            <w:pPr>
              <w:pStyle w:val="34"/>
            </w:pPr>
            <w:r>
              <w:t>排放量</w:t>
            </w:r>
          </w:p>
          <w:p w14:paraId="768C4BA2">
            <w:pPr>
              <w:pStyle w:val="34"/>
            </w:pPr>
            <w:r>
              <w:t>（kg/a）</w:t>
            </w:r>
          </w:p>
        </w:tc>
        <w:tc>
          <w:tcPr>
            <w:tcW w:w="1274" w:type="pct"/>
            <w:vMerge w:val="continue"/>
            <w:vAlign w:val="center"/>
          </w:tcPr>
          <w:p w14:paraId="7F3E8095">
            <w:pPr>
              <w:pStyle w:val="34"/>
            </w:pPr>
          </w:p>
        </w:tc>
      </w:tr>
      <w:tr w14:paraId="1C7443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363" w:hRule="atLeast"/>
          <w:jc w:val="center"/>
        </w:trPr>
        <w:tc>
          <w:tcPr>
            <w:tcW w:w="264" w:type="pct"/>
            <w:vMerge w:val="restart"/>
            <w:vAlign w:val="center"/>
          </w:tcPr>
          <w:p w14:paraId="3F47B1AA">
            <w:pPr>
              <w:pStyle w:val="34"/>
            </w:pPr>
            <w:r>
              <w:t>废水</w:t>
            </w:r>
          </w:p>
        </w:tc>
        <w:tc>
          <w:tcPr>
            <w:tcW w:w="1018" w:type="pct"/>
            <w:vMerge w:val="restart"/>
            <w:vAlign w:val="center"/>
          </w:tcPr>
          <w:p w14:paraId="3C779EB9">
            <w:pPr>
              <w:pStyle w:val="34"/>
            </w:pPr>
            <w:r>
              <w:rPr>
                <w:rFonts w:hint="eastAsia"/>
              </w:rPr>
              <w:t>陆域</w:t>
            </w:r>
            <w:r>
              <w:t>生活污水</w:t>
            </w:r>
          </w:p>
        </w:tc>
        <w:tc>
          <w:tcPr>
            <w:tcW w:w="568" w:type="pct"/>
            <w:vMerge w:val="restart"/>
            <w:vAlign w:val="center"/>
          </w:tcPr>
          <w:p w14:paraId="5411027C">
            <w:pPr>
              <w:pStyle w:val="34"/>
            </w:pPr>
            <w:r>
              <w:t>1940.4</w:t>
            </w:r>
          </w:p>
        </w:tc>
        <w:tc>
          <w:tcPr>
            <w:tcW w:w="597" w:type="pct"/>
            <w:vAlign w:val="center"/>
          </w:tcPr>
          <w:p w14:paraId="2B9942BD">
            <w:pPr>
              <w:pStyle w:val="34"/>
            </w:pPr>
            <w:r>
              <w:t>COD</w:t>
            </w:r>
          </w:p>
        </w:tc>
        <w:tc>
          <w:tcPr>
            <w:tcW w:w="597" w:type="pct"/>
            <w:vAlign w:val="center"/>
          </w:tcPr>
          <w:p w14:paraId="31A21185">
            <w:pPr>
              <w:pStyle w:val="34"/>
            </w:pPr>
            <w:r>
              <w:rPr>
                <w:rFonts w:hint="eastAsia"/>
              </w:rPr>
              <w:t>500</w:t>
            </w:r>
          </w:p>
        </w:tc>
        <w:tc>
          <w:tcPr>
            <w:tcW w:w="682" w:type="pct"/>
            <w:vAlign w:val="center"/>
          </w:tcPr>
          <w:p w14:paraId="3186F262">
            <w:pPr>
              <w:pStyle w:val="34"/>
            </w:pPr>
            <w:r>
              <w:rPr>
                <w:rFonts w:hint="eastAsia"/>
                <w:bCs/>
              </w:rPr>
              <w:t>970</w:t>
            </w:r>
          </w:p>
        </w:tc>
        <w:tc>
          <w:tcPr>
            <w:tcW w:w="1274" w:type="pct"/>
            <w:vMerge w:val="restart"/>
            <w:vAlign w:val="center"/>
          </w:tcPr>
          <w:p w14:paraId="210D75FE">
            <w:pPr>
              <w:pStyle w:val="34"/>
            </w:pPr>
            <w:bookmarkStart w:id="314" w:name="OLE_LINK101"/>
            <w:r>
              <w:rPr>
                <w:rFonts w:hint="eastAsia"/>
              </w:rPr>
              <w:t>经收集后泵送至7号8号泊位的生活污水处理站处理后进入大榄坪污水处理厂</w:t>
            </w:r>
            <w:bookmarkEnd w:id="314"/>
          </w:p>
        </w:tc>
      </w:tr>
      <w:tr w14:paraId="4506F3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279" w:hRule="atLeast"/>
          <w:jc w:val="center"/>
        </w:trPr>
        <w:tc>
          <w:tcPr>
            <w:tcW w:w="264" w:type="pct"/>
            <w:vMerge w:val="continue"/>
            <w:vAlign w:val="center"/>
          </w:tcPr>
          <w:p w14:paraId="3347ADE1">
            <w:pPr>
              <w:pStyle w:val="34"/>
            </w:pPr>
          </w:p>
        </w:tc>
        <w:tc>
          <w:tcPr>
            <w:tcW w:w="1018" w:type="pct"/>
            <w:vMerge w:val="continue"/>
            <w:vAlign w:val="center"/>
          </w:tcPr>
          <w:p w14:paraId="5FE66BB3">
            <w:pPr>
              <w:pStyle w:val="34"/>
            </w:pPr>
          </w:p>
        </w:tc>
        <w:tc>
          <w:tcPr>
            <w:tcW w:w="568" w:type="pct"/>
            <w:vMerge w:val="continue"/>
            <w:vAlign w:val="center"/>
          </w:tcPr>
          <w:p w14:paraId="25BE9F80">
            <w:pPr>
              <w:pStyle w:val="34"/>
            </w:pPr>
          </w:p>
        </w:tc>
        <w:tc>
          <w:tcPr>
            <w:tcW w:w="597" w:type="pct"/>
            <w:vAlign w:val="center"/>
          </w:tcPr>
          <w:p w14:paraId="1CF9B370">
            <w:pPr>
              <w:pStyle w:val="34"/>
            </w:pPr>
            <w:r>
              <w:t>BOD</w:t>
            </w:r>
            <w:r>
              <w:rPr>
                <w:vertAlign w:val="subscript"/>
              </w:rPr>
              <w:t>5</w:t>
            </w:r>
          </w:p>
        </w:tc>
        <w:tc>
          <w:tcPr>
            <w:tcW w:w="597" w:type="pct"/>
            <w:vAlign w:val="center"/>
          </w:tcPr>
          <w:p w14:paraId="3265A389">
            <w:pPr>
              <w:pStyle w:val="34"/>
            </w:pPr>
            <w:r>
              <w:rPr>
                <w:rFonts w:hint="eastAsia"/>
              </w:rPr>
              <w:t>350</w:t>
            </w:r>
          </w:p>
        </w:tc>
        <w:tc>
          <w:tcPr>
            <w:tcW w:w="682" w:type="pct"/>
            <w:vAlign w:val="center"/>
          </w:tcPr>
          <w:p w14:paraId="003F7C11">
            <w:pPr>
              <w:pStyle w:val="34"/>
            </w:pPr>
            <w:r>
              <w:rPr>
                <w:rFonts w:hint="eastAsia"/>
              </w:rPr>
              <w:t>580</w:t>
            </w:r>
          </w:p>
        </w:tc>
        <w:tc>
          <w:tcPr>
            <w:tcW w:w="1274" w:type="pct"/>
            <w:vMerge w:val="continue"/>
            <w:vAlign w:val="center"/>
          </w:tcPr>
          <w:p w14:paraId="1E873B9F">
            <w:pPr>
              <w:pStyle w:val="34"/>
            </w:pPr>
          </w:p>
        </w:tc>
      </w:tr>
      <w:tr w14:paraId="698B30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160" w:hRule="atLeast"/>
          <w:jc w:val="center"/>
        </w:trPr>
        <w:tc>
          <w:tcPr>
            <w:tcW w:w="264" w:type="pct"/>
            <w:vMerge w:val="continue"/>
            <w:vAlign w:val="center"/>
          </w:tcPr>
          <w:p w14:paraId="36A5C7C8">
            <w:pPr>
              <w:pStyle w:val="34"/>
            </w:pPr>
          </w:p>
        </w:tc>
        <w:tc>
          <w:tcPr>
            <w:tcW w:w="1018" w:type="pct"/>
            <w:vMerge w:val="continue"/>
            <w:vAlign w:val="center"/>
          </w:tcPr>
          <w:p w14:paraId="10EE09A4">
            <w:pPr>
              <w:pStyle w:val="34"/>
            </w:pPr>
          </w:p>
        </w:tc>
        <w:tc>
          <w:tcPr>
            <w:tcW w:w="568" w:type="pct"/>
            <w:vMerge w:val="continue"/>
            <w:vAlign w:val="center"/>
          </w:tcPr>
          <w:p w14:paraId="16F4A515">
            <w:pPr>
              <w:pStyle w:val="34"/>
            </w:pPr>
          </w:p>
        </w:tc>
        <w:tc>
          <w:tcPr>
            <w:tcW w:w="597" w:type="pct"/>
            <w:vAlign w:val="center"/>
          </w:tcPr>
          <w:p w14:paraId="426DDB90">
            <w:pPr>
              <w:pStyle w:val="34"/>
            </w:pPr>
            <w:r>
              <w:t>NH</w:t>
            </w:r>
            <w:r>
              <w:rPr>
                <w:vertAlign w:val="subscript"/>
              </w:rPr>
              <w:t>3</w:t>
            </w:r>
            <w:r>
              <w:t>-N</w:t>
            </w:r>
          </w:p>
        </w:tc>
        <w:tc>
          <w:tcPr>
            <w:tcW w:w="597" w:type="pct"/>
            <w:vAlign w:val="center"/>
          </w:tcPr>
          <w:p w14:paraId="0B8D015A">
            <w:pPr>
              <w:pStyle w:val="34"/>
            </w:pPr>
            <w:r>
              <w:rPr>
                <w:rFonts w:hint="eastAsia"/>
              </w:rPr>
              <w:t>45</w:t>
            </w:r>
          </w:p>
        </w:tc>
        <w:tc>
          <w:tcPr>
            <w:tcW w:w="682" w:type="pct"/>
            <w:vAlign w:val="center"/>
          </w:tcPr>
          <w:p w14:paraId="3B798B99">
            <w:pPr>
              <w:pStyle w:val="34"/>
            </w:pPr>
            <w:r>
              <w:rPr>
                <w:rFonts w:hint="eastAsia"/>
              </w:rPr>
              <w:t>87</w:t>
            </w:r>
          </w:p>
        </w:tc>
        <w:tc>
          <w:tcPr>
            <w:tcW w:w="1274" w:type="pct"/>
            <w:vMerge w:val="continue"/>
            <w:vAlign w:val="center"/>
          </w:tcPr>
          <w:p w14:paraId="40ED455F">
            <w:pPr>
              <w:pStyle w:val="34"/>
            </w:pPr>
          </w:p>
        </w:tc>
      </w:tr>
      <w:tr w14:paraId="26B8DE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160" w:hRule="atLeast"/>
          <w:jc w:val="center"/>
        </w:trPr>
        <w:tc>
          <w:tcPr>
            <w:tcW w:w="264" w:type="pct"/>
            <w:vMerge w:val="continue"/>
            <w:vAlign w:val="center"/>
          </w:tcPr>
          <w:p w14:paraId="6771EAF2">
            <w:pPr>
              <w:pStyle w:val="34"/>
            </w:pPr>
          </w:p>
        </w:tc>
        <w:tc>
          <w:tcPr>
            <w:tcW w:w="1018" w:type="pct"/>
            <w:vMerge w:val="restart"/>
            <w:vAlign w:val="center"/>
          </w:tcPr>
          <w:p w14:paraId="184F351C">
            <w:pPr>
              <w:pStyle w:val="34"/>
            </w:pPr>
            <w:r>
              <w:rPr>
                <w:rFonts w:hint="eastAsia"/>
              </w:rPr>
              <w:t>陆域生产</w:t>
            </w:r>
            <w:r>
              <w:t>污水</w:t>
            </w:r>
          </w:p>
        </w:tc>
        <w:tc>
          <w:tcPr>
            <w:tcW w:w="568" w:type="pct"/>
            <w:vMerge w:val="restart"/>
            <w:vAlign w:val="center"/>
          </w:tcPr>
          <w:p w14:paraId="31B53BEE">
            <w:pPr>
              <w:pStyle w:val="34"/>
            </w:pPr>
            <w:r>
              <w:t>514.8</w:t>
            </w:r>
          </w:p>
        </w:tc>
        <w:tc>
          <w:tcPr>
            <w:tcW w:w="597" w:type="pct"/>
            <w:vAlign w:val="center"/>
          </w:tcPr>
          <w:p w14:paraId="10C8DB40">
            <w:pPr>
              <w:pStyle w:val="34"/>
            </w:pPr>
            <w:r>
              <w:rPr>
                <w:rFonts w:hint="eastAsia"/>
              </w:rPr>
              <w:t>石油类</w:t>
            </w:r>
          </w:p>
        </w:tc>
        <w:tc>
          <w:tcPr>
            <w:tcW w:w="597" w:type="pct"/>
            <w:vAlign w:val="center"/>
          </w:tcPr>
          <w:p w14:paraId="048FEC29">
            <w:pPr>
              <w:pStyle w:val="34"/>
            </w:pPr>
            <w:r>
              <w:rPr>
                <w:rFonts w:hint="eastAsia"/>
              </w:rPr>
              <w:t>100</w:t>
            </w:r>
          </w:p>
        </w:tc>
        <w:tc>
          <w:tcPr>
            <w:tcW w:w="682" w:type="pct"/>
            <w:vAlign w:val="center"/>
          </w:tcPr>
          <w:p w14:paraId="2063A66E">
            <w:pPr>
              <w:pStyle w:val="34"/>
            </w:pPr>
            <w:r>
              <w:rPr>
                <w:rFonts w:hint="eastAsia"/>
              </w:rPr>
              <w:t>50</w:t>
            </w:r>
          </w:p>
        </w:tc>
        <w:tc>
          <w:tcPr>
            <w:tcW w:w="1274" w:type="pct"/>
            <w:vMerge w:val="restart"/>
            <w:vAlign w:val="center"/>
          </w:tcPr>
          <w:p w14:paraId="29F49305">
            <w:pPr>
              <w:pStyle w:val="34"/>
            </w:pPr>
            <w:r>
              <w:rPr>
                <w:rFonts w:hint="eastAsia"/>
              </w:rPr>
              <w:t>经收集后泵送至7号8号泊位的含油污水处理站处理后进入大榄坪污水处理厂</w:t>
            </w:r>
          </w:p>
        </w:tc>
      </w:tr>
      <w:tr w14:paraId="3F1873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160" w:hRule="atLeast"/>
          <w:jc w:val="center"/>
        </w:trPr>
        <w:tc>
          <w:tcPr>
            <w:tcW w:w="264" w:type="pct"/>
            <w:vMerge w:val="continue"/>
            <w:vAlign w:val="center"/>
          </w:tcPr>
          <w:p w14:paraId="08944B89">
            <w:pPr>
              <w:pStyle w:val="34"/>
            </w:pPr>
          </w:p>
        </w:tc>
        <w:tc>
          <w:tcPr>
            <w:tcW w:w="1018" w:type="pct"/>
            <w:vMerge w:val="continue"/>
            <w:vAlign w:val="center"/>
          </w:tcPr>
          <w:p w14:paraId="3C2275E6">
            <w:pPr>
              <w:pStyle w:val="34"/>
            </w:pPr>
          </w:p>
        </w:tc>
        <w:tc>
          <w:tcPr>
            <w:tcW w:w="568" w:type="pct"/>
            <w:vMerge w:val="continue"/>
            <w:vAlign w:val="center"/>
          </w:tcPr>
          <w:p w14:paraId="1111DC10">
            <w:pPr>
              <w:pStyle w:val="34"/>
            </w:pPr>
          </w:p>
        </w:tc>
        <w:tc>
          <w:tcPr>
            <w:tcW w:w="597" w:type="pct"/>
            <w:vAlign w:val="center"/>
          </w:tcPr>
          <w:p w14:paraId="75340DAD">
            <w:pPr>
              <w:pStyle w:val="34"/>
            </w:pPr>
            <w:r>
              <w:rPr>
                <w:rFonts w:hint="eastAsia"/>
              </w:rPr>
              <w:t>SS</w:t>
            </w:r>
          </w:p>
        </w:tc>
        <w:tc>
          <w:tcPr>
            <w:tcW w:w="597" w:type="pct"/>
            <w:vAlign w:val="center"/>
          </w:tcPr>
          <w:p w14:paraId="68FDAB11">
            <w:pPr>
              <w:pStyle w:val="34"/>
            </w:pPr>
            <w:r>
              <w:rPr>
                <w:rFonts w:hint="eastAsia"/>
              </w:rPr>
              <w:t>300</w:t>
            </w:r>
          </w:p>
        </w:tc>
        <w:tc>
          <w:tcPr>
            <w:tcW w:w="682" w:type="pct"/>
            <w:vAlign w:val="center"/>
          </w:tcPr>
          <w:p w14:paraId="6698A9E1">
            <w:pPr>
              <w:pStyle w:val="34"/>
            </w:pPr>
            <w:r>
              <w:rPr>
                <w:rFonts w:hint="eastAsia"/>
              </w:rPr>
              <w:t>150</w:t>
            </w:r>
          </w:p>
        </w:tc>
        <w:tc>
          <w:tcPr>
            <w:tcW w:w="1274" w:type="pct"/>
            <w:vMerge w:val="continue"/>
            <w:vAlign w:val="center"/>
          </w:tcPr>
          <w:p w14:paraId="09B9FC80">
            <w:pPr>
              <w:pStyle w:val="34"/>
            </w:pPr>
          </w:p>
        </w:tc>
      </w:tr>
      <w:tr w14:paraId="3168A8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271" w:hRule="atLeast"/>
          <w:jc w:val="center"/>
        </w:trPr>
        <w:tc>
          <w:tcPr>
            <w:tcW w:w="264" w:type="pct"/>
            <w:vMerge w:val="continue"/>
            <w:vAlign w:val="center"/>
          </w:tcPr>
          <w:p w14:paraId="1BD8C934">
            <w:pPr>
              <w:pStyle w:val="34"/>
            </w:pPr>
          </w:p>
        </w:tc>
        <w:tc>
          <w:tcPr>
            <w:tcW w:w="1018" w:type="pct"/>
            <w:vMerge w:val="restart"/>
            <w:tcBorders>
              <w:bottom w:val="single" w:color="auto" w:sz="4" w:space="0"/>
            </w:tcBorders>
            <w:vAlign w:val="center"/>
          </w:tcPr>
          <w:p w14:paraId="66AB98DE">
            <w:pPr>
              <w:pStyle w:val="34"/>
            </w:pPr>
            <w:r>
              <w:t>船舶生活污水</w:t>
            </w:r>
          </w:p>
        </w:tc>
        <w:tc>
          <w:tcPr>
            <w:tcW w:w="568" w:type="pct"/>
            <w:vMerge w:val="restart"/>
            <w:tcBorders>
              <w:bottom w:val="single" w:color="auto" w:sz="4" w:space="0"/>
            </w:tcBorders>
            <w:vAlign w:val="center"/>
          </w:tcPr>
          <w:p w14:paraId="601479B4">
            <w:pPr>
              <w:pStyle w:val="34"/>
            </w:pPr>
            <w:bookmarkStart w:id="315" w:name="OLE_LINK219"/>
            <w:r>
              <w:t>2040</w:t>
            </w:r>
            <w:bookmarkEnd w:id="315"/>
          </w:p>
        </w:tc>
        <w:tc>
          <w:tcPr>
            <w:tcW w:w="597" w:type="pct"/>
            <w:tcBorders>
              <w:bottom w:val="single" w:color="auto" w:sz="4" w:space="0"/>
            </w:tcBorders>
            <w:vAlign w:val="center"/>
          </w:tcPr>
          <w:p w14:paraId="0C8DCE4D">
            <w:pPr>
              <w:pStyle w:val="34"/>
            </w:pPr>
            <w:r>
              <w:rPr>
                <w:rFonts w:hint="eastAsia"/>
              </w:rPr>
              <w:t>COD</w:t>
            </w:r>
          </w:p>
        </w:tc>
        <w:tc>
          <w:tcPr>
            <w:tcW w:w="597" w:type="pct"/>
            <w:tcBorders>
              <w:bottom w:val="single" w:color="auto" w:sz="4" w:space="0"/>
            </w:tcBorders>
            <w:vAlign w:val="center"/>
          </w:tcPr>
          <w:p w14:paraId="373026A2">
            <w:pPr>
              <w:pStyle w:val="34"/>
            </w:pPr>
            <w:r>
              <w:rPr>
                <w:rFonts w:hint="eastAsia"/>
              </w:rPr>
              <w:t>300</w:t>
            </w:r>
          </w:p>
        </w:tc>
        <w:tc>
          <w:tcPr>
            <w:tcW w:w="682" w:type="pct"/>
            <w:tcBorders>
              <w:bottom w:val="single" w:color="auto" w:sz="4" w:space="0"/>
            </w:tcBorders>
            <w:vAlign w:val="center"/>
          </w:tcPr>
          <w:p w14:paraId="4D46D357">
            <w:pPr>
              <w:pStyle w:val="34"/>
            </w:pPr>
            <w:r>
              <w:rPr>
                <w:rFonts w:hint="eastAsia"/>
              </w:rPr>
              <w:t>610</w:t>
            </w:r>
          </w:p>
        </w:tc>
        <w:tc>
          <w:tcPr>
            <w:tcW w:w="1274" w:type="pct"/>
            <w:vMerge w:val="restart"/>
            <w:vAlign w:val="center"/>
          </w:tcPr>
          <w:p w14:paraId="31269D2E">
            <w:pPr>
              <w:pStyle w:val="34"/>
              <w:rPr>
                <w:snapToGrid w:val="0"/>
              </w:rPr>
            </w:pPr>
            <w:r>
              <w:rPr>
                <w:rFonts w:hint="eastAsia"/>
              </w:rPr>
              <w:t>交</w:t>
            </w:r>
            <w:r>
              <w:t>由相应资质单位接收</w:t>
            </w:r>
            <w:r>
              <w:rPr>
                <w:rFonts w:hint="eastAsia"/>
              </w:rPr>
              <w:t>处理</w:t>
            </w:r>
          </w:p>
        </w:tc>
      </w:tr>
      <w:tr w14:paraId="2D75B7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continue"/>
            <w:vAlign w:val="center"/>
          </w:tcPr>
          <w:p w14:paraId="171ED30D">
            <w:pPr>
              <w:pStyle w:val="34"/>
            </w:pPr>
          </w:p>
        </w:tc>
        <w:tc>
          <w:tcPr>
            <w:tcW w:w="1018" w:type="pct"/>
            <w:vMerge w:val="continue"/>
            <w:vAlign w:val="center"/>
          </w:tcPr>
          <w:p w14:paraId="14935285">
            <w:pPr>
              <w:pStyle w:val="34"/>
            </w:pPr>
          </w:p>
        </w:tc>
        <w:tc>
          <w:tcPr>
            <w:tcW w:w="568" w:type="pct"/>
            <w:vMerge w:val="continue"/>
            <w:vAlign w:val="center"/>
          </w:tcPr>
          <w:p w14:paraId="72D18604">
            <w:pPr>
              <w:pStyle w:val="34"/>
            </w:pPr>
          </w:p>
        </w:tc>
        <w:tc>
          <w:tcPr>
            <w:tcW w:w="597" w:type="pct"/>
            <w:vAlign w:val="center"/>
          </w:tcPr>
          <w:p w14:paraId="6B0F2F27">
            <w:pPr>
              <w:pStyle w:val="34"/>
            </w:pPr>
            <w:r>
              <w:t>BOD</w:t>
            </w:r>
            <w:r>
              <w:rPr>
                <w:vertAlign w:val="subscript"/>
              </w:rPr>
              <w:t>5</w:t>
            </w:r>
          </w:p>
        </w:tc>
        <w:tc>
          <w:tcPr>
            <w:tcW w:w="597" w:type="pct"/>
            <w:vAlign w:val="center"/>
          </w:tcPr>
          <w:p w14:paraId="4090D3FE">
            <w:pPr>
              <w:pStyle w:val="34"/>
            </w:pPr>
            <w:r>
              <w:rPr>
                <w:rFonts w:hint="eastAsia"/>
              </w:rPr>
              <w:t>150</w:t>
            </w:r>
          </w:p>
        </w:tc>
        <w:tc>
          <w:tcPr>
            <w:tcW w:w="682" w:type="pct"/>
            <w:vAlign w:val="center"/>
          </w:tcPr>
          <w:p w14:paraId="0F21959D">
            <w:pPr>
              <w:pStyle w:val="34"/>
            </w:pPr>
            <w:r>
              <w:rPr>
                <w:rFonts w:hint="eastAsia"/>
              </w:rPr>
              <w:t>310</w:t>
            </w:r>
          </w:p>
        </w:tc>
        <w:tc>
          <w:tcPr>
            <w:tcW w:w="1274" w:type="pct"/>
            <w:vMerge w:val="continue"/>
            <w:vAlign w:val="center"/>
          </w:tcPr>
          <w:p w14:paraId="16754F73">
            <w:pPr>
              <w:pStyle w:val="34"/>
              <w:rPr>
                <w:snapToGrid w:val="0"/>
              </w:rPr>
            </w:pPr>
          </w:p>
        </w:tc>
      </w:tr>
      <w:tr w14:paraId="12F532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continue"/>
            <w:vAlign w:val="center"/>
          </w:tcPr>
          <w:p w14:paraId="17FD8556">
            <w:pPr>
              <w:pStyle w:val="34"/>
            </w:pPr>
          </w:p>
        </w:tc>
        <w:tc>
          <w:tcPr>
            <w:tcW w:w="1018" w:type="pct"/>
            <w:vMerge w:val="continue"/>
            <w:vAlign w:val="center"/>
          </w:tcPr>
          <w:p w14:paraId="73F0EC83">
            <w:pPr>
              <w:pStyle w:val="34"/>
            </w:pPr>
          </w:p>
        </w:tc>
        <w:tc>
          <w:tcPr>
            <w:tcW w:w="568" w:type="pct"/>
            <w:vMerge w:val="continue"/>
            <w:vAlign w:val="center"/>
          </w:tcPr>
          <w:p w14:paraId="7CAE473C">
            <w:pPr>
              <w:pStyle w:val="34"/>
            </w:pPr>
          </w:p>
        </w:tc>
        <w:tc>
          <w:tcPr>
            <w:tcW w:w="597" w:type="pct"/>
            <w:vAlign w:val="center"/>
          </w:tcPr>
          <w:p w14:paraId="44EFCD7F">
            <w:pPr>
              <w:pStyle w:val="34"/>
            </w:pPr>
            <w:r>
              <w:t>NH</w:t>
            </w:r>
            <w:r>
              <w:rPr>
                <w:vertAlign w:val="subscript"/>
              </w:rPr>
              <w:t>3</w:t>
            </w:r>
            <w:r>
              <w:t>-N</w:t>
            </w:r>
          </w:p>
        </w:tc>
        <w:tc>
          <w:tcPr>
            <w:tcW w:w="597" w:type="pct"/>
            <w:vAlign w:val="center"/>
          </w:tcPr>
          <w:p w14:paraId="3EAB4EFD">
            <w:pPr>
              <w:pStyle w:val="34"/>
            </w:pPr>
            <w:r>
              <w:rPr>
                <w:rFonts w:hint="eastAsia"/>
              </w:rPr>
              <w:t>35</w:t>
            </w:r>
          </w:p>
        </w:tc>
        <w:tc>
          <w:tcPr>
            <w:tcW w:w="682" w:type="pct"/>
            <w:vAlign w:val="center"/>
          </w:tcPr>
          <w:p w14:paraId="4D020F2F">
            <w:pPr>
              <w:pStyle w:val="34"/>
            </w:pPr>
            <w:r>
              <w:rPr>
                <w:rFonts w:hint="eastAsia"/>
              </w:rPr>
              <w:t>71</w:t>
            </w:r>
          </w:p>
        </w:tc>
        <w:tc>
          <w:tcPr>
            <w:tcW w:w="1274" w:type="pct"/>
            <w:vMerge w:val="continue"/>
            <w:vAlign w:val="center"/>
          </w:tcPr>
          <w:p w14:paraId="630D5EA8">
            <w:pPr>
              <w:pStyle w:val="34"/>
              <w:rPr>
                <w:snapToGrid w:val="0"/>
              </w:rPr>
            </w:pPr>
          </w:p>
        </w:tc>
      </w:tr>
      <w:tr w14:paraId="297381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continue"/>
            <w:vAlign w:val="center"/>
          </w:tcPr>
          <w:p w14:paraId="184DC1F0">
            <w:pPr>
              <w:pStyle w:val="34"/>
            </w:pPr>
          </w:p>
        </w:tc>
        <w:tc>
          <w:tcPr>
            <w:tcW w:w="1018" w:type="pct"/>
            <w:vAlign w:val="center"/>
          </w:tcPr>
          <w:p w14:paraId="7A15DCA4">
            <w:pPr>
              <w:pStyle w:val="34"/>
            </w:pPr>
            <w:r>
              <w:t>船舶</w:t>
            </w:r>
            <w:r>
              <w:rPr>
                <w:rFonts w:hint="eastAsia"/>
              </w:rPr>
              <w:t>含油</w:t>
            </w:r>
            <w:r>
              <w:t>污水</w:t>
            </w:r>
          </w:p>
        </w:tc>
        <w:tc>
          <w:tcPr>
            <w:tcW w:w="568" w:type="pct"/>
            <w:vAlign w:val="center"/>
          </w:tcPr>
          <w:p w14:paraId="33BE7238">
            <w:pPr>
              <w:pStyle w:val="34"/>
            </w:pPr>
            <w:r>
              <w:t>33.24</w:t>
            </w:r>
          </w:p>
        </w:tc>
        <w:tc>
          <w:tcPr>
            <w:tcW w:w="597" w:type="pct"/>
            <w:vAlign w:val="center"/>
          </w:tcPr>
          <w:p w14:paraId="2C30A4E3">
            <w:pPr>
              <w:pStyle w:val="34"/>
            </w:pPr>
            <w:r>
              <w:rPr>
                <w:rFonts w:hint="eastAsia"/>
              </w:rPr>
              <w:t>石油类</w:t>
            </w:r>
          </w:p>
        </w:tc>
        <w:tc>
          <w:tcPr>
            <w:tcW w:w="597" w:type="pct"/>
            <w:vAlign w:val="center"/>
          </w:tcPr>
          <w:p w14:paraId="61326A6F">
            <w:pPr>
              <w:pStyle w:val="34"/>
            </w:pPr>
            <w:r>
              <w:rPr>
                <w:rFonts w:hint="eastAsia"/>
              </w:rPr>
              <w:t>10000</w:t>
            </w:r>
          </w:p>
        </w:tc>
        <w:tc>
          <w:tcPr>
            <w:tcW w:w="682" w:type="pct"/>
            <w:vAlign w:val="center"/>
          </w:tcPr>
          <w:p w14:paraId="662A1996">
            <w:pPr>
              <w:pStyle w:val="34"/>
            </w:pPr>
            <w:r>
              <w:rPr>
                <w:rFonts w:hint="eastAsia"/>
              </w:rPr>
              <w:t>33240</w:t>
            </w:r>
          </w:p>
        </w:tc>
        <w:tc>
          <w:tcPr>
            <w:tcW w:w="1274" w:type="pct"/>
            <w:vMerge w:val="continue"/>
            <w:vAlign w:val="center"/>
          </w:tcPr>
          <w:p w14:paraId="78247398">
            <w:pPr>
              <w:pStyle w:val="34"/>
              <w:rPr>
                <w:snapToGrid w:val="0"/>
              </w:rPr>
            </w:pPr>
          </w:p>
        </w:tc>
      </w:tr>
      <w:tr w14:paraId="51EF7E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restart"/>
            <w:vAlign w:val="center"/>
          </w:tcPr>
          <w:p w14:paraId="638D8FC2">
            <w:pPr>
              <w:pStyle w:val="34"/>
            </w:pPr>
            <w:r>
              <w:t>废气</w:t>
            </w:r>
          </w:p>
        </w:tc>
        <w:tc>
          <w:tcPr>
            <w:tcW w:w="1018" w:type="pct"/>
            <w:vMerge w:val="restart"/>
            <w:vAlign w:val="center"/>
          </w:tcPr>
          <w:p w14:paraId="48D0F56B">
            <w:pPr>
              <w:pStyle w:val="34"/>
            </w:pPr>
            <w:r>
              <w:rPr>
                <w:rFonts w:hint="eastAsia"/>
              </w:rPr>
              <w:t>铺装道路扬尘</w:t>
            </w:r>
          </w:p>
        </w:tc>
        <w:tc>
          <w:tcPr>
            <w:tcW w:w="568" w:type="pct"/>
            <w:vMerge w:val="restart"/>
            <w:vAlign w:val="center"/>
          </w:tcPr>
          <w:p w14:paraId="1363F1F3">
            <w:pPr>
              <w:pStyle w:val="34"/>
            </w:pPr>
            <w:r>
              <w:t>/</w:t>
            </w:r>
          </w:p>
        </w:tc>
        <w:tc>
          <w:tcPr>
            <w:tcW w:w="597" w:type="pct"/>
            <w:vAlign w:val="center"/>
          </w:tcPr>
          <w:p w14:paraId="7C45B637">
            <w:pPr>
              <w:pStyle w:val="34"/>
              <w:rPr>
                <w:szCs w:val="21"/>
              </w:rPr>
            </w:pPr>
            <w:r>
              <w:rPr>
                <w:rFonts w:hint="eastAsia"/>
                <w:szCs w:val="21"/>
              </w:rPr>
              <w:t>TSP</w:t>
            </w:r>
          </w:p>
        </w:tc>
        <w:tc>
          <w:tcPr>
            <w:tcW w:w="597" w:type="pct"/>
            <w:vAlign w:val="center"/>
          </w:tcPr>
          <w:p w14:paraId="196C4C00">
            <w:pPr>
              <w:pStyle w:val="34"/>
            </w:pPr>
            <w:r>
              <w:rPr>
                <w:snapToGrid w:val="0"/>
              </w:rPr>
              <w:t>/</w:t>
            </w:r>
          </w:p>
        </w:tc>
        <w:tc>
          <w:tcPr>
            <w:tcW w:w="682" w:type="pct"/>
            <w:vAlign w:val="center"/>
          </w:tcPr>
          <w:p w14:paraId="6AAC64C1">
            <w:pPr>
              <w:pStyle w:val="34"/>
              <w:rPr>
                <w:szCs w:val="21"/>
              </w:rPr>
            </w:pPr>
            <w:r>
              <w:rPr>
                <w:rFonts w:hint="eastAsia"/>
                <w:szCs w:val="21"/>
              </w:rPr>
              <w:t>800</w:t>
            </w:r>
          </w:p>
        </w:tc>
        <w:tc>
          <w:tcPr>
            <w:tcW w:w="1274" w:type="pct"/>
            <w:vMerge w:val="restart"/>
            <w:vAlign w:val="center"/>
          </w:tcPr>
          <w:p w14:paraId="72A22843">
            <w:pPr>
              <w:pStyle w:val="34"/>
            </w:pPr>
            <w:r>
              <w:t>无组织排放</w:t>
            </w:r>
          </w:p>
        </w:tc>
      </w:tr>
      <w:tr w14:paraId="4FBB4A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continue"/>
            <w:vAlign w:val="center"/>
          </w:tcPr>
          <w:p w14:paraId="6BD912A4">
            <w:pPr>
              <w:pStyle w:val="34"/>
            </w:pPr>
          </w:p>
        </w:tc>
        <w:tc>
          <w:tcPr>
            <w:tcW w:w="1018" w:type="pct"/>
            <w:vMerge w:val="continue"/>
            <w:vAlign w:val="center"/>
          </w:tcPr>
          <w:p w14:paraId="01AD13F8">
            <w:pPr>
              <w:pStyle w:val="34"/>
            </w:pPr>
          </w:p>
        </w:tc>
        <w:tc>
          <w:tcPr>
            <w:tcW w:w="568" w:type="pct"/>
            <w:vMerge w:val="continue"/>
            <w:vAlign w:val="center"/>
          </w:tcPr>
          <w:p w14:paraId="67E3C445">
            <w:pPr>
              <w:pStyle w:val="34"/>
            </w:pPr>
          </w:p>
        </w:tc>
        <w:tc>
          <w:tcPr>
            <w:tcW w:w="597" w:type="pct"/>
            <w:vAlign w:val="center"/>
          </w:tcPr>
          <w:p w14:paraId="27ED673B">
            <w:pPr>
              <w:pStyle w:val="34"/>
              <w:rPr>
                <w:szCs w:val="21"/>
              </w:rPr>
            </w:pPr>
            <w:r>
              <w:rPr>
                <w:rFonts w:hint="eastAsia"/>
                <w:szCs w:val="21"/>
              </w:rPr>
              <w:t>PM</w:t>
            </w:r>
            <w:r>
              <w:rPr>
                <w:rFonts w:hint="eastAsia"/>
                <w:szCs w:val="21"/>
                <w:vertAlign w:val="subscript"/>
              </w:rPr>
              <w:t>10</w:t>
            </w:r>
          </w:p>
        </w:tc>
        <w:tc>
          <w:tcPr>
            <w:tcW w:w="597" w:type="pct"/>
            <w:vAlign w:val="center"/>
          </w:tcPr>
          <w:p w14:paraId="599E1CF2">
            <w:pPr>
              <w:pStyle w:val="34"/>
            </w:pPr>
            <w:r>
              <w:rPr>
                <w:snapToGrid w:val="0"/>
              </w:rPr>
              <w:t>/</w:t>
            </w:r>
          </w:p>
        </w:tc>
        <w:tc>
          <w:tcPr>
            <w:tcW w:w="682" w:type="pct"/>
            <w:vAlign w:val="center"/>
          </w:tcPr>
          <w:p w14:paraId="21C959F1">
            <w:pPr>
              <w:pStyle w:val="34"/>
              <w:rPr>
                <w:szCs w:val="21"/>
              </w:rPr>
            </w:pPr>
            <w:r>
              <w:rPr>
                <w:rFonts w:hint="eastAsia"/>
                <w:szCs w:val="21"/>
              </w:rPr>
              <w:t>200</w:t>
            </w:r>
          </w:p>
        </w:tc>
        <w:tc>
          <w:tcPr>
            <w:tcW w:w="1274" w:type="pct"/>
            <w:vMerge w:val="continue"/>
            <w:vAlign w:val="center"/>
          </w:tcPr>
          <w:p w14:paraId="448C26DA">
            <w:pPr>
              <w:pStyle w:val="34"/>
            </w:pPr>
          </w:p>
        </w:tc>
      </w:tr>
      <w:tr w14:paraId="07EE59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continue"/>
            <w:vAlign w:val="center"/>
          </w:tcPr>
          <w:p w14:paraId="5F31202A">
            <w:pPr>
              <w:pStyle w:val="34"/>
            </w:pPr>
          </w:p>
        </w:tc>
        <w:tc>
          <w:tcPr>
            <w:tcW w:w="1018" w:type="pct"/>
            <w:vMerge w:val="continue"/>
            <w:vAlign w:val="center"/>
          </w:tcPr>
          <w:p w14:paraId="7AABE3F7">
            <w:pPr>
              <w:pStyle w:val="34"/>
            </w:pPr>
          </w:p>
        </w:tc>
        <w:tc>
          <w:tcPr>
            <w:tcW w:w="568" w:type="pct"/>
            <w:vMerge w:val="continue"/>
            <w:vAlign w:val="center"/>
          </w:tcPr>
          <w:p w14:paraId="2F556C79">
            <w:pPr>
              <w:pStyle w:val="34"/>
            </w:pPr>
          </w:p>
        </w:tc>
        <w:tc>
          <w:tcPr>
            <w:tcW w:w="597" w:type="pct"/>
            <w:vAlign w:val="center"/>
          </w:tcPr>
          <w:p w14:paraId="7B2F2D9A">
            <w:pPr>
              <w:pStyle w:val="34"/>
              <w:rPr>
                <w:szCs w:val="21"/>
              </w:rPr>
            </w:pPr>
            <w:r>
              <w:rPr>
                <w:rFonts w:hint="eastAsia"/>
                <w:szCs w:val="21"/>
              </w:rPr>
              <w:t>PM</w:t>
            </w:r>
            <w:r>
              <w:rPr>
                <w:rFonts w:hint="eastAsia"/>
                <w:szCs w:val="21"/>
                <w:vertAlign w:val="subscript"/>
              </w:rPr>
              <w:t>2.5</w:t>
            </w:r>
          </w:p>
        </w:tc>
        <w:tc>
          <w:tcPr>
            <w:tcW w:w="597" w:type="pct"/>
            <w:vAlign w:val="center"/>
          </w:tcPr>
          <w:p w14:paraId="5BF5705E">
            <w:pPr>
              <w:pStyle w:val="34"/>
            </w:pPr>
            <w:r>
              <w:rPr>
                <w:snapToGrid w:val="0"/>
              </w:rPr>
              <w:t>/</w:t>
            </w:r>
          </w:p>
        </w:tc>
        <w:tc>
          <w:tcPr>
            <w:tcW w:w="682" w:type="pct"/>
            <w:vAlign w:val="center"/>
          </w:tcPr>
          <w:p w14:paraId="71E4B710">
            <w:pPr>
              <w:pStyle w:val="34"/>
              <w:rPr>
                <w:szCs w:val="21"/>
              </w:rPr>
            </w:pPr>
            <w:r>
              <w:rPr>
                <w:rFonts w:hint="eastAsia"/>
                <w:szCs w:val="21"/>
              </w:rPr>
              <w:t>60</w:t>
            </w:r>
          </w:p>
        </w:tc>
        <w:tc>
          <w:tcPr>
            <w:tcW w:w="1274" w:type="pct"/>
            <w:vMerge w:val="continue"/>
            <w:vAlign w:val="center"/>
          </w:tcPr>
          <w:p w14:paraId="6E4FD6BF">
            <w:pPr>
              <w:pStyle w:val="34"/>
            </w:pPr>
          </w:p>
        </w:tc>
      </w:tr>
      <w:tr w14:paraId="045508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Align w:val="center"/>
          </w:tcPr>
          <w:p w14:paraId="5DFF41CF">
            <w:pPr>
              <w:pStyle w:val="34"/>
            </w:pPr>
            <w:r>
              <w:t>噪声</w:t>
            </w:r>
          </w:p>
        </w:tc>
        <w:tc>
          <w:tcPr>
            <w:tcW w:w="1018" w:type="pct"/>
            <w:vAlign w:val="center"/>
          </w:tcPr>
          <w:p w14:paraId="248C888E">
            <w:pPr>
              <w:pStyle w:val="34"/>
            </w:pPr>
            <w:r>
              <w:rPr>
                <w:rFonts w:hint="eastAsia"/>
              </w:rPr>
              <w:t>港口机械作业噪声和到港船舶</w:t>
            </w:r>
          </w:p>
        </w:tc>
        <w:tc>
          <w:tcPr>
            <w:tcW w:w="568" w:type="pct"/>
            <w:vAlign w:val="center"/>
          </w:tcPr>
          <w:p w14:paraId="3E5F67B5">
            <w:pPr>
              <w:pStyle w:val="34"/>
            </w:pPr>
            <w:r>
              <w:t>/</w:t>
            </w:r>
          </w:p>
        </w:tc>
        <w:tc>
          <w:tcPr>
            <w:tcW w:w="597" w:type="pct"/>
            <w:vAlign w:val="center"/>
          </w:tcPr>
          <w:p w14:paraId="6D1A6677">
            <w:pPr>
              <w:pStyle w:val="34"/>
              <w:rPr>
                <w:snapToGrid w:val="0"/>
              </w:rPr>
            </w:pPr>
            <w:r>
              <w:t>Leq</w:t>
            </w:r>
          </w:p>
        </w:tc>
        <w:tc>
          <w:tcPr>
            <w:tcW w:w="597" w:type="pct"/>
            <w:vAlign w:val="center"/>
          </w:tcPr>
          <w:p w14:paraId="28D9C9A9">
            <w:pPr>
              <w:pStyle w:val="34"/>
              <w:rPr>
                <w:snapToGrid w:val="0"/>
              </w:rPr>
            </w:pPr>
            <w:r>
              <w:rPr>
                <w:rFonts w:hint="eastAsia"/>
                <w:snapToGrid w:val="0"/>
              </w:rPr>
              <w:t>70</w:t>
            </w:r>
            <w:r>
              <w:rPr>
                <w:snapToGrid w:val="0"/>
              </w:rPr>
              <w:t>～</w:t>
            </w:r>
            <w:r>
              <w:rPr>
                <w:rFonts w:hint="eastAsia"/>
                <w:snapToGrid w:val="0"/>
              </w:rPr>
              <w:t>90</w:t>
            </w:r>
            <w:r>
              <w:rPr>
                <w:snapToGrid w:val="0"/>
              </w:rPr>
              <w:t>dB</w:t>
            </w:r>
          </w:p>
        </w:tc>
        <w:tc>
          <w:tcPr>
            <w:tcW w:w="682" w:type="pct"/>
            <w:vAlign w:val="center"/>
          </w:tcPr>
          <w:p w14:paraId="461A178F">
            <w:pPr>
              <w:pStyle w:val="34"/>
              <w:rPr>
                <w:snapToGrid w:val="0"/>
              </w:rPr>
            </w:pPr>
            <w:r>
              <w:t>/</w:t>
            </w:r>
          </w:p>
        </w:tc>
        <w:tc>
          <w:tcPr>
            <w:tcW w:w="1274" w:type="pct"/>
            <w:vAlign w:val="center"/>
          </w:tcPr>
          <w:p w14:paraId="7206A782">
            <w:pPr>
              <w:pStyle w:val="34"/>
            </w:pPr>
            <w:r>
              <w:t>直接排放</w:t>
            </w:r>
          </w:p>
        </w:tc>
      </w:tr>
      <w:tr w14:paraId="7A58C0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restart"/>
            <w:vAlign w:val="center"/>
          </w:tcPr>
          <w:p w14:paraId="4D438EA9">
            <w:pPr>
              <w:pStyle w:val="34"/>
            </w:pPr>
            <w:r>
              <w:t>固废</w:t>
            </w:r>
          </w:p>
        </w:tc>
        <w:tc>
          <w:tcPr>
            <w:tcW w:w="1018" w:type="pct"/>
            <w:vAlign w:val="center"/>
          </w:tcPr>
          <w:p w14:paraId="33C4D631">
            <w:pPr>
              <w:pStyle w:val="34"/>
            </w:pPr>
            <w:r>
              <w:t>到港船舶</w:t>
            </w:r>
            <w:r>
              <w:rPr>
                <w:rFonts w:hint="eastAsia"/>
              </w:rPr>
              <w:t>生活垃圾</w:t>
            </w:r>
          </w:p>
        </w:tc>
        <w:tc>
          <w:tcPr>
            <w:tcW w:w="568" w:type="pct"/>
            <w:vAlign w:val="center"/>
          </w:tcPr>
          <w:p w14:paraId="2159E5C0">
            <w:pPr>
              <w:pStyle w:val="34"/>
            </w:pPr>
            <w:r>
              <w:rPr>
                <w:rFonts w:hint="eastAsia"/>
              </w:rPr>
              <w:t>52.8</w:t>
            </w:r>
          </w:p>
        </w:tc>
        <w:tc>
          <w:tcPr>
            <w:tcW w:w="597" w:type="pct"/>
            <w:vAlign w:val="center"/>
          </w:tcPr>
          <w:p w14:paraId="10CFC953">
            <w:pPr>
              <w:pStyle w:val="34"/>
            </w:pPr>
            <w:r>
              <w:rPr>
                <w:rFonts w:hint="eastAsia"/>
              </w:rPr>
              <w:t>生活</w:t>
            </w:r>
            <w:r>
              <w:t>垃圾</w:t>
            </w:r>
          </w:p>
        </w:tc>
        <w:tc>
          <w:tcPr>
            <w:tcW w:w="597" w:type="pct"/>
            <w:vAlign w:val="center"/>
          </w:tcPr>
          <w:p w14:paraId="0E6B2F13">
            <w:pPr>
              <w:pStyle w:val="34"/>
              <w:rPr>
                <w:snapToGrid w:val="0"/>
              </w:rPr>
            </w:pPr>
            <w:r>
              <w:t>/</w:t>
            </w:r>
          </w:p>
        </w:tc>
        <w:tc>
          <w:tcPr>
            <w:tcW w:w="682" w:type="pct"/>
            <w:vAlign w:val="center"/>
          </w:tcPr>
          <w:p w14:paraId="40F9AF0A">
            <w:pPr>
              <w:pStyle w:val="34"/>
            </w:pPr>
            <w:r>
              <w:rPr>
                <w:rFonts w:hint="eastAsia"/>
              </w:rPr>
              <w:t>52800</w:t>
            </w:r>
          </w:p>
        </w:tc>
        <w:tc>
          <w:tcPr>
            <w:tcW w:w="1274" w:type="pct"/>
            <w:vAlign w:val="center"/>
          </w:tcPr>
          <w:p w14:paraId="45BCE2E2">
            <w:pPr>
              <w:pStyle w:val="34"/>
            </w:pPr>
            <w:r>
              <w:t>统一接收</w:t>
            </w:r>
          </w:p>
        </w:tc>
      </w:tr>
      <w:tr w14:paraId="69E727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continue"/>
            <w:vAlign w:val="center"/>
          </w:tcPr>
          <w:p w14:paraId="39D19AE0">
            <w:pPr>
              <w:pStyle w:val="34"/>
            </w:pPr>
          </w:p>
        </w:tc>
        <w:tc>
          <w:tcPr>
            <w:tcW w:w="1018" w:type="pct"/>
            <w:vMerge w:val="restart"/>
            <w:vAlign w:val="center"/>
          </w:tcPr>
          <w:p w14:paraId="392F4816">
            <w:pPr>
              <w:pStyle w:val="34"/>
            </w:pPr>
            <w:r>
              <w:rPr>
                <w:rFonts w:hint="eastAsia"/>
              </w:rPr>
              <w:t>陆域</w:t>
            </w:r>
            <w:r>
              <w:t>固体废物</w:t>
            </w:r>
          </w:p>
        </w:tc>
        <w:tc>
          <w:tcPr>
            <w:tcW w:w="568" w:type="pct"/>
            <w:vAlign w:val="center"/>
          </w:tcPr>
          <w:p w14:paraId="65ED3D1F">
            <w:pPr>
              <w:pStyle w:val="34"/>
            </w:pPr>
            <w:r>
              <w:rPr>
                <w:rFonts w:hint="eastAsia"/>
              </w:rPr>
              <w:t>35.28</w:t>
            </w:r>
          </w:p>
        </w:tc>
        <w:tc>
          <w:tcPr>
            <w:tcW w:w="597" w:type="pct"/>
            <w:vAlign w:val="center"/>
          </w:tcPr>
          <w:p w14:paraId="594EB2E4">
            <w:pPr>
              <w:pStyle w:val="34"/>
            </w:pPr>
            <w:r>
              <w:t>生活垃圾</w:t>
            </w:r>
          </w:p>
        </w:tc>
        <w:tc>
          <w:tcPr>
            <w:tcW w:w="597" w:type="pct"/>
            <w:vAlign w:val="center"/>
          </w:tcPr>
          <w:p w14:paraId="3B31AC7F">
            <w:pPr>
              <w:pStyle w:val="34"/>
              <w:rPr>
                <w:snapToGrid w:val="0"/>
              </w:rPr>
            </w:pPr>
            <w:r>
              <w:t>/</w:t>
            </w:r>
          </w:p>
        </w:tc>
        <w:tc>
          <w:tcPr>
            <w:tcW w:w="682" w:type="pct"/>
            <w:vAlign w:val="center"/>
          </w:tcPr>
          <w:p w14:paraId="7BB34B8A">
            <w:pPr>
              <w:pStyle w:val="34"/>
            </w:pPr>
            <w:r>
              <w:rPr>
                <w:rFonts w:hint="eastAsia"/>
              </w:rPr>
              <w:t>35280</w:t>
            </w:r>
          </w:p>
        </w:tc>
        <w:tc>
          <w:tcPr>
            <w:tcW w:w="1274" w:type="pct"/>
            <w:vAlign w:val="center"/>
          </w:tcPr>
          <w:p w14:paraId="2865F14F">
            <w:pPr>
              <w:pStyle w:val="34"/>
            </w:pPr>
            <w:r>
              <w:t>环卫部门处置</w:t>
            </w:r>
          </w:p>
        </w:tc>
      </w:tr>
      <w:tr w14:paraId="4A20F4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continue"/>
            <w:vAlign w:val="center"/>
          </w:tcPr>
          <w:p w14:paraId="55B635BD">
            <w:pPr>
              <w:pStyle w:val="34"/>
            </w:pPr>
          </w:p>
        </w:tc>
        <w:tc>
          <w:tcPr>
            <w:tcW w:w="1018" w:type="pct"/>
            <w:vMerge w:val="continue"/>
            <w:vAlign w:val="center"/>
          </w:tcPr>
          <w:p w14:paraId="4A386B07">
            <w:pPr>
              <w:pStyle w:val="34"/>
            </w:pPr>
          </w:p>
        </w:tc>
        <w:tc>
          <w:tcPr>
            <w:tcW w:w="568" w:type="pct"/>
            <w:vAlign w:val="center"/>
          </w:tcPr>
          <w:p w14:paraId="716EBD70">
            <w:pPr>
              <w:pStyle w:val="34"/>
            </w:pPr>
            <w:r>
              <w:rPr>
                <w:rFonts w:hint="eastAsia"/>
              </w:rPr>
              <w:t>1.19</w:t>
            </w:r>
          </w:p>
        </w:tc>
        <w:tc>
          <w:tcPr>
            <w:tcW w:w="597" w:type="pct"/>
            <w:vAlign w:val="center"/>
          </w:tcPr>
          <w:p w14:paraId="40665FFB">
            <w:pPr>
              <w:pStyle w:val="34"/>
            </w:pPr>
            <w:bookmarkStart w:id="316" w:name="OLE_LINK220"/>
            <w:r>
              <w:rPr>
                <w:rFonts w:hint="eastAsia"/>
              </w:rPr>
              <w:t>危险废物</w:t>
            </w:r>
            <w:bookmarkEnd w:id="316"/>
          </w:p>
        </w:tc>
        <w:tc>
          <w:tcPr>
            <w:tcW w:w="597" w:type="pct"/>
            <w:vAlign w:val="center"/>
          </w:tcPr>
          <w:p w14:paraId="327D0869">
            <w:pPr>
              <w:pStyle w:val="34"/>
            </w:pPr>
          </w:p>
        </w:tc>
        <w:tc>
          <w:tcPr>
            <w:tcW w:w="682" w:type="pct"/>
            <w:vAlign w:val="center"/>
          </w:tcPr>
          <w:p w14:paraId="01B87106">
            <w:pPr>
              <w:pStyle w:val="34"/>
            </w:pPr>
            <w:r>
              <w:rPr>
                <w:rFonts w:hint="eastAsia"/>
              </w:rPr>
              <w:t>1190</w:t>
            </w:r>
          </w:p>
        </w:tc>
        <w:tc>
          <w:tcPr>
            <w:tcW w:w="1274" w:type="pct"/>
            <w:vAlign w:val="center"/>
          </w:tcPr>
          <w:p w14:paraId="1BD4B498">
            <w:pPr>
              <w:pStyle w:val="34"/>
            </w:pPr>
            <w:r>
              <w:rPr>
                <w:rFonts w:hint="eastAsia"/>
              </w:rPr>
              <w:t>暂存在危废暂存间，有资质单位接收</w:t>
            </w:r>
          </w:p>
        </w:tc>
      </w:tr>
    </w:tbl>
    <w:p w14:paraId="63D24F9A">
      <w:pPr>
        <w:pStyle w:val="4"/>
      </w:pPr>
      <w:bookmarkStart w:id="317" w:name="_Toc198042317"/>
      <w:bookmarkStart w:id="318" w:name="_Toc217977913"/>
      <w:r>
        <w:t>相符性分析</w:t>
      </w:r>
      <w:bookmarkEnd w:id="317"/>
      <w:bookmarkEnd w:id="318"/>
    </w:p>
    <w:p w14:paraId="689A3679">
      <w:pPr>
        <w:pStyle w:val="5"/>
      </w:pPr>
      <w:r>
        <w:rPr>
          <w:rFonts w:hint="eastAsia"/>
        </w:rPr>
        <w:t>产业符合性分析</w:t>
      </w:r>
    </w:p>
    <w:p w14:paraId="1CE41302">
      <w:pPr>
        <w:ind w:firstLine="462"/>
        <w:rPr>
          <w:lang w:val="zh-CN"/>
        </w:rPr>
      </w:pPr>
      <w:r>
        <w:rPr>
          <w:rFonts w:hint="eastAsia"/>
          <w:lang w:val="zh-CN"/>
        </w:rPr>
        <w:t>根据《产业结构调整指导目录（2024年本）》，工程属于鼓励类项目中“第二十五条，水运”分类中“2. 港口枢纽建设：码头泊位建设”。</w:t>
      </w:r>
    </w:p>
    <w:p w14:paraId="06C027E2">
      <w:pPr>
        <w:ind w:firstLine="462"/>
        <w:rPr>
          <w:lang w:val="zh-CN"/>
        </w:rPr>
      </w:pPr>
      <w:r>
        <w:rPr>
          <w:rFonts w:hint="eastAsia"/>
          <w:lang w:val="zh-CN"/>
        </w:rPr>
        <w:t>鼓励类主要是对经济社会发展有重要促进作用，有利于节约资源、保护环境、产业结构优化升级，需要采取政策措施予以鼓励和支持的项目。本工程建设期和营运期将分别针对各类污染源采取了有针对性的防范措施，能够做到达标排放，符合国家相关的环境保护政策。因此，本工程的建设符合国家产业政策。</w:t>
      </w:r>
    </w:p>
    <w:p w14:paraId="6BB0B3D6">
      <w:pPr>
        <w:pStyle w:val="5"/>
      </w:pPr>
      <w:r>
        <w:rPr>
          <w:rFonts w:hint="eastAsia"/>
        </w:rPr>
        <w:t>《海港总体设计规范》相符性分析</w:t>
      </w:r>
    </w:p>
    <w:p w14:paraId="68DF83CE">
      <w:pPr>
        <w:ind w:firstLine="462"/>
      </w:pPr>
      <w:r>
        <w:t>根据《海港总体设计规范》（JTS165-2013）第5.6.1.6条规定</w:t>
      </w:r>
      <w:r>
        <w:rPr>
          <w:rFonts w:hint="eastAsia" w:cs="宋体"/>
        </w:rPr>
        <w:t>“</w:t>
      </w:r>
      <w:r>
        <w:t>危险</w:t>
      </w:r>
      <w:r>
        <w:rPr>
          <w:rFonts w:hint="eastAsia"/>
        </w:rPr>
        <w:t>品</w:t>
      </w:r>
      <w:r>
        <w:t>数量较少时，其装卸作业可与港区其他码头泊位混合使用，但应采取必要的安全措施</w:t>
      </w:r>
      <w:r>
        <w:rPr>
          <w:rFonts w:hint="eastAsia" w:cs="宋体"/>
        </w:rPr>
        <w:t>”</w:t>
      </w:r>
      <w:r>
        <w:rPr>
          <w:rFonts w:hint="eastAsia"/>
        </w:rPr>
        <w:t>；</w:t>
      </w:r>
      <w:r>
        <w:t>第5.6.1.</w:t>
      </w:r>
      <w:r>
        <w:rPr>
          <w:rFonts w:hint="eastAsia"/>
        </w:rPr>
        <w:t>7</w:t>
      </w:r>
      <w:r>
        <w:t>条规定</w:t>
      </w:r>
      <w:r>
        <w:rPr>
          <w:rFonts w:hint="eastAsia" w:cs="宋体"/>
        </w:rPr>
        <w:t>“</w:t>
      </w:r>
      <w:r>
        <w:rPr>
          <w:rFonts w:hint="eastAsia"/>
        </w:rPr>
        <w:t>危险品数量较大且货源稳定时，宜设置专用危险品码头</w:t>
      </w:r>
      <w:r>
        <w:rPr>
          <w:rFonts w:hint="eastAsia" w:cs="宋体"/>
        </w:rPr>
        <w:t>”。根据</w:t>
      </w:r>
      <w:r>
        <w:t>JTS165-2013条文说明解释第5.6.1.6条、第5.6.1.7条</w:t>
      </w:r>
      <w:r>
        <w:rPr>
          <w:rFonts w:hint="eastAsia"/>
        </w:rPr>
        <w:t>，对装卸其他危险品货物，</w:t>
      </w:r>
      <w:r>
        <w:t>当货运量不大时，</w:t>
      </w:r>
      <w:r>
        <w:rPr>
          <w:rFonts w:hint="eastAsia"/>
        </w:rPr>
        <w:t>通常</w:t>
      </w:r>
      <w:r>
        <w:t>不设置专用码头，</w:t>
      </w:r>
      <w:r>
        <w:rPr>
          <w:rFonts w:hint="eastAsia"/>
        </w:rPr>
        <w:t>都是</w:t>
      </w:r>
      <w:r>
        <w:t>与港</w:t>
      </w:r>
      <w:r>
        <w:rPr>
          <w:rFonts w:hint="eastAsia"/>
        </w:rPr>
        <w:t>区</w:t>
      </w:r>
      <w:r>
        <w:t>其他泊位混合使用；</w:t>
      </w:r>
      <w:r>
        <w:rPr>
          <w:rFonts w:hint="eastAsia"/>
        </w:rPr>
        <w:t>当</w:t>
      </w:r>
      <w:r>
        <w:t>货运量大</w:t>
      </w:r>
      <w:r>
        <w:rPr>
          <w:rFonts w:hint="eastAsia"/>
        </w:rPr>
        <w:t>且</w:t>
      </w:r>
      <w:r>
        <w:t>货源稳定时，</w:t>
      </w:r>
      <w:r>
        <w:rPr>
          <w:rFonts w:hint="eastAsia"/>
        </w:rPr>
        <w:t>则可</w:t>
      </w:r>
      <w:r>
        <w:t>设置专用码头。根据《关于申请＜海港总体设计规范＞5.6.1.6调解释的函》的答复意见，对5.6.1.6条中的</w:t>
      </w:r>
      <w:r>
        <w:rPr>
          <w:rFonts w:hint="eastAsia" w:cs="宋体"/>
        </w:rPr>
        <w:t>“</w:t>
      </w:r>
      <w:r>
        <w:t>港区其他码头</w:t>
      </w:r>
      <w:r>
        <w:rPr>
          <w:rFonts w:hint="eastAsia" w:cs="宋体"/>
        </w:rPr>
        <w:t>”</w:t>
      </w:r>
      <w:r>
        <w:t>释义为非危险品码头。本项目为多用途泊位，依《海港总体设计规范》（JTS165-2013）的要求，在采取安全措施的条件下可装卸少量危险货物。</w:t>
      </w:r>
    </w:p>
    <w:p w14:paraId="61D062C8">
      <w:pPr>
        <w:ind w:firstLine="462"/>
      </w:pPr>
      <w:r>
        <w:t>根据《海港总体设计规范》（JTS165-2013）表7.10.11-1、《海港集装箱码头设计规范》（JTS165-4-2011）表6.4.2-1，集装箱码头设计危险品箱运量比例为1～6%、</w:t>
      </w:r>
      <w:r>
        <w:rPr>
          <w:rFonts w:hint="eastAsia"/>
        </w:rPr>
        <w:t>平均</w:t>
      </w:r>
      <w:r>
        <w:t>堆存期1～3d。项目</w:t>
      </w:r>
      <w:r>
        <w:rPr>
          <w:rFonts w:hint="eastAsia"/>
        </w:rPr>
        <w:t>设计集装箱</w:t>
      </w:r>
      <w:r>
        <w:t>吞吐量</w:t>
      </w:r>
      <w:r>
        <w:rPr>
          <w:rFonts w:hint="eastAsia"/>
        </w:rPr>
        <w:t>60</w:t>
      </w:r>
      <w:r>
        <w:t>万TEU，</w:t>
      </w:r>
      <w:r>
        <w:rPr>
          <w:rFonts w:hint="eastAsia"/>
        </w:rPr>
        <w:t>危险货物集装箱吞吐作业约7200</w:t>
      </w:r>
      <w:r>
        <w:t>TEU</w:t>
      </w:r>
      <w:r>
        <w:rPr>
          <w:rFonts w:hint="eastAsia"/>
        </w:rPr>
        <w:t>，</w:t>
      </w:r>
      <w:r>
        <w:t>危险货物集装箱运量占泊位</w:t>
      </w:r>
      <w:r>
        <w:rPr>
          <w:rFonts w:hint="eastAsia"/>
        </w:rPr>
        <w:t>总</w:t>
      </w:r>
      <w:r>
        <w:t>吞吐量</w:t>
      </w:r>
      <w:r>
        <w:rPr>
          <w:rFonts w:hint="eastAsia"/>
        </w:rPr>
        <w:t>约1.2</w:t>
      </w:r>
      <w:r>
        <w:t>%，所占比例小于6%，符合码头设计要求。</w:t>
      </w:r>
    </w:p>
    <w:p w14:paraId="5D9B1A6F">
      <w:pPr>
        <w:ind w:firstLine="462"/>
      </w:pPr>
      <w:r>
        <w:rPr>
          <w:rFonts w:hint="eastAsia"/>
        </w:rPr>
        <w:t>项目配备应急物资等安全应急设施，在进一步完善安全设施的前提下，危险货物集装箱可在本码头进行装卸，项目符合《海港总体设计规范》（</w:t>
      </w:r>
      <w:r>
        <w:t>JTS165-2013</w:t>
      </w:r>
      <w:r>
        <w:rPr>
          <w:rFonts w:hint="eastAsia"/>
        </w:rPr>
        <w:t>）、《海港集装箱码头设计规范》（</w:t>
      </w:r>
      <w:r>
        <w:t>JTS165-4-2011</w:t>
      </w:r>
      <w:r>
        <w:rPr>
          <w:rFonts w:hint="eastAsia"/>
        </w:rPr>
        <w:t>）的要求。</w:t>
      </w:r>
    </w:p>
    <w:p w14:paraId="1644A908">
      <w:pPr>
        <w:pStyle w:val="5"/>
      </w:pPr>
      <w:r>
        <w:rPr>
          <w:rFonts w:hint="eastAsia"/>
        </w:rPr>
        <w:t>与《北部湾港总体规划（2035年）》相符性</w:t>
      </w:r>
    </w:p>
    <w:p w14:paraId="63154277">
      <w:pPr>
        <w:ind w:firstLine="462"/>
      </w:pPr>
      <w:r>
        <w:t>1、规划概况</w:t>
      </w:r>
    </w:p>
    <w:p w14:paraId="41A3AFAA">
      <w:pPr>
        <w:ind w:firstLine="462"/>
        <w:rPr>
          <w:lang w:val="zh-CN"/>
        </w:rPr>
      </w:pPr>
      <w:r>
        <w:rPr>
          <w:lang w:val="zh-CN"/>
        </w:rPr>
        <w:t>《</w:t>
      </w:r>
      <w:r>
        <w:rPr>
          <w:rFonts w:hint="eastAsia"/>
          <w:lang w:val="zh-CN"/>
        </w:rPr>
        <w:t>北部湾港</w:t>
      </w:r>
      <w:r>
        <w:rPr>
          <w:lang w:val="zh-CN"/>
        </w:rPr>
        <w:t>总体规划（2035年）》环境影响报告书《北部湾港总体规划（</w:t>
      </w:r>
      <w:r>
        <w:rPr>
          <w:rFonts w:hint="eastAsia"/>
          <w:lang w:val="zh-CN"/>
        </w:rPr>
        <w:t>2035年</w:t>
      </w:r>
      <w:r>
        <w:rPr>
          <w:lang w:val="zh-CN"/>
        </w:rPr>
        <w:t>）环境影响报告书》</w:t>
      </w:r>
      <w:r>
        <w:rPr>
          <w:rFonts w:hint="eastAsia"/>
          <w:lang w:val="zh-CN"/>
        </w:rPr>
        <w:t>于2023年9月取得中华人民共和国生态环境部的审查意见（</w:t>
      </w:r>
      <w:r>
        <w:t>环审</w:t>
      </w:r>
      <w:r>
        <w:rPr>
          <w:rFonts w:hint="eastAsia"/>
        </w:rPr>
        <w:t>〔</w:t>
      </w:r>
      <w:r>
        <w:t>2023〕125号</w:t>
      </w:r>
      <w:r>
        <w:rPr>
          <w:rFonts w:hint="eastAsia"/>
          <w:lang w:val="zh-CN"/>
        </w:rPr>
        <w:t>）</w:t>
      </w:r>
      <w:r>
        <w:rPr>
          <w:lang w:val="zh-CN"/>
        </w:rPr>
        <w:t>。</w:t>
      </w:r>
    </w:p>
    <w:p w14:paraId="3F96DDD5">
      <w:pPr>
        <w:ind w:firstLine="462"/>
      </w:pPr>
      <w:r>
        <w:t>根据《</w:t>
      </w:r>
      <w:r>
        <w:rPr>
          <w:rFonts w:hint="eastAsia"/>
        </w:rPr>
        <w:t>北部湾港总体规划（2035年）</w:t>
      </w:r>
      <w:r>
        <w:t>》，</w:t>
      </w:r>
      <w:r>
        <w:rPr>
          <w:rFonts w:hint="eastAsia"/>
        </w:rPr>
        <w:t>为满足平陆运河集装箱江海联运需求，同时结合10号泊位南侧现状城市排污口布置，规划在10号泊位南侧布置挖入式港池，布置11个5000吨级集装箱泊位，港池位置、口门宽度等具体方案以及各段码头岸线长度等可在项目阶段进一步深化。</w:t>
      </w:r>
    </w:p>
    <w:p w14:paraId="19C8FC63">
      <w:pPr>
        <w:ind w:firstLine="462"/>
      </w:pPr>
      <w:r>
        <w:t>2、规划符合性</w:t>
      </w:r>
    </w:p>
    <w:p w14:paraId="4E872ACB">
      <w:pPr>
        <w:ind w:firstLine="462"/>
      </w:pPr>
      <w:r>
        <w:rPr>
          <w:rFonts w:hint="eastAsia"/>
        </w:rPr>
        <w:t>北部湾港钦州港域</w:t>
      </w:r>
      <w:r>
        <w:t>大榄坪港区大榄坪南作业区</w:t>
      </w:r>
      <w:r>
        <w:rPr>
          <w:rFonts w:hint="eastAsia"/>
        </w:rPr>
        <w:t>内1号至5号江海联运泊位工程</w:t>
      </w:r>
      <w:r>
        <w:t>为</w:t>
      </w:r>
      <w:r>
        <w:rPr>
          <w:rFonts w:hint="eastAsia"/>
        </w:rPr>
        <w:t>新建5</w:t>
      </w:r>
      <w:r>
        <w:t>艘</w:t>
      </w:r>
      <w:r>
        <w:rPr>
          <w:rFonts w:hint="eastAsia"/>
        </w:rPr>
        <w:t>5千</w:t>
      </w:r>
      <w:r>
        <w:t>吨级</w:t>
      </w:r>
      <w:r>
        <w:rPr>
          <w:rFonts w:hint="eastAsia"/>
        </w:rPr>
        <w:t>集装箱</w:t>
      </w:r>
      <w:r>
        <w:t>泊位，</w:t>
      </w:r>
      <w:r>
        <w:rPr>
          <w:rFonts w:hint="eastAsia"/>
        </w:rPr>
        <w:t>为</w:t>
      </w:r>
      <w:r>
        <w:t>《</w:t>
      </w:r>
      <w:r>
        <w:rPr>
          <w:rFonts w:hint="eastAsia"/>
        </w:rPr>
        <w:t>北部湾港总体规划（2035年）</w:t>
      </w:r>
      <w:r>
        <w:t>》中</w:t>
      </w:r>
      <w:r>
        <w:rPr>
          <w:rFonts w:hint="eastAsia"/>
        </w:rPr>
        <w:t>10号泊位南侧挖入式港池泊位建设内容，规划泊位岸线位置、泊位建设吨级均与</w:t>
      </w:r>
      <w:r>
        <w:t>《</w:t>
      </w:r>
      <w:r>
        <w:rPr>
          <w:rFonts w:hint="eastAsia"/>
        </w:rPr>
        <w:t>北部湾港总体规划（2035年）</w:t>
      </w:r>
      <w:r>
        <w:t>》</w:t>
      </w:r>
      <w:r>
        <w:rPr>
          <w:rFonts w:hint="eastAsia"/>
        </w:rPr>
        <w:t>一致，项目泊位功能根据平陆运河集装箱江海联运需求及港区运输调度需求，设置为自动化集装箱泊位</w:t>
      </w:r>
      <w:r>
        <w:t>。</w:t>
      </w:r>
      <w:r>
        <w:rPr>
          <w:rFonts w:hint="eastAsia"/>
        </w:rPr>
        <w:t>项目建设与</w:t>
      </w:r>
      <w:r>
        <w:t>《</w:t>
      </w:r>
      <w:r>
        <w:rPr>
          <w:rFonts w:hint="eastAsia"/>
        </w:rPr>
        <w:t>北部湾港总体规划（2021～2035年）</w:t>
      </w:r>
      <w:r>
        <w:t>》相符。</w:t>
      </w:r>
    </w:p>
    <w:p w14:paraId="32819CDE">
      <w:pPr>
        <w:ind w:firstLine="462"/>
      </w:pPr>
      <w:r>
        <w:t>3、项目与规划环评符合性</w:t>
      </w:r>
    </w:p>
    <w:p w14:paraId="316BB270">
      <w:pPr>
        <w:ind w:firstLine="462"/>
      </w:pPr>
      <w:r>
        <w:t>《</w:t>
      </w:r>
      <w:r>
        <w:rPr>
          <w:rFonts w:hint="eastAsia"/>
        </w:rPr>
        <w:t>北部湾港总体规划（2035年）环境影响报告书</w:t>
      </w:r>
      <w:r>
        <w:t>》中未对</w:t>
      </w:r>
      <w:r>
        <w:rPr>
          <w:rFonts w:hint="eastAsia"/>
        </w:rPr>
        <w:t>大榄坪</w:t>
      </w:r>
      <w:r>
        <w:t>港区大榄坪南作业区提出规划优化调整建议，项目与规划环评相符性分析见表2.</w:t>
      </w:r>
      <w:r>
        <w:rPr>
          <w:rFonts w:hint="eastAsia"/>
        </w:rPr>
        <w:t>4</w:t>
      </w:r>
      <w:r>
        <w:t>-</w:t>
      </w:r>
      <w:r>
        <w:rPr>
          <w:rFonts w:hint="eastAsia"/>
        </w:rPr>
        <w:t>1</w:t>
      </w:r>
      <w:r>
        <w:t>。经分析，拟建项目符合《</w:t>
      </w:r>
      <w:r>
        <w:rPr>
          <w:rFonts w:hint="eastAsia"/>
        </w:rPr>
        <w:t>北部湾港总体规划（2035年）环境影响报告书</w:t>
      </w:r>
      <w:r>
        <w:t>》有关要求，项目的建设将</w:t>
      </w:r>
      <w:r>
        <w:rPr>
          <w:rFonts w:hint="eastAsia"/>
        </w:rPr>
        <w:t>完善</w:t>
      </w:r>
      <w:r>
        <w:t>大榄坪南作业区集装箱泊位的建设，</w:t>
      </w:r>
      <w:r>
        <w:rPr>
          <w:rFonts w:hint="eastAsia"/>
        </w:rPr>
        <w:t>加快北部湾港集约、高效的发展</w:t>
      </w:r>
      <w:r>
        <w:t>。</w:t>
      </w:r>
    </w:p>
    <w:p w14:paraId="0BA93899">
      <w:pPr>
        <w:pStyle w:val="7"/>
      </w:pPr>
      <w:r>
        <w:t>拟建项目与规划环评及其审查意见相关要求情况对比</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4296"/>
        <w:gridCol w:w="2459"/>
        <w:gridCol w:w="999"/>
      </w:tblGrid>
      <w:tr w14:paraId="5368D8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 w:hRule="atLeast"/>
          <w:tblHeader/>
        </w:trPr>
        <w:tc>
          <w:tcPr>
            <w:tcW w:w="454" w:type="pct"/>
            <w:vAlign w:val="center"/>
          </w:tcPr>
          <w:p w14:paraId="75ED0B1D">
            <w:pPr>
              <w:pStyle w:val="34"/>
            </w:pPr>
            <w:r>
              <w:t>序号</w:t>
            </w:r>
          </w:p>
        </w:tc>
        <w:tc>
          <w:tcPr>
            <w:tcW w:w="2519" w:type="pct"/>
            <w:vAlign w:val="center"/>
          </w:tcPr>
          <w:p w14:paraId="21D046F5">
            <w:pPr>
              <w:pStyle w:val="34"/>
            </w:pPr>
            <w:r>
              <w:t>规划环评</w:t>
            </w:r>
            <w:r>
              <w:rPr>
                <w:rFonts w:hint="eastAsia"/>
              </w:rPr>
              <w:t>要求及结论</w:t>
            </w:r>
          </w:p>
        </w:tc>
        <w:tc>
          <w:tcPr>
            <w:tcW w:w="1442" w:type="pct"/>
            <w:vAlign w:val="center"/>
          </w:tcPr>
          <w:p w14:paraId="4E3EDC60">
            <w:pPr>
              <w:pStyle w:val="34"/>
            </w:pPr>
            <w:r>
              <w:t>本项目</w:t>
            </w:r>
          </w:p>
        </w:tc>
        <w:tc>
          <w:tcPr>
            <w:tcW w:w="585" w:type="pct"/>
            <w:vAlign w:val="center"/>
          </w:tcPr>
          <w:p w14:paraId="5C9931A1">
            <w:pPr>
              <w:pStyle w:val="34"/>
            </w:pPr>
            <w:r>
              <w:t>相符</w:t>
            </w:r>
          </w:p>
          <w:p w14:paraId="7C11D6C2">
            <w:pPr>
              <w:pStyle w:val="34"/>
            </w:pPr>
            <w:r>
              <w:t>情况</w:t>
            </w:r>
          </w:p>
        </w:tc>
      </w:tr>
      <w:tr w14:paraId="0F1E39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454" w:type="pct"/>
            <w:vAlign w:val="center"/>
          </w:tcPr>
          <w:p w14:paraId="7848474D">
            <w:pPr>
              <w:pStyle w:val="34"/>
            </w:pPr>
            <w:r>
              <w:t>1</w:t>
            </w:r>
          </w:p>
        </w:tc>
        <w:tc>
          <w:tcPr>
            <w:tcW w:w="2519" w:type="pct"/>
            <w:vAlign w:val="center"/>
          </w:tcPr>
          <w:p w14:paraId="07E44A04">
            <w:pPr>
              <w:pStyle w:val="34"/>
            </w:pPr>
            <w:r>
              <w:rPr>
                <w:rFonts w:hint="eastAsia"/>
              </w:rPr>
              <w:t>本次规划......、金鼓江作业区、金鼓江北作业区、大榄坪作业区，.......、合浦港点邻近红树林，距离均在1km范围内。</w:t>
            </w:r>
          </w:p>
          <w:p w14:paraId="5BF82470">
            <w:pPr>
              <w:pStyle w:val="34"/>
            </w:pPr>
            <w:r>
              <w:rPr>
                <w:rFonts w:hint="eastAsia"/>
              </w:rPr>
              <w:t>上述作业区具体建设项目施工期，应严格控制施工范围，避免对周边现状红树林造成破坏；涉水作业应采取防污帘等水污染物防治措施，控制施工悬浮物的产生；在施工和营运期加强对周边水域及敏感点的水质监测，做好码头污水的妥善收集处理；加强环境风险防范，避免码头施工及运营对红树林及其生态系统的不利影响。</w:t>
            </w:r>
          </w:p>
        </w:tc>
        <w:tc>
          <w:tcPr>
            <w:tcW w:w="1442" w:type="pct"/>
            <w:vAlign w:val="center"/>
          </w:tcPr>
          <w:p w14:paraId="599AC43D">
            <w:pPr>
              <w:pStyle w:val="34"/>
            </w:pPr>
            <w:r>
              <w:t>项目</w:t>
            </w:r>
            <w:r>
              <w:rPr>
                <w:rFonts w:hint="eastAsia"/>
              </w:rPr>
              <w:t>位于大榄坪港区大榄坪南作业区，距离红树林集中分布区最近约8.8km，项目建设范围内无红树林分布，施工期悬浮物扩散对评价范围内红树林基本无影响。运营期</w:t>
            </w:r>
            <w:r>
              <w:t>码头污水均不外排，通过新增环境风险防范、溢油事故应急设备等措施，环境风险可控。</w:t>
            </w:r>
          </w:p>
        </w:tc>
        <w:tc>
          <w:tcPr>
            <w:tcW w:w="585" w:type="pct"/>
            <w:vAlign w:val="center"/>
          </w:tcPr>
          <w:p w14:paraId="2167330D">
            <w:pPr>
              <w:pStyle w:val="34"/>
            </w:pPr>
            <w:r>
              <w:t>相符</w:t>
            </w:r>
          </w:p>
        </w:tc>
      </w:tr>
      <w:tr w14:paraId="7CA977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454" w:type="pct"/>
            <w:vAlign w:val="center"/>
          </w:tcPr>
          <w:p w14:paraId="159E9959">
            <w:pPr>
              <w:pStyle w:val="34"/>
            </w:pPr>
            <w:r>
              <w:t>2</w:t>
            </w:r>
          </w:p>
        </w:tc>
        <w:tc>
          <w:tcPr>
            <w:tcW w:w="2519" w:type="pct"/>
            <w:vAlign w:val="center"/>
          </w:tcPr>
          <w:p w14:paraId="006D9871">
            <w:pPr>
              <w:pStyle w:val="34"/>
            </w:pPr>
            <w:r>
              <w:rPr>
                <w:rFonts w:hint="eastAsia"/>
              </w:rPr>
              <w:t>重视并统筹安排港口、航道等水运工程建设的生态修复及渔民补偿安置工作，建议规划实施过程中应制定和落实生态修复、渔民补偿安置计划和分步实施方案，通过渔业增殖放流、鱼礁建设、渔民补偿安置等方式，有计划、有步骤、有目的针对港口发展造成的生态和渔业损失进行补偿。</w:t>
            </w:r>
          </w:p>
        </w:tc>
        <w:tc>
          <w:tcPr>
            <w:tcW w:w="1442" w:type="pct"/>
            <w:vAlign w:val="center"/>
          </w:tcPr>
          <w:p w14:paraId="077DE7DE">
            <w:pPr>
              <w:pStyle w:val="34"/>
            </w:pPr>
            <w:r>
              <w:rPr>
                <w:rFonts w:hint="eastAsia"/>
              </w:rPr>
              <w:t>项目疏浚、炸礁在本次评价中提出生态损失补偿并纳入环保投资</w:t>
            </w:r>
            <w:r>
              <w:t>。</w:t>
            </w:r>
          </w:p>
        </w:tc>
        <w:tc>
          <w:tcPr>
            <w:tcW w:w="585" w:type="pct"/>
            <w:vAlign w:val="center"/>
          </w:tcPr>
          <w:p w14:paraId="0434E7B3">
            <w:pPr>
              <w:pStyle w:val="34"/>
            </w:pPr>
            <w:r>
              <w:t>相符</w:t>
            </w:r>
          </w:p>
        </w:tc>
      </w:tr>
      <w:tr w14:paraId="0C1046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454" w:type="pct"/>
            <w:vAlign w:val="center"/>
          </w:tcPr>
          <w:p w14:paraId="0C69F87B">
            <w:pPr>
              <w:pStyle w:val="34"/>
            </w:pPr>
            <w:r>
              <w:t>3</w:t>
            </w:r>
          </w:p>
        </w:tc>
        <w:tc>
          <w:tcPr>
            <w:tcW w:w="2519" w:type="pct"/>
            <w:vAlign w:val="center"/>
          </w:tcPr>
          <w:p w14:paraId="586E45D9">
            <w:pPr>
              <w:pStyle w:val="34"/>
            </w:pPr>
            <w:r>
              <w:rPr>
                <w:rFonts w:hint="eastAsia"/>
              </w:rPr>
              <w:t>本次规划渔澫港区、企沙南港区、大榄坪港区、三墩港区、铁山西港区、合浦港点的部分区域占用了《广西壮族自治区近岸海域环境功能区划》的二类环境功能区，与水质目标要求以及《近岸海域环境功能区管理办法》的管理要求不符。目前，自治区生态环境厅已经启动新一轮的《广西壮族自治区近岸海域环境功能区划》调整工作。经与自治区生态环境厅沟通协调，本次规划与调整后的近岸海域环境功能区划不存在冲突。建议近岸海域功能区划调整批复前，规划相关项目不得实施。</w:t>
            </w:r>
          </w:p>
        </w:tc>
        <w:tc>
          <w:tcPr>
            <w:tcW w:w="1442" w:type="pct"/>
            <w:vAlign w:val="center"/>
          </w:tcPr>
          <w:p w14:paraId="197A7465">
            <w:pPr>
              <w:pStyle w:val="34"/>
            </w:pPr>
            <w:r>
              <w:t>项目位于大榄坪港区</w:t>
            </w:r>
            <w:r>
              <w:rPr>
                <w:rFonts w:hint="eastAsia"/>
              </w:rPr>
              <w:t>大榄坪</w:t>
            </w:r>
            <w:r>
              <w:t>南作业区，</w:t>
            </w:r>
            <w:r>
              <w:rPr>
                <w:rFonts w:hint="eastAsia"/>
              </w:rPr>
              <w:t>工程</w:t>
            </w:r>
            <w:r>
              <w:t>内容均位于</w:t>
            </w:r>
            <w:r>
              <w:rPr>
                <w:rFonts w:hint="eastAsia"/>
              </w:rPr>
              <w:t>《广西壮族自治区近岸海域环境功能区规划》的四类环境功能区，与《近岸海域环境功能区管理办法》的管理要求相符</w:t>
            </w:r>
            <w:r>
              <w:t>。</w:t>
            </w:r>
          </w:p>
        </w:tc>
        <w:tc>
          <w:tcPr>
            <w:tcW w:w="585" w:type="pct"/>
            <w:vAlign w:val="center"/>
          </w:tcPr>
          <w:p w14:paraId="09D00303">
            <w:pPr>
              <w:pStyle w:val="34"/>
            </w:pPr>
            <w:r>
              <w:t>相符</w:t>
            </w:r>
          </w:p>
        </w:tc>
      </w:tr>
      <w:tr w14:paraId="144CF8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454" w:type="pct"/>
            <w:vAlign w:val="center"/>
          </w:tcPr>
          <w:p w14:paraId="675B86BB">
            <w:pPr>
              <w:pStyle w:val="34"/>
            </w:pPr>
            <w:r>
              <w:t>4</w:t>
            </w:r>
          </w:p>
        </w:tc>
        <w:tc>
          <w:tcPr>
            <w:tcW w:w="2519" w:type="pct"/>
            <w:vAlign w:val="center"/>
          </w:tcPr>
          <w:p w14:paraId="3D4CAE5E">
            <w:pPr>
              <w:pStyle w:val="34"/>
            </w:pPr>
            <w:r>
              <w:rPr>
                <w:rFonts w:hint="eastAsia"/>
              </w:rPr>
              <w:t>强化环境污染防治。落实港口和船舶污水收集处理方案，确保港口船舶污染物充分有效处置。针对城市基础设施未完全覆盖的港区，应采取有效可行的水污染防治、固废处理处置措施，依法依规妥善处置危险废物。加强扬尘污染防治，干散货装卸、储运应优先采取封闭防治措施。严格控制船舶大气污染物排放，码头建设应同步配套岸电设施。</w:t>
            </w:r>
          </w:p>
        </w:tc>
        <w:tc>
          <w:tcPr>
            <w:tcW w:w="1442" w:type="pct"/>
            <w:vAlign w:val="center"/>
          </w:tcPr>
          <w:p w14:paraId="41CA1E58">
            <w:pPr>
              <w:pStyle w:val="34"/>
            </w:pPr>
            <w:r>
              <w:t>项目到港船舶污染物均由有资质单位转运处理，陆域生活垃圾由环保部门清运，生活污水进入大榄坪污水处理厂不外排。</w:t>
            </w:r>
          </w:p>
        </w:tc>
        <w:tc>
          <w:tcPr>
            <w:tcW w:w="585" w:type="pct"/>
            <w:vAlign w:val="center"/>
          </w:tcPr>
          <w:p w14:paraId="01FAF9C7">
            <w:pPr>
              <w:pStyle w:val="34"/>
            </w:pPr>
            <w:r>
              <w:t>相符</w:t>
            </w:r>
          </w:p>
        </w:tc>
      </w:tr>
      <w:tr w14:paraId="310686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454" w:type="pct"/>
            <w:vAlign w:val="center"/>
          </w:tcPr>
          <w:p w14:paraId="67ECACDC">
            <w:pPr>
              <w:pStyle w:val="34"/>
            </w:pPr>
            <w:r>
              <w:rPr>
                <w:rFonts w:hint="eastAsia"/>
              </w:rPr>
              <w:t>5</w:t>
            </w:r>
          </w:p>
        </w:tc>
        <w:tc>
          <w:tcPr>
            <w:tcW w:w="2519" w:type="pct"/>
            <w:vAlign w:val="center"/>
          </w:tcPr>
          <w:p w14:paraId="7DB0649C">
            <w:pPr>
              <w:pStyle w:val="34"/>
            </w:pPr>
            <w:r>
              <w:rPr>
                <w:rFonts w:hint="eastAsia"/>
              </w:rPr>
              <w:t>加强环境风险事故防范。强化溢油及危险化学品泄漏事故的应急能力建设，各港区编制污染事故应急预案，配备溢油及化学品应急设备设施；建立应急响应区域联动机制，防范和减缓可能发生的溢油及危险品泄漏事故的不利影响。结合化工品的货种以及液体散货码头区的详细规划和设计做好安全评价和风险评估，加强码头及后方仓储区的风险防范工作。</w:t>
            </w:r>
          </w:p>
        </w:tc>
        <w:tc>
          <w:tcPr>
            <w:tcW w:w="1442" w:type="pct"/>
            <w:vAlign w:val="center"/>
          </w:tcPr>
          <w:p w14:paraId="7310BC11">
            <w:pPr>
              <w:pStyle w:val="34"/>
            </w:pPr>
            <w:r>
              <w:t>项目为自动化集装箱码头，</w:t>
            </w:r>
            <w:r>
              <w:rPr>
                <w:rFonts w:hint="eastAsia"/>
              </w:rPr>
              <w:t>项目</w:t>
            </w:r>
            <w:r>
              <w:t>建成后根据危险品装卸、堆存作业要求</w:t>
            </w:r>
            <w:r>
              <w:rPr>
                <w:rFonts w:hint="eastAsia"/>
              </w:rPr>
              <w:t>编制环境应急预案并备案。</w:t>
            </w:r>
          </w:p>
        </w:tc>
        <w:tc>
          <w:tcPr>
            <w:tcW w:w="585" w:type="pct"/>
            <w:vAlign w:val="center"/>
          </w:tcPr>
          <w:p w14:paraId="640BBAB4">
            <w:pPr>
              <w:pStyle w:val="34"/>
            </w:pPr>
            <w:r>
              <w:t>相符</w:t>
            </w:r>
          </w:p>
        </w:tc>
      </w:tr>
      <w:tr w14:paraId="2B7BFF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454" w:type="pct"/>
            <w:vAlign w:val="center"/>
          </w:tcPr>
          <w:p w14:paraId="62572133">
            <w:pPr>
              <w:pStyle w:val="34"/>
            </w:pPr>
            <w:r>
              <w:rPr>
                <w:rFonts w:hint="eastAsia"/>
              </w:rPr>
              <w:t>6</w:t>
            </w:r>
          </w:p>
        </w:tc>
        <w:tc>
          <w:tcPr>
            <w:tcW w:w="2519" w:type="pct"/>
            <w:vAlign w:val="center"/>
          </w:tcPr>
          <w:p w14:paraId="43A19717">
            <w:pPr>
              <w:pStyle w:val="34"/>
            </w:pPr>
            <w:r>
              <w:rPr>
                <w:rFonts w:hint="eastAsia"/>
              </w:rPr>
              <w:t>规划实施过程中，建立完善环境质量、湿地生态系统、珍稀保护物种、重要生境、渔业资源等的长期监测监控体系，明确工作任务、责任主体、投资来源、实施时限等。根据生态环境质量监测变化情况，及时优化调整港口规划内容，并完善相应的生态环境保护措施，加强运营管理。</w:t>
            </w:r>
          </w:p>
        </w:tc>
        <w:tc>
          <w:tcPr>
            <w:tcW w:w="1442" w:type="pct"/>
            <w:vAlign w:val="center"/>
          </w:tcPr>
          <w:p w14:paraId="292E26F9">
            <w:pPr>
              <w:pStyle w:val="34"/>
            </w:pPr>
            <w:r>
              <w:t>项目运营期间将建立长期监测体系，开展必要的环境监测，确保区域环境质量达标。</w:t>
            </w:r>
          </w:p>
        </w:tc>
        <w:tc>
          <w:tcPr>
            <w:tcW w:w="585" w:type="pct"/>
            <w:vAlign w:val="center"/>
          </w:tcPr>
          <w:p w14:paraId="6A99DB39">
            <w:pPr>
              <w:pStyle w:val="34"/>
            </w:pPr>
            <w:r>
              <w:t>相符</w:t>
            </w:r>
          </w:p>
        </w:tc>
      </w:tr>
    </w:tbl>
    <w:p w14:paraId="4F041EF8">
      <w:pPr>
        <w:pStyle w:val="5"/>
      </w:pPr>
      <w:r>
        <w:rPr>
          <w:rFonts w:hint="eastAsia"/>
        </w:rPr>
        <w:t>与《广西壮族自治区生态环境准入及管控要求清单（试行）》（2023年）的相符性</w:t>
      </w:r>
    </w:p>
    <w:p w14:paraId="6C24E669">
      <w:pPr>
        <w:ind w:firstLine="462"/>
      </w:pPr>
      <w:r>
        <w:rPr>
          <w:rFonts w:hint="eastAsia"/>
        </w:rPr>
        <w:t>为落实《全国国土空间规划纲要(2021－2035年)》、国家“十四五”生态环境保护相关规划中关于生态保护红线、环境质量底线、资源利用上线最新要求，《广西壮族自治区生态环境厅关于印发实施广西壮族自治区生态环境分区管控动态更新成果（2023年）的通知》（桂环规范〔2024〕3号），对广西生态环境分区管控成果进行更新调整，调整后的生态环境分区管控按优先保护、重点管控、一般管控三大类共划定1673个环境管控单元。全区陆域共划分为1461个环境管控单元，其中优先保护单元831个，重点管控单元519个，一般管控单元111个。近岸海域共划分为212个环境管控单元，其中优先保护单元101个，重点管控单元72个，一般管控单元39个。包括自治区总体生态环境准入及控制要求、四大板块生态环境总体准入及管控要求，四大板块分为北部湾经济区、左右江革命老区、西江经济带、桂林国际旅游胜地。项目位于北部湾港钦州港域，项目建设涉及近岸海域重点管控单元，项目与《广西壮族自治区生态环境准入及管控要求清单（试行）》（2023年）中近岸海域准入及管控要求、北部湾经济区准入及管控要求符合性分别见下表2.4-2、表2.4-3。由表可知，项目与《广西壮族自治区生态环境分区管控动态更新成果（2023年）》（2023年）管控要求相符。</w:t>
      </w:r>
    </w:p>
    <w:p w14:paraId="5EA82D93">
      <w:pPr>
        <w:pStyle w:val="5"/>
      </w:pPr>
      <w:r>
        <w:rPr>
          <w:rFonts w:hint="eastAsia"/>
        </w:rPr>
        <w:t>生态环境分区管控实施意见</w:t>
      </w:r>
      <w:r>
        <w:t>相符性分析</w:t>
      </w:r>
    </w:p>
    <w:p w14:paraId="74E93BBD">
      <w:pPr>
        <w:ind w:firstLine="462"/>
        <w:rPr>
          <w:lang w:val="zh-CN"/>
        </w:rPr>
      </w:pPr>
      <w:r>
        <w:rPr>
          <w:rFonts w:hint="eastAsia"/>
          <w:lang w:val="zh-CN"/>
        </w:rPr>
        <w:t>对照《钦州市生态环境局关于印发《</w:t>
      </w:r>
      <w:bookmarkStart w:id="319" w:name="OLE_LINK60"/>
      <w:r>
        <w:rPr>
          <w:rFonts w:hint="eastAsia"/>
          <w:lang w:val="zh-CN"/>
        </w:rPr>
        <w:t>钦州市生态环境分区管控动态更新成果</w:t>
      </w:r>
      <w:bookmarkEnd w:id="319"/>
      <w:r>
        <w:rPr>
          <w:rFonts w:hint="eastAsia"/>
          <w:lang w:val="zh-CN"/>
        </w:rPr>
        <w:t>（2023版）》的通知》，项目与钦州市生态环境准入及管控要求相符性分析见表2.4-4；项目涉及广西钦州保税港区重点管控单元、钦州市大榄坪工业与城镇用海区（大榄坪工矿通信用海区），项目与涉及的重点管控要求相符性见表2.4-5。对照生态准入及管控要求，项目与钦州市生态环境分区管控要求相符。</w:t>
      </w:r>
    </w:p>
    <w:p w14:paraId="4F2FE4F2">
      <w:pPr>
        <w:ind w:firstLine="462"/>
        <w:sectPr>
          <w:headerReference r:id="rId22" w:type="even"/>
          <w:pgSz w:w="11907" w:h="16840"/>
          <w:pgMar w:top="1440" w:right="1514" w:bottom="1440" w:left="1797" w:header="992" w:footer="851" w:gutter="284"/>
          <w:pgNumType w:fmt="numberInDash"/>
          <w:cols w:space="425" w:num="1"/>
          <w:docGrid w:type="linesAndChars" w:linePitch="465" w:charSpace="-1866"/>
        </w:sectPr>
      </w:pPr>
    </w:p>
    <w:p w14:paraId="18B55385">
      <w:pPr>
        <w:pStyle w:val="7"/>
      </w:pPr>
      <w:r>
        <w:rPr>
          <w:rFonts w:hint="eastAsia"/>
        </w:rPr>
        <w:t>近岸海域准入及管控要求一览表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59"/>
        <w:gridCol w:w="755"/>
        <w:gridCol w:w="821"/>
        <w:gridCol w:w="7087"/>
        <w:gridCol w:w="4854"/>
      </w:tblGrid>
      <w:tr w14:paraId="61DA46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0" w:type="auto"/>
            <w:vAlign w:val="center"/>
          </w:tcPr>
          <w:p w14:paraId="7F51D29B">
            <w:pPr>
              <w:pStyle w:val="34"/>
            </w:pPr>
            <w:r>
              <w:rPr>
                <w:rFonts w:hint="eastAsia"/>
              </w:rPr>
              <w:t>适用分区</w:t>
            </w:r>
          </w:p>
        </w:tc>
        <w:tc>
          <w:tcPr>
            <w:tcW w:w="0" w:type="auto"/>
            <w:vAlign w:val="center"/>
          </w:tcPr>
          <w:p w14:paraId="0109747B">
            <w:pPr>
              <w:pStyle w:val="34"/>
            </w:pPr>
            <w:r>
              <w:rPr>
                <w:rFonts w:hint="eastAsia"/>
              </w:rPr>
              <w:t>适用对象</w:t>
            </w:r>
          </w:p>
        </w:tc>
        <w:tc>
          <w:tcPr>
            <w:tcW w:w="821" w:type="dxa"/>
            <w:vAlign w:val="center"/>
          </w:tcPr>
          <w:p w14:paraId="62C64303">
            <w:pPr>
              <w:pStyle w:val="34"/>
            </w:pPr>
            <w:r>
              <w:rPr>
                <w:rFonts w:hint="eastAsia"/>
              </w:rPr>
              <w:t>管控要求类别</w:t>
            </w:r>
          </w:p>
        </w:tc>
        <w:tc>
          <w:tcPr>
            <w:tcW w:w="7087" w:type="dxa"/>
            <w:vAlign w:val="center"/>
          </w:tcPr>
          <w:p w14:paraId="6B05A9FF">
            <w:pPr>
              <w:pStyle w:val="34"/>
            </w:pPr>
            <w:r>
              <w:rPr>
                <w:rFonts w:hint="eastAsia"/>
              </w:rPr>
              <w:t>生态环境准入及管控要求</w:t>
            </w:r>
          </w:p>
        </w:tc>
        <w:tc>
          <w:tcPr>
            <w:tcW w:w="4854" w:type="dxa"/>
            <w:vAlign w:val="center"/>
          </w:tcPr>
          <w:p w14:paraId="5357941F">
            <w:pPr>
              <w:pStyle w:val="34"/>
            </w:pPr>
            <w:r>
              <w:rPr>
                <w:rFonts w:hint="eastAsia"/>
              </w:rPr>
              <w:t>相符性分析</w:t>
            </w:r>
          </w:p>
        </w:tc>
      </w:tr>
      <w:tr w14:paraId="1B23F9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gridSpan w:val="5"/>
          </w:tcPr>
          <w:p w14:paraId="0DC008F3">
            <w:pPr>
              <w:pStyle w:val="34"/>
            </w:pPr>
            <w:r>
              <w:rPr>
                <w:rFonts w:hint="eastAsia"/>
              </w:rPr>
              <w:t>近岸海域总体准入要求</w:t>
            </w:r>
          </w:p>
        </w:tc>
      </w:tr>
      <w:tr w14:paraId="697ACF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4E376338">
            <w:pPr>
              <w:pStyle w:val="34"/>
              <w:rPr>
                <w:b/>
              </w:rPr>
            </w:pPr>
            <w:r>
              <w:rPr>
                <w:rFonts w:hint="eastAsia"/>
              </w:rPr>
              <w:t>全自治区海域</w:t>
            </w:r>
          </w:p>
        </w:tc>
        <w:tc>
          <w:tcPr>
            <w:tcW w:w="0" w:type="auto"/>
            <w:vAlign w:val="center"/>
          </w:tcPr>
          <w:p w14:paraId="3DE633AF">
            <w:pPr>
              <w:pStyle w:val="34"/>
              <w:rPr>
                <w:b/>
              </w:rPr>
            </w:pPr>
            <w:r>
              <w:rPr>
                <w:rFonts w:hint="eastAsia"/>
              </w:rPr>
              <w:t>全自治区海域</w:t>
            </w:r>
          </w:p>
        </w:tc>
        <w:tc>
          <w:tcPr>
            <w:tcW w:w="821" w:type="dxa"/>
            <w:vAlign w:val="center"/>
          </w:tcPr>
          <w:p w14:paraId="4359A055">
            <w:pPr>
              <w:pStyle w:val="34"/>
              <w:rPr>
                <w:b/>
              </w:rPr>
            </w:pPr>
            <w:r>
              <w:rPr>
                <w:rFonts w:hint="eastAsia"/>
              </w:rPr>
              <w:t>空间布局约束</w:t>
            </w:r>
          </w:p>
        </w:tc>
        <w:tc>
          <w:tcPr>
            <w:tcW w:w="7087" w:type="dxa"/>
          </w:tcPr>
          <w:p w14:paraId="6068BBF6">
            <w:pPr>
              <w:pStyle w:val="34"/>
              <w:rPr>
                <w:b/>
              </w:rPr>
            </w:pPr>
            <w:r>
              <w:rPr>
                <w:rFonts w:hint="eastAsia"/>
              </w:rPr>
              <w:t>1．严格限制在生态脆弱敏感、自净能力弱的海域实施围填海行为，严禁国家产业政策淘汰类、限制类项目在滨海湿地布局。2．强化近岸排污口入海污染物管控，严格按照相关法律法规及国土空间用途管制等要求，规范设置和监管入海排污口。有条件的地区，应当将排污口深水设置，实行离岸排放。3．禁止在依法划定的自然保护地、重要渔业水域及其他需要特别保护的区域，违法建设污染环境、破坏生态的工程建设项目或者从事其他活动。禁止在严格保护岸线范围内开采海砂。4．加强水生生物重要生境以及自然岸线、红树林、湿地保护。红树林严格按照《广西壮族自治区红树林资源保护条例》进行管控。重要湿地严格按照《中华人民共和国湿地保护法》《广西壮族自治区湿地保护条例》进行管控。5．确需在生态保护红线区内进行渔业及其执法码头、陆岛交通码头、道路交通、航道锚地、海底管线等公益或公共基础设施建设的，要经严格科学论证并经相关主管部门审批后方可准入。</w:t>
            </w:r>
          </w:p>
        </w:tc>
        <w:tc>
          <w:tcPr>
            <w:tcW w:w="4854" w:type="dxa"/>
            <w:vAlign w:val="center"/>
          </w:tcPr>
          <w:p w14:paraId="2CFFB977">
            <w:pPr>
              <w:pStyle w:val="34"/>
              <w:rPr>
                <w:b/>
              </w:rPr>
            </w:pPr>
            <w:r>
              <w:rPr>
                <w:rFonts w:hint="eastAsia"/>
              </w:rPr>
              <w:t>1．本项目不属于国家产业政策淘汰类、限制类项目，项目选址位于钦州湾湾口，港口活动密集，不属于生态脆弱敏感及自净能力弱的海域。 2．项目不设置入海排污口。3．项目工程建设不占用自然保护地、重要渔业水域及其他需要特别保护的区域。4．项目所在区域岸线均为围填海形成，不涉及水生生物重要生境以及自然岸线、红树林、湿地等。5．本项目用海位于划定的交通运输用海区，不占用海洋生态保护红线区。符合。</w:t>
            </w:r>
          </w:p>
        </w:tc>
      </w:tr>
      <w:tr w14:paraId="3A5066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gridSpan w:val="5"/>
            <w:vAlign w:val="center"/>
          </w:tcPr>
          <w:p w14:paraId="277E7B64">
            <w:pPr>
              <w:pStyle w:val="34"/>
            </w:pPr>
            <w:r>
              <w:rPr>
                <w:rFonts w:hint="eastAsia"/>
              </w:rPr>
              <w:t>近岸海域重点管控区总体准入要求</w:t>
            </w:r>
          </w:p>
        </w:tc>
      </w:tr>
      <w:tr w14:paraId="0A541A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398288CD">
            <w:pPr>
              <w:pStyle w:val="34"/>
              <w:rPr>
                <w:b/>
              </w:rPr>
            </w:pPr>
            <w:r>
              <w:rPr>
                <w:rFonts w:hint="eastAsia"/>
              </w:rPr>
              <w:t>重点管控单元</w:t>
            </w:r>
          </w:p>
        </w:tc>
        <w:tc>
          <w:tcPr>
            <w:tcW w:w="0" w:type="auto"/>
            <w:vAlign w:val="center"/>
          </w:tcPr>
          <w:p w14:paraId="5FC6EB06">
            <w:pPr>
              <w:pStyle w:val="34"/>
              <w:rPr>
                <w:b/>
              </w:rPr>
            </w:pPr>
            <w:r>
              <w:rPr>
                <w:rFonts w:hint="eastAsia"/>
              </w:rPr>
              <w:t>海洋重点开发区域</w:t>
            </w:r>
          </w:p>
        </w:tc>
        <w:tc>
          <w:tcPr>
            <w:tcW w:w="821" w:type="dxa"/>
            <w:vAlign w:val="center"/>
          </w:tcPr>
          <w:p w14:paraId="6D333B1D">
            <w:pPr>
              <w:pStyle w:val="34"/>
              <w:rPr>
                <w:b/>
              </w:rPr>
            </w:pPr>
            <w:r>
              <w:rPr>
                <w:rFonts w:hint="eastAsia"/>
              </w:rPr>
              <w:t>空间布局约束</w:t>
            </w:r>
          </w:p>
        </w:tc>
        <w:tc>
          <w:tcPr>
            <w:tcW w:w="7087" w:type="dxa"/>
          </w:tcPr>
          <w:p w14:paraId="616FC3FD">
            <w:pPr>
              <w:pStyle w:val="34"/>
              <w:rPr>
                <w:b/>
              </w:rPr>
            </w:pPr>
            <w:r>
              <w:rPr>
                <w:rFonts w:hint="eastAsia"/>
              </w:rPr>
              <w:t>1．严控新增围填海造地。除国家重大战略项目外，全面停止新增围填海项目审批。新增围填海项目要同步强化生态保护修复，边施工边修复，最大程度避免降低生态系统服务功能。 2．全区海洋经济活动主要承载区域，沿海地区工业化与城镇化发展空间拓展区域。 3．实施据点式集约开发，严格控制开发活动规模和范围，形成现代海洋产业集群。 4．统筹规划港口、桥梁、隧道及其配套设施等海洋工程建设，形成陆海协调、安全高效的基础设施网络。 5．加强对重大海洋工程特别是围填海项目的环境影响评价，严格监控临港工业集中区和重大海洋工程施工，防止破坏和污染近岸海洋生态环境。 6．加强海洋防灾减灾能力建设。 7．原则上限制开发利用区域内无居民海岛，国家战略需要、允许开发利用无居民海岛的开发利用，须按照相关法律规定进行。 8．港口航运区域应符合以下管控要求：（1）严格按照港口总体规划准入项目。（2）禁止在港区、锚地、航道、通航密集区、航道与码头前沿线之间的海域以及规定的航路内准入与航运无关、或有碍航行安全的项目。（3）禁止准入渔业增养殖、捕捞等项目。（4）严格控制准入排放含油废水项目。（5）港口航道区建设要注意保护临近生态环境。</w:t>
            </w:r>
          </w:p>
        </w:tc>
        <w:tc>
          <w:tcPr>
            <w:tcW w:w="4854" w:type="dxa"/>
            <w:vAlign w:val="center"/>
          </w:tcPr>
          <w:p w14:paraId="17BEB5E0">
            <w:pPr>
              <w:pStyle w:val="34"/>
              <w:rPr>
                <w:b/>
              </w:rPr>
            </w:pPr>
            <w:r>
              <w:rPr>
                <w:rFonts w:hint="eastAsia"/>
              </w:rPr>
              <w:t>1．项目不涉及新增围填海。2．项目为《北部湾港总体规划（2035年）》中规划港口，符合规划统筹建设规模及泊位功能要求。3．项目不属于限制开发利用区域内无居民海岛。4．项目疏浚、炸礁等在本次评价中提出生态损失补偿并纳入环保投资。符合。</w:t>
            </w:r>
          </w:p>
        </w:tc>
      </w:tr>
    </w:tbl>
    <w:p w14:paraId="578D8A0B">
      <w:pPr>
        <w:pStyle w:val="7"/>
      </w:pPr>
      <w:r>
        <w:t>北部湾经济区生态环境准入及管控要求一览表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98"/>
        <w:gridCol w:w="993"/>
        <w:gridCol w:w="992"/>
        <w:gridCol w:w="8057"/>
        <w:gridCol w:w="3436"/>
      </w:tblGrid>
      <w:tr w14:paraId="23C1DF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98" w:type="dxa"/>
            <w:vAlign w:val="center"/>
          </w:tcPr>
          <w:p w14:paraId="6BF5AAC0">
            <w:pPr>
              <w:pStyle w:val="34"/>
            </w:pPr>
            <w:r>
              <w:rPr>
                <w:rFonts w:hint="eastAsia"/>
              </w:rPr>
              <w:t>适用分区</w:t>
            </w:r>
          </w:p>
        </w:tc>
        <w:tc>
          <w:tcPr>
            <w:tcW w:w="993" w:type="dxa"/>
            <w:vAlign w:val="center"/>
          </w:tcPr>
          <w:p w14:paraId="4AA47106">
            <w:pPr>
              <w:pStyle w:val="34"/>
            </w:pPr>
            <w:r>
              <w:rPr>
                <w:rFonts w:hint="eastAsia"/>
              </w:rPr>
              <w:t>适用</w:t>
            </w:r>
          </w:p>
          <w:p w14:paraId="2190D4F7">
            <w:pPr>
              <w:pStyle w:val="34"/>
            </w:pPr>
            <w:r>
              <w:rPr>
                <w:rFonts w:hint="eastAsia"/>
              </w:rPr>
              <w:t>对象</w:t>
            </w:r>
          </w:p>
        </w:tc>
        <w:tc>
          <w:tcPr>
            <w:tcW w:w="992" w:type="dxa"/>
            <w:vAlign w:val="center"/>
          </w:tcPr>
          <w:p w14:paraId="4C46BCC7">
            <w:pPr>
              <w:pStyle w:val="34"/>
            </w:pPr>
            <w:r>
              <w:rPr>
                <w:rFonts w:hint="eastAsia"/>
              </w:rPr>
              <w:t>管控要求类别</w:t>
            </w:r>
          </w:p>
        </w:tc>
        <w:tc>
          <w:tcPr>
            <w:tcW w:w="8057" w:type="dxa"/>
            <w:vAlign w:val="center"/>
          </w:tcPr>
          <w:p w14:paraId="50C50F36">
            <w:pPr>
              <w:pStyle w:val="34"/>
            </w:pPr>
            <w:r>
              <w:rPr>
                <w:rFonts w:hint="eastAsia"/>
              </w:rPr>
              <w:t>生态环境准入及管控要求</w:t>
            </w:r>
          </w:p>
        </w:tc>
        <w:tc>
          <w:tcPr>
            <w:tcW w:w="3436" w:type="dxa"/>
            <w:vAlign w:val="center"/>
          </w:tcPr>
          <w:p w14:paraId="32E55A31">
            <w:pPr>
              <w:pStyle w:val="34"/>
            </w:pPr>
            <w:r>
              <w:rPr>
                <w:rFonts w:hint="eastAsia"/>
              </w:rPr>
              <w:t>相符性分析</w:t>
            </w:r>
          </w:p>
        </w:tc>
      </w:tr>
      <w:tr w14:paraId="0FBBAE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gridSpan w:val="5"/>
          </w:tcPr>
          <w:p w14:paraId="5FB722B7">
            <w:pPr>
              <w:pStyle w:val="34"/>
            </w:pPr>
            <w:r>
              <w:rPr>
                <w:rFonts w:hint="eastAsia"/>
              </w:rPr>
              <w:t>北部湾经济区生态环境总体准入及管控要求</w:t>
            </w:r>
          </w:p>
        </w:tc>
      </w:tr>
      <w:tr w14:paraId="4911EB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65" w:hRule="atLeast"/>
        </w:trPr>
        <w:tc>
          <w:tcPr>
            <w:tcW w:w="698" w:type="dxa"/>
            <w:vMerge w:val="restart"/>
            <w:vAlign w:val="center"/>
          </w:tcPr>
          <w:p w14:paraId="2E1323AB">
            <w:pPr>
              <w:pStyle w:val="34"/>
              <w:rPr>
                <w:b/>
              </w:rPr>
            </w:pPr>
            <w:r>
              <w:rPr>
                <w:rFonts w:hint="eastAsia"/>
              </w:rPr>
              <w:t>北部湾经济区全部分区</w:t>
            </w:r>
          </w:p>
        </w:tc>
        <w:tc>
          <w:tcPr>
            <w:tcW w:w="993" w:type="dxa"/>
            <w:vMerge w:val="restart"/>
            <w:vAlign w:val="center"/>
          </w:tcPr>
          <w:p w14:paraId="2F4C1324">
            <w:pPr>
              <w:pStyle w:val="34"/>
              <w:rPr>
                <w:b/>
              </w:rPr>
            </w:pPr>
            <w:r>
              <w:rPr>
                <w:rFonts w:hint="eastAsia"/>
              </w:rPr>
              <w:t>北部湾经济区（本清单适用于南宁市、北海市、钦州市、防城港市、玉林市、崇左市）</w:t>
            </w:r>
          </w:p>
        </w:tc>
        <w:tc>
          <w:tcPr>
            <w:tcW w:w="992" w:type="dxa"/>
            <w:vAlign w:val="center"/>
          </w:tcPr>
          <w:p w14:paraId="14871284">
            <w:pPr>
              <w:pStyle w:val="34"/>
              <w:rPr>
                <w:b/>
              </w:rPr>
            </w:pPr>
            <w:r>
              <w:rPr>
                <w:rFonts w:hint="eastAsia"/>
              </w:rPr>
              <w:t>空间布局约束</w:t>
            </w:r>
          </w:p>
        </w:tc>
        <w:tc>
          <w:tcPr>
            <w:tcW w:w="8057" w:type="dxa"/>
          </w:tcPr>
          <w:p w14:paraId="1CDDFB8A">
            <w:pPr>
              <w:pStyle w:val="34"/>
              <w:rPr>
                <w:b/>
              </w:rPr>
            </w:pPr>
            <w:r>
              <w:rPr>
                <w:rFonts w:hint="eastAsia"/>
              </w:rPr>
              <w:t>1．坚持高质量发展和高水平保护并重，引领广西高质量发展的重要增长极和成为具有区域影响力和带动力的重要增长极，建设宜居宜业宜游蓝色生态湾区。2．实行严格的资源环境生态红线管控，合理开发和节约资源，加强对水源林、防护林、湿地等生态系统的保护与修复。3．加大滨海湿地保护和修复力度，对红树林、珊瑚礁、海草床等重要海洋生态系统实行最严格的保护措施，加强珍稀濒危物种及重要海洋生态系统的生境保护。加强沿海防护林体系建设，加强对防城江、北仑河、钦江等重要江河源头区、湖库型饮用水源地等区域水土流失预防。推进互花米草防治。4．严格围填海管控，禁止在海域内实施连岛行动。保护北部湾自然岸线，严格控制岸线利用项目准入门槛。合理有序开发利用滩涂资源。5．南流江流域、廉州湾海域超过环境承载力的县市区严格区域主要污染物管控要求，新改扩“两高”、重点行业建设项目实行主要污染物区域削减方案。廉州湾沿岸新设排污口选址必须符合《中华人民共和国海洋环境保护法》《</w:t>
            </w:r>
            <w:r>
              <w:rPr>
                <w:rFonts w:hint="eastAsia"/>
                <w:lang w:eastAsia="zh-CN"/>
              </w:rPr>
              <w:t>中华人民共和国防治陆源污染物污染损害海洋环境管理条例</w:t>
            </w:r>
            <w:r>
              <w:rPr>
                <w:rFonts w:hint="eastAsia"/>
              </w:rPr>
              <w:t>》等有关规定。6．依法依规推动落后产能有序退出。7．严禁占用运河沿线两岸1公里范围内预留作为生态廊道的用地，科学规划平陆运河沿岸生态廊道空间和开发保护核心管制区。8．执行平陆运河绿色工程防范管控重点清单、打造特色亮点清单，平陆运河绿色工程评估指标体系。</w:t>
            </w:r>
          </w:p>
        </w:tc>
        <w:tc>
          <w:tcPr>
            <w:tcW w:w="3436" w:type="dxa"/>
            <w:vAlign w:val="center"/>
          </w:tcPr>
          <w:p w14:paraId="0B07AFB5">
            <w:pPr>
              <w:pStyle w:val="34"/>
              <w:rPr>
                <w:b/>
              </w:rPr>
            </w:pPr>
            <w:r>
              <w:rPr>
                <w:rFonts w:hint="eastAsia"/>
              </w:rPr>
              <w:t>1．项目建设提升大榄坪南作业区自动化集装箱泊位吞吐能力，有效推动大榄坪港区货物集疏运能力。</w:t>
            </w:r>
          </w:p>
          <w:p w14:paraId="40EC6CAC">
            <w:pPr>
              <w:pStyle w:val="34"/>
              <w:rPr>
                <w:b/>
              </w:rPr>
            </w:pPr>
            <w:r>
              <w:rPr>
                <w:rFonts w:hint="eastAsia"/>
              </w:rPr>
              <w:t>2．项目工程建设用海不涉及海洋生态红线、水源林、防护林湿地等保护生态系统。3．项目不涉及滨海湿地、红树林、珊瑚礁、海草床等重要海洋生态系统。4．项目不涉及新增围填海。5．项目不属于落后产能项目。符合。</w:t>
            </w:r>
          </w:p>
        </w:tc>
      </w:tr>
      <w:tr w14:paraId="56EB46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98" w:type="dxa"/>
            <w:vMerge w:val="continue"/>
            <w:vAlign w:val="center"/>
          </w:tcPr>
          <w:p w14:paraId="4F96F2CB">
            <w:pPr>
              <w:pStyle w:val="34"/>
              <w:rPr>
                <w:b/>
              </w:rPr>
            </w:pPr>
          </w:p>
        </w:tc>
        <w:tc>
          <w:tcPr>
            <w:tcW w:w="993" w:type="dxa"/>
            <w:vMerge w:val="continue"/>
            <w:vAlign w:val="center"/>
          </w:tcPr>
          <w:p w14:paraId="6CED4430">
            <w:pPr>
              <w:pStyle w:val="34"/>
              <w:rPr>
                <w:b/>
              </w:rPr>
            </w:pPr>
          </w:p>
        </w:tc>
        <w:tc>
          <w:tcPr>
            <w:tcW w:w="992" w:type="dxa"/>
            <w:vAlign w:val="center"/>
          </w:tcPr>
          <w:p w14:paraId="655DDB99">
            <w:pPr>
              <w:pStyle w:val="34"/>
              <w:rPr>
                <w:b/>
              </w:rPr>
            </w:pPr>
            <w:r>
              <w:rPr>
                <w:rFonts w:hint="eastAsia"/>
              </w:rPr>
              <w:t>污染物排放管控</w:t>
            </w:r>
          </w:p>
        </w:tc>
        <w:tc>
          <w:tcPr>
            <w:tcW w:w="8057" w:type="dxa"/>
          </w:tcPr>
          <w:p w14:paraId="5CBE67A7">
            <w:pPr>
              <w:pStyle w:val="34"/>
              <w:rPr>
                <w:b/>
              </w:rPr>
            </w:pPr>
            <w:r>
              <w:rPr>
                <w:rFonts w:hint="eastAsia"/>
              </w:rPr>
              <w:t>1．坚持陆海统筹，强化重大海域、入海河流、海岸带的生态环境统筹协同管控，开展北部湾沿海城市生态环境综合治理。推行河长制、湖长制，持续推进钦江、南流江、九洲江等流域综合治理，鼓励施行生态养殖和清洁生产，从源头控制生产、生活污水排放。推行湾长制，协同推进近岸海域污染治理，实施蓝色海湾整治行动和北部湾入海河流综合治理工程，严格控制水产养殖污染、港口码头船舶污染、采沙污染。2．围绕建设蓝色海湾城市群，深入推进北钦防生态环境基础设施一体化，统筹推进北钦防三市生态环境齐保共治。加强港口码头环境保护基础设施建设，重点加强有色矿产、硫磺、煤等堆场配套环保设施建设。建立生态环境联防联治平台和机制，推动建立北部湾城市群跨行政区生态环境保护和生态补偿机制。3．推进区域大气污染联防联控。共同开展重点行业污染整治和重污染天气联合应对，加强挥发性有机化合物（VOCs）和氮氧化物（NOx）协同控制，协同应对区域多污染物，联合开展空气污染综合治理，改善空气质量。严格城市空气质量达标管理，改善城市环境空气质量，对大气质量改善进度进行监督和考核。4．严格控制“两高”行业项目布局和建设，提升“两高”行业清洁生产和减污降碳水平。以碳达峰、碳中和愿景为导向，推动产业转型升级、能源结构优化。开展碳排放权、排污权交易试点。重点管控行业建设项目无主要污染物排放指标来源的，应提出有效的区域削减方案，确保项目投产后区域环境质量不恶化。5．以平陆运河、北部湾港为重点，加强船舶和港口污染防治，加快淘汰老旧船舶，鼓励引导高能耗船舶技术改造升级和提前退出。推动新能源、清洁能源动力船舶应用，加快港口供电设施建设，提高船舶岸电设施使用率。6．平陆运河沿线城市实施生活污水集中处理设施能力提升全覆盖工程，开展城市污水处理设施差别化精准提标改造。</w:t>
            </w:r>
          </w:p>
        </w:tc>
        <w:tc>
          <w:tcPr>
            <w:tcW w:w="3436" w:type="dxa"/>
            <w:vAlign w:val="center"/>
          </w:tcPr>
          <w:p w14:paraId="0F9B612A">
            <w:pPr>
              <w:pStyle w:val="34"/>
              <w:rPr>
                <w:b/>
              </w:rPr>
            </w:pPr>
            <w:r>
              <w:rPr>
                <w:rFonts w:hint="eastAsia"/>
              </w:rPr>
              <w:t>1．项目到港船舶污染物均由有资质单位转运处理，陆域生活垃圾由环保部门清运，生活污水进入大榄坪污水处理厂不外排。2．项目为集装箱码头，不设置有色矿产、硫磺、煤等堆场，在采取各项环保措施前提下，对海域环境影响可以接受。3．项目运营期大气环境污染主要为车辆燃油尾气及车辆道路扬尘，均能达到《大气污染物综合排放标准》（GB20426-2006）排放限值要求。4．项目不属于高污染、高排放“两高”行业项目。项目位于北部湾港钦州港域，项目设置岸电接入设施，停靠船舶可使用岸电替代燃油，停靠时无船舶大气污染物排放。符合。</w:t>
            </w:r>
          </w:p>
        </w:tc>
      </w:tr>
      <w:tr w14:paraId="5DACB3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98" w:type="dxa"/>
            <w:vMerge w:val="continue"/>
            <w:vAlign w:val="center"/>
          </w:tcPr>
          <w:p w14:paraId="1AFD5A59">
            <w:pPr>
              <w:pStyle w:val="34"/>
              <w:rPr>
                <w:b/>
              </w:rPr>
            </w:pPr>
          </w:p>
        </w:tc>
        <w:tc>
          <w:tcPr>
            <w:tcW w:w="993" w:type="dxa"/>
            <w:vMerge w:val="continue"/>
            <w:vAlign w:val="center"/>
          </w:tcPr>
          <w:p w14:paraId="047FCFBE">
            <w:pPr>
              <w:pStyle w:val="34"/>
              <w:rPr>
                <w:b/>
              </w:rPr>
            </w:pPr>
          </w:p>
        </w:tc>
        <w:tc>
          <w:tcPr>
            <w:tcW w:w="992" w:type="dxa"/>
            <w:vAlign w:val="center"/>
          </w:tcPr>
          <w:p w14:paraId="36516379">
            <w:pPr>
              <w:pStyle w:val="34"/>
              <w:rPr>
                <w:b/>
              </w:rPr>
            </w:pPr>
            <w:r>
              <w:rPr>
                <w:rFonts w:hint="eastAsia"/>
              </w:rPr>
              <w:t>环境风险防控</w:t>
            </w:r>
          </w:p>
        </w:tc>
        <w:tc>
          <w:tcPr>
            <w:tcW w:w="8057" w:type="dxa"/>
          </w:tcPr>
          <w:p w14:paraId="6B61DC51">
            <w:pPr>
              <w:pStyle w:val="34"/>
              <w:rPr>
                <w:b/>
              </w:rPr>
            </w:pPr>
            <w:r>
              <w:rPr>
                <w:rFonts w:hint="eastAsia"/>
              </w:rPr>
              <w:t>1．强化沿海工业园区和沿海石油、石化、化工、冶炼及危化品储运等企业的环境风险防控。2．建立和完善海上溢油、危险化学品泄漏、赤潮应急反应预案，提升应对海洋突发环境事件能力，防范海上溢油、危险化学品泄漏等重大环境风险。加强海洋环境监测，实施海洋环境预警预报工程。3．实行严格的核污染监控管理，提升核安全治理能力，提高核设施安全水平，降低核安全风险，推进放射性污染防治，确保辐射环境质量保持良好，强化核辐射安全监管体系，消除核安全隐患。</w:t>
            </w:r>
          </w:p>
        </w:tc>
        <w:tc>
          <w:tcPr>
            <w:tcW w:w="3436" w:type="dxa"/>
            <w:vAlign w:val="center"/>
          </w:tcPr>
          <w:p w14:paraId="244DF495">
            <w:pPr>
              <w:pStyle w:val="34"/>
              <w:rPr>
                <w:b/>
              </w:rPr>
            </w:pPr>
            <w:r>
              <w:rPr>
                <w:rFonts w:hint="eastAsia"/>
              </w:rPr>
              <w:t>项目运营后按要求开展风险评估，制订突发环境应急预案，健全企业应急制度管理。符合</w:t>
            </w:r>
          </w:p>
        </w:tc>
      </w:tr>
      <w:tr w14:paraId="21B8CB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98" w:type="dxa"/>
            <w:vMerge w:val="continue"/>
            <w:vAlign w:val="center"/>
          </w:tcPr>
          <w:p w14:paraId="45821C7F">
            <w:pPr>
              <w:pStyle w:val="34"/>
              <w:rPr>
                <w:b/>
              </w:rPr>
            </w:pPr>
          </w:p>
        </w:tc>
        <w:tc>
          <w:tcPr>
            <w:tcW w:w="993" w:type="dxa"/>
            <w:vMerge w:val="continue"/>
            <w:vAlign w:val="center"/>
          </w:tcPr>
          <w:p w14:paraId="2B8C0C54">
            <w:pPr>
              <w:pStyle w:val="34"/>
              <w:rPr>
                <w:b/>
              </w:rPr>
            </w:pPr>
          </w:p>
        </w:tc>
        <w:tc>
          <w:tcPr>
            <w:tcW w:w="992" w:type="dxa"/>
            <w:vAlign w:val="center"/>
          </w:tcPr>
          <w:p w14:paraId="36C1C457">
            <w:pPr>
              <w:pStyle w:val="34"/>
              <w:rPr>
                <w:b/>
              </w:rPr>
            </w:pPr>
            <w:r>
              <w:rPr>
                <w:rFonts w:hint="eastAsia"/>
              </w:rPr>
              <w:t>资源开发利用效率</w:t>
            </w:r>
          </w:p>
        </w:tc>
        <w:tc>
          <w:tcPr>
            <w:tcW w:w="8057" w:type="dxa"/>
            <w:vAlign w:val="center"/>
          </w:tcPr>
          <w:p w14:paraId="4295FE92">
            <w:pPr>
              <w:pStyle w:val="34"/>
              <w:rPr>
                <w:b/>
              </w:rPr>
            </w:pPr>
            <w:r>
              <w:rPr>
                <w:rFonts w:hint="eastAsia"/>
              </w:rPr>
              <w:t>1．严格执行能耗“双控”，新建项目能源利用效率应达到国内先进水平。 2．实施水资源消耗总量和强度“双控”。</w:t>
            </w:r>
          </w:p>
        </w:tc>
        <w:tc>
          <w:tcPr>
            <w:tcW w:w="3436" w:type="dxa"/>
            <w:vAlign w:val="center"/>
          </w:tcPr>
          <w:p w14:paraId="0F53ED06">
            <w:pPr>
              <w:pStyle w:val="34"/>
              <w:rPr>
                <w:b/>
              </w:rPr>
            </w:pPr>
            <w:r>
              <w:t>不涉及</w:t>
            </w:r>
          </w:p>
        </w:tc>
      </w:tr>
    </w:tbl>
    <w:p w14:paraId="21760B04">
      <w:pPr>
        <w:ind w:firstLine="462"/>
        <w:sectPr>
          <w:pgSz w:w="16840" w:h="11907" w:orient="landscape"/>
          <w:pgMar w:top="1304" w:right="1440" w:bottom="1418" w:left="1440" w:header="992" w:footer="851" w:gutter="284"/>
          <w:pgNumType w:fmt="numberInDash"/>
          <w:cols w:space="425" w:num="1"/>
          <w:docGrid w:type="linesAndChars" w:linePitch="465" w:charSpace="-1866"/>
        </w:sectPr>
      </w:pPr>
    </w:p>
    <w:p w14:paraId="05BE5BE2">
      <w:pPr>
        <w:pStyle w:val="7"/>
      </w:pPr>
      <w:r>
        <w:rPr>
          <w:rFonts w:hint="eastAsia"/>
        </w:rPr>
        <w:t>项目与钦州市生态环境准入及管控要求清单相符性分析（摘录）</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40"/>
        <w:gridCol w:w="5460"/>
        <w:gridCol w:w="2368"/>
      </w:tblGrid>
      <w:tr w14:paraId="47700E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534" w:type="dxa"/>
            <w:tcMar>
              <w:left w:w="28" w:type="dxa"/>
              <w:right w:w="28" w:type="dxa"/>
            </w:tcMar>
            <w:vAlign w:val="center"/>
          </w:tcPr>
          <w:p w14:paraId="72D794A9">
            <w:pPr>
              <w:pStyle w:val="34"/>
            </w:pPr>
            <w:r>
              <w:t>管控类别</w:t>
            </w:r>
          </w:p>
        </w:tc>
        <w:tc>
          <w:tcPr>
            <w:tcW w:w="5404" w:type="dxa"/>
            <w:tcMar>
              <w:left w:w="28" w:type="dxa"/>
              <w:right w:w="28" w:type="dxa"/>
            </w:tcMar>
            <w:vAlign w:val="center"/>
          </w:tcPr>
          <w:p w14:paraId="536F1400">
            <w:pPr>
              <w:pStyle w:val="34"/>
            </w:pPr>
            <w:r>
              <w:t>生态环境准入及管控要求</w:t>
            </w:r>
          </w:p>
        </w:tc>
        <w:tc>
          <w:tcPr>
            <w:tcW w:w="2344" w:type="dxa"/>
            <w:tcMar>
              <w:left w:w="28" w:type="dxa"/>
              <w:right w:w="28" w:type="dxa"/>
            </w:tcMar>
            <w:vAlign w:val="center"/>
          </w:tcPr>
          <w:p w14:paraId="675F2089">
            <w:pPr>
              <w:pStyle w:val="34"/>
            </w:pPr>
            <w:r>
              <w:t>相符性分析</w:t>
            </w:r>
          </w:p>
        </w:tc>
      </w:tr>
      <w:tr w14:paraId="77D7E1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restart"/>
            <w:tcMar>
              <w:left w:w="28" w:type="dxa"/>
              <w:right w:w="28" w:type="dxa"/>
            </w:tcMar>
            <w:vAlign w:val="center"/>
          </w:tcPr>
          <w:p w14:paraId="30DA99BF">
            <w:pPr>
              <w:pStyle w:val="34"/>
            </w:pPr>
            <w:r>
              <w:t>空间布局约束</w:t>
            </w:r>
          </w:p>
        </w:tc>
        <w:tc>
          <w:tcPr>
            <w:tcW w:w="5404" w:type="dxa"/>
            <w:tcMar>
              <w:left w:w="28" w:type="dxa"/>
              <w:right w:w="28" w:type="dxa"/>
            </w:tcMar>
            <w:vAlign w:val="center"/>
          </w:tcPr>
          <w:p w14:paraId="4D491019">
            <w:pPr>
              <w:pStyle w:val="34"/>
            </w:pPr>
            <w:r>
              <w:rPr>
                <w:rFonts w:hint="eastAsia"/>
                <w:color w:val="000000" w:themeColor="text1"/>
                <w14:textFill>
                  <w14:solidFill>
                    <w14:schemeClr w14:val="tx1"/>
                  </w14:solidFill>
                </w14:textFill>
              </w:rPr>
              <w:t>1．自然保护地、水源保护区、公益林、天然林等具有法律地位，有管理条例、规定、办法的各类保护地，其管控要求原则上按照各类保护地的现行规定进行管理，重叠区域以最严格的要求进行管理。纳入生态保护红线管理的各类自然保护地，还应执行国家、自治区有关生态保护红线内各类开发活动的准入及管控规定和要求。</w:t>
            </w:r>
          </w:p>
        </w:tc>
        <w:tc>
          <w:tcPr>
            <w:tcW w:w="2344" w:type="dxa"/>
            <w:tcMar>
              <w:left w:w="28" w:type="dxa"/>
              <w:right w:w="28" w:type="dxa"/>
            </w:tcMar>
            <w:vAlign w:val="center"/>
          </w:tcPr>
          <w:p w14:paraId="06FB7583">
            <w:pPr>
              <w:pStyle w:val="34"/>
            </w:pPr>
            <w:r>
              <w:rPr>
                <w:rFonts w:hint="eastAsia"/>
              </w:rPr>
              <w:t>项目不涉及所列各类保护地，位于划定的重点管控单元内。</w:t>
            </w:r>
            <w:r>
              <w:rPr>
                <w:rFonts w:hint="eastAsia"/>
                <w:bCs/>
              </w:rPr>
              <w:t>符合。</w:t>
            </w:r>
          </w:p>
        </w:tc>
      </w:tr>
      <w:tr w14:paraId="22F3B9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74" w:hRule="atLeast"/>
          <w:jc w:val="center"/>
        </w:trPr>
        <w:tc>
          <w:tcPr>
            <w:tcW w:w="534" w:type="dxa"/>
            <w:vMerge w:val="continue"/>
            <w:tcMar>
              <w:left w:w="28" w:type="dxa"/>
              <w:right w:w="28" w:type="dxa"/>
            </w:tcMar>
            <w:vAlign w:val="center"/>
          </w:tcPr>
          <w:p w14:paraId="2FF9A7CE">
            <w:pPr>
              <w:pStyle w:val="34"/>
            </w:pPr>
          </w:p>
        </w:tc>
        <w:tc>
          <w:tcPr>
            <w:tcW w:w="5404" w:type="dxa"/>
            <w:tcMar>
              <w:left w:w="28" w:type="dxa"/>
              <w:right w:w="28" w:type="dxa"/>
            </w:tcMar>
            <w:vAlign w:val="center"/>
          </w:tcPr>
          <w:p w14:paraId="17A74A5A">
            <w:pPr>
              <w:pStyle w:val="34"/>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红树林依据《广西壮族自治区红树林资源保护条例》进行管理。开展红树林修复要依法依规进行，并符合红树林资源保护规划等相关要求。</w:t>
            </w:r>
          </w:p>
        </w:tc>
        <w:tc>
          <w:tcPr>
            <w:tcW w:w="2344" w:type="dxa"/>
            <w:tcMar>
              <w:left w:w="28" w:type="dxa"/>
              <w:right w:w="28" w:type="dxa"/>
            </w:tcMar>
            <w:vAlign w:val="center"/>
          </w:tcPr>
          <w:p w14:paraId="07DC213C">
            <w:pPr>
              <w:pStyle w:val="34"/>
            </w:pPr>
            <w:r>
              <w:rPr>
                <w:rFonts w:hint="eastAsia"/>
              </w:rPr>
              <w:t>项目位于规划港区内，不涉及占用红树林资源。</w:t>
            </w:r>
            <w:r>
              <w:rPr>
                <w:rFonts w:hint="eastAsia"/>
                <w:bCs/>
              </w:rPr>
              <w:t>符合。</w:t>
            </w:r>
          </w:p>
        </w:tc>
      </w:tr>
      <w:tr w14:paraId="1FA67F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7B267171">
            <w:pPr>
              <w:pStyle w:val="34"/>
            </w:pPr>
          </w:p>
        </w:tc>
        <w:tc>
          <w:tcPr>
            <w:tcW w:w="5404" w:type="dxa"/>
            <w:tcMar>
              <w:left w:w="28" w:type="dxa"/>
              <w:right w:w="28" w:type="dxa"/>
            </w:tcMar>
            <w:vAlign w:val="center"/>
          </w:tcPr>
          <w:p w14:paraId="0CDAEF38">
            <w:pPr>
              <w:pStyle w:val="34"/>
            </w:pPr>
            <w:r>
              <w:rPr>
                <w:rFonts w:hint="eastAsia"/>
                <w:color w:val="000000" w:themeColor="text1"/>
                <w14:textFill>
                  <w14:solidFill>
                    <w14:schemeClr w14:val="tx1"/>
                  </w14:solidFill>
                </w14:textFill>
              </w:rPr>
              <w:t>8.禁止违法占用、损害自然岸线。海洋开发和海岸开发各类活动，大陆自然岸线保有率标准不低于35%、无居民海岛岸线长度保有率标准不低于85%。</w:t>
            </w:r>
          </w:p>
        </w:tc>
        <w:tc>
          <w:tcPr>
            <w:tcW w:w="2344" w:type="dxa"/>
            <w:tcMar>
              <w:left w:w="28" w:type="dxa"/>
              <w:right w:w="28" w:type="dxa"/>
            </w:tcMar>
            <w:vAlign w:val="center"/>
          </w:tcPr>
          <w:p w14:paraId="4617F1DD">
            <w:pPr>
              <w:pStyle w:val="34"/>
            </w:pPr>
            <w:r>
              <w:rPr>
                <w:rFonts w:hint="eastAsia"/>
              </w:rPr>
              <w:t>项目码头岸线利用9号10号泊位扩建工程南侧消浪护岸，不涉及占用自然岸线。</w:t>
            </w:r>
            <w:r>
              <w:rPr>
                <w:rFonts w:hint="eastAsia"/>
                <w:bCs/>
              </w:rPr>
              <w:t>符合。</w:t>
            </w:r>
          </w:p>
        </w:tc>
      </w:tr>
      <w:tr w14:paraId="543B22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5181D77A">
            <w:pPr>
              <w:pStyle w:val="34"/>
            </w:pPr>
          </w:p>
        </w:tc>
        <w:tc>
          <w:tcPr>
            <w:tcW w:w="5404" w:type="dxa"/>
            <w:tcMar>
              <w:left w:w="28" w:type="dxa"/>
              <w:right w:w="28" w:type="dxa"/>
            </w:tcMar>
            <w:vAlign w:val="center"/>
          </w:tcPr>
          <w:p w14:paraId="7D3454C2">
            <w:pPr>
              <w:pStyle w:val="34"/>
            </w:pPr>
            <w:r>
              <w:rPr>
                <w:rFonts w:hint="eastAsia"/>
                <w:color w:val="000000" w:themeColor="text1"/>
                <w14:textFill>
                  <w14:solidFill>
                    <w14:schemeClr w14:val="tx1"/>
                  </w14:solidFill>
                </w14:textFill>
              </w:rPr>
              <w:t>9.推进海域资源市场化配置，严控新增围填海造地，完善围填海总量管控，除国家重大战略项目外，全面停止新增围填海项目审批，全面清理非法占用海洋生态保护红线区域的围填海项目。</w:t>
            </w:r>
          </w:p>
        </w:tc>
        <w:tc>
          <w:tcPr>
            <w:tcW w:w="2344" w:type="dxa"/>
            <w:tcMar>
              <w:left w:w="28" w:type="dxa"/>
              <w:right w:w="28" w:type="dxa"/>
            </w:tcMar>
            <w:vAlign w:val="center"/>
          </w:tcPr>
          <w:p w14:paraId="5BA496D4">
            <w:pPr>
              <w:pStyle w:val="34"/>
            </w:pPr>
            <w:r>
              <w:rPr>
                <w:rFonts w:hint="eastAsia"/>
              </w:rPr>
              <w:t>项目不新增围填海。</w:t>
            </w:r>
            <w:r>
              <w:rPr>
                <w:rFonts w:hint="eastAsia"/>
                <w:bCs/>
              </w:rPr>
              <w:t>符合。</w:t>
            </w:r>
          </w:p>
        </w:tc>
      </w:tr>
      <w:tr w14:paraId="431779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7BAF0524">
            <w:pPr>
              <w:pStyle w:val="34"/>
            </w:pPr>
          </w:p>
        </w:tc>
        <w:tc>
          <w:tcPr>
            <w:tcW w:w="5404" w:type="dxa"/>
            <w:tcMar>
              <w:left w:w="28" w:type="dxa"/>
              <w:right w:w="28" w:type="dxa"/>
            </w:tcMar>
            <w:vAlign w:val="center"/>
          </w:tcPr>
          <w:p w14:paraId="0465274C">
            <w:pPr>
              <w:pStyle w:val="34"/>
            </w:pPr>
            <w:r>
              <w:rPr>
                <w:rFonts w:hint="eastAsia"/>
                <w:color w:val="000000" w:themeColor="text1"/>
                <w14:textFill>
                  <w14:solidFill>
                    <w14:schemeClr w14:val="tx1"/>
                  </w14:solidFill>
                </w14:textFill>
              </w:rPr>
              <w:t>10.科学论证在三娘湾海洋保护区、茅尾海中部海洋保护区及周边区域的开发利用活动，严格落实保护区管理要求。</w:t>
            </w:r>
          </w:p>
        </w:tc>
        <w:tc>
          <w:tcPr>
            <w:tcW w:w="2344" w:type="dxa"/>
            <w:tcMar>
              <w:left w:w="28" w:type="dxa"/>
              <w:right w:w="28" w:type="dxa"/>
            </w:tcMar>
            <w:vAlign w:val="center"/>
          </w:tcPr>
          <w:p w14:paraId="37A153C5">
            <w:pPr>
              <w:pStyle w:val="34"/>
            </w:pPr>
            <w:r>
              <w:rPr>
                <w:rFonts w:hint="eastAsia"/>
              </w:rPr>
              <w:t>项目位于规划港区，距离保护区有一定距离，在采取各项环保措施前提下，对海域环境影响可以接受。</w:t>
            </w:r>
            <w:r>
              <w:rPr>
                <w:rFonts w:hint="eastAsia"/>
                <w:bCs/>
              </w:rPr>
              <w:t>符合。</w:t>
            </w:r>
          </w:p>
        </w:tc>
      </w:tr>
      <w:tr w14:paraId="0967F9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768F4C57">
            <w:pPr>
              <w:pStyle w:val="34"/>
            </w:pPr>
          </w:p>
        </w:tc>
        <w:tc>
          <w:tcPr>
            <w:tcW w:w="5404" w:type="dxa"/>
            <w:tcMar>
              <w:left w:w="28" w:type="dxa"/>
              <w:right w:w="28" w:type="dxa"/>
            </w:tcMar>
            <w:vAlign w:val="center"/>
          </w:tcPr>
          <w:p w14:paraId="7270A5E1">
            <w:pPr>
              <w:pStyle w:val="34"/>
            </w:pPr>
            <w:r>
              <w:rPr>
                <w:rFonts w:hint="eastAsia"/>
              </w:rPr>
              <w:t>1</w:t>
            </w:r>
            <w:r>
              <w:t>1.</w:t>
            </w:r>
            <w:r>
              <w:rPr>
                <w:rFonts w:hint="eastAsia"/>
              </w:rPr>
              <w:t>严格按照相关法律法规及海洋国土空间规划等要求，规范设置和监管入海排污口。禁止采挖海砂、设置直排排污口及其他破坏河口生态功能的开发活动。</w:t>
            </w:r>
          </w:p>
        </w:tc>
        <w:tc>
          <w:tcPr>
            <w:tcW w:w="2344" w:type="dxa"/>
            <w:tcMar>
              <w:left w:w="28" w:type="dxa"/>
              <w:right w:w="28" w:type="dxa"/>
            </w:tcMar>
            <w:vAlign w:val="center"/>
          </w:tcPr>
          <w:p w14:paraId="6698A7BD">
            <w:pPr>
              <w:pStyle w:val="34"/>
            </w:pPr>
            <w:r>
              <w:rPr>
                <w:rFonts w:hint="eastAsia"/>
              </w:rPr>
              <w:t>项目生活污水排入市政管网，不在码头设置排污口。</w:t>
            </w:r>
            <w:r>
              <w:rPr>
                <w:rFonts w:hint="eastAsia"/>
                <w:bCs/>
              </w:rPr>
              <w:t>符合。</w:t>
            </w:r>
          </w:p>
        </w:tc>
      </w:tr>
      <w:tr w14:paraId="79CEE0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74D660B7">
            <w:pPr>
              <w:pStyle w:val="34"/>
            </w:pPr>
          </w:p>
        </w:tc>
        <w:tc>
          <w:tcPr>
            <w:tcW w:w="5404" w:type="dxa"/>
            <w:tcMar>
              <w:left w:w="28" w:type="dxa"/>
              <w:right w:w="28" w:type="dxa"/>
            </w:tcMar>
            <w:vAlign w:val="center"/>
          </w:tcPr>
          <w:p w14:paraId="5F4936F4">
            <w:pPr>
              <w:pStyle w:val="34"/>
            </w:pPr>
            <w:r>
              <w:rPr>
                <w:rFonts w:hint="eastAsia"/>
              </w:rPr>
              <w:t>12.严禁圈占沙滩和红树林，禁止红树林海岸带内陆采石等破坏性活动。对红树林、海草床、滨海湿地等重要海洋生态系统实行最严格的保护措施，加强珍稀濒危物种及重要海洋生态系统的生境保护，加大滨海湿地的保护和修复力度。禁止红树林海岸带内陆采石等破坏性活动。禁止毁坏海岸防护设施、沿海防护林、沿海城镇园林和绿地。</w:t>
            </w:r>
          </w:p>
        </w:tc>
        <w:tc>
          <w:tcPr>
            <w:tcW w:w="2344" w:type="dxa"/>
            <w:tcMar>
              <w:left w:w="28" w:type="dxa"/>
              <w:right w:w="28" w:type="dxa"/>
            </w:tcMar>
            <w:vAlign w:val="center"/>
          </w:tcPr>
          <w:p w14:paraId="16CE0CD4">
            <w:pPr>
              <w:pStyle w:val="34"/>
            </w:pPr>
            <w:r>
              <w:rPr>
                <w:rFonts w:hint="eastAsia"/>
              </w:rPr>
              <w:t>项目为规划泊位，不涉及该条所述活动。</w:t>
            </w:r>
            <w:r>
              <w:rPr>
                <w:rFonts w:hint="eastAsia"/>
                <w:bCs/>
              </w:rPr>
              <w:t>符合。</w:t>
            </w:r>
          </w:p>
        </w:tc>
      </w:tr>
      <w:tr w14:paraId="1C5FB5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1095021C">
            <w:pPr>
              <w:pStyle w:val="34"/>
            </w:pPr>
          </w:p>
        </w:tc>
        <w:tc>
          <w:tcPr>
            <w:tcW w:w="5404" w:type="dxa"/>
            <w:tcMar>
              <w:left w:w="28" w:type="dxa"/>
              <w:right w:w="28" w:type="dxa"/>
            </w:tcMar>
            <w:vAlign w:val="center"/>
          </w:tcPr>
          <w:p w14:paraId="3F7EA9D7">
            <w:pPr>
              <w:pStyle w:val="34"/>
            </w:pPr>
            <w:r>
              <w:rPr>
                <w:rFonts w:hint="eastAsia"/>
              </w:rPr>
              <w:t>1</w:t>
            </w:r>
            <w:r>
              <w:t>3.</w:t>
            </w:r>
            <w:r>
              <w:rPr>
                <w:rFonts w:hint="eastAsia"/>
              </w:rPr>
              <w:t xml:space="preserve"> 严格用途管制，坚持陆海统筹，严禁国家产业政策淘汰类、限制类项目在滨海湿地布局，实现山水林田湖草整体保护、系统修复、综合治理。</w:t>
            </w:r>
          </w:p>
        </w:tc>
        <w:tc>
          <w:tcPr>
            <w:tcW w:w="2344" w:type="dxa"/>
            <w:tcMar>
              <w:left w:w="28" w:type="dxa"/>
              <w:right w:w="28" w:type="dxa"/>
            </w:tcMar>
            <w:vAlign w:val="center"/>
          </w:tcPr>
          <w:p w14:paraId="79466363">
            <w:pPr>
              <w:pStyle w:val="34"/>
            </w:pPr>
            <w:r>
              <w:rPr>
                <w:rFonts w:hint="eastAsia"/>
              </w:rPr>
              <w:t>项目为集装箱码头工程，属于产业结构调整目录中鼓励类项目。</w:t>
            </w:r>
            <w:r>
              <w:rPr>
                <w:rFonts w:hint="eastAsia"/>
                <w:bCs/>
              </w:rPr>
              <w:t>符合。</w:t>
            </w:r>
          </w:p>
        </w:tc>
      </w:tr>
      <w:tr w14:paraId="6077E4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90" w:hRule="atLeast"/>
          <w:jc w:val="center"/>
        </w:trPr>
        <w:tc>
          <w:tcPr>
            <w:tcW w:w="534" w:type="dxa"/>
            <w:vMerge w:val="restart"/>
            <w:tcMar>
              <w:left w:w="28" w:type="dxa"/>
              <w:right w:w="28" w:type="dxa"/>
            </w:tcMar>
            <w:vAlign w:val="center"/>
          </w:tcPr>
          <w:p w14:paraId="1EBCA57F">
            <w:pPr>
              <w:pStyle w:val="34"/>
            </w:pPr>
            <w:r>
              <w:t>污染物排放管控</w:t>
            </w:r>
          </w:p>
        </w:tc>
        <w:tc>
          <w:tcPr>
            <w:tcW w:w="5404" w:type="dxa"/>
            <w:tcMar>
              <w:left w:w="28" w:type="dxa"/>
              <w:right w:w="28" w:type="dxa"/>
            </w:tcMar>
            <w:vAlign w:val="center"/>
          </w:tcPr>
          <w:p w14:paraId="4625B946">
            <w:pPr>
              <w:pStyle w:val="34"/>
            </w:pPr>
            <w:r>
              <w:rPr>
                <w:rFonts w:hint="eastAsia"/>
              </w:rPr>
              <w:t>2．持续加强工业集聚区污水集中处理设施建设，提高工业企业水循环利用率、污染物预处理能力及污染集中治理能力，补齐基础设施短板，按照“清污分流、雨污分流”原则，实施废水分类收集、分质处理，入园企业在达到国家或地方规定的排放标准后接入园区集中式污水处理设施稳定达标排放；加快推进深海排放基础设施建设。</w:t>
            </w:r>
          </w:p>
        </w:tc>
        <w:tc>
          <w:tcPr>
            <w:tcW w:w="2344" w:type="dxa"/>
            <w:tcMar>
              <w:left w:w="28" w:type="dxa"/>
              <w:right w:w="28" w:type="dxa"/>
            </w:tcMar>
            <w:vAlign w:val="center"/>
          </w:tcPr>
          <w:p w14:paraId="30419EDA">
            <w:pPr>
              <w:pStyle w:val="34"/>
            </w:pPr>
            <w:r>
              <w:rPr>
                <w:rFonts w:hint="eastAsia"/>
              </w:rPr>
              <w:t>项目雨污分流，生活污水在生活污水处理站处理达到《污水综合排放标准》（GB 8978-1996）三级标准后，进入大榄坪污水处理厂。</w:t>
            </w:r>
            <w:r>
              <w:rPr>
                <w:rFonts w:hint="eastAsia"/>
                <w:bCs/>
              </w:rPr>
              <w:t>符合。</w:t>
            </w:r>
          </w:p>
        </w:tc>
      </w:tr>
      <w:tr w14:paraId="2C044D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90" w:hRule="atLeast"/>
          <w:jc w:val="center"/>
        </w:trPr>
        <w:tc>
          <w:tcPr>
            <w:tcW w:w="534" w:type="dxa"/>
            <w:vMerge w:val="continue"/>
            <w:tcMar>
              <w:left w:w="28" w:type="dxa"/>
              <w:right w:w="28" w:type="dxa"/>
            </w:tcMar>
            <w:vAlign w:val="center"/>
          </w:tcPr>
          <w:p w14:paraId="728C34EE">
            <w:pPr>
              <w:pStyle w:val="34"/>
            </w:pPr>
          </w:p>
        </w:tc>
        <w:tc>
          <w:tcPr>
            <w:tcW w:w="5404" w:type="dxa"/>
            <w:tcMar>
              <w:left w:w="28" w:type="dxa"/>
              <w:right w:w="28" w:type="dxa"/>
            </w:tcMar>
            <w:vAlign w:val="center"/>
          </w:tcPr>
          <w:p w14:paraId="07D7933D">
            <w:pPr>
              <w:pStyle w:val="34"/>
              <w:jc w:val="both"/>
            </w:pPr>
            <w:r>
              <w:rPr>
                <w:rFonts w:hint="eastAsia"/>
              </w:rPr>
              <w:t>3．开展陆海统筹流域治理，深化钦江、大风江、茅岭江、南流江等流域水环境综合整治，钦江、南流江流域切实开展截污、拔污、清污、治污专项行动，以“控磷除氮”为重点，抓好养殖、生活、工业、农业面源等污染综合治理和河道生态修复，推进河流入海断面水质持续改善，进一步削减入海河流总氮、总磷等的排海量。全面开展茅尾海、钦州湾等重点海域综合整治。严厉打击非法用海抽砂行为，优化茅尾海等海域养殖规划布局，整治非法养殖。完善钦州港区污水截流及雨污分流、海上水产养殖尾水整治。</w:t>
            </w:r>
          </w:p>
        </w:tc>
        <w:tc>
          <w:tcPr>
            <w:tcW w:w="2344" w:type="dxa"/>
            <w:tcMar>
              <w:left w:w="28" w:type="dxa"/>
              <w:right w:w="28" w:type="dxa"/>
            </w:tcMar>
            <w:vAlign w:val="center"/>
          </w:tcPr>
          <w:p w14:paraId="7438398A">
            <w:pPr>
              <w:pStyle w:val="34"/>
            </w:pPr>
            <w:r>
              <w:rPr>
                <w:rFonts w:hint="eastAsia"/>
              </w:rPr>
              <w:t>项目为码头工程，码头污水妥善处理后，不在码头设置排污口排放。</w:t>
            </w:r>
            <w:r>
              <w:rPr>
                <w:rFonts w:hint="eastAsia"/>
                <w:bCs/>
              </w:rPr>
              <w:t>符合。</w:t>
            </w:r>
          </w:p>
        </w:tc>
      </w:tr>
      <w:tr w14:paraId="04A680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3C24F171">
            <w:pPr>
              <w:pStyle w:val="34"/>
            </w:pPr>
          </w:p>
        </w:tc>
        <w:tc>
          <w:tcPr>
            <w:tcW w:w="5404" w:type="dxa"/>
            <w:tcMar>
              <w:left w:w="28" w:type="dxa"/>
              <w:right w:w="28" w:type="dxa"/>
            </w:tcMar>
            <w:vAlign w:val="center"/>
          </w:tcPr>
          <w:p w14:paraId="704F3EBC">
            <w:pPr>
              <w:pStyle w:val="34"/>
              <w:jc w:val="both"/>
            </w:pPr>
            <w:r>
              <w:rPr>
                <w:rFonts w:hint="eastAsia"/>
              </w:rPr>
              <w:t>1</w:t>
            </w:r>
            <w:r>
              <w:t>0.</w:t>
            </w:r>
            <w:r>
              <w:rPr>
                <w:rFonts w:hint="eastAsia"/>
              </w:rPr>
              <w:t xml:space="preserve"> 加强海陆联动，严格控制陆源污染物排放。规范入海排污口设置，全面清理非法或设置不合理的入海排污口。加快推进钦州港三墩作业区配套深海排放管道工程。</w:t>
            </w:r>
          </w:p>
        </w:tc>
        <w:tc>
          <w:tcPr>
            <w:tcW w:w="2344" w:type="dxa"/>
            <w:tcMar>
              <w:left w:w="28" w:type="dxa"/>
              <w:right w:w="28" w:type="dxa"/>
            </w:tcMar>
            <w:vAlign w:val="center"/>
          </w:tcPr>
          <w:p w14:paraId="2B26A577">
            <w:pPr>
              <w:pStyle w:val="34"/>
            </w:pPr>
            <w:r>
              <w:rPr>
                <w:rFonts w:hint="eastAsia"/>
              </w:rPr>
              <w:t>项目污水分类收集分质处理，污水经预处理进入大榄坪污水处理厂，不设置入海排污口。</w:t>
            </w:r>
            <w:r>
              <w:rPr>
                <w:rFonts w:hint="eastAsia"/>
                <w:bCs/>
              </w:rPr>
              <w:t>符合。</w:t>
            </w:r>
          </w:p>
        </w:tc>
      </w:tr>
      <w:tr w14:paraId="5F64AA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02A61A46">
            <w:pPr>
              <w:pStyle w:val="34"/>
            </w:pPr>
          </w:p>
        </w:tc>
        <w:tc>
          <w:tcPr>
            <w:tcW w:w="5404" w:type="dxa"/>
            <w:tcMar>
              <w:left w:w="28" w:type="dxa"/>
              <w:right w:w="28" w:type="dxa"/>
            </w:tcMar>
            <w:vAlign w:val="center"/>
          </w:tcPr>
          <w:p w14:paraId="394A9EB6">
            <w:pPr>
              <w:pStyle w:val="34"/>
              <w:jc w:val="both"/>
            </w:pPr>
            <w:r>
              <w:rPr>
                <w:rFonts w:hint="eastAsia"/>
              </w:rPr>
              <w:t>11. 积极治理船舶污染，推进与城市公共转运及处置设施的有效衔接，全面贯彻落实《广西北部湾港船舶污染物接收、转运、处置能力评估及相应设施建设方案》，建设完善船舶污染物接收处理设施，提高含油污水、化学品洗舱水、船舶垃圾等接收处置能力及污染事故应急能力。加强钦州港码头和船舶修造厂等绿色岸电、环卫设施、污水处理设施建设使用。</w:t>
            </w:r>
          </w:p>
        </w:tc>
        <w:tc>
          <w:tcPr>
            <w:tcW w:w="2344" w:type="dxa"/>
            <w:tcMar>
              <w:left w:w="28" w:type="dxa"/>
              <w:right w:w="28" w:type="dxa"/>
            </w:tcMar>
            <w:vAlign w:val="center"/>
          </w:tcPr>
          <w:p w14:paraId="7EB77732">
            <w:pPr>
              <w:pStyle w:val="34"/>
            </w:pPr>
            <w:r>
              <w:rPr>
                <w:rFonts w:hint="eastAsia"/>
              </w:rPr>
              <w:t>项目船舶污染物优先委托有资质单位进行接收转运，码头前沿设置接收设施，应急时可接受暂存在码头污水收集箱，在委托单位清运。</w:t>
            </w:r>
            <w:r>
              <w:rPr>
                <w:rFonts w:hint="eastAsia"/>
                <w:bCs/>
              </w:rPr>
              <w:t>符合。</w:t>
            </w:r>
          </w:p>
        </w:tc>
      </w:tr>
      <w:tr w14:paraId="7159AE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33E09713">
            <w:pPr>
              <w:pStyle w:val="34"/>
            </w:pPr>
          </w:p>
        </w:tc>
        <w:tc>
          <w:tcPr>
            <w:tcW w:w="5404" w:type="dxa"/>
            <w:tcMar>
              <w:left w:w="28" w:type="dxa"/>
              <w:right w:w="28" w:type="dxa"/>
            </w:tcMar>
            <w:vAlign w:val="center"/>
          </w:tcPr>
          <w:p w14:paraId="4A1085E0">
            <w:pPr>
              <w:pStyle w:val="34"/>
            </w:pPr>
            <w:r>
              <w:rPr>
                <w:rFonts w:hint="eastAsia"/>
              </w:rPr>
              <w:t>12.加强港口码头环保基础设施处理和建设。完善堆场防风抑尘设施，降低扬尘污染。港区实行雨污分流和污水分质处理，防止堆场废水通过雨水沟直排入海，完善配套污水处理设施和管网建设，实现污水集中处理、回用或达标排放。</w:t>
            </w:r>
          </w:p>
        </w:tc>
        <w:tc>
          <w:tcPr>
            <w:tcW w:w="2344" w:type="dxa"/>
            <w:tcMar>
              <w:left w:w="28" w:type="dxa"/>
              <w:right w:w="28" w:type="dxa"/>
            </w:tcMar>
            <w:vAlign w:val="center"/>
          </w:tcPr>
          <w:p w14:paraId="76ECB145">
            <w:pPr>
              <w:pStyle w:val="34"/>
            </w:pPr>
            <w:r>
              <w:rPr>
                <w:rFonts w:hint="eastAsia"/>
              </w:rPr>
              <w:t>项目污水分类收集分质处理，污水经预处理进入大榄坪污水处理厂，不设置入海排污口。</w:t>
            </w:r>
            <w:r>
              <w:rPr>
                <w:rFonts w:hint="eastAsia"/>
                <w:bCs/>
              </w:rPr>
              <w:t>符合。</w:t>
            </w:r>
          </w:p>
        </w:tc>
      </w:tr>
      <w:tr w14:paraId="5914D9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18898B06">
            <w:pPr>
              <w:pStyle w:val="34"/>
            </w:pPr>
          </w:p>
        </w:tc>
        <w:tc>
          <w:tcPr>
            <w:tcW w:w="5404" w:type="dxa"/>
            <w:tcMar>
              <w:left w:w="28" w:type="dxa"/>
              <w:right w:w="28" w:type="dxa"/>
            </w:tcMar>
            <w:vAlign w:val="center"/>
          </w:tcPr>
          <w:p w14:paraId="6FA72325">
            <w:pPr>
              <w:pStyle w:val="34"/>
            </w:pPr>
            <w:r>
              <w:rPr>
                <w:rFonts w:hint="eastAsia"/>
              </w:rPr>
              <w:t>13.污水离岸排放不得超过国家或者地方规定的排放标准。禁止向海域排放油类、酸液、碱液、剧毒废液和高、中水平放射性废水，严格控制向海域排放含有不易降解的有机物和重金属的废水，排放低水平放射性废水应当符合国家放射性污染防治标准，其他污染物的排放应当符合国家或者地方标准。含病原体的医疗污水、生活污水和工业废水必须经过处理，符合国家有关排放标准后，方能排入海域。含有机物和营养物质的工业废水、生活污水，应当严格控制向海湾、半封闭海及其他自净能力较差的海域排放。向海域排放含热废水，必须采取有效措施，保证邻近渔业水域的水温符合国家海洋环境质量标准，避免热污染对水产资源的危害。</w:t>
            </w:r>
          </w:p>
        </w:tc>
        <w:tc>
          <w:tcPr>
            <w:tcW w:w="2344" w:type="dxa"/>
            <w:tcMar>
              <w:left w:w="28" w:type="dxa"/>
              <w:right w:w="28" w:type="dxa"/>
            </w:tcMar>
            <w:vAlign w:val="center"/>
          </w:tcPr>
          <w:p w14:paraId="79FC2498">
            <w:pPr>
              <w:pStyle w:val="34"/>
            </w:pPr>
            <w:r>
              <w:rPr>
                <w:rFonts w:hint="eastAsia"/>
              </w:rPr>
              <w:t>评价要求船舶污水按《防治船舶污染海洋环境管理条例》《MARPOL73/78 防污公约》等要求进行管理；项目污水均得到妥善处理，不在码头排放。</w:t>
            </w:r>
            <w:r>
              <w:rPr>
                <w:rFonts w:hint="eastAsia"/>
                <w:bCs/>
              </w:rPr>
              <w:t>符合。</w:t>
            </w:r>
          </w:p>
        </w:tc>
      </w:tr>
      <w:tr w14:paraId="665C05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restart"/>
            <w:tcMar>
              <w:left w:w="28" w:type="dxa"/>
              <w:right w:w="28" w:type="dxa"/>
            </w:tcMar>
            <w:vAlign w:val="center"/>
          </w:tcPr>
          <w:p w14:paraId="0FED9317">
            <w:pPr>
              <w:pStyle w:val="34"/>
              <w:rPr>
                <w:szCs w:val="21"/>
              </w:rPr>
            </w:pPr>
            <w:r>
              <w:rPr>
                <w:szCs w:val="21"/>
              </w:rPr>
              <w:t>环境风险防控</w:t>
            </w:r>
          </w:p>
        </w:tc>
        <w:tc>
          <w:tcPr>
            <w:tcW w:w="5404" w:type="dxa"/>
            <w:tcMar>
              <w:left w:w="28" w:type="dxa"/>
              <w:right w:w="28" w:type="dxa"/>
            </w:tcMar>
            <w:vAlign w:val="center"/>
          </w:tcPr>
          <w:p w14:paraId="2830832B">
            <w:pPr>
              <w:pStyle w:val="34"/>
              <w:rPr>
                <w:szCs w:val="21"/>
              </w:rPr>
            </w:pPr>
            <w:r>
              <w:rPr>
                <w:szCs w:val="21"/>
              </w:rPr>
              <w:t>1.</w:t>
            </w:r>
            <w:r>
              <w:rPr>
                <w:rFonts w:hint="eastAsia"/>
              </w:rPr>
              <w:t xml:space="preserve"> </w:t>
            </w:r>
            <w:r>
              <w:rPr>
                <w:rFonts w:hint="eastAsia"/>
                <w:szCs w:val="21"/>
              </w:rPr>
              <w:t>强化环境风险源精准化管理，健全企业突发环境事件风险评估制度，动态更新重点环境风险源管理目录清单，建立信息齐全、数据准确的风险源及敏感保护目标的数据库，准确掌握重点环境风险源分布情况，重点加强较大及以上风险等级风险源的环境风险防范和应急预警管理。</w:t>
            </w:r>
          </w:p>
        </w:tc>
        <w:tc>
          <w:tcPr>
            <w:tcW w:w="2344" w:type="dxa"/>
            <w:tcMar>
              <w:left w:w="28" w:type="dxa"/>
              <w:right w:w="28" w:type="dxa"/>
            </w:tcMar>
            <w:vAlign w:val="center"/>
          </w:tcPr>
          <w:p w14:paraId="6824C9BB">
            <w:pPr>
              <w:pStyle w:val="34"/>
            </w:pPr>
            <w:r>
              <w:rPr>
                <w:rFonts w:hint="eastAsia"/>
              </w:rPr>
              <w:t>项目运营后按要求开展风险评估，制订突发环境应急预案，健全企业应急制度管理。</w:t>
            </w:r>
            <w:r>
              <w:rPr>
                <w:rFonts w:hint="eastAsia"/>
                <w:bCs/>
              </w:rPr>
              <w:t>符合。</w:t>
            </w:r>
          </w:p>
        </w:tc>
      </w:tr>
      <w:tr w14:paraId="6C37C4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7340F99A">
            <w:pPr>
              <w:pStyle w:val="34"/>
            </w:pPr>
          </w:p>
        </w:tc>
        <w:tc>
          <w:tcPr>
            <w:tcW w:w="5404" w:type="dxa"/>
            <w:tcMar>
              <w:left w:w="28" w:type="dxa"/>
              <w:right w:w="28" w:type="dxa"/>
            </w:tcMar>
            <w:vAlign w:val="center"/>
          </w:tcPr>
          <w:p w14:paraId="1EB474FF">
            <w:pPr>
              <w:pStyle w:val="34"/>
              <w:rPr>
                <w:szCs w:val="21"/>
              </w:rPr>
            </w:pPr>
            <w:r>
              <w:rPr>
                <w:szCs w:val="21"/>
              </w:rPr>
              <w:t>6.</w:t>
            </w:r>
            <w:r>
              <w:rPr>
                <w:rFonts w:hint="eastAsia"/>
              </w:rPr>
              <w:t xml:space="preserve"> </w:t>
            </w:r>
            <w:r>
              <w:rPr>
                <w:rFonts w:hint="eastAsia"/>
                <w:szCs w:val="21"/>
              </w:rPr>
              <w:t>严格管控涉海重大工程环境风险，全面排查陆域环境风险源、海上溢油、危险化学品泄漏等环境风险隐患，健全完善海上溢油及危化品泄漏污染环境应急响应机制，完善分类分级的海上应急监测及处置预案，在石化基地、危化品储存区等邻近海域部署快速监测能力和应急处置物资设备。建立健全海洋生态补偿和生态损害赔偿制度。</w:t>
            </w:r>
          </w:p>
        </w:tc>
        <w:tc>
          <w:tcPr>
            <w:tcW w:w="2344" w:type="dxa"/>
            <w:tcMar>
              <w:left w:w="28" w:type="dxa"/>
              <w:right w:w="28" w:type="dxa"/>
            </w:tcMar>
            <w:vAlign w:val="center"/>
          </w:tcPr>
          <w:p w14:paraId="0BF90B6B">
            <w:pPr>
              <w:pStyle w:val="34"/>
            </w:pPr>
            <w:r>
              <w:rPr>
                <w:rFonts w:hint="eastAsia"/>
              </w:rPr>
              <w:t>项目运营后按要求开展风险评估，制订突发环境应急预案，健全企业应急制度管理。</w:t>
            </w:r>
            <w:r>
              <w:rPr>
                <w:rFonts w:hint="eastAsia"/>
                <w:bCs/>
              </w:rPr>
              <w:t>符合。</w:t>
            </w:r>
          </w:p>
        </w:tc>
      </w:tr>
      <w:tr w14:paraId="0DE653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restart"/>
            <w:tcMar>
              <w:left w:w="28" w:type="dxa"/>
              <w:right w:w="28" w:type="dxa"/>
            </w:tcMar>
            <w:vAlign w:val="center"/>
          </w:tcPr>
          <w:p w14:paraId="32882695">
            <w:pPr>
              <w:pStyle w:val="34"/>
            </w:pPr>
            <w:r>
              <w:t>资源开发利用效率要求</w:t>
            </w:r>
          </w:p>
        </w:tc>
        <w:tc>
          <w:tcPr>
            <w:tcW w:w="5404" w:type="dxa"/>
            <w:tcMar>
              <w:left w:w="28" w:type="dxa"/>
              <w:right w:w="28" w:type="dxa"/>
            </w:tcMar>
            <w:vAlign w:val="center"/>
          </w:tcPr>
          <w:p w14:paraId="2C3CE2F2">
            <w:pPr>
              <w:pStyle w:val="34"/>
              <w:rPr>
                <w:szCs w:val="21"/>
              </w:rPr>
            </w:pPr>
            <w:r>
              <w:rPr>
                <w:szCs w:val="21"/>
              </w:rPr>
              <w:t>2.土地资源：</w:t>
            </w:r>
            <w:r>
              <w:rPr>
                <w:rFonts w:hint="eastAsia"/>
                <w:szCs w:val="21"/>
              </w:rPr>
              <w:t>严格执行自治区下达的土地资源利用总量及效率管控指标要求。突出节约集约用海原则，合理控制规模，优化空间布局，提高海域空间资源的整体使用效能。</w:t>
            </w:r>
          </w:p>
        </w:tc>
        <w:tc>
          <w:tcPr>
            <w:tcW w:w="2344" w:type="dxa"/>
            <w:tcMar>
              <w:left w:w="28" w:type="dxa"/>
              <w:right w:w="28" w:type="dxa"/>
            </w:tcMar>
            <w:vAlign w:val="center"/>
          </w:tcPr>
          <w:p w14:paraId="36DB15F6">
            <w:pPr>
              <w:pStyle w:val="34"/>
            </w:pPr>
            <w:r>
              <w:rPr>
                <w:rFonts w:hint="eastAsia"/>
              </w:rPr>
              <w:t>项目为规划泊位，项目用地用海空间布局合理。</w:t>
            </w:r>
            <w:r>
              <w:rPr>
                <w:rFonts w:hint="eastAsia"/>
                <w:bCs/>
              </w:rPr>
              <w:t>符合。</w:t>
            </w:r>
          </w:p>
        </w:tc>
      </w:tr>
      <w:tr w14:paraId="7D466F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580F43B8">
            <w:pPr>
              <w:pStyle w:val="34"/>
            </w:pPr>
          </w:p>
        </w:tc>
        <w:tc>
          <w:tcPr>
            <w:tcW w:w="5404" w:type="dxa"/>
            <w:tcMar>
              <w:left w:w="28" w:type="dxa"/>
              <w:right w:w="28" w:type="dxa"/>
            </w:tcMar>
            <w:vAlign w:val="center"/>
          </w:tcPr>
          <w:p w14:paraId="5CA5CEEC">
            <w:pPr>
              <w:pStyle w:val="34"/>
              <w:rPr>
                <w:szCs w:val="21"/>
              </w:rPr>
            </w:pPr>
            <w:r>
              <w:rPr>
                <w:szCs w:val="21"/>
              </w:rPr>
              <w:t>5.岸线资源：</w:t>
            </w:r>
            <w:r>
              <w:rPr>
                <w:rFonts w:hint="eastAsia"/>
                <w:szCs w:val="21"/>
              </w:rPr>
              <w:t>涉及岸线开发的工业区和港区，应严格按照相关规划实施，控制占用岸线长度，提高岸线利用效率，加强污染防治。建设海岸生态隔离带；有效保护自然岸线和典型海洋生态系统，提高海洋生态服务功能，增强海洋碳汇功能。合理控制滨海旅游开发强度，科学有序发展海洋生态旅游。规范海岛资源开发，科学规划海岛岸线开发，保护海岛自然岸线。</w:t>
            </w:r>
          </w:p>
        </w:tc>
        <w:tc>
          <w:tcPr>
            <w:tcW w:w="2344" w:type="dxa"/>
            <w:tcMar>
              <w:left w:w="28" w:type="dxa"/>
              <w:right w:w="28" w:type="dxa"/>
            </w:tcMar>
            <w:vAlign w:val="center"/>
          </w:tcPr>
          <w:p w14:paraId="60000ED8">
            <w:pPr>
              <w:pStyle w:val="34"/>
            </w:pPr>
            <w:r>
              <w:rPr>
                <w:rFonts w:hint="eastAsia"/>
              </w:rPr>
              <w:t>项目为规划码头，岸线长度符合相关规划布局。</w:t>
            </w:r>
            <w:r>
              <w:rPr>
                <w:rFonts w:hint="eastAsia"/>
                <w:bCs/>
              </w:rPr>
              <w:t>符合。</w:t>
            </w:r>
          </w:p>
        </w:tc>
      </w:tr>
    </w:tbl>
    <w:p w14:paraId="2F7F95A5">
      <w:pPr>
        <w:pStyle w:val="7"/>
      </w:pPr>
      <w:r>
        <w:rPr>
          <w:rFonts w:hint="eastAsia"/>
        </w:rPr>
        <w:t>项目与</w:t>
      </w:r>
      <w:r>
        <w:rPr>
          <w:rFonts w:hint="eastAsia"/>
          <w:lang w:val="zh-CN"/>
        </w:rPr>
        <w:t>具体管控单元管控要求</w:t>
      </w:r>
      <w:r>
        <w:rPr>
          <w:rFonts w:hint="eastAsia"/>
        </w:rPr>
        <w:t>相符性分析</w:t>
      </w:r>
    </w:p>
    <w:tbl>
      <w:tblPr>
        <w:tblStyle w:val="88"/>
        <w:tblpPr w:leftFromText="180" w:rightFromText="180" w:vertAnchor="text" w:tblpXSpec="center" w:tblpY="1"/>
        <w:tblOverlap w:val="never"/>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989"/>
        <w:gridCol w:w="704"/>
        <w:gridCol w:w="434"/>
        <w:gridCol w:w="255"/>
        <w:gridCol w:w="3680"/>
        <w:gridCol w:w="2280"/>
      </w:tblGrid>
      <w:tr w14:paraId="034A67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blHeader/>
        </w:trPr>
        <w:tc>
          <w:tcPr>
            <w:tcW w:w="593" w:type="pct"/>
            <w:vAlign w:val="center"/>
          </w:tcPr>
          <w:p w14:paraId="4C9C9F0D">
            <w:pPr>
              <w:spacing w:line="240" w:lineRule="exact"/>
              <w:ind w:firstLine="0" w:firstLineChars="0"/>
              <w:jc w:val="center"/>
              <w:rPr>
                <w:b/>
                <w:sz w:val="21"/>
                <w:szCs w:val="21"/>
              </w:rPr>
            </w:pPr>
            <w:r>
              <w:rPr>
                <w:sz w:val="21"/>
                <w:szCs w:val="21"/>
              </w:rPr>
              <w:t>环境管控单元编码</w:t>
            </w:r>
          </w:p>
        </w:tc>
        <w:tc>
          <w:tcPr>
            <w:tcW w:w="422" w:type="pct"/>
            <w:vAlign w:val="center"/>
          </w:tcPr>
          <w:p w14:paraId="2F8E93D5">
            <w:pPr>
              <w:spacing w:line="240" w:lineRule="exact"/>
              <w:ind w:firstLine="0" w:firstLineChars="0"/>
              <w:jc w:val="center"/>
              <w:rPr>
                <w:b/>
                <w:sz w:val="21"/>
                <w:szCs w:val="21"/>
              </w:rPr>
            </w:pPr>
            <w:r>
              <w:rPr>
                <w:sz w:val="21"/>
                <w:szCs w:val="21"/>
              </w:rPr>
              <w:t>环境管控单元名称</w:t>
            </w:r>
          </w:p>
        </w:tc>
        <w:tc>
          <w:tcPr>
            <w:tcW w:w="260" w:type="pct"/>
            <w:vAlign w:val="center"/>
          </w:tcPr>
          <w:p w14:paraId="0BCA319E">
            <w:pPr>
              <w:spacing w:line="240" w:lineRule="exact"/>
              <w:ind w:firstLine="0" w:firstLineChars="0"/>
              <w:jc w:val="center"/>
              <w:rPr>
                <w:b/>
                <w:sz w:val="21"/>
                <w:szCs w:val="21"/>
              </w:rPr>
            </w:pPr>
            <w:r>
              <w:rPr>
                <w:sz w:val="21"/>
                <w:szCs w:val="21"/>
              </w:rPr>
              <w:t>管控单元类别</w:t>
            </w:r>
          </w:p>
        </w:tc>
        <w:tc>
          <w:tcPr>
            <w:tcW w:w="2359" w:type="pct"/>
            <w:gridSpan w:val="2"/>
            <w:vAlign w:val="center"/>
          </w:tcPr>
          <w:p w14:paraId="66DE28B4">
            <w:pPr>
              <w:spacing w:line="240" w:lineRule="exact"/>
              <w:ind w:firstLine="0" w:firstLineChars="0"/>
              <w:jc w:val="center"/>
              <w:rPr>
                <w:b/>
                <w:sz w:val="21"/>
                <w:szCs w:val="21"/>
              </w:rPr>
            </w:pPr>
            <w:r>
              <w:rPr>
                <w:sz w:val="21"/>
                <w:szCs w:val="21"/>
              </w:rPr>
              <w:t>管控要求</w:t>
            </w:r>
          </w:p>
        </w:tc>
        <w:tc>
          <w:tcPr>
            <w:tcW w:w="1366" w:type="pct"/>
            <w:vAlign w:val="center"/>
          </w:tcPr>
          <w:p w14:paraId="73CC64F8">
            <w:pPr>
              <w:spacing w:line="240" w:lineRule="exact"/>
              <w:ind w:firstLine="0" w:firstLineChars="0"/>
              <w:jc w:val="center"/>
              <w:rPr>
                <w:b/>
                <w:sz w:val="21"/>
                <w:szCs w:val="21"/>
              </w:rPr>
            </w:pPr>
            <w:r>
              <w:rPr>
                <w:rFonts w:hint="eastAsia"/>
                <w:sz w:val="21"/>
                <w:szCs w:val="21"/>
              </w:rPr>
              <w:t>相符性分析</w:t>
            </w:r>
          </w:p>
        </w:tc>
      </w:tr>
      <w:tr w14:paraId="1585E8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93" w:type="pct"/>
            <w:vMerge w:val="restart"/>
            <w:vAlign w:val="center"/>
          </w:tcPr>
          <w:p w14:paraId="586982FC">
            <w:pPr>
              <w:spacing w:line="240" w:lineRule="exact"/>
              <w:ind w:firstLine="0" w:firstLineChars="0"/>
              <w:rPr>
                <w:b/>
                <w:sz w:val="21"/>
                <w:szCs w:val="21"/>
              </w:rPr>
            </w:pPr>
            <w:r>
              <w:rPr>
                <w:sz w:val="21"/>
                <w:szCs w:val="21"/>
              </w:rPr>
              <w:t>ZH450702</w:t>
            </w:r>
          </w:p>
          <w:p w14:paraId="62D2D61D">
            <w:pPr>
              <w:spacing w:line="240" w:lineRule="exact"/>
              <w:ind w:firstLine="0" w:firstLineChars="0"/>
              <w:rPr>
                <w:b/>
                <w:sz w:val="21"/>
                <w:szCs w:val="21"/>
              </w:rPr>
            </w:pPr>
            <w:r>
              <w:rPr>
                <w:sz w:val="21"/>
                <w:szCs w:val="21"/>
              </w:rPr>
              <w:t>20001</w:t>
            </w:r>
          </w:p>
        </w:tc>
        <w:tc>
          <w:tcPr>
            <w:tcW w:w="422" w:type="pct"/>
            <w:vMerge w:val="restart"/>
            <w:vAlign w:val="center"/>
          </w:tcPr>
          <w:p w14:paraId="4D6CFBD6">
            <w:pPr>
              <w:spacing w:line="240" w:lineRule="exact"/>
              <w:ind w:firstLine="0" w:firstLineChars="0"/>
              <w:rPr>
                <w:b/>
                <w:sz w:val="21"/>
                <w:szCs w:val="21"/>
              </w:rPr>
            </w:pPr>
            <w:r>
              <w:rPr>
                <w:rFonts w:hint="eastAsia"/>
                <w:sz w:val="21"/>
                <w:szCs w:val="21"/>
              </w:rPr>
              <w:t>广西钦州保税港区重点管控单元</w:t>
            </w:r>
          </w:p>
        </w:tc>
        <w:tc>
          <w:tcPr>
            <w:tcW w:w="260" w:type="pct"/>
            <w:vMerge w:val="restart"/>
            <w:vAlign w:val="center"/>
          </w:tcPr>
          <w:p w14:paraId="690630C2">
            <w:pPr>
              <w:spacing w:line="240" w:lineRule="exact"/>
              <w:ind w:firstLine="0" w:firstLineChars="0"/>
              <w:rPr>
                <w:b/>
                <w:sz w:val="21"/>
                <w:szCs w:val="21"/>
              </w:rPr>
            </w:pPr>
            <w:r>
              <w:rPr>
                <w:sz w:val="21"/>
                <w:szCs w:val="21"/>
              </w:rPr>
              <w:t>重点管控单元</w:t>
            </w:r>
          </w:p>
        </w:tc>
        <w:tc>
          <w:tcPr>
            <w:tcW w:w="153" w:type="pct"/>
            <w:vAlign w:val="center"/>
          </w:tcPr>
          <w:p w14:paraId="2D897186">
            <w:pPr>
              <w:spacing w:line="240" w:lineRule="exact"/>
              <w:ind w:firstLine="0" w:firstLineChars="0"/>
              <w:rPr>
                <w:b/>
                <w:sz w:val="21"/>
                <w:szCs w:val="21"/>
              </w:rPr>
            </w:pPr>
            <w:r>
              <w:rPr>
                <w:sz w:val="21"/>
                <w:szCs w:val="21"/>
              </w:rPr>
              <w:t>空间布局约束</w:t>
            </w:r>
          </w:p>
        </w:tc>
        <w:tc>
          <w:tcPr>
            <w:tcW w:w="2206" w:type="pct"/>
            <w:vAlign w:val="center"/>
          </w:tcPr>
          <w:p w14:paraId="724F8CE0">
            <w:pPr>
              <w:spacing w:line="240" w:lineRule="exact"/>
              <w:ind w:firstLine="0" w:firstLineChars="0"/>
              <w:rPr>
                <w:sz w:val="21"/>
                <w:szCs w:val="21"/>
              </w:rPr>
            </w:pPr>
            <w:r>
              <w:rPr>
                <w:rFonts w:hint="eastAsia"/>
                <w:sz w:val="21"/>
                <w:szCs w:val="21"/>
              </w:rPr>
              <w:t>1．园区管理机构应负责统筹区域内生态环境基础设施建设，不得引进与园区产业定位不符的产业，引进项目清洁生产水平须达到国内同行业先进水平，严格控制污染物排放大的项目进驻。</w:t>
            </w:r>
          </w:p>
          <w:p w14:paraId="5B8ED79E">
            <w:pPr>
              <w:spacing w:line="240" w:lineRule="exact"/>
              <w:ind w:firstLine="0" w:firstLineChars="0"/>
              <w:rPr>
                <w:sz w:val="21"/>
                <w:szCs w:val="21"/>
              </w:rPr>
            </w:pPr>
            <w:r>
              <w:rPr>
                <w:rFonts w:hint="eastAsia"/>
                <w:sz w:val="21"/>
                <w:szCs w:val="21"/>
              </w:rPr>
              <w:t>2．园区产业准入执行《广西壮族自治区人民政府办公厅关于印发北钦防一体化产业协同发展限制布局清单（工业类2021年版）的通知》（桂政办函〔2021〕4号）要求，限制新建不符合综合保税区产业政策的产品加工制造和产业服务项目。</w:t>
            </w:r>
          </w:p>
          <w:p w14:paraId="121AFA91">
            <w:pPr>
              <w:spacing w:line="240" w:lineRule="exact"/>
              <w:ind w:firstLine="0" w:firstLineChars="0"/>
              <w:rPr>
                <w:b/>
                <w:sz w:val="21"/>
                <w:szCs w:val="21"/>
              </w:rPr>
            </w:pPr>
            <w:r>
              <w:rPr>
                <w:rFonts w:hint="eastAsia"/>
                <w:sz w:val="21"/>
                <w:szCs w:val="21"/>
              </w:rPr>
              <w:t>3．新建、改建、扩建项目应按照国家、自治区行业建设项目环境影响评价文件审批原则入园；不得引入废水排放量大、水污染严重的相关企业。</w:t>
            </w:r>
          </w:p>
        </w:tc>
        <w:tc>
          <w:tcPr>
            <w:tcW w:w="1366" w:type="pct"/>
            <w:vAlign w:val="center"/>
          </w:tcPr>
          <w:p w14:paraId="300B5941">
            <w:pPr>
              <w:spacing w:line="240" w:lineRule="exact"/>
              <w:ind w:firstLine="0" w:firstLineChars="0"/>
              <w:rPr>
                <w:b/>
                <w:sz w:val="21"/>
                <w:szCs w:val="21"/>
              </w:rPr>
            </w:pPr>
            <w:r>
              <w:rPr>
                <w:rFonts w:hint="eastAsia"/>
                <w:sz w:val="21"/>
                <w:szCs w:val="21"/>
              </w:rPr>
              <w:t>1、大榄坪南作业区（保税港区）是钦州港从事集装箱运输的主要区域，与保税港区产业中码头作业区定位相符。</w:t>
            </w:r>
          </w:p>
          <w:p w14:paraId="643DB800">
            <w:pPr>
              <w:spacing w:line="240" w:lineRule="exact"/>
              <w:ind w:firstLine="0" w:firstLineChars="0"/>
              <w:rPr>
                <w:sz w:val="21"/>
                <w:szCs w:val="21"/>
              </w:rPr>
            </w:pPr>
            <w:r>
              <w:rPr>
                <w:rFonts w:hint="eastAsia"/>
                <w:sz w:val="21"/>
                <w:szCs w:val="21"/>
              </w:rPr>
              <w:t>2、项目为集装箱码头建设，不属于（桂政办函〔2021〕4号）限制项目，也不属于不符合综合保税区产业政策的产品加工制造和产业服务的项目。</w:t>
            </w:r>
          </w:p>
          <w:p w14:paraId="645E36A5">
            <w:pPr>
              <w:spacing w:line="240" w:lineRule="exact"/>
              <w:ind w:firstLine="0" w:firstLineChars="0"/>
              <w:rPr>
                <w:sz w:val="21"/>
                <w:szCs w:val="21"/>
              </w:rPr>
            </w:pPr>
            <w:r>
              <w:rPr>
                <w:rFonts w:hint="eastAsia"/>
                <w:sz w:val="21"/>
                <w:szCs w:val="21"/>
              </w:rPr>
              <w:t>3、项目不属于废水排放量大、水污染严重企业。</w:t>
            </w:r>
          </w:p>
          <w:p w14:paraId="4B4447DE">
            <w:pPr>
              <w:spacing w:line="240" w:lineRule="exact"/>
              <w:ind w:firstLine="0" w:firstLineChars="0"/>
              <w:rPr>
                <w:b/>
                <w:sz w:val="21"/>
                <w:szCs w:val="21"/>
              </w:rPr>
            </w:pPr>
            <w:r>
              <w:rPr>
                <w:rFonts w:hint="eastAsia"/>
                <w:sz w:val="21"/>
                <w:szCs w:val="21"/>
              </w:rPr>
              <w:t>符合。</w:t>
            </w:r>
          </w:p>
        </w:tc>
      </w:tr>
      <w:tr w14:paraId="01B7B4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93" w:type="pct"/>
            <w:vMerge w:val="continue"/>
            <w:vAlign w:val="center"/>
          </w:tcPr>
          <w:p w14:paraId="4D2D3427">
            <w:pPr>
              <w:spacing w:line="240" w:lineRule="exact"/>
              <w:ind w:firstLine="0" w:firstLineChars="0"/>
              <w:rPr>
                <w:b/>
                <w:sz w:val="21"/>
                <w:szCs w:val="21"/>
              </w:rPr>
            </w:pPr>
          </w:p>
        </w:tc>
        <w:tc>
          <w:tcPr>
            <w:tcW w:w="422" w:type="pct"/>
            <w:vMerge w:val="continue"/>
            <w:vAlign w:val="center"/>
          </w:tcPr>
          <w:p w14:paraId="5A368AC4">
            <w:pPr>
              <w:spacing w:line="240" w:lineRule="exact"/>
              <w:ind w:firstLine="0" w:firstLineChars="0"/>
              <w:rPr>
                <w:b/>
                <w:sz w:val="21"/>
                <w:szCs w:val="21"/>
              </w:rPr>
            </w:pPr>
          </w:p>
        </w:tc>
        <w:tc>
          <w:tcPr>
            <w:tcW w:w="260" w:type="pct"/>
            <w:vMerge w:val="continue"/>
            <w:vAlign w:val="center"/>
          </w:tcPr>
          <w:p w14:paraId="79766FCB">
            <w:pPr>
              <w:spacing w:line="240" w:lineRule="exact"/>
              <w:ind w:firstLine="0" w:firstLineChars="0"/>
              <w:rPr>
                <w:b/>
                <w:sz w:val="21"/>
                <w:szCs w:val="21"/>
              </w:rPr>
            </w:pPr>
          </w:p>
        </w:tc>
        <w:tc>
          <w:tcPr>
            <w:tcW w:w="153" w:type="pct"/>
            <w:vAlign w:val="center"/>
          </w:tcPr>
          <w:p w14:paraId="4FABC2D8">
            <w:pPr>
              <w:spacing w:line="240" w:lineRule="exact"/>
              <w:ind w:firstLine="0" w:firstLineChars="0"/>
              <w:rPr>
                <w:b/>
                <w:sz w:val="21"/>
                <w:szCs w:val="21"/>
              </w:rPr>
            </w:pPr>
            <w:r>
              <w:rPr>
                <w:sz w:val="21"/>
                <w:szCs w:val="21"/>
              </w:rPr>
              <w:t>污染物排放管控</w:t>
            </w:r>
          </w:p>
        </w:tc>
        <w:tc>
          <w:tcPr>
            <w:tcW w:w="2206" w:type="pct"/>
            <w:vAlign w:val="center"/>
          </w:tcPr>
          <w:p w14:paraId="554E69AE">
            <w:pPr>
              <w:spacing w:line="240" w:lineRule="exact"/>
              <w:ind w:firstLine="0" w:firstLineChars="0"/>
              <w:rPr>
                <w:sz w:val="21"/>
                <w:szCs w:val="21"/>
              </w:rPr>
            </w:pPr>
            <w:r>
              <w:rPr>
                <w:rFonts w:hint="eastAsia"/>
                <w:sz w:val="21"/>
                <w:szCs w:val="21"/>
              </w:rPr>
              <w:t>1．继续加强工业集聚区集中式污水处理设施建设，实行“清污分流、雨污分流”，实现废水分类收集、分质处理，入园企业应在达到国家或地方规定的排放标准后接入集中式污水处理设施处理，园区集中式污水处理设施总排口应安装自动监控系统、视频监控系统，并</w:t>
            </w:r>
          </w:p>
          <w:p w14:paraId="3C392B00">
            <w:pPr>
              <w:spacing w:line="240" w:lineRule="exact"/>
              <w:ind w:firstLine="0" w:firstLineChars="0"/>
              <w:rPr>
                <w:sz w:val="21"/>
                <w:szCs w:val="21"/>
              </w:rPr>
            </w:pPr>
            <w:r>
              <w:rPr>
                <w:rFonts w:hint="eastAsia"/>
                <w:sz w:val="21"/>
                <w:szCs w:val="21"/>
              </w:rPr>
              <w:t>与生态环境主管部门联网。</w:t>
            </w:r>
          </w:p>
          <w:p w14:paraId="78338353">
            <w:pPr>
              <w:spacing w:line="240" w:lineRule="exact"/>
              <w:ind w:firstLine="0" w:firstLineChars="0"/>
              <w:rPr>
                <w:sz w:val="21"/>
                <w:szCs w:val="21"/>
              </w:rPr>
            </w:pPr>
            <w:r>
              <w:rPr>
                <w:rFonts w:hint="eastAsia"/>
                <w:sz w:val="21"/>
                <w:szCs w:val="21"/>
              </w:rPr>
              <w:t>2．强化工业企业无组织排放管理，推进大气污染源全面稳定达标排放。</w:t>
            </w:r>
          </w:p>
          <w:p w14:paraId="608D2C00">
            <w:pPr>
              <w:spacing w:line="240" w:lineRule="exact"/>
              <w:ind w:firstLine="0" w:firstLineChars="0"/>
              <w:rPr>
                <w:sz w:val="21"/>
                <w:szCs w:val="21"/>
              </w:rPr>
            </w:pPr>
            <w:r>
              <w:rPr>
                <w:rFonts w:hint="eastAsia"/>
                <w:sz w:val="21"/>
                <w:szCs w:val="21"/>
              </w:rPr>
              <w:t>3．加快实施低VOCs含量原辅材料替代，有条件的工业聚集区建设集中喷涂工程中心，配备高效治污设施，替代企业独立喷涂工序。推动重点行业挥发性有机物（VOCs）污染防治，强化企业精细化管控、无组织废气排放控制以及高效治污设施建设，严格控制挥发性有机</w:t>
            </w:r>
          </w:p>
          <w:p w14:paraId="22DDF28A">
            <w:pPr>
              <w:spacing w:line="240" w:lineRule="exact"/>
              <w:ind w:firstLine="0" w:firstLineChars="0"/>
              <w:rPr>
                <w:sz w:val="21"/>
                <w:szCs w:val="21"/>
              </w:rPr>
            </w:pPr>
            <w:r>
              <w:rPr>
                <w:rFonts w:hint="eastAsia"/>
                <w:sz w:val="21"/>
                <w:szCs w:val="21"/>
              </w:rPr>
              <w:t>污染物排放。</w:t>
            </w:r>
          </w:p>
          <w:p w14:paraId="4137077A">
            <w:pPr>
              <w:spacing w:line="240" w:lineRule="exact"/>
              <w:ind w:firstLine="0" w:firstLineChars="0"/>
              <w:rPr>
                <w:b/>
                <w:sz w:val="21"/>
                <w:szCs w:val="21"/>
              </w:rPr>
            </w:pPr>
            <w:r>
              <w:rPr>
                <w:rFonts w:hint="eastAsia"/>
                <w:sz w:val="21"/>
                <w:szCs w:val="21"/>
              </w:rPr>
              <w:t>4．工业固废以循环经济的理念进行处置，逐步实行垃圾分类收集，危险工业垃圾独立安全处置。</w:t>
            </w:r>
          </w:p>
        </w:tc>
        <w:tc>
          <w:tcPr>
            <w:tcW w:w="1366" w:type="pct"/>
            <w:vAlign w:val="center"/>
          </w:tcPr>
          <w:p w14:paraId="77269E78">
            <w:pPr>
              <w:spacing w:line="240" w:lineRule="exact"/>
              <w:ind w:firstLine="0" w:firstLineChars="0"/>
              <w:rPr>
                <w:b/>
                <w:sz w:val="21"/>
                <w:szCs w:val="21"/>
              </w:rPr>
            </w:pPr>
            <w:r>
              <w:rPr>
                <w:rFonts w:hint="eastAsia"/>
                <w:sz w:val="21"/>
                <w:szCs w:val="21"/>
              </w:rPr>
              <w:t>1、项目污水分类收集处置，经处理后排入市政污水管网进入大榄坪污水处理厂。</w:t>
            </w:r>
          </w:p>
          <w:p w14:paraId="321720C8">
            <w:pPr>
              <w:spacing w:line="240" w:lineRule="exact"/>
              <w:ind w:firstLine="0" w:firstLineChars="0"/>
              <w:rPr>
                <w:sz w:val="21"/>
                <w:szCs w:val="21"/>
              </w:rPr>
            </w:pPr>
            <w:r>
              <w:rPr>
                <w:rFonts w:hint="eastAsia"/>
                <w:sz w:val="21"/>
                <w:szCs w:val="21"/>
              </w:rPr>
              <w:t>2、项目固体废物分类收集，危险废物依托7号8号泊位现有危废暂存间妥善处理。</w:t>
            </w:r>
          </w:p>
          <w:p w14:paraId="1F9A68EB">
            <w:pPr>
              <w:spacing w:line="240" w:lineRule="exact"/>
              <w:ind w:firstLine="0" w:firstLineChars="0"/>
              <w:rPr>
                <w:b/>
                <w:sz w:val="21"/>
                <w:szCs w:val="21"/>
              </w:rPr>
            </w:pPr>
            <w:r>
              <w:rPr>
                <w:rFonts w:hint="eastAsia"/>
                <w:sz w:val="21"/>
                <w:szCs w:val="21"/>
              </w:rPr>
              <w:t>符合。</w:t>
            </w:r>
          </w:p>
        </w:tc>
      </w:tr>
      <w:tr w14:paraId="3094FB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93" w:type="pct"/>
            <w:vMerge w:val="continue"/>
            <w:vAlign w:val="center"/>
          </w:tcPr>
          <w:p w14:paraId="7F99FD66">
            <w:pPr>
              <w:spacing w:line="240" w:lineRule="exact"/>
              <w:ind w:firstLine="0" w:firstLineChars="0"/>
              <w:rPr>
                <w:b/>
                <w:sz w:val="21"/>
                <w:szCs w:val="21"/>
              </w:rPr>
            </w:pPr>
          </w:p>
        </w:tc>
        <w:tc>
          <w:tcPr>
            <w:tcW w:w="422" w:type="pct"/>
            <w:vMerge w:val="continue"/>
            <w:vAlign w:val="center"/>
          </w:tcPr>
          <w:p w14:paraId="519B1BA1">
            <w:pPr>
              <w:spacing w:line="240" w:lineRule="exact"/>
              <w:ind w:firstLine="0" w:firstLineChars="0"/>
              <w:rPr>
                <w:b/>
                <w:sz w:val="21"/>
                <w:szCs w:val="21"/>
              </w:rPr>
            </w:pPr>
          </w:p>
        </w:tc>
        <w:tc>
          <w:tcPr>
            <w:tcW w:w="260" w:type="pct"/>
            <w:vMerge w:val="continue"/>
            <w:vAlign w:val="center"/>
          </w:tcPr>
          <w:p w14:paraId="467FDDB5">
            <w:pPr>
              <w:spacing w:line="240" w:lineRule="exact"/>
              <w:ind w:firstLine="0" w:firstLineChars="0"/>
              <w:rPr>
                <w:b/>
                <w:sz w:val="21"/>
                <w:szCs w:val="21"/>
              </w:rPr>
            </w:pPr>
          </w:p>
        </w:tc>
        <w:tc>
          <w:tcPr>
            <w:tcW w:w="153" w:type="pct"/>
            <w:vAlign w:val="center"/>
          </w:tcPr>
          <w:p w14:paraId="32694A03">
            <w:pPr>
              <w:spacing w:line="240" w:lineRule="exact"/>
              <w:ind w:firstLine="0" w:firstLineChars="0"/>
              <w:rPr>
                <w:b/>
                <w:sz w:val="21"/>
                <w:szCs w:val="21"/>
              </w:rPr>
            </w:pPr>
            <w:r>
              <w:rPr>
                <w:sz w:val="21"/>
                <w:szCs w:val="21"/>
              </w:rPr>
              <w:t>环境风险防控</w:t>
            </w:r>
          </w:p>
        </w:tc>
        <w:tc>
          <w:tcPr>
            <w:tcW w:w="2206" w:type="pct"/>
            <w:vAlign w:val="center"/>
          </w:tcPr>
          <w:p w14:paraId="181477B3">
            <w:pPr>
              <w:spacing w:line="240" w:lineRule="exact"/>
              <w:ind w:firstLine="0" w:firstLineChars="0"/>
              <w:rPr>
                <w:sz w:val="21"/>
                <w:szCs w:val="21"/>
              </w:rPr>
            </w:pPr>
            <w:r>
              <w:rPr>
                <w:rFonts w:hint="eastAsia"/>
                <w:sz w:val="21"/>
                <w:szCs w:val="21"/>
              </w:rPr>
              <w:t>1．入区项目应严格落实环境保护措施和环境风险防范措施，确保园区周边麻兰岛旅游度假区、鹿耳环江红树林生态安全。</w:t>
            </w:r>
          </w:p>
          <w:p w14:paraId="6D470164">
            <w:pPr>
              <w:spacing w:line="240" w:lineRule="exact"/>
              <w:ind w:firstLine="0" w:firstLineChars="0"/>
              <w:rPr>
                <w:b/>
                <w:sz w:val="21"/>
                <w:szCs w:val="21"/>
              </w:rPr>
            </w:pPr>
            <w:r>
              <w:rPr>
                <w:rFonts w:hint="eastAsia"/>
                <w:sz w:val="21"/>
                <w:szCs w:val="21"/>
              </w:rPr>
              <w:t>2．开展环境风险评估，制定突发环境事件应急预案并备案，配备应急能力和物资，建设环境应急队伍，并定期演练。企业、园区与地方人民政府环境应急预案应当有机衔接。</w:t>
            </w:r>
          </w:p>
        </w:tc>
        <w:tc>
          <w:tcPr>
            <w:tcW w:w="1366" w:type="pct"/>
            <w:vAlign w:val="center"/>
          </w:tcPr>
          <w:p w14:paraId="580D4CA4">
            <w:pPr>
              <w:spacing w:line="240" w:lineRule="exact"/>
              <w:ind w:firstLine="0" w:firstLineChars="0"/>
              <w:rPr>
                <w:b/>
                <w:sz w:val="21"/>
                <w:szCs w:val="21"/>
              </w:rPr>
            </w:pPr>
            <w:r>
              <w:rPr>
                <w:rFonts w:hint="eastAsia"/>
                <w:sz w:val="21"/>
                <w:szCs w:val="21"/>
              </w:rPr>
              <w:t>1、项目施工及运营期间产生的污染物不外排入海，不会对周边海域的环境产生不利影响。</w:t>
            </w:r>
          </w:p>
          <w:p w14:paraId="4BDFABBF">
            <w:pPr>
              <w:spacing w:line="240" w:lineRule="exact"/>
              <w:ind w:firstLine="0" w:firstLineChars="0"/>
              <w:rPr>
                <w:sz w:val="21"/>
                <w:szCs w:val="21"/>
              </w:rPr>
            </w:pPr>
            <w:r>
              <w:rPr>
                <w:sz w:val="21"/>
                <w:szCs w:val="21"/>
              </w:rPr>
              <w:t>2</w:t>
            </w:r>
            <w:r>
              <w:rPr>
                <w:rFonts w:hint="eastAsia"/>
                <w:sz w:val="21"/>
                <w:szCs w:val="21"/>
              </w:rPr>
              <w:t>、项目运营后按要求开展风险评估，制订突发环境应急预案，健全企业应急制度管理。</w:t>
            </w:r>
          </w:p>
          <w:p w14:paraId="11421E66">
            <w:pPr>
              <w:spacing w:line="240" w:lineRule="exact"/>
              <w:ind w:firstLine="0" w:firstLineChars="0"/>
              <w:rPr>
                <w:b/>
                <w:sz w:val="21"/>
                <w:szCs w:val="21"/>
              </w:rPr>
            </w:pPr>
            <w:r>
              <w:rPr>
                <w:rFonts w:hint="eastAsia"/>
                <w:sz w:val="21"/>
                <w:szCs w:val="21"/>
              </w:rPr>
              <w:t>符合。</w:t>
            </w:r>
          </w:p>
        </w:tc>
      </w:tr>
      <w:tr w14:paraId="571369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93" w:type="pct"/>
            <w:vMerge w:val="restart"/>
            <w:vAlign w:val="center"/>
          </w:tcPr>
          <w:p w14:paraId="62D1AC8C">
            <w:pPr>
              <w:spacing w:line="240" w:lineRule="exact"/>
              <w:ind w:firstLine="0" w:firstLineChars="0"/>
              <w:rPr>
                <w:sz w:val="21"/>
                <w:szCs w:val="21"/>
              </w:rPr>
            </w:pPr>
            <w:r>
              <w:rPr>
                <w:sz w:val="21"/>
                <w:szCs w:val="21"/>
              </w:rPr>
              <w:t>HY45070</w:t>
            </w:r>
          </w:p>
          <w:p w14:paraId="033BF1B8">
            <w:pPr>
              <w:spacing w:line="240" w:lineRule="exact"/>
              <w:ind w:firstLine="0" w:firstLineChars="0"/>
              <w:rPr>
                <w:b/>
                <w:sz w:val="21"/>
                <w:szCs w:val="21"/>
              </w:rPr>
            </w:pPr>
            <w:r>
              <w:rPr>
                <w:sz w:val="21"/>
                <w:szCs w:val="21"/>
              </w:rPr>
              <w:t>020007</w:t>
            </w:r>
          </w:p>
        </w:tc>
        <w:tc>
          <w:tcPr>
            <w:tcW w:w="422" w:type="pct"/>
            <w:vMerge w:val="restart"/>
            <w:vAlign w:val="center"/>
          </w:tcPr>
          <w:p w14:paraId="63C23820">
            <w:pPr>
              <w:spacing w:line="240" w:lineRule="exact"/>
              <w:ind w:firstLine="0" w:firstLineChars="0"/>
              <w:rPr>
                <w:sz w:val="21"/>
                <w:szCs w:val="21"/>
              </w:rPr>
            </w:pPr>
            <w:r>
              <w:rPr>
                <w:rFonts w:hint="eastAsia"/>
                <w:sz w:val="21"/>
                <w:szCs w:val="21"/>
              </w:rPr>
              <w:t>钦州市大榄坪</w:t>
            </w:r>
          </w:p>
          <w:p w14:paraId="2CF02268">
            <w:pPr>
              <w:spacing w:line="240" w:lineRule="exact"/>
              <w:ind w:firstLine="0" w:firstLineChars="0"/>
              <w:rPr>
                <w:sz w:val="21"/>
                <w:szCs w:val="21"/>
              </w:rPr>
            </w:pPr>
            <w:r>
              <w:rPr>
                <w:rFonts w:hint="eastAsia"/>
                <w:sz w:val="21"/>
                <w:szCs w:val="21"/>
              </w:rPr>
              <w:t>工业与城镇用</w:t>
            </w:r>
          </w:p>
          <w:p w14:paraId="1364B026">
            <w:pPr>
              <w:spacing w:line="240" w:lineRule="exact"/>
              <w:ind w:firstLine="0" w:firstLineChars="0"/>
              <w:rPr>
                <w:sz w:val="21"/>
                <w:szCs w:val="21"/>
              </w:rPr>
            </w:pPr>
            <w:r>
              <w:rPr>
                <w:rFonts w:hint="eastAsia"/>
                <w:sz w:val="21"/>
                <w:szCs w:val="21"/>
              </w:rPr>
              <w:t>海区（大榄坪工</w:t>
            </w:r>
          </w:p>
          <w:p w14:paraId="2DB4E4EE">
            <w:pPr>
              <w:spacing w:line="240" w:lineRule="exact"/>
              <w:ind w:firstLine="0" w:firstLineChars="0"/>
              <w:rPr>
                <w:b/>
                <w:sz w:val="21"/>
                <w:szCs w:val="21"/>
              </w:rPr>
            </w:pPr>
            <w:r>
              <w:rPr>
                <w:rFonts w:hint="eastAsia"/>
                <w:sz w:val="21"/>
                <w:szCs w:val="21"/>
              </w:rPr>
              <w:t>矿通信用海区）</w:t>
            </w:r>
          </w:p>
        </w:tc>
        <w:tc>
          <w:tcPr>
            <w:tcW w:w="260" w:type="pct"/>
            <w:vMerge w:val="restart"/>
            <w:vAlign w:val="center"/>
          </w:tcPr>
          <w:p w14:paraId="0FBF4413">
            <w:pPr>
              <w:spacing w:line="240" w:lineRule="exact"/>
              <w:ind w:firstLine="0" w:firstLineChars="0"/>
              <w:rPr>
                <w:b/>
                <w:sz w:val="21"/>
                <w:szCs w:val="21"/>
              </w:rPr>
            </w:pPr>
            <w:r>
              <w:rPr>
                <w:sz w:val="21"/>
                <w:szCs w:val="21"/>
              </w:rPr>
              <w:t>重点管控单元</w:t>
            </w:r>
          </w:p>
        </w:tc>
        <w:tc>
          <w:tcPr>
            <w:tcW w:w="153" w:type="pct"/>
            <w:vAlign w:val="center"/>
          </w:tcPr>
          <w:p w14:paraId="37A34D91">
            <w:pPr>
              <w:spacing w:line="240" w:lineRule="exact"/>
              <w:ind w:firstLine="0" w:firstLineChars="0"/>
              <w:rPr>
                <w:sz w:val="21"/>
                <w:szCs w:val="21"/>
              </w:rPr>
            </w:pPr>
            <w:r>
              <w:rPr>
                <w:sz w:val="21"/>
                <w:szCs w:val="21"/>
              </w:rPr>
              <w:t>空间布局约束</w:t>
            </w:r>
          </w:p>
        </w:tc>
        <w:tc>
          <w:tcPr>
            <w:tcW w:w="2206" w:type="pct"/>
            <w:vAlign w:val="center"/>
          </w:tcPr>
          <w:p w14:paraId="0C3D92A6">
            <w:pPr>
              <w:spacing w:line="240" w:lineRule="exact"/>
              <w:ind w:firstLine="0" w:firstLineChars="0"/>
              <w:rPr>
                <w:sz w:val="21"/>
                <w:szCs w:val="21"/>
              </w:rPr>
            </w:pPr>
            <w:r>
              <w:rPr>
                <w:rFonts w:hint="eastAsia"/>
                <w:sz w:val="21"/>
                <w:szCs w:val="21"/>
              </w:rPr>
              <w:t>1．引导海洋产业优化布局和集中适度规模开发，合理控制各类建设，用海规模，最大限度减少海域和海岸线资源消耗，提高资源利用效率。严控新增围填海造地，除国家重大战略项目外，全面停止新增围填海项目审批。</w:t>
            </w:r>
          </w:p>
          <w:p w14:paraId="0DA4B239">
            <w:pPr>
              <w:spacing w:line="240" w:lineRule="exact"/>
              <w:ind w:firstLine="0" w:firstLineChars="0"/>
              <w:rPr>
                <w:sz w:val="21"/>
                <w:szCs w:val="21"/>
              </w:rPr>
            </w:pPr>
            <w:r>
              <w:rPr>
                <w:rFonts w:hint="eastAsia"/>
                <w:sz w:val="21"/>
                <w:szCs w:val="21"/>
              </w:rPr>
              <w:t>2．拟建项目应符合国家产业结构调整指导目录要求，重点支持鼓励类产业用海项目，严格限制非涉海产业用海项目，禁止高能耗、高污染产业用海项目。</w:t>
            </w:r>
          </w:p>
          <w:p w14:paraId="3787C46A">
            <w:pPr>
              <w:spacing w:line="240" w:lineRule="exact"/>
              <w:ind w:firstLine="0" w:firstLineChars="0"/>
              <w:rPr>
                <w:sz w:val="21"/>
                <w:szCs w:val="21"/>
              </w:rPr>
            </w:pPr>
            <w:r>
              <w:rPr>
                <w:rFonts w:hint="eastAsia"/>
                <w:sz w:val="21"/>
                <w:szCs w:val="21"/>
              </w:rPr>
              <w:t>3．开发利用海洋资源或者从事影响海洋环境的建设活动，应当根据国土空间规划科学合理布局，严守生态保护红线，不得造成海洋生态环境的损害。</w:t>
            </w:r>
          </w:p>
          <w:p w14:paraId="0EE38427">
            <w:pPr>
              <w:spacing w:line="240" w:lineRule="exact"/>
              <w:ind w:firstLine="0" w:firstLineChars="0"/>
              <w:rPr>
                <w:sz w:val="21"/>
                <w:szCs w:val="21"/>
              </w:rPr>
            </w:pPr>
            <w:r>
              <w:rPr>
                <w:rFonts w:hint="eastAsia"/>
                <w:sz w:val="21"/>
                <w:szCs w:val="21"/>
              </w:rPr>
              <w:t>4．禁止毁坏</w:t>
            </w:r>
            <w:bookmarkStart w:id="320" w:name="OLE_LINK695"/>
            <w:r>
              <w:rPr>
                <w:rFonts w:hint="eastAsia"/>
                <w:sz w:val="21"/>
                <w:szCs w:val="21"/>
              </w:rPr>
              <w:t>海岸防护设施、沿海防护林、沿海城镇园林和绿地</w:t>
            </w:r>
            <w:bookmarkEnd w:id="320"/>
            <w:r>
              <w:rPr>
                <w:rFonts w:hint="eastAsia"/>
                <w:sz w:val="21"/>
                <w:szCs w:val="21"/>
              </w:rPr>
              <w:t>。</w:t>
            </w:r>
          </w:p>
        </w:tc>
        <w:tc>
          <w:tcPr>
            <w:tcW w:w="1366" w:type="pct"/>
            <w:vAlign w:val="center"/>
          </w:tcPr>
          <w:p w14:paraId="06FD8F8B">
            <w:pPr>
              <w:spacing w:line="240" w:lineRule="exact"/>
              <w:ind w:firstLine="0" w:firstLineChars="0"/>
              <w:rPr>
                <w:b/>
                <w:sz w:val="21"/>
                <w:szCs w:val="21"/>
              </w:rPr>
            </w:pPr>
            <w:r>
              <w:rPr>
                <w:rFonts w:hint="eastAsia"/>
                <w:sz w:val="21"/>
                <w:szCs w:val="21"/>
              </w:rPr>
              <w:t>1、项目属于规划泊位，不涉及新增围填海；项目属于国家产业结构调整目录中鼓励类项目。</w:t>
            </w:r>
          </w:p>
          <w:p w14:paraId="52DB61B9">
            <w:pPr>
              <w:spacing w:line="240" w:lineRule="exact"/>
              <w:ind w:firstLine="0" w:firstLineChars="0"/>
              <w:rPr>
                <w:sz w:val="21"/>
                <w:szCs w:val="21"/>
              </w:rPr>
            </w:pPr>
            <w:r>
              <w:rPr>
                <w:rFonts w:hint="eastAsia"/>
                <w:sz w:val="21"/>
                <w:szCs w:val="21"/>
              </w:rPr>
              <w:t>2、项目不涉及占用生态保护红线，通过合理的生态补偿措施，项目实施造成的海洋生态环境损害可以得到有效控制。</w:t>
            </w:r>
          </w:p>
          <w:p w14:paraId="33A66ACA">
            <w:pPr>
              <w:spacing w:line="240" w:lineRule="exact"/>
              <w:ind w:firstLine="0" w:firstLineChars="0"/>
              <w:rPr>
                <w:sz w:val="21"/>
                <w:szCs w:val="21"/>
              </w:rPr>
            </w:pPr>
            <w:r>
              <w:rPr>
                <w:rFonts w:hint="eastAsia"/>
                <w:sz w:val="21"/>
                <w:szCs w:val="21"/>
              </w:rPr>
              <w:t>3、项目不涉及海岸防护设施、沿海防护林、沿海城镇园林和绿地。</w:t>
            </w:r>
          </w:p>
          <w:p w14:paraId="495182CA">
            <w:pPr>
              <w:spacing w:line="240" w:lineRule="exact"/>
              <w:ind w:firstLine="0" w:firstLineChars="0"/>
              <w:rPr>
                <w:sz w:val="21"/>
                <w:szCs w:val="21"/>
              </w:rPr>
            </w:pPr>
            <w:r>
              <w:rPr>
                <w:rFonts w:hint="eastAsia"/>
                <w:sz w:val="21"/>
                <w:szCs w:val="21"/>
              </w:rPr>
              <w:t>符合。</w:t>
            </w:r>
          </w:p>
        </w:tc>
      </w:tr>
      <w:tr w14:paraId="2FD2ED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93" w:type="pct"/>
            <w:vMerge w:val="continue"/>
            <w:vAlign w:val="center"/>
          </w:tcPr>
          <w:p w14:paraId="15428079">
            <w:pPr>
              <w:spacing w:line="240" w:lineRule="exact"/>
              <w:ind w:firstLine="0" w:firstLineChars="0"/>
              <w:rPr>
                <w:sz w:val="21"/>
                <w:szCs w:val="21"/>
              </w:rPr>
            </w:pPr>
          </w:p>
        </w:tc>
        <w:tc>
          <w:tcPr>
            <w:tcW w:w="422" w:type="pct"/>
            <w:vMerge w:val="continue"/>
            <w:vAlign w:val="center"/>
          </w:tcPr>
          <w:p w14:paraId="33476B9D">
            <w:pPr>
              <w:spacing w:line="240" w:lineRule="exact"/>
              <w:ind w:firstLine="0" w:firstLineChars="0"/>
              <w:rPr>
                <w:sz w:val="21"/>
                <w:szCs w:val="21"/>
              </w:rPr>
            </w:pPr>
          </w:p>
        </w:tc>
        <w:tc>
          <w:tcPr>
            <w:tcW w:w="260" w:type="pct"/>
            <w:vMerge w:val="continue"/>
            <w:vAlign w:val="center"/>
          </w:tcPr>
          <w:p w14:paraId="55F82EB7">
            <w:pPr>
              <w:spacing w:line="240" w:lineRule="exact"/>
              <w:ind w:firstLine="0" w:firstLineChars="0"/>
              <w:rPr>
                <w:sz w:val="21"/>
                <w:szCs w:val="21"/>
              </w:rPr>
            </w:pPr>
          </w:p>
        </w:tc>
        <w:tc>
          <w:tcPr>
            <w:tcW w:w="153" w:type="pct"/>
            <w:vAlign w:val="center"/>
          </w:tcPr>
          <w:p w14:paraId="2D2503AA">
            <w:pPr>
              <w:spacing w:line="240" w:lineRule="exact"/>
              <w:ind w:firstLine="0" w:firstLineChars="0"/>
              <w:rPr>
                <w:sz w:val="21"/>
                <w:szCs w:val="21"/>
              </w:rPr>
            </w:pPr>
            <w:r>
              <w:rPr>
                <w:sz w:val="21"/>
                <w:szCs w:val="21"/>
              </w:rPr>
              <w:t>污染物排放管控</w:t>
            </w:r>
          </w:p>
        </w:tc>
        <w:tc>
          <w:tcPr>
            <w:tcW w:w="2206" w:type="pct"/>
            <w:vAlign w:val="center"/>
          </w:tcPr>
          <w:p w14:paraId="72FECB37">
            <w:pPr>
              <w:spacing w:line="240" w:lineRule="exact"/>
              <w:ind w:firstLine="0" w:firstLineChars="0"/>
              <w:rPr>
                <w:sz w:val="21"/>
                <w:szCs w:val="21"/>
              </w:rPr>
            </w:pPr>
            <w:r>
              <w:rPr>
                <w:rFonts w:hint="eastAsia"/>
                <w:sz w:val="21"/>
                <w:szCs w:val="21"/>
              </w:rPr>
              <w:t>1．严格按照相关法律法规及国土空间规划等要求，控制开发强度，规范设置和监管入海排污口，实施重点海域排污总量控制制度。</w:t>
            </w:r>
          </w:p>
          <w:p w14:paraId="7519982A">
            <w:pPr>
              <w:spacing w:line="240" w:lineRule="exact"/>
              <w:ind w:firstLine="0" w:firstLineChars="0"/>
              <w:rPr>
                <w:sz w:val="21"/>
                <w:szCs w:val="21"/>
              </w:rPr>
            </w:pPr>
            <w:r>
              <w:rPr>
                <w:rFonts w:hint="eastAsia"/>
                <w:sz w:val="21"/>
                <w:szCs w:val="21"/>
              </w:rPr>
              <w:t>2．严格工业废水的达标排放，避免对海域生态环境产生不利影响，海域开发前基本保持所在海域环境质量现状水平。</w:t>
            </w:r>
          </w:p>
          <w:p w14:paraId="000A5ACB">
            <w:pPr>
              <w:spacing w:line="240" w:lineRule="exact"/>
              <w:ind w:firstLine="0" w:firstLineChars="0"/>
              <w:rPr>
                <w:sz w:val="21"/>
                <w:szCs w:val="21"/>
              </w:rPr>
            </w:pPr>
            <w:r>
              <w:rPr>
                <w:rFonts w:hint="eastAsia"/>
                <w:sz w:val="21"/>
                <w:szCs w:val="21"/>
              </w:rPr>
              <w:t>3．向海域排放陆源污染物，应当严格执行国家或者地方规定的标准和有关规定</w:t>
            </w:r>
          </w:p>
        </w:tc>
        <w:tc>
          <w:tcPr>
            <w:tcW w:w="1366" w:type="pct"/>
            <w:vAlign w:val="center"/>
          </w:tcPr>
          <w:p w14:paraId="7BC2D24C">
            <w:pPr>
              <w:spacing w:line="240" w:lineRule="exact"/>
              <w:ind w:firstLine="0" w:firstLineChars="0"/>
              <w:rPr>
                <w:b/>
                <w:sz w:val="21"/>
                <w:szCs w:val="21"/>
              </w:rPr>
            </w:pPr>
            <w:r>
              <w:rPr>
                <w:rFonts w:hint="eastAsia"/>
                <w:sz w:val="21"/>
                <w:szCs w:val="21"/>
              </w:rPr>
              <w:t>1、项目污水分类收集处置，经处理后排入市政污水管网进入大榄坪污水处理厂，不设置入海排污口。</w:t>
            </w:r>
          </w:p>
          <w:p w14:paraId="2849BC8B">
            <w:pPr>
              <w:spacing w:line="240" w:lineRule="exact"/>
              <w:ind w:firstLine="0" w:firstLineChars="0"/>
              <w:rPr>
                <w:sz w:val="21"/>
                <w:szCs w:val="21"/>
              </w:rPr>
            </w:pPr>
            <w:r>
              <w:rPr>
                <w:rFonts w:hint="eastAsia"/>
                <w:sz w:val="21"/>
                <w:szCs w:val="21"/>
              </w:rPr>
              <w:t>符合。</w:t>
            </w:r>
          </w:p>
        </w:tc>
      </w:tr>
      <w:tr w14:paraId="130316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93" w:type="pct"/>
            <w:vMerge w:val="continue"/>
            <w:vAlign w:val="center"/>
          </w:tcPr>
          <w:p w14:paraId="72A53F78">
            <w:pPr>
              <w:spacing w:line="240" w:lineRule="exact"/>
              <w:ind w:firstLine="0" w:firstLineChars="0"/>
              <w:rPr>
                <w:sz w:val="21"/>
                <w:szCs w:val="21"/>
              </w:rPr>
            </w:pPr>
          </w:p>
        </w:tc>
        <w:tc>
          <w:tcPr>
            <w:tcW w:w="422" w:type="pct"/>
            <w:vMerge w:val="continue"/>
            <w:vAlign w:val="center"/>
          </w:tcPr>
          <w:p w14:paraId="4880DC53">
            <w:pPr>
              <w:spacing w:line="240" w:lineRule="exact"/>
              <w:ind w:firstLine="0" w:firstLineChars="0"/>
              <w:rPr>
                <w:sz w:val="21"/>
                <w:szCs w:val="21"/>
              </w:rPr>
            </w:pPr>
          </w:p>
        </w:tc>
        <w:tc>
          <w:tcPr>
            <w:tcW w:w="260" w:type="pct"/>
            <w:vMerge w:val="continue"/>
            <w:vAlign w:val="center"/>
          </w:tcPr>
          <w:p w14:paraId="12912E34">
            <w:pPr>
              <w:spacing w:line="240" w:lineRule="exact"/>
              <w:ind w:firstLine="0" w:firstLineChars="0"/>
              <w:rPr>
                <w:sz w:val="21"/>
                <w:szCs w:val="21"/>
              </w:rPr>
            </w:pPr>
          </w:p>
        </w:tc>
        <w:tc>
          <w:tcPr>
            <w:tcW w:w="153" w:type="pct"/>
            <w:vAlign w:val="center"/>
          </w:tcPr>
          <w:p w14:paraId="66A63065">
            <w:pPr>
              <w:spacing w:line="240" w:lineRule="exact"/>
              <w:ind w:firstLine="0" w:firstLineChars="0"/>
              <w:rPr>
                <w:sz w:val="21"/>
                <w:szCs w:val="21"/>
              </w:rPr>
            </w:pPr>
            <w:r>
              <w:rPr>
                <w:sz w:val="21"/>
                <w:szCs w:val="21"/>
              </w:rPr>
              <w:t>环境风险防控</w:t>
            </w:r>
          </w:p>
        </w:tc>
        <w:tc>
          <w:tcPr>
            <w:tcW w:w="2206" w:type="pct"/>
            <w:vAlign w:val="center"/>
          </w:tcPr>
          <w:p w14:paraId="00E8B5E7">
            <w:pPr>
              <w:spacing w:line="240" w:lineRule="exact"/>
              <w:ind w:firstLine="0" w:firstLineChars="0"/>
              <w:rPr>
                <w:sz w:val="21"/>
                <w:szCs w:val="21"/>
              </w:rPr>
            </w:pPr>
            <w:r>
              <w:rPr>
                <w:rFonts w:hint="eastAsia"/>
                <w:sz w:val="21"/>
                <w:szCs w:val="21"/>
              </w:rPr>
              <w:t>1．严控油品和化学品运输的环境风险，加大船舶航行安全保障和风险防范力度。船舶装载运输油类或者有毒货物，应当采取防止溢流和渗漏的措施，防止货物落水造成水污染。</w:t>
            </w:r>
          </w:p>
          <w:p w14:paraId="109B72AE">
            <w:pPr>
              <w:spacing w:line="240" w:lineRule="exact"/>
              <w:ind w:firstLine="0" w:firstLineChars="0"/>
              <w:rPr>
                <w:sz w:val="21"/>
                <w:szCs w:val="21"/>
              </w:rPr>
            </w:pPr>
            <w:r>
              <w:rPr>
                <w:rFonts w:hint="eastAsia"/>
                <w:sz w:val="21"/>
                <w:szCs w:val="21"/>
              </w:rPr>
              <w:t>2．严格管控涉海重大工程环境风险，完善分类分级的海上应急监测及处置预案，在石化基地、危化品储存区等邻近海域部署快速监测能力和应急处置物资设备。</w:t>
            </w:r>
          </w:p>
        </w:tc>
        <w:tc>
          <w:tcPr>
            <w:tcW w:w="1366" w:type="pct"/>
            <w:vAlign w:val="center"/>
          </w:tcPr>
          <w:p w14:paraId="3CB8769A">
            <w:pPr>
              <w:spacing w:line="240" w:lineRule="exact"/>
              <w:ind w:firstLine="0" w:firstLineChars="0"/>
              <w:rPr>
                <w:sz w:val="21"/>
                <w:szCs w:val="21"/>
              </w:rPr>
            </w:pPr>
            <w:r>
              <w:rPr>
                <w:rFonts w:hint="eastAsia"/>
                <w:sz w:val="21"/>
                <w:szCs w:val="21"/>
              </w:rPr>
              <w:t>项目运营后按要求开展风险评估，制订突发环境应急预案，健全企业应急制度管理。</w:t>
            </w:r>
          </w:p>
          <w:p w14:paraId="368B2479">
            <w:pPr>
              <w:spacing w:line="240" w:lineRule="exact"/>
              <w:ind w:firstLine="0" w:firstLineChars="0"/>
              <w:rPr>
                <w:sz w:val="21"/>
                <w:szCs w:val="21"/>
              </w:rPr>
            </w:pPr>
            <w:r>
              <w:rPr>
                <w:rFonts w:hint="eastAsia"/>
                <w:sz w:val="21"/>
                <w:szCs w:val="21"/>
              </w:rPr>
              <w:t>符合。</w:t>
            </w:r>
          </w:p>
        </w:tc>
      </w:tr>
    </w:tbl>
    <w:p w14:paraId="123EC470">
      <w:pPr>
        <w:pStyle w:val="5"/>
      </w:pPr>
      <w:r>
        <w:rPr>
          <w:rFonts w:hint="eastAsia"/>
        </w:rPr>
        <w:t>与国土空间总体规划及其相关成果的相符性分析</w:t>
      </w:r>
    </w:p>
    <w:p w14:paraId="0D02AB12">
      <w:pPr>
        <w:pStyle w:val="6"/>
      </w:pPr>
      <w:r>
        <w:rPr>
          <w:rFonts w:hint="eastAsia"/>
        </w:rPr>
        <w:t>“三区三线”符合性分析</w:t>
      </w:r>
    </w:p>
    <w:p w14:paraId="7FA1BF48">
      <w:pPr>
        <w:ind w:firstLine="462"/>
      </w:pPr>
      <w:r>
        <w:rPr>
          <w:rFonts w:hint="eastAsia"/>
        </w:rPr>
        <w:t xml:space="preserve"> “三区三线”中的“三区”是指城镇空间、农业空间、生态空间三种类型的国土空间，“三线”分别对应在城镇空间、农业空间、生态空间划定的城镇开发边界、永久基本农田、生态保护红线三条控制线。项目陆域利用9号10号泊位扩建工程后方填海陆域，不占用基本农田、生态保护红线，项目陆域已纳入《钦州市国土空间总体规划2021—2035年》重点项目建设安排表。项目与《钦州市国土空间总体规划（2021—2035年）》中城镇开发边界管控规则符合性情况见表2.4-6，由表可知，项目建设符合城镇开发边界管控规则。</w:t>
      </w:r>
    </w:p>
    <w:p w14:paraId="7B342EA1">
      <w:pPr>
        <w:pStyle w:val="7"/>
      </w:pPr>
      <w:r>
        <w:rPr>
          <w:rFonts w:hint="eastAsia"/>
        </w:rPr>
        <w:t>项目与城镇开发边界管控规则符合性情况表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604"/>
        <w:gridCol w:w="3924"/>
      </w:tblGrid>
      <w:tr w14:paraId="6C8A31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0" w:type="auto"/>
            <w:vAlign w:val="center"/>
          </w:tcPr>
          <w:p w14:paraId="1BEDD1E6">
            <w:pPr>
              <w:spacing w:line="240" w:lineRule="exact"/>
              <w:ind w:firstLine="0" w:firstLineChars="0"/>
              <w:jc w:val="center"/>
              <w:rPr>
                <w:b/>
                <w:sz w:val="21"/>
                <w:szCs w:val="21"/>
              </w:rPr>
            </w:pPr>
            <w:r>
              <w:rPr>
                <w:rFonts w:hint="eastAsia"/>
                <w:sz w:val="21"/>
                <w:szCs w:val="21"/>
              </w:rPr>
              <w:t>城镇开发边界管控规则</w:t>
            </w:r>
          </w:p>
        </w:tc>
        <w:tc>
          <w:tcPr>
            <w:tcW w:w="0" w:type="auto"/>
            <w:vAlign w:val="center"/>
          </w:tcPr>
          <w:p w14:paraId="0D9A1E54">
            <w:pPr>
              <w:spacing w:line="240" w:lineRule="exact"/>
              <w:ind w:firstLine="402"/>
              <w:jc w:val="center"/>
              <w:rPr>
                <w:sz w:val="21"/>
                <w:szCs w:val="21"/>
              </w:rPr>
            </w:pPr>
            <w:r>
              <w:rPr>
                <w:rFonts w:hint="eastAsia"/>
                <w:sz w:val="21"/>
                <w:szCs w:val="21"/>
              </w:rPr>
              <w:t>协调性分析</w:t>
            </w:r>
          </w:p>
        </w:tc>
      </w:tr>
      <w:tr w14:paraId="2C96B0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0CA211F9">
            <w:pPr>
              <w:spacing w:line="240" w:lineRule="exact"/>
              <w:ind w:firstLine="0" w:firstLineChars="0"/>
              <w:rPr>
                <w:b/>
                <w:sz w:val="21"/>
                <w:szCs w:val="21"/>
              </w:rPr>
            </w:pPr>
            <w:r>
              <w:rPr>
                <w:rFonts w:hint="eastAsia"/>
                <w:sz w:val="21"/>
                <w:szCs w:val="21"/>
              </w:rPr>
              <w:t>城镇开发边界内，实行“详细规划+规划许可”的管制方式，加强与水体保护线、绿地系统线、基础设施建设控制线、历史文化保护线等控制线的协同管理。城镇开发边界外不得进行城镇集中建设，不得设立各类开发区，允许交通基础设施及其他线性工程，军事及安全保密、宗教、殡葬、综合防灾减灾、战略储备等特殊建设项目，乡村振兴战略建设项目，风景游览配套服务设施项目以及选址有特殊要求的城镇民生保障项目建设。</w:t>
            </w:r>
          </w:p>
        </w:tc>
        <w:tc>
          <w:tcPr>
            <w:tcW w:w="0" w:type="auto"/>
            <w:vAlign w:val="center"/>
          </w:tcPr>
          <w:p w14:paraId="409844DD">
            <w:pPr>
              <w:spacing w:line="240" w:lineRule="exact"/>
              <w:ind w:firstLine="402"/>
              <w:rPr>
                <w:sz w:val="21"/>
                <w:szCs w:val="21"/>
                <w:lang w:val="zh-CN"/>
              </w:rPr>
            </w:pPr>
            <w:r>
              <w:rPr>
                <w:rFonts w:hint="eastAsia"/>
                <w:sz w:val="21"/>
                <w:szCs w:val="21"/>
              </w:rPr>
              <w:t>项目在已审批项目填海陆域上建设，不涉及新增围填海。项目建设位置、建设范围以及功能均符合港区所在的《北部湾港总体规划（2035年）》，项目建设将完善区域基础设施，对促进区域临港产业发展以及城镇发展具有积极意义，项目建设符合城镇开发需求</w:t>
            </w:r>
          </w:p>
        </w:tc>
      </w:tr>
      <w:tr w14:paraId="78C432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2BEE7272">
            <w:pPr>
              <w:spacing w:line="240" w:lineRule="exact"/>
              <w:ind w:firstLine="0" w:firstLineChars="0"/>
              <w:rPr>
                <w:b/>
                <w:sz w:val="21"/>
                <w:szCs w:val="21"/>
              </w:rPr>
            </w:pPr>
            <w:r>
              <w:rPr>
                <w:rFonts w:hint="eastAsia"/>
                <w:sz w:val="21"/>
                <w:szCs w:val="21"/>
              </w:rPr>
              <w:t>集中建设区应主要布局城市、建制镇和新城新区、依法合规设立的开发区等。弹性发展区在满足特定条件下，方可进行开发建设活动。在不突破规划城镇建设用地规模的前提下，可在弹性发展范围内调整城镇建设用地布局，同时相应核减城镇集中建设用地规模。</w:t>
            </w:r>
          </w:p>
        </w:tc>
        <w:tc>
          <w:tcPr>
            <w:tcW w:w="0" w:type="auto"/>
            <w:vMerge w:val="restart"/>
            <w:vAlign w:val="center"/>
          </w:tcPr>
          <w:p w14:paraId="75A93E33">
            <w:pPr>
              <w:spacing w:line="240" w:lineRule="exact"/>
              <w:ind w:firstLine="402"/>
              <w:rPr>
                <w:rFonts w:cs="Arial"/>
                <w:sz w:val="21"/>
                <w:szCs w:val="21"/>
              </w:rPr>
            </w:pPr>
            <w:r>
              <w:rPr>
                <w:rFonts w:hint="eastAsia" w:cs="Arial"/>
                <w:sz w:val="21"/>
                <w:szCs w:val="21"/>
              </w:rPr>
              <w:t>项目位于依法合规设立的广西钦州保税港区内，不属于弹性发展区及特殊用途区</w:t>
            </w:r>
          </w:p>
        </w:tc>
      </w:tr>
      <w:tr w14:paraId="4898E9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19E44B75">
            <w:pPr>
              <w:spacing w:line="240" w:lineRule="exact"/>
              <w:ind w:firstLine="0" w:firstLineChars="0"/>
              <w:rPr>
                <w:b/>
                <w:sz w:val="21"/>
                <w:szCs w:val="21"/>
              </w:rPr>
            </w:pPr>
            <w:r>
              <w:rPr>
                <w:rFonts w:hint="eastAsia"/>
                <w:sz w:val="21"/>
                <w:szCs w:val="21"/>
              </w:rPr>
              <w:t>特别用途区原则上禁止任何城镇集中建设行为，实施建设用地总量控制，原则上不得新增除市政基础设施、交通基础设施、生态修复工程、必要的配套及游憩设施外的其他城镇建设用地。</w:t>
            </w:r>
          </w:p>
        </w:tc>
        <w:tc>
          <w:tcPr>
            <w:tcW w:w="0" w:type="auto"/>
            <w:vMerge w:val="continue"/>
            <w:vAlign w:val="center"/>
          </w:tcPr>
          <w:p w14:paraId="662F889D">
            <w:pPr>
              <w:spacing w:line="240" w:lineRule="exact"/>
              <w:ind w:firstLine="402"/>
              <w:rPr>
                <w:rFonts w:cs="Arial"/>
                <w:sz w:val="21"/>
                <w:szCs w:val="21"/>
              </w:rPr>
            </w:pPr>
          </w:p>
        </w:tc>
      </w:tr>
    </w:tbl>
    <w:p w14:paraId="2D3BB30D">
      <w:pPr>
        <w:spacing w:before="116" w:beforeLines="25"/>
        <w:ind w:firstLine="462"/>
      </w:pPr>
      <w:r>
        <w:rPr>
          <w:rFonts w:hint="eastAsia"/>
        </w:rPr>
        <w:t>综上所述，项目与区域“三区三线”相符。</w:t>
      </w:r>
    </w:p>
    <w:p w14:paraId="6650BF67">
      <w:pPr>
        <w:pStyle w:val="6"/>
      </w:pPr>
      <w:r>
        <w:rPr>
          <w:rFonts w:hint="eastAsia"/>
        </w:rPr>
        <w:t>与市域海洋功能分区协调性分析</w:t>
      </w:r>
    </w:p>
    <w:p w14:paraId="42CBCFC6">
      <w:pPr>
        <w:ind w:firstLine="462"/>
      </w:pPr>
      <w:r>
        <w:rPr>
          <w:rFonts w:hint="eastAsia"/>
        </w:rPr>
        <w:t>根据《钦州市国土空间总体规划（2021—2035年）》，围绕国土空间开发保护总体格局，统筹布局农业、生态、城镇、海洋等功能空间，加强全域全要素国土空间用途管制，将钦州市国土空间划分为农田保护区、生态保护区、生态控制区、城镇发展区、乡村发展区、矿产能源发展区、海洋发展区7类一级规划分区。其中，海洋发展区划分为渔业用海区、交通运输用海区、工矿通信用海区、游憩用海区、特殊用海区及海洋预留区6类二级规划分区。</w:t>
      </w:r>
    </w:p>
    <w:p w14:paraId="1FEEB45A">
      <w:pPr>
        <w:ind w:firstLine="462"/>
      </w:pPr>
      <w:r>
        <w:rPr>
          <w:rFonts w:hint="eastAsia"/>
        </w:rPr>
        <w:t>项目位于海洋发展区内的交通运输用海区，海岸交通运输用海区主要用于近岸港口陆域、码头、港池等航运设施建设，重点保障平陆运河、金鼓江、大榄坪等发展需要；近海交通运输用海区主要用于港外航道、锚地等航运用海。在已经开发利用的港区、锚地、航道以及规定的航路及其保护范围内，禁止开展与航运无关、有碍航行安全的活动；原则上禁止其他海岸工程或海洋工程占用深水岸线资源；在未开发利用的港区内，对无碍交通运输功能发挥的海洋开发活动尤其是渔业开发活动可暂时予以保留；在不影响交通运输用海及安全的前提下，可兼容临海工业用海。</w:t>
      </w:r>
    </w:p>
    <w:p w14:paraId="238996DF">
      <w:pPr>
        <w:ind w:firstLine="462"/>
        <w:rPr>
          <w:lang w:val="zh-CN"/>
        </w:rPr>
      </w:pPr>
      <w:r>
        <w:rPr>
          <w:rFonts w:hint="eastAsia"/>
        </w:rPr>
        <w:t>项目位于大榄坪港区，为海岸交通运输用海区重点保障发展的区域，项目在已开发的港区内进行建设，项目建设位置、码头功能均符合钦州港及钦州保税港区规划，不阻碍航行安全，符合《钦州市国土空间总体规划（2021—2035年）》中海洋功能分区内交通运输用海区建设要求。</w:t>
      </w:r>
    </w:p>
    <w:p w14:paraId="706DA8FF">
      <w:pPr>
        <w:pStyle w:val="5"/>
      </w:pPr>
      <w:r>
        <w:rPr>
          <w:rFonts w:hint="eastAsia"/>
        </w:rPr>
        <w:t>与海洋产业发展政策相符性分析</w:t>
      </w:r>
    </w:p>
    <w:p w14:paraId="39F9437C">
      <w:pPr>
        <w:ind w:firstLine="462"/>
      </w:pPr>
      <w:r>
        <w:rPr>
          <w:rFonts w:hint="eastAsia"/>
        </w:rPr>
        <w:t>2021年7月，广西壮族自治区海洋局、广西壮族自治区发展改革委发布《广西海洋经济发展“十四五”规划》（以下简称《规划》），明确了“十四五”时期广西海洋经济发展的指导思想、目标任务和重大举措，规划范围包括北海、钦州、防城港3市，并延伸到南宁、玉林市相关陆域地区。</w:t>
      </w:r>
    </w:p>
    <w:p w14:paraId="2A9EC7D6">
      <w:pPr>
        <w:ind w:firstLine="462"/>
      </w:pPr>
      <w:r>
        <w:rPr>
          <w:rFonts w:hint="eastAsia"/>
        </w:rPr>
        <w:t>《规划》以海洋经济高质量发展为主题，按照“一港两区两基地”的发展定位，系统谋划海洋产业布局，扎实推进海洋经济转型升级，着力提升海洋治理能力现代化水平，全力打造“一轴两带三核多园区”的海洋发展新格局，使海洋经济成为推动广西经济高质量发展的重要增长极，把广西建设成为具有重要区域影响力的海洋强区。提升产业质量，构建现代海洋产业体系，包括现代海洋业、海洋交通运输业、海洋药物和生物制品业、海水综合利用业、海洋可再生能源利用业等。其中海洋交通运输业要求推进建设自动化、信息化与智慧化港口，大力发展江海联运，推动北部湾与西江流域的“江海联动”发展。</w:t>
      </w:r>
    </w:p>
    <w:p w14:paraId="286523C7">
      <w:pPr>
        <w:ind w:firstLine="462"/>
      </w:pPr>
      <w:r>
        <w:rPr>
          <w:rFonts w:hint="eastAsia"/>
        </w:rPr>
        <w:t>项目属于《北部湾港总体规划（2035年）》中的江海联运泊位，项目建设对发展江海联运、连通平陆运河工程有着重要的意义，项目建设与区域海洋产业发展政策相符。</w:t>
      </w:r>
    </w:p>
    <w:p w14:paraId="4B1A4443">
      <w:pPr>
        <w:pStyle w:val="5"/>
      </w:pPr>
      <w:r>
        <w:rPr>
          <w:rFonts w:hint="eastAsia"/>
        </w:rPr>
        <w:t>与近岸海域环境功能区划相符性分析</w:t>
      </w:r>
    </w:p>
    <w:p w14:paraId="49B9964E">
      <w:pPr>
        <w:ind w:firstLine="462"/>
      </w:pPr>
      <w:r>
        <w:t>根据《广西壮族自治区生态环境厅关于印发广西壮族自治区近岸海域环境功能区划调整方案的通知》（桂环发〔2023〕9号），工程位于钦州港大榄坪</w:t>
      </w:r>
      <w:bookmarkStart w:id="321" w:name="OLE_LINK136"/>
      <w:r>
        <w:t>排污混合区</w:t>
      </w:r>
      <w:bookmarkEnd w:id="321"/>
      <w:r>
        <w:t>（GX057DⅣ</w:t>
      </w:r>
      <w:r>
        <w:rPr>
          <w:rFonts w:hint="eastAsia"/>
        </w:rPr>
        <w:t>）</w:t>
      </w:r>
      <w:r>
        <w:t>，</w:t>
      </w:r>
      <w:r>
        <w:rPr>
          <w:rFonts w:hint="eastAsia"/>
        </w:rPr>
        <w:t>钦州港大榄坪排污混合区（</w:t>
      </w:r>
      <w:r>
        <w:t>GX057D</w:t>
      </w:r>
      <w:r>
        <w:rPr>
          <w:rFonts w:hint="eastAsia"/>
        </w:rPr>
        <w:t>Ⅳ）主导功能为港口、工业、生活排污用海，属四类环境功能区，水质保护目标为海水水质标准第四类</w:t>
      </w:r>
      <w:r>
        <w:rPr>
          <w:rFonts w:hint="eastAsia"/>
          <w:lang w:bidi="ar"/>
        </w:rPr>
        <w:t>；功能区周围设置</w:t>
      </w:r>
      <w:r>
        <w:rPr>
          <w:lang w:bidi="ar"/>
        </w:rPr>
        <w:t>0.5</w:t>
      </w:r>
      <w:r>
        <w:rPr>
          <w:rFonts w:eastAsia="华文楷体"/>
          <w:lang w:bidi="ar"/>
        </w:rPr>
        <w:t>km</w:t>
      </w:r>
      <w:r>
        <w:rPr>
          <w:rFonts w:hint="eastAsia"/>
          <w:lang w:bidi="ar"/>
        </w:rPr>
        <w:t>水质过渡带，水质保护目标为海水水质标准第三类。</w:t>
      </w:r>
    </w:p>
    <w:p w14:paraId="6FC8119D">
      <w:pPr>
        <w:ind w:firstLine="462"/>
      </w:pPr>
      <w:r>
        <w:t>项目为</w:t>
      </w:r>
      <w:r>
        <w:rPr>
          <w:rFonts w:hint="eastAsia"/>
        </w:rPr>
        <w:t>集装箱</w:t>
      </w:r>
      <w:r>
        <w:t>泊位，与规划区主导功能相符；项目在做好施工期及运营期环境保护及风险防范措施后，对区域主导环境功能基本无影响。因此，项目用海符合《广西壮族自治区近岸海域环境功能区划调整方案》对海区的环境功能区划要求。</w:t>
      </w:r>
    </w:p>
    <w:p w14:paraId="6958A7B9">
      <w:pPr>
        <w:ind w:firstLine="462"/>
      </w:pPr>
      <w:r>
        <w:t>项目与相关功能区划管理要求的符合性详见表2.</w:t>
      </w:r>
      <w:r>
        <w:rPr>
          <w:rFonts w:hint="eastAsia"/>
        </w:rPr>
        <w:t>4</w:t>
      </w:r>
      <w:r>
        <w:t>-</w:t>
      </w:r>
      <w:r>
        <w:rPr>
          <w:rFonts w:hint="eastAsia"/>
        </w:rPr>
        <w:t>7</w:t>
      </w:r>
      <w:r>
        <w:t>。</w:t>
      </w:r>
    </w:p>
    <w:p w14:paraId="09274F6F">
      <w:pPr>
        <w:pStyle w:val="7"/>
      </w:pPr>
      <w:r>
        <w:rPr>
          <w:rFonts w:hint="eastAsia"/>
        </w:rPr>
        <w:t>近岸海域环境功能区划</w:t>
      </w:r>
      <w:r>
        <w:t>符合性分析一览表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80"/>
        <w:gridCol w:w="3544"/>
        <w:gridCol w:w="3504"/>
      </w:tblGrid>
      <w:tr w14:paraId="5D7780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946" w:type="pct"/>
            <w:gridSpan w:val="2"/>
            <w:vAlign w:val="center"/>
          </w:tcPr>
          <w:p w14:paraId="441F0607">
            <w:pPr>
              <w:pStyle w:val="34"/>
            </w:pPr>
            <w:r>
              <w:t>规划管理要求</w:t>
            </w:r>
          </w:p>
        </w:tc>
        <w:tc>
          <w:tcPr>
            <w:tcW w:w="2054" w:type="pct"/>
            <w:vAlign w:val="center"/>
          </w:tcPr>
          <w:p w14:paraId="753716ED">
            <w:pPr>
              <w:pStyle w:val="34"/>
            </w:pPr>
            <w:r>
              <w:t>协调性分析</w:t>
            </w:r>
          </w:p>
        </w:tc>
      </w:tr>
      <w:tr w14:paraId="66720A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868" w:type="pct"/>
            <w:vMerge w:val="restart"/>
            <w:vAlign w:val="center"/>
          </w:tcPr>
          <w:p w14:paraId="4C97F81A">
            <w:pPr>
              <w:pStyle w:val="34"/>
            </w:pPr>
            <w:r>
              <w:t>《广西壮族自治区近岸海域环境功能区划调整方案》</w:t>
            </w:r>
          </w:p>
        </w:tc>
        <w:tc>
          <w:tcPr>
            <w:tcW w:w="2078" w:type="pct"/>
            <w:vAlign w:val="center"/>
          </w:tcPr>
          <w:p w14:paraId="7D15D868">
            <w:pPr>
              <w:pStyle w:val="34"/>
            </w:pPr>
            <w:r>
              <w:t>功能区名称：钦州港大榄坪排污混合区（GX057DⅣ</w:t>
            </w:r>
            <w:r>
              <w:rPr>
                <w:rFonts w:hint="eastAsia"/>
              </w:rPr>
              <w:t>）</w:t>
            </w:r>
          </w:p>
          <w:p w14:paraId="4A1BFB40">
            <w:pPr>
              <w:pStyle w:val="34"/>
            </w:pPr>
            <w:r>
              <w:t>主导功能：港口、工业</w:t>
            </w:r>
            <w:r>
              <w:rPr>
                <w:rFonts w:hint="eastAsia"/>
              </w:rPr>
              <w:t>、</w:t>
            </w:r>
            <w:r>
              <w:t>生活排污用海</w:t>
            </w:r>
          </w:p>
        </w:tc>
        <w:tc>
          <w:tcPr>
            <w:tcW w:w="2054" w:type="pct"/>
            <w:vAlign w:val="center"/>
          </w:tcPr>
          <w:p w14:paraId="2E82AEA0">
            <w:pPr>
              <w:pStyle w:val="34"/>
            </w:pPr>
            <w:r>
              <w:t>项目为港口建设项目，项目用途与规划主导功能相符。</w:t>
            </w:r>
          </w:p>
        </w:tc>
      </w:tr>
      <w:tr w14:paraId="5DFBC2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868" w:type="pct"/>
            <w:vMerge w:val="continue"/>
            <w:vAlign w:val="center"/>
          </w:tcPr>
          <w:p w14:paraId="401A78B9">
            <w:pPr>
              <w:pStyle w:val="34"/>
            </w:pPr>
          </w:p>
        </w:tc>
        <w:tc>
          <w:tcPr>
            <w:tcW w:w="2078" w:type="pct"/>
            <w:vAlign w:val="center"/>
          </w:tcPr>
          <w:p w14:paraId="52961B63">
            <w:pPr>
              <w:pStyle w:val="34"/>
            </w:pPr>
            <w:r>
              <w:t>水质保护目标：四类海水水质标准</w:t>
            </w:r>
          </w:p>
        </w:tc>
        <w:tc>
          <w:tcPr>
            <w:tcW w:w="2054" w:type="pct"/>
            <w:vAlign w:val="center"/>
          </w:tcPr>
          <w:p w14:paraId="63A5780F">
            <w:pPr>
              <w:pStyle w:val="34"/>
            </w:pPr>
            <w:r>
              <w:t>项目运营期无污染物外排入海，不会造成周边海域水质降低。与水质保护目标相符。</w:t>
            </w:r>
          </w:p>
        </w:tc>
      </w:tr>
    </w:tbl>
    <w:p w14:paraId="4B26870C">
      <w:pPr>
        <w:pStyle w:val="5"/>
      </w:pPr>
      <w:r>
        <w:rPr>
          <w:rFonts w:hint="eastAsia"/>
        </w:rPr>
        <w:t>与港池内现状排污口的相符性分析</w:t>
      </w:r>
    </w:p>
    <w:p w14:paraId="45668EF3">
      <w:pPr>
        <w:ind w:firstLine="462"/>
      </w:pPr>
      <w:r>
        <w:rPr>
          <w:rFonts w:hint="eastAsia"/>
        </w:rPr>
        <w:t>项目港池范围与近岸海域环境功能区A2混排区重叠，A2排污区内现状分布广西金桂浆纸业有限公司排污口，该排污口位于项目港池范围内；其次排污区边界（近岸）还分布有广西钦州北投环保水务有限公司排污口。</w:t>
      </w:r>
    </w:p>
    <w:bookmarkEnd w:id="172"/>
    <w:bookmarkEnd w:id="173"/>
    <w:bookmarkEnd w:id="174"/>
    <w:bookmarkEnd w:id="175"/>
    <w:bookmarkEnd w:id="176"/>
    <w:bookmarkEnd w:id="177"/>
    <w:bookmarkEnd w:id="178"/>
    <w:p w14:paraId="635B27F7">
      <w:pPr>
        <w:pStyle w:val="8"/>
        <w:rPr>
          <w:u w:val="single"/>
        </w:rPr>
      </w:pPr>
      <w:r>
        <w:rPr>
          <w:rFonts w:hint="eastAsia"/>
          <w:u w:val="single"/>
        </w:rPr>
        <w:t>现状排口与本项目建设范围位置关系图</w:t>
      </w:r>
    </w:p>
    <w:p w14:paraId="7F8F4145">
      <w:pPr>
        <w:ind w:firstLine="462"/>
      </w:pPr>
      <w:r>
        <w:rPr>
          <w:rFonts w:hint="eastAsia"/>
        </w:rPr>
        <w:t>2024年北部湾港钦州港域大榄坪港区大榄坪南作业区9号10号泊位扩建工程环境影响评价阶段对项目实施后现有两处排污口周边海域污染物浓度开展了模拟预测，基于岸线形成后对现状排污区占用、地形改变对海域扩散条件的改变，提出将2处排口向南侧海域迁改至扩散条件更好海域的建议。2024年11月码头建设业主广西钦州保税港区宏港码头有限公司承诺在9号10号泊位扩建工程设计阶段深化金桂浆纸业排污口、大榄坪污水处理厂排污口临时迁改方案，与9号10号泊位扩建工程建设同步实施。2024年12月该项目批复文件自贸钦审批环〔2024〕58号：“……建设单位在承诺本项目设计阶段深化大榄坪污水处理厂、金桂浆纸业排污口优化方案，并与项目建设同步实施……，我局原则同意你公司按照《报告书》中所列建设项目的地点、性质、规模、生产工艺、环境保护措施及本批复要求进行项目建设。”</w:t>
      </w:r>
    </w:p>
    <w:p w14:paraId="4FF62F37">
      <w:pPr>
        <w:ind w:firstLine="462"/>
      </w:pPr>
      <w:r>
        <w:rPr>
          <w:rFonts w:hint="eastAsia"/>
        </w:rPr>
        <w:t>现有排污口外迁工作目前正在有序推进，因金桂浆纸业公司现状排污口已位于本项目港池疏浚范围内，在其未完成迁改前，项目基本不具备实施条件；相关部门及单位应尽快推进排污口迁改工作落地，避免其对本项目施工造成影响。</w:t>
      </w:r>
    </w:p>
    <w:p w14:paraId="0EE264F7">
      <w:pPr>
        <w:ind w:firstLine="462"/>
        <w:sectPr>
          <w:pgSz w:w="11907" w:h="16840"/>
          <w:pgMar w:top="1440" w:right="1514" w:bottom="1440" w:left="1797" w:header="992" w:footer="851" w:gutter="284"/>
          <w:pgNumType w:fmt="numberInDash"/>
          <w:cols w:space="425" w:num="1"/>
          <w:docGrid w:type="linesAndChars" w:linePitch="465" w:charSpace="-1866"/>
        </w:sectPr>
      </w:pPr>
    </w:p>
    <w:p w14:paraId="18BF344B">
      <w:pPr>
        <w:pStyle w:val="3"/>
        <w:ind w:firstLine="737"/>
      </w:pPr>
      <w:bookmarkStart w:id="322" w:name="_Toc198042318"/>
      <w:bookmarkStart w:id="323" w:name="_Toc217977914"/>
      <w:r>
        <w:t>环境现状调查与评价</w:t>
      </w:r>
      <w:bookmarkEnd w:id="322"/>
      <w:bookmarkEnd w:id="323"/>
    </w:p>
    <w:p w14:paraId="7A45E354">
      <w:pPr>
        <w:pStyle w:val="4"/>
      </w:pPr>
      <w:bookmarkStart w:id="324" w:name="_Toc217977915"/>
      <w:bookmarkStart w:id="325" w:name="_Toc232154408"/>
      <w:bookmarkStart w:id="326" w:name="_Toc317003528"/>
      <w:bookmarkStart w:id="327" w:name="_Toc247517267"/>
      <w:bookmarkStart w:id="328" w:name="_Toc317003248"/>
      <w:bookmarkStart w:id="329" w:name="_Toc198042319"/>
      <w:bookmarkStart w:id="330" w:name="_Toc247517462"/>
      <w:bookmarkStart w:id="331" w:name="_Toc247517535"/>
      <w:bookmarkStart w:id="332" w:name="_Toc317003532"/>
      <w:bookmarkStart w:id="333" w:name="_Toc247517547"/>
      <w:bookmarkStart w:id="334" w:name="_Toc247517474"/>
      <w:bookmarkStart w:id="335" w:name="_Toc317003252"/>
      <w:bookmarkStart w:id="336" w:name="_Toc247517291"/>
      <w:bookmarkStart w:id="337" w:name="_Toc232154452"/>
      <w:r>
        <w:t>自然环境概况</w:t>
      </w:r>
      <w:bookmarkEnd w:id="324"/>
      <w:bookmarkEnd w:id="325"/>
      <w:bookmarkEnd w:id="326"/>
      <w:bookmarkEnd w:id="327"/>
      <w:bookmarkEnd w:id="328"/>
      <w:bookmarkEnd w:id="329"/>
      <w:bookmarkEnd w:id="330"/>
      <w:bookmarkEnd w:id="331"/>
    </w:p>
    <w:p w14:paraId="662F15A9">
      <w:pPr>
        <w:pStyle w:val="5"/>
      </w:pPr>
      <w:r>
        <w:t>地理位置</w:t>
      </w:r>
    </w:p>
    <w:p w14:paraId="375ECFE2">
      <w:pPr>
        <w:ind w:firstLine="494"/>
      </w:pPr>
      <w:r>
        <w:t>钦州港地处北部湾湾顶，钦州湾中部，三面环陆、一面向海，具有良好的天然深水水域和广阔的陆域。钦州港是我国西南地区最便捷的出海通道之一，背靠地域辽阔、蕴含丰富自然资源和发展潜力巨大的西南地区和华中地区，同时钦州港又是广西以南宁－钦州为中轴线的临海工业带的南部枢纽，地理位置十分优越。</w:t>
      </w:r>
    </w:p>
    <w:p w14:paraId="4B59E2A0">
      <w:pPr>
        <w:ind w:firstLine="494"/>
      </w:pPr>
      <w:r>
        <w:t>项目</w:t>
      </w:r>
      <w:r>
        <w:rPr>
          <w:rFonts w:hint="eastAsia"/>
        </w:rPr>
        <w:t>位于北部湾港钦州港域大榄坪港区大榄坪南作业区，北侧紧接已建9号10号泊位，南侧与规划的挖入式港池相接。</w:t>
      </w:r>
    </w:p>
    <w:p w14:paraId="5257DF94">
      <w:pPr>
        <w:pStyle w:val="5"/>
      </w:pPr>
      <w:r>
        <w:rPr>
          <w:rFonts w:hint="eastAsia"/>
        </w:rPr>
        <w:t>地质地貌</w:t>
      </w:r>
      <w:r>
        <w:t>与泥沙运动</w:t>
      </w:r>
    </w:p>
    <w:p w14:paraId="1029073C">
      <w:pPr>
        <w:pStyle w:val="6"/>
      </w:pPr>
      <w:r>
        <w:rPr>
          <w:rFonts w:hint="eastAsia"/>
        </w:rPr>
        <w:t>区域</w:t>
      </w:r>
      <w:r>
        <w:t>地质构造</w:t>
      </w:r>
    </w:p>
    <w:p w14:paraId="110753CE">
      <w:pPr>
        <w:ind w:firstLine="494"/>
      </w:pPr>
      <w:r>
        <w:rPr>
          <w:rFonts w:hint="eastAsia"/>
        </w:rPr>
        <w:t>工程区位于华夏陆块西部钦州褶皱系，合浦中新生代断陷盆地，其北西侧为六万大山凸起，东南为博白断褶带。区域上，主要发育两组断裂－灵山－藤县深断裂和岗中－小董断裂，其中，灵山－藤县深断裂位于钦州拗陷东南侧，由一系列平行断层组成。断裂控制沉积作用明显。断裂带内动力变质作用较强，但岩浆活动却较弱，西南段有华力西期花岗岩零星分布，而印支期小岩体见于东北段。</w:t>
      </w:r>
    </w:p>
    <w:p w14:paraId="6126B27E">
      <w:pPr>
        <w:ind w:firstLine="494"/>
      </w:pPr>
      <w:r>
        <w:rPr>
          <w:rFonts w:hint="eastAsia"/>
        </w:rPr>
        <w:t>钦州附近有少量晚白垩世火山岩。断裂在华力西旋回至印支亚旋回南升北降，通过志留系～上二叠统的断裂，多为倾向南东的冲断层。燕山亚旋回以来北升南降，通过侏罗系中的断层，多为倾向北西的冲断层。晚白垩世至第三纪盆地沉积多覆盖断裂，个别切割盆地的断裂为倾向北西的高角度正断层。断裂晚期活动强度减弱，并向张性转化。该断裂距离工程区较远；岗中－小董断裂位于钦州拗陷中部。其对华力西地槽沉积岩相、厚度并无显著影响，两侧缺失中、新生代陆相盆地沉积。但岩浆活动强烈，断裂多期性仍很明显。钦州小董一带，有晚二叠世至早三叠世酸性岩浆喷发，可能与断裂活动有关。华力西－印支期花岗岩沿断裂带呈狭长带状分布，个别印支期岩墙宽度仅8～200m，长度达18km，可见断裂是华力西至印支期岩浆活动的重要通道。大直以南，印支期花岗斑岩中的片理化及小董附近逆断层向正断层的转化，都说明其在印支亚旋回以后仍在持续活动。</w:t>
      </w:r>
    </w:p>
    <w:p w14:paraId="249A6F81">
      <w:pPr>
        <w:ind w:firstLine="494"/>
      </w:pPr>
      <w:r>
        <w:rPr>
          <w:rFonts w:hint="eastAsia"/>
        </w:rPr>
        <w:t>该断裂距离工程区较远。工程区内构造、断裂不发育。</w:t>
      </w:r>
    </w:p>
    <w:p w14:paraId="53B478A3">
      <w:pPr>
        <w:pStyle w:val="6"/>
      </w:pPr>
      <w:r>
        <w:rPr>
          <w:rFonts w:hint="eastAsia"/>
        </w:rPr>
        <w:t>区域</w:t>
      </w:r>
      <w:r>
        <w:t>地貌特征</w:t>
      </w:r>
    </w:p>
    <w:p w14:paraId="4D84D7B6">
      <w:pPr>
        <w:ind w:firstLine="494"/>
      </w:pPr>
      <w:r>
        <w:rPr>
          <w:rFonts w:hint="eastAsia"/>
        </w:rPr>
        <w:t>钦州湾是冰后期海平面上升，海水淹没钦江和茅岭江古河谷而形成的典型的巨型溺谷湾。该湾深入内陆，岸线蜿蜒曲折，海底地形起伏不平，在沿岸河流水动力和海洋水动力的共同作用下，形成了各种各样的水下动力地貌（图3.1-1）。</w:t>
      </w:r>
    </w:p>
    <w:tbl>
      <w:tblPr>
        <w:tblStyle w:val="88"/>
        <w:tblW w:w="0" w:type="auto"/>
        <w:tblInd w:w="0" w:type="dxa"/>
        <w:tblLayout w:type="autofit"/>
        <w:tblCellMar>
          <w:top w:w="0" w:type="dxa"/>
          <w:left w:w="108" w:type="dxa"/>
          <w:bottom w:w="0" w:type="dxa"/>
          <w:right w:w="108" w:type="dxa"/>
        </w:tblCellMar>
      </w:tblPr>
      <w:tblGrid>
        <w:gridCol w:w="8528"/>
      </w:tblGrid>
      <w:tr w14:paraId="655BD313">
        <w:tblPrEx>
          <w:tblCellMar>
            <w:top w:w="0" w:type="dxa"/>
            <w:left w:w="108" w:type="dxa"/>
            <w:bottom w:w="0" w:type="dxa"/>
            <w:right w:w="108" w:type="dxa"/>
          </w:tblCellMar>
        </w:tblPrEx>
        <w:tc>
          <w:tcPr>
            <w:tcW w:w="8528" w:type="dxa"/>
            <w:tcBorders>
              <w:top w:val="nil"/>
              <w:left w:val="nil"/>
              <w:bottom w:val="nil"/>
              <w:right w:val="nil"/>
            </w:tcBorders>
            <w:vAlign w:val="center"/>
          </w:tcPr>
          <w:p w14:paraId="7C543A6E">
            <w:pPr>
              <w:ind w:firstLine="494"/>
            </w:pPr>
          </w:p>
          <w:p w14:paraId="46527B95">
            <w:pPr>
              <w:pStyle w:val="8"/>
            </w:pPr>
            <w:r>
              <w:rPr>
                <w:rFonts w:hint="eastAsia"/>
              </w:rPr>
              <w:t>钦州港水下动力地貌图</w:t>
            </w:r>
          </w:p>
        </w:tc>
      </w:tr>
    </w:tbl>
    <w:p w14:paraId="0EBD78D7">
      <w:pPr>
        <w:ind w:firstLine="494"/>
      </w:pPr>
      <w:r>
        <w:rPr>
          <w:rFonts w:hint="eastAsia"/>
        </w:rPr>
        <w:t>（1）潮间浅滩：广泛分布于茅尾海、龙门、金鼓江、鹿耳环江和钦州湾东、西两侧湾以及三娘湾沿岸潮间带。潮滩宽阔平坦，一般宽1～3km，最宽的潮滩分布在茅尾海，宽度达4～6km，其次为东岸金鼓江淡水湾沿岸和西岸沙螺寮至山新沿岸一带，宽度2～4km，坡度为1.0</w:t>
      </w:r>
      <w:r>
        <w:t>‰～2.0‰，位于湾中部勒沟－果子山－鹰岭一带的潮滩最窄，仅0.1～0.3km，坡度较陡，为2.8‰。潮滩受入海河流、沿岸流、近海潮流及波浪作用的影响。潮滩沉积物的粒度由低潮滩</w:t>
      </w:r>
      <w:r>
        <w:rPr>
          <w:rFonts w:hint="eastAsia"/>
        </w:rPr>
        <w:t>向高潮滩逐渐变细，泥质含量逐渐增多，分选性差，如茅尾海南定坪和中部东岸果子山的潮滩最为典型。潮滩的上部往往生长莎草和红树林。茅尾海顶部一带潮滩最上部由于人工围塘而开辟为水稻田和虾蟹养殖塘。潮间浅滩按其沉积物粗细及组成特征可划分为沙滩、沙泥滩、红树林滩。其中，沙滩主要见于钦州湾外湾西南山新－下底坡一带沿海潮间带和三娘湾潮间带中、下部以及麻蓝岛南部沿岸，沉积物有中细砂组成；淤泥滩主要分布在茅尾海沿岸潮间带和金鼓江－鹿耳环江－犀牛脚以及龙门－朱沙港一带，潮间带沉积物以粘土为主，约占 60%，砂次之，约 40%；红树林滩主要见于钦江河口东侧沿岸，茅尾海西岸，金鼓江、鹿耳环江两侧潮间带中、上部，沉积物组成复杂，由粘土、粉砂、砂组成。</w:t>
      </w:r>
    </w:p>
    <w:p w14:paraId="15D18A07">
      <w:pPr>
        <w:ind w:firstLine="494"/>
      </w:pPr>
      <w:r>
        <w:rPr>
          <w:rFonts w:hint="eastAsia"/>
        </w:rPr>
        <w:t>（2）河口沙坝：发育于钦江、茅岭江河口湾内，较大规模的有四道：紫沙、四方沙、按马沙河石西沙。这四道沙坝走向均呈南北向，与潮流流向一致，最大长度约2.3km，最大宽度约1.0km。沉积物中为中砂和细砂，分选性从好到差均有，泥质含量较少，为0～14%，重矿物含量为.31%～2.72%。这些河口沙坝的成因主要是来自茅尾海南部潮流和北部径流相互作用，流速骤减而沉积形成的。</w:t>
      </w:r>
    </w:p>
    <w:p w14:paraId="22A8F1AE">
      <w:pPr>
        <w:ind w:firstLine="494"/>
      </w:pPr>
      <w:r>
        <w:rPr>
          <w:rFonts w:hint="eastAsia"/>
        </w:rPr>
        <w:t>（3）潮沟：普遍发育于潮间浅滩和深入内陆的潮流汊道地带，一般在高潮期被淹没。低潮期间出露，其与潮滩的滩面高差2～5m，宽50～100m，长2～30km不等，为潮流或径流的通道，可作为小型渔船的天然航道。潮沟的沉积物粗细取决于水动力条件和潮滩的垂向沉积物，通常在流速急而大的潮沟为砂质沉积，如茅尾海的钦江口外和茅岭江口外的潮沟为中砂和中细砂；在流速慢而小的潮沟为泥质沉积，如金鼓江和鹿耳环江潮流汊道沉积物为砂质淤泥。</w:t>
      </w:r>
    </w:p>
    <w:p w14:paraId="464C7076">
      <w:pPr>
        <w:ind w:firstLine="494"/>
      </w:pPr>
      <w:r>
        <w:rPr>
          <w:rFonts w:hint="eastAsia"/>
        </w:rPr>
        <w:t>（4）潮流沙脊：发育于钦州湾外湾一带海区，规模较大的潮流沙脊为老人沙，长7.5km，宽约0.7km，长宽比为10.7，沙体走向为NNW，低潮时露出水面，与相邻的深槽水深相差7m左右。老人沙两侧还有两个小型潮流沙脊在低潮露出水面，组成一个“小”字形，脊潮相间排列，呈辐射状分布。潮流沙脊的沉积物主要为细砂，分选性很好到中等，其中粉砂质成分的含量很低（0～14%）；相邻的深槽沉积物粗细无规律，分选性差，这与潮流的速度、槽的深浅及物源等多种因素有关。</w:t>
      </w:r>
    </w:p>
    <w:p w14:paraId="7D8326F2">
      <w:pPr>
        <w:ind w:firstLine="494"/>
      </w:pPr>
      <w:r>
        <w:rPr>
          <w:rFonts w:hint="eastAsia"/>
        </w:rPr>
        <w:t>（5）潮流深槽：钦州湾潮流深槽相当发育，贯通内外湾的主槽在湾中部外端呈指状分叉呈三道，最长的达27km，一般水深为5～10m，最大水深达18.6m，深槽北部沉积物有砂砾物质组成，南部东侧深槽沉积物由泥质砂和中细砂组成，西侧深槽由粗砂或细中砂组成，中间深槽由含砾粗砂组成，潮流深槽为涨、落潮流冲刷海底而成，湾内落潮流速大于涨潮流速，为维持深槽稳定性创造了必要的条件，目前深槽北部已开发为钦州港和龙门港的港池及锚地，南部东、西两道深槽已开发成为钦州港东进港航道和西进港航道，矿区便处于两航道之间。</w:t>
      </w:r>
    </w:p>
    <w:p w14:paraId="2B7A0814">
      <w:pPr>
        <w:ind w:firstLine="494"/>
      </w:pPr>
      <w:r>
        <w:rPr>
          <w:rFonts w:hint="eastAsia"/>
        </w:rPr>
        <w:t>（6）水下拦门浅滩：发育于钦州湾外湾口门潮流冲刷深槽南端，大潮低潮时水深在2～5m之间，宽1.5～4.0km，与潮流沙脊和潮流流向成垂直关系，但与南向波浪基本平行。其形成原因是潮流和南向波浪共同作用。拦门浅滩沉积物由细砂组成，地形微起伏，向南缓倾斜，坡度为0.1‰～1.5‰，沉积物中碎屑重矿物含量较高，均在1.0%～5.0%之间。</w:t>
      </w:r>
    </w:p>
    <w:p w14:paraId="0394ABFB">
      <w:pPr>
        <w:ind w:firstLine="494"/>
      </w:pPr>
      <w:r>
        <w:rPr>
          <w:rFonts w:hint="eastAsia"/>
        </w:rPr>
        <w:t>（7）水下斜坡：发育于钦州湾口门外水深5～12m之间，宽4.0～8.0km，西部较窄，东部较宽。水下斜坡的外缘水深为10～13m，且东部水深大，西部水深小，其坡度近岸陡，一般为0.5‰～1.2‰，向海坡度变缓0.1‰～1.0‰。水下斜坡表层沉积物为砂－粉砂－粘土覆盖，沉积物中含较多贝壳碎片和完整贝壳，局部夹有砂质粘土团块，具虫管、钙质骨针。沉积物中有孔虫群含量丰富，一般每50g干样含500～5000枚，最多达10000枚，其中有孔虫遭受磨损严重，尤其是瓷质贝壳类最为明显，在被磨穿的有孔虫壳体内充填有自生黄铁矿之类矿物。</w:t>
      </w:r>
    </w:p>
    <w:p w14:paraId="79965EF2">
      <w:pPr>
        <w:ind w:firstLine="494"/>
      </w:pPr>
      <w:r>
        <w:rPr>
          <w:rFonts w:hint="eastAsia"/>
        </w:rPr>
        <w:t>（8）潮下带（水下岸坡）</w:t>
      </w:r>
    </w:p>
    <w:p w14:paraId="18C574E9">
      <w:pPr>
        <w:ind w:firstLine="494"/>
      </w:pPr>
      <w:r>
        <w:rPr>
          <w:rFonts w:hint="eastAsia"/>
        </w:rPr>
        <w:t>主要分布于金鼓江浅滩东南侧和钦州湾两侧三块石附近海域。该潮下带属于近岸陆坡向海延伸部分，水深一般为0.2m～1.2m，金鼓江浅滩东南侧的水下岸坡较宽，达3km以上，而三块石水下岸坡宽只有 0.5m～1.0m。潮下带的物质组成以细砂为主，含少许淤泥。</w:t>
      </w:r>
    </w:p>
    <w:p w14:paraId="6A22C005">
      <w:pPr>
        <w:ind w:firstLine="494"/>
      </w:pPr>
      <w:r>
        <w:rPr>
          <w:rFonts w:hint="eastAsia"/>
        </w:rPr>
        <w:t>（9）水下岩滩</w:t>
      </w:r>
    </w:p>
    <w:p w14:paraId="522D748E">
      <w:pPr>
        <w:ind w:firstLine="494"/>
      </w:pPr>
      <w:r>
        <w:rPr>
          <w:rFonts w:hint="eastAsia"/>
        </w:rPr>
        <w:t>水下岩滩主要分布于亚公山东南侧的将军石，果子山附近深槽西侧的小鸦石、乱石和青菜头附近的小鬼石、老鸦石等。这些水下岩滩一般称之水下礁石（暗礁），有部分在低潮时出露（如将军石）。涨潮时才淹没，其特点是对航船是有很大威胁性。因为它们都处于航道附近。</w:t>
      </w:r>
    </w:p>
    <w:p w14:paraId="34DD4547">
      <w:pPr>
        <w:ind w:firstLine="494"/>
      </w:pPr>
      <w:r>
        <w:rPr>
          <w:rFonts w:hint="eastAsia"/>
        </w:rPr>
        <w:t>（10）深水航道</w:t>
      </w:r>
    </w:p>
    <w:p w14:paraId="27B77888">
      <w:pPr>
        <w:ind w:firstLine="494"/>
      </w:pPr>
      <w:r>
        <w:rPr>
          <w:rFonts w:hint="eastAsia"/>
        </w:rPr>
        <w:t>钦州港规划航道包括从外海进入钦州湾内的钦州湾西航道和钦州湾东航道、茅尾海内的茅岭航道和沙井航道、鹿耳环江内的乌雷航道。</w:t>
      </w:r>
    </w:p>
    <w:p w14:paraId="4497B4AD">
      <w:pPr>
        <w:ind w:firstLine="494"/>
      </w:pPr>
      <w:r>
        <w:rPr>
          <w:rFonts w:hint="eastAsia"/>
        </w:rPr>
        <w:t>1、钦州湾西航道</w:t>
      </w:r>
    </w:p>
    <w:p w14:paraId="0AFB1E54">
      <w:pPr>
        <w:ind w:firstLine="494"/>
      </w:pPr>
      <w:r>
        <w:rPr>
          <w:rFonts w:hint="eastAsia"/>
        </w:rPr>
        <w:t>钦州湾西航道规划扩建至10万吨级单向航道，通航宽度210m，设计底高程-14.3m。</w:t>
      </w:r>
    </w:p>
    <w:p w14:paraId="5EC728F2">
      <w:pPr>
        <w:ind w:firstLine="494"/>
      </w:pPr>
      <w:r>
        <w:rPr>
          <w:rFonts w:hint="eastAsia"/>
        </w:rPr>
        <w:t>2、钦州湾东航道</w:t>
      </w:r>
    </w:p>
    <w:p w14:paraId="197AC11B">
      <w:pPr>
        <w:ind w:firstLine="494"/>
      </w:pPr>
      <w:r>
        <w:rPr>
          <w:rFonts w:hint="eastAsia"/>
        </w:rPr>
        <w:t>钦州湾东航道外海至三墩西作业区30万吨级油码头段规划为30万吨级单向航道，通航宽度320m，设计底高程-21.7m；三墩西作业区30万吨级油码头南侧向东北至三墩港区北港池段规划为20万吨级单向航道，通航宽度270m，设计底高程-17.8m；外海至大榄坪南作业区9号泊位段规划为20万吨级双向航道，通航宽度460～526m，设计底高程-16.3m，满足20万吨级集装箱船双向通航；大榄坪南作业区8号泊位至1号泊位段规划为10万吨级双向航道，通航宽度360m，设计底高程-15.2m，满足10万吨级集装箱船双向通航；鹰岭作业区至樟木环作业区段规划为10万吨级单向航道、5万吨级双向航道，通航宽度240m，设计底高程-11.6～-14.3m。金鼓江内的金鼓江航道规划为0.5万～7万吨级单向航道，通航宽度75.8～183m，设计底高程-5.2～-15.2m。</w:t>
      </w:r>
    </w:p>
    <w:p w14:paraId="154EDF96">
      <w:pPr>
        <w:ind w:firstLine="494"/>
      </w:pPr>
      <w:r>
        <w:rPr>
          <w:rFonts w:hint="eastAsia"/>
        </w:rPr>
        <w:t>3、茅岭航道</w:t>
      </w:r>
    </w:p>
    <w:p w14:paraId="0DE42881">
      <w:pPr>
        <w:ind w:firstLine="494"/>
      </w:pPr>
      <w:r>
        <w:rPr>
          <w:rFonts w:hint="eastAsia"/>
        </w:rPr>
        <w:t>茅岭航道由樟木环至茅岭江口，规划为3000吨级单向航道，通航宽度84m，设计底高程-5.4m。</w:t>
      </w:r>
    </w:p>
    <w:p w14:paraId="04F29A62">
      <w:pPr>
        <w:ind w:firstLine="494"/>
      </w:pPr>
      <w:r>
        <w:rPr>
          <w:rFonts w:hint="eastAsia"/>
        </w:rPr>
        <w:t>4、沙井航道</w:t>
      </w:r>
    </w:p>
    <w:p w14:paraId="6A1959F2">
      <w:pPr>
        <w:ind w:firstLine="494"/>
      </w:pPr>
      <w:r>
        <w:rPr>
          <w:rFonts w:hint="eastAsia"/>
        </w:rPr>
        <w:t>沙井航道由樟木环至沙井，规划为2万总吨客船航道，兼顾5000吨级江海轮双向通航，通航宽度118～135m，设计底高程-7.9m。</w:t>
      </w:r>
    </w:p>
    <w:p w14:paraId="699C8987">
      <w:pPr>
        <w:ind w:firstLine="494"/>
      </w:pPr>
      <w:r>
        <w:rPr>
          <w:rFonts w:hint="eastAsia"/>
        </w:rPr>
        <w:t>5、乌雷航道</w:t>
      </w:r>
    </w:p>
    <w:p w14:paraId="35550079">
      <w:pPr>
        <w:ind w:firstLine="494"/>
      </w:pPr>
      <w:r>
        <w:rPr>
          <w:rFonts w:hint="eastAsia"/>
        </w:rPr>
        <w:t>鹿耳环江内的乌雷航道规划为3万总吨客船航道，通航宽度132m，设计底高程-8.5m。</w:t>
      </w:r>
    </w:p>
    <w:p w14:paraId="18FFE22C">
      <w:pPr>
        <w:ind w:firstLine="494"/>
      </w:pPr>
      <w:r>
        <w:rPr>
          <w:rFonts w:hint="eastAsia"/>
        </w:rPr>
        <w:t>工程可利用钦州港东航道现状南段航道、三墩航道、大榄坪航道1、大榄坪航道2（至大榄坪9号泊位航段）进出港。</w:t>
      </w:r>
    </w:p>
    <w:p w14:paraId="2B947F03">
      <w:pPr>
        <w:ind w:firstLine="494"/>
      </w:pPr>
      <w:r>
        <w:rPr>
          <w:rFonts w:hint="eastAsia"/>
        </w:rPr>
        <w:t>（11）落潮三角洲（水下拦门浅滩）</w:t>
      </w:r>
    </w:p>
    <w:p w14:paraId="7AD96570">
      <w:pPr>
        <w:ind w:firstLine="494"/>
      </w:pPr>
      <w:r>
        <w:rPr>
          <w:rFonts w:hint="eastAsia"/>
        </w:rPr>
        <w:t>发育于钦州湾口门至湾口海域，口门处与深槽、砂脊相间排列，水深在0.5m～1.2m之间；湾口处与潮流砂脊、潮流流向成垂直关系，与南向波浪基本平行，水深在2m～5m之间，其形成原因是由于潮流和南向波浪共同作用。浅滩面较为平坦，微向海（南）倾斜，坡度为0.05%～0.12%，沉积物主要为细砂组成，与潮流砂脊物质组成相近。</w:t>
      </w:r>
    </w:p>
    <w:p w14:paraId="0115613E">
      <w:pPr>
        <w:ind w:firstLine="494"/>
      </w:pPr>
      <w:r>
        <w:rPr>
          <w:rFonts w:hint="eastAsia"/>
        </w:rPr>
        <w:t>工程位于外湾金鼓江入海口南侧，为近岸浅海区。根据场地勘察资料，附近工地正在施工开挖，场地地面起伏较大，地面高程为0.3～-7.43m，在码头前沿线位置地面高程相对较高，地面均被海水淹没，为滨海-浅海带，属浅海地貌。</w:t>
      </w:r>
    </w:p>
    <w:p w14:paraId="2C403C33">
      <w:pPr>
        <w:pStyle w:val="6"/>
      </w:pPr>
      <w:r>
        <w:rPr>
          <w:rFonts w:hint="eastAsia"/>
        </w:rPr>
        <w:t>泥沙运动</w:t>
      </w:r>
    </w:p>
    <w:p w14:paraId="37523E9B">
      <w:pPr>
        <w:ind w:firstLine="494"/>
      </w:pPr>
      <w:r>
        <w:rPr>
          <w:rFonts w:hint="eastAsia"/>
        </w:rPr>
        <w:t>钦州湾面积宽广，有17种沉积物类型，分布复杂，但仍有规律可循。沉积物分布与地貌部位及水动力条件密切相关。茅尾海既为内湾纳潮水域，又为钦江和茅岭江入海河口湾，沉积物较细，中值粒径约0.25～0.015mm。龙门岛东部通道峡谷深槽上下及南向潮流冲刷槽，底质较粗，中径约1.0～0.25mm。落潮三角洲潮流冲刷槽之间的沙脊、沙坝和海湾两侧滩地及浅水区，中径约0.5～0.063mm。钦州湾外5～10m水下岸坡，中径一般小于0.063mm。</w:t>
      </w:r>
    </w:p>
    <w:p w14:paraId="693889A0">
      <w:pPr>
        <w:ind w:firstLine="494"/>
      </w:pPr>
      <w:r>
        <w:rPr>
          <w:rFonts w:hint="eastAsia"/>
        </w:rPr>
        <w:t>钦州湾内湾的茅尾海北面有茅岭江和钦江注入，其中茅岭江年径流量为15.97亿m</w:t>
      </w:r>
      <w:r>
        <w:rPr>
          <w:rFonts w:hint="eastAsia"/>
          <w:vertAlign w:val="superscript"/>
        </w:rPr>
        <w:t>3</w:t>
      </w:r>
      <w:r>
        <w:rPr>
          <w:rFonts w:hint="eastAsia"/>
        </w:rPr>
        <w:t>，年均输沙量为31.86万t；钦江年径流量为11.69亿m</w:t>
      </w:r>
      <w:r>
        <w:rPr>
          <w:rFonts w:hint="eastAsia"/>
          <w:vertAlign w:val="superscript"/>
        </w:rPr>
        <w:t>3</w:t>
      </w:r>
      <w:r>
        <w:rPr>
          <w:rFonts w:hint="eastAsia"/>
        </w:rPr>
        <w:t>，年均输沙量为26.99万t。两河携带来的泥沙，绝大部分沉积在河口区和茅尾海内，只有极少量极细的颗粒才会随潮进入钦州湾。据2003年8～9月的水文观测，大潮期最大含沙量出现在湾颈处，垂线平均含沙量最大值为0.143kg/m</w:t>
      </w:r>
      <w:r>
        <w:rPr>
          <w:rFonts w:hint="eastAsia"/>
          <w:vertAlign w:val="superscript"/>
        </w:rPr>
        <w:t>3</w:t>
      </w:r>
      <w:r>
        <w:rPr>
          <w:rFonts w:hint="eastAsia"/>
        </w:rPr>
        <w:t>，外湾其他各站海水含沙量相对较小，一般在0.002～0.100kg/m</w:t>
      </w:r>
      <w:r>
        <w:rPr>
          <w:rFonts w:hint="eastAsia"/>
          <w:vertAlign w:val="superscript"/>
        </w:rPr>
        <w:t>3</w:t>
      </w:r>
      <w:r>
        <w:rPr>
          <w:rFonts w:hint="eastAsia"/>
        </w:rPr>
        <w:t>。水体含沙浓度平面分布，夏季以钦州港区水域相对较高，平均为0.039kg/m</w:t>
      </w:r>
      <w:r>
        <w:rPr>
          <w:rFonts w:hint="eastAsia"/>
          <w:vertAlign w:val="superscript"/>
        </w:rPr>
        <w:t>3</w:t>
      </w:r>
      <w:r>
        <w:rPr>
          <w:rFonts w:hint="eastAsia"/>
        </w:rPr>
        <w:t>，其次是钦州湾北部和中部水域均为0.008kg/m</w:t>
      </w:r>
      <w:r>
        <w:rPr>
          <w:rFonts w:hint="eastAsia"/>
          <w:vertAlign w:val="superscript"/>
        </w:rPr>
        <w:t>3</w:t>
      </w:r>
      <w:r>
        <w:rPr>
          <w:rFonts w:hint="eastAsia"/>
        </w:rPr>
        <w:t>，钦州湾南部水域较低，平均为0.004kg/m</w:t>
      </w:r>
      <w:r>
        <w:rPr>
          <w:rFonts w:hint="eastAsia"/>
          <w:vertAlign w:val="superscript"/>
        </w:rPr>
        <w:t>3</w:t>
      </w:r>
      <w:r>
        <w:rPr>
          <w:rFonts w:hint="eastAsia"/>
        </w:rPr>
        <w:t>；冬季钦州湾北部水域平均为0.009kg/m</w:t>
      </w:r>
      <w:r>
        <w:rPr>
          <w:rFonts w:hint="eastAsia"/>
          <w:vertAlign w:val="superscript"/>
        </w:rPr>
        <w:t>3</w:t>
      </w:r>
      <w:r>
        <w:rPr>
          <w:rFonts w:hint="eastAsia"/>
        </w:rPr>
        <w:t>，其次是钦州港区和钦州湾中部水域均为0.008kg/m</w:t>
      </w:r>
      <w:r>
        <w:rPr>
          <w:rFonts w:hint="eastAsia"/>
          <w:vertAlign w:val="superscript"/>
        </w:rPr>
        <w:t>3</w:t>
      </w:r>
      <w:r>
        <w:rPr>
          <w:rFonts w:hint="eastAsia"/>
        </w:rPr>
        <w:t>，钦州湾南部水域较低，平均为0.005kg/m</w:t>
      </w:r>
      <w:r>
        <w:rPr>
          <w:rFonts w:hint="eastAsia"/>
          <w:vertAlign w:val="superscript"/>
        </w:rPr>
        <w:t>3</w:t>
      </w:r>
      <w:r>
        <w:rPr>
          <w:rFonts w:hint="eastAsia"/>
        </w:rPr>
        <w:t>。除钦州港区夏季测验时水体含沙浓度受挖泥船影响外，总体上平面分布比较均匀。含沙量较小，与流速关系不明显。</w:t>
      </w:r>
    </w:p>
    <w:p w14:paraId="3904A208">
      <w:pPr>
        <w:ind w:firstLine="494"/>
      </w:pPr>
      <w:r>
        <w:rPr>
          <w:rFonts w:hint="eastAsia"/>
        </w:rPr>
        <w:t>本地区常风向北向，为离岸风，波浪对海岸作用较小。虽S～SW为强浪向，但浪高平均仅为0.6m左右。本海区潮汐动力较强，平均潮差2.51m，最大潮差5.52m，基于上述特点，本区海岸泥沙运动有如下特点：</w:t>
      </w:r>
    </w:p>
    <w:p w14:paraId="01C8DDC2">
      <w:pPr>
        <w:ind w:firstLine="494"/>
      </w:pPr>
      <w:r>
        <w:rPr>
          <w:rFonts w:hint="eastAsia"/>
        </w:rPr>
        <w:t>（1）泥沙来源不大</w:t>
      </w:r>
    </w:p>
    <w:p w14:paraId="11F00E95">
      <w:pPr>
        <w:ind w:firstLine="494"/>
      </w:pPr>
      <w:r>
        <w:rPr>
          <w:rFonts w:hint="eastAsia"/>
        </w:rPr>
        <w:t>①茅岭江和钦江从钦州湾顶注入，但其径流量不大，夹带泥沙有限，且比降骤降，径流携带的泥沙几乎全部沉积在茅尾海中。</w:t>
      </w:r>
    </w:p>
    <w:p w14:paraId="416C18F6">
      <w:pPr>
        <w:ind w:firstLine="494"/>
      </w:pPr>
      <w:r>
        <w:rPr>
          <w:rFonts w:hint="eastAsia"/>
        </w:rPr>
        <w:t>②钦州湾口处普遍发育有拦门沙，虽潮汐动力较强，但波浪掀沙能力较弱，因而泥沙进入港湾很少。据当地海军多年观察，该拦门沙一直没有扩大和延伸。</w:t>
      </w:r>
    </w:p>
    <w:p w14:paraId="6B067400">
      <w:pPr>
        <w:ind w:firstLine="494"/>
      </w:pPr>
      <w:r>
        <w:rPr>
          <w:rFonts w:hint="eastAsia"/>
        </w:rPr>
        <w:t>③钦州湾内含沙量低</w:t>
      </w:r>
    </w:p>
    <w:p w14:paraId="719D0DA5">
      <w:pPr>
        <w:ind w:firstLine="494"/>
      </w:pPr>
      <w:r>
        <w:rPr>
          <w:rFonts w:hint="eastAsia"/>
        </w:rPr>
        <w:t>根据天津水利科学研究所实测资料：最大含沙量：0.08kg/m</w:t>
      </w:r>
      <w:r>
        <w:rPr>
          <w:rFonts w:hint="eastAsia"/>
          <w:vertAlign w:val="superscript"/>
        </w:rPr>
        <w:t>3</w:t>
      </w:r>
      <w:r>
        <w:rPr>
          <w:rFonts w:hint="eastAsia"/>
        </w:rPr>
        <w:t>，夏季含沙量：0.05kg/m</w:t>
      </w:r>
      <w:r>
        <w:rPr>
          <w:rFonts w:hint="eastAsia"/>
          <w:vertAlign w:val="superscript"/>
        </w:rPr>
        <w:t>3</w:t>
      </w:r>
      <w:r>
        <w:rPr>
          <w:rFonts w:hint="eastAsia"/>
        </w:rPr>
        <w:t>，冬季含沙量：0.03kg/m</w:t>
      </w:r>
      <w:r>
        <w:rPr>
          <w:rFonts w:hint="eastAsia"/>
          <w:vertAlign w:val="superscript"/>
        </w:rPr>
        <w:t>3</w:t>
      </w:r>
      <w:r>
        <w:rPr>
          <w:rFonts w:hint="eastAsia"/>
        </w:rPr>
        <w:t>。</w:t>
      </w:r>
    </w:p>
    <w:p w14:paraId="312177A4">
      <w:pPr>
        <w:ind w:firstLine="494"/>
      </w:pPr>
      <w:r>
        <w:rPr>
          <w:rFonts w:hint="eastAsia"/>
        </w:rPr>
        <w:t>勒沟泾东岸有大片洼塘与勒沟泾相通，部分泥沙随地表径流进入洼塘，随涨落潮或洪水带出，但泥沙量不大，且大部分落于勒沟泾口以北。随着钦州港的逐步开发，洼塘填平形成陆域后，自然解决。</w:t>
      </w:r>
    </w:p>
    <w:p w14:paraId="6BF79C6D">
      <w:pPr>
        <w:ind w:firstLine="494"/>
      </w:pPr>
      <w:r>
        <w:rPr>
          <w:rFonts w:hint="eastAsia"/>
        </w:rPr>
        <w:t>（2）以落潮为主的潮汐水道，平均涨潮历时10h23min，平均落潮历时8h。因落潮流速大于涨潮流速，随涨潮入港之泥沙由落潮水流带出港外，使港区处于不淤或少淤状态。综上所述，本海域不存在大规模泥沙运动，在较强的涨落潮流作用下，港区无明显泥沙冲淤，基本保持动态平衡。</w:t>
      </w:r>
    </w:p>
    <w:p w14:paraId="1538F73D">
      <w:pPr>
        <w:pStyle w:val="6"/>
      </w:pPr>
      <w:r>
        <w:rPr>
          <w:rFonts w:hint="eastAsia"/>
        </w:rPr>
        <w:t>项目区地质条件</w:t>
      </w:r>
    </w:p>
    <w:p w14:paraId="45719987">
      <w:pPr>
        <w:ind w:firstLine="494"/>
      </w:pPr>
      <w:r>
        <w:rPr>
          <w:rFonts w:hint="eastAsia"/>
        </w:rPr>
        <w:t>项目所在场地各岩土层特征分述如下：</w:t>
      </w:r>
    </w:p>
    <w:p w14:paraId="321BBCFD">
      <w:pPr>
        <w:ind w:firstLine="494"/>
      </w:pPr>
      <w:r>
        <w:rPr>
          <w:rFonts w:hint="eastAsia"/>
        </w:rPr>
        <w:t>I</w:t>
      </w:r>
      <w:r>
        <w:rPr>
          <w:rFonts w:hint="eastAsia"/>
          <w:vertAlign w:val="subscript"/>
        </w:rPr>
        <w:t>0</w:t>
      </w:r>
      <w:r>
        <w:rPr>
          <w:rFonts w:hint="eastAsia"/>
        </w:rPr>
        <w:t xml:space="preserve"> 灰黄色淤泥</w:t>
      </w:r>
    </w:p>
    <w:p w14:paraId="6D2E13CB">
      <w:pPr>
        <w:ind w:firstLine="494"/>
      </w:pPr>
      <w:r>
        <w:rPr>
          <w:rFonts w:hint="eastAsia"/>
        </w:rPr>
        <w:t>饱和，流塑。土质较均匀，切面光滑，含少量贝壳碎片和砂颗粒，具腥臭味。韧性高，干强度高，摇震反应明显。该层为新近淤积，一般直接出露于海底，或被填土层覆盖。该层属高压缩性土，土质极软，力学强度低，工程性质差，该层仅堆场区钻孔ZK3、ZK10，码头区钻孔SG4、SG7和港池区钻孔SY1中揭露，顶板标高为－1.0～－5.5m，厚度为0.5～3.5m。</w:t>
      </w:r>
    </w:p>
    <w:p w14:paraId="1BBA4371">
      <w:pPr>
        <w:ind w:firstLine="494"/>
      </w:pPr>
      <w:r>
        <w:rPr>
          <w:rFonts w:hint="eastAsia"/>
        </w:rPr>
        <w:t>I</w:t>
      </w:r>
      <w:r>
        <w:rPr>
          <w:rFonts w:hint="eastAsia"/>
          <w:vertAlign w:val="subscript"/>
        </w:rPr>
        <w:t>1</w:t>
      </w:r>
      <w:r>
        <w:rPr>
          <w:rFonts w:hint="eastAsia"/>
        </w:rPr>
        <w:t>灰红～紫红色素填土</w:t>
      </w:r>
    </w:p>
    <w:p w14:paraId="53BA00B8">
      <w:pPr>
        <w:ind w:firstLine="494"/>
      </w:pPr>
      <w:r>
        <w:rPr>
          <w:rFonts w:hint="eastAsia"/>
        </w:rPr>
        <w:t>灰黄色，饱和，松散。成分较杂乱，由黏性土、泥岩风化土、岩块、粗砾砂、贝壳碎屑等组成。该层仅在堆场区钻孔ZK1、ZK2、ZK3和港池区钻孔SY1、SY2揭露，顶板标高为－1.7～－4.8m，厚度为0.5～2.6m。实测标准贯入试验击数为9～14击。</w:t>
      </w:r>
    </w:p>
    <w:p w14:paraId="21BA754D">
      <w:pPr>
        <w:ind w:firstLine="494"/>
      </w:pPr>
      <w:r>
        <w:rPr>
          <w:rFonts w:hint="eastAsia"/>
        </w:rPr>
        <w:t>I</w:t>
      </w:r>
      <w:r>
        <w:rPr>
          <w:rFonts w:hint="eastAsia"/>
          <w:vertAlign w:val="subscript"/>
        </w:rPr>
        <w:t>2</w:t>
      </w:r>
      <w:r>
        <w:rPr>
          <w:rFonts w:hint="eastAsia"/>
        </w:rPr>
        <w:t>杂色抛填石</w:t>
      </w:r>
    </w:p>
    <w:p w14:paraId="0932D861">
      <w:pPr>
        <w:ind w:firstLine="494"/>
      </w:pPr>
      <w:r>
        <w:rPr>
          <w:rFonts w:hint="eastAsia"/>
        </w:rPr>
        <w:t>坚硬。成分主要为中风化花岗岩块石，局部为紫红色中风化泥岩混灰白色花岗岩碎块，其间隙填充砾砂颗粒。该层仅靠近已建12#、13#泊位的码头区钻孔SG5和SG8有揭露，为前期施工抛填至此处，顶板标高分别为－3.9m、－1.7m，层厚分别为7.8m、11.8m。</w:t>
      </w:r>
    </w:p>
    <w:p w14:paraId="7EA3A6B3">
      <w:pPr>
        <w:ind w:firstLine="494"/>
      </w:pPr>
      <w:r>
        <w:rPr>
          <w:rFonts w:hint="eastAsia"/>
        </w:rPr>
        <w:t>I</w:t>
      </w:r>
      <w:r>
        <w:rPr>
          <w:rFonts w:hint="eastAsia"/>
          <w:vertAlign w:val="subscript"/>
        </w:rPr>
        <w:t>3</w:t>
      </w:r>
      <w:r>
        <w:rPr>
          <w:rFonts w:hint="eastAsia"/>
        </w:rPr>
        <w:t>灰黄～灰色中细砂</w:t>
      </w:r>
    </w:p>
    <w:p w14:paraId="673F1A56">
      <w:pPr>
        <w:ind w:firstLine="494"/>
      </w:pPr>
      <w:r>
        <w:rPr>
          <w:rFonts w:hint="eastAsia"/>
        </w:rPr>
        <w:t>松散～稍密。砂质较纯，颗粒较均匀，局部淤泥含量较多，为砂混淤泥。该层受人工活动影响形成，主要在堆场区揭露，陆域钻孔ZK1和ZK2中该层顶板较高为+6.33m、+6.16m，厚度为8.0m、11.0m；</w:t>
      </w:r>
      <w:r>
        <w:rPr>
          <w:rFonts w:hint="eastAsia"/>
          <w:lang w:eastAsia="zh-CN"/>
        </w:rPr>
        <w:t>其他</w:t>
      </w:r>
      <w:r>
        <w:rPr>
          <w:rFonts w:hint="eastAsia"/>
        </w:rPr>
        <w:t>堆场区钻孔中该层顶板标高为+1.9～－2.0m，厚度为2.6～5.3m；码头区仅SG2、SG3、SG7钻孔揭露该层，顶板标高为－2.8～－5.5m，层厚0.7～2.5m；港池区仅SY1揭露该层，顶板标高为－6.0m，层厚1.3m。实测标准贯入试验击数一般为4～7击，局部为10～14击。</w:t>
      </w:r>
    </w:p>
    <w:p w14:paraId="7AE23213">
      <w:pPr>
        <w:ind w:firstLine="494"/>
      </w:pPr>
      <w:r>
        <w:rPr>
          <w:rFonts w:hint="eastAsia"/>
        </w:rPr>
        <w:t>Ⅱ</w:t>
      </w:r>
      <w:r>
        <w:rPr>
          <w:rFonts w:hint="eastAsia"/>
          <w:vertAlign w:val="subscript"/>
        </w:rPr>
        <w:t>1</w:t>
      </w:r>
      <w:r>
        <w:rPr>
          <w:rFonts w:hint="eastAsia"/>
        </w:rPr>
        <w:t>灰色淤泥</w:t>
      </w:r>
    </w:p>
    <w:p w14:paraId="52A80520">
      <w:pPr>
        <w:ind w:firstLine="494"/>
      </w:pPr>
      <w:r>
        <w:rPr>
          <w:rFonts w:hint="eastAsia"/>
        </w:rPr>
        <w:t>饱和，流塑。土质均匀，切面光滑，见少量有机质，偶夹少量贝壳碎片，稍具臭味，局部为淤泥夹砂或淤泥混砂。韧性高，干强度高，摇震反应明显。土质极软，属高压缩性土，力学强度低，工程性质差。该层在勘察区分布较广泛，约半数钻孔揭露，顶板标高为－2.3～－7.3m，厚度为0.9～5.5m。实测标准贯入试验击数一般为&lt;1～2击。</w:t>
      </w:r>
    </w:p>
    <w:p w14:paraId="12D99124">
      <w:pPr>
        <w:ind w:firstLine="494"/>
      </w:pPr>
      <w:r>
        <w:rPr>
          <w:rFonts w:hint="eastAsia"/>
        </w:rPr>
        <w:t>Ⅱ</w:t>
      </w:r>
      <w:r>
        <w:rPr>
          <w:rFonts w:hint="eastAsia"/>
          <w:vertAlign w:val="subscript"/>
        </w:rPr>
        <w:t>2</w:t>
      </w:r>
      <w:r>
        <w:rPr>
          <w:rFonts w:hint="eastAsia"/>
        </w:rPr>
        <w:t>灰色淤泥质土</w:t>
      </w:r>
    </w:p>
    <w:p w14:paraId="3FA1D6DD">
      <w:pPr>
        <w:ind w:firstLine="494"/>
      </w:pPr>
      <w:r>
        <w:rPr>
          <w:rFonts w:hint="eastAsia"/>
        </w:rPr>
        <w:t>饱和，流塑～软塑。土质均匀，切面光滑，夹少量贝壳碎屑，稍具异味，局部含泥质结核。韧性高，干强度高，摇震具反应。该层在勘察区不连续发育，主要在堆场区和码头区有揭露，港池区仅SY6钻孔揭露，顶板标高一般为－5.3～－6.1m，局部顶板标高较大处为－2.1m，局部顶板标高较小处为－9.4～－11.7m，厚度一般为1.2～3.5m，在ZK11钻孔中厚度较大，为10.1m。实测标准贯入试验击数一般为2～4击。</w:t>
      </w:r>
    </w:p>
    <w:p w14:paraId="3EBCAC62">
      <w:pPr>
        <w:ind w:firstLine="494"/>
      </w:pPr>
      <w:r>
        <w:rPr>
          <w:rFonts w:hint="eastAsia"/>
        </w:rPr>
        <w:t>Ⅲ</w:t>
      </w:r>
      <w:r>
        <w:rPr>
          <w:rFonts w:hint="eastAsia"/>
          <w:vertAlign w:val="subscript"/>
        </w:rPr>
        <w:t>1</w:t>
      </w:r>
      <w:r>
        <w:rPr>
          <w:rFonts w:hint="eastAsia"/>
        </w:rPr>
        <w:t>浅灰～灰黄色粉细砂</w:t>
      </w:r>
    </w:p>
    <w:p w14:paraId="672E0C1B">
      <w:pPr>
        <w:ind w:firstLine="494"/>
      </w:pPr>
      <w:r>
        <w:rPr>
          <w:rFonts w:hint="eastAsia"/>
        </w:rPr>
        <w:t>饱和，松散～稍密。砂质较纯，颗粒较均匀，混少量贝壳碎片，局部混较多黏性土，少量为中砂。该层主要在堆场区有揭露，在近岸处ZK4钻孔中顶板标高较大，为－1.6m，一般为－4.8～－9.4m，厚度为0.8～3.8m；码头区仅SG2、SG4、SG6钻孔揭露该层，顶板标高为－4.2～－8.1m，厚度为0.8～1.9m；港池区仅SY3钻孔揭露该层，顶板标</w:t>
      </w:r>
    </w:p>
    <w:p w14:paraId="6C936636">
      <w:pPr>
        <w:ind w:firstLine="494"/>
      </w:pPr>
      <w:r>
        <w:rPr>
          <w:rFonts w:hint="eastAsia"/>
        </w:rPr>
        <w:t>高为－10.4m，厚度为3.3m。实测标准贯入试验击数一般为6～12击。</w:t>
      </w:r>
    </w:p>
    <w:p w14:paraId="6DC50FDD">
      <w:pPr>
        <w:ind w:firstLine="494"/>
      </w:pPr>
      <w:r>
        <w:rPr>
          <w:rFonts w:hint="eastAsia"/>
        </w:rPr>
        <w:t>Ⅳ</w:t>
      </w:r>
      <w:r>
        <w:rPr>
          <w:rFonts w:hint="eastAsia"/>
          <w:vertAlign w:val="subscript"/>
        </w:rPr>
        <w:t>1</w:t>
      </w:r>
      <w:r>
        <w:rPr>
          <w:rFonts w:hint="eastAsia"/>
        </w:rPr>
        <w:t>褐黄～褐红色粉质黏土</w:t>
      </w:r>
    </w:p>
    <w:p w14:paraId="3BFE8101">
      <w:pPr>
        <w:ind w:firstLine="494"/>
      </w:pPr>
      <w:r>
        <w:rPr>
          <w:rFonts w:hint="eastAsia"/>
        </w:rPr>
        <w:t>饱和，可塑。土质较匀，切面较光滑，局部土质不均匀，混较多砂粒，切面稍粗糙。该层在勘察区少量分布，顶板标高为－3.4～－9.4m，厚度为0.4～4.0m。实测标准贯入试验击数一般为7～16击。</w:t>
      </w:r>
    </w:p>
    <w:p w14:paraId="2DA7D69C">
      <w:pPr>
        <w:ind w:firstLine="494"/>
      </w:pPr>
      <w:r>
        <w:rPr>
          <w:rFonts w:hint="eastAsia"/>
        </w:rPr>
        <w:t>Ⅳ</w:t>
      </w:r>
      <w:r>
        <w:rPr>
          <w:rFonts w:hint="eastAsia"/>
          <w:vertAlign w:val="subscript"/>
        </w:rPr>
        <w:t>2</w:t>
      </w:r>
      <w:r>
        <w:rPr>
          <w:rFonts w:hint="eastAsia"/>
        </w:rPr>
        <w:t>灰黄色中粗砂</w:t>
      </w:r>
    </w:p>
    <w:p w14:paraId="1AE0F0F2">
      <w:pPr>
        <w:ind w:firstLine="494"/>
      </w:pPr>
      <w:r>
        <w:rPr>
          <w:rFonts w:hint="eastAsia"/>
        </w:rPr>
        <w:t>饱和，稍密～中密。砂质较纯，颗粒不均匀，磨圆度差，呈次棱角状，混少量黏性土，局部为灰色细砂。该层在勘察区少量发育，顶板标高为－6.3～－11.6m，厚度为0.6～4.2m。实测标准贯入试验击数一般为11～22击。</w:t>
      </w:r>
    </w:p>
    <w:p w14:paraId="42883853">
      <w:pPr>
        <w:ind w:firstLine="494"/>
      </w:pPr>
      <w:r>
        <w:rPr>
          <w:rFonts w:hint="eastAsia"/>
        </w:rPr>
        <w:t>Ⅴ灰黄～褐红色残积土</w:t>
      </w:r>
    </w:p>
    <w:p w14:paraId="7EE59BC5">
      <w:pPr>
        <w:ind w:firstLine="494"/>
      </w:pPr>
      <w:r>
        <w:rPr>
          <w:rFonts w:hint="eastAsia"/>
        </w:rPr>
        <w:t>饱和，硬塑。土质不均匀，切面粗糙。该层在勘察区零星发育，仅SG2、SG4、SY2钻孔揭露，顶板标高分别为－10.2m、－9.3m、－13.2m，厚度分别为1.2m、1.0m、2.7m。实测标准贯入试验击数为11～23击。</w:t>
      </w:r>
    </w:p>
    <w:p w14:paraId="4995C9AE">
      <w:pPr>
        <w:ind w:firstLine="494"/>
      </w:pPr>
      <w:r>
        <w:rPr>
          <w:rFonts w:hint="eastAsia"/>
        </w:rPr>
        <w:t>Ⅵ灰黄～褐红色全风化层</w:t>
      </w:r>
    </w:p>
    <w:p w14:paraId="1266EE75">
      <w:pPr>
        <w:ind w:firstLine="494"/>
      </w:pPr>
      <w:r>
        <w:rPr>
          <w:rFonts w:hint="eastAsia"/>
        </w:rPr>
        <w:t>可塑～硬塑。岩芯呈坚硬黏性土状，原岩结构基本破坏，稍可辨，粒间黏结力差，手捏即散，遇水很快软化、崩解。该层在勘察区零星分布，顶板标高为－8.0～－13.7m，厚度为0.3～3.1m。实测标贯击数一般为20～36击。</w:t>
      </w:r>
    </w:p>
    <w:p w14:paraId="11D6B49B">
      <w:pPr>
        <w:ind w:firstLine="494"/>
      </w:pPr>
      <w:r>
        <w:rPr>
          <w:rFonts w:hint="eastAsia"/>
        </w:rPr>
        <w:t>Ⅶ</w:t>
      </w:r>
      <w:r>
        <w:rPr>
          <w:rFonts w:hint="eastAsia"/>
          <w:vertAlign w:val="subscript"/>
        </w:rPr>
        <w:t>2</w:t>
      </w:r>
      <w:r>
        <w:rPr>
          <w:rFonts w:hint="eastAsia"/>
        </w:rPr>
        <w:t>褐色强风化砂岩</w:t>
      </w:r>
    </w:p>
    <w:p w14:paraId="74DB5753">
      <w:pPr>
        <w:ind w:firstLine="494"/>
      </w:pPr>
      <w:r>
        <w:rPr>
          <w:rFonts w:hint="eastAsia"/>
        </w:rPr>
        <w:t>硬。原岩风化强烈，结构可辨，岩芯呈破碎块状。岩体基本质量等级为Ⅴ级。该层仅SG2钻孔揭露，顶板标高为－15.6m，厚度为3.7m。</w:t>
      </w:r>
    </w:p>
    <w:p w14:paraId="1DB21420">
      <w:pPr>
        <w:ind w:firstLine="494"/>
      </w:pPr>
      <w:r>
        <w:rPr>
          <w:rFonts w:hint="eastAsia"/>
        </w:rPr>
        <w:t>Ⅶ</w:t>
      </w:r>
      <w:r>
        <w:rPr>
          <w:rFonts w:hint="eastAsia"/>
          <w:vertAlign w:val="subscript"/>
        </w:rPr>
        <w:t>3</w:t>
      </w:r>
      <w:r>
        <w:rPr>
          <w:rFonts w:hint="eastAsia"/>
        </w:rPr>
        <w:t>深红～紫红色强风化泥岩</w:t>
      </w:r>
    </w:p>
    <w:p w14:paraId="53BAC499">
      <w:pPr>
        <w:ind w:firstLine="494"/>
      </w:pPr>
      <w:r>
        <w:rPr>
          <w:rFonts w:hint="eastAsia"/>
        </w:rPr>
        <w:t>硬。原岩风化强烈，结构也已大部分破坏，尚可辨，矿物颗粒间的黏结力较差，岩芯呈破碎小块状和半岩半土状。岩体基本质量等级为Ⅴ级。该层在勘察区内大部分钻孔均有揭露，顶板起伏稍大，标高一般为－8.2～－19.5m，厚度一般为1.0～5.7m，ZK3钻孔中厚度较大，为9.2m。实测标贯击数一般大于50击，部分孔段标贯反弹。经杆长修正后的重型圆锥动力触探试验击数为17.1～27.7击，平均击数为22.3击。</w:t>
      </w:r>
    </w:p>
    <w:p w14:paraId="3F150B88">
      <w:pPr>
        <w:ind w:firstLine="494"/>
      </w:pPr>
      <w:r>
        <w:rPr>
          <w:rFonts w:hint="eastAsia"/>
        </w:rPr>
        <w:t>Ⅷ</w:t>
      </w:r>
      <w:r>
        <w:rPr>
          <w:rFonts w:hint="eastAsia"/>
          <w:vertAlign w:val="subscript"/>
        </w:rPr>
        <w:t>2</w:t>
      </w:r>
      <w:r>
        <w:rPr>
          <w:rFonts w:hint="eastAsia"/>
        </w:rPr>
        <w:t>深红～灰色中风化砂岩</w:t>
      </w:r>
    </w:p>
    <w:p w14:paraId="2568341A">
      <w:pPr>
        <w:ind w:firstLine="494"/>
      </w:pPr>
      <w:r>
        <w:rPr>
          <w:rFonts w:hint="eastAsia"/>
        </w:rPr>
        <w:t>坚硬。砂状结构，风化面呈棕红色，新鲜面红褐色，手触有微小颗粒砂感，岩芯多呈柱状、短柱状或块状，RQD一般为60%～85%。岩体基本质量等级为Ⅳ级。该层顶板起伏稍大，标高一般为－12.2～－21.4m，厚度未揭穿，揭示厚度为1.3～7.5m。</w:t>
      </w:r>
    </w:p>
    <w:p w14:paraId="29A39F2A">
      <w:pPr>
        <w:ind w:firstLine="494"/>
      </w:pPr>
      <w:r>
        <w:rPr>
          <w:rFonts w:hint="eastAsia"/>
        </w:rPr>
        <w:t>Ⅷ3深红～紫红色中风化泥岩</w:t>
      </w:r>
    </w:p>
    <w:p w14:paraId="051DE04F">
      <w:pPr>
        <w:ind w:firstLine="494"/>
      </w:pPr>
      <w:r>
        <w:rPr>
          <w:rFonts w:hint="eastAsia"/>
        </w:rPr>
        <w:t>坚硬。风化面呈红棕色，新鲜面呈红褐色，手触有轻微粗糙感，岩芯多呈柱状或短柱状，局部块状，RQD一般为60%～80%。岩体基本质量等级为Ⅳ级。该层为勘察区广泛发育的基岩，顶板起伏稍大，标高一般为－10.6～－22.7m，一般厚度未揭穿，揭示厚度为3.4～12.9m。</w:t>
      </w:r>
    </w:p>
    <w:p w14:paraId="6632E634">
      <w:pPr>
        <w:ind w:firstLine="494"/>
        <w:jc w:val="center"/>
      </w:pPr>
    </w:p>
    <w:p w14:paraId="49B638E0">
      <w:pPr>
        <w:pStyle w:val="8"/>
      </w:pPr>
      <w:r>
        <w:t>典型陆域钻孔剖面</w:t>
      </w:r>
    </w:p>
    <w:p w14:paraId="6EB0B700">
      <w:pPr>
        <w:pStyle w:val="5"/>
      </w:pPr>
      <w:bookmarkStart w:id="338" w:name="_Toc317003250"/>
      <w:bookmarkStart w:id="339" w:name="_Toc301808219"/>
      <w:bookmarkStart w:id="340" w:name="_Toc317003530"/>
      <w:r>
        <w:t>气候特征</w:t>
      </w:r>
    </w:p>
    <w:p w14:paraId="0C695BBC">
      <w:pPr>
        <w:ind w:firstLine="494"/>
      </w:pPr>
      <w:r>
        <w:t>本项目所在的钦州市，位于20°54′～22°41′N、107°27′～109°56′E之间，属南亚热带季风气候，具有典型的亚热带海洋季风气候特点。高温多雨，干湿季节分明，夏无酷暑，冬无严寒，季风盛行。</w:t>
      </w:r>
    </w:p>
    <w:p w14:paraId="40F101F4">
      <w:pPr>
        <w:pStyle w:val="6"/>
      </w:pPr>
      <w:r>
        <w:t>气温</w:t>
      </w:r>
    </w:p>
    <w:p w14:paraId="78E4D27E">
      <w:pPr>
        <w:ind w:firstLine="496"/>
      </w:pPr>
      <w:r>
        <w:rPr>
          <w:b/>
        </w:rPr>
        <w:t>平均气温</w:t>
      </w:r>
      <w:r>
        <w:t xml:space="preserve">   根据钦州气象站提供的资料，钦州湾平均气温的分布呈南高北低的趋势。根据钦州气象站的统计资料（1956年至2015年），湾口东部的犀牛脚，累年平均气温为23.4℃；湾中部的龙门为22.2℃，湾顶的钦州市区为22.1℃，累年平均气温的逐月变化见表3.1-1。</w:t>
      </w:r>
    </w:p>
    <w:p w14:paraId="7D6C1857">
      <w:pPr>
        <w:ind w:firstLine="496"/>
      </w:pPr>
      <w:r>
        <w:rPr>
          <w:b/>
        </w:rPr>
        <w:t xml:space="preserve">极端气温   </w:t>
      </w:r>
      <w:r>
        <w:t>钦州站历年极端最高气温为39.2℃；极端最低气温为-1.8℃。</w:t>
      </w:r>
    </w:p>
    <w:p w14:paraId="36EEC974">
      <w:pPr>
        <w:pStyle w:val="7"/>
        <w:rPr>
          <w:sz w:val="21"/>
        </w:rPr>
      </w:pPr>
      <w:r>
        <w:t xml:space="preserve">累年各月平均气温及极端气温（1956～2015 年）  </w:t>
      </w:r>
      <w:r>
        <w:rPr>
          <w:bCs/>
          <w:sz w:val="21"/>
        </w:rPr>
        <w:t>单位：℃</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34"/>
        <w:gridCol w:w="1166"/>
        <w:gridCol w:w="1602"/>
        <w:gridCol w:w="1602"/>
        <w:gridCol w:w="1662"/>
        <w:gridCol w:w="1866"/>
      </w:tblGrid>
      <w:tr w14:paraId="6FACC8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tblHeader/>
          <w:jc w:val="center"/>
        </w:trPr>
        <w:tc>
          <w:tcPr>
            <w:tcW w:w="529" w:type="pct"/>
            <w:noWrap/>
            <w:vAlign w:val="center"/>
          </w:tcPr>
          <w:p w14:paraId="01B326C2">
            <w:pPr>
              <w:pStyle w:val="34"/>
            </w:pPr>
            <w:r>
              <w:t xml:space="preserve">月份   </w:t>
            </w:r>
          </w:p>
        </w:tc>
        <w:tc>
          <w:tcPr>
            <w:tcW w:w="660" w:type="pct"/>
            <w:noWrap/>
            <w:vAlign w:val="center"/>
          </w:tcPr>
          <w:p w14:paraId="50E29C1E">
            <w:pPr>
              <w:pStyle w:val="34"/>
            </w:pPr>
            <w:r>
              <w:t>平均气温</w:t>
            </w:r>
          </w:p>
        </w:tc>
        <w:tc>
          <w:tcPr>
            <w:tcW w:w="907" w:type="pct"/>
            <w:noWrap/>
            <w:vAlign w:val="center"/>
          </w:tcPr>
          <w:p w14:paraId="208C1B38">
            <w:pPr>
              <w:pStyle w:val="34"/>
            </w:pPr>
            <w:r>
              <w:t>平均最高气温</w:t>
            </w:r>
          </w:p>
        </w:tc>
        <w:tc>
          <w:tcPr>
            <w:tcW w:w="907" w:type="pct"/>
            <w:noWrap/>
            <w:vAlign w:val="center"/>
          </w:tcPr>
          <w:p w14:paraId="39FD088A">
            <w:pPr>
              <w:pStyle w:val="34"/>
            </w:pPr>
            <w:r>
              <w:t>平均最低气温</w:t>
            </w:r>
          </w:p>
        </w:tc>
        <w:tc>
          <w:tcPr>
            <w:tcW w:w="941" w:type="pct"/>
            <w:noWrap/>
            <w:vAlign w:val="center"/>
          </w:tcPr>
          <w:p w14:paraId="3B3D5DC4">
            <w:pPr>
              <w:pStyle w:val="34"/>
            </w:pPr>
            <w:r>
              <w:t>极端最高气温</w:t>
            </w:r>
          </w:p>
        </w:tc>
        <w:tc>
          <w:tcPr>
            <w:tcW w:w="1057" w:type="pct"/>
            <w:noWrap/>
            <w:vAlign w:val="center"/>
          </w:tcPr>
          <w:p w14:paraId="3C42F48E">
            <w:pPr>
              <w:pStyle w:val="34"/>
            </w:pPr>
            <w:r>
              <w:t>极端最低气温</w:t>
            </w:r>
          </w:p>
        </w:tc>
      </w:tr>
      <w:tr w14:paraId="7E166E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52A5D231">
            <w:pPr>
              <w:pStyle w:val="34"/>
            </w:pPr>
            <w:r>
              <w:t>1</w:t>
            </w:r>
          </w:p>
        </w:tc>
        <w:tc>
          <w:tcPr>
            <w:tcW w:w="660" w:type="pct"/>
            <w:noWrap/>
            <w:vAlign w:val="center"/>
          </w:tcPr>
          <w:p w14:paraId="3E7D7964">
            <w:pPr>
              <w:pStyle w:val="34"/>
            </w:pPr>
            <w:r>
              <w:t>13.4</w:t>
            </w:r>
          </w:p>
        </w:tc>
        <w:tc>
          <w:tcPr>
            <w:tcW w:w="907" w:type="pct"/>
            <w:noWrap/>
            <w:vAlign w:val="center"/>
          </w:tcPr>
          <w:p w14:paraId="6EA6D821">
            <w:pPr>
              <w:pStyle w:val="34"/>
            </w:pPr>
            <w:r>
              <w:t>17.9</w:t>
            </w:r>
          </w:p>
        </w:tc>
        <w:tc>
          <w:tcPr>
            <w:tcW w:w="907" w:type="pct"/>
            <w:noWrap/>
            <w:vAlign w:val="center"/>
          </w:tcPr>
          <w:p w14:paraId="11BE4BEC">
            <w:pPr>
              <w:pStyle w:val="34"/>
            </w:pPr>
            <w:r>
              <w:t>10.3</w:t>
            </w:r>
          </w:p>
        </w:tc>
        <w:tc>
          <w:tcPr>
            <w:tcW w:w="941" w:type="pct"/>
            <w:noWrap/>
            <w:vAlign w:val="center"/>
          </w:tcPr>
          <w:p w14:paraId="4C735FCB">
            <w:pPr>
              <w:pStyle w:val="34"/>
            </w:pPr>
            <w:r>
              <w:t>28.1</w:t>
            </w:r>
          </w:p>
        </w:tc>
        <w:tc>
          <w:tcPr>
            <w:tcW w:w="1057" w:type="pct"/>
            <w:noWrap/>
            <w:vAlign w:val="center"/>
          </w:tcPr>
          <w:p w14:paraId="012EDE65">
            <w:pPr>
              <w:pStyle w:val="34"/>
            </w:pPr>
            <w:r>
              <w:t>-1.8</w:t>
            </w:r>
          </w:p>
        </w:tc>
      </w:tr>
      <w:tr w14:paraId="4AF8F1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3D9B26D5">
            <w:pPr>
              <w:pStyle w:val="34"/>
            </w:pPr>
            <w:r>
              <w:t>2</w:t>
            </w:r>
          </w:p>
        </w:tc>
        <w:tc>
          <w:tcPr>
            <w:tcW w:w="660" w:type="pct"/>
            <w:noWrap/>
            <w:vAlign w:val="center"/>
          </w:tcPr>
          <w:p w14:paraId="042D8D14">
            <w:pPr>
              <w:pStyle w:val="34"/>
            </w:pPr>
            <w:r>
              <w:t>14.5</w:t>
            </w:r>
          </w:p>
        </w:tc>
        <w:tc>
          <w:tcPr>
            <w:tcW w:w="907" w:type="pct"/>
            <w:noWrap/>
            <w:vAlign w:val="center"/>
          </w:tcPr>
          <w:p w14:paraId="6289E79E">
            <w:pPr>
              <w:pStyle w:val="34"/>
            </w:pPr>
            <w:r>
              <w:t>18.4</w:t>
            </w:r>
          </w:p>
        </w:tc>
        <w:tc>
          <w:tcPr>
            <w:tcW w:w="907" w:type="pct"/>
            <w:noWrap/>
            <w:vAlign w:val="center"/>
          </w:tcPr>
          <w:p w14:paraId="5F8790CE">
            <w:pPr>
              <w:pStyle w:val="34"/>
            </w:pPr>
            <w:r>
              <w:t>11.9</w:t>
            </w:r>
          </w:p>
        </w:tc>
        <w:tc>
          <w:tcPr>
            <w:tcW w:w="941" w:type="pct"/>
            <w:noWrap/>
            <w:vAlign w:val="center"/>
          </w:tcPr>
          <w:p w14:paraId="6ECB2B11">
            <w:pPr>
              <w:pStyle w:val="34"/>
            </w:pPr>
            <w:r>
              <w:t>29.2</w:t>
            </w:r>
          </w:p>
        </w:tc>
        <w:tc>
          <w:tcPr>
            <w:tcW w:w="1057" w:type="pct"/>
            <w:noWrap/>
            <w:vAlign w:val="center"/>
          </w:tcPr>
          <w:p w14:paraId="03400B2A">
            <w:pPr>
              <w:pStyle w:val="34"/>
            </w:pPr>
            <w:r>
              <w:t>2.1</w:t>
            </w:r>
          </w:p>
        </w:tc>
      </w:tr>
      <w:tr w14:paraId="2360D0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4B593BEC">
            <w:pPr>
              <w:pStyle w:val="34"/>
            </w:pPr>
            <w:r>
              <w:t>3</w:t>
            </w:r>
          </w:p>
        </w:tc>
        <w:tc>
          <w:tcPr>
            <w:tcW w:w="660" w:type="pct"/>
            <w:noWrap/>
            <w:vAlign w:val="center"/>
          </w:tcPr>
          <w:p w14:paraId="395CA633">
            <w:pPr>
              <w:pStyle w:val="34"/>
            </w:pPr>
            <w:r>
              <w:t>18.1</w:t>
            </w:r>
          </w:p>
        </w:tc>
        <w:tc>
          <w:tcPr>
            <w:tcW w:w="907" w:type="pct"/>
            <w:noWrap/>
            <w:vAlign w:val="center"/>
          </w:tcPr>
          <w:p w14:paraId="3260C7B9">
            <w:pPr>
              <w:pStyle w:val="34"/>
            </w:pPr>
            <w:r>
              <w:t>21.8</w:t>
            </w:r>
          </w:p>
        </w:tc>
        <w:tc>
          <w:tcPr>
            <w:tcW w:w="907" w:type="pct"/>
            <w:noWrap/>
            <w:vAlign w:val="center"/>
          </w:tcPr>
          <w:p w14:paraId="45DACBD7">
            <w:pPr>
              <w:pStyle w:val="34"/>
            </w:pPr>
            <w:r>
              <w:t>15.7</w:t>
            </w:r>
          </w:p>
        </w:tc>
        <w:tc>
          <w:tcPr>
            <w:tcW w:w="941" w:type="pct"/>
            <w:noWrap/>
            <w:vAlign w:val="center"/>
          </w:tcPr>
          <w:p w14:paraId="75CAC374">
            <w:pPr>
              <w:pStyle w:val="34"/>
            </w:pPr>
            <w:r>
              <w:t>31.8</w:t>
            </w:r>
          </w:p>
        </w:tc>
        <w:tc>
          <w:tcPr>
            <w:tcW w:w="1057" w:type="pct"/>
            <w:noWrap/>
            <w:vAlign w:val="center"/>
          </w:tcPr>
          <w:p w14:paraId="7EB93CDC">
            <w:pPr>
              <w:pStyle w:val="34"/>
            </w:pPr>
            <w:r>
              <w:t>5.6</w:t>
            </w:r>
          </w:p>
        </w:tc>
      </w:tr>
      <w:tr w14:paraId="0AC45F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5433BBA5">
            <w:pPr>
              <w:pStyle w:val="34"/>
            </w:pPr>
            <w:r>
              <w:t>4</w:t>
            </w:r>
          </w:p>
        </w:tc>
        <w:tc>
          <w:tcPr>
            <w:tcW w:w="660" w:type="pct"/>
            <w:noWrap/>
            <w:vAlign w:val="center"/>
          </w:tcPr>
          <w:p w14:paraId="5FB28780">
            <w:pPr>
              <w:pStyle w:val="34"/>
            </w:pPr>
            <w:r>
              <w:t>22.3</w:t>
            </w:r>
          </w:p>
        </w:tc>
        <w:tc>
          <w:tcPr>
            <w:tcW w:w="907" w:type="pct"/>
            <w:noWrap/>
            <w:vAlign w:val="center"/>
          </w:tcPr>
          <w:p w14:paraId="5F051C2E">
            <w:pPr>
              <w:pStyle w:val="34"/>
            </w:pPr>
            <w:r>
              <w:t>26</w:t>
            </w:r>
          </w:p>
        </w:tc>
        <w:tc>
          <w:tcPr>
            <w:tcW w:w="907" w:type="pct"/>
            <w:noWrap/>
            <w:vAlign w:val="center"/>
          </w:tcPr>
          <w:p w14:paraId="6216F304">
            <w:pPr>
              <w:pStyle w:val="34"/>
            </w:pPr>
            <w:r>
              <w:t>19.9</w:t>
            </w:r>
          </w:p>
        </w:tc>
        <w:tc>
          <w:tcPr>
            <w:tcW w:w="941" w:type="pct"/>
            <w:noWrap/>
            <w:vAlign w:val="center"/>
          </w:tcPr>
          <w:p w14:paraId="2575C648">
            <w:pPr>
              <w:pStyle w:val="34"/>
            </w:pPr>
            <w:r>
              <w:t>32.7</w:t>
            </w:r>
          </w:p>
        </w:tc>
        <w:tc>
          <w:tcPr>
            <w:tcW w:w="1057" w:type="pct"/>
            <w:noWrap/>
            <w:vAlign w:val="center"/>
          </w:tcPr>
          <w:p w14:paraId="32448C3A">
            <w:pPr>
              <w:pStyle w:val="34"/>
            </w:pPr>
            <w:r>
              <w:t>9.6</w:t>
            </w:r>
          </w:p>
        </w:tc>
      </w:tr>
      <w:tr w14:paraId="350F9F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2A879782">
            <w:pPr>
              <w:pStyle w:val="34"/>
            </w:pPr>
            <w:r>
              <w:t>5</w:t>
            </w:r>
          </w:p>
        </w:tc>
        <w:tc>
          <w:tcPr>
            <w:tcW w:w="660" w:type="pct"/>
            <w:noWrap/>
            <w:vAlign w:val="center"/>
          </w:tcPr>
          <w:p w14:paraId="2ECC2DF8">
            <w:pPr>
              <w:pStyle w:val="34"/>
            </w:pPr>
            <w:r>
              <w:t>26.3</w:t>
            </w:r>
          </w:p>
        </w:tc>
        <w:tc>
          <w:tcPr>
            <w:tcW w:w="907" w:type="pct"/>
            <w:noWrap/>
            <w:vAlign w:val="center"/>
          </w:tcPr>
          <w:p w14:paraId="6A0C5177">
            <w:pPr>
              <w:pStyle w:val="34"/>
            </w:pPr>
            <w:r>
              <w:t>30</w:t>
            </w:r>
          </w:p>
        </w:tc>
        <w:tc>
          <w:tcPr>
            <w:tcW w:w="907" w:type="pct"/>
            <w:noWrap/>
            <w:vAlign w:val="center"/>
          </w:tcPr>
          <w:p w14:paraId="759E4248">
            <w:pPr>
              <w:pStyle w:val="34"/>
            </w:pPr>
            <w:r>
              <w:t>23.7</w:t>
            </w:r>
          </w:p>
        </w:tc>
        <w:tc>
          <w:tcPr>
            <w:tcW w:w="941" w:type="pct"/>
            <w:noWrap/>
            <w:vAlign w:val="center"/>
          </w:tcPr>
          <w:p w14:paraId="5361AE41">
            <w:pPr>
              <w:pStyle w:val="34"/>
            </w:pPr>
            <w:r>
              <w:t>36.5</w:t>
            </w:r>
          </w:p>
        </w:tc>
        <w:tc>
          <w:tcPr>
            <w:tcW w:w="1057" w:type="pct"/>
            <w:noWrap/>
            <w:vAlign w:val="center"/>
          </w:tcPr>
          <w:p w14:paraId="6566D53E">
            <w:pPr>
              <w:pStyle w:val="34"/>
            </w:pPr>
            <w:r>
              <w:t>15.6</w:t>
            </w:r>
          </w:p>
        </w:tc>
      </w:tr>
      <w:tr w14:paraId="501D35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33618595">
            <w:pPr>
              <w:pStyle w:val="34"/>
            </w:pPr>
            <w:r>
              <w:t>6</w:t>
            </w:r>
          </w:p>
        </w:tc>
        <w:tc>
          <w:tcPr>
            <w:tcW w:w="660" w:type="pct"/>
            <w:noWrap/>
            <w:vAlign w:val="center"/>
          </w:tcPr>
          <w:p w14:paraId="3F4E73F4">
            <w:pPr>
              <w:pStyle w:val="34"/>
            </w:pPr>
            <w:r>
              <w:t>27.7</w:t>
            </w:r>
          </w:p>
        </w:tc>
        <w:tc>
          <w:tcPr>
            <w:tcW w:w="907" w:type="pct"/>
            <w:noWrap/>
            <w:vAlign w:val="center"/>
          </w:tcPr>
          <w:p w14:paraId="3FC334C7">
            <w:pPr>
              <w:pStyle w:val="34"/>
            </w:pPr>
            <w:r>
              <w:t>31.1</w:t>
            </w:r>
          </w:p>
        </w:tc>
        <w:tc>
          <w:tcPr>
            <w:tcW w:w="907" w:type="pct"/>
            <w:noWrap/>
            <w:vAlign w:val="center"/>
          </w:tcPr>
          <w:p w14:paraId="3ECC87AA">
            <w:pPr>
              <w:pStyle w:val="34"/>
            </w:pPr>
            <w:r>
              <w:t>25.1</w:t>
            </w:r>
          </w:p>
        </w:tc>
        <w:tc>
          <w:tcPr>
            <w:tcW w:w="941" w:type="pct"/>
            <w:noWrap/>
            <w:vAlign w:val="center"/>
          </w:tcPr>
          <w:p w14:paraId="477D68A3">
            <w:pPr>
              <w:pStyle w:val="34"/>
            </w:pPr>
            <w:r>
              <w:t>37</w:t>
            </w:r>
          </w:p>
        </w:tc>
        <w:tc>
          <w:tcPr>
            <w:tcW w:w="1057" w:type="pct"/>
            <w:noWrap/>
            <w:vAlign w:val="center"/>
          </w:tcPr>
          <w:p w14:paraId="312413ED">
            <w:pPr>
              <w:pStyle w:val="34"/>
            </w:pPr>
            <w:r>
              <w:t>20</w:t>
            </w:r>
          </w:p>
        </w:tc>
      </w:tr>
      <w:tr w14:paraId="5FE07C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0B9497C3">
            <w:pPr>
              <w:pStyle w:val="34"/>
            </w:pPr>
            <w:r>
              <w:t>7</w:t>
            </w:r>
          </w:p>
        </w:tc>
        <w:tc>
          <w:tcPr>
            <w:tcW w:w="660" w:type="pct"/>
            <w:noWrap/>
            <w:vAlign w:val="center"/>
          </w:tcPr>
          <w:p w14:paraId="5E8ED40D">
            <w:pPr>
              <w:pStyle w:val="34"/>
            </w:pPr>
            <w:r>
              <w:t>28.4</w:t>
            </w:r>
          </w:p>
        </w:tc>
        <w:tc>
          <w:tcPr>
            <w:tcW w:w="907" w:type="pct"/>
            <w:noWrap/>
            <w:vAlign w:val="center"/>
          </w:tcPr>
          <w:p w14:paraId="2869EA1D">
            <w:pPr>
              <w:pStyle w:val="34"/>
            </w:pPr>
            <w:r>
              <w:t>31.9</w:t>
            </w:r>
          </w:p>
        </w:tc>
        <w:tc>
          <w:tcPr>
            <w:tcW w:w="907" w:type="pct"/>
            <w:noWrap/>
            <w:vAlign w:val="center"/>
          </w:tcPr>
          <w:p w14:paraId="024729E3">
            <w:pPr>
              <w:pStyle w:val="34"/>
            </w:pPr>
            <w:r>
              <w:t>25.6</w:t>
            </w:r>
          </w:p>
        </w:tc>
        <w:tc>
          <w:tcPr>
            <w:tcW w:w="941" w:type="pct"/>
            <w:noWrap/>
            <w:vAlign w:val="center"/>
          </w:tcPr>
          <w:p w14:paraId="7F1EAAA6">
            <w:pPr>
              <w:pStyle w:val="34"/>
            </w:pPr>
            <w:r>
              <w:t>37.7</w:t>
            </w:r>
          </w:p>
        </w:tc>
        <w:tc>
          <w:tcPr>
            <w:tcW w:w="1057" w:type="pct"/>
            <w:noWrap/>
            <w:vAlign w:val="center"/>
          </w:tcPr>
          <w:p w14:paraId="5685A38F">
            <w:pPr>
              <w:pStyle w:val="34"/>
            </w:pPr>
            <w:r>
              <w:t>21</w:t>
            </w:r>
          </w:p>
        </w:tc>
      </w:tr>
      <w:tr w14:paraId="2F4C58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420561B6">
            <w:pPr>
              <w:pStyle w:val="34"/>
            </w:pPr>
            <w:r>
              <w:t>8</w:t>
            </w:r>
          </w:p>
        </w:tc>
        <w:tc>
          <w:tcPr>
            <w:tcW w:w="660" w:type="pct"/>
            <w:noWrap/>
            <w:vAlign w:val="center"/>
          </w:tcPr>
          <w:p w14:paraId="63825769">
            <w:pPr>
              <w:pStyle w:val="34"/>
            </w:pPr>
            <w:r>
              <w:t>27.9</w:t>
            </w:r>
          </w:p>
        </w:tc>
        <w:tc>
          <w:tcPr>
            <w:tcW w:w="907" w:type="pct"/>
            <w:noWrap/>
            <w:vAlign w:val="center"/>
          </w:tcPr>
          <w:p w14:paraId="1A603E40">
            <w:pPr>
              <w:pStyle w:val="34"/>
            </w:pPr>
            <w:r>
              <w:t>31.6</w:t>
            </w:r>
          </w:p>
        </w:tc>
        <w:tc>
          <w:tcPr>
            <w:tcW w:w="907" w:type="pct"/>
            <w:noWrap/>
            <w:vAlign w:val="center"/>
          </w:tcPr>
          <w:p w14:paraId="7940CE53">
            <w:pPr>
              <w:pStyle w:val="34"/>
            </w:pPr>
            <w:r>
              <w:t>25.2</w:t>
            </w:r>
          </w:p>
        </w:tc>
        <w:tc>
          <w:tcPr>
            <w:tcW w:w="941" w:type="pct"/>
            <w:noWrap/>
            <w:vAlign w:val="center"/>
          </w:tcPr>
          <w:p w14:paraId="46384561">
            <w:pPr>
              <w:pStyle w:val="34"/>
            </w:pPr>
            <w:r>
              <w:t>37.5</w:t>
            </w:r>
          </w:p>
        </w:tc>
        <w:tc>
          <w:tcPr>
            <w:tcW w:w="1057" w:type="pct"/>
            <w:noWrap/>
            <w:vAlign w:val="center"/>
          </w:tcPr>
          <w:p w14:paraId="77CA848F">
            <w:pPr>
              <w:pStyle w:val="34"/>
            </w:pPr>
            <w:r>
              <w:t>20.9</w:t>
            </w:r>
          </w:p>
        </w:tc>
      </w:tr>
      <w:tr w14:paraId="4341A0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1EEB74AD">
            <w:pPr>
              <w:pStyle w:val="34"/>
            </w:pPr>
            <w:r>
              <w:t>9</w:t>
            </w:r>
          </w:p>
        </w:tc>
        <w:tc>
          <w:tcPr>
            <w:tcW w:w="660" w:type="pct"/>
            <w:noWrap/>
            <w:vAlign w:val="center"/>
          </w:tcPr>
          <w:p w14:paraId="49E7CC57">
            <w:pPr>
              <w:pStyle w:val="34"/>
            </w:pPr>
            <w:r>
              <w:t>26.8</w:t>
            </w:r>
          </w:p>
        </w:tc>
        <w:tc>
          <w:tcPr>
            <w:tcW w:w="907" w:type="pct"/>
            <w:noWrap/>
            <w:vAlign w:val="center"/>
          </w:tcPr>
          <w:p w14:paraId="5C9707FC">
            <w:pPr>
              <w:pStyle w:val="34"/>
            </w:pPr>
            <w:r>
              <w:t>31.2</w:t>
            </w:r>
          </w:p>
        </w:tc>
        <w:tc>
          <w:tcPr>
            <w:tcW w:w="907" w:type="pct"/>
            <w:noWrap/>
            <w:vAlign w:val="center"/>
          </w:tcPr>
          <w:p w14:paraId="291A3B58">
            <w:pPr>
              <w:pStyle w:val="34"/>
            </w:pPr>
            <w:r>
              <w:t>24</w:t>
            </w:r>
          </w:p>
        </w:tc>
        <w:tc>
          <w:tcPr>
            <w:tcW w:w="941" w:type="pct"/>
            <w:noWrap/>
            <w:vAlign w:val="center"/>
          </w:tcPr>
          <w:p w14:paraId="6E636EEA">
            <w:pPr>
              <w:pStyle w:val="34"/>
            </w:pPr>
            <w:r>
              <w:t>37</w:t>
            </w:r>
          </w:p>
        </w:tc>
        <w:tc>
          <w:tcPr>
            <w:tcW w:w="1057" w:type="pct"/>
            <w:noWrap/>
            <w:vAlign w:val="center"/>
          </w:tcPr>
          <w:p w14:paraId="77A2FFF0">
            <w:pPr>
              <w:pStyle w:val="34"/>
            </w:pPr>
            <w:r>
              <w:t>15.7</w:t>
            </w:r>
          </w:p>
        </w:tc>
      </w:tr>
      <w:tr w14:paraId="1B6EE5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47C9B4B2">
            <w:pPr>
              <w:pStyle w:val="34"/>
            </w:pPr>
            <w:r>
              <w:t>10</w:t>
            </w:r>
          </w:p>
        </w:tc>
        <w:tc>
          <w:tcPr>
            <w:tcW w:w="660" w:type="pct"/>
            <w:noWrap/>
            <w:vAlign w:val="center"/>
          </w:tcPr>
          <w:p w14:paraId="2025DFA4">
            <w:pPr>
              <w:pStyle w:val="34"/>
            </w:pPr>
            <w:r>
              <w:t>23.7</w:t>
            </w:r>
          </w:p>
        </w:tc>
        <w:tc>
          <w:tcPr>
            <w:tcW w:w="907" w:type="pct"/>
            <w:noWrap/>
            <w:vAlign w:val="center"/>
          </w:tcPr>
          <w:p w14:paraId="68015B49">
            <w:pPr>
              <w:pStyle w:val="34"/>
            </w:pPr>
            <w:r>
              <w:t>28.6</w:t>
            </w:r>
          </w:p>
        </w:tc>
        <w:tc>
          <w:tcPr>
            <w:tcW w:w="907" w:type="pct"/>
            <w:noWrap/>
            <w:vAlign w:val="center"/>
          </w:tcPr>
          <w:p w14:paraId="1717EF04">
            <w:pPr>
              <w:pStyle w:val="34"/>
            </w:pPr>
            <w:r>
              <w:t>20.5</w:t>
            </w:r>
          </w:p>
        </w:tc>
        <w:tc>
          <w:tcPr>
            <w:tcW w:w="941" w:type="pct"/>
            <w:noWrap/>
            <w:vAlign w:val="center"/>
          </w:tcPr>
          <w:p w14:paraId="0C392AB9">
            <w:pPr>
              <w:pStyle w:val="34"/>
            </w:pPr>
            <w:r>
              <w:t>24.3</w:t>
            </w:r>
          </w:p>
        </w:tc>
        <w:tc>
          <w:tcPr>
            <w:tcW w:w="1057" w:type="pct"/>
            <w:noWrap/>
            <w:vAlign w:val="center"/>
          </w:tcPr>
          <w:p w14:paraId="0828AC83">
            <w:pPr>
              <w:pStyle w:val="34"/>
            </w:pPr>
            <w:r>
              <w:t>10.2</w:t>
            </w:r>
          </w:p>
        </w:tc>
      </w:tr>
      <w:tr w14:paraId="7A9BAA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0853E873">
            <w:pPr>
              <w:pStyle w:val="34"/>
            </w:pPr>
            <w:r>
              <w:t>11</w:t>
            </w:r>
          </w:p>
        </w:tc>
        <w:tc>
          <w:tcPr>
            <w:tcW w:w="660" w:type="pct"/>
            <w:noWrap/>
            <w:vAlign w:val="center"/>
          </w:tcPr>
          <w:p w14:paraId="16094724">
            <w:pPr>
              <w:pStyle w:val="34"/>
            </w:pPr>
            <w:r>
              <w:t>19.3</w:t>
            </w:r>
          </w:p>
        </w:tc>
        <w:tc>
          <w:tcPr>
            <w:tcW w:w="907" w:type="pct"/>
            <w:noWrap/>
            <w:vAlign w:val="center"/>
          </w:tcPr>
          <w:p w14:paraId="7CFAEEDD">
            <w:pPr>
              <w:pStyle w:val="34"/>
            </w:pPr>
            <w:r>
              <w:t>24.6</w:t>
            </w:r>
          </w:p>
        </w:tc>
        <w:tc>
          <w:tcPr>
            <w:tcW w:w="907" w:type="pct"/>
            <w:noWrap/>
            <w:vAlign w:val="center"/>
          </w:tcPr>
          <w:p w14:paraId="41AA9CBB">
            <w:pPr>
              <w:pStyle w:val="34"/>
            </w:pPr>
            <w:r>
              <w:t>15.8</w:t>
            </w:r>
          </w:p>
        </w:tc>
        <w:tc>
          <w:tcPr>
            <w:tcW w:w="941" w:type="pct"/>
            <w:noWrap/>
            <w:vAlign w:val="center"/>
          </w:tcPr>
          <w:p w14:paraId="494B82EE">
            <w:pPr>
              <w:pStyle w:val="34"/>
            </w:pPr>
            <w:r>
              <w:t>32.8</w:t>
            </w:r>
          </w:p>
        </w:tc>
        <w:tc>
          <w:tcPr>
            <w:tcW w:w="1057" w:type="pct"/>
            <w:noWrap/>
            <w:vAlign w:val="center"/>
          </w:tcPr>
          <w:p w14:paraId="70EACBDC">
            <w:pPr>
              <w:pStyle w:val="34"/>
            </w:pPr>
            <w:r>
              <w:t>3.9</w:t>
            </w:r>
          </w:p>
        </w:tc>
      </w:tr>
      <w:tr w14:paraId="7B2BE7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40DEAE9E">
            <w:pPr>
              <w:pStyle w:val="34"/>
            </w:pPr>
            <w:r>
              <w:t>12</w:t>
            </w:r>
          </w:p>
        </w:tc>
        <w:tc>
          <w:tcPr>
            <w:tcW w:w="660" w:type="pct"/>
            <w:noWrap/>
            <w:vAlign w:val="center"/>
          </w:tcPr>
          <w:p w14:paraId="39DDAFC0">
            <w:pPr>
              <w:pStyle w:val="34"/>
            </w:pPr>
            <w:r>
              <w:t>15.6</w:t>
            </w:r>
          </w:p>
        </w:tc>
        <w:tc>
          <w:tcPr>
            <w:tcW w:w="907" w:type="pct"/>
            <w:noWrap/>
            <w:vAlign w:val="center"/>
          </w:tcPr>
          <w:p w14:paraId="08AC361D">
            <w:pPr>
              <w:pStyle w:val="34"/>
            </w:pPr>
            <w:r>
              <w:t>20.7</w:t>
            </w:r>
          </w:p>
        </w:tc>
        <w:tc>
          <w:tcPr>
            <w:tcW w:w="907" w:type="pct"/>
            <w:noWrap/>
            <w:vAlign w:val="center"/>
          </w:tcPr>
          <w:p w14:paraId="51A4B673">
            <w:pPr>
              <w:pStyle w:val="34"/>
            </w:pPr>
            <w:r>
              <w:t>12.1</w:t>
            </w:r>
          </w:p>
        </w:tc>
        <w:tc>
          <w:tcPr>
            <w:tcW w:w="941" w:type="pct"/>
            <w:noWrap/>
            <w:vAlign w:val="center"/>
          </w:tcPr>
          <w:p w14:paraId="36F8314B">
            <w:pPr>
              <w:pStyle w:val="34"/>
            </w:pPr>
            <w:r>
              <w:t>31.5</w:t>
            </w:r>
          </w:p>
        </w:tc>
        <w:tc>
          <w:tcPr>
            <w:tcW w:w="1057" w:type="pct"/>
            <w:noWrap/>
            <w:vAlign w:val="center"/>
          </w:tcPr>
          <w:p w14:paraId="6A87EA14">
            <w:pPr>
              <w:pStyle w:val="34"/>
            </w:pPr>
            <w:r>
              <w:t>1.9</w:t>
            </w:r>
          </w:p>
        </w:tc>
      </w:tr>
      <w:tr w14:paraId="5F5122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5E55F766">
            <w:pPr>
              <w:pStyle w:val="34"/>
            </w:pPr>
            <w:r>
              <w:t>年平均</w:t>
            </w:r>
          </w:p>
        </w:tc>
        <w:tc>
          <w:tcPr>
            <w:tcW w:w="660" w:type="pct"/>
            <w:noWrap/>
            <w:vAlign w:val="center"/>
          </w:tcPr>
          <w:p w14:paraId="2300F054">
            <w:pPr>
              <w:pStyle w:val="34"/>
            </w:pPr>
            <w:r>
              <w:t>22.1</w:t>
            </w:r>
          </w:p>
        </w:tc>
        <w:tc>
          <w:tcPr>
            <w:tcW w:w="907" w:type="pct"/>
            <w:noWrap/>
            <w:vAlign w:val="center"/>
          </w:tcPr>
          <w:p w14:paraId="76108C0C">
            <w:pPr>
              <w:pStyle w:val="34"/>
            </w:pPr>
            <w:r>
              <w:t>26.2</w:t>
            </w:r>
          </w:p>
        </w:tc>
        <w:tc>
          <w:tcPr>
            <w:tcW w:w="907" w:type="pct"/>
            <w:noWrap/>
            <w:vAlign w:val="center"/>
          </w:tcPr>
          <w:p w14:paraId="73D997C6">
            <w:pPr>
              <w:pStyle w:val="34"/>
            </w:pPr>
            <w:r>
              <w:t>19.2</w:t>
            </w:r>
          </w:p>
        </w:tc>
        <w:tc>
          <w:tcPr>
            <w:tcW w:w="941" w:type="pct"/>
            <w:noWrap/>
            <w:vAlign w:val="center"/>
          </w:tcPr>
          <w:p w14:paraId="7DA08B06">
            <w:pPr>
              <w:pStyle w:val="34"/>
            </w:pPr>
            <w:r>
              <w:t>－</w:t>
            </w:r>
          </w:p>
        </w:tc>
        <w:tc>
          <w:tcPr>
            <w:tcW w:w="1057" w:type="pct"/>
            <w:noWrap/>
            <w:vAlign w:val="center"/>
          </w:tcPr>
          <w:p w14:paraId="13026E60">
            <w:pPr>
              <w:pStyle w:val="34"/>
            </w:pPr>
            <w:r>
              <w:t>－</w:t>
            </w:r>
          </w:p>
        </w:tc>
      </w:tr>
      <w:tr w14:paraId="3BCA5B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46B20392">
            <w:pPr>
              <w:pStyle w:val="34"/>
            </w:pPr>
            <w:r>
              <w:t>年极值</w:t>
            </w:r>
          </w:p>
        </w:tc>
        <w:tc>
          <w:tcPr>
            <w:tcW w:w="660" w:type="pct"/>
            <w:noWrap/>
            <w:vAlign w:val="center"/>
          </w:tcPr>
          <w:p w14:paraId="363FC8BD">
            <w:pPr>
              <w:pStyle w:val="34"/>
            </w:pPr>
            <w:r>
              <w:t>－</w:t>
            </w:r>
          </w:p>
        </w:tc>
        <w:tc>
          <w:tcPr>
            <w:tcW w:w="907" w:type="pct"/>
            <w:noWrap/>
            <w:vAlign w:val="center"/>
          </w:tcPr>
          <w:p w14:paraId="4804C630">
            <w:pPr>
              <w:pStyle w:val="34"/>
            </w:pPr>
            <w:r>
              <w:t>－</w:t>
            </w:r>
          </w:p>
        </w:tc>
        <w:tc>
          <w:tcPr>
            <w:tcW w:w="907" w:type="pct"/>
            <w:noWrap/>
            <w:vAlign w:val="center"/>
          </w:tcPr>
          <w:p w14:paraId="7A33FCDF">
            <w:pPr>
              <w:pStyle w:val="34"/>
            </w:pPr>
            <w:r>
              <w:t>－</w:t>
            </w:r>
          </w:p>
        </w:tc>
        <w:tc>
          <w:tcPr>
            <w:tcW w:w="941" w:type="pct"/>
            <w:noWrap/>
            <w:vAlign w:val="center"/>
          </w:tcPr>
          <w:p w14:paraId="3778E442">
            <w:pPr>
              <w:pStyle w:val="34"/>
            </w:pPr>
            <w:r>
              <w:t>37.7</w:t>
            </w:r>
          </w:p>
        </w:tc>
        <w:tc>
          <w:tcPr>
            <w:tcW w:w="1057" w:type="pct"/>
            <w:noWrap/>
            <w:vAlign w:val="center"/>
          </w:tcPr>
          <w:p w14:paraId="33D98B86">
            <w:pPr>
              <w:pStyle w:val="34"/>
            </w:pPr>
            <w:r>
              <w:t>-1.8</w:t>
            </w:r>
          </w:p>
        </w:tc>
      </w:tr>
    </w:tbl>
    <w:p w14:paraId="5D239828">
      <w:pPr>
        <w:pStyle w:val="6"/>
      </w:pPr>
      <w:r>
        <w:t>降水</w:t>
      </w:r>
    </w:p>
    <w:p w14:paraId="39910BA7">
      <w:pPr>
        <w:ind w:firstLine="494"/>
      </w:pPr>
      <w:r>
        <w:t>区域降水主要集中在6～9月，4个月降水量占全年降水量的66.7%，而11月至次年3月期间，降水量仅占降水量的11.3%，以8月降水量为最多，达449.5mm, 占年降水量的20.1%；</w:t>
      </w:r>
    </w:p>
    <w:p w14:paraId="0C78C656">
      <w:pPr>
        <w:ind w:firstLine="494"/>
      </w:pPr>
      <w:r>
        <w:t>多年平均降水量：2227.3mm；</w:t>
      </w:r>
    </w:p>
    <w:p w14:paraId="105D7B5B">
      <w:pPr>
        <w:ind w:firstLine="494"/>
      </w:pPr>
      <w:r>
        <w:t>年最大降水量：2961.5mm（1976年）；</w:t>
      </w:r>
    </w:p>
    <w:p w14:paraId="6D5208AE">
      <w:pPr>
        <w:ind w:firstLine="494"/>
      </w:pPr>
      <w:r>
        <w:t>年最小降水量：1426.0mm（1977年）；</w:t>
      </w:r>
    </w:p>
    <w:p w14:paraId="7F23E502">
      <w:pPr>
        <w:ind w:firstLine="494"/>
      </w:pPr>
      <w:r>
        <w:t>日最大降水量：359.9mm（1971年9月29日）；</w:t>
      </w:r>
    </w:p>
    <w:p w14:paraId="1F1569DA">
      <w:pPr>
        <w:ind w:firstLine="494"/>
      </w:pPr>
      <w:r>
        <w:t>1小时最大降水量：85.1mm（1927年5月16日15：30～16：30）；</w:t>
      </w:r>
    </w:p>
    <w:p w14:paraId="138A87DF">
      <w:pPr>
        <w:ind w:firstLine="494"/>
      </w:pPr>
      <w:r>
        <w:t>日降水量≥25mm：年平均26日。</w:t>
      </w:r>
    </w:p>
    <w:p w14:paraId="448B27EA">
      <w:pPr>
        <w:pStyle w:val="6"/>
      </w:pPr>
      <w:r>
        <w:t>风况</w:t>
      </w:r>
    </w:p>
    <w:p w14:paraId="298714CD">
      <w:pPr>
        <w:ind w:firstLine="494"/>
      </w:pPr>
      <w:r>
        <w:t>钦州市风况描述如下：</w:t>
      </w:r>
    </w:p>
    <w:p w14:paraId="2E90CE00">
      <w:pPr>
        <w:ind w:firstLine="494"/>
      </w:pPr>
    </w:p>
    <w:p w14:paraId="043BACB2">
      <w:pPr>
        <w:ind w:firstLine="494"/>
        <w:jc w:val="center"/>
      </w:pPr>
      <w:r>
        <w:drawing>
          <wp:inline distT="0" distB="0" distL="0" distR="0">
            <wp:extent cx="1950720" cy="1950720"/>
            <wp:effectExtent l="0" t="0" r="0" b="0"/>
            <wp:docPr id="15" name="图片 8" descr="说明: 596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descr="说明: 59632-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1950720" cy="1950720"/>
                    </a:xfrm>
                    <a:prstGeom prst="rect">
                      <a:avLst/>
                    </a:prstGeom>
                    <a:noFill/>
                    <a:ln>
                      <a:noFill/>
                    </a:ln>
                  </pic:spPr>
                </pic:pic>
              </a:graphicData>
            </a:graphic>
          </wp:inline>
        </w:drawing>
      </w:r>
    </w:p>
    <w:p w14:paraId="005CE237">
      <w:pPr>
        <w:pStyle w:val="8"/>
      </w:pPr>
      <w:r>
        <w:t>钦州市多年统计风玫瑰图</w:t>
      </w:r>
    </w:p>
    <w:p w14:paraId="065EF847">
      <w:pPr>
        <w:ind w:firstLine="494"/>
      </w:pPr>
      <w:r>
        <w:t>区域季风分布特征比较明显，每年5～8月多偏S向风，尤以6～7月最多，10月至翌年3月多偏N向风，4月及9月为偏N向气旋和偏S向气旋交替时期。</w:t>
      </w:r>
    </w:p>
    <w:p w14:paraId="04677A4A">
      <w:pPr>
        <w:ind w:firstLine="494"/>
      </w:pPr>
      <w:r>
        <w:t>常风向为N向，频率为26%，次常风向为NNE向，频率为9.2%；强风向为N向，最大风速为31m/s，多年平均风速3.8m/s，风速≥8级大风日数，多年平均为7天。</w:t>
      </w:r>
    </w:p>
    <w:p w14:paraId="10CB171A">
      <w:pPr>
        <w:ind w:firstLine="494"/>
      </w:pPr>
      <w:r>
        <w:t>区域每年5～11月份受台风影响，其中7、8、9月较为严重，据历史资料统计，影响本地区的台风平均每年为2～4次，最多为5次。项目所在区域常年风频、风速情况见表3.1-2。</w:t>
      </w:r>
    </w:p>
    <w:p w14:paraId="5A42062B">
      <w:pPr>
        <w:pStyle w:val="7"/>
      </w:pPr>
      <w:r>
        <w:t>项目所在区域常年风频、风速情况</w:t>
      </w:r>
    </w:p>
    <w:tbl>
      <w:tblPr>
        <w:tblStyle w:val="88"/>
        <w:tblpPr w:leftFromText="180" w:rightFromText="180" w:vertAnchor="text" w:horzAnchor="margin" w:tblpXSpec="center" w:tblpY="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6" w:type="dxa"/>
          <w:bottom w:w="0" w:type="dxa"/>
          <w:right w:w="6" w:type="dxa"/>
        </w:tblCellMar>
      </w:tblPr>
      <w:tblGrid>
        <w:gridCol w:w="770"/>
        <w:gridCol w:w="415"/>
        <w:gridCol w:w="441"/>
        <w:gridCol w:w="355"/>
        <w:gridCol w:w="473"/>
        <w:gridCol w:w="473"/>
        <w:gridCol w:w="473"/>
        <w:gridCol w:w="474"/>
        <w:gridCol w:w="474"/>
        <w:gridCol w:w="474"/>
        <w:gridCol w:w="474"/>
        <w:gridCol w:w="474"/>
        <w:gridCol w:w="512"/>
        <w:gridCol w:w="474"/>
        <w:gridCol w:w="512"/>
        <w:gridCol w:w="500"/>
        <w:gridCol w:w="500"/>
        <w:gridCol w:w="378"/>
      </w:tblGrid>
      <w:tr w14:paraId="2DDB57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c>
          <w:tcPr>
            <w:tcW w:w="456" w:type="pct"/>
            <w:tcMar>
              <w:left w:w="11" w:type="dxa"/>
              <w:right w:w="11" w:type="dxa"/>
            </w:tcMar>
            <w:vAlign w:val="center"/>
          </w:tcPr>
          <w:p w14:paraId="31F394E7">
            <w:pPr>
              <w:pStyle w:val="34"/>
            </w:pPr>
            <w:r>
              <w:t>风向</w:t>
            </w:r>
          </w:p>
        </w:tc>
        <w:tc>
          <w:tcPr>
            <w:tcW w:w="251" w:type="pct"/>
            <w:vAlign w:val="center"/>
          </w:tcPr>
          <w:p w14:paraId="68A43E27">
            <w:pPr>
              <w:pStyle w:val="34"/>
            </w:pPr>
            <w:r>
              <w:t>N</w:t>
            </w:r>
          </w:p>
        </w:tc>
        <w:tc>
          <w:tcPr>
            <w:tcW w:w="266" w:type="pct"/>
            <w:vAlign w:val="center"/>
          </w:tcPr>
          <w:p w14:paraId="7FF14F02">
            <w:pPr>
              <w:pStyle w:val="34"/>
            </w:pPr>
            <w:r>
              <w:t>NNE</w:t>
            </w:r>
          </w:p>
        </w:tc>
        <w:tc>
          <w:tcPr>
            <w:tcW w:w="216" w:type="pct"/>
            <w:vAlign w:val="center"/>
          </w:tcPr>
          <w:p w14:paraId="6770EEB1">
            <w:pPr>
              <w:pStyle w:val="34"/>
            </w:pPr>
            <w:r>
              <w:t>NE</w:t>
            </w:r>
          </w:p>
        </w:tc>
        <w:tc>
          <w:tcPr>
            <w:tcW w:w="284" w:type="pct"/>
            <w:vAlign w:val="center"/>
          </w:tcPr>
          <w:p w14:paraId="7281FCF3">
            <w:pPr>
              <w:pStyle w:val="34"/>
            </w:pPr>
            <w:r>
              <w:t>NEN</w:t>
            </w:r>
          </w:p>
        </w:tc>
        <w:tc>
          <w:tcPr>
            <w:tcW w:w="284" w:type="pct"/>
            <w:vAlign w:val="center"/>
          </w:tcPr>
          <w:p w14:paraId="7FD1F1C1">
            <w:pPr>
              <w:pStyle w:val="34"/>
            </w:pPr>
            <w:r>
              <w:t>E</w:t>
            </w:r>
          </w:p>
        </w:tc>
        <w:tc>
          <w:tcPr>
            <w:tcW w:w="284" w:type="pct"/>
            <w:vAlign w:val="center"/>
          </w:tcPr>
          <w:p w14:paraId="34348681">
            <w:pPr>
              <w:pStyle w:val="34"/>
            </w:pPr>
            <w:r>
              <w:t>ESE</w:t>
            </w:r>
          </w:p>
        </w:tc>
        <w:tc>
          <w:tcPr>
            <w:tcW w:w="284" w:type="pct"/>
            <w:vAlign w:val="center"/>
          </w:tcPr>
          <w:p w14:paraId="5E18D369">
            <w:pPr>
              <w:pStyle w:val="34"/>
            </w:pPr>
            <w:r>
              <w:t>SE</w:t>
            </w:r>
          </w:p>
        </w:tc>
        <w:tc>
          <w:tcPr>
            <w:tcW w:w="284" w:type="pct"/>
            <w:vAlign w:val="center"/>
          </w:tcPr>
          <w:p w14:paraId="79734718">
            <w:pPr>
              <w:pStyle w:val="34"/>
            </w:pPr>
            <w:r>
              <w:t>SSE</w:t>
            </w:r>
          </w:p>
        </w:tc>
        <w:tc>
          <w:tcPr>
            <w:tcW w:w="284" w:type="pct"/>
            <w:vAlign w:val="center"/>
          </w:tcPr>
          <w:p w14:paraId="567B6FC2">
            <w:pPr>
              <w:pStyle w:val="34"/>
            </w:pPr>
            <w:r>
              <w:t>S</w:t>
            </w:r>
          </w:p>
        </w:tc>
        <w:tc>
          <w:tcPr>
            <w:tcW w:w="284" w:type="pct"/>
            <w:vAlign w:val="center"/>
          </w:tcPr>
          <w:p w14:paraId="587B520C">
            <w:pPr>
              <w:pStyle w:val="34"/>
            </w:pPr>
            <w:r>
              <w:t>SSE</w:t>
            </w:r>
          </w:p>
        </w:tc>
        <w:tc>
          <w:tcPr>
            <w:tcW w:w="284" w:type="pct"/>
            <w:vAlign w:val="center"/>
          </w:tcPr>
          <w:p w14:paraId="0E0777C5">
            <w:pPr>
              <w:pStyle w:val="34"/>
            </w:pPr>
            <w:r>
              <w:t>SW</w:t>
            </w:r>
          </w:p>
        </w:tc>
        <w:tc>
          <w:tcPr>
            <w:tcW w:w="284" w:type="pct"/>
            <w:vAlign w:val="center"/>
          </w:tcPr>
          <w:p w14:paraId="4F8A7923">
            <w:pPr>
              <w:pStyle w:val="34"/>
            </w:pPr>
            <w:r>
              <w:t>WSW</w:t>
            </w:r>
          </w:p>
        </w:tc>
        <w:tc>
          <w:tcPr>
            <w:tcW w:w="284" w:type="pct"/>
            <w:vAlign w:val="center"/>
          </w:tcPr>
          <w:p w14:paraId="0E5612E1">
            <w:pPr>
              <w:pStyle w:val="34"/>
            </w:pPr>
            <w:r>
              <w:t>W</w:t>
            </w:r>
          </w:p>
        </w:tc>
        <w:tc>
          <w:tcPr>
            <w:tcW w:w="284" w:type="pct"/>
            <w:vAlign w:val="center"/>
          </w:tcPr>
          <w:p w14:paraId="171EE914">
            <w:pPr>
              <w:pStyle w:val="34"/>
            </w:pPr>
            <w:r>
              <w:t>WSW</w:t>
            </w:r>
          </w:p>
        </w:tc>
        <w:tc>
          <w:tcPr>
            <w:tcW w:w="232" w:type="pct"/>
            <w:vAlign w:val="center"/>
          </w:tcPr>
          <w:p w14:paraId="17E0659B">
            <w:pPr>
              <w:pStyle w:val="34"/>
            </w:pPr>
            <w:r>
              <w:t>NNW</w:t>
            </w:r>
          </w:p>
        </w:tc>
        <w:tc>
          <w:tcPr>
            <w:tcW w:w="221" w:type="pct"/>
            <w:vAlign w:val="center"/>
          </w:tcPr>
          <w:p w14:paraId="16A6ADC6">
            <w:pPr>
              <w:pStyle w:val="34"/>
            </w:pPr>
            <w:r>
              <w:t>NNW</w:t>
            </w:r>
          </w:p>
        </w:tc>
        <w:tc>
          <w:tcPr>
            <w:tcW w:w="229" w:type="pct"/>
            <w:vAlign w:val="center"/>
          </w:tcPr>
          <w:p w14:paraId="13653CD4">
            <w:pPr>
              <w:pStyle w:val="34"/>
            </w:pPr>
            <w:r>
              <w:t>C</w:t>
            </w:r>
          </w:p>
        </w:tc>
      </w:tr>
      <w:tr w14:paraId="5A1882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c>
          <w:tcPr>
            <w:tcW w:w="456" w:type="pct"/>
            <w:tcMar>
              <w:left w:w="11" w:type="dxa"/>
              <w:right w:w="11" w:type="dxa"/>
            </w:tcMar>
            <w:vAlign w:val="center"/>
          </w:tcPr>
          <w:p w14:paraId="52C50614">
            <w:pPr>
              <w:pStyle w:val="34"/>
            </w:pPr>
            <w:r>
              <w:t>频率%</w:t>
            </w:r>
          </w:p>
        </w:tc>
        <w:tc>
          <w:tcPr>
            <w:tcW w:w="251" w:type="pct"/>
            <w:vAlign w:val="center"/>
          </w:tcPr>
          <w:p w14:paraId="6B871198">
            <w:pPr>
              <w:pStyle w:val="34"/>
            </w:pPr>
            <w:r>
              <w:t>26.0</w:t>
            </w:r>
          </w:p>
        </w:tc>
        <w:tc>
          <w:tcPr>
            <w:tcW w:w="266" w:type="pct"/>
            <w:vAlign w:val="center"/>
          </w:tcPr>
          <w:p w14:paraId="37BAD660">
            <w:pPr>
              <w:pStyle w:val="34"/>
            </w:pPr>
            <w:r>
              <w:t>9.2</w:t>
            </w:r>
          </w:p>
        </w:tc>
        <w:tc>
          <w:tcPr>
            <w:tcW w:w="216" w:type="pct"/>
            <w:vAlign w:val="center"/>
          </w:tcPr>
          <w:p w14:paraId="15BEF8EB">
            <w:pPr>
              <w:pStyle w:val="34"/>
            </w:pPr>
            <w:r>
              <w:t>2.5</w:t>
            </w:r>
          </w:p>
        </w:tc>
        <w:tc>
          <w:tcPr>
            <w:tcW w:w="284" w:type="pct"/>
            <w:vAlign w:val="center"/>
          </w:tcPr>
          <w:p w14:paraId="5A601341">
            <w:pPr>
              <w:pStyle w:val="34"/>
            </w:pPr>
            <w:r>
              <w:t>2.1</w:t>
            </w:r>
          </w:p>
        </w:tc>
        <w:tc>
          <w:tcPr>
            <w:tcW w:w="284" w:type="pct"/>
            <w:vAlign w:val="center"/>
          </w:tcPr>
          <w:p w14:paraId="32CF942F">
            <w:pPr>
              <w:pStyle w:val="34"/>
            </w:pPr>
            <w:r>
              <w:t>3.0</w:t>
            </w:r>
          </w:p>
        </w:tc>
        <w:tc>
          <w:tcPr>
            <w:tcW w:w="284" w:type="pct"/>
            <w:vAlign w:val="center"/>
          </w:tcPr>
          <w:p w14:paraId="6074944E">
            <w:pPr>
              <w:pStyle w:val="34"/>
            </w:pPr>
            <w:r>
              <w:t>4.5</w:t>
            </w:r>
          </w:p>
        </w:tc>
        <w:tc>
          <w:tcPr>
            <w:tcW w:w="284" w:type="pct"/>
            <w:vAlign w:val="center"/>
          </w:tcPr>
          <w:p w14:paraId="736A6E3E">
            <w:pPr>
              <w:pStyle w:val="34"/>
            </w:pPr>
            <w:r>
              <w:t>7.0</w:t>
            </w:r>
          </w:p>
        </w:tc>
        <w:tc>
          <w:tcPr>
            <w:tcW w:w="284" w:type="pct"/>
            <w:vAlign w:val="center"/>
          </w:tcPr>
          <w:p w14:paraId="55142EAB">
            <w:pPr>
              <w:pStyle w:val="34"/>
            </w:pPr>
            <w:r>
              <w:t>7.0</w:t>
            </w:r>
          </w:p>
        </w:tc>
        <w:tc>
          <w:tcPr>
            <w:tcW w:w="284" w:type="pct"/>
            <w:vAlign w:val="center"/>
          </w:tcPr>
          <w:p w14:paraId="024F3090">
            <w:pPr>
              <w:pStyle w:val="34"/>
            </w:pPr>
            <w:r>
              <w:t>7.0</w:t>
            </w:r>
          </w:p>
        </w:tc>
        <w:tc>
          <w:tcPr>
            <w:tcW w:w="284" w:type="pct"/>
            <w:vAlign w:val="center"/>
          </w:tcPr>
          <w:p w14:paraId="3306C101">
            <w:pPr>
              <w:pStyle w:val="34"/>
            </w:pPr>
            <w:r>
              <w:t>5.4</w:t>
            </w:r>
          </w:p>
        </w:tc>
        <w:tc>
          <w:tcPr>
            <w:tcW w:w="284" w:type="pct"/>
            <w:vAlign w:val="center"/>
          </w:tcPr>
          <w:p w14:paraId="25272227">
            <w:pPr>
              <w:pStyle w:val="34"/>
            </w:pPr>
            <w:r>
              <w:t>4.1</w:t>
            </w:r>
          </w:p>
        </w:tc>
        <w:tc>
          <w:tcPr>
            <w:tcW w:w="284" w:type="pct"/>
            <w:vAlign w:val="center"/>
          </w:tcPr>
          <w:p w14:paraId="6955F407">
            <w:pPr>
              <w:pStyle w:val="34"/>
            </w:pPr>
            <w:r>
              <w:t>2.6</w:t>
            </w:r>
          </w:p>
        </w:tc>
        <w:tc>
          <w:tcPr>
            <w:tcW w:w="284" w:type="pct"/>
            <w:vAlign w:val="center"/>
          </w:tcPr>
          <w:p w14:paraId="217FA3C9">
            <w:pPr>
              <w:pStyle w:val="34"/>
            </w:pPr>
            <w:r>
              <w:t>1.3</w:t>
            </w:r>
          </w:p>
        </w:tc>
        <w:tc>
          <w:tcPr>
            <w:tcW w:w="284" w:type="pct"/>
            <w:vAlign w:val="center"/>
          </w:tcPr>
          <w:p w14:paraId="38BB176F">
            <w:pPr>
              <w:pStyle w:val="34"/>
            </w:pPr>
            <w:r>
              <w:t>0.8</w:t>
            </w:r>
          </w:p>
        </w:tc>
        <w:tc>
          <w:tcPr>
            <w:tcW w:w="232" w:type="pct"/>
            <w:vAlign w:val="center"/>
          </w:tcPr>
          <w:p w14:paraId="7C7EC6C0">
            <w:pPr>
              <w:pStyle w:val="34"/>
            </w:pPr>
            <w:r>
              <w:t>1.8</w:t>
            </w:r>
          </w:p>
        </w:tc>
        <w:tc>
          <w:tcPr>
            <w:tcW w:w="221" w:type="pct"/>
            <w:vAlign w:val="center"/>
          </w:tcPr>
          <w:p w14:paraId="269BB441">
            <w:pPr>
              <w:pStyle w:val="34"/>
            </w:pPr>
            <w:r>
              <w:t>7.2</w:t>
            </w:r>
          </w:p>
        </w:tc>
        <w:tc>
          <w:tcPr>
            <w:tcW w:w="229" w:type="pct"/>
            <w:vAlign w:val="center"/>
          </w:tcPr>
          <w:p w14:paraId="3E5EE8DF">
            <w:pPr>
              <w:pStyle w:val="34"/>
            </w:pPr>
            <w:r>
              <w:t>9.4</w:t>
            </w:r>
          </w:p>
        </w:tc>
      </w:tr>
      <w:tr w14:paraId="1314FE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c>
          <w:tcPr>
            <w:tcW w:w="456" w:type="pct"/>
            <w:tcMar>
              <w:left w:w="11" w:type="dxa"/>
              <w:right w:w="11" w:type="dxa"/>
            </w:tcMar>
            <w:vAlign w:val="center"/>
          </w:tcPr>
          <w:p w14:paraId="79620A10">
            <w:pPr>
              <w:pStyle w:val="34"/>
            </w:pPr>
            <w:r>
              <w:t>最大风速m/s</w:t>
            </w:r>
          </w:p>
        </w:tc>
        <w:tc>
          <w:tcPr>
            <w:tcW w:w="251" w:type="pct"/>
            <w:vAlign w:val="center"/>
          </w:tcPr>
          <w:p w14:paraId="41291294">
            <w:pPr>
              <w:pStyle w:val="34"/>
            </w:pPr>
            <w:r>
              <w:t>31</w:t>
            </w:r>
          </w:p>
        </w:tc>
        <w:tc>
          <w:tcPr>
            <w:tcW w:w="266" w:type="pct"/>
            <w:vAlign w:val="center"/>
          </w:tcPr>
          <w:p w14:paraId="5FBAA0E3">
            <w:pPr>
              <w:pStyle w:val="34"/>
            </w:pPr>
            <w:r>
              <w:t>22</w:t>
            </w:r>
          </w:p>
        </w:tc>
        <w:tc>
          <w:tcPr>
            <w:tcW w:w="216" w:type="pct"/>
            <w:vAlign w:val="center"/>
          </w:tcPr>
          <w:p w14:paraId="15BB1E9A">
            <w:pPr>
              <w:pStyle w:val="34"/>
            </w:pPr>
            <w:r>
              <w:t>12</w:t>
            </w:r>
          </w:p>
        </w:tc>
        <w:tc>
          <w:tcPr>
            <w:tcW w:w="284" w:type="pct"/>
            <w:vAlign w:val="center"/>
          </w:tcPr>
          <w:p w14:paraId="4691B045">
            <w:pPr>
              <w:pStyle w:val="34"/>
            </w:pPr>
            <w:r>
              <w:t>19</w:t>
            </w:r>
          </w:p>
        </w:tc>
        <w:tc>
          <w:tcPr>
            <w:tcW w:w="284" w:type="pct"/>
            <w:vAlign w:val="center"/>
          </w:tcPr>
          <w:p w14:paraId="5E2414FE">
            <w:pPr>
              <w:pStyle w:val="34"/>
            </w:pPr>
            <w:r>
              <w:t>15</w:t>
            </w:r>
          </w:p>
        </w:tc>
        <w:tc>
          <w:tcPr>
            <w:tcW w:w="284" w:type="pct"/>
            <w:vAlign w:val="center"/>
          </w:tcPr>
          <w:p w14:paraId="29462A85">
            <w:pPr>
              <w:pStyle w:val="34"/>
            </w:pPr>
            <w:r>
              <w:t>21</w:t>
            </w:r>
          </w:p>
        </w:tc>
        <w:tc>
          <w:tcPr>
            <w:tcW w:w="284" w:type="pct"/>
            <w:vAlign w:val="center"/>
          </w:tcPr>
          <w:p w14:paraId="03D9E66B">
            <w:pPr>
              <w:pStyle w:val="34"/>
            </w:pPr>
            <w:r>
              <w:t>15</w:t>
            </w:r>
          </w:p>
        </w:tc>
        <w:tc>
          <w:tcPr>
            <w:tcW w:w="284" w:type="pct"/>
            <w:vAlign w:val="center"/>
          </w:tcPr>
          <w:p w14:paraId="59694FE4">
            <w:pPr>
              <w:pStyle w:val="34"/>
            </w:pPr>
            <w:r>
              <w:t>16</w:t>
            </w:r>
          </w:p>
        </w:tc>
        <w:tc>
          <w:tcPr>
            <w:tcW w:w="284" w:type="pct"/>
            <w:vAlign w:val="center"/>
          </w:tcPr>
          <w:p w14:paraId="382AC06F">
            <w:pPr>
              <w:pStyle w:val="34"/>
            </w:pPr>
            <w:r>
              <w:t>21</w:t>
            </w:r>
          </w:p>
        </w:tc>
        <w:tc>
          <w:tcPr>
            <w:tcW w:w="284" w:type="pct"/>
            <w:vAlign w:val="center"/>
          </w:tcPr>
          <w:p w14:paraId="5B253DA9">
            <w:pPr>
              <w:pStyle w:val="34"/>
            </w:pPr>
            <w:r>
              <w:t>16</w:t>
            </w:r>
          </w:p>
        </w:tc>
        <w:tc>
          <w:tcPr>
            <w:tcW w:w="284" w:type="pct"/>
            <w:vAlign w:val="center"/>
          </w:tcPr>
          <w:p w14:paraId="3EBB6658">
            <w:pPr>
              <w:pStyle w:val="34"/>
            </w:pPr>
            <w:r>
              <w:t>15</w:t>
            </w:r>
          </w:p>
        </w:tc>
        <w:tc>
          <w:tcPr>
            <w:tcW w:w="284" w:type="pct"/>
            <w:vAlign w:val="center"/>
          </w:tcPr>
          <w:p w14:paraId="365211AA">
            <w:pPr>
              <w:pStyle w:val="34"/>
            </w:pPr>
            <w:r>
              <w:t>11</w:t>
            </w:r>
          </w:p>
        </w:tc>
        <w:tc>
          <w:tcPr>
            <w:tcW w:w="284" w:type="pct"/>
            <w:vAlign w:val="center"/>
          </w:tcPr>
          <w:p w14:paraId="057C7C7B">
            <w:pPr>
              <w:pStyle w:val="34"/>
            </w:pPr>
            <w:r>
              <w:t>8</w:t>
            </w:r>
          </w:p>
        </w:tc>
        <w:tc>
          <w:tcPr>
            <w:tcW w:w="284" w:type="pct"/>
            <w:vAlign w:val="center"/>
          </w:tcPr>
          <w:p w14:paraId="13C0265F">
            <w:pPr>
              <w:pStyle w:val="34"/>
            </w:pPr>
            <w:r>
              <w:t>9</w:t>
            </w:r>
          </w:p>
        </w:tc>
        <w:tc>
          <w:tcPr>
            <w:tcW w:w="232" w:type="pct"/>
            <w:vAlign w:val="center"/>
          </w:tcPr>
          <w:p w14:paraId="4D8CBA04">
            <w:pPr>
              <w:pStyle w:val="34"/>
            </w:pPr>
            <w:r>
              <w:t>16</w:t>
            </w:r>
          </w:p>
        </w:tc>
        <w:tc>
          <w:tcPr>
            <w:tcW w:w="221" w:type="pct"/>
            <w:vAlign w:val="center"/>
          </w:tcPr>
          <w:p w14:paraId="2AC90B70">
            <w:pPr>
              <w:pStyle w:val="34"/>
            </w:pPr>
            <w:r>
              <w:t>27</w:t>
            </w:r>
          </w:p>
        </w:tc>
        <w:tc>
          <w:tcPr>
            <w:tcW w:w="229" w:type="pct"/>
            <w:vAlign w:val="center"/>
          </w:tcPr>
          <w:p w14:paraId="7DC8954F">
            <w:pPr>
              <w:pStyle w:val="34"/>
            </w:pPr>
            <w:r>
              <w:t>/</w:t>
            </w:r>
          </w:p>
        </w:tc>
      </w:tr>
      <w:tr w14:paraId="40275F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c>
          <w:tcPr>
            <w:tcW w:w="456" w:type="pct"/>
            <w:tcMar>
              <w:left w:w="11" w:type="dxa"/>
              <w:right w:w="11" w:type="dxa"/>
            </w:tcMar>
            <w:vAlign w:val="center"/>
          </w:tcPr>
          <w:p w14:paraId="277F9EC5">
            <w:pPr>
              <w:pStyle w:val="34"/>
            </w:pPr>
            <w:r>
              <w:t>平均风速m/s</w:t>
            </w:r>
          </w:p>
        </w:tc>
        <w:tc>
          <w:tcPr>
            <w:tcW w:w="251" w:type="pct"/>
            <w:vAlign w:val="center"/>
          </w:tcPr>
          <w:p w14:paraId="65FAAA0E">
            <w:pPr>
              <w:pStyle w:val="34"/>
            </w:pPr>
            <w:r>
              <w:t>5.0</w:t>
            </w:r>
          </w:p>
        </w:tc>
        <w:tc>
          <w:tcPr>
            <w:tcW w:w="266" w:type="pct"/>
            <w:vAlign w:val="center"/>
          </w:tcPr>
          <w:p w14:paraId="5C5AC7A8">
            <w:pPr>
              <w:pStyle w:val="34"/>
            </w:pPr>
            <w:r>
              <w:t>3.1</w:t>
            </w:r>
          </w:p>
        </w:tc>
        <w:tc>
          <w:tcPr>
            <w:tcW w:w="216" w:type="pct"/>
            <w:vAlign w:val="center"/>
          </w:tcPr>
          <w:p w14:paraId="21AA5971">
            <w:pPr>
              <w:pStyle w:val="34"/>
            </w:pPr>
            <w:r>
              <w:t>2.5</w:t>
            </w:r>
          </w:p>
        </w:tc>
        <w:tc>
          <w:tcPr>
            <w:tcW w:w="284" w:type="pct"/>
            <w:vAlign w:val="center"/>
          </w:tcPr>
          <w:p w14:paraId="1F35FCA0">
            <w:pPr>
              <w:pStyle w:val="34"/>
            </w:pPr>
            <w:r>
              <w:t>2.5</w:t>
            </w:r>
          </w:p>
        </w:tc>
        <w:tc>
          <w:tcPr>
            <w:tcW w:w="284" w:type="pct"/>
            <w:vAlign w:val="center"/>
          </w:tcPr>
          <w:p w14:paraId="75293EEB">
            <w:pPr>
              <w:pStyle w:val="34"/>
            </w:pPr>
            <w:r>
              <w:t>3.0</w:t>
            </w:r>
          </w:p>
        </w:tc>
        <w:tc>
          <w:tcPr>
            <w:tcW w:w="284" w:type="pct"/>
            <w:vAlign w:val="center"/>
          </w:tcPr>
          <w:p w14:paraId="4A5FB16F">
            <w:pPr>
              <w:pStyle w:val="34"/>
            </w:pPr>
            <w:r>
              <w:t>2.9</w:t>
            </w:r>
          </w:p>
        </w:tc>
        <w:tc>
          <w:tcPr>
            <w:tcW w:w="284" w:type="pct"/>
            <w:vAlign w:val="center"/>
          </w:tcPr>
          <w:p w14:paraId="5426D719">
            <w:pPr>
              <w:pStyle w:val="34"/>
            </w:pPr>
            <w:r>
              <w:t>4.3</w:t>
            </w:r>
          </w:p>
        </w:tc>
        <w:tc>
          <w:tcPr>
            <w:tcW w:w="284" w:type="pct"/>
            <w:vAlign w:val="center"/>
          </w:tcPr>
          <w:p w14:paraId="7116C9DF">
            <w:pPr>
              <w:pStyle w:val="34"/>
            </w:pPr>
            <w:r>
              <w:t>3.8</w:t>
            </w:r>
          </w:p>
        </w:tc>
        <w:tc>
          <w:tcPr>
            <w:tcW w:w="284" w:type="pct"/>
            <w:vAlign w:val="center"/>
          </w:tcPr>
          <w:p w14:paraId="124B7084">
            <w:pPr>
              <w:pStyle w:val="34"/>
            </w:pPr>
            <w:r>
              <w:t>2.6</w:t>
            </w:r>
          </w:p>
        </w:tc>
        <w:tc>
          <w:tcPr>
            <w:tcW w:w="284" w:type="pct"/>
            <w:vAlign w:val="center"/>
          </w:tcPr>
          <w:p w14:paraId="73283F35">
            <w:pPr>
              <w:pStyle w:val="34"/>
            </w:pPr>
            <w:r>
              <w:t>2.7</w:t>
            </w:r>
          </w:p>
        </w:tc>
        <w:tc>
          <w:tcPr>
            <w:tcW w:w="284" w:type="pct"/>
            <w:vAlign w:val="center"/>
          </w:tcPr>
          <w:p w14:paraId="6A0DCA7D">
            <w:pPr>
              <w:pStyle w:val="34"/>
            </w:pPr>
            <w:r>
              <w:t>2.4</w:t>
            </w:r>
          </w:p>
        </w:tc>
        <w:tc>
          <w:tcPr>
            <w:tcW w:w="284" w:type="pct"/>
            <w:vAlign w:val="center"/>
          </w:tcPr>
          <w:p w14:paraId="2E1E0F87">
            <w:pPr>
              <w:pStyle w:val="34"/>
            </w:pPr>
            <w:r>
              <w:t>2.4</w:t>
            </w:r>
          </w:p>
        </w:tc>
        <w:tc>
          <w:tcPr>
            <w:tcW w:w="284" w:type="pct"/>
            <w:vAlign w:val="center"/>
          </w:tcPr>
          <w:p w14:paraId="52467A05">
            <w:pPr>
              <w:pStyle w:val="34"/>
            </w:pPr>
            <w:r>
              <w:t>2.1</w:t>
            </w:r>
          </w:p>
        </w:tc>
        <w:tc>
          <w:tcPr>
            <w:tcW w:w="284" w:type="pct"/>
            <w:vAlign w:val="center"/>
          </w:tcPr>
          <w:p w14:paraId="74C3F2B2">
            <w:pPr>
              <w:pStyle w:val="34"/>
            </w:pPr>
            <w:r>
              <w:t>2.1</w:t>
            </w:r>
          </w:p>
        </w:tc>
        <w:tc>
          <w:tcPr>
            <w:tcW w:w="232" w:type="pct"/>
            <w:vAlign w:val="center"/>
          </w:tcPr>
          <w:p w14:paraId="1C42918D">
            <w:pPr>
              <w:pStyle w:val="34"/>
            </w:pPr>
            <w:r>
              <w:t>2.4</w:t>
            </w:r>
          </w:p>
        </w:tc>
        <w:tc>
          <w:tcPr>
            <w:tcW w:w="221" w:type="pct"/>
            <w:vAlign w:val="center"/>
          </w:tcPr>
          <w:p w14:paraId="40D67D81">
            <w:pPr>
              <w:pStyle w:val="34"/>
            </w:pPr>
            <w:r>
              <w:t>3.8</w:t>
            </w:r>
          </w:p>
        </w:tc>
        <w:tc>
          <w:tcPr>
            <w:tcW w:w="229" w:type="pct"/>
            <w:vAlign w:val="center"/>
          </w:tcPr>
          <w:p w14:paraId="7F9988F0">
            <w:pPr>
              <w:pStyle w:val="34"/>
            </w:pPr>
            <w:r>
              <w:t>/</w:t>
            </w:r>
          </w:p>
        </w:tc>
      </w:tr>
    </w:tbl>
    <w:p w14:paraId="418910D1">
      <w:pPr>
        <w:pStyle w:val="6"/>
      </w:pPr>
      <w:r>
        <w:t>雾、相对湿度及蒸发量</w:t>
      </w:r>
    </w:p>
    <w:p w14:paraId="4256FA0B">
      <w:pPr>
        <w:ind w:firstLine="496"/>
      </w:pPr>
      <w:r>
        <w:rPr>
          <w:b/>
        </w:rPr>
        <w:t>雾</w:t>
      </w:r>
      <w:r>
        <w:t xml:space="preserve">   钦州湾的雾以锋面雾和平流雾为主，辐射雾次之。钦州湾的雾日与廉州湾相近，多年平均为13.4d，历年最多雾日达30d，最少为6d。一年中多雾日时段为12月至翌年3月，在此期间月平均雾日为2d至3d。一天中雾主要出现在傍晚至次日清晨。冬春季节，大雾常出现在冷空气南下之前。</w:t>
      </w:r>
    </w:p>
    <w:p w14:paraId="1DC342DA">
      <w:pPr>
        <w:ind w:firstLine="496"/>
      </w:pPr>
      <w:r>
        <w:rPr>
          <w:b/>
        </w:rPr>
        <w:t>相对湿度</w:t>
      </w:r>
      <w:r>
        <w:t xml:space="preserve">   区域相对湿度以春季3月和雨季6～8月为最大，10月到次年1月为相对湿度低值期。多年平均相对湿度为82%，历史最大相对湿度达100%，历史最小相对湿度为22%。</w:t>
      </w:r>
    </w:p>
    <w:p w14:paraId="66E86A47">
      <w:pPr>
        <w:pStyle w:val="5"/>
      </w:pPr>
      <w:r>
        <w:t>海洋水文</w:t>
      </w:r>
    </w:p>
    <w:p w14:paraId="7D4211C3">
      <w:pPr>
        <w:ind w:firstLine="494"/>
      </w:pPr>
      <w:r>
        <w:rPr>
          <w:rFonts w:hint="eastAsia"/>
        </w:rPr>
        <w:t>1、</w:t>
      </w:r>
      <w:r>
        <w:t>潮汐</w:t>
      </w:r>
    </w:p>
    <w:p w14:paraId="6AB05C39">
      <w:pPr>
        <w:ind w:firstLine="494"/>
      </w:pPr>
      <w:r>
        <w:t>钦州湾的潮汐性质属非正规全日潮，其显著特点是，每月大潮过后约有2～4日时间为半日潮，其余多为全日潮。一年当中，全日潮的时间约为60%～70%。</w:t>
      </w:r>
    </w:p>
    <w:p w14:paraId="0ACEF69D">
      <w:pPr>
        <w:ind w:firstLine="494"/>
      </w:pPr>
      <w:r>
        <w:t>根据龙门潮位站1966年～2002年观测资料计算，钦州湾多年平均海面为0.40m（黄海基面起算），其潮位特征值如下：</w:t>
      </w:r>
    </w:p>
    <w:p w14:paraId="40D79AD5">
      <w:pPr>
        <w:ind w:firstLine="494"/>
      </w:pPr>
      <w:r>
        <w:t>历年最高高潮位：3.96m（1986年7月22日）</w:t>
      </w:r>
    </w:p>
    <w:p w14:paraId="2A5BC741">
      <w:pPr>
        <w:ind w:firstLine="494"/>
      </w:pPr>
      <w:r>
        <w:t>历年最低低潮位：-2.57m（1968年12月22日）</w:t>
      </w:r>
    </w:p>
    <w:p w14:paraId="1DF7D558">
      <w:pPr>
        <w:ind w:firstLine="494"/>
      </w:pPr>
      <w:r>
        <w:t>历年涨潮最大潮差：5.95m（1968年）</w:t>
      </w:r>
    </w:p>
    <w:p w14:paraId="47C04472">
      <w:pPr>
        <w:ind w:firstLine="494"/>
      </w:pPr>
      <w:r>
        <w:t>多年涨潮平均潮差：2.46m</w:t>
      </w:r>
    </w:p>
    <w:p w14:paraId="360E9B16">
      <w:pPr>
        <w:ind w:firstLine="494"/>
      </w:pPr>
      <w:r>
        <w:t>历年落潮最大潮差：5.69m（1987年）</w:t>
      </w:r>
    </w:p>
    <w:p w14:paraId="69607461">
      <w:pPr>
        <w:ind w:firstLine="494"/>
      </w:pPr>
      <w:r>
        <w:t>多年落潮平均潮差：2.46m</w:t>
      </w:r>
    </w:p>
    <w:p w14:paraId="345DA1D4">
      <w:pPr>
        <w:ind w:firstLine="494"/>
      </w:pPr>
      <w:r>
        <w:t>多年平均涨潮历时：10h29min</w:t>
      </w:r>
    </w:p>
    <w:p w14:paraId="07160DC6">
      <w:pPr>
        <w:ind w:firstLine="494"/>
      </w:pPr>
      <w:r>
        <w:t>多年平均落潮历时：7h47min</w:t>
      </w:r>
    </w:p>
    <w:p w14:paraId="741B0A8A">
      <w:pPr>
        <w:ind w:firstLine="494"/>
      </w:pPr>
      <w:r>
        <w:rPr>
          <w:rFonts w:hint="eastAsia"/>
        </w:rPr>
        <w:t>2、</w:t>
      </w:r>
      <w:r>
        <w:t xml:space="preserve">潮流 </w:t>
      </w:r>
    </w:p>
    <w:p w14:paraId="4C705761">
      <w:pPr>
        <w:ind w:firstLine="494"/>
      </w:pPr>
      <w:r>
        <w:t>钦州湾潮流呈往复流性质。涨潮方向指北，即涨潮流由南进入湾内后，受东侧边界的影响，在东侧呈NNW流向青菜头，并沿潮汐通道进入茅尾海。落潮流由茅尾海向外，沿潮汐通道直冲青菜头，而后由北向南逐渐向SW方向偏转。涨落潮流均与航道走向大体一致，落潮潮流可将携带的泥沙向外海推移。</w:t>
      </w:r>
    </w:p>
    <w:p w14:paraId="0CD4F8D6">
      <w:pPr>
        <w:ind w:firstLine="494"/>
      </w:pPr>
      <w:r>
        <w:t>钦州湾内涨潮平均流速为8cm/s～28cm/s，最大为54cm/s，落潮平均流速为9cm/s～55cm/s，最大流速为95cm/s。落潮平均流速和最大流速均较涨潮大。</w:t>
      </w:r>
    </w:p>
    <w:p w14:paraId="615ADFFD">
      <w:pPr>
        <w:ind w:firstLine="494"/>
      </w:pPr>
      <w:r>
        <w:t>鹰岭附近，大潮时，落潮流最大垂线平均流速达106cm/s，流向113°；涨潮流最大垂线平均流速为72cm/s，流向313°；小潮时，落潮流最大垂线平均流速为20cm/s，流向108°；涨潮流最大垂线平均流速为38cm/s，流向288°。在东航道中段，中潮时落潮流最大垂线平均流速为65cm/s，流向为162°；涨潮时最大垂线平均流速为51cm/s，流向为355°。在青菜头以北的潮汐通道中，除局部水域受岛礁影响水流流向较散乱外，潮流呈往复流性质，涨落潮流方向与深槽走向一致。由于茅尾海的纳潮量大，因此，潮汐通道潮流强劲，无大的风浪，最大涨潮流速为100cm/s，最大落潮流速为170cm/s。基岩上无淤积物覆盖，深槽水深达10cm～20cm。</w:t>
      </w:r>
    </w:p>
    <w:p w14:paraId="764FDA3A">
      <w:pPr>
        <w:ind w:firstLine="494"/>
      </w:pPr>
      <w:r>
        <w:rPr>
          <w:rFonts w:hint="eastAsia"/>
        </w:rPr>
        <w:t>3、</w:t>
      </w:r>
      <w:r>
        <w:t>波浪</w:t>
      </w:r>
    </w:p>
    <w:p w14:paraId="7073E3CB">
      <w:pPr>
        <w:ind w:firstLine="494"/>
      </w:pPr>
      <w:r>
        <w:rPr>
          <w:rFonts w:hint="eastAsia"/>
        </w:rPr>
        <w:t>本海区波浪以风浪为主，常浪向SSW向、频率占17.67％，其次NNE向、频率为17.2％；强浪向为ESE向，次强浪向为SSW向和NE向；本海区实测最大波高为3.4m，实测最大周期为6.8s。据统计本区H 1/10小于0.5m发生频率为66.37％，小于1.0m发生频率为96.21％，大于1.5m波高出现频率仅为1.1%。</w:t>
      </w:r>
    </w:p>
    <w:p w14:paraId="28F6E559">
      <w:pPr>
        <w:ind w:firstLine="496"/>
        <w:rPr>
          <w:b/>
        </w:rPr>
      </w:pPr>
      <w:r>
        <w:rPr>
          <w:rFonts w:hint="eastAsia"/>
          <w:b/>
        </w:rPr>
        <w:t>4、</w:t>
      </w:r>
      <w:r>
        <w:rPr>
          <w:b/>
        </w:rPr>
        <w:t>乘潮水位</w:t>
      </w:r>
    </w:p>
    <w:p w14:paraId="22C951E3">
      <w:pPr>
        <w:ind w:firstLine="494"/>
      </w:pPr>
      <w:r>
        <w:t>钦州港</w:t>
      </w:r>
      <w:r>
        <w:rPr>
          <w:rFonts w:hint="eastAsia"/>
        </w:rPr>
        <w:t>极端高水位为</w:t>
      </w:r>
      <w:r>
        <w:t>5.77m</w:t>
      </w:r>
      <w:r>
        <w:rPr>
          <w:rFonts w:hint="eastAsia"/>
        </w:rPr>
        <w:t>（</w:t>
      </w:r>
      <w:r>
        <w:t>50</w:t>
      </w:r>
      <w:r>
        <w:rPr>
          <w:rFonts w:hint="eastAsia"/>
        </w:rPr>
        <w:t>年一遇高潮位），极端低水位为</w:t>
      </w:r>
      <w:r>
        <w:t>-0.89m</w:t>
      </w:r>
      <w:r>
        <w:rPr>
          <w:rFonts w:hint="eastAsia"/>
        </w:rPr>
        <w:t>（</w:t>
      </w:r>
      <w:r>
        <w:t>50</w:t>
      </w:r>
      <w:r>
        <w:rPr>
          <w:rFonts w:hint="eastAsia"/>
        </w:rPr>
        <w:t>年一遇低潮位），</w:t>
      </w:r>
      <w:r>
        <w:t>各乘潮历时不同保证率乘潮水位如下表</w:t>
      </w:r>
      <w:r>
        <w:rPr>
          <w:rFonts w:hint="eastAsia"/>
        </w:rPr>
        <w:t>3.1-3</w:t>
      </w:r>
      <w:r>
        <w:t>。</w:t>
      </w:r>
    </w:p>
    <w:p w14:paraId="2057410A">
      <w:pPr>
        <w:pStyle w:val="7"/>
      </w:pPr>
      <w:r>
        <w:rPr>
          <w:rFonts w:hint="eastAsia"/>
        </w:rPr>
        <w:t xml:space="preserve"> </w:t>
      </w:r>
      <w:r>
        <w:t>乘潮水位表（果子山理论深度基准面）</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496"/>
        <w:gridCol w:w="1687"/>
        <w:gridCol w:w="1571"/>
        <w:gridCol w:w="1454"/>
        <w:gridCol w:w="1314"/>
      </w:tblGrid>
      <w:tr w14:paraId="34FA4C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tblHeader/>
          <w:jc w:val="center"/>
        </w:trPr>
        <w:tc>
          <w:tcPr>
            <w:tcW w:w="2496" w:type="dxa"/>
            <w:vAlign w:val="center"/>
          </w:tcPr>
          <w:p w14:paraId="4E66F2BA">
            <w:pPr>
              <w:snapToGrid w:val="0"/>
              <w:spacing w:line="240" w:lineRule="exact"/>
              <w:ind w:firstLine="434"/>
              <w:rPr>
                <w:b/>
                <w:bCs/>
                <w:sz w:val="21"/>
                <w:szCs w:val="21"/>
              </w:rPr>
            </w:pPr>
            <w:r>
              <w:rPr>
                <w:sz w:val="21"/>
                <w:szCs w:val="21"/>
              </w:rPr>
              <mc:AlternateContent>
                <mc:Choice Requires="wps">
                  <w:drawing>
                    <wp:anchor distT="0" distB="0" distL="114300" distR="114300" simplePos="0" relativeHeight="251662336" behindDoc="0" locked="0" layoutInCell="1" allowOverlap="1">
                      <wp:simplePos x="0" y="0"/>
                      <wp:positionH relativeFrom="column">
                        <wp:posOffset>-55245</wp:posOffset>
                      </wp:positionH>
                      <wp:positionV relativeFrom="paragraph">
                        <wp:posOffset>16510</wp:posOffset>
                      </wp:positionV>
                      <wp:extent cx="916305" cy="643890"/>
                      <wp:effectExtent l="0" t="0" r="17145" b="22860"/>
                      <wp:wrapNone/>
                      <wp:docPr id="355215808" name="直接连接符 355215808"/>
                      <wp:cNvGraphicFramePr/>
                      <a:graphic xmlns:a="http://schemas.openxmlformats.org/drawingml/2006/main">
                        <a:graphicData uri="http://schemas.microsoft.com/office/word/2010/wordprocessingShape">
                          <wps:wsp>
                            <wps:cNvCnPr>
                              <a:cxnSpLocks noChangeShapeType="1"/>
                            </wps:cNvCnPr>
                            <wps:spPr bwMode="auto">
                              <a:xfrm>
                                <a:off x="0" y="0"/>
                                <a:ext cx="916305" cy="64389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4.35pt;margin-top:1.3pt;height:50.7pt;width:72.15pt;z-index:251662336;mso-width-relative:page;mso-height-relative:page;" filled="f" stroked="t" coordsize="21600,21600" o:gfxdata="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Zqmug9YAAAAIAQAADwAAAAAAAAABACAAAAAiAAAAZHJzL2Rvd25yZXYueG1sUEsB&#10;AhQAFAAAAAgAh07iQE0Bblf3AQAAzAMAAA4AAAAAAAAAAQAgAAAAJQEAAGRycy9lMm9Eb2MueG1s&#10;UEsFBgAAAAAGAAYAWQEAAI4FAAAAAA==&#10;">
                      <v:fill on="f" focussize="0,0"/>
                      <v:stroke color="#000000" joinstyle="round"/>
                      <v:imagedata o:title=""/>
                      <o:lock v:ext="edit" aspectratio="f"/>
                    </v:line>
                  </w:pict>
                </mc:Fallback>
              </mc:AlternateContent>
            </w:r>
            <w:r>
              <w:rPr>
                <w:sz w:val="21"/>
                <w:szCs w:val="21"/>
              </w:rPr>
              <mc:AlternateContent>
                <mc:Choice Requires="wps">
                  <w:drawing>
                    <wp:anchor distT="0" distB="0" distL="114300" distR="114300" simplePos="0" relativeHeight="251661312" behindDoc="0" locked="0" layoutInCell="1" allowOverlap="1">
                      <wp:simplePos x="0" y="0"/>
                      <wp:positionH relativeFrom="column">
                        <wp:posOffset>-69215</wp:posOffset>
                      </wp:positionH>
                      <wp:positionV relativeFrom="paragraph">
                        <wp:posOffset>16510</wp:posOffset>
                      </wp:positionV>
                      <wp:extent cx="1593215" cy="466725"/>
                      <wp:effectExtent l="0" t="0" r="26035" b="28575"/>
                      <wp:wrapNone/>
                      <wp:docPr id="63" name="直接连接符 63"/>
                      <wp:cNvGraphicFramePr/>
                      <a:graphic xmlns:a="http://schemas.openxmlformats.org/drawingml/2006/main">
                        <a:graphicData uri="http://schemas.microsoft.com/office/word/2010/wordprocessingShape">
                          <wps:wsp>
                            <wps:cNvCnPr>
                              <a:cxnSpLocks noChangeShapeType="1"/>
                            </wps:cNvCnPr>
                            <wps:spPr bwMode="auto">
                              <a:xfrm>
                                <a:off x="0" y="0"/>
                                <a:ext cx="1593215" cy="466725"/>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5.45pt;margin-top:1.3pt;height:36.75pt;width:125.45pt;z-index:251661312;mso-width-relative:page;mso-height-relative:page;" filled="f" stroked="t" coordsize="21600,21600" o:gfxdata="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nBu6&#10;5dcAAAAIAQAADwAAAAAAAAABACAAAAAiAAAAZHJzL2Rvd25yZXYueG1sUEsBAhQAFAAAAAgAh07i&#10;QNGRUXLqAQAAsQMAAA4AAAAAAAAAAQAgAAAAJgEAAGRycy9lMm9Eb2MueG1sUEsFBgAAAAAGAAYA&#10;WQEAAIIFAAAAAA==&#10;">
                      <v:fill on="f" focussize="0,0"/>
                      <v:stroke color="#000000" joinstyle="round"/>
                      <v:imagedata o:title=""/>
                      <o:lock v:ext="edit" aspectratio="f"/>
                    </v:line>
                  </w:pict>
                </mc:Fallback>
              </mc:AlternateContent>
            </w:r>
            <w:r>
              <w:rPr>
                <w:rFonts w:hint="eastAsia"/>
                <w:b/>
                <w:bCs/>
                <w:sz w:val="21"/>
                <w:szCs w:val="21"/>
              </w:rPr>
              <w:t xml:space="preserve">        </w:t>
            </w:r>
            <w:r>
              <w:rPr>
                <w:b/>
                <w:bCs/>
                <w:sz w:val="21"/>
                <w:szCs w:val="21"/>
              </w:rPr>
              <w:t>乘潮历时（h）</w:t>
            </w:r>
          </w:p>
          <w:p w14:paraId="5E7A9818">
            <w:pPr>
              <w:snapToGrid w:val="0"/>
              <w:spacing w:line="240" w:lineRule="exact"/>
              <w:ind w:firstLine="436"/>
              <w:jc w:val="left"/>
              <w:rPr>
                <w:b/>
                <w:bCs/>
                <w:sz w:val="21"/>
                <w:szCs w:val="21"/>
              </w:rPr>
            </w:pPr>
          </w:p>
          <w:p w14:paraId="2029B859">
            <w:pPr>
              <w:snapToGrid w:val="0"/>
              <w:spacing w:line="240" w:lineRule="exact"/>
              <w:ind w:firstLine="436"/>
              <w:jc w:val="left"/>
              <w:rPr>
                <w:b/>
                <w:bCs/>
                <w:sz w:val="21"/>
                <w:szCs w:val="21"/>
              </w:rPr>
            </w:pPr>
            <w:r>
              <w:rPr>
                <w:rFonts w:hint="eastAsia"/>
                <w:b/>
                <w:bCs/>
                <w:sz w:val="21"/>
                <w:szCs w:val="21"/>
              </w:rPr>
              <w:t xml:space="preserve"> </w:t>
            </w:r>
            <w:r>
              <w:rPr>
                <w:b/>
                <w:bCs/>
                <w:sz w:val="21"/>
                <w:szCs w:val="21"/>
              </w:rPr>
              <w:t>频率</w:t>
            </w:r>
            <w:r>
              <w:rPr>
                <w:rFonts w:hint="eastAsia"/>
                <w:b/>
                <w:bCs/>
                <w:sz w:val="21"/>
                <w:szCs w:val="21"/>
              </w:rPr>
              <w:t>（</w:t>
            </w:r>
            <w:r>
              <w:rPr>
                <w:b/>
                <w:bCs/>
                <w:sz w:val="21"/>
                <w:szCs w:val="21"/>
              </w:rPr>
              <w:t>%)</w:t>
            </w:r>
          </w:p>
          <w:p w14:paraId="7B91E9D2">
            <w:pPr>
              <w:snapToGrid w:val="0"/>
              <w:spacing w:line="240" w:lineRule="exact"/>
              <w:ind w:firstLine="436"/>
              <w:jc w:val="left"/>
              <w:rPr>
                <w:b/>
                <w:bCs/>
                <w:sz w:val="21"/>
                <w:szCs w:val="21"/>
              </w:rPr>
            </w:pPr>
            <w:r>
              <w:rPr>
                <w:b/>
                <w:bCs/>
                <w:sz w:val="21"/>
                <w:szCs w:val="21"/>
              </w:rPr>
              <w:t>水位（m）</w:t>
            </w:r>
          </w:p>
        </w:tc>
        <w:tc>
          <w:tcPr>
            <w:tcW w:w="1687" w:type="dxa"/>
            <w:vAlign w:val="center"/>
          </w:tcPr>
          <w:p w14:paraId="27C42609">
            <w:pPr>
              <w:snapToGrid w:val="0"/>
              <w:spacing w:line="240" w:lineRule="exact"/>
              <w:ind w:firstLine="436"/>
              <w:rPr>
                <w:b/>
                <w:bCs/>
                <w:sz w:val="21"/>
                <w:szCs w:val="21"/>
              </w:rPr>
            </w:pPr>
            <w:r>
              <w:rPr>
                <w:rFonts w:hint="eastAsia"/>
                <w:b/>
                <w:bCs/>
                <w:sz w:val="21"/>
                <w:szCs w:val="21"/>
              </w:rPr>
              <w:t>1</w:t>
            </w:r>
          </w:p>
        </w:tc>
        <w:tc>
          <w:tcPr>
            <w:tcW w:w="1571" w:type="dxa"/>
            <w:vAlign w:val="center"/>
          </w:tcPr>
          <w:p w14:paraId="2AF3EDC7">
            <w:pPr>
              <w:snapToGrid w:val="0"/>
              <w:spacing w:line="240" w:lineRule="exact"/>
              <w:ind w:firstLine="436"/>
              <w:rPr>
                <w:b/>
                <w:bCs/>
                <w:sz w:val="21"/>
                <w:szCs w:val="21"/>
              </w:rPr>
            </w:pPr>
            <w:r>
              <w:rPr>
                <w:rFonts w:hint="eastAsia"/>
                <w:b/>
                <w:bCs/>
                <w:sz w:val="21"/>
                <w:szCs w:val="21"/>
              </w:rPr>
              <w:t>2</w:t>
            </w:r>
          </w:p>
        </w:tc>
        <w:tc>
          <w:tcPr>
            <w:tcW w:w="1454" w:type="dxa"/>
            <w:vAlign w:val="center"/>
          </w:tcPr>
          <w:p w14:paraId="6AF5C235">
            <w:pPr>
              <w:snapToGrid w:val="0"/>
              <w:spacing w:line="240" w:lineRule="exact"/>
              <w:ind w:firstLine="436"/>
              <w:rPr>
                <w:b/>
                <w:bCs/>
                <w:sz w:val="21"/>
                <w:szCs w:val="21"/>
              </w:rPr>
            </w:pPr>
            <w:r>
              <w:rPr>
                <w:rFonts w:hint="eastAsia"/>
                <w:b/>
                <w:bCs/>
                <w:sz w:val="21"/>
                <w:szCs w:val="21"/>
              </w:rPr>
              <w:t>3</w:t>
            </w:r>
          </w:p>
        </w:tc>
        <w:tc>
          <w:tcPr>
            <w:tcW w:w="1314" w:type="dxa"/>
            <w:vAlign w:val="center"/>
          </w:tcPr>
          <w:p w14:paraId="71286010">
            <w:pPr>
              <w:snapToGrid w:val="0"/>
              <w:spacing w:line="240" w:lineRule="exact"/>
              <w:ind w:firstLine="436"/>
              <w:rPr>
                <w:b/>
                <w:bCs/>
                <w:sz w:val="21"/>
                <w:szCs w:val="21"/>
              </w:rPr>
            </w:pPr>
            <w:r>
              <w:rPr>
                <w:rFonts w:hint="eastAsia"/>
                <w:b/>
                <w:bCs/>
                <w:sz w:val="21"/>
                <w:szCs w:val="21"/>
              </w:rPr>
              <w:t>4</w:t>
            </w:r>
          </w:p>
        </w:tc>
      </w:tr>
      <w:tr w14:paraId="644D7E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01654D4E">
            <w:pPr>
              <w:snapToGrid w:val="0"/>
              <w:spacing w:line="240" w:lineRule="exact"/>
              <w:ind w:firstLine="434"/>
              <w:rPr>
                <w:sz w:val="21"/>
                <w:szCs w:val="21"/>
              </w:rPr>
            </w:pPr>
            <w:r>
              <w:rPr>
                <w:sz w:val="21"/>
                <w:szCs w:val="21"/>
              </w:rPr>
              <w:t>10</w:t>
            </w:r>
          </w:p>
        </w:tc>
        <w:tc>
          <w:tcPr>
            <w:tcW w:w="1687" w:type="dxa"/>
            <w:vAlign w:val="center"/>
          </w:tcPr>
          <w:p w14:paraId="265367D4">
            <w:pPr>
              <w:snapToGrid w:val="0"/>
              <w:spacing w:line="240" w:lineRule="exact"/>
              <w:ind w:firstLine="430"/>
              <w:rPr>
                <w:sz w:val="21"/>
                <w:szCs w:val="21"/>
              </w:rPr>
            </w:pPr>
            <w:r>
              <w:rPr>
                <w:spacing w:val="-1"/>
                <w:sz w:val="21"/>
                <w:szCs w:val="21"/>
              </w:rPr>
              <w:t>5.13</w:t>
            </w:r>
          </w:p>
        </w:tc>
        <w:tc>
          <w:tcPr>
            <w:tcW w:w="1571" w:type="dxa"/>
            <w:vAlign w:val="center"/>
          </w:tcPr>
          <w:p w14:paraId="68C2F639">
            <w:pPr>
              <w:snapToGrid w:val="0"/>
              <w:spacing w:line="240" w:lineRule="exact"/>
              <w:ind w:firstLine="430"/>
              <w:rPr>
                <w:sz w:val="21"/>
                <w:szCs w:val="21"/>
              </w:rPr>
            </w:pPr>
            <w:r>
              <w:rPr>
                <w:spacing w:val="-1"/>
                <w:sz w:val="21"/>
                <w:szCs w:val="21"/>
              </w:rPr>
              <w:t>5.03</w:t>
            </w:r>
          </w:p>
        </w:tc>
        <w:tc>
          <w:tcPr>
            <w:tcW w:w="1454" w:type="dxa"/>
            <w:vAlign w:val="center"/>
          </w:tcPr>
          <w:p w14:paraId="1A6CD59E">
            <w:pPr>
              <w:snapToGrid w:val="0"/>
              <w:spacing w:line="240" w:lineRule="exact"/>
              <w:ind w:firstLine="430"/>
              <w:rPr>
                <w:sz w:val="21"/>
                <w:szCs w:val="21"/>
              </w:rPr>
            </w:pPr>
            <w:r>
              <w:rPr>
                <w:spacing w:val="-1"/>
                <w:sz w:val="21"/>
                <w:szCs w:val="21"/>
              </w:rPr>
              <w:t>4.90</w:t>
            </w:r>
          </w:p>
        </w:tc>
        <w:tc>
          <w:tcPr>
            <w:tcW w:w="1314" w:type="dxa"/>
            <w:vAlign w:val="center"/>
          </w:tcPr>
          <w:p w14:paraId="5C4BD594">
            <w:pPr>
              <w:snapToGrid w:val="0"/>
              <w:spacing w:line="240" w:lineRule="exact"/>
              <w:ind w:firstLine="430"/>
              <w:rPr>
                <w:sz w:val="21"/>
                <w:szCs w:val="21"/>
              </w:rPr>
            </w:pPr>
            <w:r>
              <w:rPr>
                <w:spacing w:val="-1"/>
                <w:sz w:val="21"/>
                <w:szCs w:val="21"/>
              </w:rPr>
              <w:t>4.71</w:t>
            </w:r>
          </w:p>
        </w:tc>
      </w:tr>
      <w:tr w14:paraId="3D8853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0BE8EEFF">
            <w:pPr>
              <w:snapToGrid w:val="0"/>
              <w:spacing w:line="240" w:lineRule="exact"/>
              <w:ind w:firstLine="434"/>
              <w:rPr>
                <w:sz w:val="21"/>
                <w:szCs w:val="21"/>
              </w:rPr>
            </w:pPr>
            <w:r>
              <w:rPr>
                <w:sz w:val="21"/>
                <w:szCs w:val="21"/>
              </w:rPr>
              <w:t>20</w:t>
            </w:r>
          </w:p>
        </w:tc>
        <w:tc>
          <w:tcPr>
            <w:tcW w:w="1687" w:type="dxa"/>
            <w:vAlign w:val="center"/>
          </w:tcPr>
          <w:p w14:paraId="02256A4F">
            <w:pPr>
              <w:snapToGrid w:val="0"/>
              <w:spacing w:line="240" w:lineRule="exact"/>
              <w:ind w:firstLine="430"/>
              <w:rPr>
                <w:sz w:val="21"/>
                <w:szCs w:val="21"/>
              </w:rPr>
            </w:pPr>
            <w:r>
              <w:rPr>
                <w:spacing w:val="-1"/>
                <w:sz w:val="21"/>
                <w:szCs w:val="21"/>
              </w:rPr>
              <w:t>4.92</w:t>
            </w:r>
          </w:p>
        </w:tc>
        <w:tc>
          <w:tcPr>
            <w:tcW w:w="1571" w:type="dxa"/>
            <w:vAlign w:val="center"/>
          </w:tcPr>
          <w:p w14:paraId="706BF89E">
            <w:pPr>
              <w:snapToGrid w:val="0"/>
              <w:spacing w:line="240" w:lineRule="exact"/>
              <w:ind w:firstLine="430"/>
              <w:rPr>
                <w:sz w:val="21"/>
                <w:szCs w:val="21"/>
              </w:rPr>
            </w:pPr>
            <w:r>
              <w:rPr>
                <w:spacing w:val="-1"/>
                <w:sz w:val="21"/>
                <w:szCs w:val="21"/>
              </w:rPr>
              <w:t>4.84</w:t>
            </w:r>
          </w:p>
        </w:tc>
        <w:tc>
          <w:tcPr>
            <w:tcW w:w="1454" w:type="dxa"/>
            <w:vAlign w:val="center"/>
          </w:tcPr>
          <w:p w14:paraId="792DADC6">
            <w:pPr>
              <w:snapToGrid w:val="0"/>
              <w:spacing w:line="240" w:lineRule="exact"/>
              <w:ind w:firstLine="430"/>
              <w:rPr>
                <w:sz w:val="21"/>
                <w:szCs w:val="21"/>
              </w:rPr>
            </w:pPr>
            <w:r>
              <w:rPr>
                <w:spacing w:val="-1"/>
                <w:sz w:val="21"/>
                <w:szCs w:val="21"/>
              </w:rPr>
              <w:t>4.70</w:t>
            </w:r>
          </w:p>
        </w:tc>
        <w:tc>
          <w:tcPr>
            <w:tcW w:w="1314" w:type="dxa"/>
            <w:vAlign w:val="center"/>
          </w:tcPr>
          <w:p w14:paraId="687076BE">
            <w:pPr>
              <w:snapToGrid w:val="0"/>
              <w:spacing w:line="240" w:lineRule="exact"/>
              <w:ind w:firstLine="430"/>
              <w:rPr>
                <w:sz w:val="21"/>
                <w:szCs w:val="21"/>
              </w:rPr>
            </w:pPr>
            <w:r>
              <w:rPr>
                <w:spacing w:val="-1"/>
                <w:sz w:val="21"/>
                <w:szCs w:val="21"/>
              </w:rPr>
              <w:t>4.52</w:t>
            </w:r>
          </w:p>
        </w:tc>
      </w:tr>
      <w:tr w14:paraId="5693A6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3208A36F">
            <w:pPr>
              <w:snapToGrid w:val="0"/>
              <w:spacing w:line="240" w:lineRule="exact"/>
              <w:ind w:firstLine="434"/>
              <w:rPr>
                <w:sz w:val="21"/>
                <w:szCs w:val="21"/>
              </w:rPr>
            </w:pPr>
            <w:r>
              <w:rPr>
                <w:sz w:val="21"/>
                <w:szCs w:val="21"/>
              </w:rPr>
              <w:t>30</w:t>
            </w:r>
          </w:p>
        </w:tc>
        <w:tc>
          <w:tcPr>
            <w:tcW w:w="1687" w:type="dxa"/>
            <w:vAlign w:val="center"/>
          </w:tcPr>
          <w:p w14:paraId="1072A83A">
            <w:pPr>
              <w:snapToGrid w:val="0"/>
              <w:spacing w:line="240" w:lineRule="exact"/>
              <w:ind w:firstLine="430"/>
              <w:rPr>
                <w:sz w:val="21"/>
                <w:szCs w:val="21"/>
              </w:rPr>
            </w:pPr>
            <w:r>
              <w:rPr>
                <w:spacing w:val="-1"/>
                <w:sz w:val="21"/>
                <w:szCs w:val="21"/>
              </w:rPr>
              <w:t>4.77</w:t>
            </w:r>
          </w:p>
        </w:tc>
        <w:tc>
          <w:tcPr>
            <w:tcW w:w="1571" w:type="dxa"/>
            <w:vAlign w:val="center"/>
          </w:tcPr>
          <w:p w14:paraId="19AC76D0">
            <w:pPr>
              <w:snapToGrid w:val="0"/>
              <w:spacing w:line="240" w:lineRule="exact"/>
              <w:ind w:firstLine="430"/>
              <w:rPr>
                <w:sz w:val="21"/>
                <w:szCs w:val="21"/>
              </w:rPr>
            </w:pPr>
            <w:r>
              <w:rPr>
                <w:spacing w:val="-1"/>
                <w:sz w:val="21"/>
                <w:szCs w:val="21"/>
              </w:rPr>
              <w:t>4.70</w:t>
            </w:r>
          </w:p>
        </w:tc>
        <w:tc>
          <w:tcPr>
            <w:tcW w:w="1454" w:type="dxa"/>
            <w:vAlign w:val="center"/>
          </w:tcPr>
          <w:p w14:paraId="0856D6D1">
            <w:pPr>
              <w:snapToGrid w:val="0"/>
              <w:spacing w:line="240" w:lineRule="exact"/>
              <w:ind w:firstLine="430"/>
              <w:rPr>
                <w:sz w:val="21"/>
                <w:szCs w:val="21"/>
              </w:rPr>
            </w:pPr>
            <w:r>
              <w:rPr>
                <w:spacing w:val="-1"/>
                <w:sz w:val="21"/>
                <w:szCs w:val="21"/>
              </w:rPr>
              <w:t>4.57</w:t>
            </w:r>
          </w:p>
        </w:tc>
        <w:tc>
          <w:tcPr>
            <w:tcW w:w="1314" w:type="dxa"/>
            <w:vAlign w:val="center"/>
          </w:tcPr>
          <w:p w14:paraId="067BCDD2">
            <w:pPr>
              <w:snapToGrid w:val="0"/>
              <w:spacing w:line="240" w:lineRule="exact"/>
              <w:ind w:firstLine="430"/>
              <w:rPr>
                <w:sz w:val="21"/>
                <w:szCs w:val="21"/>
              </w:rPr>
            </w:pPr>
            <w:r>
              <w:rPr>
                <w:spacing w:val="-1"/>
                <w:sz w:val="21"/>
                <w:szCs w:val="21"/>
              </w:rPr>
              <w:t>4.40</w:t>
            </w:r>
          </w:p>
        </w:tc>
      </w:tr>
      <w:tr w14:paraId="0AB332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7958828B">
            <w:pPr>
              <w:snapToGrid w:val="0"/>
              <w:spacing w:line="240" w:lineRule="exact"/>
              <w:ind w:firstLine="434"/>
              <w:rPr>
                <w:sz w:val="21"/>
                <w:szCs w:val="21"/>
              </w:rPr>
            </w:pPr>
            <w:r>
              <w:rPr>
                <w:sz w:val="21"/>
                <w:szCs w:val="21"/>
              </w:rPr>
              <w:t>40</w:t>
            </w:r>
          </w:p>
        </w:tc>
        <w:tc>
          <w:tcPr>
            <w:tcW w:w="1687" w:type="dxa"/>
            <w:vAlign w:val="center"/>
          </w:tcPr>
          <w:p w14:paraId="539510CC">
            <w:pPr>
              <w:snapToGrid w:val="0"/>
              <w:spacing w:line="240" w:lineRule="exact"/>
              <w:ind w:firstLine="430"/>
              <w:rPr>
                <w:sz w:val="21"/>
                <w:szCs w:val="21"/>
              </w:rPr>
            </w:pPr>
            <w:r>
              <w:rPr>
                <w:spacing w:val="-1"/>
                <w:sz w:val="21"/>
                <w:szCs w:val="21"/>
              </w:rPr>
              <w:t>4.64</w:t>
            </w:r>
          </w:p>
        </w:tc>
        <w:tc>
          <w:tcPr>
            <w:tcW w:w="1571" w:type="dxa"/>
            <w:vAlign w:val="center"/>
          </w:tcPr>
          <w:p w14:paraId="18B23728">
            <w:pPr>
              <w:snapToGrid w:val="0"/>
              <w:spacing w:line="240" w:lineRule="exact"/>
              <w:ind w:firstLine="430"/>
              <w:rPr>
                <w:sz w:val="21"/>
                <w:szCs w:val="21"/>
              </w:rPr>
            </w:pPr>
            <w:r>
              <w:rPr>
                <w:spacing w:val="-1"/>
                <w:sz w:val="21"/>
                <w:szCs w:val="21"/>
              </w:rPr>
              <w:t>4.57</w:t>
            </w:r>
          </w:p>
        </w:tc>
        <w:tc>
          <w:tcPr>
            <w:tcW w:w="1454" w:type="dxa"/>
            <w:vAlign w:val="center"/>
          </w:tcPr>
          <w:p w14:paraId="07FAB33B">
            <w:pPr>
              <w:snapToGrid w:val="0"/>
              <w:spacing w:line="240" w:lineRule="exact"/>
              <w:ind w:firstLine="430"/>
              <w:rPr>
                <w:sz w:val="21"/>
                <w:szCs w:val="21"/>
              </w:rPr>
            </w:pPr>
            <w:r>
              <w:rPr>
                <w:spacing w:val="-1"/>
                <w:sz w:val="21"/>
                <w:szCs w:val="21"/>
              </w:rPr>
              <w:t>4.45</w:t>
            </w:r>
          </w:p>
        </w:tc>
        <w:tc>
          <w:tcPr>
            <w:tcW w:w="1314" w:type="dxa"/>
            <w:vAlign w:val="center"/>
          </w:tcPr>
          <w:p w14:paraId="37BA8CAA">
            <w:pPr>
              <w:snapToGrid w:val="0"/>
              <w:spacing w:line="240" w:lineRule="exact"/>
              <w:ind w:firstLine="430"/>
              <w:rPr>
                <w:sz w:val="21"/>
                <w:szCs w:val="21"/>
              </w:rPr>
            </w:pPr>
            <w:r>
              <w:rPr>
                <w:spacing w:val="-1"/>
                <w:sz w:val="21"/>
                <w:szCs w:val="21"/>
              </w:rPr>
              <w:t>4.29</w:t>
            </w:r>
          </w:p>
        </w:tc>
      </w:tr>
      <w:tr w14:paraId="2CC22D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17A02D79">
            <w:pPr>
              <w:snapToGrid w:val="0"/>
              <w:spacing w:line="240" w:lineRule="exact"/>
              <w:ind w:firstLine="434"/>
              <w:rPr>
                <w:sz w:val="21"/>
                <w:szCs w:val="21"/>
              </w:rPr>
            </w:pPr>
            <w:r>
              <w:rPr>
                <w:sz w:val="21"/>
                <w:szCs w:val="21"/>
              </w:rPr>
              <w:t>50</w:t>
            </w:r>
          </w:p>
        </w:tc>
        <w:tc>
          <w:tcPr>
            <w:tcW w:w="1687" w:type="dxa"/>
            <w:vAlign w:val="center"/>
          </w:tcPr>
          <w:p w14:paraId="76FD2EF4">
            <w:pPr>
              <w:snapToGrid w:val="0"/>
              <w:spacing w:line="240" w:lineRule="exact"/>
              <w:ind w:firstLine="430"/>
              <w:rPr>
                <w:sz w:val="21"/>
                <w:szCs w:val="21"/>
              </w:rPr>
            </w:pPr>
            <w:r>
              <w:rPr>
                <w:spacing w:val="-1"/>
                <w:sz w:val="21"/>
                <w:szCs w:val="21"/>
              </w:rPr>
              <w:t>4.50</w:t>
            </w:r>
          </w:p>
        </w:tc>
        <w:tc>
          <w:tcPr>
            <w:tcW w:w="1571" w:type="dxa"/>
            <w:vAlign w:val="center"/>
          </w:tcPr>
          <w:p w14:paraId="69FF4917">
            <w:pPr>
              <w:snapToGrid w:val="0"/>
              <w:spacing w:line="240" w:lineRule="exact"/>
              <w:ind w:firstLine="430"/>
              <w:rPr>
                <w:sz w:val="21"/>
                <w:szCs w:val="21"/>
              </w:rPr>
            </w:pPr>
            <w:r>
              <w:rPr>
                <w:spacing w:val="-1"/>
                <w:sz w:val="21"/>
                <w:szCs w:val="21"/>
              </w:rPr>
              <w:t>4.42</w:t>
            </w:r>
          </w:p>
        </w:tc>
        <w:tc>
          <w:tcPr>
            <w:tcW w:w="1454" w:type="dxa"/>
            <w:vAlign w:val="center"/>
          </w:tcPr>
          <w:p w14:paraId="01A3DA57">
            <w:pPr>
              <w:snapToGrid w:val="0"/>
              <w:spacing w:line="240" w:lineRule="exact"/>
              <w:ind w:firstLine="430"/>
              <w:rPr>
                <w:sz w:val="21"/>
                <w:szCs w:val="21"/>
              </w:rPr>
            </w:pPr>
            <w:r>
              <w:rPr>
                <w:spacing w:val="-1"/>
                <w:sz w:val="21"/>
                <w:szCs w:val="21"/>
              </w:rPr>
              <w:t>4.32</w:t>
            </w:r>
          </w:p>
        </w:tc>
        <w:tc>
          <w:tcPr>
            <w:tcW w:w="1314" w:type="dxa"/>
            <w:vAlign w:val="center"/>
          </w:tcPr>
          <w:p w14:paraId="05FBED10">
            <w:pPr>
              <w:snapToGrid w:val="0"/>
              <w:spacing w:line="240" w:lineRule="exact"/>
              <w:ind w:firstLine="430"/>
              <w:rPr>
                <w:sz w:val="21"/>
                <w:szCs w:val="21"/>
              </w:rPr>
            </w:pPr>
            <w:r>
              <w:rPr>
                <w:spacing w:val="-1"/>
                <w:sz w:val="21"/>
                <w:szCs w:val="21"/>
              </w:rPr>
              <w:t>4.15</w:t>
            </w:r>
          </w:p>
        </w:tc>
      </w:tr>
      <w:tr w14:paraId="4DEACE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3063A5D0">
            <w:pPr>
              <w:snapToGrid w:val="0"/>
              <w:spacing w:line="240" w:lineRule="exact"/>
              <w:ind w:firstLine="434"/>
              <w:rPr>
                <w:sz w:val="21"/>
                <w:szCs w:val="21"/>
              </w:rPr>
            </w:pPr>
            <w:r>
              <w:rPr>
                <w:sz w:val="21"/>
                <w:szCs w:val="21"/>
              </w:rPr>
              <w:t>60</w:t>
            </w:r>
          </w:p>
        </w:tc>
        <w:tc>
          <w:tcPr>
            <w:tcW w:w="1687" w:type="dxa"/>
            <w:vAlign w:val="center"/>
          </w:tcPr>
          <w:p w14:paraId="79DCE7AD">
            <w:pPr>
              <w:snapToGrid w:val="0"/>
              <w:spacing w:line="240" w:lineRule="exact"/>
              <w:ind w:firstLine="430"/>
              <w:rPr>
                <w:sz w:val="21"/>
                <w:szCs w:val="21"/>
              </w:rPr>
            </w:pPr>
            <w:r>
              <w:rPr>
                <w:spacing w:val="-1"/>
                <w:sz w:val="21"/>
                <w:szCs w:val="21"/>
              </w:rPr>
              <w:t>4.32</w:t>
            </w:r>
          </w:p>
        </w:tc>
        <w:tc>
          <w:tcPr>
            <w:tcW w:w="1571" w:type="dxa"/>
            <w:vAlign w:val="center"/>
          </w:tcPr>
          <w:p w14:paraId="2AB0C881">
            <w:pPr>
              <w:snapToGrid w:val="0"/>
              <w:spacing w:line="240" w:lineRule="exact"/>
              <w:ind w:firstLine="430"/>
              <w:rPr>
                <w:sz w:val="21"/>
                <w:szCs w:val="21"/>
              </w:rPr>
            </w:pPr>
            <w:r>
              <w:rPr>
                <w:spacing w:val="-1"/>
                <w:sz w:val="21"/>
                <w:szCs w:val="21"/>
              </w:rPr>
              <w:t>4.25</w:t>
            </w:r>
          </w:p>
        </w:tc>
        <w:tc>
          <w:tcPr>
            <w:tcW w:w="1454" w:type="dxa"/>
            <w:vAlign w:val="center"/>
          </w:tcPr>
          <w:p w14:paraId="5B08C744">
            <w:pPr>
              <w:snapToGrid w:val="0"/>
              <w:spacing w:line="240" w:lineRule="exact"/>
              <w:ind w:firstLine="430"/>
              <w:rPr>
                <w:sz w:val="21"/>
                <w:szCs w:val="21"/>
              </w:rPr>
            </w:pPr>
            <w:r>
              <w:rPr>
                <w:spacing w:val="-1"/>
                <w:sz w:val="21"/>
                <w:szCs w:val="21"/>
              </w:rPr>
              <w:t>4.14</w:t>
            </w:r>
          </w:p>
        </w:tc>
        <w:tc>
          <w:tcPr>
            <w:tcW w:w="1314" w:type="dxa"/>
            <w:vAlign w:val="center"/>
          </w:tcPr>
          <w:p w14:paraId="7AD163B3">
            <w:pPr>
              <w:snapToGrid w:val="0"/>
              <w:spacing w:line="240" w:lineRule="exact"/>
              <w:ind w:firstLine="430"/>
              <w:rPr>
                <w:sz w:val="21"/>
                <w:szCs w:val="21"/>
              </w:rPr>
            </w:pPr>
            <w:r>
              <w:rPr>
                <w:spacing w:val="-1"/>
                <w:sz w:val="21"/>
                <w:szCs w:val="21"/>
              </w:rPr>
              <w:t>4.00</w:t>
            </w:r>
          </w:p>
        </w:tc>
      </w:tr>
      <w:tr w14:paraId="41FB04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4409836C">
            <w:pPr>
              <w:snapToGrid w:val="0"/>
              <w:spacing w:line="240" w:lineRule="exact"/>
              <w:ind w:firstLine="434"/>
              <w:rPr>
                <w:sz w:val="21"/>
                <w:szCs w:val="21"/>
              </w:rPr>
            </w:pPr>
            <w:r>
              <w:rPr>
                <w:sz w:val="21"/>
                <w:szCs w:val="21"/>
              </w:rPr>
              <w:t>70</w:t>
            </w:r>
          </w:p>
        </w:tc>
        <w:tc>
          <w:tcPr>
            <w:tcW w:w="1687" w:type="dxa"/>
            <w:vAlign w:val="center"/>
          </w:tcPr>
          <w:p w14:paraId="3C039582">
            <w:pPr>
              <w:snapToGrid w:val="0"/>
              <w:spacing w:line="240" w:lineRule="exact"/>
              <w:ind w:firstLine="430"/>
              <w:rPr>
                <w:sz w:val="21"/>
                <w:szCs w:val="21"/>
              </w:rPr>
            </w:pPr>
            <w:r>
              <w:rPr>
                <w:spacing w:val="-1"/>
                <w:sz w:val="21"/>
                <w:szCs w:val="21"/>
              </w:rPr>
              <w:t>4.12</w:t>
            </w:r>
          </w:p>
        </w:tc>
        <w:tc>
          <w:tcPr>
            <w:tcW w:w="1571" w:type="dxa"/>
            <w:vAlign w:val="center"/>
          </w:tcPr>
          <w:p w14:paraId="708B7CCE">
            <w:pPr>
              <w:snapToGrid w:val="0"/>
              <w:spacing w:line="240" w:lineRule="exact"/>
              <w:ind w:firstLine="430"/>
              <w:rPr>
                <w:sz w:val="21"/>
                <w:szCs w:val="21"/>
              </w:rPr>
            </w:pPr>
            <w:r>
              <w:rPr>
                <w:spacing w:val="-1"/>
                <w:sz w:val="21"/>
                <w:szCs w:val="21"/>
              </w:rPr>
              <w:t>4.05</w:t>
            </w:r>
          </w:p>
        </w:tc>
        <w:tc>
          <w:tcPr>
            <w:tcW w:w="1454" w:type="dxa"/>
            <w:vAlign w:val="center"/>
          </w:tcPr>
          <w:p w14:paraId="323FF036">
            <w:pPr>
              <w:snapToGrid w:val="0"/>
              <w:spacing w:line="240" w:lineRule="exact"/>
              <w:ind w:firstLine="430"/>
              <w:rPr>
                <w:sz w:val="21"/>
                <w:szCs w:val="21"/>
              </w:rPr>
            </w:pPr>
            <w:r>
              <w:rPr>
                <w:spacing w:val="-1"/>
                <w:sz w:val="21"/>
                <w:szCs w:val="21"/>
              </w:rPr>
              <w:t>3.95</w:t>
            </w:r>
          </w:p>
        </w:tc>
        <w:tc>
          <w:tcPr>
            <w:tcW w:w="1314" w:type="dxa"/>
            <w:vAlign w:val="center"/>
          </w:tcPr>
          <w:p w14:paraId="59EF0761">
            <w:pPr>
              <w:snapToGrid w:val="0"/>
              <w:spacing w:line="240" w:lineRule="exact"/>
              <w:ind w:firstLine="430"/>
              <w:rPr>
                <w:sz w:val="21"/>
                <w:szCs w:val="21"/>
              </w:rPr>
            </w:pPr>
            <w:r>
              <w:rPr>
                <w:spacing w:val="-1"/>
                <w:sz w:val="21"/>
                <w:szCs w:val="21"/>
              </w:rPr>
              <w:t>3.81</w:t>
            </w:r>
          </w:p>
        </w:tc>
      </w:tr>
      <w:tr w14:paraId="62585F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55DC40C9">
            <w:pPr>
              <w:snapToGrid w:val="0"/>
              <w:spacing w:line="240" w:lineRule="exact"/>
              <w:ind w:firstLine="434"/>
              <w:rPr>
                <w:sz w:val="21"/>
                <w:szCs w:val="21"/>
              </w:rPr>
            </w:pPr>
            <w:r>
              <w:rPr>
                <w:sz w:val="21"/>
                <w:szCs w:val="21"/>
              </w:rPr>
              <w:t>80</w:t>
            </w:r>
          </w:p>
        </w:tc>
        <w:tc>
          <w:tcPr>
            <w:tcW w:w="1687" w:type="dxa"/>
            <w:vAlign w:val="center"/>
          </w:tcPr>
          <w:p w14:paraId="7DAE4452">
            <w:pPr>
              <w:snapToGrid w:val="0"/>
              <w:spacing w:line="240" w:lineRule="exact"/>
              <w:ind w:firstLine="430"/>
              <w:rPr>
                <w:sz w:val="21"/>
                <w:szCs w:val="21"/>
              </w:rPr>
            </w:pPr>
            <w:r>
              <w:rPr>
                <w:spacing w:val="-1"/>
                <w:sz w:val="21"/>
                <w:szCs w:val="21"/>
              </w:rPr>
              <w:t>3.87</w:t>
            </w:r>
          </w:p>
        </w:tc>
        <w:tc>
          <w:tcPr>
            <w:tcW w:w="1571" w:type="dxa"/>
            <w:vAlign w:val="center"/>
          </w:tcPr>
          <w:p w14:paraId="217FEDCF">
            <w:pPr>
              <w:snapToGrid w:val="0"/>
              <w:spacing w:line="240" w:lineRule="exact"/>
              <w:ind w:firstLine="430"/>
              <w:rPr>
                <w:sz w:val="21"/>
                <w:szCs w:val="21"/>
              </w:rPr>
            </w:pPr>
            <w:r>
              <w:rPr>
                <w:spacing w:val="-1"/>
                <w:sz w:val="21"/>
                <w:szCs w:val="21"/>
              </w:rPr>
              <w:t>3.82</w:t>
            </w:r>
          </w:p>
        </w:tc>
        <w:tc>
          <w:tcPr>
            <w:tcW w:w="1454" w:type="dxa"/>
            <w:vAlign w:val="center"/>
          </w:tcPr>
          <w:p w14:paraId="43D2E6F4">
            <w:pPr>
              <w:snapToGrid w:val="0"/>
              <w:spacing w:line="240" w:lineRule="exact"/>
              <w:ind w:firstLine="430"/>
              <w:rPr>
                <w:sz w:val="21"/>
                <w:szCs w:val="21"/>
              </w:rPr>
            </w:pPr>
            <w:r>
              <w:rPr>
                <w:spacing w:val="-1"/>
                <w:sz w:val="21"/>
                <w:szCs w:val="21"/>
              </w:rPr>
              <w:t>3.72</w:t>
            </w:r>
          </w:p>
        </w:tc>
        <w:tc>
          <w:tcPr>
            <w:tcW w:w="1314" w:type="dxa"/>
            <w:vAlign w:val="center"/>
          </w:tcPr>
          <w:p w14:paraId="0CF306CB">
            <w:pPr>
              <w:snapToGrid w:val="0"/>
              <w:spacing w:line="240" w:lineRule="exact"/>
              <w:ind w:firstLine="430"/>
              <w:rPr>
                <w:sz w:val="21"/>
                <w:szCs w:val="21"/>
              </w:rPr>
            </w:pPr>
            <w:r>
              <w:rPr>
                <w:spacing w:val="-1"/>
                <w:sz w:val="21"/>
                <w:szCs w:val="21"/>
              </w:rPr>
              <w:t>3.59</w:t>
            </w:r>
          </w:p>
        </w:tc>
      </w:tr>
      <w:tr w14:paraId="475143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735A7590">
            <w:pPr>
              <w:snapToGrid w:val="0"/>
              <w:spacing w:line="240" w:lineRule="exact"/>
              <w:ind w:firstLine="434"/>
              <w:rPr>
                <w:sz w:val="21"/>
                <w:szCs w:val="21"/>
              </w:rPr>
            </w:pPr>
            <w:r>
              <w:rPr>
                <w:sz w:val="21"/>
                <w:szCs w:val="21"/>
              </w:rPr>
              <w:t>90</w:t>
            </w:r>
          </w:p>
        </w:tc>
        <w:tc>
          <w:tcPr>
            <w:tcW w:w="1687" w:type="dxa"/>
            <w:vAlign w:val="center"/>
          </w:tcPr>
          <w:p w14:paraId="705D04BA">
            <w:pPr>
              <w:snapToGrid w:val="0"/>
              <w:spacing w:line="240" w:lineRule="exact"/>
              <w:ind w:firstLine="430"/>
              <w:rPr>
                <w:sz w:val="21"/>
                <w:szCs w:val="21"/>
              </w:rPr>
            </w:pPr>
            <w:r>
              <w:rPr>
                <w:spacing w:val="-1"/>
                <w:sz w:val="21"/>
                <w:szCs w:val="21"/>
              </w:rPr>
              <w:t>3.55</w:t>
            </w:r>
          </w:p>
        </w:tc>
        <w:tc>
          <w:tcPr>
            <w:tcW w:w="1571" w:type="dxa"/>
            <w:vAlign w:val="center"/>
          </w:tcPr>
          <w:p w14:paraId="3B8B57AB">
            <w:pPr>
              <w:snapToGrid w:val="0"/>
              <w:spacing w:line="240" w:lineRule="exact"/>
              <w:ind w:firstLine="430"/>
              <w:rPr>
                <w:sz w:val="21"/>
                <w:szCs w:val="21"/>
              </w:rPr>
            </w:pPr>
            <w:r>
              <w:rPr>
                <w:spacing w:val="-1"/>
                <w:sz w:val="21"/>
                <w:szCs w:val="21"/>
              </w:rPr>
              <w:t>3.51</w:t>
            </w:r>
          </w:p>
        </w:tc>
        <w:tc>
          <w:tcPr>
            <w:tcW w:w="1454" w:type="dxa"/>
            <w:vAlign w:val="center"/>
          </w:tcPr>
          <w:p w14:paraId="6BAF1DF3">
            <w:pPr>
              <w:snapToGrid w:val="0"/>
              <w:spacing w:line="240" w:lineRule="exact"/>
              <w:ind w:firstLine="430"/>
              <w:rPr>
                <w:sz w:val="21"/>
                <w:szCs w:val="21"/>
              </w:rPr>
            </w:pPr>
            <w:r>
              <w:rPr>
                <w:spacing w:val="-1"/>
                <w:sz w:val="21"/>
                <w:szCs w:val="21"/>
              </w:rPr>
              <w:t>3.43</w:t>
            </w:r>
          </w:p>
        </w:tc>
        <w:tc>
          <w:tcPr>
            <w:tcW w:w="1314" w:type="dxa"/>
            <w:vAlign w:val="center"/>
          </w:tcPr>
          <w:p w14:paraId="381CE385">
            <w:pPr>
              <w:snapToGrid w:val="0"/>
              <w:spacing w:line="240" w:lineRule="exact"/>
              <w:ind w:firstLine="430"/>
              <w:rPr>
                <w:sz w:val="21"/>
                <w:szCs w:val="21"/>
              </w:rPr>
            </w:pPr>
            <w:r>
              <w:rPr>
                <w:spacing w:val="-1"/>
                <w:sz w:val="21"/>
                <w:szCs w:val="21"/>
              </w:rPr>
              <w:t>3.30</w:t>
            </w:r>
          </w:p>
        </w:tc>
      </w:tr>
    </w:tbl>
    <w:p w14:paraId="13862C7B">
      <w:pPr>
        <w:ind w:firstLine="496"/>
        <w:rPr>
          <w:b/>
        </w:rPr>
      </w:pPr>
      <w:r>
        <w:rPr>
          <w:rFonts w:hint="eastAsia"/>
          <w:b/>
        </w:rPr>
        <w:t>5、泥沙</w:t>
      </w:r>
    </w:p>
    <w:p w14:paraId="1D652D99">
      <w:pPr>
        <w:ind w:firstLine="494"/>
      </w:pPr>
      <w:r>
        <w:t>钦州湾泥沙主要来自北部的茅尾海，而且多以悬移式进入港内。由于钦江自东北向西南注入茅尾海，入海后，比降骤减，河流所携带的泥沙在河口一带落淤，使钦江和茅尾江</w:t>
      </w:r>
      <w:r>
        <w:rPr>
          <w:rFonts w:hint="eastAsia"/>
        </w:rPr>
        <w:t>三角洲</w:t>
      </w:r>
      <w:r>
        <w:t xml:space="preserve">及河汊十分发育，并缓慢向海方向扩展，导致茅尾海趋向淤浅、萎缩，然而这一过程的发展是极其缓慢的。由于海面宽阔、纳潮量大，且落潮流大于涨潮流，落潮流可将泥沙逐步向外海输送，而保持港内不淤或少淤之状态。在钦州湾口之外，海岸呈东向西走向，强浪向为南向，沿岸泥沙不易做纵向运动，致使湾口处普遍发育有拦门沙。虽潮汐动力较强，但波浪掀沙能力较弱，泥沙进入可以认为该海域不存在大规模的泥沙运动。 </w:t>
      </w:r>
    </w:p>
    <w:p w14:paraId="4D9301ED">
      <w:pPr>
        <w:ind w:firstLine="494"/>
      </w:pPr>
      <w:r>
        <w:t>2019 年 7 月，南京水利科学研究院对钦州港总体规划实施后钦州湾泥沙回淤的分析研究成果表明：钦州湾分内、外湾，中间湾颈段相对较窄，河流</w:t>
      </w:r>
      <w:r>
        <w:rPr>
          <w:rFonts w:hint="eastAsia"/>
          <w:lang w:eastAsia="zh-CN"/>
        </w:rPr>
        <w:t>泥沙</w:t>
      </w:r>
      <w:r>
        <w:t>主要淤积在内湾，外湾泥沙来源少，潮流强度不大，风浪也小，岸线长，具备较好的港口开发建设条件。钦州湾水域以全日潮为主，涨、落潮相对缓慢，一般涨潮历时长于落潮历时，落潮流速大于涨潮流速，潮流特征有利于向外海输沙。平常条件下钦州湾水体含沙量很小，通常小于 0.01kg/m</w:t>
      </w:r>
      <w:r>
        <w:rPr>
          <w:vertAlign w:val="superscript"/>
        </w:rPr>
        <w:t>3</w:t>
      </w:r>
      <w:r>
        <w:t>，冬季含沙量一般比夏季小一个数量级，夏季遇风浪天时，湾口水域含沙量会明显升高，较大风浪时可达0.03kg/m</w:t>
      </w:r>
      <w:r>
        <w:rPr>
          <w:vertAlign w:val="superscript"/>
        </w:rPr>
        <w:t>3</w:t>
      </w:r>
      <w:r>
        <w:t>。钦州湾内含沙量低，根据天津水运工程科学研究所实测资料，钦州湾最大含沙量：0.08kg/m</w:t>
      </w:r>
      <w:r>
        <w:rPr>
          <w:vertAlign w:val="superscript"/>
        </w:rPr>
        <w:t>3</w:t>
      </w:r>
      <w:r>
        <w:t>；夏季含沙量：0.05kg/m</w:t>
      </w:r>
      <w:r>
        <w:rPr>
          <w:vertAlign w:val="superscript"/>
        </w:rPr>
        <w:t>3</w:t>
      </w:r>
      <w:r>
        <w:t>；冬季含沙量：0.03kg/m</w:t>
      </w:r>
      <w:r>
        <w:rPr>
          <w:vertAlign w:val="superscript"/>
        </w:rPr>
        <w:t>3</w:t>
      </w:r>
      <w:r>
        <w:t xml:space="preserve">。 </w:t>
      </w:r>
    </w:p>
    <w:p w14:paraId="1BBDB58B">
      <w:pPr>
        <w:snapToGrid w:val="0"/>
        <w:ind w:firstLine="496"/>
        <w:rPr>
          <w:b/>
        </w:rPr>
      </w:pPr>
      <w:r>
        <w:rPr>
          <w:rFonts w:hint="eastAsia"/>
          <w:b/>
        </w:rPr>
        <w:t>6、盐度和水温</w:t>
      </w:r>
    </w:p>
    <w:p w14:paraId="57EA642B">
      <w:pPr>
        <w:ind w:firstLine="494"/>
      </w:pPr>
      <w:r>
        <w:rPr>
          <w:rFonts w:hint="eastAsia"/>
        </w:rPr>
        <w:t>钦州湾海域盐度分布规律为河口低、海高，等值线与等深线几乎平行。年平均盐度为</w:t>
      </w:r>
      <w:r>
        <w:t>1.93%</w:t>
      </w:r>
      <w:r>
        <w:rPr>
          <w:rFonts w:hint="eastAsia"/>
        </w:rPr>
        <w:t>。（龙门）最高为</w:t>
      </w:r>
      <w:r>
        <w:t>3.23%</w:t>
      </w:r>
      <w:r>
        <w:rPr>
          <w:rFonts w:hint="eastAsia"/>
        </w:rPr>
        <w:t>，最低为</w:t>
      </w:r>
      <w:r>
        <w:t>2.63%</w:t>
      </w:r>
      <w:r>
        <w:rPr>
          <w:rFonts w:hint="eastAsia"/>
        </w:rPr>
        <w:t>。</w:t>
      </w:r>
    </w:p>
    <w:p w14:paraId="5611BB2F">
      <w:pPr>
        <w:ind w:firstLine="494"/>
      </w:pPr>
      <w:r>
        <w:rPr>
          <w:rFonts w:hint="eastAsia"/>
        </w:rPr>
        <w:t>水温变化特征分为夏季型、冬季型和过渡型三种。夏季沿岸水温高，外海低，冬季水温则是外海高沿岸低；春夏分层稳定，上层高，下层低。水温的升降则以春季和秋季为过渡季节。最高水温</w:t>
      </w:r>
      <w:r>
        <w:t>32.75℃</w:t>
      </w:r>
      <w:r>
        <w:rPr>
          <w:rFonts w:hint="eastAsia"/>
        </w:rPr>
        <w:t>，平均水温</w:t>
      </w:r>
      <w:r>
        <w:t>21.90℃</w:t>
      </w:r>
      <w:r>
        <w:rPr>
          <w:rFonts w:hint="eastAsia"/>
        </w:rPr>
        <w:t>。</w:t>
      </w:r>
    </w:p>
    <w:p w14:paraId="0146D3B1">
      <w:pPr>
        <w:pStyle w:val="5"/>
      </w:pPr>
      <w:r>
        <w:t>自然灾害</w:t>
      </w:r>
    </w:p>
    <w:p w14:paraId="1533EA12">
      <w:pPr>
        <w:ind w:firstLine="494"/>
      </w:pPr>
      <w:r>
        <w:t>钦州港自然灾害影响种类主要有热带气旋（台风）、风暴潮、低温阴雨、暴雨、海雾等。</w:t>
      </w:r>
    </w:p>
    <w:p w14:paraId="03A773EF">
      <w:pPr>
        <w:ind w:firstLine="494"/>
      </w:pPr>
      <w:r>
        <w:rPr>
          <w:rFonts w:hint="eastAsia"/>
        </w:rPr>
        <w:t>1、</w:t>
      </w:r>
      <w:r>
        <w:t>热带气旋（台风）</w:t>
      </w:r>
    </w:p>
    <w:p w14:paraId="4A174A10">
      <w:pPr>
        <w:ind w:firstLine="494"/>
      </w:pPr>
      <w:r>
        <w:t>每年影响钦州市沿海地区的台风始于5月而止于11月，以7月～9月出现频率最高，约占年台风总数的73.5%。</w:t>
      </w:r>
    </w:p>
    <w:p w14:paraId="7A812CC6">
      <w:pPr>
        <w:ind w:firstLine="494"/>
      </w:pPr>
      <w:r>
        <w:rPr>
          <w:rFonts w:hint="eastAsia"/>
        </w:rPr>
        <w:t>2、</w:t>
      </w:r>
      <w:r>
        <w:t>风暴潮</w:t>
      </w:r>
    </w:p>
    <w:p w14:paraId="489FB219">
      <w:pPr>
        <w:ind w:firstLine="494"/>
      </w:pPr>
      <w:r>
        <w:t>项目所在区域的风暴潮，一般始于每年5月，止于11月，以7月～9月发生最多。</w:t>
      </w:r>
    </w:p>
    <w:p w14:paraId="318040D3">
      <w:pPr>
        <w:ind w:firstLine="494"/>
      </w:pPr>
      <w:r>
        <w:rPr>
          <w:rFonts w:hint="eastAsia"/>
        </w:rPr>
        <w:t>3、</w:t>
      </w:r>
      <w:r>
        <w:t>低温阴雨</w:t>
      </w:r>
    </w:p>
    <w:p w14:paraId="2043AD08">
      <w:pPr>
        <w:ind w:firstLine="494"/>
      </w:pPr>
      <w:r>
        <w:t>低温阴雨是钦州湾的主要灾害性天气，其特点是范围广且维持时间长，影响程度之严重，居广西沿岸港湾之冠。据统计，低温阴雨出现频率最</w:t>
      </w:r>
      <w:r>
        <w:rPr>
          <w:rFonts w:hint="eastAsia"/>
        </w:rPr>
        <w:t>高</w:t>
      </w:r>
      <w:r>
        <w:t>的时段是1月26日～2月24日。历史记录该地区最长低温阴雨过程出现在1968年，从2月1日起至27日止，持续2 7天，日平均气温在4.7℃～6.0℃之间，最低气温为1.6℃～4.3℃。</w:t>
      </w:r>
    </w:p>
    <w:p w14:paraId="5F51BF3B">
      <w:pPr>
        <w:ind w:firstLine="494"/>
      </w:pPr>
      <w:r>
        <w:rPr>
          <w:rFonts w:hint="eastAsia"/>
        </w:rPr>
        <w:t>4、</w:t>
      </w:r>
      <w:r>
        <w:t>暴雨</w:t>
      </w:r>
    </w:p>
    <w:p w14:paraId="5E222488">
      <w:pPr>
        <w:ind w:firstLine="494"/>
      </w:pPr>
      <w:r>
        <w:t>钦州湾沿岸地形低平，雨量丰富，是广西沿岸暴雨最多的地区之一。以钦州市为例，累年平均雨量≥50mm的暴雨日数为9.7d；累年平均雨量≥80mm的暴雨天数为4.2d；≥l00mm的暴雨日数为2.5d。暴雨一年四季均可出现，以夏季6月～8月最多，暴雨天数占全年的73%，其中以7月居多，占全年暴雨的28%。在钦江、茅岭江流域平均每年出现洪涝0.9次，平均维持时间为26h。</w:t>
      </w:r>
    </w:p>
    <w:p w14:paraId="5EE05709">
      <w:pPr>
        <w:ind w:firstLine="494"/>
      </w:pPr>
      <w:r>
        <w:rPr>
          <w:rFonts w:hint="eastAsia"/>
        </w:rPr>
        <w:t>5、</w:t>
      </w:r>
      <w:r>
        <w:t>海雾</w:t>
      </w:r>
    </w:p>
    <w:p w14:paraId="5F77E81B">
      <w:pPr>
        <w:ind w:firstLine="494"/>
      </w:pPr>
      <w:r>
        <w:t>海雾多发于春季（11月～4月），海雾生成从早晨4时～5时为多，持续时间一般为3h～4h，最长可持续1d。多年平均雾日20.2d。历年最多雾日32d</w:t>
      </w:r>
      <w:r>
        <w:rPr>
          <w:rFonts w:hint="eastAsia"/>
        </w:rPr>
        <w:t>（</w:t>
      </w:r>
      <w:r>
        <w:t>1985年</w:t>
      </w:r>
      <w:r>
        <w:rPr>
          <w:rFonts w:hint="eastAsia"/>
        </w:rPr>
        <w:t>）</w:t>
      </w:r>
      <w:r>
        <w:t>。</w:t>
      </w:r>
    </w:p>
    <w:p w14:paraId="16104CF8">
      <w:pPr>
        <w:pStyle w:val="5"/>
      </w:pPr>
      <w:bookmarkStart w:id="341" w:name="_Toc279393606"/>
      <w:r>
        <w:t>地震</w:t>
      </w:r>
      <w:bookmarkEnd w:id="341"/>
    </w:p>
    <w:p w14:paraId="0A6594EC">
      <w:pPr>
        <w:ind w:firstLine="494"/>
      </w:pPr>
      <w:r>
        <w:rPr>
          <w:rFonts w:hint="eastAsia"/>
        </w:rPr>
        <w:t>根据《中国地震动参数区划图》（GB18306－2015）及《建筑抗震设计规范》（GB50011-2010）（2016年版），工程所在地区抗震设防烈度为7度，设计地震分组为第一组，设计基本地震加速度值为0.10g。</w:t>
      </w:r>
    </w:p>
    <w:bookmarkEnd w:id="338"/>
    <w:bookmarkEnd w:id="339"/>
    <w:bookmarkEnd w:id="340"/>
    <w:p w14:paraId="7B2F1A4D">
      <w:pPr>
        <w:pStyle w:val="5"/>
      </w:pPr>
      <w:r>
        <w:t xml:space="preserve">海洋资源的种类及分布 </w:t>
      </w:r>
    </w:p>
    <w:p w14:paraId="59110338">
      <w:pPr>
        <w:pStyle w:val="6"/>
      </w:pPr>
      <w:r>
        <w:t>港口资源</w:t>
      </w:r>
    </w:p>
    <w:p w14:paraId="7CB54FEF">
      <w:pPr>
        <w:ind w:firstLine="494"/>
      </w:pPr>
      <w:r>
        <w:rPr>
          <w:rFonts w:hint="eastAsia"/>
        </w:rPr>
        <w:t>钦州港规划由大榄坪港区、三墩港区组成集装箱运输系统，在金谷港区形成煤炭运输系统，由金谷港区、三墩港区构成油品运输系统，在三娘湾和沙井等港点发展休闲旅游客运系统，逐步发展成为具备多式联运、装卸仓储、临港工业、现代物流、保税、航运服务、旅游客运、滚装等功能的现代化港口，满足港口腹地经济和临港产业对以集装箱、油品等大宗型货物为主的货物运输需求，以及对休闲旅游客运的需求。</w:t>
      </w:r>
    </w:p>
    <w:p w14:paraId="52C886CC">
      <w:pPr>
        <w:ind w:firstLine="494"/>
      </w:pPr>
      <w:r>
        <w:rPr>
          <w:rFonts w:hint="eastAsia"/>
        </w:rPr>
        <w:t>预测钦州港2025年、2030年和2035年货物吞吐量分别为1.85亿吨、2.56亿吨和3.06亿吨；客运量分别为100万人次、170万人次和240万人次；集装箱吞吐量分别为760万TEU、1060万TEU、1360万TEU。钦州港规划岸线利用长度64.570km，其中深水港口岸线为51.017km。</w:t>
      </w:r>
    </w:p>
    <w:p w14:paraId="71E82D6D">
      <w:pPr>
        <w:ind w:firstLine="494"/>
      </w:pPr>
      <w:r>
        <w:rPr>
          <w:rFonts w:hint="eastAsia"/>
        </w:rPr>
        <w:t>钦州港划分为金谷港区、大榄坪港区、三墩港区等重点发展枢纽港区，以及龙门港点、茅岭港点、平山港点、沙井港点和三娘湾港点等。其中：金谷港区：以油品、液体化工品和煤炭运输为主，兼顾散杂货运输，主要为临港产业园区发展服务。大榄坪港区：以集装箱运输为核心的大型专业化、智能化港区，兼顾滚装和散杂货运输，支撑中国（广西）自由贸易试验区钦州港片区建设，将其发展成为现代综合物流服务中心，主要为中西部地区货物运输服务。三墩港区：以油品、液体化工品和集装箱运输为主，兼顾散杂货运输，将其发展成为大型综合性港区，主要为临港产业园区发展和腹地集装箱运输服务。规划建设泊位211个；港口用地5256.2hm</w:t>
      </w:r>
      <w:r>
        <w:rPr>
          <w:rFonts w:hint="eastAsia"/>
          <w:vertAlign w:val="superscript"/>
        </w:rPr>
        <w:t>2</w:t>
      </w:r>
      <w:r>
        <w:rPr>
          <w:rFonts w:hint="eastAsia"/>
        </w:rPr>
        <w:t>其中占用滩涂面积622.9hm</w:t>
      </w:r>
      <w:r>
        <w:rPr>
          <w:rFonts w:hint="eastAsia"/>
          <w:vertAlign w:val="superscript"/>
        </w:rPr>
        <w:t>2</w:t>
      </w:r>
      <w:r>
        <w:rPr>
          <w:rFonts w:hint="eastAsia"/>
        </w:rPr>
        <w:t>，占用水域面积4484.3hm</w:t>
      </w:r>
      <w:r>
        <w:rPr>
          <w:rFonts w:hint="eastAsia"/>
          <w:vertAlign w:val="superscript"/>
        </w:rPr>
        <w:t>2</w:t>
      </w:r>
      <w:r>
        <w:rPr>
          <w:rFonts w:hint="eastAsia"/>
        </w:rPr>
        <w:t>。</w:t>
      </w:r>
    </w:p>
    <w:p w14:paraId="7323AF52">
      <w:pPr>
        <w:pStyle w:val="6"/>
      </w:pPr>
      <w:r>
        <w:rPr>
          <w:rFonts w:hint="eastAsia"/>
        </w:rPr>
        <w:t>项目周边开发利用情况</w:t>
      </w:r>
    </w:p>
    <w:p w14:paraId="3B09DF64">
      <w:pPr>
        <w:ind w:firstLine="494"/>
      </w:pPr>
      <w:r>
        <w:rPr>
          <w:rFonts w:hint="eastAsia"/>
        </w:rPr>
        <w:t>根据现场踏勘及资料搜集情况，结合遥感影像图，了解到项目所在海域及周边海域海洋开发活动较多，主要为航道、港口、锚地及滨海旅游区等。工程周边海域开发利用现状见表3.1-4。</w:t>
      </w:r>
    </w:p>
    <w:p w14:paraId="04CBC9E3">
      <w:pPr>
        <w:pStyle w:val="7"/>
      </w:pPr>
      <w:r>
        <w:rPr>
          <w:rFonts w:hint="eastAsia"/>
        </w:rPr>
        <w:t>工程区周边海域利用现状</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8"/>
        <w:gridCol w:w="2021"/>
        <w:gridCol w:w="3921"/>
        <w:gridCol w:w="1088"/>
        <w:gridCol w:w="1124"/>
      </w:tblGrid>
      <w:tr w14:paraId="564C44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384" w:type="pct"/>
            <w:vAlign w:val="center"/>
          </w:tcPr>
          <w:p w14:paraId="190CB2AE">
            <w:pPr>
              <w:pStyle w:val="34"/>
              <w:rPr>
                <w:snapToGrid w:val="0"/>
              </w:rPr>
            </w:pPr>
            <w:r>
              <w:rPr>
                <w:rFonts w:hint="eastAsia"/>
                <w:snapToGrid w:val="0"/>
              </w:rPr>
              <w:t>序号</w:t>
            </w:r>
          </w:p>
        </w:tc>
        <w:tc>
          <w:tcPr>
            <w:tcW w:w="3364" w:type="pct"/>
            <w:gridSpan w:val="2"/>
            <w:vAlign w:val="center"/>
          </w:tcPr>
          <w:p w14:paraId="172F6CF1">
            <w:pPr>
              <w:pStyle w:val="34"/>
              <w:rPr>
                <w:snapToGrid w:val="0"/>
              </w:rPr>
            </w:pPr>
            <w:r>
              <w:rPr>
                <w:rFonts w:hint="eastAsia"/>
                <w:snapToGrid w:val="0"/>
              </w:rPr>
              <w:t>开发利用活动</w:t>
            </w:r>
          </w:p>
        </w:tc>
        <w:tc>
          <w:tcPr>
            <w:tcW w:w="616" w:type="pct"/>
            <w:vAlign w:val="center"/>
          </w:tcPr>
          <w:p w14:paraId="11732814">
            <w:pPr>
              <w:pStyle w:val="34"/>
              <w:rPr>
                <w:snapToGrid w:val="0"/>
              </w:rPr>
            </w:pPr>
            <w:r>
              <w:rPr>
                <w:rFonts w:hint="eastAsia"/>
                <w:snapToGrid w:val="0"/>
              </w:rPr>
              <w:t>方位</w:t>
            </w:r>
          </w:p>
        </w:tc>
        <w:tc>
          <w:tcPr>
            <w:tcW w:w="636" w:type="pct"/>
            <w:vAlign w:val="center"/>
          </w:tcPr>
          <w:p w14:paraId="09D54888">
            <w:pPr>
              <w:pStyle w:val="34"/>
              <w:rPr>
                <w:snapToGrid w:val="0"/>
              </w:rPr>
            </w:pPr>
            <w:r>
              <w:rPr>
                <w:rFonts w:hint="eastAsia"/>
                <w:snapToGrid w:val="0"/>
              </w:rPr>
              <w:t>最近距离（km）</w:t>
            </w:r>
          </w:p>
        </w:tc>
      </w:tr>
      <w:tr w14:paraId="35D2EA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restart"/>
            <w:vAlign w:val="center"/>
          </w:tcPr>
          <w:p w14:paraId="46FC0DEF">
            <w:pPr>
              <w:pStyle w:val="34"/>
              <w:rPr>
                <w:snapToGrid w:val="0"/>
              </w:rPr>
            </w:pPr>
            <w:r>
              <w:rPr>
                <w:rFonts w:hint="eastAsia"/>
                <w:snapToGrid w:val="0"/>
              </w:rPr>
              <w:t>1</w:t>
            </w:r>
          </w:p>
        </w:tc>
        <w:tc>
          <w:tcPr>
            <w:tcW w:w="1144" w:type="pct"/>
            <w:vMerge w:val="restart"/>
            <w:vAlign w:val="center"/>
          </w:tcPr>
          <w:p w14:paraId="4EAF769F">
            <w:pPr>
              <w:pStyle w:val="34"/>
              <w:rPr>
                <w:snapToGrid w:val="0"/>
              </w:rPr>
            </w:pPr>
            <w:r>
              <w:rPr>
                <w:rFonts w:hint="eastAsia"/>
                <w:snapToGrid w:val="0"/>
              </w:rPr>
              <w:t>航道</w:t>
            </w:r>
          </w:p>
        </w:tc>
        <w:tc>
          <w:tcPr>
            <w:tcW w:w="2220" w:type="pct"/>
            <w:vAlign w:val="center"/>
          </w:tcPr>
          <w:p w14:paraId="3C6681B6">
            <w:pPr>
              <w:pStyle w:val="34"/>
              <w:rPr>
                <w:snapToGrid w:val="0"/>
              </w:rPr>
            </w:pPr>
            <w:r>
              <w:rPr>
                <w:rFonts w:hint="eastAsia"/>
                <w:snapToGrid w:val="0"/>
              </w:rPr>
              <w:t>钦州港东航道</w:t>
            </w:r>
          </w:p>
        </w:tc>
        <w:tc>
          <w:tcPr>
            <w:tcW w:w="616" w:type="pct"/>
            <w:vAlign w:val="center"/>
          </w:tcPr>
          <w:p w14:paraId="438AF5B0">
            <w:pPr>
              <w:pStyle w:val="34"/>
              <w:rPr>
                <w:snapToGrid w:val="0"/>
              </w:rPr>
            </w:pPr>
            <w:r>
              <w:rPr>
                <w:rFonts w:hint="eastAsia"/>
                <w:snapToGrid w:val="0"/>
              </w:rPr>
              <w:t>W</w:t>
            </w:r>
          </w:p>
        </w:tc>
        <w:tc>
          <w:tcPr>
            <w:tcW w:w="636" w:type="pct"/>
            <w:vAlign w:val="center"/>
          </w:tcPr>
          <w:p w14:paraId="45004138">
            <w:pPr>
              <w:pStyle w:val="34"/>
              <w:rPr>
                <w:snapToGrid w:val="0"/>
              </w:rPr>
            </w:pPr>
            <w:r>
              <w:rPr>
                <w:rFonts w:hint="eastAsia"/>
                <w:snapToGrid w:val="0"/>
              </w:rPr>
              <w:t>紧邻</w:t>
            </w:r>
          </w:p>
        </w:tc>
      </w:tr>
      <w:tr w14:paraId="157520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778830B7">
            <w:pPr>
              <w:pStyle w:val="34"/>
              <w:rPr>
                <w:snapToGrid w:val="0"/>
              </w:rPr>
            </w:pPr>
          </w:p>
        </w:tc>
        <w:tc>
          <w:tcPr>
            <w:tcW w:w="1144" w:type="pct"/>
            <w:vMerge w:val="continue"/>
            <w:vAlign w:val="center"/>
          </w:tcPr>
          <w:p w14:paraId="3EC1CAED">
            <w:pPr>
              <w:pStyle w:val="34"/>
              <w:rPr>
                <w:snapToGrid w:val="0"/>
              </w:rPr>
            </w:pPr>
          </w:p>
        </w:tc>
        <w:tc>
          <w:tcPr>
            <w:tcW w:w="2220" w:type="pct"/>
            <w:vAlign w:val="center"/>
          </w:tcPr>
          <w:p w14:paraId="2B92B60C">
            <w:pPr>
              <w:pStyle w:val="34"/>
              <w:rPr>
                <w:snapToGrid w:val="0"/>
              </w:rPr>
            </w:pPr>
            <w:r>
              <w:rPr>
                <w:rFonts w:hint="eastAsia"/>
                <w:snapToGrid w:val="0"/>
              </w:rPr>
              <w:t>钦州港西航道</w:t>
            </w:r>
          </w:p>
        </w:tc>
        <w:tc>
          <w:tcPr>
            <w:tcW w:w="616" w:type="pct"/>
            <w:vAlign w:val="center"/>
          </w:tcPr>
          <w:p w14:paraId="365EBCEE">
            <w:pPr>
              <w:pStyle w:val="34"/>
              <w:rPr>
                <w:snapToGrid w:val="0"/>
              </w:rPr>
            </w:pPr>
            <w:r>
              <w:rPr>
                <w:rFonts w:hint="eastAsia"/>
                <w:snapToGrid w:val="0"/>
              </w:rPr>
              <w:t>W</w:t>
            </w:r>
          </w:p>
        </w:tc>
        <w:tc>
          <w:tcPr>
            <w:tcW w:w="636" w:type="pct"/>
            <w:vAlign w:val="center"/>
          </w:tcPr>
          <w:p w14:paraId="6B82D6BE">
            <w:pPr>
              <w:pStyle w:val="34"/>
              <w:rPr>
                <w:snapToGrid w:val="0"/>
              </w:rPr>
            </w:pPr>
            <w:r>
              <w:rPr>
                <w:rFonts w:hint="eastAsia"/>
                <w:snapToGrid w:val="0"/>
              </w:rPr>
              <w:t>6.10</w:t>
            </w:r>
          </w:p>
        </w:tc>
      </w:tr>
      <w:tr w14:paraId="3CB71E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496D84ED">
            <w:pPr>
              <w:pStyle w:val="34"/>
              <w:rPr>
                <w:snapToGrid w:val="0"/>
              </w:rPr>
            </w:pPr>
          </w:p>
        </w:tc>
        <w:tc>
          <w:tcPr>
            <w:tcW w:w="1144" w:type="pct"/>
            <w:vMerge w:val="continue"/>
            <w:vAlign w:val="center"/>
          </w:tcPr>
          <w:p w14:paraId="0991668C">
            <w:pPr>
              <w:pStyle w:val="34"/>
              <w:rPr>
                <w:snapToGrid w:val="0"/>
              </w:rPr>
            </w:pPr>
          </w:p>
        </w:tc>
        <w:tc>
          <w:tcPr>
            <w:tcW w:w="2220" w:type="pct"/>
            <w:vAlign w:val="center"/>
          </w:tcPr>
          <w:p w14:paraId="2A17B24C">
            <w:pPr>
              <w:pStyle w:val="34"/>
              <w:rPr>
                <w:snapToGrid w:val="0"/>
              </w:rPr>
            </w:pPr>
            <w:r>
              <w:rPr>
                <w:rFonts w:hint="eastAsia"/>
                <w:snapToGrid w:val="0"/>
              </w:rPr>
              <w:t>钦州港30万吨级进港航道及其支航道</w:t>
            </w:r>
          </w:p>
        </w:tc>
        <w:tc>
          <w:tcPr>
            <w:tcW w:w="616" w:type="pct"/>
            <w:vAlign w:val="center"/>
          </w:tcPr>
          <w:p w14:paraId="6A1FD23E">
            <w:pPr>
              <w:pStyle w:val="34"/>
              <w:rPr>
                <w:snapToGrid w:val="0"/>
              </w:rPr>
            </w:pPr>
            <w:r>
              <w:rPr>
                <w:rFonts w:hint="eastAsia"/>
                <w:snapToGrid w:val="0"/>
              </w:rPr>
              <w:t>S</w:t>
            </w:r>
          </w:p>
        </w:tc>
        <w:tc>
          <w:tcPr>
            <w:tcW w:w="636" w:type="pct"/>
            <w:vAlign w:val="center"/>
          </w:tcPr>
          <w:p w14:paraId="61D17D0C">
            <w:pPr>
              <w:pStyle w:val="34"/>
              <w:rPr>
                <w:snapToGrid w:val="0"/>
              </w:rPr>
            </w:pPr>
            <w:r>
              <w:rPr>
                <w:rFonts w:hint="eastAsia"/>
                <w:snapToGrid w:val="0"/>
              </w:rPr>
              <w:t>12.01</w:t>
            </w:r>
          </w:p>
        </w:tc>
      </w:tr>
      <w:tr w14:paraId="0CAD52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restart"/>
            <w:vAlign w:val="center"/>
          </w:tcPr>
          <w:p w14:paraId="580AEF76">
            <w:pPr>
              <w:pStyle w:val="34"/>
              <w:rPr>
                <w:snapToGrid w:val="0"/>
              </w:rPr>
            </w:pPr>
            <w:r>
              <w:rPr>
                <w:rFonts w:hint="eastAsia"/>
                <w:snapToGrid w:val="0"/>
              </w:rPr>
              <w:t>2</w:t>
            </w:r>
          </w:p>
        </w:tc>
        <w:tc>
          <w:tcPr>
            <w:tcW w:w="1144" w:type="pct"/>
            <w:vMerge w:val="restart"/>
            <w:vAlign w:val="center"/>
          </w:tcPr>
          <w:p w14:paraId="36917329">
            <w:pPr>
              <w:pStyle w:val="34"/>
              <w:rPr>
                <w:snapToGrid w:val="0"/>
              </w:rPr>
            </w:pPr>
            <w:r>
              <w:rPr>
                <w:rFonts w:hint="eastAsia"/>
                <w:snapToGrid w:val="0"/>
              </w:rPr>
              <w:t>锚地</w:t>
            </w:r>
          </w:p>
        </w:tc>
        <w:tc>
          <w:tcPr>
            <w:tcW w:w="2220" w:type="pct"/>
            <w:vAlign w:val="center"/>
          </w:tcPr>
          <w:p w14:paraId="04FBB7F3">
            <w:pPr>
              <w:pStyle w:val="34"/>
              <w:rPr>
                <w:snapToGrid w:val="0"/>
              </w:rPr>
            </w:pPr>
            <w:r>
              <w:rPr>
                <w:rFonts w:hint="eastAsia"/>
                <w:snapToGrid w:val="0"/>
              </w:rPr>
              <w:t>0#锚地</w:t>
            </w:r>
          </w:p>
        </w:tc>
        <w:tc>
          <w:tcPr>
            <w:tcW w:w="616" w:type="pct"/>
            <w:vAlign w:val="center"/>
          </w:tcPr>
          <w:p w14:paraId="47CCA6C4">
            <w:pPr>
              <w:pStyle w:val="34"/>
              <w:rPr>
                <w:snapToGrid w:val="0"/>
              </w:rPr>
            </w:pPr>
            <w:r>
              <w:rPr>
                <w:rFonts w:hint="eastAsia"/>
                <w:snapToGrid w:val="0"/>
              </w:rPr>
              <w:t>SW</w:t>
            </w:r>
          </w:p>
        </w:tc>
        <w:tc>
          <w:tcPr>
            <w:tcW w:w="636" w:type="pct"/>
            <w:vAlign w:val="center"/>
          </w:tcPr>
          <w:p w14:paraId="11267D9B">
            <w:pPr>
              <w:pStyle w:val="34"/>
              <w:rPr>
                <w:snapToGrid w:val="0"/>
              </w:rPr>
            </w:pPr>
            <w:r>
              <w:rPr>
                <w:rFonts w:hint="eastAsia"/>
                <w:snapToGrid w:val="0"/>
              </w:rPr>
              <w:t>21.33</w:t>
            </w:r>
          </w:p>
        </w:tc>
      </w:tr>
      <w:tr w14:paraId="716D94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70549549">
            <w:pPr>
              <w:pStyle w:val="34"/>
              <w:rPr>
                <w:snapToGrid w:val="0"/>
              </w:rPr>
            </w:pPr>
          </w:p>
        </w:tc>
        <w:tc>
          <w:tcPr>
            <w:tcW w:w="1144" w:type="pct"/>
            <w:vMerge w:val="continue"/>
            <w:vAlign w:val="center"/>
          </w:tcPr>
          <w:p w14:paraId="77EFFD43">
            <w:pPr>
              <w:pStyle w:val="34"/>
              <w:rPr>
                <w:snapToGrid w:val="0"/>
              </w:rPr>
            </w:pPr>
          </w:p>
        </w:tc>
        <w:tc>
          <w:tcPr>
            <w:tcW w:w="2220" w:type="pct"/>
            <w:vAlign w:val="center"/>
          </w:tcPr>
          <w:p w14:paraId="4CD3FB56">
            <w:pPr>
              <w:pStyle w:val="34"/>
              <w:rPr>
                <w:snapToGrid w:val="0"/>
              </w:rPr>
            </w:pPr>
            <w:r>
              <w:rPr>
                <w:rFonts w:hint="eastAsia"/>
                <w:snapToGrid w:val="0"/>
              </w:rPr>
              <w:t>2#锚地</w:t>
            </w:r>
          </w:p>
        </w:tc>
        <w:tc>
          <w:tcPr>
            <w:tcW w:w="616" w:type="pct"/>
            <w:vAlign w:val="center"/>
          </w:tcPr>
          <w:p w14:paraId="7B5DDFCA">
            <w:pPr>
              <w:pStyle w:val="34"/>
              <w:rPr>
                <w:snapToGrid w:val="0"/>
              </w:rPr>
            </w:pPr>
            <w:r>
              <w:rPr>
                <w:rFonts w:hint="eastAsia"/>
                <w:snapToGrid w:val="0"/>
              </w:rPr>
              <w:t>S</w:t>
            </w:r>
          </w:p>
        </w:tc>
        <w:tc>
          <w:tcPr>
            <w:tcW w:w="636" w:type="pct"/>
            <w:vAlign w:val="center"/>
          </w:tcPr>
          <w:p w14:paraId="5B5F4882">
            <w:pPr>
              <w:pStyle w:val="34"/>
              <w:rPr>
                <w:snapToGrid w:val="0"/>
              </w:rPr>
            </w:pPr>
            <w:r>
              <w:rPr>
                <w:rFonts w:hint="eastAsia"/>
                <w:snapToGrid w:val="0"/>
              </w:rPr>
              <w:t>27.07</w:t>
            </w:r>
          </w:p>
        </w:tc>
      </w:tr>
      <w:tr w14:paraId="4985CD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13E49E80">
            <w:pPr>
              <w:pStyle w:val="34"/>
              <w:rPr>
                <w:snapToGrid w:val="0"/>
              </w:rPr>
            </w:pPr>
          </w:p>
        </w:tc>
        <w:tc>
          <w:tcPr>
            <w:tcW w:w="1144" w:type="pct"/>
            <w:vMerge w:val="continue"/>
            <w:vAlign w:val="center"/>
          </w:tcPr>
          <w:p w14:paraId="44A15A42">
            <w:pPr>
              <w:pStyle w:val="34"/>
              <w:rPr>
                <w:snapToGrid w:val="0"/>
              </w:rPr>
            </w:pPr>
          </w:p>
        </w:tc>
        <w:tc>
          <w:tcPr>
            <w:tcW w:w="2220" w:type="pct"/>
            <w:vAlign w:val="center"/>
          </w:tcPr>
          <w:p w14:paraId="7D1073EF">
            <w:pPr>
              <w:pStyle w:val="34"/>
              <w:rPr>
                <w:snapToGrid w:val="0"/>
              </w:rPr>
            </w:pPr>
            <w:r>
              <w:rPr>
                <w:rFonts w:hint="eastAsia"/>
                <w:snapToGrid w:val="0"/>
              </w:rPr>
              <w:t>3#锚地</w:t>
            </w:r>
          </w:p>
        </w:tc>
        <w:tc>
          <w:tcPr>
            <w:tcW w:w="616" w:type="pct"/>
            <w:vAlign w:val="center"/>
          </w:tcPr>
          <w:p w14:paraId="7B3C8F7B">
            <w:pPr>
              <w:pStyle w:val="34"/>
              <w:rPr>
                <w:snapToGrid w:val="0"/>
              </w:rPr>
            </w:pPr>
            <w:r>
              <w:rPr>
                <w:rFonts w:hint="eastAsia"/>
                <w:snapToGrid w:val="0"/>
              </w:rPr>
              <w:t>S</w:t>
            </w:r>
          </w:p>
        </w:tc>
        <w:tc>
          <w:tcPr>
            <w:tcW w:w="636" w:type="pct"/>
            <w:vAlign w:val="center"/>
          </w:tcPr>
          <w:p w14:paraId="5D596508">
            <w:pPr>
              <w:pStyle w:val="34"/>
              <w:rPr>
                <w:snapToGrid w:val="0"/>
              </w:rPr>
            </w:pPr>
            <w:r>
              <w:rPr>
                <w:rFonts w:hint="eastAsia"/>
                <w:snapToGrid w:val="0"/>
              </w:rPr>
              <w:t>27.07</w:t>
            </w:r>
          </w:p>
        </w:tc>
      </w:tr>
      <w:tr w14:paraId="2FA160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restart"/>
            <w:vAlign w:val="center"/>
          </w:tcPr>
          <w:p w14:paraId="2D343E62">
            <w:pPr>
              <w:pStyle w:val="34"/>
              <w:rPr>
                <w:snapToGrid w:val="0"/>
              </w:rPr>
            </w:pPr>
            <w:r>
              <w:rPr>
                <w:rFonts w:hint="eastAsia"/>
                <w:snapToGrid w:val="0"/>
              </w:rPr>
              <w:t>3</w:t>
            </w:r>
          </w:p>
        </w:tc>
        <w:tc>
          <w:tcPr>
            <w:tcW w:w="1144" w:type="pct"/>
            <w:vMerge w:val="restart"/>
            <w:vAlign w:val="center"/>
          </w:tcPr>
          <w:p w14:paraId="484A0F71">
            <w:pPr>
              <w:pStyle w:val="34"/>
              <w:rPr>
                <w:snapToGrid w:val="0"/>
              </w:rPr>
            </w:pPr>
            <w:r>
              <w:rPr>
                <w:rFonts w:hint="eastAsia"/>
                <w:snapToGrid w:val="0"/>
              </w:rPr>
              <w:t>港口码头</w:t>
            </w:r>
          </w:p>
        </w:tc>
        <w:tc>
          <w:tcPr>
            <w:tcW w:w="2220" w:type="pct"/>
            <w:vAlign w:val="center"/>
          </w:tcPr>
          <w:p w14:paraId="5C3F33B9">
            <w:pPr>
              <w:pStyle w:val="34"/>
              <w:rPr>
                <w:snapToGrid w:val="0"/>
              </w:rPr>
            </w:pPr>
            <w:r>
              <w:rPr>
                <w:rFonts w:hint="eastAsia"/>
                <w:snapToGrid w:val="0"/>
              </w:rPr>
              <w:t>钦州保税港区</w:t>
            </w:r>
          </w:p>
        </w:tc>
        <w:tc>
          <w:tcPr>
            <w:tcW w:w="616" w:type="pct"/>
            <w:vAlign w:val="center"/>
          </w:tcPr>
          <w:p w14:paraId="7FB01998">
            <w:pPr>
              <w:pStyle w:val="34"/>
              <w:rPr>
                <w:snapToGrid w:val="0"/>
              </w:rPr>
            </w:pPr>
            <w:r>
              <w:rPr>
                <w:rFonts w:hint="eastAsia"/>
                <w:snapToGrid w:val="0"/>
              </w:rPr>
              <w:t>N</w:t>
            </w:r>
          </w:p>
        </w:tc>
        <w:tc>
          <w:tcPr>
            <w:tcW w:w="636" w:type="pct"/>
            <w:vAlign w:val="center"/>
          </w:tcPr>
          <w:p w14:paraId="21D2D0CF">
            <w:pPr>
              <w:pStyle w:val="34"/>
              <w:rPr>
                <w:snapToGrid w:val="0"/>
              </w:rPr>
            </w:pPr>
            <w:r>
              <w:rPr>
                <w:rFonts w:hint="eastAsia"/>
                <w:snapToGrid w:val="0"/>
              </w:rPr>
              <w:t>0.20</w:t>
            </w:r>
          </w:p>
        </w:tc>
      </w:tr>
      <w:tr w14:paraId="41C6C3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5D113C9E">
            <w:pPr>
              <w:pStyle w:val="34"/>
              <w:rPr>
                <w:snapToGrid w:val="0"/>
              </w:rPr>
            </w:pPr>
          </w:p>
        </w:tc>
        <w:tc>
          <w:tcPr>
            <w:tcW w:w="1144" w:type="pct"/>
            <w:vMerge w:val="continue"/>
            <w:vAlign w:val="center"/>
          </w:tcPr>
          <w:p w14:paraId="794F5A47">
            <w:pPr>
              <w:pStyle w:val="34"/>
              <w:rPr>
                <w:snapToGrid w:val="0"/>
              </w:rPr>
            </w:pPr>
          </w:p>
        </w:tc>
        <w:tc>
          <w:tcPr>
            <w:tcW w:w="2220" w:type="pct"/>
            <w:vAlign w:val="center"/>
          </w:tcPr>
          <w:p w14:paraId="744750AC">
            <w:pPr>
              <w:pStyle w:val="34"/>
              <w:rPr>
                <w:snapToGrid w:val="0"/>
              </w:rPr>
            </w:pPr>
            <w:r>
              <w:rPr>
                <w:rFonts w:hint="eastAsia"/>
                <w:snapToGrid w:val="0"/>
              </w:rPr>
              <w:t>大榄坪综合物流加工区</w:t>
            </w:r>
          </w:p>
        </w:tc>
        <w:tc>
          <w:tcPr>
            <w:tcW w:w="616" w:type="pct"/>
            <w:vAlign w:val="center"/>
          </w:tcPr>
          <w:p w14:paraId="6EEED27D">
            <w:pPr>
              <w:pStyle w:val="34"/>
              <w:rPr>
                <w:snapToGrid w:val="0"/>
              </w:rPr>
            </w:pPr>
            <w:r>
              <w:rPr>
                <w:rFonts w:hint="eastAsia"/>
                <w:snapToGrid w:val="0"/>
              </w:rPr>
              <w:t>N</w:t>
            </w:r>
          </w:p>
        </w:tc>
        <w:tc>
          <w:tcPr>
            <w:tcW w:w="636" w:type="pct"/>
            <w:vAlign w:val="center"/>
          </w:tcPr>
          <w:p w14:paraId="5B0DF6ED">
            <w:pPr>
              <w:pStyle w:val="34"/>
              <w:rPr>
                <w:snapToGrid w:val="0"/>
              </w:rPr>
            </w:pPr>
            <w:r>
              <w:rPr>
                <w:rFonts w:hint="eastAsia"/>
                <w:snapToGrid w:val="0"/>
              </w:rPr>
              <w:t>3.66</w:t>
            </w:r>
          </w:p>
        </w:tc>
      </w:tr>
      <w:tr w14:paraId="72C224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0138AB73">
            <w:pPr>
              <w:pStyle w:val="34"/>
              <w:rPr>
                <w:snapToGrid w:val="0"/>
              </w:rPr>
            </w:pPr>
          </w:p>
        </w:tc>
        <w:tc>
          <w:tcPr>
            <w:tcW w:w="1144" w:type="pct"/>
            <w:vMerge w:val="continue"/>
            <w:vAlign w:val="center"/>
          </w:tcPr>
          <w:p w14:paraId="761601D0">
            <w:pPr>
              <w:pStyle w:val="34"/>
              <w:rPr>
                <w:snapToGrid w:val="0"/>
              </w:rPr>
            </w:pPr>
          </w:p>
        </w:tc>
        <w:tc>
          <w:tcPr>
            <w:tcW w:w="2220" w:type="pct"/>
            <w:vAlign w:val="center"/>
          </w:tcPr>
          <w:p w14:paraId="45507AC1">
            <w:pPr>
              <w:pStyle w:val="34"/>
              <w:rPr>
                <w:snapToGrid w:val="0"/>
              </w:rPr>
            </w:pPr>
            <w:r>
              <w:rPr>
                <w:rFonts w:hint="eastAsia"/>
                <w:snapToGrid w:val="0"/>
              </w:rPr>
              <w:t>大榄坪南作业区</w:t>
            </w:r>
          </w:p>
        </w:tc>
        <w:tc>
          <w:tcPr>
            <w:tcW w:w="616" w:type="pct"/>
            <w:vAlign w:val="center"/>
          </w:tcPr>
          <w:p w14:paraId="3B821C99">
            <w:pPr>
              <w:pStyle w:val="34"/>
              <w:rPr>
                <w:snapToGrid w:val="0"/>
              </w:rPr>
            </w:pPr>
            <w:r>
              <w:rPr>
                <w:rFonts w:hint="eastAsia"/>
                <w:snapToGrid w:val="0"/>
              </w:rPr>
              <w:t>内部</w:t>
            </w:r>
          </w:p>
        </w:tc>
        <w:tc>
          <w:tcPr>
            <w:tcW w:w="636" w:type="pct"/>
            <w:vAlign w:val="center"/>
          </w:tcPr>
          <w:p w14:paraId="098FF54C">
            <w:pPr>
              <w:pStyle w:val="34"/>
              <w:rPr>
                <w:snapToGrid w:val="0"/>
              </w:rPr>
            </w:pPr>
            <w:r>
              <w:rPr>
                <w:rFonts w:hint="eastAsia"/>
                <w:snapToGrid w:val="0"/>
              </w:rPr>
              <w:t>0</w:t>
            </w:r>
          </w:p>
        </w:tc>
      </w:tr>
      <w:tr w14:paraId="745ED7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1D05BFF1">
            <w:pPr>
              <w:pStyle w:val="34"/>
              <w:rPr>
                <w:snapToGrid w:val="0"/>
              </w:rPr>
            </w:pPr>
          </w:p>
        </w:tc>
        <w:tc>
          <w:tcPr>
            <w:tcW w:w="1144" w:type="pct"/>
            <w:vMerge w:val="continue"/>
            <w:vAlign w:val="center"/>
          </w:tcPr>
          <w:p w14:paraId="00A131EF">
            <w:pPr>
              <w:pStyle w:val="34"/>
              <w:rPr>
                <w:snapToGrid w:val="0"/>
              </w:rPr>
            </w:pPr>
          </w:p>
        </w:tc>
        <w:tc>
          <w:tcPr>
            <w:tcW w:w="2220" w:type="pct"/>
            <w:vAlign w:val="center"/>
          </w:tcPr>
          <w:p w14:paraId="430545D6">
            <w:pPr>
              <w:pStyle w:val="34"/>
              <w:rPr>
                <w:snapToGrid w:val="0"/>
              </w:rPr>
            </w:pPr>
            <w:r>
              <w:rPr>
                <w:rFonts w:hint="eastAsia"/>
                <w:snapToGrid w:val="0"/>
              </w:rPr>
              <w:t>三墩作业区</w:t>
            </w:r>
          </w:p>
        </w:tc>
        <w:tc>
          <w:tcPr>
            <w:tcW w:w="616" w:type="pct"/>
            <w:vAlign w:val="center"/>
          </w:tcPr>
          <w:p w14:paraId="3C54FC6F">
            <w:pPr>
              <w:pStyle w:val="34"/>
              <w:rPr>
                <w:snapToGrid w:val="0"/>
              </w:rPr>
            </w:pPr>
            <w:r>
              <w:rPr>
                <w:rFonts w:hint="eastAsia"/>
                <w:snapToGrid w:val="0"/>
              </w:rPr>
              <w:t>SE</w:t>
            </w:r>
          </w:p>
        </w:tc>
        <w:tc>
          <w:tcPr>
            <w:tcW w:w="636" w:type="pct"/>
            <w:vAlign w:val="center"/>
          </w:tcPr>
          <w:p w14:paraId="2364FD87">
            <w:pPr>
              <w:pStyle w:val="34"/>
              <w:rPr>
                <w:snapToGrid w:val="0"/>
              </w:rPr>
            </w:pPr>
            <w:r>
              <w:rPr>
                <w:rFonts w:hint="eastAsia"/>
                <w:snapToGrid w:val="0"/>
              </w:rPr>
              <w:t>5.89</w:t>
            </w:r>
          </w:p>
        </w:tc>
      </w:tr>
      <w:tr w14:paraId="24FA0B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75763B60">
            <w:pPr>
              <w:pStyle w:val="34"/>
              <w:rPr>
                <w:snapToGrid w:val="0"/>
              </w:rPr>
            </w:pPr>
          </w:p>
        </w:tc>
        <w:tc>
          <w:tcPr>
            <w:tcW w:w="1144" w:type="pct"/>
            <w:vMerge w:val="continue"/>
            <w:vAlign w:val="center"/>
          </w:tcPr>
          <w:p w14:paraId="53D0B7B4">
            <w:pPr>
              <w:pStyle w:val="34"/>
              <w:rPr>
                <w:snapToGrid w:val="0"/>
              </w:rPr>
            </w:pPr>
          </w:p>
        </w:tc>
        <w:tc>
          <w:tcPr>
            <w:tcW w:w="2220" w:type="pct"/>
            <w:vAlign w:val="center"/>
          </w:tcPr>
          <w:p w14:paraId="0924488A">
            <w:pPr>
              <w:pStyle w:val="34"/>
              <w:rPr>
                <w:snapToGrid w:val="0"/>
              </w:rPr>
            </w:pPr>
            <w:r>
              <w:rPr>
                <w:rFonts w:hint="eastAsia"/>
                <w:snapToGrid w:val="0"/>
              </w:rPr>
              <w:t>金鼓江作业区</w:t>
            </w:r>
          </w:p>
        </w:tc>
        <w:tc>
          <w:tcPr>
            <w:tcW w:w="616" w:type="pct"/>
            <w:vAlign w:val="center"/>
          </w:tcPr>
          <w:p w14:paraId="4FFF88EF">
            <w:pPr>
              <w:pStyle w:val="34"/>
              <w:rPr>
                <w:snapToGrid w:val="0"/>
              </w:rPr>
            </w:pPr>
            <w:r>
              <w:rPr>
                <w:rFonts w:hint="eastAsia"/>
                <w:snapToGrid w:val="0"/>
              </w:rPr>
              <w:t>NW</w:t>
            </w:r>
          </w:p>
        </w:tc>
        <w:tc>
          <w:tcPr>
            <w:tcW w:w="636" w:type="pct"/>
            <w:vAlign w:val="center"/>
          </w:tcPr>
          <w:p w14:paraId="19351883">
            <w:pPr>
              <w:pStyle w:val="34"/>
              <w:rPr>
                <w:snapToGrid w:val="0"/>
              </w:rPr>
            </w:pPr>
            <w:r>
              <w:rPr>
                <w:rFonts w:hint="eastAsia"/>
                <w:snapToGrid w:val="0"/>
              </w:rPr>
              <w:t>7.08</w:t>
            </w:r>
          </w:p>
        </w:tc>
      </w:tr>
      <w:tr w14:paraId="39D3DB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 w:hRule="atLeast"/>
        </w:trPr>
        <w:tc>
          <w:tcPr>
            <w:tcW w:w="384" w:type="pct"/>
            <w:vMerge w:val="restart"/>
            <w:vAlign w:val="center"/>
          </w:tcPr>
          <w:p w14:paraId="2791F9D3">
            <w:pPr>
              <w:pStyle w:val="34"/>
              <w:rPr>
                <w:snapToGrid w:val="0"/>
              </w:rPr>
            </w:pPr>
            <w:r>
              <w:rPr>
                <w:rFonts w:hint="eastAsia"/>
                <w:snapToGrid w:val="0"/>
              </w:rPr>
              <w:t>4</w:t>
            </w:r>
          </w:p>
        </w:tc>
        <w:tc>
          <w:tcPr>
            <w:tcW w:w="1144" w:type="pct"/>
            <w:vMerge w:val="restart"/>
            <w:vAlign w:val="center"/>
          </w:tcPr>
          <w:p w14:paraId="2629D8BD">
            <w:pPr>
              <w:pStyle w:val="34"/>
              <w:rPr>
                <w:snapToGrid w:val="0"/>
              </w:rPr>
            </w:pPr>
            <w:r>
              <w:rPr>
                <w:rFonts w:hint="eastAsia"/>
                <w:snapToGrid w:val="0"/>
              </w:rPr>
              <w:t>旅游区</w:t>
            </w:r>
          </w:p>
        </w:tc>
        <w:tc>
          <w:tcPr>
            <w:tcW w:w="2220" w:type="pct"/>
            <w:vAlign w:val="center"/>
          </w:tcPr>
          <w:p w14:paraId="2E6C9045">
            <w:pPr>
              <w:pStyle w:val="34"/>
              <w:rPr>
                <w:snapToGrid w:val="0"/>
              </w:rPr>
            </w:pPr>
            <w:r>
              <w:rPr>
                <w:rFonts w:hint="eastAsia"/>
                <w:snapToGrid w:val="0"/>
              </w:rPr>
              <w:t>鹿耳环至三娘湾旅游区</w:t>
            </w:r>
          </w:p>
        </w:tc>
        <w:tc>
          <w:tcPr>
            <w:tcW w:w="616" w:type="pct"/>
            <w:vAlign w:val="center"/>
          </w:tcPr>
          <w:p w14:paraId="15E77718">
            <w:pPr>
              <w:pStyle w:val="34"/>
              <w:rPr>
                <w:snapToGrid w:val="0"/>
              </w:rPr>
            </w:pPr>
            <w:r>
              <w:rPr>
                <w:rFonts w:hint="eastAsia"/>
                <w:snapToGrid w:val="0"/>
              </w:rPr>
              <w:t>E</w:t>
            </w:r>
          </w:p>
        </w:tc>
        <w:tc>
          <w:tcPr>
            <w:tcW w:w="636" w:type="pct"/>
            <w:vAlign w:val="center"/>
          </w:tcPr>
          <w:p w14:paraId="6BD086E4">
            <w:pPr>
              <w:pStyle w:val="34"/>
              <w:rPr>
                <w:snapToGrid w:val="0"/>
              </w:rPr>
            </w:pPr>
            <w:r>
              <w:rPr>
                <w:rFonts w:hint="eastAsia"/>
                <w:snapToGrid w:val="0"/>
              </w:rPr>
              <w:t>4.2</w:t>
            </w:r>
          </w:p>
        </w:tc>
      </w:tr>
      <w:tr w14:paraId="0B5184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0F92F5B9">
            <w:pPr>
              <w:pStyle w:val="34"/>
              <w:rPr>
                <w:snapToGrid w:val="0"/>
              </w:rPr>
            </w:pPr>
          </w:p>
        </w:tc>
        <w:tc>
          <w:tcPr>
            <w:tcW w:w="1144" w:type="pct"/>
            <w:vMerge w:val="continue"/>
            <w:vAlign w:val="center"/>
          </w:tcPr>
          <w:p w14:paraId="13E96E83">
            <w:pPr>
              <w:pStyle w:val="34"/>
              <w:rPr>
                <w:snapToGrid w:val="0"/>
              </w:rPr>
            </w:pPr>
          </w:p>
        </w:tc>
        <w:tc>
          <w:tcPr>
            <w:tcW w:w="2220" w:type="pct"/>
            <w:vAlign w:val="center"/>
          </w:tcPr>
          <w:p w14:paraId="7D4142D2">
            <w:pPr>
              <w:pStyle w:val="34"/>
              <w:rPr>
                <w:snapToGrid w:val="0"/>
              </w:rPr>
            </w:pPr>
            <w:r>
              <w:rPr>
                <w:rFonts w:hint="eastAsia"/>
                <w:snapToGrid w:val="0"/>
              </w:rPr>
              <w:t>七十二泾旅游区</w:t>
            </w:r>
          </w:p>
        </w:tc>
        <w:tc>
          <w:tcPr>
            <w:tcW w:w="616" w:type="pct"/>
            <w:vAlign w:val="center"/>
          </w:tcPr>
          <w:p w14:paraId="4BAD6B13">
            <w:pPr>
              <w:pStyle w:val="34"/>
              <w:rPr>
                <w:snapToGrid w:val="0"/>
              </w:rPr>
            </w:pPr>
            <w:r>
              <w:rPr>
                <w:rFonts w:hint="eastAsia"/>
                <w:snapToGrid w:val="0"/>
              </w:rPr>
              <w:t>NNW</w:t>
            </w:r>
          </w:p>
        </w:tc>
        <w:tc>
          <w:tcPr>
            <w:tcW w:w="636" w:type="pct"/>
            <w:vAlign w:val="center"/>
          </w:tcPr>
          <w:p w14:paraId="56F18A3F">
            <w:pPr>
              <w:pStyle w:val="34"/>
              <w:rPr>
                <w:snapToGrid w:val="0"/>
              </w:rPr>
            </w:pPr>
            <w:r>
              <w:rPr>
                <w:rFonts w:hint="eastAsia"/>
                <w:snapToGrid w:val="0"/>
              </w:rPr>
              <w:t>11.5</w:t>
            </w:r>
          </w:p>
        </w:tc>
      </w:tr>
      <w:tr w14:paraId="045473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Align w:val="center"/>
          </w:tcPr>
          <w:p w14:paraId="5159E3FD">
            <w:pPr>
              <w:pStyle w:val="34"/>
              <w:rPr>
                <w:snapToGrid w:val="0"/>
              </w:rPr>
            </w:pPr>
            <w:r>
              <w:rPr>
                <w:rFonts w:hint="eastAsia"/>
                <w:snapToGrid w:val="0"/>
              </w:rPr>
              <w:t>5</w:t>
            </w:r>
          </w:p>
        </w:tc>
        <w:tc>
          <w:tcPr>
            <w:tcW w:w="1144" w:type="pct"/>
            <w:vAlign w:val="center"/>
          </w:tcPr>
          <w:p w14:paraId="008C300A">
            <w:pPr>
              <w:pStyle w:val="34"/>
              <w:rPr>
                <w:snapToGrid w:val="0"/>
              </w:rPr>
            </w:pPr>
            <w:r>
              <w:rPr>
                <w:rFonts w:hint="eastAsia"/>
                <w:snapToGrid w:val="0"/>
              </w:rPr>
              <w:t>禁止抛锚与捕捞区</w:t>
            </w:r>
          </w:p>
        </w:tc>
        <w:tc>
          <w:tcPr>
            <w:tcW w:w="2220" w:type="pct"/>
            <w:vAlign w:val="center"/>
          </w:tcPr>
          <w:p w14:paraId="1D1B9BEB">
            <w:pPr>
              <w:pStyle w:val="34"/>
              <w:rPr>
                <w:snapToGrid w:val="0"/>
              </w:rPr>
            </w:pPr>
            <w:r>
              <w:rPr>
                <w:rFonts w:hint="eastAsia"/>
                <w:snapToGrid w:val="0"/>
              </w:rPr>
              <w:t>海底有光缆敷设</w:t>
            </w:r>
          </w:p>
        </w:tc>
        <w:tc>
          <w:tcPr>
            <w:tcW w:w="616" w:type="pct"/>
            <w:vAlign w:val="center"/>
          </w:tcPr>
          <w:p w14:paraId="47394743">
            <w:pPr>
              <w:pStyle w:val="34"/>
              <w:rPr>
                <w:snapToGrid w:val="0"/>
              </w:rPr>
            </w:pPr>
            <w:r>
              <w:rPr>
                <w:rFonts w:hint="eastAsia"/>
                <w:snapToGrid w:val="0"/>
              </w:rPr>
              <w:t>SE、S</w:t>
            </w:r>
          </w:p>
        </w:tc>
        <w:tc>
          <w:tcPr>
            <w:tcW w:w="636" w:type="pct"/>
            <w:vAlign w:val="center"/>
          </w:tcPr>
          <w:p w14:paraId="7B6F9FDA">
            <w:pPr>
              <w:pStyle w:val="34"/>
              <w:rPr>
                <w:snapToGrid w:val="0"/>
              </w:rPr>
            </w:pPr>
            <w:r>
              <w:rPr>
                <w:rFonts w:hint="eastAsia"/>
                <w:snapToGrid w:val="0"/>
              </w:rPr>
              <w:t>5.54</w:t>
            </w:r>
          </w:p>
        </w:tc>
      </w:tr>
      <w:tr w14:paraId="6DAD7B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Align w:val="center"/>
          </w:tcPr>
          <w:p w14:paraId="36EDE749">
            <w:pPr>
              <w:pStyle w:val="34"/>
              <w:rPr>
                <w:snapToGrid w:val="0"/>
              </w:rPr>
            </w:pPr>
            <w:r>
              <w:rPr>
                <w:rFonts w:hint="eastAsia"/>
                <w:snapToGrid w:val="0"/>
              </w:rPr>
              <w:t>6</w:t>
            </w:r>
          </w:p>
        </w:tc>
        <w:tc>
          <w:tcPr>
            <w:tcW w:w="1144" w:type="pct"/>
            <w:vAlign w:val="center"/>
          </w:tcPr>
          <w:p w14:paraId="5FCEBAFA">
            <w:pPr>
              <w:pStyle w:val="34"/>
              <w:rPr>
                <w:snapToGrid w:val="0"/>
              </w:rPr>
            </w:pPr>
            <w:r>
              <w:rPr>
                <w:rFonts w:hint="eastAsia"/>
                <w:snapToGrid w:val="0"/>
              </w:rPr>
              <w:t>防城港核电工程</w:t>
            </w:r>
          </w:p>
        </w:tc>
        <w:tc>
          <w:tcPr>
            <w:tcW w:w="2220" w:type="pct"/>
            <w:vAlign w:val="center"/>
          </w:tcPr>
          <w:p w14:paraId="18E7F266">
            <w:pPr>
              <w:pStyle w:val="34"/>
              <w:rPr>
                <w:snapToGrid w:val="0"/>
              </w:rPr>
            </w:pPr>
            <w:r>
              <w:rPr>
                <w:rFonts w:hint="eastAsia"/>
                <w:snapToGrid w:val="0"/>
              </w:rPr>
              <w:t>包括陆域回填和取、排水口等</w:t>
            </w:r>
          </w:p>
        </w:tc>
        <w:tc>
          <w:tcPr>
            <w:tcW w:w="616" w:type="pct"/>
            <w:vAlign w:val="center"/>
          </w:tcPr>
          <w:p w14:paraId="154AE3E9">
            <w:pPr>
              <w:pStyle w:val="34"/>
              <w:rPr>
                <w:snapToGrid w:val="0"/>
              </w:rPr>
            </w:pPr>
            <w:r>
              <w:rPr>
                <w:rFonts w:hint="eastAsia"/>
                <w:snapToGrid w:val="0"/>
              </w:rPr>
              <w:t>W</w:t>
            </w:r>
          </w:p>
        </w:tc>
        <w:tc>
          <w:tcPr>
            <w:tcW w:w="636" w:type="pct"/>
            <w:vAlign w:val="center"/>
          </w:tcPr>
          <w:p w14:paraId="7516259A">
            <w:pPr>
              <w:pStyle w:val="34"/>
              <w:rPr>
                <w:snapToGrid w:val="0"/>
              </w:rPr>
            </w:pPr>
            <w:r>
              <w:rPr>
                <w:rFonts w:hint="eastAsia"/>
                <w:snapToGrid w:val="0"/>
              </w:rPr>
              <w:t>7.1</w:t>
            </w:r>
          </w:p>
        </w:tc>
      </w:tr>
      <w:tr w14:paraId="64AA72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restart"/>
            <w:vAlign w:val="center"/>
          </w:tcPr>
          <w:p w14:paraId="3367054F">
            <w:pPr>
              <w:pStyle w:val="34"/>
              <w:rPr>
                <w:snapToGrid w:val="0"/>
              </w:rPr>
            </w:pPr>
            <w:r>
              <w:rPr>
                <w:rFonts w:hint="eastAsia"/>
                <w:snapToGrid w:val="0"/>
              </w:rPr>
              <w:t>7</w:t>
            </w:r>
          </w:p>
        </w:tc>
        <w:tc>
          <w:tcPr>
            <w:tcW w:w="1144" w:type="pct"/>
            <w:vMerge w:val="restart"/>
            <w:vAlign w:val="center"/>
          </w:tcPr>
          <w:p w14:paraId="124389A2">
            <w:pPr>
              <w:pStyle w:val="34"/>
              <w:rPr>
                <w:snapToGrid w:val="0"/>
              </w:rPr>
            </w:pPr>
            <w:r>
              <w:rPr>
                <w:rFonts w:hint="eastAsia"/>
                <w:snapToGrid w:val="0"/>
              </w:rPr>
              <w:t>入海排污口</w:t>
            </w:r>
          </w:p>
        </w:tc>
        <w:tc>
          <w:tcPr>
            <w:tcW w:w="2220" w:type="pct"/>
            <w:vAlign w:val="center"/>
          </w:tcPr>
          <w:p w14:paraId="4403CED6">
            <w:pPr>
              <w:pStyle w:val="34"/>
              <w:rPr>
                <w:snapToGrid w:val="0"/>
              </w:rPr>
            </w:pPr>
            <w:r>
              <w:rPr>
                <w:rFonts w:hint="eastAsia"/>
                <w:snapToGrid w:val="0"/>
              </w:rPr>
              <w:t>广西金桂浆纸业有限公司排污口</w:t>
            </w:r>
          </w:p>
        </w:tc>
        <w:tc>
          <w:tcPr>
            <w:tcW w:w="616" w:type="pct"/>
            <w:vAlign w:val="center"/>
          </w:tcPr>
          <w:p w14:paraId="6122D06A">
            <w:pPr>
              <w:pStyle w:val="34"/>
              <w:rPr>
                <w:snapToGrid w:val="0"/>
              </w:rPr>
            </w:pPr>
            <w:r>
              <w:rPr>
                <w:rFonts w:hint="eastAsia"/>
                <w:snapToGrid w:val="0"/>
              </w:rPr>
              <w:t>S</w:t>
            </w:r>
            <w:r>
              <w:rPr>
                <w:snapToGrid w:val="0"/>
              </w:rPr>
              <w:t>E</w:t>
            </w:r>
          </w:p>
        </w:tc>
        <w:tc>
          <w:tcPr>
            <w:tcW w:w="636" w:type="pct"/>
            <w:vAlign w:val="center"/>
          </w:tcPr>
          <w:p w14:paraId="0FA26933">
            <w:pPr>
              <w:pStyle w:val="34"/>
              <w:rPr>
                <w:snapToGrid w:val="0"/>
              </w:rPr>
            </w:pPr>
            <w:r>
              <w:rPr>
                <w:rFonts w:hint="eastAsia"/>
                <w:snapToGrid w:val="0"/>
              </w:rPr>
              <w:t>2</w:t>
            </w:r>
            <w:r>
              <w:rPr>
                <w:snapToGrid w:val="0"/>
              </w:rPr>
              <w:t>40</w:t>
            </w:r>
          </w:p>
        </w:tc>
      </w:tr>
      <w:tr w14:paraId="7975B1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79EC73A8">
            <w:pPr>
              <w:pStyle w:val="34"/>
              <w:rPr>
                <w:snapToGrid w:val="0"/>
              </w:rPr>
            </w:pPr>
          </w:p>
        </w:tc>
        <w:tc>
          <w:tcPr>
            <w:tcW w:w="1144" w:type="pct"/>
            <w:vMerge w:val="continue"/>
            <w:vAlign w:val="center"/>
          </w:tcPr>
          <w:p w14:paraId="7F1DDF66">
            <w:pPr>
              <w:pStyle w:val="34"/>
              <w:rPr>
                <w:snapToGrid w:val="0"/>
              </w:rPr>
            </w:pPr>
          </w:p>
        </w:tc>
        <w:tc>
          <w:tcPr>
            <w:tcW w:w="2220" w:type="pct"/>
            <w:vAlign w:val="center"/>
          </w:tcPr>
          <w:p w14:paraId="3810577F">
            <w:pPr>
              <w:pStyle w:val="34"/>
              <w:rPr>
                <w:snapToGrid w:val="0"/>
              </w:rPr>
            </w:pPr>
            <w:r>
              <w:rPr>
                <w:rFonts w:hint="eastAsia"/>
                <w:snapToGrid w:val="0"/>
              </w:rPr>
              <w:t>钦州市大榄坪污水处理厂排污口</w:t>
            </w:r>
          </w:p>
        </w:tc>
        <w:tc>
          <w:tcPr>
            <w:tcW w:w="616" w:type="pct"/>
            <w:vAlign w:val="center"/>
          </w:tcPr>
          <w:p w14:paraId="65F97E53">
            <w:pPr>
              <w:pStyle w:val="34"/>
              <w:rPr>
                <w:snapToGrid w:val="0"/>
              </w:rPr>
            </w:pPr>
            <w:r>
              <w:rPr>
                <w:rFonts w:hint="eastAsia"/>
                <w:snapToGrid w:val="0"/>
              </w:rPr>
              <w:t>S</w:t>
            </w:r>
            <w:r>
              <w:rPr>
                <w:snapToGrid w:val="0"/>
              </w:rPr>
              <w:t>E</w:t>
            </w:r>
          </w:p>
        </w:tc>
        <w:tc>
          <w:tcPr>
            <w:tcW w:w="636" w:type="pct"/>
            <w:vAlign w:val="center"/>
          </w:tcPr>
          <w:p w14:paraId="2F70122A">
            <w:pPr>
              <w:pStyle w:val="34"/>
              <w:rPr>
                <w:snapToGrid w:val="0"/>
              </w:rPr>
            </w:pPr>
            <w:r>
              <w:rPr>
                <w:rFonts w:hint="eastAsia"/>
                <w:snapToGrid w:val="0"/>
              </w:rPr>
              <w:t>4</w:t>
            </w:r>
            <w:r>
              <w:rPr>
                <w:snapToGrid w:val="0"/>
              </w:rPr>
              <w:t>30</w:t>
            </w:r>
          </w:p>
        </w:tc>
      </w:tr>
    </w:tbl>
    <w:p w14:paraId="331BA022">
      <w:pPr>
        <w:pStyle w:val="6"/>
      </w:pPr>
      <w:r>
        <w:t>滨海旅游资源</w:t>
      </w:r>
    </w:p>
    <w:p w14:paraId="45DB1197">
      <w:pPr>
        <w:ind w:firstLine="494"/>
      </w:pPr>
      <w:r>
        <w:t>评价范围内钦州市自然旅游资源主要有七十二泾风景区、三娘湾沙滩等。</w:t>
      </w:r>
    </w:p>
    <w:p w14:paraId="003EB483">
      <w:pPr>
        <w:ind w:firstLine="494"/>
      </w:pPr>
      <w:r>
        <w:t>三娘湾是中华白海豚之乡，有一千余头野生中华白海豚长年栖居于此，可以看到的海豚有黑色、灰色、白色、粉红色、墨绿色、海蓝色等。海岸防护林带保护完好，绿树成荫，沙滩平坦广阔，沙质松软。三娘湾已建或正在建设多个旅游开发项目，是钦州旅游开发的重中之重</w:t>
      </w:r>
      <w:r>
        <w:rPr>
          <w:rFonts w:hint="eastAsia"/>
        </w:rPr>
        <w:t>。</w:t>
      </w:r>
      <w:r>
        <w:t>三娘湾沙滩距离本项目约</w:t>
      </w:r>
      <w:r>
        <w:rPr>
          <w:rFonts w:hint="eastAsia"/>
        </w:rPr>
        <w:t>14.9km，不在项目评价范围内，根据《钦州市国土空间总体规划（2021—2035年）》市域海洋功能分区，本项目评价范围涉及三娘湾生态保护区内西侧区块，距离最近约5.8km。</w:t>
      </w:r>
    </w:p>
    <w:p w14:paraId="009FB33A">
      <w:pPr>
        <w:ind w:firstLine="494"/>
      </w:pPr>
      <w:r>
        <w:t>龙门群岛旅游景区位于钦州湾中部龙门群岛区内。岛屿</w:t>
      </w:r>
      <w:r>
        <w:rPr>
          <w:rFonts w:hint="eastAsia"/>
        </w:rPr>
        <w:t>星罗棋布</w:t>
      </w:r>
      <w:r>
        <w:t>，水道众多、</w:t>
      </w:r>
      <w:r>
        <w:rPr>
          <w:rFonts w:hint="eastAsia"/>
        </w:rPr>
        <w:t>蜿蜒伸展</w:t>
      </w:r>
      <w:r>
        <w:t>、纵横交错，形成七十二条水路，泾深浪静，称“七十二泾”。群岛、水道、岩礁、红树林滩分布区纵横跨度达10km，岛上树林郁郁葱葱，岛下风平浪静，奇岛异礁参差错落，青山碧水。龟岛上建有逸仙公园，园内山头矗立着全国最大的孙中山铜像。</w:t>
      </w:r>
      <w:r>
        <w:rPr>
          <w:rFonts w:hint="eastAsia"/>
        </w:rPr>
        <w:t>龙门群岛</w:t>
      </w:r>
      <w:r>
        <w:t>距离本项目约</w:t>
      </w:r>
      <w:r>
        <w:rPr>
          <w:rFonts w:hint="eastAsia"/>
        </w:rPr>
        <w:t>14.3k</w:t>
      </w:r>
      <w:r>
        <w:t>m</w:t>
      </w:r>
      <w:r>
        <w:rPr>
          <w:rFonts w:hint="eastAsia"/>
        </w:rPr>
        <w:t>。</w:t>
      </w:r>
    </w:p>
    <w:p w14:paraId="09AB5CF1">
      <w:pPr>
        <w:pStyle w:val="6"/>
      </w:pPr>
      <w:r>
        <w:rPr>
          <w:rFonts w:hint="eastAsia"/>
        </w:rPr>
        <w:t>北部湾中华白海豚分布区</w:t>
      </w:r>
    </w:p>
    <w:p w14:paraId="0E193320">
      <w:pPr>
        <w:ind w:firstLine="494"/>
      </w:pPr>
      <w:r>
        <w:t>1、北部湾中华白海豚分布调查</w:t>
      </w:r>
    </w:p>
    <w:p w14:paraId="77CB19CE">
      <w:pPr>
        <w:ind w:firstLine="494"/>
        <w:rPr>
          <w:lang w:val="zh-CN"/>
        </w:rPr>
      </w:pPr>
      <w:r>
        <w:rPr>
          <w:lang w:val="zh-CN"/>
        </w:rPr>
        <w:t>根据《中华人民共和国野生动物保护法》，林业部和</w:t>
      </w:r>
      <w:r>
        <w:rPr>
          <w:rFonts w:hint="eastAsia"/>
          <w:lang w:val="zh-CN"/>
        </w:rPr>
        <w:t>农业农村部</w:t>
      </w:r>
      <w:r>
        <w:rPr>
          <w:lang w:val="zh-CN"/>
        </w:rPr>
        <w:t>联合公布了《国家重点保护野生动物名录》，中华白海豚被列为国家一级保护动物。中华白海豚是当前地球上最稀有的物种之一，被我国列为国家一级重点保护动物，有“海上大熊猫</w:t>
      </w:r>
      <w:r>
        <w:rPr>
          <w:rFonts w:hint="eastAsia"/>
          <w:lang w:val="zh-CN"/>
        </w:rPr>
        <w:t>”“</w:t>
      </w:r>
      <w:r>
        <w:rPr>
          <w:lang w:val="zh-CN"/>
        </w:rPr>
        <w:t>海上国宝”之称，被世界自然保护联盟（IUCU）红皮书收录为“极危物种”，具有很高的科研价值和潜在的经济价值。</w:t>
      </w:r>
    </w:p>
    <w:p w14:paraId="45A9E31B">
      <w:pPr>
        <w:ind w:firstLine="494"/>
        <w:rPr>
          <w:lang w:val="zh-CN"/>
        </w:rPr>
      </w:pPr>
      <w:r>
        <w:rPr>
          <w:lang w:val="zh-CN"/>
        </w:rPr>
        <w:t>北部湾因其栖息环境远远优于中国东南和广东沿海地区，海水水质优良率居全国首位，海洋生物多样性高，水产品丰富等特点，</w:t>
      </w:r>
      <w:r>
        <w:rPr>
          <w:rFonts w:hint="eastAsia"/>
          <w:lang w:val="zh-CN"/>
        </w:rPr>
        <w:t>成为</w:t>
      </w:r>
      <w:r>
        <w:rPr>
          <w:lang w:val="zh-CN"/>
        </w:rPr>
        <w:t>中华白海豚的有利栖息地（张等，2008.《中国沿海中华白海豚种群的分布区》），在北部湾作业渔轮常见中华白海豚成小群出没。</w:t>
      </w:r>
    </w:p>
    <w:p w14:paraId="217A529C">
      <w:pPr>
        <w:ind w:firstLine="494"/>
        <w:rPr>
          <w:lang w:val="zh-CN"/>
        </w:rPr>
      </w:pPr>
      <w:r>
        <w:rPr>
          <w:lang w:val="zh-CN"/>
        </w:rPr>
        <w:t>南京师范大学生命科学研究院针对北部湾中华白海豚，在2000年进行了问卷调查和少数探索性船只调查，在2003</w:t>
      </w:r>
      <w:r>
        <w:rPr>
          <w:rFonts w:hint="eastAsia"/>
          <w:lang w:val="zh-CN"/>
        </w:rPr>
        <w:t>—</w:t>
      </w:r>
      <w:r>
        <w:rPr>
          <w:lang w:val="zh-CN"/>
        </w:rPr>
        <w:t>2004年进行了为期一年的船只调查，在2011</w:t>
      </w:r>
      <w:r>
        <w:rPr>
          <w:rFonts w:hint="eastAsia"/>
          <w:lang w:val="zh-CN"/>
        </w:rPr>
        <w:t>—</w:t>
      </w:r>
      <w:r>
        <w:rPr>
          <w:lang w:val="zh-CN"/>
        </w:rPr>
        <w:t>2015年进行连续照相识别研究。通过野外船只调查和照相识别数据，获取种群和识别个体出现位点，在种群水平和个体水平上计算家域面积。并探讨不同的社群、不同时期、不同水域</w:t>
      </w:r>
      <w:r>
        <w:rPr>
          <w:rFonts w:hint="eastAsia"/>
          <w:lang w:val="zh-CN"/>
        </w:rPr>
        <w:t>（</w:t>
      </w:r>
      <w:r>
        <w:rPr>
          <w:lang w:val="zh-CN"/>
        </w:rPr>
        <w:t>沙田、大风江</w:t>
      </w:r>
      <w:r>
        <w:rPr>
          <w:rFonts w:hint="eastAsia"/>
          <w:lang w:val="zh-CN"/>
        </w:rPr>
        <w:t>－</w:t>
      </w:r>
      <w:r>
        <w:rPr>
          <w:lang w:val="zh-CN"/>
        </w:rPr>
        <w:t>南流江</w:t>
      </w:r>
      <w:r>
        <w:rPr>
          <w:rFonts w:hint="eastAsia"/>
          <w:lang w:val="zh-CN"/>
        </w:rPr>
        <w:t>）</w:t>
      </w:r>
      <w:r>
        <w:rPr>
          <w:lang w:val="zh-CN"/>
        </w:rPr>
        <w:t xml:space="preserve"> 中华白海豚家域的变化和移动规律。根据不同时期</w:t>
      </w:r>
      <w:r>
        <w:rPr>
          <w:rFonts w:hint="eastAsia"/>
          <w:lang w:val="zh-CN"/>
        </w:rPr>
        <w:t>（</w:t>
      </w:r>
      <w:r>
        <w:rPr>
          <w:lang w:val="zh-CN"/>
        </w:rPr>
        <w:t>年际、季节</w:t>
      </w:r>
      <w:r>
        <w:rPr>
          <w:rFonts w:hint="eastAsia"/>
          <w:lang w:val="zh-CN"/>
        </w:rPr>
        <w:t>）</w:t>
      </w:r>
      <w:r>
        <w:rPr>
          <w:lang w:val="zh-CN"/>
        </w:rPr>
        <w:t>的</w:t>
      </w:r>
      <w:r>
        <w:rPr>
          <w:rFonts w:hint="eastAsia"/>
          <w:lang w:val="zh-CN"/>
        </w:rPr>
        <w:t>水域</w:t>
      </w:r>
      <w:r>
        <w:rPr>
          <w:lang w:val="zh-CN"/>
        </w:rPr>
        <w:t>变化，判断海洋哺乳动物是否对特殊水域表现出较强的忠诚度。团队调查范围涵盖沙田、大风江 南流江水域、大庙墩水域。历时7年时间，进行了204次船只调查，总计11026.92 km样线。</w:t>
      </w:r>
    </w:p>
    <w:p w14:paraId="6CBFEF4E">
      <w:pPr>
        <w:ind w:firstLine="494"/>
        <w:rPr>
          <w:lang w:val="zh-CN"/>
        </w:rPr>
      </w:pPr>
      <w:r>
        <w:rPr>
          <w:lang w:val="zh-CN"/>
        </w:rPr>
        <w:t>根据南京师范大学的调查成果，北部湾中华白海豚分成两个群体：大风江水域和沙田水域，两个群体很少有交流。调查结果显示，大风江</w:t>
      </w:r>
      <w:r>
        <w:rPr>
          <w:rFonts w:hint="eastAsia"/>
          <w:lang w:val="zh-CN"/>
        </w:rPr>
        <w:t>－</w:t>
      </w:r>
      <w:r>
        <w:rPr>
          <w:lang w:val="zh-CN"/>
        </w:rPr>
        <w:t>南流江中华白海豚家域面积在不同时期有所不同，2011-2012年均大于2003</w:t>
      </w:r>
      <w:r>
        <w:rPr>
          <w:rFonts w:hint="eastAsia"/>
          <w:lang w:val="zh-CN"/>
        </w:rPr>
        <w:t>—</w:t>
      </w:r>
      <w:r>
        <w:rPr>
          <w:lang w:val="zh-CN"/>
        </w:rPr>
        <w:t>2004年（Pan et al. (2006)）的面积。从发现位点上来讲，2011</w:t>
      </w:r>
      <w:r>
        <w:rPr>
          <w:rFonts w:hint="eastAsia"/>
          <w:lang w:val="zh-CN"/>
        </w:rPr>
        <w:t>—</w:t>
      </w:r>
      <w:r>
        <w:rPr>
          <w:lang w:val="zh-CN"/>
        </w:rPr>
        <w:t>2012年和2003</w:t>
      </w:r>
      <w:r>
        <w:rPr>
          <w:rFonts w:hint="eastAsia"/>
          <w:lang w:val="zh-CN"/>
        </w:rPr>
        <w:t>—</w:t>
      </w:r>
      <w:r>
        <w:rPr>
          <w:lang w:val="zh-CN"/>
        </w:rPr>
        <w:t>2004年分布范围相似，密集分布区较近。但经过比较发现，2011</w:t>
      </w:r>
      <w:r>
        <w:rPr>
          <w:rFonts w:hint="eastAsia"/>
          <w:lang w:val="zh-CN"/>
        </w:rPr>
        <w:t>—</w:t>
      </w:r>
      <w:r>
        <w:rPr>
          <w:lang w:val="zh-CN"/>
        </w:rPr>
        <w:t xml:space="preserve">2012年中华白海豚活动范围更加靠近岸边。 </w:t>
      </w:r>
    </w:p>
    <w:p w14:paraId="1A4C6BDD">
      <w:pPr>
        <w:ind w:firstLine="494"/>
        <w:rPr>
          <w:lang w:val="zh-CN"/>
        </w:rPr>
      </w:pPr>
      <w:r>
        <w:rPr>
          <w:lang w:val="zh-CN"/>
        </w:rPr>
        <w:t>研究团队于2011</w:t>
      </w:r>
      <w:r>
        <w:rPr>
          <w:rFonts w:hint="eastAsia"/>
          <w:lang w:val="zh-CN"/>
        </w:rPr>
        <w:t>—</w:t>
      </w:r>
      <w:r>
        <w:rPr>
          <w:lang w:val="zh-CN"/>
        </w:rPr>
        <w:t>2016年对大风江及沙田水域进行了连续调查，应用特征重捕法估算了北部湾水域的中华白海豚总数量为398</w:t>
      </w:r>
      <w:r>
        <w:rPr>
          <w:rFonts w:hint="eastAsia"/>
          <w:lang w:val="zh-CN"/>
        </w:rPr>
        <w:t>～</w:t>
      </w:r>
      <w:r>
        <w:rPr>
          <w:lang w:val="zh-CN"/>
        </w:rPr>
        <w:t>444头，其中大风江南流江（包括三娘湾水域）共计248</w:t>
      </w:r>
      <w:r>
        <w:rPr>
          <w:rFonts w:hint="eastAsia"/>
          <w:lang w:val="zh-CN"/>
        </w:rPr>
        <w:t>～</w:t>
      </w:r>
      <w:r>
        <w:rPr>
          <w:lang w:val="zh-CN"/>
        </w:rPr>
        <w:t>262头，沙田水域约150</w:t>
      </w:r>
      <w:r>
        <w:rPr>
          <w:rFonts w:hint="eastAsia"/>
          <w:lang w:val="zh-CN"/>
        </w:rPr>
        <w:t>～</w:t>
      </w:r>
      <w:r>
        <w:rPr>
          <w:lang w:val="zh-CN"/>
        </w:rPr>
        <w:t>182头。中华白海豚社群以青年和成体为主。</w:t>
      </w:r>
    </w:p>
    <w:p w14:paraId="00D2BFC0">
      <w:pPr>
        <w:ind w:firstLine="494"/>
      </w:pPr>
    </w:p>
    <w:p w14:paraId="3012E0A6">
      <w:pPr>
        <w:pStyle w:val="8"/>
      </w:pPr>
      <w:r>
        <w:t>北部湾水域中华白海豚的发现位置及其可能的迁移路线图</w:t>
      </w:r>
    </w:p>
    <w:p w14:paraId="5F41071D">
      <w:pPr>
        <w:ind w:firstLine="494"/>
        <w:rPr>
          <w:lang w:val="zh-CN"/>
        </w:rPr>
      </w:pPr>
      <w:r>
        <w:rPr>
          <w:lang w:val="zh-CN"/>
        </w:rPr>
        <w:t>结合安徽师范大学的调查成果，北部湾中华白海豚多在中午前后觅食，其中沙田水域部分白海豚觅食区主要在儒艮保护区及邻近水域的螺桩稀疏区。</w:t>
      </w:r>
    </w:p>
    <w:p w14:paraId="5CBABB76">
      <w:pPr>
        <w:ind w:firstLine="494"/>
        <w:rPr>
          <w:lang w:val="zh-CN"/>
        </w:rPr>
      </w:pPr>
      <w:r>
        <w:rPr>
          <w:lang w:val="zh-CN"/>
        </w:rPr>
        <w:t>2005年1月，著名动物学家潘文石教授在广西钦州三娘湾成立了北京大学钦州湾中华白海豚保护研究基地，根据该基地统计结果，钦州湾中华白海豚种群的个体数量已由2004年的90多头增至2016年底的220头，这与南京师范大学的调查成果总体一致。该基地科研人员研究认为，受临港工业、滩涂养殖业发展影响，以及非法电鱼、抽砂等活动对白海豚栖息地的扰动，2014年</w:t>
      </w:r>
      <w:r>
        <w:rPr>
          <w:rFonts w:hint="eastAsia"/>
          <w:lang w:val="zh-CN"/>
        </w:rPr>
        <w:t>～</w:t>
      </w:r>
      <w:r>
        <w:rPr>
          <w:lang w:val="zh-CN"/>
        </w:rPr>
        <w:t>2016年观测到北部湾中华白海豚分布区整体向东移动，但目前北部湾中华白海豚仍是一个年</w:t>
      </w:r>
      <w:r>
        <w:rPr>
          <w:rFonts w:hint="eastAsia"/>
          <w:lang w:val="zh-CN"/>
        </w:rPr>
        <w:t>轻</w:t>
      </w:r>
      <w:r>
        <w:rPr>
          <w:lang w:val="zh-CN"/>
        </w:rPr>
        <w:t>的、健康的群体，只要给予充分的时间和空间保证大风江淡水系统的健康及江口两侧200km</w:t>
      </w:r>
      <w:r>
        <w:rPr>
          <w:vertAlign w:val="superscript"/>
          <w:lang w:val="zh-CN"/>
        </w:rPr>
        <w:t>2</w:t>
      </w:r>
      <w:r>
        <w:rPr>
          <w:lang w:val="zh-CN"/>
        </w:rPr>
        <w:t>浅海海域丰富的生物多样性，这个种群就可以长期生存下去。</w:t>
      </w:r>
    </w:p>
    <w:p w14:paraId="02B690D0">
      <w:pPr>
        <w:ind w:firstLine="494"/>
      </w:pPr>
    </w:p>
    <w:p w14:paraId="30DE211A">
      <w:pPr>
        <w:pStyle w:val="8"/>
      </w:pPr>
      <w:r>
        <w:rPr>
          <w:rFonts w:hint="eastAsia"/>
        </w:rPr>
        <w:t>北部湾及三娘湾中华白海豚种群数量增长曲线（2005-2012)</w:t>
      </w:r>
    </w:p>
    <w:p w14:paraId="54A8BC5C">
      <w:pPr>
        <w:ind w:firstLine="494"/>
      </w:pPr>
      <w:r>
        <w:t>2、北部湾中华白海豚的保护现状</w:t>
      </w:r>
    </w:p>
    <w:p w14:paraId="684F0510">
      <w:pPr>
        <w:ind w:firstLine="494"/>
        <w:rPr>
          <w:lang w:val="zh-CN"/>
        </w:rPr>
      </w:pPr>
      <w:r>
        <w:rPr>
          <w:lang w:val="zh-CN"/>
        </w:rPr>
        <w:t>近年随着沿岸港口的建设，航运事业的发达，工农业的发展，造成海洋环境的污染，加上渔业捕捞过度，鱼类资源严重减少，沿岸生态系统遭受破坏，北部湾中华白海豚因其生息在浅海沿岸水域，最易受到人类活动和沿岸渔业生产的影响，渔网混获、搁浅死亡时有发生。虽然根据南京师范大学生命科学学院的调查研究，从2011</w:t>
      </w:r>
      <w:r>
        <w:rPr>
          <w:rFonts w:hint="eastAsia"/>
          <w:lang w:val="zh-CN"/>
        </w:rPr>
        <w:t>—</w:t>
      </w:r>
      <w:r>
        <w:rPr>
          <w:lang w:val="zh-CN"/>
        </w:rPr>
        <w:t>2016年的调查来看，北部湾中华白海豚遇见率比较稳定，死亡个体较少，整体上来看比较稳定，钦州三娘湾发现有中华白海豚出没活动的水域，开发了三娘湾旅游度假区的特色旅游资源，但没有建立中华白海豚自然保护区。</w:t>
      </w:r>
    </w:p>
    <w:p w14:paraId="3A822961">
      <w:pPr>
        <w:ind w:firstLine="494"/>
      </w:pPr>
      <w:r>
        <w:t>3、建设项目与北部湾中华白海豚主要活动区域关系调查</w:t>
      </w:r>
    </w:p>
    <w:p w14:paraId="229C6AEA">
      <w:pPr>
        <w:ind w:firstLine="494"/>
      </w:pPr>
      <w:r>
        <w:t>根据现有调查资料，钦州港规划的港口岸线均未进入北部湾中华白海豚主要活动区域。项目与白海豚主要活动区域距离约7.3km且存在钦州港三墩作业区已建30万吨级原油码头及其进港公路（三墩公路）阻隔，项目对该生态敏感区基本无影响。近年在项目区周边海域未发现有北部湾中华白海豚活动记录。</w:t>
      </w:r>
    </w:p>
    <w:p w14:paraId="65BE69C6">
      <w:pPr>
        <w:pStyle w:val="4"/>
      </w:pPr>
      <w:bookmarkStart w:id="342" w:name="_Toc217977916"/>
      <w:bookmarkStart w:id="343" w:name="_Toc198042320"/>
      <w:r>
        <w:t>生态敏感区及珍稀濒危物种调查</w:t>
      </w:r>
      <w:bookmarkEnd w:id="342"/>
      <w:bookmarkEnd w:id="343"/>
    </w:p>
    <w:p w14:paraId="54ECB7CE">
      <w:pPr>
        <w:pStyle w:val="5"/>
      </w:pPr>
      <w:r>
        <w:rPr>
          <w:rFonts w:hint="eastAsia"/>
        </w:rPr>
        <w:t>广西茅尾海红树林自治区级自然保护区</w:t>
      </w:r>
    </w:p>
    <w:p w14:paraId="185442BD">
      <w:pPr>
        <w:ind w:firstLine="494"/>
      </w:pPr>
      <w:r>
        <w:t>（一）保护区概况</w:t>
      </w:r>
    </w:p>
    <w:p w14:paraId="73910B86">
      <w:pPr>
        <w:ind w:firstLine="494"/>
        <w:rPr>
          <w:lang w:val="zh-CN"/>
        </w:rPr>
      </w:pPr>
      <w:r>
        <w:rPr>
          <w:lang w:val="zh-CN"/>
        </w:rPr>
        <w:t>2020年02月，广西壮族自治区人民政府以《广西壮族自治区人民政府关于同意广西茅尾海红树林自治区级自然保护区范围与功能区调整的批复》（桂政函〔2020〕14号）</w:t>
      </w:r>
      <w:r>
        <w:t>同意调整广西茅尾海红树林自治区级自然保护区范围与功能区。调整后，保护区范围涉及康熙岭片、坚心围片、七十二泾片和大风江片4个片区，地理坐标为东经108°28′35″—108°54′26″、北纬21°44′13″—21°53′49″。保护区总面积5010.05公顷，其中核心区面积2153.2公顷、缓冲区面积1386.13公顷、实验区面积1470.72公顷。</w:t>
      </w:r>
    </w:p>
    <w:p w14:paraId="1E73FCBB">
      <w:pPr>
        <w:ind w:firstLine="494"/>
        <w:rPr>
          <w:lang w:val="zh-CN"/>
        </w:rPr>
      </w:pPr>
      <w:r>
        <w:rPr>
          <w:lang w:val="zh-CN"/>
        </w:rPr>
        <w:t>保护区主要红树林植被类型有秋茄林、桐花树林、白骨壤林、海漆林、黄槿林、无瓣海桑林、老鼠簕群。保护区资源十分丰富，目前已知有维管束植物有82科228属294种。其中：蕨类植物9科10属13种，裸子植物1科1属2种，被子植物72科217属279种。没有发现有国家重点保护的野生植物。</w:t>
      </w:r>
    </w:p>
    <w:p w14:paraId="62B35EE2">
      <w:pPr>
        <w:ind w:firstLine="494"/>
        <w:rPr>
          <w:lang w:val="zh-CN"/>
        </w:rPr>
      </w:pPr>
      <w:r>
        <w:rPr>
          <w:lang w:val="zh-CN"/>
        </w:rPr>
        <w:t>保护区有红树植物13科17种，占全国红树植物种类的45.9%，其中真红树植物8科10种，半红树植物6科7种。在真红树植物中，乡土红树植物6科7种，分别为红树科的木榄、秋茄、红海榄；卤蕨科的卤蕨；使君子科的榄李；紫金牛科的桐花树；马鞭草科的白骨壤；大戟科的海漆；爵床科的老鼠簕。引种的红树植物1科1种，即海桑科的无瓣海桑。半红树植物为锦葵科的黄槿；夹竹桃科的海芒果；马鞭草科的钝叶臭黄荆和苦榔树、草海桐科的草海桐、蝶形花科的水黄皮和菊科的阔苞菊。</w:t>
      </w:r>
    </w:p>
    <w:p w14:paraId="164BF2D9">
      <w:pPr>
        <w:ind w:firstLine="494"/>
      </w:pPr>
      <w:r>
        <w:t>保护区有脊椎动物216种，其中鱼类资源计有11目39科87种；两栖类动物有7种，隶属于1目5科5属；爬行类动物16种，隶属于1目7科15属；鸟类动物有15目31科103种；哺乳动物有3种，隶属于2目2科3属。</w:t>
      </w:r>
    </w:p>
    <w:tbl>
      <w:tblPr>
        <w:tblStyle w:val="88"/>
        <w:tblW w:w="0" w:type="auto"/>
        <w:tblInd w:w="0" w:type="dxa"/>
        <w:tblLayout w:type="autofit"/>
        <w:tblCellMar>
          <w:top w:w="0" w:type="dxa"/>
          <w:left w:w="108" w:type="dxa"/>
          <w:bottom w:w="0" w:type="dxa"/>
          <w:right w:w="108" w:type="dxa"/>
        </w:tblCellMar>
      </w:tblPr>
      <w:tblGrid>
        <w:gridCol w:w="8832"/>
      </w:tblGrid>
      <w:tr w14:paraId="5CDB41E1">
        <w:tblPrEx>
          <w:tblCellMar>
            <w:top w:w="0" w:type="dxa"/>
            <w:left w:w="108" w:type="dxa"/>
            <w:bottom w:w="0" w:type="dxa"/>
            <w:right w:w="108" w:type="dxa"/>
          </w:tblCellMar>
        </w:tblPrEx>
        <w:tc>
          <w:tcPr>
            <w:tcW w:w="8832" w:type="dxa"/>
            <w:tcBorders>
              <w:top w:val="nil"/>
              <w:left w:val="nil"/>
              <w:bottom w:val="nil"/>
              <w:right w:val="nil"/>
            </w:tcBorders>
          </w:tcPr>
          <w:p w14:paraId="7AB03423">
            <w:pPr>
              <w:pStyle w:val="166"/>
            </w:pPr>
          </w:p>
          <w:p w14:paraId="54CD2397">
            <w:pPr>
              <w:pStyle w:val="8"/>
            </w:pPr>
            <w:r>
              <w:rPr>
                <w:rFonts w:hint="eastAsia"/>
              </w:rPr>
              <w:t>茅尾海红树林自然保护区位置示意图</w:t>
            </w:r>
          </w:p>
        </w:tc>
      </w:tr>
    </w:tbl>
    <w:p w14:paraId="627B2F66">
      <w:pPr>
        <w:ind w:firstLine="494"/>
      </w:pPr>
      <w:r>
        <w:t>（二）项目与保护区位置关系</w:t>
      </w:r>
    </w:p>
    <w:p w14:paraId="2AD65404">
      <w:pPr>
        <w:ind w:firstLine="494"/>
      </w:pPr>
      <w:r>
        <w:t>广西茅尾海红树林自治区级自然保护区七十二泾片</w:t>
      </w:r>
      <w:r>
        <w:rPr>
          <w:rFonts w:hint="eastAsia"/>
        </w:rPr>
        <w:t>距离</w:t>
      </w:r>
      <w:r>
        <w:t>本项目西北面最近距离为</w:t>
      </w:r>
      <w:r>
        <w:rPr>
          <w:rFonts w:hint="eastAsia"/>
        </w:rPr>
        <w:t>10.6</w:t>
      </w:r>
      <w:r>
        <w:t>km，茅尾海片</w:t>
      </w:r>
      <w:r>
        <w:rPr>
          <w:rFonts w:hint="eastAsia"/>
        </w:rPr>
        <w:t>距离</w:t>
      </w:r>
      <w:r>
        <w:t>本项目西北面最近距离约</w:t>
      </w:r>
      <w:r>
        <w:rPr>
          <w:rFonts w:hint="eastAsia"/>
        </w:rPr>
        <w:t>25.0km</w:t>
      </w:r>
      <w:r>
        <w:t>。</w:t>
      </w:r>
    </w:p>
    <w:p w14:paraId="7B61EFDF">
      <w:pPr>
        <w:pStyle w:val="5"/>
      </w:pPr>
      <w:r>
        <w:rPr>
          <w:rFonts w:hint="eastAsia"/>
        </w:rPr>
        <w:t>茅尾海国家级海洋公园</w:t>
      </w:r>
    </w:p>
    <w:p w14:paraId="773C36B8">
      <w:pPr>
        <w:ind w:firstLine="494"/>
      </w:pPr>
      <w:r>
        <w:t>（一）公园概况</w:t>
      </w:r>
    </w:p>
    <w:p w14:paraId="5C0C22A9">
      <w:pPr>
        <w:ind w:firstLine="494"/>
      </w:pPr>
      <w:r>
        <w:t>根据国家海洋局关于发布广东特呈岛国家级海洋公园等11处新建国家级海洋特别保护区名单等事项的通知（国海环字〔2011〕297号），茅尾海国家级海洋公园位于钦州市茅尾海海域。保护区边界长25.0km，南连七十二泾群岛、西临茅岭江航道、北连茅尾海红树林自然保护区、东接沙井岛航道，总面积3482.7hm</w:t>
      </w:r>
      <w:r>
        <w:rPr>
          <w:vertAlign w:val="superscript"/>
        </w:rPr>
        <w:t>2</w:t>
      </w:r>
      <w:r>
        <w:t>，其中重点保护区面积578.7hm</w:t>
      </w:r>
      <w:r>
        <w:rPr>
          <w:vertAlign w:val="superscript"/>
        </w:rPr>
        <w:t>2</w:t>
      </w:r>
      <w:r>
        <w:t>、适度利用区面积为2183.0 hm</w:t>
      </w:r>
      <w:r>
        <w:rPr>
          <w:vertAlign w:val="superscript"/>
        </w:rPr>
        <w:t>2</w:t>
      </w:r>
      <w:r>
        <w:t>、生态与资源恢复区面积为721.0 hm</w:t>
      </w:r>
      <w:r>
        <w:rPr>
          <w:vertAlign w:val="superscript"/>
        </w:rPr>
        <w:t>2</w:t>
      </w:r>
      <w:r>
        <w:t>。保护对象为红树植物、盐沼生态系统及其海洋环境，是近江牡蛎的全球种质资源保留地和我国最重要的养殖区及采苗区。</w:t>
      </w:r>
    </w:p>
    <w:p w14:paraId="589A83EF">
      <w:pPr>
        <w:ind w:firstLine="494"/>
      </w:pPr>
      <w:r>
        <w:t>（二）项目与保护区位置关系</w:t>
      </w:r>
    </w:p>
    <w:p w14:paraId="3AC46029">
      <w:pPr>
        <w:ind w:firstLine="494"/>
      </w:pPr>
      <w:r>
        <w:t>茅尾海国家级海洋公园位于本项目</w:t>
      </w:r>
      <w:r>
        <w:rPr>
          <w:rFonts w:hint="eastAsia"/>
        </w:rPr>
        <w:t>西北</w:t>
      </w:r>
      <w:r>
        <w:t>面约</w:t>
      </w:r>
      <w:r>
        <w:rPr>
          <w:rFonts w:hint="eastAsia"/>
        </w:rPr>
        <w:t>17.5</w:t>
      </w:r>
      <w:r>
        <w:t>km处。</w:t>
      </w:r>
    </w:p>
    <w:p w14:paraId="1AA9D3CC">
      <w:pPr>
        <w:pStyle w:val="166"/>
      </w:pPr>
    </w:p>
    <w:p w14:paraId="002EF6DB">
      <w:pPr>
        <w:pStyle w:val="8"/>
      </w:pPr>
      <w:r>
        <w:t>茅尾海国家级海洋公园范围图</w:t>
      </w:r>
    </w:p>
    <w:p w14:paraId="24C0D673">
      <w:pPr>
        <w:pStyle w:val="5"/>
      </w:pPr>
      <w:r>
        <w:rPr>
          <w:rFonts w:hint="eastAsia"/>
        </w:rPr>
        <w:t>北部湾二长棘鲷长毛对虾种质资源保护区</w:t>
      </w:r>
    </w:p>
    <w:p w14:paraId="14EFB7AC">
      <w:pPr>
        <w:ind w:firstLine="494"/>
      </w:pPr>
      <w:r>
        <w:t>（一）保护区概况</w:t>
      </w:r>
    </w:p>
    <w:p w14:paraId="4B6604B2">
      <w:pPr>
        <w:ind w:firstLine="494"/>
      </w:pPr>
      <w:r>
        <w:t>北部湾二长棘鲷长毛对虾国家级水产种质资源保护区是2009年</w:t>
      </w:r>
      <w:r>
        <w:rPr>
          <w:rFonts w:hint="eastAsia"/>
          <w:lang w:eastAsia="zh-CN"/>
        </w:rPr>
        <w:t>农业农村部</w:t>
      </w:r>
      <w:r>
        <w:t>批准的水产种质资源保护区。位于北部湾东北部沿岸区域，由北纬21°31′线、五个拐点连线及广西壮族自治区防城港市、北海市海岸线组成，拐点坐标分别为（108°04′E，21°31′N；108°30′E，21°00′N；109°00′E，20°30′N；109°30′E，20°30′N；109°30′E，21°29′N）。核心区由五个拐点连线组成，拐点坐标分别为（108°15′E，21°15′N；108°30′E，21°00′N；109°00′E，20°30′N；109°30′E，20°30N′；109°30′E，21°15′N）；实验区由北纬21°31′线、四个拐点连线及广西壮族自治区防城港市、北海市海岸线组成，拐点坐标分别为（108°04′E，21°31N′；108°15′E，21°15′N；109°30′E，21°15′N；109°30′E，21°29′N）。</w:t>
      </w:r>
    </w:p>
    <w:p w14:paraId="23CEF7E2">
      <w:pPr>
        <w:ind w:firstLine="494"/>
      </w:pPr>
      <w:r>
        <w:t>保护区总面积11.42km</w:t>
      </w:r>
      <w:r>
        <w:rPr>
          <w:vertAlign w:val="superscript"/>
        </w:rPr>
        <w:t>2</w:t>
      </w:r>
      <w:r>
        <w:t>，其中核心区面积8.09km</w:t>
      </w:r>
      <w:r>
        <w:rPr>
          <w:vertAlign w:val="superscript"/>
        </w:rPr>
        <w:t>2</w:t>
      </w:r>
      <w:r>
        <w:t>，实验区面积3.33km</w:t>
      </w:r>
      <w:r>
        <w:rPr>
          <w:vertAlign w:val="superscript"/>
        </w:rPr>
        <w:t>2</w:t>
      </w:r>
      <w:r>
        <w:t>。核心区特别保护期为1月15日至3月1日。</w:t>
      </w:r>
    </w:p>
    <w:p w14:paraId="56085D0F">
      <w:pPr>
        <w:ind w:firstLine="494"/>
      </w:pPr>
      <w:r>
        <w:t>根据</w:t>
      </w:r>
      <w:r>
        <w:rPr>
          <w:rFonts w:hint="eastAsia"/>
          <w:lang w:eastAsia="zh-CN"/>
        </w:rPr>
        <w:t>农业农村部</w:t>
      </w:r>
      <w:r>
        <w:t>第1130号公告，北部湾二长棘鲷长毛对虾国家级水产种质资源保护区主要保护对象为二长棘鲷和长毛对虾。保护区内栖息的其他物种包括金线鱼、蓝圆鲹、黄带鲱鲤、长尾大眼鲷、蛇鲻类、日本金线鱼、墨吉对虾、长足鹰爪虾、中华管鞭虾、锈斑蟳、逍遥馒头蟹、日本蟳、马氏珠母贝、方格星虫等。</w:t>
      </w:r>
    </w:p>
    <w:p w14:paraId="19E6FEFD">
      <w:pPr>
        <w:pStyle w:val="166"/>
      </w:pPr>
    </w:p>
    <w:p w14:paraId="4DD0F106">
      <w:pPr>
        <w:pStyle w:val="8"/>
      </w:pPr>
      <w:r>
        <w:t>北部湾二长棘鲷长毛对虾种质资源保护区范围图</w:t>
      </w:r>
    </w:p>
    <w:p w14:paraId="63BB4719">
      <w:pPr>
        <w:ind w:firstLine="494"/>
      </w:pPr>
      <w:r>
        <w:t>（二）项目与保护区位置关系</w:t>
      </w:r>
    </w:p>
    <w:p w14:paraId="22A374B5">
      <w:pPr>
        <w:ind w:firstLine="494"/>
      </w:pPr>
      <w:r>
        <w:t>北部湾二长棘鲷长毛对虾种质资源保护区位于本项目南面约</w:t>
      </w:r>
      <w:r>
        <w:rPr>
          <w:rFonts w:hint="eastAsia"/>
        </w:rPr>
        <w:t>16.3</w:t>
      </w:r>
      <w:r>
        <w:t>km处。</w:t>
      </w:r>
    </w:p>
    <w:p w14:paraId="73C1096F">
      <w:pPr>
        <w:pStyle w:val="5"/>
      </w:pPr>
      <w:r>
        <w:t>红树林集中分布区</w:t>
      </w:r>
    </w:p>
    <w:p w14:paraId="4F93E4AE">
      <w:pPr>
        <w:ind w:firstLine="494"/>
      </w:pPr>
      <w:r>
        <w:t>红树林是位于热带、亚热带海路交错带的常绿阔叶林，是河口海岸生态系统中最重要的初级生产者。广西红树林海岸是广西海岸中重要的生物海岸类型，在全国也占有重要的位置，其基本特征是在潮间带上部生长着称为红树林的耐盐常绿乔木或灌木。</w:t>
      </w:r>
      <w:r>
        <w:rPr>
          <w:rFonts w:hint="eastAsia"/>
        </w:rPr>
        <w:t>根据2019年4月自然资源部、国家林草局联合组织的红树林资源和适宜恢复地专项调查结果，广西红树林总面积9330.34 hm</w:t>
      </w:r>
      <w:r>
        <w:rPr>
          <w:rFonts w:hint="eastAsia"/>
          <w:vertAlign w:val="superscript"/>
        </w:rPr>
        <w:t>2</w:t>
      </w:r>
      <w:r>
        <w:rPr>
          <w:rFonts w:hint="eastAsia"/>
        </w:rPr>
        <w:t>，其中，4115.57 hm</w:t>
      </w:r>
      <w:r>
        <w:rPr>
          <w:rFonts w:hint="eastAsia"/>
          <w:vertAlign w:val="superscript"/>
        </w:rPr>
        <w:t>2</w:t>
      </w:r>
      <w:r>
        <w:rPr>
          <w:rFonts w:hint="eastAsia"/>
        </w:rPr>
        <w:t>（44.11%）位于自然保护地（自然保护区，海洋公园、湿地公园等自然公园，不含红树林保护小区，下同）内，5214.77 hm</w:t>
      </w:r>
      <w:r>
        <w:rPr>
          <w:rFonts w:hint="eastAsia"/>
          <w:vertAlign w:val="superscript"/>
        </w:rPr>
        <w:t>2</w:t>
      </w:r>
      <w:r>
        <w:rPr>
          <w:rFonts w:hint="eastAsia"/>
        </w:rPr>
        <w:t>（55.89%）位于自然保护地外。</w:t>
      </w:r>
    </w:p>
    <w:p w14:paraId="77B8BCB3">
      <w:pPr>
        <w:ind w:firstLine="494"/>
      </w:pPr>
      <w:r>
        <w:t>1、钦州</w:t>
      </w:r>
      <w:r>
        <w:rPr>
          <w:rFonts w:hint="eastAsia"/>
        </w:rPr>
        <w:t>市</w:t>
      </w:r>
      <w:r>
        <w:t>红树林分布状况调查</w:t>
      </w:r>
    </w:p>
    <w:p w14:paraId="052C28E6">
      <w:pPr>
        <w:ind w:firstLine="494"/>
      </w:pPr>
      <w:r>
        <w:rPr>
          <w:rFonts w:hint="eastAsia"/>
        </w:rPr>
        <w:t>以钦州市2020年国土变更调查数据为基础，衔接广西红树林资源保护规划再结合现场补充调查成果，钦州市现有红树林面积3212.82hm</w:t>
      </w:r>
      <w:r>
        <w:rPr>
          <w:rFonts w:hint="eastAsia"/>
          <w:vertAlign w:val="superscript"/>
        </w:rPr>
        <w:t>2</w:t>
      </w:r>
      <w:r>
        <w:rPr>
          <w:rFonts w:hint="eastAsia"/>
        </w:rPr>
        <w:t>。主要包括乔木红树林和灌木红树林两大类，其中：</w:t>
      </w:r>
      <w:r>
        <w:t>（1）乔木类红树林以人工营造的无瓣海桑为主，面积494.58</w:t>
      </w:r>
      <w:r>
        <w:rPr>
          <w:rFonts w:hint="eastAsia"/>
        </w:rPr>
        <w:t>hm</w:t>
      </w:r>
      <w:r>
        <w:rPr>
          <w:rFonts w:hint="eastAsia"/>
          <w:vertAlign w:val="superscript"/>
        </w:rPr>
        <w:t>2</w:t>
      </w:r>
      <w:r>
        <w:t>；（2）灌木类红树林包括桐花树、秋茄、白骨壤等天然或人工类型，面积2718.24</w:t>
      </w:r>
      <w:r>
        <w:rPr>
          <w:rFonts w:hint="eastAsia"/>
        </w:rPr>
        <w:t>hm</w:t>
      </w:r>
      <w:r>
        <w:rPr>
          <w:rFonts w:hint="eastAsia"/>
          <w:vertAlign w:val="superscript"/>
        </w:rPr>
        <w:t>2</w:t>
      </w:r>
      <w:r>
        <w:t>。</w:t>
      </w:r>
    </w:p>
    <w:p w14:paraId="0A29BB6D">
      <w:pPr>
        <w:ind w:firstLine="494"/>
      </w:pPr>
      <w:r>
        <w:rPr>
          <w:rFonts w:hint="eastAsia"/>
        </w:rPr>
        <w:t>钦州市红树林主要分布于茅尾海、七十二泾、大风江一带近海河口，面积3212.82hm</w:t>
      </w:r>
      <w:r>
        <w:rPr>
          <w:rFonts w:hint="eastAsia"/>
          <w:vertAlign w:val="superscript"/>
        </w:rPr>
        <w:t>2</w:t>
      </w:r>
      <w:r>
        <w:rPr>
          <w:rFonts w:hint="eastAsia"/>
        </w:rPr>
        <w:t>。其中，自然保护地（包含广西茅尾海红树林自治区级自然保护区和广西钦州茅尾海国家级海洋公园）内红树林面积2035.24hm</w:t>
      </w:r>
      <w:r>
        <w:rPr>
          <w:rFonts w:hint="eastAsia"/>
          <w:vertAlign w:val="superscript"/>
        </w:rPr>
        <w:t>2</w:t>
      </w:r>
      <w:r>
        <w:rPr>
          <w:rFonts w:hint="eastAsia"/>
        </w:rPr>
        <w:t>，占全市红树林总面积63.35%；自然保护地外红树林面积1177.58 hm</w:t>
      </w:r>
      <w:r>
        <w:rPr>
          <w:rFonts w:hint="eastAsia"/>
          <w:vertAlign w:val="superscript"/>
        </w:rPr>
        <w:t>2</w:t>
      </w:r>
      <w:r>
        <w:rPr>
          <w:rFonts w:hint="eastAsia"/>
        </w:rPr>
        <w:t>，占全市红树林总面积36.65%。钦州市的红树林全部位于钦南区行政范围内，涉及沙埠镇、康熙岭镇、尖山街道、大番坡镇、龙门港镇、东场镇、那丽镇、犀牛脚镇（含三娘湾旅游管理区）、自贸区钦州港片区等9个乡镇（街道/开发区）。各红树林分布面积如下：</w:t>
      </w:r>
    </w:p>
    <w:p w14:paraId="7E07FD17">
      <w:pPr>
        <w:ind w:firstLine="494"/>
      </w:pPr>
      <w:r>
        <w:rPr>
          <w:rFonts w:hint="eastAsia"/>
        </w:rPr>
        <w:t>（1）沙埠镇红树林面积45.12 hm</w:t>
      </w:r>
      <w:r>
        <w:rPr>
          <w:rFonts w:hint="eastAsia"/>
          <w:vertAlign w:val="superscript"/>
        </w:rPr>
        <w:t>2</w:t>
      </w:r>
      <w:r>
        <w:rPr>
          <w:rFonts w:hint="eastAsia"/>
        </w:rPr>
        <w:t>，占红树林总面积1.40%；</w:t>
      </w:r>
    </w:p>
    <w:p w14:paraId="138559EA">
      <w:pPr>
        <w:ind w:firstLine="494"/>
      </w:pPr>
      <w:r>
        <w:rPr>
          <w:rFonts w:hint="eastAsia"/>
        </w:rPr>
        <w:t>（2）康熙岭镇红树林面积841.63 hm</w:t>
      </w:r>
      <w:r>
        <w:rPr>
          <w:rFonts w:hint="eastAsia"/>
          <w:vertAlign w:val="superscript"/>
        </w:rPr>
        <w:t>2</w:t>
      </w:r>
      <w:r>
        <w:rPr>
          <w:rFonts w:hint="eastAsia"/>
        </w:rPr>
        <w:t>，占红树林总面积26.20%；</w:t>
      </w:r>
    </w:p>
    <w:p w14:paraId="7DD7118A">
      <w:pPr>
        <w:ind w:firstLine="494"/>
      </w:pPr>
      <w:r>
        <w:rPr>
          <w:rFonts w:hint="eastAsia"/>
        </w:rPr>
        <w:t>（3）尖山街道红树林面积897.88 hm</w:t>
      </w:r>
      <w:r>
        <w:rPr>
          <w:rFonts w:hint="eastAsia"/>
          <w:vertAlign w:val="superscript"/>
        </w:rPr>
        <w:t>2</w:t>
      </w:r>
      <w:r>
        <w:rPr>
          <w:rFonts w:hint="eastAsia"/>
        </w:rPr>
        <w:t>，占红树林总面积27.95%；</w:t>
      </w:r>
    </w:p>
    <w:p w14:paraId="3EC8C96D">
      <w:pPr>
        <w:ind w:firstLine="494"/>
      </w:pPr>
      <w:r>
        <w:rPr>
          <w:rFonts w:hint="eastAsia"/>
        </w:rPr>
        <w:t>（4）大番坡镇红树林面积316.01 hm</w:t>
      </w:r>
      <w:r>
        <w:rPr>
          <w:rFonts w:hint="eastAsia"/>
          <w:vertAlign w:val="superscript"/>
        </w:rPr>
        <w:t>2</w:t>
      </w:r>
      <w:r>
        <w:rPr>
          <w:rFonts w:hint="eastAsia"/>
        </w:rPr>
        <w:t>，占红树林总面积9.84%；</w:t>
      </w:r>
    </w:p>
    <w:p w14:paraId="37E442D3">
      <w:pPr>
        <w:ind w:firstLine="494"/>
      </w:pPr>
      <w:r>
        <w:t>（5）龙门港镇红树林面积68.92</w:t>
      </w:r>
      <w:r>
        <w:rPr>
          <w:rFonts w:hint="eastAsia"/>
        </w:rPr>
        <w:t xml:space="preserve"> hm</w:t>
      </w:r>
      <w:r>
        <w:rPr>
          <w:rFonts w:hint="eastAsia"/>
          <w:vertAlign w:val="superscript"/>
        </w:rPr>
        <w:t>2</w:t>
      </w:r>
      <w:r>
        <w:t>，占红树林总面积2.15%；</w:t>
      </w:r>
    </w:p>
    <w:p w14:paraId="4AE46587">
      <w:pPr>
        <w:ind w:firstLine="494"/>
      </w:pPr>
      <w:r>
        <w:t>（6）东场镇红树林面积198.92</w:t>
      </w:r>
      <w:r>
        <w:rPr>
          <w:rFonts w:hint="eastAsia"/>
        </w:rPr>
        <w:t xml:space="preserve"> hm</w:t>
      </w:r>
      <w:r>
        <w:rPr>
          <w:rFonts w:hint="eastAsia"/>
          <w:vertAlign w:val="superscript"/>
        </w:rPr>
        <w:t>2</w:t>
      </w:r>
      <w:r>
        <w:t>，占红树林总面积6.19%；</w:t>
      </w:r>
    </w:p>
    <w:p w14:paraId="3717D3D2">
      <w:pPr>
        <w:ind w:firstLine="494"/>
      </w:pPr>
      <w:r>
        <w:t>（7）那丽镇红树林面积255.24</w:t>
      </w:r>
      <w:r>
        <w:rPr>
          <w:rFonts w:hint="eastAsia"/>
        </w:rPr>
        <w:t xml:space="preserve"> hm</w:t>
      </w:r>
      <w:r>
        <w:rPr>
          <w:rFonts w:hint="eastAsia"/>
          <w:vertAlign w:val="superscript"/>
        </w:rPr>
        <w:t>2</w:t>
      </w:r>
      <w:r>
        <w:t>，占红树林总面积7.94%；</w:t>
      </w:r>
    </w:p>
    <w:p w14:paraId="2825E8B8">
      <w:pPr>
        <w:ind w:firstLine="494"/>
      </w:pPr>
      <w:r>
        <w:t>（8）犀牛脚镇（含三娘湾旅游管理区）红树林面积371.59</w:t>
      </w:r>
      <w:r>
        <w:rPr>
          <w:rFonts w:hint="eastAsia"/>
        </w:rPr>
        <w:t xml:space="preserve"> hm</w:t>
      </w:r>
      <w:r>
        <w:rPr>
          <w:rFonts w:hint="eastAsia"/>
          <w:vertAlign w:val="superscript"/>
        </w:rPr>
        <w:t>2</w:t>
      </w:r>
      <w:r>
        <w:t>，占红树林总面积11.57%；</w:t>
      </w:r>
    </w:p>
    <w:p w14:paraId="515DB4FB">
      <w:pPr>
        <w:ind w:firstLine="494"/>
      </w:pPr>
      <w:r>
        <w:t>（9）自贸区钦州港片区红树林面积217.51</w:t>
      </w:r>
      <w:r>
        <w:rPr>
          <w:rFonts w:hint="eastAsia"/>
        </w:rPr>
        <w:t xml:space="preserve"> hm</w:t>
      </w:r>
      <w:r>
        <w:rPr>
          <w:rFonts w:hint="eastAsia"/>
          <w:vertAlign w:val="superscript"/>
        </w:rPr>
        <w:t>2</w:t>
      </w:r>
      <w:r>
        <w:t>，占红树林总面积6.77%。</w:t>
      </w:r>
    </w:p>
    <w:p w14:paraId="12F4EEBB">
      <w:pPr>
        <w:ind w:firstLine="494"/>
      </w:pPr>
      <w:r>
        <w:t>2、钦州市红树林资源</w:t>
      </w:r>
      <w:r>
        <w:rPr>
          <w:rFonts w:hint="eastAsia"/>
        </w:rPr>
        <w:t>构成</w:t>
      </w:r>
    </w:p>
    <w:p w14:paraId="597744D6">
      <w:pPr>
        <w:ind w:firstLine="494"/>
      </w:pPr>
      <w:r>
        <w:t>钦州市现有红树林主要优势树种（组）为桐花树、无瓣海桑、白骨壤和秋茄，以桐花树为主。其中：</w:t>
      </w:r>
    </w:p>
    <w:p w14:paraId="4F98BBD4">
      <w:pPr>
        <w:ind w:firstLine="494"/>
      </w:pPr>
      <w:r>
        <w:t>（1）以桐花树为优势树种的红树林面积2411.06</w:t>
      </w:r>
      <w:r>
        <w:rPr>
          <w:rFonts w:hint="eastAsia"/>
        </w:rPr>
        <w:t xml:space="preserve"> hm</w:t>
      </w:r>
      <w:r>
        <w:rPr>
          <w:rFonts w:hint="eastAsia"/>
          <w:vertAlign w:val="superscript"/>
        </w:rPr>
        <w:t>2</w:t>
      </w:r>
      <w:r>
        <w:t>，占总面积75.05%，在钦南区各乡镇均有分布，是钦州市红树林分布最广的树种；</w:t>
      </w:r>
    </w:p>
    <w:p w14:paraId="316A980C">
      <w:pPr>
        <w:ind w:firstLine="494"/>
      </w:pPr>
      <w:r>
        <w:t>（2）以无瓣海桑为优势树种的红树林面积494.58</w:t>
      </w:r>
      <w:r>
        <w:rPr>
          <w:rFonts w:hint="eastAsia"/>
        </w:rPr>
        <w:t xml:space="preserve"> hm</w:t>
      </w:r>
      <w:r>
        <w:rPr>
          <w:rFonts w:hint="eastAsia"/>
          <w:vertAlign w:val="superscript"/>
        </w:rPr>
        <w:t>2</w:t>
      </w:r>
      <w:r>
        <w:t>，占总面积15.39%；主要分布在康熙岭镇，为人工种植的引入种，自然繁殖生长能力强，种子随海水潮涨潮落漂移生根发芽，植株生长迅速，近几年无瓣海桑果甚至已随潮水侵入到远离原种植地10</w:t>
      </w:r>
      <w:r>
        <w:rPr>
          <w:rFonts w:hint="eastAsia" w:eastAsia="华文楷体"/>
        </w:rPr>
        <w:t>km</w:t>
      </w:r>
      <w:r>
        <w:t>外的尖山街道一带；</w:t>
      </w:r>
    </w:p>
    <w:p w14:paraId="6157CAA4">
      <w:pPr>
        <w:ind w:firstLine="494"/>
      </w:pPr>
      <w:r>
        <w:t>（3）以白骨壤为优势树种的红树林面积306.43</w:t>
      </w:r>
      <w:r>
        <w:rPr>
          <w:rFonts w:hint="eastAsia"/>
        </w:rPr>
        <w:t xml:space="preserve"> hm</w:t>
      </w:r>
      <w:r>
        <w:rPr>
          <w:rFonts w:hint="eastAsia"/>
          <w:vertAlign w:val="superscript"/>
        </w:rPr>
        <w:t>2</w:t>
      </w:r>
      <w:r>
        <w:t>，占总面积9.54%，主要分布在犀牛脚镇、龙门港镇、大番坡镇、自贸区钦州港片区，生长在盐度较大的近海河口和海湾；</w:t>
      </w:r>
    </w:p>
    <w:p w14:paraId="0005DDF5">
      <w:pPr>
        <w:ind w:firstLine="494"/>
      </w:pPr>
      <w:r>
        <w:t>（4）以秋茄为优势树种的红树林面积0.75</w:t>
      </w:r>
      <w:r>
        <w:rPr>
          <w:rFonts w:hint="eastAsia"/>
        </w:rPr>
        <w:t xml:space="preserve"> hm</w:t>
      </w:r>
      <w:r>
        <w:rPr>
          <w:rFonts w:hint="eastAsia"/>
          <w:vertAlign w:val="superscript"/>
        </w:rPr>
        <w:t>2</w:t>
      </w:r>
      <w:r>
        <w:t>，占总面积0.02%，主要零星分布在桐花树群落中，以人工种植的成片秋茄分布在康熙岭镇和犀牛脚镇沿海一带。</w:t>
      </w:r>
    </w:p>
    <w:p w14:paraId="7C20B473">
      <w:pPr>
        <w:ind w:firstLine="494"/>
      </w:pPr>
      <w:r>
        <w:t>钦州市区域内分布数量极少的红树林有木榄、老鼠簕，濒危红树林物种有红海榄、榄李。半红树植物有苦郎树、钝叶臭黄荆、海芒果、黄槿、草海桐、水黄皮、阔苞菊。分布情况如下：</w:t>
      </w:r>
    </w:p>
    <w:p w14:paraId="0DB7A5AE">
      <w:pPr>
        <w:ind w:firstLine="494"/>
      </w:pPr>
      <w:r>
        <w:t>（1）木榄：主要零星分布在七十二泾一带的红树林群落内，数量较少。</w:t>
      </w:r>
    </w:p>
    <w:p w14:paraId="595BB5E3">
      <w:pPr>
        <w:ind w:firstLine="494"/>
      </w:pPr>
      <w:r>
        <w:t>（2）老鼠簕：在坚心围一带有少量成片分布，多数为小范围零星分布在桐花树等群落中，主要位于北部湾大学南面茶山江一带。分布较广数量较少。</w:t>
      </w:r>
    </w:p>
    <w:p w14:paraId="2E5DAFB7">
      <w:pPr>
        <w:ind w:firstLine="494"/>
      </w:pPr>
      <w:r>
        <w:t>（3）红海榄和榄李：主要零星分布在七十二泾一带的红树林群落内，数量较少。</w:t>
      </w:r>
    </w:p>
    <w:p w14:paraId="5B2AC8AF">
      <w:pPr>
        <w:ind w:firstLine="494"/>
      </w:pPr>
      <w:r>
        <w:t>（4）海漆和黄槿：分布在江河沿岸及养殖塘周边广泛分布。两种树种混交散生在河流沿岸地势较高处。</w:t>
      </w:r>
    </w:p>
    <w:p w14:paraId="1361CD2D">
      <w:pPr>
        <w:ind w:firstLine="494"/>
      </w:pPr>
      <w:r>
        <w:t>（5）苦郎树：规划区均有分布，集中分布在江河上、中游河岸一带，部分与桐花树混交形成桐花树+苦郎树群落。</w:t>
      </w:r>
    </w:p>
    <w:p w14:paraId="2A08E488">
      <w:pPr>
        <w:ind w:firstLine="494"/>
        <w:rPr>
          <w:b/>
          <w:bCs/>
        </w:rPr>
      </w:pPr>
      <w:r>
        <w:t>（6）钝叶臭黄荆、草海桐和阔苞菊在规划范围内的江河两岸及海岸线一带有零星分布。</w:t>
      </w:r>
    </w:p>
    <w:p w14:paraId="3233FD30">
      <w:pPr>
        <w:ind w:firstLine="494"/>
      </w:pPr>
      <w:r>
        <w:rPr>
          <w:rFonts w:hint="eastAsia"/>
        </w:rPr>
        <w:t>3、</w:t>
      </w:r>
      <w:r>
        <w:t>钦州</w:t>
      </w:r>
      <w:r>
        <w:rPr>
          <w:rFonts w:hint="eastAsia"/>
        </w:rPr>
        <w:t>市</w:t>
      </w:r>
      <w:r>
        <w:t>红树林群落分布状况</w:t>
      </w:r>
    </w:p>
    <w:p w14:paraId="0F84F4BB">
      <w:pPr>
        <w:ind w:firstLine="494"/>
      </w:pPr>
      <w:r>
        <w:t>钦州市红树林主要群落类型有：桐花树群落、无瓣海桑群落、白骨壤群落、无瓣海桑+桐花树群落、无瓣海桑+桐花树+秋茄群落、桐花树+秋茄群落、桐花树+卤蕨群落、白骨壤+桐花树+秋茄群落、白骨壤+桐花树群落、秋茄群落和白骨壤+秋茄群落。其中：</w:t>
      </w:r>
    </w:p>
    <w:p w14:paraId="7AAD58B0">
      <w:pPr>
        <w:ind w:firstLine="494"/>
      </w:pPr>
      <w:r>
        <w:t>（1）桐花树+秋茄群落面积988.53</w:t>
      </w:r>
      <w:r>
        <w:rPr>
          <w:rFonts w:hint="eastAsia"/>
        </w:rPr>
        <w:t xml:space="preserve"> hm</w:t>
      </w:r>
      <w:r>
        <w:rPr>
          <w:rFonts w:hint="eastAsia"/>
          <w:vertAlign w:val="superscript"/>
        </w:rPr>
        <w:t>2</w:t>
      </w:r>
      <w:r>
        <w:t>，占总面积30.76%；</w:t>
      </w:r>
    </w:p>
    <w:p w14:paraId="67303EF6">
      <w:pPr>
        <w:ind w:firstLine="494"/>
      </w:pPr>
      <w:r>
        <w:t>（2）桐花树群落面积822.08</w:t>
      </w:r>
      <w:r>
        <w:rPr>
          <w:rFonts w:hint="eastAsia"/>
        </w:rPr>
        <w:t xml:space="preserve"> hm</w:t>
      </w:r>
      <w:r>
        <w:rPr>
          <w:rFonts w:hint="eastAsia"/>
          <w:vertAlign w:val="superscript"/>
        </w:rPr>
        <w:t>2</w:t>
      </w:r>
      <w:r>
        <w:t>，占总面积25.58%；</w:t>
      </w:r>
    </w:p>
    <w:p w14:paraId="40EC5A47">
      <w:pPr>
        <w:ind w:firstLine="494"/>
      </w:pPr>
      <w:r>
        <w:t>（3）无瓣海桑群落面积30.49</w:t>
      </w:r>
      <w:r>
        <w:rPr>
          <w:rFonts w:hint="eastAsia"/>
        </w:rPr>
        <w:t xml:space="preserve"> hm</w:t>
      </w:r>
      <w:r>
        <w:rPr>
          <w:rFonts w:hint="eastAsia"/>
          <w:vertAlign w:val="superscript"/>
        </w:rPr>
        <w:t>2</w:t>
      </w:r>
      <w:r>
        <w:t>，占总面积0.965%；</w:t>
      </w:r>
    </w:p>
    <w:p w14:paraId="465039BF">
      <w:pPr>
        <w:ind w:firstLine="494"/>
      </w:pPr>
      <w:r>
        <w:t>（4）白骨壤群落面积284.29</w:t>
      </w:r>
      <w:r>
        <w:rPr>
          <w:rFonts w:hint="eastAsia"/>
        </w:rPr>
        <w:t xml:space="preserve"> hm</w:t>
      </w:r>
      <w:r>
        <w:rPr>
          <w:rFonts w:hint="eastAsia"/>
          <w:vertAlign w:val="superscript"/>
        </w:rPr>
        <w:t>2</w:t>
      </w:r>
      <w:r>
        <w:t>，占总面积8.85%；</w:t>
      </w:r>
    </w:p>
    <w:p w14:paraId="0EC43A11">
      <w:pPr>
        <w:ind w:firstLine="494"/>
      </w:pPr>
      <w:r>
        <w:t>（5）秋茄群落面积0.67</w:t>
      </w:r>
      <w:r>
        <w:rPr>
          <w:rFonts w:hint="eastAsia"/>
        </w:rPr>
        <w:t xml:space="preserve"> hm</w:t>
      </w:r>
      <w:r>
        <w:rPr>
          <w:rFonts w:hint="eastAsia"/>
          <w:vertAlign w:val="superscript"/>
        </w:rPr>
        <w:t>2</w:t>
      </w:r>
      <w:r>
        <w:t>，占总面积0.02%；</w:t>
      </w:r>
    </w:p>
    <w:p w14:paraId="18F46450">
      <w:pPr>
        <w:ind w:firstLine="494"/>
      </w:pPr>
      <w:r>
        <w:t>（6）无瓣海桑+桐花树群落面积572.34</w:t>
      </w:r>
      <w:r>
        <w:rPr>
          <w:rFonts w:hint="eastAsia"/>
        </w:rPr>
        <w:t xml:space="preserve"> hm</w:t>
      </w:r>
      <w:r>
        <w:rPr>
          <w:rFonts w:hint="eastAsia"/>
          <w:vertAlign w:val="superscript"/>
        </w:rPr>
        <w:t>2</w:t>
      </w:r>
      <w:r>
        <w:t>，占总面积17.81%；</w:t>
      </w:r>
    </w:p>
    <w:p w14:paraId="72B90523">
      <w:pPr>
        <w:ind w:firstLine="494"/>
      </w:pPr>
      <w:r>
        <w:t>（7）无瓣海桑+桐花树+秋茄群落面积182.11</w:t>
      </w:r>
      <w:r>
        <w:rPr>
          <w:rFonts w:hint="eastAsia"/>
        </w:rPr>
        <w:t xml:space="preserve"> hm</w:t>
      </w:r>
      <w:r>
        <w:rPr>
          <w:rFonts w:hint="eastAsia"/>
          <w:vertAlign w:val="superscript"/>
        </w:rPr>
        <w:t>2</w:t>
      </w:r>
      <w:r>
        <w:t>，占总面积5.67%；</w:t>
      </w:r>
    </w:p>
    <w:p w14:paraId="3F06F2C5">
      <w:pPr>
        <w:ind w:firstLine="494"/>
      </w:pPr>
      <w:r>
        <w:t>（8）桐花树+卤蕨群落面积24.87</w:t>
      </w:r>
      <w:r>
        <w:rPr>
          <w:rFonts w:hint="eastAsia"/>
        </w:rPr>
        <w:t xml:space="preserve"> hm</w:t>
      </w:r>
      <w:r>
        <w:rPr>
          <w:rFonts w:hint="eastAsia"/>
          <w:vertAlign w:val="superscript"/>
        </w:rPr>
        <w:t>2</w:t>
      </w:r>
      <w:r>
        <w:t>，占总面积0.77%；</w:t>
      </w:r>
    </w:p>
    <w:p w14:paraId="089C4E81">
      <w:pPr>
        <w:ind w:firstLine="494"/>
      </w:pPr>
      <w:r>
        <w:t>（9）白骨壤+桐花树+秋茄群落面积26.25</w:t>
      </w:r>
      <w:r>
        <w:rPr>
          <w:rFonts w:hint="eastAsia"/>
        </w:rPr>
        <w:t xml:space="preserve"> hm</w:t>
      </w:r>
      <w:r>
        <w:rPr>
          <w:rFonts w:hint="eastAsia"/>
          <w:vertAlign w:val="superscript"/>
        </w:rPr>
        <w:t>2</w:t>
      </w:r>
      <w:r>
        <w:t>，占总面积0.82%；</w:t>
      </w:r>
    </w:p>
    <w:p w14:paraId="6F7C63A8">
      <w:pPr>
        <w:ind w:firstLine="494"/>
      </w:pPr>
      <w:r>
        <w:t>（10）白骨壤+桐花树群落面积276.82</w:t>
      </w:r>
      <w:r>
        <w:rPr>
          <w:rFonts w:hint="eastAsia"/>
        </w:rPr>
        <w:t xml:space="preserve"> hm</w:t>
      </w:r>
      <w:r>
        <w:rPr>
          <w:rFonts w:hint="eastAsia"/>
          <w:vertAlign w:val="superscript"/>
        </w:rPr>
        <w:t>2</w:t>
      </w:r>
      <w:r>
        <w:t>，占总面积8.63%；</w:t>
      </w:r>
    </w:p>
    <w:p w14:paraId="12081819">
      <w:pPr>
        <w:ind w:firstLine="494"/>
      </w:pPr>
      <w:r>
        <w:t>（11）白骨壤+秋茄群落面积0.08</w:t>
      </w:r>
      <w:r>
        <w:rPr>
          <w:rFonts w:hint="eastAsia"/>
        </w:rPr>
        <w:t xml:space="preserve"> hm</w:t>
      </w:r>
      <w:r>
        <w:rPr>
          <w:rFonts w:hint="eastAsia"/>
          <w:vertAlign w:val="superscript"/>
        </w:rPr>
        <w:t>2</w:t>
      </w:r>
      <w:r>
        <w:t>，占总面积0.01%。</w:t>
      </w:r>
    </w:p>
    <w:p w14:paraId="5B91387E">
      <w:pPr>
        <w:ind w:firstLine="494"/>
      </w:pPr>
      <w:r>
        <w:t>（12）其他类型群落面积总计4.29</w:t>
      </w:r>
      <w:r>
        <w:rPr>
          <w:rFonts w:hint="eastAsia"/>
        </w:rPr>
        <w:t xml:space="preserve"> hm</w:t>
      </w:r>
      <w:r>
        <w:rPr>
          <w:rFonts w:hint="eastAsia"/>
          <w:vertAlign w:val="superscript"/>
        </w:rPr>
        <w:t>2</w:t>
      </w:r>
      <w:r>
        <w:t>，占总面积0.12%</w:t>
      </w:r>
    </w:p>
    <w:p w14:paraId="6D312990">
      <w:pPr>
        <w:ind w:firstLine="494"/>
      </w:pPr>
      <w:r>
        <w:rPr>
          <w:rFonts w:hint="eastAsia"/>
        </w:rPr>
        <w:t>4</w:t>
      </w:r>
      <w:r>
        <w:t>、项目与红树林斑块关系调查</w:t>
      </w:r>
    </w:p>
    <w:p w14:paraId="121479D1">
      <w:pPr>
        <w:ind w:firstLine="494"/>
      </w:pPr>
      <w:r>
        <w:t>距项目较近的红树林集中分布斑块为项目选址北面直线距离约</w:t>
      </w:r>
      <w:r>
        <w:rPr>
          <w:rFonts w:hint="eastAsia"/>
        </w:rPr>
        <w:t>9.6</w:t>
      </w:r>
      <w:r>
        <w:t>km外的金鼓江红树林集中分布斑块，东北侧直线距离约6.</w:t>
      </w:r>
      <w:r>
        <w:rPr>
          <w:rFonts w:hint="eastAsia"/>
        </w:rPr>
        <w:t>3</w:t>
      </w:r>
      <w:r>
        <w:t>km外的鹿耳环江红树林集中分布斑块。本项目与金鼓江红树林集中分布</w:t>
      </w:r>
      <w:r>
        <w:rPr>
          <w:rFonts w:hint="eastAsia"/>
        </w:rPr>
        <w:t>斑块</w:t>
      </w:r>
      <w:r>
        <w:t>的水上距离约</w:t>
      </w:r>
      <w:r>
        <w:rPr>
          <w:rFonts w:hint="eastAsia"/>
        </w:rPr>
        <w:t>10.45km，其中与本项目较近的该区域红树林斑块位于钦州港东航道对侧，有航道阻隔；本项目与鹿耳环江红树林集中分布斑块水上距离为22.1km，该区域与本项目之间有三墩港防波堤阻隔，水上距离间隔较远。</w:t>
      </w:r>
    </w:p>
    <w:p w14:paraId="1C36F0F3">
      <w:pPr>
        <w:pStyle w:val="8"/>
      </w:pPr>
      <w:r>
        <w:t>项目周边红树林斑块分布示意图</w:t>
      </w:r>
    </w:p>
    <w:p w14:paraId="02C665E2">
      <w:pPr>
        <w:pStyle w:val="5"/>
      </w:pPr>
      <w:r>
        <w:rPr>
          <w:rFonts w:hint="eastAsia"/>
        </w:rPr>
        <w:t>《钦州市国土空间总体规划（2021—2035年）》生态保护红线</w:t>
      </w:r>
    </w:p>
    <w:p w14:paraId="103F4D25">
      <w:pPr>
        <w:ind w:firstLine="494"/>
      </w:pPr>
      <w:r>
        <w:rPr>
          <w:rFonts w:hint="eastAsia"/>
        </w:rPr>
        <w:t>根据《钦州市国土空间总体规划（2021—2035年）》，本项目评价范围内涉及4处海洋生态保护红线，分别为钦州市鹿耳环重要滩涂及浅海水域红线区、北部湾水源涵养生态保护红线区、钦州市月亮湾海岸防护极重要区、钦州市三娘湾重要滩涂浅海水域红线区。海洋生态保护红线具有特殊生态功能或生态敏感脆弱、必须强制性严格保护的海洋自然区域。《钦州市国土空间总体规划（2021—2035年）》关于海洋生态保护红线引导要求及本项目协调性分析见表3.2-1。由表3.2-1可知，本项目评价范围内涉及的海洋生态保护红线与引导要求相符。</w:t>
      </w:r>
    </w:p>
    <w:p w14:paraId="394AD0FD">
      <w:pPr>
        <w:pStyle w:val="7"/>
      </w:pPr>
      <w:r>
        <w:rPr>
          <w:rFonts w:hint="eastAsia"/>
        </w:rPr>
        <w:t>评价范围内海洋生态保护红线引导要求协调性表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39"/>
        <w:gridCol w:w="5432"/>
        <w:gridCol w:w="2061"/>
      </w:tblGrid>
      <w:tr w14:paraId="1C8184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339" w:type="dxa"/>
            <w:vAlign w:val="center"/>
          </w:tcPr>
          <w:p w14:paraId="06405015">
            <w:pPr>
              <w:pStyle w:val="34"/>
            </w:pPr>
            <w:r>
              <w:rPr>
                <w:rFonts w:hint="eastAsia"/>
              </w:rPr>
              <w:t>分区类型</w:t>
            </w:r>
          </w:p>
        </w:tc>
        <w:tc>
          <w:tcPr>
            <w:tcW w:w="5432" w:type="dxa"/>
            <w:vAlign w:val="center"/>
          </w:tcPr>
          <w:p w14:paraId="6C4CE4C2">
            <w:pPr>
              <w:pStyle w:val="34"/>
            </w:pPr>
            <w:r>
              <w:rPr>
                <w:rFonts w:hint="eastAsia"/>
              </w:rPr>
              <w:t>引导要求</w:t>
            </w:r>
          </w:p>
        </w:tc>
        <w:tc>
          <w:tcPr>
            <w:tcW w:w="2061" w:type="dxa"/>
            <w:vAlign w:val="center"/>
          </w:tcPr>
          <w:p w14:paraId="5CF0C9FB">
            <w:pPr>
              <w:pStyle w:val="34"/>
            </w:pPr>
            <w:r>
              <w:rPr>
                <w:rFonts w:hint="eastAsia"/>
              </w:rPr>
              <w:t>本项目协调性</w:t>
            </w:r>
          </w:p>
        </w:tc>
      </w:tr>
      <w:tr w14:paraId="572174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39" w:type="dxa"/>
            <w:vAlign w:val="center"/>
          </w:tcPr>
          <w:p w14:paraId="2FC1B55E">
            <w:pPr>
              <w:pStyle w:val="34"/>
            </w:pPr>
            <w:r>
              <w:rPr>
                <w:rFonts w:hint="eastAsia"/>
              </w:rPr>
              <w:t>海洋生态保护红线</w:t>
            </w:r>
          </w:p>
        </w:tc>
        <w:tc>
          <w:tcPr>
            <w:tcW w:w="5432" w:type="dxa"/>
            <w:vAlign w:val="center"/>
          </w:tcPr>
          <w:p w14:paraId="3557AF57">
            <w:pPr>
              <w:pStyle w:val="34"/>
            </w:pPr>
            <w:r>
              <w:rPr>
                <w:rFonts w:hint="eastAsia"/>
              </w:rPr>
              <w:t>1.海洋生态保护区按海洋生态红线要求管控，严格禁止开发性、生产性建设活动。原则上自然保护地核心保护区内禁止人为活动，其他区域在符合现行法律法规的前提下，除国家重大战略项目外，仅允许开展对生态功能不造成破坏的有限人为活动。</w:t>
            </w:r>
          </w:p>
          <w:p w14:paraId="7FEE6E6C">
            <w:pPr>
              <w:pStyle w:val="34"/>
            </w:pPr>
            <w:r>
              <w:rPr>
                <w:rFonts w:hint="eastAsia"/>
              </w:rPr>
              <w:t>2.海洋生态保护红线内的海洋开发利用活动不得采取填海造地和围海的用海方式；不得开展采挖海砂、海上倾废、炸岩炸礁、填海连岛、实体坝连岛、沙滩建造永久建筑物、毁林挖塘等造成海洋自然地形、地貌改变的活动；不得开展截断洄游通道、水下爆破施工及其他可能会影响资源育幼、索饵、产卵的开发活动。</w:t>
            </w:r>
          </w:p>
        </w:tc>
        <w:tc>
          <w:tcPr>
            <w:tcW w:w="2061" w:type="dxa"/>
            <w:vAlign w:val="center"/>
          </w:tcPr>
          <w:p w14:paraId="790F32EC">
            <w:pPr>
              <w:pStyle w:val="34"/>
            </w:pPr>
            <w:r>
              <w:rPr>
                <w:rFonts w:hint="eastAsia"/>
              </w:rPr>
              <w:t>本项目工程内容不涉及海洋生态保护红线，工程距离海洋生态保护红线最近距离约5.3km，工程建设对海洋生态保护红线海域基本无直接影响，与引导要求相符。</w:t>
            </w:r>
          </w:p>
        </w:tc>
      </w:tr>
    </w:tbl>
    <w:p w14:paraId="63D4106C">
      <w:pPr>
        <w:pStyle w:val="5"/>
      </w:pPr>
      <w:r>
        <w:t>养殖区</w:t>
      </w:r>
    </w:p>
    <w:p w14:paraId="5986E642">
      <w:pPr>
        <w:ind w:firstLine="494"/>
        <w:rPr>
          <w:u w:val="single"/>
        </w:rPr>
      </w:pPr>
      <w:r>
        <w:rPr>
          <w:u w:val="single"/>
        </w:rPr>
        <w:t>本项目位于《钦州市养殖水域滩涂规划（20</w:t>
      </w:r>
      <w:r>
        <w:rPr>
          <w:rFonts w:hint="eastAsia"/>
          <w:u w:val="single"/>
        </w:rPr>
        <w:t>25</w:t>
      </w:r>
      <w:r>
        <w:rPr>
          <w:u w:val="single"/>
        </w:rPr>
        <w:t>-20</w:t>
      </w:r>
      <w:r>
        <w:rPr>
          <w:rFonts w:hint="eastAsia"/>
          <w:u w:val="single"/>
        </w:rPr>
        <w:t>35</w:t>
      </w:r>
      <w:r>
        <w:rPr>
          <w:u w:val="single"/>
        </w:rPr>
        <w:t>）》中划定的1.2.1-2钦州港港口航运禁养区，项目</w:t>
      </w:r>
      <w:r>
        <w:rPr>
          <w:rFonts w:hint="eastAsia"/>
          <w:u w:val="single"/>
        </w:rPr>
        <w:t>周边海域</w:t>
      </w:r>
      <w:r>
        <w:rPr>
          <w:u w:val="single"/>
        </w:rPr>
        <w:t>涉及的养殖区划分情况详见表3.2-</w:t>
      </w:r>
      <w:r>
        <w:rPr>
          <w:rFonts w:hint="eastAsia"/>
          <w:u w:val="single"/>
        </w:rPr>
        <w:t>2</w:t>
      </w:r>
      <w:r>
        <w:rPr>
          <w:u w:val="single"/>
        </w:rPr>
        <w:t>。</w:t>
      </w:r>
    </w:p>
    <w:p w14:paraId="273C68D1">
      <w:pPr>
        <w:pStyle w:val="7"/>
        <w:rPr>
          <w:u w:val="single"/>
        </w:rPr>
      </w:pPr>
      <w:r>
        <w:rPr>
          <w:rFonts w:hint="eastAsia"/>
          <w:u w:val="single"/>
        </w:rPr>
        <w:t>项目周边海域</w:t>
      </w:r>
      <w:r>
        <w:rPr>
          <w:u w:val="single"/>
        </w:rPr>
        <w:t>涉及的养殖区划分情况及与项目位置关系一览表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07"/>
        <w:gridCol w:w="1080"/>
        <w:gridCol w:w="2944"/>
        <w:gridCol w:w="842"/>
        <w:gridCol w:w="2105"/>
        <w:gridCol w:w="868"/>
      </w:tblGrid>
      <w:tr w14:paraId="601E16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5" w:hRule="atLeast"/>
          <w:tblHeader/>
          <w:jc w:val="center"/>
        </w:trPr>
        <w:tc>
          <w:tcPr>
            <w:tcW w:w="466" w:type="pct"/>
            <w:tcMar>
              <w:left w:w="0" w:type="dxa"/>
              <w:right w:w="0" w:type="dxa"/>
            </w:tcMar>
            <w:vAlign w:val="center"/>
          </w:tcPr>
          <w:p w14:paraId="538DD08C">
            <w:pPr>
              <w:pStyle w:val="34"/>
              <w:rPr>
                <w:snapToGrid w:val="0"/>
                <w:u w:val="single"/>
              </w:rPr>
            </w:pPr>
            <w:r>
              <w:rPr>
                <w:snapToGrid w:val="0"/>
                <w:u w:val="single"/>
              </w:rPr>
              <w:t>代码</w:t>
            </w:r>
          </w:p>
        </w:tc>
        <w:tc>
          <w:tcPr>
            <w:tcW w:w="625" w:type="pct"/>
            <w:tcMar>
              <w:left w:w="0" w:type="dxa"/>
              <w:right w:w="0" w:type="dxa"/>
            </w:tcMar>
            <w:vAlign w:val="center"/>
          </w:tcPr>
          <w:p w14:paraId="028674AA">
            <w:pPr>
              <w:pStyle w:val="34"/>
              <w:rPr>
                <w:snapToGrid w:val="0"/>
                <w:u w:val="single"/>
              </w:rPr>
            </w:pPr>
            <w:r>
              <w:rPr>
                <w:snapToGrid w:val="0"/>
                <w:u w:val="single"/>
              </w:rPr>
              <w:t>功能区名称</w:t>
            </w:r>
          </w:p>
        </w:tc>
        <w:tc>
          <w:tcPr>
            <w:tcW w:w="1703" w:type="pct"/>
            <w:tcMar>
              <w:left w:w="0" w:type="dxa"/>
              <w:right w:w="0" w:type="dxa"/>
            </w:tcMar>
            <w:vAlign w:val="center"/>
          </w:tcPr>
          <w:p w14:paraId="7B363D26">
            <w:pPr>
              <w:pStyle w:val="34"/>
              <w:rPr>
                <w:snapToGrid w:val="0"/>
                <w:u w:val="single"/>
              </w:rPr>
            </w:pPr>
            <w:r>
              <w:rPr>
                <w:snapToGrid w:val="0"/>
                <w:u w:val="single"/>
              </w:rPr>
              <w:t>地理范围</w:t>
            </w:r>
          </w:p>
        </w:tc>
        <w:tc>
          <w:tcPr>
            <w:tcW w:w="487" w:type="pct"/>
            <w:tcMar>
              <w:left w:w="0" w:type="dxa"/>
              <w:right w:w="0" w:type="dxa"/>
            </w:tcMar>
            <w:vAlign w:val="center"/>
          </w:tcPr>
          <w:p w14:paraId="6AD4DF21">
            <w:pPr>
              <w:pStyle w:val="34"/>
              <w:rPr>
                <w:snapToGrid w:val="0"/>
                <w:u w:val="single"/>
              </w:rPr>
            </w:pPr>
            <w:r>
              <w:rPr>
                <w:snapToGrid w:val="0"/>
                <w:u w:val="single"/>
              </w:rPr>
              <w:t>面积</w:t>
            </w:r>
          </w:p>
          <w:p w14:paraId="0380DD5E">
            <w:pPr>
              <w:pStyle w:val="34"/>
              <w:rPr>
                <w:snapToGrid w:val="0"/>
                <w:u w:val="single"/>
              </w:rPr>
            </w:pPr>
            <w:r>
              <w:rPr>
                <w:rFonts w:hint="eastAsia"/>
                <w:snapToGrid w:val="0"/>
                <w:u w:val="single"/>
              </w:rPr>
              <w:t>(hm</w:t>
            </w:r>
            <w:r>
              <w:rPr>
                <w:rFonts w:hint="eastAsia"/>
                <w:snapToGrid w:val="0"/>
                <w:u w:val="single"/>
                <w:vertAlign w:val="superscript"/>
              </w:rPr>
              <w:t>2</w:t>
            </w:r>
            <w:r>
              <w:rPr>
                <w:rFonts w:hint="eastAsia"/>
                <w:snapToGrid w:val="0"/>
                <w:u w:val="single"/>
              </w:rPr>
              <w:t>)</w:t>
            </w:r>
          </w:p>
        </w:tc>
        <w:tc>
          <w:tcPr>
            <w:tcW w:w="1217" w:type="pct"/>
            <w:tcMar>
              <w:left w:w="0" w:type="dxa"/>
              <w:right w:w="0" w:type="dxa"/>
            </w:tcMar>
            <w:vAlign w:val="center"/>
          </w:tcPr>
          <w:p w14:paraId="01B913AD">
            <w:pPr>
              <w:pStyle w:val="34"/>
              <w:rPr>
                <w:snapToGrid w:val="0"/>
                <w:u w:val="single"/>
              </w:rPr>
            </w:pPr>
            <w:r>
              <w:rPr>
                <w:snapToGrid w:val="0"/>
                <w:u w:val="single"/>
              </w:rPr>
              <w:t>管理要求</w:t>
            </w:r>
          </w:p>
        </w:tc>
        <w:tc>
          <w:tcPr>
            <w:tcW w:w="502" w:type="pct"/>
            <w:tcMar>
              <w:left w:w="0" w:type="dxa"/>
              <w:right w:w="0" w:type="dxa"/>
            </w:tcMar>
            <w:vAlign w:val="center"/>
          </w:tcPr>
          <w:p w14:paraId="343493FD">
            <w:pPr>
              <w:pStyle w:val="34"/>
              <w:rPr>
                <w:snapToGrid w:val="0"/>
                <w:u w:val="single"/>
              </w:rPr>
            </w:pPr>
            <w:r>
              <w:rPr>
                <w:snapToGrid w:val="0"/>
                <w:u w:val="single"/>
              </w:rPr>
              <w:t>与</w:t>
            </w:r>
            <w:r>
              <w:rPr>
                <w:rFonts w:hint="eastAsia"/>
                <w:snapToGrid w:val="0"/>
                <w:u w:val="single"/>
              </w:rPr>
              <w:t>本项目</w:t>
            </w:r>
            <w:r>
              <w:rPr>
                <w:snapToGrid w:val="0"/>
                <w:u w:val="single"/>
              </w:rPr>
              <w:t>位置关系</w:t>
            </w:r>
          </w:p>
        </w:tc>
      </w:tr>
      <w:tr w14:paraId="4A593A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466" w:type="pct"/>
            <w:tcMar>
              <w:left w:w="0" w:type="dxa"/>
              <w:right w:w="0" w:type="dxa"/>
            </w:tcMar>
            <w:vAlign w:val="center"/>
          </w:tcPr>
          <w:p w14:paraId="7D641290">
            <w:pPr>
              <w:pStyle w:val="34"/>
              <w:rPr>
                <w:snapToGrid w:val="0"/>
                <w:u w:val="single"/>
              </w:rPr>
            </w:pPr>
            <w:r>
              <w:rPr>
                <w:rFonts w:hint="eastAsia"/>
                <w:snapToGrid w:val="0"/>
                <w:u w:val="single"/>
              </w:rPr>
              <w:t>3.1.1-1</w:t>
            </w:r>
          </w:p>
        </w:tc>
        <w:tc>
          <w:tcPr>
            <w:tcW w:w="625" w:type="pct"/>
            <w:tcMar>
              <w:left w:w="0" w:type="dxa"/>
              <w:right w:w="0" w:type="dxa"/>
            </w:tcMar>
            <w:vAlign w:val="center"/>
          </w:tcPr>
          <w:p w14:paraId="032922CA">
            <w:pPr>
              <w:pStyle w:val="34"/>
              <w:rPr>
                <w:u w:val="single"/>
              </w:rPr>
            </w:pPr>
            <w:r>
              <w:rPr>
                <w:rFonts w:hint="eastAsia"/>
                <w:u w:val="single"/>
              </w:rPr>
              <w:t>茅尾海浅海滩涂养殖区</w:t>
            </w:r>
          </w:p>
        </w:tc>
        <w:tc>
          <w:tcPr>
            <w:tcW w:w="1703" w:type="pct"/>
            <w:tcMar>
              <w:left w:w="0" w:type="dxa"/>
              <w:right w:w="0" w:type="dxa"/>
            </w:tcMar>
            <w:vAlign w:val="center"/>
          </w:tcPr>
          <w:p w14:paraId="5C285841">
            <w:pPr>
              <w:pStyle w:val="34"/>
              <w:rPr>
                <w:u w:val="single"/>
              </w:rPr>
            </w:pPr>
            <w:r>
              <w:rPr>
                <w:rFonts w:hint="eastAsia"/>
                <w:u w:val="single"/>
              </w:rPr>
              <w:t>茅岭江航道北部，国家级海洋公园北部及西部浅海滩涂海域。</w:t>
            </w:r>
          </w:p>
        </w:tc>
        <w:tc>
          <w:tcPr>
            <w:tcW w:w="487" w:type="pct"/>
            <w:tcMar>
              <w:left w:w="0" w:type="dxa"/>
              <w:right w:w="0" w:type="dxa"/>
            </w:tcMar>
            <w:vAlign w:val="center"/>
          </w:tcPr>
          <w:p w14:paraId="12CE8A4A">
            <w:pPr>
              <w:pStyle w:val="34"/>
              <w:rPr>
                <w:u w:val="single"/>
              </w:rPr>
            </w:pPr>
            <w:r>
              <w:rPr>
                <w:rFonts w:hint="eastAsia"/>
                <w:u w:val="single"/>
              </w:rPr>
              <w:t>642.227</w:t>
            </w:r>
          </w:p>
        </w:tc>
        <w:tc>
          <w:tcPr>
            <w:tcW w:w="1217" w:type="pct"/>
            <w:tcMar>
              <w:left w:w="0" w:type="dxa"/>
              <w:right w:w="0" w:type="dxa"/>
            </w:tcMar>
            <w:vAlign w:val="center"/>
          </w:tcPr>
          <w:p w14:paraId="189BE6BE">
            <w:pPr>
              <w:pStyle w:val="34"/>
              <w:rPr>
                <w:u w:val="single"/>
              </w:rPr>
            </w:pPr>
            <w:r>
              <w:rPr>
                <w:rFonts w:hint="eastAsia"/>
                <w:u w:val="single"/>
              </w:rPr>
              <w:t>功能设置为近江牡蛎浮筏吊养殖。海水水质执行不劣于二类标准，海洋沉积物和海洋生物执行二类标准。</w:t>
            </w:r>
          </w:p>
        </w:tc>
        <w:tc>
          <w:tcPr>
            <w:tcW w:w="502" w:type="pct"/>
            <w:tcMar>
              <w:left w:w="0" w:type="dxa"/>
              <w:right w:w="0" w:type="dxa"/>
            </w:tcMar>
            <w:vAlign w:val="center"/>
          </w:tcPr>
          <w:p w14:paraId="2FEFC0CB">
            <w:pPr>
              <w:pStyle w:val="34"/>
              <w:rPr>
                <w:snapToGrid w:val="0"/>
                <w:u w:val="single"/>
              </w:rPr>
            </w:pPr>
            <w:r>
              <w:rPr>
                <w:snapToGrid w:val="0"/>
                <w:u w:val="single"/>
              </w:rPr>
              <w:t>NW</w:t>
            </w:r>
            <w:r>
              <w:rPr>
                <w:rFonts w:hint="eastAsia"/>
                <w:snapToGrid w:val="0"/>
                <w:u w:val="single"/>
              </w:rPr>
              <w:t>，</w:t>
            </w:r>
          </w:p>
          <w:p w14:paraId="1BC40750">
            <w:pPr>
              <w:pStyle w:val="34"/>
              <w:rPr>
                <w:snapToGrid w:val="0"/>
                <w:u w:val="single"/>
              </w:rPr>
            </w:pPr>
            <w:r>
              <w:rPr>
                <w:rFonts w:hint="eastAsia"/>
                <w:snapToGrid w:val="0"/>
                <w:u w:val="single"/>
              </w:rPr>
              <w:t>17.5km</w:t>
            </w:r>
          </w:p>
        </w:tc>
      </w:tr>
      <w:tr w14:paraId="3A192C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466" w:type="pct"/>
            <w:tcMar>
              <w:left w:w="0" w:type="dxa"/>
              <w:right w:w="0" w:type="dxa"/>
            </w:tcMar>
            <w:vAlign w:val="center"/>
          </w:tcPr>
          <w:p w14:paraId="5C1A3122">
            <w:pPr>
              <w:pStyle w:val="34"/>
              <w:rPr>
                <w:snapToGrid w:val="0"/>
                <w:u w:val="single"/>
              </w:rPr>
            </w:pPr>
            <w:r>
              <w:rPr>
                <w:rFonts w:hint="eastAsia"/>
                <w:snapToGrid w:val="0"/>
                <w:u w:val="single"/>
              </w:rPr>
              <w:t>3.1.1-2</w:t>
            </w:r>
          </w:p>
        </w:tc>
        <w:tc>
          <w:tcPr>
            <w:tcW w:w="625" w:type="pct"/>
            <w:tcMar>
              <w:left w:w="0" w:type="dxa"/>
              <w:right w:w="0" w:type="dxa"/>
            </w:tcMar>
            <w:vAlign w:val="center"/>
          </w:tcPr>
          <w:p w14:paraId="73DBBC31">
            <w:pPr>
              <w:pStyle w:val="34"/>
              <w:rPr>
                <w:u w:val="single"/>
              </w:rPr>
            </w:pPr>
            <w:r>
              <w:rPr>
                <w:rFonts w:hint="eastAsia"/>
                <w:u w:val="single"/>
              </w:rPr>
              <w:t>龙门岛浅海滩涂养殖区</w:t>
            </w:r>
          </w:p>
        </w:tc>
        <w:tc>
          <w:tcPr>
            <w:tcW w:w="1703" w:type="pct"/>
            <w:tcMar>
              <w:left w:w="0" w:type="dxa"/>
              <w:right w:w="0" w:type="dxa"/>
            </w:tcMar>
            <w:vAlign w:val="center"/>
          </w:tcPr>
          <w:p w14:paraId="4FCF91A5">
            <w:pPr>
              <w:pStyle w:val="34"/>
              <w:rPr>
                <w:u w:val="single"/>
              </w:rPr>
            </w:pPr>
            <w:r>
              <w:rPr>
                <w:rFonts w:hint="eastAsia"/>
                <w:u w:val="single"/>
              </w:rPr>
              <w:t>龙门群岛及周边海域，包括茅岭港航道南，西至平石江，南邻防城海域，东至龙门港航道的海域</w:t>
            </w:r>
          </w:p>
        </w:tc>
        <w:tc>
          <w:tcPr>
            <w:tcW w:w="487" w:type="pct"/>
            <w:tcMar>
              <w:left w:w="0" w:type="dxa"/>
              <w:right w:w="0" w:type="dxa"/>
            </w:tcMar>
            <w:vAlign w:val="center"/>
          </w:tcPr>
          <w:p w14:paraId="69134BDE">
            <w:pPr>
              <w:pStyle w:val="34"/>
              <w:rPr>
                <w:u w:val="single"/>
              </w:rPr>
            </w:pPr>
            <w:r>
              <w:rPr>
                <w:rFonts w:hint="eastAsia"/>
                <w:u w:val="single"/>
              </w:rPr>
              <w:t>819.8285</w:t>
            </w:r>
          </w:p>
        </w:tc>
        <w:tc>
          <w:tcPr>
            <w:tcW w:w="1217" w:type="pct"/>
            <w:tcMar>
              <w:left w:w="0" w:type="dxa"/>
              <w:right w:w="0" w:type="dxa"/>
            </w:tcMar>
            <w:vAlign w:val="center"/>
          </w:tcPr>
          <w:p w14:paraId="24527731">
            <w:pPr>
              <w:pStyle w:val="34"/>
              <w:rPr>
                <w:u w:val="single"/>
              </w:rPr>
            </w:pPr>
            <w:r>
              <w:rPr>
                <w:rFonts w:hint="eastAsia"/>
                <w:u w:val="single"/>
              </w:rPr>
              <w:t>西村岛北部和西部功能设置为贝类滩涂养殖、贝类吊养殖、网箱鱼类养殖。南部功能设置为贝类滩涂养殖，限制贝类吊养殖和网箱鱼类养殖数量。养殖行为必须遵守有关航道管理规定，不劣于二类水质。</w:t>
            </w:r>
          </w:p>
        </w:tc>
        <w:tc>
          <w:tcPr>
            <w:tcW w:w="502" w:type="pct"/>
            <w:tcMar>
              <w:left w:w="0" w:type="dxa"/>
              <w:right w:w="0" w:type="dxa"/>
            </w:tcMar>
            <w:vAlign w:val="center"/>
          </w:tcPr>
          <w:p w14:paraId="0AB349BA">
            <w:pPr>
              <w:pStyle w:val="34"/>
              <w:rPr>
                <w:snapToGrid w:val="0"/>
                <w:u w:val="single"/>
              </w:rPr>
            </w:pPr>
            <w:r>
              <w:rPr>
                <w:snapToGrid w:val="0"/>
                <w:u w:val="single"/>
              </w:rPr>
              <w:t>NWW</w:t>
            </w:r>
            <w:r>
              <w:rPr>
                <w:rFonts w:hint="eastAsia"/>
                <w:snapToGrid w:val="0"/>
                <w:u w:val="single"/>
              </w:rPr>
              <w:t>，</w:t>
            </w:r>
          </w:p>
          <w:p w14:paraId="1B201D85">
            <w:pPr>
              <w:pStyle w:val="34"/>
              <w:rPr>
                <w:snapToGrid w:val="0"/>
                <w:u w:val="single"/>
              </w:rPr>
            </w:pPr>
            <w:r>
              <w:rPr>
                <w:rFonts w:hint="eastAsia"/>
                <w:snapToGrid w:val="0"/>
                <w:u w:val="single"/>
              </w:rPr>
              <w:t>16.2km</w:t>
            </w:r>
          </w:p>
        </w:tc>
      </w:tr>
      <w:tr w14:paraId="5ACE62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466" w:type="pct"/>
            <w:tcMar>
              <w:left w:w="0" w:type="dxa"/>
              <w:right w:w="0" w:type="dxa"/>
            </w:tcMar>
            <w:vAlign w:val="center"/>
          </w:tcPr>
          <w:p w14:paraId="72D07C50">
            <w:pPr>
              <w:pStyle w:val="34"/>
              <w:rPr>
                <w:snapToGrid w:val="0"/>
                <w:u w:val="single"/>
              </w:rPr>
            </w:pPr>
            <w:r>
              <w:rPr>
                <w:snapToGrid w:val="0"/>
                <w:u w:val="single"/>
              </w:rPr>
              <w:t>3.1.1-3</w:t>
            </w:r>
          </w:p>
        </w:tc>
        <w:tc>
          <w:tcPr>
            <w:tcW w:w="625" w:type="pct"/>
            <w:tcMar>
              <w:left w:w="0" w:type="dxa"/>
              <w:right w:w="0" w:type="dxa"/>
            </w:tcMar>
            <w:vAlign w:val="center"/>
          </w:tcPr>
          <w:p w14:paraId="433DF2A3">
            <w:pPr>
              <w:pStyle w:val="34"/>
              <w:rPr>
                <w:u w:val="single"/>
              </w:rPr>
            </w:pPr>
            <w:r>
              <w:rPr>
                <w:u w:val="single"/>
              </w:rPr>
              <w:t>钦州港青菜头南</w:t>
            </w:r>
            <w:r>
              <w:rPr>
                <w:spacing w:val="-95"/>
                <w:u w:val="single"/>
              </w:rPr>
              <w:t xml:space="preserve"> </w:t>
            </w:r>
            <w:r>
              <w:rPr>
                <w:u w:val="single"/>
              </w:rPr>
              <w:t>浅海滩涂养殖区</w:t>
            </w:r>
          </w:p>
        </w:tc>
        <w:tc>
          <w:tcPr>
            <w:tcW w:w="1703" w:type="pct"/>
            <w:tcMar>
              <w:left w:w="0" w:type="dxa"/>
              <w:right w:w="0" w:type="dxa"/>
            </w:tcMar>
            <w:vAlign w:val="center"/>
          </w:tcPr>
          <w:p w14:paraId="3A922E82">
            <w:pPr>
              <w:pStyle w:val="34"/>
              <w:rPr>
                <w:u w:val="single"/>
              </w:rPr>
            </w:pPr>
            <w:r>
              <w:rPr>
                <w:rFonts w:hint="eastAsia"/>
                <w:u w:val="single"/>
              </w:rPr>
              <w:t>西航道以东，传统中航道以西，北至青菜头，南至伞沙尾海域</w:t>
            </w:r>
          </w:p>
        </w:tc>
        <w:tc>
          <w:tcPr>
            <w:tcW w:w="487" w:type="pct"/>
            <w:tcMar>
              <w:left w:w="0" w:type="dxa"/>
              <w:right w:w="0" w:type="dxa"/>
            </w:tcMar>
            <w:vAlign w:val="center"/>
          </w:tcPr>
          <w:p w14:paraId="150EFC28">
            <w:pPr>
              <w:pStyle w:val="34"/>
              <w:rPr>
                <w:u w:val="single"/>
              </w:rPr>
            </w:pPr>
            <w:r>
              <w:rPr>
                <w:rFonts w:hint="eastAsia"/>
                <w:u w:val="single"/>
              </w:rPr>
              <w:t>4731.4958</w:t>
            </w:r>
          </w:p>
        </w:tc>
        <w:tc>
          <w:tcPr>
            <w:tcW w:w="1217" w:type="pct"/>
            <w:tcMar>
              <w:left w:w="0" w:type="dxa"/>
              <w:right w:w="0" w:type="dxa"/>
            </w:tcMar>
            <w:vAlign w:val="center"/>
          </w:tcPr>
          <w:p w14:paraId="7AEC5695">
            <w:pPr>
              <w:pStyle w:val="34"/>
              <w:rPr>
                <w:u w:val="single"/>
              </w:rPr>
            </w:pPr>
            <w:r>
              <w:rPr>
                <w:rFonts w:hint="eastAsia"/>
                <w:u w:val="single"/>
              </w:rPr>
              <w:t>功能设置为贝类浮筏吊养殖、底播养殖，网箱鱼类养殖。海水水质执行不劣于二类标准，海洋沉积物和海洋生物执行一类标准。该海域后续若有港口建设使用需要，养殖退出。</w:t>
            </w:r>
          </w:p>
        </w:tc>
        <w:tc>
          <w:tcPr>
            <w:tcW w:w="502" w:type="pct"/>
            <w:tcMar>
              <w:left w:w="0" w:type="dxa"/>
              <w:right w:w="0" w:type="dxa"/>
            </w:tcMar>
            <w:vAlign w:val="center"/>
          </w:tcPr>
          <w:p w14:paraId="57C279FA">
            <w:pPr>
              <w:pStyle w:val="34"/>
              <w:rPr>
                <w:snapToGrid w:val="0"/>
                <w:u w:val="single"/>
              </w:rPr>
            </w:pPr>
            <w:r>
              <w:rPr>
                <w:rFonts w:hint="eastAsia"/>
                <w:snapToGrid w:val="0"/>
                <w:u w:val="single"/>
              </w:rPr>
              <w:t>W，2.5</w:t>
            </w:r>
            <w:r>
              <w:rPr>
                <w:snapToGrid w:val="0"/>
                <w:u w:val="single"/>
              </w:rPr>
              <w:t>km</w:t>
            </w:r>
          </w:p>
        </w:tc>
      </w:tr>
      <w:tr w14:paraId="301875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466" w:type="pct"/>
            <w:tcMar>
              <w:left w:w="0" w:type="dxa"/>
              <w:right w:w="0" w:type="dxa"/>
            </w:tcMar>
            <w:vAlign w:val="center"/>
          </w:tcPr>
          <w:p w14:paraId="3AAE83E3">
            <w:pPr>
              <w:pStyle w:val="34"/>
              <w:rPr>
                <w:snapToGrid w:val="0"/>
                <w:u w:val="single"/>
              </w:rPr>
            </w:pPr>
            <w:r>
              <w:rPr>
                <w:rFonts w:hint="eastAsia"/>
                <w:snapToGrid w:val="0"/>
                <w:u w:val="single"/>
              </w:rPr>
              <w:t>3.1.1-5</w:t>
            </w:r>
          </w:p>
        </w:tc>
        <w:tc>
          <w:tcPr>
            <w:tcW w:w="625" w:type="pct"/>
            <w:tcMar>
              <w:left w:w="0" w:type="dxa"/>
              <w:right w:w="0" w:type="dxa"/>
            </w:tcMar>
            <w:vAlign w:val="center"/>
          </w:tcPr>
          <w:p w14:paraId="54068124">
            <w:pPr>
              <w:pStyle w:val="34"/>
              <w:rPr>
                <w:u w:val="single"/>
              </w:rPr>
            </w:pPr>
            <w:r>
              <w:rPr>
                <w:rFonts w:hint="eastAsia"/>
                <w:u w:val="single"/>
              </w:rPr>
              <w:t>三娘湾南离岸浅海养殖区</w:t>
            </w:r>
          </w:p>
        </w:tc>
        <w:tc>
          <w:tcPr>
            <w:tcW w:w="1703" w:type="pct"/>
            <w:tcMar>
              <w:left w:w="0" w:type="dxa"/>
              <w:right w:w="0" w:type="dxa"/>
            </w:tcMar>
            <w:vAlign w:val="center"/>
          </w:tcPr>
          <w:p w14:paraId="18952E94">
            <w:pPr>
              <w:pStyle w:val="34"/>
              <w:rPr>
                <w:u w:val="single"/>
              </w:rPr>
            </w:pPr>
            <w:r>
              <w:rPr>
                <w:u w:val="single"/>
              </w:rPr>
              <w:t>108</w:t>
            </w:r>
            <w:r>
              <w:rPr>
                <w:rFonts w:hint="eastAsia"/>
                <w:u w:val="single"/>
              </w:rPr>
              <w:t>北至三娘湾，西至大庙墩，东邻合浦海域，南邻外海离岸浅海养殖区海域。</w:t>
            </w:r>
            <w:r>
              <w:rPr>
                <w:rFonts w:hint="eastAsia"/>
                <w:u w:val="single"/>
              </w:rPr>
              <w:tab/>
            </w:r>
            <w:r>
              <w:rPr>
                <w:rFonts w:hint="eastAsia"/>
                <w:u w:val="single"/>
              </w:rPr>
              <w:t>30185.0377</w:t>
            </w:r>
            <w:r>
              <w:rPr>
                <w:rFonts w:hint="eastAsia"/>
                <w:u w:val="single"/>
              </w:rPr>
              <w:tab/>
            </w:r>
            <w:r>
              <w:rPr>
                <w:rFonts w:hint="eastAsia"/>
                <w:u w:val="single"/>
              </w:rPr>
              <w:t>功能设置为贝类浅海底播养殖、贝类浮筏吊养殖、深水抗风浪网箱鱼类养殖、行架式网箱养殖、人工渔礁增殖。海水水质执行不劣于二类标准，海洋沉积物和海洋生物执行一类标准。</w:t>
            </w:r>
            <w:r>
              <w:rPr>
                <w:u w:val="single"/>
              </w:rPr>
              <w:t>°44′04″；108°51′33″；21°21′58″；21°30′48″</w:t>
            </w:r>
          </w:p>
        </w:tc>
        <w:tc>
          <w:tcPr>
            <w:tcW w:w="487" w:type="pct"/>
            <w:tcMar>
              <w:left w:w="0" w:type="dxa"/>
              <w:right w:w="0" w:type="dxa"/>
            </w:tcMar>
            <w:vAlign w:val="center"/>
          </w:tcPr>
          <w:p w14:paraId="2E2897D8">
            <w:pPr>
              <w:pStyle w:val="34"/>
              <w:rPr>
                <w:u w:val="single"/>
              </w:rPr>
            </w:pPr>
            <w:r>
              <w:rPr>
                <w:u w:val="single"/>
              </w:rPr>
              <w:t>16449</w:t>
            </w:r>
          </w:p>
        </w:tc>
        <w:tc>
          <w:tcPr>
            <w:tcW w:w="1217" w:type="pct"/>
            <w:tcMar>
              <w:left w:w="0" w:type="dxa"/>
              <w:right w:w="0" w:type="dxa"/>
            </w:tcMar>
            <w:vAlign w:val="center"/>
          </w:tcPr>
          <w:p w14:paraId="6655F629">
            <w:pPr>
              <w:pStyle w:val="34"/>
              <w:rPr>
                <w:u w:val="single"/>
              </w:rPr>
            </w:pPr>
            <w:r>
              <w:rPr>
                <w:rFonts w:hint="eastAsia"/>
                <w:u w:val="single"/>
              </w:rPr>
              <w:t>贝类浅海底播养殖、贝类浮筏吊养殖、深水抗风浪网箱鱼类养殖、渔礁增殖。海水水质执行不劣于二类标准，海洋沉积物和海洋生物执行一类标准。</w:t>
            </w:r>
          </w:p>
        </w:tc>
        <w:tc>
          <w:tcPr>
            <w:tcW w:w="502" w:type="pct"/>
            <w:tcMar>
              <w:left w:w="0" w:type="dxa"/>
              <w:right w:w="0" w:type="dxa"/>
            </w:tcMar>
            <w:vAlign w:val="center"/>
          </w:tcPr>
          <w:p w14:paraId="0AD161AF">
            <w:pPr>
              <w:pStyle w:val="34"/>
              <w:rPr>
                <w:snapToGrid w:val="0"/>
                <w:u w:val="single"/>
              </w:rPr>
            </w:pPr>
            <w:r>
              <w:rPr>
                <w:snapToGrid w:val="0"/>
                <w:u w:val="single"/>
              </w:rPr>
              <w:t>SE，</w:t>
            </w:r>
          </w:p>
          <w:p w14:paraId="1D9D2170">
            <w:pPr>
              <w:pStyle w:val="34"/>
              <w:rPr>
                <w:snapToGrid w:val="0"/>
                <w:u w:val="single"/>
              </w:rPr>
            </w:pPr>
            <w:r>
              <w:rPr>
                <w:rFonts w:hint="eastAsia"/>
                <w:snapToGrid w:val="0"/>
                <w:u w:val="single"/>
              </w:rPr>
              <w:t>18.5km</w:t>
            </w:r>
          </w:p>
        </w:tc>
      </w:tr>
    </w:tbl>
    <w:p w14:paraId="78B4D5CB">
      <w:pPr>
        <w:pStyle w:val="4"/>
      </w:pPr>
      <w:bookmarkStart w:id="344" w:name="_Toc198042321"/>
      <w:bookmarkStart w:id="345" w:name="_Toc217977917"/>
      <w:r>
        <w:t>海洋环境现状调查</w:t>
      </w:r>
      <w:bookmarkEnd w:id="344"/>
      <w:bookmarkEnd w:id="345"/>
    </w:p>
    <w:p w14:paraId="1E12783B">
      <w:pPr>
        <w:ind w:firstLine="494"/>
      </w:pPr>
      <w:r>
        <w:t>项目海洋环境现状调查与评价</w:t>
      </w:r>
      <w:r>
        <w:rPr>
          <w:rFonts w:hint="eastAsia"/>
        </w:rPr>
        <w:t>引用并摘录</w:t>
      </w:r>
      <w:bookmarkStart w:id="346" w:name="OLE_LINK95"/>
      <w:r>
        <w:rPr>
          <w:rFonts w:hint="eastAsia"/>
        </w:rPr>
        <w:t>钦州港“十四五”拟建项目海洋水文动力、海洋环境与渔业资源现状调查监测报告中的调查结果</w:t>
      </w:r>
      <w:bookmarkEnd w:id="346"/>
      <w:r>
        <w:rPr>
          <w:rFonts w:hint="eastAsia"/>
        </w:rPr>
        <w:t>。引用数据在钦州港区域内共布设</w:t>
      </w:r>
      <w:r>
        <w:rPr>
          <w:rFonts w:hint="eastAsia"/>
          <w:lang w:bidi="zh-CN"/>
        </w:rPr>
        <w:t>48</w:t>
      </w:r>
      <w:r>
        <w:rPr>
          <w:lang w:bidi="zh-CN"/>
        </w:rPr>
        <w:t>个站位</w:t>
      </w:r>
      <w:r>
        <w:rPr>
          <w:rFonts w:hint="eastAsia"/>
          <w:lang w:bidi="zh-CN"/>
        </w:rPr>
        <w:t>并全部开展水质监测，其中沉积物监测点位24个、水生生态调查站位29个。本次评价确定的</w:t>
      </w:r>
      <w:bookmarkStart w:id="347" w:name="OLE_LINK168"/>
      <w:r>
        <w:rPr>
          <w:rFonts w:hint="eastAsia"/>
          <w:lang w:bidi="zh-CN"/>
        </w:rPr>
        <w:t>海洋生态评价范围</w:t>
      </w:r>
      <w:bookmarkEnd w:id="347"/>
      <w:r>
        <w:rPr>
          <w:rFonts w:hint="eastAsia"/>
          <w:lang w:bidi="zh-CN"/>
        </w:rPr>
        <w:t>为沿潮流方向向外海、茅尾海方向延伸约12km以及至海岸线形成的围合区域，本次海洋生态评价范围分布水质调查站位32个、沉积物监测站位17个、水生生态调查站位18个，调查站位在评价范围内均匀覆盖，满足《环境影响评价技术导则 海洋生态环境》（HJ 1409-2025）现状调查站位数量要求。</w:t>
      </w:r>
    </w:p>
    <w:p w14:paraId="459B3484">
      <w:pPr>
        <w:pStyle w:val="5"/>
      </w:pPr>
      <w:r>
        <w:t>海水水质现状调查与评价</w:t>
      </w:r>
    </w:p>
    <w:p w14:paraId="6E3A97EC">
      <w:pPr>
        <w:keepNext/>
        <w:keepLines/>
        <w:numPr>
          <w:ilvl w:val="0"/>
          <w:numId w:val="51"/>
        </w:numPr>
        <w:tabs>
          <w:tab w:val="left" w:pos="360"/>
        </w:tabs>
        <w:snapToGrid w:val="0"/>
        <w:spacing w:before="280" w:after="290" w:line="376" w:lineRule="auto"/>
        <w:ind w:firstLineChars="0"/>
        <w:outlineLvl w:val="4"/>
        <w:rPr>
          <w:b/>
          <w:vanish/>
          <w:sz w:val="28"/>
          <w:lang w:bidi="zh-CN"/>
        </w:rPr>
      </w:pPr>
    </w:p>
    <w:p w14:paraId="58E32F1F">
      <w:pPr>
        <w:keepNext/>
        <w:keepLines/>
        <w:numPr>
          <w:ilvl w:val="0"/>
          <w:numId w:val="51"/>
        </w:numPr>
        <w:tabs>
          <w:tab w:val="left" w:pos="360"/>
        </w:tabs>
        <w:snapToGrid w:val="0"/>
        <w:spacing w:before="280" w:after="290" w:line="376" w:lineRule="auto"/>
        <w:ind w:firstLineChars="0"/>
        <w:outlineLvl w:val="4"/>
        <w:rPr>
          <w:b/>
          <w:vanish/>
          <w:sz w:val="28"/>
          <w:lang w:bidi="zh-CN"/>
        </w:rPr>
      </w:pPr>
    </w:p>
    <w:p w14:paraId="1E9391CE">
      <w:pPr>
        <w:keepNext/>
        <w:keepLines/>
        <w:numPr>
          <w:ilvl w:val="0"/>
          <w:numId w:val="51"/>
        </w:numPr>
        <w:tabs>
          <w:tab w:val="left" w:pos="360"/>
        </w:tabs>
        <w:snapToGrid w:val="0"/>
        <w:spacing w:before="280" w:after="290" w:line="376" w:lineRule="auto"/>
        <w:ind w:firstLineChars="0"/>
        <w:outlineLvl w:val="4"/>
        <w:rPr>
          <w:b/>
          <w:vanish/>
          <w:sz w:val="28"/>
          <w:lang w:bidi="zh-CN"/>
        </w:rPr>
      </w:pPr>
    </w:p>
    <w:p w14:paraId="1E4D41A3">
      <w:pPr>
        <w:keepNext/>
        <w:keepLines/>
        <w:numPr>
          <w:ilvl w:val="1"/>
          <w:numId w:val="51"/>
        </w:numPr>
        <w:tabs>
          <w:tab w:val="left" w:pos="360"/>
        </w:tabs>
        <w:snapToGrid w:val="0"/>
        <w:spacing w:before="280" w:after="290" w:line="376" w:lineRule="auto"/>
        <w:ind w:firstLineChars="0"/>
        <w:outlineLvl w:val="4"/>
        <w:rPr>
          <w:b/>
          <w:vanish/>
          <w:sz w:val="28"/>
          <w:lang w:bidi="zh-CN"/>
        </w:rPr>
      </w:pPr>
    </w:p>
    <w:p w14:paraId="14DBCDBA">
      <w:pPr>
        <w:keepNext/>
        <w:keepLines/>
        <w:numPr>
          <w:ilvl w:val="1"/>
          <w:numId w:val="51"/>
        </w:numPr>
        <w:tabs>
          <w:tab w:val="left" w:pos="360"/>
        </w:tabs>
        <w:snapToGrid w:val="0"/>
        <w:spacing w:before="280" w:after="290" w:line="376" w:lineRule="auto"/>
        <w:ind w:firstLineChars="0"/>
        <w:outlineLvl w:val="4"/>
        <w:rPr>
          <w:b/>
          <w:vanish/>
          <w:sz w:val="28"/>
          <w:lang w:bidi="zh-CN"/>
        </w:rPr>
      </w:pPr>
    </w:p>
    <w:p w14:paraId="4F70254C">
      <w:pPr>
        <w:keepNext/>
        <w:keepLines/>
        <w:numPr>
          <w:ilvl w:val="1"/>
          <w:numId w:val="51"/>
        </w:numPr>
        <w:tabs>
          <w:tab w:val="left" w:pos="360"/>
        </w:tabs>
        <w:snapToGrid w:val="0"/>
        <w:spacing w:before="280" w:after="290" w:line="376" w:lineRule="auto"/>
        <w:ind w:firstLineChars="0"/>
        <w:outlineLvl w:val="4"/>
        <w:rPr>
          <w:b/>
          <w:vanish/>
          <w:sz w:val="28"/>
          <w:lang w:bidi="zh-CN"/>
        </w:rPr>
      </w:pPr>
    </w:p>
    <w:p w14:paraId="1C53AE73">
      <w:pPr>
        <w:keepNext/>
        <w:keepLines/>
        <w:numPr>
          <w:ilvl w:val="2"/>
          <w:numId w:val="51"/>
        </w:numPr>
        <w:tabs>
          <w:tab w:val="left" w:pos="360"/>
        </w:tabs>
        <w:snapToGrid w:val="0"/>
        <w:spacing w:before="280" w:after="290" w:line="376" w:lineRule="auto"/>
        <w:ind w:firstLineChars="0"/>
        <w:outlineLvl w:val="4"/>
        <w:rPr>
          <w:b/>
          <w:vanish/>
          <w:sz w:val="28"/>
          <w:lang w:bidi="zh-CN"/>
        </w:rPr>
      </w:pPr>
    </w:p>
    <w:p w14:paraId="51584373">
      <w:pPr>
        <w:keepNext/>
        <w:keepLines/>
        <w:numPr>
          <w:ilvl w:val="3"/>
          <w:numId w:val="51"/>
        </w:numPr>
        <w:tabs>
          <w:tab w:val="left" w:pos="360"/>
        </w:tabs>
        <w:snapToGrid w:val="0"/>
        <w:spacing w:before="280" w:after="290" w:line="376" w:lineRule="auto"/>
        <w:ind w:firstLineChars="0"/>
        <w:outlineLvl w:val="4"/>
        <w:rPr>
          <w:b/>
          <w:vanish/>
          <w:sz w:val="28"/>
          <w:lang w:bidi="zh-CN"/>
        </w:rPr>
      </w:pPr>
    </w:p>
    <w:p w14:paraId="42206C2B">
      <w:pPr>
        <w:pStyle w:val="6"/>
      </w:pPr>
      <w:r>
        <w:t>调查站位布设</w:t>
      </w:r>
    </w:p>
    <w:p w14:paraId="3AF67C5B">
      <w:pPr>
        <w:pStyle w:val="6"/>
      </w:pPr>
      <w:r>
        <w:rPr>
          <w:rFonts w:hint="eastAsia"/>
        </w:rPr>
        <w:t>水质监测及评价结果</w:t>
      </w:r>
    </w:p>
    <w:p w14:paraId="18827EB6">
      <w:pPr>
        <w:ind w:firstLine="494"/>
        <w:rPr>
          <w:lang w:bidi="zh-CN"/>
        </w:rPr>
      </w:pPr>
      <w:r>
        <w:rPr>
          <w:lang w:bidi="zh-CN"/>
        </w:rPr>
        <w:t>海水水质调查结果见表3.3-</w:t>
      </w:r>
      <w:r>
        <w:rPr>
          <w:rFonts w:hint="eastAsia"/>
          <w:lang w:bidi="zh-CN"/>
        </w:rPr>
        <w:t>3，质量指数评价结果见表3.3-4</w:t>
      </w:r>
      <w:r>
        <w:rPr>
          <w:lang w:bidi="zh-CN"/>
        </w:rPr>
        <w:t>。</w:t>
      </w:r>
    </w:p>
    <w:p w14:paraId="7982D7B9">
      <w:pPr>
        <w:ind w:firstLine="494"/>
        <w:rPr>
          <w:lang w:val="zh-CN" w:bidi="zh-CN"/>
        </w:rPr>
      </w:pPr>
      <w:r>
        <w:rPr>
          <w:rFonts w:hint="eastAsia"/>
          <w:lang w:val="zh-CN" w:bidi="zh-CN"/>
        </w:rPr>
        <w:t>执行二类标准站位：共31处，监测海域水质中的pH值、化学需氧量、生化需氧量、溶解氧、油类、硫化物、砷、镉、总铬、铜、汞、铅、锌的含量均达到《海水水质标准》（GB3097-1997）中二类水质标准的要求；无机磷的超标率为19.4%，全部符合四类水质标准的要求；无机氮的超标率为9.68%，全部符合三类水质标准的要求。</w:t>
      </w:r>
    </w:p>
    <w:p w14:paraId="2B9ABE62">
      <w:pPr>
        <w:ind w:firstLine="494"/>
        <w:rPr>
          <w:lang w:val="zh-CN" w:bidi="zh-CN"/>
        </w:rPr>
      </w:pPr>
      <w:r>
        <w:rPr>
          <w:rFonts w:hint="eastAsia"/>
          <w:lang w:val="zh-CN" w:bidi="zh-CN"/>
        </w:rPr>
        <w:t>执行三类标准站位：共3处，监测海域水质中的pH值、化学需氧量、生化需氧量、溶解氧、无机氮、油类、硫化物、砷、镉、总铬、铜、汞、铅、锌的含量均达到《海水水质标准》（GB3097-1997）中三类水质标准的要求；无机磷的超标率为33.3%，全部符合四类海水标准的要求。</w:t>
      </w:r>
    </w:p>
    <w:p w14:paraId="6A8677E9">
      <w:pPr>
        <w:ind w:firstLine="494"/>
        <w:rPr>
          <w:lang w:val="zh-CN" w:bidi="zh-CN"/>
        </w:rPr>
      </w:pPr>
      <w:r>
        <w:rPr>
          <w:rFonts w:hint="eastAsia"/>
          <w:lang w:val="zh-CN" w:bidi="zh-CN"/>
        </w:rPr>
        <w:t>执行四类标准站位：共14处，监测海域水质中的pH值、化学需氧量、生化需氧量、溶解氧、无机磷、无机氮、油类、硫化物、砷、镉、总铬、铜、汞、铅、锌的含量均达到《海水水质标准》（GB3097-1997)中四类水质标准的要求。</w:t>
      </w:r>
    </w:p>
    <w:p w14:paraId="5E23C956">
      <w:pPr>
        <w:ind w:firstLine="494"/>
        <w:rPr>
          <w:sz w:val="18"/>
          <w:szCs w:val="18"/>
        </w:rPr>
        <w:sectPr>
          <w:headerReference r:id="rId23" w:type="even"/>
          <w:pgSz w:w="11910" w:h="16840"/>
          <w:pgMar w:top="1418" w:right="1514" w:bottom="1418" w:left="1780" w:header="1134" w:footer="992" w:gutter="0"/>
          <w:cols w:space="720" w:num="1"/>
          <w:docGrid w:type="linesAndChars" w:linePitch="466" w:charSpace="1434"/>
        </w:sectPr>
      </w:pPr>
      <w:bookmarkStart w:id="348" w:name="OLE_LINK222"/>
      <w:r>
        <w:rPr>
          <w:rFonts w:hint="eastAsia"/>
          <w:lang w:val="zh-CN" w:bidi="zh-CN"/>
        </w:rPr>
        <w:t>2023年4月调查结果显示，茅尾海口门及湾口附近的II类海域出现无机氮、活性磷酸盐超标现象，最大超标0.32倍，其余指标均能满足水质标准要求；湾口以外海域基本各项指标均能满足水质标准要求。总体来看，钦州湾茅尾海因其特殊水动力条件，在受地表河流陆源污染汇入、海域及周边范围养殖污染负荷相对较重情况下出现超标现象。</w:t>
      </w:r>
      <w:bookmarkEnd w:id="348"/>
    </w:p>
    <w:p w14:paraId="309AE551">
      <w:pPr>
        <w:pStyle w:val="5"/>
      </w:pPr>
      <w:r>
        <w:t>海洋沉积物现状调查与评价</w:t>
      </w:r>
    </w:p>
    <w:p w14:paraId="415C1D1B">
      <w:pPr>
        <w:keepNext/>
        <w:keepLines/>
        <w:numPr>
          <w:ilvl w:val="3"/>
          <w:numId w:val="51"/>
        </w:numPr>
        <w:tabs>
          <w:tab w:val="left" w:pos="360"/>
        </w:tabs>
        <w:snapToGrid w:val="0"/>
        <w:spacing w:before="280" w:after="290" w:line="376" w:lineRule="auto"/>
        <w:ind w:firstLineChars="0"/>
        <w:outlineLvl w:val="4"/>
        <w:rPr>
          <w:b/>
          <w:vanish/>
          <w:lang w:bidi="zh-CN"/>
        </w:rPr>
      </w:pPr>
    </w:p>
    <w:p w14:paraId="0169CA1C">
      <w:pPr>
        <w:pStyle w:val="6"/>
      </w:pPr>
      <w:r>
        <w:t>监测项目</w:t>
      </w:r>
    </w:p>
    <w:p w14:paraId="408E361B">
      <w:pPr>
        <w:pStyle w:val="6"/>
      </w:pPr>
      <w:r>
        <w:t>评价</w:t>
      </w:r>
      <w:r>
        <w:rPr>
          <w:rFonts w:hint="eastAsia"/>
        </w:rPr>
        <w:t>结论</w:t>
      </w:r>
    </w:p>
    <w:p w14:paraId="38FC2BBC">
      <w:pPr>
        <w:ind w:firstLine="437"/>
      </w:pPr>
      <w:r>
        <w:rPr>
          <w:rFonts w:hint="eastAsia"/>
        </w:rPr>
        <w:t>项目所在海域海洋沉积物评价结果显示，监测海域沉积物中的有机碳、汞、铜、镉、铅、锌、铬、砷、油类、硫化物均符合《海洋沉积物质量》（GB18668-2002）中相应海洋沉积物质量标准。</w:t>
      </w:r>
      <w:r>
        <w:t>海洋生态环境现状调查与评价</w:t>
      </w:r>
    </w:p>
    <w:p w14:paraId="362C8470">
      <w:pPr>
        <w:pStyle w:val="5"/>
      </w:pPr>
      <w:r>
        <w:rPr>
          <w:rFonts w:hint="eastAsia"/>
        </w:rPr>
        <w:t>海洋生物</w:t>
      </w:r>
    </w:p>
    <w:p w14:paraId="6E79BD91">
      <w:pPr>
        <w:ind w:firstLine="437"/>
      </w:pPr>
      <w:r>
        <w:rPr>
          <w:rFonts w:hint="eastAsia"/>
        </w:rPr>
        <w:t>调查项目有叶绿素a、浮游植物、浮游动物、底栖生物、潮间带生物、游泳动物、鱼卵和仔、稚鱼。海洋生物生态现场采样与分析方法按照《海洋监测规范第7部分：近海污染生态调查和生物监测》（GB17378.7-2007）、《海洋调查规范-海洋生物调查》（GB12763.6－2007）中规定的要求执行。海洋生态调查站位</w:t>
      </w:r>
      <w:r>
        <w:rPr>
          <w:lang w:bidi="zh-CN"/>
        </w:rPr>
        <w:t>见表3.3-1和图3.3-1。</w:t>
      </w:r>
    </w:p>
    <w:p w14:paraId="3D26AB5B">
      <w:pPr>
        <w:keepNext/>
        <w:keepLines/>
        <w:numPr>
          <w:ilvl w:val="3"/>
          <w:numId w:val="51"/>
        </w:numPr>
        <w:tabs>
          <w:tab w:val="left" w:pos="360"/>
        </w:tabs>
        <w:snapToGrid w:val="0"/>
        <w:spacing w:before="280" w:after="290" w:line="376" w:lineRule="auto"/>
        <w:ind w:firstLineChars="0"/>
        <w:outlineLvl w:val="4"/>
        <w:rPr>
          <w:b/>
          <w:vanish/>
          <w:kern w:val="13"/>
          <w:lang w:bidi="zh-CN"/>
        </w:rPr>
      </w:pPr>
    </w:p>
    <w:p w14:paraId="3CFE3235">
      <w:pPr>
        <w:pStyle w:val="6"/>
      </w:pPr>
      <w:r>
        <w:t>叶绿素α</w:t>
      </w:r>
      <w:r>
        <w:rPr>
          <w:rFonts w:hint="eastAsia"/>
        </w:rPr>
        <w:t>与初级生产力</w:t>
      </w:r>
    </w:p>
    <w:p w14:paraId="7ED8E50E">
      <w:pPr>
        <w:ind w:firstLine="437"/>
      </w:pPr>
      <w:r>
        <w:rPr>
          <w:rFonts w:hint="eastAsia"/>
        </w:rPr>
        <w:t>2023年4月监测海域各站位叶绿素a含量变化范围在0.77~3.38ug/L，平均值为1.96ug/L；最高值出现在19#站位，最低值在36#表站位。监测海域各站位初级生产力变化范围在71.74~516.28mg</w:t>
      </w:r>
      <w:r>
        <w:t>·</w:t>
      </w:r>
      <w:r>
        <w:rPr>
          <w:rFonts w:hint="eastAsia"/>
        </w:rPr>
        <w:t>C/m²</w:t>
      </w:r>
      <w:r>
        <w:t>·</w:t>
      </w:r>
      <w:r>
        <w:rPr>
          <w:rFonts w:hint="eastAsia"/>
        </w:rPr>
        <w:t>d，平均值为74.47</w:t>
      </w:r>
      <w:bookmarkStart w:id="349" w:name="OLE_LINK139"/>
      <w:r>
        <w:rPr>
          <w:rFonts w:hint="eastAsia"/>
        </w:rPr>
        <w:t>mg</w:t>
      </w:r>
      <w:r>
        <w:t>·</w:t>
      </w:r>
      <w:r>
        <w:rPr>
          <w:rFonts w:hint="eastAsia"/>
        </w:rPr>
        <w:t>C/m²</w:t>
      </w:r>
      <w:r>
        <w:t>·</w:t>
      </w:r>
      <w:r>
        <w:rPr>
          <w:rFonts w:hint="eastAsia"/>
        </w:rPr>
        <w:t>d</w:t>
      </w:r>
      <w:bookmarkEnd w:id="349"/>
      <w:r>
        <w:rPr>
          <w:rFonts w:hint="eastAsia"/>
        </w:rPr>
        <w:t>；最高值出现在48#站位，最低值在42#站位。</w:t>
      </w:r>
    </w:p>
    <w:p w14:paraId="6BCB3A1A">
      <w:pPr>
        <w:pStyle w:val="7"/>
        <w:jc w:val="right"/>
      </w:pPr>
      <w:r>
        <w:rPr>
          <w:rFonts w:hint="eastAsia"/>
        </w:rPr>
        <w:t xml:space="preserve">2023年4月各调查站位叶绿素含量一览表        </w:t>
      </w:r>
      <w:r>
        <w:rPr>
          <w:rFonts w:hint="eastAsia"/>
          <w:b w:val="0"/>
          <w:bCs/>
          <w:sz w:val="21"/>
          <w:szCs w:val="21"/>
        </w:rPr>
        <w:t xml:space="preserve">单位：ug/L </w:t>
      </w:r>
    </w:p>
    <w:p w14:paraId="48C343FC">
      <w:pPr>
        <w:pStyle w:val="7"/>
        <w:jc w:val="right"/>
      </w:pPr>
      <w:r>
        <w:rPr>
          <w:rFonts w:hint="eastAsia"/>
        </w:rPr>
        <w:t xml:space="preserve">2023年4月各调查站位初级生产力一览表        </w:t>
      </w:r>
      <w:r>
        <w:rPr>
          <w:rFonts w:hint="eastAsia"/>
          <w:b w:val="0"/>
          <w:bCs/>
          <w:sz w:val="21"/>
          <w:szCs w:val="21"/>
        </w:rPr>
        <w:t>单位：</w:t>
      </w:r>
      <w:r>
        <w:rPr>
          <w:b w:val="0"/>
          <w:bCs/>
          <w:sz w:val="21"/>
          <w:szCs w:val="21"/>
        </w:rPr>
        <w:t>mg·C/m²·d</w:t>
      </w:r>
      <w:r>
        <w:rPr>
          <w:rFonts w:hint="eastAsia"/>
          <w:b w:val="0"/>
          <w:bCs/>
          <w:sz w:val="21"/>
          <w:szCs w:val="21"/>
        </w:rPr>
        <w:t xml:space="preserve"> </w:t>
      </w:r>
    </w:p>
    <w:p w14:paraId="6E9E58C6">
      <w:pPr>
        <w:pStyle w:val="6"/>
      </w:pPr>
      <w:r>
        <w:t>浮游植物</w:t>
      </w:r>
    </w:p>
    <w:p w14:paraId="77A1C28F">
      <w:pPr>
        <w:ind w:firstLine="437"/>
      </w:pPr>
      <w:r>
        <w:rPr>
          <w:rFonts w:hint="eastAsia"/>
        </w:rPr>
        <w:t>监测共鉴定浮游植物101种，其中硅藻门74种，甲藻门24种，金藻门2种，蓝藻门1种</w:t>
      </w:r>
      <w:r>
        <w:t>。</w:t>
      </w:r>
      <w:r>
        <w:rPr>
          <w:rFonts w:hint="eastAsia"/>
        </w:rPr>
        <w:t>监测中浮游植物生物密度平均为10.9×10</w:t>
      </w:r>
      <w:r>
        <w:rPr>
          <w:rFonts w:hint="eastAsia"/>
          <w:vertAlign w:val="superscript"/>
        </w:rPr>
        <w:t>3</w:t>
      </w:r>
      <w:r>
        <w:rPr>
          <w:rFonts w:hint="eastAsia"/>
        </w:rPr>
        <w:t>个/L，其中最高生物密度出现在站位45#（54.9×10</w:t>
      </w:r>
      <w:r>
        <w:rPr>
          <w:rFonts w:hint="eastAsia"/>
          <w:vertAlign w:val="superscript"/>
        </w:rPr>
        <w:t>3</w:t>
      </w:r>
      <w:r>
        <w:rPr>
          <w:rFonts w:hint="eastAsia"/>
        </w:rPr>
        <w:t>个/L），最小生物密度出现在站位42#和25#-底（均为3.1×10</w:t>
      </w:r>
      <w:r>
        <w:rPr>
          <w:rFonts w:hint="eastAsia"/>
          <w:vertAlign w:val="superscript"/>
        </w:rPr>
        <w:t>3</w:t>
      </w:r>
      <w:r>
        <w:rPr>
          <w:rFonts w:hint="eastAsia"/>
        </w:rPr>
        <w:t>个/L)。</w:t>
      </w:r>
    </w:p>
    <w:p w14:paraId="1AE578BE">
      <w:pPr>
        <w:ind w:firstLine="437"/>
      </w:pPr>
      <w:r>
        <w:rPr>
          <w:rFonts w:hint="eastAsia"/>
        </w:rPr>
        <w:t>浮游植物优势种主要为细弱海链藻</w:t>
      </w:r>
      <w:r>
        <w:rPr>
          <w:rFonts w:hint="eastAsia"/>
          <w:i/>
          <w:iCs/>
        </w:rPr>
        <w:t>Thalassiosirasubtilis</w:t>
      </w:r>
      <w:r>
        <w:rPr>
          <w:rFonts w:hint="eastAsia"/>
        </w:rPr>
        <w:t>、汉氏束毛藻</w:t>
      </w:r>
      <w:r>
        <w:rPr>
          <w:rFonts w:hint="eastAsia"/>
          <w:i/>
          <w:iCs/>
        </w:rPr>
        <w:t>Trichodesmiumhildebrandtii</w:t>
      </w:r>
      <w:r>
        <w:rPr>
          <w:rFonts w:hint="eastAsia"/>
        </w:rPr>
        <w:t>、塔玛亚历山大藻</w:t>
      </w:r>
      <w:r>
        <w:rPr>
          <w:rFonts w:hint="eastAsia"/>
          <w:i/>
          <w:iCs/>
        </w:rPr>
        <w:t>Alexandrium tamarense</w:t>
      </w:r>
      <w:r>
        <w:rPr>
          <w:rFonts w:hint="eastAsia"/>
        </w:rPr>
        <w:t>和海洋原甲藻</w:t>
      </w:r>
      <w:r>
        <w:rPr>
          <w:rFonts w:hint="eastAsia"/>
          <w:i/>
          <w:iCs/>
        </w:rPr>
        <w:t>Prorocentrum micans</w:t>
      </w:r>
      <w:r>
        <w:rPr>
          <w:rFonts w:hint="eastAsia"/>
        </w:rPr>
        <w:t>。</w:t>
      </w:r>
    </w:p>
    <w:p w14:paraId="6A3E3E8B">
      <w:pPr>
        <w:ind w:firstLine="437"/>
      </w:pPr>
      <w:r>
        <w:rPr>
          <w:rFonts w:hint="eastAsia"/>
        </w:rPr>
        <w:t>浮游植物物种多样性指数（H′）平均值为3.10，均匀度指数（J）平均值为0.75，丰富度（d）平均值为1.27。</w:t>
      </w:r>
    </w:p>
    <w:p w14:paraId="13EA6EDF">
      <w:pPr>
        <w:pStyle w:val="7"/>
      </w:pPr>
      <w:r>
        <w:rPr>
          <w:rFonts w:hint="eastAsia"/>
        </w:rPr>
        <w:t>浮游植物调查情况</w:t>
      </w:r>
    </w:p>
    <w:p w14:paraId="2C8B6F56">
      <w:pPr>
        <w:pStyle w:val="6"/>
      </w:pPr>
      <w:r>
        <w:t>浮游动物</w:t>
      </w:r>
    </w:p>
    <w:p w14:paraId="1143FA35">
      <w:pPr>
        <w:ind w:firstLine="437"/>
      </w:pPr>
      <w:r>
        <w:rPr>
          <w:rFonts w:hint="eastAsia"/>
        </w:rPr>
        <w:t>共鉴定大型浮游动物66种（类），其中端足类3种，多毛类1种，浮游幼虫类17种，海樽类1种，介形类2种，糠虾类1种，磷虾类1种，毛颚类2种，桡足类24种，水母类7种，樱虾类2种，有尾类2种，枝角类2种，栉水母类1种。</w:t>
      </w:r>
    </w:p>
    <w:p w14:paraId="48D3046F">
      <w:pPr>
        <w:ind w:firstLine="437"/>
      </w:pPr>
      <w:r>
        <w:rPr>
          <w:rFonts w:hint="eastAsia"/>
        </w:rPr>
        <w:t>大型浮游动物优势种主要为长尾类幼体</w:t>
      </w:r>
      <w:r>
        <w:rPr>
          <w:rFonts w:hint="eastAsia"/>
          <w:i/>
          <w:iCs/>
        </w:rPr>
        <w:t>Macrura larvae</w:t>
      </w:r>
      <w:r>
        <w:rPr>
          <w:rFonts w:hint="eastAsia"/>
        </w:rPr>
        <w:t>、桡足类幼体、异体住囊虫</w:t>
      </w:r>
      <w:r>
        <w:rPr>
          <w:rFonts w:hint="eastAsia"/>
          <w:i/>
          <w:iCs/>
        </w:rPr>
        <w:t>Oikopleura dioica</w:t>
      </w:r>
      <w:r>
        <w:rPr>
          <w:rFonts w:hint="eastAsia"/>
        </w:rPr>
        <w:t>、鱼卵</w:t>
      </w:r>
      <w:r>
        <w:rPr>
          <w:rFonts w:hint="eastAsia"/>
          <w:i/>
          <w:iCs/>
        </w:rPr>
        <w:t>Fish eggs</w:t>
      </w:r>
      <w:r>
        <w:rPr>
          <w:rFonts w:hint="eastAsia"/>
        </w:rPr>
        <w:t>、短尾类备状幼体</w:t>
      </w:r>
      <w:r>
        <w:rPr>
          <w:rFonts w:hint="eastAsia"/>
          <w:i/>
          <w:iCs/>
        </w:rPr>
        <w:t>Brachyura zoea</w:t>
      </w:r>
      <w:r>
        <w:rPr>
          <w:rFonts w:hint="eastAsia"/>
        </w:rPr>
        <w:t>和蔓足类无节幼虫</w:t>
      </w:r>
      <w:r>
        <w:rPr>
          <w:rFonts w:hint="eastAsia"/>
          <w:i/>
          <w:iCs/>
        </w:rPr>
        <w:t>Balanus Nauplius larvae</w:t>
      </w:r>
      <w:r>
        <w:rPr>
          <w:rFonts w:hint="eastAsia"/>
        </w:rPr>
        <w:t>。</w:t>
      </w:r>
    </w:p>
    <w:p w14:paraId="00801519">
      <w:pPr>
        <w:ind w:firstLine="437"/>
      </w:pPr>
      <w:r>
        <w:rPr>
          <w:rFonts w:hint="eastAsia"/>
        </w:rPr>
        <w:t>平均生物密度为233.8个/m</w:t>
      </w:r>
      <w:r>
        <w:rPr>
          <w:rFonts w:hint="eastAsia"/>
          <w:vertAlign w:val="superscript"/>
        </w:rPr>
        <w:t>3</w:t>
      </w:r>
      <w:r>
        <w:rPr>
          <w:rFonts w:hint="eastAsia"/>
        </w:rPr>
        <w:t>，其中，最高生物密度出现在站位43#（992个/ m</w:t>
      </w:r>
      <w:r>
        <w:rPr>
          <w:rFonts w:hint="eastAsia"/>
          <w:vertAlign w:val="superscript"/>
        </w:rPr>
        <w:t>3</w:t>
      </w:r>
      <w:r>
        <w:rPr>
          <w:rFonts w:hint="eastAsia"/>
        </w:rPr>
        <w:t>），最低生物密度出现在站6#（9.2个/ m</w:t>
      </w:r>
      <w:r>
        <w:rPr>
          <w:rFonts w:hint="eastAsia"/>
          <w:vertAlign w:val="superscript"/>
        </w:rPr>
        <w:t>3</w:t>
      </w:r>
      <w:r>
        <w:rPr>
          <w:rFonts w:hint="eastAsia"/>
        </w:rPr>
        <w:t>)。大型浮游动物生物量平均为113.1mg/ m</w:t>
      </w:r>
      <w:r>
        <w:rPr>
          <w:rFonts w:hint="eastAsia"/>
          <w:vertAlign w:val="superscript"/>
        </w:rPr>
        <w:t>3</w:t>
      </w:r>
      <w:r>
        <w:rPr>
          <w:rFonts w:hint="eastAsia"/>
        </w:rPr>
        <w:t>，其中，最高生物量出现在站位43#（533.3mg/ m</w:t>
      </w:r>
      <w:r>
        <w:rPr>
          <w:rFonts w:hint="eastAsia"/>
          <w:vertAlign w:val="superscript"/>
        </w:rPr>
        <w:t>3</w:t>
      </w:r>
      <w:r>
        <w:rPr>
          <w:rFonts w:hint="eastAsia"/>
        </w:rPr>
        <w:t>)，最低生物量出现在站位6#（4.3mg/ m</w:t>
      </w:r>
      <w:r>
        <w:rPr>
          <w:rFonts w:hint="eastAsia"/>
          <w:vertAlign w:val="superscript"/>
        </w:rPr>
        <w:t>3</w:t>
      </w:r>
      <w:r>
        <w:rPr>
          <w:rFonts w:hint="eastAsia"/>
        </w:rPr>
        <w:t>)。</w:t>
      </w:r>
    </w:p>
    <w:p w14:paraId="4D21B1DB">
      <w:pPr>
        <w:ind w:firstLine="437"/>
      </w:pPr>
      <w:r>
        <w:rPr>
          <w:rFonts w:hint="eastAsia"/>
        </w:rPr>
        <w:t>浮游动物物种多样性指数（H′）平均值为2.50，均匀度指数（J）平均值为0.71，丰富度（d）平均值2.00。</w:t>
      </w:r>
    </w:p>
    <w:p w14:paraId="6FA84903">
      <w:pPr>
        <w:pStyle w:val="7"/>
      </w:pPr>
      <w:r>
        <w:rPr>
          <w:rFonts w:hint="eastAsia"/>
        </w:rPr>
        <w:t>浮游生物调查情况</w:t>
      </w:r>
    </w:p>
    <w:p w14:paraId="68B1413C">
      <w:pPr>
        <w:pStyle w:val="6"/>
      </w:pPr>
      <w:r>
        <w:t>底栖生物</w:t>
      </w:r>
    </w:p>
    <w:p w14:paraId="515FE6DE">
      <w:pPr>
        <w:ind w:firstLine="437"/>
      </w:pPr>
      <w:r>
        <w:rPr>
          <w:rFonts w:hint="eastAsia"/>
        </w:rPr>
        <w:t>监测共鉴定大型底栖生物77种，其中刺胞动物门1种，环节动物门45种，棘皮动物门1种，脊索动物门4种，节肢动物门8种，纽形动物门2种，软体动物门14种，星虫动物门1种，螠虫动物门1种。大型底栖生物优势种为奇异稚齿虫</w:t>
      </w:r>
      <w:r>
        <w:rPr>
          <w:rFonts w:hint="eastAsia"/>
          <w:i/>
          <w:iCs/>
        </w:rPr>
        <w:t>Paraprionospio pinnata</w:t>
      </w:r>
      <w:r>
        <w:rPr>
          <w:rFonts w:hint="eastAsia"/>
        </w:rPr>
        <w:t>、扁蛰虫</w:t>
      </w:r>
      <w:r>
        <w:rPr>
          <w:rFonts w:hint="eastAsia"/>
          <w:i/>
          <w:iCs/>
        </w:rPr>
        <w:t>Loimia medusa</w:t>
      </w:r>
      <w:r>
        <w:rPr>
          <w:rFonts w:hint="eastAsia"/>
        </w:rPr>
        <w:t>、丝异须虫</w:t>
      </w:r>
      <w:r>
        <w:rPr>
          <w:rFonts w:hint="eastAsia"/>
          <w:i/>
          <w:iCs/>
        </w:rPr>
        <w:t>Heteromastus filiforms</w:t>
      </w:r>
      <w:r>
        <w:rPr>
          <w:rFonts w:hint="eastAsia"/>
        </w:rPr>
        <w:t>、粗帝汶蛤</w:t>
      </w:r>
      <w:r>
        <w:rPr>
          <w:rFonts w:hint="eastAsia"/>
          <w:i/>
          <w:iCs/>
        </w:rPr>
        <w:t>Timoclea scabra</w:t>
      </w:r>
      <w:r>
        <w:rPr>
          <w:rFonts w:hint="eastAsia"/>
        </w:rPr>
        <w:t>和寡鳃齿吻沙蚕</w:t>
      </w:r>
      <w:r>
        <w:rPr>
          <w:rFonts w:hint="eastAsia"/>
          <w:i/>
          <w:iCs/>
        </w:rPr>
        <w:t>Nephtys oligobranchia</w:t>
      </w:r>
      <w:r>
        <w:rPr>
          <w:rFonts w:hint="eastAsia"/>
        </w:rPr>
        <w:t>。</w:t>
      </w:r>
    </w:p>
    <w:p w14:paraId="5DE58571">
      <w:pPr>
        <w:ind w:firstLine="437"/>
      </w:pPr>
      <w:r>
        <w:rPr>
          <w:rFonts w:hint="eastAsia"/>
        </w:rPr>
        <w:t>大型底栖生物生物密度平均为206.0个/m²，其中，最高生物密度出现在13#站位（840.0个/m²），最低生物密度出现在2#站位（10个/m²）。大型底栖生物生物量平均为35.67g/m²，其中最高生物量出现在站位42#（176.65g/m²)，最低生物量出现2#站位（0.45g/m²)。</w:t>
      </w:r>
    </w:p>
    <w:p w14:paraId="12C17DB0">
      <w:pPr>
        <w:ind w:firstLine="437"/>
      </w:pPr>
      <w:r>
        <w:rPr>
          <w:rFonts w:hint="eastAsia"/>
        </w:rPr>
        <w:t>底栖生物物种多样性指数（H′）平均值为2.04，均匀度指数（J）平均值为0.72，丰富度（d）平均值1.32。</w:t>
      </w:r>
    </w:p>
    <w:p w14:paraId="4861F31E">
      <w:pPr>
        <w:pStyle w:val="7"/>
      </w:pPr>
      <w:r>
        <w:rPr>
          <w:rFonts w:hint="eastAsia"/>
        </w:rPr>
        <w:t>底栖生物调查情况</w:t>
      </w:r>
    </w:p>
    <w:p w14:paraId="74DCDC6C">
      <w:pPr>
        <w:pStyle w:val="6"/>
      </w:pPr>
      <w:r>
        <w:t>潮间带生物</w:t>
      </w:r>
    </w:p>
    <w:p w14:paraId="3D1F0F41">
      <w:pPr>
        <w:ind w:firstLine="437"/>
      </w:pPr>
      <w:r>
        <w:rPr>
          <w:rFonts w:hint="eastAsia"/>
        </w:rPr>
        <w:t>共检出潮间带生物8门90种。刺胞动物门2种，其环节动物门24种，棘皮动物门1种，脊索动物门1种，节肢动物门17种，纽形动物门1种，软体动物门41种，腕足动物门1种，星虫动物门2种。优势种为腺带刺沙蚕</w:t>
      </w:r>
      <w:r>
        <w:rPr>
          <w:rFonts w:hint="eastAsia"/>
          <w:i/>
          <w:iCs/>
        </w:rPr>
        <w:t>Neanthes glandicincta</w:t>
      </w:r>
      <w:r>
        <w:rPr>
          <w:rFonts w:hint="eastAsia"/>
        </w:rPr>
        <w:t>和简毛拟节虫</w:t>
      </w:r>
      <w:r>
        <w:rPr>
          <w:rFonts w:hint="eastAsia"/>
          <w:i/>
          <w:iCs/>
        </w:rPr>
        <w:t>Praxillella gracilies</w:t>
      </w:r>
      <w:r>
        <w:rPr>
          <w:rFonts w:hint="eastAsia"/>
        </w:rPr>
        <w:t>。</w:t>
      </w:r>
    </w:p>
    <w:p w14:paraId="78188B68">
      <w:pPr>
        <w:ind w:firstLine="437"/>
      </w:pPr>
      <w:r>
        <w:rPr>
          <w:rFonts w:hint="eastAsia"/>
        </w:rPr>
        <w:t>潮间带生物密度平均为142.5个/m²，最大值出现在潮间带C6高潮区，最小值出现在潮间带C1高潮区；潮间带生物生物量平均为168.1g/m²，最大值出现在潮间带C6低潮区，最小值出现在潮间带C1高潮区。</w:t>
      </w:r>
    </w:p>
    <w:p w14:paraId="56CE94C3">
      <w:pPr>
        <w:ind w:firstLine="437"/>
      </w:pPr>
      <w:r>
        <w:rPr>
          <w:rFonts w:hint="eastAsia"/>
        </w:rPr>
        <w:t>潮间带生物物种多样性指数（H′）平均值为2.22，均匀度指数（J）平均值为0.71，丰富度（d）平均值1.48。</w:t>
      </w:r>
    </w:p>
    <w:p w14:paraId="08601A6B">
      <w:pPr>
        <w:pStyle w:val="7"/>
      </w:pPr>
      <w:r>
        <w:rPr>
          <w:rFonts w:hint="eastAsia"/>
        </w:rPr>
        <w:t>潮间带生物调查情况</w:t>
      </w:r>
    </w:p>
    <w:p w14:paraId="62D48157">
      <w:pPr>
        <w:pStyle w:val="5"/>
      </w:pPr>
      <w:r>
        <w:t>渔业资源调查</w:t>
      </w:r>
    </w:p>
    <w:p w14:paraId="0D72CB9D">
      <w:pPr>
        <w:keepNext/>
        <w:keepLines/>
        <w:numPr>
          <w:ilvl w:val="3"/>
          <w:numId w:val="51"/>
        </w:numPr>
        <w:tabs>
          <w:tab w:val="left" w:pos="360"/>
        </w:tabs>
        <w:snapToGrid w:val="0"/>
        <w:spacing w:before="280" w:after="290" w:line="376" w:lineRule="auto"/>
        <w:ind w:firstLineChars="0"/>
        <w:outlineLvl w:val="4"/>
        <w:rPr>
          <w:b/>
          <w:vanish/>
          <w:kern w:val="13"/>
          <w:lang w:bidi="zh-CN"/>
        </w:rPr>
      </w:pPr>
    </w:p>
    <w:p w14:paraId="3D03AC68">
      <w:pPr>
        <w:pStyle w:val="6"/>
      </w:pPr>
      <w:bookmarkStart w:id="350" w:name="_Toc73619087"/>
      <w:r>
        <w:t>鱼卵、仔稚鱼调查结果</w:t>
      </w:r>
      <w:bookmarkEnd w:id="350"/>
    </w:p>
    <w:p w14:paraId="4E5E6B44">
      <w:pPr>
        <w:ind w:firstLine="437"/>
        <w:rPr>
          <w:lang w:bidi="en-US"/>
        </w:rPr>
      </w:pPr>
      <w:r>
        <w:rPr>
          <w:rFonts w:hint="eastAsia"/>
          <w:lang w:bidi="en-US"/>
        </w:rPr>
        <w:t>2023年5月定性样品中</w:t>
      </w:r>
      <w:r>
        <w:rPr>
          <w:lang w:bidi="en-US"/>
        </w:rPr>
        <w:t>采集到鱼卵和种仔鱼</w:t>
      </w:r>
      <w:r>
        <w:rPr>
          <w:rFonts w:hint="eastAsia"/>
          <w:lang w:bidi="en-US"/>
        </w:rPr>
        <w:t>27种</w:t>
      </w:r>
      <w:r>
        <w:rPr>
          <w:lang w:bidi="en-US"/>
        </w:rPr>
        <w:t>。</w:t>
      </w:r>
      <w:r>
        <w:rPr>
          <w:rFonts w:hint="eastAsia"/>
          <w:lang w:bidi="en-US"/>
        </w:rPr>
        <w:t>鱼卵采获量平均为：1377.41 ind/net，最高为47#站位：8120 ind/net；仔、稚鱼采获量平均为：11.55 ind/net，最高为1#站位：98 ind/net。在采集到的鱼卵中，石首鱼科鱼卵分布较广，在28个站位采集到，鲷科次之，在27个站位采集到，狗母鱼科分布较少，仅有5个站位采集到；在采集到的仔稚鱼中肩鳃鳚分布较广，在23个站位采集到，下银汉鱼次之，在14个站位采集到，蝠科、鲱科、鲹科等分布较少，均仅有1个站位采集到。</w:t>
      </w:r>
    </w:p>
    <w:p w14:paraId="69290D76">
      <w:pPr>
        <w:pStyle w:val="7"/>
        <w:ind w:firstLine="562"/>
      </w:pPr>
      <w:r>
        <w:rPr>
          <w:rFonts w:hint="eastAsia"/>
        </w:rPr>
        <w:t>水平拖网鱼卵和仔稚鱼监测结果</w:t>
      </w:r>
    </w:p>
    <w:p w14:paraId="73F4DE97">
      <w:pPr>
        <w:ind w:firstLine="437"/>
        <w:rPr>
          <w:lang w:bidi="en-US"/>
        </w:rPr>
      </w:pPr>
      <w:r>
        <w:rPr>
          <w:rFonts w:hint="eastAsia"/>
          <w:lang w:bidi="en-US"/>
        </w:rPr>
        <w:t>定量样品中鱼卵平均密度为12.96ind/m²，采获鱼卵数量密度最高为43#站位，为97.91ind/m²。</w:t>
      </w:r>
      <w:bookmarkStart w:id="351" w:name="OLE_LINK84"/>
      <w:r>
        <w:rPr>
          <w:rFonts w:hint="eastAsia"/>
          <w:lang w:bidi="en-US"/>
        </w:rPr>
        <w:t>仔稚鱼平均密度为1.22ind/m</w:t>
      </w:r>
      <w:r>
        <w:rPr>
          <w:rFonts w:hint="eastAsia"/>
          <w:vertAlign w:val="superscript"/>
          <w:lang w:bidi="en-US"/>
        </w:rPr>
        <w:t>3</w:t>
      </w:r>
      <w:bookmarkEnd w:id="351"/>
      <w:r>
        <w:rPr>
          <w:rFonts w:hint="eastAsia"/>
          <w:lang w:bidi="en-US"/>
        </w:rPr>
        <w:t>，采获仔稚鱼数量密度最高为10#站位，为10.00ind/m²。在采集到的鱼卵中，石首鱼科鱼卵分布较广，在23个站位采集到，鲷科和小公鱼次之，在10个站位采集到，鲹科分布较少，均仅有2个站位采集到；在采集到的仔稚鱼中肩鳃</w:t>
      </w:r>
      <w:bookmarkStart w:id="352" w:name="OLE_LINK144"/>
      <w:r>
        <w:rPr>
          <w:rFonts w:hint="eastAsia"/>
          <w:lang w:bidi="en-US"/>
        </w:rPr>
        <w:t>鳚</w:t>
      </w:r>
      <w:bookmarkEnd w:id="352"/>
      <w:r>
        <w:rPr>
          <w:rFonts w:hint="eastAsia"/>
          <w:lang w:bidi="en-US"/>
        </w:rPr>
        <w:t>分布较广，在6个站位采集到，鲷科次之，在5个站位采集到，多鳞鱚、鲱科、</w:t>
      </w:r>
      <w:bookmarkStart w:id="353" w:name="OLE_LINK145"/>
      <w:r>
        <w:rPr>
          <w:rFonts w:hint="eastAsia"/>
          <w:lang w:bidi="en-US"/>
        </w:rPr>
        <w:t>鲹</w:t>
      </w:r>
      <w:bookmarkEnd w:id="353"/>
      <w:r>
        <w:rPr>
          <w:rFonts w:hint="eastAsia"/>
          <w:lang w:bidi="en-US"/>
        </w:rPr>
        <w:t>科、鳀科和鰕虎鱼科分布较少，均仅有1个站位采集到。</w:t>
      </w:r>
    </w:p>
    <w:p w14:paraId="1E100B4B">
      <w:pPr>
        <w:pStyle w:val="7"/>
      </w:pPr>
      <w:bookmarkStart w:id="354" w:name="OLE_LINK143"/>
      <w:r>
        <w:rPr>
          <w:rFonts w:hint="eastAsia"/>
        </w:rPr>
        <w:t>垂直拖网鱼卵和仔稚鱼监测结果</w:t>
      </w:r>
    </w:p>
    <w:bookmarkEnd w:id="354"/>
    <w:p w14:paraId="476179E5">
      <w:pPr>
        <w:pStyle w:val="6"/>
      </w:pPr>
      <w:bookmarkStart w:id="355" w:name="_Toc73619088"/>
      <w:r>
        <w:t>游泳动物调查结果</w:t>
      </w:r>
      <w:bookmarkEnd w:id="355"/>
    </w:p>
    <w:p w14:paraId="68CA32DC">
      <w:pPr>
        <w:ind w:firstLine="437"/>
        <w:rPr>
          <w:bCs/>
          <w:lang w:bidi="en-US"/>
        </w:rPr>
      </w:pPr>
      <w:r>
        <w:rPr>
          <w:rFonts w:hint="eastAsia"/>
          <w:bCs/>
          <w:lang w:bidi="en-US"/>
        </w:rPr>
        <w:t>本次游泳动物监测共计布设29个监测断面，共发现游泳动物4类101种，其中鱼类60种、虾类15种、蟹类20种、头足类6种。游泳动物平均个体渔获率和重量渔获率分别为462.20ind/h和5.33kg/h。鱼类游泳动物平均个体渔获率和重量渔获率分别为192.10ind/h和1.34kg/h，分别占游泳动物总平均个体渔获率的41.56%和总平均重量渔获率的25.17%。虾类游泳动物平均个体渔获率和重量渔获率分别为130.50ind/h和1.78kg/h，分别占游泳动物总平均个体渔获率的26.29%和总平均重量渔获率31.00%；蟹类游泳动物平均个体渔获率和重量渔获率分别为140.70ind/h和2.32kg/h，分别占游泳动物总平均个体渔获率的23.98%和总平均重量渔获率的41.98%；头足类游泳动物平均个体渔获率和重量渔获率分别为16.90ind/h和0.13kg/h，分别占游泳动物总平均个体渔获率的2.77%和总平均重量渔获率的1.85%。</w:t>
      </w:r>
    </w:p>
    <w:p w14:paraId="11A5D8F3">
      <w:pPr>
        <w:ind w:firstLine="437"/>
        <w:rPr>
          <w:bCs/>
          <w:lang w:bidi="en-US"/>
        </w:rPr>
      </w:pPr>
      <w:bookmarkStart w:id="356" w:name="OLE_LINK85"/>
      <w:r>
        <w:rPr>
          <w:rFonts w:hint="eastAsia"/>
          <w:bCs/>
          <w:lang w:bidi="en-US"/>
        </w:rPr>
        <w:t>平均重量密度为544.69kg/km²</w:t>
      </w:r>
      <w:bookmarkEnd w:id="356"/>
      <w:r>
        <w:rPr>
          <w:rFonts w:hint="eastAsia"/>
          <w:bCs/>
          <w:lang w:bidi="en-US"/>
        </w:rPr>
        <w:t>；平均个体密度为50270.16 ind/km²。优势种有</w:t>
      </w:r>
      <w:bookmarkStart w:id="357" w:name="OLE_LINK149"/>
      <w:r>
        <w:rPr>
          <w:rFonts w:hint="eastAsia"/>
          <w:bCs/>
          <w:lang w:bidi="en-US"/>
        </w:rPr>
        <w:t>颈斑</w:t>
      </w:r>
      <w:r>
        <w:rPr>
          <w:bCs/>
          <w:lang w:bidi="en-US"/>
        </w:rPr>
        <w:t>鲾</w:t>
      </w:r>
      <w:r>
        <w:rPr>
          <w:rFonts w:hint="eastAsia"/>
          <w:bCs/>
          <w:lang w:bidi="en-US"/>
        </w:rPr>
        <w:t>、日本蟳、口虾蛄、隆线强蟹</w:t>
      </w:r>
      <w:bookmarkEnd w:id="357"/>
      <w:r>
        <w:rPr>
          <w:rFonts w:hint="eastAsia"/>
          <w:bCs/>
          <w:lang w:bidi="en-US"/>
        </w:rPr>
        <w:t>等。</w:t>
      </w:r>
    </w:p>
    <w:p w14:paraId="5D1C032A">
      <w:pPr>
        <w:pStyle w:val="7"/>
      </w:pPr>
      <w:r>
        <w:rPr>
          <w:rFonts w:hint="eastAsia"/>
        </w:rPr>
        <w:t>调查站位渔业资源密度</w:t>
      </w:r>
    </w:p>
    <w:p w14:paraId="6AB714DB">
      <w:pPr>
        <w:pStyle w:val="5"/>
      </w:pPr>
      <w:r>
        <w:t>海洋生物体质量调查与评价</w:t>
      </w:r>
    </w:p>
    <w:bookmarkEnd w:id="332"/>
    <w:bookmarkEnd w:id="333"/>
    <w:bookmarkEnd w:id="334"/>
    <w:bookmarkEnd w:id="335"/>
    <w:bookmarkEnd w:id="336"/>
    <w:bookmarkEnd w:id="337"/>
    <w:p w14:paraId="25A87EEA">
      <w:pPr>
        <w:ind w:firstLine="437"/>
        <w:rPr>
          <w:bCs/>
        </w:rPr>
      </w:pPr>
      <w:bookmarkStart w:id="358" w:name="_Toc317003254"/>
      <w:bookmarkStart w:id="359" w:name="_Toc317003534"/>
      <w:bookmarkStart w:id="360" w:name="_Toc247517306"/>
      <w:bookmarkStart w:id="361" w:name="_Toc232154469"/>
      <w:bookmarkStart w:id="362" w:name="_Toc247517549"/>
      <w:bookmarkStart w:id="363" w:name="_Toc247517476"/>
      <w:r>
        <w:rPr>
          <w:rFonts w:hint="eastAsia"/>
          <w:bCs/>
        </w:rPr>
        <w:t>海洋生物双壳贝类生物执行《海洋生物质量》（GB18421-2001）；其他软体动物、甲壳动物和鱼类等的重金属、石油烃的评价标准参考《环境影响评价技术导则 海洋生态环境》（HJ 1409-2025）附录 C；铬参考《全国海岸带和海涂资源综合调查简明规程》中相关规定。对照上述标准，根据2023年4月海洋生物体监测结果和污染指数评价，项目监测站位生物体中贝类（鸟蚶、42#站位）总汞、铜、锌、铬、砷、镉、石油烃含量符合一类标准，铅含量符合二类标准。其余站位生物体中汞、铜、铅、锌、铬、石油烃等不同时段均满足《环境影响评价技术导则 海洋生态环境》（HJ 1409-2025）附录 C质量要求。</w:t>
      </w:r>
    </w:p>
    <w:p w14:paraId="0B7801FF">
      <w:pPr>
        <w:pStyle w:val="7"/>
      </w:pPr>
      <w:r>
        <w:t>生物体质量调查结果</w:t>
      </w:r>
      <w:r>
        <w:rPr>
          <w:rFonts w:hint="eastAsia"/>
        </w:rPr>
        <w:t xml:space="preserve">  </w:t>
      </w:r>
      <w:r>
        <w:t>单位：×10</w:t>
      </w:r>
      <w:r>
        <w:rPr>
          <w:vertAlign w:val="superscript"/>
        </w:rPr>
        <w:t>-6</w:t>
      </w:r>
    </w:p>
    <w:p w14:paraId="25C334C7">
      <w:pPr>
        <w:pStyle w:val="7"/>
      </w:pPr>
      <w:r>
        <w:rPr>
          <w:rFonts w:hint="eastAsia"/>
        </w:rPr>
        <w:t>海洋生物体质量指数</w:t>
      </w:r>
    </w:p>
    <w:bookmarkEnd w:id="358"/>
    <w:bookmarkEnd w:id="359"/>
    <w:bookmarkEnd w:id="360"/>
    <w:bookmarkEnd w:id="361"/>
    <w:bookmarkEnd w:id="362"/>
    <w:bookmarkEnd w:id="363"/>
    <w:p w14:paraId="562BD4AB">
      <w:pPr>
        <w:pStyle w:val="5"/>
      </w:pPr>
      <w:r>
        <w:t>水文动力环境现状调查</w:t>
      </w:r>
    </w:p>
    <w:p w14:paraId="6A8A9603">
      <w:pPr>
        <w:keepNext/>
        <w:keepLines/>
        <w:numPr>
          <w:ilvl w:val="3"/>
          <w:numId w:val="51"/>
        </w:numPr>
        <w:tabs>
          <w:tab w:val="left" w:pos="360"/>
        </w:tabs>
        <w:snapToGrid w:val="0"/>
        <w:spacing w:before="280" w:after="290" w:line="376" w:lineRule="auto"/>
        <w:ind w:firstLineChars="0"/>
        <w:outlineLvl w:val="4"/>
        <w:rPr>
          <w:b/>
          <w:vanish/>
          <w:lang w:bidi="zh-CN"/>
        </w:rPr>
      </w:pPr>
    </w:p>
    <w:p w14:paraId="61A9CE86">
      <w:pPr>
        <w:pStyle w:val="6"/>
      </w:pPr>
      <w:r>
        <w:t>调查时间与站位布设</w:t>
      </w:r>
    </w:p>
    <w:p w14:paraId="0F811EB8">
      <w:pPr>
        <w:pStyle w:val="6"/>
      </w:pPr>
      <w:r>
        <w:rPr>
          <w:rFonts w:hint="eastAsia"/>
        </w:rPr>
        <w:t>潮汐</w:t>
      </w:r>
    </w:p>
    <w:p w14:paraId="3572FA25">
      <w:pPr>
        <w:pStyle w:val="4"/>
      </w:pPr>
      <w:bookmarkStart w:id="364" w:name="_Toc198042322"/>
      <w:bookmarkStart w:id="365" w:name="_Toc217977918"/>
      <w:r>
        <w:t>环境空气质量现状调查与评价</w:t>
      </w:r>
      <w:bookmarkEnd w:id="364"/>
      <w:bookmarkEnd w:id="365"/>
    </w:p>
    <w:p w14:paraId="16F32FA4">
      <w:pPr>
        <w:pStyle w:val="5"/>
      </w:pPr>
      <w:r>
        <w:t>大气环境污染源调查</w:t>
      </w:r>
    </w:p>
    <w:p w14:paraId="0A776406">
      <w:pPr>
        <w:ind w:firstLine="437"/>
        <w:rPr>
          <w:u w:val="single"/>
        </w:rPr>
      </w:pPr>
      <w:r>
        <w:rPr>
          <w:u w:val="single"/>
        </w:rPr>
        <w:t>项目评价范围现状属港口物流区域，区域空气污染主要源于</w:t>
      </w:r>
      <w:r>
        <w:rPr>
          <w:rFonts w:hint="eastAsia"/>
          <w:u w:val="single"/>
        </w:rPr>
        <w:t>大榄坪作业区1#-3</w:t>
      </w:r>
      <w:bookmarkStart w:id="366" w:name="OLE_LINK252"/>
      <w:r>
        <w:rPr>
          <w:rFonts w:hint="eastAsia"/>
          <w:u w:val="single"/>
        </w:rPr>
        <w:t>#</w:t>
      </w:r>
      <w:bookmarkEnd w:id="366"/>
      <w:r>
        <w:rPr>
          <w:rFonts w:hint="eastAsia"/>
          <w:u w:val="single"/>
        </w:rPr>
        <w:t>泊位，该泊位为2个7万吨级和1个5万吨级通用泊位，涉及煤炭、矿石等散货货种装卸，装卸扬尘是区域主要大气污染源；其次大榄坪作业区4号5号泊位工程处于建设期间，施工期裸露场地、土石方作业也会产生扬尘污染。项目</w:t>
      </w:r>
      <w:r>
        <w:rPr>
          <w:rFonts w:hint="eastAsia"/>
          <w:u w:val="single"/>
          <w:lang w:eastAsia="zh-CN"/>
        </w:rPr>
        <w:t>邻近</w:t>
      </w:r>
      <w:r>
        <w:rPr>
          <w:rFonts w:hint="eastAsia"/>
          <w:u w:val="single"/>
        </w:rPr>
        <w:t>的</w:t>
      </w:r>
      <w:r>
        <w:rPr>
          <w:u w:val="single"/>
        </w:rPr>
        <w:t>大榄坪南作业区</w:t>
      </w:r>
      <w:r>
        <w:rPr>
          <w:rFonts w:hint="eastAsia"/>
          <w:u w:val="single"/>
        </w:rPr>
        <w:t>1-10号均为</w:t>
      </w:r>
      <w:r>
        <w:rPr>
          <w:u w:val="single"/>
        </w:rPr>
        <w:t>已建泊位</w:t>
      </w:r>
      <w:r>
        <w:rPr>
          <w:rFonts w:hint="eastAsia"/>
          <w:u w:val="single"/>
        </w:rPr>
        <w:t>集装箱码头，其大气污染源以道路</w:t>
      </w:r>
      <w:r>
        <w:rPr>
          <w:u w:val="single"/>
        </w:rPr>
        <w:t>扬尘</w:t>
      </w:r>
      <w:r>
        <w:rPr>
          <w:rFonts w:hint="eastAsia"/>
          <w:u w:val="single"/>
        </w:rPr>
        <w:t>及</w:t>
      </w:r>
      <w:r>
        <w:rPr>
          <w:u w:val="single"/>
        </w:rPr>
        <w:t>交通运输汽车尾气</w:t>
      </w:r>
      <w:r>
        <w:rPr>
          <w:rFonts w:hint="eastAsia"/>
          <w:u w:val="single"/>
        </w:rPr>
        <w:t>为主</w:t>
      </w:r>
      <w:r>
        <w:rPr>
          <w:u w:val="single"/>
        </w:rPr>
        <w:t>。</w:t>
      </w:r>
    </w:p>
    <w:p w14:paraId="2144EB8F">
      <w:pPr>
        <w:pStyle w:val="5"/>
      </w:pPr>
      <w:bookmarkStart w:id="367" w:name="_Toc35629913"/>
      <w:r>
        <w:t>环境空气达标区判断</w:t>
      </w:r>
      <w:bookmarkEnd w:id="367"/>
    </w:p>
    <w:p w14:paraId="6C0D9B52">
      <w:pPr>
        <w:ind w:firstLine="437"/>
      </w:pPr>
      <w:r>
        <w:t>根据《自治区生态环境厅关于通报202</w:t>
      </w:r>
      <w:r>
        <w:rPr>
          <w:rFonts w:hint="eastAsia"/>
        </w:rPr>
        <w:t>4</w:t>
      </w:r>
      <w:r>
        <w:t>年设区城市及各县（市、区）环境空气质量的函》（桂环函〔202</w:t>
      </w:r>
      <w:r>
        <w:rPr>
          <w:rFonts w:hint="eastAsia"/>
        </w:rPr>
        <w:t>5</w:t>
      </w:r>
      <w:r>
        <w:t>〕</w:t>
      </w:r>
      <w:r>
        <w:rPr>
          <w:rFonts w:hint="eastAsia"/>
        </w:rPr>
        <w:t>66号</w:t>
      </w:r>
      <w:r>
        <w:t>），项目位于钦州市，202</w:t>
      </w:r>
      <w:r>
        <w:rPr>
          <w:rFonts w:hint="eastAsia"/>
        </w:rPr>
        <w:t>4</w:t>
      </w:r>
      <w:r>
        <w:t>年SO</w:t>
      </w:r>
      <w:r>
        <w:rPr>
          <w:vertAlign w:val="subscript"/>
        </w:rPr>
        <w:t>2</w:t>
      </w:r>
      <w:r>
        <w:t>、NO</w:t>
      </w:r>
      <w:r>
        <w:rPr>
          <w:vertAlign w:val="subscript"/>
        </w:rPr>
        <w:t>2</w:t>
      </w:r>
      <w:r>
        <w:t>、PM</w:t>
      </w:r>
      <w:r>
        <w:rPr>
          <w:vertAlign w:val="subscript"/>
        </w:rPr>
        <w:t>10</w:t>
      </w:r>
      <w:r>
        <w:t>、PM</w:t>
      </w:r>
      <w:r>
        <w:rPr>
          <w:vertAlign w:val="subscript"/>
        </w:rPr>
        <w:t>2.5</w:t>
      </w:r>
      <w:r>
        <w:t>年均浓度分别为</w:t>
      </w:r>
      <w:r>
        <w:rPr>
          <w:rFonts w:hint="eastAsia"/>
        </w:rPr>
        <w:t>8</w:t>
      </w:r>
      <w:r>
        <w:t>ug/m</w:t>
      </w:r>
      <w:r>
        <w:rPr>
          <w:vertAlign w:val="superscript"/>
        </w:rPr>
        <w:t>3</w:t>
      </w:r>
      <w:r>
        <w:t>、1</w:t>
      </w:r>
      <w:r>
        <w:rPr>
          <w:rFonts w:hint="eastAsia"/>
        </w:rPr>
        <w:t>9</w:t>
      </w:r>
      <w:r>
        <w:t>ug/m</w:t>
      </w:r>
      <w:r>
        <w:rPr>
          <w:vertAlign w:val="superscript"/>
        </w:rPr>
        <w:t>3</w:t>
      </w:r>
      <w:r>
        <w:t>、</w:t>
      </w:r>
      <w:r>
        <w:rPr>
          <w:rFonts w:hint="eastAsia"/>
        </w:rPr>
        <w:t>47</w:t>
      </w:r>
      <w:r>
        <w:t>ug/m</w:t>
      </w:r>
      <w:r>
        <w:rPr>
          <w:vertAlign w:val="superscript"/>
        </w:rPr>
        <w:t>3</w:t>
      </w:r>
      <w:r>
        <w:t>、24.</w:t>
      </w:r>
      <w:r>
        <w:rPr>
          <w:rFonts w:hint="eastAsia"/>
        </w:rPr>
        <w:t>6</w:t>
      </w:r>
      <w:r>
        <w:t>ug/m</w:t>
      </w:r>
      <w:r>
        <w:rPr>
          <w:vertAlign w:val="superscript"/>
        </w:rPr>
        <w:t>3</w:t>
      </w:r>
      <w:r>
        <w:t>；CO 24小时平均第95百分位数为1.1mg/m</w:t>
      </w:r>
      <w:r>
        <w:rPr>
          <w:vertAlign w:val="superscript"/>
        </w:rPr>
        <w:t>3</w:t>
      </w:r>
      <w:r>
        <w:t>，O</w:t>
      </w:r>
      <w:r>
        <w:rPr>
          <w:vertAlign w:val="subscript"/>
        </w:rPr>
        <w:t>3</w:t>
      </w:r>
      <w:r>
        <w:t>日最大8小时平均第90百分位数为</w:t>
      </w:r>
      <w:r>
        <w:rPr>
          <w:rFonts w:hint="eastAsia"/>
        </w:rPr>
        <w:t>128</w:t>
      </w:r>
      <w:r>
        <w:t xml:space="preserve"> ug/m</w:t>
      </w:r>
      <w:r>
        <w:rPr>
          <w:vertAlign w:val="superscript"/>
        </w:rPr>
        <w:t>3</w:t>
      </w:r>
      <w:r>
        <w:t>；各污染物平均浓度均优于《环境空气质量标准》（GB3095-2012）中二级标准限值，202</w:t>
      </w:r>
      <w:r>
        <w:rPr>
          <w:rFonts w:hint="eastAsia"/>
        </w:rPr>
        <w:t>4</w:t>
      </w:r>
      <w:r>
        <w:t>年项目所在区域为环境空气达标区。</w:t>
      </w:r>
    </w:p>
    <w:p w14:paraId="610C98D7">
      <w:pPr>
        <w:pStyle w:val="5"/>
        <w:rPr>
          <w:u w:val="single"/>
        </w:rPr>
      </w:pPr>
      <w:bookmarkStart w:id="368" w:name="_Toc35629914"/>
      <w:r>
        <w:rPr>
          <w:u w:val="single"/>
        </w:rPr>
        <w:t>环境空气现状监测及评价</w:t>
      </w:r>
      <w:bookmarkEnd w:id="368"/>
    </w:p>
    <w:p w14:paraId="3B505A48">
      <w:pPr>
        <w:ind w:firstLine="437"/>
        <w:rPr>
          <w:u w:val="single"/>
        </w:rPr>
      </w:pPr>
      <w:r>
        <w:rPr>
          <w:rFonts w:hint="eastAsia"/>
          <w:u w:val="single"/>
        </w:rPr>
        <w:t>评价于2026年1月6日~13日对项目场址及自动化码头智慧运营中心分别设置监测站位，开展现状监测。</w:t>
      </w:r>
    </w:p>
    <w:p w14:paraId="14A43E65">
      <w:pPr>
        <w:pStyle w:val="6"/>
        <w:rPr>
          <w:u w:val="single"/>
        </w:rPr>
      </w:pPr>
      <w:r>
        <w:rPr>
          <w:u w:val="single"/>
        </w:rPr>
        <w:t>监测点布设</w:t>
      </w:r>
    </w:p>
    <w:p w14:paraId="7BFA720B">
      <w:pPr>
        <w:ind w:firstLine="437"/>
        <w:rPr>
          <w:kern w:val="0"/>
          <w:u w:val="single"/>
        </w:rPr>
      </w:pPr>
      <w:r>
        <w:rPr>
          <w:rFonts w:hint="eastAsia"/>
          <w:kern w:val="0"/>
          <w:u w:val="single"/>
        </w:rPr>
        <w:t>为调查项目所在区域周边环境质量现状，在项目场址和周边的智慧运营中心设置环境监测点位。</w:t>
      </w:r>
    </w:p>
    <w:p w14:paraId="51F60987">
      <w:pPr>
        <w:pStyle w:val="7"/>
        <w:rPr>
          <w:u w:val="single"/>
        </w:rPr>
      </w:pPr>
      <w:r>
        <w:rPr>
          <w:u w:val="single"/>
        </w:rPr>
        <w:t>大气环境现状监测点位</w:t>
      </w:r>
    </w:p>
    <w:tbl>
      <w:tblPr>
        <w:tblStyle w:val="88"/>
        <w:tblW w:w="828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74"/>
        <w:gridCol w:w="1396"/>
        <w:gridCol w:w="1984"/>
        <w:gridCol w:w="1701"/>
        <w:gridCol w:w="2629"/>
      </w:tblGrid>
      <w:tr w14:paraId="496CD4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0" w:type="auto"/>
            <w:vAlign w:val="center"/>
          </w:tcPr>
          <w:p w14:paraId="66D871DB">
            <w:pPr>
              <w:pStyle w:val="34"/>
              <w:rPr>
                <w:u w:val="single"/>
              </w:rPr>
            </w:pPr>
            <w:r>
              <w:rPr>
                <w:u w:val="single"/>
              </w:rPr>
              <w:t>编号</w:t>
            </w:r>
          </w:p>
        </w:tc>
        <w:tc>
          <w:tcPr>
            <w:tcW w:w="1396" w:type="dxa"/>
            <w:vAlign w:val="center"/>
          </w:tcPr>
          <w:p w14:paraId="1894DB64">
            <w:pPr>
              <w:pStyle w:val="34"/>
              <w:rPr>
                <w:u w:val="single"/>
              </w:rPr>
            </w:pPr>
            <w:r>
              <w:rPr>
                <w:u w:val="single"/>
              </w:rPr>
              <w:t>监测点位</w:t>
            </w:r>
          </w:p>
        </w:tc>
        <w:tc>
          <w:tcPr>
            <w:tcW w:w="1984" w:type="dxa"/>
            <w:vAlign w:val="center"/>
          </w:tcPr>
          <w:p w14:paraId="0E18725B">
            <w:pPr>
              <w:pStyle w:val="34"/>
              <w:rPr>
                <w:u w:val="single"/>
              </w:rPr>
            </w:pPr>
            <w:r>
              <w:rPr>
                <w:rFonts w:hint="eastAsia"/>
                <w:u w:val="single"/>
              </w:rPr>
              <w:t>与项目场址位置关系</w:t>
            </w:r>
          </w:p>
        </w:tc>
        <w:tc>
          <w:tcPr>
            <w:tcW w:w="1701" w:type="dxa"/>
            <w:vAlign w:val="center"/>
          </w:tcPr>
          <w:p w14:paraId="21B15655">
            <w:pPr>
              <w:pStyle w:val="34"/>
              <w:rPr>
                <w:u w:val="single"/>
              </w:rPr>
            </w:pPr>
            <w:r>
              <w:rPr>
                <w:u w:val="single"/>
              </w:rPr>
              <w:t>大气环境功能区</w:t>
            </w:r>
          </w:p>
        </w:tc>
        <w:tc>
          <w:tcPr>
            <w:tcW w:w="2629" w:type="dxa"/>
            <w:vAlign w:val="center"/>
          </w:tcPr>
          <w:p w14:paraId="2B49CDE7">
            <w:pPr>
              <w:pStyle w:val="34"/>
              <w:rPr>
                <w:u w:val="single"/>
              </w:rPr>
            </w:pPr>
            <w:r>
              <w:rPr>
                <w:rFonts w:hint="eastAsia"/>
                <w:u w:val="single"/>
              </w:rPr>
              <w:t>执行标准</w:t>
            </w:r>
          </w:p>
        </w:tc>
      </w:tr>
      <w:tr w14:paraId="4B3599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38B85F26">
            <w:pPr>
              <w:pStyle w:val="34"/>
              <w:rPr>
                <w:u w:val="single"/>
              </w:rPr>
            </w:pPr>
            <w:r>
              <w:rPr>
                <w:rFonts w:hint="eastAsia"/>
                <w:u w:val="single"/>
              </w:rPr>
              <w:t>A1</w:t>
            </w:r>
          </w:p>
        </w:tc>
        <w:tc>
          <w:tcPr>
            <w:tcW w:w="1396" w:type="dxa"/>
            <w:vAlign w:val="center"/>
          </w:tcPr>
          <w:p w14:paraId="14270189">
            <w:pPr>
              <w:pStyle w:val="34"/>
              <w:rPr>
                <w:u w:val="single"/>
              </w:rPr>
            </w:pPr>
            <w:r>
              <w:rPr>
                <w:rFonts w:hint="eastAsia"/>
                <w:u w:val="single"/>
              </w:rPr>
              <w:t>项目场址</w:t>
            </w:r>
          </w:p>
        </w:tc>
        <w:tc>
          <w:tcPr>
            <w:tcW w:w="1984" w:type="dxa"/>
            <w:vAlign w:val="center"/>
          </w:tcPr>
          <w:p w14:paraId="19C5987A">
            <w:pPr>
              <w:pStyle w:val="34"/>
              <w:rPr>
                <w:u w:val="single"/>
              </w:rPr>
            </w:pPr>
            <w:r>
              <w:rPr>
                <w:rFonts w:hint="eastAsia"/>
                <w:u w:val="single"/>
              </w:rPr>
              <w:t>项目场址</w:t>
            </w:r>
          </w:p>
        </w:tc>
        <w:tc>
          <w:tcPr>
            <w:tcW w:w="1701" w:type="dxa"/>
            <w:vAlign w:val="center"/>
          </w:tcPr>
          <w:p w14:paraId="3772983F">
            <w:pPr>
              <w:pStyle w:val="34"/>
              <w:rPr>
                <w:u w:val="single"/>
              </w:rPr>
            </w:pPr>
            <w:r>
              <w:rPr>
                <w:rFonts w:hint="eastAsia"/>
                <w:u w:val="single"/>
              </w:rPr>
              <w:t>二类</w:t>
            </w:r>
          </w:p>
        </w:tc>
        <w:tc>
          <w:tcPr>
            <w:tcW w:w="2629" w:type="dxa"/>
            <w:vMerge w:val="restart"/>
            <w:vAlign w:val="center"/>
          </w:tcPr>
          <w:p w14:paraId="42477A8F">
            <w:pPr>
              <w:pStyle w:val="34"/>
              <w:rPr>
                <w:u w:val="single"/>
              </w:rPr>
            </w:pPr>
            <w:r>
              <w:rPr>
                <w:u w:val="single"/>
              </w:rPr>
              <w:t>《环境空气质量标准》(GB3095-2012</w:t>
            </w:r>
            <w:r>
              <w:rPr>
                <w:rFonts w:hint="eastAsia"/>
                <w:u w:val="single"/>
              </w:rPr>
              <w:t>）</w:t>
            </w:r>
            <w:r>
              <w:rPr>
                <w:u w:val="single"/>
              </w:rPr>
              <w:t>二级</w:t>
            </w:r>
          </w:p>
        </w:tc>
      </w:tr>
      <w:tr w14:paraId="3EE7FB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79D21B92">
            <w:pPr>
              <w:pStyle w:val="34"/>
              <w:rPr>
                <w:u w:val="single"/>
              </w:rPr>
            </w:pPr>
            <w:r>
              <w:rPr>
                <w:rFonts w:hint="eastAsia"/>
                <w:u w:val="single"/>
              </w:rPr>
              <w:t>A2</w:t>
            </w:r>
          </w:p>
        </w:tc>
        <w:tc>
          <w:tcPr>
            <w:tcW w:w="1396" w:type="dxa"/>
            <w:vAlign w:val="center"/>
          </w:tcPr>
          <w:p w14:paraId="0C78AC0D">
            <w:pPr>
              <w:pStyle w:val="34"/>
              <w:rPr>
                <w:u w:val="single"/>
              </w:rPr>
            </w:pPr>
            <w:r>
              <w:rPr>
                <w:rFonts w:hint="eastAsia"/>
                <w:u w:val="single"/>
              </w:rPr>
              <w:t>智慧运营中心</w:t>
            </w:r>
          </w:p>
        </w:tc>
        <w:tc>
          <w:tcPr>
            <w:tcW w:w="1984" w:type="dxa"/>
            <w:vAlign w:val="center"/>
          </w:tcPr>
          <w:p w14:paraId="13FC8B6E">
            <w:pPr>
              <w:pStyle w:val="34"/>
              <w:rPr>
                <w:u w:val="single"/>
              </w:rPr>
            </w:pPr>
            <w:r>
              <w:rPr>
                <w:rFonts w:hint="eastAsia"/>
                <w:u w:val="single"/>
              </w:rPr>
              <w:t>场址西北向1.5km</w:t>
            </w:r>
          </w:p>
        </w:tc>
        <w:tc>
          <w:tcPr>
            <w:tcW w:w="1701" w:type="dxa"/>
            <w:vAlign w:val="center"/>
          </w:tcPr>
          <w:p w14:paraId="0C6D1384">
            <w:pPr>
              <w:pStyle w:val="34"/>
              <w:rPr>
                <w:u w:val="single"/>
              </w:rPr>
            </w:pPr>
            <w:r>
              <w:rPr>
                <w:rFonts w:hint="eastAsia"/>
                <w:u w:val="single"/>
              </w:rPr>
              <w:t>二类</w:t>
            </w:r>
          </w:p>
        </w:tc>
        <w:tc>
          <w:tcPr>
            <w:tcW w:w="2629" w:type="dxa"/>
            <w:vMerge w:val="continue"/>
            <w:vAlign w:val="center"/>
          </w:tcPr>
          <w:p w14:paraId="4F92698C">
            <w:pPr>
              <w:pStyle w:val="34"/>
              <w:rPr>
                <w:u w:val="single"/>
              </w:rPr>
            </w:pPr>
          </w:p>
        </w:tc>
      </w:tr>
    </w:tbl>
    <w:p w14:paraId="2CAC6D30">
      <w:pPr>
        <w:pStyle w:val="6"/>
        <w:rPr>
          <w:u w:val="single"/>
        </w:rPr>
      </w:pPr>
      <w:r>
        <w:rPr>
          <w:u w:val="single"/>
        </w:rPr>
        <w:t>监测时间及方法</w:t>
      </w:r>
    </w:p>
    <w:p w14:paraId="6DE5A180">
      <w:pPr>
        <w:ind w:firstLine="437"/>
        <w:rPr>
          <w:u w:val="single"/>
        </w:rPr>
      </w:pPr>
      <w:r>
        <w:rPr>
          <w:u w:val="single"/>
        </w:rPr>
        <w:t>广西交通环境监测中心站</w:t>
      </w:r>
      <w:r>
        <w:rPr>
          <w:rFonts w:hint="eastAsia"/>
          <w:u w:val="single"/>
        </w:rPr>
        <w:t>于2026年1月6日～13日对</w:t>
      </w:r>
      <w:bookmarkStart w:id="369" w:name="_Hlk183458895"/>
      <w:r>
        <w:rPr>
          <w:rFonts w:hint="eastAsia"/>
          <w:u w:val="single"/>
        </w:rPr>
        <w:t>SO</w:t>
      </w:r>
      <w:r>
        <w:rPr>
          <w:rFonts w:hint="eastAsia"/>
          <w:u w:val="single"/>
          <w:vertAlign w:val="subscript"/>
        </w:rPr>
        <w:t>2</w:t>
      </w:r>
      <w:r>
        <w:rPr>
          <w:rFonts w:hint="eastAsia"/>
          <w:u w:val="single"/>
        </w:rPr>
        <w:t>、NO</w:t>
      </w:r>
      <w:r>
        <w:rPr>
          <w:rFonts w:hint="eastAsia"/>
          <w:u w:val="single"/>
          <w:vertAlign w:val="subscript"/>
        </w:rPr>
        <w:t>2</w:t>
      </w:r>
      <w:r>
        <w:rPr>
          <w:rFonts w:hint="eastAsia"/>
          <w:u w:val="single"/>
        </w:rPr>
        <w:t>、CO、TSP</w:t>
      </w:r>
      <w:bookmarkEnd w:id="369"/>
      <w:r>
        <w:rPr>
          <w:rFonts w:hint="eastAsia"/>
          <w:u w:val="single"/>
        </w:rPr>
        <w:t>、非甲烷总烃及臭气浓度进行补充监测，</w:t>
      </w:r>
      <w:r>
        <w:rPr>
          <w:u w:val="single"/>
        </w:rPr>
        <w:t>连续监测</w:t>
      </w:r>
      <w:r>
        <w:rPr>
          <w:rFonts w:hint="eastAsia"/>
          <w:u w:val="single"/>
        </w:rPr>
        <w:t>7</w:t>
      </w:r>
      <w:r>
        <w:rPr>
          <w:u w:val="single"/>
        </w:rPr>
        <w:t>天，</w:t>
      </w:r>
      <w:r>
        <w:rPr>
          <w:rFonts w:hint="eastAsia"/>
          <w:u w:val="single"/>
        </w:rPr>
        <w:t>其中SO</w:t>
      </w:r>
      <w:r>
        <w:rPr>
          <w:rFonts w:hint="eastAsia"/>
          <w:u w:val="single"/>
          <w:vertAlign w:val="subscript"/>
        </w:rPr>
        <w:t>2</w:t>
      </w:r>
      <w:r>
        <w:rPr>
          <w:rFonts w:hint="eastAsia"/>
          <w:u w:val="single"/>
        </w:rPr>
        <w:t>、NO</w:t>
      </w:r>
      <w:r>
        <w:rPr>
          <w:rFonts w:hint="eastAsia"/>
          <w:u w:val="single"/>
          <w:vertAlign w:val="subscript"/>
        </w:rPr>
        <w:t>2</w:t>
      </w:r>
      <w:r>
        <w:rPr>
          <w:rFonts w:hint="eastAsia"/>
          <w:u w:val="single"/>
        </w:rPr>
        <w:t>、CO、TSP</w:t>
      </w:r>
      <w:r>
        <w:rPr>
          <w:u w:val="single"/>
        </w:rPr>
        <w:t>每天</w:t>
      </w:r>
      <w:r>
        <w:rPr>
          <w:rFonts w:hint="eastAsia"/>
          <w:u w:val="single"/>
        </w:rPr>
        <w:t>连续采样24h</w:t>
      </w:r>
      <w:r>
        <w:rPr>
          <w:u w:val="single"/>
        </w:rPr>
        <w:t>，</w:t>
      </w:r>
      <w:r>
        <w:rPr>
          <w:rFonts w:hint="eastAsia"/>
          <w:u w:val="single"/>
        </w:rPr>
        <w:t>臭气浓度、非甲烷总烃每天监测4次；</w:t>
      </w:r>
      <w:r>
        <w:rPr>
          <w:u w:val="single"/>
        </w:rPr>
        <w:t>并同时记录温度、风向、风速。</w:t>
      </w:r>
    </w:p>
    <w:p w14:paraId="1D71AE41">
      <w:pPr>
        <w:pStyle w:val="5"/>
        <w:rPr>
          <w:u w:val="single"/>
          <w:lang w:val="zh-CN"/>
        </w:rPr>
      </w:pPr>
      <w:r>
        <w:rPr>
          <w:u w:val="single"/>
          <w:lang w:val="zh-CN"/>
        </w:rPr>
        <w:t>现状评价标准及方法</w:t>
      </w:r>
    </w:p>
    <w:p w14:paraId="2D36A5BE">
      <w:pPr>
        <w:ind w:firstLine="437"/>
        <w:rPr>
          <w:u w:val="single"/>
        </w:rPr>
      </w:pPr>
      <w:r>
        <w:rPr>
          <w:rFonts w:hint="eastAsia"/>
          <w:u w:val="single"/>
        </w:rPr>
        <w:t>SO</w:t>
      </w:r>
      <w:r>
        <w:rPr>
          <w:rFonts w:hint="eastAsia"/>
          <w:u w:val="single"/>
          <w:vertAlign w:val="subscript"/>
        </w:rPr>
        <w:t>2</w:t>
      </w:r>
      <w:r>
        <w:rPr>
          <w:rFonts w:hint="eastAsia"/>
          <w:u w:val="single"/>
        </w:rPr>
        <w:t>、NO</w:t>
      </w:r>
      <w:r>
        <w:rPr>
          <w:rFonts w:hint="eastAsia"/>
          <w:u w:val="single"/>
          <w:vertAlign w:val="subscript"/>
        </w:rPr>
        <w:t>2</w:t>
      </w:r>
      <w:r>
        <w:rPr>
          <w:rFonts w:hint="eastAsia"/>
          <w:u w:val="single"/>
        </w:rPr>
        <w:t>、CO、TSP</w:t>
      </w:r>
      <w:r>
        <w:rPr>
          <w:u w:val="single"/>
        </w:rPr>
        <w:t>评价标准采用《环境空气质量标准》（GB3095-2012）中二级标准。</w:t>
      </w:r>
      <w:r>
        <w:rPr>
          <w:rFonts w:hint="eastAsia"/>
          <w:u w:val="single"/>
        </w:rPr>
        <w:t>非甲烷总烃</w:t>
      </w:r>
      <w:r>
        <w:rPr>
          <w:szCs w:val="22"/>
          <w:u w:val="single"/>
          <w:lang w:bidi="ar"/>
        </w:rPr>
        <w:t>参照《环境影响评价技术导则大气环境》（HJ 2.2-2018）附录D</w:t>
      </w:r>
      <w:r>
        <w:rPr>
          <w:rFonts w:hint="eastAsia"/>
          <w:szCs w:val="22"/>
          <w:u w:val="single"/>
          <w:lang w:bidi="ar"/>
        </w:rPr>
        <w:t>浓度限制。臭气浓度仅列出监测值。</w:t>
      </w:r>
    </w:p>
    <w:p w14:paraId="2481315B">
      <w:pPr>
        <w:adjustRightInd w:val="0"/>
        <w:ind w:firstLine="437"/>
        <w:textAlignment w:val="baseline"/>
        <w:rPr>
          <w:kern w:val="0"/>
          <w:u w:val="single"/>
        </w:rPr>
      </w:pPr>
      <w:r>
        <w:rPr>
          <w:kern w:val="0"/>
          <w:u w:val="single"/>
        </w:rPr>
        <w:t>评价方法采用单因子指数法。</w:t>
      </w:r>
    </w:p>
    <w:p w14:paraId="0B4F46E7">
      <w:pPr>
        <w:adjustRightInd w:val="0"/>
        <w:ind w:firstLine="437"/>
        <w:jc w:val="center"/>
        <w:textAlignment w:val="baseline"/>
        <w:rPr>
          <w:kern w:val="0"/>
          <w:u w:val="single"/>
        </w:rPr>
      </w:pPr>
      <w:r>
        <w:rPr>
          <w:kern w:val="0"/>
          <w:u w:val="single"/>
        </w:rPr>
        <w:t>公式为：P</w:t>
      </w:r>
      <w:r>
        <w:rPr>
          <w:kern w:val="0"/>
          <w:u w:val="single"/>
          <w:vertAlign w:val="subscript"/>
        </w:rPr>
        <w:t>i</w:t>
      </w:r>
      <w:r>
        <w:rPr>
          <w:kern w:val="0"/>
          <w:u w:val="single"/>
        </w:rPr>
        <w:t>＝C</w:t>
      </w:r>
      <w:r>
        <w:rPr>
          <w:kern w:val="0"/>
          <w:u w:val="single"/>
          <w:vertAlign w:val="subscript"/>
        </w:rPr>
        <w:t>i</w:t>
      </w:r>
      <w:r>
        <w:rPr>
          <w:kern w:val="0"/>
          <w:u w:val="single"/>
        </w:rPr>
        <w:t>／S</w:t>
      </w:r>
      <w:r>
        <w:rPr>
          <w:kern w:val="0"/>
          <w:u w:val="single"/>
          <w:vertAlign w:val="subscript"/>
        </w:rPr>
        <w:t>i</w:t>
      </w:r>
    </w:p>
    <w:p w14:paraId="7B5FD365">
      <w:pPr>
        <w:adjustRightInd w:val="0"/>
        <w:ind w:firstLine="437"/>
        <w:textAlignment w:val="baseline"/>
        <w:rPr>
          <w:kern w:val="0"/>
          <w:u w:val="single"/>
        </w:rPr>
      </w:pPr>
      <w:r>
        <w:rPr>
          <w:kern w:val="0"/>
          <w:u w:val="single"/>
        </w:rPr>
        <w:t>式中：</w:t>
      </w:r>
      <w:r>
        <w:rPr>
          <w:iCs/>
          <w:kern w:val="0"/>
          <w:u w:val="single"/>
        </w:rPr>
        <w:t>P</w:t>
      </w:r>
      <w:r>
        <w:rPr>
          <w:iCs/>
          <w:kern w:val="0"/>
          <w:u w:val="single"/>
          <w:vertAlign w:val="subscript"/>
        </w:rPr>
        <w:t>i</w:t>
      </w:r>
      <w:r>
        <w:rPr>
          <w:kern w:val="0"/>
          <w:u w:val="single"/>
        </w:rPr>
        <w:t>——某污染物的单项质量指数；</w:t>
      </w:r>
    </w:p>
    <w:p w14:paraId="263DD4D6">
      <w:pPr>
        <w:adjustRightInd w:val="0"/>
        <w:ind w:firstLine="437"/>
        <w:textAlignment w:val="baseline"/>
        <w:rPr>
          <w:kern w:val="0"/>
          <w:u w:val="single"/>
        </w:rPr>
      </w:pPr>
      <w:r>
        <w:rPr>
          <w:kern w:val="0"/>
          <w:u w:val="single"/>
        </w:rPr>
        <w:t xml:space="preserve">      </w:t>
      </w:r>
      <w:r>
        <w:rPr>
          <w:iCs/>
          <w:kern w:val="0"/>
          <w:u w:val="single"/>
        </w:rPr>
        <w:t>C</w:t>
      </w:r>
      <w:r>
        <w:rPr>
          <w:iCs/>
          <w:kern w:val="0"/>
          <w:u w:val="single"/>
          <w:vertAlign w:val="subscript"/>
        </w:rPr>
        <w:t>i</w:t>
      </w:r>
      <w:r>
        <w:rPr>
          <w:kern w:val="0"/>
          <w:u w:val="single"/>
        </w:rPr>
        <w:t>——某污染物的实测浓度，mg/m</w:t>
      </w:r>
      <w:r>
        <w:rPr>
          <w:kern w:val="0"/>
          <w:u w:val="single"/>
          <w:vertAlign w:val="superscript"/>
        </w:rPr>
        <w:t>3</w:t>
      </w:r>
      <w:r>
        <w:rPr>
          <w:kern w:val="0"/>
          <w:u w:val="single"/>
        </w:rPr>
        <w:t>；</w:t>
      </w:r>
    </w:p>
    <w:p w14:paraId="2D1AD50F">
      <w:pPr>
        <w:adjustRightInd w:val="0"/>
        <w:ind w:firstLine="437"/>
        <w:textAlignment w:val="baseline"/>
        <w:rPr>
          <w:u w:val="single"/>
        </w:rPr>
      </w:pPr>
      <w:r>
        <w:rPr>
          <w:kern w:val="0"/>
          <w:u w:val="single"/>
        </w:rPr>
        <w:t xml:space="preserve">      </w:t>
      </w:r>
      <w:r>
        <w:rPr>
          <w:iCs/>
          <w:kern w:val="0"/>
          <w:u w:val="single"/>
        </w:rPr>
        <w:t>S</w:t>
      </w:r>
      <w:r>
        <w:rPr>
          <w:iCs/>
          <w:kern w:val="0"/>
          <w:u w:val="single"/>
          <w:vertAlign w:val="subscript"/>
        </w:rPr>
        <w:t>i</w:t>
      </w:r>
      <w:r>
        <w:rPr>
          <w:kern w:val="0"/>
          <w:u w:val="single"/>
        </w:rPr>
        <w:t>——某污染物的评价标准限值，mg/m</w:t>
      </w:r>
      <w:r>
        <w:rPr>
          <w:kern w:val="0"/>
          <w:u w:val="single"/>
          <w:vertAlign w:val="superscript"/>
        </w:rPr>
        <w:t>3</w:t>
      </w:r>
      <w:r>
        <w:rPr>
          <w:kern w:val="0"/>
          <w:u w:val="single"/>
        </w:rPr>
        <w:t>。</w:t>
      </w:r>
    </w:p>
    <w:p w14:paraId="796C6694">
      <w:pPr>
        <w:pStyle w:val="5"/>
        <w:rPr>
          <w:u w:val="single"/>
          <w:lang w:val="zh-CN"/>
        </w:rPr>
      </w:pPr>
      <w:r>
        <w:rPr>
          <w:u w:val="single"/>
          <w:lang w:val="zh-CN"/>
        </w:rPr>
        <w:t>监测结果与评价</w:t>
      </w:r>
    </w:p>
    <w:p w14:paraId="4EA83C91">
      <w:pPr>
        <w:adjustRightInd w:val="0"/>
        <w:ind w:firstLine="437"/>
        <w:textAlignment w:val="baseline"/>
        <w:rPr>
          <w:kern w:val="0"/>
          <w:u w:val="single"/>
        </w:rPr>
      </w:pPr>
      <w:r>
        <w:rPr>
          <w:kern w:val="0"/>
          <w:u w:val="single"/>
        </w:rPr>
        <w:t>监测数据及统计结果见表3.4-3。</w:t>
      </w:r>
    </w:p>
    <w:p w14:paraId="6561CD9F">
      <w:pPr>
        <w:pStyle w:val="7"/>
        <w:rPr>
          <w:u w:val="single"/>
        </w:rPr>
      </w:pPr>
      <w:r>
        <w:rPr>
          <w:u w:val="single"/>
        </w:rPr>
        <w:t>环境空气现状监测结果及统计</w:t>
      </w:r>
      <w:r>
        <w:rPr>
          <w:rFonts w:hint="eastAsia"/>
          <w:u w:val="single"/>
        </w:rPr>
        <w:t>1</w:t>
      </w:r>
      <w:r>
        <w:rPr>
          <w:u w:val="single"/>
        </w:rPr>
        <w:t xml:space="preserve">    </w:t>
      </w:r>
      <w:r>
        <w:rPr>
          <w:sz w:val="21"/>
          <w:szCs w:val="21"/>
          <w:u w:val="single"/>
        </w:rPr>
        <w:t>单位</w:t>
      </w:r>
      <w:r>
        <w:rPr>
          <w:rFonts w:hint="eastAsia"/>
          <w:sz w:val="21"/>
          <w:szCs w:val="21"/>
          <w:u w:val="single"/>
        </w:rPr>
        <w:t>：</w:t>
      </w:r>
      <w:r>
        <w:rPr>
          <w:sz w:val="21"/>
          <w:szCs w:val="21"/>
          <w:u w:val="single"/>
        </w:rPr>
        <w:t>µg/m</w:t>
      </w:r>
      <w:r>
        <w:rPr>
          <w:sz w:val="21"/>
          <w:szCs w:val="21"/>
          <w:u w:val="single"/>
          <w:vertAlign w:val="superscript"/>
        </w:rPr>
        <w:t>3</w:t>
      </w:r>
    </w:p>
    <w:p w14:paraId="71EAB865">
      <w:pPr>
        <w:pStyle w:val="7"/>
        <w:rPr>
          <w:u w:val="single"/>
        </w:rPr>
      </w:pPr>
      <w:r>
        <w:rPr>
          <w:u w:val="single"/>
        </w:rPr>
        <w:t>环境空气现状监测结果及统计</w:t>
      </w:r>
      <w:r>
        <w:rPr>
          <w:rFonts w:hint="eastAsia"/>
          <w:u w:val="single"/>
        </w:rPr>
        <w:t>2</w:t>
      </w:r>
      <w:r>
        <w:rPr>
          <w:u w:val="single"/>
        </w:rPr>
        <w:t xml:space="preserve">     </w:t>
      </w:r>
      <w:r>
        <w:rPr>
          <w:sz w:val="21"/>
          <w:szCs w:val="21"/>
          <w:u w:val="single"/>
        </w:rPr>
        <w:t>单位</w:t>
      </w:r>
      <w:r>
        <w:rPr>
          <w:rFonts w:hint="eastAsia"/>
          <w:sz w:val="21"/>
          <w:szCs w:val="21"/>
          <w:u w:val="single"/>
        </w:rPr>
        <w:t>：</w:t>
      </w:r>
      <w:r>
        <w:rPr>
          <w:sz w:val="21"/>
          <w:szCs w:val="21"/>
          <w:u w:val="single"/>
        </w:rPr>
        <w:t>µg/m</w:t>
      </w:r>
      <w:r>
        <w:rPr>
          <w:sz w:val="21"/>
          <w:szCs w:val="21"/>
          <w:u w:val="single"/>
          <w:vertAlign w:val="superscript"/>
        </w:rPr>
        <w:t>3</w:t>
      </w:r>
    </w:p>
    <w:p w14:paraId="744CC19B">
      <w:pPr>
        <w:adjustRightInd w:val="0"/>
        <w:ind w:firstLine="437"/>
        <w:textAlignment w:val="baseline"/>
        <w:rPr>
          <w:u w:val="single"/>
        </w:rPr>
      </w:pPr>
      <w:r>
        <w:rPr>
          <w:rFonts w:hint="eastAsia"/>
          <w:u w:val="single"/>
        </w:rPr>
        <w:t>监测结果显示，项目所在区域SO</w:t>
      </w:r>
      <w:r>
        <w:rPr>
          <w:rFonts w:hint="eastAsia"/>
          <w:u w:val="single"/>
          <w:vertAlign w:val="subscript"/>
        </w:rPr>
        <w:t>2</w:t>
      </w:r>
      <w:r>
        <w:rPr>
          <w:rFonts w:hint="eastAsia"/>
          <w:u w:val="single"/>
        </w:rPr>
        <w:t>、NO</w:t>
      </w:r>
      <w:r>
        <w:rPr>
          <w:rFonts w:hint="eastAsia"/>
          <w:u w:val="single"/>
          <w:vertAlign w:val="subscript"/>
        </w:rPr>
        <w:t>2</w:t>
      </w:r>
      <w:r>
        <w:rPr>
          <w:rFonts w:hint="eastAsia"/>
          <w:u w:val="single"/>
        </w:rPr>
        <w:t>、CO、TSP监测结果均满足</w:t>
      </w:r>
      <w:r>
        <w:rPr>
          <w:u w:val="single"/>
        </w:rPr>
        <w:t>《环境空气质量标准》(GB3095-2012</w:t>
      </w:r>
      <w:r>
        <w:rPr>
          <w:rFonts w:hint="eastAsia"/>
          <w:u w:val="single"/>
        </w:rPr>
        <w:t>）</w:t>
      </w:r>
      <w:r>
        <w:rPr>
          <w:u w:val="single"/>
        </w:rPr>
        <w:t>二级标准</w:t>
      </w:r>
      <w:r>
        <w:rPr>
          <w:rFonts w:hint="eastAsia"/>
          <w:u w:val="single"/>
        </w:rPr>
        <w:t>，非甲烷总烃能满足</w:t>
      </w:r>
      <w:r>
        <w:rPr>
          <w:szCs w:val="22"/>
          <w:u w:val="single"/>
          <w:lang w:bidi="ar"/>
        </w:rPr>
        <w:t>《环境影响评价技术导则大气环境》（HJ 2.2-2018）附录D</w:t>
      </w:r>
      <w:r>
        <w:rPr>
          <w:rFonts w:hint="eastAsia"/>
          <w:szCs w:val="22"/>
          <w:u w:val="single"/>
          <w:lang w:bidi="ar"/>
        </w:rPr>
        <w:t>标准要求</w:t>
      </w:r>
      <w:r>
        <w:rPr>
          <w:rFonts w:hint="eastAsia"/>
          <w:u w:val="single"/>
        </w:rPr>
        <w:t>，环境空气质量现状良好。</w:t>
      </w:r>
    </w:p>
    <w:p w14:paraId="3FAC3F3C">
      <w:pPr>
        <w:pStyle w:val="4"/>
      </w:pPr>
      <w:bookmarkStart w:id="370" w:name="_Toc269375444"/>
      <w:bookmarkStart w:id="371" w:name="_Toc317003533"/>
      <w:bookmarkStart w:id="372" w:name="_Toc78814535"/>
      <w:bookmarkStart w:id="373" w:name="_Toc58731927"/>
      <w:bookmarkStart w:id="374" w:name="_Toc217977919"/>
      <w:bookmarkStart w:id="375" w:name="_Toc58939569"/>
      <w:bookmarkStart w:id="376" w:name="_Toc58939060"/>
      <w:bookmarkStart w:id="377" w:name="_Toc317003253"/>
      <w:bookmarkStart w:id="378" w:name="_Toc160857176"/>
      <w:bookmarkStart w:id="379" w:name="_Toc160855858"/>
      <w:bookmarkStart w:id="380" w:name="_Toc125384782"/>
      <w:bookmarkStart w:id="381" w:name="_Toc198042323"/>
      <w:bookmarkStart w:id="382" w:name="_Toc160854903"/>
      <w:r>
        <w:t>声环境质量现状调查与评价</w:t>
      </w:r>
      <w:bookmarkEnd w:id="370"/>
      <w:bookmarkEnd w:id="371"/>
      <w:bookmarkEnd w:id="372"/>
      <w:bookmarkEnd w:id="373"/>
      <w:bookmarkEnd w:id="374"/>
      <w:bookmarkEnd w:id="375"/>
      <w:bookmarkEnd w:id="376"/>
      <w:bookmarkEnd w:id="377"/>
      <w:bookmarkEnd w:id="378"/>
      <w:bookmarkEnd w:id="379"/>
      <w:bookmarkEnd w:id="380"/>
      <w:bookmarkEnd w:id="381"/>
      <w:bookmarkEnd w:id="382"/>
    </w:p>
    <w:p w14:paraId="4E02B83D">
      <w:pPr>
        <w:pStyle w:val="5"/>
      </w:pPr>
      <w:bookmarkStart w:id="383" w:name="_Toc58939061"/>
      <w:bookmarkStart w:id="384" w:name="_Toc160854904"/>
      <w:bookmarkStart w:id="385" w:name="_Toc61078073"/>
      <w:bookmarkStart w:id="386" w:name="_Toc160857177"/>
      <w:bookmarkStart w:id="387" w:name="_Toc160855859"/>
      <w:bookmarkStart w:id="388" w:name="_Toc58939570"/>
      <w:bookmarkStart w:id="389" w:name="_Toc61081326"/>
      <w:bookmarkStart w:id="390" w:name="_Toc78814536"/>
      <w:r>
        <w:t>噪声环境质量现状监测</w:t>
      </w:r>
      <w:bookmarkEnd w:id="383"/>
      <w:bookmarkEnd w:id="384"/>
      <w:bookmarkEnd w:id="385"/>
      <w:bookmarkEnd w:id="386"/>
      <w:bookmarkEnd w:id="387"/>
      <w:bookmarkEnd w:id="388"/>
      <w:bookmarkEnd w:id="389"/>
      <w:bookmarkEnd w:id="390"/>
    </w:p>
    <w:p w14:paraId="3F93315A">
      <w:pPr>
        <w:pStyle w:val="6"/>
      </w:pPr>
      <w:bookmarkStart w:id="391" w:name="_Toc160857178"/>
      <w:bookmarkStart w:id="392" w:name="_Toc160855860"/>
      <w:bookmarkStart w:id="393" w:name="_Toc160854905"/>
      <w:r>
        <w:t>监测点</w:t>
      </w:r>
      <w:bookmarkEnd w:id="391"/>
      <w:bookmarkEnd w:id="392"/>
      <w:bookmarkEnd w:id="393"/>
      <w:r>
        <w:t>位布设</w:t>
      </w:r>
    </w:p>
    <w:p w14:paraId="0CD9324C">
      <w:pPr>
        <w:ind w:firstLine="437"/>
        <w:rPr>
          <w:u w:val="single"/>
        </w:rPr>
      </w:pPr>
      <w:r>
        <w:rPr>
          <w:u w:val="single"/>
        </w:rPr>
        <w:t>项目声环境评价范围内现有</w:t>
      </w:r>
      <w:r>
        <w:rPr>
          <w:rFonts w:hint="eastAsia"/>
          <w:u w:val="single"/>
        </w:rPr>
        <w:t>噪声源</w:t>
      </w:r>
      <w:r>
        <w:rPr>
          <w:u w:val="single"/>
        </w:rPr>
        <w:t>主要为</w:t>
      </w:r>
      <w:r>
        <w:rPr>
          <w:rFonts w:hint="eastAsia"/>
          <w:u w:val="single"/>
        </w:rPr>
        <w:t>9、10号泊位船舶噪声、装卸设备运行机械噪声</w:t>
      </w:r>
      <w:r>
        <w:rPr>
          <w:u w:val="single"/>
        </w:rPr>
        <w:t>。</w:t>
      </w:r>
      <w:r>
        <w:rPr>
          <w:rFonts w:hint="eastAsia"/>
          <w:u w:val="single"/>
        </w:rPr>
        <w:t>项目紧临现状10号泊位，南侧和西侧均为海域，因此本次监测点位主要设置在项目厂界北侧和西侧。</w:t>
      </w:r>
      <w:r>
        <w:rPr>
          <w:u w:val="single"/>
        </w:rPr>
        <w:t>声环境质量现状监测点设置见表3.5-1。</w:t>
      </w:r>
    </w:p>
    <w:p w14:paraId="036B56F8">
      <w:pPr>
        <w:pStyle w:val="7"/>
        <w:rPr>
          <w:u w:val="single"/>
        </w:rPr>
      </w:pPr>
      <w:r>
        <w:rPr>
          <w:u w:val="single"/>
        </w:rPr>
        <w:t>环境噪声现状监测点一览表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06"/>
        <w:gridCol w:w="2742"/>
        <w:gridCol w:w="2946"/>
        <w:gridCol w:w="1834"/>
      </w:tblGrid>
      <w:tr w14:paraId="330BAF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90" w:type="pct"/>
            <w:vAlign w:val="center"/>
          </w:tcPr>
          <w:p w14:paraId="47F414E7">
            <w:pPr>
              <w:pStyle w:val="34"/>
              <w:rPr>
                <w:u w:val="single"/>
              </w:rPr>
            </w:pPr>
            <w:r>
              <w:rPr>
                <w:u w:val="single"/>
              </w:rPr>
              <w:t>点号</w:t>
            </w:r>
          </w:p>
        </w:tc>
        <w:tc>
          <w:tcPr>
            <w:tcW w:w="1607" w:type="pct"/>
            <w:vAlign w:val="center"/>
          </w:tcPr>
          <w:p w14:paraId="79D2AD38">
            <w:pPr>
              <w:pStyle w:val="34"/>
              <w:rPr>
                <w:u w:val="single"/>
              </w:rPr>
            </w:pPr>
            <w:r>
              <w:rPr>
                <w:u w:val="single"/>
              </w:rPr>
              <w:t>名称</w:t>
            </w:r>
          </w:p>
        </w:tc>
        <w:tc>
          <w:tcPr>
            <w:tcW w:w="1727" w:type="pct"/>
            <w:vAlign w:val="center"/>
          </w:tcPr>
          <w:p w14:paraId="224C2C3D">
            <w:pPr>
              <w:pStyle w:val="34"/>
              <w:rPr>
                <w:u w:val="single"/>
              </w:rPr>
            </w:pPr>
            <w:r>
              <w:rPr>
                <w:u w:val="single"/>
              </w:rPr>
              <w:t>执行标准</w:t>
            </w:r>
          </w:p>
        </w:tc>
        <w:tc>
          <w:tcPr>
            <w:tcW w:w="1075" w:type="pct"/>
            <w:vAlign w:val="center"/>
          </w:tcPr>
          <w:p w14:paraId="5F49F367">
            <w:pPr>
              <w:pStyle w:val="34"/>
              <w:rPr>
                <w:u w:val="single"/>
              </w:rPr>
            </w:pPr>
            <w:r>
              <w:rPr>
                <w:u w:val="single"/>
              </w:rPr>
              <w:t>备注</w:t>
            </w:r>
          </w:p>
        </w:tc>
      </w:tr>
      <w:tr w14:paraId="280A64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90" w:type="pct"/>
            <w:vAlign w:val="center"/>
          </w:tcPr>
          <w:p w14:paraId="6247707E">
            <w:pPr>
              <w:pStyle w:val="34"/>
              <w:rPr>
                <w:u w:val="single"/>
              </w:rPr>
            </w:pPr>
            <w:r>
              <w:rPr>
                <w:u w:val="single"/>
              </w:rPr>
              <w:t>N1</w:t>
            </w:r>
          </w:p>
        </w:tc>
        <w:tc>
          <w:tcPr>
            <w:tcW w:w="1607" w:type="pct"/>
            <w:vAlign w:val="center"/>
          </w:tcPr>
          <w:p w14:paraId="69B38BC1">
            <w:pPr>
              <w:pStyle w:val="34"/>
              <w:rPr>
                <w:u w:val="single"/>
              </w:rPr>
            </w:pPr>
            <w:r>
              <w:rPr>
                <w:rFonts w:hint="eastAsia"/>
                <w:u w:val="single"/>
              </w:rPr>
              <w:t>项目北侧厂界</w:t>
            </w:r>
          </w:p>
        </w:tc>
        <w:tc>
          <w:tcPr>
            <w:tcW w:w="1727" w:type="pct"/>
            <w:vMerge w:val="restart"/>
            <w:vAlign w:val="center"/>
          </w:tcPr>
          <w:p w14:paraId="2805603A">
            <w:pPr>
              <w:pStyle w:val="34"/>
              <w:rPr>
                <w:u w:val="single"/>
              </w:rPr>
            </w:pPr>
            <w:r>
              <w:rPr>
                <w:u w:val="single"/>
              </w:rPr>
              <w:t>《声环境质量标准》（GB3096-2008）3类</w:t>
            </w:r>
          </w:p>
        </w:tc>
        <w:tc>
          <w:tcPr>
            <w:tcW w:w="1075" w:type="pct"/>
            <w:vMerge w:val="restart"/>
            <w:vAlign w:val="center"/>
          </w:tcPr>
          <w:p w14:paraId="7149673C">
            <w:pPr>
              <w:pStyle w:val="34"/>
              <w:rPr>
                <w:u w:val="single"/>
              </w:rPr>
            </w:pPr>
            <w:r>
              <w:rPr>
                <w:u w:val="single"/>
              </w:rPr>
              <w:t>环境噪声</w:t>
            </w:r>
          </w:p>
        </w:tc>
      </w:tr>
      <w:tr w14:paraId="1190D8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90" w:type="pct"/>
            <w:vAlign w:val="center"/>
          </w:tcPr>
          <w:p w14:paraId="31C43E40">
            <w:pPr>
              <w:pStyle w:val="34"/>
              <w:rPr>
                <w:u w:val="single"/>
              </w:rPr>
            </w:pPr>
            <w:r>
              <w:rPr>
                <w:u w:val="single"/>
              </w:rPr>
              <w:t>N2</w:t>
            </w:r>
          </w:p>
        </w:tc>
        <w:tc>
          <w:tcPr>
            <w:tcW w:w="1607" w:type="pct"/>
            <w:vAlign w:val="center"/>
          </w:tcPr>
          <w:p w14:paraId="5094E016">
            <w:pPr>
              <w:pStyle w:val="34"/>
              <w:rPr>
                <w:u w:val="single"/>
              </w:rPr>
            </w:pPr>
            <w:r>
              <w:rPr>
                <w:rFonts w:hint="eastAsia"/>
                <w:u w:val="single"/>
              </w:rPr>
              <w:t>项目西侧厂界</w:t>
            </w:r>
          </w:p>
        </w:tc>
        <w:tc>
          <w:tcPr>
            <w:tcW w:w="1727" w:type="pct"/>
            <w:vMerge w:val="continue"/>
            <w:vAlign w:val="center"/>
          </w:tcPr>
          <w:p w14:paraId="7A6586BA">
            <w:pPr>
              <w:pStyle w:val="34"/>
              <w:rPr>
                <w:u w:val="single"/>
              </w:rPr>
            </w:pPr>
          </w:p>
        </w:tc>
        <w:tc>
          <w:tcPr>
            <w:tcW w:w="1075" w:type="pct"/>
            <w:vMerge w:val="continue"/>
            <w:vAlign w:val="center"/>
          </w:tcPr>
          <w:p w14:paraId="23EE8C80">
            <w:pPr>
              <w:pStyle w:val="34"/>
              <w:rPr>
                <w:u w:val="single"/>
              </w:rPr>
            </w:pPr>
          </w:p>
        </w:tc>
      </w:tr>
    </w:tbl>
    <w:p w14:paraId="7CDFC2EE">
      <w:pPr>
        <w:pStyle w:val="6"/>
      </w:pPr>
      <w:r>
        <w:t>监测项目与监测方法</w:t>
      </w:r>
    </w:p>
    <w:p w14:paraId="2F4630CE">
      <w:pPr>
        <w:ind w:firstLine="437"/>
      </w:pPr>
      <w:r>
        <w:t>监测项目：等效连续A声级L</w:t>
      </w:r>
      <w:r>
        <w:rPr>
          <w:vertAlign w:val="subscript"/>
        </w:rPr>
        <w:t>Aeq</w:t>
      </w:r>
      <w:r>
        <w:t>。</w:t>
      </w:r>
    </w:p>
    <w:p w14:paraId="32CB0A8E">
      <w:pPr>
        <w:ind w:firstLine="437"/>
      </w:pPr>
      <w:r>
        <w:t>监测方法与数据处理按《声环境质量标准》（GB3096-2008）中的有关规定进行。</w:t>
      </w:r>
    </w:p>
    <w:p w14:paraId="3260BA82">
      <w:pPr>
        <w:pStyle w:val="6"/>
      </w:pPr>
      <w:r>
        <w:t>监测时间与频率</w:t>
      </w:r>
    </w:p>
    <w:p w14:paraId="43DFEDA9">
      <w:pPr>
        <w:ind w:firstLine="437"/>
      </w:pPr>
      <w:r>
        <w:t>监测时间：202</w:t>
      </w:r>
      <w:r>
        <w:rPr>
          <w:rFonts w:hint="eastAsia"/>
        </w:rPr>
        <w:t>6</w:t>
      </w:r>
      <w:r>
        <w:t>年</w:t>
      </w:r>
      <w:r>
        <w:rPr>
          <w:rFonts w:hint="eastAsia"/>
        </w:rPr>
        <w:t>1</w:t>
      </w:r>
      <w:r>
        <w:t>月</w:t>
      </w:r>
      <w:r>
        <w:rPr>
          <w:rFonts w:hint="eastAsia"/>
        </w:rPr>
        <w:t>6</w:t>
      </w:r>
      <w:r>
        <w:t>日～</w:t>
      </w:r>
      <w:r>
        <w:rPr>
          <w:rFonts w:hint="eastAsia"/>
        </w:rPr>
        <w:t>7</w:t>
      </w:r>
      <w:r>
        <w:t>日，连续2d。</w:t>
      </w:r>
    </w:p>
    <w:p w14:paraId="00AD3D79">
      <w:pPr>
        <w:ind w:firstLine="437"/>
      </w:pPr>
      <w:r>
        <w:t>监测频率：各测点连续监测2d，每天昼夜各测1次，每次20min。</w:t>
      </w:r>
    </w:p>
    <w:p w14:paraId="111BEC9A">
      <w:pPr>
        <w:pStyle w:val="5"/>
      </w:pPr>
      <w:r>
        <w:t>声环境质量现状评价</w:t>
      </w:r>
    </w:p>
    <w:p w14:paraId="775098C6">
      <w:pPr>
        <w:pStyle w:val="6"/>
      </w:pPr>
      <w:r>
        <w:t>评价方法与评价标准</w:t>
      </w:r>
    </w:p>
    <w:p w14:paraId="6A01DE8C">
      <w:pPr>
        <w:ind w:firstLine="437"/>
      </w:pPr>
      <w:r>
        <w:t>评价方法：采用标准值对比分析法进行评价。</w:t>
      </w:r>
    </w:p>
    <w:p w14:paraId="64C397C5">
      <w:pPr>
        <w:ind w:firstLine="437"/>
      </w:pPr>
      <w:r>
        <w:t>评价标准：场界现状执行《声环境质量标准》（GB3096-2008）3类标准。</w:t>
      </w:r>
    </w:p>
    <w:p w14:paraId="3EA24485">
      <w:pPr>
        <w:pStyle w:val="6"/>
      </w:pPr>
      <w:r>
        <w:t>现状监测评价</w:t>
      </w:r>
    </w:p>
    <w:p w14:paraId="722B87FE">
      <w:pPr>
        <w:ind w:firstLine="437"/>
      </w:pPr>
      <w:r>
        <w:t>声环境现状监测及评价结果见表3.5-2。</w:t>
      </w:r>
    </w:p>
    <w:p w14:paraId="0B0D07C6">
      <w:pPr>
        <w:pStyle w:val="7"/>
      </w:pPr>
      <w:r>
        <w:t xml:space="preserve">  声环境监测及评价结果一览      单位</w:t>
      </w:r>
      <w:r>
        <w:rPr>
          <w:rFonts w:hint="eastAsia"/>
        </w:rPr>
        <w:t>：</w:t>
      </w:r>
      <w:r>
        <w:t>dB（A）</w:t>
      </w:r>
    </w:p>
    <w:p w14:paraId="17C671F8">
      <w:pPr>
        <w:ind w:firstLine="437"/>
        <w:rPr>
          <w:u w:val="single"/>
        </w:rPr>
      </w:pPr>
      <w:r>
        <w:rPr>
          <w:u w:val="single"/>
        </w:rPr>
        <w:t>监测结果表明，项目厂界噪声监测点昼夜间监测值均满足</w:t>
      </w:r>
      <w:r>
        <w:rPr>
          <w:rFonts w:hint="eastAsia"/>
          <w:u w:val="single"/>
        </w:rPr>
        <w:t>《声环境质量标准》（GB3096-2008）3类标准</w:t>
      </w:r>
      <w:r>
        <w:rPr>
          <w:u w:val="single"/>
        </w:rPr>
        <w:t>限值要求。</w:t>
      </w:r>
    </w:p>
    <w:p w14:paraId="1DC35EDE">
      <w:pPr>
        <w:pStyle w:val="4"/>
      </w:pPr>
      <w:bookmarkStart w:id="394" w:name="_Toc217977920"/>
      <w:r>
        <w:rPr>
          <w:rFonts w:hint="eastAsia"/>
        </w:rPr>
        <w:t>地下水</w:t>
      </w:r>
      <w:r>
        <w:t>环境现状调查</w:t>
      </w:r>
      <w:bookmarkEnd w:id="394"/>
    </w:p>
    <w:p w14:paraId="249CB947">
      <w:pPr>
        <w:ind w:firstLine="437"/>
      </w:pPr>
      <w:r>
        <w:rPr>
          <w:rFonts w:hint="eastAsia"/>
        </w:rPr>
        <w:t>评价引用</w:t>
      </w:r>
      <w:bookmarkStart w:id="395" w:name="_Hlk206578325"/>
      <w:r>
        <w:rPr>
          <w:rFonts w:hint="eastAsia"/>
        </w:rPr>
        <w:t>《钦州港大榄坪南作业区7#、8#泊位新增危险货物集装箱项目（重大变动）》（报批稿）2024年1月</w:t>
      </w:r>
      <w:bookmarkEnd w:id="395"/>
      <w:r>
        <w:rPr>
          <w:rFonts w:hint="eastAsia"/>
        </w:rPr>
        <w:t>在项目周边开展的三个地下水站位的监测数据。</w:t>
      </w:r>
    </w:p>
    <w:p w14:paraId="0CE76287">
      <w:pPr>
        <w:ind w:firstLine="439"/>
        <w:rPr>
          <w:b/>
        </w:rPr>
      </w:pPr>
      <w:r>
        <w:rPr>
          <w:rFonts w:hint="eastAsia"/>
          <w:b/>
        </w:rPr>
        <w:t>1、监测点位情况</w:t>
      </w:r>
    </w:p>
    <w:p w14:paraId="23BB8539">
      <w:pPr>
        <w:ind w:firstLine="437"/>
      </w:pPr>
      <w:r>
        <w:rPr>
          <w:rFonts w:hint="eastAsia"/>
        </w:rPr>
        <w:t>项目地下水环境影响评价工作等级为三级。根据《环境影响评价技术导则 地下水环境》（HJ610-2016）8.3.3.3“现状监测点的布设原则”，三级评价项目潜水含水层水质监测点应不少于3个，可能受建设项目影响且具有饮用水开发利用价值的含水层1-2个。原则上建设项目场地上游及下游影响区的地下水水质监测点各不得少于1个。</w:t>
      </w:r>
    </w:p>
    <w:p w14:paraId="6BF2ADAD">
      <w:pPr>
        <w:ind w:firstLine="437"/>
      </w:pPr>
      <w:r>
        <w:rPr>
          <w:rFonts w:hint="eastAsia"/>
          <w:u w:val="single"/>
        </w:rPr>
        <w:t>根据现场调查，项目南面为钦州湾海域，其余各方位主要为港口码头或企业，均为填海造地后的硬化陆地，无现状地下水井且不利于地下水监控井的布置，围填海区域地下水径流弱，局部地下水为海水补给地下水，因此本次评价根据周边现状及现有水井情况，相应调整本项目地下水监测点位至西北侧天然陆地区域。根据钦州幅水文地质图及区域1:20万水文地质调查报告，项目工程区域西北侧为未划分的侏罗统J</w:t>
      </w:r>
      <w:r>
        <w:rPr>
          <w:rFonts w:hint="eastAsia"/>
          <w:u w:val="single"/>
          <w:vertAlign w:val="subscript"/>
        </w:rPr>
        <w:t>2</w:t>
      </w:r>
      <w:r>
        <w:rPr>
          <w:rFonts w:hint="eastAsia"/>
          <w:u w:val="single"/>
        </w:rPr>
        <w:t>地层，地下水类型为碎屑岩类裂隙孔隙水，淡水湾、鸡墩头村、硫磺山现有水井均位于该水文地质单元内，能够反映该区域地下水水质情况。因此，</w:t>
      </w:r>
      <w:r>
        <w:rPr>
          <w:rFonts w:hint="eastAsia"/>
        </w:rPr>
        <w:t>引用的地下水现状监测点位布设符合《环境影响评价技术导则 地下水环境》（HJ610-2016）8.3.3.3“现状监测点的布设原则”。淡水湾、鸡墩头村、硫磺山的3处水井地下水环境质量现状监测见表3.6-1。</w:t>
      </w:r>
    </w:p>
    <w:p w14:paraId="57FDBB1C">
      <w:pPr>
        <w:pStyle w:val="172"/>
        <w:numPr>
          <w:ilvl w:val="1"/>
          <w:numId w:val="52"/>
        </w:numPr>
        <w:spacing w:before="20" w:after="20"/>
        <w:ind w:firstLineChars="0"/>
        <w:outlineLvl w:val="1"/>
        <w:rPr>
          <w:b/>
          <w:bCs/>
          <w:vanish/>
          <w:sz w:val="32"/>
          <w:szCs w:val="32"/>
        </w:rPr>
      </w:pPr>
      <w:bookmarkStart w:id="396" w:name="_Toc217977921"/>
      <w:bookmarkEnd w:id="396"/>
    </w:p>
    <w:p w14:paraId="3C00055A">
      <w:pPr>
        <w:pStyle w:val="172"/>
        <w:numPr>
          <w:ilvl w:val="2"/>
          <w:numId w:val="52"/>
        </w:numPr>
        <w:ind w:firstLineChars="0"/>
        <w:outlineLvl w:val="2"/>
        <w:rPr>
          <w:b/>
          <w:bCs/>
          <w:vanish/>
          <w:sz w:val="28"/>
          <w:szCs w:val="32"/>
        </w:rPr>
      </w:pPr>
    </w:p>
    <w:p w14:paraId="67DA21EA">
      <w:pPr>
        <w:pStyle w:val="172"/>
        <w:numPr>
          <w:ilvl w:val="2"/>
          <w:numId w:val="52"/>
        </w:numPr>
        <w:ind w:firstLineChars="0"/>
        <w:outlineLvl w:val="2"/>
        <w:rPr>
          <w:b/>
          <w:bCs/>
          <w:vanish/>
          <w:sz w:val="28"/>
          <w:szCs w:val="32"/>
        </w:rPr>
      </w:pPr>
    </w:p>
    <w:p w14:paraId="3653EE24">
      <w:pPr>
        <w:pStyle w:val="172"/>
        <w:keepLines/>
        <w:numPr>
          <w:ilvl w:val="3"/>
          <w:numId w:val="52"/>
        </w:numPr>
        <w:ind w:firstLineChars="0"/>
        <w:outlineLvl w:val="3"/>
        <w:rPr>
          <w:b/>
          <w:bCs/>
          <w:vanish/>
          <w:szCs w:val="28"/>
        </w:rPr>
      </w:pPr>
    </w:p>
    <w:p w14:paraId="4CE3B6A4">
      <w:pPr>
        <w:pStyle w:val="172"/>
        <w:keepLines/>
        <w:numPr>
          <w:ilvl w:val="4"/>
          <w:numId w:val="52"/>
        </w:numPr>
        <w:ind w:firstLineChars="0"/>
        <w:outlineLvl w:val="3"/>
        <w:rPr>
          <w:b/>
          <w:bCs/>
          <w:vanish/>
          <w:szCs w:val="28"/>
        </w:rPr>
      </w:pPr>
    </w:p>
    <w:p w14:paraId="56E28A11">
      <w:pPr>
        <w:pStyle w:val="7"/>
      </w:pPr>
      <w:r>
        <w:rPr>
          <w:rFonts w:hint="eastAsia"/>
        </w:rPr>
        <w:t>地下水水质监测点位布设及水位监测情况一览表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04"/>
        <w:gridCol w:w="878"/>
        <w:gridCol w:w="1277"/>
        <w:gridCol w:w="1133"/>
        <w:gridCol w:w="994"/>
        <w:gridCol w:w="709"/>
        <w:gridCol w:w="3027"/>
      </w:tblGrid>
      <w:tr w14:paraId="7C5B07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69" w:hRule="atLeast"/>
          <w:tblHeader/>
          <w:jc w:val="center"/>
        </w:trPr>
        <w:tc>
          <w:tcPr>
            <w:tcW w:w="504" w:type="dxa"/>
            <w:vAlign w:val="center"/>
          </w:tcPr>
          <w:p w14:paraId="4BD79BDF">
            <w:pPr>
              <w:pStyle w:val="34"/>
            </w:pPr>
            <w:r>
              <w:t>编号</w:t>
            </w:r>
          </w:p>
        </w:tc>
        <w:tc>
          <w:tcPr>
            <w:tcW w:w="878" w:type="dxa"/>
            <w:vAlign w:val="center"/>
          </w:tcPr>
          <w:p w14:paraId="298390DB">
            <w:pPr>
              <w:pStyle w:val="34"/>
            </w:pPr>
            <w:r>
              <w:t>监测点名称</w:t>
            </w:r>
          </w:p>
        </w:tc>
        <w:tc>
          <w:tcPr>
            <w:tcW w:w="1277" w:type="dxa"/>
            <w:vAlign w:val="center"/>
          </w:tcPr>
          <w:p w14:paraId="3758E90B">
            <w:pPr>
              <w:pStyle w:val="34"/>
            </w:pPr>
            <w:r>
              <w:t>与本项目方位、距离</w:t>
            </w:r>
          </w:p>
        </w:tc>
        <w:tc>
          <w:tcPr>
            <w:tcW w:w="1133" w:type="dxa"/>
            <w:vAlign w:val="center"/>
          </w:tcPr>
          <w:p w14:paraId="68F10969">
            <w:pPr>
              <w:pStyle w:val="34"/>
            </w:pPr>
            <w:r>
              <w:t>取水形式及用途</w:t>
            </w:r>
          </w:p>
        </w:tc>
        <w:tc>
          <w:tcPr>
            <w:tcW w:w="994" w:type="dxa"/>
            <w:vAlign w:val="center"/>
          </w:tcPr>
          <w:p w14:paraId="0202E6C0">
            <w:pPr>
              <w:pStyle w:val="34"/>
            </w:pPr>
            <w:r>
              <w:t>取水</w:t>
            </w:r>
          </w:p>
          <w:p w14:paraId="445B12EA">
            <w:pPr>
              <w:pStyle w:val="34"/>
            </w:pPr>
            <w:r>
              <w:t>方式</w:t>
            </w:r>
          </w:p>
        </w:tc>
        <w:tc>
          <w:tcPr>
            <w:tcW w:w="709" w:type="dxa"/>
            <w:vAlign w:val="center"/>
          </w:tcPr>
          <w:p w14:paraId="74F17991">
            <w:pPr>
              <w:pStyle w:val="34"/>
              <w:rPr>
                <w:u w:val="single"/>
              </w:rPr>
            </w:pPr>
            <w:r>
              <w:rPr>
                <w:rFonts w:hint="eastAsia"/>
                <w:u w:val="single"/>
              </w:rPr>
              <w:t>水位埋深</w:t>
            </w:r>
          </w:p>
        </w:tc>
        <w:tc>
          <w:tcPr>
            <w:tcW w:w="3027" w:type="dxa"/>
            <w:vAlign w:val="center"/>
          </w:tcPr>
          <w:p w14:paraId="6ED1A95B">
            <w:pPr>
              <w:pStyle w:val="34"/>
            </w:pPr>
            <w:r>
              <w:t>水力联系</w:t>
            </w:r>
          </w:p>
        </w:tc>
      </w:tr>
      <w:tr w14:paraId="71CBBD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04" w:type="dxa"/>
            <w:vAlign w:val="center"/>
          </w:tcPr>
          <w:p w14:paraId="4B41C51F">
            <w:pPr>
              <w:pStyle w:val="34"/>
            </w:pPr>
            <w:r>
              <w:t>G1</w:t>
            </w:r>
          </w:p>
        </w:tc>
        <w:tc>
          <w:tcPr>
            <w:tcW w:w="878" w:type="dxa"/>
            <w:vAlign w:val="center"/>
          </w:tcPr>
          <w:p w14:paraId="3534114D">
            <w:pPr>
              <w:pStyle w:val="34"/>
            </w:pPr>
            <w:r>
              <w:rPr>
                <w:rFonts w:hint="eastAsia"/>
              </w:rPr>
              <w:t>淡水湾</w:t>
            </w:r>
          </w:p>
        </w:tc>
        <w:tc>
          <w:tcPr>
            <w:tcW w:w="1277" w:type="dxa"/>
            <w:vAlign w:val="center"/>
          </w:tcPr>
          <w:p w14:paraId="2988850D">
            <w:pPr>
              <w:pStyle w:val="34"/>
            </w:pPr>
            <w:r>
              <w:t>北侧</w:t>
            </w:r>
            <w:r>
              <w:rPr>
                <w:rFonts w:hint="eastAsia"/>
              </w:rPr>
              <w:t>4.7k</w:t>
            </w:r>
            <w:r>
              <w:t>m</w:t>
            </w:r>
          </w:p>
        </w:tc>
        <w:tc>
          <w:tcPr>
            <w:tcW w:w="1133" w:type="dxa"/>
            <w:vAlign w:val="center"/>
          </w:tcPr>
          <w:p w14:paraId="75650189">
            <w:pPr>
              <w:pStyle w:val="34"/>
            </w:pPr>
            <w:r>
              <w:t>分散式、生产</w:t>
            </w:r>
          </w:p>
        </w:tc>
        <w:tc>
          <w:tcPr>
            <w:tcW w:w="994" w:type="dxa"/>
            <w:vAlign w:val="center"/>
          </w:tcPr>
          <w:p w14:paraId="3EF8DF5A">
            <w:pPr>
              <w:pStyle w:val="34"/>
            </w:pPr>
            <w:r>
              <w:t>浅水井</w:t>
            </w:r>
          </w:p>
        </w:tc>
        <w:tc>
          <w:tcPr>
            <w:tcW w:w="709" w:type="dxa"/>
            <w:vAlign w:val="center"/>
          </w:tcPr>
          <w:p w14:paraId="6C9D5FD3">
            <w:pPr>
              <w:pStyle w:val="34"/>
              <w:rPr>
                <w:u w:val="single"/>
              </w:rPr>
            </w:pPr>
            <w:r>
              <w:rPr>
                <w:rFonts w:hint="eastAsia"/>
                <w:u w:val="single"/>
              </w:rPr>
              <w:t>5.5m</w:t>
            </w:r>
          </w:p>
        </w:tc>
        <w:tc>
          <w:tcPr>
            <w:tcW w:w="3027" w:type="dxa"/>
            <w:vAlign w:val="center"/>
          </w:tcPr>
          <w:p w14:paraId="6C722393">
            <w:pPr>
              <w:pStyle w:val="34"/>
            </w:pPr>
            <w:r>
              <w:t>位于同一水文地质单位，本项目位于该水文地质单元排泄区</w:t>
            </w:r>
          </w:p>
        </w:tc>
      </w:tr>
      <w:tr w14:paraId="3E7B2A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04" w:type="dxa"/>
            <w:vAlign w:val="center"/>
          </w:tcPr>
          <w:p w14:paraId="302E1420">
            <w:pPr>
              <w:pStyle w:val="34"/>
            </w:pPr>
            <w:r>
              <w:t>G2</w:t>
            </w:r>
          </w:p>
        </w:tc>
        <w:tc>
          <w:tcPr>
            <w:tcW w:w="878" w:type="dxa"/>
            <w:vAlign w:val="center"/>
          </w:tcPr>
          <w:p w14:paraId="72C6E544">
            <w:pPr>
              <w:pStyle w:val="34"/>
            </w:pPr>
            <w:r>
              <w:rPr>
                <w:rFonts w:hint="eastAsia"/>
              </w:rPr>
              <w:t>鸡墩头村</w:t>
            </w:r>
          </w:p>
        </w:tc>
        <w:tc>
          <w:tcPr>
            <w:tcW w:w="1277" w:type="dxa"/>
            <w:vAlign w:val="center"/>
          </w:tcPr>
          <w:p w14:paraId="53565325">
            <w:pPr>
              <w:pStyle w:val="34"/>
            </w:pPr>
            <w:r>
              <w:rPr>
                <w:rFonts w:hint="eastAsia"/>
              </w:rPr>
              <w:t>东北</w:t>
            </w:r>
            <w:r>
              <w:t>侧</w:t>
            </w:r>
            <w:r>
              <w:rPr>
                <w:rFonts w:hint="eastAsia"/>
              </w:rPr>
              <w:t>4.4km</w:t>
            </w:r>
          </w:p>
        </w:tc>
        <w:tc>
          <w:tcPr>
            <w:tcW w:w="1133" w:type="dxa"/>
            <w:vAlign w:val="center"/>
          </w:tcPr>
          <w:p w14:paraId="31C08C95">
            <w:pPr>
              <w:pStyle w:val="34"/>
            </w:pPr>
            <w:r>
              <w:t>分散式、生产</w:t>
            </w:r>
          </w:p>
        </w:tc>
        <w:tc>
          <w:tcPr>
            <w:tcW w:w="994" w:type="dxa"/>
            <w:vAlign w:val="center"/>
          </w:tcPr>
          <w:p w14:paraId="42DDF750">
            <w:pPr>
              <w:pStyle w:val="34"/>
            </w:pPr>
            <w:r>
              <w:t>浅水井</w:t>
            </w:r>
          </w:p>
        </w:tc>
        <w:tc>
          <w:tcPr>
            <w:tcW w:w="709" w:type="dxa"/>
            <w:vAlign w:val="center"/>
          </w:tcPr>
          <w:p w14:paraId="586580F7">
            <w:pPr>
              <w:pStyle w:val="34"/>
              <w:rPr>
                <w:u w:val="single"/>
              </w:rPr>
            </w:pPr>
            <w:r>
              <w:rPr>
                <w:rFonts w:hint="eastAsia"/>
                <w:u w:val="single"/>
              </w:rPr>
              <w:t>6.0</w:t>
            </w:r>
            <w:r>
              <w:rPr>
                <w:u w:val="single"/>
              </w:rPr>
              <w:t>m</w:t>
            </w:r>
          </w:p>
        </w:tc>
        <w:tc>
          <w:tcPr>
            <w:tcW w:w="3027" w:type="dxa"/>
            <w:vAlign w:val="center"/>
          </w:tcPr>
          <w:p w14:paraId="491179D1">
            <w:pPr>
              <w:pStyle w:val="34"/>
            </w:pPr>
            <w:r>
              <w:t>位于同一水文地质单位，本项目位于该水文地质单元排泄区</w:t>
            </w:r>
          </w:p>
        </w:tc>
      </w:tr>
      <w:tr w14:paraId="2E9DD4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04" w:type="dxa"/>
            <w:vAlign w:val="center"/>
          </w:tcPr>
          <w:p w14:paraId="162BBF4A">
            <w:pPr>
              <w:pStyle w:val="34"/>
            </w:pPr>
            <w:r>
              <w:t>G3</w:t>
            </w:r>
          </w:p>
        </w:tc>
        <w:tc>
          <w:tcPr>
            <w:tcW w:w="878" w:type="dxa"/>
            <w:vAlign w:val="center"/>
          </w:tcPr>
          <w:p w14:paraId="27563BE5">
            <w:pPr>
              <w:pStyle w:val="34"/>
            </w:pPr>
            <w:r>
              <w:rPr>
                <w:rFonts w:hint="eastAsia"/>
              </w:rPr>
              <w:t>硫磺山</w:t>
            </w:r>
          </w:p>
        </w:tc>
        <w:tc>
          <w:tcPr>
            <w:tcW w:w="1277" w:type="dxa"/>
            <w:vAlign w:val="center"/>
          </w:tcPr>
          <w:p w14:paraId="32449B01">
            <w:pPr>
              <w:pStyle w:val="34"/>
            </w:pPr>
            <w:r>
              <w:rPr>
                <w:rFonts w:hint="eastAsia"/>
              </w:rPr>
              <w:t>东北</w:t>
            </w:r>
            <w:r>
              <w:t>侧</w:t>
            </w:r>
            <w:r>
              <w:rPr>
                <w:rFonts w:hint="eastAsia"/>
              </w:rPr>
              <w:t>4.8km</w:t>
            </w:r>
          </w:p>
        </w:tc>
        <w:tc>
          <w:tcPr>
            <w:tcW w:w="1133" w:type="dxa"/>
            <w:vAlign w:val="center"/>
          </w:tcPr>
          <w:p w14:paraId="0CFB54E6">
            <w:pPr>
              <w:pStyle w:val="34"/>
            </w:pPr>
            <w:r>
              <w:t>分散式、生产</w:t>
            </w:r>
          </w:p>
        </w:tc>
        <w:tc>
          <w:tcPr>
            <w:tcW w:w="994" w:type="dxa"/>
            <w:vAlign w:val="center"/>
          </w:tcPr>
          <w:p w14:paraId="20F4C5BC">
            <w:pPr>
              <w:pStyle w:val="34"/>
            </w:pPr>
            <w:r>
              <w:t>浅水井</w:t>
            </w:r>
          </w:p>
        </w:tc>
        <w:tc>
          <w:tcPr>
            <w:tcW w:w="709" w:type="dxa"/>
            <w:vAlign w:val="center"/>
          </w:tcPr>
          <w:p w14:paraId="69529064">
            <w:pPr>
              <w:pStyle w:val="34"/>
              <w:rPr>
                <w:u w:val="single"/>
              </w:rPr>
            </w:pPr>
            <w:r>
              <w:rPr>
                <w:rFonts w:hint="eastAsia"/>
                <w:u w:val="single"/>
              </w:rPr>
              <w:t>6.0</w:t>
            </w:r>
            <w:r>
              <w:rPr>
                <w:u w:val="single"/>
              </w:rPr>
              <w:t>m</w:t>
            </w:r>
          </w:p>
        </w:tc>
        <w:tc>
          <w:tcPr>
            <w:tcW w:w="3027" w:type="dxa"/>
            <w:vAlign w:val="center"/>
          </w:tcPr>
          <w:p w14:paraId="1F7A3707">
            <w:pPr>
              <w:pStyle w:val="34"/>
            </w:pPr>
            <w:r>
              <w:t>位于同一水文地质单位，本项目位于该水文地质单元排泄区</w:t>
            </w:r>
          </w:p>
        </w:tc>
      </w:tr>
    </w:tbl>
    <w:p w14:paraId="77E25508">
      <w:pPr>
        <w:ind w:firstLine="439"/>
        <w:rPr>
          <w:b/>
        </w:rPr>
      </w:pPr>
      <w:r>
        <w:rPr>
          <w:rFonts w:hint="eastAsia"/>
          <w:b/>
        </w:rPr>
        <w:t>2、监测时间频次、监测因子</w:t>
      </w:r>
    </w:p>
    <w:p w14:paraId="40E51010">
      <w:pPr>
        <w:ind w:firstLine="437"/>
      </w:pPr>
      <w:r>
        <w:rPr>
          <w:rFonts w:hint="eastAsia"/>
        </w:rPr>
        <w:t>广西交通环境监测中心站于</w:t>
      </w:r>
      <w:r>
        <w:t>20</w:t>
      </w:r>
      <w:r>
        <w:rPr>
          <w:rFonts w:hint="eastAsia"/>
        </w:rPr>
        <w:t>24年1月24日、1月25日连续两天对地下水监测点监测，每天</w:t>
      </w:r>
      <w:r>
        <w:t>1</w:t>
      </w:r>
      <w:r>
        <w:rPr>
          <w:rFonts w:hint="eastAsia"/>
        </w:rPr>
        <w:t>次。</w:t>
      </w:r>
    </w:p>
    <w:p w14:paraId="2EA60EE7">
      <w:pPr>
        <w:ind w:firstLine="437"/>
      </w:pPr>
      <w:r>
        <w:rPr>
          <w:rFonts w:hint="eastAsia"/>
        </w:rPr>
        <w:t>监测因子为：</w:t>
      </w:r>
      <w:r>
        <w:t>pH值、K</w:t>
      </w:r>
      <w:r>
        <w:rPr>
          <w:vertAlign w:val="superscript"/>
        </w:rPr>
        <w:t>+</w:t>
      </w:r>
      <w:r>
        <w:t>、Na</w:t>
      </w:r>
      <w:r>
        <w:rPr>
          <w:vertAlign w:val="superscript"/>
        </w:rPr>
        <w:t>+</w:t>
      </w:r>
      <w:r>
        <w:t>、Ca</w:t>
      </w:r>
      <w:r>
        <w:rPr>
          <w:vertAlign w:val="superscript"/>
        </w:rPr>
        <w:t>2+</w:t>
      </w:r>
      <w:r>
        <w:t>、Mg</w:t>
      </w:r>
      <w:r>
        <w:rPr>
          <w:vertAlign w:val="superscript"/>
        </w:rPr>
        <w:t>2+</w:t>
      </w:r>
      <w:r>
        <w:t>、C</w:t>
      </w:r>
      <w:r>
        <w:rPr>
          <w:rFonts w:hint="eastAsia"/>
        </w:rPr>
        <w:t>l</w:t>
      </w:r>
      <w:r>
        <w:rPr>
          <w:vertAlign w:val="superscript"/>
        </w:rPr>
        <w:t>-</w:t>
      </w:r>
      <w:r>
        <w:t>、SO</w:t>
      </w:r>
      <w:r>
        <w:rPr>
          <w:vertAlign w:val="subscript"/>
        </w:rPr>
        <w:t>4</w:t>
      </w:r>
      <w:r>
        <w:rPr>
          <w:vertAlign w:val="superscript"/>
        </w:rPr>
        <w:t>2-</w:t>
      </w:r>
      <w:r>
        <w:t>、</w:t>
      </w:r>
      <w:r>
        <w:rPr>
          <w:rFonts w:hint="eastAsia"/>
        </w:rPr>
        <w:t>碳酸根</w:t>
      </w:r>
      <w:r>
        <w:rPr>
          <w:bCs/>
        </w:rPr>
        <w:t>、</w:t>
      </w:r>
      <w:r>
        <w:rPr>
          <w:rFonts w:hint="eastAsia"/>
          <w:bCs/>
        </w:rPr>
        <w:t>重碳酸根</w:t>
      </w:r>
      <w:r>
        <w:rPr>
          <w:bCs/>
        </w:rPr>
        <w:t>、</w:t>
      </w:r>
      <w:r>
        <w:t>硝酸盐氮、亚硝酸盐氮、挥发酚、铅、镉、锰、铁、</w:t>
      </w:r>
      <w:r>
        <w:rPr>
          <w:rFonts w:hint="eastAsia"/>
        </w:rPr>
        <w:t>总硬度（钙和镁总量）</w:t>
      </w:r>
      <w:r>
        <w:t>、溶解性总固体、氟化物、氨氮、总大肠菌群、细菌总数、石油类、耗氧量</w:t>
      </w:r>
      <w:r>
        <w:rPr>
          <w:rFonts w:hint="eastAsia"/>
        </w:rPr>
        <w:t>等共24项</w:t>
      </w:r>
      <w:r>
        <w:t>。</w:t>
      </w:r>
    </w:p>
    <w:p w14:paraId="33968CA2">
      <w:pPr>
        <w:ind w:firstLine="439"/>
        <w:rPr>
          <w:b/>
        </w:rPr>
      </w:pPr>
      <w:r>
        <w:rPr>
          <w:rFonts w:hint="eastAsia"/>
          <w:b/>
        </w:rPr>
        <w:t>3、评价标准</w:t>
      </w:r>
    </w:p>
    <w:p w14:paraId="319DFF17">
      <w:pPr>
        <w:ind w:firstLine="437"/>
      </w:pPr>
      <w:r>
        <w:t>区域地下水执行《地下水质量标准》（GB/T14848-2017）</w:t>
      </w:r>
      <w:r>
        <w:rPr>
          <w:rFonts w:hint="eastAsia"/>
        </w:rPr>
        <w:t>Ⅲ</w:t>
      </w:r>
      <w:r>
        <w:t>类标准</w:t>
      </w:r>
      <w:r>
        <w:rPr>
          <w:rFonts w:hint="eastAsia"/>
        </w:rPr>
        <w:t>。</w:t>
      </w:r>
    </w:p>
    <w:p w14:paraId="154FDFD6">
      <w:pPr>
        <w:ind w:firstLine="439"/>
        <w:rPr>
          <w:b/>
        </w:rPr>
      </w:pPr>
      <w:r>
        <w:rPr>
          <w:rFonts w:hint="eastAsia"/>
          <w:b/>
        </w:rPr>
        <w:t>4、地下水水质现状监测结果与评价</w:t>
      </w:r>
    </w:p>
    <w:p w14:paraId="344ADD59">
      <w:pPr>
        <w:ind w:firstLine="437"/>
      </w:pPr>
      <w:r>
        <w:rPr>
          <w:rFonts w:hint="eastAsia"/>
        </w:rPr>
        <w:t>地下水水质现状监测统计结果见</w:t>
      </w:r>
      <w:r>
        <w:rPr>
          <w:rFonts w:hint="eastAsia"/>
          <w:b/>
        </w:rPr>
        <w:t>表</w:t>
      </w:r>
      <w:r>
        <w:rPr>
          <w:b/>
        </w:rPr>
        <w:t>3</w:t>
      </w:r>
      <w:r>
        <w:rPr>
          <w:rFonts w:hint="eastAsia"/>
          <w:b/>
        </w:rPr>
        <w:t>.6-2</w:t>
      </w:r>
      <w:r>
        <w:rPr>
          <w:rFonts w:hint="eastAsia"/>
        </w:rPr>
        <w:t>，评价结果见</w:t>
      </w:r>
      <w:r>
        <w:rPr>
          <w:rFonts w:hint="eastAsia"/>
          <w:b/>
        </w:rPr>
        <w:t>表</w:t>
      </w:r>
      <w:r>
        <w:rPr>
          <w:b/>
        </w:rPr>
        <w:t>3</w:t>
      </w:r>
      <w:r>
        <w:rPr>
          <w:rFonts w:hint="eastAsia"/>
          <w:b/>
        </w:rPr>
        <w:t>.6-3</w:t>
      </w:r>
      <w:r>
        <w:rPr>
          <w:rFonts w:hint="eastAsia"/>
        </w:rPr>
        <w:t>。</w:t>
      </w:r>
      <w:r>
        <w:t>通过对</w:t>
      </w:r>
      <w:r>
        <w:rPr>
          <w:rFonts w:hint="eastAsia"/>
        </w:rPr>
        <w:t>3</w:t>
      </w:r>
      <w:r>
        <w:t>处水井水质进行监测</w:t>
      </w:r>
      <w:r>
        <w:rPr>
          <w:rFonts w:hint="eastAsia"/>
        </w:rPr>
        <w:t>，3个监测点位各指标</w:t>
      </w:r>
      <w:r>
        <w:t>监测值均能达到《地下水质量标准》（GB/T14848-</w:t>
      </w:r>
      <w:r>
        <w:rPr>
          <w:rFonts w:hint="eastAsia"/>
        </w:rPr>
        <w:t>2017</w:t>
      </w:r>
      <w:r>
        <w:t>）</w:t>
      </w:r>
      <w:r>
        <w:rPr>
          <w:rFonts w:hint="eastAsia"/>
        </w:rPr>
        <w:t>Ⅲ</w:t>
      </w:r>
      <w:r>
        <w:t>类标准</w:t>
      </w:r>
      <w:r>
        <w:rPr>
          <w:rFonts w:hint="eastAsia"/>
        </w:rPr>
        <w:t>，区域地下水水质较好。</w:t>
      </w:r>
    </w:p>
    <w:p w14:paraId="371A798C">
      <w:pPr>
        <w:pStyle w:val="7"/>
        <w:jc w:val="right"/>
      </w:pPr>
      <w:r>
        <w:rPr>
          <w:rFonts w:hint="eastAsia"/>
        </w:rPr>
        <w:t>地下水水质现状监测结果一览表</w:t>
      </w:r>
      <w:r>
        <w:t xml:space="preserve">       </w:t>
      </w:r>
      <w:r>
        <w:rPr>
          <w:rFonts w:hint="eastAsia"/>
        </w:rPr>
        <w:t>单位：</w:t>
      </w:r>
      <w:r>
        <w:t>mg/L</w:t>
      </w:r>
      <w:r>
        <w:rPr>
          <w:rFonts w:hint="eastAsia"/>
        </w:rPr>
        <w:t>（备注</w:t>
      </w:r>
      <w:r>
        <w:t>除外</w:t>
      </w:r>
      <w:r>
        <w:rPr>
          <w:rFonts w:hint="eastAsia"/>
        </w:rPr>
        <w:t>）</w:t>
      </w:r>
    </w:p>
    <w:p w14:paraId="22498D91">
      <w:pPr>
        <w:pStyle w:val="7"/>
        <w:jc w:val="right"/>
      </w:pPr>
      <w:r>
        <w:rPr>
          <w:rFonts w:hint="eastAsia"/>
        </w:rPr>
        <w:t xml:space="preserve">地下水水质现状监测结果评价 </w:t>
      </w:r>
      <w:r>
        <w:t xml:space="preserve">         </w:t>
      </w:r>
      <w:r>
        <w:rPr>
          <w:rFonts w:hint="eastAsia"/>
        </w:rPr>
        <w:t>单位：</w:t>
      </w:r>
      <w:r>
        <w:t>mg/L</w:t>
      </w:r>
      <w:r>
        <w:rPr>
          <w:rFonts w:hint="eastAsia"/>
        </w:rPr>
        <w:t>（备注除外）</w:t>
      </w:r>
    </w:p>
    <w:p w14:paraId="330EFD3A">
      <w:pPr>
        <w:pStyle w:val="4"/>
      </w:pPr>
      <w:bookmarkStart w:id="397" w:name="_Toc198042324"/>
      <w:bookmarkStart w:id="398" w:name="_Toc217977922"/>
      <w:r>
        <w:t>陆域生态环境现状调查</w:t>
      </w:r>
      <w:bookmarkEnd w:id="397"/>
      <w:bookmarkEnd w:id="398"/>
    </w:p>
    <w:p w14:paraId="5E8A17FD">
      <w:pPr>
        <w:ind w:firstLine="437"/>
      </w:pPr>
      <w:r>
        <w:t>项目所在地</w:t>
      </w:r>
      <w:r>
        <w:rPr>
          <w:rFonts w:hint="eastAsia"/>
        </w:rPr>
        <w:t>陆域依托围填海项目形成，目前大部分尚未完成回填，</w:t>
      </w:r>
      <w:bookmarkStart w:id="399" w:name="OLE_LINK262"/>
      <w:r>
        <w:rPr>
          <w:rFonts w:hint="eastAsia"/>
        </w:rPr>
        <w:t>仅局部</w:t>
      </w:r>
      <w:r>
        <w:t>已</w:t>
      </w:r>
      <w:r>
        <w:rPr>
          <w:rFonts w:hint="eastAsia"/>
        </w:rPr>
        <w:t>回填形成陆域</w:t>
      </w:r>
      <w:bookmarkEnd w:id="399"/>
      <w:r>
        <w:rPr>
          <w:rFonts w:hint="eastAsia"/>
        </w:rPr>
        <w:t>。已形成陆域的</w:t>
      </w:r>
      <w:r>
        <w:t>现状工程用地范围内除局部有少量杂草丛外，无其他植被分布。</w:t>
      </w:r>
      <w:r>
        <w:rPr>
          <w:rFonts w:hint="eastAsia"/>
        </w:rPr>
        <w:t>项目</w:t>
      </w:r>
      <w:r>
        <w:t>评价区内</w:t>
      </w:r>
      <w:r>
        <w:rPr>
          <w:rFonts w:hint="eastAsia"/>
        </w:rPr>
        <w:t>主要为已运营的码头，</w:t>
      </w:r>
      <w:r>
        <w:t>野生动物生存环境受干扰严重，</w:t>
      </w:r>
      <w:r>
        <w:rPr>
          <w:rFonts w:hint="eastAsia"/>
        </w:rPr>
        <w:t>仅分布</w:t>
      </w:r>
      <w:r>
        <w:t>适生于人类活动影响的各种常见两栖、爬行类、鸟类等动物，其中与人类活动密切的啮齿类动物在该区域内最为常见。评价区域内未发现受国家及自治区</w:t>
      </w:r>
      <w:r>
        <w:rPr>
          <w:rFonts w:hint="eastAsia"/>
        </w:rPr>
        <w:t>陆生</w:t>
      </w:r>
      <w:r>
        <w:t>保护物种存在。</w:t>
      </w:r>
    </w:p>
    <w:p w14:paraId="0F238249">
      <w:pPr>
        <w:ind w:firstLine="437"/>
        <w:jc w:val="center"/>
      </w:pPr>
      <w:r>
        <w:drawing>
          <wp:inline distT="0" distB="0" distL="0" distR="0">
            <wp:extent cx="4082415" cy="2878455"/>
            <wp:effectExtent l="0" t="0" r="0" b="0"/>
            <wp:docPr id="3479" name="图片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 name="图片 3479"/>
                    <pic:cNvPicPr>
                      <a:picLocks noChangeAspect="1"/>
                    </pic:cNvPicPr>
                  </pic:nvPicPr>
                  <pic:blipFill>
                    <a:blip r:embed="rId72"/>
                    <a:stretch>
                      <a:fillRect/>
                    </a:stretch>
                  </pic:blipFill>
                  <pic:spPr>
                    <a:xfrm>
                      <a:off x="0" y="0"/>
                      <a:ext cx="4097958" cy="2889440"/>
                    </a:xfrm>
                    <a:prstGeom prst="rect">
                      <a:avLst/>
                    </a:prstGeom>
                  </pic:spPr>
                </pic:pic>
              </a:graphicData>
            </a:graphic>
          </wp:inline>
        </w:drawing>
      </w:r>
    </w:p>
    <w:p w14:paraId="4542BCCB">
      <w:pPr>
        <w:pStyle w:val="8"/>
        <w:ind w:left="851"/>
      </w:pPr>
      <w:r>
        <w:t>场地现状植被分布图</w:t>
      </w:r>
    </w:p>
    <w:p w14:paraId="372B0A38">
      <w:pPr>
        <w:pStyle w:val="4"/>
        <w:rPr>
          <w:u w:val="single"/>
        </w:rPr>
      </w:pPr>
      <w:r>
        <w:rPr>
          <w:rFonts w:hint="eastAsia"/>
          <w:u w:val="single"/>
        </w:rPr>
        <w:t>土壤环境概况</w:t>
      </w:r>
    </w:p>
    <w:p w14:paraId="22078C78">
      <w:pPr>
        <w:ind w:firstLine="437"/>
        <w:rPr>
          <w:u w:val="single"/>
        </w:rPr>
      </w:pPr>
      <w:r>
        <w:rPr>
          <w:rFonts w:hint="eastAsia"/>
          <w:u w:val="single"/>
        </w:rPr>
        <w:t>根据前文土壤评价等级判定结果，项目建设危险品集装箱堆场，不属于涉及危险品、化学品、石油、成品油储罐区，为IV类项目，原则上可不开展土壤环境影响评价。项目陆域范围为围填海形成（不属于本次建设内容），考虑项目设置的危险品集装箱堆场如出现风险事故情况且堆场防渗措施失效情况下，可能导致污染物下渗进入土壤环境，本次评价对项目场地范围内基本情况进行简要说明。</w:t>
      </w:r>
    </w:p>
    <w:p w14:paraId="32302C74">
      <w:pPr>
        <w:ind w:firstLine="437"/>
        <w:rPr>
          <w:u w:val="single"/>
        </w:rPr>
      </w:pPr>
      <w:r>
        <w:rPr>
          <w:rFonts w:hint="eastAsia"/>
          <w:u w:val="single"/>
        </w:rPr>
        <w:t>项目后方陆域均依托已有的围填海项目，目前场地范围内仅局部</w:t>
      </w:r>
      <w:r>
        <w:rPr>
          <w:u w:val="single"/>
        </w:rPr>
        <w:t>已</w:t>
      </w:r>
      <w:r>
        <w:rPr>
          <w:rFonts w:hint="eastAsia"/>
          <w:u w:val="single"/>
        </w:rPr>
        <w:t>回填形成陆域，大部分尚未完成回填；经咨询码头建设单位，项目所在场地已回填部分主要来源于周边涉海项目施工疏浚土，剩余回填泥沙则来源9、10号扩建工程港池疏浚、本项目港池疏浚，来源相对单一。从前文海域沉积物调查结果、以及周边疏浚土监测结果（如9、10号泊位工程、9、10号泊位扩建工程检测报告）来看，沉积物中主要重金属指标尚处于较低水平，用于场地回填不会造成额外的环境风险。</w:t>
      </w:r>
    </w:p>
    <w:p w14:paraId="4572FB77">
      <w:pPr>
        <w:ind w:firstLine="437"/>
        <w:sectPr>
          <w:pgSz w:w="11907" w:h="16840"/>
          <w:pgMar w:top="1440" w:right="1514" w:bottom="1440" w:left="1797" w:header="992" w:footer="851" w:gutter="284"/>
          <w:pgNumType w:fmt="numberInDash"/>
          <w:cols w:space="425" w:num="1"/>
          <w:docGrid w:type="linesAndChars" w:linePitch="465" w:charSpace="-4355"/>
        </w:sectPr>
      </w:pPr>
      <w:bookmarkStart w:id="400" w:name="_Toc269375450"/>
      <w:bookmarkStart w:id="401" w:name="_Toc317003538"/>
      <w:bookmarkStart w:id="402" w:name="_Toc317003258"/>
      <w:bookmarkStart w:id="403" w:name="_Toc247517552"/>
      <w:bookmarkStart w:id="404" w:name="_Toc247517316"/>
      <w:bookmarkStart w:id="405" w:name="_Toc247517479"/>
      <w:bookmarkStart w:id="406" w:name="_Toc232154484"/>
    </w:p>
    <w:p w14:paraId="1C819058">
      <w:pPr>
        <w:pStyle w:val="3"/>
        <w:ind w:firstLine="680"/>
      </w:pPr>
      <w:bookmarkStart w:id="407" w:name="_Toc217977923"/>
      <w:bookmarkStart w:id="408" w:name="_Toc198042325"/>
      <w:r>
        <w:t>环境影响预测与评价</w:t>
      </w:r>
      <w:bookmarkEnd w:id="400"/>
      <w:bookmarkEnd w:id="401"/>
      <w:bookmarkEnd w:id="402"/>
      <w:bookmarkEnd w:id="407"/>
      <w:bookmarkEnd w:id="408"/>
    </w:p>
    <w:p w14:paraId="318B32B2">
      <w:pPr>
        <w:pStyle w:val="4"/>
      </w:pPr>
      <w:bookmarkStart w:id="409" w:name="_Toc217977924"/>
      <w:bookmarkStart w:id="410" w:name="_Toc317003540"/>
      <w:bookmarkStart w:id="411" w:name="_Toc317003260"/>
      <w:bookmarkStart w:id="412" w:name="_Toc198042326"/>
      <w:bookmarkStart w:id="413" w:name="_Toc313461081"/>
      <w:bookmarkStart w:id="414" w:name="_Toc279516000"/>
      <w:r>
        <w:t>水环境影响分析</w:t>
      </w:r>
      <w:bookmarkEnd w:id="409"/>
      <w:bookmarkEnd w:id="410"/>
      <w:bookmarkEnd w:id="411"/>
      <w:bookmarkEnd w:id="412"/>
      <w:bookmarkEnd w:id="413"/>
    </w:p>
    <w:p w14:paraId="4424AF61">
      <w:pPr>
        <w:pStyle w:val="5"/>
      </w:pPr>
      <w:r>
        <w:t>施工期水环境影响</w:t>
      </w:r>
    </w:p>
    <w:p w14:paraId="4E68F879">
      <w:pPr>
        <w:pStyle w:val="6"/>
      </w:pPr>
      <w:bookmarkStart w:id="415" w:name="_Toc317003539"/>
      <w:bookmarkStart w:id="416" w:name="_Toc317003259"/>
      <w:r>
        <w:t>海洋水文动力环境影响预测与评价</w:t>
      </w:r>
    </w:p>
    <w:p w14:paraId="0371F18D">
      <w:pPr>
        <w:ind w:firstLine="437"/>
      </w:pPr>
      <w:r>
        <w:rPr>
          <w:rFonts w:hint="eastAsia" w:ascii="宋体" w:hAnsi="宋体"/>
        </w:rPr>
        <w:t>运用二维水动力模型预测工程对附近海域水文动力环境的影响。</w:t>
      </w:r>
      <w:r>
        <w:t>MIKE</w:t>
      </w:r>
      <w:r>
        <w:rPr>
          <w:rFonts w:hint="eastAsia" w:ascii="宋体" w:hAnsi="宋体"/>
        </w:rPr>
        <w:t>模型采用有限体积法求解控制方程，计算网格为任意三角形单元，能够有效准确地模拟岸线和建筑物的外形轮廓。而且，根据研究需要，可对计算网格进行任意地加密，以便能够在大范围模型中实现局部精细模拟，从而得到合理的数值模拟结果。</w:t>
      </w:r>
    </w:p>
    <w:p w14:paraId="29A3C314">
      <w:pPr>
        <w:ind w:firstLine="439"/>
        <w:rPr>
          <w:b/>
          <w:bCs/>
        </w:rPr>
      </w:pPr>
      <w:r>
        <w:rPr>
          <w:rFonts w:hint="eastAsia"/>
          <w:b/>
          <w:bCs/>
        </w:rPr>
        <w:t>1</w:t>
      </w:r>
      <w:r>
        <w:rPr>
          <w:b/>
          <w:bCs/>
        </w:rPr>
        <w:t>、</w:t>
      </w:r>
      <w:r>
        <w:rPr>
          <w:rFonts w:hint="eastAsia"/>
          <w:b/>
          <w:bCs/>
        </w:rPr>
        <w:t>二维水动力控制方程</w:t>
      </w:r>
    </w:p>
    <w:p w14:paraId="1CE5D2B9">
      <w:pPr>
        <w:ind w:firstLine="437"/>
      </w:pPr>
      <w:r>
        <w:rPr>
          <w:rFonts w:hint="eastAsia"/>
        </w:rPr>
        <w:t>水动力影响分析采用不规则三角单元平面二维数学模型计算来进行，采用水深平均的平面二维浅水数学模型，其基本方程为：</w:t>
      </w:r>
    </w:p>
    <w:p w14:paraId="3EA6F235">
      <w:pPr>
        <w:ind w:firstLine="437"/>
      </w:pPr>
      <m:oMathPara>
        <m:oMath>
          <m:f>
            <w:bookmarkStart w:id="417" w:name="OLE_LINK113"/>
            <m:fPr>
              <m:ctrlPr>
                <w:rPr>
                  <w:rFonts w:ascii="Cambria Math" w:hAnsi="Cambria Math"/>
                  <w:i/>
                </w:rPr>
              </m:ctrlPr>
            </m:fPr>
            <m:num>
              <m:r>
                <m:rPr/>
                <w:rPr>
                  <w:rFonts w:ascii="Cambria Math" w:hAnsi="Cambria Math"/>
                </w:rPr>
                <m:t>∂ζ</m:t>
              </m:r>
              <m:ctrlPr>
                <w:rPr>
                  <w:rFonts w:ascii="Cambria Math" w:hAnsi="Cambria Math"/>
                  <w:i/>
                </w:rPr>
              </m:ctrlPr>
            </m:num>
            <m:den>
              <m:r>
                <m:rPr/>
                <w:rPr>
                  <w:rFonts w:ascii="Cambria Math" w:hAnsi="Cambria Math"/>
                </w:rPr>
                <m:t>∂</m:t>
              </m:r>
              <m:r>
                <m:rPr/>
                <w:rPr>
                  <w:rFonts w:hint="eastAsia" w:ascii="Cambria Math" w:hAnsi="Cambria Math"/>
                </w:rPr>
                <m:t>t</m:t>
              </m:r>
              <w:bookmarkEnd w:id="417"/>
              <m:ctrlPr>
                <w:rPr>
                  <w:rFonts w:ascii="Cambria Math" w:hAnsi="Cambria Math"/>
                  <w:i/>
                </w:rPr>
              </m:ctrlPr>
            </m:den>
          </m:f>
          <m:r>
            <m:rPr/>
            <w:rPr>
              <w:rFonts w:ascii="Cambria Math" w:hAnsi="Cambria Math"/>
            </w:rPr>
            <m:t>+</m:t>
          </m:r>
          <m:f>
            <m:fPr>
              <m:ctrlPr>
                <w:rPr>
                  <w:rFonts w:ascii="Cambria Math" w:hAnsi="Cambria Math"/>
                  <w:i/>
                </w:rPr>
              </m:ctrlPr>
            </m:fPr>
            <m:num>
              <m:r>
                <m:rPr/>
                <w:rPr>
                  <w:rFonts w:ascii="Cambria Math" w:hAnsi="Cambria Math"/>
                </w:rPr>
                <m:t>∂</m:t>
              </m:r>
              <m:d>
                <m:dPr>
                  <m:begChr m:val="["/>
                  <m:endChr m:val="]"/>
                  <m:ctrlPr>
                    <w:rPr>
                      <w:rFonts w:ascii="Cambria Math" w:hAnsi="Cambria Math"/>
                      <w:i/>
                    </w:rPr>
                  </m:ctrlPr>
                </m:dPr>
                <m:e>
                  <m:r>
                    <m:rPr/>
                    <w:rPr>
                      <w:rFonts w:ascii="Cambria Math" w:hAnsi="Cambria Math"/>
                    </w:rPr>
                    <m:t>(ℎ+ζ)u</m:t>
                  </m:r>
                  <m:ctrlPr>
                    <w:rPr>
                      <w:rFonts w:ascii="Cambria Math" w:hAnsi="Cambria Math"/>
                      <w:i/>
                    </w:rPr>
                  </m:ctrlPr>
                </m:e>
              </m:d>
              <m:ctrlPr>
                <w:rPr>
                  <w:rFonts w:ascii="Cambria Math" w:hAnsi="Cambria Math"/>
                  <w:i/>
                </w:rPr>
              </m:ctrlPr>
            </m:num>
            <m:den>
              <m:r>
                <m:rPr/>
                <w:rPr>
                  <w:rFonts w:ascii="Cambria Math" w:hAnsi="Cambria Math"/>
                </w:rPr>
                <m:t>∂x</m:t>
              </m:r>
              <m:ctrlPr>
                <w:rPr>
                  <w:rFonts w:ascii="Cambria Math" w:hAnsi="Cambria Math"/>
                  <w:i/>
                </w:rPr>
              </m:ctrlPr>
            </m:den>
          </m:f>
          <m:r>
            <m:rPr/>
            <w:rPr>
              <w:rFonts w:ascii="Cambria Math" w:hAnsi="Cambria Math"/>
            </w:rPr>
            <m:t>+</m:t>
          </m:r>
          <m:f>
            <m:fPr>
              <m:ctrlPr>
                <w:rPr>
                  <w:rFonts w:ascii="Cambria Math" w:hAnsi="Cambria Math"/>
                  <w:i/>
                </w:rPr>
              </m:ctrlPr>
            </m:fPr>
            <m:num>
              <m:r>
                <m:rPr/>
                <w:rPr>
                  <w:rFonts w:ascii="Cambria Math" w:hAnsi="Cambria Math"/>
                </w:rPr>
                <m:t>∂</m:t>
              </m:r>
              <m:d>
                <m:dPr>
                  <m:begChr m:val="["/>
                  <m:endChr m:val="]"/>
                  <m:ctrlPr>
                    <w:rPr>
                      <w:rFonts w:ascii="Cambria Math" w:hAnsi="Cambria Math"/>
                      <w:i/>
                    </w:rPr>
                  </m:ctrlPr>
                </m:dPr>
                <m:e>
                  <m:r>
                    <m:rPr/>
                    <w:rPr>
                      <w:rFonts w:ascii="Cambria Math" w:hAnsi="Cambria Math"/>
                    </w:rPr>
                    <m:t>(ℎ+ζ)v</m:t>
                  </m:r>
                  <m:ctrlPr>
                    <w:rPr>
                      <w:rFonts w:ascii="Cambria Math" w:hAnsi="Cambria Math"/>
                      <w:i/>
                    </w:rPr>
                  </m:ctrlPr>
                </m:e>
              </m:d>
              <m:ctrlPr>
                <w:rPr>
                  <w:rFonts w:ascii="Cambria Math" w:hAnsi="Cambria Math"/>
                  <w:i/>
                </w:rPr>
              </m:ctrlPr>
            </m:num>
            <m:den>
              <m:r>
                <m:rPr/>
                <w:rPr>
                  <w:rFonts w:ascii="Cambria Math" w:hAnsi="Cambria Math"/>
                </w:rPr>
                <m:t>∂y</m:t>
              </m:r>
              <m:ctrlPr>
                <w:rPr>
                  <w:rFonts w:ascii="Cambria Math" w:hAnsi="Cambria Math"/>
                  <w:i/>
                </w:rPr>
              </m:ctrlPr>
            </m:den>
          </m:f>
          <m:r>
            <m:rPr/>
            <w:rPr>
              <w:rFonts w:ascii="Cambria Math" w:hAnsi="Cambria Math"/>
            </w:rPr>
            <m:t>=</m:t>
          </m:r>
          <m:sSub>
            <m:sSubPr>
              <m:ctrlPr>
                <w:rPr>
                  <w:rFonts w:ascii="Cambria Math" w:hAnsi="Cambria Math"/>
                  <w:i/>
                </w:rPr>
              </m:ctrlPr>
            </m:sSubPr>
            <m:e>
              <m:r>
                <m:rPr/>
                <w:rPr>
                  <w:rFonts w:ascii="Cambria Math" w:hAnsi="Cambria Math"/>
                </w:rPr>
                <m:t>q</m:t>
              </m:r>
              <m:ctrlPr>
                <w:rPr>
                  <w:rFonts w:ascii="Cambria Math" w:hAnsi="Cambria Math"/>
                  <w:i/>
                </w:rPr>
              </m:ctrlPr>
            </m:e>
            <m:sub>
              <m:r>
                <m:rPr/>
                <w:rPr>
                  <w:rFonts w:ascii="Cambria Math" w:hAnsi="Cambria Math"/>
                </w:rPr>
                <m:t>0</m:t>
              </m:r>
              <m:ctrlPr>
                <w:rPr>
                  <w:rFonts w:ascii="Cambria Math" w:hAnsi="Cambria Math"/>
                  <w:i/>
                </w:rPr>
              </m:ctrlPr>
            </m:sub>
          </m:sSub>
        </m:oMath>
      </m:oMathPara>
    </w:p>
    <w:p w14:paraId="089C4600">
      <w:pPr>
        <w:ind w:firstLine="437"/>
      </w:pPr>
      <m:oMathPara>
        <m:oMath>
          <m:f>
            <m:fPr>
              <m:ctrlPr>
                <w:rPr>
                  <w:rFonts w:ascii="Cambria Math" w:hAnsi="Cambria Math"/>
                  <w:i/>
                </w:rPr>
              </m:ctrlPr>
            </m:fPr>
            <m:num>
              <m:r>
                <m:rPr/>
                <w:rPr>
                  <w:rFonts w:ascii="Cambria Math" w:hAnsi="Cambria Math"/>
                </w:rPr>
                <m:t>∂u</m:t>
              </m:r>
              <m:ctrlPr>
                <w:rPr>
                  <w:rFonts w:ascii="Cambria Math" w:hAnsi="Cambria Math"/>
                  <w:i/>
                </w:rPr>
              </m:ctrlPr>
            </m:num>
            <m:den>
              <m:r>
                <m:rPr/>
                <w:rPr>
                  <w:rFonts w:ascii="Cambria Math" w:hAnsi="Cambria Math"/>
                </w:rPr>
                <m:t>∂</m:t>
              </m:r>
              <m:r>
                <m:rPr/>
                <w:rPr>
                  <w:rFonts w:hint="eastAsia" w:ascii="Cambria Math" w:hAnsi="Cambria Math"/>
                </w:rPr>
                <m:t>t</m:t>
              </m:r>
              <m:ctrlPr>
                <w:rPr>
                  <w:rFonts w:ascii="Cambria Math" w:hAnsi="Cambria Math"/>
                  <w:i/>
                </w:rPr>
              </m:ctrlPr>
            </m:den>
          </m:f>
          <m:r>
            <m:rPr/>
            <w:rPr>
              <w:rFonts w:ascii="Cambria Math" w:hAnsi="Cambria Math"/>
            </w:rPr>
            <m:t>+u</m:t>
          </m:r>
          <m:f>
            <w:bookmarkStart w:id="418" w:name="OLE_LINK114"/>
            <m:fPr>
              <m:ctrlPr>
                <w:rPr>
                  <w:rFonts w:ascii="Cambria Math" w:hAnsi="Cambria Math"/>
                  <w:i/>
                </w:rPr>
              </m:ctrlPr>
            </m:fPr>
            <m:num>
              <m:r>
                <m:rPr/>
                <w:rPr>
                  <w:rFonts w:ascii="Cambria Math" w:hAnsi="Cambria Math"/>
                </w:rPr>
                <m:t>∂u</m:t>
              </m:r>
              <m:ctrlPr>
                <w:rPr>
                  <w:rFonts w:ascii="Cambria Math" w:hAnsi="Cambria Math"/>
                  <w:i/>
                </w:rPr>
              </m:ctrlPr>
            </m:num>
            <m:den>
              <m:r>
                <m:rPr/>
                <w:rPr>
                  <w:rFonts w:ascii="Cambria Math" w:hAnsi="Cambria Math"/>
                </w:rPr>
                <m:t>∂x</m:t>
              </m:r>
              <m:ctrlPr>
                <w:rPr>
                  <w:rFonts w:ascii="Cambria Math" w:hAnsi="Cambria Math"/>
                  <w:i/>
                </w:rPr>
              </m:ctrlPr>
            </m:den>
          </m:f>
          <m:r>
            <m:rPr/>
            <w:rPr>
              <w:rFonts w:ascii="Cambria Math" w:hAnsi="Cambria Math"/>
            </w:rPr>
            <m:t>+v</m:t>
          </m:r>
          <m:f>
            <m:fPr>
              <m:ctrlPr>
                <w:rPr>
                  <w:rFonts w:ascii="Cambria Math" w:hAnsi="Cambria Math"/>
                  <w:i/>
                </w:rPr>
              </m:ctrlPr>
            </m:fPr>
            <m:num>
              <m:r>
                <m:rPr/>
                <w:rPr>
                  <w:rFonts w:ascii="Cambria Math" w:hAnsi="Cambria Math"/>
                </w:rPr>
                <m:t>∂u</m:t>
              </m:r>
              <m:ctrlPr>
                <w:rPr>
                  <w:rFonts w:ascii="Cambria Math" w:hAnsi="Cambria Math"/>
                  <w:i/>
                </w:rPr>
              </m:ctrlPr>
            </m:num>
            <m:den>
              <m:r>
                <m:rPr/>
                <w:rPr>
                  <w:rFonts w:ascii="Cambria Math" w:hAnsi="Cambria Math"/>
                </w:rPr>
                <m:t>∂y</m:t>
              </m:r>
              <m:ctrlPr>
                <w:rPr>
                  <w:rFonts w:ascii="Cambria Math" w:hAnsi="Cambria Math"/>
                  <w:i/>
                </w:rPr>
              </m:ctrlPr>
            </m:den>
          </m:f>
          <w:bookmarkEnd w:id="418"/>
          <m:r>
            <m:rPr/>
            <w:rPr>
              <w:rFonts w:ascii="Cambria Math" w:hAnsi="Cambria Math"/>
            </w:rPr>
            <m:t>=−g</m:t>
          </m:r>
          <m:f>
            <m:fPr>
              <m:ctrlPr>
                <w:rPr>
                  <w:rFonts w:ascii="Cambria Math" w:hAnsi="Cambria Math"/>
                  <w:i/>
                </w:rPr>
              </m:ctrlPr>
            </m:fPr>
            <m:num>
              <m:r>
                <m:rPr/>
                <w:rPr>
                  <w:rFonts w:ascii="Cambria Math" w:hAnsi="Cambria Math"/>
                </w:rPr>
                <m:t>∂ζ</m:t>
              </m:r>
              <m:ctrlPr>
                <w:rPr>
                  <w:rFonts w:ascii="Cambria Math" w:hAnsi="Cambria Math"/>
                  <w:i/>
                </w:rPr>
              </m:ctrlPr>
            </m:num>
            <m:den>
              <m:r>
                <m:rPr/>
                <w:rPr>
                  <w:rFonts w:ascii="Cambria Math" w:hAnsi="Cambria Math"/>
                </w:rPr>
                <m:t>∂x</m:t>
              </m:r>
              <m:ctrlPr>
                <w:rPr>
                  <w:rFonts w:ascii="Cambria Math" w:hAnsi="Cambria Math"/>
                  <w:i/>
                </w:rPr>
              </m:ctrlPr>
            </m:den>
          </m:f>
          <m:r>
            <m:rPr/>
            <w:rPr>
              <w:rFonts w:ascii="Cambria Math" w:hAnsi="Cambria Math"/>
            </w:rPr>
            <m:t>+</m:t>
          </m:r>
          <w:bookmarkStart w:id="419" w:name="OLE_LINK118"/>
          <m:f>
            <m:fPr>
              <m:ctrlPr>
                <w:rPr>
                  <w:rFonts w:ascii="Cambria Math" w:hAnsi="Cambria Math"/>
                  <w:i/>
                </w:rPr>
              </m:ctrlPr>
            </m:fPr>
            <m:num>
              <m:sSub>
                <m:sSubPr>
                  <m:ctrlPr>
                    <w:rPr>
                      <w:rFonts w:ascii="Cambria Math" w:hAnsi="Cambria Math"/>
                      <w:i/>
                    </w:rPr>
                  </m:ctrlPr>
                </m:sSubPr>
                <m:e>
                  <m:r>
                    <m:rPr/>
                    <w:rPr>
                      <w:rFonts w:ascii="Cambria Math" w:hAnsi="Cambria Math"/>
                    </w:rPr>
                    <m:t>τ</m:t>
                  </m:r>
                  <m:ctrlPr>
                    <w:rPr>
                      <w:rFonts w:ascii="Cambria Math" w:hAnsi="Cambria Math"/>
                      <w:i/>
                    </w:rPr>
                  </m:ctrlPr>
                </m:e>
                <m:sub>
                  <m:r>
                    <m:rPr/>
                    <w:rPr>
                      <w:rFonts w:ascii="Cambria Math" w:hAnsi="Cambria Math"/>
                    </w:rPr>
                    <m:t>bx</m:t>
                  </m:r>
                  <m:ctrlPr>
                    <w:rPr>
                      <w:rFonts w:ascii="Cambria Math" w:hAnsi="Cambria Math"/>
                      <w:i/>
                    </w:rPr>
                  </m:ctrlPr>
                </m:sub>
              </m:sSub>
              <m:ctrlPr>
                <w:rPr>
                  <w:rFonts w:ascii="Cambria Math" w:hAnsi="Cambria Math"/>
                  <w:i/>
                </w:rPr>
              </m:ctrlPr>
            </m:num>
            <m:den>
              <m:r>
                <m:rPr/>
                <w:rPr>
                  <w:rFonts w:ascii="Cambria Math" w:hAnsi="Cambria Math"/>
                </w:rPr>
                <m:t>ρ</m:t>
              </m:r>
              <m:d>
                <m:dPr>
                  <m:ctrlPr>
                    <w:rPr>
                      <w:rFonts w:ascii="Cambria Math" w:hAnsi="Cambria Math"/>
                      <w:i/>
                    </w:rPr>
                  </m:ctrlPr>
                </m:dPr>
                <m:e>
                  <m:r>
                    <m:rPr/>
                    <w:rPr>
                      <w:rFonts w:ascii="Cambria Math" w:hAnsi="Cambria Math"/>
                    </w:rPr>
                    <m:t>ℎ+ζ</m:t>
                  </m:r>
                  <m:ctrlPr>
                    <w:rPr>
                      <w:rFonts w:ascii="Cambria Math" w:hAnsi="Cambria Math"/>
                      <w:i/>
                    </w:rPr>
                  </m:ctrlPr>
                </m:e>
              </m:d>
              <m:ctrlPr>
                <w:rPr>
                  <w:rFonts w:ascii="Cambria Math" w:hAnsi="Cambria Math"/>
                  <w:i/>
                </w:rPr>
              </m:ctrlPr>
              <w:bookmarkEnd w:id="419"/>
            </m:den>
          </m:f>
          <m:r>
            <m:rPr/>
            <w:rPr>
              <w:rFonts w:ascii="Cambria Math" w:hAnsi="Cambria Math"/>
            </w:rPr>
            <m:t>+</m:t>
          </m:r>
          <m:f>
            <m:fPr>
              <m:ctrlPr>
                <w:rPr>
                  <w:rFonts w:ascii="Cambria Math" w:hAnsi="Cambria Math"/>
                  <w:i/>
                </w:rPr>
              </m:ctrlPr>
            </m:fPr>
            <m:num>
              <m:r>
                <m:rPr/>
                <w:rPr>
                  <w:rFonts w:ascii="Cambria Math" w:hAnsi="Cambria Math"/>
                </w:rPr>
                <m:t>1</m:t>
              </m:r>
              <m:ctrlPr>
                <w:rPr>
                  <w:rFonts w:ascii="Cambria Math" w:hAnsi="Cambria Math"/>
                  <w:i/>
                </w:rPr>
              </m:ctrlPr>
            </m:num>
            <m:den>
              <m:r>
                <m:rPr/>
                <w:rPr>
                  <w:rFonts w:ascii="Cambria Math" w:hAnsi="Cambria Math"/>
                </w:rPr>
                <m:t>ρ</m:t>
              </m:r>
              <m:d>
                <w:bookmarkStart w:id="420" w:name="OLE_LINK117"/>
                <m:dPr>
                  <m:ctrlPr>
                    <w:rPr>
                      <w:rFonts w:ascii="Cambria Math" w:hAnsi="Cambria Math"/>
                      <w:i/>
                    </w:rPr>
                  </m:ctrlPr>
                </m:dPr>
                <m:e>
                  <m:r>
                    <m:rPr/>
                    <w:rPr>
                      <w:rFonts w:ascii="Cambria Math" w:hAnsi="Cambria Math"/>
                    </w:rPr>
                    <m:t>ℎ+ζ</m:t>
                  </m:r>
                  <m:ctrlPr>
                    <w:rPr>
                      <w:rFonts w:ascii="Cambria Math" w:hAnsi="Cambria Math"/>
                      <w:i/>
                    </w:rPr>
                  </m:ctrlPr>
                  <w:bookmarkEnd w:id="420"/>
                </m:e>
              </m:d>
              <m:ctrlPr>
                <w:rPr>
                  <w:rFonts w:ascii="Cambria Math" w:hAnsi="Cambria Math"/>
                  <w:i/>
                </w:rPr>
              </m:ctrlPr>
            </m:den>
          </m:f>
          <m:d>
            <m:dPr>
              <m:ctrlPr>
                <w:rPr>
                  <w:rFonts w:ascii="Cambria Math" w:hAnsi="Cambria Math"/>
                  <w:i/>
                </w:rPr>
              </m:ctrlPr>
            </m:dPr>
            <m:e>
              <m:f>
                <m:fPr>
                  <m:ctrlPr>
                    <w:rPr>
                      <w:rFonts w:ascii="Cambria Math" w:hAnsi="Cambria Math"/>
                      <w:i/>
                    </w:rPr>
                  </m:ctrlPr>
                </m:fPr>
                <m:num>
                  <m:r>
                    <m:rPr/>
                    <w:rPr>
                      <w:rFonts w:ascii="Cambria Math" w:hAnsi="Cambria Math"/>
                    </w:rPr>
                    <m:t>∂</m:t>
                  </m:r>
                  <m:sSub>
                    <w:bookmarkStart w:id="421" w:name="OLE_LINK115"/>
                    <m:sSubPr>
                      <m:ctrlPr>
                        <w:rPr>
                          <w:rFonts w:ascii="Cambria Math" w:hAnsi="Cambria Math"/>
                          <w:i/>
                        </w:rPr>
                      </m:ctrlPr>
                    </m:sSubPr>
                    <m:e>
                      <m:r>
                        <m:rPr/>
                        <w:rPr>
                          <w:rFonts w:ascii="Cambria Math" w:hAnsi="Cambria Math"/>
                        </w:rPr>
                        <m:t>S</m:t>
                      </m:r>
                      <m:ctrlPr>
                        <w:rPr>
                          <w:rFonts w:ascii="Cambria Math" w:hAnsi="Cambria Math"/>
                          <w:i/>
                        </w:rPr>
                      </m:ctrlPr>
                    </m:e>
                    <m:sub>
                      <m:r>
                        <m:rPr/>
                        <w:rPr>
                          <w:rFonts w:ascii="Cambria Math" w:hAnsi="Cambria Math"/>
                        </w:rPr>
                        <m:t>xy</m:t>
                      </m:r>
                      <m:ctrlPr>
                        <w:rPr>
                          <w:rFonts w:ascii="Cambria Math" w:hAnsi="Cambria Math"/>
                          <w:i/>
                        </w:rPr>
                      </m:ctrlPr>
                    </m:sub>
                  </m:sSub>
                  <w:bookmarkEnd w:id="421"/>
                  <m:ctrlPr>
                    <w:rPr>
                      <w:rFonts w:ascii="Cambria Math" w:hAnsi="Cambria Math"/>
                      <w:i/>
                    </w:rPr>
                  </m:ctrlPr>
                </m:num>
                <m:den>
                  <m:r>
                    <m:rPr/>
                    <w:rPr>
                      <w:rFonts w:ascii="Cambria Math" w:hAnsi="Cambria Math"/>
                    </w:rPr>
                    <m:t>∂x</m:t>
                  </m:r>
                  <m:ctrlPr>
                    <w:rPr>
                      <w:rFonts w:ascii="Cambria Math" w:hAnsi="Cambria Math"/>
                      <w:i/>
                    </w:rPr>
                  </m:ctrlPr>
                </m:den>
              </m:f>
              <m:r>
                <m:rPr/>
                <w:rPr>
                  <w:rFonts w:ascii="Cambria Math" w:hAnsi="Cambria Math"/>
                </w:rPr>
                <m:t>+</m:t>
              </m:r>
              <m:f>
                <m:fPr>
                  <m:ctrlPr>
                    <w:rPr>
                      <w:rFonts w:ascii="Cambria Math" w:hAnsi="Cambria Math"/>
                      <w:i/>
                    </w:rPr>
                  </m:ctrlPr>
                </m:fPr>
                <m:num>
                  <m:r>
                    <m:rPr/>
                    <w:rPr>
                      <w:rFonts w:ascii="Cambria Math" w:hAnsi="Cambria Math"/>
                    </w:rPr>
                    <m:t>∂</m:t>
                  </m:r>
                  <m:sSub>
                    <m:sSubPr>
                      <m:ctrlPr>
                        <w:rPr>
                          <w:rFonts w:ascii="Cambria Math" w:hAnsi="Cambria Math"/>
                          <w:i/>
                        </w:rPr>
                      </m:ctrlPr>
                    </m:sSubPr>
                    <m:e>
                      <m:r>
                        <m:rPr/>
                        <w:rPr>
                          <w:rFonts w:ascii="Cambria Math" w:hAnsi="Cambria Math"/>
                        </w:rPr>
                        <m:t>S</m:t>
                      </m:r>
                      <m:ctrlPr>
                        <w:rPr>
                          <w:rFonts w:ascii="Cambria Math" w:hAnsi="Cambria Math"/>
                          <w:i/>
                        </w:rPr>
                      </m:ctrlPr>
                    </m:e>
                    <m:sub>
                      <m:r>
                        <m:rPr/>
                        <w:rPr>
                          <w:rFonts w:ascii="Cambria Math" w:hAnsi="Cambria Math"/>
                        </w:rPr>
                        <m:t>xy</m:t>
                      </m:r>
                      <m:ctrlPr>
                        <w:rPr>
                          <w:rFonts w:ascii="Cambria Math" w:hAnsi="Cambria Math"/>
                          <w:i/>
                        </w:rPr>
                      </m:ctrlPr>
                    </m:sub>
                  </m:sSub>
                  <m:ctrlPr>
                    <w:rPr>
                      <w:rFonts w:ascii="Cambria Math" w:hAnsi="Cambria Math"/>
                      <w:i/>
                    </w:rPr>
                  </m:ctrlPr>
                </m:num>
                <m:den>
                  <m:r>
                    <m:rPr/>
                    <w:rPr>
                      <w:rFonts w:ascii="Cambria Math" w:hAnsi="Cambria Math"/>
                    </w:rPr>
                    <m:t>∂y</m:t>
                  </m:r>
                  <m:ctrlPr>
                    <w:rPr>
                      <w:rFonts w:ascii="Cambria Math" w:hAnsi="Cambria Math"/>
                      <w:i/>
                    </w:rPr>
                  </m:ctrlPr>
                </m:den>
              </m:f>
              <m:ctrlPr>
                <w:rPr>
                  <w:rFonts w:ascii="Cambria Math" w:hAnsi="Cambria Math"/>
                  <w:i/>
                </w:rPr>
              </m:ctrlPr>
            </m:e>
          </m:d>
          <m:r>
            <m:rPr/>
            <w:rPr>
              <w:rFonts w:ascii="Cambria Math" w:hAnsi="Cambria Math"/>
            </w:rPr>
            <m:t>+</m:t>
          </m:r>
          <m:f>
            <w:bookmarkStart w:id="422" w:name="OLE_LINK116"/>
            <m:fPr>
              <m:ctrlPr>
                <w:rPr>
                  <w:rFonts w:ascii="Cambria Math" w:hAnsi="Cambria Math"/>
                  <w:i/>
                </w:rPr>
              </m:ctrlPr>
            </m:fPr>
            <m:num>
              <m:r>
                <m:rPr/>
                <w:rPr>
                  <w:rFonts w:ascii="Cambria Math" w:hAnsi="Cambria Math"/>
                </w:rPr>
                <m:t>∂</m:t>
              </m:r>
              <m:ctrlPr>
                <w:rPr>
                  <w:rFonts w:ascii="Cambria Math" w:hAnsi="Cambria Math"/>
                  <w:i/>
                </w:rPr>
              </m:ctrlPr>
            </m:num>
            <m:den>
              <m:r>
                <m:rPr/>
                <w:rPr>
                  <w:rFonts w:ascii="Cambria Math" w:hAnsi="Cambria Math"/>
                </w:rPr>
                <m:t>∂x</m:t>
              </m:r>
              <m:ctrlPr>
                <w:rPr>
                  <w:rFonts w:ascii="Cambria Math" w:hAnsi="Cambria Math"/>
                  <w:i/>
                </w:rPr>
              </m:ctrlPr>
            </m:den>
          </m:f>
          <m:d>
            <m:dPr>
              <m:ctrlPr>
                <w:rPr>
                  <w:rFonts w:ascii="Cambria Math" w:hAnsi="Cambria Math"/>
                  <w:i/>
                </w:rPr>
              </m:ctrlPr>
            </m:dPr>
            <m:e>
              <m:sSub>
                <m:sSubPr>
                  <m:ctrlPr>
                    <w:rPr>
                      <w:rFonts w:ascii="Cambria Math" w:hAnsi="Cambria Math"/>
                      <w:i/>
                    </w:rPr>
                  </m:ctrlPr>
                </m:sSubPr>
                <m:e>
                  <m:r>
                    <m:rPr/>
                    <w:rPr>
                      <w:rFonts w:ascii="Cambria Math" w:hAnsi="Cambria Math"/>
                    </w:rPr>
                    <m:t>N</m:t>
                  </m:r>
                  <m:ctrlPr>
                    <w:rPr>
                      <w:rFonts w:ascii="Cambria Math" w:hAnsi="Cambria Math"/>
                      <w:i/>
                    </w:rPr>
                  </m:ctrlPr>
                </m:e>
                <m:sub>
                  <m:r>
                    <m:rPr/>
                    <w:rPr>
                      <w:rFonts w:ascii="Cambria Math" w:hAnsi="Cambria Math"/>
                    </w:rPr>
                    <m:t>x</m:t>
                  </m:r>
                  <m:ctrlPr>
                    <w:rPr>
                      <w:rFonts w:ascii="Cambria Math" w:hAnsi="Cambria Math"/>
                      <w:i/>
                    </w:rPr>
                  </m:ctrlPr>
                </m:sub>
              </m:sSub>
              <m:f>
                <m:fPr>
                  <m:ctrlPr>
                    <w:rPr>
                      <w:rFonts w:ascii="Cambria Math" w:hAnsi="Cambria Math"/>
                      <w:i/>
                    </w:rPr>
                  </m:ctrlPr>
                </m:fPr>
                <m:num>
                  <m:r>
                    <m:rPr/>
                    <w:rPr>
                      <w:rFonts w:ascii="Cambria Math" w:hAnsi="Cambria Math"/>
                    </w:rPr>
                    <m:t>∂u</m:t>
                  </m:r>
                  <m:ctrlPr>
                    <w:rPr>
                      <w:rFonts w:ascii="Cambria Math" w:hAnsi="Cambria Math"/>
                      <w:i/>
                    </w:rPr>
                  </m:ctrlPr>
                </m:num>
                <m:den>
                  <m:r>
                    <m:rPr/>
                    <w:rPr>
                      <w:rFonts w:ascii="Cambria Math" w:hAnsi="Cambria Math"/>
                    </w:rPr>
                    <m:t>∂x</m:t>
                  </m:r>
                  <m:ctrlPr>
                    <w:rPr>
                      <w:rFonts w:ascii="Cambria Math" w:hAnsi="Cambria Math"/>
                      <w:i/>
                    </w:rPr>
                  </m:ctrlPr>
                </m:den>
              </m:f>
              <m:ctrlPr>
                <w:rPr>
                  <w:rFonts w:ascii="Cambria Math" w:hAnsi="Cambria Math"/>
                  <w:i/>
                </w:rPr>
              </m:ctrlPr>
            </m:e>
          </m:d>
          <w:bookmarkEnd w:id="422"/>
          <m:r>
            <m:rPr/>
            <w:rPr>
              <w:rFonts w:ascii="Cambria Math" w:hAnsi="Cambria Math"/>
            </w:rPr>
            <m:t>+</m:t>
          </m:r>
          <m:f>
            <m:fPr>
              <m:ctrlPr>
                <w:rPr>
                  <w:rFonts w:ascii="Cambria Math" w:hAnsi="Cambria Math"/>
                  <w:i/>
                </w:rPr>
              </m:ctrlPr>
            </m:fPr>
            <m:num>
              <m:r>
                <m:rPr/>
                <w:rPr>
                  <w:rFonts w:ascii="Cambria Math" w:hAnsi="Cambria Math"/>
                </w:rPr>
                <m:t>∂</m:t>
              </m:r>
              <m:ctrlPr>
                <w:rPr>
                  <w:rFonts w:ascii="Cambria Math" w:hAnsi="Cambria Math"/>
                  <w:i/>
                </w:rPr>
              </m:ctrlPr>
            </m:num>
            <m:den>
              <m:r>
                <m:rPr/>
                <w:rPr>
                  <w:rFonts w:ascii="Cambria Math" w:hAnsi="Cambria Math"/>
                </w:rPr>
                <m:t>∂y</m:t>
              </m:r>
              <m:ctrlPr>
                <w:rPr>
                  <w:rFonts w:ascii="Cambria Math" w:hAnsi="Cambria Math"/>
                  <w:i/>
                </w:rPr>
              </m:ctrlPr>
            </m:den>
          </m:f>
          <m:d>
            <m:dPr>
              <m:ctrlPr>
                <w:rPr>
                  <w:rFonts w:ascii="Cambria Math" w:hAnsi="Cambria Math"/>
                  <w:i/>
                </w:rPr>
              </m:ctrlPr>
            </m:dPr>
            <m:e>
              <m:sSub>
                <m:sSubPr>
                  <m:ctrlPr>
                    <w:rPr>
                      <w:rFonts w:ascii="Cambria Math" w:hAnsi="Cambria Math"/>
                      <w:i/>
                    </w:rPr>
                  </m:ctrlPr>
                </m:sSubPr>
                <m:e>
                  <m:r>
                    <m:rPr/>
                    <w:rPr>
                      <w:rFonts w:ascii="Cambria Math" w:hAnsi="Cambria Math"/>
                    </w:rPr>
                    <m:t>N</m:t>
                  </m:r>
                  <m:ctrlPr>
                    <w:rPr>
                      <w:rFonts w:ascii="Cambria Math" w:hAnsi="Cambria Math"/>
                      <w:i/>
                    </w:rPr>
                  </m:ctrlPr>
                </m:e>
                <m:sub>
                  <m:r>
                    <m:rPr/>
                    <w:rPr>
                      <w:rFonts w:ascii="Cambria Math" w:hAnsi="Cambria Math"/>
                    </w:rPr>
                    <m:t>y</m:t>
                  </m:r>
                  <m:ctrlPr>
                    <w:rPr>
                      <w:rFonts w:ascii="Cambria Math" w:hAnsi="Cambria Math"/>
                      <w:i/>
                    </w:rPr>
                  </m:ctrlPr>
                </m:sub>
              </m:sSub>
              <m:f>
                <m:fPr>
                  <m:ctrlPr>
                    <w:rPr>
                      <w:rFonts w:ascii="Cambria Math" w:hAnsi="Cambria Math"/>
                      <w:i/>
                    </w:rPr>
                  </m:ctrlPr>
                </m:fPr>
                <m:num>
                  <m:r>
                    <m:rPr/>
                    <w:rPr>
                      <w:rFonts w:ascii="Cambria Math" w:hAnsi="Cambria Math"/>
                    </w:rPr>
                    <m:t>∂u</m:t>
                  </m:r>
                  <m:ctrlPr>
                    <w:rPr>
                      <w:rFonts w:ascii="Cambria Math" w:hAnsi="Cambria Math"/>
                      <w:i/>
                    </w:rPr>
                  </m:ctrlPr>
                </m:num>
                <m:den>
                  <m:r>
                    <m:rPr/>
                    <w:rPr>
                      <w:rFonts w:ascii="Cambria Math" w:hAnsi="Cambria Math"/>
                    </w:rPr>
                    <m:t>∂y</m:t>
                  </m:r>
                  <m:ctrlPr>
                    <w:rPr>
                      <w:rFonts w:ascii="Cambria Math" w:hAnsi="Cambria Math"/>
                      <w:i/>
                    </w:rPr>
                  </m:ctrlPr>
                </m:den>
              </m:f>
              <m:ctrlPr>
                <w:rPr>
                  <w:rFonts w:ascii="Cambria Math" w:hAnsi="Cambria Math"/>
                  <w:i/>
                </w:rPr>
              </m:ctrlPr>
            </m:e>
          </m:d>
          <m:r>
            <m:rPr/>
            <w:rPr>
              <w:rFonts w:ascii="Cambria Math" w:hAnsi="Cambria Math"/>
            </w:rPr>
            <m:t>−g</m:t>
          </m:r>
          <m:f>
            <m:fPr>
              <m:ctrlPr>
                <w:rPr>
                  <w:rFonts w:ascii="Cambria Math" w:hAnsi="Cambria Math"/>
                  <w:i/>
                </w:rPr>
              </m:ctrlPr>
            </m:fPr>
            <m:num>
              <m:r>
                <m:rPr/>
                <w:rPr>
                  <w:rFonts w:ascii="Cambria Math" w:hAnsi="Cambria Math"/>
                </w:rPr>
                <m:t>u</m:t>
              </m:r>
              <m:rad>
                <m:radPr>
                  <m:degHide m:val="1"/>
                  <m:ctrlPr>
                    <w:rPr>
                      <w:rFonts w:ascii="Cambria Math" w:hAnsi="Cambria Math"/>
                      <w:i/>
                    </w:rPr>
                  </m:ctrlPr>
                </m:radPr>
                <m:deg>
                  <m:ctrlPr>
                    <w:rPr>
                      <w:rFonts w:ascii="Cambria Math" w:hAnsi="Cambria Math"/>
                      <w:i/>
                    </w:rPr>
                  </m:ctrlPr>
                </m:deg>
                <m:e>
                  <m:d>
                    <m:dPr>
                      <m:ctrlPr>
                        <w:rPr>
                          <w:rFonts w:ascii="Cambria Math" w:hAnsi="Cambria Math"/>
                          <w:i/>
                        </w:rPr>
                      </m:ctrlPr>
                    </m:dPr>
                    <m:e>
                      <m:sSup>
                        <m:sSupPr>
                          <m:ctrlPr>
                            <w:rPr>
                              <w:rFonts w:ascii="Cambria Math" w:hAnsi="Cambria Math"/>
                              <w:i/>
                            </w:rPr>
                          </m:ctrlPr>
                        </m:sSupPr>
                        <m:e>
                          <m:r>
                            <m:rPr/>
                            <w:rPr>
                              <w:rFonts w:ascii="Cambria Math" w:hAnsi="Cambria Math"/>
                            </w:rPr>
                            <m:t>u</m:t>
                          </m:r>
                          <m:ctrlPr>
                            <w:rPr>
                              <w:rFonts w:ascii="Cambria Math" w:hAnsi="Cambria Math"/>
                              <w:i/>
                            </w:rPr>
                          </m:ctrlPr>
                        </m:e>
                        <m:sup>
                          <m:r>
                            <m:rPr/>
                            <w:rPr>
                              <w:rFonts w:ascii="Cambria Math" w:hAnsi="Cambria Math"/>
                            </w:rPr>
                            <m:t>2</m:t>
                          </m:r>
                          <m:ctrlPr>
                            <w:rPr>
                              <w:rFonts w:ascii="Cambria Math" w:hAnsi="Cambria Math"/>
                              <w:i/>
                            </w:rPr>
                          </m:ctrlPr>
                        </m:sup>
                      </m:sSup>
                      <m:r>
                        <m:rPr/>
                        <w:rPr>
                          <w:rFonts w:ascii="Cambria Math" w:hAnsi="Cambria Math"/>
                        </w:rPr>
                        <m:t>+</m:t>
                      </m:r>
                      <m:sSup>
                        <m:sSupPr>
                          <m:ctrlPr>
                            <w:rPr>
                              <w:rFonts w:ascii="Cambria Math" w:hAnsi="Cambria Math"/>
                              <w:i/>
                            </w:rPr>
                          </m:ctrlPr>
                        </m:sSupPr>
                        <m:e>
                          <m:r>
                            <m:rPr/>
                            <w:rPr>
                              <w:rFonts w:ascii="Cambria Math" w:hAnsi="Cambria Math"/>
                            </w:rPr>
                            <m:t>v</m:t>
                          </m:r>
                          <m:ctrlPr>
                            <w:rPr>
                              <w:rFonts w:ascii="Cambria Math" w:hAnsi="Cambria Math"/>
                              <w:i/>
                            </w:rPr>
                          </m:ctrlPr>
                        </m:e>
                        <m:sup>
                          <m:r>
                            <m:rPr/>
                            <w:rPr>
                              <w:rFonts w:ascii="Cambria Math" w:hAnsi="Cambria Math"/>
                            </w:rPr>
                            <m:t>2</m:t>
                          </m:r>
                          <m:ctrlPr>
                            <w:rPr>
                              <w:rFonts w:ascii="Cambria Math" w:hAnsi="Cambria Math"/>
                              <w:i/>
                            </w:rPr>
                          </m:ctrlPr>
                        </m:sup>
                      </m:sSup>
                      <m:ctrlPr>
                        <w:rPr>
                          <w:rFonts w:ascii="Cambria Math" w:hAnsi="Cambria Math"/>
                          <w:i/>
                        </w:rPr>
                      </m:ctrlPr>
                    </m:e>
                  </m:d>
                  <m:ctrlPr>
                    <w:rPr>
                      <w:rFonts w:ascii="Cambria Math" w:hAnsi="Cambria Math"/>
                      <w:i/>
                    </w:rPr>
                  </m:ctrlPr>
                </m:e>
              </m:rad>
              <m:ctrlPr>
                <w:rPr>
                  <w:rFonts w:ascii="Cambria Math" w:hAnsi="Cambria Math"/>
                  <w:i/>
                </w:rPr>
              </m:ctrlPr>
            </m:num>
            <m:den>
              <m:sSup>
                <m:sSupPr>
                  <m:ctrlPr>
                    <w:rPr>
                      <w:rFonts w:ascii="Cambria Math" w:hAnsi="Cambria Math"/>
                      <w:i/>
                    </w:rPr>
                  </m:ctrlPr>
                </m:sSupPr>
                <m:e>
                  <m:r>
                    <m:rPr/>
                    <w:rPr>
                      <w:rFonts w:ascii="Cambria Math" w:hAnsi="Cambria Math"/>
                    </w:rPr>
                    <m:t>c</m:t>
                  </m:r>
                  <m:ctrlPr>
                    <w:rPr>
                      <w:rFonts w:ascii="Cambria Math" w:hAnsi="Cambria Math"/>
                      <w:i/>
                    </w:rPr>
                  </m:ctrlPr>
                </m:e>
                <m:sup>
                  <m:r>
                    <m:rPr/>
                    <w:rPr>
                      <w:rFonts w:ascii="Cambria Math" w:hAnsi="Cambria Math"/>
                    </w:rPr>
                    <m:t>2</m:t>
                  </m:r>
                  <m:ctrlPr>
                    <w:rPr>
                      <w:rFonts w:ascii="Cambria Math" w:hAnsi="Cambria Math"/>
                      <w:i/>
                    </w:rPr>
                  </m:ctrlPr>
                </m:sup>
              </m:sSup>
              <m:d>
                <m:dPr>
                  <m:ctrlPr>
                    <w:rPr>
                      <w:rFonts w:ascii="Cambria Math" w:hAnsi="Cambria Math"/>
                      <w:i/>
                    </w:rPr>
                  </m:ctrlPr>
                </m:dPr>
                <m:e>
                  <m:r>
                    <m:rPr/>
                    <w:rPr>
                      <w:rFonts w:ascii="Cambria Math" w:hAnsi="Cambria Math"/>
                    </w:rPr>
                    <m:t>ℎ+ζ</m:t>
                  </m:r>
                  <m:ctrlPr>
                    <w:rPr>
                      <w:rFonts w:ascii="Cambria Math" w:hAnsi="Cambria Math"/>
                      <w:i/>
                    </w:rPr>
                  </m:ctrlPr>
                </m:e>
              </m:d>
              <m:ctrlPr>
                <w:rPr>
                  <w:rFonts w:ascii="Cambria Math" w:hAnsi="Cambria Math"/>
                  <w:i/>
                </w:rPr>
              </m:ctrlPr>
            </m:den>
          </m:f>
          <m:r>
            <m:rPr/>
            <w:rPr>
              <w:rFonts w:ascii="Cambria Math" w:hAnsi="Cambria Math"/>
            </w:rPr>
            <m:t>+fv+</m:t>
          </m:r>
          <m:f>
            <m:fPr>
              <m:ctrlPr>
                <w:rPr>
                  <w:rFonts w:ascii="Cambria Math" w:hAnsi="Cambria Math"/>
                  <w:i/>
                </w:rPr>
              </m:ctrlPr>
            </m:fPr>
            <m:num>
              <m:sSub>
                <m:sSubPr>
                  <m:ctrlPr>
                    <w:rPr>
                      <w:rFonts w:ascii="Cambria Math" w:hAnsi="Cambria Math"/>
                      <w:i/>
                    </w:rPr>
                  </m:ctrlPr>
                </m:sSubPr>
                <m:e>
                  <m:r>
                    <m:rPr/>
                    <w:rPr>
                      <w:rFonts w:ascii="Cambria Math" w:hAnsi="Cambria Math"/>
                    </w:rPr>
                    <m:t>τ</m:t>
                  </m:r>
                  <m:ctrlPr>
                    <w:rPr>
                      <w:rFonts w:ascii="Cambria Math" w:hAnsi="Cambria Math"/>
                      <w:i/>
                    </w:rPr>
                  </m:ctrlPr>
                </m:e>
                <m:sub>
                  <m:r>
                    <m:rPr/>
                    <w:rPr>
                      <w:rFonts w:ascii="Cambria Math" w:hAnsi="Cambria Math"/>
                    </w:rPr>
                    <m:t>wx</m:t>
                  </m:r>
                  <m:ctrlPr>
                    <w:rPr>
                      <w:rFonts w:ascii="Cambria Math" w:hAnsi="Cambria Math"/>
                      <w:i/>
                    </w:rPr>
                  </m:ctrlPr>
                </m:sub>
              </m:sSub>
              <m:ctrlPr>
                <w:rPr>
                  <w:rFonts w:ascii="Cambria Math" w:hAnsi="Cambria Math"/>
                  <w:i/>
                </w:rPr>
              </m:ctrlPr>
            </m:num>
            <m:den>
              <m:r>
                <m:rPr/>
                <w:rPr>
                  <w:rFonts w:ascii="Cambria Math" w:hAnsi="Cambria Math"/>
                </w:rPr>
                <m:t>ρ</m:t>
              </m:r>
              <m:d>
                <m:dPr>
                  <m:ctrlPr>
                    <w:rPr>
                      <w:rFonts w:ascii="Cambria Math" w:hAnsi="Cambria Math"/>
                      <w:i/>
                    </w:rPr>
                  </m:ctrlPr>
                </m:dPr>
                <m:e>
                  <m:r>
                    <m:rPr/>
                    <w:rPr>
                      <w:rFonts w:ascii="Cambria Math" w:hAnsi="Cambria Math"/>
                    </w:rPr>
                    <m:t>ℎ+ζ</m:t>
                  </m:r>
                  <m:ctrlPr>
                    <w:rPr>
                      <w:rFonts w:ascii="Cambria Math" w:hAnsi="Cambria Math"/>
                      <w:i/>
                    </w:rPr>
                  </m:ctrlPr>
                </m:e>
              </m:d>
              <m:ctrlPr>
                <w:rPr>
                  <w:rFonts w:ascii="Cambria Math" w:hAnsi="Cambria Math"/>
                  <w:i/>
                </w:rPr>
              </m:ctrlPr>
            </m:den>
          </m:f>
        </m:oMath>
      </m:oMathPara>
    </w:p>
    <w:p w14:paraId="61FC3C55">
      <w:pPr>
        <w:ind w:firstLine="437"/>
      </w:pPr>
      <m:oMathPara>
        <m:oMath>
          <m:f>
            <m:fPr>
              <m:ctrlPr>
                <w:rPr>
                  <w:rFonts w:ascii="Cambria Math" w:hAnsi="Cambria Math"/>
                  <w:i/>
                </w:rPr>
              </m:ctrlPr>
            </m:fPr>
            <m:num>
              <m:r>
                <m:rPr/>
                <w:rPr>
                  <w:rFonts w:ascii="Cambria Math" w:hAnsi="Cambria Math"/>
                </w:rPr>
                <m:t>∂v</m:t>
              </m:r>
              <m:ctrlPr>
                <w:rPr>
                  <w:rFonts w:ascii="Cambria Math" w:hAnsi="Cambria Math"/>
                  <w:i/>
                </w:rPr>
              </m:ctrlPr>
            </m:num>
            <m:den>
              <m:r>
                <m:rPr/>
                <w:rPr>
                  <w:rFonts w:ascii="Cambria Math" w:hAnsi="Cambria Math"/>
                </w:rPr>
                <m:t>∂</m:t>
              </m:r>
              <m:r>
                <m:rPr/>
                <w:rPr>
                  <w:rFonts w:hint="eastAsia" w:ascii="Cambria Math" w:hAnsi="Cambria Math"/>
                </w:rPr>
                <m:t>t</m:t>
              </m:r>
              <m:ctrlPr>
                <w:rPr>
                  <w:rFonts w:ascii="Cambria Math" w:hAnsi="Cambria Math"/>
                  <w:i/>
                </w:rPr>
              </m:ctrlPr>
            </m:den>
          </m:f>
          <m:r>
            <m:rPr/>
            <w:rPr>
              <w:rFonts w:ascii="Cambria Math" w:hAnsi="Cambria Math"/>
            </w:rPr>
            <m:t>+u</m:t>
          </m:r>
          <m:f>
            <m:fPr>
              <m:ctrlPr>
                <w:rPr>
                  <w:rFonts w:ascii="Cambria Math" w:hAnsi="Cambria Math"/>
                  <w:i/>
                </w:rPr>
              </m:ctrlPr>
            </m:fPr>
            <m:num>
              <m:r>
                <m:rPr/>
                <w:rPr>
                  <w:rFonts w:ascii="Cambria Math" w:hAnsi="Cambria Math"/>
                </w:rPr>
                <m:t>∂v</m:t>
              </m:r>
              <m:ctrlPr>
                <w:rPr>
                  <w:rFonts w:ascii="Cambria Math" w:hAnsi="Cambria Math"/>
                  <w:i/>
                </w:rPr>
              </m:ctrlPr>
            </m:num>
            <m:den>
              <m:r>
                <m:rPr/>
                <w:rPr>
                  <w:rFonts w:ascii="Cambria Math" w:hAnsi="Cambria Math"/>
                </w:rPr>
                <m:t>∂x</m:t>
              </m:r>
              <m:ctrlPr>
                <w:rPr>
                  <w:rFonts w:ascii="Cambria Math" w:hAnsi="Cambria Math"/>
                  <w:i/>
                </w:rPr>
              </m:ctrlPr>
            </m:den>
          </m:f>
          <m:r>
            <m:rPr/>
            <w:rPr>
              <w:rFonts w:ascii="Cambria Math" w:hAnsi="Cambria Math"/>
            </w:rPr>
            <m:t>+v</m:t>
          </m:r>
          <m:f>
            <m:fPr>
              <m:ctrlPr>
                <w:rPr>
                  <w:rFonts w:ascii="Cambria Math" w:hAnsi="Cambria Math"/>
                  <w:i/>
                </w:rPr>
              </m:ctrlPr>
            </m:fPr>
            <m:num>
              <m:r>
                <m:rPr/>
                <w:rPr>
                  <w:rFonts w:ascii="Cambria Math" w:hAnsi="Cambria Math"/>
                </w:rPr>
                <m:t>∂v</m:t>
              </m:r>
              <m:ctrlPr>
                <w:rPr>
                  <w:rFonts w:ascii="Cambria Math" w:hAnsi="Cambria Math"/>
                  <w:i/>
                </w:rPr>
              </m:ctrlPr>
            </m:num>
            <m:den>
              <m:r>
                <m:rPr/>
                <w:rPr>
                  <w:rFonts w:ascii="Cambria Math" w:hAnsi="Cambria Math"/>
                </w:rPr>
                <m:t>∂y</m:t>
              </m:r>
              <m:ctrlPr>
                <w:rPr>
                  <w:rFonts w:ascii="Cambria Math" w:hAnsi="Cambria Math"/>
                  <w:i/>
                </w:rPr>
              </m:ctrlPr>
            </m:den>
          </m:f>
          <m:r>
            <m:rPr/>
            <w:rPr>
              <w:rFonts w:ascii="Cambria Math" w:hAnsi="Cambria Math"/>
            </w:rPr>
            <m:t>=−g</m:t>
          </m:r>
          <m:f>
            <m:fPr>
              <m:ctrlPr>
                <w:rPr>
                  <w:rFonts w:ascii="Cambria Math" w:hAnsi="Cambria Math"/>
                  <w:i/>
                </w:rPr>
              </m:ctrlPr>
            </m:fPr>
            <m:num>
              <m:r>
                <m:rPr/>
                <w:rPr>
                  <w:rFonts w:ascii="Cambria Math" w:hAnsi="Cambria Math"/>
                </w:rPr>
                <m:t>∂ζ</m:t>
              </m:r>
              <m:ctrlPr>
                <w:rPr>
                  <w:rFonts w:ascii="Cambria Math" w:hAnsi="Cambria Math"/>
                  <w:i/>
                </w:rPr>
              </m:ctrlPr>
            </m:num>
            <m:den>
              <m:r>
                <m:rPr/>
                <w:rPr>
                  <w:rFonts w:ascii="Cambria Math" w:hAnsi="Cambria Math"/>
                </w:rPr>
                <m:t>∂y</m:t>
              </m:r>
              <m:ctrlPr>
                <w:rPr>
                  <w:rFonts w:ascii="Cambria Math" w:hAnsi="Cambria Math"/>
                  <w:i/>
                </w:rPr>
              </m:ctrlPr>
            </m:den>
          </m:f>
          <m:r>
            <m:rPr/>
            <w:rPr>
              <w:rFonts w:ascii="Cambria Math" w:hAnsi="Cambria Math"/>
            </w:rPr>
            <m:t>+</m:t>
          </m:r>
          <m:f>
            <m:fPr>
              <m:ctrlPr>
                <w:rPr>
                  <w:rFonts w:ascii="Cambria Math" w:hAnsi="Cambria Math"/>
                  <w:i/>
                </w:rPr>
              </m:ctrlPr>
            </m:fPr>
            <m:num>
              <m:sSub>
                <m:sSubPr>
                  <m:ctrlPr>
                    <w:rPr>
                      <w:rFonts w:ascii="Cambria Math" w:hAnsi="Cambria Math"/>
                      <w:i/>
                    </w:rPr>
                  </m:ctrlPr>
                </m:sSubPr>
                <m:e>
                  <m:r>
                    <m:rPr/>
                    <w:rPr>
                      <w:rFonts w:ascii="Cambria Math" w:hAnsi="Cambria Math"/>
                    </w:rPr>
                    <m:t>τ</m:t>
                  </m:r>
                  <m:ctrlPr>
                    <w:rPr>
                      <w:rFonts w:ascii="Cambria Math" w:hAnsi="Cambria Math"/>
                      <w:i/>
                    </w:rPr>
                  </m:ctrlPr>
                </m:e>
                <m:sub>
                  <m:r>
                    <m:rPr/>
                    <w:rPr>
                      <w:rFonts w:ascii="Cambria Math" w:hAnsi="Cambria Math"/>
                    </w:rPr>
                    <m:t>by</m:t>
                  </m:r>
                  <m:ctrlPr>
                    <w:rPr>
                      <w:rFonts w:ascii="Cambria Math" w:hAnsi="Cambria Math"/>
                      <w:i/>
                    </w:rPr>
                  </m:ctrlPr>
                </m:sub>
              </m:sSub>
              <m:ctrlPr>
                <w:rPr>
                  <w:rFonts w:ascii="Cambria Math" w:hAnsi="Cambria Math"/>
                  <w:i/>
                </w:rPr>
              </m:ctrlPr>
            </m:num>
            <m:den>
              <m:r>
                <m:rPr/>
                <w:rPr>
                  <w:rFonts w:ascii="Cambria Math" w:hAnsi="Cambria Math"/>
                </w:rPr>
                <m:t>ρ</m:t>
              </m:r>
              <m:d>
                <m:dPr>
                  <m:ctrlPr>
                    <w:rPr>
                      <w:rFonts w:ascii="Cambria Math" w:hAnsi="Cambria Math"/>
                      <w:i/>
                    </w:rPr>
                  </m:ctrlPr>
                </m:dPr>
                <m:e>
                  <m:r>
                    <m:rPr/>
                    <w:rPr>
                      <w:rFonts w:ascii="Cambria Math" w:hAnsi="Cambria Math"/>
                    </w:rPr>
                    <m:t>ℎ+ζ</m:t>
                  </m:r>
                  <m:ctrlPr>
                    <w:rPr>
                      <w:rFonts w:ascii="Cambria Math" w:hAnsi="Cambria Math"/>
                      <w:i/>
                    </w:rPr>
                  </m:ctrlPr>
                </m:e>
              </m:d>
              <m:ctrlPr>
                <w:rPr>
                  <w:rFonts w:ascii="Cambria Math" w:hAnsi="Cambria Math"/>
                  <w:i/>
                </w:rPr>
              </m:ctrlPr>
            </m:den>
          </m:f>
          <m:r>
            <m:rPr/>
            <w:rPr>
              <w:rFonts w:ascii="Cambria Math" w:hAnsi="Cambria Math"/>
            </w:rPr>
            <m:t>+</m:t>
          </m:r>
          <m:f>
            <m:fPr>
              <m:ctrlPr>
                <w:rPr>
                  <w:rFonts w:ascii="Cambria Math" w:hAnsi="Cambria Math"/>
                  <w:i/>
                </w:rPr>
              </m:ctrlPr>
            </m:fPr>
            <m:num>
              <m:r>
                <m:rPr/>
                <w:rPr>
                  <w:rFonts w:ascii="Cambria Math" w:hAnsi="Cambria Math"/>
                </w:rPr>
                <m:t>1</m:t>
              </m:r>
              <m:ctrlPr>
                <w:rPr>
                  <w:rFonts w:ascii="Cambria Math" w:hAnsi="Cambria Math"/>
                  <w:i/>
                </w:rPr>
              </m:ctrlPr>
            </m:num>
            <m:den>
              <m:r>
                <m:rPr/>
                <w:rPr>
                  <w:rFonts w:ascii="Cambria Math" w:hAnsi="Cambria Math"/>
                </w:rPr>
                <m:t>ρ</m:t>
              </m:r>
              <m:d>
                <m:dPr>
                  <m:ctrlPr>
                    <w:rPr>
                      <w:rFonts w:ascii="Cambria Math" w:hAnsi="Cambria Math"/>
                      <w:i/>
                    </w:rPr>
                  </m:ctrlPr>
                </m:dPr>
                <m:e>
                  <m:r>
                    <m:rPr/>
                    <w:rPr>
                      <w:rFonts w:ascii="Cambria Math" w:hAnsi="Cambria Math"/>
                    </w:rPr>
                    <m:t>ℎ+ζ</m:t>
                  </m:r>
                  <m:ctrlPr>
                    <w:rPr>
                      <w:rFonts w:ascii="Cambria Math" w:hAnsi="Cambria Math"/>
                      <w:i/>
                    </w:rPr>
                  </m:ctrlPr>
                </m:e>
              </m:d>
              <m:ctrlPr>
                <w:rPr>
                  <w:rFonts w:ascii="Cambria Math" w:hAnsi="Cambria Math"/>
                  <w:i/>
                </w:rPr>
              </m:ctrlPr>
            </m:den>
          </m:f>
          <m:d>
            <m:dPr>
              <m:ctrlPr>
                <w:rPr>
                  <w:rFonts w:ascii="Cambria Math" w:hAnsi="Cambria Math"/>
                  <w:i/>
                </w:rPr>
              </m:ctrlPr>
            </m:dPr>
            <m:e>
              <m:f>
                <m:fPr>
                  <m:ctrlPr>
                    <w:rPr>
                      <w:rFonts w:ascii="Cambria Math" w:hAnsi="Cambria Math"/>
                      <w:i/>
                    </w:rPr>
                  </m:ctrlPr>
                </m:fPr>
                <m:num>
                  <m:r>
                    <m:rPr/>
                    <w:rPr>
                      <w:rFonts w:ascii="Cambria Math" w:hAnsi="Cambria Math"/>
                    </w:rPr>
                    <m:t>∂</m:t>
                  </m:r>
                  <m:sSub>
                    <m:sSubPr>
                      <m:ctrlPr>
                        <w:rPr>
                          <w:rFonts w:ascii="Cambria Math" w:hAnsi="Cambria Math"/>
                          <w:i/>
                        </w:rPr>
                      </m:ctrlPr>
                    </m:sSubPr>
                    <m:e>
                      <m:r>
                        <m:rPr/>
                        <w:rPr>
                          <w:rFonts w:ascii="Cambria Math" w:hAnsi="Cambria Math"/>
                        </w:rPr>
                        <m:t>S</m:t>
                      </m:r>
                      <m:ctrlPr>
                        <w:rPr>
                          <w:rFonts w:ascii="Cambria Math" w:hAnsi="Cambria Math"/>
                          <w:i/>
                        </w:rPr>
                      </m:ctrlPr>
                    </m:e>
                    <m:sub>
                      <m:r>
                        <m:rPr/>
                        <w:rPr>
                          <w:rFonts w:ascii="Cambria Math" w:hAnsi="Cambria Math"/>
                        </w:rPr>
                        <m:t>xy</m:t>
                      </m:r>
                      <m:ctrlPr>
                        <w:rPr>
                          <w:rFonts w:ascii="Cambria Math" w:hAnsi="Cambria Math"/>
                          <w:i/>
                        </w:rPr>
                      </m:ctrlPr>
                    </m:sub>
                  </m:sSub>
                  <m:ctrlPr>
                    <w:rPr>
                      <w:rFonts w:ascii="Cambria Math" w:hAnsi="Cambria Math"/>
                      <w:i/>
                    </w:rPr>
                  </m:ctrlPr>
                </m:num>
                <m:den>
                  <m:r>
                    <m:rPr/>
                    <w:rPr>
                      <w:rFonts w:ascii="Cambria Math" w:hAnsi="Cambria Math"/>
                    </w:rPr>
                    <m:t>∂x</m:t>
                  </m:r>
                  <m:ctrlPr>
                    <w:rPr>
                      <w:rFonts w:ascii="Cambria Math" w:hAnsi="Cambria Math"/>
                      <w:i/>
                    </w:rPr>
                  </m:ctrlPr>
                </m:den>
              </m:f>
              <m:r>
                <m:rPr/>
                <w:rPr>
                  <w:rFonts w:ascii="Cambria Math" w:hAnsi="Cambria Math"/>
                </w:rPr>
                <m:t>+</m:t>
              </m:r>
              <m:f>
                <m:fPr>
                  <m:ctrlPr>
                    <w:rPr>
                      <w:rFonts w:ascii="Cambria Math" w:hAnsi="Cambria Math"/>
                      <w:i/>
                    </w:rPr>
                  </m:ctrlPr>
                </m:fPr>
                <m:num>
                  <m:r>
                    <m:rPr/>
                    <w:rPr>
                      <w:rFonts w:ascii="Cambria Math" w:hAnsi="Cambria Math"/>
                    </w:rPr>
                    <m:t>∂</m:t>
                  </m:r>
                  <m:sSub>
                    <m:sSubPr>
                      <m:ctrlPr>
                        <w:rPr>
                          <w:rFonts w:ascii="Cambria Math" w:hAnsi="Cambria Math"/>
                          <w:i/>
                        </w:rPr>
                      </m:ctrlPr>
                    </m:sSubPr>
                    <m:e>
                      <m:r>
                        <m:rPr/>
                        <w:rPr>
                          <w:rFonts w:ascii="Cambria Math" w:hAnsi="Cambria Math"/>
                        </w:rPr>
                        <m:t>S</m:t>
                      </m:r>
                      <m:ctrlPr>
                        <w:rPr>
                          <w:rFonts w:ascii="Cambria Math" w:hAnsi="Cambria Math"/>
                          <w:i/>
                        </w:rPr>
                      </m:ctrlPr>
                    </m:e>
                    <m:sub>
                      <m:r>
                        <m:rPr/>
                        <w:rPr>
                          <w:rFonts w:ascii="Cambria Math" w:hAnsi="Cambria Math"/>
                        </w:rPr>
                        <m:t>xy</m:t>
                      </m:r>
                      <m:ctrlPr>
                        <w:rPr>
                          <w:rFonts w:ascii="Cambria Math" w:hAnsi="Cambria Math"/>
                          <w:i/>
                        </w:rPr>
                      </m:ctrlPr>
                    </m:sub>
                  </m:sSub>
                  <m:ctrlPr>
                    <w:rPr>
                      <w:rFonts w:ascii="Cambria Math" w:hAnsi="Cambria Math"/>
                      <w:i/>
                    </w:rPr>
                  </m:ctrlPr>
                </m:num>
                <m:den>
                  <m:r>
                    <m:rPr/>
                    <w:rPr>
                      <w:rFonts w:ascii="Cambria Math" w:hAnsi="Cambria Math"/>
                    </w:rPr>
                    <m:t>∂y</m:t>
                  </m:r>
                  <m:ctrlPr>
                    <w:rPr>
                      <w:rFonts w:ascii="Cambria Math" w:hAnsi="Cambria Math"/>
                      <w:i/>
                    </w:rPr>
                  </m:ctrlPr>
                </m:den>
              </m:f>
              <m:ctrlPr>
                <w:rPr>
                  <w:rFonts w:ascii="Cambria Math" w:hAnsi="Cambria Math"/>
                  <w:i/>
                </w:rPr>
              </m:ctrlPr>
            </m:e>
          </m:d>
          <m:r>
            <m:rPr/>
            <w:rPr>
              <w:rFonts w:ascii="Cambria Math" w:hAnsi="Cambria Math"/>
            </w:rPr>
            <m:t>+</m:t>
          </m:r>
          <m:f>
            <m:fPr>
              <m:ctrlPr>
                <w:rPr>
                  <w:rFonts w:ascii="Cambria Math" w:hAnsi="Cambria Math"/>
                  <w:i/>
                </w:rPr>
              </m:ctrlPr>
            </m:fPr>
            <m:num>
              <m:r>
                <m:rPr/>
                <w:rPr>
                  <w:rFonts w:ascii="Cambria Math" w:hAnsi="Cambria Math"/>
                </w:rPr>
                <m:t>∂</m:t>
              </m:r>
              <m:ctrlPr>
                <w:rPr>
                  <w:rFonts w:ascii="Cambria Math" w:hAnsi="Cambria Math"/>
                  <w:i/>
                </w:rPr>
              </m:ctrlPr>
            </m:num>
            <m:den>
              <m:r>
                <m:rPr/>
                <w:rPr>
                  <w:rFonts w:ascii="Cambria Math" w:hAnsi="Cambria Math"/>
                </w:rPr>
                <m:t>∂x</m:t>
              </m:r>
              <m:ctrlPr>
                <w:rPr>
                  <w:rFonts w:ascii="Cambria Math" w:hAnsi="Cambria Math"/>
                  <w:i/>
                </w:rPr>
              </m:ctrlPr>
            </m:den>
          </m:f>
          <m:d>
            <m:dPr>
              <m:ctrlPr>
                <w:rPr>
                  <w:rFonts w:ascii="Cambria Math" w:hAnsi="Cambria Math"/>
                  <w:i/>
                </w:rPr>
              </m:ctrlPr>
            </m:dPr>
            <m:e>
              <m:sSub>
                <m:sSubPr>
                  <m:ctrlPr>
                    <w:rPr>
                      <w:rFonts w:ascii="Cambria Math" w:hAnsi="Cambria Math"/>
                      <w:i/>
                    </w:rPr>
                  </m:ctrlPr>
                </m:sSubPr>
                <m:e>
                  <m:r>
                    <m:rPr/>
                    <w:rPr>
                      <w:rFonts w:ascii="Cambria Math" w:hAnsi="Cambria Math"/>
                    </w:rPr>
                    <m:t>N</m:t>
                  </m:r>
                  <m:ctrlPr>
                    <w:rPr>
                      <w:rFonts w:ascii="Cambria Math" w:hAnsi="Cambria Math"/>
                      <w:i/>
                    </w:rPr>
                  </m:ctrlPr>
                </m:e>
                <m:sub>
                  <m:r>
                    <m:rPr/>
                    <w:rPr>
                      <w:rFonts w:ascii="Cambria Math" w:hAnsi="Cambria Math"/>
                    </w:rPr>
                    <m:t>x</m:t>
                  </m:r>
                  <m:ctrlPr>
                    <w:rPr>
                      <w:rFonts w:ascii="Cambria Math" w:hAnsi="Cambria Math"/>
                      <w:i/>
                    </w:rPr>
                  </m:ctrlPr>
                </m:sub>
              </m:sSub>
              <m:f>
                <m:fPr>
                  <m:ctrlPr>
                    <w:rPr>
                      <w:rFonts w:ascii="Cambria Math" w:hAnsi="Cambria Math"/>
                      <w:i/>
                    </w:rPr>
                  </m:ctrlPr>
                </m:fPr>
                <m:num>
                  <m:r>
                    <m:rPr/>
                    <w:rPr>
                      <w:rFonts w:ascii="Cambria Math" w:hAnsi="Cambria Math"/>
                    </w:rPr>
                    <m:t>∂v</m:t>
                  </m:r>
                  <m:ctrlPr>
                    <w:rPr>
                      <w:rFonts w:ascii="Cambria Math" w:hAnsi="Cambria Math"/>
                      <w:i/>
                    </w:rPr>
                  </m:ctrlPr>
                </m:num>
                <m:den>
                  <m:r>
                    <m:rPr/>
                    <w:rPr>
                      <w:rFonts w:ascii="Cambria Math" w:hAnsi="Cambria Math"/>
                    </w:rPr>
                    <m:t>∂x</m:t>
                  </m:r>
                  <m:ctrlPr>
                    <w:rPr>
                      <w:rFonts w:ascii="Cambria Math" w:hAnsi="Cambria Math"/>
                      <w:i/>
                    </w:rPr>
                  </m:ctrlPr>
                </m:den>
              </m:f>
              <m:ctrlPr>
                <w:rPr>
                  <w:rFonts w:ascii="Cambria Math" w:hAnsi="Cambria Math"/>
                  <w:i/>
                </w:rPr>
              </m:ctrlPr>
            </m:e>
          </m:d>
          <m:r>
            <m:rPr/>
            <w:rPr>
              <w:rFonts w:ascii="Cambria Math" w:hAnsi="Cambria Math"/>
            </w:rPr>
            <m:t>+</m:t>
          </m:r>
          <m:f>
            <m:fPr>
              <m:ctrlPr>
                <w:rPr>
                  <w:rFonts w:ascii="Cambria Math" w:hAnsi="Cambria Math"/>
                  <w:i/>
                </w:rPr>
              </m:ctrlPr>
            </m:fPr>
            <m:num>
              <m:r>
                <m:rPr/>
                <w:rPr>
                  <w:rFonts w:ascii="Cambria Math" w:hAnsi="Cambria Math"/>
                </w:rPr>
                <m:t>∂</m:t>
              </m:r>
              <m:ctrlPr>
                <w:rPr>
                  <w:rFonts w:ascii="Cambria Math" w:hAnsi="Cambria Math"/>
                  <w:i/>
                </w:rPr>
              </m:ctrlPr>
            </m:num>
            <m:den>
              <m:r>
                <m:rPr/>
                <w:rPr>
                  <w:rFonts w:ascii="Cambria Math" w:hAnsi="Cambria Math"/>
                </w:rPr>
                <m:t>∂y</m:t>
              </m:r>
              <m:ctrlPr>
                <w:rPr>
                  <w:rFonts w:ascii="Cambria Math" w:hAnsi="Cambria Math"/>
                  <w:i/>
                </w:rPr>
              </m:ctrlPr>
            </m:den>
          </m:f>
          <m:d>
            <m:dPr>
              <m:ctrlPr>
                <w:rPr>
                  <w:rFonts w:ascii="Cambria Math" w:hAnsi="Cambria Math"/>
                  <w:i/>
                </w:rPr>
              </m:ctrlPr>
            </m:dPr>
            <m:e>
              <m:sSub>
                <m:sSubPr>
                  <m:ctrlPr>
                    <w:rPr>
                      <w:rFonts w:ascii="Cambria Math" w:hAnsi="Cambria Math"/>
                      <w:i/>
                    </w:rPr>
                  </m:ctrlPr>
                </m:sSubPr>
                <m:e>
                  <m:r>
                    <m:rPr/>
                    <w:rPr>
                      <w:rFonts w:ascii="Cambria Math" w:hAnsi="Cambria Math"/>
                    </w:rPr>
                    <m:t>N</m:t>
                  </m:r>
                  <m:ctrlPr>
                    <w:rPr>
                      <w:rFonts w:ascii="Cambria Math" w:hAnsi="Cambria Math"/>
                      <w:i/>
                    </w:rPr>
                  </m:ctrlPr>
                </m:e>
                <m:sub>
                  <m:r>
                    <m:rPr/>
                    <w:rPr>
                      <w:rFonts w:ascii="Cambria Math" w:hAnsi="Cambria Math"/>
                    </w:rPr>
                    <m:t>y</m:t>
                  </m:r>
                  <m:ctrlPr>
                    <w:rPr>
                      <w:rFonts w:ascii="Cambria Math" w:hAnsi="Cambria Math"/>
                      <w:i/>
                    </w:rPr>
                  </m:ctrlPr>
                </m:sub>
              </m:sSub>
              <m:f>
                <m:fPr>
                  <m:ctrlPr>
                    <w:rPr>
                      <w:rFonts w:ascii="Cambria Math" w:hAnsi="Cambria Math"/>
                      <w:i/>
                    </w:rPr>
                  </m:ctrlPr>
                </m:fPr>
                <m:num>
                  <m:r>
                    <m:rPr/>
                    <w:rPr>
                      <w:rFonts w:ascii="Cambria Math" w:hAnsi="Cambria Math"/>
                    </w:rPr>
                    <m:t>∂v</m:t>
                  </m:r>
                  <m:ctrlPr>
                    <w:rPr>
                      <w:rFonts w:ascii="Cambria Math" w:hAnsi="Cambria Math"/>
                      <w:i/>
                    </w:rPr>
                  </m:ctrlPr>
                </m:num>
                <m:den>
                  <m:r>
                    <m:rPr/>
                    <w:rPr>
                      <w:rFonts w:ascii="Cambria Math" w:hAnsi="Cambria Math"/>
                    </w:rPr>
                    <m:t>∂y</m:t>
                  </m:r>
                  <m:ctrlPr>
                    <w:rPr>
                      <w:rFonts w:ascii="Cambria Math" w:hAnsi="Cambria Math"/>
                      <w:i/>
                    </w:rPr>
                  </m:ctrlPr>
                </m:den>
              </m:f>
              <m:ctrlPr>
                <w:rPr>
                  <w:rFonts w:ascii="Cambria Math" w:hAnsi="Cambria Math"/>
                  <w:i/>
                </w:rPr>
              </m:ctrlPr>
            </m:e>
          </m:d>
          <m:r>
            <m:rPr/>
            <w:rPr>
              <w:rFonts w:ascii="Cambria Math" w:hAnsi="Cambria Math"/>
            </w:rPr>
            <m:t>−g</m:t>
          </m:r>
          <m:f>
            <m:fPr>
              <m:ctrlPr>
                <w:rPr>
                  <w:rFonts w:ascii="Cambria Math" w:hAnsi="Cambria Math"/>
                  <w:i/>
                </w:rPr>
              </m:ctrlPr>
            </m:fPr>
            <m:num>
              <m:r>
                <m:rPr/>
                <w:rPr>
                  <w:rFonts w:ascii="Cambria Math" w:hAnsi="Cambria Math"/>
                </w:rPr>
                <m:t>v</m:t>
              </m:r>
              <m:rad>
                <m:radPr>
                  <m:degHide m:val="1"/>
                  <m:ctrlPr>
                    <w:rPr>
                      <w:rFonts w:ascii="Cambria Math" w:hAnsi="Cambria Math"/>
                      <w:i/>
                    </w:rPr>
                  </m:ctrlPr>
                </m:radPr>
                <m:deg>
                  <m:ctrlPr>
                    <w:rPr>
                      <w:rFonts w:ascii="Cambria Math" w:hAnsi="Cambria Math"/>
                      <w:i/>
                    </w:rPr>
                  </m:ctrlPr>
                </m:deg>
                <m:e>
                  <m:d>
                    <m:dPr>
                      <m:ctrlPr>
                        <w:rPr>
                          <w:rFonts w:ascii="Cambria Math" w:hAnsi="Cambria Math"/>
                          <w:i/>
                        </w:rPr>
                      </m:ctrlPr>
                    </m:dPr>
                    <m:e>
                      <m:sSup>
                        <m:sSupPr>
                          <m:ctrlPr>
                            <w:rPr>
                              <w:rFonts w:ascii="Cambria Math" w:hAnsi="Cambria Math"/>
                              <w:i/>
                            </w:rPr>
                          </m:ctrlPr>
                        </m:sSupPr>
                        <m:e>
                          <m:r>
                            <m:rPr/>
                            <w:rPr>
                              <w:rFonts w:ascii="Cambria Math" w:hAnsi="Cambria Math"/>
                            </w:rPr>
                            <m:t>u</m:t>
                          </m:r>
                          <m:ctrlPr>
                            <w:rPr>
                              <w:rFonts w:ascii="Cambria Math" w:hAnsi="Cambria Math"/>
                              <w:i/>
                            </w:rPr>
                          </m:ctrlPr>
                        </m:e>
                        <m:sup>
                          <m:r>
                            <m:rPr/>
                            <w:rPr>
                              <w:rFonts w:ascii="Cambria Math" w:hAnsi="Cambria Math"/>
                            </w:rPr>
                            <m:t>2</m:t>
                          </m:r>
                          <m:ctrlPr>
                            <w:rPr>
                              <w:rFonts w:ascii="Cambria Math" w:hAnsi="Cambria Math"/>
                              <w:i/>
                            </w:rPr>
                          </m:ctrlPr>
                        </m:sup>
                      </m:sSup>
                      <m:r>
                        <m:rPr/>
                        <w:rPr>
                          <w:rFonts w:ascii="Cambria Math" w:hAnsi="Cambria Math"/>
                        </w:rPr>
                        <m:t>+</m:t>
                      </m:r>
                      <m:sSup>
                        <m:sSupPr>
                          <m:ctrlPr>
                            <w:rPr>
                              <w:rFonts w:ascii="Cambria Math" w:hAnsi="Cambria Math"/>
                              <w:i/>
                            </w:rPr>
                          </m:ctrlPr>
                        </m:sSupPr>
                        <m:e>
                          <m:r>
                            <m:rPr/>
                            <w:rPr>
                              <w:rFonts w:ascii="Cambria Math" w:hAnsi="Cambria Math"/>
                            </w:rPr>
                            <m:t>v</m:t>
                          </m:r>
                          <m:ctrlPr>
                            <w:rPr>
                              <w:rFonts w:ascii="Cambria Math" w:hAnsi="Cambria Math"/>
                              <w:i/>
                            </w:rPr>
                          </m:ctrlPr>
                        </m:e>
                        <m:sup>
                          <m:r>
                            <m:rPr/>
                            <w:rPr>
                              <w:rFonts w:ascii="Cambria Math" w:hAnsi="Cambria Math"/>
                            </w:rPr>
                            <m:t>2</m:t>
                          </m:r>
                          <m:ctrlPr>
                            <w:rPr>
                              <w:rFonts w:ascii="Cambria Math" w:hAnsi="Cambria Math"/>
                              <w:i/>
                            </w:rPr>
                          </m:ctrlPr>
                        </m:sup>
                      </m:sSup>
                      <m:ctrlPr>
                        <w:rPr>
                          <w:rFonts w:ascii="Cambria Math" w:hAnsi="Cambria Math"/>
                          <w:i/>
                        </w:rPr>
                      </m:ctrlPr>
                    </m:e>
                  </m:d>
                  <m:ctrlPr>
                    <w:rPr>
                      <w:rFonts w:ascii="Cambria Math" w:hAnsi="Cambria Math"/>
                      <w:i/>
                    </w:rPr>
                  </m:ctrlPr>
                </m:e>
              </m:rad>
              <m:ctrlPr>
                <w:rPr>
                  <w:rFonts w:ascii="Cambria Math" w:hAnsi="Cambria Math"/>
                  <w:i/>
                </w:rPr>
              </m:ctrlPr>
            </m:num>
            <m:den>
              <m:sSup>
                <m:sSupPr>
                  <m:ctrlPr>
                    <w:rPr>
                      <w:rFonts w:ascii="Cambria Math" w:hAnsi="Cambria Math"/>
                      <w:i/>
                    </w:rPr>
                  </m:ctrlPr>
                </m:sSupPr>
                <m:e>
                  <m:r>
                    <m:rPr/>
                    <w:rPr>
                      <w:rFonts w:ascii="Cambria Math" w:hAnsi="Cambria Math"/>
                    </w:rPr>
                    <m:t>c</m:t>
                  </m:r>
                  <m:ctrlPr>
                    <w:rPr>
                      <w:rFonts w:ascii="Cambria Math" w:hAnsi="Cambria Math"/>
                      <w:i/>
                    </w:rPr>
                  </m:ctrlPr>
                </m:e>
                <m:sup>
                  <m:r>
                    <m:rPr/>
                    <w:rPr>
                      <w:rFonts w:ascii="Cambria Math" w:hAnsi="Cambria Math"/>
                    </w:rPr>
                    <m:t>2</m:t>
                  </m:r>
                  <m:ctrlPr>
                    <w:rPr>
                      <w:rFonts w:ascii="Cambria Math" w:hAnsi="Cambria Math"/>
                      <w:i/>
                    </w:rPr>
                  </m:ctrlPr>
                </m:sup>
              </m:sSup>
              <m:d>
                <m:dPr>
                  <m:ctrlPr>
                    <w:rPr>
                      <w:rFonts w:ascii="Cambria Math" w:hAnsi="Cambria Math"/>
                      <w:i/>
                    </w:rPr>
                  </m:ctrlPr>
                </m:dPr>
                <m:e>
                  <m:r>
                    <m:rPr/>
                    <w:rPr>
                      <w:rFonts w:ascii="Cambria Math" w:hAnsi="Cambria Math"/>
                    </w:rPr>
                    <m:t>ℎ+ζ</m:t>
                  </m:r>
                  <m:ctrlPr>
                    <w:rPr>
                      <w:rFonts w:ascii="Cambria Math" w:hAnsi="Cambria Math"/>
                      <w:i/>
                    </w:rPr>
                  </m:ctrlPr>
                </m:e>
              </m:d>
              <m:ctrlPr>
                <w:rPr>
                  <w:rFonts w:ascii="Cambria Math" w:hAnsi="Cambria Math"/>
                  <w:i/>
                </w:rPr>
              </m:ctrlPr>
            </m:den>
          </m:f>
          <m:r>
            <m:rPr/>
            <w:rPr>
              <w:rFonts w:ascii="Cambria Math" w:hAnsi="Cambria Math"/>
            </w:rPr>
            <m:t>−fu+</m:t>
          </m:r>
          <m:f>
            <m:fPr>
              <m:ctrlPr>
                <w:rPr>
                  <w:rFonts w:ascii="Cambria Math" w:hAnsi="Cambria Math"/>
                  <w:i/>
                </w:rPr>
              </m:ctrlPr>
            </m:fPr>
            <m:num>
              <m:sSub>
                <m:sSubPr>
                  <m:ctrlPr>
                    <w:rPr>
                      <w:rFonts w:ascii="Cambria Math" w:hAnsi="Cambria Math"/>
                      <w:i/>
                    </w:rPr>
                  </m:ctrlPr>
                </m:sSubPr>
                <m:e>
                  <m:r>
                    <m:rPr/>
                    <w:rPr>
                      <w:rFonts w:ascii="Cambria Math" w:hAnsi="Cambria Math"/>
                    </w:rPr>
                    <m:t>τ</m:t>
                  </m:r>
                  <m:ctrlPr>
                    <w:rPr>
                      <w:rFonts w:ascii="Cambria Math" w:hAnsi="Cambria Math"/>
                      <w:i/>
                    </w:rPr>
                  </m:ctrlPr>
                </m:e>
                <m:sub>
                  <m:r>
                    <m:rPr/>
                    <w:rPr>
                      <w:rFonts w:ascii="Cambria Math" w:hAnsi="Cambria Math"/>
                    </w:rPr>
                    <m:t>wy</m:t>
                  </m:r>
                  <m:ctrlPr>
                    <w:rPr>
                      <w:rFonts w:ascii="Cambria Math" w:hAnsi="Cambria Math"/>
                      <w:i/>
                    </w:rPr>
                  </m:ctrlPr>
                </m:sub>
              </m:sSub>
              <m:ctrlPr>
                <w:rPr>
                  <w:rFonts w:ascii="Cambria Math" w:hAnsi="Cambria Math"/>
                  <w:i/>
                </w:rPr>
              </m:ctrlPr>
            </m:num>
            <m:den>
              <m:r>
                <m:rPr/>
                <w:rPr>
                  <w:rFonts w:ascii="Cambria Math" w:hAnsi="Cambria Math"/>
                </w:rPr>
                <m:t>ρ</m:t>
              </m:r>
              <m:d>
                <m:dPr>
                  <m:ctrlPr>
                    <w:rPr>
                      <w:rFonts w:ascii="Cambria Math" w:hAnsi="Cambria Math"/>
                      <w:i/>
                    </w:rPr>
                  </m:ctrlPr>
                </m:dPr>
                <m:e>
                  <m:r>
                    <m:rPr/>
                    <w:rPr>
                      <w:rFonts w:ascii="Cambria Math" w:hAnsi="Cambria Math"/>
                    </w:rPr>
                    <m:t>ℎ+ζ</m:t>
                  </m:r>
                  <m:ctrlPr>
                    <w:rPr>
                      <w:rFonts w:ascii="Cambria Math" w:hAnsi="Cambria Math"/>
                      <w:i/>
                    </w:rPr>
                  </m:ctrlPr>
                </m:e>
              </m:d>
              <m:ctrlPr>
                <w:rPr>
                  <w:rFonts w:ascii="Cambria Math" w:hAnsi="Cambria Math"/>
                  <w:i/>
                </w:rPr>
              </m:ctrlPr>
            </m:den>
          </m:f>
        </m:oMath>
      </m:oMathPara>
    </w:p>
    <w:p w14:paraId="487D66F7">
      <w:pPr>
        <w:ind w:firstLine="437"/>
      </w:pPr>
      <w:r>
        <w:rPr>
          <w:rFonts w:hint="eastAsia"/>
        </w:rPr>
        <w:t>式中：</w:t>
      </w:r>
    </w:p>
    <w:p w14:paraId="6B077DBE">
      <w:pPr>
        <w:ind w:firstLine="437"/>
        <w:rPr>
          <w:iCs/>
        </w:rPr>
      </w:pPr>
      <w:r>
        <w:rPr>
          <w:rFonts w:hint="eastAsia"/>
          <w:iCs/>
        </w:rPr>
        <w:t>t——时间，s；</w:t>
      </w:r>
    </w:p>
    <w:p w14:paraId="196FC229">
      <w:pPr>
        <w:ind w:firstLine="437"/>
        <w:rPr>
          <w:iCs/>
        </w:rPr>
      </w:pPr>
      <w:r>
        <w:rPr>
          <w:rFonts w:hint="eastAsia"/>
          <w:iCs/>
        </w:rPr>
        <w:t>h——相对于 xoy 坐标平面的静水深，m；</w:t>
      </w:r>
    </w:p>
    <w:p w14:paraId="6F78542A">
      <w:pPr>
        <w:ind w:firstLine="437"/>
        <w:rPr>
          <w:iCs/>
        </w:rPr>
      </w:pPr>
      <w:r>
        <w:rPr>
          <w:rFonts w:hint="eastAsia"/>
          <w:iCs/>
        </w:rPr>
        <w:t>u、v——流速矢量沿 X、Y 方向的分量，m/s；</w:t>
      </w:r>
    </w:p>
    <w:p w14:paraId="7641D514">
      <w:pPr>
        <w:ind w:firstLine="437"/>
        <w:rPr>
          <w:iCs/>
        </w:rPr>
      </w:pPr>
      <w:r>
        <w:rPr>
          <w:rFonts w:hint="eastAsia"/>
          <w:iCs/>
        </w:rPr>
        <w:t>x、y——原点 o 置于某一水平基面的直角坐标系纵向和垂向坐标，m；</w:t>
      </w:r>
    </w:p>
    <w:p w14:paraId="569849FD">
      <w:pPr>
        <w:ind w:firstLine="437"/>
        <w:rPr>
          <w:iCs/>
        </w:rPr>
      </w:pPr>
      <w:r>
        <w:rPr>
          <w:rFonts w:hint="eastAsia"/>
          <w:iCs/>
        </w:rPr>
        <w:t>q</w:t>
      </w:r>
      <w:r>
        <w:rPr>
          <w:rFonts w:hint="eastAsia"/>
          <w:iCs/>
          <w:vertAlign w:val="subscript"/>
        </w:rPr>
        <w:t>0</w:t>
      </w:r>
      <w:r>
        <w:rPr>
          <w:rFonts w:hint="eastAsia"/>
          <w:iCs/>
        </w:rPr>
        <w:t xml:space="preserve"> ——区间单宽来流量，m</w:t>
      </w:r>
      <w:r>
        <w:rPr>
          <w:rFonts w:hint="eastAsia"/>
          <w:iCs/>
          <w:vertAlign w:val="superscript"/>
        </w:rPr>
        <w:t>3</w:t>
      </w:r>
      <w:r>
        <w:rPr>
          <w:rFonts w:hint="eastAsia"/>
          <w:iCs/>
        </w:rPr>
        <w:t>/s；</w:t>
      </w:r>
    </w:p>
    <w:p w14:paraId="2B5B5424">
      <w:pPr>
        <w:ind w:firstLine="437"/>
        <w:rPr>
          <w:iCs/>
        </w:rPr>
      </w:pPr>
      <w:r>
        <w:rPr>
          <w:rFonts w:hint="eastAsia"/>
          <w:iCs/>
        </w:rPr>
        <w:t>g——重力加速度，m/s</w:t>
      </w:r>
      <w:r>
        <w:rPr>
          <w:rFonts w:hint="eastAsia"/>
          <w:iCs/>
          <w:vertAlign w:val="superscript"/>
        </w:rPr>
        <w:t>2</w:t>
      </w:r>
      <w:r>
        <w:rPr>
          <w:rFonts w:hint="eastAsia"/>
          <w:iCs/>
        </w:rPr>
        <w:t>；</w:t>
      </w:r>
    </w:p>
    <w:p w14:paraId="69B7ABC3">
      <w:pPr>
        <w:ind w:firstLine="437"/>
        <w:rPr>
          <w:iCs/>
        </w:rPr>
      </w:pPr>
      <w:r>
        <w:rPr>
          <w:iCs/>
        </w:rPr>
        <w:t>τ</w:t>
      </w:r>
      <w:r>
        <w:rPr>
          <w:rFonts w:hint="eastAsia"/>
          <w:iCs/>
          <w:vertAlign w:val="subscript"/>
        </w:rPr>
        <w:t>bx</w:t>
      </w:r>
      <w:r>
        <w:rPr>
          <w:rFonts w:hint="eastAsia"/>
          <w:iCs/>
        </w:rPr>
        <w:t xml:space="preserve"> 、</w:t>
      </w:r>
      <w:r>
        <w:rPr>
          <w:iCs/>
        </w:rPr>
        <w:t>τ</w:t>
      </w:r>
      <w:r>
        <w:rPr>
          <w:rFonts w:hint="eastAsia"/>
          <w:iCs/>
          <w:vertAlign w:val="subscript"/>
        </w:rPr>
        <w:t>by</w:t>
      </w:r>
      <w:r>
        <w:rPr>
          <w:rFonts w:hint="eastAsia"/>
          <w:iCs/>
        </w:rPr>
        <w:t xml:space="preserve"> ——波浪、潮流共同作用下的底部切应力矢量沿 X、Y 方向的分量，N/m</w:t>
      </w:r>
      <w:r>
        <w:rPr>
          <w:rFonts w:hint="eastAsia"/>
          <w:iCs/>
          <w:vertAlign w:val="subscript"/>
        </w:rPr>
        <w:t>2</w:t>
      </w:r>
      <w:r>
        <w:rPr>
          <w:rFonts w:hint="eastAsia"/>
          <w:iCs/>
        </w:rPr>
        <w:t>；</w:t>
      </w:r>
    </w:p>
    <w:p w14:paraId="46454B01">
      <w:pPr>
        <w:ind w:firstLine="437"/>
        <w:rPr>
          <w:iCs/>
        </w:rPr>
      </w:pPr>
      <w:r>
        <w:rPr>
          <w:rFonts w:hint="eastAsia"/>
          <w:iCs/>
        </w:rPr>
        <w:t>S</w:t>
      </w:r>
      <w:r>
        <w:rPr>
          <w:rFonts w:hint="eastAsia"/>
          <w:iCs/>
          <w:vertAlign w:val="subscript"/>
        </w:rPr>
        <w:t>xx</w:t>
      </w:r>
      <w:r>
        <w:rPr>
          <w:rFonts w:hint="eastAsia"/>
          <w:iCs/>
        </w:rPr>
        <w:t>、S</w:t>
      </w:r>
      <w:r>
        <w:rPr>
          <w:rFonts w:hint="eastAsia"/>
          <w:iCs/>
          <w:vertAlign w:val="subscript"/>
        </w:rPr>
        <w:t>xy</w:t>
      </w:r>
      <w:r>
        <w:rPr>
          <w:rFonts w:hint="eastAsia"/>
          <w:iCs/>
        </w:rPr>
        <w:t>、S</w:t>
      </w:r>
      <w:r>
        <w:rPr>
          <w:rFonts w:hint="eastAsia"/>
          <w:iCs/>
          <w:vertAlign w:val="subscript"/>
        </w:rPr>
        <w:t>yx</w:t>
      </w:r>
      <w:r>
        <w:rPr>
          <w:rFonts w:hint="eastAsia"/>
          <w:iCs/>
        </w:rPr>
        <w:t>、S</w:t>
      </w:r>
      <w:r>
        <w:rPr>
          <w:rFonts w:hint="eastAsia"/>
          <w:iCs/>
          <w:vertAlign w:val="subscript"/>
        </w:rPr>
        <w:t>yy</w:t>
      </w:r>
      <w:r>
        <w:rPr>
          <w:rFonts w:hint="eastAsia"/>
          <w:iCs/>
        </w:rPr>
        <w:t>——波浪辐射应力张量的四个分量，N/m；</w:t>
      </w:r>
    </w:p>
    <w:p w14:paraId="6B5B462B">
      <w:pPr>
        <w:ind w:firstLine="437"/>
        <w:rPr>
          <w:iCs/>
        </w:rPr>
      </w:pPr>
      <w:r>
        <w:rPr>
          <w:rFonts w:hint="eastAsia"/>
          <w:iCs/>
        </w:rPr>
        <w:t>N</w:t>
      </w:r>
      <w:r>
        <w:rPr>
          <w:rFonts w:hint="eastAsia"/>
          <w:iCs/>
          <w:vertAlign w:val="subscript"/>
        </w:rPr>
        <w:t>x</w:t>
      </w:r>
      <w:r>
        <w:rPr>
          <w:rFonts w:hint="eastAsia"/>
          <w:iCs/>
        </w:rPr>
        <w:t>、N</w:t>
      </w:r>
      <w:r>
        <w:rPr>
          <w:rFonts w:hint="eastAsia"/>
          <w:iCs/>
          <w:vertAlign w:val="subscript"/>
        </w:rPr>
        <w:t>y</w:t>
      </w:r>
      <w:r>
        <w:rPr>
          <w:rFonts w:hint="eastAsia"/>
          <w:iCs/>
        </w:rPr>
        <w:t>——X、Y 向水流紊流黏性系数，m</w:t>
      </w:r>
      <w:r>
        <w:rPr>
          <w:rFonts w:hint="eastAsia"/>
          <w:iCs/>
          <w:vertAlign w:val="superscript"/>
        </w:rPr>
        <w:t>2</w:t>
      </w:r>
      <w:r>
        <w:rPr>
          <w:rFonts w:hint="eastAsia"/>
          <w:iCs/>
        </w:rPr>
        <w:t>/s；</w:t>
      </w:r>
    </w:p>
    <w:p w14:paraId="279FD389">
      <w:pPr>
        <w:ind w:firstLine="437"/>
        <w:rPr>
          <w:iCs/>
        </w:rPr>
      </w:pPr>
      <w:r>
        <w:rPr>
          <w:rFonts w:hint="eastAsia"/>
          <w:iCs/>
        </w:rPr>
        <w:t>c——谢才系数，m</w:t>
      </w:r>
      <w:r>
        <w:rPr>
          <w:rFonts w:hint="eastAsia"/>
          <w:iCs/>
          <w:vertAlign w:val="superscript"/>
        </w:rPr>
        <w:t>1/2</w:t>
      </w:r>
      <w:r>
        <w:rPr>
          <w:rFonts w:hint="eastAsia"/>
          <w:iCs/>
        </w:rPr>
        <w:t>/s；</w:t>
      </w:r>
    </w:p>
    <w:p w14:paraId="72EE1A57">
      <w:pPr>
        <w:ind w:firstLine="437"/>
        <w:rPr>
          <w:iCs/>
        </w:rPr>
      </w:pPr>
      <w:r>
        <w:rPr>
          <w:rFonts w:hint="eastAsia"/>
          <w:iCs/>
        </w:rPr>
        <w:t>f ——科氏参量，s</w:t>
      </w:r>
      <w:r>
        <w:rPr>
          <w:rFonts w:hint="eastAsia"/>
          <w:iCs/>
          <w:vertAlign w:val="superscript"/>
        </w:rPr>
        <w:t>-1</w:t>
      </w:r>
      <w:r>
        <w:rPr>
          <w:rFonts w:hint="eastAsia"/>
          <w:iCs/>
        </w:rPr>
        <w:t>； f = 2</w:t>
      </w:r>
      <w:r>
        <w:rPr>
          <w:iCs/>
        </w:rPr>
        <w:t>ω</w:t>
      </w:r>
      <w:r>
        <w:rPr>
          <w:rFonts w:hint="eastAsia"/>
          <w:iCs/>
        </w:rPr>
        <w:t xml:space="preserve"> sin</w:t>
      </w:r>
      <w:r>
        <w:rPr>
          <w:iCs/>
        </w:rPr>
        <w:t>φ</w:t>
      </w:r>
      <w:r>
        <w:rPr>
          <w:rFonts w:hint="eastAsia"/>
          <w:iCs/>
        </w:rPr>
        <w:t>，</w:t>
      </w:r>
      <w:r>
        <w:rPr>
          <w:iCs/>
        </w:rPr>
        <w:t>ω</w:t>
      </w:r>
      <w:r>
        <w:rPr>
          <w:rFonts w:hint="eastAsia"/>
          <w:iCs/>
        </w:rPr>
        <w:t>为地球自转角速度，</w:t>
      </w:r>
      <w:r>
        <w:rPr>
          <w:iCs/>
        </w:rPr>
        <w:t>φ</w:t>
      </w:r>
      <w:r>
        <w:rPr>
          <w:rFonts w:hint="eastAsia"/>
          <w:iCs/>
        </w:rPr>
        <w:t>为地理纬度；</w:t>
      </w:r>
    </w:p>
    <w:p w14:paraId="4E47F9ED">
      <w:pPr>
        <w:ind w:firstLine="437"/>
        <w:rPr>
          <w:iCs/>
        </w:rPr>
      </w:pPr>
      <w:r>
        <w:rPr>
          <w:iCs/>
        </w:rPr>
        <w:t>τ</w:t>
      </w:r>
      <w:r>
        <w:rPr>
          <w:rFonts w:hint="eastAsia"/>
          <w:iCs/>
          <w:vertAlign w:val="subscript"/>
        </w:rPr>
        <w:t>wx</w:t>
      </w:r>
      <w:r>
        <w:rPr>
          <w:rFonts w:hint="eastAsia"/>
          <w:iCs/>
        </w:rPr>
        <w:t xml:space="preserve"> 、</w:t>
      </w:r>
      <w:r>
        <w:rPr>
          <w:iCs/>
        </w:rPr>
        <w:t>τ</w:t>
      </w:r>
      <w:r>
        <w:rPr>
          <w:rFonts w:hint="eastAsia"/>
          <w:iCs/>
          <w:vertAlign w:val="subscript"/>
        </w:rPr>
        <w:t>wy</w:t>
      </w:r>
      <w:r>
        <w:rPr>
          <w:rFonts w:hint="eastAsia"/>
          <w:iCs/>
        </w:rPr>
        <w:t>——风应力矢量沿 X、Y 方面的分量，N/m</w:t>
      </w:r>
      <w:r>
        <w:rPr>
          <w:rFonts w:hint="eastAsia"/>
          <w:iCs/>
          <w:vertAlign w:val="superscript"/>
        </w:rPr>
        <w:t>2</w:t>
      </w:r>
      <w:r>
        <w:rPr>
          <w:rFonts w:hint="eastAsia"/>
          <w:iCs/>
        </w:rPr>
        <w:t>；</w:t>
      </w:r>
    </w:p>
    <w:p w14:paraId="1608021D">
      <w:pPr>
        <w:ind w:firstLine="437"/>
        <w:rPr>
          <w:iCs/>
        </w:rPr>
      </w:pPr>
      <w:r>
        <w:rPr>
          <w:iCs/>
        </w:rPr>
        <w:t>ρ</w:t>
      </w:r>
      <w:r>
        <w:rPr>
          <w:rFonts w:hint="eastAsia"/>
          <w:iCs/>
        </w:rPr>
        <w:t xml:space="preserve"> ——水密度，kg/m</w:t>
      </w:r>
      <w:r>
        <w:rPr>
          <w:rFonts w:hint="eastAsia"/>
          <w:iCs/>
          <w:vertAlign w:val="superscript"/>
        </w:rPr>
        <w:t>3</w:t>
      </w:r>
      <w:r>
        <w:rPr>
          <w:rFonts w:hint="eastAsia"/>
          <w:iCs/>
        </w:rPr>
        <w:t>。</w:t>
      </w:r>
    </w:p>
    <w:p w14:paraId="353C5C5C">
      <w:pPr>
        <w:ind w:firstLine="437"/>
      </w:pPr>
      <w:r>
        <w:rPr>
          <w:rFonts w:hint="eastAsia"/>
        </w:rPr>
        <w:t>③定解条件</w:t>
      </w:r>
    </w:p>
    <w:p w14:paraId="67B014F4">
      <w:pPr>
        <w:ind w:firstLine="439"/>
      </w:pPr>
      <w:r>
        <w:rPr>
          <w:rFonts w:hint="eastAsia"/>
          <w:b/>
          <w:bCs/>
        </w:rPr>
        <w:t>1）初始条件为</w:t>
      </w:r>
      <w:r>
        <w:rPr>
          <w:rFonts w:hint="eastAsia"/>
        </w:rPr>
        <w:t>：</w:t>
      </w:r>
    </w:p>
    <w:p w14:paraId="6920C52E">
      <w:pPr>
        <w:ind w:firstLine="437"/>
      </w:pPr>
      <w:r>
        <w:drawing>
          <wp:inline distT="0" distB="0" distL="0" distR="0">
            <wp:extent cx="19050" cy="304800"/>
            <wp:effectExtent l="0" t="0" r="19050" b="0"/>
            <wp:docPr id="147048985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89859" name="图片 5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19050" cy="304800"/>
                    </a:xfrm>
                    <a:prstGeom prst="rect">
                      <a:avLst/>
                    </a:prstGeom>
                    <a:noFill/>
                    <a:ln>
                      <a:noFill/>
                    </a:ln>
                  </pic:spPr>
                </pic:pic>
              </a:graphicData>
            </a:graphic>
          </wp:inline>
        </w:drawing>
      </w:r>
      <w:r>
        <w:t>u(x</w:t>
      </w:r>
      <w:r>
        <w:rPr>
          <w:rFonts w:hint="eastAsia"/>
        </w:rPr>
        <w:t>，</w:t>
      </w:r>
      <w:r>
        <w:t xml:space="preserve">y) </w:t>
      </w:r>
      <w:r>
        <w:rPr>
          <w:vertAlign w:val="subscript"/>
        </w:rPr>
        <w:t>t=0</w:t>
      </w:r>
      <w:r>
        <w:t>=u</w:t>
      </w:r>
      <w:r>
        <w:rPr>
          <w:vertAlign w:val="subscript"/>
        </w:rPr>
        <w:t>0</w:t>
      </w:r>
      <w:r>
        <w:t>(x</w:t>
      </w:r>
      <w:r>
        <w:rPr>
          <w:rFonts w:hint="eastAsia"/>
        </w:rPr>
        <w:t>，</w:t>
      </w:r>
      <w:r>
        <w:t>y)</w:t>
      </w:r>
    </w:p>
    <w:p w14:paraId="29396F2C">
      <w:pPr>
        <w:ind w:firstLine="437"/>
      </w:pPr>
      <w:r>
        <w:drawing>
          <wp:inline distT="0" distB="0" distL="0" distR="0">
            <wp:extent cx="19050" cy="304800"/>
            <wp:effectExtent l="0" t="0" r="19050" b="0"/>
            <wp:docPr id="59802346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023463" name="图片 5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19050" cy="304800"/>
                    </a:xfrm>
                    <a:prstGeom prst="rect">
                      <a:avLst/>
                    </a:prstGeom>
                    <a:noFill/>
                    <a:ln>
                      <a:noFill/>
                    </a:ln>
                  </pic:spPr>
                </pic:pic>
              </a:graphicData>
            </a:graphic>
          </wp:inline>
        </w:drawing>
      </w:r>
      <w:r>
        <w:t>v(x</w:t>
      </w:r>
      <w:r>
        <w:rPr>
          <w:rFonts w:hint="eastAsia"/>
        </w:rPr>
        <w:t>，</w:t>
      </w:r>
      <w:r>
        <w:t xml:space="preserve">y) </w:t>
      </w:r>
      <w:r>
        <w:rPr>
          <w:vertAlign w:val="subscript"/>
        </w:rPr>
        <w:t>t=0</w:t>
      </w:r>
      <w:r>
        <w:t>=v</w:t>
      </w:r>
      <w:r>
        <w:rPr>
          <w:vertAlign w:val="subscript"/>
        </w:rPr>
        <w:t>0</w:t>
      </w:r>
      <w:r>
        <w:t>(x</w:t>
      </w:r>
      <w:r>
        <w:rPr>
          <w:rFonts w:hint="eastAsia"/>
        </w:rPr>
        <w:t>，</w:t>
      </w:r>
      <w:r>
        <w:t>y)</w:t>
      </w:r>
    </w:p>
    <w:p w14:paraId="1B6AAF52">
      <w:pPr>
        <w:ind w:firstLine="437"/>
      </w:pPr>
      <w:r>
        <w:drawing>
          <wp:inline distT="0" distB="0" distL="0" distR="0">
            <wp:extent cx="19050" cy="304800"/>
            <wp:effectExtent l="0" t="0" r="19050" b="0"/>
            <wp:docPr id="214525688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256883" name="图片 4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19050" cy="304800"/>
                    </a:xfrm>
                    <a:prstGeom prst="rect">
                      <a:avLst/>
                    </a:prstGeom>
                    <a:noFill/>
                    <a:ln>
                      <a:noFill/>
                    </a:ln>
                  </pic:spPr>
                </pic:pic>
              </a:graphicData>
            </a:graphic>
          </wp:inline>
        </w:drawing>
      </w:r>
      <w:r>
        <w:t>h(x</w:t>
      </w:r>
      <w:r>
        <w:rPr>
          <w:rFonts w:hint="eastAsia"/>
        </w:rPr>
        <w:t>，</w:t>
      </w:r>
      <w:r>
        <w:t xml:space="preserve">y) </w:t>
      </w:r>
      <w:r>
        <w:rPr>
          <w:vertAlign w:val="subscript"/>
        </w:rPr>
        <w:t>t=0</w:t>
      </w:r>
      <w:r>
        <w:t>=h</w:t>
      </w:r>
      <w:r>
        <w:rPr>
          <w:vertAlign w:val="subscript"/>
        </w:rPr>
        <w:t>0</w:t>
      </w:r>
      <w:r>
        <w:t>(x</w:t>
      </w:r>
      <w:r>
        <w:rPr>
          <w:rFonts w:hint="eastAsia"/>
        </w:rPr>
        <w:t>，</w:t>
      </w:r>
      <w:r>
        <w:t>y)</w:t>
      </w:r>
    </w:p>
    <w:p w14:paraId="66D4A970">
      <w:pPr>
        <w:ind w:firstLine="439"/>
      </w:pPr>
      <w:r>
        <w:rPr>
          <w:rFonts w:hint="eastAsia"/>
          <w:b/>
          <w:bCs/>
        </w:rPr>
        <w:t>2）边界条件为</w:t>
      </w:r>
      <w:r>
        <w:rPr>
          <w:rFonts w:hint="eastAsia"/>
        </w:rPr>
        <w:t>：</w:t>
      </w:r>
    </w:p>
    <w:p w14:paraId="077526ED">
      <w:pPr>
        <w:ind w:firstLine="437"/>
      </w:pPr>
      <w:r>
        <w:rPr>
          <w:rFonts w:hint="eastAsia"/>
        </w:rPr>
        <w:t>水边界</w:t>
      </w:r>
      <w:r>
        <w:rPr>
          <w:rFonts w:hint="eastAsia"/>
          <w:i/>
          <w:iCs/>
        </w:rPr>
        <w:t>：h</w:t>
      </w:r>
      <w:r>
        <w:rPr>
          <w:rFonts w:hint="eastAsia"/>
          <w:i/>
          <w:iCs/>
          <w:vertAlign w:val="subscript"/>
        </w:rPr>
        <w:t>w</w:t>
      </w:r>
      <w:r>
        <w:rPr>
          <w:rFonts w:hint="eastAsia"/>
        </w:rPr>
        <w:t>=</w:t>
      </w:r>
      <w:r>
        <w:rPr>
          <w:rFonts w:hint="eastAsia"/>
          <w:i/>
          <w:iCs/>
        </w:rPr>
        <w:t>h</w:t>
      </w:r>
      <w:r>
        <w:rPr>
          <w:rFonts w:hint="eastAsia"/>
          <w:i/>
          <w:iCs/>
          <w:vertAlign w:val="subscript"/>
        </w:rPr>
        <w:t>w</w:t>
      </w:r>
      <w:r>
        <w:rPr>
          <w:rFonts w:hint="eastAsia"/>
          <w:i/>
          <w:iCs/>
        </w:rPr>
        <w:t>（t）</w:t>
      </w:r>
      <w:r>
        <w:rPr>
          <w:rFonts w:hint="eastAsia"/>
        </w:rPr>
        <w:t>或</w:t>
      </w:r>
      <w:r>
        <w:rPr>
          <w:rFonts w:hint="eastAsia"/>
          <w:i/>
          <w:iCs/>
        </w:rPr>
        <w:t>u</w:t>
      </w:r>
      <w:r>
        <w:rPr>
          <w:rFonts w:hint="eastAsia"/>
          <w:i/>
          <w:iCs/>
          <w:vertAlign w:val="subscript"/>
        </w:rPr>
        <w:t>w</w:t>
      </w:r>
      <w:r>
        <w:rPr>
          <w:rFonts w:hint="eastAsia"/>
        </w:rPr>
        <w:t>=</w:t>
      </w:r>
      <w:r>
        <w:rPr>
          <w:rFonts w:hint="eastAsia"/>
          <w:i/>
          <w:iCs/>
        </w:rPr>
        <w:t>u</w:t>
      </w:r>
      <w:r>
        <w:rPr>
          <w:rFonts w:hint="eastAsia"/>
          <w:i/>
          <w:iCs/>
          <w:vertAlign w:val="subscript"/>
        </w:rPr>
        <w:t>w</w:t>
      </w:r>
      <w:r>
        <w:rPr>
          <w:rFonts w:hint="eastAsia"/>
          <w:i/>
          <w:iCs/>
        </w:rPr>
        <w:t>（t）</w:t>
      </w:r>
      <w:r>
        <w:rPr>
          <w:rFonts w:hint="eastAsia"/>
        </w:rPr>
        <w:t>、</w:t>
      </w:r>
      <w:r>
        <w:rPr>
          <w:rFonts w:hint="eastAsia"/>
          <w:i/>
          <w:iCs/>
        </w:rPr>
        <w:t>v</w:t>
      </w:r>
      <w:r>
        <w:rPr>
          <w:rFonts w:hint="eastAsia"/>
          <w:i/>
          <w:iCs/>
          <w:vertAlign w:val="subscript"/>
        </w:rPr>
        <w:t>w</w:t>
      </w:r>
      <w:r>
        <w:rPr>
          <w:rFonts w:hint="eastAsia"/>
        </w:rPr>
        <w:t>=</w:t>
      </w:r>
      <w:r>
        <w:rPr>
          <w:rFonts w:hint="eastAsia"/>
          <w:i/>
          <w:iCs/>
        </w:rPr>
        <w:t>v</w:t>
      </w:r>
      <w:r>
        <w:rPr>
          <w:rFonts w:hint="eastAsia"/>
          <w:i/>
          <w:iCs/>
          <w:vertAlign w:val="subscript"/>
        </w:rPr>
        <w:t>w</w:t>
      </w:r>
      <w:r>
        <w:rPr>
          <w:rFonts w:hint="eastAsia"/>
          <w:i/>
          <w:iCs/>
        </w:rPr>
        <w:t>（t）</w:t>
      </w:r>
      <w:r>
        <w:rPr>
          <w:rFonts w:hint="eastAsia"/>
        </w:rPr>
        <w:t>，</w:t>
      </w:r>
    </w:p>
    <w:p w14:paraId="34630187">
      <w:pPr>
        <w:ind w:firstLine="437"/>
      </w:pPr>
      <w:r>
        <w:rPr>
          <w:rFonts w:hint="eastAsia"/>
          <w:i/>
          <w:iCs/>
        </w:rPr>
        <w:t>w</w:t>
      </w:r>
      <w:r>
        <w:rPr>
          <w:rFonts w:hint="eastAsia"/>
        </w:rPr>
        <w:t>——水边界节点</w:t>
      </w:r>
    </w:p>
    <w:p w14:paraId="553E710F">
      <w:pPr>
        <w:ind w:firstLine="437"/>
      </w:pPr>
      <w:r>
        <w:rPr>
          <w:rFonts w:hint="eastAsia"/>
        </w:rPr>
        <w:t>岸边界：岸边界为非滑移边界，给定其流速为零。</w:t>
      </w:r>
    </w:p>
    <w:p w14:paraId="5CBD0570">
      <w:pPr>
        <w:ind w:firstLine="439"/>
        <w:rPr>
          <w:b/>
          <w:bCs/>
        </w:rPr>
      </w:pPr>
      <w:r>
        <w:rPr>
          <w:rFonts w:hint="eastAsia"/>
          <w:b/>
          <w:bCs/>
        </w:rPr>
        <w:t>2</w:t>
      </w:r>
      <w:r>
        <w:rPr>
          <w:b/>
          <w:bCs/>
        </w:rPr>
        <w:t>、模型设置</w:t>
      </w:r>
    </w:p>
    <w:p w14:paraId="5A867BEB">
      <w:pPr>
        <w:ind w:firstLine="437"/>
      </w:pPr>
      <w:r>
        <w:t>1</w:t>
      </w:r>
      <w:r>
        <w:rPr>
          <w:rFonts w:hint="eastAsia"/>
        </w:rPr>
        <w:t>）计算范围</w:t>
      </w:r>
    </w:p>
    <w:p w14:paraId="744CC53A">
      <w:pPr>
        <w:ind w:firstLine="437"/>
      </w:pPr>
      <w:r>
        <w:rPr>
          <w:rFonts w:hint="eastAsia"/>
        </w:rPr>
        <w:t>考虑到溢油可能进入茅尾海，计算域由茅尾海延伸</w:t>
      </w:r>
      <w:r>
        <w:rPr>
          <w:rFonts w:hint="eastAsia"/>
          <w:lang w:eastAsia="zh-CN"/>
        </w:rPr>
        <w:t>至</w:t>
      </w:r>
      <w:r>
        <w:rPr>
          <w:rFonts w:hint="eastAsia"/>
        </w:rPr>
        <w:t>钦州湾外海，本次模拟的计算域范围如图4.1</w:t>
      </w:r>
      <w:r>
        <w:t>-1</w:t>
      </w:r>
      <w:r>
        <w:rPr>
          <w:rFonts w:hint="eastAsia"/>
        </w:rPr>
        <w:t>所示。</w:t>
      </w:r>
    </w:p>
    <w:p w14:paraId="403740A0">
      <w:pPr>
        <w:ind w:firstLine="437"/>
      </w:pPr>
      <w:r>
        <w:t>2</w:t>
      </w:r>
      <w:r>
        <w:rPr>
          <w:rFonts w:hint="eastAsia"/>
        </w:rPr>
        <w:t>）网格设置</w:t>
      </w:r>
    </w:p>
    <w:p w14:paraId="63550A1C">
      <w:pPr>
        <w:ind w:firstLine="437"/>
      </w:pPr>
      <w:r>
        <w:rPr>
          <w:rFonts w:hint="eastAsia"/>
        </w:rPr>
        <w:t>水动力模型采用无结构的三角形网格系统。模型采用三角形网格剖分计算域，对本工程所在区域的网格进行了加密，分辨率最小为</w:t>
      </w:r>
      <w:r>
        <w:t>30m</w:t>
      </w:r>
      <w:r>
        <w:rPr>
          <w:rFonts w:hint="eastAsia"/>
        </w:rPr>
        <w:t>。</w:t>
      </w:r>
    </w:p>
    <w:p w14:paraId="5071BC65">
      <w:pPr>
        <w:ind w:firstLine="437"/>
      </w:pPr>
      <w:r>
        <w:t>3</w:t>
      </w:r>
      <w:r>
        <w:rPr>
          <w:rFonts w:hint="eastAsia"/>
        </w:rPr>
        <w:t>）水深和岸界</w:t>
      </w:r>
    </w:p>
    <w:p w14:paraId="365561EF">
      <w:pPr>
        <w:ind w:firstLine="437"/>
      </w:pPr>
      <w:r>
        <w:rPr>
          <w:rFonts w:hint="eastAsia"/>
        </w:rPr>
        <w:t>海域的岸线和水深地形充分考虑了近年来工程建设引起的岸线和水深变化的影响，主要依据为中国人民解放军司令部航海保证部的海图数据及相关项目在钦州港区内开展的地形测量数据，水深等值线见图4.</w:t>
      </w:r>
      <w:r>
        <w:t>1-</w:t>
      </w:r>
      <w:r>
        <w:rPr>
          <w:rFonts w:hint="eastAsia"/>
        </w:rPr>
        <w:t>2。</w:t>
      </w:r>
    </w:p>
    <w:p w14:paraId="049ACF3E">
      <w:pPr>
        <w:ind w:firstLine="437"/>
      </w:pPr>
      <w:r>
        <w:t>4</w:t>
      </w:r>
      <w:r>
        <w:rPr>
          <w:rFonts w:hint="eastAsia"/>
        </w:rPr>
        <w:t>）模型边界</w:t>
      </w:r>
    </w:p>
    <w:p w14:paraId="38AE7043">
      <w:pPr>
        <w:ind w:firstLine="437"/>
      </w:pPr>
      <w:r>
        <w:rPr>
          <w:rFonts w:hint="eastAsia"/>
        </w:rPr>
        <w:t>潮汐边界：模型开边界采用潮位驱动，利用日本的NAO99潮汐预报软件，通过插值和计算得到开边界上各点的潮位时间序列。</w:t>
      </w:r>
    </w:p>
    <w:p w14:paraId="7F6E9431">
      <w:pPr>
        <w:ind w:firstLine="437"/>
      </w:pPr>
      <w:r>
        <w:rPr>
          <w:rFonts w:hint="eastAsia"/>
        </w:rPr>
        <w:t>动边界：模型中动边界采用干、湿点和干、湿单元的判别来实现，判别参数为：变成干节点（即该节点不参与计算）的水深&lt;0.01m，重新变成湿节点（即重新参与计算）的水深&gt;0.05m。</w:t>
      </w:r>
    </w:p>
    <w:p w14:paraId="1213157F">
      <w:pPr>
        <w:ind w:firstLine="437"/>
      </w:pPr>
      <w:r>
        <w:t>5</w:t>
      </w:r>
      <w:r>
        <w:rPr>
          <w:rFonts w:hint="eastAsia"/>
        </w:rPr>
        <w:t>）参数选取</w:t>
      </w:r>
    </w:p>
    <w:p w14:paraId="6F01A4EC">
      <w:pPr>
        <w:ind w:firstLine="437"/>
      </w:pPr>
      <w:r>
        <w:t>糙率：结合广西类似研究中曼宁系数的取值范围，根据粗糙高度和曼宁系数的转化公式M=25.4 ks</w:t>
      </w:r>
      <w:r>
        <w:rPr>
          <w:vertAlign w:val="superscript"/>
        </w:rPr>
        <w:t>(1/6)</w:t>
      </w:r>
      <w:r>
        <w:t>，粗糙高度合适的取值范围在0.0004~0.02，经调试选取粗糙高度为0.001。</w:t>
      </w:r>
    </w:p>
    <w:p w14:paraId="2D20F6BC">
      <w:pPr>
        <w:ind w:firstLine="437"/>
      </w:pPr>
      <w:r>
        <w:t>紊动粘性系数：该参数取值在一定范围内均可以获得良好结果，与网格步长及当地潮流特性有关，采用考虑亚尺度网格效应的Smagorinsky（1963）公式计算水平涡粘系数，表达式如下：</w:t>
      </w:r>
    </w:p>
    <w:p w14:paraId="64A64DA8">
      <w:pPr>
        <w:ind w:firstLine="437"/>
        <w:jc w:val="center"/>
      </w:pPr>
      <w:r>
        <w:drawing>
          <wp:inline distT="0" distB="0" distL="0" distR="0">
            <wp:extent cx="1104900" cy="238125"/>
            <wp:effectExtent l="0" t="0" r="0" b="9525"/>
            <wp:docPr id="47575959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59593" name="图片 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1104900" cy="238125"/>
                    </a:xfrm>
                    <a:prstGeom prst="rect">
                      <a:avLst/>
                    </a:prstGeom>
                    <a:noFill/>
                    <a:ln>
                      <a:noFill/>
                    </a:ln>
                  </pic:spPr>
                </pic:pic>
              </a:graphicData>
            </a:graphic>
          </wp:inline>
        </w:drawing>
      </w:r>
    </w:p>
    <w:p w14:paraId="141798DD">
      <w:pPr>
        <w:ind w:firstLine="437"/>
      </w:pPr>
      <w:r>
        <w:t>式中：cs为常数，l为特征混合长度，由Sij=</w:t>
      </w:r>
      <w:r>
        <w:drawing>
          <wp:inline distT="0" distB="0" distL="0" distR="0">
            <wp:extent cx="1895475" cy="466725"/>
            <wp:effectExtent l="0" t="0" r="9525" b="9525"/>
            <wp:docPr id="109576016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60165" name="图片 6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1895475" cy="466725"/>
                    </a:xfrm>
                    <a:prstGeom prst="rect">
                      <a:avLst/>
                    </a:prstGeom>
                    <a:noFill/>
                    <a:ln>
                      <a:noFill/>
                    </a:ln>
                  </pic:spPr>
                </pic:pic>
              </a:graphicData>
            </a:graphic>
          </wp:inline>
        </w:drawing>
      </w:r>
      <w:r>
        <w:t>计算得到。</w:t>
      </w:r>
    </w:p>
    <w:p w14:paraId="4B35FFB3">
      <w:pPr>
        <w:pStyle w:val="166"/>
      </w:pPr>
    </w:p>
    <w:p w14:paraId="719F610F">
      <w:pPr>
        <w:pStyle w:val="8"/>
      </w:pPr>
      <w:r>
        <w:t>评价区网格示意图</w:t>
      </w:r>
    </w:p>
    <w:p w14:paraId="2CBC1629">
      <w:pPr>
        <w:pStyle w:val="166"/>
      </w:pPr>
    </w:p>
    <w:p w14:paraId="46AAE428">
      <w:pPr>
        <w:pStyle w:val="8"/>
      </w:pPr>
      <w:r>
        <w:t>模拟区水深地形图</w:t>
      </w:r>
    </w:p>
    <w:p w14:paraId="00B81C5A">
      <w:pPr>
        <w:ind w:firstLine="439"/>
        <w:rPr>
          <w:b/>
          <w:bCs/>
        </w:rPr>
      </w:pPr>
      <w:r>
        <w:rPr>
          <w:rFonts w:hint="eastAsia"/>
          <w:b/>
          <w:bCs/>
        </w:rPr>
        <w:t>3</w:t>
      </w:r>
      <w:r>
        <w:rPr>
          <w:b/>
          <w:bCs/>
        </w:rPr>
        <w:t>、模型验证</w:t>
      </w:r>
    </w:p>
    <w:p w14:paraId="35085727">
      <w:pPr>
        <w:ind w:firstLine="437"/>
      </w:pPr>
      <w:r>
        <w:rPr>
          <w:rFonts w:hint="eastAsia"/>
        </w:rPr>
        <w:t>模型潮位验证所使用的观测潮流数据来自水文监测单位于2023年4月21日11：00至4月22日10：00对钦州湾外海设置的站位（图3.3-4）</w:t>
      </w:r>
      <w:r>
        <w:rPr>
          <w:rFonts w:hint="eastAsia"/>
          <w:bCs/>
        </w:rPr>
        <w:t>。</w:t>
      </w:r>
    </w:p>
    <w:p w14:paraId="1C04513E">
      <w:pPr>
        <w:ind w:firstLine="437"/>
      </w:pPr>
      <w:r>
        <w:rPr>
          <w:rFonts w:hint="eastAsia"/>
        </w:rPr>
        <w:t>计算潮位和实测潮位过程的高、低潮位及过程线相位均符合良好，高、低潮位出现时刻计算与实测基本一致，说明潮位的模拟较好，潮位过程模拟精度符合相关规程要求。验证计算表明数学模型模拟的海域潮波传播过程与天然基本相似，数学模型采用的边界控制条件是合适的、模型取用参数恰当，能够反映海域内潮波传递和潮波变形。大潮期间各站流速流向计算值与实测值的对比过程线可见，除个别点的计算值与实测值偏差稍大外，各测站计算的潮位、流速、流向变化过程与实测值基本一致。模拟的潮流过程能够客观反映工程海域的潮流运动情况，且满足《海岸与河口潮流泥沙模拟技术规程》有关规定的要求和工程需要。</w:t>
      </w:r>
    </w:p>
    <w:p w14:paraId="6CAD8017">
      <w:pPr>
        <w:pStyle w:val="166"/>
      </w:pPr>
      <w:r>
        <w:drawing>
          <wp:inline distT="0" distB="0" distL="0" distR="0">
            <wp:extent cx="5278120" cy="2485390"/>
            <wp:effectExtent l="0" t="0" r="0" b="0"/>
            <wp:docPr id="9" name="图片 1" descr="0e3561ab394b485a5a79a8aec2f74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0e3561ab394b485a5a79a8aec2f74a9"/>
                    <pic:cNvPicPr>
                      <a:picLocks noChangeAspect="1"/>
                    </pic:cNvPicPr>
                  </pic:nvPicPr>
                  <pic:blipFill>
                    <a:blip r:embed="rId76"/>
                    <a:stretch>
                      <a:fillRect/>
                    </a:stretch>
                  </pic:blipFill>
                  <pic:spPr>
                    <a:xfrm>
                      <a:off x="0" y="0"/>
                      <a:ext cx="5278120" cy="2485390"/>
                    </a:xfrm>
                    <a:prstGeom prst="rect">
                      <a:avLst/>
                    </a:prstGeom>
                  </pic:spPr>
                </pic:pic>
              </a:graphicData>
            </a:graphic>
          </wp:inline>
        </w:drawing>
      </w:r>
    </w:p>
    <w:p w14:paraId="496A0022">
      <w:pPr>
        <w:pStyle w:val="166"/>
      </w:pPr>
      <w:r>
        <w:drawing>
          <wp:inline distT="0" distB="0" distL="0" distR="0">
            <wp:extent cx="5278120" cy="2482215"/>
            <wp:effectExtent l="0" t="0" r="0" b="0"/>
            <wp:docPr id="8" name="图片 1" descr="85943097d076fd65e4c194e4eab93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85943097d076fd65e4c194e4eab935c"/>
                    <pic:cNvPicPr>
                      <a:picLocks noChangeAspect="1"/>
                    </pic:cNvPicPr>
                  </pic:nvPicPr>
                  <pic:blipFill>
                    <a:blip r:embed="rId77"/>
                    <a:stretch>
                      <a:fillRect/>
                    </a:stretch>
                  </pic:blipFill>
                  <pic:spPr>
                    <a:xfrm>
                      <a:off x="0" y="0"/>
                      <a:ext cx="5278120" cy="2482215"/>
                    </a:xfrm>
                    <a:prstGeom prst="rect">
                      <a:avLst/>
                    </a:prstGeom>
                  </pic:spPr>
                </pic:pic>
              </a:graphicData>
            </a:graphic>
          </wp:inline>
        </w:drawing>
      </w:r>
    </w:p>
    <w:p w14:paraId="0293F39E">
      <w:pPr>
        <w:pStyle w:val="8"/>
      </w:pPr>
      <w:r>
        <w:rPr>
          <w:rFonts w:hint="eastAsia"/>
        </w:rPr>
        <w:t>H2、H3潮位验证曲线</w:t>
      </w:r>
    </w:p>
    <w:p w14:paraId="00F5B105">
      <w:pPr>
        <w:pStyle w:val="166"/>
      </w:pPr>
      <w:r>
        <w:drawing>
          <wp:inline distT="0" distB="0" distL="0" distR="0">
            <wp:extent cx="5245100" cy="2510155"/>
            <wp:effectExtent l="0" t="0" r="0" b="4445"/>
            <wp:docPr id="105023440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234402" name="图片 32"/>
                    <pic:cNvPicPr>
                      <a:picLocks noChangeAspect="1" noChangeArrowheads="1"/>
                    </pic:cNvPicPr>
                  </pic:nvPicPr>
                  <pic:blipFill>
                    <a:blip r:embed="rId78" cstate="print">
                      <a:extLst>
                        <a:ext uri="{28A0092B-C50C-407E-A947-70E740481C1C}">
                          <a14:useLocalDpi xmlns:a14="http://schemas.microsoft.com/office/drawing/2010/main" val="0"/>
                        </a:ext>
                      </a:extLst>
                    </a:blip>
                    <a:srcRect r="1608"/>
                    <a:stretch>
                      <a:fillRect/>
                    </a:stretch>
                  </pic:blipFill>
                  <pic:spPr>
                    <a:xfrm>
                      <a:off x="0" y="0"/>
                      <a:ext cx="5245100" cy="2510155"/>
                    </a:xfrm>
                    <a:prstGeom prst="rect">
                      <a:avLst/>
                    </a:prstGeom>
                    <a:noFill/>
                    <a:ln>
                      <a:noFill/>
                    </a:ln>
                  </pic:spPr>
                </pic:pic>
              </a:graphicData>
            </a:graphic>
          </wp:inline>
        </w:drawing>
      </w:r>
    </w:p>
    <w:p w14:paraId="21544969">
      <w:pPr>
        <w:ind w:firstLine="0" w:firstLineChars="0"/>
      </w:pPr>
      <w:r>
        <w:drawing>
          <wp:inline distT="0" distB="0" distL="0" distR="0">
            <wp:extent cx="5219700" cy="2507615"/>
            <wp:effectExtent l="0" t="0" r="0" b="6985"/>
            <wp:docPr id="108007331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73311" name="图片 33"/>
                    <pic:cNvPicPr>
                      <a:picLocks noChangeAspect="1" noChangeArrowheads="1"/>
                    </pic:cNvPicPr>
                  </pic:nvPicPr>
                  <pic:blipFill>
                    <a:blip r:embed="rId79" cstate="print">
                      <a:extLst>
                        <a:ext uri="{28A0092B-C50C-407E-A947-70E740481C1C}">
                          <a14:useLocalDpi xmlns:a14="http://schemas.microsoft.com/office/drawing/2010/main" val="0"/>
                        </a:ext>
                      </a:extLst>
                    </a:blip>
                    <a:srcRect r="2084"/>
                    <a:stretch>
                      <a:fillRect/>
                    </a:stretch>
                  </pic:blipFill>
                  <pic:spPr>
                    <a:xfrm>
                      <a:off x="0" y="0"/>
                      <a:ext cx="5219700" cy="2507615"/>
                    </a:xfrm>
                    <a:prstGeom prst="rect">
                      <a:avLst/>
                    </a:prstGeom>
                    <a:noFill/>
                    <a:ln>
                      <a:noFill/>
                    </a:ln>
                  </pic:spPr>
                </pic:pic>
              </a:graphicData>
            </a:graphic>
          </wp:inline>
        </w:drawing>
      </w:r>
    </w:p>
    <w:p w14:paraId="181BC83C">
      <w:pPr>
        <w:ind w:firstLine="0" w:firstLineChars="0"/>
      </w:pPr>
      <w:r>
        <w:drawing>
          <wp:inline distT="0" distB="0" distL="0" distR="0">
            <wp:extent cx="5219700" cy="2507615"/>
            <wp:effectExtent l="0" t="0" r="0" b="6985"/>
            <wp:docPr id="163012595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25951" name="图片 34"/>
                    <pic:cNvPicPr>
                      <a:picLocks noChangeAspect="1" noChangeArrowheads="1"/>
                    </pic:cNvPicPr>
                  </pic:nvPicPr>
                  <pic:blipFill>
                    <a:blip r:embed="rId80" cstate="print">
                      <a:extLst>
                        <a:ext uri="{28A0092B-C50C-407E-A947-70E740481C1C}">
                          <a14:useLocalDpi xmlns:a14="http://schemas.microsoft.com/office/drawing/2010/main" val="0"/>
                        </a:ext>
                      </a:extLst>
                    </a:blip>
                    <a:srcRect r="2084"/>
                    <a:stretch>
                      <a:fillRect/>
                    </a:stretch>
                  </pic:blipFill>
                  <pic:spPr>
                    <a:xfrm>
                      <a:off x="0" y="0"/>
                      <a:ext cx="5219700" cy="2507615"/>
                    </a:xfrm>
                    <a:prstGeom prst="rect">
                      <a:avLst/>
                    </a:prstGeom>
                    <a:noFill/>
                    <a:ln>
                      <a:noFill/>
                    </a:ln>
                  </pic:spPr>
                </pic:pic>
              </a:graphicData>
            </a:graphic>
          </wp:inline>
        </w:drawing>
      </w:r>
    </w:p>
    <w:p w14:paraId="10023BCE">
      <w:pPr>
        <w:ind w:firstLine="0" w:firstLineChars="0"/>
      </w:pPr>
      <w:r>
        <w:drawing>
          <wp:inline distT="0" distB="0" distL="0" distR="0">
            <wp:extent cx="5219700" cy="2510155"/>
            <wp:effectExtent l="0" t="0" r="0" b="4445"/>
            <wp:docPr id="116361610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16104" name="图片 35"/>
                    <pic:cNvPicPr>
                      <a:picLocks noChangeAspect="1" noChangeArrowheads="1"/>
                    </pic:cNvPicPr>
                  </pic:nvPicPr>
                  <pic:blipFill>
                    <a:blip r:embed="rId81" cstate="print">
                      <a:extLst>
                        <a:ext uri="{28A0092B-C50C-407E-A947-70E740481C1C}">
                          <a14:useLocalDpi xmlns:a14="http://schemas.microsoft.com/office/drawing/2010/main" val="0"/>
                        </a:ext>
                      </a:extLst>
                    </a:blip>
                    <a:srcRect r="2084"/>
                    <a:stretch>
                      <a:fillRect/>
                    </a:stretch>
                  </pic:blipFill>
                  <pic:spPr>
                    <a:xfrm>
                      <a:off x="0" y="0"/>
                      <a:ext cx="5219700" cy="2510155"/>
                    </a:xfrm>
                    <a:prstGeom prst="rect">
                      <a:avLst/>
                    </a:prstGeom>
                    <a:noFill/>
                    <a:ln>
                      <a:noFill/>
                    </a:ln>
                  </pic:spPr>
                </pic:pic>
              </a:graphicData>
            </a:graphic>
          </wp:inline>
        </w:drawing>
      </w:r>
    </w:p>
    <w:p w14:paraId="3592CF23">
      <w:pPr>
        <w:pStyle w:val="8"/>
        <w:ind w:firstLine="480"/>
      </w:pPr>
      <w:r>
        <w:rPr>
          <w:rFonts w:hint="eastAsia"/>
        </w:rPr>
        <w:t>流速验证图</w:t>
      </w:r>
    </w:p>
    <w:p w14:paraId="09EB3F17">
      <w:pPr>
        <w:ind w:firstLine="0" w:firstLineChars="0"/>
      </w:pPr>
      <w:r>
        <w:rPr>
          <w:rFonts w:hint="eastAsia"/>
        </w:rPr>
        <w:t xml:space="preserve"> </w:t>
      </w:r>
    </w:p>
    <w:p w14:paraId="50044AED">
      <w:pPr>
        <w:ind w:firstLine="0" w:firstLineChars="0"/>
      </w:pPr>
      <w:r>
        <w:rPr>
          <w:rFonts w:hint="eastAsia"/>
        </w:rPr>
        <w:t xml:space="preserve"> </w:t>
      </w:r>
    </w:p>
    <w:p w14:paraId="5F3A18B8">
      <w:pPr>
        <w:ind w:firstLine="0" w:firstLineChars="0"/>
      </w:pPr>
      <w:r>
        <w:rPr>
          <w:rFonts w:hint="eastAsia"/>
        </w:rPr>
        <w:t xml:space="preserve"> </w:t>
      </w:r>
      <w:r>
        <w:drawing>
          <wp:inline distT="0" distB="0" distL="0" distR="0">
            <wp:extent cx="5219700" cy="2451100"/>
            <wp:effectExtent l="0" t="0" r="0" b="6350"/>
            <wp:docPr id="152184490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844906" name="图片 36"/>
                    <pic:cNvPicPr>
                      <a:picLocks noChangeAspect="1" noChangeArrowheads="1"/>
                    </pic:cNvPicPr>
                  </pic:nvPicPr>
                  <pic:blipFill>
                    <a:blip r:embed="rId82" cstate="print">
                      <a:extLst>
                        <a:ext uri="{28A0092B-C50C-407E-A947-70E740481C1C}">
                          <a14:useLocalDpi xmlns:a14="http://schemas.microsoft.com/office/drawing/2010/main" val="0"/>
                        </a:ext>
                      </a:extLst>
                    </a:blip>
                    <a:srcRect r="2084" b="2254"/>
                    <a:stretch>
                      <a:fillRect/>
                    </a:stretch>
                  </pic:blipFill>
                  <pic:spPr>
                    <a:xfrm>
                      <a:off x="0" y="0"/>
                      <a:ext cx="5219700" cy="2451100"/>
                    </a:xfrm>
                    <a:prstGeom prst="rect">
                      <a:avLst/>
                    </a:prstGeom>
                    <a:noFill/>
                    <a:ln>
                      <a:noFill/>
                    </a:ln>
                  </pic:spPr>
                </pic:pic>
              </a:graphicData>
            </a:graphic>
          </wp:inline>
        </w:drawing>
      </w:r>
    </w:p>
    <w:p w14:paraId="09B7594D">
      <w:pPr>
        <w:ind w:firstLine="0" w:firstLineChars="0"/>
      </w:pPr>
      <w:r>
        <w:drawing>
          <wp:inline distT="0" distB="0" distL="0" distR="0">
            <wp:extent cx="5219700" cy="2510155"/>
            <wp:effectExtent l="0" t="0" r="0" b="4445"/>
            <wp:docPr id="11877777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77770" name="图片 37"/>
                    <pic:cNvPicPr>
                      <a:picLocks noChangeAspect="1" noChangeArrowheads="1"/>
                    </pic:cNvPicPr>
                  </pic:nvPicPr>
                  <pic:blipFill>
                    <a:blip r:embed="rId83" cstate="print">
                      <a:extLst>
                        <a:ext uri="{28A0092B-C50C-407E-A947-70E740481C1C}">
                          <a14:useLocalDpi xmlns:a14="http://schemas.microsoft.com/office/drawing/2010/main" val="0"/>
                        </a:ext>
                      </a:extLst>
                    </a:blip>
                    <a:srcRect r="2084"/>
                    <a:stretch>
                      <a:fillRect/>
                    </a:stretch>
                  </pic:blipFill>
                  <pic:spPr>
                    <a:xfrm>
                      <a:off x="0" y="0"/>
                      <a:ext cx="5219700" cy="2510155"/>
                    </a:xfrm>
                    <a:prstGeom prst="rect">
                      <a:avLst/>
                    </a:prstGeom>
                    <a:noFill/>
                    <a:ln>
                      <a:noFill/>
                    </a:ln>
                  </pic:spPr>
                </pic:pic>
              </a:graphicData>
            </a:graphic>
          </wp:inline>
        </w:drawing>
      </w:r>
      <w:r>
        <w:rPr>
          <w:rFonts w:hint="eastAsia"/>
        </w:rPr>
        <w:t xml:space="preserve"> </w:t>
      </w:r>
    </w:p>
    <w:p w14:paraId="70E91458">
      <w:pPr>
        <w:snapToGrid w:val="0"/>
        <w:ind w:leftChars="-64" w:hanging="140" w:hangingChars="64"/>
        <w:rPr>
          <w:rFonts w:hint="eastAsia" w:hAnsi="黑体" w:eastAsia="黑体"/>
          <w:szCs w:val="21"/>
        </w:rPr>
      </w:pPr>
      <w:r>
        <w:t xml:space="preserve">   </w:t>
      </w:r>
      <w:r>
        <w:drawing>
          <wp:inline distT="0" distB="0" distL="0" distR="0">
            <wp:extent cx="5219700" cy="2510155"/>
            <wp:effectExtent l="0" t="0" r="0" b="4445"/>
            <wp:docPr id="54426717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267173" name="图片 38"/>
                    <pic:cNvPicPr>
                      <a:picLocks noChangeAspect="1" noChangeArrowheads="1"/>
                    </pic:cNvPicPr>
                  </pic:nvPicPr>
                  <pic:blipFill>
                    <a:blip r:embed="rId84" cstate="print">
                      <a:extLst>
                        <a:ext uri="{28A0092B-C50C-407E-A947-70E740481C1C}">
                          <a14:useLocalDpi xmlns:a14="http://schemas.microsoft.com/office/drawing/2010/main" val="0"/>
                        </a:ext>
                      </a:extLst>
                    </a:blip>
                    <a:srcRect r="2084"/>
                    <a:stretch>
                      <a:fillRect/>
                    </a:stretch>
                  </pic:blipFill>
                  <pic:spPr>
                    <a:xfrm>
                      <a:off x="0" y="0"/>
                      <a:ext cx="5219700" cy="2510155"/>
                    </a:xfrm>
                    <a:prstGeom prst="rect">
                      <a:avLst/>
                    </a:prstGeom>
                    <a:noFill/>
                    <a:ln>
                      <a:noFill/>
                    </a:ln>
                  </pic:spPr>
                </pic:pic>
              </a:graphicData>
            </a:graphic>
          </wp:inline>
        </w:drawing>
      </w:r>
    </w:p>
    <w:p w14:paraId="172BAD1E">
      <w:pPr>
        <w:pStyle w:val="166"/>
      </w:pPr>
      <w:r>
        <w:t xml:space="preserve">   </w:t>
      </w:r>
      <w:r>
        <w:drawing>
          <wp:inline distT="0" distB="0" distL="0" distR="0">
            <wp:extent cx="5207000" cy="2507615"/>
            <wp:effectExtent l="0" t="0" r="0" b="6985"/>
            <wp:docPr id="150673548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35483" name="图片 39"/>
                    <pic:cNvPicPr>
                      <a:picLocks noChangeAspect="1" noChangeArrowheads="1"/>
                    </pic:cNvPicPr>
                  </pic:nvPicPr>
                  <pic:blipFill>
                    <a:blip r:embed="rId85" cstate="print">
                      <a:extLst>
                        <a:ext uri="{28A0092B-C50C-407E-A947-70E740481C1C}">
                          <a14:useLocalDpi xmlns:a14="http://schemas.microsoft.com/office/drawing/2010/main" val="0"/>
                        </a:ext>
                      </a:extLst>
                    </a:blip>
                    <a:srcRect r="2323"/>
                    <a:stretch>
                      <a:fillRect/>
                    </a:stretch>
                  </pic:blipFill>
                  <pic:spPr>
                    <a:xfrm>
                      <a:off x="0" y="0"/>
                      <a:ext cx="5207000" cy="2507615"/>
                    </a:xfrm>
                    <a:prstGeom prst="rect">
                      <a:avLst/>
                    </a:prstGeom>
                    <a:noFill/>
                    <a:ln>
                      <a:noFill/>
                    </a:ln>
                  </pic:spPr>
                </pic:pic>
              </a:graphicData>
            </a:graphic>
          </wp:inline>
        </w:drawing>
      </w:r>
      <w:r>
        <w:rPr>
          <w:rFonts w:hint="eastAsia"/>
        </w:rPr>
        <w:t xml:space="preserve"> </w:t>
      </w:r>
    </w:p>
    <w:p w14:paraId="019D1977">
      <w:pPr>
        <w:pStyle w:val="8"/>
      </w:pPr>
      <w:r>
        <w:rPr>
          <w:rFonts w:hint="eastAsia"/>
        </w:rPr>
        <w:t>流向验证图</w:t>
      </w:r>
    </w:p>
    <w:p w14:paraId="02E69B3D">
      <w:pPr>
        <w:ind w:firstLine="437"/>
      </w:pPr>
      <w:r>
        <w:rPr>
          <w:rFonts w:hint="eastAsia"/>
        </w:rPr>
        <w:t>4</w:t>
      </w:r>
      <w:r>
        <w:t>、潮流数值模拟结果分析</w:t>
      </w:r>
    </w:p>
    <w:p w14:paraId="63DE1EB1">
      <w:pPr>
        <w:ind w:firstLine="437"/>
      </w:pPr>
      <w:r>
        <w:rPr>
          <w:rFonts w:hint="eastAsia"/>
        </w:rPr>
        <w:t>涨潮时，潮流从钦州湾外进入钦州湾，项目所在区域潮流为顺岸朝湾内流动，钦州湾湾口位置潮流流向为</w:t>
      </w:r>
      <w:r>
        <w:t>N</w:t>
      </w:r>
      <w:r>
        <w:rPr>
          <w:rFonts w:hint="eastAsia"/>
        </w:rPr>
        <w:t>向。流速最大的区域位于钦州湾潮汐汊道位置，尤其是龙门港镇东侧位置的流速最大，可达</w:t>
      </w:r>
      <w:r>
        <w:t>1.3m/s</w:t>
      </w:r>
      <w:r>
        <w:rPr>
          <w:rFonts w:hint="eastAsia"/>
        </w:rPr>
        <w:t>左右，钦州港经发区西侧的潮汐汊道潮流流速亦较大；反观湾外及钦州湾湾内的流速则较小，大部分区域在</w:t>
      </w:r>
      <w:r>
        <w:t>0.4m/s</w:t>
      </w:r>
      <w:r>
        <w:rPr>
          <w:rFonts w:hint="eastAsia"/>
        </w:rPr>
        <w:t>左右；除潮汐汊道的近岸区域流速大多小于</w:t>
      </w:r>
      <w:r>
        <w:t>0.1m/s</w:t>
      </w:r>
      <w:r>
        <w:rPr>
          <w:rFonts w:hint="eastAsia"/>
        </w:rPr>
        <w:t>。项目码头外侧流速较大，在</w:t>
      </w:r>
      <w:r>
        <w:t>0.15</w:t>
      </w:r>
      <w:r>
        <w:rPr>
          <w:rFonts w:hint="eastAsia"/>
        </w:rPr>
        <w:t>～</w:t>
      </w:r>
      <w:r>
        <w:t>0.50m/s</w:t>
      </w:r>
      <w:r>
        <w:rPr>
          <w:rFonts w:hint="eastAsia"/>
        </w:rPr>
        <w:t>之间，码头前沿水域位于凹槽区域，流速基本在0.05</w:t>
      </w:r>
      <w:r>
        <w:t>m/s</w:t>
      </w:r>
      <w:r>
        <w:rPr>
          <w:rFonts w:hint="eastAsia"/>
        </w:rPr>
        <w:t>以下。</w:t>
      </w:r>
    </w:p>
    <w:p w14:paraId="5B4C6618">
      <w:pPr>
        <w:ind w:firstLine="437"/>
      </w:pPr>
      <w:r>
        <w:rPr>
          <w:rFonts w:hint="eastAsia"/>
        </w:rPr>
        <w:t>落急时，流向与涨潮时相反，钦州湾潮汐汊道潮流运动形式以往复流为主，而钦州湾外侧海域则逐渐向旋转流过渡，钦州湾湾口位置潮流流向为</w:t>
      </w:r>
      <w:r>
        <w:t>S</w:t>
      </w:r>
      <w:r>
        <w:rPr>
          <w:rFonts w:hint="eastAsia"/>
        </w:rPr>
        <w:t>向。流速最大的区域依然位于钦州湾潮汐汊道位置，龙门港镇东侧潮汐汊道较窄，海流通量最大，因此，其流速亦最大，可达</w:t>
      </w:r>
      <w:r>
        <w:t>1.7m/s</w:t>
      </w:r>
      <w:r>
        <w:rPr>
          <w:rFonts w:hint="eastAsia"/>
        </w:rPr>
        <w:t>左右，钦州港经发区西侧的潮汐汊道潮流流速亦较大，最大流速可达</w:t>
      </w:r>
      <w:r>
        <w:t>1.65m/s</w:t>
      </w:r>
      <w:r>
        <w:rPr>
          <w:rFonts w:hint="eastAsia"/>
        </w:rPr>
        <w:t>；反观湾外及钦州湾湾内的流速则较小，大部分区域在</w:t>
      </w:r>
      <w:r>
        <w:t>0.5m/s</w:t>
      </w:r>
      <w:r>
        <w:rPr>
          <w:rFonts w:hint="eastAsia"/>
        </w:rPr>
        <w:t>左右；除潮汐汊道的近岸区域流速大多小于</w:t>
      </w:r>
      <w:r>
        <w:t>0.1m/s</w:t>
      </w:r>
      <w:r>
        <w:rPr>
          <w:rFonts w:hint="eastAsia"/>
        </w:rPr>
        <w:t>。项目码头外侧流速在</w:t>
      </w:r>
      <w:r>
        <w:t>0.25</w:t>
      </w:r>
      <w:r>
        <w:rPr>
          <w:rFonts w:hint="eastAsia"/>
        </w:rPr>
        <w:t>～</w:t>
      </w:r>
      <w:r>
        <w:t>0.80</w:t>
      </w:r>
      <w:bookmarkStart w:id="423" w:name="OLE_LINK176"/>
      <w:r>
        <w:t>m/s</w:t>
      </w:r>
      <w:bookmarkEnd w:id="423"/>
      <w:r>
        <w:rPr>
          <w:rFonts w:hint="eastAsia"/>
        </w:rPr>
        <w:t>之间，码头前沿</w:t>
      </w:r>
      <w:bookmarkStart w:id="424" w:name="OLE_LINK177"/>
      <w:r>
        <w:rPr>
          <w:rFonts w:hint="eastAsia"/>
        </w:rPr>
        <w:t>水域位于凹槽区域，流速基本在0.08</w:t>
      </w:r>
      <w:r>
        <w:t>m/s</w:t>
      </w:r>
      <w:r>
        <w:rPr>
          <w:rFonts w:hint="eastAsia"/>
        </w:rPr>
        <w:t>以下。</w:t>
      </w:r>
      <w:bookmarkEnd w:id="424"/>
    </w:p>
    <w:p w14:paraId="1CF586A1">
      <w:pPr>
        <w:pStyle w:val="166"/>
      </w:pPr>
    </w:p>
    <w:p w14:paraId="71D010AF">
      <w:pPr>
        <w:pStyle w:val="8"/>
        <w:ind w:firstLine="480"/>
        <w:rPr>
          <w:bCs/>
        </w:rPr>
      </w:pPr>
      <w:r>
        <w:t>评价区域</w:t>
      </w:r>
      <w:r>
        <w:rPr>
          <w:rFonts w:hint="eastAsia"/>
        </w:rPr>
        <w:t>落</w:t>
      </w:r>
      <w:r>
        <w:t>急流场图</w:t>
      </w:r>
    </w:p>
    <w:p w14:paraId="774D4DEF">
      <w:pPr>
        <w:ind w:firstLine="439"/>
        <w:rPr>
          <w:b/>
          <w:bCs/>
        </w:rPr>
      </w:pPr>
      <w:r>
        <w:rPr>
          <w:rFonts w:hint="eastAsia"/>
          <w:b/>
          <w:bCs/>
        </w:rPr>
        <w:t>5</w:t>
      </w:r>
      <w:r>
        <w:rPr>
          <w:b/>
          <w:bCs/>
        </w:rPr>
        <w:t>、水文动力影响分析与评价</w:t>
      </w:r>
    </w:p>
    <w:p w14:paraId="6BB3C60E">
      <w:pPr>
        <w:ind w:firstLine="437"/>
      </w:pPr>
      <w:r>
        <w:rPr>
          <w:rFonts w:hint="eastAsia"/>
        </w:rPr>
        <w:t>工程建设对潮流场的影响主要是炸礁和疏浚改变了水深地形以及潮流通量造成的。通过对比工程前后流速、流向的变化情况来说明潮流场变化。</w:t>
      </w:r>
    </w:p>
    <w:p w14:paraId="6AC1E737">
      <w:pPr>
        <w:ind w:firstLine="437"/>
      </w:pPr>
      <w:r>
        <w:rPr>
          <w:rFonts w:hint="eastAsia"/>
        </w:rPr>
        <w:t>工程前后涨急时刻的流速变化范围在</w:t>
      </w:r>
      <w:r>
        <w:t>-0.</w:t>
      </w:r>
      <w:r>
        <w:rPr>
          <w:rFonts w:hint="eastAsia"/>
        </w:rPr>
        <w:t>15</w:t>
      </w:r>
      <w:r>
        <w:t>～0.</w:t>
      </w:r>
      <w:r>
        <w:rPr>
          <w:rFonts w:hint="eastAsia"/>
        </w:rPr>
        <w:t>08</w:t>
      </w:r>
      <w:r>
        <w:t>m/s</w:t>
      </w:r>
      <w:r>
        <w:rPr>
          <w:rFonts w:hint="eastAsia"/>
        </w:rPr>
        <w:t>之间，流速变化的区域集中在疏浚和炸礁区域及其毗连海域。疏浚和炸礁区域因挖深，海流通量减少，流速有普遍减小的趋势，北侧疏浚和炸礁减小的幅度基本在</w:t>
      </w:r>
      <w:r>
        <w:t>-0.</w:t>
      </w:r>
      <w:r>
        <w:rPr>
          <w:rFonts w:hint="eastAsia"/>
        </w:rPr>
        <w:t>08</w:t>
      </w:r>
      <w:r>
        <w:t xml:space="preserve"> m/s</w:t>
      </w:r>
      <w:r>
        <w:rPr>
          <w:rFonts w:hint="eastAsia"/>
        </w:rPr>
        <w:t>～</w:t>
      </w:r>
      <w:r>
        <w:t>-0.</w:t>
      </w:r>
      <w:r>
        <w:rPr>
          <w:rFonts w:hint="eastAsia"/>
        </w:rPr>
        <w:t>15</w:t>
      </w:r>
      <w:r>
        <w:t xml:space="preserve"> m/s</w:t>
      </w:r>
      <w:r>
        <w:rPr>
          <w:rFonts w:hint="eastAsia"/>
        </w:rPr>
        <w:t>之间，南侧疏浚和炸礁区域流速减小的幅度在</w:t>
      </w:r>
      <w:r>
        <w:t>-0.05m/s</w:t>
      </w:r>
      <w:r>
        <w:rPr>
          <w:rFonts w:hint="eastAsia"/>
        </w:rPr>
        <w:t>左右；疏浚和炸礁区域北侧边缘局部海域的流速有增加的趋势，最大增加幅度不超过</w:t>
      </w:r>
      <w:r>
        <w:t>0.0</w:t>
      </w:r>
      <w:r>
        <w:rPr>
          <w:rFonts w:hint="eastAsia"/>
        </w:rPr>
        <w:t>8</w:t>
      </w:r>
      <w:r>
        <w:t>m/s</w:t>
      </w:r>
      <w:r>
        <w:rPr>
          <w:rFonts w:hint="eastAsia"/>
        </w:rPr>
        <w:t>，主要与疏浚、炸礁后地形的急剧变深有关，但涉及的范围较小。从图中可以看出，离工程</w:t>
      </w:r>
      <w:r>
        <w:t>0.7km</w:t>
      </w:r>
      <w:r>
        <w:rPr>
          <w:rFonts w:hint="eastAsia"/>
        </w:rPr>
        <w:t>处的流速减小幅度小于</w:t>
      </w:r>
      <w:r>
        <w:t>0.01m/s</w:t>
      </w:r>
      <w:r>
        <w:rPr>
          <w:rFonts w:hint="eastAsia"/>
        </w:rPr>
        <w:t>。总体上，流速变化主要在疏浚、炸礁区域及其西侧范围内，南、北侧变化涉及的区域较小。流向变化方面，绝大部分疏浚和炸礁区域流向变化不明显，北侧疏浚与炸礁区变化幅度最大不超过</w:t>
      </w:r>
      <w:r>
        <w:t>5</w:t>
      </w:r>
      <w:r>
        <w:rPr>
          <w:rFonts w:hint="eastAsia"/>
        </w:rPr>
        <w:t>°，南侧疏浚与炸礁区变化幅度最大不超过</w:t>
      </w:r>
      <w:r>
        <w:t>15</w:t>
      </w:r>
      <w:r>
        <w:rPr>
          <w:rFonts w:hint="eastAsia"/>
        </w:rPr>
        <w:t>°；南侧工程与岸线交接处的流速变化较为明显，变化幅度在</w:t>
      </w:r>
      <w:r>
        <w:t>60</w:t>
      </w:r>
      <w:r>
        <w:rPr>
          <w:rFonts w:hint="eastAsia"/>
        </w:rPr>
        <w:t>°左右，但涉及的范围很小。总体上，涨急流向变化涉及的海域主要在项目周边</w:t>
      </w:r>
      <w:r>
        <w:t>0.9km</w:t>
      </w:r>
      <w:r>
        <w:rPr>
          <w:rFonts w:hint="eastAsia"/>
        </w:rPr>
        <w:t>的范围内，其他区域的流向不发生变化。</w:t>
      </w:r>
    </w:p>
    <w:p w14:paraId="2BD02AFC">
      <w:pPr>
        <w:ind w:firstLine="437"/>
      </w:pPr>
      <w:r>
        <w:rPr>
          <w:rFonts w:hint="eastAsia"/>
        </w:rPr>
        <w:t>工程前后落急时刻的流速变化范围在</w:t>
      </w:r>
      <w:r>
        <w:t>-0.55～0.15m/s</w:t>
      </w:r>
      <w:r>
        <w:rPr>
          <w:rFonts w:hint="eastAsia"/>
        </w:rPr>
        <w:t>之间，流速变化的幅度较涨急时刻大，流速变化的区域亦集中在疏浚与炸礁区域及其西侧海域。类似地，疏浚与炸礁区域因局部挖深，海流通量减少，流速有普遍减小的趋势，其中，北侧疏浚与炸礁区流速减小的幅度基本在</w:t>
      </w:r>
      <w:r>
        <w:t>-0.50～-0.25m/s</w:t>
      </w:r>
      <w:r>
        <w:rPr>
          <w:rFonts w:hint="eastAsia"/>
        </w:rPr>
        <w:t>之间；南侧则在</w:t>
      </w:r>
      <w:r>
        <w:t>-0.08m/s</w:t>
      </w:r>
      <w:r>
        <w:rPr>
          <w:rFonts w:hint="eastAsia"/>
        </w:rPr>
        <w:t>左右；疏浚与炸礁区域西侧流速减小幅度为</w:t>
      </w:r>
      <w:r>
        <w:t>0.01m/s</w:t>
      </w:r>
      <w:r>
        <w:rPr>
          <w:rFonts w:hint="eastAsia"/>
        </w:rPr>
        <w:t>的包络线离工程的最远距离为</w:t>
      </w:r>
      <w:r>
        <w:t>0.8km</w:t>
      </w:r>
      <w:r>
        <w:rPr>
          <w:rFonts w:hint="eastAsia"/>
        </w:rPr>
        <w:t>；疏浚区域南、北侧边缘局部海域的流速有增加的趋势，最大增加幅度不超过</w:t>
      </w:r>
      <w:r>
        <w:t>0.15m/s</w:t>
      </w:r>
      <w:r>
        <w:rPr>
          <w:rFonts w:hint="eastAsia"/>
        </w:rPr>
        <w:t>，涉及的范围亦较小。总体上，离工程</w:t>
      </w:r>
      <w:r>
        <w:t>0.8km</w:t>
      </w:r>
      <w:r>
        <w:rPr>
          <w:rFonts w:hint="eastAsia"/>
        </w:rPr>
        <w:t>处的流速不发生变化，流速变化主要集中在疏浚区域及西侧毗邻范围内。流向变化方面，南部疏浚与炸礁区域接岸处的流向变化较为明显，流向变化幅度最大不超过</w:t>
      </w:r>
      <w:r>
        <w:t>100</w:t>
      </w:r>
      <w:r>
        <w:rPr>
          <w:rFonts w:hint="eastAsia"/>
        </w:rPr>
        <w:t>°，分布的区域很小；疏浚与炸礁区域的流向变化幅度实则较小，疏浚与炸礁区的流向变化在</w:t>
      </w:r>
      <w:r>
        <w:t>10</w:t>
      </w:r>
      <w:r>
        <w:rPr>
          <w:rFonts w:hint="eastAsia"/>
        </w:rPr>
        <w:t>°左右。总体上，落急流向变化涉及的海域主要在项目周边</w:t>
      </w:r>
      <w:r>
        <w:t>1.0km</w:t>
      </w:r>
      <w:r>
        <w:rPr>
          <w:rFonts w:hint="eastAsia"/>
        </w:rPr>
        <w:t>的范围内。</w:t>
      </w:r>
    </w:p>
    <w:p w14:paraId="2F5D8F44">
      <w:pPr>
        <w:ind w:firstLine="437"/>
      </w:pPr>
      <w:r>
        <w:rPr>
          <w:rFonts w:hint="eastAsia"/>
        </w:rPr>
        <w:t>总体来说，由于疏浚、炸礁改变了水深地形，这些区域的流速和流向有一定变化。从工程前后特征时刻流速流向变化对比可以看出，项目建成后流速最大变化幅度不超过</w:t>
      </w:r>
      <w:r>
        <w:t>55cm/s</w:t>
      </w:r>
      <w:r>
        <w:rPr>
          <w:rFonts w:hint="eastAsia"/>
        </w:rPr>
        <w:t>，流向变化幅度最大不超过</w:t>
      </w:r>
      <w:r>
        <w:t>100</w:t>
      </w:r>
      <w:r>
        <w:rPr>
          <w:rFonts w:hint="eastAsia"/>
        </w:rPr>
        <w:t>°，其中，疏浚区域及其西侧海域流态变化较为明显。</w:t>
      </w:r>
    </w:p>
    <w:p w14:paraId="1597F77C">
      <w:pPr>
        <w:ind w:firstLine="0" w:firstLineChars="0"/>
      </w:pPr>
    </w:p>
    <w:p w14:paraId="67F67423">
      <w:pPr>
        <w:pStyle w:val="8"/>
        <w:ind w:firstLine="480"/>
        <w:rPr>
          <w:color w:val="000000" w:themeColor="text1"/>
          <w14:textFill>
            <w14:solidFill>
              <w14:schemeClr w14:val="tx1"/>
            </w14:solidFill>
          </w14:textFill>
        </w:rPr>
      </w:pPr>
      <w:bookmarkStart w:id="425" w:name="OLE_LINK195"/>
      <w:r>
        <w:rPr>
          <w:color w:val="000000" w:themeColor="text1"/>
          <w14:textFill>
            <w14:solidFill>
              <w14:schemeClr w14:val="tx1"/>
            </w14:solidFill>
          </w14:textFill>
        </w:rPr>
        <w:t>工程建设前后潮流变化（落急）</w:t>
      </w:r>
    </w:p>
    <w:bookmarkEnd w:id="425"/>
    <w:p w14:paraId="14568EBF">
      <w:pPr>
        <w:ind w:firstLine="0" w:firstLineChars="0"/>
      </w:pPr>
    </w:p>
    <w:p w14:paraId="5E2B07B5">
      <w:pPr>
        <w:ind w:firstLine="0" w:firstLineChars="0"/>
      </w:pPr>
    </w:p>
    <w:p w14:paraId="64AC1139">
      <w:pPr>
        <w:pStyle w:val="8"/>
      </w:pPr>
      <w:r>
        <w:rPr>
          <w:color w:val="000000" w:themeColor="text1"/>
          <w14:textFill>
            <w14:solidFill>
              <w14:schemeClr w14:val="tx1"/>
            </w14:solidFill>
          </w14:textFill>
        </w:rPr>
        <w:t>工程建设前后潮流变化（</w:t>
      </w:r>
      <w:r>
        <w:rPr>
          <w:rFonts w:hint="eastAsia"/>
          <w:color w:val="000000" w:themeColor="text1"/>
          <w14:textFill>
            <w14:solidFill>
              <w14:schemeClr w14:val="tx1"/>
            </w14:solidFill>
          </w14:textFill>
        </w:rPr>
        <w:t>涨</w:t>
      </w:r>
      <w:r>
        <w:rPr>
          <w:color w:val="000000" w:themeColor="text1"/>
          <w14:textFill>
            <w14:solidFill>
              <w14:schemeClr w14:val="tx1"/>
            </w14:solidFill>
          </w14:textFill>
        </w:rPr>
        <w:t>急）</w:t>
      </w:r>
    </w:p>
    <w:bookmarkEnd w:id="415"/>
    <w:bookmarkEnd w:id="416"/>
    <w:p w14:paraId="6542840E">
      <w:pPr>
        <w:pStyle w:val="6"/>
      </w:pPr>
      <w:r>
        <w:t>悬浮泥沙扩散对所在海域海水环境</w:t>
      </w:r>
    </w:p>
    <w:p w14:paraId="43D0F443">
      <w:pPr>
        <w:ind w:firstLine="439"/>
        <w:rPr>
          <w:b/>
          <w:bCs/>
          <w:snapToGrid w:val="0"/>
        </w:rPr>
      </w:pPr>
      <w:r>
        <w:rPr>
          <w:rFonts w:hint="eastAsia"/>
          <w:b/>
          <w:bCs/>
          <w:snapToGrid w:val="0"/>
        </w:rPr>
        <w:t>1</w:t>
      </w:r>
      <w:r>
        <w:rPr>
          <w:b/>
          <w:bCs/>
          <w:snapToGrid w:val="0"/>
        </w:rPr>
        <w:t>、悬沙数值模型</w:t>
      </w:r>
    </w:p>
    <w:p w14:paraId="42378CC0">
      <w:pPr>
        <w:ind w:firstLine="437"/>
      </w:pPr>
      <w:r>
        <w:rPr>
          <w:rFonts w:hint="eastAsia" w:asciiTheme="minorEastAsia" w:hAnsiTheme="minorEastAsia"/>
        </w:rPr>
        <w:t>项目疏浚和炸礁、溢流过程中会造成海水中悬浮泥沙含量的增加，</w:t>
      </w:r>
      <w:r>
        <w:t>对海水水质造成影响。悬浮泥沙将在海洋水动力的作用下扩散、输运和沉降，本节基于已建立的潮流模型，通过数值模拟的方法预测悬浮泥沙的扩散范围，并评价其对周围水环境的影响程度。</w:t>
      </w:r>
    </w:p>
    <w:p w14:paraId="681F767E">
      <w:pPr>
        <w:ind w:firstLine="437"/>
      </w:pPr>
      <w:r>
        <w:t>潮流是海域污染物进行稀释扩散的主要动力因素，在获得可靠的潮流场基础上，通过添加水质预测模块（平面二维非恒定的对流—扩散模型），进行水质预测计算。</w:t>
      </w:r>
    </w:p>
    <w:p w14:paraId="1A11AA53">
      <w:pPr>
        <w:ind w:firstLine="437"/>
      </w:pPr>
      <w:r>
        <w:t>（1）</w:t>
      </w:r>
      <w:r>
        <w:rPr>
          <w:rFonts w:hint="eastAsia"/>
        </w:rPr>
        <w:t>悬沙输移扩散</w:t>
      </w:r>
      <w:r>
        <w:t>控制方程：</w:t>
      </w:r>
    </w:p>
    <w:p w14:paraId="32BFF0DE">
      <w:pPr>
        <w:ind w:firstLine="0" w:firstLineChars="0"/>
        <w:jc w:val="center"/>
        <w:rPr>
          <w:b/>
          <w:sz w:val="21"/>
          <w:szCs w:val="21"/>
        </w:rPr>
      </w:pPr>
      <w:r>
        <w:drawing>
          <wp:inline distT="0" distB="0" distL="0" distR="0">
            <wp:extent cx="2981325" cy="434975"/>
            <wp:effectExtent l="0" t="0" r="0" b="3175"/>
            <wp:docPr id="19209949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94997" name="图片 1"/>
                    <pic:cNvPicPr>
                      <a:picLocks noChangeAspect="1"/>
                    </pic:cNvPicPr>
                  </pic:nvPicPr>
                  <pic:blipFill>
                    <a:blip r:embed="rId86"/>
                    <a:stretch>
                      <a:fillRect/>
                    </a:stretch>
                  </pic:blipFill>
                  <pic:spPr>
                    <a:xfrm>
                      <a:off x="0" y="0"/>
                      <a:ext cx="3081459" cy="449689"/>
                    </a:xfrm>
                    <a:prstGeom prst="rect">
                      <a:avLst/>
                    </a:prstGeom>
                  </pic:spPr>
                </pic:pic>
              </a:graphicData>
            </a:graphic>
          </wp:inline>
        </w:drawing>
      </w:r>
    </w:p>
    <w:p w14:paraId="5318A2BE">
      <w:pPr>
        <w:ind w:firstLine="437"/>
      </w:pPr>
      <w:r>
        <w:t>式中，</w:t>
      </w:r>
      <w:r>
        <w:rPr>
          <w:rFonts w:hint="eastAsia"/>
        </w:rPr>
        <w:t>s ——水体含沙量，kg/m</w:t>
      </w:r>
      <w:r>
        <w:rPr>
          <w:rFonts w:hint="eastAsia"/>
          <w:vertAlign w:val="superscript"/>
        </w:rPr>
        <w:t>3</w:t>
      </w:r>
      <w:r>
        <w:rPr>
          <w:rFonts w:hint="eastAsia"/>
        </w:rPr>
        <w:t>；</w:t>
      </w:r>
    </w:p>
    <w:p w14:paraId="66FA8FB5">
      <w:pPr>
        <w:ind w:firstLine="437"/>
      </w:pPr>
      <w:r>
        <w:rPr>
          <w:rFonts w:hint="eastAsia"/>
        </w:rPr>
        <w:t>D</w:t>
      </w:r>
      <w:r>
        <w:rPr>
          <w:rFonts w:hint="eastAsia"/>
          <w:vertAlign w:val="subscript"/>
        </w:rPr>
        <w:t>x</w:t>
      </w:r>
      <w:r>
        <w:rPr>
          <w:rFonts w:hint="eastAsia"/>
        </w:rPr>
        <w:t>、D</w:t>
      </w:r>
      <w:r>
        <w:rPr>
          <w:rFonts w:hint="eastAsia"/>
          <w:vertAlign w:val="subscript"/>
        </w:rPr>
        <w:t>y</w:t>
      </w:r>
      <w:r>
        <w:rPr>
          <w:rFonts w:hint="eastAsia"/>
        </w:rPr>
        <w:t xml:space="preserve"> ——X、Y 向悬沙紊动扩散系数，m</w:t>
      </w:r>
      <w:r>
        <w:rPr>
          <w:rFonts w:hint="eastAsia"/>
          <w:vertAlign w:val="superscript"/>
        </w:rPr>
        <w:t>2</w:t>
      </w:r>
      <w:r>
        <w:rPr>
          <w:rFonts w:hint="eastAsia"/>
        </w:rPr>
        <w:t>/s；</w:t>
      </w:r>
    </w:p>
    <w:p w14:paraId="08884FC4">
      <w:pPr>
        <w:ind w:firstLine="437"/>
      </w:pPr>
      <w:r>
        <w:rPr>
          <w:rFonts w:hint="eastAsia"/>
        </w:rPr>
        <w:t>Fs ——泥沙源汇函数或泥沙冲淤函数，kg/（m</w:t>
      </w:r>
      <w:r>
        <w:rPr>
          <w:rFonts w:hint="eastAsia"/>
          <w:vertAlign w:val="superscript"/>
        </w:rPr>
        <w:t>2</w:t>
      </w:r>
      <w:r>
        <w:rPr>
          <w:rFonts w:hint="eastAsia"/>
        </w:rPr>
        <w:t>·s）</w:t>
      </w:r>
      <w:r>
        <w:t>。</w:t>
      </w:r>
    </w:p>
    <w:p w14:paraId="7068C0E1">
      <w:pPr>
        <w:ind w:firstLine="437"/>
      </w:pPr>
      <w:r>
        <w:t>（2）边界条件</w:t>
      </w:r>
    </w:p>
    <w:p w14:paraId="7DBC7E28">
      <w:pPr>
        <w:ind w:firstLine="437"/>
      </w:pPr>
      <w:r>
        <w:t>岸边界条件：浓度通量为零；</w:t>
      </w:r>
    </w:p>
    <w:p w14:paraId="4340BFA3">
      <w:pPr>
        <w:ind w:firstLine="437"/>
      </w:pPr>
      <w:r>
        <w:t>开边界条件：入流：</w:t>
      </w:r>
      <w:r>
        <w:drawing>
          <wp:inline distT="0" distB="0" distL="0" distR="0">
            <wp:extent cx="387985" cy="189865"/>
            <wp:effectExtent l="0" t="0" r="0" b="635"/>
            <wp:docPr id="3476" name="图片 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 name="图片 347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387985" cy="189865"/>
                    </a:xfrm>
                    <a:prstGeom prst="rect">
                      <a:avLst/>
                    </a:prstGeom>
                    <a:noFill/>
                    <a:ln>
                      <a:noFill/>
                    </a:ln>
                  </pic:spPr>
                </pic:pic>
              </a:graphicData>
            </a:graphic>
          </wp:inline>
        </w:drawing>
      </w:r>
      <w:r>
        <w:t>，式中</w:t>
      </w:r>
      <w:r>
        <w:drawing>
          <wp:inline distT="0" distB="0" distL="0" distR="0">
            <wp:extent cx="112395" cy="129540"/>
            <wp:effectExtent l="0" t="0" r="1905" b="381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112395" cy="129540"/>
                    </a:xfrm>
                    <a:prstGeom prst="rect">
                      <a:avLst/>
                    </a:prstGeom>
                    <a:noFill/>
                    <a:ln>
                      <a:noFill/>
                    </a:ln>
                  </pic:spPr>
                </pic:pic>
              </a:graphicData>
            </a:graphic>
          </wp:inline>
        </w:drawing>
      </w:r>
      <w:r>
        <w:t>为水边界，c0为边界浓度，模型仅计算增量影响，取c0=0。</w:t>
      </w:r>
    </w:p>
    <w:p w14:paraId="2604BAD7">
      <w:pPr>
        <w:ind w:firstLine="437"/>
      </w:pPr>
      <w:r>
        <w:t>出流：</w:t>
      </w:r>
      <w:r>
        <w:drawing>
          <wp:inline distT="0" distB="0" distL="0" distR="0">
            <wp:extent cx="897255" cy="37084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897255" cy="370840"/>
                    </a:xfrm>
                    <a:prstGeom prst="rect">
                      <a:avLst/>
                    </a:prstGeom>
                    <a:noFill/>
                    <a:ln>
                      <a:noFill/>
                    </a:ln>
                  </pic:spPr>
                </pic:pic>
              </a:graphicData>
            </a:graphic>
          </wp:inline>
        </w:drawing>
      </w:r>
      <w:r>
        <w:t>，式中</w:t>
      </w:r>
      <w:r>
        <w:drawing>
          <wp:inline distT="0" distB="0" distL="0" distR="0">
            <wp:extent cx="163830" cy="233045"/>
            <wp:effectExtent l="0" t="0" r="7620" b="0"/>
            <wp:docPr id="3477" name="图片 3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 name="图片 347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163830" cy="233045"/>
                    </a:xfrm>
                    <a:prstGeom prst="rect">
                      <a:avLst/>
                    </a:prstGeom>
                    <a:noFill/>
                    <a:ln>
                      <a:noFill/>
                    </a:ln>
                  </pic:spPr>
                </pic:pic>
              </a:graphicData>
            </a:graphic>
          </wp:inline>
        </w:drawing>
      </w:r>
      <w:r>
        <w:t>边界法向流速，n为法向。</w:t>
      </w:r>
    </w:p>
    <w:p w14:paraId="1E808FCB">
      <w:pPr>
        <w:ind w:firstLine="437"/>
      </w:pPr>
      <w:r>
        <w:t>（3）初始条件</w:t>
      </w:r>
    </w:p>
    <w:p w14:paraId="45190F60">
      <w:pPr>
        <w:ind w:firstLine="437"/>
      </w:pPr>
      <w:r>
        <w:drawing>
          <wp:inline distT="0" distB="0" distL="0" distR="0">
            <wp:extent cx="832485" cy="265430"/>
            <wp:effectExtent l="0" t="0" r="0" b="0"/>
            <wp:docPr id="3478" name="图片 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8" name="图片 3478"/>
                    <pic:cNvPicPr>
                      <a:picLocks noChangeAspect="1"/>
                    </pic:cNvPicPr>
                  </pic:nvPicPr>
                  <pic:blipFill>
                    <a:blip r:embed="rId91"/>
                    <a:stretch>
                      <a:fillRect/>
                    </a:stretch>
                  </pic:blipFill>
                  <pic:spPr>
                    <a:xfrm>
                      <a:off x="0" y="0"/>
                      <a:ext cx="926378" cy="295878"/>
                    </a:xfrm>
                    <a:prstGeom prst="rect">
                      <a:avLst/>
                    </a:prstGeom>
                  </pic:spPr>
                </pic:pic>
              </a:graphicData>
            </a:graphic>
          </wp:inline>
        </w:drawing>
      </w:r>
      <w:r>
        <w:t>。</w:t>
      </w:r>
    </w:p>
    <w:p w14:paraId="6D6FAB4A">
      <w:pPr>
        <w:ind w:firstLine="439"/>
        <w:rPr>
          <w:b/>
          <w:bCs/>
          <w:snapToGrid w:val="0"/>
        </w:rPr>
      </w:pPr>
      <w:r>
        <w:rPr>
          <w:rFonts w:hint="eastAsia"/>
          <w:b/>
          <w:bCs/>
          <w:snapToGrid w:val="0"/>
        </w:rPr>
        <w:t>2</w:t>
      </w:r>
      <w:r>
        <w:rPr>
          <w:b/>
          <w:bCs/>
          <w:snapToGrid w:val="0"/>
        </w:rPr>
        <w:t>、参数选取和预测方案</w:t>
      </w:r>
    </w:p>
    <w:p w14:paraId="700B38C8">
      <w:pPr>
        <w:ind w:firstLine="437"/>
      </w:pPr>
      <w:r>
        <w:t>根据现场采样资料分析，工程海域泥沙的中值粒径为0.03mm，其干容重计算采用刘家驹公式（</w:t>
      </w:r>
      <w:r>
        <w:object>
          <v:shape id="_x0000_i1029" o:spt="75" type="#_x0000_t75" style="height:19.15pt;width:10.05pt;" o:ole="t" filled="f" o:preferrelative="t" stroked="f" coordsize="21600,21600">
            <v:path/>
            <v:fill on="f" focussize="0,0"/>
            <v:stroke on="f" joinstyle="miter"/>
            <v:imagedata r:id="rId93" o:title=""/>
            <o:lock v:ext="edit" aspectratio="t"/>
            <w10:wrap type="none"/>
            <w10:anchorlock/>
          </v:shape>
          <o:OLEObject Type="Embed" ProgID="Equation.DSMT4" ShapeID="_x0000_i1029" DrawAspect="Content" ObjectID="_1468075729" r:id="rId92">
            <o:LockedField>false</o:LockedField>
          </o:OLEObject>
        </w:object>
      </w:r>
      <w:r>
        <w:t>=</w:t>
      </w:r>
      <w:bookmarkStart w:id="426" w:name="OLE_LINK119"/>
      <w:r>
        <w:object>
          <v:shape id="_x0000_i1030" o:spt="75" type="#_x0000_t75" style="height:19.15pt;width:62.9pt;" o:ole="t" filled="f" o:preferrelative="t" stroked="f" coordsize="21600,21600">
            <v:path/>
            <v:fill on="f" focussize="0,0"/>
            <v:stroke on="f" joinstyle="miter"/>
            <v:imagedata r:id="rId95" o:title=""/>
            <o:lock v:ext="edit" aspectratio="t"/>
            <w10:wrap type="none"/>
            <w10:anchorlock/>
          </v:shape>
          <o:OLEObject Type="Embed" ProgID="Equation.DSMT4" ShapeID="_x0000_i1030" DrawAspect="Content" ObjectID="_1468075730" r:id="rId94">
            <o:LockedField>false</o:LockedField>
          </o:OLEObject>
        </w:object>
      </w:r>
      <w:bookmarkEnd w:id="426"/>
      <w:r>
        <w:t>），</w:t>
      </w:r>
      <w:r>
        <w:rPr>
          <w:rFonts w:hint="eastAsia" w:hAnsi="宋体"/>
        </w:rPr>
        <w:t>泥沙沉速根据有关试验泥沙沉速的取值，本次评价取为0.05cm/s，沉降概率取为0.67</w:t>
      </w:r>
      <w:r>
        <w:t>。</w:t>
      </w:r>
    </w:p>
    <w:p w14:paraId="798E3714">
      <w:pPr>
        <w:ind w:firstLine="437"/>
      </w:pPr>
      <w:r>
        <w:rPr>
          <w:rFonts w:hint="eastAsia"/>
        </w:rPr>
        <w:t>（1）疏浚</w:t>
      </w:r>
    </w:p>
    <w:p w14:paraId="5FE40628">
      <w:pPr>
        <w:ind w:firstLine="437"/>
      </w:pPr>
      <w:r>
        <w:rPr>
          <w:rFonts w:hint="eastAsia"/>
        </w:rPr>
        <w:t>本次疏浚工程疏浚砂采用</w:t>
      </w:r>
      <w:r>
        <w:t>13m</w:t>
      </w:r>
      <w:r>
        <w:rPr>
          <w:vertAlign w:val="superscript"/>
        </w:rPr>
        <w:t>3</w:t>
      </w:r>
      <w:r>
        <w:t>抓斗式挖泥船作业</w:t>
      </w:r>
      <w:r>
        <w:rPr>
          <w:rFonts w:hint="eastAsia"/>
        </w:rPr>
        <w:t>，疏浚土采用</w:t>
      </w:r>
      <w:r>
        <w:t>1450m³/h</w:t>
      </w:r>
      <w:r>
        <w:rPr>
          <w:rFonts w:hint="eastAsia"/>
        </w:rPr>
        <w:t>绞吸式挖泥船作业</w:t>
      </w:r>
      <w:r>
        <w:t>，其产生的污染物为悬浮物，主要在抓斗、</w:t>
      </w:r>
      <w:r>
        <w:rPr>
          <w:rFonts w:hint="eastAsia"/>
        </w:rPr>
        <w:t>绞刀</w:t>
      </w:r>
      <w:r>
        <w:t>扰动底层和抓斗上升过程中的泥水溢流引起。</w:t>
      </w:r>
    </w:p>
    <w:p w14:paraId="49CD0B2A">
      <w:pPr>
        <w:ind w:firstLine="437"/>
        <w:rPr>
          <w:u w:val="single"/>
        </w:rPr>
      </w:pPr>
      <w:r>
        <w:rPr>
          <w:rFonts w:hint="eastAsia"/>
          <w:u w:val="single"/>
        </w:rPr>
        <w:t>根据2.3.1节工程分析，抓斗式挖泥船疏浚产生的悬浮物源强约为9.98t/h（2.72 kg/s），</w:t>
      </w:r>
      <w:r>
        <w:rPr>
          <w:u w:val="single"/>
        </w:rPr>
        <w:t>绞吸船</w:t>
      </w:r>
      <w:r>
        <w:rPr>
          <w:rFonts w:hint="eastAsia"/>
          <w:u w:val="single"/>
        </w:rPr>
        <w:t>式</w:t>
      </w:r>
      <w:r>
        <w:rPr>
          <w:u w:val="single"/>
        </w:rPr>
        <w:t>挖泥船产生的悬浮</w:t>
      </w:r>
      <w:r>
        <w:rPr>
          <w:rFonts w:hint="eastAsia"/>
          <w:u w:val="single"/>
        </w:rPr>
        <w:t>物</w:t>
      </w:r>
      <w:r>
        <w:rPr>
          <w:u w:val="single"/>
        </w:rPr>
        <w:t>源强</w:t>
      </w:r>
      <w:r>
        <w:rPr>
          <w:rFonts w:hint="eastAsia"/>
          <w:u w:val="single"/>
        </w:rPr>
        <w:t>为26.65</w:t>
      </w:r>
      <w:r>
        <w:rPr>
          <w:u w:val="single"/>
        </w:rPr>
        <w:t>t/h</w:t>
      </w:r>
      <w:r>
        <w:rPr>
          <w:rFonts w:hint="eastAsia"/>
          <w:u w:val="single"/>
        </w:rPr>
        <w:t>（7.41</w:t>
      </w:r>
      <w:r>
        <w:rPr>
          <w:u w:val="single"/>
        </w:rPr>
        <w:t>kg/s</w:t>
      </w:r>
      <w:r>
        <w:rPr>
          <w:rFonts w:hint="eastAsia"/>
          <w:u w:val="single"/>
        </w:rPr>
        <w:t>）</w:t>
      </w:r>
      <w:r>
        <w:rPr>
          <w:u w:val="single"/>
        </w:rPr>
        <w:t>。项目施工期两种挖泥船不同时使用，选取悬浮物源强最大值</w:t>
      </w:r>
      <w:r>
        <w:rPr>
          <w:rFonts w:hint="eastAsia"/>
          <w:u w:val="single"/>
        </w:rPr>
        <w:t>7.41 kg/s作为本次预测悬浮物源强。</w:t>
      </w:r>
    </w:p>
    <w:p w14:paraId="5A3233E8">
      <w:pPr>
        <w:ind w:firstLine="437"/>
      </w:pPr>
      <w:r>
        <w:t>（2）</w:t>
      </w:r>
      <w:r>
        <w:rPr>
          <w:rFonts w:hint="eastAsia"/>
        </w:rPr>
        <w:t>炸礁</w:t>
      </w:r>
      <w:r>
        <w:t>源强</w:t>
      </w:r>
    </w:p>
    <w:p w14:paraId="52FE2977">
      <w:pPr>
        <w:ind w:firstLine="437"/>
        <w:rPr>
          <w:lang w:bidi="en-US"/>
        </w:rPr>
      </w:pPr>
      <w:r>
        <w:rPr>
          <w:lang w:bidi="en-US"/>
        </w:rPr>
        <w:t>炸礁工程SS 的产生量与水下工程施工的工程量、施工方式、施工强度、底质组成等有关。航道水域底质主要以粘土、砂及岩石为主：炸礁（石）采用100 型潜孔钻机炸礁船，以</w:t>
      </w:r>
      <w:r>
        <w:rPr>
          <w:rFonts w:hint="eastAsia"/>
          <w:lang w:bidi="en-US"/>
        </w:rPr>
        <w:t>单孔</w:t>
      </w:r>
      <w:r>
        <w:rPr>
          <w:lang w:bidi="en-US"/>
        </w:rPr>
        <w:t>炸礁量为</w:t>
      </w:r>
      <w:r>
        <w:rPr>
          <w:rFonts w:hint="eastAsia"/>
          <w:lang w:bidi="en-US"/>
        </w:rPr>
        <w:t>250</w:t>
      </w:r>
      <w:r>
        <w:rPr>
          <w:lang w:bidi="en-US"/>
        </w:rPr>
        <w:t>m</w:t>
      </w:r>
      <w:r>
        <w:rPr>
          <w:vertAlign w:val="superscript"/>
          <w:lang w:bidi="en-US"/>
        </w:rPr>
        <w:t>3</w:t>
      </w:r>
      <w:r>
        <w:rPr>
          <w:lang w:bidi="en-US"/>
        </w:rPr>
        <w:t>计，水下炸礁SS 瞬时源强为</w:t>
      </w:r>
      <w:r>
        <w:rPr>
          <w:rFonts w:hint="eastAsia"/>
          <w:lang w:bidi="en-US"/>
        </w:rPr>
        <w:t>12.5</w:t>
      </w:r>
      <w:r>
        <w:rPr>
          <w:rFonts w:hint="eastAsia"/>
        </w:rPr>
        <w:t xml:space="preserve"> m</w:t>
      </w:r>
      <w:r>
        <w:rPr>
          <w:rFonts w:hint="eastAsia"/>
          <w:vertAlign w:val="superscript"/>
        </w:rPr>
        <w:t>3</w:t>
      </w:r>
      <w:r>
        <w:rPr>
          <w:lang w:bidi="en-US"/>
        </w:rPr>
        <w:t>。</w:t>
      </w:r>
    </w:p>
    <w:p w14:paraId="7B89A06E">
      <w:pPr>
        <w:ind w:firstLine="437"/>
        <w:rPr>
          <w:u w:val="single"/>
          <w:lang w:bidi="en-US"/>
        </w:rPr>
      </w:pPr>
      <w:r>
        <w:rPr>
          <w:rFonts w:hint="eastAsia"/>
          <w:u w:val="single"/>
          <w:lang w:bidi="en-US"/>
        </w:rPr>
        <w:t>（3）溢流口源强</w:t>
      </w:r>
    </w:p>
    <w:p w14:paraId="69DC92DF">
      <w:pPr>
        <w:ind w:firstLine="437"/>
        <w:rPr>
          <w:u w:val="single"/>
          <w:lang w:bidi="en-US"/>
        </w:rPr>
      </w:pPr>
      <w:r>
        <w:rPr>
          <w:rFonts w:hint="eastAsia"/>
          <w:u w:val="single"/>
          <w:lang w:bidi="en-US"/>
        </w:rPr>
        <w:t>溢流口悬浮物源强取 0.05kg/s。</w:t>
      </w:r>
    </w:p>
    <w:p w14:paraId="0BB6F08B">
      <w:pPr>
        <w:ind w:firstLine="439"/>
        <w:rPr>
          <w:b/>
          <w:bCs/>
          <w:snapToGrid w:val="0"/>
        </w:rPr>
      </w:pPr>
      <w:r>
        <w:rPr>
          <w:rFonts w:hint="eastAsia"/>
          <w:b/>
          <w:bCs/>
          <w:snapToGrid w:val="0"/>
        </w:rPr>
        <w:t>3</w:t>
      </w:r>
      <w:r>
        <w:rPr>
          <w:b/>
          <w:bCs/>
          <w:snapToGrid w:val="0"/>
        </w:rPr>
        <w:t>、悬浮物影响范围预测与分析</w:t>
      </w:r>
    </w:p>
    <w:p w14:paraId="0436C8D6">
      <w:pPr>
        <w:ind w:firstLine="437"/>
        <w:rPr>
          <w:bCs/>
        </w:rPr>
      </w:pPr>
      <w:r>
        <w:rPr>
          <w:bCs/>
        </w:rPr>
        <w:t>自本项目施工作业的初始时刻起，源点附近由于沉降、掺混过程所形成的悬浮泥沙</w:t>
      </w:r>
      <w:r>
        <w:rPr>
          <w:rFonts w:hint="eastAsia"/>
          <w:bCs/>
          <w:lang w:eastAsia="zh-CN"/>
        </w:rPr>
        <w:t>浑浊</w:t>
      </w:r>
      <w:r>
        <w:rPr>
          <w:bCs/>
        </w:rPr>
        <w:t>云团，在海流作用下扩散迁移形成“污染区”。由于不停作业，云团核心浓度（中心含沙量）随着时间的推移而不断升高，云团面积不断扩大。在初始阶段，这一过程演变很快，但经过一定时间后，浓度随时间的变化变缓，指某一时间不再升高，即达到所谓“平衡态”。它表征了各种因素（源强、自净能力）对环境水质的影响程度。潮混合使核心浓度达到平衡态的时间，决定于水域的地形特征和流场的强弱以及流态。通常，水域小，流场强，达到平衡态的时间就短。</w:t>
      </w:r>
    </w:p>
    <w:p w14:paraId="44C36008">
      <w:pPr>
        <w:ind w:firstLine="437"/>
        <w:rPr>
          <w:u w:val="single"/>
        </w:rPr>
      </w:pPr>
      <w:r>
        <w:rPr>
          <w:u w:val="single"/>
        </w:rPr>
        <w:t>项目</w:t>
      </w:r>
      <w:r>
        <w:rPr>
          <w:rFonts w:hint="eastAsia"/>
          <w:u w:val="single"/>
        </w:rPr>
        <w:t>疏浚</w:t>
      </w:r>
      <w:r>
        <w:rPr>
          <w:u w:val="single"/>
        </w:rPr>
        <w:t>时悬浮泥沙的包络线呈N</w:t>
      </w:r>
      <w:r>
        <w:rPr>
          <w:rFonts w:hint="eastAsia"/>
          <w:u w:val="single"/>
        </w:rPr>
        <w:t>W</w:t>
      </w:r>
      <w:r>
        <w:rPr>
          <w:u w:val="single"/>
        </w:rPr>
        <w:t>-S</w:t>
      </w:r>
      <w:r>
        <w:rPr>
          <w:rFonts w:hint="eastAsia"/>
          <w:u w:val="single"/>
        </w:rPr>
        <w:t>E</w:t>
      </w:r>
      <w:r>
        <w:rPr>
          <w:u w:val="single"/>
        </w:rPr>
        <w:t>的带状分布，与涨落潮流态一致。</w:t>
      </w:r>
      <w:r>
        <w:rPr>
          <w:rFonts w:hint="eastAsia"/>
          <w:u w:val="single"/>
        </w:rPr>
        <w:t>疏浚</w:t>
      </w:r>
      <w:r>
        <w:rPr>
          <w:u w:val="single"/>
        </w:rPr>
        <w:t>时，10mg/L包络线S</w:t>
      </w:r>
      <w:r>
        <w:rPr>
          <w:rFonts w:hint="eastAsia"/>
          <w:u w:val="single"/>
        </w:rPr>
        <w:t>E</w:t>
      </w:r>
      <w:r>
        <w:rPr>
          <w:u w:val="single"/>
        </w:rPr>
        <w:t>方向的最大输移距离(以</w:t>
      </w:r>
      <w:r>
        <w:rPr>
          <w:rFonts w:hint="eastAsia"/>
          <w:u w:val="single"/>
        </w:rPr>
        <w:t>疏浚</w:t>
      </w:r>
      <w:r>
        <w:rPr>
          <w:u w:val="single"/>
        </w:rPr>
        <w:t>外缘线起算，下同)不超过</w:t>
      </w:r>
      <w:r>
        <w:rPr>
          <w:rFonts w:hint="eastAsia"/>
          <w:u w:val="single"/>
        </w:rPr>
        <w:t>1.0k</w:t>
      </w:r>
      <w:r>
        <w:rPr>
          <w:u w:val="single"/>
        </w:rPr>
        <w:t>m，N</w:t>
      </w:r>
      <w:r>
        <w:rPr>
          <w:rFonts w:hint="eastAsia"/>
          <w:u w:val="single"/>
        </w:rPr>
        <w:t>W</w:t>
      </w:r>
      <w:r>
        <w:rPr>
          <w:u w:val="single"/>
        </w:rPr>
        <w:t>方向的最大输移距离不超过</w:t>
      </w:r>
      <w:r>
        <w:rPr>
          <w:rFonts w:hint="eastAsia"/>
          <w:u w:val="single"/>
        </w:rPr>
        <w:t>0.88</w:t>
      </w:r>
      <w:r>
        <w:rPr>
          <w:u w:val="single"/>
        </w:rPr>
        <w:t>km</w:t>
      </w:r>
      <w:r>
        <w:rPr>
          <w:rFonts w:hint="eastAsia"/>
          <w:u w:val="single"/>
        </w:rPr>
        <w:t>；</w:t>
      </w:r>
      <w:r>
        <w:rPr>
          <w:u w:val="single"/>
        </w:rPr>
        <w:t>1</w:t>
      </w:r>
      <w:r>
        <w:rPr>
          <w:rFonts w:hint="eastAsia"/>
          <w:u w:val="single"/>
        </w:rPr>
        <w:t>0</w:t>
      </w:r>
      <w:r>
        <w:rPr>
          <w:u w:val="single"/>
        </w:rPr>
        <w:t>0mg/L包络线N</w:t>
      </w:r>
      <w:r>
        <w:rPr>
          <w:rFonts w:hint="eastAsia"/>
          <w:u w:val="single"/>
        </w:rPr>
        <w:t>W</w:t>
      </w:r>
      <w:r>
        <w:rPr>
          <w:u w:val="single"/>
        </w:rPr>
        <w:t>方向的最大输移距离不超过0.</w:t>
      </w:r>
      <w:r>
        <w:rPr>
          <w:rFonts w:hint="eastAsia"/>
          <w:u w:val="single"/>
        </w:rPr>
        <w:t>15</w:t>
      </w:r>
      <w:r>
        <w:rPr>
          <w:u w:val="single"/>
        </w:rPr>
        <w:t>km，S</w:t>
      </w:r>
      <w:r>
        <w:rPr>
          <w:rFonts w:hint="eastAsia"/>
          <w:u w:val="single"/>
        </w:rPr>
        <w:t>E</w:t>
      </w:r>
      <w:r>
        <w:rPr>
          <w:u w:val="single"/>
        </w:rPr>
        <w:t>方向的最大输移距离不超过</w:t>
      </w:r>
      <w:r>
        <w:rPr>
          <w:rFonts w:hint="eastAsia"/>
          <w:u w:val="single"/>
        </w:rPr>
        <w:t>0.20k</w:t>
      </w:r>
      <w:r>
        <w:rPr>
          <w:u w:val="single"/>
        </w:rPr>
        <w:t>m</w:t>
      </w:r>
      <w:r>
        <w:rPr>
          <w:rFonts w:hint="eastAsia"/>
          <w:u w:val="single"/>
        </w:rPr>
        <w:t>；</w:t>
      </w:r>
      <w:r>
        <w:rPr>
          <w:u w:val="single"/>
        </w:rPr>
        <w:t>150mg/L包络线N</w:t>
      </w:r>
      <w:r>
        <w:rPr>
          <w:rFonts w:hint="eastAsia"/>
          <w:u w:val="single"/>
        </w:rPr>
        <w:t>W</w:t>
      </w:r>
      <w:r>
        <w:rPr>
          <w:u w:val="single"/>
        </w:rPr>
        <w:t>方向的最大输移距离不超过0.</w:t>
      </w:r>
      <w:r>
        <w:rPr>
          <w:rFonts w:hint="eastAsia"/>
          <w:u w:val="single"/>
        </w:rPr>
        <w:t>11</w:t>
      </w:r>
      <w:r>
        <w:rPr>
          <w:u w:val="single"/>
        </w:rPr>
        <w:t>km，S</w:t>
      </w:r>
      <w:r>
        <w:rPr>
          <w:rFonts w:hint="eastAsia"/>
          <w:u w:val="single"/>
        </w:rPr>
        <w:t>E</w:t>
      </w:r>
      <w:r>
        <w:rPr>
          <w:u w:val="single"/>
        </w:rPr>
        <w:t>方向的最大输移距离不超过</w:t>
      </w:r>
      <w:r>
        <w:rPr>
          <w:rFonts w:hint="eastAsia"/>
          <w:u w:val="single"/>
        </w:rPr>
        <w:t>50</w:t>
      </w:r>
      <w:r>
        <w:rPr>
          <w:u w:val="single"/>
        </w:rPr>
        <w:t>m</w:t>
      </w:r>
      <w:r>
        <w:rPr>
          <w:rFonts w:hint="eastAsia"/>
          <w:u w:val="single"/>
        </w:rPr>
        <w:t>。</w:t>
      </w:r>
      <w:r>
        <w:rPr>
          <w:u w:val="single"/>
        </w:rPr>
        <w:t>超20mg/L悬沙增量的面积为</w:t>
      </w:r>
      <w:r>
        <w:rPr>
          <w:rFonts w:hint="eastAsia"/>
          <w:u w:val="single"/>
        </w:rPr>
        <w:t>1.14</w:t>
      </w:r>
      <w:r>
        <w:rPr>
          <w:u w:val="single"/>
        </w:rPr>
        <w:t>km</w:t>
      </w:r>
      <w:r>
        <w:rPr>
          <w:u w:val="single"/>
          <w:vertAlign w:val="superscript"/>
        </w:rPr>
        <w:t>2</w:t>
      </w:r>
      <w:r>
        <w:rPr>
          <w:u w:val="single"/>
        </w:rPr>
        <w:t>；超50mg/L悬沙增量的面积为</w:t>
      </w:r>
      <w:r>
        <w:rPr>
          <w:rFonts w:hint="eastAsia"/>
          <w:u w:val="single"/>
        </w:rPr>
        <w:t>0.83</w:t>
      </w:r>
      <w:r>
        <w:rPr>
          <w:u w:val="single"/>
        </w:rPr>
        <w:t>km</w:t>
      </w:r>
      <w:r>
        <w:rPr>
          <w:u w:val="single"/>
          <w:vertAlign w:val="superscript"/>
        </w:rPr>
        <w:t>2</w:t>
      </w:r>
      <w:r>
        <w:rPr>
          <w:rFonts w:hint="eastAsia"/>
          <w:u w:val="single"/>
        </w:rPr>
        <w:t>。</w:t>
      </w:r>
    </w:p>
    <w:p w14:paraId="5F46D916">
      <w:pPr>
        <w:ind w:firstLine="437"/>
        <w:rPr>
          <w:u w:val="single"/>
        </w:rPr>
      </w:pPr>
      <w:r>
        <w:rPr>
          <w:u w:val="single"/>
        </w:rPr>
        <w:t>本项目</w:t>
      </w:r>
      <w:r>
        <w:rPr>
          <w:rFonts w:hint="eastAsia"/>
          <w:u w:val="single"/>
        </w:rPr>
        <w:t>炸礁</w:t>
      </w:r>
      <w:r>
        <w:rPr>
          <w:u w:val="single"/>
        </w:rPr>
        <w:t>时悬浮泥沙的包络线呈N</w:t>
      </w:r>
      <w:r>
        <w:rPr>
          <w:rFonts w:hint="eastAsia"/>
          <w:u w:val="single"/>
        </w:rPr>
        <w:t>W</w:t>
      </w:r>
      <w:r>
        <w:rPr>
          <w:u w:val="single"/>
        </w:rPr>
        <w:t>-S</w:t>
      </w:r>
      <w:r>
        <w:rPr>
          <w:rFonts w:hint="eastAsia"/>
          <w:u w:val="single"/>
        </w:rPr>
        <w:t>E</w:t>
      </w:r>
      <w:r>
        <w:rPr>
          <w:u w:val="single"/>
        </w:rPr>
        <w:t>的带状分布，与涨落潮流态一致。10mg/L包络线S</w:t>
      </w:r>
      <w:r>
        <w:rPr>
          <w:rFonts w:hint="eastAsia"/>
          <w:u w:val="single"/>
        </w:rPr>
        <w:t>E</w:t>
      </w:r>
      <w:r>
        <w:rPr>
          <w:u w:val="single"/>
        </w:rPr>
        <w:t>方向的最大输移距离(以</w:t>
      </w:r>
      <w:r>
        <w:rPr>
          <w:rFonts w:hint="eastAsia"/>
          <w:u w:val="single"/>
        </w:rPr>
        <w:t>炸礁区域</w:t>
      </w:r>
      <w:r>
        <w:rPr>
          <w:u w:val="single"/>
        </w:rPr>
        <w:t>外缘线起算，下同)不超过</w:t>
      </w:r>
      <w:r>
        <w:rPr>
          <w:rFonts w:hint="eastAsia"/>
          <w:u w:val="single"/>
        </w:rPr>
        <w:t>0.3k</w:t>
      </w:r>
      <w:r>
        <w:rPr>
          <w:u w:val="single"/>
        </w:rPr>
        <w:t>m，N</w:t>
      </w:r>
      <w:r>
        <w:rPr>
          <w:rFonts w:hint="eastAsia"/>
          <w:u w:val="single"/>
        </w:rPr>
        <w:t>W</w:t>
      </w:r>
      <w:r>
        <w:rPr>
          <w:u w:val="single"/>
        </w:rPr>
        <w:t>方向的最大输移距离不超过</w:t>
      </w:r>
      <w:r>
        <w:rPr>
          <w:rFonts w:hint="eastAsia"/>
          <w:u w:val="single"/>
        </w:rPr>
        <w:t>0.5</w:t>
      </w:r>
      <w:r>
        <w:rPr>
          <w:u w:val="single"/>
        </w:rPr>
        <w:t>km</w:t>
      </w:r>
      <w:r>
        <w:rPr>
          <w:rFonts w:hint="eastAsia"/>
          <w:u w:val="single"/>
        </w:rPr>
        <w:t>；</w:t>
      </w:r>
      <w:r>
        <w:rPr>
          <w:u w:val="single"/>
        </w:rPr>
        <w:t>1</w:t>
      </w:r>
      <w:r>
        <w:rPr>
          <w:rFonts w:hint="eastAsia"/>
          <w:u w:val="single"/>
        </w:rPr>
        <w:t>0</w:t>
      </w:r>
      <w:r>
        <w:rPr>
          <w:u w:val="single"/>
        </w:rPr>
        <w:t>0mg/L包络线N</w:t>
      </w:r>
      <w:r>
        <w:rPr>
          <w:rFonts w:hint="eastAsia"/>
          <w:u w:val="single"/>
        </w:rPr>
        <w:t>W</w:t>
      </w:r>
      <w:r>
        <w:rPr>
          <w:u w:val="single"/>
        </w:rPr>
        <w:t>方向的最大输移距离不超过</w:t>
      </w:r>
      <w:r>
        <w:rPr>
          <w:rFonts w:hint="eastAsia"/>
          <w:u w:val="single"/>
        </w:rPr>
        <w:t>65</w:t>
      </w:r>
      <w:r>
        <w:rPr>
          <w:u w:val="single"/>
        </w:rPr>
        <w:t>m，S</w:t>
      </w:r>
      <w:r>
        <w:rPr>
          <w:rFonts w:hint="eastAsia"/>
          <w:u w:val="single"/>
        </w:rPr>
        <w:t>E</w:t>
      </w:r>
      <w:r>
        <w:rPr>
          <w:u w:val="single"/>
        </w:rPr>
        <w:t>方向的最大输移距离不超过</w:t>
      </w:r>
      <w:r>
        <w:rPr>
          <w:rFonts w:hint="eastAsia"/>
          <w:u w:val="single"/>
        </w:rPr>
        <w:t>40</w:t>
      </w:r>
      <w:r>
        <w:rPr>
          <w:u w:val="single"/>
        </w:rPr>
        <w:t>m</w:t>
      </w:r>
      <w:r>
        <w:rPr>
          <w:rFonts w:hint="eastAsia"/>
          <w:u w:val="single"/>
        </w:rPr>
        <w:t>；</w:t>
      </w:r>
      <w:r>
        <w:rPr>
          <w:u w:val="single"/>
        </w:rPr>
        <w:t>150mg/L包络线N</w:t>
      </w:r>
      <w:r>
        <w:rPr>
          <w:rFonts w:hint="eastAsia"/>
          <w:u w:val="single"/>
        </w:rPr>
        <w:t>W</w:t>
      </w:r>
      <w:r>
        <w:rPr>
          <w:u w:val="single"/>
        </w:rPr>
        <w:t>方向的最大输移距离不超过</w:t>
      </w:r>
      <w:r>
        <w:rPr>
          <w:rFonts w:hint="eastAsia"/>
          <w:u w:val="single"/>
        </w:rPr>
        <w:t>40</w:t>
      </w:r>
      <w:r>
        <w:rPr>
          <w:u w:val="single"/>
        </w:rPr>
        <w:t>m，S</w:t>
      </w:r>
      <w:r>
        <w:rPr>
          <w:rFonts w:hint="eastAsia"/>
          <w:u w:val="single"/>
        </w:rPr>
        <w:t>E</w:t>
      </w:r>
      <w:r>
        <w:rPr>
          <w:u w:val="single"/>
        </w:rPr>
        <w:t>方向的最大输移距离不超过</w:t>
      </w:r>
      <w:r>
        <w:rPr>
          <w:rFonts w:hint="eastAsia"/>
          <w:u w:val="single"/>
        </w:rPr>
        <w:t>25</w:t>
      </w:r>
      <w:r>
        <w:rPr>
          <w:u w:val="single"/>
        </w:rPr>
        <w:t>m</w:t>
      </w:r>
      <w:r>
        <w:rPr>
          <w:rFonts w:hint="eastAsia"/>
          <w:u w:val="single"/>
        </w:rPr>
        <w:t>。根据9号10号泊位工程</w:t>
      </w:r>
      <w:r>
        <w:rPr>
          <w:u w:val="single"/>
        </w:rPr>
        <w:t>溢流</w:t>
      </w:r>
      <w:r>
        <w:rPr>
          <w:rFonts w:hint="eastAsia"/>
          <w:u w:val="single"/>
        </w:rPr>
        <w:t>悬浮泥沙预测结果，溢流产生的10mg/L包络线顺岸向的最大输移距离（以溢流点起算，下同）不超过0.2km；100mg/L、150mg/L包络线基本分布在排水口附近80m内。总体来看，项目炸礁及溢流产生的悬浮泥沙影响范围不会超出疏浚悬浮泥沙范围。</w:t>
      </w:r>
    </w:p>
    <w:p w14:paraId="593DF079">
      <w:pPr>
        <w:ind w:firstLine="437"/>
        <w:rPr>
          <w:u w:val="single"/>
        </w:rPr>
      </w:pPr>
      <w:r>
        <w:rPr>
          <w:rFonts w:hint="eastAsia"/>
          <w:u w:val="single"/>
        </w:rPr>
        <w:t>项目施工</w:t>
      </w:r>
      <w:r>
        <w:rPr>
          <w:u w:val="single"/>
        </w:rPr>
        <w:t>过程悬浮泥沙最大影响</w:t>
      </w:r>
      <w:r>
        <w:rPr>
          <w:rFonts w:hint="eastAsia"/>
          <w:u w:val="single"/>
        </w:rPr>
        <w:t>范围见</w:t>
      </w:r>
      <w:r>
        <w:rPr>
          <w:u w:val="single"/>
        </w:rPr>
        <w:t>表</w:t>
      </w:r>
      <w:r>
        <w:rPr>
          <w:rFonts w:hint="eastAsia"/>
          <w:u w:val="single"/>
        </w:rPr>
        <w:t>4.1</w:t>
      </w:r>
      <w:r>
        <w:rPr>
          <w:u w:val="single"/>
        </w:rPr>
        <w:t>-1所示，</w:t>
      </w:r>
      <w:r>
        <w:rPr>
          <w:rFonts w:hint="eastAsia"/>
          <w:u w:val="single"/>
        </w:rPr>
        <w:t>施工期悬浮沙</w:t>
      </w:r>
      <w:r>
        <w:rPr>
          <w:u w:val="single"/>
        </w:rPr>
        <w:t>最大浓度增量为</w:t>
      </w:r>
      <w:r>
        <w:rPr>
          <w:rFonts w:hint="eastAsia"/>
          <w:u w:val="single"/>
        </w:rPr>
        <w:t>1427.12</w:t>
      </w:r>
      <w:r>
        <w:rPr>
          <w:u w:val="single"/>
        </w:rPr>
        <w:t>mg/L，超一、二类水域面积为</w:t>
      </w:r>
      <w:r>
        <w:rPr>
          <w:rFonts w:hint="eastAsia"/>
          <w:u w:val="single"/>
        </w:rPr>
        <w:t>1.81</w:t>
      </w:r>
      <w:r>
        <w:rPr>
          <w:u w:val="single"/>
        </w:rPr>
        <w:t>km</w:t>
      </w:r>
      <w:r>
        <w:rPr>
          <w:u w:val="single"/>
          <w:vertAlign w:val="superscript"/>
        </w:rPr>
        <w:t>2</w:t>
      </w:r>
      <w:r>
        <w:rPr>
          <w:u w:val="single"/>
        </w:rPr>
        <w:t>，超三、四类水域面积分别为</w:t>
      </w:r>
      <w:r>
        <w:rPr>
          <w:rFonts w:hint="eastAsia"/>
          <w:u w:val="single"/>
        </w:rPr>
        <w:t>0.22</w:t>
      </w:r>
      <w:r>
        <w:rPr>
          <w:u w:val="single"/>
        </w:rPr>
        <w:t>km</w:t>
      </w:r>
      <w:r>
        <w:rPr>
          <w:u w:val="single"/>
          <w:vertAlign w:val="superscript"/>
        </w:rPr>
        <w:t>2</w:t>
      </w:r>
      <w:r>
        <w:rPr>
          <w:u w:val="single"/>
        </w:rPr>
        <w:t>、</w:t>
      </w:r>
      <w:r>
        <w:rPr>
          <w:rFonts w:hint="eastAsia"/>
          <w:u w:val="single"/>
        </w:rPr>
        <w:t>0.15</w:t>
      </w:r>
      <w:r>
        <w:rPr>
          <w:u w:val="single"/>
        </w:rPr>
        <w:t>km</w:t>
      </w:r>
      <w:r>
        <w:rPr>
          <w:u w:val="single"/>
          <w:vertAlign w:val="superscript"/>
        </w:rPr>
        <w:t>2</w:t>
      </w:r>
      <w:r>
        <w:rPr>
          <w:u w:val="single"/>
        </w:rPr>
        <w:t>；超20mg/L悬沙增量的面积为</w:t>
      </w:r>
      <w:r>
        <w:rPr>
          <w:rFonts w:hint="eastAsia"/>
          <w:u w:val="single"/>
        </w:rPr>
        <w:t>1.14</w:t>
      </w:r>
      <w:r>
        <w:rPr>
          <w:u w:val="single"/>
        </w:rPr>
        <w:t>km</w:t>
      </w:r>
      <w:r>
        <w:rPr>
          <w:u w:val="single"/>
          <w:vertAlign w:val="superscript"/>
        </w:rPr>
        <w:t>2</w:t>
      </w:r>
      <w:r>
        <w:rPr>
          <w:u w:val="single"/>
        </w:rPr>
        <w:t>；超50mg/L悬沙增量的面积为</w:t>
      </w:r>
      <w:r>
        <w:rPr>
          <w:rFonts w:hint="eastAsia"/>
          <w:u w:val="single"/>
        </w:rPr>
        <w:t>0.83</w:t>
      </w:r>
      <w:r>
        <w:rPr>
          <w:u w:val="single"/>
        </w:rPr>
        <w:t>km</w:t>
      </w:r>
      <w:r>
        <w:rPr>
          <w:u w:val="single"/>
          <w:vertAlign w:val="superscript"/>
        </w:rPr>
        <w:t>2</w:t>
      </w:r>
      <w:r>
        <w:rPr>
          <w:rFonts w:hint="eastAsia"/>
          <w:u w:val="single"/>
        </w:rPr>
        <w:t>。</w:t>
      </w:r>
    </w:p>
    <w:p w14:paraId="671C8E7F">
      <w:pPr>
        <w:ind w:firstLine="0" w:firstLineChars="0"/>
      </w:pPr>
    </w:p>
    <w:p w14:paraId="62B45580">
      <w:pPr>
        <w:pStyle w:val="8"/>
      </w:pPr>
      <w:r>
        <w:rPr>
          <w:rFonts w:hint="eastAsia"/>
        </w:rPr>
        <w:t>施工悬浮泥沙最大包络线分布图</w:t>
      </w:r>
    </w:p>
    <w:p w14:paraId="383F3251">
      <w:pPr>
        <w:pStyle w:val="7"/>
      </w:pPr>
      <w:r>
        <w:t>施工期悬浮物最高浓度增量及超标面积</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05"/>
        <w:gridCol w:w="1562"/>
        <w:gridCol w:w="2123"/>
        <w:gridCol w:w="1469"/>
        <w:gridCol w:w="1469"/>
      </w:tblGrid>
      <w:tr w14:paraId="0CB225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exact"/>
          <w:tblHeader/>
          <w:jc w:val="center"/>
        </w:trPr>
        <w:tc>
          <w:tcPr>
            <w:tcW w:w="1117" w:type="pct"/>
            <w:vAlign w:val="center"/>
          </w:tcPr>
          <w:p w14:paraId="6B7A1787">
            <w:pPr>
              <w:pStyle w:val="34"/>
            </w:pPr>
            <w:r>
              <w:t>施工环节</w:t>
            </w:r>
          </w:p>
        </w:tc>
        <w:tc>
          <w:tcPr>
            <w:tcW w:w="916" w:type="pct"/>
            <w:vAlign w:val="center"/>
          </w:tcPr>
          <w:p w14:paraId="45E58889">
            <w:pPr>
              <w:pStyle w:val="34"/>
            </w:pPr>
            <w:r>
              <w:t>最高浓度</w:t>
            </w:r>
          </w:p>
          <w:p w14:paraId="11B3B83A">
            <w:pPr>
              <w:pStyle w:val="34"/>
            </w:pPr>
            <w:r>
              <w:t>增量（mg/L）</w:t>
            </w:r>
          </w:p>
        </w:tc>
        <w:tc>
          <w:tcPr>
            <w:tcW w:w="1245" w:type="pct"/>
            <w:vAlign w:val="center"/>
          </w:tcPr>
          <w:p w14:paraId="36AF5559">
            <w:pPr>
              <w:pStyle w:val="34"/>
            </w:pPr>
            <w:r>
              <w:t>超一、二类水域</w:t>
            </w:r>
          </w:p>
          <w:p w14:paraId="7F6A0DB9">
            <w:pPr>
              <w:pStyle w:val="34"/>
            </w:pPr>
            <w:r>
              <w:t>面积（km</w:t>
            </w:r>
            <w:r>
              <w:rPr>
                <w:vertAlign w:val="superscript"/>
              </w:rPr>
              <w:t>2</w:t>
            </w:r>
            <w:r>
              <w:t>）</w:t>
            </w:r>
          </w:p>
        </w:tc>
        <w:tc>
          <w:tcPr>
            <w:tcW w:w="861" w:type="pct"/>
            <w:vAlign w:val="center"/>
          </w:tcPr>
          <w:p w14:paraId="229D5C9B">
            <w:pPr>
              <w:pStyle w:val="34"/>
            </w:pPr>
            <w:r>
              <w:t>超三类水域</w:t>
            </w:r>
          </w:p>
          <w:p w14:paraId="09F67D74">
            <w:pPr>
              <w:pStyle w:val="34"/>
            </w:pPr>
            <w:r>
              <w:t>面积（km</w:t>
            </w:r>
            <w:r>
              <w:rPr>
                <w:vertAlign w:val="superscript"/>
              </w:rPr>
              <w:t>2</w:t>
            </w:r>
            <w:r>
              <w:t>）</w:t>
            </w:r>
          </w:p>
        </w:tc>
        <w:tc>
          <w:tcPr>
            <w:tcW w:w="861" w:type="pct"/>
            <w:vAlign w:val="center"/>
          </w:tcPr>
          <w:p w14:paraId="50378822">
            <w:pPr>
              <w:pStyle w:val="34"/>
            </w:pPr>
            <w:r>
              <w:t>超四类水域</w:t>
            </w:r>
          </w:p>
          <w:p w14:paraId="7D6E54A4">
            <w:pPr>
              <w:pStyle w:val="34"/>
            </w:pPr>
            <w:r>
              <w:t>面积（km</w:t>
            </w:r>
            <w:r>
              <w:rPr>
                <w:vertAlign w:val="superscript"/>
              </w:rPr>
              <w:t>2</w:t>
            </w:r>
            <w:r>
              <w:t>）</w:t>
            </w:r>
          </w:p>
        </w:tc>
      </w:tr>
      <w:tr w14:paraId="70CAB6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7" w:type="pct"/>
            <w:vAlign w:val="center"/>
          </w:tcPr>
          <w:p w14:paraId="2943EE70">
            <w:pPr>
              <w:pStyle w:val="34"/>
            </w:pPr>
            <w:bookmarkStart w:id="427" w:name="_Hlk197977989"/>
            <w:r>
              <w:t>疏浚</w:t>
            </w:r>
          </w:p>
        </w:tc>
        <w:tc>
          <w:tcPr>
            <w:tcW w:w="916" w:type="pct"/>
            <w:vAlign w:val="center"/>
          </w:tcPr>
          <w:p w14:paraId="2E1F178E">
            <w:pPr>
              <w:pStyle w:val="34"/>
            </w:pPr>
            <w:r>
              <w:rPr>
                <w:rFonts w:hint="eastAsia"/>
              </w:rPr>
              <w:t>243.2</w:t>
            </w:r>
          </w:p>
        </w:tc>
        <w:tc>
          <w:tcPr>
            <w:tcW w:w="1245" w:type="pct"/>
            <w:vAlign w:val="center"/>
          </w:tcPr>
          <w:p w14:paraId="79D76665">
            <w:pPr>
              <w:pStyle w:val="34"/>
            </w:pPr>
            <w:r>
              <w:rPr>
                <w:rFonts w:hint="eastAsia"/>
              </w:rPr>
              <w:t>1.81</w:t>
            </w:r>
          </w:p>
        </w:tc>
        <w:tc>
          <w:tcPr>
            <w:tcW w:w="861" w:type="pct"/>
            <w:vAlign w:val="center"/>
          </w:tcPr>
          <w:p w14:paraId="5780194A">
            <w:pPr>
              <w:pStyle w:val="34"/>
              <w:rPr>
                <w:rFonts w:eastAsiaTheme="minorEastAsia"/>
                <w:szCs w:val="21"/>
              </w:rPr>
            </w:pPr>
            <w:r>
              <w:rPr>
                <w:rFonts w:hint="eastAsia" w:eastAsiaTheme="minorEastAsia"/>
                <w:szCs w:val="21"/>
              </w:rPr>
              <w:t>0.22</w:t>
            </w:r>
          </w:p>
        </w:tc>
        <w:tc>
          <w:tcPr>
            <w:tcW w:w="861" w:type="pct"/>
            <w:vAlign w:val="center"/>
          </w:tcPr>
          <w:p w14:paraId="68571B99">
            <w:pPr>
              <w:pStyle w:val="34"/>
            </w:pPr>
            <w:r>
              <w:rPr>
                <w:rFonts w:hint="eastAsia"/>
              </w:rPr>
              <w:t>0.15</w:t>
            </w:r>
          </w:p>
        </w:tc>
      </w:tr>
      <w:bookmarkEnd w:id="427"/>
      <w:tr w14:paraId="694C49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7" w:type="pct"/>
            <w:vAlign w:val="center"/>
          </w:tcPr>
          <w:p w14:paraId="2BB96834">
            <w:pPr>
              <w:pStyle w:val="34"/>
            </w:pPr>
            <w:r>
              <w:t>炸礁</w:t>
            </w:r>
          </w:p>
        </w:tc>
        <w:tc>
          <w:tcPr>
            <w:tcW w:w="916" w:type="pct"/>
            <w:vAlign w:val="center"/>
          </w:tcPr>
          <w:p w14:paraId="02DF5B80">
            <w:pPr>
              <w:pStyle w:val="34"/>
            </w:pPr>
            <w:bookmarkStart w:id="428" w:name="OLE_LINK122"/>
            <w:r>
              <w:rPr>
                <w:rFonts w:hint="eastAsia"/>
              </w:rPr>
              <w:t>1427.12</w:t>
            </w:r>
            <w:bookmarkEnd w:id="428"/>
          </w:p>
        </w:tc>
        <w:tc>
          <w:tcPr>
            <w:tcW w:w="1245" w:type="pct"/>
            <w:vAlign w:val="center"/>
          </w:tcPr>
          <w:p w14:paraId="4DC5F15A">
            <w:pPr>
              <w:pStyle w:val="34"/>
            </w:pPr>
            <w:r>
              <w:rPr>
                <w:rFonts w:hint="eastAsia"/>
              </w:rPr>
              <w:t>0.98</w:t>
            </w:r>
          </w:p>
        </w:tc>
        <w:tc>
          <w:tcPr>
            <w:tcW w:w="861" w:type="pct"/>
            <w:vAlign w:val="center"/>
          </w:tcPr>
          <w:p w14:paraId="3DC8D7D9">
            <w:pPr>
              <w:pStyle w:val="34"/>
              <w:rPr>
                <w:rFonts w:eastAsiaTheme="minorEastAsia"/>
                <w:szCs w:val="21"/>
              </w:rPr>
            </w:pPr>
            <w:r>
              <w:rPr>
                <w:rFonts w:hint="eastAsia" w:eastAsiaTheme="minorEastAsia"/>
                <w:szCs w:val="21"/>
              </w:rPr>
              <w:t>0</w:t>
            </w:r>
            <w:r>
              <w:rPr>
                <w:rFonts w:eastAsiaTheme="minorEastAsia"/>
                <w:szCs w:val="21"/>
              </w:rPr>
              <w:t>.</w:t>
            </w:r>
            <w:r>
              <w:rPr>
                <w:rFonts w:hint="eastAsia" w:eastAsiaTheme="minorEastAsia"/>
                <w:szCs w:val="21"/>
              </w:rPr>
              <w:t>12</w:t>
            </w:r>
          </w:p>
        </w:tc>
        <w:tc>
          <w:tcPr>
            <w:tcW w:w="861" w:type="pct"/>
            <w:vAlign w:val="center"/>
          </w:tcPr>
          <w:p w14:paraId="5D0D7B9E">
            <w:pPr>
              <w:pStyle w:val="34"/>
            </w:pPr>
            <w:r>
              <w:rPr>
                <w:rFonts w:hint="eastAsia"/>
              </w:rPr>
              <w:t>0</w:t>
            </w:r>
            <w:r>
              <w:t>.</w:t>
            </w:r>
            <w:r>
              <w:rPr>
                <w:rFonts w:hint="eastAsia"/>
              </w:rPr>
              <w:t>08</w:t>
            </w:r>
          </w:p>
        </w:tc>
      </w:tr>
      <w:tr w14:paraId="262ECC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7" w:type="pct"/>
            <w:vAlign w:val="center"/>
          </w:tcPr>
          <w:p w14:paraId="2EB7D214">
            <w:pPr>
              <w:pStyle w:val="34"/>
            </w:pPr>
            <w:r>
              <w:rPr>
                <w:rFonts w:hint="eastAsia"/>
              </w:rPr>
              <w:t>溢流口</w:t>
            </w:r>
          </w:p>
        </w:tc>
        <w:tc>
          <w:tcPr>
            <w:tcW w:w="916" w:type="pct"/>
            <w:vAlign w:val="center"/>
          </w:tcPr>
          <w:p w14:paraId="5D03213B">
            <w:pPr>
              <w:pStyle w:val="34"/>
            </w:pPr>
            <w:r>
              <w:rPr>
                <w:rFonts w:hint="eastAsia"/>
              </w:rPr>
              <w:t>148.9</w:t>
            </w:r>
          </w:p>
        </w:tc>
        <w:tc>
          <w:tcPr>
            <w:tcW w:w="1245" w:type="pct"/>
            <w:vAlign w:val="center"/>
          </w:tcPr>
          <w:p w14:paraId="5C1EB7B6">
            <w:pPr>
              <w:pStyle w:val="34"/>
            </w:pPr>
            <w:r>
              <w:rPr>
                <w:rFonts w:hint="eastAsia"/>
              </w:rPr>
              <w:t>0.02</w:t>
            </w:r>
          </w:p>
        </w:tc>
        <w:tc>
          <w:tcPr>
            <w:tcW w:w="861" w:type="pct"/>
            <w:vAlign w:val="center"/>
          </w:tcPr>
          <w:p w14:paraId="217AB4CF">
            <w:pPr>
              <w:pStyle w:val="34"/>
              <w:rPr>
                <w:rFonts w:eastAsiaTheme="minorEastAsia"/>
                <w:szCs w:val="21"/>
              </w:rPr>
            </w:pPr>
            <w:r>
              <w:rPr>
                <w:rFonts w:hint="eastAsia" w:eastAsiaTheme="minorEastAsia"/>
                <w:szCs w:val="21"/>
              </w:rPr>
              <w:t>0.003</w:t>
            </w:r>
          </w:p>
        </w:tc>
        <w:tc>
          <w:tcPr>
            <w:tcW w:w="861" w:type="pct"/>
            <w:vAlign w:val="center"/>
          </w:tcPr>
          <w:p w14:paraId="7B772E0E">
            <w:pPr>
              <w:pStyle w:val="34"/>
            </w:pPr>
            <w:r>
              <w:rPr>
                <w:rFonts w:hint="eastAsia"/>
              </w:rPr>
              <w:t>0.001</w:t>
            </w:r>
          </w:p>
        </w:tc>
      </w:tr>
      <w:tr w14:paraId="14DDAB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7" w:type="pct"/>
            <w:vAlign w:val="center"/>
          </w:tcPr>
          <w:p w14:paraId="16E6355F">
            <w:pPr>
              <w:pStyle w:val="34"/>
            </w:pPr>
            <w:r>
              <w:t>综合最大包络线</w:t>
            </w:r>
          </w:p>
        </w:tc>
        <w:tc>
          <w:tcPr>
            <w:tcW w:w="916" w:type="pct"/>
            <w:vAlign w:val="center"/>
          </w:tcPr>
          <w:p w14:paraId="189A3B1B">
            <w:pPr>
              <w:pStyle w:val="34"/>
            </w:pPr>
            <w:r>
              <w:rPr>
                <w:rFonts w:hint="eastAsia"/>
              </w:rPr>
              <w:t>1427.12</w:t>
            </w:r>
          </w:p>
        </w:tc>
        <w:tc>
          <w:tcPr>
            <w:tcW w:w="1245" w:type="pct"/>
            <w:vAlign w:val="center"/>
          </w:tcPr>
          <w:p w14:paraId="6FDA3A1F">
            <w:pPr>
              <w:pStyle w:val="34"/>
            </w:pPr>
            <w:r>
              <w:rPr>
                <w:rFonts w:hint="eastAsia"/>
              </w:rPr>
              <w:t>1.81</w:t>
            </w:r>
          </w:p>
        </w:tc>
        <w:tc>
          <w:tcPr>
            <w:tcW w:w="861" w:type="pct"/>
            <w:vAlign w:val="center"/>
          </w:tcPr>
          <w:p w14:paraId="21F4A3C3">
            <w:pPr>
              <w:pStyle w:val="34"/>
              <w:rPr>
                <w:rFonts w:eastAsiaTheme="minorEastAsia"/>
                <w:szCs w:val="21"/>
              </w:rPr>
            </w:pPr>
            <w:r>
              <w:rPr>
                <w:rFonts w:hint="eastAsia" w:eastAsiaTheme="minorEastAsia"/>
                <w:szCs w:val="21"/>
              </w:rPr>
              <w:t>0.22</w:t>
            </w:r>
          </w:p>
        </w:tc>
        <w:tc>
          <w:tcPr>
            <w:tcW w:w="861" w:type="pct"/>
            <w:vAlign w:val="center"/>
          </w:tcPr>
          <w:p w14:paraId="413B23EA">
            <w:pPr>
              <w:pStyle w:val="34"/>
            </w:pPr>
            <w:r>
              <w:rPr>
                <w:rFonts w:hint="eastAsia"/>
              </w:rPr>
              <w:t>0.15</w:t>
            </w:r>
          </w:p>
        </w:tc>
      </w:tr>
    </w:tbl>
    <w:p w14:paraId="16F8639A">
      <w:pPr>
        <w:ind w:firstLine="439"/>
        <w:rPr>
          <w:b/>
          <w:bCs/>
          <w:snapToGrid w:val="0"/>
        </w:rPr>
      </w:pPr>
      <w:r>
        <w:rPr>
          <w:rFonts w:hint="eastAsia"/>
          <w:b/>
          <w:bCs/>
          <w:snapToGrid w:val="0"/>
        </w:rPr>
        <w:t>4</w:t>
      </w:r>
      <w:r>
        <w:rPr>
          <w:b/>
          <w:bCs/>
          <w:snapToGrid w:val="0"/>
        </w:rPr>
        <w:t>、影响分析</w:t>
      </w:r>
    </w:p>
    <w:p w14:paraId="5211B5CE">
      <w:pPr>
        <w:ind w:firstLine="437"/>
        <w:rPr>
          <w:bCs/>
        </w:rPr>
      </w:pPr>
      <w:r>
        <w:rPr>
          <w:bCs/>
        </w:rPr>
        <w:t>项目</w:t>
      </w:r>
      <w:r>
        <w:rPr>
          <w:rFonts w:hint="eastAsia"/>
          <w:bCs/>
        </w:rPr>
        <w:t>疏浚和炸礁区域大多位于凹入式海域内，水动力条件较差，有利于悬砂尽快沉降</w:t>
      </w:r>
      <w:r>
        <w:rPr>
          <w:bCs/>
        </w:rPr>
        <w:t>；</w:t>
      </w:r>
      <w:r>
        <w:rPr>
          <w:rFonts w:hint="eastAsia"/>
          <w:bCs/>
        </w:rPr>
        <w:t>溢流口</w:t>
      </w:r>
      <w:r>
        <w:rPr>
          <w:bCs/>
        </w:rPr>
        <w:t>位置虽在近岸，但源强小，悬沙扩散影响范围不大。施工期，项目产生的悬浮泥沙扩散范围主要沿</w:t>
      </w:r>
      <w:bookmarkStart w:id="429" w:name="_Hlk183504295"/>
      <w:r>
        <w:rPr>
          <w:bCs/>
        </w:rPr>
        <w:t>N</w:t>
      </w:r>
      <w:r>
        <w:rPr>
          <w:rFonts w:hint="eastAsia"/>
          <w:bCs/>
        </w:rPr>
        <w:t>W</w:t>
      </w:r>
      <w:r>
        <w:rPr>
          <w:bCs/>
        </w:rPr>
        <w:t>-S</w:t>
      </w:r>
      <w:r>
        <w:rPr>
          <w:rFonts w:hint="eastAsia"/>
          <w:bCs/>
        </w:rPr>
        <w:t>E</w:t>
      </w:r>
      <w:bookmarkEnd w:id="429"/>
      <w:r>
        <w:rPr>
          <w:bCs/>
        </w:rPr>
        <w:t>轴线分布，与潮流主流向相关。</w:t>
      </w:r>
      <w:r>
        <w:rPr>
          <w:rFonts w:hint="eastAsia"/>
          <w:bCs/>
        </w:rPr>
        <w:t>悬沙主要分布在工程区域1.0</w:t>
      </w:r>
      <w:r>
        <w:rPr>
          <w:bCs/>
        </w:rPr>
        <w:t>km</w:t>
      </w:r>
      <w:r>
        <w:rPr>
          <w:rFonts w:hint="eastAsia"/>
          <w:bCs/>
        </w:rPr>
        <w:t>范围内。</w:t>
      </w:r>
    </w:p>
    <w:p w14:paraId="044B3A40">
      <w:pPr>
        <w:ind w:firstLine="437"/>
      </w:pPr>
      <w:r>
        <w:t>综上，项目施工期悬沙对距离工程区域</w:t>
      </w:r>
      <w:r>
        <w:rPr>
          <w:rFonts w:hint="eastAsia"/>
        </w:rPr>
        <w:t>1.0km范围内的水域水质产生影响，</w:t>
      </w:r>
      <w:r>
        <w:t>不会</w:t>
      </w:r>
      <w:r>
        <w:rPr>
          <w:rFonts w:hint="eastAsia"/>
        </w:rPr>
        <w:t>对评价区域内的敏感目标造成明显影响。施工期</w:t>
      </w:r>
      <w:r>
        <w:t>开展悬沙跟踪监测，发现悬沙浓度异常，应立即停止施工，对施工造成的海洋生态损失应当给予一定的赔偿。</w:t>
      </w:r>
    </w:p>
    <w:p w14:paraId="5CAEAC02">
      <w:pPr>
        <w:pStyle w:val="6"/>
      </w:pPr>
      <w:r>
        <w:t>地形地貌与冲淤环境影响预测分析</w:t>
      </w:r>
    </w:p>
    <w:p w14:paraId="3409C2B6">
      <w:pPr>
        <w:ind w:firstLine="439"/>
        <w:rPr>
          <w:b/>
          <w:bCs/>
        </w:rPr>
      </w:pPr>
      <w:r>
        <w:rPr>
          <w:rFonts w:hint="eastAsia"/>
          <w:b/>
          <w:bCs/>
        </w:rPr>
        <w:t>1</w:t>
      </w:r>
      <w:r>
        <w:rPr>
          <w:b/>
          <w:bCs/>
        </w:rPr>
        <w:t>、地形地貌冲於预测模式</w:t>
      </w:r>
    </w:p>
    <w:p w14:paraId="757F8EDD">
      <w:pPr>
        <w:ind w:firstLine="437"/>
        <w:rPr>
          <w:b/>
          <w:bCs/>
        </w:rPr>
      </w:pPr>
      <w:r>
        <w:t>床面冲淤变化方程：</w:t>
      </w:r>
    </w:p>
    <w:p w14:paraId="3998B0D1">
      <w:pPr>
        <w:ind w:firstLine="199" w:firstLineChars="91"/>
        <w:jc w:val="center"/>
        <w:rPr>
          <w:b/>
          <w:bCs/>
        </w:rPr>
      </w:pPr>
      <w:r>
        <w:rPr>
          <w:position w:val="-26"/>
        </w:rPr>
        <w:object>
          <v:shape id="_x0000_i1031" o:spt="75" type="#_x0000_t75" style="height:33.7pt;width:413.75pt;" o:ole="t" filled="f" o:preferrelative="t" stroked="f" coordsize="21600,21600">
            <v:path/>
            <v:fill on="f" focussize="0,0"/>
            <v:stroke on="f" joinstyle="miter"/>
            <v:imagedata r:id="rId97" o:title=""/>
            <o:lock v:ext="edit" aspectratio="t"/>
            <w10:wrap type="none"/>
            <w10:anchorlock/>
          </v:shape>
          <o:OLEObject Type="Embed" ProgID="Equation.3" ShapeID="_x0000_i1031" DrawAspect="Content" ObjectID="_1468075731" r:id="rId96">
            <o:LockedField>false</o:LockedField>
          </o:OLEObject>
        </w:object>
      </w:r>
    </w:p>
    <w:p w14:paraId="31C41792">
      <w:pPr>
        <w:ind w:firstLine="437"/>
        <w:rPr>
          <w:b/>
          <w:bCs/>
        </w:rPr>
      </w:pPr>
      <w:r>
        <w:t>式中：</w:t>
      </w:r>
    </w:p>
    <w:p w14:paraId="4AC9071E">
      <w:pPr>
        <w:ind w:firstLine="437"/>
        <w:rPr>
          <w:b/>
          <w:bCs/>
        </w:rPr>
      </w:pPr>
      <w:r>
        <w:rPr>
          <w:position w:val="-6"/>
        </w:rPr>
        <w:object>
          <v:shape id="_x0000_i1032" o:spt="75" type="#_x0000_t75" style="height:10.05pt;width:19.15pt;" o:ole="t" filled="f" o:preferrelative="t" stroked="f" coordsize="21600,21600">
            <v:path/>
            <v:fill on="f" focussize="0,0"/>
            <v:stroke on="f" joinstyle="miter"/>
            <v:imagedata r:id="rId99" o:title=""/>
            <o:lock v:ext="edit" aspectratio="t"/>
            <w10:wrap type="none"/>
            <w10:anchorlock/>
          </v:shape>
          <o:OLEObject Type="Embed" ProgID="Equation.3" ShapeID="_x0000_i1032" DrawAspect="Content" ObjectID="_1468075732" r:id="rId98">
            <o:LockedField>false</o:LockedField>
          </o:OLEObject>
        </w:object>
      </w:r>
      <w:r>
        <w:t>——冲淤厚度（m）；</w:t>
      </w:r>
    </w:p>
    <w:p w14:paraId="1D22E3E4">
      <w:pPr>
        <w:ind w:firstLine="437"/>
        <w:rPr>
          <w:b/>
          <w:bCs/>
        </w:rPr>
      </w:pPr>
      <w:r>
        <w:rPr>
          <w:position w:val="-12"/>
        </w:rPr>
        <w:object>
          <v:shape id="_x0000_i1033" o:spt="75" type="#_x0000_t75" style="height:19.15pt;width:10.05pt;" o:ole="t" filled="f" o:preferrelative="t" stroked="f" coordsize="21600,21600">
            <v:path/>
            <v:fill on="f" focussize="0,0"/>
            <v:stroke on="f" joinstyle="miter"/>
            <v:imagedata r:id="rId101" o:title=""/>
            <o:lock v:ext="edit" aspectratio="t"/>
            <w10:wrap type="none"/>
            <w10:anchorlock/>
          </v:shape>
          <o:OLEObject Type="Embed" ProgID="Equation.3" ShapeID="_x0000_i1033" DrawAspect="Content" ObjectID="_1468075733" r:id="rId100">
            <o:LockedField>false</o:LockedField>
          </o:OLEObject>
        </w:object>
      </w:r>
      <w:r>
        <w:t>——</w:t>
      </w:r>
      <w:r>
        <w:rPr>
          <w:position w:val="-6"/>
        </w:rPr>
        <w:object>
          <v:shape id="_x0000_i1034" o:spt="75" type="#_x0000_t75" style="height:10.05pt;width:5.45pt;" o:ole="t" filled="f" o:preferrelative="t" stroked="f" coordsize="21600,21600">
            <v:path/>
            <v:fill on="f" focussize="0,0"/>
            <v:stroke on="f" joinstyle="miter"/>
            <v:imagedata r:id="rId103" o:title=""/>
            <o:lock v:ext="edit" aspectratio="t"/>
            <w10:wrap type="none"/>
            <w10:anchorlock/>
          </v:shape>
          <o:OLEObject Type="Embed" ProgID="Equation.3" ShapeID="_x0000_i1034" DrawAspect="Content" ObjectID="_1468075734" r:id="rId102">
            <o:LockedField>false</o:LockedField>
          </o:OLEObject>
        </w:object>
      </w:r>
      <w:r>
        <w:t>向底沙单宽输沙率（kg/（m</w:t>
      </w:r>
      <w:r>
        <w:rPr>
          <w:vertAlign w:val="superscript"/>
        </w:rPr>
        <w:t>2</w:t>
      </w:r>
      <w:r>
        <w:t>·s））；</w:t>
      </w:r>
    </w:p>
    <w:p w14:paraId="5E8D5B12">
      <w:pPr>
        <w:ind w:firstLine="423" w:firstLineChars="193"/>
        <w:rPr>
          <w:b/>
          <w:bCs/>
        </w:rPr>
      </w:pPr>
      <w:r>
        <w:rPr>
          <w:position w:val="-14"/>
        </w:rPr>
        <w:object>
          <v:shape id="_x0000_i1035" o:spt="75" type="#_x0000_t75" style="height:19.15pt;width:10.05pt;" o:ole="t" filled="f" o:preferrelative="t" stroked="f" coordsize="21600,21600">
            <v:path/>
            <v:fill on="f" focussize="0,0"/>
            <v:stroke on="f" joinstyle="miter"/>
            <v:imagedata r:id="rId105" o:title=""/>
            <o:lock v:ext="edit" aspectratio="t"/>
            <w10:wrap type="none"/>
            <w10:anchorlock/>
          </v:shape>
          <o:OLEObject Type="Embed" ProgID="Equation.3" ShapeID="_x0000_i1035" DrawAspect="Content" ObjectID="_1468075735" r:id="rId104">
            <o:LockedField>false</o:LockedField>
          </o:OLEObject>
        </w:object>
      </w:r>
      <w:r>
        <w:t>——</w:t>
      </w:r>
      <w:r>
        <w:rPr>
          <w:position w:val="-10"/>
        </w:rPr>
        <w:object>
          <v:shape id="_x0000_i1036" o:spt="75" type="#_x0000_t75" style="height:10.05pt;width:10.05pt;" o:ole="t" filled="f" o:preferrelative="t" stroked="f" coordsize="21600,21600">
            <v:path/>
            <v:fill on="f" focussize="0,0"/>
            <v:stroke on="f" joinstyle="miter"/>
            <v:imagedata r:id="rId107" o:title=""/>
            <o:lock v:ext="edit" aspectratio="t"/>
            <w10:wrap type="none"/>
            <w10:anchorlock/>
          </v:shape>
          <o:OLEObject Type="Embed" ProgID="Equation.3" ShapeID="_x0000_i1036" DrawAspect="Content" ObjectID="_1468075736" r:id="rId106">
            <o:LockedField>false</o:LockedField>
          </o:OLEObject>
        </w:object>
      </w:r>
      <w:r>
        <w:t>向底沙单宽输沙率（kg/（m</w:t>
      </w:r>
      <w:r>
        <w:rPr>
          <w:vertAlign w:val="superscript"/>
        </w:rPr>
        <w:t>2</w:t>
      </w:r>
      <w:r>
        <w:t>·s））；</w:t>
      </w:r>
    </w:p>
    <w:p w14:paraId="4126F6B3">
      <w:pPr>
        <w:ind w:firstLine="437"/>
        <w:rPr>
          <w:b/>
          <w:bCs/>
        </w:rPr>
      </w:pPr>
      <w:r>
        <w:object>
          <v:shape id="_x0000_i1037" o:spt="75" type="#_x0000_t75" style="height:19.15pt;width:10.05pt;" o:ole="t" filled="f" o:preferrelative="t" stroked="f" coordsize="21600,21600">
            <v:path/>
            <v:fill on="f" focussize="0,0"/>
            <v:stroke on="f" joinstyle="miter"/>
            <v:imagedata r:id="rId109" o:title=""/>
            <o:lock v:ext="edit" aspectratio="t"/>
            <w10:wrap type="none"/>
            <w10:anchorlock/>
          </v:shape>
          <o:OLEObject Type="Embed" ProgID="Equation.3" ShapeID="_x0000_i1037" DrawAspect="Content" ObjectID="_1468075737" r:id="rId108">
            <o:LockedField>false</o:LockedField>
          </o:OLEObject>
        </w:object>
      </w:r>
      <w:r>
        <w:t>——底沙干容重（kg/m</w:t>
      </w:r>
      <w:r>
        <w:rPr>
          <w:vertAlign w:val="superscript"/>
        </w:rPr>
        <w:t>3</w:t>
      </w:r>
      <w:r>
        <w:t>）。</w:t>
      </w:r>
    </w:p>
    <w:p w14:paraId="0ED2F5E4">
      <w:pPr>
        <w:ind w:firstLine="437"/>
        <w:rPr>
          <w:b/>
          <w:bCs/>
        </w:rPr>
      </w:pPr>
      <w:r>
        <w:t>泥沙数学模型需确定的主要有床面切应力、颗粒沉速、淤积物干容重及冲淤项相关参数等，详述如下：</w:t>
      </w:r>
    </w:p>
    <w:p w14:paraId="4E2FDC88">
      <w:pPr>
        <w:ind w:firstLine="437"/>
        <w:rPr>
          <w:b/>
          <w:bCs/>
        </w:rPr>
      </w:pPr>
      <w:r>
        <w:rPr>
          <w:rFonts w:hint="eastAsia"/>
        </w:rPr>
        <w:t>①</w:t>
      </w:r>
      <w:r>
        <w:t>床面切应力</w:t>
      </w:r>
    </w:p>
    <w:p w14:paraId="1D2C29CC">
      <w:pPr>
        <w:ind w:firstLine="437"/>
        <w:rPr>
          <w:b/>
          <w:bCs/>
        </w:rPr>
      </w:pPr>
      <w:r>
        <w:t>波浪潮流联合作用下的床面切应力使用下式计算：</w:t>
      </w:r>
    </w:p>
    <w:p w14:paraId="424C2929">
      <w:pPr>
        <w:ind w:firstLine="557"/>
        <w:jc w:val="center"/>
        <w:rPr>
          <w:b/>
          <w:bCs/>
        </w:rPr>
      </w:pPr>
      <w:r>
        <w:rPr>
          <w:position w:val="-24"/>
          <w:sz w:val="30"/>
          <w:szCs w:val="30"/>
        </w:rPr>
        <w:object>
          <v:shape id="_x0000_i1038" o:spt="75" type="#_x0000_t75" style="height:36.45pt;width:195.95pt;" o:ole="t" filled="f" o:preferrelative="t" stroked="f" coordsize="21600,21600">
            <v:path/>
            <v:fill on="f" focussize="0,0"/>
            <v:stroke on="f" joinstyle="miter"/>
            <v:imagedata r:id="rId111" o:title=""/>
            <o:lock v:ext="edit" aspectratio="t"/>
            <w10:wrap type="none"/>
            <w10:anchorlock/>
          </v:shape>
          <o:OLEObject Type="Embed" ProgID="Equation.DSMT4" ShapeID="_x0000_i1038" DrawAspect="Content" ObjectID="_1468075738" r:id="rId110">
            <o:LockedField>false</o:LockedField>
          </o:OLEObject>
        </w:object>
      </w:r>
    </w:p>
    <w:p w14:paraId="7ED3F09E">
      <w:pPr>
        <w:ind w:firstLine="437"/>
        <w:rPr>
          <w:b/>
          <w:bCs/>
        </w:rPr>
      </w:pPr>
      <w:r>
        <w:t>式中：</w:t>
      </w:r>
      <w:r>
        <w:rPr>
          <w:i/>
        </w:rPr>
        <w:t>ρ</w:t>
      </w:r>
      <w:r>
        <w:rPr>
          <w:i/>
          <w:vertAlign w:val="subscript"/>
        </w:rPr>
        <w:t>w</w:t>
      </w:r>
      <w:r>
        <w:t>为水体密度，</w:t>
      </w:r>
      <w:r>
        <w:rPr>
          <w:i/>
        </w:rPr>
        <w:t>U</w:t>
      </w:r>
      <w:r>
        <w:rPr>
          <w:i/>
          <w:vertAlign w:val="subscript"/>
        </w:rPr>
        <w:t>b</w:t>
      </w:r>
      <w:r>
        <w:t>为波浪水质点在床底的水平轨道速度；</w:t>
      </w:r>
      <w:r>
        <w:rPr>
          <w:i/>
        </w:rPr>
        <w:t>U</w:t>
      </w:r>
      <w:r>
        <w:rPr>
          <w:i/>
          <w:vertAlign w:val="subscript"/>
        </w:rPr>
        <w:t>δ</w:t>
      </w:r>
      <w:r>
        <w:t>为波浪边界层顶部的流速；</w:t>
      </w:r>
      <w:r>
        <w:rPr>
          <w:i/>
        </w:rPr>
        <w:t xml:space="preserve">β </w:t>
      </w:r>
      <w:r>
        <w:t>为流向与波向的夹角；</w:t>
      </w:r>
      <w:r>
        <w:rPr>
          <w:i/>
        </w:rPr>
        <w:t>f</w:t>
      </w:r>
      <w:r>
        <w:rPr>
          <w:i/>
          <w:vertAlign w:val="subscript"/>
        </w:rPr>
        <w:t>w</w:t>
      </w:r>
      <w:r>
        <w:t>为波浪底摩阻系数，按下式估算：</w:t>
      </w:r>
    </w:p>
    <w:p w14:paraId="23C2DEBA">
      <w:pPr>
        <w:ind w:firstLine="437"/>
        <w:jc w:val="center"/>
        <w:rPr>
          <w:b/>
          <w:bCs/>
        </w:rPr>
      </w:pPr>
      <w:r>
        <w:rPr>
          <w:position w:val="-38"/>
        </w:rPr>
        <w:object>
          <v:shape id="_x0000_i1039" o:spt="75" type="#_x0000_t75" style="height:41.9pt;width:162.25pt;" o:ole="t" filled="f" o:preferrelative="t" stroked="f" coordsize="21600,21600">
            <v:path/>
            <v:fill on="f" focussize="0,0"/>
            <v:stroke on="f" joinstyle="miter"/>
            <v:imagedata r:id="rId113" o:title=""/>
            <o:lock v:ext="edit" aspectratio="t"/>
            <w10:wrap type="none"/>
            <w10:anchorlock/>
          </v:shape>
          <o:OLEObject Type="Embed" ProgID="Equation.DSMT4" ShapeID="_x0000_i1039" DrawAspect="Content" ObjectID="_1468075739" r:id="rId112">
            <o:LockedField>false</o:LockedField>
          </o:OLEObject>
        </w:object>
      </w:r>
    </w:p>
    <w:p w14:paraId="05E74CD5">
      <w:pPr>
        <w:ind w:firstLine="437"/>
        <w:rPr>
          <w:b/>
          <w:bCs/>
        </w:rPr>
      </w:pPr>
      <w:r>
        <w:t>式中，</w:t>
      </w:r>
      <w:r>
        <w:rPr>
          <w:i/>
        </w:rPr>
        <w:t xml:space="preserve">a </w:t>
      </w:r>
      <w:r>
        <w:t>为波浪水质点在床底的平均振幅；</w:t>
      </w:r>
      <w:r>
        <w:rPr>
          <w:i/>
        </w:rPr>
        <w:t>k</w:t>
      </w:r>
      <w:r>
        <w:rPr>
          <w:i/>
          <w:vertAlign w:val="subscript"/>
        </w:rPr>
        <w:t>b</w:t>
      </w:r>
      <w:r>
        <w:t>为粗糙高度。</w:t>
      </w:r>
    </w:p>
    <w:p w14:paraId="157B30E4">
      <w:pPr>
        <w:ind w:firstLine="437"/>
        <w:rPr>
          <w:b/>
          <w:bCs/>
        </w:rPr>
      </w:pPr>
      <w:r>
        <w:rPr>
          <w:rFonts w:hint="eastAsia"/>
        </w:rPr>
        <w:t>②</w:t>
      </w:r>
      <w:r>
        <w:t>泥沙颗粒沉速：</w:t>
      </w:r>
    </w:p>
    <w:p w14:paraId="320F666F">
      <w:pPr>
        <w:autoSpaceDE w:val="0"/>
        <w:autoSpaceDN w:val="0"/>
        <w:ind w:firstLine="437"/>
        <w:jc w:val="left"/>
        <w:rPr>
          <w:kern w:val="0"/>
        </w:rPr>
      </w:pPr>
      <w:r>
        <w:rPr>
          <w:kern w:val="0"/>
        </w:rPr>
        <w:t>海水中细颗粒泥沙的沉降速度决定于其絮凝当量的大小。试验表明，当量粒径一般约为0.015</w:t>
      </w:r>
      <w:r>
        <w:rPr>
          <w:rFonts w:ascii="Cambria Math" w:hAnsi="Cambria Math" w:cs="Cambria Math"/>
          <w:kern w:val="0"/>
        </w:rPr>
        <w:t>∼</w:t>
      </w:r>
      <w:r>
        <w:rPr>
          <w:kern w:val="0"/>
        </w:rPr>
        <w:t>0.03</w:t>
      </w:r>
      <w:r>
        <w:rPr>
          <w:i/>
          <w:kern w:val="0"/>
        </w:rPr>
        <w:t>mm</w:t>
      </w:r>
      <w:r>
        <w:rPr>
          <w:kern w:val="0"/>
        </w:rPr>
        <w:t>，其相应沉降速度为0.01</w:t>
      </w:r>
      <w:r>
        <w:rPr>
          <w:rFonts w:ascii="Cambria Math" w:hAnsi="Cambria Math" w:cs="Cambria Math"/>
          <w:kern w:val="0"/>
        </w:rPr>
        <w:t>∼</w:t>
      </w:r>
      <w:r>
        <w:rPr>
          <w:kern w:val="0"/>
        </w:rPr>
        <w:t>0.06</w:t>
      </w:r>
      <w:r>
        <w:rPr>
          <w:i/>
        </w:rPr>
        <w:t xml:space="preserve"> </w:t>
      </w:r>
      <w:r>
        <w:rPr>
          <w:i/>
          <w:kern w:val="0"/>
        </w:rPr>
        <w:t>mm</w:t>
      </w:r>
      <w:r>
        <w:rPr>
          <w:kern w:val="0"/>
        </w:rPr>
        <w:t>，本文取其0.06cm/s。</w:t>
      </w:r>
    </w:p>
    <w:p w14:paraId="13D96E5E">
      <w:pPr>
        <w:autoSpaceDE w:val="0"/>
        <w:autoSpaceDN w:val="0"/>
        <w:ind w:firstLine="437"/>
        <w:jc w:val="left"/>
        <w:rPr>
          <w:kern w:val="0"/>
        </w:rPr>
      </w:pPr>
      <w:r>
        <w:rPr>
          <w:rFonts w:hint="eastAsia" w:ascii="宋体" w:hAnsi="宋体" w:cs="宋体"/>
          <w:kern w:val="0"/>
        </w:rPr>
        <w:t>③</w:t>
      </w:r>
      <w:r>
        <w:rPr>
          <w:kern w:val="0"/>
        </w:rPr>
        <w:t>淤积物干容重</w:t>
      </w:r>
    </w:p>
    <w:p w14:paraId="176BCEEA">
      <w:pPr>
        <w:autoSpaceDE w:val="0"/>
        <w:autoSpaceDN w:val="0"/>
        <w:ind w:firstLine="437"/>
        <w:rPr>
          <w:kern w:val="0"/>
        </w:rPr>
      </w:pPr>
      <w:r>
        <w:rPr>
          <w:kern w:val="0"/>
        </w:rPr>
        <w:t>按照我国《海港水文规范》推荐算法，淤积物的干容重可按下式计算</w:t>
      </w:r>
      <w:r>
        <w:rPr>
          <w:i/>
          <w:kern w:val="0"/>
        </w:rPr>
        <w:t>r</w:t>
      </w:r>
      <w:r>
        <w:rPr>
          <w:kern w:val="0"/>
          <w:vertAlign w:val="subscript"/>
        </w:rPr>
        <w:t xml:space="preserve">0 </w:t>
      </w:r>
      <w:r>
        <w:rPr>
          <w:kern w:val="0"/>
        </w:rPr>
        <w:t>= 1750</w:t>
      </w:r>
      <w:r>
        <w:rPr>
          <w:i/>
          <w:kern w:val="0"/>
        </w:rPr>
        <w:t>D</w:t>
      </w:r>
      <w:r>
        <w:rPr>
          <w:i/>
          <w:kern w:val="0"/>
          <w:vertAlign w:val="subscript"/>
        </w:rPr>
        <w:t>50</w:t>
      </w:r>
      <w:r>
        <w:rPr>
          <w:kern w:val="0"/>
          <w:vertAlign w:val="superscript"/>
        </w:rPr>
        <w:t>0.183</w:t>
      </w:r>
      <w:r>
        <w:rPr>
          <w:rFonts w:hint="eastAsia"/>
          <w:kern w:val="0"/>
          <w:vertAlign w:val="superscript"/>
        </w:rPr>
        <w:t>，</w:t>
      </w:r>
      <w:r>
        <w:rPr>
          <w:kern w:val="0"/>
        </w:rPr>
        <w:t>其中</w:t>
      </w:r>
      <w:r>
        <w:rPr>
          <w:i/>
          <w:kern w:val="0"/>
        </w:rPr>
        <w:t>D</w:t>
      </w:r>
      <w:r>
        <w:rPr>
          <w:i/>
          <w:kern w:val="0"/>
          <w:vertAlign w:val="subscript"/>
        </w:rPr>
        <w:t>50</w:t>
      </w:r>
      <w:r>
        <w:rPr>
          <w:kern w:val="0"/>
        </w:rPr>
        <w:t>为悬沙中值粒径。根据计算淤积物干容重取为810 kg/m</w:t>
      </w:r>
      <w:r>
        <w:rPr>
          <w:kern w:val="0"/>
          <w:vertAlign w:val="superscript"/>
        </w:rPr>
        <w:t>3</w:t>
      </w:r>
      <w:r>
        <w:rPr>
          <w:kern w:val="0"/>
        </w:rPr>
        <w:t>。</w:t>
      </w:r>
    </w:p>
    <w:p w14:paraId="1DED946B">
      <w:pPr>
        <w:autoSpaceDE w:val="0"/>
        <w:autoSpaceDN w:val="0"/>
        <w:ind w:firstLine="437"/>
        <w:jc w:val="left"/>
        <w:rPr>
          <w:kern w:val="0"/>
        </w:rPr>
      </w:pPr>
      <w:r>
        <w:rPr>
          <w:rFonts w:hint="eastAsia" w:ascii="宋体" w:hAnsi="宋体" w:cs="宋体"/>
          <w:kern w:val="0"/>
        </w:rPr>
        <w:t>④</w:t>
      </w:r>
      <w:r>
        <w:rPr>
          <w:kern w:val="0"/>
        </w:rPr>
        <w:t>淤积模型</w:t>
      </w:r>
    </w:p>
    <w:p w14:paraId="3E638332">
      <w:pPr>
        <w:autoSpaceDE w:val="0"/>
        <w:autoSpaceDN w:val="0"/>
        <w:ind w:firstLine="437"/>
        <w:jc w:val="left"/>
        <w:rPr>
          <w:kern w:val="0"/>
        </w:rPr>
      </w:pPr>
      <w:r>
        <w:rPr>
          <w:kern w:val="0"/>
        </w:rPr>
        <w:t>淤积是泥沙从悬沙变为底床沉积物的转换过程。淤积在床面切应力</w:t>
      </w:r>
      <w:r>
        <w:rPr>
          <w:i/>
          <w:kern w:val="0"/>
        </w:rPr>
        <w:t>τ</w:t>
      </w:r>
      <w:r>
        <w:rPr>
          <w:i/>
          <w:kern w:val="0"/>
          <w:vertAlign w:val="subscript"/>
        </w:rPr>
        <w:t>b</w:t>
      </w:r>
      <w:r>
        <w:rPr>
          <w:kern w:val="0"/>
        </w:rPr>
        <w:t>小于泥沙临界淤积切应力</w:t>
      </w:r>
      <w:r>
        <w:rPr>
          <w:i/>
          <w:kern w:val="0"/>
        </w:rPr>
        <w:t>τ</w:t>
      </w:r>
      <w:r>
        <w:rPr>
          <w:i/>
          <w:kern w:val="0"/>
          <w:vertAlign w:val="subscript"/>
        </w:rPr>
        <w:t>cd</w:t>
      </w:r>
      <w:r>
        <w:rPr>
          <w:kern w:val="0"/>
        </w:rPr>
        <w:t>时发生，泥沙临界淤积切应力</w:t>
      </w:r>
      <w:r>
        <w:rPr>
          <w:i/>
          <w:kern w:val="0"/>
        </w:rPr>
        <w:t>τ</w:t>
      </w:r>
      <w:r>
        <w:rPr>
          <w:i/>
          <w:kern w:val="0"/>
          <w:vertAlign w:val="subscript"/>
        </w:rPr>
        <w:t>cd</w:t>
      </w:r>
      <w:r>
        <w:rPr>
          <w:kern w:val="0"/>
        </w:rPr>
        <w:t>经率定取值0.05 N/m</w:t>
      </w:r>
      <w:r>
        <w:rPr>
          <w:kern w:val="0"/>
          <w:vertAlign w:val="superscript"/>
        </w:rPr>
        <w:t>2</w:t>
      </w:r>
      <w:r>
        <w:rPr>
          <w:kern w:val="0"/>
        </w:rPr>
        <w:t>。淤积率由泥沙与水流相互作用的随机模型表示：</w:t>
      </w:r>
    </w:p>
    <w:p w14:paraId="0AACE318">
      <w:pPr>
        <w:autoSpaceDE w:val="0"/>
        <w:autoSpaceDN w:val="0"/>
        <w:ind w:firstLine="437"/>
        <w:jc w:val="center"/>
        <w:rPr>
          <w:kern w:val="0"/>
        </w:rPr>
      </w:pPr>
      <w:r>
        <w:rPr>
          <w:kern w:val="0"/>
          <w:position w:val="-12"/>
        </w:rPr>
        <w:object>
          <v:shape id="_x0000_i1040" o:spt="75" type="#_x0000_t75" style="height:19.15pt;width:66.55pt;" o:ole="t" filled="f" o:preferrelative="t" stroked="f" coordsize="21600,21600">
            <v:path/>
            <v:fill on="f" focussize="0,0"/>
            <v:stroke on="f" joinstyle="miter"/>
            <v:imagedata r:id="rId115" o:title=""/>
            <o:lock v:ext="edit" aspectratio="t"/>
            <w10:wrap type="none"/>
            <w10:anchorlock/>
          </v:shape>
          <o:OLEObject Type="Embed" ProgID="Equation.DSMT4" ShapeID="_x0000_i1040" DrawAspect="Content" ObjectID="_1468075740" r:id="rId114">
            <o:LockedField>false</o:LockedField>
          </o:OLEObject>
        </w:object>
      </w:r>
    </w:p>
    <w:p w14:paraId="2590BF9A">
      <w:pPr>
        <w:autoSpaceDE w:val="0"/>
        <w:autoSpaceDN w:val="0"/>
        <w:ind w:firstLine="437"/>
        <w:jc w:val="left"/>
        <w:rPr>
          <w:kern w:val="0"/>
        </w:rPr>
      </w:pPr>
      <w:r>
        <w:rPr>
          <w:kern w:val="0"/>
        </w:rPr>
        <w:t>式中：</w:t>
      </w:r>
      <w:r>
        <w:rPr>
          <w:i/>
          <w:kern w:val="0"/>
        </w:rPr>
        <w:t>W</w:t>
      </w:r>
      <w:r>
        <w:rPr>
          <w:i/>
          <w:kern w:val="0"/>
          <w:vertAlign w:val="subscript"/>
        </w:rPr>
        <w:t>s</w:t>
      </w:r>
      <w:r>
        <w:rPr>
          <w:kern w:val="0"/>
        </w:rPr>
        <w:t>为泥沙颗粒沉速；</w:t>
      </w:r>
      <w:r>
        <w:rPr>
          <w:i/>
          <w:kern w:val="0"/>
        </w:rPr>
        <w:t>c</w:t>
      </w:r>
      <w:r>
        <w:rPr>
          <w:i/>
          <w:kern w:val="0"/>
          <w:vertAlign w:val="subscript"/>
        </w:rPr>
        <w:t>b</w:t>
      </w:r>
      <w:r>
        <w:rPr>
          <w:kern w:val="0"/>
        </w:rPr>
        <w:t>是近底层的悬沙含量；</w:t>
      </w:r>
      <w:r>
        <w:rPr>
          <w:i/>
          <w:kern w:val="0"/>
        </w:rPr>
        <w:t>p</w:t>
      </w:r>
      <w:r>
        <w:rPr>
          <w:i/>
          <w:kern w:val="0"/>
          <w:vertAlign w:val="subscript"/>
        </w:rPr>
        <w:t>D</w:t>
      </w:r>
      <w:r>
        <w:rPr>
          <w:i/>
          <w:kern w:val="0"/>
        </w:rPr>
        <w:t xml:space="preserve"> </w:t>
      </w:r>
      <w:r>
        <w:rPr>
          <w:kern w:val="0"/>
        </w:rPr>
        <w:t>是淤积概率的表达式，</w:t>
      </w:r>
      <w:r>
        <w:rPr>
          <w:kern w:val="0"/>
          <w:position w:val="-14"/>
        </w:rPr>
        <w:object>
          <v:shape id="_x0000_i1041" o:spt="75" type="#_x0000_t75" style="height:19.15pt;width:147.65pt;" o:ole="t" filled="f" o:preferrelative="t" stroked="f" coordsize="21600,21600">
            <v:path/>
            <v:fill on="f" focussize="0,0"/>
            <v:stroke on="f" joinstyle="miter"/>
            <v:imagedata r:id="rId117" o:title=""/>
            <o:lock v:ext="edit" aspectratio="t"/>
            <w10:wrap type="none"/>
            <w10:anchorlock/>
          </v:shape>
          <o:OLEObject Type="Embed" ProgID="Equation.DSMT4" ShapeID="_x0000_i1041" DrawAspect="Content" ObjectID="_1468075741" r:id="rId116">
            <o:LockedField>false</o:LockedField>
          </o:OLEObject>
        </w:object>
      </w:r>
      <w:r>
        <w:rPr>
          <w:kern w:val="0"/>
        </w:rPr>
        <w:t>。</w:t>
      </w:r>
    </w:p>
    <w:p w14:paraId="3D132D0B">
      <w:pPr>
        <w:autoSpaceDE w:val="0"/>
        <w:autoSpaceDN w:val="0"/>
        <w:ind w:firstLine="437"/>
        <w:jc w:val="left"/>
        <w:rPr>
          <w:kern w:val="0"/>
        </w:rPr>
      </w:pPr>
      <w:r>
        <w:rPr>
          <w:kern w:val="0"/>
        </w:rPr>
        <w:t>近底层的泥沙浓度</w:t>
      </w:r>
      <w:r>
        <w:rPr>
          <w:i/>
          <w:kern w:val="0"/>
        </w:rPr>
        <w:t>c</w:t>
      </w:r>
      <w:r>
        <w:rPr>
          <w:i/>
          <w:kern w:val="0"/>
          <w:vertAlign w:val="subscript"/>
        </w:rPr>
        <w:t>b</w:t>
      </w:r>
      <w:r>
        <w:rPr>
          <w:i/>
          <w:kern w:val="0"/>
        </w:rPr>
        <w:t xml:space="preserve"> </w:t>
      </w:r>
      <w:r>
        <w:rPr>
          <w:kern w:val="0"/>
        </w:rPr>
        <w:t>可使用佩克莱特数</w:t>
      </w:r>
      <w:r>
        <w:rPr>
          <w:i/>
          <w:kern w:val="0"/>
        </w:rPr>
        <w:t>P</w:t>
      </w:r>
      <w:r>
        <w:rPr>
          <w:i/>
          <w:kern w:val="0"/>
          <w:vertAlign w:val="subscript"/>
        </w:rPr>
        <w:t>e</w:t>
      </w:r>
      <w:r>
        <w:rPr>
          <w:kern w:val="0"/>
          <w:vertAlign w:val="subscript"/>
        </w:rPr>
        <w:t xml:space="preserve"> </w:t>
      </w:r>
      <w:r>
        <w:rPr>
          <w:kern w:val="0"/>
        </w:rPr>
        <w:t>和垂线平均悬沙含量计算得出：</w:t>
      </w:r>
    </w:p>
    <w:p w14:paraId="23B3DE62">
      <w:pPr>
        <w:autoSpaceDE w:val="0"/>
        <w:autoSpaceDN w:val="0"/>
        <w:ind w:firstLine="437"/>
        <w:jc w:val="center"/>
        <w:rPr>
          <w:kern w:val="0"/>
        </w:rPr>
      </w:pPr>
      <w:r>
        <w:rPr>
          <w:kern w:val="0"/>
          <w:position w:val="-30"/>
        </w:rPr>
        <w:object>
          <v:shape id="_x0000_i1042" o:spt="75" type="#_x0000_t75" style="height:36.45pt;width:136.7pt;" o:ole="t" filled="f" o:preferrelative="t" stroked="f" coordsize="21600,21600">
            <v:path/>
            <v:fill on="f" focussize="0,0"/>
            <v:stroke on="f" joinstyle="miter"/>
            <v:imagedata r:id="rId119" o:title=""/>
            <o:lock v:ext="edit" aspectratio="t"/>
            <w10:wrap type="none"/>
            <w10:anchorlock/>
          </v:shape>
          <o:OLEObject Type="Embed" ProgID="Equation.DSMT4" ShapeID="_x0000_i1042" DrawAspect="Content" ObjectID="_1468075742" r:id="rId118">
            <o:LockedField>false</o:LockedField>
          </o:OLEObject>
        </w:object>
      </w:r>
    </w:p>
    <w:p w14:paraId="466711D8">
      <w:pPr>
        <w:autoSpaceDE w:val="0"/>
        <w:autoSpaceDN w:val="0"/>
        <w:ind w:firstLine="437"/>
        <w:jc w:val="left"/>
        <w:rPr>
          <w:kern w:val="0"/>
        </w:rPr>
      </w:pPr>
      <w:r>
        <w:rPr>
          <w:kern w:val="0"/>
        </w:rPr>
        <w:t xml:space="preserve">式中： </w:t>
      </w:r>
      <w:r>
        <w:rPr>
          <w:i/>
          <w:kern w:val="0"/>
        </w:rPr>
        <w:t>P</w:t>
      </w:r>
      <w:r>
        <w:rPr>
          <w:i/>
          <w:kern w:val="0"/>
          <w:vertAlign w:val="subscript"/>
        </w:rPr>
        <w:t>e</w:t>
      </w:r>
      <w:r>
        <w:rPr>
          <w:kern w:val="0"/>
        </w:rPr>
        <w:t>是佩克莱特数，定义为</w:t>
      </w:r>
      <w:r>
        <w:rPr>
          <w:kern w:val="0"/>
          <w:position w:val="-14"/>
        </w:rPr>
        <w:object>
          <v:shape id="_x0000_i1043" o:spt="75" type="#_x0000_t75" style="height:19.15pt;width:72pt;" o:ole="t" filled="f" o:preferrelative="t" stroked="f" coordsize="21600,21600">
            <v:path/>
            <v:fill on="f" focussize="0,0"/>
            <v:stroke on="f" joinstyle="miter"/>
            <v:imagedata r:id="rId121" o:title=""/>
            <o:lock v:ext="edit" aspectratio="t"/>
            <w10:wrap type="none"/>
            <w10:anchorlock/>
          </v:shape>
          <o:OLEObject Type="Embed" ProgID="Equation.DSMT4" ShapeID="_x0000_i1043" DrawAspect="Content" ObjectID="_1468075743" r:id="rId120">
            <o:LockedField>false</o:LockedField>
          </o:OLEObject>
        </w:object>
      </w:r>
      <w:r>
        <w:rPr>
          <w:kern w:val="0"/>
        </w:rPr>
        <w:t>，其中</w:t>
      </w:r>
      <w:r>
        <w:rPr>
          <w:i/>
          <w:kern w:val="0"/>
        </w:rPr>
        <w:t>U</w:t>
      </w:r>
      <w:r>
        <w:rPr>
          <w:i/>
          <w:kern w:val="0"/>
          <w:vertAlign w:val="subscript"/>
        </w:rPr>
        <w:t>f</w:t>
      </w:r>
      <w:r>
        <w:rPr>
          <w:kern w:val="0"/>
        </w:rPr>
        <w:t>是摩阻流速，</w:t>
      </w:r>
      <w:r>
        <w:rPr>
          <w:i/>
          <w:kern w:val="0"/>
        </w:rPr>
        <w:t>k</w:t>
      </w:r>
      <w:r>
        <w:rPr>
          <w:kern w:val="0"/>
        </w:rPr>
        <w:t>是冯卡门常数，一般取为0.4。</w:t>
      </w:r>
    </w:p>
    <w:p w14:paraId="7B2466CE">
      <w:pPr>
        <w:autoSpaceDE w:val="0"/>
        <w:autoSpaceDN w:val="0"/>
        <w:ind w:firstLine="437"/>
        <w:jc w:val="left"/>
        <w:rPr>
          <w:kern w:val="0"/>
        </w:rPr>
      </w:pPr>
      <w:r>
        <w:rPr>
          <w:rFonts w:hint="eastAsia" w:ascii="宋体" w:hAnsi="宋体" w:cs="宋体"/>
          <w:kern w:val="0"/>
        </w:rPr>
        <w:t>⑤</w:t>
      </w:r>
      <w:r>
        <w:rPr>
          <w:kern w:val="0"/>
        </w:rPr>
        <w:t>冲刷模型</w:t>
      </w:r>
    </w:p>
    <w:p w14:paraId="3E88D6C9">
      <w:pPr>
        <w:autoSpaceDE w:val="0"/>
        <w:autoSpaceDN w:val="0"/>
        <w:ind w:firstLine="437"/>
        <w:jc w:val="left"/>
        <w:rPr>
          <w:kern w:val="0"/>
        </w:rPr>
      </w:pPr>
      <w:r>
        <w:rPr>
          <w:kern w:val="0"/>
        </w:rPr>
        <w:t>冲刷是从泥沙从底床向水体的转移过程，当床面切应力</w:t>
      </w:r>
      <w:r>
        <w:rPr>
          <w:i/>
          <w:kern w:val="0"/>
        </w:rPr>
        <w:t>τ</w:t>
      </w:r>
      <w:r>
        <w:rPr>
          <w:i/>
          <w:kern w:val="0"/>
          <w:vertAlign w:val="subscript"/>
        </w:rPr>
        <w:t>b</w:t>
      </w:r>
      <w:r>
        <w:rPr>
          <w:kern w:val="0"/>
        </w:rPr>
        <w:t>大于临界冲刷切应力</w:t>
      </w:r>
      <w:r>
        <w:rPr>
          <w:i/>
          <w:kern w:val="0"/>
        </w:rPr>
        <w:t>τ</w:t>
      </w:r>
      <w:r>
        <w:rPr>
          <w:i/>
          <w:kern w:val="0"/>
          <w:vertAlign w:val="subscript"/>
        </w:rPr>
        <w:t>ce</w:t>
      </w:r>
      <w:r>
        <w:rPr>
          <w:kern w:val="0"/>
        </w:rPr>
        <w:t>时就会发生，临界冲刷切应力</w:t>
      </w:r>
      <w:r>
        <w:rPr>
          <w:i/>
          <w:kern w:val="0"/>
        </w:rPr>
        <w:t>τ</w:t>
      </w:r>
      <w:r>
        <w:rPr>
          <w:i/>
          <w:kern w:val="0"/>
          <w:vertAlign w:val="subscript"/>
        </w:rPr>
        <w:t>ce</w:t>
      </w:r>
      <w:r>
        <w:rPr>
          <w:kern w:val="0"/>
        </w:rPr>
        <w:t>经率定取值0.1～0.3N/m</w:t>
      </w:r>
      <w:r>
        <w:rPr>
          <w:kern w:val="0"/>
          <w:vertAlign w:val="superscript"/>
        </w:rPr>
        <w:t>2</w:t>
      </w:r>
      <w:r>
        <w:rPr>
          <w:kern w:val="0"/>
        </w:rPr>
        <w:t>。可用以下方式表示侵蚀率：</w:t>
      </w:r>
    </w:p>
    <w:p w14:paraId="22A4B0DE">
      <w:pPr>
        <w:ind w:firstLine="437"/>
        <w:jc w:val="center"/>
        <w:rPr>
          <w:kern w:val="0"/>
        </w:rPr>
      </w:pPr>
      <w:r>
        <w:rPr>
          <w:kern w:val="0"/>
          <w:position w:val="-12"/>
        </w:rPr>
        <w:object>
          <v:shape id="_x0000_i1044" o:spt="75" type="#_x0000_t75" style="height:19.15pt;width:72pt;" o:ole="t" filled="f" o:preferrelative="t" stroked="f" coordsize="21600,21600">
            <v:path/>
            <v:fill on="f" focussize="0,0"/>
            <v:stroke on="f" joinstyle="miter"/>
            <v:imagedata r:id="rId123" o:title=""/>
            <o:lock v:ext="edit" aspectratio="t"/>
            <w10:wrap type="none"/>
            <w10:anchorlock/>
          </v:shape>
          <o:OLEObject Type="Embed" ProgID="Equation.DSMT4" ShapeID="_x0000_i1044" DrawAspect="Content" ObjectID="_1468075744" r:id="rId122">
            <o:LockedField>false</o:LockedField>
          </o:OLEObject>
        </w:object>
      </w:r>
    </w:p>
    <w:p w14:paraId="2321F1F1">
      <w:pPr>
        <w:autoSpaceDE w:val="0"/>
        <w:autoSpaceDN w:val="0"/>
        <w:ind w:firstLine="437"/>
        <w:jc w:val="left"/>
        <w:rPr>
          <w:kern w:val="0"/>
        </w:rPr>
      </w:pPr>
      <w:r>
        <w:rPr>
          <w:kern w:val="0"/>
        </w:rPr>
        <w:t>式中：</w:t>
      </w:r>
      <w:r>
        <w:rPr>
          <w:i/>
          <w:kern w:val="0"/>
        </w:rPr>
        <w:t>E</w:t>
      </w:r>
      <w:r>
        <w:rPr>
          <w:i/>
          <w:kern w:val="0"/>
          <w:vertAlign w:val="subscript"/>
        </w:rPr>
        <w:t>0</w:t>
      </w:r>
      <w:r>
        <w:rPr>
          <w:kern w:val="0"/>
        </w:rPr>
        <w:t>为冲刷系数；</w:t>
      </w:r>
      <w:r>
        <w:rPr>
          <w:i/>
          <w:kern w:val="0"/>
        </w:rPr>
        <w:t>E</w:t>
      </w:r>
      <w:r>
        <w:rPr>
          <w:i/>
          <w:kern w:val="0"/>
          <w:vertAlign w:val="subscript"/>
        </w:rPr>
        <w:t>m</w:t>
      </w:r>
      <w:r>
        <w:rPr>
          <w:kern w:val="0"/>
        </w:rPr>
        <w:t>为冲刷指数；</w:t>
      </w:r>
      <w:r>
        <w:rPr>
          <w:i/>
          <w:kern w:val="0"/>
        </w:rPr>
        <w:t>p</w:t>
      </w:r>
      <w:r>
        <w:rPr>
          <w:i/>
          <w:kern w:val="0"/>
          <w:vertAlign w:val="subscript"/>
        </w:rPr>
        <w:t>E</w:t>
      </w:r>
      <w:r>
        <w:rPr>
          <w:i/>
          <w:kern w:val="0"/>
        </w:rPr>
        <w:t xml:space="preserve"> </w:t>
      </w:r>
      <w:r>
        <w:rPr>
          <w:kern w:val="0"/>
        </w:rPr>
        <w:t>为侵蚀概率，</w:t>
      </w:r>
      <w:r>
        <w:rPr>
          <w:i/>
          <w:kern w:val="0"/>
        </w:rPr>
        <w:t>p</w:t>
      </w:r>
      <w:r>
        <w:rPr>
          <w:i/>
          <w:kern w:val="0"/>
          <w:vertAlign w:val="subscript"/>
        </w:rPr>
        <w:t>E</w:t>
      </w:r>
      <w:r>
        <w:rPr>
          <w:kern w:val="0"/>
        </w:rPr>
        <w:t>可以用下式表示：</w:t>
      </w:r>
    </w:p>
    <w:p w14:paraId="684B745A">
      <w:pPr>
        <w:spacing w:line="360" w:lineRule="auto"/>
        <w:ind w:firstLine="437"/>
        <w:jc w:val="center"/>
        <w:rPr>
          <w:position w:val="-12"/>
        </w:rPr>
      </w:pPr>
      <w:r>
        <w:rPr>
          <w:position w:val="-12"/>
        </w:rPr>
        <w:object>
          <v:shape id="_x0000_i1045" o:spt="75" type="#_x0000_t75" style="height:19.15pt;width:133.95pt;" o:ole="t" filled="f" o:preferrelative="t" stroked="f" coordsize="21600,21600">
            <v:path/>
            <v:fill on="f" focussize="0,0"/>
            <v:stroke on="f" joinstyle="miter"/>
            <v:imagedata r:id="rId125" o:title=""/>
            <o:lock v:ext="edit" aspectratio="t"/>
            <w10:wrap type="none"/>
            <w10:anchorlock/>
          </v:shape>
          <o:OLEObject Type="Embed" ProgID="Equation.DSMT4" ShapeID="_x0000_i1045" DrawAspect="Content" ObjectID="_1468075745" r:id="rId124">
            <o:LockedField>false</o:LockedField>
          </o:OLEObject>
        </w:object>
      </w:r>
    </w:p>
    <w:p w14:paraId="31BB9DAD">
      <w:pPr>
        <w:ind w:firstLine="437"/>
      </w:pPr>
      <w:r>
        <w:rPr>
          <w:rFonts w:hint="eastAsia"/>
        </w:rPr>
        <w:t>冲淤变化模拟以底沙为主，模拟时长为1年，模拟过程中未考虑波浪和潮流的耦合作用。</w:t>
      </w:r>
    </w:p>
    <w:p w14:paraId="059CCECB">
      <w:pPr>
        <w:ind w:firstLine="439"/>
        <w:rPr>
          <w:b/>
          <w:bCs/>
        </w:rPr>
      </w:pPr>
      <w:r>
        <w:rPr>
          <w:rFonts w:hint="eastAsia"/>
          <w:b/>
          <w:bCs/>
        </w:rPr>
        <w:t>2</w:t>
      </w:r>
      <w:r>
        <w:rPr>
          <w:b/>
          <w:bCs/>
        </w:rPr>
        <w:t>、预测结果</w:t>
      </w:r>
    </w:p>
    <w:p w14:paraId="6BB5E629">
      <w:pPr>
        <w:ind w:firstLine="437"/>
      </w:pPr>
      <w:r>
        <w:rPr>
          <w:rFonts w:hint="eastAsia"/>
        </w:rPr>
        <w:t>项目周边人工岸线较多，海岸侵蚀泥沙来源少，周边泥沙来源主要为波浪掀沙，受三墩港防波堤的阻隔作用，项目东侧河流输沙基本不会影响项目所在海域的泥沙冲淤平衡。总体上，项目建成后对周边海域地形地貌冲淤环境的影响是较小的。疏浚完成后，疏浚与炸礁区域及其东侧呈现淤积态势，最大淤积强度为25cm/a，疏浚与炸礁区域南侧小范围内呈现冲刷态势，最大冲刷强度不超过7.5cm/a。</w:t>
      </w:r>
    </w:p>
    <w:p w14:paraId="42EFC5C8">
      <w:pPr>
        <w:ind w:firstLine="437"/>
      </w:pPr>
    </w:p>
    <w:p w14:paraId="6E507EB3">
      <w:pPr>
        <w:ind w:firstLine="0" w:firstLineChars="0"/>
      </w:pPr>
    </w:p>
    <w:p w14:paraId="67CFDF57">
      <w:pPr>
        <w:pStyle w:val="8"/>
      </w:pPr>
      <w:r>
        <w:rPr>
          <w:rFonts w:hint="eastAsia"/>
        </w:rPr>
        <w:t>工程年淤积厚度变化图</w:t>
      </w:r>
    </w:p>
    <w:p w14:paraId="05A59EC9">
      <w:pPr>
        <w:pStyle w:val="6"/>
      </w:pPr>
      <w:r>
        <w:rPr>
          <w:rFonts w:hint="eastAsia"/>
        </w:rPr>
        <w:t>海洋沉积物影响预测分析</w:t>
      </w:r>
    </w:p>
    <w:p w14:paraId="10925053">
      <w:pPr>
        <w:ind w:firstLine="437"/>
      </w:pPr>
      <w:r>
        <w:rPr>
          <w:rFonts w:hint="eastAsia"/>
        </w:rPr>
        <w:t>根据工程所在区域海洋沉积物监测，项目填海及疏浚区域海洋沉积物现状良好，沉积物监测因子均能满足《海洋沉积物质量》（GB18668-2002）中的相应标准。根据上述海洋水文动力、地形地貌及悬浮泥沙扩散分析，项目施工期流速变化主要在疏浚、炸礁区域及其西侧范围内，南、北侧变化涉及的区域较小，涨急流向变化涉及的海域主要在项目周边0.9km的范围内，落急流向变化涉及的海域主要在项目周边</w:t>
      </w:r>
      <w:r>
        <w:t>1.0km</w:t>
      </w:r>
      <w:r>
        <w:rPr>
          <w:rFonts w:hint="eastAsia"/>
        </w:rPr>
        <w:t>的范围内，施工期疏浚、炸礁产生的悬沙主要分布在工程区域1.0km范围内，海洋沉积物与悬沙扩散基本一致，</w:t>
      </w:r>
    </w:p>
    <w:p w14:paraId="3DC94323">
      <w:pPr>
        <w:ind w:firstLine="437"/>
      </w:pPr>
      <w:r>
        <w:rPr>
          <w:rFonts w:hint="eastAsia"/>
        </w:rPr>
        <w:t>其扩散范围主要集中在疏浚、炸礁工程区周边，对其他海域及海洋环境敏感区基本无影响。</w:t>
      </w:r>
    </w:p>
    <w:p w14:paraId="6D215F71">
      <w:pPr>
        <w:pStyle w:val="6"/>
      </w:pPr>
      <w:r>
        <w:t>施工船舶污水</w:t>
      </w:r>
    </w:p>
    <w:p w14:paraId="34576810">
      <w:pPr>
        <w:ind w:firstLine="437"/>
      </w:pPr>
      <w:r>
        <w:t>本项目主要污废水来源为船舶整治施工中施工船舶机舱油污水和施工人员生活污水。经估算，施工期共产生船舶生活污水</w:t>
      </w:r>
      <w:r>
        <w:rPr>
          <w:rFonts w:hint="eastAsia"/>
        </w:rPr>
        <w:t>350</w:t>
      </w:r>
      <w:r>
        <w:t>t，油污水</w:t>
      </w:r>
      <w:r>
        <w:rPr>
          <w:rFonts w:hint="eastAsia"/>
        </w:rPr>
        <w:t>252</w:t>
      </w:r>
      <w:r>
        <w:t>t。施工期</w:t>
      </w:r>
      <w:r>
        <w:rPr>
          <w:rFonts w:hint="eastAsia"/>
        </w:rPr>
        <w:t>船舶污水</w:t>
      </w:r>
      <w:r>
        <w:t>由有处理资质的单位统一接收处理。不外排，不会对海域水环境造成影响。</w:t>
      </w:r>
    </w:p>
    <w:p w14:paraId="12740D30">
      <w:pPr>
        <w:pStyle w:val="6"/>
      </w:pPr>
      <w:r>
        <w:t>陆域施工水环境影响分析</w:t>
      </w:r>
    </w:p>
    <w:p w14:paraId="092AA2DD">
      <w:pPr>
        <w:ind w:firstLine="437"/>
      </w:pPr>
      <w:r>
        <w:rPr>
          <w:rFonts w:hint="eastAsia"/>
        </w:rPr>
        <w:t>1、陆域施工生产废水</w:t>
      </w:r>
    </w:p>
    <w:p w14:paraId="43B6A325">
      <w:pPr>
        <w:ind w:firstLine="437"/>
      </w:pPr>
      <w:r>
        <w:rPr>
          <w:rFonts w:hint="eastAsia"/>
        </w:rPr>
        <w:t>本项目</w:t>
      </w:r>
      <w:r>
        <w:t>陆域施工主要包括</w:t>
      </w:r>
      <w:r>
        <w:rPr>
          <w:rFonts w:hint="eastAsia"/>
        </w:rPr>
        <w:t>地基处理、</w:t>
      </w:r>
      <w:r>
        <w:t>路面硬化及堆场形成。</w:t>
      </w:r>
      <w:r>
        <w:rPr>
          <w:rFonts w:hint="eastAsia"/>
        </w:rPr>
        <w:t>工程</w:t>
      </w:r>
      <w:r>
        <w:t>陆域施工过程中生产废水主要为</w:t>
      </w:r>
      <w:r>
        <w:rPr>
          <w:rFonts w:hint="eastAsia"/>
        </w:rPr>
        <w:t>少量</w:t>
      </w:r>
      <w:r>
        <w:t>地面冲洗废水</w:t>
      </w:r>
      <w:r>
        <w:rPr>
          <w:rFonts w:hint="eastAsia"/>
        </w:rPr>
        <w:t>，</w:t>
      </w:r>
      <w:r>
        <w:t>施工废水</w:t>
      </w:r>
      <w:bookmarkStart w:id="430" w:name="_Hlk183504558"/>
      <w:r>
        <w:rPr>
          <w:rFonts w:hint="eastAsia"/>
        </w:rPr>
        <w:t>可在</w:t>
      </w:r>
      <w:r>
        <w:t>施工场地内自然蒸发干化</w:t>
      </w:r>
      <w:bookmarkEnd w:id="430"/>
      <w:r>
        <w:t>，不外排，</w:t>
      </w:r>
      <w:bookmarkStart w:id="431" w:name="_Hlk183504570"/>
      <w:r>
        <w:t>不会对海域水环境造成影响</w:t>
      </w:r>
      <w:bookmarkEnd w:id="431"/>
      <w:r>
        <w:t>。</w:t>
      </w:r>
    </w:p>
    <w:p w14:paraId="509D9862">
      <w:pPr>
        <w:ind w:firstLine="437"/>
      </w:pPr>
      <w:r>
        <w:rPr>
          <w:rFonts w:hint="eastAsia"/>
        </w:rPr>
        <w:t>2、施工人员生活污水</w:t>
      </w:r>
    </w:p>
    <w:p w14:paraId="1605D6E4">
      <w:pPr>
        <w:ind w:firstLine="437"/>
      </w:pPr>
      <w:r>
        <w:t>陆域工程施工高峰期施工人员按</w:t>
      </w:r>
      <w:r>
        <w:rPr>
          <w:rFonts w:hint="eastAsia"/>
        </w:rPr>
        <w:t>10</w:t>
      </w:r>
      <w:r>
        <w:t>人考虑，根据工程分析，施工期生活污水产生量约</w:t>
      </w:r>
      <w:r>
        <w:rPr>
          <w:rFonts w:hint="eastAsia"/>
        </w:rPr>
        <w:t>1</w:t>
      </w:r>
      <w:r>
        <w:t>m</w:t>
      </w:r>
      <w:r>
        <w:rPr>
          <w:vertAlign w:val="superscript"/>
        </w:rPr>
        <w:t>3</w:t>
      </w:r>
      <w:r>
        <w:t>/d，</w:t>
      </w:r>
      <w:r>
        <w:rPr>
          <w:rFonts w:hint="eastAsia"/>
        </w:rPr>
        <w:t>施工期</w:t>
      </w:r>
      <w:r>
        <w:t>生活污水产生量合计</w:t>
      </w:r>
      <w:r>
        <w:rPr>
          <w:rFonts w:hint="eastAsia"/>
        </w:rPr>
        <w:t>840</w:t>
      </w:r>
      <w:r>
        <w:t>m</w:t>
      </w:r>
      <w:r>
        <w:rPr>
          <w:vertAlign w:val="superscript"/>
        </w:rPr>
        <w:t>3</w:t>
      </w:r>
      <w:r>
        <w:t>。本项目施工期</w:t>
      </w:r>
      <w:r>
        <w:rPr>
          <w:rFonts w:hint="eastAsia"/>
        </w:rPr>
        <w:t>，施工人员生活污水依托9号10号泊位现有厕所等，通过泵吸至7号8号泊位生活污水处理站，经预处理</w:t>
      </w:r>
      <w:r>
        <w:rPr>
          <w:rFonts w:hint="eastAsia"/>
          <w:snapToGrid w:val="0"/>
        </w:rPr>
        <w:t>达到《污水综合排放标准》（GB 8978-1996）三级标准后进入</w:t>
      </w:r>
      <w:bookmarkStart w:id="432" w:name="_Hlk183504622"/>
      <w:r>
        <w:rPr>
          <w:rFonts w:hint="eastAsia"/>
          <w:snapToGrid w:val="0"/>
        </w:rPr>
        <w:t>大榄坪污水处理厂</w:t>
      </w:r>
      <w:bookmarkEnd w:id="432"/>
      <w:r>
        <w:rPr>
          <w:rFonts w:hint="eastAsia"/>
        </w:rPr>
        <w:t>，</w:t>
      </w:r>
      <w:r>
        <w:t>不外排</w:t>
      </w:r>
      <w:r>
        <w:rPr>
          <w:rFonts w:hint="eastAsia"/>
        </w:rPr>
        <w:t>，</w:t>
      </w:r>
      <w:r>
        <w:t>不会对海域水环境造成影响</w:t>
      </w:r>
      <w:r>
        <w:rPr>
          <w:snapToGrid w:val="0"/>
        </w:rPr>
        <w:t>。</w:t>
      </w:r>
    </w:p>
    <w:p w14:paraId="195FE718">
      <w:pPr>
        <w:pStyle w:val="5"/>
      </w:pPr>
      <w:r>
        <w:rPr>
          <w:rFonts w:hint="eastAsia"/>
        </w:rPr>
        <w:t>运营期</w:t>
      </w:r>
      <w:r>
        <w:t>水环境影响</w:t>
      </w:r>
    </w:p>
    <w:p w14:paraId="0F313E77">
      <w:pPr>
        <w:ind w:firstLine="437"/>
        <w:rPr>
          <w:snapToGrid w:val="0"/>
        </w:rPr>
      </w:pPr>
      <w:r>
        <w:rPr>
          <w:rFonts w:hint="eastAsia"/>
          <w:snapToGrid w:val="0"/>
        </w:rPr>
        <w:t>本项目运营时仅提供集装箱的存放和转运业务，无开箱业务，无洗箱作业工艺，因此无洗箱废水产生。水环境污染源主要为到港船舶污水、陆域生活污水等。</w:t>
      </w:r>
    </w:p>
    <w:p w14:paraId="6F361E4A">
      <w:pPr>
        <w:pStyle w:val="6"/>
      </w:pPr>
      <w:r>
        <w:t>船舶污水</w:t>
      </w:r>
    </w:p>
    <w:p w14:paraId="0A34EC88">
      <w:pPr>
        <w:ind w:firstLine="437"/>
      </w:pPr>
      <w:r>
        <w:rPr>
          <w:rFonts w:hint="eastAsia"/>
        </w:rPr>
        <w:t>1、</w:t>
      </w:r>
      <w:r>
        <w:t>到港船舶生活污水</w:t>
      </w:r>
    </w:p>
    <w:p w14:paraId="2B62C365">
      <w:pPr>
        <w:ind w:firstLine="437"/>
      </w:pPr>
      <w:r>
        <w:t>经工程分析，根据设计船型、来港艘次、实际靠泊时间和船员数，船舶生活污水的生量约</w:t>
      </w:r>
      <w:r>
        <w:rPr>
          <w:rFonts w:hint="eastAsia"/>
        </w:rPr>
        <w:t xml:space="preserve">2040 </w:t>
      </w:r>
      <w:r>
        <w:t>m</w:t>
      </w:r>
      <w:r>
        <w:rPr>
          <w:vertAlign w:val="superscript"/>
        </w:rPr>
        <w:t>3</w:t>
      </w:r>
      <w:r>
        <w:t>/a。</w:t>
      </w:r>
    </w:p>
    <w:p w14:paraId="06EED70E">
      <w:pPr>
        <w:ind w:firstLine="437"/>
      </w:pPr>
      <w:r>
        <w:rPr>
          <w:rFonts w:hint="eastAsia"/>
        </w:rPr>
        <w:t>2、</w:t>
      </w:r>
      <w:r>
        <w:t>船舶污水接收处置方式分析</w:t>
      </w:r>
    </w:p>
    <w:p w14:paraId="13BCF401">
      <w:pPr>
        <w:ind w:firstLine="437"/>
      </w:pPr>
      <w:r>
        <w:t>根据《MARPOL73/78 防污公约》附则Ⅳ“防止船舶生活污水污染规则”规定，船舶应当配有经海事管理机构认可的生活污水处理装置，且须保证生活污水处理设施的正常运转，达到排放标准后在航行中并且在4海里以外排放。各缔约国政府应保证在港口或装卸站设置到港船舶需要的生活污水接收设备，而不致造成船舶的不当延误。《MARPOL73/78 防污公约》附则Ⅰ—“防止油污规则”要求船舶应配备机舱油污水处理系统，确保在公海排放机舱污水时其含油量不超过15ppm。</w:t>
      </w:r>
    </w:p>
    <w:p w14:paraId="52E97B84">
      <w:pPr>
        <w:ind w:firstLine="437"/>
      </w:pPr>
      <w:r>
        <w:t>根据《防治船舶污染海洋环境管理条例》，船舶在中华人民共和国管辖海域向海洋排放的船舶垃圾、生活污水、含油污水、含有毒有害物质污水、废气等污染物以及压载水，应当符合法律、行政法规、中华人民共和国缔结或者参加的国际条约以及相关标准的要求。船舶应当将不符合上述规定的排放要求的污染物排入港口接收设施或者由船舶污染物接收单位接收。</w:t>
      </w:r>
    </w:p>
    <w:p w14:paraId="623456C9">
      <w:pPr>
        <w:ind w:firstLine="437"/>
      </w:pPr>
      <w:r>
        <w:rPr>
          <w:rFonts w:hint="eastAsia"/>
        </w:rPr>
        <w:t>本项目运营期到港</w:t>
      </w:r>
      <w:r>
        <w:t>船舶生活污水</w:t>
      </w:r>
      <w:r>
        <w:rPr>
          <w:rFonts w:hint="eastAsia"/>
        </w:rPr>
        <w:t>由</w:t>
      </w:r>
      <w:r>
        <w:t>有资质的单位接收，在落实好以上措施后，到港船舶污染物对环境的影响不大。</w:t>
      </w:r>
    </w:p>
    <w:p w14:paraId="0CF24313">
      <w:pPr>
        <w:ind w:firstLine="437"/>
      </w:pPr>
      <w:r>
        <w:rPr>
          <w:rFonts w:hint="eastAsia"/>
        </w:rPr>
        <w:t>3、船舶压载水</w:t>
      </w:r>
    </w:p>
    <w:p w14:paraId="4503F283">
      <w:pPr>
        <w:ind w:firstLine="437"/>
      </w:pPr>
      <w:r>
        <w:t>由本工程设计船型，外籍船舶一次压载水最大产生量约为</w:t>
      </w:r>
      <w:r>
        <w:rPr>
          <w:rFonts w:hint="eastAsia"/>
        </w:rPr>
        <w:t>500</w:t>
      </w:r>
      <w:r>
        <w:t>t（按满载吨位10%计），压载泵流量可达400m</w:t>
      </w:r>
      <w:r>
        <w:rPr>
          <w:vertAlign w:val="superscript"/>
        </w:rPr>
        <w:t>3</w:t>
      </w:r>
      <w:r>
        <w:t>/h。目前钦州市船舶压载水都是按照《MARPOL73/78 防污公约》要求，进行深海置换，禁止在内海排放。</w:t>
      </w:r>
    </w:p>
    <w:p w14:paraId="437B77C9">
      <w:pPr>
        <w:pStyle w:val="6"/>
      </w:pPr>
      <w:r>
        <w:t>港区生活污水</w:t>
      </w:r>
    </w:p>
    <w:p w14:paraId="72AF3EF2">
      <w:pPr>
        <w:ind w:firstLine="437"/>
      </w:pPr>
      <w:r>
        <w:rPr>
          <w:rFonts w:hint="eastAsia"/>
        </w:rPr>
        <w:t>本次扩建</w:t>
      </w:r>
      <w:r>
        <w:t>后</w:t>
      </w:r>
      <w:r>
        <w:rPr>
          <w:rFonts w:hint="eastAsia"/>
        </w:rPr>
        <w:t>新增</w:t>
      </w:r>
      <w:r>
        <w:t>码头劳动定员</w:t>
      </w:r>
      <w:r>
        <w:rPr>
          <w:rFonts w:hint="eastAsia"/>
        </w:rPr>
        <w:t>98人</w:t>
      </w:r>
      <w:r>
        <w:t>，港区新增生活污水</w:t>
      </w:r>
      <w:r>
        <w:rPr>
          <w:rFonts w:hint="eastAsia"/>
        </w:rPr>
        <w:t>排放</w:t>
      </w:r>
      <w:r>
        <w:t>量为</w:t>
      </w:r>
      <w:r>
        <w:rPr>
          <w:rFonts w:hint="eastAsia"/>
        </w:rPr>
        <w:t>1940.4</w:t>
      </w:r>
      <w:r>
        <w:t>t/a。污水中主要污染因子为COD、BOD</w:t>
      </w:r>
      <w:r>
        <w:rPr>
          <w:vertAlign w:val="subscript"/>
        </w:rPr>
        <w:t>5</w:t>
      </w:r>
      <w:r>
        <w:t>和NH</w:t>
      </w:r>
      <w:r>
        <w:rPr>
          <w:vertAlign w:val="subscript"/>
        </w:rPr>
        <w:t>3</w:t>
      </w:r>
      <w:r>
        <w:t>-N，其浓度分别达到</w:t>
      </w:r>
      <w:r>
        <w:rPr>
          <w:rFonts w:hint="eastAsia"/>
        </w:rPr>
        <w:t>500</w:t>
      </w:r>
      <w:r>
        <w:t>mg/L、</w:t>
      </w:r>
      <w:r>
        <w:rPr>
          <w:rFonts w:hint="eastAsia"/>
        </w:rPr>
        <w:t>350</w:t>
      </w:r>
      <w:r>
        <w:t>mg/L和</w:t>
      </w:r>
      <w:r>
        <w:rPr>
          <w:rFonts w:hint="eastAsia"/>
        </w:rPr>
        <w:t>45</w:t>
      </w:r>
      <w:r>
        <w:t>mg/L，计算得COD、BOD</w:t>
      </w:r>
      <w:r>
        <w:rPr>
          <w:vertAlign w:val="subscript"/>
        </w:rPr>
        <w:t>5</w:t>
      </w:r>
      <w:r>
        <w:t>和NH</w:t>
      </w:r>
      <w:r>
        <w:rPr>
          <w:vertAlign w:val="subscript"/>
        </w:rPr>
        <w:t>3</w:t>
      </w:r>
      <w:r>
        <w:t>-N的产生量分别为</w:t>
      </w:r>
      <w:r>
        <w:rPr>
          <w:rFonts w:hint="eastAsia"/>
        </w:rPr>
        <w:t>0.97t/a、0.58t/a、0.087t/a。港区生活污水经收集后泵送至</w:t>
      </w:r>
      <w:r>
        <w:t>7</w:t>
      </w:r>
      <w:r>
        <w:rPr>
          <w:rFonts w:hint="eastAsia"/>
        </w:rPr>
        <w:t>号</w:t>
      </w:r>
      <w:r>
        <w:t>8</w:t>
      </w:r>
      <w:r>
        <w:rPr>
          <w:rFonts w:hint="eastAsia"/>
        </w:rPr>
        <w:t>号泊位的生活污水处理站预处理后排入大榄坪污水处理厂。</w:t>
      </w:r>
    </w:p>
    <w:p w14:paraId="480EBD74">
      <w:pPr>
        <w:pStyle w:val="6"/>
      </w:pPr>
      <w:r>
        <w:rPr>
          <w:rFonts w:hint="eastAsia"/>
        </w:rPr>
        <w:t>污水治理设施依托可行性及处理效果监测</w:t>
      </w:r>
    </w:p>
    <w:p w14:paraId="7886E893">
      <w:pPr>
        <w:ind w:firstLine="437"/>
      </w:pPr>
      <w:r>
        <w:t>港区生活污水</w:t>
      </w:r>
      <w:r>
        <w:rPr>
          <w:rFonts w:hint="eastAsia"/>
        </w:rPr>
        <w:t>通过7号8号泊位生活污水处理站预处理后进入市政污水管网，最终排入大榄坪污水处理厂。</w:t>
      </w:r>
      <w:r>
        <w:t>7号8号泊位集装箱自动化改造工程已于2022年5月通过竣工环境保护验收，7号8号泊位后方的生活污水处理站和生产污水处理站已正常投入使用，处理设备运行良好。</w:t>
      </w:r>
    </w:p>
    <w:p w14:paraId="6A953CA5">
      <w:pPr>
        <w:ind w:firstLine="437"/>
      </w:pPr>
      <w:r>
        <w:t>生活污水处理站的污水处理采用厌氧＋缺氧生物处理法，最大处理能力为5.0t</w:t>
      </w:r>
      <w:r>
        <w:rPr>
          <w:rFonts w:hint="eastAsia"/>
        </w:rPr>
        <w:t>/</w:t>
      </w:r>
      <w:r>
        <w:t>h。生活污水处理站的处理能力可容纳本项目运营期污水产生量。运营单位正在委托有监测资质的单位对生活污水处理站进行定期水质监测，确保设备正常运行。</w:t>
      </w:r>
    </w:p>
    <w:p w14:paraId="7A447FD9">
      <w:pPr>
        <w:ind w:firstLine="437"/>
      </w:pPr>
      <w:r>
        <w:rPr>
          <w:rFonts w:hint="eastAsia"/>
        </w:rPr>
        <w:t>根据2024年生活污水处理设施日常运行记录，</w:t>
      </w:r>
      <w:r>
        <w:t>对本项目依托的7号8号泊位生活污水处理设施进行污染源达标监测，监测结果表明，7号8号泊位生活污水处理站运行良好，污水处理效率较高，出水水质能满足</w:t>
      </w:r>
      <w:r>
        <w:rPr>
          <w:rFonts w:hint="eastAsia"/>
        </w:rPr>
        <w:t>《污水综合排放标准》（GB 8978-1996）三级标准要求</w:t>
      </w:r>
      <w:r>
        <w:t>，出水可排入市政污水管网。</w:t>
      </w:r>
      <w:r>
        <w:rPr>
          <w:rFonts w:hint="eastAsia"/>
        </w:rPr>
        <w:t>因此，码头区域生活污水由污水处理站预处理后进入大榄坪污水处理厂具备可行性。</w:t>
      </w:r>
    </w:p>
    <w:p w14:paraId="30E995FA">
      <w:pPr>
        <w:pStyle w:val="5"/>
      </w:pPr>
      <w:r>
        <w:rPr>
          <w:rFonts w:hint="eastAsia"/>
        </w:rPr>
        <w:t>与迁改排污口协调性分析</w:t>
      </w:r>
    </w:p>
    <w:bookmarkEnd w:id="414"/>
    <w:p w14:paraId="5E925B2A">
      <w:pPr>
        <w:pStyle w:val="6"/>
      </w:pPr>
      <w:bookmarkStart w:id="433" w:name="OLE_LINK123"/>
      <w:bookmarkStart w:id="434" w:name="_Toc317003261"/>
      <w:bookmarkStart w:id="435" w:name="_Toc317003541"/>
      <w:r>
        <w:rPr>
          <w:rFonts w:hint="eastAsia"/>
        </w:rPr>
        <w:t>迁改排污口进展概况</w:t>
      </w:r>
    </w:p>
    <w:bookmarkEnd w:id="433"/>
    <w:p w14:paraId="7C223AD5">
      <w:pPr>
        <w:ind w:firstLine="437"/>
        <w:rPr>
          <w:u w:val="single"/>
        </w:rPr>
      </w:pPr>
      <w:bookmarkStart w:id="436" w:name="OLE_LINK126"/>
      <w:r>
        <w:rPr>
          <w:rFonts w:hint="eastAsia"/>
          <w:u w:val="single"/>
        </w:rPr>
        <w:t>前文2.4.9章节已概述《北部湾港钦州港域大榄坪港区大榄坪南作业区9号10号泊位扩建工程环境影响报告书》及其批复对现状排污口提出迁改要求，并推荐迁改选址位置位于规划大榄坪南作业区11、12号泊位码头前沿（即后文《入海排污口设置选址可行性研究报告》中情景4附近）；目前，广西钦州保税港区宏港码头有限公司</w:t>
      </w:r>
      <w:bookmarkEnd w:id="436"/>
      <w:r>
        <w:rPr>
          <w:rFonts w:hint="eastAsia"/>
          <w:u w:val="single"/>
        </w:rPr>
        <w:t>积极推进现有排污口外迁工作。</w:t>
      </w:r>
    </w:p>
    <w:p w14:paraId="6D38B61E">
      <w:pPr>
        <w:ind w:firstLine="437"/>
      </w:pPr>
      <w:r>
        <w:rPr>
          <w:rFonts w:hint="eastAsia"/>
        </w:rPr>
        <w:t>2025年7月21日钦州市人民政府召开研究钦州港大榄坪A2排污混合区排污口就近迁改初步方案专题会，形成了《关于解决钦州港</w:t>
      </w:r>
      <w:bookmarkStart w:id="437" w:name="OLE_LINK138"/>
      <w:r>
        <w:rPr>
          <w:rFonts w:hint="eastAsia"/>
        </w:rPr>
        <w:t>大榄坪</w:t>
      </w:r>
      <w:bookmarkEnd w:id="437"/>
      <w:r>
        <w:rPr>
          <w:rFonts w:hint="eastAsia"/>
        </w:rPr>
        <w:t>A2排污混合区金桂浆纸业公司排污口与港口码头建设项目用海冲突问题的工作方案》，2025年7月30日形成《研究钦州港大榄坪A2排污混合区</w:t>
      </w:r>
      <w:bookmarkStart w:id="438" w:name="OLE_LINK137"/>
      <w:r>
        <w:rPr>
          <w:rFonts w:hint="eastAsia"/>
        </w:rPr>
        <w:t>排污口就近迁改</w:t>
      </w:r>
      <w:bookmarkEnd w:id="438"/>
      <w:r>
        <w:rPr>
          <w:rFonts w:hint="eastAsia"/>
        </w:rPr>
        <w:t>有关问题的纪要》（钦政阅〔2025〕36号）。根据钦政阅〔2025〕36号会议纪，钦州市人民政府明确由广西北投环保水务集团有限公司作为钦州港大榄坪A2排污混合区排污口就近迁改工程项目业主，中马钦州产业园区牵头会同有关部门指导相关企业，按程序办理钦州港大榄坪A2排污混合区排污口就近迁改工程项目相关手续，加快推进排污管迁改工作，为大榄坪南作业区内1号至5号江海联运泊位工程建设创造有利条件。</w:t>
      </w:r>
    </w:p>
    <w:p w14:paraId="7F08CFF2">
      <w:pPr>
        <w:ind w:firstLine="437"/>
      </w:pPr>
      <w:r>
        <w:rPr>
          <w:rFonts w:hint="eastAsia"/>
        </w:rPr>
        <w:t>按照市政府会议要求，广西钦州保税港区宏港码头有限公司委托</w:t>
      </w:r>
      <w:bookmarkStart w:id="439" w:name="OLE_LINK127"/>
      <w:r>
        <w:rPr>
          <w:rFonts w:hint="eastAsia"/>
        </w:rPr>
        <w:t>生态环境部华南环境科学研究所</w:t>
      </w:r>
      <w:bookmarkEnd w:id="439"/>
      <w:r>
        <w:rPr>
          <w:rFonts w:hint="eastAsia"/>
        </w:rPr>
        <w:t>按照《入海排污口监督管理办法（试行）》《入河入海排污口监督管理技术指南 入海排污口设置论证技术导则》（HJ 1406-2024）等技术要求，开展现有排污口位置迁建的方案比选，结合《</w:t>
      </w:r>
      <w:r>
        <w:rPr>
          <w:rFonts w:hint="eastAsia"/>
          <w:lang w:eastAsia="zh-CN"/>
        </w:rPr>
        <w:t>广西壮族自治区</w:t>
      </w:r>
      <w:bookmarkStart w:id="769" w:name="_GoBack"/>
      <w:bookmarkEnd w:id="769"/>
      <w:r>
        <w:rPr>
          <w:rFonts w:hint="eastAsia"/>
        </w:rPr>
        <w:t>近岸海域环境功能区划》以及A2排污区邻近区域的码头、航道建设工程时序等提出环境效益优、经济效益好、建设可行性高的入海排污口设置方案建议。基于上述目的，编制了</w:t>
      </w:r>
      <w:bookmarkStart w:id="440" w:name="OLE_LINK128"/>
      <w:r>
        <w:rPr>
          <w:rFonts w:hint="eastAsia"/>
        </w:rPr>
        <w:t>《入海排污口设置选址可行性研究报告》</w:t>
      </w:r>
      <w:bookmarkEnd w:id="440"/>
      <w:r>
        <w:rPr>
          <w:rFonts w:hint="eastAsia"/>
        </w:rPr>
        <w:t>，2025年10月30日通过专家评审（附件），认为“报告结论可行、排污口比选位置合理，报告中情景2作为排污口迁建方案比较合理”，生态环境部华南环境科学研究所根据评审专家提出的意见，</w:t>
      </w:r>
      <w:bookmarkStart w:id="441" w:name="OLE_LINK129"/>
      <w:r>
        <w:rPr>
          <w:rFonts w:hint="eastAsia"/>
        </w:rPr>
        <w:t>2025年12月</w:t>
      </w:r>
      <w:bookmarkEnd w:id="441"/>
      <w:r>
        <w:rPr>
          <w:rFonts w:hint="eastAsia"/>
        </w:rPr>
        <w:t>修改完成形成《入海排污口设置选址可行性研究报告》（最终稿）。</w:t>
      </w:r>
    </w:p>
    <w:p w14:paraId="105405B9">
      <w:pPr>
        <w:pStyle w:val="6"/>
      </w:pPr>
      <w:r>
        <w:rPr>
          <w:rFonts w:hint="eastAsia"/>
        </w:rPr>
        <w:t>迁改排污口水质影响分析</w:t>
      </w:r>
    </w:p>
    <w:p w14:paraId="31B330D1">
      <w:pPr>
        <w:ind w:firstLine="437"/>
      </w:pPr>
      <w:r>
        <w:rPr>
          <w:rFonts w:hint="eastAsia"/>
        </w:rPr>
        <w:t>本节引用</w:t>
      </w:r>
      <w:bookmarkStart w:id="442" w:name="OLE_LINK251"/>
      <w:bookmarkStart w:id="443" w:name="OLE_LINK134"/>
      <w:r>
        <w:rPr>
          <w:rFonts w:hint="eastAsia"/>
        </w:rPr>
        <w:t>《入海排污口设置选址可行性研究报告》</w:t>
      </w:r>
      <w:bookmarkEnd w:id="442"/>
      <w:r>
        <w:rPr>
          <w:rFonts w:hint="eastAsia"/>
        </w:rPr>
        <w:t>（生态环境部华南环境科学研究所，2025年12月）</w:t>
      </w:r>
      <w:bookmarkEnd w:id="443"/>
      <w:r>
        <w:rPr>
          <w:rFonts w:hint="eastAsia"/>
        </w:rPr>
        <w:t>相关内容。</w:t>
      </w:r>
    </w:p>
    <w:p w14:paraId="6B38B28C">
      <w:pPr>
        <w:ind w:firstLine="437" w:firstLineChars="0"/>
        <w:rPr>
          <w:b/>
          <w:bCs/>
        </w:rPr>
      </w:pPr>
      <w:r>
        <w:rPr>
          <w:rFonts w:hint="eastAsia"/>
          <w:b/>
          <w:bCs/>
        </w:rPr>
        <w:t>1、排污口选址方案设置</w:t>
      </w:r>
    </w:p>
    <w:p w14:paraId="68C5AB2E">
      <w:pPr>
        <w:ind w:firstLine="437"/>
      </w:pPr>
      <w:r>
        <w:rPr>
          <w:rFonts w:hint="eastAsia"/>
        </w:rPr>
        <w:t>论证报告共设置四种不同选址方案。</w:t>
      </w:r>
    </w:p>
    <w:p w14:paraId="4278B08F">
      <w:pPr>
        <w:ind w:firstLine="437"/>
        <w:rPr>
          <w:u w:val="single"/>
        </w:rPr>
      </w:pPr>
      <w:r>
        <w:rPr>
          <w:rFonts w:hint="eastAsia"/>
          <w:u w:val="single"/>
        </w:rPr>
        <w:t>情景1：近岸排放</w:t>
      </w:r>
    </w:p>
    <w:p w14:paraId="3B15D530">
      <w:pPr>
        <w:ind w:firstLine="437"/>
        <w:rPr>
          <w:u w:val="single"/>
        </w:rPr>
      </w:pPr>
      <w:r>
        <w:rPr>
          <w:rFonts w:hint="eastAsia"/>
          <w:u w:val="single"/>
        </w:rPr>
        <w:t>排污管并管后的拟建入海排污口设置在沿岸就近排放，这种排放方式管道设置最短，工程量小，经济投入低。但排放口所在位置水流相对平缓或存在局部环流，水动力交换能力差，污染物稀释慢，容易在排放口周边滞留、积聚，导致局部海域浓度超标，形成明显的污染斑，对近岸生态环境构成长期压力。同时沿岸就近排放不在A2混排区，不符合近岸海域海洋功能区划的要求。因此，此项方案不作考虑。</w:t>
      </w:r>
    </w:p>
    <w:p w14:paraId="68C8AF80">
      <w:pPr>
        <w:ind w:firstLine="437"/>
        <w:rPr>
          <w:u w:val="single"/>
        </w:rPr>
      </w:pPr>
      <w:r>
        <w:rPr>
          <w:rFonts w:hint="eastAsia"/>
          <w:u w:val="single"/>
        </w:rPr>
        <w:t>情景2：</w:t>
      </w:r>
      <w:bookmarkStart w:id="444" w:name="OLE_LINK130"/>
      <w:bookmarkStart w:id="445" w:name="OLE_LINK146"/>
      <w:r>
        <w:rPr>
          <w:rFonts w:hint="eastAsia"/>
          <w:u w:val="single"/>
        </w:rPr>
        <w:t>内1至内5泊位码头</w:t>
      </w:r>
      <w:bookmarkEnd w:id="444"/>
      <w:r>
        <w:rPr>
          <w:rFonts w:hint="eastAsia"/>
          <w:u w:val="single"/>
        </w:rPr>
        <w:t>前沿中间位置</w:t>
      </w:r>
      <w:bookmarkEnd w:id="445"/>
    </w:p>
    <w:p w14:paraId="4FA0665B">
      <w:pPr>
        <w:ind w:firstLine="437"/>
        <w:rPr>
          <w:u w:val="single"/>
        </w:rPr>
      </w:pPr>
      <w:r>
        <w:rPr>
          <w:rFonts w:hint="eastAsia"/>
          <w:u w:val="single"/>
        </w:rPr>
        <w:t>排污管并管后的拟建入海排污口设置在在9号10号泊位扩建工程东侧沿岸中间位置，处于A2混排区排放，排污管道不影响周边港池正常功能使用，铺设排污管道应以通航安全为前提，排污口经纬度为108°39' 21.343"E、21°39' 38.062"N，这种排放方案管道建设主要在陆地上进行，工程可操作性较强，满足环境合法合规、经济成本可控、工程技术可行的核心原则。</w:t>
      </w:r>
    </w:p>
    <w:p w14:paraId="76AB1EDC">
      <w:pPr>
        <w:ind w:firstLine="437"/>
        <w:rPr>
          <w:u w:val="single"/>
        </w:rPr>
      </w:pPr>
      <w:r>
        <w:rPr>
          <w:rFonts w:hint="eastAsia"/>
          <w:u w:val="single"/>
        </w:rPr>
        <w:t>情景3：9号10号泊位扩建工程与内1至内5泊位码头夹角处</w:t>
      </w:r>
    </w:p>
    <w:p w14:paraId="57839BAE">
      <w:pPr>
        <w:ind w:firstLine="437"/>
        <w:rPr>
          <w:u w:val="single"/>
        </w:rPr>
      </w:pPr>
      <w:r>
        <w:rPr>
          <w:rFonts w:hint="eastAsia"/>
          <w:u w:val="single"/>
        </w:rPr>
        <w:t>排污管并管后的拟建入海排污口设置在在9号10号泊位扩建工程东侧沿岸靠近航道拐角位置，处于A2混排区排放。排污口经纬度为108°39'14.42"E、21°39'32.71"N。此项方案可彻底解决9号10号泊位扩建工程用海冲突问题，该点位于航道附近，具备巨大的初始稀释容积和良好的横向混合条件，处于主流向和潮汐通道附近，水动力强劲，污染物初始输运速度快，能迅速获得高倍率的初始稀释，有利于在短时间内将污染物带离排放点，表层超标范围小。</w:t>
      </w:r>
    </w:p>
    <w:p w14:paraId="637BDB22">
      <w:pPr>
        <w:ind w:firstLine="437"/>
        <w:rPr>
          <w:u w:val="single"/>
        </w:rPr>
      </w:pPr>
      <w:r>
        <w:rPr>
          <w:rFonts w:hint="eastAsia"/>
          <w:u w:val="single"/>
        </w:rPr>
        <w:t>情景4：A2混排区中心（航道边）（9、10号扩建工程环评推荐选址附近）</w:t>
      </w:r>
    </w:p>
    <w:p w14:paraId="1FC99B8E">
      <w:pPr>
        <w:ind w:firstLine="437"/>
        <w:rPr>
          <w:u w:val="single"/>
        </w:rPr>
      </w:pPr>
      <w:r>
        <w:rPr>
          <w:rFonts w:hint="eastAsia"/>
          <w:u w:val="single"/>
        </w:rPr>
        <w:t>入海排污口排放位置位于</w:t>
      </w:r>
      <w:bookmarkStart w:id="446" w:name="OLE_LINK131"/>
      <w:r>
        <w:rPr>
          <w:rFonts w:hint="eastAsia"/>
          <w:u w:val="single"/>
        </w:rPr>
        <w:t>A2混排区</w:t>
      </w:r>
      <w:bookmarkEnd w:id="446"/>
      <w:r>
        <w:rPr>
          <w:rFonts w:hint="eastAsia"/>
          <w:u w:val="single"/>
        </w:rPr>
        <w:t>范围的中心点，排污口经纬度为108°39'15.57"E、21°39'14.52"N。此项方案的排污口虽然处于主流向和潮汐通道附近，水动力强劲，污染物初始输运速度快，但是该位置也是船舶同行的航道，来往船只较多，在此处设置排污口会有潜在妨碍通航安全的可能。同时该方案需要铺设长距离、大深度的海底管道，建设投资巨大，后期维护成本和能耗也较高。</w:t>
      </w:r>
    </w:p>
    <w:p w14:paraId="2ECDD89F">
      <w:pPr>
        <w:ind w:firstLine="0" w:firstLineChars="0"/>
        <w:jc w:val="center"/>
      </w:pPr>
    </w:p>
    <w:p w14:paraId="46EE1121">
      <w:pPr>
        <w:pStyle w:val="8"/>
        <w:ind w:left="851"/>
        <w:rPr>
          <w:u w:val="single"/>
        </w:rPr>
      </w:pPr>
      <w:r>
        <w:rPr>
          <w:rFonts w:hint="eastAsia"/>
          <w:u w:val="single"/>
        </w:rPr>
        <w:t>论证报告中四种选址方案位置示意图</w:t>
      </w:r>
    </w:p>
    <w:p w14:paraId="374C0E0B">
      <w:pPr>
        <w:ind w:firstLine="437"/>
      </w:pPr>
      <w:r>
        <w:rPr>
          <w:rFonts w:hint="eastAsia"/>
        </w:rPr>
        <w:t>经初步分析，论证报告认为</w:t>
      </w:r>
      <w:r>
        <w:rPr>
          <w:rFonts w:hint="eastAsia"/>
          <w:color w:val="000000"/>
        </w:rPr>
        <w:t>情景2和情景3符合相关要求，情景1和情景4不符合选址要求；报告重点对情景2和情景3进行深入分析。</w:t>
      </w:r>
    </w:p>
    <w:p w14:paraId="428586CD">
      <w:pPr>
        <w:ind w:firstLine="437" w:firstLineChars="0"/>
        <w:rPr>
          <w:b/>
          <w:bCs/>
        </w:rPr>
      </w:pPr>
      <w:r>
        <w:rPr>
          <w:rFonts w:hint="eastAsia"/>
          <w:b/>
          <w:bCs/>
        </w:rPr>
        <w:t>2、源强核算</w:t>
      </w:r>
    </w:p>
    <w:p w14:paraId="03543DCA">
      <w:pPr>
        <w:ind w:firstLine="437" w:firstLineChars="0"/>
      </w:pPr>
      <w:r>
        <w:rPr>
          <w:rFonts w:hint="eastAsia"/>
        </w:rPr>
        <w:t>对区域主要水污染物产排企业进行统计汇总，区域内企业排入A2排污区的污染源强见下表：</w:t>
      </w:r>
    </w:p>
    <w:p w14:paraId="6B5B51CE">
      <w:pPr>
        <w:pStyle w:val="7"/>
      </w:pPr>
      <w:bookmarkStart w:id="447" w:name="OLE_LINK133"/>
      <w:r>
        <w:t>区域内</w:t>
      </w:r>
      <w:r>
        <w:rPr>
          <w:rFonts w:hint="eastAsia"/>
        </w:rPr>
        <w:t>各企业</w:t>
      </w:r>
      <w:r>
        <w:t>入海排污口</w:t>
      </w:r>
      <w:r>
        <w:rPr>
          <w:rFonts w:hint="eastAsia"/>
        </w:rPr>
        <w:t>排污限量</w:t>
      </w:r>
    </w:p>
    <w:tbl>
      <w:tblPr>
        <w:tblStyle w:val="89"/>
        <w:tblW w:w="496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85"/>
        <w:gridCol w:w="1281"/>
        <w:gridCol w:w="2919"/>
        <w:gridCol w:w="3090"/>
      </w:tblGrid>
      <w:tr w14:paraId="497BDB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9" w:type="pct"/>
            <w:vAlign w:val="center"/>
          </w:tcPr>
          <w:p w14:paraId="295E4200">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企业</w:t>
            </w:r>
          </w:p>
        </w:tc>
        <w:tc>
          <w:tcPr>
            <w:tcW w:w="756" w:type="pct"/>
            <w:vAlign w:val="center"/>
          </w:tcPr>
          <w:p w14:paraId="2016D5A4">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现状排污量</w:t>
            </w:r>
          </w:p>
        </w:tc>
        <w:tc>
          <w:tcPr>
            <w:tcW w:w="1722" w:type="pct"/>
            <w:vAlign w:val="center"/>
          </w:tcPr>
          <w:p w14:paraId="270EADAD">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已批复排污量</w:t>
            </w:r>
          </w:p>
        </w:tc>
        <w:tc>
          <w:tcPr>
            <w:tcW w:w="1823" w:type="pct"/>
            <w:vAlign w:val="center"/>
          </w:tcPr>
          <w:p w14:paraId="7929890E">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远期排污量</w:t>
            </w:r>
          </w:p>
        </w:tc>
      </w:tr>
      <w:tr w14:paraId="5697F1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9" w:type="pct"/>
            <w:vAlign w:val="center"/>
          </w:tcPr>
          <w:p w14:paraId="2FA6F315">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大榄坪</w:t>
            </w:r>
          </w:p>
        </w:tc>
        <w:tc>
          <w:tcPr>
            <w:tcW w:w="756" w:type="pct"/>
            <w:vAlign w:val="center"/>
          </w:tcPr>
          <w:p w14:paraId="32C83CCE">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5000 t/d</w:t>
            </w:r>
          </w:p>
        </w:tc>
        <w:tc>
          <w:tcPr>
            <w:tcW w:w="1722" w:type="pct"/>
            <w:vAlign w:val="center"/>
          </w:tcPr>
          <w:p w14:paraId="46D16BF3">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50000 t/d</w:t>
            </w:r>
          </w:p>
        </w:tc>
        <w:tc>
          <w:tcPr>
            <w:tcW w:w="1823" w:type="pct"/>
            <w:vAlign w:val="center"/>
          </w:tcPr>
          <w:p w14:paraId="6B271D32">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100000 t/d</w:t>
            </w:r>
          </w:p>
        </w:tc>
      </w:tr>
      <w:tr w14:paraId="20FD61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9" w:type="pct"/>
            <w:vAlign w:val="center"/>
          </w:tcPr>
          <w:p w14:paraId="1E239825">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金桂浆</w:t>
            </w:r>
          </w:p>
        </w:tc>
        <w:tc>
          <w:tcPr>
            <w:tcW w:w="756" w:type="pct"/>
            <w:vAlign w:val="center"/>
          </w:tcPr>
          <w:p w14:paraId="56907B0A">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58350 t/d</w:t>
            </w:r>
          </w:p>
        </w:tc>
        <w:tc>
          <w:tcPr>
            <w:tcW w:w="1722" w:type="pct"/>
            <w:vAlign w:val="center"/>
          </w:tcPr>
          <w:p w14:paraId="7FCCFFED">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86067.74 t/d</w:t>
            </w:r>
          </w:p>
        </w:tc>
        <w:tc>
          <w:tcPr>
            <w:tcW w:w="1823" w:type="pct"/>
            <w:vAlign w:val="center"/>
          </w:tcPr>
          <w:p w14:paraId="76832A5E">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86067.74 t/d (A2排污区)</w:t>
            </w:r>
          </w:p>
        </w:tc>
      </w:tr>
      <w:tr w14:paraId="7E6A01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9" w:type="pct"/>
            <w:vAlign w:val="center"/>
          </w:tcPr>
          <w:p w14:paraId="338C36ED">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中伟</w:t>
            </w:r>
          </w:p>
        </w:tc>
        <w:tc>
          <w:tcPr>
            <w:tcW w:w="756" w:type="pct"/>
            <w:vAlign w:val="center"/>
          </w:tcPr>
          <w:p w14:paraId="2523E04A">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10000 t/d</w:t>
            </w:r>
          </w:p>
        </w:tc>
        <w:tc>
          <w:tcPr>
            <w:tcW w:w="1722" w:type="pct"/>
            <w:vAlign w:val="center"/>
          </w:tcPr>
          <w:p w14:paraId="6C604794">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10000 t/d</w:t>
            </w:r>
          </w:p>
          <w:p w14:paraId="44A6EAA8">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(借大榄坪管道排污)</w:t>
            </w:r>
          </w:p>
        </w:tc>
        <w:tc>
          <w:tcPr>
            <w:tcW w:w="1823" w:type="pct"/>
            <w:vAlign w:val="center"/>
          </w:tcPr>
          <w:p w14:paraId="52850C77">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25000 t/d</w:t>
            </w:r>
          </w:p>
          <w:p w14:paraId="553C1E7A">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(排放进入大榄坪，不再叠加核算)</w:t>
            </w:r>
          </w:p>
        </w:tc>
      </w:tr>
      <w:tr w14:paraId="3B2396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9" w:type="pct"/>
            <w:vAlign w:val="center"/>
          </w:tcPr>
          <w:p w14:paraId="43D0A9B0">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格派</w:t>
            </w:r>
          </w:p>
        </w:tc>
        <w:tc>
          <w:tcPr>
            <w:tcW w:w="756" w:type="pct"/>
            <w:vAlign w:val="center"/>
          </w:tcPr>
          <w:p w14:paraId="370AA778">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1722" w:type="pct"/>
            <w:vAlign w:val="center"/>
          </w:tcPr>
          <w:p w14:paraId="2EC77AF7">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448940 t/a (1230.0 t/d)</w:t>
            </w:r>
          </w:p>
          <w:p w14:paraId="35C51D70">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(排放进入大榄坪，不单独核算)</w:t>
            </w:r>
          </w:p>
        </w:tc>
        <w:tc>
          <w:tcPr>
            <w:tcW w:w="1823" w:type="pct"/>
            <w:vAlign w:val="center"/>
          </w:tcPr>
          <w:p w14:paraId="66072501">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r>
      <w:tr w14:paraId="24D140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9" w:type="pct"/>
            <w:vAlign w:val="center"/>
          </w:tcPr>
          <w:p w14:paraId="5F636861">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合计</w:t>
            </w:r>
          </w:p>
        </w:tc>
        <w:tc>
          <w:tcPr>
            <w:tcW w:w="756" w:type="pct"/>
            <w:vAlign w:val="center"/>
          </w:tcPr>
          <w:p w14:paraId="03A84B9A">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3家排放</w:t>
            </w:r>
          </w:p>
          <w:p w14:paraId="6A68F7CF">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73350 t/d</w:t>
            </w:r>
          </w:p>
        </w:tc>
        <w:tc>
          <w:tcPr>
            <w:tcW w:w="1722" w:type="pct"/>
            <w:vAlign w:val="center"/>
          </w:tcPr>
          <w:p w14:paraId="57F7A820">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3家排放</w:t>
            </w:r>
          </w:p>
          <w:p w14:paraId="52F9AAFE">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146067.74 t/d</w:t>
            </w:r>
          </w:p>
        </w:tc>
        <w:tc>
          <w:tcPr>
            <w:tcW w:w="1823" w:type="pct"/>
            <w:vAlign w:val="center"/>
          </w:tcPr>
          <w:p w14:paraId="4F21A42B">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2家排放</w:t>
            </w:r>
          </w:p>
          <w:p w14:paraId="58A3F3EA">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186067.74 t/d</w:t>
            </w:r>
          </w:p>
        </w:tc>
      </w:tr>
      <w:bookmarkEnd w:id="447"/>
    </w:tbl>
    <w:p w14:paraId="402AB62E">
      <w:pPr>
        <w:ind w:firstLine="437"/>
      </w:pPr>
      <w:r>
        <w:rPr>
          <w:rFonts w:hint="eastAsia"/>
        </w:rPr>
        <w:t>目前各排污企业排放</w:t>
      </w:r>
      <w:r>
        <w:rPr>
          <w:rFonts w:hint="eastAsia"/>
          <w:color w:val="000000"/>
        </w:rPr>
        <w:t>情况为：大榄坪污水处理厂以流量5000t/d排放、金桂浆纸业有限公司以58350t/d排放、中伟新能源有限公司以10000t/d排放，排放总量为73350t/d。各单位近期批复排放量分别为大榄坪污水处理厂50000t/d排放、金桂浆纸业有限公司86067.74t/d，中伟新能源有限公司10000t/d排放，即排放总量为146067.74t/d。批复排放量较现状排放量增加了72717.74t/d，论证模型对已</w:t>
      </w:r>
      <w:r>
        <w:rPr>
          <w:lang w:val="zh-CN"/>
        </w:rPr>
        <w:t>批复</w:t>
      </w:r>
      <w:r>
        <w:rPr>
          <w:rFonts w:hint="eastAsia"/>
        </w:rPr>
        <w:t>增加的排放量在情景2 和情景3 排污口排放扩散情况进行模拟。</w:t>
      </w:r>
      <w:r>
        <w:rPr>
          <w:lang w:val="zh-CN"/>
        </w:rPr>
        <w:t>批复排污口流量为1.370m</w:t>
      </w:r>
      <w:r>
        <w:rPr>
          <w:vertAlign w:val="superscript"/>
          <w:lang w:val="zh-CN"/>
        </w:rPr>
        <w:t>3</w:t>
      </w:r>
      <w:r>
        <w:rPr>
          <w:lang w:val="zh-CN"/>
        </w:rPr>
        <w:t>/s。</w:t>
      </w:r>
    </w:p>
    <w:p w14:paraId="450CC83A">
      <w:pPr>
        <w:pStyle w:val="7"/>
      </w:pPr>
      <w:r>
        <w:t>排污口污染物浓度指标</w:t>
      </w:r>
    </w:p>
    <w:tbl>
      <w:tblPr>
        <w:tblStyle w:val="89"/>
        <w:tblW w:w="4999"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888"/>
        <w:gridCol w:w="4638"/>
      </w:tblGrid>
      <w:tr w14:paraId="6EC3C7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vAlign w:val="center"/>
          </w:tcPr>
          <w:p w14:paraId="166A2341">
            <w:pPr>
              <w:spacing w:line="240" w:lineRule="exact"/>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污染物类型</w:t>
            </w:r>
          </w:p>
        </w:tc>
        <w:tc>
          <w:tcPr>
            <w:tcW w:w="2720" w:type="pct"/>
            <w:vAlign w:val="center"/>
          </w:tcPr>
          <w:p w14:paraId="582717AA">
            <w:pPr>
              <w:spacing w:line="240" w:lineRule="exact"/>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批复污染物浓度（mg/L）</w:t>
            </w:r>
          </w:p>
        </w:tc>
      </w:tr>
      <w:tr w14:paraId="30C399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67D3D543">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氨氮(NH</w:t>
            </w:r>
            <w:r>
              <w:rPr>
                <w:rFonts w:ascii="Times New Roman" w:hAnsi="Times New Roman" w:cs="Times New Roman"/>
                <w:kern w:val="0"/>
                <w:sz w:val="21"/>
                <w:szCs w:val="21"/>
                <w:vertAlign w:val="subscript"/>
              </w:rPr>
              <w:t>3</w:t>
            </w:r>
            <w:r>
              <w:rPr>
                <w:rFonts w:ascii="Times New Roman" w:hAnsi="Times New Roman" w:cs="Times New Roman"/>
                <w:kern w:val="0"/>
                <w:sz w:val="21"/>
                <w:szCs w:val="21"/>
              </w:rPr>
              <w:t>-N)</w:t>
            </w:r>
          </w:p>
        </w:tc>
        <w:tc>
          <w:tcPr>
            <w:tcW w:w="2720" w:type="pct"/>
          </w:tcPr>
          <w:p w14:paraId="44A95F8E">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6.902</w:t>
            </w:r>
          </w:p>
        </w:tc>
      </w:tr>
      <w:tr w14:paraId="73436D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5AF26D81">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化学需氧量</w:t>
            </w:r>
          </w:p>
        </w:tc>
        <w:tc>
          <w:tcPr>
            <w:tcW w:w="2720" w:type="pct"/>
          </w:tcPr>
          <w:p w14:paraId="215FCCE0">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69.721</w:t>
            </w:r>
          </w:p>
        </w:tc>
      </w:tr>
      <w:tr w14:paraId="62BF90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7CBEC7A8">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悬浮物</w:t>
            </w:r>
          </w:p>
        </w:tc>
        <w:tc>
          <w:tcPr>
            <w:tcW w:w="2720" w:type="pct"/>
          </w:tcPr>
          <w:p w14:paraId="3DFE6042">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23.240</w:t>
            </w:r>
          </w:p>
        </w:tc>
      </w:tr>
      <w:tr w14:paraId="1F33B5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6A27C2D7">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总氮(以N计)</w:t>
            </w:r>
          </w:p>
        </w:tc>
        <w:tc>
          <w:tcPr>
            <w:tcW w:w="2720" w:type="pct"/>
          </w:tcPr>
          <w:p w14:paraId="126A9DC8">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13.943</w:t>
            </w:r>
          </w:p>
        </w:tc>
      </w:tr>
      <w:tr w14:paraId="586727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1DD289DD">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六价铬</w:t>
            </w:r>
          </w:p>
        </w:tc>
        <w:tc>
          <w:tcPr>
            <w:tcW w:w="2720" w:type="pct"/>
          </w:tcPr>
          <w:p w14:paraId="30FF9796">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0.021</w:t>
            </w:r>
          </w:p>
        </w:tc>
      </w:tr>
      <w:tr w14:paraId="417019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08536FC8">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总磷 (以P计)</w:t>
            </w:r>
          </w:p>
        </w:tc>
        <w:tc>
          <w:tcPr>
            <w:tcW w:w="2720" w:type="pct"/>
          </w:tcPr>
          <w:p w14:paraId="03F3F7A5">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0.648</w:t>
            </w:r>
          </w:p>
        </w:tc>
      </w:tr>
      <w:tr w14:paraId="149A26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04A09B82">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总砷</w:t>
            </w:r>
          </w:p>
        </w:tc>
        <w:tc>
          <w:tcPr>
            <w:tcW w:w="2720" w:type="pct"/>
          </w:tcPr>
          <w:p w14:paraId="207A72FD">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0.042</w:t>
            </w:r>
          </w:p>
        </w:tc>
      </w:tr>
      <w:tr w14:paraId="29900C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78C5FCD5">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总铜</w:t>
            </w:r>
          </w:p>
        </w:tc>
        <w:tc>
          <w:tcPr>
            <w:tcW w:w="2720" w:type="pct"/>
          </w:tcPr>
          <w:p w14:paraId="5E81831E">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0.042</w:t>
            </w:r>
          </w:p>
        </w:tc>
      </w:tr>
      <w:tr w14:paraId="1451C1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164E04E6">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总锌</w:t>
            </w:r>
          </w:p>
        </w:tc>
        <w:tc>
          <w:tcPr>
            <w:tcW w:w="2720" w:type="pct"/>
          </w:tcPr>
          <w:p w14:paraId="4A1EA2A0">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0.084</w:t>
            </w:r>
          </w:p>
        </w:tc>
      </w:tr>
      <w:tr w14:paraId="5878BD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1F742CE9">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总铅</w:t>
            </w:r>
          </w:p>
        </w:tc>
        <w:tc>
          <w:tcPr>
            <w:tcW w:w="2720" w:type="pct"/>
          </w:tcPr>
          <w:p w14:paraId="46EBA07D">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0.042</w:t>
            </w:r>
          </w:p>
        </w:tc>
      </w:tr>
    </w:tbl>
    <w:p w14:paraId="0CC41AEF">
      <w:pPr>
        <w:ind w:firstLine="437" w:firstLineChars="0"/>
        <w:rPr>
          <w:b/>
          <w:bCs/>
        </w:rPr>
      </w:pPr>
      <w:r>
        <w:rPr>
          <w:rFonts w:hint="eastAsia"/>
          <w:b/>
          <w:bCs/>
        </w:rPr>
        <w:t>3、水质预测结果</w:t>
      </w:r>
    </w:p>
    <w:p w14:paraId="06EB0BA2">
      <w:pPr>
        <w:ind w:firstLine="437" w:firstLineChars="0"/>
      </w:pPr>
      <w:r>
        <w:rPr>
          <w:rFonts w:hint="eastAsia"/>
        </w:rPr>
        <w:t>根据模拟预测结果，在各排污单位批复增量排放情况下，即大榄坪污水处理厂50000t/d排放、金桂浆纸业有限公司86067.74t/d排放，中伟新能源有限公司10000t/d排放，即排放总量为146067.74t/d，较目前排放增加72717.74t/d。批复增量排放下，情景2和情景3方案下排污口批复增加排放污染物的最大浓度叠加现状排放本底值后在A2排污区域均能满足《海水水质标准》(GB 3097-1997) 的第四类管理要求，符合A2排污区排污要求。对海域水环境的影响在可接受范围内，从环境角度论证均是可行的。</w:t>
      </w:r>
    </w:p>
    <w:p w14:paraId="65E65FDB">
      <w:pPr>
        <w:spacing w:line="240" w:lineRule="atLeast"/>
        <w:ind w:firstLine="0" w:firstLineChars="0"/>
        <w:jc w:val="center"/>
      </w:pPr>
    </w:p>
    <w:p w14:paraId="51F843AD">
      <w:pPr>
        <w:pStyle w:val="8"/>
        <w:ind w:left="851"/>
        <w:rPr>
          <w:rFonts w:hint="eastAsia" w:ascii="宋体" w:hAnsi="宋体" w:cs="宋体"/>
          <w:sz w:val="21"/>
          <w:szCs w:val="21"/>
        </w:rPr>
      </w:pPr>
      <w:r>
        <w:rPr>
          <w:sz w:val="21"/>
          <w:szCs w:val="21"/>
        </w:rPr>
        <w:t>已批</w:t>
      </w:r>
      <w:r>
        <w:rPr>
          <w:rFonts w:hint="eastAsia" w:ascii="宋体" w:hAnsi="宋体" w:cs="宋体"/>
          <w:bCs/>
          <w:color w:val="000000" w:themeColor="text1"/>
          <w:sz w:val="21"/>
          <w:szCs w:val="21"/>
          <w14:textFill>
            <w14:solidFill>
              <w14:schemeClr w14:val="tx1"/>
            </w14:solidFill>
          </w14:textFill>
        </w:rPr>
        <w:t>复增量</w:t>
      </w:r>
      <w:r>
        <w:rPr>
          <w:rFonts w:hint="eastAsia"/>
        </w:rPr>
        <w:t>情况</w:t>
      </w:r>
      <w:r>
        <w:rPr>
          <w:rFonts w:hint="eastAsia" w:ascii="宋体" w:hAnsi="宋体" w:cs="宋体"/>
          <w:bCs/>
          <w:color w:val="000000" w:themeColor="text1"/>
          <w:sz w:val="21"/>
          <w:szCs w:val="21"/>
          <w14:textFill>
            <w14:solidFill>
              <w14:schemeClr w14:val="tx1"/>
            </w14:solidFill>
          </w14:textFill>
        </w:rPr>
        <w:t>下情景2</w:t>
      </w:r>
      <w:r>
        <w:rPr>
          <w:rFonts w:hint="eastAsia" w:ascii="宋体" w:hAnsi="宋体" w:cs="宋体"/>
          <w:sz w:val="21"/>
          <w:szCs w:val="21"/>
        </w:rPr>
        <w:t>化学需氧量</w:t>
      </w:r>
      <w:r>
        <w:rPr>
          <w:rFonts w:hint="eastAsia" w:ascii="宋体" w:hAnsi="宋体" w:cs="宋体"/>
          <w:bCs/>
          <w:color w:val="000000" w:themeColor="text1"/>
          <w:sz w:val="21"/>
          <w:szCs w:val="21"/>
          <w14:textFill>
            <w14:solidFill>
              <w14:schemeClr w14:val="tx1"/>
            </w14:solidFill>
          </w14:textFill>
        </w:rPr>
        <w:t>扩散范围图</w:t>
      </w:r>
      <w:r>
        <w:rPr>
          <w:rFonts w:hint="eastAsia" w:ascii="宋体" w:hAnsi="宋体" w:cs="宋体"/>
          <w:sz w:val="21"/>
          <w:szCs w:val="21"/>
        </w:rPr>
        <w:t>（叠加现状排放本底值）</w:t>
      </w:r>
    </w:p>
    <w:p w14:paraId="3C492C00">
      <w:pPr>
        <w:pStyle w:val="179"/>
      </w:pPr>
    </w:p>
    <w:p w14:paraId="5E29C1E8">
      <w:pPr>
        <w:pStyle w:val="8"/>
        <w:ind w:left="851"/>
        <w:rPr>
          <w:rFonts w:hint="eastAsia" w:ascii="宋体" w:hAnsi="宋体" w:cs="宋体"/>
          <w:sz w:val="21"/>
          <w:szCs w:val="21"/>
        </w:rPr>
      </w:pPr>
      <w:r>
        <w:rPr>
          <w:rFonts w:hint="eastAsia" w:ascii="宋体" w:hAnsi="宋体" w:cs="宋体"/>
          <w:sz w:val="21"/>
          <w:szCs w:val="21"/>
        </w:rPr>
        <w:t>已</w:t>
      </w:r>
      <w:r>
        <w:rPr>
          <w:rFonts w:hint="eastAsia" w:ascii="宋体" w:hAnsi="宋体" w:cs="宋体"/>
          <w:bCs/>
          <w:color w:val="000000" w:themeColor="text1"/>
          <w:sz w:val="21"/>
          <w:szCs w:val="21"/>
          <w14:textFill>
            <w14:solidFill>
              <w14:schemeClr w14:val="tx1"/>
            </w14:solidFill>
          </w14:textFill>
        </w:rPr>
        <w:t>批复增量情况下情景2</w:t>
      </w:r>
      <w:r>
        <w:rPr>
          <w:rFonts w:hint="eastAsia" w:ascii="宋体" w:hAnsi="宋体" w:cs="宋体"/>
          <w:sz w:val="21"/>
          <w:szCs w:val="21"/>
        </w:rPr>
        <w:t>活性磷酸盐</w:t>
      </w:r>
      <w:r>
        <w:rPr>
          <w:rFonts w:hint="eastAsia" w:ascii="宋体" w:hAnsi="宋体" w:cs="宋体"/>
          <w:bCs/>
          <w:color w:val="000000" w:themeColor="text1"/>
          <w:sz w:val="21"/>
          <w:szCs w:val="21"/>
          <w14:textFill>
            <w14:solidFill>
              <w14:schemeClr w14:val="tx1"/>
            </w14:solidFill>
          </w14:textFill>
        </w:rPr>
        <w:t>扩散范围图</w:t>
      </w:r>
      <w:r>
        <w:rPr>
          <w:rFonts w:hint="eastAsia" w:ascii="宋体" w:hAnsi="宋体" w:cs="宋体"/>
          <w:sz w:val="21"/>
          <w:szCs w:val="21"/>
        </w:rPr>
        <w:t>（叠加现状排放本底值）</w:t>
      </w:r>
    </w:p>
    <w:p w14:paraId="0300CD2F">
      <w:pPr>
        <w:pStyle w:val="29"/>
        <w:spacing w:after="0" w:line="240" w:lineRule="atLeast"/>
        <w:ind w:left="0"/>
        <w:jc w:val="center"/>
        <w:rPr>
          <w:rFonts w:hint="eastAsia" w:ascii="宋体" w:hAnsi="宋体" w:eastAsia="宋体" w:cs="宋体"/>
          <w:szCs w:val="21"/>
        </w:rPr>
      </w:pPr>
    </w:p>
    <w:p w14:paraId="50CC26C4">
      <w:pPr>
        <w:pStyle w:val="8"/>
        <w:ind w:left="851"/>
        <w:rPr>
          <w:rFonts w:hint="eastAsia" w:ascii="宋体" w:hAnsi="宋体" w:cs="宋体"/>
          <w:sz w:val="21"/>
          <w:szCs w:val="21"/>
        </w:rPr>
      </w:pPr>
      <w:r>
        <w:rPr>
          <w:rFonts w:hint="eastAsia" w:ascii="宋体" w:hAnsi="宋体" w:cs="宋体"/>
          <w:sz w:val="21"/>
          <w:szCs w:val="21"/>
        </w:rPr>
        <w:t>已</w:t>
      </w:r>
      <w:r>
        <w:rPr>
          <w:rFonts w:hint="eastAsia"/>
        </w:rPr>
        <w:t>批复</w:t>
      </w:r>
      <w:r>
        <w:rPr>
          <w:rFonts w:hint="eastAsia" w:ascii="宋体" w:hAnsi="宋体" w:cs="宋体"/>
          <w:bCs/>
          <w:color w:val="000000" w:themeColor="text1"/>
          <w:sz w:val="21"/>
          <w:szCs w:val="21"/>
          <w14:textFill>
            <w14:solidFill>
              <w14:schemeClr w14:val="tx1"/>
            </w14:solidFill>
          </w14:textFill>
        </w:rPr>
        <w:t>增量情况下情景2</w:t>
      </w:r>
      <w:r>
        <w:rPr>
          <w:rFonts w:hint="eastAsia" w:ascii="宋体" w:hAnsi="宋体" w:cs="宋体"/>
          <w:sz w:val="21"/>
          <w:szCs w:val="21"/>
        </w:rPr>
        <w:t>无机氮</w:t>
      </w:r>
      <w:r>
        <w:rPr>
          <w:rFonts w:hint="eastAsia" w:ascii="宋体" w:hAnsi="宋体" w:cs="宋体"/>
          <w:bCs/>
          <w:color w:val="000000" w:themeColor="text1"/>
          <w:sz w:val="21"/>
          <w:szCs w:val="21"/>
          <w14:textFill>
            <w14:solidFill>
              <w14:schemeClr w14:val="tx1"/>
            </w14:solidFill>
          </w14:textFill>
        </w:rPr>
        <w:t>扩散范围图</w:t>
      </w:r>
      <w:r>
        <w:rPr>
          <w:rFonts w:hint="eastAsia" w:ascii="宋体" w:hAnsi="宋体" w:cs="宋体"/>
          <w:sz w:val="21"/>
          <w:szCs w:val="21"/>
        </w:rPr>
        <w:t>（叠加现状排放本底值）</w:t>
      </w:r>
    </w:p>
    <w:p w14:paraId="42F80ADE">
      <w:pPr>
        <w:pStyle w:val="29"/>
        <w:ind w:left="0" w:firstLine="317"/>
        <w:jc w:val="center"/>
        <w:rPr>
          <w:rFonts w:hint="eastAsia" w:ascii="宋体" w:hAnsi="宋体" w:eastAsia="宋体" w:cs="宋体"/>
          <w:szCs w:val="21"/>
        </w:rPr>
      </w:pPr>
    </w:p>
    <w:p w14:paraId="40C5B313">
      <w:pPr>
        <w:ind w:firstLine="0" w:firstLineChars="0"/>
        <w:jc w:val="center"/>
      </w:pPr>
    </w:p>
    <w:p w14:paraId="7B73C43A">
      <w:pPr>
        <w:pStyle w:val="8"/>
        <w:ind w:left="851"/>
        <w:rPr>
          <w:rFonts w:hint="eastAsia" w:ascii="宋体" w:hAnsi="宋体" w:cs="宋体"/>
          <w:sz w:val="21"/>
          <w:szCs w:val="21"/>
        </w:rPr>
      </w:pPr>
      <w:r>
        <w:rPr>
          <w:sz w:val="21"/>
          <w:szCs w:val="21"/>
        </w:rPr>
        <w:t>已批</w:t>
      </w:r>
      <w:r>
        <w:rPr>
          <w:rFonts w:hint="eastAsia" w:ascii="宋体" w:hAnsi="宋体" w:cs="宋体"/>
          <w:bCs/>
          <w:color w:val="000000" w:themeColor="text1"/>
          <w:sz w:val="21"/>
          <w:szCs w:val="21"/>
          <w14:textFill>
            <w14:solidFill>
              <w14:schemeClr w14:val="tx1"/>
            </w14:solidFill>
          </w14:textFill>
        </w:rPr>
        <w:t>复增量情况下情景3</w:t>
      </w:r>
      <w:r>
        <w:rPr>
          <w:rFonts w:hint="eastAsia"/>
        </w:rPr>
        <w:t>化学需氧量</w:t>
      </w:r>
      <w:r>
        <w:rPr>
          <w:rFonts w:hint="eastAsia" w:ascii="宋体" w:hAnsi="宋体" w:cs="宋体"/>
          <w:bCs/>
          <w:color w:val="000000" w:themeColor="text1"/>
          <w:sz w:val="21"/>
          <w:szCs w:val="21"/>
          <w14:textFill>
            <w14:solidFill>
              <w14:schemeClr w14:val="tx1"/>
            </w14:solidFill>
          </w14:textFill>
        </w:rPr>
        <w:t>扩散范围图</w:t>
      </w:r>
      <w:r>
        <w:rPr>
          <w:rFonts w:hint="eastAsia" w:ascii="宋体" w:hAnsi="宋体" w:cs="宋体"/>
          <w:sz w:val="21"/>
          <w:szCs w:val="21"/>
        </w:rPr>
        <w:t>（叠加现状排放本底值）</w:t>
      </w:r>
    </w:p>
    <w:p w14:paraId="233BED97">
      <w:pPr>
        <w:pStyle w:val="179"/>
        <w:jc w:val="center"/>
      </w:pPr>
    </w:p>
    <w:p w14:paraId="4D1691E5">
      <w:pPr>
        <w:pStyle w:val="8"/>
        <w:ind w:left="851"/>
        <w:rPr>
          <w:rFonts w:hint="eastAsia" w:ascii="宋体" w:hAnsi="宋体" w:cs="宋体"/>
          <w:sz w:val="21"/>
          <w:szCs w:val="21"/>
        </w:rPr>
      </w:pPr>
      <w:r>
        <w:rPr>
          <w:rFonts w:hint="eastAsia" w:ascii="宋体" w:hAnsi="宋体" w:cs="宋体"/>
          <w:sz w:val="21"/>
          <w:szCs w:val="21"/>
        </w:rPr>
        <w:t>已</w:t>
      </w:r>
      <w:r>
        <w:rPr>
          <w:rFonts w:hint="eastAsia" w:ascii="宋体" w:hAnsi="宋体" w:cs="宋体"/>
          <w:bCs/>
          <w:color w:val="000000" w:themeColor="text1"/>
          <w:sz w:val="21"/>
          <w:szCs w:val="21"/>
          <w14:textFill>
            <w14:solidFill>
              <w14:schemeClr w14:val="tx1"/>
            </w14:solidFill>
          </w14:textFill>
        </w:rPr>
        <w:t>批复增量情况下情景3</w:t>
      </w:r>
      <w:r>
        <w:rPr>
          <w:rFonts w:hint="eastAsia" w:ascii="宋体" w:hAnsi="宋体" w:cs="宋体"/>
          <w:sz w:val="21"/>
          <w:szCs w:val="21"/>
        </w:rPr>
        <w:t>活性磷酸盐</w:t>
      </w:r>
      <w:r>
        <w:rPr>
          <w:rFonts w:hint="eastAsia" w:ascii="宋体" w:hAnsi="宋体" w:cs="宋体"/>
          <w:bCs/>
          <w:color w:val="000000" w:themeColor="text1"/>
          <w:sz w:val="21"/>
          <w:szCs w:val="21"/>
          <w14:textFill>
            <w14:solidFill>
              <w14:schemeClr w14:val="tx1"/>
            </w14:solidFill>
          </w14:textFill>
        </w:rPr>
        <w:t>扩散范围图</w:t>
      </w:r>
      <w:r>
        <w:rPr>
          <w:rFonts w:hint="eastAsia" w:ascii="宋体" w:hAnsi="宋体" w:cs="宋体"/>
          <w:sz w:val="21"/>
          <w:szCs w:val="21"/>
        </w:rPr>
        <w:t>（叠加现状排放本底值）</w:t>
      </w:r>
    </w:p>
    <w:p w14:paraId="75E7E870">
      <w:pPr>
        <w:pStyle w:val="29"/>
        <w:spacing w:after="0" w:line="240" w:lineRule="atLeast"/>
        <w:ind w:left="0"/>
        <w:jc w:val="center"/>
        <w:rPr>
          <w:rFonts w:hint="eastAsia" w:ascii="宋体" w:hAnsi="宋体" w:eastAsia="宋体" w:cs="宋体"/>
          <w:szCs w:val="21"/>
        </w:rPr>
      </w:pPr>
    </w:p>
    <w:p w14:paraId="5CCD0041">
      <w:pPr>
        <w:pStyle w:val="8"/>
        <w:ind w:left="851"/>
        <w:rPr>
          <w:rFonts w:hint="eastAsia" w:ascii="宋体" w:hAnsi="宋体" w:cs="宋体"/>
          <w:sz w:val="21"/>
          <w:szCs w:val="21"/>
        </w:rPr>
      </w:pPr>
      <w:r>
        <w:rPr>
          <w:rFonts w:hint="eastAsia" w:ascii="宋体" w:hAnsi="宋体" w:cs="宋体"/>
          <w:sz w:val="21"/>
          <w:szCs w:val="21"/>
        </w:rPr>
        <w:t>已</w:t>
      </w:r>
      <w:r>
        <w:rPr>
          <w:rFonts w:hint="eastAsia" w:ascii="宋体" w:hAnsi="宋体" w:cs="宋体"/>
          <w:bCs/>
          <w:color w:val="000000" w:themeColor="text1"/>
          <w:sz w:val="21"/>
          <w:szCs w:val="21"/>
          <w14:textFill>
            <w14:solidFill>
              <w14:schemeClr w14:val="tx1"/>
            </w14:solidFill>
          </w14:textFill>
        </w:rPr>
        <w:t>批复增量情况下情景3</w:t>
      </w:r>
      <w:r>
        <w:rPr>
          <w:rFonts w:hint="eastAsia" w:ascii="宋体" w:hAnsi="宋体" w:cs="宋体"/>
          <w:sz w:val="21"/>
          <w:szCs w:val="21"/>
        </w:rPr>
        <w:t>无机氮</w:t>
      </w:r>
      <w:r>
        <w:rPr>
          <w:rFonts w:hint="eastAsia" w:ascii="宋体" w:hAnsi="宋体" w:cs="宋体"/>
          <w:bCs/>
          <w:color w:val="000000" w:themeColor="text1"/>
          <w:sz w:val="21"/>
          <w:szCs w:val="21"/>
          <w14:textFill>
            <w14:solidFill>
              <w14:schemeClr w14:val="tx1"/>
            </w14:solidFill>
          </w14:textFill>
        </w:rPr>
        <w:t>扩散范围图</w:t>
      </w:r>
      <w:r>
        <w:rPr>
          <w:rFonts w:hint="eastAsia" w:ascii="宋体" w:hAnsi="宋体" w:cs="宋体"/>
          <w:sz w:val="21"/>
          <w:szCs w:val="21"/>
        </w:rPr>
        <w:t>（叠加现状排放本底值）</w:t>
      </w:r>
    </w:p>
    <w:p w14:paraId="3C15F877">
      <w:pPr>
        <w:ind w:firstLine="439"/>
        <w:rPr>
          <w:b/>
          <w:bCs/>
        </w:rPr>
      </w:pPr>
      <w:r>
        <w:rPr>
          <w:rFonts w:hint="eastAsia"/>
          <w:b/>
          <w:bCs/>
        </w:rPr>
        <w:t>4、论证报告结论</w:t>
      </w:r>
    </w:p>
    <w:p w14:paraId="10D746E8">
      <w:pPr>
        <w:ind w:firstLine="437"/>
      </w:pPr>
      <w:r>
        <w:rPr>
          <w:rFonts w:hint="eastAsia"/>
        </w:rPr>
        <w:t>在</w:t>
      </w:r>
      <w:r>
        <w:rPr>
          <w:rFonts w:hint="eastAsia"/>
          <w:color w:val="000000"/>
        </w:rPr>
        <w:t>批复排放量</w:t>
      </w:r>
      <w:r>
        <w:rPr>
          <w:b/>
          <w:bCs/>
          <w:color w:val="000000"/>
        </w:rPr>
        <w:t>排放条件</w:t>
      </w:r>
      <w:r>
        <w:rPr>
          <w:color w:val="000000"/>
        </w:rPr>
        <w:t>下</w:t>
      </w:r>
      <w:r>
        <w:rPr>
          <w:rFonts w:hint="eastAsia"/>
          <w:color w:val="000000"/>
        </w:rPr>
        <w:t>（即大榄坪污水处理厂以流量50000t/d排放、金桂浆纸业有限公司以86067.74t/d排放、中伟新能源有限公司以10000t/d排放，排放总量为146067.74t/d，较现状排放增加72717.74t/d），情景2与情景3方案下排污口所形成的污染物扩散范围，其最大浓度叠加现状排放本底值后均能满足A2排污区环境功能区管理要求，即《海水水质标准》(GB 3097-1997) 的第四类海水水质管理要求，对海域水环境的影响在可接受范围内，从环境角度论证均是可行的。</w:t>
      </w:r>
    </w:p>
    <w:p w14:paraId="676D3BAB">
      <w:pPr>
        <w:ind w:firstLine="437"/>
      </w:pPr>
      <w:r>
        <w:rPr>
          <w:rFonts w:hint="eastAsia"/>
        </w:rPr>
        <w:t>从工程经济与实施可行性角度进行综合比选，情景2方案在管道铺设长度、施工难度及总体投资成本方面具有显著优势，更节省资金且可操作性更强。同时情景2方案海洋开发利用活动的干扰最小，长期维护更为便捷，社会协调成本更低。</w:t>
      </w:r>
    </w:p>
    <w:p w14:paraId="18B68158">
      <w:pPr>
        <w:ind w:firstLine="437"/>
      </w:pPr>
      <w:r>
        <w:rPr>
          <w:rFonts w:hint="eastAsia"/>
        </w:rPr>
        <w:t>从环境合法合规、经</w:t>
      </w:r>
      <w:bookmarkStart w:id="448" w:name="OLE_LINK147"/>
      <w:r>
        <w:rPr>
          <w:rFonts w:hint="eastAsia"/>
        </w:rPr>
        <w:t>济成本可控、工程技术可行</w:t>
      </w:r>
      <w:bookmarkEnd w:id="448"/>
      <w:r>
        <w:rPr>
          <w:rFonts w:hint="eastAsia"/>
        </w:rPr>
        <w:t>等核心原则综合分析，论证报告建议采用情景2的选址设置排污口对批复增量的污染物进行排放，排污口位置经纬度为108°39' 21.343"E、21°39' 38.062"N，建议排污口管道铺设与周边拟建工程统一规划、有机结合，确保排污口管道埋深，排放方式安全可靠，排污口设置不影响周边港口的安全使用。</w:t>
      </w:r>
    </w:p>
    <w:p w14:paraId="3894F717">
      <w:pPr>
        <w:pStyle w:val="6"/>
        <w:numPr>
          <w:ilvl w:val="3"/>
          <w:numId w:val="1"/>
        </w:numPr>
        <w:rPr>
          <w:u w:val="single"/>
        </w:rPr>
      </w:pPr>
      <w:r>
        <w:rPr>
          <w:rFonts w:hint="eastAsia"/>
          <w:u w:val="single"/>
        </w:rPr>
        <w:t>迁改排污口与</w:t>
      </w:r>
      <w:bookmarkStart w:id="449" w:name="OLE_LINK248"/>
      <w:r>
        <w:rPr>
          <w:rFonts w:hint="eastAsia"/>
          <w:u w:val="single"/>
        </w:rPr>
        <w:t>《</w:t>
      </w:r>
      <w:bookmarkStart w:id="450" w:name="OLE_LINK245"/>
      <w:r>
        <w:rPr>
          <w:rFonts w:hint="eastAsia"/>
          <w:u w:val="single"/>
        </w:rPr>
        <w:t>污水海洋处置工程污染控制标准</w:t>
      </w:r>
      <w:bookmarkEnd w:id="450"/>
      <w:r>
        <w:rPr>
          <w:rFonts w:hint="eastAsia"/>
          <w:u w:val="single"/>
        </w:rPr>
        <w:t>》(GB18486-2001)</w:t>
      </w:r>
      <w:bookmarkEnd w:id="449"/>
      <w:r>
        <w:rPr>
          <w:rFonts w:hint="eastAsia"/>
          <w:u w:val="single"/>
        </w:rPr>
        <w:t>协调性分析</w:t>
      </w:r>
    </w:p>
    <w:p w14:paraId="698EAFA0">
      <w:pPr>
        <w:ind w:firstLine="437"/>
        <w:rPr>
          <w:u w:val="single"/>
        </w:rPr>
      </w:pPr>
      <w:r>
        <w:rPr>
          <w:rFonts w:hint="eastAsia"/>
          <w:u w:val="single"/>
        </w:rPr>
        <w:t>迁改排污口《入海排污口设置选址可行性研究报告》编制单位生态环境部华南环境科学研究所对本次迁改排污口的性质进行了说明：</w:t>
      </w:r>
    </w:p>
    <w:p w14:paraId="56C3346F">
      <w:pPr>
        <w:ind w:firstLine="437"/>
        <w:rPr>
          <w:u w:val="single"/>
        </w:rPr>
      </w:pPr>
      <w:r>
        <w:rPr>
          <w:rFonts w:hint="eastAsia"/>
          <w:u w:val="single"/>
        </w:rPr>
        <w:t>1、《中华人民共和国海洋环境保护法》中相关要求</w:t>
      </w:r>
    </w:p>
    <w:p w14:paraId="543F8C91">
      <w:pPr>
        <w:ind w:firstLine="437"/>
        <w:rPr>
          <w:u w:val="single"/>
        </w:rPr>
      </w:pPr>
      <w:r>
        <w:rPr>
          <w:rFonts w:hint="eastAsia"/>
          <w:u w:val="single"/>
        </w:rPr>
        <w:t>第四十七条 明确了入海排污口位置选择的要求，提出了“建立健全近岸水体、入海排污口、排污管线、污染源全链条治理体系”。</w:t>
      </w:r>
    </w:p>
    <w:p w14:paraId="25008499">
      <w:pPr>
        <w:ind w:firstLine="437"/>
        <w:rPr>
          <w:u w:val="single"/>
        </w:rPr>
      </w:pPr>
      <w:r>
        <w:rPr>
          <w:rFonts w:hint="eastAsia"/>
          <w:u w:val="single"/>
        </w:rPr>
        <w:t>第十四八条 提出了“在有条件的地区，应当将排污口深水设置，实施离岸排放”。</w:t>
      </w:r>
    </w:p>
    <w:p w14:paraId="1FEBA6F8">
      <w:pPr>
        <w:ind w:firstLine="437"/>
        <w:rPr>
          <w:u w:val="single"/>
        </w:rPr>
      </w:pPr>
      <w:r>
        <w:rPr>
          <w:rFonts w:hint="eastAsia"/>
          <w:u w:val="single"/>
        </w:rPr>
        <w:t>第五十九条 提出了“设置污水海洋处置工程，应当符合国家有关规定”。</w:t>
      </w:r>
    </w:p>
    <w:p w14:paraId="6AC0105D">
      <w:pPr>
        <w:ind w:firstLine="437"/>
        <w:rPr>
          <w:u w:val="single"/>
        </w:rPr>
      </w:pPr>
      <w:r>
        <w:rPr>
          <w:rFonts w:hint="eastAsia"/>
          <w:u w:val="single"/>
        </w:rPr>
        <w:t>从法律条文中可以看出，通过污水海洋处置工程审批和设置的入海排污口，是入海排污口的某一特殊类型。</w:t>
      </w:r>
    </w:p>
    <w:p w14:paraId="454380DC">
      <w:pPr>
        <w:ind w:firstLine="437"/>
        <w:rPr>
          <w:u w:val="single"/>
        </w:rPr>
      </w:pPr>
      <w:r>
        <w:rPr>
          <w:rFonts w:hint="eastAsia"/>
          <w:u w:val="single"/>
        </w:rPr>
        <w:t>2、《入海排污口监督管理办法（试行）》中相关要求</w:t>
      </w:r>
    </w:p>
    <w:p w14:paraId="715BA7D6">
      <w:pPr>
        <w:ind w:firstLine="437"/>
        <w:rPr>
          <w:u w:val="single"/>
        </w:rPr>
      </w:pPr>
      <w:r>
        <w:rPr>
          <w:rFonts w:hint="eastAsia"/>
          <w:u w:val="single"/>
        </w:rPr>
        <w:t>2024年印发的《入海排污口监督管理办法（试行）》，进一步细化了入海排污口的定义：是指法定海岸线向海一侧，直接或者通过管道、沟、渠等排污通道向海洋环境水体排放污水的口门。</w:t>
      </w:r>
    </w:p>
    <w:p w14:paraId="2D7DDD08">
      <w:pPr>
        <w:ind w:firstLine="437"/>
        <w:rPr>
          <w:u w:val="single"/>
        </w:rPr>
      </w:pPr>
      <w:r>
        <w:rPr>
          <w:rFonts w:hint="eastAsia"/>
          <w:u w:val="single"/>
        </w:rPr>
        <w:t>此外该文件进一步明确了在有条件的地区，应当将入海排污口深水设置、实行离岸排放。“第五条  入海排污口的设置应当符合《中华人民共和国海洋环境保护法》等法律法规的规定，尽可能设置在扩散稀释能力较强的海域，合理利用海水自净能力，减轻对海洋生态环境的影响。在有条件的地区，应当将排污口深水设置，实行离岸排放”。</w:t>
      </w:r>
    </w:p>
    <w:p w14:paraId="075B87DD">
      <w:pPr>
        <w:ind w:firstLine="437"/>
        <w:rPr>
          <w:u w:val="single"/>
        </w:rPr>
      </w:pPr>
      <w:r>
        <w:rPr>
          <w:rFonts w:hint="eastAsia"/>
          <w:u w:val="single"/>
        </w:rPr>
        <w:t>3、《入河入海排污口监督管理技术指南 入海排污口设置论证技术导则》（HJ 1406-2024）</w:t>
      </w:r>
    </w:p>
    <w:p w14:paraId="587FCBFB">
      <w:pPr>
        <w:ind w:firstLine="437"/>
        <w:rPr>
          <w:u w:val="single"/>
        </w:rPr>
      </w:pPr>
      <w:r>
        <w:rPr>
          <w:rFonts w:hint="eastAsia"/>
          <w:u w:val="single"/>
        </w:rPr>
        <w:t>2024年印发的技术导则是当前入海排污口选址和设置论证主要参考的依据。该文件对“3.1入海排污口”“3.3污水扩散器”进行了界定。且在文件中明确了不同类型入海排污口设置的要求：“4.3.3 利用污水扩散器的入海排污口，扩散器铺设要求参照 GB 18486 执行。海岸工程采用暗沟或者管道方式排放的，出水管口位置应当在低潮线以下。”</w:t>
      </w:r>
    </w:p>
    <w:p w14:paraId="360767B2">
      <w:pPr>
        <w:ind w:firstLine="437"/>
        <w:rPr>
          <w:u w:val="single"/>
        </w:rPr>
      </w:pPr>
      <w:r>
        <w:rPr>
          <w:rFonts w:hint="eastAsia"/>
          <w:u w:val="single"/>
        </w:rPr>
        <w:t>3、对上述文件的理解</w:t>
      </w:r>
    </w:p>
    <w:p w14:paraId="2BC21F7F">
      <w:pPr>
        <w:ind w:firstLine="437"/>
        <w:rPr>
          <w:u w:val="single"/>
        </w:rPr>
      </w:pPr>
      <w:r>
        <w:rPr>
          <w:rFonts w:hint="eastAsia"/>
          <w:u w:val="single"/>
        </w:rPr>
        <w:t>通过上述文件可以看出，利用污水扩散器进行排放的入海排污口需要符合扩散器铺设的具体要求；其他类型入海排污口，如暗沟或者管道方式排放的，入海排污口出水管口位置应当在低潮线以下。因此，采用管道排放污水的入海排污口并非只能按照设置污水扩散器的形式排放。</w:t>
      </w:r>
    </w:p>
    <w:p w14:paraId="61714D86">
      <w:pPr>
        <w:ind w:firstLine="437"/>
        <w:rPr>
          <w:u w:val="single"/>
        </w:rPr>
      </w:pPr>
      <w:r>
        <w:rPr>
          <w:rFonts w:hint="eastAsia"/>
          <w:u w:val="single"/>
        </w:rPr>
        <w:t>本项目入海排污口位于码头港池，码头岸线向海一侧为港池和航道，采用污水扩散器形式设置入海排污口极易</w:t>
      </w:r>
      <w:r>
        <w:rPr>
          <w:rFonts w:hint="eastAsia"/>
          <w:u w:val="single"/>
          <w:lang w:eastAsia="zh-CN"/>
        </w:rPr>
        <w:t>受到</w:t>
      </w:r>
      <w:r>
        <w:rPr>
          <w:rFonts w:hint="eastAsia"/>
          <w:u w:val="single"/>
        </w:rPr>
        <w:t>港池和航道区域内船舶抛锚影响，也不利于港池和航道疏浚工作的实施。A2排污区内、现有航道外侧临近老人沙，水深不足7米，也不满足污水海洋处置工程设置污水扩散器水深至少7米的要求。因此，排污口迁建近期主要考虑通过管道排放进入海域，且入海排污口设置在低潮线以下的形式。</w:t>
      </w:r>
    </w:p>
    <w:p w14:paraId="06C74F83">
      <w:pPr>
        <w:ind w:firstLine="437"/>
        <w:rPr>
          <w:u w:val="single"/>
        </w:rPr>
      </w:pPr>
      <w:r>
        <w:rPr>
          <w:rFonts w:hint="eastAsia"/>
          <w:u w:val="single"/>
        </w:rPr>
        <w:t>综上所述，本次排污口迁建采用道排放进入海域（可理解为近岸排放），而</w:t>
      </w:r>
      <w:bookmarkStart w:id="451" w:name="OLE_LINK250"/>
      <w:r>
        <w:rPr>
          <w:rFonts w:hint="eastAsia"/>
          <w:u w:val="single"/>
        </w:rPr>
        <w:t>《污水海洋处置工程污染控制标准》(GB18486-2001)</w:t>
      </w:r>
      <w:bookmarkEnd w:id="451"/>
      <w:r>
        <w:rPr>
          <w:rFonts w:hint="eastAsia"/>
          <w:u w:val="single"/>
        </w:rPr>
        <w:t>适用范围为：“本标准适用于利用放流管和水下扩散器向海域或向排放点含盐度大于5</w:t>
      </w:r>
      <w:bookmarkStart w:id="452" w:name="OLE_LINK249"/>
      <w:r>
        <w:rPr>
          <w:rFonts w:hint="eastAsia"/>
          <w:u w:val="single"/>
        </w:rPr>
        <w:t>‰</w:t>
      </w:r>
      <w:bookmarkEnd w:id="452"/>
      <w:r>
        <w:rPr>
          <w:rFonts w:hint="eastAsia"/>
          <w:u w:val="single"/>
        </w:rPr>
        <w:t>的年概率大于10%的河口水域排放污水（不包括温排水）的一切污水海洋处置工程。”一般适用于离岸排放。《污水海洋处置工程污染控制标准》(GB18486-2001)相关要求不适用于本次排污口迁建类型。</w:t>
      </w:r>
    </w:p>
    <w:p w14:paraId="3B065194">
      <w:pPr>
        <w:pStyle w:val="6"/>
        <w:numPr>
          <w:ilvl w:val="3"/>
          <w:numId w:val="1"/>
        </w:numPr>
      </w:pPr>
      <w:r>
        <w:rPr>
          <w:rFonts w:hint="eastAsia"/>
        </w:rPr>
        <w:t>项目与迁改排污口协调性分析</w:t>
      </w:r>
    </w:p>
    <w:p w14:paraId="0FC9B984">
      <w:pPr>
        <w:ind w:firstLine="437"/>
        <w:rPr>
          <w:u w:val="single"/>
        </w:rPr>
      </w:pPr>
      <w:r>
        <w:rPr>
          <w:rFonts w:hint="eastAsia"/>
          <w:u w:val="single"/>
        </w:rPr>
        <w:t>总体来看，钦州市相关部门和企业单位目前正在有序推进排污口就近迁改事宜。</w:t>
      </w:r>
      <w:bookmarkStart w:id="453" w:name="OLE_LINK154"/>
      <w:r>
        <w:rPr>
          <w:rFonts w:hint="eastAsia"/>
          <w:u w:val="single"/>
        </w:rPr>
        <w:t>初步计划2026年6月前完成迁改排污口设计、论证等各项前期手续办理工作，2026年7月与本码头涉水工程同步开展施工，预计同年10月完成迁改排污口及相关管线施工，并对现有排污管进行拆除。目前金桂浆纸复函配合项目相关前期手续办理（附件14）。</w:t>
      </w:r>
    </w:p>
    <w:p w14:paraId="6FB9F431">
      <w:pPr>
        <w:ind w:firstLine="437"/>
      </w:pPr>
      <w:r>
        <w:rPr>
          <w:rFonts w:hint="eastAsia"/>
        </w:rPr>
        <w:t>因金桂浆纸业公司现状排污口已位于本项目港池疏浚范围内，在其未完成迁改前，本项目基本不具备实施条件。</w:t>
      </w:r>
      <w:bookmarkEnd w:id="453"/>
      <w:r>
        <w:rPr>
          <w:rFonts w:hint="eastAsia"/>
          <w:b/>
          <w:bCs/>
        </w:rPr>
        <w:t>评价要求</w:t>
      </w:r>
      <w:bookmarkStart w:id="454" w:name="OLE_LINK212"/>
      <w:r>
        <w:rPr>
          <w:rFonts w:hint="eastAsia"/>
          <w:b/>
          <w:bCs/>
        </w:rPr>
        <w:t>相关单位按国家相关规定、规范等尽快开展迁改排污口的排口论证、环境影响评价工作，综合考虑港口发展和排污区存在的矛盾进一步论证迁改方案的可行性和合理性，落实迁改排口的环保手续，在确保环境质量可控、码头运营不受影响的前提下，合法合规推进</w:t>
      </w:r>
      <w:bookmarkStart w:id="455" w:name="OLE_LINK155"/>
      <w:r>
        <w:rPr>
          <w:rFonts w:hint="eastAsia"/>
          <w:b/>
          <w:bCs/>
        </w:rPr>
        <w:t>排污口迁改工作</w:t>
      </w:r>
      <w:bookmarkEnd w:id="455"/>
      <w:r>
        <w:rPr>
          <w:rFonts w:hint="eastAsia"/>
          <w:b/>
          <w:bCs/>
        </w:rPr>
        <w:t>。</w:t>
      </w:r>
      <w:bookmarkEnd w:id="454"/>
    </w:p>
    <w:p w14:paraId="60038BC5">
      <w:pPr>
        <w:pStyle w:val="4"/>
      </w:pPr>
      <w:bookmarkStart w:id="456" w:name="_Toc198042327"/>
      <w:bookmarkStart w:id="457" w:name="_Toc217977925"/>
      <w:r>
        <w:t>对生态系统影响与评价</w:t>
      </w:r>
      <w:bookmarkEnd w:id="434"/>
      <w:bookmarkEnd w:id="435"/>
      <w:bookmarkEnd w:id="456"/>
      <w:bookmarkEnd w:id="457"/>
    </w:p>
    <w:p w14:paraId="0315DFE8">
      <w:pPr>
        <w:pStyle w:val="5"/>
      </w:pPr>
      <w:r>
        <w:t>对生态敏感保护目标的影响</w:t>
      </w:r>
    </w:p>
    <w:p w14:paraId="03FC958E">
      <w:pPr>
        <w:ind w:firstLine="437"/>
      </w:pPr>
      <w:r>
        <w:t>本项目周边的生态环境敏感目标主要包括</w:t>
      </w:r>
      <w:r>
        <w:rPr>
          <w:rFonts w:hint="eastAsia"/>
        </w:rPr>
        <w:t>红树林湿地、钦州港青菜头南浅海滩涂养殖区</w:t>
      </w:r>
      <w:r>
        <w:t>等。</w:t>
      </w:r>
      <w:r>
        <w:rPr>
          <w:rFonts w:hint="eastAsia"/>
        </w:rPr>
        <w:t>其中项目与</w:t>
      </w:r>
      <w:r>
        <w:t>钦州港青菜头南浅海滩涂养殖区距离较近（约</w:t>
      </w:r>
      <w:r>
        <w:rPr>
          <w:rFonts w:hint="eastAsia"/>
        </w:rPr>
        <w:t>4.8</w:t>
      </w:r>
      <w:r>
        <w:t>km），</w:t>
      </w:r>
      <w:r>
        <w:rPr>
          <w:rFonts w:hint="eastAsia"/>
        </w:rPr>
        <w:t>周边2.8km处分布零散养殖户，</w:t>
      </w:r>
      <w:r>
        <w:t>其他生态敏感区的</w:t>
      </w:r>
      <w:r>
        <w:rPr>
          <w:rFonts w:hint="eastAsia"/>
        </w:rPr>
        <w:t>均</w:t>
      </w:r>
      <w:r>
        <w:t>距离较远（</w:t>
      </w:r>
      <w:r>
        <w:rPr>
          <w:rFonts w:hint="eastAsia"/>
        </w:rPr>
        <w:t>8.8</w:t>
      </w:r>
      <w:r>
        <w:t>km</w:t>
      </w:r>
      <w:r>
        <w:rPr>
          <w:rFonts w:hint="eastAsia"/>
        </w:rPr>
        <w:t>以外</w:t>
      </w:r>
      <w:r>
        <w:t>）。</w:t>
      </w:r>
    </w:p>
    <w:p w14:paraId="7C4B3A58">
      <w:pPr>
        <w:pStyle w:val="6"/>
      </w:pPr>
      <w:r>
        <w:t>对</w:t>
      </w:r>
      <w:r>
        <w:rPr>
          <w:rFonts w:hint="eastAsia"/>
        </w:rPr>
        <w:t>养殖区</w:t>
      </w:r>
      <w:r>
        <w:t>的影响分析</w:t>
      </w:r>
    </w:p>
    <w:p w14:paraId="6D0A2EB0">
      <w:pPr>
        <w:ind w:firstLine="437"/>
      </w:pPr>
      <w:r>
        <w:rPr>
          <w:rFonts w:hint="eastAsia"/>
        </w:rPr>
        <w:t>本项目位于大榄坪至三墩港口航运区内，邻近钦州港青菜头南浅海滩涂养殖区。钦州港青菜头南浅海滩涂养殖区的管理要求主要是严格限制改变海域自然属性；按照养殖容量控制养殖规模和养殖密度，发展健康、生态养殖方式；禁渔期间，禁止底拖网渔船和拖虾渔船及捕捞二长棘鲷幼鱼和幼虾为主的其他作业渔船进入生产；禁止影响航道安全的养殖活动。在上述区域南侧边界向北5～12km范围内不得进行鱼排、鱼栅、人工渔礁、围海等活动。其次项目周边2.8km范围还分布零星养殖户。</w:t>
      </w:r>
    </w:p>
    <w:p w14:paraId="3AAE055B">
      <w:pPr>
        <w:ind w:firstLine="437"/>
      </w:pPr>
      <w:r>
        <w:rPr>
          <w:rFonts w:hint="eastAsia"/>
        </w:rPr>
        <w:t>项目施工过程中会产生一定的悬浮泥沙，由悬浮物扩散模拟计算结果以及炸礁施工影响计算结果可知，悬沙主要分布在工程区域1.0km范围内，悬沙以</w:t>
      </w:r>
      <w:r>
        <w:t>N</w:t>
      </w:r>
      <w:r>
        <w:rPr>
          <w:rFonts w:hint="eastAsia"/>
        </w:rPr>
        <w:t>W</w:t>
      </w:r>
      <w:r>
        <w:t>-S</w:t>
      </w:r>
      <w:r>
        <w:rPr>
          <w:rFonts w:hint="eastAsia"/>
        </w:rPr>
        <w:t>E向扩散为主，但悬浮物浓度增加引起的水质超标属于短期、可恢复性质，</w:t>
      </w:r>
      <w:r>
        <w:t>施工期与运营期产生的污水与固废均严格按北部湾港船舶污染物接收处置方案进行管理，不向海域内排放，</w:t>
      </w:r>
      <w:r>
        <w:rPr>
          <w:rFonts w:hint="eastAsia"/>
        </w:rPr>
        <w:t>不会对农渔业及养殖区产生长期的、不可恢复性的不良影响。</w:t>
      </w:r>
    </w:p>
    <w:p w14:paraId="411051CB">
      <w:pPr>
        <w:pStyle w:val="6"/>
      </w:pPr>
      <w:r>
        <w:t>对其他敏感目标影响分析</w:t>
      </w:r>
    </w:p>
    <w:p w14:paraId="780C06C5">
      <w:pPr>
        <w:ind w:firstLine="437"/>
      </w:pPr>
      <w:r>
        <w:t>评价范围内的其他敏感目标还包括</w:t>
      </w:r>
      <w:r>
        <w:rPr>
          <w:rFonts w:hint="eastAsia"/>
        </w:rPr>
        <w:t>红树林湿地</w:t>
      </w:r>
      <w:r>
        <w:t>等。由悬浮物扩散模拟计算结果以及炸礁施工影响计算结果可知，本工程施工作业产生的悬浮物增量扩散范围以及炸礁的影响范围均位于施工海域附近，距离</w:t>
      </w:r>
      <w:r>
        <w:rPr>
          <w:rFonts w:hint="eastAsia"/>
        </w:rPr>
        <w:t>红树林集中分布区</w:t>
      </w:r>
      <w:r>
        <w:t>最近约</w:t>
      </w:r>
      <w:r>
        <w:rPr>
          <w:rFonts w:hint="eastAsia"/>
        </w:rPr>
        <w:t>8.8</w:t>
      </w:r>
      <w:r>
        <w:t>km，距离海洋生态保护红线区最近约</w:t>
      </w:r>
      <w:r>
        <w:rPr>
          <w:rFonts w:hint="eastAsia"/>
        </w:rPr>
        <w:t>10.1</w:t>
      </w:r>
      <w:r>
        <w:t>km</w:t>
      </w:r>
      <w:r>
        <w:rPr>
          <w:rFonts w:hint="eastAsia"/>
        </w:rPr>
        <w:t>，工程建设位置与上述敏感保护目标</w:t>
      </w:r>
      <w:r>
        <w:t>距离均较远，在落实了各项环保措施后，不会对周边敏感目标造成明显影响。</w:t>
      </w:r>
    </w:p>
    <w:p w14:paraId="006CBBA4">
      <w:pPr>
        <w:ind w:firstLine="437"/>
      </w:pPr>
      <w:r>
        <w:t>根据数值模拟结果，项目的建设对周边海域潮流场的影响主要集中在项目周边较近范围内，对地形地貌冲淤环境的影响主要集中在项目周边海域范围内，对</w:t>
      </w:r>
      <w:r>
        <w:rPr>
          <w:rFonts w:hint="eastAsia"/>
        </w:rPr>
        <w:t>敏感</w:t>
      </w:r>
      <w:r>
        <w:t>区所处海域水动力环境、水质环境影响不大。施工期与运营期产生的污水与固废均严格按照北部湾港船舶污染物接收处置方案，不向海域内排放，不会明显影响保护区的生态环境。</w:t>
      </w:r>
    </w:p>
    <w:p w14:paraId="666730A8">
      <w:pPr>
        <w:ind w:firstLine="437"/>
      </w:pPr>
      <w:r>
        <w:t>项目对其他敏感目标的影响主要是施工期和运营期船舶碰撞溢油事故，建设期及运营期必须严格落实各项风险事故防范应急措施，尽可能降低事故发生概率，一旦发生事故，要做到及时响应，避免油膜扩散进入海洋保护目标所在海域内。</w:t>
      </w:r>
    </w:p>
    <w:p w14:paraId="1FC29213">
      <w:pPr>
        <w:ind w:firstLine="437"/>
      </w:pPr>
      <w:r>
        <w:t>综上，在正常施工及运营的情况下，项目建设及运营对</w:t>
      </w:r>
      <w:r>
        <w:rPr>
          <w:rFonts w:hint="eastAsia"/>
        </w:rPr>
        <w:t>红树林湿地</w:t>
      </w:r>
      <w:r>
        <w:t>、生态保护红线海域影响很小。</w:t>
      </w:r>
    </w:p>
    <w:p w14:paraId="066A9735">
      <w:pPr>
        <w:pStyle w:val="5"/>
      </w:pPr>
      <w:r>
        <w:t>施工期生态影响</w:t>
      </w:r>
    </w:p>
    <w:p w14:paraId="61ED4571">
      <w:pPr>
        <w:ind w:firstLine="437"/>
      </w:pPr>
      <w:r>
        <w:rPr>
          <w:rFonts w:hint="eastAsia"/>
        </w:rPr>
        <w:t>施工期</w:t>
      </w:r>
      <w:r>
        <w:t>对海洋生态的影响主要表现在：码头港池疏浚搅动海底破坏底栖生物生境；港池疏浚、炸礁爆破使悬浮物增加，浑浊的海水对区域范围内水生生物的正常活动造成一定影响；炸礁冲击波对游泳动物等海洋生物资源造成损失等。</w:t>
      </w:r>
    </w:p>
    <w:p w14:paraId="64EFC8D4">
      <w:pPr>
        <w:pStyle w:val="6"/>
      </w:pPr>
      <w:r>
        <w:t>疏浚工程对生物的影响分析</w:t>
      </w:r>
    </w:p>
    <w:p w14:paraId="5DF865B9">
      <w:pPr>
        <w:ind w:firstLine="439"/>
        <w:rPr>
          <w:b/>
          <w:bCs/>
        </w:rPr>
      </w:pPr>
      <w:r>
        <w:rPr>
          <w:rFonts w:hint="eastAsia"/>
          <w:b/>
        </w:rPr>
        <w:t>1</w:t>
      </w:r>
      <w:r>
        <w:rPr>
          <w:b/>
        </w:rPr>
        <w:t>、底栖生物的影响分析</w:t>
      </w:r>
    </w:p>
    <w:p w14:paraId="1D635BF3">
      <w:pPr>
        <w:ind w:firstLine="437"/>
      </w:pPr>
      <w:r>
        <w:t>工程施工会对海域内的底栖生物产生一定的影响，按其影响性质分为直接、间接影响，直接影响指水域疏浚施工过程中，由于其施工行为占用海域，从而破坏了底栖生物的生境，直接导致底栖生物死亡；间接影响指上述施工行为引起的悬浮物增加并在一定区域内扩散，悬浮物扩散区的底栖生物变化情况。具体影响分析如下：</w:t>
      </w:r>
    </w:p>
    <w:p w14:paraId="07CB48C8">
      <w:pPr>
        <w:ind w:firstLine="437"/>
      </w:pPr>
      <w:r>
        <w:t>由于项目疏浚、炸礁等过程导致悬浮物含量增高，从而影响到底栖生物的生存环境。当悬浮物覆盖厚度超过2cm时，还会对底栖生物造成致命性损害。悬浮物的沉积，可能引起贝类动物的外套腔和水管受到堵塞而致死。悬浮物的沉积主要影响项目区附近海域的底栖群落，施工结束后一段时间内，受影响的底栖生物群落会逐渐被新的群落所替代。水域疏浚将改变项目区域内海洋生物原有的栖息环境，尤其对底栖生物的影响是最大的。本项目占用海域内的底质环境完全破坏。除少量活动能力较强的底栖种类能够逃往他处存活外，大部分底栖生物被掩埋、覆盖而死亡。</w:t>
      </w:r>
    </w:p>
    <w:p w14:paraId="1CB3C96B">
      <w:pPr>
        <w:ind w:firstLine="439"/>
        <w:rPr>
          <w:b/>
          <w:bCs/>
        </w:rPr>
      </w:pPr>
      <w:r>
        <w:rPr>
          <w:rFonts w:hint="eastAsia"/>
          <w:b/>
        </w:rPr>
        <w:t>2</w:t>
      </w:r>
      <w:r>
        <w:rPr>
          <w:b/>
        </w:rPr>
        <w:t>、对浮游生物的影响分析</w:t>
      </w:r>
    </w:p>
    <w:p w14:paraId="3842E085">
      <w:pPr>
        <w:ind w:firstLine="437"/>
      </w:pPr>
      <w:r>
        <w:t>悬浮泥沙对浮游生物的影响主要为施工过程中产生的悬浮泥沙将导致水体的</w:t>
      </w:r>
      <w:r>
        <w:rPr>
          <w:rFonts w:hint="eastAsia"/>
        </w:rPr>
        <w:t>浑浊度</w:t>
      </w:r>
      <w:r>
        <w:t>增大，透明度降低，不利于浮游植物的繁殖生长。此外还表现在对浮游动物的生长率、摄食率的影响等。长江口航道疏浚悬浮泥沙对水生生物毒性效应的试验结果表明：当悬浮泥沙浓度达到 9mg/L 时，将影响浮游动物的存活率和浮游植物光合作用。嵊泗洋山深水港环评工作中，东海水产所曾做过疏浚泥沙对海洋生态系统的影响实验，实验结果表明虽然疏浚泥沙对海洋生态系统无显著影响，但却会引起浮游动植物生物量有所下降。研究结果表明海水中的悬沙浓度的增加对浮游植物的生长有明显的抑制作用。施工期间对浮游动物的相对损失率l～3月约5％，在4月份浮游动物旺发期可达20％以上，其他月份大约在8-13％之间，各月平均损失率为12％。本项目施工期间产生的悬浮泥沙使周围海水中悬浮物浓度增大，透明度降低，引起浮游植物的光合作用的减少，同样会对浮游植物会产生一定的影响和破坏作用。但由于悬浮沙排放的时间相对较短，随着施工作业结束，停止悬浮沙的排放，其影响将会逐渐减轻。</w:t>
      </w:r>
    </w:p>
    <w:p w14:paraId="78AC0F34">
      <w:pPr>
        <w:ind w:firstLine="439"/>
        <w:rPr>
          <w:b/>
          <w:bCs/>
        </w:rPr>
      </w:pPr>
      <w:r>
        <w:rPr>
          <w:rFonts w:hint="eastAsia"/>
          <w:b/>
        </w:rPr>
        <w:t>3</w:t>
      </w:r>
      <w:r>
        <w:rPr>
          <w:b/>
        </w:rPr>
        <w:t>、对游泳生物的影响</w:t>
      </w:r>
    </w:p>
    <w:p w14:paraId="7BD02344">
      <w:pPr>
        <w:ind w:firstLine="437"/>
      </w:pPr>
      <w:r>
        <w:t>悬浮物含量增高，对游泳生物的分布也有一定影响。游泳生物是海洋生物中的一大类群，海洋鱼类是其典型代表，它们往往具有发达的运动器官和很强的运动能力，从而具有回避污染的效应。室内生态实验表明，悬浮物含量为300mg/L水平，而且每天做短时间的搅拌，鱼类仅能存活3～4周，悬浮物含量在200mg/L以下水平的短期影响，鱼类不会直接致死。工程不会产生的悬浮物含量高浓度区，不会</w:t>
      </w:r>
      <w:r>
        <w:rPr>
          <w:rFonts w:hint="eastAsia"/>
        </w:rPr>
        <w:t>造成</w:t>
      </w:r>
      <w:r>
        <w:t>体鱼类死亡，且鱼、虾、蟹等游泳能力较强的海洋生物将主动逃避，游泳生物的回避效应使得该海域的生物量有所下降，从而影响使该区域内的生物群落的种类组成和数量分布。至于经济鱼类等，由于移动性较强，更不至于造成明显影响。随着施工的结束，游泳生物的种类和数量会逐渐得到恢复。因此，施工期间产生的悬浮物不会对游泳生物造成较大的影响。</w:t>
      </w:r>
    </w:p>
    <w:p w14:paraId="7AE5DEC3">
      <w:pPr>
        <w:ind w:firstLine="439"/>
        <w:rPr>
          <w:b/>
          <w:bCs/>
        </w:rPr>
      </w:pPr>
      <w:r>
        <w:rPr>
          <w:rFonts w:hint="eastAsia"/>
          <w:b/>
        </w:rPr>
        <w:t>4</w:t>
      </w:r>
      <w:r>
        <w:rPr>
          <w:b/>
        </w:rPr>
        <w:t>、对渔业资源影响分析</w:t>
      </w:r>
    </w:p>
    <w:p w14:paraId="5F9FD0CE">
      <w:pPr>
        <w:ind w:firstLine="437"/>
      </w:pPr>
      <w:r>
        <w:t>施工过程对渔业资源的影响主要包括两个方面：一是悬浮物对渔业资源的影响；二是炸礁产生冲击波对渔业资源的影响。</w:t>
      </w:r>
    </w:p>
    <w:p w14:paraId="111A5351">
      <w:pPr>
        <w:ind w:firstLine="437"/>
      </w:pPr>
      <w:r>
        <w:t>悬浮物对鱼类的影响主要表现为直接杀死鱼类个体；降低其生长率及其对疾病的抵抗力；干扰其产卵、降低孵化率和仔鱼成活率；改变其洄游习性；降低其饵料生物的密度；降低其捕食效率等。对鱼卵的影响原理是水中含有过量的悬浮固体，细微的固体颗粒会粘附在鱼卵的表面，妨碍鱼卵的呼吸与水体之间的氧和二氧化碳的交换，过高的悬浮物浓度会降低鱼类的繁殖速率。</w:t>
      </w:r>
    </w:p>
    <w:p w14:paraId="39FB1428">
      <w:pPr>
        <w:ind w:firstLine="437"/>
      </w:pPr>
      <w:r>
        <w:t>国外学者曾做过大量实验研究悬浮物对成鱼的影响。Biosson等人研究鱼类在混浊水域表现出的回避反应，结果表明，当水体悬浮物浓度达到70mg/L时，鱼类在5min内迅速表现出回避反应。如果水中悬浮固体物质含量过高，容易使鱼类的鳃耙腺积聚泥沙，损害鳃部的滤水呼吸功能，甚至窒息死亡。实验数据表明，当SS高达80000mg/L时，鱼类最多只能忍耐一天；在6000mg/L的含量水平，最多只能忍耐一周；在300mg/L含量水平，而且每天</w:t>
      </w:r>
      <w:r>
        <w:rPr>
          <w:rFonts w:hint="eastAsia"/>
        </w:rPr>
        <w:t>做</w:t>
      </w:r>
      <w:r>
        <w:t>短时间搅拌，使沉淀淤泥泛起至SS浓度达到2300mg/L，则鱼类仅能存活3～4周。一般说来，受到200mg/L以下含量水平的短期影响，鱼类不会直接死亡。覃晓平综合国内外有关文献报道，提出悬浮物对不同海洋种类的致死浓度和明显影响浓度，见表4.</w:t>
      </w:r>
      <w:r>
        <w:rPr>
          <w:rFonts w:hint="eastAsia"/>
        </w:rPr>
        <w:t>2</w:t>
      </w:r>
      <w:r>
        <w:t>-1。</w:t>
      </w:r>
    </w:p>
    <w:p w14:paraId="7041122D">
      <w:pPr>
        <w:pStyle w:val="7"/>
      </w:pPr>
      <w:r>
        <w:t>施工活动对渔业资源直接、间接影响判定表</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27"/>
        <w:gridCol w:w="1728"/>
        <w:gridCol w:w="2562"/>
        <w:gridCol w:w="1373"/>
        <w:gridCol w:w="2038"/>
      </w:tblGrid>
      <w:tr w14:paraId="72611B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85" w:type="pct"/>
            <w:vMerge w:val="restart"/>
            <w:noWrap/>
            <w:vAlign w:val="center"/>
          </w:tcPr>
          <w:p w14:paraId="0B634BC7">
            <w:pPr>
              <w:pStyle w:val="34"/>
            </w:pPr>
            <w:r>
              <w:t>种类</w:t>
            </w:r>
          </w:p>
        </w:tc>
        <w:tc>
          <w:tcPr>
            <w:tcW w:w="2515" w:type="pct"/>
            <w:gridSpan w:val="2"/>
            <w:noWrap/>
            <w:vAlign w:val="center"/>
          </w:tcPr>
          <w:p w14:paraId="7B5EB57B">
            <w:pPr>
              <w:pStyle w:val="34"/>
            </w:pPr>
            <w:r>
              <w:t>成体（mg/L）</w:t>
            </w:r>
          </w:p>
        </w:tc>
        <w:tc>
          <w:tcPr>
            <w:tcW w:w="2000" w:type="pct"/>
            <w:gridSpan w:val="2"/>
            <w:noWrap/>
            <w:vAlign w:val="center"/>
          </w:tcPr>
          <w:p w14:paraId="7B65259E">
            <w:pPr>
              <w:pStyle w:val="34"/>
            </w:pPr>
            <w:r>
              <w:t>幼体（mg/L）</w:t>
            </w:r>
          </w:p>
        </w:tc>
      </w:tr>
      <w:tr w14:paraId="1B0A74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85" w:type="pct"/>
            <w:vMerge w:val="continue"/>
            <w:vAlign w:val="center"/>
          </w:tcPr>
          <w:p w14:paraId="1255D1E7">
            <w:pPr>
              <w:pStyle w:val="34"/>
            </w:pPr>
          </w:p>
        </w:tc>
        <w:tc>
          <w:tcPr>
            <w:tcW w:w="1013" w:type="pct"/>
            <w:noWrap/>
            <w:vAlign w:val="center"/>
          </w:tcPr>
          <w:p w14:paraId="01624AFC">
            <w:pPr>
              <w:pStyle w:val="34"/>
            </w:pPr>
            <w:r>
              <w:t>致死浓度</w:t>
            </w:r>
          </w:p>
        </w:tc>
        <w:tc>
          <w:tcPr>
            <w:tcW w:w="1502" w:type="pct"/>
            <w:noWrap/>
            <w:vAlign w:val="center"/>
          </w:tcPr>
          <w:p w14:paraId="32E364A3">
            <w:pPr>
              <w:pStyle w:val="34"/>
            </w:pPr>
            <w:r>
              <w:t>明显影响浓度</w:t>
            </w:r>
          </w:p>
        </w:tc>
        <w:tc>
          <w:tcPr>
            <w:tcW w:w="805" w:type="pct"/>
            <w:noWrap/>
            <w:vAlign w:val="center"/>
          </w:tcPr>
          <w:p w14:paraId="589898CE">
            <w:pPr>
              <w:pStyle w:val="34"/>
            </w:pPr>
            <w:r>
              <w:t>致死浓度</w:t>
            </w:r>
          </w:p>
        </w:tc>
        <w:tc>
          <w:tcPr>
            <w:tcW w:w="1195" w:type="pct"/>
            <w:noWrap/>
            <w:vAlign w:val="center"/>
          </w:tcPr>
          <w:p w14:paraId="712B0923">
            <w:pPr>
              <w:pStyle w:val="34"/>
            </w:pPr>
            <w:r>
              <w:t>明显影响浓度</w:t>
            </w:r>
          </w:p>
        </w:tc>
      </w:tr>
      <w:tr w14:paraId="4399DF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85" w:type="pct"/>
            <w:noWrap/>
            <w:vAlign w:val="center"/>
          </w:tcPr>
          <w:p w14:paraId="7B1ADB38">
            <w:pPr>
              <w:pStyle w:val="34"/>
            </w:pPr>
            <w:r>
              <w:t>鱼类</w:t>
            </w:r>
          </w:p>
        </w:tc>
        <w:tc>
          <w:tcPr>
            <w:tcW w:w="1013" w:type="pct"/>
            <w:noWrap/>
            <w:vAlign w:val="center"/>
          </w:tcPr>
          <w:p w14:paraId="5058EBFA">
            <w:pPr>
              <w:pStyle w:val="34"/>
            </w:pPr>
            <w:r>
              <w:t>52000</w:t>
            </w:r>
          </w:p>
        </w:tc>
        <w:tc>
          <w:tcPr>
            <w:tcW w:w="1502" w:type="pct"/>
            <w:noWrap/>
            <w:vAlign w:val="center"/>
          </w:tcPr>
          <w:p w14:paraId="7E61C0BD">
            <w:pPr>
              <w:pStyle w:val="34"/>
            </w:pPr>
            <w:r>
              <w:t>500</w:t>
            </w:r>
          </w:p>
        </w:tc>
        <w:tc>
          <w:tcPr>
            <w:tcW w:w="805" w:type="pct"/>
            <w:noWrap/>
            <w:vAlign w:val="center"/>
          </w:tcPr>
          <w:p w14:paraId="072C1A95">
            <w:pPr>
              <w:pStyle w:val="34"/>
            </w:pPr>
            <w:r>
              <w:t>250</w:t>
            </w:r>
          </w:p>
        </w:tc>
        <w:tc>
          <w:tcPr>
            <w:tcW w:w="1195" w:type="pct"/>
            <w:noWrap/>
            <w:vAlign w:val="center"/>
          </w:tcPr>
          <w:p w14:paraId="42048CC9">
            <w:pPr>
              <w:pStyle w:val="34"/>
            </w:pPr>
            <w:r>
              <w:t>125</w:t>
            </w:r>
          </w:p>
        </w:tc>
      </w:tr>
      <w:tr w14:paraId="3E1A11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85" w:type="pct"/>
            <w:noWrap/>
            <w:vAlign w:val="center"/>
          </w:tcPr>
          <w:p w14:paraId="012E5A96">
            <w:pPr>
              <w:pStyle w:val="34"/>
            </w:pPr>
            <w:r>
              <w:t>虾类</w:t>
            </w:r>
          </w:p>
        </w:tc>
        <w:tc>
          <w:tcPr>
            <w:tcW w:w="1013" w:type="pct"/>
            <w:noWrap/>
            <w:vAlign w:val="center"/>
          </w:tcPr>
          <w:p w14:paraId="6A55E789">
            <w:pPr>
              <w:pStyle w:val="34"/>
            </w:pPr>
            <w:r>
              <w:t>8000</w:t>
            </w:r>
          </w:p>
        </w:tc>
        <w:tc>
          <w:tcPr>
            <w:tcW w:w="1502" w:type="pct"/>
            <w:noWrap/>
            <w:vAlign w:val="center"/>
          </w:tcPr>
          <w:p w14:paraId="7CA051B4">
            <w:pPr>
              <w:pStyle w:val="34"/>
            </w:pPr>
            <w:r>
              <w:t>500</w:t>
            </w:r>
          </w:p>
        </w:tc>
        <w:tc>
          <w:tcPr>
            <w:tcW w:w="805" w:type="pct"/>
            <w:noWrap/>
            <w:vAlign w:val="center"/>
          </w:tcPr>
          <w:p w14:paraId="2D6B5104">
            <w:pPr>
              <w:pStyle w:val="34"/>
            </w:pPr>
            <w:r>
              <w:t>400</w:t>
            </w:r>
          </w:p>
        </w:tc>
        <w:tc>
          <w:tcPr>
            <w:tcW w:w="1195" w:type="pct"/>
            <w:noWrap/>
            <w:vAlign w:val="center"/>
          </w:tcPr>
          <w:p w14:paraId="090FCC37">
            <w:pPr>
              <w:pStyle w:val="34"/>
            </w:pPr>
            <w:r>
              <w:t>125</w:t>
            </w:r>
          </w:p>
        </w:tc>
      </w:tr>
      <w:tr w14:paraId="128BB1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85" w:type="pct"/>
            <w:noWrap/>
            <w:vAlign w:val="center"/>
          </w:tcPr>
          <w:p w14:paraId="09212C11">
            <w:pPr>
              <w:pStyle w:val="34"/>
            </w:pPr>
            <w:r>
              <w:t>蟹类</w:t>
            </w:r>
          </w:p>
        </w:tc>
        <w:tc>
          <w:tcPr>
            <w:tcW w:w="1013" w:type="pct"/>
            <w:noWrap/>
            <w:vAlign w:val="center"/>
          </w:tcPr>
          <w:p w14:paraId="58A43EB9">
            <w:pPr>
              <w:pStyle w:val="34"/>
            </w:pPr>
            <w:r>
              <w:t>9000</w:t>
            </w:r>
          </w:p>
        </w:tc>
        <w:tc>
          <w:tcPr>
            <w:tcW w:w="1502" w:type="pct"/>
            <w:noWrap/>
            <w:vAlign w:val="center"/>
          </w:tcPr>
          <w:p w14:paraId="3007220A">
            <w:pPr>
              <w:pStyle w:val="34"/>
            </w:pPr>
            <w:r>
              <w:t>4300</w:t>
            </w:r>
          </w:p>
        </w:tc>
        <w:tc>
          <w:tcPr>
            <w:tcW w:w="805" w:type="pct"/>
            <w:noWrap/>
            <w:vAlign w:val="center"/>
          </w:tcPr>
          <w:p w14:paraId="1CB1A384">
            <w:pPr>
              <w:pStyle w:val="34"/>
            </w:pPr>
            <w:r>
              <w:t>700</w:t>
            </w:r>
          </w:p>
        </w:tc>
        <w:tc>
          <w:tcPr>
            <w:tcW w:w="1195" w:type="pct"/>
            <w:noWrap/>
            <w:vAlign w:val="center"/>
          </w:tcPr>
          <w:p w14:paraId="65DAB62C">
            <w:pPr>
              <w:pStyle w:val="34"/>
            </w:pPr>
            <w:r>
              <w:t>125</w:t>
            </w:r>
          </w:p>
        </w:tc>
      </w:tr>
      <w:tr w14:paraId="300088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85" w:type="pct"/>
            <w:noWrap/>
            <w:vAlign w:val="center"/>
          </w:tcPr>
          <w:p w14:paraId="141889C7">
            <w:pPr>
              <w:pStyle w:val="34"/>
            </w:pPr>
            <w:r>
              <w:t>贝类</w:t>
            </w:r>
          </w:p>
        </w:tc>
        <w:tc>
          <w:tcPr>
            <w:tcW w:w="1013" w:type="pct"/>
            <w:noWrap/>
            <w:vAlign w:val="center"/>
          </w:tcPr>
          <w:p w14:paraId="0C6A51E4">
            <w:pPr>
              <w:pStyle w:val="34"/>
            </w:pPr>
            <w:r>
              <w:t>700</w:t>
            </w:r>
          </w:p>
        </w:tc>
        <w:tc>
          <w:tcPr>
            <w:tcW w:w="1502" w:type="pct"/>
            <w:noWrap/>
            <w:vAlign w:val="center"/>
          </w:tcPr>
          <w:p w14:paraId="65D44CF3">
            <w:pPr>
              <w:pStyle w:val="34"/>
            </w:pPr>
            <w:r>
              <w:t>500</w:t>
            </w:r>
          </w:p>
        </w:tc>
        <w:tc>
          <w:tcPr>
            <w:tcW w:w="805" w:type="pct"/>
            <w:noWrap/>
            <w:vAlign w:val="center"/>
          </w:tcPr>
          <w:p w14:paraId="1C98FE2A">
            <w:pPr>
              <w:pStyle w:val="34"/>
            </w:pPr>
            <w:r>
              <w:t>250</w:t>
            </w:r>
          </w:p>
        </w:tc>
        <w:tc>
          <w:tcPr>
            <w:tcW w:w="1195" w:type="pct"/>
            <w:noWrap/>
            <w:vAlign w:val="center"/>
          </w:tcPr>
          <w:p w14:paraId="345B5CB6">
            <w:pPr>
              <w:pStyle w:val="34"/>
            </w:pPr>
            <w:r>
              <w:t>125</w:t>
            </w:r>
          </w:p>
        </w:tc>
      </w:tr>
    </w:tbl>
    <w:p w14:paraId="1F84AD7F">
      <w:pPr>
        <w:ind w:firstLine="437"/>
      </w:pPr>
      <w:r>
        <w:t>该表所列数据主要针对原水质较清、悬浮物含量较低水域在受到大量悬浮物影响时的情况，海洋生物致死浓度和受影响浓度指标。贝类对悬浮泥沙的影响最为敏感，当悬浮物浓度达到700mg/L即达到贝类的致死浓度。</w:t>
      </w:r>
    </w:p>
    <w:p w14:paraId="4000B428">
      <w:pPr>
        <w:ind w:firstLine="437"/>
      </w:pPr>
      <w:r>
        <w:t>此外，悬浮泥沙对渔业的影响主要还体现在对浮游动物与浮游植物食物供应所受到的影响上。浮游植物和浮游动物是海洋生物的初级和次级生产力，海水中悬浮物浓度过高，对浮游植物和浮游动物的生长产生不利影响。从食物链的角度对鱼类和虾类的存活与生长产生明显的抑制作用，对渔业资源带来一定影响。悬浮泥沙对渔业的影响不是永久性的，而是可逆的，会随着施工结束而逐渐恢复。</w:t>
      </w:r>
    </w:p>
    <w:p w14:paraId="760C4642">
      <w:pPr>
        <w:ind w:firstLine="437"/>
      </w:pPr>
      <w:r>
        <w:t>根据施工期悬浮物扩散模拟预测结果，本次疏浚引起的悬浮物增量均小于成体的明显影响浓度，对幼体的影响稍大，但都局限在水域疏浚区域内，项目的建设对区域渔业资源的影响比较小。</w:t>
      </w:r>
    </w:p>
    <w:p w14:paraId="4FF0491D">
      <w:pPr>
        <w:pStyle w:val="6"/>
      </w:pPr>
      <w:r>
        <w:t>爆破炸礁环境影响分析</w:t>
      </w:r>
    </w:p>
    <w:p w14:paraId="5031B02E">
      <w:pPr>
        <w:ind w:firstLine="437"/>
      </w:pPr>
      <w:r>
        <w:t>项目炸礁采用水下钻孔爆破，采用</w:t>
      </w:r>
      <w:r>
        <w:rPr>
          <w:rFonts w:hint="eastAsia"/>
        </w:rPr>
        <w:t>双套管钻进方法进行作业，即先下外套管至覆盖层顶以保护钻孔，再把带钻头的内套管钻至覆盖层底，然后用钻具钻孔至要求深度。钻完一孔后立即将钻孔冲洗干净并用堵眼管塞住，防止泥砂进入孔内。全部的孔钻完后，先拔起堵眼管，冲洗钻孔，再把在船上预制好的炸药筒逐个送入孔内，钻孔顶部留40～60厘米用砂堵塞，然后拔起内、外套管，从套管底端取出导线，把各孔导线联成爆破</w:t>
      </w:r>
      <w:r>
        <w:rPr>
          <w:rFonts w:hint="eastAsia"/>
          <w:lang w:eastAsia="zh-CN"/>
        </w:rPr>
        <w:t>网络</w:t>
      </w:r>
      <w:r>
        <w:rPr>
          <w:rFonts w:hint="eastAsia"/>
        </w:rPr>
        <w:t>并与主导线连接，船舶撤离危险区后通电起爆。</w:t>
      </w:r>
    </w:p>
    <w:p w14:paraId="1D40BBF7">
      <w:pPr>
        <w:ind w:firstLine="437"/>
      </w:pPr>
      <w:r>
        <w:t>水下爆破的危害作用主要来自三个方面：地震波作用、水中冲击波作用和爆破飞石。与陆地爆破相比，水下工程爆破不仅施工难度大，而且其产生的冲击波在水体中具有冲 量大、衰减慢的特点，会对水生生物、近岸及水中建构筑物、船舶、水下作业人员的安全形成较大的威胁。</w:t>
      </w:r>
    </w:p>
    <w:p w14:paraId="5777B1BE">
      <w:pPr>
        <w:ind w:firstLine="437"/>
      </w:pPr>
      <w:r>
        <w:rPr>
          <w:rFonts w:hint="eastAsia"/>
        </w:rPr>
        <w:t>1、</w:t>
      </w:r>
      <w:r>
        <w:t>水下爆破地震波影响分析</w:t>
      </w:r>
    </w:p>
    <w:p w14:paraId="25EABD03">
      <w:pPr>
        <w:ind w:firstLine="437"/>
      </w:pPr>
      <w:r>
        <w:t>根据《爆破安全规程》（GB6722-201</w:t>
      </w:r>
      <w:r>
        <w:rPr>
          <w:rFonts w:hint="eastAsia"/>
        </w:rPr>
        <w:t>4</w:t>
      </w:r>
      <w:r>
        <w:t>），爆破</w:t>
      </w:r>
      <w:r>
        <w:rPr>
          <w:rFonts w:hint="eastAsia"/>
        </w:rPr>
        <w:t>振动</w:t>
      </w:r>
      <w:r>
        <w:t>安全允许距离可按下式计算：</w:t>
      </w:r>
    </w:p>
    <w:p w14:paraId="3961E0A6">
      <w:pPr>
        <w:ind w:firstLine="437"/>
      </w:pPr>
      <m:oMathPara>
        <m:oMath>
          <m:r>
            <m:rPr/>
            <w:rPr>
              <w:rFonts w:ascii="Cambria Math" w:hAnsi="Cambria Math"/>
            </w:rPr>
            <m:t>R</m:t>
          </m:r>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f>
                    <m:fPr>
                      <m:ctrlPr>
                        <w:rPr>
                          <w:rFonts w:ascii="Cambria Math" w:hAnsi="Cambria Math"/>
                        </w:rPr>
                      </m:ctrlPr>
                    </m:fPr>
                    <m:num>
                      <m:r>
                        <m:rPr/>
                        <w:rPr>
                          <w:rFonts w:ascii="Cambria Math" w:hAnsi="Cambria Math"/>
                        </w:rPr>
                        <m:t>K</m:t>
                      </m:r>
                      <m:ctrlPr>
                        <w:rPr>
                          <w:rFonts w:ascii="Cambria Math" w:hAnsi="Cambria Math"/>
                        </w:rPr>
                      </m:ctrlPr>
                    </m:num>
                    <m:den>
                      <m:r>
                        <m:rPr/>
                        <w:rPr>
                          <w:rFonts w:ascii="Cambria Math" w:hAnsi="Cambria Math"/>
                        </w:rPr>
                        <m:t>V</m:t>
                      </m:r>
                      <m:ctrlPr>
                        <w:rPr>
                          <w:rFonts w:ascii="Cambria Math" w:hAnsi="Cambria Math"/>
                        </w:rPr>
                      </m:ctrlPr>
                    </m:den>
                  </m:f>
                  <m:ctrlPr>
                    <w:rPr>
                      <w:rFonts w:ascii="Cambria Math" w:hAnsi="Cambria Math"/>
                    </w:rPr>
                  </m:ctrlPr>
                </m:e>
              </m:d>
              <m:ctrlPr>
                <w:rPr>
                  <w:rFonts w:ascii="Cambria Math" w:hAnsi="Cambria Math"/>
                </w:rPr>
              </m:ctrlPr>
            </m:e>
            <m:sup>
              <m:f>
                <m:fPr>
                  <m:ctrlPr>
                    <w:rPr>
                      <w:rFonts w:ascii="Cambria Math" w:hAnsi="Cambria Math"/>
                    </w:rPr>
                  </m:ctrlPr>
                </m:fPr>
                <m:num>
                  <m:r>
                    <m:rPr>
                      <m:sty m:val="p"/>
                    </m:rPr>
                    <w:rPr>
                      <w:rFonts w:ascii="Cambria Math" w:hAnsi="Cambria Math"/>
                    </w:rPr>
                    <m:t>1</m:t>
                  </m:r>
                  <m:ctrlPr>
                    <w:rPr>
                      <w:rFonts w:ascii="Cambria Math" w:hAnsi="Cambria Math"/>
                    </w:rPr>
                  </m:ctrlPr>
                </m:num>
                <m:den>
                  <m:r>
                    <m:rPr/>
                    <w:rPr>
                      <w:rFonts w:ascii="Cambria Math" w:hAnsi="Cambria Math"/>
                    </w:rPr>
                    <m:t>α</m:t>
                  </m:r>
                  <m:ctrlPr>
                    <w:rPr>
                      <w:rFonts w:ascii="Cambria Math" w:hAnsi="Cambria Math"/>
                    </w:rPr>
                  </m:ctrlPr>
                </m:den>
              </m:f>
              <m:ctrlPr>
                <w:rPr>
                  <w:rFonts w:ascii="Cambria Math" w:hAnsi="Cambria Math"/>
                </w:rPr>
              </m:ctrlPr>
            </m:sup>
          </m:sSup>
          <m:sSup>
            <m:sSupPr>
              <m:ctrlPr>
                <w:rPr>
                  <w:rFonts w:ascii="Cambria Math" w:hAnsi="Cambria Math"/>
                </w:rPr>
              </m:ctrlPr>
            </m:sSupPr>
            <m:e>
              <m:r>
                <m:rPr/>
                <w:rPr>
                  <w:rFonts w:ascii="Cambria Math" w:hAnsi="Cambria Math"/>
                </w:rPr>
                <m:t>Q</m:t>
              </m:r>
              <m:ctrlPr>
                <w:rPr>
                  <w:rFonts w:ascii="Cambria Math" w:hAnsi="Cambria Math"/>
                </w:rPr>
              </m:ctrlPr>
            </m:e>
            <m:sup>
              <m:f>
                <m:fPr>
                  <m:ctrlPr>
                    <w:rPr>
                      <w:rFonts w:ascii="Cambria Math" w:hAnsi="Cambria Math"/>
                      <w:i/>
                    </w:rPr>
                  </m:ctrlPr>
                </m:fPr>
                <m:num>
                  <m:r>
                    <m:rPr/>
                    <w:rPr>
                      <w:rFonts w:ascii="Cambria Math" w:hAnsi="Cambria Math"/>
                    </w:rPr>
                    <m:t>1</m:t>
                  </m:r>
                  <m:ctrlPr>
                    <w:rPr>
                      <w:rFonts w:ascii="Cambria Math" w:hAnsi="Cambria Math"/>
                      <w:i/>
                    </w:rPr>
                  </m:ctrlPr>
                </m:num>
                <m:den>
                  <m:r>
                    <m:rPr/>
                    <w:rPr>
                      <w:rFonts w:ascii="Cambria Math" w:hAnsi="Cambria Math"/>
                    </w:rPr>
                    <m:t>3</m:t>
                  </m:r>
                  <m:ctrlPr>
                    <w:rPr>
                      <w:rFonts w:ascii="Cambria Math" w:hAnsi="Cambria Math"/>
                      <w:i/>
                    </w:rPr>
                  </m:ctrlPr>
                </m:den>
              </m:f>
              <m:ctrlPr>
                <w:rPr>
                  <w:rFonts w:ascii="Cambria Math" w:hAnsi="Cambria Math"/>
                </w:rPr>
              </m:ctrlPr>
            </m:sup>
          </m:sSup>
        </m:oMath>
      </m:oMathPara>
    </w:p>
    <w:p w14:paraId="7AF421DC">
      <w:pPr>
        <w:ind w:firstLine="437"/>
      </w:pPr>
      <w:r>
        <w:t>式中：</w:t>
      </w:r>
    </w:p>
    <w:p w14:paraId="02C3E1CC">
      <w:pPr>
        <w:ind w:firstLine="437"/>
      </w:pPr>
      <w:r>
        <w:t>R─</w:t>
      </w:r>
      <w:r>
        <w:rPr>
          <w:rFonts w:hint="eastAsia"/>
        </w:rPr>
        <w:t>爆破振动</w:t>
      </w:r>
      <w:r>
        <w:t xml:space="preserve">安全允许距离，m； </w:t>
      </w:r>
    </w:p>
    <w:p w14:paraId="2FB9FFBD">
      <w:pPr>
        <w:ind w:firstLine="437"/>
      </w:pPr>
      <w:r>
        <w:t>Q─炸药量kg，齐发爆破</w:t>
      </w:r>
      <w:r>
        <w:rPr>
          <w:rFonts w:hint="eastAsia"/>
        </w:rPr>
        <w:t>为</w:t>
      </w:r>
      <w:r>
        <w:t>总药量</w:t>
      </w:r>
      <w:r>
        <w:rPr>
          <w:rFonts w:hint="eastAsia"/>
        </w:rPr>
        <w:t>，</w:t>
      </w:r>
      <w:r>
        <w:t>延时爆破为最大单段药量；</w:t>
      </w:r>
    </w:p>
    <w:p w14:paraId="0D94CB16">
      <w:pPr>
        <w:ind w:firstLine="437"/>
      </w:pPr>
      <w:r>
        <w:t>V─</w:t>
      </w:r>
      <w:r>
        <w:rPr>
          <w:rFonts w:hint="eastAsia"/>
        </w:rPr>
        <w:t>保护对象</w:t>
      </w:r>
      <w:r>
        <w:t xml:space="preserve">所在地安全允许质点振速，cm/s； </w:t>
      </w:r>
    </w:p>
    <w:p w14:paraId="203FB1CF">
      <w:pPr>
        <w:ind w:firstLine="437"/>
      </w:pPr>
      <w:r>
        <w:t>K</w:t>
      </w:r>
      <w:r>
        <w:rPr>
          <w:rFonts w:hint="eastAsia"/>
        </w:rPr>
        <w:t>.</w:t>
      </w:r>
      <w:r>
        <w:t xml:space="preserve">α─与爆破点地形、地质等条件有关的系数和衰减指数，按水域的地质结构，取K＝100，α＝1.4。 </w:t>
      </w:r>
    </w:p>
    <w:p w14:paraId="4695091F">
      <w:pPr>
        <w:ind w:firstLine="437"/>
      </w:pPr>
      <w:r>
        <w:rPr>
          <w:u w:val="single"/>
        </w:rPr>
        <w:t>施工时采用炸礁船水下钻孔爆破，一排孔为一个起爆段，药量一般为100kg至250kg，本项目按照</w:t>
      </w:r>
      <w:bookmarkStart w:id="458" w:name="OLE_LINK512"/>
      <w:r>
        <w:rPr>
          <w:u w:val="single"/>
        </w:rPr>
        <w:t>单次最大装药量</w:t>
      </w:r>
      <w:bookmarkEnd w:id="458"/>
      <w:r>
        <w:rPr>
          <w:u w:val="single"/>
        </w:rPr>
        <w:t>250kg进行爆破</w:t>
      </w:r>
      <w:r>
        <w:rPr>
          <w:rFonts w:hint="eastAsia"/>
        </w:rPr>
        <w:t>；</w:t>
      </w:r>
      <w:r>
        <w:t>本项目为水下爆破，根据《爆破安全规程》（GB6722-201</w:t>
      </w:r>
      <w:r>
        <w:rPr>
          <w:rFonts w:hint="eastAsia"/>
        </w:rPr>
        <w:t>4</w:t>
      </w:r>
      <w:r>
        <w:t>）表</w:t>
      </w:r>
      <w:r>
        <w:rPr>
          <w:rFonts w:hint="eastAsia"/>
        </w:rPr>
        <w:t>2，</w:t>
      </w:r>
      <w:r>
        <w:t>取频率</w:t>
      </w:r>
      <w:r>
        <w:rPr>
          <w:rFonts w:hint="eastAsia"/>
          <w:i/>
        </w:rPr>
        <w:t>f</w:t>
      </w:r>
      <w:r>
        <w:t>＞</w:t>
      </w:r>
      <w:r>
        <w:rPr>
          <w:rFonts w:hint="eastAsia"/>
        </w:rPr>
        <w:t>50Hz对应的安全允许质点振动速度</w:t>
      </w:r>
      <w:r>
        <w:rPr>
          <w:rFonts w:hint="eastAsia"/>
          <w:i/>
        </w:rPr>
        <w:t>V</w:t>
      </w:r>
      <w:r>
        <w:t>。将有关参数代入上式，得不同药量下的安全距离R如表4.</w:t>
      </w:r>
      <w:r>
        <w:rPr>
          <w:rFonts w:hint="eastAsia"/>
        </w:rPr>
        <w:t>2</w:t>
      </w:r>
      <w:r>
        <w:t>-</w:t>
      </w:r>
      <w:r>
        <w:rPr>
          <w:rFonts w:hint="eastAsia"/>
        </w:rPr>
        <w:t>2</w:t>
      </w:r>
      <w:r>
        <w:t>所示。</w:t>
      </w:r>
    </w:p>
    <w:p w14:paraId="5E8BC992">
      <w:pPr>
        <w:pStyle w:val="7"/>
      </w:pPr>
      <w:r>
        <w:t>不同药量下的安全距离</w:t>
      </w:r>
    </w:p>
    <w:tbl>
      <w:tblPr>
        <w:tblStyle w:val="88"/>
        <w:tblW w:w="5000"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108" w:type="dxa"/>
          <w:bottom w:w="0" w:type="dxa"/>
          <w:right w:w="108" w:type="dxa"/>
        </w:tblCellMar>
      </w:tblPr>
      <w:tblGrid>
        <w:gridCol w:w="2179"/>
        <w:gridCol w:w="997"/>
        <w:gridCol w:w="779"/>
        <w:gridCol w:w="779"/>
        <w:gridCol w:w="779"/>
        <w:gridCol w:w="779"/>
        <w:gridCol w:w="779"/>
        <w:gridCol w:w="779"/>
        <w:gridCol w:w="678"/>
      </w:tblGrid>
      <w:tr w14:paraId="707347D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15" w:hRule="atLeast"/>
          <w:tblHeader/>
        </w:trPr>
        <w:tc>
          <w:tcPr>
            <w:tcW w:w="1377" w:type="pct"/>
            <w:vMerge w:val="restart"/>
            <w:vAlign w:val="center"/>
          </w:tcPr>
          <w:p w14:paraId="33C0C1AD">
            <w:pPr>
              <w:pStyle w:val="34"/>
            </w:pPr>
            <w:r>
              <w:t>建筑物性质</w:t>
            </w:r>
          </w:p>
        </w:tc>
        <w:tc>
          <w:tcPr>
            <w:tcW w:w="606" w:type="pct"/>
            <w:vMerge w:val="restart"/>
            <w:vAlign w:val="center"/>
          </w:tcPr>
          <w:p w14:paraId="04D2E94F">
            <w:pPr>
              <w:pStyle w:val="34"/>
            </w:pPr>
            <w:r>
              <w:t>V（cm/s）</w:t>
            </w:r>
          </w:p>
        </w:tc>
        <w:tc>
          <w:tcPr>
            <w:tcW w:w="3018" w:type="pct"/>
            <w:gridSpan w:val="7"/>
            <w:vAlign w:val="center"/>
          </w:tcPr>
          <w:p w14:paraId="2A4D3EE9">
            <w:pPr>
              <w:pStyle w:val="34"/>
            </w:pPr>
            <w:r>
              <w:t>R（m）</w:t>
            </w:r>
          </w:p>
        </w:tc>
      </w:tr>
      <w:tr w14:paraId="0598464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00" w:hRule="atLeast"/>
          <w:tblHeader/>
        </w:trPr>
        <w:tc>
          <w:tcPr>
            <w:tcW w:w="1377" w:type="pct"/>
            <w:vMerge w:val="continue"/>
            <w:vAlign w:val="center"/>
          </w:tcPr>
          <w:p w14:paraId="1198AD40">
            <w:pPr>
              <w:pStyle w:val="34"/>
            </w:pPr>
          </w:p>
        </w:tc>
        <w:tc>
          <w:tcPr>
            <w:tcW w:w="606" w:type="pct"/>
            <w:vMerge w:val="continue"/>
            <w:vAlign w:val="center"/>
          </w:tcPr>
          <w:p w14:paraId="293B1A23">
            <w:pPr>
              <w:pStyle w:val="34"/>
            </w:pPr>
          </w:p>
        </w:tc>
        <w:tc>
          <w:tcPr>
            <w:tcW w:w="439" w:type="pct"/>
            <w:vAlign w:val="center"/>
          </w:tcPr>
          <w:p w14:paraId="5B6678CB">
            <w:pPr>
              <w:pStyle w:val="34"/>
            </w:pPr>
            <w:r>
              <w:t>Q=500</w:t>
            </w:r>
          </w:p>
        </w:tc>
        <w:tc>
          <w:tcPr>
            <w:tcW w:w="439" w:type="pct"/>
            <w:vAlign w:val="center"/>
          </w:tcPr>
          <w:p w14:paraId="0534F9E9">
            <w:pPr>
              <w:pStyle w:val="34"/>
            </w:pPr>
            <w:r>
              <w:t>Q=400</w:t>
            </w:r>
          </w:p>
        </w:tc>
        <w:tc>
          <w:tcPr>
            <w:tcW w:w="439" w:type="pct"/>
            <w:vAlign w:val="center"/>
          </w:tcPr>
          <w:p w14:paraId="5C642447">
            <w:pPr>
              <w:pStyle w:val="34"/>
            </w:pPr>
            <w:r>
              <w:t>Q=300</w:t>
            </w:r>
          </w:p>
        </w:tc>
        <w:tc>
          <w:tcPr>
            <w:tcW w:w="439" w:type="pct"/>
            <w:vAlign w:val="center"/>
          </w:tcPr>
          <w:p w14:paraId="08D0A052">
            <w:pPr>
              <w:pStyle w:val="34"/>
            </w:pPr>
            <w:r>
              <w:t>Q=250</w:t>
            </w:r>
          </w:p>
        </w:tc>
        <w:tc>
          <w:tcPr>
            <w:tcW w:w="439" w:type="pct"/>
            <w:vAlign w:val="center"/>
          </w:tcPr>
          <w:p w14:paraId="46A32C2D">
            <w:pPr>
              <w:pStyle w:val="34"/>
            </w:pPr>
            <w:r>
              <w:t>Q=200</w:t>
            </w:r>
          </w:p>
        </w:tc>
        <w:tc>
          <w:tcPr>
            <w:tcW w:w="439" w:type="pct"/>
            <w:vAlign w:val="center"/>
          </w:tcPr>
          <w:p w14:paraId="7CE291A3">
            <w:pPr>
              <w:pStyle w:val="34"/>
            </w:pPr>
            <w:r>
              <w:t>Q=100</w:t>
            </w:r>
          </w:p>
        </w:tc>
        <w:tc>
          <w:tcPr>
            <w:tcW w:w="383" w:type="pct"/>
            <w:vAlign w:val="center"/>
          </w:tcPr>
          <w:p w14:paraId="1AFA0B82">
            <w:pPr>
              <w:pStyle w:val="34"/>
            </w:pPr>
            <w:r>
              <w:t>Q=50</w:t>
            </w:r>
          </w:p>
        </w:tc>
      </w:tr>
      <w:tr w14:paraId="2419EFA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77" w:type="pct"/>
            <w:vAlign w:val="center"/>
          </w:tcPr>
          <w:p w14:paraId="3DCCF9A5">
            <w:pPr>
              <w:pStyle w:val="34"/>
            </w:pPr>
            <w:r>
              <w:t>土窑洞、毛石房屋、土坯房</w:t>
            </w:r>
          </w:p>
        </w:tc>
        <w:tc>
          <w:tcPr>
            <w:tcW w:w="606" w:type="pct"/>
            <w:vAlign w:val="center"/>
          </w:tcPr>
          <w:p w14:paraId="7B91FF56">
            <w:pPr>
              <w:pStyle w:val="34"/>
            </w:pPr>
            <w:r>
              <w:t>1</w:t>
            </w:r>
          </w:p>
        </w:tc>
        <w:tc>
          <w:tcPr>
            <w:tcW w:w="439" w:type="pct"/>
            <w:vAlign w:val="center"/>
          </w:tcPr>
          <w:p w14:paraId="2AFD82A0">
            <w:pPr>
              <w:pStyle w:val="34"/>
            </w:pPr>
            <w:r>
              <w:t>214</w:t>
            </w:r>
          </w:p>
        </w:tc>
        <w:tc>
          <w:tcPr>
            <w:tcW w:w="439" w:type="pct"/>
            <w:vAlign w:val="center"/>
          </w:tcPr>
          <w:p w14:paraId="5A88FBAE">
            <w:pPr>
              <w:pStyle w:val="34"/>
            </w:pPr>
            <w:r>
              <w:t>199</w:t>
            </w:r>
          </w:p>
        </w:tc>
        <w:tc>
          <w:tcPr>
            <w:tcW w:w="439" w:type="pct"/>
            <w:vAlign w:val="center"/>
          </w:tcPr>
          <w:p w14:paraId="542C2DF5">
            <w:pPr>
              <w:pStyle w:val="34"/>
            </w:pPr>
            <w:r>
              <w:t>180</w:t>
            </w:r>
          </w:p>
        </w:tc>
        <w:tc>
          <w:tcPr>
            <w:tcW w:w="439" w:type="pct"/>
            <w:vAlign w:val="center"/>
          </w:tcPr>
          <w:p w14:paraId="3DEBF17C">
            <w:pPr>
              <w:pStyle w:val="34"/>
            </w:pPr>
            <w:r>
              <w:t xml:space="preserve">175 </w:t>
            </w:r>
          </w:p>
        </w:tc>
        <w:tc>
          <w:tcPr>
            <w:tcW w:w="439" w:type="pct"/>
            <w:vAlign w:val="center"/>
          </w:tcPr>
          <w:p w14:paraId="1F9C07F4">
            <w:pPr>
              <w:pStyle w:val="34"/>
            </w:pPr>
            <w:r>
              <w:t>158</w:t>
            </w:r>
          </w:p>
        </w:tc>
        <w:tc>
          <w:tcPr>
            <w:tcW w:w="439" w:type="pct"/>
            <w:vAlign w:val="center"/>
          </w:tcPr>
          <w:p w14:paraId="3FE9D051">
            <w:pPr>
              <w:pStyle w:val="34"/>
            </w:pPr>
            <w:r>
              <w:t>125</w:t>
            </w:r>
          </w:p>
        </w:tc>
        <w:tc>
          <w:tcPr>
            <w:tcW w:w="383" w:type="pct"/>
            <w:vAlign w:val="center"/>
          </w:tcPr>
          <w:p w14:paraId="07E98181">
            <w:pPr>
              <w:pStyle w:val="34"/>
            </w:pPr>
            <w:r>
              <w:t>99</w:t>
            </w:r>
          </w:p>
        </w:tc>
      </w:tr>
      <w:tr w14:paraId="3E49EB5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77" w:type="pct"/>
            <w:vAlign w:val="center"/>
          </w:tcPr>
          <w:p w14:paraId="120CBA6F">
            <w:pPr>
              <w:pStyle w:val="34"/>
            </w:pPr>
            <w:r>
              <w:t>一般</w:t>
            </w:r>
            <w:r>
              <w:rPr>
                <w:rFonts w:hint="eastAsia"/>
              </w:rPr>
              <w:t>民用建筑</w:t>
            </w:r>
          </w:p>
        </w:tc>
        <w:tc>
          <w:tcPr>
            <w:tcW w:w="606" w:type="pct"/>
            <w:vAlign w:val="center"/>
          </w:tcPr>
          <w:p w14:paraId="0D58EE19">
            <w:pPr>
              <w:pStyle w:val="34"/>
            </w:pPr>
            <w:r>
              <w:t>2</w:t>
            </w:r>
            <w:r>
              <w:rPr>
                <w:rFonts w:hint="eastAsia"/>
              </w:rPr>
              <w:t>.5</w:t>
            </w:r>
          </w:p>
        </w:tc>
        <w:tc>
          <w:tcPr>
            <w:tcW w:w="439" w:type="pct"/>
            <w:vAlign w:val="bottom"/>
          </w:tcPr>
          <w:p w14:paraId="27B2EA48">
            <w:pPr>
              <w:pStyle w:val="34"/>
            </w:pPr>
            <w:r>
              <w:rPr>
                <w:rFonts w:hint="eastAsia"/>
              </w:rPr>
              <w:t xml:space="preserve">164 </w:t>
            </w:r>
          </w:p>
        </w:tc>
        <w:tc>
          <w:tcPr>
            <w:tcW w:w="439" w:type="pct"/>
            <w:vAlign w:val="bottom"/>
          </w:tcPr>
          <w:p w14:paraId="15D2A4A6">
            <w:pPr>
              <w:pStyle w:val="34"/>
            </w:pPr>
            <w:r>
              <w:rPr>
                <w:rFonts w:hint="eastAsia"/>
              </w:rPr>
              <w:t xml:space="preserve">151 </w:t>
            </w:r>
          </w:p>
        </w:tc>
        <w:tc>
          <w:tcPr>
            <w:tcW w:w="439" w:type="pct"/>
            <w:vAlign w:val="bottom"/>
          </w:tcPr>
          <w:p w14:paraId="4D033BA3">
            <w:pPr>
              <w:pStyle w:val="34"/>
            </w:pPr>
            <w:r>
              <w:rPr>
                <w:rFonts w:hint="eastAsia"/>
              </w:rPr>
              <w:t xml:space="preserve">136 </w:t>
            </w:r>
          </w:p>
        </w:tc>
        <w:tc>
          <w:tcPr>
            <w:tcW w:w="439" w:type="pct"/>
            <w:vAlign w:val="bottom"/>
          </w:tcPr>
          <w:p w14:paraId="1013B30F">
            <w:pPr>
              <w:pStyle w:val="34"/>
            </w:pPr>
            <w:r>
              <w:rPr>
                <w:rFonts w:hint="eastAsia"/>
              </w:rPr>
              <w:t xml:space="preserve">133 </w:t>
            </w:r>
          </w:p>
        </w:tc>
        <w:tc>
          <w:tcPr>
            <w:tcW w:w="439" w:type="pct"/>
            <w:vAlign w:val="bottom"/>
          </w:tcPr>
          <w:p w14:paraId="5EC90DEE">
            <w:pPr>
              <w:pStyle w:val="34"/>
            </w:pPr>
            <w:r>
              <w:rPr>
                <w:rFonts w:hint="eastAsia"/>
              </w:rPr>
              <w:t xml:space="preserve">120 </w:t>
            </w:r>
          </w:p>
        </w:tc>
        <w:tc>
          <w:tcPr>
            <w:tcW w:w="439" w:type="pct"/>
            <w:vAlign w:val="bottom"/>
          </w:tcPr>
          <w:p w14:paraId="6228483D">
            <w:pPr>
              <w:pStyle w:val="34"/>
            </w:pPr>
            <w:r>
              <w:rPr>
                <w:rFonts w:hint="eastAsia"/>
              </w:rPr>
              <w:t xml:space="preserve">95 </w:t>
            </w:r>
          </w:p>
        </w:tc>
        <w:tc>
          <w:tcPr>
            <w:tcW w:w="383" w:type="pct"/>
            <w:vAlign w:val="bottom"/>
          </w:tcPr>
          <w:p w14:paraId="3E6831C3">
            <w:pPr>
              <w:pStyle w:val="34"/>
            </w:pPr>
            <w:r>
              <w:rPr>
                <w:rFonts w:hint="eastAsia"/>
              </w:rPr>
              <w:t xml:space="preserve">75 </w:t>
            </w:r>
          </w:p>
        </w:tc>
      </w:tr>
      <w:tr w14:paraId="1CDC702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377" w:type="pct"/>
            <w:vAlign w:val="center"/>
          </w:tcPr>
          <w:p w14:paraId="34D753B5">
            <w:pPr>
              <w:pStyle w:val="34"/>
            </w:pPr>
            <w:r>
              <w:rPr>
                <w:rFonts w:hint="eastAsia"/>
              </w:rPr>
              <w:t>工业和</w:t>
            </w:r>
            <w:r>
              <w:t>商业建筑物</w:t>
            </w:r>
          </w:p>
        </w:tc>
        <w:tc>
          <w:tcPr>
            <w:tcW w:w="606" w:type="pct"/>
            <w:vAlign w:val="center"/>
          </w:tcPr>
          <w:p w14:paraId="43B3296F">
            <w:pPr>
              <w:pStyle w:val="34"/>
            </w:pPr>
            <w:r>
              <w:t>5</w:t>
            </w:r>
          </w:p>
        </w:tc>
        <w:tc>
          <w:tcPr>
            <w:tcW w:w="439" w:type="pct"/>
            <w:vAlign w:val="center"/>
          </w:tcPr>
          <w:p w14:paraId="4B4969A1">
            <w:pPr>
              <w:pStyle w:val="34"/>
            </w:pPr>
            <w:r>
              <w:t>68</w:t>
            </w:r>
          </w:p>
        </w:tc>
        <w:tc>
          <w:tcPr>
            <w:tcW w:w="439" w:type="pct"/>
            <w:vAlign w:val="center"/>
          </w:tcPr>
          <w:p w14:paraId="5A662B51">
            <w:pPr>
              <w:pStyle w:val="34"/>
            </w:pPr>
            <w:r>
              <w:t>63</w:t>
            </w:r>
          </w:p>
        </w:tc>
        <w:tc>
          <w:tcPr>
            <w:tcW w:w="439" w:type="pct"/>
            <w:vAlign w:val="center"/>
          </w:tcPr>
          <w:p w14:paraId="1C98967F">
            <w:pPr>
              <w:pStyle w:val="34"/>
            </w:pPr>
            <w:r>
              <w:t>57</w:t>
            </w:r>
          </w:p>
        </w:tc>
        <w:tc>
          <w:tcPr>
            <w:tcW w:w="439" w:type="pct"/>
            <w:vAlign w:val="center"/>
          </w:tcPr>
          <w:p w14:paraId="24D25856">
            <w:pPr>
              <w:pStyle w:val="34"/>
            </w:pPr>
            <w:r>
              <w:t xml:space="preserve">55 </w:t>
            </w:r>
          </w:p>
        </w:tc>
        <w:tc>
          <w:tcPr>
            <w:tcW w:w="439" w:type="pct"/>
            <w:vAlign w:val="center"/>
          </w:tcPr>
          <w:p w14:paraId="349398AF">
            <w:pPr>
              <w:pStyle w:val="34"/>
            </w:pPr>
            <w:r>
              <w:t>50</w:t>
            </w:r>
          </w:p>
        </w:tc>
        <w:tc>
          <w:tcPr>
            <w:tcW w:w="439" w:type="pct"/>
            <w:vAlign w:val="center"/>
          </w:tcPr>
          <w:p w14:paraId="1D554951">
            <w:pPr>
              <w:pStyle w:val="34"/>
            </w:pPr>
            <w:r>
              <w:t>40</w:t>
            </w:r>
          </w:p>
        </w:tc>
        <w:tc>
          <w:tcPr>
            <w:tcW w:w="383" w:type="pct"/>
            <w:vAlign w:val="center"/>
          </w:tcPr>
          <w:p w14:paraId="6BEA76CC">
            <w:pPr>
              <w:pStyle w:val="34"/>
            </w:pPr>
            <w:r>
              <w:t>31</w:t>
            </w:r>
          </w:p>
        </w:tc>
      </w:tr>
      <w:tr w14:paraId="269E661D">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77" w:type="pct"/>
            <w:vAlign w:val="center"/>
          </w:tcPr>
          <w:p w14:paraId="4FC7BF11">
            <w:pPr>
              <w:pStyle w:val="34"/>
            </w:pPr>
            <w:r>
              <w:rPr>
                <w:rFonts w:hint="eastAsia"/>
              </w:rPr>
              <w:t>水工隧洞</w:t>
            </w:r>
          </w:p>
        </w:tc>
        <w:tc>
          <w:tcPr>
            <w:tcW w:w="606" w:type="pct"/>
            <w:vAlign w:val="center"/>
          </w:tcPr>
          <w:p w14:paraId="3CF9D7C7">
            <w:pPr>
              <w:pStyle w:val="34"/>
            </w:pPr>
            <w:r>
              <w:rPr>
                <w:rFonts w:hint="eastAsia"/>
              </w:rPr>
              <w:t>10</w:t>
            </w:r>
          </w:p>
        </w:tc>
        <w:tc>
          <w:tcPr>
            <w:tcW w:w="439" w:type="pct"/>
            <w:vAlign w:val="bottom"/>
          </w:tcPr>
          <w:p w14:paraId="57D7B6A6">
            <w:pPr>
              <w:pStyle w:val="34"/>
            </w:pPr>
            <w:r>
              <w:rPr>
                <w:rFonts w:hint="eastAsia"/>
              </w:rPr>
              <w:t xml:space="preserve">61 </w:t>
            </w:r>
          </w:p>
        </w:tc>
        <w:tc>
          <w:tcPr>
            <w:tcW w:w="439" w:type="pct"/>
            <w:vAlign w:val="bottom"/>
          </w:tcPr>
          <w:p w14:paraId="0986D17B">
            <w:pPr>
              <w:pStyle w:val="34"/>
            </w:pPr>
            <w:r>
              <w:rPr>
                <w:rFonts w:hint="eastAsia"/>
              </w:rPr>
              <w:t xml:space="preserve">56 </w:t>
            </w:r>
          </w:p>
        </w:tc>
        <w:tc>
          <w:tcPr>
            <w:tcW w:w="439" w:type="pct"/>
            <w:vAlign w:val="bottom"/>
          </w:tcPr>
          <w:p w14:paraId="141F00A0">
            <w:pPr>
              <w:pStyle w:val="34"/>
            </w:pPr>
            <w:r>
              <w:rPr>
                <w:rFonts w:hint="eastAsia"/>
              </w:rPr>
              <w:t xml:space="preserve">51 </w:t>
            </w:r>
          </w:p>
        </w:tc>
        <w:tc>
          <w:tcPr>
            <w:tcW w:w="439" w:type="pct"/>
            <w:vAlign w:val="bottom"/>
          </w:tcPr>
          <w:p w14:paraId="0467C2A9">
            <w:pPr>
              <w:pStyle w:val="34"/>
            </w:pPr>
            <w:r>
              <w:rPr>
                <w:rFonts w:hint="eastAsia"/>
              </w:rPr>
              <w:t xml:space="preserve">50 </w:t>
            </w:r>
          </w:p>
        </w:tc>
        <w:tc>
          <w:tcPr>
            <w:tcW w:w="439" w:type="pct"/>
            <w:vAlign w:val="bottom"/>
          </w:tcPr>
          <w:p w14:paraId="1BA37A47">
            <w:pPr>
              <w:pStyle w:val="34"/>
            </w:pPr>
            <w:r>
              <w:rPr>
                <w:rFonts w:hint="eastAsia"/>
              </w:rPr>
              <w:t xml:space="preserve">45 </w:t>
            </w:r>
          </w:p>
        </w:tc>
        <w:tc>
          <w:tcPr>
            <w:tcW w:w="439" w:type="pct"/>
            <w:vAlign w:val="bottom"/>
          </w:tcPr>
          <w:p w14:paraId="6996C810">
            <w:pPr>
              <w:pStyle w:val="34"/>
            </w:pPr>
            <w:r>
              <w:rPr>
                <w:rFonts w:hint="eastAsia"/>
              </w:rPr>
              <w:t xml:space="preserve">35 </w:t>
            </w:r>
          </w:p>
        </w:tc>
        <w:tc>
          <w:tcPr>
            <w:tcW w:w="383" w:type="pct"/>
            <w:vAlign w:val="bottom"/>
          </w:tcPr>
          <w:p w14:paraId="5885F896">
            <w:pPr>
              <w:pStyle w:val="34"/>
            </w:pPr>
            <w:r>
              <w:rPr>
                <w:rFonts w:hint="eastAsia"/>
              </w:rPr>
              <w:t xml:space="preserve">28 </w:t>
            </w:r>
          </w:p>
        </w:tc>
      </w:tr>
    </w:tbl>
    <w:p w14:paraId="25C03549">
      <w:pPr>
        <w:ind w:firstLine="437"/>
        <w:rPr>
          <w:u w:val="single"/>
        </w:rPr>
      </w:pPr>
      <w:r>
        <w:rPr>
          <w:u w:val="single"/>
        </w:rPr>
        <w:t>根据不同药量下的安全距离，采用内插法计算出250kg药量下的安全距离。按照计算结果，项目为水域疏浚工程，邻近3km内无村庄，因此炸礁引起的地基震动对周边居民的住宅不会造成影响</w:t>
      </w:r>
      <w:r>
        <w:rPr>
          <w:rFonts w:hint="eastAsia"/>
          <w:u w:val="single"/>
        </w:rPr>
        <w:t>。项目拟在排污口迁建完成后开展涉水施工，项目炸礁施工阶段，</w:t>
      </w:r>
      <w:r>
        <w:rPr>
          <w:u w:val="single"/>
        </w:rPr>
        <w:t>距离炸礁区域现状最近的</w:t>
      </w:r>
      <w:r>
        <w:rPr>
          <w:rFonts w:hint="eastAsia"/>
          <w:u w:val="single"/>
        </w:rPr>
        <w:t>构筑物</w:t>
      </w:r>
      <w:r>
        <w:rPr>
          <w:u w:val="single"/>
        </w:rPr>
        <w:t>为大榄坪</w:t>
      </w:r>
      <w:r>
        <w:rPr>
          <w:rFonts w:hint="eastAsia"/>
          <w:u w:val="single"/>
        </w:rPr>
        <w:t>南作业区</w:t>
      </w:r>
      <w:bookmarkStart w:id="459" w:name="OLE_LINK148"/>
      <w:r>
        <w:rPr>
          <w:rFonts w:hint="eastAsia"/>
          <w:u w:val="single"/>
        </w:rPr>
        <w:t>9号10号泊位扩建工程</w:t>
      </w:r>
      <w:bookmarkEnd w:id="459"/>
      <w:r>
        <w:rPr>
          <w:rFonts w:hint="eastAsia"/>
          <w:u w:val="single"/>
        </w:rPr>
        <w:t>形成的消浪护岸，即本次项目依托的水工构筑物，最近距离约43m，</w:t>
      </w:r>
      <w:r>
        <w:rPr>
          <w:u w:val="single"/>
        </w:rPr>
        <w:t>该</w:t>
      </w:r>
      <w:r>
        <w:rPr>
          <w:rFonts w:hint="eastAsia"/>
          <w:u w:val="single"/>
        </w:rPr>
        <w:t>护岸</w:t>
      </w:r>
      <w:r>
        <w:rPr>
          <w:u w:val="single"/>
        </w:rPr>
        <w:t>为重力式</w:t>
      </w:r>
      <w:r>
        <w:rPr>
          <w:rFonts w:hint="eastAsia"/>
          <w:u w:val="single"/>
        </w:rPr>
        <w:t>结构</w:t>
      </w:r>
      <w:r>
        <w:rPr>
          <w:u w:val="single"/>
        </w:rPr>
        <w:t>，按工业建筑物性质控制，</w:t>
      </w:r>
      <w:r>
        <w:rPr>
          <w:rFonts w:hint="eastAsia"/>
          <w:u w:val="single"/>
        </w:rPr>
        <w:t>建议对临近码头结构区域炸礁时控制</w:t>
      </w:r>
      <w:r>
        <w:rPr>
          <w:u w:val="single"/>
        </w:rPr>
        <w:t>单次最大装药量</w:t>
      </w:r>
      <w:r>
        <w:rPr>
          <w:rFonts w:hint="eastAsia"/>
          <w:u w:val="single"/>
        </w:rPr>
        <w:t>不得超过100kg。迁改后排污口位于本项目码头前沿中间位置，距离炸礁区域最近约235m，</w:t>
      </w:r>
      <w:r>
        <w:rPr>
          <w:u w:val="single"/>
        </w:rPr>
        <w:t>水下爆破对</w:t>
      </w:r>
      <w:r>
        <w:rPr>
          <w:rFonts w:hint="eastAsia"/>
          <w:u w:val="single"/>
        </w:rPr>
        <w:t>迁建</w:t>
      </w:r>
      <w:r>
        <w:rPr>
          <w:u w:val="single"/>
        </w:rPr>
        <w:t xml:space="preserve">结构不会造成不利影响。 </w:t>
      </w:r>
    </w:p>
    <w:p w14:paraId="59C907B0">
      <w:pPr>
        <w:ind w:firstLine="437"/>
      </w:pPr>
      <w:r>
        <w:rPr>
          <w:rFonts w:hint="eastAsia"/>
        </w:rPr>
        <w:t>2、</w:t>
      </w:r>
      <w:r>
        <w:t>爆破飞石对周边环境的影响</w:t>
      </w:r>
    </w:p>
    <w:p w14:paraId="1038C06F">
      <w:pPr>
        <w:ind w:firstLine="437"/>
      </w:pPr>
      <w:r>
        <w:t>据有关试验表明，水深大于6m的水下工程爆破，无需考虑飞石的影响；水深3～6m有飞石，但飞石随着水柱升起，又随着水柱落回，不会飞散；但水浅时，水下爆破产生的飞石和陆上爆破无大差异，有人观察到，水深1m 时，爆破后40cm×50cm的石块飞达200 m，高15m的台地上。</w:t>
      </w:r>
    </w:p>
    <w:p w14:paraId="6C3B1F77">
      <w:pPr>
        <w:ind w:firstLine="437"/>
      </w:pPr>
      <w:r>
        <w:t>工程炸礁水域现状水深约-</w:t>
      </w:r>
      <w:r>
        <w:rPr>
          <w:rFonts w:hint="eastAsia"/>
        </w:rPr>
        <w:t>2</w:t>
      </w:r>
      <w:r>
        <w:t>m</w:t>
      </w:r>
      <w:r>
        <w:rPr>
          <w:rFonts w:hint="eastAsia"/>
        </w:rPr>
        <w:t>～</w:t>
      </w:r>
      <w:r>
        <w:t>-</w:t>
      </w:r>
      <w:r>
        <w:rPr>
          <w:rFonts w:hint="eastAsia"/>
        </w:rPr>
        <w:t>3</w:t>
      </w:r>
      <w:r>
        <w:t>m，实施爆破的</w:t>
      </w:r>
      <w:r>
        <w:rPr>
          <w:rFonts w:hint="eastAsia"/>
        </w:rPr>
        <w:t>人员</w:t>
      </w:r>
      <w:r>
        <w:t>按照安全规范操作，爆破飞石对周边环境影响较小。</w:t>
      </w:r>
    </w:p>
    <w:p w14:paraId="3332FA76">
      <w:pPr>
        <w:ind w:firstLine="437"/>
      </w:pPr>
      <w:r>
        <w:rPr>
          <w:rFonts w:hint="eastAsia"/>
        </w:rPr>
        <w:t>3、</w:t>
      </w:r>
      <w:r>
        <w:t>冲击波对周围海洋生物的影响</w:t>
      </w:r>
    </w:p>
    <w:p w14:paraId="45BF5FCD">
      <w:pPr>
        <w:ind w:firstLine="437"/>
      </w:pPr>
      <w:r>
        <w:t>水下爆破过程大体分为3个阶段，即炸药的爆轰、冲击波的形成和传播、气泡的振荡和上浮。在距爆炸点一定的距离以外，爆炸的主要作用特征为冲击波，而且由于摩擦力和粘滞力的影响，冲击波逐渐钝化，最后衰变为声波，声波在水中存在传播损失，其强度随传播距离的增大而逐渐减弱，渔业生物则受声波的影响，会产生一定的生物致死效应。</w:t>
      </w:r>
    </w:p>
    <w:p w14:paraId="59CB1AA1">
      <w:pPr>
        <w:ind w:firstLine="437"/>
      </w:pPr>
      <w:r>
        <w:t>黄海水产研究所曾于1982年和1983年在山东胶州湾和莱州湾进行水下爆破对鱼类和底栖生物影响的试验，结果表明使用3kgTNT炸药和井深30m的条件下，离爆破点60m以内的海洋生物均受到不同程度的伤害；1998年4月湄州湾火电厂水下爆破作业时，离爆破点600～700m处的网箱养殖鱼类发生连续的、不同程度的死亡；东海水产研究所2003年11月在杭州湾大洋山附近进行的爆破对渔业资源影响的试验，使用250kgML-1型岩石乳化炸药的延迟爆破试验，结果表明：爆破对受试生物的影响随距离爆破点的距离的加大而逐渐减小，300m各生物致死率在20%左右，500m各生物致死率为</w:t>
      </w:r>
      <w:r>
        <w:rPr>
          <w:rFonts w:hint="eastAsia"/>
        </w:rPr>
        <w:t>5%～10%</w:t>
      </w:r>
      <w:r>
        <w:t>，500m外爆破对受试生物影响较小。</w:t>
      </w:r>
      <w:r>
        <w:rPr>
          <w:rFonts w:hint="eastAsia"/>
          <w:lang w:eastAsia="zh-CN"/>
        </w:rPr>
        <w:t>交通运输部</w:t>
      </w:r>
      <w:r>
        <w:t>天津水运工程科学研究所在洋山港航道水下炸礁对渔业资源影响研究中发现：水下爆破对海洋生物100%致死率半径为距离爆破中心100m，50%致死率为距离爆破中心160m；距离爆破中心 500m外，对生物的影响很小。</w:t>
      </w:r>
    </w:p>
    <w:p w14:paraId="5FC9868D">
      <w:pPr>
        <w:ind w:firstLine="437"/>
      </w:pPr>
      <w:r>
        <w:t>根据水下爆破方式、一次起爆药量、爆破条件、地质和地形条件、水域以及边界条件，通过冲击波峰值压力与致死率计算，分析、评估水下爆破对渔业资源的影响。冲击波峰值压力按下式计算：</w:t>
      </w:r>
    </w:p>
    <w:p w14:paraId="513BB6EC">
      <w:pPr>
        <w:ind w:firstLine="437"/>
      </w:pPr>
      <m:oMathPara>
        <m:oMath>
          <m:sSub>
            <m:sSubPr>
              <m:ctrlPr>
                <w:rPr>
                  <w:rFonts w:ascii="Cambria Math" w:hAnsi="Cambria Math"/>
                </w:rPr>
              </m:ctrlPr>
            </m:sSubPr>
            <m:e>
              <m:r>
                <m:rPr/>
                <w:rPr>
                  <w:rFonts w:ascii="Cambria Math" w:hAnsi="Cambria Math"/>
                </w:rPr>
                <m:t>W</m:t>
              </m:r>
              <m:ctrlPr>
                <w:rPr>
                  <w:rFonts w:ascii="Cambria Math" w:hAnsi="Cambria Math"/>
                </w:rPr>
              </m:ctrlPr>
            </m:e>
            <m:sub>
              <m:r>
                <m:rPr/>
                <w:rPr>
                  <w:rFonts w:ascii="Cambria Math" w:hAnsi="Cambria Math"/>
                </w:rPr>
                <m:t>i</m:t>
              </m:r>
              <m:ctrlPr>
                <w:rPr>
                  <w:rFonts w:ascii="Cambria Math" w:hAnsi="Cambria Math"/>
                </w:rPr>
              </m:ctrlPr>
            </m:sub>
          </m:sSub>
          <m:r>
            <m:rPr>
              <m:sty m:val="p"/>
            </m:rPr>
            <w:rPr>
              <w:rFonts w:ascii="Cambria Math" w:hAnsi="Cambria Math"/>
            </w:rPr>
            <m:t>=287.3</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p>
                        <m:sSupPr>
                          <m:ctrlPr>
                            <w:rPr>
                              <w:rFonts w:ascii="Cambria Math" w:hAnsi="Cambria Math"/>
                            </w:rPr>
                          </m:ctrlPr>
                        </m:sSupPr>
                        <m:e>
                          <m:r>
                            <m:rPr/>
                            <w:rPr>
                              <w:rFonts w:ascii="Cambria Math" w:hAnsi="Cambria Math"/>
                            </w:rPr>
                            <m:t>Q</m:t>
                          </m:r>
                          <m:ctrlPr>
                            <w:rPr>
                              <w:rFonts w:ascii="Cambria Math" w:hAnsi="Cambria Math"/>
                            </w:rPr>
                          </m:ctrlPr>
                        </m:e>
                        <m:sup>
                          <m:f>
                            <m:fPr>
                              <m:ctrlPr>
                                <w:rPr>
                                  <w:rFonts w:ascii="Cambria Math" w:hAnsi="Cambria Math"/>
                                </w:rPr>
                              </m:ctrlPr>
                            </m:fPr>
                            <m:num>
                              <m:r>
                                <m:rPr>
                                  <m:sty m:val="p"/>
                                </m:rPr>
                                <w:rPr>
                                  <w:rFonts w:ascii="Cambria Math" w:hAnsi="Cambria Math"/>
                                </w:rPr>
                                <m:t>1</m:t>
                              </m:r>
                              <m:ctrlPr>
                                <w:rPr>
                                  <w:rFonts w:ascii="Cambria Math" w:hAnsi="Cambria Math"/>
                                </w:rPr>
                              </m:ctrlPr>
                            </m:num>
                            <m:den>
                              <m:r>
                                <m:rPr>
                                  <m:sty m:val="p"/>
                                </m:rPr>
                                <w:rPr>
                                  <w:rFonts w:ascii="Cambria Math" w:hAnsi="Cambria Math"/>
                                </w:rPr>
                                <m:t>3</m:t>
                              </m:r>
                              <m:ctrlPr>
                                <w:rPr>
                                  <w:rFonts w:ascii="Cambria Math" w:hAnsi="Cambria Math"/>
                                </w:rPr>
                              </m:ctrlPr>
                            </m:den>
                          </m:f>
                          <m:ctrlPr>
                            <w:rPr>
                              <w:rFonts w:ascii="Cambria Math" w:hAnsi="Cambria Math"/>
                            </w:rPr>
                          </m:ctrlPr>
                        </m:sup>
                      </m:sSup>
                      <m:ctrlPr>
                        <w:rPr>
                          <w:rFonts w:ascii="Cambria Math" w:hAnsi="Cambria Math"/>
                        </w:rPr>
                      </m:ctrlPr>
                    </m:num>
                    <m:den>
                      <m:r>
                        <m:rPr/>
                        <w:rPr>
                          <w:rFonts w:ascii="Cambria Math" w:hAnsi="Cambria Math"/>
                        </w:rPr>
                        <m:t>R</m:t>
                      </m:r>
                      <m:ctrlPr>
                        <w:rPr>
                          <w:rFonts w:ascii="Cambria Math" w:hAnsi="Cambria Math"/>
                        </w:rPr>
                      </m:ctrlPr>
                    </m:den>
                  </m:f>
                  <m:ctrlPr>
                    <w:rPr>
                      <w:rFonts w:ascii="Cambria Math" w:hAnsi="Cambria Math"/>
                    </w:rPr>
                  </m:ctrlPr>
                </m:e>
              </m:d>
              <m:ctrlPr>
                <w:rPr>
                  <w:rFonts w:ascii="Cambria Math" w:hAnsi="Cambria Math"/>
                </w:rPr>
              </m:ctrlPr>
            </m:e>
            <m:sup>
              <m:r>
                <m:rPr>
                  <m:sty m:val="p"/>
                </m:rPr>
                <w:rPr>
                  <w:rFonts w:ascii="Cambria Math" w:hAnsi="Cambria Math"/>
                </w:rPr>
                <m:t>1.33</m:t>
              </m:r>
              <m:ctrlPr>
                <w:rPr>
                  <w:rFonts w:ascii="Cambria Math" w:hAnsi="Cambria Math"/>
                </w:rPr>
              </m:ctrlPr>
            </m:sup>
          </m:sSup>
        </m:oMath>
      </m:oMathPara>
    </w:p>
    <w:p w14:paraId="7AE5648E">
      <w:pPr>
        <w:ind w:firstLine="437"/>
      </w:pPr>
      <w:r>
        <w:t>式中：</w:t>
      </w:r>
    </w:p>
    <w:p w14:paraId="4D4FA035">
      <w:pPr>
        <w:ind w:firstLine="437"/>
      </w:pPr>
      <w:r>
        <w:rPr>
          <w:i/>
        </w:rPr>
        <w:t>W</w:t>
      </w:r>
      <w:r>
        <w:rPr>
          <w:vertAlign w:val="subscript"/>
        </w:rPr>
        <w:t xml:space="preserve">i </w:t>
      </w:r>
      <w:r>
        <w:t>——冲击波峰值压力，单位为千克每平方厘米（kg/cm</w:t>
      </w:r>
      <w:r>
        <w:rPr>
          <w:vertAlign w:val="superscript"/>
        </w:rPr>
        <w:t>2</w:t>
      </w:r>
      <w:r>
        <w:t>） ；</w:t>
      </w:r>
    </w:p>
    <w:p w14:paraId="02C1FE94">
      <w:pPr>
        <w:ind w:firstLine="437"/>
      </w:pPr>
      <w:r>
        <w:rPr>
          <w:i/>
        </w:rPr>
        <w:t>Q</w:t>
      </w:r>
      <w:r>
        <w:t xml:space="preserve"> ——一次起爆药量，单位为千克（kg）（</w:t>
      </w:r>
      <w:r>
        <w:rPr>
          <w:i/>
        </w:rPr>
        <w:t>Q</w:t>
      </w:r>
      <w:r>
        <w:t>&lt;250kg）；</w:t>
      </w:r>
    </w:p>
    <w:p w14:paraId="675027C4">
      <w:pPr>
        <w:ind w:firstLine="437"/>
      </w:pPr>
      <w:r>
        <w:rPr>
          <w:i/>
        </w:rPr>
        <w:t>R</w:t>
      </w:r>
      <w:r>
        <w:t xml:space="preserve"> ——爆破点距测点距离，单位为米（m），（</w:t>
      </w:r>
      <w:r>
        <w:rPr>
          <w:i/>
        </w:rPr>
        <w:t>R</w:t>
      </w:r>
      <w:r>
        <w:t xml:space="preserve"> &lt;700m）；</w:t>
      </w:r>
    </w:p>
    <w:p w14:paraId="0912664C">
      <w:pPr>
        <w:ind w:firstLine="437"/>
      </w:pPr>
      <w:r>
        <w:t>在此，参照《建设项目对海洋生物资源影响评价技术规程》（SC/T9110-2007）中附录B的规定，根据冲击波峰值压力值推算渔业生物致死率，结果见表4.</w:t>
      </w:r>
      <w:r>
        <w:rPr>
          <w:rFonts w:hint="eastAsia"/>
        </w:rPr>
        <w:t>2</w:t>
      </w:r>
      <w:r>
        <w:t>-</w:t>
      </w:r>
      <w:r>
        <w:rPr>
          <w:rFonts w:hint="eastAsia"/>
        </w:rPr>
        <w:t>3</w:t>
      </w:r>
      <w:r>
        <w:t>。</w:t>
      </w:r>
    </w:p>
    <w:p w14:paraId="21EB1ECB">
      <w:pPr>
        <w:pStyle w:val="7"/>
      </w:pPr>
      <w:r>
        <w:t>冲击波峰值压力与渔业生物致死率的关系</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26"/>
        <w:gridCol w:w="1330"/>
        <w:gridCol w:w="1369"/>
        <w:gridCol w:w="1369"/>
        <w:gridCol w:w="1394"/>
        <w:gridCol w:w="1394"/>
      </w:tblGrid>
      <w:tr w14:paraId="738A7A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756" w:type="dxa"/>
            <w:gridSpan w:val="2"/>
            <w:vAlign w:val="center"/>
          </w:tcPr>
          <w:p w14:paraId="54091987">
            <w:pPr>
              <w:pStyle w:val="34"/>
            </w:pPr>
            <w:r>
              <w:rPr>
                <w:rFonts w:hint="eastAsia"/>
              </w:rPr>
              <w:t>距</w:t>
            </w:r>
            <w:r>
              <w:t>爆破点距离（m）</w:t>
            </w:r>
          </w:p>
        </w:tc>
        <w:tc>
          <w:tcPr>
            <w:tcW w:w="1369" w:type="dxa"/>
            <w:vAlign w:val="center"/>
          </w:tcPr>
          <w:p w14:paraId="7C252A54">
            <w:pPr>
              <w:pStyle w:val="34"/>
            </w:pPr>
            <w:r>
              <w:t>100</w:t>
            </w:r>
          </w:p>
        </w:tc>
        <w:tc>
          <w:tcPr>
            <w:tcW w:w="1369" w:type="dxa"/>
            <w:vAlign w:val="center"/>
          </w:tcPr>
          <w:p w14:paraId="38D5D400">
            <w:pPr>
              <w:pStyle w:val="34"/>
            </w:pPr>
            <w:r>
              <w:t>300</w:t>
            </w:r>
          </w:p>
        </w:tc>
        <w:tc>
          <w:tcPr>
            <w:tcW w:w="1394" w:type="dxa"/>
            <w:vAlign w:val="center"/>
          </w:tcPr>
          <w:p w14:paraId="7E32C4A9">
            <w:pPr>
              <w:pStyle w:val="34"/>
            </w:pPr>
            <w:r>
              <w:t>500</w:t>
            </w:r>
          </w:p>
        </w:tc>
        <w:tc>
          <w:tcPr>
            <w:tcW w:w="1394" w:type="dxa"/>
            <w:vAlign w:val="center"/>
          </w:tcPr>
          <w:p w14:paraId="7CAF7E3A">
            <w:pPr>
              <w:pStyle w:val="34"/>
            </w:pPr>
            <w:r>
              <w:t>700</w:t>
            </w:r>
          </w:p>
        </w:tc>
      </w:tr>
      <w:tr w14:paraId="2B37AF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756" w:type="dxa"/>
            <w:gridSpan w:val="2"/>
            <w:vAlign w:val="center"/>
          </w:tcPr>
          <w:p w14:paraId="228D047D">
            <w:pPr>
              <w:pStyle w:val="34"/>
            </w:pPr>
            <w:r>
              <w:t>冲击波峰值压力（kg/cm</w:t>
            </w:r>
            <w:r>
              <w:rPr>
                <w:vertAlign w:val="superscript"/>
              </w:rPr>
              <w:t>2</w:t>
            </w:r>
            <w:r>
              <w:t>）</w:t>
            </w:r>
          </w:p>
        </w:tc>
        <w:tc>
          <w:tcPr>
            <w:tcW w:w="1369" w:type="dxa"/>
            <w:vAlign w:val="center"/>
          </w:tcPr>
          <w:p w14:paraId="16F1F3F9">
            <w:pPr>
              <w:pStyle w:val="34"/>
            </w:pPr>
            <w:r>
              <w:t>7.27</w:t>
            </w:r>
          </w:p>
        </w:tc>
        <w:tc>
          <w:tcPr>
            <w:tcW w:w="1369" w:type="dxa"/>
            <w:vAlign w:val="center"/>
          </w:tcPr>
          <w:p w14:paraId="5B2952A6">
            <w:pPr>
              <w:pStyle w:val="34"/>
            </w:pPr>
            <w:r>
              <w:t>1.69</w:t>
            </w:r>
          </w:p>
        </w:tc>
        <w:tc>
          <w:tcPr>
            <w:tcW w:w="1394" w:type="dxa"/>
            <w:vAlign w:val="center"/>
          </w:tcPr>
          <w:p w14:paraId="5B54972D">
            <w:pPr>
              <w:pStyle w:val="34"/>
            </w:pPr>
            <w:r>
              <w:t>0.745</w:t>
            </w:r>
          </w:p>
        </w:tc>
        <w:tc>
          <w:tcPr>
            <w:tcW w:w="1394" w:type="dxa"/>
            <w:vAlign w:val="center"/>
          </w:tcPr>
          <w:p w14:paraId="57387043">
            <w:pPr>
              <w:pStyle w:val="34"/>
            </w:pPr>
            <w:r>
              <w:t>0.577</w:t>
            </w:r>
          </w:p>
        </w:tc>
      </w:tr>
      <w:tr w14:paraId="0F44B3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6" w:type="dxa"/>
            <w:vMerge w:val="restart"/>
            <w:vAlign w:val="center"/>
          </w:tcPr>
          <w:p w14:paraId="12474BD4">
            <w:pPr>
              <w:pStyle w:val="34"/>
            </w:pPr>
            <w:r>
              <w:t>致死率（%）</w:t>
            </w:r>
          </w:p>
        </w:tc>
        <w:tc>
          <w:tcPr>
            <w:tcW w:w="1330" w:type="dxa"/>
            <w:vAlign w:val="center"/>
          </w:tcPr>
          <w:p w14:paraId="5434C3A1">
            <w:pPr>
              <w:pStyle w:val="34"/>
            </w:pPr>
            <w:r>
              <w:t>鱼类</w:t>
            </w:r>
          </w:p>
        </w:tc>
        <w:tc>
          <w:tcPr>
            <w:tcW w:w="1369" w:type="dxa"/>
            <w:vAlign w:val="center"/>
          </w:tcPr>
          <w:p w14:paraId="0741D980">
            <w:pPr>
              <w:pStyle w:val="34"/>
            </w:pPr>
            <w:r>
              <w:t>100</w:t>
            </w:r>
          </w:p>
        </w:tc>
        <w:tc>
          <w:tcPr>
            <w:tcW w:w="1369" w:type="dxa"/>
            <w:vAlign w:val="center"/>
          </w:tcPr>
          <w:p w14:paraId="0441A718">
            <w:pPr>
              <w:pStyle w:val="34"/>
            </w:pPr>
            <w:r>
              <w:t>20</w:t>
            </w:r>
          </w:p>
        </w:tc>
        <w:tc>
          <w:tcPr>
            <w:tcW w:w="1394" w:type="dxa"/>
            <w:vAlign w:val="center"/>
          </w:tcPr>
          <w:p w14:paraId="65B401E8">
            <w:pPr>
              <w:pStyle w:val="34"/>
            </w:pPr>
            <w:r>
              <w:t>10</w:t>
            </w:r>
          </w:p>
        </w:tc>
        <w:tc>
          <w:tcPr>
            <w:tcW w:w="1394" w:type="dxa"/>
            <w:vAlign w:val="center"/>
          </w:tcPr>
          <w:p w14:paraId="45BA1858">
            <w:pPr>
              <w:pStyle w:val="34"/>
            </w:pPr>
            <w:r>
              <w:t>3</w:t>
            </w:r>
          </w:p>
        </w:tc>
      </w:tr>
      <w:tr w14:paraId="637D40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6" w:type="dxa"/>
            <w:vMerge w:val="continue"/>
            <w:vAlign w:val="center"/>
          </w:tcPr>
          <w:p w14:paraId="59A6EC92">
            <w:pPr>
              <w:pStyle w:val="34"/>
            </w:pPr>
          </w:p>
        </w:tc>
        <w:tc>
          <w:tcPr>
            <w:tcW w:w="1330" w:type="dxa"/>
            <w:vAlign w:val="center"/>
          </w:tcPr>
          <w:p w14:paraId="73CE8A48">
            <w:pPr>
              <w:pStyle w:val="34"/>
            </w:pPr>
            <w:r>
              <w:t>石首鱼类</w:t>
            </w:r>
          </w:p>
        </w:tc>
        <w:tc>
          <w:tcPr>
            <w:tcW w:w="1369" w:type="dxa"/>
            <w:vAlign w:val="center"/>
          </w:tcPr>
          <w:p w14:paraId="559BE5EA">
            <w:pPr>
              <w:pStyle w:val="34"/>
            </w:pPr>
            <w:r>
              <w:t>100</w:t>
            </w:r>
          </w:p>
        </w:tc>
        <w:tc>
          <w:tcPr>
            <w:tcW w:w="1369" w:type="dxa"/>
            <w:vAlign w:val="center"/>
          </w:tcPr>
          <w:p w14:paraId="58D0224A">
            <w:pPr>
              <w:pStyle w:val="34"/>
            </w:pPr>
            <w:r>
              <w:t>100</w:t>
            </w:r>
          </w:p>
        </w:tc>
        <w:tc>
          <w:tcPr>
            <w:tcW w:w="1394" w:type="dxa"/>
            <w:vAlign w:val="center"/>
          </w:tcPr>
          <w:p w14:paraId="43C05A62">
            <w:pPr>
              <w:pStyle w:val="34"/>
            </w:pPr>
            <w:r>
              <w:t>50</w:t>
            </w:r>
          </w:p>
        </w:tc>
        <w:tc>
          <w:tcPr>
            <w:tcW w:w="1394" w:type="dxa"/>
            <w:vAlign w:val="center"/>
          </w:tcPr>
          <w:p w14:paraId="455831DA">
            <w:pPr>
              <w:pStyle w:val="34"/>
            </w:pPr>
            <w:r>
              <w:t>15</w:t>
            </w:r>
          </w:p>
        </w:tc>
      </w:tr>
      <w:tr w14:paraId="278598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6" w:type="dxa"/>
            <w:vMerge w:val="continue"/>
            <w:vAlign w:val="center"/>
          </w:tcPr>
          <w:p w14:paraId="5717B397">
            <w:pPr>
              <w:pStyle w:val="34"/>
            </w:pPr>
          </w:p>
        </w:tc>
        <w:tc>
          <w:tcPr>
            <w:tcW w:w="1330" w:type="dxa"/>
            <w:vAlign w:val="center"/>
          </w:tcPr>
          <w:p w14:paraId="435192DA">
            <w:pPr>
              <w:pStyle w:val="34"/>
            </w:pPr>
            <w:r>
              <w:t>虾类</w:t>
            </w:r>
          </w:p>
        </w:tc>
        <w:tc>
          <w:tcPr>
            <w:tcW w:w="1369" w:type="dxa"/>
            <w:vAlign w:val="center"/>
          </w:tcPr>
          <w:p w14:paraId="2B7B9DB9">
            <w:pPr>
              <w:pStyle w:val="34"/>
            </w:pPr>
            <w:r>
              <w:t>100</w:t>
            </w:r>
          </w:p>
        </w:tc>
        <w:tc>
          <w:tcPr>
            <w:tcW w:w="1369" w:type="dxa"/>
            <w:vAlign w:val="center"/>
          </w:tcPr>
          <w:p w14:paraId="405E8498">
            <w:pPr>
              <w:pStyle w:val="34"/>
            </w:pPr>
            <w:r>
              <w:t>20</w:t>
            </w:r>
          </w:p>
        </w:tc>
        <w:tc>
          <w:tcPr>
            <w:tcW w:w="1394" w:type="dxa"/>
            <w:vAlign w:val="center"/>
          </w:tcPr>
          <w:p w14:paraId="05119284">
            <w:pPr>
              <w:pStyle w:val="34"/>
            </w:pPr>
            <w:r>
              <w:t>6.6</w:t>
            </w:r>
          </w:p>
        </w:tc>
        <w:tc>
          <w:tcPr>
            <w:tcW w:w="1394" w:type="dxa"/>
            <w:vAlign w:val="center"/>
          </w:tcPr>
          <w:p w14:paraId="0E2E7686">
            <w:pPr>
              <w:pStyle w:val="34"/>
            </w:pPr>
            <w:r>
              <w:t>0</w:t>
            </w:r>
          </w:p>
        </w:tc>
      </w:tr>
    </w:tbl>
    <w:p w14:paraId="1F3D7CBC">
      <w:pPr>
        <w:ind w:firstLine="0" w:firstLineChars="0"/>
      </w:pPr>
    </w:p>
    <w:p w14:paraId="7E656540">
      <w:pPr>
        <w:pStyle w:val="8"/>
        <w:rPr>
          <w:u w:val="single"/>
        </w:rPr>
      </w:pPr>
      <w:r>
        <w:rPr>
          <w:rFonts w:hint="eastAsia"/>
          <w:u w:val="single"/>
        </w:rPr>
        <w:t>项目爆破炸礁冲击波影响范围示意图</w:t>
      </w:r>
    </w:p>
    <w:p w14:paraId="4B333600">
      <w:pPr>
        <w:ind w:firstLine="437"/>
      </w:pPr>
      <w:r>
        <w:t>由上表可知</w:t>
      </w:r>
      <w:r>
        <w:rPr>
          <w:rFonts w:hint="eastAsia"/>
        </w:rPr>
        <w:t>，</w:t>
      </w:r>
      <w:r>
        <w:t>爆破影响范围位于炸礁区域附近。根据区域海洋生态现状调查，</w:t>
      </w:r>
      <w:r>
        <w:rPr>
          <w:rFonts w:hint="eastAsia"/>
        </w:rPr>
        <w:t>工程所在海域整体鱼卵、仔鱼密度均较小，综上，本项目爆破产生的冲击波影响主要集中在700m范围内，由于工程所在海域渔业生物密度较小，因此项目冲击波产生的生态影响不大。</w:t>
      </w:r>
    </w:p>
    <w:p w14:paraId="06AB6E67">
      <w:pPr>
        <w:ind w:firstLine="437"/>
      </w:pPr>
      <w:r>
        <w:t>综合考虑，为减轻水下爆破对渔业资源的影响，建议在</w:t>
      </w:r>
      <w:r>
        <w:rPr>
          <w:rFonts w:hint="eastAsia"/>
        </w:rPr>
        <w:t>爆破</w:t>
      </w:r>
      <w:r>
        <w:t>前先采取放小炮措施，让鱼群远离爆破区域。爆破工程应避开鱼类繁殖季节，建议施工单位采用快硬、高强、微膨胀的材料或直接用成型的炮孔塞堵塞炮孔等措施，减少钻孔工作量，加快施工进度，严格将爆破施工控制在</w:t>
      </w:r>
      <w:r>
        <w:rPr>
          <w:snapToGrid w:val="0"/>
        </w:rPr>
        <w:t>枯水期11～3月完成，减少爆破对鱼类影响持续的时间。</w:t>
      </w:r>
    </w:p>
    <w:p w14:paraId="79B71512">
      <w:pPr>
        <w:ind w:firstLine="437"/>
      </w:pPr>
      <w:r>
        <w:rPr>
          <w:rFonts w:hint="eastAsia"/>
        </w:rPr>
        <w:t>4、</w:t>
      </w:r>
      <w:r>
        <w:t>炸礁噪声对海洋生物的影响</w:t>
      </w:r>
    </w:p>
    <w:p w14:paraId="7FB04175">
      <w:pPr>
        <w:ind w:firstLine="437"/>
      </w:pPr>
      <w:r>
        <w:t>炸礁产生的水下噪声也会对周边海洋生物产生一定影响</w:t>
      </w:r>
      <w:r>
        <w:rPr>
          <w:rFonts w:hint="eastAsia"/>
        </w:rPr>
        <w:t>，</w:t>
      </w:r>
      <w:r>
        <w:t>噪声会惊扰或影响部分仔稚鱼和游泳动物的索饵和栖息活动，工程周边海域鱼卵及仔鱼密度极小，</w:t>
      </w:r>
      <w:r>
        <w:rPr>
          <w:rFonts w:hint="eastAsia"/>
        </w:rPr>
        <w:t>钦州港</w:t>
      </w:r>
      <w:r>
        <w:t>区域鱼卵平均密度</w:t>
      </w:r>
      <w:r>
        <w:rPr>
          <w:rFonts w:hint="eastAsia"/>
        </w:rPr>
        <w:t>12.96</w:t>
      </w:r>
      <w:r>
        <w:rPr>
          <w:lang w:bidi="en-US"/>
        </w:rPr>
        <w:t>粒/m</w:t>
      </w:r>
      <w:r>
        <w:rPr>
          <w:vertAlign w:val="superscript"/>
          <w:lang w:bidi="en-US"/>
        </w:rPr>
        <w:t>3</w:t>
      </w:r>
      <w:r>
        <w:rPr>
          <w:lang w:bidi="en-US"/>
        </w:rPr>
        <w:t>、仔鱼平均密度</w:t>
      </w:r>
      <w:r>
        <w:rPr>
          <w:rFonts w:hint="eastAsia"/>
          <w:lang w:bidi="en-US"/>
        </w:rPr>
        <w:t>1.22</w:t>
      </w:r>
      <w:r>
        <w:rPr>
          <w:lang w:bidi="en-US"/>
        </w:rPr>
        <w:t>尾/m</w:t>
      </w:r>
      <w:r>
        <w:rPr>
          <w:vertAlign w:val="superscript"/>
          <w:lang w:bidi="en-US"/>
        </w:rPr>
        <w:t>3</w:t>
      </w:r>
      <w:r>
        <w:rPr>
          <w:lang w:bidi="en-US"/>
        </w:rPr>
        <w:t>，</w:t>
      </w:r>
      <w:r>
        <w:rPr>
          <w:rFonts w:hint="eastAsia"/>
          <w:lang w:bidi="en-US"/>
        </w:rPr>
        <w:t>周边监测点位（14#站位）鱼卵仔鱼定量采集均未采集到，说明</w:t>
      </w:r>
      <w:r>
        <w:rPr>
          <w:lang w:bidi="en-US"/>
        </w:rPr>
        <w:t>受影响的仔稚鱼密度小、数量稀疏</w:t>
      </w:r>
      <w:r>
        <w:rPr>
          <w:rFonts w:hint="eastAsia"/>
          <w:lang w:bidi="en-US"/>
        </w:rPr>
        <w:t>。</w:t>
      </w:r>
    </w:p>
    <w:p w14:paraId="27CC1154">
      <w:pPr>
        <w:ind w:firstLine="437"/>
      </w:pPr>
      <w:r>
        <w:rPr>
          <w:rFonts w:hint="eastAsia"/>
        </w:rPr>
        <w:t>工程所在海域游泳动物优势种主要有</w:t>
      </w:r>
      <w:bookmarkStart w:id="460" w:name="OLE_LINK150"/>
      <w:r>
        <w:rPr>
          <w:rFonts w:hint="eastAsia"/>
          <w:bCs/>
          <w:lang w:bidi="en-US"/>
        </w:rPr>
        <w:t>颈斑</w:t>
      </w:r>
      <w:r>
        <w:rPr>
          <w:bCs/>
          <w:lang w:bidi="en-US"/>
        </w:rPr>
        <w:t>鲾</w:t>
      </w:r>
      <w:bookmarkEnd w:id="460"/>
      <w:r>
        <w:rPr>
          <w:rFonts w:hint="eastAsia"/>
          <w:bCs/>
          <w:lang w:bidi="en-US"/>
        </w:rPr>
        <w:t>、日本蟳、口虾蛄、</w:t>
      </w:r>
      <w:bookmarkStart w:id="461" w:name="OLE_LINK151"/>
      <w:r>
        <w:rPr>
          <w:rFonts w:hint="eastAsia"/>
          <w:bCs/>
          <w:lang w:bidi="en-US"/>
        </w:rPr>
        <w:t>隆线强蟹</w:t>
      </w:r>
      <w:bookmarkEnd w:id="461"/>
      <w:r>
        <w:rPr>
          <w:rFonts w:hint="eastAsia"/>
          <w:lang w:bidi="en-US"/>
        </w:rPr>
        <w:t>，均为</w:t>
      </w:r>
      <w:r>
        <w:rPr>
          <w:lang w:bidi="en-US"/>
        </w:rPr>
        <w:t>近岸海域栖息的</w:t>
      </w:r>
      <w:r>
        <w:rPr>
          <w:rFonts w:hint="eastAsia"/>
          <w:lang w:bidi="en-US"/>
        </w:rPr>
        <w:t>常见</w:t>
      </w:r>
      <w:r>
        <w:rPr>
          <w:lang w:bidi="en-US"/>
        </w:rPr>
        <w:t>物种，</w:t>
      </w:r>
      <w:r>
        <w:t xml:space="preserve">项目炸礁前采取声驱法驱赶周边游泳动物，可减免炸礁噪声对周边海洋生物的影响。另外，水下噪音随距离呈现反平方规律衰减，随着水深的增加下降较快，对周边海洋生物影响较小，且随着施工结束，影响消失。 </w:t>
      </w:r>
    </w:p>
    <w:p w14:paraId="5AC185AD">
      <w:pPr>
        <w:pStyle w:val="5"/>
      </w:pPr>
      <w:r>
        <w:t>生态损失补偿计算</w:t>
      </w:r>
    </w:p>
    <w:p w14:paraId="4D322699">
      <w:pPr>
        <w:pStyle w:val="6"/>
      </w:pPr>
      <w:r>
        <w:rPr>
          <w:rFonts w:hint="eastAsia"/>
        </w:rPr>
        <w:t>生态损失评估方法</w:t>
      </w:r>
    </w:p>
    <w:p w14:paraId="17FF92E0">
      <w:pPr>
        <w:ind w:firstLine="437"/>
      </w:pPr>
      <w:r>
        <w:rPr>
          <w:rFonts w:hint="eastAsia"/>
        </w:rPr>
        <w:t>海洋工程</w:t>
      </w:r>
      <w:r>
        <w:t>项目对海洋生物资源的损害主要表现在以下两方面：一是</w:t>
      </w:r>
      <w:r>
        <w:rPr>
          <w:rFonts w:hint="eastAsia"/>
        </w:rPr>
        <w:t>永久性水工结构</w:t>
      </w:r>
      <w:r>
        <w:t>使得原有海域属性变为陆地，侵占了海洋生物资源的栖息环境，属于永久性损害；二是施工期间产生的疏浚区域占用及悬浮泥沙扩散，为短时间排放，短期内将较快恢复本底值。</w:t>
      </w:r>
    </w:p>
    <w:p w14:paraId="42B2664E">
      <w:pPr>
        <w:ind w:firstLine="437"/>
      </w:pPr>
      <w:r>
        <w:t>本项目工程产生的生态损失主要包括：</w:t>
      </w:r>
      <w:r>
        <w:rPr>
          <w:rFonts w:hint="eastAsia" w:ascii="宋体" w:hAnsi="宋体"/>
        </w:rPr>
        <w:t>①</w:t>
      </w:r>
      <w:r>
        <w:t>水域疏浚开挖产生的生态损失；</w:t>
      </w:r>
      <w:r>
        <w:rPr>
          <w:rFonts w:hint="eastAsia" w:ascii="宋体" w:hAnsi="宋体"/>
        </w:rPr>
        <w:t>②</w:t>
      </w:r>
      <w:r>
        <w:t>施工悬浮泥沙产生的生态损失；</w:t>
      </w:r>
      <w:r>
        <w:rPr>
          <w:rFonts w:hint="eastAsia" w:ascii="宋体" w:hAnsi="宋体"/>
        </w:rPr>
        <w:t>③爆破对生物资源的损害</w:t>
      </w:r>
      <w:r>
        <w:t>。</w:t>
      </w:r>
    </w:p>
    <w:p w14:paraId="6C15423E">
      <w:pPr>
        <w:ind w:firstLine="437"/>
        <w:rPr>
          <w:lang w:bidi="en-US"/>
        </w:rPr>
      </w:pPr>
      <w:r>
        <w:rPr>
          <w:rFonts w:hint="eastAsia"/>
          <w:lang w:bidi="en-US"/>
        </w:rPr>
        <w:t>1、</w:t>
      </w:r>
      <w:r>
        <w:rPr>
          <w:lang w:bidi="en-US"/>
        </w:rPr>
        <w:t>污染物扩散范围内的海洋生物资源损害评估</w:t>
      </w:r>
    </w:p>
    <w:p w14:paraId="069B45EE">
      <w:pPr>
        <w:ind w:firstLine="437"/>
        <w:rPr>
          <w:lang w:bidi="en-US"/>
        </w:rPr>
      </w:pPr>
      <w:r>
        <w:rPr>
          <w:lang w:bidi="en-US"/>
        </w:rPr>
        <w:t>一次性损害：污染物浓度增量区域存在时间少于15d（不含15d）。</w:t>
      </w:r>
    </w:p>
    <w:p w14:paraId="0DD66340">
      <w:pPr>
        <w:ind w:firstLine="437"/>
        <w:rPr>
          <w:lang w:bidi="en-US"/>
        </w:rPr>
      </w:pPr>
      <w:r>
        <w:rPr>
          <w:lang w:bidi="en-US"/>
        </w:rPr>
        <w:t>一次性平均受损量评估计算公式：</w:t>
      </w:r>
    </w:p>
    <w:p w14:paraId="74AA5308">
      <w:pPr>
        <w:ind w:firstLine="437"/>
        <w:rPr>
          <w:lang w:bidi="en-US"/>
        </w:rPr>
      </w:pPr>
      <m:oMathPara>
        <m:oMath>
          <m:sSub>
            <m:sSubPr>
              <m:ctrlPr>
                <w:rPr>
                  <w:rFonts w:ascii="Cambria Math" w:hAnsi="Cambria Math"/>
                  <w:lang w:bidi="en-US"/>
                </w:rPr>
              </m:ctrlPr>
            </m:sSubPr>
            <m:e>
              <m:r>
                <m:rPr/>
                <w:rPr>
                  <w:rFonts w:ascii="Cambria Math" w:hAnsi="Cambria Math"/>
                  <w:lang w:bidi="en-US"/>
                </w:rPr>
                <m:t>W</m:t>
              </m:r>
              <m:ctrlPr>
                <w:rPr>
                  <w:rFonts w:ascii="Cambria Math" w:hAnsi="Cambria Math"/>
                  <w:lang w:bidi="en-US"/>
                </w:rPr>
              </m:ctrlPr>
            </m:e>
            <m:sub>
              <m:r>
                <m:rPr/>
                <w:rPr>
                  <w:rFonts w:ascii="Cambria Math" w:hAnsi="Cambria Math"/>
                  <w:lang w:bidi="en-US"/>
                </w:rPr>
                <m:t>i</m:t>
              </m:r>
              <m:ctrlPr>
                <w:rPr>
                  <w:rFonts w:ascii="Cambria Math" w:hAnsi="Cambria Math"/>
                  <w:lang w:bidi="en-US"/>
                </w:rPr>
              </m:ctrlPr>
            </m:sub>
          </m:sSub>
          <m:r>
            <m:rPr>
              <m:sty m:val="p"/>
            </m:rPr>
            <w:rPr>
              <w:rFonts w:ascii="Cambria Math" w:hAnsi="Cambria Math"/>
              <w:lang w:bidi="en-US"/>
            </w:rPr>
            <m:t>=</m:t>
          </m:r>
          <m:nary>
            <m:naryPr>
              <m:chr m:val="∑"/>
              <m:limLoc m:val="undOvr"/>
              <m:ctrlPr>
                <w:rPr>
                  <w:rFonts w:ascii="Cambria Math" w:hAnsi="Cambria Math"/>
                  <w:lang w:bidi="en-US"/>
                </w:rPr>
              </m:ctrlPr>
            </m:naryPr>
            <m:sub>
              <m:r>
                <m:rPr/>
                <w:rPr>
                  <w:rFonts w:ascii="Cambria Math" w:hAnsi="Cambria Math"/>
                  <w:lang w:bidi="en-US"/>
                </w:rPr>
                <m:t>j</m:t>
              </m:r>
              <m:r>
                <m:rPr>
                  <m:sty m:val="p"/>
                </m:rPr>
                <w:rPr>
                  <w:rFonts w:ascii="Cambria Math" w:hAnsi="Cambria Math"/>
                  <w:lang w:bidi="en-US"/>
                </w:rPr>
                <m:t>=1</m:t>
              </m:r>
              <m:ctrlPr>
                <w:rPr>
                  <w:rFonts w:ascii="Cambria Math" w:hAnsi="Cambria Math"/>
                  <w:lang w:bidi="en-US"/>
                </w:rPr>
              </m:ctrlPr>
            </m:sub>
            <m:sup>
              <m:r>
                <m:rPr/>
                <w:rPr>
                  <w:rFonts w:ascii="Cambria Math" w:hAnsi="Cambria Math"/>
                  <w:lang w:bidi="en-US"/>
                </w:rPr>
                <m:t>n</m:t>
              </m:r>
              <m:ctrlPr>
                <w:rPr>
                  <w:rFonts w:ascii="Cambria Math" w:hAnsi="Cambria Math"/>
                  <w:lang w:bidi="en-US"/>
                </w:rPr>
              </m:ctrlPr>
            </m:sup>
            <m:e>
              <m:sSub>
                <m:sSubPr>
                  <m:ctrlPr>
                    <w:rPr>
                      <w:rFonts w:ascii="Cambria Math" w:hAnsi="Cambria Math"/>
                      <w:lang w:bidi="en-US"/>
                    </w:rPr>
                  </m:ctrlPr>
                </m:sSubPr>
                <m:e>
                  <m:r>
                    <m:rPr/>
                    <w:rPr>
                      <w:rFonts w:ascii="Cambria Math" w:hAnsi="Cambria Math"/>
                      <w:lang w:bidi="en-US"/>
                    </w:rPr>
                    <m:t>D</m:t>
                  </m:r>
                  <m:ctrlPr>
                    <w:rPr>
                      <w:rFonts w:ascii="Cambria Math" w:hAnsi="Cambria Math"/>
                      <w:lang w:bidi="en-US"/>
                    </w:rPr>
                  </m:ctrlPr>
                </m:e>
                <m:sub>
                  <m:r>
                    <m:rPr/>
                    <w:rPr>
                      <w:rFonts w:ascii="Cambria Math" w:hAnsi="Cambria Math"/>
                      <w:lang w:bidi="en-US"/>
                    </w:rPr>
                    <m:t>ij</m:t>
                  </m:r>
                  <m:ctrlPr>
                    <w:rPr>
                      <w:rFonts w:ascii="Cambria Math" w:hAnsi="Cambria Math"/>
                      <w:lang w:bidi="en-US"/>
                    </w:rPr>
                  </m:ctrlPr>
                </m:sub>
              </m:sSub>
              <m:ctrlPr>
                <w:rPr>
                  <w:rFonts w:ascii="Cambria Math" w:hAnsi="Cambria Math"/>
                  <w:lang w:bidi="en-US"/>
                </w:rPr>
              </m:ctrlPr>
            </m:e>
          </m:nary>
          <m:r>
            <m:rPr>
              <m:sty m:val="p"/>
            </m:rPr>
            <w:rPr>
              <w:rFonts w:ascii="Cambria Math" w:hAnsi="Cambria Math"/>
              <w:lang w:bidi="en-US"/>
            </w:rPr>
            <m:t>×</m:t>
          </m:r>
          <m:sSub>
            <m:sSubPr>
              <m:ctrlPr>
                <w:rPr>
                  <w:rFonts w:ascii="Cambria Math" w:hAnsi="Cambria Math"/>
                  <w:lang w:bidi="en-US"/>
                </w:rPr>
              </m:ctrlPr>
            </m:sSubPr>
            <m:e>
              <m:r>
                <m:rPr/>
                <w:rPr>
                  <w:rFonts w:ascii="Cambria Math" w:hAnsi="Cambria Math"/>
                  <w:lang w:bidi="en-US"/>
                </w:rPr>
                <m:t>S</m:t>
              </m:r>
              <m:ctrlPr>
                <w:rPr>
                  <w:rFonts w:ascii="Cambria Math" w:hAnsi="Cambria Math"/>
                  <w:lang w:bidi="en-US"/>
                </w:rPr>
              </m:ctrlPr>
            </m:e>
            <m:sub>
              <m:r>
                <m:rPr/>
                <w:rPr>
                  <w:rFonts w:ascii="Cambria Math" w:hAnsi="Cambria Math"/>
                  <w:lang w:bidi="en-US"/>
                </w:rPr>
                <m:t>i</m:t>
              </m:r>
              <m:ctrlPr>
                <w:rPr>
                  <w:rFonts w:ascii="Cambria Math" w:hAnsi="Cambria Math"/>
                  <w:lang w:bidi="en-US"/>
                </w:rPr>
              </m:ctrlPr>
            </m:sub>
          </m:sSub>
          <m:r>
            <m:rPr>
              <m:sty m:val="p"/>
            </m:rPr>
            <w:rPr>
              <w:rFonts w:ascii="Cambria Math" w:hAnsi="Cambria Math"/>
              <w:lang w:bidi="en-US"/>
            </w:rPr>
            <m:t>×</m:t>
          </m:r>
          <m:sSub>
            <m:sSubPr>
              <m:ctrlPr>
                <w:rPr>
                  <w:rFonts w:ascii="Cambria Math" w:hAnsi="Cambria Math"/>
                  <w:lang w:bidi="en-US"/>
                </w:rPr>
              </m:ctrlPr>
            </m:sSubPr>
            <m:e>
              <m:r>
                <m:rPr/>
                <w:rPr>
                  <w:rFonts w:ascii="Cambria Math" w:hAnsi="Cambria Math"/>
                  <w:lang w:bidi="en-US"/>
                </w:rPr>
                <m:t>K</m:t>
              </m:r>
              <m:ctrlPr>
                <w:rPr>
                  <w:rFonts w:ascii="Cambria Math" w:hAnsi="Cambria Math"/>
                  <w:lang w:bidi="en-US"/>
                </w:rPr>
              </m:ctrlPr>
            </m:e>
            <m:sub>
              <m:r>
                <m:rPr/>
                <w:rPr>
                  <w:rFonts w:ascii="Cambria Math" w:hAnsi="Cambria Math"/>
                  <w:lang w:bidi="en-US"/>
                </w:rPr>
                <m:t>ij</m:t>
              </m:r>
              <m:ctrlPr>
                <w:rPr>
                  <w:rFonts w:ascii="Cambria Math" w:hAnsi="Cambria Math"/>
                  <w:lang w:bidi="en-US"/>
                </w:rPr>
              </m:ctrlPr>
            </m:sub>
          </m:sSub>
        </m:oMath>
      </m:oMathPara>
    </w:p>
    <w:p w14:paraId="4540505E">
      <w:pPr>
        <w:ind w:firstLine="437"/>
        <w:rPr>
          <w:lang w:bidi="en-US"/>
        </w:rPr>
      </w:pPr>
      <w:r>
        <w:rPr>
          <w:lang w:bidi="en-US"/>
        </w:rPr>
        <w:t>式中：</w:t>
      </w:r>
    </w:p>
    <w:p w14:paraId="4F5806BB">
      <w:pPr>
        <w:ind w:firstLine="437"/>
        <w:rPr>
          <w:lang w:bidi="en-US"/>
        </w:rPr>
      </w:pPr>
      <w:r>
        <w:rPr>
          <w:i/>
          <w:lang w:bidi="en-US"/>
        </w:rPr>
        <w:t>W</w:t>
      </w:r>
      <w:r>
        <w:rPr>
          <w:i/>
          <w:vertAlign w:val="subscript"/>
          <w:lang w:bidi="en-US"/>
        </w:rPr>
        <w:t>i</w:t>
      </w:r>
      <w:r>
        <w:rPr>
          <w:lang w:bidi="en-US"/>
        </w:rPr>
        <w:t>--第i种类生物资源一次性平均损失量，单位为尾、个、kg；</w:t>
      </w:r>
    </w:p>
    <w:p w14:paraId="7F0712F0">
      <w:pPr>
        <w:ind w:firstLine="437"/>
        <w:rPr>
          <w:lang w:bidi="en-US"/>
        </w:rPr>
      </w:pPr>
      <w:r>
        <w:rPr>
          <w:i/>
          <w:lang w:bidi="en-US"/>
        </w:rPr>
        <w:t>D</w:t>
      </w:r>
      <w:r>
        <w:rPr>
          <w:i/>
          <w:vertAlign w:val="subscript"/>
          <w:lang w:bidi="en-US"/>
        </w:rPr>
        <w:t>ij</w:t>
      </w:r>
      <w:r>
        <w:rPr>
          <w:lang w:bidi="en-US"/>
        </w:rPr>
        <w:t>-</w:t>
      </w:r>
      <w:r>
        <w:rPr>
          <w:rFonts w:hint="eastAsia"/>
          <w:lang w:bidi="en-US"/>
        </w:rPr>
        <w:t>－</w:t>
      </w:r>
      <w:r>
        <w:rPr>
          <w:lang w:bidi="en-US"/>
        </w:rPr>
        <w:t>某一污染物第j类浓度增量区第i种类生物资源密度，单位为尾/km</w:t>
      </w:r>
      <w:r>
        <w:rPr>
          <w:vertAlign w:val="superscript"/>
          <w:lang w:bidi="en-US"/>
        </w:rPr>
        <w:t>2</w:t>
      </w:r>
      <w:r>
        <w:rPr>
          <w:lang w:bidi="en-US"/>
        </w:rPr>
        <w:t>、个/km</w:t>
      </w:r>
      <w:r>
        <w:rPr>
          <w:vertAlign w:val="superscript"/>
          <w:lang w:bidi="en-US"/>
        </w:rPr>
        <w:t>2</w:t>
      </w:r>
      <w:r>
        <w:rPr>
          <w:lang w:bidi="en-US"/>
        </w:rPr>
        <w:t>、kg/km</w:t>
      </w:r>
      <w:r>
        <w:rPr>
          <w:vertAlign w:val="superscript"/>
          <w:lang w:bidi="en-US"/>
        </w:rPr>
        <w:t>2</w:t>
      </w:r>
      <w:r>
        <w:rPr>
          <w:lang w:bidi="en-US"/>
        </w:rPr>
        <w:t>；</w:t>
      </w:r>
    </w:p>
    <w:p w14:paraId="4D6E8DAD">
      <w:pPr>
        <w:ind w:firstLine="437"/>
        <w:rPr>
          <w:lang w:bidi="en-US"/>
        </w:rPr>
      </w:pPr>
      <w:r>
        <w:rPr>
          <w:i/>
          <w:lang w:bidi="en-US"/>
        </w:rPr>
        <w:t>S</w:t>
      </w:r>
      <w:r>
        <w:rPr>
          <w:i/>
          <w:vertAlign w:val="subscript"/>
          <w:lang w:bidi="en-US"/>
        </w:rPr>
        <w:t>j</w:t>
      </w:r>
      <w:r>
        <w:rPr>
          <w:lang w:bidi="en-US"/>
        </w:rPr>
        <w:t>-</w:t>
      </w:r>
      <w:r>
        <w:rPr>
          <w:rFonts w:hint="eastAsia"/>
          <w:lang w:bidi="en-US"/>
        </w:rPr>
        <w:t>－</w:t>
      </w:r>
      <w:r>
        <w:rPr>
          <w:lang w:bidi="en-US"/>
        </w:rPr>
        <w:t>某一污染物第j类浓度增量区面积，单位为km</w:t>
      </w:r>
      <w:r>
        <w:rPr>
          <w:vertAlign w:val="superscript"/>
          <w:lang w:bidi="en-US"/>
        </w:rPr>
        <w:t>2</w:t>
      </w:r>
      <w:r>
        <w:rPr>
          <w:lang w:bidi="en-US"/>
        </w:rPr>
        <w:t>；</w:t>
      </w:r>
    </w:p>
    <w:p w14:paraId="253E15DE">
      <w:pPr>
        <w:ind w:firstLine="437"/>
        <w:rPr>
          <w:lang w:bidi="en-US"/>
        </w:rPr>
      </w:pPr>
      <w:r>
        <w:rPr>
          <w:i/>
          <w:lang w:bidi="en-US"/>
        </w:rPr>
        <w:t>K</w:t>
      </w:r>
      <w:r>
        <w:rPr>
          <w:i/>
          <w:vertAlign w:val="subscript"/>
          <w:lang w:bidi="en-US"/>
        </w:rPr>
        <w:t>ij</w:t>
      </w:r>
      <w:r>
        <w:rPr>
          <w:lang w:bidi="en-US"/>
        </w:rPr>
        <w:t>--某一污染物第j类浓度增量区第i种类生物资源损失率（％），生物资源损失率取值参见表4.</w:t>
      </w:r>
      <w:r>
        <w:rPr>
          <w:rFonts w:hint="eastAsia"/>
          <w:lang w:bidi="en-US"/>
        </w:rPr>
        <w:t>2</w:t>
      </w:r>
      <w:r>
        <w:rPr>
          <w:lang w:bidi="en-US"/>
        </w:rPr>
        <w:t>-</w:t>
      </w:r>
      <w:r>
        <w:rPr>
          <w:rFonts w:hint="eastAsia"/>
          <w:lang w:bidi="en-US"/>
        </w:rPr>
        <w:t>4</w:t>
      </w:r>
      <w:r>
        <w:rPr>
          <w:lang w:bidi="en-US"/>
        </w:rPr>
        <w:t>。</w:t>
      </w:r>
    </w:p>
    <w:p w14:paraId="59D9AE54">
      <w:pPr>
        <w:ind w:firstLine="437"/>
        <w:rPr>
          <w:lang w:bidi="en-US"/>
        </w:rPr>
      </w:pPr>
      <w:r>
        <w:rPr>
          <w:lang w:bidi="en-US"/>
        </w:rPr>
        <w:t>n-</w:t>
      </w:r>
      <w:r>
        <w:rPr>
          <w:rFonts w:hint="eastAsia"/>
          <w:lang w:bidi="en-US"/>
        </w:rPr>
        <w:t>－</w:t>
      </w:r>
      <w:r>
        <w:rPr>
          <w:lang w:bidi="en-US"/>
        </w:rPr>
        <w:t>某一污染物浓度增量分区总数。</w:t>
      </w:r>
    </w:p>
    <w:p w14:paraId="0F01ADB3">
      <w:pPr>
        <w:pStyle w:val="7"/>
      </w:pPr>
      <w:r>
        <w:t>污染物对各类生物损失率</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74"/>
        <w:gridCol w:w="1898"/>
        <w:gridCol w:w="1486"/>
        <w:gridCol w:w="1486"/>
        <w:gridCol w:w="1484"/>
      </w:tblGrid>
      <w:tr w14:paraId="0F6447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75" w:type="pct"/>
            <w:vMerge w:val="restart"/>
            <w:vAlign w:val="center"/>
          </w:tcPr>
          <w:p w14:paraId="4E71760E">
            <w:pPr>
              <w:pStyle w:val="34"/>
              <w:rPr>
                <w:lang w:bidi="en-US"/>
              </w:rPr>
            </w:pPr>
            <w:r>
              <w:rPr>
                <w:lang w:bidi="en-US"/>
              </w:rPr>
              <w:t>污染物i的超标倍数（B</w:t>
            </w:r>
            <w:r>
              <w:rPr>
                <w:vertAlign w:val="subscript"/>
                <w:lang w:bidi="en-US"/>
              </w:rPr>
              <w:t>i</w:t>
            </w:r>
            <w:r>
              <w:rPr>
                <w:lang w:bidi="en-US"/>
              </w:rPr>
              <w:t>）</w:t>
            </w:r>
          </w:p>
        </w:tc>
        <w:tc>
          <w:tcPr>
            <w:tcW w:w="3725" w:type="pct"/>
            <w:gridSpan w:val="4"/>
            <w:vAlign w:val="center"/>
          </w:tcPr>
          <w:p w14:paraId="71CAE29B">
            <w:pPr>
              <w:pStyle w:val="34"/>
              <w:rPr>
                <w:lang w:bidi="en-US"/>
              </w:rPr>
            </w:pPr>
            <w:r>
              <w:rPr>
                <w:lang w:bidi="en-US"/>
              </w:rPr>
              <w:t>各类生物损失率（%）</w:t>
            </w:r>
          </w:p>
        </w:tc>
      </w:tr>
      <w:tr w14:paraId="74CC63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5" w:type="pct"/>
            <w:vMerge w:val="continue"/>
            <w:vAlign w:val="center"/>
          </w:tcPr>
          <w:p w14:paraId="150E2E4E">
            <w:pPr>
              <w:pStyle w:val="34"/>
              <w:rPr>
                <w:lang w:bidi="en-US"/>
              </w:rPr>
            </w:pPr>
          </w:p>
        </w:tc>
        <w:tc>
          <w:tcPr>
            <w:tcW w:w="1113" w:type="pct"/>
            <w:vAlign w:val="center"/>
          </w:tcPr>
          <w:p w14:paraId="5C1327D2">
            <w:pPr>
              <w:pStyle w:val="34"/>
              <w:rPr>
                <w:lang w:bidi="en-US"/>
              </w:rPr>
            </w:pPr>
            <w:r>
              <w:rPr>
                <w:lang w:bidi="en-US"/>
              </w:rPr>
              <w:t>鱼卵和仔稚鱼</w:t>
            </w:r>
          </w:p>
        </w:tc>
        <w:tc>
          <w:tcPr>
            <w:tcW w:w="871" w:type="pct"/>
            <w:vAlign w:val="center"/>
          </w:tcPr>
          <w:p w14:paraId="65EB9A0C">
            <w:pPr>
              <w:pStyle w:val="34"/>
              <w:rPr>
                <w:lang w:bidi="en-US"/>
              </w:rPr>
            </w:pPr>
            <w:r>
              <w:rPr>
                <w:lang w:bidi="en-US"/>
              </w:rPr>
              <w:t>成体</w:t>
            </w:r>
          </w:p>
        </w:tc>
        <w:tc>
          <w:tcPr>
            <w:tcW w:w="871" w:type="pct"/>
            <w:vAlign w:val="center"/>
          </w:tcPr>
          <w:p w14:paraId="1A81BABE">
            <w:pPr>
              <w:pStyle w:val="34"/>
              <w:rPr>
                <w:lang w:bidi="en-US"/>
              </w:rPr>
            </w:pPr>
            <w:r>
              <w:rPr>
                <w:lang w:bidi="en-US"/>
              </w:rPr>
              <w:t>浮游动物</w:t>
            </w:r>
          </w:p>
        </w:tc>
        <w:tc>
          <w:tcPr>
            <w:tcW w:w="870" w:type="pct"/>
            <w:vAlign w:val="center"/>
          </w:tcPr>
          <w:p w14:paraId="7DE5D294">
            <w:pPr>
              <w:pStyle w:val="34"/>
              <w:rPr>
                <w:lang w:bidi="en-US"/>
              </w:rPr>
            </w:pPr>
            <w:r>
              <w:rPr>
                <w:lang w:bidi="en-US"/>
              </w:rPr>
              <w:t>浮游植物</w:t>
            </w:r>
          </w:p>
        </w:tc>
      </w:tr>
      <w:tr w14:paraId="7F68B2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5" w:type="pct"/>
            <w:vAlign w:val="center"/>
          </w:tcPr>
          <w:p w14:paraId="60127A38">
            <w:pPr>
              <w:pStyle w:val="34"/>
              <w:rPr>
                <w:lang w:bidi="en-US"/>
              </w:rPr>
            </w:pPr>
            <w:r>
              <w:rPr>
                <w:lang w:bidi="en-US"/>
              </w:rPr>
              <w:t>B</w:t>
            </w:r>
            <w:r>
              <w:rPr>
                <w:vertAlign w:val="subscript"/>
                <w:lang w:bidi="en-US"/>
              </w:rPr>
              <w:t>i</w:t>
            </w:r>
            <w:r>
              <w:rPr>
                <w:lang w:bidi="en-US"/>
              </w:rPr>
              <w:t>≤1倍</w:t>
            </w:r>
          </w:p>
        </w:tc>
        <w:tc>
          <w:tcPr>
            <w:tcW w:w="1113" w:type="pct"/>
            <w:vAlign w:val="center"/>
          </w:tcPr>
          <w:p w14:paraId="3FE7AA42">
            <w:pPr>
              <w:pStyle w:val="34"/>
              <w:rPr>
                <w:lang w:bidi="en-US"/>
              </w:rPr>
            </w:pPr>
            <w:r>
              <w:rPr>
                <w:lang w:bidi="en-US"/>
              </w:rPr>
              <w:t>5</w:t>
            </w:r>
          </w:p>
        </w:tc>
        <w:tc>
          <w:tcPr>
            <w:tcW w:w="871" w:type="pct"/>
            <w:vAlign w:val="center"/>
          </w:tcPr>
          <w:p w14:paraId="357B7FBE">
            <w:pPr>
              <w:pStyle w:val="34"/>
              <w:rPr>
                <w:lang w:bidi="en-US"/>
              </w:rPr>
            </w:pPr>
            <w:r>
              <w:rPr>
                <w:lang w:bidi="en-US"/>
              </w:rPr>
              <w:t>＜1</w:t>
            </w:r>
          </w:p>
        </w:tc>
        <w:tc>
          <w:tcPr>
            <w:tcW w:w="871" w:type="pct"/>
            <w:vAlign w:val="center"/>
          </w:tcPr>
          <w:p w14:paraId="5DE066BA">
            <w:pPr>
              <w:pStyle w:val="34"/>
              <w:rPr>
                <w:lang w:bidi="en-US"/>
              </w:rPr>
            </w:pPr>
            <w:r>
              <w:rPr>
                <w:lang w:bidi="en-US"/>
              </w:rPr>
              <w:t>5</w:t>
            </w:r>
          </w:p>
        </w:tc>
        <w:tc>
          <w:tcPr>
            <w:tcW w:w="870" w:type="pct"/>
            <w:vAlign w:val="center"/>
          </w:tcPr>
          <w:p w14:paraId="04D1CB16">
            <w:pPr>
              <w:pStyle w:val="34"/>
              <w:rPr>
                <w:lang w:bidi="en-US"/>
              </w:rPr>
            </w:pPr>
            <w:r>
              <w:rPr>
                <w:lang w:bidi="en-US"/>
              </w:rPr>
              <w:t>5</w:t>
            </w:r>
          </w:p>
        </w:tc>
      </w:tr>
      <w:tr w14:paraId="6FBD08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5" w:type="pct"/>
            <w:vAlign w:val="center"/>
          </w:tcPr>
          <w:p w14:paraId="6E93E7F5">
            <w:pPr>
              <w:pStyle w:val="34"/>
              <w:rPr>
                <w:lang w:bidi="en-US"/>
              </w:rPr>
            </w:pPr>
            <w:r>
              <w:rPr>
                <w:lang w:bidi="en-US"/>
              </w:rPr>
              <w:t>1＜B</w:t>
            </w:r>
            <w:r>
              <w:rPr>
                <w:vertAlign w:val="subscript"/>
                <w:lang w:bidi="en-US"/>
              </w:rPr>
              <w:t>i</w:t>
            </w:r>
            <w:r>
              <w:rPr>
                <w:lang w:bidi="en-US"/>
              </w:rPr>
              <w:t>≤4倍</w:t>
            </w:r>
          </w:p>
        </w:tc>
        <w:tc>
          <w:tcPr>
            <w:tcW w:w="1113" w:type="pct"/>
            <w:vAlign w:val="center"/>
          </w:tcPr>
          <w:p w14:paraId="3B3682BD">
            <w:pPr>
              <w:pStyle w:val="34"/>
              <w:rPr>
                <w:lang w:bidi="en-US"/>
              </w:rPr>
            </w:pPr>
            <w:r>
              <w:rPr>
                <w:lang w:bidi="en-US"/>
              </w:rPr>
              <w:t>5～30</w:t>
            </w:r>
          </w:p>
        </w:tc>
        <w:tc>
          <w:tcPr>
            <w:tcW w:w="871" w:type="pct"/>
            <w:vAlign w:val="center"/>
          </w:tcPr>
          <w:p w14:paraId="35425352">
            <w:pPr>
              <w:pStyle w:val="34"/>
              <w:rPr>
                <w:lang w:bidi="en-US"/>
              </w:rPr>
            </w:pPr>
            <w:r>
              <w:rPr>
                <w:lang w:bidi="en-US"/>
              </w:rPr>
              <w:t>1～10</w:t>
            </w:r>
          </w:p>
        </w:tc>
        <w:tc>
          <w:tcPr>
            <w:tcW w:w="871" w:type="pct"/>
            <w:vAlign w:val="center"/>
          </w:tcPr>
          <w:p w14:paraId="4C832F47">
            <w:pPr>
              <w:pStyle w:val="34"/>
              <w:rPr>
                <w:lang w:bidi="en-US"/>
              </w:rPr>
            </w:pPr>
            <w:r>
              <w:rPr>
                <w:lang w:bidi="en-US"/>
              </w:rPr>
              <w:t>10～30</w:t>
            </w:r>
          </w:p>
        </w:tc>
        <w:tc>
          <w:tcPr>
            <w:tcW w:w="870" w:type="pct"/>
            <w:vAlign w:val="center"/>
          </w:tcPr>
          <w:p w14:paraId="5FB9A35D">
            <w:pPr>
              <w:pStyle w:val="34"/>
              <w:rPr>
                <w:lang w:bidi="en-US"/>
              </w:rPr>
            </w:pPr>
            <w:r>
              <w:rPr>
                <w:lang w:bidi="en-US"/>
              </w:rPr>
              <w:t>10～30</w:t>
            </w:r>
          </w:p>
        </w:tc>
      </w:tr>
      <w:tr w14:paraId="0EBD9E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5" w:type="pct"/>
            <w:vAlign w:val="center"/>
          </w:tcPr>
          <w:p w14:paraId="41F01EBC">
            <w:pPr>
              <w:pStyle w:val="34"/>
              <w:rPr>
                <w:lang w:bidi="en-US"/>
              </w:rPr>
            </w:pPr>
            <w:r>
              <w:rPr>
                <w:lang w:bidi="en-US"/>
              </w:rPr>
              <w:t>4＜B</w:t>
            </w:r>
            <w:r>
              <w:rPr>
                <w:vertAlign w:val="subscript"/>
                <w:lang w:bidi="en-US"/>
              </w:rPr>
              <w:t>i</w:t>
            </w:r>
            <w:r>
              <w:rPr>
                <w:lang w:bidi="en-US"/>
              </w:rPr>
              <w:t>≤9倍</w:t>
            </w:r>
          </w:p>
        </w:tc>
        <w:tc>
          <w:tcPr>
            <w:tcW w:w="1113" w:type="pct"/>
            <w:vAlign w:val="center"/>
          </w:tcPr>
          <w:p w14:paraId="33D7F188">
            <w:pPr>
              <w:pStyle w:val="34"/>
              <w:rPr>
                <w:lang w:bidi="en-US"/>
              </w:rPr>
            </w:pPr>
            <w:r>
              <w:rPr>
                <w:lang w:bidi="en-US"/>
              </w:rPr>
              <w:t>30～50</w:t>
            </w:r>
          </w:p>
        </w:tc>
        <w:tc>
          <w:tcPr>
            <w:tcW w:w="871" w:type="pct"/>
            <w:vAlign w:val="center"/>
          </w:tcPr>
          <w:p w14:paraId="7E59C312">
            <w:pPr>
              <w:pStyle w:val="34"/>
              <w:rPr>
                <w:lang w:bidi="en-US"/>
              </w:rPr>
            </w:pPr>
            <w:r>
              <w:rPr>
                <w:lang w:bidi="en-US"/>
              </w:rPr>
              <w:t>10～20</w:t>
            </w:r>
          </w:p>
        </w:tc>
        <w:tc>
          <w:tcPr>
            <w:tcW w:w="871" w:type="pct"/>
            <w:vAlign w:val="center"/>
          </w:tcPr>
          <w:p w14:paraId="549D937B">
            <w:pPr>
              <w:pStyle w:val="34"/>
              <w:rPr>
                <w:lang w:bidi="en-US"/>
              </w:rPr>
            </w:pPr>
            <w:r>
              <w:rPr>
                <w:lang w:bidi="en-US"/>
              </w:rPr>
              <w:t>30～50</w:t>
            </w:r>
          </w:p>
        </w:tc>
        <w:tc>
          <w:tcPr>
            <w:tcW w:w="870" w:type="pct"/>
            <w:vAlign w:val="center"/>
          </w:tcPr>
          <w:p w14:paraId="3C2FBEF5">
            <w:pPr>
              <w:pStyle w:val="34"/>
              <w:rPr>
                <w:lang w:bidi="en-US"/>
              </w:rPr>
            </w:pPr>
            <w:r>
              <w:rPr>
                <w:lang w:bidi="en-US"/>
              </w:rPr>
              <w:t>30～50</w:t>
            </w:r>
          </w:p>
        </w:tc>
      </w:tr>
      <w:tr w14:paraId="20A113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5" w:type="pct"/>
            <w:vAlign w:val="center"/>
          </w:tcPr>
          <w:p w14:paraId="1B7E8090">
            <w:pPr>
              <w:pStyle w:val="34"/>
              <w:rPr>
                <w:lang w:bidi="en-US"/>
              </w:rPr>
            </w:pPr>
            <w:r>
              <w:rPr>
                <w:lang w:bidi="en-US"/>
              </w:rPr>
              <w:t>B</w:t>
            </w:r>
            <w:r>
              <w:rPr>
                <w:vertAlign w:val="subscript"/>
                <w:lang w:bidi="en-US"/>
              </w:rPr>
              <w:t>i</w:t>
            </w:r>
            <w:r>
              <w:rPr>
                <w:lang w:bidi="en-US"/>
              </w:rPr>
              <w:t>≥9倍</w:t>
            </w:r>
          </w:p>
        </w:tc>
        <w:tc>
          <w:tcPr>
            <w:tcW w:w="1113" w:type="pct"/>
            <w:vAlign w:val="center"/>
          </w:tcPr>
          <w:p w14:paraId="5F16E2FC">
            <w:pPr>
              <w:pStyle w:val="34"/>
              <w:rPr>
                <w:lang w:bidi="en-US"/>
              </w:rPr>
            </w:pPr>
            <w:r>
              <w:rPr>
                <w:lang w:bidi="en-US"/>
              </w:rPr>
              <w:t>≥50</w:t>
            </w:r>
          </w:p>
        </w:tc>
        <w:tc>
          <w:tcPr>
            <w:tcW w:w="871" w:type="pct"/>
            <w:vAlign w:val="center"/>
          </w:tcPr>
          <w:p w14:paraId="0C0ED31D">
            <w:pPr>
              <w:pStyle w:val="34"/>
              <w:rPr>
                <w:lang w:bidi="en-US"/>
              </w:rPr>
            </w:pPr>
            <w:r>
              <w:rPr>
                <w:lang w:bidi="en-US"/>
              </w:rPr>
              <w:t>≥20</w:t>
            </w:r>
          </w:p>
        </w:tc>
        <w:tc>
          <w:tcPr>
            <w:tcW w:w="871" w:type="pct"/>
            <w:vAlign w:val="center"/>
          </w:tcPr>
          <w:p w14:paraId="2FC5B2CA">
            <w:pPr>
              <w:pStyle w:val="34"/>
              <w:rPr>
                <w:lang w:bidi="en-US"/>
              </w:rPr>
            </w:pPr>
            <w:r>
              <w:rPr>
                <w:lang w:bidi="en-US"/>
              </w:rPr>
              <w:t>≥50</w:t>
            </w:r>
          </w:p>
        </w:tc>
        <w:tc>
          <w:tcPr>
            <w:tcW w:w="870" w:type="pct"/>
            <w:vAlign w:val="center"/>
          </w:tcPr>
          <w:p w14:paraId="4E68AC26">
            <w:pPr>
              <w:pStyle w:val="34"/>
              <w:rPr>
                <w:lang w:bidi="en-US"/>
              </w:rPr>
            </w:pPr>
            <w:r>
              <w:rPr>
                <w:lang w:bidi="en-US"/>
              </w:rPr>
              <w:t>≥50</w:t>
            </w:r>
          </w:p>
        </w:tc>
      </w:tr>
    </w:tbl>
    <w:p w14:paraId="5E78220D">
      <w:pPr>
        <w:ind w:firstLine="437"/>
        <w:rPr>
          <w:lang w:bidi="en-US"/>
        </w:rPr>
      </w:pPr>
      <w:r>
        <w:rPr>
          <w:rFonts w:hint="eastAsia"/>
          <w:lang w:bidi="en-US"/>
        </w:rPr>
        <w:t>2、</w:t>
      </w:r>
      <w:r>
        <w:rPr>
          <w:lang w:bidi="en-US"/>
        </w:rPr>
        <w:t>生物资源损害赔偿和补偿</w:t>
      </w:r>
    </w:p>
    <w:p w14:paraId="41BF230A">
      <w:pPr>
        <w:ind w:firstLine="437"/>
        <w:rPr>
          <w:lang w:bidi="en-US"/>
        </w:rPr>
      </w:pPr>
      <w:r>
        <w:rPr>
          <w:rFonts w:hint="eastAsia" w:ascii="宋体" w:hAnsi="宋体" w:cs="宋体"/>
          <w:lang w:bidi="en-US"/>
        </w:rPr>
        <w:t>①</w:t>
      </w:r>
      <w:r>
        <w:rPr>
          <w:lang w:bidi="en-US"/>
        </w:rPr>
        <w:t>鱼卵、仔稚鱼经济价值，计算公式：</w:t>
      </w:r>
    </w:p>
    <w:p w14:paraId="5CB01A10">
      <w:pPr>
        <w:ind w:firstLine="437"/>
        <w:rPr>
          <w:lang w:bidi="en-US"/>
        </w:rPr>
      </w:pPr>
      <w:r>
        <w:rPr>
          <w:i/>
          <w:lang w:bidi="en-US"/>
        </w:rPr>
        <w:t>M</w:t>
      </w:r>
      <w:r>
        <w:rPr>
          <w:lang w:bidi="en-US"/>
        </w:rPr>
        <w:t xml:space="preserve"> = </w:t>
      </w:r>
      <w:r>
        <w:rPr>
          <w:i/>
          <w:lang w:bidi="en-US"/>
        </w:rPr>
        <w:t>W</w:t>
      </w:r>
      <w:r>
        <w:rPr>
          <w:lang w:bidi="en-US"/>
        </w:rPr>
        <w:t xml:space="preserve"> × </w:t>
      </w:r>
      <w:r>
        <w:rPr>
          <w:i/>
          <w:lang w:bidi="en-US"/>
        </w:rPr>
        <w:t xml:space="preserve">P </w:t>
      </w:r>
      <w:r>
        <w:rPr>
          <w:lang w:bidi="en-US"/>
        </w:rPr>
        <w:t xml:space="preserve">× </w:t>
      </w:r>
      <w:r>
        <w:rPr>
          <w:i/>
          <w:lang w:bidi="en-US"/>
        </w:rPr>
        <w:t>E</w:t>
      </w:r>
    </w:p>
    <w:p w14:paraId="6AE4B313">
      <w:pPr>
        <w:ind w:firstLine="437"/>
        <w:rPr>
          <w:lang w:bidi="en-US"/>
        </w:rPr>
      </w:pPr>
      <w:r>
        <w:rPr>
          <w:lang w:bidi="en-US"/>
        </w:rPr>
        <w:t>式中：</w:t>
      </w:r>
    </w:p>
    <w:p w14:paraId="62B6C2E1">
      <w:pPr>
        <w:ind w:firstLine="437"/>
        <w:rPr>
          <w:lang w:bidi="en-US"/>
        </w:rPr>
      </w:pPr>
      <w:r>
        <w:rPr>
          <w:i/>
          <w:lang w:bidi="en-US"/>
        </w:rPr>
        <w:t>M</w:t>
      </w:r>
      <w:r>
        <w:rPr>
          <w:lang w:bidi="en-US"/>
        </w:rPr>
        <w:t>——鱼卵和仔稚鱼经济损失金额，单位：元；</w:t>
      </w:r>
    </w:p>
    <w:p w14:paraId="185F2FFF">
      <w:pPr>
        <w:ind w:firstLine="437"/>
        <w:rPr>
          <w:lang w:bidi="en-US"/>
        </w:rPr>
      </w:pPr>
      <w:r>
        <w:rPr>
          <w:i/>
          <w:lang w:bidi="en-US"/>
        </w:rPr>
        <w:t>W</w:t>
      </w:r>
      <w:r>
        <w:rPr>
          <w:lang w:bidi="en-US"/>
        </w:rPr>
        <w:t>——鱼卵和仔稚鱼损失量，单位为个、尾；</w:t>
      </w:r>
    </w:p>
    <w:p w14:paraId="16C0FF97">
      <w:pPr>
        <w:ind w:firstLine="437"/>
        <w:rPr>
          <w:lang w:bidi="en-US"/>
        </w:rPr>
      </w:pPr>
      <w:r>
        <w:rPr>
          <w:i/>
          <w:lang w:bidi="en-US"/>
        </w:rPr>
        <w:t>P</w:t>
      </w:r>
      <w:r>
        <w:rPr>
          <w:lang w:bidi="en-US"/>
        </w:rPr>
        <w:t>——鱼卵和仔稚鱼折算为鱼苗的换算比例，鱼卵生长到商品鱼苗按1%成活率计算，仔稚鱼生长到商品鱼苗按5%成活率计算，单位：%；</w:t>
      </w:r>
    </w:p>
    <w:p w14:paraId="0519EEF1">
      <w:pPr>
        <w:ind w:firstLine="437"/>
        <w:rPr>
          <w:lang w:bidi="en-US"/>
        </w:rPr>
      </w:pPr>
      <w:r>
        <w:rPr>
          <w:i/>
          <w:lang w:bidi="en-US"/>
        </w:rPr>
        <w:t>E</w:t>
      </w:r>
      <w:r>
        <w:rPr>
          <w:lang w:bidi="en-US"/>
        </w:rPr>
        <w:t>——鱼苗的商品价格，按当地主要鱼类苗种的平均价格计算，单位：元/尾。本报告以1.5元/尾计。</w:t>
      </w:r>
    </w:p>
    <w:p w14:paraId="4EF05809">
      <w:pPr>
        <w:ind w:firstLine="437"/>
        <w:rPr>
          <w:lang w:bidi="en-US"/>
        </w:rPr>
      </w:pPr>
      <w:r>
        <w:rPr>
          <w:rFonts w:hint="eastAsia" w:ascii="宋体" w:hAnsi="宋体" w:cs="宋体"/>
          <w:lang w:bidi="en-US"/>
        </w:rPr>
        <w:t>②</w:t>
      </w:r>
      <w:r>
        <w:rPr>
          <w:lang w:bidi="en-US"/>
        </w:rPr>
        <w:t>潮间带生物、底栖生物的经济价值，计算公式：</w:t>
      </w:r>
    </w:p>
    <w:p w14:paraId="756E2BDB">
      <w:pPr>
        <w:ind w:firstLine="437"/>
        <w:rPr>
          <w:lang w:bidi="en-US"/>
        </w:rPr>
      </w:pPr>
      <w:r>
        <w:rPr>
          <w:i/>
          <w:lang w:bidi="en-US"/>
        </w:rPr>
        <w:t>M</w:t>
      </w:r>
      <w:r>
        <w:rPr>
          <w:lang w:bidi="en-US"/>
        </w:rPr>
        <w:t xml:space="preserve"> = </w:t>
      </w:r>
      <w:r>
        <w:rPr>
          <w:i/>
          <w:lang w:bidi="en-US"/>
        </w:rPr>
        <w:t>W</w:t>
      </w:r>
      <w:r>
        <w:rPr>
          <w:lang w:bidi="en-US"/>
        </w:rPr>
        <w:t xml:space="preserve"> × </w:t>
      </w:r>
      <w:r>
        <w:rPr>
          <w:i/>
          <w:lang w:bidi="en-US"/>
        </w:rPr>
        <w:t>E</w:t>
      </w:r>
    </w:p>
    <w:p w14:paraId="1E95618E">
      <w:pPr>
        <w:ind w:firstLine="437"/>
        <w:rPr>
          <w:lang w:bidi="en-US"/>
        </w:rPr>
      </w:pPr>
      <w:r>
        <w:rPr>
          <w:lang w:bidi="en-US"/>
        </w:rPr>
        <w:t>式中：</w:t>
      </w:r>
    </w:p>
    <w:p w14:paraId="63CC34C3">
      <w:pPr>
        <w:ind w:firstLine="437"/>
        <w:rPr>
          <w:lang w:bidi="en-US"/>
        </w:rPr>
      </w:pPr>
      <w:r>
        <w:rPr>
          <w:i/>
          <w:lang w:bidi="en-US"/>
        </w:rPr>
        <w:t>M-</w:t>
      </w:r>
      <w:r>
        <w:rPr>
          <w:rFonts w:hint="eastAsia"/>
          <w:i/>
          <w:lang w:bidi="en-US"/>
        </w:rPr>
        <w:t>－</w:t>
      </w:r>
      <w:r>
        <w:rPr>
          <w:lang w:bidi="en-US"/>
        </w:rPr>
        <w:t>经济损失额，单位：元；</w:t>
      </w:r>
    </w:p>
    <w:p w14:paraId="2C11152D">
      <w:pPr>
        <w:ind w:firstLine="437"/>
        <w:rPr>
          <w:lang w:bidi="en-US"/>
        </w:rPr>
      </w:pPr>
      <w:r>
        <w:rPr>
          <w:i/>
          <w:lang w:bidi="en-US"/>
        </w:rPr>
        <w:t>W-</w:t>
      </w:r>
      <w:r>
        <w:rPr>
          <w:rFonts w:hint="eastAsia"/>
          <w:i/>
          <w:lang w:bidi="en-US"/>
        </w:rPr>
        <w:t>－</w:t>
      </w:r>
      <w:r>
        <w:rPr>
          <w:lang w:bidi="en-US"/>
        </w:rPr>
        <w:t>生物资源损失量，单位：kg；</w:t>
      </w:r>
    </w:p>
    <w:p w14:paraId="26662E40">
      <w:pPr>
        <w:ind w:firstLine="437"/>
        <w:rPr>
          <w:lang w:bidi="en-US"/>
        </w:rPr>
      </w:pPr>
      <w:r>
        <w:rPr>
          <w:i/>
          <w:lang w:bidi="en-US"/>
        </w:rPr>
        <w:t>E-</w:t>
      </w:r>
      <w:r>
        <w:rPr>
          <w:rFonts w:hint="eastAsia"/>
          <w:i/>
          <w:lang w:bidi="en-US"/>
        </w:rPr>
        <w:t>－</w:t>
      </w:r>
      <w:r>
        <w:rPr>
          <w:lang w:bidi="en-US"/>
        </w:rPr>
        <w:t>生物资源的价格，按主要经济种类当地当年的市场平均价或按海洋捕捞产值与产量均值的比值计算，单位：元/kg。202</w:t>
      </w:r>
      <w:r>
        <w:rPr>
          <w:rFonts w:hint="eastAsia"/>
          <w:lang w:bidi="en-US"/>
        </w:rPr>
        <w:t>3</w:t>
      </w:r>
      <w:r>
        <w:rPr>
          <w:lang w:bidi="en-US"/>
        </w:rPr>
        <w:t>年广西壮族自治区</w:t>
      </w:r>
      <w:bookmarkStart w:id="462" w:name="OLE_LINK153"/>
      <w:r>
        <w:rPr>
          <w:lang w:bidi="en-US"/>
        </w:rPr>
        <w:t>海洋捕捞产值</w:t>
      </w:r>
      <w:bookmarkEnd w:id="462"/>
      <w:r>
        <w:rPr>
          <w:lang w:bidi="en-US"/>
        </w:rPr>
        <w:t>与产量比值为</w:t>
      </w:r>
      <w:r>
        <w:rPr>
          <w:rFonts w:hint="eastAsia"/>
          <w:lang w:bidi="en-US"/>
        </w:rPr>
        <w:t>1.94</w:t>
      </w:r>
      <w:r>
        <w:rPr>
          <w:lang w:bidi="en-US"/>
        </w:rPr>
        <w:t>万元/吨，鱼苗采用当地当年市场价约0.6元/尾的价格。</w:t>
      </w:r>
    </w:p>
    <w:p w14:paraId="39090AFE">
      <w:pPr>
        <w:ind w:firstLine="437"/>
        <w:rPr>
          <w:lang w:bidi="en-US"/>
        </w:rPr>
      </w:pPr>
      <w:r>
        <w:rPr>
          <w:rFonts w:hint="eastAsia"/>
          <w:lang w:val="pt-BR"/>
        </w:rPr>
        <w:t>3、</w:t>
      </w:r>
      <w:r>
        <w:rPr>
          <w:lang w:bidi="en-US"/>
        </w:rPr>
        <w:t>生物资源损害赔偿和补偿年限的确定</w:t>
      </w:r>
    </w:p>
    <w:p w14:paraId="2AF77F87">
      <w:pPr>
        <w:ind w:firstLine="437"/>
        <w:rPr>
          <w:lang w:bidi="en-US"/>
        </w:rPr>
      </w:pPr>
      <w:r>
        <w:rPr>
          <w:rFonts w:hint="eastAsia" w:ascii="宋体" w:hAnsi="宋体" w:cs="宋体"/>
          <w:lang w:bidi="en-US"/>
        </w:rPr>
        <w:t>①</w:t>
      </w:r>
      <w:r>
        <w:rPr>
          <w:lang w:bidi="en-US"/>
        </w:rPr>
        <w:t>各类工程施工对水域生态系统造成不可逆影响的，其生物资源损害的补偿年限均按不低于20年计算。</w:t>
      </w:r>
    </w:p>
    <w:p w14:paraId="73E41BEE">
      <w:pPr>
        <w:ind w:firstLine="437"/>
        <w:rPr>
          <w:lang w:bidi="en-US"/>
        </w:rPr>
      </w:pPr>
      <w:r>
        <w:rPr>
          <w:rFonts w:hint="eastAsia" w:ascii="宋体" w:hAnsi="宋体" w:cs="宋体"/>
          <w:lang w:bidi="en-US"/>
        </w:rPr>
        <w:t>②</w:t>
      </w:r>
      <w:r>
        <w:rPr>
          <w:lang w:bidi="en-US"/>
        </w:rPr>
        <w:t>占用渔业水域的生物资源损害补偿，占用年限低于3年的，按3年补偿；占用年限3</w:t>
      </w:r>
      <w:r>
        <w:rPr>
          <w:rFonts w:hint="eastAsia"/>
          <w:lang w:bidi="en-US"/>
        </w:rPr>
        <w:t>—</w:t>
      </w:r>
      <w:r>
        <w:rPr>
          <w:lang w:bidi="en-US"/>
        </w:rPr>
        <w:t>20年的，按实际占用年限补偿；占用20年以上的，按不低于20年补偿。</w:t>
      </w:r>
    </w:p>
    <w:p w14:paraId="11107B04">
      <w:pPr>
        <w:ind w:firstLine="437"/>
        <w:rPr>
          <w:lang w:bidi="en-US"/>
        </w:rPr>
      </w:pPr>
      <w:r>
        <w:rPr>
          <w:rFonts w:hint="eastAsia" w:ascii="宋体" w:hAnsi="宋体" w:cs="宋体"/>
          <w:lang w:bidi="en-US"/>
        </w:rPr>
        <w:t>③</w:t>
      </w:r>
      <w:r>
        <w:rPr>
          <w:lang w:bidi="en-US"/>
        </w:rPr>
        <w:t>一次性生物资源的损害补偿为一次性损害额的3倍；</w:t>
      </w:r>
    </w:p>
    <w:p w14:paraId="404BFE2D">
      <w:pPr>
        <w:ind w:firstLine="437"/>
        <w:rPr>
          <w:lang w:bidi="en-US"/>
        </w:rPr>
      </w:pPr>
      <w:r>
        <w:rPr>
          <w:rFonts w:hint="eastAsia" w:ascii="宋体" w:hAnsi="宋体" w:cs="宋体"/>
          <w:lang w:bidi="en-US"/>
        </w:rPr>
        <w:t>④</w:t>
      </w:r>
      <w:r>
        <w:rPr>
          <w:lang w:bidi="en-US"/>
        </w:rPr>
        <w:t>持续性生物资源损害的补偿分3种情形，实际影响年限低于3年的，按3年补偿；实际影响年限为3</w:t>
      </w:r>
      <w:r>
        <w:rPr>
          <w:rFonts w:hint="eastAsia"/>
          <w:lang w:bidi="en-US"/>
        </w:rPr>
        <w:t>—</w:t>
      </w:r>
      <w:r>
        <w:rPr>
          <w:lang w:bidi="en-US"/>
        </w:rPr>
        <w:t>20年的，按实际影响年限补偿；影响持续时间20年以上的，补偿计算时间不应低于20年。</w:t>
      </w:r>
    </w:p>
    <w:p w14:paraId="3E62E741">
      <w:pPr>
        <w:ind w:firstLine="437"/>
        <w:rPr>
          <w:lang w:bidi="en-US"/>
        </w:rPr>
      </w:pPr>
      <w:r>
        <w:rPr>
          <w:rFonts w:hint="eastAsia"/>
          <w:lang w:bidi="en-US"/>
        </w:rPr>
        <w:t>4、本项目</w:t>
      </w:r>
      <w:r>
        <w:rPr>
          <w:lang w:bidi="en-US"/>
        </w:rPr>
        <w:t>工程海域生物资源</w:t>
      </w:r>
      <w:r>
        <w:rPr>
          <w:rFonts w:hint="eastAsia"/>
          <w:lang w:bidi="en-US"/>
        </w:rPr>
        <w:t>密度</w:t>
      </w:r>
    </w:p>
    <w:p w14:paraId="39AD1437">
      <w:pPr>
        <w:ind w:firstLine="437"/>
      </w:pPr>
      <w:r>
        <w:rPr>
          <w:rFonts w:hint="eastAsia"/>
        </w:rPr>
        <w:t>根据第3章海洋生态现状调查，本评价生态损失补偿按照海洋生态现状调查中站位平均值计算。</w:t>
      </w:r>
    </w:p>
    <w:p w14:paraId="1D96FCE8">
      <w:pPr>
        <w:pStyle w:val="7"/>
      </w:pPr>
      <w:r>
        <w:rPr>
          <w:rFonts w:hint="eastAsia"/>
        </w:rPr>
        <w:t>项目所在海域海洋生物资源密度概况</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78"/>
        <w:gridCol w:w="4010"/>
        <w:gridCol w:w="2540"/>
      </w:tblGrid>
      <w:tr w14:paraId="3BB7FA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0" w:type="pct"/>
            <w:vAlign w:val="center"/>
          </w:tcPr>
          <w:p w14:paraId="407069C6">
            <w:pPr>
              <w:pStyle w:val="210"/>
              <w:spacing w:line="240" w:lineRule="exact"/>
              <w:rPr>
                <w:lang w:bidi="en-US"/>
              </w:rPr>
            </w:pPr>
            <w:r>
              <w:rPr>
                <w:lang w:bidi="en-US"/>
              </w:rPr>
              <w:t>种类</w:t>
            </w:r>
          </w:p>
        </w:tc>
        <w:tc>
          <w:tcPr>
            <w:tcW w:w="2351" w:type="pct"/>
            <w:vAlign w:val="center"/>
          </w:tcPr>
          <w:p w14:paraId="355042AE">
            <w:pPr>
              <w:pStyle w:val="210"/>
              <w:spacing w:line="240" w:lineRule="exact"/>
              <w:rPr>
                <w:lang w:bidi="en-US"/>
              </w:rPr>
            </w:pPr>
            <w:r>
              <w:rPr>
                <w:lang w:bidi="en-US"/>
              </w:rPr>
              <w:t>密度或生物量（单位）</w:t>
            </w:r>
          </w:p>
        </w:tc>
        <w:tc>
          <w:tcPr>
            <w:tcW w:w="1489" w:type="pct"/>
            <w:vAlign w:val="center"/>
          </w:tcPr>
          <w:p w14:paraId="36FDA537">
            <w:pPr>
              <w:pStyle w:val="210"/>
              <w:spacing w:line="240" w:lineRule="exact"/>
              <w:rPr>
                <w:lang w:bidi="en-US"/>
              </w:rPr>
            </w:pPr>
            <w:r>
              <w:rPr>
                <w:lang w:bidi="en-US"/>
              </w:rPr>
              <w:t>平均值</w:t>
            </w:r>
          </w:p>
        </w:tc>
      </w:tr>
      <w:tr w14:paraId="5E7713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0" w:type="pct"/>
            <w:vAlign w:val="center"/>
          </w:tcPr>
          <w:p w14:paraId="585DCABE">
            <w:pPr>
              <w:pStyle w:val="210"/>
              <w:spacing w:line="240" w:lineRule="exact"/>
              <w:rPr>
                <w:lang w:bidi="en-US"/>
              </w:rPr>
            </w:pPr>
            <w:r>
              <w:rPr>
                <w:lang w:bidi="en-US"/>
              </w:rPr>
              <w:t>底栖生物</w:t>
            </w:r>
          </w:p>
        </w:tc>
        <w:tc>
          <w:tcPr>
            <w:tcW w:w="2351" w:type="pct"/>
            <w:vAlign w:val="center"/>
          </w:tcPr>
          <w:p w14:paraId="2137BE88">
            <w:pPr>
              <w:pStyle w:val="210"/>
              <w:spacing w:line="240" w:lineRule="exact"/>
              <w:rPr>
                <w:lang w:bidi="en-US"/>
              </w:rPr>
            </w:pPr>
            <w:r>
              <w:rPr>
                <w:lang w:bidi="en-US"/>
              </w:rPr>
              <w:t>生物量（g/m</w:t>
            </w:r>
            <w:r>
              <w:rPr>
                <w:vertAlign w:val="superscript"/>
                <w:lang w:bidi="en-US"/>
              </w:rPr>
              <w:t>2</w:t>
            </w:r>
            <w:r>
              <w:rPr>
                <w:lang w:bidi="en-US"/>
              </w:rPr>
              <w:t>）</w:t>
            </w:r>
          </w:p>
        </w:tc>
        <w:tc>
          <w:tcPr>
            <w:tcW w:w="1489" w:type="pct"/>
            <w:vAlign w:val="center"/>
          </w:tcPr>
          <w:p w14:paraId="72952345">
            <w:pPr>
              <w:pStyle w:val="210"/>
              <w:spacing w:line="240" w:lineRule="exact"/>
              <w:rPr>
                <w:lang w:bidi="en-US"/>
              </w:rPr>
            </w:pPr>
            <w:r>
              <w:rPr>
                <w:rFonts w:hint="eastAsia"/>
                <w:lang w:bidi="en-US"/>
              </w:rPr>
              <w:t>35.67</w:t>
            </w:r>
          </w:p>
        </w:tc>
      </w:tr>
      <w:tr w14:paraId="4F10C8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0" w:type="pct"/>
            <w:vAlign w:val="center"/>
          </w:tcPr>
          <w:p w14:paraId="778B0DEE">
            <w:pPr>
              <w:pStyle w:val="210"/>
              <w:spacing w:line="240" w:lineRule="exact"/>
              <w:rPr>
                <w:lang w:bidi="en-US"/>
              </w:rPr>
            </w:pPr>
            <w:r>
              <w:rPr>
                <w:lang w:bidi="en-US"/>
              </w:rPr>
              <w:t>鱼卵</w:t>
            </w:r>
          </w:p>
        </w:tc>
        <w:tc>
          <w:tcPr>
            <w:tcW w:w="2351" w:type="pct"/>
            <w:vAlign w:val="center"/>
          </w:tcPr>
          <w:p w14:paraId="2CA26D8E">
            <w:pPr>
              <w:pStyle w:val="210"/>
              <w:spacing w:line="240" w:lineRule="exact"/>
              <w:rPr>
                <w:lang w:bidi="en-US"/>
              </w:rPr>
            </w:pPr>
            <w:r>
              <w:rPr>
                <w:lang w:bidi="en-US"/>
              </w:rPr>
              <w:t>密度（粒/m</w:t>
            </w:r>
            <w:r>
              <w:rPr>
                <w:vertAlign w:val="superscript"/>
                <w:lang w:bidi="en-US"/>
              </w:rPr>
              <w:t>3</w:t>
            </w:r>
            <w:r>
              <w:rPr>
                <w:lang w:bidi="en-US"/>
              </w:rPr>
              <w:t>）</w:t>
            </w:r>
          </w:p>
        </w:tc>
        <w:tc>
          <w:tcPr>
            <w:tcW w:w="1489" w:type="pct"/>
            <w:vAlign w:val="center"/>
          </w:tcPr>
          <w:p w14:paraId="6E51B16E">
            <w:pPr>
              <w:pStyle w:val="210"/>
              <w:spacing w:line="240" w:lineRule="exact"/>
              <w:rPr>
                <w:lang w:bidi="en-US"/>
              </w:rPr>
            </w:pPr>
            <w:r>
              <w:rPr>
                <w:rFonts w:hint="eastAsia"/>
                <w:lang w:bidi="en-US"/>
              </w:rPr>
              <w:t>12.96</w:t>
            </w:r>
          </w:p>
        </w:tc>
      </w:tr>
      <w:tr w14:paraId="543E7E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0" w:type="pct"/>
            <w:vAlign w:val="center"/>
          </w:tcPr>
          <w:p w14:paraId="1F7A1B55">
            <w:pPr>
              <w:pStyle w:val="210"/>
              <w:spacing w:line="240" w:lineRule="exact"/>
              <w:rPr>
                <w:lang w:bidi="en-US"/>
              </w:rPr>
            </w:pPr>
            <w:r>
              <w:rPr>
                <w:lang w:bidi="en-US"/>
              </w:rPr>
              <w:t>仔鱼</w:t>
            </w:r>
          </w:p>
        </w:tc>
        <w:tc>
          <w:tcPr>
            <w:tcW w:w="2351" w:type="pct"/>
            <w:vAlign w:val="center"/>
          </w:tcPr>
          <w:p w14:paraId="2A7757A2">
            <w:pPr>
              <w:pStyle w:val="210"/>
              <w:spacing w:line="240" w:lineRule="exact"/>
              <w:rPr>
                <w:lang w:bidi="en-US"/>
              </w:rPr>
            </w:pPr>
            <w:r>
              <w:rPr>
                <w:lang w:bidi="en-US"/>
              </w:rPr>
              <w:t>密度（尾/m</w:t>
            </w:r>
            <w:r>
              <w:rPr>
                <w:vertAlign w:val="superscript"/>
                <w:lang w:bidi="en-US"/>
              </w:rPr>
              <w:t>3</w:t>
            </w:r>
            <w:r>
              <w:rPr>
                <w:lang w:bidi="en-US"/>
              </w:rPr>
              <w:t>）</w:t>
            </w:r>
          </w:p>
        </w:tc>
        <w:tc>
          <w:tcPr>
            <w:tcW w:w="1489" w:type="pct"/>
            <w:vAlign w:val="center"/>
          </w:tcPr>
          <w:p w14:paraId="3F69ADD4">
            <w:pPr>
              <w:pStyle w:val="210"/>
              <w:spacing w:line="240" w:lineRule="exact"/>
              <w:rPr>
                <w:lang w:bidi="en-US"/>
              </w:rPr>
            </w:pPr>
            <w:r>
              <w:rPr>
                <w:rFonts w:hint="eastAsia"/>
                <w:lang w:bidi="en-US"/>
              </w:rPr>
              <w:t>1.22</w:t>
            </w:r>
          </w:p>
        </w:tc>
      </w:tr>
      <w:tr w14:paraId="21DF66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0" w:type="pct"/>
            <w:vAlign w:val="center"/>
          </w:tcPr>
          <w:p w14:paraId="4C15B628">
            <w:pPr>
              <w:pStyle w:val="210"/>
              <w:spacing w:line="240" w:lineRule="exact"/>
              <w:rPr>
                <w:lang w:bidi="en-US"/>
              </w:rPr>
            </w:pPr>
            <w:r>
              <w:rPr>
                <w:lang w:bidi="en-US"/>
              </w:rPr>
              <w:t>游泳生物</w:t>
            </w:r>
          </w:p>
        </w:tc>
        <w:tc>
          <w:tcPr>
            <w:tcW w:w="2351" w:type="pct"/>
            <w:vAlign w:val="center"/>
          </w:tcPr>
          <w:p w14:paraId="77FA085A">
            <w:pPr>
              <w:pStyle w:val="210"/>
              <w:spacing w:line="240" w:lineRule="exact"/>
              <w:rPr>
                <w:lang w:bidi="en-US"/>
              </w:rPr>
            </w:pPr>
            <w:r>
              <w:rPr>
                <w:lang w:bidi="en-US"/>
              </w:rPr>
              <w:t>密度（t/km</w:t>
            </w:r>
            <w:r>
              <w:rPr>
                <w:vertAlign w:val="superscript"/>
                <w:lang w:bidi="en-US"/>
              </w:rPr>
              <w:t>2</w:t>
            </w:r>
            <w:r>
              <w:rPr>
                <w:lang w:bidi="en-US"/>
              </w:rPr>
              <w:t>）</w:t>
            </w:r>
          </w:p>
        </w:tc>
        <w:tc>
          <w:tcPr>
            <w:tcW w:w="1489" w:type="pct"/>
            <w:vAlign w:val="center"/>
          </w:tcPr>
          <w:p w14:paraId="4E1F4D25">
            <w:pPr>
              <w:pStyle w:val="210"/>
              <w:spacing w:line="240" w:lineRule="exact"/>
              <w:rPr>
                <w:lang w:bidi="en-US"/>
              </w:rPr>
            </w:pPr>
            <w:r>
              <w:rPr>
                <w:rFonts w:hint="eastAsia"/>
                <w:lang w:bidi="en-US"/>
              </w:rPr>
              <w:t>0.54</w:t>
            </w:r>
          </w:p>
        </w:tc>
      </w:tr>
      <w:tr w14:paraId="61CDC3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0" w:type="pct"/>
            <w:vAlign w:val="center"/>
          </w:tcPr>
          <w:p w14:paraId="0B99BCFC">
            <w:pPr>
              <w:pStyle w:val="210"/>
              <w:spacing w:line="240" w:lineRule="exact"/>
              <w:rPr>
                <w:lang w:bidi="en-US"/>
              </w:rPr>
            </w:pPr>
            <w:r>
              <w:rPr>
                <w:lang w:bidi="en-US"/>
              </w:rPr>
              <w:t>浮游动物</w:t>
            </w:r>
          </w:p>
        </w:tc>
        <w:tc>
          <w:tcPr>
            <w:tcW w:w="2351" w:type="pct"/>
            <w:vAlign w:val="center"/>
          </w:tcPr>
          <w:p w14:paraId="23F3C127">
            <w:pPr>
              <w:pStyle w:val="210"/>
              <w:spacing w:line="240" w:lineRule="exact"/>
              <w:rPr>
                <w:lang w:bidi="en-US"/>
              </w:rPr>
            </w:pPr>
            <w:r>
              <w:rPr>
                <w:lang w:bidi="en-US"/>
              </w:rPr>
              <w:t>密度（mg/m</w:t>
            </w:r>
            <w:r>
              <w:rPr>
                <w:vertAlign w:val="superscript"/>
                <w:lang w:bidi="en-US"/>
              </w:rPr>
              <w:t>3</w:t>
            </w:r>
            <w:r>
              <w:rPr>
                <w:lang w:bidi="en-US"/>
              </w:rPr>
              <w:t>）</w:t>
            </w:r>
          </w:p>
        </w:tc>
        <w:tc>
          <w:tcPr>
            <w:tcW w:w="1489" w:type="pct"/>
            <w:vAlign w:val="center"/>
          </w:tcPr>
          <w:p w14:paraId="5945B215">
            <w:pPr>
              <w:pStyle w:val="210"/>
              <w:spacing w:line="240" w:lineRule="exact"/>
              <w:rPr>
                <w:lang w:bidi="en-US"/>
              </w:rPr>
            </w:pPr>
            <w:r>
              <w:t>113.1</w:t>
            </w:r>
          </w:p>
        </w:tc>
      </w:tr>
    </w:tbl>
    <w:p w14:paraId="194000E1">
      <w:pPr>
        <w:pStyle w:val="6"/>
      </w:pPr>
      <w:r>
        <w:rPr>
          <w:rFonts w:hint="eastAsia"/>
        </w:rPr>
        <w:t>水域疏浚开挖对底栖生物的损害评估</w:t>
      </w:r>
    </w:p>
    <w:p w14:paraId="476E678B">
      <w:pPr>
        <w:ind w:firstLine="437"/>
      </w:pPr>
      <w:r>
        <w:t>项目开挖疏浚海域主要为底栖生物栖息区域</w:t>
      </w:r>
      <w:r>
        <w:rPr>
          <w:rFonts w:hint="eastAsia"/>
        </w:rPr>
        <w:t>损害</w:t>
      </w:r>
      <w:r>
        <w:t>。根据前述调查结果，该海域大型底栖生物平均生</w:t>
      </w:r>
      <w:r>
        <w:rPr>
          <w:rFonts w:hint="eastAsia"/>
        </w:rPr>
        <w:t>物量为35.67</w:t>
      </w:r>
      <w:r>
        <w:t>g/m</w:t>
      </w:r>
      <w:r>
        <w:rPr>
          <w:vertAlign w:val="superscript"/>
        </w:rPr>
        <w:t>2</w:t>
      </w:r>
      <w:r>
        <w:t>。</w:t>
      </w:r>
      <w:r>
        <w:rPr>
          <w:u w:val="single"/>
        </w:rPr>
        <w:t>项目疏浚总面积约</w:t>
      </w:r>
      <w:r>
        <w:rPr>
          <w:rFonts w:hint="eastAsia"/>
          <w:u w:val="single"/>
        </w:rPr>
        <w:t>227700</w:t>
      </w:r>
      <w:bookmarkStart w:id="463" w:name="OLE_LINK158"/>
      <w:r>
        <w:rPr>
          <w:u w:val="single"/>
        </w:rPr>
        <w:t>m</w:t>
      </w:r>
      <w:r>
        <w:rPr>
          <w:u w:val="single"/>
          <w:vertAlign w:val="superscript"/>
        </w:rPr>
        <w:t>2</w:t>
      </w:r>
      <w:bookmarkEnd w:id="463"/>
      <w:r>
        <w:rPr>
          <w:rFonts w:hint="eastAsia"/>
          <w:u w:val="single"/>
        </w:rPr>
        <w:t>，其中约60500</w:t>
      </w:r>
      <w:r>
        <w:rPr>
          <w:u w:val="single"/>
        </w:rPr>
        <w:t>m</w:t>
      </w:r>
      <w:r>
        <w:rPr>
          <w:u w:val="single"/>
          <w:vertAlign w:val="superscript"/>
        </w:rPr>
        <w:t>2</w:t>
      </w:r>
      <w:r>
        <w:rPr>
          <w:rFonts w:hint="eastAsia"/>
          <w:u w:val="single"/>
        </w:rPr>
        <w:t>为</w:t>
      </w:r>
      <w:bookmarkStart w:id="464" w:name="OLE_LINK159"/>
      <w:r>
        <w:rPr>
          <w:rFonts w:hint="eastAsia"/>
          <w:u w:val="single"/>
        </w:rPr>
        <w:t>消浪护岸施工区域</w:t>
      </w:r>
      <w:bookmarkEnd w:id="464"/>
      <w:r>
        <w:rPr>
          <w:rFonts w:hint="eastAsia"/>
          <w:u w:val="single"/>
        </w:rPr>
        <w:t>，已在9、10泊位扩建工程中核算施工期底栖生物一次性损失，本项目与9、10泊位扩建工程在施工安排上有时间上的延续和重叠，本次评价不再核算消浪护岸施工区域底栖生物一次性损失，即本次核算面积为167200</w:t>
      </w:r>
      <w:r>
        <w:rPr>
          <w:u w:val="single"/>
        </w:rPr>
        <w:t xml:space="preserve"> m</w:t>
      </w:r>
      <w:r>
        <w:rPr>
          <w:u w:val="single"/>
          <w:vertAlign w:val="superscript"/>
        </w:rPr>
        <w:t>2</w:t>
      </w:r>
      <w:r>
        <w:rPr>
          <w:u w:val="single"/>
        </w:rPr>
        <w:t>。考虑掩埋后一次性全部损失，损失量为</w:t>
      </w:r>
      <w:r>
        <w:rPr>
          <w:rFonts w:hint="eastAsia"/>
          <w:u w:val="single"/>
        </w:rPr>
        <w:t>5.96</w:t>
      </w:r>
      <w:r>
        <w:rPr>
          <w:u w:val="single"/>
        </w:rPr>
        <w:t>t，按1.</w:t>
      </w:r>
      <w:r>
        <w:rPr>
          <w:rFonts w:hint="eastAsia"/>
          <w:u w:val="single"/>
        </w:rPr>
        <w:t>94</w:t>
      </w:r>
      <w:r>
        <w:rPr>
          <w:u w:val="single"/>
        </w:rPr>
        <w:t>万元/t计，项目建设对大型底栖生物资源造成的损失经济价值约</w:t>
      </w:r>
      <w:r>
        <w:rPr>
          <w:rFonts w:hint="eastAsia"/>
          <w:u w:val="single"/>
        </w:rPr>
        <w:t>11.57</w:t>
      </w:r>
      <w:r>
        <w:rPr>
          <w:u w:val="single"/>
        </w:rPr>
        <w:t>万元，所需经济补偿（按3年计）费用约</w:t>
      </w:r>
      <w:r>
        <w:rPr>
          <w:rFonts w:hint="eastAsia"/>
          <w:u w:val="single"/>
        </w:rPr>
        <w:t>34.71</w:t>
      </w:r>
      <w:r>
        <w:rPr>
          <w:u w:val="single"/>
        </w:rPr>
        <w:t>万元。</w:t>
      </w:r>
    </w:p>
    <w:p w14:paraId="718714FD">
      <w:pPr>
        <w:pStyle w:val="6"/>
      </w:pPr>
      <w:r>
        <w:rPr>
          <w:rFonts w:hint="eastAsia"/>
        </w:rPr>
        <w:t>悬浮物扩散</w:t>
      </w:r>
      <w:r>
        <w:t>对海洋生物资源损害评估</w:t>
      </w:r>
    </w:p>
    <w:p w14:paraId="663D116A">
      <w:pPr>
        <w:ind w:firstLine="437"/>
        <w:rPr>
          <w:lang w:bidi="en-US"/>
        </w:rPr>
      </w:pPr>
      <w:r>
        <w:rPr>
          <w:lang w:bidi="en-US"/>
        </w:rPr>
        <w:t>污染物扩散范围内的海洋生物资源损害评估采用</w:t>
      </w:r>
      <w:r>
        <w:t>《建设项目对海洋生物资源影响评价技术规程》（SC/T9110-2007）中，</w:t>
      </w:r>
      <w:r>
        <w:rPr>
          <w:lang w:bidi="en-US"/>
        </w:rPr>
        <w:t>一次性损害进行核算。</w:t>
      </w:r>
    </w:p>
    <w:p w14:paraId="4433BE85">
      <w:pPr>
        <w:ind w:firstLine="437"/>
      </w:pPr>
      <w:r>
        <w:t>根据前述项目施工期悬浮物浓度增量包络面积及扩散距离预测结果。施工过程中悬浮泥沙增量超标倍数、超标面积和在各区内类生物损失率如表4.</w:t>
      </w:r>
      <w:r>
        <w:rPr>
          <w:rFonts w:hint="eastAsia"/>
        </w:rPr>
        <w:t>2</w:t>
      </w:r>
      <w:r>
        <w:t>-</w:t>
      </w:r>
      <w:r>
        <w:rPr>
          <w:rFonts w:hint="eastAsia"/>
        </w:rPr>
        <w:t>6</w:t>
      </w:r>
      <w:r>
        <w:t>所示。</w:t>
      </w:r>
    </w:p>
    <w:p w14:paraId="1020CC83">
      <w:pPr>
        <w:pStyle w:val="7"/>
      </w:pPr>
      <w:r>
        <w:t>施工期悬浮物对各类生物损失率</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57"/>
        <w:gridCol w:w="1326"/>
        <w:gridCol w:w="619"/>
        <w:gridCol w:w="1570"/>
        <w:gridCol w:w="1440"/>
        <w:gridCol w:w="652"/>
        <w:gridCol w:w="1048"/>
        <w:gridCol w:w="1030"/>
      </w:tblGrid>
      <w:tr w14:paraId="4D8726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5" w:hRule="atLeast"/>
          <w:tblHeader/>
          <w:jc w:val="center"/>
        </w:trPr>
        <w:tc>
          <w:tcPr>
            <w:tcW w:w="394" w:type="pct"/>
            <w:vMerge w:val="restart"/>
            <w:tcMar>
              <w:left w:w="0" w:type="dxa"/>
              <w:right w:w="0" w:type="dxa"/>
            </w:tcMar>
            <w:vAlign w:val="center"/>
          </w:tcPr>
          <w:p w14:paraId="5552690C">
            <w:pPr>
              <w:pStyle w:val="34"/>
            </w:pPr>
            <w:r>
              <w:t>分区</w:t>
            </w:r>
          </w:p>
        </w:tc>
        <w:tc>
          <w:tcPr>
            <w:tcW w:w="795" w:type="pct"/>
            <w:vMerge w:val="restart"/>
            <w:tcMar>
              <w:left w:w="0" w:type="dxa"/>
              <w:right w:w="0" w:type="dxa"/>
            </w:tcMar>
            <w:vAlign w:val="center"/>
          </w:tcPr>
          <w:p w14:paraId="5594D8AF">
            <w:pPr>
              <w:pStyle w:val="34"/>
            </w:pPr>
            <w:r>
              <w:t>浓度增量</w:t>
            </w:r>
          </w:p>
        </w:tc>
        <w:tc>
          <w:tcPr>
            <w:tcW w:w="371" w:type="pct"/>
            <w:vMerge w:val="restart"/>
            <w:tcMar>
              <w:left w:w="0" w:type="dxa"/>
              <w:right w:w="0" w:type="dxa"/>
            </w:tcMar>
            <w:vAlign w:val="center"/>
          </w:tcPr>
          <w:p w14:paraId="4A499DEC">
            <w:pPr>
              <w:pStyle w:val="34"/>
            </w:pPr>
            <w:r>
              <w:t>面积km</w:t>
            </w:r>
            <w:r>
              <w:rPr>
                <w:vertAlign w:val="superscript"/>
              </w:rPr>
              <w:t>2</w:t>
            </w:r>
          </w:p>
        </w:tc>
        <w:tc>
          <w:tcPr>
            <w:tcW w:w="941" w:type="pct"/>
            <w:vMerge w:val="restart"/>
            <w:tcMar>
              <w:left w:w="0" w:type="dxa"/>
              <w:right w:w="0" w:type="dxa"/>
            </w:tcMar>
            <w:vAlign w:val="center"/>
          </w:tcPr>
          <w:p w14:paraId="053C333D">
            <w:pPr>
              <w:pStyle w:val="34"/>
            </w:pPr>
            <w:r>
              <w:t>污染物超标倍数（B</w:t>
            </w:r>
            <w:r>
              <w:rPr>
                <w:vertAlign w:val="subscript"/>
              </w:rPr>
              <w:t>i</w:t>
            </w:r>
            <w:r>
              <w:t>）</w:t>
            </w:r>
          </w:p>
        </w:tc>
        <w:tc>
          <w:tcPr>
            <w:tcW w:w="2499" w:type="pct"/>
            <w:gridSpan w:val="4"/>
            <w:tcMar>
              <w:left w:w="0" w:type="dxa"/>
              <w:right w:w="0" w:type="dxa"/>
            </w:tcMar>
            <w:vAlign w:val="center"/>
          </w:tcPr>
          <w:p w14:paraId="71867017">
            <w:pPr>
              <w:pStyle w:val="34"/>
            </w:pPr>
            <w:r>
              <w:t>各类生物损失率（%）</w:t>
            </w:r>
          </w:p>
        </w:tc>
      </w:tr>
      <w:tr w14:paraId="7475BC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 w:hRule="atLeast"/>
          <w:tblHeader/>
          <w:jc w:val="center"/>
        </w:trPr>
        <w:tc>
          <w:tcPr>
            <w:tcW w:w="394" w:type="pct"/>
            <w:vMerge w:val="continue"/>
            <w:tcMar>
              <w:left w:w="0" w:type="dxa"/>
              <w:right w:w="0" w:type="dxa"/>
            </w:tcMar>
            <w:vAlign w:val="center"/>
          </w:tcPr>
          <w:p w14:paraId="54E69274">
            <w:pPr>
              <w:pStyle w:val="34"/>
            </w:pPr>
          </w:p>
        </w:tc>
        <w:tc>
          <w:tcPr>
            <w:tcW w:w="795" w:type="pct"/>
            <w:vMerge w:val="continue"/>
            <w:tcMar>
              <w:left w:w="0" w:type="dxa"/>
              <w:right w:w="0" w:type="dxa"/>
            </w:tcMar>
            <w:vAlign w:val="center"/>
          </w:tcPr>
          <w:p w14:paraId="2C8D4BE7">
            <w:pPr>
              <w:pStyle w:val="34"/>
            </w:pPr>
          </w:p>
        </w:tc>
        <w:tc>
          <w:tcPr>
            <w:tcW w:w="371" w:type="pct"/>
            <w:vMerge w:val="continue"/>
            <w:tcMar>
              <w:left w:w="0" w:type="dxa"/>
              <w:right w:w="0" w:type="dxa"/>
            </w:tcMar>
            <w:vAlign w:val="center"/>
          </w:tcPr>
          <w:p w14:paraId="43A595A4">
            <w:pPr>
              <w:pStyle w:val="34"/>
            </w:pPr>
          </w:p>
        </w:tc>
        <w:tc>
          <w:tcPr>
            <w:tcW w:w="941" w:type="pct"/>
            <w:vMerge w:val="continue"/>
            <w:tcMar>
              <w:left w:w="0" w:type="dxa"/>
              <w:right w:w="0" w:type="dxa"/>
            </w:tcMar>
            <w:vAlign w:val="center"/>
          </w:tcPr>
          <w:p w14:paraId="426A7B50">
            <w:pPr>
              <w:pStyle w:val="34"/>
            </w:pPr>
          </w:p>
        </w:tc>
        <w:tc>
          <w:tcPr>
            <w:tcW w:w="863" w:type="pct"/>
            <w:tcMar>
              <w:left w:w="0" w:type="dxa"/>
              <w:right w:w="0" w:type="dxa"/>
            </w:tcMar>
            <w:vAlign w:val="center"/>
          </w:tcPr>
          <w:p w14:paraId="0A097186">
            <w:pPr>
              <w:pStyle w:val="34"/>
            </w:pPr>
            <w:r>
              <w:t>鱼卵和仔稚鱼</w:t>
            </w:r>
          </w:p>
        </w:tc>
        <w:tc>
          <w:tcPr>
            <w:tcW w:w="391" w:type="pct"/>
            <w:tcMar>
              <w:left w:w="0" w:type="dxa"/>
              <w:right w:w="0" w:type="dxa"/>
            </w:tcMar>
            <w:vAlign w:val="center"/>
          </w:tcPr>
          <w:p w14:paraId="2754E3C5">
            <w:pPr>
              <w:pStyle w:val="34"/>
            </w:pPr>
            <w:r>
              <w:t>成体</w:t>
            </w:r>
          </w:p>
        </w:tc>
        <w:tc>
          <w:tcPr>
            <w:tcW w:w="628" w:type="pct"/>
            <w:tcMar>
              <w:left w:w="0" w:type="dxa"/>
              <w:right w:w="0" w:type="dxa"/>
            </w:tcMar>
            <w:vAlign w:val="center"/>
          </w:tcPr>
          <w:p w14:paraId="7EB2B7FB">
            <w:pPr>
              <w:pStyle w:val="34"/>
            </w:pPr>
            <w:r>
              <w:t>浮游动物</w:t>
            </w:r>
          </w:p>
        </w:tc>
        <w:tc>
          <w:tcPr>
            <w:tcW w:w="617" w:type="pct"/>
            <w:tcMar>
              <w:left w:w="0" w:type="dxa"/>
              <w:right w:w="0" w:type="dxa"/>
            </w:tcMar>
            <w:vAlign w:val="center"/>
          </w:tcPr>
          <w:p w14:paraId="294919F6">
            <w:pPr>
              <w:pStyle w:val="34"/>
            </w:pPr>
            <w:r>
              <w:t>浮游植物</w:t>
            </w:r>
          </w:p>
        </w:tc>
      </w:tr>
      <w:tr w14:paraId="3AE1EB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4" w:type="pct"/>
            <w:tcMar>
              <w:left w:w="0" w:type="dxa"/>
              <w:right w:w="0" w:type="dxa"/>
            </w:tcMar>
            <w:vAlign w:val="center"/>
          </w:tcPr>
          <w:p w14:paraId="63DD794E">
            <w:pPr>
              <w:pStyle w:val="34"/>
            </w:pPr>
            <w:r>
              <w:t>I区</w:t>
            </w:r>
          </w:p>
        </w:tc>
        <w:tc>
          <w:tcPr>
            <w:tcW w:w="795" w:type="pct"/>
            <w:tcMar>
              <w:left w:w="0" w:type="dxa"/>
              <w:right w:w="0" w:type="dxa"/>
            </w:tcMar>
            <w:vAlign w:val="center"/>
          </w:tcPr>
          <w:p w14:paraId="4283A1F1">
            <w:pPr>
              <w:pStyle w:val="34"/>
            </w:pPr>
            <w:r>
              <w:t>≤20mg/L</w:t>
            </w:r>
          </w:p>
        </w:tc>
        <w:tc>
          <w:tcPr>
            <w:tcW w:w="371" w:type="pct"/>
            <w:tcMar>
              <w:left w:w="0" w:type="dxa"/>
              <w:right w:w="0" w:type="dxa"/>
            </w:tcMar>
            <w:vAlign w:val="center"/>
          </w:tcPr>
          <w:p w14:paraId="4EE87703">
            <w:pPr>
              <w:pStyle w:val="34"/>
            </w:pPr>
            <w:r>
              <w:rPr>
                <w:rFonts w:hint="eastAsia"/>
              </w:rPr>
              <w:t>1.81</w:t>
            </w:r>
          </w:p>
        </w:tc>
        <w:tc>
          <w:tcPr>
            <w:tcW w:w="941" w:type="pct"/>
            <w:tcMar>
              <w:left w:w="0" w:type="dxa"/>
              <w:right w:w="0" w:type="dxa"/>
            </w:tcMar>
            <w:vAlign w:val="center"/>
          </w:tcPr>
          <w:p w14:paraId="472A8D79">
            <w:pPr>
              <w:pStyle w:val="34"/>
            </w:pPr>
            <w:r>
              <w:t>B</w:t>
            </w:r>
            <w:r>
              <w:rPr>
                <w:vertAlign w:val="subscript"/>
              </w:rPr>
              <w:t>i</w:t>
            </w:r>
            <w:r>
              <w:t>≤1倍</w:t>
            </w:r>
          </w:p>
        </w:tc>
        <w:tc>
          <w:tcPr>
            <w:tcW w:w="863" w:type="pct"/>
            <w:tcMar>
              <w:left w:w="0" w:type="dxa"/>
              <w:right w:w="0" w:type="dxa"/>
            </w:tcMar>
            <w:vAlign w:val="center"/>
          </w:tcPr>
          <w:p w14:paraId="46823D90">
            <w:pPr>
              <w:pStyle w:val="34"/>
            </w:pPr>
            <w:r>
              <w:t>5</w:t>
            </w:r>
          </w:p>
        </w:tc>
        <w:tc>
          <w:tcPr>
            <w:tcW w:w="391" w:type="pct"/>
            <w:tcMar>
              <w:left w:w="0" w:type="dxa"/>
              <w:right w:w="0" w:type="dxa"/>
            </w:tcMar>
            <w:vAlign w:val="center"/>
          </w:tcPr>
          <w:p w14:paraId="0D8098A7">
            <w:pPr>
              <w:pStyle w:val="34"/>
            </w:pPr>
            <w:r>
              <w:t>1</w:t>
            </w:r>
          </w:p>
        </w:tc>
        <w:tc>
          <w:tcPr>
            <w:tcW w:w="628" w:type="pct"/>
            <w:tcMar>
              <w:left w:w="0" w:type="dxa"/>
              <w:right w:w="0" w:type="dxa"/>
            </w:tcMar>
            <w:vAlign w:val="center"/>
          </w:tcPr>
          <w:p w14:paraId="196D0242">
            <w:pPr>
              <w:pStyle w:val="34"/>
            </w:pPr>
            <w:r>
              <w:t>5</w:t>
            </w:r>
          </w:p>
        </w:tc>
        <w:tc>
          <w:tcPr>
            <w:tcW w:w="617" w:type="pct"/>
            <w:tcMar>
              <w:left w:w="0" w:type="dxa"/>
              <w:right w:w="0" w:type="dxa"/>
            </w:tcMar>
            <w:vAlign w:val="center"/>
          </w:tcPr>
          <w:p w14:paraId="05FC4B50">
            <w:pPr>
              <w:pStyle w:val="34"/>
            </w:pPr>
            <w:r>
              <w:t>5</w:t>
            </w:r>
          </w:p>
        </w:tc>
      </w:tr>
      <w:tr w14:paraId="0CE22C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4" w:type="pct"/>
            <w:tcMar>
              <w:left w:w="0" w:type="dxa"/>
              <w:right w:w="0" w:type="dxa"/>
            </w:tcMar>
            <w:vAlign w:val="center"/>
          </w:tcPr>
          <w:p w14:paraId="081139EC">
            <w:pPr>
              <w:pStyle w:val="34"/>
            </w:pPr>
            <w:r>
              <w:t>II区</w:t>
            </w:r>
          </w:p>
        </w:tc>
        <w:tc>
          <w:tcPr>
            <w:tcW w:w="795" w:type="pct"/>
            <w:tcMar>
              <w:left w:w="0" w:type="dxa"/>
              <w:right w:w="0" w:type="dxa"/>
            </w:tcMar>
            <w:vAlign w:val="center"/>
          </w:tcPr>
          <w:p w14:paraId="17E7C23E">
            <w:pPr>
              <w:pStyle w:val="34"/>
            </w:pPr>
            <w:r>
              <w:t>20～50mg/L</w:t>
            </w:r>
          </w:p>
        </w:tc>
        <w:tc>
          <w:tcPr>
            <w:tcW w:w="371" w:type="pct"/>
            <w:tcMar>
              <w:left w:w="0" w:type="dxa"/>
              <w:right w:w="0" w:type="dxa"/>
            </w:tcMar>
            <w:vAlign w:val="center"/>
          </w:tcPr>
          <w:p w14:paraId="31137E25">
            <w:pPr>
              <w:pStyle w:val="34"/>
            </w:pPr>
            <w:r>
              <w:rPr>
                <w:rFonts w:hint="eastAsia"/>
              </w:rPr>
              <w:t>0.31</w:t>
            </w:r>
          </w:p>
        </w:tc>
        <w:tc>
          <w:tcPr>
            <w:tcW w:w="941" w:type="pct"/>
            <w:tcMar>
              <w:left w:w="0" w:type="dxa"/>
              <w:right w:w="0" w:type="dxa"/>
            </w:tcMar>
            <w:vAlign w:val="center"/>
          </w:tcPr>
          <w:p w14:paraId="53DB1F11">
            <w:pPr>
              <w:pStyle w:val="34"/>
            </w:pPr>
            <w:r>
              <w:t>1&lt;B</w:t>
            </w:r>
            <w:r>
              <w:rPr>
                <w:vertAlign w:val="subscript"/>
              </w:rPr>
              <w:t>i</w:t>
            </w:r>
            <w:r>
              <w:t>≤4倍</w:t>
            </w:r>
          </w:p>
        </w:tc>
        <w:tc>
          <w:tcPr>
            <w:tcW w:w="863" w:type="pct"/>
            <w:tcMar>
              <w:left w:w="0" w:type="dxa"/>
              <w:right w:w="0" w:type="dxa"/>
            </w:tcMar>
            <w:vAlign w:val="center"/>
          </w:tcPr>
          <w:p w14:paraId="1843AFE9">
            <w:pPr>
              <w:pStyle w:val="34"/>
            </w:pPr>
            <w:r>
              <w:t>20</w:t>
            </w:r>
          </w:p>
        </w:tc>
        <w:tc>
          <w:tcPr>
            <w:tcW w:w="391" w:type="pct"/>
            <w:tcMar>
              <w:left w:w="0" w:type="dxa"/>
              <w:right w:w="0" w:type="dxa"/>
            </w:tcMar>
            <w:vAlign w:val="center"/>
          </w:tcPr>
          <w:p w14:paraId="77C04439">
            <w:pPr>
              <w:pStyle w:val="34"/>
            </w:pPr>
            <w:r>
              <w:t>5</w:t>
            </w:r>
          </w:p>
        </w:tc>
        <w:tc>
          <w:tcPr>
            <w:tcW w:w="628" w:type="pct"/>
            <w:tcMar>
              <w:left w:w="0" w:type="dxa"/>
              <w:right w:w="0" w:type="dxa"/>
            </w:tcMar>
            <w:vAlign w:val="center"/>
          </w:tcPr>
          <w:p w14:paraId="260642F5">
            <w:pPr>
              <w:pStyle w:val="34"/>
            </w:pPr>
            <w:r>
              <w:t>20</w:t>
            </w:r>
          </w:p>
        </w:tc>
        <w:tc>
          <w:tcPr>
            <w:tcW w:w="617" w:type="pct"/>
            <w:tcMar>
              <w:left w:w="0" w:type="dxa"/>
              <w:right w:w="0" w:type="dxa"/>
            </w:tcMar>
            <w:vAlign w:val="center"/>
          </w:tcPr>
          <w:p w14:paraId="59437B68">
            <w:pPr>
              <w:pStyle w:val="34"/>
            </w:pPr>
            <w:r>
              <w:t>20</w:t>
            </w:r>
          </w:p>
        </w:tc>
      </w:tr>
      <w:tr w14:paraId="3F9D79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4" w:type="pct"/>
            <w:tcMar>
              <w:left w:w="0" w:type="dxa"/>
              <w:right w:w="0" w:type="dxa"/>
            </w:tcMar>
            <w:vAlign w:val="center"/>
          </w:tcPr>
          <w:p w14:paraId="5BDCD2FD">
            <w:pPr>
              <w:pStyle w:val="34"/>
            </w:pPr>
            <w:r>
              <w:t>III区</w:t>
            </w:r>
          </w:p>
        </w:tc>
        <w:tc>
          <w:tcPr>
            <w:tcW w:w="795" w:type="pct"/>
            <w:tcMar>
              <w:left w:w="0" w:type="dxa"/>
              <w:right w:w="0" w:type="dxa"/>
            </w:tcMar>
            <w:vAlign w:val="center"/>
          </w:tcPr>
          <w:p w14:paraId="4197280D">
            <w:pPr>
              <w:pStyle w:val="34"/>
            </w:pPr>
            <w:r>
              <w:t>50～100mg/L</w:t>
            </w:r>
          </w:p>
        </w:tc>
        <w:tc>
          <w:tcPr>
            <w:tcW w:w="371" w:type="pct"/>
            <w:tcMar>
              <w:left w:w="0" w:type="dxa"/>
              <w:right w:w="0" w:type="dxa"/>
            </w:tcMar>
            <w:vAlign w:val="center"/>
          </w:tcPr>
          <w:p w14:paraId="5EE84307">
            <w:pPr>
              <w:pStyle w:val="34"/>
            </w:pPr>
            <w:r>
              <w:rPr>
                <w:rFonts w:hint="eastAsia"/>
              </w:rPr>
              <w:t>0.61</w:t>
            </w:r>
          </w:p>
        </w:tc>
        <w:tc>
          <w:tcPr>
            <w:tcW w:w="941" w:type="pct"/>
            <w:tcMar>
              <w:left w:w="0" w:type="dxa"/>
              <w:right w:w="0" w:type="dxa"/>
            </w:tcMar>
            <w:vAlign w:val="center"/>
          </w:tcPr>
          <w:p w14:paraId="0F604840">
            <w:pPr>
              <w:pStyle w:val="34"/>
            </w:pPr>
            <w:r>
              <w:t>4&lt;B</w:t>
            </w:r>
            <w:r>
              <w:rPr>
                <w:vertAlign w:val="subscript"/>
              </w:rPr>
              <w:t>i</w:t>
            </w:r>
            <w:r>
              <w:t>≤9倍</w:t>
            </w:r>
          </w:p>
        </w:tc>
        <w:tc>
          <w:tcPr>
            <w:tcW w:w="863" w:type="pct"/>
            <w:tcMar>
              <w:left w:w="0" w:type="dxa"/>
              <w:right w:w="0" w:type="dxa"/>
            </w:tcMar>
            <w:vAlign w:val="center"/>
          </w:tcPr>
          <w:p w14:paraId="7BC07785">
            <w:pPr>
              <w:pStyle w:val="34"/>
            </w:pPr>
            <w:r>
              <w:t>40</w:t>
            </w:r>
          </w:p>
        </w:tc>
        <w:tc>
          <w:tcPr>
            <w:tcW w:w="391" w:type="pct"/>
            <w:tcMar>
              <w:left w:w="0" w:type="dxa"/>
              <w:right w:w="0" w:type="dxa"/>
            </w:tcMar>
            <w:vAlign w:val="center"/>
          </w:tcPr>
          <w:p w14:paraId="21B612F8">
            <w:pPr>
              <w:pStyle w:val="34"/>
            </w:pPr>
            <w:r>
              <w:t>15</w:t>
            </w:r>
          </w:p>
        </w:tc>
        <w:tc>
          <w:tcPr>
            <w:tcW w:w="628" w:type="pct"/>
            <w:tcMar>
              <w:left w:w="0" w:type="dxa"/>
              <w:right w:w="0" w:type="dxa"/>
            </w:tcMar>
            <w:vAlign w:val="center"/>
          </w:tcPr>
          <w:p w14:paraId="61026C10">
            <w:pPr>
              <w:pStyle w:val="34"/>
            </w:pPr>
            <w:r>
              <w:t>40</w:t>
            </w:r>
          </w:p>
        </w:tc>
        <w:tc>
          <w:tcPr>
            <w:tcW w:w="617" w:type="pct"/>
            <w:tcMar>
              <w:left w:w="0" w:type="dxa"/>
              <w:right w:w="0" w:type="dxa"/>
            </w:tcMar>
            <w:vAlign w:val="center"/>
          </w:tcPr>
          <w:p w14:paraId="34F895F4">
            <w:pPr>
              <w:pStyle w:val="34"/>
            </w:pPr>
            <w:r>
              <w:t>40</w:t>
            </w:r>
          </w:p>
        </w:tc>
      </w:tr>
      <w:tr w14:paraId="7F7C90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394" w:type="pct"/>
            <w:tcMar>
              <w:left w:w="0" w:type="dxa"/>
              <w:right w:w="0" w:type="dxa"/>
            </w:tcMar>
            <w:vAlign w:val="center"/>
          </w:tcPr>
          <w:p w14:paraId="175C1D9F">
            <w:pPr>
              <w:pStyle w:val="34"/>
            </w:pPr>
            <w:r>
              <w:t>IV区</w:t>
            </w:r>
          </w:p>
        </w:tc>
        <w:tc>
          <w:tcPr>
            <w:tcW w:w="795" w:type="pct"/>
            <w:tcMar>
              <w:left w:w="0" w:type="dxa"/>
              <w:right w:w="0" w:type="dxa"/>
            </w:tcMar>
            <w:vAlign w:val="center"/>
          </w:tcPr>
          <w:p w14:paraId="43E91508">
            <w:pPr>
              <w:pStyle w:val="34"/>
            </w:pPr>
            <w:r>
              <w:t>≥100mg/L</w:t>
            </w:r>
          </w:p>
        </w:tc>
        <w:tc>
          <w:tcPr>
            <w:tcW w:w="371" w:type="pct"/>
            <w:tcMar>
              <w:left w:w="0" w:type="dxa"/>
              <w:right w:w="0" w:type="dxa"/>
            </w:tcMar>
            <w:vAlign w:val="center"/>
          </w:tcPr>
          <w:p w14:paraId="5FD8BD8E">
            <w:pPr>
              <w:pStyle w:val="34"/>
            </w:pPr>
            <w:r>
              <w:rPr>
                <w:rFonts w:hint="eastAsia"/>
              </w:rPr>
              <w:t>0.22</w:t>
            </w:r>
          </w:p>
        </w:tc>
        <w:tc>
          <w:tcPr>
            <w:tcW w:w="941" w:type="pct"/>
            <w:tcMar>
              <w:left w:w="0" w:type="dxa"/>
              <w:right w:w="0" w:type="dxa"/>
            </w:tcMar>
            <w:vAlign w:val="center"/>
          </w:tcPr>
          <w:p w14:paraId="18ECCEC6">
            <w:pPr>
              <w:pStyle w:val="34"/>
            </w:pPr>
            <w:r>
              <w:t>B</w:t>
            </w:r>
            <w:r>
              <w:rPr>
                <w:vertAlign w:val="subscript"/>
              </w:rPr>
              <w:t>i</w:t>
            </w:r>
            <w:r>
              <w:t>≥9倍</w:t>
            </w:r>
          </w:p>
        </w:tc>
        <w:tc>
          <w:tcPr>
            <w:tcW w:w="863" w:type="pct"/>
            <w:tcMar>
              <w:left w:w="0" w:type="dxa"/>
              <w:right w:w="0" w:type="dxa"/>
            </w:tcMar>
            <w:vAlign w:val="center"/>
          </w:tcPr>
          <w:p w14:paraId="4FC541C5">
            <w:pPr>
              <w:pStyle w:val="34"/>
            </w:pPr>
            <w:r>
              <w:t>50</w:t>
            </w:r>
          </w:p>
        </w:tc>
        <w:tc>
          <w:tcPr>
            <w:tcW w:w="391" w:type="pct"/>
            <w:tcMar>
              <w:left w:w="0" w:type="dxa"/>
              <w:right w:w="0" w:type="dxa"/>
            </w:tcMar>
            <w:vAlign w:val="center"/>
          </w:tcPr>
          <w:p w14:paraId="5D78F31D">
            <w:pPr>
              <w:pStyle w:val="34"/>
            </w:pPr>
            <w:r>
              <w:t>50</w:t>
            </w:r>
          </w:p>
        </w:tc>
        <w:tc>
          <w:tcPr>
            <w:tcW w:w="628" w:type="pct"/>
            <w:tcMar>
              <w:left w:w="0" w:type="dxa"/>
              <w:right w:w="0" w:type="dxa"/>
            </w:tcMar>
            <w:vAlign w:val="center"/>
          </w:tcPr>
          <w:p w14:paraId="0413837E">
            <w:pPr>
              <w:pStyle w:val="34"/>
            </w:pPr>
            <w:r>
              <w:t>50</w:t>
            </w:r>
          </w:p>
        </w:tc>
        <w:tc>
          <w:tcPr>
            <w:tcW w:w="617" w:type="pct"/>
            <w:tcMar>
              <w:left w:w="0" w:type="dxa"/>
              <w:right w:w="0" w:type="dxa"/>
            </w:tcMar>
            <w:vAlign w:val="center"/>
          </w:tcPr>
          <w:p w14:paraId="7BA83816">
            <w:pPr>
              <w:pStyle w:val="34"/>
            </w:pPr>
            <w:r>
              <w:t>50</w:t>
            </w:r>
          </w:p>
        </w:tc>
      </w:tr>
    </w:tbl>
    <w:p w14:paraId="68BFE5D9">
      <w:pPr>
        <w:ind w:firstLine="437"/>
      </w:pPr>
      <w:r>
        <w:t>施工期悬浮物扩散对各类生物的损失量计算结果见表。</w:t>
      </w:r>
    </w:p>
    <w:p w14:paraId="24E198F7">
      <w:pPr>
        <w:pStyle w:val="7"/>
      </w:pPr>
      <w:r>
        <w:t>悬浮物扩散区域鱼卵损失量估算</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81"/>
        <w:gridCol w:w="1339"/>
        <w:gridCol w:w="1371"/>
        <w:gridCol w:w="1358"/>
        <w:gridCol w:w="1371"/>
        <w:gridCol w:w="2008"/>
      </w:tblGrid>
      <w:tr w14:paraId="074C93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634" w:type="pct"/>
            <w:vAlign w:val="center"/>
          </w:tcPr>
          <w:p w14:paraId="7DB5FB1E">
            <w:pPr>
              <w:pStyle w:val="34"/>
            </w:pPr>
            <w:r>
              <w:rPr>
                <w:rFonts w:hint="eastAsia"/>
              </w:rPr>
              <w:t>生物</w:t>
            </w:r>
          </w:p>
          <w:p w14:paraId="496FA15D">
            <w:pPr>
              <w:pStyle w:val="34"/>
            </w:pPr>
            <w:r>
              <w:rPr>
                <w:rFonts w:hint="eastAsia"/>
              </w:rPr>
              <w:t>类型</w:t>
            </w:r>
          </w:p>
        </w:tc>
        <w:tc>
          <w:tcPr>
            <w:tcW w:w="785" w:type="pct"/>
            <w:vAlign w:val="center"/>
          </w:tcPr>
          <w:p w14:paraId="5A8E432D">
            <w:pPr>
              <w:pStyle w:val="34"/>
            </w:pPr>
            <w:r>
              <w:rPr>
                <w:rFonts w:hint="eastAsia"/>
              </w:rPr>
              <w:t>单位密度</w:t>
            </w:r>
            <w:r>
              <w:rPr>
                <w:i/>
              </w:rPr>
              <w:t>D</w:t>
            </w:r>
            <w:r>
              <w:rPr>
                <w:vertAlign w:val="subscript"/>
              </w:rPr>
              <w:t>ij</w:t>
            </w:r>
          </w:p>
        </w:tc>
        <w:tc>
          <w:tcPr>
            <w:tcW w:w="804" w:type="pct"/>
            <w:vAlign w:val="center"/>
          </w:tcPr>
          <w:p w14:paraId="1EB3FFC0">
            <w:pPr>
              <w:pStyle w:val="34"/>
            </w:pPr>
            <w:r>
              <w:rPr>
                <w:rFonts w:hint="eastAsia"/>
              </w:rPr>
              <w:t>影响面积</w:t>
            </w:r>
            <w:r>
              <w:rPr>
                <w:i/>
              </w:rPr>
              <w:t>S</w:t>
            </w:r>
            <w:r>
              <w:rPr>
                <w:vertAlign w:val="subscript"/>
              </w:rPr>
              <w:t>i</w:t>
            </w:r>
          </w:p>
          <w:p w14:paraId="7A671986">
            <w:pPr>
              <w:pStyle w:val="34"/>
            </w:pPr>
            <w:r>
              <w:rPr>
                <w:rFonts w:hint="eastAsia"/>
              </w:rPr>
              <w:t>（</w:t>
            </w:r>
            <w:r>
              <w:t>km</w:t>
            </w:r>
            <w:r>
              <w:rPr>
                <w:vertAlign w:val="superscript"/>
              </w:rPr>
              <w:t>2</w:t>
            </w:r>
            <w:r>
              <w:rPr>
                <w:rFonts w:hint="eastAsia"/>
              </w:rPr>
              <w:t>）</w:t>
            </w:r>
          </w:p>
        </w:tc>
        <w:tc>
          <w:tcPr>
            <w:tcW w:w="796" w:type="pct"/>
            <w:vAlign w:val="center"/>
          </w:tcPr>
          <w:p w14:paraId="604B3365">
            <w:pPr>
              <w:pStyle w:val="34"/>
            </w:pPr>
            <w:r>
              <w:rPr>
                <w:rFonts w:hint="eastAsia"/>
              </w:rPr>
              <w:t>水深</w:t>
            </w:r>
            <w:r>
              <w:rPr>
                <w:i/>
              </w:rPr>
              <w:t>H</w:t>
            </w:r>
          </w:p>
          <w:p w14:paraId="3FFFA480">
            <w:pPr>
              <w:pStyle w:val="34"/>
            </w:pPr>
            <w:r>
              <w:rPr>
                <w:rFonts w:hint="eastAsia"/>
              </w:rPr>
              <w:t>（</w:t>
            </w:r>
            <w:r>
              <w:t>m</w:t>
            </w:r>
            <w:r>
              <w:rPr>
                <w:rFonts w:hint="eastAsia"/>
              </w:rPr>
              <w:t>）</w:t>
            </w:r>
          </w:p>
        </w:tc>
        <w:tc>
          <w:tcPr>
            <w:tcW w:w="804" w:type="pct"/>
            <w:vAlign w:val="center"/>
          </w:tcPr>
          <w:p w14:paraId="4D56912D">
            <w:pPr>
              <w:pStyle w:val="34"/>
            </w:pPr>
            <w:r>
              <w:rPr>
                <w:i/>
              </w:rPr>
              <w:t>K</w:t>
            </w:r>
            <w:r>
              <w:rPr>
                <w:i/>
                <w:vertAlign w:val="subscript"/>
              </w:rPr>
              <w:t>ij</w:t>
            </w:r>
            <w:r>
              <w:rPr>
                <w:rFonts w:hint="eastAsia"/>
              </w:rPr>
              <w:t>损失率</w:t>
            </w:r>
          </w:p>
          <w:p w14:paraId="0D0C3A8D">
            <w:pPr>
              <w:pStyle w:val="34"/>
            </w:pPr>
            <w:r>
              <w:rPr>
                <w:rFonts w:hint="eastAsia"/>
              </w:rPr>
              <w:t>（</w:t>
            </w:r>
            <w:r>
              <w:t>%</w:t>
            </w:r>
            <w:r>
              <w:rPr>
                <w:rFonts w:hint="eastAsia"/>
              </w:rPr>
              <w:t>）</w:t>
            </w:r>
          </w:p>
        </w:tc>
        <w:tc>
          <w:tcPr>
            <w:tcW w:w="1177" w:type="pct"/>
            <w:vAlign w:val="center"/>
          </w:tcPr>
          <w:p w14:paraId="292EE67A">
            <w:pPr>
              <w:pStyle w:val="34"/>
            </w:pPr>
            <w:r>
              <w:rPr>
                <w:rFonts w:hint="eastAsia"/>
              </w:rPr>
              <w:t>直接损失量（</w:t>
            </w:r>
            <w:r>
              <w:t>×10</w:t>
            </w:r>
            <w:r>
              <w:rPr>
                <w:vertAlign w:val="superscript"/>
              </w:rPr>
              <w:t>6</w:t>
            </w:r>
            <w:r>
              <w:rPr>
                <w:rFonts w:hint="eastAsia"/>
              </w:rPr>
              <w:t>粒）</w:t>
            </w:r>
          </w:p>
        </w:tc>
      </w:tr>
      <w:tr w14:paraId="02C7A9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34" w:type="pct"/>
            <w:vMerge w:val="restart"/>
            <w:noWrap/>
            <w:vAlign w:val="center"/>
          </w:tcPr>
          <w:p w14:paraId="1FB398BF">
            <w:pPr>
              <w:pStyle w:val="34"/>
            </w:pPr>
            <w:r>
              <w:rPr>
                <w:rFonts w:hint="eastAsia"/>
              </w:rPr>
              <w:t>鱼卵</w:t>
            </w:r>
          </w:p>
        </w:tc>
        <w:tc>
          <w:tcPr>
            <w:tcW w:w="785" w:type="pct"/>
            <w:vMerge w:val="restart"/>
            <w:noWrap/>
            <w:vAlign w:val="center"/>
          </w:tcPr>
          <w:p w14:paraId="47F7A47D">
            <w:pPr>
              <w:pStyle w:val="34"/>
            </w:pPr>
            <w:r>
              <w:rPr>
                <w:rFonts w:hint="eastAsia"/>
              </w:rPr>
              <w:t>12.96粒</w:t>
            </w:r>
            <w:r>
              <w:t>/m</w:t>
            </w:r>
            <w:r>
              <w:rPr>
                <w:vertAlign w:val="superscript"/>
              </w:rPr>
              <w:t>3</w:t>
            </w:r>
          </w:p>
        </w:tc>
        <w:tc>
          <w:tcPr>
            <w:tcW w:w="804" w:type="pct"/>
            <w:vAlign w:val="center"/>
          </w:tcPr>
          <w:p w14:paraId="026E25BB">
            <w:pPr>
              <w:pStyle w:val="34"/>
            </w:pPr>
            <w:r>
              <w:rPr>
                <w:rFonts w:hint="eastAsia"/>
              </w:rPr>
              <w:t>1.81</w:t>
            </w:r>
          </w:p>
        </w:tc>
        <w:tc>
          <w:tcPr>
            <w:tcW w:w="796" w:type="pct"/>
            <w:vAlign w:val="center"/>
          </w:tcPr>
          <w:p w14:paraId="56AA3400">
            <w:pPr>
              <w:pStyle w:val="34"/>
            </w:pPr>
            <w:r>
              <w:rPr>
                <w:rFonts w:hint="eastAsia"/>
              </w:rPr>
              <w:t>3.5</w:t>
            </w:r>
          </w:p>
        </w:tc>
        <w:tc>
          <w:tcPr>
            <w:tcW w:w="804" w:type="pct"/>
            <w:vAlign w:val="center"/>
          </w:tcPr>
          <w:p w14:paraId="5A99BF44">
            <w:pPr>
              <w:pStyle w:val="34"/>
            </w:pPr>
            <w:r>
              <w:t>5</w:t>
            </w:r>
          </w:p>
        </w:tc>
        <w:tc>
          <w:tcPr>
            <w:tcW w:w="1177" w:type="pct"/>
            <w:vAlign w:val="bottom"/>
          </w:tcPr>
          <w:p w14:paraId="574B6752">
            <w:pPr>
              <w:pStyle w:val="34"/>
            </w:pPr>
            <w:r>
              <w:rPr>
                <w:rFonts w:hint="eastAsia"/>
              </w:rPr>
              <w:t>4.11</w:t>
            </w:r>
          </w:p>
        </w:tc>
      </w:tr>
      <w:tr w14:paraId="6FFEB5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Merge w:val="continue"/>
            <w:vAlign w:val="center"/>
          </w:tcPr>
          <w:p w14:paraId="40CDD916">
            <w:pPr>
              <w:pStyle w:val="34"/>
            </w:pPr>
          </w:p>
        </w:tc>
        <w:tc>
          <w:tcPr>
            <w:tcW w:w="0" w:type="auto"/>
            <w:vMerge w:val="continue"/>
            <w:vAlign w:val="center"/>
          </w:tcPr>
          <w:p w14:paraId="340DF67D">
            <w:pPr>
              <w:pStyle w:val="34"/>
            </w:pPr>
          </w:p>
        </w:tc>
        <w:tc>
          <w:tcPr>
            <w:tcW w:w="804" w:type="pct"/>
            <w:vAlign w:val="center"/>
          </w:tcPr>
          <w:p w14:paraId="16B5ED8F">
            <w:pPr>
              <w:pStyle w:val="34"/>
            </w:pPr>
            <w:r>
              <w:rPr>
                <w:rFonts w:hint="eastAsia"/>
              </w:rPr>
              <w:t>0.31</w:t>
            </w:r>
          </w:p>
        </w:tc>
        <w:tc>
          <w:tcPr>
            <w:tcW w:w="796" w:type="pct"/>
          </w:tcPr>
          <w:p w14:paraId="5C6739C0">
            <w:pPr>
              <w:pStyle w:val="34"/>
            </w:pPr>
            <w:r>
              <w:rPr>
                <w:rFonts w:hint="eastAsia"/>
              </w:rPr>
              <w:t>3.5</w:t>
            </w:r>
          </w:p>
        </w:tc>
        <w:tc>
          <w:tcPr>
            <w:tcW w:w="804" w:type="pct"/>
            <w:vAlign w:val="center"/>
          </w:tcPr>
          <w:p w14:paraId="7F1F5A6E">
            <w:pPr>
              <w:pStyle w:val="34"/>
            </w:pPr>
            <w:r>
              <w:t>20</w:t>
            </w:r>
          </w:p>
        </w:tc>
        <w:tc>
          <w:tcPr>
            <w:tcW w:w="1177" w:type="pct"/>
            <w:vAlign w:val="bottom"/>
          </w:tcPr>
          <w:p w14:paraId="70DD2C70">
            <w:pPr>
              <w:pStyle w:val="34"/>
            </w:pPr>
            <w:r>
              <w:rPr>
                <w:rFonts w:hint="eastAsia"/>
              </w:rPr>
              <w:t>2.81</w:t>
            </w:r>
          </w:p>
        </w:tc>
      </w:tr>
      <w:tr w14:paraId="3DD49A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Merge w:val="continue"/>
            <w:vAlign w:val="center"/>
          </w:tcPr>
          <w:p w14:paraId="19954A71">
            <w:pPr>
              <w:pStyle w:val="34"/>
            </w:pPr>
          </w:p>
        </w:tc>
        <w:tc>
          <w:tcPr>
            <w:tcW w:w="0" w:type="auto"/>
            <w:vMerge w:val="continue"/>
            <w:vAlign w:val="center"/>
          </w:tcPr>
          <w:p w14:paraId="0F559DB5">
            <w:pPr>
              <w:pStyle w:val="34"/>
            </w:pPr>
          </w:p>
        </w:tc>
        <w:tc>
          <w:tcPr>
            <w:tcW w:w="804" w:type="pct"/>
            <w:vAlign w:val="center"/>
          </w:tcPr>
          <w:p w14:paraId="628FD542">
            <w:pPr>
              <w:pStyle w:val="34"/>
            </w:pPr>
            <w:r>
              <w:rPr>
                <w:rFonts w:hint="eastAsia"/>
              </w:rPr>
              <w:t>0.61</w:t>
            </w:r>
          </w:p>
        </w:tc>
        <w:tc>
          <w:tcPr>
            <w:tcW w:w="796" w:type="pct"/>
          </w:tcPr>
          <w:p w14:paraId="42F54122">
            <w:pPr>
              <w:pStyle w:val="34"/>
            </w:pPr>
            <w:r>
              <w:rPr>
                <w:rFonts w:hint="eastAsia"/>
              </w:rPr>
              <w:t>3.5</w:t>
            </w:r>
          </w:p>
        </w:tc>
        <w:tc>
          <w:tcPr>
            <w:tcW w:w="804" w:type="pct"/>
            <w:vAlign w:val="center"/>
          </w:tcPr>
          <w:p w14:paraId="55D08E5E">
            <w:pPr>
              <w:pStyle w:val="34"/>
            </w:pPr>
            <w:r>
              <w:t>40</w:t>
            </w:r>
          </w:p>
        </w:tc>
        <w:tc>
          <w:tcPr>
            <w:tcW w:w="1177" w:type="pct"/>
            <w:vAlign w:val="bottom"/>
          </w:tcPr>
          <w:p w14:paraId="3CF27DE5">
            <w:pPr>
              <w:pStyle w:val="34"/>
            </w:pPr>
            <w:r>
              <w:rPr>
                <w:rFonts w:hint="eastAsia"/>
              </w:rPr>
              <w:t>11.07</w:t>
            </w:r>
          </w:p>
        </w:tc>
      </w:tr>
      <w:tr w14:paraId="54628E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Merge w:val="continue"/>
            <w:vAlign w:val="center"/>
          </w:tcPr>
          <w:p w14:paraId="2039DD54">
            <w:pPr>
              <w:pStyle w:val="34"/>
            </w:pPr>
          </w:p>
        </w:tc>
        <w:tc>
          <w:tcPr>
            <w:tcW w:w="0" w:type="auto"/>
            <w:vMerge w:val="continue"/>
            <w:vAlign w:val="center"/>
          </w:tcPr>
          <w:p w14:paraId="66ECABA4">
            <w:pPr>
              <w:pStyle w:val="34"/>
            </w:pPr>
          </w:p>
        </w:tc>
        <w:tc>
          <w:tcPr>
            <w:tcW w:w="804" w:type="pct"/>
            <w:vAlign w:val="center"/>
          </w:tcPr>
          <w:p w14:paraId="2081A166">
            <w:pPr>
              <w:pStyle w:val="34"/>
            </w:pPr>
            <w:r>
              <w:rPr>
                <w:rFonts w:hint="eastAsia"/>
              </w:rPr>
              <w:t>0.22</w:t>
            </w:r>
          </w:p>
        </w:tc>
        <w:tc>
          <w:tcPr>
            <w:tcW w:w="796" w:type="pct"/>
          </w:tcPr>
          <w:p w14:paraId="28199255">
            <w:pPr>
              <w:pStyle w:val="34"/>
            </w:pPr>
            <w:r>
              <w:rPr>
                <w:rFonts w:hint="eastAsia"/>
              </w:rPr>
              <w:t>3.5</w:t>
            </w:r>
          </w:p>
        </w:tc>
        <w:tc>
          <w:tcPr>
            <w:tcW w:w="804" w:type="pct"/>
            <w:vAlign w:val="center"/>
          </w:tcPr>
          <w:p w14:paraId="780F9D45">
            <w:pPr>
              <w:pStyle w:val="34"/>
            </w:pPr>
            <w:r>
              <w:t>50</w:t>
            </w:r>
          </w:p>
        </w:tc>
        <w:tc>
          <w:tcPr>
            <w:tcW w:w="1177" w:type="pct"/>
            <w:vAlign w:val="bottom"/>
          </w:tcPr>
          <w:p w14:paraId="0A114A78">
            <w:pPr>
              <w:pStyle w:val="34"/>
            </w:pPr>
            <w:r>
              <w:rPr>
                <w:rFonts w:hint="eastAsia"/>
              </w:rPr>
              <w:t>4.99</w:t>
            </w:r>
          </w:p>
        </w:tc>
      </w:tr>
      <w:tr w14:paraId="19CCB3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34" w:type="pct"/>
            <w:vAlign w:val="center"/>
          </w:tcPr>
          <w:p w14:paraId="63FCB5DD">
            <w:pPr>
              <w:pStyle w:val="34"/>
            </w:pPr>
            <w:r>
              <w:rPr>
                <w:rFonts w:hint="eastAsia"/>
              </w:rPr>
              <w:t>小计</w:t>
            </w:r>
          </w:p>
        </w:tc>
        <w:tc>
          <w:tcPr>
            <w:tcW w:w="3189" w:type="pct"/>
            <w:gridSpan w:val="4"/>
            <w:vAlign w:val="center"/>
          </w:tcPr>
          <w:p w14:paraId="70D9D9F1">
            <w:pPr>
              <w:pStyle w:val="34"/>
            </w:pPr>
            <w:r>
              <w:t>/</w:t>
            </w:r>
          </w:p>
        </w:tc>
        <w:tc>
          <w:tcPr>
            <w:tcW w:w="1177" w:type="pct"/>
            <w:vAlign w:val="center"/>
          </w:tcPr>
          <w:p w14:paraId="708AD9A6">
            <w:pPr>
              <w:pStyle w:val="34"/>
            </w:pPr>
            <w:r>
              <w:rPr>
                <w:rFonts w:hint="eastAsia"/>
              </w:rPr>
              <w:t>22.97</w:t>
            </w:r>
          </w:p>
        </w:tc>
      </w:tr>
    </w:tbl>
    <w:p w14:paraId="5D00121C">
      <w:pPr>
        <w:pStyle w:val="7"/>
      </w:pPr>
      <w:r>
        <w:rPr>
          <w:rFonts w:hint="eastAsia"/>
        </w:rPr>
        <w:t>悬浮物扩散区域仔鱼损失量估算</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21"/>
        <w:gridCol w:w="1603"/>
        <w:gridCol w:w="1697"/>
        <w:gridCol w:w="1196"/>
        <w:gridCol w:w="1196"/>
        <w:gridCol w:w="1515"/>
      </w:tblGrid>
      <w:tr w14:paraId="7F7CBB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5" w:type="pct"/>
            <w:noWrap/>
            <w:vAlign w:val="center"/>
          </w:tcPr>
          <w:p w14:paraId="66C3AD50">
            <w:pPr>
              <w:pStyle w:val="34"/>
            </w:pPr>
            <w:r>
              <w:rPr>
                <w:rFonts w:hint="eastAsia"/>
              </w:rPr>
              <w:t>生物类型</w:t>
            </w:r>
          </w:p>
        </w:tc>
        <w:tc>
          <w:tcPr>
            <w:tcW w:w="940" w:type="pct"/>
            <w:noWrap/>
            <w:vAlign w:val="center"/>
          </w:tcPr>
          <w:p w14:paraId="7BDCBA8A">
            <w:pPr>
              <w:pStyle w:val="34"/>
            </w:pPr>
            <w:r>
              <w:rPr>
                <w:rFonts w:hint="eastAsia"/>
              </w:rPr>
              <w:t>单位密度</w:t>
            </w:r>
            <w:r>
              <w:rPr>
                <w:i/>
              </w:rPr>
              <w:t>D</w:t>
            </w:r>
            <w:r>
              <w:rPr>
                <w:i/>
                <w:vertAlign w:val="subscript"/>
              </w:rPr>
              <w:t>ij</w:t>
            </w:r>
          </w:p>
        </w:tc>
        <w:tc>
          <w:tcPr>
            <w:tcW w:w="995" w:type="pct"/>
            <w:vAlign w:val="center"/>
          </w:tcPr>
          <w:p w14:paraId="5DED3039">
            <w:pPr>
              <w:pStyle w:val="34"/>
            </w:pPr>
            <w:r>
              <w:rPr>
                <w:rFonts w:hint="eastAsia"/>
              </w:rPr>
              <w:t>影响面积</w:t>
            </w:r>
            <w:r>
              <w:rPr>
                <w:i/>
              </w:rPr>
              <w:t>S</w:t>
            </w:r>
            <w:r>
              <w:rPr>
                <w:i/>
                <w:vertAlign w:val="subscript"/>
              </w:rPr>
              <w:t>i</w:t>
            </w:r>
          </w:p>
          <w:p w14:paraId="6F5FF0B7">
            <w:pPr>
              <w:pStyle w:val="34"/>
            </w:pPr>
            <w:r>
              <w:rPr>
                <w:rFonts w:hint="eastAsia"/>
              </w:rPr>
              <w:t>（</w:t>
            </w:r>
            <w:r>
              <w:t>km</w:t>
            </w:r>
            <w:r>
              <w:rPr>
                <w:vertAlign w:val="superscript"/>
              </w:rPr>
              <w:t>2</w:t>
            </w:r>
            <w:r>
              <w:rPr>
                <w:rFonts w:hint="eastAsia"/>
              </w:rPr>
              <w:t>）</w:t>
            </w:r>
          </w:p>
        </w:tc>
        <w:tc>
          <w:tcPr>
            <w:tcW w:w="701" w:type="pct"/>
            <w:vAlign w:val="center"/>
          </w:tcPr>
          <w:p w14:paraId="4EA29FE7">
            <w:pPr>
              <w:pStyle w:val="34"/>
            </w:pPr>
            <w:r>
              <w:rPr>
                <w:rFonts w:hint="eastAsia"/>
              </w:rPr>
              <w:t>水深</w:t>
            </w:r>
            <w:r>
              <w:t>H</w:t>
            </w:r>
          </w:p>
          <w:p w14:paraId="4FDD51D6">
            <w:pPr>
              <w:pStyle w:val="34"/>
            </w:pPr>
            <w:r>
              <w:rPr>
                <w:rFonts w:hint="eastAsia"/>
              </w:rPr>
              <w:t>（</w:t>
            </w:r>
            <w:r>
              <w:t>m</w:t>
            </w:r>
            <w:r>
              <w:rPr>
                <w:rFonts w:hint="eastAsia"/>
              </w:rPr>
              <w:t>）</w:t>
            </w:r>
          </w:p>
        </w:tc>
        <w:tc>
          <w:tcPr>
            <w:tcW w:w="701" w:type="pct"/>
            <w:vAlign w:val="center"/>
          </w:tcPr>
          <w:p w14:paraId="78994E50">
            <w:pPr>
              <w:pStyle w:val="34"/>
            </w:pPr>
            <w:r>
              <w:rPr>
                <w:i/>
              </w:rPr>
              <w:t>K</w:t>
            </w:r>
            <w:r>
              <w:rPr>
                <w:i/>
                <w:vertAlign w:val="subscript"/>
              </w:rPr>
              <w:t>ij</w:t>
            </w:r>
            <w:r>
              <w:rPr>
                <w:rFonts w:hint="eastAsia"/>
              </w:rPr>
              <w:t>损失率</w:t>
            </w:r>
          </w:p>
          <w:p w14:paraId="2C5E4F85">
            <w:pPr>
              <w:pStyle w:val="34"/>
            </w:pPr>
            <w:r>
              <w:rPr>
                <w:rFonts w:hint="eastAsia"/>
              </w:rPr>
              <w:t>（</w:t>
            </w:r>
            <w:r>
              <w:t>%</w:t>
            </w:r>
            <w:r>
              <w:rPr>
                <w:rFonts w:hint="eastAsia"/>
              </w:rPr>
              <w:t>）</w:t>
            </w:r>
          </w:p>
        </w:tc>
        <w:tc>
          <w:tcPr>
            <w:tcW w:w="888" w:type="pct"/>
            <w:vAlign w:val="center"/>
          </w:tcPr>
          <w:p w14:paraId="391D6FEB">
            <w:pPr>
              <w:pStyle w:val="34"/>
            </w:pPr>
            <w:r>
              <w:rPr>
                <w:rFonts w:hint="eastAsia"/>
              </w:rPr>
              <w:t>直接损失量</w:t>
            </w:r>
          </w:p>
          <w:p w14:paraId="395B529A">
            <w:pPr>
              <w:pStyle w:val="34"/>
            </w:pPr>
            <w:r>
              <w:rPr>
                <w:rFonts w:hint="eastAsia"/>
              </w:rPr>
              <w:t>（</w:t>
            </w:r>
            <w:r>
              <w:t>×10</w:t>
            </w:r>
            <w:r>
              <w:rPr>
                <w:vertAlign w:val="superscript"/>
              </w:rPr>
              <w:t>6</w:t>
            </w:r>
            <w:r>
              <w:rPr>
                <w:rFonts w:hint="eastAsia"/>
              </w:rPr>
              <w:t>尾）</w:t>
            </w:r>
          </w:p>
        </w:tc>
      </w:tr>
      <w:tr w14:paraId="3B4B15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5" w:type="pct"/>
            <w:vMerge w:val="restart"/>
            <w:noWrap/>
            <w:vAlign w:val="center"/>
          </w:tcPr>
          <w:p w14:paraId="6F38E4F7">
            <w:pPr>
              <w:pStyle w:val="34"/>
            </w:pPr>
            <w:r>
              <w:rPr>
                <w:rFonts w:hint="eastAsia"/>
              </w:rPr>
              <w:t>仔鱼</w:t>
            </w:r>
          </w:p>
        </w:tc>
        <w:tc>
          <w:tcPr>
            <w:tcW w:w="940" w:type="pct"/>
            <w:vMerge w:val="restart"/>
            <w:noWrap/>
            <w:vAlign w:val="center"/>
          </w:tcPr>
          <w:p w14:paraId="74B4C127">
            <w:pPr>
              <w:pStyle w:val="34"/>
            </w:pPr>
            <w:r>
              <w:rPr>
                <w:rFonts w:hint="eastAsia"/>
              </w:rPr>
              <w:t>1.22尾</w:t>
            </w:r>
            <w:r>
              <w:t>/m</w:t>
            </w:r>
            <w:r>
              <w:rPr>
                <w:vertAlign w:val="superscript"/>
              </w:rPr>
              <w:t>3</w:t>
            </w:r>
          </w:p>
        </w:tc>
        <w:tc>
          <w:tcPr>
            <w:tcW w:w="995" w:type="pct"/>
            <w:vAlign w:val="center"/>
          </w:tcPr>
          <w:p w14:paraId="5562E4E3">
            <w:pPr>
              <w:pStyle w:val="34"/>
            </w:pPr>
            <w:r>
              <w:rPr>
                <w:rFonts w:hint="eastAsia"/>
              </w:rPr>
              <w:t>1.81</w:t>
            </w:r>
          </w:p>
        </w:tc>
        <w:tc>
          <w:tcPr>
            <w:tcW w:w="701" w:type="pct"/>
            <w:vAlign w:val="center"/>
          </w:tcPr>
          <w:p w14:paraId="4DF3ABB6">
            <w:pPr>
              <w:pStyle w:val="34"/>
            </w:pPr>
            <w:r>
              <w:rPr>
                <w:rFonts w:hint="eastAsia"/>
              </w:rPr>
              <w:t>3.5</w:t>
            </w:r>
          </w:p>
        </w:tc>
        <w:tc>
          <w:tcPr>
            <w:tcW w:w="701" w:type="pct"/>
            <w:vAlign w:val="center"/>
          </w:tcPr>
          <w:p w14:paraId="180F3764">
            <w:pPr>
              <w:pStyle w:val="34"/>
            </w:pPr>
            <w:r>
              <w:t>5</w:t>
            </w:r>
          </w:p>
        </w:tc>
        <w:tc>
          <w:tcPr>
            <w:tcW w:w="888" w:type="pct"/>
            <w:vAlign w:val="bottom"/>
          </w:tcPr>
          <w:p w14:paraId="1ACCBBBE">
            <w:pPr>
              <w:pStyle w:val="34"/>
            </w:pPr>
            <w:r>
              <w:rPr>
                <w:rFonts w:hint="eastAsia"/>
              </w:rPr>
              <w:t>0.39</w:t>
            </w:r>
          </w:p>
        </w:tc>
      </w:tr>
      <w:tr w14:paraId="4E80DE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0" w:type="auto"/>
            <w:vMerge w:val="continue"/>
            <w:vAlign w:val="center"/>
          </w:tcPr>
          <w:p w14:paraId="4A7C39E8">
            <w:pPr>
              <w:pStyle w:val="34"/>
            </w:pPr>
          </w:p>
        </w:tc>
        <w:tc>
          <w:tcPr>
            <w:tcW w:w="0" w:type="auto"/>
            <w:vMerge w:val="continue"/>
            <w:vAlign w:val="center"/>
          </w:tcPr>
          <w:p w14:paraId="1AC64F74">
            <w:pPr>
              <w:pStyle w:val="34"/>
            </w:pPr>
          </w:p>
        </w:tc>
        <w:tc>
          <w:tcPr>
            <w:tcW w:w="995" w:type="pct"/>
            <w:vAlign w:val="center"/>
          </w:tcPr>
          <w:p w14:paraId="44E2C445">
            <w:pPr>
              <w:pStyle w:val="34"/>
            </w:pPr>
            <w:r>
              <w:rPr>
                <w:rFonts w:hint="eastAsia"/>
              </w:rPr>
              <w:t>0.31</w:t>
            </w:r>
          </w:p>
        </w:tc>
        <w:tc>
          <w:tcPr>
            <w:tcW w:w="701" w:type="pct"/>
          </w:tcPr>
          <w:p w14:paraId="4A906E92">
            <w:pPr>
              <w:pStyle w:val="34"/>
            </w:pPr>
            <w:r>
              <w:rPr>
                <w:rFonts w:hint="eastAsia"/>
              </w:rPr>
              <w:t>3.5</w:t>
            </w:r>
          </w:p>
        </w:tc>
        <w:tc>
          <w:tcPr>
            <w:tcW w:w="701" w:type="pct"/>
            <w:vAlign w:val="center"/>
          </w:tcPr>
          <w:p w14:paraId="21EEB946">
            <w:pPr>
              <w:pStyle w:val="34"/>
            </w:pPr>
            <w:r>
              <w:t>20</w:t>
            </w:r>
          </w:p>
        </w:tc>
        <w:tc>
          <w:tcPr>
            <w:tcW w:w="888" w:type="pct"/>
            <w:vAlign w:val="bottom"/>
          </w:tcPr>
          <w:p w14:paraId="5E466AED">
            <w:pPr>
              <w:pStyle w:val="34"/>
            </w:pPr>
            <w:r>
              <w:rPr>
                <w:rFonts w:hint="eastAsia"/>
              </w:rPr>
              <w:t>0.26</w:t>
            </w:r>
          </w:p>
        </w:tc>
      </w:tr>
      <w:tr w14:paraId="0444BF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0" w:type="auto"/>
            <w:vMerge w:val="continue"/>
            <w:vAlign w:val="center"/>
          </w:tcPr>
          <w:p w14:paraId="40DC8EB4">
            <w:pPr>
              <w:pStyle w:val="34"/>
            </w:pPr>
          </w:p>
        </w:tc>
        <w:tc>
          <w:tcPr>
            <w:tcW w:w="0" w:type="auto"/>
            <w:vMerge w:val="continue"/>
            <w:vAlign w:val="center"/>
          </w:tcPr>
          <w:p w14:paraId="685B76B7">
            <w:pPr>
              <w:pStyle w:val="34"/>
            </w:pPr>
          </w:p>
        </w:tc>
        <w:tc>
          <w:tcPr>
            <w:tcW w:w="995" w:type="pct"/>
            <w:vAlign w:val="center"/>
          </w:tcPr>
          <w:p w14:paraId="17E636D4">
            <w:pPr>
              <w:pStyle w:val="34"/>
            </w:pPr>
            <w:r>
              <w:rPr>
                <w:rFonts w:hint="eastAsia"/>
              </w:rPr>
              <w:t>0.61</w:t>
            </w:r>
          </w:p>
        </w:tc>
        <w:tc>
          <w:tcPr>
            <w:tcW w:w="701" w:type="pct"/>
          </w:tcPr>
          <w:p w14:paraId="75D22F84">
            <w:pPr>
              <w:pStyle w:val="34"/>
            </w:pPr>
            <w:r>
              <w:rPr>
                <w:rFonts w:hint="eastAsia"/>
              </w:rPr>
              <w:t>3.5</w:t>
            </w:r>
          </w:p>
        </w:tc>
        <w:tc>
          <w:tcPr>
            <w:tcW w:w="701" w:type="pct"/>
            <w:vAlign w:val="center"/>
          </w:tcPr>
          <w:p w14:paraId="1B75C641">
            <w:pPr>
              <w:pStyle w:val="34"/>
            </w:pPr>
            <w:r>
              <w:t>40</w:t>
            </w:r>
          </w:p>
        </w:tc>
        <w:tc>
          <w:tcPr>
            <w:tcW w:w="888" w:type="pct"/>
            <w:vAlign w:val="bottom"/>
          </w:tcPr>
          <w:p w14:paraId="1043634A">
            <w:pPr>
              <w:pStyle w:val="34"/>
            </w:pPr>
            <w:r>
              <w:rPr>
                <w:rFonts w:hint="eastAsia"/>
              </w:rPr>
              <w:t>1.04</w:t>
            </w:r>
          </w:p>
        </w:tc>
      </w:tr>
      <w:tr w14:paraId="30428E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0" w:type="auto"/>
            <w:vMerge w:val="continue"/>
            <w:vAlign w:val="center"/>
          </w:tcPr>
          <w:p w14:paraId="5C7E5ACF">
            <w:pPr>
              <w:pStyle w:val="34"/>
            </w:pPr>
          </w:p>
        </w:tc>
        <w:tc>
          <w:tcPr>
            <w:tcW w:w="0" w:type="auto"/>
            <w:vMerge w:val="continue"/>
            <w:vAlign w:val="center"/>
          </w:tcPr>
          <w:p w14:paraId="766E9A67">
            <w:pPr>
              <w:pStyle w:val="34"/>
            </w:pPr>
          </w:p>
        </w:tc>
        <w:tc>
          <w:tcPr>
            <w:tcW w:w="995" w:type="pct"/>
            <w:vAlign w:val="center"/>
          </w:tcPr>
          <w:p w14:paraId="0C264E24">
            <w:pPr>
              <w:pStyle w:val="34"/>
            </w:pPr>
            <w:r>
              <w:rPr>
                <w:rFonts w:hint="eastAsia"/>
              </w:rPr>
              <w:t>0.22</w:t>
            </w:r>
          </w:p>
        </w:tc>
        <w:tc>
          <w:tcPr>
            <w:tcW w:w="701" w:type="pct"/>
          </w:tcPr>
          <w:p w14:paraId="34908422">
            <w:pPr>
              <w:pStyle w:val="34"/>
            </w:pPr>
            <w:r>
              <w:rPr>
                <w:rFonts w:hint="eastAsia"/>
              </w:rPr>
              <w:t>3.5</w:t>
            </w:r>
          </w:p>
        </w:tc>
        <w:tc>
          <w:tcPr>
            <w:tcW w:w="701" w:type="pct"/>
            <w:vAlign w:val="center"/>
          </w:tcPr>
          <w:p w14:paraId="2729EA04">
            <w:pPr>
              <w:pStyle w:val="34"/>
            </w:pPr>
            <w:r>
              <w:t>50</w:t>
            </w:r>
          </w:p>
        </w:tc>
        <w:tc>
          <w:tcPr>
            <w:tcW w:w="888" w:type="pct"/>
            <w:vAlign w:val="bottom"/>
          </w:tcPr>
          <w:p w14:paraId="0E0350E1">
            <w:pPr>
              <w:pStyle w:val="34"/>
            </w:pPr>
            <w:r>
              <w:rPr>
                <w:rFonts w:hint="eastAsia"/>
              </w:rPr>
              <w:t>0.47</w:t>
            </w:r>
          </w:p>
        </w:tc>
      </w:tr>
      <w:tr w14:paraId="32899A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5" w:type="pct"/>
            <w:vAlign w:val="center"/>
          </w:tcPr>
          <w:p w14:paraId="046BFCE7">
            <w:pPr>
              <w:pStyle w:val="34"/>
            </w:pPr>
            <w:r>
              <w:rPr>
                <w:rFonts w:hint="eastAsia"/>
              </w:rPr>
              <w:t>小计</w:t>
            </w:r>
          </w:p>
        </w:tc>
        <w:tc>
          <w:tcPr>
            <w:tcW w:w="3337" w:type="pct"/>
            <w:gridSpan w:val="4"/>
            <w:vAlign w:val="center"/>
          </w:tcPr>
          <w:p w14:paraId="3DD1DB85">
            <w:pPr>
              <w:pStyle w:val="34"/>
            </w:pPr>
            <w:r>
              <w:t>/</w:t>
            </w:r>
          </w:p>
        </w:tc>
        <w:tc>
          <w:tcPr>
            <w:tcW w:w="888" w:type="pct"/>
            <w:vAlign w:val="center"/>
          </w:tcPr>
          <w:p w14:paraId="36DF6099">
            <w:pPr>
              <w:pStyle w:val="34"/>
            </w:pPr>
            <w:r>
              <w:rPr>
                <w:rFonts w:hint="eastAsia"/>
              </w:rPr>
              <w:t>2.16</w:t>
            </w:r>
          </w:p>
        </w:tc>
      </w:tr>
    </w:tbl>
    <w:p w14:paraId="6408A180">
      <w:pPr>
        <w:pStyle w:val="7"/>
      </w:pPr>
      <w:r>
        <w:t>悬浮物扩散区域游泳生物损失量估算</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24"/>
        <w:gridCol w:w="1803"/>
        <w:gridCol w:w="1472"/>
        <w:gridCol w:w="1470"/>
        <w:gridCol w:w="1006"/>
        <w:gridCol w:w="1653"/>
      </w:tblGrid>
      <w:tr w14:paraId="12388B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659" w:type="pct"/>
            <w:vAlign w:val="center"/>
          </w:tcPr>
          <w:p w14:paraId="3A28A8EE">
            <w:pPr>
              <w:pStyle w:val="34"/>
            </w:pPr>
            <w:r>
              <w:t>生物</w:t>
            </w:r>
          </w:p>
          <w:p w14:paraId="44E58ED9">
            <w:pPr>
              <w:pStyle w:val="34"/>
            </w:pPr>
            <w:r>
              <w:t>类型</w:t>
            </w:r>
          </w:p>
        </w:tc>
        <w:tc>
          <w:tcPr>
            <w:tcW w:w="1057" w:type="pct"/>
            <w:vAlign w:val="center"/>
          </w:tcPr>
          <w:p w14:paraId="35A5F340">
            <w:pPr>
              <w:pStyle w:val="34"/>
              <w:rPr>
                <w:kern w:val="0"/>
                <w:szCs w:val="21"/>
              </w:rPr>
            </w:pPr>
            <w:r>
              <w:rPr>
                <w:kern w:val="0"/>
                <w:szCs w:val="21"/>
              </w:rPr>
              <w:t>单位密度</w:t>
            </w:r>
            <w:r>
              <w:rPr>
                <w:i/>
                <w:kern w:val="0"/>
                <w:szCs w:val="21"/>
              </w:rPr>
              <w:t>D</w:t>
            </w:r>
            <w:r>
              <w:rPr>
                <w:i/>
                <w:kern w:val="0"/>
                <w:szCs w:val="21"/>
                <w:vertAlign w:val="subscript"/>
              </w:rPr>
              <w:t>ij</w:t>
            </w:r>
          </w:p>
        </w:tc>
        <w:tc>
          <w:tcPr>
            <w:tcW w:w="863" w:type="pct"/>
            <w:vAlign w:val="center"/>
          </w:tcPr>
          <w:p w14:paraId="3A719E9D">
            <w:pPr>
              <w:pStyle w:val="34"/>
              <w:rPr>
                <w:kern w:val="0"/>
                <w:szCs w:val="21"/>
                <w:vertAlign w:val="subscript"/>
              </w:rPr>
            </w:pPr>
            <w:r>
              <w:rPr>
                <w:kern w:val="0"/>
                <w:szCs w:val="21"/>
              </w:rPr>
              <w:t>影响面积</w:t>
            </w:r>
            <w:r>
              <w:rPr>
                <w:i/>
                <w:kern w:val="0"/>
                <w:szCs w:val="21"/>
              </w:rPr>
              <w:t>S</w:t>
            </w:r>
            <w:r>
              <w:rPr>
                <w:i/>
                <w:kern w:val="0"/>
                <w:szCs w:val="21"/>
                <w:vertAlign w:val="subscript"/>
              </w:rPr>
              <w:t>i</w:t>
            </w:r>
          </w:p>
          <w:p w14:paraId="33DEC800">
            <w:pPr>
              <w:pStyle w:val="34"/>
              <w:rPr>
                <w:kern w:val="0"/>
                <w:szCs w:val="21"/>
              </w:rPr>
            </w:pPr>
            <w:r>
              <w:rPr>
                <w:kern w:val="0"/>
                <w:szCs w:val="21"/>
              </w:rPr>
              <w:t>（km</w:t>
            </w:r>
            <w:r>
              <w:rPr>
                <w:kern w:val="0"/>
                <w:szCs w:val="21"/>
                <w:vertAlign w:val="superscript"/>
              </w:rPr>
              <w:t>2</w:t>
            </w:r>
            <w:r>
              <w:rPr>
                <w:kern w:val="0"/>
                <w:szCs w:val="21"/>
              </w:rPr>
              <w:t>）</w:t>
            </w:r>
          </w:p>
        </w:tc>
        <w:tc>
          <w:tcPr>
            <w:tcW w:w="862" w:type="pct"/>
            <w:vAlign w:val="center"/>
          </w:tcPr>
          <w:p w14:paraId="04AB6F1C">
            <w:pPr>
              <w:pStyle w:val="34"/>
              <w:rPr>
                <w:kern w:val="0"/>
                <w:szCs w:val="21"/>
              </w:rPr>
            </w:pPr>
            <w:r>
              <w:rPr>
                <w:kern w:val="0"/>
                <w:szCs w:val="21"/>
              </w:rPr>
              <w:t>水深H</w:t>
            </w:r>
          </w:p>
          <w:p w14:paraId="3FD2471C">
            <w:pPr>
              <w:pStyle w:val="34"/>
              <w:rPr>
                <w:kern w:val="0"/>
                <w:szCs w:val="21"/>
              </w:rPr>
            </w:pPr>
            <w:r>
              <w:rPr>
                <w:kern w:val="0"/>
                <w:szCs w:val="21"/>
              </w:rPr>
              <w:t>（m）</w:t>
            </w:r>
          </w:p>
        </w:tc>
        <w:tc>
          <w:tcPr>
            <w:tcW w:w="590" w:type="pct"/>
            <w:vAlign w:val="center"/>
          </w:tcPr>
          <w:p w14:paraId="00FED105">
            <w:pPr>
              <w:pStyle w:val="34"/>
              <w:rPr>
                <w:kern w:val="0"/>
                <w:szCs w:val="21"/>
              </w:rPr>
            </w:pPr>
            <w:r>
              <w:rPr>
                <w:i/>
                <w:kern w:val="0"/>
                <w:szCs w:val="21"/>
              </w:rPr>
              <w:t>K</w:t>
            </w:r>
            <w:r>
              <w:rPr>
                <w:i/>
                <w:kern w:val="0"/>
                <w:szCs w:val="21"/>
                <w:vertAlign w:val="subscript"/>
              </w:rPr>
              <w:t>ij</w:t>
            </w:r>
            <w:r>
              <w:rPr>
                <w:kern w:val="0"/>
                <w:szCs w:val="21"/>
              </w:rPr>
              <w:t>损失率</w:t>
            </w:r>
          </w:p>
          <w:p w14:paraId="4AA56A1C">
            <w:pPr>
              <w:pStyle w:val="34"/>
              <w:rPr>
                <w:kern w:val="0"/>
                <w:szCs w:val="21"/>
              </w:rPr>
            </w:pPr>
            <w:r>
              <w:rPr>
                <w:kern w:val="0"/>
                <w:szCs w:val="21"/>
              </w:rPr>
              <w:t>（%）</w:t>
            </w:r>
          </w:p>
        </w:tc>
        <w:tc>
          <w:tcPr>
            <w:tcW w:w="969" w:type="pct"/>
            <w:vAlign w:val="center"/>
          </w:tcPr>
          <w:p w14:paraId="46E47DFA">
            <w:pPr>
              <w:pStyle w:val="34"/>
              <w:rPr>
                <w:kern w:val="0"/>
                <w:szCs w:val="21"/>
              </w:rPr>
            </w:pPr>
            <w:r>
              <w:rPr>
                <w:kern w:val="0"/>
                <w:szCs w:val="21"/>
              </w:rPr>
              <w:t>直接损失量</w:t>
            </w:r>
          </w:p>
          <w:p w14:paraId="46C1C1E7">
            <w:pPr>
              <w:pStyle w:val="34"/>
              <w:rPr>
                <w:kern w:val="0"/>
                <w:szCs w:val="21"/>
              </w:rPr>
            </w:pPr>
            <w:r>
              <w:rPr>
                <w:kern w:val="0"/>
                <w:szCs w:val="21"/>
              </w:rPr>
              <w:t>（t）</w:t>
            </w:r>
          </w:p>
        </w:tc>
      </w:tr>
      <w:tr w14:paraId="0A0AE7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9" w:type="pct"/>
            <w:vMerge w:val="restart"/>
            <w:vAlign w:val="center"/>
          </w:tcPr>
          <w:p w14:paraId="1E59978A">
            <w:pPr>
              <w:pStyle w:val="34"/>
            </w:pPr>
            <w:r>
              <w:t>游泳</w:t>
            </w:r>
          </w:p>
          <w:p w14:paraId="6E175A34">
            <w:pPr>
              <w:pStyle w:val="34"/>
            </w:pPr>
            <w:r>
              <w:t>生物</w:t>
            </w:r>
          </w:p>
        </w:tc>
        <w:tc>
          <w:tcPr>
            <w:tcW w:w="1057" w:type="pct"/>
            <w:vMerge w:val="restart"/>
            <w:vAlign w:val="center"/>
          </w:tcPr>
          <w:p w14:paraId="10EC6B43">
            <w:pPr>
              <w:pStyle w:val="34"/>
              <w:rPr>
                <w:kern w:val="0"/>
                <w:szCs w:val="21"/>
              </w:rPr>
            </w:pPr>
            <w:r>
              <w:rPr>
                <w:rFonts w:hint="eastAsia"/>
                <w:kern w:val="0"/>
                <w:szCs w:val="21"/>
              </w:rPr>
              <w:t>0.54</w:t>
            </w:r>
            <w:r>
              <w:rPr>
                <w:kern w:val="0"/>
                <w:szCs w:val="21"/>
              </w:rPr>
              <w:t>t/km</w:t>
            </w:r>
            <w:r>
              <w:rPr>
                <w:kern w:val="0"/>
                <w:szCs w:val="21"/>
                <w:vertAlign w:val="superscript"/>
              </w:rPr>
              <w:t>2</w:t>
            </w:r>
          </w:p>
        </w:tc>
        <w:tc>
          <w:tcPr>
            <w:tcW w:w="863" w:type="pct"/>
            <w:vAlign w:val="center"/>
          </w:tcPr>
          <w:p w14:paraId="58DBB23E">
            <w:pPr>
              <w:pStyle w:val="34"/>
              <w:rPr>
                <w:szCs w:val="21"/>
              </w:rPr>
            </w:pPr>
            <w:r>
              <w:rPr>
                <w:rFonts w:hint="eastAsia"/>
              </w:rPr>
              <w:t>1.81</w:t>
            </w:r>
          </w:p>
        </w:tc>
        <w:tc>
          <w:tcPr>
            <w:tcW w:w="862" w:type="pct"/>
            <w:vAlign w:val="center"/>
          </w:tcPr>
          <w:p w14:paraId="7F51EA9B">
            <w:pPr>
              <w:pStyle w:val="34"/>
              <w:rPr>
                <w:kern w:val="0"/>
                <w:szCs w:val="21"/>
              </w:rPr>
            </w:pPr>
            <w:r>
              <w:rPr>
                <w:kern w:val="0"/>
                <w:szCs w:val="21"/>
              </w:rPr>
              <w:t>/</w:t>
            </w:r>
          </w:p>
        </w:tc>
        <w:tc>
          <w:tcPr>
            <w:tcW w:w="590" w:type="pct"/>
            <w:vAlign w:val="center"/>
          </w:tcPr>
          <w:p w14:paraId="04A246B5">
            <w:pPr>
              <w:pStyle w:val="34"/>
              <w:rPr>
                <w:kern w:val="0"/>
                <w:szCs w:val="21"/>
              </w:rPr>
            </w:pPr>
            <w:r>
              <w:rPr>
                <w:kern w:val="0"/>
                <w:szCs w:val="21"/>
              </w:rPr>
              <w:t>1</w:t>
            </w:r>
          </w:p>
        </w:tc>
        <w:tc>
          <w:tcPr>
            <w:tcW w:w="969" w:type="pct"/>
            <w:vAlign w:val="bottom"/>
          </w:tcPr>
          <w:p w14:paraId="607F2DBF">
            <w:pPr>
              <w:pStyle w:val="34"/>
              <w:rPr>
                <w:szCs w:val="21"/>
              </w:rPr>
            </w:pPr>
            <w:r>
              <w:rPr>
                <w:rFonts w:hint="eastAsia"/>
                <w:szCs w:val="21"/>
              </w:rPr>
              <w:t>0.0098</w:t>
            </w:r>
          </w:p>
        </w:tc>
      </w:tr>
      <w:tr w14:paraId="11490E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9" w:type="pct"/>
            <w:vMerge w:val="continue"/>
            <w:vAlign w:val="center"/>
          </w:tcPr>
          <w:p w14:paraId="5F68C7A0">
            <w:pPr>
              <w:pStyle w:val="34"/>
            </w:pPr>
          </w:p>
        </w:tc>
        <w:tc>
          <w:tcPr>
            <w:tcW w:w="1057" w:type="pct"/>
            <w:vMerge w:val="continue"/>
            <w:vAlign w:val="center"/>
          </w:tcPr>
          <w:p w14:paraId="51BF2508">
            <w:pPr>
              <w:pStyle w:val="34"/>
              <w:rPr>
                <w:kern w:val="0"/>
                <w:szCs w:val="21"/>
              </w:rPr>
            </w:pPr>
          </w:p>
        </w:tc>
        <w:tc>
          <w:tcPr>
            <w:tcW w:w="863" w:type="pct"/>
            <w:vAlign w:val="center"/>
          </w:tcPr>
          <w:p w14:paraId="2CFC90EE">
            <w:pPr>
              <w:pStyle w:val="34"/>
              <w:rPr>
                <w:szCs w:val="21"/>
              </w:rPr>
            </w:pPr>
            <w:r>
              <w:rPr>
                <w:rFonts w:hint="eastAsia"/>
              </w:rPr>
              <w:t>0.31</w:t>
            </w:r>
          </w:p>
        </w:tc>
        <w:tc>
          <w:tcPr>
            <w:tcW w:w="862" w:type="pct"/>
            <w:vAlign w:val="center"/>
          </w:tcPr>
          <w:p w14:paraId="7050B8F3">
            <w:pPr>
              <w:pStyle w:val="34"/>
              <w:rPr>
                <w:kern w:val="0"/>
                <w:szCs w:val="21"/>
              </w:rPr>
            </w:pPr>
            <w:r>
              <w:rPr>
                <w:kern w:val="0"/>
                <w:szCs w:val="21"/>
              </w:rPr>
              <w:t>/</w:t>
            </w:r>
          </w:p>
        </w:tc>
        <w:tc>
          <w:tcPr>
            <w:tcW w:w="590" w:type="pct"/>
            <w:vAlign w:val="center"/>
          </w:tcPr>
          <w:p w14:paraId="63D42ED9">
            <w:pPr>
              <w:pStyle w:val="34"/>
              <w:rPr>
                <w:kern w:val="0"/>
                <w:szCs w:val="21"/>
              </w:rPr>
            </w:pPr>
            <w:r>
              <w:rPr>
                <w:kern w:val="0"/>
                <w:szCs w:val="21"/>
              </w:rPr>
              <w:t>5</w:t>
            </w:r>
          </w:p>
        </w:tc>
        <w:tc>
          <w:tcPr>
            <w:tcW w:w="969" w:type="pct"/>
            <w:vAlign w:val="bottom"/>
          </w:tcPr>
          <w:p w14:paraId="5E161C50">
            <w:pPr>
              <w:pStyle w:val="34"/>
              <w:rPr>
                <w:szCs w:val="21"/>
              </w:rPr>
            </w:pPr>
            <w:r>
              <w:rPr>
                <w:rFonts w:hint="eastAsia"/>
                <w:szCs w:val="21"/>
              </w:rPr>
              <w:t>0.0084</w:t>
            </w:r>
          </w:p>
        </w:tc>
      </w:tr>
      <w:tr w14:paraId="77A0EC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9" w:type="pct"/>
            <w:vMerge w:val="continue"/>
            <w:vAlign w:val="center"/>
          </w:tcPr>
          <w:p w14:paraId="3ACFF4C5">
            <w:pPr>
              <w:pStyle w:val="34"/>
            </w:pPr>
          </w:p>
        </w:tc>
        <w:tc>
          <w:tcPr>
            <w:tcW w:w="1057" w:type="pct"/>
            <w:vMerge w:val="continue"/>
            <w:vAlign w:val="center"/>
          </w:tcPr>
          <w:p w14:paraId="56EDF7A4">
            <w:pPr>
              <w:pStyle w:val="34"/>
              <w:rPr>
                <w:kern w:val="0"/>
                <w:szCs w:val="21"/>
              </w:rPr>
            </w:pPr>
          </w:p>
        </w:tc>
        <w:tc>
          <w:tcPr>
            <w:tcW w:w="863" w:type="pct"/>
            <w:vAlign w:val="center"/>
          </w:tcPr>
          <w:p w14:paraId="024232C3">
            <w:pPr>
              <w:pStyle w:val="34"/>
              <w:rPr>
                <w:szCs w:val="21"/>
              </w:rPr>
            </w:pPr>
            <w:r>
              <w:rPr>
                <w:rFonts w:hint="eastAsia"/>
              </w:rPr>
              <w:t>0.61</w:t>
            </w:r>
          </w:p>
        </w:tc>
        <w:tc>
          <w:tcPr>
            <w:tcW w:w="862" w:type="pct"/>
            <w:vAlign w:val="center"/>
          </w:tcPr>
          <w:p w14:paraId="40A210B2">
            <w:pPr>
              <w:pStyle w:val="34"/>
              <w:rPr>
                <w:kern w:val="0"/>
                <w:szCs w:val="21"/>
              </w:rPr>
            </w:pPr>
            <w:r>
              <w:rPr>
                <w:kern w:val="0"/>
                <w:szCs w:val="21"/>
              </w:rPr>
              <w:t>/</w:t>
            </w:r>
          </w:p>
        </w:tc>
        <w:tc>
          <w:tcPr>
            <w:tcW w:w="590" w:type="pct"/>
            <w:vAlign w:val="center"/>
          </w:tcPr>
          <w:p w14:paraId="24675CCD">
            <w:pPr>
              <w:pStyle w:val="34"/>
              <w:rPr>
                <w:kern w:val="0"/>
                <w:szCs w:val="21"/>
              </w:rPr>
            </w:pPr>
            <w:r>
              <w:rPr>
                <w:kern w:val="0"/>
                <w:szCs w:val="21"/>
              </w:rPr>
              <w:t>15</w:t>
            </w:r>
          </w:p>
        </w:tc>
        <w:tc>
          <w:tcPr>
            <w:tcW w:w="969" w:type="pct"/>
            <w:vAlign w:val="bottom"/>
          </w:tcPr>
          <w:p w14:paraId="2C5FF0AD">
            <w:pPr>
              <w:pStyle w:val="34"/>
              <w:rPr>
                <w:szCs w:val="21"/>
              </w:rPr>
            </w:pPr>
            <w:r>
              <w:rPr>
                <w:rFonts w:hint="eastAsia"/>
                <w:szCs w:val="21"/>
              </w:rPr>
              <w:t>0.0494</w:t>
            </w:r>
          </w:p>
        </w:tc>
      </w:tr>
      <w:tr w14:paraId="6BC8EF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 w:hRule="atLeast"/>
          <w:jc w:val="center"/>
        </w:trPr>
        <w:tc>
          <w:tcPr>
            <w:tcW w:w="659" w:type="pct"/>
            <w:vMerge w:val="continue"/>
            <w:vAlign w:val="center"/>
          </w:tcPr>
          <w:p w14:paraId="73950195">
            <w:pPr>
              <w:pStyle w:val="34"/>
            </w:pPr>
          </w:p>
        </w:tc>
        <w:tc>
          <w:tcPr>
            <w:tcW w:w="1057" w:type="pct"/>
            <w:vMerge w:val="continue"/>
            <w:vAlign w:val="center"/>
          </w:tcPr>
          <w:p w14:paraId="366AAE56">
            <w:pPr>
              <w:pStyle w:val="34"/>
              <w:rPr>
                <w:kern w:val="0"/>
                <w:szCs w:val="21"/>
              </w:rPr>
            </w:pPr>
          </w:p>
        </w:tc>
        <w:tc>
          <w:tcPr>
            <w:tcW w:w="863" w:type="pct"/>
            <w:vAlign w:val="center"/>
          </w:tcPr>
          <w:p w14:paraId="35AEE0CD">
            <w:pPr>
              <w:pStyle w:val="34"/>
              <w:rPr>
                <w:szCs w:val="21"/>
              </w:rPr>
            </w:pPr>
            <w:r>
              <w:rPr>
                <w:rFonts w:hint="eastAsia"/>
              </w:rPr>
              <w:t>0.22</w:t>
            </w:r>
          </w:p>
        </w:tc>
        <w:tc>
          <w:tcPr>
            <w:tcW w:w="862" w:type="pct"/>
            <w:vAlign w:val="center"/>
          </w:tcPr>
          <w:p w14:paraId="10F2DDDC">
            <w:pPr>
              <w:pStyle w:val="34"/>
              <w:rPr>
                <w:kern w:val="0"/>
                <w:szCs w:val="21"/>
              </w:rPr>
            </w:pPr>
            <w:r>
              <w:rPr>
                <w:kern w:val="0"/>
                <w:szCs w:val="21"/>
              </w:rPr>
              <w:t>/</w:t>
            </w:r>
          </w:p>
        </w:tc>
        <w:tc>
          <w:tcPr>
            <w:tcW w:w="590" w:type="pct"/>
            <w:vAlign w:val="center"/>
          </w:tcPr>
          <w:p w14:paraId="5035FC0A">
            <w:pPr>
              <w:pStyle w:val="34"/>
              <w:rPr>
                <w:kern w:val="0"/>
                <w:szCs w:val="21"/>
              </w:rPr>
            </w:pPr>
            <w:r>
              <w:rPr>
                <w:kern w:val="0"/>
                <w:szCs w:val="21"/>
              </w:rPr>
              <w:t>20</w:t>
            </w:r>
          </w:p>
        </w:tc>
        <w:tc>
          <w:tcPr>
            <w:tcW w:w="969" w:type="pct"/>
            <w:vAlign w:val="bottom"/>
          </w:tcPr>
          <w:p w14:paraId="4212F189">
            <w:pPr>
              <w:pStyle w:val="34"/>
              <w:rPr>
                <w:szCs w:val="21"/>
              </w:rPr>
            </w:pPr>
            <w:r>
              <w:rPr>
                <w:rFonts w:hint="eastAsia"/>
                <w:szCs w:val="21"/>
              </w:rPr>
              <w:t>0.0238</w:t>
            </w:r>
          </w:p>
        </w:tc>
      </w:tr>
      <w:tr w14:paraId="0CA03A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9" w:type="pct"/>
            <w:vAlign w:val="center"/>
          </w:tcPr>
          <w:p w14:paraId="16A4A647">
            <w:pPr>
              <w:pStyle w:val="34"/>
            </w:pPr>
            <w:r>
              <w:t>小计</w:t>
            </w:r>
          </w:p>
        </w:tc>
        <w:tc>
          <w:tcPr>
            <w:tcW w:w="2782" w:type="pct"/>
            <w:gridSpan w:val="3"/>
            <w:vAlign w:val="center"/>
          </w:tcPr>
          <w:p w14:paraId="458BAFC2">
            <w:pPr>
              <w:pStyle w:val="34"/>
              <w:rPr>
                <w:kern w:val="0"/>
                <w:szCs w:val="21"/>
              </w:rPr>
            </w:pPr>
            <w:r>
              <w:rPr>
                <w:kern w:val="0"/>
                <w:szCs w:val="21"/>
              </w:rPr>
              <w:t>/</w:t>
            </w:r>
          </w:p>
        </w:tc>
        <w:tc>
          <w:tcPr>
            <w:tcW w:w="590" w:type="pct"/>
            <w:vAlign w:val="center"/>
          </w:tcPr>
          <w:p w14:paraId="1AE287A3">
            <w:pPr>
              <w:pStyle w:val="34"/>
              <w:rPr>
                <w:kern w:val="0"/>
                <w:szCs w:val="21"/>
              </w:rPr>
            </w:pPr>
          </w:p>
        </w:tc>
        <w:tc>
          <w:tcPr>
            <w:tcW w:w="969" w:type="pct"/>
            <w:vAlign w:val="center"/>
          </w:tcPr>
          <w:p w14:paraId="7F7A29BD">
            <w:pPr>
              <w:pStyle w:val="34"/>
              <w:rPr>
                <w:szCs w:val="21"/>
              </w:rPr>
            </w:pPr>
            <w:r>
              <w:rPr>
                <w:rFonts w:hint="eastAsia"/>
                <w:szCs w:val="21"/>
              </w:rPr>
              <w:t>0.0913</w:t>
            </w:r>
          </w:p>
        </w:tc>
      </w:tr>
    </w:tbl>
    <w:p w14:paraId="79EAC6B0">
      <w:pPr>
        <w:pStyle w:val="7"/>
      </w:pPr>
      <w:r>
        <w:t xml:space="preserve"> 悬浮物扩散区域</w:t>
      </w:r>
      <w:r>
        <w:rPr>
          <w:rFonts w:hint="eastAsia"/>
        </w:rPr>
        <w:t>浮游动物</w:t>
      </w:r>
      <w:r>
        <w:t>资源损失量估算</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04"/>
        <w:gridCol w:w="1774"/>
        <w:gridCol w:w="1448"/>
        <w:gridCol w:w="1445"/>
        <w:gridCol w:w="1133"/>
        <w:gridCol w:w="1624"/>
      </w:tblGrid>
      <w:tr w14:paraId="4E806F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648" w:type="pct"/>
            <w:vAlign w:val="center"/>
          </w:tcPr>
          <w:p w14:paraId="3ED538C9">
            <w:pPr>
              <w:pStyle w:val="34"/>
            </w:pPr>
            <w:r>
              <w:t>生物类型</w:t>
            </w:r>
          </w:p>
        </w:tc>
        <w:tc>
          <w:tcPr>
            <w:tcW w:w="1040" w:type="pct"/>
            <w:vAlign w:val="center"/>
          </w:tcPr>
          <w:p w14:paraId="14F051C3">
            <w:pPr>
              <w:pStyle w:val="34"/>
              <w:rPr>
                <w:kern w:val="0"/>
                <w:szCs w:val="21"/>
              </w:rPr>
            </w:pPr>
            <w:r>
              <w:rPr>
                <w:kern w:val="0"/>
                <w:szCs w:val="21"/>
              </w:rPr>
              <w:t>单位密度</w:t>
            </w:r>
            <w:r>
              <w:rPr>
                <w:i/>
                <w:kern w:val="0"/>
                <w:szCs w:val="21"/>
              </w:rPr>
              <w:t>D</w:t>
            </w:r>
            <w:r>
              <w:rPr>
                <w:i/>
                <w:kern w:val="0"/>
                <w:szCs w:val="21"/>
                <w:vertAlign w:val="subscript"/>
              </w:rPr>
              <w:t>ij</w:t>
            </w:r>
          </w:p>
        </w:tc>
        <w:tc>
          <w:tcPr>
            <w:tcW w:w="849" w:type="pct"/>
            <w:vAlign w:val="center"/>
          </w:tcPr>
          <w:p w14:paraId="627D580A">
            <w:pPr>
              <w:pStyle w:val="34"/>
              <w:rPr>
                <w:kern w:val="0"/>
                <w:szCs w:val="21"/>
                <w:vertAlign w:val="subscript"/>
              </w:rPr>
            </w:pPr>
            <w:r>
              <w:rPr>
                <w:kern w:val="0"/>
                <w:szCs w:val="21"/>
              </w:rPr>
              <w:t>影响面积</w:t>
            </w:r>
            <w:r>
              <w:rPr>
                <w:i/>
                <w:kern w:val="0"/>
                <w:szCs w:val="21"/>
              </w:rPr>
              <w:t>S</w:t>
            </w:r>
            <w:r>
              <w:rPr>
                <w:i/>
                <w:kern w:val="0"/>
                <w:szCs w:val="21"/>
                <w:vertAlign w:val="subscript"/>
              </w:rPr>
              <w:t>i</w:t>
            </w:r>
          </w:p>
          <w:p w14:paraId="7DA76C4B">
            <w:pPr>
              <w:pStyle w:val="34"/>
              <w:rPr>
                <w:kern w:val="0"/>
                <w:szCs w:val="21"/>
              </w:rPr>
            </w:pPr>
            <w:r>
              <w:rPr>
                <w:kern w:val="0"/>
                <w:szCs w:val="21"/>
              </w:rPr>
              <w:t>（km</w:t>
            </w:r>
            <w:r>
              <w:rPr>
                <w:kern w:val="0"/>
                <w:szCs w:val="21"/>
                <w:vertAlign w:val="superscript"/>
              </w:rPr>
              <w:t>2</w:t>
            </w:r>
            <w:r>
              <w:rPr>
                <w:kern w:val="0"/>
                <w:szCs w:val="21"/>
              </w:rPr>
              <w:t>）</w:t>
            </w:r>
          </w:p>
        </w:tc>
        <w:tc>
          <w:tcPr>
            <w:tcW w:w="847" w:type="pct"/>
            <w:vAlign w:val="center"/>
          </w:tcPr>
          <w:p w14:paraId="1AF27255">
            <w:pPr>
              <w:pStyle w:val="34"/>
              <w:rPr>
                <w:kern w:val="0"/>
                <w:szCs w:val="21"/>
              </w:rPr>
            </w:pPr>
            <w:r>
              <w:rPr>
                <w:kern w:val="0"/>
                <w:szCs w:val="21"/>
              </w:rPr>
              <w:t>水深H</w:t>
            </w:r>
          </w:p>
          <w:p w14:paraId="6218EEBC">
            <w:pPr>
              <w:pStyle w:val="34"/>
              <w:rPr>
                <w:kern w:val="0"/>
                <w:szCs w:val="21"/>
              </w:rPr>
            </w:pPr>
            <w:r>
              <w:rPr>
                <w:kern w:val="0"/>
                <w:szCs w:val="21"/>
              </w:rPr>
              <w:t>（m）</w:t>
            </w:r>
          </w:p>
        </w:tc>
        <w:tc>
          <w:tcPr>
            <w:tcW w:w="664" w:type="pct"/>
            <w:vAlign w:val="center"/>
          </w:tcPr>
          <w:p w14:paraId="718B838D">
            <w:pPr>
              <w:pStyle w:val="34"/>
              <w:rPr>
                <w:kern w:val="0"/>
                <w:szCs w:val="21"/>
              </w:rPr>
            </w:pPr>
            <w:r>
              <w:rPr>
                <w:i/>
                <w:kern w:val="0"/>
                <w:szCs w:val="21"/>
              </w:rPr>
              <w:t>K</w:t>
            </w:r>
            <w:r>
              <w:rPr>
                <w:i/>
                <w:kern w:val="0"/>
                <w:szCs w:val="21"/>
                <w:vertAlign w:val="subscript"/>
              </w:rPr>
              <w:t>ij</w:t>
            </w:r>
            <w:r>
              <w:rPr>
                <w:kern w:val="0"/>
                <w:szCs w:val="21"/>
              </w:rPr>
              <w:t>损失率</w:t>
            </w:r>
          </w:p>
          <w:p w14:paraId="1042AF96">
            <w:pPr>
              <w:pStyle w:val="34"/>
              <w:rPr>
                <w:kern w:val="0"/>
                <w:szCs w:val="21"/>
              </w:rPr>
            </w:pPr>
            <w:r>
              <w:rPr>
                <w:kern w:val="0"/>
                <w:szCs w:val="21"/>
              </w:rPr>
              <w:t>（%）</w:t>
            </w:r>
          </w:p>
        </w:tc>
        <w:tc>
          <w:tcPr>
            <w:tcW w:w="952" w:type="pct"/>
            <w:vAlign w:val="center"/>
          </w:tcPr>
          <w:p w14:paraId="6956CE9A">
            <w:pPr>
              <w:pStyle w:val="34"/>
              <w:rPr>
                <w:kern w:val="0"/>
                <w:szCs w:val="21"/>
              </w:rPr>
            </w:pPr>
            <w:r>
              <w:rPr>
                <w:kern w:val="0"/>
                <w:szCs w:val="21"/>
              </w:rPr>
              <w:t>直接损失量</w:t>
            </w:r>
          </w:p>
          <w:p w14:paraId="4240E43A">
            <w:pPr>
              <w:pStyle w:val="34"/>
              <w:rPr>
                <w:kern w:val="0"/>
                <w:szCs w:val="21"/>
              </w:rPr>
            </w:pPr>
            <w:r>
              <w:rPr>
                <w:kern w:val="0"/>
                <w:szCs w:val="21"/>
              </w:rPr>
              <w:t>（t）</w:t>
            </w:r>
          </w:p>
        </w:tc>
      </w:tr>
      <w:tr w14:paraId="5AF92C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48" w:type="pct"/>
            <w:vMerge w:val="restart"/>
            <w:vAlign w:val="center"/>
          </w:tcPr>
          <w:p w14:paraId="3049C559">
            <w:pPr>
              <w:pStyle w:val="34"/>
            </w:pPr>
            <w:r>
              <w:t>浮游动物</w:t>
            </w:r>
          </w:p>
        </w:tc>
        <w:tc>
          <w:tcPr>
            <w:tcW w:w="1040" w:type="pct"/>
            <w:vMerge w:val="restart"/>
            <w:vAlign w:val="center"/>
          </w:tcPr>
          <w:p w14:paraId="1924BE54">
            <w:pPr>
              <w:pStyle w:val="34"/>
              <w:rPr>
                <w:kern w:val="0"/>
                <w:szCs w:val="21"/>
              </w:rPr>
            </w:pPr>
            <w:r>
              <w:rPr>
                <w:rFonts w:hint="eastAsia"/>
                <w:kern w:val="0"/>
                <w:szCs w:val="21"/>
              </w:rPr>
              <w:t>0.113</w:t>
            </w:r>
            <w:r>
              <w:rPr>
                <w:kern w:val="0"/>
                <w:szCs w:val="21"/>
              </w:rPr>
              <w:t>g/m</w:t>
            </w:r>
            <w:r>
              <w:rPr>
                <w:kern w:val="0"/>
                <w:szCs w:val="21"/>
                <w:vertAlign w:val="superscript"/>
              </w:rPr>
              <w:t>3</w:t>
            </w:r>
          </w:p>
        </w:tc>
        <w:tc>
          <w:tcPr>
            <w:tcW w:w="849" w:type="pct"/>
            <w:vAlign w:val="center"/>
          </w:tcPr>
          <w:p w14:paraId="31A64B92">
            <w:pPr>
              <w:pStyle w:val="34"/>
              <w:rPr>
                <w:szCs w:val="21"/>
              </w:rPr>
            </w:pPr>
            <w:r>
              <w:rPr>
                <w:rFonts w:hint="eastAsia"/>
              </w:rPr>
              <w:t>1.81</w:t>
            </w:r>
          </w:p>
        </w:tc>
        <w:tc>
          <w:tcPr>
            <w:tcW w:w="847" w:type="pct"/>
            <w:vAlign w:val="center"/>
          </w:tcPr>
          <w:p w14:paraId="53ADFC93">
            <w:pPr>
              <w:pStyle w:val="34"/>
              <w:rPr>
                <w:kern w:val="0"/>
                <w:szCs w:val="21"/>
              </w:rPr>
            </w:pPr>
            <w:r>
              <w:rPr>
                <w:rFonts w:hint="eastAsia"/>
                <w:kern w:val="0"/>
                <w:szCs w:val="21"/>
              </w:rPr>
              <w:t>3.5</w:t>
            </w:r>
          </w:p>
        </w:tc>
        <w:tc>
          <w:tcPr>
            <w:tcW w:w="664" w:type="pct"/>
            <w:vAlign w:val="center"/>
          </w:tcPr>
          <w:p w14:paraId="54BF79C1">
            <w:pPr>
              <w:pStyle w:val="34"/>
              <w:rPr>
                <w:kern w:val="0"/>
                <w:szCs w:val="21"/>
              </w:rPr>
            </w:pPr>
            <w:r>
              <w:rPr>
                <w:kern w:val="0"/>
                <w:szCs w:val="21"/>
              </w:rPr>
              <w:t>5</w:t>
            </w:r>
          </w:p>
        </w:tc>
        <w:tc>
          <w:tcPr>
            <w:tcW w:w="952" w:type="pct"/>
            <w:vAlign w:val="bottom"/>
          </w:tcPr>
          <w:p w14:paraId="50AEBF99">
            <w:pPr>
              <w:pStyle w:val="34"/>
              <w:rPr>
                <w:kern w:val="0"/>
                <w:szCs w:val="21"/>
              </w:rPr>
            </w:pPr>
            <w:r>
              <w:rPr>
                <w:rFonts w:hint="eastAsia"/>
                <w:kern w:val="0"/>
                <w:szCs w:val="21"/>
              </w:rPr>
              <w:t>0.0358</w:t>
            </w:r>
          </w:p>
        </w:tc>
      </w:tr>
      <w:tr w14:paraId="0B02BF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48" w:type="pct"/>
            <w:vMerge w:val="continue"/>
            <w:vAlign w:val="center"/>
          </w:tcPr>
          <w:p w14:paraId="24251FAD">
            <w:pPr>
              <w:pStyle w:val="34"/>
            </w:pPr>
          </w:p>
        </w:tc>
        <w:tc>
          <w:tcPr>
            <w:tcW w:w="1040" w:type="pct"/>
            <w:vMerge w:val="continue"/>
            <w:vAlign w:val="center"/>
          </w:tcPr>
          <w:p w14:paraId="3F3CEEF0">
            <w:pPr>
              <w:pStyle w:val="34"/>
              <w:rPr>
                <w:kern w:val="0"/>
                <w:szCs w:val="21"/>
              </w:rPr>
            </w:pPr>
          </w:p>
        </w:tc>
        <w:tc>
          <w:tcPr>
            <w:tcW w:w="849" w:type="pct"/>
            <w:vAlign w:val="center"/>
          </w:tcPr>
          <w:p w14:paraId="1FA744C8">
            <w:pPr>
              <w:pStyle w:val="34"/>
              <w:rPr>
                <w:szCs w:val="21"/>
              </w:rPr>
            </w:pPr>
            <w:r>
              <w:rPr>
                <w:rFonts w:hint="eastAsia"/>
              </w:rPr>
              <w:t>0.31</w:t>
            </w:r>
          </w:p>
        </w:tc>
        <w:tc>
          <w:tcPr>
            <w:tcW w:w="847" w:type="pct"/>
          </w:tcPr>
          <w:p w14:paraId="6F066D18">
            <w:pPr>
              <w:pStyle w:val="34"/>
              <w:rPr>
                <w:kern w:val="0"/>
                <w:szCs w:val="21"/>
              </w:rPr>
            </w:pPr>
            <w:r>
              <w:rPr>
                <w:rFonts w:hint="eastAsia"/>
                <w:kern w:val="0"/>
                <w:szCs w:val="21"/>
              </w:rPr>
              <w:t>3.5</w:t>
            </w:r>
          </w:p>
        </w:tc>
        <w:tc>
          <w:tcPr>
            <w:tcW w:w="664" w:type="pct"/>
            <w:vAlign w:val="center"/>
          </w:tcPr>
          <w:p w14:paraId="649413A6">
            <w:pPr>
              <w:pStyle w:val="34"/>
              <w:rPr>
                <w:kern w:val="0"/>
                <w:szCs w:val="21"/>
              </w:rPr>
            </w:pPr>
            <w:r>
              <w:rPr>
                <w:kern w:val="0"/>
                <w:szCs w:val="21"/>
              </w:rPr>
              <w:t>20</w:t>
            </w:r>
          </w:p>
        </w:tc>
        <w:tc>
          <w:tcPr>
            <w:tcW w:w="952" w:type="pct"/>
            <w:vAlign w:val="bottom"/>
          </w:tcPr>
          <w:p w14:paraId="1FC2B0BB">
            <w:pPr>
              <w:pStyle w:val="34"/>
              <w:rPr>
                <w:kern w:val="0"/>
                <w:szCs w:val="21"/>
              </w:rPr>
            </w:pPr>
            <w:r>
              <w:rPr>
                <w:rFonts w:hint="eastAsia"/>
                <w:kern w:val="0"/>
                <w:szCs w:val="21"/>
              </w:rPr>
              <w:t>0.0245</w:t>
            </w:r>
          </w:p>
        </w:tc>
      </w:tr>
      <w:tr w14:paraId="4850BE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48" w:type="pct"/>
            <w:vMerge w:val="continue"/>
            <w:vAlign w:val="center"/>
          </w:tcPr>
          <w:p w14:paraId="036E6D30">
            <w:pPr>
              <w:pStyle w:val="34"/>
            </w:pPr>
          </w:p>
        </w:tc>
        <w:tc>
          <w:tcPr>
            <w:tcW w:w="1040" w:type="pct"/>
            <w:vMerge w:val="continue"/>
            <w:vAlign w:val="center"/>
          </w:tcPr>
          <w:p w14:paraId="3E5F7380">
            <w:pPr>
              <w:pStyle w:val="34"/>
              <w:rPr>
                <w:kern w:val="0"/>
                <w:szCs w:val="21"/>
              </w:rPr>
            </w:pPr>
          </w:p>
        </w:tc>
        <w:tc>
          <w:tcPr>
            <w:tcW w:w="849" w:type="pct"/>
            <w:vAlign w:val="center"/>
          </w:tcPr>
          <w:p w14:paraId="6EDEBDA7">
            <w:pPr>
              <w:pStyle w:val="34"/>
              <w:rPr>
                <w:szCs w:val="21"/>
              </w:rPr>
            </w:pPr>
            <w:r>
              <w:rPr>
                <w:rFonts w:hint="eastAsia"/>
              </w:rPr>
              <w:t>0.61</w:t>
            </w:r>
          </w:p>
        </w:tc>
        <w:tc>
          <w:tcPr>
            <w:tcW w:w="847" w:type="pct"/>
          </w:tcPr>
          <w:p w14:paraId="721EACCC">
            <w:pPr>
              <w:pStyle w:val="34"/>
              <w:rPr>
                <w:kern w:val="0"/>
                <w:szCs w:val="21"/>
              </w:rPr>
            </w:pPr>
            <w:r>
              <w:rPr>
                <w:rFonts w:hint="eastAsia"/>
                <w:kern w:val="0"/>
                <w:szCs w:val="21"/>
              </w:rPr>
              <w:t>3.5</w:t>
            </w:r>
          </w:p>
        </w:tc>
        <w:tc>
          <w:tcPr>
            <w:tcW w:w="664" w:type="pct"/>
            <w:vAlign w:val="center"/>
          </w:tcPr>
          <w:p w14:paraId="1DD7F523">
            <w:pPr>
              <w:pStyle w:val="34"/>
              <w:rPr>
                <w:kern w:val="0"/>
                <w:szCs w:val="21"/>
              </w:rPr>
            </w:pPr>
            <w:r>
              <w:rPr>
                <w:kern w:val="0"/>
                <w:szCs w:val="21"/>
              </w:rPr>
              <w:t>40</w:t>
            </w:r>
          </w:p>
        </w:tc>
        <w:tc>
          <w:tcPr>
            <w:tcW w:w="952" w:type="pct"/>
            <w:vAlign w:val="bottom"/>
          </w:tcPr>
          <w:p w14:paraId="00E41044">
            <w:pPr>
              <w:pStyle w:val="34"/>
              <w:rPr>
                <w:kern w:val="0"/>
                <w:szCs w:val="21"/>
              </w:rPr>
            </w:pPr>
            <w:r>
              <w:rPr>
                <w:rFonts w:hint="eastAsia"/>
                <w:kern w:val="0"/>
                <w:szCs w:val="21"/>
              </w:rPr>
              <w:t>0.0966</w:t>
            </w:r>
          </w:p>
        </w:tc>
      </w:tr>
      <w:tr w14:paraId="7F9114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48" w:type="pct"/>
            <w:vMerge w:val="continue"/>
            <w:vAlign w:val="center"/>
          </w:tcPr>
          <w:p w14:paraId="5CA128EC">
            <w:pPr>
              <w:pStyle w:val="34"/>
            </w:pPr>
          </w:p>
        </w:tc>
        <w:tc>
          <w:tcPr>
            <w:tcW w:w="1040" w:type="pct"/>
            <w:vMerge w:val="continue"/>
            <w:vAlign w:val="center"/>
          </w:tcPr>
          <w:p w14:paraId="2DABDDB2">
            <w:pPr>
              <w:pStyle w:val="34"/>
              <w:rPr>
                <w:kern w:val="0"/>
                <w:szCs w:val="21"/>
              </w:rPr>
            </w:pPr>
          </w:p>
        </w:tc>
        <w:tc>
          <w:tcPr>
            <w:tcW w:w="849" w:type="pct"/>
            <w:vAlign w:val="center"/>
          </w:tcPr>
          <w:p w14:paraId="3564C816">
            <w:pPr>
              <w:pStyle w:val="34"/>
              <w:rPr>
                <w:szCs w:val="21"/>
              </w:rPr>
            </w:pPr>
            <w:r>
              <w:rPr>
                <w:rFonts w:hint="eastAsia"/>
              </w:rPr>
              <w:t>0.22</w:t>
            </w:r>
          </w:p>
        </w:tc>
        <w:tc>
          <w:tcPr>
            <w:tcW w:w="847" w:type="pct"/>
          </w:tcPr>
          <w:p w14:paraId="765CC656">
            <w:pPr>
              <w:pStyle w:val="34"/>
              <w:rPr>
                <w:kern w:val="0"/>
                <w:szCs w:val="21"/>
              </w:rPr>
            </w:pPr>
            <w:r>
              <w:rPr>
                <w:rFonts w:hint="eastAsia"/>
                <w:kern w:val="0"/>
                <w:szCs w:val="21"/>
              </w:rPr>
              <w:t>3.5</w:t>
            </w:r>
          </w:p>
        </w:tc>
        <w:tc>
          <w:tcPr>
            <w:tcW w:w="664" w:type="pct"/>
            <w:vAlign w:val="center"/>
          </w:tcPr>
          <w:p w14:paraId="6031C2FB">
            <w:pPr>
              <w:pStyle w:val="34"/>
              <w:rPr>
                <w:kern w:val="0"/>
                <w:szCs w:val="21"/>
              </w:rPr>
            </w:pPr>
            <w:r>
              <w:rPr>
                <w:kern w:val="0"/>
                <w:szCs w:val="21"/>
              </w:rPr>
              <w:t>50</w:t>
            </w:r>
          </w:p>
        </w:tc>
        <w:tc>
          <w:tcPr>
            <w:tcW w:w="952" w:type="pct"/>
            <w:vAlign w:val="bottom"/>
          </w:tcPr>
          <w:p w14:paraId="70120D31">
            <w:pPr>
              <w:pStyle w:val="34"/>
              <w:rPr>
                <w:kern w:val="0"/>
                <w:szCs w:val="21"/>
              </w:rPr>
            </w:pPr>
            <w:r>
              <w:rPr>
                <w:rFonts w:hint="eastAsia"/>
                <w:kern w:val="0"/>
                <w:szCs w:val="21"/>
              </w:rPr>
              <w:t>0.0435</w:t>
            </w:r>
          </w:p>
        </w:tc>
      </w:tr>
      <w:tr w14:paraId="6E20AE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48" w:type="pct"/>
            <w:vAlign w:val="center"/>
          </w:tcPr>
          <w:p w14:paraId="7BC1BF9F">
            <w:pPr>
              <w:pStyle w:val="34"/>
            </w:pPr>
            <w:r>
              <w:t>小计</w:t>
            </w:r>
          </w:p>
        </w:tc>
        <w:tc>
          <w:tcPr>
            <w:tcW w:w="3400" w:type="pct"/>
            <w:gridSpan w:val="4"/>
            <w:vAlign w:val="center"/>
          </w:tcPr>
          <w:p w14:paraId="52E12CC6">
            <w:pPr>
              <w:pStyle w:val="34"/>
              <w:rPr>
                <w:kern w:val="0"/>
                <w:szCs w:val="21"/>
              </w:rPr>
            </w:pPr>
            <w:r>
              <w:rPr>
                <w:kern w:val="0"/>
                <w:szCs w:val="21"/>
              </w:rPr>
              <w:t>/</w:t>
            </w:r>
          </w:p>
        </w:tc>
        <w:tc>
          <w:tcPr>
            <w:tcW w:w="952" w:type="pct"/>
            <w:vAlign w:val="center"/>
          </w:tcPr>
          <w:p w14:paraId="237F8511">
            <w:pPr>
              <w:pStyle w:val="34"/>
              <w:rPr>
                <w:kern w:val="0"/>
                <w:szCs w:val="21"/>
              </w:rPr>
            </w:pPr>
            <w:r>
              <w:rPr>
                <w:rFonts w:hint="eastAsia"/>
                <w:kern w:val="0"/>
                <w:szCs w:val="21"/>
              </w:rPr>
              <w:t>0.2005</w:t>
            </w:r>
          </w:p>
        </w:tc>
      </w:tr>
    </w:tbl>
    <w:p w14:paraId="76D514BC">
      <w:pPr>
        <w:ind w:firstLine="437"/>
      </w:pPr>
      <w:r>
        <w:t>3</w:t>
      </w:r>
      <w:r>
        <w:rPr>
          <w:rFonts w:hint="eastAsia"/>
        </w:rPr>
        <w:t>、悬浮物</w:t>
      </w:r>
      <w:r>
        <w:t>扩散生物损害及经济损失汇总</w:t>
      </w:r>
    </w:p>
    <w:p w14:paraId="76768E06">
      <w:pPr>
        <w:pStyle w:val="7"/>
      </w:pPr>
      <w:r>
        <w:t>悬浮物扩散生态补偿金额估算</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48"/>
        <w:gridCol w:w="1250"/>
        <w:gridCol w:w="1250"/>
        <w:gridCol w:w="1324"/>
        <w:gridCol w:w="1177"/>
        <w:gridCol w:w="752"/>
        <w:gridCol w:w="1327"/>
      </w:tblGrid>
      <w:tr w14:paraId="3FD898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849" w:type="pct"/>
            <w:vAlign w:val="center"/>
          </w:tcPr>
          <w:p w14:paraId="3D338560">
            <w:pPr>
              <w:pStyle w:val="34"/>
            </w:pPr>
            <w:r>
              <w:t>工程类型</w:t>
            </w:r>
          </w:p>
        </w:tc>
        <w:tc>
          <w:tcPr>
            <w:tcW w:w="733" w:type="pct"/>
            <w:vAlign w:val="center"/>
          </w:tcPr>
          <w:p w14:paraId="7C907DD3">
            <w:pPr>
              <w:pStyle w:val="34"/>
            </w:pPr>
            <w:r>
              <w:t>受损海洋</w:t>
            </w:r>
          </w:p>
          <w:p w14:paraId="4E381292">
            <w:pPr>
              <w:pStyle w:val="34"/>
            </w:pPr>
            <w:r>
              <w:t>生物</w:t>
            </w:r>
          </w:p>
        </w:tc>
        <w:tc>
          <w:tcPr>
            <w:tcW w:w="733" w:type="pct"/>
            <w:vAlign w:val="center"/>
          </w:tcPr>
          <w:p w14:paraId="0BD0D769">
            <w:pPr>
              <w:pStyle w:val="34"/>
            </w:pPr>
            <w:r>
              <w:t>损失量</w:t>
            </w:r>
          </w:p>
          <w:p w14:paraId="582D3BE3">
            <w:pPr>
              <w:pStyle w:val="34"/>
            </w:pPr>
            <w:r>
              <w:rPr>
                <w:rFonts w:hint="eastAsia"/>
              </w:rPr>
              <w:t>t/万尾</w:t>
            </w:r>
          </w:p>
        </w:tc>
        <w:tc>
          <w:tcPr>
            <w:tcW w:w="776" w:type="pct"/>
            <w:vAlign w:val="center"/>
          </w:tcPr>
          <w:p w14:paraId="5A5F4CEE">
            <w:pPr>
              <w:pStyle w:val="34"/>
            </w:pPr>
            <w:r>
              <w:t>单价（万元/t或万尾）</w:t>
            </w:r>
          </w:p>
        </w:tc>
        <w:tc>
          <w:tcPr>
            <w:tcW w:w="690" w:type="pct"/>
            <w:vAlign w:val="center"/>
          </w:tcPr>
          <w:p w14:paraId="15171BA8">
            <w:pPr>
              <w:pStyle w:val="34"/>
            </w:pPr>
            <w:r>
              <w:t>损失价值（万元）</w:t>
            </w:r>
          </w:p>
        </w:tc>
        <w:tc>
          <w:tcPr>
            <w:tcW w:w="441" w:type="pct"/>
            <w:vAlign w:val="center"/>
          </w:tcPr>
          <w:p w14:paraId="328CC3AA">
            <w:pPr>
              <w:pStyle w:val="34"/>
            </w:pPr>
            <w:r>
              <w:t>补偿年限</w:t>
            </w:r>
          </w:p>
        </w:tc>
        <w:tc>
          <w:tcPr>
            <w:tcW w:w="778" w:type="pct"/>
            <w:vAlign w:val="center"/>
          </w:tcPr>
          <w:p w14:paraId="5D3B1D1C">
            <w:pPr>
              <w:pStyle w:val="34"/>
            </w:pPr>
            <w:r>
              <w:t>补偿金额（万元）</w:t>
            </w:r>
          </w:p>
        </w:tc>
      </w:tr>
      <w:tr w14:paraId="771433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Merge w:val="restart"/>
            <w:vAlign w:val="center"/>
          </w:tcPr>
          <w:p w14:paraId="73607FAE">
            <w:pPr>
              <w:pStyle w:val="34"/>
            </w:pPr>
            <w:bookmarkStart w:id="465" w:name="_Hlk217398611"/>
            <w:r>
              <w:rPr>
                <w:rFonts w:hint="eastAsia"/>
              </w:rPr>
              <w:t>悬浮物</w:t>
            </w:r>
            <w:r>
              <w:t>扩散</w:t>
            </w:r>
          </w:p>
        </w:tc>
        <w:tc>
          <w:tcPr>
            <w:tcW w:w="733" w:type="pct"/>
            <w:vAlign w:val="center"/>
          </w:tcPr>
          <w:p w14:paraId="580F3417">
            <w:pPr>
              <w:pStyle w:val="34"/>
            </w:pPr>
            <w:r>
              <w:t>浮游动物</w:t>
            </w:r>
          </w:p>
        </w:tc>
        <w:tc>
          <w:tcPr>
            <w:tcW w:w="733" w:type="pct"/>
            <w:vAlign w:val="bottom"/>
          </w:tcPr>
          <w:p w14:paraId="5A4E3630">
            <w:pPr>
              <w:pStyle w:val="34"/>
            </w:pPr>
            <w:r>
              <w:rPr>
                <w:rFonts w:hint="eastAsia"/>
              </w:rPr>
              <w:t>0.20</w:t>
            </w:r>
          </w:p>
        </w:tc>
        <w:tc>
          <w:tcPr>
            <w:tcW w:w="776" w:type="pct"/>
            <w:vAlign w:val="bottom"/>
          </w:tcPr>
          <w:p w14:paraId="0581B57E">
            <w:pPr>
              <w:pStyle w:val="34"/>
            </w:pPr>
            <w:r>
              <w:rPr>
                <w:rFonts w:hint="eastAsia"/>
              </w:rPr>
              <w:t>1.94</w:t>
            </w:r>
          </w:p>
        </w:tc>
        <w:tc>
          <w:tcPr>
            <w:tcW w:w="690" w:type="pct"/>
            <w:vAlign w:val="bottom"/>
          </w:tcPr>
          <w:p w14:paraId="5C1C6562">
            <w:pPr>
              <w:pStyle w:val="34"/>
            </w:pPr>
            <w:r>
              <w:rPr>
                <w:rFonts w:hint="eastAsia"/>
              </w:rPr>
              <w:t>0.39</w:t>
            </w:r>
          </w:p>
        </w:tc>
        <w:tc>
          <w:tcPr>
            <w:tcW w:w="441" w:type="pct"/>
            <w:vAlign w:val="center"/>
          </w:tcPr>
          <w:p w14:paraId="486A4CCC">
            <w:pPr>
              <w:pStyle w:val="34"/>
            </w:pPr>
            <w:r>
              <w:t>3</w:t>
            </w:r>
          </w:p>
        </w:tc>
        <w:tc>
          <w:tcPr>
            <w:tcW w:w="778" w:type="pct"/>
            <w:vAlign w:val="bottom"/>
          </w:tcPr>
          <w:p w14:paraId="3111130A">
            <w:pPr>
              <w:pStyle w:val="34"/>
            </w:pPr>
            <w:r>
              <w:rPr>
                <w:rFonts w:hint="eastAsia"/>
              </w:rPr>
              <w:t>1.17</w:t>
            </w:r>
          </w:p>
        </w:tc>
      </w:tr>
      <w:tr w14:paraId="5EFF74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Merge w:val="continue"/>
            <w:vAlign w:val="center"/>
          </w:tcPr>
          <w:p w14:paraId="5D14697C">
            <w:pPr>
              <w:pStyle w:val="34"/>
            </w:pPr>
          </w:p>
        </w:tc>
        <w:tc>
          <w:tcPr>
            <w:tcW w:w="733" w:type="pct"/>
            <w:vAlign w:val="center"/>
          </w:tcPr>
          <w:p w14:paraId="731F996E">
            <w:pPr>
              <w:pStyle w:val="34"/>
            </w:pPr>
            <w:r>
              <w:t>游泳生物</w:t>
            </w:r>
          </w:p>
        </w:tc>
        <w:tc>
          <w:tcPr>
            <w:tcW w:w="733" w:type="pct"/>
            <w:vAlign w:val="bottom"/>
          </w:tcPr>
          <w:p w14:paraId="1E4DF392">
            <w:pPr>
              <w:pStyle w:val="34"/>
            </w:pPr>
            <w:r>
              <w:rPr>
                <w:rFonts w:hint="eastAsia"/>
              </w:rPr>
              <w:t>0.09</w:t>
            </w:r>
          </w:p>
        </w:tc>
        <w:tc>
          <w:tcPr>
            <w:tcW w:w="776" w:type="pct"/>
            <w:vAlign w:val="bottom"/>
          </w:tcPr>
          <w:p w14:paraId="2F85DD04">
            <w:pPr>
              <w:pStyle w:val="34"/>
            </w:pPr>
            <w:r>
              <w:rPr>
                <w:rFonts w:hint="eastAsia"/>
              </w:rPr>
              <w:t>1.94</w:t>
            </w:r>
          </w:p>
        </w:tc>
        <w:tc>
          <w:tcPr>
            <w:tcW w:w="690" w:type="pct"/>
            <w:vAlign w:val="bottom"/>
          </w:tcPr>
          <w:p w14:paraId="3D7CA60A">
            <w:pPr>
              <w:pStyle w:val="34"/>
            </w:pPr>
            <w:r>
              <w:rPr>
                <w:rFonts w:hint="eastAsia"/>
              </w:rPr>
              <w:t>0.18</w:t>
            </w:r>
          </w:p>
        </w:tc>
        <w:tc>
          <w:tcPr>
            <w:tcW w:w="441" w:type="pct"/>
            <w:vAlign w:val="center"/>
          </w:tcPr>
          <w:p w14:paraId="71FAA153">
            <w:pPr>
              <w:pStyle w:val="34"/>
            </w:pPr>
            <w:r>
              <w:t>3</w:t>
            </w:r>
          </w:p>
        </w:tc>
        <w:tc>
          <w:tcPr>
            <w:tcW w:w="778" w:type="pct"/>
            <w:vAlign w:val="bottom"/>
          </w:tcPr>
          <w:p w14:paraId="370BE93C">
            <w:pPr>
              <w:pStyle w:val="34"/>
            </w:pPr>
            <w:r>
              <w:rPr>
                <w:rFonts w:hint="eastAsia"/>
              </w:rPr>
              <w:t>0.53</w:t>
            </w:r>
          </w:p>
        </w:tc>
      </w:tr>
      <w:tr w14:paraId="465C27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Merge w:val="continue"/>
            <w:vAlign w:val="center"/>
          </w:tcPr>
          <w:p w14:paraId="09325857">
            <w:pPr>
              <w:pStyle w:val="34"/>
            </w:pPr>
          </w:p>
        </w:tc>
        <w:tc>
          <w:tcPr>
            <w:tcW w:w="733" w:type="pct"/>
            <w:vAlign w:val="center"/>
          </w:tcPr>
          <w:p w14:paraId="6B73BB39">
            <w:pPr>
              <w:pStyle w:val="34"/>
            </w:pPr>
            <w:r>
              <w:rPr>
                <w:rFonts w:hint="eastAsia"/>
              </w:rPr>
              <w:t>仔鱼</w:t>
            </w:r>
          </w:p>
        </w:tc>
        <w:tc>
          <w:tcPr>
            <w:tcW w:w="733" w:type="pct"/>
            <w:vAlign w:val="bottom"/>
          </w:tcPr>
          <w:p w14:paraId="51E26DB2">
            <w:pPr>
              <w:pStyle w:val="34"/>
            </w:pPr>
            <w:r>
              <w:rPr>
                <w:rFonts w:hint="eastAsia"/>
              </w:rPr>
              <w:t>216</w:t>
            </w:r>
          </w:p>
        </w:tc>
        <w:tc>
          <w:tcPr>
            <w:tcW w:w="776" w:type="pct"/>
            <w:vAlign w:val="bottom"/>
          </w:tcPr>
          <w:p w14:paraId="76972665">
            <w:pPr>
              <w:pStyle w:val="34"/>
            </w:pPr>
            <w:r>
              <w:rPr>
                <w:rFonts w:hint="eastAsia"/>
              </w:rPr>
              <w:t>0.6</w:t>
            </w:r>
          </w:p>
        </w:tc>
        <w:tc>
          <w:tcPr>
            <w:tcW w:w="690" w:type="pct"/>
            <w:vAlign w:val="bottom"/>
          </w:tcPr>
          <w:p w14:paraId="1FA8DDA4">
            <w:pPr>
              <w:pStyle w:val="34"/>
            </w:pPr>
            <w:r>
              <w:rPr>
                <w:rFonts w:hint="eastAsia"/>
              </w:rPr>
              <w:t>6.49</w:t>
            </w:r>
          </w:p>
        </w:tc>
        <w:tc>
          <w:tcPr>
            <w:tcW w:w="441" w:type="pct"/>
            <w:vAlign w:val="center"/>
          </w:tcPr>
          <w:p w14:paraId="2C4B9440">
            <w:pPr>
              <w:pStyle w:val="34"/>
            </w:pPr>
            <w:r>
              <w:t>3</w:t>
            </w:r>
          </w:p>
        </w:tc>
        <w:tc>
          <w:tcPr>
            <w:tcW w:w="778" w:type="pct"/>
            <w:vAlign w:val="bottom"/>
          </w:tcPr>
          <w:p w14:paraId="6A833383">
            <w:pPr>
              <w:pStyle w:val="34"/>
            </w:pPr>
            <w:r>
              <w:rPr>
                <w:rFonts w:hint="eastAsia"/>
              </w:rPr>
              <w:t>19.46</w:t>
            </w:r>
          </w:p>
        </w:tc>
      </w:tr>
      <w:tr w14:paraId="6C2EB1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Merge w:val="continue"/>
            <w:vAlign w:val="center"/>
          </w:tcPr>
          <w:p w14:paraId="586D873A">
            <w:pPr>
              <w:pStyle w:val="34"/>
            </w:pPr>
          </w:p>
        </w:tc>
        <w:tc>
          <w:tcPr>
            <w:tcW w:w="733" w:type="pct"/>
            <w:vAlign w:val="center"/>
          </w:tcPr>
          <w:p w14:paraId="7CE9A8CA">
            <w:pPr>
              <w:pStyle w:val="34"/>
            </w:pPr>
            <w:r>
              <w:rPr>
                <w:rFonts w:hint="eastAsia"/>
              </w:rPr>
              <w:t>鱼卵</w:t>
            </w:r>
          </w:p>
        </w:tc>
        <w:tc>
          <w:tcPr>
            <w:tcW w:w="733" w:type="pct"/>
            <w:vAlign w:val="bottom"/>
          </w:tcPr>
          <w:p w14:paraId="2AFD3CBA">
            <w:pPr>
              <w:pStyle w:val="34"/>
            </w:pPr>
            <w:r>
              <w:rPr>
                <w:rFonts w:hint="eastAsia"/>
              </w:rPr>
              <w:t>2297</w:t>
            </w:r>
          </w:p>
        </w:tc>
        <w:tc>
          <w:tcPr>
            <w:tcW w:w="776" w:type="pct"/>
            <w:vAlign w:val="bottom"/>
          </w:tcPr>
          <w:p w14:paraId="500F8269">
            <w:pPr>
              <w:pStyle w:val="34"/>
            </w:pPr>
            <w:r>
              <w:rPr>
                <w:rFonts w:hint="eastAsia"/>
              </w:rPr>
              <w:t>0.6</w:t>
            </w:r>
          </w:p>
        </w:tc>
        <w:tc>
          <w:tcPr>
            <w:tcW w:w="690" w:type="pct"/>
            <w:vAlign w:val="bottom"/>
          </w:tcPr>
          <w:p w14:paraId="7E0AE3FC">
            <w:pPr>
              <w:pStyle w:val="34"/>
            </w:pPr>
            <w:r>
              <w:rPr>
                <w:rFonts w:hint="eastAsia"/>
              </w:rPr>
              <w:t>13.78</w:t>
            </w:r>
          </w:p>
        </w:tc>
        <w:tc>
          <w:tcPr>
            <w:tcW w:w="441" w:type="pct"/>
            <w:vAlign w:val="center"/>
          </w:tcPr>
          <w:p w14:paraId="02D945B1">
            <w:pPr>
              <w:pStyle w:val="34"/>
            </w:pPr>
            <w:r>
              <w:rPr>
                <w:rFonts w:hint="eastAsia"/>
              </w:rPr>
              <w:t>3</w:t>
            </w:r>
          </w:p>
        </w:tc>
        <w:tc>
          <w:tcPr>
            <w:tcW w:w="778" w:type="pct"/>
            <w:vAlign w:val="bottom"/>
          </w:tcPr>
          <w:p w14:paraId="6453569D">
            <w:pPr>
              <w:pStyle w:val="34"/>
            </w:pPr>
            <w:r>
              <w:rPr>
                <w:rFonts w:hint="eastAsia"/>
              </w:rPr>
              <w:t>41.35</w:t>
            </w:r>
          </w:p>
        </w:tc>
      </w:tr>
      <w:bookmarkEnd w:id="465"/>
      <w:tr w14:paraId="458614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22" w:type="pct"/>
            <w:gridSpan w:val="6"/>
            <w:vAlign w:val="center"/>
          </w:tcPr>
          <w:p w14:paraId="565D9FD9">
            <w:pPr>
              <w:pStyle w:val="34"/>
            </w:pPr>
            <w:r>
              <w:t>合计</w:t>
            </w:r>
          </w:p>
        </w:tc>
        <w:tc>
          <w:tcPr>
            <w:tcW w:w="778" w:type="pct"/>
            <w:vAlign w:val="center"/>
          </w:tcPr>
          <w:p w14:paraId="60CA21F8">
            <w:pPr>
              <w:pStyle w:val="34"/>
            </w:pPr>
            <w:r>
              <w:rPr>
                <w:rFonts w:hint="eastAsia"/>
              </w:rPr>
              <w:t>62.51</w:t>
            </w:r>
          </w:p>
        </w:tc>
      </w:tr>
    </w:tbl>
    <w:p w14:paraId="43D2A07C">
      <w:pPr>
        <w:pStyle w:val="6"/>
      </w:pPr>
      <w:r>
        <w:t>爆破对生物资源的损害评估</w:t>
      </w:r>
    </w:p>
    <w:p w14:paraId="026384C6">
      <w:pPr>
        <w:ind w:firstLine="437"/>
      </w:pPr>
      <w:r>
        <w:rPr>
          <w:rFonts w:hint="eastAsia"/>
        </w:rPr>
        <w:t>1、</w:t>
      </w:r>
      <w:r>
        <w:t>评估方法</w:t>
      </w:r>
    </w:p>
    <w:p w14:paraId="3EE95D99">
      <w:pPr>
        <w:ind w:firstLine="437"/>
      </w:pPr>
      <w:r>
        <w:t>根据施工期生态影响分析，项目炸礁产生的影响集中在爆破区周边</w:t>
      </w:r>
      <w:r>
        <w:rPr>
          <w:rFonts w:hint="eastAsia"/>
        </w:rPr>
        <w:t>700m范围内，</w:t>
      </w:r>
      <w:r>
        <w:t>根据《建设项目对海洋生物资源影响评价技术规程》（SC/T9110-2007），水下爆破对生物资源的损害评估按下式进行计算：</w:t>
      </w:r>
    </w:p>
    <w:p w14:paraId="19B87CDF">
      <w:pPr>
        <w:ind w:firstLine="437"/>
      </w:pPr>
      <m:oMathPara>
        <m:oMath>
          <m:sSub>
            <m:sSubPr>
              <m:ctrlPr>
                <w:rPr>
                  <w:rFonts w:ascii="Cambria Math" w:hAnsi="Cambria Math"/>
                </w:rPr>
              </m:ctrlPr>
            </m:sSubPr>
            <m:e>
              <m:r>
                <m:rPr>
                  <m:sty m:val="bi"/>
                </m:rPr>
                <w:rPr>
                  <w:rFonts w:ascii="Cambria Math" w:hAnsi="Cambria Math"/>
                </w:rPr>
                <m:t>W</m:t>
              </m:r>
              <m:ctrlPr>
                <w:rPr>
                  <w:rFonts w:ascii="Cambria Math" w:hAnsi="Cambria Math"/>
                </w:rPr>
              </m:ctrlPr>
            </m:e>
            <m:sub>
              <m:r>
                <m:rPr>
                  <m:sty m:val="bi"/>
                </m:rPr>
                <w:rPr>
                  <w:rFonts w:ascii="Cambria Math" w:hAnsi="Cambria Math"/>
                </w:rPr>
                <m:t>i</m:t>
              </m:r>
              <m:ctrlPr>
                <w:rPr>
                  <w:rFonts w:ascii="Cambria Math" w:hAnsi="Cambria Math"/>
                </w:rPr>
              </m:ctrlPr>
            </m:sub>
          </m:sSub>
          <m:r>
            <m:rPr>
              <m:sty m:val="p"/>
            </m:rPr>
            <w:rPr>
              <w:rFonts w:ascii="Cambria Math" w:hAnsi="Cambria Math"/>
            </w:rPr>
            <m:t>=</m:t>
          </m:r>
          <m:nary>
            <m:naryPr>
              <m:chr m:val="∑"/>
              <m:limLoc m:val="undOvr"/>
              <m:ctrlPr>
                <w:rPr>
                  <w:rFonts w:ascii="Cambria Math" w:hAnsi="Cambria Math"/>
                </w:rPr>
              </m:ctrlPr>
            </m:naryPr>
            <m:sub>
              <m:r>
                <m:rPr>
                  <m:sty m:val="bi"/>
                </m:rPr>
                <w:rPr>
                  <w:rFonts w:ascii="Cambria Math" w:hAnsi="Cambria Math"/>
                </w:rPr>
                <m:t>j</m:t>
              </m:r>
              <m:r>
                <m:rPr>
                  <m:sty m:val="p"/>
                </m:rPr>
                <w:rPr>
                  <w:rFonts w:ascii="Cambria Math" w:hAnsi="Cambria Math"/>
                </w:rPr>
                <m:t>=</m:t>
              </m:r>
              <m:r>
                <m:rPr>
                  <m:sty m:val="b"/>
                </m:rPr>
                <w:rPr>
                  <w:rFonts w:ascii="Cambria Math" w:hAnsi="Cambria Math"/>
                </w:rPr>
                <m:t>1</m:t>
              </m:r>
              <m:ctrlPr>
                <w:rPr>
                  <w:rFonts w:ascii="Cambria Math" w:hAnsi="Cambria Math"/>
                </w:rPr>
              </m:ctrlPr>
            </m:sub>
            <m:sup>
              <m:r>
                <m:rPr>
                  <m:sty m:val="bi"/>
                </m:rPr>
                <w:rPr>
                  <w:rFonts w:ascii="Cambria Math" w:hAnsi="Cambria Math"/>
                </w:rPr>
                <m:t>n</m:t>
              </m:r>
              <m:ctrlPr>
                <w:rPr>
                  <w:rFonts w:ascii="Cambria Math" w:hAnsi="Cambria Math"/>
                </w:rPr>
              </m:ctrlPr>
            </m:sup>
            <m:e>
              <m:sSub>
                <m:sSubPr>
                  <m:ctrlPr>
                    <w:rPr>
                      <w:rFonts w:ascii="Cambria Math" w:hAnsi="Cambria Math"/>
                    </w:rPr>
                  </m:ctrlPr>
                </m:sSubPr>
                <m:e>
                  <m:r>
                    <m:rPr>
                      <m:sty m:val="bi"/>
                    </m:rPr>
                    <w:rPr>
                      <w:rFonts w:ascii="Cambria Math" w:hAnsi="Cambria Math"/>
                    </w:rPr>
                    <m:t>D</m:t>
                  </m:r>
                  <m:ctrlPr>
                    <w:rPr>
                      <w:rFonts w:ascii="Cambria Math" w:hAnsi="Cambria Math"/>
                    </w:rPr>
                  </m:ctrlPr>
                </m:e>
                <m:sub>
                  <m:r>
                    <m:rPr>
                      <m:sty m:val="bi"/>
                    </m:rPr>
                    <w:rPr>
                      <w:rFonts w:ascii="Cambria Math" w:hAnsi="Cambria Math"/>
                    </w:rPr>
                    <m:t>ij</m:t>
                  </m:r>
                  <m:ctrlPr>
                    <w:rPr>
                      <w:rFonts w:ascii="Cambria Math" w:hAnsi="Cambria Math"/>
                    </w:rPr>
                  </m:ctrlPr>
                </m:sub>
              </m:sSub>
              <m:r>
                <m:rPr>
                  <m:sty m:val="p"/>
                </m:rPr>
                <w:rPr>
                  <w:rFonts w:ascii="Cambria Math" w:hAnsi="Cambria Math"/>
                </w:rPr>
                <m:t>×</m:t>
              </m:r>
              <m:sSub>
                <m:sSubPr>
                  <m:ctrlPr>
                    <w:rPr>
                      <w:rFonts w:ascii="Cambria Math" w:hAnsi="Cambria Math"/>
                    </w:rPr>
                  </m:ctrlPr>
                </m:sSubPr>
                <m:e>
                  <m:r>
                    <m:rPr>
                      <m:sty m:val="bi"/>
                    </m:rPr>
                    <w:rPr>
                      <w:rFonts w:ascii="Cambria Math" w:hAnsi="Cambria Math"/>
                    </w:rPr>
                    <m:t>S</m:t>
                  </m:r>
                  <m:ctrlPr>
                    <w:rPr>
                      <w:rFonts w:ascii="Cambria Math" w:hAnsi="Cambria Math"/>
                    </w:rPr>
                  </m:ctrlPr>
                </m:e>
                <m:sub>
                  <m:r>
                    <m:rPr>
                      <m:sty m:val="bi"/>
                    </m:rPr>
                    <w:rPr>
                      <w:rFonts w:ascii="Cambria Math" w:hAnsi="Cambria Math"/>
                    </w:rPr>
                    <m:t>j</m:t>
                  </m:r>
                  <m:ctrlPr>
                    <w:rPr>
                      <w:rFonts w:ascii="Cambria Math" w:hAnsi="Cambria Math"/>
                    </w:rPr>
                  </m:ctrlPr>
                </m:sub>
              </m:sSub>
              <m:r>
                <m:rPr>
                  <m:sty m:val="p"/>
                </m:rPr>
                <w:rPr>
                  <w:rFonts w:ascii="Cambria Math" w:hAnsi="Cambria Math"/>
                </w:rPr>
                <m:t>×</m:t>
              </m:r>
              <m:sSub>
                <m:sSubPr>
                  <m:ctrlPr>
                    <w:rPr>
                      <w:rFonts w:ascii="Cambria Math" w:hAnsi="Cambria Math"/>
                    </w:rPr>
                  </m:ctrlPr>
                </m:sSubPr>
                <m:e>
                  <m:r>
                    <m:rPr>
                      <m:sty m:val="bi"/>
                    </m:rPr>
                    <w:rPr>
                      <w:rFonts w:ascii="Cambria Math" w:hAnsi="Cambria Math"/>
                    </w:rPr>
                    <m:t>K</m:t>
                  </m:r>
                  <m:ctrlPr>
                    <w:rPr>
                      <w:rFonts w:ascii="Cambria Math" w:hAnsi="Cambria Math"/>
                    </w:rPr>
                  </m:ctrlPr>
                </m:e>
                <m:sub>
                  <m:r>
                    <m:rPr>
                      <m:sty m:val="bi"/>
                    </m:rPr>
                    <w:rPr>
                      <w:rFonts w:ascii="Cambria Math" w:hAnsi="Cambria Math"/>
                    </w:rPr>
                    <m:t>ij</m:t>
                  </m:r>
                  <m:ctrlPr>
                    <w:rPr>
                      <w:rFonts w:ascii="Cambria Math" w:hAnsi="Cambria Math"/>
                    </w:rPr>
                  </m:ctrlPr>
                </m:sub>
              </m:sSub>
              <m:r>
                <m:rPr>
                  <m:sty m:val="p"/>
                </m:rPr>
                <w:rPr>
                  <w:rFonts w:ascii="Cambria Math" w:hAnsi="Cambria Math"/>
                </w:rPr>
                <m:t>×</m:t>
              </m:r>
              <m:r>
                <m:rPr>
                  <m:sty m:val="bi"/>
                </m:rPr>
                <w:rPr>
                  <w:rFonts w:ascii="Cambria Math" w:hAnsi="Cambria Math"/>
                </w:rPr>
                <m:t>T</m:t>
              </m:r>
              <m:r>
                <m:rPr>
                  <m:sty m:val="p"/>
                </m:rPr>
                <w:rPr>
                  <w:rFonts w:ascii="Cambria Math" w:hAnsi="Cambria Math"/>
                </w:rPr>
                <m:t>×</m:t>
              </m:r>
              <m:r>
                <m:rPr>
                  <m:sty m:val="bi"/>
                </m:rPr>
                <w:rPr>
                  <w:rFonts w:ascii="Cambria Math" w:hAnsi="Cambria Math"/>
                </w:rPr>
                <m:t>N</m:t>
              </m:r>
              <m:ctrlPr>
                <w:rPr>
                  <w:rFonts w:ascii="Cambria Math" w:hAnsi="Cambria Math"/>
                </w:rPr>
              </m:ctrlPr>
            </m:e>
          </m:nary>
        </m:oMath>
      </m:oMathPara>
    </w:p>
    <w:p w14:paraId="559B29AA">
      <w:pPr>
        <w:ind w:firstLine="437"/>
      </w:pPr>
      <w:r>
        <w:t>式中：</w:t>
      </w:r>
    </w:p>
    <w:p w14:paraId="3C9A3081">
      <w:pPr>
        <w:ind w:firstLine="437"/>
      </w:pPr>
      <w:r>
        <w:rPr>
          <w:i/>
        </w:rPr>
        <w:t>W</w:t>
      </w:r>
      <w:r>
        <w:rPr>
          <w:i/>
          <w:vertAlign w:val="subscript"/>
        </w:rPr>
        <w:t>i</w:t>
      </w:r>
      <w:r>
        <w:t xml:space="preserve">—第 </w:t>
      </w:r>
      <w:r>
        <w:rPr>
          <w:i/>
        </w:rPr>
        <w:t>i</w:t>
      </w:r>
      <w:r>
        <w:t xml:space="preserve"> 种类生物资源累计损失量；</w:t>
      </w:r>
    </w:p>
    <w:p w14:paraId="0243A53A">
      <w:pPr>
        <w:ind w:firstLine="437"/>
      </w:pPr>
      <w:r>
        <w:rPr>
          <w:i/>
        </w:rPr>
        <w:t>D</w:t>
      </w:r>
      <w:r>
        <w:rPr>
          <w:i/>
          <w:vertAlign w:val="subscript"/>
        </w:rPr>
        <w:t xml:space="preserve">ij </w:t>
      </w:r>
      <w:r>
        <w:t>—第</w:t>
      </w:r>
      <w:r>
        <w:rPr>
          <w:i/>
        </w:rPr>
        <w:t xml:space="preserve"> j</w:t>
      </w:r>
      <w:r>
        <w:t xml:space="preserve"> 类影响区中第 </w:t>
      </w:r>
      <w:r>
        <w:rPr>
          <w:i/>
        </w:rPr>
        <w:t>i</w:t>
      </w:r>
      <w:r>
        <w:t xml:space="preserve"> 类生物的资源密度；</w:t>
      </w:r>
    </w:p>
    <w:p w14:paraId="782645CF">
      <w:pPr>
        <w:ind w:firstLine="437"/>
      </w:pPr>
      <w:r>
        <w:rPr>
          <w:i/>
        </w:rPr>
        <w:t>S</w:t>
      </w:r>
      <w:r>
        <w:rPr>
          <w:rFonts w:hint="eastAsia"/>
          <w:i/>
          <w:vertAlign w:val="subscript"/>
        </w:rPr>
        <w:t>j</w:t>
      </w:r>
      <w:r>
        <w:t>—第</w:t>
      </w:r>
      <w:r>
        <w:rPr>
          <w:i/>
        </w:rPr>
        <w:t xml:space="preserve"> j</w:t>
      </w:r>
      <w:r>
        <w:t xml:space="preserve"> 类影响区面积，最大范围为炸礁区域周边</w:t>
      </w:r>
      <w:r>
        <w:rPr>
          <w:rFonts w:hint="eastAsia"/>
        </w:rPr>
        <w:t>700m</w:t>
      </w:r>
      <w:r>
        <w:t>；</w:t>
      </w:r>
    </w:p>
    <w:p w14:paraId="6F5108B0">
      <w:pPr>
        <w:ind w:firstLine="437"/>
      </w:pPr>
      <w:r>
        <w:rPr>
          <w:i/>
        </w:rPr>
        <w:t>K</w:t>
      </w:r>
      <w:r>
        <w:rPr>
          <w:i/>
          <w:vertAlign w:val="subscript"/>
        </w:rPr>
        <w:t>ij</w:t>
      </w:r>
      <w:r>
        <w:t xml:space="preserve">—第 </w:t>
      </w:r>
      <w:r>
        <w:rPr>
          <w:i/>
        </w:rPr>
        <w:t>j</w:t>
      </w:r>
      <w:r>
        <w:t xml:space="preserve"> 类影响区第</w:t>
      </w:r>
      <w:r>
        <w:rPr>
          <w:i/>
        </w:rPr>
        <w:t xml:space="preserve"> i</w:t>
      </w:r>
      <w:r>
        <w:t xml:space="preserve"> 种类生物致死率；</w:t>
      </w:r>
    </w:p>
    <w:p w14:paraId="12C74DD6">
      <w:pPr>
        <w:ind w:firstLine="437"/>
      </w:pPr>
      <w:r>
        <w:rPr>
          <w:i/>
        </w:rPr>
        <w:t>T</w:t>
      </w:r>
      <w:r>
        <w:t>—第</w:t>
      </w:r>
      <w:r>
        <w:rPr>
          <w:i/>
        </w:rPr>
        <w:t>j</w:t>
      </w:r>
      <w:r>
        <w:t>类影响区的爆破影响周期数（15d为一周期）；</w:t>
      </w:r>
    </w:p>
    <w:p w14:paraId="0301D500">
      <w:pPr>
        <w:ind w:firstLine="437"/>
      </w:pPr>
      <w:r>
        <w:rPr>
          <w:i/>
        </w:rPr>
        <w:t>N</w:t>
      </w:r>
      <w:r>
        <w:t>—15d为一个周期内爆破次数累积系数，爆破1次，取1.0，每增加一次增加0.2；</w:t>
      </w:r>
    </w:p>
    <w:p w14:paraId="785514B3">
      <w:pPr>
        <w:ind w:firstLine="437"/>
      </w:pPr>
      <w:r>
        <w:rPr>
          <w:i/>
        </w:rPr>
        <w:t>n</w:t>
      </w:r>
      <w:r>
        <w:t>—冲击波峰值压力值分区总数。</w:t>
      </w:r>
    </w:p>
    <w:p w14:paraId="7307FD9B">
      <w:pPr>
        <w:ind w:firstLine="439"/>
        <w:rPr>
          <w:b/>
        </w:rPr>
      </w:pPr>
      <w:r>
        <w:rPr>
          <w:b/>
        </w:rPr>
        <w:t>2</w:t>
      </w:r>
      <w:r>
        <w:rPr>
          <w:rFonts w:hint="eastAsia" w:ascii="宋体" w:hAnsi="宋体" w:cs="宋体"/>
          <w:b/>
        </w:rPr>
        <w:t>、</w:t>
      </w:r>
      <w:r>
        <w:rPr>
          <w:b/>
        </w:rPr>
        <w:t>损失量计算</w:t>
      </w:r>
    </w:p>
    <w:p w14:paraId="14990757">
      <w:pPr>
        <w:ind w:firstLine="437"/>
      </w:pPr>
      <w:r>
        <w:t>爆破施工的危害程度随使用炸药的类型、炸药量、爆破作业方式、环境条件等的变化而不同。</w:t>
      </w:r>
    </w:p>
    <w:p w14:paraId="4DBB5AF6">
      <w:pPr>
        <w:ind w:firstLine="437"/>
        <w:rPr>
          <w:kern w:val="0"/>
        </w:rPr>
      </w:pPr>
      <w:r>
        <w:rPr>
          <w:kern w:val="0"/>
        </w:rPr>
        <w:t>水下爆破（炸礁）引起的海洋生物鱼类和虾类的损失量估算结果及经济损失见表4.</w:t>
      </w:r>
      <w:r>
        <w:rPr>
          <w:rFonts w:hint="eastAsia"/>
          <w:kern w:val="0"/>
        </w:rPr>
        <w:t>2</w:t>
      </w:r>
      <w:r>
        <w:rPr>
          <w:kern w:val="0"/>
        </w:rPr>
        <w:t>-</w:t>
      </w:r>
      <w:r>
        <w:rPr>
          <w:rFonts w:hint="eastAsia"/>
          <w:kern w:val="0"/>
        </w:rPr>
        <w:t>12</w:t>
      </w:r>
      <w:r>
        <w:rPr>
          <w:kern w:val="0"/>
        </w:rPr>
        <w:t>。</w:t>
      </w:r>
    </w:p>
    <w:p w14:paraId="279D7EB6">
      <w:pPr>
        <w:ind w:firstLine="437"/>
      </w:pPr>
      <w:r>
        <w:t>爆破主要对鱼类、仔鱼和鱼卵造成损害。各项计算参数如下：</w:t>
      </w:r>
    </w:p>
    <w:p w14:paraId="6012E2CF">
      <w:pPr>
        <w:ind w:firstLine="437"/>
      </w:pPr>
      <w:r>
        <w:rPr>
          <w:i/>
          <w:iCs/>
        </w:rPr>
        <w:t>D</w:t>
      </w:r>
      <w:r>
        <w:rPr>
          <w:i/>
          <w:iCs/>
          <w:vertAlign w:val="subscript"/>
        </w:rPr>
        <w:t>ij</w:t>
      </w:r>
      <w:r>
        <w:t>：根据调查结果，评价区域内游泳</w:t>
      </w:r>
      <w:r>
        <w:rPr>
          <w:rFonts w:hint="eastAsia"/>
        </w:rPr>
        <w:t>生物</w:t>
      </w:r>
      <w:r>
        <w:t>平均资源密度为</w:t>
      </w:r>
      <w:r>
        <w:rPr>
          <w:rFonts w:hint="eastAsia"/>
        </w:rPr>
        <w:t>540</w:t>
      </w:r>
      <w:r>
        <w:t>kg/km</w:t>
      </w:r>
      <w:r>
        <w:rPr>
          <w:vertAlign w:val="superscript"/>
        </w:rPr>
        <w:t>2</w:t>
      </w:r>
      <w:r>
        <w:t>。</w:t>
      </w:r>
    </w:p>
    <w:p w14:paraId="4F93FF1B">
      <w:pPr>
        <w:ind w:firstLine="437"/>
      </w:pPr>
      <w:r>
        <w:rPr>
          <w:i/>
          <w:iCs/>
        </w:rPr>
        <w:t>S</w:t>
      </w:r>
      <w:r>
        <w:rPr>
          <w:i/>
          <w:iCs/>
          <w:vertAlign w:val="subscript"/>
        </w:rPr>
        <w:t>j</w:t>
      </w:r>
      <w:r>
        <w:t>：爆破区0m～100m范围面积约为</w:t>
      </w:r>
      <w:r>
        <w:rPr>
          <w:rFonts w:hint="eastAsia"/>
        </w:rPr>
        <w:t>27.12</w:t>
      </w:r>
      <w:r>
        <w:t>hm</w:t>
      </w:r>
      <w:r>
        <w:rPr>
          <w:vertAlign w:val="superscript"/>
        </w:rPr>
        <w:t>2</w:t>
      </w:r>
      <w:r>
        <w:t>，爆破区外100m～300m范围面积为</w:t>
      </w:r>
      <w:r>
        <w:rPr>
          <w:rFonts w:hint="eastAsia"/>
        </w:rPr>
        <w:t>73.98</w:t>
      </w:r>
      <w:r>
        <w:t>hm</w:t>
      </w:r>
      <w:r>
        <w:rPr>
          <w:vertAlign w:val="superscript"/>
        </w:rPr>
        <w:t>2</w:t>
      </w:r>
      <w:r>
        <w:t>，爆破区外300m～500m范围内面积为</w:t>
      </w:r>
      <w:r>
        <w:rPr>
          <w:rFonts w:hint="eastAsia"/>
        </w:rPr>
        <w:t>87.66</w:t>
      </w:r>
      <w:r>
        <w:t>hm</w:t>
      </w:r>
      <w:r>
        <w:rPr>
          <w:vertAlign w:val="superscript"/>
        </w:rPr>
        <w:t>2</w:t>
      </w:r>
      <w:r>
        <w:t>，爆破区外500m～700m范围内面积为</w:t>
      </w:r>
      <w:r>
        <w:rPr>
          <w:rFonts w:hint="eastAsia"/>
        </w:rPr>
        <w:t>97.24</w:t>
      </w:r>
      <w:r>
        <w:t>hm</w:t>
      </w:r>
      <w:r>
        <w:rPr>
          <w:vertAlign w:val="superscript"/>
        </w:rPr>
        <w:t>2</w:t>
      </w:r>
      <w:r>
        <w:t>。</w:t>
      </w:r>
    </w:p>
    <w:p w14:paraId="4504495F">
      <w:pPr>
        <w:ind w:firstLine="437"/>
      </w:pPr>
      <w:r>
        <w:rPr>
          <w:i/>
          <w:iCs/>
        </w:rPr>
        <w:t>K</w:t>
      </w:r>
      <w:r>
        <w:rPr>
          <w:i/>
          <w:iCs/>
          <w:vertAlign w:val="subscript"/>
        </w:rPr>
        <w:t>ij</w:t>
      </w:r>
      <w:r>
        <w:t>：根据《建设项目对海洋生物资源影响评价技术规程》（SC/T 9110-2007）附录C 水下爆破冲击波峰值压力和渔业生物致死率计算方法，本工程按照单次最大装药量250kg计，距爆破中心100m范围内致死率100%，距爆破中心300m范围内为20%，距离500m处为10%，距离700m处为3%。</w:t>
      </w:r>
    </w:p>
    <w:p w14:paraId="507F8A91">
      <w:pPr>
        <w:ind w:firstLine="437"/>
      </w:pPr>
      <w:r>
        <w:t>T：本项目钻爆施工期为</w:t>
      </w:r>
      <w:r>
        <w:rPr>
          <w:rFonts w:hint="eastAsia"/>
        </w:rPr>
        <w:t>50</w:t>
      </w:r>
      <w:r>
        <w:t>d，则爆破影响周期数为</w:t>
      </w:r>
      <w:r>
        <w:rPr>
          <w:rFonts w:hint="eastAsia"/>
        </w:rPr>
        <w:t>4</w:t>
      </w:r>
      <w:r>
        <w:t>。</w:t>
      </w:r>
    </w:p>
    <w:p w14:paraId="47F3BA56">
      <w:pPr>
        <w:ind w:firstLine="437"/>
      </w:pPr>
      <w:r>
        <w:t>N：施工期爆破次数约为</w:t>
      </w:r>
      <w:r>
        <w:rPr>
          <w:rFonts w:hint="eastAsia"/>
        </w:rPr>
        <w:t>160</w:t>
      </w:r>
      <w:r>
        <w:t>次，则每个周期爆破</w:t>
      </w:r>
      <w:r>
        <w:rPr>
          <w:rFonts w:hint="eastAsia"/>
        </w:rPr>
        <w:t>40</w:t>
      </w:r>
      <w:r>
        <w:t>次，则爆破次数累计系数为</w:t>
      </w:r>
      <w:r>
        <w:rPr>
          <w:rFonts w:hint="eastAsia"/>
        </w:rPr>
        <w:t>8.8</w:t>
      </w:r>
      <w:r>
        <w:t>。</w:t>
      </w:r>
    </w:p>
    <w:p w14:paraId="6C405107">
      <w:pPr>
        <w:ind w:firstLine="437"/>
        <w:rPr>
          <w:kern w:val="0"/>
        </w:rPr>
      </w:pPr>
      <w:r>
        <w:rPr>
          <w:kern w:val="0"/>
        </w:rPr>
        <w:t>n：冲击波峰值压力值分区总数n为1。</w:t>
      </w:r>
    </w:p>
    <w:p w14:paraId="7A7166EF">
      <w:pPr>
        <w:pStyle w:val="7"/>
      </w:pPr>
      <w:r>
        <w:t>水下爆破（炸礁）造成渔业资源损失表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77"/>
        <w:gridCol w:w="1010"/>
        <w:gridCol w:w="1538"/>
        <w:gridCol w:w="1532"/>
        <w:gridCol w:w="1666"/>
        <w:gridCol w:w="795"/>
        <w:gridCol w:w="1210"/>
      </w:tblGrid>
      <w:tr w14:paraId="1429CF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2" w:hRule="atLeast"/>
          <w:tblHeader/>
          <w:jc w:val="center"/>
        </w:trPr>
        <w:tc>
          <w:tcPr>
            <w:tcW w:w="0" w:type="auto"/>
            <w:vAlign w:val="center"/>
          </w:tcPr>
          <w:p w14:paraId="6B86E684">
            <w:pPr>
              <w:pStyle w:val="34"/>
            </w:pPr>
            <w:r>
              <w:t>资源类别</w:t>
            </w:r>
          </w:p>
        </w:tc>
        <w:tc>
          <w:tcPr>
            <w:tcW w:w="0" w:type="auto"/>
            <w:vAlign w:val="center"/>
          </w:tcPr>
          <w:p w14:paraId="3146545C">
            <w:pPr>
              <w:pStyle w:val="34"/>
            </w:pPr>
            <w:r>
              <w:t>资源密度</w:t>
            </w:r>
          </w:p>
          <w:p w14:paraId="721F1161">
            <w:pPr>
              <w:pStyle w:val="34"/>
            </w:pPr>
            <w:r>
              <w:t>D</w:t>
            </w:r>
            <w:r>
              <w:rPr>
                <w:vertAlign w:val="subscript"/>
              </w:rPr>
              <w:t>i</w:t>
            </w:r>
          </w:p>
        </w:tc>
        <w:tc>
          <w:tcPr>
            <w:tcW w:w="0" w:type="auto"/>
            <w:vAlign w:val="center"/>
          </w:tcPr>
          <w:p w14:paraId="2CEAACC7">
            <w:pPr>
              <w:pStyle w:val="34"/>
            </w:pPr>
            <w:r>
              <w:t>影响面积</w:t>
            </w:r>
            <w:r>
              <w:rPr>
                <w:rFonts w:hint="eastAsia"/>
              </w:rPr>
              <w:t>S</w:t>
            </w:r>
            <w:r>
              <w:rPr>
                <w:rFonts w:hint="eastAsia"/>
                <w:vertAlign w:val="subscript"/>
              </w:rPr>
              <w:t>j</w:t>
            </w:r>
            <w:r>
              <w:t>（km</w:t>
            </w:r>
            <w:r>
              <w:rPr>
                <w:vertAlign w:val="superscript"/>
              </w:rPr>
              <w:t>2</w:t>
            </w:r>
            <w:r>
              <w:t>）</w:t>
            </w:r>
          </w:p>
        </w:tc>
        <w:tc>
          <w:tcPr>
            <w:tcW w:w="0" w:type="auto"/>
            <w:vAlign w:val="center"/>
          </w:tcPr>
          <w:p w14:paraId="41F30F8E">
            <w:pPr>
              <w:pStyle w:val="34"/>
            </w:pPr>
            <w:r>
              <w:t>T（爆破影响周期数）</w:t>
            </w:r>
          </w:p>
        </w:tc>
        <w:tc>
          <w:tcPr>
            <w:tcW w:w="0" w:type="auto"/>
            <w:vAlign w:val="center"/>
          </w:tcPr>
          <w:p w14:paraId="24A89C72">
            <w:pPr>
              <w:pStyle w:val="34"/>
            </w:pPr>
            <w:r>
              <w:t>N（爆破次数累计系数）</w:t>
            </w:r>
          </w:p>
        </w:tc>
        <w:tc>
          <w:tcPr>
            <w:tcW w:w="795" w:type="dxa"/>
            <w:vAlign w:val="center"/>
          </w:tcPr>
          <w:p w14:paraId="73867D6E">
            <w:pPr>
              <w:pStyle w:val="34"/>
            </w:pPr>
            <w:r>
              <w:t>损失率（%）</w:t>
            </w:r>
          </w:p>
        </w:tc>
        <w:tc>
          <w:tcPr>
            <w:tcW w:w="1209" w:type="dxa"/>
            <w:vAlign w:val="center"/>
          </w:tcPr>
          <w:p w14:paraId="0986D1C3">
            <w:pPr>
              <w:pStyle w:val="34"/>
            </w:pPr>
            <w:r>
              <w:t>Wi损失量</w:t>
            </w:r>
            <w:r>
              <w:rPr>
                <w:rFonts w:hint="eastAsia"/>
              </w:rPr>
              <w:t>/kg</w:t>
            </w:r>
          </w:p>
        </w:tc>
      </w:tr>
      <w:tr w14:paraId="14881E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3" w:hRule="atLeast"/>
          <w:jc w:val="center"/>
        </w:trPr>
        <w:tc>
          <w:tcPr>
            <w:tcW w:w="0" w:type="auto"/>
            <w:vMerge w:val="restart"/>
            <w:vAlign w:val="center"/>
          </w:tcPr>
          <w:p w14:paraId="23075B2C">
            <w:pPr>
              <w:pStyle w:val="34"/>
            </w:pPr>
            <w:bookmarkStart w:id="466" w:name="_Hlk198018658"/>
            <w:r>
              <w:t>游泳生物</w:t>
            </w:r>
          </w:p>
        </w:tc>
        <w:tc>
          <w:tcPr>
            <w:tcW w:w="0" w:type="auto"/>
            <w:vMerge w:val="restart"/>
            <w:vAlign w:val="center"/>
          </w:tcPr>
          <w:p w14:paraId="6C4160E7">
            <w:pPr>
              <w:pStyle w:val="34"/>
            </w:pPr>
            <w:r>
              <w:rPr>
                <w:rFonts w:hint="eastAsia"/>
              </w:rPr>
              <w:t>0.54</w:t>
            </w:r>
            <w:r>
              <w:t>t/km</w:t>
            </w:r>
            <w:r>
              <w:rPr>
                <w:vertAlign w:val="superscript"/>
              </w:rPr>
              <w:t>2</w:t>
            </w:r>
          </w:p>
        </w:tc>
        <w:tc>
          <w:tcPr>
            <w:tcW w:w="0" w:type="auto"/>
            <w:vAlign w:val="center"/>
          </w:tcPr>
          <w:p w14:paraId="232F676B">
            <w:pPr>
              <w:pStyle w:val="34"/>
              <w:rPr>
                <w:kern w:val="0"/>
                <w:szCs w:val="21"/>
              </w:rPr>
            </w:pPr>
            <w:r>
              <w:rPr>
                <w:rFonts w:hint="eastAsia"/>
                <w:kern w:val="0"/>
                <w:szCs w:val="21"/>
              </w:rPr>
              <w:t>0.2712</w:t>
            </w:r>
          </w:p>
        </w:tc>
        <w:tc>
          <w:tcPr>
            <w:tcW w:w="0" w:type="auto"/>
            <w:vAlign w:val="center"/>
          </w:tcPr>
          <w:p w14:paraId="6C9F441E">
            <w:pPr>
              <w:pStyle w:val="34"/>
              <w:rPr>
                <w:kern w:val="0"/>
                <w:szCs w:val="21"/>
              </w:rPr>
            </w:pPr>
            <w:r>
              <w:rPr>
                <w:rFonts w:hint="eastAsia"/>
                <w:kern w:val="0"/>
                <w:szCs w:val="21"/>
              </w:rPr>
              <w:t>4</w:t>
            </w:r>
          </w:p>
        </w:tc>
        <w:tc>
          <w:tcPr>
            <w:tcW w:w="0" w:type="auto"/>
            <w:vAlign w:val="center"/>
          </w:tcPr>
          <w:p w14:paraId="35052158">
            <w:pPr>
              <w:pStyle w:val="34"/>
              <w:rPr>
                <w:kern w:val="0"/>
                <w:szCs w:val="21"/>
              </w:rPr>
            </w:pPr>
            <w:r>
              <w:rPr>
                <w:rFonts w:hint="eastAsia"/>
                <w:kern w:val="0"/>
                <w:szCs w:val="21"/>
              </w:rPr>
              <w:t>8.8</w:t>
            </w:r>
          </w:p>
        </w:tc>
        <w:tc>
          <w:tcPr>
            <w:tcW w:w="795" w:type="dxa"/>
            <w:vAlign w:val="center"/>
          </w:tcPr>
          <w:p w14:paraId="20DCFCEB">
            <w:pPr>
              <w:pStyle w:val="34"/>
              <w:rPr>
                <w:kern w:val="0"/>
                <w:szCs w:val="21"/>
              </w:rPr>
            </w:pPr>
            <w:r>
              <w:rPr>
                <w:kern w:val="0"/>
                <w:szCs w:val="21"/>
              </w:rPr>
              <w:t>100</w:t>
            </w:r>
          </w:p>
        </w:tc>
        <w:tc>
          <w:tcPr>
            <w:tcW w:w="1209" w:type="dxa"/>
            <w:vAlign w:val="center"/>
          </w:tcPr>
          <w:p w14:paraId="58DF95F1">
            <w:pPr>
              <w:pStyle w:val="34"/>
              <w:rPr>
                <w:kern w:val="0"/>
                <w:szCs w:val="21"/>
              </w:rPr>
            </w:pPr>
            <w:r>
              <w:rPr>
                <w:sz w:val="22"/>
                <w:szCs w:val="22"/>
              </w:rPr>
              <w:t>18</w:t>
            </w:r>
            <w:r>
              <w:rPr>
                <w:rFonts w:hint="eastAsia"/>
                <w:sz w:val="22"/>
                <w:szCs w:val="22"/>
              </w:rPr>
              <w:t>.04</w:t>
            </w:r>
          </w:p>
        </w:tc>
      </w:tr>
      <w:tr w14:paraId="63C268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7" w:hRule="atLeast"/>
          <w:jc w:val="center"/>
        </w:trPr>
        <w:tc>
          <w:tcPr>
            <w:tcW w:w="0" w:type="auto"/>
            <w:vMerge w:val="continue"/>
            <w:vAlign w:val="center"/>
          </w:tcPr>
          <w:p w14:paraId="4513BAE1">
            <w:pPr>
              <w:pStyle w:val="34"/>
            </w:pPr>
          </w:p>
        </w:tc>
        <w:tc>
          <w:tcPr>
            <w:tcW w:w="0" w:type="auto"/>
            <w:vMerge w:val="continue"/>
            <w:vAlign w:val="center"/>
          </w:tcPr>
          <w:p w14:paraId="20F519FD">
            <w:pPr>
              <w:pStyle w:val="34"/>
            </w:pPr>
          </w:p>
        </w:tc>
        <w:tc>
          <w:tcPr>
            <w:tcW w:w="0" w:type="auto"/>
            <w:vAlign w:val="center"/>
          </w:tcPr>
          <w:p w14:paraId="75F2C6FD">
            <w:pPr>
              <w:pStyle w:val="34"/>
              <w:rPr>
                <w:kern w:val="0"/>
                <w:szCs w:val="21"/>
              </w:rPr>
            </w:pPr>
            <w:r>
              <w:rPr>
                <w:rFonts w:hint="eastAsia"/>
                <w:kern w:val="0"/>
                <w:szCs w:val="21"/>
              </w:rPr>
              <w:t>0.7398</w:t>
            </w:r>
          </w:p>
        </w:tc>
        <w:tc>
          <w:tcPr>
            <w:tcW w:w="0" w:type="auto"/>
            <w:vAlign w:val="center"/>
          </w:tcPr>
          <w:p w14:paraId="7DC8CE12">
            <w:pPr>
              <w:pStyle w:val="34"/>
              <w:rPr>
                <w:kern w:val="0"/>
                <w:szCs w:val="21"/>
              </w:rPr>
            </w:pPr>
            <w:r>
              <w:rPr>
                <w:rFonts w:hint="eastAsia"/>
                <w:kern w:val="0"/>
                <w:szCs w:val="21"/>
              </w:rPr>
              <w:t>4</w:t>
            </w:r>
          </w:p>
        </w:tc>
        <w:tc>
          <w:tcPr>
            <w:tcW w:w="0" w:type="auto"/>
            <w:vAlign w:val="center"/>
          </w:tcPr>
          <w:p w14:paraId="1B96739D">
            <w:pPr>
              <w:pStyle w:val="34"/>
              <w:rPr>
                <w:kern w:val="0"/>
                <w:szCs w:val="21"/>
              </w:rPr>
            </w:pPr>
            <w:r>
              <w:rPr>
                <w:rFonts w:hint="eastAsia"/>
                <w:kern w:val="0"/>
                <w:szCs w:val="21"/>
              </w:rPr>
              <w:t>8.8</w:t>
            </w:r>
          </w:p>
        </w:tc>
        <w:tc>
          <w:tcPr>
            <w:tcW w:w="795" w:type="dxa"/>
            <w:vAlign w:val="center"/>
          </w:tcPr>
          <w:p w14:paraId="75DE173D">
            <w:pPr>
              <w:pStyle w:val="34"/>
              <w:rPr>
                <w:kern w:val="0"/>
                <w:szCs w:val="21"/>
              </w:rPr>
            </w:pPr>
            <w:r>
              <w:rPr>
                <w:kern w:val="0"/>
                <w:szCs w:val="21"/>
              </w:rPr>
              <w:t>20</w:t>
            </w:r>
          </w:p>
        </w:tc>
        <w:tc>
          <w:tcPr>
            <w:tcW w:w="1209" w:type="dxa"/>
            <w:vAlign w:val="center"/>
          </w:tcPr>
          <w:p w14:paraId="642E6AC1">
            <w:pPr>
              <w:pStyle w:val="34"/>
              <w:rPr>
                <w:kern w:val="0"/>
                <w:szCs w:val="21"/>
              </w:rPr>
            </w:pPr>
            <w:r>
              <w:rPr>
                <w:rFonts w:hint="eastAsia"/>
                <w:sz w:val="22"/>
                <w:szCs w:val="22"/>
              </w:rPr>
              <w:t>9.84</w:t>
            </w:r>
          </w:p>
        </w:tc>
      </w:tr>
      <w:tr w14:paraId="631416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0" w:type="auto"/>
            <w:vMerge w:val="continue"/>
            <w:vAlign w:val="center"/>
          </w:tcPr>
          <w:p w14:paraId="341D75F6">
            <w:pPr>
              <w:pStyle w:val="34"/>
            </w:pPr>
          </w:p>
        </w:tc>
        <w:tc>
          <w:tcPr>
            <w:tcW w:w="0" w:type="auto"/>
            <w:vMerge w:val="continue"/>
            <w:vAlign w:val="center"/>
          </w:tcPr>
          <w:p w14:paraId="694338A7">
            <w:pPr>
              <w:pStyle w:val="34"/>
            </w:pPr>
          </w:p>
        </w:tc>
        <w:tc>
          <w:tcPr>
            <w:tcW w:w="0" w:type="auto"/>
            <w:vAlign w:val="center"/>
          </w:tcPr>
          <w:p w14:paraId="52E15A26">
            <w:pPr>
              <w:pStyle w:val="34"/>
              <w:rPr>
                <w:kern w:val="0"/>
                <w:szCs w:val="21"/>
              </w:rPr>
            </w:pPr>
            <w:r>
              <w:rPr>
                <w:rFonts w:hint="eastAsia"/>
                <w:kern w:val="0"/>
                <w:szCs w:val="21"/>
              </w:rPr>
              <w:t>0.8766</w:t>
            </w:r>
          </w:p>
        </w:tc>
        <w:tc>
          <w:tcPr>
            <w:tcW w:w="0" w:type="auto"/>
            <w:vAlign w:val="center"/>
          </w:tcPr>
          <w:p w14:paraId="2A4C4AD5">
            <w:pPr>
              <w:pStyle w:val="34"/>
              <w:rPr>
                <w:kern w:val="0"/>
                <w:szCs w:val="21"/>
              </w:rPr>
            </w:pPr>
            <w:r>
              <w:rPr>
                <w:rFonts w:hint="eastAsia"/>
                <w:kern w:val="0"/>
                <w:szCs w:val="21"/>
              </w:rPr>
              <w:t>4</w:t>
            </w:r>
          </w:p>
        </w:tc>
        <w:tc>
          <w:tcPr>
            <w:tcW w:w="0" w:type="auto"/>
            <w:vAlign w:val="center"/>
          </w:tcPr>
          <w:p w14:paraId="4BDF9DDA">
            <w:pPr>
              <w:pStyle w:val="34"/>
              <w:rPr>
                <w:kern w:val="0"/>
                <w:szCs w:val="21"/>
              </w:rPr>
            </w:pPr>
            <w:r>
              <w:rPr>
                <w:rFonts w:hint="eastAsia"/>
                <w:kern w:val="0"/>
                <w:szCs w:val="21"/>
              </w:rPr>
              <w:t>8.8</w:t>
            </w:r>
          </w:p>
        </w:tc>
        <w:tc>
          <w:tcPr>
            <w:tcW w:w="795" w:type="dxa"/>
            <w:vAlign w:val="center"/>
          </w:tcPr>
          <w:p w14:paraId="5CB7912E">
            <w:pPr>
              <w:pStyle w:val="34"/>
              <w:rPr>
                <w:kern w:val="0"/>
                <w:szCs w:val="21"/>
              </w:rPr>
            </w:pPr>
            <w:r>
              <w:rPr>
                <w:kern w:val="0"/>
                <w:szCs w:val="21"/>
              </w:rPr>
              <w:t>10</w:t>
            </w:r>
          </w:p>
        </w:tc>
        <w:tc>
          <w:tcPr>
            <w:tcW w:w="1209" w:type="dxa"/>
            <w:vAlign w:val="center"/>
          </w:tcPr>
          <w:p w14:paraId="09497B83">
            <w:pPr>
              <w:pStyle w:val="34"/>
              <w:rPr>
                <w:kern w:val="0"/>
                <w:szCs w:val="21"/>
              </w:rPr>
            </w:pPr>
            <w:r>
              <w:rPr>
                <w:rFonts w:hint="eastAsia"/>
                <w:sz w:val="22"/>
                <w:szCs w:val="22"/>
              </w:rPr>
              <w:t>5.83</w:t>
            </w:r>
            <w:r>
              <w:rPr>
                <w:sz w:val="22"/>
                <w:szCs w:val="22"/>
              </w:rPr>
              <w:t xml:space="preserve"> </w:t>
            </w:r>
          </w:p>
        </w:tc>
      </w:tr>
      <w:tr w14:paraId="5283B1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0" w:type="auto"/>
            <w:vMerge w:val="continue"/>
            <w:vAlign w:val="center"/>
          </w:tcPr>
          <w:p w14:paraId="14AA324C">
            <w:pPr>
              <w:pStyle w:val="34"/>
            </w:pPr>
          </w:p>
        </w:tc>
        <w:tc>
          <w:tcPr>
            <w:tcW w:w="0" w:type="auto"/>
            <w:vMerge w:val="continue"/>
            <w:vAlign w:val="center"/>
          </w:tcPr>
          <w:p w14:paraId="6058388B">
            <w:pPr>
              <w:pStyle w:val="34"/>
            </w:pPr>
          </w:p>
        </w:tc>
        <w:tc>
          <w:tcPr>
            <w:tcW w:w="0" w:type="auto"/>
            <w:vAlign w:val="center"/>
          </w:tcPr>
          <w:p w14:paraId="337E0969">
            <w:pPr>
              <w:pStyle w:val="34"/>
              <w:rPr>
                <w:kern w:val="0"/>
                <w:szCs w:val="21"/>
              </w:rPr>
            </w:pPr>
            <w:r>
              <w:rPr>
                <w:rFonts w:hint="eastAsia"/>
                <w:kern w:val="0"/>
                <w:szCs w:val="21"/>
              </w:rPr>
              <w:t>0.9724</w:t>
            </w:r>
          </w:p>
        </w:tc>
        <w:tc>
          <w:tcPr>
            <w:tcW w:w="0" w:type="auto"/>
            <w:vAlign w:val="center"/>
          </w:tcPr>
          <w:p w14:paraId="053BBD9E">
            <w:pPr>
              <w:pStyle w:val="34"/>
              <w:rPr>
                <w:kern w:val="0"/>
                <w:szCs w:val="21"/>
              </w:rPr>
            </w:pPr>
            <w:r>
              <w:rPr>
                <w:rFonts w:hint="eastAsia"/>
                <w:kern w:val="0"/>
                <w:szCs w:val="21"/>
              </w:rPr>
              <w:t>4</w:t>
            </w:r>
          </w:p>
        </w:tc>
        <w:tc>
          <w:tcPr>
            <w:tcW w:w="0" w:type="auto"/>
            <w:vAlign w:val="center"/>
          </w:tcPr>
          <w:p w14:paraId="5FE5F9EA">
            <w:pPr>
              <w:pStyle w:val="34"/>
              <w:rPr>
                <w:kern w:val="0"/>
                <w:szCs w:val="21"/>
              </w:rPr>
            </w:pPr>
            <w:r>
              <w:rPr>
                <w:rFonts w:hint="eastAsia"/>
                <w:kern w:val="0"/>
                <w:szCs w:val="21"/>
              </w:rPr>
              <w:t>8.8</w:t>
            </w:r>
          </w:p>
        </w:tc>
        <w:tc>
          <w:tcPr>
            <w:tcW w:w="795" w:type="dxa"/>
            <w:vAlign w:val="center"/>
          </w:tcPr>
          <w:p w14:paraId="14B16399">
            <w:pPr>
              <w:pStyle w:val="34"/>
              <w:rPr>
                <w:kern w:val="0"/>
                <w:szCs w:val="21"/>
              </w:rPr>
            </w:pPr>
            <w:r>
              <w:rPr>
                <w:rFonts w:hint="eastAsia"/>
                <w:kern w:val="0"/>
                <w:szCs w:val="21"/>
              </w:rPr>
              <w:t>3</w:t>
            </w:r>
          </w:p>
        </w:tc>
        <w:tc>
          <w:tcPr>
            <w:tcW w:w="1209" w:type="dxa"/>
            <w:vAlign w:val="center"/>
          </w:tcPr>
          <w:p w14:paraId="74469309">
            <w:pPr>
              <w:pStyle w:val="34"/>
              <w:rPr>
                <w:kern w:val="0"/>
                <w:szCs w:val="21"/>
              </w:rPr>
            </w:pPr>
            <w:r>
              <w:rPr>
                <w:rFonts w:hint="eastAsia"/>
                <w:sz w:val="22"/>
                <w:szCs w:val="22"/>
              </w:rPr>
              <w:t>1.94</w:t>
            </w:r>
          </w:p>
        </w:tc>
      </w:tr>
      <w:bookmarkEnd w:id="466"/>
      <w:tr w14:paraId="141C8C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 w:hRule="atLeast"/>
          <w:jc w:val="center"/>
        </w:trPr>
        <w:tc>
          <w:tcPr>
            <w:tcW w:w="0" w:type="auto"/>
            <w:vMerge w:val="continue"/>
            <w:vAlign w:val="center"/>
          </w:tcPr>
          <w:p w14:paraId="21484D0E">
            <w:pPr>
              <w:pStyle w:val="34"/>
            </w:pPr>
          </w:p>
        </w:tc>
        <w:tc>
          <w:tcPr>
            <w:tcW w:w="6319" w:type="dxa"/>
            <w:gridSpan w:val="5"/>
            <w:vAlign w:val="center"/>
          </w:tcPr>
          <w:p w14:paraId="6DC0CE2D">
            <w:pPr>
              <w:pStyle w:val="34"/>
            </w:pPr>
            <w:r>
              <w:t>小计</w:t>
            </w:r>
          </w:p>
        </w:tc>
        <w:tc>
          <w:tcPr>
            <w:tcW w:w="1209" w:type="dxa"/>
            <w:vAlign w:val="center"/>
          </w:tcPr>
          <w:p w14:paraId="18B2881D">
            <w:pPr>
              <w:pStyle w:val="34"/>
            </w:pPr>
            <w:r>
              <w:rPr>
                <w:rFonts w:hint="eastAsia"/>
              </w:rPr>
              <w:t>53.11</w:t>
            </w:r>
          </w:p>
        </w:tc>
      </w:tr>
    </w:tbl>
    <w:p w14:paraId="53240849">
      <w:pPr>
        <w:ind w:firstLine="437"/>
      </w:pPr>
      <w:r>
        <w:rPr>
          <w:rFonts w:hint="eastAsia"/>
        </w:rPr>
        <w:t>3、</w:t>
      </w:r>
      <w:r>
        <w:t>项目建设造成海洋生物资源量损害及经济损失汇总</w:t>
      </w:r>
    </w:p>
    <w:p w14:paraId="285EB7AE">
      <w:pPr>
        <w:ind w:firstLine="437"/>
      </w:pPr>
      <w:r>
        <w:t>项目炸礁爆破海洋生物补偿总金额为</w:t>
      </w:r>
      <w:r>
        <w:rPr>
          <w:rFonts w:hint="eastAsia"/>
        </w:rPr>
        <w:t>0.31万元，</w:t>
      </w:r>
      <w:r>
        <w:t>海洋生物资源量损失及经济损失汇总见表4.</w:t>
      </w:r>
      <w:r>
        <w:rPr>
          <w:rFonts w:hint="eastAsia"/>
        </w:rPr>
        <w:t>2</w:t>
      </w:r>
      <w:r>
        <w:t>-1</w:t>
      </w:r>
      <w:r>
        <w:rPr>
          <w:rFonts w:hint="eastAsia"/>
        </w:rPr>
        <w:t>3</w:t>
      </w:r>
      <w:r>
        <w:t>。</w:t>
      </w:r>
    </w:p>
    <w:p w14:paraId="54B95BE9">
      <w:pPr>
        <w:pStyle w:val="7"/>
      </w:pPr>
      <w:r>
        <w:t>生态补偿金额估算</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1303"/>
        <w:gridCol w:w="1442"/>
        <w:gridCol w:w="1302"/>
        <w:gridCol w:w="740"/>
        <w:gridCol w:w="1303"/>
        <w:gridCol w:w="1304"/>
      </w:tblGrid>
      <w:tr w14:paraId="5EACFC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65" w:type="pct"/>
            <w:vAlign w:val="center"/>
          </w:tcPr>
          <w:p w14:paraId="6607E158">
            <w:pPr>
              <w:pStyle w:val="34"/>
            </w:pPr>
            <w:r>
              <w:t>工程类型</w:t>
            </w:r>
          </w:p>
        </w:tc>
        <w:tc>
          <w:tcPr>
            <w:tcW w:w="764" w:type="pct"/>
            <w:vAlign w:val="center"/>
          </w:tcPr>
          <w:p w14:paraId="575CD5CB">
            <w:pPr>
              <w:pStyle w:val="34"/>
            </w:pPr>
            <w:r>
              <w:t>受损海洋</w:t>
            </w:r>
          </w:p>
          <w:p w14:paraId="1F82AB02">
            <w:pPr>
              <w:pStyle w:val="34"/>
            </w:pPr>
            <w:r>
              <w:t>生物</w:t>
            </w:r>
          </w:p>
        </w:tc>
        <w:tc>
          <w:tcPr>
            <w:tcW w:w="845" w:type="pct"/>
            <w:vAlign w:val="center"/>
          </w:tcPr>
          <w:p w14:paraId="72E73288">
            <w:pPr>
              <w:pStyle w:val="34"/>
            </w:pPr>
            <w:r>
              <w:t>损失量</w:t>
            </w:r>
          </w:p>
        </w:tc>
        <w:tc>
          <w:tcPr>
            <w:tcW w:w="763" w:type="pct"/>
            <w:vAlign w:val="center"/>
          </w:tcPr>
          <w:p w14:paraId="2A8A7E33">
            <w:pPr>
              <w:pStyle w:val="34"/>
            </w:pPr>
            <w:r>
              <w:t>单价（万元/t）</w:t>
            </w:r>
          </w:p>
        </w:tc>
        <w:tc>
          <w:tcPr>
            <w:tcW w:w="434" w:type="pct"/>
            <w:vAlign w:val="center"/>
          </w:tcPr>
          <w:p w14:paraId="1FD64BEF">
            <w:pPr>
              <w:pStyle w:val="34"/>
            </w:pPr>
            <w:r>
              <w:t>补偿年限</w:t>
            </w:r>
          </w:p>
        </w:tc>
        <w:tc>
          <w:tcPr>
            <w:tcW w:w="764" w:type="pct"/>
            <w:vAlign w:val="center"/>
          </w:tcPr>
          <w:p w14:paraId="7B2BC159">
            <w:pPr>
              <w:pStyle w:val="34"/>
            </w:pPr>
            <w:r>
              <w:t>补偿金额（万元）</w:t>
            </w:r>
          </w:p>
        </w:tc>
        <w:tc>
          <w:tcPr>
            <w:tcW w:w="764" w:type="pct"/>
            <w:vAlign w:val="center"/>
          </w:tcPr>
          <w:p w14:paraId="58A57601">
            <w:pPr>
              <w:pStyle w:val="34"/>
            </w:pPr>
            <w:r>
              <w:t>备注</w:t>
            </w:r>
          </w:p>
        </w:tc>
      </w:tr>
      <w:tr w14:paraId="61C209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65" w:type="pct"/>
            <w:vAlign w:val="center"/>
          </w:tcPr>
          <w:p w14:paraId="2D530ED5">
            <w:pPr>
              <w:pStyle w:val="34"/>
            </w:pPr>
            <w:r>
              <w:t>炸礁</w:t>
            </w:r>
          </w:p>
        </w:tc>
        <w:tc>
          <w:tcPr>
            <w:tcW w:w="764" w:type="pct"/>
            <w:vAlign w:val="center"/>
          </w:tcPr>
          <w:p w14:paraId="666CDBF7">
            <w:pPr>
              <w:pStyle w:val="34"/>
            </w:pPr>
            <w:r>
              <w:t>游泳生物</w:t>
            </w:r>
          </w:p>
        </w:tc>
        <w:tc>
          <w:tcPr>
            <w:tcW w:w="845" w:type="pct"/>
            <w:vAlign w:val="center"/>
          </w:tcPr>
          <w:p w14:paraId="793F83B8">
            <w:pPr>
              <w:pStyle w:val="34"/>
            </w:pPr>
            <w:r>
              <w:rPr>
                <w:rFonts w:hint="eastAsia"/>
              </w:rPr>
              <w:t>53.11kg</w:t>
            </w:r>
          </w:p>
        </w:tc>
        <w:tc>
          <w:tcPr>
            <w:tcW w:w="763" w:type="pct"/>
            <w:vAlign w:val="center"/>
          </w:tcPr>
          <w:p w14:paraId="14AD26C1">
            <w:pPr>
              <w:pStyle w:val="34"/>
            </w:pPr>
            <w:r>
              <w:rPr>
                <w:rFonts w:hint="eastAsia"/>
              </w:rPr>
              <w:t>1.94</w:t>
            </w:r>
          </w:p>
        </w:tc>
        <w:tc>
          <w:tcPr>
            <w:tcW w:w="434" w:type="pct"/>
            <w:vAlign w:val="center"/>
          </w:tcPr>
          <w:p w14:paraId="10B218FB">
            <w:pPr>
              <w:pStyle w:val="34"/>
            </w:pPr>
            <w:r>
              <w:t>3</w:t>
            </w:r>
          </w:p>
        </w:tc>
        <w:tc>
          <w:tcPr>
            <w:tcW w:w="764" w:type="pct"/>
            <w:vAlign w:val="center"/>
          </w:tcPr>
          <w:p w14:paraId="1B750ECE">
            <w:pPr>
              <w:pStyle w:val="34"/>
            </w:pPr>
            <w:r>
              <w:rPr>
                <w:rFonts w:hint="eastAsia"/>
              </w:rPr>
              <w:t>0.31</w:t>
            </w:r>
          </w:p>
        </w:tc>
        <w:tc>
          <w:tcPr>
            <w:tcW w:w="764" w:type="pct"/>
          </w:tcPr>
          <w:p w14:paraId="74C5C275">
            <w:pPr>
              <w:pStyle w:val="34"/>
            </w:pPr>
          </w:p>
        </w:tc>
      </w:tr>
    </w:tbl>
    <w:p w14:paraId="3D29C3D1">
      <w:pPr>
        <w:ind w:firstLine="437"/>
      </w:pPr>
      <w:r>
        <w:t>施工期产生的生态环境影响主要为悬浮泥沙骤增对底栖生物、游泳生物等生物的影响；随着施工期结束，生态影响可逐渐恢复，结合增殖放流等生态恢复措施，工程施工期造成的生态影响是可控的。</w:t>
      </w:r>
    </w:p>
    <w:p w14:paraId="0649EB64">
      <w:pPr>
        <w:pStyle w:val="6"/>
      </w:pPr>
      <w:r>
        <w:rPr>
          <w:rFonts w:hint="eastAsia"/>
        </w:rPr>
        <w:t>本次建设合计生态损失补偿</w:t>
      </w:r>
    </w:p>
    <w:p w14:paraId="5CD81339">
      <w:pPr>
        <w:ind w:firstLine="437"/>
        <w:rPr>
          <w:u w:val="single"/>
        </w:rPr>
      </w:pPr>
      <w:r>
        <w:rPr>
          <w:u w:val="single"/>
        </w:rPr>
        <w:t>综上分析，</w:t>
      </w:r>
      <w:r>
        <w:rPr>
          <w:rFonts w:hint="eastAsia"/>
          <w:u w:val="single"/>
        </w:rPr>
        <w:t>本次</w:t>
      </w:r>
      <w:r>
        <w:rPr>
          <w:u w:val="single"/>
        </w:rPr>
        <w:t>项目建设</w:t>
      </w:r>
      <w:r>
        <w:rPr>
          <w:rFonts w:hint="eastAsia"/>
          <w:u w:val="single"/>
        </w:rPr>
        <w:t>包含的</w:t>
      </w:r>
      <w:r>
        <w:rPr>
          <w:rFonts w:hint="eastAsia" w:ascii="宋体" w:hAnsi="宋体"/>
          <w:u w:val="single"/>
        </w:rPr>
        <w:t>①</w:t>
      </w:r>
      <w:r>
        <w:rPr>
          <w:u w:val="single"/>
        </w:rPr>
        <w:t>水域疏浚开挖产生的生态损失；</w:t>
      </w:r>
      <w:r>
        <w:rPr>
          <w:rFonts w:hint="eastAsia" w:ascii="宋体" w:hAnsi="宋体"/>
          <w:u w:val="single"/>
        </w:rPr>
        <w:t>②</w:t>
      </w:r>
      <w:r>
        <w:rPr>
          <w:u w:val="single"/>
        </w:rPr>
        <w:t>施工悬浮泥沙产生的生态损失；</w:t>
      </w:r>
      <w:r>
        <w:rPr>
          <w:rFonts w:hint="eastAsia" w:ascii="宋体" w:hAnsi="宋体"/>
          <w:u w:val="single"/>
        </w:rPr>
        <w:t>③爆破对生物资源的损害</w:t>
      </w:r>
      <w:r>
        <w:rPr>
          <w:rFonts w:hint="eastAsia"/>
          <w:u w:val="single"/>
        </w:rPr>
        <w:t>，</w:t>
      </w:r>
      <w:r>
        <w:rPr>
          <w:u w:val="single"/>
        </w:rPr>
        <w:t>造成</w:t>
      </w:r>
      <w:bookmarkStart w:id="467" w:name="_Hlk206577841"/>
      <w:r>
        <w:rPr>
          <w:u w:val="single"/>
        </w:rPr>
        <w:t>海洋生物资源量损失及经济损失为97.53万元</w:t>
      </w:r>
      <w:r>
        <w:rPr>
          <w:rFonts w:hint="eastAsia"/>
          <w:u w:val="single"/>
        </w:rPr>
        <w:t>。</w:t>
      </w:r>
      <w:bookmarkEnd w:id="467"/>
    </w:p>
    <w:p w14:paraId="68665EE0">
      <w:pPr>
        <w:pStyle w:val="7"/>
        <w:rPr>
          <w:u w:val="single"/>
        </w:rPr>
      </w:pPr>
      <w:r>
        <w:rPr>
          <w:rFonts w:hint="eastAsia"/>
          <w:u w:val="single"/>
        </w:rPr>
        <w:t>本次建设生态损失补偿表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48"/>
        <w:gridCol w:w="1250"/>
        <w:gridCol w:w="1250"/>
        <w:gridCol w:w="1324"/>
        <w:gridCol w:w="1177"/>
        <w:gridCol w:w="752"/>
        <w:gridCol w:w="1327"/>
      </w:tblGrid>
      <w:tr w14:paraId="019421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849" w:type="pct"/>
            <w:vAlign w:val="center"/>
          </w:tcPr>
          <w:p w14:paraId="3A52AA2A">
            <w:pPr>
              <w:pStyle w:val="34"/>
              <w:rPr>
                <w:szCs w:val="21"/>
                <w:u w:val="single"/>
              </w:rPr>
            </w:pPr>
            <w:r>
              <w:rPr>
                <w:szCs w:val="21"/>
                <w:u w:val="single"/>
              </w:rPr>
              <w:t>工程类型</w:t>
            </w:r>
          </w:p>
        </w:tc>
        <w:tc>
          <w:tcPr>
            <w:tcW w:w="733" w:type="pct"/>
            <w:vAlign w:val="center"/>
          </w:tcPr>
          <w:p w14:paraId="1056F197">
            <w:pPr>
              <w:pStyle w:val="34"/>
              <w:rPr>
                <w:szCs w:val="21"/>
                <w:u w:val="single"/>
              </w:rPr>
            </w:pPr>
            <w:r>
              <w:rPr>
                <w:szCs w:val="21"/>
                <w:u w:val="single"/>
              </w:rPr>
              <w:t>受损海洋</w:t>
            </w:r>
          </w:p>
          <w:p w14:paraId="727EE9A5">
            <w:pPr>
              <w:pStyle w:val="34"/>
              <w:rPr>
                <w:szCs w:val="21"/>
                <w:u w:val="single"/>
              </w:rPr>
            </w:pPr>
            <w:r>
              <w:rPr>
                <w:szCs w:val="21"/>
                <w:u w:val="single"/>
              </w:rPr>
              <w:t>生物</w:t>
            </w:r>
          </w:p>
        </w:tc>
        <w:tc>
          <w:tcPr>
            <w:tcW w:w="733" w:type="pct"/>
            <w:vAlign w:val="center"/>
          </w:tcPr>
          <w:p w14:paraId="09D65D33">
            <w:pPr>
              <w:pStyle w:val="34"/>
              <w:rPr>
                <w:szCs w:val="21"/>
                <w:u w:val="single"/>
              </w:rPr>
            </w:pPr>
            <w:r>
              <w:rPr>
                <w:szCs w:val="21"/>
                <w:u w:val="single"/>
              </w:rPr>
              <w:t>损失量t</w:t>
            </w:r>
          </w:p>
        </w:tc>
        <w:tc>
          <w:tcPr>
            <w:tcW w:w="776" w:type="pct"/>
            <w:vAlign w:val="center"/>
          </w:tcPr>
          <w:p w14:paraId="7FC2238C">
            <w:pPr>
              <w:pStyle w:val="34"/>
              <w:rPr>
                <w:szCs w:val="21"/>
                <w:u w:val="single"/>
              </w:rPr>
            </w:pPr>
            <w:r>
              <w:rPr>
                <w:szCs w:val="21"/>
                <w:u w:val="single"/>
              </w:rPr>
              <w:t>单价（万元/t或万尾）</w:t>
            </w:r>
          </w:p>
        </w:tc>
        <w:tc>
          <w:tcPr>
            <w:tcW w:w="690" w:type="pct"/>
            <w:vAlign w:val="center"/>
          </w:tcPr>
          <w:p w14:paraId="55DAB0A3">
            <w:pPr>
              <w:pStyle w:val="34"/>
              <w:rPr>
                <w:szCs w:val="21"/>
                <w:u w:val="single"/>
              </w:rPr>
            </w:pPr>
            <w:r>
              <w:rPr>
                <w:szCs w:val="21"/>
                <w:u w:val="single"/>
              </w:rPr>
              <w:t>损失价值（万元）</w:t>
            </w:r>
          </w:p>
        </w:tc>
        <w:tc>
          <w:tcPr>
            <w:tcW w:w="441" w:type="pct"/>
            <w:vAlign w:val="center"/>
          </w:tcPr>
          <w:p w14:paraId="41B743F1">
            <w:pPr>
              <w:pStyle w:val="34"/>
              <w:rPr>
                <w:szCs w:val="21"/>
                <w:u w:val="single"/>
              </w:rPr>
            </w:pPr>
            <w:r>
              <w:rPr>
                <w:szCs w:val="21"/>
                <w:u w:val="single"/>
              </w:rPr>
              <w:t>补偿年限</w:t>
            </w:r>
          </w:p>
        </w:tc>
        <w:tc>
          <w:tcPr>
            <w:tcW w:w="778" w:type="pct"/>
            <w:vAlign w:val="center"/>
          </w:tcPr>
          <w:p w14:paraId="2EB64F84">
            <w:pPr>
              <w:pStyle w:val="34"/>
              <w:rPr>
                <w:szCs w:val="21"/>
                <w:u w:val="single"/>
              </w:rPr>
            </w:pPr>
            <w:r>
              <w:rPr>
                <w:szCs w:val="21"/>
                <w:u w:val="single"/>
              </w:rPr>
              <w:t>补偿金额</w:t>
            </w:r>
          </w:p>
          <w:p w14:paraId="23154210">
            <w:pPr>
              <w:pStyle w:val="34"/>
              <w:rPr>
                <w:szCs w:val="21"/>
                <w:u w:val="single"/>
              </w:rPr>
            </w:pPr>
            <w:r>
              <w:rPr>
                <w:szCs w:val="21"/>
                <w:u w:val="single"/>
              </w:rPr>
              <w:t>（万元）</w:t>
            </w:r>
          </w:p>
        </w:tc>
      </w:tr>
      <w:tr w14:paraId="1ED165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Align w:val="center"/>
          </w:tcPr>
          <w:p w14:paraId="21B38101">
            <w:pPr>
              <w:pStyle w:val="34"/>
              <w:rPr>
                <w:szCs w:val="21"/>
                <w:u w:val="single"/>
              </w:rPr>
            </w:pPr>
            <w:r>
              <w:rPr>
                <w:szCs w:val="21"/>
                <w:u w:val="single"/>
              </w:rPr>
              <w:t>疏浚工程</w:t>
            </w:r>
          </w:p>
        </w:tc>
        <w:tc>
          <w:tcPr>
            <w:tcW w:w="733" w:type="pct"/>
            <w:vAlign w:val="center"/>
          </w:tcPr>
          <w:p w14:paraId="7E68D362">
            <w:pPr>
              <w:pStyle w:val="34"/>
              <w:rPr>
                <w:szCs w:val="21"/>
                <w:u w:val="single"/>
              </w:rPr>
            </w:pPr>
            <w:r>
              <w:rPr>
                <w:szCs w:val="21"/>
                <w:u w:val="single"/>
              </w:rPr>
              <w:t>底栖生物</w:t>
            </w:r>
          </w:p>
        </w:tc>
        <w:tc>
          <w:tcPr>
            <w:tcW w:w="733" w:type="pct"/>
            <w:vAlign w:val="bottom"/>
          </w:tcPr>
          <w:p w14:paraId="16825682">
            <w:pPr>
              <w:pStyle w:val="34"/>
              <w:rPr>
                <w:szCs w:val="21"/>
                <w:u w:val="single"/>
              </w:rPr>
            </w:pPr>
            <w:r>
              <w:rPr>
                <w:rFonts w:hint="eastAsia"/>
                <w:color w:val="000000"/>
                <w:szCs w:val="21"/>
                <w:u w:val="single"/>
              </w:rPr>
              <w:t>5.96</w:t>
            </w:r>
          </w:p>
        </w:tc>
        <w:tc>
          <w:tcPr>
            <w:tcW w:w="776" w:type="pct"/>
            <w:vAlign w:val="bottom"/>
          </w:tcPr>
          <w:p w14:paraId="213D6F1A">
            <w:pPr>
              <w:pStyle w:val="34"/>
              <w:rPr>
                <w:szCs w:val="21"/>
                <w:u w:val="single"/>
              </w:rPr>
            </w:pPr>
            <w:r>
              <w:rPr>
                <w:color w:val="000000"/>
                <w:szCs w:val="21"/>
                <w:u w:val="single"/>
              </w:rPr>
              <w:t>1.94</w:t>
            </w:r>
          </w:p>
        </w:tc>
        <w:tc>
          <w:tcPr>
            <w:tcW w:w="690" w:type="pct"/>
            <w:vAlign w:val="bottom"/>
          </w:tcPr>
          <w:p w14:paraId="4CDC02EC">
            <w:pPr>
              <w:pStyle w:val="34"/>
              <w:rPr>
                <w:szCs w:val="21"/>
                <w:u w:val="single"/>
              </w:rPr>
            </w:pPr>
            <w:r>
              <w:rPr>
                <w:rFonts w:hint="eastAsia"/>
                <w:color w:val="000000"/>
                <w:szCs w:val="21"/>
                <w:u w:val="single"/>
              </w:rPr>
              <w:t>11.57</w:t>
            </w:r>
          </w:p>
        </w:tc>
        <w:tc>
          <w:tcPr>
            <w:tcW w:w="441" w:type="pct"/>
            <w:vAlign w:val="bottom"/>
          </w:tcPr>
          <w:p w14:paraId="2F6906B4">
            <w:pPr>
              <w:pStyle w:val="34"/>
              <w:rPr>
                <w:szCs w:val="21"/>
                <w:u w:val="single"/>
              </w:rPr>
            </w:pPr>
            <w:r>
              <w:rPr>
                <w:color w:val="000000"/>
                <w:szCs w:val="21"/>
                <w:u w:val="single"/>
              </w:rPr>
              <w:t>3</w:t>
            </w:r>
          </w:p>
        </w:tc>
        <w:tc>
          <w:tcPr>
            <w:tcW w:w="778" w:type="pct"/>
            <w:vAlign w:val="bottom"/>
          </w:tcPr>
          <w:p w14:paraId="6B33019A">
            <w:pPr>
              <w:pStyle w:val="34"/>
              <w:rPr>
                <w:szCs w:val="21"/>
                <w:u w:val="single"/>
              </w:rPr>
            </w:pPr>
            <w:r>
              <w:rPr>
                <w:rFonts w:hint="eastAsia"/>
                <w:color w:val="000000"/>
                <w:szCs w:val="21"/>
                <w:u w:val="single"/>
              </w:rPr>
              <w:t>34.71</w:t>
            </w:r>
          </w:p>
        </w:tc>
      </w:tr>
      <w:tr w14:paraId="69E4A1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Merge w:val="restart"/>
            <w:vAlign w:val="center"/>
          </w:tcPr>
          <w:p w14:paraId="622E24B9">
            <w:pPr>
              <w:pStyle w:val="34"/>
              <w:rPr>
                <w:szCs w:val="21"/>
                <w:u w:val="single"/>
              </w:rPr>
            </w:pPr>
            <w:r>
              <w:rPr>
                <w:szCs w:val="21"/>
                <w:u w:val="single"/>
              </w:rPr>
              <w:t>悬浮物扩散</w:t>
            </w:r>
          </w:p>
        </w:tc>
        <w:tc>
          <w:tcPr>
            <w:tcW w:w="733" w:type="pct"/>
            <w:vAlign w:val="center"/>
          </w:tcPr>
          <w:p w14:paraId="1F43CAA4">
            <w:pPr>
              <w:pStyle w:val="34"/>
              <w:rPr>
                <w:szCs w:val="21"/>
                <w:u w:val="single"/>
              </w:rPr>
            </w:pPr>
            <w:r>
              <w:rPr>
                <w:szCs w:val="21"/>
                <w:u w:val="single"/>
              </w:rPr>
              <w:t>浮游动物</w:t>
            </w:r>
          </w:p>
        </w:tc>
        <w:tc>
          <w:tcPr>
            <w:tcW w:w="733" w:type="pct"/>
            <w:vAlign w:val="bottom"/>
          </w:tcPr>
          <w:p w14:paraId="06C1AB9B">
            <w:pPr>
              <w:pStyle w:val="34"/>
              <w:rPr>
                <w:szCs w:val="21"/>
                <w:u w:val="single"/>
              </w:rPr>
            </w:pPr>
            <w:r>
              <w:rPr>
                <w:color w:val="000000"/>
                <w:szCs w:val="21"/>
                <w:u w:val="single"/>
              </w:rPr>
              <w:t>0.20</w:t>
            </w:r>
          </w:p>
        </w:tc>
        <w:tc>
          <w:tcPr>
            <w:tcW w:w="776" w:type="pct"/>
            <w:vAlign w:val="bottom"/>
          </w:tcPr>
          <w:p w14:paraId="4EE10B5C">
            <w:pPr>
              <w:pStyle w:val="34"/>
              <w:rPr>
                <w:szCs w:val="21"/>
                <w:u w:val="single"/>
              </w:rPr>
            </w:pPr>
            <w:r>
              <w:rPr>
                <w:color w:val="000000"/>
                <w:szCs w:val="21"/>
                <w:u w:val="single"/>
              </w:rPr>
              <w:t>1.94</w:t>
            </w:r>
          </w:p>
        </w:tc>
        <w:tc>
          <w:tcPr>
            <w:tcW w:w="690" w:type="pct"/>
            <w:vAlign w:val="bottom"/>
          </w:tcPr>
          <w:p w14:paraId="2A7DAF26">
            <w:pPr>
              <w:pStyle w:val="34"/>
              <w:rPr>
                <w:szCs w:val="21"/>
                <w:u w:val="single"/>
              </w:rPr>
            </w:pPr>
            <w:r>
              <w:rPr>
                <w:color w:val="000000"/>
                <w:szCs w:val="21"/>
                <w:u w:val="single"/>
              </w:rPr>
              <w:t>0.39</w:t>
            </w:r>
          </w:p>
        </w:tc>
        <w:tc>
          <w:tcPr>
            <w:tcW w:w="441" w:type="pct"/>
            <w:vAlign w:val="bottom"/>
          </w:tcPr>
          <w:p w14:paraId="32B51FC5">
            <w:pPr>
              <w:pStyle w:val="34"/>
              <w:rPr>
                <w:szCs w:val="21"/>
                <w:u w:val="single"/>
              </w:rPr>
            </w:pPr>
            <w:r>
              <w:rPr>
                <w:color w:val="000000"/>
                <w:szCs w:val="21"/>
                <w:u w:val="single"/>
              </w:rPr>
              <w:t>3</w:t>
            </w:r>
          </w:p>
        </w:tc>
        <w:tc>
          <w:tcPr>
            <w:tcW w:w="778" w:type="pct"/>
            <w:vAlign w:val="bottom"/>
          </w:tcPr>
          <w:p w14:paraId="69908FAC">
            <w:pPr>
              <w:pStyle w:val="34"/>
              <w:rPr>
                <w:szCs w:val="21"/>
                <w:u w:val="single"/>
              </w:rPr>
            </w:pPr>
            <w:r>
              <w:rPr>
                <w:color w:val="000000"/>
                <w:szCs w:val="21"/>
                <w:u w:val="single"/>
              </w:rPr>
              <w:t>1.17</w:t>
            </w:r>
          </w:p>
        </w:tc>
      </w:tr>
      <w:tr w14:paraId="78DFF8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Merge w:val="continue"/>
            <w:vAlign w:val="center"/>
          </w:tcPr>
          <w:p w14:paraId="031F6FDE">
            <w:pPr>
              <w:pStyle w:val="34"/>
              <w:rPr>
                <w:szCs w:val="21"/>
                <w:u w:val="single"/>
              </w:rPr>
            </w:pPr>
          </w:p>
        </w:tc>
        <w:tc>
          <w:tcPr>
            <w:tcW w:w="733" w:type="pct"/>
            <w:vAlign w:val="center"/>
          </w:tcPr>
          <w:p w14:paraId="681354F0">
            <w:pPr>
              <w:pStyle w:val="34"/>
              <w:rPr>
                <w:szCs w:val="21"/>
                <w:u w:val="single"/>
              </w:rPr>
            </w:pPr>
            <w:r>
              <w:rPr>
                <w:szCs w:val="21"/>
                <w:u w:val="single"/>
              </w:rPr>
              <w:t>游泳生物</w:t>
            </w:r>
          </w:p>
        </w:tc>
        <w:tc>
          <w:tcPr>
            <w:tcW w:w="733" w:type="pct"/>
            <w:vAlign w:val="bottom"/>
          </w:tcPr>
          <w:p w14:paraId="48AE6B5B">
            <w:pPr>
              <w:pStyle w:val="34"/>
              <w:rPr>
                <w:szCs w:val="21"/>
                <w:u w:val="single"/>
              </w:rPr>
            </w:pPr>
            <w:r>
              <w:rPr>
                <w:color w:val="000000"/>
                <w:szCs w:val="21"/>
                <w:u w:val="single"/>
              </w:rPr>
              <w:t>0.09</w:t>
            </w:r>
          </w:p>
        </w:tc>
        <w:tc>
          <w:tcPr>
            <w:tcW w:w="776" w:type="pct"/>
            <w:vAlign w:val="bottom"/>
          </w:tcPr>
          <w:p w14:paraId="66596FAD">
            <w:pPr>
              <w:pStyle w:val="34"/>
              <w:rPr>
                <w:szCs w:val="21"/>
                <w:u w:val="single"/>
              </w:rPr>
            </w:pPr>
            <w:r>
              <w:rPr>
                <w:color w:val="000000"/>
                <w:szCs w:val="21"/>
                <w:u w:val="single"/>
              </w:rPr>
              <w:t>1.94</w:t>
            </w:r>
          </w:p>
        </w:tc>
        <w:tc>
          <w:tcPr>
            <w:tcW w:w="690" w:type="pct"/>
            <w:vAlign w:val="bottom"/>
          </w:tcPr>
          <w:p w14:paraId="101E3616">
            <w:pPr>
              <w:pStyle w:val="34"/>
              <w:rPr>
                <w:szCs w:val="21"/>
                <w:u w:val="single"/>
              </w:rPr>
            </w:pPr>
            <w:r>
              <w:rPr>
                <w:color w:val="000000"/>
                <w:szCs w:val="21"/>
                <w:u w:val="single"/>
              </w:rPr>
              <w:t>0.18</w:t>
            </w:r>
          </w:p>
        </w:tc>
        <w:tc>
          <w:tcPr>
            <w:tcW w:w="441" w:type="pct"/>
            <w:vAlign w:val="bottom"/>
          </w:tcPr>
          <w:p w14:paraId="720DB598">
            <w:pPr>
              <w:pStyle w:val="34"/>
              <w:rPr>
                <w:szCs w:val="21"/>
                <w:u w:val="single"/>
              </w:rPr>
            </w:pPr>
            <w:r>
              <w:rPr>
                <w:color w:val="000000"/>
                <w:szCs w:val="21"/>
                <w:u w:val="single"/>
              </w:rPr>
              <w:t>3</w:t>
            </w:r>
          </w:p>
        </w:tc>
        <w:tc>
          <w:tcPr>
            <w:tcW w:w="778" w:type="pct"/>
            <w:vAlign w:val="bottom"/>
          </w:tcPr>
          <w:p w14:paraId="12FC6CA0">
            <w:pPr>
              <w:pStyle w:val="34"/>
              <w:rPr>
                <w:szCs w:val="21"/>
                <w:u w:val="single"/>
              </w:rPr>
            </w:pPr>
            <w:r>
              <w:rPr>
                <w:color w:val="000000"/>
                <w:szCs w:val="21"/>
                <w:u w:val="single"/>
              </w:rPr>
              <w:t>0.53</w:t>
            </w:r>
          </w:p>
        </w:tc>
      </w:tr>
      <w:tr w14:paraId="1CB13D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Merge w:val="continue"/>
            <w:vAlign w:val="center"/>
          </w:tcPr>
          <w:p w14:paraId="435BF03C">
            <w:pPr>
              <w:pStyle w:val="34"/>
              <w:rPr>
                <w:szCs w:val="21"/>
                <w:u w:val="single"/>
              </w:rPr>
            </w:pPr>
          </w:p>
        </w:tc>
        <w:tc>
          <w:tcPr>
            <w:tcW w:w="733" w:type="pct"/>
            <w:vAlign w:val="center"/>
          </w:tcPr>
          <w:p w14:paraId="391C0AA2">
            <w:pPr>
              <w:pStyle w:val="34"/>
              <w:rPr>
                <w:szCs w:val="21"/>
                <w:u w:val="single"/>
              </w:rPr>
            </w:pPr>
            <w:r>
              <w:rPr>
                <w:szCs w:val="21"/>
                <w:u w:val="single"/>
              </w:rPr>
              <w:t>仔鱼</w:t>
            </w:r>
          </w:p>
        </w:tc>
        <w:tc>
          <w:tcPr>
            <w:tcW w:w="733" w:type="pct"/>
            <w:vAlign w:val="bottom"/>
          </w:tcPr>
          <w:p w14:paraId="03D0C4B8">
            <w:pPr>
              <w:pStyle w:val="34"/>
              <w:rPr>
                <w:szCs w:val="21"/>
                <w:u w:val="single"/>
              </w:rPr>
            </w:pPr>
            <w:r>
              <w:rPr>
                <w:color w:val="000000"/>
                <w:szCs w:val="21"/>
                <w:u w:val="single"/>
              </w:rPr>
              <w:t>216</w:t>
            </w:r>
          </w:p>
        </w:tc>
        <w:tc>
          <w:tcPr>
            <w:tcW w:w="776" w:type="pct"/>
            <w:vAlign w:val="bottom"/>
          </w:tcPr>
          <w:p w14:paraId="7B176E7A">
            <w:pPr>
              <w:pStyle w:val="34"/>
              <w:rPr>
                <w:szCs w:val="21"/>
                <w:u w:val="single"/>
              </w:rPr>
            </w:pPr>
            <w:r>
              <w:rPr>
                <w:color w:val="000000"/>
                <w:szCs w:val="21"/>
                <w:u w:val="single"/>
              </w:rPr>
              <w:t>0.6</w:t>
            </w:r>
          </w:p>
        </w:tc>
        <w:tc>
          <w:tcPr>
            <w:tcW w:w="690" w:type="pct"/>
            <w:vAlign w:val="bottom"/>
          </w:tcPr>
          <w:p w14:paraId="4CF641E5">
            <w:pPr>
              <w:pStyle w:val="34"/>
              <w:rPr>
                <w:szCs w:val="21"/>
                <w:u w:val="single"/>
              </w:rPr>
            </w:pPr>
            <w:r>
              <w:rPr>
                <w:color w:val="000000"/>
                <w:szCs w:val="21"/>
                <w:u w:val="single"/>
              </w:rPr>
              <w:t>6.49</w:t>
            </w:r>
          </w:p>
        </w:tc>
        <w:tc>
          <w:tcPr>
            <w:tcW w:w="441" w:type="pct"/>
            <w:vAlign w:val="bottom"/>
          </w:tcPr>
          <w:p w14:paraId="1E4AC689">
            <w:pPr>
              <w:pStyle w:val="34"/>
              <w:rPr>
                <w:szCs w:val="21"/>
                <w:u w:val="single"/>
              </w:rPr>
            </w:pPr>
            <w:r>
              <w:rPr>
                <w:color w:val="000000"/>
                <w:szCs w:val="21"/>
                <w:u w:val="single"/>
              </w:rPr>
              <w:t>3</w:t>
            </w:r>
          </w:p>
        </w:tc>
        <w:tc>
          <w:tcPr>
            <w:tcW w:w="778" w:type="pct"/>
            <w:vAlign w:val="bottom"/>
          </w:tcPr>
          <w:p w14:paraId="35AF2F2A">
            <w:pPr>
              <w:pStyle w:val="34"/>
              <w:rPr>
                <w:szCs w:val="21"/>
                <w:u w:val="single"/>
              </w:rPr>
            </w:pPr>
            <w:r>
              <w:rPr>
                <w:color w:val="000000"/>
                <w:szCs w:val="21"/>
                <w:u w:val="single"/>
              </w:rPr>
              <w:t>19.46</w:t>
            </w:r>
          </w:p>
        </w:tc>
      </w:tr>
      <w:tr w14:paraId="31EBF9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Merge w:val="continue"/>
            <w:vAlign w:val="center"/>
          </w:tcPr>
          <w:p w14:paraId="568B1FB3">
            <w:pPr>
              <w:pStyle w:val="34"/>
              <w:rPr>
                <w:szCs w:val="21"/>
                <w:u w:val="single"/>
              </w:rPr>
            </w:pPr>
          </w:p>
        </w:tc>
        <w:tc>
          <w:tcPr>
            <w:tcW w:w="733" w:type="pct"/>
            <w:vAlign w:val="center"/>
          </w:tcPr>
          <w:p w14:paraId="324C01DA">
            <w:pPr>
              <w:pStyle w:val="34"/>
              <w:rPr>
                <w:szCs w:val="21"/>
                <w:u w:val="single"/>
              </w:rPr>
            </w:pPr>
            <w:r>
              <w:rPr>
                <w:szCs w:val="21"/>
                <w:u w:val="single"/>
              </w:rPr>
              <w:t>鱼卵</w:t>
            </w:r>
          </w:p>
        </w:tc>
        <w:tc>
          <w:tcPr>
            <w:tcW w:w="733" w:type="pct"/>
            <w:vAlign w:val="bottom"/>
          </w:tcPr>
          <w:p w14:paraId="28EFCA49">
            <w:pPr>
              <w:pStyle w:val="34"/>
              <w:rPr>
                <w:szCs w:val="21"/>
                <w:u w:val="single"/>
              </w:rPr>
            </w:pPr>
            <w:r>
              <w:rPr>
                <w:color w:val="000000"/>
                <w:szCs w:val="21"/>
                <w:u w:val="single"/>
              </w:rPr>
              <w:t>2297</w:t>
            </w:r>
          </w:p>
        </w:tc>
        <w:tc>
          <w:tcPr>
            <w:tcW w:w="776" w:type="pct"/>
            <w:vAlign w:val="bottom"/>
          </w:tcPr>
          <w:p w14:paraId="12300DF1">
            <w:pPr>
              <w:pStyle w:val="34"/>
              <w:rPr>
                <w:szCs w:val="21"/>
                <w:u w:val="single"/>
              </w:rPr>
            </w:pPr>
            <w:r>
              <w:rPr>
                <w:color w:val="000000"/>
                <w:szCs w:val="21"/>
                <w:u w:val="single"/>
              </w:rPr>
              <w:t>0.6</w:t>
            </w:r>
          </w:p>
        </w:tc>
        <w:tc>
          <w:tcPr>
            <w:tcW w:w="690" w:type="pct"/>
            <w:vAlign w:val="bottom"/>
          </w:tcPr>
          <w:p w14:paraId="58938B99">
            <w:pPr>
              <w:pStyle w:val="34"/>
              <w:rPr>
                <w:szCs w:val="21"/>
                <w:u w:val="single"/>
              </w:rPr>
            </w:pPr>
            <w:r>
              <w:rPr>
                <w:color w:val="000000"/>
                <w:szCs w:val="21"/>
                <w:u w:val="single"/>
              </w:rPr>
              <w:t>13.78</w:t>
            </w:r>
          </w:p>
        </w:tc>
        <w:tc>
          <w:tcPr>
            <w:tcW w:w="441" w:type="pct"/>
            <w:vAlign w:val="bottom"/>
          </w:tcPr>
          <w:p w14:paraId="2F5F5D80">
            <w:pPr>
              <w:pStyle w:val="34"/>
              <w:rPr>
                <w:szCs w:val="21"/>
                <w:u w:val="single"/>
              </w:rPr>
            </w:pPr>
            <w:r>
              <w:rPr>
                <w:color w:val="000000"/>
                <w:szCs w:val="21"/>
                <w:u w:val="single"/>
              </w:rPr>
              <w:t>3</w:t>
            </w:r>
          </w:p>
        </w:tc>
        <w:tc>
          <w:tcPr>
            <w:tcW w:w="778" w:type="pct"/>
            <w:vAlign w:val="bottom"/>
          </w:tcPr>
          <w:p w14:paraId="7892C712">
            <w:pPr>
              <w:pStyle w:val="34"/>
              <w:rPr>
                <w:szCs w:val="21"/>
                <w:u w:val="single"/>
              </w:rPr>
            </w:pPr>
            <w:r>
              <w:rPr>
                <w:color w:val="000000"/>
                <w:szCs w:val="21"/>
                <w:u w:val="single"/>
              </w:rPr>
              <w:t>41.35</w:t>
            </w:r>
          </w:p>
        </w:tc>
      </w:tr>
      <w:tr w14:paraId="71FA50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Align w:val="center"/>
          </w:tcPr>
          <w:p w14:paraId="44E27A3D">
            <w:pPr>
              <w:pStyle w:val="34"/>
              <w:rPr>
                <w:szCs w:val="21"/>
                <w:u w:val="single"/>
              </w:rPr>
            </w:pPr>
            <w:r>
              <w:rPr>
                <w:szCs w:val="21"/>
                <w:u w:val="single"/>
              </w:rPr>
              <w:t>爆破</w:t>
            </w:r>
          </w:p>
        </w:tc>
        <w:tc>
          <w:tcPr>
            <w:tcW w:w="733" w:type="pct"/>
            <w:vAlign w:val="center"/>
          </w:tcPr>
          <w:p w14:paraId="3F783E64">
            <w:pPr>
              <w:pStyle w:val="34"/>
              <w:rPr>
                <w:szCs w:val="21"/>
                <w:u w:val="single"/>
              </w:rPr>
            </w:pPr>
            <w:r>
              <w:rPr>
                <w:szCs w:val="21"/>
                <w:u w:val="single"/>
              </w:rPr>
              <w:t>游泳生物</w:t>
            </w:r>
          </w:p>
        </w:tc>
        <w:tc>
          <w:tcPr>
            <w:tcW w:w="733" w:type="pct"/>
            <w:vAlign w:val="center"/>
          </w:tcPr>
          <w:p w14:paraId="02FE6011">
            <w:pPr>
              <w:pStyle w:val="34"/>
              <w:rPr>
                <w:szCs w:val="21"/>
                <w:u w:val="single"/>
              </w:rPr>
            </w:pPr>
            <w:r>
              <w:rPr>
                <w:szCs w:val="21"/>
                <w:u w:val="single"/>
              </w:rPr>
              <w:t>0.053</w:t>
            </w:r>
          </w:p>
        </w:tc>
        <w:tc>
          <w:tcPr>
            <w:tcW w:w="776" w:type="pct"/>
            <w:vAlign w:val="center"/>
          </w:tcPr>
          <w:p w14:paraId="73B82891">
            <w:pPr>
              <w:pStyle w:val="34"/>
              <w:rPr>
                <w:szCs w:val="21"/>
                <w:u w:val="single"/>
              </w:rPr>
            </w:pPr>
            <w:r>
              <w:rPr>
                <w:szCs w:val="21"/>
                <w:u w:val="single"/>
              </w:rPr>
              <w:t>1.94</w:t>
            </w:r>
          </w:p>
        </w:tc>
        <w:tc>
          <w:tcPr>
            <w:tcW w:w="690" w:type="pct"/>
            <w:vAlign w:val="center"/>
          </w:tcPr>
          <w:p w14:paraId="7AF92BF3">
            <w:pPr>
              <w:pStyle w:val="34"/>
              <w:rPr>
                <w:szCs w:val="21"/>
                <w:u w:val="single"/>
              </w:rPr>
            </w:pPr>
            <w:r>
              <w:rPr>
                <w:szCs w:val="21"/>
                <w:u w:val="single"/>
              </w:rPr>
              <w:t>0.10</w:t>
            </w:r>
          </w:p>
        </w:tc>
        <w:tc>
          <w:tcPr>
            <w:tcW w:w="441" w:type="pct"/>
            <w:vAlign w:val="center"/>
          </w:tcPr>
          <w:p w14:paraId="441801FD">
            <w:pPr>
              <w:pStyle w:val="34"/>
              <w:rPr>
                <w:szCs w:val="21"/>
                <w:u w:val="single"/>
              </w:rPr>
            </w:pPr>
            <w:r>
              <w:rPr>
                <w:szCs w:val="21"/>
                <w:u w:val="single"/>
              </w:rPr>
              <w:t>3</w:t>
            </w:r>
          </w:p>
        </w:tc>
        <w:tc>
          <w:tcPr>
            <w:tcW w:w="778" w:type="pct"/>
            <w:vAlign w:val="center"/>
          </w:tcPr>
          <w:p w14:paraId="6811125C">
            <w:pPr>
              <w:pStyle w:val="34"/>
              <w:rPr>
                <w:szCs w:val="21"/>
                <w:u w:val="single"/>
              </w:rPr>
            </w:pPr>
            <w:r>
              <w:rPr>
                <w:szCs w:val="21"/>
                <w:u w:val="single"/>
              </w:rPr>
              <w:t>0.31</w:t>
            </w:r>
          </w:p>
        </w:tc>
      </w:tr>
      <w:tr w14:paraId="56BA0C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22" w:type="pct"/>
            <w:gridSpan w:val="6"/>
            <w:vAlign w:val="center"/>
          </w:tcPr>
          <w:p w14:paraId="73B19110">
            <w:pPr>
              <w:pStyle w:val="34"/>
              <w:rPr>
                <w:szCs w:val="21"/>
                <w:u w:val="single"/>
              </w:rPr>
            </w:pPr>
            <w:r>
              <w:rPr>
                <w:szCs w:val="21"/>
                <w:u w:val="single"/>
              </w:rPr>
              <w:t>合计</w:t>
            </w:r>
          </w:p>
        </w:tc>
        <w:tc>
          <w:tcPr>
            <w:tcW w:w="778" w:type="pct"/>
            <w:vAlign w:val="center"/>
          </w:tcPr>
          <w:p w14:paraId="7E171629">
            <w:pPr>
              <w:pStyle w:val="34"/>
              <w:rPr>
                <w:szCs w:val="21"/>
                <w:u w:val="single"/>
              </w:rPr>
            </w:pPr>
            <w:r>
              <w:rPr>
                <w:rFonts w:hint="eastAsia"/>
                <w:szCs w:val="21"/>
                <w:u w:val="single"/>
              </w:rPr>
              <w:t>97.53</w:t>
            </w:r>
          </w:p>
        </w:tc>
      </w:tr>
    </w:tbl>
    <w:p w14:paraId="3A88AE5E">
      <w:pPr>
        <w:pStyle w:val="5"/>
      </w:pPr>
      <w:r>
        <w:t>运营期生态环境影响</w:t>
      </w:r>
    </w:p>
    <w:p w14:paraId="28962CF5">
      <w:pPr>
        <w:ind w:firstLine="437"/>
      </w:pPr>
      <w:r>
        <w:t>项目运营期不向海域</w:t>
      </w:r>
      <w:r>
        <w:rPr>
          <w:rFonts w:hint="eastAsia"/>
        </w:rPr>
        <w:t>排放</w:t>
      </w:r>
      <w:r>
        <w:t>废水等污染物，但码头作业、船舶运行密度增加将扰动水体、带来噪声污染，在一定程度上改变原有水生生境，使码头周边海域的水生生物种类和数量有所减少。港区域生境的改变、饵料生物数量的减少，都会对鱼类产生不利影响，并在客观上促成鱼类向其他水域迁移。从鱼类行为学上来看，鱼类具有主动逃逸不利环境的本能反应，港区运营期间，鱼类可以通过主动逃逸避开港区作业影响区域，基本上能消除港区作业对它们的不利影响。从整个钦州湾海域来看，项目在正常运营期间对水生生物的不利影响是局部的、较轻的，不会造成整个海域生物类群的改变，也不会对海域生物多样性造成不利影响</w:t>
      </w:r>
      <w:r>
        <w:rPr>
          <w:rFonts w:hint="eastAsia"/>
        </w:rPr>
        <w:t>；且随着钦州港规划的实施，项目所在海域逐步形成成熟的港口海域，水生生态逐步转变为适应港口活动的种群特征</w:t>
      </w:r>
      <w:r>
        <w:t>。通过落实运营期废水治理措施，加强码头装卸作业、船舶进出港的环境管理措施，项目</w:t>
      </w:r>
      <w:r>
        <w:rPr>
          <w:rFonts w:hint="eastAsia"/>
        </w:rPr>
        <w:t>运行</w:t>
      </w:r>
      <w:r>
        <w:t>对评价范围内水生生物的影响将</w:t>
      </w:r>
      <w:r>
        <w:rPr>
          <w:rFonts w:hint="eastAsia"/>
        </w:rPr>
        <w:t>进一步</w:t>
      </w:r>
      <w:r>
        <w:t>得到有效</w:t>
      </w:r>
      <w:r>
        <w:rPr>
          <w:rFonts w:hint="eastAsia"/>
        </w:rPr>
        <w:t>地</w:t>
      </w:r>
      <w:r>
        <w:t>控制。</w:t>
      </w:r>
    </w:p>
    <w:p w14:paraId="2447808F">
      <w:pPr>
        <w:pStyle w:val="4"/>
      </w:pPr>
      <w:bookmarkStart w:id="468" w:name="_Toc217977926"/>
      <w:bookmarkStart w:id="469" w:name="_Toc198042328"/>
      <w:bookmarkStart w:id="470" w:name="_Toc317003262"/>
      <w:bookmarkStart w:id="471" w:name="_Toc317003542"/>
      <w:r>
        <w:t>大气环境影响分析</w:t>
      </w:r>
      <w:bookmarkEnd w:id="468"/>
      <w:bookmarkEnd w:id="469"/>
      <w:bookmarkEnd w:id="470"/>
      <w:bookmarkEnd w:id="471"/>
    </w:p>
    <w:p w14:paraId="661BA159">
      <w:pPr>
        <w:pStyle w:val="5"/>
      </w:pPr>
      <w:r>
        <w:t>施工期环境空气影响分析</w:t>
      </w:r>
    </w:p>
    <w:p w14:paraId="4D09C466">
      <w:pPr>
        <w:ind w:firstLine="437"/>
      </w:pPr>
      <w:r>
        <w:t>工程施工期对环境空气产生影响的作业环节有：材料运输和装卸、</w:t>
      </w:r>
      <w:r>
        <w:rPr>
          <w:rFonts w:hint="eastAsia"/>
        </w:rPr>
        <w:t>施工车辆废气、施工船舶废气等产生的扬尘污染和机械作业废气</w:t>
      </w:r>
      <w:r>
        <w:t>，排放的污染物有TSP、NO</w:t>
      </w:r>
      <w:r>
        <w:rPr>
          <w:vertAlign w:val="subscript"/>
        </w:rPr>
        <w:t>x</w:t>
      </w:r>
      <w:r>
        <w:t>、CO。</w:t>
      </w:r>
    </w:p>
    <w:p w14:paraId="0AC05A92">
      <w:pPr>
        <w:ind w:firstLine="437"/>
      </w:pPr>
      <w:r>
        <w:t>1、扬尘污染分析</w:t>
      </w:r>
    </w:p>
    <w:p w14:paraId="105F3A88">
      <w:pPr>
        <w:ind w:firstLine="429"/>
      </w:pPr>
      <w:r>
        <w:rPr>
          <w:spacing w:val="-2"/>
        </w:rPr>
        <w:t>工程产生扬尘污染主要来源于材料装卸等环节；本码头堆场衔接区、</w:t>
      </w:r>
      <w:r>
        <w:rPr>
          <w:rFonts w:hint="eastAsia"/>
          <w:spacing w:val="-2"/>
        </w:rPr>
        <w:t>码头面</w:t>
      </w:r>
      <w:r>
        <w:rPr>
          <w:spacing w:val="-2"/>
        </w:rPr>
        <w:t>形成等建筑工程数量不大，</w:t>
      </w:r>
      <w:r>
        <w:t>混凝土用量少，采用外购商品混凝土、封闭运输到现场浇灌的方式；整个施工过程，土石方工程量不大，扬尘污染源强小。</w:t>
      </w:r>
    </w:p>
    <w:p w14:paraId="30551C52">
      <w:pPr>
        <w:ind w:firstLine="437"/>
      </w:pPr>
      <w:r>
        <w:t>根据国内港口工程施工现场监测资料，在正常风况下，施工活动将使施工现场TSP近地面浓度达到1.5～3.0mg/m</w:t>
      </w:r>
      <w:r>
        <w:rPr>
          <w:vertAlign w:val="superscript"/>
        </w:rPr>
        <w:t>3</w:t>
      </w:r>
      <w:r>
        <w:t>，距施工现场约200m外的TSP浓度符合《环境空气质量标准》（GB3095-1996）二级标准要求。</w:t>
      </w:r>
    </w:p>
    <w:p w14:paraId="4C2C3002">
      <w:pPr>
        <w:ind w:firstLine="437"/>
      </w:pPr>
      <w:r>
        <w:t>2、作业机械废气污染分析</w:t>
      </w:r>
    </w:p>
    <w:p w14:paraId="563A9BBC">
      <w:pPr>
        <w:ind w:firstLine="437"/>
      </w:pPr>
      <w:r>
        <w:t>本项目施工机械以燃油机械为主，尾气排放中所含污染物主要有SO</w:t>
      </w:r>
      <w:r>
        <w:rPr>
          <w:vertAlign w:val="subscript"/>
        </w:rPr>
        <w:t>2</w:t>
      </w:r>
      <w:r>
        <w:t>、CO、NO</w:t>
      </w:r>
      <w:r>
        <w:rPr>
          <w:vertAlign w:val="subscript"/>
        </w:rPr>
        <w:t>x</w:t>
      </w:r>
      <w:r>
        <w:t xml:space="preserve"> 和烃类；由于施工机械多为大型机械，单车排放系数较大，但同时作业的机械数量少且分散，其污染程度相对较轻。</w:t>
      </w:r>
    </w:p>
    <w:p w14:paraId="2175616D">
      <w:pPr>
        <w:ind w:firstLine="437"/>
        <w:rPr>
          <w:spacing w:val="4"/>
        </w:rPr>
      </w:pPr>
      <w:r>
        <w:t>据已有项目施工现场监测结果，在距施工现场50m处NO</w:t>
      </w:r>
      <w:r>
        <w:rPr>
          <w:vertAlign w:val="subscript"/>
        </w:rPr>
        <w:t>2</w:t>
      </w:r>
      <w:r>
        <w:rPr>
          <w:rFonts w:hint="eastAsia"/>
          <w:vertAlign w:val="subscript"/>
        </w:rPr>
        <w:t xml:space="preserve"> </w:t>
      </w:r>
      <w:r>
        <w:t>1小时平均浓度为0.13mg/m</w:t>
      </w:r>
      <w:r>
        <w:rPr>
          <w:vertAlign w:val="superscript"/>
        </w:rPr>
        <w:t>3</w:t>
      </w:r>
      <w:r>
        <w:t>；日平均浓度为0.062mg/m</w:t>
      </w:r>
      <w:r>
        <w:rPr>
          <w:vertAlign w:val="superscript"/>
        </w:rPr>
        <w:t>3</w:t>
      </w:r>
      <w:r>
        <w:rPr>
          <w:rFonts w:hint="eastAsia"/>
        </w:rPr>
        <w:t>，</w:t>
      </w:r>
      <w:r>
        <w:t>能满足《环境空气质量标准》中二级标准要求。</w:t>
      </w:r>
    </w:p>
    <w:p w14:paraId="2F275C2E">
      <w:pPr>
        <w:ind w:firstLine="437"/>
        <w:rPr>
          <w:spacing w:val="-2"/>
        </w:rPr>
      </w:pPr>
      <w:r>
        <w:t xml:space="preserve">因此，码头作业中，施工机械尾气排放可满足二级标准要求，对评价区空气环境不利影响有限。同时，不利影响是暂时的，随着机械停止作业，该类影响即消失。 </w:t>
      </w:r>
    </w:p>
    <w:p w14:paraId="1408126D">
      <w:pPr>
        <w:pStyle w:val="5"/>
      </w:pPr>
      <w:r>
        <w:t>运营期环境空气影响</w:t>
      </w:r>
      <w:r>
        <w:rPr>
          <w:rFonts w:hint="eastAsia"/>
        </w:rPr>
        <w:t>分析</w:t>
      </w:r>
    </w:p>
    <w:p w14:paraId="14B79E8A">
      <w:pPr>
        <w:ind w:firstLine="437"/>
      </w:pPr>
      <w:r>
        <w:rPr>
          <w:rFonts w:hint="eastAsia"/>
        </w:rPr>
        <w:t>项目</w:t>
      </w:r>
      <w:r>
        <w:t>为自动化集装箱码头</w:t>
      </w:r>
      <w:r>
        <w:rPr>
          <w:rFonts w:hint="eastAsia"/>
        </w:rPr>
        <w:t>，集装箱装卸作业采用龙门吊、IGV充电小车均为电能作业，无装卸废气产生；码头后方堆场为集装箱堆场，堆场静态起尘量极少；码头设置船舶岸电设施，船舶进港靠泊使用岸电设备，该过程不会产生船舶废气；项目运营期主要大气污染物为道路扬尘和进出港运输车辆尾气产生的废气，均为无组织废气。</w:t>
      </w:r>
    </w:p>
    <w:p w14:paraId="6349DDC9">
      <w:pPr>
        <w:ind w:firstLine="437"/>
      </w:pPr>
      <w:r>
        <w:rPr>
          <w:rFonts w:hint="eastAsia"/>
        </w:rPr>
        <w:t>1、道路扬尘及车辆尾气影响</w:t>
      </w:r>
    </w:p>
    <w:p w14:paraId="23CE5711">
      <w:pPr>
        <w:ind w:firstLine="437"/>
      </w:pPr>
      <w:r>
        <w:rPr>
          <w:rFonts w:hint="eastAsia"/>
        </w:rPr>
        <w:t>根据工程分析，港内运输集卡汽车尾气污染物SO</w:t>
      </w:r>
      <w:r>
        <w:rPr>
          <w:rFonts w:hint="eastAsia"/>
          <w:vertAlign w:val="subscript"/>
        </w:rPr>
        <w:t>2</w:t>
      </w:r>
      <w:r>
        <w:rPr>
          <w:rFonts w:hint="eastAsia"/>
        </w:rPr>
        <w:t>、CO、NO</w:t>
      </w:r>
      <w:r>
        <w:rPr>
          <w:rFonts w:hint="eastAsia"/>
          <w:vertAlign w:val="subscript"/>
        </w:rPr>
        <w:t>x</w:t>
      </w:r>
      <w:r>
        <w:rPr>
          <w:rFonts w:hint="eastAsia"/>
        </w:rPr>
        <w:t>，在车辆运行时速按20km/h</w:t>
      </w:r>
      <w:r>
        <w:t>工况下排放的废气中污染物对外界环境的影响</w:t>
      </w:r>
      <w:r>
        <w:rPr>
          <w:rFonts w:hint="eastAsia"/>
        </w:rPr>
        <w:t>小。</w:t>
      </w:r>
    </w:p>
    <w:p w14:paraId="7585ACBB">
      <w:pPr>
        <w:ind w:firstLine="437"/>
      </w:pPr>
      <w:r>
        <w:rPr>
          <w:rFonts w:hint="eastAsia"/>
        </w:rPr>
        <w:t>2、</w:t>
      </w:r>
      <w:r>
        <w:t>船舶废气</w:t>
      </w:r>
    </w:p>
    <w:p w14:paraId="24407434">
      <w:pPr>
        <w:ind w:firstLine="437"/>
      </w:pPr>
      <w:r>
        <w:t>根据国家</w:t>
      </w:r>
      <w:r>
        <w:rPr>
          <w:rFonts w:hint="eastAsia"/>
          <w:lang w:eastAsia="zh-CN"/>
        </w:rPr>
        <w:t>交通运输部</w:t>
      </w:r>
      <w:r>
        <w:t>发布的《船舶大气污染物排放控制区实施方案》，钦州港海域属于排放控制区范围，方案要求在排放控制区内的航行、停泊、作业的船舶燃油含硫量及船舶大气污染物中氮氧化物排放限值均提出要求，停靠船舶应使用岸电替代燃油。</w:t>
      </w:r>
    </w:p>
    <w:p w14:paraId="57B6A284">
      <w:pPr>
        <w:ind w:firstLine="437"/>
      </w:pPr>
      <w:r>
        <w:t>项目设置岸电接入设施，停靠船舶可使用岸电替代燃油，停靠时无船舶大气污染物排放。</w:t>
      </w:r>
    </w:p>
    <w:bookmarkEnd w:id="403"/>
    <w:bookmarkEnd w:id="404"/>
    <w:bookmarkEnd w:id="405"/>
    <w:bookmarkEnd w:id="406"/>
    <w:p w14:paraId="14858191">
      <w:pPr>
        <w:pStyle w:val="4"/>
      </w:pPr>
      <w:bookmarkStart w:id="472" w:name="_Toc217977927"/>
      <w:bookmarkStart w:id="473" w:name="_Toc232154500"/>
      <w:bookmarkStart w:id="474" w:name="_Toc198042329"/>
      <w:bookmarkStart w:id="475" w:name="_Toc247517556"/>
      <w:bookmarkStart w:id="476" w:name="_Toc247517325"/>
      <w:bookmarkStart w:id="477" w:name="_Toc317003263"/>
      <w:bookmarkStart w:id="478" w:name="_Toc317003543"/>
      <w:bookmarkStart w:id="479" w:name="_Toc247517483"/>
      <w:r>
        <w:t>声环境影响预测与分析</w:t>
      </w:r>
      <w:bookmarkEnd w:id="472"/>
      <w:bookmarkEnd w:id="473"/>
      <w:bookmarkEnd w:id="474"/>
      <w:bookmarkEnd w:id="475"/>
      <w:bookmarkEnd w:id="476"/>
      <w:bookmarkEnd w:id="477"/>
      <w:bookmarkEnd w:id="478"/>
      <w:bookmarkEnd w:id="479"/>
    </w:p>
    <w:p w14:paraId="60C84275">
      <w:pPr>
        <w:pStyle w:val="5"/>
      </w:pPr>
      <w:bookmarkStart w:id="480" w:name="_Toc247517326"/>
      <w:bookmarkStart w:id="481" w:name="_Toc232154501"/>
      <w:r>
        <w:t>施工期声环境影响预测评价</w:t>
      </w:r>
      <w:bookmarkEnd w:id="480"/>
      <w:bookmarkEnd w:id="481"/>
    </w:p>
    <w:p w14:paraId="7DAA77D7">
      <w:pPr>
        <w:ind w:firstLine="437"/>
      </w:pPr>
      <w:bookmarkStart w:id="482" w:name="_Toc232154502"/>
      <w:bookmarkStart w:id="483" w:name="_Toc232338166"/>
      <w:bookmarkStart w:id="484" w:name="_Toc232336672"/>
      <w:bookmarkStart w:id="485" w:name="_Toc232337904"/>
      <w:r>
        <w:t>1、炸礁噪声</w:t>
      </w:r>
    </w:p>
    <w:p w14:paraId="0FC45E2E">
      <w:pPr>
        <w:ind w:firstLine="437"/>
      </w:pPr>
      <w:r>
        <w:t>炸礁噪声属于瞬时噪声，根据《爆破安全规程》（GB6722-201</w:t>
      </w:r>
      <w:r>
        <w:rPr>
          <w:rFonts w:hint="eastAsia"/>
        </w:rPr>
        <w:t>4</w:t>
      </w:r>
      <w:r>
        <w:t>），爆破超压对非爆炸作业人员产生不良感觉时对应的爆破噪声声级为120dB（A）。水下炸礁噪声源随着不同的岩层厚度，水下作业深度的变化有着较大的差别，一般均小于80dB（A）。水域两侧都为开阔的水域，</w:t>
      </w:r>
      <w:r>
        <w:rPr>
          <w:rFonts w:hint="eastAsia"/>
        </w:rPr>
        <w:t>没</w:t>
      </w:r>
      <w:r>
        <w:t>有敏感点目标分布，不会对陆域声环境产生</w:t>
      </w:r>
      <w:r>
        <w:rPr>
          <w:rFonts w:hint="eastAsia"/>
        </w:rPr>
        <w:t>大的不利</w:t>
      </w:r>
      <w:r>
        <w:t>影响。而且随着施工的结束，施工噪声的污染也随之消失。</w:t>
      </w:r>
    </w:p>
    <w:p w14:paraId="7B5DD3EA">
      <w:pPr>
        <w:ind w:firstLine="437"/>
      </w:pPr>
      <w:r>
        <w:t>2、施工机械噪声影响预测</w:t>
      </w:r>
      <w:bookmarkEnd w:id="482"/>
      <w:bookmarkEnd w:id="483"/>
      <w:bookmarkEnd w:id="484"/>
      <w:bookmarkEnd w:id="485"/>
    </w:p>
    <w:p w14:paraId="5997A39B">
      <w:pPr>
        <w:ind w:firstLine="437"/>
      </w:pPr>
      <w:r>
        <w:t>施工期间各施工机械噪声可近似作为点声源处理，根据点声源噪声传播衰减模式，可估算施工期间离噪声声源不同距离处的噪声值，从而可就施工噪声对敏感点的影响作出分析评价。预测模式如下：</w:t>
      </w:r>
    </w:p>
    <w:p w14:paraId="296C44DB">
      <w:pPr>
        <w:ind w:firstLine="437"/>
      </w:pPr>
      <w:r>
        <w:object>
          <v:shape id="_x0000_i1046" o:spt="75" type="#_x0000_t75" style="height:35.55pt;width:123.95pt;" o:ole="t" filled="f" o:preferrelative="t" stroked="f" coordsize="21600,21600">
            <v:path/>
            <v:fill on="f" focussize="0,0"/>
            <v:stroke on="f" joinstyle="miter"/>
            <v:imagedata r:id="rId127" o:title=""/>
            <o:lock v:ext="edit" aspectratio="t"/>
            <w10:wrap type="none"/>
            <w10:anchorlock/>
          </v:shape>
          <o:OLEObject Type="Embed" ProgID="Equation.3" ShapeID="_x0000_i1046" DrawAspect="Content" ObjectID="_1468075746" r:id="rId126">
            <o:LockedField>false</o:LockedField>
          </o:OLEObject>
        </w:object>
      </w:r>
    </w:p>
    <w:p w14:paraId="399A4D57">
      <w:pPr>
        <w:ind w:firstLine="437"/>
      </w:pPr>
      <w:r>
        <w:t>式中：</w:t>
      </w:r>
      <w:r>
        <w:rPr>
          <w:i/>
        </w:rPr>
        <w:t>r</w:t>
      </w:r>
      <w:r>
        <w:rPr>
          <w:vertAlign w:val="subscript"/>
        </w:rPr>
        <w:t>1</w:t>
      </w:r>
      <w:r>
        <w:t>、</w:t>
      </w:r>
      <w:r>
        <w:rPr>
          <w:i/>
        </w:rPr>
        <w:t>r</w:t>
      </w:r>
      <w:r>
        <w:rPr>
          <w:vertAlign w:val="subscript"/>
        </w:rPr>
        <w:t>2</w:t>
      </w:r>
      <w:r>
        <w:t>——距声源的距离，m；</w:t>
      </w:r>
    </w:p>
    <w:p w14:paraId="6F95DCE4">
      <w:pPr>
        <w:ind w:firstLine="437"/>
      </w:pPr>
      <w:r>
        <w:rPr>
          <w:i/>
        </w:rPr>
        <w:t>L</w:t>
      </w:r>
      <w:r>
        <w:rPr>
          <w:vertAlign w:val="subscript"/>
        </w:rPr>
        <w:t>1</w:t>
      </w:r>
      <w:r>
        <w:t>、</w:t>
      </w:r>
      <w:r>
        <w:rPr>
          <w:i/>
        </w:rPr>
        <w:t>L</w:t>
      </w:r>
      <w:r>
        <w:rPr>
          <w:vertAlign w:val="subscript"/>
        </w:rPr>
        <w:t>2</w:t>
      </w:r>
      <w:r>
        <w:t>——</w:t>
      </w:r>
      <w:r>
        <w:rPr>
          <w:i/>
        </w:rPr>
        <w:t>L</w:t>
      </w:r>
      <w:r>
        <w:rPr>
          <w:vertAlign w:val="subscript"/>
        </w:rPr>
        <w:t>1</w:t>
      </w:r>
      <w:r>
        <w:t>、</w:t>
      </w:r>
      <w:r>
        <w:rPr>
          <w:i/>
        </w:rPr>
        <w:t>L</w:t>
      </w:r>
      <w:r>
        <w:rPr>
          <w:vertAlign w:val="subscript"/>
        </w:rPr>
        <w:t>2</w:t>
      </w:r>
      <w:r>
        <w:t>处的噪声值，dB（A）</w:t>
      </w:r>
    </w:p>
    <w:p w14:paraId="6348124F">
      <w:pPr>
        <w:ind w:firstLine="437"/>
      </w:pPr>
      <w:r>
        <w:rPr>
          <w:rFonts w:hint="eastAsia" w:ascii="宋体" w:hAnsi="宋体" w:cs="宋体"/>
          <w:i/>
        </w:rPr>
        <w:t>△</w:t>
      </w:r>
      <w:r>
        <w:rPr>
          <w:i/>
        </w:rPr>
        <w:t>L</w:t>
      </w:r>
      <w:r>
        <w:t>——房屋、树木等对噪声影响值，dB（A）。</w:t>
      </w:r>
    </w:p>
    <w:p w14:paraId="5EF347B9">
      <w:pPr>
        <w:ind w:firstLine="437"/>
      </w:pPr>
      <w:r>
        <w:t>根据工程分析章节和类比调查得到的参考声级，</w:t>
      </w:r>
      <w:r>
        <w:rPr>
          <w:rFonts w:hint="eastAsia"/>
        </w:rPr>
        <w:t>距施工机械不同距离处的噪声值预测结果</w:t>
      </w:r>
      <w:r>
        <w:t>，见表4.</w:t>
      </w:r>
      <w:r>
        <w:rPr>
          <w:rFonts w:hint="eastAsia"/>
        </w:rPr>
        <w:t>4</w:t>
      </w:r>
      <w:r>
        <w:t>-1。根据表4.</w:t>
      </w:r>
      <w:r>
        <w:rPr>
          <w:rFonts w:hint="eastAsia"/>
        </w:rPr>
        <w:t>4</w:t>
      </w:r>
      <w:r>
        <w:t>-1预测结果，单机施工机械噪声值昼间辐射到大于</w:t>
      </w:r>
      <w:r>
        <w:rPr>
          <w:rFonts w:hint="eastAsia"/>
        </w:rPr>
        <w:t>50</w:t>
      </w:r>
      <w:r>
        <w:t>m距离时，施工噪声预测值可满足《建筑施工噪声排放</w:t>
      </w:r>
      <w:r>
        <w:rPr>
          <w:rFonts w:hint="eastAsia"/>
        </w:rPr>
        <w:t>标准</w:t>
      </w:r>
      <w:r>
        <w:t>》（GB12523-</w:t>
      </w:r>
      <w:r>
        <w:rPr>
          <w:rFonts w:hint="eastAsia"/>
        </w:rPr>
        <w:t>2025</w:t>
      </w:r>
      <w:r>
        <w:t>）标准要求，施工机械叠加噪声值昼间辐射到大于</w:t>
      </w:r>
      <w:r>
        <w:rPr>
          <w:rFonts w:hint="eastAsia"/>
        </w:rPr>
        <w:t>105m处达标</w:t>
      </w:r>
      <w:r>
        <w:t>；对于夜间作业，单机施工机械噪声值</w:t>
      </w:r>
      <w:r>
        <w:rPr>
          <w:rFonts w:hint="eastAsia"/>
        </w:rPr>
        <w:t>夜间</w:t>
      </w:r>
      <w:r>
        <w:t>辐射到大于</w:t>
      </w:r>
      <w:r>
        <w:rPr>
          <w:rFonts w:hint="eastAsia"/>
        </w:rPr>
        <w:t>280</w:t>
      </w:r>
      <w:r>
        <w:t>m距离时，施工噪声预测值可满足《建筑施工噪声排放</w:t>
      </w:r>
      <w:r>
        <w:rPr>
          <w:rFonts w:hint="eastAsia"/>
        </w:rPr>
        <w:t>标准</w:t>
      </w:r>
      <w:r>
        <w:t>》（GB12523-</w:t>
      </w:r>
      <w:r>
        <w:rPr>
          <w:rFonts w:hint="eastAsia"/>
        </w:rPr>
        <w:t>2025</w:t>
      </w:r>
      <w:r>
        <w:t>）标准要求，施工机械叠加噪声值</w:t>
      </w:r>
      <w:r>
        <w:rPr>
          <w:rFonts w:hint="eastAsia"/>
        </w:rPr>
        <w:t>夜间超标</w:t>
      </w:r>
      <w:r>
        <w:t>。</w:t>
      </w:r>
    </w:p>
    <w:p w14:paraId="32DE53FC">
      <w:pPr>
        <w:pStyle w:val="7"/>
      </w:pPr>
      <w:r>
        <w:t>主要施工机械噪声级随距离衰减预测</w:t>
      </w:r>
      <w:r>
        <w:rPr>
          <w:rFonts w:hint="eastAsia"/>
        </w:rPr>
        <w:t xml:space="preserve">  </w:t>
      </w:r>
      <w:r>
        <w:rPr>
          <w:rFonts w:hint="eastAsia"/>
          <w:sz w:val="21"/>
          <w:szCs w:val="21"/>
        </w:rPr>
        <w:t>单位：</w:t>
      </w:r>
      <w:r>
        <w:rPr>
          <w:sz w:val="21"/>
          <w:szCs w:val="21"/>
        </w:rPr>
        <w:t>dB（A）</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97"/>
        <w:gridCol w:w="1366"/>
        <w:gridCol w:w="1437"/>
        <w:gridCol w:w="566"/>
        <w:gridCol w:w="566"/>
        <w:gridCol w:w="566"/>
        <w:gridCol w:w="566"/>
        <w:gridCol w:w="566"/>
        <w:gridCol w:w="566"/>
        <w:gridCol w:w="566"/>
        <w:gridCol w:w="566"/>
      </w:tblGrid>
      <w:tr w14:paraId="718B23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716" w:type="pct"/>
            <w:vAlign w:val="center"/>
          </w:tcPr>
          <w:p w14:paraId="1648B04F">
            <w:pPr>
              <w:pStyle w:val="34"/>
            </w:pPr>
            <w:r>
              <w:t>机械类型</w:t>
            </w:r>
          </w:p>
        </w:tc>
        <w:tc>
          <w:tcPr>
            <w:tcW w:w="815" w:type="pct"/>
            <w:vAlign w:val="center"/>
          </w:tcPr>
          <w:p w14:paraId="7DA07E4B">
            <w:pPr>
              <w:pStyle w:val="34"/>
            </w:pPr>
            <w:r>
              <w:t>测点距离（m）</w:t>
            </w:r>
          </w:p>
        </w:tc>
        <w:tc>
          <w:tcPr>
            <w:tcW w:w="856" w:type="pct"/>
            <w:vAlign w:val="center"/>
          </w:tcPr>
          <w:p w14:paraId="1119FAE9">
            <w:pPr>
              <w:pStyle w:val="34"/>
            </w:pPr>
            <w:r>
              <w:t>最大声级（dB）</w:t>
            </w:r>
          </w:p>
        </w:tc>
        <w:tc>
          <w:tcPr>
            <w:tcW w:w="327" w:type="pct"/>
            <w:vAlign w:val="center"/>
          </w:tcPr>
          <w:p w14:paraId="2CBB7345">
            <w:pPr>
              <w:pStyle w:val="34"/>
            </w:pPr>
            <w:r>
              <w:rPr>
                <w:rFonts w:hint="eastAsia"/>
              </w:rPr>
              <w:t>10</w:t>
            </w:r>
          </w:p>
        </w:tc>
        <w:tc>
          <w:tcPr>
            <w:tcW w:w="327" w:type="pct"/>
            <w:vAlign w:val="center"/>
          </w:tcPr>
          <w:p w14:paraId="2E41E181">
            <w:pPr>
              <w:pStyle w:val="34"/>
            </w:pPr>
            <w:r>
              <w:rPr>
                <w:rFonts w:hint="eastAsia"/>
              </w:rPr>
              <w:t>20</w:t>
            </w:r>
          </w:p>
        </w:tc>
        <w:tc>
          <w:tcPr>
            <w:tcW w:w="327" w:type="pct"/>
            <w:vAlign w:val="center"/>
          </w:tcPr>
          <w:p w14:paraId="3074D79F">
            <w:pPr>
              <w:pStyle w:val="34"/>
            </w:pPr>
            <w:r>
              <w:rPr>
                <w:rFonts w:hint="eastAsia"/>
              </w:rPr>
              <w:t>50</w:t>
            </w:r>
          </w:p>
        </w:tc>
        <w:tc>
          <w:tcPr>
            <w:tcW w:w="327" w:type="pct"/>
            <w:vAlign w:val="center"/>
          </w:tcPr>
          <w:p w14:paraId="0D80CCBA">
            <w:pPr>
              <w:pStyle w:val="34"/>
            </w:pPr>
            <w:r>
              <w:rPr>
                <w:rFonts w:hint="eastAsia"/>
              </w:rPr>
              <w:t>80</w:t>
            </w:r>
          </w:p>
        </w:tc>
        <w:tc>
          <w:tcPr>
            <w:tcW w:w="327" w:type="pct"/>
            <w:vAlign w:val="center"/>
          </w:tcPr>
          <w:p w14:paraId="213AA682">
            <w:pPr>
              <w:pStyle w:val="34"/>
            </w:pPr>
            <w:r>
              <w:rPr>
                <w:rFonts w:hint="eastAsia"/>
              </w:rPr>
              <w:t>100</w:t>
            </w:r>
          </w:p>
        </w:tc>
        <w:tc>
          <w:tcPr>
            <w:tcW w:w="327" w:type="pct"/>
            <w:vAlign w:val="center"/>
          </w:tcPr>
          <w:p w14:paraId="62127FC6">
            <w:pPr>
              <w:pStyle w:val="34"/>
            </w:pPr>
            <w:r>
              <w:rPr>
                <w:rFonts w:hint="eastAsia"/>
              </w:rPr>
              <w:t>150</w:t>
            </w:r>
          </w:p>
        </w:tc>
        <w:tc>
          <w:tcPr>
            <w:tcW w:w="327" w:type="pct"/>
            <w:vAlign w:val="center"/>
          </w:tcPr>
          <w:p w14:paraId="7ABCB1C2">
            <w:pPr>
              <w:pStyle w:val="34"/>
            </w:pPr>
            <w:r>
              <w:rPr>
                <w:rFonts w:hint="eastAsia"/>
              </w:rPr>
              <w:t>200</w:t>
            </w:r>
          </w:p>
        </w:tc>
        <w:tc>
          <w:tcPr>
            <w:tcW w:w="327" w:type="pct"/>
            <w:vAlign w:val="center"/>
          </w:tcPr>
          <w:p w14:paraId="33FC4FB8">
            <w:pPr>
              <w:pStyle w:val="34"/>
            </w:pPr>
            <w:r>
              <w:rPr>
                <w:rFonts w:hint="eastAsia"/>
              </w:rPr>
              <w:t>360</w:t>
            </w:r>
          </w:p>
        </w:tc>
      </w:tr>
      <w:tr w14:paraId="564948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6" w:type="pct"/>
            <w:vAlign w:val="center"/>
          </w:tcPr>
          <w:p w14:paraId="01E0C786">
            <w:pPr>
              <w:pStyle w:val="34"/>
            </w:pPr>
            <w:r>
              <w:rPr>
                <w:rFonts w:hint="eastAsia"/>
              </w:rPr>
              <w:t>轮式</w:t>
            </w:r>
            <w:r>
              <w:t>装载机</w:t>
            </w:r>
          </w:p>
        </w:tc>
        <w:tc>
          <w:tcPr>
            <w:tcW w:w="815" w:type="pct"/>
            <w:vAlign w:val="center"/>
          </w:tcPr>
          <w:p w14:paraId="275322BE">
            <w:pPr>
              <w:pStyle w:val="34"/>
            </w:pPr>
            <w:r>
              <w:rPr>
                <w:rFonts w:hint="eastAsia"/>
              </w:rPr>
              <w:t>5</w:t>
            </w:r>
          </w:p>
        </w:tc>
        <w:tc>
          <w:tcPr>
            <w:tcW w:w="856" w:type="pct"/>
            <w:vAlign w:val="center"/>
          </w:tcPr>
          <w:p w14:paraId="3B689C4E">
            <w:pPr>
              <w:pStyle w:val="34"/>
            </w:pPr>
            <w:r>
              <w:rPr>
                <w:rFonts w:hint="eastAsia"/>
              </w:rPr>
              <w:t>95</w:t>
            </w:r>
          </w:p>
        </w:tc>
        <w:tc>
          <w:tcPr>
            <w:tcW w:w="327" w:type="pct"/>
            <w:vAlign w:val="center"/>
          </w:tcPr>
          <w:p w14:paraId="37413F8B">
            <w:pPr>
              <w:pStyle w:val="34"/>
            </w:pPr>
            <w:r>
              <w:rPr>
                <w:rFonts w:hint="eastAsia"/>
              </w:rPr>
              <w:t xml:space="preserve">67.9 </w:t>
            </w:r>
          </w:p>
        </w:tc>
        <w:tc>
          <w:tcPr>
            <w:tcW w:w="327" w:type="pct"/>
            <w:vAlign w:val="center"/>
          </w:tcPr>
          <w:p w14:paraId="5D2F7DDA">
            <w:pPr>
              <w:pStyle w:val="34"/>
            </w:pPr>
            <w:r>
              <w:rPr>
                <w:rFonts w:hint="eastAsia"/>
              </w:rPr>
              <w:t xml:space="preserve">61.9 </w:t>
            </w:r>
          </w:p>
        </w:tc>
        <w:tc>
          <w:tcPr>
            <w:tcW w:w="327" w:type="pct"/>
            <w:vAlign w:val="center"/>
          </w:tcPr>
          <w:p w14:paraId="01FC038B">
            <w:pPr>
              <w:pStyle w:val="34"/>
            </w:pPr>
            <w:r>
              <w:rPr>
                <w:rFonts w:hint="eastAsia"/>
              </w:rPr>
              <w:t xml:space="preserve">53.9 </w:t>
            </w:r>
          </w:p>
        </w:tc>
        <w:tc>
          <w:tcPr>
            <w:tcW w:w="327" w:type="pct"/>
            <w:vAlign w:val="center"/>
          </w:tcPr>
          <w:p w14:paraId="3C209BD3">
            <w:pPr>
              <w:pStyle w:val="34"/>
            </w:pPr>
            <w:r>
              <w:rPr>
                <w:rFonts w:hint="eastAsia"/>
              </w:rPr>
              <w:t xml:space="preserve">49.8 </w:t>
            </w:r>
          </w:p>
        </w:tc>
        <w:tc>
          <w:tcPr>
            <w:tcW w:w="327" w:type="pct"/>
            <w:vAlign w:val="center"/>
          </w:tcPr>
          <w:p w14:paraId="4A06CD90">
            <w:pPr>
              <w:pStyle w:val="34"/>
            </w:pPr>
            <w:r>
              <w:rPr>
                <w:rFonts w:hint="eastAsia"/>
              </w:rPr>
              <w:t xml:space="preserve">47.9 </w:t>
            </w:r>
          </w:p>
        </w:tc>
        <w:tc>
          <w:tcPr>
            <w:tcW w:w="327" w:type="pct"/>
            <w:vAlign w:val="center"/>
          </w:tcPr>
          <w:p w14:paraId="0208EAFA">
            <w:pPr>
              <w:pStyle w:val="34"/>
            </w:pPr>
            <w:r>
              <w:rPr>
                <w:rFonts w:hint="eastAsia"/>
              </w:rPr>
              <w:t xml:space="preserve">44.4 </w:t>
            </w:r>
          </w:p>
        </w:tc>
        <w:tc>
          <w:tcPr>
            <w:tcW w:w="327" w:type="pct"/>
            <w:vAlign w:val="center"/>
          </w:tcPr>
          <w:p w14:paraId="2B2B2E3F">
            <w:pPr>
              <w:pStyle w:val="34"/>
            </w:pPr>
            <w:r>
              <w:rPr>
                <w:rFonts w:hint="eastAsia"/>
              </w:rPr>
              <w:t xml:space="preserve">41.9 </w:t>
            </w:r>
          </w:p>
        </w:tc>
        <w:tc>
          <w:tcPr>
            <w:tcW w:w="327" w:type="pct"/>
            <w:vAlign w:val="center"/>
          </w:tcPr>
          <w:p w14:paraId="3299EDEC">
            <w:pPr>
              <w:pStyle w:val="34"/>
            </w:pPr>
            <w:r>
              <w:rPr>
                <w:rFonts w:hint="eastAsia"/>
              </w:rPr>
              <w:t xml:space="preserve">36.8 </w:t>
            </w:r>
          </w:p>
        </w:tc>
      </w:tr>
      <w:tr w14:paraId="66573F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6" w:type="pct"/>
            <w:vAlign w:val="center"/>
          </w:tcPr>
          <w:p w14:paraId="547716A7">
            <w:pPr>
              <w:pStyle w:val="34"/>
            </w:pPr>
            <w:r>
              <w:t>液压挖掘机</w:t>
            </w:r>
          </w:p>
        </w:tc>
        <w:tc>
          <w:tcPr>
            <w:tcW w:w="815" w:type="pct"/>
            <w:vAlign w:val="center"/>
          </w:tcPr>
          <w:p w14:paraId="77ACE8C5">
            <w:pPr>
              <w:pStyle w:val="34"/>
            </w:pPr>
            <w:r>
              <w:rPr>
                <w:rFonts w:hint="eastAsia"/>
              </w:rPr>
              <w:t>5</w:t>
            </w:r>
          </w:p>
        </w:tc>
        <w:tc>
          <w:tcPr>
            <w:tcW w:w="856" w:type="pct"/>
            <w:vAlign w:val="center"/>
          </w:tcPr>
          <w:p w14:paraId="3F6AC12E">
            <w:pPr>
              <w:pStyle w:val="34"/>
            </w:pPr>
            <w:r>
              <w:rPr>
                <w:rFonts w:hint="eastAsia"/>
              </w:rPr>
              <w:t>90</w:t>
            </w:r>
          </w:p>
        </w:tc>
        <w:tc>
          <w:tcPr>
            <w:tcW w:w="327" w:type="pct"/>
            <w:vAlign w:val="center"/>
          </w:tcPr>
          <w:p w14:paraId="7D81E609">
            <w:pPr>
              <w:pStyle w:val="34"/>
            </w:pPr>
            <w:r>
              <w:rPr>
                <w:rFonts w:hint="eastAsia"/>
              </w:rPr>
              <w:t xml:space="preserve">67.9 </w:t>
            </w:r>
          </w:p>
        </w:tc>
        <w:tc>
          <w:tcPr>
            <w:tcW w:w="327" w:type="pct"/>
            <w:vAlign w:val="center"/>
          </w:tcPr>
          <w:p w14:paraId="7B62EFC9">
            <w:pPr>
              <w:pStyle w:val="34"/>
            </w:pPr>
            <w:r>
              <w:rPr>
                <w:rFonts w:hint="eastAsia"/>
              </w:rPr>
              <w:t xml:space="preserve">61.9 </w:t>
            </w:r>
          </w:p>
        </w:tc>
        <w:tc>
          <w:tcPr>
            <w:tcW w:w="327" w:type="pct"/>
            <w:vAlign w:val="center"/>
          </w:tcPr>
          <w:p w14:paraId="1D95F06D">
            <w:pPr>
              <w:pStyle w:val="34"/>
            </w:pPr>
            <w:r>
              <w:rPr>
                <w:rFonts w:hint="eastAsia"/>
              </w:rPr>
              <w:t xml:space="preserve">53.9 </w:t>
            </w:r>
          </w:p>
        </w:tc>
        <w:tc>
          <w:tcPr>
            <w:tcW w:w="327" w:type="pct"/>
            <w:vAlign w:val="center"/>
          </w:tcPr>
          <w:p w14:paraId="1C35498F">
            <w:pPr>
              <w:pStyle w:val="34"/>
            </w:pPr>
            <w:r>
              <w:rPr>
                <w:rFonts w:hint="eastAsia"/>
              </w:rPr>
              <w:t xml:space="preserve">49.8 </w:t>
            </w:r>
          </w:p>
        </w:tc>
        <w:tc>
          <w:tcPr>
            <w:tcW w:w="327" w:type="pct"/>
            <w:vAlign w:val="center"/>
          </w:tcPr>
          <w:p w14:paraId="4353C31F">
            <w:pPr>
              <w:pStyle w:val="34"/>
            </w:pPr>
            <w:r>
              <w:rPr>
                <w:rFonts w:hint="eastAsia"/>
              </w:rPr>
              <w:t xml:space="preserve">47.9 </w:t>
            </w:r>
          </w:p>
        </w:tc>
        <w:tc>
          <w:tcPr>
            <w:tcW w:w="327" w:type="pct"/>
            <w:vAlign w:val="center"/>
          </w:tcPr>
          <w:p w14:paraId="7F7163BC">
            <w:pPr>
              <w:pStyle w:val="34"/>
            </w:pPr>
            <w:r>
              <w:rPr>
                <w:rFonts w:hint="eastAsia"/>
              </w:rPr>
              <w:t xml:space="preserve">44.4 </w:t>
            </w:r>
          </w:p>
        </w:tc>
        <w:tc>
          <w:tcPr>
            <w:tcW w:w="327" w:type="pct"/>
            <w:vAlign w:val="center"/>
          </w:tcPr>
          <w:p w14:paraId="3C0C1D95">
            <w:pPr>
              <w:pStyle w:val="34"/>
            </w:pPr>
            <w:r>
              <w:rPr>
                <w:rFonts w:hint="eastAsia"/>
              </w:rPr>
              <w:t xml:space="preserve">41.9 </w:t>
            </w:r>
          </w:p>
        </w:tc>
        <w:tc>
          <w:tcPr>
            <w:tcW w:w="327" w:type="pct"/>
            <w:vAlign w:val="center"/>
          </w:tcPr>
          <w:p w14:paraId="37D7A164">
            <w:pPr>
              <w:pStyle w:val="34"/>
            </w:pPr>
            <w:r>
              <w:rPr>
                <w:rFonts w:hint="eastAsia"/>
              </w:rPr>
              <w:t xml:space="preserve">36.8 </w:t>
            </w:r>
          </w:p>
        </w:tc>
      </w:tr>
      <w:tr w14:paraId="478D62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6" w:type="pct"/>
            <w:vAlign w:val="center"/>
          </w:tcPr>
          <w:p w14:paraId="3C192D15">
            <w:pPr>
              <w:pStyle w:val="34"/>
            </w:pPr>
            <w:r>
              <w:rPr>
                <w:rFonts w:hint="eastAsia"/>
              </w:rPr>
              <w:t>履带</w:t>
            </w:r>
            <w:r>
              <w:t>吊</w:t>
            </w:r>
          </w:p>
        </w:tc>
        <w:tc>
          <w:tcPr>
            <w:tcW w:w="815" w:type="pct"/>
            <w:vAlign w:val="center"/>
          </w:tcPr>
          <w:p w14:paraId="2CE3540C">
            <w:pPr>
              <w:pStyle w:val="34"/>
            </w:pPr>
            <w:r>
              <w:rPr>
                <w:rFonts w:hint="eastAsia"/>
              </w:rPr>
              <w:t>8</w:t>
            </w:r>
          </w:p>
        </w:tc>
        <w:tc>
          <w:tcPr>
            <w:tcW w:w="856" w:type="pct"/>
            <w:vAlign w:val="center"/>
          </w:tcPr>
          <w:p w14:paraId="281C2CE6">
            <w:pPr>
              <w:pStyle w:val="34"/>
            </w:pPr>
            <w:r>
              <w:rPr>
                <w:rFonts w:hint="eastAsia"/>
              </w:rPr>
              <w:t>76</w:t>
            </w:r>
          </w:p>
        </w:tc>
        <w:tc>
          <w:tcPr>
            <w:tcW w:w="327" w:type="pct"/>
            <w:vAlign w:val="center"/>
          </w:tcPr>
          <w:p w14:paraId="5BF3338B">
            <w:pPr>
              <w:pStyle w:val="34"/>
            </w:pPr>
            <w:r>
              <w:rPr>
                <w:rFonts w:hint="eastAsia"/>
              </w:rPr>
              <w:t xml:space="preserve">70.0 </w:t>
            </w:r>
          </w:p>
        </w:tc>
        <w:tc>
          <w:tcPr>
            <w:tcW w:w="327" w:type="pct"/>
            <w:vAlign w:val="center"/>
          </w:tcPr>
          <w:p w14:paraId="1C0D39FC">
            <w:pPr>
              <w:pStyle w:val="34"/>
            </w:pPr>
            <w:r>
              <w:rPr>
                <w:rFonts w:hint="eastAsia"/>
              </w:rPr>
              <w:t xml:space="preserve">63.9 </w:t>
            </w:r>
          </w:p>
        </w:tc>
        <w:tc>
          <w:tcPr>
            <w:tcW w:w="327" w:type="pct"/>
            <w:vAlign w:val="center"/>
          </w:tcPr>
          <w:p w14:paraId="42762DE5">
            <w:pPr>
              <w:pStyle w:val="34"/>
            </w:pPr>
            <w:r>
              <w:rPr>
                <w:rFonts w:hint="eastAsia"/>
              </w:rPr>
              <w:t xml:space="preserve">56.0 </w:t>
            </w:r>
          </w:p>
        </w:tc>
        <w:tc>
          <w:tcPr>
            <w:tcW w:w="327" w:type="pct"/>
            <w:vAlign w:val="center"/>
          </w:tcPr>
          <w:p w14:paraId="4ACB909E">
            <w:pPr>
              <w:pStyle w:val="34"/>
            </w:pPr>
            <w:r>
              <w:rPr>
                <w:rFonts w:hint="eastAsia"/>
              </w:rPr>
              <w:t xml:space="preserve">51.9 </w:t>
            </w:r>
          </w:p>
        </w:tc>
        <w:tc>
          <w:tcPr>
            <w:tcW w:w="327" w:type="pct"/>
            <w:vAlign w:val="center"/>
          </w:tcPr>
          <w:p w14:paraId="7E77E2D9">
            <w:pPr>
              <w:pStyle w:val="34"/>
            </w:pPr>
            <w:r>
              <w:rPr>
                <w:rFonts w:hint="eastAsia"/>
              </w:rPr>
              <w:t xml:space="preserve">50.0 </w:t>
            </w:r>
          </w:p>
        </w:tc>
        <w:tc>
          <w:tcPr>
            <w:tcW w:w="327" w:type="pct"/>
            <w:vAlign w:val="center"/>
          </w:tcPr>
          <w:p w14:paraId="58469CC9">
            <w:pPr>
              <w:pStyle w:val="34"/>
            </w:pPr>
            <w:r>
              <w:rPr>
                <w:rFonts w:hint="eastAsia"/>
              </w:rPr>
              <w:t xml:space="preserve">46.4 </w:t>
            </w:r>
          </w:p>
        </w:tc>
        <w:tc>
          <w:tcPr>
            <w:tcW w:w="327" w:type="pct"/>
            <w:vAlign w:val="center"/>
          </w:tcPr>
          <w:p w14:paraId="27F9B1E6">
            <w:pPr>
              <w:pStyle w:val="34"/>
            </w:pPr>
            <w:r>
              <w:rPr>
                <w:rFonts w:hint="eastAsia"/>
              </w:rPr>
              <w:t xml:space="preserve">43.9 </w:t>
            </w:r>
          </w:p>
        </w:tc>
        <w:tc>
          <w:tcPr>
            <w:tcW w:w="327" w:type="pct"/>
            <w:vAlign w:val="center"/>
          </w:tcPr>
          <w:p w14:paraId="312A8718">
            <w:pPr>
              <w:pStyle w:val="34"/>
            </w:pPr>
            <w:r>
              <w:rPr>
                <w:rFonts w:hint="eastAsia"/>
              </w:rPr>
              <w:t xml:space="preserve">38.8 </w:t>
            </w:r>
          </w:p>
        </w:tc>
      </w:tr>
      <w:tr w14:paraId="015168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6" w:type="pct"/>
            <w:vAlign w:val="center"/>
          </w:tcPr>
          <w:p w14:paraId="160BD72E">
            <w:pPr>
              <w:pStyle w:val="34"/>
            </w:pPr>
            <w:r>
              <w:rPr>
                <w:rFonts w:hint="eastAsia"/>
              </w:rPr>
              <w:t>皮带机</w:t>
            </w:r>
          </w:p>
        </w:tc>
        <w:tc>
          <w:tcPr>
            <w:tcW w:w="815" w:type="pct"/>
            <w:vAlign w:val="center"/>
          </w:tcPr>
          <w:p w14:paraId="5F4ACC83">
            <w:pPr>
              <w:pStyle w:val="34"/>
            </w:pPr>
            <w:r>
              <w:rPr>
                <w:rFonts w:hint="eastAsia"/>
              </w:rPr>
              <w:t>3</w:t>
            </w:r>
          </w:p>
        </w:tc>
        <w:tc>
          <w:tcPr>
            <w:tcW w:w="856" w:type="pct"/>
            <w:vAlign w:val="center"/>
          </w:tcPr>
          <w:p w14:paraId="53949E65">
            <w:pPr>
              <w:pStyle w:val="34"/>
            </w:pPr>
            <w:r>
              <w:rPr>
                <w:rFonts w:hint="eastAsia"/>
              </w:rPr>
              <w:t>91</w:t>
            </w:r>
          </w:p>
        </w:tc>
        <w:tc>
          <w:tcPr>
            <w:tcW w:w="327" w:type="pct"/>
            <w:vAlign w:val="center"/>
          </w:tcPr>
          <w:p w14:paraId="078D7C9C">
            <w:pPr>
              <w:pStyle w:val="34"/>
            </w:pPr>
            <w:r>
              <w:rPr>
                <w:rFonts w:hint="eastAsia"/>
              </w:rPr>
              <w:t xml:space="preserve">57.7 </w:t>
            </w:r>
          </w:p>
        </w:tc>
        <w:tc>
          <w:tcPr>
            <w:tcW w:w="327" w:type="pct"/>
            <w:vAlign w:val="center"/>
          </w:tcPr>
          <w:p w14:paraId="59F22012">
            <w:pPr>
              <w:pStyle w:val="34"/>
            </w:pPr>
            <w:r>
              <w:rPr>
                <w:rFonts w:hint="eastAsia"/>
              </w:rPr>
              <w:t xml:space="preserve">51.7 </w:t>
            </w:r>
          </w:p>
        </w:tc>
        <w:tc>
          <w:tcPr>
            <w:tcW w:w="327" w:type="pct"/>
            <w:vAlign w:val="center"/>
          </w:tcPr>
          <w:p w14:paraId="38C5439B">
            <w:pPr>
              <w:pStyle w:val="34"/>
            </w:pPr>
            <w:r>
              <w:rPr>
                <w:rFonts w:hint="eastAsia"/>
              </w:rPr>
              <w:t xml:space="preserve">43.8 </w:t>
            </w:r>
          </w:p>
        </w:tc>
        <w:tc>
          <w:tcPr>
            <w:tcW w:w="327" w:type="pct"/>
            <w:vAlign w:val="center"/>
          </w:tcPr>
          <w:p w14:paraId="02BF6ED3">
            <w:pPr>
              <w:pStyle w:val="34"/>
            </w:pPr>
            <w:r>
              <w:rPr>
                <w:rFonts w:hint="eastAsia"/>
              </w:rPr>
              <w:t xml:space="preserve">39.7 </w:t>
            </w:r>
          </w:p>
        </w:tc>
        <w:tc>
          <w:tcPr>
            <w:tcW w:w="327" w:type="pct"/>
            <w:vAlign w:val="center"/>
          </w:tcPr>
          <w:p w14:paraId="050B3C25">
            <w:pPr>
              <w:pStyle w:val="34"/>
            </w:pPr>
            <w:r>
              <w:rPr>
                <w:rFonts w:hint="eastAsia"/>
              </w:rPr>
              <w:t xml:space="preserve">37.7 </w:t>
            </w:r>
          </w:p>
        </w:tc>
        <w:tc>
          <w:tcPr>
            <w:tcW w:w="327" w:type="pct"/>
            <w:vAlign w:val="center"/>
          </w:tcPr>
          <w:p w14:paraId="1B0F005B">
            <w:pPr>
              <w:pStyle w:val="34"/>
            </w:pPr>
            <w:r>
              <w:rPr>
                <w:rFonts w:hint="eastAsia"/>
              </w:rPr>
              <w:t xml:space="preserve">34.2 </w:t>
            </w:r>
          </w:p>
        </w:tc>
        <w:tc>
          <w:tcPr>
            <w:tcW w:w="327" w:type="pct"/>
            <w:vAlign w:val="center"/>
          </w:tcPr>
          <w:p w14:paraId="298D7446">
            <w:pPr>
              <w:pStyle w:val="34"/>
            </w:pPr>
            <w:r>
              <w:rPr>
                <w:rFonts w:hint="eastAsia"/>
              </w:rPr>
              <w:t xml:space="preserve">31.7 </w:t>
            </w:r>
          </w:p>
        </w:tc>
        <w:tc>
          <w:tcPr>
            <w:tcW w:w="327" w:type="pct"/>
            <w:vAlign w:val="center"/>
          </w:tcPr>
          <w:p w14:paraId="32B26820">
            <w:pPr>
              <w:pStyle w:val="34"/>
            </w:pPr>
            <w:r>
              <w:rPr>
                <w:rFonts w:hint="eastAsia"/>
              </w:rPr>
              <w:t xml:space="preserve">26.6 </w:t>
            </w:r>
          </w:p>
        </w:tc>
      </w:tr>
      <w:tr w14:paraId="68F73E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6" w:type="pct"/>
            <w:vAlign w:val="center"/>
          </w:tcPr>
          <w:p w14:paraId="2B2D97FD">
            <w:pPr>
              <w:pStyle w:val="34"/>
            </w:pPr>
            <w:r>
              <w:rPr>
                <w:rFonts w:hint="eastAsia"/>
              </w:rPr>
              <w:t>自卸卡车</w:t>
            </w:r>
          </w:p>
        </w:tc>
        <w:tc>
          <w:tcPr>
            <w:tcW w:w="815" w:type="pct"/>
            <w:vAlign w:val="center"/>
          </w:tcPr>
          <w:p w14:paraId="0F2C8025">
            <w:pPr>
              <w:pStyle w:val="34"/>
            </w:pPr>
            <w:r>
              <w:rPr>
                <w:rFonts w:hint="eastAsia"/>
              </w:rPr>
              <w:t>2</w:t>
            </w:r>
          </w:p>
        </w:tc>
        <w:tc>
          <w:tcPr>
            <w:tcW w:w="856" w:type="pct"/>
            <w:vAlign w:val="center"/>
          </w:tcPr>
          <w:p w14:paraId="393CCDC1">
            <w:pPr>
              <w:pStyle w:val="34"/>
            </w:pPr>
            <w:r>
              <w:rPr>
                <w:rFonts w:hint="eastAsia"/>
              </w:rPr>
              <w:t>88</w:t>
            </w:r>
          </w:p>
        </w:tc>
        <w:tc>
          <w:tcPr>
            <w:tcW w:w="327" w:type="pct"/>
            <w:vAlign w:val="center"/>
          </w:tcPr>
          <w:p w14:paraId="6CAE356F">
            <w:pPr>
              <w:pStyle w:val="34"/>
            </w:pPr>
            <w:r>
              <w:rPr>
                <w:rFonts w:hint="eastAsia"/>
              </w:rPr>
              <w:t xml:space="preserve">58.5 </w:t>
            </w:r>
          </w:p>
        </w:tc>
        <w:tc>
          <w:tcPr>
            <w:tcW w:w="327" w:type="pct"/>
            <w:vAlign w:val="center"/>
          </w:tcPr>
          <w:p w14:paraId="7244D8BC">
            <w:pPr>
              <w:pStyle w:val="34"/>
            </w:pPr>
            <w:r>
              <w:rPr>
                <w:rFonts w:hint="eastAsia"/>
              </w:rPr>
              <w:t xml:space="preserve">52.5 </w:t>
            </w:r>
          </w:p>
        </w:tc>
        <w:tc>
          <w:tcPr>
            <w:tcW w:w="327" w:type="pct"/>
            <w:vAlign w:val="center"/>
          </w:tcPr>
          <w:p w14:paraId="563B9669">
            <w:pPr>
              <w:pStyle w:val="34"/>
            </w:pPr>
            <w:r>
              <w:rPr>
                <w:rFonts w:hint="eastAsia"/>
              </w:rPr>
              <w:t xml:space="preserve">44.5 </w:t>
            </w:r>
          </w:p>
        </w:tc>
        <w:tc>
          <w:tcPr>
            <w:tcW w:w="327" w:type="pct"/>
            <w:vAlign w:val="center"/>
          </w:tcPr>
          <w:p w14:paraId="47062C8F">
            <w:pPr>
              <w:pStyle w:val="34"/>
            </w:pPr>
            <w:r>
              <w:rPr>
                <w:rFonts w:hint="eastAsia"/>
              </w:rPr>
              <w:t xml:space="preserve">40.5 </w:t>
            </w:r>
          </w:p>
        </w:tc>
        <w:tc>
          <w:tcPr>
            <w:tcW w:w="327" w:type="pct"/>
            <w:vAlign w:val="center"/>
          </w:tcPr>
          <w:p w14:paraId="52E851CD">
            <w:pPr>
              <w:pStyle w:val="34"/>
            </w:pPr>
            <w:r>
              <w:rPr>
                <w:rFonts w:hint="eastAsia"/>
              </w:rPr>
              <w:t xml:space="preserve">38.5 </w:t>
            </w:r>
          </w:p>
        </w:tc>
        <w:tc>
          <w:tcPr>
            <w:tcW w:w="327" w:type="pct"/>
            <w:vAlign w:val="center"/>
          </w:tcPr>
          <w:p w14:paraId="3596F5DF">
            <w:pPr>
              <w:pStyle w:val="34"/>
            </w:pPr>
            <w:r>
              <w:rPr>
                <w:rFonts w:hint="eastAsia"/>
              </w:rPr>
              <w:t xml:space="preserve">35.0 </w:t>
            </w:r>
          </w:p>
        </w:tc>
        <w:tc>
          <w:tcPr>
            <w:tcW w:w="327" w:type="pct"/>
            <w:vAlign w:val="center"/>
          </w:tcPr>
          <w:p w14:paraId="7B634207">
            <w:pPr>
              <w:pStyle w:val="34"/>
            </w:pPr>
            <w:r>
              <w:rPr>
                <w:rFonts w:hint="eastAsia"/>
              </w:rPr>
              <w:t xml:space="preserve">32.5 </w:t>
            </w:r>
          </w:p>
        </w:tc>
        <w:tc>
          <w:tcPr>
            <w:tcW w:w="327" w:type="pct"/>
            <w:vAlign w:val="center"/>
          </w:tcPr>
          <w:p w14:paraId="29E8F477">
            <w:pPr>
              <w:pStyle w:val="34"/>
            </w:pPr>
            <w:r>
              <w:rPr>
                <w:rFonts w:hint="eastAsia"/>
              </w:rPr>
              <w:t xml:space="preserve">27.4 </w:t>
            </w:r>
          </w:p>
        </w:tc>
      </w:tr>
      <w:tr w14:paraId="49D215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6" w:type="pct"/>
            <w:vAlign w:val="center"/>
          </w:tcPr>
          <w:p w14:paraId="6B3446DD">
            <w:pPr>
              <w:pStyle w:val="34"/>
            </w:pPr>
            <w:r>
              <w:t>打桩机</w:t>
            </w:r>
          </w:p>
        </w:tc>
        <w:tc>
          <w:tcPr>
            <w:tcW w:w="815" w:type="pct"/>
            <w:vAlign w:val="center"/>
          </w:tcPr>
          <w:p w14:paraId="4F8F8C56">
            <w:pPr>
              <w:pStyle w:val="34"/>
            </w:pPr>
            <w:r>
              <w:rPr>
                <w:rFonts w:hint="eastAsia"/>
              </w:rPr>
              <w:t>5</w:t>
            </w:r>
          </w:p>
        </w:tc>
        <w:tc>
          <w:tcPr>
            <w:tcW w:w="856" w:type="pct"/>
            <w:vAlign w:val="center"/>
          </w:tcPr>
          <w:p w14:paraId="5107A96A">
            <w:pPr>
              <w:pStyle w:val="34"/>
            </w:pPr>
            <w:r>
              <w:rPr>
                <w:rFonts w:hint="eastAsia"/>
              </w:rPr>
              <w:t>110</w:t>
            </w:r>
          </w:p>
        </w:tc>
        <w:tc>
          <w:tcPr>
            <w:tcW w:w="327" w:type="pct"/>
            <w:vAlign w:val="center"/>
          </w:tcPr>
          <w:p w14:paraId="2DFB301C">
            <w:pPr>
              <w:pStyle w:val="34"/>
            </w:pPr>
            <w:r>
              <w:rPr>
                <w:rFonts w:hint="eastAsia"/>
              </w:rPr>
              <w:t xml:space="preserve">84.0 </w:t>
            </w:r>
          </w:p>
        </w:tc>
        <w:tc>
          <w:tcPr>
            <w:tcW w:w="327" w:type="pct"/>
            <w:vAlign w:val="center"/>
          </w:tcPr>
          <w:p w14:paraId="18716B88">
            <w:pPr>
              <w:pStyle w:val="34"/>
            </w:pPr>
            <w:r>
              <w:rPr>
                <w:rFonts w:hint="eastAsia"/>
              </w:rPr>
              <w:t xml:space="preserve">78.0 </w:t>
            </w:r>
          </w:p>
        </w:tc>
        <w:tc>
          <w:tcPr>
            <w:tcW w:w="327" w:type="pct"/>
            <w:vAlign w:val="center"/>
          </w:tcPr>
          <w:p w14:paraId="5236ED36">
            <w:pPr>
              <w:pStyle w:val="34"/>
            </w:pPr>
            <w:r>
              <w:rPr>
                <w:rFonts w:hint="eastAsia"/>
              </w:rPr>
              <w:t xml:space="preserve">70.0 </w:t>
            </w:r>
          </w:p>
        </w:tc>
        <w:tc>
          <w:tcPr>
            <w:tcW w:w="327" w:type="pct"/>
            <w:vAlign w:val="center"/>
          </w:tcPr>
          <w:p w14:paraId="20372249">
            <w:pPr>
              <w:pStyle w:val="34"/>
            </w:pPr>
            <w:r>
              <w:rPr>
                <w:rFonts w:hint="eastAsia"/>
              </w:rPr>
              <w:t xml:space="preserve">65.9 </w:t>
            </w:r>
          </w:p>
        </w:tc>
        <w:tc>
          <w:tcPr>
            <w:tcW w:w="327" w:type="pct"/>
            <w:vAlign w:val="center"/>
          </w:tcPr>
          <w:p w14:paraId="7E2B130C">
            <w:pPr>
              <w:pStyle w:val="34"/>
            </w:pPr>
            <w:r>
              <w:rPr>
                <w:rFonts w:hint="eastAsia"/>
              </w:rPr>
              <w:t xml:space="preserve">64.0 </w:t>
            </w:r>
          </w:p>
        </w:tc>
        <w:tc>
          <w:tcPr>
            <w:tcW w:w="327" w:type="pct"/>
            <w:vAlign w:val="center"/>
          </w:tcPr>
          <w:p w14:paraId="5586ACF8">
            <w:pPr>
              <w:pStyle w:val="34"/>
            </w:pPr>
            <w:r>
              <w:rPr>
                <w:rFonts w:hint="eastAsia"/>
              </w:rPr>
              <w:t xml:space="preserve">60.5 </w:t>
            </w:r>
          </w:p>
        </w:tc>
        <w:tc>
          <w:tcPr>
            <w:tcW w:w="327" w:type="pct"/>
            <w:vAlign w:val="center"/>
          </w:tcPr>
          <w:p w14:paraId="2AA67871">
            <w:pPr>
              <w:pStyle w:val="34"/>
            </w:pPr>
            <w:r>
              <w:rPr>
                <w:rFonts w:hint="eastAsia"/>
              </w:rPr>
              <w:t xml:space="preserve">58.0 </w:t>
            </w:r>
          </w:p>
        </w:tc>
        <w:tc>
          <w:tcPr>
            <w:tcW w:w="327" w:type="pct"/>
            <w:vAlign w:val="center"/>
          </w:tcPr>
          <w:p w14:paraId="4F67526E">
            <w:pPr>
              <w:pStyle w:val="34"/>
            </w:pPr>
            <w:r>
              <w:rPr>
                <w:rFonts w:hint="eastAsia"/>
              </w:rPr>
              <w:t xml:space="preserve">52.9 </w:t>
            </w:r>
          </w:p>
        </w:tc>
      </w:tr>
      <w:tr w14:paraId="2D0A8A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6" w:type="pct"/>
            <w:vAlign w:val="center"/>
          </w:tcPr>
          <w:p w14:paraId="1B8E1EFE">
            <w:pPr>
              <w:pStyle w:val="34"/>
            </w:pPr>
            <w:r>
              <w:t>施工船舶</w:t>
            </w:r>
          </w:p>
        </w:tc>
        <w:tc>
          <w:tcPr>
            <w:tcW w:w="815" w:type="pct"/>
            <w:vAlign w:val="center"/>
          </w:tcPr>
          <w:p w14:paraId="3647C8EC">
            <w:pPr>
              <w:pStyle w:val="34"/>
            </w:pPr>
            <w:r>
              <w:rPr>
                <w:rFonts w:hint="eastAsia"/>
              </w:rPr>
              <w:t>20</w:t>
            </w:r>
          </w:p>
        </w:tc>
        <w:tc>
          <w:tcPr>
            <w:tcW w:w="856" w:type="pct"/>
            <w:vAlign w:val="center"/>
          </w:tcPr>
          <w:p w14:paraId="7AF3C69E">
            <w:pPr>
              <w:pStyle w:val="34"/>
            </w:pPr>
            <w:r>
              <w:rPr>
                <w:rFonts w:hint="eastAsia"/>
              </w:rPr>
              <w:t>65</w:t>
            </w:r>
          </w:p>
        </w:tc>
        <w:tc>
          <w:tcPr>
            <w:tcW w:w="327" w:type="pct"/>
            <w:vAlign w:val="center"/>
          </w:tcPr>
          <w:p w14:paraId="7517A723">
            <w:pPr>
              <w:pStyle w:val="34"/>
            </w:pPr>
            <w:r>
              <w:rPr>
                <w:rFonts w:hint="eastAsia"/>
              </w:rPr>
              <w:t xml:space="preserve">81.0 </w:t>
            </w:r>
          </w:p>
        </w:tc>
        <w:tc>
          <w:tcPr>
            <w:tcW w:w="327" w:type="pct"/>
            <w:vAlign w:val="center"/>
          </w:tcPr>
          <w:p w14:paraId="2773E0C7">
            <w:pPr>
              <w:pStyle w:val="34"/>
            </w:pPr>
            <w:r>
              <w:rPr>
                <w:rFonts w:hint="eastAsia"/>
              </w:rPr>
              <w:t xml:space="preserve">75.0 </w:t>
            </w:r>
          </w:p>
        </w:tc>
        <w:tc>
          <w:tcPr>
            <w:tcW w:w="327" w:type="pct"/>
            <w:vAlign w:val="center"/>
          </w:tcPr>
          <w:p w14:paraId="2382FDE6">
            <w:pPr>
              <w:pStyle w:val="34"/>
            </w:pPr>
            <w:r>
              <w:rPr>
                <w:rFonts w:hint="eastAsia"/>
              </w:rPr>
              <w:t xml:space="preserve">67.0 </w:t>
            </w:r>
          </w:p>
        </w:tc>
        <w:tc>
          <w:tcPr>
            <w:tcW w:w="327" w:type="pct"/>
            <w:vAlign w:val="center"/>
          </w:tcPr>
          <w:p w14:paraId="73531E98">
            <w:pPr>
              <w:pStyle w:val="34"/>
            </w:pPr>
            <w:r>
              <w:rPr>
                <w:rFonts w:hint="eastAsia"/>
              </w:rPr>
              <w:t xml:space="preserve">63.0 </w:t>
            </w:r>
          </w:p>
        </w:tc>
        <w:tc>
          <w:tcPr>
            <w:tcW w:w="327" w:type="pct"/>
            <w:vAlign w:val="center"/>
          </w:tcPr>
          <w:p w14:paraId="56C99658">
            <w:pPr>
              <w:pStyle w:val="34"/>
            </w:pPr>
            <w:r>
              <w:rPr>
                <w:rFonts w:hint="eastAsia"/>
              </w:rPr>
              <w:t xml:space="preserve">61.0 </w:t>
            </w:r>
          </w:p>
        </w:tc>
        <w:tc>
          <w:tcPr>
            <w:tcW w:w="327" w:type="pct"/>
            <w:vAlign w:val="center"/>
          </w:tcPr>
          <w:p w14:paraId="0E9981D1">
            <w:pPr>
              <w:pStyle w:val="34"/>
            </w:pPr>
            <w:r>
              <w:rPr>
                <w:rFonts w:hint="eastAsia"/>
              </w:rPr>
              <w:t xml:space="preserve">57.5 </w:t>
            </w:r>
          </w:p>
        </w:tc>
        <w:tc>
          <w:tcPr>
            <w:tcW w:w="327" w:type="pct"/>
            <w:vAlign w:val="center"/>
          </w:tcPr>
          <w:p w14:paraId="3215EC38">
            <w:pPr>
              <w:pStyle w:val="34"/>
            </w:pPr>
            <w:r>
              <w:rPr>
                <w:rFonts w:hint="eastAsia"/>
              </w:rPr>
              <w:t xml:space="preserve">55.0 </w:t>
            </w:r>
          </w:p>
        </w:tc>
        <w:tc>
          <w:tcPr>
            <w:tcW w:w="327" w:type="pct"/>
            <w:vAlign w:val="center"/>
          </w:tcPr>
          <w:p w14:paraId="0E13EA27">
            <w:pPr>
              <w:pStyle w:val="34"/>
            </w:pPr>
            <w:r>
              <w:rPr>
                <w:rFonts w:hint="eastAsia"/>
              </w:rPr>
              <w:t xml:space="preserve">49.9 </w:t>
            </w:r>
          </w:p>
        </w:tc>
      </w:tr>
      <w:tr w14:paraId="299C36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6" w:type="pct"/>
            <w:vAlign w:val="center"/>
          </w:tcPr>
          <w:p w14:paraId="086D2A2E">
            <w:pPr>
              <w:pStyle w:val="34"/>
            </w:pPr>
            <w:r>
              <w:rPr>
                <w:rFonts w:hint="eastAsia"/>
              </w:rPr>
              <w:t>叠加</w:t>
            </w:r>
          </w:p>
        </w:tc>
        <w:tc>
          <w:tcPr>
            <w:tcW w:w="815" w:type="pct"/>
            <w:vAlign w:val="center"/>
          </w:tcPr>
          <w:p w14:paraId="5EF7CB20">
            <w:pPr>
              <w:pStyle w:val="34"/>
            </w:pPr>
            <w:r>
              <w:rPr>
                <w:rFonts w:hint="eastAsia"/>
              </w:rPr>
              <w:t>/</w:t>
            </w:r>
          </w:p>
        </w:tc>
        <w:tc>
          <w:tcPr>
            <w:tcW w:w="856" w:type="pct"/>
            <w:vAlign w:val="center"/>
          </w:tcPr>
          <w:p w14:paraId="63386F1A">
            <w:pPr>
              <w:pStyle w:val="34"/>
            </w:pPr>
            <w:r>
              <w:rPr>
                <w:rFonts w:hint="eastAsia"/>
              </w:rPr>
              <w:t>/</w:t>
            </w:r>
          </w:p>
        </w:tc>
        <w:tc>
          <w:tcPr>
            <w:tcW w:w="327" w:type="pct"/>
            <w:vAlign w:val="center"/>
          </w:tcPr>
          <w:p w14:paraId="070B288B">
            <w:pPr>
              <w:pStyle w:val="34"/>
            </w:pPr>
            <w:r>
              <w:rPr>
                <w:rFonts w:hint="eastAsia"/>
              </w:rPr>
              <w:t>88.1</w:t>
            </w:r>
          </w:p>
        </w:tc>
        <w:tc>
          <w:tcPr>
            <w:tcW w:w="327" w:type="pct"/>
            <w:vAlign w:val="center"/>
          </w:tcPr>
          <w:p w14:paraId="521F05C8">
            <w:pPr>
              <w:pStyle w:val="34"/>
            </w:pPr>
            <w:r>
              <w:rPr>
                <w:rFonts w:hint="eastAsia"/>
              </w:rPr>
              <w:t>82.1</w:t>
            </w:r>
          </w:p>
        </w:tc>
        <w:tc>
          <w:tcPr>
            <w:tcW w:w="327" w:type="pct"/>
            <w:vAlign w:val="center"/>
          </w:tcPr>
          <w:p w14:paraId="0B2DA6B9">
            <w:pPr>
              <w:pStyle w:val="34"/>
            </w:pPr>
            <w:r>
              <w:rPr>
                <w:rFonts w:hint="eastAsia"/>
              </w:rPr>
              <w:t>74.1</w:t>
            </w:r>
          </w:p>
        </w:tc>
        <w:tc>
          <w:tcPr>
            <w:tcW w:w="327" w:type="pct"/>
            <w:vAlign w:val="center"/>
          </w:tcPr>
          <w:p w14:paraId="7161AB3F">
            <w:pPr>
              <w:pStyle w:val="34"/>
            </w:pPr>
            <w:r>
              <w:rPr>
                <w:rFonts w:hint="eastAsia"/>
              </w:rPr>
              <w:t>70.4</w:t>
            </w:r>
          </w:p>
        </w:tc>
        <w:tc>
          <w:tcPr>
            <w:tcW w:w="327" w:type="pct"/>
            <w:vAlign w:val="center"/>
          </w:tcPr>
          <w:p w14:paraId="4AF377E3">
            <w:pPr>
              <w:pStyle w:val="34"/>
            </w:pPr>
            <w:r>
              <w:rPr>
                <w:rFonts w:hint="eastAsia"/>
              </w:rPr>
              <w:t>68.1</w:t>
            </w:r>
          </w:p>
        </w:tc>
        <w:tc>
          <w:tcPr>
            <w:tcW w:w="327" w:type="pct"/>
            <w:vAlign w:val="center"/>
          </w:tcPr>
          <w:p w14:paraId="794B1DCC">
            <w:pPr>
              <w:pStyle w:val="34"/>
            </w:pPr>
            <w:r>
              <w:rPr>
                <w:rFonts w:hint="eastAsia"/>
              </w:rPr>
              <w:t>64.6</w:t>
            </w:r>
          </w:p>
        </w:tc>
        <w:tc>
          <w:tcPr>
            <w:tcW w:w="327" w:type="pct"/>
            <w:vAlign w:val="center"/>
          </w:tcPr>
          <w:p w14:paraId="51C30F3F">
            <w:pPr>
              <w:pStyle w:val="34"/>
            </w:pPr>
            <w:r>
              <w:rPr>
                <w:rFonts w:hint="eastAsia"/>
              </w:rPr>
              <w:t>62.1</w:t>
            </w:r>
          </w:p>
        </w:tc>
        <w:tc>
          <w:tcPr>
            <w:tcW w:w="327" w:type="pct"/>
            <w:vAlign w:val="center"/>
          </w:tcPr>
          <w:p w14:paraId="432CD2B5">
            <w:pPr>
              <w:pStyle w:val="34"/>
            </w:pPr>
            <w:r>
              <w:rPr>
                <w:rFonts w:hint="eastAsia"/>
              </w:rPr>
              <w:t>57.0</w:t>
            </w:r>
          </w:p>
        </w:tc>
      </w:tr>
    </w:tbl>
    <w:p w14:paraId="68D1A74C">
      <w:pPr>
        <w:ind w:firstLine="437"/>
      </w:pPr>
      <w:r>
        <w:rPr>
          <w:rFonts w:hint="eastAsia"/>
        </w:rPr>
        <w:t>3、施工机械噪声影响分析</w:t>
      </w:r>
    </w:p>
    <w:p w14:paraId="4E0BF902">
      <w:pPr>
        <w:ind w:firstLine="437"/>
      </w:pPr>
      <w:r>
        <w:t>项目评价范围内无声环境敏感</w:t>
      </w:r>
      <w:r>
        <w:rPr>
          <w:rFonts w:hint="eastAsia"/>
        </w:rPr>
        <w:t>保护目标</w:t>
      </w:r>
      <w:r>
        <w:t>。施工噪声对周边环境的影响属短时影响，随施工活动结束消失。</w:t>
      </w:r>
    </w:p>
    <w:p w14:paraId="3C5C98DE">
      <w:pPr>
        <w:pStyle w:val="5"/>
      </w:pPr>
      <w:r>
        <w:t>运营期声环境影响预测评价</w:t>
      </w:r>
    </w:p>
    <w:p w14:paraId="47616001">
      <w:pPr>
        <w:ind w:firstLine="437"/>
      </w:pPr>
      <w:bookmarkStart w:id="486" w:name="_Toc232336676"/>
      <w:bookmarkStart w:id="487" w:name="_Toc232337908"/>
      <w:bookmarkStart w:id="488" w:name="_Toc232338170"/>
      <w:r>
        <w:t>1、预测模式</w:t>
      </w:r>
    </w:p>
    <w:p w14:paraId="7DACDAA7">
      <w:pPr>
        <w:ind w:firstLine="437"/>
      </w:pPr>
      <w:r>
        <w:rPr>
          <w:rFonts w:hint="eastAsia" w:ascii="宋体" w:hAnsi="宋体" w:cs="宋体"/>
        </w:rPr>
        <w:t>①</w:t>
      </w:r>
      <w:r>
        <w:t xml:space="preserve"> 单机噪声预测模式</w:t>
      </w:r>
    </w:p>
    <w:p w14:paraId="6B4D4621">
      <w:pPr>
        <w:ind w:firstLine="437"/>
      </w:pPr>
      <w:r>
        <w:t>根据噪声源的特性，采用以下噪声影响计算模式：</w:t>
      </w:r>
    </w:p>
    <w:p w14:paraId="0E885DCC">
      <w:pPr>
        <w:ind w:firstLine="437"/>
        <w:jc w:val="center"/>
      </w:pPr>
      <w:r>
        <w:object>
          <v:shape id="_x0000_i1047" o:spt="75" type="#_x0000_t75" style="height:30.1pt;width:113.9pt;" o:ole="t" filled="f" o:preferrelative="t" stroked="f" coordsize="21600,21600">
            <v:path/>
            <v:fill on="f" focussize="0,0"/>
            <v:stroke on="f" joinstyle="miter"/>
            <v:imagedata r:id="rId127" o:title=""/>
            <o:lock v:ext="edit" aspectratio="t"/>
            <w10:wrap type="none"/>
            <w10:anchorlock/>
          </v:shape>
          <o:OLEObject Type="Embed" ProgID="Equation.3" ShapeID="_x0000_i1047" DrawAspect="Content" ObjectID="_1468075747" r:id="rId128">
            <o:LockedField>false</o:LockedField>
          </o:OLEObject>
        </w:object>
      </w:r>
    </w:p>
    <w:p w14:paraId="20830DB0">
      <w:pPr>
        <w:ind w:firstLine="437"/>
      </w:pPr>
      <w:r>
        <w:t>式中：</w:t>
      </w:r>
      <w:r>
        <w:rPr>
          <w:i/>
        </w:rPr>
        <w:t>L</w:t>
      </w:r>
      <w:r>
        <w:rPr>
          <w:vertAlign w:val="subscript"/>
        </w:rPr>
        <w:t>i</w:t>
      </w:r>
      <w:r>
        <w:t xml:space="preserve"> ——距声源r</w:t>
      </w:r>
      <w:r>
        <w:rPr>
          <w:vertAlign w:val="subscript"/>
        </w:rPr>
        <w:t>i</w:t>
      </w:r>
      <w:r>
        <w:t>处的声级[dB（A）]。</w:t>
      </w:r>
    </w:p>
    <w:p w14:paraId="5EB0E3B7">
      <w:pPr>
        <w:ind w:firstLine="437"/>
      </w:pPr>
      <w:r>
        <w:rPr>
          <w:i/>
        </w:rPr>
        <w:t>L</w:t>
      </w:r>
      <w:r>
        <w:rPr>
          <w:vertAlign w:val="subscript"/>
        </w:rPr>
        <w:t xml:space="preserve">0 </w:t>
      </w:r>
      <w:r>
        <w:t>——距声源r</w:t>
      </w:r>
      <w:r>
        <w:rPr>
          <w:vertAlign w:val="subscript"/>
        </w:rPr>
        <w:t>0</w:t>
      </w:r>
      <w:r>
        <w:t>处的声级[dB（A）]。</w:t>
      </w:r>
    </w:p>
    <w:p w14:paraId="431CC7F6">
      <w:pPr>
        <w:ind w:firstLine="437"/>
      </w:pPr>
      <w:r>
        <w:t>Δ</w:t>
      </w:r>
      <w:r>
        <w:rPr>
          <w:i/>
        </w:rPr>
        <w:t>L</w:t>
      </w:r>
      <w:r>
        <w:t>——其他因素引起的噪声衰减量，保守取0。</w:t>
      </w:r>
    </w:p>
    <w:p w14:paraId="422FF219">
      <w:pPr>
        <w:ind w:firstLine="437"/>
      </w:pPr>
      <w:r>
        <w:t>工程运营期作业机械高噪声源为码头前沿各类装卸机械，主要有双小车岸桥、</w:t>
      </w:r>
      <w:r>
        <w:rPr>
          <w:rFonts w:hint="eastAsia"/>
        </w:rPr>
        <w:t>门机</w:t>
      </w:r>
      <w:r>
        <w:t>、牵引半挂车、龙门吊等，根据同类工程现场实测资料，确定本工程主要装卸作业机械噪声源强见表4.</w:t>
      </w:r>
      <w:r>
        <w:rPr>
          <w:rFonts w:hint="eastAsia"/>
        </w:rPr>
        <w:t>4</w:t>
      </w:r>
      <w:r>
        <w:t>-2。</w:t>
      </w:r>
    </w:p>
    <w:p w14:paraId="446778BB">
      <w:pPr>
        <w:ind w:firstLine="437"/>
      </w:pPr>
      <w:r>
        <w:rPr>
          <w:rFonts w:hint="eastAsia" w:ascii="宋体" w:hAnsi="宋体" w:cs="宋体"/>
        </w:rPr>
        <w:t>②</w:t>
      </w:r>
      <w:r>
        <w:t xml:space="preserve"> 各声源在预测点产生的合成声级采用以下计算模式：</w:t>
      </w:r>
    </w:p>
    <w:p w14:paraId="508F7AFE">
      <w:pPr>
        <w:ind w:firstLine="437"/>
      </w:pPr>
      <w:r>
        <w:drawing>
          <wp:anchor distT="0" distB="0" distL="114300" distR="114300" simplePos="0" relativeHeight="251663360" behindDoc="0" locked="0" layoutInCell="1" allowOverlap="1">
            <wp:simplePos x="0" y="0"/>
            <wp:positionH relativeFrom="column">
              <wp:posOffset>2175510</wp:posOffset>
            </wp:positionH>
            <wp:positionV relativeFrom="paragraph">
              <wp:posOffset>26670</wp:posOffset>
            </wp:positionV>
            <wp:extent cx="1371600" cy="457200"/>
            <wp:effectExtent l="0" t="0" r="0" b="0"/>
            <wp:wrapNone/>
            <wp:docPr id="2608" name="图片 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 name="图片 260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a:xfrm>
                      <a:off x="0" y="0"/>
                      <a:ext cx="1371600" cy="457200"/>
                    </a:xfrm>
                    <a:prstGeom prst="rect">
                      <a:avLst/>
                    </a:prstGeom>
                    <a:noFill/>
                  </pic:spPr>
                </pic:pic>
              </a:graphicData>
            </a:graphic>
          </wp:anchor>
        </w:drawing>
      </w:r>
    </w:p>
    <w:p w14:paraId="2B6E530B">
      <w:pPr>
        <w:ind w:firstLine="437"/>
      </w:pPr>
    </w:p>
    <w:p w14:paraId="42748EA2">
      <w:pPr>
        <w:ind w:firstLine="437"/>
      </w:pPr>
      <w:r>
        <w:rPr>
          <w:rFonts w:hint="eastAsia" w:ascii="宋体" w:hAnsi="宋体" w:cs="宋体"/>
        </w:rPr>
        <w:t>③</w:t>
      </w:r>
      <w:r>
        <w:t xml:space="preserve"> 计算预测点昼间或夜间的环境噪声预测值（LAeq）预计算式为：</w:t>
      </w:r>
    </w:p>
    <w:p w14:paraId="0C90BB31">
      <w:pPr>
        <w:ind w:firstLine="437"/>
        <w:rPr>
          <w:snapToGrid w:val="0"/>
        </w:rPr>
      </w:pPr>
      <w:r>
        <w:rPr>
          <w:snapToGrid w:val="0"/>
        </w:rPr>
        <w:t>（L</w:t>
      </w:r>
      <w:r>
        <w:rPr>
          <w:snapToGrid w:val="0"/>
          <w:vertAlign w:val="subscript"/>
        </w:rPr>
        <w:t>Aeq</w:t>
      </w:r>
      <w:r>
        <w:rPr>
          <w:snapToGrid w:val="0"/>
        </w:rPr>
        <w:t>）</w:t>
      </w:r>
      <w:r>
        <w:rPr>
          <w:snapToGrid w:val="0"/>
          <w:vertAlign w:val="subscript"/>
        </w:rPr>
        <w:t>预</w:t>
      </w:r>
      <w:r>
        <w:rPr>
          <w:snapToGrid w:val="0"/>
        </w:rPr>
        <w:t>＝10lg[10</w:t>
      </w:r>
      <w:r>
        <w:rPr>
          <w:snapToGrid w:val="0"/>
          <w:vertAlign w:val="superscript"/>
        </w:rPr>
        <w:t>0.1（LAeq）TP</w:t>
      </w:r>
      <w:r>
        <w:rPr>
          <w:snapToGrid w:val="0"/>
        </w:rPr>
        <w:t>+10</w:t>
      </w:r>
      <w:r>
        <w:rPr>
          <w:snapToGrid w:val="0"/>
          <w:vertAlign w:val="superscript"/>
        </w:rPr>
        <w:t>0.1（LAeq）背</w:t>
      </w:r>
      <w:r>
        <w:rPr>
          <w:snapToGrid w:val="0"/>
        </w:rPr>
        <w:t>]</w:t>
      </w:r>
    </w:p>
    <w:p w14:paraId="2769EE37">
      <w:pPr>
        <w:ind w:firstLine="437"/>
      </w:pPr>
      <w:r>
        <w:t>式中：</w:t>
      </w:r>
      <w:r>
        <w:rPr>
          <w:snapToGrid w:val="0"/>
        </w:rPr>
        <w:t>（L</w:t>
      </w:r>
      <w:r>
        <w:rPr>
          <w:snapToGrid w:val="0"/>
          <w:vertAlign w:val="subscript"/>
        </w:rPr>
        <w:t>Aeq</w:t>
      </w:r>
      <w:r>
        <w:rPr>
          <w:snapToGrid w:val="0"/>
        </w:rPr>
        <w:t>）</w:t>
      </w:r>
      <w:r>
        <w:rPr>
          <w:snapToGrid w:val="0"/>
          <w:vertAlign w:val="subscript"/>
        </w:rPr>
        <w:t>背</w:t>
      </w:r>
      <w:r>
        <w:rPr>
          <w:snapToGrid w:val="0"/>
        </w:rPr>
        <w:t>——环境噪声现状值，</w:t>
      </w:r>
      <w:r>
        <w:t>[dB（A）]。</w:t>
      </w:r>
    </w:p>
    <w:p w14:paraId="25E47C4A">
      <w:pPr>
        <w:ind w:firstLine="437"/>
      </w:pPr>
      <w:r>
        <w:t>2、计算条件</w:t>
      </w:r>
    </w:p>
    <w:p w14:paraId="4980E139">
      <w:pPr>
        <w:ind w:firstLine="437"/>
      </w:pPr>
      <w:r>
        <w:rPr>
          <w:rFonts w:hint="eastAsia" w:ascii="宋体" w:hAnsi="宋体" w:cs="宋体"/>
        </w:rPr>
        <w:t>①</w:t>
      </w:r>
      <w:r>
        <w:t xml:space="preserve"> 预测点位</w:t>
      </w:r>
    </w:p>
    <w:p w14:paraId="704D2657">
      <w:pPr>
        <w:ind w:firstLine="437"/>
      </w:pPr>
      <w:r>
        <w:t>本项目评价范围内无声环境敏感点，项目</w:t>
      </w:r>
      <w:r>
        <w:rPr>
          <w:rFonts w:hint="eastAsia"/>
        </w:rPr>
        <w:t>西</w:t>
      </w:r>
      <w:r>
        <w:t>侧为靠近航道一侧，选取北、东和南侧场界进行预测。</w:t>
      </w:r>
    </w:p>
    <w:p w14:paraId="5AC4C141">
      <w:pPr>
        <w:ind w:firstLine="437"/>
      </w:pPr>
      <w:r>
        <w:fldChar w:fldCharType="begin"/>
      </w:r>
      <w:r>
        <w:instrText xml:space="preserve"> = 2 \* GB3 </w:instrText>
      </w:r>
      <w:r>
        <w:fldChar w:fldCharType="separate"/>
      </w:r>
      <w:r>
        <w:rPr>
          <w:rFonts w:hint="eastAsia" w:ascii="宋体" w:hAnsi="宋体" w:cs="宋体"/>
        </w:rPr>
        <w:t>②</w:t>
      </w:r>
      <w:r>
        <w:fldChar w:fldCharType="end"/>
      </w:r>
      <w:r>
        <w:t xml:space="preserve"> 预测计算作业机械数量取值</w:t>
      </w:r>
    </w:p>
    <w:p w14:paraId="4936B8F3">
      <w:pPr>
        <w:ind w:firstLine="437"/>
      </w:pPr>
      <w:r>
        <w:t>码头作业存在间歇性和作业机械流动性等特点，根据港区总平面布置情况，为最大程度反映港区机械噪声带来的影响，结合泊位及装卸机械利用情况，选择泊位、</w:t>
      </w:r>
      <w:r>
        <w:rPr>
          <w:rFonts w:hint="eastAsia"/>
        </w:rPr>
        <w:t>集装箱</w:t>
      </w:r>
      <w:r>
        <w:t>堆场同时作业的最不利工况预测。</w:t>
      </w:r>
    </w:p>
    <w:p w14:paraId="5362100D">
      <w:pPr>
        <w:pStyle w:val="7"/>
      </w:pPr>
      <w:r>
        <w:t>主要噪声源强</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61"/>
        <w:gridCol w:w="1750"/>
        <w:gridCol w:w="1460"/>
        <w:gridCol w:w="1426"/>
        <w:gridCol w:w="1816"/>
        <w:gridCol w:w="1215"/>
      </w:tblGrid>
      <w:tr w14:paraId="231A4D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505" w:type="pct"/>
          </w:tcPr>
          <w:p w14:paraId="740EB164">
            <w:pPr>
              <w:pStyle w:val="34"/>
            </w:pPr>
            <w:r>
              <w:t>噪声源</w:t>
            </w:r>
          </w:p>
        </w:tc>
        <w:tc>
          <w:tcPr>
            <w:tcW w:w="1026" w:type="pct"/>
          </w:tcPr>
          <w:p w14:paraId="72B82E07">
            <w:pPr>
              <w:pStyle w:val="34"/>
            </w:pPr>
            <w:r>
              <w:t>机械设备</w:t>
            </w:r>
          </w:p>
        </w:tc>
        <w:tc>
          <w:tcPr>
            <w:tcW w:w="856" w:type="pct"/>
          </w:tcPr>
          <w:p w14:paraId="1ECAC78B">
            <w:pPr>
              <w:pStyle w:val="34"/>
            </w:pPr>
            <w:r>
              <w:t>单机噪声源强dB（A）</w:t>
            </w:r>
          </w:p>
        </w:tc>
        <w:tc>
          <w:tcPr>
            <w:tcW w:w="836" w:type="pct"/>
          </w:tcPr>
          <w:p w14:paraId="6455E2DB">
            <w:pPr>
              <w:pStyle w:val="34"/>
            </w:pPr>
            <w:r>
              <w:t>机械数量/台</w:t>
            </w:r>
          </w:p>
        </w:tc>
        <w:tc>
          <w:tcPr>
            <w:tcW w:w="1065" w:type="pct"/>
          </w:tcPr>
          <w:p w14:paraId="4DECD0B6">
            <w:pPr>
              <w:pStyle w:val="34"/>
            </w:pPr>
            <w:r>
              <w:t>至厂界最近距离（</w:t>
            </w:r>
            <w:r>
              <w:rPr>
                <w:rFonts w:hint="eastAsia"/>
              </w:rPr>
              <w:t>m</w:t>
            </w:r>
            <w:r>
              <w:t>）</w:t>
            </w:r>
          </w:p>
        </w:tc>
        <w:tc>
          <w:tcPr>
            <w:tcW w:w="712" w:type="pct"/>
          </w:tcPr>
          <w:p w14:paraId="110FB834">
            <w:pPr>
              <w:pStyle w:val="34"/>
            </w:pPr>
            <w:r>
              <w:t>声源位置</w:t>
            </w:r>
          </w:p>
        </w:tc>
      </w:tr>
      <w:tr w14:paraId="3476E3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 w:hRule="atLeast"/>
        </w:trPr>
        <w:tc>
          <w:tcPr>
            <w:tcW w:w="505" w:type="pct"/>
            <w:vMerge w:val="restart"/>
          </w:tcPr>
          <w:p w14:paraId="431A1536">
            <w:pPr>
              <w:pStyle w:val="34"/>
            </w:pPr>
            <w:bookmarkStart w:id="489" w:name="_Hlk135663078"/>
            <w:r>
              <w:t>泊位</w:t>
            </w:r>
          </w:p>
        </w:tc>
        <w:tc>
          <w:tcPr>
            <w:tcW w:w="1026" w:type="pct"/>
          </w:tcPr>
          <w:p w14:paraId="5AAC89B0">
            <w:pPr>
              <w:pStyle w:val="34"/>
            </w:pPr>
            <w:bookmarkStart w:id="490" w:name="OLE_LINK165"/>
            <w:r>
              <w:t>集装箱装卸桥</w:t>
            </w:r>
            <w:bookmarkEnd w:id="490"/>
          </w:p>
        </w:tc>
        <w:tc>
          <w:tcPr>
            <w:tcW w:w="856" w:type="pct"/>
          </w:tcPr>
          <w:p w14:paraId="282B134F">
            <w:pPr>
              <w:pStyle w:val="34"/>
            </w:pPr>
            <w:r>
              <w:rPr>
                <w:rFonts w:hint="eastAsia"/>
              </w:rPr>
              <w:t>75</w:t>
            </w:r>
          </w:p>
        </w:tc>
        <w:tc>
          <w:tcPr>
            <w:tcW w:w="836" w:type="pct"/>
          </w:tcPr>
          <w:p w14:paraId="17908688">
            <w:pPr>
              <w:pStyle w:val="34"/>
            </w:pPr>
            <w:r>
              <w:rPr>
                <w:rFonts w:hint="eastAsia"/>
              </w:rPr>
              <w:t>5</w:t>
            </w:r>
          </w:p>
        </w:tc>
        <w:tc>
          <w:tcPr>
            <w:tcW w:w="1065" w:type="pct"/>
          </w:tcPr>
          <w:p w14:paraId="1E85D82A">
            <w:pPr>
              <w:pStyle w:val="34"/>
            </w:pPr>
            <w:r>
              <w:rPr>
                <w:rFonts w:hint="eastAsia"/>
              </w:rPr>
              <w:t>N,106</w:t>
            </w:r>
          </w:p>
        </w:tc>
        <w:tc>
          <w:tcPr>
            <w:tcW w:w="712" w:type="pct"/>
          </w:tcPr>
          <w:p w14:paraId="0FC2850C">
            <w:pPr>
              <w:pStyle w:val="34"/>
            </w:pPr>
            <w:r>
              <w:rPr>
                <w:rFonts w:hint="eastAsia"/>
              </w:rPr>
              <w:t>码头前沿</w:t>
            </w:r>
          </w:p>
        </w:tc>
      </w:tr>
      <w:tr w14:paraId="243184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 w:hRule="atLeast"/>
        </w:trPr>
        <w:tc>
          <w:tcPr>
            <w:tcW w:w="505" w:type="pct"/>
            <w:vMerge w:val="continue"/>
          </w:tcPr>
          <w:p w14:paraId="4FF99399">
            <w:pPr>
              <w:pStyle w:val="34"/>
            </w:pPr>
          </w:p>
        </w:tc>
        <w:tc>
          <w:tcPr>
            <w:tcW w:w="1026" w:type="pct"/>
          </w:tcPr>
          <w:p w14:paraId="34A04400">
            <w:pPr>
              <w:pStyle w:val="34"/>
            </w:pPr>
            <w:r>
              <w:rPr>
                <w:rFonts w:hint="eastAsia"/>
              </w:rPr>
              <w:t>轨道吊</w:t>
            </w:r>
          </w:p>
        </w:tc>
        <w:tc>
          <w:tcPr>
            <w:tcW w:w="856" w:type="pct"/>
          </w:tcPr>
          <w:p w14:paraId="035D91AA">
            <w:pPr>
              <w:pStyle w:val="34"/>
            </w:pPr>
            <w:r>
              <w:rPr>
                <w:rFonts w:hint="eastAsia"/>
              </w:rPr>
              <w:t>75</w:t>
            </w:r>
          </w:p>
        </w:tc>
        <w:tc>
          <w:tcPr>
            <w:tcW w:w="836" w:type="pct"/>
          </w:tcPr>
          <w:p w14:paraId="37A9DC2F">
            <w:pPr>
              <w:pStyle w:val="34"/>
            </w:pPr>
            <w:r>
              <w:rPr>
                <w:rFonts w:hint="eastAsia"/>
              </w:rPr>
              <w:t>6</w:t>
            </w:r>
          </w:p>
        </w:tc>
        <w:tc>
          <w:tcPr>
            <w:tcW w:w="1065" w:type="pct"/>
          </w:tcPr>
          <w:p w14:paraId="0A70BE1C">
            <w:pPr>
              <w:pStyle w:val="34"/>
            </w:pPr>
            <w:r>
              <w:rPr>
                <w:rFonts w:hint="eastAsia"/>
              </w:rPr>
              <w:t>N,72</w:t>
            </w:r>
          </w:p>
        </w:tc>
        <w:tc>
          <w:tcPr>
            <w:tcW w:w="712" w:type="pct"/>
          </w:tcPr>
          <w:p w14:paraId="2239F325">
            <w:pPr>
              <w:pStyle w:val="34"/>
            </w:pPr>
            <w:r>
              <w:rPr>
                <w:rFonts w:hint="eastAsia"/>
              </w:rPr>
              <w:t>堆场</w:t>
            </w:r>
          </w:p>
        </w:tc>
      </w:tr>
      <w:tr w14:paraId="5E4BCB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5" w:type="pct"/>
          </w:tcPr>
          <w:p w14:paraId="1AA37D47">
            <w:pPr>
              <w:pStyle w:val="34"/>
            </w:pPr>
            <w:r>
              <w:t>堆场</w:t>
            </w:r>
          </w:p>
        </w:tc>
        <w:tc>
          <w:tcPr>
            <w:tcW w:w="1026" w:type="pct"/>
          </w:tcPr>
          <w:p w14:paraId="0D09DA1F">
            <w:pPr>
              <w:pStyle w:val="34"/>
            </w:pPr>
            <w:r>
              <w:rPr>
                <w:rFonts w:hint="eastAsia"/>
              </w:rPr>
              <w:t>IGV小车</w:t>
            </w:r>
          </w:p>
        </w:tc>
        <w:tc>
          <w:tcPr>
            <w:tcW w:w="856" w:type="pct"/>
          </w:tcPr>
          <w:p w14:paraId="4E019C1F">
            <w:pPr>
              <w:pStyle w:val="34"/>
            </w:pPr>
            <w:r>
              <w:rPr>
                <w:rFonts w:hint="eastAsia"/>
              </w:rPr>
              <w:t>70</w:t>
            </w:r>
          </w:p>
        </w:tc>
        <w:tc>
          <w:tcPr>
            <w:tcW w:w="836" w:type="pct"/>
          </w:tcPr>
          <w:p w14:paraId="2ECF2854">
            <w:pPr>
              <w:pStyle w:val="34"/>
            </w:pPr>
            <w:r>
              <w:rPr>
                <w:rFonts w:hint="eastAsia"/>
              </w:rPr>
              <w:t>30</w:t>
            </w:r>
          </w:p>
        </w:tc>
        <w:tc>
          <w:tcPr>
            <w:tcW w:w="1065" w:type="pct"/>
          </w:tcPr>
          <w:p w14:paraId="5C4AFAE7">
            <w:pPr>
              <w:pStyle w:val="34"/>
            </w:pPr>
            <w:r>
              <w:rPr>
                <w:rFonts w:hint="eastAsia"/>
              </w:rPr>
              <w:t>N,72</w:t>
            </w:r>
          </w:p>
        </w:tc>
        <w:tc>
          <w:tcPr>
            <w:tcW w:w="712" w:type="pct"/>
          </w:tcPr>
          <w:p w14:paraId="43884855">
            <w:pPr>
              <w:pStyle w:val="34"/>
            </w:pPr>
            <w:r>
              <w:rPr>
                <w:rFonts w:hint="eastAsia"/>
              </w:rPr>
              <w:t>堆场</w:t>
            </w:r>
          </w:p>
        </w:tc>
      </w:tr>
      <w:bookmarkEnd w:id="489"/>
    </w:tbl>
    <w:p w14:paraId="1CCED446">
      <w:pPr>
        <w:ind w:firstLine="437"/>
      </w:pPr>
      <w:r>
        <w:t>3、预测结果</w:t>
      </w:r>
    </w:p>
    <w:p w14:paraId="45B24889">
      <w:pPr>
        <w:ind w:firstLine="437"/>
      </w:pPr>
      <w:r>
        <w:t>预测结果见表4.</w:t>
      </w:r>
      <w:r>
        <w:rPr>
          <w:rFonts w:hint="eastAsia"/>
        </w:rPr>
        <w:t>4</w:t>
      </w:r>
      <w:r>
        <w:t>-3。</w:t>
      </w:r>
    </w:p>
    <w:p w14:paraId="63959811">
      <w:pPr>
        <w:pStyle w:val="7"/>
      </w:pPr>
      <w:r>
        <w:t>噪声预测结果</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892"/>
        <w:gridCol w:w="1325"/>
        <w:gridCol w:w="1950"/>
        <w:gridCol w:w="1948"/>
      </w:tblGrid>
      <w:tr w14:paraId="75882F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29" w:type="pct"/>
            <w:vMerge w:val="restart"/>
            <w:vAlign w:val="center"/>
          </w:tcPr>
          <w:p w14:paraId="7CF7BE61">
            <w:pPr>
              <w:pStyle w:val="34"/>
            </w:pPr>
            <w:r>
              <w:t>预测点</w:t>
            </w:r>
          </w:p>
        </w:tc>
        <w:tc>
          <w:tcPr>
            <w:tcW w:w="1109" w:type="pct"/>
            <w:vMerge w:val="restart"/>
            <w:vAlign w:val="center"/>
          </w:tcPr>
          <w:p w14:paraId="474F9942">
            <w:pPr>
              <w:pStyle w:val="34"/>
            </w:pPr>
            <w:r>
              <w:rPr>
                <w:rFonts w:hint="eastAsia"/>
              </w:rPr>
              <w:t>贡献</w:t>
            </w:r>
            <w:r>
              <w:t>值[dB（A）]</w:t>
            </w:r>
          </w:p>
        </w:tc>
        <w:tc>
          <w:tcPr>
            <w:tcW w:w="777" w:type="pct"/>
            <w:vMerge w:val="restart"/>
            <w:vAlign w:val="center"/>
          </w:tcPr>
          <w:p w14:paraId="53B742EE">
            <w:pPr>
              <w:pStyle w:val="34"/>
            </w:pPr>
            <w:r>
              <w:t>评价标准</w:t>
            </w:r>
          </w:p>
        </w:tc>
        <w:tc>
          <w:tcPr>
            <w:tcW w:w="2285" w:type="pct"/>
            <w:gridSpan w:val="2"/>
            <w:vAlign w:val="center"/>
          </w:tcPr>
          <w:p w14:paraId="388F8904">
            <w:pPr>
              <w:pStyle w:val="34"/>
            </w:pPr>
            <w:r>
              <w:t>超标情况[dB（A）]</w:t>
            </w:r>
          </w:p>
        </w:tc>
      </w:tr>
      <w:tr w14:paraId="2EF0E4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29" w:type="pct"/>
            <w:vMerge w:val="continue"/>
            <w:vAlign w:val="center"/>
          </w:tcPr>
          <w:p w14:paraId="0485B6B3">
            <w:pPr>
              <w:pStyle w:val="34"/>
            </w:pPr>
          </w:p>
        </w:tc>
        <w:tc>
          <w:tcPr>
            <w:tcW w:w="1109" w:type="pct"/>
            <w:vMerge w:val="continue"/>
            <w:vAlign w:val="center"/>
          </w:tcPr>
          <w:p w14:paraId="18BEA81A">
            <w:pPr>
              <w:pStyle w:val="34"/>
            </w:pPr>
          </w:p>
        </w:tc>
        <w:tc>
          <w:tcPr>
            <w:tcW w:w="777" w:type="pct"/>
            <w:vMerge w:val="continue"/>
            <w:vAlign w:val="center"/>
          </w:tcPr>
          <w:p w14:paraId="6543B453">
            <w:pPr>
              <w:pStyle w:val="34"/>
            </w:pPr>
          </w:p>
        </w:tc>
        <w:tc>
          <w:tcPr>
            <w:tcW w:w="1143" w:type="pct"/>
            <w:vAlign w:val="center"/>
          </w:tcPr>
          <w:p w14:paraId="7169CDE8">
            <w:pPr>
              <w:pStyle w:val="34"/>
            </w:pPr>
            <w:r>
              <w:t>昼间</w:t>
            </w:r>
            <w:r>
              <w:rPr>
                <w:rFonts w:hint="eastAsia"/>
              </w:rPr>
              <w:t>[70</w:t>
            </w:r>
            <w:r>
              <w:t xml:space="preserve"> dB（A）</w:t>
            </w:r>
            <w:r>
              <w:rPr>
                <w:rFonts w:hint="eastAsia"/>
              </w:rPr>
              <w:t>]</w:t>
            </w:r>
          </w:p>
        </w:tc>
        <w:tc>
          <w:tcPr>
            <w:tcW w:w="1142" w:type="pct"/>
            <w:vAlign w:val="center"/>
          </w:tcPr>
          <w:p w14:paraId="030D43DB">
            <w:pPr>
              <w:pStyle w:val="34"/>
            </w:pPr>
            <w:r>
              <w:t>夜间</w:t>
            </w:r>
            <w:r>
              <w:rPr>
                <w:rFonts w:hint="eastAsia"/>
              </w:rPr>
              <w:t>[55</w:t>
            </w:r>
            <w:r>
              <w:t xml:space="preserve"> dB（A）</w:t>
            </w:r>
            <w:r>
              <w:rPr>
                <w:rFonts w:hint="eastAsia"/>
              </w:rPr>
              <w:t>]</w:t>
            </w:r>
          </w:p>
        </w:tc>
      </w:tr>
      <w:tr w14:paraId="29162D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29" w:type="pct"/>
            <w:vAlign w:val="center"/>
          </w:tcPr>
          <w:p w14:paraId="6A8387F1">
            <w:pPr>
              <w:pStyle w:val="34"/>
            </w:pPr>
            <w:r>
              <w:t>北侧场界</w:t>
            </w:r>
          </w:p>
        </w:tc>
        <w:tc>
          <w:tcPr>
            <w:tcW w:w="1109" w:type="pct"/>
            <w:vAlign w:val="center"/>
          </w:tcPr>
          <w:p w14:paraId="53030742">
            <w:pPr>
              <w:pStyle w:val="34"/>
            </w:pPr>
            <w:r>
              <w:rPr>
                <w:rFonts w:hint="eastAsia"/>
              </w:rPr>
              <w:t>54.3</w:t>
            </w:r>
          </w:p>
        </w:tc>
        <w:tc>
          <w:tcPr>
            <w:tcW w:w="777" w:type="pct"/>
            <w:vAlign w:val="center"/>
          </w:tcPr>
          <w:p w14:paraId="363A5F98">
            <w:pPr>
              <w:pStyle w:val="34"/>
            </w:pPr>
            <w:r>
              <w:t>3</w:t>
            </w:r>
          </w:p>
        </w:tc>
        <w:tc>
          <w:tcPr>
            <w:tcW w:w="1143" w:type="pct"/>
          </w:tcPr>
          <w:p w14:paraId="78722448">
            <w:pPr>
              <w:pStyle w:val="34"/>
            </w:pPr>
            <w:r>
              <w:t>达标</w:t>
            </w:r>
          </w:p>
        </w:tc>
        <w:tc>
          <w:tcPr>
            <w:tcW w:w="1142" w:type="pct"/>
          </w:tcPr>
          <w:p w14:paraId="4DE6C4BC">
            <w:pPr>
              <w:pStyle w:val="34"/>
            </w:pPr>
            <w:r>
              <w:t>达标</w:t>
            </w:r>
          </w:p>
        </w:tc>
      </w:tr>
    </w:tbl>
    <w:p w14:paraId="68CAEA59">
      <w:pPr>
        <w:spacing w:line="240" w:lineRule="exact"/>
        <w:ind w:firstLine="0" w:firstLineChars="0"/>
        <w:rPr>
          <w:sz w:val="18"/>
          <w:szCs w:val="18"/>
        </w:rPr>
      </w:pPr>
      <w:r>
        <w:rPr>
          <w:sz w:val="18"/>
          <w:szCs w:val="18"/>
        </w:rPr>
        <w:t>注：</w:t>
      </w:r>
      <w:r>
        <w:rPr>
          <w:rFonts w:hint="eastAsia"/>
          <w:sz w:val="18"/>
          <w:szCs w:val="18"/>
        </w:rPr>
        <w:t>东</w:t>
      </w:r>
      <w:r>
        <w:rPr>
          <w:sz w:val="18"/>
          <w:szCs w:val="18"/>
        </w:rPr>
        <w:t>场界</w:t>
      </w:r>
      <w:r>
        <w:rPr>
          <w:rFonts w:hint="eastAsia"/>
          <w:sz w:val="18"/>
          <w:szCs w:val="18"/>
        </w:rPr>
        <w:t>、南厂界</w:t>
      </w:r>
      <w:r>
        <w:rPr>
          <w:sz w:val="18"/>
          <w:szCs w:val="18"/>
        </w:rPr>
        <w:t>为水域用地范围边界，根据《排污单位自行监测技术指南总纲》（HJ819-2017）：面临海洋、大江、大河的厂界原则上不布点，因此，本评价不预测</w:t>
      </w:r>
      <w:r>
        <w:rPr>
          <w:rFonts w:hint="eastAsia"/>
          <w:sz w:val="18"/>
          <w:szCs w:val="18"/>
        </w:rPr>
        <w:t>东侧场界</w:t>
      </w:r>
      <w:r>
        <w:rPr>
          <w:sz w:val="18"/>
          <w:szCs w:val="18"/>
        </w:rPr>
        <w:t>、</w:t>
      </w:r>
      <w:r>
        <w:rPr>
          <w:rFonts w:hint="eastAsia"/>
          <w:sz w:val="18"/>
          <w:szCs w:val="18"/>
        </w:rPr>
        <w:t>南</w:t>
      </w:r>
      <w:r>
        <w:rPr>
          <w:sz w:val="18"/>
          <w:szCs w:val="18"/>
        </w:rPr>
        <w:t>侧场界的噪声</w:t>
      </w:r>
      <w:r>
        <w:rPr>
          <w:rFonts w:hint="eastAsia"/>
          <w:sz w:val="18"/>
          <w:szCs w:val="18"/>
        </w:rPr>
        <w:t>；项目运营后与9、10号泊位合并运营，西侧无明确厂界。</w:t>
      </w:r>
    </w:p>
    <w:p w14:paraId="65932379">
      <w:pPr>
        <w:ind w:firstLine="437"/>
      </w:pPr>
      <w:r>
        <w:t>项目场界执行《工业企业厂界环境噪声排放标准》（GB12348-2008）中</w:t>
      </w:r>
      <w:r>
        <w:rPr>
          <w:rFonts w:hint="eastAsia"/>
        </w:rPr>
        <w:t>3</w:t>
      </w:r>
      <w:r>
        <w:t>类标准值。在考虑多台作业机械同时作业的不利条件下，项目各侧场界噪声贡献值均满足</w:t>
      </w:r>
      <w:r>
        <w:rPr>
          <w:rFonts w:hint="eastAsia"/>
        </w:rPr>
        <w:t>相应</w:t>
      </w:r>
      <w:r>
        <w:t>标准要求。可见，本项目评价范围内无声环境敏感点，项目的实施对周边声环境影响较小。</w:t>
      </w:r>
    </w:p>
    <w:p w14:paraId="13C358E7">
      <w:pPr>
        <w:pStyle w:val="4"/>
      </w:pPr>
      <w:bookmarkStart w:id="491" w:name="_Toc198042330"/>
      <w:bookmarkStart w:id="492" w:name="_Toc217977928"/>
      <w:r>
        <w:rPr>
          <w:rFonts w:hint="eastAsia"/>
        </w:rPr>
        <w:t>地下水环境影响分析</w:t>
      </w:r>
      <w:bookmarkEnd w:id="491"/>
      <w:bookmarkEnd w:id="492"/>
    </w:p>
    <w:p w14:paraId="48365801">
      <w:pPr>
        <w:ind w:firstLine="437"/>
      </w:pPr>
      <w:r>
        <w:t>根据《环境影响评价技术导则地下水环境》（HJ 610-2016）附录A，项目</w:t>
      </w:r>
      <w:r>
        <w:rPr>
          <w:rFonts w:hint="eastAsia"/>
        </w:rPr>
        <w:t>实际为涉及危险品、化学品的集装箱码头</w:t>
      </w:r>
      <w:r>
        <w:t>，属Ⅱ类建设项目。项目场地紧邻海域，属于区域地下水的排泄区；下游无集中式或分散式饮用水水源地分布，也无国家或地方政府设定的与地下水环境</w:t>
      </w:r>
      <w:r>
        <w:rPr>
          <w:rFonts w:hint="eastAsia"/>
          <w:lang w:eastAsia="zh-CN"/>
        </w:rPr>
        <w:t>相关的其他</w:t>
      </w:r>
      <w:r>
        <w:t>保护区。项目区地下水受降雨及潮汐海水补给，为咸水，无使用价值；地层下部为泥质粉砂岩基岩层，由于岩层较坚硬、裂隙不发育，该层地下水</w:t>
      </w:r>
      <w:r>
        <w:rPr>
          <w:szCs w:val="28"/>
        </w:rPr>
        <w:t>水量贫乏。综合而言，项目区</w:t>
      </w:r>
      <w:r>
        <w:t>地下水环境不敏感。</w:t>
      </w:r>
    </w:p>
    <w:p w14:paraId="67DB0025">
      <w:pPr>
        <w:ind w:firstLine="437"/>
        <w:rPr>
          <w:u w:val="single"/>
        </w:rPr>
      </w:pPr>
      <w:r>
        <w:rPr>
          <w:u w:val="single"/>
        </w:rPr>
        <w:t>营运期</w:t>
      </w:r>
      <w:r>
        <w:rPr>
          <w:rFonts w:hint="eastAsia"/>
          <w:u w:val="single"/>
        </w:rPr>
        <w:t>码头生产废水、生活污水经预处理后排入大榄坪污水处理厂达标外排；危险品堆场根据要求设置应急池和独立排水系统，</w:t>
      </w:r>
      <w:r>
        <w:rPr>
          <w:u w:val="single"/>
        </w:rPr>
        <w:t>可将偶尔泄漏的物料或冲洗水收集</w:t>
      </w:r>
      <w:r>
        <w:rPr>
          <w:rFonts w:hint="eastAsia"/>
          <w:u w:val="single"/>
        </w:rPr>
        <w:t>至集污池后单独处理，堆场及相关设施按要求做好防渗处理，</w:t>
      </w:r>
      <w:r>
        <w:rPr>
          <w:u w:val="single"/>
        </w:rPr>
        <w:t>一般情况下，港区污水能够得到有效的收集处理，不会渗漏对地下水造成污染。</w:t>
      </w:r>
    </w:p>
    <w:p w14:paraId="65F3AA1C">
      <w:pPr>
        <w:ind w:firstLine="437"/>
        <w:rPr>
          <w:bCs/>
        </w:rPr>
      </w:pPr>
      <w:r>
        <w:rPr>
          <w:rFonts w:hint="eastAsia"/>
        </w:rPr>
        <w:t>非正常状况下，</w:t>
      </w:r>
      <w:r>
        <w:t>营运期</w:t>
      </w:r>
      <w:r>
        <w:rPr>
          <w:rFonts w:hint="eastAsia"/>
        </w:rPr>
        <w:t>码头对地下水的影响主要为码头生产废水池破损或堆场事故池、排水系统出现裂缝，导致生产废水和事故废水下渗进入地下水。</w:t>
      </w:r>
      <w:r>
        <w:rPr>
          <w:bCs/>
        </w:rPr>
        <w:t>项目已设计地下水污染防渗措施，根据《环境影响评价技术导则 地下水环境》（HJ 610-2016）要求，可不进行正常状况情景下的预测，只对非正常状况的情景进行预测。</w:t>
      </w:r>
    </w:p>
    <w:p w14:paraId="4FD1EA1C">
      <w:pPr>
        <w:ind w:firstLine="437"/>
        <w:rPr>
          <w:bCs/>
        </w:rPr>
      </w:pPr>
      <w:r>
        <w:rPr>
          <w:rFonts w:hint="eastAsia"/>
          <w:bCs/>
        </w:rPr>
        <w:t>项目建成后，事故发生主要为码头前沿、危险品堆场装卸作业过程中发生泄漏事故。其中码头前沿位于海岸侧，</w:t>
      </w:r>
      <w:r>
        <w:rPr>
          <w:rFonts w:hint="eastAsia"/>
        </w:rPr>
        <w:t>泄漏物质下渗后很快进入海域范围，不会对区域地下水造成影响；</w:t>
      </w:r>
      <w:r>
        <w:rPr>
          <w:rFonts w:hint="eastAsia"/>
          <w:bCs/>
        </w:rPr>
        <w:t>本次评价主要考虑</w:t>
      </w:r>
      <w:r>
        <w:rPr>
          <w:rFonts w:hint="eastAsia"/>
        </w:rPr>
        <w:t>危险货物集装箱堆场发生消防事故时，泄露物进入消防废水，事故池发生泄露情景。</w:t>
      </w:r>
    </w:p>
    <w:p w14:paraId="430F0A44">
      <w:pPr>
        <w:ind w:firstLine="437"/>
        <w:rPr>
          <w:bCs/>
        </w:rPr>
      </w:pPr>
      <w:r>
        <w:rPr>
          <w:rFonts w:hint="eastAsia"/>
          <w:bCs/>
        </w:rPr>
        <w:t>1、水文地质条件特点及概化</w:t>
      </w:r>
    </w:p>
    <w:p w14:paraId="0F9FD1D3">
      <w:pPr>
        <w:ind w:firstLine="437"/>
        <w:rPr>
          <w:bCs/>
          <w:u w:val="single"/>
        </w:rPr>
      </w:pPr>
      <w:r>
        <w:rPr>
          <w:bCs/>
          <w:u w:val="single"/>
        </w:rPr>
        <w:fldChar w:fldCharType="begin"/>
      </w:r>
      <w:r>
        <w:rPr>
          <w:bCs/>
          <w:u w:val="single"/>
        </w:rPr>
        <w:instrText xml:space="preserve"> </w:instrText>
      </w:r>
      <w:r>
        <w:rPr>
          <w:rFonts w:hint="eastAsia"/>
          <w:bCs/>
          <w:u w:val="single"/>
        </w:rPr>
        <w:instrText xml:space="preserve">= 1 \* GB3</w:instrText>
      </w:r>
      <w:r>
        <w:rPr>
          <w:bCs/>
          <w:u w:val="single"/>
        </w:rPr>
        <w:instrText xml:space="preserve"> </w:instrText>
      </w:r>
      <w:r>
        <w:rPr>
          <w:bCs/>
          <w:u w:val="single"/>
        </w:rPr>
        <w:fldChar w:fldCharType="separate"/>
      </w:r>
      <w:r>
        <w:rPr>
          <w:rFonts w:hint="eastAsia"/>
          <w:bCs/>
          <w:u w:val="single"/>
        </w:rPr>
        <w:t>①</w:t>
      </w:r>
      <w:r>
        <w:rPr>
          <w:bCs/>
          <w:u w:val="single"/>
        </w:rPr>
        <w:fldChar w:fldCharType="end"/>
      </w:r>
      <w:r>
        <w:rPr>
          <w:rFonts w:hint="eastAsia"/>
          <w:bCs/>
          <w:u w:val="single"/>
        </w:rPr>
        <w:t>填海区水文地质特点</w:t>
      </w:r>
    </w:p>
    <w:p w14:paraId="2C42BB39">
      <w:pPr>
        <w:ind w:firstLine="437"/>
        <w:rPr>
          <w:bCs/>
          <w:u w:val="single"/>
        </w:rPr>
      </w:pPr>
      <w:r>
        <w:rPr>
          <w:rFonts w:hint="eastAsia"/>
          <w:bCs/>
          <w:u w:val="single"/>
        </w:rPr>
        <w:t>本项目位于钦州港大榄坪港域，该区域原始地貌为典型的潮间带（滩涂）和浅海环境，地形平缓，向海倾斜。经港区逐步发展围填海形成现阶段地形地貌，其水文地质条件是在大规模人为改造后形成的独特且复杂的环境，其核心特点是强烈的海陆相互作用和显著的人为改造印记。围填海区域上部潜水地下水补给来源大体分为两个来源，一是大气降水入渗，这是主要的淡水补给来源，但由于填土渗透性好，大部分降水迅速下渗，地表汇流少；二是海水入侵/侧向补给，填海区域填土层直接与外围海域相连，海水通过填土层的孔隙在高潮期或风暴潮时侧向侵入，是主要的咸水来源。区域地下水整体呈现水位埋深浅，受潮汐影响显著，波动频繁且迅速；水质高度敏感，淡水补给期（雨季）局部可能被淡化，干旱期或受潮汐顶托则迅速咸化等特点。而下部承压含水层其赋存条件受原始沉积结构控制，存在不确定性，难以分析其特点，往往需要深入的水文地质勘察。</w:t>
      </w:r>
    </w:p>
    <w:p w14:paraId="6F814046">
      <w:pPr>
        <w:ind w:firstLine="437"/>
        <w:rPr>
          <w:bCs/>
          <w:u w:val="single"/>
        </w:rPr>
      </w:pPr>
      <w:r>
        <w:rPr>
          <w:bCs/>
          <w:u w:val="single"/>
        </w:rPr>
        <w:fldChar w:fldCharType="begin"/>
      </w:r>
      <w:r>
        <w:rPr>
          <w:bCs/>
          <w:u w:val="single"/>
        </w:rPr>
        <w:instrText xml:space="preserve"> </w:instrText>
      </w:r>
      <w:r>
        <w:rPr>
          <w:rFonts w:hint="eastAsia"/>
          <w:bCs/>
          <w:u w:val="single"/>
        </w:rPr>
        <w:instrText xml:space="preserve">= 2 \* GB3</w:instrText>
      </w:r>
      <w:r>
        <w:rPr>
          <w:bCs/>
          <w:u w:val="single"/>
        </w:rPr>
        <w:instrText xml:space="preserve"> </w:instrText>
      </w:r>
      <w:r>
        <w:rPr>
          <w:bCs/>
          <w:u w:val="single"/>
        </w:rPr>
        <w:fldChar w:fldCharType="separate"/>
      </w:r>
      <w:r>
        <w:rPr>
          <w:rFonts w:hint="eastAsia"/>
          <w:bCs/>
          <w:u w:val="single"/>
        </w:rPr>
        <w:t>②</w:t>
      </w:r>
      <w:r>
        <w:rPr>
          <w:bCs/>
          <w:u w:val="single"/>
        </w:rPr>
        <w:fldChar w:fldCharType="end"/>
      </w:r>
      <w:bookmarkStart w:id="493" w:name="OLE_LINK260"/>
      <w:r>
        <w:rPr>
          <w:rFonts w:hint="eastAsia"/>
          <w:bCs/>
          <w:u w:val="single"/>
        </w:rPr>
        <w:t>包气带</w:t>
      </w:r>
      <w:r>
        <w:rPr>
          <w:rFonts w:hint="eastAsia"/>
          <w:color w:val="000000" w:themeColor="text1"/>
          <w:u w:val="single"/>
          <w14:textFill>
            <w14:solidFill>
              <w14:schemeClr w14:val="tx1"/>
            </w14:solidFill>
          </w14:textFill>
        </w:rPr>
        <w:t>防护性能</w:t>
      </w:r>
      <w:r>
        <w:rPr>
          <w:rFonts w:hint="eastAsia"/>
          <w:bCs/>
          <w:u w:val="single"/>
        </w:rPr>
        <w:t>调查</w:t>
      </w:r>
      <w:bookmarkEnd w:id="493"/>
    </w:p>
    <w:p w14:paraId="7361F54E">
      <w:pPr>
        <w:ind w:firstLine="437"/>
        <w:rPr>
          <w:bCs/>
          <w:u w:val="single"/>
        </w:rPr>
      </w:pPr>
      <w:r>
        <w:rPr>
          <w:rFonts w:hint="eastAsia"/>
          <w:bCs/>
          <w:u w:val="single"/>
        </w:rPr>
        <w:t>项目后方陆域利用9、10号泊位扩建工程形成的陆域开展码头建设，回填材料基本来源于周边港池疏浚泥沙，孔隙度大、渗透性好，污染物可以快速直达地下水，包气带几乎无防护作用；其次，砂砾质填料缺乏粘土矿物和有机质，</w:t>
      </w:r>
      <w:bookmarkStart w:id="494" w:name="OLE_LINK264"/>
      <w:r>
        <w:rPr>
          <w:rFonts w:hint="eastAsia"/>
          <w:bCs/>
          <w:u w:val="single"/>
        </w:rPr>
        <w:t>对污染物的吸附、截留容量很低</w:t>
      </w:r>
      <w:bookmarkEnd w:id="494"/>
      <w:r>
        <w:rPr>
          <w:rFonts w:hint="eastAsia"/>
          <w:bCs/>
          <w:u w:val="single"/>
        </w:rPr>
        <w:t>；受潮汐影响，包气带“有效防护厚度”常处于被压缩状态，甚至周期性被饱和海水淹没，失去非饱和带的净化功能。总体来看，项目场地包气带因其人工填海形成、物质粗颗粒为主、受潮汐动态强烈影响等特点，整体上对地下水的防护性能属于“弱”到“极弱”等级。</w:t>
      </w:r>
    </w:p>
    <w:p w14:paraId="28959FB2">
      <w:pPr>
        <w:ind w:firstLine="437"/>
        <w:rPr>
          <w:bCs/>
          <w:u w:val="single"/>
        </w:rPr>
      </w:pPr>
      <w:r>
        <w:rPr>
          <w:bCs/>
          <w:u w:val="single"/>
        </w:rPr>
        <w:fldChar w:fldCharType="begin"/>
      </w:r>
      <w:r>
        <w:rPr>
          <w:bCs/>
          <w:u w:val="single"/>
        </w:rPr>
        <w:instrText xml:space="preserve"> </w:instrText>
      </w:r>
      <w:r>
        <w:rPr>
          <w:rFonts w:hint="eastAsia"/>
          <w:bCs/>
          <w:u w:val="single"/>
        </w:rPr>
        <w:instrText xml:space="preserve">= 3 \* GB3</w:instrText>
      </w:r>
      <w:r>
        <w:rPr>
          <w:bCs/>
          <w:u w:val="single"/>
        </w:rPr>
        <w:instrText xml:space="preserve"> </w:instrText>
      </w:r>
      <w:r>
        <w:rPr>
          <w:bCs/>
          <w:u w:val="single"/>
        </w:rPr>
        <w:fldChar w:fldCharType="separate"/>
      </w:r>
      <w:r>
        <w:rPr>
          <w:rFonts w:hint="eastAsia"/>
          <w:bCs/>
          <w:u w:val="single"/>
        </w:rPr>
        <w:t>③</w:t>
      </w:r>
      <w:r>
        <w:rPr>
          <w:bCs/>
          <w:u w:val="single"/>
        </w:rPr>
        <w:fldChar w:fldCharType="end"/>
      </w:r>
      <w:r>
        <w:rPr>
          <w:rFonts w:hint="eastAsia"/>
          <w:bCs/>
          <w:u w:val="single"/>
        </w:rPr>
        <w:t>水文地质概化</w:t>
      </w:r>
    </w:p>
    <w:p w14:paraId="3309A13B">
      <w:pPr>
        <w:ind w:firstLine="437"/>
        <w:rPr>
          <w:bCs/>
          <w:u w:val="single"/>
        </w:rPr>
      </w:pPr>
      <w:r>
        <w:rPr>
          <w:rFonts w:hint="eastAsia"/>
          <w:bCs/>
          <w:u w:val="single"/>
        </w:rPr>
        <w:t>为简化分析，预测事故状态下对地下水的最大影响范围，结合项目可能发生的泄露量，本次地下水预测仅考虑潜水层影响，且不考虑地下水潮汐顶托影响，对区域潜水层地下水进行概化：</w:t>
      </w:r>
      <w:r>
        <w:rPr>
          <w:bCs/>
          <w:u w:val="single"/>
        </w:rPr>
        <w:t>地下水以</w:t>
      </w:r>
      <w:bookmarkStart w:id="495" w:name="OLE_LINK169"/>
      <w:r>
        <w:rPr>
          <w:rFonts w:hint="eastAsia"/>
          <w:bCs/>
          <w:u w:val="single"/>
        </w:rPr>
        <w:t>东南</w:t>
      </w:r>
      <w:bookmarkEnd w:id="495"/>
      <w:r>
        <w:rPr>
          <w:bCs/>
          <w:u w:val="single"/>
        </w:rPr>
        <w:t>面的钦州湾海域为地下水排泄基准面，为给定水头的排泄边界，地下水水流方向为向</w:t>
      </w:r>
      <w:r>
        <w:rPr>
          <w:rFonts w:hint="eastAsia"/>
          <w:bCs/>
          <w:u w:val="single"/>
        </w:rPr>
        <w:t>由西北</w:t>
      </w:r>
      <w:r>
        <w:rPr>
          <w:bCs/>
          <w:u w:val="single"/>
        </w:rPr>
        <w:t>向</w:t>
      </w:r>
      <w:r>
        <w:rPr>
          <w:rFonts w:hint="eastAsia"/>
          <w:bCs/>
          <w:u w:val="single"/>
        </w:rPr>
        <w:t>东南；</w:t>
      </w:r>
      <w:r>
        <w:rPr>
          <w:bCs/>
          <w:u w:val="single"/>
        </w:rPr>
        <w:t>厂区内</w:t>
      </w:r>
      <w:r>
        <w:rPr>
          <w:rFonts w:hint="eastAsia"/>
          <w:bCs/>
          <w:u w:val="single"/>
        </w:rPr>
        <w:t>为填海区域，地下水含水层岩性均一，</w:t>
      </w:r>
      <w:r>
        <w:rPr>
          <w:bCs/>
          <w:u w:val="single"/>
        </w:rPr>
        <w:t>故可将本场区水文地质条件概化为“定水头的单层含水层的水文地质”模型。</w:t>
      </w:r>
    </w:p>
    <w:p w14:paraId="137B15B3">
      <w:pPr>
        <w:ind w:firstLine="437"/>
        <w:rPr>
          <w:bCs/>
        </w:rPr>
      </w:pPr>
      <w:r>
        <w:rPr>
          <w:bCs/>
        </w:rPr>
        <w:t>2</w:t>
      </w:r>
      <w:r>
        <w:rPr>
          <w:rFonts w:hint="eastAsia"/>
          <w:bCs/>
        </w:rPr>
        <w:t>、污染源概化</w:t>
      </w:r>
    </w:p>
    <w:p w14:paraId="731C54B4">
      <w:pPr>
        <w:ind w:firstLine="437"/>
        <w:rPr>
          <w:bCs/>
          <w:u w:val="single"/>
        </w:rPr>
      </w:pPr>
      <w:r>
        <w:rPr>
          <w:rFonts w:hint="eastAsia"/>
          <w:bCs/>
          <w:u w:val="single"/>
        </w:rPr>
        <w:t>本次项目对泄露环境风险较大的危险货物集装箱堆场采取防渗的面层结构，较低风险区域增加</w:t>
      </w:r>
      <w:bookmarkStart w:id="496" w:name="OLE_LINK506"/>
      <w:r>
        <w:rPr>
          <w:rFonts w:hint="eastAsia"/>
          <w:bCs/>
          <w:u w:val="single"/>
        </w:rPr>
        <w:t>HDPE防渗膜</w:t>
      </w:r>
      <w:bookmarkEnd w:id="496"/>
      <w:r>
        <w:rPr>
          <w:rFonts w:hint="eastAsia"/>
          <w:bCs/>
          <w:u w:val="single"/>
        </w:rPr>
        <w:t>，面层提高防渗级别采用防渗砼面层（抗渗等级P6），正常工况下不会对地下水进行污染。</w:t>
      </w:r>
    </w:p>
    <w:p w14:paraId="73FC2F84">
      <w:pPr>
        <w:ind w:firstLine="437"/>
        <w:rPr>
          <w:bCs/>
        </w:rPr>
      </w:pPr>
      <w:r>
        <w:rPr>
          <w:rFonts w:hint="eastAsia"/>
          <w:bCs/>
        </w:rPr>
        <w:t>根据项目情况，营运期码头对地下水的影响主要为堆场事故池、排水系统出现裂缝，导致生产废水和事故废水下渗进入地下水。非正常工况主要考虑危险货物集装箱堆场发生消防事故时事故池泄露情况。在事故状态下，池底渗漏造成污染物穿过防渗层及包气带进入地下含水层，使地下水受到污染，通过及时排查检修可修补渗漏点、事故池及时抽排清运，污染源的排放规律可以概化为瞬时排放。</w:t>
      </w:r>
    </w:p>
    <w:p w14:paraId="2CB7E3B3">
      <w:pPr>
        <w:ind w:firstLine="437"/>
        <w:rPr>
          <w:bCs/>
        </w:rPr>
      </w:pPr>
      <w:r>
        <w:rPr>
          <w:bCs/>
        </w:rPr>
        <w:t>3</w:t>
      </w:r>
      <w:r>
        <w:rPr>
          <w:rFonts w:hint="eastAsia"/>
          <w:bCs/>
        </w:rPr>
        <w:t>、预测模型</w:t>
      </w:r>
    </w:p>
    <w:p w14:paraId="25A71089">
      <w:pPr>
        <w:ind w:firstLine="437"/>
      </w:pPr>
      <w:r>
        <w:t>按照本项目可能的污染方式，根据《环境影响评价技术导则 地下水环境》（HJ610-2016附录）推荐的地下水溶质运移解析法中的平面瞬时点源模式进行计算，来预测对区域地下水环境的影响程度。</w:t>
      </w:r>
      <w:r>
        <w:rPr>
          <w:rFonts w:hint="eastAsia"/>
        </w:rPr>
        <w:t>预测范围为危险货物集装箱堆场事故池至钦州湾海岸距离，其流程约</w:t>
      </w:r>
      <w:r>
        <w:t>x=</w:t>
      </w:r>
      <w:r>
        <w:rPr>
          <w:rFonts w:hint="eastAsia"/>
        </w:rPr>
        <w:t>260</w:t>
      </w:r>
      <w:r>
        <w:t>m</w:t>
      </w:r>
      <w:r>
        <w:rPr>
          <w:rFonts w:hint="eastAsia"/>
        </w:rPr>
        <w:t>。</w:t>
      </w:r>
    </w:p>
    <w:p w14:paraId="15322EB0">
      <w:pPr>
        <w:adjustRightInd w:val="0"/>
        <w:snapToGrid w:val="0"/>
        <w:spacing w:line="500" w:lineRule="exact"/>
        <w:ind w:firstLine="437"/>
        <w:jc w:val="left"/>
      </w:pPr>
      <w:r>
        <w:t>（1）预测模式</w:t>
      </w:r>
    </w:p>
    <w:p w14:paraId="4135E463">
      <w:pPr>
        <w:adjustRightInd w:val="0"/>
        <w:snapToGrid w:val="0"/>
        <w:spacing w:line="500" w:lineRule="exact"/>
        <w:ind w:firstLine="437"/>
        <w:jc w:val="left"/>
      </w:pPr>
      <w:r>
        <w:t>地下水溶质运移解析法中的平面瞬时点源模式</w:t>
      </w:r>
    </w:p>
    <w:p w14:paraId="4B878A9F">
      <w:pPr>
        <w:adjustRightInd w:val="0"/>
        <w:snapToGrid w:val="0"/>
        <w:ind w:firstLine="437"/>
        <w:jc w:val="center"/>
      </w:pPr>
      <w:r>
        <w:drawing>
          <wp:inline distT="0" distB="0" distL="0" distR="0">
            <wp:extent cx="3248025" cy="628650"/>
            <wp:effectExtent l="0" t="0" r="9525" b="0"/>
            <wp:docPr id="14" name="图片 14" descr="C:\Users\ADMINI~1\AppData\Local\Temp\ksohtml9868\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1\AppData\Local\Temp\ksohtml9868\wps1.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3248025" cy="628650"/>
                    </a:xfrm>
                    <a:prstGeom prst="rect">
                      <a:avLst/>
                    </a:prstGeom>
                    <a:noFill/>
                    <a:ln>
                      <a:noFill/>
                    </a:ln>
                  </pic:spPr>
                </pic:pic>
              </a:graphicData>
            </a:graphic>
          </wp:inline>
        </w:drawing>
      </w:r>
    </w:p>
    <w:p w14:paraId="29DDDBBE">
      <w:pPr>
        <w:adjustRightInd w:val="0"/>
        <w:snapToGrid w:val="0"/>
        <w:spacing w:line="460" w:lineRule="exact"/>
        <w:ind w:firstLine="437"/>
        <w:jc w:val="left"/>
      </w:pPr>
      <w:r>
        <w:t>式中：</w:t>
      </w:r>
    </w:p>
    <w:p w14:paraId="3F43C3AB">
      <w:pPr>
        <w:adjustRightInd w:val="0"/>
        <w:snapToGrid w:val="0"/>
        <w:spacing w:line="460" w:lineRule="exact"/>
        <w:ind w:firstLine="1163" w:firstLineChars="531"/>
        <w:jc w:val="left"/>
      </w:pPr>
      <w:r>
        <w:t xml:space="preserve">    x,y—计算点处的位置坐标；</w:t>
      </w:r>
    </w:p>
    <w:p w14:paraId="25B64114">
      <w:pPr>
        <w:adjustRightInd w:val="0"/>
        <w:snapToGrid w:val="0"/>
        <w:spacing w:line="460" w:lineRule="exact"/>
        <w:ind w:firstLine="1163" w:firstLineChars="531"/>
        <w:jc w:val="left"/>
      </w:pPr>
      <w:r>
        <w:t xml:space="preserve">    t—时间，d；</w:t>
      </w:r>
    </w:p>
    <w:p w14:paraId="5BEB5A74">
      <w:pPr>
        <w:adjustRightInd w:val="0"/>
        <w:snapToGrid w:val="0"/>
        <w:spacing w:line="460" w:lineRule="exact"/>
        <w:ind w:firstLine="1163" w:firstLineChars="531"/>
        <w:jc w:val="left"/>
      </w:pPr>
      <w:r>
        <w:t xml:space="preserve">    </w:t>
      </w:r>
      <w:r>
        <w:drawing>
          <wp:inline distT="0" distB="0" distL="0" distR="0">
            <wp:extent cx="533400" cy="219075"/>
            <wp:effectExtent l="0" t="0" r="0" b="9525"/>
            <wp:docPr id="12" name="图片 12" descr="C:\Users\ADMINI~1\AppData\Local\Temp\ksohtml9868\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1\AppData\Local\Temp\ksohtml9868\wps2.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533400" cy="219075"/>
                    </a:xfrm>
                    <a:prstGeom prst="rect">
                      <a:avLst/>
                    </a:prstGeom>
                    <a:noFill/>
                    <a:ln>
                      <a:noFill/>
                    </a:ln>
                  </pic:spPr>
                </pic:pic>
              </a:graphicData>
            </a:graphic>
          </wp:inline>
        </w:drawing>
      </w:r>
      <w:r>
        <w:t>—t时刻点x,y处的示踪剂浓度，mg/L；</w:t>
      </w:r>
    </w:p>
    <w:p w14:paraId="6EFA0B33">
      <w:pPr>
        <w:adjustRightInd w:val="0"/>
        <w:snapToGrid w:val="0"/>
        <w:spacing w:line="460" w:lineRule="exact"/>
        <w:ind w:firstLine="1163" w:firstLineChars="531"/>
        <w:jc w:val="left"/>
      </w:pPr>
      <w:r>
        <w:t xml:space="preserve">    M—承压（潜水）含水层的厚度，m；</w:t>
      </w:r>
    </w:p>
    <w:p w14:paraId="098C956C">
      <w:pPr>
        <w:adjustRightInd w:val="0"/>
        <w:snapToGrid w:val="0"/>
        <w:spacing w:line="460" w:lineRule="exact"/>
        <w:ind w:firstLine="1163" w:firstLineChars="531"/>
        <w:jc w:val="left"/>
      </w:pPr>
      <w:r>
        <w:t xml:space="preserve">    </w:t>
      </w:r>
      <w:r>
        <w:drawing>
          <wp:inline distT="0" distB="0" distL="0" distR="0">
            <wp:extent cx="247650" cy="219075"/>
            <wp:effectExtent l="0" t="0" r="0" b="9525"/>
            <wp:docPr id="6" name="图片 6" descr="C:\Users\ADMINI~1\AppData\Local\Temp\ksohtml9868\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1\AppData\Local\Temp\ksohtml9868\wps3.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247650" cy="219075"/>
                    </a:xfrm>
                    <a:prstGeom prst="rect">
                      <a:avLst/>
                    </a:prstGeom>
                    <a:noFill/>
                    <a:ln>
                      <a:noFill/>
                    </a:ln>
                  </pic:spPr>
                </pic:pic>
              </a:graphicData>
            </a:graphic>
          </wp:inline>
        </w:drawing>
      </w:r>
      <w:r>
        <w:t>—长度为M的线性瞬时注入的示踪剂质量，kg；</w:t>
      </w:r>
    </w:p>
    <w:p w14:paraId="714D074E">
      <w:pPr>
        <w:adjustRightInd w:val="0"/>
        <w:snapToGrid w:val="0"/>
        <w:spacing w:line="460" w:lineRule="exact"/>
        <w:ind w:firstLine="1163" w:firstLineChars="531"/>
        <w:jc w:val="left"/>
      </w:pPr>
      <w:r>
        <w:t xml:space="preserve">    u—水流速度，m/d；</w:t>
      </w:r>
    </w:p>
    <w:p w14:paraId="331E2895">
      <w:pPr>
        <w:adjustRightInd w:val="0"/>
        <w:snapToGrid w:val="0"/>
        <w:spacing w:line="460" w:lineRule="exact"/>
        <w:ind w:firstLine="1163" w:firstLineChars="531"/>
        <w:jc w:val="left"/>
      </w:pPr>
      <w:r>
        <w:t xml:space="preserve">    n—有效孔隙度，无量纲；</w:t>
      </w:r>
    </w:p>
    <w:p w14:paraId="2707AFAD">
      <w:pPr>
        <w:adjustRightInd w:val="0"/>
        <w:snapToGrid w:val="0"/>
        <w:spacing w:line="460" w:lineRule="exact"/>
        <w:ind w:firstLine="1163" w:firstLineChars="531"/>
        <w:jc w:val="left"/>
      </w:pPr>
      <w:r>
        <w:t xml:space="preserve">    </w:t>
      </w:r>
      <w:r>
        <w:drawing>
          <wp:inline distT="0" distB="0" distL="0" distR="0">
            <wp:extent cx="228600" cy="219075"/>
            <wp:effectExtent l="0" t="0" r="0" b="9525"/>
            <wp:docPr id="5" name="图片 5" descr="C:\Users\ADMINI~1\AppData\Local\Temp\ksohtml9868\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1\AppData\Local\Temp\ksohtml9868\wps4.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228600" cy="219075"/>
                    </a:xfrm>
                    <a:prstGeom prst="rect">
                      <a:avLst/>
                    </a:prstGeom>
                    <a:noFill/>
                    <a:ln>
                      <a:noFill/>
                    </a:ln>
                  </pic:spPr>
                </pic:pic>
              </a:graphicData>
            </a:graphic>
          </wp:inline>
        </w:drawing>
      </w:r>
      <w:r>
        <w:t>—纵向弥散系数，m</w:t>
      </w:r>
      <w:r>
        <w:rPr>
          <w:vertAlign w:val="superscript"/>
        </w:rPr>
        <w:t>2</w:t>
      </w:r>
      <w:r>
        <w:t>/d；</w:t>
      </w:r>
    </w:p>
    <w:p w14:paraId="6CEB47A0">
      <w:pPr>
        <w:adjustRightInd w:val="0"/>
        <w:snapToGrid w:val="0"/>
        <w:spacing w:line="460" w:lineRule="exact"/>
        <w:ind w:firstLine="1163" w:firstLineChars="531"/>
        <w:jc w:val="left"/>
      </w:pPr>
      <w:r>
        <w:t xml:space="preserve">    </w:t>
      </w:r>
      <w:r>
        <w:drawing>
          <wp:inline distT="0" distB="0" distL="0" distR="0">
            <wp:extent cx="228600" cy="219075"/>
            <wp:effectExtent l="0" t="0" r="0" b="9525"/>
            <wp:docPr id="3" name="图片 3" descr="C:\Users\ADMINI~1\AppData\Local\Temp\ksohtml9868\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1\AppData\Local\Temp\ksohtml9868\wps5.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228600" cy="219075"/>
                    </a:xfrm>
                    <a:prstGeom prst="rect">
                      <a:avLst/>
                    </a:prstGeom>
                    <a:noFill/>
                    <a:ln>
                      <a:noFill/>
                    </a:ln>
                  </pic:spPr>
                </pic:pic>
              </a:graphicData>
            </a:graphic>
          </wp:inline>
        </w:drawing>
      </w:r>
      <w:r>
        <w:t>—横向y方向的弥散系数；</w:t>
      </w:r>
    </w:p>
    <w:p w14:paraId="1927C5C8">
      <w:pPr>
        <w:adjustRightInd w:val="0"/>
        <w:snapToGrid w:val="0"/>
        <w:spacing w:line="460" w:lineRule="exact"/>
        <w:ind w:firstLine="1163" w:firstLineChars="531"/>
        <w:jc w:val="left"/>
      </w:pPr>
      <w:r>
        <w:t xml:space="preserve">    π—圆周率。</w:t>
      </w:r>
    </w:p>
    <w:p w14:paraId="25DB387D">
      <w:pPr>
        <w:pStyle w:val="7"/>
      </w:pPr>
      <w:r>
        <w:t>污水泄漏污染浓度预测参数</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815"/>
        <w:gridCol w:w="1553"/>
        <w:gridCol w:w="4160"/>
      </w:tblGrid>
      <w:tr w14:paraId="0835BC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5" w:hRule="atLeast"/>
          <w:tblHeader/>
          <w:jc w:val="center"/>
        </w:trPr>
        <w:tc>
          <w:tcPr>
            <w:tcW w:w="2813" w:type="dxa"/>
            <w:vAlign w:val="center"/>
          </w:tcPr>
          <w:p w14:paraId="6612DB0A">
            <w:pPr>
              <w:pStyle w:val="34"/>
            </w:pPr>
            <w:r>
              <w:t>预测参数</w:t>
            </w:r>
          </w:p>
        </w:tc>
        <w:tc>
          <w:tcPr>
            <w:tcW w:w="1548" w:type="dxa"/>
            <w:vAlign w:val="center"/>
          </w:tcPr>
          <w:p w14:paraId="7C6A0158">
            <w:pPr>
              <w:pStyle w:val="34"/>
            </w:pPr>
            <w:r>
              <w:t>单位</w:t>
            </w:r>
          </w:p>
        </w:tc>
        <w:tc>
          <w:tcPr>
            <w:tcW w:w="4161" w:type="dxa"/>
            <w:vAlign w:val="center"/>
          </w:tcPr>
          <w:p w14:paraId="09C290B2">
            <w:pPr>
              <w:pStyle w:val="34"/>
            </w:pPr>
            <w:r>
              <w:rPr>
                <w:rFonts w:hint="eastAsia"/>
              </w:rPr>
              <w:t>码头区域</w:t>
            </w:r>
          </w:p>
        </w:tc>
      </w:tr>
      <w:tr w14:paraId="3E14EE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5" w:hRule="atLeast"/>
          <w:tblHeader/>
          <w:jc w:val="center"/>
        </w:trPr>
        <w:tc>
          <w:tcPr>
            <w:tcW w:w="2813" w:type="dxa"/>
            <w:vAlign w:val="center"/>
          </w:tcPr>
          <w:p w14:paraId="10961107">
            <w:pPr>
              <w:pStyle w:val="34"/>
            </w:pPr>
            <w:r>
              <w:t>有效孔隙度</w:t>
            </w:r>
          </w:p>
        </w:tc>
        <w:tc>
          <w:tcPr>
            <w:tcW w:w="1548" w:type="dxa"/>
            <w:vAlign w:val="center"/>
          </w:tcPr>
          <w:p w14:paraId="6817EAC5">
            <w:pPr>
              <w:pStyle w:val="34"/>
            </w:pPr>
            <w:r>
              <w:t>/</w:t>
            </w:r>
          </w:p>
        </w:tc>
        <w:tc>
          <w:tcPr>
            <w:tcW w:w="4161" w:type="dxa"/>
            <w:vAlign w:val="center"/>
          </w:tcPr>
          <w:p w14:paraId="78966E5D">
            <w:pPr>
              <w:pStyle w:val="34"/>
            </w:pPr>
            <w:r>
              <w:t>33(</w:t>
            </w:r>
            <w:r>
              <w:rPr>
                <w:rFonts w:hint="eastAsia"/>
              </w:rPr>
              <w:t>按厂区总孔隙度的9</w:t>
            </w:r>
            <w:r>
              <w:t>0%</w:t>
            </w:r>
            <w:r>
              <w:rPr>
                <w:rFonts w:hint="eastAsia"/>
              </w:rPr>
              <w:t>取值</w:t>
            </w:r>
            <w:r>
              <w:t>)</w:t>
            </w:r>
          </w:p>
        </w:tc>
      </w:tr>
      <w:tr w14:paraId="7D3409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5" w:hRule="atLeast"/>
          <w:tblHeader/>
          <w:jc w:val="center"/>
        </w:trPr>
        <w:tc>
          <w:tcPr>
            <w:tcW w:w="2813" w:type="dxa"/>
            <w:vAlign w:val="center"/>
          </w:tcPr>
          <w:p w14:paraId="43FE5EB1">
            <w:pPr>
              <w:pStyle w:val="34"/>
            </w:pPr>
            <w:r>
              <w:t>含水层厚度</w:t>
            </w:r>
          </w:p>
        </w:tc>
        <w:tc>
          <w:tcPr>
            <w:tcW w:w="1548" w:type="dxa"/>
            <w:vAlign w:val="center"/>
          </w:tcPr>
          <w:p w14:paraId="10837595">
            <w:pPr>
              <w:pStyle w:val="34"/>
            </w:pPr>
            <w:r>
              <w:t>m</w:t>
            </w:r>
          </w:p>
        </w:tc>
        <w:tc>
          <w:tcPr>
            <w:tcW w:w="4161" w:type="dxa"/>
            <w:vAlign w:val="center"/>
          </w:tcPr>
          <w:p w14:paraId="1E42A155">
            <w:pPr>
              <w:pStyle w:val="34"/>
            </w:pPr>
            <w:r>
              <w:t>6</w:t>
            </w:r>
          </w:p>
        </w:tc>
      </w:tr>
      <w:tr w14:paraId="33B8E9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5" w:hRule="atLeast"/>
          <w:tblHeader/>
          <w:jc w:val="center"/>
        </w:trPr>
        <w:tc>
          <w:tcPr>
            <w:tcW w:w="2813" w:type="dxa"/>
            <w:vAlign w:val="center"/>
          </w:tcPr>
          <w:p w14:paraId="5055BD7E">
            <w:pPr>
              <w:pStyle w:val="34"/>
            </w:pPr>
            <w:r>
              <w:t>纵向弥散系数</w:t>
            </w:r>
          </w:p>
        </w:tc>
        <w:tc>
          <w:tcPr>
            <w:tcW w:w="1548" w:type="dxa"/>
            <w:vAlign w:val="center"/>
          </w:tcPr>
          <w:p w14:paraId="0453619F">
            <w:pPr>
              <w:pStyle w:val="34"/>
            </w:pPr>
            <w:r>
              <w:t>m</w:t>
            </w:r>
            <w:r>
              <w:rPr>
                <w:vertAlign w:val="superscript"/>
              </w:rPr>
              <w:t>2</w:t>
            </w:r>
            <w:r>
              <w:t>/d</w:t>
            </w:r>
          </w:p>
        </w:tc>
        <w:tc>
          <w:tcPr>
            <w:tcW w:w="4161" w:type="dxa"/>
            <w:vAlign w:val="center"/>
          </w:tcPr>
          <w:p w14:paraId="0DD4B1E2">
            <w:pPr>
              <w:pStyle w:val="34"/>
            </w:pPr>
            <w:r>
              <w:t>2</w:t>
            </w:r>
            <w:r>
              <w:rPr>
                <w:rFonts w:hint="eastAsia"/>
              </w:rPr>
              <w:t>（含水层按砾砂层考虑）</w:t>
            </w:r>
          </w:p>
        </w:tc>
      </w:tr>
      <w:tr w14:paraId="000A65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5" w:hRule="atLeast"/>
          <w:tblHeader/>
          <w:jc w:val="center"/>
        </w:trPr>
        <w:tc>
          <w:tcPr>
            <w:tcW w:w="2813" w:type="dxa"/>
            <w:vAlign w:val="center"/>
          </w:tcPr>
          <w:p w14:paraId="57E3528E">
            <w:pPr>
              <w:pStyle w:val="34"/>
            </w:pPr>
            <w:r>
              <w:t>横向弥散系数</w:t>
            </w:r>
          </w:p>
        </w:tc>
        <w:tc>
          <w:tcPr>
            <w:tcW w:w="1548" w:type="dxa"/>
            <w:vAlign w:val="center"/>
          </w:tcPr>
          <w:p w14:paraId="46E2F71D">
            <w:pPr>
              <w:pStyle w:val="34"/>
            </w:pPr>
            <w:r>
              <w:t>（m</w:t>
            </w:r>
            <w:r>
              <w:rPr>
                <w:vertAlign w:val="superscript"/>
              </w:rPr>
              <w:t>2</w:t>
            </w:r>
            <w:r>
              <w:t>/d）</w:t>
            </w:r>
          </w:p>
        </w:tc>
        <w:tc>
          <w:tcPr>
            <w:tcW w:w="4161" w:type="dxa"/>
            <w:vAlign w:val="center"/>
          </w:tcPr>
          <w:p w14:paraId="0C2EF219">
            <w:pPr>
              <w:pStyle w:val="34"/>
            </w:pPr>
            <w:r>
              <w:t>0.2</w:t>
            </w:r>
          </w:p>
        </w:tc>
      </w:tr>
      <w:tr w14:paraId="2595D6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5" w:hRule="atLeast"/>
          <w:tblHeader/>
          <w:jc w:val="center"/>
        </w:trPr>
        <w:tc>
          <w:tcPr>
            <w:tcW w:w="2813" w:type="dxa"/>
            <w:vAlign w:val="center"/>
          </w:tcPr>
          <w:p w14:paraId="29E0DC5D">
            <w:pPr>
              <w:pStyle w:val="34"/>
            </w:pPr>
            <w:r>
              <w:t>水流速度</w:t>
            </w:r>
          </w:p>
        </w:tc>
        <w:tc>
          <w:tcPr>
            <w:tcW w:w="1548" w:type="dxa"/>
            <w:vAlign w:val="center"/>
          </w:tcPr>
          <w:p w14:paraId="32729B41">
            <w:pPr>
              <w:pStyle w:val="34"/>
            </w:pPr>
            <w:r>
              <w:t>m/d</w:t>
            </w:r>
          </w:p>
        </w:tc>
        <w:tc>
          <w:tcPr>
            <w:tcW w:w="4161" w:type="dxa"/>
            <w:vAlign w:val="center"/>
          </w:tcPr>
          <w:p w14:paraId="71BAC7F4">
            <w:pPr>
              <w:pStyle w:val="34"/>
            </w:pPr>
            <w:r>
              <w:t>26.2</w:t>
            </w:r>
          </w:p>
        </w:tc>
      </w:tr>
      <w:tr w14:paraId="68307E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2813" w:type="dxa"/>
            <w:vAlign w:val="center"/>
          </w:tcPr>
          <w:p w14:paraId="0050C888">
            <w:pPr>
              <w:pStyle w:val="34"/>
            </w:pPr>
            <w:r>
              <w:t>t</w:t>
            </w:r>
          </w:p>
        </w:tc>
        <w:tc>
          <w:tcPr>
            <w:tcW w:w="1548" w:type="dxa"/>
            <w:vAlign w:val="center"/>
          </w:tcPr>
          <w:p w14:paraId="3629B936">
            <w:pPr>
              <w:pStyle w:val="34"/>
            </w:pPr>
            <w:r>
              <w:t>d</w:t>
            </w:r>
          </w:p>
        </w:tc>
        <w:tc>
          <w:tcPr>
            <w:tcW w:w="4161" w:type="dxa"/>
            <w:vAlign w:val="center"/>
          </w:tcPr>
          <w:p w14:paraId="79B3221C">
            <w:pPr>
              <w:pStyle w:val="34"/>
            </w:pPr>
            <w:r>
              <w:t>30/100/1000</w:t>
            </w:r>
          </w:p>
        </w:tc>
      </w:tr>
    </w:tbl>
    <w:p w14:paraId="27610940">
      <w:pPr>
        <w:spacing w:line="240" w:lineRule="exact"/>
        <w:ind w:firstLine="317"/>
        <w:rPr>
          <w:bCs/>
          <w:sz w:val="18"/>
          <w:szCs w:val="18"/>
        </w:rPr>
      </w:pPr>
      <w:r>
        <w:rPr>
          <w:rFonts w:hint="eastAsia"/>
          <w:bCs/>
          <w:sz w:val="18"/>
          <w:szCs w:val="18"/>
        </w:rPr>
        <w:t>注：水流速度按达西定律KI</w:t>
      </w:r>
      <w:r>
        <w:rPr>
          <w:bCs/>
          <w:sz w:val="18"/>
          <w:szCs w:val="18"/>
        </w:rPr>
        <w:t>/</w:t>
      </w:r>
      <w:r>
        <w:rPr>
          <w:rFonts w:hint="eastAsia"/>
          <w:bCs/>
          <w:sz w:val="18"/>
          <w:szCs w:val="18"/>
        </w:rPr>
        <w:t>n计算，其中渗透系数K取粗砾含水层经验系数0</w:t>
      </w:r>
      <w:r>
        <w:rPr>
          <w:bCs/>
          <w:sz w:val="18"/>
          <w:szCs w:val="18"/>
        </w:rPr>
        <w:t>.8</w:t>
      </w:r>
      <w:r>
        <w:rPr>
          <w:rFonts w:hint="eastAsia"/>
          <w:bCs/>
          <w:sz w:val="18"/>
          <w:szCs w:val="18"/>
        </w:rPr>
        <w:t>cm</w:t>
      </w:r>
      <w:r>
        <w:rPr>
          <w:bCs/>
          <w:sz w:val="18"/>
          <w:szCs w:val="18"/>
        </w:rPr>
        <w:t>/s</w:t>
      </w:r>
      <w:r>
        <w:rPr>
          <w:rFonts w:hint="eastAsia"/>
          <w:bCs/>
          <w:sz w:val="18"/>
          <w:szCs w:val="18"/>
        </w:rPr>
        <w:t>，水力坡度I取1，</w:t>
      </w:r>
      <w:r>
        <w:rPr>
          <w:bCs/>
          <w:sz w:val="18"/>
          <w:szCs w:val="18"/>
        </w:rPr>
        <w:t>n</w:t>
      </w:r>
      <w:r>
        <w:rPr>
          <w:rFonts w:hint="eastAsia"/>
          <w:bCs/>
          <w:sz w:val="18"/>
          <w:szCs w:val="18"/>
        </w:rPr>
        <w:t>为有效孔隙度。</w:t>
      </w:r>
    </w:p>
    <w:p w14:paraId="50ACA322">
      <w:pPr>
        <w:ind w:firstLine="437"/>
        <w:rPr>
          <w:bCs/>
        </w:rPr>
      </w:pPr>
      <w:r>
        <w:rPr>
          <w:bCs/>
        </w:rPr>
        <w:t>4</w:t>
      </w:r>
      <w:r>
        <w:rPr>
          <w:rFonts w:hint="eastAsia"/>
          <w:bCs/>
        </w:rPr>
        <w:t>、源强取值</w:t>
      </w:r>
    </w:p>
    <w:p w14:paraId="46C3F734">
      <w:pPr>
        <w:ind w:firstLine="437"/>
      </w:pPr>
      <w:r>
        <w:rPr>
          <w:rFonts w:hint="eastAsia"/>
        </w:rPr>
        <w:t>危险品堆场消防废水泄露：</w:t>
      </w:r>
      <w:r>
        <w:t>假设事故情景为</w:t>
      </w:r>
      <w:r>
        <w:rPr>
          <w:rFonts w:hint="eastAsia"/>
        </w:rPr>
        <w:t>堆场集污池池</w:t>
      </w:r>
      <w:r>
        <w:t>底部破损，</w:t>
      </w:r>
      <w:r>
        <w:rPr>
          <w:rFonts w:hint="eastAsia"/>
        </w:rPr>
        <w:t>集污池面积约为208m</w:t>
      </w:r>
      <w:r>
        <w:rPr>
          <w:rFonts w:hint="eastAsia"/>
          <w:vertAlign w:val="superscript"/>
        </w:rPr>
        <w:t>2</w:t>
      </w:r>
      <w:r>
        <w:rPr>
          <w:rFonts w:hint="eastAsia"/>
        </w:rPr>
        <w:t>，</w:t>
      </w:r>
      <w:r>
        <w:t>破碎面积约为底部面积的1%，即</w:t>
      </w:r>
      <w:r>
        <w:rPr>
          <w:rFonts w:hint="eastAsia"/>
        </w:rPr>
        <w:t>2.08</w:t>
      </w:r>
      <w:r>
        <w:t>m</w:t>
      </w:r>
      <w:r>
        <w:rPr>
          <w:vertAlign w:val="superscript"/>
        </w:rPr>
        <w:t>2</w:t>
      </w:r>
      <w:r>
        <w:t>；</w:t>
      </w:r>
      <w:r>
        <w:rPr>
          <w:rFonts w:hint="eastAsia"/>
        </w:rPr>
        <w:t>则渗漏量Q</w:t>
      </w:r>
      <w:r>
        <w:t>=</w:t>
      </w:r>
      <w:r>
        <w:rPr>
          <w:rFonts w:hint="eastAsia"/>
        </w:rPr>
        <w:t>K（包气带渗透系数，取1</w:t>
      </w:r>
      <w:r>
        <w:t>.8</w:t>
      </w:r>
      <w:r>
        <w:rPr>
          <w:rFonts w:hint="eastAsia"/>
        </w:rPr>
        <w:t>m/d）×漏液面积（m</w:t>
      </w:r>
      <w:r>
        <w:rPr>
          <w:vertAlign w:val="superscript"/>
        </w:rPr>
        <w:t>2</w:t>
      </w:r>
      <w:r>
        <w:rPr>
          <w:rFonts w:hint="eastAsia"/>
        </w:rPr>
        <w:t>）×I（取1）=3.744m</w:t>
      </w:r>
      <w:r>
        <w:rPr>
          <w:vertAlign w:val="superscript"/>
        </w:rPr>
        <w:t>3</w:t>
      </w:r>
      <w:r>
        <w:t>/d</w:t>
      </w:r>
      <w:r>
        <w:rPr>
          <w:rFonts w:hint="eastAsia"/>
        </w:rPr>
        <w:t>。</w:t>
      </w:r>
    </w:p>
    <w:p w14:paraId="4CBE7B83">
      <w:pPr>
        <w:ind w:firstLine="437"/>
        <w:rPr>
          <w:u w:val="single"/>
        </w:rPr>
      </w:pPr>
      <w:r>
        <w:rPr>
          <w:rFonts w:hint="eastAsia"/>
          <w:u w:val="single"/>
        </w:rPr>
        <w:t>项目危险品堆场涉及第2.1项、第2.2项、第3类（不含退敏爆炸品）、第4.1项（不含固态退敏爆炸品）、第4.2项、第4.3项、第5.1项（不含硝酸铵类物质）、第5.2项、第6.1项（不含剧毒品）、第8类、第9类危险货物集装箱。其中仅少数种类液体化学品采用</w:t>
      </w:r>
      <w:bookmarkStart w:id="497" w:name="OLE_LINK173"/>
      <w:r>
        <w:rPr>
          <w:rFonts w:hint="eastAsia"/>
          <w:u w:val="single"/>
        </w:rPr>
        <w:t>罐箱</w:t>
      </w:r>
      <w:bookmarkEnd w:id="497"/>
      <w:r>
        <w:rPr>
          <w:rFonts w:hint="eastAsia"/>
          <w:u w:val="single"/>
        </w:rPr>
        <w:t>运输外，大多危险货物按其危险特性、遵照相关法律法规和标准要求有独立包装，单体规模一般在25kg~1t，在堆场发生大规模泄漏的概率不大；而采用罐箱运输的液体化学品一般为后方企业需求较大的常见货种，如酸、油类、低分子有机化学原料等，不溶于水的油类、有机化学原料等物质进入消防废水后绝大多数会漂浮在池体表面，废水中浓度并不会特别高，对于可溶于水的酸、有机化学原料等物质进入废水泄漏后，在地下水中的迁移规律基本一致。</w:t>
      </w:r>
    </w:p>
    <w:p w14:paraId="09FB22C0">
      <w:pPr>
        <w:ind w:firstLine="437"/>
        <w:rPr>
          <w:bCs/>
        </w:rPr>
      </w:pPr>
      <w:r>
        <w:rPr>
          <w:rFonts w:hint="eastAsia"/>
        </w:rPr>
        <w:t>鉴于项目消防废水中特征因子难以确定，本次评价</w:t>
      </w:r>
      <w:r>
        <w:t>预测污染因子选择</w:t>
      </w:r>
      <w:r>
        <w:rPr>
          <w:rFonts w:hint="eastAsia"/>
        </w:rPr>
        <w:t>COD</w:t>
      </w:r>
      <w:r>
        <w:t>，浓度为</w:t>
      </w:r>
      <w:r>
        <w:rPr>
          <w:rFonts w:hint="eastAsia"/>
        </w:rPr>
        <w:t>80</w:t>
      </w:r>
      <w:r>
        <w:t>00mg/L</w:t>
      </w:r>
      <w:r>
        <w:rPr>
          <w:rFonts w:hint="eastAsia"/>
        </w:rPr>
        <w:t>；泄漏至集污池抽排清运按5h进行考虑，则泄漏的C</w:t>
      </w:r>
      <w:r>
        <w:t>OD</w:t>
      </w:r>
      <w:r>
        <w:rPr>
          <w:rFonts w:hint="eastAsia"/>
        </w:rPr>
        <w:t>量为</w:t>
      </w:r>
      <w:r>
        <w:rPr>
          <w:rFonts w:hint="eastAsia"/>
          <w:bCs/>
        </w:rPr>
        <w:t>6240</w:t>
      </w:r>
      <w:r>
        <w:rPr>
          <w:bCs/>
        </w:rPr>
        <w:t>g</w:t>
      </w:r>
      <w:r>
        <w:rPr>
          <w:rFonts w:hint="eastAsia"/>
          <w:bCs/>
        </w:rPr>
        <w:t>。</w:t>
      </w:r>
    </w:p>
    <w:p w14:paraId="0270D999">
      <w:pPr>
        <w:ind w:firstLine="437"/>
        <w:rPr>
          <w:bCs/>
        </w:rPr>
      </w:pPr>
      <w:r>
        <w:rPr>
          <w:rFonts w:hint="eastAsia"/>
          <w:bCs/>
        </w:rPr>
        <w:t>5、预测结果</w:t>
      </w:r>
    </w:p>
    <w:p w14:paraId="3E587EC0">
      <w:pPr>
        <w:ind w:firstLine="437"/>
        <w:rPr>
          <w:bCs/>
        </w:rPr>
      </w:pPr>
      <w:r>
        <w:rPr>
          <w:rFonts w:hint="eastAsia"/>
          <w:bCs/>
        </w:rPr>
        <w:t>项目污水下渗污染地下水预测结果如下：</w:t>
      </w:r>
    </w:p>
    <w:p w14:paraId="6403601F">
      <w:pPr>
        <w:pStyle w:val="7"/>
        <w:jc w:val="right"/>
      </w:pPr>
      <w:r>
        <w:rPr>
          <w:rFonts w:hint="eastAsia"/>
        </w:rPr>
        <w:t xml:space="preserve">消防废水下渗后污染物扩散浓度一览表 </w:t>
      </w:r>
      <w:r>
        <w:t xml:space="preserve">          </w:t>
      </w:r>
      <w:r>
        <w:rPr>
          <w:rFonts w:hint="eastAsia"/>
        </w:rPr>
        <w:t>单位：mg</w:t>
      </w:r>
      <w:r>
        <w:t>/L</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76"/>
        <w:gridCol w:w="1011"/>
        <w:gridCol w:w="1307"/>
        <w:gridCol w:w="1277"/>
        <w:gridCol w:w="1411"/>
        <w:gridCol w:w="1189"/>
        <w:gridCol w:w="864"/>
      </w:tblGrid>
      <w:tr w14:paraId="6AE979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7" w:type="dxa"/>
            <w:tcMar>
              <w:left w:w="0" w:type="dxa"/>
              <w:right w:w="0" w:type="dxa"/>
            </w:tcMar>
            <w:vAlign w:val="center"/>
          </w:tcPr>
          <w:p w14:paraId="708B63F8">
            <w:pPr>
              <w:pStyle w:val="34"/>
              <w:rPr>
                <w:szCs w:val="21"/>
              </w:rPr>
            </w:pPr>
            <w:r>
              <w:rPr>
                <w:szCs w:val="21"/>
              </w:rPr>
              <w:t>时间t/d</w:t>
            </w:r>
          </w:p>
          <w:p w14:paraId="2E8711B6">
            <w:pPr>
              <w:pStyle w:val="34"/>
              <w:rPr>
                <w:szCs w:val="21"/>
              </w:rPr>
            </w:pPr>
            <w:r>
              <w:rPr>
                <w:szCs w:val="21"/>
              </w:rPr>
              <w:t>水平迁移距离X/m</w:t>
            </w:r>
          </w:p>
        </w:tc>
        <w:tc>
          <w:tcPr>
            <w:tcW w:w="813" w:type="dxa"/>
            <w:tcMar>
              <w:left w:w="0" w:type="dxa"/>
              <w:right w:w="0" w:type="dxa"/>
            </w:tcMar>
            <w:vAlign w:val="center"/>
          </w:tcPr>
          <w:p w14:paraId="12BD81CE">
            <w:pPr>
              <w:pStyle w:val="34"/>
              <w:rPr>
                <w:szCs w:val="21"/>
              </w:rPr>
            </w:pPr>
            <w:r>
              <w:rPr>
                <w:szCs w:val="21"/>
              </w:rPr>
              <w:t>5</w:t>
            </w:r>
          </w:p>
        </w:tc>
        <w:tc>
          <w:tcPr>
            <w:tcW w:w="1051" w:type="dxa"/>
            <w:tcMar>
              <w:left w:w="0" w:type="dxa"/>
              <w:right w:w="0" w:type="dxa"/>
            </w:tcMar>
            <w:vAlign w:val="center"/>
          </w:tcPr>
          <w:p w14:paraId="0B296533">
            <w:pPr>
              <w:pStyle w:val="34"/>
              <w:rPr>
                <w:szCs w:val="21"/>
              </w:rPr>
            </w:pPr>
            <w:r>
              <w:rPr>
                <w:szCs w:val="21"/>
              </w:rPr>
              <w:t>10</w:t>
            </w:r>
          </w:p>
        </w:tc>
        <w:tc>
          <w:tcPr>
            <w:tcW w:w="1027" w:type="dxa"/>
            <w:tcMar>
              <w:left w:w="0" w:type="dxa"/>
              <w:right w:w="0" w:type="dxa"/>
            </w:tcMar>
            <w:vAlign w:val="center"/>
          </w:tcPr>
          <w:p w14:paraId="4E1C1331">
            <w:pPr>
              <w:pStyle w:val="34"/>
              <w:rPr>
                <w:szCs w:val="21"/>
              </w:rPr>
            </w:pPr>
            <w:r>
              <w:rPr>
                <w:szCs w:val="21"/>
              </w:rPr>
              <w:t>15</w:t>
            </w:r>
          </w:p>
        </w:tc>
        <w:tc>
          <w:tcPr>
            <w:tcW w:w="1135" w:type="dxa"/>
            <w:vAlign w:val="center"/>
          </w:tcPr>
          <w:p w14:paraId="26192B73">
            <w:pPr>
              <w:pStyle w:val="34"/>
              <w:rPr>
                <w:szCs w:val="21"/>
              </w:rPr>
            </w:pPr>
            <w:r>
              <w:rPr>
                <w:szCs w:val="21"/>
              </w:rPr>
              <w:t>30</w:t>
            </w:r>
          </w:p>
        </w:tc>
        <w:tc>
          <w:tcPr>
            <w:tcW w:w="769" w:type="dxa"/>
            <w:vAlign w:val="center"/>
          </w:tcPr>
          <w:p w14:paraId="2EA49CCA">
            <w:pPr>
              <w:pStyle w:val="34"/>
              <w:rPr>
                <w:szCs w:val="21"/>
              </w:rPr>
            </w:pPr>
            <w:r>
              <w:rPr>
                <w:szCs w:val="21"/>
              </w:rPr>
              <w:t>100</w:t>
            </w:r>
          </w:p>
        </w:tc>
        <w:tc>
          <w:tcPr>
            <w:tcW w:w="695" w:type="dxa"/>
            <w:vAlign w:val="center"/>
          </w:tcPr>
          <w:p w14:paraId="7C1FCC31">
            <w:pPr>
              <w:pStyle w:val="34"/>
              <w:rPr>
                <w:szCs w:val="21"/>
              </w:rPr>
            </w:pPr>
            <w:r>
              <w:rPr>
                <w:szCs w:val="21"/>
              </w:rPr>
              <w:t>1000</w:t>
            </w:r>
          </w:p>
        </w:tc>
      </w:tr>
      <w:tr w14:paraId="3CB971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7" w:type="dxa"/>
            <w:tcMar>
              <w:left w:w="0" w:type="dxa"/>
              <w:right w:w="0" w:type="dxa"/>
            </w:tcMar>
            <w:vAlign w:val="center"/>
          </w:tcPr>
          <w:p w14:paraId="19EE9249">
            <w:pPr>
              <w:pStyle w:val="34"/>
              <w:rPr>
                <w:szCs w:val="21"/>
              </w:rPr>
            </w:pPr>
            <w:r>
              <w:rPr>
                <w:szCs w:val="21"/>
              </w:rPr>
              <w:t>20</w:t>
            </w:r>
          </w:p>
        </w:tc>
        <w:tc>
          <w:tcPr>
            <w:tcW w:w="813" w:type="dxa"/>
            <w:tcMar>
              <w:left w:w="0" w:type="dxa"/>
              <w:right w:w="0" w:type="dxa"/>
            </w:tcMar>
            <w:vAlign w:val="center"/>
          </w:tcPr>
          <w:p w14:paraId="588B14CD">
            <w:pPr>
              <w:pStyle w:val="34"/>
              <w:rPr>
                <w:szCs w:val="21"/>
              </w:rPr>
            </w:pPr>
            <w:r>
              <w:rPr>
                <w:color w:val="000000"/>
                <w:szCs w:val="21"/>
              </w:rPr>
              <w:t>1.32E-01</w:t>
            </w:r>
          </w:p>
        </w:tc>
        <w:tc>
          <w:tcPr>
            <w:tcW w:w="1051" w:type="dxa"/>
            <w:tcMar>
              <w:left w:w="0" w:type="dxa"/>
              <w:right w:w="0" w:type="dxa"/>
            </w:tcMar>
            <w:vAlign w:val="center"/>
          </w:tcPr>
          <w:p w14:paraId="6AA9DA21">
            <w:pPr>
              <w:pStyle w:val="34"/>
              <w:rPr>
                <w:szCs w:val="21"/>
              </w:rPr>
            </w:pPr>
            <w:r>
              <w:rPr>
                <w:color w:val="000000"/>
                <w:szCs w:val="21"/>
              </w:rPr>
              <w:t>9.51E-01</w:t>
            </w:r>
          </w:p>
        </w:tc>
        <w:tc>
          <w:tcPr>
            <w:tcW w:w="1027" w:type="dxa"/>
            <w:tcMar>
              <w:left w:w="0" w:type="dxa"/>
              <w:right w:w="0" w:type="dxa"/>
            </w:tcMar>
            <w:vAlign w:val="center"/>
          </w:tcPr>
          <w:p w14:paraId="11222624">
            <w:pPr>
              <w:pStyle w:val="34"/>
              <w:rPr>
                <w:szCs w:val="21"/>
              </w:rPr>
            </w:pPr>
            <w:r>
              <w:rPr>
                <w:color w:val="000000"/>
                <w:szCs w:val="21"/>
              </w:rPr>
              <w:t>2.45E-01</w:t>
            </w:r>
          </w:p>
        </w:tc>
        <w:tc>
          <w:tcPr>
            <w:tcW w:w="1135" w:type="dxa"/>
            <w:vAlign w:val="center"/>
          </w:tcPr>
          <w:p w14:paraId="661DFA1C">
            <w:pPr>
              <w:pStyle w:val="34"/>
              <w:rPr>
                <w:szCs w:val="21"/>
              </w:rPr>
            </w:pPr>
            <w:r>
              <w:rPr>
                <w:color w:val="000000"/>
                <w:szCs w:val="21"/>
              </w:rPr>
              <w:t>1.48E-04</w:t>
            </w:r>
          </w:p>
        </w:tc>
        <w:tc>
          <w:tcPr>
            <w:tcW w:w="769" w:type="dxa"/>
            <w:vAlign w:val="center"/>
          </w:tcPr>
          <w:p w14:paraId="2710E581">
            <w:pPr>
              <w:pStyle w:val="34"/>
              <w:rPr>
                <w:szCs w:val="21"/>
              </w:rPr>
            </w:pPr>
            <w:r>
              <w:rPr>
                <w:color w:val="000000"/>
                <w:szCs w:val="21"/>
              </w:rPr>
              <w:t>1.93E-22</w:t>
            </w:r>
          </w:p>
        </w:tc>
        <w:tc>
          <w:tcPr>
            <w:tcW w:w="695" w:type="dxa"/>
            <w:vAlign w:val="center"/>
          </w:tcPr>
          <w:p w14:paraId="4E415DD4">
            <w:pPr>
              <w:pStyle w:val="34"/>
              <w:rPr>
                <w:szCs w:val="21"/>
              </w:rPr>
            </w:pPr>
            <w:r>
              <w:rPr>
                <w:szCs w:val="21"/>
              </w:rPr>
              <w:t>0</w:t>
            </w:r>
          </w:p>
        </w:tc>
      </w:tr>
      <w:tr w14:paraId="76D674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7" w:type="dxa"/>
            <w:tcMar>
              <w:left w:w="0" w:type="dxa"/>
              <w:right w:w="0" w:type="dxa"/>
            </w:tcMar>
            <w:vAlign w:val="center"/>
          </w:tcPr>
          <w:p w14:paraId="4CADFF71">
            <w:pPr>
              <w:pStyle w:val="34"/>
              <w:rPr>
                <w:szCs w:val="21"/>
              </w:rPr>
            </w:pPr>
            <w:r>
              <w:rPr>
                <w:szCs w:val="21"/>
              </w:rPr>
              <w:t>50</w:t>
            </w:r>
          </w:p>
        </w:tc>
        <w:tc>
          <w:tcPr>
            <w:tcW w:w="813" w:type="dxa"/>
            <w:tcMar>
              <w:left w:w="0" w:type="dxa"/>
              <w:right w:w="0" w:type="dxa"/>
            </w:tcMar>
            <w:vAlign w:val="center"/>
          </w:tcPr>
          <w:p w14:paraId="3CD2C8F6">
            <w:pPr>
              <w:pStyle w:val="34"/>
              <w:rPr>
                <w:szCs w:val="21"/>
              </w:rPr>
            </w:pPr>
            <w:r>
              <w:rPr>
                <w:color w:val="000000"/>
                <w:szCs w:val="21"/>
              </w:rPr>
              <w:t>3.06E-17</w:t>
            </w:r>
          </w:p>
        </w:tc>
        <w:tc>
          <w:tcPr>
            <w:tcW w:w="1051" w:type="dxa"/>
            <w:tcMar>
              <w:left w:w="0" w:type="dxa"/>
              <w:right w:w="0" w:type="dxa"/>
            </w:tcMar>
            <w:vAlign w:val="center"/>
          </w:tcPr>
          <w:p w14:paraId="7D74693E">
            <w:pPr>
              <w:pStyle w:val="34"/>
              <w:rPr>
                <w:szCs w:val="21"/>
              </w:rPr>
            </w:pPr>
            <w:r>
              <w:rPr>
                <w:color w:val="000000"/>
                <w:szCs w:val="21"/>
              </w:rPr>
              <w:t>5.55E-05</w:t>
            </w:r>
          </w:p>
        </w:tc>
        <w:tc>
          <w:tcPr>
            <w:tcW w:w="1027" w:type="dxa"/>
            <w:tcMar>
              <w:left w:w="0" w:type="dxa"/>
              <w:right w:w="0" w:type="dxa"/>
            </w:tcMar>
            <w:vAlign w:val="center"/>
          </w:tcPr>
          <w:p w14:paraId="75F67498">
            <w:pPr>
              <w:pStyle w:val="34"/>
              <w:rPr>
                <w:szCs w:val="21"/>
              </w:rPr>
            </w:pPr>
            <w:r>
              <w:rPr>
                <w:color w:val="000000"/>
                <w:szCs w:val="21"/>
              </w:rPr>
              <w:t>9.00E-02</w:t>
            </w:r>
          </w:p>
        </w:tc>
        <w:tc>
          <w:tcPr>
            <w:tcW w:w="1135" w:type="dxa"/>
            <w:vAlign w:val="center"/>
          </w:tcPr>
          <w:p w14:paraId="0AE3DBD7">
            <w:pPr>
              <w:pStyle w:val="34"/>
              <w:rPr>
                <w:szCs w:val="21"/>
              </w:rPr>
            </w:pPr>
            <w:r>
              <w:rPr>
                <w:color w:val="000000"/>
                <w:szCs w:val="21"/>
              </w:rPr>
              <w:t>3.44E-01</w:t>
            </w:r>
          </w:p>
        </w:tc>
        <w:tc>
          <w:tcPr>
            <w:tcW w:w="769" w:type="dxa"/>
            <w:vAlign w:val="center"/>
          </w:tcPr>
          <w:p w14:paraId="62757AE1">
            <w:pPr>
              <w:pStyle w:val="34"/>
              <w:rPr>
                <w:szCs w:val="21"/>
              </w:rPr>
            </w:pPr>
            <w:r>
              <w:rPr>
                <w:color w:val="000000"/>
                <w:szCs w:val="21"/>
              </w:rPr>
              <w:t>2.05E-16</w:t>
            </w:r>
          </w:p>
        </w:tc>
        <w:tc>
          <w:tcPr>
            <w:tcW w:w="695" w:type="dxa"/>
            <w:vAlign w:val="center"/>
          </w:tcPr>
          <w:p w14:paraId="4FF7F748">
            <w:pPr>
              <w:pStyle w:val="34"/>
              <w:rPr>
                <w:szCs w:val="21"/>
              </w:rPr>
            </w:pPr>
            <w:r>
              <w:rPr>
                <w:szCs w:val="21"/>
              </w:rPr>
              <w:t>0</w:t>
            </w:r>
          </w:p>
        </w:tc>
      </w:tr>
      <w:tr w14:paraId="76B270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7" w:type="dxa"/>
            <w:tcMar>
              <w:left w:w="0" w:type="dxa"/>
              <w:right w:w="0" w:type="dxa"/>
            </w:tcMar>
            <w:vAlign w:val="center"/>
          </w:tcPr>
          <w:p w14:paraId="7970017F">
            <w:pPr>
              <w:pStyle w:val="34"/>
              <w:rPr>
                <w:szCs w:val="21"/>
              </w:rPr>
            </w:pPr>
            <w:r>
              <w:rPr>
                <w:szCs w:val="21"/>
              </w:rPr>
              <w:t>100</w:t>
            </w:r>
          </w:p>
        </w:tc>
        <w:tc>
          <w:tcPr>
            <w:tcW w:w="813" w:type="dxa"/>
            <w:tcMar>
              <w:left w:w="0" w:type="dxa"/>
              <w:right w:w="0" w:type="dxa"/>
            </w:tcMar>
            <w:vAlign w:val="center"/>
          </w:tcPr>
          <w:p w14:paraId="74B1ECF3">
            <w:pPr>
              <w:pStyle w:val="34"/>
              <w:rPr>
                <w:szCs w:val="21"/>
              </w:rPr>
            </w:pPr>
            <w:r>
              <w:rPr>
                <w:color w:val="000000"/>
                <w:szCs w:val="21"/>
              </w:rPr>
              <w:t>9.97E-87</w:t>
            </w:r>
          </w:p>
        </w:tc>
        <w:tc>
          <w:tcPr>
            <w:tcW w:w="1051" w:type="dxa"/>
            <w:tcMar>
              <w:left w:w="0" w:type="dxa"/>
              <w:right w:w="0" w:type="dxa"/>
            </w:tcMar>
            <w:vAlign w:val="center"/>
          </w:tcPr>
          <w:p w14:paraId="68DC09DB">
            <w:pPr>
              <w:pStyle w:val="34"/>
              <w:rPr>
                <w:szCs w:val="21"/>
              </w:rPr>
            </w:pPr>
            <w:r>
              <w:rPr>
                <w:color w:val="000000"/>
                <w:szCs w:val="21"/>
              </w:rPr>
              <w:t>9.37E-34</w:t>
            </w:r>
          </w:p>
        </w:tc>
        <w:tc>
          <w:tcPr>
            <w:tcW w:w="1027" w:type="dxa"/>
            <w:tcMar>
              <w:left w:w="0" w:type="dxa"/>
              <w:right w:w="0" w:type="dxa"/>
            </w:tcMar>
            <w:vAlign w:val="center"/>
          </w:tcPr>
          <w:p w14:paraId="5C730E38">
            <w:pPr>
              <w:pStyle w:val="34"/>
              <w:rPr>
                <w:szCs w:val="21"/>
              </w:rPr>
            </w:pPr>
            <w:r>
              <w:rPr>
                <w:color w:val="000000"/>
                <w:szCs w:val="21"/>
              </w:rPr>
              <w:t>5.67E-17</w:t>
            </w:r>
          </w:p>
        </w:tc>
        <w:tc>
          <w:tcPr>
            <w:tcW w:w="1135" w:type="dxa"/>
            <w:vAlign w:val="center"/>
          </w:tcPr>
          <w:p w14:paraId="44F55741">
            <w:pPr>
              <w:pStyle w:val="34"/>
              <w:rPr>
                <w:szCs w:val="21"/>
              </w:rPr>
            </w:pPr>
            <w:r>
              <w:rPr>
                <w:color w:val="000000"/>
                <w:szCs w:val="21"/>
              </w:rPr>
              <w:t>8.09E-03</w:t>
            </w:r>
          </w:p>
        </w:tc>
        <w:tc>
          <w:tcPr>
            <w:tcW w:w="769" w:type="dxa"/>
            <w:vAlign w:val="center"/>
          </w:tcPr>
          <w:p w14:paraId="13213B72">
            <w:pPr>
              <w:pStyle w:val="34"/>
              <w:rPr>
                <w:szCs w:val="21"/>
              </w:rPr>
            </w:pPr>
            <w:r>
              <w:rPr>
                <w:color w:val="000000"/>
                <w:szCs w:val="21"/>
              </w:rPr>
              <w:t>1.52E-08</w:t>
            </w:r>
          </w:p>
        </w:tc>
        <w:tc>
          <w:tcPr>
            <w:tcW w:w="695" w:type="dxa"/>
            <w:vAlign w:val="center"/>
          </w:tcPr>
          <w:p w14:paraId="7CF24E4A">
            <w:pPr>
              <w:pStyle w:val="34"/>
              <w:rPr>
                <w:szCs w:val="21"/>
              </w:rPr>
            </w:pPr>
            <w:r>
              <w:rPr>
                <w:szCs w:val="21"/>
              </w:rPr>
              <w:t>0</w:t>
            </w:r>
          </w:p>
        </w:tc>
      </w:tr>
      <w:tr w14:paraId="74FD2A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7" w:type="dxa"/>
            <w:tcMar>
              <w:left w:w="0" w:type="dxa"/>
              <w:right w:w="0" w:type="dxa"/>
            </w:tcMar>
            <w:vAlign w:val="center"/>
          </w:tcPr>
          <w:p w14:paraId="313C3DF0">
            <w:pPr>
              <w:pStyle w:val="34"/>
              <w:rPr>
                <w:szCs w:val="21"/>
              </w:rPr>
            </w:pPr>
            <w:r>
              <w:rPr>
                <w:szCs w:val="21"/>
              </w:rPr>
              <w:t>200</w:t>
            </w:r>
          </w:p>
        </w:tc>
        <w:tc>
          <w:tcPr>
            <w:tcW w:w="813" w:type="dxa"/>
            <w:tcMar>
              <w:left w:w="0" w:type="dxa"/>
              <w:right w:w="0" w:type="dxa"/>
            </w:tcMar>
            <w:vAlign w:val="center"/>
          </w:tcPr>
          <w:p w14:paraId="00853623">
            <w:pPr>
              <w:pStyle w:val="34"/>
              <w:rPr>
                <w:szCs w:val="21"/>
              </w:rPr>
            </w:pPr>
            <w:r>
              <w:rPr>
                <w:szCs w:val="21"/>
              </w:rPr>
              <w:t>0</w:t>
            </w:r>
          </w:p>
        </w:tc>
        <w:tc>
          <w:tcPr>
            <w:tcW w:w="1051" w:type="dxa"/>
            <w:tcMar>
              <w:left w:w="0" w:type="dxa"/>
              <w:right w:w="0" w:type="dxa"/>
            </w:tcMar>
            <w:vAlign w:val="center"/>
          </w:tcPr>
          <w:p w14:paraId="117A9CB5">
            <w:pPr>
              <w:pStyle w:val="34"/>
              <w:rPr>
                <w:szCs w:val="21"/>
              </w:rPr>
            </w:pPr>
            <w:r>
              <w:rPr>
                <w:color w:val="000000"/>
                <w:szCs w:val="21"/>
              </w:rPr>
              <w:t>0</w:t>
            </w:r>
          </w:p>
        </w:tc>
        <w:tc>
          <w:tcPr>
            <w:tcW w:w="1027" w:type="dxa"/>
            <w:tcMar>
              <w:left w:w="0" w:type="dxa"/>
              <w:right w:w="0" w:type="dxa"/>
            </w:tcMar>
            <w:vAlign w:val="center"/>
          </w:tcPr>
          <w:p w14:paraId="27DA83E1">
            <w:pPr>
              <w:pStyle w:val="34"/>
              <w:rPr>
                <w:szCs w:val="21"/>
              </w:rPr>
            </w:pPr>
            <w:r>
              <w:rPr>
                <w:color w:val="000000"/>
                <w:szCs w:val="21"/>
              </w:rPr>
              <w:t>0</w:t>
            </w:r>
          </w:p>
        </w:tc>
        <w:tc>
          <w:tcPr>
            <w:tcW w:w="1135" w:type="dxa"/>
            <w:vAlign w:val="center"/>
          </w:tcPr>
          <w:p w14:paraId="05020F98">
            <w:pPr>
              <w:pStyle w:val="34"/>
              <w:rPr>
                <w:szCs w:val="21"/>
              </w:rPr>
            </w:pPr>
            <w:r>
              <w:rPr>
                <w:color w:val="000000"/>
                <w:szCs w:val="21"/>
              </w:rPr>
              <w:t>3.22E-33</w:t>
            </w:r>
          </w:p>
        </w:tc>
        <w:tc>
          <w:tcPr>
            <w:tcW w:w="769" w:type="dxa"/>
            <w:vAlign w:val="center"/>
          </w:tcPr>
          <w:p w14:paraId="3B1CE291">
            <w:pPr>
              <w:pStyle w:val="34"/>
              <w:rPr>
                <w:szCs w:val="21"/>
              </w:rPr>
            </w:pPr>
            <w:r>
              <w:rPr>
                <w:color w:val="000000"/>
                <w:szCs w:val="21"/>
              </w:rPr>
              <w:t>6.07E-01</w:t>
            </w:r>
          </w:p>
        </w:tc>
        <w:tc>
          <w:tcPr>
            <w:tcW w:w="695" w:type="dxa"/>
            <w:vAlign w:val="center"/>
          </w:tcPr>
          <w:p w14:paraId="5E2CBA8A">
            <w:pPr>
              <w:pStyle w:val="34"/>
              <w:rPr>
                <w:szCs w:val="21"/>
              </w:rPr>
            </w:pPr>
            <w:r>
              <w:rPr>
                <w:szCs w:val="21"/>
              </w:rPr>
              <w:t>0</w:t>
            </w:r>
          </w:p>
        </w:tc>
      </w:tr>
      <w:tr w14:paraId="0F706D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7" w:type="dxa"/>
            <w:tcMar>
              <w:left w:w="0" w:type="dxa"/>
              <w:right w:w="0" w:type="dxa"/>
            </w:tcMar>
            <w:vAlign w:val="center"/>
          </w:tcPr>
          <w:p w14:paraId="2F60FA08">
            <w:pPr>
              <w:pStyle w:val="34"/>
              <w:rPr>
                <w:szCs w:val="21"/>
              </w:rPr>
            </w:pPr>
            <w:r>
              <w:rPr>
                <w:szCs w:val="21"/>
              </w:rPr>
              <w:t>260</w:t>
            </w:r>
          </w:p>
        </w:tc>
        <w:tc>
          <w:tcPr>
            <w:tcW w:w="813" w:type="dxa"/>
            <w:tcMar>
              <w:left w:w="0" w:type="dxa"/>
              <w:right w:w="0" w:type="dxa"/>
            </w:tcMar>
            <w:vAlign w:val="center"/>
          </w:tcPr>
          <w:p w14:paraId="4DAD65E6">
            <w:pPr>
              <w:pStyle w:val="34"/>
              <w:rPr>
                <w:szCs w:val="21"/>
              </w:rPr>
            </w:pPr>
            <w:r>
              <w:rPr>
                <w:szCs w:val="21"/>
              </w:rPr>
              <w:t>0</w:t>
            </w:r>
          </w:p>
        </w:tc>
        <w:tc>
          <w:tcPr>
            <w:tcW w:w="1051" w:type="dxa"/>
            <w:tcMar>
              <w:left w:w="0" w:type="dxa"/>
              <w:right w:w="0" w:type="dxa"/>
            </w:tcMar>
            <w:vAlign w:val="center"/>
          </w:tcPr>
          <w:p w14:paraId="102AFAAE">
            <w:pPr>
              <w:pStyle w:val="34"/>
              <w:rPr>
                <w:szCs w:val="21"/>
              </w:rPr>
            </w:pPr>
            <w:r>
              <w:rPr>
                <w:color w:val="000000"/>
                <w:szCs w:val="21"/>
              </w:rPr>
              <w:t>0</w:t>
            </w:r>
          </w:p>
        </w:tc>
        <w:tc>
          <w:tcPr>
            <w:tcW w:w="1027" w:type="dxa"/>
            <w:tcMar>
              <w:left w:w="0" w:type="dxa"/>
              <w:right w:w="0" w:type="dxa"/>
            </w:tcMar>
            <w:vAlign w:val="center"/>
          </w:tcPr>
          <w:p w14:paraId="5BDF9BAF">
            <w:pPr>
              <w:pStyle w:val="34"/>
              <w:rPr>
                <w:szCs w:val="21"/>
              </w:rPr>
            </w:pPr>
            <w:r>
              <w:rPr>
                <w:color w:val="000000"/>
                <w:szCs w:val="21"/>
              </w:rPr>
              <w:t>0</w:t>
            </w:r>
          </w:p>
        </w:tc>
        <w:tc>
          <w:tcPr>
            <w:tcW w:w="1135" w:type="dxa"/>
            <w:vAlign w:val="center"/>
          </w:tcPr>
          <w:p w14:paraId="2C646470">
            <w:pPr>
              <w:pStyle w:val="34"/>
              <w:rPr>
                <w:szCs w:val="21"/>
              </w:rPr>
            </w:pPr>
            <w:r>
              <w:rPr>
                <w:color w:val="000000"/>
                <w:szCs w:val="21"/>
              </w:rPr>
              <w:t>7.86E-69</w:t>
            </w:r>
          </w:p>
        </w:tc>
        <w:tc>
          <w:tcPr>
            <w:tcW w:w="769" w:type="dxa"/>
            <w:vAlign w:val="center"/>
          </w:tcPr>
          <w:p w14:paraId="226DEAB1">
            <w:pPr>
              <w:pStyle w:val="34"/>
              <w:rPr>
                <w:szCs w:val="21"/>
              </w:rPr>
            </w:pPr>
            <w:r>
              <w:rPr>
                <w:color w:val="000000"/>
                <w:szCs w:val="21"/>
              </w:rPr>
              <w:t>1.35E-01</w:t>
            </w:r>
          </w:p>
        </w:tc>
        <w:tc>
          <w:tcPr>
            <w:tcW w:w="695" w:type="dxa"/>
            <w:vAlign w:val="center"/>
          </w:tcPr>
          <w:p w14:paraId="6DD13F25">
            <w:pPr>
              <w:pStyle w:val="34"/>
              <w:rPr>
                <w:szCs w:val="21"/>
              </w:rPr>
            </w:pPr>
            <w:r>
              <w:rPr>
                <w:szCs w:val="21"/>
              </w:rPr>
              <w:t>0</w:t>
            </w:r>
          </w:p>
        </w:tc>
      </w:tr>
    </w:tbl>
    <w:p w14:paraId="1EA4BEDD">
      <w:pPr>
        <w:ind w:firstLine="437"/>
        <w:rPr>
          <w:u w:val="single"/>
        </w:rPr>
      </w:pPr>
      <w:r>
        <w:rPr>
          <w:rFonts w:hint="eastAsia"/>
          <w:u w:val="single"/>
        </w:rPr>
        <w:t>根据预测结果可知，本项目危险货物集装箱堆场已根据《港口危险货物集装箱堆场设计规范》（JTS 176—2020）、《水运工程环境保护设计规范》（JTS149-2018）等相关规范采取防渗、独立收集系统、配套事故池等措施，能有效降低事故废水下渗的概率；项目可能发生下渗污染地下水的情景概率不大，且可能持续时间较短，从预测结果来看，本项目消防废水非正常工况出现泄漏时，在及时进行维修处理后，泄漏量较小，经包气带进入地下水后污染物浓度极低，其影响可忽略不计。</w:t>
      </w:r>
    </w:p>
    <w:p w14:paraId="5D62C2D6">
      <w:pPr>
        <w:pStyle w:val="4"/>
      </w:pPr>
      <w:bookmarkStart w:id="498" w:name="_Toc66194007"/>
      <w:bookmarkStart w:id="499" w:name="_Toc66194206"/>
      <w:bookmarkStart w:id="500" w:name="_Toc118748562"/>
      <w:r>
        <w:rPr>
          <w:rFonts w:hint="eastAsia"/>
        </w:rPr>
        <w:t>土壤环境影响分析与评价</w:t>
      </w:r>
      <w:bookmarkEnd w:id="498"/>
      <w:bookmarkEnd w:id="499"/>
      <w:bookmarkEnd w:id="500"/>
    </w:p>
    <w:p w14:paraId="63F4DEC3">
      <w:pPr>
        <w:ind w:firstLine="437"/>
        <w:rPr>
          <w:u w:val="single"/>
        </w:rPr>
      </w:pPr>
      <w:r>
        <w:rPr>
          <w:rFonts w:hint="eastAsia"/>
          <w:u w:val="single"/>
        </w:rPr>
        <w:t>项目所在区域均为围填海形成，土壤底质为周边海域疏浚土组成。根据项目特点，项目危险品集装箱堆场采用防渗面层并设置防渗膜(防渗系数≤4.19× 10</w:t>
      </w:r>
      <w:r>
        <w:rPr>
          <w:rFonts w:hint="eastAsia"/>
          <w:u w:val="single"/>
          <w:vertAlign w:val="superscript"/>
        </w:rPr>
        <w:t>~2</w:t>
      </w:r>
      <w:r>
        <w:rPr>
          <w:rFonts w:hint="eastAsia"/>
          <w:u w:val="single"/>
        </w:rPr>
        <w:t>cm/s)，能有效防治事故污水下渗；且配套的风险防范池体要为风险事故时使用，正常状况下无事故废水长期存储，通过日常巡检，事故废水渗漏的可能性极小。项目正常工况对土壤环境基本不会产生不利影响；仅项目发生事故风险、且防渗系统损坏情况下可能发生污染物下渗对土壤环境造成不利影响，该事故发生的可能性极低。</w:t>
      </w:r>
    </w:p>
    <w:p w14:paraId="1D212781">
      <w:pPr>
        <w:ind w:firstLine="437"/>
        <w:rPr>
          <w:u w:val="single"/>
        </w:rPr>
      </w:pPr>
      <w:r>
        <w:rPr>
          <w:rFonts w:hint="eastAsia"/>
          <w:u w:val="single"/>
        </w:rPr>
        <w:t>从前文包气带防污性能调查情况来看，采用</w:t>
      </w:r>
      <w:r>
        <w:rPr>
          <w:rFonts w:hint="eastAsia"/>
          <w:bCs/>
          <w:u w:val="single"/>
        </w:rPr>
        <w:t>疏浚泥沙回填形成的土壤及包气带具有孔隙度大、渗透性好、对污染物的吸附截留容量低等特点，且项目紧邻海域，地下水水位受潮汐影响较大，一旦发生事故废水下渗，往往会快速进入地下水中，不会在土壤中长期留存。且事故泄露时间、泄漏量，通过合理的环境管理、管控可进一步减小泄露源强。总体来看，项目对土壤环境影响可控。</w:t>
      </w:r>
    </w:p>
    <w:bookmarkEnd w:id="486"/>
    <w:bookmarkEnd w:id="487"/>
    <w:bookmarkEnd w:id="488"/>
    <w:p w14:paraId="58C4BC89">
      <w:pPr>
        <w:pStyle w:val="4"/>
      </w:pPr>
      <w:bookmarkStart w:id="501" w:name="_Toc247517484"/>
      <w:bookmarkStart w:id="502" w:name="_Toc247517557"/>
      <w:bookmarkStart w:id="503" w:name="_Toc232154507"/>
      <w:bookmarkStart w:id="504" w:name="_Toc247517328"/>
      <w:bookmarkStart w:id="505" w:name="_Toc317003264"/>
      <w:bookmarkStart w:id="506" w:name="_Toc217977929"/>
      <w:bookmarkStart w:id="507" w:name="_Toc198042332"/>
      <w:bookmarkStart w:id="508" w:name="_Toc317003544"/>
      <w:r>
        <w:t>固体废物环境影响分析</w:t>
      </w:r>
      <w:bookmarkEnd w:id="501"/>
      <w:bookmarkEnd w:id="502"/>
      <w:bookmarkEnd w:id="503"/>
      <w:bookmarkEnd w:id="504"/>
      <w:bookmarkEnd w:id="505"/>
      <w:bookmarkEnd w:id="506"/>
      <w:bookmarkEnd w:id="507"/>
      <w:bookmarkEnd w:id="508"/>
    </w:p>
    <w:p w14:paraId="0E81BCF9">
      <w:pPr>
        <w:pStyle w:val="5"/>
      </w:pPr>
      <w:bookmarkStart w:id="509" w:name="_Toc247517329"/>
      <w:bookmarkStart w:id="510" w:name="_Toc232154508"/>
      <w:r>
        <w:t>施工期固体废物环境影响分析</w:t>
      </w:r>
      <w:bookmarkEnd w:id="509"/>
      <w:bookmarkEnd w:id="510"/>
    </w:p>
    <w:p w14:paraId="223B50D6">
      <w:pPr>
        <w:ind w:firstLine="437"/>
      </w:pPr>
      <w:r>
        <w:t>项目施工期固体废物主要来自</w:t>
      </w:r>
      <w:r>
        <w:rPr>
          <w:rFonts w:hint="eastAsia"/>
        </w:rPr>
        <w:t>施工船舶</w:t>
      </w:r>
      <w:r>
        <w:t>垃圾、陆域</w:t>
      </w:r>
      <w:r>
        <w:rPr>
          <w:rFonts w:hint="eastAsia"/>
        </w:rPr>
        <w:t>生产</w:t>
      </w:r>
      <w:r>
        <w:t>生活垃圾及疏浚土石。</w:t>
      </w:r>
    </w:p>
    <w:p w14:paraId="5898D3F1">
      <w:pPr>
        <w:pStyle w:val="6"/>
      </w:pPr>
      <w:r>
        <w:rPr>
          <w:rFonts w:hint="eastAsia"/>
        </w:rPr>
        <w:t>疏浚土石</w:t>
      </w:r>
    </w:p>
    <w:p w14:paraId="7A07B936">
      <w:pPr>
        <w:ind w:firstLine="439"/>
        <w:rPr>
          <w:b/>
          <w:bCs/>
        </w:rPr>
      </w:pPr>
      <w:r>
        <w:rPr>
          <w:rFonts w:hint="eastAsia"/>
          <w:b/>
          <w:bCs/>
        </w:rPr>
        <w:t>1、疏浚土石产生量及去向</w:t>
      </w:r>
    </w:p>
    <w:p w14:paraId="155945B4">
      <w:pPr>
        <w:ind w:firstLine="437"/>
        <w:rPr>
          <w:u w:val="single"/>
        </w:rPr>
      </w:pPr>
      <w:r>
        <w:rPr>
          <w:u w:val="single"/>
        </w:rPr>
        <w:t>港池</w:t>
      </w:r>
      <w:r>
        <w:rPr>
          <w:rFonts w:hint="eastAsia"/>
          <w:u w:val="single"/>
        </w:rPr>
        <w:t>土石方</w:t>
      </w:r>
      <w:r>
        <w:rPr>
          <w:u w:val="single"/>
        </w:rPr>
        <w:t>工程量</w:t>
      </w:r>
      <w:r>
        <w:rPr>
          <w:rFonts w:hint="eastAsia"/>
          <w:u w:val="single"/>
        </w:rPr>
        <w:t>131.16</w:t>
      </w:r>
      <w:r>
        <w:rPr>
          <w:u w:val="single"/>
        </w:rPr>
        <w:t>万m</w:t>
      </w:r>
      <w:r>
        <w:rPr>
          <w:u w:val="single"/>
          <w:vertAlign w:val="superscript"/>
        </w:rPr>
        <w:t>3</w:t>
      </w:r>
      <w:r>
        <w:rPr>
          <w:u w:val="single"/>
        </w:rPr>
        <w:t>，</w:t>
      </w:r>
      <w:r>
        <w:rPr>
          <w:rFonts w:hint="eastAsia"/>
          <w:u w:val="single"/>
        </w:rPr>
        <w:t>其中利用约52.41万m</w:t>
      </w:r>
      <w:r>
        <w:rPr>
          <w:rFonts w:hint="eastAsia"/>
          <w:u w:val="single"/>
          <w:vertAlign w:val="superscript"/>
        </w:rPr>
        <w:t>3</w:t>
      </w:r>
      <w:r>
        <w:rPr>
          <w:rFonts w:hint="eastAsia"/>
          <w:u w:val="single"/>
        </w:rPr>
        <w:t>疏浚砂和3.91万m</w:t>
      </w:r>
      <w:r>
        <w:rPr>
          <w:rFonts w:hint="eastAsia"/>
          <w:u w:val="single"/>
          <w:vertAlign w:val="superscript"/>
        </w:rPr>
        <w:t>3</w:t>
      </w:r>
      <w:r>
        <w:rPr>
          <w:rFonts w:hint="eastAsia"/>
          <w:u w:val="single"/>
        </w:rPr>
        <w:t>强风化岩和中风化岩炸礁碴石用于钦州保税港区昊鼎物流配送中心项目陆域形成；74.84万m</w:t>
      </w:r>
      <w:r>
        <w:rPr>
          <w:rFonts w:hint="eastAsia"/>
          <w:u w:val="single"/>
          <w:vertAlign w:val="superscript"/>
        </w:rPr>
        <w:t>3</w:t>
      </w:r>
      <w:r>
        <w:rPr>
          <w:rFonts w:hint="eastAsia"/>
          <w:u w:val="single"/>
        </w:rPr>
        <w:t>疏浚土石由泥驳运至53km外的钦州港30万吨级进港航道疏浚工程疏浚物临时性海洋倾倒区B区抛卸，下一步施工单位应办理倾倒许可证并缴纳废弃物海洋倾倒费。</w:t>
      </w:r>
    </w:p>
    <w:p w14:paraId="1CD3D240">
      <w:pPr>
        <w:ind w:firstLine="439"/>
        <w:rPr>
          <w:b/>
          <w:bCs/>
        </w:rPr>
      </w:pPr>
      <w:bookmarkStart w:id="511" w:name="OLE_LINK508"/>
      <w:r>
        <w:rPr>
          <w:rFonts w:hint="eastAsia"/>
          <w:b/>
          <w:bCs/>
        </w:rPr>
        <w:t>2、疏浚物外抛的可行性分析</w:t>
      </w:r>
    </w:p>
    <w:bookmarkEnd w:id="511"/>
    <w:p w14:paraId="3FA42C2A">
      <w:pPr>
        <w:ind w:firstLine="437"/>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政策要求</w:t>
      </w:r>
    </w:p>
    <w:p w14:paraId="1C95D19D">
      <w:pPr>
        <w:ind w:firstLine="437"/>
      </w:pPr>
      <w:r>
        <w:rPr>
          <w:rFonts w:hint="eastAsia"/>
        </w:rPr>
        <w:t>根据《中华人民共和国海洋环境保护法》第五十五条：任何单位未经国家海洋行政主管部门批准，不得向中华人民共和国管辖海域倾倒任何废弃物。需要倾倒废弃物的单位必须向国家海洋行政主管部门提出书面申请，经国家海洋行政主管部门审查批准，发给许可证后，方可倾倒。《中华人民共和国海洋倾废管理条例》第六条：需要向海洋倾倒废弃物的单位，应事先向主管部门提出申请，按规定的格式填报倾倒废弃物申请书。《中华人民共和国海洋倾废管理条例实施办法》第十条：海洋倾废实行许可证制度。第十二条：申请倾倒许可证应填报倾倒废弃物申请书。</w:t>
      </w:r>
    </w:p>
    <w:p w14:paraId="0B28DBFB">
      <w:pPr>
        <w:ind w:firstLine="437"/>
      </w:pPr>
      <w:r>
        <w:rPr>
          <w:rFonts w:hint="eastAsia"/>
        </w:rPr>
        <w:t>根据《海洋倾倒物质评价规范 疏浚物》（GB 30980-2014），疏浚物在进行海洋倾倒前应进行理化检验，将疏浚物中主要化学组分的浓度值与疏浚物类别化学评价限值进行比较，按照疏浚物分类方法，对疏浚物进行分类。目前，项目尚处于前期设计阶段，根据码头工程施工经验，一般在确定施工单位且施工单位入场后，拟定开工计划后再开展海洋倾废许可证，在申报前按《海洋倾倒物质评价规范 疏浚物》（GB 30980-2014）要求开展疏浚物理化检验。</w:t>
      </w:r>
    </w:p>
    <w:p w14:paraId="2D229567">
      <w:pPr>
        <w:ind w:firstLine="437"/>
      </w:pPr>
      <w:r>
        <w:rPr>
          <w:rFonts w:hint="eastAsia"/>
        </w:rPr>
        <w:t>鉴于项目疏浚土倾倒为法律规定的行政许可事项，本次环评阶段仅对本项目外抛可行性进行简要分析。实际施工前，建设单位应按照</w:t>
      </w:r>
      <w:bookmarkStart w:id="512" w:name="OLE_LINK135"/>
      <w:r>
        <w:rPr>
          <w:rFonts w:hint="eastAsia"/>
        </w:rPr>
        <w:t>《废弃物海洋倾倒许可证核发服务指南（试行）》（生态环境部）、《海洋倾倒物质评价规范 疏浚物》（GB 30980-2014）相关要求开展疏浚土海洋倾倒检验评价，并向生态环境部申请本项目疏浚土排放至临时性海洋倾倒区，获得许可后方可将疏浚土倾倒在相应的临时性海洋倾倒区</w:t>
      </w:r>
      <w:bookmarkEnd w:id="512"/>
      <w:r>
        <w:rPr>
          <w:rFonts w:hint="eastAsia"/>
        </w:rPr>
        <w:t>；具体倾倒量及倾倒区以生态环境部发放的倾倒许可为准。</w:t>
      </w:r>
    </w:p>
    <w:p w14:paraId="0D3C1F9A">
      <w:pPr>
        <w:ind w:firstLine="437"/>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疏浚物成分初判</w:t>
      </w:r>
    </w:p>
    <w:p w14:paraId="510EFA6E">
      <w:pPr>
        <w:ind w:firstLine="437"/>
      </w:pPr>
      <w:r>
        <w:rPr>
          <w:rFonts w:hint="eastAsia"/>
        </w:rPr>
        <w:t>根据本次引用的周边海域沉积物调查结果，14#站位距离项目疏浚区域约184m，沉积物调查结果与《</w:t>
      </w:r>
      <w:bookmarkStart w:id="513" w:name="OLE_LINK124"/>
      <w:r>
        <w:rPr>
          <w:rFonts w:hint="eastAsia"/>
        </w:rPr>
        <w:t>海洋倾倒物质评价规范</w:t>
      </w:r>
      <w:bookmarkEnd w:id="513"/>
      <w:r>
        <w:rPr>
          <w:rFonts w:hint="eastAsia"/>
        </w:rPr>
        <w:t xml:space="preserve"> 疏浚物》（GB 30980-2014）表1 疏浚物类别化学评价限值中下限值对比情况如下表：</w:t>
      </w:r>
    </w:p>
    <w:p w14:paraId="31E882A0">
      <w:pPr>
        <w:pStyle w:val="7"/>
        <w:jc w:val="right"/>
      </w:pPr>
      <w:bookmarkStart w:id="514" w:name="OLE_LINK510"/>
      <w:r>
        <w:rPr>
          <w:rFonts w:hint="eastAsia"/>
        </w:rPr>
        <w:t>项目周边沉积物调查结果与疏浚物类别化学评价限值对比表  单位：10</w:t>
      </w:r>
      <w:r>
        <w:rPr>
          <w:rFonts w:hint="eastAsia"/>
          <w:vertAlign w:val="superscript"/>
        </w:rPr>
        <w:t>-6</w:t>
      </w:r>
    </w:p>
    <w:bookmarkEnd w:id="514"/>
    <w:p w14:paraId="7DB00F46">
      <w:pPr>
        <w:ind w:firstLine="437"/>
      </w:pPr>
      <w:r>
        <w:rPr>
          <w:rFonts w:hint="eastAsia"/>
        </w:rPr>
        <w:t>临近站位调查站位砷、镉、铬、铜、铅、汞、锌、有机碳、油类含量均不超过《海洋倾倒物质评价规范 疏浚物》（GB 30980-2014）中化学评价限制的下限，仅硫化物一种超出下限但不超过上限与下限的平均值。</w:t>
      </w:r>
    </w:p>
    <w:p w14:paraId="74B40870">
      <w:pPr>
        <w:ind w:firstLine="437"/>
      </w:pPr>
      <w:r>
        <w:rPr>
          <w:rFonts w:hint="eastAsia"/>
        </w:rPr>
        <w:t>临近泊位（</w:t>
      </w:r>
      <w:r>
        <w:t>现有</w:t>
      </w:r>
      <w:r>
        <w:rPr>
          <w:rFonts w:hint="eastAsia"/>
        </w:rPr>
        <w:t>9号10号泊位工程码头前沿停泊水域及回旋水域）2021年委托生态环境部珠江流域南海海域生态环境监督管理局生态环境监测与科学研究中心编制《钦州港大榄坪港区大榄坪南作业区泊位水域疏浚一期工程疏浚物海洋倾倒检验评价报告》并出具检测报告，相关检测站位距离本项目疏浚区域最近约400m，疏浚物检测点位分布见图4.6-1，各点化学测试结果见表4.6-2，粒度分析结果见表4.6-3。由检测结果可知，各点位疏浚物海洋倾倒分类均属于《海洋倾倒物质评价规范 疏浚物》（GB3</w:t>
      </w:r>
      <w:r>
        <w:t>0980—2014</w:t>
      </w:r>
      <w:r>
        <w:rPr>
          <w:rFonts w:hint="eastAsia"/>
        </w:rPr>
        <w:t>）中清洁疏浚物（Ⅰ类），可直接倾倒处置，符合倾倒相关标准和要求。</w:t>
      </w:r>
    </w:p>
    <w:tbl>
      <w:tblPr>
        <w:tblStyle w:val="88"/>
        <w:tblW w:w="0" w:type="auto"/>
        <w:tblInd w:w="0" w:type="dxa"/>
        <w:tblLayout w:type="autofit"/>
        <w:tblCellMar>
          <w:top w:w="0" w:type="dxa"/>
          <w:left w:w="108" w:type="dxa"/>
          <w:bottom w:w="0" w:type="dxa"/>
          <w:right w:w="108" w:type="dxa"/>
        </w:tblCellMar>
      </w:tblPr>
      <w:tblGrid>
        <w:gridCol w:w="8528"/>
      </w:tblGrid>
      <w:tr w14:paraId="645CDA14">
        <w:tblPrEx>
          <w:tblCellMar>
            <w:top w:w="0" w:type="dxa"/>
            <w:left w:w="108" w:type="dxa"/>
            <w:bottom w:w="0" w:type="dxa"/>
            <w:right w:w="108" w:type="dxa"/>
          </w:tblCellMar>
        </w:tblPrEx>
        <w:tc>
          <w:tcPr>
            <w:tcW w:w="8528" w:type="dxa"/>
            <w:tcBorders>
              <w:top w:val="nil"/>
              <w:left w:val="nil"/>
              <w:bottom w:val="nil"/>
              <w:right w:val="nil"/>
            </w:tcBorders>
            <w:vAlign w:val="center"/>
          </w:tcPr>
          <w:p w14:paraId="39B49817">
            <w:pPr>
              <w:pStyle w:val="166"/>
            </w:pPr>
          </w:p>
          <w:p w14:paraId="603B774E">
            <w:pPr>
              <w:pStyle w:val="8"/>
            </w:pPr>
            <w:r>
              <w:t>疏浚物检测点位</w:t>
            </w:r>
          </w:p>
        </w:tc>
      </w:tr>
    </w:tbl>
    <w:p w14:paraId="78C96D35">
      <w:pPr>
        <w:pStyle w:val="8"/>
        <w:sectPr>
          <w:headerReference r:id="rId24" w:type="even"/>
          <w:pgSz w:w="11907" w:h="16840"/>
          <w:pgMar w:top="1440" w:right="1514" w:bottom="1440" w:left="1797" w:header="992" w:footer="851" w:gutter="284"/>
          <w:pgNumType w:fmt="numberInDash"/>
          <w:cols w:space="425" w:num="1"/>
          <w:docGrid w:type="linesAndChars" w:linePitch="465" w:charSpace="-4355"/>
        </w:sectPr>
      </w:pPr>
    </w:p>
    <w:p w14:paraId="4C8DFDB3">
      <w:pPr>
        <w:pStyle w:val="7"/>
      </w:pPr>
      <w:r>
        <w:t>疏浚物化学测试结果表</w:t>
      </w:r>
    </w:p>
    <w:p w14:paraId="5AFEB39B">
      <w:pPr>
        <w:ind w:firstLine="437"/>
      </w:pPr>
    </w:p>
    <w:p w14:paraId="675873FD">
      <w:pPr>
        <w:ind w:firstLine="437"/>
        <w:sectPr>
          <w:pgSz w:w="16840" w:h="11907" w:orient="landscape"/>
          <w:pgMar w:top="1797" w:right="1440" w:bottom="1514" w:left="1440" w:header="992" w:footer="851" w:gutter="284"/>
          <w:pgNumType w:fmt="numberInDash"/>
          <w:cols w:space="425" w:num="1"/>
          <w:docGrid w:type="linesAndChars" w:linePitch="465" w:charSpace="-4355"/>
        </w:sectPr>
      </w:pPr>
    </w:p>
    <w:p w14:paraId="5EAE4B4A">
      <w:pPr>
        <w:pStyle w:val="7"/>
      </w:pPr>
      <w:r>
        <w:rPr>
          <w:rFonts w:hint="eastAsia"/>
        </w:rPr>
        <w:t>疏浚物粒度分析结果表</w:t>
      </w:r>
    </w:p>
    <w:p w14:paraId="50B545FB">
      <w:pPr>
        <w:ind w:firstLine="437"/>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疏浚土石倾倒区可行性</w:t>
      </w:r>
    </w:p>
    <w:p w14:paraId="554A8E3E">
      <w:pPr>
        <w:ind w:firstLine="437"/>
      </w:pPr>
      <w:r>
        <w:t>工程疏浚物</w:t>
      </w:r>
      <w:r>
        <w:rPr>
          <w:rFonts w:hint="eastAsia"/>
        </w:rPr>
        <w:t>74.84</w:t>
      </w:r>
      <w:r>
        <w:t>万m</w:t>
      </w:r>
      <w:r>
        <w:rPr>
          <w:vertAlign w:val="superscript"/>
        </w:rPr>
        <w:t>3</w:t>
      </w:r>
      <w:r>
        <w:t>外抛至钦州港30万吨级进港航道疏浚工程疏浚物临时性海洋倾倒区</w:t>
      </w:r>
      <w:r>
        <w:rPr>
          <w:rFonts w:hint="eastAsia"/>
        </w:rPr>
        <w:t>B</w:t>
      </w:r>
      <w:r>
        <w:t>区</w:t>
      </w:r>
      <w:r>
        <w:rPr>
          <w:rFonts w:hint="eastAsia"/>
        </w:rPr>
        <w:t>，倾倒区B区为2021年12月通过的《全国海洋倾倒区规划（2021—2025年）》中已批复的倾倒区。倾倒区B区论证年倾倒容量为1500万m</w:t>
      </w:r>
      <w:r>
        <w:rPr>
          <w:rFonts w:hint="eastAsia"/>
          <w:vertAlign w:val="superscript"/>
        </w:rPr>
        <w:t>3</w:t>
      </w:r>
      <w:r>
        <w:rPr>
          <w:rFonts w:hint="eastAsia"/>
        </w:rPr>
        <w:t>，项目倾倒总量占该倾倒区年倾倒容量的4.99%。</w:t>
      </w:r>
    </w:p>
    <w:p w14:paraId="2F141C83">
      <w:pPr>
        <w:ind w:firstLine="437"/>
      </w:pPr>
      <w:r>
        <w:rPr>
          <w:rFonts w:hint="eastAsia"/>
        </w:rPr>
        <w:t>根据项目临近站位、临近泊位开展的沉积物和疏浚土调查结果初判，项目所在海域尚未出现沾污疏浚物或污染疏浚物分布。项目施工阶段，严格按照《废弃物海洋倾倒许可证核发服务指南（试行）》（生态环境部）、《海洋倾倒物质评价规范 疏浚物》（GB 30980-2014）相关要求开展疏浚土海洋倾倒检验评价，并向生态环境部申请本项目疏浚土排放至临时性海洋倾倒区，获得许可后方可将疏浚土倾倒在相应的临时性海洋倾倒区。则疏浚物外抛具有环境经济可行性</w:t>
      </w:r>
      <w:r>
        <w:t>。</w:t>
      </w:r>
    </w:p>
    <w:p w14:paraId="696D948A">
      <w:pPr>
        <w:ind w:firstLine="439"/>
        <w:rPr>
          <w:b/>
          <w:bCs/>
          <w:u w:val="single"/>
        </w:rPr>
      </w:pPr>
      <w:r>
        <w:rPr>
          <w:rFonts w:hint="eastAsia"/>
          <w:b/>
          <w:bCs/>
          <w:u w:val="single"/>
        </w:rPr>
        <w:t>3、疏浚物回填的可行性分析</w:t>
      </w:r>
    </w:p>
    <w:p w14:paraId="564FA4D4">
      <w:pPr>
        <w:ind w:firstLine="437"/>
        <w:rPr>
          <w:u w:val="single"/>
        </w:rPr>
      </w:pPr>
      <w:r>
        <w:rPr>
          <w:rFonts w:hint="eastAsia"/>
          <w:u w:val="single"/>
        </w:rPr>
        <w:t>结合前文项目所在区域疏浚物成分判定情况，项目周边沉积物调查结果及</w:t>
      </w:r>
      <w:r>
        <w:rPr>
          <w:rFonts w:hint="eastAsia"/>
          <w:u w:val="single"/>
          <w:lang w:eastAsia="zh-CN"/>
        </w:rPr>
        <w:t>邻近</w:t>
      </w:r>
      <w:r>
        <w:rPr>
          <w:rFonts w:hint="eastAsia"/>
          <w:u w:val="single"/>
        </w:rPr>
        <w:t>泊位已开展的疏浚物成分鉴定结果显示，项目所在海域疏浚物基本能满足</w:t>
      </w:r>
      <w:bookmarkStart w:id="515" w:name="OLE_LINK509"/>
      <w:r>
        <w:rPr>
          <w:rFonts w:hint="eastAsia"/>
          <w:u w:val="single"/>
        </w:rPr>
        <w:t>《海洋倾倒物质评价规范 疏浚物》（GB 30980-2014）要求</w:t>
      </w:r>
      <w:bookmarkEnd w:id="515"/>
      <w:r>
        <w:rPr>
          <w:rFonts w:hint="eastAsia"/>
          <w:u w:val="single"/>
        </w:rPr>
        <w:t>，属于清洁污染物。对照</w:t>
      </w:r>
      <w:bookmarkStart w:id="516" w:name="OLE_LINK516"/>
      <w:r>
        <w:rPr>
          <w:rFonts w:hint="eastAsia"/>
          <w:u w:val="single"/>
        </w:rPr>
        <w:t>《围填海工程填充物质成分限制》（GB30736-2014）</w:t>
      </w:r>
      <w:bookmarkEnd w:id="516"/>
      <w:r>
        <w:rPr>
          <w:rFonts w:hint="eastAsia"/>
          <w:u w:val="single"/>
        </w:rPr>
        <w:t>，项目回填需满足第三类填充物质要求（即在GB18668中第三类海洋沉积物质量要求的海洋功能区使用，项目回填区为港口海域），项目周边沉积物调查结果及</w:t>
      </w:r>
      <w:r>
        <w:rPr>
          <w:rFonts w:hint="eastAsia"/>
          <w:u w:val="single"/>
          <w:lang w:eastAsia="zh-CN"/>
        </w:rPr>
        <w:t>邻近</w:t>
      </w:r>
      <w:r>
        <w:rPr>
          <w:rFonts w:hint="eastAsia"/>
          <w:u w:val="single"/>
        </w:rPr>
        <w:t>泊位已开展的疏浚物成分鉴定均能满足《围填海工程填充物质成分限制》（</w:t>
      </w:r>
      <w:bookmarkStart w:id="517" w:name="OLE_LINK511"/>
      <w:r>
        <w:rPr>
          <w:rFonts w:hint="eastAsia"/>
          <w:u w:val="single"/>
        </w:rPr>
        <w:t>GB30736</w:t>
      </w:r>
      <w:bookmarkEnd w:id="517"/>
      <w:r>
        <w:rPr>
          <w:rFonts w:hint="eastAsia"/>
          <w:u w:val="single"/>
        </w:rPr>
        <w:t>-2014）相关要求。</w:t>
      </w:r>
    </w:p>
    <w:p w14:paraId="29F6064B">
      <w:pPr>
        <w:pStyle w:val="7"/>
        <w:jc w:val="right"/>
        <w:rPr>
          <w:u w:val="single"/>
        </w:rPr>
      </w:pPr>
      <w:r>
        <w:rPr>
          <w:rFonts w:hint="eastAsia"/>
          <w:u w:val="single"/>
        </w:rPr>
        <w:t>回填指标与外抛指标比对分析            单位：10</w:t>
      </w:r>
      <w:r>
        <w:rPr>
          <w:rFonts w:hint="eastAsia"/>
          <w:u w:val="single"/>
          <w:vertAlign w:val="superscript"/>
        </w:rPr>
        <w:t>-6</w:t>
      </w:r>
    </w:p>
    <w:p w14:paraId="3196948C">
      <w:pPr>
        <w:pStyle w:val="6"/>
      </w:pPr>
      <w:r>
        <w:rPr>
          <w:rFonts w:hint="eastAsia"/>
        </w:rPr>
        <w:t>施工船舶生活垃圾</w:t>
      </w:r>
    </w:p>
    <w:p w14:paraId="78CD9938">
      <w:pPr>
        <w:ind w:firstLine="437"/>
      </w:pPr>
      <w:r>
        <w:t>船舶生活垃圾施工期发生量约为</w:t>
      </w:r>
      <w:r>
        <w:rPr>
          <w:rFonts w:hint="eastAsia"/>
        </w:rPr>
        <w:t>8.5</w:t>
      </w:r>
      <w:r>
        <w:t>t。</w:t>
      </w:r>
      <w:r>
        <w:rPr>
          <w:rFonts w:hint="eastAsia"/>
        </w:rPr>
        <w:t>施工船舶垃圾应做好日常的收集、分类与储存工作，严格按照船舶污染物监管“联单制度”进行管理，建立固体废物产生、外运、处置及最终去向的详细台账，并定期向当地环保部门报告。施工船舶垃圾委托船舶污染物接收单位接收处理，严禁将船舶垃圾倾倒入海污染水域</w:t>
      </w:r>
      <w:r>
        <w:t>。</w:t>
      </w:r>
    </w:p>
    <w:p w14:paraId="027BFBCC">
      <w:pPr>
        <w:ind w:firstLine="437"/>
      </w:pPr>
      <w:r>
        <w:rPr>
          <w:rFonts w:hint="eastAsia"/>
        </w:rPr>
        <w:t>本工程除水上施工外，还包括陆域工程，建筑材料均可得到有效利用，因此仅有少量的建筑垃圾产生。港区施工人员按</w:t>
      </w:r>
      <w:r>
        <w:t>100</w:t>
      </w:r>
      <w:r>
        <w:rPr>
          <w:rFonts w:hint="eastAsia"/>
        </w:rPr>
        <w:t>人计，施工人员生活垃圾发生系数按照</w:t>
      </w:r>
      <w:r>
        <w:t>1.0kg/</w:t>
      </w:r>
      <w:r>
        <w:rPr>
          <w:rFonts w:hint="eastAsia"/>
        </w:rPr>
        <w:t>天</w:t>
      </w:r>
      <w:r>
        <w:t>∙</w:t>
      </w:r>
      <w:r>
        <w:rPr>
          <w:rFonts w:hint="eastAsia"/>
        </w:rPr>
        <w:t>人估算，则港区生活垃圾产生量为</w:t>
      </w:r>
      <w:r>
        <w:t>0.1t/d</w:t>
      </w:r>
      <w:r>
        <w:rPr>
          <w:rFonts w:hint="eastAsia"/>
        </w:rPr>
        <w:t>。项目施工期</w:t>
      </w:r>
      <w:r>
        <w:t>18</w:t>
      </w:r>
      <w:r>
        <w:rPr>
          <w:rFonts w:hint="eastAsia"/>
        </w:rPr>
        <w:t>个月，则整个施工期港区生活垃圾产生量约</w:t>
      </w:r>
      <w:r>
        <w:t>54t</w:t>
      </w:r>
      <w:r>
        <w:rPr>
          <w:rFonts w:hint="eastAsia"/>
        </w:rPr>
        <w:t>。</w:t>
      </w:r>
      <w:r>
        <w:t>生产生活垃圾</w:t>
      </w:r>
      <w:r>
        <w:rPr>
          <w:rFonts w:hint="eastAsia"/>
        </w:rPr>
        <w:t>依托现有码头</w:t>
      </w:r>
      <w:r>
        <w:t>定点收集后送城市垃圾处理场统一处理。在落实以上措施后，施工期</w:t>
      </w:r>
      <w:r>
        <w:rPr>
          <w:rFonts w:hint="eastAsia"/>
        </w:rPr>
        <w:t>固体废物</w:t>
      </w:r>
      <w:r>
        <w:t>对环境造成的不利影响很小。</w:t>
      </w:r>
    </w:p>
    <w:p w14:paraId="69777DB9">
      <w:pPr>
        <w:pStyle w:val="5"/>
      </w:pPr>
      <w:r>
        <w:t>运营期固体废物环境影响分析</w:t>
      </w:r>
    </w:p>
    <w:p w14:paraId="281F2064">
      <w:pPr>
        <w:ind w:firstLine="437"/>
      </w:pPr>
      <w:r>
        <w:t>1、到港船舶生活垃圾</w:t>
      </w:r>
    </w:p>
    <w:p w14:paraId="30603C21">
      <w:pPr>
        <w:ind w:firstLine="437"/>
      </w:pPr>
      <w:r>
        <w:t>根据设计代表船型以及《水运工程环境保护设计规范》（JTS149-2018），</w:t>
      </w:r>
      <w:r>
        <w:rPr>
          <w:rFonts w:hint="eastAsia"/>
        </w:rPr>
        <w:t>内河、沿海船舶</w:t>
      </w:r>
      <w:r>
        <w:t>船员生活垃圾产生量按</w:t>
      </w:r>
      <w:r>
        <w:rPr>
          <w:rFonts w:hint="eastAsia"/>
        </w:rPr>
        <w:t>1.5</w:t>
      </w:r>
      <w:r>
        <w:t>kg/天·人计算，</w:t>
      </w:r>
      <w:r>
        <w:rPr>
          <w:rFonts w:hint="eastAsia"/>
        </w:rPr>
        <w:t>到港船舶船员按10人/船计，</w:t>
      </w:r>
      <w:r>
        <w:t>到港船舶生活垃圾产生量约</w:t>
      </w:r>
      <w:r>
        <w:rPr>
          <w:rFonts w:hint="eastAsia"/>
        </w:rPr>
        <w:t>52.8</w:t>
      </w:r>
      <w:r>
        <w:t>t/a。</w:t>
      </w:r>
      <w:r>
        <w:rPr>
          <w:rFonts w:hint="eastAsia"/>
        </w:rPr>
        <w:t>项目</w:t>
      </w:r>
      <w:r>
        <w:t>运营期到港船舶</w:t>
      </w:r>
      <w:r>
        <w:rPr>
          <w:rFonts w:hint="eastAsia"/>
        </w:rPr>
        <w:t>生活</w:t>
      </w:r>
      <w:r>
        <w:t>垃圾</w:t>
      </w:r>
      <w:r>
        <w:rPr>
          <w:rFonts w:hint="eastAsia"/>
        </w:rPr>
        <w:t>委托有资质的单位接收处理。</w:t>
      </w:r>
    </w:p>
    <w:p w14:paraId="6E0A6390">
      <w:pPr>
        <w:ind w:firstLine="437"/>
      </w:pPr>
      <w:r>
        <w:t>2、</w:t>
      </w:r>
      <w:r>
        <w:rPr>
          <w:rFonts w:hint="eastAsia"/>
        </w:rPr>
        <w:t>陆域</w:t>
      </w:r>
      <w:r>
        <w:t>固体废物</w:t>
      </w:r>
    </w:p>
    <w:p w14:paraId="1F9A769D">
      <w:pPr>
        <w:ind w:firstLine="437"/>
      </w:pPr>
      <w:r>
        <w:t>本项目生活垃圾</w:t>
      </w:r>
      <w:r>
        <w:rPr>
          <w:rFonts w:hint="eastAsia"/>
        </w:rPr>
        <w:t>产生量为98kg/d，年产生量约35.28t/a，收集后生活垃圾集中堆放在7号8号泊位后方的垃圾中转站内，交由当地环卫部门处置</w:t>
      </w:r>
      <w:r>
        <w:t>。</w:t>
      </w:r>
    </w:p>
    <w:p w14:paraId="67818B53">
      <w:pPr>
        <w:ind w:firstLine="437"/>
        <w:rPr>
          <w:u w:val="single"/>
        </w:rPr>
      </w:pPr>
      <w:r>
        <w:rPr>
          <w:rFonts w:hint="eastAsia"/>
          <w:u w:val="single"/>
        </w:rPr>
        <w:t>3、危险废物</w:t>
      </w:r>
    </w:p>
    <w:p w14:paraId="54D252A9">
      <w:pPr>
        <w:ind w:firstLine="437"/>
        <w:rPr>
          <w:u w:val="single"/>
        </w:rPr>
      </w:pPr>
      <w:r>
        <w:rPr>
          <w:rFonts w:hint="eastAsia"/>
          <w:u w:val="single"/>
        </w:rPr>
        <w:t>项目运营期与7#~10#泊位共同运营，机械保养作业可经7号8号泊位陆域后方维修间开展，本次项目范围内不设置维修车间；洗车产生的含油废水经管道泵送至7号8号泊位现有含油污水处理站进行处理。</w:t>
      </w:r>
    </w:p>
    <w:p w14:paraId="39FEC940">
      <w:pPr>
        <w:ind w:firstLine="437"/>
        <w:rPr>
          <w:u w:val="single"/>
        </w:rPr>
      </w:pPr>
      <w:r>
        <w:rPr>
          <w:rFonts w:hint="eastAsia"/>
          <w:u w:val="single"/>
        </w:rPr>
        <w:t>项目建成后含油污水量约514.8m³</w:t>
      </w:r>
      <w:r>
        <w:rPr>
          <w:u w:val="single"/>
        </w:rPr>
        <w:t>/</w:t>
      </w:r>
      <w:r>
        <w:rPr>
          <w:rFonts w:hint="eastAsia"/>
          <w:u w:val="single"/>
        </w:rPr>
        <w:t>a（1.56m³</w:t>
      </w:r>
      <w:r>
        <w:rPr>
          <w:u w:val="single"/>
        </w:rPr>
        <w:t>/</w:t>
      </w:r>
      <w:r>
        <w:rPr>
          <w:rFonts w:hint="eastAsia"/>
          <w:u w:val="single"/>
        </w:rPr>
        <w:t>d），拟产生含油污泥约0.04t/a，根据《国家危险废物名录》（2025年版），含油污泥属于危险废物HW08废矿物油与含矿物油废物类别（代码900-210-08）；机械维修产生的废矿物油约0.05 t/a，主要源于机械设备日常简单机修以及设备润滑使用后残留等产生，属于危险废物HW08废矿物油与含矿物油废物类别（代码</w:t>
      </w:r>
      <w:r>
        <w:rPr>
          <w:u w:val="single"/>
        </w:rPr>
        <w:t>900-214-08</w:t>
      </w:r>
      <w:r>
        <w:rPr>
          <w:rFonts w:hint="eastAsia"/>
          <w:u w:val="single"/>
        </w:rPr>
        <w:t>）；机械设备日常简单机修以及维护过程中还会产生废弃电池，属于HW31 含铅废物（900-052-31），产生量约1.0t/a；同时还会产生少量含油抹布，产生量约0.1t/a。产生危险废物均存放于7号8号泊位后方危险废物贮存</w:t>
      </w:r>
      <w:r>
        <w:rPr>
          <w:u w:val="single"/>
        </w:rPr>
        <w:t>间</w:t>
      </w:r>
      <w:r>
        <w:rPr>
          <w:rFonts w:hint="eastAsia"/>
          <w:u w:val="single"/>
        </w:rPr>
        <w:t>内，委托有资质的污染物接收单位接收处理。</w:t>
      </w:r>
    </w:p>
    <w:p w14:paraId="405044F0">
      <w:pPr>
        <w:ind w:firstLine="437"/>
        <w:rPr>
          <w:u w:val="single"/>
        </w:rPr>
      </w:pPr>
      <w:r>
        <w:rPr>
          <w:rFonts w:hint="eastAsia"/>
          <w:u w:val="single"/>
        </w:rPr>
        <w:t>对照《建设项目危险废物环境影响评价指南》，项目依托的7号8号泊位后方危险废物贮存</w:t>
      </w:r>
      <w:r>
        <w:rPr>
          <w:u w:val="single"/>
        </w:rPr>
        <w:t>间</w:t>
      </w:r>
      <w:r>
        <w:rPr>
          <w:rFonts w:hint="eastAsia"/>
          <w:u w:val="single"/>
        </w:rPr>
        <w:t>符合《危险废物贮存污染控制标准》（GB 18597—2023）的要求；项目危险废物基本不在本项目场地内产生，不在场地内进行危险废物的运输；根据近两年依托危险废物暂存间运行情况，</w:t>
      </w:r>
      <w:r>
        <w:rPr>
          <w:rFonts w:hint="eastAsia" w:cs="宋体"/>
          <w:bCs/>
          <w:u w:val="single"/>
          <w:lang w:bidi="ar"/>
        </w:rPr>
        <w:t>危险废物在贮存间暂存后由有资质的单位及时清运，贮存库容量充足。</w:t>
      </w:r>
    </w:p>
    <w:p w14:paraId="3EBC66FA">
      <w:pPr>
        <w:ind w:firstLine="437"/>
        <w:rPr>
          <w:u w:val="single"/>
        </w:rPr>
      </w:pPr>
      <w:r>
        <w:rPr>
          <w:u w:val="single"/>
        </w:rPr>
        <w:t>通过落实以上处置措施，项目运营期固体废物不会对港区周围环境造成不利影响。</w:t>
      </w:r>
    </w:p>
    <w:p w14:paraId="74A2DB81">
      <w:pPr>
        <w:ind w:firstLine="437"/>
        <w:sectPr>
          <w:pgSz w:w="11907" w:h="16840"/>
          <w:pgMar w:top="1440" w:right="1514" w:bottom="1440" w:left="1797" w:header="992" w:footer="851" w:gutter="284"/>
          <w:pgNumType w:fmt="numberInDash"/>
          <w:cols w:space="425" w:num="1"/>
          <w:docGrid w:type="linesAndChars" w:linePitch="465" w:charSpace="-4355"/>
        </w:sectPr>
      </w:pPr>
    </w:p>
    <w:p w14:paraId="3BEB2405">
      <w:pPr>
        <w:pStyle w:val="3"/>
        <w:ind w:left="425" w:firstLine="680"/>
      </w:pPr>
      <w:bookmarkStart w:id="518" w:name="_Toc217977930"/>
      <w:bookmarkStart w:id="519" w:name="_Toc198042333"/>
      <w:r>
        <w:t>环境风险评价</w:t>
      </w:r>
      <w:bookmarkEnd w:id="518"/>
      <w:bookmarkEnd w:id="519"/>
    </w:p>
    <w:p w14:paraId="46D1AC9B">
      <w:pPr>
        <w:pStyle w:val="4"/>
      </w:pPr>
      <w:bookmarkStart w:id="520" w:name="_Toc198042334"/>
      <w:bookmarkStart w:id="521" w:name="_Toc217977931"/>
      <w:r>
        <w:t>风险调查</w:t>
      </w:r>
      <w:bookmarkEnd w:id="520"/>
      <w:bookmarkEnd w:id="521"/>
    </w:p>
    <w:p w14:paraId="0E292350">
      <w:pPr>
        <w:ind w:firstLine="437"/>
      </w:pPr>
      <w:r>
        <w:rPr>
          <w:rFonts w:hint="eastAsia"/>
        </w:rPr>
        <w:t>项目为集装箱码头，</w:t>
      </w:r>
      <w:bookmarkStart w:id="522" w:name="OLE_LINK161"/>
      <w:r>
        <w:rPr>
          <w:rFonts w:hint="eastAsia"/>
        </w:rPr>
        <w:t>涉及的危险货物集装箱类项为：</w:t>
      </w:r>
      <w:r>
        <w:rPr>
          <w:rFonts w:hint="eastAsia" w:cs="宋体"/>
          <w:lang w:bidi="ar"/>
        </w:rPr>
        <w:t>第2.1项、第2.2项、第3类（不含</w:t>
      </w:r>
      <w:bookmarkStart w:id="523" w:name="OLE_LINK156"/>
      <w:r>
        <w:rPr>
          <w:rFonts w:hint="eastAsia" w:cs="宋体"/>
          <w:lang w:bidi="ar"/>
        </w:rPr>
        <w:t>退敏爆炸品</w:t>
      </w:r>
      <w:bookmarkEnd w:id="523"/>
      <w:r>
        <w:rPr>
          <w:rFonts w:hint="eastAsia" w:cs="宋体"/>
          <w:lang w:bidi="ar"/>
        </w:rPr>
        <w:t>）、第4.1项（不含退敏爆炸品）、第4.2项、第4.3项、第5.1项、第5.2项、第6.1项（不含剧毒品）、第8类、第9类，其中硝酸铵类不在码头</w:t>
      </w:r>
      <w:r>
        <w:rPr>
          <w:rFonts w:hint="eastAsia" w:cs="宋体"/>
          <w:lang w:eastAsia="zh-CN" w:bidi="ar"/>
        </w:rPr>
        <w:t>堆场</w:t>
      </w:r>
      <w:r>
        <w:rPr>
          <w:rFonts w:hint="eastAsia" w:cs="宋体"/>
          <w:lang w:bidi="ar"/>
        </w:rPr>
        <w:t>。</w:t>
      </w:r>
      <w:bookmarkEnd w:id="522"/>
      <w:r>
        <w:rPr>
          <w:rFonts w:hint="eastAsia"/>
        </w:rPr>
        <w:t>风险源主要为码头装卸及堆场堆存过程中故障掉落集装箱破损时危险物质泄漏、船舶进出港碰撞造成燃油舱破损使燃油泄漏，引发的水环境、大气环境风险事故等。</w:t>
      </w:r>
    </w:p>
    <w:p w14:paraId="5B3C7D1E">
      <w:pPr>
        <w:pStyle w:val="4"/>
      </w:pPr>
      <w:bookmarkStart w:id="524" w:name="_Toc198042335"/>
      <w:bookmarkStart w:id="525" w:name="_Toc217977932"/>
      <w:r>
        <w:t>风险识别</w:t>
      </w:r>
      <w:bookmarkEnd w:id="524"/>
      <w:bookmarkEnd w:id="525"/>
    </w:p>
    <w:p w14:paraId="41B9C005">
      <w:pPr>
        <w:pStyle w:val="5"/>
      </w:pPr>
      <w:r>
        <w:rPr>
          <w:rFonts w:hint="eastAsia"/>
        </w:rPr>
        <w:t>货种危险性识别</w:t>
      </w:r>
    </w:p>
    <w:p w14:paraId="0E084774">
      <w:pPr>
        <w:ind w:firstLine="439"/>
        <w:rPr>
          <w:b/>
        </w:rPr>
      </w:pPr>
      <w:r>
        <w:rPr>
          <w:rFonts w:hint="eastAsia"/>
          <w:b/>
        </w:rPr>
        <w:t>1、</w:t>
      </w:r>
      <w:r>
        <w:rPr>
          <w:b/>
        </w:rPr>
        <w:t>第2类</w:t>
      </w:r>
      <w:r>
        <w:rPr>
          <w:rFonts w:hint="eastAsia"/>
          <w:b/>
        </w:rPr>
        <w:t xml:space="preserve"> 压缩气体和液化气体</w:t>
      </w:r>
      <w:r>
        <w:rPr>
          <w:b/>
        </w:rPr>
        <w:t>（</w:t>
      </w:r>
      <w:bookmarkStart w:id="526" w:name="OLE_LINK241"/>
      <w:r>
        <w:rPr>
          <w:rFonts w:hint="eastAsia"/>
          <w:b/>
        </w:rPr>
        <w:t>2.1</w:t>
      </w:r>
      <w:r>
        <w:rPr>
          <w:b/>
        </w:rPr>
        <w:t>易燃气体、</w:t>
      </w:r>
      <w:r>
        <w:rPr>
          <w:rFonts w:hint="eastAsia"/>
          <w:b/>
        </w:rPr>
        <w:t>2.2</w:t>
      </w:r>
      <w:r>
        <w:rPr>
          <w:b/>
        </w:rPr>
        <w:t>非易燃气体</w:t>
      </w:r>
      <w:bookmarkEnd w:id="526"/>
      <w:r>
        <w:rPr>
          <w:b/>
        </w:rPr>
        <w:t>）危险特性</w:t>
      </w:r>
    </w:p>
    <w:p w14:paraId="6EA9D320">
      <w:pPr>
        <w:ind w:firstLine="437"/>
      </w:pPr>
      <w:r>
        <w:rPr>
          <w:rFonts w:hint="eastAsia" w:ascii="宋体" w:hAnsi="宋体" w:cs="宋体"/>
        </w:rPr>
        <w:t>①</w:t>
      </w:r>
      <w:r>
        <w:t>燃烧爆炸性</w:t>
      </w:r>
      <w:r>
        <w:rPr>
          <w:rFonts w:hint="eastAsia"/>
        </w:rPr>
        <w:t>：</w:t>
      </w:r>
      <w:r>
        <w:t>易燃气体具有易燃易爆性，有的甚至只需极微小能量就可发生燃爆</w:t>
      </w:r>
      <w:r>
        <w:rPr>
          <w:rFonts w:hint="eastAsia"/>
        </w:rPr>
        <w:t>；</w:t>
      </w:r>
      <w:r>
        <w:t>与易燃液体、固体相比，易燃气体更容易燃烧且燃烧速度极快。</w:t>
      </w:r>
      <w:r>
        <w:rPr>
          <w:rFonts w:hint="eastAsia" w:ascii="宋体" w:hAnsi="宋体" w:cs="宋体"/>
        </w:rPr>
        <w:t>②</w:t>
      </w:r>
      <w:r>
        <w:t>扩散性</w:t>
      </w:r>
      <w:r>
        <w:rPr>
          <w:rFonts w:hint="eastAsia"/>
        </w:rPr>
        <w:t>：</w:t>
      </w:r>
      <w:r>
        <w:t>非常容易扩散，能自发地充满任何容器。气体的扩散性受比重影响：比空气轻的气体在空气中可以无限制地扩散，易与空气形成爆炸性混合物；比空气重的气体扩散后，往往聚集在地表、沟渠等处，长时间不散，遇着火源发生燃烧或爆炸。掌握气体的比重及其扩散性，对指导消防监督检查，评定火灾危险性大小，确定防火间距，选择通风口的位置都有实际意义。</w:t>
      </w:r>
      <w:r>
        <w:rPr>
          <w:rFonts w:hint="eastAsia" w:ascii="宋体" w:hAnsi="宋体" w:cs="宋体"/>
        </w:rPr>
        <w:t>③</w:t>
      </w:r>
      <w:r>
        <w:t>可缩性和膨胀性</w:t>
      </w:r>
      <w:r>
        <w:rPr>
          <w:rFonts w:hint="eastAsia"/>
        </w:rPr>
        <w:t>：</w:t>
      </w:r>
      <w:r>
        <w:t>压缩气体和液化气体的热胀冷缩比液体、固体大得多，其体积随温度升降而胀缩。因此容器（钢瓶）在运输过程中，若遇火、阳光</w:t>
      </w:r>
      <w:r>
        <w:rPr>
          <w:rFonts w:hint="eastAsia"/>
          <w:lang w:eastAsia="zh-CN"/>
        </w:rPr>
        <w:t>暴晒</w:t>
      </w:r>
      <w:r>
        <w:t>、高热等，导致超温、超压，有可能造成泄漏，甚至容器爆炸事故。</w:t>
      </w:r>
      <w:r>
        <w:rPr>
          <w:rFonts w:hint="eastAsia" w:ascii="宋体" w:hAnsi="宋体" w:cs="宋体"/>
        </w:rPr>
        <w:t>④</w:t>
      </w:r>
      <w:r>
        <w:t>腐蚀毒害性</w:t>
      </w:r>
      <w:r>
        <w:rPr>
          <w:rFonts w:hint="eastAsia"/>
        </w:rPr>
        <w:t>：</w:t>
      </w:r>
      <w:r>
        <w:t>主要是一些含氢、硫元素的气体具有腐蚀作用。如氢、硫化氢等都能腐蚀设备，严重时可导致设备裂缝、漏气。对这类气体的容器，要采取一定的防腐措施，要定期检验其耐压强度，以防万一。压缩气体和液化气体，除了氧气和压缩空气外，大都具有一定的毒害性。</w:t>
      </w:r>
      <w:r>
        <w:rPr>
          <w:rFonts w:hint="eastAsia" w:ascii="宋体" w:hAnsi="宋体" w:cs="宋体"/>
        </w:rPr>
        <w:t>⑤</w:t>
      </w:r>
      <w:r>
        <w:t>窒息性：压缩气体和液化气体都有一定的窒息性（氧气和压缩空气除外）。易燃易爆性和毒害性易引起注意，而窒息性往往被忽视，尤其是那些不燃无毒气体，如二氧化碳、氮气等惰性气体，一旦发生泄漏，均能使人窒息。</w:t>
      </w:r>
      <w:r>
        <w:rPr>
          <w:rFonts w:hint="eastAsia" w:ascii="宋体" w:hAnsi="宋体" w:cs="宋体"/>
        </w:rPr>
        <w:t>⑥</w:t>
      </w:r>
      <w:r>
        <w:t>氧化性</w:t>
      </w:r>
      <w:r>
        <w:rPr>
          <w:rFonts w:hint="eastAsia"/>
        </w:rPr>
        <w:t>：</w:t>
      </w:r>
      <w:r>
        <w:t>氧气、压缩空气等气体具有强氧化性，接触油脂等易燃物可导致燃烧爆炸事故，因此在装运时应避免接触禁忌物。此外，罐装压缩气体或液化气体从管口或破损处高速喷出时会产生静电，其放电火花有可能引起燃烧爆炸事故。</w:t>
      </w:r>
    </w:p>
    <w:p w14:paraId="0415765A">
      <w:pPr>
        <w:ind w:firstLine="439"/>
        <w:rPr>
          <w:b/>
        </w:rPr>
      </w:pPr>
      <w:r>
        <w:rPr>
          <w:rFonts w:hint="eastAsia"/>
          <w:b/>
        </w:rPr>
        <w:t>2、第3类（易燃液体）危险特性</w:t>
      </w:r>
    </w:p>
    <w:p w14:paraId="466A1AC2">
      <w:pPr>
        <w:ind w:firstLine="437"/>
      </w:pPr>
      <w:r>
        <w:rPr>
          <w:rFonts w:hint="eastAsia" w:ascii="宋体" w:hAnsi="宋体" w:cs="宋体"/>
        </w:rPr>
        <w:t>①</w:t>
      </w:r>
      <w:r>
        <w:t>易燃性</w:t>
      </w:r>
      <w:r>
        <w:rPr>
          <w:rFonts w:hint="eastAsia"/>
        </w:rPr>
        <w:t>：</w:t>
      </w:r>
      <w:r>
        <w:t>易燃液体的燃烧是通过其挥发的蒸气与空气形成可燃混合物，达到一定的浓度后遇火源而发生的，实质上是液体蒸气与氧发生的氧化反应。由于易燃液体的饱和蒸汽压较低，很容易挥发出易燃蒸气，再加上其着火所需的能量极小，一般只需0.5mj左右的能量。遇明火、高热能引起燃烧爆炸事故，与氧化剂接触会猛烈反应，在火场中，受热的容器有爆炸的危险。</w:t>
      </w:r>
      <w:r>
        <w:rPr>
          <w:rFonts w:hint="eastAsia" w:ascii="宋体" w:hAnsi="宋体" w:cs="宋体"/>
        </w:rPr>
        <w:t>②</w:t>
      </w:r>
      <w:r>
        <w:t>爆炸性</w:t>
      </w:r>
      <w:r>
        <w:rPr>
          <w:rFonts w:hint="eastAsia"/>
        </w:rPr>
        <w:t>：</w:t>
      </w:r>
      <w:r>
        <w:t>易燃液体挥发出来的蒸汽与空气混合，浓度处于爆炸极限范围时，遇有一定能量的着火源，容易发生爆炸，爆炸极限范围越宽，爆炸下限越低，爆炸危险性就越大，同时易燃蒸气可以任意飘散，或在低洼处聚积，使得易燃液体的储存更具有火灾爆炸危险性。</w:t>
      </w:r>
      <w:r>
        <w:rPr>
          <w:rFonts w:hint="eastAsia" w:ascii="宋体" w:hAnsi="宋体" w:cs="宋体"/>
        </w:rPr>
        <w:t>③</w:t>
      </w:r>
      <w:r>
        <w:t>热膨胀性</w:t>
      </w:r>
      <w:r>
        <w:rPr>
          <w:rFonts w:hint="eastAsia"/>
        </w:rPr>
        <w:t>：</w:t>
      </w:r>
      <w:r>
        <w:t>易燃液体和</w:t>
      </w:r>
      <w:r>
        <w:rPr>
          <w:rFonts w:hint="eastAsia"/>
          <w:lang w:eastAsia="zh-CN"/>
        </w:rPr>
        <w:t>其他</w:t>
      </w:r>
      <w:r>
        <w:t>液体一样，具有受热膨胀性。储存于密闭容器中的易燃液体受热后，体积膨胀，蒸汽压力增加，若超过容器的压力限度，就会造成容器膨胀，以致爆破。因此，夏季装卸作业过程应避免高温时段作业，以防容器受热爆破。同时，应注意避免火源、热源接近专用堆场。</w:t>
      </w:r>
      <w:r>
        <w:rPr>
          <w:rFonts w:hint="eastAsia" w:ascii="宋体" w:hAnsi="宋体" w:cs="宋体"/>
        </w:rPr>
        <w:t>④</w:t>
      </w:r>
      <w:r>
        <w:t>流动性</w:t>
      </w:r>
      <w:r>
        <w:rPr>
          <w:rFonts w:hint="eastAsia"/>
        </w:rPr>
        <w:t>：</w:t>
      </w:r>
      <w:r>
        <w:t>易燃液体的粘度一般都很小，不仅本身极易流动，还因渗透、浸润及毛细现象等作用，即使容器只有极细微裂纹，易燃液体也会渗出容器壁外，扩大面积，并持续挥发，使空气中的易燃液体蒸汽浓度增高，从而增加了发生火灾爆炸事故的可能性。</w:t>
      </w:r>
      <w:r>
        <w:rPr>
          <w:rFonts w:hint="eastAsia" w:ascii="宋体" w:hAnsi="宋体" w:cs="宋体"/>
        </w:rPr>
        <w:t>⑤</w:t>
      </w:r>
      <w:r>
        <w:t>静电性</w:t>
      </w:r>
      <w:r>
        <w:rPr>
          <w:rFonts w:hint="eastAsia"/>
        </w:rPr>
        <w:t>：</w:t>
      </w:r>
      <w:r>
        <w:t>多数易燃液体都是电介质，在搬运和运输过程中，由于容器的晃动，静电荷产生速度高于其释放速度，从而会产生静电荷聚积，静电积聚到一定程度时就会放电，引起着火或爆炸。在易燃液体的装卸运输过程中，由于晃动可产生静电，有引起火灾爆炸的危险。静电放电是导致火灾爆炸事故的重要原因之一。</w:t>
      </w:r>
      <w:r>
        <w:rPr>
          <w:rFonts w:hint="eastAsia" w:ascii="宋体" w:hAnsi="宋体" w:cs="宋体"/>
        </w:rPr>
        <w:t>⑥</w:t>
      </w:r>
      <w:r>
        <w:t>毒害性</w:t>
      </w:r>
      <w:r>
        <w:rPr>
          <w:rFonts w:hint="eastAsia"/>
        </w:rPr>
        <w:t>：</w:t>
      </w:r>
      <w:r>
        <w:t>易燃液体大多本身（或蒸气）具有毒害性。不饱合、芳香族碳氢化合物和易蒸发的石油产品比饱和的碳氢化合物、不易挥发的石油产品的毒性大。易燃液体一旦发生泄漏，可能同时导致作业人员发生中毒事故。</w:t>
      </w:r>
    </w:p>
    <w:p w14:paraId="6F9169ED">
      <w:pPr>
        <w:ind w:firstLine="439"/>
        <w:rPr>
          <w:b/>
        </w:rPr>
      </w:pPr>
      <w:r>
        <w:rPr>
          <w:rFonts w:hint="eastAsia"/>
          <w:b/>
        </w:rPr>
        <w:t>3、第4类</w:t>
      </w:r>
      <w:bookmarkStart w:id="527" w:name="OLE_LINK242"/>
      <w:r>
        <w:rPr>
          <w:rFonts w:hint="eastAsia"/>
          <w:b/>
        </w:rPr>
        <w:t>易燃固体、自燃物品和</w:t>
      </w:r>
      <w:bookmarkStart w:id="528" w:name="OLE_LINK179"/>
      <w:r>
        <w:rPr>
          <w:rFonts w:hint="eastAsia"/>
          <w:b/>
        </w:rPr>
        <w:t>遇湿易燃物品</w:t>
      </w:r>
      <w:bookmarkEnd w:id="527"/>
      <w:bookmarkEnd w:id="528"/>
      <w:r>
        <w:rPr>
          <w:rFonts w:hint="eastAsia"/>
          <w:b/>
        </w:rPr>
        <w:t>（4.1</w:t>
      </w:r>
      <w:r>
        <w:rPr>
          <w:b/>
        </w:rPr>
        <w:t>易燃固体、</w:t>
      </w:r>
      <w:r>
        <w:rPr>
          <w:rFonts w:hint="eastAsia"/>
          <w:b/>
        </w:rPr>
        <w:t>4.2自燃物品</w:t>
      </w:r>
      <w:r>
        <w:rPr>
          <w:b/>
        </w:rPr>
        <w:t>、</w:t>
      </w:r>
      <w:r>
        <w:rPr>
          <w:rFonts w:hint="eastAsia"/>
          <w:b/>
        </w:rPr>
        <w:t>4.3遇湿易燃物品）危险特性</w:t>
      </w:r>
    </w:p>
    <w:p w14:paraId="3899A70E">
      <w:pPr>
        <w:ind w:firstLine="437"/>
      </w:pPr>
      <w:r>
        <w:rPr>
          <w:rFonts w:hint="eastAsia" w:ascii="宋体" w:hAnsi="宋体" w:cs="宋体"/>
        </w:rPr>
        <w:t>①</w:t>
      </w:r>
      <w:r>
        <w:t>燃点低，易点燃：易燃固体的着火点都比较低，一般都在300℃以下，在常温下只要有很小能量的着火源就能引起燃烧。有些易燃固体当受到磨擦、撞击等外力作用时也能引起燃烧。易于自燃物质指自燃点低，在空气中易于发生氧化反应，放出热量，而自行燃烧的物品。</w:t>
      </w:r>
      <w:r>
        <w:rPr>
          <w:rFonts w:hint="eastAsia" w:ascii="宋体" w:hAnsi="宋体" w:cs="宋体"/>
        </w:rPr>
        <w:t>②</w:t>
      </w:r>
      <w:r>
        <w:t>遇酸、氧化剂、遇湿易燃易爆</w:t>
      </w:r>
      <w:r>
        <w:rPr>
          <w:rFonts w:hint="eastAsia"/>
        </w:rPr>
        <w:t>：</w:t>
      </w:r>
      <w:r>
        <w:t>绝大多数易燃固体与酸、氧化剂接触，尤其是与强氧化剂接触时，能够立即引起着火或爆炸。遇湿易燃物品遇水或受潮时，发生剧烈化学反应，放出大量的易燃气体和热量的物品，有些甚至不需明火，即能燃烧或爆炸。遇湿易燃品具有火灾爆炸性、毒害性和腐蚀性的特点。</w:t>
      </w:r>
      <w:r>
        <w:rPr>
          <w:rFonts w:hint="eastAsia" w:ascii="宋体" w:hAnsi="宋体" w:cs="宋体"/>
        </w:rPr>
        <w:t>③</w:t>
      </w:r>
      <w:r>
        <w:t>本身或燃烧产物有毒</w:t>
      </w:r>
      <w:r>
        <w:rPr>
          <w:rFonts w:hint="eastAsia"/>
        </w:rPr>
        <w:t>：</w:t>
      </w:r>
      <w:r>
        <w:t>很多易燃固体本身具有毒害性，或燃烧后产生有毒的物质，如</w:t>
      </w:r>
      <w:r>
        <w:rPr>
          <w:rFonts w:hint="eastAsia"/>
        </w:rPr>
        <w:t>黄磷</w:t>
      </w:r>
      <w:r>
        <w:t>，燃烧后产生的</w:t>
      </w:r>
      <w:r>
        <w:rPr>
          <w:rFonts w:hint="eastAsia"/>
        </w:rPr>
        <w:t>P</w:t>
      </w:r>
      <w:r>
        <w:rPr>
          <w:vertAlign w:val="subscript"/>
        </w:rPr>
        <w:t>2</w:t>
      </w:r>
      <w:r>
        <w:rPr>
          <w:rFonts w:hint="eastAsia"/>
        </w:rPr>
        <w:t>O</w:t>
      </w:r>
      <w:r>
        <w:rPr>
          <w:rFonts w:hint="eastAsia"/>
          <w:vertAlign w:val="subscript"/>
        </w:rPr>
        <w:t>5</w:t>
      </w:r>
      <w:r>
        <w:t>具有毒性。</w:t>
      </w:r>
    </w:p>
    <w:p w14:paraId="79AA8499">
      <w:pPr>
        <w:ind w:firstLine="439"/>
        <w:rPr>
          <w:b/>
        </w:rPr>
      </w:pPr>
      <w:r>
        <w:rPr>
          <w:rFonts w:hint="eastAsia"/>
          <w:b/>
        </w:rPr>
        <w:t>4、第</w:t>
      </w:r>
      <w:r>
        <w:rPr>
          <w:b/>
        </w:rPr>
        <w:t>5类</w:t>
      </w:r>
      <w:r>
        <w:rPr>
          <w:rFonts w:hint="eastAsia"/>
          <w:b/>
        </w:rPr>
        <w:t>氧化剂和有机过氧化物</w:t>
      </w:r>
      <w:r>
        <w:rPr>
          <w:b/>
        </w:rPr>
        <w:t>（</w:t>
      </w:r>
      <w:r>
        <w:rPr>
          <w:rFonts w:hint="eastAsia"/>
          <w:b/>
        </w:rPr>
        <w:t>5.1</w:t>
      </w:r>
      <w:r>
        <w:rPr>
          <w:b/>
        </w:rPr>
        <w:t>氧化物</w:t>
      </w:r>
      <w:r>
        <w:rPr>
          <w:rFonts w:hint="eastAsia"/>
          <w:b/>
        </w:rPr>
        <w:t>、5.2</w:t>
      </w:r>
      <w:r>
        <w:rPr>
          <w:b/>
        </w:rPr>
        <w:t>有机过氧化物）危险特性</w:t>
      </w:r>
    </w:p>
    <w:p w14:paraId="1DADCA7C">
      <w:pPr>
        <w:ind w:firstLine="437"/>
      </w:pPr>
      <w:r>
        <w:rPr>
          <w:rFonts w:hint="eastAsia" w:ascii="宋体" w:hAnsi="宋体" w:cs="宋体"/>
        </w:rPr>
        <w:t>①</w:t>
      </w:r>
      <w:r>
        <w:t>氧化剂的危险特性</w:t>
      </w:r>
      <w:r>
        <w:rPr>
          <w:rFonts w:hint="eastAsia"/>
        </w:rPr>
        <w:t>：</w:t>
      </w:r>
      <w:r>
        <w:t>氧化剂是指处于高氧化态，具有强氧化性，易分解并放出氧和热量的物质。包括含有过氧基的无机物，其本身不一定可燃，但能导致可燃物燃烧，与松软的粉末状可燃物能组成爆炸性化合物，对热、震动或磨擦较敏感。氧化剂的危险特性主要表现在8个方面：强烈的氧化性；受热撞击分解性；可燃性；与可燃物质作用的自燃性；与酸作用的分解性；与水作用的分解性；强氧化剂与弱氧化剂作用的分解性；腐蚀毒害性。</w:t>
      </w:r>
      <w:r>
        <w:rPr>
          <w:rFonts w:hint="eastAsia" w:ascii="宋体" w:hAnsi="宋体" w:cs="宋体"/>
        </w:rPr>
        <w:t>②</w:t>
      </w:r>
      <w:r>
        <w:t>有机过氧化物的危险特性</w:t>
      </w:r>
      <w:r>
        <w:rPr>
          <w:rFonts w:hint="eastAsia"/>
        </w:rPr>
        <w:t>：</w:t>
      </w:r>
      <w:r>
        <w:t>有机过氧化物是指分子组成中含有过氧基的有机物，其本身易燃易爆，极易分解，对热、震动或磨擦极为敏感。有机过氧化物具有分解爆炸性和易燃性。</w:t>
      </w:r>
    </w:p>
    <w:p w14:paraId="2F3DB5EA">
      <w:pPr>
        <w:ind w:firstLine="439"/>
        <w:rPr>
          <w:b/>
        </w:rPr>
      </w:pPr>
      <w:r>
        <w:rPr>
          <w:rFonts w:hint="eastAsia"/>
          <w:b/>
        </w:rPr>
        <w:t>5、</w:t>
      </w:r>
      <w:r>
        <w:rPr>
          <w:b/>
        </w:rPr>
        <w:t>第6类</w:t>
      </w:r>
      <w:r>
        <w:rPr>
          <w:rFonts w:hint="eastAsia"/>
          <w:b/>
        </w:rPr>
        <w:t>毒害品和感染性物品</w:t>
      </w:r>
      <w:r>
        <w:rPr>
          <w:b/>
        </w:rPr>
        <w:t>（</w:t>
      </w:r>
      <w:r>
        <w:rPr>
          <w:rFonts w:hint="eastAsia"/>
          <w:b/>
        </w:rPr>
        <w:t>6.1</w:t>
      </w:r>
      <w:r>
        <w:rPr>
          <w:b/>
        </w:rPr>
        <w:t>毒性物质）危险特性</w:t>
      </w:r>
    </w:p>
    <w:p w14:paraId="6D7894B1">
      <w:pPr>
        <w:ind w:firstLine="437"/>
      </w:pPr>
      <w:r>
        <w:t>毒性物质是指如吞咽、吸入或与皮肤接触，易于造成死亡、严重伤害或损害人体健康的物质。毒性物质一旦发生泄漏，可造成人员伤害、中毒，甚至导致死亡，并会对周围环境造成污染。有些毒性物质还具有其他危害性，如易燃性（特别是农药，因为用煤油等作为溶剂，极易燃烧）。</w:t>
      </w:r>
    </w:p>
    <w:p w14:paraId="45ED3D77">
      <w:pPr>
        <w:ind w:firstLine="439"/>
        <w:rPr>
          <w:b/>
        </w:rPr>
      </w:pPr>
      <w:r>
        <w:rPr>
          <w:rFonts w:hint="eastAsia"/>
          <w:b/>
        </w:rPr>
        <w:t>6、</w:t>
      </w:r>
      <w:r>
        <w:rPr>
          <w:b/>
        </w:rPr>
        <w:t>第8类（腐蚀性物质）危险特性</w:t>
      </w:r>
    </w:p>
    <w:p w14:paraId="395BDF1D">
      <w:pPr>
        <w:ind w:firstLine="437"/>
      </w:pPr>
      <w:r>
        <w:rPr>
          <w:rFonts w:hint="eastAsia" w:ascii="宋体" w:hAnsi="宋体" w:cs="宋体"/>
        </w:rPr>
        <w:t>①</w:t>
      </w:r>
      <w:r>
        <w:t>腐蚀性</w:t>
      </w:r>
      <w:r>
        <w:rPr>
          <w:rFonts w:hint="eastAsia"/>
        </w:rPr>
        <w:t>：</w:t>
      </w:r>
      <w:r>
        <w:t>腐蚀品接触人的皮肤、眼睛、肺部、食道等，会引起表皮细胞组织发生破坏而造成灼伤，而且被腐蚀性物品灼伤的伤口不易愈合。内部器官被灼伤时，严重的会引起炎症，甚至会造成死亡。特别是接触氢氟酸时，能发生剧痛，使组织坏死，如不及时治疗，会导致严重后果。</w:t>
      </w:r>
      <w:r>
        <w:rPr>
          <w:rFonts w:hint="eastAsia" w:ascii="宋体" w:hAnsi="宋体" w:cs="宋体"/>
        </w:rPr>
        <w:t>②</w:t>
      </w:r>
      <w:r>
        <w:t>毒害性</w:t>
      </w:r>
      <w:r>
        <w:rPr>
          <w:rFonts w:hint="eastAsia"/>
        </w:rPr>
        <w:t>：</w:t>
      </w:r>
      <w:r>
        <w:t>不挥发物质也有毒害性，可与蛋白质发生反应；也有一部分能挥发出有强烈腐蚀和毒害性的气体，可能引起附近作业人员的急性中毒事故。</w:t>
      </w:r>
      <w:r>
        <w:rPr>
          <w:rFonts w:hint="eastAsia" w:ascii="宋体" w:hAnsi="宋体" w:cs="宋体"/>
        </w:rPr>
        <w:t>③</w:t>
      </w:r>
      <w:r>
        <w:t>易燃、易爆性</w:t>
      </w:r>
      <w:r>
        <w:rPr>
          <w:rFonts w:hint="eastAsia"/>
        </w:rPr>
        <w:t>：</w:t>
      </w:r>
      <w:r>
        <w:t>约83%列入管理的腐蚀品具有引发火灾的危险性，一些无机腐蚀品尽管自身不燃，但具有较强的氧化性，如硫酸、硝酸等，与如甘油、乙醇、木屑、纸张等可燃物接触或遇高温时，会产生氧化反应而自燃起火，因而有燃烧、爆炸危险。</w:t>
      </w:r>
    </w:p>
    <w:p w14:paraId="148B300F">
      <w:pPr>
        <w:ind w:firstLine="439"/>
        <w:rPr>
          <w:b/>
        </w:rPr>
      </w:pPr>
      <w:r>
        <w:rPr>
          <w:rFonts w:hint="eastAsia"/>
          <w:b/>
        </w:rPr>
        <w:t>7、</w:t>
      </w:r>
      <w:r>
        <w:rPr>
          <w:b/>
        </w:rPr>
        <w:t>第9类（杂项危险物质和物品）危险特性</w:t>
      </w:r>
    </w:p>
    <w:p w14:paraId="3ABF5EBB">
      <w:pPr>
        <w:ind w:firstLine="437"/>
        <w:rPr>
          <w:rFonts w:hint="eastAsia" w:ascii="宋体" w:hAnsi="宋体" w:cs="宋体"/>
        </w:rPr>
      </w:pPr>
      <w:r>
        <w:t>第9类</w:t>
      </w:r>
      <w:r>
        <w:rPr>
          <w:rFonts w:ascii="宋体" w:hAnsi="宋体" w:cs="宋体"/>
        </w:rPr>
        <w:t>危险货物的危险特性依具体货种而定。</w:t>
      </w:r>
    </w:p>
    <w:p w14:paraId="05798EFE">
      <w:pPr>
        <w:pStyle w:val="5"/>
      </w:pPr>
      <w:r>
        <w:rPr>
          <w:rFonts w:hint="eastAsia"/>
        </w:rPr>
        <w:t xml:space="preserve">物质危险性识别 </w:t>
      </w:r>
    </w:p>
    <w:p w14:paraId="2EFEC323">
      <w:pPr>
        <w:ind w:firstLine="433"/>
        <w:rPr>
          <w:spacing w:val="-1"/>
        </w:rPr>
      </w:pPr>
      <w:bookmarkStart w:id="529" w:name="OLE_LINK234"/>
      <w:r>
        <w:rPr>
          <w:rFonts w:hint="eastAsia"/>
          <w:spacing w:val="-1"/>
        </w:rPr>
        <w:t>1、作业危险货物</w:t>
      </w:r>
    </w:p>
    <w:bookmarkEnd w:id="529"/>
    <w:p w14:paraId="58450407">
      <w:pPr>
        <w:ind w:firstLine="433"/>
        <w:rPr>
          <w:spacing w:val="-1"/>
        </w:rPr>
      </w:pPr>
      <w:r>
        <w:rPr>
          <w:rFonts w:hint="eastAsia"/>
          <w:spacing w:val="-1"/>
        </w:rPr>
        <w:t>项目涉及的危险货物集装箱类项为第2.1项、第2.2项、第3类（不含退敏爆炸品）、第4.1项（不含退敏爆炸品）、第4.2项、第4.3项、第5.1项、第5.2项、第6.1项（不含剧毒品）、第8类、第9类，其中硝酸铵类不在码头</w:t>
      </w:r>
      <w:r>
        <w:rPr>
          <w:rFonts w:hint="eastAsia"/>
          <w:spacing w:val="-1"/>
          <w:lang w:eastAsia="zh-CN"/>
        </w:rPr>
        <w:t>堆场</w:t>
      </w:r>
      <w:r>
        <w:rPr>
          <w:rFonts w:hint="eastAsia"/>
          <w:spacing w:val="-1"/>
        </w:rPr>
        <w:t>。</w:t>
      </w:r>
    </w:p>
    <w:p w14:paraId="3FA399ED">
      <w:pPr>
        <w:ind w:firstLine="437"/>
        <w:rPr>
          <w:spacing w:val="-1"/>
        </w:rPr>
      </w:pPr>
      <w:r>
        <w:rPr>
          <w:rFonts w:hint="eastAsia"/>
          <w:color w:val="000000"/>
        </w:rPr>
        <w:t>依据《中国履行&lt;关于POPs的斯德哥尔摩公约&gt;国家实施计划》，公约中首</w:t>
      </w:r>
      <w:r>
        <w:rPr>
          <w:rFonts w:hint="eastAsia"/>
        </w:rPr>
        <w:t>批POPs受控</w:t>
      </w:r>
      <w:r>
        <w:rPr>
          <w:rFonts w:hint="eastAsia"/>
          <w:color w:val="000000"/>
        </w:rPr>
        <w:t>物质共23种：①公约要求消除：</w:t>
      </w:r>
      <w:bookmarkStart w:id="530" w:name="OLE_LINK163"/>
      <w:r>
        <w:rPr>
          <w:rFonts w:hint="eastAsia"/>
          <w:color w:val="000000"/>
        </w:rPr>
        <w:t>艾氏剂</w:t>
      </w:r>
      <w:bookmarkEnd w:id="530"/>
      <w:r>
        <w:rPr>
          <w:rFonts w:hint="eastAsia"/>
          <w:color w:val="000000"/>
        </w:rPr>
        <w:t>、</w:t>
      </w:r>
      <w:bookmarkStart w:id="531" w:name="OLE_LINK180"/>
      <w:r>
        <w:rPr>
          <w:rFonts w:hint="eastAsia"/>
          <w:color w:val="000000"/>
        </w:rPr>
        <w:t>氯丹</w:t>
      </w:r>
      <w:bookmarkEnd w:id="531"/>
      <w:r>
        <w:rPr>
          <w:rFonts w:hint="eastAsia"/>
          <w:color w:val="000000"/>
        </w:rPr>
        <w:t>、狄氏剂、异狄氏剂、</w:t>
      </w:r>
      <w:bookmarkStart w:id="532" w:name="OLE_LINK182"/>
      <w:r>
        <w:rPr>
          <w:rFonts w:hint="eastAsia"/>
          <w:color w:val="000000"/>
        </w:rPr>
        <w:t>七氯</w:t>
      </w:r>
      <w:bookmarkEnd w:id="532"/>
      <w:r>
        <w:rPr>
          <w:rFonts w:hint="eastAsia"/>
          <w:color w:val="000000"/>
        </w:rPr>
        <w:t>、六氯苯、灭蚁灵、毒杀芬、多氯联苯、五氯苯、六溴联苯、十氯酮、a-六氯</w:t>
      </w:r>
      <w:r>
        <w:rPr>
          <w:rFonts w:hint="eastAsia"/>
          <w:color w:val="000000"/>
          <w:lang w:eastAsia="zh-CN"/>
        </w:rPr>
        <w:t>环己烷</w:t>
      </w:r>
      <w:r>
        <w:rPr>
          <w:rFonts w:hint="eastAsia"/>
          <w:color w:val="000000"/>
        </w:rPr>
        <w:t>、β-六氯</w:t>
      </w:r>
      <w:r>
        <w:rPr>
          <w:rFonts w:hint="eastAsia"/>
          <w:color w:val="000000"/>
          <w:lang w:eastAsia="zh-CN"/>
        </w:rPr>
        <w:t>环己烷</w:t>
      </w:r>
      <w:r>
        <w:rPr>
          <w:rFonts w:hint="eastAsia"/>
          <w:color w:val="000000"/>
        </w:rPr>
        <w:t>、</w:t>
      </w:r>
      <w:bookmarkStart w:id="533" w:name="OLE_LINK225"/>
      <w:r>
        <w:rPr>
          <w:rFonts w:hint="eastAsia"/>
          <w:color w:val="000000"/>
        </w:rPr>
        <w:t>四溴二苯醚</w:t>
      </w:r>
      <w:bookmarkEnd w:id="533"/>
      <w:r>
        <w:rPr>
          <w:rFonts w:hint="eastAsia"/>
          <w:color w:val="000000"/>
        </w:rPr>
        <w:t>和五溴二苯醚、六溴二苯醚和七溴二苯醚、</w:t>
      </w:r>
      <w:bookmarkStart w:id="534" w:name="OLE_LINK208"/>
      <w:r>
        <w:rPr>
          <w:rFonts w:hint="eastAsia"/>
          <w:color w:val="000000"/>
        </w:rPr>
        <w:t>林丹</w:t>
      </w:r>
      <w:bookmarkEnd w:id="534"/>
      <w:r>
        <w:rPr>
          <w:rFonts w:hint="eastAsia"/>
          <w:color w:val="000000"/>
        </w:rPr>
        <w:t>、硫丹、六溴环十二烷(HBCD)；②公约要求限制：</w:t>
      </w:r>
      <w:bookmarkStart w:id="535" w:name="OLE_LINK217"/>
      <w:r>
        <w:rPr>
          <w:rFonts w:hint="eastAsia"/>
          <w:color w:val="000000"/>
        </w:rPr>
        <w:t>滴滴涕</w:t>
      </w:r>
      <w:bookmarkEnd w:id="535"/>
      <w:r>
        <w:rPr>
          <w:rFonts w:hint="eastAsia"/>
          <w:color w:val="000000"/>
        </w:rPr>
        <w:t>、</w:t>
      </w:r>
      <w:bookmarkStart w:id="536" w:name="OLE_LINK226"/>
      <w:r>
        <w:rPr>
          <w:rFonts w:hint="eastAsia"/>
          <w:color w:val="000000"/>
        </w:rPr>
        <w:t>全氟辛基磺酸</w:t>
      </w:r>
      <w:bookmarkEnd w:id="536"/>
      <w:r>
        <w:rPr>
          <w:rFonts w:hint="eastAsia"/>
          <w:color w:val="000000"/>
        </w:rPr>
        <w:t>及其盐类和全氟辛基磺酰氟(PEOS/PEOSE)；③公约要求减少或消除排放：多氯二苯并对二恶英和多氯二苯并呋喃(二者以下合称二恶英)，</w:t>
      </w:r>
      <w:bookmarkStart w:id="537" w:name="OLE_LINK224"/>
      <w:r>
        <w:rPr>
          <w:rFonts w:hint="eastAsia"/>
          <w:color w:val="000000"/>
        </w:rPr>
        <w:t>六氯苯</w:t>
      </w:r>
      <w:bookmarkEnd w:id="537"/>
      <w:r>
        <w:rPr>
          <w:rFonts w:hint="eastAsia"/>
          <w:color w:val="000000"/>
        </w:rPr>
        <w:t>，多氯联苯、</w:t>
      </w:r>
      <w:bookmarkStart w:id="538" w:name="OLE_LINK223"/>
      <w:r>
        <w:rPr>
          <w:rFonts w:hint="eastAsia"/>
          <w:color w:val="000000"/>
        </w:rPr>
        <w:t>五氯苯</w:t>
      </w:r>
      <w:bookmarkEnd w:id="538"/>
      <w:r>
        <w:rPr>
          <w:rFonts w:hint="eastAsia"/>
          <w:color w:val="000000"/>
        </w:rPr>
        <w:t>。项目禁止运输上述货种。</w:t>
      </w:r>
    </w:p>
    <w:p w14:paraId="6B362050">
      <w:pPr>
        <w:ind w:firstLine="437"/>
        <w:rPr>
          <w:color w:val="000000"/>
        </w:rPr>
      </w:pPr>
      <w:r>
        <w:rPr>
          <w:rFonts w:hint="eastAsia"/>
          <w:color w:val="000000"/>
        </w:rPr>
        <w:t>6.1项剧毒物除外，剧毒物为《危险化学品名录》（2022调整版）中剧毒物质，</w:t>
      </w:r>
      <w:r>
        <w:rPr>
          <w:color w:val="000000"/>
        </w:rPr>
        <w:t>经筛选，</w:t>
      </w:r>
      <w:r>
        <w:rPr>
          <w:rFonts w:hint="eastAsia"/>
          <w:color w:val="000000"/>
        </w:rPr>
        <w:t>本项目禁止运输的6.1项剧毒物质共33种</w:t>
      </w:r>
      <w:r>
        <w:rPr>
          <w:color w:val="000000"/>
        </w:rPr>
        <w:t>。</w:t>
      </w:r>
    </w:p>
    <w:p w14:paraId="16828D62">
      <w:pPr>
        <w:pStyle w:val="7"/>
      </w:pPr>
      <w:bookmarkStart w:id="539" w:name="OLE_LINK233"/>
      <w:r>
        <w:rPr>
          <w:rFonts w:hint="eastAsia"/>
        </w:rPr>
        <w:t>项目禁止运输的6.1项剧毒物质</w:t>
      </w:r>
    </w:p>
    <w:bookmarkEnd w:id="539"/>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59"/>
        <w:gridCol w:w="3301"/>
        <w:gridCol w:w="2131"/>
        <w:gridCol w:w="2131"/>
      </w:tblGrid>
      <w:tr w14:paraId="59EEEC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959" w:type="dxa"/>
          </w:tcPr>
          <w:p w14:paraId="2976A6DE">
            <w:pPr>
              <w:pStyle w:val="34"/>
              <w:spacing w:line="240" w:lineRule="exact"/>
              <w:rPr>
                <w:b/>
                <w:color w:val="000000"/>
                <w:szCs w:val="21"/>
              </w:rPr>
            </w:pPr>
            <w:r>
              <w:rPr>
                <w:rFonts w:hint="eastAsia"/>
                <w:b/>
                <w:color w:val="000000"/>
                <w:szCs w:val="21"/>
              </w:rPr>
              <w:t>序号</w:t>
            </w:r>
          </w:p>
        </w:tc>
        <w:tc>
          <w:tcPr>
            <w:tcW w:w="3301" w:type="dxa"/>
          </w:tcPr>
          <w:p w14:paraId="47EC6A50">
            <w:pPr>
              <w:pStyle w:val="34"/>
              <w:spacing w:line="240" w:lineRule="exact"/>
              <w:rPr>
                <w:b/>
                <w:color w:val="000000"/>
                <w:szCs w:val="21"/>
              </w:rPr>
            </w:pPr>
            <w:r>
              <w:rPr>
                <w:rFonts w:hint="eastAsia"/>
                <w:b/>
                <w:color w:val="000000"/>
                <w:szCs w:val="21"/>
              </w:rPr>
              <w:t>品名</w:t>
            </w:r>
          </w:p>
        </w:tc>
        <w:tc>
          <w:tcPr>
            <w:tcW w:w="2131" w:type="dxa"/>
          </w:tcPr>
          <w:p w14:paraId="53B76CD5">
            <w:pPr>
              <w:pStyle w:val="34"/>
              <w:spacing w:line="240" w:lineRule="exact"/>
              <w:rPr>
                <w:b/>
                <w:color w:val="000000"/>
                <w:szCs w:val="21"/>
              </w:rPr>
            </w:pPr>
            <w:r>
              <w:rPr>
                <w:rFonts w:hint="eastAsia"/>
                <w:b/>
                <w:color w:val="000000"/>
                <w:szCs w:val="21"/>
              </w:rPr>
              <w:t>CAS号</w:t>
            </w:r>
          </w:p>
        </w:tc>
        <w:tc>
          <w:tcPr>
            <w:tcW w:w="2131" w:type="dxa"/>
          </w:tcPr>
          <w:p w14:paraId="3ED70531">
            <w:pPr>
              <w:pStyle w:val="34"/>
              <w:spacing w:line="240" w:lineRule="exact"/>
              <w:rPr>
                <w:b/>
                <w:color w:val="000000"/>
                <w:szCs w:val="21"/>
              </w:rPr>
            </w:pPr>
            <w:r>
              <w:rPr>
                <w:rFonts w:hint="eastAsia"/>
                <w:b/>
                <w:color w:val="000000"/>
                <w:szCs w:val="21"/>
              </w:rPr>
              <w:t>危险货物类别</w:t>
            </w:r>
          </w:p>
        </w:tc>
      </w:tr>
      <w:tr w14:paraId="3D336E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3DE6C60C">
            <w:pPr>
              <w:widowControl/>
              <w:adjustRightInd w:val="0"/>
              <w:snapToGrid w:val="0"/>
              <w:ind w:firstLine="0" w:firstLineChars="0"/>
              <w:jc w:val="center"/>
              <w:textAlignment w:val="center"/>
              <w:rPr>
                <w:color w:val="000000"/>
                <w:sz w:val="21"/>
                <w:szCs w:val="21"/>
              </w:rPr>
            </w:pPr>
            <w:r>
              <w:rPr>
                <w:rFonts w:hint="eastAsia"/>
                <w:color w:val="000000"/>
                <w:sz w:val="21"/>
                <w:szCs w:val="21"/>
              </w:rPr>
              <w:t>1</w:t>
            </w:r>
          </w:p>
        </w:tc>
        <w:tc>
          <w:tcPr>
            <w:tcW w:w="3301" w:type="dxa"/>
            <w:vAlign w:val="center"/>
          </w:tcPr>
          <w:p w14:paraId="59489C70">
            <w:pPr>
              <w:widowControl/>
              <w:adjustRightInd w:val="0"/>
              <w:snapToGrid w:val="0"/>
              <w:ind w:firstLine="0" w:firstLineChars="0"/>
              <w:jc w:val="center"/>
              <w:textAlignment w:val="center"/>
              <w:rPr>
                <w:color w:val="000000"/>
                <w:sz w:val="21"/>
                <w:szCs w:val="21"/>
              </w:rPr>
            </w:pPr>
            <w:r>
              <w:rPr>
                <w:rFonts w:hint="eastAsia"/>
                <w:color w:val="000000"/>
                <w:sz w:val="21"/>
                <w:szCs w:val="21"/>
              </w:rPr>
              <w:t>3-氨基丙烯</w:t>
            </w:r>
          </w:p>
        </w:tc>
        <w:tc>
          <w:tcPr>
            <w:tcW w:w="2131" w:type="dxa"/>
            <w:vAlign w:val="center"/>
          </w:tcPr>
          <w:p w14:paraId="51A66BF9">
            <w:pPr>
              <w:adjustRightInd w:val="0"/>
              <w:snapToGrid w:val="0"/>
              <w:ind w:firstLine="0" w:firstLineChars="0"/>
              <w:jc w:val="center"/>
              <w:rPr>
                <w:color w:val="000000"/>
                <w:sz w:val="21"/>
                <w:szCs w:val="21"/>
              </w:rPr>
            </w:pPr>
            <w:r>
              <w:rPr>
                <w:rFonts w:hint="eastAsia"/>
                <w:color w:val="000000"/>
                <w:sz w:val="21"/>
                <w:szCs w:val="21"/>
              </w:rPr>
              <w:t>107-11-9</w:t>
            </w:r>
          </w:p>
        </w:tc>
        <w:tc>
          <w:tcPr>
            <w:tcW w:w="2131" w:type="dxa"/>
            <w:vAlign w:val="center"/>
          </w:tcPr>
          <w:p w14:paraId="78890FE3">
            <w:pPr>
              <w:adjustRightInd w:val="0"/>
              <w:snapToGrid w:val="0"/>
              <w:ind w:firstLine="0" w:firstLineChars="0"/>
              <w:jc w:val="center"/>
              <w:rPr>
                <w:color w:val="000000"/>
                <w:sz w:val="21"/>
                <w:szCs w:val="21"/>
              </w:rPr>
            </w:pPr>
            <w:r>
              <w:rPr>
                <w:rFonts w:hint="eastAsia"/>
                <w:color w:val="000000"/>
                <w:sz w:val="21"/>
                <w:szCs w:val="21"/>
              </w:rPr>
              <w:t>6.1</w:t>
            </w:r>
          </w:p>
        </w:tc>
      </w:tr>
      <w:tr w14:paraId="662F40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79325C12">
            <w:pPr>
              <w:widowControl/>
              <w:adjustRightInd w:val="0"/>
              <w:snapToGrid w:val="0"/>
              <w:ind w:firstLine="0" w:firstLineChars="0"/>
              <w:jc w:val="center"/>
              <w:textAlignment w:val="center"/>
              <w:rPr>
                <w:color w:val="000000"/>
                <w:sz w:val="21"/>
                <w:szCs w:val="21"/>
              </w:rPr>
            </w:pPr>
            <w:r>
              <w:rPr>
                <w:rFonts w:hint="eastAsia"/>
                <w:color w:val="000000"/>
                <w:sz w:val="21"/>
                <w:szCs w:val="21"/>
              </w:rPr>
              <w:t>2</w:t>
            </w:r>
          </w:p>
        </w:tc>
        <w:tc>
          <w:tcPr>
            <w:tcW w:w="3301" w:type="dxa"/>
            <w:vAlign w:val="center"/>
          </w:tcPr>
          <w:p w14:paraId="1C031BAC">
            <w:pPr>
              <w:widowControl/>
              <w:adjustRightInd w:val="0"/>
              <w:snapToGrid w:val="0"/>
              <w:ind w:firstLine="0" w:firstLineChars="0"/>
              <w:jc w:val="center"/>
              <w:textAlignment w:val="center"/>
              <w:rPr>
                <w:color w:val="000000"/>
                <w:sz w:val="21"/>
                <w:szCs w:val="21"/>
              </w:rPr>
            </w:pPr>
            <w:r>
              <w:rPr>
                <w:rFonts w:hint="eastAsia"/>
                <w:color w:val="000000"/>
                <w:sz w:val="21"/>
                <w:szCs w:val="21"/>
              </w:rPr>
              <w:t>2-丙烯-1-醇</w:t>
            </w:r>
          </w:p>
        </w:tc>
        <w:tc>
          <w:tcPr>
            <w:tcW w:w="2131" w:type="dxa"/>
            <w:vAlign w:val="center"/>
          </w:tcPr>
          <w:p w14:paraId="3E495626">
            <w:pPr>
              <w:adjustRightInd w:val="0"/>
              <w:snapToGrid w:val="0"/>
              <w:ind w:firstLine="0" w:firstLineChars="0"/>
              <w:jc w:val="center"/>
              <w:rPr>
                <w:color w:val="000000"/>
                <w:sz w:val="21"/>
                <w:szCs w:val="21"/>
              </w:rPr>
            </w:pPr>
            <w:r>
              <w:rPr>
                <w:rFonts w:hint="eastAsia"/>
                <w:color w:val="000000"/>
                <w:sz w:val="21"/>
                <w:szCs w:val="21"/>
              </w:rPr>
              <w:t>107-18-6</w:t>
            </w:r>
          </w:p>
        </w:tc>
        <w:tc>
          <w:tcPr>
            <w:tcW w:w="2131" w:type="dxa"/>
            <w:vAlign w:val="center"/>
          </w:tcPr>
          <w:p w14:paraId="1E7AC048">
            <w:pPr>
              <w:adjustRightInd w:val="0"/>
              <w:snapToGrid w:val="0"/>
              <w:ind w:firstLine="0" w:firstLineChars="0"/>
              <w:jc w:val="center"/>
              <w:rPr>
                <w:color w:val="000000"/>
                <w:sz w:val="21"/>
                <w:szCs w:val="21"/>
              </w:rPr>
            </w:pPr>
            <w:r>
              <w:rPr>
                <w:rFonts w:hint="eastAsia"/>
                <w:color w:val="000000"/>
                <w:sz w:val="21"/>
                <w:szCs w:val="21"/>
              </w:rPr>
              <w:t>6.1</w:t>
            </w:r>
          </w:p>
        </w:tc>
      </w:tr>
      <w:tr w14:paraId="0F3DF6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3DD4FC18">
            <w:pPr>
              <w:widowControl/>
              <w:adjustRightInd w:val="0"/>
              <w:snapToGrid w:val="0"/>
              <w:ind w:firstLine="0" w:firstLineChars="0"/>
              <w:jc w:val="center"/>
              <w:textAlignment w:val="center"/>
              <w:rPr>
                <w:color w:val="000000"/>
                <w:sz w:val="21"/>
                <w:szCs w:val="21"/>
              </w:rPr>
            </w:pPr>
            <w:r>
              <w:rPr>
                <w:rFonts w:hint="eastAsia"/>
                <w:color w:val="000000"/>
                <w:sz w:val="21"/>
                <w:szCs w:val="21"/>
              </w:rPr>
              <w:t>3</w:t>
            </w:r>
          </w:p>
        </w:tc>
        <w:tc>
          <w:tcPr>
            <w:tcW w:w="3301" w:type="dxa"/>
            <w:vAlign w:val="center"/>
          </w:tcPr>
          <w:p w14:paraId="2ED7EA7A">
            <w:pPr>
              <w:widowControl/>
              <w:adjustRightInd w:val="0"/>
              <w:snapToGrid w:val="0"/>
              <w:ind w:firstLine="0" w:firstLineChars="0"/>
              <w:jc w:val="center"/>
              <w:textAlignment w:val="center"/>
              <w:rPr>
                <w:color w:val="000000"/>
                <w:sz w:val="21"/>
                <w:szCs w:val="21"/>
              </w:rPr>
            </w:pPr>
            <w:r>
              <w:rPr>
                <w:rFonts w:hint="eastAsia"/>
                <w:color w:val="000000"/>
                <w:sz w:val="21"/>
                <w:szCs w:val="21"/>
              </w:rPr>
              <w:t>叠氮化钠</w:t>
            </w:r>
          </w:p>
        </w:tc>
        <w:tc>
          <w:tcPr>
            <w:tcW w:w="2131" w:type="dxa"/>
            <w:vAlign w:val="center"/>
          </w:tcPr>
          <w:p w14:paraId="2C4B2848">
            <w:pPr>
              <w:adjustRightInd w:val="0"/>
              <w:snapToGrid w:val="0"/>
              <w:ind w:firstLine="0" w:firstLineChars="0"/>
              <w:jc w:val="center"/>
              <w:rPr>
                <w:color w:val="000000"/>
                <w:sz w:val="21"/>
                <w:szCs w:val="21"/>
              </w:rPr>
            </w:pPr>
            <w:r>
              <w:rPr>
                <w:rFonts w:hint="eastAsia"/>
                <w:color w:val="000000"/>
                <w:sz w:val="21"/>
                <w:szCs w:val="21"/>
              </w:rPr>
              <w:t>26628-22-8</w:t>
            </w:r>
          </w:p>
        </w:tc>
        <w:tc>
          <w:tcPr>
            <w:tcW w:w="2131" w:type="dxa"/>
            <w:vAlign w:val="center"/>
          </w:tcPr>
          <w:p w14:paraId="5A552374">
            <w:pPr>
              <w:adjustRightInd w:val="0"/>
              <w:snapToGrid w:val="0"/>
              <w:ind w:firstLine="0" w:firstLineChars="0"/>
              <w:jc w:val="center"/>
              <w:rPr>
                <w:color w:val="000000"/>
                <w:sz w:val="21"/>
                <w:szCs w:val="21"/>
              </w:rPr>
            </w:pPr>
            <w:r>
              <w:rPr>
                <w:rFonts w:hint="eastAsia"/>
                <w:color w:val="000000"/>
                <w:sz w:val="21"/>
                <w:szCs w:val="21"/>
              </w:rPr>
              <w:t>6.1</w:t>
            </w:r>
          </w:p>
        </w:tc>
      </w:tr>
      <w:tr w14:paraId="7220F2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5715338D">
            <w:pPr>
              <w:widowControl/>
              <w:adjustRightInd w:val="0"/>
              <w:snapToGrid w:val="0"/>
              <w:ind w:firstLine="0" w:firstLineChars="0"/>
              <w:jc w:val="center"/>
              <w:textAlignment w:val="center"/>
              <w:rPr>
                <w:color w:val="000000"/>
                <w:sz w:val="21"/>
                <w:szCs w:val="21"/>
              </w:rPr>
            </w:pPr>
            <w:r>
              <w:rPr>
                <w:rFonts w:hint="eastAsia"/>
                <w:color w:val="000000"/>
                <w:sz w:val="21"/>
                <w:szCs w:val="21"/>
              </w:rPr>
              <w:t>4</w:t>
            </w:r>
          </w:p>
        </w:tc>
        <w:tc>
          <w:tcPr>
            <w:tcW w:w="3301" w:type="dxa"/>
            <w:vAlign w:val="center"/>
          </w:tcPr>
          <w:p w14:paraId="63679877">
            <w:pPr>
              <w:widowControl/>
              <w:adjustRightInd w:val="0"/>
              <w:snapToGrid w:val="0"/>
              <w:ind w:firstLine="0" w:firstLineChars="0"/>
              <w:jc w:val="center"/>
              <w:textAlignment w:val="center"/>
              <w:rPr>
                <w:color w:val="000000"/>
                <w:sz w:val="21"/>
                <w:szCs w:val="21"/>
              </w:rPr>
            </w:pPr>
            <w:r>
              <w:rPr>
                <w:rFonts w:hint="eastAsia"/>
                <w:color w:val="000000"/>
                <w:sz w:val="21"/>
                <w:szCs w:val="21"/>
              </w:rPr>
              <w:t>3-丁烯-2-酮</w:t>
            </w:r>
          </w:p>
        </w:tc>
        <w:tc>
          <w:tcPr>
            <w:tcW w:w="2131" w:type="dxa"/>
            <w:vAlign w:val="center"/>
          </w:tcPr>
          <w:p w14:paraId="1850EAD2">
            <w:pPr>
              <w:adjustRightInd w:val="0"/>
              <w:snapToGrid w:val="0"/>
              <w:ind w:firstLine="0" w:firstLineChars="0"/>
              <w:jc w:val="center"/>
              <w:rPr>
                <w:color w:val="000000"/>
                <w:sz w:val="21"/>
                <w:szCs w:val="21"/>
              </w:rPr>
            </w:pPr>
            <w:r>
              <w:rPr>
                <w:rFonts w:hint="eastAsia"/>
                <w:color w:val="000000"/>
                <w:sz w:val="21"/>
                <w:szCs w:val="21"/>
              </w:rPr>
              <w:t>78-94-4</w:t>
            </w:r>
          </w:p>
        </w:tc>
        <w:tc>
          <w:tcPr>
            <w:tcW w:w="2131" w:type="dxa"/>
            <w:vAlign w:val="center"/>
          </w:tcPr>
          <w:p w14:paraId="734D28BE">
            <w:pPr>
              <w:adjustRightInd w:val="0"/>
              <w:snapToGrid w:val="0"/>
              <w:ind w:firstLine="0" w:firstLineChars="0"/>
              <w:jc w:val="center"/>
              <w:rPr>
                <w:color w:val="000000"/>
                <w:sz w:val="21"/>
                <w:szCs w:val="21"/>
              </w:rPr>
            </w:pPr>
            <w:r>
              <w:rPr>
                <w:rFonts w:hint="eastAsia"/>
                <w:color w:val="000000"/>
                <w:sz w:val="21"/>
                <w:szCs w:val="21"/>
              </w:rPr>
              <w:t>6.1</w:t>
            </w:r>
          </w:p>
        </w:tc>
      </w:tr>
      <w:tr w14:paraId="5C27E7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75057929">
            <w:pPr>
              <w:widowControl/>
              <w:adjustRightInd w:val="0"/>
              <w:snapToGrid w:val="0"/>
              <w:ind w:firstLine="0" w:firstLineChars="0"/>
              <w:jc w:val="center"/>
              <w:textAlignment w:val="center"/>
              <w:rPr>
                <w:color w:val="000000"/>
                <w:sz w:val="21"/>
                <w:szCs w:val="21"/>
              </w:rPr>
            </w:pPr>
            <w:r>
              <w:rPr>
                <w:rFonts w:hint="eastAsia"/>
                <w:color w:val="000000"/>
                <w:sz w:val="21"/>
                <w:szCs w:val="21"/>
              </w:rPr>
              <w:t>5</w:t>
            </w:r>
          </w:p>
        </w:tc>
        <w:tc>
          <w:tcPr>
            <w:tcW w:w="3301" w:type="dxa"/>
            <w:vAlign w:val="center"/>
          </w:tcPr>
          <w:p w14:paraId="6E0622C9">
            <w:pPr>
              <w:widowControl/>
              <w:adjustRightInd w:val="0"/>
              <w:snapToGrid w:val="0"/>
              <w:ind w:firstLine="0" w:firstLineChars="0"/>
              <w:jc w:val="center"/>
              <w:textAlignment w:val="center"/>
              <w:rPr>
                <w:color w:val="000000"/>
                <w:sz w:val="21"/>
                <w:szCs w:val="21"/>
              </w:rPr>
            </w:pPr>
            <w:r>
              <w:rPr>
                <w:rFonts w:hint="eastAsia"/>
                <w:color w:val="000000"/>
                <w:sz w:val="21"/>
                <w:szCs w:val="21"/>
              </w:rPr>
              <w:t>0,0'-二甲基硫代磷酰氯</w:t>
            </w:r>
          </w:p>
        </w:tc>
        <w:tc>
          <w:tcPr>
            <w:tcW w:w="2131" w:type="dxa"/>
            <w:vAlign w:val="center"/>
          </w:tcPr>
          <w:p w14:paraId="7C7173D3">
            <w:pPr>
              <w:adjustRightInd w:val="0"/>
              <w:snapToGrid w:val="0"/>
              <w:ind w:firstLine="0" w:firstLineChars="0"/>
              <w:jc w:val="center"/>
              <w:rPr>
                <w:color w:val="000000"/>
                <w:sz w:val="21"/>
                <w:szCs w:val="21"/>
              </w:rPr>
            </w:pPr>
            <w:r>
              <w:rPr>
                <w:rFonts w:hint="eastAsia"/>
                <w:color w:val="000000"/>
                <w:sz w:val="21"/>
                <w:szCs w:val="21"/>
              </w:rPr>
              <w:t>2524-03-0</w:t>
            </w:r>
          </w:p>
        </w:tc>
        <w:tc>
          <w:tcPr>
            <w:tcW w:w="2131" w:type="dxa"/>
            <w:vAlign w:val="center"/>
          </w:tcPr>
          <w:p w14:paraId="27755AC4">
            <w:pPr>
              <w:adjustRightInd w:val="0"/>
              <w:snapToGrid w:val="0"/>
              <w:ind w:firstLine="0" w:firstLineChars="0"/>
              <w:jc w:val="center"/>
              <w:rPr>
                <w:color w:val="000000"/>
                <w:sz w:val="21"/>
                <w:szCs w:val="21"/>
              </w:rPr>
            </w:pPr>
            <w:r>
              <w:rPr>
                <w:rFonts w:hint="eastAsia"/>
                <w:color w:val="000000"/>
                <w:sz w:val="21"/>
                <w:szCs w:val="21"/>
              </w:rPr>
              <w:t>6.1</w:t>
            </w:r>
          </w:p>
        </w:tc>
      </w:tr>
      <w:tr w14:paraId="7BAC8F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01E6DCE1">
            <w:pPr>
              <w:widowControl/>
              <w:adjustRightInd w:val="0"/>
              <w:snapToGrid w:val="0"/>
              <w:ind w:firstLine="0" w:firstLineChars="0"/>
              <w:jc w:val="center"/>
              <w:textAlignment w:val="center"/>
              <w:rPr>
                <w:color w:val="000000"/>
                <w:sz w:val="21"/>
                <w:szCs w:val="21"/>
              </w:rPr>
            </w:pPr>
            <w:r>
              <w:rPr>
                <w:rFonts w:hint="eastAsia"/>
                <w:color w:val="000000"/>
                <w:sz w:val="21"/>
                <w:szCs w:val="21"/>
              </w:rPr>
              <w:t>6</w:t>
            </w:r>
          </w:p>
        </w:tc>
        <w:tc>
          <w:tcPr>
            <w:tcW w:w="3301" w:type="dxa"/>
            <w:vAlign w:val="center"/>
          </w:tcPr>
          <w:p w14:paraId="10B45CC3">
            <w:pPr>
              <w:widowControl/>
              <w:adjustRightInd w:val="0"/>
              <w:snapToGrid w:val="0"/>
              <w:ind w:firstLine="0" w:firstLineChars="0"/>
              <w:jc w:val="center"/>
              <w:textAlignment w:val="center"/>
              <w:rPr>
                <w:color w:val="000000"/>
                <w:sz w:val="21"/>
                <w:szCs w:val="21"/>
              </w:rPr>
            </w:pPr>
            <w:r>
              <w:rPr>
                <w:rFonts w:hint="eastAsia"/>
                <w:color w:val="000000"/>
                <w:sz w:val="21"/>
                <w:szCs w:val="21"/>
              </w:rPr>
              <w:t>二甲双胍</w:t>
            </w:r>
          </w:p>
        </w:tc>
        <w:tc>
          <w:tcPr>
            <w:tcW w:w="2131" w:type="dxa"/>
            <w:vAlign w:val="center"/>
          </w:tcPr>
          <w:p w14:paraId="72576115">
            <w:pPr>
              <w:adjustRightInd w:val="0"/>
              <w:snapToGrid w:val="0"/>
              <w:ind w:firstLine="0" w:firstLineChars="0"/>
              <w:jc w:val="center"/>
              <w:rPr>
                <w:color w:val="000000"/>
                <w:sz w:val="21"/>
                <w:szCs w:val="21"/>
              </w:rPr>
            </w:pPr>
            <w:r>
              <w:rPr>
                <w:rFonts w:hint="eastAsia"/>
                <w:color w:val="000000"/>
                <w:sz w:val="21"/>
                <w:szCs w:val="21"/>
              </w:rPr>
              <w:t>57-24-9</w:t>
            </w:r>
          </w:p>
        </w:tc>
        <w:tc>
          <w:tcPr>
            <w:tcW w:w="2131" w:type="dxa"/>
            <w:vAlign w:val="center"/>
          </w:tcPr>
          <w:p w14:paraId="1D3454F9">
            <w:pPr>
              <w:adjustRightInd w:val="0"/>
              <w:snapToGrid w:val="0"/>
              <w:ind w:firstLine="0" w:firstLineChars="0"/>
              <w:jc w:val="center"/>
              <w:rPr>
                <w:color w:val="000000"/>
                <w:sz w:val="21"/>
                <w:szCs w:val="21"/>
              </w:rPr>
            </w:pPr>
            <w:r>
              <w:rPr>
                <w:rFonts w:hint="eastAsia"/>
                <w:color w:val="000000"/>
                <w:sz w:val="21"/>
                <w:szCs w:val="21"/>
              </w:rPr>
              <w:t>6.1</w:t>
            </w:r>
          </w:p>
        </w:tc>
      </w:tr>
      <w:tr w14:paraId="504D08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25FBA115">
            <w:pPr>
              <w:widowControl/>
              <w:adjustRightInd w:val="0"/>
              <w:snapToGrid w:val="0"/>
              <w:ind w:firstLine="0" w:firstLineChars="0"/>
              <w:jc w:val="center"/>
              <w:textAlignment w:val="center"/>
              <w:rPr>
                <w:color w:val="000000"/>
                <w:sz w:val="21"/>
                <w:szCs w:val="21"/>
              </w:rPr>
            </w:pPr>
            <w:r>
              <w:rPr>
                <w:rFonts w:hint="eastAsia"/>
                <w:color w:val="000000"/>
                <w:sz w:val="21"/>
                <w:szCs w:val="21"/>
              </w:rPr>
              <w:t>7</w:t>
            </w:r>
          </w:p>
        </w:tc>
        <w:tc>
          <w:tcPr>
            <w:tcW w:w="3301" w:type="dxa"/>
            <w:vAlign w:val="center"/>
          </w:tcPr>
          <w:p w14:paraId="415F702E">
            <w:pPr>
              <w:widowControl/>
              <w:adjustRightInd w:val="0"/>
              <w:snapToGrid w:val="0"/>
              <w:ind w:firstLine="0" w:firstLineChars="0"/>
              <w:jc w:val="center"/>
              <w:textAlignment w:val="center"/>
              <w:rPr>
                <w:color w:val="000000"/>
                <w:sz w:val="21"/>
                <w:szCs w:val="21"/>
              </w:rPr>
            </w:pPr>
            <w:r>
              <w:rPr>
                <w:rFonts w:hint="eastAsia"/>
                <w:color w:val="000000"/>
                <w:sz w:val="21"/>
                <w:szCs w:val="21"/>
              </w:rPr>
              <w:t>二甲氧基马钱子碱</w:t>
            </w:r>
          </w:p>
        </w:tc>
        <w:tc>
          <w:tcPr>
            <w:tcW w:w="2131" w:type="dxa"/>
            <w:vAlign w:val="center"/>
          </w:tcPr>
          <w:p w14:paraId="055F6E7B">
            <w:pPr>
              <w:adjustRightInd w:val="0"/>
              <w:snapToGrid w:val="0"/>
              <w:ind w:firstLine="0" w:firstLineChars="0"/>
              <w:jc w:val="center"/>
              <w:rPr>
                <w:color w:val="000000"/>
                <w:sz w:val="21"/>
                <w:szCs w:val="21"/>
              </w:rPr>
            </w:pPr>
            <w:r>
              <w:rPr>
                <w:rFonts w:hint="eastAsia"/>
                <w:color w:val="000000"/>
                <w:sz w:val="21"/>
                <w:szCs w:val="21"/>
              </w:rPr>
              <w:t>357-57-3</w:t>
            </w:r>
          </w:p>
        </w:tc>
        <w:tc>
          <w:tcPr>
            <w:tcW w:w="2131" w:type="dxa"/>
            <w:vAlign w:val="center"/>
          </w:tcPr>
          <w:p w14:paraId="391E0906">
            <w:pPr>
              <w:adjustRightInd w:val="0"/>
              <w:snapToGrid w:val="0"/>
              <w:ind w:firstLine="0" w:firstLineChars="0"/>
              <w:jc w:val="center"/>
              <w:rPr>
                <w:color w:val="000000"/>
                <w:sz w:val="21"/>
                <w:szCs w:val="21"/>
              </w:rPr>
            </w:pPr>
            <w:r>
              <w:rPr>
                <w:rFonts w:hint="eastAsia"/>
                <w:color w:val="000000"/>
                <w:sz w:val="21"/>
                <w:szCs w:val="21"/>
              </w:rPr>
              <w:t>6.1</w:t>
            </w:r>
          </w:p>
        </w:tc>
      </w:tr>
      <w:tr w14:paraId="4E5215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36533C27">
            <w:pPr>
              <w:widowControl/>
              <w:adjustRightInd w:val="0"/>
              <w:snapToGrid w:val="0"/>
              <w:ind w:firstLine="0" w:firstLineChars="0"/>
              <w:jc w:val="center"/>
              <w:textAlignment w:val="center"/>
              <w:rPr>
                <w:color w:val="000000"/>
                <w:sz w:val="21"/>
                <w:szCs w:val="21"/>
              </w:rPr>
            </w:pPr>
            <w:r>
              <w:rPr>
                <w:rFonts w:hint="eastAsia"/>
                <w:color w:val="000000"/>
                <w:sz w:val="21"/>
                <w:szCs w:val="21"/>
              </w:rPr>
              <w:t>8</w:t>
            </w:r>
          </w:p>
        </w:tc>
        <w:tc>
          <w:tcPr>
            <w:tcW w:w="3301" w:type="dxa"/>
            <w:vAlign w:val="center"/>
          </w:tcPr>
          <w:p w14:paraId="32377371">
            <w:pPr>
              <w:widowControl/>
              <w:adjustRightInd w:val="0"/>
              <w:snapToGrid w:val="0"/>
              <w:ind w:firstLine="0" w:firstLineChars="0"/>
              <w:jc w:val="center"/>
              <w:textAlignment w:val="center"/>
              <w:rPr>
                <w:color w:val="000000"/>
                <w:sz w:val="21"/>
                <w:szCs w:val="21"/>
              </w:rPr>
            </w:pPr>
            <w:r>
              <w:rPr>
                <w:rFonts w:hint="eastAsia"/>
                <w:color w:val="000000"/>
                <w:sz w:val="21"/>
                <w:szCs w:val="21"/>
              </w:rPr>
              <w:t>氟乙酸</w:t>
            </w:r>
          </w:p>
        </w:tc>
        <w:tc>
          <w:tcPr>
            <w:tcW w:w="2131" w:type="dxa"/>
            <w:vAlign w:val="center"/>
          </w:tcPr>
          <w:p w14:paraId="145496A3">
            <w:pPr>
              <w:adjustRightInd w:val="0"/>
              <w:snapToGrid w:val="0"/>
              <w:ind w:firstLine="0" w:firstLineChars="0"/>
              <w:jc w:val="center"/>
              <w:rPr>
                <w:color w:val="000000"/>
                <w:sz w:val="21"/>
                <w:szCs w:val="21"/>
              </w:rPr>
            </w:pPr>
            <w:r>
              <w:rPr>
                <w:rFonts w:hint="eastAsia"/>
                <w:color w:val="000000"/>
                <w:sz w:val="21"/>
                <w:szCs w:val="21"/>
              </w:rPr>
              <w:t>144-49-0</w:t>
            </w:r>
          </w:p>
        </w:tc>
        <w:tc>
          <w:tcPr>
            <w:tcW w:w="2131" w:type="dxa"/>
            <w:vAlign w:val="center"/>
          </w:tcPr>
          <w:p w14:paraId="0C23A3DD">
            <w:pPr>
              <w:adjustRightInd w:val="0"/>
              <w:snapToGrid w:val="0"/>
              <w:ind w:firstLine="0" w:firstLineChars="0"/>
              <w:jc w:val="center"/>
              <w:rPr>
                <w:color w:val="000000"/>
                <w:sz w:val="21"/>
                <w:szCs w:val="21"/>
              </w:rPr>
            </w:pPr>
            <w:r>
              <w:rPr>
                <w:rFonts w:hint="eastAsia"/>
                <w:color w:val="000000"/>
                <w:sz w:val="21"/>
                <w:szCs w:val="21"/>
              </w:rPr>
              <w:t>6.1</w:t>
            </w:r>
          </w:p>
        </w:tc>
      </w:tr>
      <w:tr w14:paraId="76CA22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3DFE5D4D">
            <w:pPr>
              <w:widowControl/>
              <w:adjustRightInd w:val="0"/>
              <w:snapToGrid w:val="0"/>
              <w:ind w:firstLine="0" w:firstLineChars="0"/>
              <w:jc w:val="center"/>
              <w:textAlignment w:val="center"/>
              <w:rPr>
                <w:color w:val="000000"/>
                <w:sz w:val="21"/>
                <w:szCs w:val="21"/>
              </w:rPr>
            </w:pPr>
            <w:r>
              <w:rPr>
                <w:rFonts w:hint="eastAsia"/>
                <w:color w:val="000000"/>
                <w:sz w:val="21"/>
                <w:szCs w:val="21"/>
              </w:rPr>
              <w:t>9</w:t>
            </w:r>
          </w:p>
        </w:tc>
        <w:tc>
          <w:tcPr>
            <w:tcW w:w="3301" w:type="dxa"/>
            <w:vAlign w:val="center"/>
          </w:tcPr>
          <w:p w14:paraId="624E3B0C">
            <w:pPr>
              <w:widowControl/>
              <w:adjustRightInd w:val="0"/>
              <w:snapToGrid w:val="0"/>
              <w:ind w:firstLine="0" w:firstLineChars="0"/>
              <w:jc w:val="center"/>
              <w:textAlignment w:val="center"/>
              <w:rPr>
                <w:color w:val="000000"/>
                <w:sz w:val="21"/>
                <w:szCs w:val="21"/>
              </w:rPr>
            </w:pPr>
            <w:r>
              <w:rPr>
                <w:rFonts w:hint="eastAsia"/>
                <w:color w:val="000000"/>
                <w:sz w:val="21"/>
                <w:szCs w:val="21"/>
              </w:rPr>
              <w:t>氟乙酸钠</w:t>
            </w:r>
          </w:p>
        </w:tc>
        <w:tc>
          <w:tcPr>
            <w:tcW w:w="2131" w:type="dxa"/>
            <w:vAlign w:val="center"/>
          </w:tcPr>
          <w:p w14:paraId="6E3C20A9">
            <w:pPr>
              <w:adjustRightInd w:val="0"/>
              <w:snapToGrid w:val="0"/>
              <w:ind w:firstLine="0" w:firstLineChars="0"/>
              <w:jc w:val="center"/>
              <w:rPr>
                <w:color w:val="000000"/>
                <w:sz w:val="21"/>
                <w:szCs w:val="21"/>
              </w:rPr>
            </w:pPr>
            <w:r>
              <w:rPr>
                <w:rFonts w:hint="eastAsia"/>
                <w:color w:val="000000"/>
                <w:sz w:val="21"/>
                <w:szCs w:val="21"/>
              </w:rPr>
              <w:t>62-74-8</w:t>
            </w:r>
          </w:p>
        </w:tc>
        <w:tc>
          <w:tcPr>
            <w:tcW w:w="2131" w:type="dxa"/>
            <w:vAlign w:val="center"/>
          </w:tcPr>
          <w:p w14:paraId="13BDE36A">
            <w:pPr>
              <w:adjustRightInd w:val="0"/>
              <w:snapToGrid w:val="0"/>
              <w:ind w:firstLine="0" w:firstLineChars="0"/>
              <w:jc w:val="center"/>
              <w:rPr>
                <w:color w:val="000000"/>
                <w:sz w:val="21"/>
                <w:szCs w:val="21"/>
              </w:rPr>
            </w:pPr>
            <w:r>
              <w:rPr>
                <w:rFonts w:hint="eastAsia"/>
                <w:color w:val="000000"/>
                <w:sz w:val="21"/>
                <w:szCs w:val="21"/>
              </w:rPr>
              <w:t>6.1</w:t>
            </w:r>
          </w:p>
        </w:tc>
      </w:tr>
      <w:tr w14:paraId="5F45E4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43914C7E">
            <w:pPr>
              <w:widowControl/>
              <w:adjustRightInd w:val="0"/>
              <w:snapToGrid w:val="0"/>
              <w:ind w:firstLine="0" w:firstLineChars="0"/>
              <w:jc w:val="center"/>
              <w:textAlignment w:val="center"/>
              <w:rPr>
                <w:color w:val="000000"/>
                <w:sz w:val="21"/>
                <w:szCs w:val="21"/>
              </w:rPr>
            </w:pPr>
            <w:r>
              <w:rPr>
                <w:rFonts w:hint="eastAsia"/>
                <w:color w:val="000000"/>
                <w:sz w:val="21"/>
                <w:szCs w:val="21"/>
              </w:rPr>
              <w:t>10</w:t>
            </w:r>
          </w:p>
        </w:tc>
        <w:tc>
          <w:tcPr>
            <w:tcW w:w="3301" w:type="dxa"/>
            <w:vAlign w:val="center"/>
          </w:tcPr>
          <w:p w14:paraId="383043D5">
            <w:pPr>
              <w:widowControl/>
              <w:adjustRightInd w:val="0"/>
              <w:snapToGrid w:val="0"/>
              <w:ind w:firstLine="0" w:firstLineChars="0"/>
              <w:jc w:val="center"/>
              <w:textAlignment w:val="center"/>
              <w:rPr>
                <w:color w:val="000000"/>
                <w:sz w:val="21"/>
                <w:szCs w:val="21"/>
              </w:rPr>
            </w:pPr>
            <w:r>
              <w:rPr>
                <w:rFonts w:hint="eastAsia"/>
                <w:color w:val="000000"/>
                <w:sz w:val="21"/>
                <w:szCs w:val="21"/>
              </w:rPr>
              <w:t>(S)-3-(1-甲基吡咯烷-2-基)吡啶</w:t>
            </w:r>
          </w:p>
        </w:tc>
        <w:tc>
          <w:tcPr>
            <w:tcW w:w="2131" w:type="dxa"/>
            <w:vAlign w:val="center"/>
          </w:tcPr>
          <w:p w14:paraId="2EA715DA">
            <w:pPr>
              <w:adjustRightInd w:val="0"/>
              <w:snapToGrid w:val="0"/>
              <w:ind w:firstLine="0" w:firstLineChars="0"/>
              <w:jc w:val="center"/>
              <w:rPr>
                <w:color w:val="000000"/>
                <w:sz w:val="21"/>
                <w:szCs w:val="21"/>
              </w:rPr>
            </w:pPr>
            <w:r>
              <w:rPr>
                <w:rFonts w:hint="eastAsia"/>
                <w:color w:val="000000"/>
                <w:sz w:val="21"/>
                <w:szCs w:val="21"/>
              </w:rPr>
              <w:t>54-11-5</w:t>
            </w:r>
          </w:p>
        </w:tc>
        <w:tc>
          <w:tcPr>
            <w:tcW w:w="2131" w:type="dxa"/>
            <w:vAlign w:val="center"/>
          </w:tcPr>
          <w:p w14:paraId="5AFE0D02">
            <w:pPr>
              <w:adjustRightInd w:val="0"/>
              <w:snapToGrid w:val="0"/>
              <w:ind w:firstLine="0" w:firstLineChars="0"/>
              <w:jc w:val="center"/>
              <w:rPr>
                <w:color w:val="000000"/>
                <w:sz w:val="21"/>
                <w:szCs w:val="21"/>
              </w:rPr>
            </w:pPr>
            <w:r>
              <w:rPr>
                <w:rFonts w:hint="eastAsia"/>
                <w:color w:val="000000"/>
                <w:sz w:val="21"/>
                <w:szCs w:val="21"/>
              </w:rPr>
              <w:t>6.1</w:t>
            </w:r>
          </w:p>
        </w:tc>
      </w:tr>
      <w:tr w14:paraId="67265B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174DE776">
            <w:pPr>
              <w:widowControl/>
              <w:adjustRightInd w:val="0"/>
              <w:snapToGrid w:val="0"/>
              <w:ind w:firstLine="0" w:firstLineChars="0"/>
              <w:jc w:val="center"/>
              <w:textAlignment w:val="center"/>
              <w:rPr>
                <w:color w:val="000000"/>
                <w:sz w:val="21"/>
                <w:szCs w:val="21"/>
              </w:rPr>
            </w:pPr>
            <w:r>
              <w:rPr>
                <w:rFonts w:hint="eastAsia"/>
                <w:color w:val="000000"/>
                <w:sz w:val="21"/>
                <w:szCs w:val="21"/>
              </w:rPr>
              <w:t>11</w:t>
            </w:r>
          </w:p>
        </w:tc>
        <w:tc>
          <w:tcPr>
            <w:tcW w:w="3301" w:type="dxa"/>
            <w:vAlign w:val="center"/>
          </w:tcPr>
          <w:p w14:paraId="22B55E0E">
            <w:pPr>
              <w:widowControl/>
              <w:adjustRightInd w:val="0"/>
              <w:snapToGrid w:val="0"/>
              <w:ind w:firstLine="0" w:firstLineChars="0"/>
              <w:jc w:val="center"/>
              <w:textAlignment w:val="center"/>
              <w:rPr>
                <w:color w:val="000000"/>
                <w:sz w:val="21"/>
                <w:szCs w:val="21"/>
              </w:rPr>
            </w:pPr>
            <w:r>
              <w:rPr>
                <w:rFonts w:hint="eastAsia"/>
                <w:color w:val="000000"/>
                <w:sz w:val="21"/>
                <w:szCs w:val="21"/>
              </w:rPr>
              <w:t>甲基肼</w:t>
            </w:r>
          </w:p>
        </w:tc>
        <w:tc>
          <w:tcPr>
            <w:tcW w:w="2131" w:type="dxa"/>
            <w:vAlign w:val="center"/>
          </w:tcPr>
          <w:p w14:paraId="22E5FDCE">
            <w:pPr>
              <w:adjustRightInd w:val="0"/>
              <w:snapToGrid w:val="0"/>
              <w:ind w:firstLine="0" w:firstLineChars="0"/>
              <w:jc w:val="center"/>
              <w:rPr>
                <w:color w:val="000000"/>
                <w:sz w:val="21"/>
                <w:szCs w:val="21"/>
              </w:rPr>
            </w:pPr>
            <w:r>
              <w:rPr>
                <w:rFonts w:hint="eastAsia"/>
                <w:color w:val="000000"/>
                <w:sz w:val="21"/>
                <w:szCs w:val="21"/>
              </w:rPr>
              <w:t>60-34-4</w:t>
            </w:r>
          </w:p>
        </w:tc>
        <w:tc>
          <w:tcPr>
            <w:tcW w:w="2131" w:type="dxa"/>
            <w:vAlign w:val="center"/>
          </w:tcPr>
          <w:p w14:paraId="6C467C95">
            <w:pPr>
              <w:adjustRightInd w:val="0"/>
              <w:snapToGrid w:val="0"/>
              <w:ind w:firstLine="0" w:firstLineChars="0"/>
              <w:jc w:val="center"/>
              <w:rPr>
                <w:color w:val="000000"/>
                <w:sz w:val="21"/>
                <w:szCs w:val="21"/>
              </w:rPr>
            </w:pPr>
            <w:r>
              <w:rPr>
                <w:rFonts w:hint="eastAsia"/>
                <w:color w:val="000000"/>
                <w:sz w:val="21"/>
                <w:szCs w:val="21"/>
              </w:rPr>
              <w:t>6.1</w:t>
            </w:r>
          </w:p>
        </w:tc>
      </w:tr>
      <w:tr w14:paraId="0677AD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459276E7">
            <w:pPr>
              <w:widowControl/>
              <w:adjustRightInd w:val="0"/>
              <w:snapToGrid w:val="0"/>
              <w:ind w:firstLine="0" w:firstLineChars="0"/>
              <w:jc w:val="center"/>
              <w:textAlignment w:val="center"/>
              <w:rPr>
                <w:color w:val="000000"/>
                <w:sz w:val="21"/>
                <w:szCs w:val="21"/>
              </w:rPr>
            </w:pPr>
            <w:r>
              <w:rPr>
                <w:rFonts w:hint="eastAsia"/>
                <w:color w:val="000000"/>
                <w:sz w:val="21"/>
                <w:szCs w:val="21"/>
              </w:rPr>
              <w:t>12</w:t>
            </w:r>
          </w:p>
        </w:tc>
        <w:tc>
          <w:tcPr>
            <w:tcW w:w="3301" w:type="dxa"/>
            <w:vAlign w:val="center"/>
          </w:tcPr>
          <w:p w14:paraId="1EE8577C">
            <w:pPr>
              <w:widowControl/>
              <w:adjustRightInd w:val="0"/>
              <w:snapToGrid w:val="0"/>
              <w:ind w:firstLine="0" w:firstLineChars="0"/>
              <w:jc w:val="center"/>
              <w:textAlignment w:val="center"/>
              <w:rPr>
                <w:color w:val="000000"/>
                <w:sz w:val="21"/>
                <w:szCs w:val="21"/>
              </w:rPr>
            </w:pPr>
            <w:r>
              <w:rPr>
                <w:rFonts w:hint="eastAsia"/>
                <w:color w:val="000000"/>
                <w:sz w:val="21"/>
                <w:szCs w:val="21"/>
              </w:rPr>
              <w:t>六氯环戊二烯</w:t>
            </w:r>
          </w:p>
        </w:tc>
        <w:tc>
          <w:tcPr>
            <w:tcW w:w="2131" w:type="dxa"/>
            <w:vAlign w:val="center"/>
          </w:tcPr>
          <w:p w14:paraId="5270E22C">
            <w:pPr>
              <w:adjustRightInd w:val="0"/>
              <w:snapToGrid w:val="0"/>
              <w:ind w:firstLine="0" w:firstLineChars="0"/>
              <w:jc w:val="center"/>
              <w:rPr>
                <w:color w:val="000000"/>
                <w:sz w:val="21"/>
                <w:szCs w:val="21"/>
              </w:rPr>
            </w:pPr>
            <w:r>
              <w:rPr>
                <w:rFonts w:hint="eastAsia"/>
                <w:color w:val="000000"/>
                <w:sz w:val="21"/>
                <w:szCs w:val="21"/>
              </w:rPr>
              <w:t>77-47-4</w:t>
            </w:r>
          </w:p>
        </w:tc>
        <w:tc>
          <w:tcPr>
            <w:tcW w:w="2131" w:type="dxa"/>
            <w:vAlign w:val="center"/>
          </w:tcPr>
          <w:p w14:paraId="4FA19FAE">
            <w:pPr>
              <w:adjustRightInd w:val="0"/>
              <w:snapToGrid w:val="0"/>
              <w:ind w:firstLine="0" w:firstLineChars="0"/>
              <w:jc w:val="center"/>
              <w:rPr>
                <w:color w:val="000000"/>
                <w:sz w:val="21"/>
                <w:szCs w:val="21"/>
              </w:rPr>
            </w:pPr>
            <w:r>
              <w:rPr>
                <w:rFonts w:hint="eastAsia"/>
                <w:color w:val="000000"/>
                <w:sz w:val="21"/>
                <w:szCs w:val="21"/>
              </w:rPr>
              <w:t>6.1</w:t>
            </w:r>
          </w:p>
        </w:tc>
      </w:tr>
      <w:tr w14:paraId="654F08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3836B991">
            <w:pPr>
              <w:widowControl/>
              <w:adjustRightInd w:val="0"/>
              <w:snapToGrid w:val="0"/>
              <w:ind w:firstLine="0" w:firstLineChars="0"/>
              <w:jc w:val="center"/>
              <w:textAlignment w:val="center"/>
              <w:rPr>
                <w:color w:val="000000"/>
                <w:sz w:val="21"/>
                <w:szCs w:val="21"/>
              </w:rPr>
            </w:pPr>
            <w:r>
              <w:rPr>
                <w:rFonts w:hint="eastAsia"/>
                <w:color w:val="000000"/>
                <w:sz w:val="21"/>
                <w:szCs w:val="21"/>
              </w:rPr>
              <w:t>13</w:t>
            </w:r>
          </w:p>
        </w:tc>
        <w:tc>
          <w:tcPr>
            <w:tcW w:w="3301" w:type="dxa"/>
            <w:vAlign w:val="center"/>
          </w:tcPr>
          <w:p w14:paraId="2679D475">
            <w:pPr>
              <w:widowControl/>
              <w:adjustRightInd w:val="0"/>
              <w:snapToGrid w:val="0"/>
              <w:ind w:firstLine="0" w:firstLineChars="0"/>
              <w:jc w:val="center"/>
              <w:textAlignment w:val="center"/>
              <w:rPr>
                <w:color w:val="000000"/>
                <w:sz w:val="21"/>
                <w:szCs w:val="21"/>
              </w:rPr>
            </w:pPr>
            <w:r>
              <w:rPr>
                <w:rFonts w:hint="eastAsia"/>
                <w:color w:val="000000"/>
                <w:sz w:val="21"/>
                <w:szCs w:val="21"/>
              </w:rPr>
              <w:t>氯化汞</w:t>
            </w:r>
          </w:p>
        </w:tc>
        <w:tc>
          <w:tcPr>
            <w:tcW w:w="2131" w:type="dxa"/>
            <w:vAlign w:val="center"/>
          </w:tcPr>
          <w:p w14:paraId="2AD84BBF">
            <w:pPr>
              <w:adjustRightInd w:val="0"/>
              <w:snapToGrid w:val="0"/>
              <w:ind w:firstLine="0" w:firstLineChars="0"/>
              <w:jc w:val="center"/>
              <w:rPr>
                <w:color w:val="000000"/>
                <w:sz w:val="21"/>
                <w:szCs w:val="21"/>
              </w:rPr>
            </w:pPr>
            <w:r>
              <w:rPr>
                <w:rFonts w:hint="eastAsia"/>
                <w:color w:val="000000"/>
                <w:sz w:val="21"/>
                <w:szCs w:val="21"/>
              </w:rPr>
              <w:t>7487-94-7</w:t>
            </w:r>
          </w:p>
        </w:tc>
        <w:tc>
          <w:tcPr>
            <w:tcW w:w="2131" w:type="dxa"/>
            <w:vAlign w:val="center"/>
          </w:tcPr>
          <w:p w14:paraId="46DE9D8D">
            <w:pPr>
              <w:adjustRightInd w:val="0"/>
              <w:snapToGrid w:val="0"/>
              <w:ind w:firstLine="0" w:firstLineChars="0"/>
              <w:jc w:val="center"/>
              <w:rPr>
                <w:color w:val="000000"/>
                <w:sz w:val="21"/>
                <w:szCs w:val="21"/>
              </w:rPr>
            </w:pPr>
            <w:r>
              <w:rPr>
                <w:rFonts w:hint="eastAsia"/>
                <w:color w:val="000000"/>
                <w:sz w:val="21"/>
                <w:szCs w:val="21"/>
              </w:rPr>
              <w:t>6.1</w:t>
            </w:r>
          </w:p>
        </w:tc>
      </w:tr>
      <w:tr w14:paraId="5288EF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2410C357">
            <w:pPr>
              <w:widowControl/>
              <w:adjustRightInd w:val="0"/>
              <w:snapToGrid w:val="0"/>
              <w:ind w:firstLine="0" w:firstLineChars="0"/>
              <w:jc w:val="center"/>
              <w:textAlignment w:val="center"/>
              <w:rPr>
                <w:color w:val="000000"/>
                <w:sz w:val="21"/>
                <w:szCs w:val="21"/>
              </w:rPr>
            </w:pPr>
            <w:r>
              <w:rPr>
                <w:rFonts w:hint="eastAsia"/>
                <w:color w:val="000000"/>
                <w:sz w:val="21"/>
                <w:szCs w:val="21"/>
              </w:rPr>
              <w:t>14</w:t>
            </w:r>
          </w:p>
        </w:tc>
        <w:tc>
          <w:tcPr>
            <w:tcW w:w="3301" w:type="dxa"/>
            <w:vAlign w:val="center"/>
          </w:tcPr>
          <w:p w14:paraId="32229C8D">
            <w:pPr>
              <w:widowControl/>
              <w:adjustRightInd w:val="0"/>
              <w:snapToGrid w:val="0"/>
              <w:ind w:firstLine="0" w:firstLineChars="0"/>
              <w:jc w:val="center"/>
              <w:textAlignment w:val="center"/>
              <w:rPr>
                <w:color w:val="000000"/>
                <w:sz w:val="21"/>
                <w:szCs w:val="21"/>
              </w:rPr>
            </w:pPr>
            <w:r>
              <w:rPr>
                <w:rFonts w:hint="eastAsia"/>
                <w:color w:val="000000"/>
                <w:sz w:val="21"/>
                <w:szCs w:val="21"/>
              </w:rPr>
              <w:t>氯甲酸甲酯</w:t>
            </w:r>
          </w:p>
        </w:tc>
        <w:tc>
          <w:tcPr>
            <w:tcW w:w="2131" w:type="dxa"/>
            <w:vAlign w:val="center"/>
          </w:tcPr>
          <w:p w14:paraId="74DC8CAF">
            <w:pPr>
              <w:adjustRightInd w:val="0"/>
              <w:snapToGrid w:val="0"/>
              <w:ind w:firstLine="0" w:firstLineChars="0"/>
              <w:jc w:val="center"/>
              <w:rPr>
                <w:color w:val="000000"/>
                <w:sz w:val="21"/>
                <w:szCs w:val="21"/>
              </w:rPr>
            </w:pPr>
            <w:r>
              <w:rPr>
                <w:rFonts w:hint="eastAsia"/>
                <w:color w:val="000000"/>
                <w:sz w:val="21"/>
                <w:szCs w:val="21"/>
              </w:rPr>
              <w:t>79-22-1</w:t>
            </w:r>
          </w:p>
        </w:tc>
        <w:tc>
          <w:tcPr>
            <w:tcW w:w="2131" w:type="dxa"/>
            <w:vAlign w:val="center"/>
          </w:tcPr>
          <w:p w14:paraId="4C0E1002">
            <w:pPr>
              <w:adjustRightInd w:val="0"/>
              <w:snapToGrid w:val="0"/>
              <w:ind w:firstLine="0" w:firstLineChars="0"/>
              <w:jc w:val="center"/>
              <w:rPr>
                <w:color w:val="000000"/>
                <w:sz w:val="21"/>
                <w:szCs w:val="21"/>
              </w:rPr>
            </w:pPr>
            <w:r>
              <w:rPr>
                <w:rFonts w:hint="eastAsia"/>
                <w:color w:val="000000"/>
                <w:sz w:val="21"/>
                <w:szCs w:val="21"/>
              </w:rPr>
              <w:t>6.1</w:t>
            </w:r>
          </w:p>
        </w:tc>
      </w:tr>
      <w:tr w14:paraId="7AD692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6A487747">
            <w:pPr>
              <w:widowControl/>
              <w:adjustRightInd w:val="0"/>
              <w:snapToGrid w:val="0"/>
              <w:ind w:firstLine="0" w:firstLineChars="0"/>
              <w:jc w:val="center"/>
              <w:textAlignment w:val="center"/>
              <w:rPr>
                <w:color w:val="000000"/>
                <w:sz w:val="21"/>
                <w:szCs w:val="21"/>
              </w:rPr>
            </w:pPr>
            <w:r>
              <w:rPr>
                <w:rFonts w:hint="eastAsia"/>
                <w:color w:val="000000"/>
                <w:sz w:val="21"/>
                <w:szCs w:val="21"/>
              </w:rPr>
              <w:t>15</w:t>
            </w:r>
          </w:p>
        </w:tc>
        <w:tc>
          <w:tcPr>
            <w:tcW w:w="3301" w:type="dxa"/>
            <w:vAlign w:val="center"/>
          </w:tcPr>
          <w:p w14:paraId="7914D4A7">
            <w:pPr>
              <w:widowControl/>
              <w:adjustRightInd w:val="0"/>
              <w:snapToGrid w:val="0"/>
              <w:ind w:firstLine="0" w:firstLineChars="0"/>
              <w:jc w:val="center"/>
              <w:textAlignment w:val="center"/>
              <w:rPr>
                <w:color w:val="000000"/>
                <w:sz w:val="21"/>
                <w:szCs w:val="21"/>
              </w:rPr>
            </w:pPr>
            <w:r>
              <w:rPr>
                <w:rFonts w:hint="eastAsia"/>
                <w:color w:val="000000"/>
                <w:sz w:val="21"/>
                <w:szCs w:val="21"/>
              </w:rPr>
              <w:t>氯甲酸乙酯</w:t>
            </w:r>
          </w:p>
        </w:tc>
        <w:tc>
          <w:tcPr>
            <w:tcW w:w="2131" w:type="dxa"/>
            <w:vAlign w:val="center"/>
          </w:tcPr>
          <w:p w14:paraId="2F2F0028">
            <w:pPr>
              <w:adjustRightInd w:val="0"/>
              <w:snapToGrid w:val="0"/>
              <w:ind w:firstLine="0" w:firstLineChars="0"/>
              <w:jc w:val="center"/>
              <w:rPr>
                <w:color w:val="000000"/>
                <w:sz w:val="21"/>
                <w:szCs w:val="21"/>
              </w:rPr>
            </w:pPr>
            <w:r>
              <w:rPr>
                <w:rFonts w:hint="eastAsia"/>
                <w:color w:val="000000"/>
                <w:sz w:val="21"/>
                <w:szCs w:val="21"/>
              </w:rPr>
              <w:t>541-41-3</w:t>
            </w:r>
          </w:p>
        </w:tc>
        <w:tc>
          <w:tcPr>
            <w:tcW w:w="2131" w:type="dxa"/>
            <w:vAlign w:val="center"/>
          </w:tcPr>
          <w:p w14:paraId="3925D12E">
            <w:pPr>
              <w:adjustRightInd w:val="0"/>
              <w:snapToGrid w:val="0"/>
              <w:ind w:firstLine="0" w:firstLineChars="0"/>
              <w:jc w:val="center"/>
              <w:rPr>
                <w:color w:val="000000"/>
                <w:sz w:val="21"/>
                <w:szCs w:val="21"/>
              </w:rPr>
            </w:pPr>
            <w:r>
              <w:rPr>
                <w:rFonts w:hint="eastAsia"/>
                <w:color w:val="000000"/>
                <w:sz w:val="21"/>
                <w:szCs w:val="21"/>
              </w:rPr>
              <w:t>6.1</w:t>
            </w:r>
          </w:p>
        </w:tc>
      </w:tr>
      <w:tr w14:paraId="79319A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14C2DCF7">
            <w:pPr>
              <w:widowControl/>
              <w:adjustRightInd w:val="0"/>
              <w:snapToGrid w:val="0"/>
              <w:ind w:firstLine="0" w:firstLineChars="0"/>
              <w:jc w:val="center"/>
              <w:textAlignment w:val="center"/>
              <w:rPr>
                <w:color w:val="000000"/>
                <w:sz w:val="21"/>
                <w:szCs w:val="21"/>
              </w:rPr>
            </w:pPr>
            <w:r>
              <w:rPr>
                <w:rFonts w:hint="eastAsia"/>
                <w:color w:val="000000"/>
                <w:sz w:val="21"/>
                <w:szCs w:val="21"/>
              </w:rPr>
              <w:t>16</w:t>
            </w:r>
          </w:p>
        </w:tc>
        <w:tc>
          <w:tcPr>
            <w:tcW w:w="3301" w:type="dxa"/>
            <w:vAlign w:val="center"/>
          </w:tcPr>
          <w:p w14:paraId="12A39A11">
            <w:pPr>
              <w:widowControl/>
              <w:adjustRightInd w:val="0"/>
              <w:snapToGrid w:val="0"/>
              <w:ind w:firstLine="0" w:firstLineChars="0"/>
              <w:jc w:val="center"/>
              <w:textAlignment w:val="center"/>
              <w:rPr>
                <w:color w:val="000000"/>
                <w:sz w:val="21"/>
                <w:szCs w:val="21"/>
              </w:rPr>
            </w:pPr>
            <w:r>
              <w:rPr>
                <w:rFonts w:hint="eastAsia"/>
                <w:color w:val="000000"/>
                <w:sz w:val="21"/>
                <w:szCs w:val="21"/>
              </w:rPr>
              <w:t>2-氯乙醇</w:t>
            </w:r>
          </w:p>
        </w:tc>
        <w:tc>
          <w:tcPr>
            <w:tcW w:w="2131" w:type="dxa"/>
            <w:vAlign w:val="center"/>
          </w:tcPr>
          <w:p w14:paraId="295A49B5">
            <w:pPr>
              <w:adjustRightInd w:val="0"/>
              <w:snapToGrid w:val="0"/>
              <w:ind w:firstLine="0" w:firstLineChars="0"/>
              <w:jc w:val="center"/>
              <w:rPr>
                <w:color w:val="000000"/>
                <w:sz w:val="21"/>
                <w:szCs w:val="21"/>
              </w:rPr>
            </w:pPr>
            <w:r>
              <w:rPr>
                <w:rFonts w:hint="eastAsia"/>
                <w:color w:val="000000"/>
                <w:sz w:val="21"/>
                <w:szCs w:val="21"/>
              </w:rPr>
              <w:t>107-07-3</w:t>
            </w:r>
          </w:p>
        </w:tc>
        <w:tc>
          <w:tcPr>
            <w:tcW w:w="2131" w:type="dxa"/>
            <w:vAlign w:val="center"/>
          </w:tcPr>
          <w:p w14:paraId="07CA5BD4">
            <w:pPr>
              <w:adjustRightInd w:val="0"/>
              <w:snapToGrid w:val="0"/>
              <w:ind w:firstLine="0" w:firstLineChars="0"/>
              <w:jc w:val="center"/>
              <w:rPr>
                <w:color w:val="000000"/>
                <w:sz w:val="21"/>
                <w:szCs w:val="21"/>
              </w:rPr>
            </w:pPr>
            <w:r>
              <w:rPr>
                <w:rFonts w:hint="eastAsia"/>
                <w:color w:val="000000"/>
                <w:sz w:val="21"/>
                <w:szCs w:val="21"/>
              </w:rPr>
              <w:t>6.1</w:t>
            </w:r>
          </w:p>
        </w:tc>
      </w:tr>
      <w:tr w14:paraId="366357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7F103CF2">
            <w:pPr>
              <w:widowControl/>
              <w:adjustRightInd w:val="0"/>
              <w:snapToGrid w:val="0"/>
              <w:ind w:firstLine="0" w:firstLineChars="0"/>
              <w:jc w:val="center"/>
              <w:textAlignment w:val="center"/>
              <w:rPr>
                <w:color w:val="000000"/>
                <w:sz w:val="21"/>
                <w:szCs w:val="21"/>
              </w:rPr>
            </w:pPr>
            <w:r>
              <w:rPr>
                <w:rFonts w:hint="eastAsia"/>
                <w:color w:val="000000"/>
                <w:sz w:val="21"/>
                <w:szCs w:val="21"/>
              </w:rPr>
              <w:t>17</w:t>
            </w:r>
          </w:p>
        </w:tc>
        <w:tc>
          <w:tcPr>
            <w:tcW w:w="3301" w:type="dxa"/>
            <w:vAlign w:val="center"/>
          </w:tcPr>
          <w:p w14:paraId="2CFF1690">
            <w:pPr>
              <w:widowControl/>
              <w:adjustRightInd w:val="0"/>
              <w:snapToGrid w:val="0"/>
              <w:ind w:firstLine="0" w:firstLineChars="0"/>
              <w:jc w:val="center"/>
              <w:textAlignment w:val="center"/>
              <w:rPr>
                <w:color w:val="000000"/>
                <w:sz w:val="21"/>
                <w:szCs w:val="21"/>
              </w:rPr>
            </w:pPr>
            <w:r>
              <w:rPr>
                <w:rFonts w:hint="eastAsia"/>
                <w:color w:val="000000"/>
                <w:sz w:val="21"/>
                <w:szCs w:val="21"/>
              </w:rPr>
              <w:t>氰化钾</w:t>
            </w:r>
          </w:p>
        </w:tc>
        <w:tc>
          <w:tcPr>
            <w:tcW w:w="2131" w:type="dxa"/>
            <w:vAlign w:val="center"/>
          </w:tcPr>
          <w:p w14:paraId="51115586">
            <w:pPr>
              <w:adjustRightInd w:val="0"/>
              <w:snapToGrid w:val="0"/>
              <w:ind w:firstLine="0" w:firstLineChars="0"/>
              <w:jc w:val="center"/>
              <w:rPr>
                <w:color w:val="000000"/>
                <w:sz w:val="21"/>
                <w:szCs w:val="21"/>
              </w:rPr>
            </w:pPr>
            <w:r>
              <w:rPr>
                <w:rFonts w:hint="eastAsia"/>
                <w:color w:val="000000"/>
                <w:sz w:val="21"/>
                <w:szCs w:val="21"/>
              </w:rPr>
              <w:t>151-50-8</w:t>
            </w:r>
          </w:p>
        </w:tc>
        <w:tc>
          <w:tcPr>
            <w:tcW w:w="2131" w:type="dxa"/>
            <w:vAlign w:val="center"/>
          </w:tcPr>
          <w:p w14:paraId="210ACCE6">
            <w:pPr>
              <w:adjustRightInd w:val="0"/>
              <w:snapToGrid w:val="0"/>
              <w:ind w:firstLine="0" w:firstLineChars="0"/>
              <w:jc w:val="center"/>
              <w:rPr>
                <w:color w:val="000000"/>
                <w:sz w:val="21"/>
                <w:szCs w:val="21"/>
              </w:rPr>
            </w:pPr>
            <w:r>
              <w:rPr>
                <w:rFonts w:hint="eastAsia"/>
                <w:color w:val="000000"/>
                <w:sz w:val="21"/>
                <w:szCs w:val="21"/>
              </w:rPr>
              <w:t>6.1</w:t>
            </w:r>
          </w:p>
        </w:tc>
      </w:tr>
      <w:tr w14:paraId="26C016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1C213321">
            <w:pPr>
              <w:widowControl/>
              <w:adjustRightInd w:val="0"/>
              <w:snapToGrid w:val="0"/>
              <w:ind w:firstLine="0" w:firstLineChars="0"/>
              <w:jc w:val="center"/>
              <w:textAlignment w:val="center"/>
              <w:rPr>
                <w:color w:val="000000"/>
                <w:sz w:val="21"/>
                <w:szCs w:val="21"/>
              </w:rPr>
            </w:pPr>
            <w:r>
              <w:rPr>
                <w:rFonts w:hint="eastAsia"/>
                <w:color w:val="000000"/>
                <w:sz w:val="21"/>
                <w:szCs w:val="21"/>
              </w:rPr>
              <w:t>18</w:t>
            </w:r>
          </w:p>
        </w:tc>
        <w:tc>
          <w:tcPr>
            <w:tcW w:w="3301" w:type="dxa"/>
            <w:vAlign w:val="center"/>
          </w:tcPr>
          <w:p w14:paraId="40B33A1A">
            <w:pPr>
              <w:widowControl/>
              <w:adjustRightInd w:val="0"/>
              <w:snapToGrid w:val="0"/>
              <w:ind w:firstLine="0" w:firstLineChars="0"/>
              <w:jc w:val="center"/>
              <w:textAlignment w:val="center"/>
              <w:rPr>
                <w:color w:val="000000"/>
                <w:sz w:val="21"/>
                <w:szCs w:val="21"/>
              </w:rPr>
            </w:pPr>
            <w:r>
              <w:rPr>
                <w:rFonts w:hint="eastAsia"/>
                <w:color w:val="000000"/>
                <w:sz w:val="21"/>
                <w:szCs w:val="21"/>
              </w:rPr>
              <w:t>氰化钠</w:t>
            </w:r>
          </w:p>
        </w:tc>
        <w:tc>
          <w:tcPr>
            <w:tcW w:w="2131" w:type="dxa"/>
            <w:vAlign w:val="center"/>
          </w:tcPr>
          <w:p w14:paraId="36C8CB5E">
            <w:pPr>
              <w:adjustRightInd w:val="0"/>
              <w:snapToGrid w:val="0"/>
              <w:ind w:firstLine="0" w:firstLineChars="0"/>
              <w:jc w:val="center"/>
              <w:rPr>
                <w:color w:val="000000"/>
                <w:sz w:val="21"/>
                <w:szCs w:val="21"/>
              </w:rPr>
            </w:pPr>
            <w:r>
              <w:rPr>
                <w:rFonts w:hint="eastAsia"/>
                <w:color w:val="000000"/>
                <w:sz w:val="21"/>
                <w:szCs w:val="21"/>
              </w:rPr>
              <w:t>143-33-9</w:t>
            </w:r>
          </w:p>
        </w:tc>
        <w:tc>
          <w:tcPr>
            <w:tcW w:w="2131" w:type="dxa"/>
            <w:vAlign w:val="center"/>
          </w:tcPr>
          <w:p w14:paraId="502E9968">
            <w:pPr>
              <w:adjustRightInd w:val="0"/>
              <w:snapToGrid w:val="0"/>
              <w:ind w:firstLine="0" w:firstLineChars="0"/>
              <w:jc w:val="center"/>
              <w:rPr>
                <w:color w:val="000000"/>
                <w:sz w:val="21"/>
                <w:szCs w:val="21"/>
              </w:rPr>
            </w:pPr>
            <w:r>
              <w:rPr>
                <w:rFonts w:hint="eastAsia"/>
                <w:color w:val="000000"/>
                <w:sz w:val="21"/>
                <w:szCs w:val="21"/>
              </w:rPr>
              <w:t>6.1</w:t>
            </w:r>
          </w:p>
        </w:tc>
      </w:tr>
      <w:tr w14:paraId="7CA882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32389A02">
            <w:pPr>
              <w:widowControl/>
              <w:adjustRightInd w:val="0"/>
              <w:snapToGrid w:val="0"/>
              <w:ind w:firstLine="0" w:firstLineChars="0"/>
              <w:jc w:val="center"/>
              <w:textAlignment w:val="center"/>
              <w:rPr>
                <w:color w:val="000000"/>
                <w:sz w:val="21"/>
                <w:szCs w:val="21"/>
              </w:rPr>
            </w:pPr>
            <w:r>
              <w:rPr>
                <w:rFonts w:hint="eastAsia"/>
                <w:color w:val="000000"/>
                <w:sz w:val="21"/>
                <w:szCs w:val="21"/>
              </w:rPr>
              <w:t>19</w:t>
            </w:r>
          </w:p>
        </w:tc>
        <w:tc>
          <w:tcPr>
            <w:tcW w:w="3301" w:type="dxa"/>
            <w:vAlign w:val="center"/>
          </w:tcPr>
          <w:p w14:paraId="40791425">
            <w:pPr>
              <w:widowControl/>
              <w:adjustRightInd w:val="0"/>
              <w:snapToGrid w:val="0"/>
              <w:ind w:firstLine="0" w:firstLineChars="0"/>
              <w:jc w:val="center"/>
              <w:textAlignment w:val="center"/>
              <w:rPr>
                <w:color w:val="000000"/>
                <w:sz w:val="21"/>
                <w:szCs w:val="21"/>
              </w:rPr>
            </w:pPr>
            <w:r>
              <w:rPr>
                <w:rFonts w:hint="eastAsia"/>
                <w:color w:val="000000"/>
                <w:sz w:val="21"/>
                <w:szCs w:val="21"/>
              </w:rPr>
              <w:t>氰化氢</w:t>
            </w:r>
          </w:p>
        </w:tc>
        <w:tc>
          <w:tcPr>
            <w:tcW w:w="2131" w:type="dxa"/>
            <w:vAlign w:val="center"/>
          </w:tcPr>
          <w:p w14:paraId="0006ABFB">
            <w:pPr>
              <w:adjustRightInd w:val="0"/>
              <w:snapToGrid w:val="0"/>
              <w:ind w:firstLine="0" w:firstLineChars="0"/>
              <w:jc w:val="center"/>
              <w:rPr>
                <w:color w:val="000000"/>
                <w:sz w:val="21"/>
                <w:szCs w:val="21"/>
              </w:rPr>
            </w:pPr>
            <w:r>
              <w:rPr>
                <w:rFonts w:hint="eastAsia"/>
                <w:color w:val="000000"/>
                <w:sz w:val="21"/>
                <w:szCs w:val="21"/>
              </w:rPr>
              <w:t>74-90-8</w:t>
            </w:r>
          </w:p>
        </w:tc>
        <w:tc>
          <w:tcPr>
            <w:tcW w:w="2131" w:type="dxa"/>
            <w:vAlign w:val="center"/>
          </w:tcPr>
          <w:p w14:paraId="1B007C2D">
            <w:pPr>
              <w:adjustRightInd w:val="0"/>
              <w:snapToGrid w:val="0"/>
              <w:ind w:firstLine="0" w:firstLineChars="0"/>
              <w:jc w:val="center"/>
              <w:rPr>
                <w:color w:val="000000"/>
                <w:sz w:val="21"/>
                <w:szCs w:val="21"/>
              </w:rPr>
            </w:pPr>
            <w:r>
              <w:rPr>
                <w:rFonts w:hint="eastAsia"/>
                <w:color w:val="000000"/>
                <w:sz w:val="21"/>
                <w:szCs w:val="21"/>
              </w:rPr>
              <w:t>6.1</w:t>
            </w:r>
          </w:p>
        </w:tc>
      </w:tr>
      <w:tr w14:paraId="5FDF57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67A21EF1">
            <w:pPr>
              <w:widowControl/>
              <w:adjustRightInd w:val="0"/>
              <w:snapToGrid w:val="0"/>
              <w:ind w:firstLine="0" w:firstLineChars="0"/>
              <w:jc w:val="center"/>
              <w:textAlignment w:val="center"/>
              <w:rPr>
                <w:color w:val="000000"/>
                <w:sz w:val="21"/>
                <w:szCs w:val="21"/>
              </w:rPr>
            </w:pPr>
            <w:r>
              <w:rPr>
                <w:rFonts w:hint="eastAsia"/>
                <w:color w:val="000000"/>
                <w:sz w:val="21"/>
                <w:szCs w:val="21"/>
              </w:rPr>
              <w:t>20</w:t>
            </w:r>
          </w:p>
        </w:tc>
        <w:tc>
          <w:tcPr>
            <w:tcW w:w="3301" w:type="dxa"/>
            <w:vAlign w:val="center"/>
          </w:tcPr>
          <w:p w14:paraId="5189EC60">
            <w:pPr>
              <w:widowControl/>
              <w:adjustRightInd w:val="0"/>
              <w:snapToGrid w:val="0"/>
              <w:ind w:firstLine="0" w:firstLineChars="0"/>
              <w:jc w:val="center"/>
              <w:textAlignment w:val="center"/>
              <w:rPr>
                <w:color w:val="000000"/>
                <w:sz w:val="21"/>
                <w:szCs w:val="21"/>
              </w:rPr>
            </w:pPr>
            <w:r>
              <w:rPr>
                <w:rFonts w:hint="eastAsia"/>
                <w:color w:val="000000"/>
                <w:sz w:val="21"/>
                <w:szCs w:val="21"/>
              </w:rPr>
              <w:t>全氯甲硫醇</w:t>
            </w:r>
          </w:p>
        </w:tc>
        <w:tc>
          <w:tcPr>
            <w:tcW w:w="2131" w:type="dxa"/>
            <w:vAlign w:val="center"/>
          </w:tcPr>
          <w:p w14:paraId="333DFD23">
            <w:pPr>
              <w:adjustRightInd w:val="0"/>
              <w:snapToGrid w:val="0"/>
              <w:ind w:firstLine="0" w:firstLineChars="0"/>
              <w:jc w:val="center"/>
              <w:rPr>
                <w:color w:val="000000"/>
                <w:sz w:val="21"/>
                <w:szCs w:val="21"/>
              </w:rPr>
            </w:pPr>
            <w:r>
              <w:rPr>
                <w:rFonts w:hint="eastAsia"/>
                <w:color w:val="000000"/>
                <w:sz w:val="21"/>
                <w:szCs w:val="21"/>
              </w:rPr>
              <w:t>594-42-3</w:t>
            </w:r>
          </w:p>
        </w:tc>
        <w:tc>
          <w:tcPr>
            <w:tcW w:w="2131" w:type="dxa"/>
            <w:vAlign w:val="center"/>
          </w:tcPr>
          <w:p w14:paraId="6C24EE85">
            <w:pPr>
              <w:adjustRightInd w:val="0"/>
              <w:snapToGrid w:val="0"/>
              <w:ind w:firstLine="0" w:firstLineChars="0"/>
              <w:jc w:val="center"/>
              <w:rPr>
                <w:color w:val="000000"/>
                <w:sz w:val="21"/>
                <w:szCs w:val="21"/>
              </w:rPr>
            </w:pPr>
            <w:r>
              <w:rPr>
                <w:rFonts w:hint="eastAsia"/>
                <w:color w:val="000000"/>
                <w:sz w:val="21"/>
                <w:szCs w:val="21"/>
              </w:rPr>
              <w:t>6.1</w:t>
            </w:r>
          </w:p>
        </w:tc>
      </w:tr>
      <w:tr w14:paraId="24E2E7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161D8B24">
            <w:pPr>
              <w:widowControl/>
              <w:adjustRightInd w:val="0"/>
              <w:snapToGrid w:val="0"/>
              <w:ind w:firstLine="0" w:firstLineChars="0"/>
              <w:jc w:val="center"/>
              <w:textAlignment w:val="center"/>
              <w:rPr>
                <w:color w:val="000000"/>
                <w:sz w:val="21"/>
                <w:szCs w:val="21"/>
              </w:rPr>
            </w:pPr>
            <w:r>
              <w:rPr>
                <w:rFonts w:hint="eastAsia"/>
                <w:color w:val="000000"/>
                <w:sz w:val="21"/>
                <w:szCs w:val="21"/>
              </w:rPr>
              <w:t>21</w:t>
            </w:r>
          </w:p>
        </w:tc>
        <w:tc>
          <w:tcPr>
            <w:tcW w:w="3301" w:type="dxa"/>
            <w:vAlign w:val="center"/>
          </w:tcPr>
          <w:p w14:paraId="066F9FE0">
            <w:pPr>
              <w:widowControl/>
              <w:adjustRightInd w:val="0"/>
              <w:snapToGrid w:val="0"/>
              <w:ind w:firstLine="0" w:firstLineChars="0"/>
              <w:jc w:val="center"/>
              <w:textAlignment w:val="center"/>
              <w:rPr>
                <w:color w:val="000000"/>
                <w:sz w:val="21"/>
                <w:szCs w:val="21"/>
              </w:rPr>
            </w:pPr>
            <w:r>
              <w:rPr>
                <w:rFonts w:hint="eastAsia"/>
                <w:color w:val="000000"/>
                <w:sz w:val="21"/>
                <w:szCs w:val="21"/>
              </w:rPr>
              <w:t>三氯硝基甲烷</w:t>
            </w:r>
          </w:p>
        </w:tc>
        <w:tc>
          <w:tcPr>
            <w:tcW w:w="2131" w:type="dxa"/>
            <w:vAlign w:val="center"/>
          </w:tcPr>
          <w:p w14:paraId="035505E8">
            <w:pPr>
              <w:adjustRightInd w:val="0"/>
              <w:snapToGrid w:val="0"/>
              <w:ind w:firstLine="0" w:firstLineChars="0"/>
              <w:jc w:val="center"/>
              <w:rPr>
                <w:color w:val="000000"/>
                <w:sz w:val="21"/>
                <w:szCs w:val="21"/>
              </w:rPr>
            </w:pPr>
            <w:r>
              <w:rPr>
                <w:rFonts w:hint="eastAsia"/>
                <w:color w:val="000000"/>
                <w:sz w:val="21"/>
                <w:szCs w:val="21"/>
              </w:rPr>
              <w:t>76-06-2</w:t>
            </w:r>
          </w:p>
        </w:tc>
        <w:tc>
          <w:tcPr>
            <w:tcW w:w="2131" w:type="dxa"/>
            <w:vAlign w:val="center"/>
          </w:tcPr>
          <w:p w14:paraId="6FD04B3A">
            <w:pPr>
              <w:adjustRightInd w:val="0"/>
              <w:snapToGrid w:val="0"/>
              <w:ind w:firstLine="0" w:firstLineChars="0"/>
              <w:jc w:val="center"/>
              <w:rPr>
                <w:color w:val="000000"/>
                <w:sz w:val="21"/>
                <w:szCs w:val="21"/>
              </w:rPr>
            </w:pPr>
            <w:r>
              <w:rPr>
                <w:rFonts w:hint="eastAsia"/>
                <w:color w:val="000000"/>
                <w:sz w:val="21"/>
                <w:szCs w:val="21"/>
              </w:rPr>
              <w:t>6.1</w:t>
            </w:r>
          </w:p>
        </w:tc>
      </w:tr>
      <w:tr w14:paraId="07A0CE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2FE6A497">
            <w:pPr>
              <w:widowControl/>
              <w:adjustRightInd w:val="0"/>
              <w:snapToGrid w:val="0"/>
              <w:ind w:firstLine="0" w:firstLineChars="0"/>
              <w:jc w:val="center"/>
              <w:textAlignment w:val="center"/>
              <w:rPr>
                <w:color w:val="000000"/>
                <w:sz w:val="21"/>
                <w:szCs w:val="21"/>
              </w:rPr>
            </w:pPr>
            <w:r>
              <w:rPr>
                <w:rFonts w:hint="eastAsia"/>
                <w:color w:val="000000"/>
                <w:sz w:val="21"/>
                <w:szCs w:val="21"/>
              </w:rPr>
              <w:t>22</w:t>
            </w:r>
          </w:p>
        </w:tc>
        <w:tc>
          <w:tcPr>
            <w:tcW w:w="3301" w:type="dxa"/>
            <w:vAlign w:val="center"/>
          </w:tcPr>
          <w:p w14:paraId="3E450661">
            <w:pPr>
              <w:widowControl/>
              <w:adjustRightInd w:val="0"/>
              <w:snapToGrid w:val="0"/>
              <w:ind w:firstLine="0" w:firstLineChars="0"/>
              <w:jc w:val="center"/>
              <w:textAlignment w:val="center"/>
              <w:rPr>
                <w:color w:val="000000"/>
                <w:sz w:val="21"/>
                <w:szCs w:val="21"/>
              </w:rPr>
            </w:pPr>
            <w:r>
              <w:rPr>
                <w:rFonts w:hint="eastAsia"/>
                <w:color w:val="000000"/>
                <w:sz w:val="21"/>
                <w:szCs w:val="21"/>
              </w:rPr>
              <w:t>三氧化二砷</w:t>
            </w:r>
          </w:p>
        </w:tc>
        <w:tc>
          <w:tcPr>
            <w:tcW w:w="2131" w:type="dxa"/>
            <w:vAlign w:val="center"/>
          </w:tcPr>
          <w:p w14:paraId="791282B0">
            <w:pPr>
              <w:adjustRightInd w:val="0"/>
              <w:snapToGrid w:val="0"/>
              <w:ind w:firstLine="0" w:firstLineChars="0"/>
              <w:jc w:val="center"/>
              <w:rPr>
                <w:color w:val="000000"/>
                <w:sz w:val="21"/>
                <w:szCs w:val="21"/>
              </w:rPr>
            </w:pPr>
            <w:r>
              <w:rPr>
                <w:rFonts w:hint="eastAsia"/>
                <w:color w:val="000000"/>
                <w:sz w:val="21"/>
                <w:szCs w:val="21"/>
              </w:rPr>
              <w:t>1327-53-3</w:t>
            </w:r>
          </w:p>
        </w:tc>
        <w:tc>
          <w:tcPr>
            <w:tcW w:w="2131" w:type="dxa"/>
            <w:vAlign w:val="center"/>
          </w:tcPr>
          <w:p w14:paraId="562C96C4">
            <w:pPr>
              <w:adjustRightInd w:val="0"/>
              <w:snapToGrid w:val="0"/>
              <w:ind w:firstLine="0" w:firstLineChars="0"/>
              <w:jc w:val="center"/>
              <w:rPr>
                <w:color w:val="000000"/>
                <w:sz w:val="21"/>
                <w:szCs w:val="21"/>
              </w:rPr>
            </w:pPr>
            <w:r>
              <w:rPr>
                <w:rFonts w:hint="eastAsia"/>
                <w:color w:val="000000"/>
                <w:sz w:val="21"/>
                <w:szCs w:val="21"/>
              </w:rPr>
              <w:t>6.1</w:t>
            </w:r>
          </w:p>
        </w:tc>
      </w:tr>
      <w:tr w14:paraId="064614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3F2749CD">
            <w:pPr>
              <w:widowControl/>
              <w:adjustRightInd w:val="0"/>
              <w:snapToGrid w:val="0"/>
              <w:ind w:firstLine="0" w:firstLineChars="0"/>
              <w:jc w:val="center"/>
              <w:textAlignment w:val="center"/>
              <w:rPr>
                <w:color w:val="000000"/>
                <w:sz w:val="21"/>
                <w:szCs w:val="21"/>
              </w:rPr>
            </w:pPr>
            <w:r>
              <w:rPr>
                <w:rFonts w:hint="eastAsia"/>
                <w:color w:val="000000"/>
                <w:sz w:val="21"/>
                <w:szCs w:val="21"/>
              </w:rPr>
              <w:t>23</w:t>
            </w:r>
          </w:p>
        </w:tc>
        <w:tc>
          <w:tcPr>
            <w:tcW w:w="3301" w:type="dxa"/>
            <w:vAlign w:val="center"/>
          </w:tcPr>
          <w:p w14:paraId="614718F5">
            <w:pPr>
              <w:widowControl/>
              <w:adjustRightInd w:val="0"/>
              <w:snapToGrid w:val="0"/>
              <w:ind w:firstLine="0" w:firstLineChars="0"/>
              <w:jc w:val="center"/>
              <w:textAlignment w:val="center"/>
              <w:rPr>
                <w:color w:val="000000"/>
                <w:sz w:val="21"/>
                <w:szCs w:val="21"/>
              </w:rPr>
            </w:pPr>
            <w:r>
              <w:rPr>
                <w:rFonts w:hint="eastAsia"/>
                <w:color w:val="000000"/>
                <w:sz w:val="21"/>
                <w:szCs w:val="21"/>
              </w:rPr>
              <w:t>三正丁胺</w:t>
            </w:r>
          </w:p>
        </w:tc>
        <w:tc>
          <w:tcPr>
            <w:tcW w:w="2131" w:type="dxa"/>
            <w:vAlign w:val="center"/>
          </w:tcPr>
          <w:p w14:paraId="7F9566E3">
            <w:pPr>
              <w:adjustRightInd w:val="0"/>
              <w:snapToGrid w:val="0"/>
              <w:ind w:firstLine="0" w:firstLineChars="0"/>
              <w:jc w:val="center"/>
              <w:rPr>
                <w:color w:val="000000"/>
                <w:sz w:val="21"/>
                <w:szCs w:val="21"/>
              </w:rPr>
            </w:pPr>
            <w:r>
              <w:rPr>
                <w:rFonts w:hint="eastAsia"/>
                <w:color w:val="000000"/>
                <w:sz w:val="21"/>
                <w:szCs w:val="21"/>
              </w:rPr>
              <w:t>102-82-9</w:t>
            </w:r>
          </w:p>
        </w:tc>
        <w:tc>
          <w:tcPr>
            <w:tcW w:w="2131" w:type="dxa"/>
            <w:vAlign w:val="center"/>
          </w:tcPr>
          <w:p w14:paraId="21990448">
            <w:pPr>
              <w:adjustRightInd w:val="0"/>
              <w:snapToGrid w:val="0"/>
              <w:ind w:firstLine="0" w:firstLineChars="0"/>
              <w:jc w:val="center"/>
              <w:rPr>
                <w:color w:val="000000"/>
                <w:sz w:val="21"/>
                <w:szCs w:val="21"/>
              </w:rPr>
            </w:pPr>
            <w:r>
              <w:rPr>
                <w:rFonts w:hint="eastAsia"/>
                <w:color w:val="000000"/>
                <w:sz w:val="21"/>
                <w:szCs w:val="21"/>
              </w:rPr>
              <w:t>6.1</w:t>
            </w:r>
          </w:p>
        </w:tc>
      </w:tr>
      <w:tr w14:paraId="429DF0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4994E900">
            <w:pPr>
              <w:widowControl/>
              <w:adjustRightInd w:val="0"/>
              <w:snapToGrid w:val="0"/>
              <w:ind w:firstLine="0" w:firstLineChars="0"/>
              <w:jc w:val="center"/>
              <w:textAlignment w:val="center"/>
              <w:rPr>
                <w:color w:val="000000"/>
                <w:sz w:val="21"/>
                <w:szCs w:val="21"/>
              </w:rPr>
            </w:pPr>
            <w:r>
              <w:rPr>
                <w:rFonts w:hint="eastAsia"/>
                <w:color w:val="000000"/>
                <w:sz w:val="21"/>
                <w:szCs w:val="21"/>
              </w:rPr>
              <w:t>24</w:t>
            </w:r>
          </w:p>
        </w:tc>
        <w:tc>
          <w:tcPr>
            <w:tcW w:w="3301" w:type="dxa"/>
            <w:vAlign w:val="center"/>
          </w:tcPr>
          <w:p w14:paraId="70BB73E6">
            <w:pPr>
              <w:widowControl/>
              <w:adjustRightInd w:val="0"/>
              <w:snapToGrid w:val="0"/>
              <w:ind w:firstLine="0" w:firstLineChars="0"/>
              <w:jc w:val="center"/>
              <w:textAlignment w:val="center"/>
              <w:rPr>
                <w:color w:val="000000"/>
                <w:sz w:val="21"/>
                <w:szCs w:val="21"/>
              </w:rPr>
            </w:pPr>
            <w:r>
              <w:rPr>
                <w:rFonts w:hint="eastAsia"/>
                <w:color w:val="000000"/>
                <w:sz w:val="21"/>
                <w:szCs w:val="21"/>
              </w:rPr>
              <w:t>四硝基甲烷</w:t>
            </w:r>
          </w:p>
        </w:tc>
        <w:tc>
          <w:tcPr>
            <w:tcW w:w="2131" w:type="dxa"/>
            <w:vAlign w:val="center"/>
          </w:tcPr>
          <w:p w14:paraId="625A22A8">
            <w:pPr>
              <w:adjustRightInd w:val="0"/>
              <w:snapToGrid w:val="0"/>
              <w:ind w:firstLine="0" w:firstLineChars="0"/>
              <w:jc w:val="center"/>
              <w:rPr>
                <w:color w:val="000000"/>
                <w:sz w:val="21"/>
                <w:szCs w:val="21"/>
              </w:rPr>
            </w:pPr>
            <w:r>
              <w:rPr>
                <w:rFonts w:hint="eastAsia"/>
                <w:color w:val="000000"/>
                <w:sz w:val="21"/>
                <w:szCs w:val="21"/>
              </w:rPr>
              <w:t>509-14-8</w:t>
            </w:r>
          </w:p>
        </w:tc>
        <w:tc>
          <w:tcPr>
            <w:tcW w:w="2131" w:type="dxa"/>
            <w:vAlign w:val="center"/>
          </w:tcPr>
          <w:p w14:paraId="36F07AA5">
            <w:pPr>
              <w:adjustRightInd w:val="0"/>
              <w:snapToGrid w:val="0"/>
              <w:ind w:firstLine="0" w:firstLineChars="0"/>
              <w:jc w:val="center"/>
              <w:rPr>
                <w:color w:val="000000"/>
                <w:sz w:val="21"/>
                <w:szCs w:val="21"/>
              </w:rPr>
            </w:pPr>
            <w:r>
              <w:rPr>
                <w:rFonts w:hint="eastAsia"/>
                <w:color w:val="000000"/>
                <w:sz w:val="21"/>
                <w:szCs w:val="21"/>
              </w:rPr>
              <w:t>6.1</w:t>
            </w:r>
          </w:p>
        </w:tc>
      </w:tr>
      <w:tr w14:paraId="43C1C3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4014895A">
            <w:pPr>
              <w:widowControl/>
              <w:adjustRightInd w:val="0"/>
              <w:snapToGrid w:val="0"/>
              <w:ind w:firstLine="0" w:firstLineChars="0"/>
              <w:jc w:val="center"/>
              <w:textAlignment w:val="center"/>
              <w:rPr>
                <w:color w:val="000000"/>
                <w:sz w:val="21"/>
                <w:szCs w:val="21"/>
              </w:rPr>
            </w:pPr>
            <w:r>
              <w:rPr>
                <w:rFonts w:hint="eastAsia"/>
                <w:color w:val="000000"/>
                <w:sz w:val="21"/>
                <w:szCs w:val="21"/>
              </w:rPr>
              <w:t>25</w:t>
            </w:r>
          </w:p>
        </w:tc>
        <w:tc>
          <w:tcPr>
            <w:tcW w:w="3301" w:type="dxa"/>
            <w:vAlign w:val="center"/>
          </w:tcPr>
          <w:p w14:paraId="6EE61DB4">
            <w:pPr>
              <w:widowControl/>
              <w:adjustRightInd w:val="0"/>
              <w:snapToGrid w:val="0"/>
              <w:ind w:firstLine="0" w:firstLineChars="0"/>
              <w:jc w:val="center"/>
              <w:textAlignment w:val="center"/>
              <w:rPr>
                <w:color w:val="000000"/>
                <w:sz w:val="21"/>
                <w:szCs w:val="21"/>
              </w:rPr>
            </w:pPr>
            <w:r>
              <w:rPr>
                <w:rFonts w:hint="eastAsia"/>
                <w:color w:val="000000"/>
                <w:sz w:val="21"/>
                <w:szCs w:val="21"/>
              </w:rPr>
              <w:t>四氧化锇</w:t>
            </w:r>
          </w:p>
        </w:tc>
        <w:tc>
          <w:tcPr>
            <w:tcW w:w="2131" w:type="dxa"/>
            <w:vAlign w:val="center"/>
          </w:tcPr>
          <w:p w14:paraId="0D0E84B2">
            <w:pPr>
              <w:adjustRightInd w:val="0"/>
              <w:snapToGrid w:val="0"/>
              <w:ind w:firstLine="0" w:firstLineChars="0"/>
              <w:jc w:val="center"/>
              <w:rPr>
                <w:color w:val="000000"/>
                <w:sz w:val="21"/>
                <w:szCs w:val="21"/>
              </w:rPr>
            </w:pPr>
            <w:r>
              <w:rPr>
                <w:rFonts w:hint="eastAsia"/>
                <w:color w:val="000000"/>
                <w:sz w:val="21"/>
                <w:szCs w:val="21"/>
              </w:rPr>
              <w:t>20816-12-0</w:t>
            </w:r>
          </w:p>
        </w:tc>
        <w:tc>
          <w:tcPr>
            <w:tcW w:w="2131" w:type="dxa"/>
            <w:vAlign w:val="center"/>
          </w:tcPr>
          <w:p w14:paraId="01054F59">
            <w:pPr>
              <w:adjustRightInd w:val="0"/>
              <w:snapToGrid w:val="0"/>
              <w:ind w:firstLine="0" w:firstLineChars="0"/>
              <w:jc w:val="center"/>
              <w:rPr>
                <w:color w:val="000000"/>
                <w:sz w:val="21"/>
                <w:szCs w:val="21"/>
              </w:rPr>
            </w:pPr>
            <w:r>
              <w:rPr>
                <w:rFonts w:hint="eastAsia"/>
                <w:color w:val="000000"/>
                <w:sz w:val="21"/>
                <w:szCs w:val="21"/>
              </w:rPr>
              <w:t>6.1</w:t>
            </w:r>
          </w:p>
        </w:tc>
      </w:tr>
      <w:tr w14:paraId="221BCE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7B63B823">
            <w:pPr>
              <w:widowControl/>
              <w:adjustRightInd w:val="0"/>
              <w:snapToGrid w:val="0"/>
              <w:ind w:firstLine="0" w:firstLineChars="0"/>
              <w:jc w:val="center"/>
              <w:textAlignment w:val="center"/>
              <w:rPr>
                <w:color w:val="000000"/>
                <w:sz w:val="21"/>
                <w:szCs w:val="21"/>
              </w:rPr>
            </w:pPr>
            <w:r>
              <w:rPr>
                <w:rFonts w:hint="eastAsia"/>
                <w:color w:val="000000"/>
                <w:sz w:val="21"/>
                <w:szCs w:val="21"/>
              </w:rPr>
              <w:t>26</w:t>
            </w:r>
          </w:p>
        </w:tc>
        <w:tc>
          <w:tcPr>
            <w:tcW w:w="3301" w:type="dxa"/>
            <w:vAlign w:val="center"/>
          </w:tcPr>
          <w:p w14:paraId="3B9BFECA">
            <w:pPr>
              <w:widowControl/>
              <w:adjustRightInd w:val="0"/>
              <w:snapToGrid w:val="0"/>
              <w:ind w:firstLine="0" w:firstLineChars="0"/>
              <w:jc w:val="center"/>
              <w:textAlignment w:val="center"/>
              <w:rPr>
                <w:color w:val="000000"/>
                <w:sz w:val="21"/>
                <w:szCs w:val="21"/>
              </w:rPr>
            </w:pPr>
            <w:r>
              <w:rPr>
                <w:rFonts w:hint="eastAsia"/>
                <w:color w:val="000000"/>
                <w:sz w:val="21"/>
                <w:szCs w:val="21"/>
              </w:rPr>
              <w:t>羰基镍</w:t>
            </w:r>
          </w:p>
        </w:tc>
        <w:tc>
          <w:tcPr>
            <w:tcW w:w="2131" w:type="dxa"/>
            <w:vAlign w:val="center"/>
          </w:tcPr>
          <w:p w14:paraId="6A8A70C2">
            <w:pPr>
              <w:adjustRightInd w:val="0"/>
              <w:snapToGrid w:val="0"/>
              <w:ind w:firstLine="0" w:firstLineChars="0"/>
              <w:jc w:val="center"/>
              <w:rPr>
                <w:color w:val="000000"/>
                <w:sz w:val="21"/>
                <w:szCs w:val="21"/>
              </w:rPr>
            </w:pPr>
            <w:r>
              <w:rPr>
                <w:rFonts w:hint="eastAsia"/>
                <w:color w:val="000000"/>
                <w:sz w:val="21"/>
                <w:szCs w:val="21"/>
              </w:rPr>
              <w:t>13463-39-3</w:t>
            </w:r>
          </w:p>
        </w:tc>
        <w:tc>
          <w:tcPr>
            <w:tcW w:w="2131" w:type="dxa"/>
            <w:vAlign w:val="center"/>
          </w:tcPr>
          <w:p w14:paraId="5C14B976">
            <w:pPr>
              <w:adjustRightInd w:val="0"/>
              <w:snapToGrid w:val="0"/>
              <w:ind w:firstLine="0" w:firstLineChars="0"/>
              <w:jc w:val="center"/>
              <w:rPr>
                <w:color w:val="000000"/>
                <w:sz w:val="21"/>
                <w:szCs w:val="21"/>
              </w:rPr>
            </w:pPr>
            <w:r>
              <w:rPr>
                <w:rFonts w:hint="eastAsia"/>
                <w:color w:val="000000"/>
                <w:sz w:val="21"/>
                <w:szCs w:val="21"/>
              </w:rPr>
              <w:t>6.1</w:t>
            </w:r>
          </w:p>
        </w:tc>
      </w:tr>
      <w:tr w14:paraId="317518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1FD8FCF1">
            <w:pPr>
              <w:widowControl/>
              <w:adjustRightInd w:val="0"/>
              <w:snapToGrid w:val="0"/>
              <w:ind w:firstLine="0" w:firstLineChars="0"/>
              <w:jc w:val="center"/>
              <w:textAlignment w:val="center"/>
              <w:rPr>
                <w:color w:val="000000"/>
                <w:sz w:val="21"/>
                <w:szCs w:val="21"/>
              </w:rPr>
            </w:pPr>
            <w:r>
              <w:rPr>
                <w:rFonts w:hint="eastAsia"/>
                <w:color w:val="000000"/>
                <w:sz w:val="21"/>
                <w:szCs w:val="21"/>
              </w:rPr>
              <w:t>27</w:t>
            </w:r>
          </w:p>
        </w:tc>
        <w:tc>
          <w:tcPr>
            <w:tcW w:w="3301" w:type="dxa"/>
            <w:vAlign w:val="center"/>
          </w:tcPr>
          <w:p w14:paraId="626C700E">
            <w:pPr>
              <w:widowControl/>
              <w:adjustRightInd w:val="0"/>
              <w:snapToGrid w:val="0"/>
              <w:ind w:firstLine="0" w:firstLineChars="0"/>
              <w:jc w:val="center"/>
              <w:textAlignment w:val="center"/>
              <w:rPr>
                <w:color w:val="000000"/>
                <w:sz w:val="21"/>
                <w:szCs w:val="21"/>
              </w:rPr>
            </w:pPr>
            <w:r>
              <w:rPr>
                <w:rFonts w:hint="eastAsia"/>
                <w:color w:val="000000"/>
                <w:sz w:val="21"/>
                <w:szCs w:val="21"/>
              </w:rPr>
              <w:t>五氧化二砷</w:t>
            </w:r>
          </w:p>
        </w:tc>
        <w:tc>
          <w:tcPr>
            <w:tcW w:w="2131" w:type="dxa"/>
            <w:vAlign w:val="center"/>
          </w:tcPr>
          <w:p w14:paraId="7513C65D">
            <w:pPr>
              <w:adjustRightInd w:val="0"/>
              <w:snapToGrid w:val="0"/>
              <w:ind w:firstLine="0" w:firstLineChars="0"/>
              <w:jc w:val="center"/>
              <w:rPr>
                <w:color w:val="000000"/>
                <w:sz w:val="21"/>
                <w:szCs w:val="21"/>
              </w:rPr>
            </w:pPr>
            <w:r>
              <w:rPr>
                <w:rFonts w:hint="eastAsia"/>
                <w:color w:val="000000"/>
                <w:sz w:val="21"/>
                <w:szCs w:val="21"/>
              </w:rPr>
              <w:t>1303-28-2</w:t>
            </w:r>
          </w:p>
        </w:tc>
        <w:tc>
          <w:tcPr>
            <w:tcW w:w="2131" w:type="dxa"/>
            <w:vAlign w:val="center"/>
          </w:tcPr>
          <w:p w14:paraId="12ADD29A">
            <w:pPr>
              <w:adjustRightInd w:val="0"/>
              <w:snapToGrid w:val="0"/>
              <w:ind w:firstLine="0" w:firstLineChars="0"/>
              <w:jc w:val="center"/>
              <w:rPr>
                <w:color w:val="000000"/>
                <w:sz w:val="21"/>
                <w:szCs w:val="21"/>
              </w:rPr>
            </w:pPr>
            <w:r>
              <w:rPr>
                <w:rFonts w:hint="eastAsia"/>
                <w:color w:val="000000"/>
                <w:sz w:val="21"/>
                <w:szCs w:val="21"/>
              </w:rPr>
              <w:t>6.1</w:t>
            </w:r>
          </w:p>
        </w:tc>
      </w:tr>
      <w:tr w14:paraId="55F6DB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7432A201">
            <w:pPr>
              <w:widowControl/>
              <w:adjustRightInd w:val="0"/>
              <w:snapToGrid w:val="0"/>
              <w:ind w:firstLine="0" w:firstLineChars="0"/>
              <w:jc w:val="center"/>
              <w:textAlignment w:val="center"/>
              <w:rPr>
                <w:color w:val="000000"/>
                <w:sz w:val="21"/>
                <w:szCs w:val="21"/>
              </w:rPr>
            </w:pPr>
            <w:r>
              <w:rPr>
                <w:rFonts w:hint="eastAsia"/>
                <w:color w:val="000000"/>
                <w:sz w:val="21"/>
                <w:szCs w:val="21"/>
              </w:rPr>
              <w:t>28</w:t>
            </w:r>
          </w:p>
        </w:tc>
        <w:tc>
          <w:tcPr>
            <w:tcW w:w="3301" w:type="dxa"/>
            <w:vAlign w:val="center"/>
          </w:tcPr>
          <w:p w14:paraId="557E049C">
            <w:pPr>
              <w:widowControl/>
              <w:adjustRightInd w:val="0"/>
              <w:snapToGrid w:val="0"/>
              <w:ind w:firstLine="0" w:firstLineChars="0"/>
              <w:jc w:val="center"/>
              <w:textAlignment w:val="center"/>
              <w:rPr>
                <w:color w:val="000000"/>
                <w:sz w:val="21"/>
                <w:szCs w:val="21"/>
              </w:rPr>
            </w:pPr>
            <w:r>
              <w:rPr>
                <w:rFonts w:hint="eastAsia"/>
                <w:color w:val="000000"/>
                <w:sz w:val="21"/>
                <w:szCs w:val="21"/>
              </w:rPr>
              <w:t>亚砷酸钙（固态砷酸钙和亚砷酸钙混合物）</w:t>
            </w:r>
          </w:p>
        </w:tc>
        <w:tc>
          <w:tcPr>
            <w:tcW w:w="2131" w:type="dxa"/>
            <w:vAlign w:val="center"/>
          </w:tcPr>
          <w:p w14:paraId="5E83C570">
            <w:pPr>
              <w:adjustRightInd w:val="0"/>
              <w:snapToGrid w:val="0"/>
              <w:ind w:firstLine="0" w:firstLineChars="0"/>
              <w:jc w:val="center"/>
              <w:rPr>
                <w:color w:val="000000"/>
                <w:sz w:val="21"/>
                <w:szCs w:val="21"/>
              </w:rPr>
            </w:pPr>
            <w:r>
              <w:rPr>
                <w:rFonts w:hint="eastAsia"/>
                <w:color w:val="000000"/>
                <w:sz w:val="21"/>
                <w:szCs w:val="21"/>
              </w:rPr>
              <w:t>27152-57-4</w:t>
            </w:r>
          </w:p>
        </w:tc>
        <w:tc>
          <w:tcPr>
            <w:tcW w:w="2131" w:type="dxa"/>
            <w:vAlign w:val="center"/>
          </w:tcPr>
          <w:p w14:paraId="003A41B1">
            <w:pPr>
              <w:adjustRightInd w:val="0"/>
              <w:snapToGrid w:val="0"/>
              <w:ind w:firstLine="0" w:firstLineChars="0"/>
              <w:jc w:val="center"/>
              <w:rPr>
                <w:color w:val="000000"/>
                <w:sz w:val="21"/>
                <w:szCs w:val="21"/>
              </w:rPr>
            </w:pPr>
            <w:r>
              <w:rPr>
                <w:rFonts w:hint="eastAsia"/>
                <w:color w:val="000000"/>
                <w:sz w:val="21"/>
                <w:szCs w:val="21"/>
              </w:rPr>
              <w:t>6.1</w:t>
            </w:r>
          </w:p>
        </w:tc>
      </w:tr>
      <w:tr w14:paraId="1A572E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7A46DA34">
            <w:pPr>
              <w:widowControl/>
              <w:adjustRightInd w:val="0"/>
              <w:snapToGrid w:val="0"/>
              <w:ind w:firstLine="0" w:firstLineChars="0"/>
              <w:jc w:val="center"/>
              <w:textAlignment w:val="center"/>
              <w:rPr>
                <w:color w:val="000000"/>
                <w:sz w:val="21"/>
                <w:szCs w:val="21"/>
              </w:rPr>
            </w:pPr>
            <w:r>
              <w:rPr>
                <w:rFonts w:hint="eastAsia"/>
                <w:color w:val="000000"/>
                <w:sz w:val="21"/>
                <w:szCs w:val="21"/>
              </w:rPr>
              <w:t>29</w:t>
            </w:r>
          </w:p>
        </w:tc>
        <w:tc>
          <w:tcPr>
            <w:tcW w:w="3301" w:type="dxa"/>
            <w:vAlign w:val="center"/>
          </w:tcPr>
          <w:p w14:paraId="0B2DF9F3">
            <w:pPr>
              <w:widowControl/>
              <w:adjustRightInd w:val="0"/>
              <w:snapToGrid w:val="0"/>
              <w:ind w:firstLine="0" w:firstLineChars="0"/>
              <w:jc w:val="center"/>
              <w:textAlignment w:val="center"/>
              <w:rPr>
                <w:color w:val="000000"/>
                <w:sz w:val="21"/>
                <w:szCs w:val="21"/>
              </w:rPr>
            </w:pPr>
            <w:r>
              <w:rPr>
                <w:rFonts w:hint="eastAsia"/>
                <w:color w:val="000000"/>
                <w:sz w:val="21"/>
                <w:szCs w:val="21"/>
              </w:rPr>
              <w:t>氧化汞</w:t>
            </w:r>
          </w:p>
        </w:tc>
        <w:tc>
          <w:tcPr>
            <w:tcW w:w="2131" w:type="dxa"/>
            <w:vAlign w:val="center"/>
          </w:tcPr>
          <w:p w14:paraId="7DDA98E5">
            <w:pPr>
              <w:adjustRightInd w:val="0"/>
              <w:snapToGrid w:val="0"/>
              <w:ind w:firstLine="0" w:firstLineChars="0"/>
              <w:jc w:val="center"/>
              <w:rPr>
                <w:color w:val="000000"/>
                <w:sz w:val="21"/>
                <w:szCs w:val="21"/>
              </w:rPr>
            </w:pPr>
            <w:r>
              <w:rPr>
                <w:rFonts w:hint="eastAsia"/>
                <w:color w:val="000000"/>
                <w:sz w:val="21"/>
                <w:szCs w:val="21"/>
              </w:rPr>
              <w:t>21908-53-2</w:t>
            </w:r>
          </w:p>
        </w:tc>
        <w:tc>
          <w:tcPr>
            <w:tcW w:w="2131" w:type="dxa"/>
            <w:vAlign w:val="center"/>
          </w:tcPr>
          <w:p w14:paraId="46287D2E">
            <w:pPr>
              <w:adjustRightInd w:val="0"/>
              <w:snapToGrid w:val="0"/>
              <w:ind w:firstLine="0" w:firstLineChars="0"/>
              <w:jc w:val="center"/>
              <w:rPr>
                <w:color w:val="000000"/>
                <w:sz w:val="21"/>
                <w:szCs w:val="21"/>
              </w:rPr>
            </w:pPr>
            <w:r>
              <w:rPr>
                <w:rFonts w:hint="eastAsia"/>
                <w:color w:val="000000"/>
                <w:sz w:val="21"/>
                <w:szCs w:val="21"/>
              </w:rPr>
              <w:t>6.1</w:t>
            </w:r>
          </w:p>
        </w:tc>
      </w:tr>
      <w:tr w14:paraId="74AD29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1D9D9200">
            <w:pPr>
              <w:widowControl/>
              <w:adjustRightInd w:val="0"/>
              <w:snapToGrid w:val="0"/>
              <w:ind w:firstLine="0" w:firstLineChars="0"/>
              <w:jc w:val="center"/>
              <w:textAlignment w:val="center"/>
              <w:rPr>
                <w:color w:val="000000"/>
                <w:sz w:val="21"/>
                <w:szCs w:val="21"/>
              </w:rPr>
            </w:pPr>
            <w:r>
              <w:rPr>
                <w:rFonts w:hint="eastAsia"/>
                <w:color w:val="000000"/>
                <w:sz w:val="21"/>
                <w:szCs w:val="21"/>
              </w:rPr>
              <w:t>30</w:t>
            </w:r>
          </w:p>
        </w:tc>
        <w:tc>
          <w:tcPr>
            <w:tcW w:w="3301" w:type="dxa"/>
            <w:vAlign w:val="center"/>
          </w:tcPr>
          <w:p w14:paraId="40F6C186">
            <w:pPr>
              <w:widowControl/>
              <w:adjustRightInd w:val="0"/>
              <w:snapToGrid w:val="0"/>
              <w:ind w:firstLine="0" w:firstLineChars="0"/>
              <w:jc w:val="center"/>
              <w:textAlignment w:val="center"/>
              <w:rPr>
                <w:color w:val="000000"/>
                <w:sz w:val="21"/>
                <w:szCs w:val="21"/>
              </w:rPr>
            </w:pPr>
            <w:r>
              <w:rPr>
                <w:rFonts w:hint="eastAsia"/>
                <w:color w:val="000000"/>
                <w:sz w:val="21"/>
                <w:szCs w:val="21"/>
              </w:rPr>
              <w:t>乙撑亚胺[稳定的]</w:t>
            </w:r>
          </w:p>
        </w:tc>
        <w:tc>
          <w:tcPr>
            <w:tcW w:w="2131" w:type="dxa"/>
            <w:vAlign w:val="center"/>
          </w:tcPr>
          <w:p w14:paraId="556AFC02">
            <w:pPr>
              <w:adjustRightInd w:val="0"/>
              <w:snapToGrid w:val="0"/>
              <w:ind w:firstLine="0" w:firstLineChars="0"/>
              <w:jc w:val="center"/>
              <w:rPr>
                <w:color w:val="000000"/>
                <w:sz w:val="21"/>
                <w:szCs w:val="21"/>
              </w:rPr>
            </w:pPr>
            <w:r>
              <w:rPr>
                <w:rFonts w:hint="eastAsia"/>
                <w:color w:val="000000"/>
                <w:sz w:val="21"/>
                <w:szCs w:val="21"/>
              </w:rPr>
              <w:t>151-56-4</w:t>
            </w:r>
          </w:p>
        </w:tc>
        <w:tc>
          <w:tcPr>
            <w:tcW w:w="2131" w:type="dxa"/>
            <w:vAlign w:val="center"/>
          </w:tcPr>
          <w:p w14:paraId="0452B9C3">
            <w:pPr>
              <w:adjustRightInd w:val="0"/>
              <w:snapToGrid w:val="0"/>
              <w:ind w:firstLine="0" w:firstLineChars="0"/>
              <w:jc w:val="center"/>
              <w:rPr>
                <w:color w:val="000000"/>
                <w:sz w:val="21"/>
                <w:szCs w:val="21"/>
              </w:rPr>
            </w:pPr>
            <w:r>
              <w:rPr>
                <w:rFonts w:hint="eastAsia"/>
                <w:color w:val="000000"/>
                <w:sz w:val="21"/>
                <w:szCs w:val="21"/>
              </w:rPr>
              <w:t>6.1</w:t>
            </w:r>
          </w:p>
        </w:tc>
      </w:tr>
      <w:tr w14:paraId="4565A7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322E833A">
            <w:pPr>
              <w:widowControl/>
              <w:adjustRightInd w:val="0"/>
              <w:snapToGrid w:val="0"/>
              <w:ind w:firstLine="0" w:firstLineChars="0"/>
              <w:jc w:val="center"/>
              <w:textAlignment w:val="center"/>
              <w:rPr>
                <w:color w:val="000000"/>
                <w:sz w:val="21"/>
                <w:szCs w:val="21"/>
              </w:rPr>
            </w:pPr>
            <w:r>
              <w:rPr>
                <w:rFonts w:hint="eastAsia"/>
                <w:color w:val="000000"/>
                <w:sz w:val="21"/>
                <w:szCs w:val="21"/>
              </w:rPr>
              <w:t>31</w:t>
            </w:r>
          </w:p>
        </w:tc>
        <w:tc>
          <w:tcPr>
            <w:tcW w:w="3301" w:type="dxa"/>
            <w:vAlign w:val="center"/>
          </w:tcPr>
          <w:p w14:paraId="3D6D13F9">
            <w:pPr>
              <w:widowControl/>
              <w:adjustRightInd w:val="0"/>
              <w:snapToGrid w:val="0"/>
              <w:ind w:firstLine="0" w:firstLineChars="0"/>
              <w:jc w:val="center"/>
              <w:textAlignment w:val="center"/>
              <w:rPr>
                <w:color w:val="000000"/>
                <w:sz w:val="21"/>
                <w:szCs w:val="21"/>
              </w:rPr>
            </w:pPr>
            <w:r>
              <w:rPr>
                <w:rFonts w:hint="eastAsia"/>
                <w:color w:val="000000"/>
                <w:sz w:val="21"/>
                <w:szCs w:val="21"/>
              </w:rPr>
              <w:t>乙酸汞</w:t>
            </w:r>
          </w:p>
        </w:tc>
        <w:tc>
          <w:tcPr>
            <w:tcW w:w="2131" w:type="dxa"/>
            <w:vAlign w:val="center"/>
          </w:tcPr>
          <w:p w14:paraId="1CA41160">
            <w:pPr>
              <w:adjustRightInd w:val="0"/>
              <w:snapToGrid w:val="0"/>
              <w:ind w:firstLine="0" w:firstLineChars="0"/>
              <w:jc w:val="center"/>
              <w:rPr>
                <w:color w:val="000000"/>
                <w:sz w:val="21"/>
                <w:szCs w:val="21"/>
              </w:rPr>
            </w:pPr>
            <w:r>
              <w:rPr>
                <w:rFonts w:hint="eastAsia"/>
                <w:color w:val="000000"/>
                <w:sz w:val="21"/>
                <w:szCs w:val="21"/>
              </w:rPr>
              <w:t>1600-27-7</w:t>
            </w:r>
          </w:p>
        </w:tc>
        <w:tc>
          <w:tcPr>
            <w:tcW w:w="2131" w:type="dxa"/>
            <w:vAlign w:val="center"/>
          </w:tcPr>
          <w:p w14:paraId="5D3B4227">
            <w:pPr>
              <w:adjustRightInd w:val="0"/>
              <w:snapToGrid w:val="0"/>
              <w:ind w:firstLine="0" w:firstLineChars="0"/>
              <w:jc w:val="center"/>
              <w:rPr>
                <w:color w:val="000000"/>
                <w:sz w:val="21"/>
                <w:szCs w:val="21"/>
              </w:rPr>
            </w:pPr>
            <w:r>
              <w:rPr>
                <w:rFonts w:hint="eastAsia"/>
                <w:color w:val="000000"/>
                <w:sz w:val="21"/>
                <w:szCs w:val="21"/>
              </w:rPr>
              <w:t>6.1</w:t>
            </w:r>
          </w:p>
        </w:tc>
      </w:tr>
      <w:tr w14:paraId="71CE99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67D54249">
            <w:pPr>
              <w:widowControl/>
              <w:adjustRightInd w:val="0"/>
              <w:snapToGrid w:val="0"/>
              <w:ind w:firstLine="0" w:firstLineChars="0"/>
              <w:jc w:val="center"/>
              <w:textAlignment w:val="center"/>
              <w:rPr>
                <w:color w:val="000000"/>
                <w:sz w:val="21"/>
                <w:szCs w:val="21"/>
              </w:rPr>
            </w:pPr>
            <w:r>
              <w:rPr>
                <w:rFonts w:hint="eastAsia"/>
                <w:color w:val="000000"/>
                <w:sz w:val="21"/>
                <w:szCs w:val="21"/>
              </w:rPr>
              <w:t>32</w:t>
            </w:r>
          </w:p>
        </w:tc>
        <w:tc>
          <w:tcPr>
            <w:tcW w:w="3301" w:type="dxa"/>
            <w:vAlign w:val="center"/>
          </w:tcPr>
          <w:p w14:paraId="7B5CD91C">
            <w:pPr>
              <w:widowControl/>
              <w:adjustRightInd w:val="0"/>
              <w:snapToGrid w:val="0"/>
              <w:ind w:firstLine="0" w:firstLineChars="0"/>
              <w:jc w:val="center"/>
              <w:textAlignment w:val="center"/>
              <w:rPr>
                <w:color w:val="000000"/>
                <w:sz w:val="21"/>
                <w:szCs w:val="21"/>
              </w:rPr>
            </w:pPr>
            <w:r>
              <w:rPr>
                <w:rFonts w:hint="eastAsia"/>
                <w:color w:val="000000"/>
                <w:sz w:val="21"/>
                <w:szCs w:val="21"/>
              </w:rPr>
              <w:t>异氰酸苯酯</w:t>
            </w:r>
          </w:p>
        </w:tc>
        <w:tc>
          <w:tcPr>
            <w:tcW w:w="2131" w:type="dxa"/>
            <w:vAlign w:val="center"/>
          </w:tcPr>
          <w:p w14:paraId="34020B46">
            <w:pPr>
              <w:widowControl/>
              <w:adjustRightInd w:val="0"/>
              <w:snapToGrid w:val="0"/>
              <w:ind w:firstLine="0" w:firstLineChars="0"/>
              <w:jc w:val="center"/>
              <w:textAlignment w:val="center"/>
              <w:rPr>
                <w:color w:val="000000"/>
                <w:sz w:val="21"/>
                <w:szCs w:val="21"/>
              </w:rPr>
            </w:pPr>
            <w:r>
              <w:rPr>
                <w:rFonts w:hint="eastAsia"/>
                <w:color w:val="000000"/>
                <w:sz w:val="21"/>
                <w:szCs w:val="21"/>
              </w:rPr>
              <w:t>103-71-9</w:t>
            </w:r>
          </w:p>
        </w:tc>
        <w:tc>
          <w:tcPr>
            <w:tcW w:w="2131" w:type="dxa"/>
            <w:vAlign w:val="center"/>
          </w:tcPr>
          <w:p w14:paraId="4D7738E5">
            <w:pPr>
              <w:widowControl/>
              <w:adjustRightInd w:val="0"/>
              <w:snapToGrid w:val="0"/>
              <w:ind w:firstLine="0" w:firstLineChars="0"/>
              <w:jc w:val="center"/>
              <w:textAlignment w:val="center"/>
              <w:rPr>
                <w:color w:val="000000"/>
                <w:sz w:val="21"/>
                <w:szCs w:val="21"/>
              </w:rPr>
            </w:pPr>
            <w:r>
              <w:rPr>
                <w:rFonts w:hint="eastAsia"/>
                <w:color w:val="000000"/>
                <w:sz w:val="21"/>
                <w:szCs w:val="21"/>
              </w:rPr>
              <w:t>6.1</w:t>
            </w:r>
          </w:p>
        </w:tc>
      </w:tr>
      <w:tr w14:paraId="0BF198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1DE114E9">
            <w:pPr>
              <w:widowControl/>
              <w:adjustRightInd w:val="0"/>
              <w:snapToGrid w:val="0"/>
              <w:ind w:firstLine="0" w:firstLineChars="0"/>
              <w:jc w:val="center"/>
              <w:textAlignment w:val="center"/>
              <w:rPr>
                <w:color w:val="000000"/>
                <w:sz w:val="21"/>
                <w:szCs w:val="21"/>
              </w:rPr>
            </w:pPr>
            <w:r>
              <w:rPr>
                <w:rFonts w:hint="eastAsia"/>
                <w:color w:val="000000"/>
                <w:sz w:val="21"/>
                <w:szCs w:val="21"/>
              </w:rPr>
              <w:t>33</w:t>
            </w:r>
          </w:p>
        </w:tc>
        <w:tc>
          <w:tcPr>
            <w:tcW w:w="3301" w:type="dxa"/>
            <w:vAlign w:val="center"/>
          </w:tcPr>
          <w:p w14:paraId="5EEC0389">
            <w:pPr>
              <w:widowControl/>
              <w:adjustRightInd w:val="0"/>
              <w:snapToGrid w:val="0"/>
              <w:ind w:firstLine="0" w:firstLineChars="0"/>
              <w:jc w:val="center"/>
              <w:textAlignment w:val="center"/>
              <w:rPr>
                <w:color w:val="000000"/>
                <w:sz w:val="21"/>
                <w:szCs w:val="21"/>
              </w:rPr>
            </w:pPr>
            <w:r>
              <w:rPr>
                <w:rFonts w:hint="eastAsia"/>
                <w:color w:val="000000"/>
                <w:sz w:val="21"/>
                <w:szCs w:val="21"/>
              </w:rPr>
              <w:t>异氰酸甲酯</w:t>
            </w:r>
          </w:p>
        </w:tc>
        <w:tc>
          <w:tcPr>
            <w:tcW w:w="2131" w:type="dxa"/>
            <w:vAlign w:val="center"/>
          </w:tcPr>
          <w:p w14:paraId="1F509742">
            <w:pPr>
              <w:widowControl/>
              <w:adjustRightInd w:val="0"/>
              <w:snapToGrid w:val="0"/>
              <w:ind w:firstLine="0" w:firstLineChars="0"/>
              <w:jc w:val="center"/>
              <w:textAlignment w:val="center"/>
              <w:rPr>
                <w:color w:val="000000"/>
                <w:sz w:val="21"/>
                <w:szCs w:val="21"/>
              </w:rPr>
            </w:pPr>
            <w:r>
              <w:rPr>
                <w:rFonts w:hint="eastAsia"/>
                <w:color w:val="000000"/>
                <w:sz w:val="21"/>
                <w:szCs w:val="21"/>
              </w:rPr>
              <w:t>624-83-9</w:t>
            </w:r>
          </w:p>
        </w:tc>
        <w:tc>
          <w:tcPr>
            <w:tcW w:w="2131" w:type="dxa"/>
            <w:vAlign w:val="center"/>
          </w:tcPr>
          <w:p w14:paraId="71C77572">
            <w:pPr>
              <w:widowControl/>
              <w:adjustRightInd w:val="0"/>
              <w:snapToGrid w:val="0"/>
              <w:ind w:firstLine="0" w:firstLineChars="0"/>
              <w:jc w:val="center"/>
              <w:textAlignment w:val="center"/>
              <w:rPr>
                <w:color w:val="000000"/>
                <w:sz w:val="21"/>
                <w:szCs w:val="21"/>
              </w:rPr>
            </w:pPr>
            <w:r>
              <w:rPr>
                <w:rFonts w:hint="eastAsia"/>
                <w:color w:val="000000"/>
                <w:sz w:val="21"/>
                <w:szCs w:val="21"/>
              </w:rPr>
              <w:t>6.1</w:t>
            </w:r>
          </w:p>
        </w:tc>
      </w:tr>
    </w:tbl>
    <w:p w14:paraId="0F96F742">
      <w:pPr>
        <w:ind w:firstLine="433"/>
        <w:rPr>
          <w:spacing w:val="-1"/>
        </w:rPr>
      </w:pPr>
      <w:r>
        <w:rPr>
          <w:rFonts w:hint="eastAsia"/>
          <w:spacing w:val="-1"/>
        </w:rPr>
        <w:t>综合以上，项目码头装卸作业危险货种共8类，1734种；堆场可堆存危险货种8类，1729种。</w:t>
      </w:r>
    </w:p>
    <w:p w14:paraId="190610AA">
      <w:pPr>
        <w:pStyle w:val="7"/>
      </w:pPr>
      <w:r>
        <w:rPr>
          <w:rFonts w:hint="eastAsia"/>
        </w:rPr>
        <w:t>项目危险货种作业情况一览表</w:t>
      </w:r>
    </w:p>
    <w:tbl>
      <w:tblPr>
        <w:tblStyle w:val="88"/>
        <w:tblW w:w="8336" w:type="dxa"/>
        <w:tblInd w:w="-4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07"/>
        <w:gridCol w:w="1475"/>
        <w:gridCol w:w="5754"/>
      </w:tblGrid>
      <w:tr w14:paraId="69FACB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107" w:type="dxa"/>
            <w:tcMar>
              <w:left w:w="0" w:type="dxa"/>
              <w:right w:w="0" w:type="dxa"/>
            </w:tcMar>
            <w:vAlign w:val="center"/>
          </w:tcPr>
          <w:p w14:paraId="1AF87F7E">
            <w:pPr>
              <w:pStyle w:val="34"/>
              <w:spacing w:line="240" w:lineRule="exact"/>
              <w:rPr>
                <w:color w:val="000000"/>
                <w:szCs w:val="21"/>
              </w:rPr>
            </w:pPr>
            <w:r>
              <w:rPr>
                <w:rFonts w:hint="eastAsia"/>
                <w:color w:val="000000"/>
                <w:szCs w:val="21"/>
              </w:rPr>
              <w:t>作业区域</w:t>
            </w:r>
          </w:p>
        </w:tc>
        <w:tc>
          <w:tcPr>
            <w:tcW w:w="1475" w:type="dxa"/>
          </w:tcPr>
          <w:p w14:paraId="4A3FCEF4">
            <w:pPr>
              <w:pStyle w:val="34"/>
              <w:spacing w:line="240" w:lineRule="exact"/>
              <w:rPr>
                <w:color w:val="000000"/>
                <w:szCs w:val="21"/>
              </w:rPr>
            </w:pPr>
            <w:r>
              <w:rPr>
                <w:rFonts w:hint="eastAsia"/>
                <w:color w:val="000000"/>
                <w:szCs w:val="21"/>
              </w:rPr>
              <w:t>危险货种数量</w:t>
            </w:r>
          </w:p>
        </w:tc>
        <w:tc>
          <w:tcPr>
            <w:tcW w:w="5754" w:type="dxa"/>
            <w:tcMar>
              <w:left w:w="0" w:type="dxa"/>
              <w:right w:w="0" w:type="dxa"/>
            </w:tcMar>
            <w:vAlign w:val="center"/>
          </w:tcPr>
          <w:p w14:paraId="0CF339BD">
            <w:pPr>
              <w:pStyle w:val="34"/>
              <w:spacing w:line="240" w:lineRule="exact"/>
              <w:rPr>
                <w:color w:val="000000"/>
                <w:szCs w:val="21"/>
              </w:rPr>
            </w:pPr>
            <w:r>
              <w:rPr>
                <w:rFonts w:hint="eastAsia"/>
                <w:color w:val="000000"/>
                <w:szCs w:val="21"/>
              </w:rPr>
              <w:t>货种种类</w:t>
            </w:r>
          </w:p>
        </w:tc>
      </w:tr>
      <w:tr w14:paraId="33FA6C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restart"/>
            <w:tcMar>
              <w:left w:w="0" w:type="dxa"/>
              <w:right w:w="0" w:type="dxa"/>
            </w:tcMar>
            <w:vAlign w:val="center"/>
          </w:tcPr>
          <w:p w14:paraId="63286CDF">
            <w:pPr>
              <w:pStyle w:val="34"/>
              <w:spacing w:line="240" w:lineRule="exact"/>
              <w:rPr>
                <w:color w:val="000000"/>
                <w:szCs w:val="21"/>
              </w:rPr>
            </w:pPr>
            <w:r>
              <w:rPr>
                <w:rFonts w:hint="eastAsia"/>
                <w:color w:val="000000"/>
                <w:szCs w:val="21"/>
              </w:rPr>
              <w:t>码头作业</w:t>
            </w:r>
          </w:p>
        </w:tc>
        <w:tc>
          <w:tcPr>
            <w:tcW w:w="1475" w:type="dxa"/>
            <w:vMerge w:val="restart"/>
            <w:vAlign w:val="center"/>
          </w:tcPr>
          <w:p w14:paraId="20E580A1">
            <w:pPr>
              <w:pStyle w:val="34"/>
              <w:spacing w:line="240" w:lineRule="exact"/>
              <w:rPr>
                <w:color w:val="000000"/>
                <w:szCs w:val="21"/>
              </w:rPr>
            </w:pPr>
            <w:r>
              <w:rPr>
                <w:rFonts w:hint="eastAsia"/>
                <w:color w:val="000000"/>
                <w:szCs w:val="21"/>
              </w:rPr>
              <w:t>8类，1734种</w:t>
            </w:r>
          </w:p>
        </w:tc>
        <w:tc>
          <w:tcPr>
            <w:tcW w:w="5754" w:type="dxa"/>
            <w:tcMar>
              <w:left w:w="0" w:type="dxa"/>
              <w:right w:w="0" w:type="dxa"/>
            </w:tcMar>
            <w:vAlign w:val="center"/>
          </w:tcPr>
          <w:p w14:paraId="1F845D42">
            <w:pPr>
              <w:pStyle w:val="34"/>
              <w:spacing w:line="240" w:lineRule="exact"/>
              <w:rPr>
                <w:color w:val="000000"/>
                <w:szCs w:val="21"/>
              </w:rPr>
            </w:pPr>
            <w:r>
              <w:rPr>
                <w:rFonts w:hint="eastAsia"/>
                <w:color w:val="000000"/>
                <w:szCs w:val="21"/>
              </w:rPr>
              <w:t>第2类，148种（2.1项、2.2项）。</w:t>
            </w:r>
          </w:p>
        </w:tc>
      </w:tr>
      <w:tr w14:paraId="12F17D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291C1F40">
            <w:pPr>
              <w:pStyle w:val="34"/>
              <w:spacing w:line="240" w:lineRule="exact"/>
              <w:rPr>
                <w:color w:val="000000"/>
                <w:szCs w:val="21"/>
              </w:rPr>
            </w:pPr>
          </w:p>
        </w:tc>
        <w:tc>
          <w:tcPr>
            <w:tcW w:w="1475" w:type="dxa"/>
            <w:vMerge w:val="continue"/>
            <w:vAlign w:val="center"/>
          </w:tcPr>
          <w:p w14:paraId="36E7B091">
            <w:pPr>
              <w:pStyle w:val="34"/>
              <w:spacing w:line="240" w:lineRule="exact"/>
              <w:rPr>
                <w:color w:val="000000"/>
                <w:szCs w:val="21"/>
              </w:rPr>
            </w:pPr>
          </w:p>
        </w:tc>
        <w:tc>
          <w:tcPr>
            <w:tcW w:w="5754" w:type="dxa"/>
            <w:tcMar>
              <w:left w:w="0" w:type="dxa"/>
              <w:right w:w="0" w:type="dxa"/>
            </w:tcMar>
            <w:vAlign w:val="center"/>
          </w:tcPr>
          <w:p w14:paraId="716D8E1A">
            <w:pPr>
              <w:pStyle w:val="34"/>
              <w:spacing w:line="240" w:lineRule="exact"/>
              <w:rPr>
                <w:color w:val="000000"/>
                <w:szCs w:val="21"/>
              </w:rPr>
            </w:pPr>
            <w:r>
              <w:rPr>
                <w:rFonts w:hint="eastAsia"/>
                <w:color w:val="000000"/>
                <w:szCs w:val="21"/>
              </w:rPr>
              <w:t>第3类，390种。</w:t>
            </w:r>
          </w:p>
        </w:tc>
      </w:tr>
      <w:tr w14:paraId="1C82A7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5557FEAB">
            <w:pPr>
              <w:pStyle w:val="34"/>
              <w:spacing w:line="240" w:lineRule="exact"/>
              <w:rPr>
                <w:color w:val="000000"/>
                <w:szCs w:val="21"/>
              </w:rPr>
            </w:pPr>
          </w:p>
        </w:tc>
        <w:tc>
          <w:tcPr>
            <w:tcW w:w="1475" w:type="dxa"/>
            <w:vMerge w:val="continue"/>
            <w:vAlign w:val="center"/>
          </w:tcPr>
          <w:p w14:paraId="2BD1CBE0">
            <w:pPr>
              <w:pStyle w:val="34"/>
              <w:spacing w:line="240" w:lineRule="exact"/>
              <w:rPr>
                <w:color w:val="000000"/>
                <w:szCs w:val="21"/>
              </w:rPr>
            </w:pPr>
          </w:p>
        </w:tc>
        <w:tc>
          <w:tcPr>
            <w:tcW w:w="5754" w:type="dxa"/>
            <w:tcMar>
              <w:left w:w="0" w:type="dxa"/>
              <w:right w:w="0" w:type="dxa"/>
            </w:tcMar>
            <w:vAlign w:val="center"/>
          </w:tcPr>
          <w:p w14:paraId="2A871D7A">
            <w:pPr>
              <w:pStyle w:val="34"/>
              <w:spacing w:line="240" w:lineRule="exact"/>
              <w:rPr>
                <w:color w:val="000000"/>
                <w:szCs w:val="21"/>
              </w:rPr>
            </w:pPr>
            <w:r>
              <w:rPr>
                <w:rFonts w:hint="eastAsia"/>
                <w:color w:val="000000"/>
                <w:szCs w:val="21"/>
              </w:rPr>
              <w:t>第4类，279种（4.1项、4.2项、4.3项）。</w:t>
            </w:r>
          </w:p>
        </w:tc>
      </w:tr>
      <w:tr w14:paraId="13F7FF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5B65FBA5">
            <w:pPr>
              <w:pStyle w:val="34"/>
              <w:spacing w:line="240" w:lineRule="exact"/>
              <w:rPr>
                <w:color w:val="000000"/>
                <w:szCs w:val="21"/>
              </w:rPr>
            </w:pPr>
          </w:p>
        </w:tc>
        <w:tc>
          <w:tcPr>
            <w:tcW w:w="1475" w:type="dxa"/>
            <w:vMerge w:val="continue"/>
            <w:vAlign w:val="center"/>
          </w:tcPr>
          <w:p w14:paraId="7273C434">
            <w:pPr>
              <w:pStyle w:val="34"/>
              <w:spacing w:line="240" w:lineRule="exact"/>
              <w:rPr>
                <w:color w:val="000000"/>
                <w:szCs w:val="21"/>
              </w:rPr>
            </w:pPr>
          </w:p>
        </w:tc>
        <w:tc>
          <w:tcPr>
            <w:tcW w:w="5754" w:type="dxa"/>
            <w:tcMar>
              <w:left w:w="0" w:type="dxa"/>
              <w:right w:w="0" w:type="dxa"/>
            </w:tcMar>
            <w:vAlign w:val="center"/>
          </w:tcPr>
          <w:p w14:paraId="5E3AE1DF">
            <w:pPr>
              <w:pStyle w:val="34"/>
              <w:spacing w:line="240" w:lineRule="exact"/>
              <w:rPr>
                <w:color w:val="000000"/>
                <w:szCs w:val="21"/>
              </w:rPr>
            </w:pPr>
            <w:r>
              <w:rPr>
                <w:rFonts w:hint="eastAsia"/>
                <w:color w:val="000000"/>
                <w:szCs w:val="21"/>
              </w:rPr>
              <w:t>第5类，155种（5.1项、5.2项）。</w:t>
            </w:r>
          </w:p>
        </w:tc>
      </w:tr>
      <w:tr w14:paraId="2276A8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2C211D3B">
            <w:pPr>
              <w:pStyle w:val="34"/>
              <w:spacing w:line="240" w:lineRule="exact"/>
              <w:rPr>
                <w:color w:val="000000"/>
                <w:szCs w:val="21"/>
              </w:rPr>
            </w:pPr>
          </w:p>
        </w:tc>
        <w:tc>
          <w:tcPr>
            <w:tcW w:w="1475" w:type="dxa"/>
            <w:vMerge w:val="continue"/>
            <w:vAlign w:val="center"/>
          </w:tcPr>
          <w:p w14:paraId="0D6B31E2">
            <w:pPr>
              <w:pStyle w:val="34"/>
              <w:spacing w:line="240" w:lineRule="exact"/>
              <w:rPr>
                <w:color w:val="000000"/>
                <w:szCs w:val="21"/>
              </w:rPr>
            </w:pPr>
          </w:p>
        </w:tc>
        <w:tc>
          <w:tcPr>
            <w:tcW w:w="5754" w:type="dxa"/>
            <w:tcMar>
              <w:left w:w="0" w:type="dxa"/>
              <w:right w:w="0" w:type="dxa"/>
            </w:tcMar>
            <w:vAlign w:val="center"/>
          </w:tcPr>
          <w:p w14:paraId="64656F96">
            <w:pPr>
              <w:pStyle w:val="34"/>
              <w:spacing w:line="240" w:lineRule="exact"/>
              <w:rPr>
                <w:color w:val="000000"/>
                <w:szCs w:val="21"/>
              </w:rPr>
            </w:pPr>
            <w:r>
              <w:rPr>
                <w:rFonts w:hint="eastAsia"/>
                <w:color w:val="000000"/>
                <w:szCs w:val="21"/>
              </w:rPr>
              <w:t>第6类，439种（6.1项【剧毒物除外】）。</w:t>
            </w:r>
          </w:p>
        </w:tc>
      </w:tr>
      <w:tr w14:paraId="4FEE87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3D1AF842">
            <w:pPr>
              <w:pStyle w:val="34"/>
              <w:spacing w:line="240" w:lineRule="exact"/>
              <w:rPr>
                <w:color w:val="000000"/>
                <w:szCs w:val="21"/>
              </w:rPr>
            </w:pPr>
          </w:p>
        </w:tc>
        <w:tc>
          <w:tcPr>
            <w:tcW w:w="1475" w:type="dxa"/>
            <w:vMerge w:val="continue"/>
            <w:vAlign w:val="center"/>
          </w:tcPr>
          <w:p w14:paraId="4EB2D285">
            <w:pPr>
              <w:pStyle w:val="34"/>
              <w:spacing w:line="240" w:lineRule="exact"/>
              <w:rPr>
                <w:color w:val="000000"/>
                <w:szCs w:val="21"/>
              </w:rPr>
            </w:pPr>
          </w:p>
        </w:tc>
        <w:tc>
          <w:tcPr>
            <w:tcW w:w="5754" w:type="dxa"/>
            <w:tcMar>
              <w:left w:w="0" w:type="dxa"/>
              <w:right w:w="0" w:type="dxa"/>
            </w:tcMar>
            <w:vAlign w:val="center"/>
          </w:tcPr>
          <w:p w14:paraId="3D430A4A">
            <w:pPr>
              <w:pStyle w:val="34"/>
              <w:spacing w:line="240" w:lineRule="exact"/>
              <w:rPr>
                <w:color w:val="000000"/>
                <w:szCs w:val="21"/>
              </w:rPr>
            </w:pPr>
            <w:r>
              <w:rPr>
                <w:rFonts w:hint="eastAsia"/>
                <w:color w:val="000000"/>
                <w:szCs w:val="21"/>
              </w:rPr>
              <w:t>第8类，275种。</w:t>
            </w:r>
          </w:p>
        </w:tc>
      </w:tr>
      <w:tr w14:paraId="2307B3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0CDBE7C4">
            <w:pPr>
              <w:pStyle w:val="34"/>
              <w:spacing w:line="240" w:lineRule="exact"/>
              <w:rPr>
                <w:color w:val="000000"/>
                <w:szCs w:val="21"/>
              </w:rPr>
            </w:pPr>
          </w:p>
        </w:tc>
        <w:tc>
          <w:tcPr>
            <w:tcW w:w="1475" w:type="dxa"/>
            <w:vMerge w:val="continue"/>
            <w:vAlign w:val="center"/>
          </w:tcPr>
          <w:p w14:paraId="6B56F117">
            <w:pPr>
              <w:pStyle w:val="34"/>
              <w:spacing w:line="240" w:lineRule="exact"/>
              <w:rPr>
                <w:color w:val="000000"/>
                <w:szCs w:val="21"/>
              </w:rPr>
            </w:pPr>
          </w:p>
        </w:tc>
        <w:tc>
          <w:tcPr>
            <w:tcW w:w="5754" w:type="dxa"/>
            <w:tcMar>
              <w:left w:w="0" w:type="dxa"/>
              <w:right w:w="0" w:type="dxa"/>
            </w:tcMar>
            <w:vAlign w:val="center"/>
          </w:tcPr>
          <w:p w14:paraId="016BE39D">
            <w:pPr>
              <w:pStyle w:val="34"/>
              <w:spacing w:line="240" w:lineRule="exact"/>
              <w:rPr>
                <w:color w:val="000000"/>
                <w:szCs w:val="21"/>
              </w:rPr>
            </w:pPr>
            <w:r>
              <w:rPr>
                <w:rFonts w:hint="eastAsia"/>
                <w:color w:val="000000"/>
                <w:szCs w:val="21"/>
              </w:rPr>
              <w:t>第9类，48种。</w:t>
            </w:r>
          </w:p>
        </w:tc>
      </w:tr>
      <w:tr w14:paraId="2FB591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796B3DAC">
            <w:pPr>
              <w:pStyle w:val="34"/>
              <w:spacing w:line="240" w:lineRule="exact"/>
              <w:rPr>
                <w:color w:val="000000"/>
                <w:szCs w:val="21"/>
              </w:rPr>
            </w:pPr>
          </w:p>
        </w:tc>
        <w:tc>
          <w:tcPr>
            <w:tcW w:w="1475" w:type="dxa"/>
            <w:vMerge w:val="continue"/>
            <w:vAlign w:val="center"/>
          </w:tcPr>
          <w:p w14:paraId="2229F50C">
            <w:pPr>
              <w:pStyle w:val="34"/>
              <w:spacing w:line="240" w:lineRule="exact"/>
              <w:rPr>
                <w:color w:val="000000"/>
                <w:szCs w:val="21"/>
              </w:rPr>
            </w:pPr>
          </w:p>
        </w:tc>
        <w:tc>
          <w:tcPr>
            <w:tcW w:w="5754" w:type="dxa"/>
            <w:tcMar>
              <w:left w:w="0" w:type="dxa"/>
              <w:right w:w="0" w:type="dxa"/>
            </w:tcMar>
            <w:vAlign w:val="center"/>
          </w:tcPr>
          <w:p w14:paraId="3EAA8B7A">
            <w:pPr>
              <w:pStyle w:val="34"/>
              <w:spacing w:line="240" w:lineRule="exact"/>
              <w:rPr>
                <w:color w:val="000000"/>
                <w:szCs w:val="21"/>
              </w:rPr>
            </w:pPr>
            <w:r>
              <w:rPr>
                <w:rFonts w:hint="eastAsia"/>
                <w:color w:val="000000"/>
                <w:szCs w:val="21"/>
              </w:rPr>
              <w:t>合计：1734种</w:t>
            </w:r>
          </w:p>
        </w:tc>
      </w:tr>
      <w:tr w14:paraId="184916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restart"/>
            <w:tcMar>
              <w:left w:w="0" w:type="dxa"/>
              <w:right w:w="0" w:type="dxa"/>
            </w:tcMar>
            <w:vAlign w:val="center"/>
          </w:tcPr>
          <w:p w14:paraId="244EAAA1">
            <w:pPr>
              <w:pStyle w:val="34"/>
              <w:spacing w:line="240" w:lineRule="exact"/>
              <w:rPr>
                <w:color w:val="000000"/>
                <w:szCs w:val="21"/>
              </w:rPr>
            </w:pPr>
            <w:r>
              <w:rPr>
                <w:rFonts w:hint="eastAsia"/>
                <w:color w:val="000000"/>
                <w:szCs w:val="21"/>
              </w:rPr>
              <w:t>堆场作业</w:t>
            </w:r>
          </w:p>
        </w:tc>
        <w:tc>
          <w:tcPr>
            <w:tcW w:w="1475" w:type="dxa"/>
            <w:vMerge w:val="restart"/>
            <w:vAlign w:val="center"/>
          </w:tcPr>
          <w:p w14:paraId="78F4AC24">
            <w:pPr>
              <w:pStyle w:val="34"/>
              <w:spacing w:line="240" w:lineRule="exact"/>
              <w:rPr>
                <w:color w:val="000000"/>
                <w:szCs w:val="21"/>
              </w:rPr>
            </w:pPr>
            <w:r>
              <w:rPr>
                <w:rFonts w:hint="eastAsia"/>
                <w:color w:val="000000"/>
                <w:szCs w:val="21"/>
              </w:rPr>
              <w:t>8类，1729种</w:t>
            </w:r>
          </w:p>
        </w:tc>
        <w:tc>
          <w:tcPr>
            <w:tcW w:w="5754" w:type="dxa"/>
            <w:tcMar>
              <w:left w:w="0" w:type="dxa"/>
              <w:right w:w="0" w:type="dxa"/>
            </w:tcMar>
            <w:vAlign w:val="center"/>
          </w:tcPr>
          <w:p w14:paraId="5D7CD01F">
            <w:pPr>
              <w:pStyle w:val="34"/>
              <w:spacing w:line="240" w:lineRule="exact"/>
              <w:rPr>
                <w:color w:val="000000"/>
                <w:szCs w:val="21"/>
              </w:rPr>
            </w:pPr>
            <w:r>
              <w:rPr>
                <w:rFonts w:hint="eastAsia"/>
                <w:color w:val="000000"/>
                <w:szCs w:val="21"/>
              </w:rPr>
              <w:t>第2类，148种（2.1项、2.2项）。</w:t>
            </w:r>
          </w:p>
        </w:tc>
      </w:tr>
      <w:tr w14:paraId="502139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46F49D2F">
            <w:pPr>
              <w:pStyle w:val="34"/>
              <w:spacing w:line="240" w:lineRule="exact"/>
              <w:rPr>
                <w:color w:val="000000"/>
                <w:szCs w:val="21"/>
              </w:rPr>
            </w:pPr>
          </w:p>
        </w:tc>
        <w:tc>
          <w:tcPr>
            <w:tcW w:w="1475" w:type="dxa"/>
            <w:vMerge w:val="continue"/>
            <w:vAlign w:val="center"/>
          </w:tcPr>
          <w:p w14:paraId="313EF75B">
            <w:pPr>
              <w:pStyle w:val="34"/>
              <w:spacing w:line="240" w:lineRule="exact"/>
              <w:rPr>
                <w:color w:val="000000"/>
                <w:szCs w:val="21"/>
              </w:rPr>
            </w:pPr>
          </w:p>
        </w:tc>
        <w:tc>
          <w:tcPr>
            <w:tcW w:w="5754" w:type="dxa"/>
            <w:tcMar>
              <w:left w:w="0" w:type="dxa"/>
              <w:right w:w="0" w:type="dxa"/>
            </w:tcMar>
            <w:vAlign w:val="center"/>
          </w:tcPr>
          <w:p w14:paraId="57A42B62">
            <w:pPr>
              <w:pStyle w:val="34"/>
              <w:spacing w:line="240" w:lineRule="exact"/>
              <w:rPr>
                <w:color w:val="000000"/>
                <w:szCs w:val="21"/>
              </w:rPr>
            </w:pPr>
            <w:r>
              <w:rPr>
                <w:rFonts w:hint="eastAsia"/>
                <w:color w:val="000000"/>
                <w:szCs w:val="21"/>
              </w:rPr>
              <w:t>第3类，390种。</w:t>
            </w:r>
          </w:p>
        </w:tc>
      </w:tr>
      <w:tr w14:paraId="430EF7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25B42AB9">
            <w:pPr>
              <w:pStyle w:val="34"/>
              <w:spacing w:line="240" w:lineRule="exact"/>
              <w:rPr>
                <w:color w:val="000000"/>
                <w:szCs w:val="21"/>
              </w:rPr>
            </w:pPr>
          </w:p>
        </w:tc>
        <w:tc>
          <w:tcPr>
            <w:tcW w:w="1475" w:type="dxa"/>
            <w:vMerge w:val="continue"/>
            <w:vAlign w:val="center"/>
          </w:tcPr>
          <w:p w14:paraId="0BD7B13C">
            <w:pPr>
              <w:pStyle w:val="34"/>
              <w:spacing w:line="240" w:lineRule="exact"/>
              <w:rPr>
                <w:color w:val="000000"/>
                <w:szCs w:val="21"/>
              </w:rPr>
            </w:pPr>
          </w:p>
        </w:tc>
        <w:tc>
          <w:tcPr>
            <w:tcW w:w="5754" w:type="dxa"/>
            <w:tcMar>
              <w:left w:w="0" w:type="dxa"/>
              <w:right w:w="0" w:type="dxa"/>
            </w:tcMar>
            <w:vAlign w:val="center"/>
          </w:tcPr>
          <w:p w14:paraId="6CB6FCD9">
            <w:pPr>
              <w:pStyle w:val="34"/>
              <w:spacing w:line="240" w:lineRule="exact"/>
              <w:rPr>
                <w:color w:val="000000"/>
                <w:szCs w:val="21"/>
              </w:rPr>
            </w:pPr>
            <w:r>
              <w:rPr>
                <w:rFonts w:hint="eastAsia"/>
                <w:color w:val="000000"/>
                <w:szCs w:val="21"/>
              </w:rPr>
              <w:t>第4类，279种（4.1项、4.2项、4.3项）。</w:t>
            </w:r>
          </w:p>
        </w:tc>
      </w:tr>
      <w:tr w14:paraId="22CA1C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303C03FD">
            <w:pPr>
              <w:pStyle w:val="34"/>
              <w:spacing w:line="240" w:lineRule="exact"/>
              <w:rPr>
                <w:color w:val="000000"/>
                <w:szCs w:val="21"/>
              </w:rPr>
            </w:pPr>
          </w:p>
        </w:tc>
        <w:tc>
          <w:tcPr>
            <w:tcW w:w="1475" w:type="dxa"/>
            <w:vMerge w:val="continue"/>
            <w:vAlign w:val="center"/>
          </w:tcPr>
          <w:p w14:paraId="0971CEFD">
            <w:pPr>
              <w:pStyle w:val="34"/>
              <w:spacing w:line="240" w:lineRule="exact"/>
              <w:rPr>
                <w:color w:val="000000"/>
                <w:szCs w:val="21"/>
              </w:rPr>
            </w:pPr>
          </w:p>
        </w:tc>
        <w:tc>
          <w:tcPr>
            <w:tcW w:w="5754" w:type="dxa"/>
            <w:tcMar>
              <w:left w:w="0" w:type="dxa"/>
              <w:right w:w="0" w:type="dxa"/>
            </w:tcMar>
            <w:vAlign w:val="center"/>
          </w:tcPr>
          <w:p w14:paraId="6E1E7DB9">
            <w:pPr>
              <w:pStyle w:val="34"/>
              <w:spacing w:line="240" w:lineRule="exact"/>
              <w:rPr>
                <w:color w:val="000000"/>
                <w:szCs w:val="21"/>
              </w:rPr>
            </w:pPr>
            <w:r>
              <w:rPr>
                <w:rFonts w:hint="eastAsia"/>
                <w:color w:val="000000"/>
                <w:szCs w:val="21"/>
              </w:rPr>
              <w:t>第5类，151种（5.1项、5.2项）。</w:t>
            </w:r>
          </w:p>
        </w:tc>
      </w:tr>
      <w:tr w14:paraId="43B38C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3EBF5184">
            <w:pPr>
              <w:pStyle w:val="34"/>
              <w:spacing w:line="240" w:lineRule="exact"/>
              <w:rPr>
                <w:color w:val="000000"/>
                <w:szCs w:val="21"/>
              </w:rPr>
            </w:pPr>
          </w:p>
        </w:tc>
        <w:tc>
          <w:tcPr>
            <w:tcW w:w="1475" w:type="dxa"/>
            <w:vMerge w:val="continue"/>
            <w:vAlign w:val="center"/>
          </w:tcPr>
          <w:p w14:paraId="4CA71084">
            <w:pPr>
              <w:pStyle w:val="34"/>
              <w:spacing w:line="240" w:lineRule="exact"/>
              <w:rPr>
                <w:color w:val="000000"/>
                <w:szCs w:val="21"/>
              </w:rPr>
            </w:pPr>
          </w:p>
        </w:tc>
        <w:tc>
          <w:tcPr>
            <w:tcW w:w="5754" w:type="dxa"/>
            <w:tcMar>
              <w:left w:w="0" w:type="dxa"/>
              <w:right w:w="0" w:type="dxa"/>
            </w:tcMar>
            <w:vAlign w:val="center"/>
          </w:tcPr>
          <w:p w14:paraId="40317072">
            <w:pPr>
              <w:pStyle w:val="34"/>
              <w:spacing w:line="240" w:lineRule="exact"/>
              <w:rPr>
                <w:color w:val="000000"/>
                <w:szCs w:val="21"/>
              </w:rPr>
            </w:pPr>
            <w:r>
              <w:rPr>
                <w:rFonts w:hint="eastAsia"/>
                <w:color w:val="000000"/>
                <w:szCs w:val="21"/>
              </w:rPr>
              <w:t>第6类，439种（6.1项【剧毒物除外】）。</w:t>
            </w:r>
          </w:p>
        </w:tc>
      </w:tr>
      <w:tr w14:paraId="667CAD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5A2B523A">
            <w:pPr>
              <w:pStyle w:val="34"/>
              <w:spacing w:line="240" w:lineRule="exact"/>
              <w:rPr>
                <w:color w:val="000000"/>
                <w:szCs w:val="21"/>
              </w:rPr>
            </w:pPr>
          </w:p>
        </w:tc>
        <w:tc>
          <w:tcPr>
            <w:tcW w:w="1475" w:type="dxa"/>
            <w:vMerge w:val="continue"/>
            <w:vAlign w:val="center"/>
          </w:tcPr>
          <w:p w14:paraId="4AFE68EA">
            <w:pPr>
              <w:pStyle w:val="34"/>
              <w:spacing w:line="240" w:lineRule="exact"/>
              <w:rPr>
                <w:color w:val="000000"/>
                <w:szCs w:val="21"/>
              </w:rPr>
            </w:pPr>
          </w:p>
        </w:tc>
        <w:tc>
          <w:tcPr>
            <w:tcW w:w="5754" w:type="dxa"/>
            <w:tcMar>
              <w:left w:w="0" w:type="dxa"/>
              <w:right w:w="0" w:type="dxa"/>
            </w:tcMar>
            <w:vAlign w:val="center"/>
          </w:tcPr>
          <w:p w14:paraId="1D0BBDCA">
            <w:pPr>
              <w:pStyle w:val="34"/>
              <w:spacing w:line="240" w:lineRule="exact"/>
              <w:rPr>
                <w:color w:val="000000"/>
                <w:szCs w:val="21"/>
              </w:rPr>
            </w:pPr>
            <w:r>
              <w:rPr>
                <w:rFonts w:hint="eastAsia"/>
                <w:color w:val="000000"/>
                <w:szCs w:val="21"/>
              </w:rPr>
              <w:t>第8类，275种。</w:t>
            </w:r>
          </w:p>
        </w:tc>
      </w:tr>
      <w:tr w14:paraId="4B580C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581D924A">
            <w:pPr>
              <w:pStyle w:val="34"/>
              <w:spacing w:line="240" w:lineRule="exact"/>
              <w:rPr>
                <w:color w:val="000000"/>
                <w:szCs w:val="21"/>
              </w:rPr>
            </w:pPr>
          </w:p>
        </w:tc>
        <w:tc>
          <w:tcPr>
            <w:tcW w:w="1475" w:type="dxa"/>
            <w:vMerge w:val="continue"/>
            <w:vAlign w:val="center"/>
          </w:tcPr>
          <w:p w14:paraId="0181FF72">
            <w:pPr>
              <w:pStyle w:val="34"/>
              <w:spacing w:line="240" w:lineRule="exact"/>
              <w:rPr>
                <w:color w:val="000000"/>
                <w:szCs w:val="21"/>
              </w:rPr>
            </w:pPr>
          </w:p>
        </w:tc>
        <w:tc>
          <w:tcPr>
            <w:tcW w:w="5754" w:type="dxa"/>
            <w:tcMar>
              <w:left w:w="0" w:type="dxa"/>
              <w:right w:w="0" w:type="dxa"/>
            </w:tcMar>
            <w:vAlign w:val="center"/>
          </w:tcPr>
          <w:p w14:paraId="733174BB">
            <w:pPr>
              <w:pStyle w:val="34"/>
              <w:spacing w:line="240" w:lineRule="exact"/>
              <w:rPr>
                <w:color w:val="000000"/>
                <w:szCs w:val="21"/>
              </w:rPr>
            </w:pPr>
            <w:r>
              <w:rPr>
                <w:rFonts w:hint="eastAsia"/>
                <w:color w:val="000000"/>
                <w:szCs w:val="21"/>
              </w:rPr>
              <w:t>第9类，47种。</w:t>
            </w:r>
          </w:p>
        </w:tc>
      </w:tr>
      <w:tr w14:paraId="615B5D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0BDA7188">
            <w:pPr>
              <w:pStyle w:val="34"/>
              <w:spacing w:line="240" w:lineRule="exact"/>
              <w:rPr>
                <w:color w:val="000000"/>
                <w:szCs w:val="21"/>
              </w:rPr>
            </w:pPr>
          </w:p>
        </w:tc>
        <w:tc>
          <w:tcPr>
            <w:tcW w:w="1475" w:type="dxa"/>
            <w:vMerge w:val="continue"/>
            <w:vAlign w:val="center"/>
          </w:tcPr>
          <w:p w14:paraId="56421B10">
            <w:pPr>
              <w:pStyle w:val="34"/>
              <w:spacing w:line="240" w:lineRule="exact"/>
              <w:rPr>
                <w:color w:val="000000"/>
                <w:szCs w:val="21"/>
              </w:rPr>
            </w:pPr>
          </w:p>
        </w:tc>
        <w:tc>
          <w:tcPr>
            <w:tcW w:w="5754" w:type="dxa"/>
            <w:tcMar>
              <w:left w:w="0" w:type="dxa"/>
              <w:right w:w="0" w:type="dxa"/>
            </w:tcMar>
            <w:vAlign w:val="center"/>
          </w:tcPr>
          <w:p w14:paraId="4115188B">
            <w:pPr>
              <w:pStyle w:val="34"/>
              <w:spacing w:line="240" w:lineRule="exact"/>
              <w:rPr>
                <w:color w:val="000000"/>
                <w:szCs w:val="21"/>
              </w:rPr>
            </w:pPr>
            <w:r>
              <w:rPr>
                <w:rFonts w:hint="eastAsia"/>
                <w:color w:val="000000"/>
                <w:szCs w:val="21"/>
              </w:rPr>
              <w:t>合计：1729种（硝酸铵类除外）</w:t>
            </w:r>
          </w:p>
        </w:tc>
      </w:tr>
    </w:tbl>
    <w:p w14:paraId="3F528D6B">
      <w:pPr>
        <w:ind w:firstLine="433"/>
        <w:rPr>
          <w:spacing w:val="-1"/>
        </w:rPr>
      </w:pPr>
      <w:r>
        <w:rPr>
          <w:rFonts w:hint="eastAsia"/>
          <w:spacing w:val="-1"/>
        </w:rPr>
        <w:t>2、重点关注的危险物质筛选</w:t>
      </w:r>
    </w:p>
    <w:p w14:paraId="236F6152">
      <w:pPr>
        <w:ind w:firstLine="433"/>
        <w:rPr>
          <w:spacing w:val="-1"/>
        </w:rPr>
      </w:pPr>
      <w:r>
        <w:rPr>
          <w:rFonts w:hint="eastAsia"/>
          <w:spacing w:val="-1"/>
        </w:rPr>
        <w:t>本次筛选参照《建设项目环境风险评价技术导则》（HJ 169-2018）中表B.1重点关注的危险物质及表B.2其他危险物质、《首批重点监管的危险化学品名录》（安监总管三〔2011〕95号）、《第二批重点监管的危险化学品名录》（安监总管三〔2013〕12号）、《有毒有害大气污染物名录（2018年）》（公告2019年 第4号）、《有毒有害水污染物名录（第一批）》（公告2019年 第28号）、《重点管控新污染物清单（2023 年版）》、《中国严格限制的有毒化学品名录》（2023年）（公告2023年 第32号）、《易制毒化学品的分类和品种目录》（2018年修订）进行。筛选出其中危险特性及毒性强、运输量大的代表性危险物质，共75种，其余货种环境及健康急性毒性风险小于代表性物质。本次筛选参照的技术导则及相关管制清单的适用特点见表5.2-1。项目重点关注的代表性危险物质筛选汇总见表</w:t>
      </w:r>
      <w:r>
        <w:rPr>
          <w:spacing w:val="-1"/>
        </w:rPr>
        <w:t>5.2-</w:t>
      </w:r>
      <w:r>
        <w:rPr>
          <w:rFonts w:hint="eastAsia"/>
          <w:spacing w:val="-1"/>
        </w:rPr>
        <w:t>2，重点关注的代表性危险物质的理化性质及危险特性见表5.2-3、表5.2-4。</w:t>
      </w:r>
    </w:p>
    <w:p w14:paraId="02F53F5D">
      <w:pPr>
        <w:pStyle w:val="7"/>
      </w:pPr>
      <w:r>
        <w:t>本次筛选主要参考的相关文件适用情况汇总表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64"/>
        <w:gridCol w:w="1870"/>
        <w:gridCol w:w="975"/>
        <w:gridCol w:w="1636"/>
        <w:gridCol w:w="1479"/>
        <w:gridCol w:w="2098"/>
      </w:tblGrid>
      <w:tr w14:paraId="507831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464" w:type="dxa"/>
            <w:vAlign w:val="center"/>
          </w:tcPr>
          <w:p w14:paraId="158C8B95">
            <w:pPr>
              <w:pStyle w:val="34"/>
            </w:pPr>
            <w:r>
              <w:t>序号</w:t>
            </w:r>
          </w:p>
        </w:tc>
        <w:tc>
          <w:tcPr>
            <w:tcW w:w="2845" w:type="dxa"/>
            <w:gridSpan w:val="2"/>
            <w:vAlign w:val="center"/>
          </w:tcPr>
          <w:p w14:paraId="4BD3A0D5">
            <w:pPr>
              <w:pStyle w:val="34"/>
            </w:pPr>
            <w:r>
              <w:t>相关文件</w:t>
            </w:r>
          </w:p>
        </w:tc>
        <w:tc>
          <w:tcPr>
            <w:tcW w:w="1636" w:type="dxa"/>
            <w:vAlign w:val="center"/>
          </w:tcPr>
          <w:p w14:paraId="10CDE3B9">
            <w:pPr>
              <w:pStyle w:val="34"/>
            </w:pPr>
            <w:r>
              <w:t>重点管控</w:t>
            </w:r>
            <w:r>
              <w:rPr>
                <w:rFonts w:hint="eastAsia"/>
              </w:rPr>
              <w:t>对象</w:t>
            </w:r>
          </w:p>
        </w:tc>
        <w:tc>
          <w:tcPr>
            <w:tcW w:w="1479" w:type="dxa"/>
            <w:vAlign w:val="center"/>
          </w:tcPr>
          <w:p w14:paraId="45A5E99A">
            <w:pPr>
              <w:pStyle w:val="34"/>
            </w:pPr>
            <w:r>
              <w:t>重点管控的危险物质</w:t>
            </w:r>
          </w:p>
        </w:tc>
        <w:tc>
          <w:tcPr>
            <w:tcW w:w="2098" w:type="dxa"/>
            <w:vAlign w:val="center"/>
          </w:tcPr>
          <w:p w14:paraId="08FF9808">
            <w:pPr>
              <w:pStyle w:val="34"/>
            </w:pPr>
            <w:r>
              <w:rPr>
                <w:rFonts w:hint="eastAsia"/>
              </w:rPr>
              <w:t>备注</w:t>
            </w:r>
          </w:p>
        </w:tc>
      </w:tr>
      <w:tr w14:paraId="7F42F1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Align w:val="center"/>
          </w:tcPr>
          <w:p w14:paraId="2E15260A">
            <w:pPr>
              <w:pStyle w:val="34"/>
            </w:pPr>
            <w:r>
              <w:rPr>
                <w:rFonts w:hint="eastAsia"/>
              </w:rPr>
              <w:t>1</w:t>
            </w:r>
          </w:p>
        </w:tc>
        <w:tc>
          <w:tcPr>
            <w:tcW w:w="2845" w:type="dxa"/>
            <w:gridSpan w:val="2"/>
            <w:vAlign w:val="center"/>
          </w:tcPr>
          <w:p w14:paraId="7C610FB7">
            <w:pPr>
              <w:pStyle w:val="34"/>
            </w:pPr>
            <w:r>
              <w:rPr>
                <w:rFonts w:hint="eastAsia"/>
              </w:rPr>
              <w:t>《建设项目环境风险评价技术导则》（HJ 169-2018）中表B.1重点关注的危险物质及表B.2其他危险物质</w:t>
            </w:r>
          </w:p>
        </w:tc>
        <w:tc>
          <w:tcPr>
            <w:tcW w:w="1636" w:type="dxa"/>
            <w:vAlign w:val="center"/>
          </w:tcPr>
          <w:p w14:paraId="32A4E7A0">
            <w:pPr>
              <w:pStyle w:val="34"/>
            </w:pPr>
            <w:r>
              <w:rPr>
                <w:rFonts w:hint="eastAsia"/>
              </w:rPr>
              <w:t>-</w:t>
            </w:r>
          </w:p>
        </w:tc>
        <w:tc>
          <w:tcPr>
            <w:tcW w:w="1479" w:type="dxa"/>
            <w:vAlign w:val="center"/>
          </w:tcPr>
          <w:p w14:paraId="7B56C09C">
            <w:pPr>
              <w:pStyle w:val="34"/>
            </w:pPr>
            <w:r>
              <w:t>重点关注的危险物质共</w:t>
            </w:r>
            <w:r>
              <w:rPr>
                <w:rFonts w:hint="eastAsia"/>
              </w:rPr>
              <w:t>385种，项目涉及的共210种</w:t>
            </w:r>
          </w:p>
        </w:tc>
        <w:tc>
          <w:tcPr>
            <w:tcW w:w="2098" w:type="dxa"/>
            <w:vAlign w:val="center"/>
          </w:tcPr>
          <w:p w14:paraId="4A28188F">
            <w:pPr>
              <w:pStyle w:val="34"/>
            </w:pPr>
            <w:r>
              <w:rPr>
                <w:rFonts w:hint="eastAsia"/>
              </w:rPr>
              <w:t>如白磷、苯酚、丙烯腈、丁醇等</w:t>
            </w:r>
          </w:p>
        </w:tc>
      </w:tr>
      <w:tr w14:paraId="22D893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Align w:val="center"/>
          </w:tcPr>
          <w:p w14:paraId="4633D2E3">
            <w:pPr>
              <w:pStyle w:val="34"/>
            </w:pPr>
            <w:r>
              <w:rPr>
                <w:rFonts w:hint="eastAsia"/>
              </w:rPr>
              <w:t>2</w:t>
            </w:r>
          </w:p>
        </w:tc>
        <w:tc>
          <w:tcPr>
            <w:tcW w:w="2845" w:type="dxa"/>
            <w:gridSpan w:val="2"/>
            <w:vAlign w:val="center"/>
          </w:tcPr>
          <w:p w14:paraId="4D2E199E">
            <w:pPr>
              <w:pStyle w:val="34"/>
            </w:pPr>
            <w:r>
              <w:rPr>
                <w:rFonts w:hint="eastAsia"/>
              </w:rPr>
              <w:t>《首批重点监管的危险化学品名录》</w:t>
            </w:r>
          </w:p>
        </w:tc>
        <w:tc>
          <w:tcPr>
            <w:tcW w:w="1636" w:type="dxa"/>
            <w:vMerge w:val="restart"/>
            <w:vAlign w:val="center"/>
          </w:tcPr>
          <w:p w14:paraId="7C99A35A">
            <w:pPr>
              <w:pStyle w:val="34"/>
            </w:pPr>
            <w:r>
              <w:rPr>
                <w:rFonts w:hint="eastAsia"/>
              </w:rPr>
              <w:t>生产、储存、使用重点监管的危险化学品的企业及各级管理部门</w:t>
            </w:r>
          </w:p>
        </w:tc>
        <w:tc>
          <w:tcPr>
            <w:tcW w:w="1479" w:type="dxa"/>
            <w:vAlign w:val="center"/>
          </w:tcPr>
          <w:p w14:paraId="2D1CB58C">
            <w:pPr>
              <w:pStyle w:val="34"/>
            </w:pPr>
            <w:r>
              <w:t>共</w:t>
            </w:r>
            <w:r>
              <w:rPr>
                <w:rFonts w:hint="eastAsia"/>
              </w:rPr>
              <w:t>60种，项目涉及的共52种</w:t>
            </w:r>
          </w:p>
        </w:tc>
        <w:tc>
          <w:tcPr>
            <w:tcW w:w="2098" w:type="dxa"/>
            <w:vAlign w:val="center"/>
          </w:tcPr>
          <w:p w14:paraId="416D8D75">
            <w:pPr>
              <w:pStyle w:val="34"/>
            </w:pPr>
            <w:r>
              <w:rPr>
                <w:rFonts w:hint="eastAsia"/>
              </w:rPr>
              <w:t>如氨、二氧化硫、氟化氢、甲苯、1,3-丁二烯、苯酚等</w:t>
            </w:r>
          </w:p>
        </w:tc>
      </w:tr>
      <w:tr w14:paraId="4CE364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Align w:val="center"/>
          </w:tcPr>
          <w:p w14:paraId="69AFBD71">
            <w:pPr>
              <w:pStyle w:val="34"/>
            </w:pPr>
            <w:r>
              <w:rPr>
                <w:rFonts w:hint="eastAsia"/>
              </w:rPr>
              <w:t>3</w:t>
            </w:r>
          </w:p>
        </w:tc>
        <w:tc>
          <w:tcPr>
            <w:tcW w:w="2845" w:type="dxa"/>
            <w:gridSpan w:val="2"/>
            <w:vAlign w:val="center"/>
          </w:tcPr>
          <w:p w14:paraId="160389CB">
            <w:pPr>
              <w:pStyle w:val="34"/>
            </w:pPr>
            <w:r>
              <w:rPr>
                <w:rFonts w:hint="eastAsia"/>
              </w:rPr>
              <w:t>《第二批重点监管的危险化学品名录》</w:t>
            </w:r>
          </w:p>
        </w:tc>
        <w:tc>
          <w:tcPr>
            <w:tcW w:w="1636" w:type="dxa"/>
            <w:vMerge w:val="continue"/>
            <w:vAlign w:val="center"/>
          </w:tcPr>
          <w:p w14:paraId="20CA003F">
            <w:pPr>
              <w:pStyle w:val="34"/>
            </w:pPr>
          </w:p>
        </w:tc>
        <w:tc>
          <w:tcPr>
            <w:tcW w:w="1479" w:type="dxa"/>
            <w:vAlign w:val="center"/>
          </w:tcPr>
          <w:p w14:paraId="00784004">
            <w:pPr>
              <w:pStyle w:val="34"/>
            </w:pPr>
            <w:r>
              <w:t>共</w:t>
            </w:r>
            <w:r>
              <w:rPr>
                <w:rFonts w:hint="eastAsia"/>
              </w:rPr>
              <w:t>14种，项目涉及的共7种</w:t>
            </w:r>
          </w:p>
        </w:tc>
        <w:tc>
          <w:tcPr>
            <w:tcW w:w="2098" w:type="dxa"/>
            <w:vAlign w:val="center"/>
          </w:tcPr>
          <w:p w14:paraId="203C85BD">
            <w:pPr>
              <w:pStyle w:val="34"/>
            </w:pPr>
            <w:r>
              <w:rPr>
                <w:rFonts w:hint="eastAsia"/>
              </w:rPr>
              <w:t xml:space="preserve">氯酸钠、氯酸钾、硝化纤维素、硝酸胍、硝基胍、硝化甘油、乙醚 </w:t>
            </w:r>
          </w:p>
        </w:tc>
      </w:tr>
      <w:tr w14:paraId="0A25E0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Align w:val="center"/>
          </w:tcPr>
          <w:p w14:paraId="4A953FBD">
            <w:pPr>
              <w:pStyle w:val="34"/>
            </w:pPr>
            <w:r>
              <w:rPr>
                <w:rFonts w:hint="eastAsia"/>
              </w:rPr>
              <w:t>4</w:t>
            </w:r>
          </w:p>
        </w:tc>
        <w:tc>
          <w:tcPr>
            <w:tcW w:w="2845" w:type="dxa"/>
            <w:gridSpan w:val="2"/>
            <w:vAlign w:val="center"/>
          </w:tcPr>
          <w:p w14:paraId="5ABB14F8">
            <w:pPr>
              <w:pStyle w:val="34"/>
            </w:pPr>
            <w:r>
              <w:rPr>
                <w:rFonts w:hint="eastAsia"/>
              </w:rPr>
              <w:t>《有毒有害大气污染物名录（2018年）》</w:t>
            </w:r>
          </w:p>
        </w:tc>
        <w:tc>
          <w:tcPr>
            <w:tcW w:w="1636" w:type="dxa"/>
            <w:vMerge w:val="restart"/>
            <w:vAlign w:val="center"/>
          </w:tcPr>
          <w:p w14:paraId="562049BB">
            <w:pPr>
              <w:pStyle w:val="34"/>
            </w:pPr>
            <w:r>
              <w:rPr>
                <w:rFonts w:hint="eastAsia"/>
              </w:rPr>
              <w:t>环境监管重点管控单位</w:t>
            </w:r>
          </w:p>
        </w:tc>
        <w:tc>
          <w:tcPr>
            <w:tcW w:w="1479" w:type="dxa"/>
            <w:vAlign w:val="center"/>
          </w:tcPr>
          <w:p w14:paraId="2FB96A65">
            <w:pPr>
              <w:pStyle w:val="34"/>
            </w:pPr>
            <w:r>
              <w:t>共</w:t>
            </w:r>
            <w:r>
              <w:rPr>
                <w:rFonts w:hint="eastAsia"/>
              </w:rPr>
              <w:t>11种，项目涉及的共11种</w:t>
            </w:r>
          </w:p>
        </w:tc>
        <w:tc>
          <w:tcPr>
            <w:tcW w:w="2098" w:type="dxa"/>
            <w:vAlign w:val="center"/>
          </w:tcPr>
          <w:p w14:paraId="773367E6">
            <w:pPr>
              <w:pStyle w:val="34"/>
            </w:pPr>
            <w:r>
              <w:t>二氯甲烷、甲醛、三氯甲烷、三氯乙烯、四氯乙烯、乙醛</w:t>
            </w:r>
            <w:r>
              <w:rPr>
                <w:rFonts w:hint="eastAsia"/>
              </w:rPr>
              <w:t>；</w:t>
            </w:r>
            <w:r>
              <w:t>铬、镉、汞、铅、砷及其化合物</w:t>
            </w:r>
          </w:p>
        </w:tc>
      </w:tr>
      <w:tr w14:paraId="0FE101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Align w:val="center"/>
          </w:tcPr>
          <w:p w14:paraId="6A1462AC">
            <w:pPr>
              <w:pStyle w:val="34"/>
            </w:pPr>
            <w:r>
              <w:rPr>
                <w:rFonts w:hint="eastAsia"/>
              </w:rPr>
              <w:t>5</w:t>
            </w:r>
          </w:p>
        </w:tc>
        <w:tc>
          <w:tcPr>
            <w:tcW w:w="2845" w:type="dxa"/>
            <w:gridSpan w:val="2"/>
            <w:vAlign w:val="center"/>
          </w:tcPr>
          <w:p w14:paraId="2B1A5706">
            <w:pPr>
              <w:pStyle w:val="34"/>
            </w:pPr>
            <w:r>
              <w:rPr>
                <w:rFonts w:hint="eastAsia"/>
              </w:rPr>
              <w:t>《有毒有害水污染物名录</w:t>
            </w:r>
          </w:p>
          <w:p w14:paraId="2C89424B">
            <w:pPr>
              <w:pStyle w:val="34"/>
            </w:pPr>
            <w:r>
              <w:rPr>
                <w:rFonts w:hint="eastAsia"/>
              </w:rPr>
              <w:t>（第一批）》</w:t>
            </w:r>
          </w:p>
        </w:tc>
        <w:tc>
          <w:tcPr>
            <w:tcW w:w="1636" w:type="dxa"/>
            <w:vMerge w:val="continue"/>
            <w:vAlign w:val="center"/>
          </w:tcPr>
          <w:p w14:paraId="28C10B2B">
            <w:pPr>
              <w:pStyle w:val="34"/>
            </w:pPr>
          </w:p>
        </w:tc>
        <w:tc>
          <w:tcPr>
            <w:tcW w:w="1479" w:type="dxa"/>
            <w:vAlign w:val="center"/>
          </w:tcPr>
          <w:p w14:paraId="10D634E2">
            <w:pPr>
              <w:pStyle w:val="34"/>
            </w:pPr>
            <w:r>
              <w:t>共</w:t>
            </w:r>
            <w:r>
              <w:rPr>
                <w:rFonts w:hint="eastAsia"/>
              </w:rPr>
              <w:t>10种，项目涉及的共10种</w:t>
            </w:r>
          </w:p>
        </w:tc>
        <w:tc>
          <w:tcPr>
            <w:tcW w:w="2098" w:type="dxa"/>
            <w:vAlign w:val="center"/>
          </w:tcPr>
          <w:p w14:paraId="04B787CA">
            <w:pPr>
              <w:pStyle w:val="34"/>
            </w:pPr>
            <w:r>
              <w:t>二氯甲烷、甲醛、三氯甲烷、三氯乙烯、四氯乙烯</w:t>
            </w:r>
            <w:r>
              <w:rPr>
                <w:rFonts w:hint="eastAsia"/>
              </w:rPr>
              <w:t>；</w:t>
            </w:r>
            <w:r>
              <w:t>铬</w:t>
            </w:r>
            <w:r>
              <w:rPr>
                <w:rFonts w:hint="eastAsia"/>
              </w:rPr>
              <w:t>、</w:t>
            </w:r>
            <w:r>
              <w:t>镉、汞、铅、砷及其化合物</w:t>
            </w:r>
          </w:p>
        </w:tc>
      </w:tr>
      <w:tr w14:paraId="0B8921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Merge w:val="restart"/>
            <w:vAlign w:val="center"/>
          </w:tcPr>
          <w:p w14:paraId="45F0A582">
            <w:pPr>
              <w:pStyle w:val="34"/>
            </w:pPr>
            <w:r>
              <w:rPr>
                <w:rFonts w:hint="eastAsia"/>
              </w:rPr>
              <w:t>6</w:t>
            </w:r>
          </w:p>
        </w:tc>
        <w:tc>
          <w:tcPr>
            <w:tcW w:w="2845" w:type="dxa"/>
            <w:gridSpan w:val="2"/>
            <w:vMerge w:val="restart"/>
            <w:vAlign w:val="center"/>
          </w:tcPr>
          <w:p w14:paraId="3C0A48C3">
            <w:pPr>
              <w:pStyle w:val="34"/>
            </w:pPr>
            <w:r>
              <w:rPr>
                <w:rFonts w:hint="eastAsia"/>
              </w:rPr>
              <w:t>《重点管控新污染物清单</w:t>
            </w:r>
          </w:p>
          <w:p w14:paraId="71964730">
            <w:pPr>
              <w:pStyle w:val="34"/>
            </w:pPr>
            <w:r>
              <w:rPr>
                <w:rFonts w:hint="eastAsia"/>
              </w:rPr>
              <w:t>（2023 年版）》</w:t>
            </w:r>
          </w:p>
        </w:tc>
        <w:tc>
          <w:tcPr>
            <w:tcW w:w="1636" w:type="dxa"/>
            <w:vAlign w:val="center"/>
          </w:tcPr>
          <w:p w14:paraId="2D360149">
            <w:pPr>
              <w:pStyle w:val="34"/>
            </w:pPr>
            <w:r>
              <w:rPr>
                <w:rFonts w:hint="eastAsia"/>
              </w:rPr>
              <w:t>生产、加工、进出口</w:t>
            </w:r>
          </w:p>
        </w:tc>
        <w:tc>
          <w:tcPr>
            <w:tcW w:w="1479" w:type="dxa"/>
            <w:vMerge w:val="restart"/>
            <w:vAlign w:val="center"/>
          </w:tcPr>
          <w:p w14:paraId="0BDC294F">
            <w:pPr>
              <w:pStyle w:val="34"/>
            </w:pPr>
            <w:r>
              <w:t>共</w:t>
            </w:r>
            <w:r>
              <w:rPr>
                <w:rFonts w:hint="eastAsia"/>
              </w:rPr>
              <w:t>14种，项目涉及的共4种</w:t>
            </w:r>
          </w:p>
        </w:tc>
        <w:tc>
          <w:tcPr>
            <w:tcW w:w="2098" w:type="dxa"/>
            <w:vAlign w:val="center"/>
          </w:tcPr>
          <w:p w14:paraId="182982BC">
            <w:pPr>
              <w:pStyle w:val="34"/>
            </w:pPr>
            <w:r>
              <w:t>六氯丁二烯、</w:t>
            </w:r>
            <w:r>
              <w:rPr>
                <w:rFonts w:hint="eastAsia"/>
              </w:rPr>
              <w:t>五氯苯酚钠</w:t>
            </w:r>
          </w:p>
        </w:tc>
      </w:tr>
      <w:tr w14:paraId="71235B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Merge w:val="continue"/>
            <w:vAlign w:val="center"/>
          </w:tcPr>
          <w:p w14:paraId="26CE05AC">
            <w:pPr>
              <w:pStyle w:val="34"/>
            </w:pPr>
          </w:p>
        </w:tc>
        <w:tc>
          <w:tcPr>
            <w:tcW w:w="2845" w:type="dxa"/>
            <w:gridSpan w:val="2"/>
            <w:vMerge w:val="continue"/>
            <w:vAlign w:val="center"/>
          </w:tcPr>
          <w:p w14:paraId="48BC5467">
            <w:pPr>
              <w:pStyle w:val="34"/>
            </w:pPr>
          </w:p>
        </w:tc>
        <w:tc>
          <w:tcPr>
            <w:tcW w:w="1636" w:type="dxa"/>
            <w:vAlign w:val="center"/>
          </w:tcPr>
          <w:p w14:paraId="7BFEC0BE">
            <w:pPr>
              <w:pStyle w:val="34"/>
            </w:pPr>
            <w:r>
              <w:rPr>
                <w:rFonts w:hint="eastAsia"/>
              </w:rPr>
              <w:t>禁止生产含有二氯甲烷、三氯甲烷的脱漆剂</w:t>
            </w:r>
          </w:p>
        </w:tc>
        <w:tc>
          <w:tcPr>
            <w:tcW w:w="1479" w:type="dxa"/>
            <w:vMerge w:val="continue"/>
            <w:vAlign w:val="center"/>
          </w:tcPr>
          <w:p w14:paraId="7735243E">
            <w:pPr>
              <w:pStyle w:val="34"/>
            </w:pPr>
          </w:p>
        </w:tc>
        <w:tc>
          <w:tcPr>
            <w:tcW w:w="2098" w:type="dxa"/>
            <w:vAlign w:val="center"/>
          </w:tcPr>
          <w:p w14:paraId="4CBC5C07">
            <w:pPr>
              <w:pStyle w:val="34"/>
            </w:pPr>
            <w:r>
              <w:t>二氯甲烷、</w:t>
            </w:r>
            <w:r>
              <w:rPr>
                <w:rFonts w:hint="eastAsia"/>
              </w:rPr>
              <w:t>三氯甲烷</w:t>
            </w:r>
          </w:p>
        </w:tc>
      </w:tr>
      <w:tr w14:paraId="6B0DC6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Align w:val="center"/>
          </w:tcPr>
          <w:p w14:paraId="748C3AB8">
            <w:pPr>
              <w:pStyle w:val="34"/>
            </w:pPr>
            <w:r>
              <w:rPr>
                <w:rFonts w:hint="eastAsia"/>
              </w:rPr>
              <w:t>7</w:t>
            </w:r>
          </w:p>
        </w:tc>
        <w:tc>
          <w:tcPr>
            <w:tcW w:w="2845" w:type="dxa"/>
            <w:gridSpan w:val="2"/>
            <w:vAlign w:val="center"/>
          </w:tcPr>
          <w:p w14:paraId="42B587F9">
            <w:pPr>
              <w:pStyle w:val="34"/>
            </w:pPr>
            <w:r>
              <w:rPr>
                <w:rFonts w:hint="eastAsia"/>
              </w:rPr>
              <w:t>《中国严格限制的有毒化学品名录》（2023年）</w:t>
            </w:r>
          </w:p>
        </w:tc>
        <w:tc>
          <w:tcPr>
            <w:tcW w:w="1636" w:type="dxa"/>
            <w:vAlign w:val="center"/>
          </w:tcPr>
          <w:p w14:paraId="492E4149">
            <w:pPr>
              <w:pStyle w:val="34"/>
            </w:pPr>
            <w:r>
              <w:rPr>
                <w:rFonts w:hint="eastAsia"/>
              </w:rPr>
              <w:t>限定用途可用</w:t>
            </w:r>
          </w:p>
        </w:tc>
        <w:tc>
          <w:tcPr>
            <w:tcW w:w="1479" w:type="dxa"/>
            <w:vAlign w:val="center"/>
          </w:tcPr>
          <w:p w14:paraId="0E8B6198">
            <w:pPr>
              <w:pStyle w:val="34"/>
            </w:pPr>
            <w:r>
              <w:t>共</w:t>
            </w:r>
            <w:r>
              <w:rPr>
                <w:rFonts w:hint="eastAsia"/>
              </w:rPr>
              <w:t>9种，项目涉及涉及的1种</w:t>
            </w:r>
          </w:p>
        </w:tc>
        <w:tc>
          <w:tcPr>
            <w:tcW w:w="2098" w:type="dxa"/>
            <w:vAlign w:val="center"/>
          </w:tcPr>
          <w:p w14:paraId="142BB00E">
            <w:pPr>
              <w:pStyle w:val="34"/>
            </w:pPr>
            <w:r>
              <w:t>汞</w:t>
            </w:r>
          </w:p>
        </w:tc>
      </w:tr>
      <w:tr w14:paraId="7ECC2E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0" w:hRule="atLeast"/>
        </w:trPr>
        <w:tc>
          <w:tcPr>
            <w:tcW w:w="464" w:type="dxa"/>
            <w:vMerge w:val="restart"/>
            <w:vAlign w:val="center"/>
          </w:tcPr>
          <w:p w14:paraId="0A8600CA">
            <w:pPr>
              <w:pStyle w:val="34"/>
            </w:pPr>
            <w:r>
              <w:rPr>
                <w:rFonts w:hint="eastAsia"/>
              </w:rPr>
              <w:t>8</w:t>
            </w:r>
          </w:p>
        </w:tc>
        <w:tc>
          <w:tcPr>
            <w:tcW w:w="1870" w:type="dxa"/>
            <w:vMerge w:val="restart"/>
            <w:vAlign w:val="center"/>
          </w:tcPr>
          <w:p w14:paraId="51D8ED78">
            <w:pPr>
              <w:pStyle w:val="34"/>
            </w:pPr>
            <w:r>
              <w:rPr>
                <w:rFonts w:hint="eastAsia"/>
              </w:rPr>
              <w:t>《易制毒化学品的分类和品种目录》（2018年修订）</w:t>
            </w:r>
          </w:p>
        </w:tc>
        <w:tc>
          <w:tcPr>
            <w:tcW w:w="975" w:type="dxa"/>
            <w:vAlign w:val="center"/>
          </w:tcPr>
          <w:p w14:paraId="0A1AF541">
            <w:pPr>
              <w:pStyle w:val="34"/>
            </w:pPr>
            <w:r>
              <w:rPr>
                <w:rFonts w:hint="eastAsia"/>
              </w:rPr>
              <w:t>第二类</w:t>
            </w:r>
          </w:p>
        </w:tc>
        <w:tc>
          <w:tcPr>
            <w:tcW w:w="1636" w:type="dxa"/>
            <w:vMerge w:val="restart"/>
            <w:vAlign w:val="center"/>
          </w:tcPr>
          <w:p w14:paraId="473F7E3A">
            <w:pPr>
              <w:pStyle w:val="34"/>
            </w:pPr>
            <w:r>
              <w:rPr>
                <w:rFonts w:hint="eastAsia"/>
              </w:rPr>
              <w:t>生产、经营、购买、运输和进口、出口</w:t>
            </w:r>
          </w:p>
        </w:tc>
        <w:tc>
          <w:tcPr>
            <w:tcW w:w="1479" w:type="dxa"/>
            <w:vAlign w:val="center"/>
          </w:tcPr>
          <w:p w14:paraId="69DA5913">
            <w:pPr>
              <w:pStyle w:val="34"/>
            </w:pPr>
            <w:r>
              <w:t>共</w:t>
            </w:r>
            <w:r>
              <w:rPr>
                <w:rFonts w:hint="eastAsia"/>
              </w:rPr>
              <w:t>13种，项目涉及3种</w:t>
            </w:r>
          </w:p>
        </w:tc>
        <w:tc>
          <w:tcPr>
            <w:tcW w:w="2098" w:type="dxa"/>
            <w:vAlign w:val="center"/>
          </w:tcPr>
          <w:p w14:paraId="78981E37">
            <w:pPr>
              <w:pStyle w:val="34"/>
            </w:pPr>
            <w:r>
              <w:t>三氯甲烷、乙醚、哌啶</w:t>
            </w:r>
          </w:p>
        </w:tc>
      </w:tr>
      <w:tr w14:paraId="114EB8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Merge w:val="continue"/>
            <w:vAlign w:val="center"/>
          </w:tcPr>
          <w:p w14:paraId="7A2FFE66">
            <w:pPr>
              <w:pStyle w:val="34"/>
            </w:pPr>
          </w:p>
        </w:tc>
        <w:tc>
          <w:tcPr>
            <w:tcW w:w="1870" w:type="dxa"/>
            <w:vMerge w:val="continue"/>
            <w:vAlign w:val="center"/>
          </w:tcPr>
          <w:p w14:paraId="1E3F8EF6">
            <w:pPr>
              <w:pStyle w:val="34"/>
            </w:pPr>
          </w:p>
        </w:tc>
        <w:tc>
          <w:tcPr>
            <w:tcW w:w="975" w:type="dxa"/>
            <w:vAlign w:val="center"/>
          </w:tcPr>
          <w:p w14:paraId="075C293F">
            <w:pPr>
              <w:pStyle w:val="34"/>
            </w:pPr>
            <w:r>
              <w:rPr>
                <w:rFonts w:hint="eastAsia"/>
              </w:rPr>
              <w:t>第三类</w:t>
            </w:r>
          </w:p>
        </w:tc>
        <w:tc>
          <w:tcPr>
            <w:tcW w:w="1636" w:type="dxa"/>
            <w:vMerge w:val="continue"/>
            <w:vAlign w:val="center"/>
          </w:tcPr>
          <w:p w14:paraId="75A6FA00">
            <w:pPr>
              <w:pStyle w:val="34"/>
            </w:pPr>
          </w:p>
        </w:tc>
        <w:tc>
          <w:tcPr>
            <w:tcW w:w="1479" w:type="dxa"/>
            <w:vAlign w:val="center"/>
          </w:tcPr>
          <w:p w14:paraId="21D1C0F9">
            <w:pPr>
              <w:pStyle w:val="34"/>
            </w:pPr>
            <w:r>
              <w:t>共</w:t>
            </w:r>
            <w:r>
              <w:rPr>
                <w:rFonts w:hint="eastAsia"/>
              </w:rPr>
              <w:t>8种，项目涉及5种</w:t>
            </w:r>
          </w:p>
        </w:tc>
        <w:tc>
          <w:tcPr>
            <w:tcW w:w="2098" w:type="dxa"/>
            <w:vAlign w:val="center"/>
          </w:tcPr>
          <w:p w14:paraId="06E4C463">
            <w:pPr>
              <w:pStyle w:val="34"/>
            </w:pPr>
            <w:r>
              <w:t>甲苯、丙酮、高锰酸钾、硫酸</w:t>
            </w:r>
          </w:p>
        </w:tc>
      </w:tr>
    </w:tbl>
    <w:p w14:paraId="395C390C">
      <w:pPr>
        <w:ind w:firstLine="437"/>
        <w:sectPr>
          <w:headerReference r:id="rId25" w:type="even"/>
          <w:pgSz w:w="11907" w:h="16840"/>
          <w:pgMar w:top="1440" w:right="1514" w:bottom="1440" w:left="1797" w:header="992" w:footer="851" w:gutter="284"/>
          <w:pgNumType w:fmt="numberInDash"/>
          <w:cols w:space="425" w:num="1"/>
          <w:docGrid w:type="linesAndChars" w:linePitch="465" w:charSpace="-4355"/>
        </w:sectPr>
      </w:pPr>
    </w:p>
    <w:p w14:paraId="777EA87B">
      <w:pPr>
        <w:pStyle w:val="7"/>
      </w:pPr>
      <w:r>
        <w:t>项目重点关注的代表性危险物质筛选一览表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05"/>
        <w:gridCol w:w="406"/>
        <w:gridCol w:w="406"/>
        <w:gridCol w:w="873"/>
        <w:gridCol w:w="680"/>
        <w:gridCol w:w="596"/>
        <w:gridCol w:w="1628"/>
        <w:gridCol w:w="747"/>
        <w:gridCol w:w="993"/>
        <w:gridCol w:w="644"/>
        <w:gridCol w:w="1371"/>
        <w:gridCol w:w="1399"/>
        <w:gridCol w:w="3842"/>
      </w:tblGrid>
      <w:tr w14:paraId="2C7D9E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jc w:val="center"/>
        </w:trPr>
        <w:tc>
          <w:tcPr>
            <w:tcW w:w="145" w:type="pct"/>
            <w:tcMar>
              <w:left w:w="0" w:type="dxa"/>
              <w:right w:w="0" w:type="dxa"/>
            </w:tcMar>
            <w:vAlign w:val="center"/>
          </w:tcPr>
          <w:p w14:paraId="51127A08">
            <w:pPr>
              <w:pStyle w:val="34"/>
              <w:rPr>
                <w:sz w:val="18"/>
                <w:szCs w:val="18"/>
                <w:lang w:eastAsia="en-US"/>
              </w:rPr>
            </w:pPr>
            <w:r>
              <w:rPr>
                <w:sz w:val="18"/>
                <w:szCs w:val="18"/>
                <w:lang w:eastAsia="en-US"/>
              </w:rPr>
              <w:t>序号</w:t>
            </w:r>
          </w:p>
        </w:tc>
        <w:tc>
          <w:tcPr>
            <w:tcW w:w="602" w:type="pct"/>
            <w:gridSpan w:val="3"/>
            <w:tcMar>
              <w:left w:w="0" w:type="dxa"/>
              <w:right w:w="0" w:type="dxa"/>
            </w:tcMar>
            <w:vAlign w:val="center"/>
          </w:tcPr>
          <w:p w14:paraId="4CE06EC8">
            <w:pPr>
              <w:pStyle w:val="34"/>
              <w:rPr>
                <w:sz w:val="18"/>
                <w:szCs w:val="18"/>
                <w:lang w:eastAsia="en-US"/>
              </w:rPr>
            </w:pPr>
            <w:r>
              <w:rPr>
                <w:sz w:val="18"/>
                <w:szCs w:val="18"/>
                <w:lang w:eastAsia="en-US"/>
              </w:rPr>
              <w:t>危险</w:t>
            </w:r>
            <w:r>
              <w:rPr>
                <w:rFonts w:hint="eastAsia"/>
                <w:sz w:val="18"/>
                <w:szCs w:val="18"/>
                <w:lang w:eastAsia="en-US"/>
              </w:rPr>
              <w:t>物理</w:t>
            </w:r>
            <w:r>
              <w:rPr>
                <w:sz w:val="18"/>
                <w:szCs w:val="18"/>
                <w:lang w:eastAsia="en-US"/>
              </w:rPr>
              <w:t>性质</w:t>
            </w:r>
          </w:p>
        </w:tc>
        <w:tc>
          <w:tcPr>
            <w:tcW w:w="243" w:type="pct"/>
            <w:tcMar>
              <w:left w:w="0" w:type="dxa"/>
              <w:right w:w="0" w:type="dxa"/>
            </w:tcMar>
            <w:vAlign w:val="center"/>
          </w:tcPr>
          <w:p w14:paraId="5906BB62">
            <w:pPr>
              <w:pStyle w:val="34"/>
              <w:rPr>
                <w:sz w:val="18"/>
                <w:szCs w:val="18"/>
              </w:rPr>
            </w:pPr>
            <w:r>
              <w:rPr>
                <w:sz w:val="18"/>
                <w:szCs w:val="18"/>
              </w:rPr>
              <w:t>有毒有害特性</w:t>
            </w:r>
          </w:p>
        </w:tc>
        <w:tc>
          <w:tcPr>
            <w:tcW w:w="213" w:type="pct"/>
            <w:tcMar>
              <w:left w:w="0" w:type="dxa"/>
              <w:right w:w="0" w:type="dxa"/>
            </w:tcMar>
            <w:vAlign w:val="center"/>
          </w:tcPr>
          <w:p w14:paraId="724F7870">
            <w:pPr>
              <w:pStyle w:val="34"/>
              <w:rPr>
                <w:sz w:val="18"/>
                <w:szCs w:val="18"/>
                <w:lang w:eastAsia="en-US"/>
              </w:rPr>
            </w:pPr>
            <w:r>
              <w:rPr>
                <w:rFonts w:hint="eastAsia"/>
                <w:sz w:val="18"/>
                <w:szCs w:val="18"/>
                <w:lang w:eastAsia="en-US"/>
              </w:rPr>
              <w:t>次要危险性</w:t>
            </w:r>
          </w:p>
        </w:tc>
        <w:tc>
          <w:tcPr>
            <w:tcW w:w="582" w:type="pct"/>
            <w:tcMar>
              <w:left w:w="0" w:type="dxa"/>
              <w:right w:w="0" w:type="dxa"/>
            </w:tcMar>
            <w:vAlign w:val="center"/>
          </w:tcPr>
          <w:p w14:paraId="6DCC58B8">
            <w:pPr>
              <w:pStyle w:val="34"/>
              <w:rPr>
                <w:sz w:val="18"/>
                <w:szCs w:val="18"/>
                <w:lang w:eastAsia="en-US"/>
              </w:rPr>
            </w:pPr>
            <w:r>
              <w:rPr>
                <w:rFonts w:hint="eastAsia"/>
                <w:sz w:val="18"/>
                <w:szCs w:val="18"/>
                <w:lang w:eastAsia="en-US"/>
              </w:rPr>
              <w:t>危险货物品名</w:t>
            </w:r>
          </w:p>
        </w:tc>
        <w:tc>
          <w:tcPr>
            <w:tcW w:w="267" w:type="pct"/>
            <w:tcMar>
              <w:left w:w="0" w:type="dxa"/>
              <w:right w:w="0" w:type="dxa"/>
            </w:tcMar>
            <w:vAlign w:val="center"/>
          </w:tcPr>
          <w:p w14:paraId="53748ABF">
            <w:pPr>
              <w:pStyle w:val="34"/>
              <w:rPr>
                <w:sz w:val="18"/>
                <w:szCs w:val="18"/>
              </w:rPr>
            </w:pPr>
            <w:r>
              <w:rPr>
                <w:rFonts w:hint="eastAsia"/>
                <w:sz w:val="18"/>
                <w:szCs w:val="18"/>
              </w:rPr>
              <w:t>危险货物类别（项别）</w:t>
            </w:r>
          </w:p>
        </w:tc>
        <w:tc>
          <w:tcPr>
            <w:tcW w:w="355" w:type="pct"/>
            <w:tcMar>
              <w:left w:w="0" w:type="dxa"/>
              <w:right w:w="0" w:type="dxa"/>
            </w:tcMar>
            <w:vAlign w:val="center"/>
          </w:tcPr>
          <w:p w14:paraId="38FB9DA0">
            <w:pPr>
              <w:pStyle w:val="34"/>
              <w:rPr>
                <w:sz w:val="18"/>
                <w:szCs w:val="18"/>
                <w:lang w:eastAsia="en-US"/>
              </w:rPr>
            </w:pPr>
            <w:r>
              <w:rPr>
                <w:rFonts w:hint="eastAsia"/>
                <w:sz w:val="18"/>
                <w:szCs w:val="18"/>
                <w:lang w:eastAsia="en-US"/>
              </w:rPr>
              <w:t>C</w:t>
            </w:r>
            <w:r>
              <w:rPr>
                <w:sz w:val="18"/>
                <w:szCs w:val="18"/>
                <w:lang w:eastAsia="en-US"/>
              </w:rPr>
              <w:t>AS</w:t>
            </w:r>
            <w:r>
              <w:rPr>
                <w:rFonts w:hint="eastAsia"/>
                <w:sz w:val="18"/>
                <w:szCs w:val="18"/>
                <w:lang w:eastAsia="en-US"/>
              </w:rPr>
              <w:t>号</w:t>
            </w:r>
          </w:p>
        </w:tc>
        <w:tc>
          <w:tcPr>
            <w:tcW w:w="230" w:type="pct"/>
            <w:tcMar>
              <w:left w:w="0" w:type="dxa"/>
              <w:right w:w="0" w:type="dxa"/>
            </w:tcMar>
            <w:vAlign w:val="center"/>
          </w:tcPr>
          <w:p w14:paraId="27DACD9B">
            <w:pPr>
              <w:pStyle w:val="34"/>
              <w:rPr>
                <w:sz w:val="18"/>
                <w:szCs w:val="18"/>
                <w:lang w:eastAsia="en-US"/>
              </w:rPr>
            </w:pPr>
            <w:r>
              <w:rPr>
                <w:rFonts w:hint="eastAsia"/>
                <w:sz w:val="18"/>
                <w:szCs w:val="18"/>
                <w:lang w:eastAsia="en-US"/>
              </w:rPr>
              <w:t>临界量（t）</w:t>
            </w:r>
          </w:p>
        </w:tc>
        <w:tc>
          <w:tcPr>
            <w:tcW w:w="490" w:type="pct"/>
            <w:tcMar>
              <w:left w:w="0" w:type="dxa"/>
              <w:right w:w="0" w:type="dxa"/>
            </w:tcMar>
            <w:vAlign w:val="center"/>
          </w:tcPr>
          <w:p w14:paraId="100E7BEB">
            <w:pPr>
              <w:pStyle w:val="34"/>
              <w:rPr>
                <w:sz w:val="18"/>
                <w:szCs w:val="18"/>
                <w:lang w:eastAsia="en-US"/>
              </w:rPr>
            </w:pPr>
            <w:r>
              <w:rPr>
                <w:rFonts w:hint="eastAsia"/>
                <w:sz w:val="18"/>
                <w:szCs w:val="18"/>
                <w:lang w:eastAsia="en-US"/>
              </w:rPr>
              <w:t>筛选理由</w:t>
            </w:r>
          </w:p>
        </w:tc>
        <w:tc>
          <w:tcPr>
            <w:tcW w:w="500" w:type="pct"/>
            <w:tcMar>
              <w:left w:w="0" w:type="dxa"/>
              <w:right w:w="0" w:type="dxa"/>
            </w:tcMar>
            <w:vAlign w:val="center"/>
          </w:tcPr>
          <w:p w14:paraId="16B49A39">
            <w:pPr>
              <w:pStyle w:val="34"/>
              <w:rPr>
                <w:sz w:val="18"/>
                <w:szCs w:val="18"/>
                <w:lang w:eastAsia="en-US"/>
              </w:rPr>
            </w:pPr>
            <w:r>
              <w:rPr>
                <w:rFonts w:hint="eastAsia"/>
                <w:sz w:val="18"/>
                <w:szCs w:val="18"/>
                <w:lang w:eastAsia="en-US"/>
              </w:rPr>
              <w:t>风险导则</w:t>
            </w:r>
          </w:p>
        </w:tc>
        <w:tc>
          <w:tcPr>
            <w:tcW w:w="1373" w:type="pct"/>
            <w:tcMar>
              <w:left w:w="0" w:type="dxa"/>
              <w:right w:w="0" w:type="dxa"/>
            </w:tcMar>
            <w:vAlign w:val="center"/>
          </w:tcPr>
          <w:p w14:paraId="298D4ADC">
            <w:pPr>
              <w:pStyle w:val="34"/>
              <w:rPr>
                <w:sz w:val="18"/>
                <w:szCs w:val="18"/>
                <w:lang w:eastAsia="en-US"/>
              </w:rPr>
            </w:pPr>
            <w:r>
              <w:rPr>
                <w:rFonts w:hint="eastAsia"/>
                <w:sz w:val="18"/>
                <w:szCs w:val="18"/>
                <w:lang w:eastAsia="en-US"/>
              </w:rPr>
              <w:t>相关标准及管控要求</w:t>
            </w:r>
          </w:p>
        </w:tc>
      </w:tr>
      <w:tr w14:paraId="040BAA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08578056">
            <w:pPr>
              <w:pStyle w:val="34"/>
              <w:numPr>
                <w:ilvl w:val="0"/>
                <w:numId w:val="53"/>
              </w:numPr>
              <w:rPr>
                <w:sz w:val="18"/>
                <w:szCs w:val="18"/>
              </w:rPr>
            </w:pPr>
          </w:p>
        </w:tc>
        <w:tc>
          <w:tcPr>
            <w:tcW w:w="602" w:type="pct"/>
            <w:gridSpan w:val="3"/>
            <w:vMerge w:val="restart"/>
            <w:tcMar>
              <w:left w:w="0" w:type="dxa"/>
              <w:right w:w="0" w:type="dxa"/>
            </w:tcMar>
            <w:vAlign w:val="center"/>
          </w:tcPr>
          <w:p w14:paraId="1FE319A4">
            <w:pPr>
              <w:pStyle w:val="34"/>
              <w:rPr>
                <w:sz w:val="18"/>
                <w:szCs w:val="18"/>
              </w:rPr>
            </w:pPr>
            <w:r>
              <w:rPr>
                <w:rFonts w:hint="eastAsia"/>
                <w:sz w:val="18"/>
                <w:szCs w:val="18"/>
              </w:rPr>
              <w:t>易燃气体</w:t>
            </w:r>
          </w:p>
        </w:tc>
        <w:tc>
          <w:tcPr>
            <w:tcW w:w="243" w:type="pct"/>
            <w:vMerge w:val="restart"/>
            <w:tcMar>
              <w:left w:w="0" w:type="dxa"/>
              <w:right w:w="0" w:type="dxa"/>
            </w:tcMar>
            <w:vAlign w:val="center"/>
          </w:tcPr>
          <w:p w14:paraId="665B7D78">
            <w:pPr>
              <w:pStyle w:val="34"/>
              <w:rPr>
                <w:sz w:val="18"/>
                <w:szCs w:val="18"/>
              </w:rPr>
            </w:pPr>
            <w:r>
              <w:rPr>
                <w:rFonts w:hint="eastAsia"/>
                <w:sz w:val="18"/>
                <w:szCs w:val="18"/>
              </w:rPr>
              <w:t>有毒有害</w:t>
            </w:r>
          </w:p>
        </w:tc>
        <w:tc>
          <w:tcPr>
            <w:tcW w:w="213" w:type="pct"/>
            <w:tcMar>
              <w:left w:w="0" w:type="dxa"/>
              <w:right w:w="0" w:type="dxa"/>
            </w:tcMar>
            <w:vAlign w:val="center"/>
          </w:tcPr>
          <w:p w14:paraId="5EE95D14">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9A4A51A">
            <w:pPr>
              <w:pStyle w:val="34"/>
              <w:rPr>
                <w:sz w:val="18"/>
                <w:szCs w:val="18"/>
                <w:lang w:eastAsia="en-US"/>
              </w:rPr>
            </w:pPr>
            <w:r>
              <w:rPr>
                <w:rFonts w:hint="eastAsia"/>
                <w:sz w:val="18"/>
                <w:szCs w:val="18"/>
                <w:lang w:eastAsia="en-US"/>
              </w:rPr>
              <w:t>无水三甲胺</w:t>
            </w:r>
          </w:p>
        </w:tc>
        <w:tc>
          <w:tcPr>
            <w:tcW w:w="267" w:type="pct"/>
            <w:tcMar>
              <w:left w:w="0" w:type="dxa"/>
              <w:right w:w="0" w:type="dxa"/>
            </w:tcMar>
            <w:vAlign w:val="center"/>
          </w:tcPr>
          <w:p w14:paraId="7C5EB24E">
            <w:pPr>
              <w:pStyle w:val="34"/>
              <w:rPr>
                <w:sz w:val="18"/>
                <w:szCs w:val="18"/>
                <w:lang w:eastAsia="en-US"/>
              </w:rPr>
            </w:pPr>
            <w:r>
              <w:rPr>
                <w:rFonts w:hint="eastAsia"/>
                <w:sz w:val="18"/>
                <w:szCs w:val="18"/>
                <w:lang w:eastAsia="en-US"/>
              </w:rPr>
              <w:t>第2.1项</w:t>
            </w:r>
          </w:p>
        </w:tc>
        <w:tc>
          <w:tcPr>
            <w:tcW w:w="355" w:type="pct"/>
            <w:tcMar>
              <w:left w:w="0" w:type="dxa"/>
              <w:right w:w="0" w:type="dxa"/>
            </w:tcMar>
            <w:vAlign w:val="center"/>
          </w:tcPr>
          <w:p w14:paraId="57EB4EB3">
            <w:pPr>
              <w:pStyle w:val="34"/>
              <w:rPr>
                <w:sz w:val="18"/>
                <w:szCs w:val="18"/>
                <w:lang w:eastAsia="en-US"/>
              </w:rPr>
            </w:pPr>
            <w:r>
              <w:rPr>
                <w:sz w:val="18"/>
                <w:szCs w:val="18"/>
                <w:lang w:eastAsia="en-US"/>
              </w:rPr>
              <w:t>75-50-3</w:t>
            </w:r>
          </w:p>
        </w:tc>
        <w:tc>
          <w:tcPr>
            <w:tcW w:w="230" w:type="pct"/>
            <w:tcMar>
              <w:left w:w="0" w:type="dxa"/>
              <w:right w:w="0" w:type="dxa"/>
            </w:tcMar>
            <w:vAlign w:val="center"/>
          </w:tcPr>
          <w:p w14:paraId="7937064F">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4EFA0A5F">
            <w:pPr>
              <w:pStyle w:val="34"/>
              <w:rPr>
                <w:sz w:val="18"/>
                <w:szCs w:val="18"/>
              </w:rPr>
            </w:pPr>
            <w:r>
              <w:rPr>
                <w:rFonts w:hint="eastAsia"/>
                <w:sz w:val="18"/>
                <w:szCs w:val="18"/>
              </w:rPr>
              <w:t>极易燃、腐蚀性、刺激性</w:t>
            </w:r>
          </w:p>
        </w:tc>
        <w:tc>
          <w:tcPr>
            <w:tcW w:w="500" w:type="pct"/>
            <w:tcMar>
              <w:left w:w="0" w:type="dxa"/>
              <w:right w:w="0" w:type="dxa"/>
            </w:tcMar>
            <w:vAlign w:val="center"/>
          </w:tcPr>
          <w:p w14:paraId="696CBA26">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0B2E2344">
            <w:pPr>
              <w:pStyle w:val="34"/>
              <w:rPr>
                <w:sz w:val="18"/>
                <w:szCs w:val="18"/>
                <w:lang w:eastAsia="en-US"/>
              </w:rPr>
            </w:pPr>
            <w:r>
              <w:rPr>
                <w:rFonts w:hint="eastAsia"/>
                <w:sz w:val="18"/>
                <w:szCs w:val="18"/>
                <w:lang w:eastAsia="en-US"/>
              </w:rPr>
              <w:t>-</w:t>
            </w:r>
          </w:p>
        </w:tc>
      </w:tr>
      <w:tr w14:paraId="4A797B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EA8AA39">
            <w:pPr>
              <w:pStyle w:val="34"/>
              <w:numPr>
                <w:ilvl w:val="0"/>
                <w:numId w:val="53"/>
              </w:numPr>
              <w:rPr>
                <w:sz w:val="18"/>
                <w:szCs w:val="18"/>
              </w:rPr>
            </w:pPr>
          </w:p>
        </w:tc>
        <w:tc>
          <w:tcPr>
            <w:tcW w:w="602" w:type="pct"/>
            <w:gridSpan w:val="3"/>
            <w:vMerge w:val="continue"/>
            <w:tcMar>
              <w:left w:w="0" w:type="dxa"/>
              <w:right w:w="0" w:type="dxa"/>
            </w:tcMar>
            <w:vAlign w:val="center"/>
          </w:tcPr>
          <w:p w14:paraId="37973708">
            <w:pPr>
              <w:pStyle w:val="34"/>
              <w:rPr>
                <w:sz w:val="18"/>
                <w:szCs w:val="18"/>
              </w:rPr>
            </w:pPr>
          </w:p>
        </w:tc>
        <w:tc>
          <w:tcPr>
            <w:tcW w:w="243" w:type="pct"/>
            <w:vMerge w:val="continue"/>
            <w:tcMar>
              <w:left w:w="0" w:type="dxa"/>
              <w:right w:w="0" w:type="dxa"/>
            </w:tcMar>
            <w:vAlign w:val="center"/>
          </w:tcPr>
          <w:p w14:paraId="3F26FE14">
            <w:pPr>
              <w:pStyle w:val="34"/>
              <w:rPr>
                <w:sz w:val="18"/>
                <w:szCs w:val="18"/>
              </w:rPr>
            </w:pPr>
          </w:p>
        </w:tc>
        <w:tc>
          <w:tcPr>
            <w:tcW w:w="213" w:type="pct"/>
            <w:tcMar>
              <w:left w:w="0" w:type="dxa"/>
              <w:right w:w="0" w:type="dxa"/>
            </w:tcMar>
            <w:vAlign w:val="center"/>
          </w:tcPr>
          <w:p w14:paraId="55EE2CBE">
            <w:pPr>
              <w:pStyle w:val="34"/>
              <w:rPr>
                <w:sz w:val="18"/>
                <w:szCs w:val="18"/>
              </w:rPr>
            </w:pPr>
            <w:r>
              <w:rPr>
                <w:rFonts w:hint="eastAsia"/>
                <w:sz w:val="18"/>
                <w:szCs w:val="18"/>
              </w:rPr>
              <w:t>-</w:t>
            </w:r>
          </w:p>
        </w:tc>
        <w:tc>
          <w:tcPr>
            <w:tcW w:w="582" w:type="pct"/>
            <w:tcMar>
              <w:left w:w="0" w:type="dxa"/>
              <w:right w:w="0" w:type="dxa"/>
            </w:tcMar>
            <w:vAlign w:val="center"/>
          </w:tcPr>
          <w:p w14:paraId="2D3748F2">
            <w:pPr>
              <w:pStyle w:val="34"/>
              <w:rPr>
                <w:sz w:val="18"/>
                <w:szCs w:val="18"/>
                <w:lang w:eastAsia="en-US"/>
              </w:rPr>
            </w:pPr>
            <w:r>
              <w:rPr>
                <w:rFonts w:hint="eastAsia"/>
                <w:sz w:val="18"/>
                <w:szCs w:val="18"/>
                <w:lang w:eastAsia="en-US"/>
              </w:rPr>
              <w:t>丙烷</w:t>
            </w:r>
          </w:p>
        </w:tc>
        <w:tc>
          <w:tcPr>
            <w:tcW w:w="267" w:type="pct"/>
            <w:tcMar>
              <w:left w:w="0" w:type="dxa"/>
              <w:right w:w="0" w:type="dxa"/>
            </w:tcMar>
            <w:vAlign w:val="center"/>
          </w:tcPr>
          <w:p w14:paraId="3CF6302D">
            <w:pPr>
              <w:pStyle w:val="34"/>
              <w:rPr>
                <w:sz w:val="18"/>
                <w:szCs w:val="18"/>
              </w:rPr>
            </w:pPr>
            <w:r>
              <w:rPr>
                <w:rFonts w:hint="eastAsia"/>
                <w:sz w:val="18"/>
                <w:szCs w:val="18"/>
                <w:lang w:eastAsia="en-US"/>
              </w:rPr>
              <w:t>第</w:t>
            </w:r>
            <w:r>
              <w:rPr>
                <w:rFonts w:hint="eastAsia"/>
                <w:sz w:val="18"/>
                <w:szCs w:val="18"/>
              </w:rPr>
              <w:t>2.1项</w:t>
            </w:r>
          </w:p>
        </w:tc>
        <w:tc>
          <w:tcPr>
            <w:tcW w:w="355" w:type="pct"/>
            <w:tcMar>
              <w:left w:w="0" w:type="dxa"/>
              <w:right w:w="0" w:type="dxa"/>
            </w:tcMar>
            <w:vAlign w:val="center"/>
          </w:tcPr>
          <w:p w14:paraId="4BA2F408">
            <w:pPr>
              <w:pStyle w:val="34"/>
              <w:rPr>
                <w:sz w:val="18"/>
                <w:szCs w:val="18"/>
              </w:rPr>
            </w:pPr>
            <w:r>
              <w:rPr>
                <w:rFonts w:hint="eastAsia"/>
                <w:sz w:val="18"/>
                <w:szCs w:val="18"/>
              </w:rPr>
              <w:t>74-98-6</w:t>
            </w:r>
          </w:p>
        </w:tc>
        <w:tc>
          <w:tcPr>
            <w:tcW w:w="230" w:type="pct"/>
            <w:tcMar>
              <w:left w:w="0" w:type="dxa"/>
              <w:right w:w="0" w:type="dxa"/>
            </w:tcMar>
            <w:vAlign w:val="center"/>
          </w:tcPr>
          <w:p w14:paraId="4578ADE6">
            <w:pPr>
              <w:pStyle w:val="34"/>
              <w:rPr>
                <w:sz w:val="18"/>
                <w:szCs w:val="18"/>
              </w:rPr>
            </w:pPr>
            <w:r>
              <w:rPr>
                <w:rFonts w:hint="eastAsia"/>
                <w:sz w:val="18"/>
                <w:szCs w:val="18"/>
              </w:rPr>
              <w:t>10</w:t>
            </w:r>
          </w:p>
        </w:tc>
        <w:tc>
          <w:tcPr>
            <w:tcW w:w="490" w:type="pct"/>
            <w:tcMar>
              <w:left w:w="0" w:type="dxa"/>
              <w:right w:w="0" w:type="dxa"/>
            </w:tcMar>
            <w:vAlign w:val="center"/>
          </w:tcPr>
          <w:p w14:paraId="41B425F9">
            <w:pPr>
              <w:pStyle w:val="34"/>
              <w:rPr>
                <w:sz w:val="18"/>
                <w:szCs w:val="18"/>
              </w:rPr>
            </w:pPr>
            <w:r>
              <w:rPr>
                <w:rFonts w:hint="eastAsia"/>
                <w:sz w:val="18"/>
                <w:szCs w:val="18"/>
              </w:rPr>
              <w:t>毒性、运输量大</w:t>
            </w:r>
          </w:p>
        </w:tc>
        <w:tc>
          <w:tcPr>
            <w:tcW w:w="500" w:type="pct"/>
            <w:tcMar>
              <w:left w:w="0" w:type="dxa"/>
              <w:right w:w="0" w:type="dxa"/>
            </w:tcMar>
            <w:vAlign w:val="center"/>
          </w:tcPr>
          <w:p w14:paraId="37219DFF">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1FB6FFA1">
            <w:pPr>
              <w:pStyle w:val="34"/>
              <w:rPr>
                <w:sz w:val="18"/>
                <w:szCs w:val="18"/>
              </w:rPr>
            </w:pPr>
            <w:r>
              <w:rPr>
                <w:rFonts w:hint="eastAsia"/>
                <w:sz w:val="18"/>
                <w:szCs w:val="18"/>
              </w:rPr>
              <w:t>-</w:t>
            </w:r>
          </w:p>
        </w:tc>
      </w:tr>
      <w:tr w14:paraId="60954D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187EB63">
            <w:pPr>
              <w:pStyle w:val="34"/>
              <w:numPr>
                <w:ilvl w:val="0"/>
                <w:numId w:val="53"/>
              </w:numPr>
              <w:rPr>
                <w:sz w:val="18"/>
                <w:szCs w:val="18"/>
                <w:lang w:eastAsia="en-US"/>
              </w:rPr>
            </w:pPr>
          </w:p>
        </w:tc>
        <w:tc>
          <w:tcPr>
            <w:tcW w:w="602" w:type="pct"/>
            <w:gridSpan w:val="3"/>
            <w:vMerge w:val="continue"/>
            <w:tcMar>
              <w:left w:w="0" w:type="dxa"/>
              <w:right w:w="0" w:type="dxa"/>
            </w:tcMar>
            <w:vAlign w:val="center"/>
          </w:tcPr>
          <w:p w14:paraId="465DF507">
            <w:pPr>
              <w:pStyle w:val="34"/>
              <w:rPr>
                <w:sz w:val="18"/>
                <w:szCs w:val="18"/>
                <w:lang w:eastAsia="en-US"/>
              </w:rPr>
            </w:pPr>
          </w:p>
        </w:tc>
        <w:tc>
          <w:tcPr>
            <w:tcW w:w="243" w:type="pct"/>
            <w:vMerge w:val="continue"/>
            <w:tcMar>
              <w:left w:w="0" w:type="dxa"/>
              <w:right w:w="0" w:type="dxa"/>
            </w:tcMar>
            <w:vAlign w:val="center"/>
          </w:tcPr>
          <w:p w14:paraId="1D8DF300">
            <w:pPr>
              <w:pStyle w:val="34"/>
              <w:rPr>
                <w:sz w:val="18"/>
                <w:szCs w:val="18"/>
                <w:lang w:eastAsia="en-US"/>
              </w:rPr>
            </w:pPr>
          </w:p>
        </w:tc>
        <w:tc>
          <w:tcPr>
            <w:tcW w:w="213" w:type="pct"/>
            <w:tcMar>
              <w:left w:w="0" w:type="dxa"/>
              <w:right w:w="0" w:type="dxa"/>
            </w:tcMar>
            <w:vAlign w:val="center"/>
          </w:tcPr>
          <w:p w14:paraId="69AFF83A">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1ED2AFE0">
            <w:pPr>
              <w:pStyle w:val="34"/>
              <w:rPr>
                <w:sz w:val="18"/>
                <w:szCs w:val="18"/>
                <w:lang w:eastAsia="en-US"/>
              </w:rPr>
            </w:pPr>
            <w:r>
              <w:rPr>
                <w:rFonts w:hint="eastAsia"/>
                <w:sz w:val="18"/>
                <w:szCs w:val="18"/>
                <w:lang w:eastAsia="en-US"/>
              </w:rPr>
              <w:t>1,3-丁二烯</w:t>
            </w:r>
          </w:p>
        </w:tc>
        <w:tc>
          <w:tcPr>
            <w:tcW w:w="267" w:type="pct"/>
            <w:tcMar>
              <w:left w:w="0" w:type="dxa"/>
              <w:right w:w="0" w:type="dxa"/>
            </w:tcMar>
            <w:vAlign w:val="center"/>
          </w:tcPr>
          <w:p w14:paraId="13B1DFF2">
            <w:pPr>
              <w:pStyle w:val="34"/>
              <w:rPr>
                <w:sz w:val="18"/>
                <w:szCs w:val="18"/>
                <w:lang w:eastAsia="en-US"/>
              </w:rPr>
            </w:pPr>
            <w:r>
              <w:rPr>
                <w:rFonts w:hint="eastAsia"/>
                <w:sz w:val="18"/>
                <w:szCs w:val="18"/>
                <w:lang w:eastAsia="en-US"/>
              </w:rPr>
              <w:t>第2.1项</w:t>
            </w:r>
          </w:p>
        </w:tc>
        <w:tc>
          <w:tcPr>
            <w:tcW w:w="355" w:type="pct"/>
            <w:tcMar>
              <w:left w:w="0" w:type="dxa"/>
              <w:right w:w="0" w:type="dxa"/>
            </w:tcMar>
            <w:vAlign w:val="center"/>
          </w:tcPr>
          <w:p w14:paraId="29E909E7">
            <w:pPr>
              <w:pStyle w:val="34"/>
              <w:rPr>
                <w:sz w:val="18"/>
                <w:szCs w:val="18"/>
                <w:lang w:eastAsia="en-US"/>
              </w:rPr>
            </w:pPr>
            <w:r>
              <w:rPr>
                <w:sz w:val="18"/>
                <w:szCs w:val="18"/>
                <w:lang w:eastAsia="en-US"/>
              </w:rPr>
              <w:t>106-99-0</w:t>
            </w:r>
          </w:p>
        </w:tc>
        <w:tc>
          <w:tcPr>
            <w:tcW w:w="230" w:type="pct"/>
            <w:tcMar>
              <w:left w:w="0" w:type="dxa"/>
              <w:right w:w="0" w:type="dxa"/>
            </w:tcMar>
            <w:vAlign w:val="center"/>
          </w:tcPr>
          <w:p w14:paraId="6C2DA53A">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2E2898C2">
            <w:pPr>
              <w:pStyle w:val="34"/>
              <w:rPr>
                <w:sz w:val="18"/>
                <w:szCs w:val="18"/>
              </w:rPr>
            </w:pPr>
            <w:r>
              <w:rPr>
                <w:rFonts w:hint="eastAsia"/>
                <w:sz w:val="18"/>
                <w:szCs w:val="18"/>
              </w:rPr>
              <w:t>极易燃、运输量大、毒性</w:t>
            </w:r>
          </w:p>
        </w:tc>
        <w:tc>
          <w:tcPr>
            <w:tcW w:w="500" w:type="pct"/>
            <w:tcMar>
              <w:left w:w="0" w:type="dxa"/>
              <w:right w:w="0" w:type="dxa"/>
            </w:tcMar>
            <w:vAlign w:val="center"/>
          </w:tcPr>
          <w:p w14:paraId="66791986">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4ED51BB8">
            <w:pPr>
              <w:pStyle w:val="34"/>
              <w:rPr>
                <w:sz w:val="18"/>
                <w:szCs w:val="18"/>
                <w:lang w:eastAsia="en-US"/>
              </w:rPr>
            </w:pPr>
            <w:r>
              <w:rPr>
                <w:rFonts w:hint="eastAsia"/>
                <w:sz w:val="18"/>
                <w:szCs w:val="18"/>
                <w:lang w:eastAsia="en-US"/>
              </w:rPr>
              <w:t>-</w:t>
            </w:r>
          </w:p>
        </w:tc>
      </w:tr>
      <w:tr w14:paraId="48694C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AC01BFC">
            <w:pPr>
              <w:pStyle w:val="34"/>
              <w:numPr>
                <w:ilvl w:val="0"/>
                <w:numId w:val="53"/>
              </w:numPr>
              <w:rPr>
                <w:sz w:val="18"/>
                <w:szCs w:val="18"/>
                <w:lang w:eastAsia="en-US"/>
              </w:rPr>
            </w:pPr>
          </w:p>
        </w:tc>
        <w:tc>
          <w:tcPr>
            <w:tcW w:w="602" w:type="pct"/>
            <w:gridSpan w:val="3"/>
            <w:vMerge w:val="continue"/>
            <w:tcMar>
              <w:left w:w="0" w:type="dxa"/>
              <w:right w:w="0" w:type="dxa"/>
            </w:tcMar>
            <w:vAlign w:val="center"/>
          </w:tcPr>
          <w:p w14:paraId="16FE66B2">
            <w:pPr>
              <w:pStyle w:val="34"/>
              <w:rPr>
                <w:sz w:val="18"/>
                <w:szCs w:val="18"/>
                <w:lang w:eastAsia="en-US"/>
              </w:rPr>
            </w:pPr>
          </w:p>
        </w:tc>
        <w:tc>
          <w:tcPr>
            <w:tcW w:w="243" w:type="pct"/>
            <w:vMerge w:val="continue"/>
            <w:tcMar>
              <w:left w:w="0" w:type="dxa"/>
              <w:right w:w="0" w:type="dxa"/>
            </w:tcMar>
            <w:vAlign w:val="center"/>
          </w:tcPr>
          <w:p w14:paraId="38B66D77">
            <w:pPr>
              <w:pStyle w:val="34"/>
              <w:rPr>
                <w:sz w:val="18"/>
                <w:szCs w:val="18"/>
                <w:lang w:eastAsia="en-US"/>
              </w:rPr>
            </w:pPr>
          </w:p>
        </w:tc>
        <w:tc>
          <w:tcPr>
            <w:tcW w:w="213" w:type="pct"/>
            <w:tcMar>
              <w:left w:w="0" w:type="dxa"/>
              <w:right w:w="0" w:type="dxa"/>
            </w:tcMar>
            <w:vAlign w:val="center"/>
          </w:tcPr>
          <w:p w14:paraId="49924DEA">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CC3E220">
            <w:pPr>
              <w:pStyle w:val="34"/>
              <w:rPr>
                <w:sz w:val="18"/>
                <w:szCs w:val="18"/>
                <w:lang w:eastAsia="en-US"/>
              </w:rPr>
            </w:pPr>
            <w:r>
              <w:rPr>
                <w:rFonts w:hint="eastAsia"/>
                <w:sz w:val="18"/>
                <w:szCs w:val="18"/>
                <w:lang w:eastAsia="en-US"/>
              </w:rPr>
              <w:t>丁烷</w:t>
            </w:r>
          </w:p>
        </w:tc>
        <w:tc>
          <w:tcPr>
            <w:tcW w:w="267" w:type="pct"/>
            <w:tcMar>
              <w:left w:w="0" w:type="dxa"/>
              <w:right w:w="0" w:type="dxa"/>
            </w:tcMar>
            <w:vAlign w:val="center"/>
          </w:tcPr>
          <w:p w14:paraId="51C6B07A">
            <w:pPr>
              <w:pStyle w:val="34"/>
              <w:rPr>
                <w:sz w:val="18"/>
                <w:szCs w:val="18"/>
                <w:lang w:eastAsia="en-US"/>
              </w:rPr>
            </w:pPr>
            <w:r>
              <w:rPr>
                <w:rFonts w:hint="eastAsia"/>
                <w:sz w:val="18"/>
                <w:szCs w:val="18"/>
                <w:lang w:eastAsia="en-US"/>
              </w:rPr>
              <w:t>第2.1项</w:t>
            </w:r>
          </w:p>
        </w:tc>
        <w:tc>
          <w:tcPr>
            <w:tcW w:w="355" w:type="pct"/>
            <w:tcMar>
              <w:left w:w="0" w:type="dxa"/>
              <w:right w:w="0" w:type="dxa"/>
            </w:tcMar>
            <w:vAlign w:val="center"/>
          </w:tcPr>
          <w:p w14:paraId="4E6D23C4">
            <w:pPr>
              <w:pStyle w:val="34"/>
              <w:rPr>
                <w:sz w:val="18"/>
                <w:szCs w:val="18"/>
                <w:lang w:eastAsia="en-US"/>
              </w:rPr>
            </w:pPr>
            <w:r>
              <w:rPr>
                <w:sz w:val="18"/>
                <w:szCs w:val="18"/>
                <w:lang w:eastAsia="en-US"/>
              </w:rPr>
              <w:t>106-97-8</w:t>
            </w:r>
          </w:p>
        </w:tc>
        <w:tc>
          <w:tcPr>
            <w:tcW w:w="230" w:type="pct"/>
            <w:tcMar>
              <w:left w:w="0" w:type="dxa"/>
              <w:right w:w="0" w:type="dxa"/>
            </w:tcMar>
            <w:vAlign w:val="center"/>
          </w:tcPr>
          <w:p w14:paraId="4C02022D">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041A4860">
            <w:pPr>
              <w:pStyle w:val="34"/>
              <w:rPr>
                <w:sz w:val="18"/>
                <w:szCs w:val="18"/>
              </w:rPr>
            </w:pPr>
            <w:r>
              <w:rPr>
                <w:rFonts w:hint="eastAsia"/>
                <w:sz w:val="18"/>
                <w:szCs w:val="18"/>
              </w:rPr>
              <w:t>运输量大、极易燃、毒性</w:t>
            </w:r>
          </w:p>
        </w:tc>
        <w:tc>
          <w:tcPr>
            <w:tcW w:w="500" w:type="pct"/>
            <w:tcMar>
              <w:left w:w="0" w:type="dxa"/>
              <w:right w:w="0" w:type="dxa"/>
            </w:tcMar>
            <w:vAlign w:val="center"/>
          </w:tcPr>
          <w:p w14:paraId="7F573E0C">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50F454E2">
            <w:pPr>
              <w:pStyle w:val="34"/>
              <w:rPr>
                <w:sz w:val="18"/>
                <w:szCs w:val="18"/>
                <w:lang w:eastAsia="en-US"/>
              </w:rPr>
            </w:pPr>
            <w:r>
              <w:rPr>
                <w:rFonts w:hint="eastAsia"/>
                <w:sz w:val="18"/>
                <w:szCs w:val="18"/>
                <w:lang w:eastAsia="en-US"/>
              </w:rPr>
              <w:t>-</w:t>
            </w:r>
          </w:p>
        </w:tc>
      </w:tr>
      <w:tr w14:paraId="0DE359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0A9A424B">
            <w:pPr>
              <w:pStyle w:val="34"/>
              <w:numPr>
                <w:ilvl w:val="0"/>
                <w:numId w:val="53"/>
              </w:numPr>
              <w:rPr>
                <w:sz w:val="18"/>
                <w:szCs w:val="18"/>
                <w:lang w:eastAsia="en-US"/>
              </w:rPr>
            </w:pPr>
          </w:p>
        </w:tc>
        <w:tc>
          <w:tcPr>
            <w:tcW w:w="602" w:type="pct"/>
            <w:gridSpan w:val="3"/>
            <w:vMerge w:val="continue"/>
            <w:tcMar>
              <w:left w:w="0" w:type="dxa"/>
              <w:right w:w="0" w:type="dxa"/>
            </w:tcMar>
            <w:vAlign w:val="center"/>
          </w:tcPr>
          <w:p w14:paraId="5AEDE27A">
            <w:pPr>
              <w:pStyle w:val="34"/>
              <w:rPr>
                <w:sz w:val="18"/>
                <w:szCs w:val="18"/>
                <w:lang w:eastAsia="en-US"/>
              </w:rPr>
            </w:pPr>
          </w:p>
        </w:tc>
        <w:tc>
          <w:tcPr>
            <w:tcW w:w="243" w:type="pct"/>
            <w:vMerge w:val="continue"/>
            <w:tcMar>
              <w:left w:w="0" w:type="dxa"/>
              <w:right w:w="0" w:type="dxa"/>
            </w:tcMar>
            <w:vAlign w:val="center"/>
          </w:tcPr>
          <w:p w14:paraId="73165B1A">
            <w:pPr>
              <w:pStyle w:val="34"/>
              <w:rPr>
                <w:sz w:val="18"/>
                <w:szCs w:val="18"/>
                <w:lang w:eastAsia="en-US"/>
              </w:rPr>
            </w:pPr>
          </w:p>
        </w:tc>
        <w:tc>
          <w:tcPr>
            <w:tcW w:w="213" w:type="pct"/>
            <w:tcMar>
              <w:left w:w="0" w:type="dxa"/>
              <w:right w:w="0" w:type="dxa"/>
            </w:tcMar>
            <w:vAlign w:val="center"/>
          </w:tcPr>
          <w:p w14:paraId="3BB1ED28">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3E3E2FC">
            <w:pPr>
              <w:pStyle w:val="34"/>
              <w:rPr>
                <w:sz w:val="18"/>
                <w:szCs w:val="18"/>
              </w:rPr>
            </w:pPr>
            <w:r>
              <w:rPr>
                <w:rFonts w:hint="eastAsia"/>
                <w:sz w:val="18"/>
                <w:szCs w:val="18"/>
              </w:rPr>
              <w:t>打火机（主要成分为正丁烷）</w:t>
            </w:r>
          </w:p>
        </w:tc>
        <w:tc>
          <w:tcPr>
            <w:tcW w:w="267" w:type="pct"/>
            <w:tcMar>
              <w:left w:w="0" w:type="dxa"/>
              <w:right w:w="0" w:type="dxa"/>
            </w:tcMar>
            <w:vAlign w:val="center"/>
          </w:tcPr>
          <w:p w14:paraId="4887B404">
            <w:pPr>
              <w:pStyle w:val="34"/>
              <w:rPr>
                <w:sz w:val="18"/>
                <w:szCs w:val="18"/>
                <w:lang w:eastAsia="en-US"/>
              </w:rPr>
            </w:pPr>
            <w:r>
              <w:rPr>
                <w:rFonts w:hint="eastAsia"/>
                <w:sz w:val="18"/>
                <w:szCs w:val="18"/>
                <w:lang w:eastAsia="en-US"/>
              </w:rPr>
              <w:t>第2.1项</w:t>
            </w:r>
          </w:p>
        </w:tc>
        <w:tc>
          <w:tcPr>
            <w:tcW w:w="355" w:type="pct"/>
            <w:tcMar>
              <w:left w:w="0" w:type="dxa"/>
              <w:right w:w="0" w:type="dxa"/>
            </w:tcMar>
            <w:vAlign w:val="center"/>
          </w:tcPr>
          <w:p w14:paraId="1911C876">
            <w:pPr>
              <w:pStyle w:val="34"/>
              <w:rPr>
                <w:sz w:val="18"/>
                <w:szCs w:val="18"/>
                <w:lang w:eastAsia="en-US"/>
              </w:rPr>
            </w:pPr>
            <w:r>
              <w:rPr>
                <w:sz w:val="18"/>
                <w:szCs w:val="18"/>
                <w:lang w:eastAsia="en-US"/>
              </w:rPr>
              <w:t>106-97-8</w:t>
            </w:r>
          </w:p>
        </w:tc>
        <w:tc>
          <w:tcPr>
            <w:tcW w:w="230" w:type="pct"/>
            <w:tcMar>
              <w:left w:w="0" w:type="dxa"/>
              <w:right w:w="0" w:type="dxa"/>
            </w:tcMar>
            <w:vAlign w:val="center"/>
          </w:tcPr>
          <w:p w14:paraId="5A440386">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7E480F68">
            <w:pPr>
              <w:pStyle w:val="34"/>
              <w:rPr>
                <w:sz w:val="18"/>
                <w:szCs w:val="18"/>
                <w:lang w:eastAsia="en-US"/>
              </w:rPr>
            </w:pPr>
            <w:r>
              <w:rPr>
                <w:rFonts w:hint="eastAsia"/>
                <w:sz w:val="18"/>
                <w:szCs w:val="18"/>
                <w:lang w:eastAsia="en-US"/>
              </w:rPr>
              <w:t>运输量大、极易燃</w:t>
            </w:r>
          </w:p>
        </w:tc>
        <w:tc>
          <w:tcPr>
            <w:tcW w:w="500" w:type="pct"/>
            <w:tcMar>
              <w:left w:w="0" w:type="dxa"/>
              <w:right w:w="0" w:type="dxa"/>
            </w:tcMar>
            <w:vAlign w:val="center"/>
          </w:tcPr>
          <w:p w14:paraId="2D83FFEB">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BFDAD04">
            <w:pPr>
              <w:pStyle w:val="34"/>
              <w:rPr>
                <w:sz w:val="18"/>
                <w:szCs w:val="18"/>
                <w:lang w:eastAsia="en-US"/>
              </w:rPr>
            </w:pPr>
            <w:r>
              <w:rPr>
                <w:rFonts w:hint="eastAsia"/>
                <w:sz w:val="18"/>
                <w:szCs w:val="18"/>
                <w:lang w:eastAsia="en-US"/>
              </w:rPr>
              <w:t>-</w:t>
            </w:r>
          </w:p>
        </w:tc>
      </w:tr>
      <w:tr w14:paraId="73B1BF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5F533C4">
            <w:pPr>
              <w:pStyle w:val="34"/>
              <w:numPr>
                <w:ilvl w:val="0"/>
                <w:numId w:val="53"/>
              </w:numPr>
              <w:rPr>
                <w:sz w:val="18"/>
                <w:szCs w:val="18"/>
                <w:lang w:eastAsia="en-US"/>
              </w:rPr>
            </w:pPr>
          </w:p>
        </w:tc>
        <w:tc>
          <w:tcPr>
            <w:tcW w:w="602" w:type="pct"/>
            <w:gridSpan w:val="3"/>
            <w:vMerge w:val="continue"/>
            <w:tcMar>
              <w:left w:w="0" w:type="dxa"/>
              <w:right w:w="0" w:type="dxa"/>
            </w:tcMar>
            <w:vAlign w:val="center"/>
          </w:tcPr>
          <w:p w14:paraId="0ACFDD31">
            <w:pPr>
              <w:pStyle w:val="34"/>
              <w:rPr>
                <w:sz w:val="18"/>
                <w:szCs w:val="18"/>
                <w:lang w:eastAsia="en-US"/>
              </w:rPr>
            </w:pPr>
          </w:p>
        </w:tc>
        <w:tc>
          <w:tcPr>
            <w:tcW w:w="243" w:type="pct"/>
            <w:vMerge w:val="continue"/>
            <w:tcMar>
              <w:left w:w="0" w:type="dxa"/>
              <w:right w:w="0" w:type="dxa"/>
            </w:tcMar>
            <w:vAlign w:val="center"/>
          </w:tcPr>
          <w:p w14:paraId="6365655C">
            <w:pPr>
              <w:pStyle w:val="34"/>
              <w:rPr>
                <w:sz w:val="18"/>
                <w:szCs w:val="18"/>
                <w:lang w:eastAsia="en-US"/>
              </w:rPr>
            </w:pPr>
          </w:p>
        </w:tc>
        <w:tc>
          <w:tcPr>
            <w:tcW w:w="213" w:type="pct"/>
            <w:tcMar>
              <w:left w:w="0" w:type="dxa"/>
              <w:right w:w="0" w:type="dxa"/>
            </w:tcMar>
            <w:vAlign w:val="center"/>
          </w:tcPr>
          <w:p w14:paraId="43EE5BFB">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2A4B72B1">
            <w:pPr>
              <w:pStyle w:val="34"/>
              <w:rPr>
                <w:sz w:val="18"/>
                <w:szCs w:val="18"/>
                <w:lang w:eastAsia="en-US"/>
              </w:rPr>
            </w:pPr>
            <w:bookmarkStart w:id="540" w:name="OLE_LINK181"/>
            <w:r>
              <w:rPr>
                <w:rFonts w:hint="eastAsia"/>
                <w:sz w:val="18"/>
                <w:szCs w:val="18"/>
                <w:lang w:eastAsia="en-US"/>
              </w:rPr>
              <w:t>二氟氯甲烷</w:t>
            </w:r>
            <w:bookmarkEnd w:id="540"/>
            <w:r>
              <w:rPr>
                <w:rFonts w:hint="eastAsia"/>
                <w:sz w:val="18"/>
                <w:szCs w:val="18"/>
                <w:lang w:eastAsia="en-US"/>
              </w:rPr>
              <w:t>(制冷气体R22)</w:t>
            </w:r>
          </w:p>
        </w:tc>
        <w:tc>
          <w:tcPr>
            <w:tcW w:w="267" w:type="pct"/>
            <w:tcMar>
              <w:left w:w="0" w:type="dxa"/>
              <w:right w:w="0" w:type="dxa"/>
            </w:tcMar>
            <w:vAlign w:val="center"/>
          </w:tcPr>
          <w:p w14:paraId="2B7BC738">
            <w:pPr>
              <w:pStyle w:val="34"/>
              <w:rPr>
                <w:sz w:val="18"/>
                <w:szCs w:val="18"/>
                <w:lang w:eastAsia="en-US"/>
              </w:rPr>
            </w:pPr>
            <w:r>
              <w:rPr>
                <w:rFonts w:hint="eastAsia"/>
                <w:sz w:val="18"/>
                <w:szCs w:val="18"/>
                <w:lang w:eastAsia="en-US"/>
              </w:rPr>
              <w:t>第2.2项</w:t>
            </w:r>
          </w:p>
        </w:tc>
        <w:tc>
          <w:tcPr>
            <w:tcW w:w="355" w:type="pct"/>
            <w:tcMar>
              <w:left w:w="0" w:type="dxa"/>
              <w:right w:w="0" w:type="dxa"/>
            </w:tcMar>
            <w:vAlign w:val="center"/>
          </w:tcPr>
          <w:p w14:paraId="46967DCB">
            <w:pPr>
              <w:pStyle w:val="34"/>
              <w:rPr>
                <w:sz w:val="18"/>
                <w:szCs w:val="18"/>
                <w:lang w:eastAsia="en-US"/>
              </w:rPr>
            </w:pPr>
            <w:r>
              <w:rPr>
                <w:sz w:val="18"/>
                <w:szCs w:val="18"/>
                <w:lang w:eastAsia="en-US"/>
              </w:rPr>
              <w:t>75-45-6</w:t>
            </w:r>
          </w:p>
        </w:tc>
        <w:tc>
          <w:tcPr>
            <w:tcW w:w="230" w:type="pct"/>
            <w:tcMar>
              <w:left w:w="0" w:type="dxa"/>
              <w:right w:w="0" w:type="dxa"/>
            </w:tcMar>
            <w:vAlign w:val="center"/>
          </w:tcPr>
          <w:p w14:paraId="1664B568">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30901666">
            <w:pPr>
              <w:pStyle w:val="34"/>
              <w:rPr>
                <w:sz w:val="18"/>
                <w:szCs w:val="18"/>
                <w:lang w:eastAsia="en-US"/>
              </w:rPr>
            </w:pPr>
            <w:r>
              <w:rPr>
                <w:rFonts w:hint="eastAsia"/>
                <w:sz w:val="18"/>
                <w:szCs w:val="18"/>
                <w:lang w:eastAsia="en-US"/>
              </w:rPr>
              <w:t>毒性、易燃</w:t>
            </w:r>
          </w:p>
        </w:tc>
        <w:tc>
          <w:tcPr>
            <w:tcW w:w="500" w:type="pct"/>
            <w:tcMar>
              <w:left w:w="0" w:type="dxa"/>
              <w:right w:w="0" w:type="dxa"/>
            </w:tcMar>
            <w:vAlign w:val="center"/>
          </w:tcPr>
          <w:p w14:paraId="22B802B3">
            <w:pPr>
              <w:pStyle w:val="34"/>
              <w:rPr>
                <w:sz w:val="18"/>
                <w:szCs w:val="18"/>
              </w:rPr>
            </w:pPr>
            <w:r>
              <w:rPr>
                <w:rFonts w:hint="eastAsia"/>
                <w:sz w:val="18"/>
                <w:szCs w:val="18"/>
              </w:rPr>
              <w:t>按健康危险急性毒性物质（类别2，类别3）</w:t>
            </w:r>
          </w:p>
        </w:tc>
        <w:tc>
          <w:tcPr>
            <w:tcW w:w="1373" w:type="pct"/>
            <w:tcMar>
              <w:left w:w="0" w:type="dxa"/>
              <w:right w:w="0" w:type="dxa"/>
            </w:tcMar>
            <w:vAlign w:val="center"/>
          </w:tcPr>
          <w:p w14:paraId="084C56FC">
            <w:pPr>
              <w:pStyle w:val="34"/>
              <w:rPr>
                <w:sz w:val="18"/>
                <w:szCs w:val="18"/>
                <w:lang w:eastAsia="en-US"/>
              </w:rPr>
            </w:pPr>
            <w:r>
              <w:rPr>
                <w:rFonts w:hint="eastAsia"/>
                <w:sz w:val="18"/>
                <w:szCs w:val="18"/>
                <w:lang w:eastAsia="en-US"/>
              </w:rPr>
              <w:t>-</w:t>
            </w:r>
          </w:p>
        </w:tc>
      </w:tr>
      <w:tr w14:paraId="06877F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9F2AD25">
            <w:pPr>
              <w:pStyle w:val="34"/>
              <w:numPr>
                <w:ilvl w:val="0"/>
                <w:numId w:val="53"/>
              </w:numPr>
              <w:rPr>
                <w:sz w:val="18"/>
                <w:szCs w:val="18"/>
                <w:lang w:eastAsia="en-US"/>
              </w:rPr>
            </w:pPr>
          </w:p>
        </w:tc>
        <w:tc>
          <w:tcPr>
            <w:tcW w:w="145" w:type="pct"/>
            <w:vMerge w:val="restart"/>
            <w:tcMar>
              <w:left w:w="0" w:type="dxa"/>
              <w:right w:w="0" w:type="dxa"/>
            </w:tcMar>
            <w:vAlign w:val="center"/>
          </w:tcPr>
          <w:p w14:paraId="5DE929F9">
            <w:pPr>
              <w:pStyle w:val="34"/>
              <w:rPr>
                <w:sz w:val="18"/>
                <w:szCs w:val="18"/>
                <w:lang w:eastAsia="en-US"/>
              </w:rPr>
            </w:pPr>
            <w:r>
              <w:rPr>
                <w:sz w:val="18"/>
                <w:szCs w:val="18"/>
                <w:lang w:eastAsia="en-US"/>
              </w:rPr>
              <w:t>液体物质</w:t>
            </w:r>
          </w:p>
        </w:tc>
        <w:tc>
          <w:tcPr>
            <w:tcW w:w="145" w:type="pct"/>
            <w:vMerge w:val="restart"/>
            <w:tcMar>
              <w:left w:w="0" w:type="dxa"/>
              <w:right w:w="0" w:type="dxa"/>
            </w:tcMar>
            <w:vAlign w:val="center"/>
          </w:tcPr>
          <w:p w14:paraId="54FC24E0">
            <w:pPr>
              <w:pStyle w:val="34"/>
              <w:rPr>
                <w:sz w:val="18"/>
                <w:szCs w:val="18"/>
                <w:lang w:eastAsia="en-US"/>
              </w:rPr>
            </w:pPr>
            <w:r>
              <w:rPr>
                <w:sz w:val="18"/>
                <w:szCs w:val="18"/>
                <w:lang w:eastAsia="en-US"/>
              </w:rPr>
              <w:t>可溶</w:t>
            </w:r>
            <w:r>
              <w:rPr>
                <w:rFonts w:hint="eastAsia"/>
                <w:sz w:val="18"/>
                <w:szCs w:val="18"/>
                <w:lang w:eastAsia="en-US"/>
              </w:rPr>
              <w:t>/易溶</w:t>
            </w:r>
          </w:p>
        </w:tc>
        <w:tc>
          <w:tcPr>
            <w:tcW w:w="311" w:type="pct"/>
            <w:vMerge w:val="restart"/>
            <w:tcMar>
              <w:left w:w="0" w:type="dxa"/>
              <w:right w:w="0" w:type="dxa"/>
            </w:tcMar>
            <w:vAlign w:val="center"/>
          </w:tcPr>
          <w:p w14:paraId="681F8309">
            <w:pPr>
              <w:pStyle w:val="34"/>
              <w:rPr>
                <w:sz w:val="18"/>
                <w:szCs w:val="18"/>
                <w:lang w:eastAsia="en-US"/>
              </w:rPr>
            </w:pPr>
            <w:r>
              <w:rPr>
                <w:sz w:val="18"/>
                <w:szCs w:val="18"/>
                <w:lang w:eastAsia="en-US"/>
              </w:rPr>
              <w:t>无机</w:t>
            </w:r>
          </w:p>
        </w:tc>
        <w:tc>
          <w:tcPr>
            <w:tcW w:w="243" w:type="pct"/>
            <w:tcMar>
              <w:left w:w="0" w:type="dxa"/>
              <w:right w:w="0" w:type="dxa"/>
            </w:tcMar>
            <w:vAlign w:val="center"/>
          </w:tcPr>
          <w:p w14:paraId="1BF2CC0F">
            <w:pPr>
              <w:pStyle w:val="34"/>
              <w:rPr>
                <w:sz w:val="18"/>
                <w:szCs w:val="18"/>
                <w:lang w:eastAsia="en-US"/>
              </w:rPr>
            </w:pPr>
            <w:r>
              <w:rPr>
                <w:rFonts w:hint="eastAsia"/>
                <w:sz w:val="18"/>
                <w:szCs w:val="18"/>
                <w:lang w:eastAsia="en-US"/>
              </w:rPr>
              <w:t>氧化性</w:t>
            </w:r>
          </w:p>
        </w:tc>
        <w:tc>
          <w:tcPr>
            <w:tcW w:w="213" w:type="pct"/>
            <w:tcMar>
              <w:left w:w="0" w:type="dxa"/>
              <w:right w:w="0" w:type="dxa"/>
            </w:tcMar>
            <w:vAlign w:val="center"/>
          </w:tcPr>
          <w:p w14:paraId="4C8B227B">
            <w:pPr>
              <w:pStyle w:val="34"/>
              <w:rPr>
                <w:sz w:val="18"/>
                <w:szCs w:val="18"/>
                <w:lang w:eastAsia="en-US"/>
              </w:rPr>
            </w:pPr>
            <w:r>
              <w:rPr>
                <w:sz w:val="18"/>
                <w:szCs w:val="18"/>
                <w:lang w:eastAsia="en-US"/>
              </w:rPr>
              <w:t>毒性、</w:t>
            </w:r>
          </w:p>
          <w:p w14:paraId="10B6AA05">
            <w:pPr>
              <w:pStyle w:val="34"/>
              <w:rPr>
                <w:sz w:val="18"/>
                <w:szCs w:val="18"/>
                <w:lang w:eastAsia="en-US"/>
              </w:rPr>
            </w:pPr>
            <w:r>
              <w:rPr>
                <w:rFonts w:hint="eastAsia"/>
                <w:sz w:val="18"/>
                <w:szCs w:val="18"/>
                <w:lang w:eastAsia="en-US"/>
              </w:rPr>
              <w:t>腐蚀性</w:t>
            </w:r>
          </w:p>
        </w:tc>
        <w:tc>
          <w:tcPr>
            <w:tcW w:w="582" w:type="pct"/>
            <w:tcMar>
              <w:left w:w="0" w:type="dxa"/>
              <w:right w:w="0" w:type="dxa"/>
            </w:tcMar>
            <w:vAlign w:val="center"/>
          </w:tcPr>
          <w:p w14:paraId="4AA5336B">
            <w:pPr>
              <w:pStyle w:val="34"/>
              <w:rPr>
                <w:sz w:val="18"/>
                <w:szCs w:val="18"/>
                <w:lang w:eastAsia="en-US"/>
              </w:rPr>
            </w:pPr>
            <w:r>
              <w:rPr>
                <w:rFonts w:hint="eastAsia"/>
                <w:sz w:val="18"/>
                <w:szCs w:val="18"/>
                <w:lang w:eastAsia="en-US"/>
              </w:rPr>
              <w:t>三氟化溴</w:t>
            </w:r>
          </w:p>
        </w:tc>
        <w:tc>
          <w:tcPr>
            <w:tcW w:w="267" w:type="pct"/>
            <w:tcMar>
              <w:left w:w="0" w:type="dxa"/>
              <w:right w:w="0" w:type="dxa"/>
            </w:tcMar>
            <w:vAlign w:val="center"/>
          </w:tcPr>
          <w:p w14:paraId="3EB27327">
            <w:pPr>
              <w:pStyle w:val="34"/>
              <w:rPr>
                <w:sz w:val="18"/>
                <w:szCs w:val="18"/>
                <w:lang w:eastAsia="en-US"/>
              </w:rPr>
            </w:pPr>
            <w:r>
              <w:rPr>
                <w:rFonts w:hint="eastAsia"/>
                <w:sz w:val="18"/>
                <w:szCs w:val="18"/>
                <w:lang w:eastAsia="en-US"/>
              </w:rPr>
              <w:t>第5.1项</w:t>
            </w:r>
          </w:p>
        </w:tc>
        <w:tc>
          <w:tcPr>
            <w:tcW w:w="355" w:type="pct"/>
            <w:tcMar>
              <w:left w:w="0" w:type="dxa"/>
              <w:right w:w="0" w:type="dxa"/>
            </w:tcMar>
            <w:vAlign w:val="center"/>
          </w:tcPr>
          <w:p w14:paraId="5EF86C7E">
            <w:pPr>
              <w:pStyle w:val="34"/>
              <w:rPr>
                <w:sz w:val="18"/>
                <w:szCs w:val="18"/>
                <w:lang w:eastAsia="en-US"/>
              </w:rPr>
            </w:pPr>
            <w:r>
              <w:rPr>
                <w:sz w:val="18"/>
                <w:szCs w:val="18"/>
                <w:lang w:eastAsia="en-US"/>
              </w:rPr>
              <w:t>7787-71-5</w:t>
            </w:r>
          </w:p>
        </w:tc>
        <w:tc>
          <w:tcPr>
            <w:tcW w:w="230" w:type="pct"/>
            <w:tcMar>
              <w:left w:w="0" w:type="dxa"/>
              <w:right w:w="0" w:type="dxa"/>
            </w:tcMar>
            <w:vAlign w:val="center"/>
          </w:tcPr>
          <w:p w14:paraId="7B6708FE">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3AD0F5B4">
            <w:pPr>
              <w:pStyle w:val="34"/>
              <w:rPr>
                <w:sz w:val="18"/>
                <w:szCs w:val="18"/>
              </w:rPr>
            </w:pPr>
            <w:r>
              <w:rPr>
                <w:rFonts w:hint="eastAsia"/>
                <w:sz w:val="18"/>
                <w:szCs w:val="18"/>
              </w:rPr>
              <w:t>爆炸风险、水溶液呈酸性</w:t>
            </w:r>
          </w:p>
        </w:tc>
        <w:tc>
          <w:tcPr>
            <w:tcW w:w="500" w:type="pct"/>
            <w:tcMar>
              <w:left w:w="0" w:type="dxa"/>
              <w:right w:w="0" w:type="dxa"/>
            </w:tcMar>
            <w:vAlign w:val="center"/>
          </w:tcPr>
          <w:p w14:paraId="7D6ED6EC">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20382874">
            <w:pPr>
              <w:pStyle w:val="34"/>
              <w:rPr>
                <w:sz w:val="18"/>
                <w:szCs w:val="18"/>
              </w:rPr>
            </w:pPr>
            <w:r>
              <w:rPr>
                <w:sz w:val="18"/>
                <w:szCs w:val="18"/>
              </w:rPr>
              <w:t>《渔业水质标准》（GB 11607-89）、</w:t>
            </w:r>
          </w:p>
          <w:p w14:paraId="2574A26A">
            <w:pPr>
              <w:pStyle w:val="34"/>
              <w:rPr>
                <w:sz w:val="18"/>
                <w:szCs w:val="18"/>
              </w:rPr>
            </w:pPr>
            <w:r>
              <w:rPr>
                <w:sz w:val="18"/>
                <w:szCs w:val="18"/>
              </w:rPr>
              <w:t>《海水水质标准》（</w:t>
            </w:r>
            <w:r>
              <w:rPr>
                <w:rFonts w:hint="eastAsia"/>
                <w:sz w:val="18"/>
                <w:szCs w:val="18"/>
              </w:rPr>
              <w:t>GB 3097-1997</w:t>
            </w:r>
            <w:r>
              <w:rPr>
                <w:sz w:val="18"/>
                <w:szCs w:val="18"/>
              </w:rPr>
              <w:t>）</w:t>
            </w:r>
          </w:p>
        </w:tc>
      </w:tr>
      <w:tr w14:paraId="32965C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173E6CEF">
            <w:pPr>
              <w:pStyle w:val="34"/>
              <w:numPr>
                <w:ilvl w:val="0"/>
                <w:numId w:val="53"/>
              </w:numPr>
              <w:rPr>
                <w:sz w:val="18"/>
                <w:szCs w:val="18"/>
              </w:rPr>
            </w:pPr>
          </w:p>
        </w:tc>
        <w:tc>
          <w:tcPr>
            <w:tcW w:w="145" w:type="pct"/>
            <w:vMerge w:val="continue"/>
            <w:tcMar>
              <w:left w:w="0" w:type="dxa"/>
              <w:right w:w="0" w:type="dxa"/>
            </w:tcMar>
            <w:vAlign w:val="center"/>
          </w:tcPr>
          <w:p w14:paraId="50E5CCAA">
            <w:pPr>
              <w:pStyle w:val="34"/>
              <w:rPr>
                <w:sz w:val="18"/>
                <w:szCs w:val="18"/>
              </w:rPr>
            </w:pPr>
          </w:p>
        </w:tc>
        <w:tc>
          <w:tcPr>
            <w:tcW w:w="145" w:type="pct"/>
            <w:vMerge w:val="continue"/>
            <w:tcMar>
              <w:left w:w="0" w:type="dxa"/>
              <w:right w:w="0" w:type="dxa"/>
            </w:tcMar>
            <w:vAlign w:val="center"/>
          </w:tcPr>
          <w:p w14:paraId="1AE9664F">
            <w:pPr>
              <w:pStyle w:val="34"/>
              <w:rPr>
                <w:sz w:val="18"/>
                <w:szCs w:val="18"/>
              </w:rPr>
            </w:pPr>
          </w:p>
        </w:tc>
        <w:tc>
          <w:tcPr>
            <w:tcW w:w="311" w:type="pct"/>
            <w:vMerge w:val="continue"/>
            <w:tcMar>
              <w:left w:w="0" w:type="dxa"/>
              <w:right w:w="0" w:type="dxa"/>
            </w:tcMar>
            <w:vAlign w:val="center"/>
          </w:tcPr>
          <w:p w14:paraId="0706A24B">
            <w:pPr>
              <w:pStyle w:val="34"/>
              <w:rPr>
                <w:sz w:val="18"/>
                <w:szCs w:val="18"/>
              </w:rPr>
            </w:pPr>
          </w:p>
        </w:tc>
        <w:tc>
          <w:tcPr>
            <w:tcW w:w="243" w:type="pct"/>
            <w:vMerge w:val="restart"/>
            <w:tcMar>
              <w:left w:w="0" w:type="dxa"/>
              <w:right w:w="0" w:type="dxa"/>
            </w:tcMar>
            <w:vAlign w:val="center"/>
          </w:tcPr>
          <w:p w14:paraId="248CD690">
            <w:pPr>
              <w:pStyle w:val="34"/>
              <w:rPr>
                <w:sz w:val="18"/>
                <w:szCs w:val="18"/>
                <w:lang w:eastAsia="en-US"/>
              </w:rPr>
            </w:pPr>
            <w:r>
              <w:rPr>
                <w:rFonts w:hint="eastAsia"/>
                <w:sz w:val="18"/>
                <w:szCs w:val="18"/>
                <w:lang w:eastAsia="en-US"/>
              </w:rPr>
              <w:t>腐蚀性</w:t>
            </w:r>
          </w:p>
        </w:tc>
        <w:tc>
          <w:tcPr>
            <w:tcW w:w="213" w:type="pct"/>
            <w:tcMar>
              <w:left w:w="0" w:type="dxa"/>
              <w:right w:w="0" w:type="dxa"/>
            </w:tcMar>
            <w:vAlign w:val="center"/>
          </w:tcPr>
          <w:p w14:paraId="4A101872">
            <w:pPr>
              <w:pStyle w:val="34"/>
              <w:rPr>
                <w:sz w:val="18"/>
                <w:szCs w:val="18"/>
                <w:lang w:eastAsia="en-US"/>
              </w:rPr>
            </w:pPr>
            <w:r>
              <w:rPr>
                <w:sz w:val="18"/>
                <w:szCs w:val="18"/>
                <w:lang w:eastAsia="en-US"/>
              </w:rPr>
              <w:t>毒性</w:t>
            </w:r>
          </w:p>
        </w:tc>
        <w:tc>
          <w:tcPr>
            <w:tcW w:w="582" w:type="pct"/>
            <w:tcMar>
              <w:left w:w="0" w:type="dxa"/>
              <w:right w:w="0" w:type="dxa"/>
            </w:tcMar>
            <w:vAlign w:val="center"/>
          </w:tcPr>
          <w:p w14:paraId="6686A7DA">
            <w:pPr>
              <w:pStyle w:val="34"/>
              <w:rPr>
                <w:sz w:val="18"/>
                <w:szCs w:val="18"/>
                <w:lang w:eastAsia="en-US"/>
              </w:rPr>
            </w:pPr>
            <w:r>
              <w:rPr>
                <w:rFonts w:hint="eastAsia"/>
                <w:sz w:val="18"/>
                <w:szCs w:val="18"/>
                <w:lang w:eastAsia="en-US"/>
              </w:rPr>
              <w:t>氟化氢</w:t>
            </w:r>
          </w:p>
        </w:tc>
        <w:tc>
          <w:tcPr>
            <w:tcW w:w="267" w:type="pct"/>
            <w:tcMar>
              <w:left w:w="0" w:type="dxa"/>
              <w:right w:w="0" w:type="dxa"/>
            </w:tcMar>
            <w:vAlign w:val="center"/>
          </w:tcPr>
          <w:p w14:paraId="56E23940">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3FBB2B09">
            <w:pPr>
              <w:pStyle w:val="34"/>
              <w:rPr>
                <w:sz w:val="18"/>
                <w:szCs w:val="18"/>
                <w:lang w:eastAsia="en-US"/>
              </w:rPr>
            </w:pPr>
            <w:r>
              <w:rPr>
                <w:sz w:val="18"/>
                <w:szCs w:val="18"/>
                <w:lang w:eastAsia="en-US"/>
              </w:rPr>
              <w:t>7664-39-3</w:t>
            </w:r>
          </w:p>
        </w:tc>
        <w:tc>
          <w:tcPr>
            <w:tcW w:w="230" w:type="pct"/>
            <w:tcMar>
              <w:left w:w="0" w:type="dxa"/>
              <w:right w:w="0" w:type="dxa"/>
            </w:tcMar>
            <w:vAlign w:val="center"/>
          </w:tcPr>
          <w:p w14:paraId="0A6EC97F">
            <w:pPr>
              <w:pStyle w:val="34"/>
              <w:rPr>
                <w:sz w:val="18"/>
                <w:szCs w:val="18"/>
                <w:lang w:eastAsia="en-US"/>
              </w:rPr>
            </w:pPr>
            <w:r>
              <w:rPr>
                <w:sz w:val="18"/>
                <w:szCs w:val="18"/>
                <w:lang w:eastAsia="en-US"/>
              </w:rPr>
              <w:t>50</w:t>
            </w:r>
          </w:p>
        </w:tc>
        <w:tc>
          <w:tcPr>
            <w:tcW w:w="490" w:type="pct"/>
            <w:tcMar>
              <w:left w:w="0" w:type="dxa"/>
              <w:right w:w="0" w:type="dxa"/>
            </w:tcMar>
            <w:vAlign w:val="center"/>
          </w:tcPr>
          <w:p w14:paraId="5734BCB7">
            <w:pPr>
              <w:pStyle w:val="34"/>
              <w:rPr>
                <w:sz w:val="18"/>
                <w:szCs w:val="18"/>
              </w:rPr>
            </w:pPr>
            <w:r>
              <w:rPr>
                <w:rFonts w:hint="eastAsia"/>
                <w:sz w:val="18"/>
                <w:szCs w:val="18"/>
              </w:rPr>
              <w:t>毒性、腐蚀性、水溶液呈酸性</w:t>
            </w:r>
          </w:p>
        </w:tc>
        <w:tc>
          <w:tcPr>
            <w:tcW w:w="500" w:type="pct"/>
            <w:tcMar>
              <w:left w:w="0" w:type="dxa"/>
              <w:right w:w="0" w:type="dxa"/>
            </w:tcMar>
            <w:vAlign w:val="center"/>
          </w:tcPr>
          <w:p w14:paraId="1D389F6F">
            <w:pPr>
              <w:pStyle w:val="34"/>
              <w:rPr>
                <w:sz w:val="18"/>
                <w:szCs w:val="18"/>
              </w:rPr>
            </w:pPr>
            <w:r>
              <w:rPr>
                <w:rFonts w:hint="eastAsia"/>
                <w:sz w:val="18"/>
                <w:szCs w:val="18"/>
              </w:rPr>
              <w:t>列入，按健康危险急性毒性物质（类别2，类别3）</w:t>
            </w:r>
          </w:p>
        </w:tc>
        <w:tc>
          <w:tcPr>
            <w:tcW w:w="1373" w:type="pct"/>
            <w:tcMar>
              <w:left w:w="0" w:type="dxa"/>
              <w:right w:w="0" w:type="dxa"/>
            </w:tcMar>
            <w:vAlign w:val="center"/>
          </w:tcPr>
          <w:p w14:paraId="20492ED5">
            <w:pPr>
              <w:pStyle w:val="34"/>
              <w:rPr>
                <w:sz w:val="18"/>
                <w:szCs w:val="18"/>
              </w:rPr>
            </w:pPr>
            <w:r>
              <w:rPr>
                <w:sz w:val="18"/>
                <w:szCs w:val="18"/>
              </w:rPr>
              <w:t>《渔业水质标准》（GB 11607-89）、《海水水质标准》（</w:t>
            </w:r>
            <w:r>
              <w:rPr>
                <w:rFonts w:hint="eastAsia"/>
                <w:sz w:val="18"/>
                <w:szCs w:val="18"/>
              </w:rPr>
              <w:t>GB 3097-1997</w:t>
            </w:r>
            <w:r>
              <w:rPr>
                <w:sz w:val="18"/>
                <w:szCs w:val="18"/>
              </w:rPr>
              <w:t>）</w:t>
            </w:r>
          </w:p>
        </w:tc>
      </w:tr>
      <w:tr w14:paraId="03003E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D58FAAF">
            <w:pPr>
              <w:pStyle w:val="34"/>
              <w:numPr>
                <w:ilvl w:val="0"/>
                <w:numId w:val="53"/>
              </w:numPr>
              <w:rPr>
                <w:sz w:val="18"/>
                <w:szCs w:val="18"/>
              </w:rPr>
            </w:pPr>
          </w:p>
        </w:tc>
        <w:tc>
          <w:tcPr>
            <w:tcW w:w="145" w:type="pct"/>
            <w:vMerge w:val="continue"/>
            <w:tcMar>
              <w:left w:w="0" w:type="dxa"/>
              <w:right w:w="0" w:type="dxa"/>
            </w:tcMar>
            <w:vAlign w:val="center"/>
          </w:tcPr>
          <w:p w14:paraId="6995FB37">
            <w:pPr>
              <w:pStyle w:val="34"/>
              <w:rPr>
                <w:sz w:val="18"/>
                <w:szCs w:val="18"/>
              </w:rPr>
            </w:pPr>
          </w:p>
        </w:tc>
        <w:tc>
          <w:tcPr>
            <w:tcW w:w="145" w:type="pct"/>
            <w:vMerge w:val="continue"/>
            <w:tcMar>
              <w:left w:w="0" w:type="dxa"/>
              <w:right w:w="0" w:type="dxa"/>
            </w:tcMar>
            <w:vAlign w:val="center"/>
          </w:tcPr>
          <w:p w14:paraId="39D35F8C">
            <w:pPr>
              <w:pStyle w:val="34"/>
              <w:rPr>
                <w:sz w:val="18"/>
                <w:szCs w:val="18"/>
              </w:rPr>
            </w:pPr>
          </w:p>
        </w:tc>
        <w:tc>
          <w:tcPr>
            <w:tcW w:w="311" w:type="pct"/>
            <w:vMerge w:val="continue"/>
            <w:tcMar>
              <w:left w:w="0" w:type="dxa"/>
              <w:right w:w="0" w:type="dxa"/>
            </w:tcMar>
            <w:vAlign w:val="center"/>
          </w:tcPr>
          <w:p w14:paraId="7D054D48">
            <w:pPr>
              <w:pStyle w:val="34"/>
              <w:rPr>
                <w:sz w:val="18"/>
                <w:szCs w:val="18"/>
              </w:rPr>
            </w:pPr>
          </w:p>
        </w:tc>
        <w:tc>
          <w:tcPr>
            <w:tcW w:w="243" w:type="pct"/>
            <w:vMerge w:val="continue"/>
            <w:tcMar>
              <w:left w:w="0" w:type="dxa"/>
              <w:right w:w="0" w:type="dxa"/>
            </w:tcMar>
            <w:vAlign w:val="center"/>
          </w:tcPr>
          <w:p w14:paraId="4F72B1AD">
            <w:pPr>
              <w:pStyle w:val="34"/>
              <w:rPr>
                <w:sz w:val="18"/>
                <w:szCs w:val="18"/>
              </w:rPr>
            </w:pPr>
          </w:p>
        </w:tc>
        <w:tc>
          <w:tcPr>
            <w:tcW w:w="213" w:type="pct"/>
            <w:tcMar>
              <w:left w:w="0" w:type="dxa"/>
              <w:right w:w="0" w:type="dxa"/>
            </w:tcMar>
            <w:vAlign w:val="center"/>
          </w:tcPr>
          <w:p w14:paraId="7E1710B0">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5E81DC8">
            <w:pPr>
              <w:pStyle w:val="34"/>
              <w:rPr>
                <w:sz w:val="18"/>
                <w:szCs w:val="18"/>
                <w:lang w:eastAsia="en-US"/>
              </w:rPr>
            </w:pPr>
            <w:r>
              <w:rPr>
                <w:rFonts w:hint="eastAsia"/>
                <w:sz w:val="18"/>
                <w:szCs w:val="18"/>
                <w:lang w:eastAsia="en-US"/>
              </w:rPr>
              <w:t>硫酸</w:t>
            </w:r>
          </w:p>
        </w:tc>
        <w:tc>
          <w:tcPr>
            <w:tcW w:w="267" w:type="pct"/>
            <w:tcMar>
              <w:left w:w="0" w:type="dxa"/>
              <w:right w:w="0" w:type="dxa"/>
            </w:tcMar>
            <w:vAlign w:val="center"/>
          </w:tcPr>
          <w:p w14:paraId="44CB6696">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4A2B55AB">
            <w:pPr>
              <w:pStyle w:val="34"/>
              <w:rPr>
                <w:sz w:val="18"/>
                <w:szCs w:val="18"/>
                <w:lang w:eastAsia="en-US"/>
              </w:rPr>
            </w:pPr>
            <w:r>
              <w:rPr>
                <w:sz w:val="18"/>
                <w:szCs w:val="18"/>
                <w:lang w:eastAsia="en-US"/>
              </w:rPr>
              <w:t>7664-93-9</w:t>
            </w:r>
          </w:p>
        </w:tc>
        <w:tc>
          <w:tcPr>
            <w:tcW w:w="230" w:type="pct"/>
            <w:tcMar>
              <w:left w:w="0" w:type="dxa"/>
              <w:right w:w="0" w:type="dxa"/>
            </w:tcMar>
            <w:vAlign w:val="center"/>
          </w:tcPr>
          <w:p w14:paraId="7B825E67">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536C9B17">
            <w:pPr>
              <w:pStyle w:val="34"/>
              <w:rPr>
                <w:sz w:val="18"/>
                <w:szCs w:val="18"/>
              </w:rPr>
            </w:pPr>
            <w:r>
              <w:rPr>
                <w:rFonts w:hint="eastAsia"/>
                <w:sz w:val="18"/>
                <w:szCs w:val="18"/>
              </w:rPr>
              <w:t>腐蚀性、水溶液呈强酸性</w:t>
            </w:r>
          </w:p>
        </w:tc>
        <w:tc>
          <w:tcPr>
            <w:tcW w:w="500" w:type="pct"/>
            <w:tcMar>
              <w:left w:w="0" w:type="dxa"/>
              <w:right w:w="0" w:type="dxa"/>
            </w:tcMar>
            <w:vAlign w:val="center"/>
          </w:tcPr>
          <w:p w14:paraId="08869CFF">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2F419BBC">
            <w:pPr>
              <w:pStyle w:val="34"/>
              <w:rPr>
                <w:sz w:val="18"/>
                <w:szCs w:val="18"/>
              </w:rPr>
            </w:pPr>
            <w:r>
              <w:rPr>
                <w:rFonts w:hint="eastAsia"/>
                <w:sz w:val="18"/>
                <w:szCs w:val="18"/>
              </w:rPr>
              <w:t>《易制毒化学品的分类和品种目录》第三类</w:t>
            </w:r>
          </w:p>
        </w:tc>
      </w:tr>
      <w:tr w14:paraId="7310E4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B6AD872">
            <w:pPr>
              <w:pStyle w:val="34"/>
              <w:numPr>
                <w:ilvl w:val="0"/>
                <w:numId w:val="53"/>
              </w:numPr>
              <w:rPr>
                <w:sz w:val="18"/>
                <w:szCs w:val="18"/>
              </w:rPr>
            </w:pPr>
          </w:p>
        </w:tc>
        <w:tc>
          <w:tcPr>
            <w:tcW w:w="145" w:type="pct"/>
            <w:vMerge w:val="continue"/>
            <w:tcMar>
              <w:left w:w="0" w:type="dxa"/>
              <w:right w:w="0" w:type="dxa"/>
            </w:tcMar>
            <w:vAlign w:val="center"/>
          </w:tcPr>
          <w:p w14:paraId="0CFE5161">
            <w:pPr>
              <w:pStyle w:val="34"/>
              <w:rPr>
                <w:sz w:val="18"/>
                <w:szCs w:val="18"/>
              </w:rPr>
            </w:pPr>
          </w:p>
        </w:tc>
        <w:tc>
          <w:tcPr>
            <w:tcW w:w="145" w:type="pct"/>
            <w:vMerge w:val="continue"/>
            <w:tcMar>
              <w:left w:w="0" w:type="dxa"/>
              <w:right w:w="0" w:type="dxa"/>
            </w:tcMar>
            <w:vAlign w:val="center"/>
          </w:tcPr>
          <w:p w14:paraId="1384B70E">
            <w:pPr>
              <w:pStyle w:val="34"/>
              <w:rPr>
                <w:sz w:val="18"/>
                <w:szCs w:val="18"/>
              </w:rPr>
            </w:pPr>
          </w:p>
        </w:tc>
        <w:tc>
          <w:tcPr>
            <w:tcW w:w="311" w:type="pct"/>
            <w:vMerge w:val="continue"/>
            <w:tcMar>
              <w:left w:w="0" w:type="dxa"/>
              <w:right w:w="0" w:type="dxa"/>
            </w:tcMar>
            <w:vAlign w:val="center"/>
          </w:tcPr>
          <w:p w14:paraId="656F4C21">
            <w:pPr>
              <w:pStyle w:val="34"/>
              <w:rPr>
                <w:sz w:val="18"/>
                <w:szCs w:val="18"/>
              </w:rPr>
            </w:pPr>
          </w:p>
        </w:tc>
        <w:tc>
          <w:tcPr>
            <w:tcW w:w="243" w:type="pct"/>
            <w:vMerge w:val="continue"/>
            <w:tcMar>
              <w:left w:w="0" w:type="dxa"/>
              <w:right w:w="0" w:type="dxa"/>
            </w:tcMar>
            <w:vAlign w:val="center"/>
          </w:tcPr>
          <w:p w14:paraId="79C88918">
            <w:pPr>
              <w:pStyle w:val="34"/>
              <w:rPr>
                <w:sz w:val="18"/>
                <w:szCs w:val="18"/>
              </w:rPr>
            </w:pPr>
          </w:p>
        </w:tc>
        <w:tc>
          <w:tcPr>
            <w:tcW w:w="213" w:type="pct"/>
            <w:tcMar>
              <w:left w:w="0" w:type="dxa"/>
              <w:right w:w="0" w:type="dxa"/>
            </w:tcMar>
            <w:vAlign w:val="center"/>
          </w:tcPr>
          <w:p w14:paraId="1D404845">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46213DEE">
            <w:pPr>
              <w:pStyle w:val="34"/>
              <w:rPr>
                <w:sz w:val="18"/>
                <w:szCs w:val="18"/>
                <w:lang w:eastAsia="en-US"/>
              </w:rPr>
            </w:pPr>
            <w:r>
              <w:rPr>
                <w:rFonts w:hint="eastAsia"/>
                <w:sz w:val="18"/>
                <w:szCs w:val="18"/>
                <w:lang w:eastAsia="en-US"/>
              </w:rPr>
              <w:t>磷酸</w:t>
            </w:r>
          </w:p>
        </w:tc>
        <w:tc>
          <w:tcPr>
            <w:tcW w:w="267" w:type="pct"/>
            <w:tcMar>
              <w:left w:w="0" w:type="dxa"/>
              <w:right w:w="0" w:type="dxa"/>
            </w:tcMar>
            <w:vAlign w:val="center"/>
          </w:tcPr>
          <w:p w14:paraId="0451BC84">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4EB9BA64">
            <w:pPr>
              <w:pStyle w:val="34"/>
              <w:rPr>
                <w:sz w:val="18"/>
                <w:szCs w:val="18"/>
                <w:lang w:eastAsia="en-US"/>
              </w:rPr>
            </w:pPr>
            <w:r>
              <w:rPr>
                <w:sz w:val="18"/>
                <w:szCs w:val="18"/>
                <w:lang w:eastAsia="en-US"/>
              </w:rPr>
              <w:t>7664-38-2</w:t>
            </w:r>
          </w:p>
        </w:tc>
        <w:tc>
          <w:tcPr>
            <w:tcW w:w="230" w:type="pct"/>
            <w:tcMar>
              <w:left w:w="0" w:type="dxa"/>
              <w:right w:w="0" w:type="dxa"/>
            </w:tcMar>
            <w:vAlign w:val="center"/>
          </w:tcPr>
          <w:p w14:paraId="46306F23">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4B245F44">
            <w:pPr>
              <w:pStyle w:val="34"/>
              <w:rPr>
                <w:sz w:val="18"/>
                <w:szCs w:val="18"/>
              </w:rPr>
            </w:pPr>
            <w:r>
              <w:rPr>
                <w:rFonts w:hint="eastAsia"/>
                <w:sz w:val="18"/>
                <w:szCs w:val="18"/>
              </w:rPr>
              <w:t>腐蚀性、运输量大、水溶液呈酸性</w:t>
            </w:r>
          </w:p>
        </w:tc>
        <w:tc>
          <w:tcPr>
            <w:tcW w:w="500" w:type="pct"/>
            <w:tcMar>
              <w:left w:w="0" w:type="dxa"/>
              <w:right w:w="0" w:type="dxa"/>
            </w:tcMar>
            <w:vAlign w:val="center"/>
          </w:tcPr>
          <w:p w14:paraId="4D678D77">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18AAFF4D">
            <w:pPr>
              <w:pStyle w:val="34"/>
              <w:rPr>
                <w:sz w:val="18"/>
                <w:szCs w:val="18"/>
                <w:lang w:eastAsia="en-US"/>
              </w:rPr>
            </w:pPr>
            <w:r>
              <w:rPr>
                <w:rFonts w:hint="eastAsia"/>
                <w:sz w:val="18"/>
                <w:szCs w:val="18"/>
                <w:lang w:eastAsia="en-US"/>
              </w:rPr>
              <w:t>-</w:t>
            </w:r>
          </w:p>
        </w:tc>
      </w:tr>
      <w:tr w14:paraId="2E5DA1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A0C471C">
            <w:pPr>
              <w:pStyle w:val="34"/>
              <w:numPr>
                <w:ilvl w:val="0"/>
                <w:numId w:val="53"/>
              </w:numPr>
              <w:rPr>
                <w:sz w:val="18"/>
                <w:szCs w:val="18"/>
                <w:lang w:eastAsia="en-US"/>
              </w:rPr>
            </w:pPr>
          </w:p>
        </w:tc>
        <w:tc>
          <w:tcPr>
            <w:tcW w:w="145" w:type="pct"/>
            <w:vMerge w:val="continue"/>
            <w:tcMar>
              <w:left w:w="0" w:type="dxa"/>
              <w:right w:w="0" w:type="dxa"/>
            </w:tcMar>
            <w:vAlign w:val="center"/>
          </w:tcPr>
          <w:p w14:paraId="7410F2E2">
            <w:pPr>
              <w:pStyle w:val="34"/>
              <w:rPr>
                <w:sz w:val="18"/>
                <w:szCs w:val="18"/>
                <w:lang w:eastAsia="en-US"/>
              </w:rPr>
            </w:pPr>
          </w:p>
        </w:tc>
        <w:tc>
          <w:tcPr>
            <w:tcW w:w="145" w:type="pct"/>
            <w:vMerge w:val="continue"/>
            <w:tcMar>
              <w:left w:w="0" w:type="dxa"/>
              <w:right w:w="0" w:type="dxa"/>
            </w:tcMar>
            <w:vAlign w:val="center"/>
          </w:tcPr>
          <w:p w14:paraId="4942AFA7">
            <w:pPr>
              <w:pStyle w:val="34"/>
              <w:rPr>
                <w:sz w:val="18"/>
                <w:szCs w:val="18"/>
                <w:lang w:eastAsia="en-US"/>
              </w:rPr>
            </w:pPr>
          </w:p>
        </w:tc>
        <w:tc>
          <w:tcPr>
            <w:tcW w:w="311" w:type="pct"/>
            <w:vMerge w:val="continue"/>
            <w:tcMar>
              <w:left w:w="0" w:type="dxa"/>
              <w:right w:w="0" w:type="dxa"/>
            </w:tcMar>
            <w:vAlign w:val="center"/>
          </w:tcPr>
          <w:p w14:paraId="1E5974B5">
            <w:pPr>
              <w:pStyle w:val="34"/>
              <w:rPr>
                <w:sz w:val="18"/>
                <w:szCs w:val="18"/>
                <w:lang w:eastAsia="en-US"/>
              </w:rPr>
            </w:pPr>
          </w:p>
        </w:tc>
        <w:tc>
          <w:tcPr>
            <w:tcW w:w="243" w:type="pct"/>
            <w:vMerge w:val="continue"/>
            <w:tcMar>
              <w:left w:w="0" w:type="dxa"/>
              <w:right w:w="0" w:type="dxa"/>
            </w:tcMar>
            <w:vAlign w:val="center"/>
          </w:tcPr>
          <w:p w14:paraId="68DF11D4">
            <w:pPr>
              <w:pStyle w:val="34"/>
              <w:rPr>
                <w:sz w:val="18"/>
                <w:szCs w:val="18"/>
                <w:lang w:eastAsia="en-US"/>
              </w:rPr>
            </w:pPr>
          </w:p>
        </w:tc>
        <w:tc>
          <w:tcPr>
            <w:tcW w:w="213" w:type="pct"/>
            <w:tcMar>
              <w:left w:w="0" w:type="dxa"/>
              <w:right w:w="0" w:type="dxa"/>
            </w:tcMar>
            <w:vAlign w:val="center"/>
          </w:tcPr>
          <w:p w14:paraId="50BBD632">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1151062">
            <w:pPr>
              <w:pStyle w:val="34"/>
              <w:rPr>
                <w:sz w:val="18"/>
                <w:szCs w:val="18"/>
                <w:lang w:eastAsia="en-US"/>
              </w:rPr>
            </w:pPr>
            <w:r>
              <w:rPr>
                <w:rFonts w:hint="eastAsia"/>
                <w:sz w:val="18"/>
                <w:szCs w:val="18"/>
                <w:lang w:eastAsia="en-US"/>
              </w:rPr>
              <w:t>氯磺酸</w:t>
            </w:r>
          </w:p>
        </w:tc>
        <w:tc>
          <w:tcPr>
            <w:tcW w:w="267" w:type="pct"/>
            <w:tcMar>
              <w:left w:w="0" w:type="dxa"/>
              <w:right w:w="0" w:type="dxa"/>
            </w:tcMar>
            <w:vAlign w:val="center"/>
          </w:tcPr>
          <w:p w14:paraId="30225FBC">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31BF8ADC">
            <w:pPr>
              <w:pStyle w:val="34"/>
              <w:rPr>
                <w:sz w:val="18"/>
                <w:szCs w:val="18"/>
                <w:lang w:eastAsia="en-US"/>
              </w:rPr>
            </w:pPr>
            <w:r>
              <w:rPr>
                <w:sz w:val="18"/>
                <w:szCs w:val="18"/>
                <w:lang w:eastAsia="en-US"/>
              </w:rPr>
              <w:t>7790-94-5</w:t>
            </w:r>
          </w:p>
        </w:tc>
        <w:tc>
          <w:tcPr>
            <w:tcW w:w="230" w:type="pct"/>
            <w:tcMar>
              <w:left w:w="0" w:type="dxa"/>
              <w:right w:w="0" w:type="dxa"/>
            </w:tcMar>
            <w:vAlign w:val="center"/>
          </w:tcPr>
          <w:p w14:paraId="1C3EF26A">
            <w:pPr>
              <w:pStyle w:val="34"/>
              <w:rPr>
                <w:sz w:val="18"/>
                <w:szCs w:val="18"/>
                <w:lang w:eastAsia="en-US"/>
              </w:rPr>
            </w:pPr>
            <w:r>
              <w:rPr>
                <w:rFonts w:hint="eastAsia"/>
                <w:sz w:val="18"/>
                <w:szCs w:val="18"/>
                <w:lang w:eastAsia="en-US"/>
              </w:rPr>
              <w:t>0.5</w:t>
            </w:r>
          </w:p>
        </w:tc>
        <w:tc>
          <w:tcPr>
            <w:tcW w:w="490" w:type="pct"/>
            <w:tcMar>
              <w:left w:w="0" w:type="dxa"/>
              <w:right w:w="0" w:type="dxa"/>
            </w:tcMar>
            <w:vAlign w:val="center"/>
          </w:tcPr>
          <w:p w14:paraId="35E693D7">
            <w:pPr>
              <w:pStyle w:val="34"/>
              <w:rPr>
                <w:sz w:val="18"/>
                <w:szCs w:val="18"/>
              </w:rPr>
            </w:pPr>
            <w:r>
              <w:rPr>
                <w:rFonts w:hint="eastAsia"/>
                <w:sz w:val="18"/>
                <w:szCs w:val="18"/>
              </w:rPr>
              <w:t>腐蚀性、剧毒、水溶液呈酸性</w:t>
            </w:r>
          </w:p>
        </w:tc>
        <w:tc>
          <w:tcPr>
            <w:tcW w:w="500" w:type="pct"/>
            <w:tcMar>
              <w:left w:w="0" w:type="dxa"/>
              <w:right w:w="0" w:type="dxa"/>
            </w:tcMar>
            <w:vAlign w:val="center"/>
          </w:tcPr>
          <w:p w14:paraId="69C275F2">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6433B2C2">
            <w:pPr>
              <w:pStyle w:val="34"/>
              <w:rPr>
                <w:sz w:val="18"/>
                <w:szCs w:val="18"/>
                <w:lang w:eastAsia="en-US"/>
              </w:rPr>
            </w:pPr>
            <w:r>
              <w:rPr>
                <w:rFonts w:hint="eastAsia"/>
                <w:sz w:val="18"/>
                <w:szCs w:val="18"/>
                <w:lang w:eastAsia="en-US"/>
              </w:rPr>
              <w:t>-</w:t>
            </w:r>
          </w:p>
        </w:tc>
      </w:tr>
      <w:tr w14:paraId="08CE7D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9002037">
            <w:pPr>
              <w:pStyle w:val="34"/>
              <w:numPr>
                <w:ilvl w:val="0"/>
                <w:numId w:val="53"/>
              </w:numPr>
              <w:rPr>
                <w:sz w:val="18"/>
                <w:szCs w:val="18"/>
                <w:lang w:eastAsia="en-US"/>
              </w:rPr>
            </w:pPr>
          </w:p>
        </w:tc>
        <w:tc>
          <w:tcPr>
            <w:tcW w:w="145" w:type="pct"/>
            <w:vMerge w:val="continue"/>
            <w:tcMar>
              <w:left w:w="0" w:type="dxa"/>
              <w:right w:w="0" w:type="dxa"/>
            </w:tcMar>
            <w:vAlign w:val="center"/>
          </w:tcPr>
          <w:p w14:paraId="74E0C381">
            <w:pPr>
              <w:pStyle w:val="34"/>
              <w:rPr>
                <w:sz w:val="18"/>
                <w:szCs w:val="18"/>
                <w:lang w:eastAsia="en-US"/>
              </w:rPr>
            </w:pPr>
          </w:p>
        </w:tc>
        <w:tc>
          <w:tcPr>
            <w:tcW w:w="145" w:type="pct"/>
            <w:vMerge w:val="continue"/>
            <w:tcMar>
              <w:left w:w="0" w:type="dxa"/>
              <w:right w:w="0" w:type="dxa"/>
            </w:tcMar>
            <w:vAlign w:val="center"/>
          </w:tcPr>
          <w:p w14:paraId="6DB930C9">
            <w:pPr>
              <w:pStyle w:val="34"/>
              <w:rPr>
                <w:sz w:val="18"/>
                <w:szCs w:val="18"/>
                <w:lang w:eastAsia="en-US"/>
              </w:rPr>
            </w:pPr>
          </w:p>
        </w:tc>
        <w:tc>
          <w:tcPr>
            <w:tcW w:w="311" w:type="pct"/>
            <w:vMerge w:val="restart"/>
            <w:tcMar>
              <w:left w:w="0" w:type="dxa"/>
              <w:right w:w="0" w:type="dxa"/>
            </w:tcMar>
            <w:vAlign w:val="center"/>
          </w:tcPr>
          <w:p w14:paraId="749171D9">
            <w:pPr>
              <w:pStyle w:val="34"/>
              <w:rPr>
                <w:sz w:val="18"/>
                <w:szCs w:val="18"/>
                <w:lang w:eastAsia="en-US"/>
              </w:rPr>
            </w:pPr>
            <w:r>
              <w:rPr>
                <w:sz w:val="18"/>
                <w:szCs w:val="18"/>
                <w:lang w:eastAsia="en-US"/>
              </w:rPr>
              <w:t>有机</w:t>
            </w:r>
          </w:p>
        </w:tc>
        <w:tc>
          <w:tcPr>
            <w:tcW w:w="243" w:type="pct"/>
            <w:tcMar>
              <w:left w:w="0" w:type="dxa"/>
              <w:right w:w="0" w:type="dxa"/>
            </w:tcMar>
            <w:vAlign w:val="center"/>
          </w:tcPr>
          <w:p w14:paraId="0AC98227">
            <w:pPr>
              <w:pStyle w:val="34"/>
              <w:rPr>
                <w:sz w:val="18"/>
                <w:szCs w:val="18"/>
                <w:lang w:eastAsia="en-US"/>
              </w:rPr>
            </w:pPr>
            <w:r>
              <w:rPr>
                <w:rFonts w:hint="eastAsia"/>
                <w:sz w:val="18"/>
                <w:szCs w:val="18"/>
                <w:lang w:eastAsia="en-US"/>
              </w:rPr>
              <w:t>毒性</w:t>
            </w:r>
          </w:p>
        </w:tc>
        <w:tc>
          <w:tcPr>
            <w:tcW w:w="213" w:type="pct"/>
            <w:tcMar>
              <w:left w:w="0" w:type="dxa"/>
              <w:right w:w="0" w:type="dxa"/>
            </w:tcMar>
            <w:vAlign w:val="center"/>
          </w:tcPr>
          <w:p w14:paraId="6F92D06E">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6E5309FD">
            <w:pPr>
              <w:pStyle w:val="34"/>
              <w:rPr>
                <w:sz w:val="18"/>
                <w:szCs w:val="18"/>
                <w:lang w:eastAsia="en-US"/>
              </w:rPr>
            </w:pPr>
            <w:r>
              <w:rPr>
                <w:sz w:val="18"/>
                <w:szCs w:val="18"/>
                <w:lang w:eastAsia="en-US"/>
              </w:rPr>
              <w:t>苯酚</w:t>
            </w:r>
          </w:p>
        </w:tc>
        <w:tc>
          <w:tcPr>
            <w:tcW w:w="267" w:type="pct"/>
            <w:tcMar>
              <w:left w:w="0" w:type="dxa"/>
              <w:right w:w="0" w:type="dxa"/>
            </w:tcMar>
            <w:vAlign w:val="center"/>
          </w:tcPr>
          <w:p w14:paraId="02B31CD6">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2C65DCD7">
            <w:pPr>
              <w:pStyle w:val="34"/>
              <w:rPr>
                <w:sz w:val="18"/>
                <w:szCs w:val="18"/>
                <w:lang w:eastAsia="en-US"/>
              </w:rPr>
            </w:pPr>
            <w:r>
              <w:rPr>
                <w:sz w:val="18"/>
                <w:szCs w:val="18"/>
                <w:lang w:eastAsia="en-US"/>
              </w:rPr>
              <w:t>108-95-2</w:t>
            </w:r>
          </w:p>
        </w:tc>
        <w:tc>
          <w:tcPr>
            <w:tcW w:w="230" w:type="pct"/>
            <w:tcMar>
              <w:left w:w="0" w:type="dxa"/>
              <w:right w:w="0" w:type="dxa"/>
            </w:tcMar>
            <w:vAlign w:val="center"/>
          </w:tcPr>
          <w:p w14:paraId="5AD5E631">
            <w:pPr>
              <w:pStyle w:val="34"/>
              <w:rPr>
                <w:sz w:val="18"/>
                <w:szCs w:val="18"/>
                <w:lang w:eastAsia="en-US"/>
              </w:rPr>
            </w:pPr>
            <w:r>
              <w:rPr>
                <w:rFonts w:hint="eastAsia"/>
                <w:sz w:val="18"/>
                <w:szCs w:val="18"/>
                <w:lang w:eastAsia="en-US"/>
              </w:rPr>
              <w:t>5</w:t>
            </w:r>
          </w:p>
        </w:tc>
        <w:tc>
          <w:tcPr>
            <w:tcW w:w="490" w:type="pct"/>
            <w:tcMar>
              <w:left w:w="0" w:type="dxa"/>
              <w:right w:w="0" w:type="dxa"/>
            </w:tcMar>
            <w:vAlign w:val="center"/>
          </w:tcPr>
          <w:p w14:paraId="5AECDE95">
            <w:pPr>
              <w:pStyle w:val="34"/>
              <w:rPr>
                <w:sz w:val="18"/>
                <w:szCs w:val="18"/>
                <w:lang w:eastAsia="en-US"/>
              </w:rPr>
            </w:pPr>
            <w:r>
              <w:rPr>
                <w:rFonts w:hint="eastAsia"/>
                <w:sz w:val="18"/>
                <w:szCs w:val="18"/>
                <w:lang w:eastAsia="en-US"/>
              </w:rPr>
              <w:t>毒性、腐蚀性、易燃</w:t>
            </w:r>
          </w:p>
        </w:tc>
        <w:tc>
          <w:tcPr>
            <w:tcW w:w="500" w:type="pct"/>
            <w:tcMar>
              <w:left w:w="0" w:type="dxa"/>
              <w:right w:w="0" w:type="dxa"/>
            </w:tcMar>
            <w:vAlign w:val="center"/>
          </w:tcPr>
          <w:p w14:paraId="4C23F2D7">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1A27ED7C">
            <w:pPr>
              <w:pStyle w:val="34"/>
              <w:rPr>
                <w:sz w:val="18"/>
                <w:szCs w:val="18"/>
              </w:rPr>
            </w:pPr>
            <w:r>
              <w:rPr>
                <w:rFonts w:hint="eastAsia"/>
                <w:sz w:val="18"/>
                <w:szCs w:val="18"/>
              </w:rPr>
              <w:t>《首批国家重点监管的危险化学品名录》、</w:t>
            </w:r>
            <w:r>
              <w:rPr>
                <w:sz w:val="18"/>
                <w:szCs w:val="18"/>
              </w:rPr>
              <w:t>《渔业水质标准》（GB 11607-89）、《海水水质标准》（</w:t>
            </w:r>
            <w:r>
              <w:rPr>
                <w:rFonts w:hint="eastAsia"/>
                <w:sz w:val="18"/>
                <w:szCs w:val="18"/>
              </w:rPr>
              <w:t>GB 3097-1997</w:t>
            </w:r>
            <w:r>
              <w:rPr>
                <w:sz w:val="18"/>
                <w:szCs w:val="18"/>
              </w:rPr>
              <w:t>）</w:t>
            </w:r>
          </w:p>
        </w:tc>
      </w:tr>
      <w:tr w14:paraId="6A7D99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4B332FB">
            <w:pPr>
              <w:pStyle w:val="34"/>
              <w:numPr>
                <w:ilvl w:val="0"/>
                <w:numId w:val="53"/>
              </w:numPr>
              <w:rPr>
                <w:sz w:val="18"/>
                <w:szCs w:val="18"/>
              </w:rPr>
            </w:pPr>
          </w:p>
        </w:tc>
        <w:tc>
          <w:tcPr>
            <w:tcW w:w="145" w:type="pct"/>
            <w:vMerge w:val="continue"/>
            <w:tcMar>
              <w:left w:w="0" w:type="dxa"/>
              <w:right w:w="0" w:type="dxa"/>
            </w:tcMar>
            <w:vAlign w:val="center"/>
          </w:tcPr>
          <w:p w14:paraId="19B7C032">
            <w:pPr>
              <w:pStyle w:val="34"/>
              <w:rPr>
                <w:sz w:val="18"/>
                <w:szCs w:val="18"/>
              </w:rPr>
            </w:pPr>
          </w:p>
        </w:tc>
        <w:tc>
          <w:tcPr>
            <w:tcW w:w="145" w:type="pct"/>
            <w:vMerge w:val="continue"/>
            <w:tcMar>
              <w:left w:w="0" w:type="dxa"/>
              <w:right w:w="0" w:type="dxa"/>
            </w:tcMar>
            <w:vAlign w:val="center"/>
          </w:tcPr>
          <w:p w14:paraId="3954FF21">
            <w:pPr>
              <w:pStyle w:val="34"/>
              <w:rPr>
                <w:sz w:val="18"/>
                <w:szCs w:val="18"/>
              </w:rPr>
            </w:pPr>
          </w:p>
        </w:tc>
        <w:tc>
          <w:tcPr>
            <w:tcW w:w="311" w:type="pct"/>
            <w:vMerge w:val="continue"/>
            <w:tcMar>
              <w:left w:w="0" w:type="dxa"/>
              <w:right w:w="0" w:type="dxa"/>
            </w:tcMar>
            <w:vAlign w:val="center"/>
          </w:tcPr>
          <w:p w14:paraId="0CCC5AFA">
            <w:pPr>
              <w:pStyle w:val="34"/>
              <w:rPr>
                <w:sz w:val="18"/>
                <w:szCs w:val="18"/>
              </w:rPr>
            </w:pPr>
          </w:p>
        </w:tc>
        <w:tc>
          <w:tcPr>
            <w:tcW w:w="243" w:type="pct"/>
            <w:vMerge w:val="restart"/>
            <w:tcMar>
              <w:left w:w="0" w:type="dxa"/>
              <w:right w:w="0" w:type="dxa"/>
            </w:tcMar>
            <w:vAlign w:val="center"/>
          </w:tcPr>
          <w:p w14:paraId="16CACEF6">
            <w:pPr>
              <w:pStyle w:val="34"/>
              <w:rPr>
                <w:sz w:val="18"/>
                <w:szCs w:val="18"/>
                <w:lang w:eastAsia="en-US"/>
              </w:rPr>
            </w:pPr>
            <w:r>
              <w:rPr>
                <w:sz w:val="18"/>
                <w:szCs w:val="18"/>
                <w:lang w:eastAsia="en-US"/>
              </w:rPr>
              <w:t>易燃易爆</w:t>
            </w:r>
          </w:p>
        </w:tc>
        <w:tc>
          <w:tcPr>
            <w:tcW w:w="213" w:type="pct"/>
            <w:tcMar>
              <w:left w:w="0" w:type="dxa"/>
              <w:right w:w="0" w:type="dxa"/>
            </w:tcMar>
            <w:vAlign w:val="center"/>
          </w:tcPr>
          <w:p w14:paraId="7D72784C">
            <w:pPr>
              <w:pStyle w:val="34"/>
              <w:rPr>
                <w:sz w:val="18"/>
                <w:szCs w:val="18"/>
                <w:lang w:eastAsia="en-US"/>
              </w:rPr>
            </w:pPr>
            <w:r>
              <w:rPr>
                <w:sz w:val="18"/>
                <w:szCs w:val="18"/>
                <w:lang w:eastAsia="en-US"/>
              </w:rPr>
              <w:t>腐蚀性</w:t>
            </w:r>
          </w:p>
        </w:tc>
        <w:tc>
          <w:tcPr>
            <w:tcW w:w="582" w:type="pct"/>
            <w:tcMar>
              <w:left w:w="0" w:type="dxa"/>
              <w:right w:w="0" w:type="dxa"/>
            </w:tcMar>
            <w:vAlign w:val="center"/>
          </w:tcPr>
          <w:p w14:paraId="2B7E0002">
            <w:pPr>
              <w:pStyle w:val="34"/>
              <w:rPr>
                <w:sz w:val="18"/>
                <w:szCs w:val="18"/>
                <w:lang w:eastAsia="en-US"/>
              </w:rPr>
            </w:pPr>
            <w:r>
              <w:rPr>
                <w:sz w:val="18"/>
                <w:szCs w:val="18"/>
                <w:lang w:eastAsia="en-US"/>
              </w:rPr>
              <w:t>甲醛</w:t>
            </w:r>
          </w:p>
        </w:tc>
        <w:tc>
          <w:tcPr>
            <w:tcW w:w="267" w:type="pct"/>
            <w:tcMar>
              <w:left w:w="0" w:type="dxa"/>
              <w:right w:w="0" w:type="dxa"/>
            </w:tcMar>
            <w:vAlign w:val="center"/>
          </w:tcPr>
          <w:p w14:paraId="1BD32512">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0E41DCF0">
            <w:pPr>
              <w:pStyle w:val="34"/>
              <w:rPr>
                <w:sz w:val="18"/>
                <w:szCs w:val="18"/>
                <w:lang w:eastAsia="en-US"/>
              </w:rPr>
            </w:pPr>
            <w:r>
              <w:rPr>
                <w:sz w:val="18"/>
                <w:szCs w:val="18"/>
                <w:lang w:eastAsia="en-US"/>
              </w:rPr>
              <w:t>50-00-0</w:t>
            </w:r>
          </w:p>
        </w:tc>
        <w:tc>
          <w:tcPr>
            <w:tcW w:w="230" w:type="pct"/>
            <w:tcMar>
              <w:left w:w="0" w:type="dxa"/>
              <w:right w:w="0" w:type="dxa"/>
            </w:tcMar>
            <w:vAlign w:val="center"/>
          </w:tcPr>
          <w:p w14:paraId="0FC59BE9">
            <w:pPr>
              <w:pStyle w:val="34"/>
              <w:rPr>
                <w:sz w:val="18"/>
                <w:szCs w:val="18"/>
                <w:lang w:eastAsia="en-US"/>
              </w:rPr>
            </w:pPr>
            <w:r>
              <w:rPr>
                <w:rFonts w:hint="eastAsia"/>
                <w:sz w:val="18"/>
                <w:szCs w:val="18"/>
                <w:lang w:eastAsia="en-US"/>
              </w:rPr>
              <w:t>0.5</w:t>
            </w:r>
          </w:p>
        </w:tc>
        <w:tc>
          <w:tcPr>
            <w:tcW w:w="490" w:type="pct"/>
            <w:tcMar>
              <w:left w:w="0" w:type="dxa"/>
              <w:right w:w="0" w:type="dxa"/>
            </w:tcMar>
            <w:vAlign w:val="center"/>
          </w:tcPr>
          <w:p w14:paraId="2AFB0061">
            <w:pPr>
              <w:pStyle w:val="34"/>
              <w:rPr>
                <w:sz w:val="18"/>
                <w:szCs w:val="18"/>
                <w:lang w:eastAsia="en-US"/>
              </w:rPr>
            </w:pPr>
            <w:r>
              <w:rPr>
                <w:rFonts w:hint="eastAsia"/>
                <w:sz w:val="18"/>
                <w:szCs w:val="18"/>
                <w:lang w:eastAsia="en-US"/>
              </w:rPr>
              <w:t>运输量大、毒性</w:t>
            </w:r>
          </w:p>
        </w:tc>
        <w:tc>
          <w:tcPr>
            <w:tcW w:w="500" w:type="pct"/>
            <w:tcMar>
              <w:left w:w="0" w:type="dxa"/>
              <w:right w:w="0" w:type="dxa"/>
            </w:tcMar>
            <w:vAlign w:val="center"/>
          </w:tcPr>
          <w:p w14:paraId="7A4A4EB2">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0FB9EB1E">
            <w:pPr>
              <w:pStyle w:val="34"/>
              <w:rPr>
                <w:sz w:val="18"/>
                <w:szCs w:val="18"/>
              </w:rPr>
            </w:pPr>
            <w:r>
              <w:rPr>
                <w:rFonts w:hint="eastAsia"/>
                <w:sz w:val="18"/>
                <w:szCs w:val="18"/>
              </w:rPr>
              <w:t>《有毒有害大气污染物名录（2018年）》、《有毒有害水污染物名录（第一批）》</w:t>
            </w:r>
          </w:p>
        </w:tc>
      </w:tr>
      <w:tr w14:paraId="5E0975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F755394">
            <w:pPr>
              <w:pStyle w:val="34"/>
              <w:numPr>
                <w:ilvl w:val="0"/>
                <w:numId w:val="53"/>
              </w:numPr>
              <w:rPr>
                <w:sz w:val="18"/>
                <w:szCs w:val="18"/>
              </w:rPr>
            </w:pPr>
          </w:p>
        </w:tc>
        <w:tc>
          <w:tcPr>
            <w:tcW w:w="145" w:type="pct"/>
            <w:vMerge w:val="continue"/>
            <w:tcMar>
              <w:left w:w="0" w:type="dxa"/>
              <w:right w:w="0" w:type="dxa"/>
            </w:tcMar>
            <w:vAlign w:val="center"/>
          </w:tcPr>
          <w:p w14:paraId="03143D72">
            <w:pPr>
              <w:pStyle w:val="34"/>
              <w:rPr>
                <w:sz w:val="18"/>
                <w:szCs w:val="18"/>
              </w:rPr>
            </w:pPr>
          </w:p>
        </w:tc>
        <w:tc>
          <w:tcPr>
            <w:tcW w:w="145" w:type="pct"/>
            <w:vMerge w:val="continue"/>
            <w:tcMar>
              <w:left w:w="0" w:type="dxa"/>
              <w:right w:w="0" w:type="dxa"/>
            </w:tcMar>
            <w:vAlign w:val="center"/>
          </w:tcPr>
          <w:p w14:paraId="3A85E873">
            <w:pPr>
              <w:pStyle w:val="34"/>
              <w:rPr>
                <w:sz w:val="18"/>
                <w:szCs w:val="18"/>
              </w:rPr>
            </w:pPr>
          </w:p>
        </w:tc>
        <w:tc>
          <w:tcPr>
            <w:tcW w:w="311" w:type="pct"/>
            <w:vMerge w:val="continue"/>
            <w:tcMar>
              <w:left w:w="0" w:type="dxa"/>
              <w:right w:w="0" w:type="dxa"/>
            </w:tcMar>
            <w:vAlign w:val="center"/>
          </w:tcPr>
          <w:p w14:paraId="3E3359CC">
            <w:pPr>
              <w:pStyle w:val="34"/>
              <w:rPr>
                <w:sz w:val="18"/>
                <w:szCs w:val="18"/>
              </w:rPr>
            </w:pPr>
          </w:p>
        </w:tc>
        <w:tc>
          <w:tcPr>
            <w:tcW w:w="243" w:type="pct"/>
            <w:vMerge w:val="continue"/>
            <w:tcMar>
              <w:left w:w="0" w:type="dxa"/>
              <w:right w:w="0" w:type="dxa"/>
            </w:tcMar>
            <w:vAlign w:val="center"/>
          </w:tcPr>
          <w:p w14:paraId="5308C5AB">
            <w:pPr>
              <w:pStyle w:val="34"/>
              <w:rPr>
                <w:sz w:val="18"/>
                <w:szCs w:val="18"/>
              </w:rPr>
            </w:pPr>
          </w:p>
        </w:tc>
        <w:tc>
          <w:tcPr>
            <w:tcW w:w="213" w:type="pct"/>
            <w:tcMar>
              <w:left w:w="0" w:type="dxa"/>
              <w:right w:w="0" w:type="dxa"/>
            </w:tcMar>
            <w:vAlign w:val="center"/>
          </w:tcPr>
          <w:p w14:paraId="129413CE">
            <w:pPr>
              <w:pStyle w:val="34"/>
              <w:rPr>
                <w:sz w:val="18"/>
                <w:szCs w:val="18"/>
                <w:lang w:eastAsia="en-US"/>
              </w:rPr>
            </w:pPr>
            <w:r>
              <w:rPr>
                <w:sz w:val="18"/>
                <w:szCs w:val="18"/>
                <w:lang w:eastAsia="en-US"/>
              </w:rPr>
              <w:t>腐蚀性</w:t>
            </w:r>
          </w:p>
        </w:tc>
        <w:tc>
          <w:tcPr>
            <w:tcW w:w="582" w:type="pct"/>
            <w:tcMar>
              <w:left w:w="0" w:type="dxa"/>
              <w:right w:w="0" w:type="dxa"/>
            </w:tcMar>
            <w:vAlign w:val="center"/>
          </w:tcPr>
          <w:p w14:paraId="55C881C7">
            <w:pPr>
              <w:pStyle w:val="34"/>
              <w:rPr>
                <w:sz w:val="18"/>
                <w:szCs w:val="18"/>
                <w:lang w:eastAsia="en-US"/>
              </w:rPr>
            </w:pPr>
            <w:r>
              <w:rPr>
                <w:sz w:val="18"/>
                <w:szCs w:val="18"/>
                <w:lang w:eastAsia="en-US"/>
              </w:rPr>
              <w:t>甲基三氯硅烷</w:t>
            </w:r>
          </w:p>
        </w:tc>
        <w:tc>
          <w:tcPr>
            <w:tcW w:w="267" w:type="pct"/>
            <w:tcMar>
              <w:left w:w="0" w:type="dxa"/>
              <w:right w:w="0" w:type="dxa"/>
            </w:tcMar>
            <w:vAlign w:val="center"/>
          </w:tcPr>
          <w:p w14:paraId="08279520">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71909A54">
            <w:pPr>
              <w:pStyle w:val="34"/>
              <w:rPr>
                <w:sz w:val="18"/>
                <w:szCs w:val="18"/>
                <w:lang w:eastAsia="en-US"/>
              </w:rPr>
            </w:pPr>
            <w:r>
              <w:rPr>
                <w:sz w:val="18"/>
                <w:szCs w:val="18"/>
                <w:lang w:eastAsia="en-US"/>
              </w:rPr>
              <w:t>75-79-6</w:t>
            </w:r>
          </w:p>
        </w:tc>
        <w:tc>
          <w:tcPr>
            <w:tcW w:w="230" w:type="pct"/>
            <w:tcMar>
              <w:left w:w="0" w:type="dxa"/>
              <w:right w:w="0" w:type="dxa"/>
            </w:tcMar>
            <w:vAlign w:val="center"/>
          </w:tcPr>
          <w:p w14:paraId="537D8113">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10CD99C9">
            <w:pPr>
              <w:pStyle w:val="34"/>
              <w:rPr>
                <w:sz w:val="18"/>
                <w:szCs w:val="18"/>
              </w:rPr>
            </w:pPr>
            <w:r>
              <w:rPr>
                <w:rFonts w:hint="eastAsia"/>
                <w:sz w:val="18"/>
                <w:szCs w:val="18"/>
              </w:rPr>
              <w:t>易燃、腐蚀性、运输量大</w:t>
            </w:r>
          </w:p>
        </w:tc>
        <w:tc>
          <w:tcPr>
            <w:tcW w:w="500" w:type="pct"/>
            <w:tcMar>
              <w:left w:w="0" w:type="dxa"/>
              <w:right w:w="0" w:type="dxa"/>
            </w:tcMar>
            <w:vAlign w:val="center"/>
          </w:tcPr>
          <w:p w14:paraId="3A916C5E">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77F71C66">
            <w:pPr>
              <w:pStyle w:val="34"/>
              <w:rPr>
                <w:sz w:val="18"/>
                <w:szCs w:val="18"/>
                <w:lang w:eastAsia="en-US"/>
              </w:rPr>
            </w:pPr>
            <w:r>
              <w:rPr>
                <w:rFonts w:hint="eastAsia"/>
                <w:sz w:val="18"/>
                <w:szCs w:val="18"/>
                <w:lang w:eastAsia="en-US"/>
              </w:rPr>
              <w:t>-</w:t>
            </w:r>
          </w:p>
        </w:tc>
      </w:tr>
      <w:tr w14:paraId="2EE71E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BECD669">
            <w:pPr>
              <w:pStyle w:val="34"/>
              <w:numPr>
                <w:ilvl w:val="0"/>
                <w:numId w:val="53"/>
              </w:numPr>
              <w:rPr>
                <w:sz w:val="18"/>
                <w:szCs w:val="18"/>
                <w:lang w:eastAsia="en-US"/>
              </w:rPr>
            </w:pPr>
          </w:p>
        </w:tc>
        <w:tc>
          <w:tcPr>
            <w:tcW w:w="145" w:type="pct"/>
            <w:vMerge w:val="continue"/>
            <w:tcMar>
              <w:left w:w="0" w:type="dxa"/>
              <w:right w:w="0" w:type="dxa"/>
            </w:tcMar>
            <w:vAlign w:val="center"/>
          </w:tcPr>
          <w:p w14:paraId="37EA551C">
            <w:pPr>
              <w:pStyle w:val="34"/>
              <w:rPr>
                <w:sz w:val="18"/>
                <w:szCs w:val="18"/>
                <w:lang w:eastAsia="en-US"/>
              </w:rPr>
            </w:pPr>
          </w:p>
        </w:tc>
        <w:tc>
          <w:tcPr>
            <w:tcW w:w="145" w:type="pct"/>
            <w:vMerge w:val="continue"/>
            <w:tcMar>
              <w:left w:w="0" w:type="dxa"/>
              <w:right w:w="0" w:type="dxa"/>
            </w:tcMar>
            <w:vAlign w:val="center"/>
          </w:tcPr>
          <w:p w14:paraId="33CFDA48">
            <w:pPr>
              <w:pStyle w:val="34"/>
              <w:rPr>
                <w:sz w:val="18"/>
                <w:szCs w:val="18"/>
                <w:lang w:eastAsia="en-US"/>
              </w:rPr>
            </w:pPr>
          </w:p>
        </w:tc>
        <w:tc>
          <w:tcPr>
            <w:tcW w:w="311" w:type="pct"/>
            <w:vMerge w:val="continue"/>
            <w:tcMar>
              <w:left w:w="0" w:type="dxa"/>
              <w:right w:w="0" w:type="dxa"/>
            </w:tcMar>
            <w:vAlign w:val="center"/>
          </w:tcPr>
          <w:p w14:paraId="47F5BE18">
            <w:pPr>
              <w:pStyle w:val="34"/>
              <w:rPr>
                <w:sz w:val="18"/>
                <w:szCs w:val="18"/>
                <w:lang w:eastAsia="en-US"/>
              </w:rPr>
            </w:pPr>
          </w:p>
        </w:tc>
        <w:tc>
          <w:tcPr>
            <w:tcW w:w="243" w:type="pct"/>
            <w:vMerge w:val="continue"/>
            <w:tcMar>
              <w:left w:w="0" w:type="dxa"/>
              <w:right w:w="0" w:type="dxa"/>
            </w:tcMar>
            <w:vAlign w:val="center"/>
          </w:tcPr>
          <w:p w14:paraId="398A7290">
            <w:pPr>
              <w:pStyle w:val="34"/>
              <w:rPr>
                <w:sz w:val="18"/>
                <w:szCs w:val="18"/>
                <w:lang w:eastAsia="en-US"/>
              </w:rPr>
            </w:pPr>
          </w:p>
        </w:tc>
        <w:tc>
          <w:tcPr>
            <w:tcW w:w="213" w:type="pct"/>
            <w:tcMar>
              <w:left w:w="0" w:type="dxa"/>
              <w:right w:w="0" w:type="dxa"/>
            </w:tcMar>
            <w:vAlign w:val="center"/>
          </w:tcPr>
          <w:p w14:paraId="0F59E1F8">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63EB0E7">
            <w:pPr>
              <w:pStyle w:val="34"/>
              <w:rPr>
                <w:sz w:val="18"/>
                <w:szCs w:val="18"/>
                <w:lang w:eastAsia="en-US"/>
              </w:rPr>
            </w:pPr>
            <w:r>
              <w:rPr>
                <w:sz w:val="18"/>
                <w:szCs w:val="18"/>
                <w:lang w:eastAsia="en-US"/>
              </w:rPr>
              <w:t>乙醛</w:t>
            </w:r>
          </w:p>
        </w:tc>
        <w:tc>
          <w:tcPr>
            <w:tcW w:w="267" w:type="pct"/>
            <w:tcMar>
              <w:left w:w="0" w:type="dxa"/>
              <w:right w:w="0" w:type="dxa"/>
            </w:tcMar>
            <w:vAlign w:val="center"/>
          </w:tcPr>
          <w:p w14:paraId="2E153E2C">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7FFEF6EC">
            <w:pPr>
              <w:pStyle w:val="34"/>
              <w:rPr>
                <w:sz w:val="18"/>
                <w:szCs w:val="18"/>
                <w:lang w:eastAsia="en-US"/>
              </w:rPr>
            </w:pPr>
            <w:r>
              <w:rPr>
                <w:sz w:val="18"/>
                <w:szCs w:val="18"/>
                <w:lang w:eastAsia="en-US"/>
              </w:rPr>
              <w:t>75-07-0</w:t>
            </w:r>
          </w:p>
        </w:tc>
        <w:tc>
          <w:tcPr>
            <w:tcW w:w="230" w:type="pct"/>
            <w:tcMar>
              <w:left w:w="0" w:type="dxa"/>
              <w:right w:w="0" w:type="dxa"/>
            </w:tcMar>
            <w:vAlign w:val="center"/>
          </w:tcPr>
          <w:p w14:paraId="7353ACE0">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6C1BF200">
            <w:pPr>
              <w:pStyle w:val="34"/>
              <w:rPr>
                <w:sz w:val="18"/>
                <w:szCs w:val="18"/>
              </w:rPr>
            </w:pPr>
            <w:r>
              <w:rPr>
                <w:rFonts w:hint="eastAsia"/>
                <w:sz w:val="18"/>
                <w:szCs w:val="18"/>
              </w:rPr>
              <w:t>运输量大、极易燃、毒性</w:t>
            </w:r>
          </w:p>
        </w:tc>
        <w:tc>
          <w:tcPr>
            <w:tcW w:w="500" w:type="pct"/>
            <w:tcMar>
              <w:left w:w="0" w:type="dxa"/>
              <w:right w:w="0" w:type="dxa"/>
            </w:tcMar>
            <w:vAlign w:val="center"/>
          </w:tcPr>
          <w:p w14:paraId="071FE81C">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6E182242">
            <w:pPr>
              <w:pStyle w:val="34"/>
              <w:rPr>
                <w:sz w:val="18"/>
                <w:szCs w:val="18"/>
              </w:rPr>
            </w:pPr>
            <w:r>
              <w:rPr>
                <w:rFonts w:hint="eastAsia"/>
                <w:sz w:val="18"/>
                <w:szCs w:val="18"/>
              </w:rPr>
              <w:t>《有毒有害大气污染物名录（2018年）》、《首批国家重点监管的危险化学品名录》</w:t>
            </w:r>
          </w:p>
        </w:tc>
      </w:tr>
      <w:tr w14:paraId="79217D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38F12FA">
            <w:pPr>
              <w:pStyle w:val="34"/>
              <w:numPr>
                <w:ilvl w:val="0"/>
                <w:numId w:val="53"/>
              </w:numPr>
              <w:rPr>
                <w:sz w:val="18"/>
                <w:szCs w:val="18"/>
              </w:rPr>
            </w:pPr>
          </w:p>
        </w:tc>
        <w:tc>
          <w:tcPr>
            <w:tcW w:w="145" w:type="pct"/>
            <w:vMerge w:val="continue"/>
            <w:tcMar>
              <w:left w:w="0" w:type="dxa"/>
              <w:right w:w="0" w:type="dxa"/>
            </w:tcMar>
            <w:vAlign w:val="center"/>
          </w:tcPr>
          <w:p w14:paraId="52D7F0C3">
            <w:pPr>
              <w:pStyle w:val="34"/>
              <w:rPr>
                <w:sz w:val="18"/>
                <w:szCs w:val="18"/>
              </w:rPr>
            </w:pPr>
          </w:p>
        </w:tc>
        <w:tc>
          <w:tcPr>
            <w:tcW w:w="145" w:type="pct"/>
            <w:vMerge w:val="continue"/>
            <w:tcMar>
              <w:left w:w="0" w:type="dxa"/>
              <w:right w:w="0" w:type="dxa"/>
            </w:tcMar>
            <w:vAlign w:val="center"/>
          </w:tcPr>
          <w:p w14:paraId="413C5111">
            <w:pPr>
              <w:pStyle w:val="34"/>
              <w:rPr>
                <w:sz w:val="18"/>
                <w:szCs w:val="18"/>
              </w:rPr>
            </w:pPr>
          </w:p>
        </w:tc>
        <w:tc>
          <w:tcPr>
            <w:tcW w:w="311" w:type="pct"/>
            <w:vMerge w:val="continue"/>
            <w:tcMar>
              <w:left w:w="0" w:type="dxa"/>
              <w:right w:w="0" w:type="dxa"/>
            </w:tcMar>
            <w:vAlign w:val="center"/>
          </w:tcPr>
          <w:p w14:paraId="41FEC60D">
            <w:pPr>
              <w:pStyle w:val="34"/>
              <w:rPr>
                <w:sz w:val="18"/>
                <w:szCs w:val="18"/>
              </w:rPr>
            </w:pPr>
          </w:p>
        </w:tc>
        <w:tc>
          <w:tcPr>
            <w:tcW w:w="243" w:type="pct"/>
            <w:vMerge w:val="continue"/>
            <w:tcMar>
              <w:left w:w="0" w:type="dxa"/>
              <w:right w:w="0" w:type="dxa"/>
            </w:tcMar>
            <w:vAlign w:val="center"/>
          </w:tcPr>
          <w:p w14:paraId="6600C87F">
            <w:pPr>
              <w:pStyle w:val="34"/>
              <w:rPr>
                <w:sz w:val="18"/>
                <w:szCs w:val="18"/>
              </w:rPr>
            </w:pPr>
          </w:p>
        </w:tc>
        <w:tc>
          <w:tcPr>
            <w:tcW w:w="213" w:type="pct"/>
            <w:tcMar>
              <w:left w:w="0" w:type="dxa"/>
              <w:right w:w="0" w:type="dxa"/>
            </w:tcMar>
            <w:vAlign w:val="center"/>
          </w:tcPr>
          <w:p w14:paraId="47189FEE">
            <w:pPr>
              <w:pStyle w:val="34"/>
              <w:rPr>
                <w:sz w:val="18"/>
                <w:szCs w:val="18"/>
                <w:lang w:eastAsia="en-US"/>
              </w:rPr>
            </w:pPr>
            <w:r>
              <w:rPr>
                <w:sz w:val="18"/>
                <w:szCs w:val="18"/>
                <w:lang w:eastAsia="en-US"/>
              </w:rPr>
              <w:t>毒性</w:t>
            </w:r>
          </w:p>
        </w:tc>
        <w:tc>
          <w:tcPr>
            <w:tcW w:w="582" w:type="pct"/>
            <w:tcMar>
              <w:left w:w="0" w:type="dxa"/>
              <w:right w:w="0" w:type="dxa"/>
            </w:tcMar>
            <w:vAlign w:val="center"/>
          </w:tcPr>
          <w:p w14:paraId="16BC479A">
            <w:pPr>
              <w:pStyle w:val="34"/>
              <w:rPr>
                <w:sz w:val="18"/>
                <w:szCs w:val="18"/>
                <w:lang w:eastAsia="en-US"/>
              </w:rPr>
            </w:pPr>
            <w:r>
              <w:rPr>
                <w:sz w:val="18"/>
                <w:szCs w:val="18"/>
                <w:lang w:eastAsia="en-US"/>
              </w:rPr>
              <w:t>甲醇</w:t>
            </w:r>
          </w:p>
        </w:tc>
        <w:tc>
          <w:tcPr>
            <w:tcW w:w="267" w:type="pct"/>
            <w:tcMar>
              <w:left w:w="0" w:type="dxa"/>
              <w:right w:w="0" w:type="dxa"/>
            </w:tcMar>
            <w:vAlign w:val="center"/>
          </w:tcPr>
          <w:p w14:paraId="5013A620">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1CD908E5">
            <w:pPr>
              <w:pStyle w:val="34"/>
              <w:rPr>
                <w:sz w:val="18"/>
                <w:szCs w:val="18"/>
                <w:lang w:eastAsia="en-US"/>
              </w:rPr>
            </w:pPr>
            <w:r>
              <w:rPr>
                <w:sz w:val="18"/>
                <w:szCs w:val="18"/>
                <w:lang w:eastAsia="en-US"/>
              </w:rPr>
              <w:t>67-56-1</w:t>
            </w:r>
          </w:p>
        </w:tc>
        <w:tc>
          <w:tcPr>
            <w:tcW w:w="230" w:type="pct"/>
            <w:tcMar>
              <w:left w:w="0" w:type="dxa"/>
              <w:right w:w="0" w:type="dxa"/>
            </w:tcMar>
            <w:vAlign w:val="center"/>
          </w:tcPr>
          <w:p w14:paraId="4D3708EA">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535DDD09">
            <w:pPr>
              <w:pStyle w:val="34"/>
              <w:rPr>
                <w:sz w:val="18"/>
                <w:szCs w:val="18"/>
              </w:rPr>
            </w:pPr>
            <w:r>
              <w:rPr>
                <w:rFonts w:hint="eastAsia"/>
                <w:sz w:val="18"/>
                <w:szCs w:val="18"/>
              </w:rPr>
              <w:t>运输量大、毒性、易燃</w:t>
            </w:r>
          </w:p>
        </w:tc>
        <w:tc>
          <w:tcPr>
            <w:tcW w:w="500" w:type="pct"/>
            <w:tcMar>
              <w:left w:w="0" w:type="dxa"/>
              <w:right w:w="0" w:type="dxa"/>
            </w:tcMar>
            <w:vAlign w:val="center"/>
          </w:tcPr>
          <w:p w14:paraId="52F58EEA">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1788F62">
            <w:pPr>
              <w:pStyle w:val="34"/>
              <w:rPr>
                <w:sz w:val="18"/>
                <w:szCs w:val="18"/>
              </w:rPr>
            </w:pPr>
            <w:r>
              <w:rPr>
                <w:rFonts w:hint="eastAsia"/>
                <w:sz w:val="18"/>
                <w:szCs w:val="18"/>
              </w:rPr>
              <w:t>《首批国家重点监管的危险化学品名录》</w:t>
            </w:r>
          </w:p>
        </w:tc>
      </w:tr>
      <w:tr w14:paraId="2C78C3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14D52B0B">
            <w:pPr>
              <w:pStyle w:val="34"/>
              <w:numPr>
                <w:ilvl w:val="0"/>
                <w:numId w:val="53"/>
              </w:numPr>
              <w:rPr>
                <w:sz w:val="18"/>
                <w:szCs w:val="18"/>
              </w:rPr>
            </w:pPr>
          </w:p>
        </w:tc>
        <w:tc>
          <w:tcPr>
            <w:tcW w:w="145" w:type="pct"/>
            <w:vMerge w:val="continue"/>
            <w:tcMar>
              <w:left w:w="0" w:type="dxa"/>
              <w:right w:w="0" w:type="dxa"/>
            </w:tcMar>
            <w:vAlign w:val="center"/>
          </w:tcPr>
          <w:p w14:paraId="50E10F40">
            <w:pPr>
              <w:pStyle w:val="34"/>
              <w:rPr>
                <w:sz w:val="18"/>
                <w:szCs w:val="18"/>
              </w:rPr>
            </w:pPr>
          </w:p>
        </w:tc>
        <w:tc>
          <w:tcPr>
            <w:tcW w:w="145" w:type="pct"/>
            <w:vMerge w:val="continue"/>
            <w:tcMar>
              <w:left w:w="0" w:type="dxa"/>
              <w:right w:w="0" w:type="dxa"/>
            </w:tcMar>
            <w:vAlign w:val="center"/>
          </w:tcPr>
          <w:p w14:paraId="6512E450">
            <w:pPr>
              <w:pStyle w:val="34"/>
              <w:rPr>
                <w:sz w:val="18"/>
                <w:szCs w:val="18"/>
              </w:rPr>
            </w:pPr>
          </w:p>
        </w:tc>
        <w:tc>
          <w:tcPr>
            <w:tcW w:w="311" w:type="pct"/>
            <w:vMerge w:val="continue"/>
            <w:tcMar>
              <w:left w:w="0" w:type="dxa"/>
              <w:right w:w="0" w:type="dxa"/>
            </w:tcMar>
            <w:vAlign w:val="center"/>
          </w:tcPr>
          <w:p w14:paraId="20CDB7A4">
            <w:pPr>
              <w:pStyle w:val="34"/>
              <w:rPr>
                <w:sz w:val="18"/>
                <w:szCs w:val="18"/>
              </w:rPr>
            </w:pPr>
          </w:p>
        </w:tc>
        <w:tc>
          <w:tcPr>
            <w:tcW w:w="243" w:type="pct"/>
            <w:vMerge w:val="continue"/>
            <w:tcMar>
              <w:left w:w="0" w:type="dxa"/>
              <w:right w:w="0" w:type="dxa"/>
            </w:tcMar>
            <w:vAlign w:val="center"/>
          </w:tcPr>
          <w:p w14:paraId="0F0ADB9C">
            <w:pPr>
              <w:pStyle w:val="34"/>
              <w:rPr>
                <w:sz w:val="18"/>
                <w:szCs w:val="18"/>
              </w:rPr>
            </w:pPr>
          </w:p>
        </w:tc>
        <w:tc>
          <w:tcPr>
            <w:tcW w:w="213" w:type="pct"/>
            <w:tcMar>
              <w:left w:w="0" w:type="dxa"/>
              <w:right w:w="0" w:type="dxa"/>
            </w:tcMar>
            <w:vAlign w:val="center"/>
          </w:tcPr>
          <w:p w14:paraId="2E9798A9">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8C84C96">
            <w:pPr>
              <w:pStyle w:val="34"/>
              <w:rPr>
                <w:sz w:val="18"/>
                <w:szCs w:val="18"/>
                <w:lang w:eastAsia="en-US"/>
              </w:rPr>
            </w:pPr>
            <w:r>
              <w:rPr>
                <w:sz w:val="18"/>
                <w:szCs w:val="18"/>
                <w:lang w:eastAsia="en-US"/>
              </w:rPr>
              <w:t>乙硫醇</w:t>
            </w:r>
          </w:p>
        </w:tc>
        <w:tc>
          <w:tcPr>
            <w:tcW w:w="267" w:type="pct"/>
            <w:tcMar>
              <w:left w:w="0" w:type="dxa"/>
              <w:right w:w="0" w:type="dxa"/>
            </w:tcMar>
            <w:vAlign w:val="center"/>
          </w:tcPr>
          <w:p w14:paraId="072ECB05">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292F3EF5">
            <w:pPr>
              <w:pStyle w:val="34"/>
              <w:rPr>
                <w:sz w:val="18"/>
                <w:szCs w:val="18"/>
                <w:lang w:eastAsia="en-US"/>
              </w:rPr>
            </w:pPr>
            <w:r>
              <w:rPr>
                <w:sz w:val="18"/>
                <w:szCs w:val="18"/>
                <w:lang w:eastAsia="en-US"/>
              </w:rPr>
              <w:t>75-08-1</w:t>
            </w:r>
          </w:p>
        </w:tc>
        <w:tc>
          <w:tcPr>
            <w:tcW w:w="230" w:type="pct"/>
            <w:tcMar>
              <w:left w:w="0" w:type="dxa"/>
              <w:right w:w="0" w:type="dxa"/>
            </w:tcMar>
            <w:vAlign w:val="center"/>
          </w:tcPr>
          <w:p w14:paraId="148F0311">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4D755048">
            <w:pPr>
              <w:pStyle w:val="34"/>
              <w:rPr>
                <w:sz w:val="18"/>
                <w:szCs w:val="18"/>
              </w:rPr>
            </w:pPr>
            <w:r>
              <w:rPr>
                <w:rFonts w:hint="eastAsia"/>
                <w:sz w:val="18"/>
                <w:szCs w:val="18"/>
              </w:rPr>
              <w:t>极易燃、毒性、运输量大</w:t>
            </w:r>
          </w:p>
        </w:tc>
        <w:tc>
          <w:tcPr>
            <w:tcW w:w="500" w:type="pct"/>
            <w:tcMar>
              <w:left w:w="0" w:type="dxa"/>
              <w:right w:w="0" w:type="dxa"/>
            </w:tcMar>
            <w:vAlign w:val="center"/>
          </w:tcPr>
          <w:p w14:paraId="2895C156">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1426B84B">
            <w:pPr>
              <w:pStyle w:val="34"/>
              <w:rPr>
                <w:sz w:val="18"/>
                <w:szCs w:val="18"/>
                <w:lang w:eastAsia="en-US"/>
              </w:rPr>
            </w:pPr>
            <w:r>
              <w:rPr>
                <w:rFonts w:hint="eastAsia"/>
                <w:sz w:val="18"/>
                <w:szCs w:val="18"/>
                <w:lang w:eastAsia="en-US"/>
              </w:rPr>
              <w:t>-</w:t>
            </w:r>
          </w:p>
        </w:tc>
      </w:tr>
      <w:tr w14:paraId="6826F7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FF5BBAD">
            <w:pPr>
              <w:pStyle w:val="34"/>
              <w:numPr>
                <w:ilvl w:val="0"/>
                <w:numId w:val="53"/>
              </w:numPr>
              <w:rPr>
                <w:sz w:val="18"/>
                <w:szCs w:val="18"/>
                <w:lang w:eastAsia="en-US"/>
              </w:rPr>
            </w:pPr>
          </w:p>
        </w:tc>
        <w:tc>
          <w:tcPr>
            <w:tcW w:w="145" w:type="pct"/>
            <w:vMerge w:val="continue"/>
            <w:tcMar>
              <w:left w:w="0" w:type="dxa"/>
              <w:right w:w="0" w:type="dxa"/>
            </w:tcMar>
            <w:vAlign w:val="center"/>
          </w:tcPr>
          <w:p w14:paraId="012D9A91">
            <w:pPr>
              <w:pStyle w:val="34"/>
              <w:rPr>
                <w:sz w:val="18"/>
                <w:szCs w:val="18"/>
                <w:lang w:eastAsia="en-US"/>
              </w:rPr>
            </w:pPr>
          </w:p>
        </w:tc>
        <w:tc>
          <w:tcPr>
            <w:tcW w:w="145" w:type="pct"/>
            <w:vMerge w:val="continue"/>
            <w:tcMar>
              <w:left w:w="0" w:type="dxa"/>
              <w:right w:w="0" w:type="dxa"/>
            </w:tcMar>
            <w:vAlign w:val="center"/>
          </w:tcPr>
          <w:p w14:paraId="4D8F616D">
            <w:pPr>
              <w:pStyle w:val="34"/>
              <w:rPr>
                <w:sz w:val="18"/>
                <w:szCs w:val="18"/>
                <w:lang w:eastAsia="en-US"/>
              </w:rPr>
            </w:pPr>
          </w:p>
        </w:tc>
        <w:tc>
          <w:tcPr>
            <w:tcW w:w="311" w:type="pct"/>
            <w:vMerge w:val="continue"/>
            <w:tcMar>
              <w:left w:w="0" w:type="dxa"/>
              <w:right w:w="0" w:type="dxa"/>
            </w:tcMar>
            <w:vAlign w:val="center"/>
          </w:tcPr>
          <w:p w14:paraId="109967A5">
            <w:pPr>
              <w:pStyle w:val="34"/>
              <w:rPr>
                <w:sz w:val="18"/>
                <w:szCs w:val="18"/>
                <w:lang w:eastAsia="en-US"/>
              </w:rPr>
            </w:pPr>
          </w:p>
        </w:tc>
        <w:tc>
          <w:tcPr>
            <w:tcW w:w="243" w:type="pct"/>
            <w:vMerge w:val="continue"/>
            <w:tcMar>
              <w:left w:w="0" w:type="dxa"/>
              <w:right w:w="0" w:type="dxa"/>
            </w:tcMar>
            <w:vAlign w:val="center"/>
          </w:tcPr>
          <w:p w14:paraId="6829EA19">
            <w:pPr>
              <w:pStyle w:val="34"/>
              <w:rPr>
                <w:sz w:val="18"/>
                <w:szCs w:val="18"/>
                <w:lang w:eastAsia="en-US"/>
              </w:rPr>
            </w:pPr>
          </w:p>
        </w:tc>
        <w:tc>
          <w:tcPr>
            <w:tcW w:w="213" w:type="pct"/>
            <w:tcMar>
              <w:left w:w="0" w:type="dxa"/>
              <w:right w:w="0" w:type="dxa"/>
            </w:tcMar>
            <w:vAlign w:val="center"/>
          </w:tcPr>
          <w:p w14:paraId="2B06B406">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B351615">
            <w:pPr>
              <w:pStyle w:val="34"/>
              <w:rPr>
                <w:sz w:val="18"/>
                <w:szCs w:val="18"/>
                <w:lang w:eastAsia="en-US"/>
              </w:rPr>
            </w:pPr>
            <w:r>
              <w:rPr>
                <w:sz w:val="18"/>
                <w:szCs w:val="18"/>
                <w:lang w:eastAsia="en-US"/>
              </w:rPr>
              <w:t>丙酮</w:t>
            </w:r>
          </w:p>
        </w:tc>
        <w:tc>
          <w:tcPr>
            <w:tcW w:w="267" w:type="pct"/>
            <w:tcMar>
              <w:left w:w="0" w:type="dxa"/>
              <w:right w:w="0" w:type="dxa"/>
            </w:tcMar>
            <w:vAlign w:val="center"/>
          </w:tcPr>
          <w:p w14:paraId="7E9CFD8A">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67B79622">
            <w:pPr>
              <w:pStyle w:val="34"/>
              <w:rPr>
                <w:sz w:val="18"/>
                <w:szCs w:val="18"/>
                <w:lang w:eastAsia="en-US"/>
              </w:rPr>
            </w:pPr>
            <w:r>
              <w:rPr>
                <w:sz w:val="18"/>
                <w:szCs w:val="18"/>
                <w:lang w:eastAsia="en-US"/>
              </w:rPr>
              <w:t>67-64-1</w:t>
            </w:r>
          </w:p>
        </w:tc>
        <w:tc>
          <w:tcPr>
            <w:tcW w:w="230" w:type="pct"/>
            <w:tcMar>
              <w:left w:w="0" w:type="dxa"/>
              <w:right w:w="0" w:type="dxa"/>
            </w:tcMar>
            <w:vAlign w:val="center"/>
          </w:tcPr>
          <w:p w14:paraId="09079210">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027B1F05">
            <w:pPr>
              <w:pStyle w:val="34"/>
              <w:rPr>
                <w:sz w:val="18"/>
                <w:szCs w:val="18"/>
                <w:lang w:eastAsia="en-US"/>
              </w:rPr>
            </w:pPr>
            <w:r>
              <w:rPr>
                <w:rFonts w:hint="eastAsia"/>
                <w:sz w:val="18"/>
                <w:szCs w:val="18"/>
                <w:lang w:eastAsia="en-US"/>
              </w:rPr>
              <w:t>运输量大、易燃</w:t>
            </w:r>
          </w:p>
        </w:tc>
        <w:tc>
          <w:tcPr>
            <w:tcW w:w="500" w:type="pct"/>
            <w:tcMar>
              <w:left w:w="0" w:type="dxa"/>
              <w:right w:w="0" w:type="dxa"/>
            </w:tcMar>
            <w:vAlign w:val="center"/>
          </w:tcPr>
          <w:p w14:paraId="4861C6ED">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6A195035">
            <w:pPr>
              <w:pStyle w:val="34"/>
              <w:rPr>
                <w:sz w:val="18"/>
                <w:szCs w:val="18"/>
              </w:rPr>
            </w:pPr>
            <w:r>
              <w:rPr>
                <w:rFonts w:hint="eastAsia"/>
                <w:sz w:val="18"/>
                <w:szCs w:val="18"/>
              </w:rPr>
              <w:t>《易制毒化学品的分类和品种目录》第三类</w:t>
            </w:r>
          </w:p>
        </w:tc>
      </w:tr>
      <w:tr w14:paraId="1D4AA2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9F16860">
            <w:pPr>
              <w:pStyle w:val="34"/>
              <w:numPr>
                <w:ilvl w:val="0"/>
                <w:numId w:val="53"/>
              </w:numPr>
              <w:rPr>
                <w:sz w:val="18"/>
                <w:szCs w:val="18"/>
              </w:rPr>
            </w:pPr>
          </w:p>
        </w:tc>
        <w:tc>
          <w:tcPr>
            <w:tcW w:w="145" w:type="pct"/>
            <w:vMerge w:val="continue"/>
            <w:tcMar>
              <w:left w:w="0" w:type="dxa"/>
              <w:right w:w="0" w:type="dxa"/>
            </w:tcMar>
            <w:vAlign w:val="center"/>
          </w:tcPr>
          <w:p w14:paraId="7D3E0F47">
            <w:pPr>
              <w:pStyle w:val="34"/>
              <w:rPr>
                <w:sz w:val="18"/>
                <w:szCs w:val="18"/>
              </w:rPr>
            </w:pPr>
          </w:p>
        </w:tc>
        <w:tc>
          <w:tcPr>
            <w:tcW w:w="145" w:type="pct"/>
            <w:vMerge w:val="continue"/>
            <w:tcMar>
              <w:left w:w="0" w:type="dxa"/>
              <w:right w:w="0" w:type="dxa"/>
            </w:tcMar>
            <w:vAlign w:val="center"/>
          </w:tcPr>
          <w:p w14:paraId="50DCFFEB">
            <w:pPr>
              <w:pStyle w:val="34"/>
              <w:rPr>
                <w:sz w:val="18"/>
                <w:szCs w:val="18"/>
              </w:rPr>
            </w:pPr>
          </w:p>
        </w:tc>
        <w:tc>
          <w:tcPr>
            <w:tcW w:w="311" w:type="pct"/>
            <w:vMerge w:val="continue"/>
            <w:tcMar>
              <w:left w:w="0" w:type="dxa"/>
              <w:right w:w="0" w:type="dxa"/>
            </w:tcMar>
            <w:vAlign w:val="center"/>
          </w:tcPr>
          <w:p w14:paraId="4952AE37">
            <w:pPr>
              <w:pStyle w:val="34"/>
              <w:rPr>
                <w:sz w:val="18"/>
                <w:szCs w:val="18"/>
              </w:rPr>
            </w:pPr>
          </w:p>
        </w:tc>
        <w:tc>
          <w:tcPr>
            <w:tcW w:w="243" w:type="pct"/>
            <w:vMerge w:val="continue"/>
            <w:tcMar>
              <w:left w:w="0" w:type="dxa"/>
              <w:right w:w="0" w:type="dxa"/>
            </w:tcMar>
            <w:vAlign w:val="center"/>
          </w:tcPr>
          <w:p w14:paraId="03F257A4">
            <w:pPr>
              <w:pStyle w:val="34"/>
              <w:rPr>
                <w:sz w:val="18"/>
                <w:szCs w:val="18"/>
              </w:rPr>
            </w:pPr>
          </w:p>
        </w:tc>
        <w:tc>
          <w:tcPr>
            <w:tcW w:w="213" w:type="pct"/>
            <w:tcMar>
              <w:left w:w="0" w:type="dxa"/>
              <w:right w:w="0" w:type="dxa"/>
            </w:tcMar>
            <w:vAlign w:val="center"/>
          </w:tcPr>
          <w:p w14:paraId="0318D206">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6A3DE06E">
            <w:pPr>
              <w:pStyle w:val="34"/>
              <w:rPr>
                <w:sz w:val="18"/>
                <w:szCs w:val="18"/>
                <w:lang w:eastAsia="en-US"/>
              </w:rPr>
            </w:pPr>
            <w:r>
              <w:rPr>
                <w:sz w:val="18"/>
                <w:szCs w:val="18"/>
                <w:lang w:eastAsia="en-US"/>
              </w:rPr>
              <w:t>乙醇</w:t>
            </w:r>
          </w:p>
        </w:tc>
        <w:tc>
          <w:tcPr>
            <w:tcW w:w="267" w:type="pct"/>
            <w:tcMar>
              <w:left w:w="0" w:type="dxa"/>
              <w:right w:w="0" w:type="dxa"/>
            </w:tcMar>
            <w:vAlign w:val="center"/>
          </w:tcPr>
          <w:p w14:paraId="62D7DB44">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0E03A17D">
            <w:pPr>
              <w:pStyle w:val="34"/>
              <w:rPr>
                <w:sz w:val="18"/>
                <w:szCs w:val="18"/>
                <w:lang w:eastAsia="en-US"/>
              </w:rPr>
            </w:pPr>
            <w:r>
              <w:rPr>
                <w:sz w:val="18"/>
                <w:szCs w:val="18"/>
                <w:lang w:eastAsia="en-US"/>
              </w:rPr>
              <w:t>64-17-5</w:t>
            </w:r>
          </w:p>
        </w:tc>
        <w:tc>
          <w:tcPr>
            <w:tcW w:w="230" w:type="pct"/>
            <w:tcMar>
              <w:left w:w="0" w:type="dxa"/>
              <w:right w:w="0" w:type="dxa"/>
            </w:tcMar>
            <w:vAlign w:val="center"/>
          </w:tcPr>
          <w:p w14:paraId="3C56ED76">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6DE0926B">
            <w:pPr>
              <w:pStyle w:val="34"/>
              <w:rPr>
                <w:sz w:val="18"/>
                <w:szCs w:val="18"/>
                <w:lang w:eastAsia="en-US"/>
              </w:rPr>
            </w:pPr>
            <w:r>
              <w:rPr>
                <w:rFonts w:hint="eastAsia"/>
                <w:sz w:val="18"/>
                <w:szCs w:val="18"/>
                <w:lang w:eastAsia="en-US"/>
              </w:rPr>
              <w:t>运输量大、易燃</w:t>
            </w:r>
          </w:p>
        </w:tc>
        <w:tc>
          <w:tcPr>
            <w:tcW w:w="500" w:type="pct"/>
            <w:vMerge w:val="restart"/>
            <w:tcMar>
              <w:left w:w="0" w:type="dxa"/>
              <w:right w:w="0" w:type="dxa"/>
            </w:tcMar>
            <w:vAlign w:val="center"/>
          </w:tcPr>
          <w:p w14:paraId="5B5E08CF">
            <w:pPr>
              <w:pStyle w:val="34"/>
              <w:rPr>
                <w:sz w:val="18"/>
                <w:szCs w:val="18"/>
              </w:rPr>
            </w:pPr>
            <w:r>
              <w:rPr>
                <w:rFonts w:hint="eastAsia"/>
                <w:sz w:val="18"/>
                <w:szCs w:val="18"/>
              </w:rPr>
              <w:t>按健康危险急性毒性物质（类别2，类别3）</w:t>
            </w:r>
          </w:p>
        </w:tc>
        <w:tc>
          <w:tcPr>
            <w:tcW w:w="1373" w:type="pct"/>
            <w:tcMar>
              <w:left w:w="0" w:type="dxa"/>
              <w:right w:w="0" w:type="dxa"/>
            </w:tcMar>
            <w:vAlign w:val="center"/>
          </w:tcPr>
          <w:p w14:paraId="4184C371">
            <w:pPr>
              <w:pStyle w:val="34"/>
              <w:rPr>
                <w:sz w:val="18"/>
                <w:szCs w:val="18"/>
                <w:lang w:eastAsia="en-US"/>
              </w:rPr>
            </w:pPr>
            <w:r>
              <w:rPr>
                <w:rFonts w:hint="eastAsia"/>
                <w:sz w:val="18"/>
                <w:szCs w:val="18"/>
                <w:lang w:eastAsia="en-US"/>
              </w:rPr>
              <w:t>-</w:t>
            </w:r>
          </w:p>
        </w:tc>
      </w:tr>
      <w:tr w14:paraId="31CE22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3495AF9">
            <w:pPr>
              <w:pStyle w:val="34"/>
              <w:numPr>
                <w:ilvl w:val="0"/>
                <w:numId w:val="53"/>
              </w:numPr>
              <w:rPr>
                <w:sz w:val="18"/>
                <w:szCs w:val="18"/>
                <w:lang w:eastAsia="en-US"/>
              </w:rPr>
            </w:pPr>
          </w:p>
        </w:tc>
        <w:tc>
          <w:tcPr>
            <w:tcW w:w="145" w:type="pct"/>
            <w:vMerge w:val="continue"/>
            <w:tcMar>
              <w:left w:w="0" w:type="dxa"/>
              <w:right w:w="0" w:type="dxa"/>
            </w:tcMar>
            <w:vAlign w:val="center"/>
          </w:tcPr>
          <w:p w14:paraId="4033E510">
            <w:pPr>
              <w:pStyle w:val="34"/>
              <w:rPr>
                <w:sz w:val="18"/>
                <w:szCs w:val="18"/>
                <w:lang w:eastAsia="en-US"/>
              </w:rPr>
            </w:pPr>
          </w:p>
        </w:tc>
        <w:tc>
          <w:tcPr>
            <w:tcW w:w="145" w:type="pct"/>
            <w:vMerge w:val="continue"/>
            <w:tcMar>
              <w:left w:w="0" w:type="dxa"/>
              <w:right w:w="0" w:type="dxa"/>
            </w:tcMar>
            <w:vAlign w:val="center"/>
          </w:tcPr>
          <w:p w14:paraId="21E77227">
            <w:pPr>
              <w:pStyle w:val="34"/>
              <w:rPr>
                <w:sz w:val="18"/>
                <w:szCs w:val="18"/>
                <w:lang w:eastAsia="en-US"/>
              </w:rPr>
            </w:pPr>
          </w:p>
        </w:tc>
        <w:tc>
          <w:tcPr>
            <w:tcW w:w="311" w:type="pct"/>
            <w:vMerge w:val="continue"/>
            <w:tcMar>
              <w:left w:w="0" w:type="dxa"/>
              <w:right w:w="0" w:type="dxa"/>
            </w:tcMar>
            <w:vAlign w:val="center"/>
          </w:tcPr>
          <w:p w14:paraId="471305C1">
            <w:pPr>
              <w:pStyle w:val="34"/>
              <w:rPr>
                <w:sz w:val="18"/>
                <w:szCs w:val="18"/>
                <w:lang w:eastAsia="en-US"/>
              </w:rPr>
            </w:pPr>
          </w:p>
        </w:tc>
        <w:tc>
          <w:tcPr>
            <w:tcW w:w="243" w:type="pct"/>
            <w:vMerge w:val="continue"/>
            <w:tcMar>
              <w:left w:w="0" w:type="dxa"/>
              <w:right w:w="0" w:type="dxa"/>
            </w:tcMar>
            <w:vAlign w:val="center"/>
          </w:tcPr>
          <w:p w14:paraId="3FD090CF">
            <w:pPr>
              <w:pStyle w:val="34"/>
              <w:rPr>
                <w:sz w:val="18"/>
                <w:szCs w:val="18"/>
                <w:lang w:eastAsia="en-US"/>
              </w:rPr>
            </w:pPr>
          </w:p>
        </w:tc>
        <w:tc>
          <w:tcPr>
            <w:tcW w:w="213" w:type="pct"/>
            <w:tcMar>
              <w:left w:w="0" w:type="dxa"/>
              <w:right w:w="0" w:type="dxa"/>
            </w:tcMar>
            <w:vAlign w:val="center"/>
          </w:tcPr>
          <w:p w14:paraId="3F502AEB">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18B4B6C">
            <w:pPr>
              <w:pStyle w:val="34"/>
              <w:rPr>
                <w:sz w:val="18"/>
                <w:szCs w:val="18"/>
                <w:lang w:eastAsia="en-US"/>
              </w:rPr>
            </w:pPr>
            <w:r>
              <w:rPr>
                <w:sz w:val="18"/>
                <w:szCs w:val="18"/>
                <w:lang w:eastAsia="en-US"/>
              </w:rPr>
              <w:t>吡啶</w:t>
            </w:r>
          </w:p>
        </w:tc>
        <w:tc>
          <w:tcPr>
            <w:tcW w:w="267" w:type="pct"/>
            <w:tcMar>
              <w:left w:w="0" w:type="dxa"/>
              <w:right w:w="0" w:type="dxa"/>
            </w:tcMar>
            <w:vAlign w:val="center"/>
          </w:tcPr>
          <w:p w14:paraId="57D91DBD">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3F56BBA5">
            <w:pPr>
              <w:pStyle w:val="34"/>
              <w:rPr>
                <w:sz w:val="18"/>
                <w:szCs w:val="18"/>
                <w:lang w:eastAsia="en-US"/>
              </w:rPr>
            </w:pPr>
            <w:r>
              <w:rPr>
                <w:sz w:val="18"/>
                <w:szCs w:val="18"/>
                <w:lang w:eastAsia="en-US"/>
              </w:rPr>
              <w:t>110-86-1</w:t>
            </w:r>
          </w:p>
        </w:tc>
        <w:tc>
          <w:tcPr>
            <w:tcW w:w="230" w:type="pct"/>
            <w:tcMar>
              <w:left w:w="0" w:type="dxa"/>
              <w:right w:w="0" w:type="dxa"/>
            </w:tcMar>
            <w:vAlign w:val="center"/>
          </w:tcPr>
          <w:p w14:paraId="7D698207">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53AE459F">
            <w:pPr>
              <w:pStyle w:val="34"/>
              <w:rPr>
                <w:sz w:val="18"/>
                <w:szCs w:val="18"/>
              </w:rPr>
            </w:pPr>
            <w:r>
              <w:rPr>
                <w:rFonts w:hint="eastAsia"/>
                <w:sz w:val="18"/>
                <w:szCs w:val="18"/>
              </w:rPr>
              <w:t>运输量大、易燃、毒性</w:t>
            </w:r>
          </w:p>
        </w:tc>
        <w:tc>
          <w:tcPr>
            <w:tcW w:w="500" w:type="pct"/>
            <w:vMerge w:val="continue"/>
            <w:tcMar>
              <w:left w:w="0" w:type="dxa"/>
              <w:right w:w="0" w:type="dxa"/>
            </w:tcMar>
            <w:vAlign w:val="center"/>
          </w:tcPr>
          <w:p w14:paraId="5FB1C0FF">
            <w:pPr>
              <w:pStyle w:val="34"/>
              <w:rPr>
                <w:sz w:val="18"/>
                <w:szCs w:val="18"/>
              </w:rPr>
            </w:pPr>
          </w:p>
        </w:tc>
        <w:tc>
          <w:tcPr>
            <w:tcW w:w="1373" w:type="pct"/>
            <w:tcMar>
              <w:left w:w="0" w:type="dxa"/>
              <w:right w:w="0" w:type="dxa"/>
            </w:tcMar>
            <w:vAlign w:val="center"/>
          </w:tcPr>
          <w:p w14:paraId="4145E77B">
            <w:pPr>
              <w:pStyle w:val="34"/>
              <w:rPr>
                <w:sz w:val="18"/>
                <w:szCs w:val="18"/>
                <w:lang w:eastAsia="en-US"/>
              </w:rPr>
            </w:pPr>
            <w:r>
              <w:rPr>
                <w:rFonts w:hint="eastAsia"/>
                <w:sz w:val="18"/>
                <w:szCs w:val="18"/>
                <w:lang w:eastAsia="en-US"/>
              </w:rPr>
              <w:t>-</w:t>
            </w:r>
          </w:p>
        </w:tc>
      </w:tr>
      <w:tr w14:paraId="6B0870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C064B19">
            <w:pPr>
              <w:pStyle w:val="34"/>
              <w:numPr>
                <w:ilvl w:val="0"/>
                <w:numId w:val="53"/>
              </w:numPr>
              <w:rPr>
                <w:sz w:val="18"/>
                <w:szCs w:val="18"/>
                <w:lang w:eastAsia="en-US"/>
              </w:rPr>
            </w:pPr>
          </w:p>
        </w:tc>
        <w:tc>
          <w:tcPr>
            <w:tcW w:w="145" w:type="pct"/>
            <w:vMerge w:val="continue"/>
            <w:tcMar>
              <w:left w:w="0" w:type="dxa"/>
              <w:right w:w="0" w:type="dxa"/>
            </w:tcMar>
            <w:vAlign w:val="center"/>
          </w:tcPr>
          <w:p w14:paraId="287BCC3C">
            <w:pPr>
              <w:pStyle w:val="34"/>
              <w:rPr>
                <w:sz w:val="18"/>
                <w:szCs w:val="18"/>
                <w:lang w:eastAsia="en-US"/>
              </w:rPr>
            </w:pPr>
          </w:p>
        </w:tc>
        <w:tc>
          <w:tcPr>
            <w:tcW w:w="145" w:type="pct"/>
            <w:vMerge w:val="continue"/>
            <w:tcMar>
              <w:left w:w="0" w:type="dxa"/>
              <w:right w:w="0" w:type="dxa"/>
            </w:tcMar>
            <w:vAlign w:val="center"/>
          </w:tcPr>
          <w:p w14:paraId="3056DE95">
            <w:pPr>
              <w:pStyle w:val="34"/>
              <w:rPr>
                <w:sz w:val="18"/>
                <w:szCs w:val="18"/>
                <w:lang w:eastAsia="en-US"/>
              </w:rPr>
            </w:pPr>
          </w:p>
        </w:tc>
        <w:tc>
          <w:tcPr>
            <w:tcW w:w="311" w:type="pct"/>
            <w:vMerge w:val="continue"/>
            <w:tcMar>
              <w:left w:w="0" w:type="dxa"/>
              <w:right w:w="0" w:type="dxa"/>
            </w:tcMar>
            <w:vAlign w:val="center"/>
          </w:tcPr>
          <w:p w14:paraId="0FA5CA3B">
            <w:pPr>
              <w:pStyle w:val="34"/>
              <w:rPr>
                <w:sz w:val="18"/>
                <w:szCs w:val="18"/>
                <w:lang w:eastAsia="en-US"/>
              </w:rPr>
            </w:pPr>
          </w:p>
        </w:tc>
        <w:tc>
          <w:tcPr>
            <w:tcW w:w="243" w:type="pct"/>
            <w:vMerge w:val="continue"/>
            <w:tcMar>
              <w:left w:w="0" w:type="dxa"/>
              <w:right w:w="0" w:type="dxa"/>
            </w:tcMar>
            <w:vAlign w:val="center"/>
          </w:tcPr>
          <w:p w14:paraId="664BF393">
            <w:pPr>
              <w:pStyle w:val="34"/>
              <w:rPr>
                <w:sz w:val="18"/>
                <w:szCs w:val="18"/>
                <w:lang w:eastAsia="en-US"/>
              </w:rPr>
            </w:pPr>
          </w:p>
        </w:tc>
        <w:tc>
          <w:tcPr>
            <w:tcW w:w="213" w:type="pct"/>
            <w:tcMar>
              <w:left w:w="0" w:type="dxa"/>
              <w:right w:w="0" w:type="dxa"/>
            </w:tcMar>
            <w:vAlign w:val="center"/>
          </w:tcPr>
          <w:p w14:paraId="0ACC4CCF">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AAB6515">
            <w:pPr>
              <w:pStyle w:val="34"/>
              <w:rPr>
                <w:sz w:val="18"/>
                <w:szCs w:val="18"/>
                <w:lang w:eastAsia="en-US"/>
              </w:rPr>
            </w:pPr>
            <w:r>
              <w:rPr>
                <w:sz w:val="18"/>
                <w:szCs w:val="18"/>
                <w:lang w:eastAsia="en-US"/>
              </w:rPr>
              <w:t>四氢呋喃</w:t>
            </w:r>
          </w:p>
        </w:tc>
        <w:tc>
          <w:tcPr>
            <w:tcW w:w="267" w:type="pct"/>
            <w:tcMar>
              <w:left w:w="0" w:type="dxa"/>
              <w:right w:w="0" w:type="dxa"/>
            </w:tcMar>
            <w:vAlign w:val="center"/>
          </w:tcPr>
          <w:p w14:paraId="7C51C632">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682D57C2">
            <w:pPr>
              <w:pStyle w:val="34"/>
              <w:rPr>
                <w:sz w:val="18"/>
                <w:szCs w:val="18"/>
                <w:lang w:eastAsia="en-US"/>
              </w:rPr>
            </w:pPr>
            <w:r>
              <w:rPr>
                <w:sz w:val="18"/>
                <w:szCs w:val="18"/>
                <w:lang w:eastAsia="en-US"/>
              </w:rPr>
              <w:t>109-99-9</w:t>
            </w:r>
          </w:p>
        </w:tc>
        <w:tc>
          <w:tcPr>
            <w:tcW w:w="230" w:type="pct"/>
            <w:tcMar>
              <w:left w:w="0" w:type="dxa"/>
              <w:right w:w="0" w:type="dxa"/>
            </w:tcMar>
            <w:vAlign w:val="center"/>
          </w:tcPr>
          <w:p w14:paraId="2E8CA763">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64FE48BF">
            <w:pPr>
              <w:pStyle w:val="34"/>
              <w:rPr>
                <w:sz w:val="18"/>
                <w:szCs w:val="18"/>
                <w:lang w:eastAsia="en-US"/>
              </w:rPr>
            </w:pPr>
            <w:r>
              <w:rPr>
                <w:rFonts w:hint="eastAsia"/>
                <w:sz w:val="18"/>
                <w:szCs w:val="18"/>
                <w:lang w:eastAsia="en-US"/>
              </w:rPr>
              <w:t>水生急毒性、易燃</w:t>
            </w:r>
          </w:p>
        </w:tc>
        <w:tc>
          <w:tcPr>
            <w:tcW w:w="500" w:type="pct"/>
            <w:vMerge w:val="continue"/>
            <w:tcMar>
              <w:left w:w="0" w:type="dxa"/>
              <w:right w:w="0" w:type="dxa"/>
            </w:tcMar>
            <w:vAlign w:val="center"/>
          </w:tcPr>
          <w:p w14:paraId="0A39A1AE">
            <w:pPr>
              <w:pStyle w:val="34"/>
              <w:rPr>
                <w:sz w:val="18"/>
                <w:szCs w:val="18"/>
                <w:lang w:eastAsia="en-US"/>
              </w:rPr>
            </w:pPr>
          </w:p>
        </w:tc>
        <w:tc>
          <w:tcPr>
            <w:tcW w:w="1373" w:type="pct"/>
            <w:tcMar>
              <w:left w:w="0" w:type="dxa"/>
              <w:right w:w="0" w:type="dxa"/>
            </w:tcMar>
            <w:vAlign w:val="center"/>
          </w:tcPr>
          <w:p w14:paraId="5FFC3EF7">
            <w:pPr>
              <w:pStyle w:val="34"/>
              <w:rPr>
                <w:sz w:val="18"/>
                <w:szCs w:val="18"/>
                <w:lang w:eastAsia="en-US"/>
              </w:rPr>
            </w:pPr>
            <w:r>
              <w:rPr>
                <w:rFonts w:hint="eastAsia"/>
                <w:sz w:val="18"/>
                <w:szCs w:val="18"/>
                <w:lang w:eastAsia="en-US"/>
              </w:rPr>
              <w:t>-</w:t>
            </w:r>
          </w:p>
        </w:tc>
      </w:tr>
      <w:tr w14:paraId="15CECA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DDA92F3">
            <w:pPr>
              <w:pStyle w:val="34"/>
              <w:numPr>
                <w:ilvl w:val="0"/>
                <w:numId w:val="53"/>
              </w:numPr>
              <w:rPr>
                <w:sz w:val="18"/>
                <w:szCs w:val="18"/>
                <w:lang w:eastAsia="en-US"/>
              </w:rPr>
            </w:pPr>
          </w:p>
        </w:tc>
        <w:tc>
          <w:tcPr>
            <w:tcW w:w="145" w:type="pct"/>
            <w:vMerge w:val="continue"/>
            <w:tcMar>
              <w:left w:w="0" w:type="dxa"/>
              <w:right w:w="0" w:type="dxa"/>
            </w:tcMar>
            <w:vAlign w:val="center"/>
          </w:tcPr>
          <w:p w14:paraId="0544516B">
            <w:pPr>
              <w:pStyle w:val="34"/>
              <w:rPr>
                <w:sz w:val="18"/>
                <w:szCs w:val="18"/>
                <w:lang w:eastAsia="en-US"/>
              </w:rPr>
            </w:pPr>
          </w:p>
        </w:tc>
        <w:tc>
          <w:tcPr>
            <w:tcW w:w="145" w:type="pct"/>
            <w:vMerge w:val="continue"/>
            <w:tcMar>
              <w:left w:w="0" w:type="dxa"/>
              <w:right w:w="0" w:type="dxa"/>
            </w:tcMar>
            <w:vAlign w:val="center"/>
          </w:tcPr>
          <w:p w14:paraId="28F420E2">
            <w:pPr>
              <w:pStyle w:val="34"/>
              <w:rPr>
                <w:sz w:val="18"/>
                <w:szCs w:val="18"/>
                <w:lang w:eastAsia="en-US"/>
              </w:rPr>
            </w:pPr>
          </w:p>
        </w:tc>
        <w:tc>
          <w:tcPr>
            <w:tcW w:w="311" w:type="pct"/>
            <w:vMerge w:val="continue"/>
            <w:tcMar>
              <w:left w:w="0" w:type="dxa"/>
              <w:right w:w="0" w:type="dxa"/>
            </w:tcMar>
            <w:vAlign w:val="center"/>
          </w:tcPr>
          <w:p w14:paraId="389E3B9E">
            <w:pPr>
              <w:pStyle w:val="34"/>
              <w:rPr>
                <w:sz w:val="18"/>
                <w:szCs w:val="18"/>
                <w:lang w:eastAsia="en-US"/>
              </w:rPr>
            </w:pPr>
          </w:p>
        </w:tc>
        <w:tc>
          <w:tcPr>
            <w:tcW w:w="243" w:type="pct"/>
            <w:tcMar>
              <w:left w:w="0" w:type="dxa"/>
              <w:right w:w="0" w:type="dxa"/>
            </w:tcMar>
            <w:vAlign w:val="center"/>
          </w:tcPr>
          <w:p w14:paraId="2961FB1C">
            <w:pPr>
              <w:pStyle w:val="34"/>
              <w:rPr>
                <w:sz w:val="18"/>
                <w:szCs w:val="18"/>
                <w:lang w:eastAsia="en-US"/>
              </w:rPr>
            </w:pPr>
            <w:r>
              <w:rPr>
                <w:sz w:val="18"/>
                <w:szCs w:val="18"/>
                <w:lang w:eastAsia="en-US"/>
              </w:rPr>
              <w:t>遇水放出易燃气体</w:t>
            </w:r>
          </w:p>
        </w:tc>
        <w:tc>
          <w:tcPr>
            <w:tcW w:w="213" w:type="pct"/>
            <w:tcMar>
              <w:left w:w="0" w:type="dxa"/>
              <w:right w:w="0" w:type="dxa"/>
            </w:tcMar>
            <w:vAlign w:val="center"/>
          </w:tcPr>
          <w:p w14:paraId="2EEB2B6D">
            <w:pPr>
              <w:pStyle w:val="34"/>
              <w:rPr>
                <w:sz w:val="18"/>
                <w:szCs w:val="18"/>
                <w:lang w:eastAsia="en-US"/>
              </w:rPr>
            </w:pPr>
            <w:r>
              <w:rPr>
                <w:sz w:val="18"/>
                <w:szCs w:val="18"/>
                <w:lang w:eastAsia="en-US"/>
              </w:rPr>
              <w:t>易燃易爆、</w:t>
            </w:r>
          </w:p>
          <w:p w14:paraId="0EEDCEAA">
            <w:pPr>
              <w:pStyle w:val="34"/>
              <w:rPr>
                <w:sz w:val="18"/>
                <w:szCs w:val="18"/>
                <w:lang w:eastAsia="en-US"/>
              </w:rPr>
            </w:pPr>
            <w:r>
              <w:rPr>
                <w:rFonts w:hint="eastAsia"/>
                <w:sz w:val="18"/>
                <w:szCs w:val="18"/>
                <w:lang w:eastAsia="en-US"/>
              </w:rPr>
              <w:t>腐蚀性</w:t>
            </w:r>
          </w:p>
        </w:tc>
        <w:tc>
          <w:tcPr>
            <w:tcW w:w="582" w:type="pct"/>
            <w:tcMar>
              <w:left w:w="0" w:type="dxa"/>
              <w:right w:w="0" w:type="dxa"/>
            </w:tcMar>
            <w:vAlign w:val="center"/>
          </w:tcPr>
          <w:p w14:paraId="541E0FF8">
            <w:pPr>
              <w:pStyle w:val="34"/>
              <w:rPr>
                <w:sz w:val="18"/>
                <w:szCs w:val="18"/>
                <w:lang w:eastAsia="en-US"/>
              </w:rPr>
            </w:pPr>
            <w:r>
              <w:rPr>
                <w:sz w:val="18"/>
                <w:szCs w:val="18"/>
                <w:lang w:eastAsia="en-US"/>
              </w:rPr>
              <w:t>三氯硅烷</w:t>
            </w:r>
          </w:p>
        </w:tc>
        <w:tc>
          <w:tcPr>
            <w:tcW w:w="267" w:type="pct"/>
            <w:tcMar>
              <w:left w:w="0" w:type="dxa"/>
              <w:right w:w="0" w:type="dxa"/>
            </w:tcMar>
            <w:vAlign w:val="center"/>
          </w:tcPr>
          <w:p w14:paraId="2057907C">
            <w:pPr>
              <w:pStyle w:val="34"/>
              <w:rPr>
                <w:sz w:val="18"/>
                <w:szCs w:val="18"/>
                <w:lang w:eastAsia="en-US"/>
              </w:rPr>
            </w:pPr>
            <w:r>
              <w:rPr>
                <w:rFonts w:hint="eastAsia"/>
                <w:sz w:val="18"/>
                <w:szCs w:val="18"/>
                <w:lang w:eastAsia="en-US"/>
              </w:rPr>
              <w:t>第4.3项</w:t>
            </w:r>
          </w:p>
        </w:tc>
        <w:tc>
          <w:tcPr>
            <w:tcW w:w="355" w:type="pct"/>
            <w:tcMar>
              <w:left w:w="0" w:type="dxa"/>
              <w:right w:w="0" w:type="dxa"/>
            </w:tcMar>
            <w:vAlign w:val="center"/>
          </w:tcPr>
          <w:p w14:paraId="5A4EB465">
            <w:pPr>
              <w:pStyle w:val="34"/>
              <w:rPr>
                <w:sz w:val="18"/>
                <w:szCs w:val="18"/>
                <w:lang w:eastAsia="en-US"/>
              </w:rPr>
            </w:pPr>
            <w:r>
              <w:rPr>
                <w:sz w:val="18"/>
                <w:szCs w:val="18"/>
                <w:lang w:eastAsia="en-US"/>
              </w:rPr>
              <w:t>10025-78-2</w:t>
            </w:r>
          </w:p>
        </w:tc>
        <w:tc>
          <w:tcPr>
            <w:tcW w:w="230" w:type="pct"/>
            <w:tcMar>
              <w:left w:w="0" w:type="dxa"/>
              <w:right w:w="0" w:type="dxa"/>
            </w:tcMar>
            <w:vAlign w:val="center"/>
          </w:tcPr>
          <w:p w14:paraId="186B6E3F">
            <w:pPr>
              <w:pStyle w:val="34"/>
              <w:rPr>
                <w:sz w:val="18"/>
                <w:szCs w:val="18"/>
                <w:lang w:eastAsia="en-US"/>
              </w:rPr>
            </w:pPr>
            <w:r>
              <w:rPr>
                <w:rFonts w:hint="eastAsia"/>
                <w:sz w:val="18"/>
                <w:szCs w:val="18"/>
                <w:lang w:eastAsia="en-US"/>
              </w:rPr>
              <w:t>5</w:t>
            </w:r>
          </w:p>
        </w:tc>
        <w:tc>
          <w:tcPr>
            <w:tcW w:w="490" w:type="pct"/>
            <w:tcMar>
              <w:left w:w="0" w:type="dxa"/>
              <w:right w:w="0" w:type="dxa"/>
            </w:tcMar>
            <w:vAlign w:val="center"/>
          </w:tcPr>
          <w:p w14:paraId="6C711B69">
            <w:pPr>
              <w:pStyle w:val="34"/>
              <w:rPr>
                <w:sz w:val="18"/>
                <w:szCs w:val="18"/>
              </w:rPr>
            </w:pPr>
            <w:r>
              <w:rPr>
                <w:rFonts w:hint="eastAsia"/>
                <w:sz w:val="18"/>
                <w:szCs w:val="18"/>
              </w:rPr>
              <w:t>与水反应生成易燃气体氯化氢、运输量大、极易燃</w:t>
            </w:r>
          </w:p>
        </w:tc>
        <w:tc>
          <w:tcPr>
            <w:tcW w:w="500" w:type="pct"/>
            <w:tcMar>
              <w:left w:w="0" w:type="dxa"/>
              <w:right w:w="0" w:type="dxa"/>
            </w:tcMar>
            <w:vAlign w:val="center"/>
          </w:tcPr>
          <w:p w14:paraId="4A3571A5">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7F55B35C">
            <w:pPr>
              <w:pStyle w:val="34"/>
              <w:rPr>
                <w:sz w:val="18"/>
                <w:szCs w:val="18"/>
                <w:lang w:eastAsia="en-US"/>
              </w:rPr>
            </w:pPr>
            <w:r>
              <w:rPr>
                <w:rFonts w:hint="eastAsia"/>
                <w:sz w:val="18"/>
                <w:szCs w:val="18"/>
                <w:lang w:eastAsia="en-US"/>
              </w:rPr>
              <w:t>-</w:t>
            </w:r>
          </w:p>
        </w:tc>
      </w:tr>
      <w:tr w14:paraId="71D13C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93206F1">
            <w:pPr>
              <w:pStyle w:val="34"/>
              <w:numPr>
                <w:ilvl w:val="0"/>
                <w:numId w:val="53"/>
              </w:numPr>
              <w:rPr>
                <w:sz w:val="18"/>
                <w:szCs w:val="18"/>
                <w:lang w:eastAsia="en-US"/>
              </w:rPr>
            </w:pPr>
          </w:p>
        </w:tc>
        <w:tc>
          <w:tcPr>
            <w:tcW w:w="145" w:type="pct"/>
            <w:vMerge w:val="continue"/>
            <w:tcMar>
              <w:left w:w="0" w:type="dxa"/>
              <w:right w:w="0" w:type="dxa"/>
            </w:tcMar>
            <w:vAlign w:val="center"/>
          </w:tcPr>
          <w:p w14:paraId="4F411188">
            <w:pPr>
              <w:pStyle w:val="34"/>
              <w:rPr>
                <w:sz w:val="18"/>
                <w:szCs w:val="18"/>
                <w:lang w:eastAsia="en-US"/>
              </w:rPr>
            </w:pPr>
          </w:p>
        </w:tc>
        <w:tc>
          <w:tcPr>
            <w:tcW w:w="145" w:type="pct"/>
            <w:vMerge w:val="continue"/>
            <w:tcMar>
              <w:left w:w="0" w:type="dxa"/>
              <w:right w:w="0" w:type="dxa"/>
            </w:tcMar>
            <w:vAlign w:val="center"/>
          </w:tcPr>
          <w:p w14:paraId="0E4A8146">
            <w:pPr>
              <w:pStyle w:val="34"/>
              <w:rPr>
                <w:sz w:val="18"/>
                <w:szCs w:val="18"/>
                <w:lang w:eastAsia="en-US"/>
              </w:rPr>
            </w:pPr>
          </w:p>
        </w:tc>
        <w:tc>
          <w:tcPr>
            <w:tcW w:w="311" w:type="pct"/>
            <w:vMerge w:val="continue"/>
            <w:tcMar>
              <w:left w:w="0" w:type="dxa"/>
              <w:right w:w="0" w:type="dxa"/>
            </w:tcMar>
            <w:vAlign w:val="center"/>
          </w:tcPr>
          <w:p w14:paraId="5B4E1F5D">
            <w:pPr>
              <w:pStyle w:val="34"/>
              <w:rPr>
                <w:sz w:val="18"/>
                <w:szCs w:val="18"/>
                <w:lang w:eastAsia="en-US"/>
              </w:rPr>
            </w:pPr>
          </w:p>
        </w:tc>
        <w:tc>
          <w:tcPr>
            <w:tcW w:w="243" w:type="pct"/>
            <w:vMerge w:val="restart"/>
            <w:tcMar>
              <w:left w:w="0" w:type="dxa"/>
              <w:right w:w="0" w:type="dxa"/>
            </w:tcMar>
            <w:vAlign w:val="center"/>
          </w:tcPr>
          <w:p w14:paraId="5F1610D2">
            <w:pPr>
              <w:pStyle w:val="34"/>
              <w:rPr>
                <w:sz w:val="18"/>
                <w:szCs w:val="18"/>
                <w:lang w:eastAsia="en-US"/>
              </w:rPr>
            </w:pPr>
            <w:r>
              <w:rPr>
                <w:sz w:val="18"/>
                <w:szCs w:val="18"/>
                <w:lang w:eastAsia="en-US"/>
              </w:rPr>
              <w:t>腐蚀性</w:t>
            </w:r>
          </w:p>
        </w:tc>
        <w:tc>
          <w:tcPr>
            <w:tcW w:w="213" w:type="pct"/>
            <w:tcMar>
              <w:left w:w="0" w:type="dxa"/>
              <w:right w:w="0" w:type="dxa"/>
            </w:tcMar>
            <w:vAlign w:val="center"/>
          </w:tcPr>
          <w:p w14:paraId="6C90208D">
            <w:pPr>
              <w:pStyle w:val="34"/>
              <w:rPr>
                <w:sz w:val="18"/>
                <w:szCs w:val="18"/>
                <w:lang w:eastAsia="en-US"/>
              </w:rPr>
            </w:pPr>
            <w:r>
              <w:rPr>
                <w:sz w:val="18"/>
                <w:szCs w:val="18"/>
                <w:lang w:eastAsia="en-US"/>
              </w:rPr>
              <w:t>易燃易爆</w:t>
            </w:r>
          </w:p>
        </w:tc>
        <w:tc>
          <w:tcPr>
            <w:tcW w:w="582" w:type="pct"/>
            <w:tcMar>
              <w:left w:w="0" w:type="dxa"/>
              <w:right w:w="0" w:type="dxa"/>
            </w:tcMar>
            <w:vAlign w:val="center"/>
          </w:tcPr>
          <w:p w14:paraId="703DC060">
            <w:pPr>
              <w:pStyle w:val="34"/>
              <w:rPr>
                <w:sz w:val="18"/>
                <w:szCs w:val="18"/>
                <w:lang w:eastAsia="en-US"/>
              </w:rPr>
            </w:pPr>
            <w:r>
              <w:rPr>
                <w:sz w:val="18"/>
                <w:szCs w:val="18"/>
                <w:lang w:eastAsia="en-US"/>
              </w:rPr>
              <w:t>哌啶</w:t>
            </w:r>
          </w:p>
        </w:tc>
        <w:tc>
          <w:tcPr>
            <w:tcW w:w="267" w:type="pct"/>
            <w:tcMar>
              <w:left w:w="0" w:type="dxa"/>
              <w:right w:w="0" w:type="dxa"/>
            </w:tcMar>
            <w:vAlign w:val="center"/>
          </w:tcPr>
          <w:p w14:paraId="0C0A0629">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779AF9EE">
            <w:pPr>
              <w:pStyle w:val="34"/>
              <w:rPr>
                <w:sz w:val="18"/>
                <w:szCs w:val="18"/>
                <w:lang w:eastAsia="en-US"/>
              </w:rPr>
            </w:pPr>
            <w:r>
              <w:rPr>
                <w:sz w:val="18"/>
                <w:szCs w:val="18"/>
                <w:lang w:eastAsia="en-US"/>
              </w:rPr>
              <w:t>110-89-4</w:t>
            </w:r>
          </w:p>
        </w:tc>
        <w:tc>
          <w:tcPr>
            <w:tcW w:w="230" w:type="pct"/>
            <w:tcMar>
              <w:left w:w="0" w:type="dxa"/>
              <w:right w:w="0" w:type="dxa"/>
            </w:tcMar>
            <w:vAlign w:val="center"/>
          </w:tcPr>
          <w:p w14:paraId="0F7311A8">
            <w:pPr>
              <w:pStyle w:val="34"/>
              <w:rPr>
                <w:sz w:val="18"/>
                <w:szCs w:val="18"/>
                <w:lang w:eastAsia="en-US"/>
              </w:rPr>
            </w:pPr>
            <w:r>
              <w:rPr>
                <w:rFonts w:hint="eastAsia"/>
                <w:sz w:val="18"/>
                <w:szCs w:val="18"/>
                <w:lang w:eastAsia="en-US"/>
              </w:rPr>
              <w:t>7.5</w:t>
            </w:r>
          </w:p>
        </w:tc>
        <w:tc>
          <w:tcPr>
            <w:tcW w:w="490" w:type="pct"/>
            <w:tcMar>
              <w:left w:w="0" w:type="dxa"/>
              <w:right w:w="0" w:type="dxa"/>
            </w:tcMar>
            <w:vAlign w:val="center"/>
          </w:tcPr>
          <w:p w14:paraId="4C79069D">
            <w:pPr>
              <w:pStyle w:val="34"/>
              <w:rPr>
                <w:sz w:val="18"/>
                <w:szCs w:val="18"/>
                <w:lang w:eastAsia="en-US"/>
              </w:rPr>
            </w:pPr>
            <w:r>
              <w:rPr>
                <w:rFonts w:hint="eastAsia"/>
                <w:sz w:val="18"/>
                <w:szCs w:val="18"/>
                <w:lang w:eastAsia="en-US"/>
              </w:rPr>
              <w:t>易燃、运输量大</w:t>
            </w:r>
          </w:p>
        </w:tc>
        <w:tc>
          <w:tcPr>
            <w:tcW w:w="500" w:type="pct"/>
            <w:tcMar>
              <w:left w:w="0" w:type="dxa"/>
              <w:right w:w="0" w:type="dxa"/>
            </w:tcMar>
            <w:vAlign w:val="center"/>
          </w:tcPr>
          <w:p w14:paraId="59FF91CC">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C891401">
            <w:pPr>
              <w:pStyle w:val="34"/>
              <w:rPr>
                <w:sz w:val="18"/>
                <w:szCs w:val="18"/>
              </w:rPr>
            </w:pPr>
            <w:r>
              <w:rPr>
                <w:rFonts w:hint="eastAsia"/>
                <w:sz w:val="18"/>
                <w:szCs w:val="18"/>
              </w:rPr>
              <w:t>《易制毒化学品品种名录》第二类</w:t>
            </w:r>
          </w:p>
        </w:tc>
      </w:tr>
      <w:tr w14:paraId="159896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030A3DE3">
            <w:pPr>
              <w:pStyle w:val="34"/>
              <w:numPr>
                <w:ilvl w:val="0"/>
                <w:numId w:val="53"/>
              </w:numPr>
              <w:rPr>
                <w:sz w:val="18"/>
                <w:szCs w:val="18"/>
              </w:rPr>
            </w:pPr>
          </w:p>
        </w:tc>
        <w:tc>
          <w:tcPr>
            <w:tcW w:w="145" w:type="pct"/>
            <w:vMerge w:val="continue"/>
            <w:tcMar>
              <w:left w:w="0" w:type="dxa"/>
              <w:right w:w="0" w:type="dxa"/>
            </w:tcMar>
            <w:vAlign w:val="center"/>
          </w:tcPr>
          <w:p w14:paraId="3AF4E30A">
            <w:pPr>
              <w:pStyle w:val="34"/>
              <w:rPr>
                <w:sz w:val="18"/>
                <w:szCs w:val="18"/>
              </w:rPr>
            </w:pPr>
          </w:p>
        </w:tc>
        <w:tc>
          <w:tcPr>
            <w:tcW w:w="145" w:type="pct"/>
            <w:vMerge w:val="continue"/>
            <w:tcMar>
              <w:left w:w="0" w:type="dxa"/>
              <w:right w:w="0" w:type="dxa"/>
            </w:tcMar>
            <w:vAlign w:val="center"/>
          </w:tcPr>
          <w:p w14:paraId="5FB6CB9A">
            <w:pPr>
              <w:pStyle w:val="34"/>
              <w:rPr>
                <w:sz w:val="18"/>
                <w:szCs w:val="18"/>
              </w:rPr>
            </w:pPr>
          </w:p>
        </w:tc>
        <w:tc>
          <w:tcPr>
            <w:tcW w:w="311" w:type="pct"/>
            <w:vMerge w:val="continue"/>
            <w:tcMar>
              <w:left w:w="0" w:type="dxa"/>
              <w:right w:w="0" w:type="dxa"/>
            </w:tcMar>
            <w:vAlign w:val="center"/>
          </w:tcPr>
          <w:p w14:paraId="02ADC30B">
            <w:pPr>
              <w:pStyle w:val="34"/>
              <w:rPr>
                <w:sz w:val="18"/>
                <w:szCs w:val="18"/>
              </w:rPr>
            </w:pPr>
          </w:p>
        </w:tc>
        <w:tc>
          <w:tcPr>
            <w:tcW w:w="243" w:type="pct"/>
            <w:vMerge w:val="continue"/>
            <w:tcMar>
              <w:left w:w="0" w:type="dxa"/>
              <w:right w:w="0" w:type="dxa"/>
            </w:tcMar>
            <w:vAlign w:val="center"/>
          </w:tcPr>
          <w:p w14:paraId="5F202648">
            <w:pPr>
              <w:pStyle w:val="34"/>
              <w:rPr>
                <w:sz w:val="18"/>
                <w:szCs w:val="18"/>
              </w:rPr>
            </w:pPr>
          </w:p>
        </w:tc>
        <w:tc>
          <w:tcPr>
            <w:tcW w:w="213" w:type="pct"/>
            <w:tcMar>
              <w:left w:w="0" w:type="dxa"/>
              <w:right w:w="0" w:type="dxa"/>
            </w:tcMar>
            <w:vAlign w:val="center"/>
          </w:tcPr>
          <w:p w14:paraId="6F697538">
            <w:pPr>
              <w:pStyle w:val="34"/>
              <w:rPr>
                <w:sz w:val="18"/>
                <w:szCs w:val="18"/>
                <w:lang w:eastAsia="en-US"/>
              </w:rPr>
            </w:pPr>
            <w:r>
              <w:rPr>
                <w:sz w:val="18"/>
                <w:szCs w:val="18"/>
                <w:lang w:eastAsia="en-US"/>
              </w:rPr>
              <w:t>易燃易爆</w:t>
            </w:r>
          </w:p>
        </w:tc>
        <w:tc>
          <w:tcPr>
            <w:tcW w:w="582" w:type="pct"/>
            <w:tcMar>
              <w:left w:w="0" w:type="dxa"/>
              <w:right w:w="0" w:type="dxa"/>
            </w:tcMar>
            <w:vAlign w:val="center"/>
          </w:tcPr>
          <w:p w14:paraId="3BC2C6C0">
            <w:pPr>
              <w:pStyle w:val="34"/>
              <w:rPr>
                <w:sz w:val="18"/>
                <w:szCs w:val="18"/>
                <w:lang w:eastAsia="en-US"/>
              </w:rPr>
            </w:pPr>
            <w:r>
              <w:rPr>
                <w:rFonts w:hint="eastAsia"/>
                <w:sz w:val="18"/>
                <w:szCs w:val="18"/>
                <w:lang w:eastAsia="en-US"/>
              </w:rPr>
              <w:t>1,2-乙二胺</w:t>
            </w:r>
          </w:p>
        </w:tc>
        <w:tc>
          <w:tcPr>
            <w:tcW w:w="267" w:type="pct"/>
            <w:tcMar>
              <w:left w:w="0" w:type="dxa"/>
              <w:right w:w="0" w:type="dxa"/>
            </w:tcMar>
            <w:vAlign w:val="center"/>
          </w:tcPr>
          <w:p w14:paraId="3A4F92AF">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19BB22BC">
            <w:pPr>
              <w:pStyle w:val="34"/>
              <w:rPr>
                <w:sz w:val="18"/>
                <w:szCs w:val="18"/>
                <w:lang w:eastAsia="en-US"/>
              </w:rPr>
            </w:pPr>
            <w:r>
              <w:rPr>
                <w:sz w:val="18"/>
                <w:szCs w:val="18"/>
                <w:lang w:eastAsia="en-US"/>
              </w:rPr>
              <w:t>107-15-3</w:t>
            </w:r>
          </w:p>
        </w:tc>
        <w:tc>
          <w:tcPr>
            <w:tcW w:w="230" w:type="pct"/>
            <w:tcMar>
              <w:left w:w="0" w:type="dxa"/>
              <w:right w:w="0" w:type="dxa"/>
            </w:tcMar>
            <w:vAlign w:val="center"/>
          </w:tcPr>
          <w:p w14:paraId="3B305400">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48134556">
            <w:pPr>
              <w:pStyle w:val="34"/>
              <w:rPr>
                <w:sz w:val="18"/>
                <w:szCs w:val="18"/>
              </w:rPr>
            </w:pPr>
            <w:r>
              <w:rPr>
                <w:rFonts w:hint="eastAsia"/>
                <w:sz w:val="18"/>
                <w:szCs w:val="18"/>
              </w:rPr>
              <w:t>水溶液呈碱性、水生急性毒性</w:t>
            </w:r>
          </w:p>
        </w:tc>
        <w:tc>
          <w:tcPr>
            <w:tcW w:w="500" w:type="pct"/>
            <w:tcMar>
              <w:left w:w="0" w:type="dxa"/>
              <w:right w:w="0" w:type="dxa"/>
            </w:tcMar>
            <w:vAlign w:val="center"/>
          </w:tcPr>
          <w:p w14:paraId="2657DD12">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13C8B370">
            <w:pPr>
              <w:pStyle w:val="34"/>
              <w:rPr>
                <w:sz w:val="18"/>
                <w:szCs w:val="18"/>
                <w:lang w:eastAsia="en-US"/>
              </w:rPr>
            </w:pPr>
            <w:r>
              <w:rPr>
                <w:rFonts w:hint="eastAsia"/>
                <w:sz w:val="18"/>
                <w:szCs w:val="18"/>
                <w:lang w:eastAsia="en-US"/>
              </w:rPr>
              <w:t>-</w:t>
            </w:r>
          </w:p>
        </w:tc>
      </w:tr>
      <w:tr w14:paraId="34DDE8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19D25291">
            <w:pPr>
              <w:pStyle w:val="34"/>
              <w:numPr>
                <w:ilvl w:val="0"/>
                <w:numId w:val="53"/>
              </w:numPr>
              <w:rPr>
                <w:sz w:val="18"/>
                <w:szCs w:val="18"/>
                <w:lang w:eastAsia="en-US"/>
              </w:rPr>
            </w:pPr>
          </w:p>
        </w:tc>
        <w:tc>
          <w:tcPr>
            <w:tcW w:w="145" w:type="pct"/>
            <w:vMerge w:val="continue"/>
            <w:tcMar>
              <w:left w:w="0" w:type="dxa"/>
              <w:right w:w="0" w:type="dxa"/>
            </w:tcMar>
            <w:vAlign w:val="center"/>
          </w:tcPr>
          <w:p w14:paraId="34B642A4">
            <w:pPr>
              <w:pStyle w:val="34"/>
              <w:rPr>
                <w:sz w:val="18"/>
                <w:szCs w:val="18"/>
                <w:lang w:eastAsia="en-US"/>
              </w:rPr>
            </w:pPr>
          </w:p>
        </w:tc>
        <w:tc>
          <w:tcPr>
            <w:tcW w:w="145" w:type="pct"/>
            <w:vMerge w:val="restart"/>
            <w:tcMar>
              <w:left w:w="0" w:type="dxa"/>
              <w:right w:w="0" w:type="dxa"/>
            </w:tcMar>
            <w:vAlign w:val="center"/>
          </w:tcPr>
          <w:p w14:paraId="4F276FBC">
            <w:pPr>
              <w:pStyle w:val="34"/>
              <w:rPr>
                <w:sz w:val="18"/>
                <w:szCs w:val="18"/>
                <w:lang w:eastAsia="en-US"/>
              </w:rPr>
            </w:pPr>
            <w:r>
              <w:rPr>
                <w:sz w:val="18"/>
                <w:szCs w:val="18"/>
                <w:lang w:eastAsia="en-US"/>
              </w:rPr>
              <w:t>微溶</w:t>
            </w:r>
          </w:p>
        </w:tc>
        <w:tc>
          <w:tcPr>
            <w:tcW w:w="311" w:type="pct"/>
            <w:tcMar>
              <w:left w:w="0" w:type="dxa"/>
              <w:right w:w="0" w:type="dxa"/>
            </w:tcMar>
            <w:vAlign w:val="center"/>
          </w:tcPr>
          <w:p w14:paraId="36F65730">
            <w:pPr>
              <w:pStyle w:val="34"/>
              <w:rPr>
                <w:sz w:val="18"/>
                <w:szCs w:val="18"/>
                <w:lang w:eastAsia="en-US"/>
              </w:rPr>
            </w:pPr>
            <w:r>
              <w:rPr>
                <w:sz w:val="18"/>
                <w:szCs w:val="18"/>
                <w:lang w:eastAsia="en-US"/>
              </w:rPr>
              <w:t>无机</w:t>
            </w:r>
          </w:p>
        </w:tc>
        <w:tc>
          <w:tcPr>
            <w:tcW w:w="243" w:type="pct"/>
            <w:tcMar>
              <w:left w:w="0" w:type="dxa"/>
              <w:right w:w="0" w:type="dxa"/>
            </w:tcMar>
            <w:vAlign w:val="center"/>
          </w:tcPr>
          <w:p w14:paraId="237BA8C0">
            <w:pPr>
              <w:pStyle w:val="34"/>
              <w:rPr>
                <w:sz w:val="18"/>
                <w:szCs w:val="18"/>
                <w:lang w:eastAsia="en-US"/>
              </w:rPr>
            </w:pPr>
            <w:r>
              <w:rPr>
                <w:sz w:val="18"/>
                <w:szCs w:val="18"/>
                <w:lang w:eastAsia="en-US"/>
              </w:rPr>
              <w:t>毒性</w:t>
            </w:r>
          </w:p>
        </w:tc>
        <w:tc>
          <w:tcPr>
            <w:tcW w:w="213" w:type="pct"/>
            <w:tcMar>
              <w:left w:w="0" w:type="dxa"/>
              <w:right w:w="0" w:type="dxa"/>
            </w:tcMar>
            <w:vAlign w:val="center"/>
          </w:tcPr>
          <w:p w14:paraId="5A059F32">
            <w:pPr>
              <w:pStyle w:val="34"/>
              <w:rPr>
                <w:sz w:val="18"/>
                <w:szCs w:val="18"/>
                <w:lang w:eastAsia="en-US"/>
              </w:rPr>
            </w:pPr>
            <w:r>
              <w:rPr>
                <w:sz w:val="18"/>
                <w:szCs w:val="18"/>
                <w:lang w:eastAsia="en-US"/>
              </w:rPr>
              <w:t>腐蚀性</w:t>
            </w:r>
          </w:p>
        </w:tc>
        <w:tc>
          <w:tcPr>
            <w:tcW w:w="582" w:type="pct"/>
            <w:tcMar>
              <w:left w:w="0" w:type="dxa"/>
              <w:right w:w="0" w:type="dxa"/>
            </w:tcMar>
            <w:vAlign w:val="center"/>
          </w:tcPr>
          <w:p w14:paraId="24B92C04">
            <w:pPr>
              <w:pStyle w:val="34"/>
              <w:rPr>
                <w:sz w:val="18"/>
                <w:szCs w:val="18"/>
                <w:lang w:eastAsia="en-US"/>
              </w:rPr>
            </w:pPr>
            <w:r>
              <w:rPr>
                <w:sz w:val="18"/>
                <w:szCs w:val="18"/>
                <w:lang w:eastAsia="en-US"/>
              </w:rPr>
              <w:t>溴化氰</w:t>
            </w:r>
          </w:p>
        </w:tc>
        <w:tc>
          <w:tcPr>
            <w:tcW w:w="267" w:type="pct"/>
            <w:tcMar>
              <w:left w:w="0" w:type="dxa"/>
              <w:right w:w="0" w:type="dxa"/>
            </w:tcMar>
            <w:vAlign w:val="center"/>
          </w:tcPr>
          <w:p w14:paraId="6EDA49AD">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474962D7">
            <w:pPr>
              <w:pStyle w:val="34"/>
              <w:rPr>
                <w:sz w:val="18"/>
                <w:szCs w:val="18"/>
                <w:lang w:eastAsia="en-US"/>
              </w:rPr>
            </w:pPr>
            <w:r>
              <w:rPr>
                <w:sz w:val="18"/>
                <w:szCs w:val="18"/>
                <w:lang w:eastAsia="en-US"/>
              </w:rPr>
              <w:t>10035-10-6</w:t>
            </w:r>
          </w:p>
        </w:tc>
        <w:tc>
          <w:tcPr>
            <w:tcW w:w="230" w:type="pct"/>
            <w:tcMar>
              <w:left w:w="0" w:type="dxa"/>
              <w:right w:w="0" w:type="dxa"/>
            </w:tcMar>
            <w:vAlign w:val="center"/>
          </w:tcPr>
          <w:p w14:paraId="6561A8A5">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6E8FBA46">
            <w:pPr>
              <w:pStyle w:val="34"/>
              <w:rPr>
                <w:sz w:val="18"/>
                <w:szCs w:val="18"/>
                <w:lang w:eastAsia="en-US"/>
              </w:rPr>
            </w:pPr>
            <w:r>
              <w:rPr>
                <w:rFonts w:hint="eastAsia"/>
                <w:sz w:val="18"/>
                <w:szCs w:val="18"/>
                <w:lang w:eastAsia="en-US"/>
              </w:rPr>
              <w:t>剧毒、运输量大</w:t>
            </w:r>
          </w:p>
        </w:tc>
        <w:tc>
          <w:tcPr>
            <w:tcW w:w="500" w:type="pct"/>
            <w:tcMar>
              <w:left w:w="0" w:type="dxa"/>
              <w:right w:w="0" w:type="dxa"/>
            </w:tcMar>
            <w:vAlign w:val="center"/>
          </w:tcPr>
          <w:p w14:paraId="1AEA04B2">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1EC2DE7B">
            <w:pPr>
              <w:pStyle w:val="34"/>
              <w:rPr>
                <w:sz w:val="18"/>
                <w:szCs w:val="18"/>
                <w:lang w:eastAsia="en-US"/>
              </w:rPr>
            </w:pPr>
            <w:r>
              <w:rPr>
                <w:rFonts w:hint="eastAsia"/>
                <w:sz w:val="18"/>
                <w:szCs w:val="18"/>
                <w:lang w:eastAsia="en-US"/>
              </w:rPr>
              <w:t>-</w:t>
            </w:r>
          </w:p>
        </w:tc>
      </w:tr>
      <w:tr w14:paraId="085C3E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03CC60D">
            <w:pPr>
              <w:pStyle w:val="34"/>
              <w:numPr>
                <w:ilvl w:val="0"/>
                <w:numId w:val="53"/>
              </w:numPr>
              <w:rPr>
                <w:sz w:val="18"/>
                <w:szCs w:val="18"/>
                <w:lang w:eastAsia="en-US"/>
              </w:rPr>
            </w:pPr>
          </w:p>
        </w:tc>
        <w:tc>
          <w:tcPr>
            <w:tcW w:w="145" w:type="pct"/>
            <w:vMerge w:val="continue"/>
            <w:tcMar>
              <w:left w:w="0" w:type="dxa"/>
              <w:right w:w="0" w:type="dxa"/>
            </w:tcMar>
            <w:vAlign w:val="center"/>
          </w:tcPr>
          <w:p w14:paraId="7686BC48">
            <w:pPr>
              <w:pStyle w:val="34"/>
              <w:rPr>
                <w:sz w:val="18"/>
                <w:szCs w:val="18"/>
                <w:lang w:eastAsia="en-US"/>
              </w:rPr>
            </w:pPr>
          </w:p>
        </w:tc>
        <w:tc>
          <w:tcPr>
            <w:tcW w:w="145" w:type="pct"/>
            <w:vMerge w:val="continue"/>
            <w:tcMar>
              <w:left w:w="0" w:type="dxa"/>
              <w:right w:w="0" w:type="dxa"/>
            </w:tcMar>
            <w:vAlign w:val="center"/>
          </w:tcPr>
          <w:p w14:paraId="29F21503">
            <w:pPr>
              <w:pStyle w:val="34"/>
              <w:rPr>
                <w:sz w:val="18"/>
                <w:szCs w:val="18"/>
                <w:lang w:eastAsia="en-US"/>
              </w:rPr>
            </w:pPr>
          </w:p>
        </w:tc>
        <w:tc>
          <w:tcPr>
            <w:tcW w:w="311" w:type="pct"/>
            <w:vMerge w:val="restart"/>
            <w:tcMar>
              <w:left w:w="0" w:type="dxa"/>
              <w:right w:w="0" w:type="dxa"/>
            </w:tcMar>
            <w:vAlign w:val="center"/>
          </w:tcPr>
          <w:p w14:paraId="471CDB7F">
            <w:pPr>
              <w:pStyle w:val="34"/>
              <w:rPr>
                <w:sz w:val="18"/>
                <w:szCs w:val="18"/>
                <w:lang w:eastAsia="en-US"/>
              </w:rPr>
            </w:pPr>
            <w:r>
              <w:rPr>
                <w:sz w:val="18"/>
                <w:szCs w:val="18"/>
                <w:lang w:eastAsia="en-US"/>
              </w:rPr>
              <w:t>有机</w:t>
            </w:r>
          </w:p>
        </w:tc>
        <w:tc>
          <w:tcPr>
            <w:tcW w:w="243" w:type="pct"/>
            <w:vMerge w:val="restart"/>
            <w:tcMar>
              <w:left w:w="0" w:type="dxa"/>
              <w:right w:w="0" w:type="dxa"/>
            </w:tcMar>
            <w:vAlign w:val="center"/>
          </w:tcPr>
          <w:p w14:paraId="391D74F3">
            <w:pPr>
              <w:pStyle w:val="34"/>
              <w:rPr>
                <w:sz w:val="18"/>
                <w:szCs w:val="18"/>
                <w:lang w:eastAsia="en-US"/>
              </w:rPr>
            </w:pPr>
            <w:r>
              <w:rPr>
                <w:sz w:val="18"/>
                <w:szCs w:val="18"/>
                <w:lang w:eastAsia="en-US"/>
              </w:rPr>
              <w:t>易燃易爆</w:t>
            </w:r>
          </w:p>
        </w:tc>
        <w:tc>
          <w:tcPr>
            <w:tcW w:w="213" w:type="pct"/>
            <w:tcMar>
              <w:left w:w="0" w:type="dxa"/>
              <w:right w:w="0" w:type="dxa"/>
            </w:tcMar>
            <w:vAlign w:val="center"/>
          </w:tcPr>
          <w:p w14:paraId="3A1C51A3">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6B74BF5E">
            <w:pPr>
              <w:pStyle w:val="34"/>
              <w:rPr>
                <w:sz w:val="18"/>
                <w:szCs w:val="18"/>
                <w:lang w:eastAsia="en-US"/>
              </w:rPr>
            </w:pPr>
            <w:r>
              <w:rPr>
                <w:sz w:val="18"/>
                <w:szCs w:val="18"/>
                <w:lang w:eastAsia="en-US"/>
              </w:rPr>
              <w:t>乙酸甲酯</w:t>
            </w:r>
          </w:p>
        </w:tc>
        <w:tc>
          <w:tcPr>
            <w:tcW w:w="267" w:type="pct"/>
            <w:tcMar>
              <w:left w:w="0" w:type="dxa"/>
              <w:right w:w="0" w:type="dxa"/>
            </w:tcMar>
            <w:vAlign w:val="center"/>
          </w:tcPr>
          <w:p w14:paraId="78DE5B3A">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055EB76F">
            <w:pPr>
              <w:pStyle w:val="34"/>
              <w:rPr>
                <w:sz w:val="18"/>
                <w:szCs w:val="18"/>
                <w:lang w:eastAsia="en-US"/>
              </w:rPr>
            </w:pPr>
            <w:r>
              <w:rPr>
                <w:sz w:val="18"/>
                <w:szCs w:val="18"/>
                <w:lang w:eastAsia="en-US"/>
              </w:rPr>
              <w:t>79-20-9</w:t>
            </w:r>
          </w:p>
        </w:tc>
        <w:tc>
          <w:tcPr>
            <w:tcW w:w="230" w:type="pct"/>
            <w:tcMar>
              <w:left w:w="0" w:type="dxa"/>
              <w:right w:w="0" w:type="dxa"/>
            </w:tcMar>
            <w:vAlign w:val="center"/>
          </w:tcPr>
          <w:p w14:paraId="1DAFDE70">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7EF5429B">
            <w:pPr>
              <w:pStyle w:val="34"/>
              <w:rPr>
                <w:sz w:val="18"/>
                <w:szCs w:val="18"/>
                <w:lang w:eastAsia="en-US"/>
              </w:rPr>
            </w:pPr>
            <w:r>
              <w:rPr>
                <w:rFonts w:hint="eastAsia"/>
                <w:sz w:val="18"/>
                <w:szCs w:val="18"/>
                <w:lang w:eastAsia="en-US"/>
              </w:rPr>
              <w:t>运输量大、易燃</w:t>
            </w:r>
          </w:p>
        </w:tc>
        <w:tc>
          <w:tcPr>
            <w:tcW w:w="500" w:type="pct"/>
            <w:tcMar>
              <w:left w:w="0" w:type="dxa"/>
              <w:right w:w="0" w:type="dxa"/>
            </w:tcMar>
            <w:vAlign w:val="center"/>
          </w:tcPr>
          <w:p w14:paraId="22091EEF">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52F47C95">
            <w:pPr>
              <w:pStyle w:val="34"/>
              <w:rPr>
                <w:sz w:val="18"/>
                <w:szCs w:val="18"/>
                <w:lang w:eastAsia="en-US"/>
              </w:rPr>
            </w:pPr>
            <w:r>
              <w:rPr>
                <w:rFonts w:hint="eastAsia"/>
                <w:sz w:val="18"/>
                <w:szCs w:val="18"/>
                <w:lang w:eastAsia="en-US"/>
              </w:rPr>
              <w:t>-</w:t>
            </w:r>
          </w:p>
        </w:tc>
      </w:tr>
      <w:tr w14:paraId="757BE3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5C6C9A7">
            <w:pPr>
              <w:pStyle w:val="34"/>
              <w:numPr>
                <w:ilvl w:val="0"/>
                <w:numId w:val="53"/>
              </w:numPr>
              <w:rPr>
                <w:sz w:val="18"/>
                <w:szCs w:val="18"/>
                <w:lang w:eastAsia="en-US"/>
              </w:rPr>
            </w:pPr>
          </w:p>
        </w:tc>
        <w:tc>
          <w:tcPr>
            <w:tcW w:w="145" w:type="pct"/>
            <w:vMerge w:val="continue"/>
            <w:tcMar>
              <w:left w:w="0" w:type="dxa"/>
              <w:right w:w="0" w:type="dxa"/>
            </w:tcMar>
            <w:vAlign w:val="center"/>
          </w:tcPr>
          <w:p w14:paraId="4632E894">
            <w:pPr>
              <w:pStyle w:val="34"/>
              <w:rPr>
                <w:sz w:val="18"/>
                <w:szCs w:val="18"/>
                <w:lang w:eastAsia="en-US"/>
              </w:rPr>
            </w:pPr>
          </w:p>
        </w:tc>
        <w:tc>
          <w:tcPr>
            <w:tcW w:w="145" w:type="pct"/>
            <w:vMerge w:val="continue"/>
            <w:tcMar>
              <w:left w:w="0" w:type="dxa"/>
              <w:right w:w="0" w:type="dxa"/>
            </w:tcMar>
            <w:vAlign w:val="center"/>
          </w:tcPr>
          <w:p w14:paraId="2A115899">
            <w:pPr>
              <w:pStyle w:val="34"/>
              <w:rPr>
                <w:sz w:val="18"/>
                <w:szCs w:val="18"/>
                <w:lang w:eastAsia="en-US"/>
              </w:rPr>
            </w:pPr>
          </w:p>
        </w:tc>
        <w:tc>
          <w:tcPr>
            <w:tcW w:w="311" w:type="pct"/>
            <w:vMerge w:val="continue"/>
            <w:tcMar>
              <w:left w:w="0" w:type="dxa"/>
              <w:right w:w="0" w:type="dxa"/>
            </w:tcMar>
            <w:vAlign w:val="center"/>
          </w:tcPr>
          <w:p w14:paraId="7680AF75">
            <w:pPr>
              <w:pStyle w:val="34"/>
              <w:rPr>
                <w:sz w:val="18"/>
                <w:szCs w:val="18"/>
                <w:lang w:eastAsia="en-US"/>
              </w:rPr>
            </w:pPr>
          </w:p>
        </w:tc>
        <w:tc>
          <w:tcPr>
            <w:tcW w:w="243" w:type="pct"/>
            <w:vMerge w:val="continue"/>
            <w:tcMar>
              <w:left w:w="0" w:type="dxa"/>
              <w:right w:w="0" w:type="dxa"/>
            </w:tcMar>
            <w:vAlign w:val="center"/>
          </w:tcPr>
          <w:p w14:paraId="41D81F74">
            <w:pPr>
              <w:pStyle w:val="34"/>
              <w:rPr>
                <w:sz w:val="18"/>
                <w:szCs w:val="18"/>
                <w:lang w:eastAsia="en-US"/>
              </w:rPr>
            </w:pPr>
          </w:p>
        </w:tc>
        <w:tc>
          <w:tcPr>
            <w:tcW w:w="213" w:type="pct"/>
            <w:tcMar>
              <w:left w:w="0" w:type="dxa"/>
              <w:right w:w="0" w:type="dxa"/>
            </w:tcMar>
            <w:vAlign w:val="center"/>
          </w:tcPr>
          <w:p w14:paraId="1B3B7A09">
            <w:pPr>
              <w:pStyle w:val="34"/>
              <w:rPr>
                <w:sz w:val="18"/>
                <w:szCs w:val="18"/>
                <w:lang w:eastAsia="en-US"/>
              </w:rPr>
            </w:pPr>
            <w:r>
              <w:rPr>
                <w:sz w:val="18"/>
                <w:szCs w:val="18"/>
                <w:lang w:eastAsia="en-US"/>
              </w:rPr>
              <w:t>毒性</w:t>
            </w:r>
          </w:p>
        </w:tc>
        <w:tc>
          <w:tcPr>
            <w:tcW w:w="582" w:type="pct"/>
            <w:tcMar>
              <w:left w:w="0" w:type="dxa"/>
              <w:right w:w="0" w:type="dxa"/>
            </w:tcMar>
            <w:vAlign w:val="center"/>
          </w:tcPr>
          <w:p w14:paraId="53C57D64">
            <w:pPr>
              <w:pStyle w:val="34"/>
              <w:rPr>
                <w:sz w:val="18"/>
                <w:szCs w:val="18"/>
                <w:lang w:eastAsia="en-US"/>
              </w:rPr>
            </w:pPr>
            <w:r>
              <w:rPr>
                <w:rFonts w:hint="eastAsia"/>
                <w:sz w:val="18"/>
                <w:szCs w:val="18"/>
                <w:lang w:eastAsia="en-US"/>
              </w:rPr>
              <w:t>丙烯腈</w:t>
            </w:r>
          </w:p>
        </w:tc>
        <w:tc>
          <w:tcPr>
            <w:tcW w:w="267" w:type="pct"/>
            <w:tcMar>
              <w:left w:w="0" w:type="dxa"/>
              <w:right w:w="0" w:type="dxa"/>
            </w:tcMar>
            <w:vAlign w:val="center"/>
          </w:tcPr>
          <w:p w14:paraId="5A68422A">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6CBF211E">
            <w:pPr>
              <w:pStyle w:val="34"/>
              <w:rPr>
                <w:sz w:val="18"/>
                <w:szCs w:val="18"/>
                <w:lang w:eastAsia="en-US"/>
              </w:rPr>
            </w:pPr>
            <w:r>
              <w:rPr>
                <w:sz w:val="18"/>
                <w:szCs w:val="18"/>
                <w:lang w:eastAsia="en-US"/>
              </w:rPr>
              <w:t>107-13-1</w:t>
            </w:r>
          </w:p>
        </w:tc>
        <w:tc>
          <w:tcPr>
            <w:tcW w:w="230" w:type="pct"/>
            <w:tcMar>
              <w:left w:w="0" w:type="dxa"/>
              <w:right w:w="0" w:type="dxa"/>
            </w:tcMar>
            <w:vAlign w:val="center"/>
          </w:tcPr>
          <w:p w14:paraId="7B667042">
            <w:pPr>
              <w:pStyle w:val="34"/>
              <w:rPr>
                <w:sz w:val="18"/>
                <w:szCs w:val="18"/>
                <w:lang w:eastAsia="en-US"/>
              </w:rPr>
            </w:pPr>
            <w:r>
              <w:rPr>
                <w:sz w:val="18"/>
                <w:szCs w:val="18"/>
                <w:lang w:eastAsia="en-US"/>
              </w:rPr>
              <w:t>10</w:t>
            </w:r>
          </w:p>
        </w:tc>
        <w:tc>
          <w:tcPr>
            <w:tcW w:w="490" w:type="pct"/>
            <w:tcMar>
              <w:left w:w="0" w:type="dxa"/>
              <w:right w:w="0" w:type="dxa"/>
            </w:tcMar>
            <w:vAlign w:val="center"/>
          </w:tcPr>
          <w:p w14:paraId="23ED97A1">
            <w:pPr>
              <w:pStyle w:val="34"/>
              <w:rPr>
                <w:sz w:val="18"/>
                <w:szCs w:val="18"/>
                <w:lang w:eastAsia="en-US"/>
              </w:rPr>
            </w:pPr>
            <w:r>
              <w:rPr>
                <w:rFonts w:hint="eastAsia"/>
                <w:sz w:val="18"/>
                <w:szCs w:val="18"/>
                <w:lang w:eastAsia="en-US"/>
              </w:rPr>
              <w:t>毒性、易燃</w:t>
            </w:r>
          </w:p>
        </w:tc>
        <w:tc>
          <w:tcPr>
            <w:tcW w:w="500" w:type="pct"/>
            <w:tcMar>
              <w:left w:w="0" w:type="dxa"/>
              <w:right w:w="0" w:type="dxa"/>
            </w:tcMar>
            <w:vAlign w:val="center"/>
          </w:tcPr>
          <w:p w14:paraId="6CDEB482">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6BFC1D5">
            <w:pPr>
              <w:pStyle w:val="34"/>
              <w:rPr>
                <w:sz w:val="18"/>
                <w:szCs w:val="18"/>
              </w:rPr>
            </w:pPr>
            <w:r>
              <w:rPr>
                <w:rFonts w:hint="eastAsia"/>
                <w:sz w:val="18"/>
                <w:szCs w:val="18"/>
              </w:rPr>
              <w:t>《首批国家重点监管的危险化学品名录》</w:t>
            </w:r>
          </w:p>
        </w:tc>
      </w:tr>
      <w:tr w14:paraId="65AE2F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CDBCD6E">
            <w:pPr>
              <w:pStyle w:val="34"/>
              <w:numPr>
                <w:ilvl w:val="0"/>
                <w:numId w:val="53"/>
              </w:numPr>
              <w:rPr>
                <w:sz w:val="18"/>
                <w:szCs w:val="18"/>
              </w:rPr>
            </w:pPr>
          </w:p>
        </w:tc>
        <w:tc>
          <w:tcPr>
            <w:tcW w:w="145" w:type="pct"/>
            <w:vMerge w:val="continue"/>
            <w:tcMar>
              <w:left w:w="0" w:type="dxa"/>
              <w:right w:w="0" w:type="dxa"/>
            </w:tcMar>
            <w:vAlign w:val="center"/>
          </w:tcPr>
          <w:p w14:paraId="0764C8CF">
            <w:pPr>
              <w:pStyle w:val="34"/>
              <w:rPr>
                <w:sz w:val="18"/>
                <w:szCs w:val="18"/>
              </w:rPr>
            </w:pPr>
          </w:p>
        </w:tc>
        <w:tc>
          <w:tcPr>
            <w:tcW w:w="145" w:type="pct"/>
            <w:vMerge w:val="continue"/>
            <w:tcMar>
              <w:left w:w="0" w:type="dxa"/>
              <w:right w:w="0" w:type="dxa"/>
            </w:tcMar>
            <w:vAlign w:val="center"/>
          </w:tcPr>
          <w:p w14:paraId="40786A7E">
            <w:pPr>
              <w:pStyle w:val="34"/>
              <w:rPr>
                <w:sz w:val="18"/>
                <w:szCs w:val="18"/>
              </w:rPr>
            </w:pPr>
          </w:p>
        </w:tc>
        <w:tc>
          <w:tcPr>
            <w:tcW w:w="311" w:type="pct"/>
            <w:vMerge w:val="continue"/>
            <w:tcMar>
              <w:left w:w="0" w:type="dxa"/>
              <w:right w:w="0" w:type="dxa"/>
            </w:tcMar>
            <w:vAlign w:val="center"/>
          </w:tcPr>
          <w:p w14:paraId="669A2D93">
            <w:pPr>
              <w:pStyle w:val="34"/>
              <w:rPr>
                <w:sz w:val="18"/>
                <w:szCs w:val="18"/>
              </w:rPr>
            </w:pPr>
          </w:p>
        </w:tc>
        <w:tc>
          <w:tcPr>
            <w:tcW w:w="243" w:type="pct"/>
            <w:vMerge w:val="continue"/>
            <w:tcMar>
              <w:left w:w="0" w:type="dxa"/>
              <w:right w:w="0" w:type="dxa"/>
            </w:tcMar>
            <w:vAlign w:val="center"/>
          </w:tcPr>
          <w:p w14:paraId="43D35D62">
            <w:pPr>
              <w:pStyle w:val="34"/>
              <w:rPr>
                <w:sz w:val="18"/>
                <w:szCs w:val="18"/>
              </w:rPr>
            </w:pPr>
          </w:p>
        </w:tc>
        <w:tc>
          <w:tcPr>
            <w:tcW w:w="213" w:type="pct"/>
            <w:tcMar>
              <w:left w:w="0" w:type="dxa"/>
              <w:right w:w="0" w:type="dxa"/>
            </w:tcMar>
            <w:vAlign w:val="center"/>
          </w:tcPr>
          <w:p w14:paraId="1EB2518B">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9EF0C46">
            <w:pPr>
              <w:pStyle w:val="34"/>
              <w:rPr>
                <w:sz w:val="18"/>
                <w:szCs w:val="18"/>
                <w:lang w:eastAsia="en-US"/>
              </w:rPr>
            </w:pPr>
            <w:r>
              <w:rPr>
                <w:rFonts w:hint="eastAsia"/>
                <w:sz w:val="18"/>
                <w:szCs w:val="18"/>
                <w:lang w:eastAsia="en-US"/>
              </w:rPr>
              <w:t>丁醇</w:t>
            </w:r>
          </w:p>
        </w:tc>
        <w:tc>
          <w:tcPr>
            <w:tcW w:w="267" w:type="pct"/>
            <w:tcMar>
              <w:left w:w="0" w:type="dxa"/>
              <w:right w:w="0" w:type="dxa"/>
            </w:tcMar>
            <w:vAlign w:val="center"/>
          </w:tcPr>
          <w:p w14:paraId="22B6BDE9">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57A05D5F">
            <w:pPr>
              <w:pStyle w:val="34"/>
              <w:rPr>
                <w:sz w:val="18"/>
                <w:szCs w:val="18"/>
                <w:lang w:eastAsia="en-US"/>
              </w:rPr>
            </w:pPr>
            <w:r>
              <w:rPr>
                <w:sz w:val="18"/>
                <w:szCs w:val="18"/>
                <w:lang w:eastAsia="en-US"/>
              </w:rPr>
              <w:t>71-36-3</w:t>
            </w:r>
          </w:p>
        </w:tc>
        <w:tc>
          <w:tcPr>
            <w:tcW w:w="230" w:type="pct"/>
            <w:tcMar>
              <w:left w:w="0" w:type="dxa"/>
              <w:right w:w="0" w:type="dxa"/>
            </w:tcMar>
            <w:vAlign w:val="center"/>
          </w:tcPr>
          <w:p w14:paraId="3E2AFB86">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120020BE">
            <w:pPr>
              <w:pStyle w:val="34"/>
              <w:rPr>
                <w:sz w:val="18"/>
                <w:szCs w:val="18"/>
                <w:lang w:eastAsia="en-US"/>
              </w:rPr>
            </w:pPr>
            <w:r>
              <w:rPr>
                <w:rFonts w:hint="eastAsia"/>
                <w:sz w:val="18"/>
                <w:szCs w:val="18"/>
                <w:lang w:eastAsia="en-US"/>
              </w:rPr>
              <w:t>易燃、运输量大</w:t>
            </w:r>
          </w:p>
        </w:tc>
        <w:tc>
          <w:tcPr>
            <w:tcW w:w="500" w:type="pct"/>
            <w:tcMar>
              <w:left w:w="0" w:type="dxa"/>
              <w:right w:w="0" w:type="dxa"/>
            </w:tcMar>
            <w:vAlign w:val="center"/>
          </w:tcPr>
          <w:p w14:paraId="29F4E36E">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2C5B499">
            <w:pPr>
              <w:pStyle w:val="34"/>
              <w:rPr>
                <w:sz w:val="18"/>
                <w:szCs w:val="18"/>
                <w:lang w:eastAsia="en-US"/>
              </w:rPr>
            </w:pPr>
            <w:r>
              <w:rPr>
                <w:rFonts w:hint="eastAsia"/>
                <w:sz w:val="18"/>
                <w:szCs w:val="18"/>
                <w:lang w:eastAsia="en-US"/>
              </w:rPr>
              <w:t>-</w:t>
            </w:r>
          </w:p>
        </w:tc>
      </w:tr>
      <w:tr w14:paraId="319CF9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6711825">
            <w:pPr>
              <w:pStyle w:val="34"/>
              <w:numPr>
                <w:ilvl w:val="0"/>
                <w:numId w:val="53"/>
              </w:numPr>
              <w:rPr>
                <w:sz w:val="18"/>
                <w:szCs w:val="18"/>
                <w:lang w:eastAsia="en-US"/>
              </w:rPr>
            </w:pPr>
          </w:p>
        </w:tc>
        <w:tc>
          <w:tcPr>
            <w:tcW w:w="145" w:type="pct"/>
            <w:vMerge w:val="continue"/>
            <w:tcMar>
              <w:left w:w="0" w:type="dxa"/>
              <w:right w:w="0" w:type="dxa"/>
            </w:tcMar>
            <w:vAlign w:val="center"/>
          </w:tcPr>
          <w:p w14:paraId="1BB8321D">
            <w:pPr>
              <w:pStyle w:val="34"/>
              <w:rPr>
                <w:sz w:val="18"/>
                <w:szCs w:val="18"/>
                <w:lang w:eastAsia="en-US"/>
              </w:rPr>
            </w:pPr>
          </w:p>
        </w:tc>
        <w:tc>
          <w:tcPr>
            <w:tcW w:w="145" w:type="pct"/>
            <w:vMerge w:val="continue"/>
            <w:tcMar>
              <w:left w:w="0" w:type="dxa"/>
              <w:right w:w="0" w:type="dxa"/>
            </w:tcMar>
            <w:vAlign w:val="center"/>
          </w:tcPr>
          <w:p w14:paraId="046740E1">
            <w:pPr>
              <w:pStyle w:val="34"/>
              <w:rPr>
                <w:sz w:val="18"/>
                <w:szCs w:val="18"/>
                <w:lang w:eastAsia="en-US"/>
              </w:rPr>
            </w:pPr>
          </w:p>
        </w:tc>
        <w:tc>
          <w:tcPr>
            <w:tcW w:w="311" w:type="pct"/>
            <w:vMerge w:val="continue"/>
            <w:tcMar>
              <w:left w:w="0" w:type="dxa"/>
              <w:right w:w="0" w:type="dxa"/>
            </w:tcMar>
            <w:vAlign w:val="center"/>
          </w:tcPr>
          <w:p w14:paraId="0830B003">
            <w:pPr>
              <w:pStyle w:val="34"/>
              <w:rPr>
                <w:sz w:val="18"/>
                <w:szCs w:val="18"/>
                <w:lang w:eastAsia="en-US"/>
              </w:rPr>
            </w:pPr>
          </w:p>
        </w:tc>
        <w:tc>
          <w:tcPr>
            <w:tcW w:w="243" w:type="pct"/>
            <w:vMerge w:val="continue"/>
            <w:tcMar>
              <w:left w:w="0" w:type="dxa"/>
              <w:right w:w="0" w:type="dxa"/>
            </w:tcMar>
            <w:vAlign w:val="center"/>
          </w:tcPr>
          <w:p w14:paraId="4EDD2660">
            <w:pPr>
              <w:pStyle w:val="34"/>
              <w:rPr>
                <w:sz w:val="18"/>
                <w:szCs w:val="18"/>
                <w:lang w:eastAsia="en-US"/>
              </w:rPr>
            </w:pPr>
          </w:p>
        </w:tc>
        <w:tc>
          <w:tcPr>
            <w:tcW w:w="213" w:type="pct"/>
            <w:tcMar>
              <w:left w:w="0" w:type="dxa"/>
              <w:right w:w="0" w:type="dxa"/>
            </w:tcMar>
            <w:vAlign w:val="center"/>
          </w:tcPr>
          <w:p w14:paraId="15160F10">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A4C98A8">
            <w:pPr>
              <w:pStyle w:val="34"/>
              <w:rPr>
                <w:sz w:val="18"/>
                <w:szCs w:val="18"/>
                <w:lang w:eastAsia="en-US"/>
              </w:rPr>
            </w:pPr>
            <w:r>
              <w:rPr>
                <w:rFonts w:hint="eastAsia"/>
                <w:sz w:val="18"/>
                <w:szCs w:val="18"/>
                <w:lang w:eastAsia="en-US"/>
              </w:rPr>
              <w:t>乙酸乙酯</w:t>
            </w:r>
          </w:p>
        </w:tc>
        <w:tc>
          <w:tcPr>
            <w:tcW w:w="267" w:type="pct"/>
            <w:tcMar>
              <w:left w:w="0" w:type="dxa"/>
              <w:right w:w="0" w:type="dxa"/>
            </w:tcMar>
            <w:vAlign w:val="center"/>
          </w:tcPr>
          <w:p w14:paraId="37890F37">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201994F0">
            <w:pPr>
              <w:pStyle w:val="34"/>
              <w:rPr>
                <w:sz w:val="18"/>
                <w:szCs w:val="18"/>
                <w:lang w:eastAsia="en-US"/>
              </w:rPr>
            </w:pPr>
            <w:r>
              <w:rPr>
                <w:rFonts w:hint="eastAsia"/>
                <w:sz w:val="18"/>
                <w:szCs w:val="18"/>
                <w:lang w:eastAsia="en-US"/>
              </w:rPr>
              <w:t>141-78-6</w:t>
            </w:r>
          </w:p>
        </w:tc>
        <w:tc>
          <w:tcPr>
            <w:tcW w:w="230" w:type="pct"/>
            <w:tcMar>
              <w:left w:w="0" w:type="dxa"/>
              <w:right w:w="0" w:type="dxa"/>
            </w:tcMar>
            <w:vAlign w:val="center"/>
          </w:tcPr>
          <w:p w14:paraId="10737A81">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392F6CFF">
            <w:pPr>
              <w:pStyle w:val="34"/>
              <w:rPr>
                <w:sz w:val="18"/>
                <w:szCs w:val="18"/>
                <w:lang w:eastAsia="en-US"/>
              </w:rPr>
            </w:pPr>
            <w:r>
              <w:rPr>
                <w:rFonts w:hint="eastAsia"/>
                <w:sz w:val="18"/>
                <w:szCs w:val="18"/>
                <w:lang w:eastAsia="en-US"/>
              </w:rPr>
              <w:t>易燃、运输量大</w:t>
            </w:r>
          </w:p>
        </w:tc>
        <w:tc>
          <w:tcPr>
            <w:tcW w:w="500" w:type="pct"/>
            <w:tcMar>
              <w:left w:w="0" w:type="dxa"/>
              <w:right w:w="0" w:type="dxa"/>
            </w:tcMar>
            <w:vAlign w:val="center"/>
          </w:tcPr>
          <w:p w14:paraId="6B754D13">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0E1AB4F6">
            <w:pPr>
              <w:pStyle w:val="34"/>
              <w:rPr>
                <w:sz w:val="18"/>
                <w:szCs w:val="18"/>
                <w:lang w:eastAsia="en-US"/>
              </w:rPr>
            </w:pPr>
            <w:r>
              <w:rPr>
                <w:rFonts w:hint="eastAsia"/>
                <w:sz w:val="18"/>
                <w:szCs w:val="18"/>
                <w:lang w:eastAsia="en-US"/>
              </w:rPr>
              <w:t>-</w:t>
            </w:r>
          </w:p>
        </w:tc>
      </w:tr>
      <w:tr w14:paraId="651389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E2D4B58">
            <w:pPr>
              <w:pStyle w:val="34"/>
              <w:numPr>
                <w:ilvl w:val="0"/>
                <w:numId w:val="53"/>
              </w:numPr>
              <w:rPr>
                <w:sz w:val="18"/>
                <w:szCs w:val="18"/>
                <w:lang w:eastAsia="en-US"/>
              </w:rPr>
            </w:pPr>
          </w:p>
        </w:tc>
        <w:tc>
          <w:tcPr>
            <w:tcW w:w="145" w:type="pct"/>
            <w:vMerge w:val="continue"/>
            <w:tcMar>
              <w:left w:w="0" w:type="dxa"/>
              <w:right w:w="0" w:type="dxa"/>
            </w:tcMar>
            <w:vAlign w:val="center"/>
          </w:tcPr>
          <w:p w14:paraId="5AB06308">
            <w:pPr>
              <w:pStyle w:val="34"/>
              <w:rPr>
                <w:sz w:val="18"/>
                <w:szCs w:val="18"/>
                <w:lang w:eastAsia="en-US"/>
              </w:rPr>
            </w:pPr>
          </w:p>
        </w:tc>
        <w:tc>
          <w:tcPr>
            <w:tcW w:w="145" w:type="pct"/>
            <w:vMerge w:val="continue"/>
            <w:tcMar>
              <w:left w:w="0" w:type="dxa"/>
              <w:right w:w="0" w:type="dxa"/>
            </w:tcMar>
            <w:vAlign w:val="center"/>
          </w:tcPr>
          <w:p w14:paraId="3BD411AF">
            <w:pPr>
              <w:pStyle w:val="34"/>
              <w:rPr>
                <w:sz w:val="18"/>
                <w:szCs w:val="18"/>
                <w:lang w:eastAsia="en-US"/>
              </w:rPr>
            </w:pPr>
          </w:p>
        </w:tc>
        <w:tc>
          <w:tcPr>
            <w:tcW w:w="311" w:type="pct"/>
            <w:vMerge w:val="continue"/>
            <w:tcMar>
              <w:left w:w="0" w:type="dxa"/>
              <w:right w:w="0" w:type="dxa"/>
            </w:tcMar>
            <w:vAlign w:val="center"/>
          </w:tcPr>
          <w:p w14:paraId="51B73001">
            <w:pPr>
              <w:pStyle w:val="34"/>
              <w:rPr>
                <w:sz w:val="18"/>
                <w:szCs w:val="18"/>
                <w:lang w:eastAsia="en-US"/>
              </w:rPr>
            </w:pPr>
          </w:p>
        </w:tc>
        <w:tc>
          <w:tcPr>
            <w:tcW w:w="243" w:type="pct"/>
            <w:vMerge w:val="continue"/>
            <w:tcMar>
              <w:left w:w="0" w:type="dxa"/>
              <w:right w:w="0" w:type="dxa"/>
            </w:tcMar>
            <w:vAlign w:val="center"/>
          </w:tcPr>
          <w:p w14:paraId="7BB97080">
            <w:pPr>
              <w:pStyle w:val="34"/>
              <w:rPr>
                <w:sz w:val="18"/>
                <w:szCs w:val="18"/>
                <w:lang w:eastAsia="en-US"/>
              </w:rPr>
            </w:pPr>
          </w:p>
        </w:tc>
        <w:tc>
          <w:tcPr>
            <w:tcW w:w="213" w:type="pct"/>
            <w:tcMar>
              <w:left w:w="0" w:type="dxa"/>
              <w:right w:w="0" w:type="dxa"/>
            </w:tcMar>
            <w:vAlign w:val="center"/>
          </w:tcPr>
          <w:p w14:paraId="141DCC0C">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629B16A">
            <w:pPr>
              <w:pStyle w:val="34"/>
              <w:rPr>
                <w:sz w:val="18"/>
                <w:szCs w:val="18"/>
                <w:lang w:eastAsia="en-US"/>
              </w:rPr>
            </w:pPr>
            <w:r>
              <w:rPr>
                <w:rFonts w:hint="eastAsia"/>
                <w:sz w:val="18"/>
                <w:szCs w:val="18"/>
                <w:lang w:eastAsia="en-US"/>
              </w:rPr>
              <w:t>甲基丙烯酸甲酯</w:t>
            </w:r>
          </w:p>
        </w:tc>
        <w:tc>
          <w:tcPr>
            <w:tcW w:w="267" w:type="pct"/>
            <w:tcMar>
              <w:left w:w="0" w:type="dxa"/>
              <w:right w:w="0" w:type="dxa"/>
            </w:tcMar>
            <w:vAlign w:val="center"/>
          </w:tcPr>
          <w:p w14:paraId="18880D2C">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366E0669">
            <w:pPr>
              <w:pStyle w:val="34"/>
              <w:rPr>
                <w:sz w:val="18"/>
                <w:szCs w:val="18"/>
                <w:lang w:eastAsia="en-US"/>
              </w:rPr>
            </w:pPr>
            <w:r>
              <w:rPr>
                <w:sz w:val="18"/>
                <w:szCs w:val="18"/>
                <w:lang w:eastAsia="en-US"/>
              </w:rPr>
              <w:t>80-62-6</w:t>
            </w:r>
          </w:p>
        </w:tc>
        <w:tc>
          <w:tcPr>
            <w:tcW w:w="230" w:type="pct"/>
            <w:tcMar>
              <w:left w:w="0" w:type="dxa"/>
              <w:right w:w="0" w:type="dxa"/>
            </w:tcMar>
            <w:vAlign w:val="center"/>
          </w:tcPr>
          <w:p w14:paraId="35F8B12D">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20B1ECAF">
            <w:pPr>
              <w:pStyle w:val="34"/>
              <w:rPr>
                <w:sz w:val="18"/>
                <w:szCs w:val="18"/>
              </w:rPr>
            </w:pPr>
            <w:r>
              <w:rPr>
                <w:rFonts w:hint="eastAsia"/>
                <w:sz w:val="18"/>
                <w:szCs w:val="18"/>
              </w:rPr>
              <w:t>易燃、致癌、运输量大</w:t>
            </w:r>
          </w:p>
        </w:tc>
        <w:tc>
          <w:tcPr>
            <w:tcW w:w="500" w:type="pct"/>
            <w:tcMar>
              <w:left w:w="0" w:type="dxa"/>
              <w:right w:w="0" w:type="dxa"/>
            </w:tcMar>
            <w:vAlign w:val="center"/>
          </w:tcPr>
          <w:p w14:paraId="64D1A72D">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5A074CA0">
            <w:pPr>
              <w:pStyle w:val="34"/>
              <w:rPr>
                <w:sz w:val="18"/>
                <w:szCs w:val="18"/>
                <w:lang w:eastAsia="en-US"/>
              </w:rPr>
            </w:pPr>
            <w:r>
              <w:rPr>
                <w:rFonts w:hint="eastAsia"/>
                <w:sz w:val="18"/>
                <w:szCs w:val="18"/>
                <w:lang w:eastAsia="en-US"/>
              </w:rPr>
              <w:t>-</w:t>
            </w:r>
          </w:p>
        </w:tc>
      </w:tr>
      <w:tr w14:paraId="623BCB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99ADBC9">
            <w:pPr>
              <w:pStyle w:val="34"/>
              <w:numPr>
                <w:ilvl w:val="0"/>
                <w:numId w:val="53"/>
              </w:numPr>
              <w:rPr>
                <w:sz w:val="18"/>
                <w:szCs w:val="18"/>
                <w:lang w:eastAsia="en-US"/>
              </w:rPr>
            </w:pPr>
          </w:p>
        </w:tc>
        <w:tc>
          <w:tcPr>
            <w:tcW w:w="145" w:type="pct"/>
            <w:vMerge w:val="continue"/>
            <w:tcMar>
              <w:left w:w="0" w:type="dxa"/>
              <w:right w:w="0" w:type="dxa"/>
            </w:tcMar>
            <w:vAlign w:val="center"/>
          </w:tcPr>
          <w:p w14:paraId="04EE8517">
            <w:pPr>
              <w:pStyle w:val="34"/>
              <w:rPr>
                <w:sz w:val="18"/>
                <w:szCs w:val="18"/>
                <w:lang w:eastAsia="en-US"/>
              </w:rPr>
            </w:pPr>
          </w:p>
        </w:tc>
        <w:tc>
          <w:tcPr>
            <w:tcW w:w="145" w:type="pct"/>
            <w:vMerge w:val="continue"/>
            <w:tcMar>
              <w:left w:w="0" w:type="dxa"/>
              <w:right w:w="0" w:type="dxa"/>
            </w:tcMar>
            <w:vAlign w:val="center"/>
          </w:tcPr>
          <w:p w14:paraId="4D747961">
            <w:pPr>
              <w:pStyle w:val="34"/>
              <w:rPr>
                <w:sz w:val="18"/>
                <w:szCs w:val="18"/>
                <w:lang w:eastAsia="en-US"/>
              </w:rPr>
            </w:pPr>
          </w:p>
        </w:tc>
        <w:tc>
          <w:tcPr>
            <w:tcW w:w="311" w:type="pct"/>
            <w:vMerge w:val="continue"/>
            <w:tcMar>
              <w:left w:w="0" w:type="dxa"/>
              <w:right w:w="0" w:type="dxa"/>
            </w:tcMar>
            <w:vAlign w:val="center"/>
          </w:tcPr>
          <w:p w14:paraId="086156A8">
            <w:pPr>
              <w:pStyle w:val="34"/>
              <w:rPr>
                <w:sz w:val="18"/>
                <w:szCs w:val="18"/>
                <w:lang w:eastAsia="en-US"/>
              </w:rPr>
            </w:pPr>
          </w:p>
        </w:tc>
        <w:tc>
          <w:tcPr>
            <w:tcW w:w="243" w:type="pct"/>
            <w:vMerge w:val="restart"/>
            <w:tcMar>
              <w:left w:w="0" w:type="dxa"/>
              <w:right w:w="0" w:type="dxa"/>
            </w:tcMar>
            <w:vAlign w:val="center"/>
          </w:tcPr>
          <w:p w14:paraId="19462B66">
            <w:pPr>
              <w:pStyle w:val="34"/>
              <w:rPr>
                <w:sz w:val="18"/>
                <w:szCs w:val="18"/>
                <w:lang w:eastAsia="en-US"/>
              </w:rPr>
            </w:pPr>
            <w:r>
              <w:rPr>
                <w:sz w:val="18"/>
                <w:szCs w:val="18"/>
                <w:lang w:eastAsia="en-US"/>
              </w:rPr>
              <w:t>毒性</w:t>
            </w:r>
          </w:p>
        </w:tc>
        <w:tc>
          <w:tcPr>
            <w:tcW w:w="213" w:type="pct"/>
            <w:tcMar>
              <w:left w:w="0" w:type="dxa"/>
              <w:right w:w="0" w:type="dxa"/>
            </w:tcMar>
            <w:vAlign w:val="center"/>
          </w:tcPr>
          <w:p w14:paraId="33FB9CA8">
            <w:pPr>
              <w:pStyle w:val="34"/>
              <w:rPr>
                <w:sz w:val="18"/>
                <w:szCs w:val="18"/>
                <w:lang w:eastAsia="en-US"/>
              </w:rPr>
            </w:pPr>
            <w:r>
              <w:rPr>
                <w:sz w:val="18"/>
                <w:szCs w:val="18"/>
                <w:lang w:eastAsia="en-US"/>
              </w:rPr>
              <w:t>腐蚀性</w:t>
            </w:r>
          </w:p>
        </w:tc>
        <w:tc>
          <w:tcPr>
            <w:tcW w:w="582" w:type="pct"/>
            <w:tcMar>
              <w:left w:w="0" w:type="dxa"/>
              <w:right w:w="0" w:type="dxa"/>
            </w:tcMar>
            <w:vAlign w:val="center"/>
          </w:tcPr>
          <w:p w14:paraId="56B5A023">
            <w:pPr>
              <w:pStyle w:val="34"/>
              <w:rPr>
                <w:sz w:val="18"/>
                <w:szCs w:val="18"/>
                <w:lang w:eastAsia="en-US"/>
              </w:rPr>
            </w:pPr>
            <w:r>
              <w:rPr>
                <w:sz w:val="18"/>
                <w:szCs w:val="18"/>
                <w:lang w:eastAsia="en-US"/>
              </w:rPr>
              <w:t>硫酸二甲酯</w:t>
            </w:r>
          </w:p>
        </w:tc>
        <w:tc>
          <w:tcPr>
            <w:tcW w:w="267" w:type="pct"/>
            <w:tcMar>
              <w:left w:w="0" w:type="dxa"/>
              <w:right w:w="0" w:type="dxa"/>
            </w:tcMar>
            <w:vAlign w:val="center"/>
          </w:tcPr>
          <w:p w14:paraId="10CD4705">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2E2A384D">
            <w:pPr>
              <w:pStyle w:val="34"/>
              <w:rPr>
                <w:sz w:val="18"/>
                <w:szCs w:val="18"/>
                <w:lang w:eastAsia="en-US"/>
              </w:rPr>
            </w:pPr>
            <w:r>
              <w:rPr>
                <w:sz w:val="18"/>
                <w:szCs w:val="18"/>
                <w:lang w:eastAsia="en-US"/>
              </w:rPr>
              <w:t>77-78-1</w:t>
            </w:r>
          </w:p>
        </w:tc>
        <w:tc>
          <w:tcPr>
            <w:tcW w:w="230" w:type="pct"/>
            <w:tcMar>
              <w:left w:w="0" w:type="dxa"/>
              <w:right w:w="0" w:type="dxa"/>
            </w:tcMar>
            <w:vAlign w:val="center"/>
          </w:tcPr>
          <w:p w14:paraId="24BE9F44">
            <w:pPr>
              <w:pStyle w:val="34"/>
              <w:rPr>
                <w:sz w:val="18"/>
                <w:szCs w:val="18"/>
                <w:lang w:eastAsia="en-US"/>
              </w:rPr>
            </w:pPr>
            <w:r>
              <w:rPr>
                <w:rFonts w:hint="eastAsia"/>
                <w:sz w:val="18"/>
                <w:szCs w:val="18"/>
                <w:lang w:eastAsia="en-US"/>
              </w:rPr>
              <w:t>0.25</w:t>
            </w:r>
          </w:p>
        </w:tc>
        <w:tc>
          <w:tcPr>
            <w:tcW w:w="490" w:type="pct"/>
            <w:tcMar>
              <w:left w:w="0" w:type="dxa"/>
              <w:right w:w="0" w:type="dxa"/>
            </w:tcMar>
            <w:vAlign w:val="center"/>
          </w:tcPr>
          <w:p w14:paraId="3FF0BD82">
            <w:pPr>
              <w:pStyle w:val="34"/>
              <w:rPr>
                <w:sz w:val="18"/>
                <w:szCs w:val="18"/>
                <w:lang w:eastAsia="en-US"/>
              </w:rPr>
            </w:pPr>
            <w:r>
              <w:rPr>
                <w:rFonts w:hint="eastAsia"/>
                <w:sz w:val="18"/>
                <w:szCs w:val="18"/>
                <w:lang w:eastAsia="en-US"/>
              </w:rPr>
              <w:t>剧毒、运输量大</w:t>
            </w:r>
          </w:p>
        </w:tc>
        <w:tc>
          <w:tcPr>
            <w:tcW w:w="500" w:type="pct"/>
            <w:tcMar>
              <w:left w:w="0" w:type="dxa"/>
              <w:right w:w="0" w:type="dxa"/>
            </w:tcMar>
            <w:vAlign w:val="center"/>
          </w:tcPr>
          <w:p w14:paraId="11A2FAD9">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47E0969">
            <w:pPr>
              <w:pStyle w:val="34"/>
              <w:rPr>
                <w:sz w:val="18"/>
                <w:szCs w:val="18"/>
                <w:lang w:eastAsia="en-US"/>
              </w:rPr>
            </w:pPr>
            <w:r>
              <w:rPr>
                <w:rFonts w:hint="eastAsia"/>
                <w:sz w:val="18"/>
                <w:szCs w:val="18"/>
                <w:lang w:eastAsia="en-US"/>
              </w:rPr>
              <w:t>-</w:t>
            </w:r>
          </w:p>
        </w:tc>
      </w:tr>
      <w:tr w14:paraId="1A5A41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B0B0137">
            <w:pPr>
              <w:pStyle w:val="34"/>
              <w:numPr>
                <w:ilvl w:val="0"/>
                <w:numId w:val="53"/>
              </w:numPr>
              <w:rPr>
                <w:sz w:val="18"/>
                <w:szCs w:val="18"/>
                <w:lang w:eastAsia="en-US"/>
              </w:rPr>
            </w:pPr>
          </w:p>
        </w:tc>
        <w:tc>
          <w:tcPr>
            <w:tcW w:w="145" w:type="pct"/>
            <w:vMerge w:val="continue"/>
            <w:tcMar>
              <w:left w:w="0" w:type="dxa"/>
              <w:right w:w="0" w:type="dxa"/>
            </w:tcMar>
            <w:vAlign w:val="center"/>
          </w:tcPr>
          <w:p w14:paraId="603A64B5">
            <w:pPr>
              <w:pStyle w:val="34"/>
              <w:rPr>
                <w:sz w:val="18"/>
                <w:szCs w:val="18"/>
                <w:lang w:eastAsia="en-US"/>
              </w:rPr>
            </w:pPr>
          </w:p>
        </w:tc>
        <w:tc>
          <w:tcPr>
            <w:tcW w:w="145" w:type="pct"/>
            <w:vMerge w:val="continue"/>
            <w:tcMar>
              <w:left w:w="0" w:type="dxa"/>
              <w:right w:w="0" w:type="dxa"/>
            </w:tcMar>
            <w:vAlign w:val="center"/>
          </w:tcPr>
          <w:p w14:paraId="3B3669C4">
            <w:pPr>
              <w:pStyle w:val="34"/>
              <w:rPr>
                <w:sz w:val="18"/>
                <w:szCs w:val="18"/>
                <w:lang w:eastAsia="en-US"/>
              </w:rPr>
            </w:pPr>
          </w:p>
        </w:tc>
        <w:tc>
          <w:tcPr>
            <w:tcW w:w="311" w:type="pct"/>
            <w:vMerge w:val="continue"/>
            <w:tcMar>
              <w:left w:w="0" w:type="dxa"/>
              <w:right w:w="0" w:type="dxa"/>
            </w:tcMar>
            <w:vAlign w:val="center"/>
          </w:tcPr>
          <w:p w14:paraId="31846144">
            <w:pPr>
              <w:pStyle w:val="34"/>
              <w:rPr>
                <w:sz w:val="18"/>
                <w:szCs w:val="18"/>
                <w:lang w:eastAsia="en-US"/>
              </w:rPr>
            </w:pPr>
          </w:p>
        </w:tc>
        <w:tc>
          <w:tcPr>
            <w:tcW w:w="243" w:type="pct"/>
            <w:vMerge w:val="continue"/>
            <w:tcMar>
              <w:left w:w="0" w:type="dxa"/>
              <w:right w:w="0" w:type="dxa"/>
            </w:tcMar>
            <w:vAlign w:val="center"/>
          </w:tcPr>
          <w:p w14:paraId="3E94381B">
            <w:pPr>
              <w:pStyle w:val="34"/>
              <w:rPr>
                <w:sz w:val="18"/>
                <w:szCs w:val="18"/>
                <w:lang w:eastAsia="en-US"/>
              </w:rPr>
            </w:pPr>
          </w:p>
        </w:tc>
        <w:tc>
          <w:tcPr>
            <w:tcW w:w="213" w:type="pct"/>
            <w:tcMar>
              <w:left w:w="0" w:type="dxa"/>
              <w:right w:w="0" w:type="dxa"/>
            </w:tcMar>
            <w:vAlign w:val="center"/>
          </w:tcPr>
          <w:p w14:paraId="57394BCF">
            <w:pPr>
              <w:pStyle w:val="34"/>
              <w:rPr>
                <w:sz w:val="18"/>
                <w:szCs w:val="18"/>
                <w:lang w:eastAsia="en-US"/>
              </w:rPr>
            </w:pPr>
            <w:r>
              <w:rPr>
                <w:sz w:val="18"/>
                <w:szCs w:val="18"/>
                <w:lang w:eastAsia="en-US"/>
              </w:rPr>
              <w:t>易燃易爆</w:t>
            </w:r>
          </w:p>
        </w:tc>
        <w:tc>
          <w:tcPr>
            <w:tcW w:w="582" w:type="pct"/>
            <w:tcMar>
              <w:left w:w="0" w:type="dxa"/>
              <w:right w:w="0" w:type="dxa"/>
            </w:tcMar>
            <w:vAlign w:val="center"/>
          </w:tcPr>
          <w:p w14:paraId="4C1E2289">
            <w:pPr>
              <w:pStyle w:val="34"/>
              <w:rPr>
                <w:sz w:val="18"/>
                <w:szCs w:val="18"/>
                <w:lang w:eastAsia="en-US"/>
              </w:rPr>
            </w:pPr>
            <w:r>
              <w:rPr>
                <w:sz w:val="18"/>
                <w:szCs w:val="18"/>
                <w:lang w:eastAsia="en-US"/>
              </w:rPr>
              <w:t>五羰基铁</w:t>
            </w:r>
          </w:p>
        </w:tc>
        <w:tc>
          <w:tcPr>
            <w:tcW w:w="267" w:type="pct"/>
            <w:tcMar>
              <w:left w:w="0" w:type="dxa"/>
              <w:right w:w="0" w:type="dxa"/>
            </w:tcMar>
            <w:vAlign w:val="center"/>
          </w:tcPr>
          <w:p w14:paraId="3B1FAF8C">
            <w:pPr>
              <w:pStyle w:val="34"/>
              <w:rPr>
                <w:sz w:val="18"/>
                <w:szCs w:val="18"/>
              </w:rPr>
            </w:pPr>
            <w:r>
              <w:rPr>
                <w:rFonts w:hint="eastAsia"/>
                <w:sz w:val="18"/>
                <w:szCs w:val="18"/>
                <w:lang w:eastAsia="en-US"/>
              </w:rPr>
              <w:t>第</w:t>
            </w:r>
            <w:r>
              <w:rPr>
                <w:rFonts w:hint="eastAsia"/>
                <w:sz w:val="18"/>
                <w:szCs w:val="18"/>
              </w:rPr>
              <w:t>6.1项</w:t>
            </w:r>
          </w:p>
        </w:tc>
        <w:tc>
          <w:tcPr>
            <w:tcW w:w="355" w:type="pct"/>
            <w:tcMar>
              <w:left w:w="0" w:type="dxa"/>
              <w:right w:w="0" w:type="dxa"/>
            </w:tcMar>
            <w:vAlign w:val="center"/>
          </w:tcPr>
          <w:p w14:paraId="499E562A">
            <w:pPr>
              <w:pStyle w:val="34"/>
              <w:rPr>
                <w:sz w:val="18"/>
                <w:szCs w:val="18"/>
              </w:rPr>
            </w:pPr>
            <w:r>
              <w:rPr>
                <w:rFonts w:hint="eastAsia"/>
                <w:sz w:val="18"/>
                <w:szCs w:val="18"/>
              </w:rPr>
              <w:t>13463-40-6</w:t>
            </w:r>
          </w:p>
        </w:tc>
        <w:tc>
          <w:tcPr>
            <w:tcW w:w="230" w:type="pct"/>
            <w:tcMar>
              <w:left w:w="0" w:type="dxa"/>
              <w:right w:w="0" w:type="dxa"/>
            </w:tcMar>
            <w:vAlign w:val="center"/>
          </w:tcPr>
          <w:p w14:paraId="5A5C6DF6">
            <w:pPr>
              <w:pStyle w:val="34"/>
              <w:rPr>
                <w:sz w:val="18"/>
                <w:szCs w:val="18"/>
              </w:rPr>
            </w:pPr>
            <w:r>
              <w:rPr>
                <w:rFonts w:hint="eastAsia"/>
                <w:sz w:val="18"/>
                <w:szCs w:val="18"/>
              </w:rPr>
              <w:t>1</w:t>
            </w:r>
          </w:p>
        </w:tc>
        <w:tc>
          <w:tcPr>
            <w:tcW w:w="490" w:type="pct"/>
            <w:tcMar>
              <w:left w:w="0" w:type="dxa"/>
              <w:right w:w="0" w:type="dxa"/>
            </w:tcMar>
            <w:vAlign w:val="center"/>
          </w:tcPr>
          <w:p w14:paraId="26F35501">
            <w:pPr>
              <w:pStyle w:val="34"/>
              <w:rPr>
                <w:sz w:val="18"/>
                <w:szCs w:val="18"/>
                <w:lang w:eastAsia="en-US"/>
              </w:rPr>
            </w:pPr>
            <w:r>
              <w:rPr>
                <w:rFonts w:hint="eastAsia"/>
                <w:sz w:val="18"/>
                <w:szCs w:val="18"/>
                <w:lang w:eastAsia="en-US"/>
              </w:rPr>
              <w:t>剧毒、易燃易爆</w:t>
            </w:r>
          </w:p>
        </w:tc>
        <w:tc>
          <w:tcPr>
            <w:tcW w:w="500" w:type="pct"/>
            <w:tcMar>
              <w:left w:w="0" w:type="dxa"/>
              <w:right w:w="0" w:type="dxa"/>
            </w:tcMar>
            <w:vAlign w:val="center"/>
          </w:tcPr>
          <w:p w14:paraId="6010CAA6">
            <w:pPr>
              <w:pStyle w:val="34"/>
              <w:rPr>
                <w:sz w:val="18"/>
                <w:szCs w:val="18"/>
              </w:rPr>
            </w:pPr>
            <w:r>
              <w:rPr>
                <w:rFonts w:hint="eastAsia"/>
                <w:sz w:val="18"/>
                <w:szCs w:val="18"/>
              </w:rPr>
              <w:t>列入</w:t>
            </w:r>
          </w:p>
        </w:tc>
        <w:tc>
          <w:tcPr>
            <w:tcW w:w="1373" w:type="pct"/>
            <w:tcMar>
              <w:left w:w="0" w:type="dxa"/>
              <w:right w:w="0" w:type="dxa"/>
            </w:tcMar>
            <w:vAlign w:val="center"/>
          </w:tcPr>
          <w:p w14:paraId="7F3B207C">
            <w:pPr>
              <w:pStyle w:val="34"/>
              <w:rPr>
                <w:sz w:val="18"/>
                <w:szCs w:val="18"/>
              </w:rPr>
            </w:pPr>
            <w:r>
              <w:rPr>
                <w:rFonts w:hint="eastAsia"/>
                <w:sz w:val="18"/>
                <w:szCs w:val="18"/>
              </w:rPr>
              <w:t>-</w:t>
            </w:r>
          </w:p>
        </w:tc>
      </w:tr>
      <w:tr w14:paraId="673371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1393F496">
            <w:pPr>
              <w:pStyle w:val="34"/>
              <w:numPr>
                <w:ilvl w:val="0"/>
                <w:numId w:val="53"/>
              </w:numPr>
              <w:rPr>
                <w:sz w:val="18"/>
                <w:szCs w:val="18"/>
                <w:lang w:eastAsia="en-US"/>
              </w:rPr>
            </w:pPr>
          </w:p>
        </w:tc>
        <w:tc>
          <w:tcPr>
            <w:tcW w:w="145" w:type="pct"/>
            <w:vMerge w:val="continue"/>
            <w:tcMar>
              <w:left w:w="0" w:type="dxa"/>
              <w:right w:w="0" w:type="dxa"/>
            </w:tcMar>
            <w:vAlign w:val="center"/>
          </w:tcPr>
          <w:p w14:paraId="2E1ADC16">
            <w:pPr>
              <w:pStyle w:val="34"/>
              <w:rPr>
                <w:sz w:val="18"/>
                <w:szCs w:val="18"/>
                <w:lang w:eastAsia="en-US"/>
              </w:rPr>
            </w:pPr>
          </w:p>
        </w:tc>
        <w:tc>
          <w:tcPr>
            <w:tcW w:w="145" w:type="pct"/>
            <w:vMerge w:val="continue"/>
            <w:tcMar>
              <w:left w:w="0" w:type="dxa"/>
              <w:right w:w="0" w:type="dxa"/>
            </w:tcMar>
            <w:vAlign w:val="center"/>
          </w:tcPr>
          <w:p w14:paraId="5779F74E">
            <w:pPr>
              <w:pStyle w:val="34"/>
              <w:rPr>
                <w:sz w:val="18"/>
                <w:szCs w:val="18"/>
                <w:lang w:eastAsia="en-US"/>
              </w:rPr>
            </w:pPr>
          </w:p>
        </w:tc>
        <w:tc>
          <w:tcPr>
            <w:tcW w:w="311" w:type="pct"/>
            <w:vMerge w:val="continue"/>
            <w:tcMar>
              <w:left w:w="0" w:type="dxa"/>
              <w:right w:w="0" w:type="dxa"/>
            </w:tcMar>
            <w:vAlign w:val="center"/>
          </w:tcPr>
          <w:p w14:paraId="7D1157D4">
            <w:pPr>
              <w:pStyle w:val="34"/>
              <w:rPr>
                <w:sz w:val="18"/>
                <w:szCs w:val="18"/>
                <w:lang w:eastAsia="en-US"/>
              </w:rPr>
            </w:pPr>
          </w:p>
        </w:tc>
        <w:tc>
          <w:tcPr>
            <w:tcW w:w="243" w:type="pct"/>
            <w:vMerge w:val="continue"/>
            <w:tcMar>
              <w:left w:w="0" w:type="dxa"/>
              <w:right w:w="0" w:type="dxa"/>
            </w:tcMar>
            <w:vAlign w:val="center"/>
          </w:tcPr>
          <w:p w14:paraId="1D6360D2">
            <w:pPr>
              <w:pStyle w:val="34"/>
              <w:rPr>
                <w:sz w:val="18"/>
                <w:szCs w:val="18"/>
                <w:lang w:eastAsia="en-US"/>
              </w:rPr>
            </w:pPr>
          </w:p>
        </w:tc>
        <w:tc>
          <w:tcPr>
            <w:tcW w:w="213" w:type="pct"/>
            <w:tcMar>
              <w:left w:w="0" w:type="dxa"/>
              <w:right w:w="0" w:type="dxa"/>
            </w:tcMar>
            <w:vAlign w:val="center"/>
          </w:tcPr>
          <w:p w14:paraId="0886150F">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1AE29FD7">
            <w:pPr>
              <w:pStyle w:val="34"/>
              <w:rPr>
                <w:sz w:val="18"/>
                <w:szCs w:val="18"/>
                <w:lang w:eastAsia="en-US"/>
              </w:rPr>
            </w:pPr>
            <w:r>
              <w:rPr>
                <w:sz w:val="18"/>
                <w:szCs w:val="18"/>
                <w:lang w:eastAsia="en-US"/>
              </w:rPr>
              <w:t>三氯乙烯</w:t>
            </w:r>
          </w:p>
        </w:tc>
        <w:tc>
          <w:tcPr>
            <w:tcW w:w="267" w:type="pct"/>
            <w:tcMar>
              <w:left w:w="0" w:type="dxa"/>
              <w:right w:w="0" w:type="dxa"/>
            </w:tcMar>
            <w:vAlign w:val="center"/>
          </w:tcPr>
          <w:p w14:paraId="031AC836">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357F6F93">
            <w:pPr>
              <w:pStyle w:val="34"/>
              <w:rPr>
                <w:sz w:val="18"/>
                <w:szCs w:val="18"/>
                <w:lang w:eastAsia="en-US"/>
              </w:rPr>
            </w:pPr>
            <w:r>
              <w:rPr>
                <w:sz w:val="18"/>
                <w:szCs w:val="18"/>
                <w:lang w:eastAsia="en-US"/>
              </w:rPr>
              <w:t>79-01-6</w:t>
            </w:r>
          </w:p>
        </w:tc>
        <w:tc>
          <w:tcPr>
            <w:tcW w:w="230" w:type="pct"/>
            <w:tcMar>
              <w:left w:w="0" w:type="dxa"/>
              <w:right w:w="0" w:type="dxa"/>
            </w:tcMar>
            <w:vAlign w:val="center"/>
          </w:tcPr>
          <w:p w14:paraId="74E81778">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06D948DD">
            <w:pPr>
              <w:pStyle w:val="34"/>
              <w:rPr>
                <w:sz w:val="18"/>
                <w:szCs w:val="18"/>
                <w:lang w:eastAsia="en-US"/>
              </w:rPr>
            </w:pPr>
            <w:r>
              <w:rPr>
                <w:rFonts w:hint="eastAsia"/>
                <w:sz w:val="18"/>
                <w:szCs w:val="18"/>
                <w:lang w:eastAsia="en-US"/>
              </w:rPr>
              <w:t>运输量大、毒性</w:t>
            </w:r>
          </w:p>
        </w:tc>
        <w:tc>
          <w:tcPr>
            <w:tcW w:w="500" w:type="pct"/>
            <w:tcMar>
              <w:left w:w="0" w:type="dxa"/>
              <w:right w:w="0" w:type="dxa"/>
            </w:tcMar>
            <w:vAlign w:val="center"/>
          </w:tcPr>
          <w:p w14:paraId="58CCF9E9">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4A9C3F41">
            <w:pPr>
              <w:pStyle w:val="34"/>
              <w:rPr>
                <w:sz w:val="18"/>
                <w:szCs w:val="18"/>
              </w:rPr>
            </w:pPr>
            <w:r>
              <w:rPr>
                <w:rFonts w:hint="eastAsia"/>
                <w:sz w:val="18"/>
                <w:szCs w:val="18"/>
              </w:rPr>
              <w:t>《首批国家重点监管的危险化学品名录》</w:t>
            </w:r>
          </w:p>
        </w:tc>
      </w:tr>
      <w:tr w14:paraId="52491B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BA014D1">
            <w:pPr>
              <w:pStyle w:val="34"/>
              <w:numPr>
                <w:ilvl w:val="0"/>
                <w:numId w:val="53"/>
              </w:numPr>
              <w:rPr>
                <w:sz w:val="18"/>
                <w:szCs w:val="18"/>
              </w:rPr>
            </w:pPr>
          </w:p>
        </w:tc>
        <w:tc>
          <w:tcPr>
            <w:tcW w:w="145" w:type="pct"/>
            <w:vMerge w:val="continue"/>
            <w:tcMar>
              <w:left w:w="0" w:type="dxa"/>
              <w:right w:w="0" w:type="dxa"/>
            </w:tcMar>
            <w:vAlign w:val="center"/>
          </w:tcPr>
          <w:p w14:paraId="074B5AA4">
            <w:pPr>
              <w:pStyle w:val="34"/>
              <w:rPr>
                <w:sz w:val="18"/>
                <w:szCs w:val="18"/>
              </w:rPr>
            </w:pPr>
          </w:p>
        </w:tc>
        <w:tc>
          <w:tcPr>
            <w:tcW w:w="145" w:type="pct"/>
            <w:vMerge w:val="continue"/>
            <w:tcMar>
              <w:left w:w="0" w:type="dxa"/>
              <w:right w:w="0" w:type="dxa"/>
            </w:tcMar>
            <w:vAlign w:val="center"/>
          </w:tcPr>
          <w:p w14:paraId="70E0E858">
            <w:pPr>
              <w:pStyle w:val="34"/>
              <w:rPr>
                <w:sz w:val="18"/>
                <w:szCs w:val="18"/>
              </w:rPr>
            </w:pPr>
          </w:p>
        </w:tc>
        <w:tc>
          <w:tcPr>
            <w:tcW w:w="311" w:type="pct"/>
            <w:vMerge w:val="continue"/>
            <w:tcMar>
              <w:left w:w="0" w:type="dxa"/>
              <w:right w:w="0" w:type="dxa"/>
            </w:tcMar>
            <w:vAlign w:val="center"/>
          </w:tcPr>
          <w:p w14:paraId="7F3E5C98">
            <w:pPr>
              <w:pStyle w:val="34"/>
              <w:rPr>
                <w:sz w:val="18"/>
                <w:szCs w:val="18"/>
              </w:rPr>
            </w:pPr>
          </w:p>
        </w:tc>
        <w:tc>
          <w:tcPr>
            <w:tcW w:w="243" w:type="pct"/>
            <w:tcMar>
              <w:left w:w="0" w:type="dxa"/>
              <w:right w:w="0" w:type="dxa"/>
            </w:tcMar>
            <w:vAlign w:val="center"/>
          </w:tcPr>
          <w:p w14:paraId="16733153">
            <w:pPr>
              <w:pStyle w:val="34"/>
              <w:rPr>
                <w:sz w:val="18"/>
                <w:szCs w:val="18"/>
                <w:lang w:eastAsia="en-US"/>
              </w:rPr>
            </w:pPr>
            <w:r>
              <w:rPr>
                <w:sz w:val="18"/>
                <w:szCs w:val="18"/>
                <w:lang w:eastAsia="en-US"/>
              </w:rPr>
              <w:t>杂项危险物质</w:t>
            </w:r>
          </w:p>
        </w:tc>
        <w:tc>
          <w:tcPr>
            <w:tcW w:w="213" w:type="pct"/>
            <w:tcMar>
              <w:left w:w="0" w:type="dxa"/>
              <w:right w:w="0" w:type="dxa"/>
            </w:tcMar>
            <w:vAlign w:val="center"/>
          </w:tcPr>
          <w:p w14:paraId="5C380B9A">
            <w:pPr>
              <w:pStyle w:val="34"/>
              <w:rPr>
                <w:sz w:val="18"/>
                <w:szCs w:val="18"/>
              </w:rPr>
            </w:pPr>
            <w:r>
              <w:rPr>
                <w:rFonts w:hint="eastAsia"/>
                <w:sz w:val="18"/>
                <w:szCs w:val="18"/>
              </w:rPr>
              <w:t>-</w:t>
            </w:r>
          </w:p>
        </w:tc>
        <w:tc>
          <w:tcPr>
            <w:tcW w:w="582" w:type="pct"/>
            <w:tcMar>
              <w:left w:w="0" w:type="dxa"/>
              <w:right w:w="0" w:type="dxa"/>
            </w:tcMar>
            <w:vAlign w:val="center"/>
          </w:tcPr>
          <w:p w14:paraId="6D21F39A">
            <w:pPr>
              <w:pStyle w:val="34"/>
              <w:rPr>
                <w:sz w:val="18"/>
                <w:szCs w:val="18"/>
                <w:lang w:eastAsia="en-US"/>
              </w:rPr>
            </w:pPr>
            <w:r>
              <w:rPr>
                <w:sz w:val="18"/>
                <w:szCs w:val="18"/>
                <w:lang w:eastAsia="en-US"/>
              </w:rPr>
              <w:t>苯甲醛</w:t>
            </w:r>
          </w:p>
        </w:tc>
        <w:tc>
          <w:tcPr>
            <w:tcW w:w="267" w:type="pct"/>
            <w:tcMar>
              <w:left w:w="0" w:type="dxa"/>
              <w:right w:w="0" w:type="dxa"/>
            </w:tcMar>
            <w:vAlign w:val="center"/>
          </w:tcPr>
          <w:p w14:paraId="4A8B40EC">
            <w:pPr>
              <w:pStyle w:val="34"/>
              <w:rPr>
                <w:sz w:val="18"/>
                <w:szCs w:val="18"/>
              </w:rPr>
            </w:pPr>
            <w:r>
              <w:rPr>
                <w:rFonts w:hint="eastAsia"/>
                <w:sz w:val="18"/>
                <w:szCs w:val="18"/>
                <w:lang w:eastAsia="en-US"/>
              </w:rPr>
              <w:t>第</w:t>
            </w:r>
            <w:r>
              <w:rPr>
                <w:rFonts w:hint="eastAsia"/>
                <w:sz w:val="18"/>
                <w:szCs w:val="18"/>
              </w:rPr>
              <w:t>9项</w:t>
            </w:r>
          </w:p>
        </w:tc>
        <w:tc>
          <w:tcPr>
            <w:tcW w:w="355" w:type="pct"/>
            <w:tcMar>
              <w:left w:w="0" w:type="dxa"/>
              <w:right w:w="0" w:type="dxa"/>
            </w:tcMar>
            <w:vAlign w:val="center"/>
          </w:tcPr>
          <w:p w14:paraId="5B467FD0">
            <w:pPr>
              <w:pStyle w:val="34"/>
              <w:rPr>
                <w:sz w:val="18"/>
                <w:szCs w:val="18"/>
              </w:rPr>
            </w:pPr>
            <w:r>
              <w:rPr>
                <w:rFonts w:hint="eastAsia"/>
                <w:sz w:val="18"/>
                <w:szCs w:val="18"/>
              </w:rPr>
              <w:t>100-52-7</w:t>
            </w:r>
          </w:p>
        </w:tc>
        <w:tc>
          <w:tcPr>
            <w:tcW w:w="230" w:type="pct"/>
            <w:tcMar>
              <w:left w:w="0" w:type="dxa"/>
              <w:right w:w="0" w:type="dxa"/>
            </w:tcMar>
            <w:vAlign w:val="center"/>
          </w:tcPr>
          <w:p w14:paraId="3AA245D9">
            <w:pPr>
              <w:pStyle w:val="34"/>
              <w:rPr>
                <w:sz w:val="18"/>
                <w:szCs w:val="18"/>
              </w:rPr>
            </w:pPr>
            <w:r>
              <w:rPr>
                <w:rFonts w:hint="eastAsia"/>
                <w:sz w:val="18"/>
                <w:szCs w:val="18"/>
              </w:rPr>
              <w:t>10</w:t>
            </w:r>
          </w:p>
        </w:tc>
        <w:tc>
          <w:tcPr>
            <w:tcW w:w="490" w:type="pct"/>
            <w:tcMar>
              <w:left w:w="0" w:type="dxa"/>
              <w:right w:w="0" w:type="dxa"/>
            </w:tcMar>
            <w:vAlign w:val="center"/>
          </w:tcPr>
          <w:p w14:paraId="7E5E7643">
            <w:pPr>
              <w:pStyle w:val="34"/>
              <w:rPr>
                <w:sz w:val="18"/>
                <w:szCs w:val="18"/>
              </w:rPr>
            </w:pPr>
            <w:r>
              <w:rPr>
                <w:rFonts w:hint="eastAsia"/>
                <w:sz w:val="18"/>
                <w:szCs w:val="18"/>
                <w:lang w:eastAsia="en-US"/>
              </w:rPr>
              <w:t>毒性</w:t>
            </w:r>
          </w:p>
        </w:tc>
        <w:tc>
          <w:tcPr>
            <w:tcW w:w="500" w:type="pct"/>
            <w:tcMar>
              <w:left w:w="0" w:type="dxa"/>
              <w:right w:w="0" w:type="dxa"/>
            </w:tcMar>
            <w:vAlign w:val="center"/>
          </w:tcPr>
          <w:p w14:paraId="08EBDFC7">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5BF49D73">
            <w:pPr>
              <w:pStyle w:val="34"/>
              <w:rPr>
                <w:sz w:val="18"/>
                <w:szCs w:val="18"/>
              </w:rPr>
            </w:pPr>
            <w:r>
              <w:rPr>
                <w:rFonts w:hint="eastAsia"/>
                <w:sz w:val="18"/>
                <w:szCs w:val="18"/>
              </w:rPr>
              <w:t>-</w:t>
            </w:r>
          </w:p>
        </w:tc>
      </w:tr>
      <w:tr w14:paraId="49F513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9B28A5F">
            <w:pPr>
              <w:pStyle w:val="34"/>
              <w:numPr>
                <w:ilvl w:val="0"/>
                <w:numId w:val="53"/>
              </w:numPr>
              <w:rPr>
                <w:sz w:val="18"/>
                <w:szCs w:val="18"/>
              </w:rPr>
            </w:pPr>
          </w:p>
        </w:tc>
        <w:tc>
          <w:tcPr>
            <w:tcW w:w="145" w:type="pct"/>
            <w:vMerge w:val="continue"/>
            <w:tcMar>
              <w:left w:w="0" w:type="dxa"/>
              <w:right w:w="0" w:type="dxa"/>
            </w:tcMar>
            <w:vAlign w:val="center"/>
          </w:tcPr>
          <w:p w14:paraId="3173476A">
            <w:pPr>
              <w:pStyle w:val="34"/>
              <w:rPr>
                <w:sz w:val="18"/>
                <w:szCs w:val="18"/>
              </w:rPr>
            </w:pPr>
          </w:p>
        </w:tc>
        <w:tc>
          <w:tcPr>
            <w:tcW w:w="145" w:type="pct"/>
            <w:vMerge w:val="restart"/>
            <w:tcMar>
              <w:left w:w="0" w:type="dxa"/>
              <w:right w:w="0" w:type="dxa"/>
            </w:tcMar>
            <w:vAlign w:val="center"/>
          </w:tcPr>
          <w:p w14:paraId="2E876C60">
            <w:pPr>
              <w:pStyle w:val="34"/>
              <w:rPr>
                <w:sz w:val="18"/>
                <w:szCs w:val="18"/>
                <w:lang w:eastAsia="en-US"/>
              </w:rPr>
            </w:pPr>
            <w:r>
              <w:rPr>
                <w:sz w:val="18"/>
                <w:szCs w:val="18"/>
                <w:lang w:eastAsia="en-US"/>
              </w:rPr>
              <w:t>不溶</w:t>
            </w:r>
            <w:r>
              <w:rPr>
                <w:rFonts w:hint="eastAsia"/>
                <w:sz w:val="18"/>
                <w:szCs w:val="18"/>
                <w:lang w:eastAsia="en-US"/>
              </w:rPr>
              <w:t>/难溶</w:t>
            </w:r>
          </w:p>
        </w:tc>
        <w:tc>
          <w:tcPr>
            <w:tcW w:w="311" w:type="pct"/>
            <w:vMerge w:val="restart"/>
            <w:tcMar>
              <w:left w:w="0" w:type="dxa"/>
              <w:right w:w="0" w:type="dxa"/>
            </w:tcMar>
            <w:vAlign w:val="center"/>
          </w:tcPr>
          <w:p w14:paraId="1C556190">
            <w:pPr>
              <w:pStyle w:val="34"/>
              <w:rPr>
                <w:sz w:val="18"/>
                <w:szCs w:val="18"/>
                <w:lang w:eastAsia="en-US"/>
              </w:rPr>
            </w:pPr>
            <w:r>
              <w:rPr>
                <w:sz w:val="18"/>
                <w:szCs w:val="18"/>
                <w:lang w:eastAsia="en-US"/>
              </w:rPr>
              <w:t>无机</w:t>
            </w:r>
          </w:p>
        </w:tc>
        <w:tc>
          <w:tcPr>
            <w:tcW w:w="243" w:type="pct"/>
            <w:tcMar>
              <w:left w:w="0" w:type="dxa"/>
              <w:right w:w="0" w:type="dxa"/>
            </w:tcMar>
            <w:vAlign w:val="center"/>
          </w:tcPr>
          <w:p w14:paraId="128C9E1E">
            <w:pPr>
              <w:pStyle w:val="34"/>
              <w:rPr>
                <w:sz w:val="18"/>
                <w:szCs w:val="18"/>
                <w:lang w:eastAsia="en-US"/>
              </w:rPr>
            </w:pPr>
            <w:r>
              <w:rPr>
                <w:sz w:val="18"/>
                <w:szCs w:val="18"/>
                <w:lang w:eastAsia="en-US"/>
              </w:rPr>
              <w:t>易燃易爆</w:t>
            </w:r>
          </w:p>
        </w:tc>
        <w:tc>
          <w:tcPr>
            <w:tcW w:w="213" w:type="pct"/>
            <w:tcMar>
              <w:left w:w="0" w:type="dxa"/>
              <w:right w:w="0" w:type="dxa"/>
            </w:tcMar>
            <w:vAlign w:val="center"/>
          </w:tcPr>
          <w:p w14:paraId="379A9F58">
            <w:pPr>
              <w:pStyle w:val="34"/>
              <w:rPr>
                <w:sz w:val="18"/>
                <w:szCs w:val="18"/>
                <w:lang w:eastAsia="en-US"/>
              </w:rPr>
            </w:pPr>
            <w:r>
              <w:rPr>
                <w:sz w:val="18"/>
                <w:szCs w:val="18"/>
                <w:lang w:eastAsia="en-US"/>
              </w:rPr>
              <w:t>毒性</w:t>
            </w:r>
          </w:p>
        </w:tc>
        <w:tc>
          <w:tcPr>
            <w:tcW w:w="582" w:type="pct"/>
            <w:tcMar>
              <w:left w:w="0" w:type="dxa"/>
              <w:right w:w="0" w:type="dxa"/>
            </w:tcMar>
            <w:vAlign w:val="center"/>
          </w:tcPr>
          <w:p w14:paraId="41DFC085">
            <w:pPr>
              <w:pStyle w:val="34"/>
              <w:rPr>
                <w:sz w:val="18"/>
                <w:szCs w:val="18"/>
                <w:lang w:eastAsia="en-US"/>
              </w:rPr>
            </w:pPr>
            <w:r>
              <w:rPr>
                <w:rFonts w:hint="eastAsia"/>
                <w:sz w:val="18"/>
                <w:szCs w:val="18"/>
                <w:lang w:eastAsia="en-US"/>
              </w:rPr>
              <w:t>二硫化碳</w:t>
            </w:r>
          </w:p>
        </w:tc>
        <w:tc>
          <w:tcPr>
            <w:tcW w:w="267" w:type="pct"/>
            <w:tcMar>
              <w:left w:w="0" w:type="dxa"/>
              <w:right w:w="0" w:type="dxa"/>
            </w:tcMar>
            <w:vAlign w:val="center"/>
          </w:tcPr>
          <w:p w14:paraId="3FE98815">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7D165854">
            <w:pPr>
              <w:pStyle w:val="34"/>
              <w:rPr>
                <w:sz w:val="18"/>
                <w:szCs w:val="18"/>
                <w:lang w:eastAsia="en-US"/>
              </w:rPr>
            </w:pPr>
            <w:r>
              <w:rPr>
                <w:sz w:val="18"/>
                <w:szCs w:val="18"/>
                <w:lang w:eastAsia="en-US"/>
              </w:rPr>
              <w:t>75-15-0</w:t>
            </w:r>
          </w:p>
        </w:tc>
        <w:tc>
          <w:tcPr>
            <w:tcW w:w="230" w:type="pct"/>
            <w:tcMar>
              <w:left w:w="0" w:type="dxa"/>
              <w:right w:w="0" w:type="dxa"/>
            </w:tcMar>
            <w:vAlign w:val="center"/>
          </w:tcPr>
          <w:p w14:paraId="5D479263">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1DC7D42E">
            <w:pPr>
              <w:pStyle w:val="34"/>
              <w:rPr>
                <w:sz w:val="18"/>
                <w:szCs w:val="18"/>
              </w:rPr>
            </w:pPr>
            <w:r>
              <w:rPr>
                <w:rFonts w:hint="eastAsia"/>
                <w:sz w:val="18"/>
                <w:szCs w:val="18"/>
              </w:rPr>
              <w:t>易燃、毒性、运输量大</w:t>
            </w:r>
          </w:p>
        </w:tc>
        <w:tc>
          <w:tcPr>
            <w:tcW w:w="500" w:type="pct"/>
            <w:tcMar>
              <w:left w:w="0" w:type="dxa"/>
              <w:right w:w="0" w:type="dxa"/>
            </w:tcMar>
            <w:vAlign w:val="center"/>
          </w:tcPr>
          <w:p w14:paraId="1623B7FD">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73561F20">
            <w:pPr>
              <w:pStyle w:val="34"/>
              <w:rPr>
                <w:sz w:val="18"/>
                <w:szCs w:val="18"/>
                <w:lang w:eastAsia="en-US"/>
              </w:rPr>
            </w:pPr>
            <w:r>
              <w:rPr>
                <w:rFonts w:hint="eastAsia"/>
                <w:sz w:val="18"/>
                <w:szCs w:val="18"/>
                <w:lang w:eastAsia="en-US"/>
              </w:rPr>
              <w:t>-</w:t>
            </w:r>
          </w:p>
        </w:tc>
      </w:tr>
      <w:tr w14:paraId="2E6B06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A0D03C3">
            <w:pPr>
              <w:pStyle w:val="34"/>
              <w:numPr>
                <w:ilvl w:val="0"/>
                <w:numId w:val="53"/>
              </w:numPr>
              <w:rPr>
                <w:sz w:val="18"/>
                <w:szCs w:val="18"/>
              </w:rPr>
            </w:pPr>
          </w:p>
        </w:tc>
        <w:tc>
          <w:tcPr>
            <w:tcW w:w="145" w:type="pct"/>
            <w:vMerge w:val="continue"/>
            <w:tcMar>
              <w:left w:w="0" w:type="dxa"/>
              <w:right w:w="0" w:type="dxa"/>
            </w:tcMar>
            <w:vAlign w:val="center"/>
          </w:tcPr>
          <w:p w14:paraId="40563FC8">
            <w:pPr>
              <w:pStyle w:val="34"/>
              <w:rPr>
                <w:sz w:val="18"/>
                <w:szCs w:val="18"/>
              </w:rPr>
            </w:pPr>
          </w:p>
        </w:tc>
        <w:tc>
          <w:tcPr>
            <w:tcW w:w="145" w:type="pct"/>
            <w:vMerge w:val="continue"/>
            <w:tcMar>
              <w:left w:w="0" w:type="dxa"/>
              <w:right w:w="0" w:type="dxa"/>
            </w:tcMar>
            <w:vAlign w:val="center"/>
          </w:tcPr>
          <w:p w14:paraId="47D9C3BB">
            <w:pPr>
              <w:pStyle w:val="34"/>
              <w:rPr>
                <w:sz w:val="18"/>
                <w:szCs w:val="18"/>
                <w:lang w:eastAsia="en-US"/>
              </w:rPr>
            </w:pPr>
          </w:p>
        </w:tc>
        <w:tc>
          <w:tcPr>
            <w:tcW w:w="311" w:type="pct"/>
            <w:vMerge w:val="continue"/>
            <w:tcMar>
              <w:left w:w="0" w:type="dxa"/>
              <w:right w:w="0" w:type="dxa"/>
            </w:tcMar>
            <w:vAlign w:val="center"/>
          </w:tcPr>
          <w:p w14:paraId="0836C23E">
            <w:pPr>
              <w:pStyle w:val="34"/>
              <w:rPr>
                <w:sz w:val="18"/>
                <w:szCs w:val="18"/>
                <w:lang w:eastAsia="en-US"/>
              </w:rPr>
            </w:pPr>
          </w:p>
        </w:tc>
        <w:tc>
          <w:tcPr>
            <w:tcW w:w="243" w:type="pct"/>
            <w:tcMar>
              <w:left w:w="0" w:type="dxa"/>
              <w:right w:w="0" w:type="dxa"/>
            </w:tcMar>
            <w:vAlign w:val="center"/>
          </w:tcPr>
          <w:p w14:paraId="37C667D1">
            <w:pPr>
              <w:pStyle w:val="34"/>
              <w:rPr>
                <w:sz w:val="18"/>
                <w:szCs w:val="18"/>
                <w:lang w:eastAsia="en-US"/>
              </w:rPr>
            </w:pPr>
            <w:r>
              <w:rPr>
                <w:sz w:val="18"/>
                <w:szCs w:val="18"/>
                <w:lang w:eastAsia="en-US"/>
              </w:rPr>
              <w:t>毒性</w:t>
            </w:r>
          </w:p>
        </w:tc>
        <w:tc>
          <w:tcPr>
            <w:tcW w:w="213" w:type="pct"/>
            <w:tcMar>
              <w:left w:w="0" w:type="dxa"/>
              <w:right w:w="0" w:type="dxa"/>
            </w:tcMar>
            <w:vAlign w:val="center"/>
          </w:tcPr>
          <w:p w14:paraId="5189859B">
            <w:pPr>
              <w:pStyle w:val="34"/>
              <w:rPr>
                <w:sz w:val="18"/>
                <w:szCs w:val="18"/>
                <w:lang w:eastAsia="en-US"/>
              </w:rPr>
            </w:pPr>
            <w:r>
              <w:rPr>
                <w:sz w:val="18"/>
                <w:szCs w:val="18"/>
                <w:lang w:eastAsia="en-US"/>
              </w:rPr>
              <w:t>腐蚀性</w:t>
            </w:r>
          </w:p>
        </w:tc>
        <w:tc>
          <w:tcPr>
            <w:tcW w:w="582" w:type="pct"/>
            <w:tcMar>
              <w:left w:w="0" w:type="dxa"/>
              <w:right w:w="0" w:type="dxa"/>
            </w:tcMar>
            <w:vAlign w:val="center"/>
          </w:tcPr>
          <w:p w14:paraId="23D76C7E">
            <w:pPr>
              <w:pStyle w:val="34"/>
              <w:rPr>
                <w:sz w:val="18"/>
                <w:szCs w:val="18"/>
                <w:lang w:eastAsia="en-US"/>
              </w:rPr>
            </w:pPr>
            <w:r>
              <w:rPr>
                <w:rFonts w:hint="eastAsia"/>
                <w:sz w:val="18"/>
                <w:szCs w:val="18"/>
                <w:lang w:eastAsia="en-US"/>
              </w:rPr>
              <w:t>四氯化钛</w:t>
            </w:r>
          </w:p>
        </w:tc>
        <w:tc>
          <w:tcPr>
            <w:tcW w:w="267" w:type="pct"/>
            <w:tcMar>
              <w:left w:w="0" w:type="dxa"/>
              <w:right w:w="0" w:type="dxa"/>
            </w:tcMar>
            <w:vAlign w:val="center"/>
          </w:tcPr>
          <w:p w14:paraId="1A69E7CE">
            <w:pPr>
              <w:pStyle w:val="34"/>
              <w:rPr>
                <w:sz w:val="18"/>
                <w:szCs w:val="18"/>
              </w:rPr>
            </w:pPr>
            <w:r>
              <w:rPr>
                <w:rFonts w:hint="eastAsia"/>
                <w:sz w:val="18"/>
                <w:szCs w:val="18"/>
                <w:lang w:eastAsia="en-US"/>
              </w:rPr>
              <w:t>第</w:t>
            </w:r>
            <w:r>
              <w:rPr>
                <w:rFonts w:hint="eastAsia"/>
                <w:sz w:val="18"/>
                <w:szCs w:val="18"/>
              </w:rPr>
              <w:t>6.1项</w:t>
            </w:r>
          </w:p>
        </w:tc>
        <w:tc>
          <w:tcPr>
            <w:tcW w:w="355" w:type="pct"/>
            <w:tcMar>
              <w:left w:w="0" w:type="dxa"/>
              <w:right w:w="0" w:type="dxa"/>
            </w:tcMar>
            <w:vAlign w:val="center"/>
          </w:tcPr>
          <w:p w14:paraId="6BEE8EFE">
            <w:pPr>
              <w:pStyle w:val="34"/>
              <w:rPr>
                <w:sz w:val="18"/>
                <w:szCs w:val="18"/>
              </w:rPr>
            </w:pPr>
            <w:r>
              <w:rPr>
                <w:rFonts w:hint="eastAsia"/>
                <w:sz w:val="18"/>
                <w:szCs w:val="18"/>
              </w:rPr>
              <w:t>7550-45-0</w:t>
            </w:r>
          </w:p>
        </w:tc>
        <w:tc>
          <w:tcPr>
            <w:tcW w:w="230" w:type="pct"/>
            <w:tcMar>
              <w:left w:w="0" w:type="dxa"/>
              <w:right w:w="0" w:type="dxa"/>
            </w:tcMar>
            <w:vAlign w:val="center"/>
          </w:tcPr>
          <w:p w14:paraId="39F09937">
            <w:pPr>
              <w:pStyle w:val="34"/>
              <w:rPr>
                <w:sz w:val="18"/>
                <w:szCs w:val="18"/>
              </w:rPr>
            </w:pPr>
            <w:r>
              <w:rPr>
                <w:rFonts w:hint="eastAsia"/>
                <w:sz w:val="18"/>
                <w:szCs w:val="18"/>
              </w:rPr>
              <w:t>1</w:t>
            </w:r>
          </w:p>
        </w:tc>
        <w:tc>
          <w:tcPr>
            <w:tcW w:w="490" w:type="pct"/>
            <w:tcMar>
              <w:left w:w="0" w:type="dxa"/>
              <w:right w:w="0" w:type="dxa"/>
            </w:tcMar>
            <w:vAlign w:val="center"/>
          </w:tcPr>
          <w:p w14:paraId="5E329F08">
            <w:pPr>
              <w:pStyle w:val="34"/>
              <w:rPr>
                <w:sz w:val="18"/>
                <w:szCs w:val="18"/>
              </w:rPr>
            </w:pPr>
            <w:r>
              <w:rPr>
                <w:rFonts w:hint="eastAsia"/>
                <w:sz w:val="18"/>
                <w:szCs w:val="18"/>
              </w:rPr>
              <w:t>剧毒性、腐蚀性</w:t>
            </w:r>
          </w:p>
        </w:tc>
        <w:tc>
          <w:tcPr>
            <w:tcW w:w="500" w:type="pct"/>
            <w:tcMar>
              <w:left w:w="0" w:type="dxa"/>
              <w:right w:w="0" w:type="dxa"/>
            </w:tcMar>
            <w:vAlign w:val="center"/>
          </w:tcPr>
          <w:p w14:paraId="570BDDC1">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7D472BDF">
            <w:pPr>
              <w:pStyle w:val="34"/>
              <w:rPr>
                <w:sz w:val="18"/>
                <w:szCs w:val="18"/>
              </w:rPr>
            </w:pPr>
            <w:r>
              <w:rPr>
                <w:rFonts w:hint="eastAsia"/>
                <w:sz w:val="18"/>
                <w:szCs w:val="18"/>
              </w:rPr>
              <w:t>-</w:t>
            </w:r>
          </w:p>
        </w:tc>
      </w:tr>
      <w:tr w14:paraId="7710B4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AE1183F">
            <w:pPr>
              <w:pStyle w:val="34"/>
              <w:numPr>
                <w:ilvl w:val="0"/>
                <w:numId w:val="53"/>
              </w:numPr>
              <w:rPr>
                <w:sz w:val="18"/>
                <w:szCs w:val="18"/>
                <w:lang w:eastAsia="en-US"/>
              </w:rPr>
            </w:pPr>
          </w:p>
        </w:tc>
        <w:tc>
          <w:tcPr>
            <w:tcW w:w="145" w:type="pct"/>
            <w:vMerge w:val="continue"/>
            <w:tcMar>
              <w:left w:w="0" w:type="dxa"/>
              <w:right w:w="0" w:type="dxa"/>
            </w:tcMar>
            <w:vAlign w:val="center"/>
          </w:tcPr>
          <w:p w14:paraId="086C14A3">
            <w:pPr>
              <w:pStyle w:val="34"/>
              <w:rPr>
                <w:sz w:val="18"/>
                <w:szCs w:val="18"/>
                <w:lang w:eastAsia="en-US"/>
              </w:rPr>
            </w:pPr>
          </w:p>
        </w:tc>
        <w:tc>
          <w:tcPr>
            <w:tcW w:w="145" w:type="pct"/>
            <w:vMerge w:val="continue"/>
            <w:tcMar>
              <w:left w:w="0" w:type="dxa"/>
              <w:right w:w="0" w:type="dxa"/>
            </w:tcMar>
            <w:vAlign w:val="center"/>
          </w:tcPr>
          <w:p w14:paraId="35606C56">
            <w:pPr>
              <w:pStyle w:val="34"/>
              <w:rPr>
                <w:sz w:val="18"/>
                <w:szCs w:val="18"/>
                <w:lang w:eastAsia="en-US"/>
              </w:rPr>
            </w:pPr>
          </w:p>
        </w:tc>
        <w:tc>
          <w:tcPr>
            <w:tcW w:w="311" w:type="pct"/>
            <w:vMerge w:val="continue"/>
            <w:tcMar>
              <w:left w:w="0" w:type="dxa"/>
              <w:right w:w="0" w:type="dxa"/>
            </w:tcMar>
            <w:vAlign w:val="center"/>
          </w:tcPr>
          <w:p w14:paraId="4F28DEC8">
            <w:pPr>
              <w:pStyle w:val="34"/>
              <w:rPr>
                <w:sz w:val="18"/>
                <w:szCs w:val="18"/>
                <w:lang w:eastAsia="en-US"/>
              </w:rPr>
            </w:pPr>
          </w:p>
        </w:tc>
        <w:tc>
          <w:tcPr>
            <w:tcW w:w="243" w:type="pct"/>
            <w:tcMar>
              <w:left w:w="0" w:type="dxa"/>
              <w:right w:w="0" w:type="dxa"/>
            </w:tcMar>
            <w:vAlign w:val="center"/>
          </w:tcPr>
          <w:p w14:paraId="6DF779B1">
            <w:pPr>
              <w:pStyle w:val="34"/>
              <w:rPr>
                <w:sz w:val="18"/>
                <w:szCs w:val="18"/>
                <w:lang w:eastAsia="en-US"/>
              </w:rPr>
            </w:pPr>
            <w:r>
              <w:rPr>
                <w:sz w:val="18"/>
                <w:szCs w:val="18"/>
                <w:lang w:eastAsia="en-US"/>
              </w:rPr>
              <w:t>腐蚀性</w:t>
            </w:r>
          </w:p>
        </w:tc>
        <w:tc>
          <w:tcPr>
            <w:tcW w:w="213" w:type="pct"/>
            <w:tcMar>
              <w:left w:w="0" w:type="dxa"/>
              <w:right w:w="0" w:type="dxa"/>
            </w:tcMar>
            <w:vAlign w:val="center"/>
          </w:tcPr>
          <w:p w14:paraId="4A046FBD">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273F89FE">
            <w:pPr>
              <w:pStyle w:val="34"/>
              <w:rPr>
                <w:sz w:val="18"/>
                <w:szCs w:val="18"/>
                <w:lang w:eastAsia="en-US"/>
              </w:rPr>
            </w:pPr>
            <w:r>
              <w:rPr>
                <w:rFonts w:hint="eastAsia"/>
                <w:sz w:val="18"/>
                <w:szCs w:val="18"/>
                <w:lang w:eastAsia="en-US"/>
              </w:rPr>
              <w:t>汞</w:t>
            </w:r>
          </w:p>
        </w:tc>
        <w:tc>
          <w:tcPr>
            <w:tcW w:w="267" w:type="pct"/>
            <w:tcMar>
              <w:left w:w="0" w:type="dxa"/>
              <w:right w:w="0" w:type="dxa"/>
            </w:tcMar>
            <w:vAlign w:val="center"/>
          </w:tcPr>
          <w:p w14:paraId="4B9D9111">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76D31110">
            <w:pPr>
              <w:pStyle w:val="34"/>
              <w:rPr>
                <w:sz w:val="18"/>
                <w:szCs w:val="18"/>
                <w:lang w:eastAsia="en-US"/>
              </w:rPr>
            </w:pPr>
            <w:r>
              <w:rPr>
                <w:sz w:val="18"/>
                <w:szCs w:val="18"/>
                <w:lang w:eastAsia="en-US"/>
              </w:rPr>
              <w:t>7439-97-6</w:t>
            </w:r>
          </w:p>
        </w:tc>
        <w:tc>
          <w:tcPr>
            <w:tcW w:w="230" w:type="pct"/>
            <w:tcMar>
              <w:left w:w="0" w:type="dxa"/>
              <w:right w:w="0" w:type="dxa"/>
            </w:tcMar>
            <w:vAlign w:val="center"/>
          </w:tcPr>
          <w:p w14:paraId="1A42957D">
            <w:pPr>
              <w:pStyle w:val="34"/>
              <w:rPr>
                <w:sz w:val="18"/>
                <w:szCs w:val="18"/>
                <w:lang w:eastAsia="en-US"/>
              </w:rPr>
            </w:pPr>
            <w:r>
              <w:rPr>
                <w:rFonts w:hint="eastAsia"/>
                <w:sz w:val="18"/>
                <w:szCs w:val="18"/>
                <w:lang w:eastAsia="en-US"/>
              </w:rPr>
              <w:t>0.5</w:t>
            </w:r>
          </w:p>
        </w:tc>
        <w:tc>
          <w:tcPr>
            <w:tcW w:w="490" w:type="pct"/>
            <w:tcMar>
              <w:left w:w="0" w:type="dxa"/>
              <w:right w:w="0" w:type="dxa"/>
            </w:tcMar>
            <w:vAlign w:val="center"/>
          </w:tcPr>
          <w:p w14:paraId="076DADDC">
            <w:pPr>
              <w:pStyle w:val="34"/>
              <w:rPr>
                <w:sz w:val="18"/>
                <w:szCs w:val="18"/>
              </w:rPr>
            </w:pPr>
            <w:r>
              <w:rPr>
                <w:rFonts w:hint="eastAsia"/>
                <w:sz w:val="18"/>
                <w:szCs w:val="18"/>
              </w:rPr>
              <w:t>腐蚀性、剧毒、运输量大</w:t>
            </w:r>
          </w:p>
        </w:tc>
        <w:tc>
          <w:tcPr>
            <w:tcW w:w="500" w:type="pct"/>
            <w:tcMar>
              <w:left w:w="0" w:type="dxa"/>
              <w:right w:w="0" w:type="dxa"/>
            </w:tcMar>
            <w:vAlign w:val="center"/>
          </w:tcPr>
          <w:p w14:paraId="15B39569">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2577915F">
            <w:pPr>
              <w:pStyle w:val="34"/>
              <w:rPr>
                <w:sz w:val="18"/>
                <w:szCs w:val="18"/>
              </w:rPr>
            </w:pPr>
            <w:r>
              <w:rPr>
                <w:rFonts w:hint="eastAsia"/>
                <w:sz w:val="18"/>
                <w:szCs w:val="18"/>
              </w:rPr>
              <w:t>《有毒有害水污染物名录（第一批）》、《有毒有害大气污染物名录（2018年）》、《中国严格限制的有毒化学品名录》（2023年）</w:t>
            </w:r>
          </w:p>
        </w:tc>
      </w:tr>
      <w:tr w14:paraId="01A5D3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6DB9F9F">
            <w:pPr>
              <w:pStyle w:val="34"/>
              <w:numPr>
                <w:ilvl w:val="0"/>
                <w:numId w:val="53"/>
              </w:numPr>
              <w:rPr>
                <w:sz w:val="18"/>
                <w:szCs w:val="18"/>
              </w:rPr>
            </w:pPr>
          </w:p>
        </w:tc>
        <w:tc>
          <w:tcPr>
            <w:tcW w:w="145" w:type="pct"/>
            <w:vMerge w:val="continue"/>
            <w:tcMar>
              <w:left w:w="0" w:type="dxa"/>
              <w:right w:w="0" w:type="dxa"/>
            </w:tcMar>
            <w:vAlign w:val="center"/>
          </w:tcPr>
          <w:p w14:paraId="428768CF">
            <w:pPr>
              <w:pStyle w:val="34"/>
              <w:rPr>
                <w:sz w:val="18"/>
                <w:szCs w:val="18"/>
              </w:rPr>
            </w:pPr>
          </w:p>
        </w:tc>
        <w:tc>
          <w:tcPr>
            <w:tcW w:w="145" w:type="pct"/>
            <w:vMerge w:val="continue"/>
            <w:tcMar>
              <w:left w:w="0" w:type="dxa"/>
              <w:right w:w="0" w:type="dxa"/>
            </w:tcMar>
            <w:vAlign w:val="center"/>
          </w:tcPr>
          <w:p w14:paraId="5FCCA311">
            <w:pPr>
              <w:pStyle w:val="34"/>
              <w:rPr>
                <w:sz w:val="18"/>
                <w:szCs w:val="18"/>
              </w:rPr>
            </w:pPr>
          </w:p>
        </w:tc>
        <w:tc>
          <w:tcPr>
            <w:tcW w:w="311" w:type="pct"/>
            <w:vMerge w:val="restart"/>
            <w:tcMar>
              <w:left w:w="0" w:type="dxa"/>
              <w:right w:w="0" w:type="dxa"/>
            </w:tcMar>
            <w:vAlign w:val="center"/>
          </w:tcPr>
          <w:p w14:paraId="4898A329">
            <w:pPr>
              <w:pStyle w:val="34"/>
              <w:rPr>
                <w:sz w:val="18"/>
                <w:szCs w:val="18"/>
                <w:lang w:eastAsia="en-US"/>
              </w:rPr>
            </w:pPr>
            <w:r>
              <w:rPr>
                <w:sz w:val="18"/>
                <w:szCs w:val="18"/>
                <w:lang w:eastAsia="en-US"/>
              </w:rPr>
              <w:t>有机，密度&lt;1g/cm</w:t>
            </w:r>
            <w:r>
              <w:rPr>
                <w:sz w:val="18"/>
                <w:szCs w:val="18"/>
                <w:vertAlign w:val="superscript"/>
                <w:lang w:eastAsia="en-US"/>
              </w:rPr>
              <w:t>3</w:t>
            </w:r>
          </w:p>
        </w:tc>
        <w:tc>
          <w:tcPr>
            <w:tcW w:w="243" w:type="pct"/>
            <w:vMerge w:val="restart"/>
            <w:tcMar>
              <w:left w:w="0" w:type="dxa"/>
              <w:right w:w="0" w:type="dxa"/>
            </w:tcMar>
            <w:vAlign w:val="center"/>
          </w:tcPr>
          <w:p w14:paraId="22B82986">
            <w:pPr>
              <w:pStyle w:val="34"/>
              <w:rPr>
                <w:sz w:val="18"/>
                <w:szCs w:val="18"/>
                <w:lang w:eastAsia="en-US"/>
              </w:rPr>
            </w:pPr>
            <w:r>
              <w:rPr>
                <w:sz w:val="18"/>
                <w:szCs w:val="18"/>
                <w:lang w:eastAsia="en-US"/>
              </w:rPr>
              <w:t>易燃易爆</w:t>
            </w:r>
          </w:p>
        </w:tc>
        <w:tc>
          <w:tcPr>
            <w:tcW w:w="213" w:type="pct"/>
            <w:tcMar>
              <w:left w:w="0" w:type="dxa"/>
              <w:right w:w="0" w:type="dxa"/>
            </w:tcMar>
            <w:vAlign w:val="center"/>
          </w:tcPr>
          <w:p w14:paraId="0E1DB40D">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24911D4F">
            <w:pPr>
              <w:pStyle w:val="34"/>
              <w:rPr>
                <w:sz w:val="18"/>
                <w:szCs w:val="18"/>
                <w:lang w:eastAsia="en-US"/>
              </w:rPr>
            </w:pPr>
            <w:r>
              <w:rPr>
                <w:sz w:val="18"/>
                <w:szCs w:val="18"/>
                <w:lang w:eastAsia="en-US"/>
              </w:rPr>
              <w:t>乙苯</w:t>
            </w:r>
          </w:p>
        </w:tc>
        <w:tc>
          <w:tcPr>
            <w:tcW w:w="267" w:type="pct"/>
            <w:tcMar>
              <w:left w:w="0" w:type="dxa"/>
              <w:right w:w="0" w:type="dxa"/>
            </w:tcMar>
            <w:vAlign w:val="center"/>
          </w:tcPr>
          <w:p w14:paraId="6E1E1738">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136DB00A">
            <w:pPr>
              <w:pStyle w:val="34"/>
              <w:rPr>
                <w:sz w:val="18"/>
                <w:szCs w:val="18"/>
                <w:lang w:eastAsia="en-US"/>
              </w:rPr>
            </w:pPr>
            <w:r>
              <w:rPr>
                <w:sz w:val="18"/>
                <w:szCs w:val="18"/>
                <w:lang w:eastAsia="en-US"/>
              </w:rPr>
              <w:t>100-41-4</w:t>
            </w:r>
          </w:p>
        </w:tc>
        <w:tc>
          <w:tcPr>
            <w:tcW w:w="230" w:type="pct"/>
            <w:tcMar>
              <w:left w:w="0" w:type="dxa"/>
              <w:right w:w="0" w:type="dxa"/>
            </w:tcMar>
            <w:vAlign w:val="center"/>
          </w:tcPr>
          <w:p w14:paraId="72072A4D">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17EEAE6E">
            <w:pPr>
              <w:pStyle w:val="34"/>
              <w:rPr>
                <w:sz w:val="18"/>
                <w:szCs w:val="18"/>
              </w:rPr>
            </w:pPr>
            <w:r>
              <w:rPr>
                <w:rFonts w:hint="eastAsia"/>
                <w:sz w:val="18"/>
                <w:szCs w:val="18"/>
              </w:rPr>
              <w:t>极易燃、毒性、运输量大</w:t>
            </w:r>
          </w:p>
        </w:tc>
        <w:tc>
          <w:tcPr>
            <w:tcW w:w="500" w:type="pct"/>
            <w:tcMar>
              <w:left w:w="0" w:type="dxa"/>
              <w:right w:w="0" w:type="dxa"/>
            </w:tcMar>
            <w:vAlign w:val="center"/>
          </w:tcPr>
          <w:p w14:paraId="3AA67F83">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20769E5B">
            <w:pPr>
              <w:pStyle w:val="34"/>
              <w:rPr>
                <w:sz w:val="18"/>
                <w:szCs w:val="18"/>
                <w:lang w:eastAsia="en-US"/>
              </w:rPr>
            </w:pPr>
            <w:r>
              <w:rPr>
                <w:rFonts w:hint="eastAsia"/>
                <w:sz w:val="18"/>
                <w:szCs w:val="18"/>
                <w:lang w:eastAsia="en-US"/>
              </w:rPr>
              <w:t>-</w:t>
            </w:r>
          </w:p>
        </w:tc>
      </w:tr>
      <w:tr w14:paraId="77F7BD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1B9BD59">
            <w:pPr>
              <w:pStyle w:val="34"/>
              <w:numPr>
                <w:ilvl w:val="0"/>
                <w:numId w:val="53"/>
              </w:numPr>
              <w:rPr>
                <w:sz w:val="18"/>
                <w:szCs w:val="18"/>
                <w:lang w:eastAsia="en-US"/>
              </w:rPr>
            </w:pPr>
          </w:p>
        </w:tc>
        <w:tc>
          <w:tcPr>
            <w:tcW w:w="145" w:type="pct"/>
            <w:vMerge w:val="continue"/>
            <w:tcMar>
              <w:left w:w="0" w:type="dxa"/>
              <w:right w:w="0" w:type="dxa"/>
            </w:tcMar>
            <w:vAlign w:val="center"/>
          </w:tcPr>
          <w:p w14:paraId="5DA1F38C">
            <w:pPr>
              <w:pStyle w:val="34"/>
              <w:rPr>
                <w:sz w:val="18"/>
                <w:szCs w:val="18"/>
                <w:lang w:eastAsia="en-US"/>
              </w:rPr>
            </w:pPr>
          </w:p>
        </w:tc>
        <w:tc>
          <w:tcPr>
            <w:tcW w:w="145" w:type="pct"/>
            <w:vMerge w:val="continue"/>
            <w:tcMar>
              <w:left w:w="0" w:type="dxa"/>
              <w:right w:w="0" w:type="dxa"/>
            </w:tcMar>
            <w:vAlign w:val="center"/>
          </w:tcPr>
          <w:p w14:paraId="29091C99">
            <w:pPr>
              <w:pStyle w:val="34"/>
              <w:rPr>
                <w:sz w:val="18"/>
                <w:szCs w:val="18"/>
                <w:lang w:eastAsia="en-US"/>
              </w:rPr>
            </w:pPr>
          </w:p>
        </w:tc>
        <w:tc>
          <w:tcPr>
            <w:tcW w:w="311" w:type="pct"/>
            <w:vMerge w:val="continue"/>
            <w:tcMar>
              <w:left w:w="0" w:type="dxa"/>
              <w:right w:w="0" w:type="dxa"/>
            </w:tcMar>
            <w:vAlign w:val="center"/>
          </w:tcPr>
          <w:p w14:paraId="5D9AF225">
            <w:pPr>
              <w:pStyle w:val="34"/>
              <w:rPr>
                <w:sz w:val="18"/>
                <w:szCs w:val="18"/>
                <w:lang w:eastAsia="en-US"/>
              </w:rPr>
            </w:pPr>
          </w:p>
        </w:tc>
        <w:tc>
          <w:tcPr>
            <w:tcW w:w="243" w:type="pct"/>
            <w:vMerge w:val="continue"/>
            <w:tcMar>
              <w:left w:w="0" w:type="dxa"/>
              <w:right w:w="0" w:type="dxa"/>
            </w:tcMar>
            <w:vAlign w:val="center"/>
          </w:tcPr>
          <w:p w14:paraId="1C486A1B">
            <w:pPr>
              <w:pStyle w:val="34"/>
              <w:rPr>
                <w:sz w:val="18"/>
                <w:szCs w:val="18"/>
                <w:lang w:eastAsia="en-US"/>
              </w:rPr>
            </w:pPr>
          </w:p>
        </w:tc>
        <w:tc>
          <w:tcPr>
            <w:tcW w:w="213" w:type="pct"/>
            <w:tcMar>
              <w:left w:w="0" w:type="dxa"/>
              <w:right w:w="0" w:type="dxa"/>
            </w:tcMar>
            <w:vAlign w:val="center"/>
          </w:tcPr>
          <w:p w14:paraId="211B6088">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2530943">
            <w:pPr>
              <w:pStyle w:val="34"/>
              <w:rPr>
                <w:sz w:val="18"/>
                <w:szCs w:val="18"/>
                <w:lang w:eastAsia="en-US"/>
              </w:rPr>
            </w:pPr>
            <w:r>
              <w:rPr>
                <w:rFonts w:hint="eastAsia"/>
                <w:sz w:val="18"/>
                <w:szCs w:val="18"/>
                <w:lang w:eastAsia="en-US"/>
              </w:rPr>
              <w:t>丙烯酸丁酯</w:t>
            </w:r>
          </w:p>
        </w:tc>
        <w:tc>
          <w:tcPr>
            <w:tcW w:w="267" w:type="pct"/>
            <w:tcMar>
              <w:left w:w="0" w:type="dxa"/>
              <w:right w:w="0" w:type="dxa"/>
            </w:tcMar>
            <w:vAlign w:val="center"/>
          </w:tcPr>
          <w:p w14:paraId="36973099">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61302E94">
            <w:pPr>
              <w:pStyle w:val="34"/>
              <w:rPr>
                <w:sz w:val="18"/>
                <w:szCs w:val="18"/>
                <w:lang w:eastAsia="en-US"/>
              </w:rPr>
            </w:pPr>
            <w:r>
              <w:rPr>
                <w:sz w:val="18"/>
                <w:szCs w:val="18"/>
                <w:lang w:eastAsia="en-US"/>
              </w:rPr>
              <w:t>141-32-2</w:t>
            </w:r>
          </w:p>
        </w:tc>
        <w:tc>
          <w:tcPr>
            <w:tcW w:w="230" w:type="pct"/>
            <w:tcMar>
              <w:left w:w="0" w:type="dxa"/>
              <w:right w:w="0" w:type="dxa"/>
            </w:tcMar>
            <w:vAlign w:val="center"/>
          </w:tcPr>
          <w:p w14:paraId="1077CB2B">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5EB9FD92">
            <w:pPr>
              <w:pStyle w:val="34"/>
              <w:rPr>
                <w:sz w:val="18"/>
                <w:szCs w:val="18"/>
                <w:lang w:eastAsia="en-US"/>
              </w:rPr>
            </w:pPr>
            <w:r>
              <w:rPr>
                <w:rFonts w:hint="eastAsia"/>
                <w:sz w:val="18"/>
                <w:szCs w:val="18"/>
                <w:lang w:eastAsia="en-US"/>
              </w:rPr>
              <w:t>易燃、运输量大</w:t>
            </w:r>
          </w:p>
        </w:tc>
        <w:tc>
          <w:tcPr>
            <w:tcW w:w="500" w:type="pct"/>
            <w:tcMar>
              <w:left w:w="0" w:type="dxa"/>
              <w:right w:w="0" w:type="dxa"/>
            </w:tcMar>
            <w:vAlign w:val="center"/>
          </w:tcPr>
          <w:p w14:paraId="2041B8C9">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145ABC55">
            <w:pPr>
              <w:pStyle w:val="34"/>
              <w:rPr>
                <w:sz w:val="18"/>
                <w:szCs w:val="18"/>
                <w:lang w:eastAsia="en-US"/>
              </w:rPr>
            </w:pPr>
            <w:r>
              <w:rPr>
                <w:rFonts w:hint="eastAsia"/>
                <w:sz w:val="18"/>
                <w:szCs w:val="18"/>
                <w:lang w:eastAsia="en-US"/>
              </w:rPr>
              <w:t>-</w:t>
            </w:r>
          </w:p>
        </w:tc>
      </w:tr>
      <w:tr w14:paraId="621FB6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61B9F90">
            <w:pPr>
              <w:pStyle w:val="34"/>
              <w:numPr>
                <w:ilvl w:val="0"/>
                <w:numId w:val="53"/>
              </w:numPr>
              <w:rPr>
                <w:sz w:val="18"/>
                <w:szCs w:val="18"/>
                <w:lang w:eastAsia="en-US"/>
              </w:rPr>
            </w:pPr>
          </w:p>
        </w:tc>
        <w:tc>
          <w:tcPr>
            <w:tcW w:w="145" w:type="pct"/>
            <w:vMerge w:val="continue"/>
            <w:tcMar>
              <w:left w:w="0" w:type="dxa"/>
              <w:right w:w="0" w:type="dxa"/>
            </w:tcMar>
            <w:vAlign w:val="center"/>
          </w:tcPr>
          <w:p w14:paraId="1CC5586B">
            <w:pPr>
              <w:pStyle w:val="34"/>
              <w:rPr>
                <w:sz w:val="18"/>
                <w:szCs w:val="18"/>
                <w:lang w:eastAsia="en-US"/>
              </w:rPr>
            </w:pPr>
          </w:p>
        </w:tc>
        <w:tc>
          <w:tcPr>
            <w:tcW w:w="145" w:type="pct"/>
            <w:vMerge w:val="continue"/>
            <w:tcMar>
              <w:left w:w="0" w:type="dxa"/>
              <w:right w:w="0" w:type="dxa"/>
            </w:tcMar>
            <w:vAlign w:val="center"/>
          </w:tcPr>
          <w:p w14:paraId="59DDB326">
            <w:pPr>
              <w:pStyle w:val="34"/>
              <w:rPr>
                <w:sz w:val="18"/>
                <w:szCs w:val="18"/>
                <w:lang w:eastAsia="en-US"/>
              </w:rPr>
            </w:pPr>
          </w:p>
        </w:tc>
        <w:tc>
          <w:tcPr>
            <w:tcW w:w="311" w:type="pct"/>
            <w:vMerge w:val="continue"/>
            <w:tcMar>
              <w:left w:w="0" w:type="dxa"/>
              <w:right w:w="0" w:type="dxa"/>
            </w:tcMar>
            <w:vAlign w:val="center"/>
          </w:tcPr>
          <w:p w14:paraId="292E8E13">
            <w:pPr>
              <w:pStyle w:val="34"/>
              <w:rPr>
                <w:sz w:val="18"/>
                <w:szCs w:val="18"/>
                <w:lang w:eastAsia="en-US"/>
              </w:rPr>
            </w:pPr>
          </w:p>
        </w:tc>
        <w:tc>
          <w:tcPr>
            <w:tcW w:w="243" w:type="pct"/>
            <w:vMerge w:val="continue"/>
            <w:tcMar>
              <w:left w:w="0" w:type="dxa"/>
              <w:right w:w="0" w:type="dxa"/>
            </w:tcMar>
            <w:vAlign w:val="center"/>
          </w:tcPr>
          <w:p w14:paraId="7A0D3D80">
            <w:pPr>
              <w:pStyle w:val="34"/>
              <w:rPr>
                <w:sz w:val="18"/>
                <w:szCs w:val="18"/>
                <w:lang w:eastAsia="en-US"/>
              </w:rPr>
            </w:pPr>
          </w:p>
        </w:tc>
        <w:tc>
          <w:tcPr>
            <w:tcW w:w="213" w:type="pct"/>
            <w:tcMar>
              <w:left w:w="0" w:type="dxa"/>
              <w:right w:w="0" w:type="dxa"/>
            </w:tcMar>
            <w:vAlign w:val="center"/>
          </w:tcPr>
          <w:p w14:paraId="68FD4618">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776E474">
            <w:pPr>
              <w:pStyle w:val="34"/>
              <w:rPr>
                <w:sz w:val="18"/>
                <w:szCs w:val="18"/>
                <w:lang w:eastAsia="en-US"/>
              </w:rPr>
            </w:pPr>
            <w:r>
              <w:rPr>
                <w:sz w:val="18"/>
                <w:szCs w:val="18"/>
                <w:lang w:eastAsia="en-US"/>
              </w:rPr>
              <w:t>呋喃</w:t>
            </w:r>
          </w:p>
        </w:tc>
        <w:tc>
          <w:tcPr>
            <w:tcW w:w="267" w:type="pct"/>
            <w:tcMar>
              <w:left w:w="0" w:type="dxa"/>
              <w:right w:w="0" w:type="dxa"/>
            </w:tcMar>
            <w:vAlign w:val="center"/>
          </w:tcPr>
          <w:p w14:paraId="072718E6">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01F2F278">
            <w:pPr>
              <w:pStyle w:val="34"/>
              <w:rPr>
                <w:sz w:val="18"/>
                <w:szCs w:val="18"/>
                <w:lang w:eastAsia="en-US"/>
              </w:rPr>
            </w:pPr>
            <w:r>
              <w:rPr>
                <w:sz w:val="18"/>
                <w:szCs w:val="18"/>
                <w:lang w:eastAsia="en-US"/>
              </w:rPr>
              <w:t>110-00-9</w:t>
            </w:r>
          </w:p>
        </w:tc>
        <w:tc>
          <w:tcPr>
            <w:tcW w:w="230" w:type="pct"/>
            <w:tcMar>
              <w:left w:w="0" w:type="dxa"/>
              <w:right w:w="0" w:type="dxa"/>
            </w:tcMar>
            <w:vAlign w:val="center"/>
          </w:tcPr>
          <w:p w14:paraId="604CA0EF">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76C6EBA2">
            <w:pPr>
              <w:pStyle w:val="34"/>
              <w:rPr>
                <w:sz w:val="18"/>
                <w:szCs w:val="18"/>
              </w:rPr>
            </w:pPr>
            <w:r>
              <w:rPr>
                <w:rFonts w:hint="eastAsia"/>
                <w:sz w:val="18"/>
                <w:szCs w:val="18"/>
              </w:rPr>
              <w:t>剧毒、易燃、运输量大</w:t>
            </w:r>
          </w:p>
        </w:tc>
        <w:tc>
          <w:tcPr>
            <w:tcW w:w="500" w:type="pct"/>
            <w:tcMar>
              <w:left w:w="0" w:type="dxa"/>
              <w:right w:w="0" w:type="dxa"/>
            </w:tcMar>
            <w:vAlign w:val="center"/>
          </w:tcPr>
          <w:p w14:paraId="484A8B87">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6ED7A69D">
            <w:pPr>
              <w:pStyle w:val="34"/>
              <w:rPr>
                <w:sz w:val="18"/>
                <w:szCs w:val="18"/>
                <w:lang w:eastAsia="en-US"/>
              </w:rPr>
            </w:pPr>
            <w:r>
              <w:rPr>
                <w:rFonts w:hint="eastAsia"/>
                <w:sz w:val="18"/>
                <w:szCs w:val="18"/>
                <w:lang w:eastAsia="en-US"/>
              </w:rPr>
              <w:t>-</w:t>
            </w:r>
          </w:p>
        </w:tc>
      </w:tr>
      <w:tr w14:paraId="4B0AA5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5A6EBFB">
            <w:pPr>
              <w:pStyle w:val="34"/>
              <w:numPr>
                <w:ilvl w:val="0"/>
                <w:numId w:val="53"/>
              </w:numPr>
              <w:rPr>
                <w:sz w:val="18"/>
                <w:szCs w:val="18"/>
                <w:lang w:eastAsia="en-US"/>
              </w:rPr>
            </w:pPr>
          </w:p>
        </w:tc>
        <w:tc>
          <w:tcPr>
            <w:tcW w:w="145" w:type="pct"/>
            <w:vMerge w:val="continue"/>
            <w:tcMar>
              <w:left w:w="0" w:type="dxa"/>
              <w:right w:w="0" w:type="dxa"/>
            </w:tcMar>
            <w:vAlign w:val="center"/>
          </w:tcPr>
          <w:p w14:paraId="1FB801B5">
            <w:pPr>
              <w:pStyle w:val="34"/>
              <w:rPr>
                <w:sz w:val="18"/>
                <w:szCs w:val="18"/>
                <w:lang w:eastAsia="en-US"/>
              </w:rPr>
            </w:pPr>
          </w:p>
        </w:tc>
        <w:tc>
          <w:tcPr>
            <w:tcW w:w="145" w:type="pct"/>
            <w:vMerge w:val="continue"/>
            <w:tcMar>
              <w:left w:w="0" w:type="dxa"/>
              <w:right w:w="0" w:type="dxa"/>
            </w:tcMar>
            <w:vAlign w:val="center"/>
          </w:tcPr>
          <w:p w14:paraId="71264A9A">
            <w:pPr>
              <w:pStyle w:val="34"/>
              <w:rPr>
                <w:sz w:val="18"/>
                <w:szCs w:val="18"/>
                <w:lang w:eastAsia="en-US"/>
              </w:rPr>
            </w:pPr>
          </w:p>
        </w:tc>
        <w:tc>
          <w:tcPr>
            <w:tcW w:w="311" w:type="pct"/>
            <w:vMerge w:val="continue"/>
            <w:tcMar>
              <w:left w:w="0" w:type="dxa"/>
              <w:right w:w="0" w:type="dxa"/>
            </w:tcMar>
            <w:vAlign w:val="center"/>
          </w:tcPr>
          <w:p w14:paraId="6508EB95">
            <w:pPr>
              <w:pStyle w:val="34"/>
              <w:rPr>
                <w:sz w:val="18"/>
                <w:szCs w:val="18"/>
                <w:lang w:eastAsia="en-US"/>
              </w:rPr>
            </w:pPr>
          </w:p>
        </w:tc>
        <w:tc>
          <w:tcPr>
            <w:tcW w:w="243" w:type="pct"/>
            <w:vMerge w:val="continue"/>
            <w:tcMar>
              <w:left w:w="0" w:type="dxa"/>
              <w:right w:w="0" w:type="dxa"/>
            </w:tcMar>
            <w:vAlign w:val="center"/>
          </w:tcPr>
          <w:p w14:paraId="224293DD">
            <w:pPr>
              <w:pStyle w:val="34"/>
              <w:rPr>
                <w:sz w:val="18"/>
                <w:szCs w:val="18"/>
                <w:lang w:eastAsia="en-US"/>
              </w:rPr>
            </w:pPr>
          </w:p>
        </w:tc>
        <w:tc>
          <w:tcPr>
            <w:tcW w:w="213" w:type="pct"/>
            <w:tcMar>
              <w:left w:w="0" w:type="dxa"/>
              <w:right w:w="0" w:type="dxa"/>
            </w:tcMar>
            <w:vAlign w:val="center"/>
          </w:tcPr>
          <w:p w14:paraId="6F2F4BDD">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47E618A">
            <w:pPr>
              <w:pStyle w:val="34"/>
              <w:rPr>
                <w:sz w:val="18"/>
                <w:szCs w:val="18"/>
                <w:lang w:eastAsia="en-US"/>
              </w:rPr>
            </w:pPr>
            <w:r>
              <w:rPr>
                <w:sz w:val="18"/>
                <w:szCs w:val="18"/>
                <w:lang w:eastAsia="en-US"/>
              </w:rPr>
              <w:t>甲苯</w:t>
            </w:r>
          </w:p>
        </w:tc>
        <w:tc>
          <w:tcPr>
            <w:tcW w:w="267" w:type="pct"/>
            <w:tcMar>
              <w:left w:w="0" w:type="dxa"/>
              <w:right w:w="0" w:type="dxa"/>
            </w:tcMar>
            <w:vAlign w:val="center"/>
          </w:tcPr>
          <w:p w14:paraId="7F708F2B">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1C3172FD">
            <w:pPr>
              <w:pStyle w:val="34"/>
              <w:rPr>
                <w:sz w:val="18"/>
                <w:szCs w:val="18"/>
                <w:lang w:eastAsia="en-US"/>
              </w:rPr>
            </w:pPr>
            <w:r>
              <w:rPr>
                <w:sz w:val="18"/>
                <w:szCs w:val="18"/>
                <w:lang w:eastAsia="en-US"/>
              </w:rPr>
              <w:t>108-88-3</w:t>
            </w:r>
          </w:p>
        </w:tc>
        <w:tc>
          <w:tcPr>
            <w:tcW w:w="230" w:type="pct"/>
            <w:tcMar>
              <w:left w:w="0" w:type="dxa"/>
              <w:right w:w="0" w:type="dxa"/>
            </w:tcMar>
            <w:vAlign w:val="center"/>
          </w:tcPr>
          <w:p w14:paraId="30150BE2">
            <w:pPr>
              <w:pStyle w:val="34"/>
              <w:rPr>
                <w:sz w:val="18"/>
                <w:szCs w:val="18"/>
                <w:lang w:eastAsia="en-US"/>
              </w:rPr>
            </w:pPr>
            <w:r>
              <w:rPr>
                <w:rFonts w:hint="eastAsia"/>
                <w:sz w:val="18"/>
                <w:szCs w:val="18"/>
                <w:lang w:eastAsia="en-US"/>
              </w:rPr>
              <w:t>1</w:t>
            </w:r>
            <w:r>
              <w:rPr>
                <w:sz w:val="18"/>
                <w:szCs w:val="18"/>
                <w:lang w:eastAsia="en-US"/>
              </w:rPr>
              <w:t>0</w:t>
            </w:r>
          </w:p>
        </w:tc>
        <w:tc>
          <w:tcPr>
            <w:tcW w:w="490" w:type="pct"/>
            <w:tcMar>
              <w:left w:w="0" w:type="dxa"/>
              <w:right w:w="0" w:type="dxa"/>
            </w:tcMar>
            <w:vAlign w:val="center"/>
          </w:tcPr>
          <w:p w14:paraId="3275AAE1">
            <w:pPr>
              <w:pStyle w:val="34"/>
              <w:rPr>
                <w:sz w:val="18"/>
                <w:szCs w:val="18"/>
                <w:lang w:eastAsia="en-US"/>
              </w:rPr>
            </w:pPr>
            <w:r>
              <w:rPr>
                <w:rFonts w:hint="eastAsia"/>
                <w:sz w:val="18"/>
                <w:szCs w:val="18"/>
                <w:lang w:eastAsia="en-US"/>
              </w:rPr>
              <w:t>极易燃、毒性</w:t>
            </w:r>
          </w:p>
        </w:tc>
        <w:tc>
          <w:tcPr>
            <w:tcW w:w="500" w:type="pct"/>
            <w:tcMar>
              <w:left w:w="0" w:type="dxa"/>
              <w:right w:w="0" w:type="dxa"/>
            </w:tcMar>
            <w:vAlign w:val="center"/>
          </w:tcPr>
          <w:p w14:paraId="6729420B">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4D784B3">
            <w:pPr>
              <w:pStyle w:val="34"/>
              <w:rPr>
                <w:sz w:val="18"/>
                <w:szCs w:val="18"/>
              </w:rPr>
            </w:pPr>
            <w:r>
              <w:rPr>
                <w:sz w:val="18"/>
                <w:szCs w:val="18"/>
              </w:rPr>
              <w:t>《易制毒化学品管理条例》第三类</w:t>
            </w:r>
          </w:p>
        </w:tc>
      </w:tr>
      <w:tr w14:paraId="05F1D9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2822E0A">
            <w:pPr>
              <w:pStyle w:val="34"/>
              <w:numPr>
                <w:ilvl w:val="0"/>
                <w:numId w:val="53"/>
              </w:numPr>
              <w:rPr>
                <w:sz w:val="18"/>
                <w:szCs w:val="18"/>
              </w:rPr>
            </w:pPr>
          </w:p>
        </w:tc>
        <w:tc>
          <w:tcPr>
            <w:tcW w:w="145" w:type="pct"/>
            <w:vMerge w:val="continue"/>
            <w:tcMar>
              <w:left w:w="0" w:type="dxa"/>
              <w:right w:w="0" w:type="dxa"/>
            </w:tcMar>
            <w:vAlign w:val="center"/>
          </w:tcPr>
          <w:p w14:paraId="072D3A2F">
            <w:pPr>
              <w:pStyle w:val="34"/>
              <w:rPr>
                <w:sz w:val="18"/>
                <w:szCs w:val="18"/>
              </w:rPr>
            </w:pPr>
          </w:p>
        </w:tc>
        <w:tc>
          <w:tcPr>
            <w:tcW w:w="145" w:type="pct"/>
            <w:vMerge w:val="continue"/>
            <w:tcMar>
              <w:left w:w="0" w:type="dxa"/>
              <w:right w:w="0" w:type="dxa"/>
            </w:tcMar>
            <w:vAlign w:val="center"/>
          </w:tcPr>
          <w:p w14:paraId="6D1DDCFC">
            <w:pPr>
              <w:pStyle w:val="34"/>
              <w:rPr>
                <w:sz w:val="18"/>
                <w:szCs w:val="18"/>
              </w:rPr>
            </w:pPr>
          </w:p>
        </w:tc>
        <w:tc>
          <w:tcPr>
            <w:tcW w:w="311" w:type="pct"/>
            <w:vMerge w:val="continue"/>
            <w:tcMar>
              <w:left w:w="0" w:type="dxa"/>
              <w:right w:w="0" w:type="dxa"/>
            </w:tcMar>
            <w:vAlign w:val="center"/>
          </w:tcPr>
          <w:p w14:paraId="2DB3AD6E">
            <w:pPr>
              <w:pStyle w:val="34"/>
              <w:rPr>
                <w:sz w:val="18"/>
                <w:szCs w:val="18"/>
              </w:rPr>
            </w:pPr>
          </w:p>
        </w:tc>
        <w:tc>
          <w:tcPr>
            <w:tcW w:w="243" w:type="pct"/>
            <w:vMerge w:val="continue"/>
            <w:tcMar>
              <w:left w:w="0" w:type="dxa"/>
              <w:right w:w="0" w:type="dxa"/>
            </w:tcMar>
            <w:vAlign w:val="center"/>
          </w:tcPr>
          <w:p w14:paraId="61110E6E">
            <w:pPr>
              <w:pStyle w:val="34"/>
              <w:rPr>
                <w:sz w:val="18"/>
                <w:szCs w:val="18"/>
              </w:rPr>
            </w:pPr>
          </w:p>
        </w:tc>
        <w:tc>
          <w:tcPr>
            <w:tcW w:w="213" w:type="pct"/>
            <w:tcMar>
              <w:left w:w="0" w:type="dxa"/>
              <w:right w:w="0" w:type="dxa"/>
            </w:tcMar>
            <w:vAlign w:val="center"/>
          </w:tcPr>
          <w:p w14:paraId="66637803">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10FFF411">
            <w:pPr>
              <w:pStyle w:val="34"/>
              <w:rPr>
                <w:sz w:val="18"/>
                <w:szCs w:val="18"/>
                <w:lang w:eastAsia="en-US"/>
              </w:rPr>
            </w:pPr>
            <w:r>
              <w:rPr>
                <w:sz w:val="18"/>
                <w:szCs w:val="18"/>
                <w:lang w:eastAsia="en-US"/>
              </w:rPr>
              <w:t>松节油</w:t>
            </w:r>
          </w:p>
        </w:tc>
        <w:tc>
          <w:tcPr>
            <w:tcW w:w="267" w:type="pct"/>
            <w:tcMar>
              <w:left w:w="0" w:type="dxa"/>
              <w:right w:w="0" w:type="dxa"/>
            </w:tcMar>
            <w:vAlign w:val="center"/>
          </w:tcPr>
          <w:p w14:paraId="4642F602">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11E48FA8">
            <w:pPr>
              <w:pStyle w:val="34"/>
              <w:rPr>
                <w:sz w:val="18"/>
                <w:szCs w:val="18"/>
                <w:lang w:eastAsia="en-US"/>
              </w:rPr>
            </w:pPr>
            <w:r>
              <w:rPr>
                <w:rFonts w:hint="eastAsia"/>
                <w:sz w:val="18"/>
                <w:szCs w:val="18"/>
                <w:lang w:eastAsia="en-US"/>
              </w:rPr>
              <w:t>8006-64-2</w:t>
            </w:r>
          </w:p>
        </w:tc>
        <w:tc>
          <w:tcPr>
            <w:tcW w:w="230" w:type="pct"/>
            <w:tcMar>
              <w:left w:w="0" w:type="dxa"/>
              <w:right w:w="0" w:type="dxa"/>
            </w:tcMar>
            <w:vAlign w:val="center"/>
          </w:tcPr>
          <w:p w14:paraId="0867ED36">
            <w:pPr>
              <w:pStyle w:val="34"/>
              <w:rPr>
                <w:sz w:val="18"/>
                <w:szCs w:val="18"/>
                <w:lang w:eastAsia="en-US"/>
              </w:rPr>
            </w:pPr>
            <w:r>
              <w:rPr>
                <w:rFonts w:hint="eastAsia"/>
                <w:sz w:val="18"/>
                <w:szCs w:val="18"/>
                <w:lang w:eastAsia="en-US"/>
              </w:rPr>
              <w:t>2500</w:t>
            </w:r>
          </w:p>
        </w:tc>
        <w:tc>
          <w:tcPr>
            <w:tcW w:w="490" w:type="pct"/>
            <w:tcMar>
              <w:left w:w="0" w:type="dxa"/>
              <w:right w:w="0" w:type="dxa"/>
            </w:tcMar>
            <w:vAlign w:val="center"/>
          </w:tcPr>
          <w:p w14:paraId="1603E78B">
            <w:pPr>
              <w:pStyle w:val="34"/>
              <w:rPr>
                <w:sz w:val="18"/>
                <w:szCs w:val="18"/>
                <w:lang w:eastAsia="en-US"/>
              </w:rPr>
            </w:pPr>
            <w:r>
              <w:rPr>
                <w:rFonts w:hint="eastAsia"/>
                <w:sz w:val="18"/>
                <w:szCs w:val="18"/>
                <w:lang w:eastAsia="en-US"/>
              </w:rPr>
              <w:t>易燃、运输量大</w:t>
            </w:r>
          </w:p>
        </w:tc>
        <w:tc>
          <w:tcPr>
            <w:tcW w:w="500" w:type="pct"/>
            <w:tcMar>
              <w:left w:w="0" w:type="dxa"/>
              <w:right w:w="0" w:type="dxa"/>
            </w:tcMar>
            <w:vAlign w:val="center"/>
          </w:tcPr>
          <w:p w14:paraId="2ED67871">
            <w:pPr>
              <w:pStyle w:val="34"/>
              <w:rPr>
                <w:sz w:val="18"/>
                <w:szCs w:val="18"/>
                <w:lang w:eastAsia="en-US"/>
              </w:rPr>
            </w:pPr>
            <w:r>
              <w:rPr>
                <w:rFonts w:hint="eastAsia"/>
                <w:sz w:val="18"/>
                <w:szCs w:val="18"/>
                <w:lang w:eastAsia="en-US"/>
              </w:rPr>
              <w:t>列入，按油类物质</w:t>
            </w:r>
          </w:p>
        </w:tc>
        <w:tc>
          <w:tcPr>
            <w:tcW w:w="1373" w:type="pct"/>
            <w:tcMar>
              <w:left w:w="0" w:type="dxa"/>
              <w:right w:w="0" w:type="dxa"/>
            </w:tcMar>
            <w:vAlign w:val="center"/>
          </w:tcPr>
          <w:p w14:paraId="74D762AF">
            <w:pPr>
              <w:pStyle w:val="34"/>
              <w:rPr>
                <w:sz w:val="18"/>
                <w:szCs w:val="18"/>
                <w:lang w:eastAsia="en-US"/>
              </w:rPr>
            </w:pPr>
            <w:r>
              <w:rPr>
                <w:rFonts w:hint="eastAsia"/>
                <w:sz w:val="18"/>
                <w:szCs w:val="18"/>
                <w:lang w:eastAsia="en-US"/>
              </w:rPr>
              <w:t>--</w:t>
            </w:r>
          </w:p>
        </w:tc>
      </w:tr>
      <w:tr w14:paraId="732786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A2DE16B">
            <w:pPr>
              <w:pStyle w:val="34"/>
              <w:numPr>
                <w:ilvl w:val="0"/>
                <w:numId w:val="53"/>
              </w:numPr>
              <w:rPr>
                <w:sz w:val="18"/>
                <w:szCs w:val="18"/>
                <w:lang w:eastAsia="en-US"/>
              </w:rPr>
            </w:pPr>
          </w:p>
        </w:tc>
        <w:tc>
          <w:tcPr>
            <w:tcW w:w="145" w:type="pct"/>
            <w:vMerge w:val="continue"/>
            <w:tcMar>
              <w:left w:w="0" w:type="dxa"/>
              <w:right w:w="0" w:type="dxa"/>
            </w:tcMar>
            <w:vAlign w:val="center"/>
          </w:tcPr>
          <w:p w14:paraId="3D2D84A9">
            <w:pPr>
              <w:pStyle w:val="34"/>
              <w:rPr>
                <w:sz w:val="18"/>
                <w:szCs w:val="18"/>
                <w:lang w:eastAsia="en-US"/>
              </w:rPr>
            </w:pPr>
          </w:p>
        </w:tc>
        <w:tc>
          <w:tcPr>
            <w:tcW w:w="145" w:type="pct"/>
            <w:vMerge w:val="continue"/>
            <w:tcMar>
              <w:left w:w="0" w:type="dxa"/>
              <w:right w:w="0" w:type="dxa"/>
            </w:tcMar>
            <w:vAlign w:val="center"/>
          </w:tcPr>
          <w:p w14:paraId="1647297B">
            <w:pPr>
              <w:pStyle w:val="34"/>
              <w:rPr>
                <w:sz w:val="18"/>
                <w:szCs w:val="18"/>
                <w:lang w:eastAsia="en-US"/>
              </w:rPr>
            </w:pPr>
          </w:p>
        </w:tc>
        <w:tc>
          <w:tcPr>
            <w:tcW w:w="311" w:type="pct"/>
            <w:vMerge w:val="continue"/>
            <w:tcMar>
              <w:left w:w="0" w:type="dxa"/>
              <w:right w:w="0" w:type="dxa"/>
            </w:tcMar>
            <w:vAlign w:val="center"/>
          </w:tcPr>
          <w:p w14:paraId="430EFE3E">
            <w:pPr>
              <w:pStyle w:val="34"/>
              <w:rPr>
                <w:sz w:val="18"/>
                <w:szCs w:val="18"/>
                <w:lang w:eastAsia="en-US"/>
              </w:rPr>
            </w:pPr>
          </w:p>
        </w:tc>
        <w:tc>
          <w:tcPr>
            <w:tcW w:w="243" w:type="pct"/>
            <w:vMerge w:val="continue"/>
            <w:tcMar>
              <w:left w:w="0" w:type="dxa"/>
              <w:right w:w="0" w:type="dxa"/>
            </w:tcMar>
            <w:vAlign w:val="center"/>
          </w:tcPr>
          <w:p w14:paraId="313C70F5">
            <w:pPr>
              <w:pStyle w:val="34"/>
              <w:rPr>
                <w:sz w:val="18"/>
                <w:szCs w:val="18"/>
                <w:lang w:eastAsia="en-US"/>
              </w:rPr>
            </w:pPr>
          </w:p>
        </w:tc>
        <w:tc>
          <w:tcPr>
            <w:tcW w:w="213" w:type="pct"/>
            <w:tcMar>
              <w:left w:w="0" w:type="dxa"/>
              <w:right w:w="0" w:type="dxa"/>
            </w:tcMar>
            <w:vAlign w:val="center"/>
          </w:tcPr>
          <w:p w14:paraId="76C63813">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2D621F46">
            <w:pPr>
              <w:pStyle w:val="34"/>
              <w:rPr>
                <w:sz w:val="18"/>
                <w:szCs w:val="18"/>
                <w:lang w:eastAsia="en-US"/>
              </w:rPr>
            </w:pPr>
            <w:r>
              <w:rPr>
                <w:sz w:val="18"/>
                <w:szCs w:val="18"/>
                <w:lang w:eastAsia="en-US"/>
              </w:rPr>
              <w:t>煤焦油</w:t>
            </w:r>
          </w:p>
        </w:tc>
        <w:tc>
          <w:tcPr>
            <w:tcW w:w="267" w:type="pct"/>
            <w:tcMar>
              <w:left w:w="0" w:type="dxa"/>
              <w:right w:w="0" w:type="dxa"/>
            </w:tcMar>
            <w:vAlign w:val="center"/>
          </w:tcPr>
          <w:p w14:paraId="28568956">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1ADF77F8">
            <w:pPr>
              <w:pStyle w:val="34"/>
              <w:rPr>
                <w:sz w:val="18"/>
                <w:szCs w:val="18"/>
                <w:lang w:eastAsia="en-US"/>
              </w:rPr>
            </w:pPr>
            <w:r>
              <w:rPr>
                <w:sz w:val="18"/>
                <w:szCs w:val="18"/>
                <w:lang w:eastAsia="en-US"/>
              </w:rPr>
              <w:t>65996-93-2</w:t>
            </w:r>
          </w:p>
        </w:tc>
        <w:tc>
          <w:tcPr>
            <w:tcW w:w="230" w:type="pct"/>
            <w:tcMar>
              <w:left w:w="0" w:type="dxa"/>
              <w:right w:w="0" w:type="dxa"/>
            </w:tcMar>
            <w:vAlign w:val="center"/>
          </w:tcPr>
          <w:p w14:paraId="0A0A22C3">
            <w:pPr>
              <w:pStyle w:val="34"/>
              <w:rPr>
                <w:sz w:val="18"/>
                <w:szCs w:val="18"/>
                <w:lang w:eastAsia="en-US"/>
              </w:rPr>
            </w:pPr>
            <w:r>
              <w:rPr>
                <w:rFonts w:hint="eastAsia"/>
                <w:sz w:val="18"/>
                <w:szCs w:val="18"/>
                <w:lang w:eastAsia="en-US"/>
              </w:rPr>
              <w:t>2500</w:t>
            </w:r>
          </w:p>
        </w:tc>
        <w:tc>
          <w:tcPr>
            <w:tcW w:w="490" w:type="pct"/>
            <w:tcMar>
              <w:left w:w="0" w:type="dxa"/>
              <w:right w:w="0" w:type="dxa"/>
            </w:tcMar>
            <w:vAlign w:val="center"/>
          </w:tcPr>
          <w:p w14:paraId="41E4591F">
            <w:pPr>
              <w:pStyle w:val="34"/>
              <w:rPr>
                <w:sz w:val="18"/>
                <w:szCs w:val="18"/>
                <w:lang w:eastAsia="en-US"/>
              </w:rPr>
            </w:pPr>
            <w:r>
              <w:rPr>
                <w:rFonts w:hint="eastAsia"/>
                <w:sz w:val="18"/>
                <w:szCs w:val="18"/>
                <w:lang w:eastAsia="en-US"/>
              </w:rPr>
              <w:t>易燃、运输量大</w:t>
            </w:r>
          </w:p>
        </w:tc>
        <w:tc>
          <w:tcPr>
            <w:tcW w:w="500" w:type="pct"/>
            <w:tcMar>
              <w:left w:w="0" w:type="dxa"/>
              <w:right w:w="0" w:type="dxa"/>
            </w:tcMar>
            <w:vAlign w:val="center"/>
          </w:tcPr>
          <w:p w14:paraId="703BE2A2">
            <w:pPr>
              <w:pStyle w:val="34"/>
              <w:rPr>
                <w:sz w:val="18"/>
                <w:szCs w:val="18"/>
                <w:lang w:eastAsia="en-US"/>
              </w:rPr>
            </w:pPr>
            <w:r>
              <w:rPr>
                <w:rFonts w:hint="eastAsia"/>
                <w:sz w:val="18"/>
                <w:szCs w:val="18"/>
                <w:lang w:eastAsia="en-US"/>
              </w:rPr>
              <w:t>列入，按油类物质</w:t>
            </w:r>
          </w:p>
        </w:tc>
        <w:tc>
          <w:tcPr>
            <w:tcW w:w="1373" w:type="pct"/>
            <w:tcMar>
              <w:left w:w="0" w:type="dxa"/>
              <w:right w:w="0" w:type="dxa"/>
            </w:tcMar>
            <w:vAlign w:val="center"/>
          </w:tcPr>
          <w:p w14:paraId="44726207">
            <w:pPr>
              <w:pStyle w:val="34"/>
              <w:rPr>
                <w:sz w:val="18"/>
                <w:szCs w:val="18"/>
                <w:lang w:eastAsia="en-US"/>
              </w:rPr>
            </w:pPr>
            <w:r>
              <w:rPr>
                <w:rFonts w:hint="eastAsia"/>
                <w:sz w:val="18"/>
                <w:szCs w:val="18"/>
                <w:lang w:eastAsia="en-US"/>
              </w:rPr>
              <w:t>-</w:t>
            </w:r>
          </w:p>
        </w:tc>
      </w:tr>
      <w:tr w14:paraId="71502E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E4F7772">
            <w:pPr>
              <w:pStyle w:val="34"/>
              <w:numPr>
                <w:ilvl w:val="0"/>
                <w:numId w:val="53"/>
              </w:numPr>
              <w:rPr>
                <w:sz w:val="18"/>
                <w:szCs w:val="18"/>
                <w:lang w:eastAsia="en-US"/>
              </w:rPr>
            </w:pPr>
          </w:p>
        </w:tc>
        <w:tc>
          <w:tcPr>
            <w:tcW w:w="145" w:type="pct"/>
            <w:vMerge w:val="continue"/>
            <w:tcMar>
              <w:left w:w="0" w:type="dxa"/>
              <w:right w:w="0" w:type="dxa"/>
            </w:tcMar>
            <w:vAlign w:val="center"/>
          </w:tcPr>
          <w:p w14:paraId="59A623A8">
            <w:pPr>
              <w:pStyle w:val="34"/>
              <w:rPr>
                <w:sz w:val="18"/>
                <w:szCs w:val="18"/>
                <w:lang w:eastAsia="en-US"/>
              </w:rPr>
            </w:pPr>
          </w:p>
        </w:tc>
        <w:tc>
          <w:tcPr>
            <w:tcW w:w="145" w:type="pct"/>
            <w:vMerge w:val="continue"/>
            <w:tcMar>
              <w:left w:w="0" w:type="dxa"/>
              <w:right w:w="0" w:type="dxa"/>
            </w:tcMar>
            <w:vAlign w:val="center"/>
          </w:tcPr>
          <w:p w14:paraId="55B2DCAA">
            <w:pPr>
              <w:pStyle w:val="34"/>
              <w:rPr>
                <w:sz w:val="18"/>
                <w:szCs w:val="18"/>
                <w:lang w:eastAsia="en-US"/>
              </w:rPr>
            </w:pPr>
          </w:p>
        </w:tc>
        <w:tc>
          <w:tcPr>
            <w:tcW w:w="311" w:type="pct"/>
            <w:vMerge w:val="continue"/>
            <w:tcMar>
              <w:left w:w="0" w:type="dxa"/>
              <w:right w:w="0" w:type="dxa"/>
            </w:tcMar>
            <w:vAlign w:val="center"/>
          </w:tcPr>
          <w:p w14:paraId="49C85088">
            <w:pPr>
              <w:pStyle w:val="34"/>
              <w:rPr>
                <w:sz w:val="18"/>
                <w:szCs w:val="18"/>
                <w:lang w:eastAsia="en-US"/>
              </w:rPr>
            </w:pPr>
          </w:p>
        </w:tc>
        <w:tc>
          <w:tcPr>
            <w:tcW w:w="243" w:type="pct"/>
            <w:vMerge w:val="continue"/>
            <w:tcMar>
              <w:left w:w="0" w:type="dxa"/>
              <w:right w:w="0" w:type="dxa"/>
            </w:tcMar>
            <w:vAlign w:val="center"/>
          </w:tcPr>
          <w:p w14:paraId="24C64507">
            <w:pPr>
              <w:pStyle w:val="34"/>
              <w:rPr>
                <w:sz w:val="18"/>
                <w:szCs w:val="18"/>
                <w:lang w:eastAsia="en-US"/>
              </w:rPr>
            </w:pPr>
          </w:p>
        </w:tc>
        <w:tc>
          <w:tcPr>
            <w:tcW w:w="213" w:type="pct"/>
            <w:tcMar>
              <w:left w:w="0" w:type="dxa"/>
              <w:right w:w="0" w:type="dxa"/>
            </w:tcMar>
            <w:vAlign w:val="center"/>
          </w:tcPr>
          <w:p w14:paraId="6552EC4A">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93FCF6A">
            <w:pPr>
              <w:pStyle w:val="34"/>
              <w:rPr>
                <w:sz w:val="18"/>
                <w:szCs w:val="18"/>
              </w:rPr>
            </w:pPr>
            <w:r>
              <w:rPr>
                <w:rFonts w:hint="eastAsia"/>
                <w:sz w:val="18"/>
                <w:szCs w:val="18"/>
              </w:rPr>
              <w:t>油类物质（矿物油类，如石油、汽油、柴油等；生物柴油等）</w:t>
            </w:r>
          </w:p>
        </w:tc>
        <w:tc>
          <w:tcPr>
            <w:tcW w:w="267" w:type="pct"/>
            <w:tcMar>
              <w:left w:w="0" w:type="dxa"/>
              <w:right w:w="0" w:type="dxa"/>
            </w:tcMar>
            <w:vAlign w:val="center"/>
          </w:tcPr>
          <w:p w14:paraId="6004EB00">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37B84281">
            <w:pPr>
              <w:pStyle w:val="34"/>
              <w:rPr>
                <w:sz w:val="18"/>
                <w:szCs w:val="18"/>
                <w:lang w:eastAsia="en-US"/>
              </w:rPr>
            </w:pPr>
            <w:r>
              <w:rPr>
                <w:rFonts w:hint="eastAsia"/>
                <w:sz w:val="18"/>
                <w:szCs w:val="18"/>
                <w:lang w:eastAsia="en-US"/>
              </w:rPr>
              <w:t>/</w:t>
            </w:r>
          </w:p>
        </w:tc>
        <w:tc>
          <w:tcPr>
            <w:tcW w:w="230" w:type="pct"/>
            <w:tcMar>
              <w:left w:w="0" w:type="dxa"/>
              <w:right w:w="0" w:type="dxa"/>
            </w:tcMar>
            <w:vAlign w:val="center"/>
          </w:tcPr>
          <w:p w14:paraId="32DC3118">
            <w:pPr>
              <w:pStyle w:val="34"/>
              <w:rPr>
                <w:sz w:val="18"/>
                <w:szCs w:val="18"/>
                <w:lang w:eastAsia="en-US"/>
              </w:rPr>
            </w:pPr>
            <w:r>
              <w:rPr>
                <w:rFonts w:hint="eastAsia"/>
                <w:sz w:val="18"/>
                <w:szCs w:val="18"/>
                <w:lang w:eastAsia="en-US"/>
              </w:rPr>
              <w:t>2500</w:t>
            </w:r>
          </w:p>
        </w:tc>
        <w:tc>
          <w:tcPr>
            <w:tcW w:w="490" w:type="pct"/>
            <w:tcMar>
              <w:left w:w="0" w:type="dxa"/>
              <w:right w:w="0" w:type="dxa"/>
            </w:tcMar>
            <w:vAlign w:val="center"/>
          </w:tcPr>
          <w:p w14:paraId="44544494">
            <w:pPr>
              <w:pStyle w:val="34"/>
              <w:rPr>
                <w:sz w:val="18"/>
                <w:szCs w:val="18"/>
                <w:lang w:eastAsia="en-US"/>
              </w:rPr>
            </w:pPr>
            <w:r>
              <w:rPr>
                <w:rFonts w:hint="eastAsia"/>
                <w:sz w:val="18"/>
                <w:szCs w:val="18"/>
                <w:lang w:eastAsia="en-US"/>
              </w:rPr>
              <w:t>船舶油舱、存在量大</w:t>
            </w:r>
          </w:p>
        </w:tc>
        <w:tc>
          <w:tcPr>
            <w:tcW w:w="500" w:type="pct"/>
            <w:tcMar>
              <w:left w:w="0" w:type="dxa"/>
              <w:right w:w="0" w:type="dxa"/>
            </w:tcMar>
            <w:vAlign w:val="center"/>
          </w:tcPr>
          <w:p w14:paraId="6FD7B9F4">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4205BDD3">
            <w:pPr>
              <w:pStyle w:val="34"/>
              <w:rPr>
                <w:sz w:val="18"/>
                <w:szCs w:val="18"/>
                <w:lang w:eastAsia="en-US"/>
              </w:rPr>
            </w:pPr>
            <w:r>
              <w:rPr>
                <w:rFonts w:hint="eastAsia"/>
                <w:sz w:val="18"/>
                <w:szCs w:val="18"/>
                <w:lang w:eastAsia="en-US"/>
              </w:rPr>
              <w:t>-</w:t>
            </w:r>
          </w:p>
        </w:tc>
      </w:tr>
      <w:tr w14:paraId="27F696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C27192B">
            <w:pPr>
              <w:pStyle w:val="34"/>
              <w:numPr>
                <w:ilvl w:val="0"/>
                <w:numId w:val="53"/>
              </w:numPr>
              <w:rPr>
                <w:sz w:val="18"/>
                <w:szCs w:val="18"/>
                <w:lang w:eastAsia="en-US"/>
              </w:rPr>
            </w:pPr>
          </w:p>
        </w:tc>
        <w:tc>
          <w:tcPr>
            <w:tcW w:w="145" w:type="pct"/>
            <w:vMerge w:val="continue"/>
            <w:tcMar>
              <w:left w:w="0" w:type="dxa"/>
              <w:right w:w="0" w:type="dxa"/>
            </w:tcMar>
            <w:vAlign w:val="center"/>
          </w:tcPr>
          <w:p w14:paraId="72FD5345">
            <w:pPr>
              <w:pStyle w:val="34"/>
              <w:rPr>
                <w:sz w:val="18"/>
                <w:szCs w:val="18"/>
                <w:lang w:eastAsia="en-US"/>
              </w:rPr>
            </w:pPr>
          </w:p>
        </w:tc>
        <w:tc>
          <w:tcPr>
            <w:tcW w:w="145" w:type="pct"/>
            <w:vMerge w:val="continue"/>
            <w:tcMar>
              <w:left w:w="0" w:type="dxa"/>
              <w:right w:w="0" w:type="dxa"/>
            </w:tcMar>
            <w:vAlign w:val="center"/>
          </w:tcPr>
          <w:p w14:paraId="7B70774C">
            <w:pPr>
              <w:pStyle w:val="34"/>
              <w:rPr>
                <w:sz w:val="18"/>
                <w:szCs w:val="18"/>
                <w:lang w:eastAsia="en-US"/>
              </w:rPr>
            </w:pPr>
          </w:p>
        </w:tc>
        <w:tc>
          <w:tcPr>
            <w:tcW w:w="311" w:type="pct"/>
            <w:vMerge w:val="continue"/>
            <w:tcMar>
              <w:left w:w="0" w:type="dxa"/>
              <w:right w:w="0" w:type="dxa"/>
            </w:tcMar>
            <w:vAlign w:val="center"/>
          </w:tcPr>
          <w:p w14:paraId="249D9AEB">
            <w:pPr>
              <w:pStyle w:val="34"/>
              <w:rPr>
                <w:sz w:val="18"/>
                <w:szCs w:val="18"/>
                <w:lang w:eastAsia="en-US"/>
              </w:rPr>
            </w:pPr>
          </w:p>
        </w:tc>
        <w:tc>
          <w:tcPr>
            <w:tcW w:w="243" w:type="pct"/>
            <w:tcMar>
              <w:left w:w="0" w:type="dxa"/>
              <w:right w:w="0" w:type="dxa"/>
            </w:tcMar>
            <w:vAlign w:val="center"/>
          </w:tcPr>
          <w:p w14:paraId="4D4CEA09">
            <w:pPr>
              <w:pStyle w:val="34"/>
              <w:rPr>
                <w:sz w:val="18"/>
                <w:szCs w:val="18"/>
                <w:lang w:eastAsia="en-US"/>
              </w:rPr>
            </w:pPr>
            <w:r>
              <w:rPr>
                <w:sz w:val="18"/>
                <w:szCs w:val="18"/>
                <w:lang w:eastAsia="en-US"/>
              </w:rPr>
              <w:t>毒性</w:t>
            </w:r>
          </w:p>
        </w:tc>
        <w:tc>
          <w:tcPr>
            <w:tcW w:w="213" w:type="pct"/>
            <w:tcMar>
              <w:left w:w="0" w:type="dxa"/>
              <w:right w:w="0" w:type="dxa"/>
            </w:tcMar>
            <w:vAlign w:val="center"/>
          </w:tcPr>
          <w:p w14:paraId="1ABB2BBF">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1989F503">
            <w:pPr>
              <w:pStyle w:val="34"/>
              <w:rPr>
                <w:sz w:val="18"/>
                <w:szCs w:val="18"/>
                <w:lang w:eastAsia="en-US"/>
              </w:rPr>
            </w:pPr>
            <w:r>
              <w:rPr>
                <w:sz w:val="18"/>
                <w:szCs w:val="18"/>
                <w:lang w:eastAsia="en-US"/>
              </w:rPr>
              <w:t>己二腈</w:t>
            </w:r>
          </w:p>
        </w:tc>
        <w:tc>
          <w:tcPr>
            <w:tcW w:w="267" w:type="pct"/>
            <w:tcMar>
              <w:left w:w="0" w:type="dxa"/>
              <w:right w:w="0" w:type="dxa"/>
            </w:tcMar>
            <w:vAlign w:val="center"/>
          </w:tcPr>
          <w:p w14:paraId="5C893786">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1723FBCE">
            <w:pPr>
              <w:pStyle w:val="34"/>
              <w:rPr>
                <w:sz w:val="18"/>
                <w:szCs w:val="18"/>
                <w:lang w:eastAsia="en-US"/>
              </w:rPr>
            </w:pPr>
            <w:r>
              <w:rPr>
                <w:sz w:val="18"/>
                <w:szCs w:val="18"/>
                <w:lang w:eastAsia="en-US"/>
              </w:rPr>
              <w:t>111-69-3</w:t>
            </w:r>
          </w:p>
        </w:tc>
        <w:tc>
          <w:tcPr>
            <w:tcW w:w="230" w:type="pct"/>
            <w:tcMar>
              <w:left w:w="0" w:type="dxa"/>
              <w:right w:w="0" w:type="dxa"/>
            </w:tcMar>
            <w:vAlign w:val="center"/>
          </w:tcPr>
          <w:p w14:paraId="5A7FC56E">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72C6049E">
            <w:pPr>
              <w:pStyle w:val="34"/>
              <w:rPr>
                <w:sz w:val="18"/>
                <w:szCs w:val="18"/>
                <w:lang w:eastAsia="en-US"/>
              </w:rPr>
            </w:pPr>
            <w:r>
              <w:rPr>
                <w:rFonts w:hint="eastAsia"/>
                <w:sz w:val="18"/>
                <w:szCs w:val="18"/>
                <w:lang w:eastAsia="en-US"/>
              </w:rPr>
              <w:t>毒性大、运输量大</w:t>
            </w:r>
          </w:p>
        </w:tc>
        <w:tc>
          <w:tcPr>
            <w:tcW w:w="500" w:type="pct"/>
            <w:tcMar>
              <w:left w:w="0" w:type="dxa"/>
              <w:right w:w="0" w:type="dxa"/>
            </w:tcMar>
            <w:vAlign w:val="center"/>
          </w:tcPr>
          <w:p w14:paraId="31AC24AD">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407BD51">
            <w:pPr>
              <w:pStyle w:val="34"/>
              <w:rPr>
                <w:sz w:val="18"/>
                <w:szCs w:val="18"/>
                <w:lang w:eastAsia="en-US"/>
              </w:rPr>
            </w:pPr>
            <w:r>
              <w:rPr>
                <w:rFonts w:hint="eastAsia"/>
                <w:sz w:val="18"/>
                <w:szCs w:val="18"/>
                <w:lang w:eastAsia="en-US"/>
              </w:rPr>
              <w:t>-</w:t>
            </w:r>
          </w:p>
        </w:tc>
      </w:tr>
      <w:tr w14:paraId="0A3455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9F10BEC">
            <w:pPr>
              <w:pStyle w:val="34"/>
              <w:numPr>
                <w:ilvl w:val="0"/>
                <w:numId w:val="53"/>
              </w:numPr>
              <w:rPr>
                <w:sz w:val="18"/>
                <w:szCs w:val="18"/>
                <w:lang w:eastAsia="en-US"/>
              </w:rPr>
            </w:pPr>
          </w:p>
        </w:tc>
        <w:tc>
          <w:tcPr>
            <w:tcW w:w="145" w:type="pct"/>
            <w:vMerge w:val="continue"/>
            <w:tcMar>
              <w:left w:w="0" w:type="dxa"/>
              <w:right w:w="0" w:type="dxa"/>
            </w:tcMar>
            <w:vAlign w:val="center"/>
          </w:tcPr>
          <w:p w14:paraId="6F63318D">
            <w:pPr>
              <w:pStyle w:val="34"/>
              <w:rPr>
                <w:sz w:val="18"/>
                <w:szCs w:val="18"/>
                <w:lang w:eastAsia="en-US"/>
              </w:rPr>
            </w:pPr>
          </w:p>
        </w:tc>
        <w:tc>
          <w:tcPr>
            <w:tcW w:w="145" w:type="pct"/>
            <w:vMerge w:val="continue"/>
            <w:tcMar>
              <w:left w:w="0" w:type="dxa"/>
              <w:right w:w="0" w:type="dxa"/>
            </w:tcMar>
            <w:vAlign w:val="center"/>
          </w:tcPr>
          <w:p w14:paraId="4B70DFBD">
            <w:pPr>
              <w:pStyle w:val="34"/>
              <w:rPr>
                <w:sz w:val="18"/>
                <w:szCs w:val="18"/>
                <w:lang w:eastAsia="en-US"/>
              </w:rPr>
            </w:pPr>
          </w:p>
        </w:tc>
        <w:tc>
          <w:tcPr>
            <w:tcW w:w="311" w:type="pct"/>
            <w:vMerge w:val="restart"/>
            <w:tcMar>
              <w:left w:w="0" w:type="dxa"/>
              <w:right w:w="0" w:type="dxa"/>
            </w:tcMar>
            <w:vAlign w:val="center"/>
          </w:tcPr>
          <w:p w14:paraId="444436B1">
            <w:pPr>
              <w:pStyle w:val="34"/>
              <w:rPr>
                <w:sz w:val="18"/>
                <w:szCs w:val="18"/>
                <w:lang w:eastAsia="en-US"/>
              </w:rPr>
            </w:pPr>
            <w:r>
              <w:rPr>
                <w:sz w:val="18"/>
                <w:szCs w:val="18"/>
                <w:lang w:eastAsia="en-US"/>
              </w:rPr>
              <w:t>有机，密度＞1g/cm</w:t>
            </w:r>
            <w:r>
              <w:rPr>
                <w:sz w:val="18"/>
                <w:szCs w:val="18"/>
                <w:vertAlign w:val="superscript"/>
                <w:lang w:eastAsia="en-US"/>
              </w:rPr>
              <w:t>3</w:t>
            </w:r>
          </w:p>
        </w:tc>
        <w:tc>
          <w:tcPr>
            <w:tcW w:w="243" w:type="pct"/>
            <w:tcMar>
              <w:left w:w="0" w:type="dxa"/>
              <w:right w:w="0" w:type="dxa"/>
            </w:tcMar>
            <w:vAlign w:val="center"/>
          </w:tcPr>
          <w:p w14:paraId="07F306C3">
            <w:pPr>
              <w:pStyle w:val="34"/>
              <w:rPr>
                <w:sz w:val="18"/>
                <w:szCs w:val="18"/>
                <w:lang w:eastAsia="en-US"/>
              </w:rPr>
            </w:pPr>
            <w:r>
              <w:rPr>
                <w:sz w:val="18"/>
                <w:szCs w:val="18"/>
                <w:lang w:eastAsia="en-US"/>
              </w:rPr>
              <w:t>易燃易爆</w:t>
            </w:r>
          </w:p>
        </w:tc>
        <w:tc>
          <w:tcPr>
            <w:tcW w:w="213" w:type="pct"/>
            <w:tcMar>
              <w:left w:w="0" w:type="dxa"/>
              <w:right w:w="0" w:type="dxa"/>
            </w:tcMar>
            <w:vAlign w:val="center"/>
          </w:tcPr>
          <w:p w14:paraId="11570DE1">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3BC3C91">
            <w:pPr>
              <w:pStyle w:val="34"/>
              <w:rPr>
                <w:sz w:val="18"/>
                <w:szCs w:val="18"/>
                <w:lang w:eastAsia="en-US"/>
              </w:rPr>
            </w:pPr>
            <w:r>
              <w:rPr>
                <w:rFonts w:hint="eastAsia"/>
                <w:sz w:val="18"/>
                <w:szCs w:val="18"/>
                <w:lang w:eastAsia="en-US"/>
              </w:rPr>
              <w:t>氯苯</w:t>
            </w:r>
          </w:p>
        </w:tc>
        <w:tc>
          <w:tcPr>
            <w:tcW w:w="267" w:type="pct"/>
            <w:tcMar>
              <w:left w:w="0" w:type="dxa"/>
              <w:right w:w="0" w:type="dxa"/>
            </w:tcMar>
            <w:vAlign w:val="center"/>
          </w:tcPr>
          <w:p w14:paraId="776C599E">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12B70587">
            <w:pPr>
              <w:pStyle w:val="34"/>
              <w:rPr>
                <w:sz w:val="18"/>
                <w:szCs w:val="18"/>
                <w:lang w:eastAsia="en-US"/>
              </w:rPr>
            </w:pPr>
            <w:r>
              <w:rPr>
                <w:sz w:val="18"/>
                <w:szCs w:val="18"/>
                <w:lang w:eastAsia="en-US"/>
              </w:rPr>
              <w:t>108-90-7</w:t>
            </w:r>
          </w:p>
        </w:tc>
        <w:tc>
          <w:tcPr>
            <w:tcW w:w="230" w:type="pct"/>
            <w:tcMar>
              <w:left w:w="0" w:type="dxa"/>
              <w:right w:w="0" w:type="dxa"/>
            </w:tcMar>
            <w:vAlign w:val="center"/>
          </w:tcPr>
          <w:p w14:paraId="125BBABA">
            <w:pPr>
              <w:pStyle w:val="34"/>
              <w:rPr>
                <w:sz w:val="18"/>
                <w:szCs w:val="18"/>
                <w:lang w:eastAsia="en-US"/>
              </w:rPr>
            </w:pPr>
            <w:r>
              <w:rPr>
                <w:rFonts w:hint="eastAsia"/>
                <w:sz w:val="18"/>
                <w:szCs w:val="18"/>
                <w:lang w:eastAsia="en-US"/>
              </w:rPr>
              <w:t>5</w:t>
            </w:r>
          </w:p>
        </w:tc>
        <w:tc>
          <w:tcPr>
            <w:tcW w:w="490" w:type="pct"/>
            <w:tcMar>
              <w:left w:w="0" w:type="dxa"/>
              <w:right w:w="0" w:type="dxa"/>
            </w:tcMar>
            <w:vAlign w:val="center"/>
          </w:tcPr>
          <w:p w14:paraId="64172B43">
            <w:pPr>
              <w:pStyle w:val="34"/>
              <w:rPr>
                <w:sz w:val="18"/>
                <w:szCs w:val="18"/>
              </w:rPr>
            </w:pPr>
            <w:r>
              <w:rPr>
                <w:rFonts w:hint="eastAsia"/>
                <w:sz w:val="18"/>
                <w:szCs w:val="18"/>
              </w:rPr>
              <w:t>易燃、运输量大、毒性</w:t>
            </w:r>
          </w:p>
        </w:tc>
        <w:tc>
          <w:tcPr>
            <w:tcW w:w="500" w:type="pct"/>
            <w:tcMar>
              <w:left w:w="0" w:type="dxa"/>
              <w:right w:w="0" w:type="dxa"/>
            </w:tcMar>
            <w:vAlign w:val="center"/>
          </w:tcPr>
          <w:p w14:paraId="67E3A44C">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2322D439">
            <w:pPr>
              <w:pStyle w:val="34"/>
              <w:rPr>
                <w:sz w:val="18"/>
                <w:szCs w:val="18"/>
                <w:lang w:eastAsia="en-US"/>
              </w:rPr>
            </w:pPr>
            <w:r>
              <w:rPr>
                <w:rFonts w:hint="eastAsia"/>
                <w:sz w:val="18"/>
                <w:szCs w:val="18"/>
                <w:lang w:eastAsia="en-US"/>
              </w:rPr>
              <w:t>-</w:t>
            </w:r>
          </w:p>
        </w:tc>
      </w:tr>
      <w:tr w14:paraId="5BA044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14C73520">
            <w:pPr>
              <w:pStyle w:val="34"/>
              <w:numPr>
                <w:ilvl w:val="0"/>
                <w:numId w:val="53"/>
              </w:numPr>
              <w:rPr>
                <w:sz w:val="18"/>
                <w:szCs w:val="18"/>
                <w:lang w:eastAsia="en-US"/>
              </w:rPr>
            </w:pPr>
          </w:p>
        </w:tc>
        <w:tc>
          <w:tcPr>
            <w:tcW w:w="145" w:type="pct"/>
            <w:vMerge w:val="continue"/>
            <w:tcMar>
              <w:left w:w="0" w:type="dxa"/>
              <w:right w:w="0" w:type="dxa"/>
            </w:tcMar>
            <w:vAlign w:val="center"/>
          </w:tcPr>
          <w:p w14:paraId="394DC259">
            <w:pPr>
              <w:pStyle w:val="34"/>
              <w:rPr>
                <w:sz w:val="18"/>
                <w:szCs w:val="18"/>
                <w:lang w:eastAsia="en-US"/>
              </w:rPr>
            </w:pPr>
          </w:p>
        </w:tc>
        <w:tc>
          <w:tcPr>
            <w:tcW w:w="145" w:type="pct"/>
            <w:vMerge w:val="continue"/>
            <w:tcMar>
              <w:left w:w="0" w:type="dxa"/>
              <w:right w:w="0" w:type="dxa"/>
            </w:tcMar>
            <w:vAlign w:val="center"/>
          </w:tcPr>
          <w:p w14:paraId="7725B33C">
            <w:pPr>
              <w:pStyle w:val="34"/>
              <w:rPr>
                <w:sz w:val="18"/>
                <w:szCs w:val="18"/>
                <w:lang w:eastAsia="en-US"/>
              </w:rPr>
            </w:pPr>
          </w:p>
        </w:tc>
        <w:tc>
          <w:tcPr>
            <w:tcW w:w="311" w:type="pct"/>
            <w:vMerge w:val="continue"/>
            <w:tcMar>
              <w:left w:w="0" w:type="dxa"/>
              <w:right w:w="0" w:type="dxa"/>
            </w:tcMar>
            <w:vAlign w:val="center"/>
          </w:tcPr>
          <w:p w14:paraId="7C59FC01">
            <w:pPr>
              <w:pStyle w:val="34"/>
              <w:rPr>
                <w:sz w:val="18"/>
                <w:szCs w:val="18"/>
                <w:lang w:eastAsia="en-US"/>
              </w:rPr>
            </w:pPr>
          </w:p>
        </w:tc>
        <w:tc>
          <w:tcPr>
            <w:tcW w:w="243" w:type="pct"/>
            <w:vMerge w:val="restart"/>
            <w:tcMar>
              <w:left w:w="0" w:type="dxa"/>
              <w:right w:w="0" w:type="dxa"/>
            </w:tcMar>
            <w:vAlign w:val="center"/>
          </w:tcPr>
          <w:p w14:paraId="2325B245">
            <w:pPr>
              <w:pStyle w:val="34"/>
              <w:rPr>
                <w:sz w:val="18"/>
                <w:szCs w:val="18"/>
                <w:lang w:eastAsia="en-US"/>
              </w:rPr>
            </w:pPr>
            <w:r>
              <w:rPr>
                <w:sz w:val="18"/>
                <w:szCs w:val="18"/>
                <w:lang w:eastAsia="en-US"/>
              </w:rPr>
              <w:t>毒性</w:t>
            </w:r>
          </w:p>
        </w:tc>
        <w:tc>
          <w:tcPr>
            <w:tcW w:w="213" w:type="pct"/>
            <w:tcMar>
              <w:left w:w="0" w:type="dxa"/>
              <w:right w:w="0" w:type="dxa"/>
            </w:tcMar>
            <w:vAlign w:val="center"/>
          </w:tcPr>
          <w:p w14:paraId="7834B6F0">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195B0608">
            <w:pPr>
              <w:pStyle w:val="34"/>
              <w:rPr>
                <w:sz w:val="18"/>
                <w:szCs w:val="18"/>
                <w:lang w:eastAsia="en-US"/>
              </w:rPr>
            </w:pPr>
            <w:r>
              <w:rPr>
                <w:rFonts w:hint="eastAsia"/>
                <w:sz w:val="18"/>
                <w:szCs w:val="18"/>
                <w:lang w:eastAsia="en-US"/>
              </w:rPr>
              <w:t>三氯甲烷</w:t>
            </w:r>
          </w:p>
        </w:tc>
        <w:tc>
          <w:tcPr>
            <w:tcW w:w="267" w:type="pct"/>
            <w:tcMar>
              <w:left w:w="0" w:type="dxa"/>
              <w:right w:w="0" w:type="dxa"/>
            </w:tcMar>
            <w:vAlign w:val="center"/>
          </w:tcPr>
          <w:p w14:paraId="540329A9">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1862208C">
            <w:pPr>
              <w:pStyle w:val="34"/>
              <w:rPr>
                <w:sz w:val="18"/>
                <w:szCs w:val="18"/>
                <w:lang w:eastAsia="en-US"/>
              </w:rPr>
            </w:pPr>
            <w:r>
              <w:rPr>
                <w:sz w:val="18"/>
                <w:szCs w:val="18"/>
                <w:lang w:eastAsia="en-US"/>
              </w:rPr>
              <w:t>67-66-3</w:t>
            </w:r>
          </w:p>
        </w:tc>
        <w:tc>
          <w:tcPr>
            <w:tcW w:w="230" w:type="pct"/>
            <w:tcMar>
              <w:left w:w="0" w:type="dxa"/>
              <w:right w:w="0" w:type="dxa"/>
            </w:tcMar>
            <w:vAlign w:val="center"/>
          </w:tcPr>
          <w:p w14:paraId="078760C5">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6F982B19">
            <w:pPr>
              <w:pStyle w:val="34"/>
              <w:rPr>
                <w:sz w:val="18"/>
                <w:szCs w:val="18"/>
                <w:lang w:eastAsia="en-US"/>
              </w:rPr>
            </w:pPr>
            <w:r>
              <w:rPr>
                <w:rFonts w:hint="eastAsia"/>
                <w:sz w:val="18"/>
                <w:szCs w:val="18"/>
                <w:lang w:eastAsia="en-US"/>
              </w:rPr>
              <w:t>毒性、运输量大</w:t>
            </w:r>
          </w:p>
        </w:tc>
        <w:tc>
          <w:tcPr>
            <w:tcW w:w="500" w:type="pct"/>
            <w:tcMar>
              <w:left w:w="0" w:type="dxa"/>
              <w:right w:w="0" w:type="dxa"/>
            </w:tcMar>
            <w:vAlign w:val="center"/>
          </w:tcPr>
          <w:p w14:paraId="3BBA4D80">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753C053B">
            <w:pPr>
              <w:pStyle w:val="34"/>
              <w:rPr>
                <w:sz w:val="18"/>
                <w:szCs w:val="18"/>
              </w:rPr>
            </w:pPr>
            <w:r>
              <w:rPr>
                <w:rFonts w:hint="eastAsia"/>
                <w:sz w:val="18"/>
                <w:szCs w:val="18"/>
              </w:rPr>
              <w:t>《有毒有害大气污染物名录（2018年）》、《有毒有害水污染物名录（第一批）》、</w:t>
            </w:r>
          </w:p>
          <w:p w14:paraId="1AA1B18E">
            <w:pPr>
              <w:pStyle w:val="34"/>
              <w:rPr>
                <w:sz w:val="18"/>
                <w:szCs w:val="18"/>
              </w:rPr>
            </w:pPr>
            <w:r>
              <w:rPr>
                <w:rFonts w:hint="eastAsia"/>
                <w:sz w:val="18"/>
                <w:szCs w:val="18"/>
              </w:rPr>
              <w:t>《重点管控新污染物清单（2023 年版）》、</w:t>
            </w:r>
          </w:p>
          <w:p w14:paraId="482557A6">
            <w:pPr>
              <w:pStyle w:val="34"/>
              <w:rPr>
                <w:sz w:val="18"/>
                <w:szCs w:val="18"/>
              </w:rPr>
            </w:pPr>
            <w:r>
              <w:rPr>
                <w:rFonts w:hint="eastAsia"/>
                <w:sz w:val="18"/>
                <w:szCs w:val="18"/>
              </w:rPr>
              <w:t>《易制毒化学品管理条例》第二类</w:t>
            </w:r>
          </w:p>
        </w:tc>
      </w:tr>
      <w:tr w14:paraId="68A01D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E73FAB2">
            <w:pPr>
              <w:pStyle w:val="34"/>
              <w:numPr>
                <w:ilvl w:val="0"/>
                <w:numId w:val="53"/>
              </w:numPr>
              <w:rPr>
                <w:sz w:val="18"/>
                <w:szCs w:val="18"/>
              </w:rPr>
            </w:pPr>
          </w:p>
        </w:tc>
        <w:tc>
          <w:tcPr>
            <w:tcW w:w="145" w:type="pct"/>
            <w:vMerge w:val="continue"/>
            <w:tcMar>
              <w:left w:w="0" w:type="dxa"/>
              <w:right w:w="0" w:type="dxa"/>
            </w:tcMar>
            <w:vAlign w:val="center"/>
          </w:tcPr>
          <w:p w14:paraId="32654E17">
            <w:pPr>
              <w:pStyle w:val="34"/>
              <w:rPr>
                <w:sz w:val="18"/>
                <w:szCs w:val="18"/>
              </w:rPr>
            </w:pPr>
          </w:p>
        </w:tc>
        <w:tc>
          <w:tcPr>
            <w:tcW w:w="145" w:type="pct"/>
            <w:vMerge w:val="continue"/>
            <w:tcMar>
              <w:left w:w="0" w:type="dxa"/>
              <w:right w:w="0" w:type="dxa"/>
            </w:tcMar>
            <w:vAlign w:val="center"/>
          </w:tcPr>
          <w:p w14:paraId="73719082">
            <w:pPr>
              <w:pStyle w:val="34"/>
              <w:rPr>
                <w:sz w:val="18"/>
                <w:szCs w:val="18"/>
              </w:rPr>
            </w:pPr>
          </w:p>
        </w:tc>
        <w:tc>
          <w:tcPr>
            <w:tcW w:w="311" w:type="pct"/>
            <w:vMerge w:val="continue"/>
            <w:tcMar>
              <w:left w:w="0" w:type="dxa"/>
              <w:right w:w="0" w:type="dxa"/>
            </w:tcMar>
            <w:vAlign w:val="center"/>
          </w:tcPr>
          <w:p w14:paraId="66C1C85B">
            <w:pPr>
              <w:pStyle w:val="34"/>
              <w:rPr>
                <w:sz w:val="18"/>
                <w:szCs w:val="18"/>
              </w:rPr>
            </w:pPr>
          </w:p>
        </w:tc>
        <w:tc>
          <w:tcPr>
            <w:tcW w:w="243" w:type="pct"/>
            <w:vMerge w:val="continue"/>
            <w:tcMar>
              <w:left w:w="0" w:type="dxa"/>
              <w:right w:w="0" w:type="dxa"/>
            </w:tcMar>
            <w:vAlign w:val="center"/>
          </w:tcPr>
          <w:p w14:paraId="33303216">
            <w:pPr>
              <w:pStyle w:val="34"/>
              <w:rPr>
                <w:sz w:val="18"/>
                <w:szCs w:val="18"/>
              </w:rPr>
            </w:pPr>
          </w:p>
        </w:tc>
        <w:tc>
          <w:tcPr>
            <w:tcW w:w="213" w:type="pct"/>
            <w:tcMar>
              <w:left w:w="0" w:type="dxa"/>
              <w:right w:w="0" w:type="dxa"/>
            </w:tcMar>
            <w:vAlign w:val="center"/>
          </w:tcPr>
          <w:p w14:paraId="5AFE4677">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67E22037">
            <w:pPr>
              <w:pStyle w:val="34"/>
              <w:rPr>
                <w:sz w:val="18"/>
                <w:szCs w:val="18"/>
                <w:lang w:eastAsia="en-US"/>
              </w:rPr>
            </w:pPr>
            <w:r>
              <w:rPr>
                <w:rFonts w:hint="eastAsia"/>
                <w:sz w:val="18"/>
                <w:szCs w:val="18"/>
                <w:lang w:eastAsia="en-US"/>
              </w:rPr>
              <w:t>四氯化碳</w:t>
            </w:r>
          </w:p>
        </w:tc>
        <w:tc>
          <w:tcPr>
            <w:tcW w:w="267" w:type="pct"/>
            <w:tcMar>
              <w:left w:w="0" w:type="dxa"/>
              <w:right w:w="0" w:type="dxa"/>
            </w:tcMar>
            <w:vAlign w:val="center"/>
          </w:tcPr>
          <w:p w14:paraId="68FAC7C7">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77CF0969">
            <w:pPr>
              <w:pStyle w:val="34"/>
              <w:rPr>
                <w:sz w:val="18"/>
                <w:szCs w:val="18"/>
                <w:lang w:eastAsia="en-US"/>
              </w:rPr>
            </w:pPr>
            <w:r>
              <w:rPr>
                <w:sz w:val="18"/>
                <w:szCs w:val="18"/>
                <w:lang w:eastAsia="en-US"/>
              </w:rPr>
              <w:t>56-23-5</w:t>
            </w:r>
          </w:p>
        </w:tc>
        <w:tc>
          <w:tcPr>
            <w:tcW w:w="230" w:type="pct"/>
            <w:tcMar>
              <w:left w:w="0" w:type="dxa"/>
              <w:right w:w="0" w:type="dxa"/>
            </w:tcMar>
            <w:vAlign w:val="center"/>
          </w:tcPr>
          <w:p w14:paraId="5CA90577">
            <w:pPr>
              <w:pStyle w:val="34"/>
              <w:rPr>
                <w:sz w:val="18"/>
                <w:szCs w:val="18"/>
                <w:lang w:eastAsia="en-US"/>
              </w:rPr>
            </w:pPr>
            <w:r>
              <w:rPr>
                <w:rFonts w:hint="eastAsia"/>
                <w:sz w:val="18"/>
                <w:szCs w:val="18"/>
                <w:lang w:eastAsia="en-US"/>
              </w:rPr>
              <w:t>7.5</w:t>
            </w:r>
          </w:p>
        </w:tc>
        <w:tc>
          <w:tcPr>
            <w:tcW w:w="490" w:type="pct"/>
            <w:tcMar>
              <w:left w:w="0" w:type="dxa"/>
              <w:right w:w="0" w:type="dxa"/>
            </w:tcMar>
            <w:vAlign w:val="center"/>
          </w:tcPr>
          <w:p w14:paraId="5B439E0A">
            <w:pPr>
              <w:pStyle w:val="34"/>
              <w:rPr>
                <w:sz w:val="18"/>
                <w:szCs w:val="18"/>
                <w:lang w:eastAsia="en-US"/>
              </w:rPr>
            </w:pPr>
            <w:r>
              <w:rPr>
                <w:rFonts w:hint="eastAsia"/>
                <w:sz w:val="18"/>
                <w:szCs w:val="18"/>
                <w:lang w:eastAsia="en-US"/>
              </w:rPr>
              <w:t>毒性</w:t>
            </w:r>
          </w:p>
        </w:tc>
        <w:tc>
          <w:tcPr>
            <w:tcW w:w="500" w:type="pct"/>
            <w:tcMar>
              <w:left w:w="0" w:type="dxa"/>
              <w:right w:w="0" w:type="dxa"/>
            </w:tcMar>
            <w:vAlign w:val="center"/>
          </w:tcPr>
          <w:p w14:paraId="4C12D07B">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08D4D947">
            <w:pPr>
              <w:pStyle w:val="34"/>
              <w:rPr>
                <w:sz w:val="18"/>
                <w:szCs w:val="18"/>
                <w:lang w:eastAsia="en-US"/>
              </w:rPr>
            </w:pPr>
            <w:r>
              <w:rPr>
                <w:rFonts w:hint="eastAsia"/>
                <w:sz w:val="18"/>
                <w:szCs w:val="18"/>
                <w:lang w:eastAsia="en-US"/>
              </w:rPr>
              <w:t>-</w:t>
            </w:r>
          </w:p>
        </w:tc>
      </w:tr>
      <w:tr w14:paraId="2CF5B5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1879EFD">
            <w:pPr>
              <w:pStyle w:val="34"/>
              <w:numPr>
                <w:ilvl w:val="0"/>
                <w:numId w:val="53"/>
              </w:numPr>
              <w:rPr>
                <w:sz w:val="18"/>
                <w:szCs w:val="18"/>
              </w:rPr>
            </w:pPr>
          </w:p>
        </w:tc>
        <w:tc>
          <w:tcPr>
            <w:tcW w:w="145" w:type="pct"/>
            <w:vMerge w:val="continue"/>
            <w:tcMar>
              <w:left w:w="0" w:type="dxa"/>
              <w:right w:w="0" w:type="dxa"/>
            </w:tcMar>
            <w:vAlign w:val="center"/>
          </w:tcPr>
          <w:p w14:paraId="2AEB483F">
            <w:pPr>
              <w:pStyle w:val="34"/>
              <w:rPr>
                <w:sz w:val="18"/>
                <w:szCs w:val="18"/>
              </w:rPr>
            </w:pPr>
          </w:p>
        </w:tc>
        <w:tc>
          <w:tcPr>
            <w:tcW w:w="145" w:type="pct"/>
            <w:vMerge w:val="continue"/>
            <w:tcMar>
              <w:left w:w="0" w:type="dxa"/>
              <w:right w:w="0" w:type="dxa"/>
            </w:tcMar>
            <w:vAlign w:val="center"/>
          </w:tcPr>
          <w:p w14:paraId="1F3F67CA">
            <w:pPr>
              <w:pStyle w:val="34"/>
              <w:rPr>
                <w:sz w:val="18"/>
                <w:szCs w:val="18"/>
              </w:rPr>
            </w:pPr>
          </w:p>
        </w:tc>
        <w:tc>
          <w:tcPr>
            <w:tcW w:w="311" w:type="pct"/>
            <w:vMerge w:val="continue"/>
            <w:tcMar>
              <w:left w:w="0" w:type="dxa"/>
              <w:right w:w="0" w:type="dxa"/>
            </w:tcMar>
            <w:vAlign w:val="center"/>
          </w:tcPr>
          <w:p w14:paraId="5E7D6E1F">
            <w:pPr>
              <w:pStyle w:val="34"/>
              <w:rPr>
                <w:sz w:val="18"/>
                <w:szCs w:val="18"/>
              </w:rPr>
            </w:pPr>
          </w:p>
        </w:tc>
        <w:tc>
          <w:tcPr>
            <w:tcW w:w="243" w:type="pct"/>
            <w:vMerge w:val="continue"/>
            <w:tcMar>
              <w:left w:w="0" w:type="dxa"/>
              <w:right w:w="0" w:type="dxa"/>
            </w:tcMar>
            <w:vAlign w:val="center"/>
          </w:tcPr>
          <w:p w14:paraId="0CF68EE1">
            <w:pPr>
              <w:pStyle w:val="34"/>
              <w:rPr>
                <w:sz w:val="18"/>
                <w:szCs w:val="18"/>
              </w:rPr>
            </w:pPr>
          </w:p>
        </w:tc>
        <w:tc>
          <w:tcPr>
            <w:tcW w:w="213" w:type="pct"/>
            <w:tcMar>
              <w:left w:w="0" w:type="dxa"/>
              <w:right w:w="0" w:type="dxa"/>
            </w:tcMar>
            <w:vAlign w:val="center"/>
          </w:tcPr>
          <w:p w14:paraId="69D40BA0">
            <w:pPr>
              <w:pStyle w:val="34"/>
              <w:rPr>
                <w:sz w:val="18"/>
                <w:szCs w:val="18"/>
              </w:rPr>
            </w:pPr>
            <w:r>
              <w:rPr>
                <w:rFonts w:hint="eastAsia"/>
                <w:sz w:val="18"/>
                <w:szCs w:val="18"/>
              </w:rPr>
              <w:t>-</w:t>
            </w:r>
          </w:p>
        </w:tc>
        <w:tc>
          <w:tcPr>
            <w:tcW w:w="582" w:type="pct"/>
            <w:tcMar>
              <w:left w:w="0" w:type="dxa"/>
              <w:right w:w="0" w:type="dxa"/>
            </w:tcMar>
            <w:vAlign w:val="center"/>
          </w:tcPr>
          <w:p w14:paraId="06CEFAAE">
            <w:pPr>
              <w:pStyle w:val="34"/>
              <w:rPr>
                <w:sz w:val="18"/>
                <w:szCs w:val="18"/>
                <w:lang w:eastAsia="en-US"/>
              </w:rPr>
            </w:pPr>
            <w:r>
              <w:rPr>
                <w:rFonts w:hint="eastAsia"/>
                <w:sz w:val="18"/>
                <w:szCs w:val="18"/>
                <w:lang w:eastAsia="en-US"/>
              </w:rPr>
              <w:t>敌敌畏</w:t>
            </w:r>
          </w:p>
        </w:tc>
        <w:tc>
          <w:tcPr>
            <w:tcW w:w="267" w:type="pct"/>
            <w:tcMar>
              <w:left w:w="0" w:type="dxa"/>
              <w:right w:w="0" w:type="dxa"/>
            </w:tcMar>
            <w:vAlign w:val="center"/>
          </w:tcPr>
          <w:p w14:paraId="4D739ADC">
            <w:pPr>
              <w:pStyle w:val="34"/>
              <w:rPr>
                <w:sz w:val="18"/>
                <w:szCs w:val="18"/>
              </w:rPr>
            </w:pPr>
            <w:r>
              <w:rPr>
                <w:rFonts w:hint="eastAsia"/>
                <w:sz w:val="18"/>
                <w:szCs w:val="18"/>
                <w:lang w:eastAsia="en-US"/>
              </w:rPr>
              <w:t>第</w:t>
            </w:r>
            <w:r>
              <w:rPr>
                <w:rFonts w:hint="eastAsia"/>
                <w:sz w:val="18"/>
                <w:szCs w:val="18"/>
              </w:rPr>
              <w:t>6.1项</w:t>
            </w:r>
          </w:p>
        </w:tc>
        <w:tc>
          <w:tcPr>
            <w:tcW w:w="355" w:type="pct"/>
            <w:tcMar>
              <w:left w:w="0" w:type="dxa"/>
              <w:right w:w="0" w:type="dxa"/>
            </w:tcMar>
            <w:vAlign w:val="center"/>
          </w:tcPr>
          <w:p w14:paraId="6708C5DB">
            <w:pPr>
              <w:pStyle w:val="34"/>
              <w:rPr>
                <w:sz w:val="18"/>
                <w:szCs w:val="18"/>
                <w:lang w:eastAsia="en-US"/>
              </w:rPr>
            </w:pPr>
            <w:r>
              <w:rPr>
                <w:sz w:val="18"/>
                <w:szCs w:val="18"/>
                <w:lang w:eastAsia="en-US"/>
              </w:rPr>
              <w:t>203645-53-8</w:t>
            </w:r>
          </w:p>
        </w:tc>
        <w:tc>
          <w:tcPr>
            <w:tcW w:w="230" w:type="pct"/>
            <w:tcMar>
              <w:left w:w="0" w:type="dxa"/>
              <w:right w:w="0" w:type="dxa"/>
            </w:tcMar>
            <w:vAlign w:val="center"/>
          </w:tcPr>
          <w:p w14:paraId="569B5DE4">
            <w:pPr>
              <w:pStyle w:val="34"/>
              <w:rPr>
                <w:sz w:val="18"/>
                <w:szCs w:val="18"/>
              </w:rPr>
            </w:pPr>
            <w:r>
              <w:rPr>
                <w:rFonts w:hint="eastAsia"/>
                <w:sz w:val="18"/>
                <w:szCs w:val="18"/>
              </w:rPr>
              <w:t>50</w:t>
            </w:r>
          </w:p>
        </w:tc>
        <w:tc>
          <w:tcPr>
            <w:tcW w:w="490" w:type="pct"/>
            <w:tcMar>
              <w:left w:w="0" w:type="dxa"/>
              <w:right w:w="0" w:type="dxa"/>
            </w:tcMar>
            <w:vAlign w:val="center"/>
          </w:tcPr>
          <w:p w14:paraId="216DCCEC">
            <w:pPr>
              <w:pStyle w:val="34"/>
              <w:rPr>
                <w:sz w:val="18"/>
                <w:szCs w:val="18"/>
              </w:rPr>
            </w:pPr>
            <w:r>
              <w:rPr>
                <w:rFonts w:hint="eastAsia"/>
                <w:sz w:val="18"/>
                <w:szCs w:val="18"/>
                <w:lang w:eastAsia="en-US"/>
              </w:rPr>
              <w:t>毒性、运输量大</w:t>
            </w:r>
          </w:p>
        </w:tc>
        <w:tc>
          <w:tcPr>
            <w:tcW w:w="500" w:type="pct"/>
            <w:tcMar>
              <w:left w:w="0" w:type="dxa"/>
              <w:right w:w="0" w:type="dxa"/>
            </w:tcMar>
            <w:vAlign w:val="center"/>
          </w:tcPr>
          <w:p w14:paraId="0C5B2C17">
            <w:pPr>
              <w:pStyle w:val="34"/>
              <w:rPr>
                <w:sz w:val="18"/>
                <w:szCs w:val="18"/>
              </w:rPr>
            </w:pPr>
            <w:r>
              <w:rPr>
                <w:rFonts w:hint="eastAsia"/>
                <w:sz w:val="18"/>
                <w:szCs w:val="18"/>
              </w:rPr>
              <w:t>按健康危险急性毒性物质（类别2，类别3）</w:t>
            </w:r>
          </w:p>
        </w:tc>
        <w:tc>
          <w:tcPr>
            <w:tcW w:w="1373" w:type="pct"/>
            <w:tcMar>
              <w:left w:w="0" w:type="dxa"/>
              <w:right w:w="0" w:type="dxa"/>
            </w:tcMar>
            <w:vAlign w:val="center"/>
          </w:tcPr>
          <w:p w14:paraId="20B7243B">
            <w:pPr>
              <w:pStyle w:val="34"/>
              <w:rPr>
                <w:sz w:val="18"/>
                <w:szCs w:val="18"/>
              </w:rPr>
            </w:pPr>
            <w:r>
              <w:rPr>
                <w:rFonts w:hint="eastAsia"/>
                <w:sz w:val="18"/>
                <w:szCs w:val="18"/>
              </w:rPr>
              <w:t>-</w:t>
            </w:r>
          </w:p>
        </w:tc>
      </w:tr>
      <w:tr w14:paraId="7BD86C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9509A9C">
            <w:pPr>
              <w:pStyle w:val="34"/>
              <w:numPr>
                <w:ilvl w:val="0"/>
                <w:numId w:val="53"/>
              </w:numPr>
              <w:rPr>
                <w:sz w:val="18"/>
                <w:szCs w:val="18"/>
              </w:rPr>
            </w:pPr>
          </w:p>
        </w:tc>
        <w:tc>
          <w:tcPr>
            <w:tcW w:w="145" w:type="pct"/>
            <w:vMerge w:val="continue"/>
            <w:tcMar>
              <w:left w:w="0" w:type="dxa"/>
              <w:right w:w="0" w:type="dxa"/>
            </w:tcMar>
            <w:vAlign w:val="center"/>
          </w:tcPr>
          <w:p w14:paraId="5448533F">
            <w:pPr>
              <w:pStyle w:val="34"/>
              <w:rPr>
                <w:sz w:val="18"/>
                <w:szCs w:val="18"/>
              </w:rPr>
            </w:pPr>
          </w:p>
        </w:tc>
        <w:tc>
          <w:tcPr>
            <w:tcW w:w="145" w:type="pct"/>
            <w:vMerge w:val="continue"/>
            <w:tcMar>
              <w:left w:w="0" w:type="dxa"/>
              <w:right w:w="0" w:type="dxa"/>
            </w:tcMar>
            <w:vAlign w:val="center"/>
          </w:tcPr>
          <w:p w14:paraId="75AE8C66">
            <w:pPr>
              <w:pStyle w:val="34"/>
              <w:rPr>
                <w:sz w:val="18"/>
                <w:szCs w:val="18"/>
              </w:rPr>
            </w:pPr>
          </w:p>
        </w:tc>
        <w:tc>
          <w:tcPr>
            <w:tcW w:w="311" w:type="pct"/>
            <w:vMerge w:val="continue"/>
            <w:tcMar>
              <w:left w:w="0" w:type="dxa"/>
              <w:right w:w="0" w:type="dxa"/>
            </w:tcMar>
            <w:vAlign w:val="center"/>
          </w:tcPr>
          <w:p w14:paraId="444D1034">
            <w:pPr>
              <w:pStyle w:val="34"/>
              <w:rPr>
                <w:sz w:val="18"/>
                <w:szCs w:val="18"/>
              </w:rPr>
            </w:pPr>
          </w:p>
        </w:tc>
        <w:tc>
          <w:tcPr>
            <w:tcW w:w="243" w:type="pct"/>
            <w:vMerge w:val="continue"/>
            <w:tcMar>
              <w:left w:w="0" w:type="dxa"/>
              <w:right w:w="0" w:type="dxa"/>
            </w:tcMar>
            <w:vAlign w:val="center"/>
          </w:tcPr>
          <w:p w14:paraId="5B736B23">
            <w:pPr>
              <w:pStyle w:val="34"/>
              <w:rPr>
                <w:sz w:val="18"/>
                <w:szCs w:val="18"/>
              </w:rPr>
            </w:pPr>
          </w:p>
        </w:tc>
        <w:tc>
          <w:tcPr>
            <w:tcW w:w="213" w:type="pct"/>
            <w:tcMar>
              <w:left w:w="0" w:type="dxa"/>
              <w:right w:w="0" w:type="dxa"/>
            </w:tcMar>
            <w:vAlign w:val="center"/>
          </w:tcPr>
          <w:p w14:paraId="75E20C28">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7BF950B1">
            <w:pPr>
              <w:pStyle w:val="34"/>
              <w:rPr>
                <w:sz w:val="18"/>
                <w:szCs w:val="18"/>
                <w:lang w:eastAsia="en-US"/>
              </w:rPr>
            </w:pPr>
            <w:r>
              <w:rPr>
                <w:rFonts w:hint="eastAsia"/>
                <w:sz w:val="18"/>
                <w:szCs w:val="18"/>
                <w:lang w:eastAsia="en-US"/>
              </w:rPr>
              <w:t>四氯乙烯</w:t>
            </w:r>
          </w:p>
        </w:tc>
        <w:tc>
          <w:tcPr>
            <w:tcW w:w="267" w:type="pct"/>
            <w:tcMar>
              <w:left w:w="0" w:type="dxa"/>
              <w:right w:w="0" w:type="dxa"/>
            </w:tcMar>
            <w:vAlign w:val="center"/>
          </w:tcPr>
          <w:p w14:paraId="26998160">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6A050914">
            <w:pPr>
              <w:pStyle w:val="34"/>
              <w:rPr>
                <w:sz w:val="18"/>
                <w:szCs w:val="18"/>
                <w:lang w:eastAsia="en-US"/>
              </w:rPr>
            </w:pPr>
            <w:r>
              <w:rPr>
                <w:sz w:val="18"/>
                <w:szCs w:val="18"/>
                <w:lang w:eastAsia="en-US"/>
              </w:rPr>
              <w:t>127-18-4</w:t>
            </w:r>
          </w:p>
        </w:tc>
        <w:tc>
          <w:tcPr>
            <w:tcW w:w="230" w:type="pct"/>
            <w:tcMar>
              <w:left w:w="0" w:type="dxa"/>
              <w:right w:w="0" w:type="dxa"/>
            </w:tcMar>
            <w:vAlign w:val="center"/>
          </w:tcPr>
          <w:p w14:paraId="5E3A2FDC">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794B04D4">
            <w:pPr>
              <w:pStyle w:val="34"/>
              <w:rPr>
                <w:sz w:val="18"/>
                <w:szCs w:val="18"/>
                <w:lang w:eastAsia="en-US"/>
              </w:rPr>
            </w:pPr>
            <w:r>
              <w:rPr>
                <w:rFonts w:hint="eastAsia"/>
                <w:sz w:val="18"/>
                <w:szCs w:val="18"/>
                <w:lang w:eastAsia="en-US"/>
              </w:rPr>
              <w:t>毒性、生物毒性</w:t>
            </w:r>
          </w:p>
        </w:tc>
        <w:tc>
          <w:tcPr>
            <w:tcW w:w="500" w:type="pct"/>
            <w:tcMar>
              <w:left w:w="0" w:type="dxa"/>
              <w:right w:w="0" w:type="dxa"/>
            </w:tcMar>
            <w:vAlign w:val="center"/>
          </w:tcPr>
          <w:p w14:paraId="4E052729">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6BC2A55">
            <w:pPr>
              <w:pStyle w:val="34"/>
              <w:rPr>
                <w:sz w:val="18"/>
                <w:szCs w:val="18"/>
              </w:rPr>
            </w:pPr>
            <w:r>
              <w:rPr>
                <w:rFonts w:hint="eastAsia"/>
                <w:sz w:val="18"/>
                <w:szCs w:val="18"/>
              </w:rPr>
              <w:t>《有毒有害大气污染物名录（2018年）》、《有毒有害水污染物名录</w:t>
            </w:r>
          </w:p>
          <w:p w14:paraId="6BB0E1EF">
            <w:pPr>
              <w:pStyle w:val="34"/>
              <w:rPr>
                <w:sz w:val="18"/>
                <w:szCs w:val="18"/>
                <w:lang w:eastAsia="en-US"/>
              </w:rPr>
            </w:pPr>
            <w:r>
              <w:rPr>
                <w:rFonts w:hint="eastAsia"/>
                <w:sz w:val="18"/>
                <w:szCs w:val="18"/>
                <w:lang w:eastAsia="en-US"/>
              </w:rPr>
              <w:t>（第一批）》</w:t>
            </w:r>
          </w:p>
        </w:tc>
      </w:tr>
      <w:tr w14:paraId="5989BA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8CB6DF8">
            <w:pPr>
              <w:pStyle w:val="34"/>
              <w:numPr>
                <w:ilvl w:val="0"/>
                <w:numId w:val="53"/>
              </w:numPr>
              <w:rPr>
                <w:sz w:val="18"/>
                <w:szCs w:val="18"/>
                <w:lang w:eastAsia="en-US"/>
              </w:rPr>
            </w:pPr>
          </w:p>
        </w:tc>
        <w:tc>
          <w:tcPr>
            <w:tcW w:w="145" w:type="pct"/>
            <w:vMerge w:val="restart"/>
            <w:tcMar>
              <w:left w:w="0" w:type="dxa"/>
              <w:right w:w="0" w:type="dxa"/>
            </w:tcMar>
            <w:vAlign w:val="center"/>
          </w:tcPr>
          <w:p w14:paraId="6F46A014">
            <w:pPr>
              <w:pStyle w:val="34"/>
              <w:rPr>
                <w:sz w:val="18"/>
                <w:szCs w:val="18"/>
                <w:lang w:eastAsia="en-US"/>
              </w:rPr>
            </w:pPr>
            <w:r>
              <w:rPr>
                <w:sz w:val="18"/>
                <w:szCs w:val="18"/>
                <w:lang w:eastAsia="en-US"/>
              </w:rPr>
              <w:t>固体物质</w:t>
            </w:r>
          </w:p>
        </w:tc>
        <w:tc>
          <w:tcPr>
            <w:tcW w:w="145" w:type="pct"/>
            <w:vMerge w:val="restart"/>
            <w:tcMar>
              <w:left w:w="0" w:type="dxa"/>
              <w:right w:w="0" w:type="dxa"/>
            </w:tcMar>
            <w:vAlign w:val="center"/>
          </w:tcPr>
          <w:p w14:paraId="03780912">
            <w:pPr>
              <w:pStyle w:val="34"/>
              <w:rPr>
                <w:sz w:val="18"/>
                <w:szCs w:val="18"/>
                <w:lang w:eastAsia="en-US"/>
              </w:rPr>
            </w:pPr>
            <w:r>
              <w:rPr>
                <w:sz w:val="18"/>
                <w:szCs w:val="18"/>
                <w:lang w:eastAsia="en-US"/>
              </w:rPr>
              <w:t>可溶</w:t>
            </w:r>
            <w:r>
              <w:rPr>
                <w:rFonts w:hint="eastAsia"/>
                <w:sz w:val="18"/>
                <w:szCs w:val="18"/>
                <w:lang w:eastAsia="en-US"/>
              </w:rPr>
              <w:t>/易溶</w:t>
            </w:r>
          </w:p>
        </w:tc>
        <w:tc>
          <w:tcPr>
            <w:tcW w:w="311" w:type="pct"/>
            <w:vMerge w:val="restart"/>
            <w:tcMar>
              <w:left w:w="0" w:type="dxa"/>
              <w:right w:w="0" w:type="dxa"/>
            </w:tcMar>
            <w:vAlign w:val="center"/>
          </w:tcPr>
          <w:p w14:paraId="2F0096EF">
            <w:pPr>
              <w:pStyle w:val="34"/>
              <w:rPr>
                <w:sz w:val="18"/>
                <w:szCs w:val="18"/>
                <w:lang w:eastAsia="en-US"/>
              </w:rPr>
            </w:pPr>
            <w:r>
              <w:rPr>
                <w:sz w:val="18"/>
                <w:szCs w:val="18"/>
                <w:lang w:eastAsia="en-US"/>
              </w:rPr>
              <w:t>无机</w:t>
            </w:r>
          </w:p>
        </w:tc>
        <w:tc>
          <w:tcPr>
            <w:tcW w:w="243" w:type="pct"/>
            <w:vMerge w:val="restart"/>
            <w:tcMar>
              <w:left w:w="0" w:type="dxa"/>
              <w:right w:w="0" w:type="dxa"/>
            </w:tcMar>
            <w:vAlign w:val="center"/>
          </w:tcPr>
          <w:p w14:paraId="44AB2CC9">
            <w:pPr>
              <w:pStyle w:val="34"/>
              <w:rPr>
                <w:sz w:val="18"/>
                <w:szCs w:val="18"/>
                <w:lang w:eastAsia="en-US"/>
              </w:rPr>
            </w:pPr>
            <w:r>
              <w:rPr>
                <w:sz w:val="18"/>
                <w:szCs w:val="18"/>
                <w:lang w:eastAsia="en-US"/>
              </w:rPr>
              <w:t>遇水放出易燃气体</w:t>
            </w:r>
          </w:p>
        </w:tc>
        <w:tc>
          <w:tcPr>
            <w:tcW w:w="213" w:type="pct"/>
            <w:tcMar>
              <w:left w:w="0" w:type="dxa"/>
              <w:right w:w="0" w:type="dxa"/>
            </w:tcMar>
            <w:vAlign w:val="center"/>
          </w:tcPr>
          <w:p w14:paraId="75E1EC50">
            <w:pPr>
              <w:pStyle w:val="34"/>
              <w:rPr>
                <w:sz w:val="18"/>
                <w:szCs w:val="18"/>
                <w:lang w:eastAsia="en-US"/>
              </w:rPr>
            </w:pPr>
            <w:r>
              <w:rPr>
                <w:sz w:val="18"/>
                <w:szCs w:val="18"/>
                <w:lang w:eastAsia="en-US"/>
              </w:rPr>
              <w:t>易燃</w:t>
            </w:r>
          </w:p>
        </w:tc>
        <w:tc>
          <w:tcPr>
            <w:tcW w:w="582" w:type="pct"/>
            <w:tcMar>
              <w:left w:w="0" w:type="dxa"/>
              <w:right w:w="0" w:type="dxa"/>
            </w:tcMar>
            <w:vAlign w:val="center"/>
          </w:tcPr>
          <w:p w14:paraId="7733BC55">
            <w:pPr>
              <w:pStyle w:val="34"/>
              <w:rPr>
                <w:sz w:val="18"/>
                <w:szCs w:val="18"/>
                <w:lang w:eastAsia="en-US"/>
              </w:rPr>
            </w:pPr>
            <w:r>
              <w:rPr>
                <w:sz w:val="18"/>
                <w:szCs w:val="18"/>
                <w:lang w:eastAsia="en-US"/>
              </w:rPr>
              <w:t>五硫化二磷</w:t>
            </w:r>
          </w:p>
        </w:tc>
        <w:tc>
          <w:tcPr>
            <w:tcW w:w="267" w:type="pct"/>
            <w:tcMar>
              <w:left w:w="0" w:type="dxa"/>
              <w:right w:w="0" w:type="dxa"/>
            </w:tcMar>
            <w:vAlign w:val="center"/>
          </w:tcPr>
          <w:p w14:paraId="16CD1213">
            <w:pPr>
              <w:pStyle w:val="34"/>
              <w:rPr>
                <w:sz w:val="18"/>
                <w:szCs w:val="18"/>
                <w:lang w:eastAsia="en-US"/>
              </w:rPr>
            </w:pPr>
            <w:r>
              <w:rPr>
                <w:rFonts w:hint="eastAsia"/>
                <w:sz w:val="18"/>
                <w:szCs w:val="18"/>
                <w:lang w:eastAsia="en-US"/>
              </w:rPr>
              <w:t>第4.3项</w:t>
            </w:r>
          </w:p>
        </w:tc>
        <w:tc>
          <w:tcPr>
            <w:tcW w:w="355" w:type="pct"/>
            <w:tcMar>
              <w:left w:w="0" w:type="dxa"/>
              <w:right w:w="0" w:type="dxa"/>
            </w:tcMar>
            <w:vAlign w:val="center"/>
          </w:tcPr>
          <w:p w14:paraId="543B2CDB">
            <w:pPr>
              <w:pStyle w:val="34"/>
              <w:rPr>
                <w:sz w:val="18"/>
                <w:szCs w:val="18"/>
                <w:lang w:eastAsia="en-US"/>
              </w:rPr>
            </w:pPr>
            <w:r>
              <w:rPr>
                <w:sz w:val="18"/>
                <w:szCs w:val="18"/>
                <w:lang w:eastAsia="en-US"/>
              </w:rPr>
              <w:t>1314-80-3</w:t>
            </w:r>
          </w:p>
        </w:tc>
        <w:tc>
          <w:tcPr>
            <w:tcW w:w="230" w:type="pct"/>
            <w:tcMar>
              <w:left w:w="0" w:type="dxa"/>
              <w:right w:w="0" w:type="dxa"/>
            </w:tcMar>
            <w:vAlign w:val="center"/>
          </w:tcPr>
          <w:p w14:paraId="7D34B21C">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69A1D33B">
            <w:pPr>
              <w:pStyle w:val="34"/>
              <w:rPr>
                <w:sz w:val="18"/>
                <w:szCs w:val="18"/>
                <w:lang w:eastAsia="en-US"/>
              </w:rPr>
            </w:pPr>
            <w:r>
              <w:rPr>
                <w:rFonts w:hint="eastAsia"/>
                <w:sz w:val="18"/>
                <w:szCs w:val="18"/>
                <w:lang w:eastAsia="en-US"/>
              </w:rPr>
              <w:t>水溶液呈酸性、毒性、易燃</w:t>
            </w:r>
          </w:p>
        </w:tc>
        <w:tc>
          <w:tcPr>
            <w:tcW w:w="500" w:type="pct"/>
            <w:tcMar>
              <w:left w:w="0" w:type="dxa"/>
              <w:right w:w="0" w:type="dxa"/>
            </w:tcMar>
            <w:vAlign w:val="center"/>
          </w:tcPr>
          <w:p w14:paraId="00317067">
            <w:pPr>
              <w:pStyle w:val="34"/>
              <w:rPr>
                <w:sz w:val="18"/>
                <w:szCs w:val="18"/>
                <w:lang w:eastAsia="en-US"/>
              </w:rPr>
            </w:pPr>
            <w:r>
              <w:rPr>
                <w:sz w:val="18"/>
                <w:szCs w:val="18"/>
                <w:lang w:eastAsia="en-US"/>
              </w:rPr>
              <w:t>列入</w:t>
            </w:r>
          </w:p>
        </w:tc>
        <w:tc>
          <w:tcPr>
            <w:tcW w:w="1373" w:type="pct"/>
            <w:tcMar>
              <w:left w:w="0" w:type="dxa"/>
              <w:right w:w="0" w:type="dxa"/>
            </w:tcMar>
            <w:vAlign w:val="center"/>
          </w:tcPr>
          <w:p w14:paraId="03B1DD76">
            <w:pPr>
              <w:pStyle w:val="34"/>
              <w:rPr>
                <w:sz w:val="18"/>
                <w:szCs w:val="18"/>
              </w:rPr>
            </w:pPr>
            <w:r>
              <w:rPr>
                <w:sz w:val="18"/>
                <w:szCs w:val="18"/>
              </w:rPr>
              <w:t>《渔业水质标准》（GB 11607-89）</w:t>
            </w:r>
          </w:p>
        </w:tc>
      </w:tr>
      <w:tr w14:paraId="689379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13C994A2">
            <w:pPr>
              <w:pStyle w:val="34"/>
              <w:numPr>
                <w:ilvl w:val="0"/>
                <w:numId w:val="53"/>
              </w:numPr>
              <w:rPr>
                <w:sz w:val="18"/>
                <w:szCs w:val="18"/>
              </w:rPr>
            </w:pPr>
          </w:p>
        </w:tc>
        <w:tc>
          <w:tcPr>
            <w:tcW w:w="145" w:type="pct"/>
            <w:vMerge w:val="continue"/>
            <w:tcMar>
              <w:left w:w="0" w:type="dxa"/>
              <w:right w:w="0" w:type="dxa"/>
            </w:tcMar>
            <w:vAlign w:val="center"/>
          </w:tcPr>
          <w:p w14:paraId="3757CBE4">
            <w:pPr>
              <w:pStyle w:val="34"/>
              <w:rPr>
                <w:sz w:val="18"/>
                <w:szCs w:val="18"/>
              </w:rPr>
            </w:pPr>
          </w:p>
        </w:tc>
        <w:tc>
          <w:tcPr>
            <w:tcW w:w="145" w:type="pct"/>
            <w:vMerge w:val="continue"/>
            <w:tcMar>
              <w:left w:w="0" w:type="dxa"/>
              <w:right w:w="0" w:type="dxa"/>
            </w:tcMar>
            <w:vAlign w:val="center"/>
          </w:tcPr>
          <w:p w14:paraId="3E35B6C8">
            <w:pPr>
              <w:pStyle w:val="34"/>
              <w:rPr>
                <w:sz w:val="18"/>
                <w:szCs w:val="18"/>
              </w:rPr>
            </w:pPr>
          </w:p>
        </w:tc>
        <w:tc>
          <w:tcPr>
            <w:tcW w:w="311" w:type="pct"/>
            <w:vMerge w:val="continue"/>
            <w:tcMar>
              <w:left w:w="0" w:type="dxa"/>
              <w:right w:w="0" w:type="dxa"/>
            </w:tcMar>
            <w:vAlign w:val="center"/>
          </w:tcPr>
          <w:p w14:paraId="2DB1DF0A">
            <w:pPr>
              <w:pStyle w:val="34"/>
              <w:rPr>
                <w:sz w:val="18"/>
                <w:szCs w:val="18"/>
              </w:rPr>
            </w:pPr>
          </w:p>
        </w:tc>
        <w:tc>
          <w:tcPr>
            <w:tcW w:w="243" w:type="pct"/>
            <w:vMerge w:val="continue"/>
            <w:tcMar>
              <w:left w:w="0" w:type="dxa"/>
              <w:right w:w="0" w:type="dxa"/>
            </w:tcMar>
            <w:vAlign w:val="center"/>
          </w:tcPr>
          <w:p w14:paraId="1BC647F2">
            <w:pPr>
              <w:pStyle w:val="34"/>
              <w:rPr>
                <w:sz w:val="18"/>
                <w:szCs w:val="18"/>
              </w:rPr>
            </w:pPr>
          </w:p>
        </w:tc>
        <w:tc>
          <w:tcPr>
            <w:tcW w:w="213" w:type="pct"/>
            <w:tcMar>
              <w:left w:w="0" w:type="dxa"/>
              <w:right w:w="0" w:type="dxa"/>
            </w:tcMar>
            <w:vAlign w:val="center"/>
          </w:tcPr>
          <w:p w14:paraId="20C2C311">
            <w:pPr>
              <w:pStyle w:val="34"/>
              <w:rPr>
                <w:sz w:val="18"/>
                <w:szCs w:val="18"/>
                <w:lang w:eastAsia="en-US"/>
              </w:rPr>
            </w:pPr>
            <w:r>
              <w:rPr>
                <w:sz w:val="18"/>
                <w:szCs w:val="18"/>
                <w:lang w:eastAsia="en-US"/>
              </w:rPr>
              <w:t>毒性</w:t>
            </w:r>
          </w:p>
        </w:tc>
        <w:tc>
          <w:tcPr>
            <w:tcW w:w="582" w:type="pct"/>
            <w:tcMar>
              <w:left w:w="0" w:type="dxa"/>
              <w:right w:w="0" w:type="dxa"/>
            </w:tcMar>
            <w:vAlign w:val="center"/>
          </w:tcPr>
          <w:p w14:paraId="6AC226D5">
            <w:pPr>
              <w:pStyle w:val="34"/>
              <w:rPr>
                <w:sz w:val="18"/>
                <w:szCs w:val="18"/>
                <w:lang w:eastAsia="en-US"/>
              </w:rPr>
            </w:pPr>
            <w:r>
              <w:rPr>
                <w:sz w:val="18"/>
                <w:szCs w:val="18"/>
                <w:lang w:eastAsia="en-US"/>
              </w:rPr>
              <w:t>磷化钙</w:t>
            </w:r>
          </w:p>
        </w:tc>
        <w:tc>
          <w:tcPr>
            <w:tcW w:w="267" w:type="pct"/>
            <w:tcMar>
              <w:left w:w="0" w:type="dxa"/>
              <w:right w:w="0" w:type="dxa"/>
            </w:tcMar>
            <w:vAlign w:val="center"/>
          </w:tcPr>
          <w:p w14:paraId="3558BA68">
            <w:pPr>
              <w:pStyle w:val="34"/>
              <w:rPr>
                <w:sz w:val="18"/>
                <w:szCs w:val="18"/>
                <w:lang w:eastAsia="en-US"/>
              </w:rPr>
            </w:pPr>
            <w:r>
              <w:rPr>
                <w:rFonts w:hint="eastAsia"/>
                <w:sz w:val="18"/>
                <w:szCs w:val="18"/>
                <w:lang w:eastAsia="en-US"/>
              </w:rPr>
              <w:t>第4.3项</w:t>
            </w:r>
          </w:p>
        </w:tc>
        <w:tc>
          <w:tcPr>
            <w:tcW w:w="355" w:type="pct"/>
            <w:tcMar>
              <w:left w:w="0" w:type="dxa"/>
              <w:right w:w="0" w:type="dxa"/>
            </w:tcMar>
            <w:vAlign w:val="center"/>
          </w:tcPr>
          <w:p w14:paraId="27F3F961">
            <w:pPr>
              <w:pStyle w:val="34"/>
              <w:rPr>
                <w:sz w:val="18"/>
                <w:szCs w:val="18"/>
              </w:rPr>
            </w:pPr>
            <w:r>
              <w:rPr>
                <w:rFonts w:hint="eastAsia"/>
                <w:sz w:val="18"/>
                <w:szCs w:val="18"/>
              </w:rPr>
              <w:t>1305-99-3</w:t>
            </w:r>
          </w:p>
        </w:tc>
        <w:tc>
          <w:tcPr>
            <w:tcW w:w="230" w:type="pct"/>
            <w:tcMar>
              <w:left w:w="0" w:type="dxa"/>
              <w:right w:w="0" w:type="dxa"/>
            </w:tcMar>
            <w:vAlign w:val="center"/>
          </w:tcPr>
          <w:p w14:paraId="55B2D0A9">
            <w:pPr>
              <w:pStyle w:val="34"/>
              <w:rPr>
                <w:sz w:val="18"/>
                <w:szCs w:val="18"/>
              </w:rPr>
            </w:pPr>
            <w:r>
              <w:rPr>
                <w:rFonts w:hint="eastAsia"/>
                <w:sz w:val="18"/>
                <w:szCs w:val="18"/>
              </w:rPr>
              <w:t>2.5</w:t>
            </w:r>
          </w:p>
        </w:tc>
        <w:tc>
          <w:tcPr>
            <w:tcW w:w="490" w:type="pct"/>
            <w:tcMar>
              <w:left w:w="0" w:type="dxa"/>
              <w:right w:w="0" w:type="dxa"/>
            </w:tcMar>
            <w:vAlign w:val="center"/>
          </w:tcPr>
          <w:p w14:paraId="47FBB5BE">
            <w:pPr>
              <w:pStyle w:val="34"/>
              <w:rPr>
                <w:sz w:val="18"/>
                <w:szCs w:val="18"/>
              </w:rPr>
            </w:pPr>
            <w:r>
              <w:rPr>
                <w:rFonts w:hint="eastAsia"/>
                <w:sz w:val="18"/>
                <w:szCs w:val="18"/>
              </w:rPr>
              <w:t>与水反应生成易燃气体、毒性</w:t>
            </w:r>
          </w:p>
        </w:tc>
        <w:tc>
          <w:tcPr>
            <w:tcW w:w="500" w:type="pct"/>
            <w:tcMar>
              <w:left w:w="0" w:type="dxa"/>
              <w:right w:w="0" w:type="dxa"/>
            </w:tcMar>
            <w:vAlign w:val="center"/>
          </w:tcPr>
          <w:p w14:paraId="1E780567">
            <w:pPr>
              <w:pStyle w:val="34"/>
              <w:rPr>
                <w:sz w:val="18"/>
                <w:szCs w:val="18"/>
              </w:rPr>
            </w:pPr>
            <w:r>
              <w:rPr>
                <w:sz w:val="18"/>
                <w:szCs w:val="18"/>
              </w:rPr>
              <w:t>列入</w:t>
            </w:r>
          </w:p>
        </w:tc>
        <w:tc>
          <w:tcPr>
            <w:tcW w:w="1373" w:type="pct"/>
            <w:tcMar>
              <w:left w:w="0" w:type="dxa"/>
              <w:right w:w="0" w:type="dxa"/>
            </w:tcMar>
            <w:vAlign w:val="center"/>
          </w:tcPr>
          <w:p w14:paraId="7D740FEA">
            <w:pPr>
              <w:pStyle w:val="34"/>
              <w:rPr>
                <w:sz w:val="18"/>
                <w:szCs w:val="18"/>
              </w:rPr>
            </w:pPr>
            <w:r>
              <w:rPr>
                <w:rFonts w:hint="eastAsia"/>
                <w:sz w:val="18"/>
                <w:szCs w:val="18"/>
              </w:rPr>
              <w:t>-</w:t>
            </w:r>
          </w:p>
        </w:tc>
      </w:tr>
      <w:tr w14:paraId="32453C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CA8CFC7">
            <w:pPr>
              <w:pStyle w:val="34"/>
              <w:numPr>
                <w:ilvl w:val="0"/>
                <w:numId w:val="53"/>
              </w:numPr>
              <w:rPr>
                <w:sz w:val="18"/>
                <w:szCs w:val="18"/>
              </w:rPr>
            </w:pPr>
          </w:p>
        </w:tc>
        <w:tc>
          <w:tcPr>
            <w:tcW w:w="145" w:type="pct"/>
            <w:vMerge w:val="continue"/>
            <w:tcMar>
              <w:left w:w="0" w:type="dxa"/>
              <w:right w:w="0" w:type="dxa"/>
            </w:tcMar>
            <w:vAlign w:val="center"/>
          </w:tcPr>
          <w:p w14:paraId="733812E8">
            <w:pPr>
              <w:pStyle w:val="34"/>
              <w:rPr>
                <w:sz w:val="18"/>
                <w:szCs w:val="18"/>
              </w:rPr>
            </w:pPr>
          </w:p>
        </w:tc>
        <w:tc>
          <w:tcPr>
            <w:tcW w:w="145" w:type="pct"/>
            <w:vMerge w:val="continue"/>
            <w:tcMar>
              <w:left w:w="0" w:type="dxa"/>
              <w:right w:w="0" w:type="dxa"/>
            </w:tcMar>
            <w:vAlign w:val="center"/>
          </w:tcPr>
          <w:p w14:paraId="493A33CF">
            <w:pPr>
              <w:pStyle w:val="34"/>
              <w:rPr>
                <w:sz w:val="18"/>
                <w:szCs w:val="18"/>
              </w:rPr>
            </w:pPr>
          </w:p>
        </w:tc>
        <w:tc>
          <w:tcPr>
            <w:tcW w:w="311" w:type="pct"/>
            <w:vMerge w:val="continue"/>
            <w:tcMar>
              <w:left w:w="0" w:type="dxa"/>
              <w:right w:w="0" w:type="dxa"/>
            </w:tcMar>
            <w:vAlign w:val="center"/>
          </w:tcPr>
          <w:p w14:paraId="58E26AD5">
            <w:pPr>
              <w:pStyle w:val="34"/>
              <w:rPr>
                <w:sz w:val="18"/>
                <w:szCs w:val="18"/>
              </w:rPr>
            </w:pPr>
          </w:p>
        </w:tc>
        <w:tc>
          <w:tcPr>
            <w:tcW w:w="243" w:type="pct"/>
            <w:vMerge w:val="continue"/>
            <w:tcMar>
              <w:left w:w="0" w:type="dxa"/>
              <w:right w:w="0" w:type="dxa"/>
            </w:tcMar>
            <w:vAlign w:val="center"/>
          </w:tcPr>
          <w:p w14:paraId="01295708">
            <w:pPr>
              <w:pStyle w:val="34"/>
              <w:rPr>
                <w:sz w:val="18"/>
                <w:szCs w:val="18"/>
              </w:rPr>
            </w:pPr>
          </w:p>
        </w:tc>
        <w:tc>
          <w:tcPr>
            <w:tcW w:w="213" w:type="pct"/>
            <w:tcMar>
              <w:left w:w="0" w:type="dxa"/>
              <w:right w:w="0" w:type="dxa"/>
            </w:tcMar>
            <w:vAlign w:val="center"/>
          </w:tcPr>
          <w:p w14:paraId="29FC85BB">
            <w:pPr>
              <w:pStyle w:val="34"/>
              <w:rPr>
                <w:sz w:val="18"/>
                <w:szCs w:val="18"/>
                <w:lang w:eastAsia="en-US"/>
              </w:rPr>
            </w:pPr>
            <w:r>
              <w:rPr>
                <w:sz w:val="18"/>
                <w:szCs w:val="18"/>
                <w:lang w:eastAsia="en-US"/>
              </w:rPr>
              <w:t>毒性</w:t>
            </w:r>
          </w:p>
        </w:tc>
        <w:tc>
          <w:tcPr>
            <w:tcW w:w="582" w:type="pct"/>
            <w:tcMar>
              <w:left w:w="0" w:type="dxa"/>
              <w:right w:w="0" w:type="dxa"/>
            </w:tcMar>
            <w:vAlign w:val="center"/>
          </w:tcPr>
          <w:p w14:paraId="57A316C6">
            <w:pPr>
              <w:pStyle w:val="34"/>
              <w:rPr>
                <w:sz w:val="18"/>
                <w:szCs w:val="18"/>
                <w:lang w:eastAsia="en-US"/>
              </w:rPr>
            </w:pPr>
            <w:r>
              <w:rPr>
                <w:sz w:val="18"/>
                <w:szCs w:val="18"/>
                <w:lang w:eastAsia="en-US"/>
              </w:rPr>
              <w:t>磷化铝</w:t>
            </w:r>
          </w:p>
        </w:tc>
        <w:tc>
          <w:tcPr>
            <w:tcW w:w="267" w:type="pct"/>
            <w:tcMar>
              <w:left w:w="0" w:type="dxa"/>
              <w:right w:w="0" w:type="dxa"/>
            </w:tcMar>
            <w:vAlign w:val="center"/>
          </w:tcPr>
          <w:p w14:paraId="26AD85FB">
            <w:pPr>
              <w:pStyle w:val="34"/>
              <w:rPr>
                <w:sz w:val="18"/>
                <w:szCs w:val="18"/>
                <w:lang w:eastAsia="en-US"/>
              </w:rPr>
            </w:pPr>
            <w:r>
              <w:rPr>
                <w:rFonts w:hint="eastAsia"/>
                <w:sz w:val="18"/>
                <w:szCs w:val="18"/>
                <w:lang w:eastAsia="en-US"/>
              </w:rPr>
              <w:t>第4.3项</w:t>
            </w:r>
          </w:p>
        </w:tc>
        <w:tc>
          <w:tcPr>
            <w:tcW w:w="355" w:type="pct"/>
            <w:tcMar>
              <w:left w:w="0" w:type="dxa"/>
              <w:right w:w="0" w:type="dxa"/>
            </w:tcMar>
            <w:vAlign w:val="center"/>
          </w:tcPr>
          <w:p w14:paraId="69F9BA75">
            <w:pPr>
              <w:pStyle w:val="34"/>
              <w:rPr>
                <w:sz w:val="18"/>
                <w:szCs w:val="18"/>
                <w:lang w:eastAsia="en-US"/>
              </w:rPr>
            </w:pPr>
            <w:r>
              <w:rPr>
                <w:sz w:val="18"/>
                <w:szCs w:val="18"/>
                <w:lang w:eastAsia="en-US"/>
              </w:rPr>
              <w:t>20859-73-8</w:t>
            </w:r>
          </w:p>
        </w:tc>
        <w:tc>
          <w:tcPr>
            <w:tcW w:w="230" w:type="pct"/>
            <w:tcMar>
              <w:left w:w="0" w:type="dxa"/>
              <w:right w:w="0" w:type="dxa"/>
            </w:tcMar>
            <w:vAlign w:val="center"/>
          </w:tcPr>
          <w:p w14:paraId="2C731743">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56502960">
            <w:pPr>
              <w:pStyle w:val="34"/>
              <w:rPr>
                <w:sz w:val="18"/>
                <w:szCs w:val="18"/>
              </w:rPr>
            </w:pPr>
            <w:r>
              <w:rPr>
                <w:rFonts w:hint="eastAsia"/>
                <w:sz w:val="18"/>
                <w:szCs w:val="18"/>
              </w:rPr>
              <w:t>与水反应生成易燃气体、剧毒、运输量大</w:t>
            </w:r>
          </w:p>
        </w:tc>
        <w:tc>
          <w:tcPr>
            <w:tcW w:w="500" w:type="pct"/>
            <w:tcMar>
              <w:left w:w="0" w:type="dxa"/>
              <w:right w:w="0" w:type="dxa"/>
            </w:tcMar>
            <w:vAlign w:val="center"/>
          </w:tcPr>
          <w:p w14:paraId="5C501F04">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08C2BFD0">
            <w:pPr>
              <w:pStyle w:val="34"/>
              <w:rPr>
                <w:sz w:val="18"/>
                <w:szCs w:val="18"/>
                <w:lang w:eastAsia="en-US"/>
              </w:rPr>
            </w:pPr>
            <w:r>
              <w:rPr>
                <w:rFonts w:hint="eastAsia"/>
                <w:sz w:val="18"/>
                <w:szCs w:val="18"/>
                <w:lang w:eastAsia="en-US"/>
              </w:rPr>
              <w:t>-</w:t>
            </w:r>
          </w:p>
        </w:tc>
      </w:tr>
      <w:tr w14:paraId="37457D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52E94E0">
            <w:pPr>
              <w:pStyle w:val="34"/>
              <w:numPr>
                <w:ilvl w:val="0"/>
                <w:numId w:val="53"/>
              </w:numPr>
              <w:rPr>
                <w:sz w:val="18"/>
                <w:szCs w:val="18"/>
                <w:lang w:eastAsia="en-US"/>
              </w:rPr>
            </w:pPr>
          </w:p>
        </w:tc>
        <w:tc>
          <w:tcPr>
            <w:tcW w:w="145" w:type="pct"/>
            <w:vMerge w:val="continue"/>
            <w:tcMar>
              <w:left w:w="0" w:type="dxa"/>
              <w:right w:w="0" w:type="dxa"/>
            </w:tcMar>
            <w:vAlign w:val="center"/>
          </w:tcPr>
          <w:p w14:paraId="07122CD2">
            <w:pPr>
              <w:pStyle w:val="34"/>
              <w:rPr>
                <w:sz w:val="18"/>
                <w:szCs w:val="18"/>
                <w:lang w:eastAsia="en-US"/>
              </w:rPr>
            </w:pPr>
          </w:p>
        </w:tc>
        <w:tc>
          <w:tcPr>
            <w:tcW w:w="145" w:type="pct"/>
            <w:vMerge w:val="continue"/>
            <w:tcMar>
              <w:left w:w="0" w:type="dxa"/>
              <w:right w:w="0" w:type="dxa"/>
            </w:tcMar>
            <w:vAlign w:val="center"/>
          </w:tcPr>
          <w:p w14:paraId="5F4E26CA">
            <w:pPr>
              <w:pStyle w:val="34"/>
              <w:rPr>
                <w:sz w:val="18"/>
                <w:szCs w:val="18"/>
                <w:lang w:eastAsia="en-US"/>
              </w:rPr>
            </w:pPr>
          </w:p>
        </w:tc>
        <w:tc>
          <w:tcPr>
            <w:tcW w:w="311" w:type="pct"/>
            <w:vMerge w:val="continue"/>
            <w:tcMar>
              <w:left w:w="0" w:type="dxa"/>
              <w:right w:w="0" w:type="dxa"/>
            </w:tcMar>
            <w:vAlign w:val="center"/>
          </w:tcPr>
          <w:p w14:paraId="5432FD8E">
            <w:pPr>
              <w:pStyle w:val="34"/>
              <w:rPr>
                <w:sz w:val="18"/>
                <w:szCs w:val="18"/>
                <w:lang w:eastAsia="en-US"/>
              </w:rPr>
            </w:pPr>
          </w:p>
        </w:tc>
        <w:tc>
          <w:tcPr>
            <w:tcW w:w="243" w:type="pct"/>
            <w:vMerge w:val="restart"/>
            <w:tcMar>
              <w:left w:w="0" w:type="dxa"/>
              <w:right w:w="0" w:type="dxa"/>
            </w:tcMar>
            <w:vAlign w:val="center"/>
          </w:tcPr>
          <w:p w14:paraId="43361930">
            <w:pPr>
              <w:pStyle w:val="34"/>
              <w:rPr>
                <w:sz w:val="18"/>
                <w:szCs w:val="18"/>
                <w:lang w:eastAsia="en-US"/>
              </w:rPr>
            </w:pPr>
            <w:r>
              <w:rPr>
                <w:sz w:val="18"/>
                <w:szCs w:val="18"/>
                <w:lang w:eastAsia="en-US"/>
              </w:rPr>
              <w:t>氧化性</w:t>
            </w:r>
          </w:p>
        </w:tc>
        <w:tc>
          <w:tcPr>
            <w:tcW w:w="213" w:type="pct"/>
            <w:tcMar>
              <w:left w:w="0" w:type="dxa"/>
              <w:right w:w="0" w:type="dxa"/>
            </w:tcMar>
            <w:vAlign w:val="center"/>
          </w:tcPr>
          <w:p w14:paraId="0D710FCC">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4577B1EB">
            <w:pPr>
              <w:pStyle w:val="34"/>
              <w:rPr>
                <w:sz w:val="18"/>
                <w:szCs w:val="18"/>
                <w:lang w:eastAsia="en-US"/>
              </w:rPr>
            </w:pPr>
            <w:r>
              <w:rPr>
                <w:sz w:val="18"/>
                <w:szCs w:val="18"/>
                <w:lang w:eastAsia="en-US"/>
              </w:rPr>
              <w:t>氯酸钠</w:t>
            </w:r>
          </w:p>
        </w:tc>
        <w:tc>
          <w:tcPr>
            <w:tcW w:w="267" w:type="pct"/>
            <w:tcMar>
              <w:left w:w="0" w:type="dxa"/>
              <w:right w:w="0" w:type="dxa"/>
            </w:tcMar>
            <w:vAlign w:val="center"/>
          </w:tcPr>
          <w:p w14:paraId="1BF14FAD">
            <w:pPr>
              <w:pStyle w:val="34"/>
              <w:rPr>
                <w:sz w:val="18"/>
                <w:szCs w:val="18"/>
                <w:lang w:eastAsia="en-US"/>
              </w:rPr>
            </w:pPr>
            <w:r>
              <w:rPr>
                <w:rFonts w:hint="eastAsia"/>
                <w:sz w:val="18"/>
                <w:szCs w:val="18"/>
                <w:lang w:eastAsia="en-US"/>
              </w:rPr>
              <w:t>第5.1项</w:t>
            </w:r>
          </w:p>
        </w:tc>
        <w:tc>
          <w:tcPr>
            <w:tcW w:w="355" w:type="pct"/>
            <w:tcMar>
              <w:left w:w="0" w:type="dxa"/>
              <w:right w:w="0" w:type="dxa"/>
            </w:tcMar>
            <w:vAlign w:val="center"/>
          </w:tcPr>
          <w:p w14:paraId="138A6862">
            <w:pPr>
              <w:pStyle w:val="34"/>
              <w:rPr>
                <w:sz w:val="18"/>
                <w:szCs w:val="18"/>
                <w:lang w:eastAsia="en-US"/>
              </w:rPr>
            </w:pPr>
            <w:r>
              <w:rPr>
                <w:sz w:val="18"/>
                <w:szCs w:val="18"/>
                <w:lang w:eastAsia="en-US"/>
              </w:rPr>
              <w:t>7775-09-9</w:t>
            </w:r>
          </w:p>
        </w:tc>
        <w:tc>
          <w:tcPr>
            <w:tcW w:w="230" w:type="pct"/>
            <w:tcMar>
              <w:left w:w="0" w:type="dxa"/>
              <w:right w:w="0" w:type="dxa"/>
            </w:tcMar>
            <w:vAlign w:val="center"/>
          </w:tcPr>
          <w:p w14:paraId="3FD3247C">
            <w:pPr>
              <w:pStyle w:val="34"/>
              <w:rPr>
                <w:sz w:val="18"/>
                <w:szCs w:val="18"/>
                <w:lang w:eastAsia="en-US"/>
              </w:rPr>
            </w:pPr>
            <w:r>
              <w:rPr>
                <w:rFonts w:hint="eastAsia"/>
                <w:sz w:val="18"/>
                <w:szCs w:val="18"/>
                <w:lang w:eastAsia="en-US"/>
              </w:rPr>
              <w:t>100</w:t>
            </w:r>
          </w:p>
        </w:tc>
        <w:tc>
          <w:tcPr>
            <w:tcW w:w="490" w:type="pct"/>
            <w:tcMar>
              <w:left w:w="0" w:type="dxa"/>
              <w:right w:w="0" w:type="dxa"/>
            </w:tcMar>
            <w:vAlign w:val="center"/>
          </w:tcPr>
          <w:p w14:paraId="222B7B52">
            <w:pPr>
              <w:pStyle w:val="34"/>
              <w:rPr>
                <w:sz w:val="18"/>
                <w:szCs w:val="18"/>
              </w:rPr>
            </w:pPr>
            <w:r>
              <w:rPr>
                <w:rFonts w:hint="eastAsia"/>
                <w:sz w:val="18"/>
                <w:szCs w:val="18"/>
              </w:rPr>
              <w:t>运输量大、腐蚀性、易制爆</w:t>
            </w:r>
          </w:p>
        </w:tc>
        <w:tc>
          <w:tcPr>
            <w:tcW w:w="500" w:type="pct"/>
            <w:tcMar>
              <w:left w:w="0" w:type="dxa"/>
              <w:right w:w="0" w:type="dxa"/>
            </w:tcMar>
            <w:vAlign w:val="center"/>
          </w:tcPr>
          <w:p w14:paraId="7926BD32">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5E352125">
            <w:pPr>
              <w:pStyle w:val="34"/>
              <w:rPr>
                <w:sz w:val="18"/>
                <w:szCs w:val="18"/>
              </w:rPr>
            </w:pPr>
            <w:r>
              <w:rPr>
                <w:rFonts w:hint="eastAsia"/>
                <w:sz w:val="18"/>
                <w:szCs w:val="18"/>
              </w:rPr>
              <w:t>《首批国家重点监管的危险化学品名录》</w:t>
            </w:r>
          </w:p>
        </w:tc>
      </w:tr>
      <w:tr w14:paraId="4F74FB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FEE86C0">
            <w:pPr>
              <w:pStyle w:val="34"/>
              <w:numPr>
                <w:ilvl w:val="0"/>
                <w:numId w:val="53"/>
              </w:numPr>
              <w:rPr>
                <w:sz w:val="18"/>
                <w:szCs w:val="18"/>
              </w:rPr>
            </w:pPr>
          </w:p>
        </w:tc>
        <w:tc>
          <w:tcPr>
            <w:tcW w:w="145" w:type="pct"/>
            <w:vMerge w:val="continue"/>
            <w:tcMar>
              <w:left w:w="0" w:type="dxa"/>
              <w:right w:w="0" w:type="dxa"/>
            </w:tcMar>
            <w:vAlign w:val="center"/>
          </w:tcPr>
          <w:p w14:paraId="7CB46F9A">
            <w:pPr>
              <w:pStyle w:val="34"/>
              <w:rPr>
                <w:sz w:val="18"/>
                <w:szCs w:val="18"/>
              </w:rPr>
            </w:pPr>
          </w:p>
        </w:tc>
        <w:tc>
          <w:tcPr>
            <w:tcW w:w="145" w:type="pct"/>
            <w:vMerge w:val="continue"/>
            <w:tcMar>
              <w:left w:w="0" w:type="dxa"/>
              <w:right w:w="0" w:type="dxa"/>
            </w:tcMar>
            <w:vAlign w:val="center"/>
          </w:tcPr>
          <w:p w14:paraId="312A70E4">
            <w:pPr>
              <w:pStyle w:val="34"/>
              <w:rPr>
                <w:sz w:val="18"/>
                <w:szCs w:val="18"/>
              </w:rPr>
            </w:pPr>
          </w:p>
        </w:tc>
        <w:tc>
          <w:tcPr>
            <w:tcW w:w="311" w:type="pct"/>
            <w:vMerge w:val="continue"/>
            <w:tcMar>
              <w:left w:w="0" w:type="dxa"/>
              <w:right w:w="0" w:type="dxa"/>
            </w:tcMar>
            <w:vAlign w:val="center"/>
          </w:tcPr>
          <w:p w14:paraId="44399DBD">
            <w:pPr>
              <w:pStyle w:val="34"/>
              <w:rPr>
                <w:sz w:val="18"/>
                <w:szCs w:val="18"/>
              </w:rPr>
            </w:pPr>
          </w:p>
        </w:tc>
        <w:tc>
          <w:tcPr>
            <w:tcW w:w="243" w:type="pct"/>
            <w:vMerge w:val="continue"/>
            <w:tcMar>
              <w:left w:w="0" w:type="dxa"/>
              <w:right w:w="0" w:type="dxa"/>
            </w:tcMar>
            <w:vAlign w:val="center"/>
          </w:tcPr>
          <w:p w14:paraId="71653D5D">
            <w:pPr>
              <w:pStyle w:val="34"/>
              <w:rPr>
                <w:sz w:val="18"/>
                <w:szCs w:val="18"/>
              </w:rPr>
            </w:pPr>
          </w:p>
        </w:tc>
        <w:tc>
          <w:tcPr>
            <w:tcW w:w="213" w:type="pct"/>
            <w:tcMar>
              <w:left w:w="0" w:type="dxa"/>
              <w:right w:w="0" w:type="dxa"/>
            </w:tcMar>
            <w:vAlign w:val="center"/>
          </w:tcPr>
          <w:p w14:paraId="53F01397">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C2C7CF8">
            <w:pPr>
              <w:pStyle w:val="34"/>
              <w:rPr>
                <w:sz w:val="18"/>
                <w:szCs w:val="18"/>
                <w:lang w:eastAsia="en-US"/>
              </w:rPr>
            </w:pPr>
            <w:r>
              <w:rPr>
                <w:sz w:val="18"/>
                <w:szCs w:val="18"/>
                <w:lang w:eastAsia="en-US"/>
              </w:rPr>
              <w:t>硝酸铵</w:t>
            </w:r>
          </w:p>
        </w:tc>
        <w:tc>
          <w:tcPr>
            <w:tcW w:w="267" w:type="pct"/>
            <w:tcMar>
              <w:left w:w="0" w:type="dxa"/>
              <w:right w:w="0" w:type="dxa"/>
            </w:tcMar>
            <w:vAlign w:val="center"/>
          </w:tcPr>
          <w:p w14:paraId="11C30C44">
            <w:pPr>
              <w:pStyle w:val="34"/>
              <w:rPr>
                <w:sz w:val="18"/>
                <w:szCs w:val="18"/>
                <w:lang w:eastAsia="en-US"/>
              </w:rPr>
            </w:pPr>
            <w:r>
              <w:rPr>
                <w:rFonts w:hint="eastAsia"/>
                <w:sz w:val="18"/>
                <w:szCs w:val="18"/>
                <w:lang w:eastAsia="en-US"/>
              </w:rPr>
              <w:t>第5.1项</w:t>
            </w:r>
          </w:p>
        </w:tc>
        <w:tc>
          <w:tcPr>
            <w:tcW w:w="355" w:type="pct"/>
            <w:tcMar>
              <w:left w:w="0" w:type="dxa"/>
              <w:right w:w="0" w:type="dxa"/>
            </w:tcMar>
            <w:vAlign w:val="center"/>
          </w:tcPr>
          <w:p w14:paraId="02BA3BD6">
            <w:pPr>
              <w:pStyle w:val="34"/>
              <w:rPr>
                <w:sz w:val="18"/>
                <w:szCs w:val="18"/>
                <w:lang w:eastAsia="en-US"/>
              </w:rPr>
            </w:pPr>
            <w:r>
              <w:rPr>
                <w:sz w:val="18"/>
                <w:szCs w:val="18"/>
                <w:lang w:eastAsia="en-US"/>
              </w:rPr>
              <w:t>6484-52-2</w:t>
            </w:r>
          </w:p>
        </w:tc>
        <w:tc>
          <w:tcPr>
            <w:tcW w:w="230" w:type="pct"/>
            <w:tcMar>
              <w:left w:w="0" w:type="dxa"/>
              <w:right w:w="0" w:type="dxa"/>
            </w:tcMar>
            <w:vAlign w:val="center"/>
          </w:tcPr>
          <w:p w14:paraId="3D963DE2">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47D0E956">
            <w:pPr>
              <w:pStyle w:val="34"/>
              <w:rPr>
                <w:sz w:val="18"/>
                <w:szCs w:val="18"/>
                <w:lang w:eastAsia="en-US"/>
              </w:rPr>
            </w:pPr>
            <w:r>
              <w:rPr>
                <w:rFonts w:hint="eastAsia"/>
                <w:sz w:val="18"/>
                <w:szCs w:val="18"/>
                <w:lang w:eastAsia="en-US"/>
              </w:rPr>
              <w:t>爆炸性、运输量大</w:t>
            </w:r>
          </w:p>
        </w:tc>
        <w:tc>
          <w:tcPr>
            <w:tcW w:w="500" w:type="pct"/>
            <w:tcMar>
              <w:left w:w="0" w:type="dxa"/>
              <w:right w:w="0" w:type="dxa"/>
            </w:tcMar>
            <w:vAlign w:val="center"/>
          </w:tcPr>
          <w:p w14:paraId="349457BE">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9F6E326">
            <w:pPr>
              <w:pStyle w:val="34"/>
              <w:rPr>
                <w:sz w:val="18"/>
                <w:szCs w:val="18"/>
                <w:lang w:eastAsia="en-US"/>
              </w:rPr>
            </w:pPr>
            <w:r>
              <w:rPr>
                <w:rFonts w:hint="eastAsia"/>
                <w:sz w:val="18"/>
                <w:szCs w:val="18"/>
                <w:lang w:eastAsia="en-US"/>
              </w:rPr>
              <w:t>-</w:t>
            </w:r>
          </w:p>
        </w:tc>
      </w:tr>
      <w:tr w14:paraId="57FB60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5DF5207">
            <w:pPr>
              <w:pStyle w:val="34"/>
              <w:numPr>
                <w:ilvl w:val="0"/>
                <w:numId w:val="53"/>
              </w:numPr>
              <w:rPr>
                <w:sz w:val="18"/>
                <w:szCs w:val="18"/>
                <w:lang w:eastAsia="en-US"/>
              </w:rPr>
            </w:pPr>
          </w:p>
        </w:tc>
        <w:tc>
          <w:tcPr>
            <w:tcW w:w="145" w:type="pct"/>
            <w:vMerge w:val="continue"/>
            <w:tcMar>
              <w:left w:w="0" w:type="dxa"/>
              <w:right w:w="0" w:type="dxa"/>
            </w:tcMar>
            <w:vAlign w:val="center"/>
          </w:tcPr>
          <w:p w14:paraId="735ABBEB">
            <w:pPr>
              <w:pStyle w:val="34"/>
              <w:rPr>
                <w:sz w:val="18"/>
                <w:szCs w:val="18"/>
                <w:lang w:eastAsia="en-US"/>
              </w:rPr>
            </w:pPr>
          </w:p>
        </w:tc>
        <w:tc>
          <w:tcPr>
            <w:tcW w:w="145" w:type="pct"/>
            <w:vMerge w:val="continue"/>
            <w:tcMar>
              <w:left w:w="0" w:type="dxa"/>
              <w:right w:w="0" w:type="dxa"/>
            </w:tcMar>
            <w:vAlign w:val="center"/>
          </w:tcPr>
          <w:p w14:paraId="7AE81D5B">
            <w:pPr>
              <w:pStyle w:val="34"/>
              <w:rPr>
                <w:sz w:val="18"/>
                <w:szCs w:val="18"/>
                <w:lang w:eastAsia="en-US"/>
              </w:rPr>
            </w:pPr>
          </w:p>
        </w:tc>
        <w:tc>
          <w:tcPr>
            <w:tcW w:w="311" w:type="pct"/>
            <w:vMerge w:val="continue"/>
            <w:tcMar>
              <w:left w:w="0" w:type="dxa"/>
              <w:right w:w="0" w:type="dxa"/>
            </w:tcMar>
            <w:vAlign w:val="center"/>
          </w:tcPr>
          <w:p w14:paraId="35BB16FB">
            <w:pPr>
              <w:pStyle w:val="34"/>
              <w:rPr>
                <w:sz w:val="18"/>
                <w:szCs w:val="18"/>
                <w:lang w:eastAsia="en-US"/>
              </w:rPr>
            </w:pPr>
          </w:p>
        </w:tc>
        <w:tc>
          <w:tcPr>
            <w:tcW w:w="243" w:type="pct"/>
            <w:vMerge w:val="continue"/>
            <w:tcMar>
              <w:left w:w="0" w:type="dxa"/>
              <w:right w:w="0" w:type="dxa"/>
            </w:tcMar>
            <w:vAlign w:val="center"/>
          </w:tcPr>
          <w:p w14:paraId="656D7CD0">
            <w:pPr>
              <w:pStyle w:val="34"/>
              <w:rPr>
                <w:sz w:val="18"/>
                <w:szCs w:val="18"/>
                <w:lang w:eastAsia="en-US"/>
              </w:rPr>
            </w:pPr>
          </w:p>
        </w:tc>
        <w:tc>
          <w:tcPr>
            <w:tcW w:w="213" w:type="pct"/>
            <w:tcMar>
              <w:left w:w="0" w:type="dxa"/>
              <w:right w:w="0" w:type="dxa"/>
            </w:tcMar>
            <w:vAlign w:val="center"/>
          </w:tcPr>
          <w:p w14:paraId="345A2B67">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23FE138">
            <w:pPr>
              <w:pStyle w:val="34"/>
              <w:rPr>
                <w:sz w:val="18"/>
                <w:szCs w:val="18"/>
                <w:lang w:eastAsia="en-US"/>
              </w:rPr>
            </w:pPr>
            <w:r>
              <w:rPr>
                <w:sz w:val="18"/>
                <w:szCs w:val="18"/>
                <w:lang w:eastAsia="en-US"/>
              </w:rPr>
              <w:t>铬酸酐</w:t>
            </w:r>
          </w:p>
        </w:tc>
        <w:tc>
          <w:tcPr>
            <w:tcW w:w="267" w:type="pct"/>
            <w:tcMar>
              <w:left w:w="0" w:type="dxa"/>
              <w:right w:w="0" w:type="dxa"/>
            </w:tcMar>
            <w:vAlign w:val="center"/>
          </w:tcPr>
          <w:p w14:paraId="67AFC9CE">
            <w:pPr>
              <w:pStyle w:val="34"/>
              <w:rPr>
                <w:sz w:val="18"/>
                <w:szCs w:val="18"/>
                <w:lang w:eastAsia="en-US"/>
              </w:rPr>
            </w:pPr>
            <w:r>
              <w:rPr>
                <w:rFonts w:hint="eastAsia"/>
                <w:sz w:val="18"/>
                <w:szCs w:val="18"/>
                <w:lang w:eastAsia="en-US"/>
              </w:rPr>
              <w:t>第5.1项</w:t>
            </w:r>
          </w:p>
        </w:tc>
        <w:tc>
          <w:tcPr>
            <w:tcW w:w="355" w:type="pct"/>
            <w:tcMar>
              <w:left w:w="0" w:type="dxa"/>
              <w:right w:w="0" w:type="dxa"/>
            </w:tcMar>
            <w:vAlign w:val="center"/>
          </w:tcPr>
          <w:p w14:paraId="5DDDC0F9">
            <w:pPr>
              <w:pStyle w:val="34"/>
              <w:rPr>
                <w:sz w:val="18"/>
                <w:szCs w:val="18"/>
                <w:lang w:eastAsia="en-US"/>
              </w:rPr>
            </w:pPr>
            <w:r>
              <w:rPr>
                <w:sz w:val="18"/>
                <w:szCs w:val="18"/>
                <w:lang w:eastAsia="en-US"/>
              </w:rPr>
              <w:t>1333-82-0</w:t>
            </w:r>
          </w:p>
        </w:tc>
        <w:tc>
          <w:tcPr>
            <w:tcW w:w="230" w:type="pct"/>
            <w:tcMar>
              <w:left w:w="0" w:type="dxa"/>
              <w:right w:w="0" w:type="dxa"/>
            </w:tcMar>
            <w:vAlign w:val="center"/>
          </w:tcPr>
          <w:p w14:paraId="1F40F8D6">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1A96DE32">
            <w:pPr>
              <w:pStyle w:val="34"/>
              <w:rPr>
                <w:sz w:val="18"/>
                <w:szCs w:val="18"/>
              </w:rPr>
            </w:pPr>
            <w:r>
              <w:rPr>
                <w:rFonts w:hint="eastAsia"/>
                <w:sz w:val="18"/>
                <w:szCs w:val="18"/>
              </w:rPr>
              <w:t>毒性、致癌、运输量大、易燃</w:t>
            </w:r>
          </w:p>
        </w:tc>
        <w:tc>
          <w:tcPr>
            <w:tcW w:w="500" w:type="pct"/>
            <w:tcMar>
              <w:left w:w="0" w:type="dxa"/>
              <w:right w:w="0" w:type="dxa"/>
            </w:tcMar>
            <w:vAlign w:val="center"/>
          </w:tcPr>
          <w:p w14:paraId="28D6DD56">
            <w:pPr>
              <w:pStyle w:val="34"/>
              <w:rPr>
                <w:sz w:val="18"/>
                <w:szCs w:val="18"/>
              </w:rPr>
            </w:pPr>
            <w:r>
              <w:rPr>
                <w:rFonts w:hint="eastAsia"/>
                <w:sz w:val="18"/>
                <w:szCs w:val="18"/>
              </w:rPr>
              <w:t>按健康危险急性毒性物质（类别2，类别3）</w:t>
            </w:r>
          </w:p>
        </w:tc>
        <w:tc>
          <w:tcPr>
            <w:tcW w:w="1373" w:type="pct"/>
            <w:tcMar>
              <w:left w:w="0" w:type="dxa"/>
              <w:right w:w="0" w:type="dxa"/>
            </w:tcMar>
            <w:vAlign w:val="center"/>
          </w:tcPr>
          <w:p w14:paraId="55F5F66C">
            <w:pPr>
              <w:pStyle w:val="34"/>
              <w:rPr>
                <w:sz w:val="18"/>
                <w:szCs w:val="18"/>
                <w:lang w:eastAsia="en-US"/>
              </w:rPr>
            </w:pPr>
            <w:r>
              <w:rPr>
                <w:rFonts w:hint="eastAsia"/>
                <w:sz w:val="18"/>
                <w:szCs w:val="18"/>
                <w:lang w:eastAsia="en-US"/>
              </w:rPr>
              <w:t>-</w:t>
            </w:r>
          </w:p>
        </w:tc>
      </w:tr>
      <w:tr w14:paraId="6E412F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1AB6136">
            <w:pPr>
              <w:pStyle w:val="34"/>
              <w:numPr>
                <w:ilvl w:val="0"/>
                <w:numId w:val="53"/>
              </w:numPr>
              <w:rPr>
                <w:sz w:val="18"/>
                <w:szCs w:val="18"/>
                <w:lang w:eastAsia="en-US"/>
              </w:rPr>
            </w:pPr>
          </w:p>
        </w:tc>
        <w:tc>
          <w:tcPr>
            <w:tcW w:w="145" w:type="pct"/>
            <w:vMerge w:val="continue"/>
            <w:tcMar>
              <w:left w:w="0" w:type="dxa"/>
              <w:right w:w="0" w:type="dxa"/>
            </w:tcMar>
            <w:vAlign w:val="center"/>
          </w:tcPr>
          <w:p w14:paraId="06BD47A3">
            <w:pPr>
              <w:pStyle w:val="34"/>
              <w:rPr>
                <w:sz w:val="18"/>
                <w:szCs w:val="18"/>
                <w:lang w:eastAsia="en-US"/>
              </w:rPr>
            </w:pPr>
          </w:p>
        </w:tc>
        <w:tc>
          <w:tcPr>
            <w:tcW w:w="145" w:type="pct"/>
            <w:vMerge w:val="continue"/>
            <w:tcMar>
              <w:left w:w="0" w:type="dxa"/>
              <w:right w:w="0" w:type="dxa"/>
            </w:tcMar>
            <w:vAlign w:val="center"/>
          </w:tcPr>
          <w:p w14:paraId="2671E4B9">
            <w:pPr>
              <w:pStyle w:val="34"/>
              <w:rPr>
                <w:sz w:val="18"/>
                <w:szCs w:val="18"/>
                <w:lang w:eastAsia="en-US"/>
              </w:rPr>
            </w:pPr>
          </w:p>
        </w:tc>
        <w:tc>
          <w:tcPr>
            <w:tcW w:w="311" w:type="pct"/>
            <w:vMerge w:val="continue"/>
            <w:tcMar>
              <w:left w:w="0" w:type="dxa"/>
              <w:right w:w="0" w:type="dxa"/>
            </w:tcMar>
            <w:vAlign w:val="center"/>
          </w:tcPr>
          <w:p w14:paraId="7A6062FF">
            <w:pPr>
              <w:pStyle w:val="34"/>
              <w:rPr>
                <w:sz w:val="18"/>
                <w:szCs w:val="18"/>
                <w:lang w:eastAsia="en-US"/>
              </w:rPr>
            </w:pPr>
          </w:p>
        </w:tc>
        <w:tc>
          <w:tcPr>
            <w:tcW w:w="243" w:type="pct"/>
            <w:vMerge w:val="restart"/>
            <w:tcMar>
              <w:left w:w="0" w:type="dxa"/>
              <w:right w:w="0" w:type="dxa"/>
            </w:tcMar>
            <w:vAlign w:val="center"/>
          </w:tcPr>
          <w:p w14:paraId="5EC2D003">
            <w:pPr>
              <w:pStyle w:val="34"/>
              <w:rPr>
                <w:sz w:val="18"/>
                <w:szCs w:val="18"/>
                <w:lang w:eastAsia="en-US"/>
              </w:rPr>
            </w:pPr>
            <w:r>
              <w:rPr>
                <w:sz w:val="18"/>
                <w:szCs w:val="18"/>
                <w:lang w:eastAsia="en-US"/>
              </w:rPr>
              <w:t>腐蚀性</w:t>
            </w:r>
          </w:p>
        </w:tc>
        <w:tc>
          <w:tcPr>
            <w:tcW w:w="213" w:type="pct"/>
            <w:tcMar>
              <w:left w:w="0" w:type="dxa"/>
              <w:right w:w="0" w:type="dxa"/>
            </w:tcMar>
            <w:vAlign w:val="center"/>
          </w:tcPr>
          <w:p w14:paraId="72B2FB32">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75BB3E2">
            <w:pPr>
              <w:pStyle w:val="34"/>
              <w:rPr>
                <w:sz w:val="18"/>
                <w:szCs w:val="18"/>
                <w:lang w:eastAsia="en-US"/>
              </w:rPr>
            </w:pPr>
            <w:r>
              <w:rPr>
                <w:rFonts w:hint="eastAsia"/>
                <w:sz w:val="18"/>
                <w:szCs w:val="18"/>
                <w:lang w:eastAsia="en-US"/>
              </w:rPr>
              <w:t>氢氧化钠</w:t>
            </w:r>
          </w:p>
        </w:tc>
        <w:tc>
          <w:tcPr>
            <w:tcW w:w="267" w:type="pct"/>
            <w:tcMar>
              <w:left w:w="0" w:type="dxa"/>
              <w:right w:w="0" w:type="dxa"/>
            </w:tcMar>
            <w:vAlign w:val="center"/>
          </w:tcPr>
          <w:p w14:paraId="7410D5B7">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44E3CDE8">
            <w:pPr>
              <w:pStyle w:val="34"/>
              <w:rPr>
                <w:sz w:val="18"/>
                <w:szCs w:val="18"/>
                <w:lang w:eastAsia="en-US"/>
              </w:rPr>
            </w:pPr>
            <w:r>
              <w:rPr>
                <w:sz w:val="18"/>
                <w:szCs w:val="18"/>
                <w:lang w:eastAsia="en-US"/>
              </w:rPr>
              <w:t>1310-73-1</w:t>
            </w:r>
          </w:p>
        </w:tc>
        <w:tc>
          <w:tcPr>
            <w:tcW w:w="230" w:type="pct"/>
            <w:tcMar>
              <w:left w:w="0" w:type="dxa"/>
              <w:right w:w="0" w:type="dxa"/>
            </w:tcMar>
            <w:vAlign w:val="center"/>
          </w:tcPr>
          <w:p w14:paraId="725F2401">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46F53BB0">
            <w:pPr>
              <w:pStyle w:val="34"/>
              <w:rPr>
                <w:sz w:val="18"/>
                <w:szCs w:val="18"/>
              </w:rPr>
            </w:pPr>
            <w:r>
              <w:rPr>
                <w:rFonts w:hint="eastAsia"/>
                <w:sz w:val="18"/>
                <w:szCs w:val="18"/>
              </w:rPr>
              <w:t>腐蚀性、水溶液呈强碱性、运输量大</w:t>
            </w:r>
          </w:p>
        </w:tc>
        <w:tc>
          <w:tcPr>
            <w:tcW w:w="500" w:type="pct"/>
            <w:vMerge w:val="restart"/>
            <w:tcMar>
              <w:left w:w="0" w:type="dxa"/>
              <w:right w:w="0" w:type="dxa"/>
            </w:tcMar>
            <w:vAlign w:val="center"/>
          </w:tcPr>
          <w:p w14:paraId="48FFBC8F">
            <w:pPr>
              <w:pStyle w:val="34"/>
              <w:rPr>
                <w:sz w:val="18"/>
                <w:szCs w:val="18"/>
              </w:rPr>
            </w:pPr>
            <w:r>
              <w:rPr>
                <w:rFonts w:hint="eastAsia"/>
                <w:sz w:val="18"/>
                <w:szCs w:val="18"/>
              </w:rPr>
              <w:t>按健康危险急性毒性物质（类别2，类别3）</w:t>
            </w:r>
          </w:p>
        </w:tc>
        <w:tc>
          <w:tcPr>
            <w:tcW w:w="1373" w:type="pct"/>
            <w:tcMar>
              <w:left w:w="0" w:type="dxa"/>
              <w:right w:w="0" w:type="dxa"/>
            </w:tcMar>
            <w:vAlign w:val="center"/>
          </w:tcPr>
          <w:p w14:paraId="15F189D3">
            <w:pPr>
              <w:pStyle w:val="34"/>
              <w:rPr>
                <w:sz w:val="18"/>
                <w:szCs w:val="18"/>
                <w:lang w:eastAsia="en-US"/>
              </w:rPr>
            </w:pPr>
            <w:r>
              <w:rPr>
                <w:rFonts w:hint="eastAsia"/>
                <w:sz w:val="18"/>
                <w:szCs w:val="18"/>
                <w:lang w:eastAsia="en-US"/>
              </w:rPr>
              <w:t>-</w:t>
            </w:r>
          </w:p>
        </w:tc>
      </w:tr>
      <w:tr w14:paraId="74C926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5BEB504">
            <w:pPr>
              <w:pStyle w:val="34"/>
              <w:numPr>
                <w:ilvl w:val="0"/>
                <w:numId w:val="53"/>
              </w:numPr>
              <w:rPr>
                <w:sz w:val="18"/>
                <w:szCs w:val="18"/>
                <w:lang w:eastAsia="en-US"/>
              </w:rPr>
            </w:pPr>
          </w:p>
        </w:tc>
        <w:tc>
          <w:tcPr>
            <w:tcW w:w="145" w:type="pct"/>
            <w:vMerge w:val="continue"/>
            <w:tcMar>
              <w:left w:w="0" w:type="dxa"/>
              <w:right w:w="0" w:type="dxa"/>
            </w:tcMar>
            <w:vAlign w:val="center"/>
          </w:tcPr>
          <w:p w14:paraId="10334395">
            <w:pPr>
              <w:pStyle w:val="34"/>
              <w:rPr>
                <w:sz w:val="18"/>
                <w:szCs w:val="18"/>
                <w:lang w:eastAsia="en-US"/>
              </w:rPr>
            </w:pPr>
          </w:p>
        </w:tc>
        <w:tc>
          <w:tcPr>
            <w:tcW w:w="145" w:type="pct"/>
            <w:vMerge w:val="continue"/>
            <w:tcMar>
              <w:left w:w="0" w:type="dxa"/>
              <w:right w:w="0" w:type="dxa"/>
            </w:tcMar>
            <w:vAlign w:val="center"/>
          </w:tcPr>
          <w:p w14:paraId="19B4588A">
            <w:pPr>
              <w:pStyle w:val="34"/>
              <w:rPr>
                <w:sz w:val="18"/>
                <w:szCs w:val="18"/>
                <w:lang w:eastAsia="en-US"/>
              </w:rPr>
            </w:pPr>
          </w:p>
        </w:tc>
        <w:tc>
          <w:tcPr>
            <w:tcW w:w="311" w:type="pct"/>
            <w:vMerge w:val="continue"/>
            <w:tcMar>
              <w:left w:w="0" w:type="dxa"/>
              <w:right w:w="0" w:type="dxa"/>
            </w:tcMar>
            <w:vAlign w:val="center"/>
          </w:tcPr>
          <w:p w14:paraId="36B55C75">
            <w:pPr>
              <w:pStyle w:val="34"/>
              <w:rPr>
                <w:sz w:val="18"/>
                <w:szCs w:val="18"/>
                <w:lang w:eastAsia="en-US"/>
              </w:rPr>
            </w:pPr>
          </w:p>
        </w:tc>
        <w:tc>
          <w:tcPr>
            <w:tcW w:w="243" w:type="pct"/>
            <w:vMerge w:val="continue"/>
            <w:tcMar>
              <w:left w:w="0" w:type="dxa"/>
              <w:right w:w="0" w:type="dxa"/>
            </w:tcMar>
            <w:vAlign w:val="center"/>
          </w:tcPr>
          <w:p w14:paraId="66A8C26D">
            <w:pPr>
              <w:pStyle w:val="34"/>
              <w:rPr>
                <w:sz w:val="18"/>
                <w:szCs w:val="18"/>
                <w:lang w:eastAsia="en-US"/>
              </w:rPr>
            </w:pPr>
          </w:p>
        </w:tc>
        <w:tc>
          <w:tcPr>
            <w:tcW w:w="213" w:type="pct"/>
            <w:tcMar>
              <w:left w:w="0" w:type="dxa"/>
              <w:right w:w="0" w:type="dxa"/>
            </w:tcMar>
            <w:vAlign w:val="center"/>
          </w:tcPr>
          <w:p w14:paraId="7337CC33">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EA1C35A">
            <w:pPr>
              <w:pStyle w:val="34"/>
              <w:rPr>
                <w:sz w:val="18"/>
                <w:szCs w:val="18"/>
                <w:lang w:eastAsia="en-US"/>
              </w:rPr>
            </w:pPr>
            <w:r>
              <w:rPr>
                <w:rFonts w:hint="eastAsia"/>
                <w:sz w:val="18"/>
                <w:szCs w:val="18"/>
                <w:lang w:eastAsia="en-US"/>
              </w:rPr>
              <w:t>硫化钠</w:t>
            </w:r>
          </w:p>
        </w:tc>
        <w:tc>
          <w:tcPr>
            <w:tcW w:w="267" w:type="pct"/>
            <w:tcMar>
              <w:left w:w="0" w:type="dxa"/>
              <w:right w:w="0" w:type="dxa"/>
            </w:tcMar>
            <w:vAlign w:val="center"/>
          </w:tcPr>
          <w:p w14:paraId="5ED0333A">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744A289C">
            <w:pPr>
              <w:pStyle w:val="34"/>
              <w:rPr>
                <w:sz w:val="18"/>
                <w:szCs w:val="18"/>
                <w:lang w:eastAsia="en-US"/>
              </w:rPr>
            </w:pPr>
            <w:r>
              <w:rPr>
                <w:sz w:val="18"/>
                <w:szCs w:val="18"/>
                <w:lang w:eastAsia="en-US"/>
              </w:rPr>
              <w:t>1313-82-2</w:t>
            </w:r>
          </w:p>
        </w:tc>
        <w:tc>
          <w:tcPr>
            <w:tcW w:w="230" w:type="pct"/>
            <w:tcMar>
              <w:left w:w="0" w:type="dxa"/>
              <w:right w:w="0" w:type="dxa"/>
            </w:tcMar>
            <w:vAlign w:val="center"/>
          </w:tcPr>
          <w:p w14:paraId="5C04E221">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4263F6C3">
            <w:pPr>
              <w:pStyle w:val="34"/>
              <w:rPr>
                <w:sz w:val="18"/>
                <w:szCs w:val="18"/>
              </w:rPr>
            </w:pPr>
            <w:r>
              <w:rPr>
                <w:rFonts w:hint="eastAsia"/>
                <w:sz w:val="18"/>
                <w:szCs w:val="18"/>
              </w:rPr>
              <w:t>腐蚀性、水溶液呈强碱性、运输量大</w:t>
            </w:r>
          </w:p>
        </w:tc>
        <w:tc>
          <w:tcPr>
            <w:tcW w:w="500" w:type="pct"/>
            <w:vMerge w:val="continue"/>
            <w:tcMar>
              <w:left w:w="0" w:type="dxa"/>
              <w:right w:w="0" w:type="dxa"/>
            </w:tcMar>
            <w:vAlign w:val="center"/>
          </w:tcPr>
          <w:p w14:paraId="0FFE6A77">
            <w:pPr>
              <w:pStyle w:val="34"/>
              <w:rPr>
                <w:sz w:val="18"/>
                <w:szCs w:val="18"/>
              </w:rPr>
            </w:pPr>
          </w:p>
        </w:tc>
        <w:tc>
          <w:tcPr>
            <w:tcW w:w="1373" w:type="pct"/>
            <w:tcMar>
              <w:left w:w="0" w:type="dxa"/>
              <w:right w:w="0" w:type="dxa"/>
            </w:tcMar>
            <w:vAlign w:val="center"/>
          </w:tcPr>
          <w:p w14:paraId="2E46FF9E">
            <w:pPr>
              <w:pStyle w:val="34"/>
              <w:rPr>
                <w:sz w:val="18"/>
                <w:szCs w:val="18"/>
                <w:lang w:eastAsia="en-US"/>
              </w:rPr>
            </w:pPr>
            <w:r>
              <w:rPr>
                <w:rFonts w:hint="eastAsia"/>
                <w:sz w:val="18"/>
                <w:szCs w:val="18"/>
                <w:lang w:eastAsia="en-US"/>
              </w:rPr>
              <w:t>-</w:t>
            </w:r>
          </w:p>
        </w:tc>
      </w:tr>
      <w:tr w14:paraId="73AE5C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3D95E2B">
            <w:pPr>
              <w:pStyle w:val="34"/>
              <w:numPr>
                <w:ilvl w:val="0"/>
                <w:numId w:val="53"/>
              </w:numPr>
              <w:rPr>
                <w:sz w:val="18"/>
                <w:szCs w:val="18"/>
                <w:lang w:eastAsia="en-US"/>
              </w:rPr>
            </w:pPr>
          </w:p>
        </w:tc>
        <w:tc>
          <w:tcPr>
            <w:tcW w:w="145" w:type="pct"/>
            <w:vMerge w:val="continue"/>
            <w:tcMar>
              <w:left w:w="0" w:type="dxa"/>
              <w:right w:w="0" w:type="dxa"/>
            </w:tcMar>
            <w:vAlign w:val="center"/>
          </w:tcPr>
          <w:p w14:paraId="24FE7B34">
            <w:pPr>
              <w:pStyle w:val="34"/>
              <w:rPr>
                <w:sz w:val="18"/>
                <w:szCs w:val="18"/>
                <w:lang w:eastAsia="en-US"/>
              </w:rPr>
            </w:pPr>
          </w:p>
        </w:tc>
        <w:tc>
          <w:tcPr>
            <w:tcW w:w="145" w:type="pct"/>
            <w:vMerge w:val="continue"/>
            <w:tcMar>
              <w:left w:w="0" w:type="dxa"/>
              <w:right w:w="0" w:type="dxa"/>
            </w:tcMar>
            <w:vAlign w:val="center"/>
          </w:tcPr>
          <w:p w14:paraId="51C93CBA">
            <w:pPr>
              <w:pStyle w:val="34"/>
              <w:rPr>
                <w:sz w:val="18"/>
                <w:szCs w:val="18"/>
                <w:lang w:eastAsia="en-US"/>
              </w:rPr>
            </w:pPr>
          </w:p>
        </w:tc>
        <w:tc>
          <w:tcPr>
            <w:tcW w:w="311" w:type="pct"/>
            <w:vMerge w:val="continue"/>
            <w:tcMar>
              <w:left w:w="0" w:type="dxa"/>
              <w:right w:w="0" w:type="dxa"/>
            </w:tcMar>
            <w:vAlign w:val="center"/>
          </w:tcPr>
          <w:p w14:paraId="302B864F">
            <w:pPr>
              <w:pStyle w:val="34"/>
              <w:rPr>
                <w:sz w:val="18"/>
                <w:szCs w:val="18"/>
                <w:lang w:eastAsia="en-US"/>
              </w:rPr>
            </w:pPr>
          </w:p>
        </w:tc>
        <w:tc>
          <w:tcPr>
            <w:tcW w:w="243" w:type="pct"/>
            <w:vMerge w:val="continue"/>
            <w:tcMar>
              <w:left w:w="0" w:type="dxa"/>
              <w:right w:w="0" w:type="dxa"/>
            </w:tcMar>
            <w:vAlign w:val="center"/>
          </w:tcPr>
          <w:p w14:paraId="10CC5D45">
            <w:pPr>
              <w:pStyle w:val="34"/>
              <w:rPr>
                <w:sz w:val="18"/>
                <w:szCs w:val="18"/>
                <w:lang w:eastAsia="en-US"/>
              </w:rPr>
            </w:pPr>
          </w:p>
        </w:tc>
        <w:tc>
          <w:tcPr>
            <w:tcW w:w="213" w:type="pct"/>
            <w:tcMar>
              <w:left w:w="0" w:type="dxa"/>
              <w:right w:w="0" w:type="dxa"/>
            </w:tcMar>
            <w:vAlign w:val="center"/>
          </w:tcPr>
          <w:p w14:paraId="0B22C802">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05FA115">
            <w:pPr>
              <w:pStyle w:val="34"/>
              <w:rPr>
                <w:sz w:val="18"/>
                <w:szCs w:val="18"/>
                <w:lang w:eastAsia="en-US"/>
              </w:rPr>
            </w:pPr>
            <w:r>
              <w:rPr>
                <w:rFonts w:hint="eastAsia"/>
                <w:sz w:val="18"/>
                <w:szCs w:val="18"/>
                <w:lang w:eastAsia="en-US"/>
              </w:rPr>
              <w:t>五氧化二磷</w:t>
            </w:r>
          </w:p>
        </w:tc>
        <w:tc>
          <w:tcPr>
            <w:tcW w:w="267" w:type="pct"/>
            <w:tcMar>
              <w:left w:w="0" w:type="dxa"/>
              <w:right w:w="0" w:type="dxa"/>
            </w:tcMar>
            <w:vAlign w:val="center"/>
          </w:tcPr>
          <w:p w14:paraId="7FB390D8">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26C8B617">
            <w:pPr>
              <w:pStyle w:val="34"/>
              <w:rPr>
                <w:sz w:val="18"/>
                <w:szCs w:val="18"/>
                <w:lang w:eastAsia="en-US"/>
              </w:rPr>
            </w:pPr>
            <w:r>
              <w:rPr>
                <w:sz w:val="18"/>
                <w:szCs w:val="18"/>
                <w:lang w:eastAsia="en-US"/>
              </w:rPr>
              <w:t>1314-56-3</w:t>
            </w:r>
          </w:p>
        </w:tc>
        <w:tc>
          <w:tcPr>
            <w:tcW w:w="230" w:type="pct"/>
            <w:tcMar>
              <w:left w:w="0" w:type="dxa"/>
              <w:right w:w="0" w:type="dxa"/>
            </w:tcMar>
            <w:vAlign w:val="center"/>
          </w:tcPr>
          <w:p w14:paraId="7CFE6180">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45EF60D6">
            <w:pPr>
              <w:pStyle w:val="34"/>
              <w:rPr>
                <w:sz w:val="18"/>
                <w:szCs w:val="18"/>
              </w:rPr>
            </w:pPr>
            <w:r>
              <w:rPr>
                <w:rFonts w:hint="eastAsia"/>
                <w:sz w:val="18"/>
                <w:szCs w:val="18"/>
              </w:rPr>
              <w:t>腐蚀性、运输量大、水溶液呈酸性、毒性</w:t>
            </w:r>
          </w:p>
        </w:tc>
        <w:tc>
          <w:tcPr>
            <w:tcW w:w="500" w:type="pct"/>
            <w:tcMar>
              <w:left w:w="0" w:type="dxa"/>
              <w:right w:w="0" w:type="dxa"/>
            </w:tcMar>
            <w:vAlign w:val="center"/>
          </w:tcPr>
          <w:p w14:paraId="0B62DCF8">
            <w:pPr>
              <w:pStyle w:val="34"/>
              <w:rPr>
                <w:sz w:val="18"/>
                <w:szCs w:val="18"/>
                <w:lang w:eastAsia="en-US"/>
              </w:rPr>
            </w:pPr>
            <w:r>
              <w:rPr>
                <w:sz w:val="18"/>
                <w:szCs w:val="18"/>
                <w:lang w:eastAsia="en-US"/>
              </w:rPr>
              <w:t>列入</w:t>
            </w:r>
          </w:p>
        </w:tc>
        <w:tc>
          <w:tcPr>
            <w:tcW w:w="1373" w:type="pct"/>
            <w:tcMar>
              <w:left w:w="0" w:type="dxa"/>
              <w:right w:w="0" w:type="dxa"/>
            </w:tcMar>
            <w:vAlign w:val="center"/>
          </w:tcPr>
          <w:p w14:paraId="6AC3C6CB">
            <w:pPr>
              <w:pStyle w:val="34"/>
              <w:rPr>
                <w:sz w:val="18"/>
                <w:szCs w:val="18"/>
                <w:lang w:eastAsia="en-US"/>
              </w:rPr>
            </w:pPr>
            <w:r>
              <w:rPr>
                <w:rFonts w:hint="eastAsia"/>
                <w:sz w:val="18"/>
                <w:szCs w:val="18"/>
                <w:lang w:eastAsia="en-US"/>
              </w:rPr>
              <w:t>-</w:t>
            </w:r>
          </w:p>
        </w:tc>
      </w:tr>
      <w:tr w14:paraId="247318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031F4C8E">
            <w:pPr>
              <w:pStyle w:val="34"/>
              <w:numPr>
                <w:ilvl w:val="0"/>
                <w:numId w:val="53"/>
              </w:numPr>
              <w:rPr>
                <w:sz w:val="18"/>
                <w:szCs w:val="18"/>
                <w:lang w:eastAsia="en-US"/>
              </w:rPr>
            </w:pPr>
          </w:p>
        </w:tc>
        <w:tc>
          <w:tcPr>
            <w:tcW w:w="145" w:type="pct"/>
            <w:vMerge w:val="continue"/>
            <w:tcMar>
              <w:left w:w="0" w:type="dxa"/>
              <w:right w:w="0" w:type="dxa"/>
            </w:tcMar>
            <w:vAlign w:val="center"/>
          </w:tcPr>
          <w:p w14:paraId="62C8A3F3">
            <w:pPr>
              <w:pStyle w:val="34"/>
              <w:rPr>
                <w:sz w:val="18"/>
                <w:szCs w:val="18"/>
                <w:lang w:eastAsia="en-US"/>
              </w:rPr>
            </w:pPr>
          </w:p>
        </w:tc>
        <w:tc>
          <w:tcPr>
            <w:tcW w:w="145" w:type="pct"/>
            <w:vMerge w:val="continue"/>
            <w:tcMar>
              <w:left w:w="0" w:type="dxa"/>
              <w:right w:w="0" w:type="dxa"/>
            </w:tcMar>
            <w:vAlign w:val="center"/>
          </w:tcPr>
          <w:p w14:paraId="46467C3E">
            <w:pPr>
              <w:pStyle w:val="34"/>
              <w:rPr>
                <w:sz w:val="18"/>
                <w:szCs w:val="18"/>
                <w:lang w:eastAsia="en-US"/>
              </w:rPr>
            </w:pPr>
          </w:p>
        </w:tc>
        <w:tc>
          <w:tcPr>
            <w:tcW w:w="311" w:type="pct"/>
            <w:vMerge w:val="restart"/>
            <w:tcMar>
              <w:left w:w="0" w:type="dxa"/>
              <w:right w:w="0" w:type="dxa"/>
            </w:tcMar>
            <w:vAlign w:val="center"/>
          </w:tcPr>
          <w:p w14:paraId="191934A3">
            <w:pPr>
              <w:pStyle w:val="34"/>
              <w:rPr>
                <w:sz w:val="18"/>
                <w:szCs w:val="18"/>
                <w:lang w:eastAsia="en-US"/>
              </w:rPr>
            </w:pPr>
            <w:r>
              <w:rPr>
                <w:sz w:val="18"/>
                <w:szCs w:val="18"/>
                <w:lang w:eastAsia="en-US"/>
              </w:rPr>
              <w:t>有机</w:t>
            </w:r>
          </w:p>
        </w:tc>
        <w:tc>
          <w:tcPr>
            <w:tcW w:w="243" w:type="pct"/>
            <w:tcMar>
              <w:left w:w="0" w:type="dxa"/>
              <w:right w:w="0" w:type="dxa"/>
            </w:tcMar>
            <w:vAlign w:val="center"/>
          </w:tcPr>
          <w:p w14:paraId="77050A15">
            <w:pPr>
              <w:pStyle w:val="34"/>
              <w:rPr>
                <w:sz w:val="18"/>
                <w:szCs w:val="18"/>
                <w:lang w:eastAsia="en-US"/>
              </w:rPr>
            </w:pPr>
            <w:r>
              <w:rPr>
                <w:sz w:val="18"/>
                <w:szCs w:val="18"/>
                <w:lang w:eastAsia="en-US"/>
              </w:rPr>
              <w:t>易自燃</w:t>
            </w:r>
          </w:p>
        </w:tc>
        <w:tc>
          <w:tcPr>
            <w:tcW w:w="213" w:type="pct"/>
            <w:tcMar>
              <w:left w:w="0" w:type="dxa"/>
              <w:right w:w="0" w:type="dxa"/>
            </w:tcMar>
            <w:vAlign w:val="center"/>
          </w:tcPr>
          <w:p w14:paraId="1760C2AA">
            <w:pPr>
              <w:pStyle w:val="34"/>
              <w:rPr>
                <w:sz w:val="18"/>
                <w:szCs w:val="18"/>
                <w:lang w:eastAsia="en-US"/>
              </w:rPr>
            </w:pPr>
            <w:r>
              <w:rPr>
                <w:sz w:val="18"/>
                <w:szCs w:val="18"/>
                <w:lang w:eastAsia="en-US"/>
              </w:rPr>
              <w:t>毒性</w:t>
            </w:r>
          </w:p>
        </w:tc>
        <w:tc>
          <w:tcPr>
            <w:tcW w:w="582" w:type="pct"/>
            <w:tcMar>
              <w:left w:w="0" w:type="dxa"/>
              <w:right w:w="0" w:type="dxa"/>
            </w:tcMar>
            <w:vAlign w:val="center"/>
          </w:tcPr>
          <w:p w14:paraId="7618B11F">
            <w:pPr>
              <w:pStyle w:val="34"/>
              <w:rPr>
                <w:sz w:val="18"/>
                <w:szCs w:val="18"/>
                <w:lang w:eastAsia="en-US"/>
              </w:rPr>
            </w:pPr>
            <w:bookmarkStart w:id="541" w:name="OLE_LINK152"/>
            <w:r>
              <w:rPr>
                <w:rFonts w:hint="eastAsia"/>
                <w:sz w:val="18"/>
                <w:szCs w:val="18"/>
                <w:lang w:eastAsia="en-US"/>
              </w:rPr>
              <w:t>戊硼烷</w:t>
            </w:r>
            <w:bookmarkEnd w:id="541"/>
          </w:p>
        </w:tc>
        <w:tc>
          <w:tcPr>
            <w:tcW w:w="267" w:type="pct"/>
            <w:tcMar>
              <w:left w:w="0" w:type="dxa"/>
              <w:right w:w="0" w:type="dxa"/>
            </w:tcMar>
            <w:vAlign w:val="center"/>
          </w:tcPr>
          <w:p w14:paraId="2C4FE966">
            <w:pPr>
              <w:pStyle w:val="34"/>
              <w:rPr>
                <w:sz w:val="18"/>
                <w:szCs w:val="18"/>
                <w:lang w:eastAsia="en-US"/>
              </w:rPr>
            </w:pPr>
            <w:r>
              <w:rPr>
                <w:rFonts w:hint="eastAsia"/>
                <w:sz w:val="18"/>
                <w:szCs w:val="18"/>
                <w:lang w:eastAsia="en-US"/>
              </w:rPr>
              <w:t>第4.2项</w:t>
            </w:r>
          </w:p>
        </w:tc>
        <w:tc>
          <w:tcPr>
            <w:tcW w:w="355" w:type="pct"/>
            <w:tcMar>
              <w:left w:w="0" w:type="dxa"/>
              <w:right w:w="0" w:type="dxa"/>
            </w:tcMar>
            <w:vAlign w:val="center"/>
          </w:tcPr>
          <w:p w14:paraId="10B9C0B4">
            <w:pPr>
              <w:pStyle w:val="34"/>
              <w:rPr>
                <w:sz w:val="18"/>
                <w:szCs w:val="18"/>
                <w:lang w:eastAsia="en-US"/>
              </w:rPr>
            </w:pPr>
            <w:r>
              <w:rPr>
                <w:rFonts w:hint="eastAsia"/>
                <w:sz w:val="18"/>
                <w:szCs w:val="18"/>
                <w:lang w:eastAsia="en-US"/>
              </w:rPr>
              <w:t>19624-22-7</w:t>
            </w:r>
          </w:p>
        </w:tc>
        <w:tc>
          <w:tcPr>
            <w:tcW w:w="230" w:type="pct"/>
            <w:tcMar>
              <w:left w:w="0" w:type="dxa"/>
              <w:right w:w="0" w:type="dxa"/>
            </w:tcMar>
            <w:vAlign w:val="center"/>
          </w:tcPr>
          <w:p w14:paraId="41227A47">
            <w:pPr>
              <w:pStyle w:val="34"/>
              <w:rPr>
                <w:sz w:val="18"/>
                <w:szCs w:val="18"/>
                <w:lang w:eastAsia="en-US"/>
              </w:rPr>
            </w:pPr>
            <w:r>
              <w:rPr>
                <w:rFonts w:hint="eastAsia"/>
                <w:sz w:val="18"/>
                <w:szCs w:val="18"/>
                <w:lang w:eastAsia="en-US"/>
              </w:rPr>
              <w:t>0.25</w:t>
            </w:r>
          </w:p>
        </w:tc>
        <w:tc>
          <w:tcPr>
            <w:tcW w:w="490" w:type="pct"/>
            <w:tcMar>
              <w:left w:w="0" w:type="dxa"/>
              <w:right w:w="0" w:type="dxa"/>
            </w:tcMar>
            <w:vAlign w:val="center"/>
          </w:tcPr>
          <w:p w14:paraId="62B9DB2B">
            <w:pPr>
              <w:pStyle w:val="34"/>
              <w:rPr>
                <w:sz w:val="18"/>
                <w:szCs w:val="18"/>
                <w:lang w:eastAsia="en-US"/>
              </w:rPr>
            </w:pPr>
            <w:r>
              <w:rPr>
                <w:rFonts w:hint="eastAsia"/>
                <w:sz w:val="18"/>
                <w:szCs w:val="18"/>
                <w:lang w:eastAsia="en-US"/>
              </w:rPr>
              <w:t>剧毒、易自燃、致癌</w:t>
            </w:r>
          </w:p>
        </w:tc>
        <w:tc>
          <w:tcPr>
            <w:tcW w:w="500" w:type="pct"/>
            <w:tcMar>
              <w:left w:w="0" w:type="dxa"/>
              <w:right w:w="0" w:type="dxa"/>
            </w:tcMar>
            <w:vAlign w:val="center"/>
          </w:tcPr>
          <w:p w14:paraId="0F19F79C">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723CE03B">
            <w:pPr>
              <w:pStyle w:val="34"/>
              <w:rPr>
                <w:sz w:val="18"/>
                <w:szCs w:val="18"/>
                <w:lang w:eastAsia="en-US"/>
              </w:rPr>
            </w:pPr>
            <w:r>
              <w:rPr>
                <w:rFonts w:hint="eastAsia"/>
                <w:sz w:val="18"/>
                <w:szCs w:val="18"/>
                <w:lang w:eastAsia="en-US"/>
              </w:rPr>
              <w:t>-</w:t>
            </w:r>
          </w:p>
        </w:tc>
      </w:tr>
      <w:tr w14:paraId="197262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E928EEE">
            <w:pPr>
              <w:pStyle w:val="34"/>
              <w:numPr>
                <w:ilvl w:val="0"/>
                <w:numId w:val="53"/>
              </w:numPr>
              <w:rPr>
                <w:sz w:val="18"/>
                <w:szCs w:val="18"/>
                <w:lang w:eastAsia="en-US"/>
              </w:rPr>
            </w:pPr>
          </w:p>
        </w:tc>
        <w:tc>
          <w:tcPr>
            <w:tcW w:w="145" w:type="pct"/>
            <w:vMerge w:val="continue"/>
            <w:tcMar>
              <w:left w:w="0" w:type="dxa"/>
              <w:right w:w="0" w:type="dxa"/>
            </w:tcMar>
            <w:vAlign w:val="center"/>
          </w:tcPr>
          <w:p w14:paraId="07822551">
            <w:pPr>
              <w:pStyle w:val="34"/>
              <w:rPr>
                <w:sz w:val="18"/>
                <w:szCs w:val="18"/>
                <w:lang w:eastAsia="en-US"/>
              </w:rPr>
            </w:pPr>
          </w:p>
        </w:tc>
        <w:tc>
          <w:tcPr>
            <w:tcW w:w="145" w:type="pct"/>
            <w:vMerge w:val="continue"/>
            <w:tcMar>
              <w:left w:w="0" w:type="dxa"/>
              <w:right w:w="0" w:type="dxa"/>
            </w:tcMar>
            <w:vAlign w:val="center"/>
          </w:tcPr>
          <w:p w14:paraId="26DE5AC9">
            <w:pPr>
              <w:pStyle w:val="34"/>
              <w:rPr>
                <w:sz w:val="18"/>
                <w:szCs w:val="18"/>
                <w:lang w:eastAsia="en-US"/>
              </w:rPr>
            </w:pPr>
          </w:p>
        </w:tc>
        <w:tc>
          <w:tcPr>
            <w:tcW w:w="311" w:type="pct"/>
            <w:vMerge w:val="continue"/>
            <w:tcMar>
              <w:left w:w="0" w:type="dxa"/>
              <w:right w:w="0" w:type="dxa"/>
            </w:tcMar>
            <w:vAlign w:val="center"/>
          </w:tcPr>
          <w:p w14:paraId="3B4D9A00">
            <w:pPr>
              <w:pStyle w:val="34"/>
              <w:rPr>
                <w:sz w:val="18"/>
                <w:szCs w:val="18"/>
                <w:lang w:eastAsia="en-US"/>
              </w:rPr>
            </w:pPr>
          </w:p>
        </w:tc>
        <w:tc>
          <w:tcPr>
            <w:tcW w:w="243" w:type="pct"/>
            <w:tcMar>
              <w:left w:w="0" w:type="dxa"/>
              <w:right w:w="0" w:type="dxa"/>
            </w:tcMar>
            <w:vAlign w:val="center"/>
          </w:tcPr>
          <w:p w14:paraId="2B19C8B2">
            <w:pPr>
              <w:pStyle w:val="34"/>
              <w:rPr>
                <w:sz w:val="18"/>
                <w:szCs w:val="18"/>
                <w:lang w:eastAsia="en-US"/>
              </w:rPr>
            </w:pPr>
            <w:r>
              <w:rPr>
                <w:sz w:val="18"/>
                <w:szCs w:val="18"/>
                <w:lang w:eastAsia="en-US"/>
              </w:rPr>
              <w:t>氧化性</w:t>
            </w:r>
          </w:p>
        </w:tc>
        <w:tc>
          <w:tcPr>
            <w:tcW w:w="213" w:type="pct"/>
            <w:tcMar>
              <w:left w:w="0" w:type="dxa"/>
              <w:right w:w="0" w:type="dxa"/>
            </w:tcMar>
            <w:vAlign w:val="center"/>
          </w:tcPr>
          <w:p w14:paraId="17350E36">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696EF446">
            <w:pPr>
              <w:pStyle w:val="34"/>
              <w:rPr>
                <w:sz w:val="18"/>
                <w:szCs w:val="18"/>
                <w:lang w:eastAsia="en-US"/>
              </w:rPr>
            </w:pPr>
            <w:r>
              <w:rPr>
                <w:rFonts w:hint="eastAsia"/>
                <w:sz w:val="18"/>
                <w:szCs w:val="18"/>
                <w:lang w:eastAsia="en-US"/>
              </w:rPr>
              <w:t>二氯异氰尿酸钠</w:t>
            </w:r>
          </w:p>
        </w:tc>
        <w:tc>
          <w:tcPr>
            <w:tcW w:w="267" w:type="pct"/>
            <w:tcMar>
              <w:left w:w="0" w:type="dxa"/>
              <w:right w:w="0" w:type="dxa"/>
            </w:tcMar>
            <w:vAlign w:val="center"/>
          </w:tcPr>
          <w:p w14:paraId="609E0648">
            <w:pPr>
              <w:pStyle w:val="34"/>
              <w:rPr>
                <w:sz w:val="18"/>
                <w:szCs w:val="18"/>
                <w:lang w:eastAsia="en-US"/>
              </w:rPr>
            </w:pPr>
            <w:r>
              <w:rPr>
                <w:rFonts w:hint="eastAsia"/>
                <w:sz w:val="18"/>
                <w:szCs w:val="18"/>
                <w:lang w:eastAsia="en-US"/>
              </w:rPr>
              <w:t>第5.1项</w:t>
            </w:r>
          </w:p>
        </w:tc>
        <w:tc>
          <w:tcPr>
            <w:tcW w:w="355" w:type="pct"/>
            <w:tcMar>
              <w:left w:w="0" w:type="dxa"/>
              <w:right w:w="0" w:type="dxa"/>
            </w:tcMar>
            <w:vAlign w:val="center"/>
          </w:tcPr>
          <w:p w14:paraId="2963E4BB">
            <w:pPr>
              <w:pStyle w:val="34"/>
              <w:rPr>
                <w:sz w:val="18"/>
                <w:szCs w:val="18"/>
                <w:lang w:eastAsia="en-US"/>
              </w:rPr>
            </w:pPr>
            <w:r>
              <w:rPr>
                <w:sz w:val="18"/>
                <w:szCs w:val="18"/>
                <w:lang w:eastAsia="en-US"/>
              </w:rPr>
              <w:t>2983-78-9</w:t>
            </w:r>
          </w:p>
        </w:tc>
        <w:tc>
          <w:tcPr>
            <w:tcW w:w="230" w:type="pct"/>
            <w:tcMar>
              <w:left w:w="0" w:type="dxa"/>
              <w:right w:w="0" w:type="dxa"/>
            </w:tcMar>
            <w:vAlign w:val="center"/>
          </w:tcPr>
          <w:p w14:paraId="784A94F9">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604219C1">
            <w:pPr>
              <w:pStyle w:val="34"/>
              <w:rPr>
                <w:sz w:val="18"/>
                <w:szCs w:val="18"/>
                <w:lang w:eastAsia="en-US"/>
              </w:rPr>
            </w:pPr>
            <w:r>
              <w:rPr>
                <w:rFonts w:hint="eastAsia"/>
                <w:sz w:val="18"/>
                <w:szCs w:val="18"/>
                <w:lang w:eastAsia="en-US"/>
              </w:rPr>
              <w:t>毒性、运输量大</w:t>
            </w:r>
          </w:p>
        </w:tc>
        <w:tc>
          <w:tcPr>
            <w:tcW w:w="500" w:type="pct"/>
            <w:tcMar>
              <w:left w:w="0" w:type="dxa"/>
              <w:right w:w="0" w:type="dxa"/>
            </w:tcMar>
            <w:vAlign w:val="center"/>
          </w:tcPr>
          <w:p w14:paraId="62E2E058">
            <w:pPr>
              <w:pStyle w:val="34"/>
              <w:rPr>
                <w:sz w:val="18"/>
                <w:szCs w:val="18"/>
              </w:rPr>
            </w:pPr>
            <w:r>
              <w:rPr>
                <w:rFonts w:hint="eastAsia"/>
                <w:sz w:val="18"/>
                <w:szCs w:val="18"/>
              </w:rPr>
              <w:t>按健康危险急性毒性物质（类别2，类别3）</w:t>
            </w:r>
          </w:p>
        </w:tc>
        <w:tc>
          <w:tcPr>
            <w:tcW w:w="1373" w:type="pct"/>
            <w:tcMar>
              <w:left w:w="0" w:type="dxa"/>
              <w:right w:w="0" w:type="dxa"/>
            </w:tcMar>
            <w:vAlign w:val="center"/>
          </w:tcPr>
          <w:p w14:paraId="34C58B01">
            <w:pPr>
              <w:pStyle w:val="34"/>
              <w:rPr>
                <w:sz w:val="18"/>
                <w:szCs w:val="18"/>
                <w:lang w:eastAsia="en-US"/>
              </w:rPr>
            </w:pPr>
            <w:r>
              <w:rPr>
                <w:rFonts w:hint="eastAsia"/>
                <w:sz w:val="18"/>
                <w:szCs w:val="18"/>
                <w:lang w:eastAsia="en-US"/>
              </w:rPr>
              <w:t>-</w:t>
            </w:r>
          </w:p>
        </w:tc>
      </w:tr>
      <w:tr w14:paraId="66AB41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43CB0F7">
            <w:pPr>
              <w:pStyle w:val="34"/>
              <w:numPr>
                <w:ilvl w:val="0"/>
                <w:numId w:val="53"/>
              </w:numPr>
              <w:rPr>
                <w:sz w:val="18"/>
                <w:szCs w:val="18"/>
                <w:lang w:eastAsia="en-US"/>
              </w:rPr>
            </w:pPr>
          </w:p>
        </w:tc>
        <w:tc>
          <w:tcPr>
            <w:tcW w:w="145" w:type="pct"/>
            <w:vMerge w:val="continue"/>
            <w:tcMar>
              <w:left w:w="0" w:type="dxa"/>
              <w:right w:w="0" w:type="dxa"/>
            </w:tcMar>
            <w:vAlign w:val="center"/>
          </w:tcPr>
          <w:p w14:paraId="375DCE78">
            <w:pPr>
              <w:pStyle w:val="34"/>
              <w:rPr>
                <w:sz w:val="18"/>
                <w:szCs w:val="18"/>
                <w:lang w:eastAsia="en-US"/>
              </w:rPr>
            </w:pPr>
          </w:p>
        </w:tc>
        <w:tc>
          <w:tcPr>
            <w:tcW w:w="145" w:type="pct"/>
            <w:vMerge w:val="restart"/>
            <w:tcMar>
              <w:left w:w="0" w:type="dxa"/>
              <w:right w:w="0" w:type="dxa"/>
            </w:tcMar>
            <w:vAlign w:val="center"/>
          </w:tcPr>
          <w:p w14:paraId="24C6AA29">
            <w:pPr>
              <w:pStyle w:val="34"/>
              <w:rPr>
                <w:sz w:val="18"/>
                <w:szCs w:val="18"/>
                <w:lang w:eastAsia="en-US"/>
              </w:rPr>
            </w:pPr>
            <w:r>
              <w:rPr>
                <w:sz w:val="18"/>
                <w:szCs w:val="18"/>
                <w:lang w:eastAsia="en-US"/>
              </w:rPr>
              <w:t>微溶</w:t>
            </w:r>
          </w:p>
        </w:tc>
        <w:tc>
          <w:tcPr>
            <w:tcW w:w="311" w:type="pct"/>
            <w:tcMar>
              <w:left w:w="0" w:type="dxa"/>
              <w:right w:w="0" w:type="dxa"/>
            </w:tcMar>
            <w:vAlign w:val="center"/>
          </w:tcPr>
          <w:p w14:paraId="747AB531">
            <w:pPr>
              <w:pStyle w:val="34"/>
              <w:rPr>
                <w:sz w:val="18"/>
                <w:szCs w:val="18"/>
                <w:lang w:eastAsia="en-US"/>
              </w:rPr>
            </w:pPr>
            <w:r>
              <w:rPr>
                <w:sz w:val="18"/>
                <w:szCs w:val="18"/>
                <w:lang w:eastAsia="en-US"/>
              </w:rPr>
              <w:t>无机</w:t>
            </w:r>
          </w:p>
        </w:tc>
        <w:tc>
          <w:tcPr>
            <w:tcW w:w="243" w:type="pct"/>
            <w:tcMar>
              <w:left w:w="0" w:type="dxa"/>
              <w:right w:w="0" w:type="dxa"/>
            </w:tcMar>
            <w:vAlign w:val="center"/>
          </w:tcPr>
          <w:p w14:paraId="228611E3">
            <w:pPr>
              <w:pStyle w:val="34"/>
              <w:rPr>
                <w:sz w:val="18"/>
                <w:szCs w:val="18"/>
                <w:lang w:eastAsia="en-US"/>
              </w:rPr>
            </w:pPr>
            <w:r>
              <w:rPr>
                <w:sz w:val="18"/>
                <w:szCs w:val="18"/>
                <w:lang w:eastAsia="en-US"/>
              </w:rPr>
              <w:t>易自燃</w:t>
            </w:r>
          </w:p>
        </w:tc>
        <w:tc>
          <w:tcPr>
            <w:tcW w:w="213" w:type="pct"/>
            <w:tcMar>
              <w:left w:w="0" w:type="dxa"/>
              <w:right w:w="0" w:type="dxa"/>
            </w:tcMar>
            <w:vAlign w:val="center"/>
          </w:tcPr>
          <w:p w14:paraId="0C68F953">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231A00C">
            <w:pPr>
              <w:pStyle w:val="34"/>
              <w:rPr>
                <w:sz w:val="18"/>
                <w:szCs w:val="18"/>
                <w:lang w:eastAsia="en-US"/>
              </w:rPr>
            </w:pPr>
            <w:r>
              <w:rPr>
                <w:sz w:val="18"/>
                <w:szCs w:val="18"/>
                <w:lang w:eastAsia="en-US"/>
              </w:rPr>
              <w:t>黄磷</w:t>
            </w:r>
          </w:p>
        </w:tc>
        <w:tc>
          <w:tcPr>
            <w:tcW w:w="267" w:type="pct"/>
            <w:tcMar>
              <w:left w:w="0" w:type="dxa"/>
              <w:right w:w="0" w:type="dxa"/>
            </w:tcMar>
            <w:vAlign w:val="center"/>
          </w:tcPr>
          <w:p w14:paraId="34D5BD5C">
            <w:pPr>
              <w:pStyle w:val="34"/>
              <w:rPr>
                <w:sz w:val="18"/>
                <w:szCs w:val="18"/>
                <w:lang w:eastAsia="en-US"/>
              </w:rPr>
            </w:pPr>
            <w:r>
              <w:rPr>
                <w:rFonts w:hint="eastAsia"/>
                <w:sz w:val="18"/>
                <w:szCs w:val="18"/>
                <w:lang w:eastAsia="en-US"/>
              </w:rPr>
              <w:t>第4.2项</w:t>
            </w:r>
          </w:p>
        </w:tc>
        <w:tc>
          <w:tcPr>
            <w:tcW w:w="355" w:type="pct"/>
            <w:tcMar>
              <w:left w:w="0" w:type="dxa"/>
              <w:right w:w="0" w:type="dxa"/>
            </w:tcMar>
            <w:vAlign w:val="center"/>
          </w:tcPr>
          <w:p w14:paraId="06CE3377">
            <w:pPr>
              <w:pStyle w:val="34"/>
              <w:rPr>
                <w:sz w:val="18"/>
                <w:szCs w:val="18"/>
                <w:lang w:eastAsia="en-US"/>
              </w:rPr>
            </w:pPr>
            <w:r>
              <w:rPr>
                <w:sz w:val="18"/>
                <w:szCs w:val="18"/>
                <w:lang w:eastAsia="en-US"/>
              </w:rPr>
              <w:t>12185-10-3</w:t>
            </w:r>
          </w:p>
        </w:tc>
        <w:tc>
          <w:tcPr>
            <w:tcW w:w="230" w:type="pct"/>
            <w:tcMar>
              <w:left w:w="0" w:type="dxa"/>
              <w:right w:w="0" w:type="dxa"/>
            </w:tcMar>
            <w:vAlign w:val="center"/>
          </w:tcPr>
          <w:p w14:paraId="2F9902D2">
            <w:pPr>
              <w:pStyle w:val="34"/>
              <w:rPr>
                <w:sz w:val="18"/>
                <w:szCs w:val="18"/>
                <w:lang w:eastAsia="en-US"/>
              </w:rPr>
            </w:pPr>
            <w:r>
              <w:rPr>
                <w:sz w:val="18"/>
                <w:szCs w:val="18"/>
                <w:lang w:eastAsia="en-US"/>
              </w:rPr>
              <w:t>50</w:t>
            </w:r>
          </w:p>
        </w:tc>
        <w:tc>
          <w:tcPr>
            <w:tcW w:w="490" w:type="pct"/>
            <w:tcMar>
              <w:left w:w="0" w:type="dxa"/>
              <w:right w:w="0" w:type="dxa"/>
            </w:tcMar>
            <w:vAlign w:val="center"/>
          </w:tcPr>
          <w:p w14:paraId="1C0DFAAC">
            <w:pPr>
              <w:pStyle w:val="34"/>
              <w:rPr>
                <w:sz w:val="18"/>
                <w:szCs w:val="18"/>
              </w:rPr>
            </w:pPr>
            <w:r>
              <w:rPr>
                <w:rFonts w:hint="eastAsia"/>
                <w:sz w:val="18"/>
                <w:szCs w:val="18"/>
              </w:rPr>
              <w:t>运输量大、易燃、毒性</w:t>
            </w:r>
          </w:p>
        </w:tc>
        <w:tc>
          <w:tcPr>
            <w:tcW w:w="500" w:type="pct"/>
            <w:tcMar>
              <w:left w:w="0" w:type="dxa"/>
              <w:right w:w="0" w:type="dxa"/>
            </w:tcMar>
            <w:vAlign w:val="center"/>
          </w:tcPr>
          <w:p w14:paraId="5F565DCB">
            <w:pPr>
              <w:pStyle w:val="34"/>
              <w:rPr>
                <w:sz w:val="18"/>
                <w:szCs w:val="18"/>
              </w:rPr>
            </w:pPr>
            <w:r>
              <w:rPr>
                <w:rFonts w:hint="eastAsia"/>
                <w:sz w:val="18"/>
                <w:szCs w:val="18"/>
              </w:rPr>
              <w:t>按健康危险急性毒性物质（类别2，类别3）</w:t>
            </w:r>
          </w:p>
        </w:tc>
        <w:tc>
          <w:tcPr>
            <w:tcW w:w="1373" w:type="pct"/>
            <w:tcMar>
              <w:left w:w="0" w:type="dxa"/>
              <w:right w:w="0" w:type="dxa"/>
            </w:tcMar>
            <w:vAlign w:val="center"/>
          </w:tcPr>
          <w:p w14:paraId="0F590F43">
            <w:pPr>
              <w:pStyle w:val="34"/>
              <w:rPr>
                <w:sz w:val="18"/>
                <w:szCs w:val="18"/>
              </w:rPr>
            </w:pPr>
            <w:r>
              <w:rPr>
                <w:sz w:val="18"/>
                <w:szCs w:val="18"/>
              </w:rPr>
              <w:t>《渔业水质标准》（GB 11607-89）</w:t>
            </w:r>
          </w:p>
        </w:tc>
      </w:tr>
      <w:tr w14:paraId="7E027C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2E977AA">
            <w:pPr>
              <w:pStyle w:val="34"/>
              <w:numPr>
                <w:ilvl w:val="0"/>
                <w:numId w:val="53"/>
              </w:numPr>
              <w:rPr>
                <w:sz w:val="18"/>
                <w:szCs w:val="18"/>
              </w:rPr>
            </w:pPr>
          </w:p>
        </w:tc>
        <w:tc>
          <w:tcPr>
            <w:tcW w:w="145" w:type="pct"/>
            <w:vMerge w:val="continue"/>
            <w:tcMar>
              <w:left w:w="0" w:type="dxa"/>
              <w:right w:w="0" w:type="dxa"/>
            </w:tcMar>
            <w:vAlign w:val="center"/>
          </w:tcPr>
          <w:p w14:paraId="61A0865A">
            <w:pPr>
              <w:pStyle w:val="34"/>
              <w:rPr>
                <w:sz w:val="18"/>
                <w:szCs w:val="18"/>
              </w:rPr>
            </w:pPr>
          </w:p>
        </w:tc>
        <w:tc>
          <w:tcPr>
            <w:tcW w:w="145" w:type="pct"/>
            <w:vMerge w:val="continue"/>
            <w:tcMar>
              <w:left w:w="0" w:type="dxa"/>
              <w:right w:w="0" w:type="dxa"/>
            </w:tcMar>
            <w:vAlign w:val="center"/>
          </w:tcPr>
          <w:p w14:paraId="664F237A">
            <w:pPr>
              <w:pStyle w:val="34"/>
              <w:rPr>
                <w:sz w:val="18"/>
                <w:szCs w:val="18"/>
              </w:rPr>
            </w:pPr>
          </w:p>
        </w:tc>
        <w:tc>
          <w:tcPr>
            <w:tcW w:w="311" w:type="pct"/>
            <w:vMerge w:val="restart"/>
            <w:tcMar>
              <w:left w:w="0" w:type="dxa"/>
              <w:right w:w="0" w:type="dxa"/>
            </w:tcMar>
            <w:vAlign w:val="center"/>
          </w:tcPr>
          <w:p w14:paraId="0510F809">
            <w:pPr>
              <w:pStyle w:val="34"/>
              <w:rPr>
                <w:sz w:val="18"/>
                <w:szCs w:val="18"/>
                <w:lang w:eastAsia="en-US"/>
              </w:rPr>
            </w:pPr>
            <w:r>
              <w:rPr>
                <w:sz w:val="18"/>
                <w:szCs w:val="18"/>
                <w:lang w:eastAsia="en-US"/>
              </w:rPr>
              <w:t>有机</w:t>
            </w:r>
          </w:p>
        </w:tc>
        <w:tc>
          <w:tcPr>
            <w:tcW w:w="243" w:type="pct"/>
            <w:tcMar>
              <w:left w:w="0" w:type="dxa"/>
              <w:right w:w="0" w:type="dxa"/>
            </w:tcMar>
            <w:vAlign w:val="center"/>
          </w:tcPr>
          <w:p w14:paraId="77081648">
            <w:pPr>
              <w:pStyle w:val="34"/>
              <w:rPr>
                <w:sz w:val="18"/>
                <w:szCs w:val="18"/>
                <w:lang w:eastAsia="en-US"/>
              </w:rPr>
            </w:pPr>
            <w:r>
              <w:rPr>
                <w:sz w:val="18"/>
                <w:szCs w:val="18"/>
                <w:lang w:eastAsia="en-US"/>
              </w:rPr>
              <w:t>氧化性</w:t>
            </w:r>
          </w:p>
        </w:tc>
        <w:tc>
          <w:tcPr>
            <w:tcW w:w="213" w:type="pct"/>
            <w:tcMar>
              <w:left w:w="0" w:type="dxa"/>
              <w:right w:w="0" w:type="dxa"/>
            </w:tcMar>
            <w:vAlign w:val="center"/>
          </w:tcPr>
          <w:p w14:paraId="0C4BBE06">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0C59504">
            <w:pPr>
              <w:pStyle w:val="34"/>
              <w:rPr>
                <w:sz w:val="18"/>
                <w:szCs w:val="18"/>
                <w:lang w:eastAsia="en-US"/>
              </w:rPr>
            </w:pPr>
            <w:r>
              <w:rPr>
                <w:rFonts w:hint="eastAsia"/>
                <w:sz w:val="18"/>
                <w:szCs w:val="18"/>
                <w:lang w:eastAsia="en-US"/>
              </w:rPr>
              <w:t>三氯异氰尿酸</w:t>
            </w:r>
          </w:p>
        </w:tc>
        <w:tc>
          <w:tcPr>
            <w:tcW w:w="267" w:type="pct"/>
            <w:tcMar>
              <w:left w:w="0" w:type="dxa"/>
              <w:right w:w="0" w:type="dxa"/>
            </w:tcMar>
            <w:vAlign w:val="center"/>
          </w:tcPr>
          <w:p w14:paraId="46F29411">
            <w:pPr>
              <w:pStyle w:val="34"/>
              <w:rPr>
                <w:sz w:val="18"/>
                <w:szCs w:val="18"/>
                <w:lang w:eastAsia="en-US"/>
              </w:rPr>
            </w:pPr>
            <w:r>
              <w:rPr>
                <w:rFonts w:hint="eastAsia"/>
                <w:sz w:val="18"/>
                <w:szCs w:val="18"/>
                <w:lang w:eastAsia="en-US"/>
              </w:rPr>
              <w:t>第5.1项</w:t>
            </w:r>
          </w:p>
        </w:tc>
        <w:tc>
          <w:tcPr>
            <w:tcW w:w="355" w:type="pct"/>
            <w:tcMar>
              <w:left w:w="0" w:type="dxa"/>
              <w:right w:w="0" w:type="dxa"/>
            </w:tcMar>
            <w:vAlign w:val="center"/>
          </w:tcPr>
          <w:p w14:paraId="6327334E">
            <w:pPr>
              <w:pStyle w:val="34"/>
              <w:rPr>
                <w:sz w:val="18"/>
                <w:szCs w:val="18"/>
                <w:lang w:eastAsia="en-US"/>
              </w:rPr>
            </w:pPr>
            <w:r>
              <w:rPr>
                <w:rFonts w:hint="eastAsia"/>
                <w:sz w:val="18"/>
                <w:szCs w:val="18"/>
                <w:lang w:eastAsia="en-US"/>
              </w:rPr>
              <w:t>87-90-1</w:t>
            </w:r>
          </w:p>
        </w:tc>
        <w:tc>
          <w:tcPr>
            <w:tcW w:w="230" w:type="pct"/>
            <w:tcMar>
              <w:left w:w="0" w:type="dxa"/>
              <w:right w:w="0" w:type="dxa"/>
            </w:tcMar>
            <w:vAlign w:val="center"/>
          </w:tcPr>
          <w:p w14:paraId="71E81D16">
            <w:pPr>
              <w:pStyle w:val="34"/>
              <w:rPr>
                <w:sz w:val="18"/>
                <w:szCs w:val="18"/>
                <w:lang w:eastAsia="en-US"/>
              </w:rPr>
            </w:pPr>
            <w:r>
              <w:rPr>
                <w:rFonts w:hint="eastAsia"/>
                <w:sz w:val="18"/>
                <w:szCs w:val="18"/>
                <w:lang w:eastAsia="en-US"/>
              </w:rPr>
              <w:t>5</w:t>
            </w:r>
          </w:p>
        </w:tc>
        <w:tc>
          <w:tcPr>
            <w:tcW w:w="490" w:type="pct"/>
            <w:tcMar>
              <w:left w:w="0" w:type="dxa"/>
              <w:right w:w="0" w:type="dxa"/>
            </w:tcMar>
            <w:vAlign w:val="center"/>
          </w:tcPr>
          <w:p w14:paraId="70B0C874">
            <w:pPr>
              <w:pStyle w:val="34"/>
              <w:rPr>
                <w:sz w:val="18"/>
                <w:szCs w:val="18"/>
              </w:rPr>
            </w:pPr>
            <w:r>
              <w:rPr>
                <w:rFonts w:hint="eastAsia"/>
                <w:sz w:val="18"/>
                <w:szCs w:val="18"/>
              </w:rPr>
              <w:t>毒性、易燃、运输量大</w:t>
            </w:r>
          </w:p>
        </w:tc>
        <w:tc>
          <w:tcPr>
            <w:tcW w:w="500" w:type="pct"/>
            <w:tcMar>
              <w:left w:w="0" w:type="dxa"/>
              <w:right w:w="0" w:type="dxa"/>
            </w:tcMar>
            <w:vAlign w:val="center"/>
          </w:tcPr>
          <w:p w14:paraId="490706E5">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2DA069AA">
            <w:pPr>
              <w:pStyle w:val="34"/>
              <w:rPr>
                <w:sz w:val="18"/>
                <w:szCs w:val="18"/>
                <w:lang w:eastAsia="en-US"/>
              </w:rPr>
            </w:pPr>
            <w:r>
              <w:rPr>
                <w:rFonts w:hint="eastAsia"/>
                <w:sz w:val="18"/>
                <w:szCs w:val="18"/>
                <w:lang w:eastAsia="en-US"/>
              </w:rPr>
              <w:t>-</w:t>
            </w:r>
          </w:p>
        </w:tc>
      </w:tr>
      <w:tr w14:paraId="3048EE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07D2FE2">
            <w:pPr>
              <w:pStyle w:val="34"/>
              <w:numPr>
                <w:ilvl w:val="0"/>
                <w:numId w:val="53"/>
              </w:numPr>
              <w:rPr>
                <w:sz w:val="18"/>
                <w:szCs w:val="18"/>
                <w:lang w:eastAsia="en-US"/>
              </w:rPr>
            </w:pPr>
          </w:p>
        </w:tc>
        <w:tc>
          <w:tcPr>
            <w:tcW w:w="145" w:type="pct"/>
            <w:vMerge w:val="continue"/>
            <w:tcMar>
              <w:left w:w="0" w:type="dxa"/>
              <w:right w:w="0" w:type="dxa"/>
            </w:tcMar>
            <w:vAlign w:val="center"/>
          </w:tcPr>
          <w:p w14:paraId="1DA2C5D9">
            <w:pPr>
              <w:pStyle w:val="34"/>
              <w:rPr>
                <w:sz w:val="18"/>
                <w:szCs w:val="18"/>
                <w:lang w:eastAsia="en-US"/>
              </w:rPr>
            </w:pPr>
          </w:p>
        </w:tc>
        <w:tc>
          <w:tcPr>
            <w:tcW w:w="145" w:type="pct"/>
            <w:vMerge w:val="continue"/>
            <w:tcMar>
              <w:left w:w="0" w:type="dxa"/>
              <w:right w:w="0" w:type="dxa"/>
            </w:tcMar>
            <w:vAlign w:val="center"/>
          </w:tcPr>
          <w:p w14:paraId="088CDA05">
            <w:pPr>
              <w:pStyle w:val="34"/>
              <w:rPr>
                <w:sz w:val="18"/>
                <w:szCs w:val="18"/>
                <w:lang w:eastAsia="en-US"/>
              </w:rPr>
            </w:pPr>
          </w:p>
        </w:tc>
        <w:tc>
          <w:tcPr>
            <w:tcW w:w="311" w:type="pct"/>
            <w:vMerge w:val="continue"/>
            <w:tcMar>
              <w:left w:w="0" w:type="dxa"/>
              <w:right w:w="0" w:type="dxa"/>
            </w:tcMar>
            <w:vAlign w:val="center"/>
          </w:tcPr>
          <w:p w14:paraId="1E94B089">
            <w:pPr>
              <w:pStyle w:val="34"/>
              <w:rPr>
                <w:sz w:val="18"/>
                <w:szCs w:val="18"/>
                <w:lang w:eastAsia="en-US"/>
              </w:rPr>
            </w:pPr>
          </w:p>
        </w:tc>
        <w:tc>
          <w:tcPr>
            <w:tcW w:w="243" w:type="pct"/>
            <w:vMerge w:val="restart"/>
            <w:tcMar>
              <w:left w:w="0" w:type="dxa"/>
              <w:right w:w="0" w:type="dxa"/>
            </w:tcMar>
            <w:vAlign w:val="center"/>
          </w:tcPr>
          <w:p w14:paraId="49452C85">
            <w:pPr>
              <w:pStyle w:val="34"/>
              <w:rPr>
                <w:sz w:val="18"/>
                <w:szCs w:val="18"/>
                <w:lang w:eastAsia="en-US"/>
              </w:rPr>
            </w:pPr>
            <w:r>
              <w:rPr>
                <w:sz w:val="18"/>
                <w:szCs w:val="18"/>
                <w:lang w:eastAsia="en-US"/>
              </w:rPr>
              <w:t>毒性</w:t>
            </w:r>
          </w:p>
        </w:tc>
        <w:tc>
          <w:tcPr>
            <w:tcW w:w="213" w:type="pct"/>
            <w:tcMar>
              <w:left w:w="0" w:type="dxa"/>
              <w:right w:w="0" w:type="dxa"/>
            </w:tcMar>
            <w:vAlign w:val="center"/>
          </w:tcPr>
          <w:p w14:paraId="7DC9BF5B">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FBF0C7B">
            <w:pPr>
              <w:pStyle w:val="34"/>
              <w:rPr>
                <w:sz w:val="18"/>
                <w:szCs w:val="18"/>
                <w:lang w:eastAsia="en-US"/>
              </w:rPr>
            </w:pPr>
            <w:r>
              <w:rPr>
                <w:rFonts w:hint="eastAsia"/>
                <w:sz w:val="18"/>
                <w:szCs w:val="18"/>
                <w:lang w:eastAsia="en-US"/>
              </w:rPr>
              <w:t>1,3-二硝基苯</w:t>
            </w:r>
          </w:p>
        </w:tc>
        <w:tc>
          <w:tcPr>
            <w:tcW w:w="267" w:type="pct"/>
            <w:tcMar>
              <w:left w:w="0" w:type="dxa"/>
              <w:right w:w="0" w:type="dxa"/>
            </w:tcMar>
            <w:vAlign w:val="center"/>
          </w:tcPr>
          <w:p w14:paraId="1F4E9F6E">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26470326">
            <w:pPr>
              <w:pStyle w:val="34"/>
              <w:rPr>
                <w:sz w:val="18"/>
                <w:szCs w:val="18"/>
                <w:lang w:eastAsia="en-US"/>
              </w:rPr>
            </w:pPr>
            <w:r>
              <w:rPr>
                <w:sz w:val="18"/>
                <w:szCs w:val="18"/>
                <w:lang w:eastAsia="en-US"/>
              </w:rPr>
              <w:t>99-65-0</w:t>
            </w:r>
          </w:p>
        </w:tc>
        <w:tc>
          <w:tcPr>
            <w:tcW w:w="230" w:type="pct"/>
            <w:tcMar>
              <w:left w:w="0" w:type="dxa"/>
              <w:right w:w="0" w:type="dxa"/>
            </w:tcMar>
            <w:vAlign w:val="center"/>
          </w:tcPr>
          <w:p w14:paraId="0D508786">
            <w:pPr>
              <w:pStyle w:val="34"/>
              <w:rPr>
                <w:sz w:val="18"/>
                <w:szCs w:val="18"/>
                <w:lang w:eastAsia="en-US"/>
              </w:rPr>
            </w:pPr>
            <w:r>
              <w:rPr>
                <w:rFonts w:hint="eastAsia"/>
                <w:sz w:val="18"/>
                <w:szCs w:val="18"/>
                <w:lang w:eastAsia="en-US"/>
              </w:rPr>
              <w:t>0.5</w:t>
            </w:r>
          </w:p>
        </w:tc>
        <w:tc>
          <w:tcPr>
            <w:tcW w:w="490" w:type="pct"/>
            <w:tcMar>
              <w:left w:w="0" w:type="dxa"/>
              <w:right w:w="0" w:type="dxa"/>
            </w:tcMar>
            <w:vAlign w:val="center"/>
          </w:tcPr>
          <w:p w14:paraId="656BD46D">
            <w:pPr>
              <w:pStyle w:val="34"/>
              <w:rPr>
                <w:sz w:val="18"/>
                <w:szCs w:val="18"/>
                <w:lang w:eastAsia="en-US"/>
              </w:rPr>
            </w:pPr>
            <w:r>
              <w:rPr>
                <w:rFonts w:hint="eastAsia"/>
                <w:sz w:val="18"/>
                <w:szCs w:val="18"/>
                <w:lang w:eastAsia="en-US"/>
              </w:rPr>
              <w:t>剧毒、易燃</w:t>
            </w:r>
          </w:p>
        </w:tc>
        <w:tc>
          <w:tcPr>
            <w:tcW w:w="500" w:type="pct"/>
            <w:tcMar>
              <w:left w:w="0" w:type="dxa"/>
              <w:right w:w="0" w:type="dxa"/>
            </w:tcMar>
            <w:vAlign w:val="center"/>
          </w:tcPr>
          <w:p w14:paraId="74C15500">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7E6E76C">
            <w:pPr>
              <w:pStyle w:val="34"/>
              <w:rPr>
                <w:sz w:val="18"/>
                <w:szCs w:val="18"/>
                <w:lang w:eastAsia="en-US"/>
              </w:rPr>
            </w:pPr>
            <w:r>
              <w:rPr>
                <w:rFonts w:hint="eastAsia"/>
                <w:sz w:val="18"/>
                <w:szCs w:val="18"/>
                <w:lang w:eastAsia="en-US"/>
              </w:rPr>
              <w:t>-</w:t>
            </w:r>
          </w:p>
        </w:tc>
      </w:tr>
      <w:tr w14:paraId="6D8838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904D75D">
            <w:pPr>
              <w:pStyle w:val="34"/>
              <w:numPr>
                <w:ilvl w:val="0"/>
                <w:numId w:val="53"/>
              </w:numPr>
              <w:rPr>
                <w:sz w:val="18"/>
                <w:szCs w:val="18"/>
                <w:lang w:eastAsia="en-US"/>
              </w:rPr>
            </w:pPr>
          </w:p>
        </w:tc>
        <w:tc>
          <w:tcPr>
            <w:tcW w:w="145" w:type="pct"/>
            <w:vMerge w:val="continue"/>
            <w:tcMar>
              <w:left w:w="0" w:type="dxa"/>
              <w:right w:w="0" w:type="dxa"/>
            </w:tcMar>
            <w:vAlign w:val="center"/>
          </w:tcPr>
          <w:p w14:paraId="49C7163A">
            <w:pPr>
              <w:pStyle w:val="34"/>
              <w:rPr>
                <w:sz w:val="18"/>
                <w:szCs w:val="18"/>
                <w:lang w:eastAsia="en-US"/>
              </w:rPr>
            </w:pPr>
          </w:p>
        </w:tc>
        <w:tc>
          <w:tcPr>
            <w:tcW w:w="145" w:type="pct"/>
            <w:vMerge w:val="continue"/>
            <w:tcMar>
              <w:left w:w="0" w:type="dxa"/>
              <w:right w:w="0" w:type="dxa"/>
            </w:tcMar>
            <w:vAlign w:val="center"/>
          </w:tcPr>
          <w:p w14:paraId="75AC8A41">
            <w:pPr>
              <w:pStyle w:val="34"/>
              <w:rPr>
                <w:sz w:val="18"/>
                <w:szCs w:val="18"/>
                <w:lang w:eastAsia="en-US"/>
              </w:rPr>
            </w:pPr>
          </w:p>
        </w:tc>
        <w:tc>
          <w:tcPr>
            <w:tcW w:w="311" w:type="pct"/>
            <w:vMerge w:val="continue"/>
            <w:tcMar>
              <w:left w:w="0" w:type="dxa"/>
              <w:right w:w="0" w:type="dxa"/>
            </w:tcMar>
            <w:vAlign w:val="center"/>
          </w:tcPr>
          <w:p w14:paraId="7740E1FC">
            <w:pPr>
              <w:pStyle w:val="34"/>
              <w:rPr>
                <w:sz w:val="18"/>
                <w:szCs w:val="18"/>
                <w:lang w:eastAsia="en-US"/>
              </w:rPr>
            </w:pPr>
          </w:p>
        </w:tc>
        <w:tc>
          <w:tcPr>
            <w:tcW w:w="243" w:type="pct"/>
            <w:vMerge w:val="continue"/>
            <w:tcMar>
              <w:left w:w="0" w:type="dxa"/>
              <w:right w:w="0" w:type="dxa"/>
            </w:tcMar>
            <w:vAlign w:val="center"/>
          </w:tcPr>
          <w:p w14:paraId="0F2A82DA">
            <w:pPr>
              <w:pStyle w:val="34"/>
              <w:rPr>
                <w:sz w:val="18"/>
                <w:szCs w:val="18"/>
                <w:lang w:eastAsia="en-US"/>
              </w:rPr>
            </w:pPr>
          </w:p>
        </w:tc>
        <w:tc>
          <w:tcPr>
            <w:tcW w:w="213" w:type="pct"/>
            <w:tcMar>
              <w:left w:w="0" w:type="dxa"/>
              <w:right w:w="0" w:type="dxa"/>
            </w:tcMar>
            <w:vAlign w:val="center"/>
          </w:tcPr>
          <w:p w14:paraId="6CEA93E0">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7E37D86E">
            <w:pPr>
              <w:pStyle w:val="34"/>
              <w:rPr>
                <w:sz w:val="18"/>
                <w:szCs w:val="18"/>
                <w:lang w:eastAsia="en-US"/>
              </w:rPr>
            </w:pPr>
            <w:r>
              <w:rPr>
                <w:rFonts w:hint="eastAsia"/>
                <w:sz w:val="18"/>
                <w:szCs w:val="18"/>
                <w:lang w:eastAsia="en-US"/>
              </w:rPr>
              <w:t>2,4-二硝基甲苯</w:t>
            </w:r>
          </w:p>
        </w:tc>
        <w:tc>
          <w:tcPr>
            <w:tcW w:w="267" w:type="pct"/>
            <w:tcMar>
              <w:left w:w="0" w:type="dxa"/>
              <w:right w:w="0" w:type="dxa"/>
            </w:tcMar>
            <w:vAlign w:val="center"/>
          </w:tcPr>
          <w:p w14:paraId="3F76EF12">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50BE49CC">
            <w:pPr>
              <w:pStyle w:val="34"/>
              <w:rPr>
                <w:sz w:val="18"/>
                <w:szCs w:val="18"/>
                <w:lang w:eastAsia="en-US"/>
              </w:rPr>
            </w:pPr>
            <w:r>
              <w:rPr>
                <w:sz w:val="18"/>
                <w:szCs w:val="18"/>
                <w:lang w:eastAsia="en-US"/>
              </w:rPr>
              <w:t>121-14-2</w:t>
            </w:r>
          </w:p>
        </w:tc>
        <w:tc>
          <w:tcPr>
            <w:tcW w:w="230" w:type="pct"/>
            <w:tcMar>
              <w:left w:w="0" w:type="dxa"/>
              <w:right w:w="0" w:type="dxa"/>
            </w:tcMar>
            <w:vAlign w:val="center"/>
          </w:tcPr>
          <w:p w14:paraId="2F220328">
            <w:pPr>
              <w:pStyle w:val="34"/>
              <w:rPr>
                <w:sz w:val="18"/>
                <w:szCs w:val="18"/>
                <w:lang w:eastAsia="en-US"/>
              </w:rPr>
            </w:pPr>
            <w:r>
              <w:rPr>
                <w:rFonts w:hint="eastAsia"/>
                <w:sz w:val="18"/>
                <w:szCs w:val="18"/>
                <w:lang w:eastAsia="en-US"/>
              </w:rPr>
              <w:t>5</w:t>
            </w:r>
          </w:p>
        </w:tc>
        <w:tc>
          <w:tcPr>
            <w:tcW w:w="490" w:type="pct"/>
            <w:tcMar>
              <w:left w:w="0" w:type="dxa"/>
              <w:right w:w="0" w:type="dxa"/>
            </w:tcMar>
            <w:vAlign w:val="center"/>
          </w:tcPr>
          <w:p w14:paraId="46DFEC86">
            <w:pPr>
              <w:pStyle w:val="34"/>
              <w:rPr>
                <w:sz w:val="18"/>
                <w:szCs w:val="18"/>
                <w:lang w:eastAsia="en-US"/>
              </w:rPr>
            </w:pPr>
            <w:r>
              <w:rPr>
                <w:rFonts w:hint="eastAsia"/>
                <w:sz w:val="18"/>
                <w:szCs w:val="18"/>
                <w:lang w:eastAsia="en-US"/>
              </w:rPr>
              <w:t>运输量大、剧毒</w:t>
            </w:r>
          </w:p>
        </w:tc>
        <w:tc>
          <w:tcPr>
            <w:tcW w:w="500" w:type="pct"/>
            <w:tcMar>
              <w:left w:w="0" w:type="dxa"/>
              <w:right w:w="0" w:type="dxa"/>
            </w:tcMar>
            <w:vAlign w:val="center"/>
          </w:tcPr>
          <w:p w14:paraId="1781A61A">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63CDE99E">
            <w:pPr>
              <w:pStyle w:val="34"/>
              <w:rPr>
                <w:sz w:val="18"/>
                <w:szCs w:val="18"/>
                <w:lang w:eastAsia="en-US"/>
              </w:rPr>
            </w:pPr>
            <w:r>
              <w:rPr>
                <w:rFonts w:hint="eastAsia"/>
                <w:sz w:val="18"/>
                <w:szCs w:val="18"/>
                <w:lang w:eastAsia="en-US"/>
              </w:rPr>
              <w:t>-</w:t>
            </w:r>
          </w:p>
        </w:tc>
      </w:tr>
      <w:tr w14:paraId="44A3B7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1DF5FC3D">
            <w:pPr>
              <w:pStyle w:val="34"/>
              <w:numPr>
                <w:ilvl w:val="0"/>
                <w:numId w:val="53"/>
              </w:numPr>
              <w:rPr>
                <w:sz w:val="18"/>
                <w:szCs w:val="18"/>
                <w:lang w:eastAsia="en-US"/>
              </w:rPr>
            </w:pPr>
          </w:p>
        </w:tc>
        <w:tc>
          <w:tcPr>
            <w:tcW w:w="145" w:type="pct"/>
            <w:vMerge w:val="continue"/>
            <w:tcMar>
              <w:left w:w="0" w:type="dxa"/>
              <w:right w:w="0" w:type="dxa"/>
            </w:tcMar>
            <w:vAlign w:val="center"/>
          </w:tcPr>
          <w:p w14:paraId="00DA6597">
            <w:pPr>
              <w:pStyle w:val="34"/>
              <w:rPr>
                <w:sz w:val="18"/>
                <w:szCs w:val="18"/>
                <w:lang w:eastAsia="en-US"/>
              </w:rPr>
            </w:pPr>
          </w:p>
        </w:tc>
        <w:tc>
          <w:tcPr>
            <w:tcW w:w="145" w:type="pct"/>
            <w:vMerge w:val="continue"/>
            <w:tcMar>
              <w:left w:w="0" w:type="dxa"/>
              <w:right w:w="0" w:type="dxa"/>
            </w:tcMar>
            <w:vAlign w:val="center"/>
          </w:tcPr>
          <w:p w14:paraId="5577F286">
            <w:pPr>
              <w:pStyle w:val="34"/>
              <w:rPr>
                <w:sz w:val="18"/>
                <w:szCs w:val="18"/>
                <w:lang w:eastAsia="en-US"/>
              </w:rPr>
            </w:pPr>
          </w:p>
        </w:tc>
        <w:tc>
          <w:tcPr>
            <w:tcW w:w="311" w:type="pct"/>
            <w:vMerge w:val="continue"/>
            <w:tcMar>
              <w:left w:w="0" w:type="dxa"/>
              <w:right w:w="0" w:type="dxa"/>
            </w:tcMar>
            <w:vAlign w:val="center"/>
          </w:tcPr>
          <w:p w14:paraId="759FE002">
            <w:pPr>
              <w:pStyle w:val="34"/>
              <w:rPr>
                <w:sz w:val="18"/>
                <w:szCs w:val="18"/>
                <w:lang w:eastAsia="en-US"/>
              </w:rPr>
            </w:pPr>
          </w:p>
        </w:tc>
        <w:tc>
          <w:tcPr>
            <w:tcW w:w="243" w:type="pct"/>
            <w:tcMar>
              <w:left w:w="0" w:type="dxa"/>
              <w:right w:w="0" w:type="dxa"/>
            </w:tcMar>
            <w:vAlign w:val="center"/>
          </w:tcPr>
          <w:p w14:paraId="1161B686">
            <w:pPr>
              <w:pStyle w:val="34"/>
              <w:rPr>
                <w:sz w:val="18"/>
                <w:szCs w:val="18"/>
                <w:lang w:eastAsia="en-US"/>
              </w:rPr>
            </w:pPr>
            <w:r>
              <w:rPr>
                <w:sz w:val="18"/>
                <w:szCs w:val="18"/>
                <w:lang w:eastAsia="en-US"/>
              </w:rPr>
              <w:t>腐蚀性</w:t>
            </w:r>
          </w:p>
        </w:tc>
        <w:tc>
          <w:tcPr>
            <w:tcW w:w="213" w:type="pct"/>
            <w:tcMar>
              <w:left w:w="0" w:type="dxa"/>
              <w:right w:w="0" w:type="dxa"/>
            </w:tcMar>
            <w:vAlign w:val="center"/>
          </w:tcPr>
          <w:p w14:paraId="6CA3E7A7">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66FADB9D">
            <w:pPr>
              <w:pStyle w:val="34"/>
              <w:rPr>
                <w:sz w:val="18"/>
                <w:szCs w:val="18"/>
                <w:lang w:eastAsia="en-US"/>
              </w:rPr>
            </w:pPr>
            <w:r>
              <w:rPr>
                <w:rFonts w:hint="eastAsia"/>
                <w:sz w:val="18"/>
                <w:szCs w:val="18"/>
                <w:lang w:eastAsia="en-US"/>
              </w:rPr>
              <w:t>亚硝基硫酸</w:t>
            </w:r>
          </w:p>
        </w:tc>
        <w:tc>
          <w:tcPr>
            <w:tcW w:w="267" w:type="pct"/>
            <w:tcMar>
              <w:left w:w="0" w:type="dxa"/>
              <w:right w:w="0" w:type="dxa"/>
            </w:tcMar>
            <w:vAlign w:val="center"/>
          </w:tcPr>
          <w:p w14:paraId="40C8103E">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5623FE2D">
            <w:pPr>
              <w:pStyle w:val="34"/>
              <w:rPr>
                <w:sz w:val="18"/>
                <w:szCs w:val="18"/>
                <w:lang w:eastAsia="en-US"/>
              </w:rPr>
            </w:pPr>
            <w:r>
              <w:rPr>
                <w:sz w:val="18"/>
                <w:szCs w:val="18"/>
                <w:lang w:eastAsia="en-US"/>
              </w:rPr>
              <w:t>7782-78-7</w:t>
            </w:r>
          </w:p>
        </w:tc>
        <w:tc>
          <w:tcPr>
            <w:tcW w:w="230" w:type="pct"/>
            <w:tcMar>
              <w:left w:w="0" w:type="dxa"/>
              <w:right w:w="0" w:type="dxa"/>
            </w:tcMar>
            <w:vAlign w:val="center"/>
          </w:tcPr>
          <w:p w14:paraId="3DDAF484">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13E34293">
            <w:pPr>
              <w:pStyle w:val="34"/>
              <w:rPr>
                <w:sz w:val="18"/>
                <w:szCs w:val="18"/>
                <w:lang w:eastAsia="en-US"/>
              </w:rPr>
            </w:pPr>
            <w:r>
              <w:rPr>
                <w:rFonts w:hint="eastAsia"/>
                <w:sz w:val="18"/>
                <w:szCs w:val="18"/>
                <w:lang w:eastAsia="en-US"/>
              </w:rPr>
              <w:t>运输量大、腐蚀性</w:t>
            </w:r>
          </w:p>
        </w:tc>
        <w:tc>
          <w:tcPr>
            <w:tcW w:w="500" w:type="pct"/>
            <w:tcMar>
              <w:left w:w="0" w:type="dxa"/>
              <w:right w:w="0" w:type="dxa"/>
            </w:tcMar>
            <w:vAlign w:val="center"/>
          </w:tcPr>
          <w:p w14:paraId="107DB3FB">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416E6EF6">
            <w:pPr>
              <w:pStyle w:val="34"/>
              <w:rPr>
                <w:sz w:val="18"/>
                <w:szCs w:val="18"/>
                <w:lang w:eastAsia="en-US"/>
              </w:rPr>
            </w:pPr>
            <w:r>
              <w:rPr>
                <w:rFonts w:hint="eastAsia"/>
                <w:sz w:val="18"/>
                <w:szCs w:val="18"/>
                <w:lang w:eastAsia="en-US"/>
              </w:rPr>
              <w:t>-</w:t>
            </w:r>
          </w:p>
        </w:tc>
      </w:tr>
      <w:tr w14:paraId="265068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7D0C98F">
            <w:pPr>
              <w:pStyle w:val="34"/>
              <w:numPr>
                <w:ilvl w:val="0"/>
                <w:numId w:val="53"/>
              </w:numPr>
              <w:rPr>
                <w:sz w:val="18"/>
                <w:szCs w:val="18"/>
                <w:lang w:eastAsia="en-US"/>
              </w:rPr>
            </w:pPr>
          </w:p>
        </w:tc>
        <w:tc>
          <w:tcPr>
            <w:tcW w:w="145" w:type="pct"/>
            <w:vMerge w:val="continue"/>
            <w:tcMar>
              <w:left w:w="0" w:type="dxa"/>
              <w:right w:w="0" w:type="dxa"/>
            </w:tcMar>
            <w:vAlign w:val="center"/>
          </w:tcPr>
          <w:p w14:paraId="7FD168F5">
            <w:pPr>
              <w:pStyle w:val="34"/>
              <w:rPr>
                <w:sz w:val="18"/>
                <w:szCs w:val="18"/>
                <w:lang w:eastAsia="en-US"/>
              </w:rPr>
            </w:pPr>
          </w:p>
        </w:tc>
        <w:tc>
          <w:tcPr>
            <w:tcW w:w="145" w:type="pct"/>
            <w:vMerge w:val="restart"/>
            <w:tcMar>
              <w:left w:w="0" w:type="dxa"/>
              <w:right w:w="0" w:type="dxa"/>
            </w:tcMar>
            <w:vAlign w:val="center"/>
          </w:tcPr>
          <w:p w14:paraId="1FB4826E">
            <w:pPr>
              <w:pStyle w:val="34"/>
              <w:rPr>
                <w:sz w:val="18"/>
                <w:szCs w:val="18"/>
                <w:lang w:eastAsia="en-US"/>
              </w:rPr>
            </w:pPr>
            <w:r>
              <w:rPr>
                <w:sz w:val="18"/>
                <w:szCs w:val="18"/>
                <w:lang w:eastAsia="en-US"/>
              </w:rPr>
              <w:t>不溶</w:t>
            </w:r>
            <w:r>
              <w:rPr>
                <w:rFonts w:hint="eastAsia"/>
                <w:sz w:val="18"/>
                <w:szCs w:val="18"/>
                <w:lang w:eastAsia="en-US"/>
              </w:rPr>
              <w:t>/难溶</w:t>
            </w:r>
          </w:p>
        </w:tc>
        <w:tc>
          <w:tcPr>
            <w:tcW w:w="311" w:type="pct"/>
            <w:vMerge w:val="restart"/>
            <w:tcMar>
              <w:left w:w="0" w:type="dxa"/>
              <w:right w:w="0" w:type="dxa"/>
            </w:tcMar>
            <w:vAlign w:val="center"/>
          </w:tcPr>
          <w:p w14:paraId="6AFC8083">
            <w:pPr>
              <w:pStyle w:val="34"/>
              <w:rPr>
                <w:sz w:val="18"/>
                <w:szCs w:val="18"/>
                <w:lang w:eastAsia="en-US"/>
              </w:rPr>
            </w:pPr>
            <w:r>
              <w:rPr>
                <w:sz w:val="18"/>
                <w:szCs w:val="18"/>
                <w:lang w:eastAsia="en-US"/>
              </w:rPr>
              <w:t>有机</w:t>
            </w:r>
          </w:p>
        </w:tc>
        <w:tc>
          <w:tcPr>
            <w:tcW w:w="243" w:type="pct"/>
            <w:tcMar>
              <w:left w:w="0" w:type="dxa"/>
              <w:right w:w="0" w:type="dxa"/>
            </w:tcMar>
            <w:vAlign w:val="center"/>
          </w:tcPr>
          <w:p w14:paraId="73DB1786">
            <w:pPr>
              <w:pStyle w:val="34"/>
              <w:rPr>
                <w:sz w:val="18"/>
                <w:szCs w:val="18"/>
                <w:lang w:eastAsia="en-US"/>
              </w:rPr>
            </w:pPr>
            <w:r>
              <w:rPr>
                <w:sz w:val="18"/>
                <w:szCs w:val="18"/>
                <w:lang w:eastAsia="en-US"/>
              </w:rPr>
              <w:t>易燃易爆</w:t>
            </w:r>
          </w:p>
        </w:tc>
        <w:tc>
          <w:tcPr>
            <w:tcW w:w="213" w:type="pct"/>
            <w:tcMar>
              <w:left w:w="0" w:type="dxa"/>
              <w:right w:w="0" w:type="dxa"/>
            </w:tcMar>
            <w:vAlign w:val="center"/>
          </w:tcPr>
          <w:p w14:paraId="37226C49">
            <w:pPr>
              <w:pStyle w:val="34"/>
              <w:rPr>
                <w:sz w:val="18"/>
                <w:szCs w:val="18"/>
              </w:rPr>
            </w:pPr>
            <w:r>
              <w:rPr>
                <w:rFonts w:hint="eastAsia"/>
                <w:sz w:val="18"/>
                <w:szCs w:val="18"/>
              </w:rPr>
              <w:t>-</w:t>
            </w:r>
          </w:p>
        </w:tc>
        <w:tc>
          <w:tcPr>
            <w:tcW w:w="582" w:type="pct"/>
            <w:tcMar>
              <w:left w:w="0" w:type="dxa"/>
              <w:right w:w="0" w:type="dxa"/>
            </w:tcMar>
            <w:vAlign w:val="center"/>
          </w:tcPr>
          <w:p w14:paraId="3EA1090E">
            <w:pPr>
              <w:pStyle w:val="34"/>
              <w:rPr>
                <w:sz w:val="18"/>
                <w:szCs w:val="18"/>
              </w:rPr>
            </w:pPr>
            <w:r>
              <w:rPr>
                <w:rFonts w:hint="eastAsia"/>
                <w:sz w:val="18"/>
                <w:szCs w:val="18"/>
              </w:rPr>
              <w:t>硝基胍（橄苦岩），湿的，按质量含水不低于20%</w:t>
            </w:r>
          </w:p>
        </w:tc>
        <w:tc>
          <w:tcPr>
            <w:tcW w:w="267" w:type="pct"/>
            <w:tcMar>
              <w:left w:w="0" w:type="dxa"/>
              <w:right w:w="0" w:type="dxa"/>
            </w:tcMar>
            <w:vAlign w:val="center"/>
          </w:tcPr>
          <w:p w14:paraId="42E54470">
            <w:pPr>
              <w:pStyle w:val="34"/>
              <w:rPr>
                <w:sz w:val="18"/>
                <w:szCs w:val="18"/>
              </w:rPr>
            </w:pPr>
            <w:r>
              <w:rPr>
                <w:sz w:val="18"/>
                <w:szCs w:val="18"/>
              </w:rPr>
              <w:t>第</w:t>
            </w:r>
            <w:r>
              <w:rPr>
                <w:rFonts w:hint="eastAsia"/>
                <w:sz w:val="18"/>
                <w:szCs w:val="18"/>
              </w:rPr>
              <w:t>4.3项</w:t>
            </w:r>
          </w:p>
        </w:tc>
        <w:tc>
          <w:tcPr>
            <w:tcW w:w="355" w:type="pct"/>
            <w:tcMar>
              <w:left w:w="0" w:type="dxa"/>
              <w:right w:w="0" w:type="dxa"/>
            </w:tcMar>
            <w:vAlign w:val="center"/>
          </w:tcPr>
          <w:p w14:paraId="707F5B2B">
            <w:pPr>
              <w:pStyle w:val="34"/>
              <w:rPr>
                <w:sz w:val="18"/>
                <w:szCs w:val="18"/>
              </w:rPr>
            </w:pPr>
            <w:r>
              <w:rPr>
                <w:rFonts w:hint="eastAsia"/>
                <w:sz w:val="18"/>
                <w:szCs w:val="18"/>
              </w:rPr>
              <w:t>556-88-7</w:t>
            </w:r>
          </w:p>
        </w:tc>
        <w:tc>
          <w:tcPr>
            <w:tcW w:w="230" w:type="pct"/>
            <w:tcMar>
              <w:left w:w="0" w:type="dxa"/>
              <w:right w:w="0" w:type="dxa"/>
            </w:tcMar>
            <w:vAlign w:val="center"/>
          </w:tcPr>
          <w:p w14:paraId="60D982B2">
            <w:pPr>
              <w:pStyle w:val="34"/>
              <w:rPr>
                <w:sz w:val="18"/>
                <w:szCs w:val="18"/>
              </w:rPr>
            </w:pPr>
            <w:r>
              <w:rPr>
                <w:rFonts w:hint="eastAsia"/>
                <w:sz w:val="18"/>
                <w:szCs w:val="18"/>
              </w:rPr>
              <w:t>/</w:t>
            </w:r>
          </w:p>
        </w:tc>
        <w:tc>
          <w:tcPr>
            <w:tcW w:w="490" w:type="pct"/>
            <w:tcMar>
              <w:left w:w="0" w:type="dxa"/>
              <w:right w:w="0" w:type="dxa"/>
            </w:tcMar>
            <w:vAlign w:val="center"/>
          </w:tcPr>
          <w:p w14:paraId="1377CD18">
            <w:pPr>
              <w:pStyle w:val="34"/>
              <w:rPr>
                <w:sz w:val="18"/>
                <w:szCs w:val="18"/>
              </w:rPr>
            </w:pPr>
            <w:r>
              <w:rPr>
                <w:sz w:val="18"/>
                <w:szCs w:val="18"/>
              </w:rPr>
              <w:t>易燃</w:t>
            </w:r>
          </w:p>
        </w:tc>
        <w:tc>
          <w:tcPr>
            <w:tcW w:w="500" w:type="pct"/>
            <w:tcMar>
              <w:left w:w="0" w:type="dxa"/>
              <w:right w:w="0" w:type="dxa"/>
            </w:tcMar>
            <w:vAlign w:val="center"/>
          </w:tcPr>
          <w:p w14:paraId="7603D0CE">
            <w:pPr>
              <w:pStyle w:val="34"/>
              <w:rPr>
                <w:sz w:val="18"/>
                <w:szCs w:val="18"/>
              </w:rPr>
            </w:pPr>
            <w:r>
              <w:rPr>
                <w:sz w:val="18"/>
                <w:szCs w:val="18"/>
              </w:rPr>
              <w:t>不列入</w:t>
            </w:r>
          </w:p>
        </w:tc>
        <w:tc>
          <w:tcPr>
            <w:tcW w:w="1373" w:type="pct"/>
            <w:tcMar>
              <w:left w:w="0" w:type="dxa"/>
              <w:right w:w="0" w:type="dxa"/>
            </w:tcMar>
            <w:vAlign w:val="center"/>
          </w:tcPr>
          <w:p w14:paraId="0B6E6CCB">
            <w:pPr>
              <w:pStyle w:val="34"/>
              <w:rPr>
                <w:sz w:val="18"/>
                <w:szCs w:val="18"/>
              </w:rPr>
            </w:pPr>
            <w:r>
              <w:rPr>
                <w:rFonts w:hint="eastAsia"/>
                <w:sz w:val="18"/>
                <w:szCs w:val="18"/>
              </w:rPr>
              <w:t>-</w:t>
            </w:r>
          </w:p>
        </w:tc>
      </w:tr>
      <w:tr w14:paraId="23606B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5BC94E0">
            <w:pPr>
              <w:pStyle w:val="34"/>
              <w:numPr>
                <w:ilvl w:val="0"/>
                <w:numId w:val="53"/>
              </w:numPr>
              <w:rPr>
                <w:sz w:val="18"/>
                <w:szCs w:val="18"/>
              </w:rPr>
            </w:pPr>
          </w:p>
        </w:tc>
        <w:tc>
          <w:tcPr>
            <w:tcW w:w="145" w:type="pct"/>
            <w:vMerge w:val="continue"/>
            <w:tcMar>
              <w:left w:w="0" w:type="dxa"/>
              <w:right w:w="0" w:type="dxa"/>
            </w:tcMar>
            <w:vAlign w:val="center"/>
          </w:tcPr>
          <w:p w14:paraId="5EA83A9A">
            <w:pPr>
              <w:pStyle w:val="34"/>
              <w:rPr>
                <w:sz w:val="18"/>
                <w:szCs w:val="18"/>
              </w:rPr>
            </w:pPr>
          </w:p>
        </w:tc>
        <w:tc>
          <w:tcPr>
            <w:tcW w:w="145" w:type="pct"/>
            <w:vMerge w:val="continue"/>
            <w:tcMar>
              <w:left w:w="0" w:type="dxa"/>
              <w:right w:w="0" w:type="dxa"/>
            </w:tcMar>
            <w:vAlign w:val="center"/>
          </w:tcPr>
          <w:p w14:paraId="76DD0F11">
            <w:pPr>
              <w:pStyle w:val="34"/>
              <w:rPr>
                <w:sz w:val="18"/>
                <w:szCs w:val="18"/>
              </w:rPr>
            </w:pPr>
          </w:p>
        </w:tc>
        <w:tc>
          <w:tcPr>
            <w:tcW w:w="311" w:type="pct"/>
            <w:vMerge w:val="continue"/>
            <w:tcMar>
              <w:left w:w="0" w:type="dxa"/>
              <w:right w:w="0" w:type="dxa"/>
            </w:tcMar>
            <w:vAlign w:val="center"/>
          </w:tcPr>
          <w:p w14:paraId="1997F950">
            <w:pPr>
              <w:pStyle w:val="34"/>
              <w:rPr>
                <w:sz w:val="18"/>
                <w:szCs w:val="18"/>
              </w:rPr>
            </w:pPr>
          </w:p>
        </w:tc>
        <w:tc>
          <w:tcPr>
            <w:tcW w:w="243" w:type="pct"/>
            <w:tcMar>
              <w:left w:w="0" w:type="dxa"/>
              <w:right w:w="0" w:type="dxa"/>
            </w:tcMar>
            <w:vAlign w:val="center"/>
          </w:tcPr>
          <w:p w14:paraId="76442888">
            <w:pPr>
              <w:pStyle w:val="34"/>
              <w:rPr>
                <w:sz w:val="18"/>
                <w:szCs w:val="18"/>
                <w:lang w:eastAsia="en-US"/>
              </w:rPr>
            </w:pPr>
            <w:r>
              <w:rPr>
                <w:sz w:val="18"/>
                <w:szCs w:val="18"/>
                <w:lang w:eastAsia="en-US"/>
              </w:rPr>
              <w:t>毒性</w:t>
            </w:r>
          </w:p>
        </w:tc>
        <w:tc>
          <w:tcPr>
            <w:tcW w:w="213" w:type="pct"/>
            <w:tcMar>
              <w:left w:w="0" w:type="dxa"/>
              <w:right w:w="0" w:type="dxa"/>
            </w:tcMar>
            <w:vAlign w:val="center"/>
          </w:tcPr>
          <w:p w14:paraId="2FD3EBA2">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70037400">
            <w:pPr>
              <w:pStyle w:val="34"/>
              <w:rPr>
                <w:sz w:val="18"/>
                <w:szCs w:val="18"/>
                <w:lang w:eastAsia="en-US"/>
              </w:rPr>
            </w:pPr>
            <w:r>
              <w:rPr>
                <w:sz w:val="18"/>
                <w:szCs w:val="18"/>
                <w:lang w:eastAsia="en-US"/>
              </w:rPr>
              <w:t>二苯胺</w:t>
            </w:r>
          </w:p>
        </w:tc>
        <w:tc>
          <w:tcPr>
            <w:tcW w:w="267" w:type="pct"/>
            <w:tcMar>
              <w:left w:w="0" w:type="dxa"/>
              <w:right w:w="0" w:type="dxa"/>
            </w:tcMar>
            <w:vAlign w:val="center"/>
          </w:tcPr>
          <w:p w14:paraId="4F860F26">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64FFF50D">
            <w:pPr>
              <w:pStyle w:val="34"/>
              <w:rPr>
                <w:sz w:val="18"/>
                <w:szCs w:val="18"/>
                <w:lang w:eastAsia="en-US"/>
              </w:rPr>
            </w:pPr>
            <w:r>
              <w:rPr>
                <w:sz w:val="18"/>
                <w:szCs w:val="18"/>
                <w:lang w:eastAsia="en-US"/>
              </w:rPr>
              <w:t>122-39-4</w:t>
            </w:r>
          </w:p>
        </w:tc>
        <w:tc>
          <w:tcPr>
            <w:tcW w:w="230" w:type="pct"/>
            <w:tcMar>
              <w:left w:w="0" w:type="dxa"/>
              <w:right w:w="0" w:type="dxa"/>
            </w:tcMar>
            <w:vAlign w:val="center"/>
          </w:tcPr>
          <w:p w14:paraId="4A68E22B">
            <w:pPr>
              <w:pStyle w:val="34"/>
              <w:rPr>
                <w:sz w:val="18"/>
                <w:szCs w:val="18"/>
                <w:lang w:eastAsia="en-US"/>
              </w:rPr>
            </w:pPr>
            <w:r>
              <w:rPr>
                <w:rFonts w:hint="eastAsia"/>
                <w:sz w:val="18"/>
                <w:szCs w:val="18"/>
                <w:lang w:eastAsia="en-US"/>
              </w:rPr>
              <w:t>5</w:t>
            </w:r>
          </w:p>
        </w:tc>
        <w:tc>
          <w:tcPr>
            <w:tcW w:w="490" w:type="pct"/>
            <w:tcMar>
              <w:left w:w="0" w:type="dxa"/>
              <w:right w:w="0" w:type="dxa"/>
            </w:tcMar>
            <w:vAlign w:val="center"/>
          </w:tcPr>
          <w:p w14:paraId="34B95B6C">
            <w:pPr>
              <w:pStyle w:val="34"/>
              <w:rPr>
                <w:sz w:val="18"/>
                <w:szCs w:val="18"/>
                <w:lang w:eastAsia="en-US"/>
              </w:rPr>
            </w:pPr>
            <w:r>
              <w:rPr>
                <w:rFonts w:hint="eastAsia"/>
                <w:sz w:val="18"/>
                <w:szCs w:val="18"/>
                <w:lang w:eastAsia="en-US"/>
              </w:rPr>
              <w:t>毒性、易燃</w:t>
            </w:r>
          </w:p>
        </w:tc>
        <w:tc>
          <w:tcPr>
            <w:tcW w:w="500" w:type="pct"/>
            <w:tcMar>
              <w:left w:w="0" w:type="dxa"/>
              <w:right w:w="0" w:type="dxa"/>
            </w:tcMar>
            <w:vAlign w:val="center"/>
          </w:tcPr>
          <w:p w14:paraId="45F502DE">
            <w:pPr>
              <w:pStyle w:val="34"/>
              <w:rPr>
                <w:sz w:val="18"/>
                <w:szCs w:val="18"/>
              </w:rPr>
            </w:pPr>
            <w:r>
              <w:rPr>
                <w:rFonts w:hint="eastAsia"/>
                <w:sz w:val="18"/>
                <w:szCs w:val="18"/>
              </w:rPr>
              <w:t>按健康危险急性毒性物质（类别1）</w:t>
            </w:r>
          </w:p>
        </w:tc>
        <w:tc>
          <w:tcPr>
            <w:tcW w:w="1373" w:type="pct"/>
            <w:tcMar>
              <w:left w:w="0" w:type="dxa"/>
              <w:right w:w="0" w:type="dxa"/>
            </w:tcMar>
            <w:vAlign w:val="center"/>
          </w:tcPr>
          <w:p w14:paraId="637BE72C">
            <w:pPr>
              <w:pStyle w:val="34"/>
              <w:rPr>
                <w:sz w:val="18"/>
                <w:szCs w:val="18"/>
                <w:lang w:eastAsia="en-US"/>
              </w:rPr>
            </w:pPr>
            <w:r>
              <w:rPr>
                <w:rFonts w:hint="eastAsia"/>
                <w:sz w:val="18"/>
                <w:szCs w:val="18"/>
                <w:lang w:eastAsia="en-US"/>
              </w:rPr>
              <w:t>-</w:t>
            </w:r>
          </w:p>
        </w:tc>
      </w:tr>
      <w:tr w14:paraId="431A61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511E297">
            <w:pPr>
              <w:pStyle w:val="34"/>
              <w:numPr>
                <w:ilvl w:val="0"/>
                <w:numId w:val="53"/>
              </w:numPr>
              <w:rPr>
                <w:sz w:val="18"/>
                <w:szCs w:val="18"/>
                <w:lang w:eastAsia="en-US"/>
              </w:rPr>
            </w:pPr>
          </w:p>
        </w:tc>
        <w:tc>
          <w:tcPr>
            <w:tcW w:w="145" w:type="pct"/>
            <w:vMerge w:val="continue"/>
            <w:tcMar>
              <w:left w:w="0" w:type="dxa"/>
              <w:right w:w="0" w:type="dxa"/>
            </w:tcMar>
            <w:vAlign w:val="center"/>
          </w:tcPr>
          <w:p w14:paraId="5A2E85C8">
            <w:pPr>
              <w:pStyle w:val="34"/>
              <w:rPr>
                <w:sz w:val="18"/>
                <w:szCs w:val="18"/>
                <w:lang w:eastAsia="en-US"/>
              </w:rPr>
            </w:pPr>
          </w:p>
        </w:tc>
        <w:tc>
          <w:tcPr>
            <w:tcW w:w="145" w:type="pct"/>
            <w:vMerge w:val="continue"/>
            <w:tcMar>
              <w:left w:w="0" w:type="dxa"/>
              <w:right w:w="0" w:type="dxa"/>
            </w:tcMar>
            <w:vAlign w:val="center"/>
          </w:tcPr>
          <w:p w14:paraId="45CF3C12">
            <w:pPr>
              <w:pStyle w:val="34"/>
              <w:rPr>
                <w:sz w:val="18"/>
                <w:szCs w:val="18"/>
                <w:lang w:eastAsia="en-US"/>
              </w:rPr>
            </w:pPr>
          </w:p>
        </w:tc>
        <w:tc>
          <w:tcPr>
            <w:tcW w:w="311" w:type="pct"/>
            <w:vMerge w:val="restart"/>
            <w:tcMar>
              <w:left w:w="0" w:type="dxa"/>
              <w:right w:w="0" w:type="dxa"/>
            </w:tcMar>
            <w:vAlign w:val="center"/>
          </w:tcPr>
          <w:p w14:paraId="3A406664">
            <w:pPr>
              <w:pStyle w:val="34"/>
              <w:rPr>
                <w:sz w:val="18"/>
                <w:szCs w:val="18"/>
                <w:lang w:eastAsia="en-US"/>
              </w:rPr>
            </w:pPr>
            <w:r>
              <w:rPr>
                <w:sz w:val="18"/>
                <w:szCs w:val="18"/>
                <w:lang w:eastAsia="en-US"/>
              </w:rPr>
              <w:t>无机</w:t>
            </w:r>
          </w:p>
        </w:tc>
        <w:tc>
          <w:tcPr>
            <w:tcW w:w="243" w:type="pct"/>
            <w:vMerge w:val="restart"/>
            <w:tcMar>
              <w:left w:w="0" w:type="dxa"/>
              <w:right w:w="0" w:type="dxa"/>
            </w:tcMar>
            <w:vAlign w:val="center"/>
          </w:tcPr>
          <w:p w14:paraId="53A4DABA">
            <w:pPr>
              <w:pStyle w:val="34"/>
              <w:rPr>
                <w:sz w:val="18"/>
                <w:szCs w:val="18"/>
                <w:lang w:eastAsia="en-US"/>
              </w:rPr>
            </w:pPr>
            <w:r>
              <w:rPr>
                <w:sz w:val="18"/>
                <w:szCs w:val="18"/>
                <w:lang w:eastAsia="en-US"/>
              </w:rPr>
              <w:t>易燃易爆</w:t>
            </w:r>
          </w:p>
        </w:tc>
        <w:tc>
          <w:tcPr>
            <w:tcW w:w="213" w:type="pct"/>
            <w:tcMar>
              <w:left w:w="0" w:type="dxa"/>
              <w:right w:w="0" w:type="dxa"/>
            </w:tcMar>
            <w:vAlign w:val="center"/>
          </w:tcPr>
          <w:p w14:paraId="7667E796">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B2C536A">
            <w:pPr>
              <w:pStyle w:val="34"/>
              <w:rPr>
                <w:sz w:val="18"/>
                <w:szCs w:val="18"/>
                <w:lang w:eastAsia="en-US"/>
              </w:rPr>
            </w:pPr>
            <w:r>
              <w:rPr>
                <w:rFonts w:hint="eastAsia"/>
                <w:sz w:val="18"/>
                <w:szCs w:val="18"/>
                <w:lang w:eastAsia="en-US"/>
              </w:rPr>
              <w:t>烟花爆竹</w:t>
            </w:r>
          </w:p>
        </w:tc>
        <w:tc>
          <w:tcPr>
            <w:tcW w:w="267" w:type="pct"/>
            <w:tcMar>
              <w:left w:w="0" w:type="dxa"/>
              <w:right w:w="0" w:type="dxa"/>
            </w:tcMar>
            <w:vAlign w:val="center"/>
          </w:tcPr>
          <w:p w14:paraId="3E88CEF7">
            <w:pPr>
              <w:pStyle w:val="34"/>
              <w:rPr>
                <w:sz w:val="18"/>
                <w:szCs w:val="18"/>
                <w:lang w:eastAsia="en-US"/>
              </w:rPr>
            </w:pPr>
            <w:r>
              <w:rPr>
                <w:rFonts w:hint="eastAsia"/>
                <w:sz w:val="18"/>
                <w:szCs w:val="18"/>
                <w:lang w:eastAsia="en-US"/>
              </w:rPr>
              <w:t>第1.3项</w:t>
            </w:r>
          </w:p>
        </w:tc>
        <w:tc>
          <w:tcPr>
            <w:tcW w:w="355" w:type="pct"/>
            <w:tcMar>
              <w:left w:w="0" w:type="dxa"/>
              <w:right w:w="0" w:type="dxa"/>
            </w:tcMar>
            <w:vAlign w:val="center"/>
          </w:tcPr>
          <w:p w14:paraId="2178C22F">
            <w:pPr>
              <w:pStyle w:val="34"/>
              <w:rPr>
                <w:sz w:val="18"/>
                <w:szCs w:val="18"/>
                <w:lang w:eastAsia="en-US"/>
              </w:rPr>
            </w:pPr>
            <w:r>
              <w:rPr>
                <w:rFonts w:hint="eastAsia"/>
                <w:sz w:val="18"/>
                <w:szCs w:val="18"/>
                <w:lang w:eastAsia="en-US"/>
              </w:rPr>
              <w:t>/</w:t>
            </w:r>
          </w:p>
        </w:tc>
        <w:tc>
          <w:tcPr>
            <w:tcW w:w="230" w:type="pct"/>
            <w:tcMar>
              <w:left w:w="0" w:type="dxa"/>
              <w:right w:w="0" w:type="dxa"/>
            </w:tcMar>
            <w:vAlign w:val="center"/>
          </w:tcPr>
          <w:p w14:paraId="30BE407E">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0DBCFD30">
            <w:pPr>
              <w:pStyle w:val="34"/>
              <w:rPr>
                <w:sz w:val="18"/>
                <w:szCs w:val="18"/>
                <w:lang w:eastAsia="en-US"/>
              </w:rPr>
            </w:pPr>
            <w:r>
              <w:rPr>
                <w:rFonts w:hint="eastAsia"/>
                <w:sz w:val="18"/>
                <w:szCs w:val="18"/>
                <w:lang w:eastAsia="en-US"/>
              </w:rPr>
              <w:t>运输量大、易燃</w:t>
            </w:r>
          </w:p>
        </w:tc>
        <w:tc>
          <w:tcPr>
            <w:tcW w:w="500" w:type="pct"/>
            <w:tcMar>
              <w:left w:w="0" w:type="dxa"/>
              <w:right w:w="0" w:type="dxa"/>
            </w:tcMar>
            <w:vAlign w:val="center"/>
          </w:tcPr>
          <w:p w14:paraId="2649E4FE">
            <w:pPr>
              <w:pStyle w:val="34"/>
              <w:rPr>
                <w:sz w:val="18"/>
                <w:szCs w:val="18"/>
              </w:rPr>
            </w:pPr>
            <w:r>
              <w:rPr>
                <w:rFonts w:hint="eastAsia"/>
                <w:sz w:val="18"/>
                <w:szCs w:val="18"/>
              </w:rPr>
              <w:t>健康危险急性毒性物质（类别2，类别3）</w:t>
            </w:r>
          </w:p>
        </w:tc>
        <w:tc>
          <w:tcPr>
            <w:tcW w:w="1373" w:type="pct"/>
            <w:tcMar>
              <w:left w:w="0" w:type="dxa"/>
              <w:right w:w="0" w:type="dxa"/>
            </w:tcMar>
            <w:vAlign w:val="center"/>
          </w:tcPr>
          <w:p w14:paraId="7BE2B3D8">
            <w:pPr>
              <w:pStyle w:val="34"/>
              <w:rPr>
                <w:sz w:val="18"/>
                <w:szCs w:val="18"/>
                <w:lang w:eastAsia="en-US"/>
              </w:rPr>
            </w:pPr>
            <w:r>
              <w:rPr>
                <w:rFonts w:hint="eastAsia"/>
                <w:sz w:val="18"/>
                <w:szCs w:val="18"/>
                <w:lang w:eastAsia="en-US"/>
              </w:rPr>
              <w:t>-</w:t>
            </w:r>
          </w:p>
        </w:tc>
      </w:tr>
      <w:tr w14:paraId="117746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62B8FB2">
            <w:pPr>
              <w:pStyle w:val="34"/>
              <w:numPr>
                <w:ilvl w:val="0"/>
                <w:numId w:val="53"/>
              </w:numPr>
              <w:rPr>
                <w:sz w:val="18"/>
                <w:szCs w:val="18"/>
                <w:lang w:eastAsia="en-US"/>
              </w:rPr>
            </w:pPr>
          </w:p>
        </w:tc>
        <w:tc>
          <w:tcPr>
            <w:tcW w:w="145" w:type="pct"/>
            <w:vMerge w:val="continue"/>
            <w:tcMar>
              <w:left w:w="0" w:type="dxa"/>
              <w:right w:w="0" w:type="dxa"/>
            </w:tcMar>
            <w:vAlign w:val="center"/>
          </w:tcPr>
          <w:p w14:paraId="30348E42">
            <w:pPr>
              <w:pStyle w:val="34"/>
              <w:rPr>
                <w:sz w:val="18"/>
                <w:szCs w:val="18"/>
                <w:lang w:eastAsia="en-US"/>
              </w:rPr>
            </w:pPr>
          </w:p>
        </w:tc>
        <w:tc>
          <w:tcPr>
            <w:tcW w:w="145" w:type="pct"/>
            <w:vMerge w:val="continue"/>
            <w:tcMar>
              <w:left w:w="0" w:type="dxa"/>
              <w:right w:w="0" w:type="dxa"/>
            </w:tcMar>
            <w:vAlign w:val="center"/>
          </w:tcPr>
          <w:p w14:paraId="6B4257B6">
            <w:pPr>
              <w:pStyle w:val="34"/>
              <w:rPr>
                <w:sz w:val="18"/>
                <w:szCs w:val="18"/>
                <w:lang w:eastAsia="en-US"/>
              </w:rPr>
            </w:pPr>
          </w:p>
        </w:tc>
        <w:tc>
          <w:tcPr>
            <w:tcW w:w="311" w:type="pct"/>
            <w:vMerge w:val="continue"/>
            <w:tcMar>
              <w:left w:w="0" w:type="dxa"/>
              <w:right w:w="0" w:type="dxa"/>
            </w:tcMar>
            <w:vAlign w:val="center"/>
          </w:tcPr>
          <w:p w14:paraId="6B2BC3DF">
            <w:pPr>
              <w:pStyle w:val="34"/>
              <w:rPr>
                <w:sz w:val="18"/>
                <w:szCs w:val="18"/>
                <w:lang w:eastAsia="en-US"/>
              </w:rPr>
            </w:pPr>
          </w:p>
        </w:tc>
        <w:tc>
          <w:tcPr>
            <w:tcW w:w="243" w:type="pct"/>
            <w:vMerge w:val="continue"/>
            <w:tcMar>
              <w:left w:w="0" w:type="dxa"/>
              <w:right w:w="0" w:type="dxa"/>
            </w:tcMar>
            <w:vAlign w:val="center"/>
          </w:tcPr>
          <w:p w14:paraId="09062B71">
            <w:pPr>
              <w:pStyle w:val="34"/>
              <w:rPr>
                <w:sz w:val="18"/>
                <w:szCs w:val="18"/>
                <w:lang w:eastAsia="en-US"/>
              </w:rPr>
            </w:pPr>
          </w:p>
        </w:tc>
        <w:tc>
          <w:tcPr>
            <w:tcW w:w="213" w:type="pct"/>
            <w:tcMar>
              <w:left w:w="0" w:type="dxa"/>
              <w:right w:w="0" w:type="dxa"/>
            </w:tcMar>
            <w:vAlign w:val="center"/>
          </w:tcPr>
          <w:p w14:paraId="4CBD310B">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110F462B">
            <w:pPr>
              <w:pStyle w:val="34"/>
              <w:rPr>
                <w:sz w:val="18"/>
                <w:szCs w:val="18"/>
                <w:lang w:eastAsia="en-US"/>
              </w:rPr>
            </w:pPr>
            <w:r>
              <w:rPr>
                <w:rFonts w:hint="eastAsia"/>
                <w:sz w:val="18"/>
                <w:szCs w:val="18"/>
                <w:lang w:eastAsia="en-US"/>
              </w:rPr>
              <w:t>硫磺</w:t>
            </w:r>
          </w:p>
        </w:tc>
        <w:tc>
          <w:tcPr>
            <w:tcW w:w="267" w:type="pct"/>
            <w:tcMar>
              <w:left w:w="0" w:type="dxa"/>
              <w:right w:w="0" w:type="dxa"/>
            </w:tcMar>
            <w:vAlign w:val="center"/>
          </w:tcPr>
          <w:p w14:paraId="1203AAED">
            <w:pPr>
              <w:pStyle w:val="34"/>
              <w:rPr>
                <w:sz w:val="18"/>
                <w:szCs w:val="18"/>
                <w:lang w:eastAsia="en-US"/>
              </w:rPr>
            </w:pPr>
            <w:r>
              <w:rPr>
                <w:rFonts w:hint="eastAsia"/>
                <w:sz w:val="18"/>
                <w:szCs w:val="18"/>
                <w:lang w:eastAsia="en-US"/>
              </w:rPr>
              <w:t>第4.1项</w:t>
            </w:r>
          </w:p>
        </w:tc>
        <w:tc>
          <w:tcPr>
            <w:tcW w:w="355" w:type="pct"/>
            <w:tcMar>
              <w:left w:w="0" w:type="dxa"/>
              <w:right w:w="0" w:type="dxa"/>
            </w:tcMar>
            <w:vAlign w:val="center"/>
          </w:tcPr>
          <w:p w14:paraId="31C10EA1">
            <w:pPr>
              <w:pStyle w:val="34"/>
              <w:rPr>
                <w:sz w:val="18"/>
                <w:szCs w:val="18"/>
                <w:lang w:eastAsia="en-US"/>
              </w:rPr>
            </w:pPr>
            <w:r>
              <w:rPr>
                <w:rFonts w:hint="eastAsia"/>
                <w:sz w:val="18"/>
                <w:szCs w:val="18"/>
                <w:lang w:eastAsia="en-US"/>
              </w:rPr>
              <w:t>7704-34-9</w:t>
            </w:r>
          </w:p>
        </w:tc>
        <w:tc>
          <w:tcPr>
            <w:tcW w:w="230" w:type="pct"/>
            <w:tcMar>
              <w:left w:w="0" w:type="dxa"/>
              <w:right w:w="0" w:type="dxa"/>
            </w:tcMar>
            <w:vAlign w:val="center"/>
          </w:tcPr>
          <w:p w14:paraId="565B09BC">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7D914391">
            <w:pPr>
              <w:pStyle w:val="34"/>
              <w:rPr>
                <w:sz w:val="18"/>
                <w:szCs w:val="18"/>
                <w:lang w:eastAsia="en-US"/>
              </w:rPr>
            </w:pPr>
            <w:r>
              <w:rPr>
                <w:rFonts w:hint="eastAsia"/>
                <w:sz w:val="18"/>
                <w:szCs w:val="18"/>
                <w:lang w:eastAsia="en-US"/>
              </w:rPr>
              <w:t>运输量大、易燃</w:t>
            </w:r>
          </w:p>
        </w:tc>
        <w:tc>
          <w:tcPr>
            <w:tcW w:w="500" w:type="pct"/>
            <w:tcMar>
              <w:left w:w="0" w:type="dxa"/>
              <w:right w:w="0" w:type="dxa"/>
            </w:tcMar>
            <w:vAlign w:val="center"/>
          </w:tcPr>
          <w:p w14:paraId="48D9FC73">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6DB69B78">
            <w:pPr>
              <w:pStyle w:val="34"/>
              <w:rPr>
                <w:sz w:val="18"/>
                <w:szCs w:val="18"/>
                <w:lang w:eastAsia="en-US"/>
              </w:rPr>
            </w:pPr>
            <w:r>
              <w:rPr>
                <w:rFonts w:hint="eastAsia"/>
                <w:sz w:val="18"/>
                <w:szCs w:val="18"/>
                <w:lang w:eastAsia="en-US"/>
              </w:rPr>
              <w:t>-</w:t>
            </w:r>
          </w:p>
        </w:tc>
      </w:tr>
      <w:tr w14:paraId="16C158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7DF2CE5">
            <w:pPr>
              <w:pStyle w:val="34"/>
              <w:numPr>
                <w:ilvl w:val="0"/>
                <w:numId w:val="53"/>
              </w:numPr>
              <w:rPr>
                <w:sz w:val="18"/>
                <w:szCs w:val="18"/>
                <w:lang w:eastAsia="en-US"/>
              </w:rPr>
            </w:pPr>
          </w:p>
        </w:tc>
        <w:tc>
          <w:tcPr>
            <w:tcW w:w="145" w:type="pct"/>
            <w:vMerge w:val="continue"/>
            <w:tcMar>
              <w:left w:w="0" w:type="dxa"/>
              <w:right w:w="0" w:type="dxa"/>
            </w:tcMar>
            <w:vAlign w:val="center"/>
          </w:tcPr>
          <w:p w14:paraId="37CA230F">
            <w:pPr>
              <w:pStyle w:val="34"/>
              <w:rPr>
                <w:sz w:val="18"/>
                <w:szCs w:val="18"/>
                <w:lang w:eastAsia="en-US"/>
              </w:rPr>
            </w:pPr>
          </w:p>
        </w:tc>
        <w:tc>
          <w:tcPr>
            <w:tcW w:w="145" w:type="pct"/>
            <w:vMerge w:val="continue"/>
            <w:tcMar>
              <w:left w:w="0" w:type="dxa"/>
              <w:right w:w="0" w:type="dxa"/>
            </w:tcMar>
            <w:vAlign w:val="center"/>
          </w:tcPr>
          <w:p w14:paraId="60AFD66E">
            <w:pPr>
              <w:pStyle w:val="34"/>
              <w:rPr>
                <w:sz w:val="18"/>
                <w:szCs w:val="18"/>
                <w:lang w:eastAsia="en-US"/>
              </w:rPr>
            </w:pPr>
          </w:p>
        </w:tc>
        <w:tc>
          <w:tcPr>
            <w:tcW w:w="311" w:type="pct"/>
            <w:vMerge w:val="continue"/>
            <w:tcMar>
              <w:left w:w="0" w:type="dxa"/>
              <w:right w:w="0" w:type="dxa"/>
            </w:tcMar>
            <w:vAlign w:val="center"/>
          </w:tcPr>
          <w:p w14:paraId="54C22DF3">
            <w:pPr>
              <w:pStyle w:val="34"/>
              <w:rPr>
                <w:sz w:val="18"/>
                <w:szCs w:val="18"/>
                <w:lang w:eastAsia="en-US"/>
              </w:rPr>
            </w:pPr>
          </w:p>
        </w:tc>
        <w:tc>
          <w:tcPr>
            <w:tcW w:w="243" w:type="pct"/>
            <w:tcMar>
              <w:left w:w="0" w:type="dxa"/>
              <w:right w:w="0" w:type="dxa"/>
            </w:tcMar>
            <w:vAlign w:val="center"/>
          </w:tcPr>
          <w:p w14:paraId="3869A403">
            <w:pPr>
              <w:pStyle w:val="34"/>
              <w:rPr>
                <w:sz w:val="18"/>
                <w:szCs w:val="18"/>
                <w:lang w:eastAsia="en-US"/>
              </w:rPr>
            </w:pPr>
            <w:r>
              <w:rPr>
                <w:sz w:val="18"/>
                <w:szCs w:val="18"/>
                <w:lang w:eastAsia="en-US"/>
              </w:rPr>
              <w:t>易自燃</w:t>
            </w:r>
          </w:p>
        </w:tc>
        <w:tc>
          <w:tcPr>
            <w:tcW w:w="213" w:type="pct"/>
            <w:tcMar>
              <w:left w:w="0" w:type="dxa"/>
              <w:right w:w="0" w:type="dxa"/>
            </w:tcMar>
            <w:vAlign w:val="center"/>
          </w:tcPr>
          <w:p w14:paraId="47C5CDAC">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A701D60">
            <w:pPr>
              <w:pStyle w:val="34"/>
              <w:rPr>
                <w:sz w:val="18"/>
                <w:szCs w:val="18"/>
                <w:lang w:eastAsia="en-US"/>
              </w:rPr>
            </w:pPr>
            <w:r>
              <w:rPr>
                <w:sz w:val="18"/>
                <w:szCs w:val="18"/>
                <w:lang w:eastAsia="en-US"/>
              </w:rPr>
              <w:t>白磷</w:t>
            </w:r>
          </w:p>
        </w:tc>
        <w:tc>
          <w:tcPr>
            <w:tcW w:w="267" w:type="pct"/>
            <w:tcMar>
              <w:left w:w="0" w:type="dxa"/>
              <w:right w:w="0" w:type="dxa"/>
            </w:tcMar>
            <w:vAlign w:val="center"/>
          </w:tcPr>
          <w:p w14:paraId="0A238FD8">
            <w:pPr>
              <w:pStyle w:val="34"/>
              <w:rPr>
                <w:sz w:val="18"/>
                <w:szCs w:val="18"/>
                <w:lang w:eastAsia="en-US"/>
              </w:rPr>
            </w:pPr>
            <w:r>
              <w:rPr>
                <w:rFonts w:hint="eastAsia"/>
                <w:sz w:val="18"/>
                <w:szCs w:val="18"/>
                <w:lang w:eastAsia="en-US"/>
              </w:rPr>
              <w:t>第4.2项</w:t>
            </w:r>
          </w:p>
        </w:tc>
        <w:tc>
          <w:tcPr>
            <w:tcW w:w="355" w:type="pct"/>
            <w:tcMar>
              <w:left w:w="0" w:type="dxa"/>
              <w:right w:w="0" w:type="dxa"/>
            </w:tcMar>
            <w:vAlign w:val="center"/>
          </w:tcPr>
          <w:p w14:paraId="11520C24">
            <w:pPr>
              <w:pStyle w:val="34"/>
              <w:rPr>
                <w:sz w:val="18"/>
                <w:szCs w:val="18"/>
                <w:lang w:eastAsia="en-US"/>
              </w:rPr>
            </w:pPr>
            <w:r>
              <w:rPr>
                <w:sz w:val="18"/>
                <w:szCs w:val="18"/>
                <w:lang w:eastAsia="en-US"/>
              </w:rPr>
              <w:t>12185-10-3</w:t>
            </w:r>
          </w:p>
        </w:tc>
        <w:tc>
          <w:tcPr>
            <w:tcW w:w="230" w:type="pct"/>
            <w:tcMar>
              <w:left w:w="0" w:type="dxa"/>
              <w:right w:w="0" w:type="dxa"/>
            </w:tcMar>
            <w:vAlign w:val="center"/>
          </w:tcPr>
          <w:p w14:paraId="13A87D2C">
            <w:pPr>
              <w:pStyle w:val="34"/>
              <w:rPr>
                <w:sz w:val="18"/>
                <w:szCs w:val="18"/>
                <w:lang w:eastAsia="en-US"/>
              </w:rPr>
            </w:pPr>
            <w:r>
              <w:rPr>
                <w:rFonts w:hint="eastAsia"/>
                <w:sz w:val="18"/>
                <w:szCs w:val="18"/>
                <w:lang w:eastAsia="en-US"/>
              </w:rPr>
              <w:t>5</w:t>
            </w:r>
          </w:p>
        </w:tc>
        <w:tc>
          <w:tcPr>
            <w:tcW w:w="490" w:type="pct"/>
            <w:tcMar>
              <w:left w:w="0" w:type="dxa"/>
              <w:right w:w="0" w:type="dxa"/>
            </w:tcMar>
            <w:vAlign w:val="center"/>
          </w:tcPr>
          <w:p w14:paraId="41D6CE63">
            <w:pPr>
              <w:pStyle w:val="34"/>
              <w:rPr>
                <w:sz w:val="18"/>
                <w:szCs w:val="18"/>
              </w:rPr>
            </w:pPr>
            <w:r>
              <w:rPr>
                <w:rFonts w:hint="eastAsia"/>
                <w:sz w:val="18"/>
                <w:szCs w:val="18"/>
              </w:rPr>
              <w:t>运输量大、易自燃、毒性</w:t>
            </w:r>
          </w:p>
        </w:tc>
        <w:tc>
          <w:tcPr>
            <w:tcW w:w="500" w:type="pct"/>
            <w:tcMar>
              <w:left w:w="0" w:type="dxa"/>
              <w:right w:w="0" w:type="dxa"/>
            </w:tcMar>
            <w:vAlign w:val="center"/>
          </w:tcPr>
          <w:p w14:paraId="68B877CA">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07D879B2">
            <w:pPr>
              <w:pStyle w:val="34"/>
              <w:rPr>
                <w:sz w:val="18"/>
                <w:szCs w:val="18"/>
                <w:lang w:eastAsia="en-US"/>
              </w:rPr>
            </w:pPr>
            <w:r>
              <w:rPr>
                <w:rFonts w:hint="eastAsia"/>
                <w:sz w:val="18"/>
                <w:szCs w:val="18"/>
                <w:lang w:eastAsia="en-US"/>
              </w:rPr>
              <w:t>-</w:t>
            </w:r>
          </w:p>
        </w:tc>
      </w:tr>
      <w:tr w14:paraId="7AEC06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125C32B6">
            <w:pPr>
              <w:pStyle w:val="34"/>
              <w:numPr>
                <w:ilvl w:val="0"/>
                <w:numId w:val="53"/>
              </w:numPr>
              <w:rPr>
                <w:sz w:val="18"/>
                <w:szCs w:val="18"/>
                <w:lang w:eastAsia="en-US"/>
              </w:rPr>
            </w:pPr>
          </w:p>
        </w:tc>
        <w:tc>
          <w:tcPr>
            <w:tcW w:w="145" w:type="pct"/>
            <w:vMerge w:val="continue"/>
            <w:tcMar>
              <w:left w:w="0" w:type="dxa"/>
              <w:right w:w="0" w:type="dxa"/>
            </w:tcMar>
            <w:vAlign w:val="center"/>
          </w:tcPr>
          <w:p w14:paraId="76121BDF">
            <w:pPr>
              <w:pStyle w:val="34"/>
              <w:rPr>
                <w:sz w:val="18"/>
                <w:szCs w:val="18"/>
                <w:lang w:eastAsia="en-US"/>
              </w:rPr>
            </w:pPr>
          </w:p>
        </w:tc>
        <w:tc>
          <w:tcPr>
            <w:tcW w:w="145" w:type="pct"/>
            <w:vMerge w:val="continue"/>
            <w:tcMar>
              <w:left w:w="0" w:type="dxa"/>
              <w:right w:w="0" w:type="dxa"/>
            </w:tcMar>
            <w:vAlign w:val="center"/>
          </w:tcPr>
          <w:p w14:paraId="2FC43D36">
            <w:pPr>
              <w:pStyle w:val="34"/>
              <w:rPr>
                <w:sz w:val="18"/>
                <w:szCs w:val="18"/>
                <w:lang w:eastAsia="en-US"/>
              </w:rPr>
            </w:pPr>
          </w:p>
        </w:tc>
        <w:tc>
          <w:tcPr>
            <w:tcW w:w="311" w:type="pct"/>
            <w:vMerge w:val="continue"/>
            <w:tcMar>
              <w:left w:w="0" w:type="dxa"/>
              <w:right w:w="0" w:type="dxa"/>
            </w:tcMar>
            <w:vAlign w:val="center"/>
          </w:tcPr>
          <w:p w14:paraId="166D1C8F">
            <w:pPr>
              <w:pStyle w:val="34"/>
              <w:rPr>
                <w:sz w:val="18"/>
                <w:szCs w:val="18"/>
                <w:lang w:eastAsia="en-US"/>
              </w:rPr>
            </w:pPr>
          </w:p>
        </w:tc>
        <w:tc>
          <w:tcPr>
            <w:tcW w:w="243" w:type="pct"/>
            <w:tcMar>
              <w:left w:w="0" w:type="dxa"/>
              <w:right w:w="0" w:type="dxa"/>
            </w:tcMar>
            <w:vAlign w:val="center"/>
          </w:tcPr>
          <w:p w14:paraId="72ED488D">
            <w:pPr>
              <w:pStyle w:val="34"/>
              <w:rPr>
                <w:sz w:val="18"/>
                <w:szCs w:val="18"/>
                <w:lang w:eastAsia="en-US"/>
              </w:rPr>
            </w:pPr>
            <w:r>
              <w:rPr>
                <w:sz w:val="18"/>
                <w:szCs w:val="18"/>
                <w:lang w:eastAsia="en-US"/>
              </w:rPr>
              <w:t>遇水放出易燃气体</w:t>
            </w:r>
          </w:p>
        </w:tc>
        <w:tc>
          <w:tcPr>
            <w:tcW w:w="213" w:type="pct"/>
            <w:tcMar>
              <w:left w:w="0" w:type="dxa"/>
              <w:right w:w="0" w:type="dxa"/>
            </w:tcMar>
            <w:vAlign w:val="center"/>
          </w:tcPr>
          <w:p w14:paraId="140548AE">
            <w:pPr>
              <w:pStyle w:val="34"/>
              <w:rPr>
                <w:sz w:val="18"/>
                <w:szCs w:val="18"/>
                <w:lang w:eastAsia="en-US"/>
              </w:rPr>
            </w:pPr>
            <w:r>
              <w:rPr>
                <w:sz w:val="18"/>
                <w:szCs w:val="18"/>
                <w:lang w:eastAsia="en-US"/>
              </w:rPr>
              <w:t>毒性</w:t>
            </w:r>
          </w:p>
        </w:tc>
        <w:tc>
          <w:tcPr>
            <w:tcW w:w="582" w:type="pct"/>
            <w:tcMar>
              <w:left w:w="0" w:type="dxa"/>
              <w:right w:w="0" w:type="dxa"/>
            </w:tcMar>
            <w:vAlign w:val="center"/>
          </w:tcPr>
          <w:p w14:paraId="29C1EDA4">
            <w:pPr>
              <w:pStyle w:val="34"/>
              <w:rPr>
                <w:sz w:val="18"/>
                <w:szCs w:val="18"/>
                <w:lang w:eastAsia="en-US"/>
              </w:rPr>
            </w:pPr>
            <w:r>
              <w:rPr>
                <w:sz w:val="18"/>
                <w:szCs w:val="18"/>
                <w:lang w:eastAsia="en-US"/>
              </w:rPr>
              <w:t>硅铝铁合金粉</w:t>
            </w:r>
          </w:p>
        </w:tc>
        <w:tc>
          <w:tcPr>
            <w:tcW w:w="267" w:type="pct"/>
            <w:tcMar>
              <w:left w:w="0" w:type="dxa"/>
              <w:right w:w="0" w:type="dxa"/>
            </w:tcMar>
            <w:vAlign w:val="center"/>
          </w:tcPr>
          <w:p w14:paraId="0FC6696C">
            <w:pPr>
              <w:pStyle w:val="34"/>
              <w:rPr>
                <w:sz w:val="18"/>
                <w:szCs w:val="18"/>
                <w:lang w:eastAsia="en-US"/>
              </w:rPr>
            </w:pPr>
            <w:r>
              <w:rPr>
                <w:rFonts w:hint="eastAsia"/>
                <w:sz w:val="18"/>
                <w:szCs w:val="18"/>
                <w:lang w:eastAsia="en-US"/>
              </w:rPr>
              <w:t>第4.3项</w:t>
            </w:r>
          </w:p>
        </w:tc>
        <w:tc>
          <w:tcPr>
            <w:tcW w:w="355" w:type="pct"/>
            <w:tcMar>
              <w:left w:w="0" w:type="dxa"/>
              <w:right w:w="0" w:type="dxa"/>
            </w:tcMar>
            <w:vAlign w:val="center"/>
          </w:tcPr>
          <w:p w14:paraId="49C71A97">
            <w:pPr>
              <w:pStyle w:val="34"/>
              <w:rPr>
                <w:sz w:val="18"/>
                <w:szCs w:val="18"/>
                <w:lang w:eastAsia="en-US"/>
              </w:rPr>
            </w:pPr>
            <w:r>
              <w:rPr>
                <w:rFonts w:hint="eastAsia"/>
                <w:sz w:val="18"/>
                <w:szCs w:val="18"/>
                <w:lang w:eastAsia="en-US"/>
              </w:rPr>
              <w:t>11145-27-0</w:t>
            </w:r>
          </w:p>
        </w:tc>
        <w:tc>
          <w:tcPr>
            <w:tcW w:w="230" w:type="pct"/>
            <w:tcMar>
              <w:left w:w="0" w:type="dxa"/>
              <w:right w:w="0" w:type="dxa"/>
            </w:tcMar>
            <w:vAlign w:val="center"/>
          </w:tcPr>
          <w:p w14:paraId="76540232">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0FE53539">
            <w:pPr>
              <w:pStyle w:val="34"/>
              <w:rPr>
                <w:sz w:val="18"/>
                <w:szCs w:val="18"/>
                <w:lang w:eastAsia="en-US"/>
              </w:rPr>
            </w:pPr>
            <w:r>
              <w:rPr>
                <w:rFonts w:hint="eastAsia"/>
                <w:sz w:val="18"/>
                <w:szCs w:val="18"/>
                <w:lang w:eastAsia="en-US"/>
              </w:rPr>
              <w:t>易燃、毒性</w:t>
            </w:r>
          </w:p>
        </w:tc>
        <w:tc>
          <w:tcPr>
            <w:tcW w:w="500" w:type="pct"/>
            <w:tcMar>
              <w:left w:w="0" w:type="dxa"/>
              <w:right w:w="0" w:type="dxa"/>
            </w:tcMar>
            <w:vAlign w:val="center"/>
          </w:tcPr>
          <w:p w14:paraId="67378553">
            <w:pPr>
              <w:pStyle w:val="34"/>
              <w:rPr>
                <w:sz w:val="18"/>
                <w:szCs w:val="18"/>
              </w:rPr>
            </w:pPr>
            <w:r>
              <w:rPr>
                <w:rFonts w:hint="eastAsia"/>
                <w:sz w:val="18"/>
                <w:szCs w:val="18"/>
              </w:rPr>
              <w:t>健康危险急性毒性物质（类别2，类别3）</w:t>
            </w:r>
          </w:p>
        </w:tc>
        <w:tc>
          <w:tcPr>
            <w:tcW w:w="1373" w:type="pct"/>
            <w:tcMar>
              <w:left w:w="0" w:type="dxa"/>
              <w:right w:w="0" w:type="dxa"/>
            </w:tcMar>
            <w:vAlign w:val="center"/>
          </w:tcPr>
          <w:p w14:paraId="5802B524">
            <w:pPr>
              <w:pStyle w:val="34"/>
              <w:rPr>
                <w:sz w:val="18"/>
                <w:szCs w:val="18"/>
                <w:lang w:eastAsia="en-US"/>
              </w:rPr>
            </w:pPr>
            <w:r>
              <w:rPr>
                <w:rFonts w:hint="eastAsia"/>
                <w:sz w:val="18"/>
                <w:szCs w:val="18"/>
                <w:lang w:eastAsia="en-US"/>
              </w:rPr>
              <w:t>-</w:t>
            </w:r>
          </w:p>
        </w:tc>
      </w:tr>
      <w:tr w14:paraId="1628AE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BCE2025">
            <w:pPr>
              <w:pStyle w:val="34"/>
              <w:numPr>
                <w:ilvl w:val="0"/>
                <w:numId w:val="53"/>
              </w:numPr>
              <w:rPr>
                <w:sz w:val="18"/>
                <w:szCs w:val="18"/>
                <w:lang w:eastAsia="en-US"/>
              </w:rPr>
            </w:pPr>
          </w:p>
        </w:tc>
        <w:tc>
          <w:tcPr>
            <w:tcW w:w="145" w:type="pct"/>
            <w:vMerge w:val="continue"/>
            <w:tcMar>
              <w:left w:w="0" w:type="dxa"/>
              <w:right w:w="0" w:type="dxa"/>
            </w:tcMar>
            <w:vAlign w:val="center"/>
          </w:tcPr>
          <w:p w14:paraId="3DB4097A">
            <w:pPr>
              <w:pStyle w:val="34"/>
              <w:rPr>
                <w:sz w:val="18"/>
                <w:szCs w:val="18"/>
                <w:lang w:eastAsia="en-US"/>
              </w:rPr>
            </w:pPr>
          </w:p>
        </w:tc>
        <w:tc>
          <w:tcPr>
            <w:tcW w:w="145" w:type="pct"/>
            <w:vMerge w:val="continue"/>
            <w:tcMar>
              <w:left w:w="0" w:type="dxa"/>
              <w:right w:w="0" w:type="dxa"/>
            </w:tcMar>
            <w:vAlign w:val="center"/>
          </w:tcPr>
          <w:p w14:paraId="3EDC6596">
            <w:pPr>
              <w:pStyle w:val="34"/>
              <w:rPr>
                <w:sz w:val="18"/>
                <w:szCs w:val="18"/>
                <w:lang w:eastAsia="en-US"/>
              </w:rPr>
            </w:pPr>
          </w:p>
        </w:tc>
        <w:tc>
          <w:tcPr>
            <w:tcW w:w="311" w:type="pct"/>
            <w:vMerge w:val="continue"/>
            <w:tcMar>
              <w:left w:w="0" w:type="dxa"/>
              <w:right w:w="0" w:type="dxa"/>
            </w:tcMar>
            <w:vAlign w:val="center"/>
          </w:tcPr>
          <w:p w14:paraId="28320449">
            <w:pPr>
              <w:pStyle w:val="34"/>
              <w:rPr>
                <w:sz w:val="18"/>
                <w:szCs w:val="18"/>
                <w:lang w:eastAsia="en-US"/>
              </w:rPr>
            </w:pPr>
          </w:p>
        </w:tc>
        <w:tc>
          <w:tcPr>
            <w:tcW w:w="243" w:type="pct"/>
            <w:vMerge w:val="restart"/>
            <w:tcMar>
              <w:left w:w="0" w:type="dxa"/>
              <w:right w:w="0" w:type="dxa"/>
            </w:tcMar>
            <w:vAlign w:val="center"/>
          </w:tcPr>
          <w:p w14:paraId="21DB215D">
            <w:pPr>
              <w:pStyle w:val="34"/>
              <w:rPr>
                <w:sz w:val="18"/>
                <w:szCs w:val="18"/>
                <w:lang w:eastAsia="en-US"/>
              </w:rPr>
            </w:pPr>
            <w:r>
              <w:rPr>
                <w:sz w:val="18"/>
                <w:szCs w:val="18"/>
                <w:lang w:eastAsia="en-US"/>
              </w:rPr>
              <w:t>毒性</w:t>
            </w:r>
          </w:p>
        </w:tc>
        <w:tc>
          <w:tcPr>
            <w:tcW w:w="213" w:type="pct"/>
            <w:tcMar>
              <w:left w:w="0" w:type="dxa"/>
              <w:right w:w="0" w:type="dxa"/>
            </w:tcMar>
            <w:vAlign w:val="center"/>
          </w:tcPr>
          <w:p w14:paraId="6E9BB324">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66345B6B">
            <w:pPr>
              <w:pStyle w:val="34"/>
              <w:rPr>
                <w:sz w:val="18"/>
                <w:szCs w:val="18"/>
                <w:lang w:eastAsia="en-US"/>
              </w:rPr>
            </w:pPr>
            <w:r>
              <w:rPr>
                <w:sz w:val="18"/>
                <w:szCs w:val="18"/>
                <w:lang w:eastAsia="en-US"/>
              </w:rPr>
              <w:t>镉化合物</w:t>
            </w:r>
          </w:p>
        </w:tc>
        <w:tc>
          <w:tcPr>
            <w:tcW w:w="267" w:type="pct"/>
            <w:tcMar>
              <w:left w:w="0" w:type="dxa"/>
              <w:right w:w="0" w:type="dxa"/>
            </w:tcMar>
            <w:vAlign w:val="center"/>
          </w:tcPr>
          <w:p w14:paraId="01A41515">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0EC967C0">
            <w:pPr>
              <w:pStyle w:val="34"/>
              <w:rPr>
                <w:sz w:val="18"/>
                <w:szCs w:val="18"/>
                <w:lang w:eastAsia="en-US"/>
              </w:rPr>
            </w:pPr>
            <w:r>
              <w:rPr>
                <w:rFonts w:hint="eastAsia"/>
                <w:sz w:val="18"/>
                <w:szCs w:val="18"/>
                <w:lang w:eastAsia="en-US"/>
              </w:rPr>
              <w:t>/</w:t>
            </w:r>
          </w:p>
        </w:tc>
        <w:tc>
          <w:tcPr>
            <w:tcW w:w="230" w:type="pct"/>
            <w:tcMar>
              <w:left w:w="0" w:type="dxa"/>
              <w:right w:w="0" w:type="dxa"/>
            </w:tcMar>
            <w:vAlign w:val="center"/>
          </w:tcPr>
          <w:p w14:paraId="5F9DEF2A">
            <w:pPr>
              <w:pStyle w:val="34"/>
              <w:rPr>
                <w:sz w:val="18"/>
                <w:szCs w:val="18"/>
                <w:lang w:eastAsia="en-US"/>
              </w:rPr>
            </w:pPr>
            <w:r>
              <w:rPr>
                <w:rFonts w:hint="eastAsia"/>
                <w:sz w:val="18"/>
                <w:szCs w:val="18"/>
                <w:lang w:eastAsia="en-US"/>
              </w:rPr>
              <w:t>0.25</w:t>
            </w:r>
          </w:p>
        </w:tc>
        <w:tc>
          <w:tcPr>
            <w:tcW w:w="490" w:type="pct"/>
            <w:tcMar>
              <w:left w:w="0" w:type="dxa"/>
              <w:right w:w="0" w:type="dxa"/>
            </w:tcMar>
            <w:vAlign w:val="center"/>
          </w:tcPr>
          <w:p w14:paraId="48ED0F5D">
            <w:pPr>
              <w:pStyle w:val="34"/>
              <w:rPr>
                <w:sz w:val="18"/>
                <w:szCs w:val="18"/>
                <w:lang w:eastAsia="en-US"/>
              </w:rPr>
            </w:pPr>
            <w:r>
              <w:rPr>
                <w:rFonts w:hint="eastAsia"/>
                <w:sz w:val="18"/>
                <w:szCs w:val="18"/>
                <w:lang w:eastAsia="en-US"/>
              </w:rPr>
              <w:t>剧毒、运输量大</w:t>
            </w:r>
          </w:p>
        </w:tc>
        <w:tc>
          <w:tcPr>
            <w:tcW w:w="500" w:type="pct"/>
            <w:tcMar>
              <w:left w:w="0" w:type="dxa"/>
              <w:right w:w="0" w:type="dxa"/>
            </w:tcMar>
            <w:vAlign w:val="center"/>
          </w:tcPr>
          <w:p w14:paraId="4973308F">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631ACC9E">
            <w:pPr>
              <w:pStyle w:val="34"/>
              <w:rPr>
                <w:sz w:val="18"/>
                <w:szCs w:val="18"/>
              </w:rPr>
            </w:pPr>
            <w:r>
              <w:rPr>
                <w:rFonts w:hint="eastAsia"/>
                <w:sz w:val="18"/>
                <w:szCs w:val="18"/>
              </w:rPr>
              <w:t>《有毒有害大气污染物名录（2018年）》、《有毒有害水污染物名录（第一批）》</w:t>
            </w:r>
          </w:p>
        </w:tc>
      </w:tr>
      <w:tr w14:paraId="007966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1ABFA15">
            <w:pPr>
              <w:pStyle w:val="34"/>
              <w:numPr>
                <w:ilvl w:val="0"/>
                <w:numId w:val="53"/>
              </w:numPr>
              <w:rPr>
                <w:sz w:val="18"/>
                <w:szCs w:val="18"/>
              </w:rPr>
            </w:pPr>
          </w:p>
        </w:tc>
        <w:tc>
          <w:tcPr>
            <w:tcW w:w="145" w:type="pct"/>
            <w:vMerge w:val="continue"/>
            <w:tcMar>
              <w:left w:w="0" w:type="dxa"/>
              <w:right w:w="0" w:type="dxa"/>
            </w:tcMar>
            <w:vAlign w:val="center"/>
          </w:tcPr>
          <w:p w14:paraId="2DA5BAEA">
            <w:pPr>
              <w:pStyle w:val="34"/>
              <w:rPr>
                <w:sz w:val="18"/>
                <w:szCs w:val="18"/>
              </w:rPr>
            </w:pPr>
          </w:p>
        </w:tc>
        <w:tc>
          <w:tcPr>
            <w:tcW w:w="145" w:type="pct"/>
            <w:vMerge w:val="continue"/>
            <w:tcMar>
              <w:left w:w="0" w:type="dxa"/>
              <w:right w:w="0" w:type="dxa"/>
            </w:tcMar>
            <w:vAlign w:val="center"/>
          </w:tcPr>
          <w:p w14:paraId="4A008131">
            <w:pPr>
              <w:pStyle w:val="34"/>
              <w:rPr>
                <w:sz w:val="18"/>
                <w:szCs w:val="18"/>
              </w:rPr>
            </w:pPr>
          </w:p>
        </w:tc>
        <w:tc>
          <w:tcPr>
            <w:tcW w:w="311" w:type="pct"/>
            <w:vMerge w:val="continue"/>
            <w:tcMar>
              <w:left w:w="0" w:type="dxa"/>
              <w:right w:w="0" w:type="dxa"/>
            </w:tcMar>
            <w:vAlign w:val="center"/>
          </w:tcPr>
          <w:p w14:paraId="10691B02">
            <w:pPr>
              <w:pStyle w:val="34"/>
              <w:rPr>
                <w:sz w:val="18"/>
                <w:szCs w:val="18"/>
              </w:rPr>
            </w:pPr>
          </w:p>
        </w:tc>
        <w:tc>
          <w:tcPr>
            <w:tcW w:w="243" w:type="pct"/>
            <w:vMerge w:val="continue"/>
            <w:tcMar>
              <w:left w:w="0" w:type="dxa"/>
              <w:right w:w="0" w:type="dxa"/>
            </w:tcMar>
            <w:vAlign w:val="center"/>
          </w:tcPr>
          <w:p w14:paraId="2B3DC5EA">
            <w:pPr>
              <w:pStyle w:val="34"/>
              <w:rPr>
                <w:sz w:val="18"/>
                <w:szCs w:val="18"/>
              </w:rPr>
            </w:pPr>
          </w:p>
        </w:tc>
        <w:tc>
          <w:tcPr>
            <w:tcW w:w="213" w:type="pct"/>
            <w:tcMar>
              <w:left w:w="0" w:type="dxa"/>
              <w:right w:w="0" w:type="dxa"/>
            </w:tcMar>
            <w:vAlign w:val="center"/>
          </w:tcPr>
          <w:p w14:paraId="7BDE5F98">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1D065643">
            <w:pPr>
              <w:pStyle w:val="34"/>
              <w:rPr>
                <w:sz w:val="18"/>
                <w:szCs w:val="18"/>
                <w:lang w:eastAsia="en-US"/>
              </w:rPr>
            </w:pPr>
            <w:r>
              <w:rPr>
                <w:sz w:val="18"/>
                <w:szCs w:val="18"/>
                <w:lang w:eastAsia="en-US"/>
              </w:rPr>
              <w:t>砷</w:t>
            </w:r>
          </w:p>
        </w:tc>
        <w:tc>
          <w:tcPr>
            <w:tcW w:w="267" w:type="pct"/>
            <w:tcMar>
              <w:left w:w="0" w:type="dxa"/>
              <w:right w:w="0" w:type="dxa"/>
            </w:tcMar>
            <w:vAlign w:val="center"/>
          </w:tcPr>
          <w:p w14:paraId="17280E8D">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76C2F243">
            <w:pPr>
              <w:pStyle w:val="34"/>
              <w:rPr>
                <w:sz w:val="18"/>
                <w:szCs w:val="18"/>
                <w:lang w:eastAsia="en-US"/>
              </w:rPr>
            </w:pPr>
            <w:r>
              <w:rPr>
                <w:sz w:val="18"/>
                <w:szCs w:val="18"/>
                <w:lang w:eastAsia="en-US"/>
              </w:rPr>
              <w:t>7440-38-2</w:t>
            </w:r>
          </w:p>
        </w:tc>
        <w:tc>
          <w:tcPr>
            <w:tcW w:w="230" w:type="pct"/>
            <w:tcMar>
              <w:left w:w="0" w:type="dxa"/>
              <w:right w:w="0" w:type="dxa"/>
            </w:tcMar>
            <w:vAlign w:val="center"/>
          </w:tcPr>
          <w:p w14:paraId="2FD4F9A3">
            <w:pPr>
              <w:pStyle w:val="34"/>
              <w:rPr>
                <w:sz w:val="18"/>
                <w:szCs w:val="18"/>
                <w:lang w:eastAsia="en-US"/>
              </w:rPr>
            </w:pPr>
            <w:r>
              <w:rPr>
                <w:rFonts w:hint="eastAsia"/>
                <w:sz w:val="18"/>
                <w:szCs w:val="18"/>
                <w:lang w:eastAsia="en-US"/>
              </w:rPr>
              <w:t>0.25</w:t>
            </w:r>
          </w:p>
        </w:tc>
        <w:tc>
          <w:tcPr>
            <w:tcW w:w="490" w:type="pct"/>
            <w:tcMar>
              <w:left w:w="0" w:type="dxa"/>
              <w:right w:w="0" w:type="dxa"/>
            </w:tcMar>
            <w:vAlign w:val="center"/>
          </w:tcPr>
          <w:p w14:paraId="1879C174">
            <w:pPr>
              <w:pStyle w:val="34"/>
              <w:rPr>
                <w:sz w:val="18"/>
                <w:szCs w:val="18"/>
                <w:lang w:eastAsia="en-US"/>
              </w:rPr>
            </w:pPr>
            <w:r>
              <w:rPr>
                <w:rFonts w:hint="eastAsia"/>
                <w:sz w:val="18"/>
                <w:szCs w:val="18"/>
                <w:lang w:eastAsia="en-US"/>
              </w:rPr>
              <w:t>毒性、运输量大</w:t>
            </w:r>
          </w:p>
        </w:tc>
        <w:tc>
          <w:tcPr>
            <w:tcW w:w="500" w:type="pct"/>
            <w:tcMar>
              <w:left w:w="0" w:type="dxa"/>
              <w:right w:w="0" w:type="dxa"/>
            </w:tcMar>
            <w:vAlign w:val="center"/>
          </w:tcPr>
          <w:p w14:paraId="11FF2D73">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057F51FF">
            <w:pPr>
              <w:pStyle w:val="34"/>
              <w:rPr>
                <w:sz w:val="18"/>
                <w:szCs w:val="18"/>
              </w:rPr>
            </w:pPr>
            <w:r>
              <w:rPr>
                <w:rFonts w:hint="eastAsia"/>
                <w:sz w:val="18"/>
                <w:szCs w:val="18"/>
              </w:rPr>
              <w:t>《有毒有害大气污染物名录（2018年）》、《有毒有害水污染物名录（第一批）》、</w:t>
            </w:r>
            <w:r>
              <w:rPr>
                <w:sz w:val="18"/>
                <w:szCs w:val="18"/>
              </w:rPr>
              <w:t>《渔业水质标准》（GB 11607-89）、《海水水质标准》（</w:t>
            </w:r>
            <w:r>
              <w:rPr>
                <w:rFonts w:hint="eastAsia"/>
                <w:sz w:val="18"/>
                <w:szCs w:val="18"/>
              </w:rPr>
              <w:t>GB 3097-1997</w:t>
            </w:r>
            <w:r>
              <w:rPr>
                <w:sz w:val="18"/>
                <w:szCs w:val="18"/>
              </w:rPr>
              <w:t>）</w:t>
            </w:r>
          </w:p>
        </w:tc>
      </w:tr>
      <w:tr w14:paraId="188AB6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C5D0AB2">
            <w:pPr>
              <w:pStyle w:val="34"/>
              <w:numPr>
                <w:ilvl w:val="0"/>
                <w:numId w:val="53"/>
              </w:numPr>
              <w:rPr>
                <w:sz w:val="18"/>
                <w:szCs w:val="18"/>
              </w:rPr>
            </w:pPr>
          </w:p>
        </w:tc>
        <w:tc>
          <w:tcPr>
            <w:tcW w:w="145" w:type="pct"/>
            <w:vMerge w:val="continue"/>
            <w:tcMar>
              <w:left w:w="0" w:type="dxa"/>
              <w:right w:w="0" w:type="dxa"/>
            </w:tcMar>
            <w:vAlign w:val="center"/>
          </w:tcPr>
          <w:p w14:paraId="2870273B">
            <w:pPr>
              <w:pStyle w:val="34"/>
              <w:rPr>
                <w:sz w:val="18"/>
                <w:szCs w:val="18"/>
              </w:rPr>
            </w:pPr>
          </w:p>
        </w:tc>
        <w:tc>
          <w:tcPr>
            <w:tcW w:w="145" w:type="pct"/>
            <w:vMerge w:val="continue"/>
            <w:tcMar>
              <w:left w:w="0" w:type="dxa"/>
              <w:right w:w="0" w:type="dxa"/>
            </w:tcMar>
            <w:vAlign w:val="center"/>
          </w:tcPr>
          <w:p w14:paraId="719DDC32">
            <w:pPr>
              <w:pStyle w:val="34"/>
              <w:rPr>
                <w:sz w:val="18"/>
                <w:szCs w:val="18"/>
              </w:rPr>
            </w:pPr>
          </w:p>
        </w:tc>
        <w:tc>
          <w:tcPr>
            <w:tcW w:w="311" w:type="pct"/>
            <w:vMerge w:val="continue"/>
            <w:tcMar>
              <w:left w:w="0" w:type="dxa"/>
              <w:right w:w="0" w:type="dxa"/>
            </w:tcMar>
            <w:vAlign w:val="center"/>
          </w:tcPr>
          <w:p w14:paraId="50155B3B">
            <w:pPr>
              <w:pStyle w:val="34"/>
              <w:rPr>
                <w:sz w:val="18"/>
                <w:szCs w:val="18"/>
              </w:rPr>
            </w:pPr>
          </w:p>
        </w:tc>
        <w:tc>
          <w:tcPr>
            <w:tcW w:w="243" w:type="pct"/>
            <w:vMerge w:val="continue"/>
            <w:tcMar>
              <w:left w:w="0" w:type="dxa"/>
              <w:right w:w="0" w:type="dxa"/>
            </w:tcMar>
            <w:vAlign w:val="center"/>
          </w:tcPr>
          <w:p w14:paraId="5E59C404">
            <w:pPr>
              <w:pStyle w:val="34"/>
              <w:rPr>
                <w:sz w:val="18"/>
                <w:szCs w:val="18"/>
              </w:rPr>
            </w:pPr>
          </w:p>
        </w:tc>
        <w:tc>
          <w:tcPr>
            <w:tcW w:w="213" w:type="pct"/>
            <w:tcMar>
              <w:left w:w="0" w:type="dxa"/>
              <w:right w:w="0" w:type="dxa"/>
            </w:tcMar>
            <w:vAlign w:val="center"/>
          </w:tcPr>
          <w:p w14:paraId="34C1C8A3">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93AE05F">
            <w:pPr>
              <w:pStyle w:val="34"/>
              <w:rPr>
                <w:sz w:val="18"/>
                <w:szCs w:val="18"/>
                <w:lang w:eastAsia="en-US"/>
              </w:rPr>
            </w:pPr>
            <w:r>
              <w:rPr>
                <w:sz w:val="18"/>
                <w:szCs w:val="18"/>
                <w:lang w:eastAsia="en-US"/>
              </w:rPr>
              <w:t>碳酸钡</w:t>
            </w:r>
          </w:p>
        </w:tc>
        <w:tc>
          <w:tcPr>
            <w:tcW w:w="267" w:type="pct"/>
            <w:tcMar>
              <w:left w:w="0" w:type="dxa"/>
              <w:right w:w="0" w:type="dxa"/>
            </w:tcMar>
            <w:vAlign w:val="center"/>
          </w:tcPr>
          <w:p w14:paraId="32BE571B">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4B20824C">
            <w:pPr>
              <w:pStyle w:val="34"/>
              <w:rPr>
                <w:sz w:val="18"/>
                <w:szCs w:val="18"/>
                <w:lang w:eastAsia="en-US"/>
              </w:rPr>
            </w:pPr>
            <w:r>
              <w:rPr>
                <w:rFonts w:hint="eastAsia"/>
                <w:sz w:val="18"/>
                <w:szCs w:val="18"/>
                <w:lang w:eastAsia="en-US"/>
              </w:rPr>
              <w:t>513-77-9</w:t>
            </w:r>
          </w:p>
        </w:tc>
        <w:tc>
          <w:tcPr>
            <w:tcW w:w="230" w:type="pct"/>
            <w:tcMar>
              <w:left w:w="0" w:type="dxa"/>
              <w:right w:w="0" w:type="dxa"/>
            </w:tcMar>
            <w:vAlign w:val="center"/>
          </w:tcPr>
          <w:p w14:paraId="39336F22">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053B36CF">
            <w:pPr>
              <w:pStyle w:val="34"/>
              <w:rPr>
                <w:sz w:val="18"/>
                <w:szCs w:val="18"/>
              </w:rPr>
            </w:pPr>
            <w:r>
              <w:rPr>
                <w:rFonts w:hint="eastAsia"/>
                <w:sz w:val="18"/>
                <w:szCs w:val="18"/>
              </w:rPr>
              <w:t>毒性、运输量大、水溶液呈碱性</w:t>
            </w:r>
          </w:p>
        </w:tc>
        <w:tc>
          <w:tcPr>
            <w:tcW w:w="500" w:type="pct"/>
            <w:tcMar>
              <w:left w:w="0" w:type="dxa"/>
              <w:right w:w="0" w:type="dxa"/>
            </w:tcMar>
            <w:vAlign w:val="center"/>
          </w:tcPr>
          <w:p w14:paraId="4BB2534E">
            <w:pPr>
              <w:pStyle w:val="34"/>
              <w:rPr>
                <w:sz w:val="18"/>
                <w:szCs w:val="18"/>
              </w:rPr>
            </w:pPr>
            <w:r>
              <w:rPr>
                <w:rFonts w:hint="eastAsia"/>
                <w:sz w:val="18"/>
                <w:szCs w:val="18"/>
              </w:rPr>
              <w:t>健康危险急性毒性物质（类别2，类别3）</w:t>
            </w:r>
          </w:p>
        </w:tc>
        <w:tc>
          <w:tcPr>
            <w:tcW w:w="1373" w:type="pct"/>
            <w:tcMar>
              <w:left w:w="0" w:type="dxa"/>
              <w:right w:w="0" w:type="dxa"/>
            </w:tcMar>
            <w:vAlign w:val="center"/>
          </w:tcPr>
          <w:p w14:paraId="1332A258">
            <w:pPr>
              <w:pStyle w:val="34"/>
              <w:rPr>
                <w:sz w:val="18"/>
                <w:szCs w:val="18"/>
                <w:lang w:eastAsia="en-US"/>
              </w:rPr>
            </w:pPr>
            <w:r>
              <w:rPr>
                <w:rFonts w:hint="eastAsia"/>
                <w:sz w:val="18"/>
                <w:szCs w:val="18"/>
                <w:lang w:eastAsia="en-US"/>
              </w:rPr>
              <w:t>-</w:t>
            </w:r>
          </w:p>
        </w:tc>
      </w:tr>
    </w:tbl>
    <w:p w14:paraId="6241E4BB">
      <w:pPr>
        <w:ind w:firstLine="437"/>
        <w:sectPr>
          <w:pgSz w:w="16840" w:h="11907" w:orient="landscape"/>
          <w:pgMar w:top="1797" w:right="1440" w:bottom="1514" w:left="1440" w:header="992" w:footer="851" w:gutter="284"/>
          <w:pgNumType w:fmt="numberInDash"/>
          <w:cols w:space="425" w:num="1"/>
          <w:docGrid w:type="linesAndChars" w:linePitch="465" w:charSpace="-4355"/>
        </w:sectPr>
      </w:pPr>
    </w:p>
    <w:p w14:paraId="67A6D154">
      <w:pPr>
        <w:pStyle w:val="7"/>
      </w:pPr>
      <w:r>
        <w:rPr>
          <w:rFonts w:hint="eastAsia"/>
        </w:rPr>
        <w:t>重点关注的代表性危险物质理化性质一览表</w:t>
      </w:r>
    </w:p>
    <w:tbl>
      <w:tblPr>
        <w:tblStyle w:val="88"/>
        <w:tblW w:w="1417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34"/>
        <w:gridCol w:w="1868"/>
        <w:gridCol w:w="1684"/>
        <w:gridCol w:w="1318"/>
        <w:gridCol w:w="607"/>
        <w:gridCol w:w="859"/>
        <w:gridCol w:w="1562"/>
        <w:gridCol w:w="1060"/>
        <w:gridCol w:w="998"/>
        <w:gridCol w:w="958"/>
        <w:gridCol w:w="1006"/>
        <w:gridCol w:w="1721"/>
      </w:tblGrid>
      <w:tr w14:paraId="21F110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tblHeader/>
          <w:jc w:val="center"/>
        </w:trPr>
        <w:tc>
          <w:tcPr>
            <w:tcW w:w="534" w:type="dxa"/>
            <w:vAlign w:val="center"/>
          </w:tcPr>
          <w:p w14:paraId="05B97C61">
            <w:pPr>
              <w:pStyle w:val="34"/>
            </w:pPr>
            <w:r>
              <w:t>序号</w:t>
            </w:r>
          </w:p>
        </w:tc>
        <w:tc>
          <w:tcPr>
            <w:tcW w:w="1868" w:type="dxa"/>
            <w:vAlign w:val="center"/>
          </w:tcPr>
          <w:p w14:paraId="37E54831">
            <w:pPr>
              <w:pStyle w:val="34"/>
            </w:pPr>
            <w:bookmarkStart w:id="542" w:name="_Hlk89697699"/>
            <w:r>
              <w:t>名称</w:t>
            </w:r>
          </w:p>
        </w:tc>
        <w:tc>
          <w:tcPr>
            <w:tcW w:w="1684" w:type="dxa"/>
            <w:vAlign w:val="center"/>
          </w:tcPr>
          <w:p w14:paraId="720F470E">
            <w:pPr>
              <w:pStyle w:val="34"/>
              <w:rPr>
                <w:lang w:eastAsia="en-US"/>
              </w:rPr>
            </w:pPr>
            <w:r>
              <w:rPr>
                <w:lang w:eastAsia="en-US"/>
              </w:rPr>
              <w:t>外观与性状</w:t>
            </w:r>
          </w:p>
        </w:tc>
        <w:tc>
          <w:tcPr>
            <w:tcW w:w="1318" w:type="dxa"/>
            <w:vAlign w:val="center"/>
          </w:tcPr>
          <w:p w14:paraId="4F25DA52">
            <w:pPr>
              <w:pStyle w:val="34"/>
              <w:rPr>
                <w:lang w:eastAsia="en-US"/>
              </w:rPr>
            </w:pPr>
            <w:r>
              <w:rPr>
                <w:lang w:eastAsia="en-US"/>
              </w:rPr>
              <w:t>水溶性</w:t>
            </w:r>
          </w:p>
        </w:tc>
        <w:tc>
          <w:tcPr>
            <w:tcW w:w="607" w:type="dxa"/>
            <w:vAlign w:val="center"/>
          </w:tcPr>
          <w:p w14:paraId="7A356DE7">
            <w:pPr>
              <w:pStyle w:val="34"/>
              <w:rPr>
                <w:lang w:eastAsia="en-US"/>
              </w:rPr>
            </w:pPr>
            <w:r>
              <w:rPr>
                <w:lang w:eastAsia="en-US"/>
              </w:rPr>
              <w:t>挥发性</w:t>
            </w:r>
          </w:p>
        </w:tc>
        <w:tc>
          <w:tcPr>
            <w:tcW w:w="859" w:type="dxa"/>
            <w:vAlign w:val="center"/>
          </w:tcPr>
          <w:p w14:paraId="6EC62942">
            <w:pPr>
              <w:pStyle w:val="34"/>
              <w:rPr>
                <w:lang w:eastAsia="en-US"/>
              </w:rPr>
            </w:pPr>
            <w:r>
              <w:rPr>
                <w:lang w:eastAsia="en-US"/>
              </w:rPr>
              <w:t>燃烧性</w:t>
            </w:r>
          </w:p>
        </w:tc>
        <w:tc>
          <w:tcPr>
            <w:tcW w:w="1562" w:type="dxa"/>
            <w:vAlign w:val="center"/>
          </w:tcPr>
          <w:p w14:paraId="4329AA02">
            <w:pPr>
              <w:pStyle w:val="34"/>
              <w:rPr>
                <w:lang w:eastAsia="en-US"/>
              </w:rPr>
            </w:pPr>
            <w:r>
              <w:rPr>
                <w:lang w:eastAsia="en-US"/>
              </w:rPr>
              <w:t>爆炸上下限</w:t>
            </w:r>
            <w:r>
              <w:t>（V%）</w:t>
            </w:r>
          </w:p>
        </w:tc>
        <w:tc>
          <w:tcPr>
            <w:tcW w:w="1060" w:type="dxa"/>
            <w:vAlign w:val="center"/>
          </w:tcPr>
          <w:p w14:paraId="306BF142">
            <w:pPr>
              <w:pStyle w:val="34"/>
              <w:rPr>
                <w:lang w:eastAsia="en-US"/>
              </w:rPr>
            </w:pPr>
            <w:r>
              <w:rPr>
                <w:lang w:eastAsia="en-US"/>
              </w:rPr>
              <w:t>熔点（℃）</w:t>
            </w:r>
          </w:p>
        </w:tc>
        <w:tc>
          <w:tcPr>
            <w:tcW w:w="998" w:type="dxa"/>
            <w:vAlign w:val="center"/>
          </w:tcPr>
          <w:p w14:paraId="38134559">
            <w:pPr>
              <w:pStyle w:val="34"/>
              <w:rPr>
                <w:lang w:eastAsia="en-US"/>
              </w:rPr>
            </w:pPr>
            <w:r>
              <w:rPr>
                <w:lang w:eastAsia="en-US"/>
              </w:rPr>
              <w:t>沸点（℃）</w:t>
            </w:r>
          </w:p>
        </w:tc>
        <w:tc>
          <w:tcPr>
            <w:tcW w:w="958" w:type="dxa"/>
            <w:vAlign w:val="center"/>
          </w:tcPr>
          <w:p w14:paraId="56582F0A">
            <w:pPr>
              <w:pStyle w:val="34"/>
              <w:rPr>
                <w:lang w:eastAsia="en-US"/>
              </w:rPr>
            </w:pPr>
            <w:r>
              <w:rPr>
                <w:lang w:eastAsia="en-US"/>
              </w:rPr>
              <w:t>闪点（℃）</w:t>
            </w:r>
          </w:p>
        </w:tc>
        <w:tc>
          <w:tcPr>
            <w:tcW w:w="1006" w:type="dxa"/>
            <w:vAlign w:val="center"/>
          </w:tcPr>
          <w:p w14:paraId="101165F5">
            <w:pPr>
              <w:pStyle w:val="34"/>
              <w:rPr>
                <w:lang w:eastAsia="en-US"/>
              </w:rPr>
            </w:pPr>
            <w:r>
              <w:t>自燃温度（℃）</w:t>
            </w:r>
          </w:p>
        </w:tc>
        <w:tc>
          <w:tcPr>
            <w:tcW w:w="1721" w:type="dxa"/>
            <w:vAlign w:val="center"/>
          </w:tcPr>
          <w:p w14:paraId="06811AE2">
            <w:pPr>
              <w:pStyle w:val="34"/>
              <w:rPr>
                <w:lang w:eastAsia="en-US"/>
              </w:rPr>
            </w:pPr>
            <w:r>
              <w:t>相对</w:t>
            </w:r>
            <w:r>
              <w:rPr>
                <w:lang w:eastAsia="en-US"/>
              </w:rPr>
              <w:t>密度（g/cm</w:t>
            </w:r>
            <w:r>
              <w:rPr>
                <w:vertAlign w:val="superscript"/>
                <w:lang w:eastAsia="en-US"/>
              </w:rPr>
              <w:t>3</w:t>
            </w:r>
            <w:r>
              <w:rPr>
                <w:lang w:eastAsia="en-US"/>
              </w:rPr>
              <w:t>）</w:t>
            </w:r>
          </w:p>
        </w:tc>
      </w:tr>
      <w:tr w14:paraId="73FF55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5" w:type="dxa"/>
            <w:gridSpan w:val="12"/>
            <w:vAlign w:val="center"/>
          </w:tcPr>
          <w:p w14:paraId="1A0CB16D">
            <w:pPr>
              <w:pStyle w:val="34"/>
              <w:rPr>
                <w:lang w:eastAsia="en-US"/>
              </w:rPr>
            </w:pPr>
            <w:r>
              <w:t>第</w:t>
            </w:r>
            <w:r>
              <w:rPr>
                <w:lang w:eastAsia="en-US"/>
              </w:rPr>
              <w:t>2类 气体</w:t>
            </w:r>
          </w:p>
        </w:tc>
      </w:tr>
      <w:tr w14:paraId="63D454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999D9B3">
            <w:pPr>
              <w:pStyle w:val="34"/>
              <w:numPr>
                <w:ilvl w:val="0"/>
                <w:numId w:val="54"/>
              </w:numPr>
              <w:rPr>
                <w:lang w:eastAsia="en-US"/>
              </w:rPr>
            </w:pPr>
          </w:p>
        </w:tc>
        <w:tc>
          <w:tcPr>
            <w:tcW w:w="1868" w:type="dxa"/>
            <w:vAlign w:val="center"/>
          </w:tcPr>
          <w:p w14:paraId="4E419B7E">
            <w:pPr>
              <w:pStyle w:val="34"/>
              <w:rPr>
                <w:lang w:eastAsia="en-US"/>
              </w:rPr>
            </w:pPr>
            <w:r>
              <w:rPr>
                <w:lang w:eastAsia="en-US"/>
              </w:rPr>
              <w:t>无水三甲胺</w:t>
            </w:r>
          </w:p>
        </w:tc>
        <w:tc>
          <w:tcPr>
            <w:tcW w:w="1684" w:type="dxa"/>
            <w:vAlign w:val="center"/>
          </w:tcPr>
          <w:p w14:paraId="45F70717">
            <w:pPr>
              <w:pStyle w:val="34"/>
            </w:pPr>
            <w:r>
              <w:rPr>
                <w:rFonts w:hint="eastAsia"/>
              </w:rPr>
              <w:t>无色气体</w:t>
            </w:r>
          </w:p>
        </w:tc>
        <w:tc>
          <w:tcPr>
            <w:tcW w:w="1318" w:type="dxa"/>
            <w:vAlign w:val="center"/>
          </w:tcPr>
          <w:p w14:paraId="30D7E0C9">
            <w:pPr>
              <w:pStyle w:val="34"/>
              <w:rPr>
                <w:lang w:eastAsia="en-US"/>
              </w:rPr>
            </w:pPr>
            <w:r>
              <w:rPr>
                <w:lang w:eastAsia="en-US"/>
              </w:rPr>
              <w:t>极易溶于水</w:t>
            </w:r>
          </w:p>
        </w:tc>
        <w:tc>
          <w:tcPr>
            <w:tcW w:w="607" w:type="dxa"/>
            <w:vAlign w:val="center"/>
          </w:tcPr>
          <w:p w14:paraId="64D75A48">
            <w:pPr>
              <w:pStyle w:val="34"/>
            </w:pPr>
            <w:r>
              <w:rPr>
                <w:rFonts w:hint="eastAsia"/>
              </w:rPr>
              <w:t>/</w:t>
            </w:r>
          </w:p>
        </w:tc>
        <w:tc>
          <w:tcPr>
            <w:tcW w:w="859" w:type="dxa"/>
            <w:vAlign w:val="center"/>
          </w:tcPr>
          <w:p w14:paraId="34AF5F23">
            <w:pPr>
              <w:pStyle w:val="34"/>
              <w:rPr>
                <w:lang w:eastAsia="en-US"/>
              </w:rPr>
            </w:pPr>
            <w:r>
              <w:rPr>
                <w:lang w:eastAsia="en-US"/>
              </w:rPr>
              <w:t>极易燃</w:t>
            </w:r>
          </w:p>
        </w:tc>
        <w:tc>
          <w:tcPr>
            <w:tcW w:w="1562" w:type="dxa"/>
            <w:vAlign w:val="center"/>
          </w:tcPr>
          <w:p w14:paraId="46E19988">
            <w:pPr>
              <w:pStyle w:val="34"/>
            </w:pPr>
            <w:r>
              <w:rPr>
                <w:rFonts w:hint="eastAsia"/>
              </w:rPr>
              <w:t>2~11.6</w:t>
            </w:r>
          </w:p>
        </w:tc>
        <w:tc>
          <w:tcPr>
            <w:tcW w:w="1060" w:type="dxa"/>
            <w:vAlign w:val="center"/>
          </w:tcPr>
          <w:p w14:paraId="57CBCBC0">
            <w:pPr>
              <w:pStyle w:val="34"/>
            </w:pPr>
            <w:r>
              <w:rPr>
                <w:rFonts w:hint="eastAsia"/>
              </w:rPr>
              <w:t>-117</w:t>
            </w:r>
          </w:p>
        </w:tc>
        <w:tc>
          <w:tcPr>
            <w:tcW w:w="998" w:type="dxa"/>
            <w:vAlign w:val="center"/>
          </w:tcPr>
          <w:p w14:paraId="40545A52">
            <w:pPr>
              <w:pStyle w:val="34"/>
            </w:pPr>
            <w:r>
              <w:rPr>
                <w:rFonts w:hint="eastAsia"/>
              </w:rPr>
              <w:t>4</w:t>
            </w:r>
          </w:p>
        </w:tc>
        <w:tc>
          <w:tcPr>
            <w:tcW w:w="958" w:type="dxa"/>
            <w:vAlign w:val="center"/>
          </w:tcPr>
          <w:p w14:paraId="7F19BFE5">
            <w:pPr>
              <w:pStyle w:val="34"/>
            </w:pPr>
            <w:r>
              <w:rPr>
                <w:rFonts w:hint="eastAsia"/>
              </w:rPr>
              <w:t>3.33</w:t>
            </w:r>
          </w:p>
        </w:tc>
        <w:tc>
          <w:tcPr>
            <w:tcW w:w="1006" w:type="dxa"/>
            <w:vAlign w:val="center"/>
          </w:tcPr>
          <w:p w14:paraId="19E3B8AB">
            <w:pPr>
              <w:pStyle w:val="34"/>
            </w:pPr>
            <w:r>
              <w:rPr>
                <w:rFonts w:hint="eastAsia"/>
              </w:rPr>
              <w:t>190</w:t>
            </w:r>
          </w:p>
        </w:tc>
        <w:tc>
          <w:tcPr>
            <w:tcW w:w="1721" w:type="dxa"/>
            <w:vAlign w:val="center"/>
          </w:tcPr>
          <w:p w14:paraId="503030FE">
            <w:pPr>
              <w:pStyle w:val="34"/>
            </w:pPr>
            <w:r>
              <w:rPr>
                <w:rFonts w:hint="eastAsia"/>
              </w:rPr>
              <w:t>0.63</w:t>
            </w:r>
          </w:p>
        </w:tc>
      </w:tr>
      <w:tr w14:paraId="5EFFA3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3CB8521">
            <w:pPr>
              <w:pStyle w:val="34"/>
              <w:numPr>
                <w:ilvl w:val="0"/>
                <w:numId w:val="54"/>
              </w:numPr>
              <w:rPr>
                <w:lang w:eastAsia="en-US"/>
              </w:rPr>
            </w:pPr>
          </w:p>
        </w:tc>
        <w:tc>
          <w:tcPr>
            <w:tcW w:w="1868" w:type="dxa"/>
            <w:vAlign w:val="center"/>
          </w:tcPr>
          <w:p w14:paraId="11BF2C31">
            <w:pPr>
              <w:pStyle w:val="34"/>
              <w:rPr>
                <w:lang w:eastAsia="en-US"/>
              </w:rPr>
            </w:pPr>
            <w:r>
              <w:rPr>
                <w:rFonts w:hint="eastAsia"/>
                <w:lang w:eastAsia="en-US"/>
              </w:rPr>
              <w:t>1,3-丁二烯</w:t>
            </w:r>
          </w:p>
        </w:tc>
        <w:tc>
          <w:tcPr>
            <w:tcW w:w="1684" w:type="dxa"/>
            <w:vAlign w:val="center"/>
          </w:tcPr>
          <w:p w14:paraId="6E0F082C">
            <w:pPr>
              <w:pStyle w:val="34"/>
              <w:rPr>
                <w:lang w:eastAsia="en-US"/>
              </w:rPr>
            </w:pPr>
            <w:r>
              <w:rPr>
                <w:lang w:eastAsia="en-US"/>
              </w:rPr>
              <w:t>无色气体</w:t>
            </w:r>
          </w:p>
        </w:tc>
        <w:tc>
          <w:tcPr>
            <w:tcW w:w="1318" w:type="dxa"/>
            <w:vAlign w:val="center"/>
          </w:tcPr>
          <w:p w14:paraId="51B97EEA">
            <w:pPr>
              <w:pStyle w:val="34"/>
            </w:pPr>
            <w:r>
              <w:rPr>
                <w:rFonts w:hint="eastAsia"/>
              </w:rPr>
              <w:t>不溶</w:t>
            </w:r>
          </w:p>
        </w:tc>
        <w:tc>
          <w:tcPr>
            <w:tcW w:w="607" w:type="dxa"/>
            <w:vAlign w:val="center"/>
          </w:tcPr>
          <w:p w14:paraId="5446A575">
            <w:pPr>
              <w:pStyle w:val="34"/>
            </w:pPr>
            <w:r>
              <w:rPr>
                <w:rFonts w:hint="eastAsia"/>
              </w:rPr>
              <w:t>/</w:t>
            </w:r>
          </w:p>
        </w:tc>
        <w:tc>
          <w:tcPr>
            <w:tcW w:w="859" w:type="dxa"/>
            <w:vAlign w:val="center"/>
          </w:tcPr>
          <w:p w14:paraId="35465A2A">
            <w:pPr>
              <w:pStyle w:val="34"/>
              <w:rPr>
                <w:lang w:eastAsia="en-US"/>
              </w:rPr>
            </w:pPr>
            <w:r>
              <w:rPr>
                <w:lang w:eastAsia="en-US"/>
              </w:rPr>
              <w:t>易燃</w:t>
            </w:r>
          </w:p>
        </w:tc>
        <w:tc>
          <w:tcPr>
            <w:tcW w:w="1562" w:type="dxa"/>
            <w:vAlign w:val="center"/>
          </w:tcPr>
          <w:p w14:paraId="66FDBCDF">
            <w:pPr>
              <w:pStyle w:val="34"/>
            </w:pPr>
            <w:r>
              <w:rPr>
                <w:rFonts w:hint="eastAsia"/>
              </w:rPr>
              <w:t>1.1~16.3</w:t>
            </w:r>
          </w:p>
        </w:tc>
        <w:tc>
          <w:tcPr>
            <w:tcW w:w="1060" w:type="dxa"/>
            <w:vAlign w:val="center"/>
          </w:tcPr>
          <w:p w14:paraId="2F439905">
            <w:pPr>
              <w:pStyle w:val="34"/>
            </w:pPr>
            <w:r>
              <w:rPr>
                <w:rFonts w:hint="eastAsia"/>
              </w:rPr>
              <w:t>-108.9</w:t>
            </w:r>
          </w:p>
        </w:tc>
        <w:tc>
          <w:tcPr>
            <w:tcW w:w="998" w:type="dxa"/>
            <w:vAlign w:val="center"/>
          </w:tcPr>
          <w:p w14:paraId="4F521EC5">
            <w:pPr>
              <w:pStyle w:val="34"/>
            </w:pPr>
            <w:r>
              <w:rPr>
                <w:rFonts w:hint="eastAsia"/>
              </w:rPr>
              <w:t>-4.4</w:t>
            </w:r>
          </w:p>
        </w:tc>
        <w:tc>
          <w:tcPr>
            <w:tcW w:w="958" w:type="dxa"/>
            <w:vAlign w:val="center"/>
          </w:tcPr>
          <w:p w14:paraId="1C73501F">
            <w:pPr>
              <w:pStyle w:val="34"/>
            </w:pPr>
            <w:r>
              <w:rPr>
                <w:rFonts w:hint="eastAsia"/>
              </w:rPr>
              <w:t>-76</w:t>
            </w:r>
          </w:p>
        </w:tc>
        <w:tc>
          <w:tcPr>
            <w:tcW w:w="1006" w:type="dxa"/>
            <w:vAlign w:val="center"/>
          </w:tcPr>
          <w:p w14:paraId="0ED585F6">
            <w:pPr>
              <w:pStyle w:val="34"/>
            </w:pPr>
            <w:r>
              <w:rPr>
                <w:rFonts w:hint="eastAsia"/>
              </w:rPr>
              <w:t>415</w:t>
            </w:r>
          </w:p>
        </w:tc>
        <w:tc>
          <w:tcPr>
            <w:tcW w:w="1721" w:type="dxa"/>
            <w:vAlign w:val="center"/>
          </w:tcPr>
          <w:p w14:paraId="3080F9E5">
            <w:pPr>
              <w:pStyle w:val="34"/>
            </w:pPr>
            <w:r>
              <w:rPr>
                <w:rFonts w:hint="eastAsia"/>
              </w:rPr>
              <w:t>0.62</w:t>
            </w:r>
          </w:p>
        </w:tc>
      </w:tr>
      <w:tr w14:paraId="303B89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0351E60">
            <w:pPr>
              <w:pStyle w:val="34"/>
              <w:numPr>
                <w:ilvl w:val="0"/>
                <w:numId w:val="54"/>
              </w:numPr>
              <w:rPr>
                <w:lang w:eastAsia="en-US"/>
              </w:rPr>
            </w:pPr>
          </w:p>
        </w:tc>
        <w:tc>
          <w:tcPr>
            <w:tcW w:w="1868" w:type="dxa"/>
            <w:vAlign w:val="center"/>
          </w:tcPr>
          <w:p w14:paraId="60DAF5E8">
            <w:pPr>
              <w:pStyle w:val="34"/>
              <w:rPr>
                <w:lang w:eastAsia="en-US"/>
              </w:rPr>
            </w:pPr>
            <w:r>
              <w:rPr>
                <w:rFonts w:hint="eastAsia"/>
                <w:lang w:eastAsia="en-US"/>
              </w:rPr>
              <w:t>丙烷</w:t>
            </w:r>
          </w:p>
        </w:tc>
        <w:tc>
          <w:tcPr>
            <w:tcW w:w="1684" w:type="dxa"/>
            <w:vAlign w:val="center"/>
          </w:tcPr>
          <w:p w14:paraId="4B18A57D">
            <w:pPr>
              <w:pStyle w:val="34"/>
              <w:rPr>
                <w:w w:val="105"/>
              </w:rPr>
            </w:pPr>
            <w:r>
              <w:rPr>
                <w:rFonts w:hint="eastAsia"/>
                <w:w w:val="105"/>
              </w:rPr>
              <w:t>无色气体，纯品无臭。</w:t>
            </w:r>
          </w:p>
        </w:tc>
        <w:tc>
          <w:tcPr>
            <w:tcW w:w="1318" w:type="dxa"/>
            <w:vAlign w:val="center"/>
          </w:tcPr>
          <w:p w14:paraId="0B918EF2">
            <w:pPr>
              <w:pStyle w:val="34"/>
              <w:rPr>
                <w:w w:val="105"/>
              </w:rPr>
            </w:pPr>
            <w:r>
              <w:rPr>
                <w:rFonts w:hint="eastAsia"/>
                <w:w w:val="105"/>
              </w:rPr>
              <w:t>微溶于水，溶于乙醇、乙醚。</w:t>
            </w:r>
          </w:p>
        </w:tc>
        <w:tc>
          <w:tcPr>
            <w:tcW w:w="607" w:type="dxa"/>
            <w:vAlign w:val="center"/>
          </w:tcPr>
          <w:p w14:paraId="6A2587EB">
            <w:pPr>
              <w:pStyle w:val="34"/>
              <w:rPr>
                <w:w w:val="105"/>
              </w:rPr>
            </w:pPr>
            <w:r>
              <w:rPr>
                <w:rFonts w:hint="eastAsia"/>
                <w:w w:val="105"/>
              </w:rPr>
              <w:t>易挥发</w:t>
            </w:r>
          </w:p>
        </w:tc>
        <w:tc>
          <w:tcPr>
            <w:tcW w:w="859" w:type="dxa"/>
            <w:vAlign w:val="center"/>
          </w:tcPr>
          <w:p w14:paraId="3CDC3071">
            <w:pPr>
              <w:pStyle w:val="34"/>
              <w:rPr>
                <w:w w:val="105"/>
              </w:rPr>
            </w:pPr>
            <w:r>
              <w:rPr>
                <w:rFonts w:hint="eastAsia"/>
                <w:w w:val="105"/>
              </w:rPr>
              <w:t>易燃</w:t>
            </w:r>
          </w:p>
        </w:tc>
        <w:tc>
          <w:tcPr>
            <w:tcW w:w="1562" w:type="dxa"/>
            <w:vAlign w:val="center"/>
          </w:tcPr>
          <w:p w14:paraId="663B325E">
            <w:pPr>
              <w:pStyle w:val="34"/>
              <w:rPr>
                <w:w w:val="105"/>
              </w:rPr>
            </w:pPr>
            <w:r>
              <w:rPr>
                <w:rFonts w:hint="eastAsia"/>
                <w:w w:val="105"/>
              </w:rPr>
              <w:t>2.1~9.5</w:t>
            </w:r>
          </w:p>
        </w:tc>
        <w:tc>
          <w:tcPr>
            <w:tcW w:w="1060" w:type="dxa"/>
            <w:vAlign w:val="center"/>
          </w:tcPr>
          <w:p w14:paraId="08083FC1">
            <w:pPr>
              <w:pStyle w:val="34"/>
              <w:rPr>
                <w:w w:val="105"/>
              </w:rPr>
            </w:pPr>
            <w:r>
              <w:rPr>
                <w:rFonts w:hint="eastAsia"/>
                <w:w w:val="105"/>
              </w:rPr>
              <w:t>-187.6</w:t>
            </w:r>
          </w:p>
        </w:tc>
        <w:tc>
          <w:tcPr>
            <w:tcW w:w="998" w:type="dxa"/>
            <w:vAlign w:val="center"/>
          </w:tcPr>
          <w:p w14:paraId="3F828F67">
            <w:pPr>
              <w:pStyle w:val="34"/>
              <w:rPr>
                <w:w w:val="105"/>
              </w:rPr>
            </w:pPr>
            <w:r>
              <w:rPr>
                <w:rFonts w:hint="eastAsia"/>
                <w:w w:val="105"/>
              </w:rPr>
              <w:t>-42.1</w:t>
            </w:r>
          </w:p>
        </w:tc>
        <w:tc>
          <w:tcPr>
            <w:tcW w:w="958" w:type="dxa"/>
            <w:vAlign w:val="center"/>
          </w:tcPr>
          <w:p w14:paraId="0EC4366A">
            <w:pPr>
              <w:pStyle w:val="34"/>
              <w:rPr>
                <w:w w:val="105"/>
              </w:rPr>
            </w:pPr>
            <w:r>
              <w:rPr>
                <w:rFonts w:hint="eastAsia"/>
                <w:w w:val="105"/>
              </w:rPr>
              <w:t>-104</w:t>
            </w:r>
          </w:p>
        </w:tc>
        <w:tc>
          <w:tcPr>
            <w:tcW w:w="1006" w:type="dxa"/>
            <w:vAlign w:val="center"/>
          </w:tcPr>
          <w:p w14:paraId="18684BBD">
            <w:pPr>
              <w:pStyle w:val="34"/>
              <w:rPr>
                <w:w w:val="105"/>
              </w:rPr>
            </w:pPr>
            <w:r>
              <w:rPr>
                <w:rFonts w:hint="eastAsia"/>
                <w:w w:val="105"/>
              </w:rPr>
              <w:t>450</w:t>
            </w:r>
          </w:p>
        </w:tc>
        <w:tc>
          <w:tcPr>
            <w:tcW w:w="1721" w:type="dxa"/>
            <w:vAlign w:val="center"/>
          </w:tcPr>
          <w:p w14:paraId="742E5338">
            <w:pPr>
              <w:pStyle w:val="34"/>
              <w:rPr>
                <w:w w:val="105"/>
              </w:rPr>
            </w:pPr>
            <w:r>
              <w:rPr>
                <w:rFonts w:hint="eastAsia"/>
                <w:w w:val="105"/>
              </w:rPr>
              <w:t>1.56</w:t>
            </w:r>
          </w:p>
        </w:tc>
      </w:tr>
      <w:tr w14:paraId="7A3797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77066FF2">
            <w:pPr>
              <w:pStyle w:val="34"/>
              <w:numPr>
                <w:ilvl w:val="0"/>
                <w:numId w:val="54"/>
              </w:numPr>
              <w:rPr>
                <w:lang w:eastAsia="en-US"/>
              </w:rPr>
            </w:pPr>
          </w:p>
        </w:tc>
        <w:tc>
          <w:tcPr>
            <w:tcW w:w="1868" w:type="dxa"/>
            <w:vAlign w:val="center"/>
          </w:tcPr>
          <w:p w14:paraId="4D019325">
            <w:pPr>
              <w:pStyle w:val="34"/>
              <w:rPr>
                <w:lang w:eastAsia="en-US"/>
              </w:rPr>
            </w:pPr>
            <w:r>
              <w:rPr>
                <w:rFonts w:hint="eastAsia"/>
                <w:lang w:eastAsia="en-US"/>
              </w:rPr>
              <w:t>丁烷</w:t>
            </w:r>
          </w:p>
        </w:tc>
        <w:tc>
          <w:tcPr>
            <w:tcW w:w="1684" w:type="dxa"/>
            <w:vAlign w:val="center"/>
          </w:tcPr>
          <w:p w14:paraId="5076D293">
            <w:pPr>
              <w:pStyle w:val="34"/>
              <w:rPr>
                <w:lang w:eastAsia="en-US"/>
              </w:rPr>
            </w:pPr>
            <w:r>
              <w:rPr>
                <w:lang w:eastAsia="en-US"/>
              </w:rPr>
              <w:t>无色气体</w:t>
            </w:r>
          </w:p>
        </w:tc>
        <w:tc>
          <w:tcPr>
            <w:tcW w:w="1318" w:type="dxa"/>
            <w:vAlign w:val="center"/>
          </w:tcPr>
          <w:p w14:paraId="79792CF6">
            <w:pPr>
              <w:pStyle w:val="34"/>
              <w:rPr>
                <w:lang w:eastAsia="en-US"/>
              </w:rPr>
            </w:pPr>
            <w:r>
              <w:rPr>
                <w:lang w:eastAsia="en-US"/>
              </w:rPr>
              <w:t>不溶</w:t>
            </w:r>
          </w:p>
        </w:tc>
        <w:tc>
          <w:tcPr>
            <w:tcW w:w="607" w:type="dxa"/>
            <w:vAlign w:val="center"/>
          </w:tcPr>
          <w:p w14:paraId="38BED839">
            <w:pPr>
              <w:pStyle w:val="34"/>
            </w:pPr>
            <w:r>
              <w:rPr>
                <w:rFonts w:hint="eastAsia"/>
              </w:rPr>
              <w:t>/</w:t>
            </w:r>
          </w:p>
        </w:tc>
        <w:tc>
          <w:tcPr>
            <w:tcW w:w="859" w:type="dxa"/>
            <w:vAlign w:val="center"/>
          </w:tcPr>
          <w:p w14:paraId="0C79CA1E">
            <w:pPr>
              <w:pStyle w:val="34"/>
              <w:rPr>
                <w:lang w:eastAsia="en-US"/>
              </w:rPr>
            </w:pPr>
            <w:r>
              <w:rPr>
                <w:lang w:eastAsia="en-US"/>
              </w:rPr>
              <w:t>极易燃</w:t>
            </w:r>
          </w:p>
        </w:tc>
        <w:tc>
          <w:tcPr>
            <w:tcW w:w="1562" w:type="dxa"/>
            <w:vAlign w:val="center"/>
          </w:tcPr>
          <w:p w14:paraId="374B9859">
            <w:pPr>
              <w:pStyle w:val="34"/>
            </w:pPr>
            <w:r>
              <w:rPr>
                <w:rFonts w:hint="eastAsia"/>
              </w:rPr>
              <w:t>1.9~8.5</w:t>
            </w:r>
          </w:p>
        </w:tc>
        <w:tc>
          <w:tcPr>
            <w:tcW w:w="1060" w:type="dxa"/>
            <w:vAlign w:val="center"/>
          </w:tcPr>
          <w:p w14:paraId="6A2051B1">
            <w:pPr>
              <w:pStyle w:val="34"/>
            </w:pPr>
            <w:r>
              <w:rPr>
                <w:rFonts w:hint="eastAsia"/>
              </w:rPr>
              <w:t>-138</w:t>
            </w:r>
          </w:p>
        </w:tc>
        <w:tc>
          <w:tcPr>
            <w:tcW w:w="998" w:type="dxa"/>
            <w:vAlign w:val="center"/>
          </w:tcPr>
          <w:p w14:paraId="74EAD873">
            <w:pPr>
              <w:pStyle w:val="34"/>
            </w:pPr>
            <w:r>
              <w:rPr>
                <w:rFonts w:hint="eastAsia"/>
              </w:rPr>
              <w:t>-0.5</w:t>
            </w:r>
          </w:p>
        </w:tc>
        <w:tc>
          <w:tcPr>
            <w:tcW w:w="958" w:type="dxa"/>
            <w:vAlign w:val="center"/>
          </w:tcPr>
          <w:p w14:paraId="707EBC38">
            <w:pPr>
              <w:pStyle w:val="34"/>
            </w:pPr>
            <w:r>
              <w:rPr>
                <w:rFonts w:hint="eastAsia"/>
              </w:rPr>
              <w:t>-71.5</w:t>
            </w:r>
          </w:p>
        </w:tc>
        <w:tc>
          <w:tcPr>
            <w:tcW w:w="1006" w:type="dxa"/>
            <w:vAlign w:val="center"/>
          </w:tcPr>
          <w:p w14:paraId="4907A7B4">
            <w:pPr>
              <w:pStyle w:val="34"/>
            </w:pPr>
            <w:r>
              <w:rPr>
                <w:rFonts w:hint="eastAsia"/>
              </w:rPr>
              <w:t>405</w:t>
            </w:r>
          </w:p>
        </w:tc>
        <w:tc>
          <w:tcPr>
            <w:tcW w:w="1721" w:type="dxa"/>
            <w:vAlign w:val="center"/>
          </w:tcPr>
          <w:p w14:paraId="45B98BDE">
            <w:pPr>
              <w:pStyle w:val="34"/>
            </w:pPr>
            <w:r>
              <w:rPr>
                <w:rFonts w:hint="eastAsia"/>
              </w:rPr>
              <w:t>2.48</w:t>
            </w:r>
          </w:p>
        </w:tc>
      </w:tr>
      <w:tr w14:paraId="5A8FE6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1BE804D">
            <w:pPr>
              <w:pStyle w:val="34"/>
              <w:numPr>
                <w:ilvl w:val="0"/>
                <w:numId w:val="54"/>
              </w:numPr>
              <w:rPr>
                <w:lang w:eastAsia="en-US"/>
              </w:rPr>
            </w:pPr>
          </w:p>
        </w:tc>
        <w:tc>
          <w:tcPr>
            <w:tcW w:w="1868" w:type="dxa"/>
            <w:vAlign w:val="center"/>
          </w:tcPr>
          <w:p w14:paraId="444CCFBB">
            <w:pPr>
              <w:pStyle w:val="34"/>
              <w:rPr>
                <w:lang w:eastAsia="en-US"/>
              </w:rPr>
            </w:pPr>
            <w:r>
              <w:rPr>
                <w:w w:val="105"/>
              </w:rPr>
              <w:t>打火机（主要成分正丁烷）</w:t>
            </w:r>
          </w:p>
        </w:tc>
        <w:tc>
          <w:tcPr>
            <w:tcW w:w="1684" w:type="dxa"/>
            <w:vAlign w:val="center"/>
          </w:tcPr>
          <w:p w14:paraId="51CA16E5">
            <w:pPr>
              <w:pStyle w:val="34"/>
              <w:rPr>
                <w:lang w:eastAsia="en-US"/>
              </w:rPr>
            </w:pPr>
            <w:r>
              <w:rPr>
                <w:lang w:eastAsia="en-US"/>
              </w:rPr>
              <w:t>无色气体</w:t>
            </w:r>
          </w:p>
        </w:tc>
        <w:tc>
          <w:tcPr>
            <w:tcW w:w="1318" w:type="dxa"/>
            <w:vAlign w:val="center"/>
          </w:tcPr>
          <w:p w14:paraId="50DD207D">
            <w:pPr>
              <w:pStyle w:val="34"/>
              <w:rPr>
                <w:lang w:eastAsia="en-US"/>
              </w:rPr>
            </w:pPr>
            <w:r>
              <w:rPr>
                <w:lang w:eastAsia="en-US"/>
              </w:rPr>
              <w:t>易溶于水</w:t>
            </w:r>
          </w:p>
        </w:tc>
        <w:tc>
          <w:tcPr>
            <w:tcW w:w="607" w:type="dxa"/>
            <w:vAlign w:val="center"/>
          </w:tcPr>
          <w:p w14:paraId="4E343852">
            <w:pPr>
              <w:pStyle w:val="34"/>
              <w:rPr>
                <w:lang w:eastAsia="en-US"/>
              </w:rPr>
            </w:pPr>
            <w:r>
              <w:t>易挥发</w:t>
            </w:r>
          </w:p>
        </w:tc>
        <w:tc>
          <w:tcPr>
            <w:tcW w:w="859" w:type="dxa"/>
            <w:vAlign w:val="center"/>
          </w:tcPr>
          <w:p w14:paraId="4461849F">
            <w:pPr>
              <w:pStyle w:val="34"/>
              <w:rPr>
                <w:lang w:eastAsia="en-US"/>
              </w:rPr>
            </w:pPr>
            <w:r>
              <w:rPr>
                <w:lang w:eastAsia="en-US"/>
              </w:rPr>
              <w:t>易燃</w:t>
            </w:r>
          </w:p>
        </w:tc>
        <w:tc>
          <w:tcPr>
            <w:tcW w:w="1562" w:type="dxa"/>
            <w:vAlign w:val="center"/>
          </w:tcPr>
          <w:p w14:paraId="6C2991A3">
            <w:pPr>
              <w:pStyle w:val="34"/>
            </w:pPr>
            <w:r>
              <w:t>1.6~8.4</w:t>
            </w:r>
          </w:p>
        </w:tc>
        <w:tc>
          <w:tcPr>
            <w:tcW w:w="1060" w:type="dxa"/>
            <w:vAlign w:val="center"/>
          </w:tcPr>
          <w:p w14:paraId="11C51E2B">
            <w:pPr>
              <w:pStyle w:val="34"/>
            </w:pPr>
            <w:r>
              <w:t>-138.4</w:t>
            </w:r>
          </w:p>
        </w:tc>
        <w:tc>
          <w:tcPr>
            <w:tcW w:w="998" w:type="dxa"/>
            <w:vAlign w:val="center"/>
          </w:tcPr>
          <w:p w14:paraId="52230627">
            <w:pPr>
              <w:pStyle w:val="34"/>
            </w:pPr>
            <w:r>
              <w:t>-0.5</w:t>
            </w:r>
          </w:p>
        </w:tc>
        <w:tc>
          <w:tcPr>
            <w:tcW w:w="958" w:type="dxa"/>
            <w:vAlign w:val="center"/>
          </w:tcPr>
          <w:p w14:paraId="24AFD84B">
            <w:pPr>
              <w:pStyle w:val="34"/>
            </w:pPr>
            <w:r>
              <w:t>-60</w:t>
            </w:r>
          </w:p>
        </w:tc>
        <w:tc>
          <w:tcPr>
            <w:tcW w:w="1006" w:type="dxa"/>
            <w:vAlign w:val="center"/>
          </w:tcPr>
          <w:p w14:paraId="09096BB9">
            <w:pPr>
              <w:pStyle w:val="34"/>
            </w:pPr>
            <w:r>
              <w:t>287</w:t>
            </w:r>
          </w:p>
        </w:tc>
        <w:tc>
          <w:tcPr>
            <w:tcW w:w="1721" w:type="dxa"/>
            <w:vAlign w:val="center"/>
          </w:tcPr>
          <w:p w14:paraId="49764DB5">
            <w:pPr>
              <w:pStyle w:val="34"/>
            </w:pPr>
            <w:r>
              <w:t>0.58</w:t>
            </w:r>
          </w:p>
        </w:tc>
      </w:tr>
      <w:tr w14:paraId="5CAA23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5D945753">
            <w:pPr>
              <w:pStyle w:val="34"/>
              <w:numPr>
                <w:ilvl w:val="0"/>
                <w:numId w:val="54"/>
              </w:numPr>
              <w:rPr>
                <w:lang w:eastAsia="en-US"/>
              </w:rPr>
            </w:pPr>
          </w:p>
        </w:tc>
        <w:tc>
          <w:tcPr>
            <w:tcW w:w="1868" w:type="dxa"/>
            <w:vAlign w:val="center"/>
          </w:tcPr>
          <w:p w14:paraId="1EE6E37F">
            <w:pPr>
              <w:pStyle w:val="34"/>
            </w:pPr>
            <w:r>
              <w:rPr>
                <w:rFonts w:hint="eastAsia"/>
                <w:lang w:eastAsia="en-US"/>
              </w:rPr>
              <w:t>二氟氯甲烷</w:t>
            </w:r>
          </w:p>
          <w:p w14:paraId="1AB23889">
            <w:pPr>
              <w:pStyle w:val="34"/>
              <w:rPr>
                <w:lang w:eastAsia="en-US"/>
              </w:rPr>
            </w:pPr>
            <w:r>
              <w:rPr>
                <w:rFonts w:hint="eastAsia"/>
                <w:lang w:eastAsia="en-US"/>
              </w:rPr>
              <w:t>(制冷气体R22)</w:t>
            </w:r>
          </w:p>
        </w:tc>
        <w:tc>
          <w:tcPr>
            <w:tcW w:w="1684" w:type="dxa"/>
            <w:vAlign w:val="center"/>
          </w:tcPr>
          <w:p w14:paraId="422F987E">
            <w:pPr>
              <w:pStyle w:val="34"/>
            </w:pPr>
            <w:r>
              <w:rPr>
                <w:rFonts w:hint="eastAsia"/>
              </w:rPr>
              <w:t>无色有轻微发甜气味的气体</w:t>
            </w:r>
          </w:p>
        </w:tc>
        <w:tc>
          <w:tcPr>
            <w:tcW w:w="1318" w:type="dxa"/>
            <w:vAlign w:val="center"/>
          </w:tcPr>
          <w:p w14:paraId="36F9E082">
            <w:pPr>
              <w:pStyle w:val="34"/>
            </w:pPr>
            <w:r>
              <w:rPr>
                <w:rFonts w:hint="eastAsia"/>
              </w:rPr>
              <w:t>可溶</w:t>
            </w:r>
          </w:p>
        </w:tc>
        <w:tc>
          <w:tcPr>
            <w:tcW w:w="607" w:type="dxa"/>
            <w:vAlign w:val="center"/>
          </w:tcPr>
          <w:p w14:paraId="2B26A0B0">
            <w:pPr>
              <w:pStyle w:val="34"/>
            </w:pPr>
            <w:r>
              <w:rPr>
                <w:rFonts w:hint="eastAsia"/>
              </w:rPr>
              <w:t>/</w:t>
            </w:r>
          </w:p>
        </w:tc>
        <w:tc>
          <w:tcPr>
            <w:tcW w:w="859" w:type="dxa"/>
            <w:vAlign w:val="center"/>
          </w:tcPr>
          <w:p w14:paraId="03EF4207">
            <w:pPr>
              <w:pStyle w:val="34"/>
              <w:rPr>
                <w:lang w:eastAsia="en-US"/>
              </w:rPr>
            </w:pPr>
            <w:r>
              <w:rPr>
                <w:lang w:eastAsia="en-US"/>
              </w:rPr>
              <w:t>不易燃</w:t>
            </w:r>
          </w:p>
        </w:tc>
        <w:tc>
          <w:tcPr>
            <w:tcW w:w="1562" w:type="dxa"/>
            <w:vAlign w:val="center"/>
          </w:tcPr>
          <w:p w14:paraId="0CC4C1F7">
            <w:pPr>
              <w:pStyle w:val="34"/>
            </w:pPr>
            <w:r>
              <w:rPr>
                <w:rFonts w:hint="eastAsia"/>
              </w:rPr>
              <w:t>/</w:t>
            </w:r>
          </w:p>
        </w:tc>
        <w:tc>
          <w:tcPr>
            <w:tcW w:w="1060" w:type="dxa"/>
            <w:vAlign w:val="center"/>
          </w:tcPr>
          <w:p w14:paraId="7351D5C7">
            <w:pPr>
              <w:pStyle w:val="34"/>
            </w:pPr>
            <w:r>
              <w:rPr>
                <w:rFonts w:hint="eastAsia"/>
              </w:rPr>
              <w:t>-146</w:t>
            </w:r>
          </w:p>
        </w:tc>
        <w:tc>
          <w:tcPr>
            <w:tcW w:w="998" w:type="dxa"/>
            <w:vAlign w:val="center"/>
          </w:tcPr>
          <w:p w14:paraId="25832436">
            <w:pPr>
              <w:pStyle w:val="34"/>
            </w:pPr>
            <w:r>
              <w:rPr>
                <w:rFonts w:hint="eastAsia"/>
              </w:rPr>
              <w:t>-38.1</w:t>
            </w:r>
          </w:p>
        </w:tc>
        <w:tc>
          <w:tcPr>
            <w:tcW w:w="958" w:type="dxa"/>
            <w:vAlign w:val="center"/>
          </w:tcPr>
          <w:p w14:paraId="3310FB44">
            <w:pPr>
              <w:pStyle w:val="34"/>
            </w:pPr>
            <w:r>
              <w:rPr>
                <w:rFonts w:hint="eastAsia"/>
              </w:rPr>
              <w:t>130</w:t>
            </w:r>
          </w:p>
        </w:tc>
        <w:tc>
          <w:tcPr>
            <w:tcW w:w="1006" w:type="dxa"/>
            <w:vAlign w:val="center"/>
          </w:tcPr>
          <w:p w14:paraId="2D843CC4">
            <w:pPr>
              <w:pStyle w:val="34"/>
            </w:pPr>
            <w:r>
              <w:rPr>
                <w:rFonts w:hint="eastAsia"/>
              </w:rPr>
              <w:t>96</w:t>
            </w:r>
          </w:p>
        </w:tc>
        <w:tc>
          <w:tcPr>
            <w:tcW w:w="1721" w:type="dxa"/>
            <w:vAlign w:val="center"/>
          </w:tcPr>
          <w:p w14:paraId="451BF59B">
            <w:pPr>
              <w:pStyle w:val="34"/>
            </w:pPr>
            <w:r>
              <w:rPr>
                <w:rFonts w:hint="eastAsia"/>
              </w:rPr>
              <w:t>3.94</w:t>
            </w:r>
          </w:p>
        </w:tc>
      </w:tr>
      <w:tr w14:paraId="7CD4B2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6196C0A">
            <w:pPr>
              <w:pStyle w:val="34"/>
              <w:numPr>
                <w:ilvl w:val="0"/>
                <w:numId w:val="54"/>
              </w:numPr>
              <w:rPr>
                <w:lang w:eastAsia="en-US"/>
              </w:rPr>
            </w:pPr>
          </w:p>
        </w:tc>
        <w:tc>
          <w:tcPr>
            <w:tcW w:w="1868" w:type="dxa"/>
            <w:vAlign w:val="center"/>
          </w:tcPr>
          <w:p w14:paraId="1852630C">
            <w:pPr>
              <w:pStyle w:val="34"/>
              <w:rPr>
                <w:lang w:eastAsia="en-US"/>
              </w:rPr>
            </w:pPr>
            <w:bookmarkStart w:id="543" w:name="OLE_LINK183"/>
            <w:r>
              <w:rPr>
                <w:rFonts w:hint="eastAsia"/>
                <w:lang w:eastAsia="en-US"/>
              </w:rPr>
              <w:t>一氧化碳</w:t>
            </w:r>
            <w:bookmarkEnd w:id="543"/>
          </w:p>
        </w:tc>
        <w:tc>
          <w:tcPr>
            <w:tcW w:w="1684" w:type="dxa"/>
            <w:vAlign w:val="center"/>
          </w:tcPr>
          <w:p w14:paraId="2BAE8BAB">
            <w:pPr>
              <w:pStyle w:val="34"/>
            </w:pPr>
            <w:r>
              <w:rPr>
                <w:rFonts w:hint="eastAsia"/>
              </w:rPr>
              <w:t>无色气体</w:t>
            </w:r>
          </w:p>
        </w:tc>
        <w:tc>
          <w:tcPr>
            <w:tcW w:w="1318" w:type="dxa"/>
            <w:vAlign w:val="center"/>
          </w:tcPr>
          <w:p w14:paraId="6230DD76">
            <w:pPr>
              <w:pStyle w:val="34"/>
            </w:pPr>
            <w:r>
              <w:rPr>
                <w:rFonts w:hint="eastAsia"/>
              </w:rPr>
              <w:t>难溶于水</w:t>
            </w:r>
          </w:p>
        </w:tc>
        <w:tc>
          <w:tcPr>
            <w:tcW w:w="607" w:type="dxa"/>
            <w:vAlign w:val="center"/>
          </w:tcPr>
          <w:p w14:paraId="07ACD681">
            <w:pPr>
              <w:pStyle w:val="34"/>
            </w:pPr>
            <w:r>
              <w:rPr>
                <w:rFonts w:hint="eastAsia"/>
              </w:rPr>
              <w:t>/</w:t>
            </w:r>
          </w:p>
        </w:tc>
        <w:tc>
          <w:tcPr>
            <w:tcW w:w="859" w:type="dxa"/>
            <w:vAlign w:val="center"/>
          </w:tcPr>
          <w:p w14:paraId="0CADD627">
            <w:pPr>
              <w:pStyle w:val="34"/>
              <w:rPr>
                <w:lang w:eastAsia="en-US"/>
              </w:rPr>
            </w:pPr>
            <w:r>
              <w:rPr>
                <w:lang w:eastAsia="en-US"/>
              </w:rPr>
              <w:t>易燃</w:t>
            </w:r>
          </w:p>
        </w:tc>
        <w:tc>
          <w:tcPr>
            <w:tcW w:w="1562" w:type="dxa"/>
            <w:vAlign w:val="center"/>
          </w:tcPr>
          <w:p w14:paraId="03FD4DFE">
            <w:pPr>
              <w:pStyle w:val="34"/>
            </w:pPr>
            <w:r>
              <w:rPr>
                <w:rFonts w:hint="eastAsia"/>
              </w:rPr>
              <w:t>/</w:t>
            </w:r>
          </w:p>
        </w:tc>
        <w:tc>
          <w:tcPr>
            <w:tcW w:w="1060" w:type="dxa"/>
            <w:vAlign w:val="center"/>
          </w:tcPr>
          <w:p w14:paraId="27A5C91D">
            <w:pPr>
              <w:pStyle w:val="34"/>
            </w:pPr>
            <w:r>
              <w:rPr>
                <w:rFonts w:hint="eastAsia"/>
              </w:rPr>
              <w:t>-205</w:t>
            </w:r>
          </w:p>
        </w:tc>
        <w:tc>
          <w:tcPr>
            <w:tcW w:w="998" w:type="dxa"/>
            <w:vAlign w:val="center"/>
          </w:tcPr>
          <w:p w14:paraId="1E212E16">
            <w:pPr>
              <w:pStyle w:val="34"/>
            </w:pPr>
            <w:r>
              <w:rPr>
                <w:rFonts w:hint="eastAsia"/>
              </w:rPr>
              <w:t>-191.5</w:t>
            </w:r>
          </w:p>
        </w:tc>
        <w:tc>
          <w:tcPr>
            <w:tcW w:w="958" w:type="dxa"/>
            <w:vAlign w:val="center"/>
          </w:tcPr>
          <w:p w14:paraId="79F1BF94">
            <w:pPr>
              <w:pStyle w:val="34"/>
            </w:pPr>
            <w:r>
              <w:rPr>
                <w:rFonts w:hint="eastAsia"/>
              </w:rPr>
              <w:t>/</w:t>
            </w:r>
          </w:p>
        </w:tc>
        <w:tc>
          <w:tcPr>
            <w:tcW w:w="1006" w:type="dxa"/>
            <w:vAlign w:val="center"/>
          </w:tcPr>
          <w:p w14:paraId="4A4F9CCE">
            <w:pPr>
              <w:pStyle w:val="34"/>
            </w:pPr>
            <w:r>
              <w:rPr>
                <w:rFonts w:hint="eastAsia"/>
              </w:rPr>
              <w:t>605</w:t>
            </w:r>
          </w:p>
        </w:tc>
        <w:tc>
          <w:tcPr>
            <w:tcW w:w="1721" w:type="dxa"/>
            <w:vAlign w:val="center"/>
          </w:tcPr>
          <w:p w14:paraId="6B3F7768">
            <w:pPr>
              <w:pStyle w:val="34"/>
            </w:pPr>
            <w:r>
              <w:rPr>
                <w:rFonts w:hint="eastAsia"/>
              </w:rPr>
              <w:t>0.967</w:t>
            </w:r>
          </w:p>
        </w:tc>
      </w:tr>
      <w:tr w14:paraId="01D1F2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5" w:type="dxa"/>
            <w:gridSpan w:val="12"/>
            <w:vAlign w:val="center"/>
          </w:tcPr>
          <w:p w14:paraId="25FD4F25">
            <w:pPr>
              <w:pStyle w:val="34"/>
            </w:pPr>
            <w:r>
              <w:t>第3类易燃液体</w:t>
            </w:r>
          </w:p>
        </w:tc>
      </w:tr>
      <w:tr w14:paraId="5D5C19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E5D147D">
            <w:pPr>
              <w:pStyle w:val="34"/>
              <w:numPr>
                <w:ilvl w:val="0"/>
                <w:numId w:val="54"/>
              </w:numPr>
              <w:rPr>
                <w:lang w:eastAsia="en-US"/>
              </w:rPr>
            </w:pPr>
          </w:p>
        </w:tc>
        <w:tc>
          <w:tcPr>
            <w:tcW w:w="1868" w:type="dxa"/>
            <w:vAlign w:val="center"/>
          </w:tcPr>
          <w:p w14:paraId="03E7F414">
            <w:pPr>
              <w:pStyle w:val="34"/>
              <w:rPr>
                <w:w w:val="105"/>
              </w:rPr>
            </w:pPr>
            <w:r>
              <w:rPr>
                <w:rFonts w:hint="eastAsia"/>
                <w:w w:val="105"/>
              </w:rPr>
              <w:t>甲醛</w:t>
            </w:r>
          </w:p>
        </w:tc>
        <w:tc>
          <w:tcPr>
            <w:tcW w:w="1684" w:type="dxa"/>
            <w:vAlign w:val="center"/>
          </w:tcPr>
          <w:p w14:paraId="748B66A0">
            <w:pPr>
              <w:pStyle w:val="34"/>
            </w:pPr>
            <w:r>
              <w:t>无色透明液体</w:t>
            </w:r>
          </w:p>
        </w:tc>
        <w:tc>
          <w:tcPr>
            <w:tcW w:w="1318" w:type="dxa"/>
            <w:vAlign w:val="center"/>
          </w:tcPr>
          <w:p w14:paraId="22ECED48">
            <w:pPr>
              <w:pStyle w:val="34"/>
            </w:pPr>
            <w:r>
              <w:t>与水混溶</w:t>
            </w:r>
          </w:p>
        </w:tc>
        <w:tc>
          <w:tcPr>
            <w:tcW w:w="607" w:type="dxa"/>
            <w:vAlign w:val="center"/>
          </w:tcPr>
          <w:p w14:paraId="76579F05">
            <w:pPr>
              <w:pStyle w:val="34"/>
            </w:pPr>
            <w:r>
              <w:t>易挥发</w:t>
            </w:r>
          </w:p>
        </w:tc>
        <w:tc>
          <w:tcPr>
            <w:tcW w:w="859" w:type="dxa"/>
            <w:vAlign w:val="center"/>
          </w:tcPr>
          <w:p w14:paraId="1A7C880B">
            <w:pPr>
              <w:pStyle w:val="34"/>
            </w:pPr>
            <w:r>
              <w:t>易燃</w:t>
            </w:r>
          </w:p>
        </w:tc>
        <w:tc>
          <w:tcPr>
            <w:tcW w:w="1562" w:type="dxa"/>
            <w:vAlign w:val="center"/>
          </w:tcPr>
          <w:p w14:paraId="367BBFF9">
            <w:pPr>
              <w:pStyle w:val="34"/>
            </w:pPr>
            <w:r>
              <w:rPr>
                <w:rFonts w:hint="eastAsia"/>
              </w:rPr>
              <w:t>7~73</w:t>
            </w:r>
          </w:p>
        </w:tc>
        <w:tc>
          <w:tcPr>
            <w:tcW w:w="1060" w:type="dxa"/>
            <w:vAlign w:val="center"/>
          </w:tcPr>
          <w:p w14:paraId="44809337">
            <w:pPr>
              <w:pStyle w:val="34"/>
            </w:pPr>
            <w:r>
              <w:rPr>
                <w:rFonts w:hint="eastAsia"/>
              </w:rPr>
              <w:t>-92</w:t>
            </w:r>
          </w:p>
        </w:tc>
        <w:tc>
          <w:tcPr>
            <w:tcW w:w="998" w:type="dxa"/>
            <w:vAlign w:val="center"/>
          </w:tcPr>
          <w:p w14:paraId="139C8411">
            <w:pPr>
              <w:pStyle w:val="34"/>
            </w:pPr>
            <w:r>
              <w:rPr>
                <w:rFonts w:hint="eastAsia"/>
              </w:rPr>
              <w:t>100</w:t>
            </w:r>
          </w:p>
        </w:tc>
        <w:tc>
          <w:tcPr>
            <w:tcW w:w="958" w:type="dxa"/>
            <w:vAlign w:val="center"/>
          </w:tcPr>
          <w:p w14:paraId="768346E8">
            <w:pPr>
              <w:pStyle w:val="34"/>
            </w:pPr>
            <w:r>
              <w:rPr>
                <w:rFonts w:hint="eastAsia"/>
              </w:rPr>
              <w:t>60</w:t>
            </w:r>
          </w:p>
        </w:tc>
        <w:tc>
          <w:tcPr>
            <w:tcW w:w="1006" w:type="dxa"/>
            <w:vAlign w:val="center"/>
          </w:tcPr>
          <w:p w14:paraId="25441E1B">
            <w:pPr>
              <w:pStyle w:val="34"/>
            </w:pPr>
            <w:r>
              <w:rPr>
                <w:rFonts w:hint="eastAsia"/>
              </w:rPr>
              <w:t>300</w:t>
            </w:r>
          </w:p>
        </w:tc>
        <w:tc>
          <w:tcPr>
            <w:tcW w:w="1721" w:type="dxa"/>
            <w:vAlign w:val="center"/>
          </w:tcPr>
          <w:p w14:paraId="4143B3F8">
            <w:pPr>
              <w:pStyle w:val="34"/>
            </w:pPr>
            <w:r>
              <w:rPr>
                <w:rFonts w:hint="eastAsia"/>
              </w:rPr>
              <w:t>1.083</w:t>
            </w:r>
          </w:p>
        </w:tc>
      </w:tr>
      <w:tr w14:paraId="0588D3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1584AC3">
            <w:pPr>
              <w:pStyle w:val="34"/>
              <w:numPr>
                <w:ilvl w:val="0"/>
                <w:numId w:val="54"/>
              </w:numPr>
              <w:rPr>
                <w:lang w:eastAsia="en-US"/>
              </w:rPr>
            </w:pPr>
          </w:p>
        </w:tc>
        <w:tc>
          <w:tcPr>
            <w:tcW w:w="1868" w:type="dxa"/>
            <w:vAlign w:val="center"/>
          </w:tcPr>
          <w:p w14:paraId="2338E5C5">
            <w:pPr>
              <w:pStyle w:val="34"/>
              <w:rPr>
                <w:w w:val="105"/>
              </w:rPr>
            </w:pPr>
            <w:r>
              <w:rPr>
                <w:rFonts w:hint="eastAsia"/>
                <w:w w:val="105"/>
              </w:rPr>
              <w:t>丁醇</w:t>
            </w:r>
          </w:p>
        </w:tc>
        <w:tc>
          <w:tcPr>
            <w:tcW w:w="1684" w:type="dxa"/>
            <w:vAlign w:val="center"/>
          </w:tcPr>
          <w:p w14:paraId="58D3829E">
            <w:pPr>
              <w:pStyle w:val="34"/>
            </w:pPr>
            <w:r>
              <w:t>无色透明液体</w:t>
            </w:r>
          </w:p>
        </w:tc>
        <w:tc>
          <w:tcPr>
            <w:tcW w:w="1318" w:type="dxa"/>
            <w:vAlign w:val="center"/>
          </w:tcPr>
          <w:p w14:paraId="4546CF40">
            <w:pPr>
              <w:pStyle w:val="34"/>
            </w:pPr>
            <w:r>
              <w:t>微溶于水</w:t>
            </w:r>
          </w:p>
        </w:tc>
        <w:tc>
          <w:tcPr>
            <w:tcW w:w="607" w:type="dxa"/>
            <w:vAlign w:val="center"/>
          </w:tcPr>
          <w:p w14:paraId="48899AA6">
            <w:pPr>
              <w:pStyle w:val="34"/>
            </w:pPr>
            <w:r>
              <w:t>易挥发</w:t>
            </w:r>
          </w:p>
        </w:tc>
        <w:tc>
          <w:tcPr>
            <w:tcW w:w="859" w:type="dxa"/>
            <w:vAlign w:val="center"/>
          </w:tcPr>
          <w:p w14:paraId="61FEA852">
            <w:pPr>
              <w:pStyle w:val="34"/>
            </w:pPr>
            <w:r>
              <w:t>易燃</w:t>
            </w:r>
          </w:p>
        </w:tc>
        <w:tc>
          <w:tcPr>
            <w:tcW w:w="1562" w:type="dxa"/>
            <w:vAlign w:val="center"/>
          </w:tcPr>
          <w:p w14:paraId="018C3FB7">
            <w:pPr>
              <w:pStyle w:val="34"/>
            </w:pPr>
            <w:r>
              <w:rPr>
                <w:rFonts w:hint="eastAsia"/>
              </w:rPr>
              <w:t>1.4~11.2</w:t>
            </w:r>
          </w:p>
        </w:tc>
        <w:tc>
          <w:tcPr>
            <w:tcW w:w="1060" w:type="dxa"/>
            <w:vAlign w:val="center"/>
          </w:tcPr>
          <w:p w14:paraId="7C74EE7F">
            <w:pPr>
              <w:pStyle w:val="34"/>
            </w:pPr>
            <w:r>
              <w:rPr>
                <w:rFonts w:hint="eastAsia"/>
              </w:rPr>
              <w:t>-90</w:t>
            </w:r>
          </w:p>
        </w:tc>
        <w:tc>
          <w:tcPr>
            <w:tcW w:w="998" w:type="dxa"/>
            <w:vAlign w:val="center"/>
          </w:tcPr>
          <w:p w14:paraId="2CEE85FC">
            <w:pPr>
              <w:pStyle w:val="34"/>
            </w:pPr>
            <w:r>
              <w:rPr>
                <w:rFonts w:hint="eastAsia"/>
              </w:rPr>
              <w:t>116~118</w:t>
            </w:r>
          </w:p>
        </w:tc>
        <w:tc>
          <w:tcPr>
            <w:tcW w:w="958" w:type="dxa"/>
            <w:vAlign w:val="center"/>
          </w:tcPr>
          <w:p w14:paraId="5596DFB3">
            <w:pPr>
              <w:pStyle w:val="34"/>
            </w:pPr>
            <w:r>
              <w:rPr>
                <w:rFonts w:hint="eastAsia"/>
              </w:rPr>
              <w:t>35</w:t>
            </w:r>
          </w:p>
        </w:tc>
        <w:tc>
          <w:tcPr>
            <w:tcW w:w="1006" w:type="dxa"/>
            <w:vAlign w:val="center"/>
          </w:tcPr>
          <w:p w14:paraId="1810B6FD">
            <w:pPr>
              <w:pStyle w:val="34"/>
            </w:pPr>
            <w:r>
              <w:rPr>
                <w:rFonts w:hint="eastAsia"/>
              </w:rPr>
              <w:t>/</w:t>
            </w:r>
          </w:p>
        </w:tc>
        <w:tc>
          <w:tcPr>
            <w:tcW w:w="1721" w:type="dxa"/>
            <w:vAlign w:val="center"/>
          </w:tcPr>
          <w:p w14:paraId="5448BD09">
            <w:pPr>
              <w:pStyle w:val="34"/>
            </w:pPr>
            <w:r>
              <w:rPr>
                <w:rFonts w:hint="eastAsia"/>
              </w:rPr>
              <w:t>0.81</w:t>
            </w:r>
          </w:p>
        </w:tc>
      </w:tr>
      <w:tr w14:paraId="313B55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D31DE32">
            <w:pPr>
              <w:pStyle w:val="34"/>
              <w:numPr>
                <w:ilvl w:val="0"/>
                <w:numId w:val="54"/>
              </w:numPr>
              <w:rPr>
                <w:lang w:eastAsia="en-US"/>
              </w:rPr>
            </w:pPr>
          </w:p>
        </w:tc>
        <w:tc>
          <w:tcPr>
            <w:tcW w:w="1868" w:type="dxa"/>
            <w:vAlign w:val="center"/>
          </w:tcPr>
          <w:p w14:paraId="2D2620FF">
            <w:pPr>
              <w:pStyle w:val="34"/>
            </w:pPr>
            <w:r>
              <w:rPr>
                <w:rFonts w:hint="eastAsia"/>
              </w:rPr>
              <w:t>乙酸乙酯</w:t>
            </w:r>
          </w:p>
        </w:tc>
        <w:tc>
          <w:tcPr>
            <w:tcW w:w="1684" w:type="dxa"/>
            <w:vAlign w:val="center"/>
          </w:tcPr>
          <w:p w14:paraId="2ACCA1CB">
            <w:pPr>
              <w:pStyle w:val="34"/>
            </w:pPr>
            <w:r>
              <w:t>无色澄清液体</w:t>
            </w:r>
          </w:p>
        </w:tc>
        <w:tc>
          <w:tcPr>
            <w:tcW w:w="1318" w:type="dxa"/>
            <w:vAlign w:val="center"/>
          </w:tcPr>
          <w:p w14:paraId="0767A358">
            <w:pPr>
              <w:pStyle w:val="34"/>
            </w:pPr>
            <w:r>
              <w:t>微溶于水</w:t>
            </w:r>
          </w:p>
        </w:tc>
        <w:tc>
          <w:tcPr>
            <w:tcW w:w="607" w:type="dxa"/>
            <w:vAlign w:val="center"/>
          </w:tcPr>
          <w:p w14:paraId="2DF21C18">
            <w:pPr>
              <w:pStyle w:val="34"/>
            </w:pPr>
            <w:r>
              <w:t>易挥发</w:t>
            </w:r>
          </w:p>
        </w:tc>
        <w:tc>
          <w:tcPr>
            <w:tcW w:w="859" w:type="dxa"/>
            <w:vAlign w:val="center"/>
          </w:tcPr>
          <w:p w14:paraId="3C2C963E">
            <w:pPr>
              <w:pStyle w:val="34"/>
            </w:pPr>
            <w:r>
              <w:t>易燃</w:t>
            </w:r>
          </w:p>
        </w:tc>
        <w:tc>
          <w:tcPr>
            <w:tcW w:w="1562" w:type="dxa"/>
            <w:vAlign w:val="center"/>
          </w:tcPr>
          <w:p w14:paraId="158C93FB">
            <w:pPr>
              <w:pStyle w:val="34"/>
            </w:pPr>
            <w:r>
              <w:t>2.0~11.5</w:t>
            </w:r>
          </w:p>
        </w:tc>
        <w:tc>
          <w:tcPr>
            <w:tcW w:w="1060" w:type="dxa"/>
            <w:vAlign w:val="center"/>
          </w:tcPr>
          <w:p w14:paraId="4D15B449">
            <w:pPr>
              <w:pStyle w:val="34"/>
            </w:pPr>
            <w:r>
              <w:t>-83.6</w:t>
            </w:r>
          </w:p>
        </w:tc>
        <w:tc>
          <w:tcPr>
            <w:tcW w:w="998" w:type="dxa"/>
            <w:vAlign w:val="center"/>
          </w:tcPr>
          <w:p w14:paraId="54B245E3">
            <w:pPr>
              <w:pStyle w:val="34"/>
            </w:pPr>
            <w:r>
              <w:t>77.2</w:t>
            </w:r>
          </w:p>
        </w:tc>
        <w:tc>
          <w:tcPr>
            <w:tcW w:w="958" w:type="dxa"/>
            <w:vAlign w:val="center"/>
          </w:tcPr>
          <w:p w14:paraId="562FE87C">
            <w:pPr>
              <w:pStyle w:val="34"/>
            </w:pPr>
            <w:r>
              <w:t>13</w:t>
            </w:r>
          </w:p>
        </w:tc>
        <w:tc>
          <w:tcPr>
            <w:tcW w:w="1006" w:type="dxa"/>
            <w:vAlign w:val="center"/>
          </w:tcPr>
          <w:p w14:paraId="06F6C0C8">
            <w:pPr>
              <w:pStyle w:val="34"/>
            </w:pPr>
            <w:r>
              <w:t>426</w:t>
            </w:r>
          </w:p>
        </w:tc>
        <w:tc>
          <w:tcPr>
            <w:tcW w:w="1721" w:type="dxa"/>
            <w:vAlign w:val="center"/>
          </w:tcPr>
          <w:p w14:paraId="434E6311">
            <w:pPr>
              <w:pStyle w:val="34"/>
            </w:pPr>
            <w:r>
              <w:t>0.90</w:t>
            </w:r>
          </w:p>
        </w:tc>
      </w:tr>
      <w:tr w14:paraId="79E961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C5280CC">
            <w:pPr>
              <w:pStyle w:val="34"/>
              <w:numPr>
                <w:ilvl w:val="0"/>
                <w:numId w:val="54"/>
              </w:numPr>
              <w:rPr>
                <w:lang w:eastAsia="en-US"/>
              </w:rPr>
            </w:pPr>
          </w:p>
        </w:tc>
        <w:tc>
          <w:tcPr>
            <w:tcW w:w="1868" w:type="dxa"/>
            <w:vAlign w:val="center"/>
          </w:tcPr>
          <w:p w14:paraId="1423FFBC">
            <w:pPr>
              <w:pStyle w:val="34"/>
              <w:rPr>
                <w:w w:val="105"/>
              </w:rPr>
            </w:pPr>
            <w:r>
              <w:rPr>
                <w:rFonts w:hint="eastAsia"/>
                <w:w w:val="105"/>
              </w:rPr>
              <w:t>甲基丙烯酸甲酯</w:t>
            </w:r>
          </w:p>
        </w:tc>
        <w:tc>
          <w:tcPr>
            <w:tcW w:w="1684" w:type="dxa"/>
            <w:vAlign w:val="center"/>
          </w:tcPr>
          <w:p w14:paraId="441678CF">
            <w:pPr>
              <w:pStyle w:val="34"/>
            </w:pPr>
            <w:r>
              <w:t>无色液体</w:t>
            </w:r>
          </w:p>
        </w:tc>
        <w:tc>
          <w:tcPr>
            <w:tcW w:w="1318" w:type="dxa"/>
            <w:vAlign w:val="center"/>
          </w:tcPr>
          <w:p w14:paraId="2D2568CE">
            <w:pPr>
              <w:pStyle w:val="34"/>
            </w:pPr>
            <w:r>
              <w:t>微溶于水</w:t>
            </w:r>
          </w:p>
        </w:tc>
        <w:tc>
          <w:tcPr>
            <w:tcW w:w="607" w:type="dxa"/>
            <w:vAlign w:val="center"/>
          </w:tcPr>
          <w:p w14:paraId="0F3264E1">
            <w:pPr>
              <w:pStyle w:val="34"/>
            </w:pPr>
            <w:r>
              <w:t>易挥发</w:t>
            </w:r>
          </w:p>
        </w:tc>
        <w:tc>
          <w:tcPr>
            <w:tcW w:w="859" w:type="dxa"/>
            <w:vAlign w:val="center"/>
          </w:tcPr>
          <w:p w14:paraId="1B54CE81">
            <w:pPr>
              <w:pStyle w:val="34"/>
            </w:pPr>
            <w:r>
              <w:t>易燃</w:t>
            </w:r>
          </w:p>
        </w:tc>
        <w:tc>
          <w:tcPr>
            <w:tcW w:w="1562" w:type="dxa"/>
            <w:vAlign w:val="center"/>
          </w:tcPr>
          <w:p w14:paraId="1F82D846">
            <w:pPr>
              <w:pStyle w:val="34"/>
            </w:pPr>
            <w:r>
              <w:t>2.12~12.5</w:t>
            </w:r>
          </w:p>
        </w:tc>
        <w:tc>
          <w:tcPr>
            <w:tcW w:w="1060" w:type="dxa"/>
            <w:vAlign w:val="center"/>
          </w:tcPr>
          <w:p w14:paraId="79AFABC0">
            <w:pPr>
              <w:pStyle w:val="34"/>
            </w:pPr>
            <w:r>
              <w:t>-50</w:t>
            </w:r>
          </w:p>
        </w:tc>
        <w:tc>
          <w:tcPr>
            <w:tcW w:w="998" w:type="dxa"/>
            <w:vAlign w:val="center"/>
          </w:tcPr>
          <w:p w14:paraId="635CD909">
            <w:pPr>
              <w:pStyle w:val="34"/>
            </w:pPr>
            <w:r>
              <w:t>101</w:t>
            </w:r>
          </w:p>
        </w:tc>
        <w:tc>
          <w:tcPr>
            <w:tcW w:w="958" w:type="dxa"/>
            <w:vAlign w:val="center"/>
          </w:tcPr>
          <w:p w14:paraId="7BFF2ADF">
            <w:pPr>
              <w:pStyle w:val="34"/>
            </w:pPr>
            <w:r>
              <w:t>10</w:t>
            </w:r>
          </w:p>
        </w:tc>
        <w:tc>
          <w:tcPr>
            <w:tcW w:w="1006" w:type="dxa"/>
            <w:vAlign w:val="center"/>
          </w:tcPr>
          <w:p w14:paraId="071CAFD7">
            <w:pPr>
              <w:pStyle w:val="34"/>
            </w:pPr>
            <w:r>
              <w:t>435</w:t>
            </w:r>
          </w:p>
        </w:tc>
        <w:tc>
          <w:tcPr>
            <w:tcW w:w="1721" w:type="dxa"/>
            <w:vAlign w:val="center"/>
          </w:tcPr>
          <w:p w14:paraId="72928446">
            <w:pPr>
              <w:pStyle w:val="34"/>
            </w:pPr>
            <w:r>
              <w:t>0.94</w:t>
            </w:r>
          </w:p>
        </w:tc>
      </w:tr>
      <w:tr w14:paraId="21F4AB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jc w:val="center"/>
        </w:trPr>
        <w:tc>
          <w:tcPr>
            <w:tcW w:w="534" w:type="dxa"/>
            <w:vAlign w:val="center"/>
          </w:tcPr>
          <w:p w14:paraId="096060B5">
            <w:pPr>
              <w:pStyle w:val="34"/>
              <w:numPr>
                <w:ilvl w:val="0"/>
                <w:numId w:val="54"/>
              </w:numPr>
              <w:rPr>
                <w:lang w:eastAsia="en-US"/>
              </w:rPr>
            </w:pPr>
          </w:p>
        </w:tc>
        <w:tc>
          <w:tcPr>
            <w:tcW w:w="1868" w:type="dxa"/>
            <w:vAlign w:val="center"/>
          </w:tcPr>
          <w:p w14:paraId="516AABBC">
            <w:pPr>
              <w:pStyle w:val="34"/>
              <w:rPr>
                <w:w w:val="105"/>
              </w:rPr>
            </w:pPr>
            <w:r>
              <w:rPr>
                <w:rFonts w:hint="eastAsia"/>
                <w:w w:val="105"/>
              </w:rPr>
              <w:t>丙烯酸丁酯</w:t>
            </w:r>
          </w:p>
        </w:tc>
        <w:tc>
          <w:tcPr>
            <w:tcW w:w="1684" w:type="dxa"/>
            <w:vAlign w:val="center"/>
          </w:tcPr>
          <w:p w14:paraId="044B3D0B">
            <w:pPr>
              <w:pStyle w:val="34"/>
            </w:pPr>
            <w:r>
              <w:t>无色液体</w:t>
            </w:r>
            <w:r>
              <w:rPr>
                <w:rFonts w:hint="eastAsia"/>
              </w:rPr>
              <w:t>，</w:t>
            </w:r>
            <w:r>
              <w:t>有浓烈的芳香味</w:t>
            </w:r>
          </w:p>
        </w:tc>
        <w:tc>
          <w:tcPr>
            <w:tcW w:w="1318" w:type="dxa"/>
            <w:vAlign w:val="center"/>
          </w:tcPr>
          <w:p w14:paraId="55717821">
            <w:pPr>
              <w:pStyle w:val="34"/>
            </w:pPr>
            <w:r>
              <w:t>不溶</w:t>
            </w:r>
          </w:p>
        </w:tc>
        <w:tc>
          <w:tcPr>
            <w:tcW w:w="607" w:type="dxa"/>
            <w:vAlign w:val="center"/>
          </w:tcPr>
          <w:p w14:paraId="7D1A7F79">
            <w:pPr>
              <w:pStyle w:val="34"/>
            </w:pPr>
            <w:r>
              <w:t>易挥发</w:t>
            </w:r>
          </w:p>
        </w:tc>
        <w:tc>
          <w:tcPr>
            <w:tcW w:w="859" w:type="dxa"/>
            <w:vAlign w:val="center"/>
          </w:tcPr>
          <w:p w14:paraId="7C993DF6">
            <w:pPr>
              <w:pStyle w:val="34"/>
            </w:pPr>
            <w:r>
              <w:rPr>
                <w:lang w:eastAsia="en-US"/>
              </w:rPr>
              <w:t>易燃</w:t>
            </w:r>
          </w:p>
        </w:tc>
        <w:tc>
          <w:tcPr>
            <w:tcW w:w="1562" w:type="dxa"/>
            <w:vAlign w:val="center"/>
          </w:tcPr>
          <w:p w14:paraId="1DEB140F">
            <w:pPr>
              <w:pStyle w:val="34"/>
            </w:pPr>
            <w:r>
              <w:t>1.2~9.9</w:t>
            </w:r>
          </w:p>
        </w:tc>
        <w:tc>
          <w:tcPr>
            <w:tcW w:w="1060" w:type="dxa"/>
            <w:vAlign w:val="center"/>
          </w:tcPr>
          <w:p w14:paraId="5E6D4981">
            <w:pPr>
              <w:pStyle w:val="34"/>
            </w:pPr>
            <w:r>
              <w:t>-64.6</w:t>
            </w:r>
          </w:p>
        </w:tc>
        <w:tc>
          <w:tcPr>
            <w:tcW w:w="998" w:type="dxa"/>
            <w:vAlign w:val="center"/>
          </w:tcPr>
          <w:p w14:paraId="21A9D3B3">
            <w:pPr>
              <w:pStyle w:val="34"/>
            </w:pPr>
            <w:r>
              <w:t>145.7</w:t>
            </w:r>
          </w:p>
        </w:tc>
        <w:tc>
          <w:tcPr>
            <w:tcW w:w="958" w:type="dxa"/>
            <w:vAlign w:val="center"/>
          </w:tcPr>
          <w:p w14:paraId="0B2B3AD8">
            <w:pPr>
              <w:pStyle w:val="34"/>
            </w:pPr>
            <w:r>
              <w:t>37</w:t>
            </w:r>
          </w:p>
        </w:tc>
        <w:tc>
          <w:tcPr>
            <w:tcW w:w="1006" w:type="dxa"/>
            <w:vAlign w:val="center"/>
          </w:tcPr>
          <w:p w14:paraId="147D2885">
            <w:pPr>
              <w:pStyle w:val="34"/>
            </w:pPr>
            <w:r>
              <w:t>275</w:t>
            </w:r>
          </w:p>
        </w:tc>
        <w:tc>
          <w:tcPr>
            <w:tcW w:w="1721" w:type="dxa"/>
            <w:vAlign w:val="center"/>
          </w:tcPr>
          <w:p w14:paraId="208824B3">
            <w:pPr>
              <w:pStyle w:val="34"/>
            </w:pPr>
            <w:r>
              <w:t>0.89</w:t>
            </w:r>
          </w:p>
        </w:tc>
      </w:tr>
      <w:tr w14:paraId="6614FC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2591BB2">
            <w:pPr>
              <w:pStyle w:val="34"/>
              <w:numPr>
                <w:ilvl w:val="0"/>
                <w:numId w:val="54"/>
              </w:numPr>
              <w:rPr>
                <w:lang w:eastAsia="en-US"/>
              </w:rPr>
            </w:pPr>
          </w:p>
        </w:tc>
        <w:tc>
          <w:tcPr>
            <w:tcW w:w="1868" w:type="dxa"/>
            <w:vAlign w:val="center"/>
          </w:tcPr>
          <w:p w14:paraId="6F8856C6">
            <w:pPr>
              <w:pStyle w:val="34"/>
              <w:rPr>
                <w:w w:val="105"/>
              </w:rPr>
            </w:pPr>
            <w:r>
              <w:rPr>
                <w:rFonts w:hint="eastAsia"/>
                <w:w w:val="105"/>
              </w:rPr>
              <w:t>甲基三氯硅烷</w:t>
            </w:r>
          </w:p>
        </w:tc>
        <w:tc>
          <w:tcPr>
            <w:tcW w:w="1684" w:type="dxa"/>
            <w:vAlign w:val="center"/>
          </w:tcPr>
          <w:p w14:paraId="5C75E556">
            <w:pPr>
              <w:pStyle w:val="34"/>
            </w:pPr>
            <w:r>
              <w:t>无色液体</w:t>
            </w:r>
          </w:p>
        </w:tc>
        <w:tc>
          <w:tcPr>
            <w:tcW w:w="1318" w:type="dxa"/>
            <w:vAlign w:val="center"/>
          </w:tcPr>
          <w:p w14:paraId="31EBF460">
            <w:pPr>
              <w:pStyle w:val="34"/>
            </w:pPr>
            <w:r>
              <w:t>与水反应</w:t>
            </w:r>
          </w:p>
        </w:tc>
        <w:tc>
          <w:tcPr>
            <w:tcW w:w="607" w:type="dxa"/>
            <w:vAlign w:val="center"/>
          </w:tcPr>
          <w:p w14:paraId="440AE270">
            <w:pPr>
              <w:pStyle w:val="34"/>
            </w:pPr>
            <w:r>
              <w:t>易挥发</w:t>
            </w:r>
          </w:p>
        </w:tc>
        <w:tc>
          <w:tcPr>
            <w:tcW w:w="859" w:type="dxa"/>
            <w:vAlign w:val="center"/>
          </w:tcPr>
          <w:p w14:paraId="709DBB2D">
            <w:pPr>
              <w:pStyle w:val="34"/>
            </w:pPr>
            <w:r>
              <w:t>易燃</w:t>
            </w:r>
          </w:p>
        </w:tc>
        <w:tc>
          <w:tcPr>
            <w:tcW w:w="1562" w:type="dxa"/>
            <w:vAlign w:val="center"/>
          </w:tcPr>
          <w:p w14:paraId="6E229B0A">
            <w:pPr>
              <w:pStyle w:val="34"/>
            </w:pPr>
            <w:r>
              <w:rPr>
                <w:rFonts w:hint="eastAsia"/>
              </w:rPr>
              <w:t>7.2~11.9</w:t>
            </w:r>
          </w:p>
        </w:tc>
        <w:tc>
          <w:tcPr>
            <w:tcW w:w="1060" w:type="dxa"/>
            <w:vAlign w:val="center"/>
          </w:tcPr>
          <w:p w14:paraId="40A2CBD7">
            <w:pPr>
              <w:pStyle w:val="34"/>
            </w:pPr>
            <w:r>
              <w:rPr>
                <w:rFonts w:hint="eastAsia"/>
              </w:rPr>
              <w:t>-77</w:t>
            </w:r>
          </w:p>
        </w:tc>
        <w:tc>
          <w:tcPr>
            <w:tcW w:w="998" w:type="dxa"/>
            <w:vAlign w:val="center"/>
          </w:tcPr>
          <w:p w14:paraId="4072BEAA">
            <w:pPr>
              <w:pStyle w:val="34"/>
            </w:pPr>
            <w:r>
              <w:rPr>
                <w:rFonts w:hint="eastAsia"/>
              </w:rPr>
              <w:t>66</w:t>
            </w:r>
          </w:p>
        </w:tc>
        <w:tc>
          <w:tcPr>
            <w:tcW w:w="958" w:type="dxa"/>
            <w:vAlign w:val="center"/>
          </w:tcPr>
          <w:p w14:paraId="0D094525">
            <w:pPr>
              <w:pStyle w:val="34"/>
            </w:pPr>
            <w:r>
              <w:rPr>
                <w:rFonts w:hint="eastAsia"/>
              </w:rPr>
              <w:t>-15</w:t>
            </w:r>
          </w:p>
        </w:tc>
        <w:tc>
          <w:tcPr>
            <w:tcW w:w="1006" w:type="dxa"/>
            <w:vAlign w:val="center"/>
          </w:tcPr>
          <w:p w14:paraId="37AE5790">
            <w:pPr>
              <w:pStyle w:val="34"/>
            </w:pPr>
            <w:r>
              <w:rPr>
                <w:rFonts w:hint="eastAsia"/>
              </w:rPr>
              <w:t>140</w:t>
            </w:r>
          </w:p>
        </w:tc>
        <w:tc>
          <w:tcPr>
            <w:tcW w:w="1721" w:type="dxa"/>
            <w:vAlign w:val="center"/>
          </w:tcPr>
          <w:p w14:paraId="3661EEDA">
            <w:pPr>
              <w:pStyle w:val="34"/>
            </w:pPr>
            <w:r>
              <w:rPr>
                <w:rFonts w:hint="eastAsia"/>
              </w:rPr>
              <w:t>1.273</w:t>
            </w:r>
          </w:p>
        </w:tc>
      </w:tr>
      <w:tr w14:paraId="5CFF11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E1D57DF">
            <w:pPr>
              <w:pStyle w:val="34"/>
              <w:numPr>
                <w:ilvl w:val="0"/>
                <w:numId w:val="54"/>
              </w:numPr>
              <w:rPr>
                <w:lang w:eastAsia="en-US"/>
              </w:rPr>
            </w:pPr>
          </w:p>
        </w:tc>
        <w:tc>
          <w:tcPr>
            <w:tcW w:w="1868" w:type="dxa"/>
            <w:vAlign w:val="center"/>
          </w:tcPr>
          <w:p w14:paraId="56C0EA31">
            <w:pPr>
              <w:pStyle w:val="34"/>
              <w:rPr>
                <w:w w:val="105"/>
              </w:rPr>
            </w:pPr>
            <w:r>
              <w:rPr>
                <w:rFonts w:hint="eastAsia"/>
                <w:w w:val="105"/>
              </w:rPr>
              <w:t>呋喃</w:t>
            </w:r>
          </w:p>
        </w:tc>
        <w:tc>
          <w:tcPr>
            <w:tcW w:w="1684" w:type="dxa"/>
            <w:vAlign w:val="center"/>
          </w:tcPr>
          <w:p w14:paraId="41E52E05">
            <w:pPr>
              <w:pStyle w:val="34"/>
            </w:pPr>
            <w:r>
              <w:t>无色液体，有温和的香味</w:t>
            </w:r>
          </w:p>
        </w:tc>
        <w:tc>
          <w:tcPr>
            <w:tcW w:w="1318" w:type="dxa"/>
            <w:vAlign w:val="center"/>
          </w:tcPr>
          <w:p w14:paraId="102355F4">
            <w:pPr>
              <w:pStyle w:val="34"/>
            </w:pPr>
            <w:r>
              <w:t>不溶</w:t>
            </w:r>
          </w:p>
        </w:tc>
        <w:tc>
          <w:tcPr>
            <w:tcW w:w="607" w:type="dxa"/>
            <w:vAlign w:val="center"/>
          </w:tcPr>
          <w:p w14:paraId="36A526D7">
            <w:pPr>
              <w:pStyle w:val="34"/>
            </w:pPr>
            <w:r>
              <w:t>易挥发</w:t>
            </w:r>
          </w:p>
        </w:tc>
        <w:tc>
          <w:tcPr>
            <w:tcW w:w="859" w:type="dxa"/>
            <w:vAlign w:val="center"/>
          </w:tcPr>
          <w:p w14:paraId="78CFDE98">
            <w:pPr>
              <w:pStyle w:val="34"/>
            </w:pPr>
            <w:r>
              <w:t>极易燃</w:t>
            </w:r>
          </w:p>
        </w:tc>
        <w:tc>
          <w:tcPr>
            <w:tcW w:w="1562" w:type="dxa"/>
            <w:vAlign w:val="center"/>
          </w:tcPr>
          <w:p w14:paraId="599B5AEA">
            <w:pPr>
              <w:pStyle w:val="34"/>
            </w:pPr>
            <w:r>
              <w:rPr>
                <w:rFonts w:hint="eastAsia"/>
              </w:rPr>
              <w:t>2.3~14.3</w:t>
            </w:r>
          </w:p>
        </w:tc>
        <w:tc>
          <w:tcPr>
            <w:tcW w:w="1060" w:type="dxa"/>
            <w:vAlign w:val="center"/>
          </w:tcPr>
          <w:p w14:paraId="37FB99DA">
            <w:pPr>
              <w:pStyle w:val="34"/>
            </w:pPr>
            <w:r>
              <w:rPr>
                <w:rFonts w:hint="eastAsia"/>
              </w:rPr>
              <w:t>-85.6</w:t>
            </w:r>
          </w:p>
        </w:tc>
        <w:tc>
          <w:tcPr>
            <w:tcW w:w="998" w:type="dxa"/>
            <w:vAlign w:val="center"/>
          </w:tcPr>
          <w:p w14:paraId="4A4A07AD">
            <w:pPr>
              <w:pStyle w:val="34"/>
            </w:pPr>
            <w:r>
              <w:rPr>
                <w:rFonts w:hint="eastAsia"/>
              </w:rPr>
              <w:t>31.4</w:t>
            </w:r>
          </w:p>
        </w:tc>
        <w:tc>
          <w:tcPr>
            <w:tcW w:w="958" w:type="dxa"/>
            <w:vAlign w:val="center"/>
          </w:tcPr>
          <w:p w14:paraId="15155CA1">
            <w:pPr>
              <w:pStyle w:val="34"/>
            </w:pPr>
            <w:r>
              <w:rPr>
                <w:rFonts w:hint="eastAsia"/>
              </w:rPr>
              <w:t>-35.6</w:t>
            </w:r>
          </w:p>
        </w:tc>
        <w:tc>
          <w:tcPr>
            <w:tcW w:w="1006" w:type="dxa"/>
            <w:vAlign w:val="center"/>
          </w:tcPr>
          <w:p w14:paraId="6F8F4BBA">
            <w:pPr>
              <w:pStyle w:val="34"/>
            </w:pPr>
            <w:r>
              <w:rPr>
                <w:rFonts w:hint="eastAsia"/>
              </w:rPr>
              <w:t>390</w:t>
            </w:r>
          </w:p>
        </w:tc>
        <w:tc>
          <w:tcPr>
            <w:tcW w:w="1721" w:type="dxa"/>
            <w:vAlign w:val="center"/>
          </w:tcPr>
          <w:p w14:paraId="67590419">
            <w:pPr>
              <w:pStyle w:val="34"/>
            </w:pPr>
            <w:r>
              <w:rPr>
                <w:rFonts w:hint="eastAsia"/>
              </w:rPr>
              <w:t>0.942</w:t>
            </w:r>
          </w:p>
        </w:tc>
      </w:tr>
      <w:tr w14:paraId="1FEF6A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0578321">
            <w:pPr>
              <w:pStyle w:val="34"/>
              <w:numPr>
                <w:ilvl w:val="0"/>
                <w:numId w:val="54"/>
              </w:numPr>
              <w:rPr>
                <w:lang w:eastAsia="en-US"/>
              </w:rPr>
            </w:pPr>
          </w:p>
        </w:tc>
        <w:tc>
          <w:tcPr>
            <w:tcW w:w="1868" w:type="dxa"/>
            <w:vAlign w:val="center"/>
          </w:tcPr>
          <w:p w14:paraId="784E672C">
            <w:pPr>
              <w:pStyle w:val="34"/>
              <w:rPr>
                <w:w w:val="105"/>
              </w:rPr>
            </w:pPr>
            <w:r>
              <w:rPr>
                <w:w w:val="105"/>
              </w:rPr>
              <w:t>乙醛</w:t>
            </w:r>
          </w:p>
        </w:tc>
        <w:tc>
          <w:tcPr>
            <w:tcW w:w="1684" w:type="dxa"/>
            <w:vAlign w:val="center"/>
          </w:tcPr>
          <w:p w14:paraId="72D8E92F">
            <w:pPr>
              <w:pStyle w:val="34"/>
            </w:pPr>
            <w:r>
              <w:t>无色液体</w:t>
            </w:r>
          </w:p>
        </w:tc>
        <w:tc>
          <w:tcPr>
            <w:tcW w:w="1318" w:type="dxa"/>
            <w:vAlign w:val="center"/>
          </w:tcPr>
          <w:p w14:paraId="0676A6FD">
            <w:pPr>
              <w:pStyle w:val="34"/>
            </w:pPr>
            <w:r>
              <w:t>与水混溶</w:t>
            </w:r>
          </w:p>
        </w:tc>
        <w:tc>
          <w:tcPr>
            <w:tcW w:w="607" w:type="dxa"/>
            <w:vAlign w:val="center"/>
          </w:tcPr>
          <w:p w14:paraId="10F0F594">
            <w:pPr>
              <w:pStyle w:val="34"/>
            </w:pPr>
            <w:r>
              <w:t>易挥发</w:t>
            </w:r>
          </w:p>
        </w:tc>
        <w:tc>
          <w:tcPr>
            <w:tcW w:w="859" w:type="dxa"/>
            <w:vAlign w:val="center"/>
          </w:tcPr>
          <w:p w14:paraId="0709F50D">
            <w:pPr>
              <w:pStyle w:val="34"/>
            </w:pPr>
            <w:r>
              <w:t>易燃</w:t>
            </w:r>
          </w:p>
        </w:tc>
        <w:tc>
          <w:tcPr>
            <w:tcW w:w="1562" w:type="dxa"/>
            <w:vAlign w:val="center"/>
          </w:tcPr>
          <w:p w14:paraId="240AB5BD">
            <w:pPr>
              <w:pStyle w:val="34"/>
            </w:pPr>
            <w:r>
              <w:t>4.0~57.0</w:t>
            </w:r>
          </w:p>
        </w:tc>
        <w:tc>
          <w:tcPr>
            <w:tcW w:w="1060" w:type="dxa"/>
            <w:vAlign w:val="center"/>
          </w:tcPr>
          <w:p w14:paraId="49EAC81C">
            <w:pPr>
              <w:pStyle w:val="34"/>
            </w:pPr>
            <w:r>
              <w:t>-123.5</w:t>
            </w:r>
          </w:p>
        </w:tc>
        <w:tc>
          <w:tcPr>
            <w:tcW w:w="998" w:type="dxa"/>
            <w:vAlign w:val="center"/>
          </w:tcPr>
          <w:p w14:paraId="4F0BB9B4">
            <w:pPr>
              <w:pStyle w:val="34"/>
            </w:pPr>
            <w:r>
              <w:t>20.8</w:t>
            </w:r>
          </w:p>
        </w:tc>
        <w:tc>
          <w:tcPr>
            <w:tcW w:w="958" w:type="dxa"/>
            <w:vAlign w:val="center"/>
          </w:tcPr>
          <w:p w14:paraId="0FE01EF0">
            <w:pPr>
              <w:pStyle w:val="34"/>
            </w:pPr>
            <w:r>
              <w:t>-39</w:t>
            </w:r>
          </w:p>
        </w:tc>
        <w:tc>
          <w:tcPr>
            <w:tcW w:w="1006" w:type="dxa"/>
            <w:vAlign w:val="center"/>
          </w:tcPr>
          <w:p w14:paraId="240F89EC">
            <w:pPr>
              <w:pStyle w:val="34"/>
            </w:pPr>
            <w:r>
              <w:t>140</w:t>
            </w:r>
          </w:p>
        </w:tc>
        <w:tc>
          <w:tcPr>
            <w:tcW w:w="1721" w:type="dxa"/>
            <w:vAlign w:val="center"/>
          </w:tcPr>
          <w:p w14:paraId="032AE713">
            <w:pPr>
              <w:pStyle w:val="34"/>
            </w:pPr>
            <w:r>
              <w:t>0.78</w:t>
            </w:r>
          </w:p>
        </w:tc>
      </w:tr>
      <w:tr w14:paraId="21ACE5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EC9ACAD">
            <w:pPr>
              <w:pStyle w:val="34"/>
              <w:numPr>
                <w:ilvl w:val="0"/>
                <w:numId w:val="54"/>
              </w:numPr>
              <w:rPr>
                <w:lang w:eastAsia="en-US"/>
              </w:rPr>
            </w:pPr>
          </w:p>
        </w:tc>
        <w:tc>
          <w:tcPr>
            <w:tcW w:w="1868" w:type="dxa"/>
            <w:vAlign w:val="center"/>
          </w:tcPr>
          <w:p w14:paraId="59F22F47">
            <w:pPr>
              <w:pStyle w:val="34"/>
              <w:rPr>
                <w:w w:val="105"/>
              </w:rPr>
            </w:pPr>
            <w:r>
              <w:rPr>
                <w:w w:val="105"/>
              </w:rPr>
              <w:t>甲醇</w:t>
            </w:r>
          </w:p>
        </w:tc>
        <w:tc>
          <w:tcPr>
            <w:tcW w:w="1684" w:type="dxa"/>
            <w:vAlign w:val="center"/>
          </w:tcPr>
          <w:p w14:paraId="3B0CAD1B">
            <w:pPr>
              <w:pStyle w:val="34"/>
            </w:pPr>
            <w:r>
              <w:t>无色液体</w:t>
            </w:r>
          </w:p>
        </w:tc>
        <w:tc>
          <w:tcPr>
            <w:tcW w:w="1318" w:type="dxa"/>
            <w:vAlign w:val="center"/>
          </w:tcPr>
          <w:p w14:paraId="7059B760">
            <w:pPr>
              <w:pStyle w:val="34"/>
            </w:pPr>
            <w:r>
              <w:t>可溶</w:t>
            </w:r>
          </w:p>
        </w:tc>
        <w:tc>
          <w:tcPr>
            <w:tcW w:w="607" w:type="dxa"/>
            <w:vAlign w:val="center"/>
          </w:tcPr>
          <w:p w14:paraId="3CDCE486">
            <w:pPr>
              <w:pStyle w:val="34"/>
            </w:pPr>
            <w:r>
              <w:t>易挥发</w:t>
            </w:r>
          </w:p>
        </w:tc>
        <w:tc>
          <w:tcPr>
            <w:tcW w:w="859" w:type="dxa"/>
            <w:vAlign w:val="center"/>
          </w:tcPr>
          <w:p w14:paraId="0137ABE5">
            <w:pPr>
              <w:pStyle w:val="34"/>
            </w:pPr>
            <w:r>
              <w:t>易燃</w:t>
            </w:r>
          </w:p>
        </w:tc>
        <w:tc>
          <w:tcPr>
            <w:tcW w:w="1562" w:type="dxa"/>
            <w:vAlign w:val="center"/>
          </w:tcPr>
          <w:p w14:paraId="4FCA210B">
            <w:pPr>
              <w:pStyle w:val="34"/>
            </w:pPr>
            <w:r>
              <w:rPr>
                <w:rFonts w:hint="eastAsia"/>
              </w:rPr>
              <w:t>6~36.5</w:t>
            </w:r>
          </w:p>
        </w:tc>
        <w:tc>
          <w:tcPr>
            <w:tcW w:w="1060" w:type="dxa"/>
            <w:vAlign w:val="center"/>
          </w:tcPr>
          <w:p w14:paraId="18628D53">
            <w:pPr>
              <w:pStyle w:val="34"/>
            </w:pPr>
            <w:r>
              <w:rPr>
                <w:rFonts w:hint="eastAsia"/>
              </w:rPr>
              <w:t>-97.8</w:t>
            </w:r>
          </w:p>
        </w:tc>
        <w:tc>
          <w:tcPr>
            <w:tcW w:w="998" w:type="dxa"/>
            <w:vAlign w:val="center"/>
          </w:tcPr>
          <w:p w14:paraId="17D45E6E">
            <w:pPr>
              <w:pStyle w:val="34"/>
            </w:pPr>
            <w:r>
              <w:rPr>
                <w:rFonts w:hint="eastAsia"/>
              </w:rPr>
              <w:t>64.7</w:t>
            </w:r>
          </w:p>
        </w:tc>
        <w:tc>
          <w:tcPr>
            <w:tcW w:w="958" w:type="dxa"/>
            <w:vAlign w:val="center"/>
          </w:tcPr>
          <w:p w14:paraId="49375B0E">
            <w:pPr>
              <w:pStyle w:val="34"/>
            </w:pPr>
            <w:r>
              <w:rPr>
                <w:rFonts w:hint="eastAsia"/>
              </w:rPr>
              <w:t>11.1</w:t>
            </w:r>
          </w:p>
        </w:tc>
        <w:tc>
          <w:tcPr>
            <w:tcW w:w="1006" w:type="dxa"/>
            <w:vAlign w:val="center"/>
          </w:tcPr>
          <w:p w14:paraId="6BAD11A8">
            <w:pPr>
              <w:pStyle w:val="34"/>
            </w:pPr>
            <w:r>
              <w:rPr>
                <w:rFonts w:hint="eastAsia"/>
              </w:rPr>
              <w:t>463.89</w:t>
            </w:r>
          </w:p>
        </w:tc>
        <w:tc>
          <w:tcPr>
            <w:tcW w:w="1721" w:type="dxa"/>
            <w:vAlign w:val="center"/>
          </w:tcPr>
          <w:p w14:paraId="698B579C">
            <w:pPr>
              <w:pStyle w:val="34"/>
            </w:pPr>
            <w:r>
              <w:rPr>
                <w:rFonts w:hint="eastAsia"/>
              </w:rPr>
              <w:t>0.792</w:t>
            </w:r>
          </w:p>
        </w:tc>
      </w:tr>
      <w:tr w14:paraId="1BAADA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10037D0">
            <w:pPr>
              <w:pStyle w:val="34"/>
              <w:numPr>
                <w:ilvl w:val="0"/>
                <w:numId w:val="54"/>
              </w:numPr>
              <w:rPr>
                <w:lang w:eastAsia="en-US"/>
              </w:rPr>
            </w:pPr>
          </w:p>
        </w:tc>
        <w:tc>
          <w:tcPr>
            <w:tcW w:w="1868" w:type="dxa"/>
            <w:vAlign w:val="center"/>
          </w:tcPr>
          <w:p w14:paraId="0069E7AE">
            <w:pPr>
              <w:pStyle w:val="34"/>
              <w:rPr>
                <w:w w:val="105"/>
              </w:rPr>
            </w:pPr>
            <w:r>
              <w:rPr>
                <w:w w:val="105"/>
              </w:rPr>
              <w:t>乙硫醇</w:t>
            </w:r>
          </w:p>
        </w:tc>
        <w:tc>
          <w:tcPr>
            <w:tcW w:w="1684" w:type="dxa"/>
            <w:vAlign w:val="center"/>
          </w:tcPr>
          <w:p w14:paraId="79E9ABC4">
            <w:pPr>
              <w:pStyle w:val="34"/>
            </w:pPr>
            <w:r>
              <w:t>无色液体，有恶臭味道</w:t>
            </w:r>
          </w:p>
        </w:tc>
        <w:tc>
          <w:tcPr>
            <w:tcW w:w="1318" w:type="dxa"/>
            <w:vAlign w:val="center"/>
          </w:tcPr>
          <w:p w14:paraId="146F7454">
            <w:pPr>
              <w:pStyle w:val="34"/>
            </w:pPr>
            <w:r>
              <w:t>可溶</w:t>
            </w:r>
          </w:p>
        </w:tc>
        <w:tc>
          <w:tcPr>
            <w:tcW w:w="607" w:type="dxa"/>
            <w:vAlign w:val="center"/>
          </w:tcPr>
          <w:p w14:paraId="12CE7ABB">
            <w:pPr>
              <w:pStyle w:val="34"/>
            </w:pPr>
            <w:r>
              <w:t>易挥发</w:t>
            </w:r>
          </w:p>
        </w:tc>
        <w:tc>
          <w:tcPr>
            <w:tcW w:w="859" w:type="dxa"/>
            <w:vAlign w:val="center"/>
          </w:tcPr>
          <w:p w14:paraId="164724F6">
            <w:pPr>
              <w:pStyle w:val="34"/>
            </w:pPr>
            <w:r>
              <w:t>极易燃</w:t>
            </w:r>
          </w:p>
        </w:tc>
        <w:tc>
          <w:tcPr>
            <w:tcW w:w="1562" w:type="dxa"/>
            <w:vAlign w:val="center"/>
          </w:tcPr>
          <w:p w14:paraId="4261C0B7">
            <w:pPr>
              <w:pStyle w:val="34"/>
            </w:pPr>
            <w:r>
              <w:rPr>
                <w:rFonts w:hint="eastAsia"/>
              </w:rPr>
              <w:t>2.8~18.2</w:t>
            </w:r>
          </w:p>
        </w:tc>
        <w:tc>
          <w:tcPr>
            <w:tcW w:w="1060" w:type="dxa"/>
            <w:vAlign w:val="center"/>
          </w:tcPr>
          <w:p w14:paraId="3B2B1408">
            <w:pPr>
              <w:pStyle w:val="34"/>
            </w:pPr>
            <w:r>
              <w:rPr>
                <w:rFonts w:hint="eastAsia"/>
              </w:rPr>
              <w:t>-148</w:t>
            </w:r>
          </w:p>
        </w:tc>
        <w:tc>
          <w:tcPr>
            <w:tcW w:w="998" w:type="dxa"/>
            <w:vAlign w:val="center"/>
          </w:tcPr>
          <w:p w14:paraId="7EAC51CA">
            <w:pPr>
              <w:pStyle w:val="34"/>
            </w:pPr>
            <w:r>
              <w:rPr>
                <w:rFonts w:hint="eastAsia"/>
              </w:rPr>
              <w:t>35</w:t>
            </w:r>
          </w:p>
        </w:tc>
        <w:tc>
          <w:tcPr>
            <w:tcW w:w="958" w:type="dxa"/>
            <w:vAlign w:val="center"/>
          </w:tcPr>
          <w:p w14:paraId="33CABF40">
            <w:pPr>
              <w:pStyle w:val="34"/>
            </w:pPr>
            <w:r>
              <w:rPr>
                <w:rFonts w:hint="eastAsia"/>
              </w:rPr>
              <w:t>-45</w:t>
            </w:r>
          </w:p>
        </w:tc>
        <w:tc>
          <w:tcPr>
            <w:tcW w:w="1006" w:type="dxa"/>
            <w:vAlign w:val="center"/>
          </w:tcPr>
          <w:p w14:paraId="0417C050">
            <w:pPr>
              <w:pStyle w:val="34"/>
            </w:pPr>
            <w:r>
              <w:rPr>
                <w:rFonts w:hint="eastAsia"/>
              </w:rPr>
              <w:t>298.8</w:t>
            </w:r>
          </w:p>
        </w:tc>
        <w:tc>
          <w:tcPr>
            <w:tcW w:w="1721" w:type="dxa"/>
            <w:vAlign w:val="center"/>
          </w:tcPr>
          <w:p w14:paraId="1E396A2C">
            <w:pPr>
              <w:pStyle w:val="34"/>
            </w:pPr>
            <w:r>
              <w:rPr>
                <w:rFonts w:hint="eastAsia"/>
              </w:rPr>
              <w:t>0.839</w:t>
            </w:r>
          </w:p>
        </w:tc>
      </w:tr>
      <w:tr w14:paraId="407DA0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498A286">
            <w:pPr>
              <w:pStyle w:val="34"/>
              <w:numPr>
                <w:ilvl w:val="0"/>
                <w:numId w:val="54"/>
              </w:numPr>
              <w:rPr>
                <w:lang w:eastAsia="en-US"/>
              </w:rPr>
            </w:pPr>
          </w:p>
        </w:tc>
        <w:tc>
          <w:tcPr>
            <w:tcW w:w="1868" w:type="dxa"/>
            <w:vAlign w:val="center"/>
          </w:tcPr>
          <w:p w14:paraId="6E9F9D0F">
            <w:pPr>
              <w:pStyle w:val="34"/>
              <w:rPr>
                <w:w w:val="105"/>
              </w:rPr>
            </w:pPr>
            <w:r>
              <w:rPr>
                <w:w w:val="105"/>
              </w:rPr>
              <w:t>丙酮</w:t>
            </w:r>
          </w:p>
        </w:tc>
        <w:tc>
          <w:tcPr>
            <w:tcW w:w="1684" w:type="dxa"/>
            <w:vAlign w:val="center"/>
          </w:tcPr>
          <w:p w14:paraId="7C5932FE">
            <w:pPr>
              <w:pStyle w:val="34"/>
            </w:pPr>
            <w:r>
              <w:t>无色透明易流动液体，有芳香气味</w:t>
            </w:r>
          </w:p>
        </w:tc>
        <w:tc>
          <w:tcPr>
            <w:tcW w:w="1318" w:type="dxa"/>
            <w:vAlign w:val="center"/>
          </w:tcPr>
          <w:p w14:paraId="050645DE">
            <w:pPr>
              <w:pStyle w:val="34"/>
            </w:pPr>
            <w:r>
              <w:t>与水混溶</w:t>
            </w:r>
          </w:p>
        </w:tc>
        <w:tc>
          <w:tcPr>
            <w:tcW w:w="607" w:type="dxa"/>
            <w:vAlign w:val="center"/>
          </w:tcPr>
          <w:p w14:paraId="5CB31868">
            <w:pPr>
              <w:pStyle w:val="34"/>
            </w:pPr>
            <w:r>
              <w:t>极易挥发</w:t>
            </w:r>
          </w:p>
        </w:tc>
        <w:tc>
          <w:tcPr>
            <w:tcW w:w="859" w:type="dxa"/>
            <w:vAlign w:val="center"/>
          </w:tcPr>
          <w:p w14:paraId="5DBC47EA">
            <w:pPr>
              <w:pStyle w:val="34"/>
            </w:pPr>
            <w:r>
              <w:t>易燃</w:t>
            </w:r>
          </w:p>
        </w:tc>
        <w:tc>
          <w:tcPr>
            <w:tcW w:w="1562" w:type="dxa"/>
            <w:vAlign w:val="center"/>
          </w:tcPr>
          <w:p w14:paraId="1B1FB8B2">
            <w:pPr>
              <w:pStyle w:val="34"/>
            </w:pPr>
            <w:r>
              <w:t>2.5~13.0</w:t>
            </w:r>
          </w:p>
        </w:tc>
        <w:tc>
          <w:tcPr>
            <w:tcW w:w="1060" w:type="dxa"/>
            <w:vAlign w:val="center"/>
          </w:tcPr>
          <w:p w14:paraId="2AFD5297">
            <w:pPr>
              <w:pStyle w:val="34"/>
            </w:pPr>
            <w:r>
              <w:t>-94.6</w:t>
            </w:r>
          </w:p>
        </w:tc>
        <w:tc>
          <w:tcPr>
            <w:tcW w:w="998" w:type="dxa"/>
            <w:vAlign w:val="center"/>
          </w:tcPr>
          <w:p w14:paraId="53564119">
            <w:pPr>
              <w:pStyle w:val="34"/>
            </w:pPr>
            <w:r>
              <w:t>56.5</w:t>
            </w:r>
          </w:p>
        </w:tc>
        <w:tc>
          <w:tcPr>
            <w:tcW w:w="958" w:type="dxa"/>
            <w:vAlign w:val="center"/>
          </w:tcPr>
          <w:p w14:paraId="2F0C388B">
            <w:pPr>
              <w:pStyle w:val="34"/>
            </w:pPr>
            <w:r>
              <w:t>-20</w:t>
            </w:r>
          </w:p>
        </w:tc>
        <w:tc>
          <w:tcPr>
            <w:tcW w:w="1006" w:type="dxa"/>
            <w:vAlign w:val="center"/>
          </w:tcPr>
          <w:p w14:paraId="02E20BE2">
            <w:pPr>
              <w:pStyle w:val="34"/>
            </w:pPr>
            <w:r>
              <w:t>465</w:t>
            </w:r>
          </w:p>
        </w:tc>
        <w:tc>
          <w:tcPr>
            <w:tcW w:w="1721" w:type="dxa"/>
            <w:vAlign w:val="center"/>
          </w:tcPr>
          <w:p w14:paraId="34EE9958">
            <w:pPr>
              <w:pStyle w:val="34"/>
            </w:pPr>
            <w:r>
              <w:t>0.80</w:t>
            </w:r>
          </w:p>
        </w:tc>
      </w:tr>
      <w:tr w14:paraId="5AC756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2E7BD14A">
            <w:pPr>
              <w:pStyle w:val="34"/>
              <w:numPr>
                <w:ilvl w:val="0"/>
                <w:numId w:val="54"/>
              </w:numPr>
              <w:rPr>
                <w:lang w:eastAsia="en-US"/>
              </w:rPr>
            </w:pPr>
          </w:p>
        </w:tc>
        <w:tc>
          <w:tcPr>
            <w:tcW w:w="1868" w:type="dxa"/>
            <w:vAlign w:val="center"/>
          </w:tcPr>
          <w:p w14:paraId="5F18CE83">
            <w:pPr>
              <w:pStyle w:val="34"/>
              <w:rPr>
                <w:w w:val="105"/>
              </w:rPr>
            </w:pPr>
            <w:r>
              <w:rPr>
                <w:w w:val="105"/>
              </w:rPr>
              <w:t>乙醇</w:t>
            </w:r>
          </w:p>
        </w:tc>
        <w:tc>
          <w:tcPr>
            <w:tcW w:w="1684" w:type="dxa"/>
            <w:vAlign w:val="center"/>
          </w:tcPr>
          <w:p w14:paraId="55B74E22">
            <w:pPr>
              <w:pStyle w:val="34"/>
            </w:pPr>
            <w:r>
              <w:t>无色液体</w:t>
            </w:r>
          </w:p>
        </w:tc>
        <w:tc>
          <w:tcPr>
            <w:tcW w:w="1318" w:type="dxa"/>
            <w:vAlign w:val="center"/>
          </w:tcPr>
          <w:p w14:paraId="743D4052">
            <w:pPr>
              <w:pStyle w:val="34"/>
              <w:rPr>
                <w:lang w:eastAsia="en-US"/>
              </w:rPr>
            </w:pPr>
            <w:r>
              <w:t>与水混溶</w:t>
            </w:r>
          </w:p>
        </w:tc>
        <w:tc>
          <w:tcPr>
            <w:tcW w:w="607" w:type="dxa"/>
            <w:vAlign w:val="center"/>
          </w:tcPr>
          <w:p w14:paraId="6CD97F0D">
            <w:pPr>
              <w:pStyle w:val="34"/>
            </w:pPr>
            <w:r>
              <w:t>易挥发</w:t>
            </w:r>
          </w:p>
        </w:tc>
        <w:tc>
          <w:tcPr>
            <w:tcW w:w="859" w:type="dxa"/>
            <w:vAlign w:val="center"/>
          </w:tcPr>
          <w:p w14:paraId="6EEBF9E6">
            <w:pPr>
              <w:pStyle w:val="34"/>
            </w:pPr>
            <w:r>
              <w:t>易燃</w:t>
            </w:r>
          </w:p>
        </w:tc>
        <w:tc>
          <w:tcPr>
            <w:tcW w:w="1562" w:type="dxa"/>
            <w:vAlign w:val="center"/>
          </w:tcPr>
          <w:p w14:paraId="6DDEE736">
            <w:pPr>
              <w:pStyle w:val="34"/>
            </w:pPr>
            <w:r>
              <w:t>3.3~19.0</w:t>
            </w:r>
          </w:p>
        </w:tc>
        <w:tc>
          <w:tcPr>
            <w:tcW w:w="1060" w:type="dxa"/>
            <w:vAlign w:val="center"/>
          </w:tcPr>
          <w:p w14:paraId="1B58E9CC">
            <w:pPr>
              <w:pStyle w:val="34"/>
            </w:pPr>
            <w:r>
              <w:t>-114.1</w:t>
            </w:r>
          </w:p>
        </w:tc>
        <w:tc>
          <w:tcPr>
            <w:tcW w:w="998" w:type="dxa"/>
            <w:vAlign w:val="center"/>
          </w:tcPr>
          <w:p w14:paraId="3D0DEF3B">
            <w:pPr>
              <w:pStyle w:val="34"/>
            </w:pPr>
            <w:r>
              <w:t>78.3</w:t>
            </w:r>
          </w:p>
        </w:tc>
        <w:tc>
          <w:tcPr>
            <w:tcW w:w="958" w:type="dxa"/>
            <w:vAlign w:val="center"/>
          </w:tcPr>
          <w:p w14:paraId="5A9F8625">
            <w:pPr>
              <w:pStyle w:val="34"/>
            </w:pPr>
            <w:r>
              <w:t>12</w:t>
            </w:r>
          </w:p>
        </w:tc>
        <w:tc>
          <w:tcPr>
            <w:tcW w:w="1006" w:type="dxa"/>
            <w:vAlign w:val="center"/>
          </w:tcPr>
          <w:p w14:paraId="34EA1FDF">
            <w:pPr>
              <w:pStyle w:val="34"/>
            </w:pPr>
            <w:r>
              <w:t>363</w:t>
            </w:r>
          </w:p>
        </w:tc>
        <w:tc>
          <w:tcPr>
            <w:tcW w:w="1721" w:type="dxa"/>
            <w:vAlign w:val="center"/>
          </w:tcPr>
          <w:p w14:paraId="14D56D1B">
            <w:pPr>
              <w:pStyle w:val="34"/>
            </w:pPr>
            <w:r>
              <w:t>0.79</w:t>
            </w:r>
          </w:p>
        </w:tc>
      </w:tr>
      <w:tr w14:paraId="7F0096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2C3C7E13">
            <w:pPr>
              <w:pStyle w:val="34"/>
              <w:numPr>
                <w:ilvl w:val="0"/>
                <w:numId w:val="54"/>
              </w:numPr>
              <w:rPr>
                <w:lang w:eastAsia="en-US"/>
              </w:rPr>
            </w:pPr>
          </w:p>
        </w:tc>
        <w:tc>
          <w:tcPr>
            <w:tcW w:w="1868" w:type="dxa"/>
            <w:vAlign w:val="center"/>
          </w:tcPr>
          <w:p w14:paraId="27BD5A79">
            <w:pPr>
              <w:pStyle w:val="34"/>
              <w:rPr>
                <w:w w:val="105"/>
              </w:rPr>
            </w:pPr>
            <w:r>
              <w:rPr>
                <w:w w:val="105"/>
              </w:rPr>
              <w:t>吡啶</w:t>
            </w:r>
          </w:p>
        </w:tc>
        <w:tc>
          <w:tcPr>
            <w:tcW w:w="1684" w:type="dxa"/>
            <w:vAlign w:val="center"/>
          </w:tcPr>
          <w:p w14:paraId="264496F2">
            <w:pPr>
              <w:pStyle w:val="34"/>
            </w:pPr>
            <w:r>
              <w:t>无色或微黄色液体</w:t>
            </w:r>
          </w:p>
        </w:tc>
        <w:tc>
          <w:tcPr>
            <w:tcW w:w="1318" w:type="dxa"/>
            <w:vAlign w:val="center"/>
          </w:tcPr>
          <w:p w14:paraId="305F843A">
            <w:pPr>
              <w:pStyle w:val="34"/>
            </w:pPr>
            <w:r>
              <w:t>可溶</w:t>
            </w:r>
          </w:p>
        </w:tc>
        <w:tc>
          <w:tcPr>
            <w:tcW w:w="607" w:type="dxa"/>
            <w:vAlign w:val="center"/>
          </w:tcPr>
          <w:p w14:paraId="5B607564">
            <w:pPr>
              <w:pStyle w:val="34"/>
            </w:pPr>
            <w:r>
              <w:t>易挥发</w:t>
            </w:r>
          </w:p>
        </w:tc>
        <w:tc>
          <w:tcPr>
            <w:tcW w:w="859" w:type="dxa"/>
            <w:vAlign w:val="center"/>
          </w:tcPr>
          <w:p w14:paraId="1E8472BE">
            <w:pPr>
              <w:pStyle w:val="34"/>
            </w:pPr>
            <w:r>
              <w:t>易燃</w:t>
            </w:r>
          </w:p>
        </w:tc>
        <w:tc>
          <w:tcPr>
            <w:tcW w:w="1562" w:type="dxa"/>
            <w:vAlign w:val="center"/>
          </w:tcPr>
          <w:p w14:paraId="5A32AEB3">
            <w:pPr>
              <w:pStyle w:val="34"/>
            </w:pPr>
            <w:r>
              <w:t>1.7~12.4</w:t>
            </w:r>
          </w:p>
        </w:tc>
        <w:tc>
          <w:tcPr>
            <w:tcW w:w="1060" w:type="dxa"/>
            <w:vAlign w:val="center"/>
          </w:tcPr>
          <w:p w14:paraId="6564F466">
            <w:pPr>
              <w:pStyle w:val="34"/>
            </w:pPr>
            <w:r>
              <w:t>-42</w:t>
            </w:r>
          </w:p>
        </w:tc>
        <w:tc>
          <w:tcPr>
            <w:tcW w:w="998" w:type="dxa"/>
            <w:vAlign w:val="center"/>
          </w:tcPr>
          <w:p w14:paraId="6D00D20E">
            <w:pPr>
              <w:pStyle w:val="34"/>
            </w:pPr>
            <w:r>
              <w:t>115.3</w:t>
            </w:r>
          </w:p>
        </w:tc>
        <w:tc>
          <w:tcPr>
            <w:tcW w:w="958" w:type="dxa"/>
            <w:vAlign w:val="center"/>
          </w:tcPr>
          <w:p w14:paraId="53875D98">
            <w:pPr>
              <w:pStyle w:val="34"/>
            </w:pPr>
            <w:r>
              <w:t>17</w:t>
            </w:r>
          </w:p>
        </w:tc>
        <w:tc>
          <w:tcPr>
            <w:tcW w:w="1006" w:type="dxa"/>
            <w:vAlign w:val="center"/>
          </w:tcPr>
          <w:p w14:paraId="0B1E6976">
            <w:pPr>
              <w:pStyle w:val="34"/>
            </w:pPr>
            <w:r>
              <w:t>482</w:t>
            </w:r>
          </w:p>
        </w:tc>
        <w:tc>
          <w:tcPr>
            <w:tcW w:w="1721" w:type="dxa"/>
            <w:vAlign w:val="center"/>
          </w:tcPr>
          <w:p w14:paraId="28C09428">
            <w:pPr>
              <w:pStyle w:val="34"/>
            </w:pPr>
            <w:r>
              <w:t>0.98</w:t>
            </w:r>
          </w:p>
        </w:tc>
      </w:tr>
      <w:tr w14:paraId="655331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jc w:val="center"/>
        </w:trPr>
        <w:tc>
          <w:tcPr>
            <w:tcW w:w="534" w:type="dxa"/>
            <w:vAlign w:val="center"/>
          </w:tcPr>
          <w:p w14:paraId="549B8445">
            <w:pPr>
              <w:pStyle w:val="34"/>
              <w:numPr>
                <w:ilvl w:val="0"/>
                <w:numId w:val="54"/>
              </w:numPr>
              <w:rPr>
                <w:lang w:eastAsia="en-US"/>
              </w:rPr>
            </w:pPr>
          </w:p>
        </w:tc>
        <w:tc>
          <w:tcPr>
            <w:tcW w:w="1868" w:type="dxa"/>
            <w:vAlign w:val="center"/>
          </w:tcPr>
          <w:p w14:paraId="6D2E32FD">
            <w:pPr>
              <w:pStyle w:val="34"/>
              <w:rPr>
                <w:w w:val="105"/>
              </w:rPr>
            </w:pPr>
            <w:r>
              <w:rPr>
                <w:rFonts w:hint="eastAsia"/>
                <w:w w:val="105"/>
              </w:rPr>
              <w:t>四氢呋喃</w:t>
            </w:r>
          </w:p>
        </w:tc>
        <w:tc>
          <w:tcPr>
            <w:tcW w:w="1684" w:type="dxa"/>
            <w:vAlign w:val="center"/>
          </w:tcPr>
          <w:p w14:paraId="206711A4">
            <w:pPr>
              <w:pStyle w:val="34"/>
            </w:pPr>
            <w:r>
              <w:t>无色透明液体，有</w:t>
            </w:r>
            <w:r>
              <w:rPr>
                <w:rFonts w:hint="eastAsia"/>
              </w:rPr>
              <w:t>乙醚</w:t>
            </w:r>
            <w:r>
              <w:t>气味</w:t>
            </w:r>
          </w:p>
        </w:tc>
        <w:tc>
          <w:tcPr>
            <w:tcW w:w="1318" w:type="dxa"/>
            <w:vAlign w:val="center"/>
          </w:tcPr>
          <w:p w14:paraId="2D1C92A0">
            <w:pPr>
              <w:pStyle w:val="34"/>
              <w:rPr>
                <w:lang w:eastAsia="en-US"/>
              </w:rPr>
            </w:pPr>
            <w:r>
              <w:rPr>
                <w:lang w:eastAsia="en-US"/>
              </w:rPr>
              <w:t>与水混溶</w:t>
            </w:r>
          </w:p>
        </w:tc>
        <w:tc>
          <w:tcPr>
            <w:tcW w:w="607" w:type="dxa"/>
            <w:vAlign w:val="center"/>
          </w:tcPr>
          <w:p w14:paraId="3C31D9FE">
            <w:pPr>
              <w:pStyle w:val="34"/>
            </w:pPr>
            <w:r>
              <w:t>易挥发</w:t>
            </w:r>
          </w:p>
        </w:tc>
        <w:tc>
          <w:tcPr>
            <w:tcW w:w="859" w:type="dxa"/>
            <w:vAlign w:val="center"/>
          </w:tcPr>
          <w:p w14:paraId="5F84C541">
            <w:pPr>
              <w:pStyle w:val="34"/>
            </w:pPr>
            <w:r>
              <w:t>易燃</w:t>
            </w:r>
          </w:p>
        </w:tc>
        <w:tc>
          <w:tcPr>
            <w:tcW w:w="1562" w:type="dxa"/>
            <w:vAlign w:val="center"/>
          </w:tcPr>
          <w:p w14:paraId="0390429B">
            <w:pPr>
              <w:pStyle w:val="34"/>
            </w:pPr>
            <w:r>
              <w:rPr>
                <w:rFonts w:hint="eastAsia"/>
              </w:rPr>
              <w:t>1.8~11.8</w:t>
            </w:r>
          </w:p>
        </w:tc>
        <w:tc>
          <w:tcPr>
            <w:tcW w:w="1060" w:type="dxa"/>
            <w:vAlign w:val="center"/>
          </w:tcPr>
          <w:p w14:paraId="5057EEAD">
            <w:pPr>
              <w:pStyle w:val="34"/>
            </w:pPr>
            <w:r>
              <w:rPr>
                <w:rFonts w:hint="eastAsia"/>
              </w:rPr>
              <w:t>-108.5</w:t>
            </w:r>
          </w:p>
        </w:tc>
        <w:tc>
          <w:tcPr>
            <w:tcW w:w="998" w:type="dxa"/>
            <w:vAlign w:val="center"/>
          </w:tcPr>
          <w:p w14:paraId="586C4FCB">
            <w:pPr>
              <w:pStyle w:val="34"/>
            </w:pPr>
            <w:r>
              <w:rPr>
                <w:rFonts w:hint="eastAsia"/>
              </w:rPr>
              <w:t>66</w:t>
            </w:r>
          </w:p>
        </w:tc>
        <w:tc>
          <w:tcPr>
            <w:tcW w:w="958" w:type="dxa"/>
            <w:vAlign w:val="center"/>
          </w:tcPr>
          <w:p w14:paraId="4E3DFCA1">
            <w:pPr>
              <w:pStyle w:val="34"/>
            </w:pPr>
            <w:r>
              <w:rPr>
                <w:rFonts w:hint="eastAsia"/>
              </w:rPr>
              <w:t>-14</w:t>
            </w:r>
          </w:p>
        </w:tc>
        <w:tc>
          <w:tcPr>
            <w:tcW w:w="1006" w:type="dxa"/>
            <w:vAlign w:val="center"/>
          </w:tcPr>
          <w:p w14:paraId="3B119D2E">
            <w:pPr>
              <w:pStyle w:val="34"/>
            </w:pPr>
            <w:r>
              <w:rPr>
                <w:rFonts w:hint="eastAsia"/>
              </w:rPr>
              <w:t>220</w:t>
            </w:r>
          </w:p>
        </w:tc>
        <w:tc>
          <w:tcPr>
            <w:tcW w:w="1721" w:type="dxa"/>
            <w:vAlign w:val="center"/>
          </w:tcPr>
          <w:p w14:paraId="2DC7CEBF">
            <w:pPr>
              <w:pStyle w:val="34"/>
            </w:pPr>
            <w:r>
              <w:rPr>
                <w:rFonts w:hint="eastAsia"/>
              </w:rPr>
              <w:t>0.89</w:t>
            </w:r>
          </w:p>
        </w:tc>
      </w:tr>
      <w:tr w14:paraId="7BF69C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39E0916">
            <w:pPr>
              <w:pStyle w:val="34"/>
              <w:numPr>
                <w:ilvl w:val="0"/>
                <w:numId w:val="54"/>
              </w:numPr>
              <w:rPr>
                <w:lang w:eastAsia="en-US"/>
              </w:rPr>
            </w:pPr>
          </w:p>
        </w:tc>
        <w:tc>
          <w:tcPr>
            <w:tcW w:w="1868" w:type="dxa"/>
            <w:vAlign w:val="center"/>
          </w:tcPr>
          <w:p w14:paraId="20CF5CD2">
            <w:pPr>
              <w:pStyle w:val="34"/>
              <w:rPr>
                <w:w w:val="105"/>
              </w:rPr>
            </w:pPr>
            <w:r>
              <w:rPr>
                <w:w w:val="105"/>
              </w:rPr>
              <w:t>乙酸甲酯</w:t>
            </w:r>
          </w:p>
        </w:tc>
        <w:tc>
          <w:tcPr>
            <w:tcW w:w="1684" w:type="dxa"/>
            <w:vAlign w:val="center"/>
          </w:tcPr>
          <w:p w14:paraId="4E28B73C">
            <w:pPr>
              <w:pStyle w:val="34"/>
            </w:pPr>
            <w:r>
              <w:t>无色液体，有刺激性醋酸气味</w:t>
            </w:r>
          </w:p>
        </w:tc>
        <w:tc>
          <w:tcPr>
            <w:tcW w:w="1318" w:type="dxa"/>
            <w:vAlign w:val="center"/>
          </w:tcPr>
          <w:p w14:paraId="0B0A5590">
            <w:pPr>
              <w:pStyle w:val="34"/>
            </w:pPr>
            <w:r>
              <w:rPr>
                <w:rFonts w:hint="eastAsia"/>
              </w:rPr>
              <w:t>难溶</w:t>
            </w:r>
          </w:p>
        </w:tc>
        <w:tc>
          <w:tcPr>
            <w:tcW w:w="607" w:type="dxa"/>
            <w:vAlign w:val="center"/>
          </w:tcPr>
          <w:p w14:paraId="268123D8">
            <w:pPr>
              <w:pStyle w:val="34"/>
            </w:pPr>
            <w:r>
              <w:rPr>
                <w:rFonts w:hint="eastAsia"/>
              </w:rPr>
              <w:t>易挥发</w:t>
            </w:r>
          </w:p>
        </w:tc>
        <w:tc>
          <w:tcPr>
            <w:tcW w:w="859" w:type="dxa"/>
            <w:vAlign w:val="center"/>
          </w:tcPr>
          <w:p w14:paraId="4348E797">
            <w:pPr>
              <w:pStyle w:val="34"/>
            </w:pPr>
            <w:r>
              <w:t>易燃</w:t>
            </w:r>
          </w:p>
        </w:tc>
        <w:tc>
          <w:tcPr>
            <w:tcW w:w="1562" w:type="dxa"/>
            <w:vAlign w:val="center"/>
          </w:tcPr>
          <w:p w14:paraId="5EE968B1">
            <w:pPr>
              <w:pStyle w:val="34"/>
            </w:pPr>
            <w:r>
              <w:rPr>
                <w:rFonts w:hint="eastAsia"/>
              </w:rPr>
              <w:t>3.1~16.0</w:t>
            </w:r>
          </w:p>
        </w:tc>
        <w:tc>
          <w:tcPr>
            <w:tcW w:w="1060" w:type="dxa"/>
            <w:vAlign w:val="center"/>
          </w:tcPr>
          <w:p w14:paraId="3B622A2A">
            <w:pPr>
              <w:pStyle w:val="34"/>
            </w:pPr>
            <w:r>
              <w:rPr>
                <w:rFonts w:hint="eastAsia"/>
              </w:rPr>
              <w:t>-98</w:t>
            </w:r>
          </w:p>
        </w:tc>
        <w:tc>
          <w:tcPr>
            <w:tcW w:w="998" w:type="dxa"/>
            <w:vAlign w:val="center"/>
          </w:tcPr>
          <w:p w14:paraId="3FF85B42">
            <w:pPr>
              <w:pStyle w:val="34"/>
            </w:pPr>
            <w:r>
              <w:rPr>
                <w:rFonts w:hint="eastAsia"/>
              </w:rPr>
              <w:t>56.8</w:t>
            </w:r>
          </w:p>
        </w:tc>
        <w:tc>
          <w:tcPr>
            <w:tcW w:w="958" w:type="dxa"/>
            <w:vAlign w:val="center"/>
          </w:tcPr>
          <w:p w14:paraId="35D1D030">
            <w:pPr>
              <w:pStyle w:val="34"/>
            </w:pPr>
            <w:r>
              <w:rPr>
                <w:rFonts w:hint="eastAsia"/>
              </w:rPr>
              <w:t>-9</w:t>
            </w:r>
          </w:p>
        </w:tc>
        <w:tc>
          <w:tcPr>
            <w:tcW w:w="1006" w:type="dxa"/>
            <w:vAlign w:val="center"/>
          </w:tcPr>
          <w:p w14:paraId="4D2C99C7">
            <w:pPr>
              <w:pStyle w:val="34"/>
            </w:pPr>
            <w:r>
              <w:rPr>
                <w:rFonts w:hint="eastAsia"/>
              </w:rPr>
              <w:t>370</w:t>
            </w:r>
          </w:p>
        </w:tc>
        <w:tc>
          <w:tcPr>
            <w:tcW w:w="1721" w:type="dxa"/>
            <w:vAlign w:val="center"/>
          </w:tcPr>
          <w:p w14:paraId="4314470D">
            <w:pPr>
              <w:pStyle w:val="34"/>
            </w:pPr>
            <w:r>
              <w:rPr>
                <w:rFonts w:hint="eastAsia"/>
              </w:rPr>
              <w:t>0.932</w:t>
            </w:r>
          </w:p>
        </w:tc>
      </w:tr>
      <w:tr w14:paraId="457682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EEA77EF">
            <w:pPr>
              <w:pStyle w:val="34"/>
              <w:numPr>
                <w:ilvl w:val="0"/>
                <w:numId w:val="54"/>
              </w:numPr>
              <w:rPr>
                <w:lang w:eastAsia="en-US"/>
              </w:rPr>
            </w:pPr>
          </w:p>
        </w:tc>
        <w:tc>
          <w:tcPr>
            <w:tcW w:w="1868" w:type="dxa"/>
            <w:vAlign w:val="center"/>
          </w:tcPr>
          <w:p w14:paraId="4407D148">
            <w:pPr>
              <w:pStyle w:val="34"/>
              <w:rPr>
                <w:w w:val="105"/>
              </w:rPr>
            </w:pPr>
            <w:r>
              <w:rPr>
                <w:w w:val="105"/>
              </w:rPr>
              <w:t>丙烯腈</w:t>
            </w:r>
          </w:p>
        </w:tc>
        <w:tc>
          <w:tcPr>
            <w:tcW w:w="1684" w:type="dxa"/>
            <w:vAlign w:val="center"/>
          </w:tcPr>
          <w:p w14:paraId="7AF49F9A">
            <w:pPr>
              <w:pStyle w:val="34"/>
            </w:pPr>
            <w:r>
              <w:t>无色液体，有刺激性气味</w:t>
            </w:r>
          </w:p>
        </w:tc>
        <w:tc>
          <w:tcPr>
            <w:tcW w:w="1318" w:type="dxa"/>
            <w:vAlign w:val="center"/>
          </w:tcPr>
          <w:p w14:paraId="159BDF18">
            <w:pPr>
              <w:pStyle w:val="34"/>
            </w:pPr>
            <w:r>
              <w:t>不溶</w:t>
            </w:r>
          </w:p>
        </w:tc>
        <w:tc>
          <w:tcPr>
            <w:tcW w:w="607" w:type="dxa"/>
            <w:vAlign w:val="center"/>
          </w:tcPr>
          <w:p w14:paraId="17CA50D8">
            <w:pPr>
              <w:pStyle w:val="34"/>
            </w:pPr>
            <w:r>
              <w:t>易挥发</w:t>
            </w:r>
          </w:p>
        </w:tc>
        <w:tc>
          <w:tcPr>
            <w:tcW w:w="859" w:type="dxa"/>
            <w:vAlign w:val="center"/>
          </w:tcPr>
          <w:p w14:paraId="478C3FFE">
            <w:pPr>
              <w:pStyle w:val="34"/>
            </w:pPr>
            <w:r>
              <w:t>易燃</w:t>
            </w:r>
          </w:p>
        </w:tc>
        <w:tc>
          <w:tcPr>
            <w:tcW w:w="1562" w:type="dxa"/>
            <w:vAlign w:val="center"/>
          </w:tcPr>
          <w:p w14:paraId="6A7FBEB9">
            <w:pPr>
              <w:pStyle w:val="34"/>
            </w:pPr>
            <w:r>
              <w:rPr>
                <w:rFonts w:hint="eastAsia"/>
              </w:rPr>
              <w:t>3~17</w:t>
            </w:r>
          </w:p>
        </w:tc>
        <w:tc>
          <w:tcPr>
            <w:tcW w:w="1060" w:type="dxa"/>
            <w:vAlign w:val="center"/>
          </w:tcPr>
          <w:p w14:paraId="41C4BC0A">
            <w:pPr>
              <w:pStyle w:val="34"/>
            </w:pPr>
            <w:r>
              <w:rPr>
                <w:rFonts w:hint="eastAsia"/>
              </w:rPr>
              <w:t>-83.6</w:t>
            </w:r>
          </w:p>
        </w:tc>
        <w:tc>
          <w:tcPr>
            <w:tcW w:w="998" w:type="dxa"/>
            <w:vAlign w:val="center"/>
          </w:tcPr>
          <w:p w14:paraId="336E96A3">
            <w:pPr>
              <w:pStyle w:val="34"/>
            </w:pPr>
            <w:r>
              <w:rPr>
                <w:rFonts w:hint="eastAsia"/>
              </w:rPr>
              <w:t>77.35</w:t>
            </w:r>
          </w:p>
        </w:tc>
        <w:tc>
          <w:tcPr>
            <w:tcW w:w="958" w:type="dxa"/>
            <w:vAlign w:val="center"/>
          </w:tcPr>
          <w:p w14:paraId="3495BE3D">
            <w:pPr>
              <w:pStyle w:val="34"/>
            </w:pPr>
            <w:r>
              <w:rPr>
                <w:rFonts w:hint="eastAsia"/>
              </w:rPr>
              <w:t>-1</w:t>
            </w:r>
          </w:p>
        </w:tc>
        <w:tc>
          <w:tcPr>
            <w:tcW w:w="1006" w:type="dxa"/>
            <w:vAlign w:val="center"/>
          </w:tcPr>
          <w:p w14:paraId="6FAFE786">
            <w:pPr>
              <w:pStyle w:val="34"/>
            </w:pPr>
            <w:r>
              <w:rPr>
                <w:rFonts w:hint="eastAsia"/>
              </w:rPr>
              <w:t>480</w:t>
            </w:r>
          </w:p>
        </w:tc>
        <w:tc>
          <w:tcPr>
            <w:tcW w:w="1721" w:type="dxa"/>
            <w:vAlign w:val="center"/>
          </w:tcPr>
          <w:p w14:paraId="4A51F6D1">
            <w:pPr>
              <w:pStyle w:val="34"/>
            </w:pPr>
            <w:r>
              <w:rPr>
                <w:rFonts w:hint="eastAsia"/>
              </w:rPr>
              <w:t>0.806</w:t>
            </w:r>
          </w:p>
        </w:tc>
      </w:tr>
      <w:tr w14:paraId="4EE26E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0" w:hRule="atLeast"/>
          <w:jc w:val="center"/>
        </w:trPr>
        <w:tc>
          <w:tcPr>
            <w:tcW w:w="534" w:type="dxa"/>
            <w:vAlign w:val="center"/>
          </w:tcPr>
          <w:p w14:paraId="6E7C024A">
            <w:pPr>
              <w:pStyle w:val="34"/>
              <w:numPr>
                <w:ilvl w:val="0"/>
                <w:numId w:val="54"/>
              </w:numPr>
              <w:rPr>
                <w:lang w:eastAsia="en-US"/>
              </w:rPr>
            </w:pPr>
          </w:p>
        </w:tc>
        <w:tc>
          <w:tcPr>
            <w:tcW w:w="1868" w:type="dxa"/>
            <w:vAlign w:val="center"/>
          </w:tcPr>
          <w:p w14:paraId="2670B643">
            <w:pPr>
              <w:pStyle w:val="34"/>
              <w:rPr>
                <w:w w:val="105"/>
              </w:rPr>
            </w:pPr>
            <w:r>
              <w:rPr>
                <w:w w:val="105"/>
              </w:rPr>
              <w:t>二硫化碳</w:t>
            </w:r>
          </w:p>
        </w:tc>
        <w:tc>
          <w:tcPr>
            <w:tcW w:w="1684" w:type="dxa"/>
            <w:vAlign w:val="center"/>
          </w:tcPr>
          <w:p w14:paraId="4D0CF90A">
            <w:pPr>
              <w:pStyle w:val="34"/>
            </w:pPr>
            <w:r>
              <w:t>无色液体，有刺激性气味</w:t>
            </w:r>
          </w:p>
        </w:tc>
        <w:tc>
          <w:tcPr>
            <w:tcW w:w="1318" w:type="dxa"/>
            <w:vAlign w:val="center"/>
          </w:tcPr>
          <w:p w14:paraId="05BAC02A">
            <w:pPr>
              <w:pStyle w:val="34"/>
            </w:pPr>
            <w:r>
              <w:rPr>
                <w:rFonts w:hint="eastAsia"/>
              </w:rPr>
              <w:t>难溶</w:t>
            </w:r>
          </w:p>
        </w:tc>
        <w:tc>
          <w:tcPr>
            <w:tcW w:w="607" w:type="dxa"/>
            <w:vAlign w:val="center"/>
          </w:tcPr>
          <w:p w14:paraId="686AC254">
            <w:pPr>
              <w:pStyle w:val="34"/>
            </w:pPr>
            <w:r>
              <w:t>易挥发</w:t>
            </w:r>
          </w:p>
        </w:tc>
        <w:tc>
          <w:tcPr>
            <w:tcW w:w="859" w:type="dxa"/>
            <w:vAlign w:val="center"/>
          </w:tcPr>
          <w:p w14:paraId="62ADFDC2">
            <w:pPr>
              <w:pStyle w:val="34"/>
            </w:pPr>
            <w:r>
              <w:rPr>
                <w:rFonts w:hint="eastAsia"/>
              </w:rPr>
              <w:t>易燃</w:t>
            </w:r>
          </w:p>
        </w:tc>
        <w:tc>
          <w:tcPr>
            <w:tcW w:w="1562" w:type="dxa"/>
            <w:vAlign w:val="center"/>
          </w:tcPr>
          <w:p w14:paraId="47ECF53C">
            <w:pPr>
              <w:pStyle w:val="34"/>
            </w:pPr>
            <w:r>
              <w:rPr>
                <w:rFonts w:hint="eastAsia"/>
              </w:rPr>
              <w:t>1~60</w:t>
            </w:r>
          </w:p>
        </w:tc>
        <w:tc>
          <w:tcPr>
            <w:tcW w:w="1060" w:type="dxa"/>
            <w:vAlign w:val="center"/>
          </w:tcPr>
          <w:p w14:paraId="6888DF01">
            <w:pPr>
              <w:pStyle w:val="34"/>
            </w:pPr>
            <w:r>
              <w:rPr>
                <w:rFonts w:hint="eastAsia"/>
              </w:rPr>
              <w:t>-112</w:t>
            </w:r>
          </w:p>
        </w:tc>
        <w:tc>
          <w:tcPr>
            <w:tcW w:w="998" w:type="dxa"/>
            <w:vAlign w:val="center"/>
          </w:tcPr>
          <w:p w14:paraId="65E00BE4">
            <w:pPr>
              <w:pStyle w:val="34"/>
            </w:pPr>
            <w:r>
              <w:rPr>
                <w:rFonts w:hint="eastAsia"/>
              </w:rPr>
              <w:t>46.2</w:t>
            </w:r>
          </w:p>
        </w:tc>
        <w:tc>
          <w:tcPr>
            <w:tcW w:w="958" w:type="dxa"/>
            <w:vAlign w:val="center"/>
          </w:tcPr>
          <w:p w14:paraId="5F35248F">
            <w:pPr>
              <w:pStyle w:val="34"/>
            </w:pPr>
            <w:r>
              <w:rPr>
                <w:rFonts w:hint="eastAsia"/>
              </w:rPr>
              <w:t>-30</w:t>
            </w:r>
          </w:p>
        </w:tc>
        <w:tc>
          <w:tcPr>
            <w:tcW w:w="1006" w:type="dxa"/>
            <w:vAlign w:val="center"/>
          </w:tcPr>
          <w:p w14:paraId="14C87006">
            <w:pPr>
              <w:pStyle w:val="34"/>
            </w:pPr>
            <w:r>
              <w:rPr>
                <w:rFonts w:hint="eastAsia"/>
              </w:rPr>
              <w:t>90</w:t>
            </w:r>
          </w:p>
        </w:tc>
        <w:tc>
          <w:tcPr>
            <w:tcW w:w="1721" w:type="dxa"/>
            <w:vAlign w:val="center"/>
          </w:tcPr>
          <w:p w14:paraId="687E4322">
            <w:pPr>
              <w:pStyle w:val="34"/>
            </w:pPr>
            <w:r>
              <w:rPr>
                <w:rFonts w:hint="eastAsia"/>
              </w:rPr>
              <w:t>1.266</w:t>
            </w:r>
          </w:p>
        </w:tc>
      </w:tr>
      <w:tr w14:paraId="06A105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jc w:val="center"/>
        </w:trPr>
        <w:tc>
          <w:tcPr>
            <w:tcW w:w="534" w:type="dxa"/>
            <w:vAlign w:val="center"/>
          </w:tcPr>
          <w:p w14:paraId="5FC76D4A">
            <w:pPr>
              <w:pStyle w:val="34"/>
              <w:numPr>
                <w:ilvl w:val="0"/>
                <w:numId w:val="54"/>
              </w:numPr>
              <w:rPr>
                <w:lang w:eastAsia="en-US"/>
              </w:rPr>
            </w:pPr>
          </w:p>
        </w:tc>
        <w:tc>
          <w:tcPr>
            <w:tcW w:w="1868" w:type="dxa"/>
            <w:vAlign w:val="center"/>
          </w:tcPr>
          <w:p w14:paraId="00B8AA3F">
            <w:pPr>
              <w:pStyle w:val="34"/>
              <w:rPr>
                <w:w w:val="105"/>
              </w:rPr>
            </w:pPr>
            <w:r>
              <w:rPr>
                <w:w w:val="105"/>
              </w:rPr>
              <w:t>乙苯</w:t>
            </w:r>
          </w:p>
        </w:tc>
        <w:tc>
          <w:tcPr>
            <w:tcW w:w="1684" w:type="dxa"/>
            <w:vAlign w:val="center"/>
          </w:tcPr>
          <w:p w14:paraId="4767D7C0">
            <w:pPr>
              <w:pStyle w:val="34"/>
            </w:pPr>
            <w:r>
              <w:t>无色液体</w:t>
            </w:r>
          </w:p>
        </w:tc>
        <w:tc>
          <w:tcPr>
            <w:tcW w:w="1318" w:type="dxa"/>
            <w:vAlign w:val="center"/>
          </w:tcPr>
          <w:p w14:paraId="75CCC8AC">
            <w:pPr>
              <w:pStyle w:val="34"/>
              <w:rPr>
                <w:lang w:eastAsia="en-US"/>
              </w:rPr>
            </w:pPr>
            <w:r>
              <w:rPr>
                <w:lang w:eastAsia="en-US"/>
              </w:rPr>
              <w:t>不溶</w:t>
            </w:r>
          </w:p>
        </w:tc>
        <w:tc>
          <w:tcPr>
            <w:tcW w:w="607" w:type="dxa"/>
            <w:vAlign w:val="center"/>
          </w:tcPr>
          <w:p w14:paraId="4C3B77AD">
            <w:pPr>
              <w:pStyle w:val="34"/>
            </w:pPr>
            <w:r>
              <w:rPr>
                <w:rFonts w:hint="eastAsia"/>
              </w:rPr>
              <w:t>/</w:t>
            </w:r>
          </w:p>
        </w:tc>
        <w:tc>
          <w:tcPr>
            <w:tcW w:w="859" w:type="dxa"/>
            <w:vAlign w:val="center"/>
          </w:tcPr>
          <w:p w14:paraId="206B182B">
            <w:pPr>
              <w:pStyle w:val="34"/>
            </w:pPr>
            <w:r>
              <w:t>极易燃</w:t>
            </w:r>
          </w:p>
        </w:tc>
        <w:tc>
          <w:tcPr>
            <w:tcW w:w="1562" w:type="dxa"/>
            <w:vAlign w:val="center"/>
          </w:tcPr>
          <w:p w14:paraId="478AE7D0">
            <w:pPr>
              <w:pStyle w:val="34"/>
            </w:pPr>
            <w:r>
              <w:rPr>
                <w:rFonts w:hint="eastAsia"/>
              </w:rPr>
              <w:t>1~6.7</w:t>
            </w:r>
          </w:p>
        </w:tc>
        <w:tc>
          <w:tcPr>
            <w:tcW w:w="1060" w:type="dxa"/>
            <w:vAlign w:val="center"/>
          </w:tcPr>
          <w:p w14:paraId="36EBE743">
            <w:pPr>
              <w:pStyle w:val="34"/>
            </w:pPr>
            <w:r>
              <w:rPr>
                <w:rFonts w:hint="eastAsia"/>
              </w:rPr>
              <w:t>-95</w:t>
            </w:r>
          </w:p>
        </w:tc>
        <w:tc>
          <w:tcPr>
            <w:tcW w:w="998" w:type="dxa"/>
            <w:vAlign w:val="center"/>
          </w:tcPr>
          <w:p w14:paraId="1313C0DF">
            <w:pPr>
              <w:pStyle w:val="34"/>
            </w:pPr>
            <w:r>
              <w:rPr>
                <w:rFonts w:hint="eastAsia"/>
              </w:rPr>
              <w:t>136.2</w:t>
            </w:r>
          </w:p>
        </w:tc>
        <w:tc>
          <w:tcPr>
            <w:tcW w:w="958" w:type="dxa"/>
            <w:vAlign w:val="center"/>
          </w:tcPr>
          <w:p w14:paraId="77DAE215">
            <w:pPr>
              <w:pStyle w:val="34"/>
            </w:pPr>
            <w:r>
              <w:rPr>
                <w:rFonts w:hint="eastAsia"/>
              </w:rPr>
              <w:t>22.2</w:t>
            </w:r>
          </w:p>
        </w:tc>
        <w:tc>
          <w:tcPr>
            <w:tcW w:w="1006" w:type="dxa"/>
            <w:vAlign w:val="center"/>
          </w:tcPr>
          <w:p w14:paraId="23202CE0">
            <w:pPr>
              <w:pStyle w:val="34"/>
            </w:pPr>
            <w:r>
              <w:rPr>
                <w:rFonts w:hint="eastAsia"/>
              </w:rPr>
              <w:t>432.22</w:t>
            </w:r>
          </w:p>
        </w:tc>
        <w:tc>
          <w:tcPr>
            <w:tcW w:w="1721" w:type="dxa"/>
            <w:vAlign w:val="center"/>
          </w:tcPr>
          <w:p w14:paraId="246660EC">
            <w:pPr>
              <w:pStyle w:val="34"/>
            </w:pPr>
            <w:r>
              <w:rPr>
                <w:rFonts w:hint="eastAsia"/>
              </w:rPr>
              <w:t>0.867</w:t>
            </w:r>
          </w:p>
        </w:tc>
      </w:tr>
      <w:tr w14:paraId="04442B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jc w:val="center"/>
        </w:trPr>
        <w:tc>
          <w:tcPr>
            <w:tcW w:w="534" w:type="dxa"/>
            <w:vAlign w:val="center"/>
          </w:tcPr>
          <w:p w14:paraId="6A5D733D">
            <w:pPr>
              <w:pStyle w:val="34"/>
              <w:numPr>
                <w:ilvl w:val="0"/>
                <w:numId w:val="54"/>
              </w:numPr>
              <w:rPr>
                <w:lang w:eastAsia="en-US"/>
              </w:rPr>
            </w:pPr>
          </w:p>
        </w:tc>
        <w:tc>
          <w:tcPr>
            <w:tcW w:w="1868" w:type="dxa"/>
            <w:vAlign w:val="center"/>
          </w:tcPr>
          <w:p w14:paraId="1E1AE6A5">
            <w:pPr>
              <w:pStyle w:val="34"/>
              <w:rPr>
                <w:w w:val="105"/>
              </w:rPr>
            </w:pPr>
            <w:r>
              <w:rPr>
                <w:w w:val="105"/>
              </w:rPr>
              <w:t>甲苯</w:t>
            </w:r>
          </w:p>
        </w:tc>
        <w:tc>
          <w:tcPr>
            <w:tcW w:w="1684" w:type="dxa"/>
            <w:vAlign w:val="center"/>
          </w:tcPr>
          <w:p w14:paraId="090F089C">
            <w:pPr>
              <w:pStyle w:val="34"/>
            </w:pPr>
            <w:r>
              <w:t>无色液体，有特殊芳香气味</w:t>
            </w:r>
          </w:p>
        </w:tc>
        <w:tc>
          <w:tcPr>
            <w:tcW w:w="1318" w:type="dxa"/>
            <w:vAlign w:val="center"/>
          </w:tcPr>
          <w:p w14:paraId="20C9F2C9">
            <w:pPr>
              <w:pStyle w:val="34"/>
            </w:pPr>
            <w:r>
              <w:t>不溶</w:t>
            </w:r>
          </w:p>
        </w:tc>
        <w:tc>
          <w:tcPr>
            <w:tcW w:w="607" w:type="dxa"/>
            <w:vAlign w:val="center"/>
          </w:tcPr>
          <w:p w14:paraId="7E73BFA4">
            <w:pPr>
              <w:pStyle w:val="34"/>
            </w:pPr>
            <w:r>
              <w:t>易挥发</w:t>
            </w:r>
          </w:p>
        </w:tc>
        <w:tc>
          <w:tcPr>
            <w:tcW w:w="859" w:type="dxa"/>
            <w:vAlign w:val="center"/>
          </w:tcPr>
          <w:p w14:paraId="398BE061">
            <w:pPr>
              <w:pStyle w:val="34"/>
            </w:pPr>
            <w:r>
              <w:t>易燃</w:t>
            </w:r>
          </w:p>
        </w:tc>
        <w:tc>
          <w:tcPr>
            <w:tcW w:w="1562" w:type="dxa"/>
            <w:vAlign w:val="center"/>
          </w:tcPr>
          <w:p w14:paraId="462BAEFF">
            <w:pPr>
              <w:pStyle w:val="34"/>
            </w:pPr>
            <w:r>
              <w:rPr>
                <w:rFonts w:hint="eastAsia"/>
              </w:rPr>
              <w:t>1.1~7.1</w:t>
            </w:r>
          </w:p>
        </w:tc>
        <w:tc>
          <w:tcPr>
            <w:tcW w:w="1060" w:type="dxa"/>
            <w:vAlign w:val="center"/>
          </w:tcPr>
          <w:p w14:paraId="14E54A9A">
            <w:pPr>
              <w:pStyle w:val="34"/>
            </w:pPr>
            <w:r>
              <w:rPr>
                <w:rFonts w:hint="eastAsia"/>
              </w:rPr>
              <w:t>-94.9</w:t>
            </w:r>
          </w:p>
        </w:tc>
        <w:tc>
          <w:tcPr>
            <w:tcW w:w="998" w:type="dxa"/>
            <w:vAlign w:val="center"/>
          </w:tcPr>
          <w:p w14:paraId="3B6BA0E1">
            <w:pPr>
              <w:pStyle w:val="34"/>
            </w:pPr>
            <w:r>
              <w:rPr>
                <w:rFonts w:hint="eastAsia"/>
              </w:rPr>
              <w:t>110.6</w:t>
            </w:r>
          </w:p>
        </w:tc>
        <w:tc>
          <w:tcPr>
            <w:tcW w:w="958" w:type="dxa"/>
            <w:vAlign w:val="center"/>
          </w:tcPr>
          <w:p w14:paraId="2B07B4A7">
            <w:pPr>
              <w:pStyle w:val="34"/>
            </w:pPr>
            <w:r>
              <w:rPr>
                <w:rFonts w:hint="eastAsia"/>
              </w:rPr>
              <w:t>4</w:t>
            </w:r>
          </w:p>
        </w:tc>
        <w:tc>
          <w:tcPr>
            <w:tcW w:w="1006" w:type="dxa"/>
            <w:vAlign w:val="center"/>
          </w:tcPr>
          <w:p w14:paraId="61AA2722">
            <w:pPr>
              <w:pStyle w:val="34"/>
            </w:pPr>
            <w:r>
              <w:rPr>
                <w:rFonts w:hint="eastAsia"/>
              </w:rPr>
              <w:t>480</w:t>
            </w:r>
          </w:p>
        </w:tc>
        <w:tc>
          <w:tcPr>
            <w:tcW w:w="1721" w:type="dxa"/>
            <w:vAlign w:val="center"/>
          </w:tcPr>
          <w:p w14:paraId="57AC3398">
            <w:pPr>
              <w:pStyle w:val="34"/>
            </w:pPr>
            <w:r>
              <w:rPr>
                <w:rFonts w:hint="eastAsia"/>
              </w:rPr>
              <w:t>0.87</w:t>
            </w:r>
          </w:p>
        </w:tc>
      </w:tr>
      <w:tr w14:paraId="49481E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65152A8">
            <w:pPr>
              <w:pStyle w:val="34"/>
              <w:numPr>
                <w:ilvl w:val="0"/>
                <w:numId w:val="54"/>
              </w:numPr>
              <w:rPr>
                <w:lang w:eastAsia="en-US"/>
              </w:rPr>
            </w:pPr>
          </w:p>
        </w:tc>
        <w:tc>
          <w:tcPr>
            <w:tcW w:w="1868" w:type="dxa"/>
            <w:vAlign w:val="center"/>
          </w:tcPr>
          <w:p w14:paraId="38DCC22F">
            <w:pPr>
              <w:pStyle w:val="34"/>
              <w:rPr>
                <w:w w:val="105"/>
              </w:rPr>
            </w:pPr>
            <w:r>
              <w:rPr>
                <w:w w:val="105"/>
              </w:rPr>
              <w:t>氯苯</w:t>
            </w:r>
          </w:p>
        </w:tc>
        <w:tc>
          <w:tcPr>
            <w:tcW w:w="1684" w:type="dxa"/>
            <w:vAlign w:val="center"/>
          </w:tcPr>
          <w:p w14:paraId="08126609">
            <w:pPr>
              <w:pStyle w:val="34"/>
            </w:pPr>
            <w:r>
              <w:t>无色液体，有苦杏仁味</w:t>
            </w:r>
          </w:p>
        </w:tc>
        <w:tc>
          <w:tcPr>
            <w:tcW w:w="1318" w:type="dxa"/>
            <w:vAlign w:val="center"/>
          </w:tcPr>
          <w:p w14:paraId="44E11C65">
            <w:pPr>
              <w:pStyle w:val="34"/>
            </w:pPr>
            <w:r>
              <w:t>不溶</w:t>
            </w:r>
          </w:p>
        </w:tc>
        <w:tc>
          <w:tcPr>
            <w:tcW w:w="607" w:type="dxa"/>
            <w:vAlign w:val="center"/>
          </w:tcPr>
          <w:p w14:paraId="0B0B2038">
            <w:pPr>
              <w:pStyle w:val="34"/>
            </w:pPr>
            <w:r>
              <w:t>易挥发</w:t>
            </w:r>
          </w:p>
        </w:tc>
        <w:tc>
          <w:tcPr>
            <w:tcW w:w="859" w:type="dxa"/>
            <w:vAlign w:val="center"/>
          </w:tcPr>
          <w:p w14:paraId="44DFA96F">
            <w:pPr>
              <w:pStyle w:val="34"/>
            </w:pPr>
            <w:r>
              <w:t>易燃</w:t>
            </w:r>
          </w:p>
        </w:tc>
        <w:tc>
          <w:tcPr>
            <w:tcW w:w="1562" w:type="dxa"/>
            <w:vAlign w:val="center"/>
          </w:tcPr>
          <w:p w14:paraId="5373DDCA">
            <w:pPr>
              <w:pStyle w:val="34"/>
            </w:pPr>
            <w:r>
              <w:rPr>
                <w:rFonts w:hint="eastAsia"/>
              </w:rPr>
              <w:t>1.3~11</w:t>
            </w:r>
          </w:p>
        </w:tc>
        <w:tc>
          <w:tcPr>
            <w:tcW w:w="1060" w:type="dxa"/>
            <w:vAlign w:val="center"/>
          </w:tcPr>
          <w:p w14:paraId="1F107FC0">
            <w:pPr>
              <w:pStyle w:val="34"/>
            </w:pPr>
            <w:r>
              <w:rPr>
                <w:rFonts w:hint="eastAsia"/>
              </w:rPr>
              <w:t>-45</w:t>
            </w:r>
          </w:p>
        </w:tc>
        <w:tc>
          <w:tcPr>
            <w:tcW w:w="998" w:type="dxa"/>
            <w:vAlign w:val="center"/>
          </w:tcPr>
          <w:p w14:paraId="5701BBC5">
            <w:pPr>
              <w:pStyle w:val="34"/>
            </w:pPr>
            <w:r>
              <w:rPr>
                <w:rFonts w:hint="eastAsia"/>
              </w:rPr>
              <w:t>132</w:t>
            </w:r>
          </w:p>
        </w:tc>
        <w:tc>
          <w:tcPr>
            <w:tcW w:w="958" w:type="dxa"/>
            <w:vAlign w:val="center"/>
          </w:tcPr>
          <w:p w14:paraId="788D584B">
            <w:pPr>
              <w:pStyle w:val="34"/>
            </w:pPr>
            <w:r>
              <w:rPr>
                <w:rFonts w:hint="eastAsia"/>
              </w:rPr>
              <w:t>29</w:t>
            </w:r>
          </w:p>
        </w:tc>
        <w:tc>
          <w:tcPr>
            <w:tcW w:w="1006" w:type="dxa"/>
            <w:vAlign w:val="center"/>
          </w:tcPr>
          <w:p w14:paraId="61812C61">
            <w:pPr>
              <w:pStyle w:val="34"/>
            </w:pPr>
            <w:r>
              <w:rPr>
                <w:rFonts w:hint="eastAsia"/>
              </w:rPr>
              <w:t>638</w:t>
            </w:r>
          </w:p>
        </w:tc>
        <w:tc>
          <w:tcPr>
            <w:tcW w:w="1721" w:type="dxa"/>
            <w:vAlign w:val="center"/>
          </w:tcPr>
          <w:p w14:paraId="33907E40">
            <w:pPr>
              <w:pStyle w:val="34"/>
            </w:pPr>
            <w:r>
              <w:rPr>
                <w:rFonts w:hint="eastAsia"/>
              </w:rPr>
              <w:t>1.1075</w:t>
            </w:r>
          </w:p>
        </w:tc>
      </w:tr>
      <w:tr w14:paraId="343D53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EB90A17">
            <w:pPr>
              <w:pStyle w:val="34"/>
              <w:numPr>
                <w:ilvl w:val="0"/>
                <w:numId w:val="54"/>
              </w:numPr>
              <w:rPr>
                <w:lang w:eastAsia="en-US"/>
              </w:rPr>
            </w:pPr>
          </w:p>
        </w:tc>
        <w:tc>
          <w:tcPr>
            <w:tcW w:w="1868" w:type="dxa"/>
            <w:vAlign w:val="center"/>
          </w:tcPr>
          <w:p w14:paraId="4BC50B57">
            <w:pPr>
              <w:pStyle w:val="34"/>
            </w:pPr>
            <w:r>
              <w:rPr>
                <w:rFonts w:hint="eastAsia"/>
              </w:rPr>
              <w:t>油类物质</w:t>
            </w:r>
            <w:r>
              <w:t>（</w:t>
            </w:r>
            <w:r>
              <w:rPr>
                <w:rFonts w:hint="eastAsia"/>
              </w:rPr>
              <w:t>以</w:t>
            </w:r>
            <w:r>
              <w:t>汽油</w:t>
            </w:r>
            <w:r>
              <w:rPr>
                <w:rFonts w:hint="eastAsia"/>
              </w:rPr>
              <w:t>为主</w:t>
            </w:r>
            <w:r>
              <w:t>）</w:t>
            </w:r>
          </w:p>
        </w:tc>
        <w:tc>
          <w:tcPr>
            <w:tcW w:w="1684" w:type="dxa"/>
            <w:vAlign w:val="center"/>
          </w:tcPr>
          <w:p w14:paraId="6150F387">
            <w:pPr>
              <w:pStyle w:val="34"/>
              <w:rPr>
                <w:lang w:eastAsia="en-US"/>
              </w:rPr>
            </w:pPr>
            <w:r>
              <w:rPr>
                <w:lang w:eastAsia="en-US"/>
              </w:rPr>
              <w:t>有色透明液体</w:t>
            </w:r>
          </w:p>
        </w:tc>
        <w:tc>
          <w:tcPr>
            <w:tcW w:w="1318" w:type="dxa"/>
            <w:vAlign w:val="center"/>
          </w:tcPr>
          <w:p w14:paraId="799B6399">
            <w:pPr>
              <w:pStyle w:val="34"/>
              <w:rPr>
                <w:lang w:eastAsia="en-US"/>
              </w:rPr>
            </w:pPr>
            <w:r>
              <w:rPr>
                <w:lang w:eastAsia="en-US"/>
              </w:rPr>
              <w:t>不溶</w:t>
            </w:r>
          </w:p>
        </w:tc>
        <w:tc>
          <w:tcPr>
            <w:tcW w:w="607" w:type="dxa"/>
            <w:vAlign w:val="center"/>
          </w:tcPr>
          <w:p w14:paraId="5948D174">
            <w:pPr>
              <w:pStyle w:val="34"/>
            </w:pPr>
            <w:r>
              <w:rPr>
                <w:rFonts w:hint="eastAsia"/>
              </w:rPr>
              <w:t>易</w:t>
            </w:r>
            <w:r>
              <w:t>挥发</w:t>
            </w:r>
          </w:p>
        </w:tc>
        <w:tc>
          <w:tcPr>
            <w:tcW w:w="859" w:type="dxa"/>
            <w:vAlign w:val="center"/>
          </w:tcPr>
          <w:p w14:paraId="59982622">
            <w:pPr>
              <w:pStyle w:val="34"/>
              <w:rPr>
                <w:lang w:eastAsia="en-US"/>
              </w:rPr>
            </w:pPr>
            <w:r>
              <w:rPr>
                <w:lang w:eastAsia="en-US"/>
              </w:rPr>
              <w:t>易燃</w:t>
            </w:r>
          </w:p>
        </w:tc>
        <w:tc>
          <w:tcPr>
            <w:tcW w:w="1562" w:type="dxa"/>
            <w:vAlign w:val="center"/>
          </w:tcPr>
          <w:p w14:paraId="3CFBBBC5">
            <w:pPr>
              <w:pStyle w:val="34"/>
              <w:rPr>
                <w:lang w:eastAsia="en-US"/>
              </w:rPr>
            </w:pPr>
            <w:r>
              <w:rPr>
                <w:rFonts w:hint="eastAsia"/>
              </w:rPr>
              <w:t>1.3~6.0</w:t>
            </w:r>
            <w:r>
              <w:t>/</w:t>
            </w:r>
          </w:p>
        </w:tc>
        <w:tc>
          <w:tcPr>
            <w:tcW w:w="1060" w:type="dxa"/>
            <w:vAlign w:val="center"/>
          </w:tcPr>
          <w:p w14:paraId="205F511B">
            <w:pPr>
              <w:pStyle w:val="34"/>
            </w:pPr>
            <w:r>
              <w:rPr>
                <w:rFonts w:hint="eastAsia"/>
              </w:rPr>
              <w:t>-95</w:t>
            </w:r>
          </w:p>
        </w:tc>
        <w:tc>
          <w:tcPr>
            <w:tcW w:w="998" w:type="dxa"/>
            <w:vAlign w:val="center"/>
          </w:tcPr>
          <w:p w14:paraId="03B738CD">
            <w:pPr>
              <w:pStyle w:val="34"/>
            </w:pPr>
            <w:r>
              <w:rPr>
                <w:rFonts w:hint="eastAsia"/>
              </w:rPr>
              <w:t>90~100</w:t>
            </w:r>
          </w:p>
        </w:tc>
        <w:tc>
          <w:tcPr>
            <w:tcW w:w="958" w:type="dxa"/>
            <w:vAlign w:val="center"/>
          </w:tcPr>
          <w:p w14:paraId="270AC899">
            <w:pPr>
              <w:pStyle w:val="34"/>
            </w:pPr>
            <w:r>
              <w:rPr>
                <w:rFonts w:hint="eastAsia"/>
              </w:rPr>
              <w:t>-22.7</w:t>
            </w:r>
          </w:p>
        </w:tc>
        <w:tc>
          <w:tcPr>
            <w:tcW w:w="1006" w:type="dxa"/>
            <w:vAlign w:val="center"/>
          </w:tcPr>
          <w:p w14:paraId="63BE4AEE">
            <w:pPr>
              <w:pStyle w:val="34"/>
            </w:pPr>
            <w:r>
              <w:rPr>
                <w:rFonts w:hint="eastAsia"/>
              </w:rPr>
              <w:t>427</w:t>
            </w:r>
          </w:p>
        </w:tc>
        <w:tc>
          <w:tcPr>
            <w:tcW w:w="1721" w:type="dxa"/>
            <w:vAlign w:val="center"/>
          </w:tcPr>
          <w:p w14:paraId="164D72E4">
            <w:pPr>
              <w:pStyle w:val="34"/>
              <w:rPr>
                <w:lang w:eastAsia="en-US"/>
              </w:rPr>
            </w:pPr>
            <w:r>
              <w:rPr>
                <w:rFonts w:hint="eastAsia"/>
              </w:rPr>
              <w:t>0.70~0.78</w:t>
            </w:r>
          </w:p>
        </w:tc>
      </w:tr>
      <w:tr w14:paraId="2FCAE5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2FC935F7">
            <w:pPr>
              <w:pStyle w:val="34"/>
              <w:numPr>
                <w:ilvl w:val="0"/>
                <w:numId w:val="54"/>
              </w:numPr>
              <w:rPr>
                <w:lang w:eastAsia="en-US"/>
              </w:rPr>
            </w:pPr>
          </w:p>
        </w:tc>
        <w:tc>
          <w:tcPr>
            <w:tcW w:w="1868" w:type="dxa"/>
            <w:vAlign w:val="center"/>
          </w:tcPr>
          <w:p w14:paraId="5528052B">
            <w:pPr>
              <w:pStyle w:val="34"/>
            </w:pPr>
            <w:r>
              <w:rPr>
                <w:rFonts w:hint="eastAsia"/>
              </w:rPr>
              <w:t>松节油</w:t>
            </w:r>
          </w:p>
        </w:tc>
        <w:tc>
          <w:tcPr>
            <w:tcW w:w="1684" w:type="dxa"/>
            <w:vAlign w:val="center"/>
          </w:tcPr>
          <w:p w14:paraId="7B5B248D">
            <w:pPr>
              <w:pStyle w:val="34"/>
            </w:pPr>
            <w:r>
              <w:t>无色至淡黄色有松香味的液体</w:t>
            </w:r>
          </w:p>
        </w:tc>
        <w:tc>
          <w:tcPr>
            <w:tcW w:w="1318" w:type="dxa"/>
            <w:vAlign w:val="center"/>
          </w:tcPr>
          <w:p w14:paraId="72961E92">
            <w:pPr>
              <w:pStyle w:val="34"/>
            </w:pPr>
            <w:r>
              <w:t>不溶</w:t>
            </w:r>
          </w:p>
        </w:tc>
        <w:tc>
          <w:tcPr>
            <w:tcW w:w="607" w:type="dxa"/>
            <w:vAlign w:val="center"/>
          </w:tcPr>
          <w:p w14:paraId="041FAFDE">
            <w:pPr>
              <w:pStyle w:val="34"/>
            </w:pPr>
            <w:r>
              <w:t>不挥发</w:t>
            </w:r>
          </w:p>
        </w:tc>
        <w:tc>
          <w:tcPr>
            <w:tcW w:w="859" w:type="dxa"/>
            <w:vAlign w:val="center"/>
          </w:tcPr>
          <w:p w14:paraId="4EAA8F9F">
            <w:pPr>
              <w:pStyle w:val="34"/>
              <w:rPr>
                <w:lang w:eastAsia="en-US"/>
              </w:rPr>
            </w:pPr>
            <w:r>
              <w:rPr>
                <w:lang w:eastAsia="en-US"/>
              </w:rPr>
              <w:t>易燃</w:t>
            </w:r>
          </w:p>
        </w:tc>
        <w:tc>
          <w:tcPr>
            <w:tcW w:w="1562" w:type="dxa"/>
            <w:vAlign w:val="center"/>
          </w:tcPr>
          <w:p w14:paraId="0054948B">
            <w:pPr>
              <w:pStyle w:val="34"/>
            </w:pPr>
            <w:r>
              <w:t>/</w:t>
            </w:r>
          </w:p>
        </w:tc>
        <w:tc>
          <w:tcPr>
            <w:tcW w:w="1060" w:type="dxa"/>
            <w:vAlign w:val="center"/>
          </w:tcPr>
          <w:p w14:paraId="47D33A70">
            <w:pPr>
              <w:pStyle w:val="34"/>
            </w:pPr>
            <w:r>
              <w:t>-60~-50</w:t>
            </w:r>
          </w:p>
        </w:tc>
        <w:tc>
          <w:tcPr>
            <w:tcW w:w="998" w:type="dxa"/>
            <w:vAlign w:val="center"/>
          </w:tcPr>
          <w:p w14:paraId="0D75BF65">
            <w:pPr>
              <w:pStyle w:val="34"/>
              <w:rPr>
                <w:lang w:eastAsia="en-US"/>
              </w:rPr>
            </w:pPr>
            <w:r>
              <w:rPr>
                <w:lang w:eastAsia="en-US"/>
              </w:rPr>
              <w:t>150～180</w:t>
            </w:r>
          </w:p>
        </w:tc>
        <w:tc>
          <w:tcPr>
            <w:tcW w:w="958" w:type="dxa"/>
            <w:vAlign w:val="center"/>
          </w:tcPr>
          <w:p w14:paraId="793C4C58">
            <w:pPr>
              <w:pStyle w:val="34"/>
              <w:rPr>
                <w:lang w:eastAsia="en-US"/>
              </w:rPr>
            </w:pPr>
            <w:r>
              <w:rPr>
                <w:lang w:eastAsia="en-US"/>
              </w:rPr>
              <w:t>35</w:t>
            </w:r>
          </w:p>
        </w:tc>
        <w:tc>
          <w:tcPr>
            <w:tcW w:w="1006" w:type="dxa"/>
            <w:vAlign w:val="center"/>
          </w:tcPr>
          <w:p w14:paraId="1949D730">
            <w:pPr>
              <w:pStyle w:val="34"/>
            </w:pPr>
            <w:r>
              <w:t>253</w:t>
            </w:r>
          </w:p>
        </w:tc>
        <w:tc>
          <w:tcPr>
            <w:tcW w:w="1721" w:type="dxa"/>
            <w:vAlign w:val="center"/>
          </w:tcPr>
          <w:p w14:paraId="40D112CC">
            <w:pPr>
              <w:pStyle w:val="34"/>
            </w:pPr>
            <w:r>
              <w:t>0.85~0.87</w:t>
            </w:r>
          </w:p>
        </w:tc>
      </w:tr>
      <w:tr w14:paraId="25A8F3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5C37A0D">
            <w:pPr>
              <w:pStyle w:val="34"/>
              <w:numPr>
                <w:ilvl w:val="0"/>
                <w:numId w:val="54"/>
              </w:numPr>
              <w:rPr>
                <w:lang w:eastAsia="en-US"/>
              </w:rPr>
            </w:pPr>
          </w:p>
        </w:tc>
        <w:tc>
          <w:tcPr>
            <w:tcW w:w="1868" w:type="dxa"/>
            <w:vAlign w:val="center"/>
          </w:tcPr>
          <w:p w14:paraId="072DFE45">
            <w:pPr>
              <w:pStyle w:val="34"/>
            </w:pPr>
            <w:r>
              <w:rPr>
                <w:rFonts w:hint="eastAsia"/>
              </w:rPr>
              <w:t>煤焦油</w:t>
            </w:r>
          </w:p>
        </w:tc>
        <w:tc>
          <w:tcPr>
            <w:tcW w:w="1684" w:type="dxa"/>
            <w:vAlign w:val="center"/>
          </w:tcPr>
          <w:p w14:paraId="0A8063BA">
            <w:pPr>
              <w:pStyle w:val="34"/>
            </w:pPr>
            <w:r>
              <w:t>黑色粘稠液体，具有特殊臭味。</w:t>
            </w:r>
          </w:p>
        </w:tc>
        <w:tc>
          <w:tcPr>
            <w:tcW w:w="1318" w:type="dxa"/>
            <w:vAlign w:val="center"/>
          </w:tcPr>
          <w:p w14:paraId="7A7E950F">
            <w:pPr>
              <w:pStyle w:val="34"/>
            </w:pPr>
            <w:r>
              <w:t>微溶于水</w:t>
            </w:r>
          </w:p>
        </w:tc>
        <w:tc>
          <w:tcPr>
            <w:tcW w:w="607" w:type="dxa"/>
            <w:vAlign w:val="center"/>
          </w:tcPr>
          <w:p w14:paraId="65294D05">
            <w:pPr>
              <w:pStyle w:val="34"/>
            </w:pPr>
            <w:r>
              <w:t>难挥发</w:t>
            </w:r>
          </w:p>
        </w:tc>
        <w:tc>
          <w:tcPr>
            <w:tcW w:w="859" w:type="dxa"/>
            <w:vAlign w:val="center"/>
          </w:tcPr>
          <w:p w14:paraId="7C7C9A4B">
            <w:pPr>
              <w:pStyle w:val="34"/>
              <w:rPr>
                <w:lang w:eastAsia="en-US"/>
              </w:rPr>
            </w:pPr>
            <w:r>
              <w:rPr>
                <w:lang w:eastAsia="en-US"/>
              </w:rPr>
              <w:t>易燃</w:t>
            </w:r>
          </w:p>
        </w:tc>
        <w:tc>
          <w:tcPr>
            <w:tcW w:w="1562" w:type="dxa"/>
            <w:vAlign w:val="center"/>
          </w:tcPr>
          <w:p w14:paraId="53383B83">
            <w:pPr>
              <w:pStyle w:val="34"/>
            </w:pPr>
            <w:r>
              <w:t>-</w:t>
            </w:r>
          </w:p>
        </w:tc>
        <w:tc>
          <w:tcPr>
            <w:tcW w:w="1060" w:type="dxa"/>
            <w:vAlign w:val="center"/>
          </w:tcPr>
          <w:p w14:paraId="2F4FEBA1">
            <w:pPr>
              <w:pStyle w:val="34"/>
            </w:pPr>
            <w:r>
              <w:t>/</w:t>
            </w:r>
          </w:p>
        </w:tc>
        <w:tc>
          <w:tcPr>
            <w:tcW w:w="998" w:type="dxa"/>
            <w:vAlign w:val="center"/>
          </w:tcPr>
          <w:p w14:paraId="280F4D91">
            <w:pPr>
              <w:pStyle w:val="34"/>
            </w:pPr>
            <w:r>
              <w:t>/</w:t>
            </w:r>
          </w:p>
        </w:tc>
        <w:tc>
          <w:tcPr>
            <w:tcW w:w="958" w:type="dxa"/>
            <w:vAlign w:val="center"/>
          </w:tcPr>
          <w:p w14:paraId="6E1F717D">
            <w:pPr>
              <w:pStyle w:val="34"/>
            </w:pPr>
            <w:r>
              <w:t>＜23</w:t>
            </w:r>
          </w:p>
        </w:tc>
        <w:tc>
          <w:tcPr>
            <w:tcW w:w="1006" w:type="dxa"/>
            <w:vAlign w:val="center"/>
          </w:tcPr>
          <w:p w14:paraId="4751C2FE">
            <w:pPr>
              <w:pStyle w:val="34"/>
            </w:pPr>
            <w:r>
              <w:t>336</w:t>
            </w:r>
          </w:p>
        </w:tc>
        <w:tc>
          <w:tcPr>
            <w:tcW w:w="1721" w:type="dxa"/>
            <w:vAlign w:val="center"/>
          </w:tcPr>
          <w:p w14:paraId="26B26A69">
            <w:pPr>
              <w:pStyle w:val="34"/>
            </w:pPr>
            <w:r>
              <w:t>1.18~1.23</w:t>
            </w:r>
          </w:p>
        </w:tc>
      </w:tr>
      <w:tr w14:paraId="6AD129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5" w:type="dxa"/>
            <w:gridSpan w:val="12"/>
            <w:vAlign w:val="center"/>
          </w:tcPr>
          <w:p w14:paraId="5D8C4F75">
            <w:pPr>
              <w:pStyle w:val="34"/>
            </w:pPr>
            <w:r>
              <w:t>第4类 易燃固体、易于自燃的物质、遇水放出易燃气体的物质</w:t>
            </w:r>
          </w:p>
        </w:tc>
      </w:tr>
      <w:tr w14:paraId="04F153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jc w:val="center"/>
        </w:trPr>
        <w:tc>
          <w:tcPr>
            <w:tcW w:w="534" w:type="dxa"/>
            <w:vAlign w:val="center"/>
          </w:tcPr>
          <w:p w14:paraId="7526605E">
            <w:pPr>
              <w:pStyle w:val="34"/>
              <w:numPr>
                <w:ilvl w:val="0"/>
                <w:numId w:val="54"/>
              </w:numPr>
            </w:pPr>
          </w:p>
        </w:tc>
        <w:tc>
          <w:tcPr>
            <w:tcW w:w="1868" w:type="dxa"/>
            <w:vAlign w:val="center"/>
          </w:tcPr>
          <w:p w14:paraId="5C4BE411">
            <w:pPr>
              <w:pStyle w:val="34"/>
            </w:pPr>
            <w:r>
              <w:rPr>
                <w:rFonts w:hint="eastAsia"/>
              </w:rPr>
              <w:t>磷化铝</w:t>
            </w:r>
          </w:p>
        </w:tc>
        <w:tc>
          <w:tcPr>
            <w:tcW w:w="1684" w:type="dxa"/>
            <w:vAlign w:val="center"/>
          </w:tcPr>
          <w:p w14:paraId="66794BFF">
            <w:pPr>
              <w:pStyle w:val="34"/>
              <w:rPr>
                <w:lang w:eastAsia="en-US"/>
              </w:rPr>
            </w:pPr>
            <w:r>
              <w:rPr>
                <w:lang w:eastAsia="en-US"/>
              </w:rPr>
              <w:t>灰色或黑色晶体</w:t>
            </w:r>
          </w:p>
        </w:tc>
        <w:tc>
          <w:tcPr>
            <w:tcW w:w="1318" w:type="dxa"/>
            <w:vAlign w:val="center"/>
          </w:tcPr>
          <w:p w14:paraId="56655E16">
            <w:pPr>
              <w:pStyle w:val="34"/>
            </w:pPr>
            <w:r>
              <w:t>与水反应</w:t>
            </w:r>
          </w:p>
        </w:tc>
        <w:tc>
          <w:tcPr>
            <w:tcW w:w="607" w:type="dxa"/>
            <w:vAlign w:val="center"/>
          </w:tcPr>
          <w:p w14:paraId="09D753C7">
            <w:pPr>
              <w:pStyle w:val="34"/>
            </w:pPr>
            <w:r>
              <w:rPr>
                <w:rFonts w:hint="eastAsia"/>
              </w:rPr>
              <w:t>/</w:t>
            </w:r>
          </w:p>
        </w:tc>
        <w:tc>
          <w:tcPr>
            <w:tcW w:w="859" w:type="dxa"/>
            <w:vAlign w:val="center"/>
          </w:tcPr>
          <w:p w14:paraId="24B5AE58">
            <w:pPr>
              <w:pStyle w:val="34"/>
              <w:rPr>
                <w:lang w:eastAsia="en-US"/>
              </w:rPr>
            </w:pPr>
            <w:r>
              <w:rPr>
                <w:lang w:eastAsia="en-US"/>
              </w:rPr>
              <w:t>易燃</w:t>
            </w:r>
          </w:p>
        </w:tc>
        <w:tc>
          <w:tcPr>
            <w:tcW w:w="1562" w:type="dxa"/>
            <w:vAlign w:val="center"/>
          </w:tcPr>
          <w:p w14:paraId="68EE3085">
            <w:pPr>
              <w:pStyle w:val="34"/>
            </w:pPr>
            <w:r>
              <w:rPr>
                <w:rFonts w:hint="eastAsia"/>
              </w:rPr>
              <w:t>/</w:t>
            </w:r>
          </w:p>
        </w:tc>
        <w:tc>
          <w:tcPr>
            <w:tcW w:w="1060" w:type="dxa"/>
            <w:vAlign w:val="center"/>
          </w:tcPr>
          <w:p w14:paraId="14C85442">
            <w:pPr>
              <w:pStyle w:val="34"/>
            </w:pPr>
            <w:r>
              <w:rPr>
                <w:rFonts w:hint="eastAsia"/>
              </w:rPr>
              <w:t>2000</w:t>
            </w:r>
          </w:p>
        </w:tc>
        <w:tc>
          <w:tcPr>
            <w:tcW w:w="998" w:type="dxa"/>
            <w:vAlign w:val="center"/>
          </w:tcPr>
          <w:p w14:paraId="645517B4">
            <w:pPr>
              <w:pStyle w:val="34"/>
            </w:pPr>
            <w:r>
              <w:rPr>
                <w:rFonts w:hint="eastAsia"/>
              </w:rPr>
              <w:t>/</w:t>
            </w:r>
          </w:p>
        </w:tc>
        <w:tc>
          <w:tcPr>
            <w:tcW w:w="958" w:type="dxa"/>
            <w:vAlign w:val="center"/>
          </w:tcPr>
          <w:p w14:paraId="2F7B4948">
            <w:pPr>
              <w:pStyle w:val="34"/>
            </w:pPr>
            <w:r>
              <w:rPr>
                <w:rFonts w:hint="eastAsia"/>
              </w:rPr>
              <w:t>/</w:t>
            </w:r>
          </w:p>
        </w:tc>
        <w:tc>
          <w:tcPr>
            <w:tcW w:w="1006" w:type="dxa"/>
            <w:vAlign w:val="center"/>
          </w:tcPr>
          <w:p w14:paraId="27B7106C">
            <w:pPr>
              <w:pStyle w:val="34"/>
            </w:pPr>
            <w:r>
              <w:rPr>
                <w:rFonts w:hint="eastAsia"/>
              </w:rPr>
              <w:t>/</w:t>
            </w:r>
          </w:p>
        </w:tc>
        <w:tc>
          <w:tcPr>
            <w:tcW w:w="1721" w:type="dxa"/>
            <w:vAlign w:val="center"/>
          </w:tcPr>
          <w:p w14:paraId="34FDBABA">
            <w:pPr>
              <w:pStyle w:val="34"/>
            </w:pPr>
            <w:r>
              <w:rPr>
                <w:rFonts w:hint="eastAsia"/>
              </w:rPr>
              <w:t>2.42</w:t>
            </w:r>
          </w:p>
        </w:tc>
      </w:tr>
      <w:tr w14:paraId="329FD4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92E7E13">
            <w:pPr>
              <w:pStyle w:val="34"/>
              <w:numPr>
                <w:ilvl w:val="0"/>
                <w:numId w:val="54"/>
              </w:numPr>
              <w:rPr>
                <w:lang w:eastAsia="en-US"/>
              </w:rPr>
            </w:pPr>
          </w:p>
        </w:tc>
        <w:tc>
          <w:tcPr>
            <w:tcW w:w="1868" w:type="dxa"/>
            <w:vAlign w:val="center"/>
          </w:tcPr>
          <w:p w14:paraId="47A76EDA">
            <w:pPr>
              <w:pStyle w:val="34"/>
            </w:pPr>
            <w:r>
              <w:rPr>
                <w:rFonts w:hint="eastAsia"/>
              </w:rPr>
              <w:t>磷化钙</w:t>
            </w:r>
          </w:p>
        </w:tc>
        <w:tc>
          <w:tcPr>
            <w:tcW w:w="1684" w:type="dxa"/>
            <w:vAlign w:val="center"/>
          </w:tcPr>
          <w:p w14:paraId="7D5473C3">
            <w:pPr>
              <w:pStyle w:val="34"/>
            </w:pPr>
            <w:r>
              <w:rPr>
                <w:rFonts w:hint="eastAsia"/>
              </w:rPr>
              <w:t>灰色至红棕色的晶体，具乙炔气味。</w:t>
            </w:r>
          </w:p>
        </w:tc>
        <w:tc>
          <w:tcPr>
            <w:tcW w:w="1318" w:type="dxa"/>
            <w:vAlign w:val="center"/>
          </w:tcPr>
          <w:p w14:paraId="2BEA067D">
            <w:pPr>
              <w:pStyle w:val="34"/>
            </w:pPr>
            <w:r>
              <w:rPr>
                <w:rFonts w:hint="eastAsia"/>
              </w:rPr>
              <w:t>不溶于乙醇、 乙醚和 苯。</w:t>
            </w:r>
          </w:p>
        </w:tc>
        <w:tc>
          <w:tcPr>
            <w:tcW w:w="607" w:type="dxa"/>
            <w:vAlign w:val="center"/>
          </w:tcPr>
          <w:p w14:paraId="4C07AC9F">
            <w:pPr>
              <w:pStyle w:val="34"/>
            </w:pPr>
            <w:r>
              <w:rPr>
                <w:rFonts w:hint="eastAsia"/>
              </w:rPr>
              <w:t>/</w:t>
            </w:r>
          </w:p>
        </w:tc>
        <w:tc>
          <w:tcPr>
            <w:tcW w:w="859" w:type="dxa"/>
            <w:vAlign w:val="center"/>
          </w:tcPr>
          <w:p w14:paraId="5D7626FA">
            <w:pPr>
              <w:pStyle w:val="34"/>
            </w:pPr>
            <w:r>
              <w:rPr>
                <w:rFonts w:hint="eastAsia"/>
              </w:rPr>
              <w:t>易燃、易爆</w:t>
            </w:r>
          </w:p>
        </w:tc>
        <w:tc>
          <w:tcPr>
            <w:tcW w:w="1562" w:type="dxa"/>
            <w:vAlign w:val="center"/>
          </w:tcPr>
          <w:p w14:paraId="18C22F25">
            <w:pPr>
              <w:pStyle w:val="34"/>
            </w:pPr>
            <w:r>
              <w:rPr>
                <w:rFonts w:hint="eastAsia"/>
              </w:rPr>
              <w:t>/</w:t>
            </w:r>
          </w:p>
        </w:tc>
        <w:tc>
          <w:tcPr>
            <w:tcW w:w="1060" w:type="dxa"/>
            <w:vAlign w:val="center"/>
          </w:tcPr>
          <w:p w14:paraId="6C976E9D">
            <w:pPr>
              <w:pStyle w:val="34"/>
            </w:pPr>
            <w:r>
              <w:rPr>
                <w:rFonts w:hint="eastAsia"/>
              </w:rPr>
              <w:t>1600</w:t>
            </w:r>
          </w:p>
        </w:tc>
        <w:tc>
          <w:tcPr>
            <w:tcW w:w="998" w:type="dxa"/>
            <w:vAlign w:val="center"/>
          </w:tcPr>
          <w:p w14:paraId="087B6484">
            <w:pPr>
              <w:pStyle w:val="34"/>
            </w:pPr>
            <w:r>
              <w:rPr>
                <w:rFonts w:hint="eastAsia"/>
              </w:rPr>
              <w:t>/</w:t>
            </w:r>
          </w:p>
        </w:tc>
        <w:tc>
          <w:tcPr>
            <w:tcW w:w="958" w:type="dxa"/>
            <w:vAlign w:val="center"/>
          </w:tcPr>
          <w:p w14:paraId="00CBC997">
            <w:pPr>
              <w:pStyle w:val="34"/>
            </w:pPr>
            <w:r>
              <w:rPr>
                <w:rFonts w:hint="eastAsia"/>
              </w:rPr>
              <w:t>/</w:t>
            </w:r>
          </w:p>
        </w:tc>
        <w:tc>
          <w:tcPr>
            <w:tcW w:w="1006" w:type="dxa"/>
            <w:vAlign w:val="center"/>
          </w:tcPr>
          <w:p w14:paraId="25014AB9">
            <w:pPr>
              <w:pStyle w:val="34"/>
            </w:pPr>
            <w:r>
              <w:rPr>
                <w:rFonts w:hint="eastAsia"/>
              </w:rPr>
              <w:t>/</w:t>
            </w:r>
          </w:p>
        </w:tc>
        <w:tc>
          <w:tcPr>
            <w:tcW w:w="1721" w:type="dxa"/>
            <w:vAlign w:val="center"/>
          </w:tcPr>
          <w:p w14:paraId="3D9C5CC5">
            <w:pPr>
              <w:pStyle w:val="34"/>
            </w:pPr>
            <w:r>
              <w:rPr>
                <w:rFonts w:hint="eastAsia"/>
              </w:rPr>
              <w:t>2.51</w:t>
            </w:r>
          </w:p>
        </w:tc>
      </w:tr>
      <w:tr w14:paraId="3B4982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8A586D5">
            <w:pPr>
              <w:pStyle w:val="34"/>
              <w:numPr>
                <w:ilvl w:val="0"/>
                <w:numId w:val="54"/>
              </w:numPr>
              <w:rPr>
                <w:lang w:eastAsia="en-US"/>
              </w:rPr>
            </w:pPr>
          </w:p>
        </w:tc>
        <w:tc>
          <w:tcPr>
            <w:tcW w:w="1868" w:type="dxa"/>
            <w:vAlign w:val="center"/>
          </w:tcPr>
          <w:p w14:paraId="4132716B">
            <w:pPr>
              <w:pStyle w:val="34"/>
            </w:pPr>
            <w:r>
              <w:t>黄磷</w:t>
            </w:r>
          </w:p>
        </w:tc>
        <w:tc>
          <w:tcPr>
            <w:tcW w:w="1684" w:type="dxa"/>
            <w:vAlign w:val="center"/>
          </w:tcPr>
          <w:p w14:paraId="4736001F">
            <w:pPr>
              <w:pStyle w:val="34"/>
              <w:rPr>
                <w:lang w:eastAsia="en-US"/>
              </w:rPr>
            </w:pPr>
            <w:r>
              <w:rPr>
                <w:lang w:eastAsia="en-US"/>
              </w:rPr>
              <w:t>无色至黄色蜡状固体</w:t>
            </w:r>
          </w:p>
        </w:tc>
        <w:tc>
          <w:tcPr>
            <w:tcW w:w="1318" w:type="dxa"/>
            <w:vAlign w:val="center"/>
          </w:tcPr>
          <w:p w14:paraId="7DAF6E77">
            <w:pPr>
              <w:pStyle w:val="34"/>
            </w:pPr>
            <w:r>
              <w:t>不溶于水</w:t>
            </w:r>
          </w:p>
        </w:tc>
        <w:tc>
          <w:tcPr>
            <w:tcW w:w="607" w:type="dxa"/>
            <w:vAlign w:val="center"/>
          </w:tcPr>
          <w:p w14:paraId="4E2DB6D4">
            <w:pPr>
              <w:pStyle w:val="34"/>
            </w:pPr>
            <w:r>
              <w:t>/</w:t>
            </w:r>
          </w:p>
        </w:tc>
        <w:tc>
          <w:tcPr>
            <w:tcW w:w="859" w:type="dxa"/>
            <w:vAlign w:val="center"/>
          </w:tcPr>
          <w:p w14:paraId="4ACBB68F">
            <w:pPr>
              <w:pStyle w:val="34"/>
              <w:rPr>
                <w:lang w:eastAsia="en-US"/>
              </w:rPr>
            </w:pPr>
            <w:r>
              <w:rPr>
                <w:lang w:eastAsia="en-US"/>
              </w:rPr>
              <w:t>易燃</w:t>
            </w:r>
          </w:p>
        </w:tc>
        <w:tc>
          <w:tcPr>
            <w:tcW w:w="1562" w:type="dxa"/>
            <w:vAlign w:val="center"/>
          </w:tcPr>
          <w:p w14:paraId="04277A19">
            <w:pPr>
              <w:pStyle w:val="34"/>
            </w:pPr>
            <w:r>
              <w:t>/</w:t>
            </w:r>
          </w:p>
        </w:tc>
        <w:tc>
          <w:tcPr>
            <w:tcW w:w="1060" w:type="dxa"/>
            <w:vAlign w:val="center"/>
          </w:tcPr>
          <w:p w14:paraId="7983C501">
            <w:pPr>
              <w:pStyle w:val="34"/>
            </w:pPr>
            <w:r>
              <w:t>44.1</w:t>
            </w:r>
          </w:p>
        </w:tc>
        <w:tc>
          <w:tcPr>
            <w:tcW w:w="998" w:type="dxa"/>
            <w:vAlign w:val="center"/>
          </w:tcPr>
          <w:p w14:paraId="4F29B2D8">
            <w:pPr>
              <w:pStyle w:val="34"/>
            </w:pPr>
            <w:r>
              <w:t>280.5</w:t>
            </w:r>
          </w:p>
        </w:tc>
        <w:tc>
          <w:tcPr>
            <w:tcW w:w="958" w:type="dxa"/>
            <w:vAlign w:val="center"/>
          </w:tcPr>
          <w:p w14:paraId="0DBEEF80">
            <w:pPr>
              <w:pStyle w:val="34"/>
            </w:pPr>
            <w:r>
              <w:t>/</w:t>
            </w:r>
          </w:p>
        </w:tc>
        <w:tc>
          <w:tcPr>
            <w:tcW w:w="1006" w:type="dxa"/>
            <w:vAlign w:val="center"/>
          </w:tcPr>
          <w:p w14:paraId="70F6AB9B">
            <w:pPr>
              <w:pStyle w:val="34"/>
            </w:pPr>
            <w:r>
              <w:t>/</w:t>
            </w:r>
          </w:p>
        </w:tc>
        <w:tc>
          <w:tcPr>
            <w:tcW w:w="1721" w:type="dxa"/>
            <w:vAlign w:val="center"/>
          </w:tcPr>
          <w:p w14:paraId="42225CA8">
            <w:pPr>
              <w:pStyle w:val="34"/>
            </w:pPr>
            <w:r>
              <w:t>1.82</w:t>
            </w:r>
          </w:p>
        </w:tc>
      </w:tr>
      <w:tr w14:paraId="0C7C1E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E2FCB03">
            <w:pPr>
              <w:pStyle w:val="34"/>
              <w:numPr>
                <w:ilvl w:val="0"/>
                <w:numId w:val="54"/>
              </w:numPr>
              <w:rPr>
                <w:lang w:eastAsia="en-US"/>
              </w:rPr>
            </w:pPr>
          </w:p>
        </w:tc>
        <w:tc>
          <w:tcPr>
            <w:tcW w:w="1868" w:type="dxa"/>
            <w:vAlign w:val="center"/>
          </w:tcPr>
          <w:p w14:paraId="5A8BE590">
            <w:pPr>
              <w:pStyle w:val="34"/>
            </w:pPr>
            <w:r>
              <w:t>五硫化二磷</w:t>
            </w:r>
          </w:p>
        </w:tc>
        <w:tc>
          <w:tcPr>
            <w:tcW w:w="1684" w:type="dxa"/>
            <w:vAlign w:val="center"/>
          </w:tcPr>
          <w:p w14:paraId="43F2BD59">
            <w:pPr>
              <w:pStyle w:val="34"/>
            </w:pPr>
            <w:r>
              <w:t>灰色到黄绿色结晶</w:t>
            </w:r>
          </w:p>
        </w:tc>
        <w:tc>
          <w:tcPr>
            <w:tcW w:w="1318" w:type="dxa"/>
            <w:vAlign w:val="center"/>
          </w:tcPr>
          <w:p w14:paraId="5256D8B8">
            <w:pPr>
              <w:pStyle w:val="34"/>
            </w:pPr>
            <w:r>
              <w:t>与水反应</w:t>
            </w:r>
          </w:p>
        </w:tc>
        <w:tc>
          <w:tcPr>
            <w:tcW w:w="607" w:type="dxa"/>
            <w:vAlign w:val="center"/>
          </w:tcPr>
          <w:p w14:paraId="68C4FF6E">
            <w:pPr>
              <w:pStyle w:val="34"/>
            </w:pPr>
            <w:r>
              <w:t>/</w:t>
            </w:r>
          </w:p>
        </w:tc>
        <w:tc>
          <w:tcPr>
            <w:tcW w:w="859" w:type="dxa"/>
            <w:vAlign w:val="center"/>
          </w:tcPr>
          <w:p w14:paraId="68881113">
            <w:pPr>
              <w:pStyle w:val="34"/>
              <w:rPr>
                <w:lang w:eastAsia="en-US"/>
              </w:rPr>
            </w:pPr>
            <w:r>
              <w:rPr>
                <w:lang w:eastAsia="en-US"/>
              </w:rPr>
              <w:t>易燃</w:t>
            </w:r>
          </w:p>
        </w:tc>
        <w:tc>
          <w:tcPr>
            <w:tcW w:w="1562" w:type="dxa"/>
            <w:vAlign w:val="center"/>
          </w:tcPr>
          <w:p w14:paraId="4703F83E">
            <w:pPr>
              <w:pStyle w:val="34"/>
            </w:pPr>
            <w:r>
              <w:t>/</w:t>
            </w:r>
          </w:p>
        </w:tc>
        <w:tc>
          <w:tcPr>
            <w:tcW w:w="1060" w:type="dxa"/>
            <w:vAlign w:val="center"/>
          </w:tcPr>
          <w:p w14:paraId="7E574367">
            <w:pPr>
              <w:pStyle w:val="34"/>
            </w:pPr>
            <w:r>
              <w:t>276</w:t>
            </w:r>
          </w:p>
        </w:tc>
        <w:tc>
          <w:tcPr>
            <w:tcW w:w="998" w:type="dxa"/>
            <w:vAlign w:val="center"/>
          </w:tcPr>
          <w:p w14:paraId="74C1C14C">
            <w:pPr>
              <w:pStyle w:val="34"/>
            </w:pPr>
            <w:r>
              <w:t>514</w:t>
            </w:r>
          </w:p>
        </w:tc>
        <w:tc>
          <w:tcPr>
            <w:tcW w:w="958" w:type="dxa"/>
            <w:vAlign w:val="center"/>
          </w:tcPr>
          <w:p w14:paraId="48217C9E">
            <w:pPr>
              <w:pStyle w:val="34"/>
            </w:pPr>
            <w:r>
              <w:t>/</w:t>
            </w:r>
          </w:p>
        </w:tc>
        <w:tc>
          <w:tcPr>
            <w:tcW w:w="1006" w:type="dxa"/>
            <w:vAlign w:val="center"/>
          </w:tcPr>
          <w:p w14:paraId="47B6848D">
            <w:pPr>
              <w:pStyle w:val="34"/>
            </w:pPr>
            <w:r>
              <w:t>141</w:t>
            </w:r>
          </w:p>
        </w:tc>
        <w:tc>
          <w:tcPr>
            <w:tcW w:w="1721" w:type="dxa"/>
            <w:vAlign w:val="center"/>
          </w:tcPr>
          <w:p w14:paraId="4007F62E">
            <w:pPr>
              <w:pStyle w:val="34"/>
            </w:pPr>
            <w:r>
              <w:t>2.03</w:t>
            </w:r>
          </w:p>
        </w:tc>
      </w:tr>
      <w:tr w14:paraId="028520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09F5C0D">
            <w:pPr>
              <w:pStyle w:val="34"/>
              <w:numPr>
                <w:ilvl w:val="0"/>
                <w:numId w:val="54"/>
              </w:numPr>
              <w:rPr>
                <w:lang w:eastAsia="en-US"/>
              </w:rPr>
            </w:pPr>
          </w:p>
        </w:tc>
        <w:tc>
          <w:tcPr>
            <w:tcW w:w="1868" w:type="dxa"/>
            <w:vAlign w:val="center"/>
          </w:tcPr>
          <w:p w14:paraId="4C9B2A2D">
            <w:pPr>
              <w:pStyle w:val="34"/>
              <w:rPr>
                <w:w w:val="105"/>
              </w:rPr>
            </w:pPr>
            <w:r>
              <w:rPr>
                <w:w w:val="105"/>
              </w:rPr>
              <w:t>三氯硅烷</w:t>
            </w:r>
          </w:p>
        </w:tc>
        <w:tc>
          <w:tcPr>
            <w:tcW w:w="1684" w:type="dxa"/>
            <w:vAlign w:val="center"/>
          </w:tcPr>
          <w:p w14:paraId="77ADD6D0">
            <w:pPr>
              <w:pStyle w:val="34"/>
            </w:pPr>
            <w:r>
              <w:rPr>
                <w:rFonts w:hint="eastAsia"/>
              </w:rPr>
              <w:t>无色</w:t>
            </w:r>
            <w:r>
              <w:t>固体</w:t>
            </w:r>
          </w:p>
        </w:tc>
        <w:tc>
          <w:tcPr>
            <w:tcW w:w="1318" w:type="dxa"/>
            <w:vAlign w:val="center"/>
          </w:tcPr>
          <w:p w14:paraId="6316DAED">
            <w:pPr>
              <w:pStyle w:val="34"/>
            </w:pPr>
            <w:r>
              <w:t>微溶于水</w:t>
            </w:r>
          </w:p>
        </w:tc>
        <w:tc>
          <w:tcPr>
            <w:tcW w:w="607" w:type="dxa"/>
            <w:vAlign w:val="center"/>
          </w:tcPr>
          <w:p w14:paraId="7ED9AF8E">
            <w:pPr>
              <w:pStyle w:val="34"/>
            </w:pPr>
            <w:r>
              <w:rPr>
                <w:rFonts w:hint="eastAsia"/>
              </w:rPr>
              <w:t>/</w:t>
            </w:r>
          </w:p>
        </w:tc>
        <w:tc>
          <w:tcPr>
            <w:tcW w:w="859" w:type="dxa"/>
            <w:vAlign w:val="center"/>
          </w:tcPr>
          <w:p w14:paraId="0030C54A">
            <w:pPr>
              <w:pStyle w:val="34"/>
            </w:pPr>
            <w:r>
              <w:t>极易燃</w:t>
            </w:r>
          </w:p>
        </w:tc>
        <w:tc>
          <w:tcPr>
            <w:tcW w:w="1562" w:type="dxa"/>
            <w:vAlign w:val="center"/>
          </w:tcPr>
          <w:p w14:paraId="6A0D4E2B">
            <w:pPr>
              <w:pStyle w:val="34"/>
            </w:pPr>
            <w:r>
              <w:rPr>
                <w:rFonts w:hint="eastAsia"/>
              </w:rPr>
              <w:t>1.2~90.5</w:t>
            </w:r>
          </w:p>
        </w:tc>
        <w:tc>
          <w:tcPr>
            <w:tcW w:w="1060" w:type="dxa"/>
            <w:vAlign w:val="center"/>
          </w:tcPr>
          <w:p w14:paraId="1B7CC0DC">
            <w:pPr>
              <w:pStyle w:val="34"/>
            </w:pPr>
            <w:r>
              <w:rPr>
                <w:rFonts w:hint="eastAsia"/>
              </w:rPr>
              <w:t>-127</w:t>
            </w:r>
          </w:p>
        </w:tc>
        <w:tc>
          <w:tcPr>
            <w:tcW w:w="998" w:type="dxa"/>
            <w:vAlign w:val="center"/>
          </w:tcPr>
          <w:p w14:paraId="1BFF75BE">
            <w:pPr>
              <w:pStyle w:val="34"/>
            </w:pPr>
            <w:r>
              <w:rPr>
                <w:rFonts w:hint="eastAsia"/>
              </w:rPr>
              <w:t>32</w:t>
            </w:r>
          </w:p>
        </w:tc>
        <w:tc>
          <w:tcPr>
            <w:tcW w:w="958" w:type="dxa"/>
            <w:vAlign w:val="center"/>
          </w:tcPr>
          <w:p w14:paraId="3254A7E1">
            <w:pPr>
              <w:pStyle w:val="34"/>
            </w:pPr>
            <w:r>
              <w:rPr>
                <w:rFonts w:hint="eastAsia"/>
              </w:rPr>
              <w:t>-20</w:t>
            </w:r>
          </w:p>
        </w:tc>
        <w:tc>
          <w:tcPr>
            <w:tcW w:w="1006" w:type="dxa"/>
            <w:vAlign w:val="center"/>
          </w:tcPr>
          <w:p w14:paraId="74B942DE">
            <w:pPr>
              <w:pStyle w:val="34"/>
            </w:pPr>
            <w:r>
              <w:rPr>
                <w:rFonts w:hint="eastAsia"/>
              </w:rPr>
              <w:t>300</w:t>
            </w:r>
          </w:p>
        </w:tc>
        <w:tc>
          <w:tcPr>
            <w:tcW w:w="1721" w:type="dxa"/>
            <w:vAlign w:val="center"/>
          </w:tcPr>
          <w:p w14:paraId="02474094">
            <w:pPr>
              <w:pStyle w:val="34"/>
            </w:pPr>
            <w:r>
              <w:rPr>
                <w:rFonts w:hint="eastAsia"/>
              </w:rPr>
              <w:t>1.342</w:t>
            </w:r>
          </w:p>
        </w:tc>
      </w:tr>
      <w:tr w14:paraId="1AB581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82B1B44">
            <w:pPr>
              <w:pStyle w:val="34"/>
              <w:numPr>
                <w:ilvl w:val="0"/>
                <w:numId w:val="54"/>
              </w:numPr>
              <w:rPr>
                <w:lang w:eastAsia="en-US"/>
              </w:rPr>
            </w:pPr>
          </w:p>
        </w:tc>
        <w:tc>
          <w:tcPr>
            <w:tcW w:w="1868" w:type="dxa"/>
            <w:vAlign w:val="center"/>
          </w:tcPr>
          <w:p w14:paraId="38C1E54D">
            <w:pPr>
              <w:pStyle w:val="34"/>
              <w:rPr>
                <w:w w:val="105"/>
              </w:rPr>
            </w:pPr>
            <w:r>
              <w:rPr>
                <w:rFonts w:hint="eastAsia"/>
                <w:w w:val="105"/>
              </w:rPr>
              <w:t>硅铝铁合金粉</w:t>
            </w:r>
          </w:p>
        </w:tc>
        <w:tc>
          <w:tcPr>
            <w:tcW w:w="1684" w:type="dxa"/>
            <w:vAlign w:val="center"/>
          </w:tcPr>
          <w:p w14:paraId="018698DD">
            <w:pPr>
              <w:pStyle w:val="34"/>
            </w:pPr>
            <w:r>
              <w:rPr>
                <w:rFonts w:hint="eastAsia"/>
              </w:rPr>
              <w:t>黑灰色粉末</w:t>
            </w:r>
          </w:p>
        </w:tc>
        <w:tc>
          <w:tcPr>
            <w:tcW w:w="1318" w:type="dxa"/>
            <w:vAlign w:val="center"/>
          </w:tcPr>
          <w:p w14:paraId="23A2FA41">
            <w:pPr>
              <w:pStyle w:val="34"/>
            </w:pPr>
            <w:r>
              <w:t>不溶于水</w:t>
            </w:r>
          </w:p>
        </w:tc>
        <w:tc>
          <w:tcPr>
            <w:tcW w:w="607" w:type="dxa"/>
            <w:vAlign w:val="center"/>
          </w:tcPr>
          <w:p w14:paraId="3E674A49">
            <w:pPr>
              <w:pStyle w:val="34"/>
            </w:pPr>
            <w:r>
              <w:rPr>
                <w:rFonts w:hint="eastAsia"/>
              </w:rPr>
              <w:t>/</w:t>
            </w:r>
          </w:p>
        </w:tc>
        <w:tc>
          <w:tcPr>
            <w:tcW w:w="859" w:type="dxa"/>
            <w:vAlign w:val="center"/>
          </w:tcPr>
          <w:p w14:paraId="1B999A1E">
            <w:pPr>
              <w:pStyle w:val="34"/>
            </w:pPr>
            <w:r>
              <w:t>易燃</w:t>
            </w:r>
          </w:p>
        </w:tc>
        <w:tc>
          <w:tcPr>
            <w:tcW w:w="1562" w:type="dxa"/>
            <w:vAlign w:val="center"/>
          </w:tcPr>
          <w:p w14:paraId="6EBA268B">
            <w:pPr>
              <w:pStyle w:val="34"/>
            </w:pPr>
            <w:r>
              <w:rPr>
                <w:rFonts w:hint="eastAsia"/>
              </w:rPr>
              <w:t>/</w:t>
            </w:r>
          </w:p>
        </w:tc>
        <w:tc>
          <w:tcPr>
            <w:tcW w:w="1060" w:type="dxa"/>
            <w:vAlign w:val="center"/>
          </w:tcPr>
          <w:p w14:paraId="7665A4CB">
            <w:pPr>
              <w:pStyle w:val="34"/>
            </w:pPr>
            <w:r>
              <w:rPr>
                <w:rFonts w:hint="eastAsia"/>
              </w:rPr>
              <w:t>557</w:t>
            </w:r>
          </w:p>
        </w:tc>
        <w:tc>
          <w:tcPr>
            <w:tcW w:w="998" w:type="dxa"/>
            <w:vAlign w:val="center"/>
          </w:tcPr>
          <w:p w14:paraId="346FFB27">
            <w:pPr>
              <w:pStyle w:val="34"/>
            </w:pPr>
            <w:r>
              <w:rPr>
                <w:rFonts w:hint="eastAsia"/>
              </w:rPr>
              <w:t>2327</w:t>
            </w:r>
          </w:p>
        </w:tc>
        <w:tc>
          <w:tcPr>
            <w:tcW w:w="958" w:type="dxa"/>
            <w:vAlign w:val="center"/>
          </w:tcPr>
          <w:p w14:paraId="4702E74D">
            <w:pPr>
              <w:pStyle w:val="34"/>
            </w:pPr>
            <w:r>
              <w:rPr>
                <w:rFonts w:hint="eastAsia"/>
              </w:rPr>
              <w:t>/</w:t>
            </w:r>
          </w:p>
        </w:tc>
        <w:tc>
          <w:tcPr>
            <w:tcW w:w="1006" w:type="dxa"/>
            <w:vAlign w:val="center"/>
          </w:tcPr>
          <w:p w14:paraId="55705089">
            <w:pPr>
              <w:pStyle w:val="34"/>
            </w:pPr>
            <w:r>
              <w:rPr>
                <w:rFonts w:hint="eastAsia"/>
              </w:rPr>
              <w:t>5900</w:t>
            </w:r>
          </w:p>
        </w:tc>
        <w:tc>
          <w:tcPr>
            <w:tcW w:w="1721" w:type="dxa"/>
            <w:vAlign w:val="center"/>
          </w:tcPr>
          <w:p w14:paraId="50CE7042">
            <w:pPr>
              <w:pStyle w:val="34"/>
            </w:pPr>
            <w:r>
              <w:rPr>
                <w:rFonts w:hint="eastAsia"/>
              </w:rPr>
              <w:t>2.4</w:t>
            </w:r>
          </w:p>
        </w:tc>
      </w:tr>
      <w:tr w14:paraId="2A8975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03C7A54">
            <w:pPr>
              <w:pStyle w:val="34"/>
              <w:numPr>
                <w:ilvl w:val="0"/>
                <w:numId w:val="54"/>
              </w:numPr>
              <w:rPr>
                <w:lang w:eastAsia="en-US"/>
              </w:rPr>
            </w:pPr>
          </w:p>
        </w:tc>
        <w:tc>
          <w:tcPr>
            <w:tcW w:w="1868" w:type="dxa"/>
            <w:vAlign w:val="center"/>
          </w:tcPr>
          <w:p w14:paraId="6B2DAFFF">
            <w:pPr>
              <w:pStyle w:val="34"/>
              <w:rPr>
                <w:w w:val="105"/>
              </w:rPr>
            </w:pPr>
            <w:r>
              <w:rPr>
                <w:rFonts w:hint="eastAsia"/>
                <w:w w:val="105"/>
              </w:rPr>
              <w:t>硫磺</w:t>
            </w:r>
          </w:p>
        </w:tc>
        <w:tc>
          <w:tcPr>
            <w:tcW w:w="1684" w:type="dxa"/>
            <w:vAlign w:val="center"/>
          </w:tcPr>
          <w:p w14:paraId="52C5AE6A">
            <w:pPr>
              <w:pStyle w:val="34"/>
            </w:pPr>
            <w:r>
              <w:rPr>
                <w:rFonts w:hint="eastAsia"/>
              </w:rPr>
              <w:t>淡黄色脆性结晶或粉末，有特殊臭味</w:t>
            </w:r>
          </w:p>
        </w:tc>
        <w:tc>
          <w:tcPr>
            <w:tcW w:w="1318" w:type="dxa"/>
            <w:vAlign w:val="center"/>
          </w:tcPr>
          <w:p w14:paraId="04C0FE30">
            <w:pPr>
              <w:pStyle w:val="34"/>
            </w:pPr>
            <w:r>
              <w:t>不溶于水</w:t>
            </w:r>
          </w:p>
        </w:tc>
        <w:tc>
          <w:tcPr>
            <w:tcW w:w="607" w:type="dxa"/>
            <w:vAlign w:val="center"/>
          </w:tcPr>
          <w:p w14:paraId="7AE43D91">
            <w:pPr>
              <w:pStyle w:val="34"/>
            </w:pPr>
            <w:r>
              <w:rPr>
                <w:rFonts w:hint="eastAsia"/>
              </w:rPr>
              <w:t>/</w:t>
            </w:r>
          </w:p>
        </w:tc>
        <w:tc>
          <w:tcPr>
            <w:tcW w:w="859" w:type="dxa"/>
            <w:vAlign w:val="center"/>
          </w:tcPr>
          <w:p w14:paraId="211AE47B">
            <w:pPr>
              <w:pStyle w:val="34"/>
            </w:pPr>
            <w:r>
              <w:t>易燃</w:t>
            </w:r>
          </w:p>
        </w:tc>
        <w:tc>
          <w:tcPr>
            <w:tcW w:w="1562" w:type="dxa"/>
            <w:vAlign w:val="center"/>
          </w:tcPr>
          <w:p w14:paraId="1FBBFF74">
            <w:pPr>
              <w:pStyle w:val="34"/>
            </w:pPr>
            <w:r>
              <w:rPr>
                <w:rFonts w:hint="eastAsia"/>
              </w:rPr>
              <w:t>2.3~46</w:t>
            </w:r>
          </w:p>
        </w:tc>
        <w:tc>
          <w:tcPr>
            <w:tcW w:w="1060" w:type="dxa"/>
            <w:vAlign w:val="center"/>
          </w:tcPr>
          <w:p w14:paraId="0A43C489">
            <w:pPr>
              <w:pStyle w:val="34"/>
            </w:pPr>
            <w:r>
              <w:rPr>
                <w:rFonts w:hint="eastAsia"/>
              </w:rPr>
              <w:t>119</w:t>
            </w:r>
          </w:p>
        </w:tc>
        <w:tc>
          <w:tcPr>
            <w:tcW w:w="998" w:type="dxa"/>
            <w:vAlign w:val="center"/>
          </w:tcPr>
          <w:p w14:paraId="64D76281">
            <w:pPr>
              <w:pStyle w:val="34"/>
            </w:pPr>
            <w:r>
              <w:rPr>
                <w:rFonts w:hint="eastAsia"/>
              </w:rPr>
              <w:t>444.6</w:t>
            </w:r>
          </w:p>
        </w:tc>
        <w:tc>
          <w:tcPr>
            <w:tcW w:w="958" w:type="dxa"/>
            <w:vAlign w:val="center"/>
          </w:tcPr>
          <w:p w14:paraId="35EAEB8B">
            <w:pPr>
              <w:pStyle w:val="34"/>
            </w:pPr>
            <w:r>
              <w:rPr>
                <w:rFonts w:hint="eastAsia"/>
              </w:rPr>
              <w:t>207</w:t>
            </w:r>
          </w:p>
        </w:tc>
        <w:tc>
          <w:tcPr>
            <w:tcW w:w="1006" w:type="dxa"/>
            <w:vAlign w:val="center"/>
          </w:tcPr>
          <w:p w14:paraId="105B16EE">
            <w:pPr>
              <w:pStyle w:val="34"/>
            </w:pPr>
            <w:r>
              <w:rPr>
                <w:rFonts w:hint="eastAsia"/>
              </w:rPr>
              <w:t>232</w:t>
            </w:r>
          </w:p>
        </w:tc>
        <w:tc>
          <w:tcPr>
            <w:tcW w:w="1721" w:type="dxa"/>
            <w:vAlign w:val="center"/>
          </w:tcPr>
          <w:p w14:paraId="118B5D5D">
            <w:pPr>
              <w:pStyle w:val="34"/>
            </w:pPr>
            <w:r>
              <w:rPr>
                <w:rFonts w:hint="eastAsia"/>
              </w:rPr>
              <w:t>2</w:t>
            </w:r>
          </w:p>
        </w:tc>
      </w:tr>
      <w:tr w14:paraId="424FF8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7669C83B">
            <w:pPr>
              <w:pStyle w:val="34"/>
              <w:numPr>
                <w:ilvl w:val="0"/>
                <w:numId w:val="54"/>
              </w:numPr>
              <w:rPr>
                <w:lang w:eastAsia="en-US"/>
              </w:rPr>
            </w:pPr>
          </w:p>
        </w:tc>
        <w:tc>
          <w:tcPr>
            <w:tcW w:w="1868" w:type="dxa"/>
            <w:vAlign w:val="center"/>
          </w:tcPr>
          <w:p w14:paraId="53337B24">
            <w:pPr>
              <w:pStyle w:val="34"/>
              <w:rPr>
                <w:w w:val="105"/>
              </w:rPr>
            </w:pPr>
            <w:r>
              <w:rPr>
                <w:rFonts w:hint="eastAsia"/>
                <w:w w:val="105"/>
              </w:rPr>
              <w:t>白磷</w:t>
            </w:r>
          </w:p>
        </w:tc>
        <w:tc>
          <w:tcPr>
            <w:tcW w:w="1684" w:type="dxa"/>
            <w:vAlign w:val="center"/>
          </w:tcPr>
          <w:p w14:paraId="7907E9B8">
            <w:pPr>
              <w:pStyle w:val="34"/>
            </w:pPr>
            <w:r>
              <w:t>银白色或黄色固体</w:t>
            </w:r>
          </w:p>
        </w:tc>
        <w:tc>
          <w:tcPr>
            <w:tcW w:w="1318" w:type="dxa"/>
            <w:vAlign w:val="center"/>
          </w:tcPr>
          <w:p w14:paraId="3F9E2949">
            <w:pPr>
              <w:pStyle w:val="34"/>
            </w:pPr>
            <w:r>
              <w:t>不溶于水</w:t>
            </w:r>
          </w:p>
        </w:tc>
        <w:tc>
          <w:tcPr>
            <w:tcW w:w="607" w:type="dxa"/>
            <w:vAlign w:val="center"/>
          </w:tcPr>
          <w:p w14:paraId="31A2AFA9">
            <w:pPr>
              <w:pStyle w:val="34"/>
            </w:pPr>
            <w:r>
              <w:rPr>
                <w:rFonts w:hint="eastAsia"/>
              </w:rPr>
              <w:t>/</w:t>
            </w:r>
          </w:p>
        </w:tc>
        <w:tc>
          <w:tcPr>
            <w:tcW w:w="859" w:type="dxa"/>
            <w:vAlign w:val="center"/>
          </w:tcPr>
          <w:p w14:paraId="4939AD94">
            <w:pPr>
              <w:pStyle w:val="34"/>
            </w:pPr>
            <w:r>
              <w:rPr>
                <w:rFonts w:hint="eastAsia"/>
              </w:rPr>
              <w:t>易燃</w:t>
            </w:r>
          </w:p>
        </w:tc>
        <w:tc>
          <w:tcPr>
            <w:tcW w:w="1562" w:type="dxa"/>
            <w:vAlign w:val="center"/>
          </w:tcPr>
          <w:p w14:paraId="44C4CFAC">
            <w:pPr>
              <w:pStyle w:val="34"/>
            </w:pPr>
            <w:r>
              <w:rPr>
                <w:rFonts w:hint="eastAsia"/>
              </w:rPr>
              <w:t>/</w:t>
            </w:r>
          </w:p>
        </w:tc>
        <w:tc>
          <w:tcPr>
            <w:tcW w:w="1060" w:type="dxa"/>
            <w:vAlign w:val="center"/>
          </w:tcPr>
          <w:p w14:paraId="4D5FC935">
            <w:pPr>
              <w:pStyle w:val="34"/>
            </w:pPr>
            <w:r>
              <w:rPr>
                <w:rFonts w:hint="eastAsia"/>
              </w:rPr>
              <w:t>44.1</w:t>
            </w:r>
          </w:p>
        </w:tc>
        <w:tc>
          <w:tcPr>
            <w:tcW w:w="998" w:type="dxa"/>
            <w:vAlign w:val="center"/>
          </w:tcPr>
          <w:p w14:paraId="6EB6DA48">
            <w:pPr>
              <w:pStyle w:val="34"/>
            </w:pPr>
            <w:r>
              <w:rPr>
                <w:rFonts w:hint="eastAsia"/>
              </w:rPr>
              <w:t>280.5</w:t>
            </w:r>
          </w:p>
        </w:tc>
        <w:tc>
          <w:tcPr>
            <w:tcW w:w="958" w:type="dxa"/>
            <w:vAlign w:val="center"/>
          </w:tcPr>
          <w:p w14:paraId="77E0E8CD">
            <w:pPr>
              <w:pStyle w:val="34"/>
            </w:pPr>
            <w:r>
              <w:rPr>
                <w:rFonts w:hint="eastAsia"/>
              </w:rPr>
              <w:t>＜23</w:t>
            </w:r>
          </w:p>
        </w:tc>
        <w:tc>
          <w:tcPr>
            <w:tcW w:w="1006" w:type="dxa"/>
            <w:vAlign w:val="center"/>
          </w:tcPr>
          <w:p w14:paraId="0A4FE900">
            <w:pPr>
              <w:pStyle w:val="34"/>
            </w:pPr>
            <w:r>
              <w:rPr>
                <w:rFonts w:hint="eastAsia"/>
              </w:rPr>
              <w:t>40</w:t>
            </w:r>
          </w:p>
        </w:tc>
        <w:tc>
          <w:tcPr>
            <w:tcW w:w="1721" w:type="dxa"/>
            <w:vAlign w:val="center"/>
          </w:tcPr>
          <w:p w14:paraId="36AA6776">
            <w:pPr>
              <w:pStyle w:val="34"/>
            </w:pPr>
            <w:r>
              <w:rPr>
                <w:rFonts w:hint="eastAsia"/>
              </w:rPr>
              <w:t>1.828</w:t>
            </w:r>
          </w:p>
        </w:tc>
      </w:tr>
      <w:tr w14:paraId="1A187A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0EED0CC">
            <w:pPr>
              <w:pStyle w:val="34"/>
              <w:numPr>
                <w:ilvl w:val="0"/>
                <w:numId w:val="54"/>
              </w:numPr>
              <w:rPr>
                <w:lang w:eastAsia="en-US"/>
              </w:rPr>
            </w:pPr>
          </w:p>
        </w:tc>
        <w:tc>
          <w:tcPr>
            <w:tcW w:w="1868" w:type="dxa"/>
            <w:vAlign w:val="center"/>
          </w:tcPr>
          <w:p w14:paraId="34CCEE8A">
            <w:pPr>
              <w:pStyle w:val="34"/>
              <w:rPr>
                <w:w w:val="105"/>
              </w:rPr>
            </w:pPr>
            <w:r>
              <w:rPr>
                <w:rFonts w:hint="eastAsia"/>
                <w:w w:val="105"/>
              </w:rPr>
              <w:t>戊硼烷</w:t>
            </w:r>
          </w:p>
        </w:tc>
        <w:tc>
          <w:tcPr>
            <w:tcW w:w="1684" w:type="dxa"/>
            <w:vAlign w:val="center"/>
          </w:tcPr>
          <w:p w14:paraId="34E7E219">
            <w:pPr>
              <w:pStyle w:val="34"/>
            </w:pPr>
            <w:r>
              <w:rPr>
                <w:rFonts w:hint="eastAsia"/>
              </w:rPr>
              <w:t>无色液体</w:t>
            </w:r>
          </w:p>
        </w:tc>
        <w:tc>
          <w:tcPr>
            <w:tcW w:w="1318" w:type="dxa"/>
            <w:vAlign w:val="center"/>
          </w:tcPr>
          <w:p w14:paraId="3ED9BB3D">
            <w:pPr>
              <w:pStyle w:val="34"/>
            </w:pPr>
            <w:r>
              <w:t>在水中分解</w:t>
            </w:r>
          </w:p>
        </w:tc>
        <w:tc>
          <w:tcPr>
            <w:tcW w:w="607" w:type="dxa"/>
            <w:vAlign w:val="center"/>
          </w:tcPr>
          <w:p w14:paraId="41F0EB0D">
            <w:pPr>
              <w:pStyle w:val="34"/>
            </w:pPr>
            <w:r>
              <w:rPr>
                <w:rFonts w:hint="eastAsia"/>
              </w:rPr>
              <w:t>易挥发</w:t>
            </w:r>
          </w:p>
        </w:tc>
        <w:tc>
          <w:tcPr>
            <w:tcW w:w="859" w:type="dxa"/>
            <w:vAlign w:val="center"/>
          </w:tcPr>
          <w:p w14:paraId="52762E09">
            <w:pPr>
              <w:pStyle w:val="34"/>
            </w:pPr>
            <w:r>
              <w:rPr>
                <w:rFonts w:hint="eastAsia"/>
              </w:rPr>
              <w:t>易自燃</w:t>
            </w:r>
          </w:p>
        </w:tc>
        <w:tc>
          <w:tcPr>
            <w:tcW w:w="1562" w:type="dxa"/>
            <w:vAlign w:val="center"/>
          </w:tcPr>
          <w:p w14:paraId="1AD0E0B8">
            <w:pPr>
              <w:pStyle w:val="34"/>
            </w:pPr>
            <w:r>
              <w:rPr>
                <w:rFonts w:hint="eastAsia"/>
              </w:rPr>
              <w:t>/</w:t>
            </w:r>
          </w:p>
        </w:tc>
        <w:tc>
          <w:tcPr>
            <w:tcW w:w="1060" w:type="dxa"/>
            <w:vAlign w:val="center"/>
          </w:tcPr>
          <w:p w14:paraId="5A49B754">
            <w:pPr>
              <w:pStyle w:val="34"/>
            </w:pPr>
            <w:r>
              <w:rPr>
                <w:rFonts w:hint="eastAsia"/>
              </w:rPr>
              <w:t>-46.6</w:t>
            </w:r>
          </w:p>
        </w:tc>
        <w:tc>
          <w:tcPr>
            <w:tcW w:w="998" w:type="dxa"/>
            <w:vAlign w:val="center"/>
          </w:tcPr>
          <w:p w14:paraId="590AEC1A">
            <w:pPr>
              <w:pStyle w:val="34"/>
            </w:pPr>
            <w:r>
              <w:rPr>
                <w:rFonts w:hint="eastAsia"/>
              </w:rPr>
              <w:t>60.1</w:t>
            </w:r>
          </w:p>
        </w:tc>
        <w:tc>
          <w:tcPr>
            <w:tcW w:w="958" w:type="dxa"/>
            <w:vAlign w:val="center"/>
          </w:tcPr>
          <w:p w14:paraId="13109271">
            <w:pPr>
              <w:pStyle w:val="34"/>
            </w:pPr>
            <w:r>
              <w:rPr>
                <w:rFonts w:hint="eastAsia"/>
              </w:rPr>
              <w:t>30</w:t>
            </w:r>
          </w:p>
        </w:tc>
        <w:tc>
          <w:tcPr>
            <w:tcW w:w="1006" w:type="dxa"/>
            <w:vAlign w:val="center"/>
          </w:tcPr>
          <w:p w14:paraId="7DCEA93A">
            <w:pPr>
              <w:pStyle w:val="34"/>
            </w:pPr>
            <w:r>
              <w:rPr>
                <w:rFonts w:hint="eastAsia"/>
              </w:rPr>
              <w:t>35</w:t>
            </w:r>
          </w:p>
        </w:tc>
        <w:tc>
          <w:tcPr>
            <w:tcW w:w="1721" w:type="dxa"/>
            <w:vAlign w:val="center"/>
          </w:tcPr>
          <w:p w14:paraId="7C3F0E67">
            <w:pPr>
              <w:pStyle w:val="34"/>
            </w:pPr>
            <w:r>
              <w:rPr>
                <w:rFonts w:hint="eastAsia"/>
              </w:rPr>
              <w:t>0.61</w:t>
            </w:r>
          </w:p>
        </w:tc>
      </w:tr>
      <w:tr w14:paraId="149953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82D0922">
            <w:pPr>
              <w:pStyle w:val="34"/>
              <w:numPr>
                <w:ilvl w:val="0"/>
                <w:numId w:val="54"/>
              </w:numPr>
            </w:pPr>
          </w:p>
        </w:tc>
        <w:tc>
          <w:tcPr>
            <w:tcW w:w="1868" w:type="dxa"/>
            <w:vAlign w:val="center"/>
          </w:tcPr>
          <w:p w14:paraId="32C42954">
            <w:pPr>
              <w:pStyle w:val="34"/>
            </w:pPr>
            <w:r>
              <w:rPr>
                <w:rFonts w:hint="eastAsia"/>
              </w:rPr>
              <w:t>硝基胍（橄苦岩），湿的，按质量含水不低于20%</w:t>
            </w:r>
          </w:p>
        </w:tc>
        <w:tc>
          <w:tcPr>
            <w:tcW w:w="1684" w:type="dxa"/>
            <w:vAlign w:val="center"/>
          </w:tcPr>
          <w:p w14:paraId="2A725C66">
            <w:pPr>
              <w:pStyle w:val="34"/>
            </w:pPr>
            <w:r>
              <w:rPr>
                <w:rFonts w:hint="eastAsia"/>
              </w:rPr>
              <w:t>白色针状结晶，不吸湿。</w:t>
            </w:r>
          </w:p>
        </w:tc>
        <w:tc>
          <w:tcPr>
            <w:tcW w:w="1318" w:type="dxa"/>
            <w:vAlign w:val="center"/>
          </w:tcPr>
          <w:p w14:paraId="004F8994">
            <w:pPr>
              <w:pStyle w:val="34"/>
            </w:pPr>
            <w:r>
              <w:rPr>
                <w:rFonts w:hint="eastAsia"/>
              </w:rPr>
              <w:t>溶于热水，不溶于冷水，微溶于乙醇，不溶于醚，易溶于碱液。</w:t>
            </w:r>
          </w:p>
        </w:tc>
        <w:tc>
          <w:tcPr>
            <w:tcW w:w="607" w:type="dxa"/>
            <w:vAlign w:val="center"/>
          </w:tcPr>
          <w:p w14:paraId="065DA20D">
            <w:pPr>
              <w:pStyle w:val="34"/>
            </w:pPr>
            <w:r>
              <w:rPr>
                <w:rFonts w:hint="eastAsia"/>
              </w:rPr>
              <w:t>在室温下不挥发</w:t>
            </w:r>
          </w:p>
        </w:tc>
        <w:tc>
          <w:tcPr>
            <w:tcW w:w="859" w:type="dxa"/>
            <w:vAlign w:val="center"/>
          </w:tcPr>
          <w:p w14:paraId="511E7170">
            <w:pPr>
              <w:pStyle w:val="34"/>
            </w:pPr>
            <w:r>
              <w:rPr>
                <w:rFonts w:hint="eastAsia"/>
              </w:rPr>
              <w:t>易燃</w:t>
            </w:r>
          </w:p>
        </w:tc>
        <w:tc>
          <w:tcPr>
            <w:tcW w:w="1562" w:type="dxa"/>
            <w:vAlign w:val="center"/>
          </w:tcPr>
          <w:p w14:paraId="17F2BE0D">
            <w:pPr>
              <w:pStyle w:val="34"/>
            </w:pPr>
            <w:r>
              <w:rPr>
                <w:rFonts w:hint="eastAsia"/>
              </w:rPr>
              <w:t>/</w:t>
            </w:r>
          </w:p>
        </w:tc>
        <w:tc>
          <w:tcPr>
            <w:tcW w:w="1060" w:type="dxa"/>
            <w:vAlign w:val="center"/>
          </w:tcPr>
          <w:p w14:paraId="5671BCAE">
            <w:pPr>
              <w:pStyle w:val="34"/>
            </w:pPr>
            <w:r>
              <w:rPr>
                <w:rFonts w:hint="eastAsia"/>
              </w:rPr>
              <w:t>232</w:t>
            </w:r>
          </w:p>
        </w:tc>
        <w:tc>
          <w:tcPr>
            <w:tcW w:w="998" w:type="dxa"/>
            <w:vAlign w:val="center"/>
          </w:tcPr>
          <w:p w14:paraId="646055BF">
            <w:pPr>
              <w:pStyle w:val="34"/>
            </w:pPr>
            <w:r>
              <w:rPr>
                <w:rFonts w:hint="eastAsia"/>
              </w:rPr>
              <w:t>/</w:t>
            </w:r>
          </w:p>
        </w:tc>
        <w:tc>
          <w:tcPr>
            <w:tcW w:w="958" w:type="dxa"/>
            <w:vAlign w:val="center"/>
          </w:tcPr>
          <w:p w14:paraId="5EC667DC">
            <w:pPr>
              <w:pStyle w:val="34"/>
            </w:pPr>
            <w:r>
              <w:rPr>
                <w:rFonts w:hint="eastAsia"/>
              </w:rPr>
              <w:t>/</w:t>
            </w:r>
          </w:p>
        </w:tc>
        <w:tc>
          <w:tcPr>
            <w:tcW w:w="1006" w:type="dxa"/>
            <w:vAlign w:val="center"/>
          </w:tcPr>
          <w:p w14:paraId="7C8B5D34">
            <w:pPr>
              <w:pStyle w:val="34"/>
            </w:pPr>
            <w:r>
              <w:rPr>
                <w:rFonts w:hint="eastAsia"/>
              </w:rPr>
              <w:t>/</w:t>
            </w:r>
          </w:p>
        </w:tc>
        <w:tc>
          <w:tcPr>
            <w:tcW w:w="1721" w:type="dxa"/>
            <w:vAlign w:val="center"/>
          </w:tcPr>
          <w:p w14:paraId="09837E84">
            <w:pPr>
              <w:pStyle w:val="34"/>
            </w:pPr>
            <w:r>
              <w:rPr>
                <w:rFonts w:hint="eastAsia"/>
              </w:rPr>
              <w:t>1.71</w:t>
            </w:r>
          </w:p>
        </w:tc>
      </w:tr>
      <w:tr w14:paraId="39A60F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5" w:type="dxa"/>
            <w:gridSpan w:val="12"/>
            <w:vAlign w:val="center"/>
          </w:tcPr>
          <w:p w14:paraId="592D4B13">
            <w:pPr>
              <w:pStyle w:val="34"/>
            </w:pPr>
            <w:r>
              <w:t>第5类 氧化性物质和有机过氧化物</w:t>
            </w:r>
          </w:p>
        </w:tc>
      </w:tr>
      <w:tr w14:paraId="69AC47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2AFE43A">
            <w:pPr>
              <w:pStyle w:val="34"/>
              <w:numPr>
                <w:ilvl w:val="0"/>
                <w:numId w:val="54"/>
              </w:numPr>
            </w:pPr>
          </w:p>
        </w:tc>
        <w:tc>
          <w:tcPr>
            <w:tcW w:w="1868" w:type="dxa"/>
            <w:vAlign w:val="center"/>
          </w:tcPr>
          <w:p w14:paraId="20D3418A">
            <w:pPr>
              <w:pStyle w:val="34"/>
              <w:rPr>
                <w:w w:val="105"/>
              </w:rPr>
            </w:pPr>
            <w:r>
              <w:rPr>
                <w:w w:val="105"/>
              </w:rPr>
              <w:t>氯酸钠</w:t>
            </w:r>
          </w:p>
        </w:tc>
        <w:tc>
          <w:tcPr>
            <w:tcW w:w="1684" w:type="dxa"/>
            <w:vAlign w:val="center"/>
          </w:tcPr>
          <w:p w14:paraId="63861503">
            <w:pPr>
              <w:pStyle w:val="34"/>
            </w:pPr>
            <w:r>
              <w:t>白色或微黄色等轴晶体</w:t>
            </w:r>
          </w:p>
        </w:tc>
        <w:tc>
          <w:tcPr>
            <w:tcW w:w="1318" w:type="dxa"/>
            <w:vAlign w:val="center"/>
          </w:tcPr>
          <w:p w14:paraId="29E0F1AD">
            <w:pPr>
              <w:pStyle w:val="34"/>
            </w:pPr>
            <w:r>
              <w:t>易溶于水</w:t>
            </w:r>
          </w:p>
        </w:tc>
        <w:tc>
          <w:tcPr>
            <w:tcW w:w="607" w:type="dxa"/>
            <w:vAlign w:val="center"/>
          </w:tcPr>
          <w:p w14:paraId="35A44EAB">
            <w:pPr>
              <w:pStyle w:val="34"/>
            </w:pPr>
            <w:r>
              <w:rPr>
                <w:rFonts w:hint="eastAsia"/>
              </w:rPr>
              <w:t>/</w:t>
            </w:r>
          </w:p>
        </w:tc>
        <w:tc>
          <w:tcPr>
            <w:tcW w:w="859" w:type="dxa"/>
            <w:vAlign w:val="center"/>
          </w:tcPr>
          <w:p w14:paraId="7B6AC145">
            <w:pPr>
              <w:pStyle w:val="34"/>
            </w:pPr>
            <w:r>
              <w:t>易燃</w:t>
            </w:r>
          </w:p>
        </w:tc>
        <w:tc>
          <w:tcPr>
            <w:tcW w:w="1562" w:type="dxa"/>
            <w:vAlign w:val="center"/>
          </w:tcPr>
          <w:p w14:paraId="49857B63">
            <w:pPr>
              <w:pStyle w:val="34"/>
            </w:pPr>
            <w:r>
              <w:rPr>
                <w:rFonts w:hint="eastAsia"/>
              </w:rPr>
              <w:t>/</w:t>
            </w:r>
          </w:p>
        </w:tc>
        <w:tc>
          <w:tcPr>
            <w:tcW w:w="1060" w:type="dxa"/>
            <w:vAlign w:val="center"/>
          </w:tcPr>
          <w:p w14:paraId="20DB609B">
            <w:pPr>
              <w:pStyle w:val="34"/>
            </w:pPr>
            <w:r>
              <w:t>248</w:t>
            </w:r>
            <w:r>
              <w:rPr>
                <w:rFonts w:hint="eastAsia"/>
              </w:rPr>
              <w:t>~</w:t>
            </w:r>
            <w:r>
              <w:t>261</w:t>
            </w:r>
          </w:p>
        </w:tc>
        <w:tc>
          <w:tcPr>
            <w:tcW w:w="998" w:type="dxa"/>
            <w:vAlign w:val="center"/>
          </w:tcPr>
          <w:p w14:paraId="1B15D368">
            <w:pPr>
              <w:pStyle w:val="34"/>
            </w:pPr>
            <w:r>
              <w:rPr>
                <w:rFonts w:hint="eastAsia"/>
              </w:rPr>
              <w:t>300</w:t>
            </w:r>
          </w:p>
        </w:tc>
        <w:tc>
          <w:tcPr>
            <w:tcW w:w="958" w:type="dxa"/>
            <w:vAlign w:val="center"/>
          </w:tcPr>
          <w:p w14:paraId="2F5BFFFE">
            <w:pPr>
              <w:pStyle w:val="34"/>
            </w:pPr>
            <w:r>
              <w:rPr>
                <w:rFonts w:hint="eastAsia"/>
              </w:rPr>
              <w:t>/</w:t>
            </w:r>
          </w:p>
        </w:tc>
        <w:tc>
          <w:tcPr>
            <w:tcW w:w="1006" w:type="dxa"/>
            <w:vAlign w:val="center"/>
          </w:tcPr>
          <w:p w14:paraId="77788A7D">
            <w:pPr>
              <w:pStyle w:val="34"/>
            </w:pPr>
            <w:r>
              <w:rPr>
                <w:rFonts w:hint="eastAsia"/>
              </w:rPr>
              <w:t>/</w:t>
            </w:r>
          </w:p>
        </w:tc>
        <w:tc>
          <w:tcPr>
            <w:tcW w:w="1721" w:type="dxa"/>
            <w:vAlign w:val="center"/>
          </w:tcPr>
          <w:p w14:paraId="6665C7BB">
            <w:pPr>
              <w:pStyle w:val="34"/>
            </w:pPr>
            <w:r>
              <w:rPr>
                <w:rFonts w:hint="eastAsia"/>
              </w:rPr>
              <w:t>2.49</w:t>
            </w:r>
          </w:p>
        </w:tc>
      </w:tr>
      <w:tr w14:paraId="0BCD74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1418DF2">
            <w:pPr>
              <w:pStyle w:val="34"/>
              <w:numPr>
                <w:ilvl w:val="0"/>
                <w:numId w:val="54"/>
              </w:numPr>
              <w:rPr>
                <w:lang w:eastAsia="en-US"/>
              </w:rPr>
            </w:pPr>
          </w:p>
        </w:tc>
        <w:tc>
          <w:tcPr>
            <w:tcW w:w="1868" w:type="dxa"/>
            <w:vAlign w:val="center"/>
          </w:tcPr>
          <w:p w14:paraId="1AEF265A">
            <w:pPr>
              <w:pStyle w:val="34"/>
              <w:rPr>
                <w:w w:val="105"/>
              </w:rPr>
            </w:pPr>
            <w:r>
              <w:rPr>
                <w:w w:val="105"/>
              </w:rPr>
              <w:t>铬酸酐</w:t>
            </w:r>
          </w:p>
        </w:tc>
        <w:tc>
          <w:tcPr>
            <w:tcW w:w="1684" w:type="dxa"/>
            <w:vAlign w:val="center"/>
          </w:tcPr>
          <w:p w14:paraId="639F0F54">
            <w:pPr>
              <w:pStyle w:val="34"/>
            </w:pPr>
            <w:r>
              <w:t>红色或暗紫色结晶性粉末</w:t>
            </w:r>
          </w:p>
        </w:tc>
        <w:tc>
          <w:tcPr>
            <w:tcW w:w="1318" w:type="dxa"/>
            <w:vAlign w:val="center"/>
          </w:tcPr>
          <w:p w14:paraId="681BF20A">
            <w:pPr>
              <w:pStyle w:val="34"/>
            </w:pPr>
            <w:r>
              <w:t>可溶于水</w:t>
            </w:r>
          </w:p>
        </w:tc>
        <w:tc>
          <w:tcPr>
            <w:tcW w:w="607" w:type="dxa"/>
            <w:vAlign w:val="center"/>
          </w:tcPr>
          <w:p w14:paraId="13215263">
            <w:pPr>
              <w:pStyle w:val="34"/>
            </w:pPr>
            <w:r>
              <w:rPr>
                <w:rFonts w:hint="eastAsia"/>
              </w:rPr>
              <w:t>/</w:t>
            </w:r>
          </w:p>
        </w:tc>
        <w:tc>
          <w:tcPr>
            <w:tcW w:w="859" w:type="dxa"/>
            <w:vAlign w:val="center"/>
          </w:tcPr>
          <w:p w14:paraId="006250E6">
            <w:pPr>
              <w:pStyle w:val="34"/>
            </w:pPr>
            <w:r>
              <w:t>易燃</w:t>
            </w:r>
          </w:p>
        </w:tc>
        <w:tc>
          <w:tcPr>
            <w:tcW w:w="1562" w:type="dxa"/>
            <w:vAlign w:val="center"/>
          </w:tcPr>
          <w:p w14:paraId="56C62C1E">
            <w:pPr>
              <w:pStyle w:val="34"/>
            </w:pPr>
            <w:r>
              <w:rPr>
                <w:rFonts w:hint="eastAsia"/>
              </w:rPr>
              <w:t>/</w:t>
            </w:r>
          </w:p>
        </w:tc>
        <w:tc>
          <w:tcPr>
            <w:tcW w:w="1060" w:type="dxa"/>
            <w:vAlign w:val="center"/>
          </w:tcPr>
          <w:p w14:paraId="0B976D52">
            <w:pPr>
              <w:pStyle w:val="34"/>
            </w:pPr>
            <w:r>
              <w:rPr>
                <w:rFonts w:hint="eastAsia"/>
              </w:rPr>
              <w:t>196</w:t>
            </w:r>
          </w:p>
        </w:tc>
        <w:tc>
          <w:tcPr>
            <w:tcW w:w="998" w:type="dxa"/>
            <w:vAlign w:val="center"/>
          </w:tcPr>
          <w:p w14:paraId="4B498C4D">
            <w:pPr>
              <w:pStyle w:val="34"/>
            </w:pPr>
            <w:r>
              <w:rPr>
                <w:rFonts w:hint="eastAsia"/>
              </w:rPr>
              <w:t>330</w:t>
            </w:r>
          </w:p>
        </w:tc>
        <w:tc>
          <w:tcPr>
            <w:tcW w:w="958" w:type="dxa"/>
            <w:vAlign w:val="center"/>
          </w:tcPr>
          <w:p w14:paraId="5F983193">
            <w:pPr>
              <w:pStyle w:val="34"/>
            </w:pPr>
            <w:r>
              <w:rPr>
                <w:rFonts w:hint="eastAsia"/>
              </w:rPr>
              <w:t>/</w:t>
            </w:r>
          </w:p>
        </w:tc>
        <w:tc>
          <w:tcPr>
            <w:tcW w:w="1006" w:type="dxa"/>
            <w:vAlign w:val="center"/>
          </w:tcPr>
          <w:p w14:paraId="6CB2B8CE">
            <w:pPr>
              <w:pStyle w:val="34"/>
            </w:pPr>
            <w:r>
              <w:rPr>
                <w:rFonts w:hint="eastAsia"/>
              </w:rPr>
              <w:t>/</w:t>
            </w:r>
          </w:p>
        </w:tc>
        <w:tc>
          <w:tcPr>
            <w:tcW w:w="1721" w:type="dxa"/>
            <w:vAlign w:val="center"/>
          </w:tcPr>
          <w:p w14:paraId="1F689FF6">
            <w:pPr>
              <w:pStyle w:val="34"/>
            </w:pPr>
            <w:r>
              <w:rPr>
                <w:rFonts w:hint="eastAsia"/>
              </w:rPr>
              <w:t>2.7</w:t>
            </w:r>
          </w:p>
        </w:tc>
      </w:tr>
      <w:tr w14:paraId="5787BE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jc w:val="center"/>
        </w:trPr>
        <w:tc>
          <w:tcPr>
            <w:tcW w:w="534" w:type="dxa"/>
            <w:vAlign w:val="center"/>
          </w:tcPr>
          <w:p w14:paraId="63F01F45">
            <w:pPr>
              <w:pStyle w:val="34"/>
              <w:numPr>
                <w:ilvl w:val="0"/>
                <w:numId w:val="54"/>
              </w:numPr>
              <w:rPr>
                <w:lang w:eastAsia="en-US"/>
              </w:rPr>
            </w:pPr>
          </w:p>
        </w:tc>
        <w:tc>
          <w:tcPr>
            <w:tcW w:w="1868" w:type="dxa"/>
            <w:vAlign w:val="center"/>
          </w:tcPr>
          <w:p w14:paraId="0DEC8A3D">
            <w:pPr>
              <w:pStyle w:val="34"/>
              <w:rPr>
                <w:w w:val="105"/>
              </w:rPr>
            </w:pPr>
            <w:r>
              <w:rPr>
                <w:rFonts w:hint="eastAsia"/>
                <w:sz w:val="20"/>
                <w:szCs w:val="21"/>
              </w:rPr>
              <w:t>二氯异氰尿酸钠</w:t>
            </w:r>
          </w:p>
        </w:tc>
        <w:tc>
          <w:tcPr>
            <w:tcW w:w="1684" w:type="dxa"/>
            <w:vAlign w:val="center"/>
          </w:tcPr>
          <w:p w14:paraId="467FF66A">
            <w:pPr>
              <w:pStyle w:val="34"/>
            </w:pPr>
            <w:r>
              <w:t>白色固体颗粒</w:t>
            </w:r>
          </w:p>
        </w:tc>
        <w:tc>
          <w:tcPr>
            <w:tcW w:w="1318" w:type="dxa"/>
            <w:vAlign w:val="center"/>
          </w:tcPr>
          <w:p w14:paraId="361D1973">
            <w:pPr>
              <w:pStyle w:val="34"/>
            </w:pPr>
            <w:r>
              <w:t>溶于水</w:t>
            </w:r>
          </w:p>
        </w:tc>
        <w:tc>
          <w:tcPr>
            <w:tcW w:w="607" w:type="dxa"/>
            <w:vAlign w:val="center"/>
          </w:tcPr>
          <w:p w14:paraId="15661B8F">
            <w:pPr>
              <w:pStyle w:val="34"/>
            </w:pPr>
            <w:r>
              <w:t>/</w:t>
            </w:r>
          </w:p>
        </w:tc>
        <w:tc>
          <w:tcPr>
            <w:tcW w:w="859" w:type="dxa"/>
            <w:vAlign w:val="center"/>
          </w:tcPr>
          <w:p w14:paraId="093BFB12">
            <w:pPr>
              <w:pStyle w:val="34"/>
            </w:pPr>
            <w:r>
              <w:t>助燃</w:t>
            </w:r>
          </w:p>
        </w:tc>
        <w:tc>
          <w:tcPr>
            <w:tcW w:w="1562" w:type="dxa"/>
            <w:vAlign w:val="center"/>
          </w:tcPr>
          <w:p w14:paraId="5D1B84E7">
            <w:pPr>
              <w:pStyle w:val="34"/>
            </w:pPr>
            <w:r>
              <w:t>/</w:t>
            </w:r>
          </w:p>
        </w:tc>
        <w:tc>
          <w:tcPr>
            <w:tcW w:w="1060" w:type="dxa"/>
            <w:vAlign w:val="center"/>
          </w:tcPr>
          <w:p w14:paraId="03C687EF">
            <w:pPr>
              <w:pStyle w:val="34"/>
            </w:pPr>
            <w:r>
              <w:t xml:space="preserve">230 </w:t>
            </w:r>
          </w:p>
        </w:tc>
        <w:tc>
          <w:tcPr>
            <w:tcW w:w="998" w:type="dxa"/>
            <w:vAlign w:val="center"/>
          </w:tcPr>
          <w:p w14:paraId="72599285">
            <w:pPr>
              <w:pStyle w:val="34"/>
            </w:pPr>
            <w:r>
              <w:t>/</w:t>
            </w:r>
          </w:p>
        </w:tc>
        <w:tc>
          <w:tcPr>
            <w:tcW w:w="958" w:type="dxa"/>
            <w:vAlign w:val="center"/>
          </w:tcPr>
          <w:p w14:paraId="7156E915">
            <w:pPr>
              <w:pStyle w:val="34"/>
            </w:pPr>
            <w:r>
              <w:t>/</w:t>
            </w:r>
          </w:p>
        </w:tc>
        <w:tc>
          <w:tcPr>
            <w:tcW w:w="1006" w:type="dxa"/>
            <w:vAlign w:val="center"/>
          </w:tcPr>
          <w:p w14:paraId="2E38B2B5">
            <w:pPr>
              <w:pStyle w:val="34"/>
            </w:pPr>
            <w:r>
              <w:t>/</w:t>
            </w:r>
          </w:p>
        </w:tc>
        <w:tc>
          <w:tcPr>
            <w:tcW w:w="1721" w:type="dxa"/>
            <w:vAlign w:val="center"/>
          </w:tcPr>
          <w:p w14:paraId="502C88C5">
            <w:pPr>
              <w:pStyle w:val="34"/>
            </w:pPr>
            <w:r>
              <w:t>0.91~1.00</w:t>
            </w:r>
          </w:p>
        </w:tc>
      </w:tr>
      <w:tr w14:paraId="17A4AE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jc w:val="center"/>
        </w:trPr>
        <w:tc>
          <w:tcPr>
            <w:tcW w:w="534" w:type="dxa"/>
            <w:vAlign w:val="center"/>
          </w:tcPr>
          <w:p w14:paraId="0D98225D">
            <w:pPr>
              <w:pStyle w:val="34"/>
              <w:numPr>
                <w:ilvl w:val="0"/>
                <w:numId w:val="54"/>
              </w:numPr>
              <w:rPr>
                <w:lang w:eastAsia="en-US"/>
              </w:rPr>
            </w:pPr>
          </w:p>
        </w:tc>
        <w:tc>
          <w:tcPr>
            <w:tcW w:w="1868" w:type="dxa"/>
            <w:vAlign w:val="center"/>
          </w:tcPr>
          <w:p w14:paraId="206B04FB">
            <w:pPr>
              <w:pStyle w:val="34"/>
              <w:rPr>
                <w:w w:val="105"/>
              </w:rPr>
            </w:pPr>
            <w:r>
              <w:rPr>
                <w:rFonts w:hint="eastAsia"/>
                <w:w w:val="105"/>
              </w:rPr>
              <w:t>三氯异氰尿酸</w:t>
            </w:r>
          </w:p>
        </w:tc>
        <w:tc>
          <w:tcPr>
            <w:tcW w:w="1684" w:type="dxa"/>
            <w:vAlign w:val="center"/>
          </w:tcPr>
          <w:p w14:paraId="44AAD7B1">
            <w:pPr>
              <w:pStyle w:val="34"/>
            </w:pPr>
            <w:r>
              <w:t>白色粉末</w:t>
            </w:r>
          </w:p>
        </w:tc>
        <w:tc>
          <w:tcPr>
            <w:tcW w:w="1318" w:type="dxa"/>
            <w:vAlign w:val="center"/>
          </w:tcPr>
          <w:p w14:paraId="69217837">
            <w:pPr>
              <w:pStyle w:val="34"/>
            </w:pPr>
            <w:r>
              <w:t>可溶于水</w:t>
            </w:r>
          </w:p>
        </w:tc>
        <w:tc>
          <w:tcPr>
            <w:tcW w:w="607" w:type="dxa"/>
            <w:vAlign w:val="center"/>
          </w:tcPr>
          <w:p w14:paraId="440DCACB">
            <w:pPr>
              <w:pStyle w:val="34"/>
            </w:pPr>
            <w:r>
              <w:rPr>
                <w:rFonts w:hint="eastAsia"/>
              </w:rPr>
              <w:t>/</w:t>
            </w:r>
          </w:p>
        </w:tc>
        <w:tc>
          <w:tcPr>
            <w:tcW w:w="859" w:type="dxa"/>
            <w:vAlign w:val="center"/>
          </w:tcPr>
          <w:p w14:paraId="6029AE67">
            <w:pPr>
              <w:pStyle w:val="34"/>
            </w:pPr>
            <w:r>
              <w:t>助燃</w:t>
            </w:r>
          </w:p>
        </w:tc>
        <w:tc>
          <w:tcPr>
            <w:tcW w:w="1562" w:type="dxa"/>
            <w:vAlign w:val="center"/>
          </w:tcPr>
          <w:p w14:paraId="3A148B65">
            <w:pPr>
              <w:pStyle w:val="34"/>
            </w:pPr>
            <w:r>
              <w:rPr>
                <w:rFonts w:hint="eastAsia"/>
              </w:rPr>
              <w:t>/</w:t>
            </w:r>
          </w:p>
        </w:tc>
        <w:tc>
          <w:tcPr>
            <w:tcW w:w="1060" w:type="dxa"/>
            <w:vAlign w:val="center"/>
          </w:tcPr>
          <w:p w14:paraId="413483B3">
            <w:pPr>
              <w:pStyle w:val="34"/>
            </w:pPr>
            <w:r>
              <w:t>225～230</w:t>
            </w:r>
          </w:p>
        </w:tc>
        <w:tc>
          <w:tcPr>
            <w:tcW w:w="998" w:type="dxa"/>
            <w:vAlign w:val="center"/>
          </w:tcPr>
          <w:p w14:paraId="16AD33FC">
            <w:pPr>
              <w:pStyle w:val="34"/>
            </w:pPr>
            <w:r>
              <w:t>/</w:t>
            </w:r>
          </w:p>
        </w:tc>
        <w:tc>
          <w:tcPr>
            <w:tcW w:w="958" w:type="dxa"/>
            <w:vAlign w:val="center"/>
          </w:tcPr>
          <w:p w14:paraId="0DB008BE">
            <w:pPr>
              <w:pStyle w:val="34"/>
            </w:pPr>
            <w:r>
              <w:t>/</w:t>
            </w:r>
          </w:p>
        </w:tc>
        <w:tc>
          <w:tcPr>
            <w:tcW w:w="1006" w:type="dxa"/>
            <w:vAlign w:val="center"/>
          </w:tcPr>
          <w:p w14:paraId="354C0B5C">
            <w:pPr>
              <w:pStyle w:val="34"/>
            </w:pPr>
            <w:r>
              <w:t>/</w:t>
            </w:r>
          </w:p>
        </w:tc>
        <w:tc>
          <w:tcPr>
            <w:tcW w:w="1721" w:type="dxa"/>
            <w:vAlign w:val="center"/>
          </w:tcPr>
          <w:p w14:paraId="415C93F3">
            <w:pPr>
              <w:pStyle w:val="34"/>
            </w:pPr>
            <w:r>
              <w:rPr>
                <w:rFonts w:hint="eastAsia"/>
              </w:rPr>
              <w:t>2.07</w:t>
            </w:r>
          </w:p>
        </w:tc>
      </w:tr>
      <w:tr w14:paraId="7E53BE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23CF695D">
            <w:pPr>
              <w:pStyle w:val="34"/>
              <w:numPr>
                <w:ilvl w:val="0"/>
                <w:numId w:val="54"/>
              </w:numPr>
              <w:rPr>
                <w:lang w:eastAsia="en-US"/>
              </w:rPr>
            </w:pPr>
          </w:p>
        </w:tc>
        <w:tc>
          <w:tcPr>
            <w:tcW w:w="1868" w:type="dxa"/>
            <w:vAlign w:val="center"/>
          </w:tcPr>
          <w:p w14:paraId="6709E82E">
            <w:pPr>
              <w:pStyle w:val="34"/>
            </w:pPr>
            <w:bookmarkStart w:id="544" w:name="OLE_LINK184"/>
            <w:r>
              <w:t>三氟化溴</w:t>
            </w:r>
            <w:bookmarkEnd w:id="544"/>
          </w:p>
        </w:tc>
        <w:tc>
          <w:tcPr>
            <w:tcW w:w="1684" w:type="dxa"/>
            <w:vAlign w:val="center"/>
          </w:tcPr>
          <w:p w14:paraId="021D0CEC">
            <w:pPr>
              <w:pStyle w:val="34"/>
            </w:pPr>
            <w:r>
              <w:t>无色</w:t>
            </w:r>
            <w:r>
              <w:rPr>
                <w:rFonts w:hint="eastAsia"/>
              </w:rPr>
              <w:t>固体</w:t>
            </w:r>
          </w:p>
        </w:tc>
        <w:tc>
          <w:tcPr>
            <w:tcW w:w="1318" w:type="dxa"/>
            <w:vAlign w:val="center"/>
          </w:tcPr>
          <w:p w14:paraId="2F8575E7">
            <w:pPr>
              <w:pStyle w:val="34"/>
            </w:pPr>
            <w:r>
              <w:t>与水反应</w:t>
            </w:r>
          </w:p>
        </w:tc>
        <w:tc>
          <w:tcPr>
            <w:tcW w:w="607" w:type="dxa"/>
            <w:vAlign w:val="center"/>
          </w:tcPr>
          <w:p w14:paraId="2E08F34A">
            <w:pPr>
              <w:pStyle w:val="34"/>
            </w:pPr>
            <w:r>
              <w:rPr>
                <w:rFonts w:hint="eastAsia"/>
              </w:rPr>
              <w:t>/</w:t>
            </w:r>
          </w:p>
        </w:tc>
        <w:tc>
          <w:tcPr>
            <w:tcW w:w="859" w:type="dxa"/>
            <w:vAlign w:val="center"/>
          </w:tcPr>
          <w:p w14:paraId="286A3C98">
            <w:pPr>
              <w:pStyle w:val="34"/>
            </w:pPr>
            <w:r>
              <w:t>助燃</w:t>
            </w:r>
          </w:p>
        </w:tc>
        <w:tc>
          <w:tcPr>
            <w:tcW w:w="1562" w:type="dxa"/>
            <w:vAlign w:val="center"/>
          </w:tcPr>
          <w:p w14:paraId="0EA35D7A">
            <w:pPr>
              <w:pStyle w:val="34"/>
            </w:pPr>
            <w:r>
              <w:rPr>
                <w:rFonts w:hint="eastAsia"/>
              </w:rPr>
              <w:t>/</w:t>
            </w:r>
          </w:p>
        </w:tc>
        <w:tc>
          <w:tcPr>
            <w:tcW w:w="1060" w:type="dxa"/>
            <w:vAlign w:val="center"/>
          </w:tcPr>
          <w:p w14:paraId="2C45C506">
            <w:pPr>
              <w:pStyle w:val="34"/>
            </w:pPr>
            <w:r>
              <w:rPr>
                <w:rFonts w:hint="eastAsia"/>
              </w:rPr>
              <w:t>8.8</w:t>
            </w:r>
          </w:p>
        </w:tc>
        <w:tc>
          <w:tcPr>
            <w:tcW w:w="998" w:type="dxa"/>
            <w:vAlign w:val="center"/>
          </w:tcPr>
          <w:p w14:paraId="0BA43766">
            <w:pPr>
              <w:pStyle w:val="34"/>
            </w:pPr>
            <w:r>
              <w:rPr>
                <w:rFonts w:hint="eastAsia"/>
              </w:rPr>
              <w:t>127</w:t>
            </w:r>
          </w:p>
        </w:tc>
        <w:tc>
          <w:tcPr>
            <w:tcW w:w="958" w:type="dxa"/>
            <w:vAlign w:val="center"/>
          </w:tcPr>
          <w:p w14:paraId="35EDEAB8">
            <w:pPr>
              <w:pStyle w:val="34"/>
            </w:pPr>
            <w:r>
              <w:rPr>
                <w:rFonts w:hint="eastAsia"/>
              </w:rPr>
              <w:t>/</w:t>
            </w:r>
          </w:p>
        </w:tc>
        <w:tc>
          <w:tcPr>
            <w:tcW w:w="1006" w:type="dxa"/>
            <w:vAlign w:val="center"/>
          </w:tcPr>
          <w:p w14:paraId="03526432">
            <w:pPr>
              <w:pStyle w:val="34"/>
            </w:pPr>
            <w:r>
              <w:rPr>
                <w:rFonts w:hint="eastAsia"/>
              </w:rPr>
              <w:t>/</w:t>
            </w:r>
          </w:p>
        </w:tc>
        <w:tc>
          <w:tcPr>
            <w:tcW w:w="1721" w:type="dxa"/>
            <w:vAlign w:val="center"/>
          </w:tcPr>
          <w:p w14:paraId="0ADA935B">
            <w:pPr>
              <w:pStyle w:val="34"/>
            </w:pPr>
            <w:r>
              <w:rPr>
                <w:rFonts w:hint="eastAsia"/>
              </w:rPr>
              <w:t>2.803</w:t>
            </w:r>
          </w:p>
        </w:tc>
      </w:tr>
      <w:tr w14:paraId="18713D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5" w:type="dxa"/>
            <w:gridSpan w:val="12"/>
            <w:vAlign w:val="center"/>
          </w:tcPr>
          <w:p w14:paraId="661D9886">
            <w:pPr>
              <w:pStyle w:val="34"/>
            </w:pPr>
            <w:r>
              <w:t>第6类 毒性物质</w:t>
            </w:r>
          </w:p>
        </w:tc>
      </w:tr>
      <w:tr w14:paraId="68C3C8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B3DE731">
            <w:pPr>
              <w:pStyle w:val="34"/>
              <w:numPr>
                <w:ilvl w:val="0"/>
                <w:numId w:val="54"/>
              </w:numPr>
              <w:rPr>
                <w:lang w:eastAsia="en-US"/>
              </w:rPr>
            </w:pPr>
          </w:p>
        </w:tc>
        <w:tc>
          <w:tcPr>
            <w:tcW w:w="1868" w:type="dxa"/>
            <w:vAlign w:val="center"/>
          </w:tcPr>
          <w:p w14:paraId="20DB1380">
            <w:pPr>
              <w:pStyle w:val="34"/>
            </w:pPr>
            <w:r>
              <w:t>二苯胺</w:t>
            </w:r>
          </w:p>
        </w:tc>
        <w:tc>
          <w:tcPr>
            <w:tcW w:w="1684" w:type="dxa"/>
            <w:vAlign w:val="center"/>
          </w:tcPr>
          <w:p w14:paraId="0F87E108">
            <w:pPr>
              <w:pStyle w:val="34"/>
              <w:rPr>
                <w:lang w:eastAsia="en-US"/>
              </w:rPr>
            </w:pPr>
            <w:r>
              <w:rPr>
                <w:lang w:eastAsia="en-US"/>
              </w:rPr>
              <w:t>无色至浅灰色结晶</w:t>
            </w:r>
          </w:p>
        </w:tc>
        <w:tc>
          <w:tcPr>
            <w:tcW w:w="1318" w:type="dxa"/>
            <w:vAlign w:val="center"/>
          </w:tcPr>
          <w:p w14:paraId="6AD0A6FA">
            <w:pPr>
              <w:pStyle w:val="34"/>
              <w:rPr>
                <w:lang w:eastAsia="en-US"/>
              </w:rPr>
            </w:pPr>
            <w:r>
              <w:t>不溶于水</w:t>
            </w:r>
          </w:p>
        </w:tc>
        <w:tc>
          <w:tcPr>
            <w:tcW w:w="607" w:type="dxa"/>
            <w:vAlign w:val="center"/>
          </w:tcPr>
          <w:p w14:paraId="61A2B210">
            <w:pPr>
              <w:pStyle w:val="34"/>
            </w:pPr>
            <w:r>
              <w:t>/</w:t>
            </w:r>
          </w:p>
        </w:tc>
        <w:tc>
          <w:tcPr>
            <w:tcW w:w="859" w:type="dxa"/>
            <w:vAlign w:val="center"/>
          </w:tcPr>
          <w:p w14:paraId="399609B9">
            <w:pPr>
              <w:pStyle w:val="34"/>
              <w:rPr>
                <w:lang w:eastAsia="en-US"/>
              </w:rPr>
            </w:pPr>
            <w:r>
              <w:t>可燃</w:t>
            </w:r>
          </w:p>
        </w:tc>
        <w:tc>
          <w:tcPr>
            <w:tcW w:w="1562" w:type="dxa"/>
            <w:vAlign w:val="center"/>
          </w:tcPr>
          <w:p w14:paraId="4BFFC5FD">
            <w:pPr>
              <w:pStyle w:val="34"/>
            </w:pPr>
            <w:r>
              <w:t>/</w:t>
            </w:r>
          </w:p>
        </w:tc>
        <w:tc>
          <w:tcPr>
            <w:tcW w:w="1060" w:type="dxa"/>
            <w:vAlign w:val="center"/>
          </w:tcPr>
          <w:p w14:paraId="2E5B5533">
            <w:pPr>
              <w:pStyle w:val="34"/>
            </w:pPr>
            <w:r>
              <w:t>52</w:t>
            </w:r>
          </w:p>
        </w:tc>
        <w:tc>
          <w:tcPr>
            <w:tcW w:w="998" w:type="dxa"/>
            <w:vAlign w:val="center"/>
          </w:tcPr>
          <w:p w14:paraId="00E05AA6">
            <w:pPr>
              <w:pStyle w:val="34"/>
            </w:pPr>
            <w:r>
              <w:t>302</w:t>
            </w:r>
          </w:p>
        </w:tc>
        <w:tc>
          <w:tcPr>
            <w:tcW w:w="958" w:type="dxa"/>
            <w:vAlign w:val="center"/>
          </w:tcPr>
          <w:p w14:paraId="3A0252F8">
            <w:pPr>
              <w:pStyle w:val="34"/>
            </w:pPr>
            <w:r>
              <w:t>/</w:t>
            </w:r>
          </w:p>
        </w:tc>
        <w:tc>
          <w:tcPr>
            <w:tcW w:w="1006" w:type="dxa"/>
            <w:vAlign w:val="center"/>
          </w:tcPr>
          <w:p w14:paraId="0635C492">
            <w:pPr>
              <w:pStyle w:val="34"/>
            </w:pPr>
            <w:r>
              <w:t>/</w:t>
            </w:r>
          </w:p>
        </w:tc>
        <w:tc>
          <w:tcPr>
            <w:tcW w:w="1721" w:type="dxa"/>
            <w:vAlign w:val="center"/>
          </w:tcPr>
          <w:p w14:paraId="57C2D720">
            <w:pPr>
              <w:pStyle w:val="34"/>
            </w:pPr>
            <w:r>
              <w:t>1.16</w:t>
            </w:r>
          </w:p>
        </w:tc>
      </w:tr>
      <w:tr w14:paraId="079ECA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9EC1932">
            <w:pPr>
              <w:pStyle w:val="34"/>
              <w:numPr>
                <w:ilvl w:val="0"/>
                <w:numId w:val="54"/>
              </w:numPr>
              <w:rPr>
                <w:lang w:eastAsia="en-US"/>
              </w:rPr>
            </w:pPr>
          </w:p>
        </w:tc>
        <w:tc>
          <w:tcPr>
            <w:tcW w:w="1868" w:type="dxa"/>
            <w:vAlign w:val="center"/>
          </w:tcPr>
          <w:p w14:paraId="318F5DB8">
            <w:pPr>
              <w:pStyle w:val="34"/>
              <w:rPr>
                <w:w w:val="105"/>
              </w:rPr>
            </w:pPr>
            <w:r>
              <w:rPr>
                <w:w w:val="105"/>
              </w:rPr>
              <w:t>苯酚</w:t>
            </w:r>
          </w:p>
        </w:tc>
        <w:tc>
          <w:tcPr>
            <w:tcW w:w="1684" w:type="dxa"/>
            <w:vAlign w:val="center"/>
          </w:tcPr>
          <w:p w14:paraId="640B2B6A">
            <w:pPr>
              <w:pStyle w:val="34"/>
            </w:pPr>
            <w:r>
              <w:rPr>
                <w:rFonts w:hint="eastAsia"/>
              </w:rPr>
              <w:t>无色液体，有特殊臭味和燃烧味</w:t>
            </w:r>
          </w:p>
        </w:tc>
        <w:tc>
          <w:tcPr>
            <w:tcW w:w="1318" w:type="dxa"/>
            <w:vAlign w:val="center"/>
          </w:tcPr>
          <w:p w14:paraId="1B8D7DF7">
            <w:pPr>
              <w:pStyle w:val="34"/>
            </w:pPr>
            <w:r>
              <w:rPr>
                <w:rFonts w:hint="eastAsia"/>
              </w:rPr>
              <w:t>可溶</w:t>
            </w:r>
          </w:p>
        </w:tc>
        <w:tc>
          <w:tcPr>
            <w:tcW w:w="607" w:type="dxa"/>
            <w:vAlign w:val="center"/>
          </w:tcPr>
          <w:p w14:paraId="1E263B42">
            <w:pPr>
              <w:pStyle w:val="34"/>
            </w:pPr>
            <w:r>
              <w:t>易挥发</w:t>
            </w:r>
          </w:p>
        </w:tc>
        <w:tc>
          <w:tcPr>
            <w:tcW w:w="859" w:type="dxa"/>
            <w:vAlign w:val="center"/>
          </w:tcPr>
          <w:p w14:paraId="3BBC143D">
            <w:pPr>
              <w:pStyle w:val="34"/>
            </w:pPr>
            <w:r>
              <w:t>易燃</w:t>
            </w:r>
          </w:p>
        </w:tc>
        <w:tc>
          <w:tcPr>
            <w:tcW w:w="1562" w:type="dxa"/>
            <w:vAlign w:val="center"/>
          </w:tcPr>
          <w:p w14:paraId="39614A04">
            <w:pPr>
              <w:pStyle w:val="34"/>
            </w:pPr>
            <w:r>
              <w:rPr>
                <w:rFonts w:hint="eastAsia"/>
              </w:rPr>
              <w:t>1.3~8.5</w:t>
            </w:r>
          </w:p>
        </w:tc>
        <w:tc>
          <w:tcPr>
            <w:tcW w:w="1060" w:type="dxa"/>
            <w:vAlign w:val="center"/>
          </w:tcPr>
          <w:p w14:paraId="64615DD5">
            <w:pPr>
              <w:pStyle w:val="34"/>
            </w:pPr>
            <w:r>
              <w:rPr>
                <w:rFonts w:hint="eastAsia"/>
              </w:rPr>
              <w:t>43</w:t>
            </w:r>
          </w:p>
        </w:tc>
        <w:tc>
          <w:tcPr>
            <w:tcW w:w="998" w:type="dxa"/>
            <w:vAlign w:val="center"/>
          </w:tcPr>
          <w:p w14:paraId="0659A12E">
            <w:pPr>
              <w:pStyle w:val="34"/>
            </w:pPr>
            <w:r>
              <w:rPr>
                <w:rFonts w:hint="eastAsia"/>
              </w:rPr>
              <w:t>182</w:t>
            </w:r>
          </w:p>
        </w:tc>
        <w:tc>
          <w:tcPr>
            <w:tcW w:w="958" w:type="dxa"/>
            <w:vAlign w:val="center"/>
          </w:tcPr>
          <w:p w14:paraId="37890B4C">
            <w:pPr>
              <w:pStyle w:val="34"/>
            </w:pPr>
            <w:r>
              <w:rPr>
                <w:rFonts w:hint="eastAsia"/>
              </w:rPr>
              <w:t>72.5</w:t>
            </w:r>
          </w:p>
        </w:tc>
        <w:tc>
          <w:tcPr>
            <w:tcW w:w="1006" w:type="dxa"/>
            <w:vAlign w:val="center"/>
          </w:tcPr>
          <w:p w14:paraId="1F83352F">
            <w:pPr>
              <w:pStyle w:val="34"/>
            </w:pPr>
            <w:r>
              <w:rPr>
                <w:rFonts w:hint="eastAsia"/>
              </w:rPr>
              <w:t>85</w:t>
            </w:r>
          </w:p>
        </w:tc>
        <w:tc>
          <w:tcPr>
            <w:tcW w:w="1721" w:type="dxa"/>
            <w:vAlign w:val="center"/>
          </w:tcPr>
          <w:p w14:paraId="079C05FF">
            <w:pPr>
              <w:pStyle w:val="34"/>
            </w:pPr>
            <w:r>
              <w:rPr>
                <w:rFonts w:hint="eastAsia"/>
              </w:rPr>
              <w:t>1.071</w:t>
            </w:r>
          </w:p>
        </w:tc>
      </w:tr>
      <w:tr w14:paraId="4506DB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71D5DE2D">
            <w:pPr>
              <w:pStyle w:val="34"/>
              <w:numPr>
                <w:ilvl w:val="0"/>
                <w:numId w:val="54"/>
              </w:numPr>
              <w:rPr>
                <w:lang w:eastAsia="en-US"/>
              </w:rPr>
            </w:pPr>
          </w:p>
        </w:tc>
        <w:tc>
          <w:tcPr>
            <w:tcW w:w="1868" w:type="dxa"/>
            <w:vAlign w:val="center"/>
          </w:tcPr>
          <w:p w14:paraId="34B952CB">
            <w:pPr>
              <w:pStyle w:val="34"/>
              <w:rPr>
                <w:w w:val="105"/>
              </w:rPr>
            </w:pPr>
            <w:r>
              <w:rPr>
                <w:w w:val="105"/>
              </w:rPr>
              <w:t>溴化氰</w:t>
            </w:r>
          </w:p>
        </w:tc>
        <w:tc>
          <w:tcPr>
            <w:tcW w:w="1684" w:type="dxa"/>
            <w:vAlign w:val="center"/>
          </w:tcPr>
          <w:p w14:paraId="44AA05B2">
            <w:pPr>
              <w:pStyle w:val="34"/>
            </w:pPr>
            <w:r>
              <w:rPr>
                <w:rFonts w:hint="eastAsia"/>
              </w:rPr>
              <w:t>白色结晶性粉末</w:t>
            </w:r>
          </w:p>
        </w:tc>
        <w:tc>
          <w:tcPr>
            <w:tcW w:w="1318" w:type="dxa"/>
            <w:vAlign w:val="center"/>
          </w:tcPr>
          <w:p w14:paraId="49A9503C">
            <w:pPr>
              <w:pStyle w:val="34"/>
            </w:pPr>
            <w:r>
              <w:rPr>
                <w:rFonts w:hint="eastAsia"/>
              </w:rPr>
              <w:t>微溶于水</w:t>
            </w:r>
          </w:p>
        </w:tc>
        <w:tc>
          <w:tcPr>
            <w:tcW w:w="607" w:type="dxa"/>
            <w:vAlign w:val="center"/>
          </w:tcPr>
          <w:p w14:paraId="7F77EE14">
            <w:pPr>
              <w:pStyle w:val="34"/>
            </w:pPr>
            <w:r>
              <w:t>易挥发</w:t>
            </w:r>
          </w:p>
        </w:tc>
        <w:tc>
          <w:tcPr>
            <w:tcW w:w="859" w:type="dxa"/>
            <w:vAlign w:val="center"/>
          </w:tcPr>
          <w:p w14:paraId="36F55EC4">
            <w:pPr>
              <w:pStyle w:val="34"/>
            </w:pPr>
            <w:r>
              <w:t>易燃</w:t>
            </w:r>
          </w:p>
        </w:tc>
        <w:tc>
          <w:tcPr>
            <w:tcW w:w="1562" w:type="dxa"/>
            <w:vAlign w:val="center"/>
          </w:tcPr>
          <w:p w14:paraId="7E415573">
            <w:pPr>
              <w:pStyle w:val="34"/>
            </w:pPr>
            <w:r>
              <w:rPr>
                <w:rFonts w:hint="eastAsia"/>
              </w:rPr>
              <w:t>/</w:t>
            </w:r>
          </w:p>
        </w:tc>
        <w:tc>
          <w:tcPr>
            <w:tcW w:w="1060" w:type="dxa"/>
            <w:vAlign w:val="center"/>
          </w:tcPr>
          <w:p w14:paraId="2B780B39">
            <w:pPr>
              <w:pStyle w:val="34"/>
            </w:pPr>
            <w:r>
              <w:rPr>
                <w:rFonts w:hint="eastAsia"/>
              </w:rPr>
              <w:t>50</w:t>
            </w:r>
          </w:p>
        </w:tc>
        <w:tc>
          <w:tcPr>
            <w:tcW w:w="998" w:type="dxa"/>
            <w:vAlign w:val="center"/>
          </w:tcPr>
          <w:p w14:paraId="375359A8">
            <w:pPr>
              <w:pStyle w:val="34"/>
            </w:pPr>
            <w:r>
              <w:rPr>
                <w:rFonts w:hint="eastAsia"/>
              </w:rPr>
              <w:t>61</w:t>
            </w:r>
          </w:p>
        </w:tc>
        <w:tc>
          <w:tcPr>
            <w:tcW w:w="958" w:type="dxa"/>
            <w:vAlign w:val="center"/>
          </w:tcPr>
          <w:p w14:paraId="13A3549B">
            <w:pPr>
              <w:pStyle w:val="34"/>
            </w:pPr>
            <w:r>
              <w:rPr>
                <w:rFonts w:hint="eastAsia"/>
              </w:rPr>
              <w:t>61.4</w:t>
            </w:r>
          </w:p>
        </w:tc>
        <w:tc>
          <w:tcPr>
            <w:tcW w:w="1006" w:type="dxa"/>
            <w:vAlign w:val="center"/>
          </w:tcPr>
          <w:p w14:paraId="7BF1783A">
            <w:pPr>
              <w:pStyle w:val="34"/>
            </w:pPr>
            <w:r>
              <w:rPr>
                <w:rFonts w:hint="eastAsia"/>
              </w:rPr>
              <w:t>/</w:t>
            </w:r>
          </w:p>
        </w:tc>
        <w:tc>
          <w:tcPr>
            <w:tcW w:w="1721" w:type="dxa"/>
            <w:vAlign w:val="center"/>
          </w:tcPr>
          <w:p w14:paraId="799E3291">
            <w:pPr>
              <w:pStyle w:val="34"/>
            </w:pPr>
            <w:r>
              <w:rPr>
                <w:rFonts w:hint="eastAsia"/>
              </w:rPr>
              <w:t>1.443</w:t>
            </w:r>
          </w:p>
        </w:tc>
      </w:tr>
      <w:tr w14:paraId="659F77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3176E0A">
            <w:pPr>
              <w:pStyle w:val="34"/>
              <w:numPr>
                <w:ilvl w:val="0"/>
                <w:numId w:val="54"/>
              </w:numPr>
              <w:rPr>
                <w:lang w:eastAsia="en-US"/>
              </w:rPr>
            </w:pPr>
          </w:p>
        </w:tc>
        <w:tc>
          <w:tcPr>
            <w:tcW w:w="1868" w:type="dxa"/>
            <w:vAlign w:val="center"/>
          </w:tcPr>
          <w:p w14:paraId="24E54C67">
            <w:pPr>
              <w:pStyle w:val="34"/>
              <w:rPr>
                <w:w w:val="105"/>
              </w:rPr>
            </w:pPr>
            <w:r>
              <w:rPr>
                <w:rFonts w:hint="eastAsia"/>
                <w:w w:val="105"/>
              </w:rPr>
              <w:t>1,3-二硝基苯</w:t>
            </w:r>
          </w:p>
        </w:tc>
        <w:tc>
          <w:tcPr>
            <w:tcW w:w="1684" w:type="dxa"/>
            <w:vAlign w:val="center"/>
          </w:tcPr>
          <w:p w14:paraId="0BB0CBEF">
            <w:pPr>
              <w:pStyle w:val="34"/>
            </w:pPr>
            <w:r>
              <w:rPr>
                <w:rFonts w:hint="eastAsia"/>
              </w:rPr>
              <w:t>黄色粉末</w:t>
            </w:r>
          </w:p>
        </w:tc>
        <w:tc>
          <w:tcPr>
            <w:tcW w:w="1318" w:type="dxa"/>
            <w:vAlign w:val="center"/>
          </w:tcPr>
          <w:p w14:paraId="188C525D">
            <w:pPr>
              <w:pStyle w:val="34"/>
            </w:pPr>
            <w:r>
              <w:rPr>
                <w:rFonts w:hint="eastAsia"/>
              </w:rPr>
              <w:t>微溶于水</w:t>
            </w:r>
          </w:p>
        </w:tc>
        <w:tc>
          <w:tcPr>
            <w:tcW w:w="607" w:type="dxa"/>
            <w:vAlign w:val="center"/>
          </w:tcPr>
          <w:p w14:paraId="5A4078A6">
            <w:pPr>
              <w:pStyle w:val="34"/>
            </w:pPr>
            <w:r>
              <w:t>有挥发性</w:t>
            </w:r>
          </w:p>
        </w:tc>
        <w:tc>
          <w:tcPr>
            <w:tcW w:w="859" w:type="dxa"/>
            <w:vAlign w:val="center"/>
          </w:tcPr>
          <w:p w14:paraId="7661615A">
            <w:pPr>
              <w:pStyle w:val="34"/>
            </w:pPr>
            <w:r>
              <w:t>易燃</w:t>
            </w:r>
          </w:p>
        </w:tc>
        <w:tc>
          <w:tcPr>
            <w:tcW w:w="1562" w:type="dxa"/>
            <w:vAlign w:val="center"/>
          </w:tcPr>
          <w:p w14:paraId="10E0ACDD">
            <w:pPr>
              <w:pStyle w:val="34"/>
            </w:pPr>
            <w:r>
              <w:rPr>
                <w:rFonts w:hint="eastAsia"/>
              </w:rPr>
              <w:t>/</w:t>
            </w:r>
          </w:p>
        </w:tc>
        <w:tc>
          <w:tcPr>
            <w:tcW w:w="1060" w:type="dxa"/>
            <w:vAlign w:val="center"/>
          </w:tcPr>
          <w:p w14:paraId="165454CF">
            <w:pPr>
              <w:pStyle w:val="34"/>
            </w:pPr>
            <w:r>
              <w:rPr>
                <w:rFonts w:hint="eastAsia"/>
              </w:rPr>
              <w:t>86</w:t>
            </w:r>
          </w:p>
        </w:tc>
        <w:tc>
          <w:tcPr>
            <w:tcW w:w="998" w:type="dxa"/>
            <w:vAlign w:val="center"/>
          </w:tcPr>
          <w:p w14:paraId="3C46375B">
            <w:pPr>
              <w:pStyle w:val="34"/>
            </w:pPr>
            <w:r>
              <w:rPr>
                <w:rFonts w:hint="eastAsia"/>
              </w:rPr>
              <w:t>301</w:t>
            </w:r>
          </w:p>
        </w:tc>
        <w:tc>
          <w:tcPr>
            <w:tcW w:w="958" w:type="dxa"/>
            <w:vAlign w:val="center"/>
          </w:tcPr>
          <w:p w14:paraId="6CC673B3">
            <w:pPr>
              <w:pStyle w:val="34"/>
            </w:pPr>
            <w:r>
              <w:rPr>
                <w:rFonts w:hint="eastAsia"/>
              </w:rPr>
              <w:t>150</w:t>
            </w:r>
          </w:p>
        </w:tc>
        <w:tc>
          <w:tcPr>
            <w:tcW w:w="1006" w:type="dxa"/>
            <w:vAlign w:val="center"/>
          </w:tcPr>
          <w:p w14:paraId="14518B79">
            <w:pPr>
              <w:pStyle w:val="34"/>
            </w:pPr>
            <w:r>
              <w:rPr>
                <w:rFonts w:hint="eastAsia"/>
              </w:rPr>
              <w:t>/</w:t>
            </w:r>
          </w:p>
        </w:tc>
        <w:tc>
          <w:tcPr>
            <w:tcW w:w="1721" w:type="dxa"/>
            <w:vAlign w:val="center"/>
          </w:tcPr>
          <w:p w14:paraId="176054BC">
            <w:pPr>
              <w:pStyle w:val="34"/>
            </w:pPr>
            <w:r>
              <w:rPr>
                <w:rFonts w:hint="eastAsia"/>
              </w:rPr>
              <w:t>1.57</w:t>
            </w:r>
          </w:p>
        </w:tc>
      </w:tr>
      <w:tr w14:paraId="7CCF5C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jc w:val="center"/>
        </w:trPr>
        <w:tc>
          <w:tcPr>
            <w:tcW w:w="534" w:type="dxa"/>
            <w:vAlign w:val="center"/>
          </w:tcPr>
          <w:p w14:paraId="31B77297">
            <w:pPr>
              <w:pStyle w:val="34"/>
              <w:numPr>
                <w:ilvl w:val="0"/>
                <w:numId w:val="54"/>
              </w:numPr>
              <w:rPr>
                <w:lang w:eastAsia="en-US"/>
              </w:rPr>
            </w:pPr>
          </w:p>
        </w:tc>
        <w:tc>
          <w:tcPr>
            <w:tcW w:w="1868" w:type="dxa"/>
            <w:vAlign w:val="center"/>
          </w:tcPr>
          <w:p w14:paraId="65B3DA94">
            <w:pPr>
              <w:pStyle w:val="34"/>
              <w:rPr>
                <w:w w:val="105"/>
              </w:rPr>
            </w:pPr>
            <w:r>
              <w:rPr>
                <w:rFonts w:hint="eastAsia"/>
                <w:w w:val="105"/>
              </w:rPr>
              <w:t>亚硝基硫酸</w:t>
            </w:r>
          </w:p>
        </w:tc>
        <w:tc>
          <w:tcPr>
            <w:tcW w:w="1684" w:type="dxa"/>
            <w:vAlign w:val="center"/>
          </w:tcPr>
          <w:p w14:paraId="3FD543CC">
            <w:pPr>
              <w:pStyle w:val="34"/>
            </w:pPr>
            <w:r>
              <w:rPr>
                <w:rFonts w:hint="eastAsia"/>
              </w:rPr>
              <w:t>白色结晶性粉末</w:t>
            </w:r>
          </w:p>
        </w:tc>
        <w:tc>
          <w:tcPr>
            <w:tcW w:w="1318" w:type="dxa"/>
            <w:vAlign w:val="center"/>
          </w:tcPr>
          <w:p w14:paraId="7396AF64">
            <w:pPr>
              <w:pStyle w:val="34"/>
            </w:pPr>
            <w:r>
              <w:rPr>
                <w:rFonts w:hint="eastAsia"/>
              </w:rPr>
              <w:t>微溶于水</w:t>
            </w:r>
          </w:p>
        </w:tc>
        <w:tc>
          <w:tcPr>
            <w:tcW w:w="607" w:type="dxa"/>
            <w:vAlign w:val="center"/>
          </w:tcPr>
          <w:p w14:paraId="76D377B3">
            <w:pPr>
              <w:pStyle w:val="34"/>
            </w:pPr>
            <w:r>
              <w:rPr>
                <w:rFonts w:hint="eastAsia"/>
              </w:rPr>
              <w:t>/</w:t>
            </w:r>
          </w:p>
        </w:tc>
        <w:tc>
          <w:tcPr>
            <w:tcW w:w="859" w:type="dxa"/>
            <w:vAlign w:val="center"/>
          </w:tcPr>
          <w:p w14:paraId="29A40F48">
            <w:pPr>
              <w:pStyle w:val="34"/>
            </w:pPr>
            <w:r>
              <w:rPr>
                <w:rFonts w:hint="eastAsia"/>
              </w:rPr>
              <w:t>/</w:t>
            </w:r>
          </w:p>
        </w:tc>
        <w:tc>
          <w:tcPr>
            <w:tcW w:w="1562" w:type="dxa"/>
            <w:vAlign w:val="center"/>
          </w:tcPr>
          <w:p w14:paraId="15EAFD5F">
            <w:pPr>
              <w:pStyle w:val="34"/>
            </w:pPr>
            <w:r>
              <w:rPr>
                <w:rFonts w:hint="eastAsia"/>
              </w:rPr>
              <w:t>/</w:t>
            </w:r>
          </w:p>
        </w:tc>
        <w:tc>
          <w:tcPr>
            <w:tcW w:w="1060" w:type="dxa"/>
            <w:vAlign w:val="center"/>
          </w:tcPr>
          <w:p w14:paraId="7306F289">
            <w:pPr>
              <w:pStyle w:val="34"/>
            </w:pPr>
            <w:r>
              <w:rPr>
                <w:rFonts w:hint="eastAsia"/>
              </w:rPr>
              <w:t>73.5</w:t>
            </w:r>
          </w:p>
        </w:tc>
        <w:tc>
          <w:tcPr>
            <w:tcW w:w="998" w:type="dxa"/>
            <w:vAlign w:val="center"/>
          </w:tcPr>
          <w:p w14:paraId="6C93677B">
            <w:pPr>
              <w:pStyle w:val="34"/>
            </w:pPr>
            <w:r>
              <w:rPr>
                <w:rFonts w:hint="eastAsia"/>
              </w:rPr>
              <w:t>/</w:t>
            </w:r>
          </w:p>
        </w:tc>
        <w:tc>
          <w:tcPr>
            <w:tcW w:w="958" w:type="dxa"/>
            <w:vAlign w:val="center"/>
          </w:tcPr>
          <w:p w14:paraId="6DF5C14F">
            <w:pPr>
              <w:pStyle w:val="34"/>
            </w:pPr>
            <w:r>
              <w:rPr>
                <w:rFonts w:hint="eastAsia"/>
              </w:rPr>
              <w:t>/</w:t>
            </w:r>
          </w:p>
        </w:tc>
        <w:tc>
          <w:tcPr>
            <w:tcW w:w="1006" w:type="dxa"/>
            <w:vAlign w:val="center"/>
          </w:tcPr>
          <w:p w14:paraId="0805D5A2">
            <w:pPr>
              <w:pStyle w:val="34"/>
            </w:pPr>
            <w:r>
              <w:rPr>
                <w:rFonts w:hint="eastAsia"/>
              </w:rPr>
              <w:t>/</w:t>
            </w:r>
          </w:p>
        </w:tc>
        <w:tc>
          <w:tcPr>
            <w:tcW w:w="1721" w:type="dxa"/>
            <w:vAlign w:val="center"/>
          </w:tcPr>
          <w:p w14:paraId="62E16AE9">
            <w:pPr>
              <w:pStyle w:val="34"/>
            </w:pPr>
            <w:r>
              <w:rPr>
                <w:rFonts w:hint="eastAsia"/>
              </w:rPr>
              <w:t>1.612</w:t>
            </w:r>
          </w:p>
        </w:tc>
      </w:tr>
      <w:tr w14:paraId="18F87C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A144F16">
            <w:pPr>
              <w:pStyle w:val="34"/>
              <w:numPr>
                <w:ilvl w:val="0"/>
                <w:numId w:val="54"/>
              </w:numPr>
              <w:rPr>
                <w:lang w:eastAsia="en-US"/>
              </w:rPr>
            </w:pPr>
          </w:p>
        </w:tc>
        <w:tc>
          <w:tcPr>
            <w:tcW w:w="1868" w:type="dxa"/>
            <w:vAlign w:val="center"/>
          </w:tcPr>
          <w:p w14:paraId="382ACE7E">
            <w:pPr>
              <w:pStyle w:val="34"/>
              <w:rPr>
                <w:w w:val="105"/>
              </w:rPr>
            </w:pPr>
            <w:r>
              <w:rPr>
                <w:rFonts w:hint="eastAsia"/>
                <w:w w:val="105"/>
              </w:rPr>
              <w:t>2,4-二硝基甲苯</w:t>
            </w:r>
          </w:p>
        </w:tc>
        <w:tc>
          <w:tcPr>
            <w:tcW w:w="1684" w:type="dxa"/>
            <w:vAlign w:val="center"/>
          </w:tcPr>
          <w:p w14:paraId="5D4086E5">
            <w:pPr>
              <w:pStyle w:val="34"/>
            </w:pPr>
            <w:r>
              <w:rPr>
                <w:rFonts w:hint="eastAsia"/>
              </w:rPr>
              <w:t>无色或棕黄色晶体</w:t>
            </w:r>
          </w:p>
        </w:tc>
        <w:tc>
          <w:tcPr>
            <w:tcW w:w="1318" w:type="dxa"/>
            <w:vAlign w:val="center"/>
          </w:tcPr>
          <w:p w14:paraId="0F83F834">
            <w:pPr>
              <w:pStyle w:val="34"/>
            </w:pPr>
            <w:r>
              <w:rPr>
                <w:rFonts w:hint="eastAsia"/>
              </w:rPr>
              <w:t>微溶于水</w:t>
            </w:r>
          </w:p>
        </w:tc>
        <w:tc>
          <w:tcPr>
            <w:tcW w:w="607" w:type="dxa"/>
            <w:vAlign w:val="center"/>
          </w:tcPr>
          <w:p w14:paraId="54D5A3C7">
            <w:pPr>
              <w:pStyle w:val="34"/>
            </w:pPr>
            <w:r>
              <w:rPr>
                <w:rFonts w:hint="eastAsia"/>
              </w:rPr>
              <w:t>/</w:t>
            </w:r>
          </w:p>
        </w:tc>
        <w:tc>
          <w:tcPr>
            <w:tcW w:w="859" w:type="dxa"/>
            <w:vAlign w:val="center"/>
          </w:tcPr>
          <w:p w14:paraId="22F8EEAC">
            <w:pPr>
              <w:pStyle w:val="34"/>
            </w:pPr>
            <w:r>
              <w:rPr>
                <w:rFonts w:hint="eastAsia"/>
              </w:rPr>
              <w:t>易燃</w:t>
            </w:r>
          </w:p>
        </w:tc>
        <w:tc>
          <w:tcPr>
            <w:tcW w:w="1562" w:type="dxa"/>
            <w:vAlign w:val="center"/>
          </w:tcPr>
          <w:p w14:paraId="42E90D1B">
            <w:pPr>
              <w:pStyle w:val="34"/>
            </w:pPr>
            <w:r>
              <w:rPr>
                <w:rFonts w:hint="eastAsia"/>
              </w:rPr>
              <w:t>/</w:t>
            </w:r>
          </w:p>
        </w:tc>
        <w:tc>
          <w:tcPr>
            <w:tcW w:w="1060" w:type="dxa"/>
            <w:vAlign w:val="center"/>
          </w:tcPr>
          <w:p w14:paraId="01A8AFBC">
            <w:pPr>
              <w:pStyle w:val="34"/>
            </w:pPr>
            <w:r>
              <w:rPr>
                <w:rFonts w:hint="eastAsia"/>
              </w:rPr>
              <w:t>65.5~70.5</w:t>
            </w:r>
          </w:p>
        </w:tc>
        <w:tc>
          <w:tcPr>
            <w:tcW w:w="998" w:type="dxa"/>
            <w:vAlign w:val="center"/>
          </w:tcPr>
          <w:p w14:paraId="3F6A7A7E">
            <w:pPr>
              <w:pStyle w:val="34"/>
            </w:pPr>
            <w:r>
              <w:rPr>
                <w:rFonts w:hint="eastAsia"/>
              </w:rPr>
              <w:t>300</w:t>
            </w:r>
          </w:p>
        </w:tc>
        <w:tc>
          <w:tcPr>
            <w:tcW w:w="958" w:type="dxa"/>
            <w:vAlign w:val="center"/>
          </w:tcPr>
          <w:p w14:paraId="72E9FA48">
            <w:pPr>
              <w:pStyle w:val="34"/>
            </w:pPr>
            <w:r>
              <w:rPr>
                <w:rFonts w:hint="eastAsia"/>
              </w:rPr>
              <w:t>206.7</w:t>
            </w:r>
          </w:p>
        </w:tc>
        <w:tc>
          <w:tcPr>
            <w:tcW w:w="1006" w:type="dxa"/>
            <w:vAlign w:val="center"/>
          </w:tcPr>
          <w:p w14:paraId="15337E8A">
            <w:pPr>
              <w:pStyle w:val="34"/>
            </w:pPr>
            <w:r>
              <w:rPr>
                <w:rFonts w:hint="eastAsia"/>
              </w:rPr>
              <w:t>/</w:t>
            </w:r>
          </w:p>
        </w:tc>
        <w:tc>
          <w:tcPr>
            <w:tcW w:w="1721" w:type="dxa"/>
            <w:vAlign w:val="center"/>
          </w:tcPr>
          <w:p w14:paraId="738A3AA3">
            <w:pPr>
              <w:pStyle w:val="34"/>
            </w:pPr>
            <w:r>
              <w:rPr>
                <w:rFonts w:hint="eastAsia"/>
              </w:rPr>
              <w:t>1.407</w:t>
            </w:r>
          </w:p>
        </w:tc>
      </w:tr>
      <w:tr w14:paraId="7DE36C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FCCE297">
            <w:pPr>
              <w:pStyle w:val="34"/>
              <w:numPr>
                <w:ilvl w:val="0"/>
                <w:numId w:val="54"/>
              </w:numPr>
              <w:rPr>
                <w:lang w:eastAsia="en-US"/>
              </w:rPr>
            </w:pPr>
          </w:p>
        </w:tc>
        <w:tc>
          <w:tcPr>
            <w:tcW w:w="1868" w:type="dxa"/>
            <w:vAlign w:val="center"/>
          </w:tcPr>
          <w:p w14:paraId="421D7526">
            <w:pPr>
              <w:pStyle w:val="34"/>
              <w:rPr>
                <w:w w:val="105"/>
              </w:rPr>
            </w:pPr>
            <w:r>
              <w:rPr>
                <w:rFonts w:hint="eastAsia"/>
                <w:w w:val="105"/>
              </w:rPr>
              <w:t>硫酸二甲酯</w:t>
            </w:r>
          </w:p>
        </w:tc>
        <w:tc>
          <w:tcPr>
            <w:tcW w:w="1684" w:type="dxa"/>
            <w:vAlign w:val="center"/>
          </w:tcPr>
          <w:p w14:paraId="7F2418C7">
            <w:pPr>
              <w:pStyle w:val="34"/>
            </w:pPr>
            <w:r>
              <w:rPr>
                <w:rFonts w:hint="eastAsia"/>
              </w:rPr>
              <w:t>无色或淡黄色透明液体</w:t>
            </w:r>
          </w:p>
        </w:tc>
        <w:tc>
          <w:tcPr>
            <w:tcW w:w="1318" w:type="dxa"/>
            <w:vAlign w:val="center"/>
          </w:tcPr>
          <w:p w14:paraId="26D792AA">
            <w:pPr>
              <w:pStyle w:val="34"/>
            </w:pPr>
            <w:r>
              <w:rPr>
                <w:rFonts w:hint="eastAsia"/>
              </w:rPr>
              <w:t>微溶于水</w:t>
            </w:r>
          </w:p>
        </w:tc>
        <w:tc>
          <w:tcPr>
            <w:tcW w:w="607" w:type="dxa"/>
            <w:vAlign w:val="center"/>
          </w:tcPr>
          <w:p w14:paraId="37224DB7">
            <w:pPr>
              <w:pStyle w:val="34"/>
            </w:pPr>
            <w:r>
              <w:t>易挥发</w:t>
            </w:r>
          </w:p>
        </w:tc>
        <w:tc>
          <w:tcPr>
            <w:tcW w:w="859" w:type="dxa"/>
            <w:vAlign w:val="center"/>
          </w:tcPr>
          <w:p w14:paraId="3A0C23AC">
            <w:pPr>
              <w:pStyle w:val="34"/>
            </w:pPr>
            <w:r>
              <w:rPr>
                <w:rFonts w:hint="eastAsia"/>
              </w:rPr>
              <w:t>/</w:t>
            </w:r>
          </w:p>
        </w:tc>
        <w:tc>
          <w:tcPr>
            <w:tcW w:w="1562" w:type="dxa"/>
            <w:vAlign w:val="center"/>
          </w:tcPr>
          <w:p w14:paraId="7EC14E2E">
            <w:pPr>
              <w:pStyle w:val="34"/>
            </w:pPr>
            <w:r>
              <w:rPr>
                <w:rFonts w:hint="eastAsia"/>
              </w:rPr>
              <w:t>3.6~23.3</w:t>
            </w:r>
          </w:p>
        </w:tc>
        <w:tc>
          <w:tcPr>
            <w:tcW w:w="1060" w:type="dxa"/>
            <w:vAlign w:val="center"/>
          </w:tcPr>
          <w:p w14:paraId="58E12C9A">
            <w:pPr>
              <w:pStyle w:val="34"/>
            </w:pPr>
            <w:r>
              <w:rPr>
                <w:rFonts w:hint="eastAsia"/>
              </w:rPr>
              <w:t>-32</w:t>
            </w:r>
          </w:p>
        </w:tc>
        <w:tc>
          <w:tcPr>
            <w:tcW w:w="998" w:type="dxa"/>
            <w:vAlign w:val="center"/>
          </w:tcPr>
          <w:p w14:paraId="5178ED61">
            <w:pPr>
              <w:pStyle w:val="34"/>
            </w:pPr>
            <w:r>
              <w:rPr>
                <w:rFonts w:hint="eastAsia"/>
              </w:rPr>
              <w:t>188</w:t>
            </w:r>
          </w:p>
        </w:tc>
        <w:tc>
          <w:tcPr>
            <w:tcW w:w="958" w:type="dxa"/>
            <w:vAlign w:val="center"/>
          </w:tcPr>
          <w:p w14:paraId="27378F7C">
            <w:pPr>
              <w:pStyle w:val="34"/>
            </w:pPr>
            <w:r>
              <w:rPr>
                <w:rFonts w:hint="eastAsia"/>
              </w:rPr>
              <w:t>83</w:t>
            </w:r>
          </w:p>
        </w:tc>
        <w:tc>
          <w:tcPr>
            <w:tcW w:w="1006" w:type="dxa"/>
            <w:vAlign w:val="center"/>
          </w:tcPr>
          <w:p w14:paraId="19885B72">
            <w:pPr>
              <w:pStyle w:val="34"/>
            </w:pPr>
            <w:r>
              <w:rPr>
                <w:rFonts w:hint="eastAsia"/>
              </w:rPr>
              <w:t>/</w:t>
            </w:r>
          </w:p>
        </w:tc>
        <w:tc>
          <w:tcPr>
            <w:tcW w:w="1721" w:type="dxa"/>
            <w:vAlign w:val="center"/>
          </w:tcPr>
          <w:p w14:paraId="1F28DE43">
            <w:pPr>
              <w:pStyle w:val="34"/>
            </w:pPr>
            <w:r>
              <w:rPr>
                <w:rFonts w:hint="eastAsia"/>
              </w:rPr>
              <w:t>1.333</w:t>
            </w:r>
          </w:p>
        </w:tc>
      </w:tr>
      <w:tr w14:paraId="26BAA4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8C68B99">
            <w:pPr>
              <w:pStyle w:val="34"/>
              <w:numPr>
                <w:ilvl w:val="0"/>
                <w:numId w:val="54"/>
              </w:numPr>
              <w:rPr>
                <w:lang w:eastAsia="en-US"/>
              </w:rPr>
            </w:pPr>
          </w:p>
        </w:tc>
        <w:tc>
          <w:tcPr>
            <w:tcW w:w="1868" w:type="dxa"/>
            <w:vAlign w:val="center"/>
          </w:tcPr>
          <w:p w14:paraId="13E63471">
            <w:pPr>
              <w:pStyle w:val="34"/>
              <w:rPr>
                <w:w w:val="105"/>
              </w:rPr>
            </w:pPr>
            <w:r>
              <w:rPr>
                <w:rFonts w:hint="eastAsia"/>
                <w:w w:val="105"/>
              </w:rPr>
              <w:t>三氯乙烯</w:t>
            </w:r>
          </w:p>
        </w:tc>
        <w:tc>
          <w:tcPr>
            <w:tcW w:w="1684" w:type="dxa"/>
            <w:vAlign w:val="center"/>
          </w:tcPr>
          <w:p w14:paraId="01768DF3">
            <w:pPr>
              <w:pStyle w:val="34"/>
            </w:pPr>
            <w:r>
              <w:rPr>
                <w:rFonts w:hint="eastAsia"/>
              </w:rPr>
              <w:t>无色透明液体</w:t>
            </w:r>
          </w:p>
        </w:tc>
        <w:tc>
          <w:tcPr>
            <w:tcW w:w="1318" w:type="dxa"/>
            <w:vAlign w:val="center"/>
          </w:tcPr>
          <w:p w14:paraId="3C304DE9">
            <w:pPr>
              <w:pStyle w:val="34"/>
            </w:pPr>
            <w:r>
              <w:rPr>
                <w:rFonts w:hint="eastAsia"/>
              </w:rPr>
              <w:t>微溶于水</w:t>
            </w:r>
          </w:p>
        </w:tc>
        <w:tc>
          <w:tcPr>
            <w:tcW w:w="607" w:type="dxa"/>
            <w:vAlign w:val="center"/>
          </w:tcPr>
          <w:p w14:paraId="2429CB0C">
            <w:pPr>
              <w:pStyle w:val="34"/>
            </w:pPr>
            <w:r>
              <w:t>易挥发</w:t>
            </w:r>
          </w:p>
        </w:tc>
        <w:tc>
          <w:tcPr>
            <w:tcW w:w="859" w:type="dxa"/>
            <w:vAlign w:val="center"/>
          </w:tcPr>
          <w:p w14:paraId="725F63C6">
            <w:pPr>
              <w:pStyle w:val="34"/>
            </w:pPr>
            <w:r>
              <w:rPr>
                <w:rFonts w:hint="eastAsia"/>
              </w:rPr>
              <w:t>/</w:t>
            </w:r>
          </w:p>
        </w:tc>
        <w:tc>
          <w:tcPr>
            <w:tcW w:w="1562" w:type="dxa"/>
            <w:vAlign w:val="center"/>
          </w:tcPr>
          <w:p w14:paraId="508389A8">
            <w:pPr>
              <w:pStyle w:val="34"/>
            </w:pPr>
            <w:r>
              <w:rPr>
                <w:rFonts w:hint="eastAsia"/>
              </w:rPr>
              <w:t>12.5~90.0</w:t>
            </w:r>
          </w:p>
        </w:tc>
        <w:tc>
          <w:tcPr>
            <w:tcW w:w="1060" w:type="dxa"/>
            <w:vAlign w:val="center"/>
          </w:tcPr>
          <w:p w14:paraId="6144CD11">
            <w:pPr>
              <w:pStyle w:val="34"/>
            </w:pPr>
            <w:r>
              <w:rPr>
                <w:rFonts w:hint="eastAsia"/>
              </w:rPr>
              <w:t>-86</w:t>
            </w:r>
          </w:p>
        </w:tc>
        <w:tc>
          <w:tcPr>
            <w:tcW w:w="998" w:type="dxa"/>
            <w:vAlign w:val="center"/>
          </w:tcPr>
          <w:p w14:paraId="277BF99E">
            <w:pPr>
              <w:pStyle w:val="34"/>
            </w:pPr>
            <w:r>
              <w:rPr>
                <w:rFonts w:hint="eastAsia"/>
              </w:rPr>
              <w:t>87</w:t>
            </w:r>
          </w:p>
        </w:tc>
        <w:tc>
          <w:tcPr>
            <w:tcW w:w="958" w:type="dxa"/>
            <w:vAlign w:val="center"/>
          </w:tcPr>
          <w:p w14:paraId="5A23E037">
            <w:pPr>
              <w:pStyle w:val="34"/>
            </w:pPr>
            <w:r>
              <w:rPr>
                <w:rFonts w:hint="eastAsia"/>
              </w:rPr>
              <w:t>26.6</w:t>
            </w:r>
          </w:p>
        </w:tc>
        <w:tc>
          <w:tcPr>
            <w:tcW w:w="1006" w:type="dxa"/>
            <w:vAlign w:val="center"/>
          </w:tcPr>
          <w:p w14:paraId="2D5D7234">
            <w:pPr>
              <w:pStyle w:val="34"/>
            </w:pPr>
            <w:r>
              <w:rPr>
                <w:rFonts w:hint="eastAsia"/>
              </w:rPr>
              <w:t>420</w:t>
            </w:r>
          </w:p>
        </w:tc>
        <w:tc>
          <w:tcPr>
            <w:tcW w:w="1721" w:type="dxa"/>
            <w:vAlign w:val="center"/>
          </w:tcPr>
          <w:p w14:paraId="74F2EEA8">
            <w:pPr>
              <w:pStyle w:val="34"/>
            </w:pPr>
            <w:r>
              <w:rPr>
                <w:rFonts w:hint="eastAsia"/>
              </w:rPr>
              <w:t>1.463</w:t>
            </w:r>
          </w:p>
        </w:tc>
      </w:tr>
      <w:tr w14:paraId="6E8559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15723A4">
            <w:pPr>
              <w:pStyle w:val="34"/>
              <w:numPr>
                <w:ilvl w:val="0"/>
                <w:numId w:val="54"/>
              </w:numPr>
              <w:rPr>
                <w:lang w:eastAsia="en-US"/>
              </w:rPr>
            </w:pPr>
          </w:p>
        </w:tc>
        <w:tc>
          <w:tcPr>
            <w:tcW w:w="1868" w:type="dxa"/>
            <w:vAlign w:val="center"/>
          </w:tcPr>
          <w:p w14:paraId="66FF4635">
            <w:pPr>
              <w:pStyle w:val="34"/>
              <w:rPr>
                <w:w w:val="105"/>
              </w:rPr>
            </w:pPr>
            <w:r>
              <w:rPr>
                <w:rFonts w:hint="eastAsia"/>
                <w:w w:val="105"/>
              </w:rPr>
              <w:t>四氯化碳</w:t>
            </w:r>
          </w:p>
        </w:tc>
        <w:tc>
          <w:tcPr>
            <w:tcW w:w="1684" w:type="dxa"/>
            <w:vAlign w:val="center"/>
          </w:tcPr>
          <w:p w14:paraId="6A355437">
            <w:pPr>
              <w:pStyle w:val="34"/>
            </w:pPr>
            <w:r>
              <w:rPr>
                <w:rFonts w:hint="eastAsia"/>
              </w:rPr>
              <w:t>无色透明液体</w:t>
            </w:r>
          </w:p>
        </w:tc>
        <w:tc>
          <w:tcPr>
            <w:tcW w:w="1318" w:type="dxa"/>
            <w:vAlign w:val="center"/>
          </w:tcPr>
          <w:p w14:paraId="1AECB094">
            <w:pPr>
              <w:pStyle w:val="34"/>
            </w:pPr>
            <w:r>
              <w:rPr>
                <w:rFonts w:hint="eastAsia"/>
              </w:rPr>
              <w:t>不溶于水</w:t>
            </w:r>
          </w:p>
        </w:tc>
        <w:tc>
          <w:tcPr>
            <w:tcW w:w="607" w:type="dxa"/>
            <w:vAlign w:val="center"/>
          </w:tcPr>
          <w:p w14:paraId="053ED524">
            <w:pPr>
              <w:pStyle w:val="34"/>
            </w:pPr>
            <w:r>
              <w:t>易挥发</w:t>
            </w:r>
          </w:p>
        </w:tc>
        <w:tc>
          <w:tcPr>
            <w:tcW w:w="859" w:type="dxa"/>
            <w:vAlign w:val="center"/>
          </w:tcPr>
          <w:p w14:paraId="56838278">
            <w:pPr>
              <w:pStyle w:val="34"/>
            </w:pPr>
            <w:r>
              <w:rPr>
                <w:rFonts w:hint="eastAsia"/>
              </w:rPr>
              <w:t>/</w:t>
            </w:r>
          </w:p>
        </w:tc>
        <w:tc>
          <w:tcPr>
            <w:tcW w:w="1562" w:type="dxa"/>
            <w:vAlign w:val="center"/>
          </w:tcPr>
          <w:p w14:paraId="0E311EDF">
            <w:pPr>
              <w:pStyle w:val="34"/>
            </w:pPr>
            <w:r>
              <w:rPr>
                <w:rFonts w:hint="eastAsia"/>
              </w:rPr>
              <w:t>/</w:t>
            </w:r>
          </w:p>
        </w:tc>
        <w:tc>
          <w:tcPr>
            <w:tcW w:w="1060" w:type="dxa"/>
            <w:vAlign w:val="center"/>
          </w:tcPr>
          <w:p w14:paraId="0D7A0C5C">
            <w:pPr>
              <w:pStyle w:val="34"/>
            </w:pPr>
            <w:r>
              <w:rPr>
                <w:rFonts w:hint="eastAsia"/>
              </w:rPr>
              <w:t>-23</w:t>
            </w:r>
          </w:p>
        </w:tc>
        <w:tc>
          <w:tcPr>
            <w:tcW w:w="998" w:type="dxa"/>
            <w:vAlign w:val="center"/>
          </w:tcPr>
          <w:p w14:paraId="1E38D381">
            <w:pPr>
              <w:pStyle w:val="34"/>
            </w:pPr>
            <w:r>
              <w:rPr>
                <w:rFonts w:hint="eastAsia"/>
              </w:rPr>
              <w:t>76</w:t>
            </w:r>
          </w:p>
        </w:tc>
        <w:tc>
          <w:tcPr>
            <w:tcW w:w="958" w:type="dxa"/>
            <w:vAlign w:val="center"/>
          </w:tcPr>
          <w:p w14:paraId="0516CA8B">
            <w:pPr>
              <w:pStyle w:val="34"/>
            </w:pPr>
            <w:r>
              <w:rPr>
                <w:rFonts w:hint="eastAsia"/>
              </w:rPr>
              <w:t>-18.8</w:t>
            </w:r>
          </w:p>
        </w:tc>
        <w:tc>
          <w:tcPr>
            <w:tcW w:w="1006" w:type="dxa"/>
            <w:vAlign w:val="center"/>
          </w:tcPr>
          <w:p w14:paraId="5664DF55">
            <w:pPr>
              <w:pStyle w:val="34"/>
            </w:pPr>
            <w:r>
              <w:rPr>
                <w:rFonts w:hint="eastAsia"/>
              </w:rPr>
              <w:t>630</w:t>
            </w:r>
          </w:p>
        </w:tc>
        <w:tc>
          <w:tcPr>
            <w:tcW w:w="1721" w:type="dxa"/>
            <w:vAlign w:val="center"/>
          </w:tcPr>
          <w:p w14:paraId="76D8997D">
            <w:pPr>
              <w:pStyle w:val="34"/>
            </w:pPr>
            <w:r>
              <w:rPr>
                <w:rFonts w:hint="eastAsia"/>
              </w:rPr>
              <w:t>1.594</w:t>
            </w:r>
          </w:p>
        </w:tc>
      </w:tr>
      <w:tr w14:paraId="255420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CD6D8C0">
            <w:pPr>
              <w:pStyle w:val="34"/>
              <w:numPr>
                <w:ilvl w:val="0"/>
                <w:numId w:val="54"/>
              </w:numPr>
              <w:rPr>
                <w:lang w:eastAsia="en-US"/>
              </w:rPr>
            </w:pPr>
          </w:p>
        </w:tc>
        <w:tc>
          <w:tcPr>
            <w:tcW w:w="1868" w:type="dxa"/>
            <w:vAlign w:val="center"/>
          </w:tcPr>
          <w:p w14:paraId="2945EB88">
            <w:pPr>
              <w:pStyle w:val="34"/>
              <w:rPr>
                <w:w w:val="105"/>
              </w:rPr>
            </w:pPr>
            <w:r>
              <w:rPr>
                <w:rFonts w:hint="eastAsia"/>
                <w:w w:val="105"/>
              </w:rPr>
              <w:t>己二腈</w:t>
            </w:r>
          </w:p>
        </w:tc>
        <w:tc>
          <w:tcPr>
            <w:tcW w:w="1684" w:type="dxa"/>
            <w:vAlign w:val="center"/>
          </w:tcPr>
          <w:p w14:paraId="7A699991">
            <w:pPr>
              <w:pStyle w:val="34"/>
            </w:pPr>
            <w:r>
              <w:rPr>
                <w:rFonts w:hint="eastAsia"/>
              </w:rPr>
              <w:t>无色油状液体</w:t>
            </w:r>
          </w:p>
        </w:tc>
        <w:tc>
          <w:tcPr>
            <w:tcW w:w="1318" w:type="dxa"/>
            <w:vAlign w:val="center"/>
          </w:tcPr>
          <w:p w14:paraId="403555B9">
            <w:pPr>
              <w:pStyle w:val="34"/>
            </w:pPr>
            <w:r>
              <w:rPr>
                <w:rFonts w:hint="eastAsia"/>
              </w:rPr>
              <w:t>不溶于水</w:t>
            </w:r>
          </w:p>
        </w:tc>
        <w:tc>
          <w:tcPr>
            <w:tcW w:w="607" w:type="dxa"/>
            <w:vAlign w:val="center"/>
          </w:tcPr>
          <w:p w14:paraId="59267265">
            <w:pPr>
              <w:pStyle w:val="34"/>
            </w:pPr>
            <w:r>
              <w:t>易挥发</w:t>
            </w:r>
          </w:p>
        </w:tc>
        <w:tc>
          <w:tcPr>
            <w:tcW w:w="859" w:type="dxa"/>
            <w:vAlign w:val="center"/>
          </w:tcPr>
          <w:p w14:paraId="32FF84E1">
            <w:pPr>
              <w:pStyle w:val="34"/>
            </w:pPr>
            <w:r>
              <w:rPr>
                <w:rFonts w:hint="eastAsia"/>
              </w:rPr>
              <w:t>/</w:t>
            </w:r>
          </w:p>
        </w:tc>
        <w:tc>
          <w:tcPr>
            <w:tcW w:w="1562" w:type="dxa"/>
            <w:vAlign w:val="center"/>
          </w:tcPr>
          <w:p w14:paraId="0F996CB4">
            <w:pPr>
              <w:pStyle w:val="34"/>
            </w:pPr>
            <w:r>
              <w:rPr>
                <w:rFonts w:hint="eastAsia"/>
              </w:rPr>
              <w:t>1.7~5.0</w:t>
            </w:r>
          </w:p>
        </w:tc>
        <w:tc>
          <w:tcPr>
            <w:tcW w:w="1060" w:type="dxa"/>
            <w:vAlign w:val="center"/>
          </w:tcPr>
          <w:p w14:paraId="0BEBFB61">
            <w:pPr>
              <w:pStyle w:val="34"/>
            </w:pPr>
            <w:r>
              <w:rPr>
                <w:rFonts w:hint="eastAsia"/>
              </w:rPr>
              <w:t>1~3</w:t>
            </w:r>
          </w:p>
        </w:tc>
        <w:tc>
          <w:tcPr>
            <w:tcW w:w="998" w:type="dxa"/>
            <w:vAlign w:val="center"/>
          </w:tcPr>
          <w:p w14:paraId="77175E60">
            <w:pPr>
              <w:pStyle w:val="34"/>
            </w:pPr>
            <w:r>
              <w:rPr>
                <w:rFonts w:hint="eastAsia"/>
              </w:rPr>
              <w:t>295</w:t>
            </w:r>
          </w:p>
        </w:tc>
        <w:tc>
          <w:tcPr>
            <w:tcW w:w="958" w:type="dxa"/>
            <w:vAlign w:val="center"/>
          </w:tcPr>
          <w:p w14:paraId="568C742C">
            <w:pPr>
              <w:pStyle w:val="34"/>
            </w:pPr>
            <w:r>
              <w:rPr>
                <w:rFonts w:hint="eastAsia"/>
              </w:rPr>
              <w:t>149±13.7</w:t>
            </w:r>
          </w:p>
        </w:tc>
        <w:tc>
          <w:tcPr>
            <w:tcW w:w="1006" w:type="dxa"/>
            <w:vAlign w:val="center"/>
          </w:tcPr>
          <w:p w14:paraId="65519A04">
            <w:pPr>
              <w:pStyle w:val="34"/>
            </w:pPr>
            <w:r>
              <w:rPr>
                <w:rFonts w:hint="eastAsia"/>
              </w:rPr>
              <w:t>460</w:t>
            </w:r>
          </w:p>
        </w:tc>
        <w:tc>
          <w:tcPr>
            <w:tcW w:w="1721" w:type="dxa"/>
            <w:vAlign w:val="center"/>
          </w:tcPr>
          <w:p w14:paraId="068E8A16">
            <w:pPr>
              <w:pStyle w:val="34"/>
            </w:pPr>
            <w:r>
              <w:rPr>
                <w:rFonts w:hint="eastAsia"/>
              </w:rPr>
              <w:t>0.951</w:t>
            </w:r>
          </w:p>
        </w:tc>
      </w:tr>
      <w:tr w14:paraId="710BBD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276C8C14">
            <w:pPr>
              <w:pStyle w:val="34"/>
              <w:numPr>
                <w:ilvl w:val="0"/>
                <w:numId w:val="54"/>
              </w:numPr>
              <w:rPr>
                <w:lang w:eastAsia="en-US"/>
              </w:rPr>
            </w:pPr>
          </w:p>
        </w:tc>
        <w:tc>
          <w:tcPr>
            <w:tcW w:w="1868" w:type="dxa"/>
            <w:vAlign w:val="center"/>
          </w:tcPr>
          <w:p w14:paraId="0A46A1A0">
            <w:pPr>
              <w:pStyle w:val="34"/>
              <w:rPr>
                <w:w w:val="105"/>
              </w:rPr>
            </w:pPr>
            <w:r>
              <w:rPr>
                <w:rFonts w:hint="eastAsia"/>
                <w:w w:val="105"/>
              </w:rPr>
              <w:t>三氯甲烷</w:t>
            </w:r>
          </w:p>
        </w:tc>
        <w:tc>
          <w:tcPr>
            <w:tcW w:w="1684" w:type="dxa"/>
            <w:vAlign w:val="center"/>
          </w:tcPr>
          <w:p w14:paraId="52B3401B">
            <w:pPr>
              <w:pStyle w:val="34"/>
            </w:pPr>
            <w:r>
              <w:rPr>
                <w:rFonts w:hint="eastAsia"/>
              </w:rPr>
              <w:t>无色透明液体，有特殊气味</w:t>
            </w:r>
          </w:p>
        </w:tc>
        <w:tc>
          <w:tcPr>
            <w:tcW w:w="1318" w:type="dxa"/>
            <w:vAlign w:val="center"/>
          </w:tcPr>
          <w:p w14:paraId="41AF2280">
            <w:pPr>
              <w:pStyle w:val="34"/>
            </w:pPr>
            <w:r>
              <w:rPr>
                <w:rFonts w:hint="eastAsia"/>
              </w:rPr>
              <w:t>不溶于水</w:t>
            </w:r>
          </w:p>
        </w:tc>
        <w:tc>
          <w:tcPr>
            <w:tcW w:w="607" w:type="dxa"/>
            <w:vAlign w:val="center"/>
          </w:tcPr>
          <w:p w14:paraId="76CB6868">
            <w:pPr>
              <w:pStyle w:val="34"/>
            </w:pPr>
            <w:r>
              <w:t>易挥发</w:t>
            </w:r>
          </w:p>
        </w:tc>
        <w:tc>
          <w:tcPr>
            <w:tcW w:w="859" w:type="dxa"/>
            <w:vAlign w:val="center"/>
          </w:tcPr>
          <w:p w14:paraId="74714ACD">
            <w:pPr>
              <w:pStyle w:val="34"/>
            </w:pPr>
            <w:r>
              <w:t>不燃</w:t>
            </w:r>
          </w:p>
        </w:tc>
        <w:tc>
          <w:tcPr>
            <w:tcW w:w="1562" w:type="dxa"/>
            <w:vAlign w:val="center"/>
          </w:tcPr>
          <w:p w14:paraId="394F7F67">
            <w:pPr>
              <w:pStyle w:val="34"/>
            </w:pPr>
            <w:r>
              <w:rPr>
                <w:rFonts w:hint="eastAsia"/>
              </w:rPr>
              <w:t>/</w:t>
            </w:r>
          </w:p>
        </w:tc>
        <w:tc>
          <w:tcPr>
            <w:tcW w:w="1060" w:type="dxa"/>
            <w:vAlign w:val="center"/>
          </w:tcPr>
          <w:p w14:paraId="39D75FAB">
            <w:pPr>
              <w:pStyle w:val="34"/>
            </w:pPr>
            <w:r>
              <w:rPr>
                <w:rFonts w:hint="eastAsia"/>
              </w:rPr>
              <w:t>-63.5</w:t>
            </w:r>
          </w:p>
        </w:tc>
        <w:tc>
          <w:tcPr>
            <w:tcW w:w="998" w:type="dxa"/>
            <w:vAlign w:val="center"/>
          </w:tcPr>
          <w:p w14:paraId="167E0761">
            <w:pPr>
              <w:pStyle w:val="34"/>
            </w:pPr>
            <w:r>
              <w:rPr>
                <w:rFonts w:hint="eastAsia"/>
              </w:rPr>
              <w:t>61.3</w:t>
            </w:r>
          </w:p>
        </w:tc>
        <w:tc>
          <w:tcPr>
            <w:tcW w:w="958" w:type="dxa"/>
            <w:vAlign w:val="center"/>
          </w:tcPr>
          <w:p w14:paraId="7BEDC90F">
            <w:pPr>
              <w:pStyle w:val="34"/>
            </w:pPr>
            <w:r>
              <w:rPr>
                <w:rFonts w:hint="eastAsia"/>
              </w:rPr>
              <w:t>60.5~61.5</w:t>
            </w:r>
          </w:p>
        </w:tc>
        <w:tc>
          <w:tcPr>
            <w:tcW w:w="1006" w:type="dxa"/>
            <w:vAlign w:val="center"/>
          </w:tcPr>
          <w:p w14:paraId="6C4746D2">
            <w:pPr>
              <w:pStyle w:val="34"/>
            </w:pPr>
            <w:r>
              <w:rPr>
                <w:rFonts w:hint="eastAsia"/>
              </w:rPr>
              <w:t>/</w:t>
            </w:r>
          </w:p>
        </w:tc>
        <w:tc>
          <w:tcPr>
            <w:tcW w:w="1721" w:type="dxa"/>
            <w:vAlign w:val="center"/>
          </w:tcPr>
          <w:p w14:paraId="0574E898">
            <w:pPr>
              <w:pStyle w:val="34"/>
            </w:pPr>
            <w:r>
              <w:rPr>
                <w:rFonts w:hint="eastAsia"/>
              </w:rPr>
              <w:t>1.48</w:t>
            </w:r>
          </w:p>
        </w:tc>
      </w:tr>
      <w:tr w14:paraId="3D0E4A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A81009C">
            <w:pPr>
              <w:pStyle w:val="34"/>
              <w:numPr>
                <w:ilvl w:val="0"/>
                <w:numId w:val="54"/>
              </w:numPr>
              <w:rPr>
                <w:lang w:eastAsia="en-US"/>
              </w:rPr>
            </w:pPr>
          </w:p>
        </w:tc>
        <w:tc>
          <w:tcPr>
            <w:tcW w:w="1868" w:type="dxa"/>
            <w:vAlign w:val="center"/>
          </w:tcPr>
          <w:p w14:paraId="72015BC7">
            <w:pPr>
              <w:pStyle w:val="34"/>
              <w:rPr>
                <w:w w:val="105"/>
              </w:rPr>
            </w:pPr>
            <w:r>
              <w:rPr>
                <w:rFonts w:hint="eastAsia"/>
                <w:w w:val="105"/>
              </w:rPr>
              <w:t>镉化合物</w:t>
            </w:r>
          </w:p>
        </w:tc>
        <w:tc>
          <w:tcPr>
            <w:tcW w:w="1684" w:type="dxa"/>
            <w:vAlign w:val="center"/>
          </w:tcPr>
          <w:p w14:paraId="392ACBD7">
            <w:pPr>
              <w:pStyle w:val="34"/>
            </w:pPr>
            <w:r>
              <w:rPr>
                <w:rFonts w:hint="eastAsia"/>
              </w:rPr>
              <w:t>/</w:t>
            </w:r>
          </w:p>
        </w:tc>
        <w:tc>
          <w:tcPr>
            <w:tcW w:w="1318" w:type="dxa"/>
            <w:vAlign w:val="center"/>
          </w:tcPr>
          <w:p w14:paraId="39DADC56">
            <w:pPr>
              <w:pStyle w:val="34"/>
            </w:pPr>
            <w:r>
              <w:rPr>
                <w:rFonts w:hint="eastAsia"/>
              </w:rPr>
              <w:t>不溶于水</w:t>
            </w:r>
          </w:p>
        </w:tc>
        <w:tc>
          <w:tcPr>
            <w:tcW w:w="607" w:type="dxa"/>
            <w:vAlign w:val="center"/>
          </w:tcPr>
          <w:p w14:paraId="1C4391EE">
            <w:pPr>
              <w:pStyle w:val="34"/>
            </w:pPr>
            <w:r>
              <w:rPr>
                <w:rFonts w:hint="eastAsia"/>
              </w:rPr>
              <w:t>/</w:t>
            </w:r>
          </w:p>
        </w:tc>
        <w:tc>
          <w:tcPr>
            <w:tcW w:w="859" w:type="dxa"/>
            <w:vAlign w:val="center"/>
          </w:tcPr>
          <w:p w14:paraId="67422443">
            <w:pPr>
              <w:pStyle w:val="34"/>
            </w:pPr>
            <w:r>
              <w:rPr>
                <w:rFonts w:hint="eastAsia"/>
              </w:rPr>
              <w:t>/</w:t>
            </w:r>
          </w:p>
        </w:tc>
        <w:tc>
          <w:tcPr>
            <w:tcW w:w="1562" w:type="dxa"/>
            <w:vAlign w:val="center"/>
          </w:tcPr>
          <w:p w14:paraId="6F75FF25">
            <w:pPr>
              <w:pStyle w:val="34"/>
            </w:pPr>
            <w:r>
              <w:rPr>
                <w:rFonts w:hint="eastAsia"/>
              </w:rPr>
              <w:t>/</w:t>
            </w:r>
          </w:p>
        </w:tc>
        <w:tc>
          <w:tcPr>
            <w:tcW w:w="1060" w:type="dxa"/>
            <w:vAlign w:val="center"/>
          </w:tcPr>
          <w:p w14:paraId="1CCA225C">
            <w:pPr>
              <w:pStyle w:val="34"/>
            </w:pPr>
            <w:r>
              <w:rPr>
                <w:rFonts w:hint="eastAsia"/>
              </w:rPr>
              <w:t>/</w:t>
            </w:r>
          </w:p>
        </w:tc>
        <w:tc>
          <w:tcPr>
            <w:tcW w:w="998" w:type="dxa"/>
            <w:vAlign w:val="center"/>
          </w:tcPr>
          <w:p w14:paraId="1194D6E7">
            <w:pPr>
              <w:pStyle w:val="34"/>
            </w:pPr>
            <w:r>
              <w:rPr>
                <w:rFonts w:hint="eastAsia"/>
              </w:rPr>
              <w:t>/</w:t>
            </w:r>
          </w:p>
        </w:tc>
        <w:tc>
          <w:tcPr>
            <w:tcW w:w="958" w:type="dxa"/>
            <w:vAlign w:val="center"/>
          </w:tcPr>
          <w:p w14:paraId="1605073B">
            <w:pPr>
              <w:pStyle w:val="34"/>
            </w:pPr>
            <w:r>
              <w:rPr>
                <w:rFonts w:hint="eastAsia"/>
              </w:rPr>
              <w:t>/</w:t>
            </w:r>
          </w:p>
        </w:tc>
        <w:tc>
          <w:tcPr>
            <w:tcW w:w="1006" w:type="dxa"/>
            <w:vAlign w:val="center"/>
          </w:tcPr>
          <w:p w14:paraId="59F31575">
            <w:pPr>
              <w:pStyle w:val="34"/>
            </w:pPr>
            <w:r>
              <w:rPr>
                <w:rFonts w:hint="eastAsia"/>
              </w:rPr>
              <w:t>/</w:t>
            </w:r>
          </w:p>
        </w:tc>
        <w:tc>
          <w:tcPr>
            <w:tcW w:w="1721" w:type="dxa"/>
            <w:vAlign w:val="center"/>
          </w:tcPr>
          <w:p w14:paraId="5D8B1E17">
            <w:pPr>
              <w:pStyle w:val="34"/>
            </w:pPr>
            <w:r>
              <w:rPr>
                <w:rFonts w:hint="eastAsia"/>
              </w:rPr>
              <w:t>/</w:t>
            </w:r>
          </w:p>
        </w:tc>
      </w:tr>
      <w:tr w14:paraId="035676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84BCFEF">
            <w:pPr>
              <w:pStyle w:val="34"/>
              <w:numPr>
                <w:ilvl w:val="0"/>
                <w:numId w:val="54"/>
              </w:numPr>
              <w:rPr>
                <w:lang w:eastAsia="en-US"/>
              </w:rPr>
            </w:pPr>
          </w:p>
        </w:tc>
        <w:tc>
          <w:tcPr>
            <w:tcW w:w="1868" w:type="dxa"/>
            <w:vAlign w:val="center"/>
          </w:tcPr>
          <w:p w14:paraId="3F74E4B5">
            <w:pPr>
              <w:pStyle w:val="34"/>
              <w:rPr>
                <w:w w:val="105"/>
              </w:rPr>
            </w:pPr>
            <w:r>
              <w:rPr>
                <w:rFonts w:hint="eastAsia"/>
                <w:w w:val="105"/>
              </w:rPr>
              <w:t>砷</w:t>
            </w:r>
          </w:p>
        </w:tc>
        <w:tc>
          <w:tcPr>
            <w:tcW w:w="1684" w:type="dxa"/>
            <w:vAlign w:val="center"/>
          </w:tcPr>
          <w:p w14:paraId="0276C847">
            <w:pPr>
              <w:pStyle w:val="34"/>
            </w:pPr>
            <w:r>
              <w:rPr>
                <w:rFonts w:hint="eastAsia"/>
              </w:rPr>
              <w:t>银灰色发亮的块状固体</w:t>
            </w:r>
          </w:p>
        </w:tc>
        <w:tc>
          <w:tcPr>
            <w:tcW w:w="1318" w:type="dxa"/>
            <w:vAlign w:val="center"/>
          </w:tcPr>
          <w:p w14:paraId="21EDFB13">
            <w:pPr>
              <w:pStyle w:val="34"/>
            </w:pPr>
            <w:r>
              <w:rPr>
                <w:rFonts w:hint="eastAsia"/>
              </w:rPr>
              <w:t>不溶于水</w:t>
            </w:r>
          </w:p>
        </w:tc>
        <w:tc>
          <w:tcPr>
            <w:tcW w:w="607" w:type="dxa"/>
            <w:vAlign w:val="center"/>
          </w:tcPr>
          <w:p w14:paraId="41C5D2FC">
            <w:pPr>
              <w:pStyle w:val="34"/>
            </w:pPr>
            <w:r>
              <w:rPr>
                <w:rFonts w:hint="eastAsia"/>
              </w:rPr>
              <w:t>易挥发</w:t>
            </w:r>
          </w:p>
        </w:tc>
        <w:tc>
          <w:tcPr>
            <w:tcW w:w="859" w:type="dxa"/>
            <w:vAlign w:val="center"/>
          </w:tcPr>
          <w:p w14:paraId="5D3BD82D">
            <w:pPr>
              <w:pStyle w:val="34"/>
            </w:pPr>
            <w:r>
              <w:rPr>
                <w:rFonts w:hint="eastAsia"/>
              </w:rPr>
              <w:t>/</w:t>
            </w:r>
          </w:p>
        </w:tc>
        <w:tc>
          <w:tcPr>
            <w:tcW w:w="1562" w:type="dxa"/>
            <w:vAlign w:val="center"/>
          </w:tcPr>
          <w:p w14:paraId="5BE10CE3">
            <w:pPr>
              <w:pStyle w:val="34"/>
            </w:pPr>
            <w:r>
              <w:rPr>
                <w:rFonts w:hint="eastAsia"/>
              </w:rPr>
              <w:t>/</w:t>
            </w:r>
          </w:p>
        </w:tc>
        <w:tc>
          <w:tcPr>
            <w:tcW w:w="1060" w:type="dxa"/>
            <w:vAlign w:val="center"/>
          </w:tcPr>
          <w:p w14:paraId="63B858CC">
            <w:pPr>
              <w:pStyle w:val="34"/>
            </w:pPr>
            <w:r>
              <w:rPr>
                <w:rFonts w:hint="eastAsia"/>
              </w:rPr>
              <w:t>817</w:t>
            </w:r>
          </w:p>
        </w:tc>
        <w:tc>
          <w:tcPr>
            <w:tcW w:w="998" w:type="dxa"/>
            <w:vAlign w:val="center"/>
          </w:tcPr>
          <w:p w14:paraId="32337F60">
            <w:pPr>
              <w:pStyle w:val="34"/>
            </w:pPr>
            <w:r>
              <w:rPr>
                <w:rFonts w:hint="eastAsia"/>
              </w:rPr>
              <w:t>613</w:t>
            </w:r>
          </w:p>
        </w:tc>
        <w:tc>
          <w:tcPr>
            <w:tcW w:w="958" w:type="dxa"/>
            <w:vAlign w:val="center"/>
          </w:tcPr>
          <w:p w14:paraId="7CAA439D">
            <w:pPr>
              <w:pStyle w:val="34"/>
            </w:pPr>
            <w:r>
              <w:rPr>
                <w:rFonts w:hint="eastAsia"/>
              </w:rPr>
              <w:t>/</w:t>
            </w:r>
          </w:p>
        </w:tc>
        <w:tc>
          <w:tcPr>
            <w:tcW w:w="1006" w:type="dxa"/>
            <w:vAlign w:val="center"/>
          </w:tcPr>
          <w:p w14:paraId="2AF0D1A7">
            <w:pPr>
              <w:pStyle w:val="34"/>
            </w:pPr>
            <w:r>
              <w:rPr>
                <w:rFonts w:hint="eastAsia"/>
              </w:rPr>
              <w:t>/</w:t>
            </w:r>
          </w:p>
        </w:tc>
        <w:tc>
          <w:tcPr>
            <w:tcW w:w="1721" w:type="dxa"/>
            <w:vAlign w:val="center"/>
          </w:tcPr>
          <w:p w14:paraId="73A7B1A1">
            <w:pPr>
              <w:pStyle w:val="34"/>
            </w:pPr>
            <w:r>
              <w:rPr>
                <w:rFonts w:hint="eastAsia"/>
              </w:rPr>
              <w:t>5.727</w:t>
            </w:r>
          </w:p>
        </w:tc>
      </w:tr>
      <w:tr w14:paraId="161065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26FA02C5">
            <w:pPr>
              <w:pStyle w:val="34"/>
              <w:numPr>
                <w:ilvl w:val="0"/>
                <w:numId w:val="54"/>
              </w:numPr>
              <w:rPr>
                <w:lang w:eastAsia="en-US"/>
              </w:rPr>
            </w:pPr>
          </w:p>
        </w:tc>
        <w:tc>
          <w:tcPr>
            <w:tcW w:w="1868" w:type="dxa"/>
            <w:vAlign w:val="center"/>
          </w:tcPr>
          <w:p w14:paraId="60490373">
            <w:pPr>
              <w:pStyle w:val="34"/>
              <w:rPr>
                <w:w w:val="105"/>
              </w:rPr>
            </w:pPr>
            <w:r>
              <w:rPr>
                <w:rFonts w:hint="eastAsia"/>
                <w:w w:val="105"/>
              </w:rPr>
              <w:t>碳酸钡</w:t>
            </w:r>
          </w:p>
        </w:tc>
        <w:tc>
          <w:tcPr>
            <w:tcW w:w="1684" w:type="dxa"/>
            <w:vAlign w:val="center"/>
          </w:tcPr>
          <w:p w14:paraId="6C164258">
            <w:pPr>
              <w:pStyle w:val="34"/>
            </w:pPr>
            <w:r>
              <w:rPr>
                <w:rFonts w:hint="eastAsia"/>
              </w:rPr>
              <w:t>白色结晶粉末</w:t>
            </w:r>
          </w:p>
        </w:tc>
        <w:tc>
          <w:tcPr>
            <w:tcW w:w="1318" w:type="dxa"/>
            <w:vAlign w:val="center"/>
          </w:tcPr>
          <w:p w14:paraId="2CFC1591">
            <w:pPr>
              <w:pStyle w:val="34"/>
            </w:pPr>
            <w:r>
              <w:rPr>
                <w:rFonts w:hint="eastAsia"/>
              </w:rPr>
              <w:t>不溶于水</w:t>
            </w:r>
          </w:p>
        </w:tc>
        <w:tc>
          <w:tcPr>
            <w:tcW w:w="607" w:type="dxa"/>
            <w:vAlign w:val="center"/>
          </w:tcPr>
          <w:p w14:paraId="5DD42F38">
            <w:pPr>
              <w:pStyle w:val="34"/>
            </w:pPr>
            <w:r>
              <w:rPr>
                <w:rFonts w:hint="eastAsia"/>
              </w:rPr>
              <w:t>/</w:t>
            </w:r>
          </w:p>
        </w:tc>
        <w:tc>
          <w:tcPr>
            <w:tcW w:w="859" w:type="dxa"/>
            <w:vAlign w:val="center"/>
          </w:tcPr>
          <w:p w14:paraId="3024657D">
            <w:pPr>
              <w:pStyle w:val="34"/>
            </w:pPr>
            <w:r>
              <w:rPr>
                <w:rFonts w:hint="eastAsia"/>
              </w:rPr>
              <w:t>不燃</w:t>
            </w:r>
          </w:p>
        </w:tc>
        <w:tc>
          <w:tcPr>
            <w:tcW w:w="1562" w:type="dxa"/>
            <w:vAlign w:val="center"/>
          </w:tcPr>
          <w:p w14:paraId="7F5646B2">
            <w:pPr>
              <w:pStyle w:val="34"/>
            </w:pPr>
            <w:r>
              <w:rPr>
                <w:rFonts w:hint="eastAsia"/>
              </w:rPr>
              <w:t>/</w:t>
            </w:r>
          </w:p>
        </w:tc>
        <w:tc>
          <w:tcPr>
            <w:tcW w:w="1060" w:type="dxa"/>
            <w:vAlign w:val="center"/>
          </w:tcPr>
          <w:p w14:paraId="2BE31626">
            <w:pPr>
              <w:pStyle w:val="34"/>
            </w:pPr>
            <w:r>
              <w:rPr>
                <w:rFonts w:hint="eastAsia"/>
              </w:rPr>
              <w:t>1740</w:t>
            </w:r>
          </w:p>
        </w:tc>
        <w:tc>
          <w:tcPr>
            <w:tcW w:w="998" w:type="dxa"/>
            <w:vAlign w:val="center"/>
          </w:tcPr>
          <w:p w14:paraId="41D57078">
            <w:pPr>
              <w:pStyle w:val="34"/>
            </w:pPr>
            <w:r>
              <w:rPr>
                <w:rFonts w:hint="eastAsia"/>
              </w:rPr>
              <w:t>1450</w:t>
            </w:r>
          </w:p>
        </w:tc>
        <w:tc>
          <w:tcPr>
            <w:tcW w:w="958" w:type="dxa"/>
            <w:vAlign w:val="center"/>
          </w:tcPr>
          <w:p w14:paraId="34487C11">
            <w:pPr>
              <w:pStyle w:val="34"/>
            </w:pPr>
            <w:r>
              <w:rPr>
                <w:rFonts w:hint="eastAsia"/>
              </w:rPr>
              <w:t>/</w:t>
            </w:r>
          </w:p>
        </w:tc>
        <w:tc>
          <w:tcPr>
            <w:tcW w:w="1006" w:type="dxa"/>
            <w:vAlign w:val="center"/>
          </w:tcPr>
          <w:p w14:paraId="5BCC7529">
            <w:pPr>
              <w:pStyle w:val="34"/>
            </w:pPr>
            <w:r>
              <w:rPr>
                <w:rFonts w:hint="eastAsia"/>
              </w:rPr>
              <w:t>/</w:t>
            </w:r>
          </w:p>
        </w:tc>
        <w:tc>
          <w:tcPr>
            <w:tcW w:w="1721" w:type="dxa"/>
            <w:vAlign w:val="center"/>
          </w:tcPr>
          <w:p w14:paraId="4DB78FB1">
            <w:pPr>
              <w:pStyle w:val="34"/>
            </w:pPr>
            <w:r>
              <w:rPr>
                <w:rFonts w:hint="eastAsia"/>
              </w:rPr>
              <w:t>4.43</w:t>
            </w:r>
          </w:p>
        </w:tc>
      </w:tr>
      <w:tr w14:paraId="44BE76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E0FBE33">
            <w:pPr>
              <w:pStyle w:val="34"/>
              <w:numPr>
                <w:ilvl w:val="0"/>
                <w:numId w:val="54"/>
              </w:numPr>
              <w:rPr>
                <w:lang w:eastAsia="en-US"/>
              </w:rPr>
            </w:pPr>
          </w:p>
        </w:tc>
        <w:tc>
          <w:tcPr>
            <w:tcW w:w="1868" w:type="dxa"/>
            <w:vAlign w:val="center"/>
          </w:tcPr>
          <w:p w14:paraId="0D005577">
            <w:pPr>
              <w:pStyle w:val="34"/>
              <w:rPr>
                <w:lang w:eastAsia="en-US"/>
              </w:rPr>
            </w:pPr>
            <w:r>
              <w:rPr>
                <w:rFonts w:hint="eastAsia"/>
              </w:rPr>
              <w:t>四氯乙烯</w:t>
            </w:r>
          </w:p>
        </w:tc>
        <w:tc>
          <w:tcPr>
            <w:tcW w:w="1684" w:type="dxa"/>
            <w:vAlign w:val="center"/>
          </w:tcPr>
          <w:p w14:paraId="60DB6CC7">
            <w:pPr>
              <w:pStyle w:val="34"/>
              <w:rPr>
                <w:lang w:eastAsia="en-US"/>
              </w:rPr>
            </w:pPr>
            <w:r>
              <w:rPr>
                <w:lang w:eastAsia="en-US"/>
              </w:rPr>
              <w:t>无色</w:t>
            </w:r>
            <w:r>
              <w:rPr>
                <w:rFonts w:hint="eastAsia"/>
              </w:rPr>
              <w:t>液体</w:t>
            </w:r>
          </w:p>
        </w:tc>
        <w:tc>
          <w:tcPr>
            <w:tcW w:w="1318" w:type="dxa"/>
            <w:vAlign w:val="center"/>
          </w:tcPr>
          <w:p w14:paraId="5CE8F11F">
            <w:pPr>
              <w:pStyle w:val="34"/>
              <w:rPr>
                <w:lang w:eastAsia="en-US"/>
              </w:rPr>
            </w:pPr>
            <w:r>
              <w:rPr>
                <w:lang w:eastAsia="en-US"/>
              </w:rPr>
              <w:t>不溶</w:t>
            </w:r>
          </w:p>
        </w:tc>
        <w:tc>
          <w:tcPr>
            <w:tcW w:w="607" w:type="dxa"/>
            <w:vAlign w:val="center"/>
          </w:tcPr>
          <w:p w14:paraId="6F772280">
            <w:pPr>
              <w:pStyle w:val="34"/>
            </w:pPr>
            <w:r>
              <w:rPr>
                <w:rFonts w:hint="eastAsia"/>
              </w:rPr>
              <w:t>易挥发</w:t>
            </w:r>
          </w:p>
        </w:tc>
        <w:tc>
          <w:tcPr>
            <w:tcW w:w="859" w:type="dxa"/>
            <w:vAlign w:val="center"/>
          </w:tcPr>
          <w:p w14:paraId="48738C73">
            <w:pPr>
              <w:pStyle w:val="34"/>
              <w:rPr>
                <w:lang w:eastAsia="en-US"/>
              </w:rPr>
            </w:pPr>
            <w:r>
              <w:rPr>
                <w:rFonts w:hint="eastAsia"/>
              </w:rPr>
              <w:t>/</w:t>
            </w:r>
          </w:p>
        </w:tc>
        <w:tc>
          <w:tcPr>
            <w:tcW w:w="1562" w:type="dxa"/>
            <w:vAlign w:val="center"/>
          </w:tcPr>
          <w:p w14:paraId="13DFECAD">
            <w:pPr>
              <w:pStyle w:val="34"/>
            </w:pPr>
            <w:r>
              <w:rPr>
                <w:rFonts w:hint="eastAsia"/>
              </w:rPr>
              <w:t>/</w:t>
            </w:r>
          </w:p>
        </w:tc>
        <w:tc>
          <w:tcPr>
            <w:tcW w:w="1060" w:type="dxa"/>
            <w:vAlign w:val="center"/>
          </w:tcPr>
          <w:p w14:paraId="1087549C">
            <w:pPr>
              <w:pStyle w:val="34"/>
            </w:pPr>
            <w:r>
              <w:rPr>
                <w:rFonts w:hint="eastAsia"/>
              </w:rPr>
              <w:t>-22</w:t>
            </w:r>
          </w:p>
        </w:tc>
        <w:tc>
          <w:tcPr>
            <w:tcW w:w="998" w:type="dxa"/>
            <w:vAlign w:val="center"/>
          </w:tcPr>
          <w:p w14:paraId="32C59B25">
            <w:pPr>
              <w:pStyle w:val="34"/>
            </w:pPr>
            <w:r>
              <w:rPr>
                <w:rFonts w:hint="eastAsia"/>
              </w:rPr>
              <w:t>121</w:t>
            </w:r>
          </w:p>
        </w:tc>
        <w:tc>
          <w:tcPr>
            <w:tcW w:w="958" w:type="dxa"/>
            <w:vAlign w:val="center"/>
          </w:tcPr>
          <w:p w14:paraId="61DDB64D">
            <w:pPr>
              <w:pStyle w:val="34"/>
            </w:pPr>
            <w:r>
              <w:rPr>
                <w:rFonts w:hint="eastAsia"/>
              </w:rPr>
              <w:t>/</w:t>
            </w:r>
          </w:p>
        </w:tc>
        <w:tc>
          <w:tcPr>
            <w:tcW w:w="1006" w:type="dxa"/>
            <w:vAlign w:val="center"/>
          </w:tcPr>
          <w:p w14:paraId="11A79C57">
            <w:pPr>
              <w:pStyle w:val="34"/>
            </w:pPr>
            <w:r>
              <w:rPr>
                <w:rFonts w:hint="eastAsia"/>
              </w:rPr>
              <w:t>/</w:t>
            </w:r>
          </w:p>
        </w:tc>
        <w:tc>
          <w:tcPr>
            <w:tcW w:w="1721" w:type="dxa"/>
            <w:vAlign w:val="center"/>
          </w:tcPr>
          <w:p w14:paraId="66256C73">
            <w:pPr>
              <w:pStyle w:val="34"/>
            </w:pPr>
            <w:r>
              <w:rPr>
                <w:rFonts w:hint="eastAsia"/>
              </w:rPr>
              <w:t>1.622</w:t>
            </w:r>
          </w:p>
        </w:tc>
      </w:tr>
      <w:tr w14:paraId="36DEAD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59D42C71">
            <w:pPr>
              <w:pStyle w:val="34"/>
              <w:numPr>
                <w:ilvl w:val="0"/>
                <w:numId w:val="54"/>
              </w:numPr>
              <w:rPr>
                <w:lang w:eastAsia="en-US"/>
              </w:rPr>
            </w:pPr>
          </w:p>
        </w:tc>
        <w:tc>
          <w:tcPr>
            <w:tcW w:w="1868" w:type="dxa"/>
            <w:vAlign w:val="center"/>
          </w:tcPr>
          <w:p w14:paraId="3BB9CA23">
            <w:pPr>
              <w:pStyle w:val="34"/>
              <w:rPr>
                <w:lang w:eastAsia="en-US"/>
              </w:rPr>
            </w:pPr>
            <w:r>
              <w:rPr>
                <w:rFonts w:hint="eastAsia"/>
                <w:lang w:eastAsia="en-US"/>
              </w:rPr>
              <w:t>五羰基铁</w:t>
            </w:r>
          </w:p>
        </w:tc>
        <w:tc>
          <w:tcPr>
            <w:tcW w:w="1684" w:type="dxa"/>
            <w:vAlign w:val="center"/>
          </w:tcPr>
          <w:p w14:paraId="618C6772">
            <w:pPr>
              <w:pStyle w:val="34"/>
            </w:pPr>
            <w:r>
              <w:rPr>
                <w:rFonts w:hint="eastAsia"/>
              </w:rPr>
              <w:t>黄色至深红色粘稠液体，遇光分解。</w:t>
            </w:r>
          </w:p>
        </w:tc>
        <w:tc>
          <w:tcPr>
            <w:tcW w:w="1318" w:type="dxa"/>
            <w:vAlign w:val="center"/>
          </w:tcPr>
          <w:p w14:paraId="62696C3C">
            <w:pPr>
              <w:pStyle w:val="34"/>
            </w:pPr>
            <w:r>
              <w:rPr>
                <w:rFonts w:hint="eastAsia"/>
              </w:rPr>
              <w:t>不溶于水，易溶于乙醚、丙酮、苯等多数有机溶剂。</w:t>
            </w:r>
          </w:p>
        </w:tc>
        <w:tc>
          <w:tcPr>
            <w:tcW w:w="607" w:type="dxa"/>
            <w:vAlign w:val="center"/>
          </w:tcPr>
          <w:p w14:paraId="016A2240">
            <w:pPr>
              <w:pStyle w:val="34"/>
              <w:rPr>
                <w:lang w:eastAsia="en-US"/>
              </w:rPr>
            </w:pPr>
            <w:r>
              <w:rPr>
                <w:rFonts w:hint="eastAsia"/>
                <w:lang w:eastAsia="en-US"/>
              </w:rPr>
              <w:t>/</w:t>
            </w:r>
          </w:p>
        </w:tc>
        <w:tc>
          <w:tcPr>
            <w:tcW w:w="859" w:type="dxa"/>
            <w:vAlign w:val="center"/>
          </w:tcPr>
          <w:p w14:paraId="5FB0ACAB">
            <w:pPr>
              <w:pStyle w:val="34"/>
              <w:rPr>
                <w:lang w:eastAsia="en-US"/>
              </w:rPr>
            </w:pPr>
            <w:r>
              <w:rPr>
                <w:rFonts w:hint="eastAsia"/>
                <w:lang w:eastAsia="en-US"/>
              </w:rPr>
              <w:t>易燃</w:t>
            </w:r>
          </w:p>
        </w:tc>
        <w:tc>
          <w:tcPr>
            <w:tcW w:w="1562" w:type="dxa"/>
            <w:vAlign w:val="center"/>
          </w:tcPr>
          <w:p w14:paraId="17DCF78A">
            <w:pPr>
              <w:pStyle w:val="34"/>
              <w:rPr>
                <w:lang w:eastAsia="en-US"/>
              </w:rPr>
            </w:pPr>
            <w:r>
              <w:rPr>
                <w:rFonts w:hint="eastAsia"/>
                <w:lang w:eastAsia="en-US"/>
              </w:rPr>
              <w:t>3.7~12.5</w:t>
            </w:r>
          </w:p>
        </w:tc>
        <w:tc>
          <w:tcPr>
            <w:tcW w:w="1060" w:type="dxa"/>
            <w:vAlign w:val="center"/>
          </w:tcPr>
          <w:p w14:paraId="131118CA">
            <w:pPr>
              <w:pStyle w:val="34"/>
              <w:rPr>
                <w:lang w:eastAsia="en-US"/>
              </w:rPr>
            </w:pPr>
            <w:r>
              <w:rPr>
                <w:rFonts w:hint="eastAsia"/>
                <w:lang w:eastAsia="en-US"/>
              </w:rPr>
              <w:t>-25</w:t>
            </w:r>
          </w:p>
        </w:tc>
        <w:tc>
          <w:tcPr>
            <w:tcW w:w="998" w:type="dxa"/>
            <w:vAlign w:val="center"/>
          </w:tcPr>
          <w:p w14:paraId="11F0C4F1">
            <w:pPr>
              <w:pStyle w:val="34"/>
              <w:rPr>
                <w:lang w:eastAsia="en-US"/>
              </w:rPr>
            </w:pPr>
            <w:r>
              <w:rPr>
                <w:rFonts w:hint="eastAsia"/>
                <w:lang w:eastAsia="en-US"/>
              </w:rPr>
              <w:t>103</w:t>
            </w:r>
          </w:p>
        </w:tc>
        <w:tc>
          <w:tcPr>
            <w:tcW w:w="958" w:type="dxa"/>
            <w:vAlign w:val="center"/>
          </w:tcPr>
          <w:p w14:paraId="5CC016EF">
            <w:pPr>
              <w:pStyle w:val="34"/>
              <w:rPr>
                <w:lang w:eastAsia="en-US"/>
              </w:rPr>
            </w:pPr>
            <w:r>
              <w:rPr>
                <w:rFonts w:hint="eastAsia"/>
                <w:lang w:eastAsia="en-US"/>
              </w:rPr>
              <w:t>-15</w:t>
            </w:r>
          </w:p>
        </w:tc>
        <w:tc>
          <w:tcPr>
            <w:tcW w:w="1006" w:type="dxa"/>
            <w:vAlign w:val="center"/>
          </w:tcPr>
          <w:p w14:paraId="503CB04E">
            <w:pPr>
              <w:pStyle w:val="34"/>
              <w:rPr>
                <w:lang w:eastAsia="en-US"/>
              </w:rPr>
            </w:pPr>
            <w:r>
              <w:rPr>
                <w:rFonts w:hint="eastAsia"/>
                <w:lang w:eastAsia="en-US"/>
              </w:rPr>
              <w:t>/</w:t>
            </w:r>
          </w:p>
        </w:tc>
        <w:tc>
          <w:tcPr>
            <w:tcW w:w="1721" w:type="dxa"/>
            <w:vAlign w:val="center"/>
          </w:tcPr>
          <w:p w14:paraId="4344863D">
            <w:pPr>
              <w:pStyle w:val="34"/>
              <w:rPr>
                <w:lang w:eastAsia="en-US"/>
              </w:rPr>
            </w:pPr>
            <w:r>
              <w:rPr>
                <w:rFonts w:hint="eastAsia"/>
                <w:lang w:eastAsia="en-US"/>
              </w:rPr>
              <w:t>1.45</w:t>
            </w:r>
          </w:p>
        </w:tc>
      </w:tr>
      <w:tr w14:paraId="26825E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jc w:val="center"/>
        </w:trPr>
        <w:tc>
          <w:tcPr>
            <w:tcW w:w="534" w:type="dxa"/>
            <w:vAlign w:val="center"/>
          </w:tcPr>
          <w:p w14:paraId="17A74B9B">
            <w:pPr>
              <w:pStyle w:val="34"/>
              <w:numPr>
                <w:ilvl w:val="0"/>
                <w:numId w:val="54"/>
              </w:numPr>
              <w:rPr>
                <w:lang w:eastAsia="en-US"/>
              </w:rPr>
            </w:pPr>
          </w:p>
        </w:tc>
        <w:tc>
          <w:tcPr>
            <w:tcW w:w="1868" w:type="dxa"/>
            <w:vAlign w:val="center"/>
          </w:tcPr>
          <w:p w14:paraId="080C3721">
            <w:pPr>
              <w:pStyle w:val="34"/>
              <w:rPr>
                <w:lang w:eastAsia="en-US"/>
              </w:rPr>
            </w:pPr>
            <w:r>
              <w:rPr>
                <w:rFonts w:hint="eastAsia"/>
                <w:lang w:eastAsia="en-US"/>
              </w:rPr>
              <w:t>四氯化钛</w:t>
            </w:r>
          </w:p>
        </w:tc>
        <w:tc>
          <w:tcPr>
            <w:tcW w:w="1684" w:type="dxa"/>
            <w:vAlign w:val="center"/>
          </w:tcPr>
          <w:p w14:paraId="57AB9AD8">
            <w:pPr>
              <w:pStyle w:val="34"/>
              <w:rPr>
                <w:lang w:eastAsia="en-US"/>
              </w:rPr>
            </w:pPr>
            <w:r>
              <w:rPr>
                <w:rFonts w:hint="eastAsia"/>
              </w:rPr>
              <w:t>无色或微黄色液体，有刺激性酸味。</w:t>
            </w:r>
            <w:r>
              <w:rPr>
                <w:rFonts w:hint="eastAsia"/>
                <w:lang w:eastAsia="en-US"/>
              </w:rPr>
              <w:t>在空气中发烟。</w:t>
            </w:r>
          </w:p>
        </w:tc>
        <w:tc>
          <w:tcPr>
            <w:tcW w:w="1318" w:type="dxa"/>
            <w:vAlign w:val="center"/>
          </w:tcPr>
          <w:p w14:paraId="6D603099">
            <w:pPr>
              <w:pStyle w:val="34"/>
            </w:pPr>
            <w:r>
              <w:rPr>
                <w:rFonts w:hint="eastAsia"/>
              </w:rPr>
              <w:t>溶于冷水、乙醇、稀盐酸。</w:t>
            </w:r>
          </w:p>
        </w:tc>
        <w:tc>
          <w:tcPr>
            <w:tcW w:w="607" w:type="dxa"/>
            <w:vAlign w:val="center"/>
          </w:tcPr>
          <w:p w14:paraId="1E355F83">
            <w:pPr>
              <w:pStyle w:val="34"/>
              <w:rPr>
                <w:lang w:eastAsia="en-US"/>
              </w:rPr>
            </w:pPr>
            <w:r>
              <w:rPr>
                <w:rFonts w:hint="eastAsia"/>
                <w:lang w:eastAsia="en-US"/>
              </w:rPr>
              <w:t>/</w:t>
            </w:r>
          </w:p>
        </w:tc>
        <w:tc>
          <w:tcPr>
            <w:tcW w:w="859" w:type="dxa"/>
            <w:vAlign w:val="center"/>
          </w:tcPr>
          <w:p w14:paraId="009DD6DF">
            <w:pPr>
              <w:pStyle w:val="34"/>
              <w:rPr>
                <w:lang w:eastAsia="en-US"/>
              </w:rPr>
            </w:pPr>
            <w:r>
              <w:rPr>
                <w:rFonts w:hint="eastAsia"/>
                <w:lang w:eastAsia="en-US"/>
              </w:rPr>
              <w:t>不可燃</w:t>
            </w:r>
          </w:p>
        </w:tc>
        <w:tc>
          <w:tcPr>
            <w:tcW w:w="1562" w:type="dxa"/>
            <w:vAlign w:val="center"/>
          </w:tcPr>
          <w:p w14:paraId="4248D7EB">
            <w:pPr>
              <w:pStyle w:val="34"/>
              <w:rPr>
                <w:lang w:eastAsia="en-US"/>
              </w:rPr>
            </w:pPr>
            <w:r>
              <w:rPr>
                <w:rFonts w:hint="eastAsia"/>
                <w:lang w:eastAsia="en-US"/>
              </w:rPr>
              <w:t>/</w:t>
            </w:r>
          </w:p>
        </w:tc>
        <w:tc>
          <w:tcPr>
            <w:tcW w:w="1060" w:type="dxa"/>
            <w:vAlign w:val="center"/>
          </w:tcPr>
          <w:p w14:paraId="7F9020F8">
            <w:pPr>
              <w:pStyle w:val="34"/>
              <w:rPr>
                <w:lang w:eastAsia="en-US"/>
              </w:rPr>
            </w:pPr>
            <w:r>
              <w:rPr>
                <w:rFonts w:hint="eastAsia"/>
                <w:lang w:eastAsia="en-US"/>
              </w:rPr>
              <w:t>-25</w:t>
            </w:r>
          </w:p>
        </w:tc>
        <w:tc>
          <w:tcPr>
            <w:tcW w:w="998" w:type="dxa"/>
            <w:vAlign w:val="center"/>
          </w:tcPr>
          <w:p w14:paraId="574DC427">
            <w:pPr>
              <w:pStyle w:val="34"/>
              <w:rPr>
                <w:lang w:eastAsia="en-US"/>
              </w:rPr>
            </w:pPr>
            <w:r>
              <w:rPr>
                <w:rFonts w:hint="eastAsia"/>
                <w:lang w:eastAsia="en-US"/>
              </w:rPr>
              <w:t>136.4</w:t>
            </w:r>
          </w:p>
        </w:tc>
        <w:tc>
          <w:tcPr>
            <w:tcW w:w="958" w:type="dxa"/>
            <w:vAlign w:val="center"/>
          </w:tcPr>
          <w:p w14:paraId="5D6AE1F6">
            <w:pPr>
              <w:pStyle w:val="34"/>
              <w:rPr>
                <w:lang w:eastAsia="en-US"/>
              </w:rPr>
            </w:pPr>
            <w:r>
              <w:rPr>
                <w:rFonts w:hint="eastAsia"/>
                <w:lang w:eastAsia="en-US"/>
              </w:rPr>
              <w:t>/</w:t>
            </w:r>
          </w:p>
        </w:tc>
        <w:tc>
          <w:tcPr>
            <w:tcW w:w="1006" w:type="dxa"/>
            <w:vAlign w:val="center"/>
          </w:tcPr>
          <w:p w14:paraId="686B7361">
            <w:pPr>
              <w:pStyle w:val="34"/>
              <w:rPr>
                <w:lang w:eastAsia="en-US"/>
              </w:rPr>
            </w:pPr>
            <w:r>
              <w:rPr>
                <w:rFonts w:hint="eastAsia"/>
                <w:lang w:eastAsia="en-US"/>
              </w:rPr>
              <w:t>/</w:t>
            </w:r>
          </w:p>
        </w:tc>
        <w:tc>
          <w:tcPr>
            <w:tcW w:w="1721" w:type="dxa"/>
            <w:vAlign w:val="center"/>
          </w:tcPr>
          <w:p w14:paraId="7D364858">
            <w:pPr>
              <w:pStyle w:val="34"/>
              <w:rPr>
                <w:lang w:eastAsia="en-US"/>
              </w:rPr>
            </w:pPr>
            <w:r>
              <w:rPr>
                <w:rFonts w:hint="eastAsia"/>
                <w:lang w:eastAsia="en-US"/>
              </w:rPr>
              <w:t>1.73</w:t>
            </w:r>
          </w:p>
        </w:tc>
      </w:tr>
      <w:tr w14:paraId="51DA37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7277768D">
            <w:pPr>
              <w:pStyle w:val="34"/>
              <w:numPr>
                <w:ilvl w:val="0"/>
                <w:numId w:val="54"/>
              </w:numPr>
              <w:rPr>
                <w:lang w:eastAsia="en-US"/>
              </w:rPr>
            </w:pPr>
          </w:p>
        </w:tc>
        <w:tc>
          <w:tcPr>
            <w:tcW w:w="1868" w:type="dxa"/>
            <w:vAlign w:val="center"/>
          </w:tcPr>
          <w:p w14:paraId="6C0BFFA6">
            <w:pPr>
              <w:pStyle w:val="34"/>
              <w:rPr>
                <w:lang w:eastAsia="en-US"/>
              </w:rPr>
            </w:pPr>
            <w:r>
              <w:rPr>
                <w:rFonts w:hint="eastAsia"/>
                <w:lang w:eastAsia="en-US"/>
              </w:rPr>
              <w:t>敌敌畏</w:t>
            </w:r>
          </w:p>
        </w:tc>
        <w:tc>
          <w:tcPr>
            <w:tcW w:w="1684" w:type="dxa"/>
            <w:vAlign w:val="center"/>
          </w:tcPr>
          <w:p w14:paraId="235B6A09">
            <w:pPr>
              <w:pStyle w:val="34"/>
              <w:rPr>
                <w:lang w:eastAsia="en-US"/>
              </w:rPr>
            </w:pPr>
            <w:r>
              <w:rPr>
                <w:lang w:eastAsia="en-US"/>
              </w:rPr>
              <w:t>无色油状液体</w:t>
            </w:r>
          </w:p>
        </w:tc>
        <w:tc>
          <w:tcPr>
            <w:tcW w:w="1318" w:type="dxa"/>
            <w:vAlign w:val="center"/>
          </w:tcPr>
          <w:p w14:paraId="04FF8FF3">
            <w:pPr>
              <w:pStyle w:val="34"/>
              <w:rPr>
                <w:lang w:eastAsia="en-US"/>
              </w:rPr>
            </w:pPr>
            <w:r>
              <w:rPr>
                <w:lang w:eastAsia="en-US"/>
              </w:rPr>
              <w:t>微溶于水</w:t>
            </w:r>
          </w:p>
        </w:tc>
        <w:tc>
          <w:tcPr>
            <w:tcW w:w="607" w:type="dxa"/>
            <w:vAlign w:val="center"/>
          </w:tcPr>
          <w:p w14:paraId="5B4204FD">
            <w:pPr>
              <w:pStyle w:val="34"/>
              <w:rPr>
                <w:lang w:eastAsia="en-US"/>
              </w:rPr>
            </w:pPr>
            <w:r>
              <w:rPr>
                <w:lang w:eastAsia="en-US"/>
              </w:rPr>
              <w:t>难挥发</w:t>
            </w:r>
          </w:p>
        </w:tc>
        <w:tc>
          <w:tcPr>
            <w:tcW w:w="859" w:type="dxa"/>
            <w:vAlign w:val="center"/>
          </w:tcPr>
          <w:p w14:paraId="0EC64218">
            <w:pPr>
              <w:pStyle w:val="34"/>
              <w:rPr>
                <w:lang w:eastAsia="en-US"/>
              </w:rPr>
            </w:pPr>
            <w:r>
              <w:rPr>
                <w:lang w:eastAsia="en-US"/>
              </w:rPr>
              <w:t>可燃</w:t>
            </w:r>
          </w:p>
        </w:tc>
        <w:tc>
          <w:tcPr>
            <w:tcW w:w="1562" w:type="dxa"/>
            <w:vAlign w:val="center"/>
          </w:tcPr>
          <w:p w14:paraId="66E24093">
            <w:pPr>
              <w:pStyle w:val="34"/>
              <w:rPr>
                <w:lang w:eastAsia="en-US"/>
              </w:rPr>
            </w:pPr>
            <w:r>
              <w:rPr>
                <w:lang w:eastAsia="en-US"/>
              </w:rPr>
              <w:t>/</w:t>
            </w:r>
          </w:p>
        </w:tc>
        <w:tc>
          <w:tcPr>
            <w:tcW w:w="1060" w:type="dxa"/>
            <w:vAlign w:val="center"/>
          </w:tcPr>
          <w:p w14:paraId="10D4278A">
            <w:pPr>
              <w:pStyle w:val="34"/>
              <w:rPr>
                <w:lang w:eastAsia="en-US"/>
              </w:rPr>
            </w:pPr>
            <w:r>
              <w:rPr>
                <w:lang w:eastAsia="en-US"/>
              </w:rPr>
              <w:t>/</w:t>
            </w:r>
          </w:p>
        </w:tc>
        <w:tc>
          <w:tcPr>
            <w:tcW w:w="998" w:type="dxa"/>
            <w:vAlign w:val="center"/>
          </w:tcPr>
          <w:p w14:paraId="35FD8E55">
            <w:pPr>
              <w:pStyle w:val="34"/>
              <w:rPr>
                <w:lang w:eastAsia="en-US"/>
              </w:rPr>
            </w:pPr>
            <w:r>
              <w:rPr>
                <w:lang w:eastAsia="en-US"/>
              </w:rPr>
              <w:t>74</w:t>
            </w:r>
          </w:p>
        </w:tc>
        <w:tc>
          <w:tcPr>
            <w:tcW w:w="958" w:type="dxa"/>
            <w:vAlign w:val="center"/>
          </w:tcPr>
          <w:p w14:paraId="5B4A2B5E">
            <w:pPr>
              <w:pStyle w:val="34"/>
              <w:rPr>
                <w:lang w:eastAsia="en-US"/>
              </w:rPr>
            </w:pPr>
            <w:r>
              <w:rPr>
                <w:lang w:eastAsia="en-US"/>
              </w:rPr>
              <w:t>117</w:t>
            </w:r>
          </w:p>
        </w:tc>
        <w:tc>
          <w:tcPr>
            <w:tcW w:w="1006" w:type="dxa"/>
            <w:vAlign w:val="center"/>
          </w:tcPr>
          <w:p w14:paraId="476EA2D8">
            <w:pPr>
              <w:pStyle w:val="34"/>
              <w:rPr>
                <w:lang w:eastAsia="en-US"/>
              </w:rPr>
            </w:pPr>
            <w:r>
              <w:rPr>
                <w:lang w:eastAsia="en-US"/>
              </w:rPr>
              <w:t>/</w:t>
            </w:r>
          </w:p>
        </w:tc>
        <w:tc>
          <w:tcPr>
            <w:tcW w:w="1721" w:type="dxa"/>
            <w:vAlign w:val="center"/>
          </w:tcPr>
          <w:p w14:paraId="7A6A0F4F">
            <w:pPr>
              <w:pStyle w:val="34"/>
              <w:rPr>
                <w:lang w:eastAsia="en-US"/>
              </w:rPr>
            </w:pPr>
            <w:r>
              <w:rPr>
                <w:lang w:eastAsia="en-US"/>
              </w:rPr>
              <w:t>1.42</w:t>
            </w:r>
          </w:p>
        </w:tc>
      </w:tr>
      <w:tr w14:paraId="5FC386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5" w:type="dxa"/>
            <w:gridSpan w:val="12"/>
            <w:vAlign w:val="center"/>
          </w:tcPr>
          <w:p w14:paraId="3B91B46D">
            <w:pPr>
              <w:pStyle w:val="34"/>
            </w:pPr>
            <w:r>
              <w:t>第8类腐蚀性物质</w:t>
            </w:r>
          </w:p>
        </w:tc>
      </w:tr>
      <w:tr w14:paraId="5EAC3D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B163737">
            <w:pPr>
              <w:pStyle w:val="34"/>
              <w:numPr>
                <w:ilvl w:val="0"/>
                <w:numId w:val="54"/>
              </w:numPr>
              <w:rPr>
                <w:lang w:eastAsia="en-US"/>
              </w:rPr>
            </w:pPr>
          </w:p>
        </w:tc>
        <w:tc>
          <w:tcPr>
            <w:tcW w:w="1868" w:type="dxa"/>
            <w:vAlign w:val="center"/>
          </w:tcPr>
          <w:p w14:paraId="4E51184A">
            <w:pPr>
              <w:pStyle w:val="34"/>
              <w:rPr>
                <w:lang w:eastAsia="en-US"/>
              </w:rPr>
            </w:pPr>
            <w:r>
              <w:rPr>
                <w:lang w:eastAsia="en-US"/>
              </w:rPr>
              <w:t>五氧化二磷</w:t>
            </w:r>
          </w:p>
        </w:tc>
        <w:tc>
          <w:tcPr>
            <w:tcW w:w="1684" w:type="dxa"/>
            <w:vAlign w:val="center"/>
          </w:tcPr>
          <w:p w14:paraId="181DAA86">
            <w:pPr>
              <w:pStyle w:val="34"/>
            </w:pPr>
            <w:r>
              <w:rPr>
                <w:rFonts w:hint="eastAsia"/>
              </w:rPr>
              <w:t>白色粉末</w:t>
            </w:r>
          </w:p>
        </w:tc>
        <w:tc>
          <w:tcPr>
            <w:tcW w:w="1318" w:type="dxa"/>
            <w:vAlign w:val="center"/>
          </w:tcPr>
          <w:p w14:paraId="45238FC6">
            <w:pPr>
              <w:pStyle w:val="34"/>
              <w:rPr>
                <w:lang w:eastAsia="en-US"/>
              </w:rPr>
            </w:pPr>
            <w:r>
              <w:rPr>
                <w:lang w:eastAsia="en-US"/>
              </w:rPr>
              <w:t>易溶于水</w:t>
            </w:r>
          </w:p>
        </w:tc>
        <w:tc>
          <w:tcPr>
            <w:tcW w:w="607" w:type="dxa"/>
            <w:vAlign w:val="center"/>
          </w:tcPr>
          <w:p w14:paraId="004F8882">
            <w:pPr>
              <w:pStyle w:val="34"/>
              <w:rPr>
                <w:lang w:eastAsia="en-US"/>
              </w:rPr>
            </w:pPr>
            <w:r>
              <w:rPr>
                <w:lang w:eastAsia="en-US"/>
              </w:rPr>
              <w:t>易挥发</w:t>
            </w:r>
          </w:p>
        </w:tc>
        <w:tc>
          <w:tcPr>
            <w:tcW w:w="859" w:type="dxa"/>
            <w:vAlign w:val="center"/>
          </w:tcPr>
          <w:p w14:paraId="06349415">
            <w:pPr>
              <w:pStyle w:val="34"/>
            </w:pPr>
            <w:r>
              <w:rPr>
                <w:rFonts w:hint="eastAsia"/>
              </w:rPr>
              <w:t>/</w:t>
            </w:r>
          </w:p>
        </w:tc>
        <w:tc>
          <w:tcPr>
            <w:tcW w:w="1562" w:type="dxa"/>
            <w:vAlign w:val="center"/>
          </w:tcPr>
          <w:p w14:paraId="2A21AD98">
            <w:pPr>
              <w:pStyle w:val="34"/>
            </w:pPr>
            <w:r>
              <w:rPr>
                <w:rFonts w:hint="eastAsia"/>
              </w:rPr>
              <w:t>/</w:t>
            </w:r>
          </w:p>
        </w:tc>
        <w:tc>
          <w:tcPr>
            <w:tcW w:w="1060" w:type="dxa"/>
            <w:vAlign w:val="center"/>
          </w:tcPr>
          <w:p w14:paraId="690D5866">
            <w:pPr>
              <w:pStyle w:val="34"/>
            </w:pPr>
            <w:r>
              <w:rPr>
                <w:rFonts w:hint="eastAsia"/>
              </w:rPr>
              <w:t>340</w:t>
            </w:r>
          </w:p>
        </w:tc>
        <w:tc>
          <w:tcPr>
            <w:tcW w:w="998" w:type="dxa"/>
            <w:vAlign w:val="center"/>
          </w:tcPr>
          <w:p w14:paraId="40053335">
            <w:pPr>
              <w:pStyle w:val="34"/>
            </w:pPr>
            <w:r>
              <w:rPr>
                <w:rFonts w:hint="eastAsia"/>
              </w:rPr>
              <w:t>360</w:t>
            </w:r>
          </w:p>
        </w:tc>
        <w:tc>
          <w:tcPr>
            <w:tcW w:w="958" w:type="dxa"/>
            <w:vAlign w:val="center"/>
          </w:tcPr>
          <w:p w14:paraId="228A5ADD">
            <w:pPr>
              <w:pStyle w:val="34"/>
            </w:pPr>
            <w:r>
              <w:rPr>
                <w:rFonts w:hint="eastAsia"/>
              </w:rPr>
              <w:t>340~360</w:t>
            </w:r>
          </w:p>
        </w:tc>
        <w:tc>
          <w:tcPr>
            <w:tcW w:w="1006" w:type="dxa"/>
            <w:vAlign w:val="center"/>
          </w:tcPr>
          <w:p w14:paraId="30CC8543">
            <w:pPr>
              <w:pStyle w:val="34"/>
            </w:pPr>
            <w:r>
              <w:rPr>
                <w:rFonts w:hint="eastAsia"/>
              </w:rPr>
              <w:t>360</w:t>
            </w:r>
          </w:p>
        </w:tc>
        <w:tc>
          <w:tcPr>
            <w:tcW w:w="1721" w:type="dxa"/>
            <w:vAlign w:val="center"/>
          </w:tcPr>
          <w:p w14:paraId="31211EED">
            <w:pPr>
              <w:pStyle w:val="34"/>
            </w:pPr>
            <w:r>
              <w:rPr>
                <w:rFonts w:hint="eastAsia"/>
              </w:rPr>
              <w:t>2.4</w:t>
            </w:r>
          </w:p>
        </w:tc>
      </w:tr>
      <w:tr w14:paraId="7DCA49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0CB6A78">
            <w:pPr>
              <w:pStyle w:val="34"/>
              <w:numPr>
                <w:ilvl w:val="0"/>
                <w:numId w:val="54"/>
              </w:numPr>
              <w:rPr>
                <w:lang w:eastAsia="en-US"/>
              </w:rPr>
            </w:pPr>
          </w:p>
        </w:tc>
        <w:tc>
          <w:tcPr>
            <w:tcW w:w="1868" w:type="dxa"/>
            <w:vAlign w:val="center"/>
          </w:tcPr>
          <w:p w14:paraId="66C02946">
            <w:pPr>
              <w:pStyle w:val="34"/>
            </w:pPr>
            <w:r>
              <w:t>氢氧化钠（固体）</w:t>
            </w:r>
          </w:p>
        </w:tc>
        <w:tc>
          <w:tcPr>
            <w:tcW w:w="1684" w:type="dxa"/>
            <w:vAlign w:val="center"/>
          </w:tcPr>
          <w:p w14:paraId="74FC5EA8">
            <w:pPr>
              <w:pStyle w:val="34"/>
            </w:pPr>
            <w:r>
              <w:t>白</w:t>
            </w:r>
            <w:r>
              <w:rPr>
                <w:lang w:eastAsia="en-US"/>
              </w:rPr>
              <w:t>色</w:t>
            </w:r>
            <w:r>
              <w:t>不</w:t>
            </w:r>
            <w:r>
              <w:rPr>
                <w:lang w:eastAsia="en-US"/>
              </w:rPr>
              <w:t>透明</w:t>
            </w:r>
            <w:r>
              <w:t>固体</w:t>
            </w:r>
          </w:p>
        </w:tc>
        <w:tc>
          <w:tcPr>
            <w:tcW w:w="1318" w:type="dxa"/>
            <w:vAlign w:val="center"/>
          </w:tcPr>
          <w:p w14:paraId="10C85962">
            <w:pPr>
              <w:pStyle w:val="34"/>
              <w:rPr>
                <w:lang w:eastAsia="en-US"/>
              </w:rPr>
            </w:pPr>
            <w:r>
              <w:rPr>
                <w:lang w:eastAsia="en-US"/>
              </w:rPr>
              <w:t>易溶于水</w:t>
            </w:r>
          </w:p>
        </w:tc>
        <w:tc>
          <w:tcPr>
            <w:tcW w:w="607" w:type="dxa"/>
            <w:vAlign w:val="center"/>
          </w:tcPr>
          <w:p w14:paraId="7119ABF0">
            <w:pPr>
              <w:pStyle w:val="34"/>
              <w:rPr>
                <w:lang w:eastAsia="en-US"/>
              </w:rPr>
            </w:pPr>
            <w:r>
              <w:rPr>
                <w:lang w:eastAsia="en-US"/>
              </w:rPr>
              <w:t>不挥发</w:t>
            </w:r>
          </w:p>
        </w:tc>
        <w:tc>
          <w:tcPr>
            <w:tcW w:w="859" w:type="dxa"/>
            <w:vAlign w:val="center"/>
          </w:tcPr>
          <w:p w14:paraId="00E5FDE4">
            <w:pPr>
              <w:pStyle w:val="34"/>
              <w:rPr>
                <w:lang w:eastAsia="en-US"/>
              </w:rPr>
            </w:pPr>
            <w:r>
              <w:rPr>
                <w:lang w:eastAsia="en-US"/>
              </w:rPr>
              <w:t>不燃</w:t>
            </w:r>
          </w:p>
        </w:tc>
        <w:tc>
          <w:tcPr>
            <w:tcW w:w="1562" w:type="dxa"/>
            <w:vAlign w:val="center"/>
          </w:tcPr>
          <w:p w14:paraId="1249D64B">
            <w:pPr>
              <w:pStyle w:val="34"/>
            </w:pPr>
            <w:r>
              <w:t>/</w:t>
            </w:r>
          </w:p>
        </w:tc>
        <w:tc>
          <w:tcPr>
            <w:tcW w:w="1060" w:type="dxa"/>
            <w:vAlign w:val="center"/>
          </w:tcPr>
          <w:p w14:paraId="35AEB325">
            <w:pPr>
              <w:pStyle w:val="34"/>
              <w:rPr>
                <w:lang w:eastAsia="en-US"/>
              </w:rPr>
            </w:pPr>
            <w:r>
              <w:rPr>
                <w:lang w:eastAsia="en-US"/>
              </w:rPr>
              <w:t>318.4</w:t>
            </w:r>
          </w:p>
        </w:tc>
        <w:tc>
          <w:tcPr>
            <w:tcW w:w="998" w:type="dxa"/>
            <w:vAlign w:val="center"/>
          </w:tcPr>
          <w:p w14:paraId="0A1B64C1">
            <w:pPr>
              <w:pStyle w:val="34"/>
              <w:rPr>
                <w:lang w:eastAsia="en-US"/>
              </w:rPr>
            </w:pPr>
            <w:r>
              <w:rPr>
                <w:lang w:eastAsia="en-US"/>
              </w:rPr>
              <w:t>1390</w:t>
            </w:r>
          </w:p>
        </w:tc>
        <w:tc>
          <w:tcPr>
            <w:tcW w:w="958" w:type="dxa"/>
            <w:vAlign w:val="center"/>
          </w:tcPr>
          <w:p w14:paraId="57F4F4DD">
            <w:pPr>
              <w:pStyle w:val="34"/>
            </w:pPr>
            <w:r>
              <w:t>/</w:t>
            </w:r>
          </w:p>
        </w:tc>
        <w:tc>
          <w:tcPr>
            <w:tcW w:w="1006" w:type="dxa"/>
            <w:vAlign w:val="center"/>
          </w:tcPr>
          <w:p w14:paraId="6B629754">
            <w:pPr>
              <w:pStyle w:val="34"/>
            </w:pPr>
            <w:r>
              <w:t>/</w:t>
            </w:r>
          </w:p>
        </w:tc>
        <w:tc>
          <w:tcPr>
            <w:tcW w:w="1721" w:type="dxa"/>
            <w:vAlign w:val="center"/>
          </w:tcPr>
          <w:p w14:paraId="40545193">
            <w:pPr>
              <w:pStyle w:val="34"/>
            </w:pPr>
            <w:r>
              <w:t>2.12</w:t>
            </w:r>
          </w:p>
        </w:tc>
      </w:tr>
      <w:tr w14:paraId="1FF100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5464FAFD">
            <w:pPr>
              <w:pStyle w:val="34"/>
              <w:numPr>
                <w:ilvl w:val="0"/>
                <w:numId w:val="54"/>
              </w:numPr>
              <w:rPr>
                <w:lang w:eastAsia="en-US"/>
              </w:rPr>
            </w:pPr>
          </w:p>
        </w:tc>
        <w:tc>
          <w:tcPr>
            <w:tcW w:w="1868" w:type="dxa"/>
            <w:vAlign w:val="center"/>
          </w:tcPr>
          <w:p w14:paraId="40FDA123">
            <w:pPr>
              <w:pStyle w:val="34"/>
            </w:pPr>
            <w:r>
              <w:t>氟化氢</w:t>
            </w:r>
          </w:p>
        </w:tc>
        <w:tc>
          <w:tcPr>
            <w:tcW w:w="1684" w:type="dxa"/>
            <w:vAlign w:val="center"/>
          </w:tcPr>
          <w:p w14:paraId="5D1BA4C3">
            <w:pPr>
              <w:pStyle w:val="34"/>
            </w:pPr>
            <w:r>
              <w:rPr>
                <w:rFonts w:hint="eastAsia"/>
              </w:rPr>
              <w:t>无色，有刺激性气味的液体</w:t>
            </w:r>
          </w:p>
        </w:tc>
        <w:tc>
          <w:tcPr>
            <w:tcW w:w="1318" w:type="dxa"/>
            <w:vAlign w:val="center"/>
          </w:tcPr>
          <w:p w14:paraId="088CC002">
            <w:pPr>
              <w:pStyle w:val="34"/>
            </w:pPr>
            <w:r>
              <w:rPr>
                <w:rFonts w:hint="eastAsia"/>
              </w:rPr>
              <w:t>易溶于水</w:t>
            </w:r>
          </w:p>
        </w:tc>
        <w:tc>
          <w:tcPr>
            <w:tcW w:w="607" w:type="dxa"/>
            <w:vAlign w:val="center"/>
          </w:tcPr>
          <w:p w14:paraId="1AAEC72C">
            <w:pPr>
              <w:pStyle w:val="34"/>
            </w:pPr>
            <w:r>
              <w:rPr>
                <w:rFonts w:hint="eastAsia"/>
              </w:rPr>
              <w:t>易挥发</w:t>
            </w:r>
          </w:p>
        </w:tc>
        <w:tc>
          <w:tcPr>
            <w:tcW w:w="859" w:type="dxa"/>
            <w:vAlign w:val="center"/>
          </w:tcPr>
          <w:p w14:paraId="3E1BB089">
            <w:pPr>
              <w:pStyle w:val="34"/>
            </w:pPr>
            <w:r>
              <w:t>不燃</w:t>
            </w:r>
          </w:p>
        </w:tc>
        <w:tc>
          <w:tcPr>
            <w:tcW w:w="1562" w:type="dxa"/>
            <w:vAlign w:val="center"/>
          </w:tcPr>
          <w:p w14:paraId="47505189">
            <w:pPr>
              <w:pStyle w:val="34"/>
            </w:pPr>
            <w:r>
              <w:rPr>
                <w:rFonts w:hint="eastAsia"/>
              </w:rPr>
              <w:t>/</w:t>
            </w:r>
          </w:p>
        </w:tc>
        <w:tc>
          <w:tcPr>
            <w:tcW w:w="1060" w:type="dxa"/>
            <w:vAlign w:val="center"/>
          </w:tcPr>
          <w:p w14:paraId="6F54BF78">
            <w:pPr>
              <w:pStyle w:val="34"/>
            </w:pPr>
            <w:r>
              <w:rPr>
                <w:rFonts w:hint="eastAsia"/>
              </w:rPr>
              <w:t>-83.37</w:t>
            </w:r>
          </w:p>
        </w:tc>
        <w:tc>
          <w:tcPr>
            <w:tcW w:w="998" w:type="dxa"/>
            <w:vAlign w:val="center"/>
          </w:tcPr>
          <w:p w14:paraId="21426278">
            <w:pPr>
              <w:pStyle w:val="34"/>
            </w:pPr>
            <w:r>
              <w:rPr>
                <w:rFonts w:hint="eastAsia"/>
              </w:rPr>
              <w:t>19.51</w:t>
            </w:r>
          </w:p>
        </w:tc>
        <w:tc>
          <w:tcPr>
            <w:tcW w:w="958" w:type="dxa"/>
            <w:vAlign w:val="center"/>
          </w:tcPr>
          <w:p w14:paraId="0AC86373">
            <w:pPr>
              <w:pStyle w:val="34"/>
            </w:pPr>
            <w:r>
              <w:rPr>
                <w:rFonts w:hint="eastAsia"/>
              </w:rPr>
              <w:t>112.2</w:t>
            </w:r>
          </w:p>
        </w:tc>
        <w:tc>
          <w:tcPr>
            <w:tcW w:w="1006" w:type="dxa"/>
            <w:vAlign w:val="center"/>
          </w:tcPr>
          <w:p w14:paraId="449BDBB0">
            <w:pPr>
              <w:pStyle w:val="34"/>
            </w:pPr>
            <w:r>
              <w:rPr>
                <w:rFonts w:hint="eastAsia"/>
              </w:rPr>
              <w:t>188</w:t>
            </w:r>
          </w:p>
        </w:tc>
        <w:tc>
          <w:tcPr>
            <w:tcW w:w="1721" w:type="dxa"/>
            <w:vAlign w:val="center"/>
          </w:tcPr>
          <w:p w14:paraId="2A47CF86">
            <w:pPr>
              <w:pStyle w:val="34"/>
            </w:pPr>
            <w:r>
              <w:rPr>
                <w:rFonts w:hint="eastAsia"/>
              </w:rPr>
              <w:t>0.987</w:t>
            </w:r>
          </w:p>
        </w:tc>
      </w:tr>
      <w:tr w14:paraId="5C47C9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7BA65647">
            <w:pPr>
              <w:pStyle w:val="34"/>
              <w:numPr>
                <w:ilvl w:val="0"/>
                <w:numId w:val="54"/>
              </w:numPr>
              <w:rPr>
                <w:lang w:eastAsia="en-US"/>
              </w:rPr>
            </w:pPr>
          </w:p>
        </w:tc>
        <w:tc>
          <w:tcPr>
            <w:tcW w:w="1868" w:type="dxa"/>
            <w:vAlign w:val="center"/>
          </w:tcPr>
          <w:p w14:paraId="3748D1BD">
            <w:pPr>
              <w:pStyle w:val="34"/>
            </w:pPr>
            <w:r>
              <w:rPr>
                <w:lang w:eastAsia="en-US"/>
              </w:rPr>
              <w:t>磷酸</w:t>
            </w:r>
          </w:p>
        </w:tc>
        <w:tc>
          <w:tcPr>
            <w:tcW w:w="1684" w:type="dxa"/>
            <w:vAlign w:val="center"/>
          </w:tcPr>
          <w:p w14:paraId="7FA30185">
            <w:pPr>
              <w:pStyle w:val="34"/>
            </w:pPr>
            <w:r>
              <w:t>无色无臭透明粘稠液体或</w:t>
            </w:r>
            <w:r>
              <w:rPr>
                <w:shd w:val="clear" w:color="auto" w:fill="FAFAFA"/>
              </w:rPr>
              <w:t>斜方晶体</w:t>
            </w:r>
          </w:p>
        </w:tc>
        <w:tc>
          <w:tcPr>
            <w:tcW w:w="1318" w:type="dxa"/>
            <w:vAlign w:val="center"/>
          </w:tcPr>
          <w:p w14:paraId="2B7E3E8F">
            <w:pPr>
              <w:pStyle w:val="34"/>
            </w:pPr>
            <w:r>
              <w:rPr>
                <w:lang w:eastAsia="en-US"/>
              </w:rPr>
              <w:t>易溶于水</w:t>
            </w:r>
          </w:p>
        </w:tc>
        <w:tc>
          <w:tcPr>
            <w:tcW w:w="607" w:type="dxa"/>
            <w:vAlign w:val="center"/>
          </w:tcPr>
          <w:p w14:paraId="2532B583">
            <w:pPr>
              <w:pStyle w:val="34"/>
              <w:rPr>
                <w:lang w:eastAsia="en-US"/>
              </w:rPr>
            </w:pPr>
            <w:r>
              <w:rPr>
                <w:lang w:eastAsia="en-US"/>
              </w:rPr>
              <w:t>难挥发</w:t>
            </w:r>
          </w:p>
        </w:tc>
        <w:tc>
          <w:tcPr>
            <w:tcW w:w="859" w:type="dxa"/>
            <w:vAlign w:val="center"/>
          </w:tcPr>
          <w:p w14:paraId="256A39F5">
            <w:pPr>
              <w:pStyle w:val="34"/>
              <w:rPr>
                <w:lang w:eastAsia="en-US"/>
              </w:rPr>
            </w:pPr>
            <w:r>
              <w:rPr>
                <w:lang w:eastAsia="en-US"/>
              </w:rPr>
              <w:t>不燃</w:t>
            </w:r>
          </w:p>
        </w:tc>
        <w:tc>
          <w:tcPr>
            <w:tcW w:w="1562" w:type="dxa"/>
            <w:vAlign w:val="center"/>
          </w:tcPr>
          <w:p w14:paraId="773E3DE6">
            <w:pPr>
              <w:pStyle w:val="34"/>
            </w:pPr>
            <w:r>
              <w:rPr>
                <w:lang w:eastAsia="en-US"/>
              </w:rPr>
              <w:t>/</w:t>
            </w:r>
          </w:p>
        </w:tc>
        <w:tc>
          <w:tcPr>
            <w:tcW w:w="1060" w:type="dxa"/>
            <w:vAlign w:val="center"/>
          </w:tcPr>
          <w:p w14:paraId="29D98EDA">
            <w:pPr>
              <w:pStyle w:val="34"/>
              <w:rPr>
                <w:lang w:eastAsia="en-US"/>
              </w:rPr>
            </w:pPr>
            <w:r>
              <w:rPr>
                <w:lang w:eastAsia="en-US"/>
              </w:rPr>
              <w:t>40</w:t>
            </w:r>
          </w:p>
        </w:tc>
        <w:tc>
          <w:tcPr>
            <w:tcW w:w="998" w:type="dxa"/>
            <w:vAlign w:val="center"/>
          </w:tcPr>
          <w:p w14:paraId="1A4A030F">
            <w:pPr>
              <w:pStyle w:val="34"/>
              <w:rPr>
                <w:lang w:eastAsia="en-US"/>
              </w:rPr>
            </w:pPr>
            <w:r>
              <w:rPr>
                <w:lang w:eastAsia="en-US"/>
              </w:rPr>
              <w:t>158</w:t>
            </w:r>
          </w:p>
        </w:tc>
        <w:tc>
          <w:tcPr>
            <w:tcW w:w="958" w:type="dxa"/>
            <w:vAlign w:val="center"/>
          </w:tcPr>
          <w:p w14:paraId="24642354">
            <w:pPr>
              <w:pStyle w:val="34"/>
            </w:pPr>
            <w:r>
              <w:t>/</w:t>
            </w:r>
          </w:p>
        </w:tc>
        <w:tc>
          <w:tcPr>
            <w:tcW w:w="1006" w:type="dxa"/>
            <w:vAlign w:val="center"/>
          </w:tcPr>
          <w:p w14:paraId="30AC0EEE">
            <w:pPr>
              <w:pStyle w:val="34"/>
            </w:pPr>
            <w:r>
              <w:rPr>
                <w:lang w:eastAsia="en-US"/>
              </w:rPr>
              <w:t>/</w:t>
            </w:r>
          </w:p>
        </w:tc>
        <w:tc>
          <w:tcPr>
            <w:tcW w:w="1721" w:type="dxa"/>
            <w:vAlign w:val="center"/>
          </w:tcPr>
          <w:p w14:paraId="53C589E4">
            <w:pPr>
              <w:pStyle w:val="34"/>
            </w:pPr>
            <w:r>
              <w:rPr>
                <w:lang w:eastAsia="en-US"/>
              </w:rPr>
              <w:t>1.685</w:t>
            </w:r>
          </w:p>
        </w:tc>
      </w:tr>
      <w:tr w14:paraId="465378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91BF647">
            <w:pPr>
              <w:pStyle w:val="34"/>
              <w:numPr>
                <w:ilvl w:val="0"/>
                <w:numId w:val="54"/>
              </w:numPr>
              <w:rPr>
                <w:lang w:eastAsia="en-US"/>
              </w:rPr>
            </w:pPr>
          </w:p>
        </w:tc>
        <w:tc>
          <w:tcPr>
            <w:tcW w:w="1868" w:type="dxa"/>
            <w:vAlign w:val="center"/>
          </w:tcPr>
          <w:p w14:paraId="50C3CAB3">
            <w:pPr>
              <w:pStyle w:val="34"/>
              <w:rPr>
                <w:w w:val="105"/>
              </w:rPr>
            </w:pPr>
            <w:r>
              <w:rPr>
                <w:w w:val="105"/>
              </w:rPr>
              <w:t>哌啶</w:t>
            </w:r>
          </w:p>
        </w:tc>
        <w:tc>
          <w:tcPr>
            <w:tcW w:w="1684" w:type="dxa"/>
            <w:vAlign w:val="center"/>
          </w:tcPr>
          <w:p w14:paraId="024404C1">
            <w:pPr>
              <w:pStyle w:val="34"/>
            </w:pPr>
            <w:r>
              <w:t>无色澄清液体</w:t>
            </w:r>
          </w:p>
        </w:tc>
        <w:tc>
          <w:tcPr>
            <w:tcW w:w="1318" w:type="dxa"/>
            <w:vAlign w:val="center"/>
          </w:tcPr>
          <w:p w14:paraId="06771DC8">
            <w:pPr>
              <w:pStyle w:val="34"/>
              <w:rPr>
                <w:lang w:eastAsia="en-US"/>
              </w:rPr>
            </w:pPr>
            <w:r>
              <w:t>溶于水</w:t>
            </w:r>
          </w:p>
        </w:tc>
        <w:tc>
          <w:tcPr>
            <w:tcW w:w="607" w:type="dxa"/>
            <w:vAlign w:val="center"/>
          </w:tcPr>
          <w:p w14:paraId="22BE47F2">
            <w:pPr>
              <w:pStyle w:val="34"/>
            </w:pPr>
            <w:r>
              <w:t>易挥发</w:t>
            </w:r>
          </w:p>
        </w:tc>
        <w:tc>
          <w:tcPr>
            <w:tcW w:w="859" w:type="dxa"/>
            <w:vAlign w:val="center"/>
          </w:tcPr>
          <w:p w14:paraId="78DAC18E">
            <w:pPr>
              <w:pStyle w:val="34"/>
            </w:pPr>
            <w:r>
              <w:t>易燃</w:t>
            </w:r>
          </w:p>
        </w:tc>
        <w:tc>
          <w:tcPr>
            <w:tcW w:w="1562" w:type="dxa"/>
            <w:vAlign w:val="center"/>
          </w:tcPr>
          <w:p w14:paraId="7B404D72">
            <w:pPr>
              <w:pStyle w:val="34"/>
            </w:pPr>
            <w:r>
              <w:t>/</w:t>
            </w:r>
          </w:p>
        </w:tc>
        <w:tc>
          <w:tcPr>
            <w:tcW w:w="1060" w:type="dxa"/>
            <w:vAlign w:val="center"/>
          </w:tcPr>
          <w:p w14:paraId="6CE80360">
            <w:pPr>
              <w:pStyle w:val="34"/>
            </w:pPr>
            <w:r>
              <w:t>-7</w:t>
            </w:r>
          </w:p>
        </w:tc>
        <w:tc>
          <w:tcPr>
            <w:tcW w:w="998" w:type="dxa"/>
            <w:vAlign w:val="center"/>
          </w:tcPr>
          <w:p w14:paraId="1BD6688C">
            <w:pPr>
              <w:pStyle w:val="34"/>
            </w:pPr>
            <w:r>
              <w:t>106</w:t>
            </w:r>
          </w:p>
        </w:tc>
        <w:tc>
          <w:tcPr>
            <w:tcW w:w="958" w:type="dxa"/>
            <w:vAlign w:val="center"/>
          </w:tcPr>
          <w:p w14:paraId="0B758147">
            <w:pPr>
              <w:pStyle w:val="34"/>
            </w:pPr>
            <w:r>
              <w:t>16</w:t>
            </w:r>
          </w:p>
        </w:tc>
        <w:tc>
          <w:tcPr>
            <w:tcW w:w="1006" w:type="dxa"/>
            <w:vAlign w:val="center"/>
          </w:tcPr>
          <w:p w14:paraId="35ED4009">
            <w:pPr>
              <w:pStyle w:val="34"/>
            </w:pPr>
            <w:r>
              <w:t>/</w:t>
            </w:r>
          </w:p>
        </w:tc>
        <w:tc>
          <w:tcPr>
            <w:tcW w:w="1721" w:type="dxa"/>
            <w:vAlign w:val="center"/>
          </w:tcPr>
          <w:p w14:paraId="69BE586F">
            <w:pPr>
              <w:pStyle w:val="34"/>
            </w:pPr>
            <w:r>
              <w:t>0.86</w:t>
            </w:r>
          </w:p>
        </w:tc>
      </w:tr>
      <w:tr w14:paraId="02F5C8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B5158C9">
            <w:pPr>
              <w:pStyle w:val="34"/>
              <w:numPr>
                <w:ilvl w:val="0"/>
                <w:numId w:val="54"/>
              </w:numPr>
              <w:rPr>
                <w:lang w:eastAsia="en-US"/>
              </w:rPr>
            </w:pPr>
          </w:p>
        </w:tc>
        <w:tc>
          <w:tcPr>
            <w:tcW w:w="1868" w:type="dxa"/>
            <w:vAlign w:val="center"/>
          </w:tcPr>
          <w:p w14:paraId="4AC7D2F6">
            <w:pPr>
              <w:pStyle w:val="34"/>
            </w:pPr>
            <w:r>
              <w:t>硫酸</w:t>
            </w:r>
          </w:p>
        </w:tc>
        <w:tc>
          <w:tcPr>
            <w:tcW w:w="1684" w:type="dxa"/>
            <w:vAlign w:val="center"/>
          </w:tcPr>
          <w:p w14:paraId="6EF50D31">
            <w:pPr>
              <w:pStyle w:val="34"/>
            </w:pPr>
            <w:r>
              <w:rPr>
                <w:rFonts w:hint="eastAsia"/>
              </w:rPr>
              <w:t>透明无色无臭液体</w:t>
            </w:r>
          </w:p>
        </w:tc>
        <w:tc>
          <w:tcPr>
            <w:tcW w:w="1318" w:type="dxa"/>
            <w:vAlign w:val="center"/>
          </w:tcPr>
          <w:p w14:paraId="4A080B3C">
            <w:pPr>
              <w:pStyle w:val="34"/>
            </w:pPr>
            <w:r>
              <w:t>与水混溶</w:t>
            </w:r>
          </w:p>
        </w:tc>
        <w:tc>
          <w:tcPr>
            <w:tcW w:w="607" w:type="dxa"/>
            <w:vAlign w:val="center"/>
          </w:tcPr>
          <w:p w14:paraId="31A3CF25">
            <w:pPr>
              <w:pStyle w:val="34"/>
            </w:pPr>
            <w:r>
              <w:rPr>
                <w:rFonts w:hint="eastAsia"/>
              </w:rPr>
              <w:t>易挥发</w:t>
            </w:r>
          </w:p>
        </w:tc>
        <w:tc>
          <w:tcPr>
            <w:tcW w:w="859" w:type="dxa"/>
            <w:vAlign w:val="center"/>
          </w:tcPr>
          <w:p w14:paraId="744E89D1">
            <w:pPr>
              <w:pStyle w:val="34"/>
            </w:pPr>
            <w:r>
              <w:t>助燃</w:t>
            </w:r>
          </w:p>
        </w:tc>
        <w:tc>
          <w:tcPr>
            <w:tcW w:w="1562" w:type="dxa"/>
            <w:vAlign w:val="center"/>
          </w:tcPr>
          <w:p w14:paraId="040A0CCB">
            <w:pPr>
              <w:pStyle w:val="34"/>
            </w:pPr>
            <w:r>
              <w:rPr>
                <w:rFonts w:hint="eastAsia"/>
              </w:rPr>
              <w:t>4.4~74.1</w:t>
            </w:r>
          </w:p>
        </w:tc>
        <w:tc>
          <w:tcPr>
            <w:tcW w:w="1060" w:type="dxa"/>
            <w:vAlign w:val="center"/>
          </w:tcPr>
          <w:p w14:paraId="10997096">
            <w:pPr>
              <w:pStyle w:val="34"/>
            </w:pPr>
            <w:r>
              <w:rPr>
                <w:rFonts w:hint="eastAsia"/>
              </w:rPr>
              <w:t>10.4</w:t>
            </w:r>
          </w:p>
        </w:tc>
        <w:tc>
          <w:tcPr>
            <w:tcW w:w="998" w:type="dxa"/>
            <w:vAlign w:val="center"/>
          </w:tcPr>
          <w:p w14:paraId="6980DDBE">
            <w:pPr>
              <w:pStyle w:val="34"/>
            </w:pPr>
            <w:r>
              <w:rPr>
                <w:rFonts w:hint="eastAsia"/>
              </w:rPr>
              <w:t>338</w:t>
            </w:r>
          </w:p>
        </w:tc>
        <w:tc>
          <w:tcPr>
            <w:tcW w:w="958" w:type="dxa"/>
            <w:vAlign w:val="center"/>
          </w:tcPr>
          <w:p w14:paraId="0FC7A528">
            <w:pPr>
              <w:pStyle w:val="34"/>
            </w:pPr>
            <w:r>
              <w:rPr>
                <w:rFonts w:hint="eastAsia"/>
              </w:rPr>
              <w:t>/</w:t>
            </w:r>
          </w:p>
        </w:tc>
        <w:tc>
          <w:tcPr>
            <w:tcW w:w="1006" w:type="dxa"/>
            <w:vAlign w:val="center"/>
          </w:tcPr>
          <w:p w14:paraId="7917AEEB">
            <w:pPr>
              <w:pStyle w:val="34"/>
            </w:pPr>
            <w:r>
              <w:rPr>
                <w:rFonts w:hint="eastAsia"/>
              </w:rPr>
              <w:t>/</w:t>
            </w:r>
          </w:p>
        </w:tc>
        <w:tc>
          <w:tcPr>
            <w:tcW w:w="1721" w:type="dxa"/>
            <w:vAlign w:val="center"/>
          </w:tcPr>
          <w:p w14:paraId="1C9E60D7">
            <w:pPr>
              <w:pStyle w:val="34"/>
            </w:pPr>
            <w:r>
              <w:rPr>
                <w:rFonts w:hint="eastAsia"/>
              </w:rPr>
              <w:t>1.8305</w:t>
            </w:r>
          </w:p>
        </w:tc>
      </w:tr>
      <w:tr w14:paraId="4072F3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8" w:hRule="atLeast"/>
          <w:jc w:val="center"/>
        </w:trPr>
        <w:tc>
          <w:tcPr>
            <w:tcW w:w="534" w:type="dxa"/>
            <w:vAlign w:val="center"/>
          </w:tcPr>
          <w:p w14:paraId="2A0BAAC0">
            <w:pPr>
              <w:pStyle w:val="34"/>
              <w:numPr>
                <w:ilvl w:val="0"/>
                <w:numId w:val="54"/>
              </w:numPr>
              <w:rPr>
                <w:lang w:eastAsia="en-US"/>
              </w:rPr>
            </w:pPr>
          </w:p>
        </w:tc>
        <w:tc>
          <w:tcPr>
            <w:tcW w:w="1868" w:type="dxa"/>
            <w:vAlign w:val="center"/>
          </w:tcPr>
          <w:p w14:paraId="1CA25EE5">
            <w:pPr>
              <w:pStyle w:val="34"/>
            </w:pPr>
            <w:r>
              <w:t>硫化钠</w:t>
            </w:r>
          </w:p>
        </w:tc>
        <w:tc>
          <w:tcPr>
            <w:tcW w:w="1684" w:type="dxa"/>
            <w:vAlign w:val="center"/>
          </w:tcPr>
          <w:p w14:paraId="1C1F4B30">
            <w:pPr>
              <w:pStyle w:val="34"/>
            </w:pPr>
            <w:r>
              <w:t>无色或米黄色颗粒结晶</w:t>
            </w:r>
          </w:p>
        </w:tc>
        <w:tc>
          <w:tcPr>
            <w:tcW w:w="1318" w:type="dxa"/>
            <w:vAlign w:val="center"/>
          </w:tcPr>
          <w:p w14:paraId="77943BAA">
            <w:pPr>
              <w:pStyle w:val="34"/>
            </w:pPr>
            <w:r>
              <w:t>易溶于水</w:t>
            </w:r>
          </w:p>
        </w:tc>
        <w:tc>
          <w:tcPr>
            <w:tcW w:w="607" w:type="dxa"/>
            <w:vAlign w:val="center"/>
          </w:tcPr>
          <w:p w14:paraId="0CC1D0B0">
            <w:pPr>
              <w:pStyle w:val="34"/>
            </w:pPr>
            <w:r>
              <w:t>/</w:t>
            </w:r>
          </w:p>
        </w:tc>
        <w:tc>
          <w:tcPr>
            <w:tcW w:w="859" w:type="dxa"/>
            <w:vAlign w:val="center"/>
          </w:tcPr>
          <w:p w14:paraId="026FA105">
            <w:pPr>
              <w:pStyle w:val="34"/>
              <w:rPr>
                <w:lang w:eastAsia="en-US"/>
              </w:rPr>
            </w:pPr>
            <w:r>
              <w:rPr>
                <w:lang w:eastAsia="en-US"/>
              </w:rPr>
              <w:t>可燃</w:t>
            </w:r>
          </w:p>
        </w:tc>
        <w:tc>
          <w:tcPr>
            <w:tcW w:w="1562" w:type="dxa"/>
            <w:vAlign w:val="center"/>
          </w:tcPr>
          <w:p w14:paraId="0F80EF52">
            <w:pPr>
              <w:pStyle w:val="34"/>
            </w:pPr>
            <w:r>
              <w:t>/</w:t>
            </w:r>
          </w:p>
        </w:tc>
        <w:tc>
          <w:tcPr>
            <w:tcW w:w="1060" w:type="dxa"/>
            <w:vAlign w:val="center"/>
          </w:tcPr>
          <w:p w14:paraId="6069E09A">
            <w:pPr>
              <w:pStyle w:val="34"/>
            </w:pPr>
            <w:r>
              <w:t>950</w:t>
            </w:r>
          </w:p>
        </w:tc>
        <w:tc>
          <w:tcPr>
            <w:tcW w:w="998" w:type="dxa"/>
            <w:vAlign w:val="center"/>
          </w:tcPr>
          <w:p w14:paraId="58DA4D2F">
            <w:pPr>
              <w:pStyle w:val="34"/>
            </w:pPr>
            <w:r>
              <w:t>/</w:t>
            </w:r>
          </w:p>
        </w:tc>
        <w:tc>
          <w:tcPr>
            <w:tcW w:w="958" w:type="dxa"/>
            <w:vAlign w:val="center"/>
          </w:tcPr>
          <w:p w14:paraId="49CFEABA">
            <w:pPr>
              <w:pStyle w:val="34"/>
            </w:pPr>
            <w:r>
              <w:t>/</w:t>
            </w:r>
          </w:p>
        </w:tc>
        <w:tc>
          <w:tcPr>
            <w:tcW w:w="1006" w:type="dxa"/>
            <w:vAlign w:val="center"/>
          </w:tcPr>
          <w:p w14:paraId="486CB591">
            <w:pPr>
              <w:pStyle w:val="34"/>
            </w:pPr>
            <w:r>
              <w:t>/</w:t>
            </w:r>
          </w:p>
        </w:tc>
        <w:tc>
          <w:tcPr>
            <w:tcW w:w="1721" w:type="dxa"/>
            <w:vAlign w:val="center"/>
          </w:tcPr>
          <w:p w14:paraId="0D7E46E8">
            <w:pPr>
              <w:pStyle w:val="34"/>
            </w:pPr>
            <w:r>
              <w:t>1.86</w:t>
            </w:r>
          </w:p>
        </w:tc>
      </w:tr>
      <w:tr w14:paraId="54CBEF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jc w:val="center"/>
        </w:trPr>
        <w:tc>
          <w:tcPr>
            <w:tcW w:w="534" w:type="dxa"/>
            <w:vAlign w:val="center"/>
          </w:tcPr>
          <w:p w14:paraId="15017CD7">
            <w:pPr>
              <w:pStyle w:val="34"/>
              <w:numPr>
                <w:ilvl w:val="0"/>
                <w:numId w:val="54"/>
              </w:numPr>
              <w:rPr>
                <w:lang w:eastAsia="en-US"/>
              </w:rPr>
            </w:pPr>
          </w:p>
        </w:tc>
        <w:tc>
          <w:tcPr>
            <w:tcW w:w="1868" w:type="dxa"/>
            <w:vAlign w:val="center"/>
          </w:tcPr>
          <w:p w14:paraId="751EEFA3">
            <w:pPr>
              <w:pStyle w:val="34"/>
            </w:pPr>
            <w:r>
              <w:rPr>
                <w:rFonts w:hint="eastAsia"/>
              </w:rPr>
              <w:t>1,2-乙二胺</w:t>
            </w:r>
          </w:p>
        </w:tc>
        <w:tc>
          <w:tcPr>
            <w:tcW w:w="1684" w:type="dxa"/>
            <w:vAlign w:val="center"/>
          </w:tcPr>
          <w:p w14:paraId="3EDC2E82">
            <w:pPr>
              <w:pStyle w:val="34"/>
            </w:pPr>
            <w:r>
              <w:rPr>
                <w:rFonts w:hint="eastAsia"/>
              </w:rPr>
              <w:t>无色至微黄色液体</w:t>
            </w:r>
          </w:p>
        </w:tc>
        <w:tc>
          <w:tcPr>
            <w:tcW w:w="1318" w:type="dxa"/>
            <w:vAlign w:val="center"/>
          </w:tcPr>
          <w:p w14:paraId="1FF11974">
            <w:pPr>
              <w:pStyle w:val="34"/>
            </w:pPr>
            <w:r>
              <w:t>可溶</w:t>
            </w:r>
          </w:p>
        </w:tc>
        <w:tc>
          <w:tcPr>
            <w:tcW w:w="607" w:type="dxa"/>
            <w:vAlign w:val="center"/>
          </w:tcPr>
          <w:p w14:paraId="7F6A4403">
            <w:pPr>
              <w:pStyle w:val="34"/>
            </w:pPr>
            <w:r>
              <w:rPr>
                <w:rFonts w:hint="eastAsia"/>
              </w:rPr>
              <w:t>/</w:t>
            </w:r>
          </w:p>
        </w:tc>
        <w:tc>
          <w:tcPr>
            <w:tcW w:w="859" w:type="dxa"/>
            <w:vAlign w:val="center"/>
          </w:tcPr>
          <w:p w14:paraId="2AC0353B">
            <w:pPr>
              <w:pStyle w:val="34"/>
              <w:rPr>
                <w:lang w:eastAsia="en-US"/>
              </w:rPr>
            </w:pPr>
            <w:r>
              <w:rPr>
                <w:lang w:eastAsia="en-US"/>
              </w:rPr>
              <w:t>易燃</w:t>
            </w:r>
          </w:p>
        </w:tc>
        <w:tc>
          <w:tcPr>
            <w:tcW w:w="1562" w:type="dxa"/>
            <w:vAlign w:val="center"/>
          </w:tcPr>
          <w:p w14:paraId="2AC6E1F1">
            <w:pPr>
              <w:pStyle w:val="34"/>
            </w:pPr>
            <w:r>
              <w:rPr>
                <w:rFonts w:hint="eastAsia"/>
              </w:rPr>
              <w:t>2.7~16.6</w:t>
            </w:r>
          </w:p>
        </w:tc>
        <w:tc>
          <w:tcPr>
            <w:tcW w:w="1060" w:type="dxa"/>
            <w:vAlign w:val="center"/>
          </w:tcPr>
          <w:p w14:paraId="2AD6954C">
            <w:pPr>
              <w:pStyle w:val="34"/>
            </w:pPr>
            <w:r>
              <w:rPr>
                <w:rFonts w:hint="eastAsia"/>
              </w:rPr>
              <w:t>8.5</w:t>
            </w:r>
          </w:p>
        </w:tc>
        <w:tc>
          <w:tcPr>
            <w:tcW w:w="998" w:type="dxa"/>
            <w:vAlign w:val="center"/>
          </w:tcPr>
          <w:p w14:paraId="052A47AD">
            <w:pPr>
              <w:pStyle w:val="34"/>
            </w:pPr>
            <w:r>
              <w:rPr>
                <w:rFonts w:hint="eastAsia"/>
              </w:rPr>
              <w:t>116</w:t>
            </w:r>
          </w:p>
        </w:tc>
        <w:tc>
          <w:tcPr>
            <w:tcW w:w="958" w:type="dxa"/>
            <w:vAlign w:val="center"/>
          </w:tcPr>
          <w:p w14:paraId="420C5AC4">
            <w:pPr>
              <w:pStyle w:val="34"/>
            </w:pPr>
            <w:r>
              <w:rPr>
                <w:rFonts w:hint="eastAsia"/>
              </w:rPr>
              <w:t>43</w:t>
            </w:r>
          </w:p>
        </w:tc>
        <w:tc>
          <w:tcPr>
            <w:tcW w:w="1006" w:type="dxa"/>
            <w:vAlign w:val="center"/>
          </w:tcPr>
          <w:p w14:paraId="6F02DD67">
            <w:pPr>
              <w:pStyle w:val="34"/>
            </w:pPr>
            <w:r>
              <w:rPr>
                <w:rFonts w:hint="eastAsia"/>
              </w:rPr>
              <w:t>/</w:t>
            </w:r>
          </w:p>
        </w:tc>
        <w:tc>
          <w:tcPr>
            <w:tcW w:w="1721" w:type="dxa"/>
            <w:vAlign w:val="center"/>
          </w:tcPr>
          <w:p w14:paraId="5BF4AE34">
            <w:pPr>
              <w:pStyle w:val="34"/>
            </w:pPr>
            <w:r>
              <w:rPr>
                <w:rFonts w:hint="eastAsia"/>
              </w:rPr>
              <w:t>0.899</w:t>
            </w:r>
          </w:p>
        </w:tc>
      </w:tr>
      <w:tr w14:paraId="4426BE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2EAC65EA">
            <w:pPr>
              <w:pStyle w:val="34"/>
              <w:numPr>
                <w:ilvl w:val="0"/>
                <w:numId w:val="54"/>
              </w:numPr>
              <w:rPr>
                <w:lang w:eastAsia="en-US"/>
              </w:rPr>
            </w:pPr>
          </w:p>
        </w:tc>
        <w:tc>
          <w:tcPr>
            <w:tcW w:w="1868" w:type="dxa"/>
            <w:vAlign w:val="center"/>
          </w:tcPr>
          <w:p w14:paraId="26CE8286">
            <w:pPr>
              <w:pStyle w:val="34"/>
            </w:pPr>
            <w:r>
              <w:rPr>
                <w:rFonts w:hint="eastAsia"/>
              </w:rPr>
              <w:t>汞</w:t>
            </w:r>
          </w:p>
        </w:tc>
        <w:tc>
          <w:tcPr>
            <w:tcW w:w="1684" w:type="dxa"/>
            <w:vAlign w:val="center"/>
          </w:tcPr>
          <w:p w14:paraId="5B721137">
            <w:pPr>
              <w:pStyle w:val="34"/>
            </w:pPr>
            <w:r>
              <w:rPr>
                <w:rFonts w:hint="eastAsia"/>
              </w:rPr>
              <w:t>银色有光泽的液态金属</w:t>
            </w:r>
          </w:p>
        </w:tc>
        <w:tc>
          <w:tcPr>
            <w:tcW w:w="1318" w:type="dxa"/>
            <w:vAlign w:val="center"/>
          </w:tcPr>
          <w:p w14:paraId="420B5035">
            <w:pPr>
              <w:pStyle w:val="34"/>
            </w:pPr>
            <w:r>
              <w:t>不溶</w:t>
            </w:r>
          </w:p>
        </w:tc>
        <w:tc>
          <w:tcPr>
            <w:tcW w:w="607" w:type="dxa"/>
            <w:vAlign w:val="center"/>
          </w:tcPr>
          <w:p w14:paraId="4710EA4E">
            <w:pPr>
              <w:pStyle w:val="34"/>
            </w:pPr>
            <w:r>
              <w:rPr>
                <w:rFonts w:hint="eastAsia"/>
              </w:rPr>
              <w:t>不易挥发</w:t>
            </w:r>
          </w:p>
        </w:tc>
        <w:tc>
          <w:tcPr>
            <w:tcW w:w="859" w:type="dxa"/>
            <w:vAlign w:val="center"/>
          </w:tcPr>
          <w:p w14:paraId="6EF97F23">
            <w:pPr>
              <w:pStyle w:val="34"/>
            </w:pPr>
            <w:r>
              <w:rPr>
                <w:lang w:eastAsia="en-US"/>
              </w:rPr>
              <w:t>不燃</w:t>
            </w:r>
          </w:p>
        </w:tc>
        <w:tc>
          <w:tcPr>
            <w:tcW w:w="1562" w:type="dxa"/>
            <w:vAlign w:val="center"/>
          </w:tcPr>
          <w:p w14:paraId="748F4285">
            <w:pPr>
              <w:pStyle w:val="34"/>
            </w:pPr>
            <w:r>
              <w:t>/</w:t>
            </w:r>
          </w:p>
        </w:tc>
        <w:tc>
          <w:tcPr>
            <w:tcW w:w="1060" w:type="dxa"/>
            <w:vAlign w:val="center"/>
          </w:tcPr>
          <w:p w14:paraId="36F7DC3B">
            <w:pPr>
              <w:pStyle w:val="34"/>
            </w:pPr>
            <w:r>
              <w:rPr>
                <w:rFonts w:hint="eastAsia"/>
              </w:rPr>
              <w:t>-38.9</w:t>
            </w:r>
          </w:p>
        </w:tc>
        <w:tc>
          <w:tcPr>
            <w:tcW w:w="998" w:type="dxa"/>
            <w:vAlign w:val="center"/>
          </w:tcPr>
          <w:p w14:paraId="5DC89D45">
            <w:pPr>
              <w:pStyle w:val="34"/>
            </w:pPr>
            <w:r>
              <w:rPr>
                <w:rFonts w:hint="eastAsia"/>
              </w:rPr>
              <w:t>356.6</w:t>
            </w:r>
          </w:p>
        </w:tc>
        <w:tc>
          <w:tcPr>
            <w:tcW w:w="958" w:type="dxa"/>
            <w:vAlign w:val="center"/>
          </w:tcPr>
          <w:p w14:paraId="74465819">
            <w:pPr>
              <w:pStyle w:val="34"/>
            </w:pPr>
            <w:r>
              <w:t>/</w:t>
            </w:r>
          </w:p>
        </w:tc>
        <w:tc>
          <w:tcPr>
            <w:tcW w:w="1006" w:type="dxa"/>
            <w:vAlign w:val="center"/>
          </w:tcPr>
          <w:p w14:paraId="49AEB6D6">
            <w:pPr>
              <w:pStyle w:val="34"/>
            </w:pPr>
            <w:r>
              <w:t>/</w:t>
            </w:r>
          </w:p>
        </w:tc>
        <w:tc>
          <w:tcPr>
            <w:tcW w:w="1721" w:type="dxa"/>
            <w:vAlign w:val="center"/>
          </w:tcPr>
          <w:p w14:paraId="4EA8FE0B">
            <w:pPr>
              <w:pStyle w:val="34"/>
            </w:pPr>
            <w:r>
              <w:rPr>
                <w:rFonts w:hint="eastAsia"/>
              </w:rPr>
              <w:t>13.54</w:t>
            </w:r>
          </w:p>
        </w:tc>
      </w:tr>
      <w:tr w14:paraId="749DFE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D6F60B4">
            <w:pPr>
              <w:pStyle w:val="34"/>
              <w:numPr>
                <w:ilvl w:val="0"/>
                <w:numId w:val="54"/>
              </w:numPr>
            </w:pPr>
          </w:p>
        </w:tc>
        <w:tc>
          <w:tcPr>
            <w:tcW w:w="1868" w:type="dxa"/>
            <w:vAlign w:val="center"/>
          </w:tcPr>
          <w:p w14:paraId="54DD9449">
            <w:pPr>
              <w:pStyle w:val="34"/>
            </w:pPr>
            <w:r>
              <w:rPr>
                <w:rFonts w:hint="eastAsia"/>
              </w:rPr>
              <w:t>氯磺酸</w:t>
            </w:r>
          </w:p>
        </w:tc>
        <w:tc>
          <w:tcPr>
            <w:tcW w:w="1684" w:type="dxa"/>
            <w:vAlign w:val="center"/>
          </w:tcPr>
          <w:p w14:paraId="538E8584">
            <w:pPr>
              <w:pStyle w:val="34"/>
            </w:pPr>
            <w:r>
              <w:rPr>
                <w:rFonts w:hint="eastAsia"/>
              </w:rPr>
              <w:t>无色液体，有刺激性臭味</w:t>
            </w:r>
          </w:p>
        </w:tc>
        <w:tc>
          <w:tcPr>
            <w:tcW w:w="1318" w:type="dxa"/>
            <w:vAlign w:val="center"/>
          </w:tcPr>
          <w:p w14:paraId="1DA5005B">
            <w:pPr>
              <w:pStyle w:val="34"/>
            </w:pPr>
            <w:r>
              <w:t>可溶</w:t>
            </w:r>
          </w:p>
        </w:tc>
        <w:tc>
          <w:tcPr>
            <w:tcW w:w="607" w:type="dxa"/>
            <w:vAlign w:val="center"/>
          </w:tcPr>
          <w:p w14:paraId="5E0B7002">
            <w:pPr>
              <w:pStyle w:val="34"/>
            </w:pPr>
            <w:r>
              <w:rPr>
                <w:rFonts w:hint="eastAsia"/>
              </w:rPr>
              <w:t>易挥发</w:t>
            </w:r>
          </w:p>
        </w:tc>
        <w:tc>
          <w:tcPr>
            <w:tcW w:w="859" w:type="dxa"/>
            <w:vAlign w:val="center"/>
          </w:tcPr>
          <w:p w14:paraId="77D4EB78">
            <w:pPr>
              <w:pStyle w:val="34"/>
              <w:rPr>
                <w:lang w:eastAsia="en-US"/>
              </w:rPr>
            </w:pPr>
            <w:r>
              <w:rPr>
                <w:lang w:eastAsia="en-US"/>
              </w:rPr>
              <w:t>可燃</w:t>
            </w:r>
          </w:p>
        </w:tc>
        <w:tc>
          <w:tcPr>
            <w:tcW w:w="1562" w:type="dxa"/>
            <w:vAlign w:val="center"/>
          </w:tcPr>
          <w:p w14:paraId="3E5A4644">
            <w:pPr>
              <w:pStyle w:val="34"/>
            </w:pPr>
            <w:r>
              <w:rPr>
                <w:rFonts w:hint="eastAsia"/>
              </w:rPr>
              <w:t>/</w:t>
            </w:r>
          </w:p>
        </w:tc>
        <w:tc>
          <w:tcPr>
            <w:tcW w:w="1060" w:type="dxa"/>
            <w:vAlign w:val="center"/>
          </w:tcPr>
          <w:p w14:paraId="2846794B">
            <w:pPr>
              <w:pStyle w:val="34"/>
            </w:pPr>
            <w:r>
              <w:rPr>
                <w:rFonts w:hint="eastAsia"/>
              </w:rPr>
              <w:t>-80</w:t>
            </w:r>
          </w:p>
        </w:tc>
        <w:tc>
          <w:tcPr>
            <w:tcW w:w="998" w:type="dxa"/>
            <w:vAlign w:val="center"/>
          </w:tcPr>
          <w:p w14:paraId="32A7FCE0">
            <w:pPr>
              <w:pStyle w:val="34"/>
            </w:pPr>
            <w:r>
              <w:rPr>
                <w:rFonts w:hint="eastAsia"/>
              </w:rPr>
              <w:t>151~158</w:t>
            </w:r>
          </w:p>
        </w:tc>
        <w:tc>
          <w:tcPr>
            <w:tcW w:w="958" w:type="dxa"/>
            <w:vAlign w:val="center"/>
          </w:tcPr>
          <w:p w14:paraId="719CF3EA">
            <w:pPr>
              <w:pStyle w:val="34"/>
            </w:pPr>
            <w:r>
              <w:rPr>
                <w:rFonts w:hint="eastAsia"/>
              </w:rPr>
              <w:t>/</w:t>
            </w:r>
          </w:p>
        </w:tc>
        <w:tc>
          <w:tcPr>
            <w:tcW w:w="1006" w:type="dxa"/>
            <w:vAlign w:val="center"/>
          </w:tcPr>
          <w:p w14:paraId="2D465058">
            <w:pPr>
              <w:pStyle w:val="34"/>
            </w:pPr>
            <w:r>
              <w:rPr>
                <w:rFonts w:hint="eastAsia"/>
              </w:rPr>
              <w:t>/</w:t>
            </w:r>
          </w:p>
        </w:tc>
        <w:tc>
          <w:tcPr>
            <w:tcW w:w="1721" w:type="dxa"/>
            <w:vAlign w:val="center"/>
          </w:tcPr>
          <w:p w14:paraId="7D850F04">
            <w:pPr>
              <w:pStyle w:val="34"/>
            </w:pPr>
            <w:r>
              <w:rPr>
                <w:rFonts w:hint="eastAsia"/>
              </w:rPr>
              <w:t>1.77</w:t>
            </w:r>
          </w:p>
        </w:tc>
      </w:tr>
      <w:tr w14:paraId="64A617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5" w:type="dxa"/>
            <w:gridSpan w:val="12"/>
            <w:vAlign w:val="center"/>
          </w:tcPr>
          <w:p w14:paraId="6C39134B">
            <w:pPr>
              <w:pStyle w:val="34"/>
            </w:pPr>
            <w:r>
              <w:t>第</w:t>
            </w:r>
            <w:r>
              <w:rPr>
                <w:rFonts w:hint="eastAsia"/>
              </w:rPr>
              <w:t>9</w:t>
            </w:r>
            <w:r>
              <w:t>类</w:t>
            </w:r>
            <w:r>
              <w:rPr>
                <w:rFonts w:hint="eastAsia"/>
              </w:rPr>
              <w:t>杂项</w:t>
            </w:r>
            <w:r>
              <w:t>危险物质和物品</w:t>
            </w:r>
          </w:p>
        </w:tc>
      </w:tr>
      <w:tr w14:paraId="41FFD5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52D73849">
            <w:pPr>
              <w:pStyle w:val="34"/>
              <w:numPr>
                <w:ilvl w:val="0"/>
                <w:numId w:val="54"/>
              </w:numPr>
            </w:pPr>
          </w:p>
        </w:tc>
        <w:tc>
          <w:tcPr>
            <w:tcW w:w="1868" w:type="dxa"/>
            <w:vAlign w:val="center"/>
          </w:tcPr>
          <w:p w14:paraId="25972548">
            <w:pPr>
              <w:pStyle w:val="34"/>
              <w:rPr>
                <w:lang w:eastAsia="en-US"/>
              </w:rPr>
            </w:pPr>
            <w:r>
              <w:rPr>
                <w:rFonts w:hint="eastAsia"/>
                <w:lang w:eastAsia="en-US"/>
              </w:rPr>
              <w:t>苯甲醛</w:t>
            </w:r>
          </w:p>
        </w:tc>
        <w:tc>
          <w:tcPr>
            <w:tcW w:w="1684" w:type="dxa"/>
            <w:vAlign w:val="center"/>
          </w:tcPr>
          <w:p w14:paraId="327E100D">
            <w:pPr>
              <w:pStyle w:val="34"/>
            </w:pPr>
            <w:r>
              <w:rPr>
                <w:rFonts w:hint="eastAsia"/>
              </w:rPr>
              <w:t>纯品为无色液体，工业品为无色至淡黄色液体，有苦杏仁气味。</w:t>
            </w:r>
          </w:p>
        </w:tc>
        <w:tc>
          <w:tcPr>
            <w:tcW w:w="1318" w:type="dxa"/>
            <w:vAlign w:val="center"/>
          </w:tcPr>
          <w:p w14:paraId="293A94D9">
            <w:pPr>
              <w:pStyle w:val="34"/>
              <w:rPr>
                <w:lang w:eastAsia="en-US"/>
              </w:rPr>
            </w:pPr>
            <w:r>
              <w:rPr>
                <w:rFonts w:hint="eastAsia"/>
                <w:lang w:eastAsia="en-US"/>
              </w:rPr>
              <w:t>微溶于水，可混溶于乙醇、乙醚、苯、氯仿。</w:t>
            </w:r>
          </w:p>
        </w:tc>
        <w:tc>
          <w:tcPr>
            <w:tcW w:w="607" w:type="dxa"/>
            <w:vAlign w:val="center"/>
          </w:tcPr>
          <w:p w14:paraId="476CFF4E">
            <w:pPr>
              <w:pStyle w:val="34"/>
              <w:rPr>
                <w:lang w:eastAsia="en-US"/>
              </w:rPr>
            </w:pPr>
            <w:r>
              <w:rPr>
                <w:rFonts w:hint="eastAsia"/>
                <w:lang w:eastAsia="en-US"/>
              </w:rPr>
              <w:t>/</w:t>
            </w:r>
          </w:p>
        </w:tc>
        <w:tc>
          <w:tcPr>
            <w:tcW w:w="859" w:type="dxa"/>
            <w:vAlign w:val="center"/>
          </w:tcPr>
          <w:p w14:paraId="3B8B2F33">
            <w:pPr>
              <w:pStyle w:val="34"/>
              <w:rPr>
                <w:lang w:eastAsia="en-US"/>
              </w:rPr>
            </w:pPr>
            <w:r>
              <w:rPr>
                <w:rFonts w:hint="eastAsia"/>
                <w:lang w:eastAsia="en-US"/>
              </w:rPr>
              <w:t>可燃</w:t>
            </w:r>
          </w:p>
        </w:tc>
        <w:tc>
          <w:tcPr>
            <w:tcW w:w="1562" w:type="dxa"/>
            <w:vAlign w:val="center"/>
          </w:tcPr>
          <w:p w14:paraId="659E8587">
            <w:pPr>
              <w:pStyle w:val="34"/>
              <w:rPr>
                <w:lang w:eastAsia="en-US"/>
              </w:rPr>
            </w:pPr>
            <w:r>
              <w:rPr>
                <w:rFonts w:hint="eastAsia"/>
                <w:lang w:eastAsia="en-US"/>
              </w:rPr>
              <w:t>/</w:t>
            </w:r>
          </w:p>
        </w:tc>
        <w:tc>
          <w:tcPr>
            <w:tcW w:w="1060" w:type="dxa"/>
            <w:vAlign w:val="center"/>
          </w:tcPr>
          <w:p w14:paraId="0D756942">
            <w:pPr>
              <w:pStyle w:val="34"/>
              <w:rPr>
                <w:lang w:eastAsia="en-US"/>
              </w:rPr>
            </w:pPr>
            <w:r>
              <w:rPr>
                <w:rFonts w:hint="eastAsia"/>
                <w:lang w:eastAsia="en-US"/>
              </w:rPr>
              <w:t>-26</w:t>
            </w:r>
          </w:p>
        </w:tc>
        <w:tc>
          <w:tcPr>
            <w:tcW w:w="998" w:type="dxa"/>
            <w:vAlign w:val="center"/>
          </w:tcPr>
          <w:p w14:paraId="6C53BAF4">
            <w:pPr>
              <w:pStyle w:val="34"/>
              <w:rPr>
                <w:lang w:eastAsia="en-US"/>
              </w:rPr>
            </w:pPr>
            <w:r>
              <w:rPr>
                <w:rFonts w:hint="eastAsia"/>
                <w:lang w:eastAsia="en-US"/>
              </w:rPr>
              <w:t>179</w:t>
            </w:r>
          </w:p>
        </w:tc>
        <w:tc>
          <w:tcPr>
            <w:tcW w:w="958" w:type="dxa"/>
            <w:vAlign w:val="center"/>
          </w:tcPr>
          <w:p w14:paraId="63380266">
            <w:pPr>
              <w:pStyle w:val="34"/>
              <w:rPr>
                <w:lang w:eastAsia="en-US"/>
              </w:rPr>
            </w:pPr>
            <w:r>
              <w:rPr>
                <w:rFonts w:hint="eastAsia"/>
                <w:lang w:eastAsia="en-US"/>
              </w:rPr>
              <w:t>64</w:t>
            </w:r>
          </w:p>
        </w:tc>
        <w:tc>
          <w:tcPr>
            <w:tcW w:w="1006" w:type="dxa"/>
            <w:vAlign w:val="center"/>
          </w:tcPr>
          <w:p w14:paraId="76C0E249">
            <w:pPr>
              <w:pStyle w:val="34"/>
              <w:rPr>
                <w:lang w:eastAsia="en-US"/>
              </w:rPr>
            </w:pPr>
            <w:r>
              <w:rPr>
                <w:rFonts w:hint="eastAsia"/>
                <w:lang w:eastAsia="en-US"/>
              </w:rPr>
              <w:t>192</w:t>
            </w:r>
          </w:p>
        </w:tc>
        <w:tc>
          <w:tcPr>
            <w:tcW w:w="1721" w:type="dxa"/>
            <w:vAlign w:val="center"/>
          </w:tcPr>
          <w:p w14:paraId="60B6058D">
            <w:pPr>
              <w:pStyle w:val="34"/>
              <w:rPr>
                <w:lang w:eastAsia="en-US"/>
              </w:rPr>
            </w:pPr>
            <w:r>
              <w:rPr>
                <w:rFonts w:hint="eastAsia"/>
                <w:lang w:eastAsia="en-US"/>
              </w:rPr>
              <w:t>1.04</w:t>
            </w:r>
          </w:p>
        </w:tc>
      </w:tr>
      <w:bookmarkEnd w:id="542"/>
    </w:tbl>
    <w:p w14:paraId="45474F7E">
      <w:pPr>
        <w:ind w:firstLine="437"/>
        <w:sectPr>
          <w:pgSz w:w="16840" w:h="11907" w:orient="landscape"/>
          <w:pgMar w:top="1797" w:right="1440" w:bottom="1514" w:left="1440" w:header="992" w:footer="851" w:gutter="284"/>
          <w:pgNumType w:fmt="numberInDash"/>
          <w:cols w:space="425" w:num="1"/>
          <w:docGrid w:type="linesAndChars" w:linePitch="465" w:charSpace="-4355"/>
        </w:sectPr>
      </w:pPr>
    </w:p>
    <w:p w14:paraId="6D922F00">
      <w:pPr>
        <w:pStyle w:val="7"/>
      </w:pPr>
      <w:r>
        <w:rPr>
          <w:rFonts w:hint="eastAsia"/>
        </w:rPr>
        <w:tab/>
      </w:r>
      <w:r>
        <w:rPr>
          <w:rFonts w:hint="eastAsia"/>
        </w:rPr>
        <w:t>重点关注的代表性危险物质危险特性及毒性一览表</w:t>
      </w:r>
    </w:p>
    <w:tbl>
      <w:tblPr>
        <w:tblStyle w:val="88"/>
        <w:tblW w:w="141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75"/>
        <w:gridCol w:w="584"/>
        <w:gridCol w:w="567"/>
        <w:gridCol w:w="419"/>
        <w:gridCol w:w="573"/>
        <w:gridCol w:w="23"/>
        <w:gridCol w:w="3114"/>
        <w:gridCol w:w="2840"/>
        <w:gridCol w:w="3270"/>
        <w:gridCol w:w="1440"/>
        <w:gridCol w:w="971"/>
      </w:tblGrid>
      <w:tr w14:paraId="1C7CD9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375" w:type="dxa"/>
            <w:vAlign w:val="center"/>
          </w:tcPr>
          <w:p w14:paraId="1C2212AE">
            <w:pPr>
              <w:pStyle w:val="34"/>
              <w:rPr>
                <w:sz w:val="18"/>
                <w:szCs w:val="18"/>
              </w:rPr>
            </w:pPr>
            <w:r>
              <w:rPr>
                <w:sz w:val="18"/>
                <w:szCs w:val="18"/>
              </w:rPr>
              <w:t>序号</w:t>
            </w:r>
          </w:p>
        </w:tc>
        <w:tc>
          <w:tcPr>
            <w:tcW w:w="1151" w:type="dxa"/>
            <w:gridSpan w:val="2"/>
            <w:vAlign w:val="center"/>
          </w:tcPr>
          <w:p w14:paraId="62336477">
            <w:pPr>
              <w:pStyle w:val="34"/>
              <w:rPr>
                <w:sz w:val="18"/>
                <w:szCs w:val="18"/>
              </w:rPr>
            </w:pPr>
            <w:r>
              <w:rPr>
                <w:sz w:val="18"/>
                <w:szCs w:val="18"/>
              </w:rPr>
              <w:t>危险</w:t>
            </w:r>
            <w:r>
              <w:rPr>
                <w:rFonts w:hint="eastAsia"/>
                <w:sz w:val="18"/>
                <w:szCs w:val="18"/>
              </w:rPr>
              <w:t>物理</w:t>
            </w:r>
            <w:r>
              <w:rPr>
                <w:sz w:val="18"/>
                <w:szCs w:val="18"/>
              </w:rPr>
              <w:t>性质</w:t>
            </w:r>
          </w:p>
        </w:tc>
        <w:tc>
          <w:tcPr>
            <w:tcW w:w="1015" w:type="dxa"/>
            <w:gridSpan w:val="3"/>
            <w:vAlign w:val="center"/>
          </w:tcPr>
          <w:p w14:paraId="68A21F77">
            <w:pPr>
              <w:pStyle w:val="34"/>
              <w:rPr>
                <w:sz w:val="18"/>
                <w:szCs w:val="18"/>
              </w:rPr>
            </w:pPr>
            <w:r>
              <w:rPr>
                <w:rFonts w:hint="eastAsia"/>
                <w:sz w:val="18"/>
                <w:szCs w:val="18"/>
              </w:rPr>
              <w:t>危险货物品名</w:t>
            </w:r>
          </w:p>
        </w:tc>
        <w:tc>
          <w:tcPr>
            <w:tcW w:w="3114" w:type="dxa"/>
            <w:vAlign w:val="center"/>
          </w:tcPr>
          <w:p w14:paraId="2E9E0A33">
            <w:pPr>
              <w:pStyle w:val="34"/>
              <w:rPr>
                <w:sz w:val="18"/>
                <w:szCs w:val="18"/>
              </w:rPr>
            </w:pPr>
            <w:r>
              <w:rPr>
                <w:rFonts w:hint="eastAsia"/>
                <w:sz w:val="18"/>
                <w:szCs w:val="18"/>
              </w:rPr>
              <w:t>危险特性</w:t>
            </w:r>
          </w:p>
        </w:tc>
        <w:tc>
          <w:tcPr>
            <w:tcW w:w="2840" w:type="dxa"/>
            <w:vAlign w:val="center"/>
          </w:tcPr>
          <w:p w14:paraId="7FFA0490">
            <w:pPr>
              <w:pStyle w:val="34"/>
              <w:rPr>
                <w:sz w:val="18"/>
                <w:szCs w:val="18"/>
              </w:rPr>
            </w:pPr>
            <w:r>
              <w:rPr>
                <w:rFonts w:hint="eastAsia"/>
                <w:sz w:val="18"/>
                <w:szCs w:val="18"/>
              </w:rPr>
              <w:t>毒性</w:t>
            </w:r>
          </w:p>
        </w:tc>
        <w:tc>
          <w:tcPr>
            <w:tcW w:w="3270" w:type="dxa"/>
            <w:vAlign w:val="center"/>
          </w:tcPr>
          <w:p w14:paraId="358E17CD">
            <w:pPr>
              <w:pStyle w:val="34"/>
              <w:rPr>
                <w:sz w:val="18"/>
                <w:szCs w:val="18"/>
              </w:rPr>
            </w:pPr>
            <w:r>
              <w:rPr>
                <w:rFonts w:hint="eastAsia"/>
                <w:sz w:val="18"/>
                <w:szCs w:val="18"/>
              </w:rPr>
              <w:t>健康危害</w:t>
            </w:r>
          </w:p>
        </w:tc>
        <w:tc>
          <w:tcPr>
            <w:tcW w:w="1440" w:type="dxa"/>
            <w:vAlign w:val="center"/>
          </w:tcPr>
          <w:p w14:paraId="2733E752">
            <w:pPr>
              <w:pStyle w:val="34"/>
              <w:rPr>
                <w:sz w:val="18"/>
                <w:szCs w:val="18"/>
              </w:rPr>
            </w:pPr>
            <w:r>
              <w:rPr>
                <w:rFonts w:hint="eastAsia"/>
                <w:sz w:val="18"/>
                <w:szCs w:val="18"/>
              </w:rPr>
              <w:t>水环境危害</w:t>
            </w:r>
          </w:p>
        </w:tc>
        <w:tc>
          <w:tcPr>
            <w:tcW w:w="971" w:type="dxa"/>
            <w:vAlign w:val="center"/>
          </w:tcPr>
          <w:p w14:paraId="0D3DF215">
            <w:pPr>
              <w:pStyle w:val="34"/>
              <w:rPr>
                <w:b/>
                <w:sz w:val="18"/>
                <w:szCs w:val="18"/>
              </w:rPr>
            </w:pPr>
            <w:r>
              <w:rPr>
                <w:rFonts w:hint="eastAsia"/>
                <w:b/>
                <w:sz w:val="18"/>
                <w:szCs w:val="18"/>
              </w:rPr>
              <w:t>包装容器特性</w:t>
            </w:r>
          </w:p>
        </w:tc>
      </w:tr>
      <w:tr w14:paraId="1EE2BC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26D1FB1">
            <w:pPr>
              <w:pStyle w:val="34"/>
              <w:numPr>
                <w:ilvl w:val="0"/>
                <w:numId w:val="55"/>
              </w:numPr>
              <w:rPr>
                <w:sz w:val="18"/>
                <w:szCs w:val="18"/>
              </w:rPr>
            </w:pPr>
          </w:p>
        </w:tc>
        <w:tc>
          <w:tcPr>
            <w:tcW w:w="1151" w:type="dxa"/>
            <w:gridSpan w:val="2"/>
            <w:vMerge w:val="restart"/>
            <w:vAlign w:val="center"/>
          </w:tcPr>
          <w:p w14:paraId="4F6597E6">
            <w:pPr>
              <w:pStyle w:val="34"/>
              <w:rPr>
                <w:sz w:val="18"/>
                <w:szCs w:val="18"/>
              </w:rPr>
            </w:pPr>
            <w:r>
              <w:rPr>
                <w:rFonts w:hint="eastAsia"/>
                <w:sz w:val="18"/>
                <w:szCs w:val="18"/>
              </w:rPr>
              <w:t>气体</w:t>
            </w:r>
          </w:p>
        </w:tc>
        <w:tc>
          <w:tcPr>
            <w:tcW w:w="1015" w:type="dxa"/>
            <w:gridSpan w:val="3"/>
            <w:vAlign w:val="center"/>
          </w:tcPr>
          <w:p w14:paraId="07814127">
            <w:pPr>
              <w:pStyle w:val="34"/>
              <w:rPr>
                <w:sz w:val="18"/>
                <w:szCs w:val="18"/>
              </w:rPr>
            </w:pPr>
            <w:r>
              <w:rPr>
                <w:rFonts w:hint="eastAsia"/>
                <w:sz w:val="18"/>
                <w:szCs w:val="18"/>
              </w:rPr>
              <w:t>无水三甲胺</w:t>
            </w:r>
          </w:p>
        </w:tc>
        <w:tc>
          <w:tcPr>
            <w:tcW w:w="3114" w:type="dxa"/>
            <w:vAlign w:val="center"/>
          </w:tcPr>
          <w:p w14:paraId="04AD2C8B">
            <w:pPr>
              <w:pStyle w:val="34"/>
              <w:rPr>
                <w:sz w:val="18"/>
                <w:szCs w:val="18"/>
              </w:rPr>
            </w:pPr>
            <w:r>
              <w:rPr>
                <w:sz w:val="18"/>
                <w:szCs w:val="18"/>
              </w:rPr>
              <w:t>蒸气与空气可形成爆炸性混合物，遇明火、高热易引起燃烧爆炸。受热分解产生有毒的烟气。与氧化剂接触猛烈反应。</w:t>
            </w:r>
            <w:r>
              <w:rPr>
                <w:rFonts w:hint="eastAsia"/>
                <w:sz w:val="18"/>
                <w:szCs w:val="18"/>
              </w:rPr>
              <w:t>其蒸气比空气重，能在较低处扩散到相当远的地方，与火源会着火回燃。</w:t>
            </w:r>
          </w:p>
          <w:p w14:paraId="02928CE4">
            <w:pPr>
              <w:pStyle w:val="34"/>
              <w:rPr>
                <w:sz w:val="18"/>
                <w:szCs w:val="18"/>
              </w:rPr>
            </w:pPr>
            <w:r>
              <w:rPr>
                <w:rFonts w:hint="eastAsia"/>
                <w:sz w:val="18"/>
                <w:szCs w:val="18"/>
              </w:rPr>
              <w:t>燃烧产物：CO、CO</w:t>
            </w:r>
            <w:r>
              <w:rPr>
                <w:rFonts w:hint="eastAsia"/>
                <w:sz w:val="18"/>
                <w:szCs w:val="18"/>
                <w:vertAlign w:val="subscript"/>
              </w:rPr>
              <w:t>2</w:t>
            </w:r>
            <w:r>
              <w:rPr>
                <w:rFonts w:hint="eastAsia"/>
                <w:sz w:val="18"/>
                <w:szCs w:val="18"/>
              </w:rPr>
              <w:t>、NO</w:t>
            </w:r>
            <w:r>
              <w:rPr>
                <w:rFonts w:hint="eastAsia"/>
                <w:sz w:val="18"/>
                <w:szCs w:val="18"/>
                <w:vertAlign w:val="subscript"/>
              </w:rPr>
              <w:t>x</w:t>
            </w:r>
          </w:p>
        </w:tc>
        <w:tc>
          <w:tcPr>
            <w:tcW w:w="2840" w:type="dxa"/>
            <w:vAlign w:val="center"/>
          </w:tcPr>
          <w:p w14:paraId="4B33C9BD">
            <w:pPr>
              <w:pStyle w:val="34"/>
              <w:rPr>
                <w:sz w:val="18"/>
                <w:szCs w:val="18"/>
              </w:rPr>
            </w:pPr>
            <w:r>
              <w:rPr>
                <w:sz w:val="18"/>
                <w:szCs w:val="18"/>
              </w:rPr>
              <w:t>经口属低毒类，</w:t>
            </w:r>
            <w:r>
              <w:rPr>
                <w:rFonts w:hint="eastAsia"/>
                <w:sz w:val="18"/>
                <w:szCs w:val="18"/>
              </w:rPr>
              <w:t>LD50：5000 mg/kg（大鼠经口）；90mg/kg（小鼠静脉）。</w:t>
            </w:r>
          </w:p>
          <w:p w14:paraId="1CCF395F">
            <w:pPr>
              <w:pStyle w:val="34"/>
              <w:rPr>
                <w:sz w:val="18"/>
                <w:szCs w:val="18"/>
              </w:rPr>
            </w:pPr>
            <w:r>
              <w:rPr>
                <w:rFonts w:hint="eastAsia"/>
                <w:sz w:val="18"/>
                <w:szCs w:val="18"/>
              </w:rPr>
              <w:t>LC50：2000ppm（大鼠吸入，1h）；19000mg/m</w:t>
            </w:r>
            <w:r>
              <w:rPr>
                <w:rFonts w:hint="eastAsia"/>
                <w:sz w:val="18"/>
                <w:szCs w:val="18"/>
                <w:vertAlign w:val="superscript"/>
              </w:rPr>
              <w:t>3</w:t>
            </w:r>
            <w:r>
              <w:rPr>
                <w:rFonts w:hint="eastAsia"/>
                <w:sz w:val="18"/>
                <w:szCs w:val="18"/>
              </w:rPr>
              <w:t>（小鼠吸入）。</w:t>
            </w:r>
          </w:p>
        </w:tc>
        <w:tc>
          <w:tcPr>
            <w:tcW w:w="3270" w:type="dxa"/>
            <w:vAlign w:val="center"/>
          </w:tcPr>
          <w:p w14:paraId="54D8B698">
            <w:pPr>
              <w:pStyle w:val="34"/>
              <w:rPr>
                <w:sz w:val="18"/>
                <w:szCs w:val="18"/>
              </w:rPr>
            </w:pPr>
            <w:r>
              <w:rPr>
                <w:sz w:val="18"/>
                <w:szCs w:val="18"/>
              </w:rPr>
              <w:t>对人体的主要危害是对眼、鼻、咽喉和呼吸道的刺激作用。浓三甲胺水溶液能引起皮肤剧烈的灼烧感和潮红，长期接触感到眼、鼻、咽喉干燥不适</w:t>
            </w:r>
          </w:p>
        </w:tc>
        <w:tc>
          <w:tcPr>
            <w:tcW w:w="1440" w:type="dxa"/>
            <w:vAlign w:val="center"/>
          </w:tcPr>
          <w:p w14:paraId="18E1D131">
            <w:pPr>
              <w:pStyle w:val="34"/>
              <w:rPr>
                <w:sz w:val="18"/>
                <w:szCs w:val="18"/>
              </w:rPr>
            </w:pPr>
            <w:r>
              <w:rPr>
                <w:rFonts w:hint="eastAsia"/>
                <w:sz w:val="18"/>
                <w:szCs w:val="18"/>
              </w:rPr>
              <w:t>具有一定的毒性和生物累积性，过量排放到水体中可能对水生生物造成危害</w:t>
            </w:r>
          </w:p>
        </w:tc>
        <w:tc>
          <w:tcPr>
            <w:tcW w:w="971" w:type="dxa"/>
            <w:vAlign w:val="center"/>
          </w:tcPr>
          <w:p w14:paraId="2A2314D3">
            <w:pPr>
              <w:pStyle w:val="34"/>
              <w:rPr>
                <w:sz w:val="18"/>
                <w:szCs w:val="18"/>
              </w:rPr>
            </w:pPr>
            <w:r>
              <w:rPr>
                <w:sz w:val="18"/>
                <w:szCs w:val="18"/>
              </w:rPr>
              <w:t>400L低压钢瓶包装</w:t>
            </w:r>
          </w:p>
        </w:tc>
      </w:tr>
      <w:tr w14:paraId="4E46E7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BA07D6A">
            <w:pPr>
              <w:pStyle w:val="34"/>
              <w:numPr>
                <w:ilvl w:val="0"/>
                <w:numId w:val="55"/>
              </w:numPr>
              <w:rPr>
                <w:sz w:val="18"/>
                <w:szCs w:val="18"/>
              </w:rPr>
            </w:pPr>
          </w:p>
        </w:tc>
        <w:tc>
          <w:tcPr>
            <w:tcW w:w="1151" w:type="dxa"/>
            <w:gridSpan w:val="2"/>
            <w:vMerge w:val="continue"/>
            <w:vAlign w:val="center"/>
          </w:tcPr>
          <w:p w14:paraId="06F82C18">
            <w:pPr>
              <w:pStyle w:val="34"/>
              <w:rPr>
                <w:sz w:val="18"/>
                <w:szCs w:val="18"/>
              </w:rPr>
            </w:pPr>
          </w:p>
        </w:tc>
        <w:tc>
          <w:tcPr>
            <w:tcW w:w="1015" w:type="dxa"/>
            <w:gridSpan w:val="3"/>
            <w:vAlign w:val="center"/>
          </w:tcPr>
          <w:p w14:paraId="79C04D70">
            <w:pPr>
              <w:pStyle w:val="34"/>
              <w:rPr>
                <w:sz w:val="18"/>
                <w:szCs w:val="18"/>
              </w:rPr>
            </w:pPr>
            <w:r>
              <w:rPr>
                <w:rFonts w:hint="eastAsia"/>
                <w:sz w:val="18"/>
                <w:szCs w:val="18"/>
              </w:rPr>
              <w:t>1,3-丁二烯</w:t>
            </w:r>
          </w:p>
        </w:tc>
        <w:tc>
          <w:tcPr>
            <w:tcW w:w="3114" w:type="dxa"/>
            <w:vAlign w:val="center"/>
          </w:tcPr>
          <w:p w14:paraId="6167AEC8">
            <w:pPr>
              <w:pStyle w:val="34"/>
              <w:rPr>
                <w:sz w:val="18"/>
                <w:szCs w:val="18"/>
              </w:rPr>
            </w:pPr>
            <w:r>
              <w:rPr>
                <w:sz w:val="18"/>
                <w:szCs w:val="18"/>
              </w:rPr>
              <w:t>易燃，与空气混合能形成爆炸性混合物。接触热、火星、火焰</w:t>
            </w:r>
            <w:r>
              <w:rPr>
                <w:rFonts w:hint="eastAsia"/>
                <w:sz w:val="18"/>
                <w:szCs w:val="18"/>
              </w:rPr>
              <w:t>或</w:t>
            </w:r>
            <w:r>
              <w:rPr>
                <w:sz w:val="18"/>
                <w:szCs w:val="18"/>
              </w:rPr>
              <w:t>氧化剂易燃烧爆炸。</w:t>
            </w:r>
            <w:r>
              <w:rPr>
                <w:rFonts w:hint="eastAsia"/>
                <w:sz w:val="18"/>
                <w:szCs w:val="18"/>
              </w:rPr>
              <w:t>若遇高热，可发生聚合反应，放出大量热量而引起容器破裂和爆炸事故。气体比空气重，能在较低处扩散到相当远的地方，遇明火会引着回燃。</w:t>
            </w:r>
          </w:p>
        </w:tc>
        <w:tc>
          <w:tcPr>
            <w:tcW w:w="2840" w:type="dxa"/>
            <w:vAlign w:val="center"/>
          </w:tcPr>
          <w:p w14:paraId="61A91A7A">
            <w:pPr>
              <w:pStyle w:val="34"/>
              <w:rPr>
                <w:sz w:val="18"/>
                <w:szCs w:val="18"/>
              </w:rPr>
            </w:pPr>
            <w:r>
              <w:rPr>
                <w:rFonts w:hint="eastAsia"/>
                <w:sz w:val="18"/>
                <w:szCs w:val="18"/>
              </w:rPr>
              <w:t>急性毒性：LD50：5480mg/kg(大鼠经口)；LC50：285000mg/m</w:t>
            </w:r>
            <w:r>
              <w:rPr>
                <w:rFonts w:hint="eastAsia"/>
                <w:sz w:val="18"/>
                <w:szCs w:val="18"/>
                <w:vertAlign w:val="superscript"/>
              </w:rPr>
              <w:t>3</w:t>
            </w:r>
            <w:r>
              <w:rPr>
                <w:rFonts w:hint="eastAsia"/>
                <w:sz w:val="18"/>
                <w:szCs w:val="18"/>
              </w:rPr>
              <w:t xml:space="preserve"> (大鼠吸入，4h)；人吸入1%，轻度反应、头痛、口干、嗜睡等；人吸入17.6g/m</w:t>
            </w:r>
            <w:r>
              <w:rPr>
                <w:rFonts w:hint="eastAsia"/>
                <w:sz w:val="18"/>
                <w:szCs w:val="18"/>
                <w:vertAlign w:val="superscript"/>
              </w:rPr>
              <w:t>3</w:t>
            </w:r>
            <w:r>
              <w:rPr>
                <w:rFonts w:hint="eastAsia"/>
                <w:sz w:val="18"/>
                <w:szCs w:val="18"/>
              </w:rPr>
              <w:t>×8h，上呼吸道刺激反应；人吸入11g/m</w:t>
            </w:r>
            <w:r>
              <w:rPr>
                <w:rFonts w:hint="eastAsia"/>
                <w:sz w:val="18"/>
                <w:szCs w:val="18"/>
                <w:vertAlign w:val="superscript"/>
              </w:rPr>
              <w:t>3</w:t>
            </w:r>
            <w:r>
              <w:rPr>
                <w:rFonts w:hint="eastAsia"/>
                <w:sz w:val="18"/>
                <w:szCs w:val="18"/>
              </w:rPr>
              <w:t>×6h，眼粘膜轻度刺激。</w:t>
            </w:r>
          </w:p>
          <w:p w14:paraId="2F69A2C6">
            <w:pPr>
              <w:pStyle w:val="34"/>
              <w:rPr>
                <w:sz w:val="18"/>
                <w:szCs w:val="18"/>
              </w:rPr>
            </w:pPr>
            <w:r>
              <w:rPr>
                <w:rFonts w:hint="eastAsia"/>
                <w:sz w:val="18"/>
                <w:szCs w:val="18"/>
              </w:rPr>
              <w:t>亚急性和慢性毒性：大鼠吸入30mg/m</w:t>
            </w:r>
            <w:r>
              <w:rPr>
                <w:rFonts w:hint="eastAsia"/>
                <w:sz w:val="18"/>
                <w:szCs w:val="18"/>
                <w:vertAlign w:val="superscript"/>
              </w:rPr>
              <w:t>3</w:t>
            </w:r>
            <w:r>
              <w:rPr>
                <w:rFonts w:hint="eastAsia"/>
                <w:sz w:val="18"/>
                <w:szCs w:val="18"/>
              </w:rPr>
              <w:t>，81d，造血功能亢进，心肌和肾脏有轻度退行性变。</w:t>
            </w:r>
          </w:p>
        </w:tc>
        <w:tc>
          <w:tcPr>
            <w:tcW w:w="3270" w:type="dxa"/>
            <w:vAlign w:val="center"/>
          </w:tcPr>
          <w:p w14:paraId="0296415A">
            <w:pPr>
              <w:pStyle w:val="34"/>
              <w:rPr>
                <w:sz w:val="18"/>
                <w:szCs w:val="18"/>
              </w:rPr>
            </w:pPr>
            <w:r>
              <w:rPr>
                <w:rFonts w:hint="eastAsia"/>
                <w:sz w:val="18"/>
                <w:szCs w:val="18"/>
              </w:rPr>
              <w:t>具有麻醉和刺激作用。急性中毒 轻者有头痛、头晕、恶心、咽痛、耳鸣、全身乏力、啫睡等。重者出现酒醉状态、呼吸困难、脉速等，后转入意识丧失和抽搐，有时也可有烦躁不安、到处乱跑等精神症状。脱离接触后，迅速恢复。头痛和睡有时可持续一段时间。皮肤直接接触丁二烯可发生灼伤或冻伤。慢性影响:长期接触一定浓度的丁二烯可出现头痛、头晕、全身乏力、失眠、多梦、记忆力减退、恶心、心悸等症状。偶见皮炎和多发性神经炎。</w:t>
            </w:r>
          </w:p>
        </w:tc>
        <w:tc>
          <w:tcPr>
            <w:tcW w:w="1440" w:type="dxa"/>
            <w:vAlign w:val="center"/>
          </w:tcPr>
          <w:p w14:paraId="5955CEBE">
            <w:pPr>
              <w:pStyle w:val="34"/>
              <w:rPr>
                <w:sz w:val="18"/>
                <w:szCs w:val="18"/>
              </w:rPr>
            </w:pPr>
            <w:r>
              <w:rPr>
                <w:rFonts w:hint="eastAsia"/>
                <w:sz w:val="18"/>
                <w:szCs w:val="18"/>
              </w:rPr>
              <w:t>具有一定的毒性和生物累积性，过量排放到水体中可能对水生生物造成危害</w:t>
            </w:r>
          </w:p>
        </w:tc>
        <w:tc>
          <w:tcPr>
            <w:tcW w:w="971" w:type="dxa"/>
            <w:vAlign w:val="center"/>
          </w:tcPr>
          <w:p w14:paraId="4BE93FF1">
            <w:pPr>
              <w:pStyle w:val="34"/>
              <w:rPr>
                <w:sz w:val="18"/>
                <w:szCs w:val="18"/>
              </w:rPr>
            </w:pPr>
            <w:r>
              <w:rPr>
                <w:rFonts w:hint="eastAsia"/>
                <w:sz w:val="18"/>
                <w:szCs w:val="18"/>
              </w:rPr>
              <w:t>450kg钢瓶包装，低温运输</w:t>
            </w:r>
          </w:p>
        </w:tc>
      </w:tr>
      <w:tr w14:paraId="39A420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11DAA05">
            <w:pPr>
              <w:pStyle w:val="34"/>
              <w:numPr>
                <w:ilvl w:val="0"/>
                <w:numId w:val="55"/>
              </w:numPr>
              <w:rPr>
                <w:sz w:val="18"/>
                <w:szCs w:val="18"/>
              </w:rPr>
            </w:pPr>
          </w:p>
        </w:tc>
        <w:tc>
          <w:tcPr>
            <w:tcW w:w="1151" w:type="dxa"/>
            <w:gridSpan w:val="2"/>
            <w:vMerge w:val="continue"/>
            <w:vAlign w:val="center"/>
          </w:tcPr>
          <w:p w14:paraId="3A102ACE">
            <w:pPr>
              <w:pStyle w:val="34"/>
              <w:rPr>
                <w:sz w:val="18"/>
                <w:szCs w:val="18"/>
              </w:rPr>
            </w:pPr>
          </w:p>
        </w:tc>
        <w:tc>
          <w:tcPr>
            <w:tcW w:w="1015" w:type="dxa"/>
            <w:gridSpan w:val="3"/>
            <w:vAlign w:val="center"/>
          </w:tcPr>
          <w:p w14:paraId="1946E207">
            <w:pPr>
              <w:pStyle w:val="34"/>
              <w:rPr>
                <w:sz w:val="18"/>
                <w:szCs w:val="18"/>
              </w:rPr>
            </w:pPr>
            <w:r>
              <w:rPr>
                <w:rFonts w:hint="eastAsia"/>
                <w:sz w:val="18"/>
                <w:szCs w:val="18"/>
              </w:rPr>
              <w:t>丙烷</w:t>
            </w:r>
          </w:p>
        </w:tc>
        <w:tc>
          <w:tcPr>
            <w:tcW w:w="3114" w:type="dxa"/>
            <w:vAlign w:val="center"/>
          </w:tcPr>
          <w:p w14:paraId="4F59DB11">
            <w:pPr>
              <w:pStyle w:val="34"/>
              <w:rPr>
                <w:sz w:val="18"/>
                <w:szCs w:val="18"/>
              </w:rPr>
            </w:pPr>
            <w:r>
              <w:rPr>
                <w:sz w:val="18"/>
                <w:szCs w:val="18"/>
              </w:rPr>
              <w:t>易燃气体。与空气混合能形成爆炸性混合物，遇热源和明火有燃烧爆炸的危险。与氧化剂接触猛烈反应。气体比空气重，能在较低处扩散到相当远的地方，遇火源会着火回燃。</w:t>
            </w:r>
          </w:p>
        </w:tc>
        <w:tc>
          <w:tcPr>
            <w:tcW w:w="2840" w:type="dxa"/>
            <w:vAlign w:val="center"/>
          </w:tcPr>
          <w:p w14:paraId="453601AD">
            <w:pPr>
              <w:pStyle w:val="34"/>
              <w:rPr>
                <w:sz w:val="18"/>
                <w:szCs w:val="18"/>
              </w:rPr>
            </w:pPr>
            <w:r>
              <w:rPr>
                <w:rFonts w:hint="eastAsia"/>
                <w:sz w:val="18"/>
                <w:szCs w:val="18"/>
              </w:rPr>
              <w:t>/</w:t>
            </w:r>
          </w:p>
        </w:tc>
        <w:tc>
          <w:tcPr>
            <w:tcW w:w="3270" w:type="dxa"/>
            <w:vAlign w:val="center"/>
          </w:tcPr>
          <w:p w14:paraId="43EB3645">
            <w:pPr>
              <w:pStyle w:val="34"/>
              <w:rPr>
                <w:sz w:val="18"/>
                <w:szCs w:val="18"/>
              </w:rPr>
            </w:pPr>
            <w:r>
              <w:rPr>
                <w:sz w:val="18"/>
                <w:szCs w:val="18"/>
              </w:rPr>
              <w:t>本品有单纯性窒息及麻醉作用。人短暂接触1%丙烷，不引起症状</w:t>
            </w:r>
            <w:r>
              <w:rPr>
                <w:rFonts w:hint="eastAsia"/>
                <w:sz w:val="18"/>
                <w:szCs w:val="18"/>
              </w:rPr>
              <w:t>；</w:t>
            </w:r>
            <w:r>
              <w:rPr>
                <w:sz w:val="18"/>
                <w:szCs w:val="18"/>
              </w:rPr>
              <w:t>10%以下的浓度，只引起轻度头晕</w:t>
            </w:r>
            <w:r>
              <w:rPr>
                <w:rFonts w:hint="eastAsia"/>
                <w:sz w:val="18"/>
                <w:szCs w:val="18"/>
              </w:rPr>
              <w:t>；</w:t>
            </w:r>
            <w:r>
              <w:rPr>
                <w:sz w:val="18"/>
                <w:szCs w:val="18"/>
              </w:rPr>
              <w:t>接触高浓度时可出现麻醉状态、意识丧失</w:t>
            </w:r>
            <w:r>
              <w:rPr>
                <w:rFonts w:hint="eastAsia"/>
                <w:sz w:val="18"/>
                <w:szCs w:val="18"/>
              </w:rPr>
              <w:t>；</w:t>
            </w:r>
            <w:r>
              <w:rPr>
                <w:sz w:val="18"/>
                <w:szCs w:val="18"/>
              </w:rPr>
              <w:t>极高浓度时可致窒息。</w:t>
            </w:r>
          </w:p>
        </w:tc>
        <w:tc>
          <w:tcPr>
            <w:tcW w:w="1440" w:type="dxa"/>
            <w:vAlign w:val="center"/>
          </w:tcPr>
          <w:p w14:paraId="318DC88A">
            <w:pPr>
              <w:pStyle w:val="34"/>
              <w:rPr>
                <w:sz w:val="18"/>
                <w:szCs w:val="18"/>
              </w:rPr>
            </w:pPr>
            <w:r>
              <w:rPr>
                <w:rFonts w:hint="eastAsia"/>
                <w:sz w:val="18"/>
                <w:szCs w:val="18"/>
              </w:rPr>
              <w:t>微溶于水，对水环境影响不大</w:t>
            </w:r>
            <w:r>
              <w:rPr>
                <w:sz w:val="18"/>
                <w:szCs w:val="18"/>
              </w:rPr>
              <w:t>。</w:t>
            </w:r>
          </w:p>
        </w:tc>
        <w:tc>
          <w:tcPr>
            <w:tcW w:w="971" w:type="dxa"/>
            <w:vAlign w:val="center"/>
          </w:tcPr>
          <w:p w14:paraId="275316F3">
            <w:pPr>
              <w:pStyle w:val="34"/>
              <w:rPr>
                <w:sz w:val="18"/>
                <w:szCs w:val="18"/>
              </w:rPr>
            </w:pPr>
            <w:r>
              <w:rPr>
                <w:rFonts w:hint="eastAsia"/>
                <w:sz w:val="18"/>
                <w:szCs w:val="18"/>
              </w:rPr>
              <w:t>100L钢瓶包装，常温常压运输</w:t>
            </w:r>
          </w:p>
        </w:tc>
      </w:tr>
      <w:tr w14:paraId="4045EA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878E4E5">
            <w:pPr>
              <w:pStyle w:val="34"/>
              <w:numPr>
                <w:ilvl w:val="0"/>
                <w:numId w:val="55"/>
              </w:numPr>
              <w:rPr>
                <w:sz w:val="18"/>
                <w:szCs w:val="18"/>
              </w:rPr>
            </w:pPr>
          </w:p>
        </w:tc>
        <w:tc>
          <w:tcPr>
            <w:tcW w:w="1151" w:type="dxa"/>
            <w:gridSpan w:val="2"/>
            <w:vMerge w:val="continue"/>
            <w:vAlign w:val="center"/>
          </w:tcPr>
          <w:p w14:paraId="00F20FBE">
            <w:pPr>
              <w:pStyle w:val="34"/>
              <w:rPr>
                <w:sz w:val="18"/>
                <w:szCs w:val="18"/>
              </w:rPr>
            </w:pPr>
          </w:p>
        </w:tc>
        <w:tc>
          <w:tcPr>
            <w:tcW w:w="1015" w:type="dxa"/>
            <w:gridSpan w:val="3"/>
            <w:vAlign w:val="center"/>
          </w:tcPr>
          <w:p w14:paraId="6152AABD">
            <w:pPr>
              <w:pStyle w:val="34"/>
              <w:rPr>
                <w:sz w:val="18"/>
                <w:szCs w:val="18"/>
              </w:rPr>
            </w:pPr>
            <w:r>
              <w:rPr>
                <w:rFonts w:hint="eastAsia"/>
                <w:sz w:val="18"/>
                <w:szCs w:val="18"/>
              </w:rPr>
              <w:t>丁烷</w:t>
            </w:r>
          </w:p>
        </w:tc>
        <w:tc>
          <w:tcPr>
            <w:tcW w:w="3114" w:type="dxa"/>
            <w:vAlign w:val="center"/>
          </w:tcPr>
          <w:p w14:paraId="3B6CEFC6">
            <w:pPr>
              <w:pStyle w:val="34"/>
              <w:rPr>
                <w:sz w:val="18"/>
                <w:szCs w:val="18"/>
              </w:rPr>
            </w:pPr>
            <w:r>
              <w:rPr>
                <w:sz w:val="18"/>
                <w:szCs w:val="18"/>
              </w:rPr>
              <w:t>极易燃，与空气混合能形成爆炸性混合物</w:t>
            </w:r>
          </w:p>
        </w:tc>
        <w:tc>
          <w:tcPr>
            <w:tcW w:w="2840" w:type="dxa"/>
            <w:vAlign w:val="center"/>
          </w:tcPr>
          <w:p w14:paraId="5D375F70">
            <w:pPr>
              <w:pStyle w:val="34"/>
              <w:rPr>
                <w:sz w:val="18"/>
                <w:szCs w:val="18"/>
              </w:rPr>
            </w:pPr>
            <w:r>
              <w:rPr>
                <w:rFonts w:hint="eastAsia"/>
                <w:sz w:val="18"/>
                <w:szCs w:val="18"/>
              </w:rPr>
              <w:t>LC50：658000ppm（大鼠吸入，4h）</w:t>
            </w:r>
          </w:p>
        </w:tc>
        <w:tc>
          <w:tcPr>
            <w:tcW w:w="3270" w:type="dxa"/>
            <w:vAlign w:val="center"/>
          </w:tcPr>
          <w:p w14:paraId="305523BB">
            <w:pPr>
              <w:pStyle w:val="34"/>
              <w:rPr>
                <w:sz w:val="18"/>
                <w:szCs w:val="18"/>
              </w:rPr>
            </w:pPr>
            <w:r>
              <w:rPr>
                <w:sz w:val="18"/>
                <w:szCs w:val="18"/>
              </w:rPr>
              <w:t>高浓度有窒息和麻醉作用；急性中毒：主要症状有头晕、头痛、嗜睡和酒醉状态，严重者可昏迷。皮肤接触液态可引起冻伤</w:t>
            </w:r>
          </w:p>
        </w:tc>
        <w:tc>
          <w:tcPr>
            <w:tcW w:w="1440" w:type="dxa"/>
            <w:vAlign w:val="center"/>
          </w:tcPr>
          <w:p w14:paraId="4D4880D1">
            <w:pPr>
              <w:pStyle w:val="34"/>
              <w:rPr>
                <w:sz w:val="18"/>
                <w:szCs w:val="18"/>
              </w:rPr>
            </w:pPr>
            <w:r>
              <w:rPr>
                <w:rFonts w:hint="eastAsia"/>
                <w:sz w:val="18"/>
                <w:szCs w:val="18"/>
              </w:rPr>
              <w:t>生物累积性可能较弱，水环境影响较小</w:t>
            </w:r>
          </w:p>
        </w:tc>
        <w:tc>
          <w:tcPr>
            <w:tcW w:w="971" w:type="dxa"/>
            <w:vAlign w:val="center"/>
          </w:tcPr>
          <w:p w14:paraId="7182C17E">
            <w:pPr>
              <w:pStyle w:val="34"/>
              <w:rPr>
                <w:sz w:val="18"/>
                <w:szCs w:val="18"/>
              </w:rPr>
            </w:pPr>
            <w:r>
              <w:rPr>
                <w:rFonts w:hint="eastAsia"/>
                <w:sz w:val="18"/>
                <w:szCs w:val="18"/>
              </w:rPr>
              <w:t>100L钢瓶包装，常温常压运输</w:t>
            </w:r>
          </w:p>
        </w:tc>
      </w:tr>
      <w:tr w14:paraId="781DEE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553D120E">
            <w:pPr>
              <w:pStyle w:val="34"/>
              <w:numPr>
                <w:ilvl w:val="0"/>
                <w:numId w:val="55"/>
              </w:numPr>
              <w:rPr>
                <w:sz w:val="18"/>
                <w:szCs w:val="18"/>
              </w:rPr>
            </w:pPr>
          </w:p>
        </w:tc>
        <w:tc>
          <w:tcPr>
            <w:tcW w:w="1151" w:type="dxa"/>
            <w:gridSpan w:val="2"/>
            <w:vMerge w:val="continue"/>
            <w:vAlign w:val="center"/>
          </w:tcPr>
          <w:p w14:paraId="22EA913C">
            <w:pPr>
              <w:pStyle w:val="34"/>
              <w:rPr>
                <w:sz w:val="18"/>
                <w:szCs w:val="18"/>
              </w:rPr>
            </w:pPr>
          </w:p>
        </w:tc>
        <w:tc>
          <w:tcPr>
            <w:tcW w:w="1015" w:type="dxa"/>
            <w:gridSpan w:val="3"/>
            <w:vAlign w:val="center"/>
          </w:tcPr>
          <w:p w14:paraId="1BD25EBA">
            <w:pPr>
              <w:pStyle w:val="34"/>
              <w:rPr>
                <w:sz w:val="18"/>
                <w:szCs w:val="18"/>
              </w:rPr>
            </w:pPr>
            <w:r>
              <w:rPr>
                <w:rFonts w:hint="eastAsia"/>
                <w:sz w:val="18"/>
                <w:szCs w:val="18"/>
              </w:rPr>
              <w:t>打火机（主要成分为正丁烷）</w:t>
            </w:r>
          </w:p>
        </w:tc>
        <w:tc>
          <w:tcPr>
            <w:tcW w:w="3114" w:type="dxa"/>
            <w:vAlign w:val="center"/>
          </w:tcPr>
          <w:p w14:paraId="7088B453">
            <w:pPr>
              <w:pStyle w:val="34"/>
              <w:rPr>
                <w:sz w:val="18"/>
                <w:szCs w:val="18"/>
              </w:rPr>
            </w:pPr>
            <w:r>
              <w:rPr>
                <w:sz w:val="18"/>
                <w:szCs w:val="18"/>
              </w:rPr>
              <w:t>易燃，与空气混合能形成爆炸性混合物，遇热源和明火有燃烧爆炸的危险。与氧化剂接触会猛烈反应。气体比空气重，能在较低处扩散到相当远的地方，遇明火会引着回燃。</w:t>
            </w:r>
          </w:p>
        </w:tc>
        <w:tc>
          <w:tcPr>
            <w:tcW w:w="2840" w:type="dxa"/>
            <w:vAlign w:val="center"/>
          </w:tcPr>
          <w:p w14:paraId="477ABB2E">
            <w:pPr>
              <w:pStyle w:val="34"/>
              <w:rPr>
                <w:sz w:val="18"/>
                <w:szCs w:val="18"/>
              </w:rPr>
            </w:pPr>
            <w:r>
              <w:rPr>
                <w:sz w:val="18"/>
                <w:szCs w:val="18"/>
              </w:rPr>
              <w:t>LC50：658000ppm，4小时（大鼠吸入）</w:t>
            </w:r>
          </w:p>
        </w:tc>
        <w:tc>
          <w:tcPr>
            <w:tcW w:w="3270" w:type="dxa"/>
            <w:vAlign w:val="center"/>
          </w:tcPr>
          <w:p w14:paraId="4A6BA442">
            <w:pPr>
              <w:pStyle w:val="34"/>
              <w:rPr>
                <w:sz w:val="18"/>
                <w:szCs w:val="18"/>
              </w:rPr>
            </w:pPr>
            <w:r>
              <w:rPr>
                <w:sz w:val="18"/>
                <w:szCs w:val="18"/>
              </w:rPr>
              <w:t>暴露于高浓度时有明显的麻醉感，慢性接触导致视幻觉，有刺激性，可能引起心脏过敏、个性孤癖。</w:t>
            </w:r>
          </w:p>
        </w:tc>
        <w:tc>
          <w:tcPr>
            <w:tcW w:w="1440" w:type="dxa"/>
            <w:vAlign w:val="center"/>
          </w:tcPr>
          <w:p w14:paraId="1E895BEF">
            <w:pPr>
              <w:pStyle w:val="34"/>
              <w:rPr>
                <w:sz w:val="18"/>
                <w:szCs w:val="18"/>
              </w:rPr>
            </w:pPr>
            <w:r>
              <w:rPr>
                <w:sz w:val="18"/>
                <w:szCs w:val="18"/>
              </w:rPr>
              <w:t>虽然溶于水，但其沸点较低，泄漏时遇水一般先在水中漂浮并发生沸腾蒸发；且打火机体量小，泄漏量不大。总体水体中不会形成较大浓度的污染物。</w:t>
            </w:r>
          </w:p>
        </w:tc>
        <w:tc>
          <w:tcPr>
            <w:tcW w:w="971" w:type="dxa"/>
            <w:vAlign w:val="center"/>
          </w:tcPr>
          <w:p w14:paraId="16989F24">
            <w:pPr>
              <w:pStyle w:val="34"/>
              <w:rPr>
                <w:sz w:val="18"/>
                <w:szCs w:val="18"/>
              </w:rPr>
            </w:pPr>
            <w:r>
              <w:rPr>
                <w:sz w:val="18"/>
                <w:szCs w:val="18"/>
              </w:rPr>
              <w:t>常温常压运输</w:t>
            </w:r>
          </w:p>
        </w:tc>
      </w:tr>
      <w:tr w14:paraId="0FE89A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F48680F">
            <w:pPr>
              <w:pStyle w:val="34"/>
              <w:numPr>
                <w:ilvl w:val="0"/>
                <w:numId w:val="55"/>
              </w:numPr>
              <w:rPr>
                <w:sz w:val="18"/>
                <w:szCs w:val="18"/>
              </w:rPr>
            </w:pPr>
          </w:p>
        </w:tc>
        <w:tc>
          <w:tcPr>
            <w:tcW w:w="1151" w:type="dxa"/>
            <w:gridSpan w:val="2"/>
            <w:vMerge w:val="continue"/>
            <w:vAlign w:val="center"/>
          </w:tcPr>
          <w:p w14:paraId="07CCC438">
            <w:pPr>
              <w:pStyle w:val="34"/>
              <w:rPr>
                <w:sz w:val="18"/>
                <w:szCs w:val="18"/>
              </w:rPr>
            </w:pPr>
          </w:p>
        </w:tc>
        <w:tc>
          <w:tcPr>
            <w:tcW w:w="1015" w:type="dxa"/>
            <w:gridSpan w:val="3"/>
            <w:vAlign w:val="center"/>
          </w:tcPr>
          <w:p w14:paraId="559057BB">
            <w:pPr>
              <w:pStyle w:val="34"/>
              <w:rPr>
                <w:sz w:val="18"/>
                <w:szCs w:val="18"/>
              </w:rPr>
            </w:pPr>
            <w:r>
              <w:rPr>
                <w:rFonts w:hint="eastAsia"/>
                <w:sz w:val="18"/>
                <w:szCs w:val="18"/>
              </w:rPr>
              <w:t>二氟氯甲烷(制冷气体R22)</w:t>
            </w:r>
          </w:p>
        </w:tc>
        <w:tc>
          <w:tcPr>
            <w:tcW w:w="3114" w:type="dxa"/>
            <w:vAlign w:val="center"/>
          </w:tcPr>
          <w:p w14:paraId="1D829467">
            <w:pPr>
              <w:pStyle w:val="34"/>
              <w:rPr>
                <w:sz w:val="18"/>
                <w:szCs w:val="18"/>
              </w:rPr>
            </w:pPr>
            <w:r>
              <w:rPr>
                <w:sz w:val="18"/>
                <w:szCs w:val="18"/>
              </w:rPr>
              <w:t>若遇高热，容器内压增大，有开裂和爆炸的危险</w:t>
            </w:r>
            <w:r>
              <w:rPr>
                <w:rFonts w:hint="eastAsia"/>
                <w:sz w:val="18"/>
                <w:szCs w:val="18"/>
              </w:rPr>
              <w:t>。</w:t>
            </w:r>
          </w:p>
          <w:p w14:paraId="3583E35F">
            <w:pPr>
              <w:pStyle w:val="34"/>
              <w:rPr>
                <w:sz w:val="18"/>
                <w:szCs w:val="18"/>
              </w:rPr>
            </w:pPr>
            <w:r>
              <w:rPr>
                <w:rFonts w:hint="eastAsia"/>
                <w:sz w:val="18"/>
                <w:szCs w:val="18"/>
              </w:rPr>
              <w:t>大气臭氧层破坏力极强</w:t>
            </w:r>
          </w:p>
        </w:tc>
        <w:tc>
          <w:tcPr>
            <w:tcW w:w="2840" w:type="dxa"/>
            <w:vAlign w:val="center"/>
          </w:tcPr>
          <w:p w14:paraId="1FB696F2">
            <w:pPr>
              <w:pStyle w:val="34"/>
              <w:rPr>
                <w:sz w:val="18"/>
                <w:szCs w:val="18"/>
              </w:rPr>
            </w:pPr>
            <w:r>
              <w:rPr>
                <w:rFonts w:hint="eastAsia"/>
                <w:sz w:val="18"/>
                <w:szCs w:val="18"/>
              </w:rPr>
              <w:t>急性毒性:LD50：1000000mg/m</w:t>
            </w:r>
            <w:r>
              <w:rPr>
                <w:rFonts w:hint="eastAsia"/>
                <w:sz w:val="18"/>
                <w:szCs w:val="18"/>
                <w:vertAlign w:val="superscript"/>
              </w:rPr>
              <w:t>3</w:t>
            </w:r>
            <w:r>
              <w:rPr>
                <w:rFonts w:hint="eastAsia"/>
                <w:sz w:val="18"/>
                <w:szCs w:val="18"/>
              </w:rPr>
              <w:t xml:space="preserve"> (大鼠吸入，2h)；亚急性和慢性毒性:兔、大鼠、小鼠吸入0.2%浓度，6h/d，共10个月，均无毒性反应:1.4%浓度，体重减轻，血清蛋白降低，球蛋白升高。剖检肺见肺泡间质增厚、肺水肿，心肝、肾及神经系统退行性变</w:t>
            </w:r>
          </w:p>
        </w:tc>
        <w:tc>
          <w:tcPr>
            <w:tcW w:w="3270" w:type="dxa"/>
            <w:vAlign w:val="center"/>
          </w:tcPr>
          <w:p w14:paraId="3AC976D0">
            <w:pPr>
              <w:pStyle w:val="34"/>
              <w:rPr>
                <w:sz w:val="18"/>
                <w:szCs w:val="18"/>
              </w:rPr>
            </w:pPr>
            <w:r>
              <w:rPr>
                <w:rFonts w:hint="eastAsia"/>
                <w:sz w:val="18"/>
                <w:szCs w:val="18"/>
              </w:rPr>
              <w:t>毒性低，但用其制备四氟乙烯所发生的裂解气，毒性较大，可引起中毒。吸入高浓度裂解气，初期仅有轻咳、恶心、发冷、胸闷及乏力感，但经24-72小时潜伏期后出现明显症状，发生肺炎、肺水肿，呼吸迫综合征，后期有纤维增生征象。可引起聚合物烟热。</w:t>
            </w:r>
          </w:p>
        </w:tc>
        <w:tc>
          <w:tcPr>
            <w:tcW w:w="1440" w:type="dxa"/>
            <w:vAlign w:val="center"/>
          </w:tcPr>
          <w:p w14:paraId="5DDFEC8B">
            <w:pPr>
              <w:pStyle w:val="34"/>
              <w:rPr>
                <w:sz w:val="18"/>
                <w:szCs w:val="18"/>
              </w:rPr>
            </w:pPr>
            <w:r>
              <w:rPr>
                <w:sz w:val="18"/>
                <w:szCs w:val="18"/>
              </w:rPr>
              <w:t>不溶于水的气体</w:t>
            </w:r>
          </w:p>
        </w:tc>
        <w:tc>
          <w:tcPr>
            <w:tcW w:w="971" w:type="dxa"/>
            <w:vAlign w:val="center"/>
          </w:tcPr>
          <w:p w14:paraId="7282684F">
            <w:pPr>
              <w:pStyle w:val="34"/>
              <w:rPr>
                <w:sz w:val="18"/>
                <w:szCs w:val="18"/>
              </w:rPr>
            </w:pPr>
            <w:r>
              <w:rPr>
                <w:rFonts w:hint="eastAsia"/>
                <w:sz w:val="18"/>
                <w:szCs w:val="18"/>
              </w:rPr>
              <w:t>800L钢瓶包装，常温高压运输</w:t>
            </w:r>
          </w:p>
        </w:tc>
      </w:tr>
      <w:tr w14:paraId="32130C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9785D6C">
            <w:pPr>
              <w:pStyle w:val="34"/>
              <w:numPr>
                <w:ilvl w:val="0"/>
                <w:numId w:val="55"/>
              </w:numPr>
              <w:rPr>
                <w:sz w:val="18"/>
                <w:szCs w:val="18"/>
              </w:rPr>
            </w:pPr>
          </w:p>
        </w:tc>
        <w:tc>
          <w:tcPr>
            <w:tcW w:w="1151" w:type="dxa"/>
            <w:gridSpan w:val="2"/>
            <w:vMerge w:val="continue"/>
            <w:vAlign w:val="center"/>
          </w:tcPr>
          <w:p w14:paraId="49A4E9AD">
            <w:pPr>
              <w:pStyle w:val="34"/>
              <w:rPr>
                <w:sz w:val="18"/>
                <w:szCs w:val="18"/>
              </w:rPr>
            </w:pPr>
          </w:p>
        </w:tc>
        <w:tc>
          <w:tcPr>
            <w:tcW w:w="1015" w:type="dxa"/>
            <w:gridSpan w:val="3"/>
            <w:vAlign w:val="center"/>
          </w:tcPr>
          <w:p w14:paraId="56A56BD6">
            <w:pPr>
              <w:pStyle w:val="34"/>
              <w:rPr>
                <w:sz w:val="18"/>
                <w:szCs w:val="18"/>
              </w:rPr>
            </w:pPr>
            <w:r>
              <w:rPr>
                <w:rFonts w:hint="eastAsia"/>
                <w:sz w:val="18"/>
                <w:szCs w:val="18"/>
              </w:rPr>
              <w:t>一氧化碳</w:t>
            </w:r>
          </w:p>
        </w:tc>
        <w:tc>
          <w:tcPr>
            <w:tcW w:w="3114" w:type="dxa"/>
            <w:vAlign w:val="center"/>
          </w:tcPr>
          <w:p w14:paraId="2326D05A">
            <w:pPr>
              <w:pStyle w:val="34"/>
              <w:rPr>
                <w:sz w:val="18"/>
                <w:szCs w:val="18"/>
              </w:rPr>
            </w:pPr>
            <w:r>
              <w:rPr>
                <w:sz w:val="18"/>
                <w:szCs w:val="18"/>
              </w:rPr>
              <w:t>易燃易爆气体。与空气混合能形成爆炸性混合物。遇明火、高热能引起燃烧爆炸。</w:t>
            </w:r>
          </w:p>
        </w:tc>
        <w:tc>
          <w:tcPr>
            <w:tcW w:w="2840" w:type="dxa"/>
            <w:vAlign w:val="center"/>
          </w:tcPr>
          <w:p w14:paraId="2313DDD8">
            <w:pPr>
              <w:pStyle w:val="34"/>
              <w:rPr>
                <w:sz w:val="18"/>
                <w:szCs w:val="18"/>
              </w:rPr>
            </w:pPr>
            <w:r>
              <w:rPr>
                <w:sz w:val="18"/>
                <w:szCs w:val="18"/>
              </w:rPr>
              <w:t>LC50：</w:t>
            </w:r>
            <w:r>
              <w:rPr>
                <w:rFonts w:hint="eastAsia"/>
                <w:sz w:val="18"/>
                <w:szCs w:val="18"/>
              </w:rPr>
              <w:t>2069mg/m</w:t>
            </w:r>
            <w:r>
              <w:rPr>
                <w:rFonts w:hint="eastAsia"/>
                <w:sz w:val="18"/>
                <w:szCs w:val="18"/>
                <w:vertAlign w:val="superscript"/>
              </w:rPr>
              <w:t>3</w:t>
            </w:r>
            <w:r>
              <w:rPr>
                <w:sz w:val="18"/>
                <w:szCs w:val="18"/>
              </w:rPr>
              <w:t>（大鼠吸入，4小时）</w:t>
            </w:r>
          </w:p>
        </w:tc>
        <w:tc>
          <w:tcPr>
            <w:tcW w:w="3270" w:type="dxa"/>
            <w:vAlign w:val="center"/>
          </w:tcPr>
          <w:p w14:paraId="4C327671">
            <w:pPr>
              <w:pStyle w:val="34"/>
              <w:rPr>
                <w:sz w:val="18"/>
                <w:szCs w:val="18"/>
              </w:rPr>
            </w:pPr>
            <w:r>
              <w:rPr>
                <w:rFonts w:hint="eastAsia"/>
                <w:sz w:val="18"/>
                <w:szCs w:val="18"/>
              </w:rPr>
              <w:t>轻度中毒者出现头痛、头晕、耳鸣、心悸、恶心、呕吐、无力，血液碳氧血红蛋白浓度可高于10%.</w:t>
            </w:r>
          </w:p>
        </w:tc>
        <w:tc>
          <w:tcPr>
            <w:tcW w:w="1440" w:type="dxa"/>
            <w:vAlign w:val="center"/>
          </w:tcPr>
          <w:p w14:paraId="46F6B820">
            <w:pPr>
              <w:pStyle w:val="34"/>
              <w:rPr>
                <w:sz w:val="18"/>
                <w:szCs w:val="18"/>
              </w:rPr>
            </w:pPr>
            <w:r>
              <w:rPr>
                <w:sz w:val="18"/>
                <w:szCs w:val="18"/>
              </w:rPr>
              <w:t>难溶于水的气体</w:t>
            </w:r>
          </w:p>
        </w:tc>
        <w:tc>
          <w:tcPr>
            <w:tcW w:w="971" w:type="dxa"/>
            <w:vAlign w:val="center"/>
          </w:tcPr>
          <w:p w14:paraId="02026CC2">
            <w:pPr>
              <w:pStyle w:val="34"/>
              <w:rPr>
                <w:sz w:val="18"/>
                <w:szCs w:val="18"/>
              </w:rPr>
            </w:pPr>
            <w:r>
              <w:rPr>
                <w:rFonts w:hint="eastAsia"/>
                <w:sz w:val="18"/>
                <w:szCs w:val="18"/>
              </w:rPr>
              <w:t>40L钢瓶包装，常温常压运输</w:t>
            </w:r>
          </w:p>
        </w:tc>
      </w:tr>
      <w:tr w14:paraId="5395CA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C8B26A9">
            <w:pPr>
              <w:pStyle w:val="34"/>
              <w:numPr>
                <w:ilvl w:val="0"/>
                <w:numId w:val="55"/>
              </w:numPr>
              <w:rPr>
                <w:sz w:val="18"/>
                <w:szCs w:val="18"/>
              </w:rPr>
            </w:pPr>
          </w:p>
        </w:tc>
        <w:tc>
          <w:tcPr>
            <w:tcW w:w="584" w:type="dxa"/>
            <w:vMerge w:val="restart"/>
            <w:vAlign w:val="center"/>
          </w:tcPr>
          <w:p w14:paraId="015720EE">
            <w:pPr>
              <w:pStyle w:val="34"/>
              <w:rPr>
                <w:sz w:val="18"/>
                <w:szCs w:val="18"/>
              </w:rPr>
            </w:pPr>
            <w:r>
              <w:rPr>
                <w:sz w:val="18"/>
                <w:szCs w:val="18"/>
              </w:rPr>
              <w:t>液体</w:t>
            </w:r>
          </w:p>
          <w:p w14:paraId="0696E8F6">
            <w:pPr>
              <w:pStyle w:val="34"/>
              <w:rPr>
                <w:sz w:val="18"/>
                <w:szCs w:val="18"/>
              </w:rPr>
            </w:pPr>
            <w:r>
              <w:rPr>
                <w:sz w:val="18"/>
                <w:szCs w:val="18"/>
              </w:rPr>
              <w:t>物质</w:t>
            </w:r>
          </w:p>
        </w:tc>
        <w:tc>
          <w:tcPr>
            <w:tcW w:w="567" w:type="dxa"/>
            <w:vMerge w:val="restart"/>
            <w:vAlign w:val="center"/>
          </w:tcPr>
          <w:p w14:paraId="6673D612">
            <w:pPr>
              <w:pStyle w:val="34"/>
              <w:rPr>
                <w:sz w:val="18"/>
                <w:szCs w:val="18"/>
              </w:rPr>
            </w:pPr>
            <w:r>
              <w:rPr>
                <w:sz w:val="18"/>
                <w:szCs w:val="18"/>
              </w:rPr>
              <w:t>可溶</w:t>
            </w:r>
            <w:r>
              <w:rPr>
                <w:rFonts w:hint="eastAsia"/>
                <w:sz w:val="18"/>
                <w:szCs w:val="18"/>
              </w:rPr>
              <w:t>/易溶</w:t>
            </w:r>
          </w:p>
        </w:tc>
        <w:tc>
          <w:tcPr>
            <w:tcW w:w="419" w:type="dxa"/>
            <w:vMerge w:val="restart"/>
            <w:vAlign w:val="center"/>
          </w:tcPr>
          <w:p w14:paraId="04E8586D">
            <w:pPr>
              <w:pStyle w:val="34"/>
              <w:rPr>
                <w:sz w:val="18"/>
                <w:szCs w:val="18"/>
              </w:rPr>
            </w:pPr>
            <w:r>
              <w:rPr>
                <w:sz w:val="18"/>
                <w:szCs w:val="18"/>
              </w:rPr>
              <w:t>无机</w:t>
            </w:r>
          </w:p>
        </w:tc>
        <w:tc>
          <w:tcPr>
            <w:tcW w:w="573" w:type="dxa"/>
            <w:vAlign w:val="center"/>
          </w:tcPr>
          <w:p w14:paraId="609506B1">
            <w:pPr>
              <w:pStyle w:val="34"/>
              <w:rPr>
                <w:sz w:val="18"/>
                <w:szCs w:val="18"/>
              </w:rPr>
            </w:pPr>
            <w:r>
              <w:rPr>
                <w:rFonts w:hint="eastAsia"/>
                <w:sz w:val="18"/>
                <w:szCs w:val="18"/>
              </w:rPr>
              <w:t>三氟化溴</w:t>
            </w:r>
          </w:p>
        </w:tc>
        <w:tc>
          <w:tcPr>
            <w:tcW w:w="3137" w:type="dxa"/>
            <w:gridSpan w:val="2"/>
            <w:vAlign w:val="center"/>
          </w:tcPr>
          <w:p w14:paraId="502E9DE0">
            <w:pPr>
              <w:pStyle w:val="34"/>
              <w:rPr>
                <w:sz w:val="18"/>
                <w:szCs w:val="18"/>
              </w:rPr>
            </w:pPr>
            <w:r>
              <w:rPr>
                <w:sz w:val="18"/>
                <w:szCs w:val="18"/>
              </w:rPr>
              <w:t>强氧化剂。化学反应活性很高，能与许多化学物质发生爆炸性反应。与易燃物、有机物接触易着火燃烧。遇水发生剧烈反应，产生剧毒的腐蚀性氟化氢气体。受高热或解除酸或酸雾放出剧毒的烟雾，有强腐蚀性。</w:t>
            </w:r>
          </w:p>
          <w:p w14:paraId="276B7198">
            <w:pPr>
              <w:pStyle w:val="34"/>
              <w:rPr>
                <w:sz w:val="18"/>
                <w:szCs w:val="18"/>
              </w:rPr>
            </w:pPr>
            <w:r>
              <w:rPr>
                <w:rFonts w:hint="eastAsia"/>
                <w:sz w:val="18"/>
                <w:szCs w:val="18"/>
              </w:rPr>
              <w:t>燃烧产物：溴化氰、氟化氢</w:t>
            </w:r>
          </w:p>
        </w:tc>
        <w:tc>
          <w:tcPr>
            <w:tcW w:w="2840" w:type="dxa"/>
            <w:vAlign w:val="center"/>
          </w:tcPr>
          <w:p w14:paraId="5FF1982D">
            <w:pPr>
              <w:pStyle w:val="34"/>
              <w:rPr>
                <w:sz w:val="18"/>
                <w:szCs w:val="18"/>
              </w:rPr>
            </w:pPr>
            <w:r>
              <w:rPr>
                <w:rFonts w:hint="eastAsia"/>
                <w:sz w:val="18"/>
                <w:szCs w:val="18"/>
              </w:rPr>
              <w:t>-</w:t>
            </w:r>
          </w:p>
        </w:tc>
        <w:tc>
          <w:tcPr>
            <w:tcW w:w="3270" w:type="dxa"/>
            <w:vAlign w:val="center"/>
          </w:tcPr>
          <w:p w14:paraId="5267ECE2">
            <w:pPr>
              <w:pStyle w:val="34"/>
              <w:rPr>
                <w:sz w:val="18"/>
                <w:szCs w:val="18"/>
              </w:rPr>
            </w:pPr>
            <w:r>
              <w:rPr>
                <w:sz w:val="18"/>
                <w:szCs w:val="18"/>
              </w:rPr>
              <w:t>吸入蒸气会中毒，严重灼伤皮肤、眼睛和粘膜。</w:t>
            </w:r>
          </w:p>
        </w:tc>
        <w:tc>
          <w:tcPr>
            <w:tcW w:w="1440" w:type="dxa"/>
            <w:vAlign w:val="center"/>
          </w:tcPr>
          <w:p w14:paraId="77F78193">
            <w:pPr>
              <w:pStyle w:val="34"/>
              <w:rPr>
                <w:sz w:val="18"/>
                <w:szCs w:val="18"/>
              </w:rPr>
            </w:pPr>
            <w:r>
              <w:rPr>
                <w:rFonts w:hint="eastAsia"/>
                <w:sz w:val="18"/>
                <w:szCs w:val="18"/>
              </w:rPr>
              <w:t>具有水生生物毒性</w:t>
            </w:r>
          </w:p>
        </w:tc>
        <w:tc>
          <w:tcPr>
            <w:tcW w:w="971" w:type="dxa"/>
            <w:vAlign w:val="center"/>
          </w:tcPr>
          <w:p w14:paraId="6D32DEAF">
            <w:pPr>
              <w:pStyle w:val="34"/>
              <w:rPr>
                <w:sz w:val="18"/>
                <w:szCs w:val="18"/>
              </w:rPr>
            </w:pPr>
            <w:r>
              <w:rPr>
                <w:rFonts w:hint="eastAsia"/>
                <w:sz w:val="18"/>
                <w:szCs w:val="18"/>
              </w:rPr>
              <w:t>25kg聚乙烯桶，常温常压运输</w:t>
            </w:r>
          </w:p>
        </w:tc>
      </w:tr>
      <w:tr w14:paraId="5A958B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347ACC49">
            <w:pPr>
              <w:pStyle w:val="34"/>
              <w:numPr>
                <w:ilvl w:val="0"/>
                <w:numId w:val="55"/>
              </w:numPr>
              <w:rPr>
                <w:sz w:val="18"/>
                <w:szCs w:val="18"/>
              </w:rPr>
            </w:pPr>
          </w:p>
        </w:tc>
        <w:tc>
          <w:tcPr>
            <w:tcW w:w="584" w:type="dxa"/>
            <w:vMerge w:val="continue"/>
            <w:vAlign w:val="center"/>
          </w:tcPr>
          <w:p w14:paraId="65FBEA7A">
            <w:pPr>
              <w:pStyle w:val="34"/>
              <w:rPr>
                <w:sz w:val="18"/>
                <w:szCs w:val="18"/>
              </w:rPr>
            </w:pPr>
          </w:p>
        </w:tc>
        <w:tc>
          <w:tcPr>
            <w:tcW w:w="567" w:type="dxa"/>
            <w:vMerge w:val="continue"/>
            <w:vAlign w:val="center"/>
          </w:tcPr>
          <w:p w14:paraId="0C5F41FC">
            <w:pPr>
              <w:pStyle w:val="34"/>
              <w:rPr>
                <w:sz w:val="18"/>
                <w:szCs w:val="18"/>
              </w:rPr>
            </w:pPr>
          </w:p>
        </w:tc>
        <w:tc>
          <w:tcPr>
            <w:tcW w:w="419" w:type="dxa"/>
            <w:vMerge w:val="continue"/>
            <w:vAlign w:val="center"/>
          </w:tcPr>
          <w:p w14:paraId="3D731718">
            <w:pPr>
              <w:pStyle w:val="34"/>
              <w:rPr>
                <w:sz w:val="18"/>
                <w:szCs w:val="18"/>
              </w:rPr>
            </w:pPr>
          </w:p>
        </w:tc>
        <w:tc>
          <w:tcPr>
            <w:tcW w:w="573" w:type="dxa"/>
            <w:vAlign w:val="center"/>
          </w:tcPr>
          <w:p w14:paraId="0349D68E">
            <w:pPr>
              <w:pStyle w:val="34"/>
              <w:rPr>
                <w:sz w:val="18"/>
                <w:szCs w:val="18"/>
              </w:rPr>
            </w:pPr>
            <w:r>
              <w:rPr>
                <w:rFonts w:hint="eastAsia"/>
                <w:sz w:val="18"/>
                <w:szCs w:val="18"/>
              </w:rPr>
              <w:t>氟化氢</w:t>
            </w:r>
          </w:p>
        </w:tc>
        <w:tc>
          <w:tcPr>
            <w:tcW w:w="3137" w:type="dxa"/>
            <w:gridSpan w:val="2"/>
            <w:vAlign w:val="center"/>
          </w:tcPr>
          <w:p w14:paraId="42B8A91A">
            <w:pPr>
              <w:pStyle w:val="34"/>
              <w:rPr>
                <w:sz w:val="18"/>
                <w:szCs w:val="18"/>
              </w:rPr>
            </w:pPr>
            <w:r>
              <w:rPr>
                <w:rFonts w:hint="eastAsia"/>
                <w:sz w:val="18"/>
                <w:szCs w:val="18"/>
              </w:rPr>
              <w:t>不燃，高毒，具强腐蚀性、强刺激性，可致人体灼伤。氟化氢为反应性极强的物质，能与各种物质发生反应。腐蚀性极强。</w:t>
            </w:r>
          </w:p>
        </w:tc>
        <w:tc>
          <w:tcPr>
            <w:tcW w:w="2840" w:type="dxa"/>
            <w:vAlign w:val="center"/>
          </w:tcPr>
          <w:p w14:paraId="413C2809">
            <w:pPr>
              <w:pStyle w:val="34"/>
              <w:rPr>
                <w:sz w:val="18"/>
                <w:szCs w:val="18"/>
              </w:rPr>
            </w:pPr>
            <w:r>
              <w:rPr>
                <w:rFonts w:hint="eastAsia"/>
                <w:sz w:val="18"/>
                <w:szCs w:val="18"/>
              </w:rPr>
              <w:t>LC50：1044mg/m</w:t>
            </w:r>
            <w:r>
              <w:rPr>
                <w:rFonts w:hint="eastAsia"/>
                <w:sz w:val="18"/>
                <w:szCs w:val="18"/>
                <w:vertAlign w:val="superscript"/>
              </w:rPr>
              <w:t>3</w:t>
            </w:r>
            <w:r>
              <w:rPr>
                <w:rFonts w:hint="eastAsia"/>
                <w:sz w:val="18"/>
                <w:szCs w:val="18"/>
              </w:rPr>
              <w:t xml:space="preserve"> (大鼠吸入，1小时)</w:t>
            </w:r>
          </w:p>
        </w:tc>
        <w:tc>
          <w:tcPr>
            <w:tcW w:w="3270" w:type="dxa"/>
            <w:vAlign w:val="center"/>
          </w:tcPr>
          <w:p w14:paraId="3BD8A6BB">
            <w:pPr>
              <w:pStyle w:val="34"/>
              <w:rPr>
                <w:sz w:val="18"/>
                <w:szCs w:val="18"/>
              </w:rPr>
            </w:pPr>
            <w:r>
              <w:rPr>
                <w:rFonts w:hint="eastAsia"/>
                <w:sz w:val="18"/>
                <w:szCs w:val="18"/>
              </w:rPr>
              <w:t>对呼吸道粘膜及皮肤有强烈的刺激和腐蚀作用。急性中毒:吸入较高浓度氟化氢，可引起眼及呼吸道粘膜</w:t>
            </w:r>
            <w:r>
              <w:rPr>
                <w:rFonts w:hint="eastAsia"/>
                <w:sz w:val="18"/>
                <w:szCs w:val="18"/>
                <w:lang w:eastAsia="zh-CN"/>
              </w:rPr>
              <w:t>刺激征</w:t>
            </w:r>
            <w:r>
              <w:rPr>
                <w:rFonts w:hint="eastAsia"/>
                <w:sz w:val="18"/>
                <w:szCs w:val="18"/>
              </w:rPr>
              <w:t>状，严重者可发生支气管炎、肺或肺水肿，甚至发生反射性室息。眼接触局部剧烈疼痛，重者角膜损伤，甚至发生穿孔。氢氟酸皮肤灼伤初期皮肤潮红、干燥。创面苍白，坏死，继而呈紫黑色或灰黑色。深部灼伤或处理不当时，可形成难以煎合的深溃疡，损及骨膜和骨质。本品灼伤疼痛剧烈。慢性影响:眼和上呼吸道</w:t>
            </w:r>
            <w:r>
              <w:rPr>
                <w:rFonts w:hint="eastAsia"/>
                <w:sz w:val="18"/>
                <w:szCs w:val="18"/>
                <w:lang w:eastAsia="zh-CN"/>
              </w:rPr>
              <w:t>刺激征</w:t>
            </w:r>
            <w:r>
              <w:rPr>
                <w:rFonts w:hint="eastAsia"/>
                <w:sz w:val="18"/>
                <w:szCs w:val="18"/>
              </w:rPr>
              <w:t>状，或有鼻衄，嗅觉减退。可有牙齿酸蚀症。</w:t>
            </w:r>
          </w:p>
        </w:tc>
        <w:tc>
          <w:tcPr>
            <w:tcW w:w="1440" w:type="dxa"/>
            <w:vAlign w:val="center"/>
          </w:tcPr>
          <w:p w14:paraId="01811606">
            <w:pPr>
              <w:pStyle w:val="34"/>
              <w:rPr>
                <w:sz w:val="18"/>
                <w:szCs w:val="18"/>
              </w:rPr>
            </w:pPr>
            <w:r>
              <w:rPr>
                <w:sz w:val="18"/>
                <w:szCs w:val="18"/>
              </w:rPr>
              <w:t>酸性物质，酸性环境通常会降低鱼类血液pH值，影响动物的摄食，降低摄食强度和对食物的吸收率。</w:t>
            </w:r>
          </w:p>
        </w:tc>
        <w:tc>
          <w:tcPr>
            <w:tcW w:w="971" w:type="dxa"/>
            <w:vAlign w:val="center"/>
          </w:tcPr>
          <w:p w14:paraId="50369F99">
            <w:pPr>
              <w:pStyle w:val="34"/>
              <w:rPr>
                <w:sz w:val="18"/>
                <w:szCs w:val="18"/>
              </w:rPr>
            </w:pPr>
            <w:r>
              <w:rPr>
                <w:rFonts w:hint="eastAsia"/>
                <w:sz w:val="18"/>
                <w:szCs w:val="18"/>
              </w:rPr>
              <w:t>1.0t聚乙烯桶装，常温高压运输</w:t>
            </w:r>
          </w:p>
        </w:tc>
      </w:tr>
      <w:tr w14:paraId="741C4D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36288BA8">
            <w:pPr>
              <w:pStyle w:val="34"/>
              <w:numPr>
                <w:ilvl w:val="0"/>
                <w:numId w:val="55"/>
              </w:numPr>
              <w:rPr>
                <w:sz w:val="18"/>
                <w:szCs w:val="18"/>
              </w:rPr>
            </w:pPr>
          </w:p>
        </w:tc>
        <w:tc>
          <w:tcPr>
            <w:tcW w:w="584" w:type="dxa"/>
            <w:vMerge w:val="continue"/>
            <w:vAlign w:val="center"/>
          </w:tcPr>
          <w:p w14:paraId="4C827396">
            <w:pPr>
              <w:pStyle w:val="34"/>
              <w:rPr>
                <w:sz w:val="18"/>
                <w:szCs w:val="18"/>
              </w:rPr>
            </w:pPr>
          </w:p>
        </w:tc>
        <w:tc>
          <w:tcPr>
            <w:tcW w:w="567" w:type="dxa"/>
            <w:vMerge w:val="continue"/>
            <w:vAlign w:val="center"/>
          </w:tcPr>
          <w:p w14:paraId="43992D3D">
            <w:pPr>
              <w:pStyle w:val="34"/>
              <w:rPr>
                <w:sz w:val="18"/>
                <w:szCs w:val="18"/>
              </w:rPr>
            </w:pPr>
          </w:p>
        </w:tc>
        <w:tc>
          <w:tcPr>
            <w:tcW w:w="419" w:type="dxa"/>
            <w:vMerge w:val="continue"/>
            <w:vAlign w:val="center"/>
          </w:tcPr>
          <w:p w14:paraId="66695EA4">
            <w:pPr>
              <w:pStyle w:val="34"/>
              <w:rPr>
                <w:sz w:val="18"/>
                <w:szCs w:val="18"/>
              </w:rPr>
            </w:pPr>
          </w:p>
        </w:tc>
        <w:tc>
          <w:tcPr>
            <w:tcW w:w="573" w:type="dxa"/>
            <w:vAlign w:val="center"/>
          </w:tcPr>
          <w:p w14:paraId="73609F7A">
            <w:pPr>
              <w:pStyle w:val="34"/>
              <w:rPr>
                <w:sz w:val="18"/>
                <w:szCs w:val="18"/>
              </w:rPr>
            </w:pPr>
            <w:r>
              <w:rPr>
                <w:rFonts w:hint="eastAsia"/>
                <w:sz w:val="18"/>
                <w:szCs w:val="18"/>
              </w:rPr>
              <w:t>硫酸</w:t>
            </w:r>
          </w:p>
        </w:tc>
        <w:tc>
          <w:tcPr>
            <w:tcW w:w="3137" w:type="dxa"/>
            <w:gridSpan w:val="2"/>
            <w:vAlign w:val="center"/>
          </w:tcPr>
          <w:p w14:paraId="5CD30CB8">
            <w:pPr>
              <w:pStyle w:val="34"/>
              <w:rPr>
                <w:sz w:val="18"/>
                <w:szCs w:val="18"/>
              </w:rPr>
            </w:pPr>
            <w:r>
              <w:rPr>
                <w:rFonts w:hint="eastAsia"/>
                <w:sz w:val="18"/>
                <w:szCs w:val="18"/>
              </w:rPr>
              <w:t>与易燃物(如苯)和有机物(如糖、纤维素等)接触会发生剧烈反应，甚至引起燃烧。能与一些活性金属粉末发生反应，放出氢气。遇水大量放热，可发生沸溅。具有强腐蚀性。能腐蚀绝大多数金属和塑料、橡胶及涂料。</w:t>
            </w:r>
          </w:p>
        </w:tc>
        <w:tc>
          <w:tcPr>
            <w:tcW w:w="2840" w:type="dxa"/>
            <w:vAlign w:val="center"/>
          </w:tcPr>
          <w:p w14:paraId="279BE35C">
            <w:pPr>
              <w:pStyle w:val="34"/>
              <w:rPr>
                <w:sz w:val="18"/>
                <w:szCs w:val="18"/>
              </w:rPr>
            </w:pPr>
            <w:r>
              <w:rPr>
                <w:sz w:val="18"/>
                <w:szCs w:val="18"/>
              </w:rPr>
              <w:t>LD50：</w:t>
            </w:r>
            <w:r>
              <w:rPr>
                <w:rFonts w:hint="eastAsia"/>
                <w:sz w:val="18"/>
                <w:szCs w:val="18"/>
              </w:rPr>
              <w:t>2140</w:t>
            </w:r>
            <w:r>
              <w:rPr>
                <w:sz w:val="18"/>
                <w:szCs w:val="18"/>
              </w:rPr>
              <w:t>mg</w:t>
            </w:r>
            <w:r>
              <w:rPr>
                <w:rFonts w:hint="eastAsia"/>
                <w:sz w:val="18"/>
                <w:szCs w:val="18"/>
              </w:rPr>
              <w:t>/</w:t>
            </w:r>
            <w:r>
              <w:rPr>
                <w:sz w:val="18"/>
                <w:szCs w:val="18"/>
              </w:rPr>
              <w:t>kg(大鼠经口)；</w:t>
            </w:r>
          </w:p>
          <w:p w14:paraId="226E0535">
            <w:pPr>
              <w:pStyle w:val="34"/>
              <w:rPr>
                <w:sz w:val="18"/>
                <w:szCs w:val="18"/>
              </w:rPr>
            </w:pPr>
            <w:r>
              <w:rPr>
                <w:sz w:val="18"/>
                <w:szCs w:val="18"/>
              </w:rPr>
              <w:t>LC50：</w:t>
            </w:r>
            <w:r>
              <w:rPr>
                <w:rFonts w:hint="eastAsia"/>
                <w:sz w:val="18"/>
                <w:szCs w:val="18"/>
              </w:rPr>
              <w:t>510</w:t>
            </w:r>
            <w:r>
              <w:rPr>
                <w:sz w:val="18"/>
                <w:szCs w:val="18"/>
              </w:rPr>
              <w:t>mg</w:t>
            </w:r>
            <w:r>
              <w:rPr>
                <w:rFonts w:hint="eastAsia"/>
                <w:sz w:val="18"/>
                <w:szCs w:val="18"/>
              </w:rPr>
              <w:t>/</w:t>
            </w:r>
            <w:r>
              <w:rPr>
                <w:sz w:val="18"/>
                <w:szCs w:val="18"/>
              </w:rPr>
              <w:t>m</w:t>
            </w:r>
            <w:r>
              <w:rPr>
                <w:sz w:val="18"/>
                <w:szCs w:val="18"/>
                <w:vertAlign w:val="superscript"/>
              </w:rPr>
              <w:t>3</w:t>
            </w:r>
            <w:r>
              <w:rPr>
                <w:sz w:val="18"/>
                <w:szCs w:val="18"/>
              </w:rPr>
              <w:t xml:space="preserve"> 2小时(</w:t>
            </w:r>
            <w:r>
              <w:rPr>
                <w:rFonts w:hint="eastAsia"/>
                <w:sz w:val="18"/>
                <w:szCs w:val="18"/>
              </w:rPr>
              <w:t>大</w:t>
            </w:r>
            <w:r>
              <w:rPr>
                <w:sz w:val="18"/>
                <w:szCs w:val="18"/>
              </w:rPr>
              <w:t>鼠吸入)；</w:t>
            </w:r>
            <w:r>
              <w:rPr>
                <w:rFonts w:hint="eastAsia"/>
                <w:sz w:val="18"/>
                <w:szCs w:val="18"/>
              </w:rPr>
              <w:t>320</w:t>
            </w:r>
            <w:r>
              <w:rPr>
                <w:sz w:val="18"/>
                <w:szCs w:val="18"/>
              </w:rPr>
              <w:t>mg</w:t>
            </w:r>
            <w:r>
              <w:rPr>
                <w:rFonts w:hint="eastAsia"/>
                <w:sz w:val="18"/>
                <w:szCs w:val="18"/>
              </w:rPr>
              <w:t>/</w:t>
            </w:r>
            <w:r>
              <w:rPr>
                <w:sz w:val="18"/>
                <w:szCs w:val="18"/>
              </w:rPr>
              <w:t>m</w:t>
            </w:r>
            <w:r>
              <w:rPr>
                <w:sz w:val="18"/>
                <w:szCs w:val="18"/>
                <w:vertAlign w:val="superscript"/>
              </w:rPr>
              <w:t>3</w:t>
            </w:r>
            <w:r>
              <w:rPr>
                <w:sz w:val="18"/>
                <w:szCs w:val="18"/>
              </w:rPr>
              <w:t xml:space="preserve"> 2小时(</w:t>
            </w:r>
            <w:r>
              <w:rPr>
                <w:rFonts w:hint="eastAsia"/>
                <w:sz w:val="18"/>
                <w:szCs w:val="18"/>
              </w:rPr>
              <w:t>小</w:t>
            </w:r>
            <w:r>
              <w:rPr>
                <w:sz w:val="18"/>
                <w:szCs w:val="18"/>
              </w:rPr>
              <w:t>鼠吸入)</w:t>
            </w:r>
          </w:p>
        </w:tc>
        <w:tc>
          <w:tcPr>
            <w:tcW w:w="3270" w:type="dxa"/>
            <w:vAlign w:val="center"/>
          </w:tcPr>
          <w:p w14:paraId="71CA9259">
            <w:pPr>
              <w:pStyle w:val="34"/>
              <w:rPr>
                <w:sz w:val="18"/>
                <w:szCs w:val="18"/>
              </w:rPr>
            </w:pPr>
            <w:r>
              <w:rPr>
                <w:rFonts w:hint="eastAsia"/>
                <w:sz w:val="18"/>
                <w:szCs w:val="18"/>
              </w:rPr>
              <w:t>对皮肤、粘膜等组织有强烈刺激和腐蚀作用。对眼睛可引起结膜炎、水肿、角膜混浊，以致失明;引起呼吸道</w:t>
            </w:r>
            <w:r>
              <w:rPr>
                <w:rFonts w:hint="eastAsia"/>
                <w:sz w:val="18"/>
                <w:szCs w:val="18"/>
                <w:lang w:eastAsia="zh-CN"/>
              </w:rPr>
              <w:t>刺激征</w:t>
            </w:r>
            <w:r>
              <w:rPr>
                <w:rFonts w:hint="eastAsia"/>
                <w:sz w:val="18"/>
                <w:szCs w:val="18"/>
              </w:rPr>
              <w:t>状，重者发生呼吸困难和肺水肿;高浓度引起喉痉挛或声门水肿而死亡。口服后引起消化道烧伤以至溃疡形成。严重者可能有胃穿孔，腹膜炎,喉痉挛和声门水肿、肾损害、休克等。皮肤灼伤轻者出现红斑、重者形成溃疡，愈后癍痕收缩影响功能。溅入眼内可造成灼伤，甚至角膜穿孔、全眼炎以至失明。慢性影响:牙齿酸蚀症、慢性支气管炎、肺气肿和肺硬化。</w:t>
            </w:r>
          </w:p>
        </w:tc>
        <w:tc>
          <w:tcPr>
            <w:tcW w:w="1440" w:type="dxa"/>
            <w:vAlign w:val="center"/>
          </w:tcPr>
          <w:p w14:paraId="035D6735">
            <w:pPr>
              <w:pStyle w:val="34"/>
              <w:rPr>
                <w:sz w:val="18"/>
                <w:szCs w:val="18"/>
              </w:rPr>
            </w:pPr>
            <w:r>
              <w:rPr>
                <w:sz w:val="18"/>
                <w:szCs w:val="18"/>
              </w:rPr>
              <w:t>酸性物质，酸性环境通常会降低鱼类血液pH值，影响动物的摄食，降低摄食强度和对食物的吸收率。</w:t>
            </w:r>
          </w:p>
        </w:tc>
        <w:tc>
          <w:tcPr>
            <w:tcW w:w="971" w:type="dxa"/>
            <w:vAlign w:val="center"/>
          </w:tcPr>
          <w:p w14:paraId="314D0DEF">
            <w:pPr>
              <w:pStyle w:val="34"/>
              <w:rPr>
                <w:sz w:val="18"/>
                <w:szCs w:val="18"/>
              </w:rPr>
            </w:pPr>
            <w:r>
              <w:rPr>
                <w:rFonts w:hint="eastAsia"/>
                <w:sz w:val="18"/>
                <w:szCs w:val="18"/>
              </w:rPr>
              <w:t>1t IBC桶，常温常压运输</w:t>
            </w:r>
          </w:p>
        </w:tc>
      </w:tr>
      <w:tr w14:paraId="693DE6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CDE0852">
            <w:pPr>
              <w:pStyle w:val="34"/>
              <w:numPr>
                <w:ilvl w:val="0"/>
                <w:numId w:val="55"/>
              </w:numPr>
              <w:rPr>
                <w:sz w:val="18"/>
                <w:szCs w:val="18"/>
              </w:rPr>
            </w:pPr>
          </w:p>
        </w:tc>
        <w:tc>
          <w:tcPr>
            <w:tcW w:w="584" w:type="dxa"/>
            <w:vMerge w:val="continue"/>
            <w:vAlign w:val="center"/>
          </w:tcPr>
          <w:p w14:paraId="6CF21D75">
            <w:pPr>
              <w:pStyle w:val="34"/>
              <w:rPr>
                <w:sz w:val="18"/>
                <w:szCs w:val="18"/>
              </w:rPr>
            </w:pPr>
          </w:p>
        </w:tc>
        <w:tc>
          <w:tcPr>
            <w:tcW w:w="567" w:type="dxa"/>
            <w:vMerge w:val="continue"/>
            <w:vAlign w:val="center"/>
          </w:tcPr>
          <w:p w14:paraId="1F611275">
            <w:pPr>
              <w:pStyle w:val="34"/>
              <w:rPr>
                <w:sz w:val="18"/>
                <w:szCs w:val="18"/>
              </w:rPr>
            </w:pPr>
          </w:p>
        </w:tc>
        <w:tc>
          <w:tcPr>
            <w:tcW w:w="419" w:type="dxa"/>
            <w:vMerge w:val="continue"/>
            <w:vAlign w:val="center"/>
          </w:tcPr>
          <w:p w14:paraId="6A0DDD35">
            <w:pPr>
              <w:pStyle w:val="34"/>
              <w:rPr>
                <w:sz w:val="18"/>
                <w:szCs w:val="18"/>
              </w:rPr>
            </w:pPr>
          </w:p>
        </w:tc>
        <w:tc>
          <w:tcPr>
            <w:tcW w:w="573" w:type="dxa"/>
            <w:vAlign w:val="center"/>
          </w:tcPr>
          <w:p w14:paraId="30EC17C4">
            <w:pPr>
              <w:pStyle w:val="34"/>
              <w:rPr>
                <w:sz w:val="18"/>
                <w:szCs w:val="18"/>
              </w:rPr>
            </w:pPr>
            <w:r>
              <w:rPr>
                <w:rFonts w:hint="eastAsia"/>
                <w:sz w:val="18"/>
                <w:szCs w:val="18"/>
              </w:rPr>
              <w:t>磷酸</w:t>
            </w:r>
          </w:p>
        </w:tc>
        <w:tc>
          <w:tcPr>
            <w:tcW w:w="3137" w:type="dxa"/>
            <w:gridSpan w:val="2"/>
            <w:vAlign w:val="center"/>
          </w:tcPr>
          <w:p w14:paraId="6C58880D">
            <w:pPr>
              <w:pStyle w:val="34"/>
              <w:rPr>
                <w:sz w:val="18"/>
                <w:szCs w:val="18"/>
              </w:rPr>
            </w:pPr>
            <w:r>
              <w:rPr>
                <w:sz w:val="18"/>
                <w:szCs w:val="18"/>
              </w:rPr>
              <w:t>有腐蚀性。受热分解产生剧毒的氧化磷烟气。 强酸；接触强腐蚀剂，放出大量热量，并发生溅射。与脂肪胺、链烷醇胺、烯基氧化物、芳香胺、氨基化合物、氨、氢氧化铵、碱、氧化钙、环氧氯丙烷、异氰酸酯不能配伍。与硝基甲烷、发烟硫酸、有机酸酐、硫酸、四硼氢化钠、强氧化剂、醋酸乙烯酯和水接触发生爆炸。接触大多数金属能形成易燃氢气。如果作为金属洗净剂，金属中的杂质能引起形成剧毒的磷化氢气体。能腐蚀某些塑料、橡胶、涂料、玻璃和陶瓷。</w:t>
            </w:r>
          </w:p>
        </w:tc>
        <w:tc>
          <w:tcPr>
            <w:tcW w:w="2840" w:type="dxa"/>
            <w:vAlign w:val="center"/>
          </w:tcPr>
          <w:p w14:paraId="1B68505D">
            <w:pPr>
              <w:pStyle w:val="34"/>
              <w:rPr>
                <w:sz w:val="18"/>
                <w:szCs w:val="18"/>
              </w:rPr>
            </w:pPr>
            <w:r>
              <w:rPr>
                <w:sz w:val="18"/>
                <w:szCs w:val="18"/>
              </w:rPr>
              <w:t>LD50：1530mg</w:t>
            </w:r>
            <w:r>
              <w:rPr>
                <w:rFonts w:hint="eastAsia"/>
                <w:sz w:val="18"/>
                <w:szCs w:val="18"/>
              </w:rPr>
              <w:t>/</w:t>
            </w:r>
            <w:r>
              <w:rPr>
                <w:sz w:val="18"/>
                <w:szCs w:val="18"/>
              </w:rPr>
              <w:t>kg(大鼠经口)；2740mg</w:t>
            </w:r>
            <w:r>
              <w:rPr>
                <w:rFonts w:hint="eastAsia"/>
                <w:sz w:val="18"/>
                <w:szCs w:val="18"/>
              </w:rPr>
              <w:t>/</w:t>
            </w:r>
            <w:r>
              <w:rPr>
                <w:sz w:val="18"/>
                <w:szCs w:val="18"/>
              </w:rPr>
              <w:t>kg(兔经皮)</w:t>
            </w:r>
          </w:p>
        </w:tc>
        <w:tc>
          <w:tcPr>
            <w:tcW w:w="3270" w:type="dxa"/>
            <w:vAlign w:val="center"/>
          </w:tcPr>
          <w:p w14:paraId="0BDFBA28">
            <w:pPr>
              <w:pStyle w:val="34"/>
              <w:rPr>
                <w:sz w:val="18"/>
                <w:szCs w:val="18"/>
              </w:rPr>
            </w:pPr>
            <w:r>
              <w:rPr>
                <w:sz w:val="18"/>
                <w:szCs w:val="18"/>
              </w:rPr>
              <w:t>蒸气或雾对眼、鼻、喉有刺激性。液体可致皮肤或眼灼伤。慢性影响：鼻粘膜萎缩，鼻中隔穿孔。长期反复皮肤接触，可引起皮肤刺激。</w:t>
            </w:r>
          </w:p>
        </w:tc>
        <w:tc>
          <w:tcPr>
            <w:tcW w:w="1440" w:type="dxa"/>
            <w:vAlign w:val="center"/>
          </w:tcPr>
          <w:p w14:paraId="20F5571E">
            <w:pPr>
              <w:pStyle w:val="34"/>
              <w:rPr>
                <w:sz w:val="18"/>
                <w:szCs w:val="18"/>
              </w:rPr>
            </w:pPr>
            <w:r>
              <w:rPr>
                <w:sz w:val="18"/>
                <w:szCs w:val="18"/>
              </w:rPr>
              <w:t>酸性物质，酸性环境通常会降低鱼类血液pH值，影响动物的摄食，降低摄食强度和对食物的吸收率。</w:t>
            </w:r>
          </w:p>
        </w:tc>
        <w:tc>
          <w:tcPr>
            <w:tcW w:w="971" w:type="dxa"/>
            <w:vAlign w:val="center"/>
          </w:tcPr>
          <w:p w14:paraId="7F1BD16B">
            <w:pPr>
              <w:pStyle w:val="34"/>
              <w:rPr>
                <w:sz w:val="18"/>
                <w:szCs w:val="18"/>
              </w:rPr>
            </w:pPr>
            <w:r>
              <w:rPr>
                <w:rFonts w:hint="eastAsia"/>
                <w:sz w:val="18"/>
                <w:szCs w:val="18"/>
              </w:rPr>
              <w:t>28t罐箱常温常压运输，最小包装单元35kg塑料桶</w:t>
            </w:r>
          </w:p>
        </w:tc>
      </w:tr>
      <w:tr w14:paraId="7857D3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6C30359">
            <w:pPr>
              <w:pStyle w:val="34"/>
              <w:numPr>
                <w:ilvl w:val="0"/>
                <w:numId w:val="55"/>
              </w:numPr>
              <w:rPr>
                <w:sz w:val="18"/>
                <w:szCs w:val="18"/>
              </w:rPr>
            </w:pPr>
          </w:p>
        </w:tc>
        <w:tc>
          <w:tcPr>
            <w:tcW w:w="584" w:type="dxa"/>
            <w:vMerge w:val="continue"/>
            <w:vAlign w:val="center"/>
          </w:tcPr>
          <w:p w14:paraId="0264296E">
            <w:pPr>
              <w:pStyle w:val="34"/>
              <w:rPr>
                <w:sz w:val="18"/>
                <w:szCs w:val="18"/>
              </w:rPr>
            </w:pPr>
          </w:p>
        </w:tc>
        <w:tc>
          <w:tcPr>
            <w:tcW w:w="567" w:type="dxa"/>
            <w:vMerge w:val="continue"/>
            <w:vAlign w:val="center"/>
          </w:tcPr>
          <w:p w14:paraId="579607FF">
            <w:pPr>
              <w:pStyle w:val="34"/>
              <w:rPr>
                <w:sz w:val="18"/>
                <w:szCs w:val="18"/>
              </w:rPr>
            </w:pPr>
          </w:p>
        </w:tc>
        <w:tc>
          <w:tcPr>
            <w:tcW w:w="419" w:type="dxa"/>
            <w:vMerge w:val="continue"/>
            <w:vAlign w:val="center"/>
          </w:tcPr>
          <w:p w14:paraId="31BDB3D5">
            <w:pPr>
              <w:pStyle w:val="34"/>
              <w:rPr>
                <w:sz w:val="18"/>
                <w:szCs w:val="18"/>
              </w:rPr>
            </w:pPr>
          </w:p>
        </w:tc>
        <w:tc>
          <w:tcPr>
            <w:tcW w:w="573" w:type="dxa"/>
            <w:vAlign w:val="center"/>
          </w:tcPr>
          <w:p w14:paraId="55A8B5F7">
            <w:pPr>
              <w:pStyle w:val="34"/>
              <w:rPr>
                <w:sz w:val="18"/>
                <w:szCs w:val="18"/>
              </w:rPr>
            </w:pPr>
            <w:r>
              <w:rPr>
                <w:rFonts w:hint="eastAsia"/>
                <w:sz w:val="18"/>
                <w:szCs w:val="18"/>
              </w:rPr>
              <w:t>氯磺酸</w:t>
            </w:r>
          </w:p>
        </w:tc>
        <w:tc>
          <w:tcPr>
            <w:tcW w:w="3137" w:type="dxa"/>
            <w:gridSpan w:val="2"/>
            <w:vAlign w:val="center"/>
          </w:tcPr>
          <w:p w14:paraId="4459986D">
            <w:pPr>
              <w:pStyle w:val="34"/>
              <w:rPr>
                <w:sz w:val="18"/>
                <w:szCs w:val="18"/>
              </w:rPr>
            </w:pPr>
            <w:r>
              <w:rPr>
                <w:rFonts w:hint="eastAsia"/>
                <w:sz w:val="18"/>
                <w:szCs w:val="18"/>
              </w:rPr>
              <w:t>强氧化剂。遇水猛烈分解，产生大量的热和浓烟，甚至发生爆炸。在潮湿空气中与金属接触，能离蚀金属并放出氢气，容易燃烧爆炸。与易燃(如苯)和可燃物(如糖、纤维素等)接触会发生剧烈反应，甚至引起燃烧，具有强腐蚀性。</w:t>
            </w:r>
          </w:p>
        </w:tc>
        <w:tc>
          <w:tcPr>
            <w:tcW w:w="2840" w:type="dxa"/>
            <w:vAlign w:val="center"/>
          </w:tcPr>
          <w:p w14:paraId="3C396351">
            <w:pPr>
              <w:pStyle w:val="34"/>
              <w:rPr>
                <w:sz w:val="18"/>
                <w:szCs w:val="18"/>
              </w:rPr>
            </w:pPr>
            <w:r>
              <w:rPr>
                <w:sz w:val="18"/>
                <w:szCs w:val="18"/>
              </w:rPr>
              <w:t>LD50：</w:t>
            </w:r>
            <w:r>
              <w:rPr>
                <w:rFonts w:hint="eastAsia"/>
                <w:sz w:val="18"/>
                <w:szCs w:val="18"/>
              </w:rPr>
              <w:t>50</w:t>
            </w:r>
            <w:r>
              <w:rPr>
                <w:sz w:val="18"/>
                <w:szCs w:val="18"/>
              </w:rPr>
              <w:t>mg</w:t>
            </w:r>
            <w:r>
              <w:rPr>
                <w:rFonts w:hint="eastAsia"/>
                <w:sz w:val="18"/>
                <w:szCs w:val="18"/>
              </w:rPr>
              <w:t>/</w:t>
            </w:r>
            <w:r>
              <w:rPr>
                <w:sz w:val="18"/>
                <w:szCs w:val="18"/>
              </w:rPr>
              <w:t>kg(大鼠经口)；</w:t>
            </w:r>
          </w:p>
          <w:p w14:paraId="00A3EC7A">
            <w:pPr>
              <w:pStyle w:val="34"/>
              <w:rPr>
                <w:sz w:val="18"/>
                <w:szCs w:val="18"/>
              </w:rPr>
            </w:pPr>
            <w:r>
              <w:rPr>
                <w:sz w:val="18"/>
                <w:szCs w:val="18"/>
              </w:rPr>
              <w:t>LC50：</w:t>
            </w:r>
            <w:r>
              <w:rPr>
                <w:rFonts w:hint="eastAsia"/>
                <w:sz w:val="18"/>
                <w:szCs w:val="18"/>
              </w:rPr>
              <w:t>38.5</w:t>
            </w:r>
            <w:r>
              <w:rPr>
                <w:sz w:val="18"/>
                <w:szCs w:val="18"/>
              </w:rPr>
              <w:t>mg</w:t>
            </w:r>
            <w:r>
              <w:rPr>
                <w:rFonts w:hint="eastAsia"/>
                <w:sz w:val="18"/>
                <w:szCs w:val="18"/>
              </w:rPr>
              <w:t>/</w:t>
            </w:r>
            <w:r>
              <w:rPr>
                <w:sz w:val="18"/>
                <w:szCs w:val="18"/>
              </w:rPr>
              <w:t>m</w:t>
            </w:r>
            <w:r>
              <w:rPr>
                <w:sz w:val="18"/>
                <w:szCs w:val="18"/>
                <w:vertAlign w:val="superscript"/>
              </w:rPr>
              <w:t>3</w:t>
            </w:r>
            <w:r>
              <w:rPr>
                <w:sz w:val="18"/>
                <w:szCs w:val="18"/>
              </w:rPr>
              <w:t xml:space="preserve"> (</w:t>
            </w:r>
            <w:r>
              <w:rPr>
                <w:rFonts w:hint="eastAsia"/>
                <w:sz w:val="18"/>
                <w:szCs w:val="18"/>
              </w:rPr>
              <w:t>大鼠</w:t>
            </w:r>
            <w:r>
              <w:rPr>
                <w:sz w:val="18"/>
                <w:szCs w:val="18"/>
              </w:rPr>
              <w:t>吸入，</w:t>
            </w:r>
            <w:r>
              <w:rPr>
                <w:rFonts w:hint="eastAsia"/>
                <w:sz w:val="18"/>
                <w:szCs w:val="18"/>
              </w:rPr>
              <w:t>4</w:t>
            </w:r>
            <w:r>
              <w:rPr>
                <w:sz w:val="18"/>
                <w:szCs w:val="18"/>
              </w:rPr>
              <w:t>小时) ；</w:t>
            </w:r>
            <w:r>
              <w:rPr>
                <w:rFonts w:hint="eastAsia"/>
                <w:sz w:val="18"/>
                <w:szCs w:val="18"/>
              </w:rPr>
              <w:t>52.5</w:t>
            </w:r>
            <w:r>
              <w:rPr>
                <w:sz w:val="18"/>
                <w:szCs w:val="18"/>
              </w:rPr>
              <w:t>mg</w:t>
            </w:r>
            <w:r>
              <w:rPr>
                <w:rFonts w:hint="eastAsia"/>
                <w:sz w:val="18"/>
                <w:szCs w:val="18"/>
              </w:rPr>
              <w:t>/</w:t>
            </w:r>
            <w:r>
              <w:rPr>
                <w:sz w:val="18"/>
                <w:szCs w:val="18"/>
              </w:rPr>
              <w:t>m</w:t>
            </w:r>
            <w:r>
              <w:rPr>
                <w:sz w:val="18"/>
                <w:szCs w:val="18"/>
                <w:vertAlign w:val="superscript"/>
              </w:rPr>
              <w:t>3</w:t>
            </w:r>
            <w:r>
              <w:rPr>
                <w:sz w:val="18"/>
                <w:szCs w:val="18"/>
              </w:rPr>
              <w:t xml:space="preserve"> (</w:t>
            </w:r>
            <w:r>
              <w:rPr>
                <w:rFonts w:hint="eastAsia"/>
                <w:sz w:val="18"/>
                <w:szCs w:val="18"/>
              </w:rPr>
              <w:t>小鼠</w:t>
            </w:r>
            <w:r>
              <w:rPr>
                <w:sz w:val="18"/>
                <w:szCs w:val="18"/>
              </w:rPr>
              <w:t>吸入，</w:t>
            </w:r>
            <w:r>
              <w:rPr>
                <w:rFonts w:hint="eastAsia"/>
                <w:sz w:val="18"/>
                <w:szCs w:val="18"/>
              </w:rPr>
              <w:t>2</w:t>
            </w:r>
            <w:r>
              <w:rPr>
                <w:sz w:val="18"/>
                <w:szCs w:val="18"/>
              </w:rPr>
              <w:t>小时)</w:t>
            </w:r>
          </w:p>
        </w:tc>
        <w:tc>
          <w:tcPr>
            <w:tcW w:w="3270" w:type="dxa"/>
            <w:vAlign w:val="center"/>
          </w:tcPr>
          <w:p w14:paraId="2BB3B3D4">
            <w:pPr>
              <w:pStyle w:val="34"/>
              <w:rPr>
                <w:sz w:val="18"/>
                <w:szCs w:val="18"/>
              </w:rPr>
            </w:pPr>
            <w:r>
              <w:rPr>
                <w:rFonts w:hint="eastAsia"/>
                <w:sz w:val="18"/>
                <w:szCs w:val="18"/>
              </w:rPr>
              <w:t>其蒸气对粘膜和呼吸道有明显刺激作用。临床表现有气短、咳嗽、胸痛、咽干痛以及流泪、流涕、痰中带血、恶心、无力等。吸入高浓度可引起化学性肺炎，甚至可发展为肺水肿。皮肤接触液体可致严重灼伤。</w:t>
            </w:r>
          </w:p>
        </w:tc>
        <w:tc>
          <w:tcPr>
            <w:tcW w:w="1440" w:type="dxa"/>
            <w:vAlign w:val="center"/>
          </w:tcPr>
          <w:p w14:paraId="280685A3">
            <w:pPr>
              <w:pStyle w:val="34"/>
              <w:rPr>
                <w:sz w:val="18"/>
                <w:szCs w:val="18"/>
              </w:rPr>
            </w:pPr>
            <w:r>
              <w:rPr>
                <w:sz w:val="18"/>
                <w:szCs w:val="18"/>
              </w:rPr>
              <w:t>酸性物质，酸性环境通常会降低鱼类血液pH值，影响动物的摄食，降低摄食强度和对食物的吸收率。灼伤鱼的鳃部和体表粘膜。</w:t>
            </w:r>
          </w:p>
        </w:tc>
        <w:tc>
          <w:tcPr>
            <w:tcW w:w="971" w:type="dxa"/>
            <w:vAlign w:val="center"/>
          </w:tcPr>
          <w:p w14:paraId="1D419758">
            <w:pPr>
              <w:pStyle w:val="34"/>
              <w:rPr>
                <w:sz w:val="18"/>
                <w:szCs w:val="18"/>
              </w:rPr>
            </w:pPr>
            <w:r>
              <w:rPr>
                <w:rFonts w:hint="eastAsia"/>
                <w:sz w:val="18"/>
                <w:szCs w:val="18"/>
              </w:rPr>
              <w:t>1t钢桶包装，常温常压运输</w:t>
            </w:r>
          </w:p>
        </w:tc>
      </w:tr>
      <w:tr w14:paraId="47163E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5C6C57E7">
            <w:pPr>
              <w:pStyle w:val="34"/>
              <w:numPr>
                <w:ilvl w:val="0"/>
                <w:numId w:val="55"/>
              </w:numPr>
              <w:rPr>
                <w:sz w:val="18"/>
                <w:szCs w:val="18"/>
              </w:rPr>
            </w:pPr>
          </w:p>
        </w:tc>
        <w:tc>
          <w:tcPr>
            <w:tcW w:w="584" w:type="dxa"/>
            <w:vMerge w:val="continue"/>
            <w:vAlign w:val="center"/>
          </w:tcPr>
          <w:p w14:paraId="437529FC">
            <w:pPr>
              <w:pStyle w:val="34"/>
              <w:rPr>
                <w:sz w:val="18"/>
                <w:szCs w:val="18"/>
              </w:rPr>
            </w:pPr>
          </w:p>
        </w:tc>
        <w:tc>
          <w:tcPr>
            <w:tcW w:w="567" w:type="dxa"/>
            <w:vMerge w:val="continue"/>
            <w:vAlign w:val="center"/>
          </w:tcPr>
          <w:p w14:paraId="00D88610">
            <w:pPr>
              <w:pStyle w:val="34"/>
              <w:rPr>
                <w:sz w:val="18"/>
                <w:szCs w:val="18"/>
              </w:rPr>
            </w:pPr>
          </w:p>
        </w:tc>
        <w:tc>
          <w:tcPr>
            <w:tcW w:w="419" w:type="dxa"/>
            <w:vMerge w:val="restart"/>
            <w:vAlign w:val="center"/>
          </w:tcPr>
          <w:p w14:paraId="0D9BBB4E">
            <w:pPr>
              <w:pStyle w:val="34"/>
              <w:rPr>
                <w:sz w:val="18"/>
                <w:szCs w:val="18"/>
              </w:rPr>
            </w:pPr>
            <w:r>
              <w:rPr>
                <w:sz w:val="18"/>
                <w:szCs w:val="18"/>
              </w:rPr>
              <w:t>有机</w:t>
            </w:r>
          </w:p>
        </w:tc>
        <w:tc>
          <w:tcPr>
            <w:tcW w:w="573" w:type="dxa"/>
            <w:vAlign w:val="center"/>
          </w:tcPr>
          <w:p w14:paraId="2A6D4840">
            <w:pPr>
              <w:pStyle w:val="34"/>
              <w:rPr>
                <w:sz w:val="18"/>
                <w:szCs w:val="18"/>
              </w:rPr>
            </w:pPr>
            <w:r>
              <w:rPr>
                <w:sz w:val="18"/>
                <w:szCs w:val="18"/>
              </w:rPr>
              <w:t>苯酚</w:t>
            </w:r>
          </w:p>
        </w:tc>
        <w:tc>
          <w:tcPr>
            <w:tcW w:w="3137" w:type="dxa"/>
            <w:gridSpan w:val="2"/>
            <w:vAlign w:val="center"/>
          </w:tcPr>
          <w:p w14:paraId="3D7984F9">
            <w:pPr>
              <w:pStyle w:val="34"/>
              <w:rPr>
                <w:sz w:val="18"/>
                <w:szCs w:val="18"/>
              </w:rPr>
            </w:pPr>
            <w:r>
              <w:rPr>
                <w:sz w:val="18"/>
                <w:szCs w:val="18"/>
              </w:rPr>
              <w:t>遇明火、高热或与氧化剂接触，有引起燃烧爆炸的危险。</w:t>
            </w:r>
          </w:p>
        </w:tc>
        <w:tc>
          <w:tcPr>
            <w:tcW w:w="2840" w:type="dxa"/>
            <w:vAlign w:val="center"/>
          </w:tcPr>
          <w:p w14:paraId="79EF0BC0">
            <w:pPr>
              <w:pStyle w:val="34"/>
              <w:rPr>
                <w:sz w:val="18"/>
                <w:szCs w:val="18"/>
              </w:rPr>
            </w:pPr>
            <w:r>
              <w:rPr>
                <w:sz w:val="18"/>
                <w:szCs w:val="18"/>
              </w:rPr>
              <w:t>LD50: 1120 mg</w:t>
            </w:r>
            <w:r>
              <w:rPr>
                <w:rFonts w:hint="eastAsia"/>
                <w:sz w:val="18"/>
                <w:szCs w:val="18"/>
              </w:rPr>
              <w:t>/</w:t>
            </w:r>
            <w:r>
              <w:rPr>
                <w:sz w:val="18"/>
                <w:szCs w:val="18"/>
              </w:rPr>
              <w:t>kg(大鼠经口); 1230 mg</w:t>
            </w:r>
            <w:r>
              <w:rPr>
                <w:rFonts w:hint="eastAsia"/>
                <w:sz w:val="18"/>
                <w:szCs w:val="18"/>
              </w:rPr>
              <w:t>/</w:t>
            </w:r>
            <w:r>
              <w:rPr>
                <w:sz w:val="18"/>
                <w:szCs w:val="18"/>
              </w:rPr>
              <w:t>kg(小鼠经口)</w:t>
            </w:r>
          </w:p>
        </w:tc>
        <w:tc>
          <w:tcPr>
            <w:tcW w:w="3270" w:type="dxa"/>
            <w:vAlign w:val="center"/>
          </w:tcPr>
          <w:p w14:paraId="62A2AB40">
            <w:pPr>
              <w:pStyle w:val="34"/>
              <w:rPr>
                <w:sz w:val="18"/>
                <w:szCs w:val="18"/>
              </w:rPr>
            </w:pPr>
            <w:r>
              <w:rPr>
                <w:rFonts w:hint="eastAsia"/>
                <w:sz w:val="18"/>
                <w:szCs w:val="18"/>
              </w:rPr>
              <w:t>对皮肤、粘膜有强烈的腐蚀作用，可抑制中枢神经和损害肝、肾功能。吸入高浓度蒸气可致消化道灼伤。眼接触可致灼伤。可经灼伤皮肤吸收引起中毒，表现为心律失常、休克、代谢性酸毒可引起头痛、头晕、咳嗽、食欲减退、恶心、呕吐，严重者引起蛋白尿。</w:t>
            </w:r>
          </w:p>
        </w:tc>
        <w:tc>
          <w:tcPr>
            <w:tcW w:w="1440" w:type="dxa"/>
            <w:vAlign w:val="center"/>
          </w:tcPr>
          <w:p w14:paraId="1590A2AD">
            <w:pPr>
              <w:pStyle w:val="34"/>
              <w:rPr>
                <w:sz w:val="18"/>
                <w:szCs w:val="18"/>
              </w:rPr>
            </w:pPr>
            <w:r>
              <w:rPr>
                <w:rFonts w:hint="eastAsia"/>
                <w:sz w:val="18"/>
                <w:szCs w:val="18"/>
              </w:rPr>
              <w:t>当水中含酚大于5mg/L 时，就会使鱼中毒死亡。水体中酚浓度低时能够影响鱼类的</w:t>
            </w:r>
            <w:r>
              <w:rPr>
                <w:rFonts w:hint="eastAsia"/>
                <w:sz w:val="18"/>
                <w:szCs w:val="18"/>
                <w:lang w:eastAsia="zh-CN"/>
              </w:rPr>
              <w:t>洄游</w:t>
            </w:r>
            <w:r>
              <w:rPr>
                <w:rFonts w:hint="eastAsia"/>
                <w:sz w:val="18"/>
                <w:szCs w:val="18"/>
              </w:rPr>
              <w:t>繁殖。苯酚浓度为 0.1～0.2mg/L 时鱼肉有酚味，浓度高引起鱼类大量死亡，甚至绝迹。水体中含酚类化合物时会使水体发臭，水生生物受这种水的影响，也带有臭味，这不仅使鱼贝类的质量下降，甚至使之无法食用。</w:t>
            </w:r>
          </w:p>
        </w:tc>
        <w:tc>
          <w:tcPr>
            <w:tcW w:w="971" w:type="dxa"/>
            <w:vAlign w:val="center"/>
          </w:tcPr>
          <w:p w14:paraId="68BD73F4">
            <w:pPr>
              <w:pStyle w:val="34"/>
              <w:rPr>
                <w:sz w:val="18"/>
                <w:szCs w:val="18"/>
              </w:rPr>
            </w:pPr>
            <w:r>
              <w:rPr>
                <w:rFonts w:hint="eastAsia"/>
                <w:sz w:val="18"/>
                <w:szCs w:val="18"/>
              </w:rPr>
              <w:t>200kg聚乙烯桶包装，常温常压运输</w:t>
            </w:r>
          </w:p>
        </w:tc>
      </w:tr>
      <w:tr w14:paraId="0A7216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3B74B656">
            <w:pPr>
              <w:pStyle w:val="34"/>
              <w:numPr>
                <w:ilvl w:val="0"/>
                <w:numId w:val="55"/>
              </w:numPr>
              <w:rPr>
                <w:sz w:val="18"/>
                <w:szCs w:val="18"/>
              </w:rPr>
            </w:pPr>
          </w:p>
        </w:tc>
        <w:tc>
          <w:tcPr>
            <w:tcW w:w="584" w:type="dxa"/>
            <w:vMerge w:val="continue"/>
            <w:vAlign w:val="center"/>
          </w:tcPr>
          <w:p w14:paraId="0783D5FD">
            <w:pPr>
              <w:pStyle w:val="34"/>
              <w:rPr>
                <w:sz w:val="18"/>
                <w:szCs w:val="18"/>
              </w:rPr>
            </w:pPr>
          </w:p>
        </w:tc>
        <w:tc>
          <w:tcPr>
            <w:tcW w:w="567" w:type="dxa"/>
            <w:vMerge w:val="continue"/>
            <w:vAlign w:val="center"/>
          </w:tcPr>
          <w:p w14:paraId="67B50F18">
            <w:pPr>
              <w:pStyle w:val="34"/>
              <w:rPr>
                <w:sz w:val="18"/>
                <w:szCs w:val="18"/>
              </w:rPr>
            </w:pPr>
          </w:p>
        </w:tc>
        <w:tc>
          <w:tcPr>
            <w:tcW w:w="419" w:type="dxa"/>
            <w:vMerge w:val="continue"/>
            <w:vAlign w:val="center"/>
          </w:tcPr>
          <w:p w14:paraId="2810F0CC">
            <w:pPr>
              <w:pStyle w:val="34"/>
              <w:rPr>
                <w:sz w:val="18"/>
                <w:szCs w:val="18"/>
              </w:rPr>
            </w:pPr>
          </w:p>
        </w:tc>
        <w:tc>
          <w:tcPr>
            <w:tcW w:w="573" w:type="dxa"/>
            <w:vAlign w:val="center"/>
          </w:tcPr>
          <w:p w14:paraId="2CF29D39">
            <w:pPr>
              <w:pStyle w:val="34"/>
              <w:rPr>
                <w:sz w:val="18"/>
                <w:szCs w:val="18"/>
              </w:rPr>
            </w:pPr>
            <w:r>
              <w:rPr>
                <w:sz w:val="18"/>
                <w:szCs w:val="18"/>
              </w:rPr>
              <w:t>甲醛</w:t>
            </w:r>
          </w:p>
        </w:tc>
        <w:tc>
          <w:tcPr>
            <w:tcW w:w="3137" w:type="dxa"/>
            <w:gridSpan w:val="2"/>
            <w:vAlign w:val="center"/>
          </w:tcPr>
          <w:p w14:paraId="728668BF">
            <w:pPr>
              <w:pStyle w:val="34"/>
              <w:rPr>
                <w:sz w:val="18"/>
                <w:szCs w:val="18"/>
              </w:rPr>
            </w:pPr>
            <w:r>
              <w:rPr>
                <w:sz w:val="18"/>
                <w:szCs w:val="18"/>
              </w:rPr>
              <w:t>蒸气与空气可形成爆炸性混合物，遇明火、高热能引起燃烧或爆炸，燃烧产物：</w:t>
            </w:r>
            <w:r>
              <w:rPr>
                <w:rFonts w:hint="eastAsia"/>
                <w:sz w:val="18"/>
                <w:szCs w:val="18"/>
              </w:rPr>
              <w:t>CO、CO</w:t>
            </w:r>
            <w:r>
              <w:rPr>
                <w:rFonts w:hint="eastAsia"/>
                <w:sz w:val="18"/>
                <w:szCs w:val="18"/>
                <w:vertAlign w:val="subscript"/>
              </w:rPr>
              <w:t>2</w:t>
            </w:r>
          </w:p>
        </w:tc>
        <w:tc>
          <w:tcPr>
            <w:tcW w:w="2840" w:type="dxa"/>
            <w:vAlign w:val="center"/>
          </w:tcPr>
          <w:p w14:paraId="296D6DCF">
            <w:pPr>
              <w:pStyle w:val="34"/>
              <w:rPr>
                <w:sz w:val="18"/>
                <w:szCs w:val="18"/>
              </w:rPr>
            </w:pPr>
            <w:r>
              <w:rPr>
                <w:rFonts w:hint="eastAsia"/>
                <w:sz w:val="18"/>
                <w:szCs w:val="18"/>
              </w:rPr>
              <w:t>急性毒性：大鼠经口LD50：100mg/kg；免经皮LD50：270mg/kg;大鼠</w:t>
            </w:r>
            <w:r>
              <w:rPr>
                <w:rFonts w:hint="eastAsia"/>
                <w:sz w:val="18"/>
                <w:szCs w:val="18"/>
                <w:lang w:eastAsia="zh-CN"/>
              </w:rPr>
              <w:t>吸入</w:t>
            </w:r>
            <w:r>
              <w:rPr>
                <w:rFonts w:hint="eastAsia"/>
                <w:sz w:val="18"/>
                <w:szCs w:val="18"/>
              </w:rPr>
              <w:t>LC50：590mg/m</w:t>
            </w:r>
            <w:r>
              <w:rPr>
                <w:rFonts w:hint="eastAsia"/>
                <w:sz w:val="18"/>
                <w:szCs w:val="18"/>
                <w:vertAlign w:val="superscript"/>
              </w:rPr>
              <w:t>3</w:t>
            </w:r>
          </w:p>
        </w:tc>
        <w:tc>
          <w:tcPr>
            <w:tcW w:w="3270" w:type="dxa"/>
            <w:vAlign w:val="center"/>
          </w:tcPr>
          <w:p w14:paraId="661A72F1">
            <w:pPr>
              <w:pStyle w:val="34"/>
              <w:rPr>
                <w:sz w:val="18"/>
                <w:szCs w:val="18"/>
              </w:rPr>
            </w:pPr>
            <w:r>
              <w:rPr>
                <w:rFonts w:hint="eastAsia"/>
                <w:sz w:val="18"/>
                <w:szCs w:val="18"/>
              </w:rPr>
              <w:t>人类致癌物。接触其蒸气，引起结膜炎、角膜炎、鼻炎、支气管炎；重者发生喉痉挛、声门水肿和肺炎等。可致眼和皮肤灼伤。</w:t>
            </w:r>
          </w:p>
        </w:tc>
        <w:tc>
          <w:tcPr>
            <w:tcW w:w="1440" w:type="dxa"/>
            <w:vAlign w:val="center"/>
          </w:tcPr>
          <w:p w14:paraId="1FB8721A">
            <w:pPr>
              <w:pStyle w:val="34"/>
              <w:rPr>
                <w:sz w:val="18"/>
                <w:szCs w:val="18"/>
              </w:rPr>
            </w:pPr>
            <w:r>
              <w:rPr>
                <w:sz w:val="18"/>
                <w:szCs w:val="18"/>
              </w:rPr>
              <w:t>少量甲醛溶于水中，可以起到一定程度的消毒、杀菌的作用。浓度过高会造成水生生物中毒。</w:t>
            </w:r>
          </w:p>
        </w:tc>
        <w:tc>
          <w:tcPr>
            <w:tcW w:w="971" w:type="dxa"/>
            <w:vAlign w:val="center"/>
          </w:tcPr>
          <w:p w14:paraId="01FE0E2A">
            <w:pPr>
              <w:pStyle w:val="34"/>
              <w:rPr>
                <w:sz w:val="18"/>
                <w:szCs w:val="18"/>
              </w:rPr>
            </w:pPr>
            <w:r>
              <w:rPr>
                <w:rFonts w:hint="eastAsia"/>
                <w:sz w:val="18"/>
                <w:szCs w:val="18"/>
              </w:rPr>
              <w:t>25kg铝罐包装，常温常压运输</w:t>
            </w:r>
          </w:p>
        </w:tc>
      </w:tr>
      <w:tr w14:paraId="7F3D6A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55C31FC6">
            <w:pPr>
              <w:pStyle w:val="34"/>
              <w:numPr>
                <w:ilvl w:val="0"/>
                <w:numId w:val="55"/>
              </w:numPr>
              <w:rPr>
                <w:sz w:val="18"/>
                <w:szCs w:val="18"/>
              </w:rPr>
            </w:pPr>
          </w:p>
        </w:tc>
        <w:tc>
          <w:tcPr>
            <w:tcW w:w="584" w:type="dxa"/>
            <w:vMerge w:val="continue"/>
            <w:vAlign w:val="center"/>
          </w:tcPr>
          <w:p w14:paraId="39A6BF9E">
            <w:pPr>
              <w:pStyle w:val="34"/>
              <w:rPr>
                <w:sz w:val="18"/>
                <w:szCs w:val="18"/>
              </w:rPr>
            </w:pPr>
          </w:p>
        </w:tc>
        <w:tc>
          <w:tcPr>
            <w:tcW w:w="567" w:type="dxa"/>
            <w:vMerge w:val="continue"/>
            <w:vAlign w:val="center"/>
          </w:tcPr>
          <w:p w14:paraId="4D11F301">
            <w:pPr>
              <w:pStyle w:val="34"/>
              <w:rPr>
                <w:sz w:val="18"/>
                <w:szCs w:val="18"/>
              </w:rPr>
            </w:pPr>
          </w:p>
        </w:tc>
        <w:tc>
          <w:tcPr>
            <w:tcW w:w="419" w:type="dxa"/>
            <w:vMerge w:val="continue"/>
            <w:vAlign w:val="center"/>
          </w:tcPr>
          <w:p w14:paraId="44A448B3">
            <w:pPr>
              <w:pStyle w:val="34"/>
              <w:rPr>
                <w:sz w:val="18"/>
                <w:szCs w:val="18"/>
              </w:rPr>
            </w:pPr>
          </w:p>
        </w:tc>
        <w:tc>
          <w:tcPr>
            <w:tcW w:w="573" w:type="dxa"/>
            <w:vAlign w:val="center"/>
          </w:tcPr>
          <w:p w14:paraId="6D85E4F9">
            <w:pPr>
              <w:pStyle w:val="34"/>
              <w:rPr>
                <w:sz w:val="18"/>
                <w:szCs w:val="18"/>
              </w:rPr>
            </w:pPr>
            <w:r>
              <w:rPr>
                <w:sz w:val="18"/>
                <w:szCs w:val="18"/>
              </w:rPr>
              <w:t>甲基三氯硅烷</w:t>
            </w:r>
          </w:p>
        </w:tc>
        <w:tc>
          <w:tcPr>
            <w:tcW w:w="3137" w:type="dxa"/>
            <w:gridSpan w:val="2"/>
            <w:vAlign w:val="center"/>
          </w:tcPr>
          <w:p w14:paraId="44AE1E84">
            <w:pPr>
              <w:pStyle w:val="34"/>
              <w:rPr>
                <w:sz w:val="18"/>
                <w:szCs w:val="18"/>
              </w:rPr>
            </w:pPr>
            <w:r>
              <w:rPr>
                <w:rFonts w:hint="eastAsia"/>
                <w:sz w:val="18"/>
                <w:szCs w:val="18"/>
              </w:rPr>
              <w:t>易燃,其蒸气与空气混合,能形成爆炸性混合物。遇水产生刺激性气体。</w:t>
            </w:r>
          </w:p>
        </w:tc>
        <w:tc>
          <w:tcPr>
            <w:tcW w:w="2840" w:type="dxa"/>
            <w:vAlign w:val="center"/>
          </w:tcPr>
          <w:p w14:paraId="66D583BE">
            <w:pPr>
              <w:pStyle w:val="34"/>
              <w:rPr>
                <w:sz w:val="18"/>
                <w:szCs w:val="18"/>
              </w:rPr>
            </w:pPr>
            <w:r>
              <w:rPr>
                <w:rFonts w:hint="eastAsia"/>
                <w:sz w:val="18"/>
                <w:szCs w:val="18"/>
              </w:rPr>
              <w:t>LD50:1620</w:t>
            </w:r>
            <w:r>
              <w:rPr>
                <w:sz w:val="18"/>
                <w:szCs w:val="18"/>
              </w:rPr>
              <w:t>μL</w:t>
            </w:r>
            <w:r>
              <w:rPr>
                <w:rFonts w:hint="eastAsia"/>
                <w:sz w:val="18"/>
                <w:szCs w:val="18"/>
              </w:rPr>
              <w:t xml:space="preserve"> (2173.6mg)/kg(大鼠经口)；840</w:t>
            </w:r>
            <w:r>
              <w:rPr>
                <w:sz w:val="18"/>
                <w:szCs w:val="18"/>
              </w:rPr>
              <w:t>μL</w:t>
            </w:r>
            <w:r>
              <w:rPr>
                <w:rFonts w:hint="eastAsia"/>
                <w:sz w:val="18"/>
                <w:szCs w:val="18"/>
              </w:rPr>
              <w:t xml:space="preserve"> (1075.2mg)/kg(兔经皮肤)；LC50：450ppm(大鼠吸入，4h)</w:t>
            </w:r>
          </w:p>
        </w:tc>
        <w:tc>
          <w:tcPr>
            <w:tcW w:w="3270" w:type="dxa"/>
            <w:vAlign w:val="center"/>
          </w:tcPr>
          <w:p w14:paraId="282C0F67">
            <w:pPr>
              <w:pStyle w:val="34"/>
              <w:rPr>
                <w:sz w:val="18"/>
                <w:szCs w:val="18"/>
              </w:rPr>
            </w:pPr>
            <w:r>
              <w:rPr>
                <w:rFonts w:hint="eastAsia"/>
                <w:sz w:val="18"/>
                <w:szCs w:val="18"/>
              </w:rPr>
              <w:t>对呼吸道和眼结膜有强烈刺激作用。接触者可有流泪、</w:t>
            </w:r>
            <w:r>
              <w:rPr>
                <w:rFonts w:hint="eastAsia"/>
                <w:sz w:val="18"/>
                <w:szCs w:val="18"/>
                <w:lang w:eastAsia="zh-CN"/>
              </w:rPr>
              <w:t>咳嗽</w:t>
            </w:r>
            <w:r>
              <w:rPr>
                <w:rFonts w:hint="eastAsia"/>
                <w:sz w:val="18"/>
                <w:szCs w:val="18"/>
              </w:rPr>
              <w:t>、头痛、恶心呕吐、喘息等症状。吸入后可因喉、支气管的痉挛、水肿，化学性肺炎、肺水肿而致死。食入腐蚀消化道。液体可致眼和皮肤灼伤。</w:t>
            </w:r>
          </w:p>
        </w:tc>
        <w:tc>
          <w:tcPr>
            <w:tcW w:w="1440" w:type="dxa"/>
            <w:vAlign w:val="center"/>
          </w:tcPr>
          <w:p w14:paraId="3D57B42A">
            <w:pPr>
              <w:pStyle w:val="34"/>
              <w:rPr>
                <w:sz w:val="18"/>
                <w:szCs w:val="18"/>
              </w:rPr>
            </w:pPr>
            <w:r>
              <w:rPr>
                <w:sz w:val="18"/>
                <w:szCs w:val="18"/>
              </w:rPr>
              <w:t>存在水生生物潜在危害</w:t>
            </w:r>
          </w:p>
        </w:tc>
        <w:tc>
          <w:tcPr>
            <w:tcW w:w="971" w:type="dxa"/>
            <w:vAlign w:val="center"/>
          </w:tcPr>
          <w:p w14:paraId="68A78F9D">
            <w:pPr>
              <w:pStyle w:val="34"/>
              <w:rPr>
                <w:sz w:val="18"/>
                <w:szCs w:val="18"/>
              </w:rPr>
            </w:pPr>
            <w:r>
              <w:rPr>
                <w:sz w:val="18"/>
                <w:szCs w:val="18"/>
              </w:rPr>
              <w:t>200kg塑料桶或铁桶包装，常温常压运输</w:t>
            </w:r>
          </w:p>
        </w:tc>
      </w:tr>
      <w:tr w14:paraId="0B3FD1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22BA2FD">
            <w:pPr>
              <w:pStyle w:val="34"/>
              <w:numPr>
                <w:ilvl w:val="0"/>
                <w:numId w:val="55"/>
              </w:numPr>
              <w:rPr>
                <w:sz w:val="18"/>
                <w:szCs w:val="18"/>
              </w:rPr>
            </w:pPr>
          </w:p>
        </w:tc>
        <w:tc>
          <w:tcPr>
            <w:tcW w:w="584" w:type="dxa"/>
            <w:vMerge w:val="continue"/>
            <w:vAlign w:val="center"/>
          </w:tcPr>
          <w:p w14:paraId="0F18B2BB">
            <w:pPr>
              <w:pStyle w:val="34"/>
              <w:rPr>
                <w:sz w:val="18"/>
                <w:szCs w:val="18"/>
              </w:rPr>
            </w:pPr>
          </w:p>
        </w:tc>
        <w:tc>
          <w:tcPr>
            <w:tcW w:w="567" w:type="dxa"/>
            <w:vMerge w:val="continue"/>
            <w:vAlign w:val="center"/>
          </w:tcPr>
          <w:p w14:paraId="418D7C49">
            <w:pPr>
              <w:pStyle w:val="34"/>
              <w:rPr>
                <w:sz w:val="18"/>
                <w:szCs w:val="18"/>
              </w:rPr>
            </w:pPr>
          </w:p>
        </w:tc>
        <w:tc>
          <w:tcPr>
            <w:tcW w:w="419" w:type="dxa"/>
            <w:vMerge w:val="continue"/>
            <w:vAlign w:val="center"/>
          </w:tcPr>
          <w:p w14:paraId="6BE5D9E1">
            <w:pPr>
              <w:pStyle w:val="34"/>
              <w:rPr>
                <w:sz w:val="18"/>
                <w:szCs w:val="18"/>
              </w:rPr>
            </w:pPr>
          </w:p>
        </w:tc>
        <w:tc>
          <w:tcPr>
            <w:tcW w:w="573" w:type="dxa"/>
            <w:vAlign w:val="center"/>
          </w:tcPr>
          <w:p w14:paraId="6BE47303">
            <w:pPr>
              <w:pStyle w:val="34"/>
              <w:rPr>
                <w:sz w:val="18"/>
                <w:szCs w:val="18"/>
              </w:rPr>
            </w:pPr>
            <w:r>
              <w:rPr>
                <w:sz w:val="18"/>
                <w:szCs w:val="18"/>
              </w:rPr>
              <w:t>乙醛</w:t>
            </w:r>
          </w:p>
        </w:tc>
        <w:tc>
          <w:tcPr>
            <w:tcW w:w="3137" w:type="dxa"/>
            <w:gridSpan w:val="2"/>
            <w:vAlign w:val="center"/>
          </w:tcPr>
          <w:p w14:paraId="361D380C">
            <w:pPr>
              <w:pStyle w:val="34"/>
              <w:rPr>
                <w:sz w:val="18"/>
                <w:szCs w:val="18"/>
              </w:rPr>
            </w:pPr>
            <w:r>
              <w:rPr>
                <w:sz w:val="18"/>
                <w:szCs w:val="18"/>
              </w:rPr>
              <w:t>其蒸气与空气形成爆炸性混合物，遇明火、高热极易燃烧爆炸。与氧化剂能发生强烈反应。其蒸气比空气重，能在较低处扩散到相当远的地方，遇火源引着回燃。若遇高热，可能发生聚合反应，出现大量放热现象，引起容器破裂和爆炸事故。</w:t>
            </w:r>
          </w:p>
        </w:tc>
        <w:tc>
          <w:tcPr>
            <w:tcW w:w="2840" w:type="dxa"/>
            <w:vAlign w:val="center"/>
          </w:tcPr>
          <w:p w14:paraId="19FBE4E0">
            <w:pPr>
              <w:pStyle w:val="34"/>
              <w:rPr>
                <w:sz w:val="18"/>
                <w:szCs w:val="18"/>
              </w:rPr>
            </w:pPr>
            <w:r>
              <w:rPr>
                <w:sz w:val="18"/>
                <w:szCs w:val="18"/>
              </w:rPr>
              <w:t>LD50：1930mg/kg(大鼠经口)</w:t>
            </w:r>
          </w:p>
          <w:p w14:paraId="6F8827E9">
            <w:pPr>
              <w:pStyle w:val="34"/>
              <w:rPr>
                <w:sz w:val="18"/>
                <w:szCs w:val="18"/>
              </w:rPr>
            </w:pPr>
            <w:r>
              <w:rPr>
                <w:sz w:val="18"/>
                <w:szCs w:val="18"/>
              </w:rPr>
              <w:t>LC50：37000mg</w:t>
            </w:r>
            <w:r>
              <w:rPr>
                <w:rFonts w:hint="eastAsia"/>
                <w:sz w:val="18"/>
                <w:szCs w:val="18"/>
              </w:rPr>
              <w:t>/</w:t>
            </w:r>
            <w:r>
              <w:rPr>
                <w:sz w:val="18"/>
                <w:szCs w:val="18"/>
              </w:rPr>
              <w:t>m</w:t>
            </w:r>
            <w:r>
              <w:rPr>
                <w:sz w:val="18"/>
                <w:szCs w:val="18"/>
                <w:vertAlign w:val="superscript"/>
              </w:rPr>
              <w:t>3</w:t>
            </w:r>
            <w:r>
              <w:rPr>
                <w:sz w:val="18"/>
                <w:szCs w:val="18"/>
              </w:rPr>
              <w:t xml:space="preserve"> (大鼠吸入</w:t>
            </w:r>
            <w:r>
              <w:rPr>
                <w:rFonts w:hint="eastAsia"/>
                <w:sz w:val="18"/>
                <w:szCs w:val="18"/>
              </w:rPr>
              <w:t>，</w:t>
            </w:r>
            <w:r>
              <w:rPr>
                <w:sz w:val="18"/>
                <w:szCs w:val="18"/>
              </w:rPr>
              <w:t>1</w:t>
            </w:r>
            <w:r>
              <w:rPr>
                <w:rFonts w:hint="eastAsia"/>
                <w:sz w:val="18"/>
                <w:szCs w:val="18"/>
              </w:rPr>
              <w:t>/</w:t>
            </w:r>
            <w:r>
              <w:rPr>
                <w:sz w:val="18"/>
                <w:szCs w:val="18"/>
              </w:rPr>
              <w:t>2小时)</w:t>
            </w:r>
          </w:p>
        </w:tc>
        <w:tc>
          <w:tcPr>
            <w:tcW w:w="3270" w:type="dxa"/>
            <w:vAlign w:val="center"/>
          </w:tcPr>
          <w:p w14:paraId="556FFADF">
            <w:pPr>
              <w:pStyle w:val="34"/>
              <w:rPr>
                <w:sz w:val="18"/>
                <w:szCs w:val="18"/>
              </w:rPr>
            </w:pPr>
            <w:r>
              <w:rPr>
                <w:sz w:val="18"/>
                <w:szCs w:val="18"/>
              </w:rPr>
              <w:t>低浓度引起眼、鼻及上呼吸道</w:t>
            </w:r>
            <w:r>
              <w:rPr>
                <w:rFonts w:hint="eastAsia"/>
                <w:sz w:val="18"/>
                <w:szCs w:val="18"/>
                <w:lang w:eastAsia="zh-CN"/>
              </w:rPr>
              <w:t>刺激征</w:t>
            </w:r>
            <w:r>
              <w:rPr>
                <w:sz w:val="18"/>
                <w:szCs w:val="18"/>
              </w:rPr>
              <w:t>状及支气管炎。高浓度吸入有麻醉作用。表现有头痛、嗜睡、神志不清及支气管炎、肺水肿、蛋白尿及心肌脂肪性变。可致死。误服出现胃肠道</w:t>
            </w:r>
            <w:r>
              <w:rPr>
                <w:rFonts w:hint="eastAsia"/>
                <w:sz w:val="18"/>
                <w:szCs w:val="18"/>
                <w:lang w:eastAsia="zh-CN"/>
              </w:rPr>
              <w:t>刺激征</w:t>
            </w:r>
            <w:r>
              <w:rPr>
                <w:sz w:val="18"/>
                <w:szCs w:val="18"/>
              </w:rPr>
              <w:t>状、麻醉作用及心、肝、肾损害。对皮肤有致敏性。反复接触蒸气引起皮炎、结膜炎。</w:t>
            </w:r>
          </w:p>
        </w:tc>
        <w:tc>
          <w:tcPr>
            <w:tcW w:w="1440" w:type="dxa"/>
            <w:vAlign w:val="center"/>
          </w:tcPr>
          <w:p w14:paraId="43F82623">
            <w:pPr>
              <w:pStyle w:val="34"/>
              <w:rPr>
                <w:sz w:val="18"/>
                <w:szCs w:val="18"/>
              </w:rPr>
            </w:pPr>
            <w:r>
              <w:rPr>
                <w:sz w:val="18"/>
                <w:szCs w:val="18"/>
              </w:rPr>
              <w:t>国内针对该物质对水生生态影响的研究较少；主要认为其蒸汽危害较大。</w:t>
            </w:r>
          </w:p>
        </w:tc>
        <w:tc>
          <w:tcPr>
            <w:tcW w:w="971" w:type="dxa"/>
            <w:vAlign w:val="center"/>
          </w:tcPr>
          <w:p w14:paraId="21DBE07D">
            <w:pPr>
              <w:pStyle w:val="34"/>
              <w:rPr>
                <w:sz w:val="18"/>
                <w:szCs w:val="18"/>
              </w:rPr>
            </w:pPr>
            <w:r>
              <w:rPr>
                <w:rFonts w:hint="eastAsia"/>
                <w:sz w:val="18"/>
                <w:szCs w:val="18"/>
              </w:rPr>
              <w:t>250kg聚乙烯桶包装，</w:t>
            </w:r>
            <w:r>
              <w:rPr>
                <w:sz w:val="18"/>
                <w:szCs w:val="18"/>
              </w:rPr>
              <w:t>低压或常压、常温运输</w:t>
            </w:r>
          </w:p>
        </w:tc>
      </w:tr>
      <w:tr w14:paraId="784298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A5DE739">
            <w:pPr>
              <w:pStyle w:val="34"/>
              <w:numPr>
                <w:ilvl w:val="0"/>
                <w:numId w:val="55"/>
              </w:numPr>
              <w:rPr>
                <w:sz w:val="18"/>
                <w:szCs w:val="18"/>
              </w:rPr>
            </w:pPr>
          </w:p>
        </w:tc>
        <w:tc>
          <w:tcPr>
            <w:tcW w:w="584" w:type="dxa"/>
            <w:vMerge w:val="continue"/>
            <w:vAlign w:val="center"/>
          </w:tcPr>
          <w:p w14:paraId="6F7C4BF2">
            <w:pPr>
              <w:pStyle w:val="34"/>
              <w:rPr>
                <w:sz w:val="18"/>
                <w:szCs w:val="18"/>
              </w:rPr>
            </w:pPr>
          </w:p>
        </w:tc>
        <w:tc>
          <w:tcPr>
            <w:tcW w:w="567" w:type="dxa"/>
            <w:vMerge w:val="continue"/>
            <w:vAlign w:val="center"/>
          </w:tcPr>
          <w:p w14:paraId="0E7A85BE">
            <w:pPr>
              <w:pStyle w:val="34"/>
              <w:rPr>
                <w:sz w:val="18"/>
                <w:szCs w:val="18"/>
              </w:rPr>
            </w:pPr>
          </w:p>
        </w:tc>
        <w:tc>
          <w:tcPr>
            <w:tcW w:w="419" w:type="dxa"/>
            <w:vMerge w:val="continue"/>
            <w:vAlign w:val="center"/>
          </w:tcPr>
          <w:p w14:paraId="0D698332">
            <w:pPr>
              <w:pStyle w:val="34"/>
              <w:rPr>
                <w:sz w:val="18"/>
                <w:szCs w:val="18"/>
              </w:rPr>
            </w:pPr>
          </w:p>
        </w:tc>
        <w:tc>
          <w:tcPr>
            <w:tcW w:w="573" w:type="dxa"/>
            <w:vAlign w:val="center"/>
          </w:tcPr>
          <w:p w14:paraId="23DADF58">
            <w:pPr>
              <w:pStyle w:val="34"/>
              <w:rPr>
                <w:sz w:val="18"/>
                <w:szCs w:val="18"/>
              </w:rPr>
            </w:pPr>
            <w:r>
              <w:rPr>
                <w:sz w:val="18"/>
                <w:szCs w:val="18"/>
              </w:rPr>
              <w:t>甲醇</w:t>
            </w:r>
          </w:p>
        </w:tc>
        <w:tc>
          <w:tcPr>
            <w:tcW w:w="3137" w:type="dxa"/>
            <w:gridSpan w:val="2"/>
            <w:vAlign w:val="center"/>
          </w:tcPr>
          <w:p w14:paraId="1EB70611">
            <w:pPr>
              <w:pStyle w:val="34"/>
              <w:rPr>
                <w:sz w:val="18"/>
                <w:szCs w:val="18"/>
              </w:rPr>
            </w:pPr>
            <w:r>
              <w:rPr>
                <w:rFonts w:hint="eastAsia"/>
                <w:sz w:val="18"/>
                <w:szCs w:val="18"/>
              </w:rPr>
              <w:t>易燃，蒸气与空气可形成爆炸性混合物，遇明火、高热能引起燃烧爆炸蒸气比空气重，能在较低处扩散到相当远的地方，这遇火源会着火回燃</w:t>
            </w:r>
          </w:p>
        </w:tc>
        <w:tc>
          <w:tcPr>
            <w:tcW w:w="2840" w:type="dxa"/>
            <w:vAlign w:val="center"/>
          </w:tcPr>
          <w:p w14:paraId="6E707E82">
            <w:pPr>
              <w:pStyle w:val="34"/>
              <w:rPr>
                <w:sz w:val="18"/>
                <w:szCs w:val="18"/>
              </w:rPr>
            </w:pPr>
            <w:r>
              <w:rPr>
                <w:rFonts w:hint="eastAsia"/>
                <w:sz w:val="18"/>
                <w:szCs w:val="18"/>
              </w:rPr>
              <w:t>LD50：5600mg/kg（大鼠经口）；LD50：15800mg/kg（兔经皮）； LC50：64000 ppm(大鼠吸入4h)</w:t>
            </w:r>
          </w:p>
        </w:tc>
        <w:tc>
          <w:tcPr>
            <w:tcW w:w="3270" w:type="dxa"/>
            <w:vAlign w:val="center"/>
          </w:tcPr>
          <w:p w14:paraId="6CB2343D">
            <w:pPr>
              <w:pStyle w:val="34"/>
              <w:rPr>
                <w:sz w:val="18"/>
                <w:szCs w:val="18"/>
              </w:rPr>
            </w:pPr>
            <w:r>
              <w:rPr>
                <w:rFonts w:hint="eastAsia"/>
                <w:sz w:val="18"/>
                <w:szCs w:val="18"/>
              </w:rPr>
              <w:t>易经胃肠道、呼吸道和皮肤吸收；急性甲醇中毒引起中枢神经损害，表现为头痛、眩晕、乏力、嗜睡和轻度意识障碍等，重者出现昏迷和癫痫样抽搐。引起代谢性酸中毒。甲醇可致视神经损害，重者引起失明</w:t>
            </w:r>
          </w:p>
        </w:tc>
        <w:tc>
          <w:tcPr>
            <w:tcW w:w="1440" w:type="dxa"/>
            <w:vAlign w:val="center"/>
          </w:tcPr>
          <w:p w14:paraId="0B8B0179">
            <w:pPr>
              <w:pStyle w:val="34"/>
              <w:rPr>
                <w:sz w:val="18"/>
                <w:szCs w:val="18"/>
              </w:rPr>
            </w:pPr>
            <w:r>
              <w:rPr>
                <w:rFonts w:hint="eastAsia"/>
                <w:sz w:val="18"/>
                <w:szCs w:val="18"/>
              </w:rPr>
              <w:t>甲醇可以直接进入鱼腥通过皮肤和鳃部吸收,引起鱼类发生中毒反应。甲醇中毒症状通常包括鱼体表面出现白点或白色粘液、鱼体体表变色、鳃部水肿、呼吸急促等。严重时,会导致鱼类大量死亡</w:t>
            </w:r>
          </w:p>
        </w:tc>
        <w:tc>
          <w:tcPr>
            <w:tcW w:w="971" w:type="dxa"/>
            <w:vAlign w:val="center"/>
          </w:tcPr>
          <w:p w14:paraId="6EC4356D">
            <w:pPr>
              <w:pStyle w:val="34"/>
              <w:rPr>
                <w:sz w:val="18"/>
                <w:szCs w:val="18"/>
              </w:rPr>
            </w:pPr>
            <w:r>
              <w:rPr>
                <w:rFonts w:hint="eastAsia"/>
                <w:sz w:val="18"/>
                <w:szCs w:val="18"/>
              </w:rPr>
              <w:t>200L</w:t>
            </w:r>
            <w:r>
              <w:rPr>
                <w:sz w:val="18"/>
                <w:szCs w:val="18"/>
              </w:rPr>
              <w:t>合金桶包装，常温常压运输</w:t>
            </w:r>
          </w:p>
        </w:tc>
      </w:tr>
      <w:tr w14:paraId="11E048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DEDA4CE">
            <w:pPr>
              <w:pStyle w:val="34"/>
              <w:numPr>
                <w:ilvl w:val="0"/>
                <w:numId w:val="55"/>
              </w:numPr>
              <w:rPr>
                <w:sz w:val="18"/>
                <w:szCs w:val="18"/>
              </w:rPr>
            </w:pPr>
          </w:p>
        </w:tc>
        <w:tc>
          <w:tcPr>
            <w:tcW w:w="584" w:type="dxa"/>
            <w:vMerge w:val="continue"/>
            <w:vAlign w:val="center"/>
          </w:tcPr>
          <w:p w14:paraId="10D837B3">
            <w:pPr>
              <w:pStyle w:val="34"/>
              <w:rPr>
                <w:sz w:val="18"/>
                <w:szCs w:val="18"/>
              </w:rPr>
            </w:pPr>
          </w:p>
        </w:tc>
        <w:tc>
          <w:tcPr>
            <w:tcW w:w="567" w:type="dxa"/>
            <w:vMerge w:val="continue"/>
            <w:vAlign w:val="center"/>
          </w:tcPr>
          <w:p w14:paraId="51DD7EBB">
            <w:pPr>
              <w:pStyle w:val="34"/>
              <w:rPr>
                <w:sz w:val="18"/>
                <w:szCs w:val="18"/>
              </w:rPr>
            </w:pPr>
          </w:p>
        </w:tc>
        <w:tc>
          <w:tcPr>
            <w:tcW w:w="419" w:type="dxa"/>
            <w:vMerge w:val="continue"/>
            <w:vAlign w:val="center"/>
          </w:tcPr>
          <w:p w14:paraId="3953A852">
            <w:pPr>
              <w:pStyle w:val="34"/>
              <w:rPr>
                <w:sz w:val="18"/>
                <w:szCs w:val="18"/>
              </w:rPr>
            </w:pPr>
          </w:p>
        </w:tc>
        <w:tc>
          <w:tcPr>
            <w:tcW w:w="573" w:type="dxa"/>
            <w:vAlign w:val="center"/>
          </w:tcPr>
          <w:p w14:paraId="596D2A34">
            <w:pPr>
              <w:pStyle w:val="34"/>
              <w:rPr>
                <w:sz w:val="18"/>
                <w:szCs w:val="18"/>
              </w:rPr>
            </w:pPr>
            <w:r>
              <w:rPr>
                <w:sz w:val="18"/>
                <w:szCs w:val="18"/>
              </w:rPr>
              <w:t>乙硫醇</w:t>
            </w:r>
          </w:p>
        </w:tc>
        <w:tc>
          <w:tcPr>
            <w:tcW w:w="3137" w:type="dxa"/>
            <w:gridSpan w:val="2"/>
            <w:vAlign w:val="center"/>
          </w:tcPr>
          <w:p w14:paraId="4BF8F39E">
            <w:pPr>
              <w:pStyle w:val="34"/>
              <w:rPr>
                <w:sz w:val="18"/>
                <w:szCs w:val="18"/>
              </w:rPr>
            </w:pPr>
            <w:r>
              <w:rPr>
                <w:rFonts w:hint="eastAsia"/>
                <w:sz w:val="18"/>
                <w:szCs w:val="18"/>
              </w:rPr>
              <w:t>其蒸气与空气可形成爆炸性混合物，遇明火、高热极易燃烧爆炸。与氧化剂接触猛烈反应。接触酸和酸雾产生有毒气体。遇水或水蒸气反应放出有毒和易燃的气体。与次氯酸钙、氢氧化钙发生剧烈反应。其蒸气比空气重，能在较低处扩散到相当远的地方，遇火源会着火回燃。若遇高热，容器内压增大，有开裂和爆炸的危险。</w:t>
            </w:r>
          </w:p>
          <w:p w14:paraId="28A6CF5D">
            <w:pPr>
              <w:pStyle w:val="34"/>
              <w:rPr>
                <w:sz w:val="18"/>
                <w:szCs w:val="18"/>
              </w:rPr>
            </w:pPr>
            <w:r>
              <w:rPr>
                <w:rFonts w:hint="eastAsia"/>
                <w:sz w:val="18"/>
                <w:szCs w:val="18"/>
              </w:rPr>
              <w:t>燃烧产物：CO、CO</w:t>
            </w:r>
            <w:r>
              <w:rPr>
                <w:rFonts w:hint="eastAsia"/>
                <w:sz w:val="18"/>
                <w:szCs w:val="18"/>
                <w:vertAlign w:val="subscript"/>
              </w:rPr>
              <w:t>2</w:t>
            </w:r>
            <w:r>
              <w:rPr>
                <w:rFonts w:hint="eastAsia"/>
                <w:sz w:val="18"/>
                <w:szCs w:val="18"/>
              </w:rPr>
              <w:t>、SO</w:t>
            </w:r>
            <w:r>
              <w:rPr>
                <w:rFonts w:hint="eastAsia"/>
                <w:sz w:val="18"/>
                <w:szCs w:val="18"/>
                <w:vertAlign w:val="subscript"/>
              </w:rPr>
              <w:t>2</w:t>
            </w:r>
            <w:r>
              <w:rPr>
                <w:rFonts w:hint="eastAsia"/>
                <w:sz w:val="18"/>
                <w:szCs w:val="18"/>
              </w:rPr>
              <w:t>。</w:t>
            </w:r>
          </w:p>
        </w:tc>
        <w:tc>
          <w:tcPr>
            <w:tcW w:w="2840" w:type="dxa"/>
            <w:vAlign w:val="center"/>
          </w:tcPr>
          <w:p w14:paraId="226DE9E5">
            <w:pPr>
              <w:pStyle w:val="34"/>
              <w:rPr>
                <w:sz w:val="18"/>
                <w:szCs w:val="18"/>
              </w:rPr>
            </w:pPr>
            <w:r>
              <w:rPr>
                <w:rFonts w:hint="eastAsia"/>
                <w:sz w:val="18"/>
                <w:szCs w:val="18"/>
              </w:rPr>
              <w:t>LD50：682 mg/kg(大鼠经口)</w:t>
            </w:r>
          </w:p>
          <w:p w14:paraId="6DB2B820">
            <w:pPr>
              <w:pStyle w:val="34"/>
              <w:rPr>
                <w:sz w:val="18"/>
                <w:szCs w:val="18"/>
              </w:rPr>
            </w:pPr>
            <w:r>
              <w:rPr>
                <w:rFonts w:hint="eastAsia"/>
                <w:sz w:val="18"/>
                <w:szCs w:val="18"/>
              </w:rPr>
              <w:t>LC50：11227mg/m</w:t>
            </w:r>
            <w:r>
              <w:rPr>
                <w:rFonts w:hint="eastAsia"/>
                <w:sz w:val="18"/>
                <w:szCs w:val="18"/>
                <w:vertAlign w:val="superscript"/>
              </w:rPr>
              <w:t>3</w:t>
            </w:r>
            <w:r>
              <w:rPr>
                <w:rFonts w:hint="eastAsia"/>
                <w:sz w:val="18"/>
                <w:szCs w:val="18"/>
              </w:rPr>
              <w:t>(大鼠吸入，4h)</w:t>
            </w:r>
          </w:p>
        </w:tc>
        <w:tc>
          <w:tcPr>
            <w:tcW w:w="3270" w:type="dxa"/>
            <w:vAlign w:val="center"/>
          </w:tcPr>
          <w:p w14:paraId="7C4E9DD4">
            <w:pPr>
              <w:pStyle w:val="34"/>
              <w:rPr>
                <w:sz w:val="18"/>
                <w:szCs w:val="18"/>
              </w:rPr>
            </w:pPr>
            <w:r>
              <w:rPr>
                <w:rFonts w:hint="eastAsia"/>
                <w:sz w:val="18"/>
                <w:szCs w:val="18"/>
              </w:rPr>
              <w:t>主要作用于中枢神经系统。吸入低浓度蒸气时可引起头痛、恶心；较高浓度出现麻醉作用。高浓度可引起呼吸麻痹致死。中毒者可发生呕吐、腹泻，尿中出现蛋白、管型及血尿。</w:t>
            </w:r>
          </w:p>
        </w:tc>
        <w:tc>
          <w:tcPr>
            <w:tcW w:w="1440" w:type="dxa"/>
            <w:vAlign w:val="center"/>
          </w:tcPr>
          <w:p w14:paraId="6F09D81B">
            <w:pPr>
              <w:pStyle w:val="34"/>
              <w:rPr>
                <w:sz w:val="18"/>
                <w:szCs w:val="18"/>
              </w:rPr>
            </w:pPr>
            <w:r>
              <w:rPr>
                <w:rFonts w:hint="eastAsia"/>
                <w:sz w:val="18"/>
                <w:szCs w:val="18"/>
              </w:rPr>
              <w:t>硫醇基对水生生物体产生刺激性和毒性</w:t>
            </w:r>
          </w:p>
        </w:tc>
        <w:tc>
          <w:tcPr>
            <w:tcW w:w="971" w:type="dxa"/>
            <w:vAlign w:val="center"/>
          </w:tcPr>
          <w:p w14:paraId="67B47B04">
            <w:pPr>
              <w:pStyle w:val="34"/>
              <w:rPr>
                <w:sz w:val="18"/>
                <w:szCs w:val="18"/>
              </w:rPr>
            </w:pPr>
            <w:r>
              <w:rPr>
                <w:rFonts w:hint="eastAsia"/>
                <w:sz w:val="18"/>
                <w:szCs w:val="18"/>
              </w:rPr>
              <w:t>25m</w:t>
            </w:r>
            <w:r>
              <w:rPr>
                <w:rFonts w:hint="eastAsia"/>
                <w:sz w:val="18"/>
                <w:szCs w:val="18"/>
                <w:vertAlign w:val="superscript"/>
              </w:rPr>
              <w:t>3</w:t>
            </w:r>
            <w:r>
              <w:rPr>
                <w:rFonts w:hint="eastAsia"/>
                <w:sz w:val="18"/>
                <w:szCs w:val="18"/>
              </w:rPr>
              <w:t>罐箱，常温常压运输</w:t>
            </w:r>
          </w:p>
        </w:tc>
      </w:tr>
      <w:tr w14:paraId="371906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444A738">
            <w:pPr>
              <w:pStyle w:val="34"/>
              <w:numPr>
                <w:ilvl w:val="0"/>
                <w:numId w:val="55"/>
              </w:numPr>
              <w:rPr>
                <w:sz w:val="18"/>
                <w:szCs w:val="18"/>
              </w:rPr>
            </w:pPr>
          </w:p>
        </w:tc>
        <w:tc>
          <w:tcPr>
            <w:tcW w:w="584" w:type="dxa"/>
            <w:vMerge w:val="continue"/>
            <w:vAlign w:val="center"/>
          </w:tcPr>
          <w:p w14:paraId="38CFF938">
            <w:pPr>
              <w:pStyle w:val="34"/>
              <w:rPr>
                <w:sz w:val="18"/>
                <w:szCs w:val="18"/>
              </w:rPr>
            </w:pPr>
          </w:p>
        </w:tc>
        <w:tc>
          <w:tcPr>
            <w:tcW w:w="567" w:type="dxa"/>
            <w:vMerge w:val="continue"/>
            <w:vAlign w:val="center"/>
          </w:tcPr>
          <w:p w14:paraId="1D98A613">
            <w:pPr>
              <w:pStyle w:val="34"/>
              <w:rPr>
                <w:sz w:val="18"/>
                <w:szCs w:val="18"/>
              </w:rPr>
            </w:pPr>
          </w:p>
        </w:tc>
        <w:tc>
          <w:tcPr>
            <w:tcW w:w="419" w:type="dxa"/>
            <w:vMerge w:val="continue"/>
            <w:vAlign w:val="center"/>
          </w:tcPr>
          <w:p w14:paraId="0427DA62">
            <w:pPr>
              <w:pStyle w:val="34"/>
              <w:rPr>
                <w:sz w:val="18"/>
                <w:szCs w:val="18"/>
              </w:rPr>
            </w:pPr>
          </w:p>
        </w:tc>
        <w:tc>
          <w:tcPr>
            <w:tcW w:w="573" w:type="dxa"/>
            <w:vAlign w:val="center"/>
          </w:tcPr>
          <w:p w14:paraId="07F18CEA">
            <w:pPr>
              <w:pStyle w:val="34"/>
              <w:rPr>
                <w:sz w:val="18"/>
                <w:szCs w:val="18"/>
              </w:rPr>
            </w:pPr>
            <w:r>
              <w:rPr>
                <w:sz w:val="18"/>
                <w:szCs w:val="18"/>
              </w:rPr>
              <w:t>丙酮</w:t>
            </w:r>
          </w:p>
        </w:tc>
        <w:tc>
          <w:tcPr>
            <w:tcW w:w="3137" w:type="dxa"/>
            <w:gridSpan w:val="2"/>
            <w:vAlign w:val="center"/>
          </w:tcPr>
          <w:p w14:paraId="58B7A008">
            <w:pPr>
              <w:pStyle w:val="34"/>
              <w:rPr>
                <w:sz w:val="18"/>
                <w:szCs w:val="18"/>
              </w:rPr>
            </w:pPr>
            <w:r>
              <w:rPr>
                <w:sz w:val="18"/>
                <w:szCs w:val="18"/>
              </w:rPr>
              <w:t>其蒸气与空气形成爆炸性混合物，遇明火、高热极易燃烧爆炸。与氧化剂能发生强烈反应。其蒸气比空气重，能在较低处扩散到相当远的地方，遇火源引着回燃。若遇高热，容器内压增大，有开裂和爆炸的危险。</w:t>
            </w:r>
          </w:p>
        </w:tc>
        <w:tc>
          <w:tcPr>
            <w:tcW w:w="2840" w:type="dxa"/>
            <w:vAlign w:val="center"/>
          </w:tcPr>
          <w:p w14:paraId="1783477F">
            <w:pPr>
              <w:pStyle w:val="34"/>
              <w:rPr>
                <w:sz w:val="18"/>
                <w:szCs w:val="18"/>
              </w:rPr>
            </w:pPr>
            <w:r>
              <w:rPr>
                <w:sz w:val="18"/>
                <w:szCs w:val="18"/>
              </w:rPr>
              <w:t>LD50：5800mg</w:t>
            </w:r>
            <w:r>
              <w:rPr>
                <w:rFonts w:hint="eastAsia"/>
                <w:sz w:val="18"/>
                <w:szCs w:val="18"/>
              </w:rPr>
              <w:t>/</w:t>
            </w:r>
            <w:r>
              <w:rPr>
                <w:sz w:val="18"/>
                <w:szCs w:val="18"/>
              </w:rPr>
              <w:t>kg(大鼠经口)；20000mg</w:t>
            </w:r>
            <w:r>
              <w:rPr>
                <w:rFonts w:hint="eastAsia"/>
                <w:sz w:val="18"/>
                <w:szCs w:val="18"/>
              </w:rPr>
              <w:t>/</w:t>
            </w:r>
            <w:r>
              <w:rPr>
                <w:sz w:val="18"/>
                <w:szCs w:val="18"/>
              </w:rPr>
              <w:t>kg(兔经皮)</w:t>
            </w:r>
          </w:p>
        </w:tc>
        <w:tc>
          <w:tcPr>
            <w:tcW w:w="3270" w:type="dxa"/>
            <w:vAlign w:val="center"/>
          </w:tcPr>
          <w:p w14:paraId="225A9EE4">
            <w:pPr>
              <w:pStyle w:val="34"/>
              <w:rPr>
                <w:sz w:val="18"/>
                <w:szCs w:val="18"/>
              </w:rPr>
            </w:pPr>
            <w:r>
              <w:rPr>
                <w:sz w:val="18"/>
                <w:szCs w:val="18"/>
              </w:rPr>
              <w:t>急性中毒主要表现为对中枢神经系统的麻醉作用，出现乏力、恶心、头痛、头晕，容易激动。重者发生呕吐、气急、痉挛，甚至昏迷。对眼、鼻、喉有刺激性。口服后，口唇、咽喉有烧灼感，后出现口干、呕吐；昏迷、酸中毒和酮症。慢性影响：长期高浓度接触该品出现眩晕、灼烧感、咽炎、支气管炎、乏力、易激动等。皮肤长期反复接触可致皮炎。</w:t>
            </w:r>
          </w:p>
        </w:tc>
        <w:tc>
          <w:tcPr>
            <w:tcW w:w="1440" w:type="dxa"/>
            <w:vAlign w:val="center"/>
          </w:tcPr>
          <w:p w14:paraId="098E5CCF">
            <w:pPr>
              <w:pStyle w:val="34"/>
              <w:rPr>
                <w:sz w:val="18"/>
                <w:szCs w:val="18"/>
              </w:rPr>
            </w:pPr>
            <w:r>
              <w:rPr>
                <w:sz w:val="18"/>
                <w:szCs w:val="18"/>
              </w:rPr>
              <w:t>根据国内研究，目前鱼类实验有机污染物助溶剂多采用丙酮，目前未发现助溶剂丙酮对水生生造成影响（《几种典型有害化学品对水生生物的急性毒性》 王宏等）。</w:t>
            </w:r>
          </w:p>
        </w:tc>
        <w:tc>
          <w:tcPr>
            <w:tcW w:w="971" w:type="dxa"/>
            <w:vAlign w:val="center"/>
          </w:tcPr>
          <w:p w14:paraId="358B2BB8">
            <w:pPr>
              <w:pStyle w:val="34"/>
              <w:rPr>
                <w:sz w:val="18"/>
                <w:szCs w:val="18"/>
              </w:rPr>
            </w:pPr>
            <w:r>
              <w:rPr>
                <w:rFonts w:hint="eastAsia"/>
                <w:sz w:val="18"/>
                <w:szCs w:val="18"/>
              </w:rPr>
              <w:t>20L</w:t>
            </w:r>
            <w:r>
              <w:rPr>
                <w:sz w:val="18"/>
                <w:szCs w:val="18"/>
              </w:rPr>
              <w:t>钢桶包装，</w:t>
            </w:r>
            <w:r>
              <w:rPr>
                <w:rFonts w:hint="eastAsia"/>
                <w:sz w:val="18"/>
                <w:szCs w:val="18"/>
              </w:rPr>
              <w:t>常温常压运输</w:t>
            </w:r>
          </w:p>
        </w:tc>
      </w:tr>
      <w:tr w14:paraId="4F56B3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5615F36D">
            <w:pPr>
              <w:pStyle w:val="34"/>
              <w:numPr>
                <w:ilvl w:val="0"/>
                <w:numId w:val="55"/>
              </w:numPr>
              <w:rPr>
                <w:sz w:val="18"/>
                <w:szCs w:val="18"/>
              </w:rPr>
            </w:pPr>
          </w:p>
        </w:tc>
        <w:tc>
          <w:tcPr>
            <w:tcW w:w="584" w:type="dxa"/>
            <w:vMerge w:val="continue"/>
            <w:vAlign w:val="center"/>
          </w:tcPr>
          <w:p w14:paraId="23288E0B">
            <w:pPr>
              <w:pStyle w:val="34"/>
              <w:rPr>
                <w:sz w:val="18"/>
                <w:szCs w:val="18"/>
              </w:rPr>
            </w:pPr>
          </w:p>
        </w:tc>
        <w:tc>
          <w:tcPr>
            <w:tcW w:w="567" w:type="dxa"/>
            <w:vMerge w:val="continue"/>
            <w:vAlign w:val="center"/>
          </w:tcPr>
          <w:p w14:paraId="65DDEF9F">
            <w:pPr>
              <w:pStyle w:val="34"/>
              <w:rPr>
                <w:sz w:val="18"/>
                <w:szCs w:val="18"/>
              </w:rPr>
            </w:pPr>
          </w:p>
        </w:tc>
        <w:tc>
          <w:tcPr>
            <w:tcW w:w="419" w:type="dxa"/>
            <w:vMerge w:val="continue"/>
            <w:vAlign w:val="center"/>
          </w:tcPr>
          <w:p w14:paraId="0E3E8660">
            <w:pPr>
              <w:pStyle w:val="34"/>
              <w:rPr>
                <w:sz w:val="18"/>
                <w:szCs w:val="18"/>
              </w:rPr>
            </w:pPr>
          </w:p>
        </w:tc>
        <w:tc>
          <w:tcPr>
            <w:tcW w:w="573" w:type="dxa"/>
            <w:vAlign w:val="center"/>
          </w:tcPr>
          <w:p w14:paraId="0FB5BBAA">
            <w:pPr>
              <w:pStyle w:val="34"/>
              <w:rPr>
                <w:sz w:val="18"/>
                <w:szCs w:val="18"/>
              </w:rPr>
            </w:pPr>
            <w:r>
              <w:rPr>
                <w:sz w:val="18"/>
                <w:szCs w:val="18"/>
              </w:rPr>
              <w:t>乙醇</w:t>
            </w:r>
          </w:p>
        </w:tc>
        <w:tc>
          <w:tcPr>
            <w:tcW w:w="3137" w:type="dxa"/>
            <w:gridSpan w:val="2"/>
            <w:vAlign w:val="center"/>
          </w:tcPr>
          <w:p w14:paraId="49ED115E">
            <w:pPr>
              <w:pStyle w:val="34"/>
              <w:rPr>
                <w:sz w:val="18"/>
                <w:szCs w:val="18"/>
              </w:rPr>
            </w:pPr>
            <w:r>
              <w:rPr>
                <w:sz w:val="18"/>
                <w:szCs w:val="18"/>
              </w:rPr>
              <w:t>其蒸气与空气形成爆炸性混合物，遇明火、高热能引起燃烧爆炸。与氧化剂能发生强烈反应。其蒸气比空气重，能在较低处扩散到相当远的地方，遇火源引着回燃。若遇高热，容器内压增大，有开裂和爆炸的危险。燃烧时发出紫色火焰。</w:t>
            </w:r>
          </w:p>
        </w:tc>
        <w:tc>
          <w:tcPr>
            <w:tcW w:w="2840" w:type="dxa"/>
            <w:vAlign w:val="center"/>
          </w:tcPr>
          <w:p w14:paraId="26C02E39">
            <w:pPr>
              <w:pStyle w:val="34"/>
              <w:rPr>
                <w:sz w:val="18"/>
                <w:szCs w:val="18"/>
              </w:rPr>
            </w:pPr>
            <w:r>
              <w:rPr>
                <w:sz w:val="18"/>
                <w:szCs w:val="18"/>
              </w:rPr>
              <w:t>LD50：7060mg/kg(兔经口)；＞7430mg</w:t>
            </w:r>
            <w:r>
              <w:rPr>
                <w:rFonts w:hint="eastAsia"/>
                <w:sz w:val="18"/>
                <w:szCs w:val="18"/>
              </w:rPr>
              <w:t>/</w:t>
            </w:r>
            <w:r>
              <w:rPr>
                <w:sz w:val="18"/>
                <w:szCs w:val="18"/>
              </w:rPr>
              <w:t>kg(兔经皮)</w:t>
            </w:r>
          </w:p>
          <w:p w14:paraId="35BA09D7">
            <w:pPr>
              <w:pStyle w:val="34"/>
              <w:rPr>
                <w:sz w:val="18"/>
                <w:szCs w:val="18"/>
              </w:rPr>
            </w:pPr>
            <w:r>
              <w:rPr>
                <w:sz w:val="18"/>
                <w:szCs w:val="18"/>
              </w:rPr>
              <w:t>LC50：20000ppm 10小时(大鼠吸入)</w:t>
            </w:r>
          </w:p>
        </w:tc>
        <w:tc>
          <w:tcPr>
            <w:tcW w:w="3270" w:type="dxa"/>
            <w:vAlign w:val="center"/>
          </w:tcPr>
          <w:p w14:paraId="3D183B5F">
            <w:pPr>
              <w:pStyle w:val="34"/>
              <w:rPr>
                <w:sz w:val="18"/>
                <w:szCs w:val="18"/>
              </w:rPr>
            </w:pPr>
            <w:r>
              <w:rPr>
                <w:sz w:val="18"/>
                <w:szCs w:val="18"/>
              </w:rPr>
              <w:t>人长期口服中毒剂量的乙醇，可见到肝、心肌脂肪浸润，慢性软脑膜炎和慢性胃炎。对中枢神经系统的作用，先作用于大脑皮质，表现为兴奋，最后由于延髓血管运动中枢和呼吸中枢受到抑制而死亡，呼吸中枢麻痹是致死的主要原因。</w:t>
            </w:r>
          </w:p>
        </w:tc>
        <w:tc>
          <w:tcPr>
            <w:tcW w:w="1440" w:type="dxa"/>
            <w:vAlign w:val="center"/>
          </w:tcPr>
          <w:p w14:paraId="65AA832D">
            <w:pPr>
              <w:pStyle w:val="34"/>
              <w:rPr>
                <w:sz w:val="18"/>
                <w:szCs w:val="18"/>
              </w:rPr>
            </w:pPr>
            <w:r>
              <w:rPr>
                <w:sz w:val="18"/>
                <w:szCs w:val="18"/>
              </w:rPr>
              <w:t>有研究认为乙醇可作为有机碳源促进藻类等水生植物、浮游植物生长。</w:t>
            </w:r>
          </w:p>
        </w:tc>
        <w:tc>
          <w:tcPr>
            <w:tcW w:w="971" w:type="dxa"/>
            <w:vAlign w:val="center"/>
          </w:tcPr>
          <w:p w14:paraId="5977431E">
            <w:pPr>
              <w:pStyle w:val="34"/>
              <w:rPr>
                <w:sz w:val="18"/>
                <w:szCs w:val="18"/>
              </w:rPr>
            </w:pPr>
            <w:r>
              <w:rPr>
                <w:rFonts w:hint="eastAsia"/>
                <w:sz w:val="18"/>
                <w:szCs w:val="18"/>
              </w:rPr>
              <w:t>165kg/15kg铁桶或塑料桶包装，常温常压运输</w:t>
            </w:r>
          </w:p>
        </w:tc>
      </w:tr>
      <w:tr w14:paraId="345D66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4C39107A">
            <w:pPr>
              <w:pStyle w:val="34"/>
              <w:numPr>
                <w:ilvl w:val="0"/>
                <w:numId w:val="55"/>
              </w:numPr>
              <w:rPr>
                <w:sz w:val="18"/>
                <w:szCs w:val="18"/>
              </w:rPr>
            </w:pPr>
          </w:p>
        </w:tc>
        <w:tc>
          <w:tcPr>
            <w:tcW w:w="584" w:type="dxa"/>
            <w:vMerge w:val="continue"/>
            <w:vAlign w:val="center"/>
          </w:tcPr>
          <w:p w14:paraId="4439FD79">
            <w:pPr>
              <w:pStyle w:val="34"/>
              <w:rPr>
                <w:sz w:val="18"/>
                <w:szCs w:val="18"/>
              </w:rPr>
            </w:pPr>
          </w:p>
        </w:tc>
        <w:tc>
          <w:tcPr>
            <w:tcW w:w="567" w:type="dxa"/>
            <w:vMerge w:val="continue"/>
            <w:vAlign w:val="center"/>
          </w:tcPr>
          <w:p w14:paraId="7FBDED09">
            <w:pPr>
              <w:pStyle w:val="34"/>
              <w:rPr>
                <w:sz w:val="18"/>
                <w:szCs w:val="18"/>
              </w:rPr>
            </w:pPr>
          </w:p>
        </w:tc>
        <w:tc>
          <w:tcPr>
            <w:tcW w:w="419" w:type="dxa"/>
            <w:vMerge w:val="continue"/>
            <w:vAlign w:val="center"/>
          </w:tcPr>
          <w:p w14:paraId="343B698E">
            <w:pPr>
              <w:pStyle w:val="34"/>
              <w:rPr>
                <w:sz w:val="18"/>
                <w:szCs w:val="18"/>
              </w:rPr>
            </w:pPr>
          </w:p>
        </w:tc>
        <w:tc>
          <w:tcPr>
            <w:tcW w:w="573" w:type="dxa"/>
            <w:vAlign w:val="center"/>
          </w:tcPr>
          <w:p w14:paraId="664D4D04">
            <w:pPr>
              <w:pStyle w:val="34"/>
              <w:rPr>
                <w:sz w:val="18"/>
                <w:szCs w:val="18"/>
              </w:rPr>
            </w:pPr>
            <w:r>
              <w:rPr>
                <w:sz w:val="18"/>
                <w:szCs w:val="18"/>
              </w:rPr>
              <w:t>吡啶</w:t>
            </w:r>
          </w:p>
        </w:tc>
        <w:tc>
          <w:tcPr>
            <w:tcW w:w="3137" w:type="dxa"/>
            <w:gridSpan w:val="2"/>
            <w:vAlign w:val="center"/>
          </w:tcPr>
          <w:p w14:paraId="3E9089E4">
            <w:pPr>
              <w:pStyle w:val="34"/>
              <w:rPr>
                <w:sz w:val="18"/>
                <w:szCs w:val="18"/>
              </w:rPr>
            </w:pPr>
            <w:r>
              <w:rPr>
                <w:sz w:val="18"/>
                <w:szCs w:val="18"/>
              </w:rPr>
              <w:t>其蒸气与空气形成爆炸性混合物，遇明火、高热能引起燃烧爆炸。与氧化剂能发生强烈反应。其蒸气比空气重，能在较低处扩散到相当远的地方，遇火源引着回燃。若遇高热，容器内压增大，有开裂和爆炸的危险。</w:t>
            </w:r>
          </w:p>
        </w:tc>
        <w:tc>
          <w:tcPr>
            <w:tcW w:w="2840" w:type="dxa"/>
            <w:vAlign w:val="center"/>
          </w:tcPr>
          <w:p w14:paraId="4A06B7D5">
            <w:pPr>
              <w:pStyle w:val="34"/>
              <w:rPr>
                <w:sz w:val="18"/>
                <w:szCs w:val="18"/>
              </w:rPr>
            </w:pPr>
            <w:r>
              <w:rPr>
                <w:sz w:val="18"/>
                <w:szCs w:val="18"/>
              </w:rPr>
              <w:t>LD50：1580mg</w:t>
            </w:r>
            <w:r>
              <w:rPr>
                <w:rFonts w:hint="eastAsia"/>
                <w:sz w:val="18"/>
                <w:szCs w:val="18"/>
              </w:rPr>
              <w:t>/</w:t>
            </w:r>
            <w:r>
              <w:rPr>
                <w:sz w:val="18"/>
                <w:szCs w:val="18"/>
              </w:rPr>
              <w:t>kg(大鼠经口)；1121m</w:t>
            </w:r>
            <w:r>
              <w:rPr>
                <w:rFonts w:hint="eastAsia"/>
                <w:sz w:val="18"/>
                <w:szCs w:val="18"/>
              </w:rPr>
              <w:t>/</w:t>
            </w:r>
            <w:r>
              <w:rPr>
                <w:sz w:val="18"/>
                <w:szCs w:val="18"/>
              </w:rPr>
              <w:t>kg(兔经皮)</w:t>
            </w:r>
          </w:p>
        </w:tc>
        <w:tc>
          <w:tcPr>
            <w:tcW w:w="3270" w:type="dxa"/>
            <w:vAlign w:val="center"/>
          </w:tcPr>
          <w:p w14:paraId="7EC75592">
            <w:pPr>
              <w:pStyle w:val="34"/>
              <w:rPr>
                <w:sz w:val="18"/>
                <w:szCs w:val="18"/>
              </w:rPr>
            </w:pPr>
            <w:r>
              <w:rPr>
                <w:sz w:val="18"/>
                <w:szCs w:val="18"/>
              </w:rPr>
              <w:t>有强烈刺激性；能麻醉中枢神经系统。对眼及上呼吸道有刺激作用。高浓度吸入后，轻者有欣快或窒息感，继之出现抑郁、肌无力、呕吐；重者意识丧失、大小便失禁、强直性痉挛、血压下降。误服可致死。</w:t>
            </w:r>
          </w:p>
        </w:tc>
        <w:tc>
          <w:tcPr>
            <w:tcW w:w="1440" w:type="dxa"/>
            <w:vAlign w:val="center"/>
          </w:tcPr>
          <w:p w14:paraId="402AB128">
            <w:pPr>
              <w:pStyle w:val="34"/>
              <w:rPr>
                <w:sz w:val="18"/>
                <w:szCs w:val="18"/>
              </w:rPr>
            </w:pPr>
            <w:r>
              <w:rPr>
                <w:sz w:val="18"/>
                <w:szCs w:val="18"/>
              </w:rPr>
              <w:t>国内针对该物质对水生生态影响的研究较少；主要认为其蒸汽危害较大。</w:t>
            </w:r>
          </w:p>
        </w:tc>
        <w:tc>
          <w:tcPr>
            <w:tcW w:w="971" w:type="dxa"/>
            <w:vAlign w:val="center"/>
          </w:tcPr>
          <w:p w14:paraId="40DB33C2">
            <w:pPr>
              <w:pStyle w:val="34"/>
              <w:rPr>
                <w:sz w:val="18"/>
                <w:szCs w:val="18"/>
              </w:rPr>
            </w:pPr>
            <w:r>
              <w:rPr>
                <w:rFonts w:hint="eastAsia"/>
                <w:sz w:val="18"/>
                <w:szCs w:val="18"/>
              </w:rPr>
              <w:t>200kg聚乙烯桶包装，常温常压运输</w:t>
            </w:r>
          </w:p>
        </w:tc>
      </w:tr>
      <w:tr w14:paraId="64DD42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E2C7278">
            <w:pPr>
              <w:pStyle w:val="34"/>
              <w:numPr>
                <w:ilvl w:val="0"/>
                <w:numId w:val="55"/>
              </w:numPr>
              <w:rPr>
                <w:sz w:val="18"/>
                <w:szCs w:val="18"/>
              </w:rPr>
            </w:pPr>
          </w:p>
        </w:tc>
        <w:tc>
          <w:tcPr>
            <w:tcW w:w="584" w:type="dxa"/>
            <w:vMerge w:val="continue"/>
            <w:vAlign w:val="center"/>
          </w:tcPr>
          <w:p w14:paraId="0A305564">
            <w:pPr>
              <w:pStyle w:val="34"/>
              <w:rPr>
                <w:sz w:val="18"/>
                <w:szCs w:val="18"/>
              </w:rPr>
            </w:pPr>
          </w:p>
        </w:tc>
        <w:tc>
          <w:tcPr>
            <w:tcW w:w="567" w:type="dxa"/>
            <w:vMerge w:val="continue"/>
            <w:vAlign w:val="center"/>
          </w:tcPr>
          <w:p w14:paraId="7B48911A">
            <w:pPr>
              <w:pStyle w:val="34"/>
              <w:rPr>
                <w:sz w:val="18"/>
                <w:szCs w:val="18"/>
              </w:rPr>
            </w:pPr>
          </w:p>
        </w:tc>
        <w:tc>
          <w:tcPr>
            <w:tcW w:w="419" w:type="dxa"/>
            <w:vMerge w:val="continue"/>
            <w:vAlign w:val="center"/>
          </w:tcPr>
          <w:p w14:paraId="29F37FFE">
            <w:pPr>
              <w:pStyle w:val="34"/>
              <w:rPr>
                <w:sz w:val="18"/>
                <w:szCs w:val="18"/>
              </w:rPr>
            </w:pPr>
          </w:p>
        </w:tc>
        <w:tc>
          <w:tcPr>
            <w:tcW w:w="573" w:type="dxa"/>
            <w:vAlign w:val="center"/>
          </w:tcPr>
          <w:p w14:paraId="7D81FC53">
            <w:pPr>
              <w:pStyle w:val="34"/>
              <w:rPr>
                <w:sz w:val="18"/>
                <w:szCs w:val="18"/>
              </w:rPr>
            </w:pPr>
            <w:r>
              <w:rPr>
                <w:sz w:val="18"/>
                <w:szCs w:val="18"/>
              </w:rPr>
              <w:t>四氢呋喃</w:t>
            </w:r>
          </w:p>
        </w:tc>
        <w:tc>
          <w:tcPr>
            <w:tcW w:w="3137" w:type="dxa"/>
            <w:gridSpan w:val="2"/>
            <w:vAlign w:val="center"/>
          </w:tcPr>
          <w:p w14:paraId="7EBA002C">
            <w:pPr>
              <w:pStyle w:val="34"/>
              <w:rPr>
                <w:sz w:val="18"/>
                <w:szCs w:val="18"/>
              </w:rPr>
            </w:pPr>
            <w:r>
              <w:rPr>
                <w:rFonts w:hint="eastAsia"/>
                <w:sz w:val="18"/>
                <w:szCs w:val="18"/>
              </w:rPr>
              <w:t>其蒸气与空气形成爆炸性混合物，遇明火、高热极易燃烧爆炸。与氧化剂能发生强烈反应。接触空气或在光照条件下可生成具有潜在危险特性:爆炸危险性的过氧化物。其蒸气比空气重，能在较低处扩散到相当远的地方，遇火源引着回燃。若遇高热，容器内压增大，有开裂和爆炸的危险。</w:t>
            </w:r>
          </w:p>
          <w:p w14:paraId="40A59A49">
            <w:pPr>
              <w:pStyle w:val="34"/>
              <w:rPr>
                <w:sz w:val="18"/>
                <w:szCs w:val="18"/>
              </w:rPr>
            </w:pPr>
            <w:r>
              <w:rPr>
                <w:rFonts w:hint="eastAsia"/>
                <w:sz w:val="18"/>
                <w:szCs w:val="18"/>
              </w:rPr>
              <w:t>燃烧产物：CO、CO</w:t>
            </w:r>
            <w:r>
              <w:rPr>
                <w:rFonts w:hint="eastAsia"/>
                <w:sz w:val="18"/>
                <w:szCs w:val="18"/>
                <w:vertAlign w:val="subscript"/>
              </w:rPr>
              <w:t>2</w:t>
            </w:r>
          </w:p>
        </w:tc>
        <w:tc>
          <w:tcPr>
            <w:tcW w:w="2840" w:type="dxa"/>
            <w:vAlign w:val="center"/>
          </w:tcPr>
          <w:p w14:paraId="2C1CB791">
            <w:pPr>
              <w:pStyle w:val="34"/>
              <w:rPr>
                <w:sz w:val="18"/>
                <w:szCs w:val="18"/>
              </w:rPr>
            </w:pPr>
            <w:r>
              <w:rPr>
                <w:rFonts w:hint="eastAsia"/>
                <w:sz w:val="18"/>
                <w:szCs w:val="18"/>
              </w:rPr>
              <w:t>LD50：2816mg/kg(大鼠经口)；LC50：21000ppm (大鼠吸入，3小时)</w:t>
            </w:r>
          </w:p>
        </w:tc>
        <w:tc>
          <w:tcPr>
            <w:tcW w:w="3270" w:type="dxa"/>
            <w:vAlign w:val="center"/>
          </w:tcPr>
          <w:p w14:paraId="64BAEF5E">
            <w:pPr>
              <w:pStyle w:val="34"/>
              <w:rPr>
                <w:sz w:val="18"/>
                <w:szCs w:val="18"/>
              </w:rPr>
            </w:pPr>
            <w:r>
              <w:rPr>
                <w:rFonts w:hint="eastAsia"/>
                <w:sz w:val="18"/>
                <w:szCs w:val="18"/>
              </w:rPr>
              <w:t>本品具有麻醉作用。吸入后引起上呼吸道刺激、恶心、头晕、头痛和中枢神经系统抑制。能引起肝、肾损害。液体或高浓度蒸气对眼有刺激性。长期反复皮肤接触，可因脱脂作用而发生皮炎。</w:t>
            </w:r>
          </w:p>
        </w:tc>
        <w:tc>
          <w:tcPr>
            <w:tcW w:w="1440" w:type="dxa"/>
            <w:vAlign w:val="center"/>
          </w:tcPr>
          <w:p w14:paraId="727DE41A">
            <w:pPr>
              <w:pStyle w:val="34"/>
              <w:rPr>
                <w:sz w:val="18"/>
                <w:szCs w:val="18"/>
              </w:rPr>
            </w:pPr>
            <w:r>
              <w:rPr>
                <w:sz w:val="18"/>
                <w:szCs w:val="18"/>
              </w:rPr>
              <w:t>有研究认为四氢呋喃可降低水体中的溶解氧</w:t>
            </w:r>
          </w:p>
        </w:tc>
        <w:tc>
          <w:tcPr>
            <w:tcW w:w="971" w:type="dxa"/>
            <w:vAlign w:val="center"/>
          </w:tcPr>
          <w:p w14:paraId="62A4BC6B">
            <w:pPr>
              <w:pStyle w:val="34"/>
              <w:rPr>
                <w:sz w:val="18"/>
                <w:szCs w:val="18"/>
              </w:rPr>
            </w:pPr>
            <w:r>
              <w:rPr>
                <w:rFonts w:hint="eastAsia"/>
                <w:sz w:val="18"/>
                <w:szCs w:val="18"/>
              </w:rPr>
              <w:t>180kg钢桶包装，常温常压运输</w:t>
            </w:r>
          </w:p>
        </w:tc>
      </w:tr>
      <w:tr w14:paraId="1FA474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7412C2B">
            <w:pPr>
              <w:pStyle w:val="34"/>
              <w:numPr>
                <w:ilvl w:val="0"/>
                <w:numId w:val="55"/>
              </w:numPr>
              <w:rPr>
                <w:sz w:val="18"/>
                <w:szCs w:val="18"/>
              </w:rPr>
            </w:pPr>
          </w:p>
        </w:tc>
        <w:tc>
          <w:tcPr>
            <w:tcW w:w="584" w:type="dxa"/>
            <w:vMerge w:val="continue"/>
            <w:vAlign w:val="center"/>
          </w:tcPr>
          <w:p w14:paraId="3A482358">
            <w:pPr>
              <w:pStyle w:val="34"/>
              <w:rPr>
                <w:sz w:val="18"/>
                <w:szCs w:val="18"/>
              </w:rPr>
            </w:pPr>
          </w:p>
        </w:tc>
        <w:tc>
          <w:tcPr>
            <w:tcW w:w="567" w:type="dxa"/>
            <w:vMerge w:val="continue"/>
            <w:vAlign w:val="center"/>
          </w:tcPr>
          <w:p w14:paraId="7C80C9DF">
            <w:pPr>
              <w:pStyle w:val="34"/>
              <w:rPr>
                <w:sz w:val="18"/>
                <w:szCs w:val="18"/>
              </w:rPr>
            </w:pPr>
          </w:p>
        </w:tc>
        <w:tc>
          <w:tcPr>
            <w:tcW w:w="419" w:type="dxa"/>
            <w:vMerge w:val="continue"/>
            <w:vAlign w:val="center"/>
          </w:tcPr>
          <w:p w14:paraId="73CD6738">
            <w:pPr>
              <w:pStyle w:val="34"/>
              <w:rPr>
                <w:sz w:val="18"/>
                <w:szCs w:val="18"/>
              </w:rPr>
            </w:pPr>
          </w:p>
        </w:tc>
        <w:tc>
          <w:tcPr>
            <w:tcW w:w="573" w:type="dxa"/>
            <w:vAlign w:val="center"/>
          </w:tcPr>
          <w:p w14:paraId="29FDCF3F">
            <w:pPr>
              <w:pStyle w:val="34"/>
              <w:rPr>
                <w:sz w:val="18"/>
                <w:szCs w:val="18"/>
              </w:rPr>
            </w:pPr>
            <w:r>
              <w:rPr>
                <w:sz w:val="18"/>
                <w:szCs w:val="18"/>
              </w:rPr>
              <w:t>三氯硅烷</w:t>
            </w:r>
          </w:p>
        </w:tc>
        <w:tc>
          <w:tcPr>
            <w:tcW w:w="3137" w:type="dxa"/>
            <w:gridSpan w:val="2"/>
            <w:vAlign w:val="center"/>
          </w:tcPr>
          <w:p w14:paraId="09048021">
            <w:pPr>
              <w:pStyle w:val="34"/>
              <w:rPr>
                <w:sz w:val="18"/>
                <w:szCs w:val="18"/>
              </w:rPr>
            </w:pPr>
            <w:r>
              <w:rPr>
                <w:rFonts w:hint="eastAsia"/>
                <w:sz w:val="18"/>
                <w:szCs w:val="18"/>
              </w:rPr>
              <w:t>遇湿易燃。遇明火强烈燃烧。受高热分解产生有毒的氯化物气体。与氧化剂发生反应，有燃烧危险。极易挥发，在空气中发烟，遇水或水蒸气能产生热和有毒的腐蚀性烟雾。</w:t>
            </w:r>
          </w:p>
          <w:p w14:paraId="0CB4161B">
            <w:pPr>
              <w:pStyle w:val="34"/>
              <w:rPr>
                <w:sz w:val="18"/>
                <w:szCs w:val="18"/>
              </w:rPr>
            </w:pPr>
            <w:r>
              <w:rPr>
                <w:rFonts w:hint="eastAsia"/>
                <w:sz w:val="18"/>
                <w:szCs w:val="18"/>
              </w:rPr>
              <w:t>溶于水产生易燃气体氢气。</w:t>
            </w:r>
          </w:p>
        </w:tc>
        <w:tc>
          <w:tcPr>
            <w:tcW w:w="2840" w:type="dxa"/>
            <w:vAlign w:val="center"/>
          </w:tcPr>
          <w:p w14:paraId="73C0D269">
            <w:pPr>
              <w:pStyle w:val="34"/>
              <w:rPr>
                <w:sz w:val="18"/>
                <w:szCs w:val="18"/>
              </w:rPr>
            </w:pPr>
            <w:r>
              <w:rPr>
                <w:rFonts w:hint="eastAsia"/>
                <w:sz w:val="18"/>
                <w:szCs w:val="18"/>
              </w:rPr>
              <w:t>LD50:1030mg/kg(大鼠经口)；LC50:1500mg/m</w:t>
            </w:r>
            <w:r>
              <w:rPr>
                <w:rFonts w:hint="eastAsia"/>
                <w:sz w:val="18"/>
                <w:szCs w:val="18"/>
                <w:vertAlign w:val="superscript"/>
              </w:rPr>
              <w:t>3</w:t>
            </w:r>
            <w:r>
              <w:rPr>
                <w:rFonts w:hint="eastAsia"/>
                <w:sz w:val="18"/>
                <w:szCs w:val="18"/>
              </w:rPr>
              <w:t xml:space="preserve"> 2小时(小鼠吸入)</w:t>
            </w:r>
          </w:p>
        </w:tc>
        <w:tc>
          <w:tcPr>
            <w:tcW w:w="3270" w:type="dxa"/>
            <w:vAlign w:val="center"/>
          </w:tcPr>
          <w:p w14:paraId="475506B9">
            <w:pPr>
              <w:pStyle w:val="34"/>
              <w:rPr>
                <w:sz w:val="18"/>
                <w:szCs w:val="18"/>
              </w:rPr>
            </w:pPr>
            <w:r>
              <w:rPr>
                <w:rFonts w:hint="eastAsia"/>
                <w:sz w:val="18"/>
                <w:szCs w:val="18"/>
              </w:rPr>
              <w:t>对眼和呼吸道粘膜有强烈刺激作用。高浓度下，引起角膜</w:t>
            </w:r>
            <w:r>
              <w:rPr>
                <w:rFonts w:hint="eastAsia"/>
                <w:sz w:val="18"/>
                <w:szCs w:val="18"/>
                <w:lang w:eastAsia="zh-CN"/>
              </w:rPr>
              <w:t>浑浊</w:t>
            </w:r>
            <w:r>
              <w:rPr>
                <w:rFonts w:hint="eastAsia"/>
                <w:sz w:val="18"/>
                <w:szCs w:val="18"/>
              </w:rPr>
              <w:t>、呼吸道炎症，</w:t>
            </w:r>
            <w:r>
              <w:rPr>
                <w:rFonts w:hint="eastAsia"/>
                <w:sz w:val="18"/>
                <w:szCs w:val="18"/>
                <w:lang w:eastAsia="zh-CN"/>
              </w:rPr>
              <w:t>甚至</w:t>
            </w:r>
            <w:r>
              <w:rPr>
                <w:rFonts w:hint="eastAsia"/>
                <w:sz w:val="18"/>
                <w:szCs w:val="18"/>
              </w:rPr>
              <w:t>水肿。并可伴有头昏、头痛、乏力、恶心、呕吐、心慌等症状。溅在皮肤上，可引起坏死，溃长期不愈。动物慢性中毒见慢性卡他性气管炎、支气管炎及早期肺硬化。</w:t>
            </w:r>
          </w:p>
        </w:tc>
        <w:tc>
          <w:tcPr>
            <w:tcW w:w="1440" w:type="dxa"/>
            <w:vAlign w:val="center"/>
          </w:tcPr>
          <w:p w14:paraId="23EFB55C">
            <w:pPr>
              <w:pStyle w:val="34"/>
              <w:rPr>
                <w:sz w:val="18"/>
                <w:szCs w:val="18"/>
              </w:rPr>
            </w:pPr>
            <w:r>
              <w:rPr>
                <w:rFonts w:hint="eastAsia"/>
                <w:sz w:val="18"/>
                <w:szCs w:val="18"/>
              </w:rPr>
              <w:t>-</w:t>
            </w:r>
          </w:p>
        </w:tc>
        <w:tc>
          <w:tcPr>
            <w:tcW w:w="971" w:type="dxa"/>
            <w:vAlign w:val="center"/>
          </w:tcPr>
          <w:p w14:paraId="3E0D4F35">
            <w:pPr>
              <w:pStyle w:val="34"/>
              <w:rPr>
                <w:sz w:val="18"/>
                <w:szCs w:val="18"/>
              </w:rPr>
            </w:pPr>
            <w:r>
              <w:rPr>
                <w:rFonts w:hint="eastAsia"/>
                <w:sz w:val="18"/>
                <w:szCs w:val="18"/>
              </w:rPr>
              <w:t>25kg</w:t>
            </w:r>
            <w:r>
              <w:rPr>
                <w:sz w:val="18"/>
                <w:szCs w:val="18"/>
              </w:rPr>
              <w:t>钢</w:t>
            </w:r>
            <w:r>
              <w:rPr>
                <w:rFonts w:hint="eastAsia"/>
                <w:sz w:val="18"/>
                <w:szCs w:val="18"/>
              </w:rPr>
              <w:t>瓶包装</w:t>
            </w:r>
            <w:r>
              <w:rPr>
                <w:sz w:val="18"/>
                <w:szCs w:val="18"/>
              </w:rPr>
              <w:t>，常温</w:t>
            </w:r>
            <w:r>
              <w:rPr>
                <w:rFonts w:hint="eastAsia"/>
                <w:sz w:val="18"/>
                <w:szCs w:val="18"/>
              </w:rPr>
              <w:t>低压运输</w:t>
            </w:r>
          </w:p>
        </w:tc>
      </w:tr>
      <w:tr w14:paraId="53B0AE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3108135">
            <w:pPr>
              <w:pStyle w:val="34"/>
              <w:numPr>
                <w:ilvl w:val="0"/>
                <w:numId w:val="55"/>
              </w:numPr>
              <w:rPr>
                <w:sz w:val="18"/>
                <w:szCs w:val="18"/>
              </w:rPr>
            </w:pPr>
          </w:p>
        </w:tc>
        <w:tc>
          <w:tcPr>
            <w:tcW w:w="584" w:type="dxa"/>
            <w:vMerge w:val="continue"/>
            <w:vAlign w:val="center"/>
          </w:tcPr>
          <w:p w14:paraId="2B397FEF">
            <w:pPr>
              <w:pStyle w:val="34"/>
              <w:rPr>
                <w:sz w:val="18"/>
                <w:szCs w:val="18"/>
              </w:rPr>
            </w:pPr>
          </w:p>
        </w:tc>
        <w:tc>
          <w:tcPr>
            <w:tcW w:w="567" w:type="dxa"/>
            <w:vMerge w:val="continue"/>
            <w:vAlign w:val="center"/>
          </w:tcPr>
          <w:p w14:paraId="57EDB7B6">
            <w:pPr>
              <w:pStyle w:val="34"/>
              <w:rPr>
                <w:sz w:val="18"/>
                <w:szCs w:val="18"/>
              </w:rPr>
            </w:pPr>
          </w:p>
        </w:tc>
        <w:tc>
          <w:tcPr>
            <w:tcW w:w="419" w:type="dxa"/>
            <w:vMerge w:val="continue"/>
            <w:vAlign w:val="center"/>
          </w:tcPr>
          <w:p w14:paraId="55ADA153">
            <w:pPr>
              <w:pStyle w:val="34"/>
              <w:rPr>
                <w:sz w:val="18"/>
                <w:szCs w:val="18"/>
              </w:rPr>
            </w:pPr>
          </w:p>
        </w:tc>
        <w:tc>
          <w:tcPr>
            <w:tcW w:w="573" w:type="dxa"/>
            <w:vAlign w:val="center"/>
          </w:tcPr>
          <w:p w14:paraId="0112CFB0">
            <w:pPr>
              <w:pStyle w:val="34"/>
              <w:rPr>
                <w:sz w:val="18"/>
                <w:szCs w:val="18"/>
              </w:rPr>
            </w:pPr>
            <w:r>
              <w:rPr>
                <w:sz w:val="18"/>
                <w:szCs w:val="18"/>
              </w:rPr>
              <w:t>哌啶</w:t>
            </w:r>
          </w:p>
        </w:tc>
        <w:tc>
          <w:tcPr>
            <w:tcW w:w="3137" w:type="dxa"/>
            <w:gridSpan w:val="2"/>
            <w:vAlign w:val="center"/>
          </w:tcPr>
          <w:p w14:paraId="49B640F1">
            <w:pPr>
              <w:pStyle w:val="34"/>
              <w:rPr>
                <w:sz w:val="18"/>
                <w:szCs w:val="18"/>
              </w:rPr>
            </w:pPr>
            <w:r>
              <w:rPr>
                <w:sz w:val="18"/>
                <w:szCs w:val="18"/>
              </w:rPr>
              <w:t>其蒸气与空气形成爆炸性混合物，遇明火、高热能引起燃烧爆炸。与氧化剂能发生强烈反应。受热分解放出有毒的氧化氮烟气。其蒸气比空气重，能在较低处扩散到相当远的地方，遇火源引着回燃。</w:t>
            </w:r>
          </w:p>
        </w:tc>
        <w:tc>
          <w:tcPr>
            <w:tcW w:w="2840" w:type="dxa"/>
            <w:vAlign w:val="center"/>
          </w:tcPr>
          <w:p w14:paraId="6FE64B9E">
            <w:pPr>
              <w:pStyle w:val="34"/>
              <w:rPr>
                <w:sz w:val="18"/>
                <w:szCs w:val="18"/>
              </w:rPr>
            </w:pPr>
            <w:r>
              <w:rPr>
                <w:sz w:val="18"/>
                <w:szCs w:val="18"/>
              </w:rPr>
              <w:t>LD50：50mg</w:t>
            </w:r>
            <w:r>
              <w:rPr>
                <w:rFonts w:hint="eastAsia"/>
                <w:sz w:val="18"/>
                <w:szCs w:val="18"/>
              </w:rPr>
              <w:t>/</w:t>
            </w:r>
            <w:r>
              <w:rPr>
                <w:sz w:val="18"/>
                <w:szCs w:val="18"/>
              </w:rPr>
              <w:t>kg(大鼠经口)；320mg</w:t>
            </w:r>
            <w:r>
              <w:rPr>
                <w:rFonts w:hint="eastAsia"/>
                <w:sz w:val="18"/>
                <w:szCs w:val="18"/>
              </w:rPr>
              <w:t>/</w:t>
            </w:r>
            <w:r>
              <w:rPr>
                <w:sz w:val="18"/>
                <w:szCs w:val="18"/>
              </w:rPr>
              <w:t>kg(兔经皮)</w:t>
            </w:r>
          </w:p>
          <w:p w14:paraId="70EFF18B">
            <w:pPr>
              <w:pStyle w:val="34"/>
              <w:rPr>
                <w:sz w:val="18"/>
                <w:szCs w:val="18"/>
              </w:rPr>
            </w:pPr>
            <w:r>
              <w:rPr>
                <w:sz w:val="18"/>
                <w:szCs w:val="18"/>
              </w:rPr>
              <w:t>LC50：6000mg</w:t>
            </w:r>
            <w:r>
              <w:rPr>
                <w:rFonts w:hint="eastAsia"/>
                <w:sz w:val="18"/>
                <w:szCs w:val="18"/>
              </w:rPr>
              <w:t>/</w:t>
            </w:r>
            <w:r>
              <w:rPr>
                <w:sz w:val="18"/>
                <w:szCs w:val="18"/>
              </w:rPr>
              <w:t>m</w:t>
            </w:r>
            <w:r>
              <w:rPr>
                <w:sz w:val="18"/>
                <w:szCs w:val="18"/>
                <w:vertAlign w:val="superscript"/>
              </w:rPr>
              <w:t>3</w:t>
            </w:r>
            <w:r>
              <w:rPr>
                <w:sz w:val="18"/>
                <w:szCs w:val="18"/>
              </w:rPr>
              <w:t xml:space="preserve"> 2小时(小鼠吸入)</w:t>
            </w:r>
          </w:p>
        </w:tc>
        <w:tc>
          <w:tcPr>
            <w:tcW w:w="3270" w:type="dxa"/>
            <w:vAlign w:val="center"/>
          </w:tcPr>
          <w:p w14:paraId="40125928">
            <w:pPr>
              <w:pStyle w:val="34"/>
              <w:rPr>
                <w:sz w:val="18"/>
                <w:szCs w:val="18"/>
              </w:rPr>
            </w:pPr>
            <w:r>
              <w:rPr>
                <w:sz w:val="18"/>
                <w:szCs w:val="18"/>
              </w:rPr>
              <w:t>对眼和皮肤有强烈刺激性。误服可引起中毒，表现为虚弱、恶心、呕吐、流涎、呼吸困难、肌肉瘫痪和窒息。</w:t>
            </w:r>
          </w:p>
        </w:tc>
        <w:tc>
          <w:tcPr>
            <w:tcW w:w="1440" w:type="dxa"/>
            <w:vAlign w:val="center"/>
          </w:tcPr>
          <w:p w14:paraId="1AF33085">
            <w:pPr>
              <w:pStyle w:val="34"/>
              <w:rPr>
                <w:sz w:val="18"/>
                <w:szCs w:val="18"/>
              </w:rPr>
            </w:pPr>
            <w:r>
              <w:rPr>
                <w:sz w:val="18"/>
                <w:szCs w:val="18"/>
              </w:rPr>
              <w:t>国内针对该物质对水生生态影响的研究较少；主要认为其蒸汽危害较大。</w:t>
            </w:r>
          </w:p>
        </w:tc>
        <w:tc>
          <w:tcPr>
            <w:tcW w:w="971" w:type="dxa"/>
            <w:vAlign w:val="center"/>
          </w:tcPr>
          <w:p w14:paraId="7E9921C0">
            <w:pPr>
              <w:pStyle w:val="34"/>
              <w:rPr>
                <w:sz w:val="18"/>
                <w:szCs w:val="18"/>
              </w:rPr>
            </w:pPr>
            <w:r>
              <w:rPr>
                <w:rFonts w:hint="eastAsia"/>
                <w:sz w:val="18"/>
                <w:szCs w:val="18"/>
              </w:rPr>
              <w:t>25kg铁桶包装，常温常压运输</w:t>
            </w:r>
          </w:p>
        </w:tc>
      </w:tr>
      <w:tr w14:paraId="769868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3C317F0C">
            <w:pPr>
              <w:pStyle w:val="34"/>
              <w:numPr>
                <w:ilvl w:val="0"/>
                <w:numId w:val="55"/>
              </w:numPr>
              <w:rPr>
                <w:sz w:val="18"/>
                <w:szCs w:val="18"/>
              </w:rPr>
            </w:pPr>
          </w:p>
        </w:tc>
        <w:tc>
          <w:tcPr>
            <w:tcW w:w="584" w:type="dxa"/>
            <w:vMerge w:val="continue"/>
            <w:vAlign w:val="center"/>
          </w:tcPr>
          <w:p w14:paraId="51E3C7A0">
            <w:pPr>
              <w:pStyle w:val="34"/>
              <w:rPr>
                <w:sz w:val="18"/>
                <w:szCs w:val="18"/>
              </w:rPr>
            </w:pPr>
          </w:p>
        </w:tc>
        <w:tc>
          <w:tcPr>
            <w:tcW w:w="567" w:type="dxa"/>
            <w:vMerge w:val="continue"/>
            <w:vAlign w:val="center"/>
          </w:tcPr>
          <w:p w14:paraId="2A6E1DEB">
            <w:pPr>
              <w:pStyle w:val="34"/>
              <w:rPr>
                <w:sz w:val="18"/>
                <w:szCs w:val="18"/>
              </w:rPr>
            </w:pPr>
          </w:p>
        </w:tc>
        <w:tc>
          <w:tcPr>
            <w:tcW w:w="419" w:type="dxa"/>
            <w:vMerge w:val="continue"/>
            <w:vAlign w:val="center"/>
          </w:tcPr>
          <w:p w14:paraId="5D7E7D36">
            <w:pPr>
              <w:pStyle w:val="34"/>
              <w:rPr>
                <w:sz w:val="18"/>
                <w:szCs w:val="18"/>
              </w:rPr>
            </w:pPr>
          </w:p>
        </w:tc>
        <w:tc>
          <w:tcPr>
            <w:tcW w:w="573" w:type="dxa"/>
            <w:vAlign w:val="center"/>
          </w:tcPr>
          <w:p w14:paraId="58966D56">
            <w:pPr>
              <w:pStyle w:val="34"/>
              <w:rPr>
                <w:sz w:val="18"/>
                <w:szCs w:val="18"/>
              </w:rPr>
            </w:pPr>
            <w:r>
              <w:rPr>
                <w:rFonts w:hint="eastAsia"/>
                <w:sz w:val="18"/>
                <w:szCs w:val="18"/>
              </w:rPr>
              <w:t>1,2-乙二胺</w:t>
            </w:r>
          </w:p>
        </w:tc>
        <w:tc>
          <w:tcPr>
            <w:tcW w:w="3137" w:type="dxa"/>
            <w:gridSpan w:val="2"/>
            <w:vAlign w:val="center"/>
          </w:tcPr>
          <w:p w14:paraId="1DED6B97">
            <w:pPr>
              <w:pStyle w:val="34"/>
              <w:rPr>
                <w:sz w:val="18"/>
                <w:szCs w:val="18"/>
              </w:rPr>
            </w:pPr>
            <w:r>
              <w:rPr>
                <w:rFonts w:hint="eastAsia"/>
                <w:sz w:val="18"/>
                <w:szCs w:val="18"/>
              </w:rPr>
              <w:t>遇明火、高热或与氧化剂接触，有引起燃烧爆炸的危险。与乙酸、乙酸酐、二硫化碳、氯磺酸、盐酸、硝酸、硫酸、发烟硫酸、过氯酸等剧烈反应。能腐蚀铜及其台金。</w:t>
            </w:r>
          </w:p>
          <w:p w14:paraId="3845302F">
            <w:pPr>
              <w:pStyle w:val="34"/>
              <w:rPr>
                <w:sz w:val="18"/>
                <w:szCs w:val="18"/>
              </w:rPr>
            </w:pPr>
            <w:r>
              <w:rPr>
                <w:rFonts w:hint="eastAsia"/>
                <w:sz w:val="18"/>
                <w:szCs w:val="18"/>
              </w:rPr>
              <w:t>燃烧产物：CO、CO</w:t>
            </w:r>
            <w:r>
              <w:rPr>
                <w:rFonts w:hint="eastAsia"/>
                <w:sz w:val="18"/>
                <w:szCs w:val="18"/>
                <w:vertAlign w:val="subscript"/>
              </w:rPr>
              <w:t>2</w:t>
            </w:r>
            <w:r>
              <w:rPr>
                <w:rFonts w:hint="eastAsia"/>
                <w:sz w:val="18"/>
                <w:szCs w:val="18"/>
              </w:rPr>
              <w:t>、NO</w:t>
            </w:r>
            <w:r>
              <w:rPr>
                <w:rFonts w:hint="eastAsia"/>
                <w:sz w:val="18"/>
                <w:szCs w:val="18"/>
                <w:vertAlign w:val="subscript"/>
              </w:rPr>
              <w:t>x</w:t>
            </w:r>
          </w:p>
        </w:tc>
        <w:tc>
          <w:tcPr>
            <w:tcW w:w="2840" w:type="dxa"/>
            <w:vAlign w:val="center"/>
          </w:tcPr>
          <w:p w14:paraId="51565AFB">
            <w:pPr>
              <w:pStyle w:val="34"/>
              <w:rPr>
                <w:sz w:val="18"/>
                <w:szCs w:val="18"/>
              </w:rPr>
            </w:pPr>
            <w:r>
              <w:rPr>
                <w:sz w:val="18"/>
                <w:szCs w:val="18"/>
              </w:rPr>
              <w:t>LD50：50mg</w:t>
            </w:r>
            <w:r>
              <w:rPr>
                <w:rFonts w:hint="eastAsia"/>
                <w:sz w:val="18"/>
                <w:szCs w:val="18"/>
              </w:rPr>
              <w:t>/</w:t>
            </w:r>
            <w:r>
              <w:rPr>
                <w:sz w:val="18"/>
                <w:szCs w:val="18"/>
              </w:rPr>
              <w:t>kg(大鼠经口)；320mg</w:t>
            </w:r>
            <w:r>
              <w:rPr>
                <w:rFonts w:hint="eastAsia"/>
                <w:sz w:val="18"/>
                <w:szCs w:val="18"/>
              </w:rPr>
              <w:t>/</w:t>
            </w:r>
            <w:r>
              <w:rPr>
                <w:sz w:val="18"/>
                <w:szCs w:val="18"/>
              </w:rPr>
              <w:t>kg(兔经皮)</w:t>
            </w:r>
          </w:p>
          <w:p w14:paraId="78ED3C33">
            <w:pPr>
              <w:pStyle w:val="34"/>
              <w:rPr>
                <w:sz w:val="18"/>
                <w:szCs w:val="18"/>
              </w:rPr>
            </w:pPr>
            <w:r>
              <w:rPr>
                <w:sz w:val="18"/>
                <w:szCs w:val="18"/>
              </w:rPr>
              <w:t>LC50：6000mg</w:t>
            </w:r>
            <w:r>
              <w:rPr>
                <w:rFonts w:hint="eastAsia"/>
                <w:sz w:val="18"/>
                <w:szCs w:val="18"/>
              </w:rPr>
              <w:t>/</w:t>
            </w:r>
            <w:r>
              <w:rPr>
                <w:sz w:val="18"/>
                <w:szCs w:val="18"/>
              </w:rPr>
              <w:t>m</w:t>
            </w:r>
            <w:r>
              <w:rPr>
                <w:sz w:val="18"/>
                <w:szCs w:val="18"/>
                <w:vertAlign w:val="superscript"/>
              </w:rPr>
              <w:t>3</w:t>
            </w:r>
            <w:r>
              <w:rPr>
                <w:sz w:val="18"/>
                <w:szCs w:val="18"/>
              </w:rPr>
              <w:t xml:space="preserve"> 2小时(小鼠吸入)</w:t>
            </w:r>
          </w:p>
        </w:tc>
        <w:tc>
          <w:tcPr>
            <w:tcW w:w="3270" w:type="dxa"/>
            <w:vAlign w:val="center"/>
          </w:tcPr>
          <w:p w14:paraId="402B7BBF">
            <w:pPr>
              <w:pStyle w:val="34"/>
              <w:rPr>
                <w:sz w:val="18"/>
                <w:szCs w:val="18"/>
              </w:rPr>
            </w:pPr>
            <w:r>
              <w:rPr>
                <w:rFonts w:hint="eastAsia"/>
                <w:sz w:val="18"/>
                <w:szCs w:val="18"/>
              </w:rPr>
              <w:t>蒸气对粘膜和皮肤有强烈刺激性。接触本品蒸气引起结膜炎、支气管炎、肺炎或肺水肿，并可发生接触性皮炎。可有肝、肾损害。皮肤和眼直接接触其液体可致灼伤。本品可引起职业性哮喘。</w:t>
            </w:r>
          </w:p>
        </w:tc>
        <w:tc>
          <w:tcPr>
            <w:tcW w:w="1440" w:type="dxa"/>
            <w:vAlign w:val="center"/>
          </w:tcPr>
          <w:p w14:paraId="5F3714BE">
            <w:pPr>
              <w:pStyle w:val="34"/>
              <w:rPr>
                <w:sz w:val="18"/>
                <w:szCs w:val="18"/>
              </w:rPr>
            </w:pPr>
            <w:r>
              <w:rPr>
                <w:sz w:val="18"/>
                <w:szCs w:val="18"/>
              </w:rPr>
              <w:t>溶于水后水体呈碱性。碱性环境会损伤动物的鳃组织，妨碍鱼类对溶氧的利用。</w:t>
            </w:r>
          </w:p>
        </w:tc>
        <w:tc>
          <w:tcPr>
            <w:tcW w:w="971" w:type="dxa"/>
            <w:vAlign w:val="center"/>
          </w:tcPr>
          <w:p w14:paraId="5F23AC5E">
            <w:pPr>
              <w:pStyle w:val="34"/>
              <w:rPr>
                <w:sz w:val="18"/>
                <w:szCs w:val="18"/>
              </w:rPr>
            </w:pPr>
            <w:r>
              <w:rPr>
                <w:rFonts w:hint="eastAsia"/>
                <w:sz w:val="18"/>
                <w:szCs w:val="18"/>
              </w:rPr>
              <w:t>180kg铁桶包装，常温常压运输</w:t>
            </w:r>
          </w:p>
        </w:tc>
      </w:tr>
      <w:tr w14:paraId="57A924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4FFAE003">
            <w:pPr>
              <w:pStyle w:val="34"/>
              <w:numPr>
                <w:ilvl w:val="0"/>
                <w:numId w:val="55"/>
              </w:numPr>
              <w:rPr>
                <w:sz w:val="18"/>
                <w:szCs w:val="18"/>
              </w:rPr>
            </w:pPr>
          </w:p>
        </w:tc>
        <w:tc>
          <w:tcPr>
            <w:tcW w:w="584" w:type="dxa"/>
            <w:vMerge w:val="continue"/>
            <w:vAlign w:val="center"/>
          </w:tcPr>
          <w:p w14:paraId="6670C01C">
            <w:pPr>
              <w:pStyle w:val="34"/>
              <w:rPr>
                <w:sz w:val="18"/>
                <w:szCs w:val="18"/>
              </w:rPr>
            </w:pPr>
          </w:p>
        </w:tc>
        <w:tc>
          <w:tcPr>
            <w:tcW w:w="567" w:type="dxa"/>
            <w:vMerge w:val="restart"/>
            <w:vAlign w:val="center"/>
          </w:tcPr>
          <w:p w14:paraId="0E86D707">
            <w:pPr>
              <w:pStyle w:val="34"/>
              <w:rPr>
                <w:sz w:val="18"/>
                <w:szCs w:val="18"/>
              </w:rPr>
            </w:pPr>
            <w:r>
              <w:rPr>
                <w:sz w:val="18"/>
                <w:szCs w:val="18"/>
              </w:rPr>
              <w:t>微溶</w:t>
            </w:r>
          </w:p>
        </w:tc>
        <w:tc>
          <w:tcPr>
            <w:tcW w:w="419" w:type="dxa"/>
            <w:vAlign w:val="center"/>
          </w:tcPr>
          <w:p w14:paraId="65F3EDC0">
            <w:pPr>
              <w:pStyle w:val="34"/>
              <w:rPr>
                <w:sz w:val="18"/>
                <w:szCs w:val="18"/>
              </w:rPr>
            </w:pPr>
            <w:r>
              <w:rPr>
                <w:sz w:val="18"/>
                <w:szCs w:val="18"/>
              </w:rPr>
              <w:t>无机</w:t>
            </w:r>
          </w:p>
        </w:tc>
        <w:tc>
          <w:tcPr>
            <w:tcW w:w="573" w:type="dxa"/>
            <w:vAlign w:val="center"/>
          </w:tcPr>
          <w:p w14:paraId="59F4C028">
            <w:pPr>
              <w:pStyle w:val="34"/>
              <w:rPr>
                <w:sz w:val="18"/>
                <w:szCs w:val="18"/>
              </w:rPr>
            </w:pPr>
            <w:r>
              <w:rPr>
                <w:sz w:val="18"/>
                <w:szCs w:val="18"/>
              </w:rPr>
              <w:t>溴化氰</w:t>
            </w:r>
          </w:p>
        </w:tc>
        <w:tc>
          <w:tcPr>
            <w:tcW w:w="3137" w:type="dxa"/>
            <w:gridSpan w:val="2"/>
            <w:vAlign w:val="center"/>
          </w:tcPr>
          <w:p w14:paraId="1D7C9D78">
            <w:pPr>
              <w:pStyle w:val="34"/>
              <w:rPr>
                <w:sz w:val="18"/>
                <w:szCs w:val="18"/>
              </w:rPr>
            </w:pPr>
            <w:r>
              <w:rPr>
                <w:rFonts w:hint="eastAsia"/>
                <w:sz w:val="18"/>
                <w:szCs w:val="18"/>
              </w:rPr>
              <w:t>加热时发生分解，生成有毒和易腐蚀气体。在与水、水蒸气和酸发生反应时也生成有毒气体，易爆炸。</w:t>
            </w:r>
          </w:p>
          <w:p w14:paraId="50B1BD64">
            <w:pPr>
              <w:pStyle w:val="34"/>
              <w:rPr>
                <w:sz w:val="18"/>
                <w:szCs w:val="18"/>
              </w:rPr>
            </w:pPr>
            <w:r>
              <w:rPr>
                <w:rFonts w:hint="eastAsia"/>
                <w:sz w:val="18"/>
                <w:szCs w:val="18"/>
              </w:rPr>
              <w:t>加热分解产物：溴化氰、氰化氢</w:t>
            </w:r>
          </w:p>
        </w:tc>
        <w:tc>
          <w:tcPr>
            <w:tcW w:w="2840" w:type="dxa"/>
            <w:vAlign w:val="center"/>
          </w:tcPr>
          <w:p w14:paraId="4DBB7307">
            <w:pPr>
              <w:pStyle w:val="34"/>
              <w:rPr>
                <w:sz w:val="18"/>
                <w:szCs w:val="18"/>
              </w:rPr>
            </w:pPr>
            <w:r>
              <w:rPr>
                <w:rFonts w:hint="eastAsia"/>
                <w:sz w:val="18"/>
                <w:szCs w:val="18"/>
              </w:rPr>
              <w:t>急性毒性:人经吸入LCLo:92ppm/10M；小鼠经吸入LCLo:500mg/m</w:t>
            </w:r>
            <w:r>
              <w:rPr>
                <w:rFonts w:hint="eastAsia"/>
                <w:sz w:val="18"/>
                <w:szCs w:val="18"/>
                <w:vertAlign w:val="superscript"/>
              </w:rPr>
              <w:t>3</w:t>
            </w:r>
            <w:r>
              <w:rPr>
                <w:rFonts w:hint="eastAsia"/>
                <w:sz w:val="18"/>
                <w:szCs w:val="18"/>
              </w:rPr>
              <w:t>/10M</w:t>
            </w:r>
          </w:p>
        </w:tc>
        <w:tc>
          <w:tcPr>
            <w:tcW w:w="3270" w:type="dxa"/>
            <w:vAlign w:val="center"/>
          </w:tcPr>
          <w:p w14:paraId="2B38BB3F">
            <w:pPr>
              <w:pStyle w:val="34"/>
              <w:rPr>
                <w:sz w:val="18"/>
                <w:szCs w:val="18"/>
              </w:rPr>
            </w:pPr>
            <w:r>
              <w:rPr>
                <w:rFonts w:hint="eastAsia"/>
                <w:sz w:val="18"/>
                <w:szCs w:val="18"/>
              </w:rPr>
              <w:t>毒作用似氢氰酸，并有明显刺激性。吸入后引起紫绀、头痛、头晕、恶心、呕吐、虚弱、神志不清、惊厥、呼吸困难、咳嗽，重者发生肺水肿，可致死。对眼和皮肤有强烈刺激性，可致灼伤。口服后引起口腔和胃刺激或灼伤，可引起死亡。</w:t>
            </w:r>
          </w:p>
        </w:tc>
        <w:tc>
          <w:tcPr>
            <w:tcW w:w="1440" w:type="dxa"/>
            <w:vAlign w:val="center"/>
          </w:tcPr>
          <w:p w14:paraId="3A742259">
            <w:pPr>
              <w:pStyle w:val="34"/>
              <w:rPr>
                <w:sz w:val="18"/>
                <w:szCs w:val="18"/>
              </w:rPr>
            </w:pPr>
            <w:r>
              <w:rPr>
                <w:rFonts w:hint="eastAsia"/>
                <w:sz w:val="18"/>
                <w:szCs w:val="18"/>
              </w:rPr>
              <w:t>对水生生物有极高毒性,可能对水体环境产生长期不良影响.</w:t>
            </w:r>
          </w:p>
        </w:tc>
        <w:tc>
          <w:tcPr>
            <w:tcW w:w="971" w:type="dxa"/>
            <w:vAlign w:val="center"/>
          </w:tcPr>
          <w:p w14:paraId="14568E98">
            <w:pPr>
              <w:pStyle w:val="34"/>
              <w:rPr>
                <w:sz w:val="18"/>
                <w:szCs w:val="18"/>
              </w:rPr>
            </w:pPr>
            <w:r>
              <w:rPr>
                <w:rFonts w:hint="eastAsia"/>
                <w:sz w:val="18"/>
                <w:szCs w:val="18"/>
              </w:rPr>
              <w:t>10kg聚乙烯桶包装，低温常压运输</w:t>
            </w:r>
          </w:p>
        </w:tc>
      </w:tr>
      <w:tr w14:paraId="61D88D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ED7ECF9">
            <w:pPr>
              <w:pStyle w:val="34"/>
              <w:numPr>
                <w:ilvl w:val="0"/>
                <w:numId w:val="55"/>
              </w:numPr>
              <w:rPr>
                <w:sz w:val="18"/>
                <w:szCs w:val="18"/>
              </w:rPr>
            </w:pPr>
          </w:p>
        </w:tc>
        <w:tc>
          <w:tcPr>
            <w:tcW w:w="584" w:type="dxa"/>
            <w:vMerge w:val="continue"/>
            <w:vAlign w:val="center"/>
          </w:tcPr>
          <w:p w14:paraId="0CAACA6D">
            <w:pPr>
              <w:pStyle w:val="34"/>
              <w:rPr>
                <w:sz w:val="18"/>
                <w:szCs w:val="18"/>
              </w:rPr>
            </w:pPr>
          </w:p>
        </w:tc>
        <w:tc>
          <w:tcPr>
            <w:tcW w:w="567" w:type="dxa"/>
            <w:vMerge w:val="continue"/>
            <w:vAlign w:val="center"/>
          </w:tcPr>
          <w:p w14:paraId="0F247365">
            <w:pPr>
              <w:pStyle w:val="34"/>
              <w:rPr>
                <w:sz w:val="18"/>
                <w:szCs w:val="18"/>
              </w:rPr>
            </w:pPr>
          </w:p>
        </w:tc>
        <w:tc>
          <w:tcPr>
            <w:tcW w:w="419" w:type="dxa"/>
            <w:vMerge w:val="restart"/>
            <w:vAlign w:val="center"/>
          </w:tcPr>
          <w:p w14:paraId="046B9B39">
            <w:pPr>
              <w:pStyle w:val="34"/>
              <w:rPr>
                <w:sz w:val="18"/>
                <w:szCs w:val="18"/>
              </w:rPr>
            </w:pPr>
            <w:r>
              <w:rPr>
                <w:sz w:val="18"/>
                <w:szCs w:val="18"/>
              </w:rPr>
              <w:t>有机</w:t>
            </w:r>
          </w:p>
        </w:tc>
        <w:tc>
          <w:tcPr>
            <w:tcW w:w="573" w:type="dxa"/>
            <w:vAlign w:val="center"/>
          </w:tcPr>
          <w:p w14:paraId="2F2E8FA8">
            <w:pPr>
              <w:pStyle w:val="34"/>
              <w:rPr>
                <w:sz w:val="18"/>
                <w:szCs w:val="18"/>
              </w:rPr>
            </w:pPr>
            <w:r>
              <w:rPr>
                <w:sz w:val="18"/>
                <w:szCs w:val="18"/>
              </w:rPr>
              <w:t>乙酸甲酯</w:t>
            </w:r>
          </w:p>
        </w:tc>
        <w:tc>
          <w:tcPr>
            <w:tcW w:w="3137" w:type="dxa"/>
            <w:gridSpan w:val="2"/>
            <w:vAlign w:val="center"/>
          </w:tcPr>
          <w:p w14:paraId="2849F17B">
            <w:pPr>
              <w:pStyle w:val="34"/>
              <w:rPr>
                <w:sz w:val="18"/>
                <w:szCs w:val="18"/>
              </w:rPr>
            </w:pPr>
            <w:r>
              <w:rPr>
                <w:rFonts w:hint="eastAsia"/>
                <w:sz w:val="18"/>
                <w:szCs w:val="18"/>
              </w:rPr>
              <w:t>易燃，其蒸气与空气可形成爆炸性混合物，遇明火、高热能引起燃烧爆炸。与氧化剂接触猛烈反应。其蒸气比空气重，能在较低处扩散到相当远的地方，遇火源会着火回燃。</w:t>
            </w:r>
          </w:p>
          <w:p w14:paraId="37C1C02B">
            <w:pPr>
              <w:pStyle w:val="34"/>
              <w:rPr>
                <w:sz w:val="18"/>
                <w:szCs w:val="18"/>
              </w:rPr>
            </w:pPr>
            <w:r>
              <w:rPr>
                <w:rFonts w:hint="eastAsia"/>
                <w:sz w:val="18"/>
                <w:szCs w:val="18"/>
              </w:rPr>
              <w:t>燃烧产物：CO、CO</w:t>
            </w:r>
            <w:r>
              <w:rPr>
                <w:rFonts w:hint="eastAsia"/>
                <w:sz w:val="18"/>
                <w:szCs w:val="18"/>
                <w:vertAlign w:val="subscript"/>
              </w:rPr>
              <w:t>2</w:t>
            </w:r>
          </w:p>
        </w:tc>
        <w:tc>
          <w:tcPr>
            <w:tcW w:w="2840" w:type="dxa"/>
            <w:vAlign w:val="center"/>
          </w:tcPr>
          <w:p w14:paraId="1EF60C36">
            <w:pPr>
              <w:pStyle w:val="34"/>
              <w:rPr>
                <w:sz w:val="18"/>
                <w:szCs w:val="18"/>
              </w:rPr>
            </w:pPr>
            <w:r>
              <w:rPr>
                <w:rFonts w:hint="eastAsia"/>
                <w:sz w:val="18"/>
                <w:szCs w:val="18"/>
              </w:rPr>
              <w:t>LD50：5450 mg/kg(大鼠经口)；3700 mg/kg(免经口)</w:t>
            </w:r>
          </w:p>
        </w:tc>
        <w:tc>
          <w:tcPr>
            <w:tcW w:w="3270" w:type="dxa"/>
            <w:vAlign w:val="center"/>
          </w:tcPr>
          <w:p w14:paraId="603F3E3E">
            <w:pPr>
              <w:pStyle w:val="34"/>
              <w:rPr>
                <w:sz w:val="18"/>
                <w:szCs w:val="18"/>
              </w:rPr>
            </w:pPr>
            <w:r>
              <w:rPr>
                <w:rFonts w:hint="eastAsia"/>
                <w:sz w:val="18"/>
                <w:szCs w:val="18"/>
              </w:rPr>
              <w:t>具有麻醉和刺激作用。接触本品蒸气引起眼灼痛、流泪、进行性呼吸困难、头痛、</w:t>
            </w:r>
            <w:r>
              <w:rPr>
                <w:rFonts w:hint="eastAsia"/>
                <w:sz w:val="18"/>
                <w:szCs w:val="18"/>
                <w:lang w:eastAsia="zh-CN"/>
              </w:rPr>
              <w:t>头晕</w:t>
            </w:r>
            <w:r>
              <w:rPr>
                <w:rFonts w:hint="eastAsia"/>
                <w:sz w:val="18"/>
                <w:szCs w:val="18"/>
              </w:rPr>
              <w:t>、心悸、忧郁、中枢神经抑制。由其分解产生的甲醇可引起视力减退、视野缩小和视神经萎缩等。</w:t>
            </w:r>
          </w:p>
        </w:tc>
        <w:tc>
          <w:tcPr>
            <w:tcW w:w="1440" w:type="dxa"/>
            <w:vAlign w:val="center"/>
          </w:tcPr>
          <w:p w14:paraId="7543CD6D">
            <w:pPr>
              <w:pStyle w:val="34"/>
              <w:rPr>
                <w:sz w:val="18"/>
                <w:szCs w:val="18"/>
              </w:rPr>
            </w:pPr>
            <w:r>
              <w:rPr>
                <w:rFonts w:hint="eastAsia"/>
                <w:sz w:val="18"/>
                <w:szCs w:val="18"/>
              </w:rPr>
              <w:t>对水生生物体产生刺激性和毒性</w:t>
            </w:r>
          </w:p>
        </w:tc>
        <w:tc>
          <w:tcPr>
            <w:tcW w:w="971" w:type="dxa"/>
            <w:vAlign w:val="center"/>
          </w:tcPr>
          <w:p w14:paraId="452CC6EF">
            <w:pPr>
              <w:pStyle w:val="34"/>
              <w:rPr>
                <w:sz w:val="18"/>
                <w:szCs w:val="18"/>
              </w:rPr>
            </w:pPr>
            <w:r>
              <w:rPr>
                <w:rFonts w:hint="eastAsia"/>
                <w:sz w:val="18"/>
                <w:szCs w:val="18"/>
              </w:rPr>
              <w:t>200kg铁桶包装，常温常压运输</w:t>
            </w:r>
          </w:p>
        </w:tc>
      </w:tr>
      <w:tr w14:paraId="3FB01E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4BC7960D">
            <w:pPr>
              <w:pStyle w:val="34"/>
              <w:numPr>
                <w:ilvl w:val="0"/>
                <w:numId w:val="55"/>
              </w:numPr>
              <w:rPr>
                <w:sz w:val="18"/>
                <w:szCs w:val="18"/>
              </w:rPr>
            </w:pPr>
          </w:p>
        </w:tc>
        <w:tc>
          <w:tcPr>
            <w:tcW w:w="584" w:type="dxa"/>
            <w:vMerge w:val="continue"/>
            <w:vAlign w:val="center"/>
          </w:tcPr>
          <w:p w14:paraId="42D45C18">
            <w:pPr>
              <w:pStyle w:val="34"/>
              <w:rPr>
                <w:sz w:val="18"/>
                <w:szCs w:val="18"/>
              </w:rPr>
            </w:pPr>
          </w:p>
        </w:tc>
        <w:tc>
          <w:tcPr>
            <w:tcW w:w="567" w:type="dxa"/>
            <w:vMerge w:val="continue"/>
            <w:vAlign w:val="center"/>
          </w:tcPr>
          <w:p w14:paraId="67DDE9B8">
            <w:pPr>
              <w:pStyle w:val="34"/>
              <w:rPr>
                <w:sz w:val="18"/>
                <w:szCs w:val="18"/>
              </w:rPr>
            </w:pPr>
          </w:p>
        </w:tc>
        <w:tc>
          <w:tcPr>
            <w:tcW w:w="419" w:type="dxa"/>
            <w:vMerge w:val="continue"/>
            <w:vAlign w:val="center"/>
          </w:tcPr>
          <w:p w14:paraId="475C325A">
            <w:pPr>
              <w:pStyle w:val="34"/>
              <w:rPr>
                <w:sz w:val="18"/>
                <w:szCs w:val="18"/>
              </w:rPr>
            </w:pPr>
          </w:p>
        </w:tc>
        <w:tc>
          <w:tcPr>
            <w:tcW w:w="573" w:type="dxa"/>
            <w:vAlign w:val="center"/>
          </w:tcPr>
          <w:p w14:paraId="37047FDC">
            <w:pPr>
              <w:pStyle w:val="34"/>
              <w:rPr>
                <w:sz w:val="18"/>
                <w:szCs w:val="18"/>
              </w:rPr>
            </w:pPr>
            <w:r>
              <w:rPr>
                <w:rFonts w:hint="eastAsia"/>
                <w:sz w:val="18"/>
                <w:szCs w:val="18"/>
              </w:rPr>
              <w:t>丙烯腈</w:t>
            </w:r>
          </w:p>
        </w:tc>
        <w:tc>
          <w:tcPr>
            <w:tcW w:w="3137" w:type="dxa"/>
            <w:gridSpan w:val="2"/>
            <w:vAlign w:val="center"/>
          </w:tcPr>
          <w:p w14:paraId="42A9FA9B">
            <w:pPr>
              <w:pStyle w:val="34"/>
              <w:rPr>
                <w:sz w:val="18"/>
                <w:szCs w:val="18"/>
              </w:rPr>
            </w:pPr>
            <w:r>
              <w:rPr>
                <w:sz w:val="18"/>
                <w:szCs w:val="18"/>
              </w:rPr>
              <w:t>易燃，与空气混合能形成爆炸性混合物，遇热源或明火有燃烧爆炸危险；蒸气比空气重，能在较低处扩散到相当远的地方，遇火源会着火回燃</w:t>
            </w:r>
            <w:r>
              <w:rPr>
                <w:rFonts w:hint="eastAsia"/>
                <w:sz w:val="18"/>
                <w:szCs w:val="18"/>
              </w:rPr>
              <w:t>；受热或引发剂存在条件下能发生剧烈的聚合反应</w:t>
            </w:r>
          </w:p>
        </w:tc>
        <w:tc>
          <w:tcPr>
            <w:tcW w:w="2840" w:type="dxa"/>
            <w:vAlign w:val="center"/>
          </w:tcPr>
          <w:p w14:paraId="0DFFE46D">
            <w:pPr>
              <w:pStyle w:val="34"/>
              <w:rPr>
                <w:sz w:val="18"/>
                <w:szCs w:val="18"/>
              </w:rPr>
            </w:pPr>
            <w:r>
              <w:rPr>
                <w:rFonts w:hint="eastAsia"/>
                <w:sz w:val="18"/>
                <w:szCs w:val="18"/>
              </w:rPr>
              <w:t>剧毒化学品。抑制呼吸酶</w:t>
            </w:r>
          </w:p>
          <w:p w14:paraId="2CEAF474">
            <w:pPr>
              <w:pStyle w:val="34"/>
              <w:rPr>
                <w:sz w:val="18"/>
                <w:szCs w:val="18"/>
              </w:rPr>
            </w:pPr>
            <w:r>
              <w:rPr>
                <w:sz w:val="18"/>
                <w:szCs w:val="18"/>
              </w:rPr>
              <w:t>IDLH:85ppm</w:t>
            </w:r>
          </w:p>
          <w:p w14:paraId="4CB0CB39">
            <w:pPr>
              <w:pStyle w:val="34"/>
              <w:rPr>
                <w:sz w:val="18"/>
                <w:szCs w:val="18"/>
              </w:rPr>
            </w:pPr>
            <w:r>
              <w:rPr>
                <w:rFonts w:hint="eastAsia"/>
                <w:sz w:val="18"/>
                <w:szCs w:val="18"/>
              </w:rPr>
              <w:t>急性毒性：大鼠经口LD50：78mg/kg；大鼠经皮LD50：148mg/kg；大鼠</w:t>
            </w:r>
            <w:r>
              <w:rPr>
                <w:rFonts w:hint="eastAsia"/>
                <w:sz w:val="18"/>
                <w:szCs w:val="18"/>
                <w:lang w:eastAsia="zh-CN"/>
              </w:rPr>
              <w:t>吸入</w:t>
            </w:r>
            <w:r>
              <w:rPr>
                <w:rFonts w:hint="eastAsia"/>
                <w:sz w:val="18"/>
                <w:szCs w:val="18"/>
              </w:rPr>
              <w:t xml:space="preserve"> LG50：333ppm(4h)</w:t>
            </w:r>
          </w:p>
        </w:tc>
        <w:tc>
          <w:tcPr>
            <w:tcW w:w="3270" w:type="dxa"/>
            <w:vAlign w:val="center"/>
          </w:tcPr>
          <w:p w14:paraId="357135AE">
            <w:pPr>
              <w:pStyle w:val="34"/>
              <w:rPr>
                <w:sz w:val="18"/>
                <w:szCs w:val="18"/>
              </w:rPr>
            </w:pPr>
            <w:r>
              <w:rPr>
                <w:rFonts w:hint="eastAsia"/>
                <w:sz w:val="18"/>
                <w:szCs w:val="18"/>
              </w:rPr>
              <w:t>可经呼吸道、胃肠道和完整皮肤进入体内；急性轻度中毒出现头痛、头昏、上腹部不适、恶心、呕吐、手足麻木、胸闷、呼吸困难、腱反 射亢进嗜睡状态或意识模糊。重度中毒出现癫痫大发作样抽搐、昏迷、肺水肿</w:t>
            </w:r>
          </w:p>
        </w:tc>
        <w:tc>
          <w:tcPr>
            <w:tcW w:w="1440" w:type="dxa"/>
            <w:vAlign w:val="center"/>
          </w:tcPr>
          <w:p w14:paraId="5325243C">
            <w:pPr>
              <w:pStyle w:val="34"/>
              <w:rPr>
                <w:sz w:val="18"/>
                <w:szCs w:val="18"/>
              </w:rPr>
            </w:pPr>
            <w:r>
              <w:rPr>
                <w:rFonts w:hint="eastAsia"/>
                <w:sz w:val="18"/>
                <w:szCs w:val="18"/>
              </w:rPr>
              <w:t>对水生生物有毒性作用，能在水环境中造成长期的有害影响</w:t>
            </w:r>
          </w:p>
        </w:tc>
        <w:tc>
          <w:tcPr>
            <w:tcW w:w="971" w:type="dxa"/>
            <w:vAlign w:val="center"/>
          </w:tcPr>
          <w:p w14:paraId="52EBEB56">
            <w:pPr>
              <w:pStyle w:val="34"/>
              <w:rPr>
                <w:sz w:val="18"/>
                <w:szCs w:val="18"/>
              </w:rPr>
            </w:pPr>
            <w:r>
              <w:rPr>
                <w:rFonts w:hint="eastAsia"/>
                <w:sz w:val="18"/>
                <w:szCs w:val="18"/>
              </w:rPr>
              <w:t>160kg聚丙烯桶装，常温常压运输</w:t>
            </w:r>
          </w:p>
        </w:tc>
      </w:tr>
      <w:tr w14:paraId="67B1BA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28B3F4A">
            <w:pPr>
              <w:pStyle w:val="34"/>
              <w:numPr>
                <w:ilvl w:val="0"/>
                <w:numId w:val="55"/>
              </w:numPr>
              <w:rPr>
                <w:sz w:val="18"/>
                <w:szCs w:val="18"/>
              </w:rPr>
            </w:pPr>
          </w:p>
        </w:tc>
        <w:tc>
          <w:tcPr>
            <w:tcW w:w="584" w:type="dxa"/>
            <w:vMerge w:val="continue"/>
            <w:vAlign w:val="center"/>
          </w:tcPr>
          <w:p w14:paraId="1307ECFA">
            <w:pPr>
              <w:pStyle w:val="34"/>
              <w:rPr>
                <w:sz w:val="18"/>
                <w:szCs w:val="18"/>
              </w:rPr>
            </w:pPr>
          </w:p>
        </w:tc>
        <w:tc>
          <w:tcPr>
            <w:tcW w:w="567" w:type="dxa"/>
            <w:vMerge w:val="continue"/>
            <w:vAlign w:val="center"/>
          </w:tcPr>
          <w:p w14:paraId="321AE64C">
            <w:pPr>
              <w:pStyle w:val="34"/>
              <w:rPr>
                <w:sz w:val="18"/>
                <w:szCs w:val="18"/>
              </w:rPr>
            </w:pPr>
          </w:p>
        </w:tc>
        <w:tc>
          <w:tcPr>
            <w:tcW w:w="419" w:type="dxa"/>
            <w:vMerge w:val="continue"/>
            <w:vAlign w:val="center"/>
          </w:tcPr>
          <w:p w14:paraId="4D01C348">
            <w:pPr>
              <w:pStyle w:val="34"/>
              <w:rPr>
                <w:sz w:val="18"/>
                <w:szCs w:val="18"/>
              </w:rPr>
            </w:pPr>
          </w:p>
        </w:tc>
        <w:tc>
          <w:tcPr>
            <w:tcW w:w="573" w:type="dxa"/>
            <w:vAlign w:val="center"/>
          </w:tcPr>
          <w:p w14:paraId="57AD7A8B">
            <w:pPr>
              <w:pStyle w:val="34"/>
              <w:rPr>
                <w:sz w:val="18"/>
                <w:szCs w:val="18"/>
              </w:rPr>
            </w:pPr>
            <w:r>
              <w:rPr>
                <w:rFonts w:hint="eastAsia"/>
                <w:sz w:val="18"/>
                <w:szCs w:val="18"/>
              </w:rPr>
              <w:t>丁醇</w:t>
            </w:r>
          </w:p>
        </w:tc>
        <w:tc>
          <w:tcPr>
            <w:tcW w:w="3137" w:type="dxa"/>
            <w:gridSpan w:val="2"/>
            <w:vAlign w:val="center"/>
          </w:tcPr>
          <w:p w14:paraId="35431B16">
            <w:pPr>
              <w:pStyle w:val="34"/>
              <w:rPr>
                <w:sz w:val="18"/>
                <w:szCs w:val="18"/>
              </w:rPr>
            </w:pPr>
            <w:r>
              <w:rPr>
                <w:rFonts w:hint="eastAsia"/>
                <w:sz w:val="18"/>
                <w:szCs w:val="18"/>
              </w:rPr>
              <w:t>易燃,其蒸气与空气可形成爆炸性混合物,遇明火、高热能引起燃烧爆炸。与氧化剂接触猛烈反应。在火场中,受热的容器有爆炸危险。</w:t>
            </w:r>
          </w:p>
        </w:tc>
        <w:tc>
          <w:tcPr>
            <w:tcW w:w="2840" w:type="dxa"/>
            <w:vAlign w:val="center"/>
          </w:tcPr>
          <w:p w14:paraId="6A72E6BE">
            <w:pPr>
              <w:pStyle w:val="34"/>
              <w:rPr>
                <w:sz w:val="18"/>
                <w:szCs w:val="18"/>
              </w:rPr>
            </w:pPr>
            <w:r>
              <w:rPr>
                <w:rFonts w:hint="eastAsia"/>
                <w:sz w:val="18"/>
                <w:szCs w:val="18"/>
              </w:rPr>
              <w:t>LD50： 4360mg/kg(大鼠经口)； 3400mg/kg（免经皮）LC50：为24240mg/m</w:t>
            </w:r>
            <w:r>
              <w:rPr>
                <w:rFonts w:hint="eastAsia"/>
                <w:sz w:val="18"/>
                <w:szCs w:val="18"/>
                <w:vertAlign w:val="superscript"/>
              </w:rPr>
              <w:t>3</w:t>
            </w:r>
            <w:r>
              <w:rPr>
                <w:rFonts w:hint="eastAsia"/>
                <w:sz w:val="18"/>
                <w:szCs w:val="18"/>
              </w:rPr>
              <w:t>（大鼠吸入，4小时）</w:t>
            </w:r>
          </w:p>
        </w:tc>
        <w:tc>
          <w:tcPr>
            <w:tcW w:w="3270" w:type="dxa"/>
            <w:vAlign w:val="center"/>
          </w:tcPr>
          <w:p w14:paraId="550AF95D">
            <w:pPr>
              <w:pStyle w:val="34"/>
              <w:rPr>
                <w:sz w:val="18"/>
                <w:szCs w:val="18"/>
              </w:rPr>
            </w:pPr>
            <w:r>
              <w:rPr>
                <w:rFonts w:hint="eastAsia"/>
                <w:sz w:val="18"/>
                <w:szCs w:val="18"/>
              </w:rPr>
              <w:t>高浓度的丁醇对人体的中枢神经系统具有抑制作用,可能引起头晕、眩晕、呼吸困难等症状。</w:t>
            </w:r>
          </w:p>
        </w:tc>
        <w:tc>
          <w:tcPr>
            <w:tcW w:w="1440" w:type="dxa"/>
            <w:vAlign w:val="center"/>
          </w:tcPr>
          <w:p w14:paraId="210D45AB">
            <w:pPr>
              <w:pStyle w:val="34"/>
              <w:rPr>
                <w:sz w:val="18"/>
                <w:szCs w:val="18"/>
              </w:rPr>
            </w:pPr>
            <w:r>
              <w:rPr>
                <w:rFonts w:hint="eastAsia"/>
                <w:sz w:val="18"/>
                <w:szCs w:val="18"/>
              </w:rPr>
              <w:t>正丁醇在水体中可能对水生生物产生毒性影响。根据相关研究,高浓度的正丁醇可能导致水中生物的死亡和生殖问题</w:t>
            </w:r>
          </w:p>
        </w:tc>
        <w:tc>
          <w:tcPr>
            <w:tcW w:w="971" w:type="dxa"/>
            <w:vAlign w:val="center"/>
          </w:tcPr>
          <w:p w14:paraId="153685A5">
            <w:pPr>
              <w:pStyle w:val="34"/>
              <w:rPr>
                <w:sz w:val="18"/>
                <w:szCs w:val="18"/>
              </w:rPr>
            </w:pPr>
            <w:r>
              <w:rPr>
                <w:rFonts w:hint="eastAsia"/>
                <w:sz w:val="18"/>
                <w:szCs w:val="18"/>
              </w:rPr>
              <w:t>160kg聚乙烯桶包装，常温常压运输</w:t>
            </w:r>
          </w:p>
        </w:tc>
      </w:tr>
      <w:tr w14:paraId="276ECA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841E7C9">
            <w:pPr>
              <w:pStyle w:val="34"/>
              <w:numPr>
                <w:ilvl w:val="0"/>
                <w:numId w:val="55"/>
              </w:numPr>
              <w:rPr>
                <w:sz w:val="18"/>
                <w:szCs w:val="18"/>
              </w:rPr>
            </w:pPr>
          </w:p>
        </w:tc>
        <w:tc>
          <w:tcPr>
            <w:tcW w:w="584" w:type="dxa"/>
            <w:vMerge w:val="continue"/>
            <w:vAlign w:val="center"/>
          </w:tcPr>
          <w:p w14:paraId="0365E403">
            <w:pPr>
              <w:pStyle w:val="34"/>
              <w:rPr>
                <w:sz w:val="18"/>
                <w:szCs w:val="18"/>
              </w:rPr>
            </w:pPr>
          </w:p>
        </w:tc>
        <w:tc>
          <w:tcPr>
            <w:tcW w:w="567" w:type="dxa"/>
            <w:vMerge w:val="continue"/>
            <w:vAlign w:val="center"/>
          </w:tcPr>
          <w:p w14:paraId="76E90055">
            <w:pPr>
              <w:pStyle w:val="34"/>
              <w:rPr>
                <w:sz w:val="18"/>
                <w:szCs w:val="18"/>
              </w:rPr>
            </w:pPr>
          </w:p>
        </w:tc>
        <w:tc>
          <w:tcPr>
            <w:tcW w:w="419" w:type="dxa"/>
            <w:vMerge w:val="continue"/>
            <w:vAlign w:val="center"/>
          </w:tcPr>
          <w:p w14:paraId="63BEB463">
            <w:pPr>
              <w:pStyle w:val="34"/>
              <w:rPr>
                <w:sz w:val="18"/>
                <w:szCs w:val="18"/>
              </w:rPr>
            </w:pPr>
          </w:p>
        </w:tc>
        <w:tc>
          <w:tcPr>
            <w:tcW w:w="573" w:type="dxa"/>
            <w:vAlign w:val="center"/>
          </w:tcPr>
          <w:p w14:paraId="261B2F61">
            <w:pPr>
              <w:pStyle w:val="34"/>
              <w:rPr>
                <w:sz w:val="18"/>
                <w:szCs w:val="18"/>
              </w:rPr>
            </w:pPr>
            <w:r>
              <w:rPr>
                <w:rFonts w:hint="eastAsia"/>
                <w:sz w:val="18"/>
                <w:szCs w:val="18"/>
              </w:rPr>
              <w:t>乙酸乙酯</w:t>
            </w:r>
          </w:p>
        </w:tc>
        <w:tc>
          <w:tcPr>
            <w:tcW w:w="3137" w:type="dxa"/>
            <w:gridSpan w:val="2"/>
            <w:vAlign w:val="center"/>
          </w:tcPr>
          <w:p w14:paraId="7BF567EA">
            <w:pPr>
              <w:pStyle w:val="34"/>
              <w:rPr>
                <w:sz w:val="18"/>
                <w:szCs w:val="18"/>
              </w:rPr>
            </w:pPr>
            <w:r>
              <w:rPr>
                <w:sz w:val="18"/>
                <w:szCs w:val="18"/>
              </w:rPr>
              <w:t>其蒸气与空气形成爆炸性混合物，遇明火、高热能引起燃烧爆炸。与氧化剂能发生强烈反应。其蒸气比空气重，能在较低处扩散到相当远的地方，遇火源引着回燃。若遇高热，容器内压增大，有开裂和爆炸的危险。</w:t>
            </w:r>
          </w:p>
        </w:tc>
        <w:tc>
          <w:tcPr>
            <w:tcW w:w="2840" w:type="dxa"/>
            <w:vAlign w:val="center"/>
          </w:tcPr>
          <w:p w14:paraId="10A06762">
            <w:pPr>
              <w:pStyle w:val="34"/>
              <w:rPr>
                <w:sz w:val="18"/>
                <w:szCs w:val="18"/>
              </w:rPr>
            </w:pPr>
            <w:r>
              <w:rPr>
                <w:sz w:val="18"/>
                <w:szCs w:val="18"/>
              </w:rPr>
              <w:t>LD50：5620mg/kg(大鼠经口)；4940mg</w:t>
            </w:r>
            <w:r>
              <w:rPr>
                <w:rFonts w:hint="eastAsia"/>
                <w:sz w:val="18"/>
                <w:szCs w:val="18"/>
              </w:rPr>
              <w:t>/</w:t>
            </w:r>
            <w:r>
              <w:rPr>
                <w:sz w:val="18"/>
                <w:szCs w:val="18"/>
              </w:rPr>
              <w:t>kg(兔经口)</w:t>
            </w:r>
          </w:p>
          <w:p w14:paraId="74AAD950">
            <w:pPr>
              <w:pStyle w:val="34"/>
              <w:rPr>
                <w:sz w:val="18"/>
                <w:szCs w:val="18"/>
              </w:rPr>
            </w:pPr>
            <w:r>
              <w:rPr>
                <w:sz w:val="18"/>
                <w:szCs w:val="18"/>
              </w:rPr>
              <w:t>LC50：1600ppm 8小时(大鼠吸入)</w:t>
            </w:r>
          </w:p>
        </w:tc>
        <w:tc>
          <w:tcPr>
            <w:tcW w:w="3270" w:type="dxa"/>
            <w:vAlign w:val="center"/>
          </w:tcPr>
          <w:p w14:paraId="595FD38A">
            <w:pPr>
              <w:pStyle w:val="34"/>
              <w:rPr>
                <w:sz w:val="18"/>
                <w:szCs w:val="18"/>
              </w:rPr>
            </w:pPr>
            <w:r>
              <w:rPr>
                <w:sz w:val="18"/>
                <w:szCs w:val="18"/>
              </w:rPr>
              <w:t>对眼、鼻、咽喉有刺激作用。高浓度吸入可引起缓慢而渐进的麻醉作用。持续大量吸入，可致呼吸麻痹。有致敏作用，因血管神经障碍而致牙龈路充血及粘膜炎症；可致湿疹样皮炎。</w:t>
            </w:r>
          </w:p>
        </w:tc>
        <w:tc>
          <w:tcPr>
            <w:tcW w:w="1440" w:type="dxa"/>
            <w:vAlign w:val="center"/>
          </w:tcPr>
          <w:p w14:paraId="4C432A2D">
            <w:pPr>
              <w:pStyle w:val="34"/>
              <w:rPr>
                <w:sz w:val="18"/>
                <w:szCs w:val="18"/>
              </w:rPr>
            </w:pPr>
            <w:r>
              <w:rPr>
                <w:sz w:val="18"/>
                <w:szCs w:val="18"/>
              </w:rPr>
              <w:t>有研究认为乙酸乙酯可作为有机碳源促进藻类等水生植物、浮游植物生长。</w:t>
            </w:r>
          </w:p>
        </w:tc>
        <w:tc>
          <w:tcPr>
            <w:tcW w:w="971" w:type="dxa"/>
            <w:vAlign w:val="center"/>
          </w:tcPr>
          <w:p w14:paraId="47B5E068">
            <w:pPr>
              <w:pStyle w:val="34"/>
              <w:rPr>
                <w:sz w:val="18"/>
                <w:szCs w:val="18"/>
              </w:rPr>
            </w:pPr>
            <w:r>
              <w:rPr>
                <w:rFonts w:hint="eastAsia"/>
                <w:sz w:val="18"/>
                <w:szCs w:val="18"/>
              </w:rPr>
              <w:t>1t钢桶或塑料桶包装，常温常压运输</w:t>
            </w:r>
          </w:p>
        </w:tc>
      </w:tr>
      <w:tr w14:paraId="1A45B7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056A17C">
            <w:pPr>
              <w:pStyle w:val="34"/>
              <w:numPr>
                <w:ilvl w:val="0"/>
                <w:numId w:val="55"/>
              </w:numPr>
              <w:rPr>
                <w:sz w:val="18"/>
                <w:szCs w:val="18"/>
              </w:rPr>
            </w:pPr>
          </w:p>
        </w:tc>
        <w:tc>
          <w:tcPr>
            <w:tcW w:w="584" w:type="dxa"/>
            <w:vMerge w:val="continue"/>
            <w:vAlign w:val="center"/>
          </w:tcPr>
          <w:p w14:paraId="767DFF5D">
            <w:pPr>
              <w:pStyle w:val="34"/>
              <w:rPr>
                <w:sz w:val="18"/>
                <w:szCs w:val="18"/>
              </w:rPr>
            </w:pPr>
          </w:p>
        </w:tc>
        <w:tc>
          <w:tcPr>
            <w:tcW w:w="567" w:type="dxa"/>
            <w:vMerge w:val="continue"/>
            <w:vAlign w:val="center"/>
          </w:tcPr>
          <w:p w14:paraId="5ABA9383">
            <w:pPr>
              <w:pStyle w:val="34"/>
              <w:rPr>
                <w:sz w:val="18"/>
                <w:szCs w:val="18"/>
              </w:rPr>
            </w:pPr>
          </w:p>
        </w:tc>
        <w:tc>
          <w:tcPr>
            <w:tcW w:w="419" w:type="dxa"/>
            <w:vMerge w:val="continue"/>
            <w:vAlign w:val="center"/>
          </w:tcPr>
          <w:p w14:paraId="42B9E4D4">
            <w:pPr>
              <w:pStyle w:val="34"/>
              <w:rPr>
                <w:sz w:val="18"/>
                <w:szCs w:val="18"/>
              </w:rPr>
            </w:pPr>
          </w:p>
        </w:tc>
        <w:tc>
          <w:tcPr>
            <w:tcW w:w="573" w:type="dxa"/>
            <w:vAlign w:val="center"/>
          </w:tcPr>
          <w:p w14:paraId="708C637E">
            <w:pPr>
              <w:pStyle w:val="34"/>
              <w:rPr>
                <w:sz w:val="18"/>
                <w:szCs w:val="18"/>
              </w:rPr>
            </w:pPr>
            <w:r>
              <w:rPr>
                <w:rFonts w:hint="eastAsia"/>
                <w:sz w:val="18"/>
                <w:szCs w:val="18"/>
              </w:rPr>
              <w:t>甲基丙烯酸甲酯</w:t>
            </w:r>
          </w:p>
        </w:tc>
        <w:tc>
          <w:tcPr>
            <w:tcW w:w="3137" w:type="dxa"/>
            <w:gridSpan w:val="2"/>
            <w:vAlign w:val="center"/>
          </w:tcPr>
          <w:p w14:paraId="54D1C7BE">
            <w:pPr>
              <w:pStyle w:val="34"/>
              <w:rPr>
                <w:sz w:val="18"/>
                <w:szCs w:val="18"/>
              </w:rPr>
            </w:pPr>
            <w:r>
              <w:rPr>
                <w:sz w:val="18"/>
                <w:szCs w:val="18"/>
              </w:rPr>
              <w:t>遇明火、高热或与氧化剂接触，有引起燃烧爆炸的危险。若遇高热，可能发生聚合反应，出现大量放热现象，引起容器破裂和爆炸事故。</w:t>
            </w:r>
          </w:p>
        </w:tc>
        <w:tc>
          <w:tcPr>
            <w:tcW w:w="2840" w:type="dxa"/>
            <w:vAlign w:val="center"/>
          </w:tcPr>
          <w:p w14:paraId="0EE89E51">
            <w:pPr>
              <w:pStyle w:val="34"/>
              <w:rPr>
                <w:sz w:val="18"/>
                <w:szCs w:val="18"/>
              </w:rPr>
            </w:pPr>
            <w:r>
              <w:rPr>
                <w:sz w:val="18"/>
                <w:szCs w:val="18"/>
              </w:rPr>
              <w:t>LD50：7872mg</w:t>
            </w:r>
            <w:r>
              <w:rPr>
                <w:rFonts w:hint="eastAsia"/>
                <w:sz w:val="18"/>
                <w:szCs w:val="18"/>
              </w:rPr>
              <w:t>/</w:t>
            </w:r>
            <w:r>
              <w:rPr>
                <w:sz w:val="18"/>
                <w:szCs w:val="18"/>
              </w:rPr>
              <w:t>kg(大鼠经口)</w:t>
            </w:r>
            <w:r>
              <w:rPr>
                <w:sz w:val="18"/>
                <w:szCs w:val="18"/>
              </w:rPr>
              <w:br w:type="textWrapping"/>
            </w:r>
            <w:r>
              <w:rPr>
                <w:sz w:val="18"/>
                <w:szCs w:val="18"/>
              </w:rPr>
              <w:t>LC50：3750ppm(大鼠吸入)  </w:t>
            </w:r>
          </w:p>
        </w:tc>
        <w:tc>
          <w:tcPr>
            <w:tcW w:w="3270" w:type="dxa"/>
            <w:vAlign w:val="center"/>
          </w:tcPr>
          <w:p w14:paraId="0D0E382F">
            <w:pPr>
              <w:pStyle w:val="34"/>
              <w:rPr>
                <w:sz w:val="18"/>
                <w:szCs w:val="18"/>
              </w:rPr>
            </w:pPr>
            <w:r>
              <w:rPr>
                <w:sz w:val="18"/>
                <w:szCs w:val="18"/>
              </w:rPr>
              <w:t>人对本品气味感觉阈浓度为85mg</w:t>
            </w:r>
            <w:r>
              <w:rPr>
                <w:rFonts w:hint="eastAsia"/>
                <w:sz w:val="18"/>
                <w:szCs w:val="18"/>
              </w:rPr>
              <w:t>/</w:t>
            </w:r>
            <w:r>
              <w:rPr>
                <w:sz w:val="18"/>
                <w:szCs w:val="18"/>
              </w:rPr>
              <w:t>m</w:t>
            </w:r>
            <w:r>
              <w:rPr>
                <w:sz w:val="18"/>
                <w:szCs w:val="18"/>
                <w:vertAlign w:val="superscript"/>
              </w:rPr>
              <w:t>3</w:t>
            </w:r>
            <w:r>
              <w:rPr>
                <w:sz w:val="18"/>
                <w:szCs w:val="18"/>
              </w:rPr>
              <w:t>，刺激作用阈浓度(暴露1分钟)为285mg</w:t>
            </w:r>
            <w:r>
              <w:rPr>
                <w:rFonts w:hint="eastAsia"/>
                <w:sz w:val="18"/>
                <w:szCs w:val="18"/>
              </w:rPr>
              <w:t>/</w:t>
            </w:r>
            <w:r>
              <w:rPr>
                <w:sz w:val="18"/>
                <w:szCs w:val="18"/>
              </w:rPr>
              <w:t>m</w:t>
            </w:r>
            <w:r>
              <w:rPr>
                <w:sz w:val="18"/>
                <w:szCs w:val="18"/>
                <w:vertAlign w:val="superscript"/>
              </w:rPr>
              <w:t>3</w:t>
            </w:r>
            <w:r>
              <w:rPr>
                <w:sz w:val="18"/>
                <w:szCs w:val="18"/>
              </w:rPr>
              <w:t>。中毒表现为乏力、恶心、反复呕吐、头痛、头晕、胸闷、伴有短暂的意识消失、中性白细胞增多症。</w:t>
            </w:r>
          </w:p>
          <w:p w14:paraId="758E23BC">
            <w:pPr>
              <w:pStyle w:val="34"/>
              <w:rPr>
                <w:sz w:val="18"/>
                <w:szCs w:val="18"/>
              </w:rPr>
            </w:pPr>
            <w:r>
              <w:rPr>
                <w:sz w:val="18"/>
                <w:szCs w:val="18"/>
              </w:rPr>
              <w:t>慢性中毒：神经系统受损的综合症状占主要地位，个别可发生中毒性脑病。可引起轻度皮炎和结膜炎。接触时间长可致麻醉作用。</w:t>
            </w:r>
          </w:p>
        </w:tc>
        <w:tc>
          <w:tcPr>
            <w:tcW w:w="1440" w:type="dxa"/>
            <w:vAlign w:val="center"/>
          </w:tcPr>
          <w:p w14:paraId="68FDDA22">
            <w:pPr>
              <w:pStyle w:val="34"/>
              <w:rPr>
                <w:sz w:val="18"/>
                <w:szCs w:val="18"/>
              </w:rPr>
            </w:pPr>
            <w:r>
              <w:rPr>
                <w:sz w:val="18"/>
                <w:szCs w:val="18"/>
              </w:rPr>
              <w:t>泄漏进入海域形成漂浮物，可能阻隔空气中的氧进入水体导致水生生物缺氧。</w:t>
            </w:r>
          </w:p>
        </w:tc>
        <w:tc>
          <w:tcPr>
            <w:tcW w:w="971" w:type="dxa"/>
            <w:vAlign w:val="center"/>
          </w:tcPr>
          <w:p w14:paraId="6DA6277C">
            <w:pPr>
              <w:pStyle w:val="34"/>
              <w:rPr>
                <w:sz w:val="18"/>
                <w:szCs w:val="18"/>
              </w:rPr>
            </w:pPr>
            <w:r>
              <w:rPr>
                <w:rFonts w:hint="eastAsia"/>
                <w:sz w:val="18"/>
                <w:szCs w:val="18"/>
              </w:rPr>
              <w:t>190kg聚乙烯桶包装，常温常压运输</w:t>
            </w:r>
          </w:p>
        </w:tc>
      </w:tr>
      <w:tr w14:paraId="0AEB3F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FA857AF">
            <w:pPr>
              <w:pStyle w:val="34"/>
              <w:numPr>
                <w:ilvl w:val="0"/>
                <w:numId w:val="55"/>
              </w:numPr>
              <w:rPr>
                <w:sz w:val="18"/>
                <w:szCs w:val="18"/>
              </w:rPr>
            </w:pPr>
          </w:p>
        </w:tc>
        <w:tc>
          <w:tcPr>
            <w:tcW w:w="584" w:type="dxa"/>
            <w:vMerge w:val="continue"/>
            <w:vAlign w:val="center"/>
          </w:tcPr>
          <w:p w14:paraId="7838C138">
            <w:pPr>
              <w:pStyle w:val="34"/>
              <w:rPr>
                <w:sz w:val="18"/>
                <w:szCs w:val="18"/>
              </w:rPr>
            </w:pPr>
          </w:p>
        </w:tc>
        <w:tc>
          <w:tcPr>
            <w:tcW w:w="567" w:type="dxa"/>
            <w:vMerge w:val="continue"/>
            <w:vAlign w:val="center"/>
          </w:tcPr>
          <w:p w14:paraId="345969DF">
            <w:pPr>
              <w:pStyle w:val="34"/>
              <w:rPr>
                <w:sz w:val="18"/>
                <w:szCs w:val="18"/>
              </w:rPr>
            </w:pPr>
          </w:p>
        </w:tc>
        <w:tc>
          <w:tcPr>
            <w:tcW w:w="419" w:type="dxa"/>
            <w:vMerge w:val="continue"/>
            <w:vAlign w:val="center"/>
          </w:tcPr>
          <w:p w14:paraId="653F5279">
            <w:pPr>
              <w:pStyle w:val="34"/>
              <w:rPr>
                <w:sz w:val="18"/>
                <w:szCs w:val="18"/>
              </w:rPr>
            </w:pPr>
          </w:p>
        </w:tc>
        <w:tc>
          <w:tcPr>
            <w:tcW w:w="573" w:type="dxa"/>
            <w:vAlign w:val="center"/>
          </w:tcPr>
          <w:p w14:paraId="494BCA37">
            <w:pPr>
              <w:pStyle w:val="34"/>
              <w:rPr>
                <w:sz w:val="18"/>
                <w:szCs w:val="18"/>
              </w:rPr>
            </w:pPr>
            <w:r>
              <w:rPr>
                <w:sz w:val="18"/>
                <w:szCs w:val="18"/>
              </w:rPr>
              <w:t>硫酸二甲酯</w:t>
            </w:r>
          </w:p>
        </w:tc>
        <w:tc>
          <w:tcPr>
            <w:tcW w:w="3137" w:type="dxa"/>
            <w:gridSpan w:val="2"/>
            <w:vAlign w:val="center"/>
          </w:tcPr>
          <w:p w14:paraId="7B998D26">
            <w:pPr>
              <w:pStyle w:val="34"/>
              <w:rPr>
                <w:sz w:val="18"/>
                <w:szCs w:val="18"/>
              </w:rPr>
            </w:pPr>
            <w:r>
              <w:rPr>
                <w:rFonts w:hint="eastAsia"/>
                <w:sz w:val="18"/>
                <w:szCs w:val="18"/>
              </w:rPr>
              <w:t>遇热源、明火、氧化剂有燃烧爆炸的危险。若遇高热可发生剧烈分解容器破裂或爆炸事故。与氢氧化铵反应强烈。</w:t>
            </w:r>
          </w:p>
          <w:p w14:paraId="4CC8DD98">
            <w:pPr>
              <w:pStyle w:val="34"/>
              <w:rPr>
                <w:sz w:val="18"/>
                <w:szCs w:val="18"/>
              </w:rPr>
            </w:pPr>
            <w:r>
              <w:rPr>
                <w:rFonts w:hint="eastAsia"/>
                <w:sz w:val="18"/>
                <w:szCs w:val="18"/>
              </w:rPr>
              <w:t>燃烧产物：CO、CO</w:t>
            </w:r>
            <w:r>
              <w:rPr>
                <w:rFonts w:hint="eastAsia"/>
                <w:sz w:val="18"/>
                <w:szCs w:val="18"/>
                <w:vertAlign w:val="subscript"/>
              </w:rPr>
              <w:t>2</w:t>
            </w:r>
            <w:r>
              <w:rPr>
                <w:rFonts w:hint="eastAsia"/>
                <w:sz w:val="18"/>
                <w:szCs w:val="18"/>
              </w:rPr>
              <w:t>、SO</w:t>
            </w:r>
            <w:r>
              <w:rPr>
                <w:rFonts w:hint="eastAsia"/>
                <w:sz w:val="18"/>
                <w:szCs w:val="18"/>
                <w:vertAlign w:val="subscript"/>
              </w:rPr>
              <w:t>2</w:t>
            </w:r>
          </w:p>
        </w:tc>
        <w:tc>
          <w:tcPr>
            <w:tcW w:w="2840" w:type="dxa"/>
            <w:vAlign w:val="center"/>
          </w:tcPr>
          <w:p w14:paraId="50E9F48C">
            <w:pPr>
              <w:pStyle w:val="34"/>
              <w:rPr>
                <w:sz w:val="18"/>
                <w:szCs w:val="18"/>
              </w:rPr>
            </w:pPr>
            <w:r>
              <w:rPr>
                <w:rFonts w:hint="eastAsia"/>
                <w:sz w:val="18"/>
                <w:szCs w:val="18"/>
              </w:rPr>
              <w:t>LD50:205mg/kg(大鼠经口)；</w:t>
            </w:r>
          </w:p>
          <w:p w14:paraId="3A578104">
            <w:pPr>
              <w:pStyle w:val="34"/>
              <w:rPr>
                <w:sz w:val="18"/>
                <w:szCs w:val="18"/>
              </w:rPr>
            </w:pPr>
            <w:r>
              <w:rPr>
                <w:sz w:val="18"/>
                <w:szCs w:val="18"/>
              </w:rPr>
              <w:t>L</w:t>
            </w:r>
            <w:r>
              <w:rPr>
                <w:rFonts w:hint="eastAsia"/>
                <w:sz w:val="18"/>
                <w:szCs w:val="18"/>
              </w:rPr>
              <w:t>C</w:t>
            </w:r>
            <w:r>
              <w:rPr>
                <w:sz w:val="18"/>
                <w:szCs w:val="18"/>
              </w:rPr>
              <w:t>50：</w:t>
            </w:r>
            <w:r>
              <w:rPr>
                <w:rFonts w:hint="eastAsia"/>
                <w:sz w:val="18"/>
                <w:szCs w:val="18"/>
              </w:rPr>
              <w:t>45</w:t>
            </w:r>
            <w:r>
              <w:rPr>
                <w:sz w:val="18"/>
                <w:szCs w:val="18"/>
              </w:rPr>
              <w:t>mg</w:t>
            </w:r>
            <w:r>
              <w:rPr>
                <w:rFonts w:hint="eastAsia"/>
                <w:sz w:val="18"/>
                <w:szCs w:val="18"/>
              </w:rPr>
              <w:t>/m</w:t>
            </w:r>
            <w:r>
              <w:rPr>
                <w:rFonts w:hint="eastAsia"/>
                <w:sz w:val="18"/>
                <w:szCs w:val="18"/>
                <w:vertAlign w:val="superscript"/>
              </w:rPr>
              <w:t>3</w:t>
            </w:r>
            <w:r>
              <w:rPr>
                <w:sz w:val="18"/>
                <w:szCs w:val="18"/>
              </w:rPr>
              <w:t>(</w:t>
            </w:r>
            <w:r>
              <w:rPr>
                <w:rFonts w:hint="eastAsia"/>
                <w:sz w:val="18"/>
                <w:szCs w:val="18"/>
              </w:rPr>
              <w:t>大鼠吸入，4小时</w:t>
            </w:r>
            <w:r>
              <w:rPr>
                <w:sz w:val="18"/>
                <w:szCs w:val="18"/>
              </w:rPr>
              <w:t>)</w:t>
            </w:r>
          </w:p>
        </w:tc>
        <w:tc>
          <w:tcPr>
            <w:tcW w:w="3270" w:type="dxa"/>
            <w:vAlign w:val="center"/>
          </w:tcPr>
          <w:p w14:paraId="49FD4E58">
            <w:pPr>
              <w:pStyle w:val="34"/>
              <w:rPr>
                <w:sz w:val="18"/>
                <w:szCs w:val="18"/>
              </w:rPr>
            </w:pPr>
            <w:r>
              <w:rPr>
                <w:rFonts w:hint="eastAsia"/>
                <w:sz w:val="18"/>
                <w:szCs w:val="18"/>
              </w:rPr>
              <w:t xml:space="preserve"> 对粘膜和皮肤有强烈的刺激性。急性中毒:短期内大量吸入，初始仅有眼和上呼吸道</w:t>
            </w:r>
            <w:r>
              <w:rPr>
                <w:rFonts w:hint="eastAsia"/>
                <w:sz w:val="18"/>
                <w:szCs w:val="18"/>
                <w:lang w:eastAsia="zh-CN"/>
              </w:rPr>
              <w:t>刺激征</w:t>
            </w:r>
            <w:r>
              <w:rPr>
                <w:rFonts w:hint="eastAsia"/>
                <w:sz w:val="18"/>
                <w:szCs w:val="18"/>
              </w:rPr>
              <w:t>状。经数小时至24小时，</w:t>
            </w:r>
            <w:r>
              <w:rPr>
                <w:rFonts w:hint="eastAsia"/>
                <w:sz w:val="18"/>
                <w:szCs w:val="18"/>
                <w:lang w:eastAsia="zh-CN"/>
              </w:rPr>
              <w:t>刺激征</w:t>
            </w:r>
            <w:r>
              <w:rPr>
                <w:rFonts w:hint="eastAsia"/>
                <w:sz w:val="18"/>
                <w:szCs w:val="18"/>
              </w:rPr>
              <w:t>状加重，可有畏光、流泪，结膜充血，眼睑水肿或痉挛，咳嗽，胸闷，发生喉头水肿或支气管粘膜脱落致窒息，肺水肿，成人呼吸窘迫征;并可并发皮气肿、气胸、纵隔气肿。误服灼伤消化道;可致眼、皮肤灼伤。慢性影响:长期接触低浓度，可刺激眼和上呼吸道。</w:t>
            </w:r>
          </w:p>
        </w:tc>
        <w:tc>
          <w:tcPr>
            <w:tcW w:w="1440" w:type="dxa"/>
            <w:vAlign w:val="center"/>
          </w:tcPr>
          <w:p w14:paraId="15B36249">
            <w:pPr>
              <w:pStyle w:val="34"/>
              <w:rPr>
                <w:sz w:val="18"/>
                <w:szCs w:val="18"/>
              </w:rPr>
            </w:pPr>
            <w:r>
              <w:rPr>
                <w:rFonts w:hint="eastAsia"/>
                <w:sz w:val="18"/>
                <w:szCs w:val="18"/>
              </w:rPr>
              <w:t>硫酸二甲酯对水体和土壤具有污染性，可能对水生生物和环境造成损害。</w:t>
            </w:r>
          </w:p>
        </w:tc>
        <w:tc>
          <w:tcPr>
            <w:tcW w:w="971" w:type="dxa"/>
            <w:vAlign w:val="center"/>
          </w:tcPr>
          <w:p w14:paraId="1DCE359B">
            <w:pPr>
              <w:pStyle w:val="34"/>
              <w:rPr>
                <w:sz w:val="18"/>
                <w:szCs w:val="18"/>
              </w:rPr>
            </w:pPr>
            <w:r>
              <w:rPr>
                <w:rFonts w:hint="eastAsia"/>
                <w:sz w:val="18"/>
                <w:szCs w:val="18"/>
              </w:rPr>
              <w:t>25m</w:t>
            </w:r>
            <w:r>
              <w:rPr>
                <w:rFonts w:hint="eastAsia"/>
                <w:sz w:val="18"/>
                <w:szCs w:val="18"/>
                <w:vertAlign w:val="superscript"/>
              </w:rPr>
              <w:t>3</w:t>
            </w:r>
            <w:r>
              <w:rPr>
                <w:rFonts w:hint="eastAsia"/>
                <w:sz w:val="18"/>
                <w:szCs w:val="18"/>
              </w:rPr>
              <w:t>罐箱包装，常温常压运输</w:t>
            </w:r>
          </w:p>
        </w:tc>
      </w:tr>
      <w:tr w14:paraId="3A74AE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DFB2955">
            <w:pPr>
              <w:pStyle w:val="34"/>
              <w:numPr>
                <w:ilvl w:val="0"/>
                <w:numId w:val="55"/>
              </w:numPr>
              <w:rPr>
                <w:sz w:val="18"/>
                <w:szCs w:val="18"/>
              </w:rPr>
            </w:pPr>
          </w:p>
        </w:tc>
        <w:tc>
          <w:tcPr>
            <w:tcW w:w="584" w:type="dxa"/>
            <w:vMerge w:val="continue"/>
            <w:vAlign w:val="center"/>
          </w:tcPr>
          <w:p w14:paraId="276D92DF">
            <w:pPr>
              <w:pStyle w:val="34"/>
              <w:rPr>
                <w:sz w:val="18"/>
                <w:szCs w:val="18"/>
              </w:rPr>
            </w:pPr>
          </w:p>
        </w:tc>
        <w:tc>
          <w:tcPr>
            <w:tcW w:w="567" w:type="dxa"/>
            <w:vMerge w:val="continue"/>
            <w:vAlign w:val="center"/>
          </w:tcPr>
          <w:p w14:paraId="31A84B8E">
            <w:pPr>
              <w:pStyle w:val="34"/>
              <w:rPr>
                <w:sz w:val="18"/>
                <w:szCs w:val="18"/>
              </w:rPr>
            </w:pPr>
          </w:p>
        </w:tc>
        <w:tc>
          <w:tcPr>
            <w:tcW w:w="419" w:type="dxa"/>
            <w:vMerge w:val="continue"/>
            <w:vAlign w:val="center"/>
          </w:tcPr>
          <w:p w14:paraId="2067588F">
            <w:pPr>
              <w:pStyle w:val="34"/>
              <w:rPr>
                <w:sz w:val="18"/>
                <w:szCs w:val="18"/>
              </w:rPr>
            </w:pPr>
          </w:p>
        </w:tc>
        <w:tc>
          <w:tcPr>
            <w:tcW w:w="573" w:type="dxa"/>
            <w:vAlign w:val="center"/>
          </w:tcPr>
          <w:p w14:paraId="37BD34D9">
            <w:pPr>
              <w:pStyle w:val="34"/>
              <w:rPr>
                <w:sz w:val="18"/>
                <w:szCs w:val="18"/>
              </w:rPr>
            </w:pPr>
            <w:r>
              <w:rPr>
                <w:sz w:val="18"/>
                <w:szCs w:val="18"/>
              </w:rPr>
              <w:t>五羰基铁</w:t>
            </w:r>
          </w:p>
        </w:tc>
        <w:tc>
          <w:tcPr>
            <w:tcW w:w="3137" w:type="dxa"/>
            <w:gridSpan w:val="2"/>
            <w:vAlign w:val="center"/>
          </w:tcPr>
          <w:p w14:paraId="70A14CEF">
            <w:pPr>
              <w:pStyle w:val="34"/>
              <w:rPr>
                <w:sz w:val="18"/>
                <w:szCs w:val="18"/>
              </w:rPr>
            </w:pPr>
            <w:r>
              <w:rPr>
                <w:sz w:val="18"/>
                <w:szCs w:val="18"/>
              </w:rPr>
              <w:t>暴露在空气中能自燃。遇明火、高热能引起燃烧爆炸。与氧化剂能发生强烈反应。其蒸气比空气重，能在较低处扩散到相当远的地方，遇火源会着火回燃。与锌及过渡金属卤化物发生剧烈反应。</w:t>
            </w:r>
          </w:p>
        </w:tc>
        <w:tc>
          <w:tcPr>
            <w:tcW w:w="2840" w:type="dxa"/>
            <w:vAlign w:val="center"/>
          </w:tcPr>
          <w:p w14:paraId="7711606F">
            <w:pPr>
              <w:pStyle w:val="34"/>
              <w:rPr>
                <w:sz w:val="18"/>
                <w:szCs w:val="18"/>
              </w:rPr>
            </w:pPr>
            <w:r>
              <w:rPr>
                <w:sz w:val="18"/>
                <w:szCs w:val="18"/>
              </w:rPr>
              <w:t>LD50: 40 mg/kg(大鼠经口)</w:t>
            </w:r>
            <w:r>
              <w:rPr>
                <w:rFonts w:hint="eastAsia"/>
                <w:sz w:val="18"/>
                <w:szCs w:val="18"/>
              </w:rPr>
              <w:t>；</w:t>
            </w:r>
          </w:p>
          <w:p w14:paraId="70AD8D04">
            <w:pPr>
              <w:pStyle w:val="34"/>
              <w:rPr>
                <w:sz w:val="18"/>
                <w:szCs w:val="18"/>
              </w:rPr>
            </w:pPr>
            <w:r>
              <w:rPr>
                <w:sz w:val="18"/>
                <w:szCs w:val="18"/>
              </w:rPr>
              <w:t>LD50:</w:t>
            </w:r>
            <w:r>
              <w:rPr>
                <w:rFonts w:hint="eastAsia"/>
                <w:sz w:val="18"/>
                <w:szCs w:val="18"/>
              </w:rPr>
              <w:t xml:space="preserve"> </w:t>
            </w:r>
            <w:r>
              <w:rPr>
                <w:sz w:val="18"/>
                <w:szCs w:val="18"/>
              </w:rPr>
              <w:t>240 mg/kg(兔经皮)</w:t>
            </w:r>
          </w:p>
          <w:p w14:paraId="4D07B4AF">
            <w:pPr>
              <w:pStyle w:val="34"/>
              <w:rPr>
                <w:sz w:val="18"/>
                <w:szCs w:val="18"/>
              </w:rPr>
            </w:pPr>
            <w:r>
              <w:rPr>
                <w:sz w:val="18"/>
                <w:szCs w:val="18"/>
              </w:rPr>
              <w:t>LC50: 44 mg/m</w:t>
            </w:r>
            <w:r>
              <w:rPr>
                <w:sz w:val="18"/>
                <w:szCs w:val="18"/>
                <w:vertAlign w:val="superscript"/>
              </w:rPr>
              <w:t>3</w:t>
            </w:r>
            <w:r>
              <w:rPr>
                <w:sz w:val="18"/>
                <w:szCs w:val="18"/>
              </w:rPr>
              <w:t>(大鼠吸入)</w:t>
            </w:r>
          </w:p>
        </w:tc>
        <w:tc>
          <w:tcPr>
            <w:tcW w:w="3270" w:type="dxa"/>
            <w:vAlign w:val="center"/>
          </w:tcPr>
          <w:p w14:paraId="3BAB7C82">
            <w:pPr>
              <w:pStyle w:val="34"/>
              <w:rPr>
                <w:sz w:val="18"/>
                <w:szCs w:val="18"/>
              </w:rPr>
            </w:pPr>
            <w:r>
              <w:rPr>
                <w:sz w:val="18"/>
                <w:szCs w:val="18"/>
              </w:rPr>
              <w:t>剧毒。接触引起眩晕、头痛、呼吸困难和呕吐。脱离现场吸入新鲜空气后可缓解，但12~36小时后又可出现呼吸困难、急性肺水肿等。</w:t>
            </w:r>
          </w:p>
        </w:tc>
        <w:tc>
          <w:tcPr>
            <w:tcW w:w="1440" w:type="dxa"/>
            <w:vAlign w:val="center"/>
          </w:tcPr>
          <w:p w14:paraId="3CD46663">
            <w:pPr>
              <w:pStyle w:val="34"/>
              <w:rPr>
                <w:sz w:val="18"/>
                <w:szCs w:val="18"/>
              </w:rPr>
            </w:pPr>
            <w:r>
              <w:rPr>
                <w:sz w:val="18"/>
                <w:szCs w:val="18"/>
              </w:rPr>
              <w:t>不溶于水，国内针对该物质对水生生态影响的研究较少。</w:t>
            </w:r>
          </w:p>
        </w:tc>
        <w:tc>
          <w:tcPr>
            <w:tcW w:w="971" w:type="dxa"/>
            <w:vAlign w:val="center"/>
          </w:tcPr>
          <w:p w14:paraId="3B68B1AB">
            <w:pPr>
              <w:pStyle w:val="34"/>
              <w:rPr>
                <w:sz w:val="18"/>
                <w:szCs w:val="18"/>
              </w:rPr>
            </w:pPr>
            <w:r>
              <w:rPr>
                <w:rFonts w:hint="eastAsia"/>
                <w:sz w:val="18"/>
                <w:szCs w:val="18"/>
              </w:rPr>
              <w:t>200L</w:t>
            </w:r>
            <w:r>
              <w:rPr>
                <w:sz w:val="18"/>
                <w:szCs w:val="18"/>
              </w:rPr>
              <w:t>聚乙烯桶包装，常温常压运输</w:t>
            </w:r>
          </w:p>
        </w:tc>
      </w:tr>
      <w:tr w14:paraId="1D45D7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375" w:type="dxa"/>
            <w:vAlign w:val="center"/>
          </w:tcPr>
          <w:p w14:paraId="2955A755">
            <w:pPr>
              <w:pStyle w:val="34"/>
              <w:numPr>
                <w:ilvl w:val="0"/>
                <w:numId w:val="55"/>
              </w:numPr>
              <w:rPr>
                <w:sz w:val="18"/>
                <w:szCs w:val="18"/>
              </w:rPr>
            </w:pPr>
          </w:p>
        </w:tc>
        <w:tc>
          <w:tcPr>
            <w:tcW w:w="584" w:type="dxa"/>
            <w:vMerge w:val="continue"/>
            <w:vAlign w:val="center"/>
          </w:tcPr>
          <w:p w14:paraId="56011FC6">
            <w:pPr>
              <w:pStyle w:val="34"/>
              <w:rPr>
                <w:sz w:val="18"/>
                <w:szCs w:val="18"/>
              </w:rPr>
            </w:pPr>
          </w:p>
        </w:tc>
        <w:tc>
          <w:tcPr>
            <w:tcW w:w="567" w:type="dxa"/>
            <w:vMerge w:val="continue"/>
            <w:vAlign w:val="center"/>
          </w:tcPr>
          <w:p w14:paraId="042CDC1B">
            <w:pPr>
              <w:pStyle w:val="34"/>
              <w:rPr>
                <w:sz w:val="18"/>
                <w:szCs w:val="18"/>
              </w:rPr>
            </w:pPr>
          </w:p>
        </w:tc>
        <w:tc>
          <w:tcPr>
            <w:tcW w:w="419" w:type="dxa"/>
            <w:vMerge w:val="continue"/>
            <w:vAlign w:val="center"/>
          </w:tcPr>
          <w:p w14:paraId="48049DDF">
            <w:pPr>
              <w:pStyle w:val="34"/>
              <w:rPr>
                <w:sz w:val="18"/>
                <w:szCs w:val="18"/>
              </w:rPr>
            </w:pPr>
          </w:p>
        </w:tc>
        <w:tc>
          <w:tcPr>
            <w:tcW w:w="573" w:type="dxa"/>
            <w:vAlign w:val="center"/>
          </w:tcPr>
          <w:p w14:paraId="74295856">
            <w:pPr>
              <w:pStyle w:val="34"/>
              <w:rPr>
                <w:sz w:val="18"/>
                <w:szCs w:val="18"/>
              </w:rPr>
            </w:pPr>
            <w:r>
              <w:rPr>
                <w:sz w:val="18"/>
                <w:szCs w:val="18"/>
              </w:rPr>
              <w:t>三氯乙烯</w:t>
            </w:r>
          </w:p>
        </w:tc>
        <w:tc>
          <w:tcPr>
            <w:tcW w:w="3137" w:type="dxa"/>
            <w:gridSpan w:val="2"/>
            <w:vAlign w:val="center"/>
          </w:tcPr>
          <w:p w14:paraId="712EE3C2">
            <w:pPr>
              <w:pStyle w:val="34"/>
              <w:rPr>
                <w:sz w:val="18"/>
                <w:szCs w:val="18"/>
              </w:rPr>
            </w:pPr>
            <w:r>
              <w:rPr>
                <w:rFonts w:hint="eastAsia"/>
                <w:sz w:val="18"/>
                <w:szCs w:val="18"/>
              </w:rPr>
              <w:t>遇高热和明火能引起燃烧爆炸。与强氧化剂接触可发生化学反应。受紫外光线照射或在燃烧或加热时分解产生有毒的光气和腐蚀性的盐酸烟雾。</w:t>
            </w:r>
          </w:p>
        </w:tc>
        <w:tc>
          <w:tcPr>
            <w:tcW w:w="2840" w:type="dxa"/>
            <w:vAlign w:val="center"/>
          </w:tcPr>
          <w:p w14:paraId="2EE487E2">
            <w:pPr>
              <w:pStyle w:val="34"/>
              <w:rPr>
                <w:sz w:val="18"/>
                <w:szCs w:val="18"/>
              </w:rPr>
            </w:pPr>
            <w:r>
              <w:rPr>
                <w:rFonts w:hint="eastAsia"/>
                <w:sz w:val="18"/>
                <w:szCs w:val="18"/>
              </w:rPr>
              <w:t>LD50:2402mg/kg(小鼠经口)；LC50:45292mg/m</w:t>
            </w:r>
            <w:r>
              <w:rPr>
                <w:rFonts w:hint="eastAsia"/>
                <w:sz w:val="18"/>
                <w:szCs w:val="18"/>
                <w:vertAlign w:val="superscript"/>
              </w:rPr>
              <w:t>3</w:t>
            </w:r>
            <w:r>
              <w:rPr>
                <w:rFonts w:hint="eastAsia"/>
                <w:sz w:val="18"/>
                <w:szCs w:val="18"/>
              </w:rPr>
              <w:t xml:space="preserve"> (小鼠吸入，4小时)；137752mg/m</w:t>
            </w:r>
            <w:r>
              <w:rPr>
                <w:rFonts w:hint="eastAsia"/>
                <w:sz w:val="18"/>
                <w:szCs w:val="18"/>
                <w:vertAlign w:val="superscript"/>
              </w:rPr>
              <w:t>3</w:t>
            </w:r>
            <w:r>
              <w:rPr>
                <w:rFonts w:hint="eastAsia"/>
                <w:sz w:val="18"/>
                <w:szCs w:val="18"/>
              </w:rPr>
              <w:t xml:space="preserve"> (大鼠吸入，1小时)</w:t>
            </w:r>
          </w:p>
        </w:tc>
        <w:tc>
          <w:tcPr>
            <w:tcW w:w="3270" w:type="dxa"/>
            <w:vAlign w:val="center"/>
          </w:tcPr>
          <w:p w14:paraId="103DAD11">
            <w:pPr>
              <w:pStyle w:val="34"/>
              <w:rPr>
                <w:sz w:val="18"/>
                <w:szCs w:val="18"/>
              </w:rPr>
            </w:pPr>
            <w:r>
              <w:rPr>
                <w:rFonts w:hint="eastAsia"/>
                <w:sz w:val="18"/>
                <w:szCs w:val="18"/>
              </w:rPr>
              <w:t>主要对中枢神经系统有麻醉作用。亦可引起肝、肾、心脏、三叉神经损害。急性中毒:短时内接触大量本品可引起急性中毒。吸入极高浓度可迅速昏迷。吸入高浓度后可有眼和上呼吸道</w:t>
            </w:r>
            <w:r>
              <w:rPr>
                <w:rFonts w:hint="eastAsia"/>
                <w:sz w:val="18"/>
                <w:szCs w:val="18"/>
                <w:lang w:eastAsia="zh-CN"/>
              </w:rPr>
              <w:t>刺激征</w:t>
            </w:r>
            <w:r>
              <w:rPr>
                <w:rFonts w:hint="eastAsia"/>
                <w:sz w:val="18"/>
                <w:szCs w:val="18"/>
              </w:rPr>
              <w:t>状。接触数小时后出现头痛、头晕、酩酊感、嗜睡等，重者发生抽搐、昏迷、呼吸麻痹、循环衰竭。可出现以三叉神经损害为主的颅神经损害，心脏损害主要为心律失常。可有肝肾损害。口服消化道症状明显，肝肾损害突出。慢性中毒:出现头痛、头晕、乏力、睡眠障碍、胃肠功能絮乱、周围神经炎、心肌损害、三叉神经麻痹和肝损害。可致皮肤损害。</w:t>
            </w:r>
          </w:p>
        </w:tc>
        <w:tc>
          <w:tcPr>
            <w:tcW w:w="1440" w:type="dxa"/>
            <w:vAlign w:val="center"/>
          </w:tcPr>
          <w:p w14:paraId="29250EFD">
            <w:pPr>
              <w:pStyle w:val="34"/>
              <w:rPr>
                <w:sz w:val="18"/>
                <w:szCs w:val="18"/>
              </w:rPr>
            </w:pPr>
            <w:r>
              <w:rPr>
                <w:rFonts w:hint="eastAsia"/>
                <w:sz w:val="18"/>
                <w:szCs w:val="18"/>
              </w:rPr>
              <w:t>对水生生物有害，可能在水生环境中造成长期不利影响。</w:t>
            </w:r>
          </w:p>
        </w:tc>
        <w:tc>
          <w:tcPr>
            <w:tcW w:w="971" w:type="dxa"/>
            <w:vAlign w:val="center"/>
          </w:tcPr>
          <w:p w14:paraId="0DBCC107">
            <w:pPr>
              <w:pStyle w:val="34"/>
              <w:rPr>
                <w:sz w:val="18"/>
                <w:szCs w:val="18"/>
              </w:rPr>
            </w:pPr>
            <w:r>
              <w:rPr>
                <w:rFonts w:hint="eastAsia"/>
                <w:sz w:val="18"/>
                <w:szCs w:val="18"/>
              </w:rPr>
              <w:t>200L</w:t>
            </w:r>
            <w:r>
              <w:rPr>
                <w:sz w:val="18"/>
                <w:szCs w:val="18"/>
              </w:rPr>
              <w:t>聚乙烯桶或铁桶包装，常温常压运输</w:t>
            </w:r>
          </w:p>
        </w:tc>
      </w:tr>
      <w:tr w14:paraId="79137E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B59C4B5">
            <w:pPr>
              <w:pStyle w:val="34"/>
              <w:numPr>
                <w:ilvl w:val="0"/>
                <w:numId w:val="55"/>
              </w:numPr>
              <w:rPr>
                <w:sz w:val="18"/>
                <w:szCs w:val="18"/>
              </w:rPr>
            </w:pPr>
          </w:p>
        </w:tc>
        <w:tc>
          <w:tcPr>
            <w:tcW w:w="584" w:type="dxa"/>
            <w:vMerge w:val="continue"/>
            <w:vAlign w:val="center"/>
          </w:tcPr>
          <w:p w14:paraId="5DDC1970">
            <w:pPr>
              <w:pStyle w:val="34"/>
              <w:rPr>
                <w:sz w:val="18"/>
                <w:szCs w:val="18"/>
              </w:rPr>
            </w:pPr>
          </w:p>
        </w:tc>
        <w:tc>
          <w:tcPr>
            <w:tcW w:w="567" w:type="dxa"/>
            <w:vMerge w:val="continue"/>
            <w:vAlign w:val="center"/>
          </w:tcPr>
          <w:p w14:paraId="5FC8B4AD">
            <w:pPr>
              <w:pStyle w:val="34"/>
              <w:rPr>
                <w:sz w:val="18"/>
                <w:szCs w:val="18"/>
              </w:rPr>
            </w:pPr>
          </w:p>
        </w:tc>
        <w:tc>
          <w:tcPr>
            <w:tcW w:w="419" w:type="dxa"/>
            <w:vMerge w:val="continue"/>
            <w:vAlign w:val="center"/>
          </w:tcPr>
          <w:p w14:paraId="31C84CA1">
            <w:pPr>
              <w:pStyle w:val="34"/>
              <w:rPr>
                <w:sz w:val="18"/>
                <w:szCs w:val="18"/>
              </w:rPr>
            </w:pPr>
          </w:p>
        </w:tc>
        <w:tc>
          <w:tcPr>
            <w:tcW w:w="573" w:type="dxa"/>
            <w:vAlign w:val="center"/>
          </w:tcPr>
          <w:p w14:paraId="6C309906">
            <w:pPr>
              <w:pStyle w:val="34"/>
              <w:rPr>
                <w:sz w:val="18"/>
                <w:szCs w:val="18"/>
              </w:rPr>
            </w:pPr>
            <w:r>
              <w:rPr>
                <w:sz w:val="18"/>
                <w:szCs w:val="18"/>
              </w:rPr>
              <w:t>苯甲醛</w:t>
            </w:r>
          </w:p>
        </w:tc>
        <w:tc>
          <w:tcPr>
            <w:tcW w:w="3137" w:type="dxa"/>
            <w:gridSpan w:val="2"/>
            <w:vAlign w:val="center"/>
          </w:tcPr>
          <w:p w14:paraId="1F6B6189">
            <w:pPr>
              <w:pStyle w:val="34"/>
              <w:rPr>
                <w:sz w:val="18"/>
                <w:szCs w:val="18"/>
              </w:rPr>
            </w:pPr>
            <w:r>
              <w:rPr>
                <w:sz w:val="18"/>
                <w:szCs w:val="18"/>
              </w:rPr>
              <w:t>遇明火、高热可燃。若遇高热，容器内压增大，有开裂和爆炸的危险。</w:t>
            </w:r>
          </w:p>
        </w:tc>
        <w:tc>
          <w:tcPr>
            <w:tcW w:w="2840" w:type="dxa"/>
            <w:vAlign w:val="center"/>
          </w:tcPr>
          <w:p w14:paraId="75897D0A">
            <w:pPr>
              <w:pStyle w:val="34"/>
              <w:rPr>
                <w:sz w:val="18"/>
                <w:szCs w:val="18"/>
              </w:rPr>
            </w:pPr>
            <w:r>
              <w:rPr>
                <w:sz w:val="18"/>
                <w:szCs w:val="18"/>
              </w:rPr>
              <w:t>LD</w:t>
            </w:r>
            <w:r>
              <w:rPr>
                <w:sz w:val="18"/>
                <w:szCs w:val="18"/>
                <w:vertAlign w:val="subscript"/>
              </w:rPr>
              <w:t>50</w:t>
            </w:r>
            <w:r>
              <w:rPr>
                <w:sz w:val="18"/>
                <w:szCs w:val="18"/>
              </w:rPr>
              <w:t>: 1300 mg/kg(大鼠经口)</w:t>
            </w:r>
          </w:p>
        </w:tc>
        <w:tc>
          <w:tcPr>
            <w:tcW w:w="3270" w:type="dxa"/>
            <w:vAlign w:val="center"/>
          </w:tcPr>
          <w:p w14:paraId="368ED248">
            <w:pPr>
              <w:pStyle w:val="34"/>
              <w:rPr>
                <w:sz w:val="18"/>
                <w:szCs w:val="18"/>
              </w:rPr>
            </w:pPr>
            <w:r>
              <w:rPr>
                <w:sz w:val="18"/>
                <w:szCs w:val="18"/>
              </w:rPr>
              <w:t>本品对眼睛、呼吸道粘膜有一定的刺激作用。由于其挥发性低，其刺激作用不足以引致严重危害。</w:t>
            </w:r>
          </w:p>
        </w:tc>
        <w:tc>
          <w:tcPr>
            <w:tcW w:w="1440" w:type="dxa"/>
            <w:vAlign w:val="center"/>
          </w:tcPr>
          <w:p w14:paraId="2025F27E">
            <w:pPr>
              <w:pStyle w:val="34"/>
              <w:rPr>
                <w:sz w:val="18"/>
                <w:szCs w:val="18"/>
              </w:rPr>
            </w:pPr>
            <w:r>
              <w:rPr>
                <w:rFonts w:hint="eastAsia"/>
                <w:sz w:val="18"/>
                <w:szCs w:val="18"/>
              </w:rPr>
              <w:t>不溶于水，对环境有潜在的危害，并且可能对水生生物产生毒性影响。</w:t>
            </w:r>
          </w:p>
        </w:tc>
        <w:tc>
          <w:tcPr>
            <w:tcW w:w="971" w:type="dxa"/>
            <w:vAlign w:val="center"/>
          </w:tcPr>
          <w:p w14:paraId="6AD4998C">
            <w:pPr>
              <w:pStyle w:val="34"/>
              <w:rPr>
                <w:sz w:val="18"/>
                <w:szCs w:val="18"/>
              </w:rPr>
            </w:pPr>
            <w:r>
              <w:rPr>
                <w:rFonts w:hint="eastAsia"/>
                <w:sz w:val="18"/>
                <w:szCs w:val="18"/>
              </w:rPr>
              <w:t>200L</w:t>
            </w:r>
            <w:r>
              <w:rPr>
                <w:sz w:val="18"/>
                <w:szCs w:val="18"/>
              </w:rPr>
              <w:t>聚乙烯桶包装，常温常压运输</w:t>
            </w:r>
          </w:p>
        </w:tc>
      </w:tr>
      <w:tr w14:paraId="49E633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BE9E5D1">
            <w:pPr>
              <w:pStyle w:val="34"/>
              <w:numPr>
                <w:ilvl w:val="0"/>
                <w:numId w:val="55"/>
              </w:numPr>
              <w:rPr>
                <w:sz w:val="18"/>
                <w:szCs w:val="18"/>
              </w:rPr>
            </w:pPr>
          </w:p>
        </w:tc>
        <w:tc>
          <w:tcPr>
            <w:tcW w:w="584" w:type="dxa"/>
            <w:vMerge w:val="continue"/>
            <w:vAlign w:val="center"/>
          </w:tcPr>
          <w:p w14:paraId="57228EF7">
            <w:pPr>
              <w:pStyle w:val="34"/>
              <w:rPr>
                <w:sz w:val="18"/>
                <w:szCs w:val="18"/>
              </w:rPr>
            </w:pPr>
          </w:p>
        </w:tc>
        <w:tc>
          <w:tcPr>
            <w:tcW w:w="567" w:type="dxa"/>
            <w:vMerge w:val="restart"/>
            <w:vAlign w:val="center"/>
          </w:tcPr>
          <w:p w14:paraId="63D3864D">
            <w:pPr>
              <w:pStyle w:val="34"/>
              <w:rPr>
                <w:sz w:val="18"/>
                <w:szCs w:val="18"/>
              </w:rPr>
            </w:pPr>
            <w:r>
              <w:rPr>
                <w:sz w:val="18"/>
                <w:szCs w:val="18"/>
              </w:rPr>
              <w:t>不溶</w:t>
            </w:r>
            <w:r>
              <w:rPr>
                <w:rFonts w:hint="eastAsia"/>
                <w:sz w:val="18"/>
                <w:szCs w:val="18"/>
              </w:rPr>
              <w:t>/难溶</w:t>
            </w:r>
          </w:p>
        </w:tc>
        <w:tc>
          <w:tcPr>
            <w:tcW w:w="419" w:type="dxa"/>
            <w:vMerge w:val="restart"/>
            <w:vAlign w:val="center"/>
          </w:tcPr>
          <w:p w14:paraId="44D41961">
            <w:pPr>
              <w:pStyle w:val="34"/>
              <w:rPr>
                <w:sz w:val="18"/>
                <w:szCs w:val="18"/>
              </w:rPr>
            </w:pPr>
            <w:r>
              <w:rPr>
                <w:sz w:val="18"/>
                <w:szCs w:val="18"/>
              </w:rPr>
              <w:t>无机</w:t>
            </w:r>
          </w:p>
        </w:tc>
        <w:tc>
          <w:tcPr>
            <w:tcW w:w="573" w:type="dxa"/>
            <w:vAlign w:val="center"/>
          </w:tcPr>
          <w:p w14:paraId="17DE7D2D">
            <w:pPr>
              <w:pStyle w:val="34"/>
              <w:rPr>
                <w:sz w:val="18"/>
                <w:szCs w:val="18"/>
              </w:rPr>
            </w:pPr>
            <w:r>
              <w:rPr>
                <w:rFonts w:hint="eastAsia"/>
                <w:sz w:val="18"/>
                <w:szCs w:val="18"/>
              </w:rPr>
              <w:t>二硫化碳</w:t>
            </w:r>
          </w:p>
        </w:tc>
        <w:tc>
          <w:tcPr>
            <w:tcW w:w="3137" w:type="dxa"/>
            <w:gridSpan w:val="2"/>
            <w:vAlign w:val="center"/>
          </w:tcPr>
          <w:p w14:paraId="4D74E025">
            <w:pPr>
              <w:pStyle w:val="34"/>
              <w:rPr>
                <w:sz w:val="18"/>
                <w:szCs w:val="18"/>
              </w:rPr>
            </w:pPr>
            <w:r>
              <w:rPr>
                <w:rFonts w:hint="eastAsia"/>
                <w:sz w:val="18"/>
                <w:szCs w:val="18"/>
              </w:rPr>
              <w:t>极易燃，其蒸气能与空气形成范围广阔的爆炸性混合物。接触热、火星、火焰或氧化剂易燃烧爆炸。受热分解产生有毒的硫化物烟气。与铝、锌、钾、氟、氯、迭氮化物等反应剧烈，有燃烧爆炸危险。高速冲击、流动、激荡后可因产生静电火花放电引起燃烧爆炸。其蒸气比空气重，能在较低处扩散到相当远的地方，遇火源会着火回燃。</w:t>
            </w:r>
          </w:p>
          <w:p w14:paraId="17C7B925">
            <w:pPr>
              <w:pStyle w:val="34"/>
              <w:rPr>
                <w:sz w:val="18"/>
                <w:szCs w:val="18"/>
              </w:rPr>
            </w:pPr>
            <w:r>
              <w:rPr>
                <w:rFonts w:hint="eastAsia"/>
                <w:sz w:val="18"/>
                <w:szCs w:val="18"/>
              </w:rPr>
              <w:t>燃烧产物：CO、CO</w:t>
            </w:r>
            <w:r>
              <w:rPr>
                <w:rFonts w:hint="eastAsia"/>
                <w:sz w:val="18"/>
                <w:szCs w:val="18"/>
                <w:vertAlign w:val="subscript"/>
              </w:rPr>
              <w:t>2</w:t>
            </w:r>
            <w:r>
              <w:rPr>
                <w:rFonts w:hint="eastAsia"/>
                <w:sz w:val="18"/>
                <w:szCs w:val="18"/>
              </w:rPr>
              <w:t>、SO</w:t>
            </w:r>
            <w:r>
              <w:rPr>
                <w:rFonts w:hint="eastAsia"/>
                <w:sz w:val="18"/>
                <w:szCs w:val="18"/>
                <w:vertAlign w:val="subscript"/>
              </w:rPr>
              <w:t>2</w:t>
            </w:r>
          </w:p>
        </w:tc>
        <w:tc>
          <w:tcPr>
            <w:tcW w:w="2840" w:type="dxa"/>
            <w:vAlign w:val="center"/>
          </w:tcPr>
          <w:p w14:paraId="641681C7">
            <w:pPr>
              <w:pStyle w:val="34"/>
              <w:rPr>
                <w:sz w:val="18"/>
                <w:szCs w:val="18"/>
              </w:rPr>
            </w:pPr>
            <w:r>
              <w:rPr>
                <w:rFonts w:hint="eastAsia"/>
                <w:sz w:val="18"/>
                <w:szCs w:val="18"/>
              </w:rPr>
              <w:t>LD50：3188mg/kg(大鼠经口)。</w:t>
            </w:r>
          </w:p>
          <w:p w14:paraId="4E7D981E">
            <w:pPr>
              <w:pStyle w:val="34"/>
              <w:rPr>
                <w:sz w:val="18"/>
                <w:szCs w:val="18"/>
              </w:rPr>
            </w:pPr>
            <w:r>
              <w:rPr>
                <w:rFonts w:hint="eastAsia"/>
                <w:sz w:val="18"/>
                <w:szCs w:val="18"/>
              </w:rPr>
              <w:t>短时吸入本品浓度在 10000mg/m</w:t>
            </w:r>
            <w:r>
              <w:rPr>
                <w:rFonts w:hint="eastAsia"/>
                <w:sz w:val="18"/>
                <w:szCs w:val="18"/>
                <w:vertAlign w:val="superscript"/>
              </w:rPr>
              <w:t>3</w:t>
            </w:r>
            <w:r>
              <w:rPr>
                <w:rFonts w:hint="eastAsia"/>
                <w:sz w:val="18"/>
                <w:szCs w:val="18"/>
              </w:rPr>
              <w:t>以上者，可发生严重急性中毒；接触浓度为3000~5000mg/rn</w:t>
            </w:r>
            <w:r>
              <w:rPr>
                <w:rFonts w:hint="eastAsia"/>
                <w:sz w:val="18"/>
                <w:szCs w:val="18"/>
                <w:vertAlign w:val="superscript"/>
              </w:rPr>
              <w:t>3</w:t>
            </w:r>
            <w:r>
              <w:rPr>
                <w:rFonts w:hint="eastAsia"/>
                <w:sz w:val="18"/>
                <w:szCs w:val="18"/>
              </w:rPr>
              <w:t>时可引起急性中毒；成人最小致死量为10ml，急性中毒恢复后，部分患者可留有神经衰弱综合症，个别伴有精神障碍等后遗症。</w:t>
            </w:r>
          </w:p>
        </w:tc>
        <w:tc>
          <w:tcPr>
            <w:tcW w:w="3270" w:type="dxa"/>
            <w:vAlign w:val="center"/>
          </w:tcPr>
          <w:p w14:paraId="43419529">
            <w:pPr>
              <w:pStyle w:val="34"/>
              <w:rPr>
                <w:sz w:val="18"/>
                <w:szCs w:val="18"/>
              </w:rPr>
            </w:pPr>
            <w:r>
              <w:rPr>
                <w:rFonts w:hint="eastAsia"/>
                <w:sz w:val="18"/>
                <w:szCs w:val="18"/>
              </w:rPr>
              <w:t>二硫化碳是损害神经和血管的毒物。急性中毒：轻度中毒有头晕、头痛、眼及鼻粘膜</w:t>
            </w:r>
            <w:r>
              <w:rPr>
                <w:rFonts w:hint="eastAsia"/>
                <w:sz w:val="18"/>
                <w:szCs w:val="18"/>
                <w:lang w:eastAsia="zh-CN"/>
              </w:rPr>
              <w:t>刺激征</w:t>
            </w:r>
            <w:r>
              <w:rPr>
                <w:rFonts w:hint="eastAsia"/>
                <w:sz w:val="18"/>
                <w:szCs w:val="18"/>
              </w:rPr>
              <w:t>状;中度中毒尚有酒醉表现;重度中毒可呈短时间的兴奋状态，继之出现谵妄、昏迷、意识丧失，伴有强直性及阵性抽搐可因呼吸中枢麻痹而死亡。严重中毒后可遗留神衰综合征，中枢和周围神经永久性损害。慢性中毒：表现有神经衰弱综合征，植物神经功能紊乱，多发性周围神经病，中毒性脑病。眼底检查：视网膜微动脉瘤，动脉硬化，视神经萎缩。</w:t>
            </w:r>
          </w:p>
        </w:tc>
        <w:tc>
          <w:tcPr>
            <w:tcW w:w="1440" w:type="dxa"/>
            <w:vAlign w:val="center"/>
          </w:tcPr>
          <w:p w14:paraId="46040CB4">
            <w:pPr>
              <w:pStyle w:val="34"/>
              <w:rPr>
                <w:sz w:val="18"/>
                <w:szCs w:val="18"/>
              </w:rPr>
            </w:pPr>
            <w:r>
              <w:rPr>
                <w:rFonts w:hint="eastAsia"/>
                <w:sz w:val="18"/>
                <w:szCs w:val="18"/>
              </w:rPr>
              <w:t>二硫化碳会增加水中氧化还原电位，影响水的化学性质，使得水中的氧和氧气的含量降低，进一步影响水生态环境的平衡。</w:t>
            </w:r>
          </w:p>
        </w:tc>
        <w:tc>
          <w:tcPr>
            <w:tcW w:w="971" w:type="dxa"/>
            <w:vAlign w:val="center"/>
          </w:tcPr>
          <w:p w14:paraId="246821D2">
            <w:pPr>
              <w:pStyle w:val="34"/>
              <w:rPr>
                <w:sz w:val="18"/>
                <w:szCs w:val="18"/>
              </w:rPr>
            </w:pPr>
            <w:r>
              <w:rPr>
                <w:rFonts w:hint="eastAsia"/>
                <w:sz w:val="18"/>
                <w:szCs w:val="18"/>
              </w:rPr>
              <w:t>25kg钢瓶包装，常温常压运输</w:t>
            </w:r>
          </w:p>
        </w:tc>
      </w:tr>
      <w:tr w14:paraId="19AC7C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F4926C6">
            <w:pPr>
              <w:pStyle w:val="34"/>
              <w:numPr>
                <w:ilvl w:val="0"/>
                <w:numId w:val="55"/>
              </w:numPr>
              <w:rPr>
                <w:sz w:val="18"/>
                <w:szCs w:val="18"/>
              </w:rPr>
            </w:pPr>
          </w:p>
        </w:tc>
        <w:tc>
          <w:tcPr>
            <w:tcW w:w="584" w:type="dxa"/>
            <w:vMerge w:val="continue"/>
            <w:vAlign w:val="center"/>
          </w:tcPr>
          <w:p w14:paraId="54612B75">
            <w:pPr>
              <w:pStyle w:val="34"/>
              <w:rPr>
                <w:sz w:val="18"/>
                <w:szCs w:val="18"/>
              </w:rPr>
            </w:pPr>
          </w:p>
        </w:tc>
        <w:tc>
          <w:tcPr>
            <w:tcW w:w="567" w:type="dxa"/>
            <w:vMerge w:val="continue"/>
            <w:vAlign w:val="center"/>
          </w:tcPr>
          <w:p w14:paraId="2ECD03D1">
            <w:pPr>
              <w:pStyle w:val="34"/>
              <w:rPr>
                <w:sz w:val="18"/>
                <w:szCs w:val="18"/>
              </w:rPr>
            </w:pPr>
          </w:p>
        </w:tc>
        <w:tc>
          <w:tcPr>
            <w:tcW w:w="419" w:type="dxa"/>
            <w:vMerge w:val="continue"/>
            <w:vAlign w:val="center"/>
          </w:tcPr>
          <w:p w14:paraId="0A183A60">
            <w:pPr>
              <w:pStyle w:val="34"/>
              <w:rPr>
                <w:sz w:val="18"/>
                <w:szCs w:val="18"/>
              </w:rPr>
            </w:pPr>
          </w:p>
        </w:tc>
        <w:tc>
          <w:tcPr>
            <w:tcW w:w="573" w:type="dxa"/>
            <w:vAlign w:val="center"/>
          </w:tcPr>
          <w:p w14:paraId="5E84395C">
            <w:pPr>
              <w:pStyle w:val="34"/>
              <w:rPr>
                <w:sz w:val="18"/>
                <w:szCs w:val="18"/>
              </w:rPr>
            </w:pPr>
            <w:r>
              <w:rPr>
                <w:rFonts w:hint="eastAsia"/>
                <w:sz w:val="18"/>
                <w:szCs w:val="18"/>
              </w:rPr>
              <w:t>四氯化钛</w:t>
            </w:r>
          </w:p>
        </w:tc>
        <w:tc>
          <w:tcPr>
            <w:tcW w:w="3137" w:type="dxa"/>
            <w:gridSpan w:val="2"/>
            <w:vAlign w:val="center"/>
          </w:tcPr>
          <w:p w14:paraId="11995903">
            <w:pPr>
              <w:pStyle w:val="34"/>
              <w:rPr>
                <w:sz w:val="18"/>
                <w:szCs w:val="18"/>
              </w:rPr>
            </w:pPr>
            <w:r>
              <w:rPr>
                <w:sz w:val="18"/>
                <w:szCs w:val="18"/>
              </w:rPr>
              <w:t>受热或遇水分解放热</w:t>
            </w:r>
            <w:r>
              <w:rPr>
                <w:rFonts w:hint="eastAsia"/>
                <w:sz w:val="18"/>
                <w:szCs w:val="18"/>
              </w:rPr>
              <w:t>，</w:t>
            </w:r>
            <w:r>
              <w:rPr>
                <w:sz w:val="18"/>
                <w:szCs w:val="18"/>
              </w:rPr>
              <w:t>放出有毒的腐蚀性烟气。具有较强的腐蚀性。</w:t>
            </w:r>
          </w:p>
        </w:tc>
        <w:tc>
          <w:tcPr>
            <w:tcW w:w="2840" w:type="dxa"/>
            <w:vAlign w:val="center"/>
          </w:tcPr>
          <w:p w14:paraId="42F892B8">
            <w:pPr>
              <w:pStyle w:val="34"/>
              <w:rPr>
                <w:sz w:val="18"/>
                <w:szCs w:val="18"/>
              </w:rPr>
            </w:pPr>
            <w:r>
              <w:rPr>
                <w:sz w:val="18"/>
                <w:szCs w:val="18"/>
              </w:rPr>
              <w:t>LC50: 400 mg/m</w:t>
            </w:r>
            <w:r>
              <w:rPr>
                <w:sz w:val="18"/>
                <w:szCs w:val="18"/>
                <w:vertAlign w:val="superscript"/>
              </w:rPr>
              <w:t>3</w:t>
            </w:r>
            <w:r>
              <w:rPr>
                <w:sz w:val="18"/>
                <w:szCs w:val="18"/>
              </w:rPr>
              <w:t>(大鼠吸入)</w:t>
            </w:r>
          </w:p>
        </w:tc>
        <w:tc>
          <w:tcPr>
            <w:tcW w:w="3270" w:type="dxa"/>
            <w:vAlign w:val="center"/>
          </w:tcPr>
          <w:p w14:paraId="55217363">
            <w:pPr>
              <w:pStyle w:val="34"/>
              <w:rPr>
                <w:sz w:val="18"/>
                <w:szCs w:val="18"/>
              </w:rPr>
            </w:pPr>
            <w:r>
              <w:rPr>
                <w:sz w:val="18"/>
                <w:szCs w:val="18"/>
              </w:rPr>
              <w:t>吸入本品烟雾，引起上呼吸道粘膜强烈</w:t>
            </w:r>
            <w:r>
              <w:rPr>
                <w:rFonts w:hint="eastAsia"/>
                <w:sz w:val="18"/>
                <w:szCs w:val="18"/>
                <w:lang w:eastAsia="zh-CN"/>
              </w:rPr>
              <w:t>刺激征</w:t>
            </w:r>
            <w:r>
              <w:rPr>
                <w:sz w:val="18"/>
                <w:szCs w:val="18"/>
              </w:rPr>
              <w:t>状。轻度中毒有喘息性支气管炎症状;严重者出现呼吸困难，呼吸脉搏加快，体温升高，咳嗽，咯痰等，可发展成肺水肿。皮肤直接接触其液体，可引起严重灼伤，治愈后可见有黄色色素沉着。</w:t>
            </w:r>
          </w:p>
        </w:tc>
        <w:tc>
          <w:tcPr>
            <w:tcW w:w="1440" w:type="dxa"/>
            <w:vAlign w:val="center"/>
          </w:tcPr>
          <w:p w14:paraId="7F546EEF">
            <w:pPr>
              <w:pStyle w:val="34"/>
              <w:rPr>
                <w:sz w:val="18"/>
                <w:szCs w:val="18"/>
              </w:rPr>
            </w:pPr>
            <w:r>
              <w:rPr>
                <w:sz w:val="18"/>
                <w:szCs w:val="18"/>
              </w:rPr>
              <w:t>与水反应时会产生盐酸</w:t>
            </w:r>
            <w:r>
              <w:rPr>
                <w:rFonts w:hint="eastAsia"/>
                <w:sz w:val="18"/>
                <w:szCs w:val="18"/>
              </w:rPr>
              <w:t>，酸性环境通常会降低鱼类血液pH值，影响动物的摄食，降低摄食强度和对食物的吸收率</w:t>
            </w:r>
            <w:r>
              <w:rPr>
                <w:sz w:val="18"/>
                <w:szCs w:val="18"/>
              </w:rPr>
              <w:t>。</w:t>
            </w:r>
          </w:p>
        </w:tc>
        <w:tc>
          <w:tcPr>
            <w:tcW w:w="971" w:type="dxa"/>
            <w:vAlign w:val="center"/>
          </w:tcPr>
          <w:p w14:paraId="6530BC16">
            <w:pPr>
              <w:pStyle w:val="34"/>
              <w:rPr>
                <w:sz w:val="18"/>
                <w:szCs w:val="18"/>
              </w:rPr>
            </w:pPr>
            <w:r>
              <w:rPr>
                <w:rFonts w:hint="eastAsia"/>
                <w:sz w:val="18"/>
                <w:szCs w:val="18"/>
              </w:rPr>
              <w:t>200L</w:t>
            </w:r>
            <w:r>
              <w:rPr>
                <w:sz w:val="18"/>
                <w:szCs w:val="18"/>
              </w:rPr>
              <w:t>聚乙烯桶包装，常温常压运输</w:t>
            </w:r>
          </w:p>
        </w:tc>
      </w:tr>
      <w:tr w14:paraId="2C09C0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9247835">
            <w:pPr>
              <w:pStyle w:val="34"/>
              <w:numPr>
                <w:ilvl w:val="0"/>
                <w:numId w:val="55"/>
              </w:numPr>
              <w:rPr>
                <w:sz w:val="18"/>
                <w:szCs w:val="18"/>
              </w:rPr>
            </w:pPr>
          </w:p>
        </w:tc>
        <w:tc>
          <w:tcPr>
            <w:tcW w:w="584" w:type="dxa"/>
            <w:vMerge w:val="continue"/>
            <w:vAlign w:val="center"/>
          </w:tcPr>
          <w:p w14:paraId="57244306">
            <w:pPr>
              <w:pStyle w:val="34"/>
              <w:rPr>
                <w:sz w:val="18"/>
                <w:szCs w:val="18"/>
              </w:rPr>
            </w:pPr>
          </w:p>
        </w:tc>
        <w:tc>
          <w:tcPr>
            <w:tcW w:w="567" w:type="dxa"/>
            <w:vMerge w:val="continue"/>
            <w:vAlign w:val="center"/>
          </w:tcPr>
          <w:p w14:paraId="252C18BE">
            <w:pPr>
              <w:pStyle w:val="34"/>
              <w:rPr>
                <w:sz w:val="18"/>
                <w:szCs w:val="18"/>
              </w:rPr>
            </w:pPr>
          </w:p>
        </w:tc>
        <w:tc>
          <w:tcPr>
            <w:tcW w:w="419" w:type="dxa"/>
            <w:vMerge w:val="continue"/>
            <w:vAlign w:val="center"/>
          </w:tcPr>
          <w:p w14:paraId="27BE0984">
            <w:pPr>
              <w:pStyle w:val="34"/>
              <w:rPr>
                <w:sz w:val="18"/>
                <w:szCs w:val="18"/>
              </w:rPr>
            </w:pPr>
          </w:p>
        </w:tc>
        <w:tc>
          <w:tcPr>
            <w:tcW w:w="573" w:type="dxa"/>
            <w:vAlign w:val="center"/>
          </w:tcPr>
          <w:p w14:paraId="407FD449">
            <w:pPr>
              <w:pStyle w:val="34"/>
              <w:rPr>
                <w:sz w:val="18"/>
                <w:szCs w:val="18"/>
              </w:rPr>
            </w:pPr>
            <w:r>
              <w:rPr>
                <w:rFonts w:hint="eastAsia"/>
                <w:sz w:val="18"/>
                <w:szCs w:val="18"/>
              </w:rPr>
              <w:t>汞</w:t>
            </w:r>
          </w:p>
        </w:tc>
        <w:tc>
          <w:tcPr>
            <w:tcW w:w="3137" w:type="dxa"/>
            <w:gridSpan w:val="2"/>
            <w:vAlign w:val="center"/>
          </w:tcPr>
          <w:p w14:paraId="02FFCB5E">
            <w:pPr>
              <w:pStyle w:val="34"/>
              <w:rPr>
                <w:sz w:val="18"/>
                <w:szCs w:val="18"/>
              </w:rPr>
            </w:pPr>
            <w:r>
              <w:rPr>
                <w:rFonts w:hint="eastAsia"/>
                <w:sz w:val="18"/>
                <w:szCs w:val="18"/>
              </w:rPr>
              <w:t>常温下有蒸气挥发，高温下能迅速挥发。与氯酸盐、硝酸盐、热硫酸等混合可发生爆炸。与叠氮化物、乙炔或氨反应可生成爆炸性化合物。与乙烯、氮甲烷、碳化钠接触引起剧烈反应。</w:t>
            </w:r>
          </w:p>
        </w:tc>
        <w:tc>
          <w:tcPr>
            <w:tcW w:w="2840" w:type="dxa"/>
            <w:vAlign w:val="center"/>
          </w:tcPr>
          <w:p w14:paraId="2A297645">
            <w:pPr>
              <w:pStyle w:val="34"/>
              <w:rPr>
                <w:sz w:val="18"/>
                <w:szCs w:val="18"/>
              </w:rPr>
            </w:pPr>
            <w:r>
              <w:rPr>
                <w:sz w:val="18"/>
                <w:szCs w:val="18"/>
              </w:rPr>
              <w:t>LD50：</w:t>
            </w:r>
            <w:r>
              <w:rPr>
                <w:rFonts w:hint="eastAsia"/>
                <w:sz w:val="18"/>
                <w:szCs w:val="18"/>
              </w:rPr>
              <w:t>350</w:t>
            </w:r>
            <w:r>
              <w:rPr>
                <w:sz w:val="18"/>
                <w:szCs w:val="18"/>
              </w:rPr>
              <w:t>mg</w:t>
            </w:r>
            <w:r>
              <w:rPr>
                <w:rFonts w:hint="eastAsia"/>
                <w:sz w:val="18"/>
                <w:szCs w:val="18"/>
              </w:rPr>
              <w:t>/</w:t>
            </w:r>
            <w:r>
              <w:rPr>
                <w:sz w:val="18"/>
                <w:szCs w:val="18"/>
              </w:rPr>
              <w:t>kg(大鼠经口)；</w:t>
            </w:r>
            <w:r>
              <w:rPr>
                <w:rFonts w:hint="eastAsia"/>
                <w:sz w:val="18"/>
                <w:szCs w:val="18"/>
              </w:rPr>
              <w:t>830</w:t>
            </w:r>
            <w:r>
              <w:rPr>
                <w:sz w:val="18"/>
                <w:szCs w:val="18"/>
              </w:rPr>
              <w:t>mg</w:t>
            </w:r>
            <w:r>
              <w:rPr>
                <w:rFonts w:hint="eastAsia"/>
                <w:sz w:val="18"/>
                <w:szCs w:val="18"/>
              </w:rPr>
              <w:t>/</w:t>
            </w:r>
            <w:r>
              <w:rPr>
                <w:sz w:val="18"/>
                <w:szCs w:val="18"/>
              </w:rPr>
              <w:t>kg(</w:t>
            </w:r>
            <w:r>
              <w:rPr>
                <w:rFonts w:hint="eastAsia"/>
                <w:sz w:val="18"/>
                <w:szCs w:val="18"/>
              </w:rPr>
              <w:t>大鼠</w:t>
            </w:r>
            <w:r>
              <w:rPr>
                <w:sz w:val="18"/>
                <w:szCs w:val="18"/>
              </w:rPr>
              <w:t>经皮)</w:t>
            </w:r>
          </w:p>
          <w:p w14:paraId="13AAF37D">
            <w:pPr>
              <w:pStyle w:val="34"/>
              <w:rPr>
                <w:sz w:val="18"/>
                <w:szCs w:val="18"/>
              </w:rPr>
            </w:pPr>
            <w:r>
              <w:rPr>
                <w:sz w:val="18"/>
                <w:szCs w:val="18"/>
              </w:rPr>
              <w:t>LC50：</w:t>
            </w:r>
            <w:r>
              <w:rPr>
                <w:rFonts w:hint="eastAsia"/>
                <w:sz w:val="18"/>
                <w:szCs w:val="18"/>
              </w:rPr>
              <w:t>2120</w:t>
            </w:r>
            <w:r>
              <w:rPr>
                <w:sz w:val="18"/>
                <w:szCs w:val="18"/>
              </w:rPr>
              <w:t>mg</w:t>
            </w:r>
            <w:r>
              <w:rPr>
                <w:rFonts w:hint="eastAsia"/>
                <w:sz w:val="18"/>
                <w:szCs w:val="18"/>
              </w:rPr>
              <w:t>/</w:t>
            </w:r>
            <w:r>
              <w:rPr>
                <w:sz w:val="18"/>
                <w:szCs w:val="18"/>
              </w:rPr>
              <w:t>m</w:t>
            </w:r>
            <w:r>
              <w:rPr>
                <w:sz w:val="18"/>
                <w:szCs w:val="18"/>
                <w:vertAlign w:val="superscript"/>
              </w:rPr>
              <w:t>3</w:t>
            </w:r>
            <w:r>
              <w:rPr>
                <w:sz w:val="18"/>
                <w:szCs w:val="18"/>
              </w:rPr>
              <w:t xml:space="preserve"> (</w:t>
            </w:r>
            <w:r>
              <w:rPr>
                <w:rFonts w:hint="eastAsia"/>
                <w:sz w:val="18"/>
                <w:szCs w:val="18"/>
              </w:rPr>
              <w:t>大鼠</w:t>
            </w:r>
            <w:r>
              <w:rPr>
                <w:sz w:val="18"/>
                <w:szCs w:val="18"/>
              </w:rPr>
              <w:t>吸入，</w:t>
            </w:r>
            <w:r>
              <w:rPr>
                <w:rFonts w:hint="eastAsia"/>
                <w:sz w:val="18"/>
                <w:szCs w:val="18"/>
              </w:rPr>
              <w:t>4</w:t>
            </w:r>
            <w:r>
              <w:rPr>
                <w:sz w:val="18"/>
                <w:szCs w:val="18"/>
              </w:rPr>
              <w:t>小时) ；</w:t>
            </w:r>
            <w:r>
              <w:rPr>
                <w:rFonts w:hint="eastAsia"/>
                <w:sz w:val="18"/>
                <w:szCs w:val="18"/>
              </w:rPr>
              <w:t>5300</w:t>
            </w:r>
            <w:r>
              <w:rPr>
                <w:sz w:val="18"/>
                <w:szCs w:val="18"/>
              </w:rPr>
              <w:t>mg</w:t>
            </w:r>
            <w:r>
              <w:rPr>
                <w:rFonts w:hint="eastAsia"/>
                <w:sz w:val="18"/>
                <w:szCs w:val="18"/>
              </w:rPr>
              <w:t>/</w:t>
            </w:r>
            <w:r>
              <w:rPr>
                <w:sz w:val="18"/>
                <w:szCs w:val="18"/>
              </w:rPr>
              <w:t>m</w:t>
            </w:r>
            <w:r>
              <w:rPr>
                <w:sz w:val="18"/>
                <w:szCs w:val="18"/>
                <w:vertAlign w:val="superscript"/>
              </w:rPr>
              <w:t>3</w:t>
            </w:r>
            <w:r>
              <w:rPr>
                <w:sz w:val="18"/>
                <w:szCs w:val="18"/>
              </w:rPr>
              <w:t xml:space="preserve"> (</w:t>
            </w:r>
            <w:r>
              <w:rPr>
                <w:rFonts w:hint="eastAsia"/>
                <w:sz w:val="18"/>
                <w:szCs w:val="18"/>
              </w:rPr>
              <w:t>小鼠</w:t>
            </w:r>
            <w:r>
              <w:rPr>
                <w:sz w:val="18"/>
                <w:szCs w:val="18"/>
              </w:rPr>
              <w:t>吸入，</w:t>
            </w:r>
            <w:r>
              <w:rPr>
                <w:rFonts w:hint="eastAsia"/>
                <w:sz w:val="18"/>
                <w:szCs w:val="18"/>
              </w:rPr>
              <w:t>2</w:t>
            </w:r>
            <w:r>
              <w:rPr>
                <w:sz w:val="18"/>
                <w:szCs w:val="18"/>
              </w:rPr>
              <w:t>小时)</w:t>
            </w:r>
          </w:p>
        </w:tc>
        <w:tc>
          <w:tcPr>
            <w:tcW w:w="3270" w:type="dxa"/>
            <w:vAlign w:val="center"/>
          </w:tcPr>
          <w:p w14:paraId="204BB24B">
            <w:pPr>
              <w:pStyle w:val="34"/>
              <w:rPr>
                <w:sz w:val="18"/>
                <w:szCs w:val="18"/>
              </w:rPr>
            </w:pPr>
            <w:r>
              <w:rPr>
                <w:rFonts w:hint="eastAsia"/>
                <w:sz w:val="18"/>
                <w:szCs w:val="18"/>
              </w:rPr>
              <w:t>短期内大量吸入汞蒸气后引起急性中毒，病人有头痛、头晕、乏力、多梦、睡眠障碍、易激动、手指震颤、发热等全身症状，并有明显口腔炎表现。可有食欲不振、恶心、腹痛、腹泻等。部分患者皮肤出现红色斑丘疹。呼吸道</w:t>
            </w:r>
            <w:r>
              <w:rPr>
                <w:rFonts w:hint="eastAsia"/>
                <w:sz w:val="18"/>
                <w:szCs w:val="18"/>
                <w:lang w:eastAsia="zh-CN"/>
              </w:rPr>
              <w:t>刺激征</w:t>
            </w:r>
            <w:r>
              <w:rPr>
                <w:rFonts w:hint="eastAsia"/>
                <w:sz w:val="18"/>
                <w:szCs w:val="18"/>
              </w:rPr>
              <w:t>状有咳嗽、咳痰、胸痛、胸闷等。严重者可发生化学性肺炎。可引起肾脏损伤。口服可溶性汞盐引起急性腐蚀性胃肠炎，严重者发生昏迷、休克、急性肾功能衰竭。慢性中毒:最早出现头痛、头晕、乏力、记忆减退等神经衰弱综合征，并有口腔炎。严重者可有明显的性格改变，汞毒性震颤及四肢共济失调等中毒性脑病表现，可伴有肾脏损害。</w:t>
            </w:r>
          </w:p>
        </w:tc>
        <w:tc>
          <w:tcPr>
            <w:tcW w:w="1440" w:type="dxa"/>
            <w:vAlign w:val="center"/>
          </w:tcPr>
          <w:p w14:paraId="13039D59">
            <w:pPr>
              <w:pStyle w:val="34"/>
              <w:rPr>
                <w:sz w:val="18"/>
                <w:szCs w:val="18"/>
              </w:rPr>
            </w:pPr>
            <w:r>
              <w:rPr>
                <w:rFonts w:hint="eastAsia"/>
                <w:sz w:val="18"/>
                <w:szCs w:val="18"/>
              </w:rPr>
              <w:t>水中的汞通过鱼的鳃呼吸、体表接触吸收以及水生生物的食物链作用，使汞被吸收、转移、浓缩、蓄积于鱼体内。汞污染的水域可使鱼类及其它水生生物</w:t>
            </w:r>
            <w:r>
              <w:rPr>
                <w:rFonts w:hint="eastAsia"/>
                <w:sz w:val="18"/>
                <w:szCs w:val="18"/>
                <w:lang w:eastAsia="zh-CN"/>
              </w:rPr>
              <w:t>发生</w:t>
            </w:r>
            <w:r>
              <w:rPr>
                <w:rFonts w:hint="eastAsia"/>
                <w:sz w:val="18"/>
                <w:szCs w:val="18"/>
              </w:rPr>
              <w:t>急性中毒死亡、亚急性中毒和慢性中</w:t>
            </w:r>
          </w:p>
          <w:p w14:paraId="0CB8185B">
            <w:pPr>
              <w:pStyle w:val="34"/>
              <w:rPr>
                <w:sz w:val="18"/>
                <w:szCs w:val="18"/>
              </w:rPr>
            </w:pPr>
            <w:r>
              <w:rPr>
                <w:rFonts w:hint="eastAsia"/>
                <w:sz w:val="18"/>
                <w:szCs w:val="18"/>
              </w:rPr>
              <w:t>毒，蓄积，导致明显的生态和毒理反应</w:t>
            </w:r>
          </w:p>
        </w:tc>
        <w:tc>
          <w:tcPr>
            <w:tcW w:w="971" w:type="dxa"/>
            <w:vAlign w:val="center"/>
          </w:tcPr>
          <w:p w14:paraId="0D8B174E">
            <w:pPr>
              <w:pStyle w:val="34"/>
              <w:rPr>
                <w:sz w:val="18"/>
                <w:szCs w:val="18"/>
              </w:rPr>
            </w:pPr>
            <w:r>
              <w:rPr>
                <w:rFonts w:hint="eastAsia"/>
                <w:sz w:val="18"/>
                <w:szCs w:val="18"/>
              </w:rPr>
              <w:t>34.5kg铁桶包装，常温常压运输</w:t>
            </w:r>
          </w:p>
        </w:tc>
      </w:tr>
      <w:tr w14:paraId="51B13C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D2380A7">
            <w:pPr>
              <w:pStyle w:val="34"/>
              <w:numPr>
                <w:ilvl w:val="0"/>
                <w:numId w:val="55"/>
              </w:numPr>
              <w:rPr>
                <w:sz w:val="18"/>
                <w:szCs w:val="18"/>
              </w:rPr>
            </w:pPr>
          </w:p>
        </w:tc>
        <w:tc>
          <w:tcPr>
            <w:tcW w:w="584" w:type="dxa"/>
            <w:vMerge w:val="continue"/>
            <w:vAlign w:val="center"/>
          </w:tcPr>
          <w:p w14:paraId="260B3400">
            <w:pPr>
              <w:pStyle w:val="34"/>
              <w:rPr>
                <w:sz w:val="18"/>
                <w:szCs w:val="18"/>
              </w:rPr>
            </w:pPr>
          </w:p>
        </w:tc>
        <w:tc>
          <w:tcPr>
            <w:tcW w:w="567" w:type="dxa"/>
            <w:vMerge w:val="continue"/>
            <w:vAlign w:val="center"/>
          </w:tcPr>
          <w:p w14:paraId="16D6B9B9">
            <w:pPr>
              <w:pStyle w:val="34"/>
              <w:rPr>
                <w:sz w:val="18"/>
                <w:szCs w:val="18"/>
              </w:rPr>
            </w:pPr>
          </w:p>
        </w:tc>
        <w:tc>
          <w:tcPr>
            <w:tcW w:w="419" w:type="dxa"/>
            <w:vMerge w:val="restart"/>
            <w:vAlign w:val="center"/>
          </w:tcPr>
          <w:p w14:paraId="469F99E4">
            <w:pPr>
              <w:pStyle w:val="34"/>
              <w:rPr>
                <w:sz w:val="18"/>
                <w:szCs w:val="18"/>
              </w:rPr>
            </w:pPr>
            <w:r>
              <w:rPr>
                <w:sz w:val="18"/>
                <w:szCs w:val="18"/>
              </w:rPr>
              <w:t>有机，</w:t>
            </w:r>
          </w:p>
          <w:p w14:paraId="73DF95B1">
            <w:pPr>
              <w:pStyle w:val="34"/>
              <w:rPr>
                <w:sz w:val="18"/>
                <w:szCs w:val="18"/>
              </w:rPr>
            </w:pPr>
            <w:r>
              <w:rPr>
                <w:sz w:val="18"/>
                <w:szCs w:val="18"/>
              </w:rPr>
              <w:t>密度&lt;1g/cm</w:t>
            </w:r>
            <w:r>
              <w:rPr>
                <w:sz w:val="18"/>
                <w:szCs w:val="18"/>
                <w:vertAlign w:val="superscript"/>
              </w:rPr>
              <w:t>3</w:t>
            </w:r>
          </w:p>
        </w:tc>
        <w:tc>
          <w:tcPr>
            <w:tcW w:w="573" w:type="dxa"/>
            <w:vAlign w:val="center"/>
          </w:tcPr>
          <w:p w14:paraId="637EADA5">
            <w:pPr>
              <w:pStyle w:val="34"/>
              <w:rPr>
                <w:sz w:val="18"/>
                <w:szCs w:val="18"/>
              </w:rPr>
            </w:pPr>
            <w:r>
              <w:rPr>
                <w:sz w:val="18"/>
                <w:szCs w:val="18"/>
              </w:rPr>
              <w:t>乙苯</w:t>
            </w:r>
          </w:p>
        </w:tc>
        <w:tc>
          <w:tcPr>
            <w:tcW w:w="3137" w:type="dxa"/>
            <w:gridSpan w:val="2"/>
            <w:vAlign w:val="center"/>
          </w:tcPr>
          <w:p w14:paraId="0DD88702">
            <w:pPr>
              <w:pStyle w:val="34"/>
              <w:rPr>
                <w:sz w:val="18"/>
                <w:szCs w:val="18"/>
              </w:rPr>
            </w:pPr>
            <w:r>
              <w:rPr>
                <w:rFonts w:hint="eastAsia"/>
                <w:sz w:val="18"/>
                <w:szCs w:val="18"/>
              </w:rPr>
              <w:t>易燃，其蒸气与空气可形成爆炸性混合物，遇明火、高热或与氧化剂接触，有引起燃烧爆炸的危险。与氧化剂接触猛烈反应。流速过快，容易产生和积聚静电。其蒸气比空气重，能在较低处扩散到相当远的</w:t>
            </w:r>
            <w:r>
              <w:rPr>
                <w:rFonts w:hint="eastAsia"/>
                <w:sz w:val="18"/>
                <w:szCs w:val="18"/>
                <w:lang w:eastAsia="zh-CN"/>
              </w:rPr>
              <w:t>地</w:t>
            </w:r>
            <w:r>
              <w:rPr>
                <w:rFonts w:hint="eastAsia"/>
                <w:sz w:val="18"/>
                <w:szCs w:val="18"/>
              </w:rPr>
              <w:t>方，遇火源会着火回燃</w:t>
            </w:r>
          </w:p>
        </w:tc>
        <w:tc>
          <w:tcPr>
            <w:tcW w:w="2840" w:type="dxa"/>
            <w:vAlign w:val="center"/>
          </w:tcPr>
          <w:p w14:paraId="46C01910">
            <w:pPr>
              <w:pStyle w:val="34"/>
              <w:rPr>
                <w:sz w:val="18"/>
                <w:szCs w:val="18"/>
              </w:rPr>
            </w:pPr>
            <w:r>
              <w:rPr>
                <w:rFonts w:hint="eastAsia"/>
                <w:sz w:val="18"/>
                <w:szCs w:val="18"/>
              </w:rPr>
              <w:t>大鼠经口LD50：3500 mg/kg；吸入LCLo：4000 ppm/4h。</w:t>
            </w:r>
          </w:p>
          <w:p w14:paraId="528E63A3">
            <w:pPr>
              <w:pStyle w:val="34"/>
              <w:rPr>
                <w:sz w:val="18"/>
                <w:szCs w:val="18"/>
              </w:rPr>
            </w:pPr>
            <w:r>
              <w:rPr>
                <w:rFonts w:hint="eastAsia"/>
                <w:sz w:val="18"/>
                <w:szCs w:val="18"/>
              </w:rPr>
              <w:t>小鼠吸入LCLo:50 gm/m</w:t>
            </w:r>
            <w:r>
              <w:rPr>
                <w:rFonts w:hint="eastAsia"/>
                <w:sz w:val="18"/>
                <w:szCs w:val="18"/>
                <w:vertAlign w:val="superscript"/>
              </w:rPr>
              <w:t>3</w:t>
            </w:r>
            <w:r>
              <w:rPr>
                <w:rFonts w:hint="eastAsia"/>
                <w:sz w:val="18"/>
                <w:szCs w:val="18"/>
              </w:rPr>
              <w:t>/2h.</w:t>
            </w:r>
          </w:p>
          <w:p w14:paraId="3B91427A">
            <w:pPr>
              <w:pStyle w:val="34"/>
              <w:rPr>
                <w:sz w:val="18"/>
                <w:szCs w:val="18"/>
              </w:rPr>
            </w:pPr>
            <w:r>
              <w:rPr>
                <w:rFonts w:hint="eastAsia"/>
                <w:sz w:val="18"/>
                <w:szCs w:val="18"/>
              </w:rPr>
              <w:t>兔经皮LD50:17800</w:t>
            </w:r>
            <w:r>
              <w:rPr>
                <w:sz w:val="18"/>
                <w:szCs w:val="18"/>
              </w:rPr>
              <w:t>μL</w:t>
            </w:r>
            <w:r>
              <w:rPr>
                <w:rFonts w:hint="eastAsia"/>
                <w:sz w:val="18"/>
                <w:szCs w:val="18"/>
              </w:rPr>
              <w:t>/kg。</w:t>
            </w:r>
          </w:p>
        </w:tc>
        <w:tc>
          <w:tcPr>
            <w:tcW w:w="3270" w:type="dxa"/>
            <w:vAlign w:val="center"/>
          </w:tcPr>
          <w:p w14:paraId="4EB00921">
            <w:pPr>
              <w:pStyle w:val="34"/>
              <w:rPr>
                <w:sz w:val="18"/>
                <w:szCs w:val="18"/>
              </w:rPr>
            </w:pPr>
            <w:r>
              <w:rPr>
                <w:rFonts w:hint="eastAsia"/>
                <w:sz w:val="18"/>
                <w:szCs w:val="18"/>
              </w:rPr>
              <w:t>对皮肤、粘膜有较强刺激性，高浓度有麻醉作用。急性中毒:轻度中毒有头晕、头痛、恶心、呕吐、</w:t>
            </w:r>
            <w:r>
              <w:rPr>
                <w:rFonts w:hint="eastAsia"/>
                <w:sz w:val="18"/>
                <w:szCs w:val="18"/>
                <w:lang w:eastAsia="zh-CN"/>
              </w:rPr>
              <w:t>步态蹒跚</w:t>
            </w:r>
            <w:r>
              <w:rPr>
                <w:rFonts w:hint="eastAsia"/>
                <w:sz w:val="18"/>
                <w:szCs w:val="18"/>
              </w:rPr>
              <w:t>、轻度意识障碍及眼和上呼吸道</w:t>
            </w:r>
            <w:r>
              <w:rPr>
                <w:rFonts w:hint="eastAsia"/>
                <w:sz w:val="18"/>
                <w:szCs w:val="18"/>
                <w:lang w:eastAsia="zh-CN"/>
              </w:rPr>
              <w:t>刺激征</w:t>
            </w:r>
            <w:r>
              <w:rPr>
                <w:rFonts w:hint="eastAsia"/>
                <w:sz w:val="18"/>
                <w:szCs w:val="18"/>
              </w:rPr>
              <w:t>状。重者发生昏迷、抽搐、血压下降及呼吸循环衰竭。可有肝损害。直按吸入本品液体可致化学性肺炎和肺水 肿。慢性影响:眼及上呼吸道刺激行状、神经衰弱综合征。皮肤出现粘糙、皲裂、脱皮。</w:t>
            </w:r>
          </w:p>
        </w:tc>
        <w:tc>
          <w:tcPr>
            <w:tcW w:w="1440" w:type="dxa"/>
            <w:vAlign w:val="center"/>
          </w:tcPr>
          <w:p w14:paraId="525B036A">
            <w:pPr>
              <w:pStyle w:val="34"/>
              <w:rPr>
                <w:sz w:val="18"/>
                <w:szCs w:val="18"/>
              </w:rPr>
            </w:pPr>
            <w:r>
              <w:rPr>
                <w:rFonts w:hint="eastAsia"/>
                <w:sz w:val="18"/>
                <w:szCs w:val="18"/>
              </w:rPr>
              <w:t>乙苯溶于水的能力较强，排放至水体中会导致水质污染。</w:t>
            </w:r>
          </w:p>
        </w:tc>
        <w:tc>
          <w:tcPr>
            <w:tcW w:w="971" w:type="dxa"/>
            <w:vAlign w:val="center"/>
          </w:tcPr>
          <w:p w14:paraId="089EDDD7">
            <w:pPr>
              <w:pStyle w:val="34"/>
              <w:rPr>
                <w:sz w:val="18"/>
                <w:szCs w:val="18"/>
              </w:rPr>
            </w:pPr>
            <w:r>
              <w:rPr>
                <w:rFonts w:hint="eastAsia"/>
                <w:sz w:val="18"/>
                <w:szCs w:val="18"/>
              </w:rPr>
              <w:t>170kg铝合金桶包装，常温常压运输</w:t>
            </w:r>
          </w:p>
        </w:tc>
      </w:tr>
      <w:tr w14:paraId="6FEE01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77A1B73">
            <w:pPr>
              <w:pStyle w:val="34"/>
              <w:numPr>
                <w:ilvl w:val="0"/>
                <w:numId w:val="55"/>
              </w:numPr>
              <w:rPr>
                <w:sz w:val="18"/>
                <w:szCs w:val="18"/>
              </w:rPr>
            </w:pPr>
          </w:p>
        </w:tc>
        <w:tc>
          <w:tcPr>
            <w:tcW w:w="584" w:type="dxa"/>
            <w:vMerge w:val="continue"/>
            <w:vAlign w:val="center"/>
          </w:tcPr>
          <w:p w14:paraId="427BC0BA">
            <w:pPr>
              <w:pStyle w:val="34"/>
              <w:rPr>
                <w:sz w:val="18"/>
                <w:szCs w:val="18"/>
              </w:rPr>
            </w:pPr>
          </w:p>
        </w:tc>
        <w:tc>
          <w:tcPr>
            <w:tcW w:w="567" w:type="dxa"/>
            <w:vMerge w:val="continue"/>
            <w:vAlign w:val="center"/>
          </w:tcPr>
          <w:p w14:paraId="209D7105">
            <w:pPr>
              <w:pStyle w:val="34"/>
              <w:rPr>
                <w:sz w:val="18"/>
                <w:szCs w:val="18"/>
              </w:rPr>
            </w:pPr>
          </w:p>
        </w:tc>
        <w:tc>
          <w:tcPr>
            <w:tcW w:w="419" w:type="dxa"/>
            <w:vMerge w:val="continue"/>
            <w:vAlign w:val="center"/>
          </w:tcPr>
          <w:p w14:paraId="5305914D">
            <w:pPr>
              <w:pStyle w:val="34"/>
              <w:rPr>
                <w:sz w:val="18"/>
                <w:szCs w:val="18"/>
              </w:rPr>
            </w:pPr>
          </w:p>
        </w:tc>
        <w:tc>
          <w:tcPr>
            <w:tcW w:w="573" w:type="dxa"/>
            <w:vAlign w:val="center"/>
          </w:tcPr>
          <w:p w14:paraId="17A41190">
            <w:pPr>
              <w:pStyle w:val="34"/>
              <w:rPr>
                <w:sz w:val="18"/>
                <w:szCs w:val="18"/>
              </w:rPr>
            </w:pPr>
            <w:r>
              <w:rPr>
                <w:rFonts w:hint="eastAsia"/>
                <w:sz w:val="18"/>
                <w:szCs w:val="18"/>
              </w:rPr>
              <w:t>丙烯酸丁酯</w:t>
            </w:r>
          </w:p>
        </w:tc>
        <w:tc>
          <w:tcPr>
            <w:tcW w:w="3137" w:type="dxa"/>
            <w:gridSpan w:val="2"/>
            <w:vAlign w:val="center"/>
          </w:tcPr>
          <w:p w14:paraId="0C428BF2">
            <w:pPr>
              <w:pStyle w:val="34"/>
              <w:rPr>
                <w:sz w:val="18"/>
                <w:szCs w:val="18"/>
              </w:rPr>
            </w:pPr>
            <w:r>
              <w:rPr>
                <w:sz w:val="18"/>
                <w:szCs w:val="18"/>
              </w:rPr>
              <w:t>遇明火、高热或与氧化剂接触，有引起燃烧爆炸的危险。若遇高热，可能发生聚合反应，出现大量放热现象，引起容器破裂和爆炸事故。</w:t>
            </w:r>
          </w:p>
        </w:tc>
        <w:tc>
          <w:tcPr>
            <w:tcW w:w="2840" w:type="dxa"/>
            <w:vAlign w:val="center"/>
          </w:tcPr>
          <w:p w14:paraId="6FFF7317">
            <w:pPr>
              <w:pStyle w:val="34"/>
              <w:rPr>
                <w:sz w:val="18"/>
                <w:szCs w:val="18"/>
              </w:rPr>
            </w:pPr>
            <w:r>
              <w:rPr>
                <w:sz w:val="18"/>
                <w:szCs w:val="18"/>
              </w:rPr>
              <w:t>LD50：900mg</w:t>
            </w:r>
            <w:r>
              <w:rPr>
                <w:rFonts w:hint="eastAsia"/>
                <w:sz w:val="18"/>
                <w:szCs w:val="18"/>
              </w:rPr>
              <w:t>/</w:t>
            </w:r>
            <w:r>
              <w:rPr>
                <w:sz w:val="18"/>
                <w:szCs w:val="18"/>
              </w:rPr>
              <w:t>kg(大鼠经口)；2000mg</w:t>
            </w:r>
            <w:r>
              <w:rPr>
                <w:rFonts w:hint="eastAsia"/>
                <w:sz w:val="18"/>
                <w:szCs w:val="18"/>
              </w:rPr>
              <w:t>/</w:t>
            </w:r>
            <w:r>
              <w:rPr>
                <w:sz w:val="18"/>
                <w:szCs w:val="18"/>
              </w:rPr>
              <w:t>kg(兔经皮)</w:t>
            </w:r>
            <w:r>
              <w:rPr>
                <w:sz w:val="18"/>
                <w:szCs w:val="18"/>
              </w:rPr>
              <w:br w:type="textWrapping"/>
            </w:r>
            <w:r>
              <w:rPr>
                <w:sz w:val="18"/>
                <w:szCs w:val="18"/>
              </w:rPr>
              <w:t>LC50：2730ppm 4小时(大鼠吸入)  </w:t>
            </w:r>
          </w:p>
        </w:tc>
        <w:tc>
          <w:tcPr>
            <w:tcW w:w="3270" w:type="dxa"/>
            <w:vAlign w:val="center"/>
          </w:tcPr>
          <w:p w14:paraId="35EF31B1">
            <w:pPr>
              <w:pStyle w:val="34"/>
              <w:rPr>
                <w:sz w:val="18"/>
                <w:szCs w:val="18"/>
              </w:rPr>
            </w:pPr>
            <w:r>
              <w:rPr>
                <w:sz w:val="18"/>
                <w:szCs w:val="18"/>
              </w:rPr>
              <w:t>吸入、摄入或经皮肤吸收对身体有害。其蒸气或烟雾对眼睛、粘膜和呼吸道有刺激作用。中毒表现有烧灼感、咳嗽、喘息、喉炎、气短、头痛、恶心和呕吐。</w:t>
            </w:r>
          </w:p>
        </w:tc>
        <w:tc>
          <w:tcPr>
            <w:tcW w:w="1440" w:type="dxa"/>
            <w:vAlign w:val="center"/>
          </w:tcPr>
          <w:p w14:paraId="3452225A">
            <w:pPr>
              <w:pStyle w:val="34"/>
              <w:rPr>
                <w:sz w:val="18"/>
                <w:szCs w:val="18"/>
              </w:rPr>
            </w:pPr>
            <w:r>
              <w:rPr>
                <w:sz w:val="18"/>
                <w:szCs w:val="18"/>
              </w:rPr>
              <w:t>油类物质，泄漏会形成油膜阻隔空气中的氧进入水体导致水生生物缺氧；粘附在水生植物根系上会影响植物的蒸腾、呼吸和光合作用，粘附在水生动物器官上会影响呼吸作用造成窒息。</w:t>
            </w:r>
          </w:p>
        </w:tc>
        <w:tc>
          <w:tcPr>
            <w:tcW w:w="971" w:type="dxa"/>
            <w:vAlign w:val="center"/>
          </w:tcPr>
          <w:p w14:paraId="4DFCA25F">
            <w:pPr>
              <w:pStyle w:val="34"/>
              <w:rPr>
                <w:sz w:val="18"/>
                <w:szCs w:val="18"/>
              </w:rPr>
            </w:pPr>
            <w:r>
              <w:rPr>
                <w:rFonts w:hint="eastAsia"/>
                <w:sz w:val="18"/>
                <w:szCs w:val="18"/>
              </w:rPr>
              <w:t>180kg聚乙烯桶包装，常温常压运输</w:t>
            </w:r>
          </w:p>
        </w:tc>
      </w:tr>
      <w:tr w14:paraId="189B41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8CB201C">
            <w:pPr>
              <w:pStyle w:val="34"/>
              <w:numPr>
                <w:ilvl w:val="0"/>
                <w:numId w:val="55"/>
              </w:numPr>
              <w:rPr>
                <w:sz w:val="18"/>
                <w:szCs w:val="18"/>
              </w:rPr>
            </w:pPr>
          </w:p>
        </w:tc>
        <w:tc>
          <w:tcPr>
            <w:tcW w:w="584" w:type="dxa"/>
            <w:vMerge w:val="continue"/>
            <w:vAlign w:val="center"/>
          </w:tcPr>
          <w:p w14:paraId="439B7FF4">
            <w:pPr>
              <w:pStyle w:val="34"/>
              <w:rPr>
                <w:sz w:val="18"/>
                <w:szCs w:val="18"/>
              </w:rPr>
            </w:pPr>
          </w:p>
        </w:tc>
        <w:tc>
          <w:tcPr>
            <w:tcW w:w="567" w:type="dxa"/>
            <w:vMerge w:val="continue"/>
            <w:vAlign w:val="center"/>
          </w:tcPr>
          <w:p w14:paraId="3F888CCE">
            <w:pPr>
              <w:pStyle w:val="34"/>
              <w:rPr>
                <w:sz w:val="18"/>
                <w:szCs w:val="18"/>
              </w:rPr>
            </w:pPr>
          </w:p>
        </w:tc>
        <w:tc>
          <w:tcPr>
            <w:tcW w:w="419" w:type="dxa"/>
            <w:vMerge w:val="continue"/>
            <w:vAlign w:val="center"/>
          </w:tcPr>
          <w:p w14:paraId="748E9A84">
            <w:pPr>
              <w:pStyle w:val="34"/>
              <w:rPr>
                <w:sz w:val="18"/>
                <w:szCs w:val="18"/>
              </w:rPr>
            </w:pPr>
          </w:p>
        </w:tc>
        <w:tc>
          <w:tcPr>
            <w:tcW w:w="573" w:type="dxa"/>
            <w:vAlign w:val="center"/>
          </w:tcPr>
          <w:p w14:paraId="1DCAB86F">
            <w:pPr>
              <w:pStyle w:val="34"/>
              <w:rPr>
                <w:sz w:val="18"/>
                <w:szCs w:val="18"/>
              </w:rPr>
            </w:pPr>
            <w:r>
              <w:rPr>
                <w:sz w:val="18"/>
                <w:szCs w:val="18"/>
              </w:rPr>
              <w:t>呋喃</w:t>
            </w:r>
          </w:p>
        </w:tc>
        <w:tc>
          <w:tcPr>
            <w:tcW w:w="3137" w:type="dxa"/>
            <w:gridSpan w:val="2"/>
            <w:vAlign w:val="center"/>
          </w:tcPr>
          <w:p w14:paraId="0512452E">
            <w:pPr>
              <w:pStyle w:val="34"/>
              <w:rPr>
                <w:sz w:val="18"/>
                <w:szCs w:val="18"/>
              </w:rPr>
            </w:pPr>
            <w:r>
              <w:rPr>
                <w:sz w:val="18"/>
                <w:szCs w:val="18"/>
              </w:rPr>
              <w:t>极端易燃液体，有爆炸危险</w:t>
            </w:r>
            <w:r>
              <w:rPr>
                <w:rFonts w:hint="eastAsia"/>
                <w:sz w:val="18"/>
                <w:szCs w:val="18"/>
              </w:rPr>
              <w:t>，在空气中能形成不稳定的过氧化物，本品与酸溶液接触，能发生强烈的放热反应</w:t>
            </w:r>
          </w:p>
        </w:tc>
        <w:tc>
          <w:tcPr>
            <w:tcW w:w="2840" w:type="dxa"/>
            <w:vAlign w:val="center"/>
          </w:tcPr>
          <w:p w14:paraId="28F4BACC">
            <w:pPr>
              <w:pStyle w:val="34"/>
              <w:rPr>
                <w:sz w:val="18"/>
                <w:szCs w:val="18"/>
              </w:rPr>
            </w:pPr>
            <w:r>
              <w:rPr>
                <w:sz w:val="18"/>
                <w:szCs w:val="18"/>
              </w:rPr>
              <w:t>LD50：</w:t>
            </w:r>
            <w:r>
              <w:rPr>
                <w:rFonts w:hint="eastAsia"/>
                <w:sz w:val="18"/>
                <w:szCs w:val="18"/>
              </w:rPr>
              <w:t>3398ppm</w:t>
            </w:r>
            <w:r>
              <w:rPr>
                <w:sz w:val="18"/>
                <w:szCs w:val="18"/>
              </w:rPr>
              <w:t>(大鼠</w:t>
            </w:r>
            <w:r>
              <w:rPr>
                <w:rFonts w:hint="eastAsia"/>
                <w:sz w:val="18"/>
                <w:szCs w:val="18"/>
              </w:rPr>
              <w:t>吸入，1h</w:t>
            </w:r>
            <w:r>
              <w:rPr>
                <w:sz w:val="18"/>
                <w:szCs w:val="18"/>
              </w:rPr>
              <w:t>)</w:t>
            </w:r>
          </w:p>
          <w:p w14:paraId="4FAEE9B8">
            <w:pPr>
              <w:pStyle w:val="34"/>
              <w:rPr>
                <w:sz w:val="18"/>
                <w:szCs w:val="18"/>
              </w:rPr>
            </w:pPr>
            <w:r>
              <w:rPr>
                <w:sz w:val="18"/>
                <w:szCs w:val="18"/>
              </w:rPr>
              <w:t>LC50：</w:t>
            </w:r>
            <w:r>
              <w:rPr>
                <w:rFonts w:hint="eastAsia"/>
                <w:sz w:val="18"/>
                <w:szCs w:val="18"/>
              </w:rPr>
              <w:t>120</w:t>
            </w:r>
            <w:r>
              <w:rPr>
                <w:sz w:val="18"/>
                <w:szCs w:val="18"/>
              </w:rPr>
              <w:t>mg</w:t>
            </w:r>
            <w:r>
              <w:rPr>
                <w:rFonts w:hint="eastAsia"/>
                <w:sz w:val="18"/>
                <w:szCs w:val="18"/>
              </w:rPr>
              <w:t>/</w:t>
            </w:r>
            <w:r>
              <w:rPr>
                <w:sz w:val="18"/>
                <w:szCs w:val="18"/>
              </w:rPr>
              <w:t>m</w:t>
            </w:r>
            <w:r>
              <w:rPr>
                <w:sz w:val="18"/>
                <w:szCs w:val="18"/>
                <w:vertAlign w:val="superscript"/>
              </w:rPr>
              <w:t>3</w:t>
            </w:r>
            <w:r>
              <w:rPr>
                <w:sz w:val="18"/>
                <w:szCs w:val="18"/>
              </w:rPr>
              <w:t xml:space="preserve"> (</w:t>
            </w:r>
            <w:r>
              <w:rPr>
                <w:rFonts w:hint="eastAsia"/>
                <w:sz w:val="18"/>
                <w:szCs w:val="18"/>
              </w:rPr>
              <w:t>小</w:t>
            </w:r>
            <w:r>
              <w:rPr>
                <w:sz w:val="18"/>
                <w:szCs w:val="18"/>
              </w:rPr>
              <w:t>鼠吸入，</w:t>
            </w:r>
            <w:r>
              <w:rPr>
                <w:rFonts w:hint="eastAsia"/>
                <w:sz w:val="18"/>
                <w:szCs w:val="18"/>
              </w:rPr>
              <w:t>1h</w:t>
            </w:r>
            <w:r>
              <w:rPr>
                <w:sz w:val="18"/>
                <w:szCs w:val="18"/>
              </w:rPr>
              <w:t>)</w:t>
            </w:r>
          </w:p>
        </w:tc>
        <w:tc>
          <w:tcPr>
            <w:tcW w:w="3270" w:type="dxa"/>
            <w:vAlign w:val="center"/>
          </w:tcPr>
          <w:p w14:paraId="044907DF">
            <w:pPr>
              <w:pStyle w:val="34"/>
              <w:rPr>
                <w:sz w:val="18"/>
                <w:szCs w:val="18"/>
              </w:rPr>
            </w:pPr>
            <w:r>
              <w:rPr>
                <w:rFonts w:hint="eastAsia"/>
                <w:sz w:val="18"/>
                <w:szCs w:val="18"/>
              </w:rPr>
              <w:t>吸入该物质可能会引起对健康有害的影响或呼吸道不适。意外食入本品可能对个体健康有害。皮肤直接接触可造成皮肤刺激。通过割伤、擦伤或病变处进入血液，可能产生全身损伤的有害作用。眼睛直接接触本品可导致暂时不适。</w:t>
            </w:r>
          </w:p>
        </w:tc>
        <w:tc>
          <w:tcPr>
            <w:tcW w:w="1440" w:type="dxa"/>
            <w:vAlign w:val="center"/>
          </w:tcPr>
          <w:p w14:paraId="00BFA931">
            <w:pPr>
              <w:pStyle w:val="34"/>
              <w:rPr>
                <w:sz w:val="18"/>
                <w:szCs w:val="18"/>
              </w:rPr>
            </w:pPr>
            <w:r>
              <w:rPr>
                <w:sz w:val="18"/>
                <w:szCs w:val="18"/>
              </w:rPr>
              <w:t>对水生生物有害并具有长期持续影响</w:t>
            </w:r>
          </w:p>
        </w:tc>
        <w:tc>
          <w:tcPr>
            <w:tcW w:w="971" w:type="dxa"/>
            <w:vAlign w:val="center"/>
          </w:tcPr>
          <w:p w14:paraId="53CA7299">
            <w:pPr>
              <w:pStyle w:val="34"/>
              <w:rPr>
                <w:sz w:val="18"/>
                <w:szCs w:val="18"/>
              </w:rPr>
            </w:pPr>
            <w:r>
              <w:rPr>
                <w:rFonts w:hint="eastAsia"/>
                <w:sz w:val="18"/>
                <w:szCs w:val="18"/>
              </w:rPr>
              <w:t>50kg铁桶包装，常温常压运输</w:t>
            </w:r>
          </w:p>
        </w:tc>
      </w:tr>
      <w:tr w14:paraId="79D546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72AFDB3">
            <w:pPr>
              <w:pStyle w:val="34"/>
              <w:numPr>
                <w:ilvl w:val="0"/>
                <w:numId w:val="55"/>
              </w:numPr>
              <w:rPr>
                <w:sz w:val="18"/>
                <w:szCs w:val="18"/>
              </w:rPr>
            </w:pPr>
          </w:p>
        </w:tc>
        <w:tc>
          <w:tcPr>
            <w:tcW w:w="584" w:type="dxa"/>
            <w:vMerge w:val="continue"/>
            <w:vAlign w:val="center"/>
          </w:tcPr>
          <w:p w14:paraId="6753677C">
            <w:pPr>
              <w:pStyle w:val="34"/>
              <w:rPr>
                <w:sz w:val="18"/>
                <w:szCs w:val="18"/>
              </w:rPr>
            </w:pPr>
          </w:p>
        </w:tc>
        <w:tc>
          <w:tcPr>
            <w:tcW w:w="567" w:type="dxa"/>
            <w:vMerge w:val="continue"/>
            <w:vAlign w:val="center"/>
          </w:tcPr>
          <w:p w14:paraId="05B5E760">
            <w:pPr>
              <w:pStyle w:val="34"/>
              <w:rPr>
                <w:sz w:val="18"/>
                <w:szCs w:val="18"/>
              </w:rPr>
            </w:pPr>
          </w:p>
        </w:tc>
        <w:tc>
          <w:tcPr>
            <w:tcW w:w="419" w:type="dxa"/>
            <w:vMerge w:val="continue"/>
            <w:vAlign w:val="center"/>
          </w:tcPr>
          <w:p w14:paraId="2E7A13DC">
            <w:pPr>
              <w:pStyle w:val="34"/>
              <w:rPr>
                <w:sz w:val="18"/>
                <w:szCs w:val="18"/>
              </w:rPr>
            </w:pPr>
          </w:p>
        </w:tc>
        <w:tc>
          <w:tcPr>
            <w:tcW w:w="573" w:type="dxa"/>
            <w:vAlign w:val="center"/>
          </w:tcPr>
          <w:p w14:paraId="1C58AB6D">
            <w:pPr>
              <w:pStyle w:val="34"/>
              <w:rPr>
                <w:sz w:val="18"/>
                <w:szCs w:val="18"/>
              </w:rPr>
            </w:pPr>
            <w:r>
              <w:rPr>
                <w:sz w:val="18"/>
                <w:szCs w:val="18"/>
              </w:rPr>
              <w:t>甲苯</w:t>
            </w:r>
          </w:p>
        </w:tc>
        <w:tc>
          <w:tcPr>
            <w:tcW w:w="3137" w:type="dxa"/>
            <w:gridSpan w:val="2"/>
            <w:vAlign w:val="center"/>
          </w:tcPr>
          <w:p w14:paraId="10B53989">
            <w:pPr>
              <w:pStyle w:val="34"/>
              <w:rPr>
                <w:sz w:val="18"/>
                <w:szCs w:val="18"/>
              </w:rPr>
            </w:pPr>
            <w:r>
              <w:rPr>
                <w:rFonts w:hint="eastAsia"/>
                <w:sz w:val="18"/>
                <w:szCs w:val="18"/>
              </w:rPr>
              <w:t>易燃，其蒸气与空气可形成爆炸性混合物。遇明火、高热能引起燃烧爆炸。与氧化剂能发生强烈反应。流速过快,容易产生和积聚静电。其蒸气比空气重，能在较低处扩散到相当远的地方，遇明火会引着回燃。侵蚀某些塑料制品、橡胶和涂层。不完全烧产生一氧化碳。</w:t>
            </w:r>
          </w:p>
        </w:tc>
        <w:tc>
          <w:tcPr>
            <w:tcW w:w="2840" w:type="dxa"/>
            <w:vAlign w:val="center"/>
          </w:tcPr>
          <w:p w14:paraId="136CF472">
            <w:pPr>
              <w:pStyle w:val="34"/>
              <w:rPr>
                <w:sz w:val="18"/>
                <w:szCs w:val="18"/>
              </w:rPr>
            </w:pPr>
            <w:r>
              <w:rPr>
                <w:rFonts w:hint="eastAsia"/>
                <w:sz w:val="18"/>
                <w:szCs w:val="18"/>
              </w:rPr>
              <w:t>急性毒性:人经口LDLo:50 mg/kg；吸入LCLo:10000ppm/6H</w:t>
            </w:r>
          </w:p>
          <w:p w14:paraId="55EA6B51">
            <w:pPr>
              <w:pStyle w:val="34"/>
              <w:rPr>
                <w:sz w:val="18"/>
                <w:szCs w:val="18"/>
              </w:rPr>
            </w:pPr>
            <w:r>
              <w:rPr>
                <w:rFonts w:hint="eastAsia"/>
                <w:sz w:val="18"/>
                <w:szCs w:val="18"/>
              </w:rPr>
              <w:t>LD50:4300 mg/kg（大鼠经口）； LC50:5000 ppm/4小时（大鼠吸入）。LDLo:6 gm/kg(小鼠经口)。LD50:&gt;1700 mg/kg（免经皮）。</w:t>
            </w:r>
          </w:p>
        </w:tc>
        <w:tc>
          <w:tcPr>
            <w:tcW w:w="3270" w:type="dxa"/>
            <w:vAlign w:val="center"/>
          </w:tcPr>
          <w:p w14:paraId="1D23DB38">
            <w:pPr>
              <w:pStyle w:val="34"/>
              <w:rPr>
                <w:sz w:val="18"/>
                <w:szCs w:val="18"/>
              </w:rPr>
            </w:pPr>
            <w:r>
              <w:rPr>
                <w:rFonts w:hint="eastAsia"/>
                <w:sz w:val="18"/>
                <w:szCs w:val="18"/>
              </w:rPr>
              <w:t>对皮肤粘膜的刺激作用较甲苯为强,高浓度时对中枢神经系统有麻醉作用。工业品中常含有苯、甲苯等杂质,可同时出现杂质的毒作用。吸收后分布在脂肪组织和肾上腺中为多。大部分在肝内氧化,主要生成甲基苯甲酸,主要与甘氨酸结合成为甲基马尿酸,少部分与葡萄糖醛酸或硫酸结合后随尿排出。引起人眼刺激的浓度为200ppm。</w:t>
            </w:r>
          </w:p>
        </w:tc>
        <w:tc>
          <w:tcPr>
            <w:tcW w:w="1440" w:type="dxa"/>
            <w:vAlign w:val="center"/>
          </w:tcPr>
          <w:p w14:paraId="039DB031">
            <w:pPr>
              <w:pStyle w:val="34"/>
              <w:rPr>
                <w:sz w:val="18"/>
                <w:szCs w:val="18"/>
              </w:rPr>
            </w:pPr>
            <w:r>
              <w:rPr>
                <w:sz w:val="18"/>
                <w:szCs w:val="18"/>
              </w:rPr>
              <w:t>可被微生物降解，对鱼类和哺乳动物有特殊伤害。</w:t>
            </w:r>
          </w:p>
        </w:tc>
        <w:tc>
          <w:tcPr>
            <w:tcW w:w="971" w:type="dxa"/>
            <w:vAlign w:val="center"/>
          </w:tcPr>
          <w:p w14:paraId="537CE7CB">
            <w:pPr>
              <w:pStyle w:val="34"/>
              <w:rPr>
                <w:sz w:val="18"/>
                <w:szCs w:val="18"/>
              </w:rPr>
            </w:pPr>
            <w:r>
              <w:rPr>
                <w:rFonts w:hint="eastAsia"/>
                <w:sz w:val="18"/>
                <w:szCs w:val="18"/>
              </w:rPr>
              <w:t>200L铁桶包装，常温常压包装</w:t>
            </w:r>
          </w:p>
        </w:tc>
      </w:tr>
      <w:tr w14:paraId="287AB4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5EEB70D">
            <w:pPr>
              <w:pStyle w:val="34"/>
              <w:numPr>
                <w:ilvl w:val="0"/>
                <w:numId w:val="55"/>
              </w:numPr>
              <w:rPr>
                <w:sz w:val="18"/>
                <w:szCs w:val="18"/>
              </w:rPr>
            </w:pPr>
          </w:p>
        </w:tc>
        <w:tc>
          <w:tcPr>
            <w:tcW w:w="584" w:type="dxa"/>
            <w:vMerge w:val="continue"/>
            <w:vAlign w:val="center"/>
          </w:tcPr>
          <w:p w14:paraId="31F12758">
            <w:pPr>
              <w:pStyle w:val="34"/>
              <w:rPr>
                <w:sz w:val="18"/>
                <w:szCs w:val="18"/>
              </w:rPr>
            </w:pPr>
          </w:p>
        </w:tc>
        <w:tc>
          <w:tcPr>
            <w:tcW w:w="567" w:type="dxa"/>
            <w:vMerge w:val="continue"/>
            <w:vAlign w:val="center"/>
          </w:tcPr>
          <w:p w14:paraId="0B7F2899">
            <w:pPr>
              <w:pStyle w:val="34"/>
              <w:rPr>
                <w:sz w:val="18"/>
                <w:szCs w:val="18"/>
              </w:rPr>
            </w:pPr>
          </w:p>
        </w:tc>
        <w:tc>
          <w:tcPr>
            <w:tcW w:w="419" w:type="dxa"/>
            <w:vMerge w:val="continue"/>
            <w:vAlign w:val="center"/>
          </w:tcPr>
          <w:p w14:paraId="28452FF4">
            <w:pPr>
              <w:pStyle w:val="34"/>
              <w:rPr>
                <w:sz w:val="18"/>
                <w:szCs w:val="18"/>
              </w:rPr>
            </w:pPr>
          </w:p>
        </w:tc>
        <w:tc>
          <w:tcPr>
            <w:tcW w:w="573" w:type="dxa"/>
            <w:vAlign w:val="center"/>
          </w:tcPr>
          <w:p w14:paraId="014D6A3A">
            <w:pPr>
              <w:pStyle w:val="34"/>
              <w:rPr>
                <w:sz w:val="18"/>
                <w:szCs w:val="18"/>
              </w:rPr>
            </w:pPr>
            <w:r>
              <w:rPr>
                <w:sz w:val="18"/>
                <w:szCs w:val="18"/>
              </w:rPr>
              <w:t>松节油</w:t>
            </w:r>
          </w:p>
        </w:tc>
        <w:tc>
          <w:tcPr>
            <w:tcW w:w="3137" w:type="dxa"/>
            <w:gridSpan w:val="2"/>
            <w:vAlign w:val="center"/>
          </w:tcPr>
          <w:p w14:paraId="11F0EA98">
            <w:pPr>
              <w:pStyle w:val="34"/>
              <w:rPr>
                <w:sz w:val="18"/>
                <w:szCs w:val="18"/>
              </w:rPr>
            </w:pPr>
            <w:r>
              <w:rPr>
                <w:sz w:val="18"/>
                <w:szCs w:val="18"/>
              </w:rPr>
              <w:t>其蒸气与空气形成爆炸性混合物，遇明火、高热能引起燃烧爆炸。与氧化剂能发生强烈反应。若遇高热，容器内压增大，有开裂和爆炸的危险。</w:t>
            </w:r>
          </w:p>
        </w:tc>
        <w:tc>
          <w:tcPr>
            <w:tcW w:w="2840" w:type="dxa"/>
            <w:vAlign w:val="center"/>
          </w:tcPr>
          <w:p w14:paraId="6264938C">
            <w:pPr>
              <w:pStyle w:val="34"/>
              <w:rPr>
                <w:sz w:val="18"/>
                <w:szCs w:val="18"/>
              </w:rPr>
            </w:pPr>
            <w:r>
              <w:rPr>
                <w:sz w:val="18"/>
                <w:szCs w:val="18"/>
              </w:rPr>
              <w:t>LD50：5760mg</w:t>
            </w:r>
            <w:r>
              <w:rPr>
                <w:rFonts w:hint="eastAsia"/>
                <w:sz w:val="18"/>
                <w:szCs w:val="18"/>
              </w:rPr>
              <w:t>/</w:t>
            </w:r>
            <w:r>
              <w:rPr>
                <w:sz w:val="18"/>
                <w:szCs w:val="18"/>
              </w:rPr>
              <w:t>kg(大鼠经口)</w:t>
            </w:r>
          </w:p>
          <w:p w14:paraId="477D4E65">
            <w:pPr>
              <w:pStyle w:val="34"/>
              <w:rPr>
                <w:sz w:val="18"/>
                <w:szCs w:val="18"/>
              </w:rPr>
            </w:pPr>
            <w:r>
              <w:rPr>
                <w:sz w:val="18"/>
                <w:szCs w:val="18"/>
              </w:rPr>
              <w:t>LC50：12000mg</w:t>
            </w:r>
            <w:r>
              <w:rPr>
                <w:rFonts w:hint="eastAsia"/>
                <w:sz w:val="18"/>
                <w:szCs w:val="18"/>
              </w:rPr>
              <w:t>/</w:t>
            </w:r>
            <w:r>
              <w:rPr>
                <w:sz w:val="18"/>
                <w:szCs w:val="18"/>
              </w:rPr>
              <w:t>m</w:t>
            </w:r>
            <w:r>
              <w:rPr>
                <w:sz w:val="18"/>
                <w:szCs w:val="18"/>
                <w:vertAlign w:val="superscript"/>
              </w:rPr>
              <w:t>3</w:t>
            </w:r>
            <w:r>
              <w:rPr>
                <w:sz w:val="18"/>
                <w:szCs w:val="18"/>
              </w:rPr>
              <w:t xml:space="preserve"> 6小时(大鼠吸入)；29000mg</w:t>
            </w:r>
            <w:r>
              <w:rPr>
                <w:rFonts w:hint="eastAsia"/>
                <w:sz w:val="18"/>
                <w:szCs w:val="18"/>
              </w:rPr>
              <w:t>/</w:t>
            </w:r>
            <w:r>
              <w:rPr>
                <w:sz w:val="18"/>
                <w:szCs w:val="18"/>
              </w:rPr>
              <w:t>m</w:t>
            </w:r>
            <w:r>
              <w:rPr>
                <w:sz w:val="18"/>
                <w:szCs w:val="18"/>
                <w:vertAlign w:val="superscript"/>
              </w:rPr>
              <w:t>3</w:t>
            </w:r>
            <w:r>
              <w:rPr>
                <w:sz w:val="18"/>
                <w:szCs w:val="18"/>
              </w:rPr>
              <w:t xml:space="preserve"> 2小时(小鼠吸入)</w:t>
            </w:r>
          </w:p>
        </w:tc>
        <w:tc>
          <w:tcPr>
            <w:tcW w:w="3270" w:type="dxa"/>
            <w:vAlign w:val="center"/>
          </w:tcPr>
          <w:p w14:paraId="2D354379">
            <w:pPr>
              <w:pStyle w:val="34"/>
              <w:rPr>
                <w:sz w:val="18"/>
                <w:szCs w:val="18"/>
              </w:rPr>
            </w:pPr>
            <w:r>
              <w:rPr>
                <w:sz w:val="18"/>
                <w:szCs w:val="18"/>
              </w:rPr>
              <w:t>对皮肤粘膜有刺激作用，对中枢神经有一定的麻醉作用及膀胱刺激作用。</w:t>
            </w:r>
          </w:p>
          <w:p w14:paraId="6F6A3712">
            <w:pPr>
              <w:pStyle w:val="34"/>
              <w:rPr>
                <w:sz w:val="18"/>
                <w:szCs w:val="18"/>
              </w:rPr>
            </w:pPr>
            <w:r>
              <w:rPr>
                <w:sz w:val="18"/>
                <w:szCs w:val="18"/>
              </w:rPr>
              <w:t>急性中毒：引起眼及上呼吸道粘膜</w:t>
            </w:r>
            <w:r>
              <w:rPr>
                <w:rFonts w:hint="eastAsia"/>
                <w:sz w:val="18"/>
                <w:szCs w:val="18"/>
                <w:lang w:eastAsia="zh-CN"/>
              </w:rPr>
              <w:t>刺激征</w:t>
            </w:r>
            <w:r>
              <w:rPr>
                <w:sz w:val="18"/>
                <w:szCs w:val="18"/>
              </w:rPr>
              <w:t>状：流泪、咳嗽等；高浓度蒸气可引起麻醉作用，出现平衡失调及四肢痉挛性抽搐、流涎、头痛、眩晕，可引起膀胱炎，有时有肾损害。</w:t>
            </w:r>
          </w:p>
          <w:p w14:paraId="58CF9DA1">
            <w:pPr>
              <w:pStyle w:val="34"/>
              <w:rPr>
                <w:sz w:val="18"/>
                <w:szCs w:val="18"/>
              </w:rPr>
            </w:pPr>
            <w:r>
              <w:rPr>
                <w:sz w:val="18"/>
                <w:szCs w:val="18"/>
              </w:rPr>
              <w:t>慢性影响：长期接触可发生呼吸道</w:t>
            </w:r>
            <w:r>
              <w:rPr>
                <w:rFonts w:hint="eastAsia"/>
                <w:sz w:val="18"/>
                <w:szCs w:val="18"/>
                <w:lang w:eastAsia="zh-CN"/>
              </w:rPr>
              <w:t>刺激征</w:t>
            </w:r>
            <w:r>
              <w:rPr>
                <w:sz w:val="18"/>
                <w:szCs w:val="18"/>
              </w:rPr>
              <w:t>状及乏力、嗜睡、头痛、眩晕、食欲减退等。对皮肤既是原发性刺激物，引起脱脂、干燥、发红等，又可引起过敏性皮炎。  </w:t>
            </w:r>
          </w:p>
        </w:tc>
        <w:tc>
          <w:tcPr>
            <w:tcW w:w="1440" w:type="dxa"/>
            <w:vAlign w:val="center"/>
          </w:tcPr>
          <w:p w14:paraId="2FDF1F80">
            <w:pPr>
              <w:pStyle w:val="34"/>
              <w:rPr>
                <w:sz w:val="18"/>
                <w:szCs w:val="18"/>
              </w:rPr>
            </w:pPr>
            <w:r>
              <w:rPr>
                <w:sz w:val="18"/>
                <w:szCs w:val="18"/>
              </w:rPr>
              <w:t>油类物质，泄漏会形成油膜阻隔空气中的氧进入水体导致水生生物缺氧；粘附在水生植物根系上会影响植物的蒸腾、呼吸和光合作用，粘附在水生动物器官上会影响呼吸作用造成窒息。</w:t>
            </w:r>
          </w:p>
        </w:tc>
        <w:tc>
          <w:tcPr>
            <w:tcW w:w="971" w:type="dxa"/>
            <w:vAlign w:val="center"/>
          </w:tcPr>
          <w:p w14:paraId="1DC84E90">
            <w:pPr>
              <w:pStyle w:val="34"/>
              <w:rPr>
                <w:sz w:val="18"/>
                <w:szCs w:val="18"/>
              </w:rPr>
            </w:pPr>
            <w:r>
              <w:rPr>
                <w:rFonts w:hint="eastAsia"/>
                <w:sz w:val="18"/>
                <w:szCs w:val="18"/>
              </w:rPr>
              <w:t>175kg聚乙烯桶包装，常温常压运输</w:t>
            </w:r>
          </w:p>
        </w:tc>
      </w:tr>
      <w:tr w14:paraId="5F865D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673B87C">
            <w:pPr>
              <w:pStyle w:val="34"/>
              <w:numPr>
                <w:ilvl w:val="0"/>
                <w:numId w:val="55"/>
              </w:numPr>
              <w:rPr>
                <w:sz w:val="18"/>
                <w:szCs w:val="18"/>
              </w:rPr>
            </w:pPr>
          </w:p>
        </w:tc>
        <w:tc>
          <w:tcPr>
            <w:tcW w:w="584" w:type="dxa"/>
            <w:vMerge w:val="continue"/>
            <w:vAlign w:val="center"/>
          </w:tcPr>
          <w:p w14:paraId="20792505">
            <w:pPr>
              <w:pStyle w:val="34"/>
              <w:rPr>
                <w:sz w:val="18"/>
                <w:szCs w:val="18"/>
              </w:rPr>
            </w:pPr>
          </w:p>
        </w:tc>
        <w:tc>
          <w:tcPr>
            <w:tcW w:w="567" w:type="dxa"/>
            <w:vMerge w:val="continue"/>
            <w:vAlign w:val="center"/>
          </w:tcPr>
          <w:p w14:paraId="628DFE97">
            <w:pPr>
              <w:pStyle w:val="34"/>
              <w:rPr>
                <w:sz w:val="18"/>
                <w:szCs w:val="18"/>
              </w:rPr>
            </w:pPr>
          </w:p>
        </w:tc>
        <w:tc>
          <w:tcPr>
            <w:tcW w:w="419" w:type="dxa"/>
            <w:vMerge w:val="continue"/>
            <w:vAlign w:val="center"/>
          </w:tcPr>
          <w:p w14:paraId="7C6CD585">
            <w:pPr>
              <w:pStyle w:val="34"/>
              <w:rPr>
                <w:sz w:val="18"/>
                <w:szCs w:val="18"/>
              </w:rPr>
            </w:pPr>
          </w:p>
        </w:tc>
        <w:tc>
          <w:tcPr>
            <w:tcW w:w="573" w:type="dxa"/>
            <w:vAlign w:val="center"/>
          </w:tcPr>
          <w:p w14:paraId="76485A61">
            <w:pPr>
              <w:pStyle w:val="34"/>
              <w:rPr>
                <w:sz w:val="18"/>
                <w:szCs w:val="18"/>
              </w:rPr>
            </w:pPr>
            <w:r>
              <w:rPr>
                <w:sz w:val="18"/>
                <w:szCs w:val="18"/>
              </w:rPr>
              <w:t>煤焦油</w:t>
            </w:r>
          </w:p>
        </w:tc>
        <w:tc>
          <w:tcPr>
            <w:tcW w:w="3137" w:type="dxa"/>
            <w:gridSpan w:val="2"/>
            <w:vAlign w:val="center"/>
          </w:tcPr>
          <w:p w14:paraId="50C0403C">
            <w:pPr>
              <w:pStyle w:val="34"/>
              <w:rPr>
                <w:sz w:val="18"/>
                <w:szCs w:val="18"/>
              </w:rPr>
            </w:pPr>
            <w:r>
              <w:rPr>
                <w:sz w:val="18"/>
                <w:szCs w:val="18"/>
              </w:rPr>
              <w:t>遇明火、高热易燃。与强氧化剂发生反应，可引起燃烧。有腐蚀性。</w:t>
            </w:r>
          </w:p>
        </w:tc>
        <w:tc>
          <w:tcPr>
            <w:tcW w:w="2840" w:type="dxa"/>
            <w:vAlign w:val="center"/>
          </w:tcPr>
          <w:p w14:paraId="7A6D2784">
            <w:pPr>
              <w:pStyle w:val="34"/>
              <w:rPr>
                <w:sz w:val="18"/>
                <w:szCs w:val="18"/>
              </w:rPr>
            </w:pPr>
            <w:r>
              <w:rPr>
                <w:sz w:val="18"/>
                <w:szCs w:val="18"/>
              </w:rPr>
              <w:t>/</w:t>
            </w:r>
          </w:p>
        </w:tc>
        <w:tc>
          <w:tcPr>
            <w:tcW w:w="3270" w:type="dxa"/>
            <w:vAlign w:val="center"/>
          </w:tcPr>
          <w:p w14:paraId="4891FE78">
            <w:pPr>
              <w:pStyle w:val="34"/>
              <w:rPr>
                <w:sz w:val="18"/>
                <w:szCs w:val="18"/>
              </w:rPr>
            </w:pPr>
            <w:r>
              <w:rPr>
                <w:sz w:val="18"/>
                <w:szCs w:val="18"/>
              </w:rPr>
              <w:t>作用于皮肤，引起皮炎、痤疮、毛囊炎、光毒性皮炎、中毒性黑皮病、疣赘及肿瘤。可引起鼻中隔损伤。国际癌症研究中心(IARC)已确认为致癌物。</w:t>
            </w:r>
          </w:p>
        </w:tc>
        <w:tc>
          <w:tcPr>
            <w:tcW w:w="1440" w:type="dxa"/>
            <w:vAlign w:val="center"/>
          </w:tcPr>
          <w:p w14:paraId="23DC23D4">
            <w:pPr>
              <w:pStyle w:val="34"/>
              <w:rPr>
                <w:sz w:val="18"/>
                <w:szCs w:val="18"/>
              </w:rPr>
            </w:pPr>
            <w:r>
              <w:rPr>
                <w:sz w:val="18"/>
                <w:szCs w:val="18"/>
              </w:rPr>
              <w:t>微溶，密度较大，泄漏后下沉，影响范围较小。</w:t>
            </w:r>
          </w:p>
        </w:tc>
        <w:tc>
          <w:tcPr>
            <w:tcW w:w="971" w:type="dxa"/>
            <w:vAlign w:val="center"/>
          </w:tcPr>
          <w:p w14:paraId="4F573483">
            <w:pPr>
              <w:pStyle w:val="34"/>
              <w:rPr>
                <w:sz w:val="18"/>
                <w:szCs w:val="18"/>
              </w:rPr>
            </w:pPr>
            <w:r>
              <w:rPr>
                <w:rFonts w:hint="eastAsia"/>
                <w:sz w:val="18"/>
                <w:szCs w:val="18"/>
              </w:rPr>
              <w:t>25L铁桶或聚乙烯桶包装，常温常压运输</w:t>
            </w:r>
          </w:p>
        </w:tc>
      </w:tr>
      <w:tr w14:paraId="363C4E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40C8937A">
            <w:pPr>
              <w:pStyle w:val="34"/>
              <w:numPr>
                <w:ilvl w:val="0"/>
                <w:numId w:val="55"/>
              </w:numPr>
              <w:rPr>
                <w:sz w:val="18"/>
                <w:szCs w:val="18"/>
              </w:rPr>
            </w:pPr>
          </w:p>
        </w:tc>
        <w:tc>
          <w:tcPr>
            <w:tcW w:w="584" w:type="dxa"/>
            <w:vMerge w:val="continue"/>
            <w:vAlign w:val="center"/>
          </w:tcPr>
          <w:p w14:paraId="69CE96A5">
            <w:pPr>
              <w:pStyle w:val="34"/>
              <w:rPr>
                <w:sz w:val="18"/>
                <w:szCs w:val="18"/>
              </w:rPr>
            </w:pPr>
          </w:p>
        </w:tc>
        <w:tc>
          <w:tcPr>
            <w:tcW w:w="567" w:type="dxa"/>
            <w:vMerge w:val="continue"/>
            <w:vAlign w:val="center"/>
          </w:tcPr>
          <w:p w14:paraId="3576244A">
            <w:pPr>
              <w:pStyle w:val="34"/>
              <w:rPr>
                <w:sz w:val="18"/>
                <w:szCs w:val="18"/>
              </w:rPr>
            </w:pPr>
          </w:p>
        </w:tc>
        <w:tc>
          <w:tcPr>
            <w:tcW w:w="419" w:type="dxa"/>
            <w:vMerge w:val="continue"/>
            <w:vAlign w:val="center"/>
          </w:tcPr>
          <w:p w14:paraId="105AF763">
            <w:pPr>
              <w:pStyle w:val="34"/>
              <w:rPr>
                <w:sz w:val="18"/>
                <w:szCs w:val="18"/>
              </w:rPr>
            </w:pPr>
          </w:p>
        </w:tc>
        <w:tc>
          <w:tcPr>
            <w:tcW w:w="573" w:type="dxa"/>
            <w:vAlign w:val="center"/>
          </w:tcPr>
          <w:p w14:paraId="0CD155E7">
            <w:pPr>
              <w:pStyle w:val="34"/>
              <w:rPr>
                <w:sz w:val="18"/>
                <w:szCs w:val="18"/>
              </w:rPr>
            </w:pPr>
            <w:r>
              <w:rPr>
                <w:rFonts w:hint="eastAsia"/>
                <w:sz w:val="18"/>
                <w:szCs w:val="18"/>
              </w:rPr>
              <w:t>油类物质</w:t>
            </w:r>
          </w:p>
        </w:tc>
        <w:tc>
          <w:tcPr>
            <w:tcW w:w="3137" w:type="dxa"/>
            <w:gridSpan w:val="2"/>
            <w:vAlign w:val="center"/>
          </w:tcPr>
          <w:p w14:paraId="55D93697">
            <w:pPr>
              <w:pStyle w:val="34"/>
              <w:rPr>
                <w:sz w:val="18"/>
                <w:szCs w:val="18"/>
              </w:rPr>
            </w:pPr>
            <w:r>
              <w:rPr>
                <w:sz w:val="18"/>
                <w:szCs w:val="18"/>
              </w:rPr>
              <w:t>其蒸气与空气可形成爆炸性混合物。遇明火、高热</w:t>
            </w:r>
            <w:r>
              <w:rPr>
                <w:rFonts w:hint="eastAsia"/>
                <w:sz w:val="18"/>
                <w:szCs w:val="18"/>
              </w:rPr>
              <w:t>极易</w:t>
            </w:r>
            <w:r>
              <w:rPr>
                <w:sz w:val="18"/>
                <w:szCs w:val="18"/>
              </w:rPr>
              <w:t>引起燃烧爆炸。与氧化剂能发生强烈反应。其蒸气比空气重，能在较低处扩散到相当远的地方。</w:t>
            </w:r>
          </w:p>
          <w:p w14:paraId="09101720">
            <w:pPr>
              <w:pStyle w:val="34"/>
              <w:rPr>
                <w:sz w:val="18"/>
                <w:szCs w:val="18"/>
              </w:rPr>
            </w:pPr>
            <w:r>
              <w:rPr>
                <w:rFonts w:hint="eastAsia"/>
                <w:sz w:val="18"/>
                <w:szCs w:val="18"/>
              </w:rPr>
              <w:t>燃烧产物：CO、CO</w:t>
            </w:r>
            <w:r>
              <w:rPr>
                <w:rFonts w:hint="eastAsia"/>
                <w:sz w:val="18"/>
                <w:szCs w:val="18"/>
                <w:vertAlign w:val="subscript"/>
              </w:rPr>
              <w:t>2</w:t>
            </w:r>
            <w:r>
              <w:rPr>
                <w:rFonts w:hint="eastAsia"/>
                <w:sz w:val="18"/>
                <w:szCs w:val="18"/>
              </w:rPr>
              <w:t>、H</w:t>
            </w:r>
            <w:r>
              <w:rPr>
                <w:rFonts w:hint="eastAsia"/>
                <w:sz w:val="18"/>
                <w:szCs w:val="18"/>
                <w:vertAlign w:val="subscript"/>
              </w:rPr>
              <w:t>2</w:t>
            </w:r>
            <w:r>
              <w:rPr>
                <w:rFonts w:hint="eastAsia"/>
                <w:sz w:val="18"/>
                <w:szCs w:val="18"/>
              </w:rPr>
              <w:t>O</w:t>
            </w:r>
          </w:p>
        </w:tc>
        <w:tc>
          <w:tcPr>
            <w:tcW w:w="2840" w:type="dxa"/>
            <w:vAlign w:val="center"/>
          </w:tcPr>
          <w:p w14:paraId="4953D90D">
            <w:pPr>
              <w:pStyle w:val="34"/>
              <w:rPr>
                <w:sz w:val="18"/>
                <w:szCs w:val="18"/>
              </w:rPr>
            </w:pPr>
            <w:r>
              <w:rPr>
                <w:sz w:val="18"/>
                <w:szCs w:val="18"/>
              </w:rPr>
              <w:t>LD50：</w:t>
            </w:r>
            <w:r>
              <w:rPr>
                <w:rFonts w:hint="eastAsia"/>
                <w:sz w:val="18"/>
                <w:szCs w:val="18"/>
              </w:rPr>
              <w:t>6700</w:t>
            </w:r>
            <w:r>
              <w:rPr>
                <w:sz w:val="18"/>
                <w:szCs w:val="18"/>
              </w:rPr>
              <w:t>mg</w:t>
            </w:r>
            <w:r>
              <w:rPr>
                <w:rFonts w:hint="eastAsia"/>
                <w:sz w:val="18"/>
                <w:szCs w:val="18"/>
              </w:rPr>
              <w:t>/</w:t>
            </w:r>
            <w:r>
              <w:rPr>
                <w:sz w:val="18"/>
                <w:szCs w:val="18"/>
              </w:rPr>
              <w:t>kg(</w:t>
            </w:r>
            <w:r>
              <w:rPr>
                <w:rFonts w:hint="eastAsia"/>
                <w:sz w:val="18"/>
                <w:szCs w:val="18"/>
              </w:rPr>
              <w:t>小鼠</w:t>
            </w:r>
            <w:r>
              <w:rPr>
                <w:sz w:val="18"/>
                <w:szCs w:val="18"/>
              </w:rPr>
              <w:t>经口)</w:t>
            </w:r>
          </w:p>
          <w:p w14:paraId="30BAAAEE">
            <w:pPr>
              <w:pStyle w:val="34"/>
              <w:rPr>
                <w:sz w:val="18"/>
                <w:szCs w:val="18"/>
              </w:rPr>
            </w:pPr>
            <w:r>
              <w:rPr>
                <w:sz w:val="18"/>
                <w:szCs w:val="18"/>
              </w:rPr>
              <w:t>LC50：</w:t>
            </w:r>
            <w:r>
              <w:rPr>
                <w:rFonts w:hint="eastAsia"/>
                <w:sz w:val="18"/>
                <w:szCs w:val="18"/>
              </w:rPr>
              <w:t>103000</w:t>
            </w:r>
            <w:r>
              <w:rPr>
                <w:sz w:val="18"/>
                <w:szCs w:val="18"/>
              </w:rPr>
              <w:t>mg</w:t>
            </w:r>
            <w:r>
              <w:rPr>
                <w:rFonts w:hint="eastAsia"/>
                <w:sz w:val="18"/>
                <w:szCs w:val="18"/>
              </w:rPr>
              <w:t>/</w:t>
            </w:r>
            <w:r>
              <w:rPr>
                <w:sz w:val="18"/>
                <w:szCs w:val="18"/>
              </w:rPr>
              <w:t>m</w:t>
            </w:r>
            <w:r>
              <w:rPr>
                <w:sz w:val="18"/>
                <w:szCs w:val="18"/>
                <w:vertAlign w:val="superscript"/>
              </w:rPr>
              <w:t>3</w:t>
            </w:r>
            <w:r>
              <w:rPr>
                <w:sz w:val="18"/>
                <w:szCs w:val="18"/>
              </w:rPr>
              <w:t xml:space="preserve"> 2小时(小鼠吸入)</w:t>
            </w:r>
          </w:p>
        </w:tc>
        <w:tc>
          <w:tcPr>
            <w:tcW w:w="3270" w:type="dxa"/>
            <w:vAlign w:val="center"/>
          </w:tcPr>
          <w:p w14:paraId="043C32D3">
            <w:pPr>
              <w:pStyle w:val="34"/>
              <w:rPr>
                <w:sz w:val="18"/>
                <w:szCs w:val="18"/>
              </w:rPr>
            </w:pPr>
            <w:r>
              <w:rPr>
                <w:sz w:val="18"/>
                <w:szCs w:val="18"/>
              </w:rPr>
              <w:t>皮肤接触可为主要吸收途径，可致急性肾脏损害。柴油可引起接触性皮炎、油性痤疮。吸入其雾滴或液体呛入可引起吸入性肺炎。</w:t>
            </w:r>
          </w:p>
        </w:tc>
        <w:tc>
          <w:tcPr>
            <w:tcW w:w="1440" w:type="dxa"/>
            <w:vAlign w:val="center"/>
          </w:tcPr>
          <w:p w14:paraId="14766B46">
            <w:pPr>
              <w:pStyle w:val="34"/>
              <w:rPr>
                <w:sz w:val="18"/>
                <w:szCs w:val="18"/>
              </w:rPr>
            </w:pPr>
            <w:r>
              <w:rPr>
                <w:sz w:val="18"/>
                <w:szCs w:val="18"/>
              </w:rPr>
              <w:t>油类物质，泄漏会形成油膜阻隔空气中的氧进入水体导致水生生物缺氧；粘附在水生植物根系上会影响植物的蒸腾、呼吸和光合作用，粘附在水生动物器官上会影响呼吸作用造成窒息。</w:t>
            </w:r>
          </w:p>
        </w:tc>
        <w:tc>
          <w:tcPr>
            <w:tcW w:w="971" w:type="dxa"/>
            <w:vAlign w:val="center"/>
          </w:tcPr>
          <w:p w14:paraId="1DFE0CC3">
            <w:pPr>
              <w:pStyle w:val="34"/>
              <w:rPr>
                <w:sz w:val="18"/>
                <w:szCs w:val="18"/>
              </w:rPr>
            </w:pPr>
            <w:r>
              <w:rPr>
                <w:rFonts w:hint="eastAsia"/>
                <w:sz w:val="18"/>
                <w:szCs w:val="18"/>
              </w:rPr>
              <w:t>包装规格灵活， 常温常压运输</w:t>
            </w:r>
          </w:p>
        </w:tc>
      </w:tr>
      <w:tr w14:paraId="4729DF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4297F29F">
            <w:pPr>
              <w:pStyle w:val="34"/>
              <w:numPr>
                <w:ilvl w:val="0"/>
                <w:numId w:val="55"/>
              </w:numPr>
              <w:rPr>
                <w:sz w:val="18"/>
                <w:szCs w:val="18"/>
              </w:rPr>
            </w:pPr>
          </w:p>
        </w:tc>
        <w:tc>
          <w:tcPr>
            <w:tcW w:w="584" w:type="dxa"/>
            <w:vMerge w:val="continue"/>
            <w:vAlign w:val="center"/>
          </w:tcPr>
          <w:p w14:paraId="5A43A29D">
            <w:pPr>
              <w:pStyle w:val="34"/>
              <w:rPr>
                <w:sz w:val="18"/>
                <w:szCs w:val="18"/>
              </w:rPr>
            </w:pPr>
          </w:p>
        </w:tc>
        <w:tc>
          <w:tcPr>
            <w:tcW w:w="567" w:type="dxa"/>
            <w:vMerge w:val="continue"/>
            <w:vAlign w:val="center"/>
          </w:tcPr>
          <w:p w14:paraId="6FC24D9B">
            <w:pPr>
              <w:pStyle w:val="34"/>
              <w:rPr>
                <w:sz w:val="18"/>
                <w:szCs w:val="18"/>
              </w:rPr>
            </w:pPr>
          </w:p>
        </w:tc>
        <w:tc>
          <w:tcPr>
            <w:tcW w:w="419" w:type="dxa"/>
            <w:vMerge w:val="continue"/>
            <w:vAlign w:val="center"/>
          </w:tcPr>
          <w:p w14:paraId="0C2814B8">
            <w:pPr>
              <w:pStyle w:val="34"/>
              <w:rPr>
                <w:sz w:val="18"/>
                <w:szCs w:val="18"/>
              </w:rPr>
            </w:pPr>
          </w:p>
        </w:tc>
        <w:tc>
          <w:tcPr>
            <w:tcW w:w="573" w:type="dxa"/>
            <w:vAlign w:val="center"/>
          </w:tcPr>
          <w:p w14:paraId="78AF8F69">
            <w:pPr>
              <w:pStyle w:val="34"/>
              <w:rPr>
                <w:sz w:val="18"/>
                <w:szCs w:val="18"/>
              </w:rPr>
            </w:pPr>
            <w:r>
              <w:rPr>
                <w:sz w:val="18"/>
                <w:szCs w:val="18"/>
              </w:rPr>
              <w:t>己二腈</w:t>
            </w:r>
          </w:p>
        </w:tc>
        <w:tc>
          <w:tcPr>
            <w:tcW w:w="3137" w:type="dxa"/>
            <w:gridSpan w:val="2"/>
            <w:vAlign w:val="center"/>
          </w:tcPr>
          <w:p w14:paraId="021DB4AC">
            <w:pPr>
              <w:pStyle w:val="34"/>
              <w:rPr>
                <w:sz w:val="18"/>
                <w:szCs w:val="18"/>
              </w:rPr>
            </w:pPr>
            <w:r>
              <w:rPr>
                <w:rFonts w:hint="eastAsia"/>
                <w:sz w:val="18"/>
                <w:szCs w:val="18"/>
              </w:rPr>
              <w:t>遇明火能燃烧。遇高热分解释出剧毒的气体。与氧化剂可发生反应。</w:t>
            </w:r>
          </w:p>
        </w:tc>
        <w:tc>
          <w:tcPr>
            <w:tcW w:w="2840" w:type="dxa"/>
            <w:vAlign w:val="center"/>
          </w:tcPr>
          <w:p w14:paraId="48A8D1F9">
            <w:pPr>
              <w:pStyle w:val="34"/>
              <w:rPr>
                <w:sz w:val="18"/>
                <w:szCs w:val="18"/>
              </w:rPr>
            </w:pPr>
            <w:r>
              <w:rPr>
                <w:rFonts w:hint="eastAsia"/>
                <w:sz w:val="18"/>
                <w:szCs w:val="18"/>
              </w:rPr>
              <w:t>LD50:9200mg/kg(大鼠经口)；</w:t>
            </w:r>
          </w:p>
        </w:tc>
        <w:tc>
          <w:tcPr>
            <w:tcW w:w="3270" w:type="dxa"/>
            <w:vAlign w:val="center"/>
          </w:tcPr>
          <w:p w14:paraId="0F8C0CBD">
            <w:pPr>
              <w:pStyle w:val="34"/>
              <w:rPr>
                <w:sz w:val="18"/>
                <w:szCs w:val="18"/>
              </w:rPr>
            </w:pPr>
            <w:r>
              <w:rPr>
                <w:rFonts w:hint="eastAsia"/>
                <w:sz w:val="18"/>
                <w:szCs w:val="18"/>
              </w:rPr>
              <w:t>吸入该物质可能会引起对健康有害的影响或呼吸道不适。意外食入本品可能引起毒害作用。意外食入本品可能对个体健康有害。皮肤接触会中毒，吸收后可导致全身发生反应。通过割伤、擦伤或病变处进入血液，可能产生全身损伤的有害作用。本品对眼睛有轻微刺激。眼睛直接接触本品可导致暂时不适。</w:t>
            </w:r>
          </w:p>
        </w:tc>
        <w:tc>
          <w:tcPr>
            <w:tcW w:w="1440" w:type="dxa"/>
            <w:vAlign w:val="center"/>
          </w:tcPr>
          <w:p w14:paraId="0AD15986">
            <w:pPr>
              <w:pStyle w:val="34"/>
              <w:rPr>
                <w:sz w:val="18"/>
                <w:szCs w:val="18"/>
              </w:rPr>
            </w:pPr>
            <w:r>
              <w:rPr>
                <w:rFonts w:hint="eastAsia"/>
                <w:sz w:val="18"/>
                <w:szCs w:val="18"/>
              </w:rPr>
              <w:t>生态毒性 TLm：820mg/L（96h）（黑头呆鱼，硬水）；1250mg/L（96h）（黑头呆鱼，软水）；1250mg/L（24h）（蓝鳃鱼，软水）</w:t>
            </w:r>
          </w:p>
        </w:tc>
        <w:tc>
          <w:tcPr>
            <w:tcW w:w="971" w:type="dxa"/>
            <w:vAlign w:val="center"/>
          </w:tcPr>
          <w:p w14:paraId="1C641943">
            <w:pPr>
              <w:pStyle w:val="34"/>
              <w:rPr>
                <w:sz w:val="18"/>
                <w:szCs w:val="18"/>
              </w:rPr>
            </w:pPr>
            <w:r>
              <w:rPr>
                <w:sz w:val="18"/>
                <w:szCs w:val="18"/>
              </w:rPr>
              <w:t>25kg不锈钢桶，常温常压运输</w:t>
            </w:r>
          </w:p>
        </w:tc>
      </w:tr>
      <w:tr w14:paraId="179829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C8076F8">
            <w:pPr>
              <w:pStyle w:val="34"/>
              <w:numPr>
                <w:ilvl w:val="0"/>
                <w:numId w:val="55"/>
              </w:numPr>
              <w:rPr>
                <w:sz w:val="18"/>
                <w:szCs w:val="18"/>
              </w:rPr>
            </w:pPr>
          </w:p>
        </w:tc>
        <w:tc>
          <w:tcPr>
            <w:tcW w:w="584" w:type="dxa"/>
            <w:vMerge w:val="continue"/>
            <w:vAlign w:val="center"/>
          </w:tcPr>
          <w:p w14:paraId="5760C2D6">
            <w:pPr>
              <w:pStyle w:val="34"/>
              <w:rPr>
                <w:sz w:val="18"/>
                <w:szCs w:val="18"/>
              </w:rPr>
            </w:pPr>
          </w:p>
        </w:tc>
        <w:tc>
          <w:tcPr>
            <w:tcW w:w="567" w:type="dxa"/>
            <w:vMerge w:val="continue"/>
            <w:vAlign w:val="center"/>
          </w:tcPr>
          <w:p w14:paraId="361F752B">
            <w:pPr>
              <w:pStyle w:val="34"/>
              <w:rPr>
                <w:sz w:val="18"/>
                <w:szCs w:val="18"/>
              </w:rPr>
            </w:pPr>
          </w:p>
        </w:tc>
        <w:tc>
          <w:tcPr>
            <w:tcW w:w="419" w:type="dxa"/>
            <w:vMerge w:val="restart"/>
            <w:vAlign w:val="center"/>
          </w:tcPr>
          <w:p w14:paraId="6FDEBBE6">
            <w:pPr>
              <w:pStyle w:val="34"/>
              <w:rPr>
                <w:sz w:val="18"/>
                <w:szCs w:val="18"/>
              </w:rPr>
            </w:pPr>
            <w:r>
              <w:rPr>
                <w:sz w:val="18"/>
                <w:szCs w:val="18"/>
              </w:rPr>
              <w:t>有机，</w:t>
            </w:r>
          </w:p>
          <w:p w14:paraId="4EDB591F">
            <w:pPr>
              <w:pStyle w:val="34"/>
              <w:rPr>
                <w:sz w:val="18"/>
                <w:szCs w:val="18"/>
              </w:rPr>
            </w:pPr>
            <w:r>
              <w:rPr>
                <w:sz w:val="18"/>
                <w:szCs w:val="18"/>
              </w:rPr>
              <w:t>密度＞1g/cm</w:t>
            </w:r>
            <w:r>
              <w:rPr>
                <w:sz w:val="18"/>
                <w:szCs w:val="18"/>
                <w:vertAlign w:val="superscript"/>
              </w:rPr>
              <w:t>3</w:t>
            </w:r>
          </w:p>
        </w:tc>
        <w:tc>
          <w:tcPr>
            <w:tcW w:w="573" w:type="dxa"/>
            <w:vAlign w:val="center"/>
          </w:tcPr>
          <w:p w14:paraId="4FF6C9C3">
            <w:pPr>
              <w:pStyle w:val="34"/>
              <w:rPr>
                <w:sz w:val="18"/>
                <w:szCs w:val="18"/>
              </w:rPr>
            </w:pPr>
            <w:r>
              <w:rPr>
                <w:rFonts w:hint="eastAsia"/>
                <w:sz w:val="18"/>
                <w:szCs w:val="18"/>
              </w:rPr>
              <w:t>氯苯</w:t>
            </w:r>
          </w:p>
        </w:tc>
        <w:tc>
          <w:tcPr>
            <w:tcW w:w="3137" w:type="dxa"/>
            <w:gridSpan w:val="2"/>
            <w:vAlign w:val="center"/>
          </w:tcPr>
          <w:p w14:paraId="49A70CF7">
            <w:pPr>
              <w:pStyle w:val="34"/>
              <w:rPr>
                <w:sz w:val="18"/>
                <w:szCs w:val="18"/>
              </w:rPr>
            </w:pPr>
            <w:r>
              <w:rPr>
                <w:sz w:val="18"/>
                <w:szCs w:val="18"/>
              </w:rPr>
              <w:t>易燃，遇明火、高热或与氧化剂接触，有引起燃烧爆炸的危险。与过氯酸根、二甲亚砜反应剧烈。</w:t>
            </w:r>
          </w:p>
        </w:tc>
        <w:tc>
          <w:tcPr>
            <w:tcW w:w="2840" w:type="dxa"/>
            <w:vAlign w:val="center"/>
          </w:tcPr>
          <w:p w14:paraId="28A93261">
            <w:pPr>
              <w:pStyle w:val="34"/>
              <w:rPr>
                <w:sz w:val="18"/>
                <w:szCs w:val="18"/>
              </w:rPr>
            </w:pPr>
            <w:r>
              <w:rPr>
                <w:rFonts w:hint="eastAsia"/>
                <w:sz w:val="18"/>
                <w:szCs w:val="18"/>
              </w:rPr>
              <w:t>LD50:2290 mg/kg（大鼠经口）</w:t>
            </w:r>
          </w:p>
        </w:tc>
        <w:tc>
          <w:tcPr>
            <w:tcW w:w="3270" w:type="dxa"/>
            <w:vAlign w:val="center"/>
          </w:tcPr>
          <w:p w14:paraId="7DFE741F">
            <w:pPr>
              <w:pStyle w:val="34"/>
              <w:rPr>
                <w:sz w:val="18"/>
                <w:szCs w:val="18"/>
              </w:rPr>
            </w:pPr>
            <w:r>
              <w:rPr>
                <w:rFonts w:hint="eastAsia"/>
                <w:sz w:val="18"/>
                <w:szCs w:val="18"/>
              </w:rPr>
              <w:t>对中枢神经系统有抑制和麻醉作用;对皮肤和粘膜有刺激性。急性中毒:接触高浓度可引起麻醉症状，甚至昏迷。脱离现场，积极救治后，可较快恢复，但数日内仍有头痛、头晕、无力、食欲减退等症状。液体对皮肤有轻度刺激性，但反复接触，则起红斑或有轻度表浅性坏死。慢性中毒:常有眼痛、流泪、结膜充血:早期有头痛、失眠、记忆力减退等神经衰弱症状;重者引起中毒性肝炎，个别可发生肾脏损害。</w:t>
            </w:r>
          </w:p>
        </w:tc>
        <w:tc>
          <w:tcPr>
            <w:tcW w:w="1440" w:type="dxa"/>
            <w:vAlign w:val="center"/>
          </w:tcPr>
          <w:p w14:paraId="25B9D501">
            <w:pPr>
              <w:pStyle w:val="34"/>
              <w:rPr>
                <w:sz w:val="18"/>
                <w:szCs w:val="18"/>
              </w:rPr>
            </w:pPr>
            <w:r>
              <w:rPr>
                <w:sz w:val="18"/>
                <w:szCs w:val="18"/>
              </w:rPr>
              <w:t>对水生生物有毒并具有长期持续影响</w:t>
            </w:r>
          </w:p>
        </w:tc>
        <w:tc>
          <w:tcPr>
            <w:tcW w:w="971" w:type="dxa"/>
            <w:vAlign w:val="center"/>
          </w:tcPr>
          <w:p w14:paraId="652D580F">
            <w:pPr>
              <w:pStyle w:val="34"/>
              <w:rPr>
                <w:sz w:val="18"/>
                <w:szCs w:val="18"/>
              </w:rPr>
            </w:pPr>
            <w:r>
              <w:rPr>
                <w:rFonts w:hint="eastAsia"/>
                <w:sz w:val="18"/>
                <w:szCs w:val="18"/>
              </w:rPr>
              <w:t>200kg铁桶包装，常温常压运输</w:t>
            </w:r>
          </w:p>
        </w:tc>
      </w:tr>
      <w:tr w14:paraId="58CE61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4376CC0B">
            <w:pPr>
              <w:pStyle w:val="34"/>
              <w:numPr>
                <w:ilvl w:val="0"/>
                <w:numId w:val="55"/>
              </w:numPr>
              <w:rPr>
                <w:sz w:val="18"/>
                <w:szCs w:val="18"/>
              </w:rPr>
            </w:pPr>
          </w:p>
        </w:tc>
        <w:tc>
          <w:tcPr>
            <w:tcW w:w="584" w:type="dxa"/>
            <w:vMerge w:val="continue"/>
            <w:vAlign w:val="center"/>
          </w:tcPr>
          <w:p w14:paraId="3F7E88E1">
            <w:pPr>
              <w:pStyle w:val="34"/>
              <w:rPr>
                <w:sz w:val="18"/>
                <w:szCs w:val="18"/>
              </w:rPr>
            </w:pPr>
          </w:p>
        </w:tc>
        <w:tc>
          <w:tcPr>
            <w:tcW w:w="567" w:type="dxa"/>
            <w:vMerge w:val="continue"/>
            <w:vAlign w:val="center"/>
          </w:tcPr>
          <w:p w14:paraId="7455F321">
            <w:pPr>
              <w:pStyle w:val="34"/>
              <w:rPr>
                <w:sz w:val="18"/>
                <w:szCs w:val="18"/>
              </w:rPr>
            </w:pPr>
          </w:p>
        </w:tc>
        <w:tc>
          <w:tcPr>
            <w:tcW w:w="419" w:type="dxa"/>
            <w:vMerge w:val="continue"/>
            <w:vAlign w:val="center"/>
          </w:tcPr>
          <w:p w14:paraId="205D3F90">
            <w:pPr>
              <w:pStyle w:val="34"/>
              <w:rPr>
                <w:sz w:val="18"/>
                <w:szCs w:val="18"/>
              </w:rPr>
            </w:pPr>
          </w:p>
        </w:tc>
        <w:tc>
          <w:tcPr>
            <w:tcW w:w="573" w:type="dxa"/>
            <w:vAlign w:val="center"/>
          </w:tcPr>
          <w:p w14:paraId="345C337B">
            <w:pPr>
              <w:pStyle w:val="34"/>
              <w:rPr>
                <w:sz w:val="18"/>
                <w:szCs w:val="18"/>
              </w:rPr>
            </w:pPr>
            <w:r>
              <w:rPr>
                <w:rFonts w:hint="eastAsia"/>
                <w:sz w:val="18"/>
                <w:szCs w:val="18"/>
              </w:rPr>
              <w:t>三氯甲烷</w:t>
            </w:r>
          </w:p>
        </w:tc>
        <w:tc>
          <w:tcPr>
            <w:tcW w:w="3137" w:type="dxa"/>
            <w:gridSpan w:val="2"/>
            <w:vAlign w:val="center"/>
          </w:tcPr>
          <w:p w14:paraId="502FCA0D">
            <w:pPr>
              <w:pStyle w:val="34"/>
              <w:rPr>
                <w:sz w:val="18"/>
                <w:szCs w:val="18"/>
              </w:rPr>
            </w:pPr>
            <w:r>
              <w:rPr>
                <w:rFonts w:hint="eastAsia"/>
                <w:sz w:val="18"/>
                <w:szCs w:val="18"/>
              </w:rPr>
              <w:t>与明火或灼热的物体接触时能产生剧毒的光气。在空气、水分和光的作用下，酸度增加，因而对金属有强烈的腐蚀性。</w:t>
            </w:r>
          </w:p>
        </w:tc>
        <w:tc>
          <w:tcPr>
            <w:tcW w:w="2840" w:type="dxa"/>
            <w:vAlign w:val="center"/>
          </w:tcPr>
          <w:p w14:paraId="546742CB">
            <w:pPr>
              <w:pStyle w:val="34"/>
              <w:rPr>
                <w:sz w:val="18"/>
                <w:szCs w:val="18"/>
              </w:rPr>
            </w:pPr>
            <w:r>
              <w:rPr>
                <w:rFonts w:hint="eastAsia"/>
                <w:sz w:val="18"/>
                <w:szCs w:val="18"/>
              </w:rPr>
              <w:t>LD50:908mg/kg(大鼠经口)；</w:t>
            </w:r>
          </w:p>
          <w:p w14:paraId="187A3912">
            <w:pPr>
              <w:pStyle w:val="34"/>
              <w:rPr>
                <w:sz w:val="18"/>
                <w:szCs w:val="18"/>
              </w:rPr>
            </w:pPr>
            <w:r>
              <w:rPr>
                <w:sz w:val="18"/>
                <w:szCs w:val="18"/>
              </w:rPr>
              <w:t>L</w:t>
            </w:r>
            <w:r>
              <w:rPr>
                <w:rFonts w:hint="eastAsia"/>
                <w:sz w:val="18"/>
                <w:szCs w:val="18"/>
              </w:rPr>
              <w:t>C</w:t>
            </w:r>
            <w:r>
              <w:rPr>
                <w:sz w:val="18"/>
                <w:szCs w:val="18"/>
              </w:rPr>
              <w:t>50：</w:t>
            </w:r>
            <w:r>
              <w:rPr>
                <w:rFonts w:hint="eastAsia"/>
                <w:sz w:val="18"/>
                <w:szCs w:val="18"/>
              </w:rPr>
              <w:t>47702</w:t>
            </w:r>
            <w:r>
              <w:rPr>
                <w:sz w:val="18"/>
                <w:szCs w:val="18"/>
              </w:rPr>
              <w:t>mg</w:t>
            </w:r>
            <w:r>
              <w:rPr>
                <w:rFonts w:hint="eastAsia"/>
                <w:sz w:val="18"/>
                <w:szCs w:val="18"/>
              </w:rPr>
              <w:t>/m</w:t>
            </w:r>
            <w:r>
              <w:rPr>
                <w:rFonts w:hint="eastAsia"/>
                <w:sz w:val="18"/>
                <w:szCs w:val="18"/>
                <w:vertAlign w:val="superscript"/>
              </w:rPr>
              <w:t>3</w:t>
            </w:r>
            <w:r>
              <w:rPr>
                <w:sz w:val="18"/>
                <w:szCs w:val="18"/>
              </w:rPr>
              <w:t>(</w:t>
            </w:r>
            <w:r>
              <w:rPr>
                <w:rFonts w:hint="eastAsia"/>
                <w:sz w:val="18"/>
                <w:szCs w:val="18"/>
              </w:rPr>
              <w:t>大鼠吸入，4小时</w:t>
            </w:r>
            <w:r>
              <w:rPr>
                <w:sz w:val="18"/>
                <w:szCs w:val="18"/>
              </w:rPr>
              <w:t>)</w:t>
            </w:r>
          </w:p>
        </w:tc>
        <w:tc>
          <w:tcPr>
            <w:tcW w:w="3270" w:type="dxa"/>
            <w:vAlign w:val="center"/>
          </w:tcPr>
          <w:p w14:paraId="23EC1A6B">
            <w:pPr>
              <w:pStyle w:val="34"/>
              <w:rPr>
                <w:sz w:val="18"/>
                <w:szCs w:val="18"/>
              </w:rPr>
            </w:pPr>
            <w:r>
              <w:rPr>
                <w:rFonts w:hint="eastAsia"/>
                <w:sz w:val="18"/>
                <w:szCs w:val="18"/>
              </w:rPr>
              <w:t>主要作用于中枢神经系统，具有麻醉作用，对心、肝、肾有损害。急性中毒:吸入或经皮肤吸收引起急性中毒。初期有头痛、头晕、恶心、呕吐、兴奋、皮肤湿热和粘膜</w:t>
            </w:r>
            <w:r>
              <w:rPr>
                <w:rFonts w:hint="eastAsia"/>
                <w:sz w:val="18"/>
                <w:szCs w:val="18"/>
                <w:lang w:eastAsia="zh-CN"/>
              </w:rPr>
              <w:t>刺激征</w:t>
            </w:r>
            <w:r>
              <w:rPr>
                <w:rFonts w:hint="eastAsia"/>
                <w:sz w:val="18"/>
                <w:szCs w:val="18"/>
              </w:rPr>
              <w:t>状。以后呈现精神紊乱、呼吸表浅、反射消失、昏迷等，重者发生呼吸麻痹、心室纤维性颤动。同时可伴有肝、肾损害。误服中毒时，胃有烧灼感，伴恶心、呕吐、腹痛、腹泻。以后出现麻醉症状。液态可致皮炎、湿疹，甚至皮肤灼伤。慢性影响:主要引起肝脏损害，并有消化不良、乏力、头痛、失眠等症状，少数有肾损害及嗜氨仿癖。</w:t>
            </w:r>
          </w:p>
        </w:tc>
        <w:tc>
          <w:tcPr>
            <w:tcW w:w="1440" w:type="dxa"/>
            <w:vAlign w:val="center"/>
          </w:tcPr>
          <w:p w14:paraId="33BE3B29">
            <w:pPr>
              <w:pStyle w:val="34"/>
              <w:rPr>
                <w:sz w:val="18"/>
                <w:szCs w:val="18"/>
              </w:rPr>
            </w:pPr>
            <w:r>
              <w:rPr>
                <w:rFonts w:hint="eastAsia"/>
                <w:sz w:val="18"/>
                <w:szCs w:val="18"/>
              </w:rPr>
              <w:t>对水生生物产生毒性影响，可能导致水生生物死亡或生长受阻，</w:t>
            </w:r>
            <w:r>
              <w:rPr>
                <w:sz w:val="18"/>
                <w:szCs w:val="18"/>
              </w:rPr>
              <w:t>可引起鱼类胚胎产生畸形</w:t>
            </w:r>
          </w:p>
        </w:tc>
        <w:tc>
          <w:tcPr>
            <w:tcW w:w="971" w:type="dxa"/>
            <w:vAlign w:val="center"/>
          </w:tcPr>
          <w:p w14:paraId="23F067E4">
            <w:pPr>
              <w:pStyle w:val="34"/>
              <w:rPr>
                <w:sz w:val="18"/>
                <w:szCs w:val="18"/>
              </w:rPr>
            </w:pPr>
            <w:r>
              <w:rPr>
                <w:rFonts w:hint="eastAsia"/>
                <w:sz w:val="18"/>
                <w:szCs w:val="18"/>
              </w:rPr>
              <w:t>200L铁桶包装，常温常压运输</w:t>
            </w:r>
          </w:p>
        </w:tc>
      </w:tr>
      <w:tr w14:paraId="7D402B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06E3E04">
            <w:pPr>
              <w:pStyle w:val="34"/>
              <w:numPr>
                <w:ilvl w:val="0"/>
                <w:numId w:val="55"/>
              </w:numPr>
              <w:rPr>
                <w:sz w:val="18"/>
                <w:szCs w:val="18"/>
              </w:rPr>
            </w:pPr>
          </w:p>
        </w:tc>
        <w:tc>
          <w:tcPr>
            <w:tcW w:w="584" w:type="dxa"/>
            <w:vMerge w:val="continue"/>
            <w:vAlign w:val="center"/>
          </w:tcPr>
          <w:p w14:paraId="204DD075">
            <w:pPr>
              <w:pStyle w:val="34"/>
              <w:rPr>
                <w:sz w:val="18"/>
                <w:szCs w:val="18"/>
              </w:rPr>
            </w:pPr>
          </w:p>
        </w:tc>
        <w:tc>
          <w:tcPr>
            <w:tcW w:w="567" w:type="dxa"/>
            <w:vMerge w:val="continue"/>
            <w:vAlign w:val="center"/>
          </w:tcPr>
          <w:p w14:paraId="6442EA66">
            <w:pPr>
              <w:pStyle w:val="34"/>
              <w:rPr>
                <w:sz w:val="18"/>
                <w:szCs w:val="18"/>
              </w:rPr>
            </w:pPr>
          </w:p>
        </w:tc>
        <w:tc>
          <w:tcPr>
            <w:tcW w:w="419" w:type="dxa"/>
            <w:vMerge w:val="continue"/>
            <w:vAlign w:val="center"/>
          </w:tcPr>
          <w:p w14:paraId="762744D9">
            <w:pPr>
              <w:pStyle w:val="34"/>
              <w:rPr>
                <w:sz w:val="18"/>
                <w:szCs w:val="18"/>
              </w:rPr>
            </w:pPr>
          </w:p>
        </w:tc>
        <w:tc>
          <w:tcPr>
            <w:tcW w:w="573" w:type="dxa"/>
            <w:vAlign w:val="center"/>
          </w:tcPr>
          <w:p w14:paraId="5B892FAB">
            <w:pPr>
              <w:pStyle w:val="34"/>
              <w:rPr>
                <w:sz w:val="18"/>
                <w:szCs w:val="18"/>
              </w:rPr>
            </w:pPr>
            <w:r>
              <w:rPr>
                <w:rFonts w:hint="eastAsia"/>
                <w:sz w:val="18"/>
                <w:szCs w:val="18"/>
              </w:rPr>
              <w:t>四氯化碳</w:t>
            </w:r>
          </w:p>
        </w:tc>
        <w:tc>
          <w:tcPr>
            <w:tcW w:w="3137" w:type="dxa"/>
            <w:gridSpan w:val="2"/>
            <w:vAlign w:val="center"/>
          </w:tcPr>
          <w:p w14:paraId="38F69042">
            <w:pPr>
              <w:pStyle w:val="34"/>
              <w:rPr>
                <w:sz w:val="18"/>
                <w:szCs w:val="18"/>
              </w:rPr>
            </w:pPr>
            <w:r>
              <w:rPr>
                <w:rFonts w:hint="eastAsia"/>
                <w:sz w:val="18"/>
                <w:szCs w:val="18"/>
              </w:rPr>
              <w:t>不会燃烧，但遇明火或高温易产生剧毒的光气和氨化氢烟雾。在潮湿的空气中逐渐分解成光气和氨化氢。</w:t>
            </w:r>
          </w:p>
        </w:tc>
        <w:tc>
          <w:tcPr>
            <w:tcW w:w="2840" w:type="dxa"/>
            <w:vAlign w:val="center"/>
          </w:tcPr>
          <w:p w14:paraId="66090559">
            <w:pPr>
              <w:pStyle w:val="34"/>
              <w:rPr>
                <w:sz w:val="18"/>
                <w:szCs w:val="18"/>
              </w:rPr>
            </w:pPr>
            <w:r>
              <w:rPr>
                <w:rFonts w:hint="eastAsia"/>
                <w:sz w:val="18"/>
                <w:szCs w:val="18"/>
              </w:rPr>
              <w:t>LD50:2350mg/kg(大鼠经口)；</w:t>
            </w:r>
          </w:p>
          <w:p w14:paraId="031F0B37">
            <w:pPr>
              <w:pStyle w:val="34"/>
              <w:rPr>
                <w:sz w:val="18"/>
                <w:szCs w:val="18"/>
              </w:rPr>
            </w:pPr>
            <w:r>
              <w:rPr>
                <w:sz w:val="18"/>
                <w:szCs w:val="18"/>
              </w:rPr>
              <w:t>L</w:t>
            </w:r>
            <w:r>
              <w:rPr>
                <w:rFonts w:hint="eastAsia"/>
                <w:sz w:val="18"/>
                <w:szCs w:val="18"/>
              </w:rPr>
              <w:t>C</w:t>
            </w:r>
            <w:r>
              <w:rPr>
                <w:sz w:val="18"/>
                <w:szCs w:val="18"/>
              </w:rPr>
              <w:t>50：</w:t>
            </w:r>
            <w:r>
              <w:rPr>
                <w:rFonts w:hint="eastAsia"/>
                <w:sz w:val="18"/>
                <w:szCs w:val="18"/>
              </w:rPr>
              <w:t>50400</w:t>
            </w:r>
            <w:r>
              <w:rPr>
                <w:sz w:val="18"/>
                <w:szCs w:val="18"/>
              </w:rPr>
              <w:t>mg</w:t>
            </w:r>
            <w:r>
              <w:rPr>
                <w:rFonts w:hint="eastAsia"/>
                <w:sz w:val="18"/>
                <w:szCs w:val="18"/>
              </w:rPr>
              <w:t>/m</w:t>
            </w:r>
            <w:r>
              <w:rPr>
                <w:rFonts w:hint="eastAsia"/>
                <w:sz w:val="18"/>
                <w:szCs w:val="18"/>
                <w:vertAlign w:val="superscript"/>
              </w:rPr>
              <w:t>3</w:t>
            </w:r>
            <w:r>
              <w:rPr>
                <w:sz w:val="18"/>
                <w:szCs w:val="18"/>
              </w:rPr>
              <w:t>(</w:t>
            </w:r>
            <w:r>
              <w:rPr>
                <w:rFonts w:hint="eastAsia"/>
                <w:sz w:val="18"/>
                <w:szCs w:val="18"/>
              </w:rPr>
              <w:t>大鼠吸入，4小时</w:t>
            </w:r>
            <w:r>
              <w:rPr>
                <w:sz w:val="18"/>
                <w:szCs w:val="18"/>
              </w:rPr>
              <w:t>)</w:t>
            </w:r>
          </w:p>
        </w:tc>
        <w:tc>
          <w:tcPr>
            <w:tcW w:w="3270" w:type="dxa"/>
            <w:vAlign w:val="center"/>
          </w:tcPr>
          <w:p w14:paraId="58FDF553">
            <w:pPr>
              <w:pStyle w:val="34"/>
              <w:rPr>
                <w:sz w:val="18"/>
                <w:szCs w:val="18"/>
              </w:rPr>
            </w:pPr>
            <w:r>
              <w:rPr>
                <w:rFonts w:hint="eastAsia"/>
                <w:sz w:val="18"/>
                <w:szCs w:val="18"/>
              </w:rPr>
              <w:t>高浓度蒸气对黏膜有刺激作用，对中枢神经系统有麻醉作用，对肝、肾有严重损害。急性中毒:吸入较高浓度本品蒸气，常伴有眼及上呼吸道</w:t>
            </w:r>
            <w:r>
              <w:rPr>
                <w:rFonts w:hint="eastAsia"/>
                <w:sz w:val="18"/>
                <w:szCs w:val="18"/>
                <w:lang w:eastAsia="zh-CN"/>
              </w:rPr>
              <w:t>刺激征</w:t>
            </w:r>
            <w:r>
              <w:rPr>
                <w:rFonts w:hint="eastAsia"/>
                <w:sz w:val="18"/>
                <w:szCs w:val="18"/>
              </w:rPr>
              <w:t>状，有时可发生肺水肿。神经系统症状有头痛、头晕、乏力、精神恍惚、步态蹒跚、昏迷等。出现消化道症状。较严重病例数小时或数天后出现中毒性肝、肾损伤。重者甚至发生肝坏死、肝昏迷或急性肾功能衰竭。吸入极高浓度可迅速出现昏迷、抽搐可因室颤和呼吸中枢麻痹而猝死。口服中毒肝、肾损害明显。少数病例发生周围神经炎、球后视神经炎。皮肤直接接触可致损害。慢性中毒:神经衰弱综合征，肝肾损害，皮炎。</w:t>
            </w:r>
          </w:p>
        </w:tc>
        <w:tc>
          <w:tcPr>
            <w:tcW w:w="1440" w:type="dxa"/>
            <w:vAlign w:val="center"/>
          </w:tcPr>
          <w:p w14:paraId="21B961C6">
            <w:pPr>
              <w:pStyle w:val="34"/>
              <w:rPr>
                <w:sz w:val="18"/>
                <w:szCs w:val="18"/>
              </w:rPr>
            </w:pPr>
            <w:r>
              <w:rPr>
                <w:rFonts w:hint="eastAsia"/>
                <w:sz w:val="18"/>
                <w:szCs w:val="18"/>
              </w:rPr>
              <w:t>急性水生毒性</w:t>
            </w:r>
          </w:p>
        </w:tc>
        <w:tc>
          <w:tcPr>
            <w:tcW w:w="971" w:type="dxa"/>
            <w:vAlign w:val="center"/>
          </w:tcPr>
          <w:p w14:paraId="5FE8B3A2">
            <w:pPr>
              <w:pStyle w:val="34"/>
              <w:rPr>
                <w:sz w:val="18"/>
                <w:szCs w:val="18"/>
              </w:rPr>
            </w:pPr>
            <w:r>
              <w:rPr>
                <w:rFonts w:hint="eastAsia"/>
                <w:sz w:val="18"/>
                <w:szCs w:val="18"/>
              </w:rPr>
              <w:t>200L铁桶包装，常温常压运输</w:t>
            </w:r>
          </w:p>
        </w:tc>
      </w:tr>
      <w:tr w14:paraId="5887AC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1CC5CA3">
            <w:pPr>
              <w:pStyle w:val="34"/>
              <w:numPr>
                <w:ilvl w:val="0"/>
                <w:numId w:val="55"/>
              </w:numPr>
              <w:rPr>
                <w:sz w:val="18"/>
                <w:szCs w:val="18"/>
              </w:rPr>
            </w:pPr>
          </w:p>
        </w:tc>
        <w:tc>
          <w:tcPr>
            <w:tcW w:w="584" w:type="dxa"/>
            <w:vMerge w:val="continue"/>
            <w:vAlign w:val="center"/>
          </w:tcPr>
          <w:p w14:paraId="380AA891">
            <w:pPr>
              <w:pStyle w:val="34"/>
              <w:rPr>
                <w:sz w:val="18"/>
                <w:szCs w:val="18"/>
              </w:rPr>
            </w:pPr>
          </w:p>
        </w:tc>
        <w:tc>
          <w:tcPr>
            <w:tcW w:w="567" w:type="dxa"/>
            <w:vMerge w:val="continue"/>
            <w:vAlign w:val="center"/>
          </w:tcPr>
          <w:p w14:paraId="0BF183DE">
            <w:pPr>
              <w:pStyle w:val="34"/>
              <w:rPr>
                <w:sz w:val="18"/>
                <w:szCs w:val="18"/>
              </w:rPr>
            </w:pPr>
          </w:p>
        </w:tc>
        <w:tc>
          <w:tcPr>
            <w:tcW w:w="419" w:type="dxa"/>
            <w:vMerge w:val="continue"/>
            <w:vAlign w:val="center"/>
          </w:tcPr>
          <w:p w14:paraId="4B5C902C">
            <w:pPr>
              <w:pStyle w:val="34"/>
              <w:rPr>
                <w:sz w:val="18"/>
                <w:szCs w:val="18"/>
              </w:rPr>
            </w:pPr>
          </w:p>
        </w:tc>
        <w:tc>
          <w:tcPr>
            <w:tcW w:w="573" w:type="dxa"/>
            <w:vAlign w:val="center"/>
          </w:tcPr>
          <w:p w14:paraId="3913CE7D">
            <w:pPr>
              <w:pStyle w:val="34"/>
              <w:rPr>
                <w:sz w:val="18"/>
                <w:szCs w:val="18"/>
              </w:rPr>
            </w:pPr>
            <w:r>
              <w:rPr>
                <w:rFonts w:hint="eastAsia"/>
                <w:sz w:val="18"/>
                <w:szCs w:val="18"/>
              </w:rPr>
              <w:t>敌敌畏</w:t>
            </w:r>
          </w:p>
        </w:tc>
        <w:tc>
          <w:tcPr>
            <w:tcW w:w="3137" w:type="dxa"/>
            <w:gridSpan w:val="2"/>
            <w:vAlign w:val="center"/>
          </w:tcPr>
          <w:p w14:paraId="47E55778">
            <w:pPr>
              <w:pStyle w:val="34"/>
              <w:rPr>
                <w:sz w:val="18"/>
                <w:szCs w:val="18"/>
              </w:rPr>
            </w:pPr>
            <w:r>
              <w:rPr>
                <w:sz w:val="18"/>
                <w:szCs w:val="18"/>
              </w:rPr>
              <w:t>遇明火、高热可燃。与强氧化剂可发生反应。受热分解，放出氧化磷和氯化物的毒性气体。腐蚀铁和低碳钢。能腐蚀橡胶和涂料。</w:t>
            </w:r>
          </w:p>
        </w:tc>
        <w:tc>
          <w:tcPr>
            <w:tcW w:w="2840" w:type="dxa"/>
            <w:vAlign w:val="center"/>
          </w:tcPr>
          <w:p w14:paraId="44596A10">
            <w:pPr>
              <w:pStyle w:val="34"/>
              <w:rPr>
                <w:sz w:val="18"/>
                <w:szCs w:val="18"/>
              </w:rPr>
            </w:pPr>
            <w:r>
              <w:rPr>
                <w:sz w:val="18"/>
                <w:szCs w:val="18"/>
              </w:rPr>
              <w:t>LD50：50～80mg／kg(大鼠经口)；113mg／kg(大鼠经皮)</w:t>
            </w:r>
          </w:p>
          <w:p w14:paraId="3546CEFD">
            <w:pPr>
              <w:pStyle w:val="34"/>
              <w:rPr>
                <w:sz w:val="18"/>
                <w:szCs w:val="18"/>
              </w:rPr>
            </w:pPr>
            <w:r>
              <w:rPr>
                <w:sz w:val="18"/>
                <w:szCs w:val="18"/>
              </w:rPr>
              <w:t>LC50：5mg／m</w:t>
            </w:r>
            <w:r>
              <w:rPr>
                <w:sz w:val="18"/>
                <w:szCs w:val="18"/>
                <w:vertAlign w:val="superscript"/>
              </w:rPr>
              <w:t>3</w:t>
            </w:r>
            <w:r>
              <w:rPr>
                <w:sz w:val="18"/>
                <w:szCs w:val="18"/>
              </w:rPr>
              <w:t xml:space="preserve"> </w:t>
            </w:r>
          </w:p>
          <w:p w14:paraId="787F9E51">
            <w:pPr>
              <w:pStyle w:val="34"/>
              <w:rPr>
                <w:sz w:val="18"/>
                <w:szCs w:val="18"/>
              </w:rPr>
            </w:pPr>
            <w:r>
              <w:rPr>
                <w:sz w:val="18"/>
                <w:szCs w:val="18"/>
              </w:rPr>
              <w:t xml:space="preserve">4小时(大鼠吸入)   </w:t>
            </w:r>
          </w:p>
        </w:tc>
        <w:tc>
          <w:tcPr>
            <w:tcW w:w="3270" w:type="dxa"/>
            <w:vAlign w:val="center"/>
          </w:tcPr>
          <w:p w14:paraId="52E98488">
            <w:pPr>
              <w:pStyle w:val="34"/>
              <w:rPr>
                <w:sz w:val="18"/>
                <w:szCs w:val="18"/>
              </w:rPr>
            </w:pPr>
            <w:r>
              <w:rPr>
                <w:sz w:val="18"/>
                <w:szCs w:val="18"/>
              </w:rPr>
              <w:t>抑制体内胆碱酯酶，造成神经生理功能紊乱。</w:t>
            </w:r>
          </w:p>
          <w:p w14:paraId="638E4007">
            <w:pPr>
              <w:pStyle w:val="34"/>
              <w:rPr>
                <w:sz w:val="18"/>
                <w:szCs w:val="18"/>
              </w:rPr>
            </w:pPr>
            <w:r>
              <w:rPr>
                <w:sz w:val="18"/>
                <w:szCs w:val="18"/>
              </w:rPr>
              <w:t>急性中毒多系误服引起。中毒表现有头痛、头昏、食欲减退、恶心、呕吐，腹痛、腹泻、流涎、瞳孔缩小、呼吸道分泌物增多、多汗、肌束震颤等。重症出现肺水肿、昏迷、呼吸麻痹、脑水肿。血胆碱酯酶活性降低。少数重度中毒者在临床症状消失后数周出现周围神经病。本品可引起变应性接触性皮炎。</w:t>
            </w:r>
          </w:p>
          <w:p w14:paraId="633B3896">
            <w:pPr>
              <w:pStyle w:val="34"/>
              <w:rPr>
                <w:sz w:val="18"/>
                <w:szCs w:val="18"/>
              </w:rPr>
            </w:pPr>
            <w:r>
              <w:rPr>
                <w:sz w:val="18"/>
                <w:szCs w:val="18"/>
              </w:rPr>
              <w:t>慢性中毒：接触工人可因持续经呼吸道及皮肤进入而中毒。表现有头晕、头痛、无力、失眠、多汗、四肢麻木、肌肉跳动等。血胆碱酯酶活性降低。</w:t>
            </w:r>
          </w:p>
        </w:tc>
        <w:tc>
          <w:tcPr>
            <w:tcW w:w="1440" w:type="dxa"/>
            <w:vAlign w:val="center"/>
          </w:tcPr>
          <w:p w14:paraId="71F6CFD8">
            <w:pPr>
              <w:pStyle w:val="34"/>
              <w:rPr>
                <w:sz w:val="18"/>
                <w:szCs w:val="18"/>
              </w:rPr>
            </w:pPr>
            <w:r>
              <w:rPr>
                <w:sz w:val="18"/>
                <w:szCs w:val="18"/>
              </w:rPr>
              <w:t>微溶于水的有机磷杀虫剂，根据相关研究，该农药对于鱼类的毒性为低毒等级。</w:t>
            </w:r>
          </w:p>
        </w:tc>
        <w:tc>
          <w:tcPr>
            <w:tcW w:w="971" w:type="dxa"/>
            <w:vAlign w:val="center"/>
          </w:tcPr>
          <w:p w14:paraId="24908D41">
            <w:pPr>
              <w:pStyle w:val="34"/>
              <w:rPr>
                <w:sz w:val="18"/>
                <w:szCs w:val="18"/>
              </w:rPr>
            </w:pPr>
            <w:r>
              <w:rPr>
                <w:rFonts w:hint="eastAsia"/>
                <w:sz w:val="18"/>
                <w:szCs w:val="18"/>
              </w:rPr>
              <w:t>金属桶(罐)外普通木箱</w:t>
            </w:r>
          </w:p>
        </w:tc>
      </w:tr>
      <w:tr w14:paraId="0598D9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7FC815F">
            <w:pPr>
              <w:pStyle w:val="34"/>
              <w:numPr>
                <w:ilvl w:val="0"/>
                <w:numId w:val="55"/>
              </w:numPr>
              <w:rPr>
                <w:sz w:val="18"/>
                <w:szCs w:val="18"/>
              </w:rPr>
            </w:pPr>
          </w:p>
        </w:tc>
        <w:tc>
          <w:tcPr>
            <w:tcW w:w="584" w:type="dxa"/>
            <w:vMerge w:val="continue"/>
            <w:vAlign w:val="center"/>
          </w:tcPr>
          <w:p w14:paraId="5CFBF7FF">
            <w:pPr>
              <w:pStyle w:val="34"/>
              <w:rPr>
                <w:sz w:val="18"/>
                <w:szCs w:val="18"/>
              </w:rPr>
            </w:pPr>
          </w:p>
        </w:tc>
        <w:tc>
          <w:tcPr>
            <w:tcW w:w="567" w:type="dxa"/>
            <w:vMerge w:val="continue"/>
            <w:vAlign w:val="center"/>
          </w:tcPr>
          <w:p w14:paraId="4965CD59">
            <w:pPr>
              <w:pStyle w:val="34"/>
              <w:rPr>
                <w:sz w:val="18"/>
                <w:szCs w:val="18"/>
              </w:rPr>
            </w:pPr>
          </w:p>
        </w:tc>
        <w:tc>
          <w:tcPr>
            <w:tcW w:w="419" w:type="dxa"/>
            <w:vMerge w:val="continue"/>
            <w:vAlign w:val="center"/>
          </w:tcPr>
          <w:p w14:paraId="6183B5C2">
            <w:pPr>
              <w:pStyle w:val="34"/>
              <w:rPr>
                <w:sz w:val="18"/>
                <w:szCs w:val="18"/>
              </w:rPr>
            </w:pPr>
          </w:p>
        </w:tc>
        <w:tc>
          <w:tcPr>
            <w:tcW w:w="573" w:type="dxa"/>
            <w:vAlign w:val="center"/>
          </w:tcPr>
          <w:p w14:paraId="14E0B8EF">
            <w:pPr>
              <w:pStyle w:val="34"/>
              <w:rPr>
                <w:sz w:val="18"/>
                <w:szCs w:val="18"/>
              </w:rPr>
            </w:pPr>
            <w:r>
              <w:rPr>
                <w:rFonts w:hint="eastAsia"/>
                <w:sz w:val="18"/>
                <w:szCs w:val="18"/>
              </w:rPr>
              <w:t>四氯乙烯</w:t>
            </w:r>
          </w:p>
        </w:tc>
        <w:tc>
          <w:tcPr>
            <w:tcW w:w="3137" w:type="dxa"/>
            <w:gridSpan w:val="2"/>
            <w:vAlign w:val="center"/>
          </w:tcPr>
          <w:p w14:paraId="0C235A0E">
            <w:pPr>
              <w:pStyle w:val="34"/>
              <w:rPr>
                <w:sz w:val="18"/>
                <w:szCs w:val="18"/>
              </w:rPr>
            </w:pPr>
            <w:r>
              <w:rPr>
                <w:rFonts w:hint="eastAsia"/>
                <w:sz w:val="18"/>
                <w:szCs w:val="18"/>
                <w:lang w:eastAsia="en-US"/>
              </w:rPr>
              <w:t>可燃，有毒，具刺激性。</w:t>
            </w:r>
          </w:p>
          <w:p w14:paraId="43428B86">
            <w:pPr>
              <w:pStyle w:val="34"/>
              <w:rPr>
                <w:sz w:val="18"/>
                <w:szCs w:val="18"/>
              </w:rPr>
            </w:pPr>
            <w:r>
              <w:rPr>
                <w:rFonts w:hint="eastAsia"/>
                <w:sz w:val="18"/>
                <w:szCs w:val="18"/>
              </w:rPr>
              <w:t>燃烧产物：HCl，光气。</w:t>
            </w:r>
          </w:p>
        </w:tc>
        <w:tc>
          <w:tcPr>
            <w:tcW w:w="2840" w:type="dxa"/>
            <w:vAlign w:val="center"/>
          </w:tcPr>
          <w:p w14:paraId="6AEF759C">
            <w:pPr>
              <w:pStyle w:val="34"/>
              <w:rPr>
                <w:sz w:val="18"/>
                <w:szCs w:val="18"/>
              </w:rPr>
            </w:pPr>
            <w:r>
              <w:rPr>
                <w:rFonts w:hint="eastAsia"/>
                <w:sz w:val="18"/>
                <w:szCs w:val="18"/>
                <w:lang w:eastAsia="en-US"/>
              </w:rPr>
              <w:t>LD50</w:t>
            </w:r>
            <w:r>
              <w:rPr>
                <w:rFonts w:hint="eastAsia"/>
                <w:sz w:val="18"/>
                <w:szCs w:val="18"/>
              </w:rPr>
              <w:t>：</w:t>
            </w:r>
            <w:r>
              <w:rPr>
                <w:rFonts w:hint="eastAsia"/>
                <w:sz w:val="18"/>
                <w:szCs w:val="18"/>
                <w:lang w:eastAsia="en-US"/>
              </w:rPr>
              <w:t>3005 mg</w:t>
            </w:r>
            <w:r>
              <w:rPr>
                <w:rFonts w:hint="eastAsia"/>
                <w:sz w:val="18"/>
                <w:szCs w:val="18"/>
              </w:rPr>
              <w:t>/</w:t>
            </w:r>
            <w:r>
              <w:rPr>
                <w:rFonts w:hint="eastAsia"/>
                <w:sz w:val="18"/>
                <w:szCs w:val="18"/>
                <w:lang w:eastAsia="en-US"/>
              </w:rPr>
              <w:t>kg(大鼠经口)</w:t>
            </w:r>
            <w:r>
              <w:rPr>
                <w:rFonts w:hint="eastAsia"/>
                <w:sz w:val="18"/>
                <w:szCs w:val="18"/>
              </w:rPr>
              <w:t>；</w:t>
            </w:r>
          </w:p>
          <w:p w14:paraId="7F7FCB04">
            <w:pPr>
              <w:pStyle w:val="34"/>
              <w:rPr>
                <w:sz w:val="18"/>
                <w:szCs w:val="18"/>
              </w:rPr>
            </w:pPr>
            <w:r>
              <w:rPr>
                <w:rFonts w:hint="eastAsia"/>
                <w:sz w:val="18"/>
                <w:szCs w:val="18"/>
              </w:rPr>
              <w:t>LC50：50427mg/m</w:t>
            </w:r>
            <w:r>
              <w:rPr>
                <w:rFonts w:hint="eastAsia"/>
                <w:sz w:val="18"/>
                <w:szCs w:val="18"/>
                <w:vertAlign w:val="superscript"/>
              </w:rPr>
              <w:t>3</w:t>
            </w:r>
            <w:r>
              <w:rPr>
                <w:rFonts w:hint="eastAsia"/>
                <w:sz w:val="18"/>
                <w:szCs w:val="18"/>
              </w:rPr>
              <w:t xml:space="preserve"> (大鼠吸入，4小时)</w:t>
            </w:r>
          </w:p>
          <w:p w14:paraId="649C67A4">
            <w:pPr>
              <w:pStyle w:val="34"/>
              <w:rPr>
                <w:sz w:val="18"/>
                <w:szCs w:val="18"/>
              </w:rPr>
            </w:pPr>
            <w:r>
              <w:rPr>
                <w:rFonts w:hint="eastAsia"/>
                <w:sz w:val="18"/>
                <w:szCs w:val="18"/>
              </w:rPr>
              <w:t>刺激性：家免经眼:162mg，轻度刺激。家免经皮:810mg/24小时，重度刺激。</w:t>
            </w:r>
          </w:p>
        </w:tc>
        <w:tc>
          <w:tcPr>
            <w:tcW w:w="3270" w:type="dxa"/>
            <w:vAlign w:val="center"/>
          </w:tcPr>
          <w:p w14:paraId="5F40DCE9">
            <w:pPr>
              <w:pStyle w:val="34"/>
              <w:rPr>
                <w:sz w:val="18"/>
                <w:szCs w:val="18"/>
              </w:rPr>
            </w:pPr>
            <w:r>
              <w:rPr>
                <w:rFonts w:hint="eastAsia"/>
                <w:sz w:val="18"/>
                <w:szCs w:val="18"/>
              </w:rPr>
              <w:t>有刺激和麻醉作用。吸入急性中毒者有上呼吸道</w:t>
            </w:r>
            <w:r>
              <w:rPr>
                <w:rFonts w:hint="eastAsia"/>
                <w:sz w:val="18"/>
                <w:szCs w:val="18"/>
                <w:lang w:eastAsia="zh-CN"/>
              </w:rPr>
              <w:t>刺激征</w:t>
            </w:r>
            <w:r>
              <w:rPr>
                <w:rFonts w:hint="eastAsia"/>
                <w:sz w:val="18"/>
                <w:szCs w:val="18"/>
              </w:rPr>
              <w:t>状、流泪、流涎。随之出现头晕、头痛.恶心、运动失调及酒醉样症状。口服后出现头晕、头痛、倦睡、恶心、呕吐、腹痛、视力模糊、四肢麻木，甚至出现兴奋不安、抽搐乃至皆迷，可致死。慢性影响:有乏力、眩晕、恶心、酩酊感等。可有肝损害。皮肤反复接触，可致皮炎和湿疹。</w:t>
            </w:r>
          </w:p>
        </w:tc>
        <w:tc>
          <w:tcPr>
            <w:tcW w:w="1440" w:type="dxa"/>
            <w:vAlign w:val="center"/>
          </w:tcPr>
          <w:p w14:paraId="5667CAC8">
            <w:pPr>
              <w:pStyle w:val="34"/>
              <w:rPr>
                <w:sz w:val="18"/>
                <w:szCs w:val="18"/>
              </w:rPr>
            </w:pPr>
            <w:r>
              <w:rPr>
                <w:rFonts w:hint="eastAsia"/>
                <w:sz w:val="18"/>
                <w:szCs w:val="18"/>
              </w:rPr>
              <w:t>四氯乙烯容易被氧气氧化而形成二氯乙烷(一种油状物)漂浮在水面 从而使水体缺氧 造成水生植物和鱼类的死亡 最终形成水体富营养化</w:t>
            </w:r>
          </w:p>
        </w:tc>
        <w:tc>
          <w:tcPr>
            <w:tcW w:w="971" w:type="dxa"/>
            <w:vAlign w:val="center"/>
          </w:tcPr>
          <w:p w14:paraId="66DB4953">
            <w:pPr>
              <w:pStyle w:val="34"/>
              <w:rPr>
                <w:sz w:val="18"/>
                <w:szCs w:val="18"/>
              </w:rPr>
            </w:pPr>
            <w:r>
              <w:rPr>
                <w:rFonts w:hint="eastAsia"/>
                <w:sz w:val="18"/>
                <w:szCs w:val="18"/>
              </w:rPr>
              <w:t>200L铁桶包装，常温常压运输</w:t>
            </w:r>
          </w:p>
        </w:tc>
      </w:tr>
      <w:tr w14:paraId="605AB5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53EA8531">
            <w:pPr>
              <w:pStyle w:val="34"/>
              <w:numPr>
                <w:ilvl w:val="0"/>
                <w:numId w:val="55"/>
              </w:numPr>
              <w:rPr>
                <w:sz w:val="18"/>
                <w:szCs w:val="18"/>
              </w:rPr>
            </w:pPr>
          </w:p>
        </w:tc>
        <w:tc>
          <w:tcPr>
            <w:tcW w:w="584" w:type="dxa"/>
            <w:vMerge w:val="restart"/>
            <w:vAlign w:val="center"/>
          </w:tcPr>
          <w:p w14:paraId="67049273">
            <w:pPr>
              <w:pStyle w:val="34"/>
              <w:rPr>
                <w:sz w:val="18"/>
                <w:szCs w:val="18"/>
              </w:rPr>
            </w:pPr>
            <w:r>
              <w:rPr>
                <w:sz w:val="18"/>
                <w:szCs w:val="18"/>
              </w:rPr>
              <w:t>固体物质</w:t>
            </w:r>
          </w:p>
        </w:tc>
        <w:tc>
          <w:tcPr>
            <w:tcW w:w="567" w:type="dxa"/>
            <w:vMerge w:val="restart"/>
            <w:vAlign w:val="center"/>
          </w:tcPr>
          <w:p w14:paraId="357323F7">
            <w:pPr>
              <w:pStyle w:val="34"/>
              <w:rPr>
                <w:sz w:val="18"/>
                <w:szCs w:val="18"/>
              </w:rPr>
            </w:pPr>
            <w:r>
              <w:rPr>
                <w:sz w:val="18"/>
                <w:szCs w:val="18"/>
              </w:rPr>
              <w:t>可溶</w:t>
            </w:r>
            <w:r>
              <w:rPr>
                <w:rFonts w:hint="eastAsia"/>
                <w:sz w:val="18"/>
                <w:szCs w:val="18"/>
              </w:rPr>
              <w:t>/易溶</w:t>
            </w:r>
          </w:p>
        </w:tc>
        <w:tc>
          <w:tcPr>
            <w:tcW w:w="419" w:type="dxa"/>
            <w:vMerge w:val="restart"/>
            <w:vAlign w:val="center"/>
          </w:tcPr>
          <w:p w14:paraId="1D377A92">
            <w:pPr>
              <w:pStyle w:val="34"/>
              <w:rPr>
                <w:sz w:val="18"/>
                <w:szCs w:val="18"/>
              </w:rPr>
            </w:pPr>
            <w:r>
              <w:rPr>
                <w:sz w:val="18"/>
                <w:szCs w:val="18"/>
              </w:rPr>
              <w:t>无机</w:t>
            </w:r>
          </w:p>
        </w:tc>
        <w:tc>
          <w:tcPr>
            <w:tcW w:w="573" w:type="dxa"/>
            <w:vAlign w:val="center"/>
          </w:tcPr>
          <w:p w14:paraId="74660396">
            <w:pPr>
              <w:pStyle w:val="34"/>
              <w:rPr>
                <w:sz w:val="18"/>
                <w:szCs w:val="18"/>
              </w:rPr>
            </w:pPr>
            <w:r>
              <w:rPr>
                <w:sz w:val="18"/>
                <w:szCs w:val="18"/>
              </w:rPr>
              <w:t>五硫化二磷</w:t>
            </w:r>
          </w:p>
        </w:tc>
        <w:tc>
          <w:tcPr>
            <w:tcW w:w="3137" w:type="dxa"/>
            <w:gridSpan w:val="2"/>
            <w:vAlign w:val="center"/>
          </w:tcPr>
          <w:p w14:paraId="08A47573">
            <w:pPr>
              <w:pStyle w:val="34"/>
              <w:rPr>
                <w:sz w:val="18"/>
                <w:szCs w:val="18"/>
              </w:rPr>
            </w:pPr>
            <w:r>
              <w:rPr>
                <w:sz w:val="18"/>
                <w:szCs w:val="18"/>
              </w:rPr>
              <w:t>遇明火、高热、摩擦、撞击有引起燃烧的危险。与氧化剂混合能形成有爆炸性的混合物。燃烧</w:t>
            </w:r>
            <w:r>
              <w:rPr>
                <w:rFonts w:hint="eastAsia"/>
                <w:sz w:val="18"/>
                <w:szCs w:val="18"/>
                <w:lang w:eastAsia="zh-CN"/>
              </w:rPr>
              <w:t>释放</w:t>
            </w:r>
            <w:r>
              <w:rPr>
                <w:sz w:val="18"/>
                <w:szCs w:val="18"/>
              </w:rPr>
              <w:t>出有毒的刺激性烟雾。遇水或水蒸气反应放出有毒气体硫化氢。</w:t>
            </w:r>
          </w:p>
        </w:tc>
        <w:tc>
          <w:tcPr>
            <w:tcW w:w="2840" w:type="dxa"/>
            <w:vAlign w:val="center"/>
          </w:tcPr>
          <w:p w14:paraId="283A7C3E">
            <w:pPr>
              <w:pStyle w:val="34"/>
              <w:rPr>
                <w:sz w:val="18"/>
                <w:szCs w:val="18"/>
              </w:rPr>
            </w:pPr>
            <w:r>
              <w:rPr>
                <w:sz w:val="18"/>
                <w:szCs w:val="18"/>
              </w:rPr>
              <w:t>LD50：389mg</w:t>
            </w:r>
            <w:r>
              <w:rPr>
                <w:rFonts w:hint="eastAsia"/>
                <w:sz w:val="18"/>
                <w:szCs w:val="18"/>
              </w:rPr>
              <w:t>/</w:t>
            </w:r>
            <w:r>
              <w:rPr>
                <w:sz w:val="18"/>
                <w:szCs w:val="18"/>
              </w:rPr>
              <w:t>kg(大鼠经口)</w:t>
            </w:r>
          </w:p>
        </w:tc>
        <w:tc>
          <w:tcPr>
            <w:tcW w:w="3270" w:type="dxa"/>
            <w:vAlign w:val="center"/>
          </w:tcPr>
          <w:p w14:paraId="66BD2A97">
            <w:pPr>
              <w:pStyle w:val="34"/>
              <w:rPr>
                <w:sz w:val="18"/>
                <w:szCs w:val="18"/>
              </w:rPr>
            </w:pPr>
            <w:r>
              <w:rPr>
                <w:sz w:val="18"/>
                <w:szCs w:val="18"/>
              </w:rPr>
              <w:t>对眼、呼吸道及皮肤有刺激作用</w:t>
            </w:r>
          </w:p>
        </w:tc>
        <w:tc>
          <w:tcPr>
            <w:tcW w:w="1440" w:type="dxa"/>
            <w:vAlign w:val="center"/>
          </w:tcPr>
          <w:p w14:paraId="0217DB6B">
            <w:pPr>
              <w:pStyle w:val="34"/>
              <w:rPr>
                <w:sz w:val="18"/>
                <w:szCs w:val="18"/>
              </w:rPr>
            </w:pPr>
            <w:r>
              <w:rPr>
                <w:sz w:val="18"/>
                <w:szCs w:val="18"/>
              </w:rPr>
              <w:t>与水反应生成磷酸和硫化氢气体，导致水体呈酸性。</w:t>
            </w:r>
          </w:p>
        </w:tc>
        <w:tc>
          <w:tcPr>
            <w:tcW w:w="971" w:type="dxa"/>
            <w:vAlign w:val="center"/>
          </w:tcPr>
          <w:p w14:paraId="6849554F">
            <w:pPr>
              <w:pStyle w:val="34"/>
              <w:rPr>
                <w:sz w:val="18"/>
                <w:szCs w:val="18"/>
              </w:rPr>
            </w:pPr>
            <w:r>
              <w:rPr>
                <w:rFonts w:hint="eastAsia"/>
                <w:sz w:val="18"/>
                <w:szCs w:val="18"/>
              </w:rPr>
              <w:t>200kg聚丙烯袋装，常温常压运输</w:t>
            </w:r>
          </w:p>
        </w:tc>
      </w:tr>
      <w:tr w14:paraId="406F9D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2FD8538">
            <w:pPr>
              <w:pStyle w:val="34"/>
              <w:numPr>
                <w:ilvl w:val="0"/>
                <w:numId w:val="55"/>
              </w:numPr>
              <w:rPr>
                <w:sz w:val="18"/>
                <w:szCs w:val="18"/>
              </w:rPr>
            </w:pPr>
          </w:p>
        </w:tc>
        <w:tc>
          <w:tcPr>
            <w:tcW w:w="584" w:type="dxa"/>
            <w:vMerge w:val="continue"/>
            <w:vAlign w:val="center"/>
          </w:tcPr>
          <w:p w14:paraId="22EC5F9B">
            <w:pPr>
              <w:pStyle w:val="34"/>
              <w:rPr>
                <w:sz w:val="18"/>
                <w:szCs w:val="18"/>
              </w:rPr>
            </w:pPr>
          </w:p>
        </w:tc>
        <w:tc>
          <w:tcPr>
            <w:tcW w:w="567" w:type="dxa"/>
            <w:vMerge w:val="continue"/>
            <w:vAlign w:val="center"/>
          </w:tcPr>
          <w:p w14:paraId="611C81DE">
            <w:pPr>
              <w:pStyle w:val="34"/>
              <w:rPr>
                <w:sz w:val="18"/>
                <w:szCs w:val="18"/>
              </w:rPr>
            </w:pPr>
          </w:p>
        </w:tc>
        <w:tc>
          <w:tcPr>
            <w:tcW w:w="419" w:type="dxa"/>
            <w:vMerge w:val="continue"/>
            <w:vAlign w:val="center"/>
          </w:tcPr>
          <w:p w14:paraId="1DAF0335">
            <w:pPr>
              <w:pStyle w:val="34"/>
              <w:rPr>
                <w:sz w:val="18"/>
                <w:szCs w:val="18"/>
              </w:rPr>
            </w:pPr>
          </w:p>
        </w:tc>
        <w:tc>
          <w:tcPr>
            <w:tcW w:w="573" w:type="dxa"/>
            <w:vAlign w:val="center"/>
          </w:tcPr>
          <w:p w14:paraId="5E1ACEC3">
            <w:pPr>
              <w:pStyle w:val="34"/>
              <w:rPr>
                <w:sz w:val="18"/>
                <w:szCs w:val="18"/>
              </w:rPr>
            </w:pPr>
            <w:r>
              <w:rPr>
                <w:sz w:val="18"/>
                <w:szCs w:val="18"/>
              </w:rPr>
              <w:t>磷化铝</w:t>
            </w:r>
          </w:p>
        </w:tc>
        <w:tc>
          <w:tcPr>
            <w:tcW w:w="3137" w:type="dxa"/>
            <w:gridSpan w:val="2"/>
            <w:vAlign w:val="center"/>
          </w:tcPr>
          <w:p w14:paraId="457AE5C2">
            <w:pPr>
              <w:pStyle w:val="34"/>
              <w:rPr>
                <w:sz w:val="18"/>
                <w:szCs w:val="18"/>
              </w:rPr>
            </w:pPr>
            <w:r>
              <w:rPr>
                <w:rFonts w:hint="eastAsia"/>
                <w:sz w:val="18"/>
                <w:szCs w:val="18"/>
              </w:rPr>
              <w:t>遇酸或水和潮气时，能发生剧烈反应，放出剧毒的自燃的磷化氢气体，当温度超过60℃时会立即在空气中自燃,强烈反应，引起燃烧或爆炸。</w:t>
            </w:r>
          </w:p>
          <w:p w14:paraId="16CD11EE">
            <w:pPr>
              <w:pStyle w:val="34"/>
              <w:rPr>
                <w:sz w:val="18"/>
                <w:szCs w:val="18"/>
              </w:rPr>
            </w:pPr>
            <w:r>
              <w:rPr>
                <w:rFonts w:hint="eastAsia"/>
                <w:sz w:val="18"/>
                <w:szCs w:val="18"/>
              </w:rPr>
              <w:t>溶于水产生易燃气体磷化氢。</w:t>
            </w:r>
          </w:p>
        </w:tc>
        <w:tc>
          <w:tcPr>
            <w:tcW w:w="2840" w:type="dxa"/>
            <w:vAlign w:val="center"/>
          </w:tcPr>
          <w:p w14:paraId="543591C1">
            <w:pPr>
              <w:pStyle w:val="34"/>
              <w:rPr>
                <w:sz w:val="18"/>
                <w:szCs w:val="18"/>
              </w:rPr>
            </w:pPr>
            <w:r>
              <w:rPr>
                <w:sz w:val="18"/>
                <w:szCs w:val="18"/>
              </w:rPr>
              <w:t>LD50：</w:t>
            </w:r>
            <w:r>
              <w:rPr>
                <w:rFonts w:hint="eastAsia"/>
                <w:sz w:val="18"/>
                <w:szCs w:val="18"/>
              </w:rPr>
              <w:t>11.5</w:t>
            </w:r>
            <w:r>
              <w:rPr>
                <w:sz w:val="18"/>
                <w:szCs w:val="18"/>
              </w:rPr>
              <w:t>mg</w:t>
            </w:r>
            <w:r>
              <w:rPr>
                <w:rFonts w:hint="eastAsia"/>
                <w:sz w:val="18"/>
                <w:szCs w:val="18"/>
              </w:rPr>
              <w:t>/</w:t>
            </w:r>
            <w:r>
              <w:rPr>
                <w:sz w:val="18"/>
                <w:szCs w:val="18"/>
              </w:rPr>
              <w:t>kg(大鼠经口)</w:t>
            </w:r>
          </w:p>
          <w:p w14:paraId="26257F18">
            <w:pPr>
              <w:pStyle w:val="34"/>
              <w:rPr>
                <w:sz w:val="18"/>
                <w:szCs w:val="18"/>
              </w:rPr>
            </w:pPr>
            <w:r>
              <w:rPr>
                <w:sz w:val="18"/>
                <w:szCs w:val="18"/>
              </w:rPr>
              <w:t>L</w:t>
            </w:r>
            <w:r>
              <w:rPr>
                <w:rFonts w:hint="eastAsia"/>
                <w:sz w:val="18"/>
                <w:szCs w:val="18"/>
              </w:rPr>
              <w:t>C</w:t>
            </w:r>
            <w:r>
              <w:rPr>
                <w:sz w:val="18"/>
                <w:szCs w:val="18"/>
              </w:rPr>
              <w:t>50：</w:t>
            </w:r>
            <w:r>
              <w:rPr>
                <w:rFonts w:hint="eastAsia"/>
                <w:sz w:val="18"/>
                <w:szCs w:val="18"/>
              </w:rPr>
              <w:t>15.5</w:t>
            </w:r>
            <w:r>
              <w:rPr>
                <w:sz w:val="18"/>
                <w:szCs w:val="18"/>
              </w:rPr>
              <w:t>mg</w:t>
            </w:r>
            <w:r>
              <w:rPr>
                <w:rFonts w:hint="eastAsia"/>
                <w:sz w:val="18"/>
                <w:szCs w:val="18"/>
              </w:rPr>
              <w:t>/m</w:t>
            </w:r>
            <w:r>
              <w:rPr>
                <w:rFonts w:hint="eastAsia"/>
                <w:sz w:val="18"/>
                <w:szCs w:val="18"/>
                <w:vertAlign w:val="superscript"/>
              </w:rPr>
              <w:t>3</w:t>
            </w:r>
            <w:r>
              <w:rPr>
                <w:sz w:val="18"/>
                <w:szCs w:val="18"/>
              </w:rPr>
              <w:t>(</w:t>
            </w:r>
            <w:r>
              <w:rPr>
                <w:rFonts w:hint="eastAsia"/>
                <w:sz w:val="18"/>
                <w:szCs w:val="18"/>
              </w:rPr>
              <w:t>大鼠吸入，4小时</w:t>
            </w:r>
            <w:r>
              <w:rPr>
                <w:sz w:val="18"/>
                <w:szCs w:val="18"/>
              </w:rPr>
              <w:t>)</w:t>
            </w:r>
          </w:p>
        </w:tc>
        <w:tc>
          <w:tcPr>
            <w:tcW w:w="3270" w:type="dxa"/>
            <w:vAlign w:val="center"/>
          </w:tcPr>
          <w:p w14:paraId="0789775E">
            <w:pPr>
              <w:pStyle w:val="34"/>
              <w:rPr>
                <w:sz w:val="18"/>
                <w:szCs w:val="18"/>
              </w:rPr>
            </w:pPr>
            <w:r>
              <w:rPr>
                <w:rFonts w:hint="eastAsia"/>
                <w:sz w:val="18"/>
                <w:szCs w:val="18"/>
              </w:rPr>
              <w:t>吸入磷化氢气体引起头晕、头痛、恶心、乏力、食欲减退、胸闷及上腹部疼痛等。严重者有中毒性精神症状，脑水肿，肺水肿、肝、肾及心肌损害，心律紊乱。</w:t>
            </w:r>
          </w:p>
        </w:tc>
        <w:tc>
          <w:tcPr>
            <w:tcW w:w="1440" w:type="dxa"/>
            <w:vAlign w:val="center"/>
          </w:tcPr>
          <w:p w14:paraId="3FB4F4BD">
            <w:pPr>
              <w:pStyle w:val="34"/>
              <w:rPr>
                <w:sz w:val="18"/>
                <w:szCs w:val="18"/>
              </w:rPr>
            </w:pPr>
            <w:r>
              <w:rPr>
                <w:rFonts w:hint="eastAsia"/>
                <w:sz w:val="18"/>
                <w:szCs w:val="18"/>
              </w:rPr>
              <w:t>遇水分解产生磷化氢引起中毒。</w:t>
            </w:r>
          </w:p>
        </w:tc>
        <w:tc>
          <w:tcPr>
            <w:tcW w:w="971" w:type="dxa"/>
            <w:vAlign w:val="center"/>
          </w:tcPr>
          <w:p w14:paraId="1C1DDB37">
            <w:pPr>
              <w:pStyle w:val="34"/>
              <w:rPr>
                <w:sz w:val="18"/>
                <w:szCs w:val="18"/>
              </w:rPr>
            </w:pPr>
            <w:r>
              <w:rPr>
                <w:rFonts w:hint="eastAsia"/>
                <w:sz w:val="18"/>
                <w:szCs w:val="18"/>
              </w:rPr>
              <w:t>200kg聚丙烯袋装，常温常压运输</w:t>
            </w:r>
          </w:p>
        </w:tc>
      </w:tr>
      <w:tr w14:paraId="06FF25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500E7BE">
            <w:pPr>
              <w:pStyle w:val="34"/>
              <w:numPr>
                <w:ilvl w:val="0"/>
                <w:numId w:val="55"/>
              </w:numPr>
              <w:rPr>
                <w:sz w:val="18"/>
                <w:szCs w:val="18"/>
              </w:rPr>
            </w:pPr>
          </w:p>
        </w:tc>
        <w:tc>
          <w:tcPr>
            <w:tcW w:w="584" w:type="dxa"/>
            <w:vMerge w:val="continue"/>
            <w:vAlign w:val="center"/>
          </w:tcPr>
          <w:p w14:paraId="5EC71B18">
            <w:pPr>
              <w:pStyle w:val="34"/>
              <w:rPr>
                <w:sz w:val="18"/>
                <w:szCs w:val="18"/>
              </w:rPr>
            </w:pPr>
          </w:p>
        </w:tc>
        <w:tc>
          <w:tcPr>
            <w:tcW w:w="567" w:type="dxa"/>
            <w:vMerge w:val="continue"/>
            <w:vAlign w:val="center"/>
          </w:tcPr>
          <w:p w14:paraId="176754F8">
            <w:pPr>
              <w:pStyle w:val="34"/>
              <w:rPr>
                <w:sz w:val="18"/>
                <w:szCs w:val="18"/>
              </w:rPr>
            </w:pPr>
          </w:p>
        </w:tc>
        <w:tc>
          <w:tcPr>
            <w:tcW w:w="419" w:type="dxa"/>
            <w:vMerge w:val="continue"/>
            <w:vAlign w:val="center"/>
          </w:tcPr>
          <w:p w14:paraId="72335B1F">
            <w:pPr>
              <w:pStyle w:val="34"/>
              <w:rPr>
                <w:sz w:val="18"/>
                <w:szCs w:val="18"/>
              </w:rPr>
            </w:pPr>
          </w:p>
        </w:tc>
        <w:tc>
          <w:tcPr>
            <w:tcW w:w="573" w:type="dxa"/>
            <w:vAlign w:val="center"/>
          </w:tcPr>
          <w:p w14:paraId="373BBAD5">
            <w:pPr>
              <w:pStyle w:val="34"/>
              <w:rPr>
                <w:sz w:val="18"/>
                <w:szCs w:val="18"/>
              </w:rPr>
            </w:pPr>
            <w:r>
              <w:rPr>
                <w:sz w:val="18"/>
                <w:szCs w:val="18"/>
              </w:rPr>
              <w:t>磷化钙</w:t>
            </w:r>
          </w:p>
        </w:tc>
        <w:tc>
          <w:tcPr>
            <w:tcW w:w="3137" w:type="dxa"/>
            <w:gridSpan w:val="2"/>
            <w:vAlign w:val="center"/>
          </w:tcPr>
          <w:p w14:paraId="097B5FEA">
            <w:pPr>
              <w:pStyle w:val="34"/>
              <w:rPr>
                <w:sz w:val="18"/>
                <w:szCs w:val="18"/>
              </w:rPr>
            </w:pPr>
            <w:r>
              <w:rPr>
                <w:sz w:val="18"/>
                <w:szCs w:val="18"/>
              </w:rPr>
              <w:t>遇湿放出磷化氢</w:t>
            </w:r>
          </w:p>
        </w:tc>
        <w:tc>
          <w:tcPr>
            <w:tcW w:w="2840" w:type="dxa"/>
            <w:vAlign w:val="center"/>
          </w:tcPr>
          <w:p w14:paraId="5D1B4203">
            <w:pPr>
              <w:pStyle w:val="34"/>
              <w:rPr>
                <w:sz w:val="18"/>
                <w:szCs w:val="18"/>
              </w:rPr>
            </w:pPr>
            <w:r>
              <w:rPr>
                <w:sz w:val="18"/>
                <w:szCs w:val="18"/>
              </w:rPr>
              <w:t>/</w:t>
            </w:r>
          </w:p>
        </w:tc>
        <w:tc>
          <w:tcPr>
            <w:tcW w:w="3270" w:type="dxa"/>
            <w:vAlign w:val="center"/>
          </w:tcPr>
          <w:p w14:paraId="79C05B28">
            <w:pPr>
              <w:pStyle w:val="34"/>
              <w:rPr>
                <w:sz w:val="18"/>
                <w:szCs w:val="18"/>
              </w:rPr>
            </w:pPr>
            <w:r>
              <w:rPr>
                <w:sz w:val="18"/>
                <w:szCs w:val="18"/>
              </w:rPr>
              <w:t>遇水和空气中湿气会放出有毒磷化氢，是急性局部刺激剂，可引起情绪急躁、颤抖、疲乏、肠胃痛、腹泻、昏迷及痉挛</w:t>
            </w:r>
          </w:p>
        </w:tc>
        <w:tc>
          <w:tcPr>
            <w:tcW w:w="1440" w:type="dxa"/>
            <w:vAlign w:val="center"/>
          </w:tcPr>
          <w:p w14:paraId="63760737">
            <w:pPr>
              <w:pStyle w:val="34"/>
              <w:rPr>
                <w:sz w:val="18"/>
                <w:szCs w:val="18"/>
              </w:rPr>
            </w:pPr>
            <w:r>
              <w:rPr>
                <w:sz w:val="18"/>
                <w:szCs w:val="18"/>
              </w:rPr>
              <w:t>遇水会放出有毒磷化氢</w:t>
            </w:r>
            <w:r>
              <w:rPr>
                <w:rFonts w:hint="eastAsia"/>
                <w:sz w:val="18"/>
                <w:szCs w:val="18"/>
              </w:rPr>
              <w:t>，</w:t>
            </w:r>
            <w:r>
              <w:rPr>
                <w:sz w:val="18"/>
                <w:szCs w:val="18"/>
              </w:rPr>
              <w:t>磷化氢</w:t>
            </w:r>
            <w:r>
              <w:rPr>
                <w:rFonts w:hint="eastAsia"/>
                <w:sz w:val="18"/>
                <w:szCs w:val="18"/>
              </w:rPr>
              <w:t>微溶于水，磷化氢易被氧化为磷的其他形态，可对海洋浮游植物产生影响</w:t>
            </w:r>
            <w:r>
              <w:rPr>
                <w:sz w:val="18"/>
                <w:szCs w:val="18"/>
              </w:rPr>
              <w:t>。</w:t>
            </w:r>
          </w:p>
        </w:tc>
        <w:tc>
          <w:tcPr>
            <w:tcW w:w="971" w:type="dxa"/>
            <w:vAlign w:val="center"/>
          </w:tcPr>
          <w:p w14:paraId="41FFA238">
            <w:pPr>
              <w:pStyle w:val="34"/>
              <w:rPr>
                <w:sz w:val="18"/>
                <w:szCs w:val="18"/>
              </w:rPr>
            </w:pPr>
            <w:r>
              <w:rPr>
                <w:rFonts w:hint="eastAsia"/>
                <w:sz w:val="18"/>
                <w:szCs w:val="18"/>
              </w:rPr>
              <w:t>200kg聚丙烯袋装，常温常压运输</w:t>
            </w:r>
          </w:p>
        </w:tc>
      </w:tr>
      <w:tr w14:paraId="5AB633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53B1EA3">
            <w:pPr>
              <w:pStyle w:val="34"/>
              <w:numPr>
                <w:ilvl w:val="0"/>
                <w:numId w:val="55"/>
              </w:numPr>
              <w:rPr>
                <w:sz w:val="18"/>
                <w:szCs w:val="18"/>
              </w:rPr>
            </w:pPr>
          </w:p>
        </w:tc>
        <w:tc>
          <w:tcPr>
            <w:tcW w:w="584" w:type="dxa"/>
            <w:vMerge w:val="continue"/>
            <w:vAlign w:val="center"/>
          </w:tcPr>
          <w:p w14:paraId="4812F814">
            <w:pPr>
              <w:pStyle w:val="34"/>
              <w:rPr>
                <w:sz w:val="18"/>
                <w:szCs w:val="18"/>
              </w:rPr>
            </w:pPr>
          </w:p>
        </w:tc>
        <w:tc>
          <w:tcPr>
            <w:tcW w:w="567" w:type="dxa"/>
            <w:vMerge w:val="continue"/>
            <w:vAlign w:val="center"/>
          </w:tcPr>
          <w:p w14:paraId="1AC3FF32">
            <w:pPr>
              <w:pStyle w:val="34"/>
              <w:rPr>
                <w:sz w:val="18"/>
                <w:szCs w:val="18"/>
              </w:rPr>
            </w:pPr>
          </w:p>
        </w:tc>
        <w:tc>
          <w:tcPr>
            <w:tcW w:w="419" w:type="dxa"/>
            <w:vMerge w:val="continue"/>
            <w:vAlign w:val="center"/>
          </w:tcPr>
          <w:p w14:paraId="6C21D22A">
            <w:pPr>
              <w:pStyle w:val="34"/>
              <w:rPr>
                <w:sz w:val="18"/>
                <w:szCs w:val="18"/>
              </w:rPr>
            </w:pPr>
          </w:p>
        </w:tc>
        <w:tc>
          <w:tcPr>
            <w:tcW w:w="573" w:type="dxa"/>
            <w:vAlign w:val="center"/>
          </w:tcPr>
          <w:p w14:paraId="68888D84">
            <w:pPr>
              <w:pStyle w:val="34"/>
              <w:rPr>
                <w:sz w:val="18"/>
                <w:szCs w:val="18"/>
              </w:rPr>
            </w:pPr>
            <w:r>
              <w:rPr>
                <w:sz w:val="18"/>
                <w:szCs w:val="18"/>
              </w:rPr>
              <w:t>氯酸钠</w:t>
            </w:r>
          </w:p>
        </w:tc>
        <w:tc>
          <w:tcPr>
            <w:tcW w:w="3137" w:type="dxa"/>
            <w:gridSpan w:val="2"/>
            <w:vAlign w:val="center"/>
          </w:tcPr>
          <w:p w14:paraId="59A9EF52">
            <w:pPr>
              <w:pStyle w:val="34"/>
              <w:rPr>
                <w:sz w:val="18"/>
                <w:szCs w:val="18"/>
              </w:rPr>
            </w:pPr>
            <w:r>
              <w:rPr>
                <w:rFonts w:hint="eastAsia"/>
                <w:sz w:val="18"/>
                <w:szCs w:val="18"/>
              </w:rPr>
              <w:t>强氧化剂。受强热或与强酸接触时即发生爆炸。与还原剂、有机物、易燃物如硫、磷或金属粉末等混合可形成爆炸性混合物。急剧加热时可发生爆炸。</w:t>
            </w:r>
          </w:p>
        </w:tc>
        <w:tc>
          <w:tcPr>
            <w:tcW w:w="2840" w:type="dxa"/>
            <w:vAlign w:val="center"/>
          </w:tcPr>
          <w:p w14:paraId="674F0BFB">
            <w:pPr>
              <w:pStyle w:val="34"/>
              <w:rPr>
                <w:sz w:val="18"/>
                <w:szCs w:val="18"/>
              </w:rPr>
            </w:pPr>
            <w:r>
              <w:rPr>
                <w:sz w:val="18"/>
                <w:szCs w:val="18"/>
              </w:rPr>
              <w:t>LD50：</w:t>
            </w:r>
            <w:r>
              <w:rPr>
                <w:rFonts w:hint="eastAsia"/>
                <w:sz w:val="18"/>
                <w:szCs w:val="18"/>
              </w:rPr>
              <w:t>1200</w:t>
            </w:r>
            <w:r>
              <w:rPr>
                <w:sz w:val="18"/>
                <w:szCs w:val="18"/>
              </w:rPr>
              <w:t>mg</w:t>
            </w:r>
            <w:r>
              <w:rPr>
                <w:rFonts w:hint="eastAsia"/>
                <w:sz w:val="18"/>
                <w:szCs w:val="18"/>
              </w:rPr>
              <w:t>/</w:t>
            </w:r>
            <w:r>
              <w:rPr>
                <w:sz w:val="18"/>
                <w:szCs w:val="18"/>
              </w:rPr>
              <w:t>kg(</w:t>
            </w:r>
            <w:r>
              <w:rPr>
                <w:rFonts w:hint="eastAsia"/>
                <w:sz w:val="18"/>
                <w:szCs w:val="18"/>
              </w:rPr>
              <w:t>大鼠经口</w:t>
            </w:r>
            <w:r>
              <w:rPr>
                <w:sz w:val="18"/>
                <w:szCs w:val="18"/>
              </w:rPr>
              <w:t>)</w:t>
            </w:r>
          </w:p>
        </w:tc>
        <w:tc>
          <w:tcPr>
            <w:tcW w:w="3270" w:type="dxa"/>
            <w:vAlign w:val="center"/>
          </w:tcPr>
          <w:p w14:paraId="5E8B8B4D">
            <w:pPr>
              <w:pStyle w:val="34"/>
              <w:rPr>
                <w:sz w:val="18"/>
                <w:szCs w:val="18"/>
              </w:rPr>
            </w:pPr>
            <w:r>
              <w:rPr>
                <w:sz w:val="18"/>
                <w:szCs w:val="18"/>
              </w:rPr>
              <w:t>粉尘进入呼吸道、眼及皮肤有刺激性。口服急性中毒，表现为高铁血红蛋白症，胃肠炎，肝肾损伤，甚至发生窒息。</w:t>
            </w:r>
          </w:p>
        </w:tc>
        <w:tc>
          <w:tcPr>
            <w:tcW w:w="1440" w:type="dxa"/>
            <w:vAlign w:val="center"/>
          </w:tcPr>
          <w:p w14:paraId="2A6BF120">
            <w:pPr>
              <w:pStyle w:val="34"/>
              <w:rPr>
                <w:sz w:val="18"/>
                <w:szCs w:val="18"/>
              </w:rPr>
            </w:pPr>
            <w:r>
              <w:rPr>
                <w:sz w:val="18"/>
                <w:szCs w:val="18"/>
              </w:rPr>
              <w:t>氯酸钠水解产生次氯酸钠，使水体中氯离子浓度上升，影响水体p</w:t>
            </w:r>
            <w:r>
              <w:rPr>
                <w:rFonts w:hint="eastAsia"/>
                <w:sz w:val="18"/>
                <w:szCs w:val="18"/>
              </w:rPr>
              <w:t>H值。</w:t>
            </w:r>
          </w:p>
        </w:tc>
        <w:tc>
          <w:tcPr>
            <w:tcW w:w="971" w:type="dxa"/>
            <w:vAlign w:val="center"/>
          </w:tcPr>
          <w:p w14:paraId="0A0E1E89">
            <w:pPr>
              <w:pStyle w:val="34"/>
              <w:rPr>
                <w:sz w:val="18"/>
                <w:szCs w:val="18"/>
              </w:rPr>
            </w:pPr>
            <w:r>
              <w:rPr>
                <w:rFonts w:hint="eastAsia"/>
                <w:sz w:val="18"/>
                <w:szCs w:val="18"/>
              </w:rPr>
              <w:t>50kg聚丙烯袋装，常温常压运输</w:t>
            </w:r>
          </w:p>
        </w:tc>
      </w:tr>
      <w:tr w14:paraId="62952B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ADB0065">
            <w:pPr>
              <w:pStyle w:val="34"/>
              <w:numPr>
                <w:ilvl w:val="0"/>
                <w:numId w:val="55"/>
              </w:numPr>
              <w:rPr>
                <w:sz w:val="18"/>
                <w:szCs w:val="18"/>
              </w:rPr>
            </w:pPr>
          </w:p>
        </w:tc>
        <w:tc>
          <w:tcPr>
            <w:tcW w:w="584" w:type="dxa"/>
            <w:vMerge w:val="continue"/>
            <w:vAlign w:val="center"/>
          </w:tcPr>
          <w:p w14:paraId="5EAAD9FD">
            <w:pPr>
              <w:pStyle w:val="34"/>
              <w:rPr>
                <w:sz w:val="18"/>
                <w:szCs w:val="18"/>
              </w:rPr>
            </w:pPr>
          </w:p>
        </w:tc>
        <w:tc>
          <w:tcPr>
            <w:tcW w:w="567" w:type="dxa"/>
            <w:vMerge w:val="continue"/>
            <w:vAlign w:val="center"/>
          </w:tcPr>
          <w:p w14:paraId="5B799AB2">
            <w:pPr>
              <w:pStyle w:val="34"/>
              <w:rPr>
                <w:sz w:val="18"/>
                <w:szCs w:val="18"/>
              </w:rPr>
            </w:pPr>
          </w:p>
        </w:tc>
        <w:tc>
          <w:tcPr>
            <w:tcW w:w="419" w:type="dxa"/>
            <w:vMerge w:val="continue"/>
            <w:vAlign w:val="center"/>
          </w:tcPr>
          <w:p w14:paraId="63308C0F">
            <w:pPr>
              <w:pStyle w:val="34"/>
              <w:rPr>
                <w:sz w:val="18"/>
                <w:szCs w:val="18"/>
              </w:rPr>
            </w:pPr>
          </w:p>
        </w:tc>
        <w:tc>
          <w:tcPr>
            <w:tcW w:w="573" w:type="dxa"/>
            <w:vAlign w:val="center"/>
          </w:tcPr>
          <w:p w14:paraId="5879FCC8">
            <w:pPr>
              <w:pStyle w:val="34"/>
              <w:rPr>
                <w:sz w:val="18"/>
                <w:szCs w:val="18"/>
              </w:rPr>
            </w:pPr>
            <w:r>
              <w:rPr>
                <w:sz w:val="18"/>
                <w:szCs w:val="18"/>
              </w:rPr>
              <w:t>硝酸铵</w:t>
            </w:r>
          </w:p>
        </w:tc>
        <w:tc>
          <w:tcPr>
            <w:tcW w:w="3137" w:type="dxa"/>
            <w:gridSpan w:val="2"/>
            <w:vAlign w:val="center"/>
          </w:tcPr>
          <w:p w14:paraId="5AE35C9F">
            <w:pPr>
              <w:pStyle w:val="34"/>
              <w:rPr>
                <w:sz w:val="18"/>
                <w:szCs w:val="18"/>
              </w:rPr>
            </w:pPr>
            <w:r>
              <w:rPr>
                <w:sz w:val="18"/>
                <w:szCs w:val="18"/>
              </w:rPr>
              <w:t>与还原剂、有机物、易燃物如硫、磷或金属粉末等混合可形成爆炸性混合物，经摩擦、震动或撞击可引起燃烧或爆炸。急剧加热时可发生爆炸。</w:t>
            </w:r>
          </w:p>
        </w:tc>
        <w:tc>
          <w:tcPr>
            <w:tcW w:w="2840" w:type="dxa"/>
            <w:vAlign w:val="center"/>
          </w:tcPr>
          <w:p w14:paraId="5F65230A">
            <w:pPr>
              <w:pStyle w:val="34"/>
              <w:rPr>
                <w:sz w:val="18"/>
                <w:szCs w:val="18"/>
              </w:rPr>
            </w:pPr>
            <w:r>
              <w:rPr>
                <w:sz w:val="18"/>
                <w:szCs w:val="18"/>
              </w:rPr>
              <w:t>LD50：4820mg</w:t>
            </w:r>
            <w:r>
              <w:rPr>
                <w:rFonts w:hint="eastAsia"/>
                <w:sz w:val="18"/>
                <w:szCs w:val="18"/>
              </w:rPr>
              <w:t>/</w:t>
            </w:r>
            <w:r>
              <w:rPr>
                <w:sz w:val="18"/>
                <w:szCs w:val="18"/>
              </w:rPr>
              <w:t>kg(大鼠经口)</w:t>
            </w:r>
          </w:p>
        </w:tc>
        <w:tc>
          <w:tcPr>
            <w:tcW w:w="3270" w:type="dxa"/>
            <w:vAlign w:val="center"/>
          </w:tcPr>
          <w:p w14:paraId="45FE2A52">
            <w:pPr>
              <w:pStyle w:val="34"/>
              <w:rPr>
                <w:sz w:val="18"/>
                <w:szCs w:val="18"/>
              </w:rPr>
            </w:pPr>
            <w:r>
              <w:rPr>
                <w:sz w:val="18"/>
                <w:szCs w:val="18"/>
              </w:rPr>
              <w:t>对呼吸道、眼及皮肤有刺激性。接触后可引起恶心、呕吐、头痛、虚弱、无力和虚脱等。大量接触可使高铁血红蛋白形成，影响血液的携氧能力，出现紫绀、头痛、头晕、虚脱，甚至死亡。</w:t>
            </w:r>
          </w:p>
        </w:tc>
        <w:tc>
          <w:tcPr>
            <w:tcW w:w="1440" w:type="dxa"/>
            <w:vAlign w:val="center"/>
          </w:tcPr>
          <w:p w14:paraId="42AA7703">
            <w:pPr>
              <w:pStyle w:val="34"/>
              <w:rPr>
                <w:sz w:val="18"/>
                <w:szCs w:val="18"/>
              </w:rPr>
            </w:pPr>
            <w:r>
              <w:rPr>
                <w:sz w:val="18"/>
                <w:szCs w:val="18"/>
              </w:rPr>
              <w:t>溶于水后主要产生氨和硝酸，主要影响水体pH，从而进一步对水生生物造成影响。</w:t>
            </w:r>
          </w:p>
        </w:tc>
        <w:tc>
          <w:tcPr>
            <w:tcW w:w="971" w:type="dxa"/>
            <w:vAlign w:val="center"/>
          </w:tcPr>
          <w:p w14:paraId="20A48529">
            <w:pPr>
              <w:pStyle w:val="34"/>
              <w:rPr>
                <w:sz w:val="18"/>
                <w:szCs w:val="18"/>
              </w:rPr>
            </w:pPr>
            <w:r>
              <w:rPr>
                <w:rFonts w:hint="eastAsia"/>
                <w:sz w:val="18"/>
                <w:szCs w:val="18"/>
              </w:rPr>
              <w:t>50kg聚丙烯袋装，常温常压运输</w:t>
            </w:r>
          </w:p>
        </w:tc>
      </w:tr>
      <w:tr w14:paraId="720137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FC2AECA">
            <w:pPr>
              <w:pStyle w:val="34"/>
              <w:numPr>
                <w:ilvl w:val="0"/>
                <w:numId w:val="55"/>
              </w:numPr>
              <w:rPr>
                <w:sz w:val="18"/>
                <w:szCs w:val="18"/>
              </w:rPr>
            </w:pPr>
          </w:p>
        </w:tc>
        <w:tc>
          <w:tcPr>
            <w:tcW w:w="584" w:type="dxa"/>
            <w:vMerge w:val="continue"/>
            <w:vAlign w:val="center"/>
          </w:tcPr>
          <w:p w14:paraId="3AB83BBF">
            <w:pPr>
              <w:pStyle w:val="34"/>
              <w:rPr>
                <w:sz w:val="18"/>
                <w:szCs w:val="18"/>
              </w:rPr>
            </w:pPr>
          </w:p>
        </w:tc>
        <w:tc>
          <w:tcPr>
            <w:tcW w:w="567" w:type="dxa"/>
            <w:vMerge w:val="continue"/>
            <w:vAlign w:val="center"/>
          </w:tcPr>
          <w:p w14:paraId="48D8E959">
            <w:pPr>
              <w:pStyle w:val="34"/>
              <w:rPr>
                <w:sz w:val="18"/>
                <w:szCs w:val="18"/>
              </w:rPr>
            </w:pPr>
          </w:p>
        </w:tc>
        <w:tc>
          <w:tcPr>
            <w:tcW w:w="419" w:type="dxa"/>
            <w:vMerge w:val="continue"/>
            <w:vAlign w:val="center"/>
          </w:tcPr>
          <w:p w14:paraId="447CE8CD">
            <w:pPr>
              <w:pStyle w:val="34"/>
              <w:rPr>
                <w:sz w:val="18"/>
                <w:szCs w:val="18"/>
              </w:rPr>
            </w:pPr>
          </w:p>
        </w:tc>
        <w:tc>
          <w:tcPr>
            <w:tcW w:w="573" w:type="dxa"/>
            <w:vAlign w:val="center"/>
          </w:tcPr>
          <w:p w14:paraId="06FBE8C7">
            <w:pPr>
              <w:pStyle w:val="34"/>
              <w:rPr>
                <w:sz w:val="18"/>
                <w:szCs w:val="18"/>
              </w:rPr>
            </w:pPr>
            <w:r>
              <w:rPr>
                <w:sz w:val="18"/>
                <w:szCs w:val="18"/>
              </w:rPr>
              <w:t>铬酸酐</w:t>
            </w:r>
          </w:p>
        </w:tc>
        <w:tc>
          <w:tcPr>
            <w:tcW w:w="3137" w:type="dxa"/>
            <w:gridSpan w:val="2"/>
            <w:vAlign w:val="center"/>
          </w:tcPr>
          <w:p w14:paraId="091DC7C7">
            <w:pPr>
              <w:pStyle w:val="34"/>
              <w:rPr>
                <w:sz w:val="18"/>
                <w:szCs w:val="18"/>
              </w:rPr>
            </w:pPr>
            <w:r>
              <w:rPr>
                <w:sz w:val="18"/>
                <w:szCs w:val="18"/>
              </w:rPr>
              <w:t>具有强氧化性。与易燃物(如苯)和有机物(如糖、纤维素等)接触会发生剧烈反应，甚至引起燃烧。与还原性物质如镁粉、铝粉、硫、磷等混合后，经摩擦或撞击，能引起燃烧或爆炸。具有较强的腐蚀性。</w:t>
            </w:r>
          </w:p>
        </w:tc>
        <w:tc>
          <w:tcPr>
            <w:tcW w:w="2840" w:type="dxa"/>
            <w:vAlign w:val="center"/>
          </w:tcPr>
          <w:p w14:paraId="5685DA95">
            <w:pPr>
              <w:pStyle w:val="34"/>
              <w:rPr>
                <w:sz w:val="18"/>
                <w:szCs w:val="18"/>
              </w:rPr>
            </w:pPr>
            <w:r>
              <w:rPr>
                <w:sz w:val="18"/>
                <w:szCs w:val="18"/>
              </w:rPr>
              <w:t>LD50：80mg</w:t>
            </w:r>
            <w:r>
              <w:rPr>
                <w:rFonts w:hint="eastAsia"/>
                <w:sz w:val="18"/>
                <w:szCs w:val="18"/>
              </w:rPr>
              <w:t>/</w:t>
            </w:r>
            <w:r>
              <w:rPr>
                <w:sz w:val="18"/>
                <w:szCs w:val="18"/>
              </w:rPr>
              <w:t>kg(大鼠经口)</w:t>
            </w:r>
          </w:p>
        </w:tc>
        <w:tc>
          <w:tcPr>
            <w:tcW w:w="3270" w:type="dxa"/>
            <w:vAlign w:val="center"/>
          </w:tcPr>
          <w:p w14:paraId="681F764B">
            <w:pPr>
              <w:pStyle w:val="34"/>
              <w:rPr>
                <w:sz w:val="18"/>
                <w:szCs w:val="18"/>
              </w:rPr>
            </w:pPr>
            <w:r>
              <w:rPr>
                <w:sz w:val="18"/>
                <w:szCs w:val="18"/>
              </w:rPr>
              <w:t>急性中毒：吸入后可引起急性呼吸道刺激。口服可刺激印腐蚀消化道，引起恶心、呕吐、腹痛、血便等，重者出现呼吸困难、紫绀、休克、肝损害及急性肾功能衰竭等。慢性影响有接触性皮炎、铬溃疡、鼻炎、鼻中隔穿孔及呼吸道炎症等。</w:t>
            </w:r>
          </w:p>
        </w:tc>
        <w:tc>
          <w:tcPr>
            <w:tcW w:w="1440" w:type="dxa"/>
            <w:vAlign w:val="center"/>
          </w:tcPr>
          <w:p w14:paraId="1A0A183B">
            <w:pPr>
              <w:pStyle w:val="34"/>
              <w:rPr>
                <w:sz w:val="18"/>
                <w:szCs w:val="18"/>
              </w:rPr>
            </w:pPr>
            <w:r>
              <w:rPr>
                <w:sz w:val="18"/>
                <w:szCs w:val="18"/>
              </w:rPr>
              <w:t>溶于水，泄漏后在水中形成铬酸。铬作为水产动物必需的一类营养素，在饲料中添加铬可促进动物的生长、提高其免疫防御能力、降低应激状态动物的死亡率。但当生物吸收过量铬则会导则生物发育异常或者死亡。</w:t>
            </w:r>
          </w:p>
        </w:tc>
        <w:tc>
          <w:tcPr>
            <w:tcW w:w="971" w:type="dxa"/>
            <w:vAlign w:val="center"/>
          </w:tcPr>
          <w:p w14:paraId="10504203">
            <w:pPr>
              <w:pStyle w:val="34"/>
              <w:rPr>
                <w:sz w:val="18"/>
                <w:szCs w:val="18"/>
              </w:rPr>
            </w:pPr>
            <w:r>
              <w:rPr>
                <w:rFonts w:hint="eastAsia"/>
                <w:sz w:val="18"/>
                <w:szCs w:val="18"/>
              </w:rPr>
              <w:t>50kg铁桶包装，常温常压运输</w:t>
            </w:r>
          </w:p>
        </w:tc>
      </w:tr>
      <w:tr w14:paraId="5CDF91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33C92421">
            <w:pPr>
              <w:pStyle w:val="34"/>
              <w:numPr>
                <w:ilvl w:val="0"/>
                <w:numId w:val="55"/>
              </w:numPr>
              <w:rPr>
                <w:sz w:val="18"/>
                <w:szCs w:val="18"/>
              </w:rPr>
            </w:pPr>
          </w:p>
        </w:tc>
        <w:tc>
          <w:tcPr>
            <w:tcW w:w="584" w:type="dxa"/>
            <w:vMerge w:val="continue"/>
            <w:vAlign w:val="center"/>
          </w:tcPr>
          <w:p w14:paraId="467BCFCB">
            <w:pPr>
              <w:pStyle w:val="34"/>
              <w:rPr>
                <w:sz w:val="18"/>
                <w:szCs w:val="18"/>
              </w:rPr>
            </w:pPr>
          </w:p>
        </w:tc>
        <w:tc>
          <w:tcPr>
            <w:tcW w:w="567" w:type="dxa"/>
            <w:vMerge w:val="continue"/>
            <w:vAlign w:val="center"/>
          </w:tcPr>
          <w:p w14:paraId="16DF755E">
            <w:pPr>
              <w:pStyle w:val="34"/>
              <w:rPr>
                <w:sz w:val="18"/>
                <w:szCs w:val="18"/>
              </w:rPr>
            </w:pPr>
          </w:p>
        </w:tc>
        <w:tc>
          <w:tcPr>
            <w:tcW w:w="419" w:type="dxa"/>
            <w:vMerge w:val="continue"/>
            <w:vAlign w:val="center"/>
          </w:tcPr>
          <w:p w14:paraId="15A649BA">
            <w:pPr>
              <w:pStyle w:val="34"/>
              <w:rPr>
                <w:sz w:val="18"/>
                <w:szCs w:val="18"/>
              </w:rPr>
            </w:pPr>
          </w:p>
        </w:tc>
        <w:tc>
          <w:tcPr>
            <w:tcW w:w="573" w:type="dxa"/>
            <w:vAlign w:val="center"/>
          </w:tcPr>
          <w:p w14:paraId="27672F5A">
            <w:pPr>
              <w:pStyle w:val="34"/>
              <w:rPr>
                <w:sz w:val="18"/>
                <w:szCs w:val="18"/>
              </w:rPr>
            </w:pPr>
            <w:r>
              <w:rPr>
                <w:rFonts w:hint="eastAsia"/>
                <w:sz w:val="18"/>
                <w:szCs w:val="18"/>
              </w:rPr>
              <w:t>氢氧化钠</w:t>
            </w:r>
          </w:p>
        </w:tc>
        <w:tc>
          <w:tcPr>
            <w:tcW w:w="3137" w:type="dxa"/>
            <w:gridSpan w:val="2"/>
            <w:vAlign w:val="center"/>
          </w:tcPr>
          <w:p w14:paraId="3C904DD0">
            <w:pPr>
              <w:pStyle w:val="34"/>
              <w:rPr>
                <w:sz w:val="18"/>
                <w:szCs w:val="18"/>
              </w:rPr>
            </w:pPr>
            <w:r>
              <w:rPr>
                <w:sz w:val="18"/>
                <w:szCs w:val="18"/>
              </w:rPr>
              <w:t>遇水和水蒸气大量放热，形成腐蚀性溶液。与酸发生中和反应并放热。具有强腐蚀性。</w:t>
            </w:r>
          </w:p>
        </w:tc>
        <w:tc>
          <w:tcPr>
            <w:tcW w:w="2840" w:type="dxa"/>
            <w:vAlign w:val="center"/>
          </w:tcPr>
          <w:p w14:paraId="0705EE4C">
            <w:pPr>
              <w:pStyle w:val="34"/>
              <w:rPr>
                <w:sz w:val="18"/>
                <w:szCs w:val="18"/>
              </w:rPr>
            </w:pPr>
            <w:r>
              <w:rPr>
                <w:sz w:val="18"/>
                <w:szCs w:val="18"/>
              </w:rPr>
              <w:t>/</w:t>
            </w:r>
          </w:p>
        </w:tc>
        <w:tc>
          <w:tcPr>
            <w:tcW w:w="3270" w:type="dxa"/>
            <w:vAlign w:val="center"/>
          </w:tcPr>
          <w:p w14:paraId="099382E6">
            <w:pPr>
              <w:pStyle w:val="34"/>
              <w:rPr>
                <w:sz w:val="18"/>
                <w:szCs w:val="18"/>
              </w:rPr>
            </w:pPr>
            <w:r>
              <w:rPr>
                <w:sz w:val="18"/>
                <w:szCs w:val="18"/>
              </w:rPr>
              <w:t>本品有强烈刺激和腐蚀性。粉尘或烟雾刺激眼和呼吸道，腐蚀鼻中隔；皮肤和眼直接接触可引起灼伤；误服可造成消化道灼伤，粘膜糜烂、出血和休克。</w:t>
            </w:r>
          </w:p>
        </w:tc>
        <w:tc>
          <w:tcPr>
            <w:tcW w:w="1440" w:type="dxa"/>
            <w:vAlign w:val="center"/>
          </w:tcPr>
          <w:p w14:paraId="7B116840">
            <w:pPr>
              <w:pStyle w:val="34"/>
              <w:rPr>
                <w:sz w:val="18"/>
                <w:szCs w:val="18"/>
              </w:rPr>
            </w:pPr>
            <w:r>
              <w:rPr>
                <w:sz w:val="18"/>
                <w:szCs w:val="18"/>
              </w:rPr>
              <w:t>碱性环境会损伤动物的鳃组织，妨碍鱼类对溶氧的利用。</w:t>
            </w:r>
          </w:p>
        </w:tc>
        <w:tc>
          <w:tcPr>
            <w:tcW w:w="971" w:type="dxa"/>
            <w:vAlign w:val="center"/>
          </w:tcPr>
          <w:p w14:paraId="65D95004">
            <w:pPr>
              <w:pStyle w:val="34"/>
              <w:rPr>
                <w:sz w:val="18"/>
                <w:szCs w:val="18"/>
              </w:rPr>
            </w:pPr>
            <w:r>
              <w:rPr>
                <w:sz w:val="18"/>
                <w:szCs w:val="18"/>
              </w:rPr>
              <w:t>400kg塑料桶常温常压运输</w:t>
            </w:r>
          </w:p>
        </w:tc>
      </w:tr>
      <w:tr w14:paraId="211E2A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7DECD5A">
            <w:pPr>
              <w:pStyle w:val="34"/>
              <w:numPr>
                <w:ilvl w:val="0"/>
                <w:numId w:val="55"/>
              </w:numPr>
              <w:rPr>
                <w:sz w:val="18"/>
                <w:szCs w:val="18"/>
              </w:rPr>
            </w:pPr>
          </w:p>
        </w:tc>
        <w:tc>
          <w:tcPr>
            <w:tcW w:w="584" w:type="dxa"/>
            <w:vMerge w:val="continue"/>
            <w:vAlign w:val="center"/>
          </w:tcPr>
          <w:p w14:paraId="097898FD">
            <w:pPr>
              <w:pStyle w:val="34"/>
              <w:rPr>
                <w:sz w:val="18"/>
                <w:szCs w:val="18"/>
              </w:rPr>
            </w:pPr>
          </w:p>
        </w:tc>
        <w:tc>
          <w:tcPr>
            <w:tcW w:w="567" w:type="dxa"/>
            <w:vMerge w:val="continue"/>
            <w:vAlign w:val="center"/>
          </w:tcPr>
          <w:p w14:paraId="7291EA96">
            <w:pPr>
              <w:pStyle w:val="34"/>
              <w:rPr>
                <w:sz w:val="18"/>
                <w:szCs w:val="18"/>
              </w:rPr>
            </w:pPr>
          </w:p>
        </w:tc>
        <w:tc>
          <w:tcPr>
            <w:tcW w:w="419" w:type="dxa"/>
            <w:vMerge w:val="continue"/>
            <w:vAlign w:val="center"/>
          </w:tcPr>
          <w:p w14:paraId="62E18409">
            <w:pPr>
              <w:pStyle w:val="34"/>
              <w:rPr>
                <w:sz w:val="18"/>
                <w:szCs w:val="18"/>
              </w:rPr>
            </w:pPr>
          </w:p>
        </w:tc>
        <w:tc>
          <w:tcPr>
            <w:tcW w:w="573" w:type="dxa"/>
            <w:vAlign w:val="center"/>
          </w:tcPr>
          <w:p w14:paraId="00933DBE">
            <w:pPr>
              <w:pStyle w:val="34"/>
              <w:rPr>
                <w:sz w:val="18"/>
                <w:szCs w:val="18"/>
              </w:rPr>
            </w:pPr>
            <w:r>
              <w:rPr>
                <w:rFonts w:hint="eastAsia"/>
                <w:sz w:val="18"/>
                <w:szCs w:val="18"/>
              </w:rPr>
              <w:t>硫化钠</w:t>
            </w:r>
          </w:p>
        </w:tc>
        <w:tc>
          <w:tcPr>
            <w:tcW w:w="3137" w:type="dxa"/>
            <w:gridSpan w:val="2"/>
            <w:vAlign w:val="center"/>
          </w:tcPr>
          <w:p w14:paraId="2BB447CA">
            <w:pPr>
              <w:pStyle w:val="34"/>
              <w:rPr>
                <w:sz w:val="18"/>
                <w:szCs w:val="18"/>
              </w:rPr>
            </w:pPr>
            <w:r>
              <w:rPr>
                <w:sz w:val="18"/>
                <w:szCs w:val="18"/>
              </w:rPr>
              <w:t>受撞击、高热可爆</w:t>
            </w:r>
          </w:p>
        </w:tc>
        <w:tc>
          <w:tcPr>
            <w:tcW w:w="2840" w:type="dxa"/>
            <w:vAlign w:val="center"/>
          </w:tcPr>
          <w:p w14:paraId="3E32D8D7">
            <w:pPr>
              <w:pStyle w:val="34"/>
              <w:rPr>
                <w:sz w:val="18"/>
                <w:szCs w:val="18"/>
              </w:rPr>
            </w:pPr>
            <w:r>
              <w:rPr>
                <w:sz w:val="18"/>
                <w:szCs w:val="18"/>
              </w:rPr>
              <w:t>/</w:t>
            </w:r>
          </w:p>
        </w:tc>
        <w:tc>
          <w:tcPr>
            <w:tcW w:w="3270" w:type="dxa"/>
            <w:vAlign w:val="center"/>
          </w:tcPr>
          <w:p w14:paraId="3FB587E2">
            <w:pPr>
              <w:pStyle w:val="34"/>
              <w:rPr>
                <w:sz w:val="18"/>
                <w:szCs w:val="18"/>
              </w:rPr>
            </w:pPr>
            <w:r>
              <w:rPr>
                <w:sz w:val="18"/>
                <w:szCs w:val="18"/>
              </w:rPr>
              <w:t>硫化钠对皮肤有强腐蚀性，接触硫化钠溶液的工人手部皮肤发生皱裂，发红。</w:t>
            </w:r>
          </w:p>
        </w:tc>
        <w:tc>
          <w:tcPr>
            <w:tcW w:w="1440" w:type="dxa"/>
            <w:vAlign w:val="center"/>
          </w:tcPr>
          <w:p w14:paraId="322ACE1B">
            <w:pPr>
              <w:pStyle w:val="34"/>
              <w:rPr>
                <w:sz w:val="18"/>
                <w:szCs w:val="18"/>
              </w:rPr>
            </w:pPr>
            <w:r>
              <w:rPr>
                <w:sz w:val="18"/>
                <w:szCs w:val="18"/>
              </w:rPr>
              <w:t>强碱弱酸盐，溶于水后水体呈碱性。碱性环境会损伤动物的鳃组织，妨碍鱼类对溶氧的利用。</w:t>
            </w:r>
          </w:p>
        </w:tc>
        <w:tc>
          <w:tcPr>
            <w:tcW w:w="971" w:type="dxa"/>
            <w:vAlign w:val="center"/>
          </w:tcPr>
          <w:p w14:paraId="2F31B5F4">
            <w:pPr>
              <w:pStyle w:val="34"/>
              <w:rPr>
                <w:sz w:val="18"/>
                <w:szCs w:val="18"/>
              </w:rPr>
            </w:pPr>
            <w:r>
              <w:rPr>
                <w:rFonts w:hint="eastAsia"/>
                <w:sz w:val="18"/>
                <w:szCs w:val="18"/>
              </w:rPr>
              <w:t>50kg钢桶包装，常温常压运输</w:t>
            </w:r>
          </w:p>
        </w:tc>
      </w:tr>
      <w:tr w14:paraId="5AA75C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D5D0086">
            <w:pPr>
              <w:pStyle w:val="34"/>
              <w:numPr>
                <w:ilvl w:val="0"/>
                <w:numId w:val="55"/>
              </w:numPr>
              <w:rPr>
                <w:sz w:val="18"/>
                <w:szCs w:val="18"/>
              </w:rPr>
            </w:pPr>
          </w:p>
        </w:tc>
        <w:tc>
          <w:tcPr>
            <w:tcW w:w="584" w:type="dxa"/>
            <w:vMerge w:val="continue"/>
            <w:vAlign w:val="center"/>
          </w:tcPr>
          <w:p w14:paraId="13E9C66F">
            <w:pPr>
              <w:pStyle w:val="34"/>
              <w:rPr>
                <w:sz w:val="18"/>
                <w:szCs w:val="18"/>
              </w:rPr>
            </w:pPr>
          </w:p>
        </w:tc>
        <w:tc>
          <w:tcPr>
            <w:tcW w:w="567" w:type="dxa"/>
            <w:vMerge w:val="continue"/>
            <w:vAlign w:val="center"/>
          </w:tcPr>
          <w:p w14:paraId="0A6E5B2E">
            <w:pPr>
              <w:pStyle w:val="34"/>
              <w:rPr>
                <w:sz w:val="18"/>
                <w:szCs w:val="18"/>
              </w:rPr>
            </w:pPr>
          </w:p>
        </w:tc>
        <w:tc>
          <w:tcPr>
            <w:tcW w:w="419" w:type="dxa"/>
            <w:vMerge w:val="continue"/>
            <w:vAlign w:val="center"/>
          </w:tcPr>
          <w:p w14:paraId="46ACB8CB">
            <w:pPr>
              <w:pStyle w:val="34"/>
              <w:rPr>
                <w:sz w:val="18"/>
                <w:szCs w:val="18"/>
              </w:rPr>
            </w:pPr>
          </w:p>
        </w:tc>
        <w:tc>
          <w:tcPr>
            <w:tcW w:w="573" w:type="dxa"/>
            <w:vAlign w:val="center"/>
          </w:tcPr>
          <w:p w14:paraId="6B3A2FB7">
            <w:pPr>
              <w:pStyle w:val="34"/>
              <w:rPr>
                <w:sz w:val="18"/>
                <w:szCs w:val="18"/>
              </w:rPr>
            </w:pPr>
            <w:r>
              <w:rPr>
                <w:rFonts w:hint="eastAsia"/>
                <w:sz w:val="18"/>
                <w:szCs w:val="18"/>
              </w:rPr>
              <w:t>五氧化二磷</w:t>
            </w:r>
          </w:p>
        </w:tc>
        <w:tc>
          <w:tcPr>
            <w:tcW w:w="3137" w:type="dxa"/>
            <w:gridSpan w:val="2"/>
            <w:vAlign w:val="center"/>
          </w:tcPr>
          <w:p w14:paraId="324575DE">
            <w:pPr>
              <w:pStyle w:val="34"/>
              <w:rPr>
                <w:sz w:val="18"/>
                <w:szCs w:val="18"/>
              </w:rPr>
            </w:pPr>
            <w:r>
              <w:rPr>
                <w:rFonts w:hint="eastAsia"/>
                <w:sz w:val="18"/>
                <w:szCs w:val="18"/>
              </w:rPr>
              <w:t>接触有机物有引起燃烧的危险。具有强腐蚀性。</w:t>
            </w:r>
          </w:p>
          <w:p w14:paraId="2DC79F30">
            <w:pPr>
              <w:pStyle w:val="34"/>
              <w:rPr>
                <w:sz w:val="18"/>
                <w:szCs w:val="18"/>
              </w:rPr>
            </w:pPr>
            <w:r>
              <w:rPr>
                <w:rFonts w:hint="eastAsia"/>
                <w:sz w:val="18"/>
                <w:szCs w:val="18"/>
              </w:rPr>
              <w:t>燃烧产物：SO</w:t>
            </w:r>
            <w:r>
              <w:rPr>
                <w:rFonts w:hint="eastAsia"/>
                <w:sz w:val="18"/>
                <w:szCs w:val="18"/>
                <w:vertAlign w:val="subscript"/>
              </w:rPr>
              <w:t>2</w:t>
            </w:r>
            <w:r>
              <w:rPr>
                <w:rFonts w:hint="eastAsia"/>
                <w:sz w:val="18"/>
                <w:szCs w:val="18"/>
              </w:rPr>
              <w:t>、SO</w:t>
            </w:r>
            <w:r>
              <w:rPr>
                <w:rFonts w:hint="eastAsia"/>
                <w:sz w:val="18"/>
                <w:szCs w:val="18"/>
                <w:vertAlign w:val="subscript"/>
              </w:rPr>
              <w:t>3</w:t>
            </w:r>
            <w:r>
              <w:rPr>
                <w:rFonts w:hint="eastAsia"/>
                <w:sz w:val="18"/>
                <w:szCs w:val="18"/>
              </w:rPr>
              <w:t>。</w:t>
            </w:r>
          </w:p>
        </w:tc>
        <w:tc>
          <w:tcPr>
            <w:tcW w:w="2840" w:type="dxa"/>
            <w:vAlign w:val="center"/>
          </w:tcPr>
          <w:p w14:paraId="5E32D099">
            <w:pPr>
              <w:pStyle w:val="34"/>
              <w:rPr>
                <w:sz w:val="18"/>
                <w:szCs w:val="18"/>
              </w:rPr>
            </w:pPr>
            <w:r>
              <w:rPr>
                <w:rFonts w:hint="eastAsia"/>
                <w:sz w:val="18"/>
                <w:szCs w:val="18"/>
              </w:rPr>
              <w:t>LC50：1217mg/m</w:t>
            </w:r>
            <w:r>
              <w:rPr>
                <w:rFonts w:hint="eastAsia"/>
                <w:sz w:val="18"/>
                <w:szCs w:val="18"/>
                <w:vertAlign w:val="superscript"/>
              </w:rPr>
              <w:t>3</w:t>
            </w:r>
            <w:r>
              <w:rPr>
                <w:rFonts w:hint="eastAsia"/>
                <w:sz w:val="18"/>
                <w:szCs w:val="18"/>
              </w:rPr>
              <w:t xml:space="preserve"> (大鼠吸入，1小时)</w:t>
            </w:r>
          </w:p>
        </w:tc>
        <w:tc>
          <w:tcPr>
            <w:tcW w:w="3270" w:type="dxa"/>
            <w:vAlign w:val="center"/>
          </w:tcPr>
          <w:p w14:paraId="5E796774">
            <w:pPr>
              <w:pStyle w:val="34"/>
              <w:rPr>
                <w:sz w:val="18"/>
                <w:szCs w:val="18"/>
              </w:rPr>
            </w:pPr>
            <w:r>
              <w:rPr>
                <w:rFonts w:hint="eastAsia"/>
                <w:sz w:val="18"/>
                <w:szCs w:val="18"/>
              </w:rPr>
              <w:t>遇水生成磷酸;有时含游离磷而引起磷中毒。急性中毒:短期大量吸入引起眼及上呼吸道</w:t>
            </w:r>
            <w:r>
              <w:rPr>
                <w:rFonts w:hint="eastAsia"/>
                <w:sz w:val="18"/>
                <w:szCs w:val="18"/>
                <w:lang w:eastAsia="zh-CN"/>
              </w:rPr>
              <w:t>刺激征</w:t>
            </w:r>
            <w:r>
              <w:rPr>
                <w:rFonts w:hint="eastAsia"/>
                <w:sz w:val="18"/>
                <w:szCs w:val="18"/>
              </w:rPr>
              <w:t>状，出现咽喉炎、支气管炎。严重者发生喉头水肿致室息，引起肺炎或肺水肿。口服发生恶心、呕吐、腹痛、腹泻;数日内出现黄疸及肝肿大，或出现急性肝坏死;严重病例，数小时内患者由兴奋转入抑制，发生昏迷、循环衰竭，以致死亡。可使组织脱水，对皮肤有刺激腐蚀作用。慢性中毒:有呼吸道</w:t>
            </w:r>
            <w:r>
              <w:rPr>
                <w:rFonts w:hint="eastAsia"/>
                <w:sz w:val="18"/>
                <w:szCs w:val="18"/>
                <w:lang w:eastAsia="zh-CN"/>
              </w:rPr>
              <w:t>刺激征</w:t>
            </w:r>
            <w:r>
              <w:rPr>
                <w:rFonts w:hint="eastAsia"/>
                <w:sz w:val="18"/>
                <w:szCs w:val="18"/>
              </w:rPr>
              <w:t>状及磷毒性牙齿、牙龈和下颌骨损害。</w:t>
            </w:r>
          </w:p>
        </w:tc>
        <w:tc>
          <w:tcPr>
            <w:tcW w:w="1440" w:type="dxa"/>
            <w:vAlign w:val="center"/>
          </w:tcPr>
          <w:p w14:paraId="7282C03A">
            <w:pPr>
              <w:pStyle w:val="34"/>
              <w:rPr>
                <w:sz w:val="18"/>
                <w:szCs w:val="18"/>
              </w:rPr>
            </w:pPr>
            <w:r>
              <w:rPr>
                <w:sz w:val="18"/>
                <w:szCs w:val="18"/>
              </w:rPr>
              <w:t>促进水生生物的活性，造成水体富营养化。</w:t>
            </w:r>
          </w:p>
        </w:tc>
        <w:tc>
          <w:tcPr>
            <w:tcW w:w="971" w:type="dxa"/>
            <w:vAlign w:val="center"/>
          </w:tcPr>
          <w:p w14:paraId="1D157146">
            <w:pPr>
              <w:pStyle w:val="34"/>
              <w:rPr>
                <w:sz w:val="18"/>
                <w:szCs w:val="18"/>
              </w:rPr>
            </w:pPr>
            <w:r>
              <w:rPr>
                <w:rFonts w:hint="eastAsia"/>
                <w:sz w:val="18"/>
                <w:szCs w:val="18"/>
              </w:rPr>
              <w:t>25kg聚丙烯袋装，常温常压运输</w:t>
            </w:r>
          </w:p>
        </w:tc>
      </w:tr>
      <w:tr w14:paraId="501EBB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1880AB4">
            <w:pPr>
              <w:pStyle w:val="34"/>
              <w:numPr>
                <w:ilvl w:val="0"/>
                <w:numId w:val="55"/>
              </w:numPr>
              <w:rPr>
                <w:sz w:val="18"/>
                <w:szCs w:val="18"/>
              </w:rPr>
            </w:pPr>
          </w:p>
        </w:tc>
        <w:tc>
          <w:tcPr>
            <w:tcW w:w="584" w:type="dxa"/>
            <w:vMerge w:val="continue"/>
            <w:vAlign w:val="center"/>
          </w:tcPr>
          <w:p w14:paraId="3B0F8BDC">
            <w:pPr>
              <w:pStyle w:val="34"/>
              <w:rPr>
                <w:sz w:val="18"/>
                <w:szCs w:val="18"/>
              </w:rPr>
            </w:pPr>
          </w:p>
        </w:tc>
        <w:tc>
          <w:tcPr>
            <w:tcW w:w="567" w:type="dxa"/>
            <w:vMerge w:val="continue"/>
            <w:vAlign w:val="center"/>
          </w:tcPr>
          <w:p w14:paraId="5E75430C">
            <w:pPr>
              <w:pStyle w:val="34"/>
              <w:rPr>
                <w:sz w:val="18"/>
                <w:szCs w:val="18"/>
              </w:rPr>
            </w:pPr>
          </w:p>
        </w:tc>
        <w:tc>
          <w:tcPr>
            <w:tcW w:w="419" w:type="dxa"/>
            <w:vMerge w:val="restart"/>
            <w:vAlign w:val="center"/>
          </w:tcPr>
          <w:p w14:paraId="539A122D">
            <w:pPr>
              <w:pStyle w:val="34"/>
              <w:rPr>
                <w:sz w:val="18"/>
                <w:szCs w:val="18"/>
              </w:rPr>
            </w:pPr>
            <w:r>
              <w:rPr>
                <w:sz w:val="18"/>
                <w:szCs w:val="18"/>
              </w:rPr>
              <w:t>有机</w:t>
            </w:r>
          </w:p>
        </w:tc>
        <w:tc>
          <w:tcPr>
            <w:tcW w:w="573" w:type="dxa"/>
            <w:vAlign w:val="center"/>
          </w:tcPr>
          <w:p w14:paraId="58B83AFD">
            <w:pPr>
              <w:pStyle w:val="34"/>
              <w:rPr>
                <w:sz w:val="18"/>
                <w:szCs w:val="18"/>
              </w:rPr>
            </w:pPr>
            <w:r>
              <w:rPr>
                <w:rFonts w:hint="eastAsia"/>
                <w:sz w:val="18"/>
                <w:szCs w:val="18"/>
              </w:rPr>
              <w:t>戊硼烷</w:t>
            </w:r>
          </w:p>
        </w:tc>
        <w:tc>
          <w:tcPr>
            <w:tcW w:w="3137" w:type="dxa"/>
            <w:gridSpan w:val="2"/>
            <w:vAlign w:val="center"/>
          </w:tcPr>
          <w:p w14:paraId="2EBBD24E">
            <w:pPr>
              <w:pStyle w:val="34"/>
              <w:rPr>
                <w:sz w:val="18"/>
                <w:szCs w:val="18"/>
              </w:rPr>
            </w:pPr>
            <w:r>
              <w:rPr>
                <w:rFonts w:hint="eastAsia"/>
                <w:sz w:val="18"/>
                <w:szCs w:val="18"/>
              </w:rPr>
              <w:t>暴露在空气中能自燃。遇明火、高热、摩擦、撞击有引起燃烧的危险。若遇高热可发生剧烈分解，引起容器</w:t>
            </w:r>
            <w:r>
              <w:rPr>
                <w:rFonts w:hint="eastAsia"/>
                <w:sz w:val="18"/>
                <w:szCs w:val="18"/>
                <w:lang w:eastAsia="zh-CN"/>
              </w:rPr>
              <w:t>破裂</w:t>
            </w:r>
            <w:r>
              <w:rPr>
                <w:rFonts w:hint="eastAsia"/>
                <w:sz w:val="18"/>
                <w:szCs w:val="18"/>
              </w:rPr>
              <w:t>或爆炸事故。与强氧化剂如酸酐、氯酸盐和高锰酸钾等接触，能发生强烈反应，引起燃烧或炸。与水和水蒸气反应,放出易爆炸着火的气体。</w:t>
            </w:r>
          </w:p>
          <w:p w14:paraId="767FBE5E">
            <w:pPr>
              <w:pStyle w:val="34"/>
              <w:rPr>
                <w:sz w:val="18"/>
                <w:szCs w:val="18"/>
              </w:rPr>
            </w:pPr>
            <w:r>
              <w:rPr>
                <w:rFonts w:hint="eastAsia"/>
                <w:sz w:val="18"/>
                <w:szCs w:val="18"/>
              </w:rPr>
              <w:t>燃烧产物：氧化硼</w:t>
            </w:r>
          </w:p>
        </w:tc>
        <w:tc>
          <w:tcPr>
            <w:tcW w:w="2840" w:type="dxa"/>
            <w:vAlign w:val="center"/>
          </w:tcPr>
          <w:p w14:paraId="1DB719A8">
            <w:pPr>
              <w:pStyle w:val="34"/>
              <w:rPr>
                <w:sz w:val="18"/>
                <w:szCs w:val="18"/>
              </w:rPr>
            </w:pPr>
            <w:r>
              <w:rPr>
                <w:rFonts w:hint="eastAsia"/>
                <w:sz w:val="18"/>
                <w:szCs w:val="18"/>
              </w:rPr>
              <w:t>LD50:11.1mg/kg(大鼠经口)；</w:t>
            </w:r>
          </w:p>
          <w:p w14:paraId="145FFF1A">
            <w:pPr>
              <w:pStyle w:val="34"/>
              <w:rPr>
                <w:sz w:val="18"/>
                <w:szCs w:val="18"/>
              </w:rPr>
            </w:pPr>
            <w:r>
              <w:rPr>
                <w:sz w:val="18"/>
                <w:szCs w:val="18"/>
              </w:rPr>
              <w:t>L</w:t>
            </w:r>
            <w:r>
              <w:rPr>
                <w:rFonts w:hint="eastAsia"/>
                <w:sz w:val="18"/>
                <w:szCs w:val="18"/>
              </w:rPr>
              <w:t>C</w:t>
            </w:r>
            <w:r>
              <w:rPr>
                <w:sz w:val="18"/>
                <w:szCs w:val="18"/>
              </w:rPr>
              <w:t>50：</w:t>
            </w:r>
            <w:r>
              <w:rPr>
                <w:rFonts w:hint="eastAsia"/>
                <w:sz w:val="18"/>
                <w:szCs w:val="18"/>
              </w:rPr>
              <w:t>15</w:t>
            </w:r>
            <w:r>
              <w:rPr>
                <w:sz w:val="18"/>
                <w:szCs w:val="18"/>
              </w:rPr>
              <w:t>mg</w:t>
            </w:r>
            <w:r>
              <w:rPr>
                <w:rFonts w:hint="eastAsia"/>
                <w:sz w:val="18"/>
                <w:szCs w:val="18"/>
              </w:rPr>
              <w:t>/m</w:t>
            </w:r>
            <w:r>
              <w:rPr>
                <w:rFonts w:hint="eastAsia"/>
                <w:sz w:val="18"/>
                <w:szCs w:val="18"/>
                <w:vertAlign w:val="superscript"/>
              </w:rPr>
              <w:t>3</w:t>
            </w:r>
            <w:r>
              <w:rPr>
                <w:sz w:val="18"/>
                <w:szCs w:val="18"/>
              </w:rPr>
              <w:t>(</w:t>
            </w:r>
            <w:r>
              <w:rPr>
                <w:rFonts w:hint="eastAsia"/>
                <w:sz w:val="18"/>
                <w:szCs w:val="18"/>
              </w:rPr>
              <w:t>大鼠吸入，4小时</w:t>
            </w:r>
            <w:r>
              <w:rPr>
                <w:sz w:val="18"/>
                <w:szCs w:val="18"/>
              </w:rPr>
              <w:t>)</w:t>
            </w:r>
          </w:p>
        </w:tc>
        <w:tc>
          <w:tcPr>
            <w:tcW w:w="3270" w:type="dxa"/>
            <w:vAlign w:val="center"/>
          </w:tcPr>
          <w:p w14:paraId="41CA3D58">
            <w:pPr>
              <w:pStyle w:val="34"/>
              <w:rPr>
                <w:sz w:val="18"/>
                <w:szCs w:val="18"/>
              </w:rPr>
            </w:pPr>
            <w:r>
              <w:rPr>
                <w:rFonts w:hint="eastAsia"/>
                <w:sz w:val="18"/>
                <w:szCs w:val="18"/>
              </w:rPr>
              <w:t>出现神经系统症状，主要表现有头痛、头晕、嗜睡、眼肌麻痹、皮肤感觉过敏，重者出现共济失调、肌痉挛、抽搐、角弓反张、意识障碍或精神错乱。可有神经炎心、肝、肾损害。对皮肤和粘膜有强烈刺激性，可经皮肤吸收引起中毒。长期接触可</w:t>
            </w:r>
            <w:r>
              <w:rPr>
                <w:rFonts w:hint="eastAsia"/>
                <w:sz w:val="18"/>
                <w:szCs w:val="18"/>
                <w:lang w:eastAsia="zh-CN"/>
              </w:rPr>
              <w:t>引起</w:t>
            </w:r>
            <w:r>
              <w:rPr>
                <w:rFonts w:hint="eastAsia"/>
                <w:sz w:val="18"/>
                <w:szCs w:val="18"/>
              </w:rPr>
              <w:t>肝、肾损害。中枢神经系统损害较轻。</w:t>
            </w:r>
          </w:p>
        </w:tc>
        <w:tc>
          <w:tcPr>
            <w:tcW w:w="1440" w:type="dxa"/>
            <w:vAlign w:val="center"/>
          </w:tcPr>
          <w:p w14:paraId="06A03BF4">
            <w:pPr>
              <w:pStyle w:val="34"/>
              <w:rPr>
                <w:sz w:val="18"/>
                <w:szCs w:val="18"/>
              </w:rPr>
            </w:pPr>
            <w:r>
              <w:rPr>
                <w:rFonts w:hint="eastAsia"/>
                <w:sz w:val="18"/>
                <w:szCs w:val="18"/>
              </w:rPr>
              <w:t>溶于水中水体呈弱酸性</w:t>
            </w:r>
          </w:p>
        </w:tc>
        <w:tc>
          <w:tcPr>
            <w:tcW w:w="971" w:type="dxa"/>
            <w:vAlign w:val="center"/>
          </w:tcPr>
          <w:p w14:paraId="4C28B118">
            <w:pPr>
              <w:pStyle w:val="34"/>
              <w:rPr>
                <w:sz w:val="18"/>
                <w:szCs w:val="18"/>
              </w:rPr>
            </w:pPr>
            <w:r>
              <w:rPr>
                <w:rFonts w:hint="eastAsia"/>
                <w:sz w:val="18"/>
                <w:szCs w:val="18"/>
              </w:rPr>
              <w:t>25kg铁桶包装，常温常压运输</w:t>
            </w:r>
          </w:p>
        </w:tc>
      </w:tr>
      <w:tr w14:paraId="6A2F73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45FB2A61">
            <w:pPr>
              <w:pStyle w:val="34"/>
              <w:numPr>
                <w:ilvl w:val="0"/>
                <w:numId w:val="55"/>
              </w:numPr>
              <w:rPr>
                <w:sz w:val="18"/>
                <w:szCs w:val="18"/>
              </w:rPr>
            </w:pPr>
          </w:p>
        </w:tc>
        <w:tc>
          <w:tcPr>
            <w:tcW w:w="584" w:type="dxa"/>
            <w:vMerge w:val="continue"/>
            <w:vAlign w:val="center"/>
          </w:tcPr>
          <w:p w14:paraId="4F95B5B6">
            <w:pPr>
              <w:pStyle w:val="34"/>
              <w:rPr>
                <w:sz w:val="18"/>
                <w:szCs w:val="18"/>
              </w:rPr>
            </w:pPr>
          </w:p>
        </w:tc>
        <w:tc>
          <w:tcPr>
            <w:tcW w:w="567" w:type="dxa"/>
            <w:vMerge w:val="continue"/>
            <w:vAlign w:val="center"/>
          </w:tcPr>
          <w:p w14:paraId="3D68E53A">
            <w:pPr>
              <w:pStyle w:val="34"/>
              <w:rPr>
                <w:sz w:val="18"/>
                <w:szCs w:val="18"/>
              </w:rPr>
            </w:pPr>
          </w:p>
        </w:tc>
        <w:tc>
          <w:tcPr>
            <w:tcW w:w="419" w:type="dxa"/>
            <w:vMerge w:val="continue"/>
            <w:vAlign w:val="center"/>
          </w:tcPr>
          <w:p w14:paraId="7C2EC14D">
            <w:pPr>
              <w:pStyle w:val="34"/>
              <w:rPr>
                <w:sz w:val="18"/>
                <w:szCs w:val="18"/>
              </w:rPr>
            </w:pPr>
          </w:p>
        </w:tc>
        <w:tc>
          <w:tcPr>
            <w:tcW w:w="573" w:type="dxa"/>
            <w:vAlign w:val="center"/>
          </w:tcPr>
          <w:p w14:paraId="28BAA202">
            <w:pPr>
              <w:pStyle w:val="34"/>
              <w:rPr>
                <w:sz w:val="18"/>
                <w:szCs w:val="18"/>
              </w:rPr>
            </w:pPr>
            <w:r>
              <w:rPr>
                <w:rFonts w:hint="eastAsia"/>
                <w:sz w:val="18"/>
                <w:szCs w:val="18"/>
              </w:rPr>
              <w:t>二氯异氰尿酸钠</w:t>
            </w:r>
          </w:p>
        </w:tc>
        <w:tc>
          <w:tcPr>
            <w:tcW w:w="3137" w:type="dxa"/>
            <w:gridSpan w:val="2"/>
            <w:vAlign w:val="center"/>
          </w:tcPr>
          <w:p w14:paraId="1AE5E418">
            <w:pPr>
              <w:pStyle w:val="34"/>
              <w:rPr>
                <w:sz w:val="18"/>
                <w:szCs w:val="18"/>
              </w:rPr>
            </w:pPr>
            <w:r>
              <w:rPr>
                <w:sz w:val="18"/>
                <w:szCs w:val="18"/>
              </w:rPr>
              <w:t xml:space="preserve">强氧化剂。与易燃物、有机物接触易着火燃烧。与含氮化合物(如氨、尿素等)反应生成易爆炸的三氯化氮。受热或遇潮易分解释出剧毒的烟气。  </w:t>
            </w:r>
          </w:p>
        </w:tc>
        <w:tc>
          <w:tcPr>
            <w:tcW w:w="2840" w:type="dxa"/>
            <w:vAlign w:val="center"/>
          </w:tcPr>
          <w:p w14:paraId="006C3D7F">
            <w:pPr>
              <w:pStyle w:val="34"/>
              <w:rPr>
                <w:sz w:val="18"/>
                <w:szCs w:val="18"/>
              </w:rPr>
            </w:pPr>
            <w:r>
              <w:rPr>
                <w:sz w:val="18"/>
                <w:szCs w:val="18"/>
              </w:rPr>
              <w:t>LD50：1670mg</w:t>
            </w:r>
            <w:r>
              <w:rPr>
                <w:rFonts w:hint="eastAsia"/>
                <w:sz w:val="18"/>
                <w:szCs w:val="18"/>
              </w:rPr>
              <w:t>/</w:t>
            </w:r>
            <w:r>
              <w:rPr>
                <w:sz w:val="18"/>
                <w:szCs w:val="18"/>
              </w:rPr>
              <w:t>kg(大鼠经口)</w:t>
            </w:r>
          </w:p>
        </w:tc>
        <w:tc>
          <w:tcPr>
            <w:tcW w:w="3270" w:type="dxa"/>
            <w:vAlign w:val="center"/>
          </w:tcPr>
          <w:p w14:paraId="537FDD45">
            <w:pPr>
              <w:pStyle w:val="34"/>
              <w:rPr>
                <w:sz w:val="18"/>
                <w:szCs w:val="18"/>
              </w:rPr>
            </w:pPr>
            <w:r>
              <w:rPr>
                <w:sz w:val="18"/>
                <w:szCs w:val="18"/>
              </w:rPr>
              <w:t xml:space="preserve">粉尘能强烈刺激眼睛、皮肤和呼吸系统。对胃肠道有刺激作用。资料报道，有致畸作用，对生殖系统有影响。  </w:t>
            </w:r>
          </w:p>
        </w:tc>
        <w:tc>
          <w:tcPr>
            <w:tcW w:w="1440" w:type="dxa"/>
            <w:vAlign w:val="center"/>
          </w:tcPr>
          <w:p w14:paraId="6B587961">
            <w:pPr>
              <w:pStyle w:val="34"/>
              <w:rPr>
                <w:sz w:val="18"/>
                <w:szCs w:val="18"/>
              </w:rPr>
            </w:pPr>
            <w:r>
              <w:rPr>
                <w:sz w:val="18"/>
                <w:szCs w:val="18"/>
              </w:rPr>
              <w:t>常作为消毒、漂白剂使用，可作为游泳池、水产养殖消毒杀菌剂，根据国内研究其对微生物具有很好的抑制作用，对其他水生生物毒性不明显。</w:t>
            </w:r>
          </w:p>
        </w:tc>
        <w:tc>
          <w:tcPr>
            <w:tcW w:w="971" w:type="dxa"/>
            <w:vAlign w:val="center"/>
          </w:tcPr>
          <w:p w14:paraId="3C357753">
            <w:pPr>
              <w:pStyle w:val="34"/>
              <w:rPr>
                <w:sz w:val="18"/>
                <w:szCs w:val="18"/>
              </w:rPr>
            </w:pPr>
            <w:r>
              <w:rPr>
                <w:rFonts w:hint="eastAsia"/>
                <w:sz w:val="18"/>
                <w:szCs w:val="18"/>
              </w:rPr>
              <w:t>100kg聚丙烯袋装，常温常压运输</w:t>
            </w:r>
          </w:p>
        </w:tc>
      </w:tr>
      <w:tr w14:paraId="756425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395BF4FC">
            <w:pPr>
              <w:pStyle w:val="34"/>
              <w:numPr>
                <w:ilvl w:val="0"/>
                <w:numId w:val="55"/>
              </w:numPr>
              <w:rPr>
                <w:sz w:val="18"/>
                <w:szCs w:val="18"/>
              </w:rPr>
            </w:pPr>
          </w:p>
        </w:tc>
        <w:tc>
          <w:tcPr>
            <w:tcW w:w="584" w:type="dxa"/>
            <w:vMerge w:val="continue"/>
            <w:vAlign w:val="center"/>
          </w:tcPr>
          <w:p w14:paraId="17D2388C">
            <w:pPr>
              <w:pStyle w:val="34"/>
              <w:rPr>
                <w:sz w:val="18"/>
                <w:szCs w:val="18"/>
              </w:rPr>
            </w:pPr>
          </w:p>
        </w:tc>
        <w:tc>
          <w:tcPr>
            <w:tcW w:w="567" w:type="dxa"/>
            <w:vMerge w:val="restart"/>
            <w:vAlign w:val="center"/>
          </w:tcPr>
          <w:p w14:paraId="76D013E5">
            <w:pPr>
              <w:pStyle w:val="34"/>
              <w:rPr>
                <w:sz w:val="18"/>
                <w:szCs w:val="18"/>
              </w:rPr>
            </w:pPr>
            <w:r>
              <w:rPr>
                <w:sz w:val="18"/>
                <w:szCs w:val="18"/>
              </w:rPr>
              <w:t>微溶</w:t>
            </w:r>
          </w:p>
        </w:tc>
        <w:tc>
          <w:tcPr>
            <w:tcW w:w="419" w:type="dxa"/>
            <w:vAlign w:val="center"/>
          </w:tcPr>
          <w:p w14:paraId="27982B82">
            <w:pPr>
              <w:pStyle w:val="34"/>
              <w:rPr>
                <w:sz w:val="18"/>
                <w:szCs w:val="18"/>
              </w:rPr>
            </w:pPr>
            <w:r>
              <w:rPr>
                <w:sz w:val="18"/>
                <w:szCs w:val="18"/>
              </w:rPr>
              <w:t>无机</w:t>
            </w:r>
          </w:p>
        </w:tc>
        <w:tc>
          <w:tcPr>
            <w:tcW w:w="573" w:type="dxa"/>
            <w:vAlign w:val="center"/>
          </w:tcPr>
          <w:p w14:paraId="13C9E2AF">
            <w:pPr>
              <w:pStyle w:val="34"/>
              <w:rPr>
                <w:sz w:val="18"/>
                <w:szCs w:val="18"/>
              </w:rPr>
            </w:pPr>
            <w:r>
              <w:rPr>
                <w:sz w:val="18"/>
                <w:szCs w:val="18"/>
              </w:rPr>
              <w:t>黄磷</w:t>
            </w:r>
          </w:p>
        </w:tc>
        <w:tc>
          <w:tcPr>
            <w:tcW w:w="3137" w:type="dxa"/>
            <w:gridSpan w:val="2"/>
            <w:vAlign w:val="center"/>
          </w:tcPr>
          <w:p w14:paraId="430A1FDA">
            <w:pPr>
              <w:pStyle w:val="34"/>
              <w:rPr>
                <w:sz w:val="18"/>
                <w:szCs w:val="18"/>
              </w:rPr>
            </w:pPr>
            <w:r>
              <w:rPr>
                <w:sz w:val="18"/>
                <w:szCs w:val="18"/>
              </w:rPr>
              <w:t>接触空气会冒烟自燃。受撞击、摩擦或与氯酸钾等氧化剂接触能立即燃烧，甚至爆炸。强还原剂，有燃烧危险。</w:t>
            </w:r>
          </w:p>
          <w:p w14:paraId="7674C496">
            <w:pPr>
              <w:pStyle w:val="34"/>
              <w:rPr>
                <w:sz w:val="18"/>
                <w:szCs w:val="18"/>
              </w:rPr>
            </w:pPr>
            <w:r>
              <w:rPr>
                <w:rFonts w:hint="eastAsia"/>
                <w:sz w:val="18"/>
                <w:szCs w:val="18"/>
              </w:rPr>
              <w:t>溶于水产生易燃气体磷化氢。</w:t>
            </w:r>
          </w:p>
        </w:tc>
        <w:tc>
          <w:tcPr>
            <w:tcW w:w="2840" w:type="dxa"/>
            <w:vAlign w:val="center"/>
          </w:tcPr>
          <w:p w14:paraId="78A698E3">
            <w:pPr>
              <w:pStyle w:val="34"/>
              <w:rPr>
                <w:sz w:val="18"/>
                <w:szCs w:val="18"/>
              </w:rPr>
            </w:pPr>
            <w:r>
              <w:rPr>
                <w:sz w:val="18"/>
                <w:szCs w:val="18"/>
              </w:rPr>
              <w:t>LD50：3</w:t>
            </w:r>
            <w:r>
              <w:rPr>
                <w:rFonts w:hint="eastAsia"/>
                <w:sz w:val="18"/>
                <w:szCs w:val="18"/>
              </w:rPr>
              <w:t>.</w:t>
            </w:r>
            <w:r>
              <w:rPr>
                <w:sz w:val="18"/>
                <w:szCs w:val="18"/>
              </w:rPr>
              <w:t>03mg</w:t>
            </w:r>
            <w:r>
              <w:rPr>
                <w:rFonts w:hint="eastAsia"/>
                <w:sz w:val="18"/>
                <w:szCs w:val="18"/>
              </w:rPr>
              <w:t>/</w:t>
            </w:r>
            <w:r>
              <w:rPr>
                <w:sz w:val="18"/>
                <w:szCs w:val="18"/>
              </w:rPr>
              <w:t>kg(大鼠经口)</w:t>
            </w:r>
          </w:p>
        </w:tc>
        <w:tc>
          <w:tcPr>
            <w:tcW w:w="3270" w:type="dxa"/>
            <w:vAlign w:val="center"/>
          </w:tcPr>
          <w:p w14:paraId="2A4439F9">
            <w:pPr>
              <w:pStyle w:val="34"/>
              <w:rPr>
                <w:sz w:val="18"/>
                <w:szCs w:val="18"/>
              </w:rPr>
            </w:pPr>
            <w:r>
              <w:rPr>
                <w:sz w:val="18"/>
                <w:szCs w:val="18"/>
              </w:rPr>
              <w:t>急性吸入中毒表现有头痛、头晕、全身无力、呕吐、心动过缓、上腹疼痛、黄疸、肝肿大。重症出现急性肝坏死。口服中毒出现口腔糜烂、急性胃肠炎。数天后出现中毒性肝炎、肾损害。严重者发生肝坏死。本品可致皮肤灼伤，磷经灼伤皮肤吸收引起中毒，发生肝损害、急性溶血等。慢性中毒有神经衰弱综合征、消化功能紊乱及骨骼损害，尤以下颌骨显著。</w:t>
            </w:r>
          </w:p>
        </w:tc>
        <w:tc>
          <w:tcPr>
            <w:tcW w:w="1440" w:type="dxa"/>
            <w:vAlign w:val="center"/>
          </w:tcPr>
          <w:p w14:paraId="1670C287">
            <w:pPr>
              <w:pStyle w:val="34"/>
              <w:rPr>
                <w:sz w:val="18"/>
                <w:szCs w:val="18"/>
              </w:rPr>
            </w:pPr>
            <w:r>
              <w:rPr>
                <w:sz w:val="18"/>
                <w:szCs w:val="18"/>
              </w:rPr>
              <w:t>固体物质，不溶于水，影响不大。</w:t>
            </w:r>
          </w:p>
        </w:tc>
        <w:tc>
          <w:tcPr>
            <w:tcW w:w="971" w:type="dxa"/>
            <w:vAlign w:val="center"/>
          </w:tcPr>
          <w:p w14:paraId="7EE369F0">
            <w:pPr>
              <w:pStyle w:val="34"/>
              <w:rPr>
                <w:sz w:val="18"/>
                <w:szCs w:val="18"/>
              </w:rPr>
            </w:pPr>
            <w:r>
              <w:rPr>
                <w:rFonts w:hint="eastAsia"/>
                <w:sz w:val="18"/>
                <w:szCs w:val="18"/>
              </w:rPr>
              <w:t>12.5kg塑料桶包装，常温运输，包装上层用水密封，下层为黄磷</w:t>
            </w:r>
          </w:p>
        </w:tc>
      </w:tr>
      <w:tr w14:paraId="08F183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E00AA4D">
            <w:pPr>
              <w:pStyle w:val="34"/>
              <w:numPr>
                <w:ilvl w:val="0"/>
                <w:numId w:val="55"/>
              </w:numPr>
              <w:rPr>
                <w:sz w:val="18"/>
                <w:szCs w:val="18"/>
              </w:rPr>
            </w:pPr>
          </w:p>
        </w:tc>
        <w:tc>
          <w:tcPr>
            <w:tcW w:w="584" w:type="dxa"/>
            <w:vMerge w:val="continue"/>
            <w:vAlign w:val="center"/>
          </w:tcPr>
          <w:p w14:paraId="1A920200">
            <w:pPr>
              <w:pStyle w:val="34"/>
              <w:rPr>
                <w:sz w:val="18"/>
                <w:szCs w:val="18"/>
              </w:rPr>
            </w:pPr>
          </w:p>
        </w:tc>
        <w:tc>
          <w:tcPr>
            <w:tcW w:w="567" w:type="dxa"/>
            <w:vMerge w:val="continue"/>
            <w:vAlign w:val="center"/>
          </w:tcPr>
          <w:p w14:paraId="6E636C0D">
            <w:pPr>
              <w:pStyle w:val="34"/>
              <w:rPr>
                <w:sz w:val="18"/>
                <w:szCs w:val="18"/>
              </w:rPr>
            </w:pPr>
          </w:p>
        </w:tc>
        <w:tc>
          <w:tcPr>
            <w:tcW w:w="419" w:type="dxa"/>
            <w:vMerge w:val="restart"/>
            <w:vAlign w:val="center"/>
          </w:tcPr>
          <w:p w14:paraId="77351572">
            <w:pPr>
              <w:pStyle w:val="34"/>
              <w:rPr>
                <w:sz w:val="18"/>
                <w:szCs w:val="18"/>
              </w:rPr>
            </w:pPr>
            <w:r>
              <w:rPr>
                <w:sz w:val="18"/>
                <w:szCs w:val="18"/>
              </w:rPr>
              <w:t>有机</w:t>
            </w:r>
          </w:p>
        </w:tc>
        <w:tc>
          <w:tcPr>
            <w:tcW w:w="573" w:type="dxa"/>
            <w:vAlign w:val="center"/>
          </w:tcPr>
          <w:p w14:paraId="4A84B7D1">
            <w:pPr>
              <w:pStyle w:val="34"/>
              <w:rPr>
                <w:sz w:val="18"/>
                <w:szCs w:val="18"/>
              </w:rPr>
            </w:pPr>
            <w:r>
              <w:rPr>
                <w:rFonts w:hint="eastAsia"/>
                <w:sz w:val="18"/>
                <w:szCs w:val="18"/>
              </w:rPr>
              <w:t>三氯异氰尿酸</w:t>
            </w:r>
          </w:p>
        </w:tc>
        <w:tc>
          <w:tcPr>
            <w:tcW w:w="3137" w:type="dxa"/>
            <w:gridSpan w:val="2"/>
            <w:vAlign w:val="center"/>
          </w:tcPr>
          <w:p w14:paraId="608C9B13">
            <w:pPr>
              <w:pStyle w:val="34"/>
              <w:rPr>
                <w:sz w:val="18"/>
                <w:szCs w:val="18"/>
              </w:rPr>
            </w:pPr>
            <w:r>
              <w:rPr>
                <w:sz w:val="18"/>
                <w:szCs w:val="18"/>
              </w:rPr>
              <w:t>强氧化剂。与易燃物、有机物接触易着火燃烧。遇氰尿酸+氢氧化钠生成易爆炸的产物。遇氨、铵盐、尿素等含氮化合物及水生成易爆炸的三氯化氮。受热或遇水分解放热，放出有毒的腐蚀性烟气。</w:t>
            </w:r>
          </w:p>
        </w:tc>
        <w:tc>
          <w:tcPr>
            <w:tcW w:w="2840" w:type="dxa"/>
            <w:vAlign w:val="center"/>
          </w:tcPr>
          <w:p w14:paraId="0D26130E">
            <w:pPr>
              <w:pStyle w:val="34"/>
              <w:rPr>
                <w:sz w:val="18"/>
                <w:szCs w:val="18"/>
              </w:rPr>
            </w:pPr>
            <w:r>
              <w:rPr>
                <w:sz w:val="18"/>
                <w:szCs w:val="18"/>
              </w:rPr>
              <w:t>LD50：700～800mg</w:t>
            </w:r>
            <w:r>
              <w:rPr>
                <w:rFonts w:hint="eastAsia"/>
                <w:sz w:val="18"/>
                <w:szCs w:val="18"/>
              </w:rPr>
              <w:t>/</w:t>
            </w:r>
            <w:r>
              <w:rPr>
                <w:sz w:val="18"/>
                <w:szCs w:val="18"/>
              </w:rPr>
              <w:t>kg(大鼠经口)</w:t>
            </w:r>
          </w:p>
        </w:tc>
        <w:tc>
          <w:tcPr>
            <w:tcW w:w="3270" w:type="dxa"/>
            <w:vAlign w:val="center"/>
          </w:tcPr>
          <w:p w14:paraId="08B5A9D3">
            <w:pPr>
              <w:pStyle w:val="34"/>
              <w:rPr>
                <w:sz w:val="18"/>
                <w:szCs w:val="18"/>
              </w:rPr>
            </w:pPr>
            <w:r>
              <w:rPr>
                <w:sz w:val="18"/>
                <w:szCs w:val="18"/>
              </w:rPr>
              <w:t>本品粉末能强烈刺激眼睛、皮肤和呼吸系统。受热或遇水能产生含氯或其他毒气的浓厚烟雾。</w:t>
            </w:r>
          </w:p>
        </w:tc>
        <w:tc>
          <w:tcPr>
            <w:tcW w:w="1440" w:type="dxa"/>
            <w:vAlign w:val="center"/>
          </w:tcPr>
          <w:p w14:paraId="3C40BDCC">
            <w:pPr>
              <w:pStyle w:val="34"/>
              <w:rPr>
                <w:sz w:val="18"/>
                <w:szCs w:val="18"/>
              </w:rPr>
            </w:pPr>
            <w:r>
              <w:rPr>
                <w:sz w:val="18"/>
                <w:szCs w:val="18"/>
              </w:rPr>
              <w:t>水产养殖代表性消毒杀菌剂，根据国内研究仅在高浓度时会抑制</w:t>
            </w:r>
            <w:r>
              <w:rPr>
                <w:rFonts w:hint="eastAsia"/>
                <w:sz w:val="18"/>
                <w:szCs w:val="18"/>
                <w:lang w:eastAsia="zh-CN"/>
              </w:rPr>
              <w:t>藻类</w:t>
            </w:r>
            <w:r>
              <w:rPr>
                <w:sz w:val="18"/>
                <w:szCs w:val="18"/>
              </w:rPr>
              <w:t>生长，但对鱼类毒性持续不长。</w:t>
            </w:r>
          </w:p>
        </w:tc>
        <w:tc>
          <w:tcPr>
            <w:tcW w:w="971" w:type="dxa"/>
            <w:vAlign w:val="center"/>
          </w:tcPr>
          <w:p w14:paraId="1ABE1327">
            <w:pPr>
              <w:pStyle w:val="34"/>
              <w:rPr>
                <w:sz w:val="18"/>
                <w:szCs w:val="18"/>
              </w:rPr>
            </w:pPr>
            <w:r>
              <w:rPr>
                <w:rFonts w:hint="eastAsia"/>
                <w:sz w:val="18"/>
                <w:szCs w:val="18"/>
              </w:rPr>
              <w:t>100kg聚丙烯袋装，常温常压运输</w:t>
            </w:r>
          </w:p>
        </w:tc>
      </w:tr>
      <w:tr w14:paraId="7FE9EF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343D794B">
            <w:pPr>
              <w:pStyle w:val="34"/>
              <w:numPr>
                <w:ilvl w:val="0"/>
                <w:numId w:val="55"/>
              </w:numPr>
              <w:rPr>
                <w:sz w:val="18"/>
                <w:szCs w:val="18"/>
              </w:rPr>
            </w:pPr>
          </w:p>
        </w:tc>
        <w:tc>
          <w:tcPr>
            <w:tcW w:w="584" w:type="dxa"/>
            <w:vMerge w:val="continue"/>
            <w:vAlign w:val="center"/>
          </w:tcPr>
          <w:p w14:paraId="3562F77B">
            <w:pPr>
              <w:pStyle w:val="34"/>
              <w:rPr>
                <w:sz w:val="18"/>
                <w:szCs w:val="18"/>
              </w:rPr>
            </w:pPr>
          </w:p>
        </w:tc>
        <w:tc>
          <w:tcPr>
            <w:tcW w:w="567" w:type="dxa"/>
            <w:vMerge w:val="continue"/>
            <w:vAlign w:val="center"/>
          </w:tcPr>
          <w:p w14:paraId="30BCFD3B">
            <w:pPr>
              <w:pStyle w:val="34"/>
              <w:rPr>
                <w:sz w:val="18"/>
                <w:szCs w:val="18"/>
              </w:rPr>
            </w:pPr>
          </w:p>
        </w:tc>
        <w:tc>
          <w:tcPr>
            <w:tcW w:w="419" w:type="dxa"/>
            <w:vMerge w:val="continue"/>
            <w:vAlign w:val="center"/>
          </w:tcPr>
          <w:p w14:paraId="5D4B8837">
            <w:pPr>
              <w:pStyle w:val="34"/>
              <w:rPr>
                <w:sz w:val="18"/>
                <w:szCs w:val="18"/>
              </w:rPr>
            </w:pPr>
          </w:p>
        </w:tc>
        <w:tc>
          <w:tcPr>
            <w:tcW w:w="573" w:type="dxa"/>
            <w:vAlign w:val="center"/>
          </w:tcPr>
          <w:p w14:paraId="35B58045">
            <w:pPr>
              <w:pStyle w:val="34"/>
              <w:rPr>
                <w:sz w:val="18"/>
                <w:szCs w:val="18"/>
              </w:rPr>
            </w:pPr>
            <w:r>
              <w:rPr>
                <w:rFonts w:hint="eastAsia"/>
                <w:sz w:val="18"/>
                <w:szCs w:val="18"/>
              </w:rPr>
              <w:t>1,3-二硝基苯</w:t>
            </w:r>
          </w:p>
        </w:tc>
        <w:tc>
          <w:tcPr>
            <w:tcW w:w="3137" w:type="dxa"/>
            <w:gridSpan w:val="2"/>
            <w:vAlign w:val="center"/>
          </w:tcPr>
          <w:p w14:paraId="0F06AC30">
            <w:pPr>
              <w:pStyle w:val="34"/>
              <w:rPr>
                <w:sz w:val="18"/>
                <w:szCs w:val="18"/>
              </w:rPr>
            </w:pPr>
            <w:r>
              <w:rPr>
                <w:rFonts w:hint="eastAsia"/>
                <w:sz w:val="18"/>
                <w:szCs w:val="18"/>
              </w:rPr>
              <w:t>燃烧时可能会释放毒性烟雾。加热时，容器可能爆炸。受热或接触火焰可能会产生膨胀或爆炸性分解。</w:t>
            </w:r>
          </w:p>
          <w:p w14:paraId="0E086E1B">
            <w:pPr>
              <w:pStyle w:val="34"/>
              <w:rPr>
                <w:sz w:val="18"/>
                <w:szCs w:val="18"/>
              </w:rPr>
            </w:pPr>
            <w:r>
              <w:rPr>
                <w:rFonts w:hint="eastAsia"/>
                <w:sz w:val="18"/>
                <w:szCs w:val="18"/>
              </w:rPr>
              <w:t>燃烧产物：CO、CO</w:t>
            </w:r>
            <w:r>
              <w:rPr>
                <w:rFonts w:hint="eastAsia"/>
                <w:sz w:val="18"/>
                <w:szCs w:val="18"/>
                <w:vertAlign w:val="subscript"/>
              </w:rPr>
              <w:t>2</w:t>
            </w:r>
            <w:r>
              <w:rPr>
                <w:rFonts w:hint="eastAsia"/>
                <w:sz w:val="18"/>
                <w:szCs w:val="18"/>
              </w:rPr>
              <w:t>、NO</w:t>
            </w:r>
            <w:r>
              <w:rPr>
                <w:rFonts w:hint="eastAsia"/>
                <w:sz w:val="18"/>
                <w:szCs w:val="18"/>
                <w:vertAlign w:val="subscript"/>
              </w:rPr>
              <w:t>x</w:t>
            </w:r>
          </w:p>
        </w:tc>
        <w:tc>
          <w:tcPr>
            <w:tcW w:w="2840" w:type="dxa"/>
            <w:vAlign w:val="center"/>
          </w:tcPr>
          <w:p w14:paraId="7474ABEA">
            <w:pPr>
              <w:pStyle w:val="34"/>
              <w:rPr>
                <w:sz w:val="18"/>
                <w:szCs w:val="18"/>
              </w:rPr>
            </w:pPr>
            <w:r>
              <w:rPr>
                <w:rFonts w:hint="eastAsia"/>
                <w:sz w:val="18"/>
                <w:szCs w:val="18"/>
              </w:rPr>
              <w:t>LD50:83mg/kg(大鼠经口)；10mg/kg(狗静脉);人经皮4mg/kgx12日(间断)最小中毒剂量(血液影响)</w:t>
            </w:r>
          </w:p>
        </w:tc>
        <w:tc>
          <w:tcPr>
            <w:tcW w:w="3270" w:type="dxa"/>
            <w:vAlign w:val="center"/>
          </w:tcPr>
          <w:p w14:paraId="3AF4335C">
            <w:pPr>
              <w:pStyle w:val="34"/>
              <w:rPr>
                <w:sz w:val="18"/>
                <w:szCs w:val="18"/>
              </w:rPr>
            </w:pPr>
            <w:r>
              <w:rPr>
                <w:sz w:val="18"/>
                <w:szCs w:val="18"/>
              </w:rPr>
              <w:t>灼烧感，嘴唇</w:t>
            </w:r>
            <w:r>
              <w:rPr>
                <w:rFonts w:hint="eastAsia"/>
                <w:sz w:val="18"/>
                <w:szCs w:val="18"/>
              </w:rPr>
              <w:t>发青或指甲发青，头晕，头痛，恶心，呼吸困难。</w:t>
            </w:r>
          </w:p>
        </w:tc>
        <w:tc>
          <w:tcPr>
            <w:tcW w:w="1440" w:type="dxa"/>
            <w:vAlign w:val="center"/>
          </w:tcPr>
          <w:p w14:paraId="456313EF">
            <w:pPr>
              <w:pStyle w:val="34"/>
              <w:rPr>
                <w:sz w:val="18"/>
                <w:szCs w:val="18"/>
              </w:rPr>
            </w:pPr>
            <w:r>
              <w:rPr>
                <w:rFonts w:hint="eastAsia"/>
                <w:sz w:val="18"/>
                <w:szCs w:val="18"/>
              </w:rPr>
              <w:t>对水生生物毒性极大并具有长期持续影响。</w:t>
            </w:r>
          </w:p>
        </w:tc>
        <w:tc>
          <w:tcPr>
            <w:tcW w:w="971" w:type="dxa"/>
            <w:vAlign w:val="center"/>
          </w:tcPr>
          <w:p w14:paraId="0500848E">
            <w:pPr>
              <w:pStyle w:val="34"/>
              <w:rPr>
                <w:sz w:val="18"/>
                <w:szCs w:val="18"/>
              </w:rPr>
            </w:pPr>
            <w:r>
              <w:rPr>
                <w:rFonts w:hint="eastAsia"/>
                <w:sz w:val="18"/>
                <w:szCs w:val="18"/>
              </w:rPr>
              <w:t>25kg铁桶包装，常温常压运输</w:t>
            </w:r>
          </w:p>
        </w:tc>
      </w:tr>
      <w:tr w14:paraId="641C4D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4C850A7C">
            <w:pPr>
              <w:pStyle w:val="34"/>
              <w:numPr>
                <w:ilvl w:val="0"/>
                <w:numId w:val="55"/>
              </w:numPr>
              <w:rPr>
                <w:sz w:val="18"/>
                <w:szCs w:val="18"/>
              </w:rPr>
            </w:pPr>
          </w:p>
        </w:tc>
        <w:tc>
          <w:tcPr>
            <w:tcW w:w="584" w:type="dxa"/>
            <w:vMerge w:val="continue"/>
            <w:vAlign w:val="center"/>
          </w:tcPr>
          <w:p w14:paraId="26F01097">
            <w:pPr>
              <w:pStyle w:val="34"/>
              <w:rPr>
                <w:sz w:val="18"/>
                <w:szCs w:val="18"/>
              </w:rPr>
            </w:pPr>
          </w:p>
        </w:tc>
        <w:tc>
          <w:tcPr>
            <w:tcW w:w="567" w:type="dxa"/>
            <w:vMerge w:val="continue"/>
            <w:vAlign w:val="center"/>
          </w:tcPr>
          <w:p w14:paraId="62B926A7">
            <w:pPr>
              <w:pStyle w:val="34"/>
              <w:rPr>
                <w:sz w:val="18"/>
                <w:szCs w:val="18"/>
              </w:rPr>
            </w:pPr>
          </w:p>
        </w:tc>
        <w:tc>
          <w:tcPr>
            <w:tcW w:w="419" w:type="dxa"/>
            <w:vMerge w:val="continue"/>
            <w:vAlign w:val="center"/>
          </w:tcPr>
          <w:p w14:paraId="740CBE8A">
            <w:pPr>
              <w:pStyle w:val="34"/>
              <w:rPr>
                <w:sz w:val="18"/>
                <w:szCs w:val="18"/>
              </w:rPr>
            </w:pPr>
          </w:p>
        </w:tc>
        <w:tc>
          <w:tcPr>
            <w:tcW w:w="573" w:type="dxa"/>
            <w:vAlign w:val="center"/>
          </w:tcPr>
          <w:p w14:paraId="27F6A739">
            <w:pPr>
              <w:pStyle w:val="34"/>
              <w:rPr>
                <w:sz w:val="18"/>
                <w:szCs w:val="18"/>
              </w:rPr>
            </w:pPr>
            <w:r>
              <w:rPr>
                <w:rFonts w:hint="eastAsia"/>
                <w:sz w:val="18"/>
                <w:szCs w:val="18"/>
              </w:rPr>
              <w:t>2,4-二硝基甲苯</w:t>
            </w:r>
          </w:p>
        </w:tc>
        <w:tc>
          <w:tcPr>
            <w:tcW w:w="3137" w:type="dxa"/>
            <w:gridSpan w:val="2"/>
            <w:vAlign w:val="center"/>
          </w:tcPr>
          <w:p w14:paraId="3C7A0F8C">
            <w:pPr>
              <w:pStyle w:val="34"/>
              <w:rPr>
                <w:sz w:val="18"/>
                <w:szCs w:val="18"/>
              </w:rPr>
            </w:pPr>
            <w:r>
              <w:rPr>
                <w:rFonts w:hint="eastAsia"/>
                <w:sz w:val="18"/>
                <w:szCs w:val="18"/>
              </w:rPr>
              <w:t>遇明火、高热易燃。与氧化剂混合能形成爆炸性混合物。经摩擦、震动或撞击可引起燃烧或爆炸。燃烧时产生大量烟雾。</w:t>
            </w:r>
          </w:p>
          <w:p w14:paraId="31B33F88">
            <w:pPr>
              <w:pStyle w:val="34"/>
              <w:rPr>
                <w:sz w:val="18"/>
                <w:szCs w:val="18"/>
              </w:rPr>
            </w:pPr>
            <w:r>
              <w:rPr>
                <w:rFonts w:hint="eastAsia"/>
                <w:sz w:val="18"/>
                <w:szCs w:val="18"/>
              </w:rPr>
              <w:t>燃烧产物：CO、CO</w:t>
            </w:r>
            <w:r>
              <w:rPr>
                <w:rFonts w:hint="eastAsia"/>
                <w:sz w:val="18"/>
                <w:szCs w:val="18"/>
                <w:vertAlign w:val="subscript"/>
              </w:rPr>
              <w:t>2</w:t>
            </w:r>
            <w:r>
              <w:rPr>
                <w:rFonts w:hint="eastAsia"/>
                <w:sz w:val="18"/>
                <w:szCs w:val="18"/>
              </w:rPr>
              <w:t>、NO</w:t>
            </w:r>
            <w:r>
              <w:rPr>
                <w:rFonts w:hint="eastAsia"/>
                <w:sz w:val="18"/>
                <w:szCs w:val="18"/>
                <w:vertAlign w:val="subscript"/>
              </w:rPr>
              <w:t>x</w:t>
            </w:r>
          </w:p>
        </w:tc>
        <w:tc>
          <w:tcPr>
            <w:tcW w:w="2840" w:type="dxa"/>
            <w:vAlign w:val="center"/>
          </w:tcPr>
          <w:p w14:paraId="44991DCC">
            <w:pPr>
              <w:pStyle w:val="34"/>
              <w:rPr>
                <w:sz w:val="18"/>
                <w:szCs w:val="18"/>
              </w:rPr>
            </w:pPr>
            <w:r>
              <w:rPr>
                <w:rFonts w:hint="eastAsia"/>
                <w:sz w:val="18"/>
                <w:szCs w:val="18"/>
              </w:rPr>
              <w:t>LD50:268mg/kg(大鼠经口)</w:t>
            </w:r>
          </w:p>
        </w:tc>
        <w:tc>
          <w:tcPr>
            <w:tcW w:w="3270" w:type="dxa"/>
            <w:vAlign w:val="center"/>
          </w:tcPr>
          <w:p w14:paraId="4118E956">
            <w:pPr>
              <w:pStyle w:val="34"/>
              <w:rPr>
                <w:sz w:val="18"/>
                <w:szCs w:val="18"/>
              </w:rPr>
            </w:pPr>
            <w:r>
              <w:rPr>
                <w:sz w:val="18"/>
                <w:szCs w:val="18"/>
              </w:rPr>
              <w:t>吞咽会中毒</w:t>
            </w:r>
            <w:r>
              <w:rPr>
                <w:rFonts w:hint="eastAsia"/>
                <w:sz w:val="18"/>
                <w:szCs w:val="18"/>
              </w:rPr>
              <w:t>。皮肤接触会中毒。吸入会中毒。怀疑会导致遗传性缺陷。可能致癌。长期或反复接触可能对器官造成伤害。</w:t>
            </w:r>
          </w:p>
        </w:tc>
        <w:tc>
          <w:tcPr>
            <w:tcW w:w="1440" w:type="dxa"/>
            <w:vAlign w:val="center"/>
          </w:tcPr>
          <w:p w14:paraId="73BC53FE">
            <w:pPr>
              <w:pStyle w:val="34"/>
              <w:rPr>
                <w:sz w:val="18"/>
                <w:szCs w:val="18"/>
              </w:rPr>
            </w:pPr>
            <w:r>
              <w:rPr>
                <w:rFonts w:hint="eastAsia"/>
                <w:sz w:val="18"/>
                <w:szCs w:val="18"/>
              </w:rPr>
              <w:t>对水生生物毒性极大并具有长期持续影响。</w:t>
            </w:r>
          </w:p>
        </w:tc>
        <w:tc>
          <w:tcPr>
            <w:tcW w:w="971" w:type="dxa"/>
            <w:vAlign w:val="center"/>
          </w:tcPr>
          <w:p w14:paraId="1AEF299E">
            <w:pPr>
              <w:pStyle w:val="34"/>
              <w:rPr>
                <w:sz w:val="18"/>
                <w:szCs w:val="18"/>
              </w:rPr>
            </w:pPr>
            <w:r>
              <w:rPr>
                <w:rFonts w:hint="eastAsia"/>
                <w:sz w:val="18"/>
                <w:szCs w:val="18"/>
              </w:rPr>
              <w:t>25kg铁桶包装，常温常压运输</w:t>
            </w:r>
          </w:p>
        </w:tc>
      </w:tr>
      <w:tr w14:paraId="75390B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CC567A2">
            <w:pPr>
              <w:pStyle w:val="34"/>
              <w:numPr>
                <w:ilvl w:val="0"/>
                <w:numId w:val="55"/>
              </w:numPr>
              <w:rPr>
                <w:sz w:val="18"/>
                <w:szCs w:val="18"/>
              </w:rPr>
            </w:pPr>
          </w:p>
        </w:tc>
        <w:tc>
          <w:tcPr>
            <w:tcW w:w="584" w:type="dxa"/>
            <w:vMerge w:val="continue"/>
            <w:vAlign w:val="center"/>
          </w:tcPr>
          <w:p w14:paraId="2C257F41">
            <w:pPr>
              <w:pStyle w:val="34"/>
              <w:rPr>
                <w:sz w:val="18"/>
                <w:szCs w:val="18"/>
              </w:rPr>
            </w:pPr>
          </w:p>
        </w:tc>
        <w:tc>
          <w:tcPr>
            <w:tcW w:w="567" w:type="dxa"/>
            <w:vMerge w:val="continue"/>
            <w:vAlign w:val="center"/>
          </w:tcPr>
          <w:p w14:paraId="358FAC71">
            <w:pPr>
              <w:pStyle w:val="34"/>
              <w:rPr>
                <w:sz w:val="18"/>
                <w:szCs w:val="18"/>
              </w:rPr>
            </w:pPr>
          </w:p>
        </w:tc>
        <w:tc>
          <w:tcPr>
            <w:tcW w:w="419" w:type="dxa"/>
            <w:vMerge w:val="continue"/>
            <w:vAlign w:val="center"/>
          </w:tcPr>
          <w:p w14:paraId="63D73DFF">
            <w:pPr>
              <w:pStyle w:val="34"/>
              <w:rPr>
                <w:sz w:val="18"/>
                <w:szCs w:val="18"/>
              </w:rPr>
            </w:pPr>
          </w:p>
        </w:tc>
        <w:tc>
          <w:tcPr>
            <w:tcW w:w="573" w:type="dxa"/>
            <w:vAlign w:val="center"/>
          </w:tcPr>
          <w:p w14:paraId="53723C66">
            <w:pPr>
              <w:pStyle w:val="34"/>
              <w:rPr>
                <w:sz w:val="18"/>
                <w:szCs w:val="18"/>
              </w:rPr>
            </w:pPr>
            <w:r>
              <w:rPr>
                <w:rFonts w:hint="eastAsia"/>
                <w:sz w:val="18"/>
                <w:szCs w:val="18"/>
              </w:rPr>
              <w:t>亚硝基硫酸</w:t>
            </w:r>
          </w:p>
        </w:tc>
        <w:tc>
          <w:tcPr>
            <w:tcW w:w="3137" w:type="dxa"/>
            <w:gridSpan w:val="2"/>
            <w:vAlign w:val="center"/>
          </w:tcPr>
          <w:p w14:paraId="6083E9F2">
            <w:pPr>
              <w:pStyle w:val="34"/>
              <w:rPr>
                <w:sz w:val="18"/>
                <w:szCs w:val="18"/>
              </w:rPr>
            </w:pPr>
            <w:r>
              <w:rPr>
                <w:rFonts w:hint="eastAsia"/>
                <w:sz w:val="18"/>
                <w:szCs w:val="18"/>
              </w:rPr>
              <w:t>有腐蚀性，遇水发生剧烈的放热反应，放出有毒和腐蚀性烟雾，与金属反应放出易燃易爆的氢气。</w:t>
            </w:r>
          </w:p>
        </w:tc>
        <w:tc>
          <w:tcPr>
            <w:tcW w:w="2840" w:type="dxa"/>
            <w:vAlign w:val="center"/>
          </w:tcPr>
          <w:p w14:paraId="3FB2E166">
            <w:pPr>
              <w:pStyle w:val="34"/>
              <w:rPr>
                <w:sz w:val="18"/>
                <w:szCs w:val="18"/>
              </w:rPr>
            </w:pPr>
            <w:r>
              <w:rPr>
                <w:rFonts w:hint="eastAsia"/>
                <w:sz w:val="18"/>
                <w:szCs w:val="18"/>
              </w:rPr>
              <w:t>-</w:t>
            </w:r>
          </w:p>
        </w:tc>
        <w:tc>
          <w:tcPr>
            <w:tcW w:w="3270" w:type="dxa"/>
            <w:vAlign w:val="center"/>
          </w:tcPr>
          <w:p w14:paraId="4C7DE2E4">
            <w:pPr>
              <w:pStyle w:val="34"/>
              <w:rPr>
                <w:sz w:val="18"/>
                <w:szCs w:val="18"/>
              </w:rPr>
            </w:pPr>
            <w:r>
              <w:rPr>
                <w:rFonts w:hint="eastAsia"/>
                <w:sz w:val="18"/>
                <w:szCs w:val="18"/>
              </w:rPr>
              <w:t>腐蚀物能引起呼吸道刺激，伴有咳嗽、呼吸道阻塞和粘膜损伤。吸入该物质可能会引起对健康有害的影响或呼吸道不适。</w:t>
            </w:r>
          </w:p>
        </w:tc>
        <w:tc>
          <w:tcPr>
            <w:tcW w:w="1440" w:type="dxa"/>
            <w:vAlign w:val="center"/>
          </w:tcPr>
          <w:p w14:paraId="147620B1">
            <w:pPr>
              <w:pStyle w:val="34"/>
              <w:rPr>
                <w:sz w:val="18"/>
                <w:szCs w:val="18"/>
              </w:rPr>
            </w:pPr>
            <w:r>
              <w:rPr>
                <w:rFonts w:hint="eastAsia"/>
                <w:sz w:val="18"/>
                <w:szCs w:val="18"/>
              </w:rPr>
              <w:t>-</w:t>
            </w:r>
          </w:p>
        </w:tc>
        <w:tc>
          <w:tcPr>
            <w:tcW w:w="971" w:type="dxa"/>
            <w:vAlign w:val="center"/>
          </w:tcPr>
          <w:p w14:paraId="12D0F44E">
            <w:pPr>
              <w:pStyle w:val="34"/>
              <w:rPr>
                <w:sz w:val="18"/>
                <w:szCs w:val="18"/>
              </w:rPr>
            </w:pPr>
            <w:r>
              <w:rPr>
                <w:rFonts w:hint="eastAsia"/>
                <w:sz w:val="18"/>
                <w:szCs w:val="18"/>
              </w:rPr>
              <w:t>250kg塑料桶包装，常温常压运输</w:t>
            </w:r>
          </w:p>
        </w:tc>
      </w:tr>
      <w:tr w14:paraId="5FA58C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86EE26B">
            <w:pPr>
              <w:pStyle w:val="34"/>
              <w:numPr>
                <w:ilvl w:val="0"/>
                <w:numId w:val="55"/>
              </w:numPr>
              <w:rPr>
                <w:sz w:val="18"/>
                <w:szCs w:val="18"/>
              </w:rPr>
            </w:pPr>
          </w:p>
        </w:tc>
        <w:tc>
          <w:tcPr>
            <w:tcW w:w="584" w:type="dxa"/>
            <w:vMerge w:val="continue"/>
            <w:vAlign w:val="center"/>
          </w:tcPr>
          <w:p w14:paraId="40F0DC57">
            <w:pPr>
              <w:pStyle w:val="34"/>
              <w:rPr>
                <w:sz w:val="18"/>
                <w:szCs w:val="18"/>
              </w:rPr>
            </w:pPr>
          </w:p>
        </w:tc>
        <w:tc>
          <w:tcPr>
            <w:tcW w:w="567" w:type="dxa"/>
            <w:vMerge w:val="restart"/>
            <w:vAlign w:val="center"/>
          </w:tcPr>
          <w:p w14:paraId="7341DBA8">
            <w:pPr>
              <w:pStyle w:val="34"/>
              <w:rPr>
                <w:sz w:val="18"/>
                <w:szCs w:val="18"/>
              </w:rPr>
            </w:pPr>
            <w:r>
              <w:rPr>
                <w:sz w:val="18"/>
                <w:szCs w:val="18"/>
              </w:rPr>
              <w:t>不溶</w:t>
            </w:r>
            <w:r>
              <w:rPr>
                <w:rFonts w:hint="eastAsia"/>
                <w:sz w:val="18"/>
                <w:szCs w:val="18"/>
              </w:rPr>
              <w:t>/难溶</w:t>
            </w:r>
          </w:p>
        </w:tc>
        <w:tc>
          <w:tcPr>
            <w:tcW w:w="419" w:type="dxa"/>
            <w:vMerge w:val="restart"/>
            <w:vAlign w:val="center"/>
          </w:tcPr>
          <w:p w14:paraId="4094A502">
            <w:pPr>
              <w:pStyle w:val="34"/>
              <w:rPr>
                <w:sz w:val="18"/>
                <w:szCs w:val="18"/>
              </w:rPr>
            </w:pPr>
            <w:r>
              <w:rPr>
                <w:sz w:val="18"/>
                <w:szCs w:val="18"/>
              </w:rPr>
              <w:t>有机</w:t>
            </w:r>
          </w:p>
        </w:tc>
        <w:tc>
          <w:tcPr>
            <w:tcW w:w="573" w:type="dxa"/>
            <w:vAlign w:val="center"/>
          </w:tcPr>
          <w:p w14:paraId="218B03A3">
            <w:pPr>
              <w:pStyle w:val="34"/>
              <w:rPr>
                <w:sz w:val="18"/>
                <w:szCs w:val="18"/>
              </w:rPr>
            </w:pPr>
            <w:r>
              <w:rPr>
                <w:sz w:val="18"/>
                <w:szCs w:val="18"/>
              </w:rPr>
              <w:t>二苯胺</w:t>
            </w:r>
          </w:p>
        </w:tc>
        <w:tc>
          <w:tcPr>
            <w:tcW w:w="3137" w:type="dxa"/>
            <w:gridSpan w:val="2"/>
            <w:vAlign w:val="center"/>
          </w:tcPr>
          <w:p w14:paraId="6D1749BF">
            <w:pPr>
              <w:pStyle w:val="34"/>
              <w:rPr>
                <w:sz w:val="18"/>
                <w:szCs w:val="18"/>
              </w:rPr>
            </w:pPr>
            <w:r>
              <w:rPr>
                <w:sz w:val="18"/>
                <w:szCs w:val="18"/>
              </w:rPr>
              <w:t>遇明火、高热可燃。受高热分解，放出有毒的烟气。</w:t>
            </w:r>
          </w:p>
        </w:tc>
        <w:tc>
          <w:tcPr>
            <w:tcW w:w="2840" w:type="dxa"/>
            <w:vAlign w:val="center"/>
          </w:tcPr>
          <w:p w14:paraId="317513CE">
            <w:pPr>
              <w:pStyle w:val="34"/>
              <w:rPr>
                <w:sz w:val="18"/>
                <w:szCs w:val="18"/>
              </w:rPr>
            </w:pPr>
            <w:r>
              <w:rPr>
                <w:sz w:val="18"/>
                <w:szCs w:val="18"/>
              </w:rPr>
              <w:t>LD50: 1120 mg</w:t>
            </w:r>
            <w:r>
              <w:rPr>
                <w:rFonts w:hint="eastAsia"/>
                <w:sz w:val="18"/>
                <w:szCs w:val="18"/>
              </w:rPr>
              <w:t>/</w:t>
            </w:r>
            <w:r>
              <w:rPr>
                <w:sz w:val="18"/>
                <w:szCs w:val="18"/>
              </w:rPr>
              <w:t>kg(大鼠经口); 1230 mg</w:t>
            </w:r>
            <w:r>
              <w:rPr>
                <w:rFonts w:hint="eastAsia"/>
                <w:sz w:val="18"/>
                <w:szCs w:val="18"/>
              </w:rPr>
              <w:t>/</w:t>
            </w:r>
            <w:r>
              <w:rPr>
                <w:sz w:val="18"/>
                <w:szCs w:val="18"/>
              </w:rPr>
              <w:t>kg(小鼠经口)</w:t>
            </w:r>
          </w:p>
        </w:tc>
        <w:tc>
          <w:tcPr>
            <w:tcW w:w="3270" w:type="dxa"/>
            <w:vAlign w:val="center"/>
          </w:tcPr>
          <w:p w14:paraId="7385A392">
            <w:pPr>
              <w:pStyle w:val="34"/>
              <w:rPr>
                <w:sz w:val="18"/>
                <w:szCs w:val="18"/>
              </w:rPr>
            </w:pPr>
            <w:r>
              <w:rPr>
                <w:sz w:val="18"/>
                <w:szCs w:val="18"/>
              </w:rPr>
              <w:t>对人体有毒。有刺激性。进入体内可形成高铁血红蛋白，引起紫绀。</w:t>
            </w:r>
          </w:p>
        </w:tc>
        <w:tc>
          <w:tcPr>
            <w:tcW w:w="1440" w:type="dxa"/>
            <w:vAlign w:val="center"/>
          </w:tcPr>
          <w:p w14:paraId="68E0FACB">
            <w:pPr>
              <w:pStyle w:val="34"/>
              <w:rPr>
                <w:sz w:val="18"/>
                <w:szCs w:val="18"/>
              </w:rPr>
            </w:pPr>
            <w:r>
              <w:rPr>
                <w:sz w:val="18"/>
                <w:szCs w:val="18"/>
              </w:rPr>
              <w:t>不溶于水的固体。</w:t>
            </w:r>
          </w:p>
        </w:tc>
        <w:tc>
          <w:tcPr>
            <w:tcW w:w="971" w:type="dxa"/>
            <w:vAlign w:val="center"/>
          </w:tcPr>
          <w:p w14:paraId="1A02272C">
            <w:pPr>
              <w:pStyle w:val="34"/>
              <w:rPr>
                <w:sz w:val="18"/>
                <w:szCs w:val="18"/>
              </w:rPr>
            </w:pPr>
            <w:r>
              <w:rPr>
                <w:rFonts w:hint="eastAsia"/>
                <w:sz w:val="18"/>
                <w:szCs w:val="18"/>
              </w:rPr>
              <w:t>25kg聚丙烯袋装，常温常压运输</w:t>
            </w:r>
          </w:p>
        </w:tc>
      </w:tr>
      <w:tr w14:paraId="7D16C6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D02D8E7">
            <w:pPr>
              <w:pStyle w:val="34"/>
              <w:numPr>
                <w:ilvl w:val="0"/>
                <w:numId w:val="55"/>
              </w:numPr>
              <w:rPr>
                <w:sz w:val="18"/>
                <w:szCs w:val="18"/>
              </w:rPr>
            </w:pPr>
          </w:p>
        </w:tc>
        <w:tc>
          <w:tcPr>
            <w:tcW w:w="584" w:type="dxa"/>
            <w:vMerge w:val="continue"/>
            <w:vAlign w:val="center"/>
          </w:tcPr>
          <w:p w14:paraId="21480BB5">
            <w:pPr>
              <w:pStyle w:val="34"/>
              <w:rPr>
                <w:sz w:val="18"/>
                <w:szCs w:val="18"/>
              </w:rPr>
            </w:pPr>
          </w:p>
        </w:tc>
        <w:tc>
          <w:tcPr>
            <w:tcW w:w="567" w:type="dxa"/>
            <w:vMerge w:val="continue"/>
            <w:vAlign w:val="center"/>
          </w:tcPr>
          <w:p w14:paraId="63F5E6E8">
            <w:pPr>
              <w:pStyle w:val="34"/>
              <w:rPr>
                <w:sz w:val="18"/>
                <w:szCs w:val="18"/>
              </w:rPr>
            </w:pPr>
          </w:p>
        </w:tc>
        <w:tc>
          <w:tcPr>
            <w:tcW w:w="419" w:type="dxa"/>
            <w:vMerge w:val="continue"/>
            <w:vAlign w:val="center"/>
          </w:tcPr>
          <w:p w14:paraId="6BA84F69">
            <w:pPr>
              <w:pStyle w:val="34"/>
              <w:rPr>
                <w:sz w:val="18"/>
                <w:szCs w:val="18"/>
              </w:rPr>
            </w:pPr>
          </w:p>
        </w:tc>
        <w:tc>
          <w:tcPr>
            <w:tcW w:w="573" w:type="dxa"/>
            <w:vAlign w:val="center"/>
          </w:tcPr>
          <w:p w14:paraId="32FB5606">
            <w:pPr>
              <w:pStyle w:val="34"/>
              <w:rPr>
                <w:sz w:val="18"/>
                <w:szCs w:val="18"/>
              </w:rPr>
            </w:pPr>
            <w:r>
              <w:rPr>
                <w:rFonts w:hint="eastAsia"/>
                <w:sz w:val="18"/>
                <w:szCs w:val="18"/>
              </w:rPr>
              <w:t>硝基胍（橄苦岩），湿的，按质量含水不低于20%</w:t>
            </w:r>
          </w:p>
        </w:tc>
        <w:tc>
          <w:tcPr>
            <w:tcW w:w="3137" w:type="dxa"/>
            <w:gridSpan w:val="2"/>
            <w:vAlign w:val="center"/>
          </w:tcPr>
          <w:p w14:paraId="6F1FE6CA">
            <w:pPr>
              <w:pStyle w:val="34"/>
              <w:rPr>
                <w:sz w:val="18"/>
                <w:szCs w:val="18"/>
              </w:rPr>
            </w:pPr>
            <w:r>
              <w:rPr>
                <w:sz w:val="18"/>
                <w:szCs w:val="18"/>
              </w:rPr>
              <w:t>受热、接触明火、或受到摩擦、震动、撞击时可发生爆炸。受高热分解，产生有毒的氮氧化物。</w:t>
            </w:r>
          </w:p>
        </w:tc>
        <w:tc>
          <w:tcPr>
            <w:tcW w:w="2840" w:type="dxa"/>
            <w:vAlign w:val="center"/>
          </w:tcPr>
          <w:p w14:paraId="35E5BF95">
            <w:pPr>
              <w:pStyle w:val="34"/>
              <w:rPr>
                <w:sz w:val="18"/>
                <w:szCs w:val="18"/>
              </w:rPr>
            </w:pPr>
            <w:r>
              <w:rPr>
                <w:rFonts w:hint="eastAsia"/>
                <w:sz w:val="18"/>
                <w:szCs w:val="18"/>
              </w:rPr>
              <w:t>/</w:t>
            </w:r>
          </w:p>
        </w:tc>
        <w:tc>
          <w:tcPr>
            <w:tcW w:w="3270" w:type="dxa"/>
            <w:vAlign w:val="center"/>
          </w:tcPr>
          <w:p w14:paraId="49F375B2">
            <w:pPr>
              <w:pStyle w:val="34"/>
              <w:rPr>
                <w:sz w:val="18"/>
                <w:szCs w:val="18"/>
              </w:rPr>
            </w:pPr>
            <w:r>
              <w:rPr>
                <w:sz w:val="18"/>
                <w:szCs w:val="18"/>
              </w:rPr>
              <w:t>本品进入机体可能有害。对眼睛、皮肤、粘膜和上呼吸道有剧烈刺激作用。受高热分解，释出有毒的氢氧化物。</w:t>
            </w:r>
          </w:p>
        </w:tc>
        <w:tc>
          <w:tcPr>
            <w:tcW w:w="1440" w:type="dxa"/>
            <w:vAlign w:val="center"/>
          </w:tcPr>
          <w:p w14:paraId="1BF6FAD8">
            <w:pPr>
              <w:pStyle w:val="34"/>
              <w:rPr>
                <w:sz w:val="18"/>
                <w:szCs w:val="18"/>
              </w:rPr>
            </w:pPr>
            <w:r>
              <w:rPr>
                <w:rFonts w:hint="eastAsia"/>
                <w:sz w:val="18"/>
                <w:szCs w:val="18"/>
              </w:rPr>
              <w:t>难溶于冷水，泄露进入水域，将沉入水下，影响范围较小。</w:t>
            </w:r>
          </w:p>
        </w:tc>
        <w:tc>
          <w:tcPr>
            <w:tcW w:w="971" w:type="dxa"/>
            <w:vAlign w:val="center"/>
          </w:tcPr>
          <w:p w14:paraId="6D01E764">
            <w:pPr>
              <w:pStyle w:val="34"/>
              <w:rPr>
                <w:sz w:val="18"/>
                <w:szCs w:val="18"/>
              </w:rPr>
            </w:pPr>
            <w:r>
              <w:rPr>
                <w:rFonts w:hint="eastAsia"/>
                <w:sz w:val="18"/>
                <w:szCs w:val="18"/>
              </w:rPr>
              <w:t>1000mg聚丙烯袋装，常温常压运输</w:t>
            </w:r>
          </w:p>
        </w:tc>
      </w:tr>
      <w:tr w14:paraId="4A8E22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DCF36DA">
            <w:pPr>
              <w:pStyle w:val="34"/>
              <w:numPr>
                <w:ilvl w:val="0"/>
                <w:numId w:val="55"/>
              </w:numPr>
              <w:rPr>
                <w:sz w:val="18"/>
                <w:szCs w:val="18"/>
              </w:rPr>
            </w:pPr>
          </w:p>
        </w:tc>
        <w:tc>
          <w:tcPr>
            <w:tcW w:w="584" w:type="dxa"/>
            <w:vMerge w:val="continue"/>
            <w:vAlign w:val="center"/>
          </w:tcPr>
          <w:p w14:paraId="417828BB">
            <w:pPr>
              <w:pStyle w:val="34"/>
              <w:rPr>
                <w:sz w:val="18"/>
                <w:szCs w:val="18"/>
              </w:rPr>
            </w:pPr>
          </w:p>
        </w:tc>
        <w:tc>
          <w:tcPr>
            <w:tcW w:w="567" w:type="dxa"/>
            <w:vMerge w:val="continue"/>
            <w:vAlign w:val="center"/>
          </w:tcPr>
          <w:p w14:paraId="39BF5830">
            <w:pPr>
              <w:pStyle w:val="34"/>
              <w:rPr>
                <w:sz w:val="18"/>
                <w:szCs w:val="18"/>
              </w:rPr>
            </w:pPr>
          </w:p>
        </w:tc>
        <w:tc>
          <w:tcPr>
            <w:tcW w:w="419" w:type="dxa"/>
            <w:vMerge w:val="restart"/>
            <w:vAlign w:val="center"/>
          </w:tcPr>
          <w:p w14:paraId="7CA7037F">
            <w:pPr>
              <w:pStyle w:val="34"/>
              <w:rPr>
                <w:sz w:val="18"/>
                <w:szCs w:val="18"/>
              </w:rPr>
            </w:pPr>
            <w:r>
              <w:rPr>
                <w:sz w:val="18"/>
                <w:szCs w:val="18"/>
              </w:rPr>
              <w:t>无机</w:t>
            </w:r>
          </w:p>
        </w:tc>
        <w:tc>
          <w:tcPr>
            <w:tcW w:w="573" w:type="dxa"/>
            <w:vAlign w:val="center"/>
          </w:tcPr>
          <w:p w14:paraId="2E3E2C14">
            <w:pPr>
              <w:pStyle w:val="34"/>
              <w:rPr>
                <w:sz w:val="18"/>
                <w:szCs w:val="18"/>
              </w:rPr>
            </w:pPr>
            <w:r>
              <w:rPr>
                <w:rFonts w:hint="eastAsia"/>
                <w:sz w:val="18"/>
                <w:szCs w:val="18"/>
              </w:rPr>
              <w:t>硫磺</w:t>
            </w:r>
          </w:p>
        </w:tc>
        <w:tc>
          <w:tcPr>
            <w:tcW w:w="3137" w:type="dxa"/>
            <w:gridSpan w:val="2"/>
            <w:tcBorders>
              <w:right w:val="single" w:color="auto" w:sz="4" w:space="0"/>
            </w:tcBorders>
            <w:vAlign w:val="center"/>
          </w:tcPr>
          <w:p w14:paraId="222DC85E">
            <w:pPr>
              <w:pStyle w:val="34"/>
              <w:rPr>
                <w:sz w:val="18"/>
                <w:szCs w:val="18"/>
              </w:rPr>
            </w:pPr>
            <w:r>
              <w:rPr>
                <w:rFonts w:hint="eastAsia"/>
                <w:sz w:val="18"/>
                <w:szCs w:val="18"/>
              </w:rPr>
              <w:t>遇明火、高热易燃。硫磺为不良导体，在储运过程中易产生静电荷，可导致硫尘起火与强氧化剂、卤素、金属粉末等接触剧烈反应，能形成爆炸性混合物，粉尘或蒸气与空气混合形成爆炸性混合物，当达到一定浓度时(35g/m)，遇火星会发生爆炸。</w:t>
            </w:r>
          </w:p>
        </w:tc>
        <w:tc>
          <w:tcPr>
            <w:tcW w:w="2840" w:type="dxa"/>
            <w:tcBorders>
              <w:left w:val="single" w:color="auto" w:sz="4" w:space="0"/>
            </w:tcBorders>
            <w:vAlign w:val="center"/>
          </w:tcPr>
          <w:p w14:paraId="5B4DF1E5">
            <w:pPr>
              <w:pStyle w:val="34"/>
              <w:rPr>
                <w:sz w:val="18"/>
                <w:szCs w:val="18"/>
              </w:rPr>
            </w:pPr>
            <w:r>
              <w:rPr>
                <w:rFonts w:hint="eastAsia"/>
                <w:sz w:val="18"/>
                <w:szCs w:val="18"/>
              </w:rPr>
              <w:t>/</w:t>
            </w:r>
          </w:p>
        </w:tc>
        <w:tc>
          <w:tcPr>
            <w:tcW w:w="3270" w:type="dxa"/>
            <w:vAlign w:val="center"/>
          </w:tcPr>
          <w:p w14:paraId="516C9477">
            <w:pPr>
              <w:pStyle w:val="34"/>
              <w:rPr>
                <w:sz w:val="18"/>
                <w:szCs w:val="18"/>
              </w:rPr>
            </w:pPr>
            <w:r>
              <w:rPr>
                <w:rFonts w:hint="eastAsia"/>
                <w:sz w:val="18"/>
                <w:szCs w:val="18"/>
              </w:rPr>
              <w:t>因其能在肠内部分转化为硫化氢而被吸收，故大量口服可致硫 化氢中毒。急性硫化氢中毒的全身毒作用表现为中枢神经系统 症状，有头痛、头晕。乏力、呕吐、共济失调昏迷等。本品 可引起眼结膜炎、皮肤湿疹。对皮肤有弱刺激性。</w:t>
            </w:r>
          </w:p>
        </w:tc>
        <w:tc>
          <w:tcPr>
            <w:tcW w:w="1440" w:type="dxa"/>
            <w:vAlign w:val="center"/>
          </w:tcPr>
          <w:p w14:paraId="4D887CA9">
            <w:pPr>
              <w:pStyle w:val="34"/>
              <w:rPr>
                <w:sz w:val="18"/>
                <w:szCs w:val="18"/>
              </w:rPr>
            </w:pPr>
            <w:r>
              <w:rPr>
                <w:rFonts w:hint="eastAsia"/>
                <w:sz w:val="18"/>
                <w:szCs w:val="18"/>
              </w:rPr>
              <w:t>-</w:t>
            </w:r>
          </w:p>
        </w:tc>
        <w:tc>
          <w:tcPr>
            <w:tcW w:w="971" w:type="dxa"/>
            <w:vAlign w:val="center"/>
          </w:tcPr>
          <w:p w14:paraId="08233AA9">
            <w:pPr>
              <w:pStyle w:val="34"/>
              <w:rPr>
                <w:sz w:val="18"/>
                <w:szCs w:val="18"/>
              </w:rPr>
            </w:pPr>
            <w:r>
              <w:rPr>
                <w:rFonts w:hint="eastAsia"/>
                <w:sz w:val="18"/>
                <w:szCs w:val="18"/>
              </w:rPr>
              <w:t>1t聚丙烯袋装，常温常压运输</w:t>
            </w:r>
          </w:p>
        </w:tc>
      </w:tr>
      <w:tr w14:paraId="5FAE13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4AF4A0D">
            <w:pPr>
              <w:pStyle w:val="34"/>
              <w:numPr>
                <w:ilvl w:val="0"/>
                <w:numId w:val="55"/>
              </w:numPr>
              <w:rPr>
                <w:sz w:val="18"/>
                <w:szCs w:val="18"/>
              </w:rPr>
            </w:pPr>
          </w:p>
        </w:tc>
        <w:tc>
          <w:tcPr>
            <w:tcW w:w="584" w:type="dxa"/>
            <w:vMerge w:val="continue"/>
            <w:vAlign w:val="center"/>
          </w:tcPr>
          <w:p w14:paraId="03B8C9B1">
            <w:pPr>
              <w:pStyle w:val="34"/>
              <w:rPr>
                <w:sz w:val="18"/>
                <w:szCs w:val="18"/>
              </w:rPr>
            </w:pPr>
          </w:p>
        </w:tc>
        <w:tc>
          <w:tcPr>
            <w:tcW w:w="567" w:type="dxa"/>
            <w:vMerge w:val="continue"/>
            <w:vAlign w:val="center"/>
          </w:tcPr>
          <w:p w14:paraId="631E2D3E">
            <w:pPr>
              <w:pStyle w:val="34"/>
              <w:rPr>
                <w:sz w:val="18"/>
                <w:szCs w:val="18"/>
              </w:rPr>
            </w:pPr>
          </w:p>
        </w:tc>
        <w:tc>
          <w:tcPr>
            <w:tcW w:w="419" w:type="dxa"/>
            <w:vMerge w:val="continue"/>
            <w:vAlign w:val="center"/>
          </w:tcPr>
          <w:p w14:paraId="17BA883B">
            <w:pPr>
              <w:pStyle w:val="34"/>
              <w:rPr>
                <w:sz w:val="18"/>
                <w:szCs w:val="18"/>
              </w:rPr>
            </w:pPr>
          </w:p>
        </w:tc>
        <w:tc>
          <w:tcPr>
            <w:tcW w:w="573" w:type="dxa"/>
            <w:vAlign w:val="center"/>
          </w:tcPr>
          <w:p w14:paraId="6A08F7B4">
            <w:pPr>
              <w:pStyle w:val="34"/>
              <w:rPr>
                <w:sz w:val="18"/>
                <w:szCs w:val="18"/>
              </w:rPr>
            </w:pPr>
            <w:r>
              <w:rPr>
                <w:sz w:val="18"/>
                <w:szCs w:val="18"/>
              </w:rPr>
              <w:t>白磷</w:t>
            </w:r>
          </w:p>
        </w:tc>
        <w:tc>
          <w:tcPr>
            <w:tcW w:w="3137" w:type="dxa"/>
            <w:gridSpan w:val="2"/>
            <w:tcBorders>
              <w:right w:val="single" w:color="auto" w:sz="4" w:space="0"/>
            </w:tcBorders>
            <w:vAlign w:val="center"/>
          </w:tcPr>
          <w:p w14:paraId="75139E09">
            <w:pPr>
              <w:pStyle w:val="34"/>
              <w:rPr>
                <w:sz w:val="18"/>
                <w:szCs w:val="18"/>
              </w:rPr>
            </w:pPr>
            <w:r>
              <w:rPr>
                <w:rFonts w:hint="eastAsia"/>
                <w:sz w:val="18"/>
                <w:szCs w:val="18"/>
              </w:rPr>
              <w:t>白磷接触空气能自燃并引起燃烧和爆炸。在潮湿空气中的自燃点低于在干燥空气中的自燃点。与氨酸盐等氧化剂混合发生爆炸。其碎片和碎屑接触皮肤干燥后即着火，可引起严重的皮肤灼伤。</w:t>
            </w:r>
          </w:p>
          <w:p w14:paraId="0CA2C3D2">
            <w:pPr>
              <w:pStyle w:val="34"/>
              <w:rPr>
                <w:sz w:val="18"/>
                <w:szCs w:val="18"/>
              </w:rPr>
            </w:pPr>
            <w:r>
              <w:rPr>
                <w:rFonts w:hint="eastAsia"/>
                <w:sz w:val="18"/>
                <w:szCs w:val="18"/>
              </w:rPr>
              <w:t>溶于水产生易燃气体磷化氢。</w:t>
            </w:r>
          </w:p>
        </w:tc>
        <w:tc>
          <w:tcPr>
            <w:tcW w:w="2840" w:type="dxa"/>
            <w:tcBorders>
              <w:left w:val="single" w:color="auto" w:sz="4" w:space="0"/>
            </w:tcBorders>
            <w:vAlign w:val="center"/>
          </w:tcPr>
          <w:p w14:paraId="5B3F0F34">
            <w:pPr>
              <w:pStyle w:val="34"/>
              <w:rPr>
                <w:sz w:val="18"/>
                <w:szCs w:val="18"/>
              </w:rPr>
            </w:pPr>
            <w:r>
              <w:rPr>
                <w:sz w:val="18"/>
                <w:szCs w:val="18"/>
              </w:rPr>
              <w:t>LD50：</w:t>
            </w:r>
            <w:r>
              <w:rPr>
                <w:rFonts w:hint="eastAsia"/>
                <w:sz w:val="18"/>
                <w:szCs w:val="18"/>
              </w:rPr>
              <w:t>9200</w:t>
            </w:r>
            <w:r>
              <w:rPr>
                <w:sz w:val="18"/>
                <w:szCs w:val="18"/>
              </w:rPr>
              <w:t>mg</w:t>
            </w:r>
            <w:r>
              <w:rPr>
                <w:rFonts w:hint="eastAsia"/>
                <w:sz w:val="18"/>
                <w:szCs w:val="18"/>
              </w:rPr>
              <w:t>/</w:t>
            </w:r>
            <w:r>
              <w:rPr>
                <w:sz w:val="18"/>
                <w:szCs w:val="18"/>
              </w:rPr>
              <w:t>kg(大鼠</w:t>
            </w:r>
            <w:r>
              <w:rPr>
                <w:rFonts w:hint="eastAsia"/>
                <w:sz w:val="18"/>
                <w:szCs w:val="18"/>
              </w:rPr>
              <w:t>静脉</w:t>
            </w:r>
            <w:r>
              <w:rPr>
                <w:sz w:val="18"/>
                <w:szCs w:val="18"/>
              </w:rPr>
              <w:t>)</w:t>
            </w:r>
          </w:p>
        </w:tc>
        <w:tc>
          <w:tcPr>
            <w:tcW w:w="3270" w:type="dxa"/>
            <w:vAlign w:val="center"/>
          </w:tcPr>
          <w:p w14:paraId="1D371569">
            <w:pPr>
              <w:pStyle w:val="34"/>
              <w:rPr>
                <w:sz w:val="18"/>
                <w:szCs w:val="18"/>
              </w:rPr>
            </w:pPr>
            <w:r>
              <w:rPr>
                <w:rFonts w:hint="eastAsia"/>
                <w:sz w:val="18"/>
                <w:szCs w:val="18"/>
              </w:rPr>
              <w:t>急性吸入中毒表现有呼吸道</w:t>
            </w:r>
            <w:r>
              <w:rPr>
                <w:rFonts w:hint="eastAsia"/>
                <w:sz w:val="18"/>
                <w:szCs w:val="18"/>
                <w:lang w:eastAsia="zh-CN"/>
              </w:rPr>
              <w:t>刺激征</w:t>
            </w:r>
            <w:r>
              <w:rPr>
                <w:rFonts w:hint="eastAsia"/>
                <w:sz w:val="18"/>
                <w:szCs w:val="18"/>
              </w:rPr>
              <w:t>状、头痛、头晕、全身无力、呕吐、心动过缓、上腹疼痛、黄疸、肝肿大。重症出现急性肝坏死、中毒性肺水肿等。口服中毒出现口腔靡烂、急性胃肠炎，甚至发生食道、胃穿孔。数天后出现肝、肾损害。重者发生肝、肾功能衰竭等。本品可致皮肤灼伤，磷经灼伤皮肤吸收引起中毒，重者发生中毒性肝病、肾损害、急性溶血等，以致死亡。慢性中毒:神经衰弱综合征、消化功能紊乱、中毒性肝病。引起骨骼损害，尤以下颌骨显著，后期出现下颌骨坏死及齿槽装缩。</w:t>
            </w:r>
          </w:p>
        </w:tc>
        <w:tc>
          <w:tcPr>
            <w:tcW w:w="1440" w:type="dxa"/>
            <w:vAlign w:val="center"/>
          </w:tcPr>
          <w:p w14:paraId="653D169D">
            <w:pPr>
              <w:pStyle w:val="34"/>
              <w:rPr>
                <w:sz w:val="18"/>
                <w:szCs w:val="18"/>
              </w:rPr>
            </w:pPr>
            <w:r>
              <w:rPr>
                <w:rFonts w:hint="eastAsia"/>
                <w:sz w:val="18"/>
                <w:szCs w:val="18"/>
              </w:rPr>
              <w:t>固体物质，不溶于水，影响不大。</w:t>
            </w:r>
          </w:p>
        </w:tc>
        <w:tc>
          <w:tcPr>
            <w:tcW w:w="971" w:type="dxa"/>
            <w:vAlign w:val="center"/>
          </w:tcPr>
          <w:p w14:paraId="73996B16">
            <w:pPr>
              <w:pStyle w:val="34"/>
              <w:rPr>
                <w:sz w:val="18"/>
                <w:szCs w:val="18"/>
              </w:rPr>
            </w:pPr>
            <w:r>
              <w:rPr>
                <w:rFonts w:hint="eastAsia"/>
                <w:sz w:val="18"/>
                <w:szCs w:val="18"/>
              </w:rPr>
              <w:t>200kg聚乙烯桶，常温常压运输</w:t>
            </w:r>
          </w:p>
        </w:tc>
      </w:tr>
      <w:tr w14:paraId="60A756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3440D701">
            <w:pPr>
              <w:pStyle w:val="34"/>
              <w:numPr>
                <w:ilvl w:val="0"/>
                <w:numId w:val="55"/>
              </w:numPr>
              <w:rPr>
                <w:sz w:val="18"/>
                <w:szCs w:val="18"/>
              </w:rPr>
            </w:pPr>
          </w:p>
        </w:tc>
        <w:tc>
          <w:tcPr>
            <w:tcW w:w="584" w:type="dxa"/>
            <w:vMerge w:val="continue"/>
            <w:vAlign w:val="center"/>
          </w:tcPr>
          <w:p w14:paraId="368506E6">
            <w:pPr>
              <w:pStyle w:val="34"/>
              <w:rPr>
                <w:sz w:val="18"/>
                <w:szCs w:val="18"/>
              </w:rPr>
            </w:pPr>
          </w:p>
        </w:tc>
        <w:tc>
          <w:tcPr>
            <w:tcW w:w="567" w:type="dxa"/>
            <w:vMerge w:val="continue"/>
            <w:vAlign w:val="center"/>
          </w:tcPr>
          <w:p w14:paraId="28666E9D">
            <w:pPr>
              <w:pStyle w:val="34"/>
              <w:rPr>
                <w:sz w:val="18"/>
                <w:szCs w:val="18"/>
              </w:rPr>
            </w:pPr>
          </w:p>
        </w:tc>
        <w:tc>
          <w:tcPr>
            <w:tcW w:w="419" w:type="dxa"/>
            <w:vMerge w:val="continue"/>
            <w:vAlign w:val="center"/>
          </w:tcPr>
          <w:p w14:paraId="7CAE3454">
            <w:pPr>
              <w:pStyle w:val="34"/>
              <w:rPr>
                <w:sz w:val="18"/>
                <w:szCs w:val="18"/>
              </w:rPr>
            </w:pPr>
          </w:p>
        </w:tc>
        <w:tc>
          <w:tcPr>
            <w:tcW w:w="573" w:type="dxa"/>
            <w:vAlign w:val="center"/>
          </w:tcPr>
          <w:p w14:paraId="421A7CAB">
            <w:pPr>
              <w:pStyle w:val="34"/>
              <w:rPr>
                <w:sz w:val="18"/>
                <w:szCs w:val="18"/>
              </w:rPr>
            </w:pPr>
            <w:r>
              <w:rPr>
                <w:sz w:val="18"/>
                <w:szCs w:val="18"/>
              </w:rPr>
              <w:t>硅铝铁合金粉</w:t>
            </w:r>
          </w:p>
        </w:tc>
        <w:tc>
          <w:tcPr>
            <w:tcW w:w="3137" w:type="dxa"/>
            <w:gridSpan w:val="2"/>
            <w:vAlign w:val="center"/>
          </w:tcPr>
          <w:p w14:paraId="0D2D733B">
            <w:pPr>
              <w:pStyle w:val="34"/>
              <w:rPr>
                <w:sz w:val="18"/>
                <w:szCs w:val="18"/>
              </w:rPr>
            </w:pPr>
            <w:r>
              <w:rPr>
                <w:rFonts w:hint="eastAsia"/>
                <w:sz w:val="18"/>
                <w:szCs w:val="18"/>
              </w:rPr>
              <w:t>大量粉尘遇潮湿、水蒸气能自燃。与氧化剂混合能形成爆炸性混合物。与氟、氯等接触会发生剧烈的化学反应。与酸类或与强碱接触也能产生氢气，引起燃烧爆炸。粉体与空气可形成爆炸性混合物，当达到一定浓度时，遇火星会发生爆炸。</w:t>
            </w:r>
          </w:p>
          <w:p w14:paraId="23AA605F">
            <w:pPr>
              <w:pStyle w:val="34"/>
              <w:rPr>
                <w:sz w:val="18"/>
                <w:szCs w:val="18"/>
              </w:rPr>
            </w:pPr>
            <w:r>
              <w:rPr>
                <w:rFonts w:hint="eastAsia"/>
                <w:sz w:val="18"/>
                <w:szCs w:val="18"/>
              </w:rPr>
              <w:t>溶于水产生易燃气体氢气。</w:t>
            </w:r>
          </w:p>
        </w:tc>
        <w:tc>
          <w:tcPr>
            <w:tcW w:w="2840" w:type="dxa"/>
            <w:vAlign w:val="center"/>
          </w:tcPr>
          <w:p w14:paraId="5A3FF05B">
            <w:pPr>
              <w:pStyle w:val="34"/>
              <w:rPr>
                <w:sz w:val="18"/>
                <w:szCs w:val="18"/>
              </w:rPr>
            </w:pPr>
            <w:r>
              <w:rPr>
                <w:rFonts w:hint="eastAsia"/>
                <w:sz w:val="18"/>
                <w:szCs w:val="18"/>
              </w:rPr>
              <w:t>/</w:t>
            </w:r>
          </w:p>
        </w:tc>
        <w:tc>
          <w:tcPr>
            <w:tcW w:w="3270" w:type="dxa"/>
            <w:vAlign w:val="center"/>
          </w:tcPr>
          <w:p w14:paraId="61F4B6B6">
            <w:pPr>
              <w:pStyle w:val="34"/>
              <w:rPr>
                <w:sz w:val="18"/>
                <w:szCs w:val="18"/>
              </w:rPr>
            </w:pPr>
            <w:r>
              <w:rPr>
                <w:rFonts w:hint="eastAsia"/>
                <w:sz w:val="18"/>
                <w:szCs w:val="18"/>
              </w:rPr>
              <w:t>长期吸入可致铝尘肺。表现为消瘦、极易疲劳、呼吸困难、咳、咳等。溅入眼内，可发生局灶性坏死，角膜色素沉着，晶体膜改变及玻璃体混浊。对鼻、口、性器官粘膜有刺激性，甚至发生溃疡。可引起痤疮、湿疹、皮炎。</w:t>
            </w:r>
          </w:p>
        </w:tc>
        <w:tc>
          <w:tcPr>
            <w:tcW w:w="1440" w:type="dxa"/>
            <w:vAlign w:val="center"/>
          </w:tcPr>
          <w:p w14:paraId="0412544A">
            <w:pPr>
              <w:pStyle w:val="34"/>
              <w:rPr>
                <w:sz w:val="18"/>
                <w:szCs w:val="18"/>
              </w:rPr>
            </w:pPr>
            <w:r>
              <w:rPr>
                <w:rFonts w:hint="eastAsia"/>
                <w:sz w:val="18"/>
                <w:szCs w:val="18"/>
              </w:rPr>
              <w:t>-</w:t>
            </w:r>
          </w:p>
        </w:tc>
        <w:tc>
          <w:tcPr>
            <w:tcW w:w="971" w:type="dxa"/>
            <w:vAlign w:val="center"/>
          </w:tcPr>
          <w:p w14:paraId="4E384B23">
            <w:pPr>
              <w:pStyle w:val="34"/>
              <w:rPr>
                <w:sz w:val="18"/>
                <w:szCs w:val="18"/>
              </w:rPr>
            </w:pPr>
            <w:r>
              <w:rPr>
                <w:rFonts w:hint="eastAsia"/>
                <w:sz w:val="18"/>
                <w:szCs w:val="18"/>
              </w:rPr>
              <w:t>1t IBC桶，常温常压运输</w:t>
            </w:r>
          </w:p>
        </w:tc>
      </w:tr>
      <w:tr w14:paraId="7650BE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EB435D0">
            <w:pPr>
              <w:pStyle w:val="34"/>
              <w:numPr>
                <w:ilvl w:val="0"/>
                <w:numId w:val="55"/>
              </w:numPr>
              <w:rPr>
                <w:sz w:val="18"/>
                <w:szCs w:val="18"/>
              </w:rPr>
            </w:pPr>
          </w:p>
        </w:tc>
        <w:tc>
          <w:tcPr>
            <w:tcW w:w="584" w:type="dxa"/>
            <w:vMerge w:val="continue"/>
            <w:vAlign w:val="center"/>
          </w:tcPr>
          <w:p w14:paraId="32812AAE">
            <w:pPr>
              <w:pStyle w:val="34"/>
              <w:rPr>
                <w:sz w:val="18"/>
                <w:szCs w:val="18"/>
              </w:rPr>
            </w:pPr>
          </w:p>
        </w:tc>
        <w:tc>
          <w:tcPr>
            <w:tcW w:w="567" w:type="dxa"/>
            <w:vMerge w:val="continue"/>
            <w:vAlign w:val="center"/>
          </w:tcPr>
          <w:p w14:paraId="204F1EF1">
            <w:pPr>
              <w:pStyle w:val="34"/>
              <w:rPr>
                <w:sz w:val="18"/>
                <w:szCs w:val="18"/>
              </w:rPr>
            </w:pPr>
          </w:p>
        </w:tc>
        <w:tc>
          <w:tcPr>
            <w:tcW w:w="419" w:type="dxa"/>
            <w:vMerge w:val="continue"/>
            <w:vAlign w:val="center"/>
          </w:tcPr>
          <w:p w14:paraId="1662D334">
            <w:pPr>
              <w:pStyle w:val="34"/>
              <w:rPr>
                <w:sz w:val="18"/>
                <w:szCs w:val="18"/>
              </w:rPr>
            </w:pPr>
          </w:p>
        </w:tc>
        <w:tc>
          <w:tcPr>
            <w:tcW w:w="573" w:type="dxa"/>
            <w:vAlign w:val="center"/>
          </w:tcPr>
          <w:p w14:paraId="684D2896">
            <w:pPr>
              <w:pStyle w:val="34"/>
              <w:rPr>
                <w:sz w:val="18"/>
                <w:szCs w:val="18"/>
              </w:rPr>
            </w:pPr>
            <w:r>
              <w:rPr>
                <w:sz w:val="18"/>
                <w:szCs w:val="18"/>
              </w:rPr>
              <w:t>镉化合物</w:t>
            </w:r>
            <w:r>
              <w:rPr>
                <w:rFonts w:hint="eastAsia"/>
                <w:sz w:val="18"/>
                <w:szCs w:val="18"/>
              </w:rPr>
              <w:t>（以硫酸镉为例）</w:t>
            </w:r>
          </w:p>
        </w:tc>
        <w:tc>
          <w:tcPr>
            <w:tcW w:w="3137" w:type="dxa"/>
            <w:gridSpan w:val="2"/>
            <w:vAlign w:val="center"/>
          </w:tcPr>
          <w:p w14:paraId="731AF342">
            <w:pPr>
              <w:pStyle w:val="34"/>
              <w:rPr>
                <w:sz w:val="18"/>
                <w:szCs w:val="18"/>
              </w:rPr>
            </w:pPr>
            <w:r>
              <w:rPr>
                <w:rFonts w:hint="eastAsia"/>
                <w:sz w:val="18"/>
                <w:szCs w:val="18"/>
              </w:rPr>
              <w:t>受高热分解产生有毒的硫化物烟气。</w:t>
            </w:r>
          </w:p>
        </w:tc>
        <w:tc>
          <w:tcPr>
            <w:tcW w:w="2840" w:type="dxa"/>
            <w:vAlign w:val="center"/>
          </w:tcPr>
          <w:p w14:paraId="6BF312FA">
            <w:pPr>
              <w:pStyle w:val="34"/>
              <w:rPr>
                <w:sz w:val="18"/>
                <w:szCs w:val="18"/>
              </w:rPr>
            </w:pPr>
            <w:r>
              <w:rPr>
                <w:rFonts w:hint="eastAsia"/>
                <w:sz w:val="18"/>
                <w:szCs w:val="18"/>
              </w:rPr>
              <w:t>LD50:888mg/kg(小鼠经口)</w:t>
            </w:r>
          </w:p>
        </w:tc>
        <w:tc>
          <w:tcPr>
            <w:tcW w:w="3270" w:type="dxa"/>
            <w:vAlign w:val="center"/>
          </w:tcPr>
          <w:p w14:paraId="672BDF27">
            <w:pPr>
              <w:pStyle w:val="34"/>
              <w:rPr>
                <w:sz w:val="18"/>
                <w:szCs w:val="18"/>
              </w:rPr>
            </w:pPr>
            <w:r>
              <w:rPr>
                <w:rFonts w:hint="eastAsia"/>
                <w:sz w:val="18"/>
                <w:szCs w:val="18"/>
              </w:rPr>
              <w:t>急性中毒:吸入可引起呼吸道</w:t>
            </w:r>
            <w:r>
              <w:rPr>
                <w:rFonts w:hint="eastAsia"/>
                <w:sz w:val="18"/>
                <w:szCs w:val="18"/>
                <w:lang w:eastAsia="zh-CN"/>
              </w:rPr>
              <w:t>刺激征</w:t>
            </w:r>
            <w:r>
              <w:rPr>
                <w:rFonts w:hint="eastAsia"/>
                <w:sz w:val="18"/>
                <w:szCs w:val="18"/>
              </w:rPr>
              <w:t>状，可发生化学性肺炎，肺水肿;误食后可引起急剧的胃肠道</w:t>
            </w:r>
            <w:r>
              <w:rPr>
                <w:rFonts w:hint="eastAsia"/>
                <w:sz w:val="18"/>
                <w:szCs w:val="18"/>
                <w:lang w:eastAsia="zh-CN"/>
              </w:rPr>
              <w:t>刺激征</w:t>
            </w:r>
            <w:r>
              <w:rPr>
                <w:rFonts w:hint="eastAsia"/>
                <w:sz w:val="18"/>
                <w:szCs w:val="18"/>
              </w:rPr>
              <w:t>状，有恶心、呕吐、腹泻、腹痛、里急后重、全身乏力、</w:t>
            </w:r>
            <w:r>
              <w:rPr>
                <w:rFonts w:hint="eastAsia"/>
                <w:sz w:val="18"/>
                <w:szCs w:val="18"/>
                <w:lang w:eastAsia="zh-CN"/>
              </w:rPr>
              <w:t>肌肉疼痛</w:t>
            </w:r>
            <w:r>
              <w:rPr>
                <w:rFonts w:hint="eastAsia"/>
                <w:sz w:val="18"/>
                <w:szCs w:val="18"/>
              </w:rPr>
              <w:t>和虚脱等。慢性中毒:慢性中毒以肺气肿、肾功能损害(蛋白录)为主要表现，其次还有缺铁性贫血、嗅觉减退或丧失等。</w:t>
            </w:r>
          </w:p>
        </w:tc>
        <w:tc>
          <w:tcPr>
            <w:tcW w:w="1440" w:type="dxa"/>
            <w:vAlign w:val="center"/>
          </w:tcPr>
          <w:p w14:paraId="191CCF62">
            <w:pPr>
              <w:pStyle w:val="34"/>
              <w:rPr>
                <w:sz w:val="18"/>
                <w:szCs w:val="18"/>
              </w:rPr>
            </w:pPr>
            <w:r>
              <w:rPr>
                <w:sz w:val="18"/>
                <w:szCs w:val="18"/>
              </w:rPr>
              <w:t>对鱼类和水生物就能产生致死作用。</w:t>
            </w:r>
          </w:p>
        </w:tc>
        <w:tc>
          <w:tcPr>
            <w:tcW w:w="971" w:type="dxa"/>
            <w:vAlign w:val="center"/>
          </w:tcPr>
          <w:p w14:paraId="014CB1E1">
            <w:pPr>
              <w:pStyle w:val="34"/>
              <w:rPr>
                <w:sz w:val="18"/>
                <w:szCs w:val="18"/>
              </w:rPr>
            </w:pPr>
            <w:r>
              <w:rPr>
                <w:rFonts w:hint="eastAsia"/>
                <w:sz w:val="18"/>
                <w:szCs w:val="18"/>
              </w:rPr>
              <w:t>20kg铁桶常温常压运输</w:t>
            </w:r>
          </w:p>
        </w:tc>
      </w:tr>
      <w:tr w14:paraId="43AA30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2BA9C04">
            <w:pPr>
              <w:pStyle w:val="34"/>
              <w:numPr>
                <w:ilvl w:val="0"/>
                <w:numId w:val="55"/>
              </w:numPr>
              <w:rPr>
                <w:sz w:val="18"/>
                <w:szCs w:val="18"/>
              </w:rPr>
            </w:pPr>
          </w:p>
        </w:tc>
        <w:tc>
          <w:tcPr>
            <w:tcW w:w="584" w:type="dxa"/>
            <w:vMerge w:val="continue"/>
            <w:vAlign w:val="center"/>
          </w:tcPr>
          <w:p w14:paraId="1C0010C2">
            <w:pPr>
              <w:pStyle w:val="34"/>
              <w:rPr>
                <w:sz w:val="18"/>
                <w:szCs w:val="18"/>
              </w:rPr>
            </w:pPr>
          </w:p>
        </w:tc>
        <w:tc>
          <w:tcPr>
            <w:tcW w:w="567" w:type="dxa"/>
            <w:vMerge w:val="continue"/>
            <w:vAlign w:val="center"/>
          </w:tcPr>
          <w:p w14:paraId="498FAB02">
            <w:pPr>
              <w:pStyle w:val="34"/>
              <w:rPr>
                <w:sz w:val="18"/>
                <w:szCs w:val="18"/>
              </w:rPr>
            </w:pPr>
          </w:p>
        </w:tc>
        <w:tc>
          <w:tcPr>
            <w:tcW w:w="419" w:type="dxa"/>
            <w:vMerge w:val="continue"/>
            <w:vAlign w:val="center"/>
          </w:tcPr>
          <w:p w14:paraId="27A03EF9">
            <w:pPr>
              <w:pStyle w:val="34"/>
              <w:rPr>
                <w:sz w:val="18"/>
                <w:szCs w:val="18"/>
              </w:rPr>
            </w:pPr>
          </w:p>
        </w:tc>
        <w:tc>
          <w:tcPr>
            <w:tcW w:w="573" w:type="dxa"/>
            <w:vAlign w:val="center"/>
          </w:tcPr>
          <w:p w14:paraId="499CA8BA">
            <w:pPr>
              <w:pStyle w:val="34"/>
              <w:rPr>
                <w:sz w:val="18"/>
                <w:szCs w:val="18"/>
              </w:rPr>
            </w:pPr>
            <w:r>
              <w:rPr>
                <w:sz w:val="18"/>
                <w:szCs w:val="18"/>
              </w:rPr>
              <w:t>砷</w:t>
            </w:r>
          </w:p>
        </w:tc>
        <w:tc>
          <w:tcPr>
            <w:tcW w:w="3137" w:type="dxa"/>
            <w:gridSpan w:val="2"/>
            <w:vAlign w:val="center"/>
          </w:tcPr>
          <w:p w14:paraId="1A01D259">
            <w:pPr>
              <w:pStyle w:val="34"/>
              <w:rPr>
                <w:sz w:val="18"/>
                <w:szCs w:val="18"/>
              </w:rPr>
            </w:pPr>
            <w:r>
              <w:rPr>
                <w:rFonts w:hint="eastAsia"/>
                <w:sz w:val="18"/>
                <w:szCs w:val="18"/>
              </w:rPr>
              <w:t>燃烧时产生白色氧化砷烟雾</w:t>
            </w:r>
          </w:p>
        </w:tc>
        <w:tc>
          <w:tcPr>
            <w:tcW w:w="2840" w:type="dxa"/>
            <w:vAlign w:val="center"/>
          </w:tcPr>
          <w:p w14:paraId="52EF4D97">
            <w:pPr>
              <w:pStyle w:val="34"/>
              <w:rPr>
                <w:sz w:val="18"/>
                <w:szCs w:val="18"/>
              </w:rPr>
            </w:pPr>
            <w:r>
              <w:rPr>
                <w:rFonts w:hint="eastAsia"/>
                <w:sz w:val="18"/>
                <w:szCs w:val="18"/>
              </w:rPr>
              <w:t>LD50:763mg/kg(小鼠经口)</w:t>
            </w:r>
          </w:p>
        </w:tc>
        <w:tc>
          <w:tcPr>
            <w:tcW w:w="3270" w:type="dxa"/>
            <w:vAlign w:val="center"/>
          </w:tcPr>
          <w:p w14:paraId="4180689B">
            <w:pPr>
              <w:pStyle w:val="34"/>
              <w:rPr>
                <w:sz w:val="18"/>
                <w:szCs w:val="18"/>
              </w:rPr>
            </w:pPr>
            <w:r>
              <w:rPr>
                <w:rFonts w:hint="eastAsia"/>
                <w:sz w:val="18"/>
                <w:szCs w:val="18"/>
              </w:rPr>
              <w:t>元素砷不溶于水，无毒性。口服砷化合物引起急性胃肠炎、休克、周围神经病、中毒性心肌炎、肝炎以及抽搐、昏迷等，甚至死亡。大量吸入亦可引起急性中毒，但消化道症状较轻慢性中毒:长期接触砷化合物引起消化系统症状、肝肾损害，皮肤色素沉着、角化过度或疣状增生，多发性周围神经炎。砷和砷化合物为对人致癌物，市引起肺癌、皮肤癌。</w:t>
            </w:r>
          </w:p>
        </w:tc>
        <w:tc>
          <w:tcPr>
            <w:tcW w:w="1440" w:type="dxa"/>
            <w:vAlign w:val="center"/>
          </w:tcPr>
          <w:p w14:paraId="7639D879">
            <w:pPr>
              <w:pStyle w:val="34"/>
              <w:rPr>
                <w:sz w:val="18"/>
                <w:szCs w:val="18"/>
              </w:rPr>
            </w:pPr>
            <w:r>
              <w:rPr>
                <w:rFonts w:hint="eastAsia"/>
                <w:sz w:val="18"/>
                <w:szCs w:val="18"/>
              </w:rPr>
              <w:t>水生生物对砷有很强的浓集作用</w:t>
            </w:r>
          </w:p>
        </w:tc>
        <w:tc>
          <w:tcPr>
            <w:tcW w:w="971" w:type="dxa"/>
            <w:vAlign w:val="center"/>
          </w:tcPr>
          <w:p w14:paraId="243295D1">
            <w:pPr>
              <w:pStyle w:val="34"/>
              <w:rPr>
                <w:sz w:val="18"/>
                <w:szCs w:val="18"/>
              </w:rPr>
            </w:pPr>
            <w:r>
              <w:rPr>
                <w:rFonts w:hint="eastAsia"/>
                <w:sz w:val="18"/>
                <w:szCs w:val="18"/>
              </w:rPr>
              <w:t>1kg PE管，常温常压运输</w:t>
            </w:r>
          </w:p>
        </w:tc>
      </w:tr>
      <w:tr w14:paraId="440446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305BE46">
            <w:pPr>
              <w:pStyle w:val="34"/>
              <w:numPr>
                <w:ilvl w:val="0"/>
                <w:numId w:val="55"/>
              </w:numPr>
              <w:rPr>
                <w:sz w:val="18"/>
                <w:szCs w:val="18"/>
              </w:rPr>
            </w:pPr>
          </w:p>
        </w:tc>
        <w:tc>
          <w:tcPr>
            <w:tcW w:w="584" w:type="dxa"/>
            <w:vMerge w:val="continue"/>
            <w:vAlign w:val="center"/>
          </w:tcPr>
          <w:p w14:paraId="3E618488">
            <w:pPr>
              <w:pStyle w:val="34"/>
              <w:rPr>
                <w:sz w:val="18"/>
                <w:szCs w:val="18"/>
              </w:rPr>
            </w:pPr>
          </w:p>
        </w:tc>
        <w:tc>
          <w:tcPr>
            <w:tcW w:w="567" w:type="dxa"/>
            <w:vMerge w:val="continue"/>
            <w:vAlign w:val="center"/>
          </w:tcPr>
          <w:p w14:paraId="3E262E0C">
            <w:pPr>
              <w:pStyle w:val="34"/>
              <w:rPr>
                <w:sz w:val="18"/>
                <w:szCs w:val="18"/>
              </w:rPr>
            </w:pPr>
          </w:p>
        </w:tc>
        <w:tc>
          <w:tcPr>
            <w:tcW w:w="419" w:type="dxa"/>
            <w:vMerge w:val="continue"/>
            <w:vAlign w:val="center"/>
          </w:tcPr>
          <w:p w14:paraId="59C157A0">
            <w:pPr>
              <w:pStyle w:val="34"/>
              <w:rPr>
                <w:sz w:val="18"/>
                <w:szCs w:val="18"/>
              </w:rPr>
            </w:pPr>
          </w:p>
        </w:tc>
        <w:tc>
          <w:tcPr>
            <w:tcW w:w="573" w:type="dxa"/>
            <w:vAlign w:val="center"/>
          </w:tcPr>
          <w:p w14:paraId="694B8A16">
            <w:pPr>
              <w:pStyle w:val="34"/>
              <w:rPr>
                <w:sz w:val="18"/>
                <w:szCs w:val="18"/>
              </w:rPr>
            </w:pPr>
            <w:r>
              <w:rPr>
                <w:sz w:val="18"/>
                <w:szCs w:val="18"/>
              </w:rPr>
              <w:t>碳酸钡</w:t>
            </w:r>
          </w:p>
        </w:tc>
        <w:tc>
          <w:tcPr>
            <w:tcW w:w="3137" w:type="dxa"/>
            <w:gridSpan w:val="2"/>
            <w:vAlign w:val="center"/>
          </w:tcPr>
          <w:p w14:paraId="11FD5C97">
            <w:pPr>
              <w:pStyle w:val="34"/>
              <w:rPr>
                <w:sz w:val="18"/>
                <w:szCs w:val="18"/>
              </w:rPr>
            </w:pPr>
            <w:r>
              <w:rPr>
                <w:rFonts w:hint="eastAsia"/>
                <w:sz w:val="18"/>
                <w:szCs w:val="18"/>
              </w:rPr>
              <w:t>-</w:t>
            </w:r>
          </w:p>
        </w:tc>
        <w:tc>
          <w:tcPr>
            <w:tcW w:w="2840" w:type="dxa"/>
            <w:vAlign w:val="center"/>
          </w:tcPr>
          <w:p w14:paraId="3FD5C43A">
            <w:pPr>
              <w:pStyle w:val="34"/>
              <w:rPr>
                <w:sz w:val="18"/>
                <w:szCs w:val="18"/>
              </w:rPr>
            </w:pPr>
            <w:r>
              <w:rPr>
                <w:rFonts w:hint="eastAsia"/>
                <w:sz w:val="18"/>
                <w:szCs w:val="18"/>
              </w:rPr>
              <w:t>LD50:418mg/kg(小鼠经口)</w:t>
            </w:r>
          </w:p>
        </w:tc>
        <w:tc>
          <w:tcPr>
            <w:tcW w:w="3270" w:type="dxa"/>
            <w:vAlign w:val="center"/>
          </w:tcPr>
          <w:p w14:paraId="06D5C7D4">
            <w:pPr>
              <w:pStyle w:val="34"/>
              <w:rPr>
                <w:sz w:val="18"/>
                <w:szCs w:val="18"/>
              </w:rPr>
            </w:pPr>
            <w:r>
              <w:rPr>
                <w:rFonts w:hint="eastAsia"/>
                <w:sz w:val="18"/>
                <w:szCs w:val="18"/>
              </w:rPr>
              <w:t>口服后与胃酸起反应，变为氯化钡而发生中毒。急性中毒表现有恶心、呕吐、腹、腹泻、脉缓、进行性肌麻痹、心律紊乱、血钾明显降低等。可因心律紊乱和呼吸肌麻痹而死亡。重症可并发急性肾功能衰竭、缺氧性脑病、酸中毒等。吸入高浓度本品粉尘可发生急性中毒。慢性影响:长期接触钡化合物的工人，可有无力、气促、流涎、口腔粘膜肿胀、烂、鼻炎、结膜炎、腹泻、心动过速、血压增高、脱发等</w:t>
            </w:r>
          </w:p>
        </w:tc>
        <w:tc>
          <w:tcPr>
            <w:tcW w:w="1440" w:type="dxa"/>
            <w:vAlign w:val="center"/>
          </w:tcPr>
          <w:p w14:paraId="525FD2ED">
            <w:pPr>
              <w:pStyle w:val="34"/>
              <w:rPr>
                <w:sz w:val="18"/>
                <w:szCs w:val="18"/>
              </w:rPr>
            </w:pPr>
            <w:r>
              <w:rPr>
                <w:rFonts w:hint="eastAsia"/>
                <w:sz w:val="18"/>
                <w:szCs w:val="18"/>
              </w:rPr>
              <w:t>溶于水水溶液呈强碱性</w:t>
            </w:r>
          </w:p>
        </w:tc>
        <w:tc>
          <w:tcPr>
            <w:tcW w:w="971" w:type="dxa"/>
            <w:vAlign w:val="center"/>
          </w:tcPr>
          <w:p w14:paraId="412BAFCE">
            <w:pPr>
              <w:pStyle w:val="34"/>
              <w:rPr>
                <w:sz w:val="18"/>
                <w:szCs w:val="18"/>
              </w:rPr>
            </w:pPr>
            <w:r>
              <w:rPr>
                <w:rFonts w:hint="eastAsia"/>
                <w:sz w:val="18"/>
                <w:szCs w:val="18"/>
              </w:rPr>
              <w:t>1t聚丙烯袋装，常温常压运输</w:t>
            </w:r>
          </w:p>
        </w:tc>
      </w:tr>
    </w:tbl>
    <w:p w14:paraId="730906D4">
      <w:pPr>
        <w:ind w:firstLine="437"/>
      </w:pPr>
    </w:p>
    <w:p w14:paraId="16E3A6DC">
      <w:pPr>
        <w:ind w:firstLine="437"/>
        <w:sectPr>
          <w:pgSz w:w="16840" w:h="11907" w:orient="landscape"/>
          <w:pgMar w:top="1797" w:right="1440" w:bottom="1514" w:left="1440" w:header="992" w:footer="851" w:gutter="284"/>
          <w:pgNumType w:fmt="numberInDash"/>
          <w:cols w:space="425" w:num="1"/>
          <w:docGrid w:type="linesAndChars" w:linePitch="465" w:charSpace="-4355"/>
        </w:sectPr>
      </w:pPr>
    </w:p>
    <w:p w14:paraId="13824F75">
      <w:pPr>
        <w:pStyle w:val="7"/>
      </w:pPr>
      <w:r>
        <w:rPr>
          <w:rFonts w:hint="eastAsia"/>
        </w:rPr>
        <w:tab/>
      </w:r>
      <w:r>
        <w:rPr>
          <w:rFonts w:hint="eastAsia"/>
        </w:rPr>
        <w:t>重点关注的代表性危险物质中剧毒及其他相应标准表</w:t>
      </w:r>
    </w:p>
    <w:tbl>
      <w:tblPr>
        <w:tblStyle w:val="88"/>
        <w:tblW w:w="85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86"/>
        <w:gridCol w:w="3117"/>
        <w:gridCol w:w="1912"/>
        <w:gridCol w:w="2107"/>
      </w:tblGrid>
      <w:tr w14:paraId="375CFA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386" w:type="dxa"/>
            <w:vAlign w:val="center"/>
          </w:tcPr>
          <w:p w14:paraId="092EFF3E">
            <w:pPr>
              <w:pStyle w:val="34"/>
            </w:pPr>
            <w:r>
              <w:rPr>
                <w:rFonts w:hint="eastAsia"/>
              </w:rPr>
              <w:t>代表性危险物质</w:t>
            </w:r>
          </w:p>
        </w:tc>
        <w:tc>
          <w:tcPr>
            <w:tcW w:w="5029" w:type="dxa"/>
            <w:gridSpan w:val="2"/>
            <w:vAlign w:val="center"/>
          </w:tcPr>
          <w:p w14:paraId="6B02A8CA">
            <w:pPr>
              <w:pStyle w:val="34"/>
            </w:pPr>
            <w:r>
              <w:rPr>
                <w:rFonts w:hint="eastAsia"/>
              </w:rPr>
              <w:t>相关标准及标准限值</w:t>
            </w:r>
          </w:p>
        </w:tc>
        <w:tc>
          <w:tcPr>
            <w:tcW w:w="2107" w:type="dxa"/>
            <w:vAlign w:val="center"/>
          </w:tcPr>
          <w:p w14:paraId="60124138">
            <w:pPr>
              <w:pStyle w:val="34"/>
            </w:pPr>
            <w:r>
              <w:rPr>
                <w:rFonts w:hint="eastAsia"/>
              </w:rPr>
              <w:t>急性毒性</w:t>
            </w:r>
          </w:p>
        </w:tc>
      </w:tr>
      <w:tr w14:paraId="4770E0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restart"/>
            <w:vAlign w:val="center"/>
          </w:tcPr>
          <w:p w14:paraId="0508B56F">
            <w:pPr>
              <w:pStyle w:val="34"/>
            </w:pPr>
            <w:r>
              <w:rPr>
                <w:rFonts w:hint="eastAsia"/>
              </w:rPr>
              <w:t>铬酸酐</w:t>
            </w:r>
          </w:p>
        </w:tc>
        <w:tc>
          <w:tcPr>
            <w:tcW w:w="3117" w:type="dxa"/>
            <w:vAlign w:val="center"/>
          </w:tcPr>
          <w:p w14:paraId="3A2511DB">
            <w:pPr>
              <w:pStyle w:val="34"/>
            </w:pPr>
            <w:r>
              <w:t>《大气污染物综合排放标准》</w:t>
            </w:r>
          </w:p>
        </w:tc>
        <w:tc>
          <w:tcPr>
            <w:tcW w:w="1912" w:type="dxa"/>
            <w:vAlign w:val="center"/>
          </w:tcPr>
          <w:p w14:paraId="3B2AD0AE">
            <w:pPr>
              <w:pStyle w:val="34"/>
              <w:rPr>
                <w:vertAlign w:val="superscript"/>
              </w:rPr>
            </w:pPr>
            <w:r>
              <w:t>0.070mg/m</w:t>
            </w:r>
            <w:r>
              <w:rPr>
                <w:vertAlign w:val="superscript"/>
              </w:rPr>
              <w:t>3</w:t>
            </w:r>
          </w:p>
          <w:p w14:paraId="7494800B">
            <w:pPr>
              <w:pStyle w:val="34"/>
            </w:pPr>
            <w:r>
              <w:t>（铬酸雾）</w:t>
            </w:r>
          </w:p>
        </w:tc>
        <w:tc>
          <w:tcPr>
            <w:tcW w:w="2107" w:type="dxa"/>
            <w:vMerge w:val="restart"/>
            <w:vAlign w:val="center"/>
          </w:tcPr>
          <w:p w14:paraId="0001283A">
            <w:pPr>
              <w:pStyle w:val="34"/>
            </w:pPr>
            <w:r>
              <w:t>LD50：80mg/kg(大鼠经口)</w:t>
            </w:r>
          </w:p>
        </w:tc>
      </w:tr>
      <w:tr w14:paraId="245E6D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506F1CB5">
            <w:pPr>
              <w:pStyle w:val="34"/>
            </w:pPr>
          </w:p>
        </w:tc>
        <w:tc>
          <w:tcPr>
            <w:tcW w:w="3117" w:type="dxa"/>
            <w:vAlign w:val="center"/>
          </w:tcPr>
          <w:p w14:paraId="51AD29B7">
            <w:pPr>
              <w:pStyle w:val="34"/>
            </w:pPr>
            <w:r>
              <w:t>中国PC职业接触限值</w:t>
            </w:r>
          </w:p>
        </w:tc>
        <w:tc>
          <w:tcPr>
            <w:tcW w:w="1912" w:type="dxa"/>
            <w:vAlign w:val="center"/>
          </w:tcPr>
          <w:p w14:paraId="7B2622C6">
            <w:pPr>
              <w:pStyle w:val="34"/>
              <w:rPr>
                <w:vertAlign w:val="superscript"/>
              </w:rPr>
            </w:pPr>
            <w:r>
              <w:t>0.01 mg/m</w:t>
            </w:r>
            <w:r>
              <w:rPr>
                <w:vertAlign w:val="superscript"/>
              </w:rPr>
              <w:t>3</w:t>
            </w:r>
          </w:p>
          <w:p w14:paraId="01110935">
            <w:pPr>
              <w:pStyle w:val="34"/>
            </w:pPr>
            <w:r>
              <w:t>（按镉计）</w:t>
            </w:r>
          </w:p>
        </w:tc>
        <w:tc>
          <w:tcPr>
            <w:tcW w:w="2107" w:type="dxa"/>
            <w:vMerge w:val="continue"/>
            <w:vAlign w:val="center"/>
          </w:tcPr>
          <w:p w14:paraId="059AF2BA">
            <w:pPr>
              <w:pStyle w:val="34"/>
            </w:pPr>
          </w:p>
        </w:tc>
      </w:tr>
      <w:tr w14:paraId="3C125A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558BCE13">
            <w:pPr>
              <w:pStyle w:val="34"/>
            </w:pPr>
          </w:p>
        </w:tc>
        <w:tc>
          <w:tcPr>
            <w:tcW w:w="3117" w:type="dxa"/>
            <w:vAlign w:val="center"/>
          </w:tcPr>
          <w:p w14:paraId="6F6D8AB9">
            <w:pPr>
              <w:pStyle w:val="34"/>
            </w:pPr>
            <w:r>
              <w:t>美国ACGIH职业接触限值</w:t>
            </w:r>
          </w:p>
        </w:tc>
        <w:tc>
          <w:tcPr>
            <w:tcW w:w="1912" w:type="dxa"/>
            <w:vAlign w:val="center"/>
          </w:tcPr>
          <w:p w14:paraId="586FDF3B">
            <w:pPr>
              <w:pStyle w:val="34"/>
              <w:rPr>
                <w:vertAlign w:val="superscript"/>
              </w:rPr>
            </w:pPr>
            <w:r>
              <w:t>0.05 mg/m</w:t>
            </w:r>
            <w:r>
              <w:rPr>
                <w:vertAlign w:val="superscript"/>
              </w:rPr>
              <w:t>3</w:t>
            </w:r>
          </w:p>
          <w:p w14:paraId="56D3B65F">
            <w:pPr>
              <w:pStyle w:val="34"/>
            </w:pPr>
            <w:r>
              <w:t>（按镉计）</w:t>
            </w:r>
          </w:p>
        </w:tc>
        <w:tc>
          <w:tcPr>
            <w:tcW w:w="2107" w:type="dxa"/>
            <w:vMerge w:val="continue"/>
            <w:vAlign w:val="center"/>
          </w:tcPr>
          <w:p w14:paraId="13082F7C">
            <w:pPr>
              <w:pStyle w:val="34"/>
            </w:pPr>
          </w:p>
        </w:tc>
      </w:tr>
      <w:tr w14:paraId="5CA67B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273136A6">
            <w:pPr>
              <w:pStyle w:val="34"/>
            </w:pPr>
            <w:r>
              <w:rPr>
                <w:rFonts w:hint="eastAsia"/>
              </w:rPr>
              <w:t>氯磺酸</w:t>
            </w:r>
          </w:p>
        </w:tc>
        <w:tc>
          <w:tcPr>
            <w:tcW w:w="3117" w:type="dxa"/>
            <w:vAlign w:val="center"/>
          </w:tcPr>
          <w:p w14:paraId="260A342E">
            <w:pPr>
              <w:pStyle w:val="34"/>
            </w:pPr>
            <w:r>
              <w:t>-</w:t>
            </w:r>
          </w:p>
        </w:tc>
        <w:tc>
          <w:tcPr>
            <w:tcW w:w="1912" w:type="dxa"/>
            <w:vAlign w:val="center"/>
          </w:tcPr>
          <w:p w14:paraId="70809330">
            <w:pPr>
              <w:pStyle w:val="34"/>
            </w:pPr>
            <w:r>
              <w:t>-</w:t>
            </w:r>
          </w:p>
        </w:tc>
        <w:tc>
          <w:tcPr>
            <w:tcW w:w="2107" w:type="dxa"/>
            <w:vAlign w:val="center"/>
          </w:tcPr>
          <w:p w14:paraId="0F9B8769">
            <w:pPr>
              <w:pStyle w:val="34"/>
            </w:pPr>
            <w:r>
              <w:t>LD50：50mg/kg(大鼠经口)</w:t>
            </w:r>
          </w:p>
        </w:tc>
      </w:tr>
      <w:tr w14:paraId="3D4639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restart"/>
            <w:vAlign w:val="center"/>
          </w:tcPr>
          <w:p w14:paraId="79CC36A8">
            <w:pPr>
              <w:pStyle w:val="34"/>
            </w:pPr>
            <w:r>
              <w:rPr>
                <w:rFonts w:hint="eastAsia"/>
              </w:rPr>
              <w:t>戊硼烷</w:t>
            </w:r>
          </w:p>
        </w:tc>
        <w:tc>
          <w:tcPr>
            <w:tcW w:w="3117" w:type="dxa"/>
            <w:vAlign w:val="center"/>
          </w:tcPr>
          <w:p w14:paraId="2A59B20F">
            <w:pPr>
              <w:pStyle w:val="34"/>
            </w:pPr>
            <w:r>
              <w:t>美国车间卫生标准</w:t>
            </w:r>
          </w:p>
        </w:tc>
        <w:tc>
          <w:tcPr>
            <w:tcW w:w="1912" w:type="dxa"/>
            <w:vAlign w:val="center"/>
          </w:tcPr>
          <w:p w14:paraId="4E10B9FF">
            <w:pPr>
              <w:pStyle w:val="34"/>
            </w:pPr>
            <w:r>
              <w:t>0.01 mg/m</w:t>
            </w:r>
            <w:r>
              <w:rPr>
                <w:vertAlign w:val="superscript"/>
              </w:rPr>
              <w:t>3</w:t>
            </w:r>
          </w:p>
        </w:tc>
        <w:tc>
          <w:tcPr>
            <w:tcW w:w="2107" w:type="dxa"/>
            <w:vMerge w:val="restart"/>
            <w:vAlign w:val="center"/>
          </w:tcPr>
          <w:p w14:paraId="72BC4F97">
            <w:pPr>
              <w:pStyle w:val="34"/>
            </w:pPr>
            <w:r>
              <w:t>LD50:11.1mg/kg(大鼠经口)</w:t>
            </w:r>
          </w:p>
        </w:tc>
      </w:tr>
      <w:tr w14:paraId="179D1D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4A1A02FA">
            <w:pPr>
              <w:pStyle w:val="34"/>
            </w:pPr>
          </w:p>
        </w:tc>
        <w:tc>
          <w:tcPr>
            <w:tcW w:w="3117" w:type="dxa"/>
            <w:vAlign w:val="center"/>
          </w:tcPr>
          <w:p w14:paraId="62F1123A">
            <w:pPr>
              <w:pStyle w:val="34"/>
            </w:pPr>
            <w:r>
              <w:t>美国ACGIH职业接触限值</w:t>
            </w:r>
          </w:p>
        </w:tc>
        <w:tc>
          <w:tcPr>
            <w:tcW w:w="1912" w:type="dxa"/>
            <w:vAlign w:val="center"/>
          </w:tcPr>
          <w:p w14:paraId="55551A01">
            <w:pPr>
              <w:pStyle w:val="34"/>
            </w:pPr>
            <w:r>
              <w:t>0.03 mg/m</w:t>
            </w:r>
            <w:r>
              <w:rPr>
                <w:vertAlign w:val="superscript"/>
              </w:rPr>
              <w:t>3</w:t>
            </w:r>
          </w:p>
        </w:tc>
        <w:tc>
          <w:tcPr>
            <w:tcW w:w="2107" w:type="dxa"/>
            <w:vMerge w:val="continue"/>
            <w:vAlign w:val="center"/>
          </w:tcPr>
          <w:p w14:paraId="3CD37786">
            <w:pPr>
              <w:pStyle w:val="34"/>
            </w:pPr>
          </w:p>
        </w:tc>
      </w:tr>
      <w:tr w14:paraId="52C1F6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017CF9F1">
            <w:pPr>
              <w:pStyle w:val="34"/>
            </w:pPr>
            <w:r>
              <w:rPr>
                <w:rFonts w:hint="eastAsia"/>
              </w:rPr>
              <w:t>溴化氰</w:t>
            </w:r>
          </w:p>
        </w:tc>
        <w:tc>
          <w:tcPr>
            <w:tcW w:w="3117" w:type="dxa"/>
            <w:vAlign w:val="center"/>
          </w:tcPr>
          <w:p w14:paraId="328D5503">
            <w:pPr>
              <w:pStyle w:val="34"/>
            </w:pPr>
            <w:r>
              <w:t>-</w:t>
            </w:r>
          </w:p>
        </w:tc>
        <w:tc>
          <w:tcPr>
            <w:tcW w:w="1912" w:type="dxa"/>
            <w:vAlign w:val="center"/>
          </w:tcPr>
          <w:p w14:paraId="73033259">
            <w:pPr>
              <w:pStyle w:val="34"/>
            </w:pPr>
            <w:r>
              <w:t>-</w:t>
            </w:r>
          </w:p>
        </w:tc>
        <w:tc>
          <w:tcPr>
            <w:tcW w:w="2107" w:type="dxa"/>
            <w:vAlign w:val="center"/>
          </w:tcPr>
          <w:p w14:paraId="5CAF7901">
            <w:pPr>
              <w:pStyle w:val="34"/>
            </w:pPr>
            <w:r>
              <w:t>LCLo:500mg/m</w:t>
            </w:r>
            <w:r>
              <w:rPr>
                <w:vertAlign w:val="superscript"/>
              </w:rPr>
              <w:t>3</w:t>
            </w:r>
            <w:r>
              <w:t>/10M（小鼠吸入）</w:t>
            </w:r>
          </w:p>
        </w:tc>
      </w:tr>
      <w:tr w14:paraId="56C40D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restart"/>
            <w:vAlign w:val="center"/>
          </w:tcPr>
          <w:p w14:paraId="761C5B3B">
            <w:pPr>
              <w:pStyle w:val="34"/>
            </w:pPr>
            <w:r>
              <w:rPr>
                <w:rFonts w:hint="eastAsia"/>
              </w:rPr>
              <w:t>1,3-二硝基苯</w:t>
            </w:r>
          </w:p>
        </w:tc>
        <w:tc>
          <w:tcPr>
            <w:tcW w:w="3117" w:type="dxa"/>
            <w:vAlign w:val="center"/>
          </w:tcPr>
          <w:p w14:paraId="38E4E8BC">
            <w:pPr>
              <w:pStyle w:val="34"/>
            </w:pPr>
            <w:r>
              <w:t>《大气污染物综合排放标准》</w:t>
            </w:r>
          </w:p>
        </w:tc>
        <w:tc>
          <w:tcPr>
            <w:tcW w:w="1912" w:type="dxa"/>
            <w:vAlign w:val="center"/>
          </w:tcPr>
          <w:p w14:paraId="40C14957">
            <w:pPr>
              <w:pStyle w:val="34"/>
              <w:rPr>
                <w:vertAlign w:val="superscript"/>
              </w:rPr>
            </w:pPr>
            <w:r>
              <w:t>16 mg/m</w:t>
            </w:r>
            <w:r>
              <w:rPr>
                <w:vertAlign w:val="superscript"/>
              </w:rPr>
              <w:t>3</w:t>
            </w:r>
          </w:p>
          <w:p w14:paraId="52276EAA">
            <w:pPr>
              <w:pStyle w:val="34"/>
            </w:pPr>
            <w:r>
              <w:t>（硝基苯类）</w:t>
            </w:r>
          </w:p>
        </w:tc>
        <w:tc>
          <w:tcPr>
            <w:tcW w:w="2107" w:type="dxa"/>
            <w:vMerge w:val="restart"/>
            <w:vAlign w:val="center"/>
          </w:tcPr>
          <w:p w14:paraId="4DCD445A">
            <w:pPr>
              <w:pStyle w:val="34"/>
            </w:pPr>
            <w:r>
              <w:t>LD50:268mg/kg(大鼠经口)</w:t>
            </w:r>
          </w:p>
        </w:tc>
      </w:tr>
      <w:tr w14:paraId="117BFD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3A3F56A8">
            <w:pPr>
              <w:pStyle w:val="34"/>
            </w:pPr>
          </w:p>
        </w:tc>
        <w:tc>
          <w:tcPr>
            <w:tcW w:w="3117" w:type="dxa"/>
            <w:vAlign w:val="center"/>
          </w:tcPr>
          <w:p w14:paraId="2AEC4565">
            <w:pPr>
              <w:pStyle w:val="34"/>
            </w:pPr>
            <w:r>
              <w:t>中国PC职业接触限值</w:t>
            </w:r>
          </w:p>
        </w:tc>
        <w:tc>
          <w:tcPr>
            <w:tcW w:w="1912" w:type="dxa"/>
            <w:vAlign w:val="center"/>
          </w:tcPr>
          <w:p w14:paraId="452F0FC7">
            <w:pPr>
              <w:pStyle w:val="34"/>
            </w:pPr>
            <w:r>
              <w:t>1 mg/m</w:t>
            </w:r>
            <w:r>
              <w:rPr>
                <w:vertAlign w:val="superscript"/>
              </w:rPr>
              <w:t>3</w:t>
            </w:r>
          </w:p>
        </w:tc>
        <w:tc>
          <w:tcPr>
            <w:tcW w:w="2107" w:type="dxa"/>
            <w:vMerge w:val="continue"/>
            <w:vAlign w:val="center"/>
          </w:tcPr>
          <w:p w14:paraId="397D2833">
            <w:pPr>
              <w:pStyle w:val="34"/>
            </w:pPr>
          </w:p>
        </w:tc>
      </w:tr>
      <w:tr w14:paraId="2B37F5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5CB42557">
            <w:pPr>
              <w:pStyle w:val="34"/>
            </w:pPr>
            <w:r>
              <w:rPr>
                <w:rFonts w:hint="eastAsia"/>
              </w:rPr>
              <w:t>2,4-二硝基甲苯</w:t>
            </w:r>
          </w:p>
        </w:tc>
        <w:tc>
          <w:tcPr>
            <w:tcW w:w="3117" w:type="dxa"/>
            <w:vAlign w:val="center"/>
          </w:tcPr>
          <w:p w14:paraId="06094FCE">
            <w:pPr>
              <w:pStyle w:val="34"/>
            </w:pPr>
            <w:r>
              <w:t>《大气污染物综合排放标准》</w:t>
            </w:r>
          </w:p>
        </w:tc>
        <w:tc>
          <w:tcPr>
            <w:tcW w:w="1912" w:type="dxa"/>
            <w:vAlign w:val="center"/>
          </w:tcPr>
          <w:p w14:paraId="2E47331B">
            <w:pPr>
              <w:pStyle w:val="34"/>
              <w:rPr>
                <w:vertAlign w:val="superscript"/>
              </w:rPr>
            </w:pPr>
            <w:r>
              <w:t>16 mg/m</w:t>
            </w:r>
            <w:r>
              <w:rPr>
                <w:vertAlign w:val="superscript"/>
              </w:rPr>
              <w:t>3</w:t>
            </w:r>
          </w:p>
          <w:p w14:paraId="7C805F28">
            <w:pPr>
              <w:pStyle w:val="34"/>
            </w:pPr>
            <w:r>
              <w:t>（硝基苯类）</w:t>
            </w:r>
          </w:p>
        </w:tc>
        <w:tc>
          <w:tcPr>
            <w:tcW w:w="2107" w:type="dxa"/>
            <w:vAlign w:val="center"/>
          </w:tcPr>
          <w:p w14:paraId="63CF8541">
            <w:pPr>
              <w:pStyle w:val="34"/>
            </w:pPr>
            <w:r>
              <w:t>LD50:268mg/kg(大鼠经口)</w:t>
            </w:r>
          </w:p>
        </w:tc>
      </w:tr>
      <w:tr w14:paraId="64C740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restart"/>
            <w:vAlign w:val="center"/>
          </w:tcPr>
          <w:p w14:paraId="1CC06617">
            <w:pPr>
              <w:pStyle w:val="34"/>
            </w:pPr>
            <w:r>
              <w:rPr>
                <w:rFonts w:hint="eastAsia"/>
              </w:rPr>
              <w:t>丙烯腈</w:t>
            </w:r>
          </w:p>
        </w:tc>
        <w:tc>
          <w:tcPr>
            <w:tcW w:w="3117" w:type="dxa"/>
            <w:vAlign w:val="center"/>
          </w:tcPr>
          <w:p w14:paraId="1C193196">
            <w:pPr>
              <w:pStyle w:val="34"/>
            </w:pPr>
            <w:r>
              <w:t>《大气污染物综合排放标准》</w:t>
            </w:r>
          </w:p>
        </w:tc>
        <w:tc>
          <w:tcPr>
            <w:tcW w:w="1912" w:type="dxa"/>
            <w:vAlign w:val="center"/>
          </w:tcPr>
          <w:p w14:paraId="0D9007EF">
            <w:pPr>
              <w:pStyle w:val="34"/>
            </w:pPr>
            <w:r>
              <w:t>22 mg/m</w:t>
            </w:r>
            <w:r>
              <w:rPr>
                <w:vertAlign w:val="superscript"/>
              </w:rPr>
              <w:t>3</w:t>
            </w:r>
          </w:p>
        </w:tc>
        <w:tc>
          <w:tcPr>
            <w:tcW w:w="2107" w:type="dxa"/>
            <w:vMerge w:val="restart"/>
            <w:vAlign w:val="center"/>
          </w:tcPr>
          <w:p w14:paraId="698D1764">
            <w:pPr>
              <w:pStyle w:val="34"/>
            </w:pPr>
            <w:r>
              <w:t>LD50：78mg/kg（大鼠经口）</w:t>
            </w:r>
          </w:p>
        </w:tc>
      </w:tr>
      <w:tr w14:paraId="52CA27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4B091586">
            <w:pPr>
              <w:pStyle w:val="34"/>
            </w:pPr>
          </w:p>
        </w:tc>
        <w:tc>
          <w:tcPr>
            <w:tcW w:w="3117" w:type="dxa"/>
            <w:vAlign w:val="center"/>
          </w:tcPr>
          <w:p w14:paraId="368B8601">
            <w:pPr>
              <w:pStyle w:val="34"/>
            </w:pPr>
            <w:r>
              <w:t>《渔业水质标准》</w:t>
            </w:r>
          </w:p>
        </w:tc>
        <w:tc>
          <w:tcPr>
            <w:tcW w:w="1912" w:type="dxa"/>
            <w:vAlign w:val="center"/>
          </w:tcPr>
          <w:p w14:paraId="21A0A36A">
            <w:pPr>
              <w:pStyle w:val="34"/>
            </w:pPr>
            <w:r>
              <w:t>0.5 mg/L</w:t>
            </w:r>
          </w:p>
        </w:tc>
        <w:tc>
          <w:tcPr>
            <w:tcW w:w="2107" w:type="dxa"/>
            <w:vMerge w:val="continue"/>
            <w:vAlign w:val="center"/>
          </w:tcPr>
          <w:p w14:paraId="2AA9E530">
            <w:pPr>
              <w:pStyle w:val="34"/>
            </w:pPr>
          </w:p>
        </w:tc>
      </w:tr>
      <w:tr w14:paraId="4EE6F0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3058256B">
            <w:pPr>
              <w:pStyle w:val="34"/>
            </w:pPr>
          </w:p>
        </w:tc>
        <w:tc>
          <w:tcPr>
            <w:tcW w:w="3117" w:type="dxa"/>
            <w:vAlign w:val="center"/>
          </w:tcPr>
          <w:p w14:paraId="40A04E04">
            <w:pPr>
              <w:pStyle w:val="34"/>
            </w:pPr>
            <w:r>
              <w:t>欧洲化学品管理局</w:t>
            </w:r>
          </w:p>
        </w:tc>
        <w:tc>
          <w:tcPr>
            <w:tcW w:w="1912" w:type="dxa"/>
            <w:vAlign w:val="center"/>
          </w:tcPr>
          <w:p w14:paraId="60DDC89E">
            <w:pPr>
              <w:pStyle w:val="34"/>
              <w:rPr>
                <w:vertAlign w:val="superscript"/>
              </w:rPr>
            </w:pPr>
            <w:r>
              <w:t>35～220mg/m</w:t>
            </w:r>
            <w:r>
              <w:rPr>
                <w:vertAlign w:val="superscript"/>
              </w:rPr>
              <w:t>3</w:t>
            </w:r>
          </w:p>
          <w:p w14:paraId="37663515">
            <w:pPr>
              <w:pStyle w:val="34"/>
            </w:pPr>
            <w:r>
              <w:t>（20～45min）</w:t>
            </w:r>
          </w:p>
        </w:tc>
        <w:tc>
          <w:tcPr>
            <w:tcW w:w="2107" w:type="dxa"/>
            <w:vMerge w:val="continue"/>
            <w:vAlign w:val="center"/>
          </w:tcPr>
          <w:p w14:paraId="670F3EBE">
            <w:pPr>
              <w:pStyle w:val="34"/>
            </w:pPr>
          </w:p>
        </w:tc>
      </w:tr>
      <w:tr w14:paraId="302C90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0C9B3F9C">
            <w:pPr>
              <w:pStyle w:val="34"/>
            </w:pPr>
          </w:p>
        </w:tc>
        <w:tc>
          <w:tcPr>
            <w:tcW w:w="3117" w:type="dxa"/>
            <w:vAlign w:val="center"/>
          </w:tcPr>
          <w:p w14:paraId="3AE40948">
            <w:pPr>
              <w:pStyle w:val="34"/>
            </w:pPr>
            <w:r>
              <w:t>前苏联MAC（有毒物质最高允许浓度）</w:t>
            </w:r>
          </w:p>
        </w:tc>
        <w:tc>
          <w:tcPr>
            <w:tcW w:w="1912" w:type="dxa"/>
            <w:vAlign w:val="center"/>
          </w:tcPr>
          <w:p w14:paraId="5944DF2E">
            <w:pPr>
              <w:pStyle w:val="34"/>
            </w:pPr>
            <w:r>
              <w:t>0.5 mg/m</w:t>
            </w:r>
            <w:r>
              <w:rPr>
                <w:vertAlign w:val="superscript"/>
              </w:rPr>
              <w:t>3</w:t>
            </w:r>
          </w:p>
        </w:tc>
        <w:tc>
          <w:tcPr>
            <w:tcW w:w="2107" w:type="dxa"/>
            <w:vMerge w:val="continue"/>
            <w:vAlign w:val="center"/>
          </w:tcPr>
          <w:p w14:paraId="4232C140">
            <w:pPr>
              <w:pStyle w:val="34"/>
            </w:pPr>
          </w:p>
        </w:tc>
      </w:tr>
      <w:tr w14:paraId="5DF87E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38ACF605">
            <w:pPr>
              <w:pStyle w:val="34"/>
            </w:pPr>
            <w:r>
              <w:rPr>
                <w:rFonts w:hint="eastAsia"/>
              </w:rPr>
              <w:t>磷化铝</w:t>
            </w:r>
          </w:p>
        </w:tc>
        <w:tc>
          <w:tcPr>
            <w:tcW w:w="3117" w:type="dxa"/>
            <w:vAlign w:val="center"/>
          </w:tcPr>
          <w:p w14:paraId="5E66EA8B">
            <w:pPr>
              <w:pStyle w:val="34"/>
            </w:pPr>
            <w:r>
              <w:t>-</w:t>
            </w:r>
          </w:p>
        </w:tc>
        <w:tc>
          <w:tcPr>
            <w:tcW w:w="1912" w:type="dxa"/>
            <w:vAlign w:val="center"/>
          </w:tcPr>
          <w:p w14:paraId="2D40B056">
            <w:pPr>
              <w:pStyle w:val="34"/>
            </w:pPr>
            <w:r>
              <w:rPr>
                <w:rFonts w:hint="eastAsia"/>
              </w:rPr>
              <w:t>-</w:t>
            </w:r>
          </w:p>
        </w:tc>
        <w:tc>
          <w:tcPr>
            <w:tcW w:w="2107" w:type="dxa"/>
            <w:vAlign w:val="center"/>
          </w:tcPr>
          <w:p w14:paraId="25B9A4EA">
            <w:pPr>
              <w:pStyle w:val="34"/>
            </w:pPr>
            <w:r>
              <w:t>LD50：11.5mg/kg(大鼠经口)</w:t>
            </w:r>
          </w:p>
        </w:tc>
      </w:tr>
      <w:tr w14:paraId="77A92E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2115DD48">
            <w:pPr>
              <w:pStyle w:val="34"/>
            </w:pPr>
            <w:r>
              <w:rPr>
                <w:rFonts w:hint="eastAsia"/>
              </w:rPr>
              <w:t>黄磷</w:t>
            </w:r>
          </w:p>
        </w:tc>
        <w:tc>
          <w:tcPr>
            <w:tcW w:w="3117" w:type="dxa"/>
            <w:vAlign w:val="center"/>
          </w:tcPr>
          <w:p w14:paraId="5ED6DEE8">
            <w:pPr>
              <w:pStyle w:val="34"/>
            </w:pPr>
            <w:r>
              <w:t>-</w:t>
            </w:r>
          </w:p>
        </w:tc>
        <w:tc>
          <w:tcPr>
            <w:tcW w:w="1912" w:type="dxa"/>
            <w:vAlign w:val="center"/>
          </w:tcPr>
          <w:p w14:paraId="74325C9E">
            <w:pPr>
              <w:pStyle w:val="34"/>
            </w:pPr>
            <w:r>
              <w:rPr>
                <w:rFonts w:hint="eastAsia"/>
              </w:rPr>
              <w:t>-</w:t>
            </w:r>
          </w:p>
        </w:tc>
        <w:tc>
          <w:tcPr>
            <w:tcW w:w="2107" w:type="dxa"/>
            <w:vAlign w:val="center"/>
          </w:tcPr>
          <w:p w14:paraId="4B1820A5">
            <w:pPr>
              <w:pStyle w:val="34"/>
            </w:pPr>
            <w:r>
              <w:t>LD50：3.03mg/kg(大鼠经口)</w:t>
            </w:r>
          </w:p>
        </w:tc>
      </w:tr>
      <w:tr w14:paraId="150179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306B1A62">
            <w:pPr>
              <w:pStyle w:val="34"/>
            </w:pPr>
            <w:r>
              <w:rPr>
                <w:rFonts w:hint="eastAsia"/>
              </w:rPr>
              <w:t>甲基丙烯酸甲酯</w:t>
            </w:r>
          </w:p>
        </w:tc>
        <w:tc>
          <w:tcPr>
            <w:tcW w:w="3117" w:type="dxa"/>
            <w:vAlign w:val="center"/>
          </w:tcPr>
          <w:p w14:paraId="17DFE890">
            <w:pPr>
              <w:pStyle w:val="34"/>
            </w:pPr>
            <w:r>
              <w:t>中国PC职业接触限值</w:t>
            </w:r>
          </w:p>
        </w:tc>
        <w:tc>
          <w:tcPr>
            <w:tcW w:w="1912" w:type="dxa"/>
            <w:vAlign w:val="center"/>
          </w:tcPr>
          <w:p w14:paraId="03E99051">
            <w:pPr>
              <w:pStyle w:val="34"/>
            </w:pPr>
            <w:r>
              <w:t>30 mg/m</w:t>
            </w:r>
            <w:r>
              <w:rPr>
                <w:vertAlign w:val="superscript"/>
              </w:rPr>
              <w:t>3</w:t>
            </w:r>
          </w:p>
        </w:tc>
        <w:tc>
          <w:tcPr>
            <w:tcW w:w="2107" w:type="dxa"/>
            <w:vAlign w:val="center"/>
          </w:tcPr>
          <w:p w14:paraId="32522927">
            <w:pPr>
              <w:pStyle w:val="34"/>
            </w:pPr>
            <w:r>
              <w:t>LD50：7872mg/kg(大鼠经口)</w:t>
            </w:r>
          </w:p>
        </w:tc>
      </w:tr>
      <w:tr w14:paraId="199DA2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restart"/>
            <w:vAlign w:val="center"/>
          </w:tcPr>
          <w:p w14:paraId="74A70BF6">
            <w:pPr>
              <w:pStyle w:val="34"/>
            </w:pPr>
            <w:r>
              <w:t>硫酸二甲酯</w:t>
            </w:r>
          </w:p>
        </w:tc>
        <w:tc>
          <w:tcPr>
            <w:tcW w:w="3117" w:type="dxa"/>
            <w:vAlign w:val="center"/>
          </w:tcPr>
          <w:p w14:paraId="4782DC32">
            <w:pPr>
              <w:pStyle w:val="34"/>
            </w:pPr>
            <w:r>
              <w:t>《大气污染物综合排放标准》</w:t>
            </w:r>
          </w:p>
        </w:tc>
        <w:tc>
          <w:tcPr>
            <w:tcW w:w="1912" w:type="dxa"/>
            <w:vAlign w:val="center"/>
          </w:tcPr>
          <w:p w14:paraId="02463F83">
            <w:pPr>
              <w:pStyle w:val="34"/>
              <w:rPr>
                <w:vertAlign w:val="superscript"/>
              </w:rPr>
            </w:pPr>
            <w:r>
              <w:t>430mg/m</w:t>
            </w:r>
            <w:r>
              <w:rPr>
                <w:vertAlign w:val="superscript"/>
              </w:rPr>
              <w:t>3</w:t>
            </w:r>
          </w:p>
          <w:p w14:paraId="5BFF33CB">
            <w:pPr>
              <w:pStyle w:val="34"/>
            </w:pPr>
            <w:r>
              <w:t>（硫酸雾）</w:t>
            </w:r>
          </w:p>
        </w:tc>
        <w:tc>
          <w:tcPr>
            <w:tcW w:w="2107" w:type="dxa"/>
            <w:vMerge w:val="restart"/>
            <w:vAlign w:val="center"/>
          </w:tcPr>
          <w:p w14:paraId="6872DD38">
            <w:pPr>
              <w:pStyle w:val="34"/>
            </w:pPr>
            <w:r>
              <w:t>LD50:205mg/kg(大鼠经口)</w:t>
            </w:r>
          </w:p>
        </w:tc>
      </w:tr>
      <w:tr w14:paraId="05D1C1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4F6E38AC">
            <w:pPr>
              <w:pStyle w:val="34"/>
            </w:pPr>
          </w:p>
        </w:tc>
        <w:tc>
          <w:tcPr>
            <w:tcW w:w="3117" w:type="dxa"/>
            <w:vAlign w:val="center"/>
          </w:tcPr>
          <w:p w14:paraId="5280F3FA">
            <w:pPr>
              <w:pStyle w:val="34"/>
            </w:pPr>
            <w:r>
              <w:t>中国PC职业接触限值</w:t>
            </w:r>
          </w:p>
        </w:tc>
        <w:tc>
          <w:tcPr>
            <w:tcW w:w="1912" w:type="dxa"/>
            <w:vAlign w:val="center"/>
          </w:tcPr>
          <w:p w14:paraId="381CA153">
            <w:pPr>
              <w:pStyle w:val="34"/>
            </w:pPr>
            <w:r>
              <w:t>0.5 mg/m</w:t>
            </w:r>
            <w:r>
              <w:rPr>
                <w:vertAlign w:val="superscript"/>
              </w:rPr>
              <w:t>3</w:t>
            </w:r>
          </w:p>
        </w:tc>
        <w:tc>
          <w:tcPr>
            <w:tcW w:w="2107" w:type="dxa"/>
            <w:vMerge w:val="continue"/>
            <w:vAlign w:val="center"/>
          </w:tcPr>
          <w:p w14:paraId="3D65CF62">
            <w:pPr>
              <w:pStyle w:val="34"/>
            </w:pPr>
          </w:p>
        </w:tc>
      </w:tr>
      <w:tr w14:paraId="4F8D89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restart"/>
            <w:vAlign w:val="center"/>
          </w:tcPr>
          <w:p w14:paraId="5AF7A40E">
            <w:pPr>
              <w:pStyle w:val="34"/>
            </w:pPr>
            <w:r>
              <w:t>汞</w:t>
            </w:r>
          </w:p>
        </w:tc>
        <w:tc>
          <w:tcPr>
            <w:tcW w:w="3117" w:type="dxa"/>
            <w:vAlign w:val="center"/>
          </w:tcPr>
          <w:p w14:paraId="695DA545">
            <w:pPr>
              <w:pStyle w:val="34"/>
            </w:pPr>
            <w:r>
              <w:t>《大气污染物综合排放标准》</w:t>
            </w:r>
          </w:p>
        </w:tc>
        <w:tc>
          <w:tcPr>
            <w:tcW w:w="1912" w:type="dxa"/>
            <w:vAlign w:val="center"/>
          </w:tcPr>
          <w:p w14:paraId="489A2F64">
            <w:pPr>
              <w:pStyle w:val="34"/>
              <w:rPr>
                <w:vertAlign w:val="superscript"/>
              </w:rPr>
            </w:pPr>
            <w:r>
              <w:t>0.012 mg/m</w:t>
            </w:r>
            <w:r>
              <w:rPr>
                <w:vertAlign w:val="superscript"/>
              </w:rPr>
              <w:t>3</w:t>
            </w:r>
          </w:p>
          <w:p w14:paraId="5E18FBAC">
            <w:pPr>
              <w:pStyle w:val="34"/>
            </w:pPr>
            <w:r>
              <w:t>（汞及其化合物）</w:t>
            </w:r>
          </w:p>
        </w:tc>
        <w:tc>
          <w:tcPr>
            <w:tcW w:w="2107" w:type="dxa"/>
            <w:vMerge w:val="restart"/>
            <w:vAlign w:val="center"/>
          </w:tcPr>
          <w:p w14:paraId="7F7BE859">
            <w:pPr>
              <w:pStyle w:val="34"/>
            </w:pPr>
            <w:r>
              <w:t>LD50：350mg/kg(大鼠经口)</w:t>
            </w:r>
          </w:p>
        </w:tc>
      </w:tr>
      <w:tr w14:paraId="268F6A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03E5C387">
            <w:pPr>
              <w:pStyle w:val="34"/>
            </w:pPr>
          </w:p>
        </w:tc>
        <w:tc>
          <w:tcPr>
            <w:tcW w:w="3117" w:type="dxa"/>
            <w:vAlign w:val="center"/>
          </w:tcPr>
          <w:p w14:paraId="208AC3F3">
            <w:pPr>
              <w:pStyle w:val="34"/>
            </w:pPr>
            <w:r>
              <w:t>《渔业水质标准》</w:t>
            </w:r>
          </w:p>
        </w:tc>
        <w:tc>
          <w:tcPr>
            <w:tcW w:w="1912" w:type="dxa"/>
            <w:vAlign w:val="center"/>
          </w:tcPr>
          <w:p w14:paraId="068BF3B5">
            <w:pPr>
              <w:pStyle w:val="34"/>
            </w:pPr>
            <w:r>
              <w:t>0.0005 mg/L</w:t>
            </w:r>
          </w:p>
        </w:tc>
        <w:tc>
          <w:tcPr>
            <w:tcW w:w="2107" w:type="dxa"/>
            <w:vMerge w:val="continue"/>
            <w:vAlign w:val="center"/>
          </w:tcPr>
          <w:p w14:paraId="42112399">
            <w:pPr>
              <w:pStyle w:val="34"/>
            </w:pPr>
          </w:p>
        </w:tc>
      </w:tr>
      <w:tr w14:paraId="4396F8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67066887">
            <w:pPr>
              <w:pStyle w:val="34"/>
            </w:pPr>
          </w:p>
        </w:tc>
        <w:tc>
          <w:tcPr>
            <w:tcW w:w="3117" w:type="dxa"/>
            <w:vAlign w:val="center"/>
          </w:tcPr>
          <w:p w14:paraId="7BE50018">
            <w:pPr>
              <w:pStyle w:val="34"/>
            </w:pPr>
            <w:r>
              <w:t>《食品中污染物限量》</w:t>
            </w:r>
          </w:p>
        </w:tc>
        <w:tc>
          <w:tcPr>
            <w:tcW w:w="1912" w:type="dxa"/>
            <w:vAlign w:val="center"/>
          </w:tcPr>
          <w:p w14:paraId="1B419EFE">
            <w:pPr>
              <w:pStyle w:val="34"/>
            </w:pPr>
            <w:r>
              <w:t>0.5mg/kg</w:t>
            </w:r>
          </w:p>
          <w:p w14:paraId="3F7D3CEE">
            <w:pPr>
              <w:pStyle w:val="34"/>
            </w:pPr>
            <w:r>
              <w:t>（甲基汞）</w:t>
            </w:r>
          </w:p>
        </w:tc>
        <w:tc>
          <w:tcPr>
            <w:tcW w:w="2107" w:type="dxa"/>
            <w:vMerge w:val="continue"/>
            <w:vAlign w:val="center"/>
          </w:tcPr>
          <w:p w14:paraId="42975B51">
            <w:pPr>
              <w:pStyle w:val="34"/>
            </w:pPr>
          </w:p>
        </w:tc>
      </w:tr>
      <w:tr w14:paraId="5EC3C6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11CD4043">
            <w:pPr>
              <w:pStyle w:val="34"/>
            </w:pPr>
          </w:p>
        </w:tc>
        <w:tc>
          <w:tcPr>
            <w:tcW w:w="3117" w:type="dxa"/>
            <w:vAlign w:val="center"/>
          </w:tcPr>
          <w:p w14:paraId="0A2702EA">
            <w:pPr>
              <w:pStyle w:val="34"/>
            </w:pPr>
            <w:r>
              <w:t>中国PC职业接触限值</w:t>
            </w:r>
          </w:p>
        </w:tc>
        <w:tc>
          <w:tcPr>
            <w:tcW w:w="1912" w:type="dxa"/>
            <w:vAlign w:val="center"/>
          </w:tcPr>
          <w:p w14:paraId="15A783CE">
            <w:pPr>
              <w:pStyle w:val="34"/>
            </w:pPr>
            <w:r>
              <w:t>0.02 mg/m</w:t>
            </w:r>
            <w:r>
              <w:rPr>
                <w:vertAlign w:val="superscript"/>
              </w:rPr>
              <w:t>3</w:t>
            </w:r>
          </w:p>
        </w:tc>
        <w:tc>
          <w:tcPr>
            <w:tcW w:w="2107" w:type="dxa"/>
            <w:vMerge w:val="continue"/>
            <w:vAlign w:val="center"/>
          </w:tcPr>
          <w:p w14:paraId="56784389">
            <w:pPr>
              <w:pStyle w:val="34"/>
            </w:pPr>
          </w:p>
        </w:tc>
      </w:tr>
      <w:tr w14:paraId="3C0EC7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17A1D26C">
            <w:pPr>
              <w:pStyle w:val="34"/>
            </w:pPr>
            <w:r>
              <w:t>呋喃</w:t>
            </w:r>
          </w:p>
        </w:tc>
        <w:tc>
          <w:tcPr>
            <w:tcW w:w="3117" w:type="dxa"/>
            <w:vAlign w:val="center"/>
          </w:tcPr>
          <w:p w14:paraId="36123122">
            <w:pPr>
              <w:pStyle w:val="34"/>
            </w:pPr>
            <w:r>
              <w:t>中国PC职业接触限值</w:t>
            </w:r>
          </w:p>
        </w:tc>
        <w:tc>
          <w:tcPr>
            <w:tcW w:w="1912" w:type="dxa"/>
            <w:vAlign w:val="center"/>
          </w:tcPr>
          <w:p w14:paraId="72F3AC28">
            <w:pPr>
              <w:pStyle w:val="34"/>
            </w:pPr>
            <w:r>
              <w:t>0.5 mg/m</w:t>
            </w:r>
            <w:r>
              <w:rPr>
                <w:vertAlign w:val="superscript"/>
              </w:rPr>
              <w:t>3</w:t>
            </w:r>
          </w:p>
        </w:tc>
        <w:tc>
          <w:tcPr>
            <w:tcW w:w="2107" w:type="dxa"/>
            <w:vAlign w:val="center"/>
          </w:tcPr>
          <w:p w14:paraId="09206D53">
            <w:pPr>
              <w:pStyle w:val="34"/>
            </w:pPr>
          </w:p>
        </w:tc>
      </w:tr>
      <w:tr w14:paraId="77E168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1DF9AC0F">
            <w:pPr>
              <w:pStyle w:val="34"/>
            </w:pPr>
            <w:r>
              <w:t>哌啶</w:t>
            </w:r>
          </w:p>
        </w:tc>
        <w:tc>
          <w:tcPr>
            <w:tcW w:w="3117" w:type="dxa"/>
            <w:vAlign w:val="center"/>
          </w:tcPr>
          <w:p w14:paraId="0E4A6CFB">
            <w:pPr>
              <w:pStyle w:val="34"/>
            </w:pPr>
            <w:r>
              <w:t>-</w:t>
            </w:r>
          </w:p>
        </w:tc>
        <w:tc>
          <w:tcPr>
            <w:tcW w:w="1912" w:type="dxa"/>
            <w:vAlign w:val="center"/>
          </w:tcPr>
          <w:p w14:paraId="58438F21">
            <w:pPr>
              <w:pStyle w:val="34"/>
            </w:pPr>
            <w:r>
              <w:rPr>
                <w:rFonts w:hint="eastAsia"/>
              </w:rPr>
              <w:t>-</w:t>
            </w:r>
          </w:p>
        </w:tc>
        <w:tc>
          <w:tcPr>
            <w:tcW w:w="2107" w:type="dxa"/>
            <w:vAlign w:val="center"/>
          </w:tcPr>
          <w:p w14:paraId="32D6DCCD">
            <w:pPr>
              <w:pStyle w:val="34"/>
            </w:pPr>
            <w:r>
              <w:t>LD50：50mg/kg(大鼠经口)</w:t>
            </w:r>
          </w:p>
        </w:tc>
      </w:tr>
      <w:tr w14:paraId="05B478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1D845998">
            <w:pPr>
              <w:pStyle w:val="34"/>
            </w:pPr>
            <w:r>
              <w:rPr>
                <w:rFonts w:hint="eastAsia"/>
              </w:rPr>
              <w:t>1,2-乙二胺</w:t>
            </w:r>
          </w:p>
        </w:tc>
        <w:tc>
          <w:tcPr>
            <w:tcW w:w="3117" w:type="dxa"/>
            <w:vAlign w:val="center"/>
          </w:tcPr>
          <w:p w14:paraId="796DE6EB">
            <w:pPr>
              <w:pStyle w:val="34"/>
            </w:pPr>
            <w:r>
              <w:t>中国PC职业接触限值</w:t>
            </w:r>
          </w:p>
        </w:tc>
        <w:tc>
          <w:tcPr>
            <w:tcW w:w="1912" w:type="dxa"/>
            <w:vAlign w:val="center"/>
          </w:tcPr>
          <w:p w14:paraId="0840C940">
            <w:pPr>
              <w:pStyle w:val="34"/>
            </w:pPr>
            <w:r>
              <w:rPr>
                <w:rFonts w:hint="eastAsia"/>
              </w:rPr>
              <w:t>4</w:t>
            </w:r>
            <w:r>
              <w:t xml:space="preserve"> mg/m</w:t>
            </w:r>
            <w:r>
              <w:rPr>
                <w:vertAlign w:val="superscript"/>
              </w:rPr>
              <w:t>3</w:t>
            </w:r>
          </w:p>
        </w:tc>
        <w:tc>
          <w:tcPr>
            <w:tcW w:w="2107" w:type="dxa"/>
            <w:vAlign w:val="center"/>
          </w:tcPr>
          <w:p w14:paraId="387543BD">
            <w:pPr>
              <w:pStyle w:val="34"/>
            </w:pPr>
            <w:r>
              <w:t>LD50：50mg/kg(大鼠经口)</w:t>
            </w:r>
          </w:p>
        </w:tc>
      </w:tr>
      <w:tr w14:paraId="36BBB8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restart"/>
            <w:vAlign w:val="center"/>
          </w:tcPr>
          <w:p w14:paraId="77904967">
            <w:pPr>
              <w:pStyle w:val="34"/>
            </w:pPr>
            <w:bookmarkStart w:id="545" w:name="OLE_LINK185"/>
            <w:r>
              <w:t>甲苯</w:t>
            </w:r>
            <w:bookmarkEnd w:id="545"/>
          </w:p>
        </w:tc>
        <w:tc>
          <w:tcPr>
            <w:tcW w:w="3117" w:type="dxa"/>
            <w:vAlign w:val="center"/>
          </w:tcPr>
          <w:p w14:paraId="755CF9CA">
            <w:pPr>
              <w:pStyle w:val="34"/>
            </w:pPr>
            <w:r>
              <w:t>《大气污染物综合排放标准》</w:t>
            </w:r>
          </w:p>
        </w:tc>
        <w:tc>
          <w:tcPr>
            <w:tcW w:w="1912" w:type="dxa"/>
            <w:vAlign w:val="center"/>
          </w:tcPr>
          <w:p w14:paraId="0AE7A083">
            <w:pPr>
              <w:pStyle w:val="34"/>
            </w:pPr>
            <w:r>
              <w:t>60 mg/m</w:t>
            </w:r>
            <w:r>
              <w:rPr>
                <w:vertAlign w:val="superscript"/>
              </w:rPr>
              <w:t>3</w:t>
            </w:r>
          </w:p>
        </w:tc>
        <w:tc>
          <w:tcPr>
            <w:tcW w:w="2107" w:type="dxa"/>
            <w:vMerge w:val="restart"/>
            <w:vAlign w:val="center"/>
          </w:tcPr>
          <w:p w14:paraId="73058B3E">
            <w:pPr>
              <w:pStyle w:val="34"/>
            </w:pPr>
            <w:r>
              <w:t>LD50:4300 mg/kg（大鼠经口）</w:t>
            </w:r>
          </w:p>
        </w:tc>
      </w:tr>
      <w:tr w14:paraId="119103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5AA47402">
            <w:pPr>
              <w:pStyle w:val="34"/>
            </w:pPr>
          </w:p>
        </w:tc>
        <w:tc>
          <w:tcPr>
            <w:tcW w:w="3117" w:type="dxa"/>
            <w:vAlign w:val="center"/>
          </w:tcPr>
          <w:p w14:paraId="720348B1">
            <w:pPr>
              <w:pStyle w:val="34"/>
            </w:pPr>
            <w:r>
              <w:t>中国PC职业接触限值</w:t>
            </w:r>
          </w:p>
        </w:tc>
        <w:tc>
          <w:tcPr>
            <w:tcW w:w="1912" w:type="dxa"/>
            <w:vAlign w:val="center"/>
          </w:tcPr>
          <w:p w14:paraId="03089196">
            <w:pPr>
              <w:pStyle w:val="34"/>
            </w:pPr>
            <w:r>
              <w:t>50 mg/m</w:t>
            </w:r>
            <w:r>
              <w:rPr>
                <w:vertAlign w:val="superscript"/>
              </w:rPr>
              <w:t>3</w:t>
            </w:r>
          </w:p>
        </w:tc>
        <w:tc>
          <w:tcPr>
            <w:tcW w:w="2107" w:type="dxa"/>
            <w:vMerge w:val="continue"/>
            <w:vAlign w:val="center"/>
          </w:tcPr>
          <w:p w14:paraId="7AC5CE87">
            <w:pPr>
              <w:pStyle w:val="34"/>
            </w:pPr>
          </w:p>
        </w:tc>
      </w:tr>
      <w:tr w14:paraId="7B67E6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restart"/>
            <w:vAlign w:val="center"/>
          </w:tcPr>
          <w:p w14:paraId="0335FED3">
            <w:pPr>
              <w:pStyle w:val="34"/>
            </w:pPr>
            <w:r>
              <w:t>镉化合物</w:t>
            </w:r>
          </w:p>
        </w:tc>
        <w:tc>
          <w:tcPr>
            <w:tcW w:w="3117" w:type="dxa"/>
            <w:vAlign w:val="center"/>
          </w:tcPr>
          <w:p w14:paraId="497D98F4">
            <w:pPr>
              <w:pStyle w:val="34"/>
            </w:pPr>
            <w:r>
              <w:t>《食品中污染物限量》</w:t>
            </w:r>
          </w:p>
        </w:tc>
        <w:tc>
          <w:tcPr>
            <w:tcW w:w="1912" w:type="dxa"/>
            <w:vAlign w:val="center"/>
          </w:tcPr>
          <w:p w14:paraId="72619A3D">
            <w:pPr>
              <w:pStyle w:val="34"/>
            </w:pPr>
            <w:r>
              <w:t>0.1mg/kg（鱼类）</w:t>
            </w:r>
          </w:p>
        </w:tc>
        <w:tc>
          <w:tcPr>
            <w:tcW w:w="2107" w:type="dxa"/>
            <w:vMerge w:val="restart"/>
            <w:vAlign w:val="center"/>
          </w:tcPr>
          <w:p w14:paraId="2566FF96">
            <w:pPr>
              <w:pStyle w:val="34"/>
            </w:pPr>
            <w:r>
              <w:t>LD50:888mg/kg(小鼠经口)</w:t>
            </w:r>
          </w:p>
        </w:tc>
      </w:tr>
      <w:tr w14:paraId="75BB7B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5C0FE600">
            <w:pPr>
              <w:pStyle w:val="34"/>
            </w:pPr>
          </w:p>
        </w:tc>
        <w:tc>
          <w:tcPr>
            <w:tcW w:w="3117" w:type="dxa"/>
            <w:vAlign w:val="center"/>
          </w:tcPr>
          <w:p w14:paraId="68F77FD0">
            <w:pPr>
              <w:pStyle w:val="34"/>
            </w:pPr>
            <w:r>
              <w:t>中国PC职业接触限值</w:t>
            </w:r>
          </w:p>
        </w:tc>
        <w:tc>
          <w:tcPr>
            <w:tcW w:w="1912" w:type="dxa"/>
            <w:vAlign w:val="center"/>
          </w:tcPr>
          <w:p w14:paraId="79EF4B64">
            <w:pPr>
              <w:pStyle w:val="34"/>
            </w:pPr>
            <w:r>
              <w:t>0.05 mg/m</w:t>
            </w:r>
            <w:r>
              <w:rPr>
                <w:vertAlign w:val="superscript"/>
              </w:rPr>
              <w:t>3</w:t>
            </w:r>
          </w:p>
        </w:tc>
        <w:tc>
          <w:tcPr>
            <w:tcW w:w="2107" w:type="dxa"/>
            <w:vMerge w:val="continue"/>
            <w:vAlign w:val="center"/>
          </w:tcPr>
          <w:p w14:paraId="6C2C2CB1">
            <w:pPr>
              <w:pStyle w:val="34"/>
            </w:pPr>
          </w:p>
        </w:tc>
      </w:tr>
    </w:tbl>
    <w:p w14:paraId="5EA92FE2">
      <w:pPr>
        <w:pStyle w:val="5"/>
      </w:pPr>
      <w:r>
        <w:rPr>
          <w:rFonts w:hint="eastAsia"/>
        </w:rPr>
        <w:t>生产</w:t>
      </w:r>
      <w:r>
        <w:t>系统危险性识别</w:t>
      </w:r>
    </w:p>
    <w:p w14:paraId="1B9ED8F4">
      <w:pPr>
        <w:ind w:firstLine="437"/>
      </w:pPr>
      <w:r>
        <w:rPr>
          <w:rFonts w:hint="eastAsia"/>
        </w:rPr>
        <w:t>项目设置危险货物专用堆场，根据项目工艺流程和平面布置功能区划，结合项目物质特性，将本码头前沿、危险货物堆场等区域划分为危险单元。评价不考虑人为破坏和自然灾害如地震、洪水、台风等所引起的风险，各单元风险识别见表5</w:t>
      </w:r>
      <w:r>
        <w:t>.2-</w:t>
      </w:r>
      <w:r>
        <w:rPr>
          <w:rFonts w:hint="eastAsia"/>
        </w:rPr>
        <w:t>6。</w:t>
      </w:r>
    </w:p>
    <w:p w14:paraId="37F5D90A">
      <w:pPr>
        <w:pStyle w:val="7"/>
      </w:pPr>
      <w:r>
        <w:t>本工程各工艺环节主要风险类型及特征</w:t>
      </w:r>
    </w:p>
    <w:tbl>
      <w:tblPr>
        <w:tblStyle w:val="88"/>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211"/>
        <w:gridCol w:w="2585"/>
        <w:gridCol w:w="4531"/>
      </w:tblGrid>
      <w:tr w14:paraId="0FEA917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tblHeader/>
          <w:jc w:val="center"/>
        </w:trPr>
        <w:tc>
          <w:tcPr>
            <w:tcW w:w="1211" w:type="dxa"/>
            <w:vAlign w:val="center"/>
          </w:tcPr>
          <w:p w14:paraId="6D942AA6">
            <w:pPr>
              <w:pStyle w:val="34"/>
              <w:rPr>
                <w:lang w:eastAsia="en-US"/>
              </w:rPr>
            </w:pPr>
            <w:r>
              <w:rPr>
                <w:rFonts w:hint="eastAsia"/>
              </w:rPr>
              <w:t>危险单元</w:t>
            </w:r>
          </w:p>
        </w:tc>
        <w:tc>
          <w:tcPr>
            <w:tcW w:w="2585" w:type="dxa"/>
            <w:vAlign w:val="center"/>
          </w:tcPr>
          <w:p w14:paraId="68351039">
            <w:pPr>
              <w:pStyle w:val="34"/>
              <w:rPr>
                <w:lang w:eastAsia="en-US"/>
              </w:rPr>
            </w:pPr>
            <w:r>
              <w:rPr>
                <w:lang w:eastAsia="en-US"/>
              </w:rPr>
              <w:t>危险</w:t>
            </w:r>
            <w:r>
              <w:rPr>
                <w:rFonts w:hint="eastAsia"/>
              </w:rPr>
              <w:t>因素</w:t>
            </w:r>
          </w:p>
        </w:tc>
        <w:tc>
          <w:tcPr>
            <w:tcW w:w="4531" w:type="dxa"/>
            <w:vAlign w:val="center"/>
          </w:tcPr>
          <w:p w14:paraId="56BC4687">
            <w:pPr>
              <w:pStyle w:val="34"/>
            </w:pPr>
            <w:r>
              <w:rPr>
                <w:rFonts w:hint="eastAsia"/>
              </w:rPr>
              <w:t>危害后果</w:t>
            </w:r>
          </w:p>
        </w:tc>
      </w:tr>
      <w:tr w14:paraId="0336242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1211" w:type="dxa"/>
            <w:vAlign w:val="center"/>
          </w:tcPr>
          <w:p w14:paraId="34DC708E">
            <w:pPr>
              <w:pStyle w:val="34"/>
            </w:pPr>
            <w:r>
              <w:rPr>
                <w:rFonts w:hint="eastAsia"/>
              </w:rPr>
              <w:t>到港船舶船舱</w:t>
            </w:r>
          </w:p>
        </w:tc>
        <w:tc>
          <w:tcPr>
            <w:tcW w:w="2585" w:type="dxa"/>
            <w:vAlign w:val="center"/>
          </w:tcPr>
          <w:p w14:paraId="07D6D301">
            <w:pPr>
              <w:pStyle w:val="34"/>
            </w:pPr>
            <w:r>
              <w:t>运输</w:t>
            </w:r>
            <w:r>
              <w:rPr>
                <w:rFonts w:hint="eastAsia"/>
              </w:rPr>
              <w:t>船舶</w:t>
            </w:r>
            <w:r>
              <w:t>操作不当</w:t>
            </w:r>
            <w:r>
              <w:rPr>
                <w:rFonts w:hint="eastAsia"/>
              </w:rPr>
              <w:t>、船舶与码头碰撞，导致危险物质包装及集装箱损坏或掉落，危险物质泄漏到海域</w:t>
            </w:r>
          </w:p>
        </w:tc>
        <w:tc>
          <w:tcPr>
            <w:tcW w:w="4531" w:type="dxa"/>
            <w:vAlign w:val="center"/>
          </w:tcPr>
          <w:p w14:paraId="5769718D">
            <w:pPr>
              <w:pStyle w:val="34"/>
            </w:pPr>
            <w:r>
              <w:rPr>
                <w:rFonts w:hint="eastAsia"/>
              </w:rPr>
              <w:t>燃油等油品，酸性、碱性、可溶性危险物质泄漏导致钦州湾局部海域形成油膜、改变局部海域的pH值，影响海洋水生生物的生长和存活。</w:t>
            </w:r>
          </w:p>
        </w:tc>
      </w:tr>
      <w:tr w14:paraId="5B6A2A2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1211" w:type="dxa"/>
            <w:vAlign w:val="center"/>
          </w:tcPr>
          <w:p w14:paraId="4F160EFD">
            <w:pPr>
              <w:pStyle w:val="34"/>
            </w:pPr>
            <w:r>
              <w:rPr>
                <w:rFonts w:hint="eastAsia"/>
              </w:rPr>
              <w:t>码头前沿装卸作业区</w:t>
            </w:r>
          </w:p>
        </w:tc>
        <w:tc>
          <w:tcPr>
            <w:tcW w:w="2585" w:type="dxa"/>
            <w:vAlign w:val="center"/>
          </w:tcPr>
          <w:p w14:paraId="1C49CE71">
            <w:pPr>
              <w:pStyle w:val="34"/>
            </w:pPr>
            <w:r>
              <w:rPr>
                <w:rFonts w:hint="eastAsia"/>
              </w:rPr>
              <w:t>装卸机械、岸桥等</w:t>
            </w:r>
            <w:r>
              <w:t>设备</w:t>
            </w:r>
            <w:r>
              <w:rPr>
                <w:rFonts w:hint="eastAsia"/>
              </w:rPr>
              <w:t>故障造成危险物质脱落、摔坏等，导致危险物质包装及集装箱损坏或掉落，危险物质泄漏到海域或泄漏至码头前沿陆域</w:t>
            </w:r>
          </w:p>
        </w:tc>
        <w:tc>
          <w:tcPr>
            <w:tcW w:w="4531" w:type="dxa"/>
            <w:vAlign w:val="center"/>
          </w:tcPr>
          <w:p w14:paraId="568176F4">
            <w:pPr>
              <w:pStyle w:val="34"/>
            </w:pPr>
            <w:r>
              <w:rPr>
                <w:rFonts w:hint="eastAsia"/>
              </w:rPr>
              <w:t>燃油等油品，酸性、碱性、可溶性危险物质泄漏导致钦州湾局部海域形成油膜、改变局部海域的pH值，影响海洋水生生物的生长和存活。</w:t>
            </w:r>
          </w:p>
          <w:p w14:paraId="3FBD476E">
            <w:pPr>
              <w:pStyle w:val="34"/>
            </w:pPr>
            <w:r>
              <w:rPr>
                <w:rFonts w:hint="eastAsia"/>
              </w:rPr>
              <w:t>烟花爆竹、化学品等可燃物质泄漏遇火源发生火灾，CO、SO</w:t>
            </w:r>
            <w:r>
              <w:rPr>
                <w:rFonts w:hint="eastAsia"/>
                <w:vertAlign w:val="subscript"/>
              </w:rPr>
              <w:t>2</w:t>
            </w:r>
            <w:r>
              <w:rPr>
                <w:rFonts w:hint="eastAsia"/>
              </w:rPr>
              <w:t>等大气污染物污染周边大气。</w:t>
            </w:r>
          </w:p>
        </w:tc>
      </w:tr>
      <w:tr w14:paraId="69D4BA2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1211" w:type="dxa"/>
            <w:vAlign w:val="center"/>
          </w:tcPr>
          <w:p w14:paraId="12E079FB">
            <w:pPr>
              <w:pStyle w:val="34"/>
            </w:pPr>
            <w:r>
              <w:rPr>
                <w:rFonts w:hint="eastAsia"/>
              </w:rPr>
              <w:t>危险货物堆场</w:t>
            </w:r>
          </w:p>
        </w:tc>
        <w:tc>
          <w:tcPr>
            <w:tcW w:w="2585" w:type="dxa"/>
            <w:vAlign w:val="center"/>
          </w:tcPr>
          <w:p w14:paraId="48B45B2A">
            <w:pPr>
              <w:pStyle w:val="34"/>
            </w:pPr>
            <w:r>
              <w:rPr>
                <w:rFonts w:hint="eastAsia"/>
              </w:rPr>
              <w:t>危险货物堆存过程中，设备故障导致危险物质包装及集装箱损坏，危险物质泄漏到陆域</w:t>
            </w:r>
          </w:p>
        </w:tc>
        <w:tc>
          <w:tcPr>
            <w:tcW w:w="4531" w:type="dxa"/>
            <w:vAlign w:val="center"/>
          </w:tcPr>
          <w:p w14:paraId="4A1A30F3">
            <w:pPr>
              <w:pStyle w:val="34"/>
            </w:pPr>
            <w:r>
              <w:rPr>
                <w:rFonts w:hint="eastAsia"/>
              </w:rPr>
              <w:t>危险物质包装破损、泄漏，化学品中易挥发物质遇热、明火、火花，会快速引起火灾、爆炸，引起吸入足量未燃烧有毒气体及燃烧产物CO的周围人员中毒，可燃危险物遇明火引起火灾，CO、SO</w:t>
            </w:r>
            <w:r>
              <w:rPr>
                <w:rFonts w:hint="eastAsia"/>
                <w:vertAlign w:val="subscript"/>
              </w:rPr>
              <w:t>2</w:t>
            </w:r>
            <w:r>
              <w:rPr>
                <w:rFonts w:hint="eastAsia"/>
              </w:rPr>
              <w:t>等大气污染物污染周边大气。</w:t>
            </w:r>
          </w:p>
        </w:tc>
      </w:tr>
      <w:tr w14:paraId="171792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1211" w:type="dxa"/>
            <w:vAlign w:val="center"/>
          </w:tcPr>
          <w:p w14:paraId="20F78A19">
            <w:pPr>
              <w:pStyle w:val="34"/>
            </w:pPr>
            <w:r>
              <w:rPr>
                <w:rFonts w:hint="eastAsia"/>
              </w:rPr>
              <w:t>运输道路</w:t>
            </w:r>
          </w:p>
        </w:tc>
        <w:tc>
          <w:tcPr>
            <w:tcW w:w="2585" w:type="dxa"/>
            <w:vAlign w:val="center"/>
          </w:tcPr>
          <w:p w14:paraId="53799F92">
            <w:pPr>
              <w:pStyle w:val="34"/>
            </w:pPr>
            <w:r>
              <w:rPr>
                <w:rFonts w:hint="eastAsia"/>
              </w:rPr>
              <w:t>危险货物由港外集卡运输出港过程中由交通事故导致危险物质包装及集装箱损坏，危险物质泄漏到陆域</w:t>
            </w:r>
          </w:p>
        </w:tc>
        <w:tc>
          <w:tcPr>
            <w:tcW w:w="4531" w:type="dxa"/>
            <w:vAlign w:val="center"/>
          </w:tcPr>
          <w:p w14:paraId="7BEB909B">
            <w:pPr>
              <w:pStyle w:val="34"/>
            </w:pPr>
            <w:r>
              <w:rPr>
                <w:rFonts w:hint="eastAsia"/>
              </w:rPr>
              <w:t>危险物质包装破损、泄漏，化学品中易挥发物质遇热、明火、火花，会快速引起火灾、爆炸，引起吸入足量未燃烧有毒气体及燃烧产物CO的周围人员中毒，可燃危险物遇明火引起火灾，CO、SO</w:t>
            </w:r>
            <w:r>
              <w:rPr>
                <w:rFonts w:hint="eastAsia"/>
                <w:vertAlign w:val="subscript"/>
              </w:rPr>
              <w:t>2</w:t>
            </w:r>
            <w:r>
              <w:rPr>
                <w:rFonts w:hint="eastAsia"/>
              </w:rPr>
              <w:t>等大气污染物污染周边大气。</w:t>
            </w:r>
          </w:p>
        </w:tc>
      </w:tr>
    </w:tbl>
    <w:p w14:paraId="7E4BE832">
      <w:pPr>
        <w:pStyle w:val="5"/>
      </w:pPr>
      <w:r>
        <w:t>风险类型及危害分析</w:t>
      </w:r>
    </w:p>
    <w:p w14:paraId="4117CBB0">
      <w:pPr>
        <w:ind w:firstLine="437"/>
      </w:pPr>
      <w:r>
        <w:rPr>
          <w:rFonts w:hint="eastAsia"/>
        </w:rPr>
        <w:t>项目建成后包含危险货物装卸、堆存及场内运输作业；场区外的陆运、水运由货主和运输单位负责，故本次评价只对码头前沿水域、项目陆域范围内可能发生的风险事故进行分析。</w:t>
      </w:r>
    </w:p>
    <w:p w14:paraId="43D2E54F">
      <w:pPr>
        <w:pStyle w:val="6"/>
      </w:pPr>
      <w:r>
        <w:t>水上运输污染事故致因分析</w:t>
      </w:r>
    </w:p>
    <w:p w14:paraId="0CB3E6C9">
      <w:pPr>
        <w:ind w:firstLine="437"/>
      </w:pPr>
      <w:r>
        <w:rPr>
          <w:rFonts w:hint="eastAsia"/>
        </w:rPr>
        <w:t>水上运输事故主要发生地点为码头装卸区前沿水域、航道、锚地，可能发生的事故情形为船舶进出港口时，因碰撞、触礁、搁浅、操作失误、船舶结构缺陷、阀门腐蚀等因素，导致船舱破损引起燃油、危险货物等泄漏，或者是危险货物集装箱掉入海中，或者是危险货物包装损坏、物质泄漏至海域，其中船舱破损燃油泄漏、危险货物泄漏入海的可能性相对较大。</w:t>
      </w:r>
    </w:p>
    <w:p w14:paraId="6CA973C0">
      <w:pPr>
        <w:pStyle w:val="7"/>
      </w:pPr>
      <w:r>
        <w:rPr>
          <w:rFonts w:hint="eastAsia"/>
        </w:rPr>
        <w:t>典型水上运输污染事故诱因归纳表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17"/>
        <w:gridCol w:w="709"/>
        <w:gridCol w:w="6996"/>
      </w:tblGrid>
      <w:tr w14:paraId="604F09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14:paraId="3BCA7893">
            <w:pPr>
              <w:pStyle w:val="34"/>
            </w:pPr>
            <w:r>
              <w:rPr>
                <w:rFonts w:hint="eastAsia"/>
              </w:rPr>
              <w:t>发生</w:t>
            </w:r>
          </w:p>
          <w:p w14:paraId="61806190">
            <w:pPr>
              <w:pStyle w:val="34"/>
            </w:pPr>
            <w:r>
              <w:rPr>
                <w:rFonts w:hint="eastAsia"/>
              </w:rPr>
              <w:t>地点</w:t>
            </w:r>
          </w:p>
        </w:tc>
        <w:tc>
          <w:tcPr>
            <w:tcW w:w="709" w:type="dxa"/>
            <w:vAlign w:val="center"/>
          </w:tcPr>
          <w:p w14:paraId="152BBA11">
            <w:pPr>
              <w:pStyle w:val="34"/>
            </w:pPr>
            <w:r>
              <w:rPr>
                <w:rFonts w:hint="eastAsia"/>
              </w:rPr>
              <w:t>发生源</w:t>
            </w:r>
          </w:p>
        </w:tc>
        <w:tc>
          <w:tcPr>
            <w:tcW w:w="6996" w:type="dxa"/>
            <w:vAlign w:val="center"/>
          </w:tcPr>
          <w:p w14:paraId="498DCF1B">
            <w:pPr>
              <w:pStyle w:val="34"/>
            </w:pPr>
            <w:r>
              <w:rPr>
                <w:rFonts w:hint="eastAsia"/>
              </w:rPr>
              <w:t>代表性发生原因</w:t>
            </w:r>
          </w:p>
        </w:tc>
      </w:tr>
      <w:tr w14:paraId="648ACD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14:paraId="533563B6">
            <w:pPr>
              <w:pStyle w:val="34"/>
            </w:pPr>
            <w:r>
              <w:rPr>
                <w:rFonts w:hint="eastAsia"/>
              </w:rPr>
              <w:t>前沿水域</w:t>
            </w:r>
          </w:p>
        </w:tc>
        <w:tc>
          <w:tcPr>
            <w:tcW w:w="709" w:type="dxa"/>
            <w:vAlign w:val="center"/>
          </w:tcPr>
          <w:p w14:paraId="423F24F8">
            <w:pPr>
              <w:pStyle w:val="34"/>
            </w:pPr>
            <w:r>
              <w:rPr>
                <w:rFonts w:hint="eastAsia"/>
              </w:rPr>
              <w:t>船舶</w:t>
            </w:r>
          </w:p>
        </w:tc>
        <w:tc>
          <w:tcPr>
            <w:tcW w:w="6996" w:type="dxa"/>
            <w:vAlign w:val="center"/>
          </w:tcPr>
          <w:p w14:paraId="0B7A0E7F">
            <w:pPr>
              <w:pStyle w:val="34"/>
            </w:pPr>
            <w:r>
              <w:rPr>
                <w:rFonts w:hint="eastAsia"/>
              </w:rPr>
              <w:t>触礁、搁浅、船与船碰撞、恶劣海况（雾、台风）、火灾爆炸、溢出泄漏</w:t>
            </w:r>
          </w:p>
        </w:tc>
      </w:tr>
      <w:tr w14:paraId="7814B3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14:paraId="3C05AC4E">
            <w:pPr>
              <w:pStyle w:val="34"/>
            </w:pPr>
            <w:r>
              <w:rPr>
                <w:rFonts w:hint="eastAsia"/>
              </w:rPr>
              <w:t>航道</w:t>
            </w:r>
          </w:p>
        </w:tc>
        <w:tc>
          <w:tcPr>
            <w:tcW w:w="709" w:type="dxa"/>
            <w:vAlign w:val="center"/>
          </w:tcPr>
          <w:p w14:paraId="40AFF1B8">
            <w:pPr>
              <w:pStyle w:val="34"/>
            </w:pPr>
            <w:r>
              <w:rPr>
                <w:rFonts w:hint="eastAsia"/>
              </w:rPr>
              <w:t>船舶</w:t>
            </w:r>
          </w:p>
        </w:tc>
        <w:tc>
          <w:tcPr>
            <w:tcW w:w="6996" w:type="dxa"/>
            <w:vAlign w:val="center"/>
          </w:tcPr>
          <w:p w14:paraId="38D90154">
            <w:pPr>
              <w:pStyle w:val="34"/>
            </w:pPr>
            <w:r>
              <w:rPr>
                <w:rFonts w:hint="eastAsia"/>
              </w:rPr>
              <w:t>触礁、搁浅、船与船碰撞、恶劣海况（雾、台风）、火灾爆炸、溢出泄漏</w:t>
            </w:r>
          </w:p>
        </w:tc>
      </w:tr>
      <w:tr w14:paraId="408EB2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14:paraId="4D25FB20">
            <w:pPr>
              <w:pStyle w:val="34"/>
            </w:pPr>
            <w:r>
              <w:rPr>
                <w:rFonts w:hint="eastAsia"/>
              </w:rPr>
              <w:t>锚地</w:t>
            </w:r>
          </w:p>
        </w:tc>
        <w:tc>
          <w:tcPr>
            <w:tcW w:w="709" w:type="dxa"/>
            <w:vAlign w:val="center"/>
          </w:tcPr>
          <w:p w14:paraId="451FC8C6">
            <w:pPr>
              <w:pStyle w:val="34"/>
            </w:pPr>
            <w:r>
              <w:rPr>
                <w:rFonts w:hint="eastAsia"/>
              </w:rPr>
              <w:t>船舶</w:t>
            </w:r>
          </w:p>
        </w:tc>
        <w:tc>
          <w:tcPr>
            <w:tcW w:w="6996" w:type="dxa"/>
            <w:vAlign w:val="center"/>
          </w:tcPr>
          <w:p w14:paraId="6F663F13">
            <w:pPr>
              <w:pStyle w:val="34"/>
            </w:pPr>
            <w:r>
              <w:t>船与船相撞、火灾爆炸、溢出泄漏</w:t>
            </w:r>
          </w:p>
        </w:tc>
      </w:tr>
      <w:tr w14:paraId="0109AF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14:paraId="3D5D7A5E">
            <w:pPr>
              <w:pStyle w:val="34"/>
            </w:pPr>
            <w:r>
              <w:rPr>
                <w:rFonts w:hint="eastAsia"/>
              </w:rPr>
              <w:t>港池</w:t>
            </w:r>
          </w:p>
        </w:tc>
        <w:tc>
          <w:tcPr>
            <w:tcW w:w="709" w:type="dxa"/>
            <w:vAlign w:val="center"/>
          </w:tcPr>
          <w:p w14:paraId="462C4728">
            <w:pPr>
              <w:pStyle w:val="34"/>
            </w:pPr>
            <w:r>
              <w:rPr>
                <w:rFonts w:hint="eastAsia"/>
              </w:rPr>
              <w:t>船舶</w:t>
            </w:r>
          </w:p>
        </w:tc>
        <w:tc>
          <w:tcPr>
            <w:tcW w:w="6996" w:type="dxa"/>
            <w:vAlign w:val="center"/>
          </w:tcPr>
          <w:p w14:paraId="2BB2AFA9">
            <w:pPr>
              <w:pStyle w:val="34"/>
            </w:pPr>
            <w:r>
              <w:t>船与船相撞、船与码头相撞、操作失误、火灾爆炸、溢出泄漏</w:t>
            </w:r>
          </w:p>
        </w:tc>
      </w:tr>
    </w:tbl>
    <w:p w14:paraId="6BB0CB88">
      <w:pPr>
        <w:pStyle w:val="6"/>
      </w:pPr>
      <w:r>
        <w:t>装卸作业风险识别</w:t>
      </w:r>
    </w:p>
    <w:p w14:paraId="787D05B5">
      <w:pPr>
        <w:ind w:firstLine="437"/>
      </w:pPr>
      <w:r>
        <w:rPr>
          <w:rFonts w:hint="eastAsia"/>
        </w:rPr>
        <w:t>装卸事故主要发生地点为码头装卸区。根据装卸工艺可知装卸由岸桥、</w:t>
      </w:r>
      <w:bookmarkStart w:id="546" w:name="OLE_LINK186"/>
      <w:r>
        <w:rPr>
          <w:bCs/>
          <w:lang w:bidi="ar"/>
        </w:rPr>
        <w:t>IGV</w:t>
      </w:r>
      <w:bookmarkEnd w:id="546"/>
      <w:r>
        <w:rPr>
          <w:rFonts w:hint="eastAsia"/>
        </w:rPr>
        <w:t>完成货物装船和卸船作业。码头装卸区可能发生的事故情形为操作人员违规操作、起吊设备故障等导致集装箱掉落，掉落的集装箱撞击到海岸或船上的堆叠集装箱，冲击力使危险货物包装损坏、集装箱阀门松动或打开，进一步导致危险物质泄漏到海里或陆域。</w:t>
      </w:r>
    </w:p>
    <w:p w14:paraId="6F50EC4F">
      <w:pPr>
        <w:ind w:firstLine="437"/>
      </w:pPr>
      <w:r>
        <w:t>该项目采用的集装箱装卸设备及工艺属于常规工艺，危险货物集装箱在码头面的装卸作业时间不足1分钟，</w:t>
      </w:r>
      <w:r>
        <w:rPr>
          <w:bCs/>
          <w:lang w:bidi="ar"/>
        </w:rPr>
        <w:t>IGV</w:t>
      </w:r>
      <w:r>
        <w:t>在码头面及引桥上水平运输的控制车速为</w:t>
      </w:r>
      <w:r>
        <w:rPr>
          <w:rFonts w:hint="eastAsia"/>
        </w:rPr>
        <w:t>5</w:t>
      </w:r>
      <w:r>
        <w:t>km/h，码头面运输总长度不大于</w:t>
      </w:r>
      <w:r>
        <w:rPr>
          <w:rFonts w:hint="eastAsia"/>
        </w:rPr>
        <w:t>2.5k</w:t>
      </w:r>
      <w:r>
        <w:t>m，因此危险货物在码头引桥区域停留总时间不超过</w:t>
      </w:r>
      <w:r>
        <w:rPr>
          <w:rFonts w:hint="eastAsia"/>
        </w:rPr>
        <w:t>30</w:t>
      </w:r>
      <w:r>
        <w:t>分钟，由于危险货物集装箱在码头区域停留时间短，在严格采取危险货物装卸作业事故预防措施的情况下，发生环境污染事故的概率极低。项目配备</w:t>
      </w:r>
      <w:r>
        <w:rPr>
          <w:rFonts w:hint="eastAsia"/>
        </w:rPr>
        <w:t>移动式</w:t>
      </w:r>
      <w:r>
        <w:t>应急处置池及</w:t>
      </w:r>
      <w:r>
        <w:rPr>
          <w:rFonts w:hint="eastAsia"/>
        </w:rPr>
        <w:t>风险</w:t>
      </w:r>
      <w:r>
        <w:t>防范物资，为防止装卸期间的环境污染事故的发生，在进行危险货物集装箱装卸作业期间，</w:t>
      </w:r>
      <w:r>
        <w:rPr>
          <w:rFonts w:hint="eastAsia"/>
        </w:rPr>
        <w:t>在码头前沿</w:t>
      </w:r>
      <w:r>
        <w:t>布置应急处置池，一旦发生异常，直接将故障集装箱放到</w:t>
      </w:r>
      <w:r>
        <w:rPr>
          <w:rFonts w:hint="eastAsia"/>
        </w:rPr>
        <w:t>应急处置池</w:t>
      </w:r>
      <w:r>
        <w:t>内，极端情况下转运到陆域进行处理。</w:t>
      </w:r>
    </w:p>
    <w:p w14:paraId="0E8680C6">
      <w:pPr>
        <w:pStyle w:val="6"/>
      </w:pPr>
      <w:r>
        <w:t>陆上运输、堆存</w:t>
      </w:r>
    </w:p>
    <w:p w14:paraId="5906D8F6">
      <w:pPr>
        <w:ind w:firstLine="437"/>
      </w:pPr>
      <w:r>
        <w:rPr>
          <w:rFonts w:hint="eastAsia"/>
        </w:rPr>
        <w:t>陆上运输、堆存事故主要发生地点为码头运输道路及危险货物堆场，因为交通事故、机械故障导致危险物质包装及集装箱损坏，危险物质泄漏到陆域。</w:t>
      </w:r>
    </w:p>
    <w:p w14:paraId="76BE3592">
      <w:pPr>
        <w:pStyle w:val="7"/>
      </w:pPr>
      <w:r>
        <w:rPr>
          <w:rFonts w:hint="eastAsia"/>
        </w:rPr>
        <w:t>典型运输事故原因参考表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27"/>
        <w:gridCol w:w="7395"/>
      </w:tblGrid>
      <w:tr w14:paraId="39CE10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27" w:type="dxa"/>
            <w:vAlign w:val="center"/>
          </w:tcPr>
          <w:p w14:paraId="7A1A2AEE">
            <w:pPr>
              <w:pStyle w:val="34"/>
            </w:pPr>
            <w:r>
              <w:rPr>
                <w:rFonts w:hint="eastAsia"/>
              </w:rPr>
              <w:t>事故类型</w:t>
            </w:r>
          </w:p>
        </w:tc>
        <w:tc>
          <w:tcPr>
            <w:tcW w:w="7395" w:type="dxa"/>
            <w:vAlign w:val="center"/>
          </w:tcPr>
          <w:p w14:paraId="58EDE744">
            <w:pPr>
              <w:pStyle w:val="34"/>
            </w:pPr>
            <w:r>
              <w:rPr>
                <w:rFonts w:hint="eastAsia"/>
              </w:rPr>
              <w:t>发生原因</w:t>
            </w:r>
          </w:p>
        </w:tc>
      </w:tr>
      <w:tr w14:paraId="751AA9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27" w:type="dxa"/>
            <w:vAlign w:val="center"/>
          </w:tcPr>
          <w:p w14:paraId="3167F818">
            <w:pPr>
              <w:pStyle w:val="34"/>
            </w:pPr>
            <w:r>
              <w:rPr>
                <w:rFonts w:hint="eastAsia"/>
              </w:rPr>
              <w:t>碰撞追尾</w:t>
            </w:r>
          </w:p>
        </w:tc>
        <w:tc>
          <w:tcPr>
            <w:tcW w:w="7395" w:type="dxa"/>
            <w:vAlign w:val="center"/>
          </w:tcPr>
          <w:p w14:paraId="7CA58635">
            <w:pPr>
              <w:pStyle w:val="34"/>
            </w:pPr>
            <w:r>
              <w:rPr>
                <w:rFonts w:hint="eastAsia"/>
              </w:rPr>
              <w:t>恶劣海况和天气（台风、雾）、车速过快、疲劳驾驶、酒后开车</w:t>
            </w:r>
          </w:p>
        </w:tc>
      </w:tr>
      <w:tr w14:paraId="7F2C0A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27" w:type="dxa"/>
            <w:vAlign w:val="center"/>
          </w:tcPr>
          <w:p w14:paraId="1AD6EC7F">
            <w:pPr>
              <w:pStyle w:val="34"/>
            </w:pPr>
            <w:r>
              <w:rPr>
                <w:rFonts w:hint="eastAsia"/>
              </w:rPr>
              <w:t>溢出泄漏</w:t>
            </w:r>
          </w:p>
        </w:tc>
        <w:tc>
          <w:tcPr>
            <w:tcW w:w="7395" w:type="dxa"/>
            <w:vAlign w:val="center"/>
          </w:tcPr>
          <w:p w14:paraId="423B7CB5">
            <w:pPr>
              <w:pStyle w:val="34"/>
            </w:pPr>
            <w:r>
              <w:t>汽车交通事故、碰撞追尾、设备机械故障、包装破损</w:t>
            </w:r>
          </w:p>
        </w:tc>
      </w:tr>
      <w:tr w14:paraId="5CDD35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27" w:type="dxa"/>
            <w:vAlign w:val="center"/>
          </w:tcPr>
          <w:p w14:paraId="57AB80B5">
            <w:pPr>
              <w:pStyle w:val="34"/>
            </w:pPr>
            <w:r>
              <w:rPr>
                <w:rFonts w:hint="eastAsia"/>
              </w:rPr>
              <w:t>火灾爆炸</w:t>
            </w:r>
          </w:p>
        </w:tc>
        <w:tc>
          <w:tcPr>
            <w:tcW w:w="7395" w:type="dxa"/>
            <w:vAlign w:val="center"/>
          </w:tcPr>
          <w:p w14:paraId="69758787">
            <w:pPr>
              <w:pStyle w:val="34"/>
            </w:pPr>
            <w:r>
              <w:t>汽车交通事故、操作失误、设备机械故障、溢出泄漏</w:t>
            </w:r>
          </w:p>
        </w:tc>
      </w:tr>
    </w:tbl>
    <w:p w14:paraId="2D672CE2">
      <w:pPr>
        <w:pStyle w:val="6"/>
      </w:pPr>
      <w:r>
        <w:t>化学品渗漏至地下水环境</w:t>
      </w:r>
    </w:p>
    <w:p w14:paraId="6A31A148">
      <w:pPr>
        <w:ind w:firstLine="437"/>
        <w:rPr>
          <w:bCs/>
        </w:rPr>
      </w:pPr>
      <w:r>
        <w:rPr>
          <w:rFonts w:hint="eastAsia"/>
        </w:rPr>
        <w:t>项目运营期对地下水的环境风险影响主要为危险货物集装箱运输时，发生危险品泄漏事故，从集装箱中泄漏的溶液在地面漫流至有裂缝处，或泄露的危险化学品进入雨水管网渗漏，导致事故液体下渗进入地下水环境</w:t>
      </w:r>
      <w:r>
        <w:rPr>
          <w:rFonts w:hint="eastAsia"/>
          <w:bCs/>
        </w:rPr>
        <w:t>。化学品泄露至地下水环境的危险单元主要包括：</w:t>
      </w:r>
    </w:p>
    <w:p w14:paraId="0D05366E">
      <w:pPr>
        <w:ind w:firstLine="437"/>
        <w:rPr>
          <w:bCs/>
        </w:rPr>
      </w:pPr>
      <w:r>
        <w:rPr>
          <w:rFonts w:hint="eastAsia"/>
          <w:bCs/>
        </w:rPr>
        <w:t>（一）码头平台方沉箱结构中缝渗漏：项目码头前沿为</w:t>
      </w:r>
      <w:r>
        <w:rPr>
          <w:rFonts w:hint="eastAsia"/>
          <w:color w:val="000000" w:themeColor="text1"/>
          <w14:textFill>
            <w14:solidFill>
              <w14:schemeClr w14:val="tx1"/>
            </w14:solidFill>
          </w14:textFill>
        </w:rPr>
        <w:t>岸壁式沉箱结构</w:t>
      </w:r>
      <w:r>
        <w:rPr>
          <w:rFonts w:hint="eastAsia"/>
          <w:bCs/>
        </w:rPr>
        <w:t>，抛石基床上安放 C40 钢筋混凝土沉箱，码头前沿方沉箱结构与后方陆域相对独立，与海水水力联系较强，危险化学品渗漏进入地下水环境后向东侧钦州湾海域排泄，对地下水环境影响极小。</w:t>
      </w:r>
    </w:p>
    <w:p w14:paraId="1C05C353">
      <w:pPr>
        <w:ind w:firstLine="437"/>
        <w:rPr>
          <w:bCs/>
        </w:rPr>
      </w:pPr>
      <w:r>
        <w:rPr>
          <w:rFonts w:hint="eastAsia"/>
          <w:bCs/>
        </w:rPr>
        <w:t>（二）堆场及运输道路泄漏下渗：</w:t>
      </w:r>
      <w:r>
        <w:rPr>
          <w:bCs/>
        </w:rPr>
        <w:t>场区内</w:t>
      </w:r>
      <w:r>
        <w:rPr>
          <w:rFonts w:hint="eastAsia"/>
          <w:bCs/>
        </w:rPr>
        <w:t>为填海区域，</w:t>
      </w:r>
      <w:r>
        <w:rPr>
          <w:bCs/>
        </w:rPr>
        <w:t>后方陆域已设计地下水污染防渗措施，场地内均已硬化，事故状态下泄漏的少量化学品基本不会渗入地下水环境</w:t>
      </w:r>
      <w:r>
        <w:rPr>
          <w:rFonts w:hint="eastAsia"/>
          <w:bCs/>
        </w:rPr>
        <w:t>。</w:t>
      </w:r>
    </w:p>
    <w:p w14:paraId="242304D2">
      <w:pPr>
        <w:ind w:firstLine="437"/>
        <w:rPr>
          <w:bCs/>
        </w:rPr>
      </w:pPr>
      <w:r>
        <w:rPr>
          <w:rFonts w:hint="eastAsia"/>
          <w:bCs/>
        </w:rPr>
        <w:t>（三）泄漏的化学品进入雨水管网后渗漏至地下水环境：</w:t>
      </w:r>
      <w:r>
        <w:rPr>
          <w:bCs/>
        </w:rPr>
        <w:t>厂区内</w:t>
      </w:r>
      <w:r>
        <w:rPr>
          <w:rFonts w:hint="eastAsia"/>
          <w:bCs/>
        </w:rPr>
        <w:t>为填海区域，</w:t>
      </w:r>
      <w:r>
        <w:rPr>
          <w:bCs/>
        </w:rPr>
        <w:t>受地势影响地下水在孔隙裂隙中作层状渗流运动，地下水以钦州湾海面为主要排泄基准面，项目区地下水流向主要为</w:t>
      </w:r>
      <w:r>
        <w:rPr>
          <w:rFonts w:hint="eastAsia"/>
          <w:bCs/>
        </w:rPr>
        <w:t>向东</w:t>
      </w:r>
      <w:r>
        <w:rPr>
          <w:bCs/>
        </w:rPr>
        <w:t>南侧最终排泄入海。地面裂缝渗漏造成污染物穿过防渗层及包气带进入地下含水层，使地下水受到污染，通过及时排查检修可修补渗漏点，</w:t>
      </w:r>
      <w:r>
        <w:rPr>
          <w:rFonts w:hint="eastAsia"/>
          <w:bCs/>
        </w:rPr>
        <w:t>地下水</w:t>
      </w:r>
      <w:r>
        <w:rPr>
          <w:bCs/>
        </w:rPr>
        <w:t>环境影响较小。</w:t>
      </w:r>
    </w:p>
    <w:p w14:paraId="6E7CB292">
      <w:pPr>
        <w:pStyle w:val="6"/>
      </w:pPr>
      <w:r>
        <w:rPr>
          <w:rFonts w:hint="eastAsia"/>
        </w:rPr>
        <w:t>有毒、腐蚀性物质扩散途径识别</w:t>
      </w:r>
    </w:p>
    <w:p w14:paraId="40DB736A">
      <w:pPr>
        <w:ind w:firstLine="437"/>
      </w:pPr>
      <w:r>
        <w:t>当发生危险货物集装箱泄漏突发事故时，</w:t>
      </w:r>
      <w:r>
        <w:rPr>
          <w:rFonts w:hint="eastAsia"/>
        </w:rPr>
        <w:t>有毒、腐蚀性</w:t>
      </w:r>
      <w:r>
        <w:t>的危险货物主要表现如下：1）若泄漏的是非粉末状固体危险货物，由于泄漏物仍在箱内，只要未出现性质相抵触的物质相互接触而发生化学反应的情况，影响相对较小；2）若泄漏的是易/可燃气体、液体或粉末状固体，则会在箱内和箱外产毒性物质，特定条件下可能引发中毒等事故，对港区周围陆域环境、大气环境造成影响；3）若泄漏的是腐蚀性液体，则可能对箱内、箱外其他货物以及箱体造成严重腐蚀，进一步泄漏进入港区周围海域时，将会在海流和风共同作用下扩散至码头周围海域，对附近的环境敏感区造成损害。</w:t>
      </w:r>
    </w:p>
    <w:p w14:paraId="3DE78465">
      <w:pPr>
        <w:pStyle w:val="7"/>
      </w:pPr>
      <w:r>
        <w:rPr>
          <w:rFonts w:hint="eastAsia"/>
        </w:rPr>
        <w:t>本项目有毒物质向环境迁移途径分析</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46"/>
        <w:gridCol w:w="1456"/>
        <w:gridCol w:w="1672"/>
        <w:gridCol w:w="2137"/>
        <w:gridCol w:w="2211"/>
      </w:tblGrid>
      <w:tr w14:paraId="39D2FE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46" w:type="dxa"/>
            <w:vAlign w:val="center"/>
          </w:tcPr>
          <w:p w14:paraId="75CEFD31">
            <w:pPr>
              <w:pStyle w:val="34"/>
            </w:pPr>
            <w:r>
              <w:t>事故类型</w:t>
            </w:r>
          </w:p>
        </w:tc>
        <w:tc>
          <w:tcPr>
            <w:tcW w:w="1456" w:type="dxa"/>
            <w:vAlign w:val="center"/>
          </w:tcPr>
          <w:p w14:paraId="20D42D39">
            <w:pPr>
              <w:pStyle w:val="34"/>
            </w:pPr>
            <w:r>
              <w:t>事故过程</w:t>
            </w:r>
          </w:p>
        </w:tc>
        <w:tc>
          <w:tcPr>
            <w:tcW w:w="1672" w:type="dxa"/>
            <w:vAlign w:val="center"/>
          </w:tcPr>
          <w:p w14:paraId="06D7B742">
            <w:pPr>
              <w:pStyle w:val="34"/>
            </w:pPr>
            <w:r>
              <w:t>转移途径</w:t>
            </w:r>
          </w:p>
        </w:tc>
        <w:tc>
          <w:tcPr>
            <w:tcW w:w="2137" w:type="dxa"/>
            <w:vAlign w:val="center"/>
          </w:tcPr>
          <w:p w14:paraId="1C9E0066">
            <w:pPr>
              <w:pStyle w:val="34"/>
            </w:pPr>
            <w:r>
              <w:t>危害受体</w:t>
            </w:r>
          </w:p>
        </w:tc>
        <w:tc>
          <w:tcPr>
            <w:tcW w:w="2211" w:type="dxa"/>
            <w:vAlign w:val="center"/>
          </w:tcPr>
          <w:p w14:paraId="7481FCFA">
            <w:pPr>
              <w:pStyle w:val="34"/>
            </w:pPr>
            <w:r>
              <w:t>环境危害</w:t>
            </w:r>
          </w:p>
        </w:tc>
      </w:tr>
      <w:tr w14:paraId="439467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46" w:type="dxa"/>
            <w:vMerge w:val="restart"/>
            <w:vAlign w:val="center"/>
          </w:tcPr>
          <w:p w14:paraId="6E72B6FF">
            <w:pPr>
              <w:pStyle w:val="34"/>
            </w:pPr>
            <w:r>
              <w:t>毒物</w:t>
            </w:r>
          </w:p>
          <w:p w14:paraId="41E34B79">
            <w:pPr>
              <w:pStyle w:val="34"/>
            </w:pPr>
            <w:r>
              <w:t>泄漏</w:t>
            </w:r>
          </w:p>
        </w:tc>
        <w:tc>
          <w:tcPr>
            <w:tcW w:w="1456" w:type="dxa"/>
            <w:vAlign w:val="center"/>
          </w:tcPr>
          <w:p w14:paraId="47D33E18">
            <w:pPr>
              <w:pStyle w:val="34"/>
            </w:pPr>
            <w:r>
              <w:t>毒物挥发</w:t>
            </w:r>
          </w:p>
        </w:tc>
        <w:tc>
          <w:tcPr>
            <w:tcW w:w="1672" w:type="dxa"/>
            <w:vAlign w:val="center"/>
          </w:tcPr>
          <w:p w14:paraId="0E01F018">
            <w:pPr>
              <w:pStyle w:val="34"/>
            </w:pPr>
            <w:r>
              <w:t>大气扩散</w:t>
            </w:r>
          </w:p>
        </w:tc>
        <w:tc>
          <w:tcPr>
            <w:tcW w:w="2137" w:type="dxa"/>
            <w:vAlign w:val="center"/>
          </w:tcPr>
          <w:p w14:paraId="7B64863B">
            <w:pPr>
              <w:pStyle w:val="34"/>
            </w:pPr>
            <w:r>
              <w:t>大气环境</w:t>
            </w:r>
          </w:p>
        </w:tc>
        <w:tc>
          <w:tcPr>
            <w:tcW w:w="2211" w:type="dxa"/>
            <w:vAlign w:val="center"/>
          </w:tcPr>
          <w:p w14:paraId="5A7E8A81">
            <w:pPr>
              <w:pStyle w:val="34"/>
            </w:pPr>
            <w:r>
              <w:t>居民急性、慢性伤害</w:t>
            </w:r>
          </w:p>
        </w:tc>
      </w:tr>
      <w:tr w14:paraId="4D0958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46" w:type="dxa"/>
            <w:vMerge w:val="continue"/>
            <w:vAlign w:val="center"/>
          </w:tcPr>
          <w:p w14:paraId="2F52B3C0">
            <w:pPr>
              <w:pStyle w:val="34"/>
            </w:pPr>
          </w:p>
        </w:tc>
        <w:tc>
          <w:tcPr>
            <w:tcW w:w="1456" w:type="dxa"/>
            <w:vAlign w:val="center"/>
          </w:tcPr>
          <w:p w14:paraId="12C68CF7">
            <w:pPr>
              <w:pStyle w:val="34"/>
            </w:pPr>
            <w:r>
              <w:t>毒物溶解</w:t>
            </w:r>
          </w:p>
        </w:tc>
        <w:tc>
          <w:tcPr>
            <w:tcW w:w="1672" w:type="dxa"/>
            <w:vAlign w:val="center"/>
          </w:tcPr>
          <w:p w14:paraId="661AACC1">
            <w:pPr>
              <w:pStyle w:val="34"/>
            </w:pPr>
            <w:r>
              <w:t>水体输运、地下水扩散</w:t>
            </w:r>
          </w:p>
        </w:tc>
        <w:tc>
          <w:tcPr>
            <w:tcW w:w="2137" w:type="dxa"/>
            <w:vAlign w:val="center"/>
          </w:tcPr>
          <w:p w14:paraId="28625DD4">
            <w:pPr>
              <w:pStyle w:val="34"/>
            </w:pPr>
            <w:r>
              <w:rPr>
                <w:rFonts w:hint="eastAsia"/>
              </w:rPr>
              <w:t>海洋</w:t>
            </w:r>
            <w:r>
              <w:t>、地下水环境</w:t>
            </w:r>
          </w:p>
        </w:tc>
        <w:tc>
          <w:tcPr>
            <w:tcW w:w="2211" w:type="dxa"/>
            <w:vAlign w:val="center"/>
          </w:tcPr>
          <w:p w14:paraId="60B64F34">
            <w:pPr>
              <w:pStyle w:val="34"/>
            </w:pPr>
            <w:r>
              <w:t>水体污染、生态损害</w:t>
            </w:r>
          </w:p>
        </w:tc>
      </w:tr>
      <w:tr w14:paraId="1F9A5B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46" w:type="dxa"/>
            <w:vMerge w:val="continue"/>
            <w:vAlign w:val="center"/>
          </w:tcPr>
          <w:p w14:paraId="7A9FB0CB">
            <w:pPr>
              <w:pStyle w:val="34"/>
            </w:pPr>
          </w:p>
        </w:tc>
        <w:tc>
          <w:tcPr>
            <w:tcW w:w="1456" w:type="dxa"/>
            <w:vAlign w:val="center"/>
          </w:tcPr>
          <w:p w14:paraId="5B4E482A">
            <w:pPr>
              <w:pStyle w:val="34"/>
            </w:pPr>
            <w:r>
              <w:t>事故固废物</w:t>
            </w:r>
          </w:p>
        </w:tc>
        <w:tc>
          <w:tcPr>
            <w:tcW w:w="1672" w:type="dxa"/>
            <w:vAlign w:val="center"/>
          </w:tcPr>
          <w:p w14:paraId="65336D2A">
            <w:pPr>
              <w:pStyle w:val="34"/>
            </w:pPr>
            <w:r>
              <w:t>土壤</w:t>
            </w:r>
          </w:p>
        </w:tc>
        <w:tc>
          <w:tcPr>
            <w:tcW w:w="2137" w:type="dxa"/>
            <w:vAlign w:val="center"/>
          </w:tcPr>
          <w:p w14:paraId="00EFD268">
            <w:pPr>
              <w:pStyle w:val="34"/>
            </w:pPr>
            <w:r>
              <w:t>地下水、生态环境</w:t>
            </w:r>
          </w:p>
        </w:tc>
        <w:tc>
          <w:tcPr>
            <w:tcW w:w="2211" w:type="dxa"/>
            <w:vAlign w:val="center"/>
          </w:tcPr>
          <w:p w14:paraId="0B6793B6">
            <w:pPr>
              <w:pStyle w:val="34"/>
            </w:pPr>
            <w:r>
              <w:t>水体污染、生态损害</w:t>
            </w:r>
          </w:p>
        </w:tc>
      </w:tr>
    </w:tbl>
    <w:p w14:paraId="7FC36C89">
      <w:pPr>
        <w:pStyle w:val="5"/>
      </w:pPr>
      <w:r>
        <w:t>风险识别结果</w:t>
      </w:r>
    </w:p>
    <w:p w14:paraId="0727C942">
      <w:pPr>
        <w:ind w:firstLine="437"/>
      </w:pPr>
      <w:r>
        <w:rPr>
          <w:rFonts w:hint="eastAsia"/>
        </w:rPr>
        <w:t>经分析，本项目主要包括五个危险单元：</w:t>
      </w:r>
    </w:p>
    <w:p w14:paraId="1C60A00D">
      <w:pPr>
        <w:ind w:firstLine="437"/>
      </w:pPr>
      <w:r>
        <w:rPr>
          <w:rFonts w:hint="eastAsia"/>
        </w:rPr>
        <w:t>（1）到港船舶船舱风险：船舶水上溢油、船舶运载危险品集装箱泄漏，重点是对水环境的影响；</w:t>
      </w:r>
    </w:p>
    <w:p w14:paraId="41E8D99B">
      <w:pPr>
        <w:ind w:firstLine="437"/>
      </w:pPr>
      <w:r>
        <w:rPr>
          <w:rFonts w:hint="eastAsia"/>
        </w:rPr>
        <w:t>（2）码头前沿装卸作业区：危险品泄漏及火灾爆炸，包括了对水环境和大气环境的影响；</w:t>
      </w:r>
    </w:p>
    <w:p w14:paraId="6035F399">
      <w:pPr>
        <w:ind w:firstLine="437"/>
      </w:pPr>
      <w:r>
        <w:rPr>
          <w:rFonts w:hint="eastAsia"/>
        </w:rPr>
        <w:t>（3）危险货物堆场：危险品泄漏及火灾爆炸，主要为对地下水环境和大气环境的影响。</w:t>
      </w:r>
    </w:p>
    <w:p w14:paraId="10CF171E">
      <w:pPr>
        <w:ind w:firstLine="437"/>
      </w:pPr>
      <w:r>
        <w:rPr>
          <w:rFonts w:hint="eastAsia"/>
        </w:rPr>
        <w:t>（4）陆域运输道路：危险品泄漏及火灾爆炸，主要为对地下水境和大气环境的影响。</w:t>
      </w:r>
    </w:p>
    <w:p w14:paraId="73B687E7">
      <w:pPr>
        <w:ind w:firstLine="437"/>
      </w:pPr>
      <w:r>
        <w:t>本项目运营期可能存在的环境风险事故主要为化工品类泄漏（跑、冒、漏）事故、火灾爆炸事故</w:t>
      </w:r>
      <w:r>
        <w:rPr>
          <w:rFonts w:hint="eastAsia"/>
        </w:rPr>
        <w:t>、溢油事故</w:t>
      </w:r>
      <w:r>
        <w:t>引起对水环境、大气环境、地下水等造成二次污染以及对人群健康的危害，</w:t>
      </w:r>
      <w:r>
        <w:rPr>
          <w:rFonts w:hint="eastAsia"/>
        </w:rPr>
        <w:t>风险类型一览表见表5.2-10，</w:t>
      </w:r>
      <w:r>
        <w:t>风险特征如表</w:t>
      </w:r>
      <w:r>
        <w:rPr>
          <w:rFonts w:hint="eastAsia"/>
        </w:rPr>
        <w:t>5.2-11</w:t>
      </w:r>
      <w:r>
        <w:t>所示。</w:t>
      </w:r>
    </w:p>
    <w:p w14:paraId="3C8896FD">
      <w:pPr>
        <w:pStyle w:val="7"/>
      </w:pPr>
      <w:r>
        <w:rPr>
          <w:rFonts w:hint="eastAsia"/>
        </w:rPr>
        <w:t>项目风险类型一览表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80"/>
        <w:gridCol w:w="2263"/>
        <w:gridCol w:w="2694"/>
        <w:gridCol w:w="2885"/>
      </w:tblGrid>
      <w:tr w14:paraId="2C1AE2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680" w:type="dxa"/>
            <w:vAlign w:val="center"/>
          </w:tcPr>
          <w:p w14:paraId="5F153B4E">
            <w:pPr>
              <w:pStyle w:val="34"/>
              <w:rPr>
                <w:lang w:eastAsia="en-US"/>
              </w:rPr>
            </w:pPr>
            <w:r>
              <w:rPr>
                <w:lang w:eastAsia="en-US"/>
              </w:rPr>
              <w:t>风险类型</w:t>
            </w:r>
          </w:p>
        </w:tc>
        <w:tc>
          <w:tcPr>
            <w:tcW w:w="2263" w:type="dxa"/>
            <w:vAlign w:val="center"/>
          </w:tcPr>
          <w:p w14:paraId="4C90FF8B">
            <w:pPr>
              <w:pStyle w:val="34"/>
              <w:rPr>
                <w:lang w:eastAsia="en-US"/>
              </w:rPr>
            </w:pPr>
            <w:r>
              <w:rPr>
                <w:lang w:eastAsia="en-US"/>
              </w:rPr>
              <w:t>风险因素</w:t>
            </w:r>
          </w:p>
        </w:tc>
        <w:tc>
          <w:tcPr>
            <w:tcW w:w="2694" w:type="dxa"/>
            <w:vAlign w:val="center"/>
          </w:tcPr>
          <w:p w14:paraId="71A85A06">
            <w:pPr>
              <w:pStyle w:val="34"/>
            </w:pPr>
            <w:r>
              <w:rPr>
                <w:rFonts w:hint="eastAsia"/>
              </w:rPr>
              <w:t>环境影响途径</w:t>
            </w:r>
          </w:p>
        </w:tc>
        <w:tc>
          <w:tcPr>
            <w:tcW w:w="2885" w:type="dxa"/>
            <w:vAlign w:val="center"/>
          </w:tcPr>
          <w:p w14:paraId="629292E9">
            <w:pPr>
              <w:pStyle w:val="34"/>
            </w:pPr>
            <w:r>
              <w:rPr>
                <w:rFonts w:hint="eastAsia"/>
              </w:rPr>
              <w:t>危害后果</w:t>
            </w:r>
          </w:p>
        </w:tc>
      </w:tr>
      <w:tr w14:paraId="22BF44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0" w:type="dxa"/>
            <w:vMerge w:val="restart"/>
            <w:vAlign w:val="center"/>
          </w:tcPr>
          <w:p w14:paraId="1E7E198B">
            <w:pPr>
              <w:pStyle w:val="34"/>
              <w:rPr>
                <w:lang w:eastAsia="en-US"/>
              </w:rPr>
            </w:pPr>
            <w:r>
              <w:rPr>
                <w:lang w:eastAsia="en-US"/>
              </w:rPr>
              <w:t>泄漏</w:t>
            </w:r>
          </w:p>
        </w:tc>
        <w:tc>
          <w:tcPr>
            <w:tcW w:w="2263" w:type="dxa"/>
            <w:vMerge w:val="restart"/>
            <w:vAlign w:val="center"/>
          </w:tcPr>
          <w:p w14:paraId="66A6BA7E">
            <w:pPr>
              <w:pStyle w:val="34"/>
            </w:pPr>
            <w:r>
              <w:t>船舶</w:t>
            </w:r>
            <w:r>
              <w:rPr>
                <w:rFonts w:hint="eastAsia"/>
              </w:rPr>
              <w:t>或车辆</w:t>
            </w:r>
            <w:r>
              <w:t>碰撞、</w:t>
            </w:r>
            <w:r>
              <w:rPr>
                <w:rFonts w:hint="eastAsia"/>
              </w:rPr>
              <w:t>操作不当；</w:t>
            </w:r>
            <w:r>
              <w:t>人员操作失误</w:t>
            </w:r>
            <w:r>
              <w:rPr>
                <w:rFonts w:hint="eastAsia"/>
              </w:rPr>
              <w:t>、吊具脱落</w:t>
            </w:r>
            <w:r>
              <w:t>等</w:t>
            </w:r>
            <w:r>
              <w:rPr>
                <w:rFonts w:hint="eastAsia"/>
              </w:rPr>
              <w:t>。</w:t>
            </w:r>
          </w:p>
        </w:tc>
        <w:tc>
          <w:tcPr>
            <w:tcW w:w="2694" w:type="dxa"/>
            <w:vAlign w:val="center"/>
          </w:tcPr>
          <w:p w14:paraId="254D5B2D">
            <w:pPr>
              <w:pStyle w:val="34"/>
            </w:pPr>
            <w:r>
              <w:rPr>
                <w:rFonts w:hint="eastAsia"/>
              </w:rPr>
              <w:t>油类物质、化学品等可溶性危险物质泄漏直接进入钦州湾。</w:t>
            </w:r>
          </w:p>
        </w:tc>
        <w:tc>
          <w:tcPr>
            <w:tcW w:w="2885" w:type="dxa"/>
            <w:vAlign w:val="center"/>
          </w:tcPr>
          <w:p w14:paraId="23AF9A4D">
            <w:pPr>
              <w:pStyle w:val="34"/>
            </w:pPr>
            <w:r>
              <w:rPr>
                <w:rFonts w:hint="eastAsia"/>
              </w:rPr>
              <w:t>在钦州湾局部海域形成油膜、改变局部海域的pH值和污染物浓度变化，影响海洋水生生物的生长和存活。</w:t>
            </w:r>
          </w:p>
        </w:tc>
      </w:tr>
      <w:tr w14:paraId="49D041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0" w:type="dxa"/>
            <w:vMerge w:val="continue"/>
            <w:vAlign w:val="center"/>
          </w:tcPr>
          <w:p w14:paraId="1EAE1C5F">
            <w:pPr>
              <w:pStyle w:val="34"/>
            </w:pPr>
          </w:p>
        </w:tc>
        <w:tc>
          <w:tcPr>
            <w:tcW w:w="2263" w:type="dxa"/>
            <w:vMerge w:val="continue"/>
            <w:vAlign w:val="center"/>
          </w:tcPr>
          <w:p w14:paraId="18831CAA">
            <w:pPr>
              <w:pStyle w:val="34"/>
            </w:pPr>
          </w:p>
        </w:tc>
        <w:tc>
          <w:tcPr>
            <w:tcW w:w="2694" w:type="dxa"/>
            <w:vAlign w:val="center"/>
          </w:tcPr>
          <w:p w14:paraId="78EF696A">
            <w:pPr>
              <w:pStyle w:val="34"/>
            </w:pPr>
            <w:r>
              <w:rPr>
                <w:rFonts w:hint="eastAsia"/>
              </w:rPr>
              <w:t>液态化学品泄漏形成液池，液池蒸发通过大气扩散进入环境空气。</w:t>
            </w:r>
          </w:p>
        </w:tc>
        <w:tc>
          <w:tcPr>
            <w:tcW w:w="2885" w:type="dxa"/>
            <w:vAlign w:val="center"/>
          </w:tcPr>
          <w:p w14:paraId="13AC088A">
            <w:pPr>
              <w:pStyle w:val="34"/>
            </w:pPr>
            <w:r>
              <w:rPr>
                <w:rFonts w:hint="eastAsia"/>
              </w:rPr>
              <w:t>污染物进入</w:t>
            </w:r>
            <w:r>
              <w:t>大气环境</w:t>
            </w:r>
            <w:r>
              <w:rPr>
                <w:rFonts w:hint="eastAsia"/>
              </w:rPr>
              <w:t>，导致环境空气质量短时恶化。</w:t>
            </w:r>
          </w:p>
        </w:tc>
      </w:tr>
      <w:tr w14:paraId="422287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0" w:type="dxa"/>
            <w:vMerge w:val="continue"/>
            <w:vAlign w:val="center"/>
          </w:tcPr>
          <w:p w14:paraId="556E454F">
            <w:pPr>
              <w:pStyle w:val="34"/>
            </w:pPr>
          </w:p>
        </w:tc>
        <w:tc>
          <w:tcPr>
            <w:tcW w:w="2263" w:type="dxa"/>
            <w:vMerge w:val="continue"/>
            <w:vAlign w:val="center"/>
          </w:tcPr>
          <w:p w14:paraId="0265D82C">
            <w:pPr>
              <w:pStyle w:val="34"/>
            </w:pPr>
          </w:p>
        </w:tc>
        <w:tc>
          <w:tcPr>
            <w:tcW w:w="2694" w:type="dxa"/>
            <w:vAlign w:val="center"/>
          </w:tcPr>
          <w:p w14:paraId="1822B5C0">
            <w:pPr>
              <w:pStyle w:val="34"/>
            </w:pPr>
            <w:r>
              <w:rPr>
                <w:rFonts w:hint="eastAsia"/>
              </w:rPr>
              <w:t>液态化学品危险物质下渗至码头平台、运输道路及候装点下部地下水环境。</w:t>
            </w:r>
          </w:p>
        </w:tc>
        <w:tc>
          <w:tcPr>
            <w:tcW w:w="2885" w:type="dxa"/>
            <w:vAlign w:val="center"/>
          </w:tcPr>
          <w:p w14:paraId="06A34F36">
            <w:pPr>
              <w:pStyle w:val="34"/>
            </w:pPr>
            <w:r>
              <w:rPr>
                <w:rFonts w:hint="eastAsia"/>
              </w:rPr>
              <w:t>污染物进入地下水环境导致地下水环境质量恶化。</w:t>
            </w:r>
          </w:p>
        </w:tc>
      </w:tr>
      <w:tr w14:paraId="5A893F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0" w:type="dxa"/>
            <w:vMerge w:val="continue"/>
            <w:vAlign w:val="center"/>
          </w:tcPr>
          <w:p w14:paraId="41B66019">
            <w:pPr>
              <w:pStyle w:val="34"/>
            </w:pPr>
          </w:p>
        </w:tc>
        <w:tc>
          <w:tcPr>
            <w:tcW w:w="2263" w:type="dxa"/>
            <w:vMerge w:val="continue"/>
            <w:vAlign w:val="center"/>
          </w:tcPr>
          <w:p w14:paraId="0C9163F2">
            <w:pPr>
              <w:pStyle w:val="34"/>
            </w:pPr>
          </w:p>
        </w:tc>
        <w:tc>
          <w:tcPr>
            <w:tcW w:w="2694" w:type="dxa"/>
            <w:vAlign w:val="center"/>
          </w:tcPr>
          <w:p w14:paraId="40B3EB9E">
            <w:pPr>
              <w:pStyle w:val="34"/>
            </w:pPr>
            <w:r>
              <w:rPr>
                <w:rFonts w:hint="eastAsia"/>
              </w:rPr>
              <w:t>感染性危险货物泄漏进入环境</w:t>
            </w:r>
          </w:p>
        </w:tc>
        <w:tc>
          <w:tcPr>
            <w:tcW w:w="2885" w:type="dxa"/>
            <w:vAlign w:val="center"/>
          </w:tcPr>
          <w:p w14:paraId="5162E8C9">
            <w:pPr>
              <w:pStyle w:val="34"/>
            </w:pPr>
            <w:r>
              <w:rPr>
                <w:rFonts w:hint="eastAsia"/>
              </w:rPr>
              <w:t>对人群健康产生危害。</w:t>
            </w:r>
          </w:p>
        </w:tc>
      </w:tr>
      <w:tr w14:paraId="0BFF99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0" w:type="dxa"/>
            <w:vAlign w:val="center"/>
          </w:tcPr>
          <w:p w14:paraId="5E536C0D">
            <w:pPr>
              <w:pStyle w:val="34"/>
              <w:rPr>
                <w:lang w:eastAsia="en-US"/>
              </w:rPr>
            </w:pPr>
            <w:r>
              <w:rPr>
                <w:lang w:eastAsia="en-US"/>
              </w:rPr>
              <w:t>火灾</w:t>
            </w:r>
          </w:p>
        </w:tc>
        <w:tc>
          <w:tcPr>
            <w:tcW w:w="2263" w:type="dxa"/>
            <w:vAlign w:val="center"/>
          </w:tcPr>
          <w:p w14:paraId="416509B0">
            <w:pPr>
              <w:pStyle w:val="34"/>
            </w:pPr>
            <w:r>
              <w:rPr>
                <w:rFonts w:hint="eastAsia"/>
              </w:rPr>
              <w:t>船舶易燃燃油、化学品、烟花爆竹等可燃危险物质</w:t>
            </w:r>
            <w:r>
              <w:t>泄漏</w:t>
            </w:r>
            <w:r>
              <w:rPr>
                <w:rFonts w:hint="eastAsia"/>
              </w:rPr>
              <w:t>，</w:t>
            </w:r>
            <w:r>
              <w:t>遇明火；电气故障产生火花等</w:t>
            </w:r>
            <w:r>
              <w:rPr>
                <w:rFonts w:hint="eastAsia"/>
              </w:rPr>
              <w:t>。</w:t>
            </w:r>
          </w:p>
        </w:tc>
        <w:tc>
          <w:tcPr>
            <w:tcW w:w="2694" w:type="dxa"/>
            <w:vMerge w:val="restart"/>
            <w:vAlign w:val="center"/>
          </w:tcPr>
          <w:p w14:paraId="5C316C0B">
            <w:pPr>
              <w:pStyle w:val="34"/>
            </w:pPr>
            <w:r>
              <w:rPr>
                <w:rFonts w:hint="eastAsia"/>
              </w:rPr>
              <w:t>燃烧、爆炸产物通过大气扩散进入环境空气。</w:t>
            </w:r>
          </w:p>
        </w:tc>
        <w:tc>
          <w:tcPr>
            <w:tcW w:w="2885" w:type="dxa"/>
            <w:vMerge w:val="restart"/>
            <w:vAlign w:val="center"/>
          </w:tcPr>
          <w:p w14:paraId="6F0ACA4B">
            <w:pPr>
              <w:pStyle w:val="34"/>
            </w:pPr>
            <w:r>
              <w:rPr>
                <w:rFonts w:hint="eastAsia"/>
              </w:rPr>
              <w:t>火灾及爆炸产生的次生污染物进入</w:t>
            </w:r>
            <w:r>
              <w:t>大气环境</w:t>
            </w:r>
            <w:r>
              <w:rPr>
                <w:rFonts w:hint="eastAsia"/>
              </w:rPr>
              <w:t>，导致环境空气质量短时恶化。</w:t>
            </w:r>
          </w:p>
        </w:tc>
      </w:tr>
      <w:tr w14:paraId="2BF0F5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0" w:type="dxa"/>
            <w:vAlign w:val="center"/>
          </w:tcPr>
          <w:p w14:paraId="67AEDADE">
            <w:pPr>
              <w:pStyle w:val="34"/>
              <w:rPr>
                <w:lang w:eastAsia="en-US"/>
              </w:rPr>
            </w:pPr>
            <w:r>
              <w:rPr>
                <w:lang w:eastAsia="en-US"/>
              </w:rPr>
              <w:t>爆炸</w:t>
            </w:r>
          </w:p>
        </w:tc>
        <w:tc>
          <w:tcPr>
            <w:tcW w:w="2263" w:type="dxa"/>
            <w:vAlign w:val="center"/>
          </w:tcPr>
          <w:p w14:paraId="3A0F6DC9">
            <w:pPr>
              <w:pStyle w:val="34"/>
            </w:pPr>
            <w:r>
              <w:t>泄漏</w:t>
            </w:r>
            <w:r>
              <w:rPr>
                <w:rFonts w:hint="eastAsia"/>
              </w:rPr>
              <w:t>船舶燃油</w:t>
            </w:r>
            <w:r>
              <w:t>蒸气</w:t>
            </w:r>
            <w:r>
              <w:rPr>
                <w:rFonts w:hint="eastAsia"/>
              </w:rPr>
              <w:t>或可燃化学品蒸汽</w:t>
            </w:r>
            <w:r>
              <w:t>与空气达到爆炸极限</w:t>
            </w:r>
            <w:r>
              <w:rPr>
                <w:rFonts w:hint="eastAsia"/>
              </w:rPr>
              <w:t>而发生爆炸</w:t>
            </w:r>
            <w:r>
              <w:t>；</w:t>
            </w:r>
            <w:r>
              <w:rPr>
                <w:rFonts w:hint="eastAsia"/>
              </w:rPr>
              <w:t>烟花爆竹、可燃化学品等遇明火发生爆炸。</w:t>
            </w:r>
          </w:p>
        </w:tc>
        <w:tc>
          <w:tcPr>
            <w:tcW w:w="2694" w:type="dxa"/>
            <w:vMerge w:val="continue"/>
            <w:vAlign w:val="center"/>
          </w:tcPr>
          <w:p w14:paraId="7CF38A83">
            <w:pPr>
              <w:pStyle w:val="34"/>
            </w:pPr>
          </w:p>
        </w:tc>
        <w:tc>
          <w:tcPr>
            <w:tcW w:w="2885" w:type="dxa"/>
            <w:vMerge w:val="continue"/>
            <w:vAlign w:val="center"/>
          </w:tcPr>
          <w:p w14:paraId="2615C345">
            <w:pPr>
              <w:pStyle w:val="34"/>
            </w:pPr>
          </w:p>
        </w:tc>
      </w:tr>
    </w:tbl>
    <w:p w14:paraId="56004106">
      <w:pPr>
        <w:pStyle w:val="7"/>
      </w:pPr>
      <w:r>
        <w:t>项目风险特征表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5"/>
        <w:gridCol w:w="2835"/>
        <w:gridCol w:w="3261"/>
        <w:gridCol w:w="708"/>
        <w:gridCol w:w="803"/>
      </w:tblGrid>
      <w:tr w14:paraId="2CF5DF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75" w:type="dxa"/>
            <w:vAlign w:val="center"/>
          </w:tcPr>
          <w:p w14:paraId="62CB7525">
            <w:pPr>
              <w:pStyle w:val="34"/>
            </w:pPr>
            <w:r>
              <w:t>风险类型</w:t>
            </w:r>
          </w:p>
        </w:tc>
        <w:tc>
          <w:tcPr>
            <w:tcW w:w="2835" w:type="dxa"/>
            <w:vAlign w:val="center"/>
          </w:tcPr>
          <w:p w14:paraId="3259F0D9">
            <w:pPr>
              <w:pStyle w:val="34"/>
            </w:pPr>
            <w:r>
              <w:t>风险因素</w:t>
            </w:r>
          </w:p>
        </w:tc>
        <w:tc>
          <w:tcPr>
            <w:tcW w:w="3261" w:type="dxa"/>
            <w:vAlign w:val="center"/>
          </w:tcPr>
          <w:p w14:paraId="3F797798">
            <w:pPr>
              <w:pStyle w:val="34"/>
            </w:pPr>
            <w:r>
              <w:t>发生环节</w:t>
            </w:r>
          </w:p>
        </w:tc>
        <w:tc>
          <w:tcPr>
            <w:tcW w:w="708" w:type="dxa"/>
            <w:vAlign w:val="center"/>
          </w:tcPr>
          <w:p w14:paraId="31EDD5FD">
            <w:pPr>
              <w:pStyle w:val="34"/>
            </w:pPr>
            <w:r>
              <w:t>发生</w:t>
            </w:r>
          </w:p>
          <w:p w14:paraId="0C37279A">
            <w:pPr>
              <w:pStyle w:val="34"/>
            </w:pPr>
            <w:r>
              <w:t>概率</w:t>
            </w:r>
          </w:p>
        </w:tc>
        <w:tc>
          <w:tcPr>
            <w:tcW w:w="803" w:type="dxa"/>
            <w:vAlign w:val="center"/>
          </w:tcPr>
          <w:p w14:paraId="3AF6E682">
            <w:pPr>
              <w:pStyle w:val="34"/>
            </w:pPr>
            <w:r>
              <w:t>危害</w:t>
            </w:r>
          </w:p>
        </w:tc>
      </w:tr>
      <w:tr w14:paraId="4B914D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restart"/>
            <w:vAlign w:val="center"/>
          </w:tcPr>
          <w:p w14:paraId="6F8ADB0D">
            <w:pPr>
              <w:pStyle w:val="34"/>
            </w:pPr>
            <w:r>
              <w:t>泄漏</w:t>
            </w:r>
          </w:p>
        </w:tc>
        <w:tc>
          <w:tcPr>
            <w:tcW w:w="2835" w:type="dxa"/>
            <w:vAlign w:val="center"/>
          </w:tcPr>
          <w:p w14:paraId="3D028778">
            <w:pPr>
              <w:pStyle w:val="34"/>
            </w:pPr>
            <w:r>
              <w:t>海上化工品泄漏事故对水环境、大气环境等造成污染以及对人群健康的危害</w:t>
            </w:r>
          </w:p>
        </w:tc>
        <w:tc>
          <w:tcPr>
            <w:tcW w:w="3261" w:type="dxa"/>
            <w:vAlign w:val="center"/>
          </w:tcPr>
          <w:p w14:paraId="2513E947">
            <w:pPr>
              <w:pStyle w:val="34"/>
            </w:pPr>
            <w:r>
              <w:t>在码头与海域之间的狭窄航道上，或在码头作业期间发生的船舶碰撞或搁浅</w:t>
            </w:r>
          </w:p>
        </w:tc>
        <w:tc>
          <w:tcPr>
            <w:tcW w:w="708" w:type="dxa"/>
            <w:vAlign w:val="center"/>
          </w:tcPr>
          <w:p w14:paraId="07E904BD">
            <w:pPr>
              <w:pStyle w:val="34"/>
            </w:pPr>
            <w:r>
              <w:t>小~中</w:t>
            </w:r>
          </w:p>
        </w:tc>
        <w:tc>
          <w:tcPr>
            <w:tcW w:w="803" w:type="dxa"/>
            <w:vAlign w:val="center"/>
          </w:tcPr>
          <w:p w14:paraId="11678621">
            <w:pPr>
              <w:pStyle w:val="34"/>
            </w:pPr>
            <w:r>
              <w:t>中~大</w:t>
            </w:r>
          </w:p>
        </w:tc>
      </w:tr>
      <w:tr w14:paraId="4C6A12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205E77DD">
            <w:pPr>
              <w:pStyle w:val="34"/>
            </w:pPr>
          </w:p>
        </w:tc>
        <w:tc>
          <w:tcPr>
            <w:tcW w:w="2835" w:type="dxa"/>
            <w:vAlign w:val="center"/>
          </w:tcPr>
          <w:p w14:paraId="632916B9">
            <w:pPr>
              <w:pStyle w:val="34"/>
            </w:pPr>
            <w:r>
              <w:rPr>
                <w:rFonts w:hint="eastAsia"/>
              </w:rPr>
              <w:t>作业区</w:t>
            </w:r>
            <w:r>
              <w:t>化工品泄漏事故对水环境、大气环境、地下水环境等造成污染以及对人群健康的危害</w:t>
            </w:r>
          </w:p>
        </w:tc>
        <w:tc>
          <w:tcPr>
            <w:tcW w:w="3261" w:type="dxa"/>
            <w:vAlign w:val="center"/>
          </w:tcPr>
          <w:p w14:paraId="3A59B550">
            <w:pPr>
              <w:pStyle w:val="34"/>
            </w:pPr>
            <w:r>
              <w:rPr>
                <w:rFonts w:hint="eastAsia"/>
              </w:rPr>
              <w:t>操作失误、设备故障、技术缺陷导致箱体破损，引发泄漏事故</w:t>
            </w:r>
          </w:p>
        </w:tc>
        <w:tc>
          <w:tcPr>
            <w:tcW w:w="708" w:type="dxa"/>
            <w:vAlign w:val="center"/>
          </w:tcPr>
          <w:p w14:paraId="1E8D8C71">
            <w:pPr>
              <w:pStyle w:val="34"/>
            </w:pPr>
            <w:r>
              <w:t>小~中</w:t>
            </w:r>
          </w:p>
        </w:tc>
        <w:tc>
          <w:tcPr>
            <w:tcW w:w="803" w:type="dxa"/>
            <w:vAlign w:val="center"/>
          </w:tcPr>
          <w:p w14:paraId="37517E61">
            <w:pPr>
              <w:pStyle w:val="34"/>
            </w:pPr>
            <w:r>
              <w:t>中~大</w:t>
            </w:r>
          </w:p>
        </w:tc>
      </w:tr>
      <w:tr w14:paraId="560BDD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Align w:val="center"/>
          </w:tcPr>
          <w:p w14:paraId="1C66BC17">
            <w:pPr>
              <w:pStyle w:val="34"/>
            </w:pPr>
            <w:r>
              <w:t>火灾爆炸</w:t>
            </w:r>
          </w:p>
        </w:tc>
        <w:tc>
          <w:tcPr>
            <w:tcW w:w="2835" w:type="dxa"/>
            <w:vAlign w:val="center"/>
          </w:tcPr>
          <w:p w14:paraId="2C4A8BD5">
            <w:pPr>
              <w:pStyle w:val="34"/>
            </w:pPr>
            <w:r>
              <w:t>船舶海上火灾爆炸事故、作业区危险货物集装箱泄漏、火灾、爆炸对水环境、大气环境等造成二次污染以及对人群健康的危害</w:t>
            </w:r>
          </w:p>
        </w:tc>
        <w:tc>
          <w:tcPr>
            <w:tcW w:w="3261" w:type="dxa"/>
            <w:vAlign w:val="center"/>
          </w:tcPr>
          <w:p w14:paraId="42E33D2D">
            <w:pPr>
              <w:pStyle w:val="34"/>
            </w:pPr>
            <w:r>
              <w:t>海上的装卸作业及海运事故</w:t>
            </w:r>
            <w:r>
              <w:rPr>
                <w:rFonts w:hint="eastAsia"/>
              </w:rPr>
              <w:t>、陆域作业区及堆场设备故障、车辆碰撞等</w:t>
            </w:r>
            <w:r>
              <w:t>，如油轮搁浅或碰撞</w:t>
            </w:r>
          </w:p>
        </w:tc>
        <w:tc>
          <w:tcPr>
            <w:tcW w:w="708" w:type="dxa"/>
            <w:vAlign w:val="center"/>
          </w:tcPr>
          <w:p w14:paraId="22AEB62D">
            <w:pPr>
              <w:pStyle w:val="34"/>
            </w:pPr>
            <w:r>
              <w:t>小</w:t>
            </w:r>
          </w:p>
        </w:tc>
        <w:tc>
          <w:tcPr>
            <w:tcW w:w="803" w:type="dxa"/>
            <w:vAlign w:val="center"/>
          </w:tcPr>
          <w:p w14:paraId="238F931F">
            <w:pPr>
              <w:pStyle w:val="34"/>
            </w:pPr>
            <w:r>
              <w:t>中~大</w:t>
            </w:r>
          </w:p>
        </w:tc>
      </w:tr>
      <w:tr w14:paraId="2D4ACF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Align w:val="center"/>
          </w:tcPr>
          <w:p w14:paraId="204273BC">
            <w:pPr>
              <w:pStyle w:val="34"/>
            </w:pPr>
            <w:r>
              <w:rPr>
                <w:rFonts w:hint="eastAsia"/>
              </w:rPr>
              <w:t>溢油事故</w:t>
            </w:r>
          </w:p>
        </w:tc>
        <w:tc>
          <w:tcPr>
            <w:tcW w:w="2835" w:type="dxa"/>
            <w:vAlign w:val="center"/>
          </w:tcPr>
          <w:p w14:paraId="305EABA5">
            <w:pPr>
              <w:pStyle w:val="34"/>
            </w:pPr>
            <w:r>
              <w:rPr>
                <w:rFonts w:hint="eastAsia"/>
              </w:rPr>
              <w:t>事故溢油</w:t>
            </w:r>
            <w:r>
              <w:t>对水环境造成污染</w:t>
            </w:r>
          </w:p>
        </w:tc>
        <w:tc>
          <w:tcPr>
            <w:tcW w:w="3261" w:type="dxa"/>
            <w:vAlign w:val="center"/>
          </w:tcPr>
          <w:p w14:paraId="3AEBA332">
            <w:pPr>
              <w:pStyle w:val="34"/>
            </w:pPr>
            <w:r>
              <w:rPr>
                <w:rFonts w:hint="eastAsia"/>
              </w:rPr>
              <w:t>运输船舶航行中，与其他船舶碰撞等事故，导致溢油；码头前沿附近海域，由于操作失误，运输船舶与其他船舶发生碰撞，导致溢油；运输船舶在靠、离码头过程中，因操作不当或因水文、气象条件不良等原因，与码头碰撞，导致溢油</w:t>
            </w:r>
          </w:p>
        </w:tc>
        <w:tc>
          <w:tcPr>
            <w:tcW w:w="708" w:type="dxa"/>
            <w:vAlign w:val="center"/>
          </w:tcPr>
          <w:p w14:paraId="7CE08F39">
            <w:pPr>
              <w:pStyle w:val="34"/>
            </w:pPr>
            <w:r>
              <w:t>小~中</w:t>
            </w:r>
          </w:p>
        </w:tc>
        <w:tc>
          <w:tcPr>
            <w:tcW w:w="803" w:type="dxa"/>
            <w:vAlign w:val="center"/>
          </w:tcPr>
          <w:p w14:paraId="4DE38AA6">
            <w:pPr>
              <w:pStyle w:val="34"/>
            </w:pPr>
            <w:r>
              <w:t>中~大</w:t>
            </w:r>
          </w:p>
        </w:tc>
      </w:tr>
    </w:tbl>
    <w:p w14:paraId="2A039F1A">
      <w:pPr>
        <w:pStyle w:val="4"/>
      </w:pPr>
      <w:bookmarkStart w:id="547" w:name="_Toc217977933"/>
      <w:bookmarkStart w:id="548" w:name="_Toc198042336"/>
      <w:r>
        <w:t>风险事故情形分析</w:t>
      </w:r>
      <w:bookmarkEnd w:id="547"/>
      <w:bookmarkEnd w:id="548"/>
    </w:p>
    <w:p w14:paraId="67FB6582">
      <w:pPr>
        <w:pStyle w:val="5"/>
      </w:pPr>
      <w:r>
        <w:rPr>
          <w:rFonts w:hint="eastAsia"/>
        </w:rPr>
        <w:t>码头风险事故统计分析</w:t>
      </w:r>
    </w:p>
    <w:p w14:paraId="32722DDB">
      <w:pPr>
        <w:pStyle w:val="6"/>
      </w:pPr>
      <w:r>
        <w:rPr>
          <w:rFonts w:hint="eastAsia"/>
        </w:rPr>
        <w:t>海域污染事故统计分析</w:t>
      </w:r>
    </w:p>
    <w:p w14:paraId="6155E72D">
      <w:pPr>
        <w:ind w:firstLine="439"/>
        <w:rPr>
          <w:b/>
        </w:rPr>
      </w:pPr>
      <w:r>
        <w:rPr>
          <w:rFonts w:hint="eastAsia"/>
          <w:b/>
        </w:rPr>
        <w:t>一</w:t>
      </w:r>
      <w:r>
        <w:rPr>
          <w:b/>
        </w:rPr>
        <w:t>、国内船舶溢油事故统计</w:t>
      </w:r>
    </w:p>
    <w:p w14:paraId="3792812A">
      <w:pPr>
        <w:ind w:firstLine="437"/>
      </w:pPr>
      <w:r>
        <w:rPr>
          <w:rFonts w:hint="eastAsia"/>
        </w:rPr>
        <w:t>据我国1997年以来统计资料（见表5.3-1和表5.3-2），期间发生的452起溢油事故中，原因主要是油轮突于恶劣天气，风大、流急、浪高，加之轮机失控，造成船舶触礁、碰撞、搁浅引起溢油污染事故，其中碰撞和搁浅造成的事故占总事故的55.3%，相应的溢油量占总溢油量的43.6%。其中，事故溢油规模在1吨以上溢油事故178起，其中操作性事故145起，占总溢油事故的82%；灾难性事故33起，占总溢油事故的18%。145起操作性事故的溢油量为648t，平均每起溢油量为4.7t，占总溢油量的8%；33起灾难性溢油量为7735t，平均每起溢油量为234t，占总溢油量的92%。178起溢油事故的溢油量总计8383t，总平均每起溢油量47吨。可见，操作性事故的溢油量平均5t左右，灾难性事故的溢油量平均250t左右。但统计是基于油船事故，其溢油量中绝大部分是油船本身所载油品泄漏所致，而其他船舶的燃料油泄漏要远小于该泄漏量。</w:t>
      </w:r>
    </w:p>
    <w:p w14:paraId="0A71FD9B">
      <w:pPr>
        <w:pStyle w:val="7"/>
      </w:pPr>
      <w:r>
        <w:rPr>
          <w:rFonts w:hint="eastAsia"/>
        </w:rPr>
        <w:t>1997年以来我国港口年船舶、码头溢油事故统计结果</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14"/>
        <w:gridCol w:w="912"/>
        <w:gridCol w:w="1121"/>
        <w:gridCol w:w="891"/>
        <w:gridCol w:w="888"/>
        <w:gridCol w:w="885"/>
        <w:gridCol w:w="1249"/>
        <w:gridCol w:w="774"/>
        <w:gridCol w:w="888"/>
      </w:tblGrid>
      <w:tr w14:paraId="107893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914" w:type="dxa"/>
            <w:vMerge w:val="restart"/>
            <w:vAlign w:val="center"/>
          </w:tcPr>
          <w:p w14:paraId="521AD283">
            <w:pPr>
              <w:pStyle w:val="34"/>
            </w:pPr>
            <w:r>
              <w:rPr>
                <w:rFonts w:hint="eastAsia"/>
              </w:rPr>
              <w:t>事故原因</w:t>
            </w:r>
          </w:p>
        </w:tc>
        <w:tc>
          <w:tcPr>
            <w:tcW w:w="912" w:type="dxa"/>
            <w:vMerge w:val="restart"/>
            <w:vAlign w:val="center"/>
          </w:tcPr>
          <w:p w14:paraId="6A0AD610">
            <w:pPr>
              <w:pStyle w:val="34"/>
            </w:pPr>
            <w:r>
              <w:rPr>
                <w:rFonts w:hint="eastAsia"/>
              </w:rPr>
              <w:t>事故次数</w:t>
            </w:r>
          </w:p>
        </w:tc>
        <w:tc>
          <w:tcPr>
            <w:tcW w:w="1121" w:type="dxa"/>
            <w:vMerge w:val="restart"/>
            <w:vAlign w:val="center"/>
          </w:tcPr>
          <w:p w14:paraId="3CC301EC">
            <w:pPr>
              <w:pStyle w:val="34"/>
            </w:pPr>
            <w:r>
              <w:rPr>
                <w:rFonts w:hint="eastAsia"/>
              </w:rPr>
              <w:t>占总数比例（</w:t>
            </w:r>
            <w:r>
              <w:t>%</w:t>
            </w:r>
            <w:r>
              <w:rPr>
                <w:rFonts w:hint="eastAsia"/>
              </w:rPr>
              <w:t>）</w:t>
            </w:r>
          </w:p>
        </w:tc>
        <w:tc>
          <w:tcPr>
            <w:tcW w:w="5575" w:type="dxa"/>
            <w:gridSpan w:val="6"/>
            <w:vAlign w:val="center"/>
          </w:tcPr>
          <w:p w14:paraId="202D99F8">
            <w:pPr>
              <w:pStyle w:val="34"/>
            </w:pPr>
            <w:r>
              <w:rPr>
                <w:rFonts w:hint="eastAsia"/>
              </w:rPr>
              <w:t>溢油事故发生地区</w:t>
            </w:r>
          </w:p>
        </w:tc>
      </w:tr>
      <w:tr w14:paraId="1B9F2E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914" w:type="dxa"/>
            <w:vMerge w:val="continue"/>
            <w:vAlign w:val="center"/>
          </w:tcPr>
          <w:p w14:paraId="7CC9836B">
            <w:pPr>
              <w:pStyle w:val="34"/>
            </w:pPr>
          </w:p>
        </w:tc>
        <w:tc>
          <w:tcPr>
            <w:tcW w:w="912" w:type="dxa"/>
            <w:vMerge w:val="continue"/>
            <w:vAlign w:val="center"/>
          </w:tcPr>
          <w:p w14:paraId="59C38912">
            <w:pPr>
              <w:pStyle w:val="34"/>
            </w:pPr>
          </w:p>
        </w:tc>
        <w:tc>
          <w:tcPr>
            <w:tcW w:w="1121" w:type="dxa"/>
            <w:vMerge w:val="continue"/>
            <w:vAlign w:val="center"/>
          </w:tcPr>
          <w:p w14:paraId="3D6E5247">
            <w:pPr>
              <w:pStyle w:val="34"/>
            </w:pPr>
          </w:p>
        </w:tc>
        <w:tc>
          <w:tcPr>
            <w:tcW w:w="891" w:type="dxa"/>
            <w:vAlign w:val="center"/>
          </w:tcPr>
          <w:p w14:paraId="4C57465C">
            <w:pPr>
              <w:pStyle w:val="34"/>
            </w:pPr>
            <w:r>
              <w:rPr>
                <w:rFonts w:hint="eastAsia"/>
              </w:rPr>
              <w:t>码头</w:t>
            </w:r>
          </w:p>
        </w:tc>
        <w:tc>
          <w:tcPr>
            <w:tcW w:w="888" w:type="dxa"/>
            <w:vAlign w:val="center"/>
          </w:tcPr>
          <w:p w14:paraId="4B3305B9">
            <w:pPr>
              <w:pStyle w:val="34"/>
            </w:pPr>
            <w:r>
              <w:rPr>
                <w:rFonts w:hint="eastAsia"/>
              </w:rPr>
              <w:t>港湾</w:t>
            </w:r>
          </w:p>
        </w:tc>
        <w:tc>
          <w:tcPr>
            <w:tcW w:w="885" w:type="dxa"/>
            <w:vAlign w:val="center"/>
          </w:tcPr>
          <w:p w14:paraId="7F6F5CED">
            <w:pPr>
              <w:pStyle w:val="34"/>
            </w:pPr>
            <w:r>
              <w:rPr>
                <w:rFonts w:hint="eastAsia"/>
              </w:rPr>
              <w:t>进港航道</w:t>
            </w:r>
          </w:p>
        </w:tc>
        <w:tc>
          <w:tcPr>
            <w:tcW w:w="1249" w:type="dxa"/>
            <w:vAlign w:val="center"/>
          </w:tcPr>
          <w:p w14:paraId="6E4CDE51">
            <w:pPr>
              <w:pStyle w:val="34"/>
            </w:pPr>
            <w:r>
              <w:rPr>
                <w:rFonts w:hint="eastAsia"/>
              </w:rPr>
              <w:t xml:space="preserve">近岸 </w:t>
            </w:r>
            <w:r>
              <w:t xml:space="preserve">50 </w:t>
            </w:r>
            <w:r>
              <w:rPr>
                <w:rFonts w:hint="eastAsia"/>
              </w:rPr>
              <w:t>海里以内</w:t>
            </w:r>
          </w:p>
        </w:tc>
        <w:tc>
          <w:tcPr>
            <w:tcW w:w="774" w:type="dxa"/>
            <w:vAlign w:val="center"/>
          </w:tcPr>
          <w:p w14:paraId="15F9AAC3">
            <w:pPr>
              <w:pStyle w:val="34"/>
            </w:pPr>
            <w:r>
              <w:rPr>
                <w:rFonts w:hint="eastAsia"/>
              </w:rPr>
              <w:t>外海</w:t>
            </w:r>
          </w:p>
        </w:tc>
        <w:tc>
          <w:tcPr>
            <w:tcW w:w="888" w:type="dxa"/>
            <w:vAlign w:val="center"/>
          </w:tcPr>
          <w:p w14:paraId="2618AC85">
            <w:pPr>
              <w:pStyle w:val="34"/>
            </w:pPr>
            <w:r>
              <w:rPr>
                <w:rFonts w:hint="eastAsia"/>
              </w:rPr>
              <w:t>其他地区</w:t>
            </w:r>
          </w:p>
        </w:tc>
      </w:tr>
      <w:tr w14:paraId="10A358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vAlign w:val="center"/>
          </w:tcPr>
          <w:p w14:paraId="44BC4A18">
            <w:pPr>
              <w:pStyle w:val="34"/>
            </w:pPr>
            <w:r>
              <w:rPr>
                <w:rFonts w:hint="eastAsia"/>
              </w:rPr>
              <w:t>机械事故</w:t>
            </w:r>
          </w:p>
        </w:tc>
        <w:tc>
          <w:tcPr>
            <w:tcW w:w="912" w:type="dxa"/>
            <w:vAlign w:val="center"/>
          </w:tcPr>
          <w:p w14:paraId="06736652">
            <w:pPr>
              <w:pStyle w:val="34"/>
            </w:pPr>
            <w:r>
              <w:t>11</w:t>
            </w:r>
          </w:p>
        </w:tc>
        <w:tc>
          <w:tcPr>
            <w:tcW w:w="1121" w:type="dxa"/>
            <w:vAlign w:val="center"/>
          </w:tcPr>
          <w:p w14:paraId="142904F9">
            <w:pPr>
              <w:pStyle w:val="34"/>
            </w:pPr>
            <w:r>
              <w:t>2</w:t>
            </w:r>
          </w:p>
        </w:tc>
        <w:tc>
          <w:tcPr>
            <w:tcW w:w="891" w:type="dxa"/>
            <w:vAlign w:val="center"/>
          </w:tcPr>
          <w:p w14:paraId="04B08C3E">
            <w:pPr>
              <w:pStyle w:val="34"/>
            </w:pPr>
            <w:r>
              <w:t>0</w:t>
            </w:r>
          </w:p>
        </w:tc>
        <w:tc>
          <w:tcPr>
            <w:tcW w:w="888" w:type="dxa"/>
            <w:vAlign w:val="center"/>
          </w:tcPr>
          <w:p w14:paraId="0400DA74">
            <w:pPr>
              <w:pStyle w:val="34"/>
            </w:pPr>
            <w:r>
              <w:t>1</w:t>
            </w:r>
          </w:p>
        </w:tc>
        <w:tc>
          <w:tcPr>
            <w:tcW w:w="885" w:type="dxa"/>
            <w:vAlign w:val="center"/>
          </w:tcPr>
          <w:p w14:paraId="2FC942E6">
            <w:pPr>
              <w:pStyle w:val="34"/>
            </w:pPr>
            <w:r>
              <w:t>1</w:t>
            </w:r>
          </w:p>
        </w:tc>
        <w:tc>
          <w:tcPr>
            <w:tcW w:w="1249" w:type="dxa"/>
            <w:vAlign w:val="center"/>
          </w:tcPr>
          <w:p w14:paraId="57183237">
            <w:pPr>
              <w:pStyle w:val="34"/>
            </w:pPr>
            <w:r>
              <w:t>5</w:t>
            </w:r>
          </w:p>
        </w:tc>
        <w:tc>
          <w:tcPr>
            <w:tcW w:w="774" w:type="dxa"/>
            <w:vAlign w:val="center"/>
          </w:tcPr>
          <w:p w14:paraId="564B5ED1">
            <w:pPr>
              <w:pStyle w:val="34"/>
            </w:pPr>
            <w:r>
              <w:t>3</w:t>
            </w:r>
          </w:p>
        </w:tc>
        <w:tc>
          <w:tcPr>
            <w:tcW w:w="888" w:type="dxa"/>
            <w:vAlign w:val="center"/>
          </w:tcPr>
          <w:p w14:paraId="248154EA">
            <w:pPr>
              <w:pStyle w:val="34"/>
            </w:pPr>
            <w:r>
              <w:t>1</w:t>
            </w:r>
          </w:p>
        </w:tc>
      </w:tr>
      <w:tr w14:paraId="78C2C8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vAlign w:val="center"/>
          </w:tcPr>
          <w:p w14:paraId="6584D32C">
            <w:pPr>
              <w:pStyle w:val="34"/>
            </w:pPr>
            <w:r>
              <w:rPr>
                <w:rFonts w:hint="eastAsia"/>
              </w:rPr>
              <w:t>碰撞</w:t>
            </w:r>
          </w:p>
        </w:tc>
        <w:tc>
          <w:tcPr>
            <w:tcW w:w="912" w:type="dxa"/>
            <w:vAlign w:val="center"/>
          </w:tcPr>
          <w:p w14:paraId="33A61CF2">
            <w:pPr>
              <w:pStyle w:val="34"/>
            </w:pPr>
            <w:r>
              <w:t>126</w:t>
            </w:r>
          </w:p>
        </w:tc>
        <w:tc>
          <w:tcPr>
            <w:tcW w:w="1121" w:type="dxa"/>
            <w:vAlign w:val="center"/>
          </w:tcPr>
          <w:p w14:paraId="06B14137">
            <w:pPr>
              <w:pStyle w:val="34"/>
            </w:pPr>
            <w:r>
              <w:t>28</w:t>
            </w:r>
          </w:p>
        </w:tc>
        <w:tc>
          <w:tcPr>
            <w:tcW w:w="891" w:type="dxa"/>
            <w:vAlign w:val="center"/>
          </w:tcPr>
          <w:p w14:paraId="591F9187">
            <w:pPr>
              <w:pStyle w:val="34"/>
            </w:pPr>
            <w:r>
              <w:t>5</w:t>
            </w:r>
          </w:p>
        </w:tc>
        <w:tc>
          <w:tcPr>
            <w:tcW w:w="888" w:type="dxa"/>
            <w:vAlign w:val="center"/>
          </w:tcPr>
          <w:p w14:paraId="2B1ECAE0">
            <w:pPr>
              <w:pStyle w:val="34"/>
            </w:pPr>
            <w:r>
              <w:t>41</w:t>
            </w:r>
          </w:p>
        </w:tc>
        <w:tc>
          <w:tcPr>
            <w:tcW w:w="885" w:type="dxa"/>
            <w:vAlign w:val="center"/>
          </w:tcPr>
          <w:p w14:paraId="5759BD41">
            <w:pPr>
              <w:pStyle w:val="34"/>
            </w:pPr>
            <w:r>
              <w:t>25</w:t>
            </w:r>
          </w:p>
        </w:tc>
        <w:tc>
          <w:tcPr>
            <w:tcW w:w="1249" w:type="dxa"/>
            <w:vAlign w:val="center"/>
          </w:tcPr>
          <w:p w14:paraId="28BE4433">
            <w:pPr>
              <w:pStyle w:val="34"/>
            </w:pPr>
            <w:r>
              <w:t>45</w:t>
            </w:r>
          </w:p>
        </w:tc>
        <w:tc>
          <w:tcPr>
            <w:tcW w:w="774" w:type="dxa"/>
            <w:vAlign w:val="center"/>
          </w:tcPr>
          <w:p w14:paraId="264B2D59">
            <w:pPr>
              <w:pStyle w:val="34"/>
            </w:pPr>
            <w:r>
              <w:t>9</w:t>
            </w:r>
          </w:p>
        </w:tc>
        <w:tc>
          <w:tcPr>
            <w:tcW w:w="888" w:type="dxa"/>
            <w:vAlign w:val="center"/>
          </w:tcPr>
          <w:p w14:paraId="2D177A7D">
            <w:pPr>
              <w:pStyle w:val="34"/>
            </w:pPr>
            <w:r>
              <w:t>1</w:t>
            </w:r>
          </w:p>
        </w:tc>
      </w:tr>
      <w:tr w14:paraId="33869A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vAlign w:val="center"/>
          </w:tcPr>
          <w:p w14:paraId="637FA9D9">
            <w:pPr>
              <w:pStyle w:val="34"/>
            </w:pPr>
            <w:r>
              <w:rPr>
                <w:rFonts w:hint="eastAsia"/>
              </w:rPr>
              <w:t>爆炸</w:t>
            </w:r>
          </w:p>
        </w:tc>
        <w:tc>
          <w:tcPr>
            <w:tcW w:w="912" w:type="dxa"/>
            <w:vAlign w:val="center"/>
          </w:tcPr>
          <w:p w14:paraId="33A3E1CB">
            <w:pPr>
              <w:pStyle w:val="34"/>
            </w:pPr>
            <w:r>
              <w:t>31</w:t>
            </w:r>
          </w:p>
        </w:tc>
        <w:tc>
          <w:tcPr>
            <w:tcW w:w="1121" w:type="dxa"/>
            <w:vAlign w:val="center"/>
          </w:tcPr>
          <w:p w14:paraId="3119FB2B">
            <w:pPr>
              <w:pStyle w:val="34"/>
            </w:pPr>
            <w:r>
              <w:t>7</w:t>
            </w:r>
          </w:p>
        </w:tc>
        <w:tc>
          <w:tcPr>
            <w:tcW w:w="891" w:type="dxa"/>
            <w:vAlign w:val="center"/>
          </w:tcPr>
          <w:p w14:paraId="4CC572F8">
            <w:pPr>
              <w:pStyle w:val="34"/>
            </w:pPr>
            <w:r>
              <w:t>5</w:t>
            </w:r>
          </w:p>
        </w:tc>
        <w:tc>
          <w:tcPr>
            <w:tcW w:w="888" w:type="dxa"/>
            <w:vAlign w:val="center"/>
          </w:tcPr>
          <w:p w14:paraId="4DD85F79">
            <w:pPr>
              <w:pStyle w:val="34"/>
            </w:pPr>
            <w:r>
              <w:t>4</w:t>
            </w:r>
          </w:p>
        </w:tc>
        <w:tc>
          <w:tcPr>
            <w:tcW w:w="885" w:type="dxa"/>
            <w:vAlign w:val="center"/>
          </w:tcPr>
          <w:p w14:paraId="00D37476">
            <w:pPr>
              <w:pStyle w:val="34"/>
            </w:pPr>
            <w:r>
              <w:t>0</w:t>
            </w:r>
          </w:p>
        </w:tc>
        <w:tc>
          <w:tcPr>
            <w:tcW w:w="1249" w:type="dxa"/>
            <w:vAlign w:val="center"/>
          </w:tcPr>
          <w:p w14:paraId="4B277BA1">
            <w:pPr>
              <w:pStyle w:val="34"/>
            </w:pPr>
            <w:r>
              <w:t>6</w:t>
            </w:r>
          </w:p>
        </w:tc>
        <w:tc>
          <w:tcPr>
            <w:tcW w:w="774" w:type="dxa"/>
            <w:vAlign w:val="center"/>
          </w:tcPr>
          <w:p w14:paraId="44BEA223">
            <w:pPr>
              <w:pStyle w:val="34"/>
            </w:pPr>
            <w:r>
              <w:t>15</w:t>
            </w:r>
          </w:p>
        </w:tc>
        <w:tc>
          <w:tcPr>
            <w:tcW w:w="888" w:type="dxa"/>
            <w:vAlign w:val="center"/>
          </w:tcPr>
          <w:p w14:paraId="605EE511">
            <w:pPr>
              <w:pStyle w:val="34"/>
            </w:pPr>
            <w:r>
              <w:t>1</w:t>
            </w:r>
          </w:p>
        </w:tc>
      </w:tr>
      <w:tr w14:paraId="78FD5E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vAlign w:val="center"/>
          </w:tcPr>
          <w:p w14:paraId="4DE3600C">
            <w:pPr>
              <w:pStyle w:val="34"/>
            </w:pPr>
            <w:r>
              <w:rPr>
                <w:rFonts w:hint="eastAsia"/>
              </w:rPr>
              <w:t>失火</w:t>
            </w:r>
          </w:p>
        </w:tc>
        <w:tc>
          <w:tcPr>
            <w:tcW w:w="912" w:type="dxa"/>
            <w:vAlign w:val="center"/>
          </w:tcPr>
          <w:p w14:paraId="26E883E1">
            <w:pPr>
              <w:pStyle w:val="34"/>
            </w:pPr>
            <w:r>
              <w:t>17</w:t>
            </w:r>
          </w:p>
        </w:tc>
        <w:tc>
          <w:tcPr>
            <w:tcW w:w="1121" w:type="dxa"/>
            <w:vAlign w:val="center"/>
          </w:tcPr>
          <w:p w14:paraId="41180835">
            <w:pPr>
              <w:pStyle w:val="34"/>
            </w:pPr>
            <w:r>
              <w:t>4</w:t>
            </w:r>
          </w:p>
        </w:tc>
        <w:tc>
          <w:tcPr>
            <w:tcW w:w="891" w:type="dxa"/>
            <w:vAlign w:val="center"/>
          </w:tcPr>
          <w:p w14:paraId="51FFBF4E">
            <w:pPr>
              <w:pStyle w:val="34"/>
            </w:pPr>
            <w:r>
              <w:t>10</w:t>
            </w:r>
          </w:p>
        </w:tc>
        <w:tc>
          <w:tcPr>
            <w:tcW w:w="888" w:type="dxa"/>
            <w:vAlign w:val="center"/>
          </w:tcPr>
          <w:p w14:paraId="5B5AFC4F">
            <w:pPr>
              <w:pStyle w:val="34"/>
            </w:pPr>
            <w:r>
              <w:t>2</w:t>
            </w:r>
          </w:p>
        </w:tc>
        <w:tc>
          <w:tcPr>
            <w:tcW w:w="885" w:type="dxa"/>
            <w:vAlign w:val="center"/>
          </w:tcPr>
          <w:p w14:paraId="4C8E4EE5">
            <w:pPr>
              <w:pStyle w:val="34"/>
            </w:pPr>
            <w:r>
              <w:t>0</w:t>
            </w:r>
          </w:p>
        </w:tc>
        <w:tc>
          <w:tcPr>
            <w:tcW w:w="1249" w:type="dxa"/>
            <w:vAlign w:val="center"/>
          </w:tcPr>
          <w:p w14:paraId="0A758C20">
            <w:pPr>
              <w:pStyle w:val="34"/>
            </w:pPr>
            <w:r>
              <w:t>1</w:t>
            </w:r>
          </w:p>
        </w:tc>
        <w:tc>
          <w:tcPr>
            <w:tcW w:w="774" w:type="dxa"/>
            <w:vAlign w:val="center"/>
          </w:tcPr>
          <w:p w14:paraId="5A8D4E70">
            <w:pPr>
              <w:pStyle w:val="34"/>
            </w:pPr>
            <w:r>
              <w:t>4</w:t>
            </w:r>
          </w:p>
        </w:tc>
        <w:tc>
          <w:tcPr>
            <w:tcW w:w="888" w:type="dxa"/>
            <w:vAlign w:val="center"/>
          </w:tcPr>
          <w:p w14:paraId="7A06FBF8">
            <w:pPr>
              <w:pStyle w:val="34"/>
            </w:pPr>
            <w:r>
              <w:t>0</w:t>
            </w:r>
          </w:p>
        </w:tc>
      </w:tr>
      <w:tr w14:paraId="0D9DB6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vAlign w:val="center"/>
          </w:tcPr>
          <w:p w14:paraId="2B2960D8">
            <w:pPr>
              <w:pStyle w:val="34"/>
            </w:pPr>
            <w:r>
              <w:rPr>
                <w:rFonts w:hint="eastAsia"/>
              </w:rPr>
              <w:t>搁浅</w:t>
            </w:r>
          </w:p>
        </w:tc>
        <w:tc>
          <w:tcPr>
            <w:tcW w:w="912" w:type="dxa"/>
            <w:vAlign w:val="center"/>
          </w:tcPr>
          <w:p w14:paraId="6D74F7A3">
            <w:pPr>
              <w:pStyle w:val="34"/>
            </w:pPr>
            <w:r>
              <w:t>123</w:t>
            </w:r>
          </w:p>
        </w:tc>
        <w:tc>
          <w:tcPr>
            <w:tcW w:w="1121" w:type="dxa"/>
            <w:vAlign w:val="center"/>
          </w:tcPr>
          <w:p w14:paraId="3B4D18C2">
            <w:pPr>
              <w:pStyle w:val="34"/>
            </w:pPr>
            <w:r>
              <w:t>27</w:t>
            </w:r>
          </w:p>
        </w:tc>
        <w:tc>
          <w:tcPr>
            <w:tcW w:w="891" w:type="dxa"/>
            <w:vAlign w:val="center"/>
          </w:tcPr>
          <w:p w14:paraId="17BB9DBA">
            <w:pPr>
              <w:pStyle w:val="34"/>
            </w:pPr>
            <w:r>
              <w:t>1</w:t>
            </w:r>
          </w:p>
        </w:tc>
        <w:tc>
          <w:tcPr>
            <w:tcW w:w="888" w:type="dxa"/>
            <w:vAlign w:val="center"/>
          </w:tcPr>
          <w:p w14:paraId="139E947B">
            <w:pPr>
              <w:pStyle w:val="34"/>
            </w:pPr>
            <w:r>
              <w:t>27</w:t>
            </w:r>
          </w:p>
        </w:tc>
        <w:tc>
          <w:tcPr>
            <w:tcW w:w="885" w:type="dxa"/>
            <w:vAlign w:val="center"/>
          </w:tcPr>
          <w:p w14:paraId="45B2F718">
            <w:pPr>
              <w:pStyle w:val="34"/>
            </w:pPr>
            <w:r>
              <w:t>40</w:t>
            </w:r>
          </w:p>
        </w:tc>
        <w:tc>
          <w:tcPr>
            <w:tcW w:w="1249" w:type="dxa"/>
            <w:vAlign w:val="center"/>
          </w:tcPr>
          <w:p w14:paraId="7DBE2756">
            <w:pPr>
              <w:pStyle w:val="34"/>
            </w:pPr>
            <w:r>
              <w:t>53</w:t>
            </w:r>
          </w:p>
        </w:tc>
        <w:tc>
          <w:tcPr>
            <w:tcW w:w="774" w:type="dxa"/>
            <w:vAlign w:val="center"/>
          </w:tcPr>
          <w:p w14:paraId="02F8035C">
            <w:pPr>
              <w:pStyle w:val="34"/>
            </w:pPr>
            <w:r>
              <w:t>0</w:t>
            </w:r>
          </w:p>
        </w:tc>
        <w:tc>
          <w:tcPr>
            <w:tcW w:w="888" w:type="dxa"/>
            <w:vAlign w:val="center"/>
          </w:tcPr>
          <w:p w14:paraId="7FA5904C">
            <w:pPr>
              <w:pStyle w:val="34"/>
            </w:pPr>
            <w:r>
              <w:t>2</w:t>
            </w:r>
          </w:p>
        </w:tc>
      </w:tr>
      <w:tr w14:paraId="1E9880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vAlign w:val="center"/>
          </w:tcPr>
          <w:p w14:paraId="766CB6C8">
            <w:pPr>
              <w:pStyle w:val="34"/>
            </w:pPr>
            <w:r>
              <w:rPr>
                <w:rFonts w:hint="eastAsia"/>
              </w:rPr>
              <w:t>撞击</w:t>
            </w:r>
          </w:p>
        </w:tc>
        <w:tc>
          <w:tcPr>
            <w:tcW w:w="912" w:type="dxa"/>
            <w:vAlign w:val="center"/>
          </w:tcPr>
          <w:p w14:paraId="43AD1D87">
            <w:pPr>
              <w:pStyle w:val="34"/>
            </w:pPr>
            <w:r>
              <w:t>46</w:t>
            </w:r>
          </w:p>
        </w:tc>
        <w:tc>
          <w:tcPr>
            <w:tcW w:w="1121" w:type="dxa"/>
            <w:vAlign w:val="center"/>
          </w:tcPr>
          <w:p w14:paraId="63529C15">
            <w:pPr>
              <w:pStyle w:val="34"/>
            </w:pPr>
            <w:r>
              <w:t>10</w:t>
            </w:r>
          </w:p>
        </w:tc>
        <w:tc>
          <w:tcPr>
            <w:tcW w:w="891" w:type="dxa"/>
            <w:vAlign w:val="center"/>
          </w:tcPr>
          <w:p w14:paraId="733ABBE0">
            <w:pPr>
              <w:pStyle w:val="34"/>
            </w:pPr>
            <w:r>
              <w:t>18</w:t>
            </w:r>
          </w:p>
        </w:tc>
        <w:tc>
          <w:tcPr>
            <w:tcW w:w="888" w:type="dxa"/>
            <w:vAlign w:val="center"/>
          </w:tcPr>
          <w:p w14:paraId="2F466FF2">
            <w:pPr>
              <w:pStyle w:val="34"/>
            </w:pPr>
            <w:r>
              <w:t>15</w:t>
            </w:r>
          </w:p>
        </w:tc>
        <w:tc>
          <w:tcPr>
            <w:tcW w:w="885" w:type="dxa"/>
            <w:vAlign w:val="center"/>
          </w:tcPr>
          <w:p w14:paraId="3C415C39">
            <w:pPr>
              <w:pStyle w:val="34"/>
            </w:pPr>
            <w:r>
              <w:t>5</w:t>
            </w:r>
          </w:p>
        </w:tc>
        <w:tc>
          <w:tcPr>
            <w:tcW w:w="1249" w:type="dxa"/>
            <w:vAlign w:val="center"/>
          </w:tcPr>
          <w:p w14:paraId="327BD139">
            <w:pPr>
              <w:pStyle w:val="34"/>
            </w:pPr>
            <w:r>
              <w:t>5</w:t>
            </w:r>
          </w:p>
        </w:tc>
        <w:tc>
          <w:tcPr>
            <w:tcW w:w="774" w:type="dxa"/>
            <w:vAlign w:val="center"/>
          </w:tcPr>
          <w:p w14:paraId="53163B5E">
            <w:pPr>
              <w:pStyle w:val="34"/>
            </w:pPr>
            <w:r>
              <w:t>2</w:t>
            </w:r>
          </w:p>
        </w:tc>
        <w:tc>
          <w:tcPr>
            <w:tcW w:w="888" w:type="dxa"/>
            <w:vAlign w:val="center"/>
          </w:tcPr>
          <w:p w14:paraId="16F05FD1">
            <w:pPr>
              <w:pStyle w:val="34"/>
            </w:pPr>
            <w:r>
              <w:t>1</w:t>
            </w:r>
          </w:p>
        </w:tc>
      </w:tr>
      <w:tr w14:paraId="412B06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vAlign w:val="center"/>
          </w:tcPr>
          <w:p w14:paraId="5B797750">
            <w:pPr>
              <w:pStyle w:val="34"/>
            </w:pPr>
            <w:r>
              <w:rPr>
                <w:rFonts w:hint="eastAsia"/>
              </w:rPr>
              <w:t>结构破损</w:t>
            </w:r>
          </w:p>
        </w:tc>
        <w:tc>
          <w:tcPr>
            <w:tcW w:w="912" w:type="dxa"/>
            <w:vAlign w:val="center"/>
          </w:tcPr>
          <w:p w14:paraId="5DE330C5">
            <w:pPr>
              <w:pStyle w:val="34"/>
            </w:pPr>
            <w:r>
              <w:t>94</w:t>
            </w:r>
          </w:p>
        </w:tc>
        <w:tc>
          <w:tcPr>
            <w:tcW w:w="1121" w:type="dxa"/>
            <w:vAlign w:val="center"/>
          </w:tcPr>
          <w:p w14:paraId="6FD2E74E">
            <w:pPr>
              <w:pStyle w:val="34"/>
            </w:pPr>
            <w:r>
              <w:t>21</w:t>
            </w:r>
          </w:p>
        </w:tc>
        <w:tc>
          <w:tcPr>
            <w:tcW w:w="891" w:type="dxa"/>
            <w:vAlign w:val="center"/>
          </w:tcPr>
          <w:p w14:paraId="09009134">
            <w:pPr>
              <w:pStyle w:val="34"/>
            </w:pPr>
            <w:r>
              <w:t>8</w:t>
            </w:r>
          </w:p>
        </w:tc>
        <w:tc>
          <w:tcPr>
            <w:tcW w:w="888" w:type="dxa"/>
            <w:vAlign w:val="center"/>
          </w:tcPr>
          <w:p w14:paraId="75CF20B9">
            <w:pPr>
              <w:pStyle w:val="34"/>
            </w:pPr>
            <w:r>
              <w:t>9</w:t>
            </w:r>
          </w:p>
        </w:tc>
        <w:tc>
          <w:tcPr>
            <w:tcW w:w="885" w:type="dxa"/>
            <w:vAlign w:val="center"/>
          </w:tcPr>
          <w:p w14:paraId="26275930">
            <w:pPr>
              <w:pStyle w:val="34"/>
            </w:pPr>
            <w:r>
              <w:t>4</w:t>
            </w:r>
          </w:p>
        </w:tc>
        <w:tc>
          <w:tcPr>
            <w:tcW w:w="1249" w:type="dxa"/>
            <w:vAlign w:val="center"/>
          </w:tcPr>
          <w:p w14:paraId="4E954334">
            <w:pPr>
              <w:pStyle w:val="34"/>
            </w:pPr>
            <w:r>
              <w:t>7</w:t>
            </w:r>
          </w:p>
        </w:tc>
        <w:tc>
          <w:tcPr>
            <w:tcW w:w="774" w:type="dxa"/>
            <w:vAlign w:val="center"/>
          </w:tcPr>
          <w:p w14:paraId="4F4007A5">
            <w:pPr>
              <w:pStyle w:val="34"/>
            </w:pPr>
            <w:r>
              <w:t>54</w:t>
            </w:r>
          </w:p>
        </w:tc>
        <w:tc>
          <w:tcPr>
            <w:tcW w:w="888" w:type="dxa"/>
            <w:vAlign w:val="center"/>
          </w:tcPr>
          <w:p w14:paraId="6672120A">
            <w:pPr>
              <w:pStyle w:val="34"/>
            </w:pPr>
            <w:r>
              <w:t>12</w:t>
            </w:r>
          </w:p>
        </w:tc>
      </w:tr>
    </w:tbl>
    <w:p w14:paraId="2A9E0E7E">
      <w:pPr>
        <w:pStyle w:val="7"/>
      </w:pPr>
      <w:r>
        <w:rPr>
          <w:rFonts w:hint="eastAsia"/>
        </w:rPr>
        <w:t>1997年以来我国港口年船舶、码头溢油事故分类统计结果</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107"/>
        <w:gridCol w:w="2637"/>
        <w:gridCol w:w="2778"/>
      </w:tblGrid>
      <w:tr w14:paraId="081AEF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3107" w:type="dxa"/>
            <w:vAlign w:val="center"/>
          </w:tcPr>
          <w:p w14:paraId="0C9ED30A">
            <w:pPr>
              <w:spacing w:line="280" w:lineRule="exact"/>
              <w:ind w:firstLine="377"/>
              <w:jc w:val="center"/>
              <w:rPr>
                <w:kern w:val="0"/>
                <w:sz w:val="21"/>
                <w:szCs w:val="21"/>
              </w:rPr>
            </w:pPr>
            <w:r>
              <w:rPr>
                <w:rFonts w:hint="eastAsia"/>
                <w:kern w:val="0"/>
                <w:sz w:val="21"/>
                <w:szCs w:val="21"/>
              </w:rPr>
              <w:t>溢油事故类别</w:t>
            </w:r>
          </w:p>
        </w:tc>
        <w:tc>
          <w:tcPr>
            <w:tcW w:w="2637" w:type="dxa"/>
            <w:vAlign w:val="center"/>
          </w:tcPr>
          <w:p w14:paraId="4412E340">
            <w:pPr>
              <w:spacing w:line="280" w:lineRule="exact"/>
              <w:ind w:firstLine="377"/>
              <w:jc w:val="center"/>
              <w:rPr>
                <w:kern w:val="0"/>
                <w:sz w:val="21"/>
                <w:szCs w:val="21"/>
              </w:rPr>
            </w:pPr>
            <w:r>
              <w:rPr>
                <w:rFonts w:hint="eastAsia"/>
                <w:kern w:val="0"/>
                <w:sz w:val="21"/>
                <w:szCs w:val="21"/>
              </w:rPr>
              <w:t>溢油次数</w:t>
            </w:r>
          </w:p>
        </w:tc>
        <w:tc>
          <w:tcPr>
            <w:tcW w:w="2778" w:type="dxa"/>
            <w:vAlign w:val="center"/>
          </w:tcPr>
          <w:p w14:paraId="23A4E611">
            <w:pPr>
              <w:spacing w:line="280" w:lineRule="exact"/>
              <w:ind w:firstLine="377"/>
              <w:jc w:val="center"/>
              <w:rPr>
                <w:kern w:val="0"/>
                <w:sz w:val="21"/>
                <w:szCs w:val="21"/>
              </w:rPr>
            </w:pPr>
            <w:r>
              <w:rPr>
                <w:rFonts w:hint="eastAsia"/>
                <w:kern w:val="0"/>
                <w:sz w:val="21"/>
                <w:szCs w:val="21"/>
              </w:rPr>
              <w:t>占总次数（</w:t>
            </w:r>
            <w:r>
              <w:rPr>
                <w:kern w:val="0"/>
                <w:sz w:val="21"/>
                <w:szCs w:val="21"/>
              </w:rPr>
              <w:t>%</w:t>
            </w:r>
            <w:r>
              <w:rPr>
                <w:rFonts w:hint="eastAsia"/>
                <w:kern w:val="0"/>
                <w:sz w:val="21"/>
                <w:szCs w:val="21"/>
              </w:rPr>
              <w:t>）</w:t>
            </w:r>
          </w:p>
        </w:tc>
      </w:tr>
      <w:tr w14:paraId="6B50A7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07" w:type="dxa"/>
            <w:vAlign w:val="center"/>
          </w:tcPr>
          <w:p w14:paraId="0C6396E3">
            <w:pPr>
              <w:spacing w:line="280" w:lineRule="exact"/>
              <w:ind w:firstLine="377"/>
              <w:jc w:val="center"/>
              <w:rPr>
                <w:kern w:val="0"/>
                <w:sz w:val="21"/>
                <w:szCs w:val="21"/>
              </w:rPr>
            </w:pPr>
            <w:r>
              <w:rPr>
                <w:rFonts w:hint="eastAsia"/>
                <w:kern w:val="0"/>
                <w:sz w:val="21"/>
                <w:szCs w:val="21"/>
              </w:rPr>
              <w:t>操作性事故</w:t>
            </w:r>
          </w:p>
        </w:tc>
        <w:tc>
          <w:tcPr>
            <w:tcW w:w="2637" w:type="dxa"/>
            <w:vAlign w:val="center"/>
          </w:tcPr>
          <w:p w14:paraId="63A04693">
            <w:pPr>
              <w:spacing w:line="280" w:lineRule="exact"/>
              <w:ind w:firstLine="377"/>
              <w:jc w:val="center"/>
              <w:rPr>
                <w:kern w:val="0"/>
                <w:sz w:val="21"/>
                <w:szCs w:val="21"/>
              </w:rPr>
            </w:pPr>
            <w:r>
              <w:rPr>
                <w:kern w:val="0"/>
                <w:sz w:val="21"/>
                <w:szCs w:val="21"/>
              </w:rPr>
              <w:t>145</w:t>
            </w:r>
          </w:p>
        </w:tc>
        <w:tc>
          <w:tcPr>
            <w:tcW w:w="2778" w:type="dxa"/>
            <w:vAlign w:val="center"/>
          </w:tcPr>
          <w:p w14:paraId="16C05384">
            <w:pPr>
              <w:spacing w:line="280" w:lineRule="exact"/>
              <w:ind w:firstLine="377"/>
              <w:jc w:val="center"/>
              <w:rPr>
                <w:kern w:val="0"/>
                <w:sz w:val="21"/>
                <w:szCs w:val="21"/>
              </w:rPr>
            </w:pPr>
            <w:r>
              <w:rPr>
                <w:kern w:val="0"/>
                <w:sz w:val="21"/>
                <w:szCs w:val="21"/>
              </w:rPr>
              <w:t xml:space="preserve">82.00 </w:t>
            </w:r>
          </w:p>
        </w:tc>
      </w:tr>
      <w:tr w14:paraId="3D0C93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07" w:type="dxa"/>
            <w:vAlign w:val="center"/>
          </w:tcPr>
          <w:p w14:paraId="10431E53">
            <w:pPr>
              <w:spacing w:line="280" w:lineRule="exact"/>
              <w:ind w:firstLine="377"/>
              <w:jc w:val="center"/>
              <w:rPr>
                <w:kern w:val="0"/>
                <w:sz w:val="21"/>
                <w:szCs w:val="21"/>
              </w:rPr>
            </w:pPr>
            <w:r>
              <w:rPr>
                <w:rFonts w:hint="eastAsia"/>
                <w:kern w:val="0"/>
                <w:sz w:val="21"/>
                <w:szCs w:val="21"/>
              </w:rPr>
              <w:t>灾难性事故</w:t>
            </w:r>
          </w:p>
        </w:tc>
        <w:tc>
          <w:tcPr>
            <w:tcW w:w="2637" w:type="dxa"/>
            <w:vAlign w:val="center"/>
          </w:tcPr>
          <w:p w14:paraId="79EF1384">
            <w:pPr>
              <w:spacing w:line="280" w:lineRule="exact"/>
              <w:ind w:firstLine="377"/>
              <w:jc w:val="center"/>
              <w:rPr>
                <w:kern w:val="0"/>
                <w:sz w:val="21"/>
                <w:szCs w:val="21"/>
              </w:rPr>
            </w:pPr>
            <w:r>
              <w:rPr>
                <w:kern w:val="0"/>
                <w:sz w:val="21"/>
                <w:szCs w:val="21"/>
              </w:rPr>
              <w:t>33</w:t>
            </w:r>
          </w:p>
        </w:tc>
        <w:tc>
          <w:tcPr>
            <w:tcW w:w="2778" w:type="dxa"/>
            <w:vAlign w:val="center"/>
          </w:tcPr>
          <w:p w14:paraId="63CCA616">
            <w:pPr>
              <w:spacing w:line="280" w:lineRule="exact"/>
              <w:ind w:firstLine="377"/>
              <w:jc w:val="center"/>
              <w:rPr>
                <w:kern w:val="0"/>
                <w:sz w:val="21"/>
                <w:szCs w:val="21"/>
              </w:rPr>
            </w:pPr>
            <w:r>
              <w:rPr>
                <w:kern w:val="0"/>
                <w:sz w:val="21"/>
                <w:szCs w:val="21"/>
              </w:rPr>
              <w:t xml:space="preserve">18.00 </w:t>
            </w:r>
          </w:p>
        </w:tc>
      </w:tr>
      <w:tr w14:paraId="1C978C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07" w:type="dxa"/>
            <w:vAlign w:val="center"/>
          </w:tcPr>
          <w:p w14:paraId="26704E41">
            <w:pPr>
              <w:spacing w:line="280" w:lineRule="exact"/>
              <w:ind w:firstLine="377"/>
              <w:jc w:val="center"/>
              <w:rPr>
                <w:kern w:val="0"/>
                <w:sz w:val="21"/>
                <w:szCs w:val="21"/>
              </w:rPr>
            </w:pPr>
            <w:r>
              <w:rPr>
                <w:rFonts w:hint="eastAsia"/>
                <w:kern w:val="0"/>
                <w:sz w:val="21"/>
                <w:szCs w:val="21"/>
              </w:rPr>
              <w:t>总计</w:t>
            </w:r>
          </w:p>
        </w:tc>
        <w:tc>
          <w:tcPr>
            <w:tcW w:w="2637" w:type="dxa"/>
            <w:vAlign w:val="center"/>
          </w:tcPr>
          <w:p w14:paraId="3D76D2A1">
            <w:pPr>
              <w:spacing w:line="280" w:lineRule="exact"/>
              <w:ind w:firstLine="377"/>
              <w:jc w:val="center"/>
              <w:rPr>
                <w:kern w:val="0"/>
                <w:sz w:val="21"/>
                <w:szCs w:val="21"/>
              </w:rPr>
            </w:pPr>
            <w:r>
              <w:rPr>
                <w:kern w:val="0"/>
                <w:sz w:val="21"/>
                <w:szCs w:val="21"/>
              </w:rPr>
              <w:t>178</w:t>
            </w:r>
          </w:p>
        </w:tc>
        <w:tc>
          <w:tcPr>
            <w:tcW w:w="2778" w:type="dxa"/>
            <w:vAlign w:val="center"/>
          </w:tcPr>
          <w:p w14:paraId="127B3B1D">
            <w:pPr>
              <w:spacing w:line="280" w:lineRule="exact"/>
              <w:ind w:firstLine="377"/>
              <w:jc w:val="center"/>
              <w:rPr>
                <w:kern w:val="0"/>
                <w:sz w:val="21"/>
                <w:szCs w:val="21"/>
              </w:rPr>
            </w:pPr>
            <w:r>
              <w:rPr>
                <w:kern w:val="0"/>
                <w:sz w:val="21"/>
                <w:szCs w:val="21"/>
              </w:rPr>
              <w:t xml:space="preserve">100.00 </w:t>
            </w:r>
          </w:p>
        </w:tc>
      </w:tr>
    </w:tbl>
    <w:p w14:paraId="7CE65646">
      <w:pPr>
        <w:ind w:firstLine="439"/>
        <w:jc w:val="left"/>
        <w:rPr>
          <w:b/>
          <w:kern w:val="0"/>
        </w:rPr>
      </w:pPr>
      <w:r>
        <w:rPr>
          <w:rFonts w:hint="eastAsia"/>
          <w:b/>
          <w:kern w:val="0"/>
        </w:rPr>
        <w:t>二</w:t>
      </w:r>
      <w:r>
        <w:rPr>
          <w:b/>
          <w:kern w:val="0"/>
        </w:rPr>
        <w:t>、</w:t>
      </w:r>
      <w:r>
        <w:rPr>
          <w:rFonts w:hint="eastAsia"/>
          <w:b/>
          <w:kern w:val="0"/>
        </w:rPr>
        <w:t>区域环境风险事故统计</w:t>
      </w:r>
    </w:p>
    <w:p w14:paraId="2B88A84D">
      <w:pPr>
        <w:ind w:firstLine="437"/>
        <w:rPr>
          <w:bCs/>
          <w:lang w:bidi="en-US"/>
        </w:rPr>
      </w:pPr>
      <w:r>
        <w:rPr>
          <w:rFonts w:hint="eastAsia"/>
          <w:bCs/>
          <w:lang w:bidi="en-US"/>
        </w:rPr>
        <w:t>根据广西海事局统计结果，2010年至2021年6月，广西沿海辖区共发生一般等级及以上水上交通事故64件。北海19件，防城港23件，钦州22件。64件事故中，一般等级事故35件，较大等级事故19件，重大等级事故10件。事故船舶类型中，普通货船53艘、工程船9艘、液货船2艘、渔船11艘、</w:t>
      </w:r>
      <w:r>
        <w:rPr>
          <w:rFonts w:hint="eastAsia"/>
          <w:bCs/>
          <w:lang w:eastAsia="zh-CN" w:bidi="en-US"/>
        </w:rPr>
        <w:t>其他</w:t>
      </w:r>
      <w:r>
        <w:rPr>
          <w:rFonts w:hint="eastAsia"/>
          <w:bCs/>
          <w:lang w:bidi="en-US"/>
        </w:rPr>
        <w:t>船舶8艘。经事故调查统计分析，造成事故的主要原因有：船舶航行中</w:t>
      </w:r>
      <w:r>
        <w:rPr>
          <w:rFonts w:hint="eastAsia"/>
          <w:bCs/>
          <w:lang w:eastAsia="zh-CN" w:bidi="en-US"/>
        </w:rPr>
        <w:t>瞭望</w:t>
      </w:r>
      <w:r>
        <w:rPr>
          <w:rFonts w:hint="eastAsia"/>
          <w:bCs/>
          <w:lang w:bidi="en-US"/>
        </w:rPr>
        <w:t>疏忽；船舶航行中未使用安全航速；两船在避让行动中，沟通不畅，避让不协调；船员在明火、封闭区间不按规定流程作业；船舶积载不当；内河船舶参与海上运输，不满足航行条件；商渔船碰撞中，渔船未按规定值守，保持正规</w:t>
      </w:r>
      <w:r>
        <w:rPr>
          <w:rFonts w:hint="eastAsia"/>
          <w:bCs/>
          <w:lang w:eastAsia="zh-CN" w:bidi="en-US"/>
        </w:rPr>
        <w:t>瞭望</w:t>
      </w:r>
      <w:r>
        <w:rPr>
          <w:rFonts w:hint="eastAsia"/>
          <w:bCs/>
          <w:lang w:bidi="en-US"/>
        </w:rPr>
        <w:t>；船舶日常维护保养不当；船员甲板作业不按规定穿着救生衣，人员意外落水造成事故损失扩大；未规定制定航次计划，冒险开航。</w:t>
      </w:r>
    </w:p>
    <w:p w14:paraId="34AD68F7">
      <w:pPr>
        <w:pStyle w:val="7"/>
      </w:pPr>
      <w:r>
        <w:rPr>
          <w:rFonts w:hint="eastAsia"/>
        </w:rPr>
        <w:t>2010~2021年广西沿海辖区水上交通事故一览表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59"/>
        <w:gridCol w:w="660"/>
        <w:gridCol w:w="660"/>
        <w:gridCol w:w="658"/>
        <w:gridCol w:w="658"/>
        <w:gridCol w:w="1130"/>
        <w:gridCol w:w="658"/>
        <w:gridCol w:w="1496"/>
        <w:gridCol w:w="1287"/>
        <w:gridCol w:w="656"/>
      </w:tblGrid>
      <w:tr w14:paraId="4111AC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9" w:type="dxa"/>
          </w:tcPr>
          <w:p w14:paraId="7BA0A125">
            <w:pPr>
              <w:pStyle w:val="34"/>
            </w:pPr>
            <w:r>
              <w:rPr>
                <w:rFonts w:hint="eastAsia"/>
              </w:rPr>
              <w:t>触礁</w:t>
            </w:r>
          </w:p>
        </w:tc>
        <w:tc>
          <w:tcPr>
            <w:tcW w:w="660" w:type="dxa"/>
          </w:tcPr>
          <w:p w14:paraId="5C530B57">
            <w:pPr>
              <w:pStyle w:val="34"/>
            </w:pPr>
            <w:r>
              <w:rPr>
                <w:rFonts w:hint="eastAsia"/>
              </w:rPr>
              <w:t>触碰</w:t>
            </w:r>
          </w:p>
        </w:tc>
        <w:tc>
          <w:tcPr>
            <w:tcW w:w="660" w:type="dxa"/>
          </w:tcPr>
          <w:p w14:paraId="78E6EF07">
            <w:pPr>
              <w:pStyle w:val="34"/>
            </w:pPr>
            <w:r>
              <w:rPr>
                <w:rFonts w:hint="eastAsia"/>
              </w:rPr>
              <w:t>碰撞</w:t>
            </w:r>
          </w:p>
        </w:tc>
        <w:tc>
          <w:tcPr>
            <w:tcW w:w="658" w:type="dxa"/>
          </w:tcPr>
          <w:p w14:paraId="4E6CEB5C">
            <w:pPr>
              <w:pStyle w:val="34"/>
            </w:pPr>
            <w:r>
              <w:rPr>
                <w:rFonts w:hint="eastAsia"/>
              </w:rPr>
              <w:t>搁浅</w:t>
            </w:r>
          </w:p>
        </w:tc>
        <w:tc>
          <w:tcPr>
            <w:tcW w:w="658" w:type="dxa"/>
          </w:tcPr>
          <w:p w14:paraId="438E002A">
            <w:pPr>
              <w:pStyle w:val="34"/>
            </w:pPr>
            <w:r>
              <w:rPr>
                <w:rFonts w:hint="eastAsia"/>
              </w:rPr>
              <w:t>风灾</w:t>
            </w:r>
          </w:p>
        </w:tc>
        <w:tc>
          <w:tcPr>
            <w:tcW w:w="1130" w:type="dxa"/>
          </w:tcPr>
          <w:p w14:paraId="39A919A2">
            <w:pPr>
              <w:pStyle w:val="34"/>
            </w:pPr>
            <w:r>
              <w:rPr>
                <w:rFonts w:hint="eastAsia"/>
              </w:rPr>
              <w:t>火灾/爆炸</w:t>
            </w:r>
          </w:p>
        </w:tc>
        <w:tc>
          <w:tcPr>
            <w:tcW w:w="658" w:type="dxa"/>
          </w:tcPr>
          <w:p w14:paraId="2749358B">
            <w:pPr>
              <w:pStyle w:val="34"/>
            </w:pPr>
            <w:r>
              <w:rPr>
                <w:rFonts w:hint="eastAsia"/>
              </w:rPr>
              <w:t>浪损</w:t>
            </w:r>
          </w:p>
        </w:tc>
        <w:tc>
          <w:tcPr>
            <w:tcW w:w="1496" w:type="dxa"/>
          </w:tcPr>
          <w:p w14:paraId="3E97D93B">
            <w:pPr>
              <w:pStyle w:val="34"/>
            </w:pPr>
            <w:r>
              <w:rPr>
                <w:rFonts w:hint="eastAsia"/>
              </w:rPr>
              <w:t>自沉（沉没）</w:t>
            </w:r>
          </w:p>
        </w:tc>
        <w:tc>
          <w:tcPr>
            <w:tcW w:w="1287" w:type="dxa"/>
          </w:tcPr>
          <w:p w14:paraId="62758E10">
            <w:pPr>
              <w:pStyle w:val="34"/>
            </w:pPr>
            <w:r>
              <w:rPr>
                <w:rFonts w:hint="eastAsia"/>
              </w:rPr>
              <w:t>操作性污染</w:t>
            </w:r>
          </w:p>
        </w:tc>
        <w:tc>
          <w:tcPr>
            <w:tcW w:w="656" w:type="dxa"/>
          </w:tcPr>
          <w:p w14:paraId="52D7EFA7">
            <w:pPr>
              <w:pStyle w:val="34"/>
            </w:pPr>
            <w:r>
              <w:rPr>
                <w:rFonts w:hint="eastAsia"/>
              </w:rPr>
              <w:t>其他</w:t>
            </w:r>
          </w:p>
        </w:tc>
      </w:tr>
      <w:tr w14:paraId="354C49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9" w:type="dxa"/>
          </w:tcPr>
          <w:p w14:paraId="5E12200E">
            <w:pPr>
              <w:pStyle w:val="34"/>
            </w:pPr>
            <w:r>
              <w:rPr>
                <w:rFonts w:hint="eastAsia"/>
              </w:rPr>
              <w:t>1</w:t>
            </w:r>
          </w:p>
        </w:tc>
        <w:tc>
          <w:tcPr>
            <w:tcW w:w="660" w:type="dxa"/>
          </w:tcPr>
          <w:p w14:paraId="78649638">
            <w:pPr>
              <w:pStyle w:val="34"/>
            </w:pPr>
            <w:r>
              <w:rPr>
                <w:rFonts w:hint="eastAsia"/>
              </w:rPr>
              <w:t>2</w:t>
            </w:r>
          </w:p>
        </w:tc>
        <w:tc>
          <w:tcPr>
            <w:tcW w:w="660" w:type="dxa"/>
          </w:tcPr>
          <w:p w14:paraId="45E3DA14">
            <w:pPr>
              <w:pStyle w:val="34"/>
            </w:pPr>
            <w:r>
              <w:rPr>
                <w:rFonts w:hint="eastAsia"/>
              </w:rPr>
              <w:t>19</w:t>
            </w:r>
          </w:p>
        </w:tc>
        <w:tc>
          <w:tcPr>
            <w:tcW w:w="658" w:type="dxa"/>
          </w:tcPr>
          <w:p w14:paraId="5132154B">
            <w:pPr>
              <w:pStyle w:val="34"/>
            </w:pPr>
            <w:r>
              <w:rPr>
                <w:rFonts w:hint="eastAsia"/>
              </w:rPr>
              <w:t>10</w:t>
            </w:r>
          </w:p>
        </w:tc>
        <w:tc>
          <w:tcPr>
            <w:tcW w:w="658" w:type="dxa"/>
          </w:tcPr>
          <w:p w14:paraId="0967CAE5">
            <w:pPr>
              <w:pStyle w:val="34"/>
            </w:pPr>
            <w:r>
              <w:rPr>
                <w:rFonts w:hint="eastAsia"/>
              </w:rPr>
              <w:t>2</w:t>
            </w:r>
          </w:p>
        </w:tc>
        <w:tc>
          <w:tcPr>
            <w:tcW w:w="1130" w:type="dxa"/>
          </w:tcPr>
          <w:p w14:paraId="6DDF7533">
            <w:pPr>
              <w:pStyle w:val="34"/>
            </w:pPr>
            <w:r>
              <w:rPr>
                <w:rFonts w:hint="eastAsia"/>
              </w:rPr>
              <w:t>2</w:t>
            </w:r>
          </w:p>
        </w:tc>
        <w:tc>
          <w:tcPr>
            <w:tcW w:w="658" w:type="dxa"/>
          </w:tcPr>
          <w:p w14:paraId="30A026B4">
            <w:pPr>
              <w:pStyle w:val="34"/>
            </w:pPr>
            <w:r>
              <w:rPr>
                <w:rFonts w:hint="eastAsia"/>
              </w:rPr>
              <w:t>0</w:t>
            </w:r>
          </w:p>
        </w:tc>
        <w:tc>
          <w:tcPr>
            <w:tcW w:w="1496" w:type="dxa"/>
          </w:tcPr>
          <w:p w14:paraId="0AF9A6EE">
            <w:pPr>
              <w:pStyle w:val="34"/>
            </w:pPr>
            <w:r>
              <w:rPr>
                <w:rFonts w:hint="eastAsia"/>
              </w:rPr>
              <w:t>18</w:t>
            </w:r>
          </w:p>
        </w:tc>
        <w:tc>
          <w:tcPr>
            <w:tcW w:w="1287" w:type="dxa"/>
          </w:tcPr>
          <w:p w14:paraId="26859C47">
            <w:pPr>
              <w:pStyle w:val="34"/>
            </w:pPr>
            <w:r>
              <w:rPr>
                <w:rFonts w:hint="eastAsia"/>
              </w:rPr>
              <w:t>0</w:t>
            </w:r>
          </w:p>
        </w:tc>
        <w:tc>
          <w:tcPr>
            <w:tcW w:w="656" w:type="dxa"/>
          </w:tcPr>
          <w:p w14:paraId="6EC922E3">
            <w:pPr>
              <w:pStyle w:val="34"/>
            </w:pPr>
            <w:r>
              <w:rPr>
                <w:rFonts w:hint="eastAsia"/>
              </w:rPr>
              <w:t>10</w:t>
            </w:r>
          </w:p>
        </w:tc>
      </w:tr>
    </w:tbl>
    <w:p w14:paraId="4A9F9CE9">
      <w:pPr>
        <w:ind w:firstLine="437"/>
        <w:rPr>
          <w:lang w:bidi="en-US"/>
        </w:rPr>
      </w:pPr>
      <w:r>
        <w:rPr>
          <w:rFonts w:hint="eastAsia"/>
          <w:lang w:bidi="en-US"/>
        </w:rPr>
        <w:t>根据广西海事局2016~2020年船舶污染事故统计结果，共发生广西海域船舶污染事故2起，均位于防城港区，详细信息见下表5.3-4。</w:t>
      </w:r>
    </w:p>
    <w:p w14:paraId="68536983">
      <w:pPr>
        <w:pStyle w:val="7"/>
      </w:pPr>
      <w:r>
        <w:rPr>
          <w:rFonts w:hint="eastAsia"/>
        </w:rPr>
        <w:t>2016~2020年广西沿海辖区船舶污染事故一览表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39"/>
        <w:gridCol w:w="1602"/>
        <w:gridCol w:w="1669"/>
        <w:gridCol w:w="1043"/>
        <w:gridCol w:w="825"/>
        <w:gridCol w:w="850"/>
        <w:gridCol w:w="1052"/>
        <w:gridCol w:w="842"/>
      </w:tblGrid>
      <w:tr w14:paraId="4C2292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39" w:type="dxa"/>
            <w:vAlign w:val="center"/>
          </w:tcPr>
          <w:p w14:paraId="6303C2BF">
            <w:pPr>
              <w:pStyle w:val="34"/>
            </w:pPr>
            <w:r>
              <w:rPr>
                <w:rFonts w:hint="eastAsia"/>
              </w:rPr>
              <w:t>年份</w:t>
            </w:r>
          </w:p>
        </w:tc>
        <w:tc>
          <w:tcPr>
            <w:tcW w:w="1602" w:type="dxa"/>
            <w:vAlign w:val="center"/>
          </w:tcPr>
          <w:p w14:paraId="2252F267">
            <w:pPr>
              <w:pStyle w:val="34"/>
            </w:pPr>
            <w:r>
              <w:rPr>
                <w:rFonts w:hint="eastAsia"/>
              </w:rPr>
              <w:t>地点</w:t>
            </w:r>
          </w:p>
        </w:tc>
        <w:tc>
          <w:tcPr>
            <w:tcW w:w="1669" w:type="dxa"/>
            <w:vAlign w:val="center"/>
          </w:tcPr>
          <w:p w14:paraId="632A2B2A">
            <w:pPr>
              <w:pStyle w:val="34"/>
            </w:pPr>
            <w:r>
              <w:rPr>
                <w:rFonts w:hint="eastAsia"/>
              </w:rPr>
              <w:t>事故名称</w:t>
            </w:r>
          </w:p>
        </w:tc>
        <w:tc>
          <w:tcPr>
            <w:tcW w:w="1043" w:type="dxa"/>
            <w:vAlign w:val="center"/>
          </w:tcPr>
          <w:p w14:paraId="63C6CA9D">
            <w:pPr>
              <w:pStyle w:val="34"/>
            </w:pPr>
            <w:r>
              <w:rPr>
                <w:rFonts w:hint="eastAsia"/>
              </w:rPr>
              <w:t>事故</w:t>
            </w:r>
          </w:p>
          <w:p w14:paraId="5C57D980">
            <w:pPr>
              <w:pStyle w:val="34"/>
            </w:pPr>
            <w:r>
              <w:rPr>
                <w:rFonts w:hint="eastAsia"/>
              </w:rPr>
              <w:t>等级</w:t>
            </w:r>
          </w:p>
        </w:tc>
        <w:tc>
          <w:tcPr>
            <w:tcW w:w="825" w:type="dxa"/>
            <w:vAlign w:val="center"/>
          </w:tcPr>
          <w:p w14:paraId="313FF5FE">
            <w:pPr>
              <w:pStyle w:val="34"/>
            </w:pPr>
            <w:r>
              <w:rPr>
                <w:rFonts w:hint="eastAsia"/>
              </w:rPr>
              <w:t>事故</w:t>
            </w:r>
          </w:p>
          <w:p w14:paraId="7DCCD9BA">
            <w:pPr>
              <w:pStyle w:val="34"/>
            </w:pPr>
            <w:r>
              <w:rPr>
                <w:rFonts w:hint="eastAsia"/>
              </w:rPr>
              <w:t>种类</w:t>
            </w:r>
          </w:p>
        </w:tc>
        <w:tc>
          <w:tcPr>
            <w:tcW w:w="850" w:type="dxa"/>
            <w:vAlign w:val="center"/>
          </w:tcPr>
          <w:p w14:paraId="36C9A736">
            <w:pPr>
              <w:pStyle w:val="34"/>
            </w:pPr>
            <w:r>
              <w:rPr>
                <w:rFonts w:hint="eastAsia"/>
              </w:rPr>
              <w:t>污染物名称</w:t>
            </w:r>
          </w:p>
        </w:tc>
        <w:tc>
          <w:tcPr>
            <w:tcW w:w="1052" w:type="dxa"/>
            <w:vAlign w:val="center"/>
          </w:tcPr>
          <w:p w14:paraId="71209928">
            <w:pPr>
              <w:pStyle w:val="34"/>
            </w:pPr>
            <w:r>
              <w:rPr>
                <w:rFonts w:hint="eastAsia"/>
              </w:rPr>
              <w:t>污染物数量</w:t>
            </w:r>
          </w:p>
        </w:tc>
        <w:tc>
          <w:tcPr>
            <w:tcW w:w="842" w:type="dxa"/>
            <w:vAlign w:val="center"/>
          </w:tcPr>
          <w:p w14:paraId="0AA08BDF">
            <w:pPr>
              <w:pStyle w:val="34"/>
            </w:pPr>
            <w:r>
              <w:rPr>
                <w:rFonts w:hint="eastAsia"/>
              </w:rPr>
              <w:t>种类</w:t>
            </w:r>
          </w:p>
        </w:tc>
      </w:tr>
      <w:tr w14:paraId="42A979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39" w:type="dxa"/>
            <w:vAlign w:val="center"/>
          </w:tcPr>
          <w:p w14:paraId="6562A8B4">
            <w:pPr>
              <w:pStyle w:val="34"/>
            </w:pPr>
            <w:r>
              <w:rPr>
                <w:rFonts w:hint="eastAsia"/>
              </w:rPr>
              <w:t>2016</w:t>
            </w:r>
          </w:p>
        </w:tc>
        <w:tc>
          <w:tcPr>
            <w:tcW w:w="1602" w:type="dxa"/>
            <w:vAlign w:val="center"/>
          </w:tcPr>
          <w:p w14:paraId="14EEECC4">
            <w:pPr>
              <w:pStyle w:val="34"/>
            </w:pPr>
            <w:r>
              <w:rPr>
                <w:rFonts w:hint="eastAsia"/>
              </w:rPr>
              <w:t>江山双墩码头</w:t>
            </w:r>
          </w:p>
          <w:p w14:paraId="2CFDD9D8">
            <w:pPr>
              <w:pStyle w:val="34"/>
            </w:pPr>
            <w:r>
              <w:rPr>
                <w:rFonts w:hint="eastAsia"/>
              </w:rPr>
              <w:t>水域</w:t>
            </w:r>
          </w:p>
        </w:tc>
        <w:tc>
          <w:tcPr>
            <w:tcW w:w="1669" w:type="dxa"/>
            <w:vAlign w:val="center"/>
          </w:tcPr>
          <w:p w14:paraId="219B079E">
            <w:pPr>
              <w:pStyle w:val="34"/>
            </w:pPr>
            <w:r>
              <w:rPr>
                <w:rFonts w:hint="eastAsia"/>
              </w:rPr>
              <w:t>恒创12</w:t>
            </w:r>
          </w:p>
        </w:tc>
        <w:tc>
          <w:tcPr>
            <w:tcW w:w="1043" w:type="dxa"/>
            <w:vAlign w:val="center"/>
          </w:tcPr>
          <w:p w14:paraId="537FEB33">
            <w:pPr>
              <w:pStyle w:val="34"/>
            </w:pPr>
            <w:r>
              <w:rPr>
                <w:rFonts w:hint="eastAsia"/>
              </w:rPr>
              <w:t>小事故</w:t>
            </w:r>
          </w:p>
        </w:tc>
        <w:tc>
          <w:tcPr>
            <w:tcW w:w="825" w:type="dxa"/>
            <w:vAlign w:val="center"/>
          </w:tcPr>
          <w:p w14:paraId="6D6EE335">
            <w:pPr>
              <w:pStyle w:val="34"/>
            </w:pPr>
            <w:r>
              <w:rPr>
                <w:rFonts w:hint="eastAsia"/>
              </w:rPr>
              <w:t>操作失误</w:t>
            </w:r>
          </w:p>
        </w:tc>
        <w:tc>
          <w:tcPr>
            <w:tcW w:w="850" w:type="dxa"/>
            <w:vAlign w:val="center"/>
          </w:tcPr>
          <w:p w14:paraId="520F66BB">
            <w:pPr>
              <w:pStyle w:val="34"/>
            </w:pPr>
            <w:r>
              <w:rPr>
                <w:rFonts w:hint="eastAsia"/>
              </w:rPr>
              <w:t>污油</w:t>
            </w:r>
          </w:p>
        </w:tc>
        <w:tc>
          <w:tcPr>
            <w:tcW w:w="1052" w:type="dxa"/>
            <w:vAlign w:val="center"/>
          </w:tcPr>
          <w:p w14:paraId="33E50527">
            <w:pPr>
              <w:pStyle w:val="34"/>
            </w:pPr>
            <w:r>
              <w:t>0.05t</w:t>
            </w:r>
          </w:p>
        </w:tc>
        <w:tc>
          <w:tcPr>
            <w:tcW w:w="842" w:type="dxa"/>
            <w:vAlign w:val="center"/>
          </w:tcPr>
          <w:p w14:paraId="74036E40">
            <w:pPr>
              <w:pStyle w:val="34"/>
            </w:pPr>
            <w:r>
              <w:rPr>
                <w:rFonts w:hint="eastAsia"/>
              </w:rPr>
              <w:t>成品油</w:t>
            </w:r>
          </w:p>
        </w:tc>
      </w:tr>
      <w:tr w14:paraId="66D0B6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39" w:type="dxa"/>
            <w:vAlign w:val="center"/>
          </w:tcPr>
          <w:p w14:paraId="7A9C4FCD">
            <w:pPr>
              <w:pStyle w:val="34"/>
            </w:pPr>
            <w:r>
              <w:rPr>
                <w:rFonts w:hint="eastAsia"/>
              </w:rPr>
              <w:t>2018</w:t>
            </w:r>
          </w:p>
        </w:tc>
        <w:tc>
          <w:tcPr>
            <w:tcW w:w="1602" w:type="dxa"/>
            <w:vAlign w:val="center"/>
          </w:tcPr>
          <w:p w14:paraId="59AE7258">
            <w:pPr>
              <w:pStyle w:val="34"/>
            </w:pPr>
            <w:r>
              <w:rPr>
                <w:rFonts w:hint="eastAsia"/>
              </w:rPr>
              <w:t>防城港10#</w:t>
            </w:r>
          </w:p>
          <w:p w14:paraId="14657203">
            <w:pPr>
              <w:pStyle w:val="34"/>
            </w:pPr>
            <w:r>
              <w:rPr>
                <w:rFonts w:hint="eastAsia"/>
              </w:rPr>
              <w:t>泊位</w:t>
            </w:r>
          </w:p>
        </w:tc>
        <w:tc>
          <w:tcPr>
            <w:tcW w:w="1669" w:type="dxa"/>
            <w:vAlign w:val="center"/>
          </w:tcPr>
          <w:p w14:paraId="12D3A0FA">
            <w:pPr>
              <w:pStyle w:val="34"/>
            </w:pPr>
            <w:r>
              <w:t>THERESA DUA</w:t>
            </w:r>
          </w:p>
          <w:p w14:paraId="5BD36006">
            <w:pPr>
              <w:pStyle w:val="34"/>
            </w:pPr>
            <w:r>
              <w:rPr>
                <w:rFonts w:hint="eastAsia"/>
              </w:rPr>
              <w:t>操作性污染</w:t>
            </w:r>
          </w:p>
        </w:tc>
        <w:tc>
          <w:tcPr>
            <w:tcW w:w="1043" w:type="dxa"/>
            <w:vAlign w:val="center"/>
          </w:tcPr>
          <w:p w14:paraId="5717B1C7">
            <w:pPr>
              <w:pStyle w:val="34"/>
            </w:pPr>
            <w:r>
              <w:rPr>
                <w:rFonts w:hint="eastAsia"/>
              </w:rPr>
              <w:t>小事故</w:t>
            </w:r>
          </w:p>
        </w:tc>
        <w:tc>
          <w:tcPr>
            <w:tcW w:w="825" w:type="dxa"/>
            <w:vAlign w:val="center"/>
          </w:tcPr>
          <w:p w14:paraId="430BF2D7">
            <w:pPr>
              <w:pStyle w:val="34"/>
            </w:pPr>
            <w:r>
              <w:rPr>
                <w:rFonts w:hint="eastAsia"/>
              </w:rPr>
              <w:t>操作失误</w:t>
            </w:r>
          </w:p>
        </w:tc>
        <w:tc>
          <w:tcPr>
            <w:tcW w:w="850" w:type="dxa"/>
            <w:vAlign w:val="center"/>
          </w:tcPr>
          <w:p w14:paraId="3C6FE9E3">
            <w:pPr>
              <w:pStyle w:val="34"/>
            </w:pPr>
            <w:r>
              <w:rPr>
                <w:rFonts w:hint="eastAsia"/>
              </w:rPr>
              <w:t>污油</w:t>
            </w:r>
          </w:p>
        </w:tc>
        <w:tc>
          <w:tcPr>
            <w:tcW w:w="1052" w:type="dxa"/>
            <w:vAlign w:val="center"/>
          </w:tcPr>
          <w:p w14:paraId="2C6C83C1">
            <w:pPr>
              <w:pStyle w:val="34"/>
            </w:pPr>
            <w:r>
              <w:t>0.18t</w:t>
            </w:r>
          </w:p>
        </w:tc>
        <w:tc>
          <w:tcPr>
            <w:tcW w:w="842" w:type="dxa"/>
            <w:vAlign w:val="center"/>
          </w:tcPr>
          <w:p w14:paraId="5A07583B">
            <w:pPr>
              <w:pStyle w:val="34"/>
            </w:pPr>
            <w:r>
              <w:rPr>
                <w:rFonts w:hint="eastAsia"/>
              </w:rPr>
              <w:t>成品油</w:t>
            </w:r>
          </w:p>
        </w:tc>
      </w:tr>
    </w:tbl>
    <w:p w14:paraId="6FF49D56">
      <w:pPr>
        <w:ind w:firstLine="437"/>
        <w:rPr>
          <w:lang w:bidi="en-US"/>
        </w:rPr>
      </w:pPr>
      <w:r>
        <w:rPr>
          <w:lang w:bidi="en-US"/>
        </w:rPr>
        <w:t>钦州辖区船舶污染事故统计资料尚不完全，现有的统计资料中，仅2004年12月18日和2009年3月12日的污染事故对泄漏量有统计。2009年3月12日的事故概况如下：2009年3月12日，巴拿马籍“东方梦轮”（散货船）违规穿越航道，在能见度不良的情况下未使用安全航速，导致碰撞“粤阳江货0082轮”（干货船），造成0.5吨燃料油泄漏，沉船1艘，造成直接经济损失230余万元。</w:t>
      </w:r>
    </w:p>
    <w:p w14:paraId="1644EF98">
      <w:pPr>
        <w:ind w:firstLine="439"/>
        <w:rPr>
          <w:b/>
          <w:lang w:bidi="en-US"/>
        </w:rPr>
      </w:pPr>
      <w:r>
        <w:rPr>
          <w:rFonts w:hint="eastAsia"/>
          <w:b/>
          <w:lang w:bidi="en-US"/>
        </w:rPr>
        <w:t>三、本项目船舶污染事故概率分析</w:t>
      </w:r>
    </w:p>
    <w:p w14:paraId="6DA85DBA">
      <w:pPr>
        <w:ind w:firstLine="437"/>
        <w:rPr>
          <w:lang w:bidi="en-US"/>
        </w:rPr>
      </w:pPr>
      <w:r>
        <w:rPr>
          <w:rFonts w:hint="eastAsia"/>
          <w:lang w:bidi="en-US"/>
        </w:rPr>
        <w:t>以 2016~2020年数据为基础，广西海域内船舶污染事故2起，事故概率为2起/年。北部湾港辖区2016年~2020年进出港船舶数量约30000艘次/年，据此估算单船船舶污染事故频率为0.000067次/年。</w:t>
      </w:r>
    </w:p>
    <w:p w14:paraId="6F209BA8">
      <w:pPr>
        <w:pStyle w:val="6"/>
        <w:rPr>
          <w:lang w:bidi="en-US"/>
        </w:rPr>
      </w:pPr>
      <w:r>
        <w:rPr>
          <w:rFonts w:hint="eastAsia"/>
          <w:lang w:bidi="en-US"/>
        </w:rPr>
        <w:t>陆域范围内污染事故统计与分析</w:t>
      </w:r>
    </w:p>
    <w:p w14:paraId="51007C3C">
      <w:pPr>
        <w:ind w:firstLine="437"/>
      </w:pPr>
      <w:r>
        <w:rPr>
          <w:rFonts w:hint="eastAsia"/>
        </w:rPr>
        <w:t>装卸过程潜在事故主要是有毒有害物质的泄漏和火灾爆炸。结合国内外港口案例分析，</w:t>
      </w:r>
      <w:r>
        <w:t>危险货物集装箱在装卸过程中发生重大泄漏、着火、爆炸等恶性污染事故的先例几乎没有。根据国内集装箱装卸过程中的预防水平判断，该项目在装卸过程发生突发污染事故的概率极低。历史事故统计资料也表明，危险货物集装箱事故主要发生在船舶通航期间，在码头装卸过程中发生环境污染事故的概况极低。</w:t>
      </w:r>
    </w:p>
    <w:p w14:paraId="1AAADB8C">
      <w:pPr>
        <w:ind w:firstLine="439"/>
        <w:rPr>
          <w:b/>
        </w:rPr>
      </w:pPr>
      <w:r>
        <w:rPr>
          <w:rFonts w:hint="eastAsia"/>
          <w:b/>
        </w:rPr>
        <w:t>一、液态危险品泄漏事故</w:t>
      </w:r>
    </w:p>
    <w:p w14:paraId="27B543DB">
      <w:pPr>
        <w:ind w:firstLine="437"/>
      </w:pPr>
      <w:r>
        <w:rPr>
          <w:rFonts w:hint="eastAsia"/>
        </w:rPr>
        <w:t>根据《国际危规》要求，液态危险品一般有两种包装形式：①罐箱；②小桶包装后放入集装箱运输。其中罐箱的使用较为普遍。参考《建设项目环境风险评价技术导则》（HJ169-2018）中附录E，气体/常压单包容储罐泄漏孔径为10mm的泄漏频率为1.00×10</w:t>
      </w:r>
      <w:r>
        <w:rPr>
          <w:rFonts w:hint="eastAsia"/>
          <w:vertAlign w:val="superscript"/>
        </w:rPr>
        <w:t>-4</w:t>
      </w:r>
      <w:r>
        <w:rPr>
          <w:rFonts w:hint="eastAsia"/>
        </w:rPr>
        <w:t>/a；10分钟内泄漏完或储罐全破裂的泄漏频率为5.00×10</w:t>
      </w:r>
      <w:r>
        <w:rPr>
          <w:rFonts w:hint="eastAsia"/>
          <w:vertAlign w:val="superscript"/>
        </w:rPr>
        <w:t>-6</w:t>
      </w:r>
      <w:r>
        <w:rPr>
          <w:rFonts w:hint="eastAsia"/>
        </w:rPr>
        <w:t>/a。</w:t>
      </w:r>
    </w:p>
    <w:p w14:paraId="6FF8F2A9">
      <w:pPr>
        <w:ind w:firstLine="439"/>
        <w:rPr>
          <w:b/>
        </w:rPr>
      </w:pPr>
      <w:r>
        <w:rPr>
          <w:rFonts w:hint="eastAsia"/>
          <w:b/>
        </w:rPr>
        <w:t>二、固态危险品泄漏事故</w:t>
      </w:r>
    </w:p>
    <w:p w14:paraId="3C822FE3">
      <w:pPr>
        <w:ind w:firstLine="437"/>
        <w:rPr>
          <w:lang w:bidi="en-US"/>
        </w:rPr>
      </w:pPr>
      <w:r>
        <w:rPr>
          <w:rFonts w:hint="eastAsia"/>
        </w:rPr>
        <w:t>固态危险品在运输过程中需按照《国际危规》包装要求进行妥善包装，一般在独立小件包装的基础上再装入集装箱运输。发生箱体破裂且内包装泄漏的可能性很小，另外固体危险品发生泄漏后一般能够及时进行清扫回收利用，泄漏后造成的影响较小。</w:t>
      </w:r>
    </w:p>
    <w:p w14:paraId="790A6228">
      <w:pPr>
        <w:pStyle w:val="5"/>
      </w:pPr>
      <w:r>
        <w:t>源项确定</w:t>
      </w:r>
    </w:p>
    <w:p w14:paraId="1E649FEE">
      <w:pPr>
        <w:pStyle w:val="6"/>
      </w:pPr>
      <w:r>
        <w:rPr>
          <w:rFonts w:hint="eastAsia"/>
        </w:rPr>
        <w:t>危险物质筛选</w:t>
      </w:r>
    </w:p>
    <w:p w14:paraId="155829A2">
      <w:pPr>
        <w:ind w:firstLine="439"/>
        <w:rPr>
          <w:b/>
        </w:rPr>
      </w:pPr>
      <w:r>
        <w:rPr>
          <w:rFonts w:hint="eastAsia"/>
          <w:b/>
        </w:rPr>
        <w:t>一、水环境危险物质筛选</w:t>
      </w:r>
    </w:p>
    <w:p w14:paraId="7241D9DB">
      <w:pPr>
        <w:ind w:firstLine="437"/>
      </w:pPr>
      <w:r>
        <w:rPr>
          <w:rFonts w:hint="eastAsia"/>
        </w:rPr>
        <w:t>不同类型的危险品由于其特性不同，在水域中的污染风险表现是不同的。本项目危险品主要包括易燃、易爆、有毒液体、可溶性固体等。一般固体泄漏在短时间内对水环境污染危害较小，液体有毒有害物质泄漏，在短时间内将迅速扩散对水体质量造成的影响较大。</w:t>
      </w:r>
    </w:p>
    <w:p w14:paraId="634F94A0">
      <w:pPr>
        <w:ind w:firstLine="439"/>
      </w:pPr>
      <w:r>
        <w:rPr>
          <w:rFonts w:hint="eastAsia" w:ascii="宋体" w:hAnsi="宋体" w:cs="宋体"/>
          <w:b/>
        </w:rPr>
        <w:t>①</w:t>
      </w:r>
      <w:r>
        <w:rPr>
          <w:rFonts w:hint="eastAsia"/>
          <w:b/>
        </w:rPr>
        <w:t>不溶/难溶性，密度&lt;1g/cm</w:t>
      </w:r>
      <w:r>
        <w:rPr>
          <w:rFonts w:hint="eastAsia"/>
          <w:b/>
          <w:vertAlign w:val="superscript"/>
        </w:rPr>
        <w:t>3</w:t>
      </w:r>
      <w:r>
        <w:rPr>
          <w:rFonts w:hint="eastAsia"/>
          <w:b/>
        </w:rPr>
        <w:t>液态危险货物</w:t>
      </w:r>
      <w:r>
        <w:rPr>
          <w:rFonts w:hint="eastAsia"/>
        </w:rPr>
        <w:t>，主要包括苯</w:t>
      </w:r>
      <w:r>
        <w:rPr>
          <w:rFonts w:hint="eastAsia"/>
          <w:i/>
        </w:rPr>
        <w:t>、</w:t>
      </w:r>
      <w:r>
        <w:rPr>
          <w:rFonts w:hint="eastAsia"/>
        </w:rPr>
        <w:t>呋喃、丙烯酸丁酯、松节油、煤焦油等不溶或难溶于水，且密度较小的物质。发生泄漏风险事故时，一旦危险货物进入水域内将漂浮在水面上，在水动力条件和风、浪的综合作用下扩散，对周围水域的影响程度和范围均较大。综合考虑物质毒性、泄漏量、油膜厚度、转运量，燃料油对海洋环境影响较大，故选择船舶燃料油为油类代表物质进行预测评价。</w:t>
      </w:r>
    </w:p>
    <w:p w14:paraId="7F05B7E1">
      <w:pPr>
        <w:ind w:firstLine="439"/>
      </w:pPr>
      <w:r>
        <w:rPr>
          <w:rFonts w:hint="eastAsia" w:ascii="宋体" w:hAnsi="宋体" w:cs="宋体"/>
          <w:b/>
        </w:rPr>
        <w:t>②</w:t>
      </w:r>
      <w:r>
        <w:rPr>
          <w:rFonts w:hint="eastAsia"/>
          <w:b/>
        </w:rPr>
        <w:t>不溶/难溶性，密度＞1g/cm</w:t>
      </w:r>
      <w:r>
        <w:rPr>
          <w:rFonts w:hint="eastAsia"/>
          <w:b/>
          <w:vertAlign w:val="superscript"/>
        </w:rPr>
        <w:t>3</w:t>
      </w:r>
      <w:r>
        <w:rPr>
          <w:rFonts w:hint="eastAsia"/>
          <w:b/>
        </w:rPr>
        <w:t>液态危险货物，</w:t>
      </w:r>
      <w:r>
        <w:rPr>
          <w:rFonts w:hint="eastAsia"/>
        </w:rPr>
        <w:t>主要包括四氯化碳、氯苯、四氯乙烯等少量液体，泄漏后无助溶剂情况下此类物质泄漏后沉入海底，对海洋环境影响小，在此不针对此类物质入水后扩散的环境风险预测。</w:t>
      </w:r>
    </w:p>
    <w:p w14:paraId="196C3950">
      <w:pPr>
        <w:ind w:firstLine="439"/>
        <w:rPr>
          <w:u w:val="single"/>
        </w:rPr>
      </w:pPr>
      <w:r>
        <w:rPr>
          <w:rFonts w:hint="eastAsia" w:ascii="宋体" w:hAnsi="宋体"/>
          <w:b/>
        </w:rPr>
        <w:t>③</w:t>
      </w:r>
      <w:r>
        <w:rPr>
          <w:rFonts w:hint="eastAsia"/>
          <w:b/>
        </w:rPr>
        <w:t>不溶/难溶性，密度＞1g/cm</w:t>
      </w:r>
      <w:r>
        <w:rPr>
          <w:rFonts w:hint="eastAsia"/>
          <w:b/>
          <w:vertAlign w:val="superscript"/>
        </w:rPr>
        <w:t>3</w:t>
      </w:r>
      <w:r>
        <w:rPr>
          <w:rFonts w:hint="eastAsia"/>
          <w:b/>
        </w:rPr>
        <w:t>固态危险货物，</w:t>
      </w:r>
      <w:r>
        <w:rPr>
          <w:rFonts w:hint="eastAsia"/>
          <w:u w:val="single"/>
        </w:rPr>
        <w:t>包括有机固体二苯胺、无机固体硫磺、白磷、硅铝铁合金粉、砷单质、碳酸钡等，其中如硫磺、砷单质等块状固体因其形状，往往在水体中迅速沉底，基本不在水体中扩散；但如硅铝铁合金粉等粉状物质，虽然其不溶与水，但此类物质泄漏至水体中会随水体扩散，其扩散规律与悬浮物类似。本次评价选取粉末粒径较小、物质本身毒性较大的硅铝铁合金粉为此类型代表物质进行预测评价。</w:t>
      </w:r>
    </w:p>
    <w:p w14:paraId="67DF6E3A">
      <w:pPr>
        <w:ind w:firstLine="439"/>
      </w:pPr>
      <w:r>
        <w:rPr>
          <w:rFonts w:hint="eastAsia" w:ascii="宋体" w:hAnsi="宋体"/>
          <w:b/>
        </w:rPr>
        <w:t>④</w:t>
      </w:r>
      <w:r>
        <w:rPr>
          <w:rFonts w:hint="eastAsia"/>
          <w:b/>
        </w:rPr>
        <w:t>可溶/易溶性液体危险物质</w:t>
      </w:r>
      <w:r>
        <w:rPr>
          <w:rFonts w:hint="eastAsia"/>
        </w:rPr>
        <w:t>，包括硝酸、硫酸、硝酸铵等无机液体物质及铬酸酐、吡啶、己二腈等有机液体物质，该类危险物质一旦发生泄漏事故，难以收集和处理，若发生大量泄漏入海事件将会给周围海域生态环境带来一定的污染损害。</w:t>
      </w:r>
    </w:p>
    <w:p w14:paraId="0194A1CF">
      <w:pPr>
        <w:ind w:firstLine="437"/>
      </w:pPr>
      <w:r>
        <w:rPr>
          <w:rFonts w:hint="eastAsia"/>
        </w:rPr>
        <w:t>根据货类包装方式，可溶性有机液体等一般采用塑料桶+木箱包装后置于集装箱内，泄漏量不大，对水环境的主要影响为生物毒性影响，</w:t>
      </w:r>
      <w:r>
        <w:rPr>
          <w:rFonts w:hint="eastAsia"/>
          <w:b/>
        </w:rPr>
        <w:t>本次评价选择可溶性有机液体中生物毒性较大的</w:t>
      </w:r>
      <w:bookmarkStart w:id="549" w:name="OLE_LINK187"/>
      <w:r>
        <w:rPr>
          <w:rFonts w:hint="eastAsia"/>
          <w:b/>
        </w:rPr>
        <w:t>己二腈</w:t>
      </w:r>
      <w:bookmarkEnd w:id="549"/>
      <w:r>
        <w:rPr>
          <w:rFonts w:hint="eastAsia"/>
          <w:b/>
        </w:rPr>
        <w:t>为此类型代表物质进行预测评价。</w:t>
      </w:r>
    </w:p>
    <w:p w14:paraId="3E10238B">
      <w:pPr>
        <w:ind w:firstLine="437"/>
        <w:rPr>
          <w:b/>
        </w:rPr>
      </w:pPr>
      <w:r>
        <w:rPr>
          <w:rFonts w:hint="eastAsia"/>
        </w:rPr>
        <w:t>从对水生生物危害性而言，当水体pH发生变化时，对水生生物影响较大。同时本项目作业的大部分货类无相关海水质量标准作为评价依据，本次评价选取可溶性危险货物中转运量较大的磷酸及酸性较强的硫酸作为特征污染物，且磷酸包装方式含有罐箱，一旦发生风险事故泄漏量较大，其泄露后对水环境的影响主要为pH的改变，具有相应的水质标准作为评价依据。</w:t>
      </w:r>
      <w:r>
        <w:rPr>
          <w:rFonts w:hint="eastAsia"/>
          <w:b/>
        </w:rPr>
        <w:t>本次评价选择磷酸及硫酸为此类型代表性物质进行预测评价。</w:t>
      </w:r>
    </w:p>
    <w:p w14:paraId="0C305ED2">
      <w:pPr>
        <w:ind w:firstLine="439"/>
        <w:rPr>
          <w:u w:val="single"/>
        </w:rPr>
      </w:pPr>
      <w:r>
        <w:rPr>
          <w:rFonts w:hint="eastAsia" w:ascii="宋体" w:hAnsi="宋体"/>
          <w:b/>
          <w:u w:val="single"/>
        </w:rPr>
        <w:t>⑤</w:t>
      </w:r>
      <w:r>
        <w:rPr>
          <w:rFonts w:hint="eastAsia"/>
          <w:b/>
          <w:u w:val="single"/>
        </w:rPr>
        <w:t>可溶/易溶性固体危险物质</w:t>
      </w:r>
      <w:r>
        <w:rPr>
          <w:rFonts w:hint="eastAsia"/>
          <w:u w:val="single"/>
        </w:rPr>
        <w:t>，包括氢氧化钠、五硫化二磷、硫化钠等无机固体，二氯异氰尿酸钠等有机固体。</w:t>
      </w:r>
    </w:p>
    <w:p w14:paraId="36B25CA1">
      <w:pPr>
        <w:ind w:firstLine="437"/>
      </w:pPr>
      <w:r>
        <w:rPr>
          <w:rFonts w:hint="eastAsia"/>
        </w:rPr>
        <w:t>可溶性有机固体溶于水主要水环境风险为生物毒性，与可溶性有机液体扩散情况及生物毒性相似。</w:t>
      </w:r>
    </w:p>
    <w:p w14:paraId="73986B1F">
      <w:pPr>
        <w:ind w:firstLine="437"/>
      </w:pPr>
      <w:r>
        <w:rPr>
          <w:rFonts w:hint="eastAsia"/>
        </w:rPr>
        <w:t>氢氧化钠、过氧化锂、硫化钠等无机固体均易溶水，对水环境的影响因子主要为pH或金属、重金属离子富集的影响，根据已有研究表明锂、钠、钾等非重金属元素对水生生物的毒害远低于重金属离子，属于低毒性危害因子，重金属离子中镉离子、汞离子、富集后生物毒性最强，</w:t>
      </w:r>
      <w:r>
        <w:rPr>
          <w:rFonts w:hint="eastAsia"/>
          <w:b/>
        </w:rPr>
        <w:t>本次评价选择镉化合物中可溶于水的硫酸镉为此类型代表性物质，进行海洋环境风险预测评价</w:t>
      </w:r>
      <w:r>
        <w:rPr>
          <w:rFonts w:hint="eastAsia"/>
        </w:rPr>
        <w:t>。</w:t>
      </w:r>
    </w:p>
    <w:p w14:paraId="39526DE9">
      <w:pPr>
        <w:ind w:firstLine="437"/>
        <w:rPr>
          <w:b/>
        </w:rPr>
      </w:pPr>
      <w:r>
        <w:rPr>
          <w:rFonts w:hint="eastAsia"/>
        </w:rPr>
        <w:t>而碱性环境会损伤动物的鳃组织，妨碍鱼类对溶氧的利用，对鱼类生存造成影响，货种包装方式相同的情况下，氢氧化钠转运量远大于其他可溶性固体危险货物，且氢氧化钠泄漏对海洋环境影响较大。</w:t>
      </w:r>
      <w:r>
        <w:rPr>
          <w:rFonts w:hint="eastAsia"/>
          <w:b/>
        </w:rPr>
        <w:t>本次评价选择氢氧化钠为此类型代表性物质，进行海洋环境风险预测评价。</w:t>
      </w:r>
    </w:p>
    <w:p w14:paraId="2A4F61FB">
      <w:pPr>
        <w:ind w:firstLine="439"/>
      </w:pPr>
      <w:r>
        <w:rPr>
          <w:rFonts w:hint="eastAsia" w:ascii="宋体" w:hAnsi="宋体" w:cs="宋体"/>
          <w:b/>
        </w:rPr>
        <w:t>⑥</w:t>
      </w:r>
      <w:r>
        <w:rPr>
          <w:rFonts w:hint="eastAsia"/>
          <w:b/>
        </w:rPr>
        <w:t>不溶/难溶性，密度＜1g/cm</w:t>
      </w:r>
      <w:r>
        <w:rPr>
          <w:rFonts w:hint="eastAsia"/>
          <w:b/>
          <w:vertAlign w:val="superscript"/>
        </w:rPr>
        <w:t>3</w:t>
      </w:r>
      <w:r>
        <w:rPr>
          <w:rFonts w:hint="eastAsia"/>
          <w:b/>
        </w:rPr>
        <w:t>固态危险货物</w:t>
      </w:r>
      <w:r>
        <w:rPr>
          <w:rFonts w:hint="eastAsia"/>
        </w:rPr>
        <w:t>，泄漏后无助溶剂情况下此类物质泄漏后，密度小于1g/cm</w:t>
      </w:r>
      <w:r>
        <w:rPr>
          <w:rFonts w:hint="eastAsia"/>
          <w:vertAlign w:val="superscript"/>
        </w:rPr>
        <w:t>3</w:t>
      </w:r>
      <w:r>
        <w:rPr>
          <w:rFonts w:hint="eastAsia"/>
        </w:rPr>
        <w:t>的固体危险物质漂浮于海面易于打捞处理，对海洋环境影响小，在此不针对此类物质入水后扩散的环境风险预测。</w:t>
      </w:r>
    </w:p>
    <w:p w14:paraId="426EA7F6">
      <w:pPr>
        <w:ind w:firstLine="439"/>
        <w:rPr>
          <w:b/>
        </w:rPr>
      </w:pPr>
      <w:r>
        <w:rPr>
          <w:rFonts w:hint="eastAsia"/>
          <w:b/>
        </w:rPr>
        <w:t>二、大气环境危险物质筛选及源强计算</w:t>
      </w:r>
    </w:p>
    <w:p w14:paraId="2A2E50AD">
      <w:pPr>
        <w:ind w:firstLine="437"/>
        <w:rPr>
          <w:rFonts w:ascii="Calibri" w:hAnsi="Calibri"/>
          <w:kern w:val="0"/>
        </w:rPr>
      </w:pPr>
      <w:r>
        <w:rPr>
          <w:rFonts w:hint="eastAsia" w:ascii="Calibri" w:hAnsi="Calibri"/>
          <w:kern w:val="0"/>
        </w:rPr>
        <w:t>对于危险品泄漏，按泄漏物质的状态主要分为：固态物质泄漏和液态物质泄漏。固态物质泄漏，一般在采取及时清扫等措施后，即能将危险降到最低限度。当液态物质泄漏时，根据部分危险物质的挥发度，除随地面液态扩散外，还同时造成烟雾随大气扩散，挥发的液态物质在短时间内对大气环境影响较大。根据本码头货类吞吐情况，码头危险货物实际吞吐量存在较大的不确定性，一般根据市场需求实时调节；且危险货物包装方式较为固定，同类型危险货物基本采用统一包装方式，一旦泄漏其泄漏量相似。</w:t>
      </w:r>
    </w:p>
    <w:p w14:paraId="4DD9BB30">
      <w:pPr>
        <w:ind w:firstLine="437"/>
        <w:rPr>
          <w:rFonts w:ascii="Calibri" w:hAnsi="Calibri"/>
          <w:kern w:val="0"/>
        </w:rPr>
      </w:pPr>
      <w:r>
        <w:rPr>
          <w:rFonts w:hint="eastAsia"/>
        </w:rPr>
        <w:t>本次</w:t>
      </w:r>
      <w:r>
        <w:rPr>
          <w:rFonts w:hint="eastAsia" w:ascii="Calibri" w:hAnsi="Calibri"/>
          <w:kern w:val="0"/>
        </w:rPr>
        <w:t>大气环境风险危险物质筛选主要考虑本次拟新增货种中较易发生事故货类进行分析。</w:t>
      </w:r>
    </w:p>
    <w:p w14:paraId="34EEFF13">
      <w:pPr>
        <w:ind w:firstLine="439"/>
        <w:rPr>
          <w:rFonts w:hint="eastAsia" w:ascii="宋体" w:hAnsi="宋体" w:cs="宋体"/>
          <w:b/>
        </w:rPr>
      </w:pPr>
      <w:r>
        <w:rPr>
          <w:rFonts w:hint="eastAsia" w:ascii="宋体" w:hAnsi="宋体" w:cs="宋体"/>
          <w:b/>
        </w:rPr>
        <w:t>①气态物质泄漏</w:t>
      </w:r>
      <w:r>
        <w:rPr>
          <w:rFonts w:hint="eastAsia" w:ascii="宋体" w:hAnsi="宋体" w:cs="宋体"/>
        </w:rPr>
        <w:t>，主要为</w:t>
      </w:r>
      <w:r>
        <w:t>第2类</w:t>
      </w:r>
      <w:r>
        <w:rPr>
          <w:rFonts w:hint="eastAsia" w:ascii="宋体" w:hAnsi="宋体" w:cs="宋体"/>
        </w:rPr>
        <w:t>危险货物，包括无水三甲胺（</w:t>
      </w:r>
      <w:r>
        <w:t>毒性终点浓度-1:</w:t>
      </w:r>
      <w:r>
        <w:rPr>
          <w:rFonts w:hint="eastAsia"/>
        </w:rPr>
        <w:t>920</w:t>
      </w:r>
      <w:r>
        <w:t>mg/m</w:t>
      </w:r>
      <w:r>
        <w:rPr>
          <w:vertAlign w:val="superscript"/>
        </w:rPr>
        <w:t>3</w:t>
      </w:r>
      <w:r>
        <w:rPr>
          <w:rFonts w:hint="eastAsia"/>
        </w:rPr>
        <w:t>，</w:t>
      </w:r>
      <w:r>
        <w:t>毒性终点浓度-2:</w:t>
      </w:r>
      <w:r>
        <w:rPr>
          <w:rFonts w:hint="eastAsia"/>
        </w:rPr>
        <w:t>290</w:t>
      </w:r>
      <w:r>
        <w:t>mg/m</w:t>
      </w:r>
      <w:r>
        <w:rPr>
          <w:vertAlign w:val="superscript"/>
        </w:rPr>
        <w:t>3</w:t>
      </w:r>
      <w:r>
        <w:t>）</w:t>
      </w:r>
      <w:r>
        <w:rPr>
          <w:rFonts w:hint="eastAsia" w:ascii="宋体" w:hAnsi="宋体" w:cs="宋体"/>
        </w:rPr>
        <w:t>、丁烷（</w:t>
      </w:r>
      <w:r>
        <w:t>毒性终点浓度-1:</w:t>
      </w:r>
      <w:r>
        <w:rPr>
          <w:rFonts w:hint="eastAsia"/>
        </w:rPr>
        <w:t>130000</w:t>
      </w:r>
      <w:r>
        <w:t>mg/m</w:t>
      </w:r>
      <w:r>
        <w:rPr>
          <w:vertAlign w:val="superscript"/>
        </w:rPr>
        <w:t>3</w:t>
      </w:r>
      <w:r>
        <w:rPr>
          <w:rFonts w:hint="eastAsia"/>
        </w:rPr>
        <w:t>，</w:t>
      </w:r>
      <w:r>
        <w:t>毒性终点浓度-2:</w:t>
      </w:r>
      <w:r>
        <w:rPr>
          <w:rFonts w:hint="eastAsia"/>
        </w:rPr>
        <w:t>40000</w:t>
      </w:r>
      <w:r>
        <w:t>mg/m</w:t>
      </w:r>
      <w:r>
        <w:rPr>
          <w:vertAlign w:val="superscript"/>
        </w:rPr>
        <w:t>3</w:t>
      </w:r>
      <w:r>
        <w:t>）</w:t>
      </w:r>
      <w:r>
        <w:rPr>
          <w:rFonts w:hint="eastAsia" w:ascii="宋体" w:hAnsi="宋体" w:cs="宋体"/>
        </w:rPr>
        <w:t>、二氟氯甲烷、</w:t>
      </w:r>
      <w:bookmarkStart w:id="550" w:name="OLE_LINK188"/>
      <w:r>
        <w:rPr>
          <w:rFonts w:hint="eastAsia" w:ascii="宋体" w:hAnsi="宋体" w:cs="宋体"/>
        </w:rPr>
        <w:t>一氧化碳</w:t>
      </w:r>
      <w:bookmarkEnd w:id="550"/>
      <w:r>
        <w:rPr>
          <w:rFonts w:hint="eastAsia" w:ascii="宋体" w:hAnsi="宋体" w:cs="宋体"/>
        </w:rPr>
        <w:t>（</w:t>
      </w:r>
      <w:r>
        <w:t>毒性终点浓度-1:</w:t>
      </w:r>
      <w:r>
        <w:rPr>
          <w:rFonts w:hint="eastAsia"/>
        </w:rPr>
        <w:t>380</w:t>
      </w:r>
      <w:r>
        <w:t>mg/m</w:t>
      </w:r>
      <w:r>
        <w:rPr>
          <w:vertAlign w:val="superscript"/>
        </w:rPr>
        <w:t>3</w:t>
      </w:r>
      <w:r>
        <w:rPr>
          <w:rFonts w:hint="eastAsia"/>
        </w:rPr>
        <w:t>，</w:t>
      </w:r>
      <w:r>
        <w:t>毒性终点浓度-2:</w:t>
      </w:r>
      <w:r>
        <w:rPr>
          <w:rFonts w:hint="eastAsia"/>
        </w:rPr>
        <w:t>95</w:t>
      </w:r>
      <w:r>
        <w:t>mg/m</w:t>
      </w:r>
      <w:r>
        <w:rPr>
          <w:vertAlign w:val="superscript"/>
        </w:rPr>
        <w:t>3</w:t>
      </w:r>
      <w:r>
        <w:t>）</w:t>
      </w:r>
      <w:r>
        <w:rPr>
          <w:rFonts w:hint="eastAsia" w:ascii="宋体" w:hAnsi="宋体" w:cs="宋体"/>
        </w:rPr>
        <w:t>、</w:t>
      </w:r>
      <w:r>
        <w:t>丙烷</w:t>
      </w:r>
      <w:r>
        <w:rPr>
          <w:rFonts w:hint="eastAsia" w:ascii="宋体" w:hAnsi="宋体" w:cs="宋体"/>
        </w:rPr>
        <w:t>（</w:t>
      </w:r>
      <w:r>
        <w:t>毒性终点浓度-1:</w:t>
      </w:r>
      <w:r>
        <w:rPr>
          <w:rFonts w:hint="eastAsia"/>
        </w:rPr>
        <w:t>59000</w:t>
      </w:r>
      <w:r>
        <w:t>mg/m</w:t>
      </w:r>
      <w:r>
        <w:rPr>
          <w:vertAlign w:val="superscript"/>
        </w:rPr>
        <w:t>3</w:t>
      </w:r>
      <w:r>
        <w:t>,毒性终点浓度-2:</w:t>
      </w:r>
      <w:r>
        <w:rPr>
          <w:rFonts w:hint="eastAsia"/>
        </w:rPr>
        <w:t>31000</w:t>
      </w:r>
      <w:r>
        <w:t>mg/m</w:t>
      </w:r>
      <w:r>
        <w:rPr>
          <w:vertAlign w:val="superscript"/>
        </w:rPr>
        <w:t>3</w:t>
      </w:r>
      <w:r>
        <w:t>）</w:t>
      </w:r>
      <w:r>
        <w:rPr>
          <w:rFonts w:hint="eastAsia" w:ascii="宋体" w:hAnsi="宋体" w:cs="宋体"/>
        </w:rPr>
        <w:t>重点关注物质，该类物质中选择大气毒性终点浓度较小且运输量大的</w:t>
      </w:r>
      <w:r>
        <w:rPr>
          <w:rFonts w:hint="eastAsia" w:ascii="宋体" w:hAnsi="宋体" w:cs="宋体"/>
          <w:b/>
          <w:bCs/>
        </w:rPr>
        <w:t>一氧化碳</w:t>
      </w:r>
      <w:r>
        <w:rPr>
          <w:rFonts w:hint="eastAsia" w:ascii="宋体" w:hAnsi="宋体" w:cs="宋体"/>
        </w:rPr>
        <w:t>作为此类型大气环境风险代表性物质进行评价预测。</w:t>
      </w:r>
    </w:p>
    <w:p w14:paraId="4FBC3F30">
      <w:pPr>
        <w:ind w:firstLine="439"/>
      </w:pPr>
      <w:r>
        <w:rPr>
          <w:rFonts w:hint="eastAsia" w:ascii="宋体" w:hAnsi="宋体" w:cs="宋体"/>
          <w:b/>
        </w:rPr>
        <w:t>②易燃、易挥发液体</w:t>
      </w:r>
      <w:r>
        <w:rPr>
          <w:rFonts w:hint="eastAsia" w:ascii="宋体" w:hAnsi="宋体" w:cs="宋体"/>
        </w:rPr>
        <w:t>，主要为第</w:t>
      </w:r>
      <w:r>
        <w:t>3类危险货物、第</w:t>
      </w:r>
      <w:r>
        <w:rPr>
          <w:rFonts w:hint="eastAsia"/>
        </w:rPr>
        <w:t>4类危险物质、第6类危险货物、第8类危险货物等</w:t>
      </w:r>
      <w:r>
        <w:t>，主要包括甲醛、丁醇、乙酸乙酯、甲基丙烯酸酯、丙烯酸丁酯</w:t>
      </w:r>
      <w:r>
        <w:rPr>
          <w:rFonts w:hint="eastAsia"/>
        </w:rPr>
        <w:t>等，此类液体物质自身挥发后产生大气环境污染，其燃烧产物毒性较大，</w:t>
      </w:r>
      <w:r>
        <w:t>主要包括</w:t>
      </w:r>
      <w:r>
        <w:rPr>
          <w:rFonts w:hint="eastAsia"/>
        </w:rPr>
        <w:t>有机易燃易挥发液体及无机易燃易挥发液体，其大气毒性终点浓度见下表5.3-5。</w:t>
      </w:r>
    </w:p>
    <w:p w14:paraId="03D0F2A0">
      <w:pPr>
        <w:pStyle w:val="7"/>
      </w:pPr>
      <w:r>
        <w:rPr>
          <w:rFonts w:hint="eastAsia"/>
        </w:rPr>
        <w:t>重点关注的代表性易燃易挥发液体大气毒性终点浓度一览表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63"/>
        <w:gridCol w:w="2555"/>
        <w:gridCol w:w="2502"/>
        <w:gridCol w:w="2502"/>
      </w:tblGrid>
      <w:tr w14:paraId="3AA451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963" w:type="dxa"/>
          </w:tcPr>
          <w:p w14:paraId="01F8A3F8">
            <w:pPr>
              <w:pStyle w:val="34"/>
            </w:pPr>
            <w:r>
              <w:rPr>
                <w:rFonts w:hint="eastAsia"/>
              </w:rPr>
              <w:t>序号</w:t>
            </w:r>
          </w:p>
        </w:tc>
        <w:tc>
          <w:tcPr>
            <w:tcW w:w="2555" w:type="dxa"/>
          </w:tcPr>
          <w:p w14:paraId="3AB70B47">
            <w:pPr>
              <w:pStyle w:val="34"/>
            </w:pPr>
            <w:r>
              <w:rPr>
                <w:rFonts w:hint="eastAsia"/>
              </w:rPr>
              <w:t>物质名称</w:t>
            </w:r>
          </w:p>
        </w:tc>
        <w:tc>
          <w:tcPr>
            <w:tcW w:w="2502" w:type="dxa"/>
          </w:tcPr>
          <w:p w14:paraId="1B3886C1">
            <w:pPr>
              <w:pStyle w:val="34"/>
            </w:pPr>
            <w:r>
              <w:rPr>
                <w:rFonts w:hint="eastAsia"/>
              </w:rPr>
              <w:t>毒性终点浓度-1</w:t>
            </w:r>
          </w:p>
        </w:tc>
        <w:tc>
          <w:tcPr>
            <w:tcW w:w="2502" w:type="dxa"/>
          </w:tcPr>
          <w:p w14:paraId="62964A11">
            <w:pPr>
              <w:pStyle w:val="34"/>
            </w:pPr>
            <w:r>
              <w:rPr>
                <w:rFonts w:hint="eastAsia"/>
              </w:rPr>
              <w:t>毒性终点浓度-2</w:t>
            </w:r>
          </w:p>
        </w:tc>
      </w:tr>
      <w:tr w14:paraId="762F04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4CDB8292">
            <w:pPr>
              <w:pStyle w:val="34"/>
            </w:pPr>
            <w:r>
              <w:rPr>
                <w:rFonts w:hint="eastAsia"/>
              </w:rPr>
              <w:t>1</w:t>
            </w:r>
          </w:p>
        </w:tc>
        <w:tc>
          <w:tcPr>
            <w:tcW w:w="2555" w:type="dxa"/>
          </w:tcPr>
          <w:p w14:paraId="1C2CFE06">
            <w:pPr>
              <w:pStyle w:val="34"/>
            </w:pPr>
            <w:r>
              <w:rPr>
                <w:rFonts w:hint="eastAsia"/>
              </w:rPr>
              <w:t>甲醛</w:t>
            </w:r>
          </w:p>
        </w:tc>
        <w:tc>
          <w:tcPr>
            <w:tcW w:w="2502" w:type="dxa"/>
          </w:tcPr>
          <w:p w14:paraId="0519DDA3">
            <w:pPr>
              <w:pStyle w:val="34"/>
            </w:pPr>
            <w:r>
              <w:rPr>
                <w:rFonts w:hint="eastAsia"/>
              </w:rPr>
              <w:t>69</w:t>
            </w:r>
          </w:p>
        </w:tc>
        <w:tc>
          <w:tcPr>
            <w:tcW w:w="2502" w:type="dxa"/>
          </w:tcPr>
          <w:p w14:paraId="4C586532">
            <w:pPr>
              <w:pStyle w:val="34"/>
            </w:pPr>
            <w:r>
              <w:rPr>
                <w:rFonts w:hint="eastAsia"/>
              </w:rPr>
              <w:t>17</w:t>
            </w:r>
          </w:p>
        </w:tc>
      </w:tr>
      <w:tr w14:paraId="15B971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04D56469">
            <w:pPr>
              <w:pStyle w:val="34"/>
            </w:pPr>
            <w:r>
              <w:rPr>
                <w:rFonts w:hint="eastAsia"/>
              </w:rPr>
              <w:t>2</w:t>
            </w:r>
          </w:p>
        </w:tc>
        <w:tc>
          <w:tcPr>
            <w:tcW w:w="2555" w:type="dxa"/>
          </w:tcPr>
          <w:p w14:paraId="0979C7F8">
            <w:pPr>
              <w:pStyle w:val="34"/>
            </w:pPr>
            <w:r>
              <w:rPr>
                <w:rFonts w:hint="eastAsia"/>
              </w:rPr>
              <w:t>丁醇</w:t>
            </w:r>
          </w:p>
        </w:tc>
        <w:tc>
          <w:tcPr>
            <w:tcW w:w="2502" w:type="dxa"/>
          </w:tcPr>
          <w:p w14:paraId="1FF934EF">
            <w:pPr>
              <w:pStyle w:val="34"/>
            </w:pPr>
            <w:r>
              <w:rPr>
                <w:rFonts w:hint="eastAsia"/>
              </w:rPr>
              <w:t>24000</w:t>
            </w:r>
          </w:p>
        </w:tc>
        <w:tc>
          <w:tcPr>
            <w:tcW w:w="2502" w:type="dxa"/>
          </w:tcPr>
          <w:p w14:paraId="3670855F">
            <w:pPr>
              <w:pStyle w:val="34"/>
            </w:pPr>
            <w:r>
              <w:rPr>
                <w:rFonts w:hint="eastAsia"/>
              </w:rPr>
              <w:t>2400</w:t>
            </w:r>
          </w:p>
        </w:tc>
      </w:tr>
      <w:tr w14:paraId="690003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0642C7E9">
            <w:pPr>
              <w:pStyle w:val="34"/>
            </w:pPr>
            <w:r>
              <w:rPr>
                <w:rFonts w:hint="eastAsia"/>
              </w:rPr>
              <w:t>3</w:t>
            </w:r>
          </w:p>
        </w:tc>
        <w:tc>
          <w:tcPr>
            <w:tcW w:w="2555" w:type="dxa"/>
          </w:tcPr>
          <w:p w14:paraId="4AFBFBC7">
            <w:pPr>
              <w:pStyle w:val="34"/>
            </w:pPr>
            <w:r>
              <w:rPr>
                <w:rFonts w:hint="eastAsia"/>
              </w:rPr>
              <w:t>乙酸乙酯</w:t>
            </w:r>
          </w:p>
        </w:tc>
        <w:tc>
          <w:tcPr>
            <w:tcW w:w="2502" w:type="dxa"/>
          </w:tcPr>
          <w:p w14:paraId="3FF6DBBB">
            <w:pPr>
              <w:pStyle w:val="34"/>
            </w:pPr>
            <w:r>
              <w:rPr>
                <w:rFonts w:hint="eastAsia"/>
              </w:rPr>
              <w:t>36000</w:t>
            </w:r>
          </w:p>
        </w:tc>
        <w:tc>
          <w:tcPr>
            <w:tcW w:w="2502" w:type="dxa"/>
          </w:tcPr>
          <w:p w14:paraId="7C5877FC">
            <w:pPr>
              <w:pStyle w:val="34"/>
            </w:pPr>
            <w:r>
              <w:rPr>
                <w:rFonts w:hint="eastAsia"/>
              </w:rPr>
              <w:t>6000</w:t>
            </w:r>
          </w:p>
        </w:tc>
      </w:tr>
      <w:tr w14:paraId="28EDE3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409A94F6">
            <w:pPr>
              <w:pStyle w:val="34"/>
            </w:pPr>
            <w:r>
              <w:rPr>
                <w:rFonts w:hint="eastAsia"/>
              </w:rPr>
              <w:t>4</w:t>
            </w:r>
          </w:p>
        </w:tc>
        <w:tc>
          <w:tcPr>
            <w:tcW w:w="2555" w:type="dxa"/>
          </w:tcPr>
          <w:p w14:paraId="05517E48">
            <w:pPr>
              <w:pStyle w:val="34"/>
            </w:pPr>
            <w:r>
              <w:rPr>
                <w:rFonts w:hint="eastAsia"/>
              </w:rPr>
              <w:t>甲基丙烯酸甲酯</w:t>
            </w:r>
          </w:p>
        </w:tc>
        <w:tc>
          <w:tcPr>
            <w:tcW w:w="2502" w:type="dxa"/>
          </w:tcPr>
          <w:p w14:paraId="22664CA0">
            <w:pPr>
              <w:pStyle w:val="34"/>
            </w:pPr>
            <w:r>
              <w:rPr>
                <w:rFonts w:hint="eastAsia"/>
              </w:rPr>
              <w:t>2300</w:t>
            </w:r>
          </w:p>
        </w:tc>
        <w:tc>
          <w:tcPr>
            <w:tcW w:w="2502" w:type="dxa"/>
          </w:tcPr>
          <w:p w14:paraId="49966001">
            <w:pPr>
              <w:pStyle w:val="34"/>
            </w:pPr>
            <w:r>
              <w:rPr>
                <w:rFonts w:hint="eastAsia"/>
              </w:rPr>
              <w:t>490</w:t>
            </w:r>
          </w:p>
        </w:tc>
      </w:tr>
      <w:tr w14:paraId="2D9186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494EB619">
            <w:pPr>
              <w:pStyle w:val="34"/>
            </w:pPr>
            <w:r>
              <w:rPr>
                <w:rFonts w:hint="eastAsia"/>
              </w:rPr>
              <w:t>5</w:t>
            </w:r>
          </w:p>
        </w:tc>
        <w:tc>
          <w:tcPr>
            <w:tcW w:w="2555" w:type="dxa"/>
          </w:tcPr>
          <w:p w14:paraId="6BACA83C">
            <w:pPr>
              <w:pStyle w:val="34"/>
            </w:pPr>
            <w:r>
              <w:rPr>
                <w:rFonts w:hint="eastAsia"/>
              </w:rPr>
              <w:t>丙烯酸丁酯</w:t>
            </w:r>
          </w:p>
        </w:tc>
        <w:tc>
          <w:tcPr>
            <w:tcW w:w="2502" w:type="dxa"/>
          </w:tcPr>
          <w:p w14:paraId="59BEE6C1">
            <w:pPr>
              <w:pStyle w:val="34"/>
            </w:pPr>
            <w:r>
              <w:rPr>
                <w:rFonts w:hint="eastAsia"/>
              </w:rPr>
              <w:t>2500</w:t>
            </w:r>
          </w:p>
        </w:tc>
        <w:tc>
          <w:tcPr>
            <w:tcW w:w="2502" w:type="dxa"/>
          </w:tcPr>
          <w:p w14:paraId="0BA755C1">
            <w:pPr>
              <w:pStyle w:val="34"/>
            </w:pPr>
            <w:r>
              <w:rPr>
                <w:rFonts w:hint="eastAsia"/>
              </w:rPr>
              <w:t>680</w:t>
            </w:r>
          </w:p>
        </w:tc>
      </w:tr>
      <w:tr w14:paraId="5B167E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42D688D4">
            <w:pPr>
              <w:pStyle w:val="34"/>
            </w:pPr>
            <w:r>
              <w:rPr>
                <w:rFonts w:hint="eastAsia"/>
              </w:rPr>
              <w:t>6</w:t>
            </w:r>
          </w:p>
        </w:tc>
        <w:tc>
          <w:tcPr>
            <w:tcW w:w="2555" w:type="dxa"/>
          </w:tcPr>
          <w:p w14:paraId="3B4C043C">
            <w:pPr>
              <w:pStyle w:val="34"/>
            </w:pPr>
            <w:r>
              <w:rPr>
                <w:rFonts w:hint="eastAsia"/>
              </w:rPr>
              <w:t>甲基三氯硅烷</w:t>
            </w:r>
          </w:p>
        </w:tc>
        <w:tc>
          <w:tcPr>
            <w:tcW w:w="2502" w:type="dxa"/>
          </w:tcPr>
          <w:p w14:paraId="6E4B35C1">
            <w:pPr>
              <w:pStyle w:val="34"/>
            </w:pPr>
            <w:r>
              <w:rPr>
                <w:rFonts w:hint="eastAsia"/>
              </w:rPr>
              <w:t>200</w:t>
            </w:r>
          </w:p>
        </w:tc>
        <w:tc>
          <w:tcPr>
            <w:tcW w:w="2502" w:type="dxa"/>
          </w:tcPr>
          <w:p w14:paraId="565A23A6">
            <w:pPr>
              <w:pStyle w:val="34"/>
            </w:pPr>
            <w:r>
              <w:rPr>
                <w:rFonts w:hint="eastAsia"/>
              </w:rPr>
              <w:t>45</w:t>
            </w:r>
          </w:p>
        </w:tc>
      </w:tr>
      <w:tr w14:paraId="01DFF7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09105252">
            <w:pPr>
              <w:pStyle w:val="34"/>
            </w:pPr>
            <w:r>
              <w:rPr>
                <w:rFonts w:hint="eastAsia"/>
              </w:rPr>
              <w:t>7</w:t>
            </w:r>
          </w:p>
        </w:tc>
        <w:tc>
          <w:tcPr>
            <w:tcW w:w="2555" w:type="dxa"/>
          </w:tcPr>
          <w:p w14:paraId="5232CFCE">
            <w:pPr>
              <w:pStyle w:val="34"/>
            </w:pPr>
            <w:r>
              <w:rPr>
                <w:rFonts w:hint="eastAsia"/>
              </w:rPr>
              <w:t>呋喃</w:t>
            </w:r>
          </w:p>
        </w:tc>
        <w:tc>
          <w:tcPr>
            <w:tcW w:w="2502" w:type="dxa"/>
          </w:tcPr>
          <w:p w14:paraId="025AFEA3">
            <w:pPr>
              <w:pStyle w:val="34"/>
            </w:pPr>
            <w:r>
              <w:rPr>
                <w:rFonts w:hint="eastAsia"/>
              </w:rPr>
              <w:t>53</w:t>
            </w:r>
          </w:p>
        </w:tc>
        <w:tc>
          <w:tcPr>
            <w:tcW w:w="2502" w:type="dxa"/>
          </w:tcPr>
          <w:p w14:paraId="77E75CCC">
            <w:pPr>
              <w:pStyle w:val="34"/>
            </w:pPr>
            <w:r>
              <w:rPr>
                <w:rFonts w:hint="eastAsia"/>
              </w:rPr>
              <w:t>19</w:t>
            </w:r>
          </w:p>
        </w:tc>
      </w:tr>
      <w:tr w14:paraId="7E4804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0815585C">
            <w:pPr>
              <w:pStyle w:val="34"/>
            </w:pPr>
            <w:r>
              <w:rPr>
                <w:rFonts w:hint="eastAsia"/>
              </w:rPr>
              <w:t>8</w:t>
            </w:r>
          </w:p>
        </w:tc>
        <w:tc>
          <w:tcPr>
            <w:tcW w:w="2555" w:type="dxa"/>
          </w:tcPr>
          <w:p w14:paraId="35EB8277">
            <w:pPr>
              <w:pStyle w:val="34"/>
            </w:pPr>
            <w:r>
              <w:rPr>
                <w:rFonts w:hint="eastAsia"/>
              </w:rPr>
              <w:t>乙醛</w:t>
            </w:r>
          </w:p>
        </w:tc>
        <w:tc>
          <w:tcPr>
            <w:tcW w:w="2502" w:type="dxa"/>
          </w:tcPr>
          <w:p w14:paraId="26F8CCD0">
            <w:pPr>
              <w:pStyle w:val="34"/>
            </w:pPr>
            <w:r>
              <w:rPr>
                <w:rFonts w:hint="eastAsia"/>
              </w:rPr>
              <w:t>1500</w:t>
            </w:r>
          </w:p>
        </w:tc>
        <w:tc>
          <w:tcPr>
            <w:tcW w:w="2502" w:type="dxa"/>
          </w:tcPr>
          <w:p w14:paraId="31D61DF5">
            <w:pPr>
              <w:pStyle w:val="34"/>
            </w:pPr>
            <w:r>
              <w:rPr>
                <w:rFonts w:hint="eastAsia"/>
              </w:rPr>
              <w:t>490</w:t>
            </w:r>
          </w:p>
        </w:tc>
      </w:tr>
      <w:tr w14:paraId="58F4C4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2BCFCAC7">
            <w:pPr>
              <w:pStyle w:val="34"/>
            </w:pPr>
            <w:r>
              <w:rPr>
                <w:rFonts w:hint="eastAsia"/>
              </w:rPr>
              <w:t>9</w:t>
            </w:r>
          </w:p>
        </w:tc>
        <w:tc>
          <w:tcPr>
            <w:tcW w:w="2555" w:type="dxa"/>
          </w:tcPr>
          <w:p w14:paraId="5DA2F15C">
            <w:pPr>
              <w:pStyle w:val="34"/>
            </w:pPr>
            <w:r>
              <w:rPr>
                <w:rFonts w:hint="eastAsia"/>
              </w:rPr>
              <w:t>甲醇</w:t>
            </w:r>
          </w:p>
        </w:tc>
        <w:tc>
          <w:tcPr>
            <w:tcW w:w="2502" w:type="dxa"/>
          </w:tcPr>
          <w:p w14:paraId="4F1231AF">
            <w:pPr>
              <w:pStyle w:val="34"/>
            </w:pPr>
            <w:r>
              <w:rPr>
                <w:rFonts w:hint="eastAsia"/>
              </w:rPr>
              <w:t>9400</w:t>
            </w:r>
          </w:p>
        </w:tc>
        <w:tc>
          <w:tcPr>
            <w:tcW w:w="2502" w:type="dxa"/>
          </w:tcPr>
          <w:p w14:paraId="0808E98F">
            <w:pPr>
              <w:pStyle w:val="34"/>
            </w:pPr>
            <w:r>
              <w:rPr>
                <w:rFonts w:hint="eastAsia"/>
              </w:rPr>
              <w:t>2700</w:t>
            </w:r>
          </w:p>
        </w:tc>
      </w:tr>
      <w:tr w14:paraId="61FF85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411F78C3">
            <w:pPr>
              <w:pStyle w:val="34"/>
            </w:pPr>
            <w:r>
              <w:rPr>
                <w:rFonts w:hint="eastAsia"/>
              </w:rPr>
              <w:t>10</w:t>
            </w:r>
          </w:p>
        </w:tc>
        <w:tc>
          <w:tcPr>
            <w:tcW w:w="2555" w:type="dxa"/>
          </w:tcPr>
          <w:p w14:paraId="6F68A668">
            <w:pPr>
              <w:pStyle w:val="34"/>
            </w:pPr>
            <w:r>
              <w:rPr>
                <w:rFonts w:hint="eastAsia"/>
              </w:rPr>
              <w:t>乙硫醇</w:t>
            </w:r>
          </w:p>
        </w:tc>
        <w:tc>
          <w:tcPr>
            <w:tcW w:w="2502" w:type="dxa"/>
          </w:tcPr>
          <w:p w14:paraId="1CC4CE42">
            <w:pPr>
              <w:pStyle w:val="34"/>
            </w:pPr>
            <w:r>
              <w:rPr>
                <w:rFonts w:hint="eastAsia"/>
              </w:rPr>
              <w:t>910</w:t>
            </w:r>
          </w:p>
        </w:tc>
        <w:tc>
          <w:tcPr>
            <w:tcW w:w="2502" w:type="dxa"/>
          </w:tcPr>
          <w:p w14:paraId="452971CC">
            <w:pPr>
              <w:pStyle w:val="34"/>
            </w:pPr>
            <w:r>
              <w:rPr>
                <w:rFonts w:hint="eastAsia"/>
              </w:rPr>
              <w:t>300</w:t>
            </w:r>
          </w:p>
        </w:tc>
      </w:tr>
      <w:tr w14:paraId="45C761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22AA1E9D">
            <w:pPr>
              <w:pStyle w:val="34"/>
            </w:pPr>
            <w:r>
              <w:rPr>
                <w:rFonts w:hint="eastAsia"/>
              </w:rPr>
              <w:t>11</w:t>
            </w:r>
          </w:p>
        </w:tc>
        <w:tc>
          <w:tcPr>
            <w:tcW w:w="2555" w:type="dxa"/>
          </w:tcPr>
          <w:p w14:paraId="73652AA0">
            <w:pPr>
              <w:pStyle w:val="34"/>
            </w:pPr>
            <w:r>
              <w:rPr>
                <w:rFonts w:hint="eastAsia"/>
              </w:rPr>
              <w:t>丙酮</w:t>
            </w:r>
          </w:p>
        </w:tc>
        <w:tc>
          <w:tcPr>
            <w:tcW w:w="2502" w:type="dxa"/>
          </w:tcPr>
          <w:p w14:paraId="0B2121CE">
            <w:pPr>
              <w:pStyle w:val="34"/>
            </w:pPr>
            <w:r>
              <w:rPr>
                <w:rFonts w:hint="eastAsia"/>
              </w:rPr>
              <w:t>14000</w:t>
            </w:r>
          </w:p>
        </w:tc>
        <w:tc>
          <w:tcPr>
            <w:tcW w:w="2502" w:type="dxa"/>
          </w:tcPr>
          <w:p w14:paraId="111AA20C">
            <w:pPr>
              <w:pStyle w:val="34"/>
            </w:pPr>
            <w:r>
              <w:rPr>
                <w:rFonts w:hint="eastAsia"/>
              </w:rPr>
              <w:t>7600</w:t>
            </w:r>
          </w:p>
        </w:tc>
      </w:tr>
      <w:tr w14:paraId="52AFC4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0CF08B5B">
            <w:pPr>
              <w:pStyle w:val="34"/>
            </w:pPr>
            <w:r>
              <w:rPr>
                <w:rFonts w:hint="eastAsia"/>
              </w:rPr>
              <w:t>12</w:t>
            </w:r>
          </w:p>
        </w:tc>
        <w:tc>
          <w:tcPr>
            <w:tcW w:w="2555" w:type="dxa"/>
          </w:tcPr>
          <w:p w14:paraId="031EDADC">
            <w:pPr>
              <w:pStyle w:val="34"/>
            </w:pPr>
            <w:r>
              <w:rPr>
                <w:rFonts w:hint="eastAsia"/>
              </w:rPr>
              <w:t>乙醇</w:t>
            </w:r>
          </w:p>
        </w:tc>
        <w:tc>
          <w:tcPr>
            <w:tcW w:w="2502" w:type="dxa"/>
          </w:tcPr>
          <w:p w14:paraId="51BED142">
            <w:pPr>
              <w:pStyle w:val="34"/>
            </w:pPr>
            <w:r>
              <w:rPr>
                <w:rFonts w:hint="eastAsia"/>
              </w:rPr>
              <w:t>-</w:t>
            </w:r>
          </w:p>
        </w:tc>
        <w:tc>
          <w:tcPr>
            <w:tcW w:w="2502" w:type="dxa"/>
          </w:tcPr>
          <w:p w14:paraId="206EB8AF">
            <w:pPr>
              <w:pStyle w:val="34"/>
            </w:pPr>
            <w:r>
              <w:rPr>
                <w:rFonts w:hint="eastAsia"/>
              </w:rPr>
              <w:t>-</w:t>
            </w:r>
          </w:p>
        </w:tc>
      </w:tr>
      <w:tr w14:paraId="50A19F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3C18F60B">
            <w:pPr>
              <w:pStyle w:val="34"/>
            </w:pPr>
            <w:r>
              <w:rPr>
                <w:rFonts w:hint="eastAsia"/>
              </w:rPr>
              <w:t>13</w:t>
            </w:r>
          </w:p>
        </w:tc>
        <w:tc>
          <w:tcPr>
            <w:tcW w:w="2555" w:type="dxa"/>
          </w:tcPr>
          <w:p w14:paraId="24A3CBA1">
            <w:pPr>
              <w:pStyle w:val="34"/>
            </w:pPr>
            <w:r>
              <w:rPr>
                <w:rFonts w:hint="eastAsia"/>
              </w:rPr>
              <w:t>吡啶</w:t>
            </w:r>
          </w:p>
        </w:tc>
        <w:tc>
          <w:tcPr>
            <w:tcW w:w="2502" w:type="dxa"/>
          </w:tcPr>
          <w:p w14:paraId="3AC7ABD7">
            <w:pPr>
              <w:pStyle w:val="34"/>
            </w:pPr>
            <w:r>
              <w:rPr>
                <w:rFonts w:hint="eastAsia"/>
              </w:rPr>
              <w:t>-</w:t>
            </w:r>
          </w:p>
        </w:tc>
        <w:tc>
          <w:tcPr>
            <w:tcW w:w="2502" w:type="dxa"/>
          </w:tcPr>
          <w:p w14:paraId="19183478">
            <w:pPr>
              <w:pStyle w:val="34"/>
            </w:pPr>
            <w:r>
              <w:rPr>
                <w:rFonts w:hint="eastAsia"/>
              </w:rPr>
              <w:t>-</w:t>
            </w:r>
          </w:p>
        </w:tc>
      </w:tr>
      <w:tr w14:paraId="257DB7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637115BE">
            <w:pPr>
              <w:pStyle w:val="34"/>
            </w:pPr>
            <w:r>
              <w:rPr>
                <w:rFonts w:hint="eastAsia"/>
              </w:rPr>
              <w:t>14</w:t>
            </w:r>
          </w:p>
        </w:tc>
        <w:tc>
          <w:tcPr>
            <w:tcW w:w="2555" w:type="dxa"/>
          </w:tcPr>
          <w:p w14:paraId="045BF9DC">
            <w:pPr>
              <w:pStyle w:val="34"/>
            </w:pPr>
            <w:r>
              <w:rPr>
                <w:rFonts w:hint="eastAsia"/>
              </w:rPr>
              <w:t>四氢呋喃</w:t>
            </w:r>
          </w:p>
        </w:tc>
        <w:tc>
          <w:tcPr>
            <w:tcW w:w="2502" w:type="dxa"/>
          </w:tcPr>
          <w:p w14:paraId="578D2C9C">
            <w:pPr>
              <w:pStyle w:val="34"/>
            </w:pPr>
            <w:r>
              <w:rPr>
                <w:rFonts w:hint="eastAsia"/>
              </w:rPr>
              <w:t>-</w:t>
            </w:r>
          </w:p>
        </w:tc>
        <w:tc>
          <w:tcPr>
            <w:tcW w:w="2502" w:type="dxa"/>
          </w:tcPr>
          <w:p w14:paraId="5DF545A5">
            <w:pPr>
              <w:pStyle w:val="34"/>
            </w:pPr>
            <w:r>
              <w:rPr>
                <w:rFonts w:hint="eastAsia"/>
              </w:rPr>
              <w:t>-</w:t>
            </w:r>
          </w:p>
        </w:tc>
      </w:tr>
      <w:tr w14:paraId="697E6A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62E79EA4">
            <w:pPr>
              <w:pStyle w:val="34"/>
            </w:pPr>
            <w:r>
              <w:rPr>
                <w:rFonts w:hint="eastAsia"/>
              </w:rPr>
              <w:t>15</w:t>
            </w:r>
          </w:p>
        </w:tc>
        <w:tc>
          <w:tcPr>
            <w:tcW w:w="2555" w:type="dxa"/>
          </w:tcPr>
          <w:p w14:paraId="6ABDED1E">
            <w:pPr>
              <w:pStyle w:val="34"/>
            </w:pPr>
            <w:r>
              <w:rPr>
                <w:rFonts w:hint="eastAsia"/>
              </w:rPr>
              <w:t>乙酸甲酯</w:t>
            </w:r>
          </w:p>
        </w:tc>
        <w:tc>
          <w:tcPr>
            <w:tcW w:w="2502" w:type="dxa"/>
          </w:tcPr>
          <w:p w14:paraId="133E7530">
            <w:pPr>
              <w:pStyle w:val="34"/>
            </w:pPr>
            <w:r>
              <w:rPr>
                <w:rFonts w:hint="eastAsia"/>
              </w:rPr>
              <w:t>30000</w:t>
            </w:r>
          </w:p>
        </w:tc>
        <w:tc>
          <w:tcPr>
            <w:tcW w:w="2502" w:type="dxa"/>
          </w:tcPr>
          <w:p w14:paraId="5E226B62">
            <w:pPr>
              <w:pStyle w:val="34"/>
            </w:pPr>
            <w:r>
              <w:rPr>
                <w:rFonts w:hint="eastAsia"/>
              </w:rPr>
              <w:t>5000</w:t>
            </w:r>
          </w:p>
        </w:tc>
      </w:tr>
      <w:tr w14:paraId="5379E7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31BE859F">
            <w:pPr>
              <w:pStyle w:val="34"/>
            </w:pPr>
            <w:r>
              <w:rPr>
                <w:rFonts w:hint="eastAsia"/>
              </w:rPr>
              <w:t>16</w:t>
            </w:r>
          </w:p>
        </w:tc>
        <w:tc>
          <w:tcPr>
            <w:tcW w:w="2555" w:type="dxa"/>
          </w:tcPr>
          <w:p w14:paraId="7518E7F8">
            <w:pPr>
              <w:pStyle w:val="34"/>
            </w:pPr>
            <w:r>
              <w:rPr>
                <w:rFonts w:hint="eastAsia"/>
              </w:rPr>
              <w:t>丙烯腈</w:t>
            </w:r>
          </w:p>
        </w:tc>
        <w:tc>
          <w:tcPr>
            <w:tcW w:w="2502" w:type="dxa"/>
          </w:tcPr>
          <w:p w14:paraId="578812AC">
            <w:pPr>
              <w:pStyle w:val="34"/>
            </w:pPr>
            <w:r>
              <w:rPr>
                <w:rFonts w:hint="eastAsia"/>
              </w:rPr>
              <w:t>61</w:t>
            </w:r>
          </w:p>
        </w:tc>
        <w:tc>
          <w:tcPr>
            <w:tcW w:w="2502" w:type="dxa"/>
          </w:tcPr>
          <w:p w14:paraId="1A413ACF">
            <w:pPr>
              <w:pStyle w:val="34"/>
            </w:pPr>
            <w:r>
              <w:rPr>
                <w:rFonts w:hint="eastAsia"/>
              </w:rPr>
              <w:t>3.5</w:t>
            </w:r>
          </w:p>
        </w:tc>
      </w:tr>
      <w:tr w14:paraId="1587BC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06AE0EFE">
            <w:pPr>
              <w:pStyle w:val="34"/>
            </w:pPr>
            <w:r>
              <w:rPr>
                <w:rFonts w:hint="eastAsia"/>
              </w:rPr>
              <w:t>17</w:t>
            </w:r>
          </w:p>
        </w:tc>
        <w:tc>
          <w:tcPr>
            <w:tcW w:w="2555" w:type="dxa"/>
          </w:tcPr>
          <w:p w14:paraId="5E81D3D4">
            <w:pPr>
              <w:pStyle w:val="34"/>
            </w:pPr>
            <w:r>
              <w:rPr>
                <w:rFonts w:hint="eastAsia"/>
              </w:rPr>
              <w:t>二硫化碳</w:t>
            </w:r>
          </w:p>
        </w:tc>
        <w:tc>
          <w:tcPr>
            <w:tcW w:w="2502" w:type="dxa"/>
          </w:tcPr>
          <w:p w14:paraId="35A856A4">
            <w:pPr>
              <w:pStyle w:val="34"/>
            </w:pPr>
            <w:r>
              <w:rPr>
                <w:rFonts w:hint="eastAsia"/>
              </w:rPr>
              <w:t>1500</w:t>
            </w:r>
          </w:p>
        </w:tc>
        <w:tc>
          <w:tcPr>
            <w:tcW w:w="2502" w:type="dxa"/>
          </w:tcPr>
          <w:p w14:paraId="16109744">
            <w:pPr>
              <w:pStyle w:val="34"/>
            </w:pPr>
            <w:r>
              <w:rPr>
                <w:rFonts w:hint="eastAsia"/>
              </w:rPr>
              <w:t>500</w:t>
            </w:r>
          </w:p>
        </w:tc>
      </w:tr>
      <w:tr w14:paraId="5C83CC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1350DE4D">
            <w:pPr>
              <w:pStyle w:val="34"/>
            </w:pPr>
            <w:r>
              <w:rPr>
                <w:rFonts w:hint="eastAsia"/>
              </w:rPr>
              <w:t>18</w:t>
            </w:r>
          </w:p>
        </w:tc>
        <w:tc>
          <w:tcPr>
            <w:tcW w:w="2555" w:type="dxa"/>
          </w:tcPr>
          <w:p w14:paraId="206CE626">
            <w:pPr>
              <w:pStyle w:val="34"/>
            </w:pPr>
            <w:r>
              <w:rPr>
                <w:rFonts w:hint="eastAsia"/>
              </w:rPr>
              <w:t>甲苯</w:t>
            </w:r>
          </w:p>
        </w:tc>
        <w:tc>
          <w:tcPr>
            <w:tcW w:w="2502" w:type="dxa"/>
          </w:tcPr>
          <w:p w14:paraId="0CC5FFCC">
            <w:pPr>
              <w:pStyle w:val="34"/>
            </w:pPr>
            <w:r>
              <w:rPr>
                <w:rFonts w:hint="eastAsia"/>
              </w:rPr>
              <w:t>14000</w:t>
            </w:r>
          </w:p>
        </w:tc>
        <w:tc>
          <w:tcPr>
            <w:tcW w:w="2502" w:type="dxa"/>
          </w:tcPr>
          <w:p w14:paraId="22F2ED3C">
            <w:pPr>
              <w:pStyle w:val="34"/>
            </w:pPr>
            <w:r>
              <w:rPr>
                <w:rFonts w:hint="eastAsia"/>
              </w:rPr>
              <w:t>2100</w:t>
            </w:r>
          </w:p>
        </w:tc>
      </w:tr>
      <w:tr w14:paraId="1F7A28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473B8DDE">
            <w:pPr>
              <w:pStyle w:val="34"/>
            </w:pPr>
            <w:r>
              <w:rPr>
                <w:rFonts w:hint="eastAsia"/>
              </w:rPr>
              <w:t>19</w:t>
            </w:r>
          </w:p>
        </w:tc>
        <w:tc>
          <w:tcPr>
            <w:tcW w:w="2555" w:type="dxa"/>
          </w:tcPr>
          <w:p w14:paraId="52BE631A">
            <w:pPr>
              <w:pStyle w:val="34"/>
            </w:pPr>
            <w:r>
              <w:rPr>
                <w:rFonts w:hint="eastAsia"/>
              </w:rPr>
              <w:t>氯苯</w:t>
            </w:r>
          </w:p>
        </w:tc>
        <w:tc>
          <w:tcPr>
            <w:tcW w:w="2502" w:type="dxa"/>
          </w:tcPr>
          <w:p w14:paraId="6CECB409">
            <w:pPr>
              <w:pStyle w:val="34"/>
            </w:pPr>
            <w:r>
              <w:rPr>
                <w:rFonts w:hint="eastAsia"/>
              </w:rPr>
              <w:t>1800</w:t>
            </w:r>
          </w:p>
        </w:tc>
        <w:tc>
          <w:tcPr>
            <w:tcW w:w="2502" w:type="dxa"/>
          </w:tcPr>
          <w:p w14:paraId="4FC3A412">
            <w:pPr>
              <w:pStyle w:val="34"/>
            </w:pPr>
            <w:r>
              <w:rPr>
                <w:rFonts w:hint="eastAsia"/>
              </w:rPr>
              <w:t>690</w:t>
            </w:r>
          </w:p>
        </w:tc>
      </w:tr>
      <w:tr w14:paraId="5F4564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2C6F6CF2">
            <w:pPr>
              <w:pStyle w:val="34"/>
            </w:pPr>
            <w:r>
              <w:rPr>
                <w:rFonts w:hint="eastAsia"/>
              </w:rPr>
              <w:t>21</w:t>
            </w:r>
          </w:p>
        </w:tc>
        <w:tc>
          <w:tcPr>
            <w:tcW w:w="2555" w:type="dxa"/>
          </w:tcPr>
          <w:p w14:paraId="49B3423A">
            <w:pPr>
              <w:pStyle w:val="34"/>
            </w:pPr>
            <w:r>
              <w:rPr>
                <w:rFonts w:hint="eastAsia"/>
              </w:rPr>
              <w:t>三氯乙烯</w:t>
            </w:r>
          </w:p>
        </w:tc>
        <w:tc>
          <w:tcPr>
            <w:tcW w:w="2502" w:type="dxa"/>
          </w:tcPr>
          <w:p w14:paraId="7D007B64">
            <w:pPr>
              <w:pStyle w:val="34"/>
            </w:pPr>
            <w:r>
              <w:rPr>
                <w:rFonts w:hint="eastAsia"/>
              </w:rPr>
              <w:t>20000</w:t>
            </w:r>
          </w:p>
        </w:tc>
        <w:tc>
          <w:tcPr>
            <w:tcW w:w="2502" w:type="dxa"/>
          </w:tcPr>
          <w:p w14:paraId="168AA0BE">
            <w:pPr>
              <w:pStyle w:val="34"/>
            </w:pPr>
            <w:r>
              <w:rPr>
                <w:rFonts w:hint="eastAsia"/>
              </w:rPr>
              <w:t>2400</w:t>
            </w:r>
          </w:p>
        </w:tc>
      </w:tr>
      <w:tr w14:paraId="151E75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0437F246">
            <w:pPr>
              <w:pStyle w:val="34"/>
            </w:pPr>
            <w:r>
              <w:rPr>
                <w:rFonts w:hint="eastAsia"/>
              </w:rPr>
              <w:t>22</w:t>
            </w:r>
          </w:p>
        </w:tc>
        <w:tc>
          <w:tcPr>
            <w:tcW w:w="2555" w:type="dxa"/>
          </w:tcPr>
          <w:p w14:paraId="715621F2">
            <w:pPr>
              <w:pStyle w:val="34"/>
            </w:pPr>
            <w:r>
              <w:rPr>
                <w:rFonts w:hint="eastAsia"/>
              </w:rPr>
              <w:t>四氯化碳</w:t>
            </w:r>
          </w:p>
        </w:tc>
        <w:tc>
          <w:tcPr>
            <w:tcW w:w="2502" w:type="dxa"/>
          </w:tcPr>
          <w:p w14:paraId="10613BCD">
            <w:pPr>
              <w:pStyle w:val="34"/>
            </w:pPr>
            <w:r>
              <w:rPr>
                <w:rFonts w:hint="eastAsia"/>
              </w:rPr>
              <w:t>2100</w:t>
            </w:r>
          </w:p>
        </w:tc>
        <w:tc>
          <w:tcPr>
            <w:tcW w:w="2502" w:type="dxa"/>
          </w:tcPr>
          <w:p w14:paraId="7D3FD6C0">
            <w:pPr>
              <w:pStyle w:val="34"/>
            </w:pPr>
            <w:r>
              <w:rPr>
                <w:rFonts w:hint="eastAsia"/>
              </w:rPr>
              <w:t>82</w:t>
            </w:r>
          </w:p>
        </w:tc>
      </w:tr>
      <w:tr w14:paraId="4DEB80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4C82B2F0">
            <w:pPr>
              <w:pStyle w:val="34"/>
            </w:pPr>
            <w:r>
              <w:rPr>
                <w:rFonts w:hint="eastAsia"/>
              </w:rPr>
              <w:t>23</w:t>
            </w:r>
          </w:p>
        </w:tc>
        <w:tc>
          <w:tcPr>
            <w:tcW w:w="2555" w:type="dxa"/>
          </w:tcPr>
          <w:p w14:paraId="4D178EBB">
            <w:pPr>
              <w:pStyle w:val="34"/>
            </w:pPr>
            <w:r>
              <w:rPr>
                <w:rFonts w:hint="eastAsia"/>
              </w:rPr>
              <w:t>哌啶</w:t>
            </w:r>
          </w:p>
        </w:tc>
        <w:tc>
          <w:tcPr>
            <w:tcW w:w="2502" w:type="dxa"/>
          </w:tcPr>
          <w:p w14:paraId="1BCB8B34">
            <w:pPr>
              <w:pStyle w:val="34"/>
            </w:pPr>
            <w:r>
              <w:rPr>
                <w:rFonts w:hint="eastAsia"/>
              </w:rPr>
              <w:t>380</w:t>
            </w:r>
          </w:p>
        </w:tc>
        <w:tc>
          <w:tcPr>
            <w:tcW w:w="2502" w:type="dxa"/>
          </w:tcPr>
          <w:p w14:paraId="6AA8199D">
            <w:pPr>
              <w:pStyle w:val="34"/>
            </w:pPr>
            <w:r>
              <w:rPr>
                <w:rFonts w:hint="eastAsia"/>
              </w:rPr>
              <w:t>110</w:t>
            </w:r>
          </w:p>
        </w:tc>
      </w:tr>
      <w:tr w14:paraId="5F7C20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5E9CD275">
            <w:pPr>
              <w:pStyle w:val="34"/>
            </w:pPr>
            <w:r>
              <w:rPr>
                <w:rFonts w:hint="eastAsia"/>
              </w:rPr>
              <w:t>24</w:t>
            </w:r>
          </w:p>
        </w:tc>
        <w:tc>
          <w:tcPr>
            <w:tcW w:w="2555" w:type="dxa"/>
          </w:tcPr>
          <w:p w14:paraId="4142BAE1">
            <w:pPr>
              <w:pStyle w:val="34"/>
            </w:pPr>
            <w:r>
              <w:rPr>
                <w:rFonts w:hint="eastAsia"/>
              </w:rPr>
              <w:t>氯磺酸</w:t>
            </w:r>
          </w:p>
        </w:tc>
        <w:tc>
          <w:tcPr>
            <w:tcW w:w="2502" w:type="dxa"/>
          </w:tcPr>
          <w:p w14:paraId="3808248D">
            <w:pPr>
              <w:pStyle w:val="34"/>
            </w:pPr>
            <w:r>
              <w:rPr>
                <w:rFonts w:hint="eastAsia"/>
              </w:rPr>
              <w:t>25</w:t>
            </w:r>
          </w:p>
        </w:tc>
        <w:tc>
          <w:tcPr>
            <w:tcW w:w="2502" w:type="dxa"/>
          </w:tcPr>
          <w:p w14:paraId="2B6F14C2">
            <w:pPr>
              <w:pStyle w:val="34"/>
            </w:pPr>
            <w:r>
              <w:rPr>
                <w:rFonts w:hint="eastAsia"/>
              </w:rPr>
              <w:t>4.4</w:t>
            </w:r>
          </w:p>
        </w:tc>
      </w:tr>
    </w:tbl>
    <w:p w14:paraId="37FDA021">
      <w:pPr>
        <w:ind w:firstLine="437"/>
      </w:pPr>
      <w:r>
        <w:rPr>
          <w:rFonts w:hint="eastAsia"/>
        </w:rPr>
        <w:t>根据表5.3-5，该类物质中选择燃烧产物为CO、</w:t>
      </w:r>
      <w:r>
        <w:rPr>
          <w:rFonts w:hint="eastAsia"/>
          <w:kern w:val="0"/>
        </w:rPr>
        <w:t>SO</w:t>
      </w:r>
      <w:r>
        <w:rPr>
          <w:rFonts w:hint="eastAsia"/>
          <w:kern w:val="0"/>
          <w:vertAlign w:val="subscript"/>
        </w:rPr>
        <w:t>2</w:t>
      </w:r>
      <w:r>
        <w:rPr>
          <w:rFonts w:hint="eastAsia"/>
          <w:kern w:val="0"/>
        </w:rPr>
        <w:t>的乙硫醇及</w:t>
      </w:r>
      <w:r>
        <w:rPr>
          <w:rFonts w:hint="eastAsia"/>
        </w:rPr>
        <w:t>大气毒性终点浓度较小的丙烯腈作为液体泄露大气环境风险代表性物质进行预测评价。</w:t>
      </w:r>
    </w:p>
    <w:p w14:paraId="17F4D653">
      <w:pPr>
        <w:ind w:firstLine="439"/>
      </w:pPr>
      <w:r>
        <w:rPr>
          <w:rFonts w:hint="eastAsia" w:ascii="宋体" w:hAnsi="宋体" w:cs="宋体"/>
          <w:b/>
          <w:kern w:val="0"/>
        </w:rPr>
        <w:t>③</w:t>
      </w:r>
      <w:r>
        <w:rPr>
          <w:rFonts w:hint="eastAsia" w:ascii="宋体" w:hAnsi="宋体" w:cs="宋体"/>
          <w:b/>
        </w:rPr>
        <w:t>不燃、易挥发液体</w:t>
      </w:r>
      <w:r>
        <w:rPr>
          <w:rFonts w:hint="eastAsia" w:ascii="宋体" w:hAnsi="宋体" w:cs="宋体"/>
        </w:rPr>
        <w:t>，</w:t>
      </w:r>
      <w:r>
        <w:rPr>
          <w:rFonts w:hint="eastAsia"/>
        </w:rPr>
        <w:t>此类物质主要包括：硫酸二甲酯、三氯乙烯</w:t>
      </w:r>
      <w:r>
        <w:t>、己二腈、三氯甲烷、四氯乙烯、氟化氢</w:t>
      </w:r>
      <w:r>
        <w:rPr>
          <w:rFonts w:hint="eastAsia"/>
        </w:rPr>
        <w:t>等</w:t>
      </w:r>
      <w:r>
        <w:t>，</w:t>
      </w:r>
      <w:r>
        <w:rPr>
          <w:rFonts w:hint="eastAsia"/>
        </w:rPr>
        <w:t>其中</w:t>
      </w:r>
      <w:bookmarkStart w:id="551" w:name="OLE_LINK189"/>
      <w:r>
        <w:t>氟化氢</w:t>
      </w:r>
      <w:bookmarkEnd w:id="551"/>
      <w:r>
        <w:t>挥发为氟化氢蒸气毒性较大且</w:t>
      </w:r>
      <w:r>
        <w:rPr>
          <w:rFonts w:hint="eastAsia"/>
        </w:rPr>
        <w:t>运输量较大</w:t>
      </w:r>
      <w:r>
        <w:t>，因此该类物质中选择</w:t>
      </w:r>
      <w:r>
        <w:rPr>
          <w:rFonts w:hint="eastAsia"/>
          <w:spacing w:val="-1"/>
        </w:rPr>
        <w:t>氟化氢蒸发</w:t>
      </w:r>
      <w:r>
        <w:t>作为此类型大气环境风险代表性物质进行预测评价。</w:t>
      </w:r>
    </w:p>
    <w:p w14:paraId="26CEFACE">
      <w:pPr>
        <w:ind w:firstLine="439"/>
        <w:rPr>
          <w:kern w:val="0"/>
        </w:rPr>
      </w:pPr>
      <w:r>
        <w:rPr>
          <w:rFonts w:hint="eastAsia" w:ascii="宋体" w:hAnsi="宋体" w:cs="宋体"/>
          <w:b/>
          <w:kern w:val="0"/>
        </w:rPr>
        <w:t>④易燃固体</w:t>
      </w:r>
      <w:r>
        <w:rPr>
          <w:rFonts w:hint="eastAsia" w:ascii="宋体" w:hAnsi="宋体" w:cs="宋体"/>
          <w:kern w:val="0"/>
        </w:rPr>
        <w:t>，</w:t>
      </w:r>
      <w:r>
        <w:rPr>
          <w:rFonts w:hint="eastAsia"/>
          <w:kern w:val="0"/>
        </w:rPr>
        <w:t>主要</w:t>
      </w:r>
      <w:r>
        <w:rPr>
          <w:kern w:val="0"/>
        </w:rPr>
        <w:t>为第</w:t>
      </w:r>
      <w:r>
        <w:rPr>
          <w:rFonts w:hint="eastAsia"/>
          <w:kern w:val="0"/>
        </w:rPr>
        <w:t>4类危险货物、第5类危险货物、第6类危险货物等，主要包括易燃固体磷化铝、黄磷、五硫化二磷及易燃晶体氯酸钠、铬酸酐、溴化氰等</w:t>
      </w:r>
      <w:r>
        <w:rPr>
          <w:kern w:val="0"/>
        </w:rPr>
        <w:t>，其中</w:t>
      </w:r>
      <w:r>
        <w:rPr>
          <w:rFonts w:hint="eastAsia"/>
          <w:kern w:val="0"/>
        </w:rPr>
        <w:t>黄磷</w:t>
      </w:r>
      <w:r>
        <w:rPr>
          <w:kern w:val="0"/>
        </w:rPr>
        <w:t>燃烧</w:t>
      </w:r>
      <w:r>
        <w:rPr>
          <w:rFonts w:hint="eastAsia"/>
          <w:kern w:val="0"/>
        </w:rPr>
        <w:t>产物五氧化二磷</w:t>
      </w:r>
      <w:r>
        <w:rPr>
          <w:kern w:val="0"/>
        </w:rPr>
        <w:t>毒性较大</w:t>
      </w:r>
      <w:r>
        <w:rPr>
          <w:rFonts w:hint="eastAsia" w:ascii="宋体" w:hAnsi="宋体" w:cs="宋体"/>
        </w:rPr>
        <w:t>（</w:t>
      </w:r>
      <w:r>
        <w:t>毒性终点浓度-1:</w:t>
      </w:r>
      <w:r>
        <w:rPr>
          <w:rFonts w:hint="eastAsia"/>
        </w:rPr>
        <w:t>50</w:t>
      </w:r>
      <w:r>
        <w:t>mg/m</w:t>
      </w:r>
      <w:r>
        <w:rPr>
          <w:vertAlign w:val="superscript"/>
        </w:rPr>
        <w:t>3</w:t>
      </w:r>
      <w:r>
        <w:rPr>
          <w:rFonts w:hint="eastAsia"/>
        </w:rPr>
        <w:t>，</w:t>
      </w:r>
      <w:r>
        <w:t>毒性终点浓度-2:</w:t>
      </w:r>
      <w:r>
        <w:rPr>
          <w:rFonts w:hint="eastAsia"/>
        </w:rPr>
        <w:t>20</w:t>
      </w:r>
      <w:r>
        <w:t>mg/m</w:t>
      </w:r>
      <w:r>
        <w:rPr>
          <w:vertAlign w:val="superscript"/>
        </w:rPr>
        <w:t>3</w:t>
      </w:r>
      <w:r>
        <w:t>）</w:t>
      </w:r>
      <w:r>
        <w:rPr>
          <w:kern w:val="0"/>
        </w:rPr>
        <w:t>，本次选择</w:t>
      </w:r>
      <w:r>
        <w:rPr>
          <w:rFonts w:hint="eastAsia"/>
          <w:kern w:val="0"/>
        </w:rPr>
        <w:t>黄磷</w:t>
      </w:r>
      <w:r>
        <w:rPr>
          <w:kern w:val="0"/>
        </w:rPr>
        <w:t>燃烧作为典型预测情景。</w:t>
      </w:r>
    </w:p>
    <w:p w14:paraId="6D7883B4">
      <w:pPr>
        <w:ind w:firstLine="439"/>
        <w:rPr>
          <w:rFonts w:hint="eastAsia" w:ascii="宋体" w:hAnsi="宋体" w:cs="宋体"/>
          <w:b/>
          <w:kern w:val="0"/>
        </w:rPr>
      </w:pPr>
      <w:r>
        <w:rPr>
          <w:rFonts w:hint="eastAsia" w:ascii="宋体" w:hAnsi="宋体" w:cs="宋体"/>
          <w:b/>
          <w:kern w:val="0"/>
        </w:rPr>
        <w:t>⑤难挥发、不燃性物质</w:t>
      </w:r>
      <w:r>
        <w:rPr>
          <w:rFonts w:hint="eastAsia" w:ascii="宋体" w:hAnsi="宋体" w:cs="宋体"/>
          <w:kern w:val="0"/>
        </w:rPr>
        <w:t>，此类物质泄漏后可不挥发、不易燃烧，可通过</w:t>
      </w:r>
      <w:r>
        <w:t>对周边大气环境的影响很小，在此不选择此类物质作为大气环境风险评价的代表性物质。</w:t>
      </w:r>
    </w:p>
    <w:p w14:paraId="43618C8C">
      <w:pPr>
        <w:ind w:firstLine="437"/>
      </w:pPr>
      <w:r>
        <w:rPr>
          <w:rFonts w:hint="eastAsia"/>
        </w:rPr>
        <w:t>综合各危险物质挥发产物和燃烧产物的毒性终点浓度、挥发产物和燃烧产物产生量，选择二氧化硫、丙烯腈、氟化氢、黄磷作为大气环境风险代表性物质进行风险预测评价。</w:t>
      </w:r>
    </w:p>
    <w:p w14:paraId="1059AFF4">
      <w:pPr>
        <w:pStyle w:val="7"/>
      </w:pPr>
      <w:r>
        <w:rPr>
          <w:rFonts w:hint="eastAsia"/>
        </w:rPr>
        <w:tab/>
      </w:r>
      <w:r>
        <w:rPr>
          <w:rFonts w:hint="eastAsia"/>
        </w:rPr>
        <w:t>拟建项目风险事故预测类型选择</w:t>
      </w:r>
    </w:p>
    <w:tbl>
      <w:tblPr>
        <w:tblStyle w:val="88"/>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492"/>
        <w:gridCol w:w="1169"/>
        <w:gridCol w:w="5861"/>
      </w:tblGrid>
      <w:tr w14:paraId="053D2C2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blHeader/>
        </w:trPr>
        <w:tc>
          <w:tcPr>
            <w:tcW w:w="1492" w:type="dxa"/>
          </w:tcPr>
          <w:p w14:paraId="5BBFD5FE">
            <w:pPr>
              <w:pStyle w:val="34"/>
            </w:pPr>
            <w:r>
              <w:t>风险类型</w:t>
            </w:r>
          </w:p>
        </w:tc>
        <w:tc>
          <w:tcPr>
            <w:tcW w:w="1169" w:type="dxa"/>
            <w:vAlign w:val="center"/>
          </w:tcPr>
          <w:p w14:paraId="69814D82">
            <w:pPr>
              <w:pStyle w:val="34"/>
            </w:pPr>
            <w:r>
              <w:t>危害类型</w:t>
            </w:r>
          </w:p>
        </w:tc>
        <w:tc>
          <w:tcPr>
            <w:tcW w:w="5861" w:type="dxa"/>
            <w:vAlign w:val="center"/>
          </w:tcPr>
          <w:p w14:paraId="20876512">
            <w:pPr>
              <w:pStyle w:val="34"/>
            </w:pPr>
            <w:r>
              <w:t>危险物质</w:t>
            </w:r>
          </w:p>
        </w:tc>
      </w:tr>
      <w:tr w14:paraId="1AE7112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1492" w:type="dxa"/>
            <w:vMerge w:val="restart"/>
            <w:vAlign w:val="center"/>
          </w:tcPr>
          <w:p w14:paraId="16D361A8">
            <w:pPr>
              <w:pStyle w:val="34"/>
            </w:pPr>
            <w:r>
              <w:t>陆域事故风险</w:t>
            </w:r>
          </w:p>
        </w:tc>
        <w:tc>
          <w:tcPr>
            <w:tcW w:w="1169" w:type="dxa"/>
            <w:vAlign w:val="center"/>
          </w:tcPr>
          <w:p w14:paraId="4656382E">
            <w:pPr>
              <w:pStyle w:val="34"/>
            </w:pPr>
            <w:r>
              <w:t>泄漏、蒸发</w:t>
            </w:r>
          </w:p>
        </w:tc>
        <w:tc>
          <w:tcPr>
            <w:tcW w:w="5861" w:type="dxa"/>
            <w:vAlign w:val="center"/>
          </w:tcPr>
          <w:p w14:paraId="74B627DB">
            <w:pPr>
              <w:pStyle w:val="34"/>
            </w:pPr>
            <w:r>
              <w:rPr>
                <w:rFonts w:hint="eastAsia"/>
              </w:rPr>
              <w:t>CO，气体泄漏；</w:t>
            </w:r>
          </w:p>
          <w:p w14:paraId="7D2EE765">
            <w:pPr>
              <w:pStyle w:val="34"/>
            </w:pPr>
            <w:r>
              <w:rPr>
                <w:rFonts w:hint="eastAsia"/>
              </w:rPr>
              <w:t>乙硫醇，液体泄漏蒸发；</w:t>
            </w:r>
          </w:p>
          <w:p w14:paraId="0B701311">
            <w:pPr>
              <w:pStyle w:val="34"/>
            </w:pPr>
            <w:r>
              <w:rPr>
                <w:rFonts w:hint="eastAsia"/>
              </w:rPr>
              <w:t>丙烯腈，液体泄漏蒸发；</w:t>
            </w:r>
          </w:p>
          <w:p w14:paraId="659832F0">
            <w:pPr>
              <w:pStyle w:val="34"/>
            </w:pPr>
            <w:r>
              <w:rPr>
                <w:rFonts w:hint="eastAsia"/>
              </w:rPr>
              <w:t>氟化氢，液体泄漏蒸发。</w:t>
            </w:r>
          </w:p>
        </w:tc>
      </w:tr>
      <w:tr w14:paraId="3A2A136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1492" w:type="dxa"/>
            <w:vMerge w:val="continue"/>
            <w:vAlign w:val="center"/>
          </w:tcPr>
          <w:p w14:paraId="2D890711">
            <w:pPr>
              <w:pStyle w:val="34"/>
            </w:pPr>
          </w:p>
        </w:tc>
        <w:tc>
          <w:tcPr>
            <w:tcW w:w="1169" w:type="dxa"/>
            <w:vAlign w:val="center"/>
          </w:tcPr>
          <w:p w14:paraId="7CE0D61D">
            <w:pPr>
              <w:pStyle w:val="34"/>
            </w:pPr>
            <w:r>
              <w:t>火灾、爆炸</w:t>
            </w:r>
          </w:p>
        </w:tc>
        <w:tc>
          <w:tcPr>
            <w:tcW w:w="5861" w:type="dxa"/>
            <w:vAlign w:val="center"/>
          </w:tcPr>
          <w:p w14:paraId="5883068D">
            <w:pPr>
              <w:pStyle w:val="34"/>
            </w:pPr>
            <w:r>
              <w:rPr>
                <w:rFonts w:hint="eastAsia"/>
              </w:rPr>
              <w:t>乙硫醇，燃烧产物CO、SO</w:t>
            </w:r>
            <w:r>
              <w:rPr>
                <w:rFonts w:hint="eastAsia"/>
                <w:vertAlign w:val="subscript"/>
              </w:rPr>
              <w:t>2</w:t>
            </w:r>
            <w:r>
              <w:rPr>
                <w:rFonts w:hint="eastAsia"/>
              </w:rPr>
              <w:t>；</w:t>
            </w:r>
          </w:p>
          <w:p w14:paraId="359F3E58">
            <w:pPr>
              <w:pStyle w:val="34"/>
            </w:pPr>
            <w:r>
              <w:rPr>
                <w:rFonts w:hint="eastAsia"/>
              </w:rPr>
              <w:t>丙烯腈，</w:t>
            </w:r>
            <w:r>
              <w:t>燃烧产物</w:t>
            </w:r>
            <w:r>
              <w:rPr>
                <w:rFonts w:hint="eastAsia"/>
              </w:rPr>
              <w:t>CO；</w:t>
            </w:r>
          </w:p>
          <w:p w14:paraId="392777C2">
            <w:pPr>
              <w:pStyle w:val="34"/>
            </w:pPr>
            <w:r>
              <w:rPr>
                <w:rFonts w:hint="eastAsia"/>
              </w:rPr>
              <w:t>黄磷，燃烧产物P</w:t>
            </w:r>
            <w:r>
              <w:rPr>
                <w:rFonts w:hint="eastAsia"/>
                <w:vertAlign w:val="subscript"/>
              </w:rPr>
              <w:t>2</w:t>
            </w:r>
            <w:r>
              <w:rPr>
                <w:rFonts w:hint="eastAsia"/>
              </w:rPr>
              <w:t>O</w:t>
            </w:r>
            <w:r>
              <w:rPr>
                <w:rFonts w:hint="eastAsia"/>
                <w:vertAlign w:val="subscript"/>
              </w:rPr>
              <w:t>5</w:t>
            </w:r>
            <w:r>
              <w:rPr>
                <w:rFonts w:hint="eastAsia"/>
              </w:rPr>
              <w:t>。</w:t>
            </w:r>
          </w:p>
        </w:tc>
      </w:tr>
      <w:tr w14:paraId="05213F8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1492" w:type="dxa"/>
            <w:vAlign w:val="center"/>
          </w:tcPr>
          <w:p w14:paraId="7B36827F">
            <w:pPr>
              <w:pStyle w:val="34"/>
            </w:pPr>
            <w:r>
              <w:t>海域事故风险</w:t>
            </w:r>
          </w:p>
        </w:tc>
        <w:tc>
          <w:tcPr>
            <w:tcW w:w="1169" w:type="dxa"/>
            <w:vAlign w:val="center"/>
          </w:tcPr>
          <w:p w14:paraId="7539318D">
            <w:pPr>
              <w:pStyle w:val="34"/>
            </w:pPr>
            <w:r>
              <w:t>危险化学品泄漏</w:t>
            </w:r>
          </w:p>
        </w:tc>
        <w:tc>
          <w:tcPr>
            <w:tcW w:w="5861" w:type="dxa"/>
            <w:vAlign w:val="center"/>
          </w:tcPr>
          <w:p w14:paraId="2E2EF253">
            <w:pPr>
              <w:pStyle w:val="34"/>
            </w:pPr>
            <w:r>
              <w:rPr>
                <w:rFonts w:hint="eastAsia"/>
              </w:rPr>
              <w:t>硫酸（液态物质，造成海域环境pH值变化）；</w:t>
            </w:r>
          </w:p>
          <w:p w14:paraId="5A13169E">
            <w:pPr>
              <w:pStyle w:val="34"/>
            </w:pPr>
            <w:r>
              <w:rPr>
                <w:rFonts w:hint="eastAsia"/>
              </w:rPr>
              <w:t>磷酸</w:t>
            </w:r>
            <w:r>
              <w:t>（</w:t>
            </w:r>
            <w:r>
              <w:rPr>
                <w:rFonts w:hint="eastAsia"/>
              </w:rPr>
              <w:t>液态物质，造成磷酸盐污染及海域环境pH值变化</w:t>
            </w:r>
            <w:r>
              <w:t>）；</w:t>
            </w:r>
          </w:p>
          <w:p w14:paraId="29579BA5">
            <w:pPr>
              <w:pStyle w:val="34"/>
            </w:pPr>
            <w:r>
              <w:rPr>
                <w:rFonts w:hint="eastAsia"/>
              </w:rPr>
              <w:t>氢氧化钠（固体物质，造成海域环境pH值变化）；</w:t>
            </w:r>
          </w:p>
          <w:p w14:paraId="20FAC02A">
            <w:pPr>
              <w:pStyle w:val="34"/>
            </w:pPr>
            <w:r>
              <w:rPr>
                <w:rFonts w:hint="eastAsia"/>
              </w:rPr>
              <w:t>硫酸镉（固体物质，造成海域环境重金属富集）；</w:t>
            </w:r>
          </w:p>
          <w:p w14:paraId="4EAAE013">
            <w:pPr>
              <w:pStyle w:val="34"/>
            </w:pPr>
            <w:r>
              <w:rPr>
                <w:rFonts w:hint="eastAsia"/>
              </w:rPr>
              <w:t>己二腈（液态物质，造成海域水生态环境污染）</w:t>
            </w:r>
          </w:p>
          <w:p w14:paraId="0C632A6C">
            <w:pPr>
              <w:pStyle w:val="34"/>
            </w:pPr>
            <w:r>
              <w:rPr>
                <w:rFonts w:hint="eastAsia"/>
              </w:rPr>
              <w:t>燃料油</w:t>
            </w:r>
            <w:r>
              <w:t>（</w:t>
            </w:r>
            <w:r>
              <w:rPr>
                <w:rFonts w:hint="eastAsia"/>
              </w:rPr>
              <w:t>漂浮物质，泄漏量大</w:t>
            </w:r>
            <w:r>
              <w:t>）；</w:t>
            </w:r>
          </w:p>
          <w:p w14:paraId="535F2BD4">
            <w:pPr>
              <w:pStyle w:val="34"/>
            </w:pPr>
            <w:r>
              <w:rPr>
                <w:rFonts w:hint="eastAsia"/>
              </w:rPr>
              <w:t>硅铝铁合金粉（粉末状物质，造成海域水生态环境污染）。</w:t>
            </w:r>
          </w:p>
        </w:tc>
      </w:tr>
    </w:tbl>
    <w:p w14:paraId="678E0962">
      <w:pPr>
        <w:pStyle w:val="6"/>
      </w:pPr>
      <w:r>
        <w:t>海域泄漏源强核算</w:t>
      </w:r>
    </w:p>
    <w:p w14:paraId="4F0AE66B">
      <w:pPr>
        <w:ind w:firstLine="439"/>
        <w:rPr>
          <w:b/>
        </w:rPr>
      </w:pPr>
      <w:bookmarkStart w:id="552" w:name="_Hlk89703507"/>
      <w:r>
        <w:rPr>
          <w:rFonts w:hint="eastAsia"/>
          <w:b/>
        </w:rPr>
        <w:t>1、溢油事故源强</w:t>
      </w:r>
    </w:p>
    <w:p w14:paraId="70366D56">
      <w:pPr>
        <w:ind w:firstLine="437"/>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最大可信水上溢油事故溢油量</w:t>
      </w:r>
    </w:p>
    <w:p w14:paraId="730D6D9B">
      <w:pPr>
        <w:ind w:firstLine="437"/>
      </w:pPr>
      <w:r>
        <w:rPr>
          <w:rFonts w:hint="eastAsia"/>
        </w:rPr>
        <w:t>根据《水上溢油环境风险评估技术导则》（JT/T114-2017），新建水运工程建设项目的最大可信水上溢油事故溢油量，按照设计代表船型所载货油或船用燃料油全部泄漏的数量确定。经咨询业主，本项目最大到港船舶船型为5000吨级，参考《水上溢油环境风险评估技术导则》（JT/T114-2017）表C.7，5千级</w:t>
      </w:r>
      <w:bookmarkStart w:id="553" w:name="_Hlk57044697"/>
      <w:r>
        <w:rPr>
          <w:rFonts w:hint="eastAsia"/>
        </w:rPr>
        <w:t>集装箱船燃油</w:t>
      </w:r>
      <w:bookmarkEnd w:id="553"/>
      <w:r>
        <w:rPr>
          <w:rFonts w:hint="eastAsia"/>
        </w:rPr>
        <w:t>总舱容约304m</w:t>
      </w:r>
      <w:r>
        <w:rPr>
          <w:rFonts w:hint="eastAsia"/>
          <w:vertAlign w:val="superscript"/>
        </w:rPr>
        <w:t>3</w:t>
      </w:r>
      <w:r>
        <w:rPr>
          <w:rFonts w:hint="eastAsia"/>
        </w:rPr>
        <w:t>，燃油总量（载油率80%）则为243t（一般集装箱燃油采用108#燃料油，密度按0.99t/m</w:t>
      </w:r>
      <w:r>
        <w:rPr>
          <w:rFonts w:hint="eastAsia"/>
          <w:vertAlign w:val="superscript"/>
        </w:rPr>
        <w:t>3</w:t>
      </w:r>
      <w:r>
        <w:rPr>
          <w:rFonts w:hint="eastAsia"/>
        </w:rPr>
        <w:t>）。因此，本项目最大可信水上溢油事故溢油量为243</w:t>
      </w:r>
      <w:r>
        <w:t>t</w:t>
      </w:r>
      <w:r>
        <w:rPr>
          <w:rFonts w:hint="eastAsia"/>
        </w:rPr>
        <w:t>。</w:t>
      </w:r>
    </w:p>
    <w:p w14:paraId="6532CCC4">
      <w:pPr>
        <w:ind w:firstLine="437"/>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最大可能水上溢油事故溢油量</w:t>
      </w:r>
    </w:p>
    <w:p w14:paraId="68E665F9">
      <w:pPr>
        <w:ind w:firstLine="437"/>
      </w:pPr>
      <w:r>
        <w:rPr>
          <w:rFonts w:hint="eastAsia"/>
        </w:rPr>
        <w:t>根据《水上溢油环境风险评估技术导则》（JT-T1143-2017），水运工程建设项目的可能最大水上溢油事故溢油量，按照设计代表船型的1个货油边舱或燃料油边舱的容积确定。本工程设计代表船型为5000DWT集装箱船，船用燃料油数量依据《水上溢油环境风险评估技术导则》（JTT1143-2017）附录C中的“表C.7集装箱船、滚装船、小汽车运输船燃油舱中燃油数量关系”中集装箱船单舱燃油量，项目最大可能水上溢油事故溢油量为28.5t。</w:t>
      </w:r>
    </w:p>
    <w:p w14:paraId="69E2FB70">
      <w:pPr>
        <w:ind w:firstLine="437"/>
      </w:pPr>
      <w:r>
        <w:rPr>
          <w:rFonts w:hint="eastAsia"/>
        </w:rPr>
        <w:t>综上所述，本次项目最大可信水上溢油事故溢油量为5千吨级船用燃料油全部泄漏，为243</w:t>
      </w:r>
      <w:r>
        <w:t>t</w:t>
      </w:r>
      <w:r>
        <w:rPr>
          <w:rFonts w:hint="eastAsia"/>
        </w:rPr>
        <w:t>；最大可能水上溢油事故溢油量为1个5千吨级单个燃料油舱泄漏，为28.5</w:t>
      </w:r>
      <w:r>
        <w:t>t</w:t>
      </w:r>
      <w:r>
        <w:rPr>
          <w:rFonts w:hint="eastAsia"/>
        </w:rPr>
        <w:t>。</w:t>
      </w:r>
    </w:p>
    <w:p w14:paraId="43D4ECCD">
      <w:pPr>
        <w:ind w:firstLine="439"/>
        <w:jc w:val="left"/>
        <w:rPr>
          <w:b/>
        </w:rPr>
      </w:pPr>
      <w:r>
        <w:rPr>
          <w:rFonts w:hint="eastAsia"/>
          <w:b/>
        </w:rPr>
        <w:t>2、溶水化学品泄漏事故源强</w:t>
      </w:r>
    </w:p>
    <w:p w14:paraId="5A8D4AA4">
      <w:pPr>
        <w:ind w:firstLine="437"/>
      </w:pPr>
      <w:r>
        <w:rPr>
          <w:rFonts w:hint="eastAsia"/>
        </w:rPr>
        <w:t>鉴于本项目罐箱均为相对独立的，因此泄漏情景均为假设一个罐箱或其中一个内包装发生泄漏事故的情况。其中</w:t>
      </w:r>
      <w:r>
        <w:rPr>
          <w:rFonts w:hint="eastAsia"/>
          <w:u w:val="single"/>
        </w:rPr>
        <w:t>硫酸包装规格一般为1t独立包装（IBC桶）；磷酸包装规格一般为35kg独立包装（桶装）和罐箱（最大载重按28t）；氢氧化钠包装规格为400kg独立包装（桶装）；硫酸镉包装规格为20kg独立包装（桶装）；己二腈包装规格为25kg独立包装（桶装）；硅铝铁合金粉包装规格一般为1t独立包装（IBC桶）</w:t>
      </w:r>
      <w:r>
        <w:rPr>
          <w:rFonts w:hint="eastAsia"/>
        </w:rPr>
        <w:t>。则本项目化学品泄漏事故源强为上述物质一次泄漏完。</w:t>
      </w:r>
      <w:bookmarkEnd w:id="552"/>
    </w:p>
    <w:p w14:paraId="79754B11">
      <w:pPr>
        <w:pStyle w:val="6"/>
      </w:pPr>
      <w:r>
        <w:t>陆域泄漏及火灾爆炸源强核算</w:t>
      </w:r>
    </w:p>
    <w:p w14:paraId="23CDD50C">
      <w:pPr>
        <w:ind w:firstLine="439"/>
        <w:rPr>
          <w:b/>
          <w:bCs/>
        </w:rPr>
      </w:pPr>
      <w:r>
        <w:rPr>
          <w:rFonts w:hint="eastAsia"/>
          <w:b/>
          <w:bCs/>
        </w:rPr>
        <w:t>1、气体泄漏源强</w:t>
      </w:r>
    </w:p>
    <w:p w14:paraId="2A72E93B">
      <w:pPr>
        <w:ind w:firstLine="437"/>
      </w:pPr>
      <w:r>
        <w:rPr>
          <w:rFonts w:hint="eastAsia"/>
        </w:rPr>
        <w:t>根据项目危险货种特性，项目可能发生陆域气体泄漏并产生环境风险的物质为一氧化碳。根据</w:t>
      </w:r>
      <w:r>
        <w:t>《建设项目环境风险评价技术导则》（HJ169-2018）</w:t>
      </w:r>
      <w:r>
        <w:rPr>
          <w:rFonts w:hint="eastAsia"/>
        </w:rPr>
        <w:t>，附录F 1.2气体泄漏公式计算气体泄漏源强，其中当下式成立时，气体流动属音速流动（临界流）：</w:t>
      </w:r>
    </w:p>
    <w:p w14:paraId="156A34EF">
      <w:pPr>
        <w:ind w:firstLine="437"/>
        <w:jc w:val="center"/>
      </w:pPr>
      <w:r>
        <w:drawing>
          <wp:inline distT="0" distB="0" distL="114300" distR="114300">
            <wp:extent cx="1476375" cy="581025"/>
            <wp:effectExtent l="0" t="0" r="9525" b="9525"/>
            <wp:docPr id="13757578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33" name="图片 1"/>
                    <pic:cNvPicPr>
                      <a:picLocks noChangeAspect="1"/>
                    </pic:cNvPicPr>
                  </pic:nvPicPr>
                  <pic:blipFill>
                    <a:blip r:embed="rId135"/>
                    <a:stretch>
                      <a:fillRect/>
                    </a:stretch>
                  </pic:blipFill>
                  <pic:spPr>
                    <a:xfrm>
                      <a:off x="0" y="0"/>
                      <a:ext cx="1476375" cy="581025"/>
                    </a:xfrm>
                    <a:prstGeom prst="rect">
                      <a:avLst/>
                    </a:prstGeom>
                    <a:noFill/>
                    <a:ln>
                      <a:noFill/>
                    </a:ln>
                  </pic:spPr>
                </pic:pic>
              </a:graphicData>
            </a:graphic>
          </wp:inline>
        </w:drawing>
      </w:r>
    </w:p>
    <w:p w14:paraId="267D66A7">
      <w:pPr>
        <w:ind w:firstLine="437"/>
      </w:pPr>
      <w:r>
        <w:rPr>
          <w:rFonts w:hint="eastAsia"/>
        </w:rPr>
        <w:t>当下式成立时，气体流动属于亚音速流动（次临界流）：</w:t>
      </w:r>
    </w:p>
    <w:p w14:paraId="33D7E67E">
      <w:pPr>
        <w:ind w:firstLine="437"/>
        <w:jc w:val="center"/>
      </w:pPr>
      <w:r>
        <w:drawing>
          <wp:inline distT="0" distB="0" distL="114300" distR="114300">
            <wp:extent cx="1391285" cy="648335"/>
            <wp:effectExtent l="0" t="0" r="18415" b="18415"/>
            <wp:docPr id="13757578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34" name="图片 1"/>
                    <pic:cNvPicPr>
                      <a:picLocks noChangeAspect="1"/>
                    </pic:cNvPicPr>
                  </pic:nvPicPr>
                  <pic:blipFill>
                    <a:blip r:embed="rId136"/>
                    <a:stretch>
                      <a:fillRect/>
                    </a:stretch>
                  </pic:blipFill>
                  <pic:spPr>
                    <a:xfrm>
                      <a:off x="0" y="0"/>
                      <a:ext cx="1391285" cy="648335"/>
                    </a:xfrm>
                    <a:prstGeom prst="rect">
                      <a:avLst/>
                    </a:prstGeom>
                    <a:noFill/>
                    <a:ln>
                      <a:noFill/>
                    </a:ln>
                  </pic:spPr>
                </pic:pic>
              </a:graphicData>
            </a:graphic>
          </wp:inline>
        </w:drawing>
      </w:r>
    </w:p>
    <w:p w14:paraId="7CB230BC">
      <w:pPr>
        <w:ind w:firstLine="437"/>
      </w:pPr>
      <w:r>
        <w:t>式中：</w:t>
      </w:r>
      <w:r>
        <w:rPr>
          <w:rFonts w:hint="eastAsia"/>
          <w:i/>
        </w:rPr>
        <w:t>P</w:t>
      </w:r>
      <w:r>
        <w:t>——</w:t>
      </w:r>
      <w:r>
        <w:rPr>
          <w:rFonts w:hint="eastAsia"/>
        </w:rPr>
        <w:t>容器</w:t>
      </w:r>
      <w:r>
        <w:t>压力，</w:t>
      </w:r>
      <w:r>
        <w:rPr>
          <w:rFonts w:hint="eastAsia"/>
        </w:rPr>
        <w:t>Pa；</w:t>
      </w:r>
    </w:p>
    <w:p w14:paraId="5B0488A4">
      <w:pPr>
        <w:ind w:firstLine="437"/>
      </w:pPr>
      <w:r>
        <w:rPr>
          <w:rFonts w:hint="eastAsia"/>
          <w:i/>
        </w:rPr>
        <w:t>P</w:t>
      </w:r>
      <w:r>
        <w:rPr>
          <w:rFonts w:hint="eastAsia"/>
          <w:vertAlign w:val="subscript"/>
        </w:rPr>
        <w:t>0</w:t>
      </w:r>
      <w:r>
        <w:t>——</w:t>
      </w:r>
      <w:r>
        <w:rPr>
          <w:rFonts w:hint="eastAsia"/>
        </w:rPr>
        <w:t>环境</w:t>
      </w:r>
      <w:r>
        <w:t>压力，</w:t>
      </w:r>
      <w:r>
        <w:rPr>
          <w:rFonts w:hint="eastAsia"/>
        </w:rPr>
        <w:t>Pa；</w:t>
      </w:r>
    </w:p>
    <w:p w14:paraId="57FAEE98">
      <w:pPr>
        <w:ind w:firstLine="437"/>
      </w:pPr>
      <w:r>
        <w:rPr>
          <w:rFonts w:hint="eastAsia"/>
          <w:i/>
        </w:rPr>
        <w:t>γ</w:t>
      </w:r>
      <w:r>
        <w:t>——气体的绝热指数（比热容比）</w:t>
      </w:r>
    </w:p>
    <w:p w14:paraId="430381CF">
      <w:pPr>
        <w:ind w:firstLine="439"/>
        <w:rPr>
          <w:b/>
        </w:rPr>
      </w:pPr>
      <w:r>
        <w:rPr>
          <w:rFonts w:hint="eastAsia"/>
          <w:b/>
        </w:rPr>
        <w:t>①一氧化碳气体泄漏</w:t>
      </w:r>
    </w:p>
    <w:p w14:paraId="7897AE79">
      <w:pPr>
        <w:ind w:firstLine="437"/>
      </w:pPr>
      <w:r>
        <w:rPr>
          <w:rFonts w:hint="eastAsia"/>
        </w:rPr>
        <w:t>预测情景考虑</w:t>
      </w:r>
      <w:bookmarkStart w:id="554" w:name="OLE_LINK190"/>
      <w:r>
        <w:rPr>
          <w:rFonts w:hint="eastAsia"/>
        </w:rPr>
        <w:t>一氧化碳</w:t>
      </w:r>
      <w:bookmarkEnd w:id="554"/>
      <w:r>
        <w:rPr>
          <w:rFonts w:hint="eastAsia"/>
        </w:rPr>
        <w:t>钢瓶气体泄漏，采用高压运输，根据上式计算，一氧化碳气体流动属于临界流。</w:t>
      </w:r>
    </w:p>
    <w:p w14:paraId="6E0D54B6">
      <w:pPr>
        <w:ind w:firstLine="437"/>
      </w:pPr>
      <w:r>
        <w:rPr>
          <w:rFonts w:hint="eastAsia"/>
        </w:rPr>
        <w:t>气体泄漏速率按下式计算：</w:t>
      </w:r>
    </w:p>
    <w:p w14:paraId="1077B498">
      <w:pPr>
        <w:ind w:firstLine="437"/>
        <w:jc w:val="center"/>
      </w:pPr>
      <w:r>
        <w:drawing>
          <wp:inline distT="0" distB="0" distL="114300" distR="114300">
            <wp:extent cx="2886075" cy="942975"/>
            <wp:effectExtent l="0" t="0" r="9525" b="9525"/>
            <wp:docPr id="7803657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65790" name="图片 1"/>
                    <pic:cNvPicPr>
                      <a:picLocks noChangeAspect="1"/>
                    </pic:cNvPicPr>
                  </pic:nvPicPr>
                  <pic:blipFill>
                    <a:blip r:embed="rId137"/>
                    <a:stretch>
                      <a:fillRect/>
                    </a:stretch>
                  </pic:blipFill>
                  <pic:spPr>
                    <a:xfrm>
                      <a:off x="0" y="0"/>
                      <a:ext cx="2886075" cy="942975"/>
                    </a:xfrm>
                    <a:prstGeom prst="rect">
                      <a:avLst/>
                    </a:prstGeom>
                    <a:noFill/>
                    <a:ln>
                      <a:noFill/>
                    </a:ln>
                  </pic:spPr>
                </pic:pic>
              </a:graphicData>
            </a:graphic>
          </wp:inline>
        </w:drawing>
      </w:r>
    </w:p>
    <w:p w14:paraId="5B57E30A">
      <w:pPr>
        <w:ind w:firstLine="437"/>
      </w:pPr>
      <w:r>
        <w:t>式中：</w:t>
      </w:r>
      <w:r>
        <w:rPr>
          <w:i/>
        </w:rPr>
        <w:t>Q</w:t>
      </w:r>
      <w:r>
        <w:rPr>
          <w:rFonts w:hint="eastAsia"/>
          <w:vertAlign w:val="subscript"/>
        </w:rPr>
        <w:t>G</w:t>
      </w:r>
      <w:r>
        <w:t>——</w:t>
      </w:r>
      <w:r>
        <w:rPr>
          <w:rFonts w:hint="eastAsia"/>
        </w:rPr>
        <w:t>气体泄漏速率</w:t>
      </w:r>
      <w:r>
        <w:t>，kg/s；</w:t>
      </w:r>
    </w:p>
    <w:p w14:paraId="55ADDCD6">
      <w:pPr>
        <w:ind w:firstLine="437"/>
      </w:pPr>
      <w:r>
        <w:rPr>
          <w:rFonts w:hint="eastAsia"/>
          <w:i/>
        </w:rPr>
        <w:t>P</w:t>
      </w:r>
      <w:r>
        <w:t>——</w:t>
      </w:r>
      <w:r>
        <w:rPr>
          <w:rFonts w:hint="eastAsia"/>
        </w:rPr>
        <w:t>容器</w:t>
      </w:r>
      <w:r>
        <w:t>压力，</w:t>
      </w:r>
      <w:r>
        <w:rPr>
          <w:rFonts w:hint="eastAsia"/>
        </w:rPr>
        <w:t>Pa，</w:t>
      </w:r>
      <w:r>
        <w:t>本项目取</w:t>
      </w:r>
      <w:r>
        <w:rPr>
          <w:rFonts w:hint="eastAsia"/>
        </w:rPr>
        <w:t>1.5MPa；</w:t>
      </w:r>
    </w:p>
    <w:p w14:paraId="09FDCE4B">
      <w:pPr>
        <w:ind w:firstLine="437"/>
      </w:pPr>
      <w:r>
        <w:rPr>
          <w:rFonts w:hint="eastAsia"/>
          <w:i/>
        </w:rPr>
        <w:t>C</w:t>
      </w:r>
      <w:r>
        <w:rPr>
          <w:rFonts w:hint="eastAsia"/>
          <w:i/>
          <w:vertAlign w:val="subscript"/>
        </w:rPr>
        <w:t>d</w:t>
      </w:r>
      <w:r>
        <w:t>——</w:t>
      </w:r>
      <w:r>
        <w:rPr>
          <w:rFonts w:hint="eastAsia"/>
        </w:rPr>
        <w:t>气体泄漏系数，本项目取裂口形状圆形为1</w:t>
      </w:r>
      <w:r>
        <w:t>；</w:t>
      </w:r>
    </w:p>
    <w:p w14:paraId="68DFD0D6">
      <w:pPr>
        <w:ind w:firstLine="437"/>
      </w:pPr>
      <w:r>
        <w:rPr>
          <w:i/>
        </w:rPr>
        <w:t>M</w:t>
      </w:r>
      <w:r>
        <w:t>——物质的摩尔质量，</w:t>
      </w:r>
      <w:r>
        <w:rPr>
          <w:rFonts w:hint="eastAsia"/>
        </w:rPr>
        <w:t>一氧化碳28</w:t>
      </w:r>
      <w:r>
        <w:t>g/mol；</w:t>
      </w:r>
    </w:p>
    <w:p w14:paraId="6D5B876B">
      <w:pPr>
        <w:ind w:firstLine="437"/>
      </w:pPr>
      <w:r>
        <w:rPr>
          <w:i/>
        </w:rPr>
        <w:t>R</w:t>
      </w:r>
      <w:r>
        <w:t>——气体常数</w:t>
      </w:r>
      <w:r>
        <w:rPr>
          <w:rFonts w:hint="eastAsia"/>
        </w:rPr>
        <w:t>，8.314</w:t>
      </w:r>
      <w:r>
        <w:t>J/mol·k；</w:t>
      </w:r>
    </w:p>
    <w:p w14:paraId="6B67005D">
      <w:pPr>
        <w:ind w:firstLine="437"/>
      </w:pPr>
      <w:bookmarkStart w:id="555" w:name="OLE_LINK191"/>
      <w:r>
        <w:rPr>
          <w:rFonts w:hint="eastAsia"/>
          <w:i/>
        </w:rPr>
        <w:t>A</w:t>
      </w:r>
      <w:r>
        <w:t>——裂口面积，</w:t>
      </w:r>
      <w:r>
        <w:rPr>
          <w:rFonts w:hint="eastAsia"/>
        </w:rPr>
        <w:t>m</w:t>
      </w:r>
      <w:r>
        <w:rPr>
          <w:rFonts w:hint="eastAsia"/>
          <w:vertAlign w:val="superscript"/>
        </w:rPr>
        <w:t>2</w:t>
      </w:r>
      <w:r>
        <w:rPr>
          <w:rFonts w:hint="eastAsia"/>
        </w:rPr>
        <w:t>，本项目取1.5cm，裂口面积1.77×10</w:t>
      </w:r>
      <w:r>
        <w:rPr>
          <w:rFonts w:hint="eastAsia"/>
          <w:vertAlign w:val="superscript"/>
        </w:rPr>
        <w:t>-4</w:t>
      </w:r>
      <w:r>
        <w:rPr>
          <w:rFonts w:hint="eastAsia"/>
        </w:rPr>
        <w:t>m</w:t>
      </w:r>
      <w:r>
        <w:rPr>
          <w:rFonts w:hint="eastAsia"/>
          <w:vertAlign w:val="superscript"/>
        </w:rPr>
        <w:t>2</w:t>
      </w:r>
      <w:r>
        <w:t>；</w:t>
      </w:r>
    </w:p>
    <w:bookmarkEnd w:id="555"/>
    <w:p w14:paraId="6985F096">
      <w:pPr>
        <w:ind w:firstLine="437"/>
      </w:pPr>
      <w:r>
        <w:rPr>
          <w:rFonts w:hint="eastAsia"/>
          <w:i/>
        </w:rPr>
        <w:t>T</w:t>
      </w:r>
      <w:r>
        <w:rPr>
          <w:rFonts w:hint="eastAsia"/>
          <w:i/>
          <w:vertAlign w:val="subscript"/>
        </w:rPr>
        <w:t>G</w:t>
      </w:r>
      <w:r>
        <w:t>——</w:t>
      </w:r>
      <w:r>
        <w:rPr>
          <w:rFonts w:hint="eastAsia"/>
        </w:rPr>
        <w:t>气体温度</w:t>
      </w:r>
      <w:r>
        <w:t>，本项目取299.35K；</w:t>
      </w:r>
    </w:p>
    <w:p w14:paraId="526B8D9F">
      <w:pPr>
        <w:ind w:firstLine="437"/>
      </w:pPr>
      <w:r>
        <w:rPr>
          <w:rFonts w:hint="eastAsia"/>
          <w:i/>
        </w:rPr>
        <w:t>γ</w:t>
      </w:r>
      <w:r>
        <w:t>——气体的绝热指数（比热容比），</w:t>
      </w:r>
      <w:r>
        <w:rPr>
          <w:rFonts w:hint="eastAsia"/>
        </w:rPr>
        <w:t>一氧化碳</w:t>
      </w:r>
      <w:r>
        <w:t>为</w:t>
      </w:r>
      <w:r>
        <w:rPr>
          <w:rFonts w:hint="eastAsia"/>
        </w:rPr>
        <w:t>1.40；</w:t>
      </w:r>
    </w:p>
    <w:p w14:paraId="0324F285">
      <w:pPr>
        <w:ind w:firstLine="437"/>
      </w:pPr>
      <w:r>
        <w:rPr>
          <w:rFonts w:hint="eastAsia"/>
          <w:i/>
        </w:rPr>
        <w:t>Y</w:t>
      </w:r>
      <w:r>
        <w:t>——</w:t>
      </w:r>
      <w:r>
        <w:rPr>
          <w:rFonts w:hint="eastAsia"/>
        </w:rPr>
        <w:t>流出系数</w:t>
      </w:r>
      <w:r>
        <w:t>，</w:t>
      </w:r>
      <w:r>
        <w:rPr>
          <w:rFonts w:hint="eastAsia"/>
        </w:rPr>
        <w:t>对于</w:t>
      </w:r>
      <w:r>
        <w:t>临界流</w:t>
      </w:r>
      <w:r>
        <w:rPr>
          <w:rFonts w:hint="eastAsia"/>
        </w:rPr>
        <w:t>取1.0。</w:t>
      </w:r>
    </w:p>
    <w:p w14:paraId="3B787F0E">
      <w:pPr>
        <w:ind w:firstLine="437"/>
      </w:pPr>
      <w:r>
        <w:rPr>
          <w:rFonts w:hint="eastAsia"/>
        </w:rPr>
        <w:t>一氧化碳运输最大包装采用内容积21.67m</w:t>
      </w:r>
      <w:r>
        <w:rPr>
          <w:rFonts w:hint="eastAsia"/>
          <w:vertAlign w:val="superscript"/>
        </w:rPr>
        <w:t>3</w:t>
      </w:r>
      <w:r>
        <w:rPr>
          <w:rFonts w:hint="eastAsia"/>
        </w:rPr>
        <w:t>集装箱罐箱包装运输，充装系数为1.25k</w:t>
      </w:r>
      <w:r>
        <w:t>g</w:t>
      </w:r>
      <w:r>
        <w:rPr>
          <w:rFonts w:hint="eastAsia"/>
        </w:rPr>
        <w:t>/L</w:t>
      </w:r>
      <w:r>
        <w:t>。</w:t>
      </w:r>
      <w:r>
        <w:rPr>
          <w:rFonts w:hint="eastAsia"/>
        </w:rPr>
        <w:t>泄漏量按照《建设项目环境风险评价技术导则》（HJ169-2018）计算，则</w:t>
      </w:r>
      <w:bookmarkStart w:id="556" w:name="OLE_LINK192"/>
      <w:r>
        <w:rPr>
          <w:rFonts w:hint="eastAsia"/>
        </w:rPr>
        <w:t>一氧化碳</w:t>
      </w:r>
      <w:bookmarkEnd w:id="556"/>
      <w:r>
        <w:rPr>
          <w:rFonts w:hint="eastAsia"/>
        </w:rPr>
        <w:t>泄漏速率为0.024kg/s，以此速率储罐15min泄漏，泄漏量为216kg。</w:t>
      </w:r>
    </w:p>
    <w:p w14:paraId="18AF1269">
      <w:pPr>
        <w:ind w:firstLine="439"/>
        <w:rPr>
          <w:b/>
          <w:bCs/>
        </w:rPr>
      </w:pPr>
      <w:r>
        <w:rPr>
          <w:rFonts w:hint="eastAsia"/>
          <w:b/>
          <w:bCs/>
        </w:rPr>
        <w:t>2、化学品泄漏源强</w:t>
      </w:r>
    </w:p>
    <w:p w14:paraId="0F61F3DB">
      <w:pPr>
        <w:ind w:firstLine="437"/>
      </w:pPr>
      <w:r>
        <w:rPr>
          <w:rFonts w:hint="eastAsia"/>
        </w:rPr>
        <w:t>根据项目危险货种特性，项目可能发生陆域泄漏蒸发并产生环境风险的物质主要为乙硫醇、丙烯腈、氟化氢，根据</w:t>
      </w:r>
      <w:r>
        <w:t>《建设项目环境风险评价技术导则》（HJ169-2018）</w:t>
      </w:r>
      <w:r>
        <w:rPr>
          <w:rFonts w:hint="eastAsia"/>
        </w:rPr>
        <w:t>，预测情景考虑乙硫醇罐箱破裂，丙烯腈、氟化氢单箱（桶）破裂，10min内完全泄露，考虑项目管理情况、应急设施等因素，假定从发生泄漏到得到控制时间为15min，质量蒸发时间按15min计。</w:t>
      </w:r>
    </w:p>
    <w:p w14:paraId="3BD4C464">
      <w:pPr>
        <w:ind w:firstLine="439"/>
        <w:rPr>
          <w:b/>
        </w:rPr>
      </w:pPr>
      <w:r>
        <w:rPr>
          <w:rFonts w:hint="eastAsia"/>
          <w:b/>
        </w:rPr>
        <w:t>①乙硫醇泄露蒸发</w:t>
      </w:r>
    </w:p>
    <w:p w14:paraId="6C7F1421">
      <w:pPr>
        <w:ind w:firstLine="437"/>
      </w:pPr>
      <w:r>
        <w:rPr>
          <w:rFonts w:hint="eastAsia"/>
        </w:rPr>
        <w:t>乙硫醇</w:t>
      </w:r>
      <w:r>
        <w:t>沸点高于周边环境常温温度，故只考虑质量蒸发</w:t>
      </w:r>
      <w:r>
        <w:rPr>
          <w:rFonts w:hint="eastAsia"/>
        </w:rPr>
        <w:t>。</w:t>
      </w:r>
      <w:r>
        <w:rPr>
          <w:rFonts w:hint="eastAsia"/>
          <w:u w:val="single"/>
        </w:rPr>
        <w:t>乙硫醇</w:t>
      </w:r>
      <w:r>
        <w:rPr>
          <w:u w:val="single"/>
        </w:rPr>
        <w:t>为</w:t>
      </w:r>
      <w:r>
        <w:rPr>
          <w:rFonts w:hint="eastAsia"/>
          <w:u w:val="single"/>
        </w:rPr>
        <w:t>25m</w:t>
      </w:r>
      <w:r>
        <w:rPr>
          <w:rFonts w:hint="eastAsia"/>
          <w:u w:val="single"/>
          <w:vertAlign w:val="superscript"/>
        </w:rPr>
        <w:t>3</w:t>
      </w:r>
      <w:r>
        <w:rPr>
          <w:rFonts w:hint="eastAsia"/>
          <w:u w:val="single"/>
        </w:rPr>
        <w:t>罐箱运输</w:t>
      </w:r>
      <w:r>
        <w:rPr>
          <w:u w:val="single"/>
        </w:rPr>
        <w:t>，</w:t>
      </w:r>
      <w:r>
        <w:t>密度为</w:t>
      </w:r>
      <w:r>
        <w:rPr>
          <w:rFonts w:hint="eastAsia"/>
        </w:rPr>
        <w:t>0.839</w:t>
      </w:r>
      <w:r>
        <w:t>g/cm</w:t>
      </w:r>
      <w:r>
        <w:rPr>
          <w:vertAlign w:val="superscript"/>
        </w:rPr>
        <w:t>3</w:t>
      </w:r>
      <w:r>
        <w:t>，则</w:t>
      </w:r>
      <w:r>
        <w:rPr>
          <w:rFonts w:hint="eastAsia"/>
        </w:rPr>
        <w:t>乙硫醇</w:t>
      </w:r>
      <w:r>
        <w:t>泄漏量为</w:t>
      </w:r>
      <w:r>
        <w:rPr>
          <w:rFonts w:hint="eastAsia"/>
        </w:rPr>
        <w:t>20.975t</w:t>
      </w:r>
      <w:r>
        <w:t>。蒸发时间</w:t>
      </w:r>
      <w:r>
        <w:rPr>
          <w:rFonts w:hint="eastAsia"/>
        </w:rPr>
        <w:t>15</w:t>
      </w:r>
      <w:r>
        <w:t>min，发生泄漏的</w:t>
      </w:r>
      <w:r>
        <w:rPr>
          <w:rFonts w:hint="eastAsia"/>
        </w:rPr>
        <w:t>乙硫醇</w:t>
      </w:r>
      <w:r>
        <w:t>在泄漏点周围形成液池，液池</w:t>
      </w:r>
      <w:r>
        <w:rPr>
          <w:rFonts w:hint="eastAsia"/>
        </w:rPr>
        <w:t>面积</w:t>
      </w:r>
      <w:r>
        <w:t>为</w:t>
      </w:r>
      <w:r>
        <w:rPr>
          <w:rFonts w:hint="eastAsia"/>
        </w:rPr>
        <w:t>833.46</w:t>
      </w:r>
      <w:r>
        <w:t>m</w:t>
      </w:r>
      <w:r>
        <w:rPr>
          <w:vertAlign w:val="superscript"/>
        </w:rPr>
        <w:t>2</w:t>
      </w:r>
      <w:r>
        <w:t>，池液厚度约</w:t>
      </w:r>
      <w:r>
        <w:rPr>
          <w:rFonts w:hint="eastAsia"/>
        </w:rPr>
        <w:t>30</w:t>
      </w:r>
      <w:r>
        <w:t>mm，液池半径为</w:t>
      </w:r>
      <w:r>
        <w:rPr>
          <w:rFonts w:hint="eastAsia"/>
        </w:rPr>
        <w:t>5.15m</w:t>
      </w:r>
      <w:r>
        <w:t>。根据HJ169-2018质量蒸发速率Q</w:t>
      </w:r>
      <w:r>
        <w:rPr>
          <w:vertAlign w:val="subscript"/>
        </w:rPr>
        <w:t>3</w:t>
      </w:r>
      <w:r>
        <w:t>按以下公式计算。</w:t>
      </w:r>
    </w:p>
    <w:p w14:paraId="62343417">
      <w:pPr>
        <w:ind w:firstLine="437"/>
      </w:pPr>
      <w:r>
        <w:t>根据《建设项目环境风险评价技术导则》中推荐，质量蒸发速率按下式计算：</w:t>
      </w:r>
    </w:p>
    <w:p w14:paraId="07BF4B2C">
      <w:pPr>
        <w:ind w:firstLine="437"/>
        <w:jc w:val="center"/>
      </w:pPr>
      <w:r>
        <w:drawing>
          <wp:inline distT="0" distB="0" distL="114300" distR="114300">
            <wp:extent cx="2857500" cy="241300"/>
            <wp:effectExtent l="0" t="0" r="0" b="5080"/>
            <wp:docPr id="185146136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461368" name="图片 71"/>
                    <pic:cNvPicPr>
                      <a:picLocks noChangeAspect="1"/>
                    </pic:cNvPicPr>
                  </pic:nvPicPr>
                  <pic:blipFill>
                    <a:blip r:embed="rId138"/>
                    <a:stretch>
                      <a:fillRect/>
                    </a:stretch>
                  </pic:blipFill>
                  <pic:spPr>
                    <a:xfrm>
                      <a:off x="0" y="0"/>
                      <a:ext cx="2857500" cy="241300"/>
                    </a:xfrm>
                    <a:prstGeom prst="rect">
                      <a:avLst/>
                    </a:prstGeom>
                    <a:noFill/>
                    <a:ln>
                      <a:noFill/>
                    </a:ln>
                  </pic:spPr>
                </pic:pic>
              </a:graphicData>
            </a:graphic>
          </wp:inline>
        </w:drawing>
      </w:r>
    </w:p>
    <w:p w14:paraId="50B39147">
      <w:pPr>
        <w:ind w:firstLine="437"/>
      </w:pPr>
      <w:r>
        <w:t>式中：</w:t>
      </w:r>
      <w:r>
        <w:rPr>
          <w:i/>
        </w:rPr>
        <w:t>Q</w:t>
      </w:r>
      <w:r>
        <w:rPr>
          <w:vertAlign w:val="subscript"/>
        </w:rPr>
        <w:t>3</w:t>
      </w:r>
      <w:r>
        <w:t>——质量蒸发速度，kg/s；</w:t>
      </w:r>
    </w:p>
    <w:p w14:paraId="13D936C6">
      <w:pPr>
        <w:ind w:firstLine="437"/>
      </w:pPr>
      <w:r>
        <w:rPr>
          <w:i/>
        </w:rPr>
        <w:t>a</w:t>
      </w:r>
      <w:r>
        <w:t>,</w:t>
      </w:r>
      <w:r>
        <w:rPr>
          <w:i/>
        </w:rPr>
        <w:t>n</w:t>
      </w:r>
      <w:r>
        <w:t>——大气稳定度系数（本项目n取0.3，α取5.285×10</w:t>
      </w:r>
      <w:r>
        <w:rPr>
          <w:vertAlign w:val="superscript"/>
        </w:rPr>
        <w:t>-3</w:t>
      </w:r>
      <w:r>
        <w:t>）</w:t>
      </w:r>
      <w:r>
        <w:rPr>
          <w:rFonts w:hint="eastAsia"/>
        </w:rPr>
        <w:t>；</w:t>
      </w:r>
    </w:p>
    <w:p w14:paraId="0F170593">
      <w:pPr>
        <w:ind w:firstLine="437"/>
      </w:pPr>
      <w:r>
        <w:rPr>
          <w:i/>
        </w:rPr>
        <w:t>p</w:t>
      </w:r>
      <w:r>
        <w:t>——液体表面蒸气压，pa（</w:t>
      </w:r>
      <w:r>
        <w:rPr>
          <w:rFonts w:hint="eastAsia"/>
        </w:rPr>
        <w:t>乙硫醇58.928</w:t>
      </w:r>
      <w:r>
        <w:t>kpa）；</w:t>
      </w:r>
    </w:p>
    <w:p w14:paraId="013DA25C">
      <w:pPr>
        <w:ind w:firstLine="437"/>
      </w:pPr>
      <w:r>
        <w:rPr>
          <w:i/>
        </w:rPr>
        <w:t>M</w:t>
      </w:r>
      <w:r>
        <w:t>——摩尔质量，</w:t>
      </w:r>
      <w:r>
        <w:rPr>
          <w:rFonts w:hint="eastAsia"/>
        </w:rPr>
        <w:t>乙硫醇62</w:t>
      </w:r>
      <w:r>
        <w:t>g/mol；</w:t>
      </w:r>
    </w:p>
    <w:p w14:paraId="348A619D">
      <w:pPr>
        <w:ind w:firstLine="437"/>
      </w:pPr>
      <w:r>
        <w:rPr>
          <w:i/>
        </w:rPr>
        <w:t>R</w:t>
      </w:r>
      <w:r>
        <w:t>——气体常数；J/mol·k；</w:t>
      </w:r>
    </w:p>
    <w:p w14:paraId="3BCF94BC">
      <w:pPr>
        <w:ind w:firstLine="437"/>
      </w:pPr>
      <w:r>
        <w:rPr>
          <w:i/>
        </w:rPr>
        <w:t>T</w:t>
      </w:r>
      <w:r>
        <w:rPr>
          <w:vertAlign w:val="subscript"/>
        </w:rPr>
        <w:t>0</w:t>
      </w:r>
      <w:r>
        <w:t>——环境温度，本项目取多年平均最高气温29</w:t>
      </w:r>
      <w:r>
        <w:rPr>
          <w:rFonts w:hint="eastAsia"/>
        </w:rPr>
        <w:t>9.35</w:t>
      </w:r>
      <w:r>
        <w:t>k；</w:t>
      </w:r>
    </w:p>
    <w:p w14:paraId="2589C754">
      <w:pPr>
        <w:ind w:firstLine="437"/>
      </w:pPr>
      <w:r>
        <w:rPr>
          <w:i/>
        </w:rPr>
        <w:t>u</w:t>
      </w:r>
      <w:r>
        <w:t>——风速，本项目取</w:t>
      </w:r>
      <w:r>
        <w:rPr>
          <w:rFonts w:hint="eastAsia"/>
        </w:rPr>
        <w:t>3.3</w:t>
      </w:r>
      <w:r>
        <w:t>m/s；</w:t>
      </w:r>
    </w:p>
    <w:p w14:paraId="31B0A733">
      <w:pPr>
        <w:ind w:firstLine="437"/>
      </w:pPr>
      <w:r>
        <w:rPr>
          <w:i/>
        </w:rPr>
        <w:t>r</w:t>
      </w:r>
      <w:r>
        <w:t>——液池半径，取</w:t>
      </w:r>
      <w:r>
        <w:rPr>
          <w:rFonts w:hint="eastAsia"/>
        </w:rPr>
        <w:t>5.15</w:t>
      </w:r>
      <w:r>
        <w:t>m。</w:t>
      </w:r>
    </w:p>
    <w:p w14:paraId="610B2684">
      <w:pPr>
        <w:ind w:firstLine="437"/>
      </w:pPr>
      <w:r>
        <w:t>液体泄漏后的蒸发速率按上式进行计算，其中液池半径按照泄漏面积折算。</w:t>
      </w:r>
    </w:p>
    <w:p w14:paraId="03D191BD">
      <w:pPr>
        <w:ind w:firstLine="437"/>
      </w:pPr>
      <w:r>
        <w:t>由此计算蒸发速率约为</w:t>
      </w:r>
      <w:r>
        <w:rPr>
          <w:rFonts w:hint="eastAsia"/>
        </w:rPr>
        <w:t>0.402</w:t>
      </w:r>
      <w:r>
        <w:t>kg/s，</w:t>
      </w:r>
      <w:r>
        <w:rPr>
          <w:rFonts w:hint="eastAsia"/>
        </w:rPr>
        <w:t>蒸发量为</w:t>
      </w:r>
      <w:bookmarkStart w:id="557" w:name="OLE_LINK235"/>
      <w:r>
        <w:rPr>
          <w:rFonts w:hint="eastAsia"/>
        </w:rPr>
        <w:t xml:space="preserve">361.8 </w:t>
      </w:r>
      <w:bookmarkEnd w:id="557"/>
      <w:r>
        <w:rPr>
          <w:rFonts w:hint="eastAsia"/>
        </w:rPr>
        <w:t>kg</w:t>
      </w:r>
      <w:r>
        <w:t>。</w:t>
      </w:r>
    </w:p>
    <w:p w14:paraId="19D0B5D6">
      <w:pPr>
        <w:ind w:firstLine="439"/>
        <w:rPr>
          <w:b/>
        </w:rPr>
      </w:pPr>
      <w:r>
        <w:rPr>
          <w:rFonts w:hint="eastAsia"/>
          <w:b/>
        </w:rPr>
        <w:t>②丙烯腈泄露蒸发</w:t>
      </w:r>
    </w:p>
    <w:p w14:paraId="76DC92BA">
      <w:pPr>
        <w:ind w:firstLine="437"/>
      </w:pPr>
      <w:r>
        <w:t>丙烯腈沸点高于周边环境常温温度，故只考虑质量蒸发</w:t>
      </w:r>
      <w:r>
        <w:rPr>
          <w:rFonts w:hint="eastAsia"/>
        </w:rPr>
        <w:t>。</w:t>
      </w:r>
      <w:r>
        <w:t>根据</w:t>
      </w:r>
      <w:r>
        <w:rPr>
          <w:rFonts w:hint="eastAsia"/>
        </w:rPr>
        <w:t>丙烯腈</w:t>
      </w:r>
      <w:r>
        <w:t>的包装类型，</w:t>
      </w:r>
      <w:r>
        <w:rPr>
          <w:u w:val="single"/>
        </w:rPr>
        <w:t>其</w:t>
      </w:r>
      <w:r>
        <w:rPr>
          <w:rFonts w:hint="eastAsia"/>
          <w:u w:val="single"/>
        </w:rPr>
        <w:t>常规</w:t>
      </w:r>
      <w:r>
        <w:rPr>
          <w:u w:val="single"/>
        </w:rPr>
        <w:t>包装单元为</w:t>
      </w:r>
      <w:r>
        <w:rPr>
          <w:rFonts w:hint="eastAsia"/>
          <w:u w:val="single"/>
        </w:rPr>
        <w:t>160kg桶装</w:t>
      </w:r>
      <w:r>
        <w:t>，密度为</w:t>
      </w:r>
      <w:r>
        <w:rPr>
          <w:rFonts w:hint="eastAsia"/>
        </w:rPr>
        <w:t>0.806</w:t>
      </w:r>
      <w:r>
        <w:t>g/cm</w:t>
      </w:r>
      <w:r>
        <w:rPr>
          <w:vertAlign w:val="superscript"/>
        </w:rPr>
        <w:t>3</w:t>
      </w:r>
      <w:r>
        <w:t>，则</w:t>
      </w:r>
      <w:r>
        <w:rPr>
          <w:rFonts w:hint="eastAsia"/>
        </w:rPr>
        <w:t>丙烯腈</w:t>
      </w:r>
      <w:r>
        <w:t>泄漏</w:t>
      </w:r>
      <w:r>
        <w:rPr>
          <w:rFonts w:hint="eastAsia"/>
        </w:rPr>
        <w:t>体积</w:t>
      </w:r>
      <w:r>
        <w:t>为</w:t>
      </w:r>
      <w:r>
        <w:rPr>
          <w:rFonts w:hint="eastAsia"/>
        </w:rPr>
        <w:t>0.129</w:t>
      </w:r>
      <w:r>
        <w:t>m</w:t>
      </w:r>
      <w:r>
        <w:rPr>
          <w:vertAlign w:val="superscript"/>
        </w:rPr>
        <w:t>3</w:t>
      </w:r>
      <w:r>
        <w:t>。在最不利的情况下，</w:t>
      </w:r>
      <w:r>
        <w:rPr>
          <w:rFonts w:hint="eastAsia"/>
        </w:rPr>
        <w:t>160kg丙烯腈</w:t>
      </w:r>
      <w:r>
        <w:t>全部泄漏，最小液面厚度是</w:t>
      </w:r>
      <w:r>
        <w:rPr>
          <w:rFonts w:hint="eastAsia"/>
        </w:rPr>
        <w:t>30m</w:t>
      </w:r>
      <w:r>
        <w:t>m，</w:t>
      </w:r>
      <w:r>
        <w:rPr>
          <w:rFonts w:hint="eastAsia"/>
        </w:rPr>
        <w:t>液池</w:t>
      </w:r>
      <w:r>
        <w:t>面积为</w:t>
      </w:r>
      <w:r>
        <w:rPr>
          <w:rFonts w:hint="eastAsia"/>
        </w:rPr>
        <w:t>4.3</w:t>
      </w:r>
      <w:r>
        <w:t>m</w:t>
      </w:r>
      <w:r>
        <w:rPr>
          <w:vertAlign w:val="superscript"/>
        </w:rPr>
        <w:t>2</w:t>
      </w:r>
      <w:r>
        <w:t>，等效液池半径为</w:t>
      </w:r>
      <w:r>
        <w:rPr>
          <w:rFonts w:hint="eastAsia"/>
        </w:rPr>
        <w:t>1.17</w:t>
      </w:r>
      <w:r>
        <w:t>m。</w:t>
      </w:r>
    </w:p>
    <w:p w14:paraId="06F5EE6C">
      <w:pPr>
        <w:ind w:firstLine="437"/>
      </w:pPr>
      <w:r>
        <w:rPr>
          <w:rFonts w:hint="eastAsia"/>
        </w:rPr>
        <w:t>丙烯腈</w:t>
      </w:r>
      <w:r>
        <w:t>质量蒸发速率按下式计算：</w:t>
      </w:r>
    </w:p>
    <w:p w14:paraId="23C85AA9">
      <w:pPr>
        <w:ind w:firstLine="437"/>
      </w:pPr>
      <w:r>
        <w:drawing>
          <wp:inline distT="0" distB="0" distL="114300" distR="114300">
            <wp:extent cx="2857500" cy="241300"/>
            <wp:effectExtent l="0" t="0" r="0" b="5080"/>
            <wp:docPr id="181010969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109692" name="图片 72"/>
                    <pic:cNvPicPr>
                      <a:picLocks noChangeAspect="1"/>
                    </pic:cNvPicPr>
                  </pic:nvPicPr>
                  <pic:blipFill>
                    <a:blip r:embed="rId138"/>
                    <a:stretch>
                      <a:fillRect/>
                    </a:stretch>
                  </pic:blipFill>
                  <pic:spPr>
                    <a:xfrm>
                      <a:off x="0" y="0"/>
                      <a:ext cx="2857500" cy="241300"/>
                    </a:xfrm>
                    <a:prstGeom prst="rect">
                      <a:avLst/>
                    </a:prstGeom>
                    <a:noFill/>
                    <a:ln>
                      <a:noFill/>
                    </a:ln>
                  </pic:spPr>
                </pic:pic>
              </a:graphicData>
            </a:graphic>
          </wp:inline>
        </w:drawing>
      </w:r>
    </w:p>
    <w:p w14:paraId="584ACC6D">
      <w:pPr>
        <w:ind w:firstLine="437"/>
      </w:pPr>
      <w:r>
        <w:t>式中：</w:t>
      </w:r>
      <w:r>
        <w:rPr>
          <w:i/>
        </w:rPr>
        <w:t>p</w:t>
      </w:r>
      <w:r>
        <w:t>——液体表面蒸气压，pa（</w:t>
      </w:r>
      <w:r>
        <w:rPr>
          <w:rFonts w:hint="eastAsia"/>
        </w:rPr>
        <w:t>丙烯腈11.07</w:t>
      </w:r>
      <w:r>
        <w:t>kpa）取值）；</w:t>
      </w:r>
    </w:p>
    <w:p w14:paraId="489152EE">
      <w:pPr>
        <w:ind w:firstLine="437"/>
      </w:pPr>
      <w:r>
        <w:rPr>
          <w:i/>
        </w:rPr>
        <w:t>M</w:t>
      </w:r>
      <w:r>
        <w:t>——摩尔质量，</w:t>
      </w:r>
      <w:r>
        <w:rPr>
          <w:rFonts w:hint="eastAsia"/>
        </w:rPr>
        <w:t>丙烯腈53.063</w:t>
      </w:r>
      <w:r>
        <w:t>g/mol；</w:t>
      </w:r>
    </w:p>
    <w:p w14:paraId="0A274C6E">
      <w:pPr>
        <w:ind w:firstLine="437"/>
      </w:pPr>
      <w:r>
        <w:rPr>
          <w:i/>
        </w:rPr>
        <w:t>r</w:t>
      </w:r>
      <w:r>
        <w:t>——液池半径，取</w:t>
      </w:r>
      <w:r>
        <w:rPr>
          <w:rFonts w:hint="eastAsia"/>
        </w:rPr>
        <w:t>1.17</w:t>
      </w:r>
      <w:r>
        <w:t>m。</w:t>
      </w:r>
    </w:p>
    <w:p w14:paraId="20ABD4E1">
      <w:pPr>
        <w:ind w:firstLine="437"/>
      </w:pPr>
      <w:r>
        <w:t>液体泄漏后的蒸发速率按上式进行计算，其中液池半径按照泄漏面积折算。</w:t>
      </w:r>
    </w:p>
    <w:p w14:paraId="7B128910">
      <w:pPr>
        <w:ind w:firstLine="437"/>
      </w:pPr>
      <w:r>
        <w:t>由此计算蒸发速率约为</w:t>
      </w:r>
      <w:r>
        <w:rPr>
          <w:rFonts w:hint="eastAsia"/>
        </w:rPr>
        <w:t>0.004</w:t>
      </w:r>
      <w:r>
        <w:t>kg/s，</w:t>
      </w:r>
      <w:r>
        <w:rPr>
          <w:rFonts w:hint="eastAsia"/>
        </w:rPr>
        <w:t>蒸发量为3.6kg</w:t>
      </w:r>
      <w:r>
        <w:t>。</w:t>
      </w:r>
    </w:p>
    <w:p w14:paraId="1121160A">
      <w:pPr>
        <w:ind w:firstLine="439"/>
        <w:rPr>
          <w:b/>
        </w:rPr>
      </w:pPr>
      <w:r>
        <w:rPr>
          <w:rFonts w:hint="eastAsia"/>
          <w:b/>
        </w:rPr>
        <w:t>③</w:t>
      </w:r>
      <w:r>
        <w:rPr>
          <w:b/>
        </w:rPr>
        <w:t>氟化氢</w:t>
      </w:r>
      <w:r>
        <w:rPr>
          <w:rFonts w:hint="eastAsia"/>
          <w:b/>
        </w:rPr>
        <w:t>泄露蒸发</w:t>
      </w:r>
    </w:p>
    <w:p w14:paraId="3D572E69">
      <w:pPr>
        <w:ind w:firstLine="437"/>
      </w:pPr>
      <w:r>
        <w:t>根据氟化氢的包装类型，其</w:t>
      </w:r>
      <w:r>
        <w:rPr>
          <w:rFonts w:hint="eastAsia"/>
        </w:rPr>
        <w:t>常规</w:t>
      </w:r>
      <w:r>
        <w:t>包装单元为1.0t，</w:t>
      </w:r>
      <w:r>
        <w:rPr>
          <w:rFonts w:hint="eastAsia"/>
        </w:rPr>
        <w:t>采用常温高压运输，氟化氢沸点为19.51℃，泄漏后会产生闪蒸蒸发和热量蒸发，考虑</w:t>
      </w:r>
      <w:r>
        <w:t>氟化氢沸点较低，本次评价不考虑氟化氢泄漏后的质量蒸发。</w:t>
      </w:r>
    </w:p>
    <w:p w14:paraId="549C5580">
      <w:pPr>
        <w:ind w:firstLine="437"/>
      </w:pPr>
      <w:r>
        <w:t>根据《建设项目环境风险评价技术导则》中推荐，</w:t>
      </w:r>
      <w:r>
        <w:rPr>
          <w:rFonts w:hint="eastAsia"/>
        </w:rPr>
        <w:t>闪蒸蒸发按下列公示计算：</w:t>
      </w:r>
    </w:p>
    <w:p w14:paraId="0C88E3CC">
      <w:pPr>
        <w:ind w:firstLine="437"/>
        <w:jc w:val="center"/>
      </w:pPr>
      <w:r>
        <w:drawing>
          <wp:inline distT="0" distB="0" distL="114300" distR="114300">
            <wp:extent cx="1201420" cy="487045"/>
            <wp:effectExtent l="0" t="0" r="17780" b="8255"/>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139"/>
                    <a:stretch>
                      <a:fillRect/>
                    </a:stretch>
                  </pic:blipFill>
                  <pic:spPr>
                    <a:xfrm>
                      <a:off x="0" y="0"/>
                      <a:ext cx="1201420" cy="487045"/>
                    </a:xfrm>
                    <a:prstGeom prst="rect">
                      <a:avLst/>
                    </a:prstGeom>
                    <a:noFill/>
                    <a:ln>
                      <a:noFill/>
                    </a:ln>
                  </pic:spPr>
                </pic:pic>
              </a:graphicData>
            </a:graphic>
          </wp:inline>
        </w:drawing>
      </w:r>
    </w:p>
    <w:p w14:paraId="7A97C9D8">
      <w:pPr>
        <w:ind w:firstLine="437"/>
        <w:jc w:val="center"/>
      </w:pPr>
      <w:r>
        <w:drawing>
          <wp:inline distT="0" distB="0" distL="114300" distR="114300">
            <wp:extent cx="1070610" cy="320675"/>
            <wp:effectExtent l="0" t="0" r="15240" b="3175"/>
            <wp:docPr id="13757578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35" name="图片 1"/>
                    <pic:cNvPicPr>
                      <a:picLocks noChangeAspect="1"/>
                    </pic:cNvPicPr>
                  </pic:nvPicPr>
                  <pic:blipFill>
                    <a:blip r:embed="rId140"/>
                    <a:stretch>
                      <a:fillRect/>
                    </a:stretch>
                  </pic:blipFill>
                  <pic:spPr>
                    <a:xfrm>
                      <a:off x="0" y="0"/>
                      <a:ext cx="1070610" cy="320675"/>
                    </a:xfrm>
                    <a:prstGeom prst="rect">
                      <a:avLst/>
                    </a:prstGeom>
                    <a:noFill/>
                    <a:ln>
                      <a:noFill/>
                    </a:ln>
                  </pic:spPr>
                </pic:pic>
              </a:graphicData>
            </a:graphic>
          </wp:inline>
        </w:drawing>
      </w:r>
    </w:p>
    <w:p w14:paraId="2C276146">
      <w:pPr>
        <w:ind w:firstLine="437"/>
      </w:pPr>
      <w:r>
        <w:rPr>
          <w:rFonts w:hint="eastAsia"/>
        </w:rPr>
        <w:t>式中：F</w:t>
      </w:r>
      <w:r>
        <w:rPr>
          <w:rFonts w:hint="eastAsia"/>
          <w:vertAlign w:val="subscript"/>
        </w:rPr>
        <w:t>v</w:t>
      </w:r>
      <w:r>
        <w:rPr>
          <w:rFonts w:hint="eastAsia"/>
        </w:rPr>
        <w:t>——泄漏液体的闪蒸比例；</w:t>
      </w:r>
    </w:p>
    <w:p w14:paraId="7DCB935E">
      <w:pPr>
        <w:ind w:firstLine="437"/>
      </w:pPr>
      <w:r>
        <w:t>T</w:t>
      </w:r>
      <w:r>
        <w:rPr>
          <w:vertAlign w:val="subscript"/>
        </w:rPr>
        <w:t>T</w:t>
      </w:r>
      <w:r>
        <w:rPr>
          <w:rFonts w:hint="eastAsia"/>
        </w:rPr>
        <w:t>——储存温度，K，取277.15K；</w:t>
      </w:r>
    </w:p>
    <w:p w14:paraId="05E16E4B">
      <w:pPr>
        <w:ind w:firstLine="437"/>
      </w:pPr>
      <w:r>
        <w:t>T</w:t>
      </w:r>
      <w:r>
        <w:rPr>
          <w:vertAlign w:val="subscript"/>
        </w:rPr>
        <w:t>b</w:t>
      </w:r>
      <w:r>
        <w:rPr>
          <w:rFonts w:hint="eastAsia"/>
        </w:rPr>
        <w:t>——泄漏液体的沸点，K，取292.66K；</w:t>
      </w:r>
    </w:p>
    <w:p w14:paraId="3450F183">
      <w:pPr>
        <w:ind w:firstLine="437"/>
      </w:pPr>
      <w:r>
        <w:t>H</w:t>
      </w:r>
      <w:r>
        <w:rPr>
          <w:rFonts w:hint="eastAsia"/>
          <w:vertAlign w:val="subscript"/>
        </w:rPr>
        <w:t>v</w:t>
      </w:r>
      <w:r>
        <w:rPr>
          <w:rFonts w:hint="eastAsia"/>
        </w:rPr>
        <w:t>——泄漏液体的蒸发热，-4894550J/kg；</w:t>
      </w:r>
    </w:p>
    <w:p w14:paraId="204E0642">
      <w:pPr>
        <w:ind w:firstLine="437"/>
      </w:pPr>
      <w:r>
        <w:t>C</w:t>
      </w:r>
      <w:r>
        <w:rPr>
          <w:vertAlign w:val="subscript"/>
        </w:rPr>
        <w:t>p</w:t>
      </w:r>
      <w:r>
        <w:rPr>
          <w:rFonts w:hint="eastAsia"/>
        </w:rPr>
        <w:t>——泄漏液体的定压比热容，</w:t>
      </w:r>
      <w:r>
        <w:t>40355.3</w:t>
      </w:r>
      <w:r>
        <w:rPr>
          <w:rFonts w:hint="eastAsia"/>
        </w:rPr>
        <w:t>J/(kg·K)；</w:t>
      </w:r>
    </w:p>
    <w:p w14:paraId="6C52D961">
      <w:pPr>
        <w:ind w:firstLine="437"/>
      </w:pPr>
      <w:r>
        <w:t>Q</w:t>
      </w:r>
      <w:r>
        <w:rPr>
          <w:vertAlign w:val="subscript"/>
        </w:rPr>
        <w:t>1</w:t>
      </w:r>
      <w:r>
        <w:rPr>
          <w:rFonts w:hint="eastAsia"/>
        </w:rPr>
        <w:t>——过热液体闪蒸蒸发速率，kg/s；</w:t>
      </w:r>
    </w:p>
    <w:p w14:paraId="416A6269">
      <w:pPr>
        <w:ind w:firstLine="437"/>
      </w:pPr>
      <w:r>
        <w:t>Q</w:t>
      </w:r>
      <w:r>
        <w:rPr>
          <w:rFonts w:hint="eastAsia"/>
          <w:vertAlign w:val="subscript"/>
        </w:rPr>
        <w:t>L</w:t>
      </w:r>
      <w:r>
        <w:rPr>
          <w:rFonts w:hint="eastAsia"/>
        </w:rPr>
        <w:t>——物质泄漏速率，kg/s，按泄露10min完全泄露取1.66kg/s。</w:t>
      </w:r>
    </w:p>
    <w:p w14:paraId="294E3FDF">
      <w:pPr>
        <w:ind w:firstLine="437"/>
      </w:pPr>
      <w:r>
        <w:rPr>
          <w:rFonts w:hint="eastAsia"/>
        </w:rPr>
        <w:t>则氟化氢泄露时，闪蒸蒸发速率为0.21kg/s，闪蒸蒸发按50s计算，则闪蒸蒸发量为10.5kg。</w:t>
      </w:r>
    </w:p>
    <w:p w14:paraId="39F50CCD">
      <w:pPr>
        <w:ind w:firstLine="437"/>
      </w:pPr>
      <w:r>
        <w:rPr>
          <w:rFonts w:hint="eastAsia"/>
        </w:rPr>
        <w:t>热量蒸发按下列公示计算：</w:t>
      </w:r>
    </w:p>
    <w:p w14:paraId="08F8F68F">
      <w:pPr>
        <w:ind w:firstLine="437"/>
        <w:jc w:val="center"/>
      </w:pPr>
      <w:r>
        <w:drawing>
          <wp:inline distT="0" distB="0" distL="114300" distR="114300">
            <wp:extent cx="1877060" cy="574040"/>
            <wp:effectExtent l="0" t="0" r="8890" b="16510"/>
            <wp:docPr id="13757578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36" name="图片 1"/>
                    <pic:cNvPicPr>
                      <a:picLocks noChangeAspect="1"/>
                    </pic:cNvPicPr>
                  </pic:nvPicPr>
                  <pic:blipFill>
                    <a:blip r:embed="rId141"/>
                    <a:stretch>
                      <a:fillRect/>
                    </a:stretch>
                  </pic:blipFill>
                  <pic:spPr>
                    <a:xfrm>
                      <a:off x="0" y="0"/>
                      <a:ext cx="1877060" cy="574040"/>
                    </a:xfrm>
                    <a:prstGeom prst="rect">
                      <a:avLst/>
                    </a:prstGeom>
                    <a:noFill/>
                    <a:ln>
                      <a:noFill/>
                    </a:ln>
                  </pic:spPr>
                </pic:pic>
              </a:graphicData>
            </a:graphic>
          </wp:inline>
        </w:drawing>
      </w:r>
    </w:p>
    <w:p w14:paraId="52177682">
      <w:pPr>
        <w:ind w:firstLine="437"/>
      </w:pPr>
      <w:r>
        <w:rPr>
          <w:rFonts w:hint="eastAsia"/>
        </w:rPr>
        <w:t>式中：Q</w:t>
      </w:r>
      <w:r>
        <w:rPr>
          <w:rFonts w:hint="eastAsia"/>
          <w:vertAlign w:val="subscript"/>
        </w:rPr>
        <w:t>2</w:t>
      </w:r>
      <w:r>
        <w:rPr>
          <w:rFonts w:hint="eastAsia"/>
        </w:rPr>
        <w:t>——热量蒸发速率，kg/s；</w:t>
      </w:r>
    </w:p>
    <w:p w14:paraId="692A39A8">
      <w:pPr>
        <w:ind w:firstLine="437"/>
      </w:pPr>
      <w:r>
        <w:t>T</w:t>
      </w:r>
      <w:r>
        <w:rPr>
          <w:vertAlign w:val="subscript"/>
        </w:rPr>
        <w:t>0</w:t>
      </w:r>
      <w:r>
        <w:rPr>
          <w:rFonts w:hint="eastAsia"/>
        </w:rPr>
        <w:t>——环境温度，</w:t>
      </w:r>
      <w:r>
        <w:t>299.35</w:t>
      </w:r>
      <w:r>
        <w:rPr>
          <w:rFonts w:hint="eastAsia"/>
        </w:rPr>
        <w:t>K；</w:t>
      </w:r>
    </w:p>
    <w:p w14:paraId="13F2D978">
      <w:pPr>
        <w:ind w:firstLine="437"/>
      </w:pPr>
      <w:r>
        <w:t>T</w:t>
      </w:r>
      <w:r>
        <w:rPr>
          <w:vertAlign w:val="subscript"/>
        </w:rPr>
        <w:t>b</w:t>
      </w:r>
      <w:r>
        <w:rPr>
          <w:rFonts w:hint="eastAsia"/>
        </w:rPr>
        <w:t>——泄漏液体沸点，</w:t>
      </w:r>
      <w:r>
        <w:t>292.66</w:t>
      </w:r>
      <w:r>
        <w:rPr>
          <w:rFonts w:hint="eastAsia"/>
        </w:rPr>
        <w:t>K；</w:t>
      </w:r>
    </w:p>
    <w:p w14:paraId="668D9899">
      <w:pPr>
        <w:ind w:firstLine="437"/>
      </w:pPr>
      <w:r>
        <w:t>H</w:t>
      </w:r>
      <w:r>
        <w:rPr>
          <w:rFonts w:hint="eastAsia"/>
        </w:rPr>
        <w:t>——液体汽化热，37472000J/kg；</w:t>
      </w:r>
    </w:p>
    <w:p w14:paraId="612414C6">
      <w:pPr>
        <w:ind w:firstLine="437"/>
      </w:pPr>
      <w:r>
        <w:t>t</w:t>
      </w:r>
      <w:r>
        <w:rPr>
          <w:rFonts w:hint="eastAsia"/>
        </w:rPr>
        <w:t>——蒸发时间，</w:t>
      </w:r>
      <w:r>
        <w:t>s</w:t>
      </w:r>
      <w:r>
        <w:rPr>
          <w:rFonts w:hint="eastAsia"/>
        </w:rPr>
        <w:t>，按15min完成清理；</w:t>
      </w:r>
    </w:p>
    <w:p w14:paraId="403DDF0C">
      <w:pPr>
        <w:ind w:firstLine="437"/>
      </w:pPr>
      <w:r>
        <w:t>λ</w:t>
      </w:r>
      <w:r>
        <w:rPr>
          <w:rFonts w:hint="eastAsia"/>
        </w:rPr>
        <w:t>——表面热导系数，W/(m·K)，地面情况为水泥，取1.1；</w:t>
      </w:r>
    </w:p>
    <w:p w14:paraId="20A2B783">
      <w:pPr>
        <w:ind w:firstLine="437"/>
      </w:pPr>
      <w:r>
        <w:t>S</w:t>
      </w:r>
      <w:r>
        <w:rPr>
          <w:rFonts w:hint="eastAsia"/>
        </w:rPr>
        <w:t>——液池面积，氟化氢密度</w:t>
      </w:r>
      <w:r>
        <w:t>为0.987g/cm</w:t>
      </w:r>
      <w:r>
        <w:rPr>
          <w:vertAlign w:val="superscript"/>
        </w:rPr>
        <w:t>3</w:t>
      </w:r>
      <w:r>
        <w:t>，则事故泄漏量为1.103m</w:t>
      </w:r>
      <w:r>
        <w:rPr>
          <w:vertAlign w:val="superscript"/>
        </w:rPr>
        <w:t>3</w:t>
      </w:r>
      <w:r>
        <w:rPr>
          <w:rFonts w:hint="eastAsia"/>
          <w:vertAlign w:val="superscript"/>
        </w:rPr>
        <w:t xml:space="preserve"> </w:t>
      </w:r>
      <w:r>
        <w:rPr>
          <w:rFonts w:hint="eastAsia"/>
        </w:rPr>
        <w:t>，</w:t>
      </w:r>
      <w:r>
        <w:t>最小液面厚度</w:t>
      </w:r>
      <w:r>
        <w:rPr>
          <w:rFonts w:hint="eastAsia"/>
        </w:rPr>
        <w:t>30mm，液池面积为36.76</w:t>
      </w:r>
      <w:r>
        <w:t>m</w:t>
      </w:r>
      <w:r>
        <w:rPr>
          <w:rFonts w:hint="eastAsia"/>
          <w:vertAlign w:val="superscript"/>
        </w:rPr>
        <w:t>2</w:t>
      </w:r>
      <w:r>
        <w:rPr>
          <w:rFonts w:hint="eastAsia"/>
        </w:rPr>
        <w:t>；</w:t>
      </w:r>
    </w:p>
    <w:p w14:paraId="1D66E280">
      <w:pPr>
        <w:ind w:firstLine="437"/>
      </w:pPr>
      <w:r>
        <w:rPr>
          <w:rFonts w:hint="eastAsia"/>
        </w:rPr>
        <w:t>α——表面热扩散系数，m</w:t>
      </w:r>
      <w:r>
        <w:rPr>
          <w:rFonts w:hint="eastAsia"/>
          <w:vertAlign w:val="superscript"/>
        </w:rPr>
        <w:t>2</w:t>
      </w:r>
      <w:r>
        <w:rPr>
          <w:rFonts w:hint="eastAsia"/>
        </w:rPr>
        <w:t>/s，地面情况为水泥，取1</w:t>
      </w:r>
      <w:r>
        <w:t>.29×10</w:t>
      </w:r>
      <w:r>
        <w:rPr>
          <w:vertAlign w:val="superscript"/>
        </w:rPr>
        <w:t>-7</w:t>
      </w:r>
      <w:r>
        <w:rPr>
          <w:rFonts w:hint="eastAsia"/>
        </w:rPr>
        <w:t>。</w:t>
      </w:r>
    </w:p>
    <w:p w14:paraId="0F0C0E09">
      <w:pPr>
        <w:ind w:firstLine="437"/>
      </w:pPr>
      <w:r>
        <w:rPr>
          <w:rFonts w:hint="eastAsia"/>
        </w:rPr>
        <w:t>则氟化氢泄露时，热量蒸发速率为0.0004kg/s，质量蒸发按900s计算，则质量蒸发量为0.36kg。</w:t>
      </w:r>
    </w:p>
    <w:p w14:paraId="5C833853">
      <w:pPr>
        <w:ind w:firstLine="437"/>
      </w:pPr>
      <w:r>
        <w:t>液体蒸发总质量按下式计算：</w:t>
      </w:r>
    </w:p>
    <w:p w14:paraId="3114A5D0">
      <w:pPr>
        <w:ind w:firstLine="437"/>
      </w:pPr>
      <w:r>
        <w:t>W</w:t>
      </w:r>
      <w:r>
        <w:rPr>
          <w:vertAlign w:val="subscript"/>
        </w:rPr>
        <w:t>P</w:t>
      </w:r>
      <w:r>
        <w:t>=Q</w:t>
      </w:r>
      <w:r>
        <w:rPr>
          <w:vertAlign w:val="subscript"/>
        </w:rPr>
        <w:t>1</w:t>
      </w:r>
      <w:r>
        <w:t>t</w:t>
      </w:r>
      <w:r>
        <w:rPr>
          <w:vertAlign w:val="subscript"/>
        </w:rPr>
        <w:t>1</w:t>
      </w:r>
      <w:r>
        <w:t>+ Q</w:t>
      </w:r>
      <w:r>
        <w:rPr>
          <w:vertAlign w:val="subscript"/>
        </w:rPr>
        <w:t>2</w:t>
      </w:r>
      <w:r>
        <w:t>t</w:t>
      </w:r>
      <w:r>
        <w:rPr>
          <w:vertAlign w:val="subscript"/>
        </w:rPr>
        <w:t>2</w:t>
      </w:r>
      <w:r>
        <w:t>+ Q</w:t>
      </w:r>
      <w:r>
        <w:rPr>
          <w:vertAlign w:val="subscript"/>
        </w:rPr>
        <w:t>3</w:t>
      </w:r>
      <w:r>
        <w:t>t</w:t>
      </w:r>
      <w:r>
        <w:rPr>
          <w:vertAlign w:val="subscript"/>
        </w:rPr>
        <w:t>3</w:t>
      </w:r>
    </w:p>
    <w:p w14:paraId="0029F85B">
      <w:pPr>
        <w:ind w:firstLine="437"/>
      </w:pPr>
      <w:r>
        <w:t>式中：W</w:t>
      </w:r>
      <w:r>
        <w:rPr>
          <w:vertAlign w:val="subscript"/>
        </w:rPr>
        <w:t>P</w:t>
      </w:r>
      <w:r>
        <w:t>一蒸发总质量，kg/s；</w:t>
      </w:r>
    </w:p>
    <w:p w14:paraId="65295BBA">
      <w:pPr>
        <w:ind w:firstLine="437"/>
      </w:pPr>
      <w:r>
        <w:t>Q</w:t>
      </w:r>
      <w:r>
        <w:rPr>
          <w:vertAlign w:val="subscript"/>
        </w:rPr>
        <w:t>1</w:t>
      </w:r>
      <w:r>
        <w:t>—闪蒸液体蒸发速率，kg/s；</w:t>
      </w:r>
    </w:p>
    <w:p w14:paraId="7EB0CFE6">
      <w:pPr>
        <w:ind w:firstLine="437"/>
      </w:pPr>
      <w:r>
        <w:t>Q</w:t>
      </w:r>
      <w:r>
        <w:rPr>
          <w:vertAlign w:val="subscript"/>
        </w:rPr>
        <w:t>2</w:t>
      </w:r>
      <w:r>
        <w:t>—热量蒸发速率，kg/s；</w:t>
      </w:r>
    </w:p>
    <w:p w14:paraId="6024B745">
      <w:pPr>
        <w:ind w:firstLine="437"/>
      </w:pPr>
      <w:r>
        <w:t>Q</w:t>
      </w:r>
      <w:r>
        <w:rPr>
          <w:vertAlign w:val="subscript"/>
        </w:rPr>
        <w:t>3</w:t>
      </w:r>
      <w:r>
        <w:t>—质量蒸发速率，kg/s；</w:t>
      </w:r>
    </w:p>
    <w:p w14:paraId="7B97B0B3">
      <w:pPr>
        <w:ind w:firstLine="437"/>
      </w:pPr>
      <w:r>
        <w:t>t</w:t>
      </w:r>
      <w:r>
        <w:rPr>
          <w:vertAlign w:val="subscript"/>
        </w:rPr>
        <w:t>1</w:t>
      </w:r>
      <w:r>
        <w:t>—闪蒸蒸发时间，s；</w:t>
      </w:r>
    </w:p>
    <w:p w14:paraId="0562ACAE">
      <w:pPr>
        <w:ind w:firstLine="437"/>
      </w:pPr>
      <w:r>
        <w:t>t</w:t>
      </w:r>
      <w:r>
        <w:rPr>
          <w:vertAlign w:val="subscript"/>
        </w:rPr>
        <w:t>2</w:t>
      </w:r>
      <w:r>
        <w:t>—热量蒸发时间，s；</w:t>
      </w:r>
    </w:p>
    <w:p w14:paraId="3587472F">
      <w:pPr>
        <w:ind w:firstLine="437"/>
      </w:pPr>
      <w:r>
        <w:t>t</w:t>
      </w:r>
      <w:r>
        <w:rPr>
          <w:vertAlign w:val="subscript"/>
        </w:rPr>
        <w:t>3</w:t>
      </w:r>
      <w:r>
        <w:t>—从液体泄漏到全部清理完毕时间，s</w:t>
      </w:r>
      <w:r>
        <w:rPr>
          <w:rFonts w:hint="eastAsia"/>
        </w:rPr>
        <w:t>。</w:t>
      </w:r>
    </w:p>
    <w:p w14:paraId="21C2A3DA">
      <w:pPr>
        <w:ind w:firstLine="437"/>
      </w:pPr>
      <w:r>
        <w:rPr>
          <w:rFonts w:hint="eastAsia"/>
        </w:rPr>
        <w:t>经计算，</w:t>
      </w:r>
      <w:r>
        <w:t>W</w:t>
      </w:r>
      <w:r>
        <w:rPr>
          <w:vertAlign w:val="subscript"/>
        </w:rPr>
        <w:t>P</w:t>
      </w:r>
      <w:r>
        <w:rPr>
          <w:rFonts w:hint="eastAsia"/>
          <w:vertAlign w:val="subscript"/>
        </w:rPr>
        <w:t>乙醛</w:t>
      </w:r>
      <w:r>
        <w:rPr>
          <w:rFonts w:hint="eastAsia"/>
        </w:rPr>
        <w:t>=10.5+0.36=10.86kg。</w:t>
      </w:r>
    </w:p>
    <w:p w14:paraId="4314AA80">
      <w:pPr>
        <w:ind w:firstLine="439"/>
        <w:rPr>
          <w:b/>
          <w:bCs/>
        </w:rPr>
      </w:pPr>
      <w:r>
        <w:rPr>
          <w:rFonts w:hint="eastAsia"/>
          <w:b/>
          <w:bCs/>
        </w:rPr>
        <w:t>2、火灾爆炸二次污染物源强</w:t>
      </w:r>
    </w:p>
    <w:p w14:paraId="0ADDD535">
      <w:pPr>
        <w:ind w:firstLine="439"/>
        <w:rPr>
          <w:b/>
        </w:rPr>
      </w:pPr>
      <w:r>
        <w:rPr>
          <w:b/>
        </w:rPr>
        <w:fldChar w:fldCharType="begin"/>
      </w:r>
      <w:r>
        <w:rPr>
          <w:b/>
        </w:rPr>
        <w:instrText xml:space="preserve"> </w:instrText>
      </w:r>
      <w:r>
        <w:rPr>
          <w:rFonts w:hint="eastAsia"/>
          <w:b/>
        </w:rPr>
        <w:instrText xml:space="preserve">= 1 \* GB3</w:instrText>
      </w:r>
      <w:r>
        <w:rPr>
          <w:b/>
        </w:rPr>
        <w:instrText xml:space="preserve"> </w:instrText>
      </w:r>
      <w:r>
        <w:rPr>
          <w:b/>
        </w:rPr>
        <w:fldChar w:fldCharType="separate"/>
      </w:r>
      <w:r>
        <w:rPr>
          <w:rFonts w:hint="eastAsia"/>
          <w:b/>
        </w:rPr>
        <w:t>①</w:t>
      </w:r>
      <w:r>
        <w:fldChar w:fldCharType="end"/>
      </w:r>
      <w:r>
        <w:rPr>
          <w:rFonts w:hint="eastAsia"/>
          <w:b/>
        </w:rPr>
        <w:t>乙硫醇燃烧二次污染物CO、SO</w:t>
      </w:r>
      <w:r>
        <w:rPr>
          <w:rFonts w:hint="eastAsia"/>
          <w:b/>
          <w:vertAlign w:val="subscript"/>
        </w:rPr>
        <w:t>2</w:t>
      </w:r>
    </w:p>
    <w:p w14:paraId="7B490A86">
      <w:pPr>
        <w:ind w:firstLine="437"/>
      </w:pPr>
      <w:r>
        <w:rPr>
          <w:rFonts w:hint="eastAsia"/>
        </w:rPr>
        <w:t>乙硫醇罐箱标准集装箱规模为25m</w:t>
      </w:r>
      <w:r>
        <w:rPr>
          <w:rFonts w:hint="eastAsia"/>
          <w:vertAlign w:val="superscript"/>
        </w:rPr>
        <w:t>3</w:t>
      </w:r>
      <w:r>
        <w:rPr>
          <w:rFonts w:hint="eastAsia"/>
        </w:rPr>
        <w:t>，乙硫醇泄漏量为20.975t，10min内完全泄露。考虑项目管理情况、应急设施等因素，假定火灾事故发生到处理结束的总时间为15min。</w:t>
      </w:r>
      <w:r>
        <w:t>参照HJ169-2018附录F，火灾伴生/次生污染物产生量估算方法如下。</w:t>
      </w:r>
    </w:p>
    <w:p w14:paraId="3C25A054">
      <w:pPr>
        <w:ind w:firstLine="439"/>
      </w:pPr>
      <w:r>
        <w:rPr>
          <w:b/>
        </w:rPr>
        <w:t>一氧化碳产生量</w:t>
      </w:r>
      <w:r>
        <w:t>：</w:t>
      </w:r>
      <w:r>
        <w:rPr>
          <w:rFonts w:hint="eastAsia"/>
        </w:rPr>
        <w:t xml:space="preserve">               </w:t>
      </w:r>
      <w:r>
        <w:t>G</w:t>
      </w:r>
      <w:r>
        <w:rPr>
          <w:vertAlign w:val="subscript"/>
        </w:rPr>
        <w:t>CO</w:t>
      </w:r>
      <w:r>
        <w:t>=2330qCQ</w:t>
      </w:r>
    </w:p>
    <w:p w14:paraId="0A8494DB">
      <w:pPr>
        <w:ind w:firstLine="437"/>
      </w:pPr>
      <w:r>
        <w:t>式中：G</w:t>
      </w:r>
      <w:r>
        <w:rPr>
          <w:vertAlign w:val="subscript"/>
        </w:rPr>
        <w:t>CO</w:t>
      </w:r>
      <w:r>
        <w:t>—一氧化碳的产生量，kg/s；</w:t>
      </w:r>
    </w:p>
    <w:p w14:paraId="1B4F3CF9">
      <w:pPr>
        <w:ind w:firstLine="437"/>
      </w:pPr>
      <w:r>
        <w:t xml:space="preserve">     </w:t>
      </w:r>
      <w:r>
        <w:rPr>
          <w:rFonts w:hint="eastAsia"/>
        </w:rPr>
        <w:t xml:space="preserve">     </w:t>
      </w:r>
      <w:r>
        <w:t xml:space="preserve"> C—物质中碳的含量，本评价</w:t>
      </w:r>
      <w:r>
        <w:rPr>
          <w:rFonts w:hint="eastAsia"/>
        </w:rPr>
        <w:t>乙硫醇</w:t>
      </w:r>
      <w:r>
        <w:t>取</w:t>
      </w:r>
      <w:r>
        <w:rPr>
          <w:rFonts w:hint="eastAsia"/>
        </w:rPr>
        <w:t>38</w:t>
      </w:r>
      <w:r>
        <w:t>%；</w:t>
      </w:r>
    </w:p>
    <w:p w14:paraId="49E2E4C3">
      <w:pPr>
        <w:ind w:firstLine="437"/>
      </w:pPr>
      <w:r>
        <w:t xml:space="preserve">      </w:t>
      </w:r>
      <w:r>
        <w:rPr>
          <w:rFonts w:hint="eastAsia"/>
        </w:rPr>
        <w:t xml:space="preserve">     </w:t>
      </w:r>
      <w:r>
        <w:t>q—化学不完全燃烧值，%，取1.5%~6.0%，本评价取</w:t>
      </w:r>
      <w:r>
        <w:rPr>
          <w:rFonts w:hint="eastAsia"/>
        </w:rPr>
        <w:t>5</w:t>
      </w:r>
      <w:r>
        <w:t>%。</w:t>
      </w:r>
    </w:p>
    <w:p w14:paraId="206EF18C">
      <w:pPr>
        <w:ind w:firstLine="437"/>
      </w:pPr>
      <w:r>
        <w:t xml:space="preserve">      </w:t>
      </w:r>
      <w:r>
        <w:rPr>
          <w:rFonts w:hint="eastAsia"/>
        </w:rPr>
        <w:t xml:space="preserve">     </w:t>
      </w:r>
      <w:r>
        <w:t>Q—参与燃烧的物质量，t/s</w:t>
      </w:r>
      <w:r>
        <w:rPr>
          <w:rFonts w:hint="eastAsia"/>
        </w:rPr>
        <w:t>，取10%泄露量进行燃烧</w:t>
      </w:r>
      <w:r>
        <w:t>。</w:t>
      </w:r>
    </w:p>
    <w:p w14:paraId="5B354021">
      <w:pPr>
        <w:ind w:firstLine="437"/>
      </w:pPr>
      <w:r>
        <w:t>则</w:t>
      </w:r>
      <w:r>
        <w:rPr>
          <w:rFonts w:hint="eastAsia"/>
        </w:rPr>
        <w:t>CO产生速率为0.15kg</w:t>
      </w:r>
      <w:r>
        <w:t>/s</w:t>
      </w:r>
      <w:r>
        <w:rPr>
          <w:rFonts w:hint="eastAsia"/>
        </w:rPr>
        <w:t>，按燃烧</w:t>
      </w:r>
      <w:r>
        <w:t>量为</w:t>
      </w:r>
      <w:r>
        <w:rPr>
          <w:rFonts w:hint="eastAsia"/>
        </w:rPr>
        <w:t>135</w:t>
      </w:r>
      <w:r>
        <w:t>kg。</w:t>
      </w:r>
    </w:p>
    <w:p w14:paraId="24EA1BA4">
      <w:pPr>
        <w:ind w:firstLine="439"/>
      </w:pPr>
      <w:r>
        <w:rPr>
          <w:rFonts w:hint="eastAsia"/>
          <w:b/>
        </w:rPr>
        <w:t>二氧化硫</w:t>
      </w:r>
      <w:r>
        <w:rPr>
          <w:b/>
        </w:rPr>
        <w:t>产生量</w:t>
      </w:r>
      <w:r>
        <w:t>：</w:t>
      </w:r>
      <w:r>
        <w:rPr>
          <w:rFonts w:hint="eastAsia"/>
        </w:rPr>
        <w:t xml:space="preserve">               </w:t>
      </w:r>
      <w:r>
        <w:t>G</w:t>
      </w:r>
      <w:r>
        <w:rPr>
          <w:vertAlign w:val="subscript"/>
        </w:rPr>
        <w:t>二氧化硫</w:t>
      </w:r>
      <w:r>
        <w:t>=2</w:t>
      </w:r>
      <w:r>
        <w:rPr>
          <w:rFonts w:hint="eastAsia"/>
        </w:rPr>
        <w:t>BS</w:t>
      </w:r>
    </w:p>
    <w:p w14:paraId="44331A66">
      <w:pPr>
        <w:ind w:firstLine="437"/>
      </w:pPr>
      <w:r>
        <w:t>式中：G</w:t>
      </w:r>
      <w:r>
        <w:rPr>
          <w:rFonts w:hint="eastAsia"/>
          <w:vertAlign w:val="subscript"/>
        </w:rPr>
        <w:t>二氧化硫</w:t>
      </w:r>
      <w:r>
        <w:t>—</w:t>
      </w:r>
      <w:r>
        <w:rPr>
          <w:rFonts w:hint="eastAsia"/>
        </w:rPr>
        <w:t>二氧化硫</w:t>
      </w:r>
      <w:r>
        <w:t>排放速率，kg/</w:t>
      </w:r>
      <w:r>
        <w:rPr>
          <w:rFonts w:hint="eastAsia"/>
        </w:rPr>
        <w:t>h</w:t>
      </w:r>
      <w:r>
        <w:t>；</w:t>
      </w:r>
    </w:p>
    <w:p w14:paraId="7788A141">
      <w:pPr>
        <w:ind w:firstLine="437"/>
      </w:pPr>
      <w:r>
        <w:t xml:space="preserve">      </w:t>
      </w:r>
      <w:r>
        <w:rPr>
          <w:rFonts w:hint="eastAsia"/>
        </w:rPr>
        <w:t xml:space="preserve">      B</w:t>
      </w:r>
      <w:r>
        <w:t>—物质</w:t>
      </w:r>
      <w:r>
        <w:rPr>
          <w:rFonts w:hint="eastAsia"/>
        </w:rPr>
        <w:t>燃烧量</w:t>
      </w:r>
      <w:r>
        <w:t>，</w:t>
      </w:r>
      <w:r>
        <w:rPr>
          <w:rFonts w:hint="eastAsia"/>
        </w:rPr>
        <w:t>kg/h，取10%泄露量进行燃烧</w:t>
      </w:r>
      <w:r>
        <w:t>；</w:t>
      </w:r>
    </w:p>
    <w:p w14:paraId="4F9F3186">
      <w:pPr>
        <w:ind w:firstLine="437"/>
      </w:pPr>
      <w:r>
        <w:t xml:space="preserve">      </w:t>
      </w:r>
      <w:r>
        <w:rPr>
          <w:rFonts w:hint="eastAsia"/>
        </w:rPr>
        <w:t xml:space="preserve">      S</w:t>
      </w:r>
      <w:r>
        <w:t>—</w:t>
      </w:r>
      <w:r>
        <w:rPr>
          <w:rFonts w:hint="eastAsia"/>
        </w:rPr>
        <w:t>物质中的硫含量</w:t>
      </w:r>
      <w:r>
        <w:t>，%，</w:t>
      </w:r>
      <w:r>
        <w:rPr>
          <w:rFonts w:hint="eastAsia"/>
        </w:rPr>
        <w:t>乙硫醇</w:t>
      </w:r>
      <w:r>
        <w:t>取</w:t>
      </w:r>
      <w:r>
        <w:rPr>
          <w:rFonts w:hint="eastAsia"/>
        </w:rPr>
        <w:t xml:space="preserve">38 </w:t>
      </w:r>
      <w:r>
        <w:t>%。</w:t>
      </w:r>
    </w:p>
    <w:p w14:paraId="293BC5B6">
      <w:pPr>
        <w:ind w:firstLine="437"/>
      </w:pPr>
      <w:r>
        <w:t>则</w:t>
      </w:r>
      <w:r>
        <w:rPr>
          <w:rFonts w:hint="eastAsia"/>
        </w:rPr>
        <w:t>SO</w:t>
      </w:r>
      <w:r>
        <w:rPr>
          <w:rFonts w:hint="eastAsia"/>
          <w:vertAlign w:val="subscript"/>
        </w:rPr>
        <w:t>2</w:t>
      </w:r>
      <w:r>
        <w:rPr>
          <w:rFonts w:hint="eastAsia"/>
        </w:rPr>
        <w:t>产生速率为0.03kg</w:t>
      </w:r>
      <w:r>
        <w:t>/s</w:t>
      </w:r>
      <w:r>
        <w:rPr>
          <w:rFonts w:hint="eastAsia"/>
        </w:rPr>
        <w:t>，按燃烧</w:t>
      </w:r>
      <w:r>
        <w:t>量为</w:t>
      </w:r>
      <w:r>
        <w:rPr>
          <w:rFonts w:hint="eastAsia"/>
        </w:rPr>
        <w:t>27</w:t>
      </w:r>
      <w:r>
        <w:t>kg。</w:t>
      </w:r>
    </w:p>
    <w:p w14:paraId="751C9D66">
      <w:pPr>
        <w:ind w:firstLine="439"/>
        <w:rPr>
          <w:b/>
        </w:rPr>
      </w:pPr>
      <w:r>
        <w:rPr>
          <w:rFonts w:hint="eastAsia"/>
          <w:b/>
        </w:rPr>
        <w:t>②丙烯腈燃烧二次污染物</w:t>
      </w:r>
      <w:r>
        <w:rPr>
          <w:b/>
        </w:rPr>
        <w:t>CO</w:t>
      </w:r>
    </w:p>
    <w:p w14:paraId="65CF3A6E">
      <w:pPr>
        <w:ind w:firstLine="437"/>
      </w:pPr>
      <w:r>
        <w:rPr>
          <w:rFonts w:hint="eastAsia"/>
        </w:rPr>
        <w:t>丙烯腈燃烧产物为CO、CO、N</w:t>
      </w:r>
      <w:r>
        <w:rPr>
          <w:rFonts w:hint="eastAsia"/>
          <w:vertAlign w:val="subscript"/>
        </w:rPr>
        <w:t>2</w:t>
      </w:r>
      <w:r>
        <w:rPr>
          <w:rFonts w:hint="eastAsia"/>
        </w:rPr>
        <w:t>，选取燃烧二次污染物CO进行预测。丙烯醛桶装规格为160kg，10min内完全泄露。考虑项目管理情况、应急设施等因素，假定火灾事故发生到处理结束的总时间为15min。</w:t>
      </w:r>
      <w:r>
        <w:t>参照HJ169-2018附录F，火灾伴生/次生污染物</w:t>
      </w:r>
      <w:r>
        <w:rPr>
          <w:rFonts w:hint="eastAsia"/>
        </w:rPr>
        <w:t>CO</w:t>
      </w:r>
      <w:r>
        <w:t>产生量估算方法如下。</w:t>
      </w:r>
    </w:p>
    <w:p w14:paraId="5A0168D9">
      <w:pPr>
        <w:ind w:firstLine="437"/>
        <w:jc w:val="center"/>
      </w:pPr>
      <w:r>
        <w:t>G</w:t>
      </w:r>
      <w:r>
        <w:rPr>
          <w:vertAlign w:val="subscript"/>
        </w:rPr>
        <w:t>CO</w:t>
      </w:r>
      <w:r>
        <w:t>=2330qCQ</w:t>
      </w:r>
    </w:p>
    <w:p w14:paraId="03203357">
      <w:pPr>
        <w:ind w:firstLine="437"/>
      </w:pPr>
      <w:r>
        <w:t>式中：C—物质中碳的含量，</w:t>
      </w:r>
      <w:r>
        <w:rPr>
          <w:rFonts w:hint="eastAsia"/>
        </w:rPr>
        <w:t>丙烯醛</w:t>
      </w:r>
      <w:r>
        <w:t>取</w:t>
      </w:r>
      <w:r>
        <w:rPr>
          <w:rFonts w:hint="eastAsia"/>
        </w:rPr>
        <w:t>64.2</w:t>
      </w:r>
      <w:r>
        <w:t>%；</w:t>
      </w:r>
    </w:p>
    <w:p w14:paraId="055E304E">
      <w:pPr>
        <w:ind w:firstLine="437"/>
      </w:pPr>
      <w:r>
        <w:t xml:space="preserve">      </w:t>
      </w:r>
      <w:r>
        <w:rPr>
          <w:rFonts w:hint="eastAsia"/>
        </w:rPr>
        <w:t xml:space="preserve">     </w:t>
      </w:r>
      <w:r>
        <w:t>q—化学不完全燃烧值，%，取1.5%~6.0%，本评价取</w:t>
      </w:r>
      <w:r>
        <w:rPr>
          <w:rFonts w:hint="eastAsia"/>
        </w:rPr>
        <w:t>5</w:t>
      </w:r>
      <w:r>
        <w:t>%。</w:t>
      </w:r>
    </w:p>
    <w:p w14:paraId="096FCD73">
      <w:pPr>
        <w:ind w:firstLine="437"/>
      </w:pPr>
      <w:r>
        <w:t xml:space="preserve">      </w:t>
      </w:r>
      <w:r>
        <w:rPr>
          <w:rFonts w:hint="eastAsia"/>
        </w:rPr>
        <w:t xml:space="preserve">     </w:t>
      </w:r>
      <w:r>
        <w:t>Q—参与燃烧的物质量，t/s</w:t>
      </w:r>
      <w:r>
        <w:rPr>
          <w:rFonts w:hint="eastAsia"/>
        </w:rPr>
        <w:t>，取10%泄露量进行燃烧</w:t>
      </w:r>
      <w:r>
        <w:t>。</w:t>
      </w:r>
    </w:p>
    <w:p w14:paraId="21296639">
      <w:pPr>
        <w:ind w:firstLine="437"/>
      </w:pPr>
      <w:r>
        <w:t>则</w:t>
      </w:r>
      <w:r>
        <w:rPr>
          <w:rFonts w:hint="eastAsia"/>
        </w:rPr>
        <w:t>CO产生速率为0.00125kg</w:t>
      </w:r>
      <w:r>
        <w:t>/s</w:t>
      </w:r>
      <w:r>
        <w:rPr>
          <w:rFonts w:hint="eastAsia"/>
        </w:rPr>
        <w:t>，按燃烧</w:t>
      </w:r>
      <w:r>
        <w:t>量为</w:t>
      </w:r>
      <w:r>
        <w:rPr>
          <w:rFonts w:hint="eastAsia"/>
        </w:rPr>
        <w:t>1.125</w:t>
      </w:r>
      <w:r>
        <w:t>kg。</w:t>
      </w:r>
    </w:p>
    <w:p w14:paraId="4C435ECB">
      <w:pPr>
        <w:ind w:firstLine="439"/>
        <w:rPr>
          <w:b/>
        </w:rPr>
      </w:pPr>
      <w:r>
        <w:rPr>
          <w:rFonts w:hint="eastAsia"/>
          <w:b/>
        </w:rPr>
        <w:t>③黄磷燃烧二次污染物</w:t>
      </w:r>
      <w:r>
        <w:rPr>
          <w:b/>
        </w:rPr>
        <w:t>P</w:t>
      </w:r>
      <w:r>
        <w:rPr>
          <w:b/>
          <w:vertAlign w:val="subscript"/>
        </w:rPr>
        <w:t>2</w:t>
      </w:r>
      <w:r>
        <w:rPr>
          <w:b/>
        </w:rPr>
        <w:t>O</w:t>
      </w:r>
      <w:r>
        <w:rPr>
          <w:b/>
          <w:vertAlign w:val="subscript"/>
        </w:rPr>
        <w:t>5</w:t>
      </w:r>
    </w:p>
    <w:p w14:paraId="4F986CA2">
      <w:pPr>
        <w:ind w:firstLine="437"/>
      </w:pPr>
      <w:r>
        <w:t>据经验数据及建设单位运行情况，黄磷采用塑料桶包装（上层用水密封，下层为黄磷），在置于集装箱进行运输。一个20GP标准集装箱装载装64桶黄磷，黄磷最大总重约为0.8t，泄漏系数为10%，则黄磷泄漏量为80kg。考虑项目管理情况、应急设施等因素，假设火灾事故发生到处理结束的总时间为</w:t>
      </w:r>
      <w:r>
        <w:rPr>
          <w:rFonts w:hint="eastAsia"/>
        </w:rPr>
        <w:t>15</w:t>
      </w:r>
      <w:r>
        <w:t>min。黄磷接触空气能自燃并引起燃烧和爆炸。黄磷在空气中燃烧的生成状态和反应的化学方程式如下：</w:t>
      </w:r>
    </w:p>
    <w:p w14:paraId="258C695B">
      <w:pPr>
        <w:ind w:firstLine="437"/>
        <w:jc w:val="center"/>
      </w:pPr>
      <w:r>
        <w:t>4P+5O</w:t>
      </w:r>
      <w:r>
        <w:rPr>
          <w:vertAlign w:val="subscript"/>
        </w:rPr>
        <w:t>2</w:t>
      </w:r>
      <w:r>
        <w:t>=2P</w:t>
      </w:r>
      <w:r>
        <w:rPr>
          <w:vertAlign w:val="subscript"/>
        </w:rPr>
        <w:t>2</w:t>
      </w:r>
      <w:r>
        <w:t>O</w:t>
      </w:r>
      <w:r>
        <w:rPr>
          <w:vertAlign w:val="subscript"/>
        </w:rPr>
        <w:t>5</w:t>
      </w:r>
    </w:p>
    <w:p w14:paraId="16B28E1F">
      <w:pPr>
        <w:ind w:firstLine="437"/>
      </w:pPr>
      <w:r>
        <w:rPr>
          <w:rFonts w:hint="eastAsia"/>
        </w:rPr>
        <w:t>假设泄露黄磷全部燃烧，则</w:t>
      </w:r>
      <w:r>
        <w:t>五氧化二磷释放量为</w:t>
      </w:r>
      <w:r>
        <w:rPr>
          <w:rFonts w:hint="eastAsia"/>
        </w:rPr>
        <w:t>183.23</w:t>
      </w:r>
      <w:r>
        <w:t>kg，释放率为0.</w:t>
      </w:r>
      <w:r>
        <w:rPr>
          <w:rFonts w:hint="eastAsia"/>
        </w:rPr>
        <w:t>2</w:t>
      </w:r>
      <w:r>
        <w:t>0kg/s。</w:t>
      </w:r>
    </w:p>
    <w:p w14:paraId="5B02E85E">
      <w:pPr>
        <w:pStyle w:val="6"/>
      </w:pPr>
      <w:r>
        <w:t>项目环境风险源项汇总</w:t>
      </w:r>
    </w:p>
    <w:p w14:paraId="19994554">
      <w:pPr>
        <w:pStyle w:val="7"/>
      </w:pPr>
      <w:r>
        <w:rPr>
          <w:rFonts w:hint="eastAsia"/>
        </w:rPr>
        <w:t>本项目预测因子选取表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56"/>
        <w:gridCol w:w="900"/>
        <w:gridCol w:w="1085"/>
        <w:gridCol w:w="740"/>
        <w:gridCol w:w="4747"/>
      </w:tblGrid>
      <w:tr w14:paraId="3768DB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restart"/>
            <w:vAlign w:val="center"/>
          </w:tcPr>
          <w:p w14:paraId="28055F90">
            <w:pPr>
              <w:pStyle w:val="34"/>
            </w:pPr>
            <w:r>
              <w:rPr>
                <w:rFonts w:hint="eastAsia"/>
              </w:rPr>
              <w:t>预测风险事故情形</w:t>
            </w:r>
          </w:p>
        </w:tc>
        <w:tc>
          <w:tcPr>
            <w:tcW w:w="0" w:type="auto"/>
            <w:vMerge w:val="restart"/>
            <w:vAlign w:val="center"/>
          </w:tcPr>
          <w:p w14:paraId="712FEC0E">
            <w:pPr>
              <w:pStyle w:val="34"/>
            </w:pPr>
            <w:r>
              <w:rPr>
                <w:rFonts w:hint="eastAsia"/>
              </w:rPr>
              <w:t>危险物质</w:t>
            </w:r>
          </w:p>
        </w:tc>
        <w:tc>
          <w:tcPr>
            <w:tcW w:w="0" w:type="auto"/>
            <w:gridSpan w:val="2"/>
            <w:vAlign w:val="center"/>
          </w:tcPr>
          <w:p w14:paraId="567FBFA2">
            <w:pPr>
              <w:pStyle w:val="34"/>
            </w:pPr>
            <w:r>
              <w:rPr>
                <w:rFonts w:hint="eastAsia"/>
              </w:rPr>
              <w:t>危险</w:t>
            </w:r>
            <w:r>
              <w:t>货物</w:t>
            </w:r>
            <w:r>
              <w:rPr>
                <w:rFonts w:hint="eastAsia"/>
              </w:rPr>
              <w:t>危险特性</w:t>
            </w:r>
          </w:p>
        </w:tc>
        <w:tc>
          <w:tcPr>
            <w:tcW w:w="0" w:type="auto"/>
            <w:vMerge w:val="restart"/>
            <w:vAlign w:val="center"/>
          </w:tcPr>
          <w:p w14:paraId="7DE78F14">
            <w:pPr>
              <w:pStyle w:val="34"/>
            </w:pPr>
            <w:r>
              <w:rPr>
                <w:rFonts w:hint="eastAsia"/>
              </w:rPr>
              <w:t>选取原则</w:t>
            </w:r>
          </w:p>
        </w:tc>
      </w:tr>
      <w:tr w14:paraId="617335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4CB27F60">
            <w:pPr>
              <w:pStyle w:val="34"/>
            </w:pPr>
          </w:p>
        </w:tc>
        <w:tc>
          <w:tcPr>
            <w:tcW w:w="0" w:type="auto"/>
            <w:vMerge w:val="continue"/>
            <w:vAlign w:val="center"/>
          </w:tcPr>
          <w:p w14:paraId="76CD749E">
            <w:pPr>
              <w:pStyle w:val="34"/>
            </w:pPr>
          </w:p>
        </w:tc>
        <w:tc>
          <w:tcPr>
            <w:tcW w:w="0" w:type="auto"/>
            <w:vAlign w:val="center"/>
          </w:tcPr>
          <w:p w14:paraId="42FFBD12">
            <w:pPr>
              <w:pStyle w:val="34"/>
            </w:pPr>
            <w:r>
              <w:rPr>
                <w:rFonts w:hint="eastAsia"/>
              </w:rPr>
              <w:t>类别/项别</w:t>
            </w:r>
          </w:p>
        </w:tc>
        <w:tc>
          <w:tcPr>
            <w:tcW w:w="0" w:type="auto"/>
            <w:vAlign w:val="center"/>
          </w:tcPr>
          <w:p w14:paraId="68053620">
            <w:pPr>
              <w:pStyle w:val="34"/>
            </w:pPr>
            <w:r>
              <w:t>次要危险性</w:t>
            </w:r>
          </w:p>
        </w:tc>
        <w:tc>
          <w:tcPr>
            <w:tcW w:w="0" w:type="auto"/>
            <w:vMerge w:val="continue"/>
            <w:vAlign w:val="center"/>
          </w:tcPr>
          <w:p w14:paraId="2AFA5A9E">
            <w:pPr>
              <w:pStyle w:val="34"/>
            </w:pPr>
          </w:p>
        </w:tc>
      </w:tr>
      <w:tr w14:paraId="7FB528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restart"/>
            <w:vAlign w:val="center"/>
          </w:tcPr>
          <w:p w14:paraId="1BE93086">
            <w:pPr>
              <w:pStyle w:val="34"/>
            </w:pPr>
            <w:r>
              <w:rPr>
                <w:rFonts w:hint="eastAsia"/>
              </w:rPr>
              <w:t>火灾、爆炸</w:t>
            </w:r>
          </w:p>
        </w:tc>
        <w:tc>
          <w:tcPr>
            <w:tcW w:w="0" w:type="auto"/>
            <w:vAlign w:val="center"/>
          </w:tcPr>
          <w:p w14:paraId="5BF75394">
            <w:pPr>
              <w:pStyle w:val="34"/>
            </w:pPr>
            <w:r>
              <w:rPr>
                <w:rFonts w:hint="eastAsia"/>
              </w:rPr>
              <w:t>CO</w:t>
            </w:r>
          </w:p>
        </w:tc>
        <w:tc>
          <w:tcPr>
            <w:tcW w:w="0" w:type="auto"/>
            <w:vAlign w:val="center"/>
          </w:tcPr>
          <w:p w14:paraId="3A4E38DF">
            <w:pPr>
              <w:pStyle w:val="34"/>
            </w:pPr>
            <w:r>
              <w:rPr>
                <w:rFonts w:hint="eastAsia"/>
              </w:rPr>
              <w:t>-</w:t>
            </w:r>
          </w:p>
        </w:tc>
        <w:tc>
          <w:tcPr>
            <w:tcW w:w="0" w:type="auto"/>
            <w:vAlign w:val="center"/>
          </w:tcPr>
          <w:p w14:paraId="65E89043">
            <w:pPr>
              <w:pStyle w:val="34"/>
            </w:pPr>
            <w:r>
              <w:rPr>
                <w:rFonts w:hint="eastAsia"/>
              </w:rPr>
              <w:t>-</w:t>
            </w:r>
          </w:p>
        </w:tc>
        <w:tc>
          <w:tcPr>
            <w:tcW w:w="0" w:type="auto"/>
            <w:vAlign w:val="center"/>
          </w:tcPr>
          <w:p w14:paraId="25F33E99">
            <w:pPr>
              <w:pStyle w:val="34"/>
            </w:pPr>
            <w:r>
              <w:rPr>
                <w:rFonts w:hint="eastAsia"/>
              </w:rPr>
              <w:t>毒性终点浓度较小，大部分危险货物火灾燃烧后生成该物质，具有代表性</w:t>
            </w:r>
          </w:p>
        </w:tc>
      </w:tr>
      <w:tr w14:paraId="3A836B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63DBF9CB">
            <w:pPr>
              <w:pStyle w:val="34"/>
            </w:pPr>
          </w:p>
        </w:tc>
        <w:tc>
          <w:tcPr>
            <w:tcW w:w="0" w:type="auto"/>
            <w:vAlign w:val="center"/>
          </w:tcPr>
          <w:p w14:paraId="090ABCB0">
            <w:pPr>
              <w:pStyle w:val="34"/>
            </w:pPr>
            <w:r>
              <w:rPr>
                <w:rFonts w:hint="eastAsia"/>
              </w:rPr>
              <w:t>SO</w:t>
            </w:r>
            <w:r>
              <w:rPr>
                <w:rFonts w:hint="eastAsia"/>
                <w:vertAlign w:val="subscript"/>
              </w:rPr>
              <w:t>2</w:t>
            </w:r>
          </w:p>
        </w:tc>
        <w:tc>
          <w:tcPr>
            <w:tcW w:w="0" w:type="auto"/>
            <w:vAlign w:val="center"/>
          </w:tcPr>
          <w:p w14:paraId="7BF55A8A">
            <w:pPr>
              <w:pStyle w:val="34"/>
            </w:pPr>
            <w:r>
              <w:rPr>
                <w:rFonts w:hint="eastAsia"/>
              </w:rPr>
              <w:t>-</w:t>
            </w:r>
          </w:p>
        </w:tc>
        <w:tc>
          <w:tcPr>
            <w:tcW w:w="0" w:type="auto"/>
            <w:vAlign w:val="center"/>
          </w:tcPr>
          <w:p w14:paraId="0E9F5F97">
            <w:pPr>
              <w:pStyle w:val="34"/>
            </w:pPr>
            <w:r>
              <w:rPr>
                <w:rFonts w:hint="eastAsia"/>
              </w:rPr>
              <w:t>-</w:t>
            </w:r>
          </w:p>
        </w:tc>
        <w:tc>
          <w:tcPr>
            <w:tcW w:w="0" w:type="auto"/>
            <w:vAlign w:val="center"/>
          </w:tcPr>
          <w:p w14:paraId="1322D649">
            <w:pPr>
              <w:pStyle w:val="34"/>
            </w:pPr>
            <w:r>
              <w:rPr>
                <w:rFonts w:hint="eastAsia"/>
              </w:rPr>
              <w:t>毒性终点浓度小，大部分危险货物火灾燃烧后生成该物质，具有代表性</w:t>
            </w:r>
          </w:p>
        </w:tc>
      </w:tr>
      <w:tr w14:paraId="58E39D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5EBA9524">
            <w:pPr>
              <w:pStyle w:val="34"/>
            </w:pPr>
          </w:p>
        </w:tc>
        <w:tc>
          <w:tcPr>
            <w:tcW w:w="0" w:type="auto"/>
            <w:vAlign w:val="center"/>
          </w:tcPr>
          <w:p w14:paraId="36F8756C">
            <w:pPr>
              <w:pStyle w:val="34"/>
            </w:pPr>
            <w:r>
              <w:rPr>
                <w:rFonts w:hint="eastAsia"/>
              </w:rPr>
              <w:t>P</w:t>
            </w:r>
            <w:r>
              <w:rPr>
                <w:rFonts w:hint="eastAsia"/>
                <w:vertAlign w:val="subscript"/>
              </w:rPr>
              <w:t>2</w:t>
            </w:r>
            <w:r>
              <w:rPr>
                <w:rFonts w:hint="eastAsia"/>
              </w:rPr>
              <w:t>O</w:t>
            </w:r>
            <w:r>
              <w:rPr>
                <w:rFonts w:hint="eastAsia"/>
                <w:vertAlign w:val="subscript"/>
              </w:rPr>
              <w:t>5</w:t>
            </w:r>
          </w:p>
        </w:tc>
        <w:tc>
          <w:tcPr>
            <w:tcW w:w="0" w:type="auto"/>
            <w:vAlign w:val="center"/>
          </w:tcPr>
          <w:p w14:paraId="74BD86EC">
            <w:pPr>
              <w:pStyle w:val="34"/>
            </w:pPr>
            <w:r>
              <w:rPr>
                <w:rFonts w:hint="eastAsia"/>
              </w:rPr>
              <w:t>-</w:t>
            </w:r>
          </w:p>
        </w:tc>
        <w:tc>
          <w:tcPr>
            <w:tcW w:w="0" w:type="auto"/>
            <w:vAlign w:val="center"/>
          </w:tcPr>
          <w:p w14:paraId="25EE1202">
            <w:pPr>
              <w:pStyle w:val="34"/>
            </w:pPr>
            <w:bookmarkStart w:id="558" w:name="OLE_LINK193"/>
            <w:r>
              <w:rPr>
                <w:rFonts w:hint="eastAsia"/>
              </w:rPr>
              <w:t>-</w:t>
            </w:r>
            <w:bookmarkEnd w:id="558"/>
          </w:p>
        </w:tc>
        <w:tc>
          <w:tcPr>
            <w:tcW w:w="0" w:type="auto"/>
            <w:vAlign w:val="center"/>
          </w:tcPr>
          <w:p w14:paraId="39359D62">
            <w:pPr>
              <w:pStyle w:val="34"/>
            </w:pPr>
            <w:r>
              <w:rPr>
                <w:rFonts w:hint="eastAsia"/>
              </w:rPr>
              <w:t>毒性终点浓度小，大部分含硫固体危险货物火灾燃烧后生成该物质，具有代表性</w:t>
            </w:r>
          </w:p>
        </w:tc>
      </w:tr>
      <w:tr w14:paraId="7CEDE5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2F1C57B7">
            <w:pPr>
              <w:pStyle w:val="34"/>
            </w:pPr>
            <w:r>
              <w:rPr>
                <w:rFonts w:hint="eastAsia"/>
              </w:rPr>
              <w:t>气体泄漏</w:t>
            </w:r>
          </w:p>
        </w:tc>
        <w:tc>
          <w:tcPr>
            <w:tcW w:w="0" w:type="auto"/>
            <w:vAlign w:val="center"/>
          </w:tcPr>
          <w:p w14:paraId="6D5DC286">
            <w:pPr>
              <w:pStyle w:val="34"/>
            </w:pPr>
            <w:r>
              <w:rPr>
                <w:rFonts w:hint="eastAsia"/>
              </w:rPr>
              <w:t>CO</w:t>
            </w:r>
          </w:p>
        </w:tc>
        <w:tc>
          <w:tcPr>
            <w:tcW w:w="0" w:type="auto"/>
            <w:vAlign w:val="center"/>
          </w:tcPr>
          <w:p w14:paraId="40FC6D9D">
            <w:pPr>
              <w:pStyle w:val="34"/>
            </w:pPr>
            <w:r>
              <w:rPr>
                <w:rFonts w:hint="eastAsia"/>
              </w:rPr>
              <w:t>2.1 易燃</w:t>
            </w:r>
          </w:p>
        </w:tc>
        <w:tc>
          <w:tcPr>
            <w:tcW w:w="0" w:type="auto"/>
            <w:vAlign w:val="center"/>
          </w:tcPr>
          <w:p w14:paraId="2F05FF45">
            <w:pPr>
              <w:pStyle w:val="34"/>
            </w:pPr>
            <w:r>
              <w:rPr>
                <w:rFonts w:hint="eastAsia"/>
              </w:rPr>
              <w:t>-</w:t>
            </w:r>
          </w:p>
        </w:tc>
        <w:tc>
          <w:tcPr>
            <w:tcW w:w="0" w:type="auto"/>
            <w:vAlign w:val="center"/>
          </w:tcPr>
          <w:p w14:paraId="141ECEBD">
            <w:pPr>
              <w:pStyle w:val="34"/>
            </w:pPr>
            <w:r>
              <w:rPr>
                <w:rFonts w:hint="eastAsia"/>
              </w:rPr>
              <w:t>气体物质中毒性终点浓度小，较其他气体危险货物运输量较大，具有代表性</w:t>
            </w:r>
          </w:p>
        </w:tc>
      </w:tr>
      <w:tr w14:paraId="319D72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restart"/>
            <w:vAlign w:val="center"/>
          </w:tcPr>
          <w:p w14:paraId="62FBFEC3">
            <w:pPr>
              <w:pStyle w:val="34"/>
            </w:pPr>
            <w:r>
              <w:rPr>
                <w:rFonts w:hint="eastAsia"/>
              </w:rPr>
              <w:t>液态化学品蒸发</w:t>
            </w:r>
          </w:p>
        </w:tc>
        <w:tc>
          <w:tcPr>
            <w:tcW w:w="0" w:type="auto"/>
            <w:vAlign w:val="center"/>
          </w:tcPr>
          <w:p w14:paraId="78695F45">
            <w:pPr>
              <w:pStyle w:val="34"/>
            </w:pPr>
            <w:r>
              <w:rPr>
                <w:rFonts w:hint="eastAsia"/>
              </w:rPr>
              <w:t>乙硫醇</w:t>
            </w:r>
          </w:p>
        </w:tc>
        <w:tc>
          <w:tcPr>
            <w:tcW w:w="0" w:type="auto"/>
            <w:vAlign w:val="center"/>
          </w:tcPr>
          <w:p w14:paraId="7D78D180">
            <w:pPr>
              <w:pStyle w:val="34"/>
            </w:pPr>
            <w:r>
              <w:rPr>
                <w:rFonts w:hint="eastAsia"/>
              </w:rPr>
              <w:t>3 易燃</w:t>
            </w:r>
          </w:p>
        </w:tc>
        <w:tc>
          <w:tcPr>
            <w:tcW w:w="0" w:type="auto"/>
            <w:vAlign w:val="center"/>
          </w:tcPr>
          <w:p w14:paraId="1F0A0A06">
            <w:pPr>
              <w:pStyle w:val="34"/>
            </w:pPr>
            <w:r>
              <w:rPr>
                <w:rFonts w:hint="eastAsia"/>
              </w:rPr>
              <w:t>-</w:t>
            </w:r>
          </w:p>
        </w:tc>
        <w:tc>
          <w:tcPr>
            <w:tcW w:w="0" w:type="auto"/>
            <w:vAlign w:val="center"/>
          </w:tcPr>
          <w:p w14:paraId="5F2F38A8">
            <w:pPr>
              <w:pStyle w:val="34"/>
            </w:pPr>
            <w:r>
              <w:rPr>
                <w:rFonts w:hint="eastAsia"/>
              </w:rPr>
              <w:t>燃烧产生的二次污染物SO</w:t>
            </w:r>
            <w:r>
              <w:rPr>
                <w:rFonts w:hint="eastAsia"/>
                <w:vertAlign w:val="subscript"/>
              </w:rPr>
              <w:t>2</w:t>
            </w:r>
            <w:r>
              <w:rPr>
                <w:rFonts w:hint="eastAsia"/>
              </w:rPr>
              <w:t>、CO毒性终点浓度小，燃烧产物与大部分有机物一致；液体本身易燃且毒性终点浓度不大，具有代表性</w:t>
            </w:r>
          </w:p>
        </w:tc>
      </w:tr>
      <w:tr w14:paraId="729550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004CE028">
            <w:pPr>
              <w:pStyle w:val="34"/>
            </w:pPr>
          </w:p>
        </w:tc>
        <w:tc>
          <w:tcPr>
            <w:tcW w:w="0" w:type="auto"/>
            <w:vAlign w:val="center"/>
          </w:tcPr>
          <w:p w14:paraId="20401DC6">
            <w:pPr>
              <w:pStyle w:val="34"/>
            </w:pPr>
            <w:r>
              <w:rPr>
                <w:rFonts w:hint="eastAsia"/>
              </w:rPr>
              <w:t>丙烯腈</w:t>
            </w:r>
          </w:p>
        </w:tc>
        <w:tc>
          <w:tcPr>
            <w:tcW w:w="0" w:type="auto"/>
            <w:vAlign w:val="center"/>
          </w:tcPr>
          <w:p w14:paraId="56C2F418">
            <w:pPr>
              <w:pStyle w:val="34"/>
            </w:pPr>
            <w:r>
              <w:rPr>
                <w:rFonts w:hint="eastAsia"/>
              </w:rPr>
              <w:t>3 易燃</w:t>
            </w:r>
          </w:p>
        </w:tc>
        <w:tc>
          <w:tcPr>
            <w:tcW w:w="0" w:type="auto"/>
            <w:vAlign w:val="center"/>
          </w:tcPr>
          <w:p w14:paraId="101B29AB">
            <w:pPr>
              <w:pStyle w:val="34"/>
            </w:pPr>
            <w:r>
              <w:rPr>
                <w:rFonts w:hint="eastAsia"/>
              </w:rPr>
              <w:t>6.1 毒性</w:t>
            </w:r>
          </w:p>
        </w:tc>
        <w:tc>
          <w:tcPr>
            <w:tcW w:w="0" w:type="auto"/>
            <w:vAlign w:val="center"/>
          </w:tcPr>
          <w:p w14:paraId="7D1A3CA4">
            <w:pPr>
              <w:pStyle w:val="34"/>
            </w:pPr>
            <w:r>
              <w:t>液体</w:t>
            </w:r>
            <w:r>
              <w:rPr>
                <w:rFonts w:hint="eastAsia"/>
              </w:rPr>
              <w:t>蒸发后</w:t>
            </w:r>
            <w:r>
              <w:t>毒性终点浓度大，</w:t>
            </w:r>
            <w:r>
              <w:rPr>
                <w:rFonts w:hint="eastAsia"/>
              </w:rPr>
              <w:t>具有代表性</w:t>
            </w:r>
          </w:p>
        </w:tc>
      </w:tr>
      <w:tr w14:paraId="5E003A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65354819">
            <w:pPr>
              <w:pStyle w:val="34"/>
            </w:pPr>
          </w:p>
        </w:tc>
        <w:tc>
          <w:tcPr>
            <w:tcW w:w="0" w:type="auto"/>
            <w:vAlign w:val="center"/>
          </w:tcPr>
          <w:p w14:paraId="481BC99D">
            <w:pPr>
              <w:pStyle w:val="34"/>
            </w:pPr>
            <w:r>
              <w:rPr>
                <w:rFonts w:hint="eastAsia"/>
              </w:rPr>
              <w:t>氟化氢</w:t>
            </w:r>
          </w:p>
        </w:tc>
        <w:tc>
          <w:tcPr>
            <w:tcW w:w="0" w:type="auto"/>
            <w:vAlign w:val="center"/>
          </w:tcPr>
          <w:p w14:paraId="6D126067">
            <w:pPr>
              <w:pStyle w:val="34"/>
            </w:pPr>
            <w:r>
              <w:rPr>
                <w:rFonts w:hint="eastAsia"/>
              </w:rPr>
              <w:t>8 腐蚀性</w:t>
            </w:r>
          </w:p>
        </w:tc>
        <w:tc>
          <w:tcPr>
            <w:tcW w:w="0" w:type="auto"/>
            <w:vAlign w:val="center"/>
          </w:tcPr>
          <w:p w14:paraId="75093D7C">
            <w:pPr>
              <w:pStyle w:val="34"/>
            </w:pPr>
            <w:r>
              <w:rPr>
                <w:rFonts w:hint="eastAsia"/>
              </w:rPr>
              <w:t>6.1 毒性</w:t>
            </w:r>
          </w:p>
        </w:tc>
        <w:tc>
          <w:tcPr>
            <w:tcW w:w="0" w:type="auto"/>
            <w:vAlign w:val="center"/>
          </w:tcPr>
          <w:p w14:paraId="7E88B7CD">
            <w:pPr>
              <w:pStyle w:val="34"/>
            </w:pPr>
            <w:r>
              <w:rPr>
                <w:rFonts w:hint="eastAsia"/>
              </w:rPr>
              <w:t>不可燃的液体物质中毒性终点浓度大，运输量大，具有代表性</w:t>
            </w:r>
          </w:p>
        </w:tc>
      </w:tr>
      <w:tr w14:paraId="5A1474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restart"/>
            <w:vAlign w:val="center"/>
          </w:tcPr>
          <w:p w14:paraId="49C27A79">
            <w:pPr>
              <w:pStyle w:val="34"/>
            </w:pPr>
            <w:r>
              <w:rPr>
                <w:rFonts w:hint="eastAsia"/>
              </w:rPr>
              <w:t>溶水化学品</w:t>
            </w:r>
          </w:p>
        </w:tc>
        <w:tc>
          <w:tcPr>
            <w:tcW w:w="0" w:type="auto"/>
            <w:vAlign w:val="center"/>
          </w:tcPr>
          <w:p w14:paraId="44E14B2C">
            <w:pPr>
              <w:pStyle w:val="34"/>
            </w:pPr>
            <w:r>
              <w:rPr>
                <w:rFonts w:hint="eastAsia"/>
              </w:rPr>
              <w:t>磷酸</w:t>
            </w:r>
          </w:p>
        </w:tc>
        <w:tc>
          <w:tcPr>
            <w:tcW w:w="0" w:type="auto"/>
            <w:vAlign w:val="center"/>
          </w:tcPr>
          <w:p w14:paraId="120DC150">
            <w:pPr>
              <w:pStyle w:val="34"/>
            </w:pPr>
            <w:r>
              <w:rPr>
                <w:rFonts w:hint="eastAsia"/>
              </w:rPr>
              <w:t>8 腐蚀性</w:t>
            </w:r>
          </w:p>
        </w:tc>
        <w:tc>
          <w:tcPr>
            <w:tcW w:w="0" w:type="auto"/>
            <w:vAlign w:val="center"/>
          </w:tcPr>
          <w:p w14:paraId="34BDC3E0">
            <w:pPr>
              <w:pStyle w:val="34"/>
            </w:pPr>
            <w:r>
              <w:rPr>
                <w:rFonts w:hint="eastAsia"/>
              </w:rPr>
              <w:t>-</w:t>
            </w:r>
          </w:p>
        </w:tc>
        <w:tc>
          <w:tcPr>
            <w:tcW w:w="0" w:type="auto"/>
            <w:vMerge w:val="restart"/>
            <w:vAlign w:val="center"/>
          </w:tcPr>
          <w:p w14:paraId="6F10297C">
            <w:pPr>
              <w:pStyle w:val="34"/>
            </w:pPr>
            <w:r>
              <w:rPr>
                <w:rFonts w:hint="eastAsia"/>
              </w:rPr>
              <w:t>运输量大，溶液水体后对水体pH影响较其他物质更大，具有代表性</w:t>
            </w:r>
          </w:p>
        </w:tc>
      </w:tr>
      <w:tr w14:paraId="22FFAC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5DBFA523">
            <w:pPr>
              <w:pStyle w:val="34"/>
            </w:pPr>
          </w:p>
        </w:tc>
        <w:tc>
          <w:tcPr>
            <w:tcW w:w="0" w:type="auto"/>
            <w:vAlign w:val="center"/>
          </w:tcPr>
          <w:p w14:paraId="1C2F1BC4">
            <w:pPr>
              <w:pStyle w:val="34"/>
            </w:pPr>
            <w:r>
              <w:rPr>
                <w:rFonts w:hint="eastAsia"/>
              </w:rPr>
              <w:t>硫酸</w:t>
            </w:r>
          </w:p>
        </w:tc>
        <w:tc>
          <w:tcPr>
            <w:tcW w:w="0" w:type="auto"/>
            <w:vAlign w:val="center"/>
          </w:tcPr>
          <w:p w14:paraId="5648DED5">
            <w:pPr>
              <w:pStyle w:val="34"/>
            </w:pPr>
            <w:r>
              <w:rPr>
                <w:rFonts w:hint="eastAsia"/>
              </w:rPr>
              <w:t>8 腐蚀性</w:t>
            </w:r>
          </w:p>
        </w:tc>
        <w:tc>
          <w:tcPr>
            <w:tcW w:w="0" w:type="auto"/>
            <w:vAlign w:val="center"/>
          </w:tcPr>
          <w:p w14:paraId="449966CC">
            <w:pPr>
              <w:pStyle w:val="34"/>
            </w:pPr>
            <w:r>
              <w:rPr>
                <w:rFonts w:hint="eastAsia"/>
              </w:rPr>
              <w:t>-</w:t>
            </w:r>
          </w:p>
        </w:tc>
        <w:tc>
          <w:tcPr>
            <w:tcW w:w="0" w:type="auto"/>
            <w:vMerge w:val="continue"/>
            <w:vAlign w:val="center"/>
          </w:tcPr>
          <w:p w14:paraId="4C097CA5">
            <w:pPr>
              <w:pStyle w:val="34"/>
            </w:pPr>
          </w:p>
        </w:tc>
      </w:tr>
      <w:tr w14:paraId="76133C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458197BB">
            <w:pPr>
              <w:pStyle w:val="34"/>
            </w:pPr>
          </w:p>
        </w:tc>
        <w:tc>
          <w:tcPr>
            <w:tcW w:w="0" w:type="auto"/>
            <w:vAlign w:val="center"/>
          </w:tcPr>
          <w:p w14:paraId="17A6BCA6">
            <w:pPr>
              <w:pStyle w:val="34"/>
            </w:pPr>
            <w:r>
              <w:rPr>
                <w:rFonts w:hint="eastAsia"/>
              </w:rPr>
              <w:t>氢氧化钠</w:t>
            </w:r>
          </w:p>
        </w:tc>
        <w:tc>
          <w:tcPr>
            <w:tcW w:w="0" w:type="auto"/>
            <w:vAlign w:val="center"/>
          </w:tcPr>
          <w:p w14:paraId="729FEC5E">
            <w:pPr>
              <w:pStyle w:val="34"/>
            </w:pPr>
            <w:r>
              <w:rPr>
                <w:rFonts w:hint="eastAsia"/>
              </w:rPr>
              <w:t>8 腐蚀性</w:t>
            </w:r>
          </w:p>
        </w:tc>
        <w:tc>
          <w:tcPr>
            <w:tcW w:w="0" w:type="auto"/>
            <w:vAlign w:val="center"/>
          </w:tcPr>
          <w:p w14:paraId="7C3BB799">
            <w:pPr>
              <w:pStyle w:val="34"/>
            </w:pPr>
            <w:r>
              <w:rPr>
                <w:rFonts w:hint="eastAsia"/>
              </w:rPr>
              <w:t>-</w:t>
            </w:r>
          </w:p>
        </w:tc>
        <w:tc>
          <w:tcPr>
            <w:tcW w:w="0" w:type="auto"/>
            <w:vMerge w:val="continue"/>
            <w:vAlign w:val="center"/>
          </w:tcPr>
          <w:p w14:paraId="19FF66B0">
            <w:pPr>
              <w:pStyle w:val="34"/>
            </w:pPr>
          </w:p>
        </w:tc>
      </w:tr>
      <w:tr w14:paraId="355951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0" w:type="auto"/>
            <w:vMerge w:val="continue"/>
            <w:vAlign w:val="center"/>
          </w:tcPr>
          <w:p w14:paraId="5B00829F">
            <w:pPr>
              <w:pStyle w:val="34"/>
            </w:pPr>
          </w:p>
        </w:tc>
        <w:tc>
          <w:tcPr>
            <w:tcW w:w="0" w:type="auto"/>
            <w:vAlign w:val="center"/>
          </w:tcPr>
          <w:p w14:paraId="3D9FF3E4">
            <w:pPr>
              <w:pStyle w:val="34"/>
            </w:pPr>
            <w:r>
              <w:rPr>
                <w:rFonts w:hint="eastAsia"/>
              </w:rPr>
              <w:t>硫酸镉</w:t>
            </w:r>
          </w:p>
        </w:tc>
        <w:tc>
          <w:tcPr>
            <w:tcW w:w="0" w:type="auto"/>
            <w:vAlign w:val="center"/>
          </w:tcPr>
          <w:p w14:paraId="3C5C3B69">
            <w:pPr>
              <w:pStyle w:val="34"/>
            </w:pPr>
            <w:r>
              <w:rPr>
                <w:rFonts w:hint="eastAsia"/>
              </w:rPr>
              <w:t>6.1 毒性</w:t>
            </w:r>
          </w:p>
        </w:tc>
        <w:tc>
          <w:tcPr>
            <w:tcW w:w="0" w:type="auto"/>
            <w:vAlign w:val="center"/>
          </w:tcPr>
          <w:p w14:paraId="395FECDB">
            <w:pPr>
              <w:pStyle w:val="34"/>
            </w:pPr>
            <w:r>
              <w:rPr>
                <w:rFonts w:hint="eastAsia"/>
              </w:rPr>
              <w:t>-</w:t>
            </w:r>
          </w:p>
        </w:tc>
        <w:tc>
          <w:tcPr>
            <w:tcW w:w="0" w:type="auto"/>
            <w:vAlign w:val="center"/>
          </w:tcPr>
          <w:p w14:paraId="300E72DD">
            <w:pPr>
              <w:pStyle w:val="34"/>
            </w:pPr>
            <w:r>
              <w:rPr>
                <w:rFonts w:hint="eastAsia"/>
              </w:rPr>
              <w:t>物质自身具有毒性，溶于水后产生重金属离子，对该类物质预测具有代表性</w:t>
            </w:r>
          </w:p>
        </w:tc>
      </w:tr>
      <w:tr w14:paraId="241D48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3EA9533B">
            <w:pPr>
              <w:pStyle w:val="34"/>
            </w:pPr>
          </w:p>
        </w:tc>
        <w:tc>
          <w:tcPr>
            <w:tcW w:w="0" w:type="auto"/>
            <w:vAlign w:val="center"/>
          </w:tcPr>
          <w:p w14:paraId="00EADF9F">
            <w:pPr>
              <w:pStyle w:val="34"/>
            </w:pPr>
            <w:r>
              <w:rPr>
                <w:rFonts w:hint="eastAsia"/>
              </w:rPr>
              <w:t>己二腈</w:t>
            </w:r>
          </w:p>
        </w:tc>
        <w:tc>
          <w:tcPr>
            <w:tcW w:w="0" w:type="auto"/>
            <w:vAlign w:val="center"/>
          </w:tcPr>
          <w:p w14:paraId="4D917A6D">
            <w:pPr>
              <w:pStyle w:val="34"/>
            </w:pPr>
            <w:r>
              <w:rPr>
                <w:rFonts w:hint="eastAsia"/>
              </w:rPr>
              <w:t>6.1 毒性</w:t>
            </w:r>
          </w:p>
        </w:tc>
        <w:tc>
          <w:tcPr>
            <w:tcW w:w="0" w:type="auto"/>
            <w:vAlign w:val="center"/>
          </w:tcPr>
          <w:p w14:paraId="6112931F">
            <w:pPr>
              <w:pStyle w:val="34"/>
            </w:pPr>
            <w:r>
              <w:rPr>
                <w:rFonts w:hint="eastAsia"/>
              </w:rPr>
              <w:t>-</w:t>
            </w:r>
          </w:p>
        </w:tc>
        <w:tc>
          <w:tcPr>
            <w:tcW w:w="0" w:type="auto"/>
            <w:vAlign w:val="center"/>
          </w:tcPr>
          <w:p w14:paraId="20A2E44E">
            <w:pPr>
              <w:pStyle w:val="34"/>
            </w:pPr>
            <w:r>
              <w:rPr>
                <w:rFonts w:hint="eastAsia"/>
              </w:rPr>
              <w:t>物质自身具有毒性，且毒性较强</w:t>
            </w:r>
          </w:p>
        </w:tc>
      </w:tr>
      <w:tr w14:paraId="79DC9D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restart"/>
            <w:vAlign w:val="center"/>
          </w:tcPr>
          <w:p w14:paraId="12687BEA">
            <w:pPr>
              <w:pStyle w:val="34"/>
            </w:pPr>
            <w:r>
              <w:rPr>
                <w:rFonts w:hint="eastAsia"/>
              </w:rPr>
              <w:t>不溶性化学品</w:t>
            </w:r>
          </w:p>
        </w:tc>
        <w:tc>
          <w:tcPr>
            <w:tcW w:w="0" w:type="auto"/>
            <w:vAlign w:val="center"/>
          </w:tcPr>
          <w:p w14:paraId="4D66853E">
            <w:pPr>
              <w:pStyle w:val="34"/>
            </w:pPr>
            <w:r>
              <w:rPr>
                <w:rFonts w:hint="eastAsia"/>
              </w:rPr>
              <w:t>燃料油</w:t>
            </w:r>
          </w:p>
        </w:tc>
        <w:tc>
          <w:tcPr>
            <w:tcW w:w="0" w:type="auto"/>
            <w:vAlign w:val="center"/>
          </w:tcPr>
          <w:p w14:paraId="71126F11">
            <w:pPr>
              <w:pStyle w:val="34"/>
            </w:pPr>
            <w:r>
              <w:rPr>
                <w:rFonts w:hint="eastAsia"/>
              </w:rPr>
              <w:t>易燃</w:t>
            </w:r>
          </w:p>
        </w:tc>
        <w:tc>
          <w:tcPr>
            <w:tcW w:w="0" w:type="auto"/>
            <w:vAlign w:val="center"/>
          </w:tcPr>
          <w:p w14:paraId="6B3BCD51">
            <w:pPr>
              <w:pStyle w:val="34"/>
            </w:pPr>
            <w:r>
              <w:rPr>
                <w:rFonts w:hint="eastAsia"/>
              </w:rPr>
              <w:t>-</w:t>
            </w:r>
          </w:p>
        </w:tc>
        <w:tc>
          <w:tcPr>
            <w:tcW w:w="0" w:type="auto"/>
            <w:vAlign w:val="center"/>
          </w:tcPr>
          <w:p w14:paraId="70409D3A">
            <w:pPr>
              <w:pStyle w:val="34"/>
            </w:pPr>
            <w:r>
              <w:rPr>
                <w:rFonts w:hint="eastAsia"/>
              </w:rPr>
              <w:t>泄漏至海域的量大</w:t>
            </w:r>
          </w:p>
        </w:tc>
      </w:tr>
      <w:tr w14:paraId="3BABF7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1F87935B">
            <w:pPr>
              <w:pStyle w:val="34"/>
            </w:pPr>
          </w:p>
        </w:tc>
        <w:tc>
          <w:tcPr>
            <w:tcW w:w="0" w:type="auto"/>
            <w:vAlign w:val="center"/>
          </w:tcPr>
          <w:p w14:paraId="2F2CDE34">
            <w:pPr>
              <w:pStyle w:val="34"/>
            </w:pPr>
            <w:r>
              <w:rPr>
                <w:rFonts w:hint="eastAsia"/>
              </w:rPr>
              <w:t>硅铝铁合金粉</w:t>
            </w:r>
          </w:p>
        </w:tc>
        <w:tc>
          <w:tcPr>
            <w:tcW w:w="0" w:type="auto"/>
            <w:vAlign w:val="center"/>
          </w:tcPr>
          <w:p w14:paraId="67554A0E">
            <w:pPr>
              <w:pStyle w:val="34"/>
            </w:pPr>
            <w:r>
              <w:rPr>
                <w:rFonts w:hint="eastAsia"/>
              </w:rPr>
              <w:t>4.3 遇水放出易燃气体</w:t>
            </w:r>
          </w:p>
        </w:tc>
        <w:tc>
          <w:tcPr>
            <w:tcW w:w="0" w:type="auto"/>
            <w:vAlign w:val="center"/>
          </w:tcPr>
          <w:p w14:paraId="4E06DAC5">
            <w:pPr>
              <w:pStyle w:val="34"/>
            </w:pPr>
            <w:r>
              <w:rPr>
                <w:rFonts w:hint="eastAsia"/>
              </w:rPr>
              <w:t>6.1 毒性</w:t>
            </w:r>
          </w:p>
        </w:tc>
        <w:tc>
          <w:tcPr>
            <w:tcW w:w="0" w:type="auto"/>
            <w:vAlign w:val="center"/>
          </w:tcPr>
          <w:p w14:paraId="78038FAE">
            <w:pPr>
              <w:pStyle w:val="34"/>
            </w:pPr>
            <w:r>
              <w:rPr>
                <w:rFonts w:hint="eastAsia"/>
              </w:rPr>
              <w:t>物质自身具有水生生物毒性，溶于水中具有扩散特性，可代表此类物质</w:t>
            </w:r>
          </w:p>
        </w:tc>
      </w:tr>
    </w:tbl>
    <w:p w14:paraId="4F3FFC1F">
      <w:pPr>
        <w:ind w:firstLine="437"/>
      </w:pPr>
      <w:r>
        <w:rPr>
          <w:rFonts w:hint="eastAsia"/>
        </w:rPr>
        <w:t>项目环境</w:t>
      </w:r>
      <w:r>
        <w:t>风险源强设置情况</w:t>
      </w:r>
      <w:r>
        <w:rPr>
          <w:rFonts w:hint="eastAsia"/>
        </w:rPr>
        <w:t>见</w:t>
      </w:r>
      <w:r>
        <w:t>表</w:t>
      </w:r>
      <w:r>
        <w:rPr>
          <w:rFonts w:hint="eastAsia"/>
        </w:rPr>
        <w:t>5.3-9</w:t>
      </w:r>
      <w:r>
        <w:t>，由表可知，项目陆域危险化学品泄漏</w:t>
      </w:r>
      <w:r>
        <w:rPr>
          <w:rFonts w:hint="eastAsia"/>
        </w:rPr>
        <w:t>的主要气体危险物质包括SO</w:t>
      </w:r>
      <w:r>
        <w:rPr>
          <w:rFonts w:hint="eastAsia"/>
          <w:vertAlign w:val="subscript"/>
        </w:rPr>
        <w:t>2</w:t>
      </w:r>
      <w:r>
        <w:rPr>
          <w:rFonts w:hint="eastAsia"/>
        </w:rPr>
        <w:t>、CO、P</w:t>
      </w:r>
      <w:r>
        <w:rPr>
          <w:rFonts w:hint="eastAsia"/>
          <w:vertAlign w:val="subscript"/>
        </w:rPr>
        <w:t>2</w:t>
      </w:r>
      <w:r>
        <w:rPr>
          <w:rFonts w:hint="eastAsia"/>
        </w:rPr>
        <w:t>O</w:t>
      </w:r>
      <w:r>
        <w:rPr>
          <w:rFonts w:hint="eastAsia"/>
          <w:vertAlign w:val="subscript"/>
        </w:rPr>
        <w:t>5</w:t>
      </w:r>
      <w:r>
        <w:rPr>
          <w:rFonts w:hint="eastAsia"/>
        </w:rPr>
        <w:t>、乙硫醇、丙烯腈及氟化氢，同一危险选取源强较大的风险事故作为风险预测场景，项目大气风险预测最终选取的危险物质及源强见表5.3-8。</w:t>
      </w:r>
    </w:p>
    <w:p w14:paraId="64B7FDD6">
      <w:pPr>
        <w:pStyle w:val="7"/>
      </w:pPr>
      <w:r>
        <w:rPr>
          <w:rFonts w:hint="eastAsia"/>
        </w:rPr>
        <w:t>本项目大气风险预测场景及源强</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51"/>
        <w:gridCol w:w="801"/>
        <w:gridCol w:w="1262"/>
        <w:gridCol w:w="1166"/>
        <w:gridCol w:w="1369"/>
        <w:gridCol w:w="908"/>
        <w:gridCol w:w="1004"/>
        <w:gridCol w:w="861"/>
      </w:tblGrid>
      <w:tr w14:paraId="3456CC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151" w:type="dxa"/>
            <w:vAlign w:val="center"/>
          </w:tcPr>
          <w:p w14:paraId="0191ED03">
            <w:pPr>
              <w:pStyle w:val="34"/>
            </w:pPr>
            <w:r>
              <w:rPr>
                <w:rFonts w:hint="eastAsia"/>
              </w:rPr>
              <w:t>预测风险事故情形</w:t>
            </w:r>
          </w:p>
        </w:tc>
        <w:tc>
          <w:tcPr>
            <w:tcW w:w="801" w:type="dxa"/>
            <w:vAlign w:val="center"/>
          </w:tcPr>
          <w:p w14:paraId="563E3FA4">
            <w:pPr>
              <w:pStyle w:val="34"/>
            </w:pPr>
            <w:r>
              <w:rPr>
                <w:rFonts w:hint="eastAsia"/>
              </w:rPr>
              <w:t>危险物质</w:t>
            </w:r>
          </w:p>
        </w:tc>
        <w:tc>
          <w:tcPr>
            <w:tcW w:w="1262" w:type="dxa"/>
            <w:vAlign w:val="center"/>
          </w:tcPr>
          <w:p w14:paraId="2D1C4F39">
            <w:pPr>
              <w:pStyle w:val="34"/>
            </w:pPr>
            <w:r>
              <w:t>释放或泄漏速率kg/s</w:t>
            </w:r>
          </w:p>
        </w:tc>
        <w:tc>
          <w:tcPr>
            <w:tcW w:w="1166" w:type="dxa"/>
            <w:vAlign w:val="center"/>
          </w:tcPr>
          <w:p w14:paraId="3217F814">
            <w:pPr>
              <w:pStyle w:val="34"/>
            </w:pPr>
            <w:r>
              <w:t>释放或泄漏时间min</w:t>
            </w:r>
          </w:p>
        </w:tc>
        <w:tc>
          <w:tcPr>
            <w:tcW w:w="1369" w:type="dxa"/>
            <w:vAlign w:val="center"/>
          </w:tcPr>
          <w:p w14:paraId="5C94DDD9">
            <w:pPr>
              <w:pStyle w:val="34"/>
            </w:pPr>
            <w:r>
              <w:t>最大释放或泄漏量</w:t>
            </w:r>
          </w:p>
        </w:tc>
        <w:tc>
          <w:tcPr>
            <w:tcW w:w="908" w:type="dxa"/>
            <w:vAlign w:val="center"/>
          </w:tcPr>
          <w:p w14:paraId="560FABB7">
            <w:pPr>
              <w:pStyle w:val="34"/>
            </w:pPr>
            <w:r>
              <w:t>蒸发时间min</w:t>
            </w:r>
          </w:p>
        </w:tc>
        <w:tc>
          <w:tcPr>
            <w:tcW w:w="1004" w:type="dxa"/>
            <w:vAlign w:val="center"/>
          </w:tcPr>
          <w:p w14:paraId="323B7C2C">
            <w:pPr>
              <w:pStyle w:val="34"/>
            </w:pPr>
            <w:r>
              <w:t>蒸发速率kg/s</w:t>
            </w:r>
          </w:p>
        </w:tc>
        <w:tc>
          <w:tcPr>
            <w:tcW w:w="861" w:type="dxa"/>
            <w:vAlign w:val="center"/>
          </w:tcPr>
          <w:p w14:paraId="2F178505">
            <w:pPr>
              <w:pStyle w:val="34"/>
            </w:pPr>
            <w:r>
              <w:rPr>
                <w:rFonts w:hint="eastAsia"/>
              </w:rPr>
              <w:t>蒸发量kg</w:t>
            </w:r>
          </w:p>
        </w:tc>
      </w:tr>
      <w:tr w14:paraId="17163A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51" w:type="dxa"/>
            <w:vAlign w:val="center"/>
          </w:tcPr>
          <w:p w14:paraId="00FFD40D">
            <w:pPr>
              <w:pStyle w:val="34"/>
            </w:pPr>
            <w:r>
              <w:rPr>
                <w:rFonts w:hint="eastAsia"/>
              </w:rPr>
              <w:t>气体泄漏</w:t>
            </w:r>
          </w:p>
        </w:tc>
        <w:tc>
          <w:tcPr>
            <w:tcW w:w="801" w:type="dxa"/>
            <w:vAlign w:val="center"/>
          </w:tcPr>
          <w:p w14:paraId="71769C2F">
            <w:pPr>
              <w:pStyle w:val="34"/>
            </w:pPr>
            <w:r>
              <w:rPr>
                <w:rFonts w:hint="eastAsia"/>
              </w:rPr>
              <w:t>CO</w:t>
            </w:r>
          </w:p>
        </w:tc>
        <w:tc>
          <w:tcPr>
            <w:tcW w:w="1262" w:type="dxa"/>
            <w:vAlign w:val="center"/>
          </w:tcPr>
          <w:p w14:paraId="6E52B062">
            <w:pPr>
              <w:pStyle w:val="34"/>
            </w:pPr>
            <w:r>
              <w:rPr>
                <w:rFonts w:hint="eastAsia"/>
              </w:rPr>
              <w:t>0.024</w:t>
            </w:r>
          </w:p>
        </w:tc>
        <w:tc>
          <w:tcPr>
            <w:tcW w:w="1166" w:type="dxa"/>
            <w:vAlign w:val="center"/>
          </w:tcPr>
          <w:p w14:paraId="754587F9">
            <w:pPr>
              <w:pStyle w:val="34"/>
            </w:pPr>
            <w:r>
              <w:rPr>
                <w:rFonts w:hint="eastAsia"/>
              </w:rPr>
              <w:t>15</w:t>
            </w:r>
          </w:p>
        </w:tc>
        <w:tc>
          <w:tcPr>
            <w:tcW w:w="1369" w:type="dxa"/>
            <w:vAlign w:val="center"/>
          </w:tcPr>
          <w:p w14:paraId="077E5CB6">
            <w:pPr>
              <w:pStyle w:val="34"/>
            </w:pPr>
            <w:r>
              <w:rPr>
                <w:rFonts w:hint="eastAsia"/>
              </w:rPr>
              <w:t>21.6kg</w:t>
            </w:r>
          </w:p>
        </w:tc>
        <w:tc>
          <w:tcPr>
            <w:tcW w:w="908" w:type="dxa"/>
            <w:vAlign w:val="center"/>
          </w:tcPr>
          <w:p w14:paraId="15B77255">
            <w:pPr>
              <w:pStyle w:val="34"/>
            </w:pPr>
            <w:r>
              <w:t>—</w:t>
            </w:r>
          </w:p>
        </w:tc>
        <w:tc>
          <w:tcPr>
            <w:tcW w:w="1004" w:type="dxa"/>
            <w:vAlign w:val="center"/>
          </w:tcPr>
          <w:p w14:paraId="39A9F3E8">
            <w:pPr>
              <w:pStyle w:val="34"/>
            </w:pPr>
            <w:r>
              <w:t>—</w:t>
            </w:r>
          </w:p>
        </w:tc>
        <w:tc>
          <w:tcPr>
            <w:tcW w:w="861" w:type="dxa"/>
            <w:vAlign w:val="center"/>
          </w:tcPr>
          <w:p w14:paraId="47FEDAA1">
            <w:pPr>
              <w:pStyle w:val="34"/>
            </w:pPr>
            <w:r>
              <w:t>—</w:t>
            </w:r>
          </w:p>
        </w:tc>
      </w:tr>
      <w:tr w14:paraId="2840B3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51" w:type="dxa"/>
            <w:vMerge w:val="restart"/>
            <w:vAlign w:val="center"/>
          </w:tcPr>
          <w:p w14:paraId="4ABD6C85">
            <w:pPr>
              <w:pStyle w:val="34"/>
            </w:pPr>
            <w:r>
              <w:rPr>
                <w:rFonts w:hint="eastAsia"/>
              </w:rPr>
              <w:t>火灾、爆炸</w:t>
            </w:r>
          </w:p>
        </w:tc>
        <w:tc>
          <w:tcPr>
            <w:tcW w:w="801" w:type="dxa"/>
            <w:vAlign w:val="center"/>
          </w:tcPr>
          <w:p w14:paraId="5FF910D1">
            <w:pPr>
              <w:pStyle w:val="34"/>
            </w:pPr>
            <w:r>
              <w:rPr>
                <w:rFonts w:hint="eastAsia"/>
              </w:rPr>
              <w:t>CO</w:t>
            </w:r>
          </w:p>
        </w:tc>
        <w:tc>
          <w:tcPr>
            <w:tcW w:w="1262" w:type="dxa"/>
            <w:vAlign w:val="center"/>
          </w:tcPr>
          <w:p w14:paraId="71070E58">
            <w:pPr>
              <w:pStyle w:val="34"/>
            </w:pPr>
            <w:r>
              <w:rPr>
                <w:rFonts w:hint="eastAsia"/>
              </w:rPr>
              <w:t>0.15</w:t>
            </w:r>
          </w:p>
        </w:tc>
        <w:tc>
          <w:tcPr>
            <w:tcW w:w="1166" w:type="dxa"/>
            <w:vAlign w:val="center"/>
          </w:tcPr>
          <w:p w14:paraId="36BE3FCE">
            <w:pPr>
              <w:pStyle w:val="34"/>
            </w:pPr>
            <w:r>
              <w:rPr>
                <w:rFonts w:hint="eastAsia"/>
              </w:rPr>
              <w:t>10</w:t>
            </w:r>
          </w:p>
        </w:tc>
        <w:tc>
          <w:tcPr>
            <w:tcW w:w="1369" w:type="dxa"/>
            <w:vAlign w:val="center"/>
          </w:tcPr>
          <w:p w14:paraId="3BA282CD">
            <w:pPr>
              <w:pStyle w:val="34"/>
            </w:pPr>
            <w:r>
              <w:rPr>
                <w:rFonts w:hint="eastAsia"/>
              </w:rPr>
              <w:t>135kg</w:t>
            </w:r>
          </w:p>
        </w:tc>
        <w:tc>
          <w:tcPr>
            <w:tcW w:w="908" w:type="dxa"/>
            <w:vAlign w:val="center"/>
          </w:tcPr>
          <w:p w14:paraId="6480B874">
            <w:pPr>
              <w:pStyle w:val="34"/>
            </w:pPr>
            <w:r>
              <w:t>—</w:t>
            </w:r>
          </w:p>
        </w:tc>
        <w:tc>
          <w:tcPr>
            <w:tcW w:w="1004" w:type="dxa"/>
            <w:vAlign w:val="center"/>
          </w:tcPr>
          <w:p w14:paraId="39312D02">
            <w:pPr>
              <w:pStyle w:val="34"/>
            </w:pPr>
            <w:r>
              <w:t>—</w:t>
            </w:r>
          </w:p>
        </w:tc>
        <w:tc>
          <w:tcPr>
            <w:tcW w:w="861" w:type="dxa"/>
            <w:vAlign w:val="center"/>
          </w:tcPr>
          <w:p w14:paraId="2E986AA9">
            <w:pPr>
              <w:pStyle w:val="34"/>
            </w:pPr>
            <w:r>
              <w:t>—</w:t>
            </w:r>
          </w:p>
        </w:tc>
      </w:tr>
      <w:tr w14:paraId="66683F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51" w:type="dxa"/>
            <w:vMerge w:val="continue"/>
            <w:vAlign w:val="center"/>
          </w:tcPr>
          <w:p w14:paraId="55305B3A">
            <w:pPr>
              <w:pStyle w:val="34"/>
            </w:pPr>
          </w:p>
        </w:tc>
        <w:tc>
          <w:tcPr>
            <w:tcW w:w="801" w:type="dxa"/>
            <w:vAlign w:val="center"/>
          </w:tcPr>
          <w:p w14:paraId="3B2898DC">
            <w:pPr>
              <w:pStyle w:val="34"/>
            </w:pPr>
            <w:r>
              <w:rPr>
                <w:rFonts w:hint="eastAsia"/>
              </w:rPr>
              <w:t>SO</w:t>
            </w:r>
            <w:r>
              <w:rPr>
                <w:rFonts w:hint="eastAsia"/>
                <w:vertAlign w:val="subscript"/>
              </w:rPr>
              <w:t>2</w:t>
            </w:r>
          </w:p>
        </w:tc>
        <w:tc>
          <w:tcPr>
            <w:tcW w:w="1262" w:type="dxa"/>
            <w:vAlign w:val="center"/>
          </w:tcPr>
          <w:p w14:paraId="1F7D1321">
            <w:pPr>
              <w:pStyle w:val="34"/>
            </w:pPr>
            <w:r>
              <w:rPr>
                <w:rFonts w:hint="eastAsia"/>
              </w:rPr>
              <w:t>0.03</w:t>
            </w:r>
          </w:p>
        </w:tc>
        <w:tc>
          <w:tcPr>
            <w:tcW w:w="1166" w:type="dxa"/>
            <w:vAlign w:val="center"/>
          </w:tcPr>
          <w:p w14:paraId="1C539F59">
            <w:pPr>
              <w:pStyle w:val="34"/>
            </w:pPr>
            <w:r>
              <w:rPr>
                <w:rFonts w:hint="eastAsia"/>
              </w:rPr>
              <w:t>10</w:t>
            </w:r>
          </w:p>
        </w:tc>
        <w:tc>
          <w:tcPr>
            <w:tcW w:w="1369" w:type="dxa"/>
            <w:vAlign w:val="center"/>
          </w:tcPr>
          <w:p w14:paraId="4F14E250">
            <w:pPr>
              <w:pStyle w:val="34"/>
            </w:pPr>
            <w:r>
              <w:rPr>
                <w:rFonts w:hint="eastAsia"/>
              </w:rPr>
              <w:t>23kg</w:t>
            </w:r>
          </w:p>
        </w:tc>
        <w:tc>
          <w:tcPr>
            <w:tcW w:w="908" w:type="dxa"/>
            <w:vAlign w:val="center"/>
          </w:tcPr>
          <w:p w14:paraId="6F3AEDC1">
            <w:pPr>
              <w:pStyle w:val="34"/>
            </w:pPr>
            <w:r>
              <w:t>—</w:t>
            </w:r>
          </w:p>
        </w:tc>
        <w:tc>
          <w:tcPr>
            <w:tcW w:w="1004" w:type="dxa"/>
            <w:vAlign w:val="center"/>
          </w:tcPr>
          <w:p w14:paraId="42BFE506">
            <w:pPr>
              <w:pStyle w:val="34"/>
            </w:pPr>
            <w:r>
              <w:t>—</w:t>
            </w:r>
          </w:p>
        </w:tc>
        <w:tc>
          <w:tcPr>
            <w:tcW w:w="861" w:type="dxa"/>
            <w:vAlign w:val="center"/>
          </w:tcPr>
          <w:p w14:paraId="56C1DDD6">
            <w:pPr>
              <w:pStyle w:val="34"/>
            </w:pPr>
            <w:r>
              <w:t>—</w:t>
            </w:r>
          </w:p>
        </w:tc>
      </w:tr>
      <w:tr w14:paraId="11D792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51" w:type="dxa"/>
            <w:vMerge w:val="continue"/>
            <w:vAlign w:val="center"/>
          </w:tcPr>
          <w:p w14:paraId="485C96CA">
            <w:pPr>
              <w:pStyle w:val="34"/>
            </w:pPr>
          </w:p>
        </w:tc>
        <w:tc>
          <w:tcPr>
            <w:tcW w:w="801" w:type="dxa"/>
            <w:vAlign w:val="center"/>
          </w:tcPr>
          <w:p w14:paraId="2311A4CB">
            <w:pPr>
              <w:pStyle w:val="34"/>
            </w:pPr>
            <w:r>
              <w:rPr>
                <w:rFonts w:hint="eastAsia"/>
              </w:rPr>
              <w:t>P</w:t>
            </w:r>
            <w:r>
              <w:rPr>
                <w:rFonts w:hint="eastAsia"/>
                <w:vertAlign w:val="subscript"/>
              </w:rPr>
              <w:t>2</w:t>
            </w:r>
            <w:r>
              <w:rPr>
                <w:rFonts w:hint="eastAsia"/>
              </w:rPr>
              <w:t>O</w:t>
            </w:r>
            <w:r>
              <w:rPr>
                <w:rFonts w:hint="eastAsia"/>
                <w:vertAlign w:val="subscript"/>
              </w:rPr>
              <w:t>5</w:t>
            </w:r>
          </w:p>
        </w:tc>
        <w:tc>
          <w:tcPr>
            <w:tcW w:w="1262" w:type="dxa"/>
            <w:vAlign w:val="center"/>
          </w:tcPr>
          <w:p w14:paraId="76EBB850">
            <w:pPr>
              <w:pStyle w:val="34"/>
            </w:pPr>
            <w:r>
              <w:rPr>
                <w:rFonts w:hint="eastAsia"/>
              </w:rPr>
              <w:t>0.20</w:t>
            </w:r>
          </w:p>
        </w:tc>
        <w:tc>
          <w:tcPr>
            <w:tcW w:w="1166" w:type="dxa"/>
            <w:vAlign w:val="center"/>
          </w:tcPr>
          <w:p w14:paraId="4C0ADA96">
            <w:pPr>
              <w:pStyle w:val="34"/>
            </w:pPr>
            <w:r>
              <w:rPr>
                <w:rFonts w:hint="eastAsia"/>
              </w:rPr>
              <w:t>10</w:t>
            </w:r>
          </w:p>
        </w:tc>
        <w:tc>
          <w:tcPr>
            <w:tcW w:w="1369" w:type="dxa"/>
            <w:vAlign w:val="center"/>
          </w:tcPr>
          <w:p w14:paraId="57707A57">
            <w:pPr>
              <w:pStyle w:val="34"/>
            </w:pPr>
            <w:r>
              <w:rPr>
                <w:rFonts w:hint="eastAsia"/>
              </w:rPr>
              <w:t>183.23kg</w:t>
            </w:r>
          </w:p>
        </w:tc>
        <w:tc>
          <w:tcPr>
            <w:tcW w:w="908" w:type="dxa"/>
            <w:vAlign w:val="center"/>
          </w:tcPr>
          <w:p w14:paraId="1112513F">
            <w:pPr>
              <w:pStyle w:val="34"/>
            </w:pPr>
            <w:r>
              <w:t>—</w:t>
            </w:r>
          </w:p>
        </w:tc>
        <w:tc>
          <w:tcPr>
            <w:tcW w:w="1004" w:type="dxa"/>
            <w:vAlign w:val="center"/>
          </w:tcPr>
          <w:p w14:paraId="06C3981C">
            <w:pPr>
              <w:pStyle w:val="34"/>
            </w:pPr>
            <w:r>
              <w:t>—</w:t>
            </w:r>
          </w:p>
        </w:tc>
        <w:tc>
          <w:tcPr>
            <w:tcW w:w="861" w:type="dxa"/>
            <w:vAlign w:val="center"/>
          </w:tcPr>
          <w:p w14:paraId="18AF22D2">
            <w:pPr>
              <w:pStyle w:val="34"/>
            </w:pPr>
            <w:r>
              <w:t>—</w:t>
            </w:r>
          </w:p>
        </w:tc>
      </w:tr>
      <w:tr w14:paraId="0B0203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51" w:type="dxa"/>
            <w:vMerge w:val="restart"/>
            <w:vAlign w:val="center"/>
          </w:tcPr>
          <w:p w14:paraId="160AECAB">
            <w:pPr>
              <w:pStyle w:val="34"/>
            </w:pPr>
            <w:r>
              <w:rPr>
                <w:rFonts w:hint="eastAsia"/>
              </w:rPr>
              <w:t>液态化学品蒸发</w:t>
            </w:r>
          </w:p>
        </w:tc>
        <w:tc>
          <w:tcPr>
            <w:tcW w:w="801" w:type="dxa"/>
            <w:vAlign w:val="center"/>
          </w:tcPr>
          <w:p w14:paraId="3C261DD5">
            <w:pPr>
              <w:pStyle w:val="34"/>
            </w:pPr>
            <w:r>
              <w:rPr>
                <w:rFonts w:hint="eastAsia"/>
              </w:rPr>
              <w:t>乙硫醇</w:t>
            </w:r>
          </w:p>
        </w:tc>
        <w:tc>
          <w:tcPr>
            <w:tcW w:w="1262" w:type="dxa"/>
            <w:vAlign w:val="center"/>
          </w:tcPr>
          <w:p w14:paraId="1D5359AF">
            <w:pPr>
              <w:pStyle w:val="34"/>
            </w:pPr>
            <w:r>
              <w:rPr>
                <w:rFonts w:hint="eastAsia"/>
              </w:rPr>
              <w:t>34.95</w:t>
            </w:r>
          </w:p>
        </w:tc>
        <w:tc>
          <w:tcPr>
            <w:tcW w:w="1166" w:type="dxa"/>
            <w:vAlign w:val="center"/>
          </w:tcPr>
          <w:p w14:paraId="21A4583B">
            <w:pPr>
              <w:pStyle w:val="34"/>
            </w:pPr>
            <w:r>
              <w:rPr>
                <w:rFonts w:hint="eastAsia"/>
              </w:rPr>
              <w:t>10</w:t>
            </w:r>
          </w:p>
        </w:tc>
        <w:tc>
          <w:tcPr>
            <w:tcW w:w="1369" w:type="dxa"/>
            <w:vAlign w:val="center"/>
          </w:tcPr>
          <w:p w14:paraId="38D9981D">
            <w:pPr>
              <w:pStyle w:val="34"/>
            </w:pPr>
            <w:r>
              <w:rPr>
                <w:rFonts w:hint="eastAsia"/>
              </w:rPr>
              <w:t>20975kg</w:t>
            </w:r>
          </w:p>
        </w:tc>
        <w:tc>
          <w:tcPr>
            <w:tcW w:w="908" w:type="dxa"/>
            <w:vAlign w:val="center"/>
          </w:tcPr>
          <w:p w14:paraId="0EAD71B8">
            <w:pPr>
              <w:pStyle w:val="34"/>
            </w:pPr>
            <w:r>
              <w:rPr>
                <w:rFonts w:hint="eastAsia"/>
              </w:rPr>
              <w:t>15</w:t>
            </w:r>
          </w:p>
        </w:tc>
        <w:tc>
          <w:tcPr>
            <w:tcW w:w="1004" w:type="dxa"/>
            <w:vAlign w:val="center"/>
          </w:tcPr>
          <w:p w14:paraId="2EF069E0">
            <w:pPr>
              <w:pStyle w:val="34"/>
            </w:pPr>
            <w:r>
              <w:rPr>
                <w:rFonts w:hint="eastAsia"/>
              </w:rPr>
              <w:t>0.402</w:t>
            </w:r>
          </w:p>
        </w:tc>
        <w:tc>
          <w:tcPr>
            <w:tcW w:w="861" w:type="dxa"/>
            <w:vAlign w:val="center"/>
          </w:tcPr>
          <w:p w14:paraId="581A7B88">
            <w:pPr>
              <w:pStyle w:val="34"/>
            </w:pPr>
            <w:r>
              <w:rPr>
                <w:rFonts w:hint="eastAsia"/>
              </w:rPr>
              <w:t>361.8</w:t>
            </w:r>
          </w:p>
        </w:tc>
      </w:tr>
      <w:tr w14:paraId="64B8B0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51" w:type="dxa"/>
            <w:vMerge w:val="continue"/>
            <w:vAlign w:val="center"/>
          </w:tcPr>
          <w:p w14:paraId="6747393B">
            <w:pPr>
              <w:pStyle w:val="34"/>
            </w:pPr>
          </w:p>
        </w:tc>
        <w:tc>
          <w:tcPr>
            <w:tcW w:w="801" w:type="dxa"/>
            <w:vAlign w:val="center"/>
          </w:tcPr>
          <w:p w14:paraId="326B8CB6">
            <w:pPr>
              <w:pStyle w:val="34"/>
            </w:pPr>
            <w:r>
              <w:rPr>
                <w:rFonts w:hint="eastAsia"/>
              </w:rPr>
              <w:t>丙烯腈</w:t>
            </w:r>
          </w:p>
        </w:tc>
        <w:tc>
          <w:tcPr>
            <w:tcW w:w="1262" w:type="dxa"/>
            <w:vAlign w:val="center"/>
          </w:tcPr>
          <w:p w14:paraId="6301FAC1">
            <w:pPr>
              <w:pStyle w:val="34"/>
              <w:rPr>
                <w:kern w:val="0"/>
              </w:rPr>
            </w:pPr>
            <w:r>
              <w:rPr>
                <w:rFonts w:hint="eastAsia"/>
                <w:kern w:val="0"/>
              </w:rPr>
              <w:t>0.26</w:t>
            </w:r>
          </w:p>
        </w:tc>
        <w:tc>
          <w:tcPr>
            <w:tcW w:w="1166" w:type="dxa"/>
            <w:vAlign w:val="center"/>
          </w:tcPr>
          <w:p w14:paraId="5DFDB9BE">
            <w:pPr>
              <w:pStyle w:val="34"/>
            </w:pPr>
            <w:r>
              <w:rPr>
                <w:rFonts w:hint="eastAsia"/>
              </w:rPr>
              <w:t>10</w:t>
            </w:r>
          </w:p>
        </w:tc>
        <w:tc>
          <w:tcPr>
            <w:tcW w:w="1369" w:type="dxa"/>
            <w:vAlign w:val="center"/>
          </w:tcPr>
          <w:p w14:paraId="69CBA2FC">
            <w:pPr>
              <w:pStyle w:val="34"/>
              <w:rPr>
                <w:kern w:val="0"/>
              </w:rPr>
            </w:pPr>
            <w:r>
              <w:rPr>
                <w:rFonts w:hint="eastAsia"/>
                <w:kern w:val="0"/>
              </w:rPr>
              <w:t>160kg</w:t>
            </w:r>
          </w:p>
        </w:tc>
        <w:tc>
          <w:tcPr>
            <w:tcW w:w="908" w:type="dxa"/>
            <w:vAlign w:val="center"/>
          </w:tcPr>
          <w:p w14:paraId="44388C24">
            <w:pPr>
              <w:pStyle w:val="34"/>
            </w:pPr>
            <w:r>
              <w:rPr>
                <w:rFonts w:hint="eastAsia"/>
              </w:rPr>
              <w:t>15</w:t>
            </w:r>
          </w:p>
        </w:tc>
        <w:tc>
          <w:tcPr>
            <w:tcW w:w="1004" w:type="dxa"/>
            <w:vAlign w:val="center"/>
          </w:tcPr>
          <w:p w14:paraId="48651ED0">
            <w:pPr>
              <w:pStyle w:val="34"/>
            </w:pPr>
            <w:r>
              <w:rPr>
                <w:rFonts w:hint="eastAsia"/>
              </w:rPr>
              <w:t>0.004</w:t>
            </w:r>
          </w:p>
        </w:tc>
        <w:tc>
          <w:tcPr>
            <w:tcW w:w="861" w:type="dxa"/>
            <w:vAlign w:val="center"/>
          </w:tcPr>
          <w:p w14:paraId="6A5BF451">
            <w:pPr>
              <w:pStyle w:val="34"/>
            </w:pPr>
            <w:r>
              <w:rPr>
                <w:rFonts w:hint="eastAsia"/>
              </w:rPr>
              <w:t>3.6</w:t>
            </w:r>
          </w:p>
        </w:tc>
      </w:tr>
      <w:tr w14:paraId="5BCFFC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51" w:type="dxa"/>
            <w:vMerge w:val="continue"/>
            <w:vAlign w:val="center"/>
          </w:tcPr>
          <w:p w14:paraId="1C5FA4BD">
            <w:pPr>
              <w:pStyle w:val="34"/>
            </w:pPr>
          </w:p>
        </w:tc>
        <w:tc>
          <w:tcPr>
            <w:tcW w:w="801" w:type="dxa"/>
            <w:vAlign w:val="center"/>
          </w:tcPr>
          <w:p w14:paraId="1C3F94BE">
            <w:pPr>
              <w:pStyle w:val="34"/>
            </w:pPr>
            <w:r>
              <w:rPr>
                <w:rFonts w:hint="eastAsia"/>
              </w:rPr>
              <w:t>氟化氢</w:t>
            </w:r>
          </w:p>
        </w:tc>
        <w:tc>
          <w:tcPr>
            <w:tcW w:w="1262" w:type="dxa"/>
            <w:vAlign w:val="center"/>
          </w:tcPr>
          <w:p w14:paraId="4E3A0BB3">
            <w:pPr>
              <w:pStyle w:val="34"/>
              <w:rPr>
                <w:kern w:val="0"/>
              </w:rPr>
            </w:pPr>
            <w:r>
              <w:rPr>
                <w:rFonts w:hint="eastAsia"/>
                <w:kern w:val="0"/>
              </w:rPr>
              <w:t>16.67</w:t>
            </w:r>
          </w:p>
        </w:tc>
        <w:tc>
          <w:tcPr>
            <w:tcW w:w="1166" w:type="dxa"/>
            <w:vAlign w:val="center"/>
          </w:tcPr>
          <w:p w14:paraId="23DFA13B">
            <w:pPr>
              <w:pStyle w:val="34"/>
            </w:pPr>
            <w:r>
              <w:rPr>
                <w:rFonts w:hint="eastAsia"/>
              </w:rPr>
              <w:t>10</w:t>
            </w:r>
          </w:p>
        </w:tc>
        <w:tc>
          <w:tcPr>
            <w:tcW w:w="1369" w:type="dxa"/>
            <w:vAlign w:val="center"/>
          </w:tcPr>
          <w:p w14:paraId="553907AF">
            <w:pPr>
              <w:pStyle w:val="34"/>
              <w:rPr>
                <w:kern w:val="0"/>
              </w:rPr>
            </w:pPr>
            <w:r>
              <w:rPr>
                <w:rFonts w:hint="eastAsia"/>
              </w:rPr>
              <w:t>1000</w:t>
            </w:r>
            <w:r>
              <w:t>kg</w:t>
            </w:r>
          </w:p>
        </w:tc>
        <w:tc>
          <w:tcPr>
            <w:tcW w:w="908" w:type="dxa"/>
            <w:vAlign w:val="center"/>
          </w:tcPr>
          <w:p w14:paraId="07E8A7B5">
            <w:pPr>
              <w:pStyle w:val="34"/>
            </w:pPr>
            <w:r>
              <w:rPr>
                <w:rFonts w:hint="eastAsia"/>
              </w:rPr>
              <w:t>15</w:t>
            </w:r>
          </w:p>
        </w:tc>
        <w:tc>
          <w:tcPr>
            <w:tcW w:w="1004" w:type="dxa"/>
            <w:vAlign w:val="center"/>
          </w:tcPr>
          <w:p w14:paraId="03768A26">
            <w:pPr>
              <w:pStyle w:val="34"/>
            </w:pPr>
            <w:r>
              <w:rPr>
                <w:rFonts w:hint="eastAsia"/>
              </w:rPr>
              <w:t>0.012</w:t>
            </w:r>
          </w:p>
        </w:tc>
        <w:tc>
          <w:tcPr>
            <w:tcW w:w="861" w:type="dxa"/>
            <w:vAlign w:val="center"/>
          </w:tcPr>
          <w:p w14:paraId="759E7A8A">
            <w:pPr>
              <w:pStyle w:val="34"/>
            </w:pPr>
            <w:r>
              <w:rPr>
                <w:rFonts w:hint="eastAsia"/>
              </w:rPr>
              <w:t>10.86</w:t>
            </w:r>
          </w:p>
        </w:tc>
      </w:tr>
    </w:tbl>
    <w:p w14:paraId="5F932D60">
      <w:pPr>
        <w:ind w:firstLine="437"/>
        <w:sectPr>
          <w:pgSz w:w="11907" w:h="16840"/>
          <w:pgMar w:top="1440" w:right="1514" w:bottom="1440" w:left="1797" w:header="992" w:footer="851" w:gutter="284"/>
          <w:pgNumType w:fmt="numberInDash"/>
          <w:cols w:space="425" w:num="1"/>
          <w:docGrid w:type="linesAndChars" w:linePitch="465" w:charSpace="-4355"/>
        </w:sectPr>
      </w:pPr>
    </w:p>
    <w:p w14:paraId="2BA0DD8A">
      <w:pPr>
        <w:pStyle w:val="7"/>
      </w:pPr>
      <w:r>
        <w:t>本项目环境风险源强一览表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77"/>
        <w:gridCol w:w="1614"/>
        <w:gridCol w:w="2081"/>
        <w:gridCol w:w="1153"/>
        <w:gridCol w:w="683"/>
        <w:gridCol w:w="1620"/>
        <w:gridCol w:w="1494"/>
        <w:gridCol w:w="1538"/>
        <w:gridCol w:w="1095"/>
        <w:gridCol w:w="1153"/>
        <w:gridCol w:w="768"/>
      </w:tblGrid>
      <w:tr w14:paraId="6CFD35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gridSpan w:val="2"/>
            <w:tcBorders>
              <w:top w:val="single" w:color="auto" w:sz="12" w:space="0"/>
              <w:left w:val="single" w:color="auto" w:sz="12" w:space="0"/>
              <w:bottom w:val="single" w:color="auto" w:sz="6" w:space="0"/>
              <w:right w:val="single" w:color="auto" w:sz="6" w:space="0"/>
            </w:tcBorders>
            <w:vAlign w:val="center"/>
          </w:tcPr>
          <w:p w14:paraId="62D92404">
            <w:pPr>
              <w:pStyle w:val="34"/>
            </w:pPr>
            <w:r>
              <w:t>风险事故情形描述</w:t>
            </w:r>
          </w:p>
        </w:tc>
        <w:tc>
          <w:tcPr>
            <w:tcW w:w="0" w:type="auto"/>
            <w:tcBorders>
              <w:top w:val="single" w:color="auto" w:sz="12" w:space="0"/>
              <w:left w:val="single" w:color="auto" w:sz="6" w:space="0"/>
              <w:bottom w:val="single" w:color="auto" w:sz="6" w:space="0"/>
              <w:right w:val="single" w:color="auto" w:sz="6" w:space="0"/>
            </w:tcBorders>
            <w:vAlign w:val="center"/>
          </w:tcPr>
          <w:p w14:paraId="2889A582">
            <w:pPr>
              <w:pStyle w:val="34"/>
            </w:pPr>
            <w:r>
              <w:t>危险</w:t>
            </w:r>
          </w:p>
          <w:p w14:paraId="3B39FF13">
            <w:pPr>
              <w:pStyle w:val="34"/>
            </w:pPr>
            <w:r>
              <w:t>单元</w:t>
            </w:r>
          </w:p>
        </w:tc>
        <w:tc>
          <w:tcPr>
            <w:tcW w:w="0" w:type="auto"/>
            <w:tcBorders>
              <w:top w:val="single" w:color="auto" w:sz="12" w:space="0"/>
              <w:left w:val="single" w:color="auto" w:sz="6" w:space="0"/>
              <w:bottom w:val="single" w:color="auto" w:sz="6" w:space="0"/>
              <w:right w:val="single" w:color="auto" w:sz="6" w:space="0"/>
            </w:tcBorders>
            <w:vAlign w:val="center"/>
          </w:tcPr>
          <w:p w14:paraId="7AC47081">
            <w:pPr>
              <w:pStyle w:val="34"/>
            </w:pPr>
            <w:r>
              <w:t>危险</w:t>
            </w:r>
          </w:p>
          <w:p w14:paraId="57B90453">
            <w:pPr>
              <w:pStyle w:val="34"/>
            </w:pPr>
            <w:r>
              <w:t>物质</w:t>
            </w:r>
          </w:p>
        </w:tc>
        <w:tc>
          <w:tcPr>
            <w:tcW w:w="0" w:type="auto"/>
            <w:tcBorders>
              <w:top w:val="single" w:color="auto" w:sz="12" w:space="0"/>
              <w:left w:val="single" w:color="auto" w:sz="6" w:space="0"/>
              <w:bottom w:val="single" w:color="auto" w:sz="6" w:space="0"/>
              <w:right w:val="single" w:color="auto" w:sz="6" w:space="0"/>
            </w:tcBorders>
            <w:vAlign w:val="center"/>
          </w:tcPr>
          <w:p w14:paraId="47329BC4">
            <w:pPr>
              <w:pStyle w:val="34"/>
            </w:pPr>
            <w:r>
              <w:t>影响</w:t>
            </w:r>
          </w:p>
          <w:p w14:paraId="6FE7B8D2">
            <w:pPr>
              <w:pStyle w:val="34"/>
            </w:pPr>
            <w:r>
              <w:t>途径</w:t>
            </w:r>
          </w:p>
        </w:tc>
        <w:tc>
          <w:tcPr>
            <w:tcW w:w="0" w:type="auto"/>
            <w:tcBorders>
              <w:top w:val="single" w:color="auto" w:sz="12" w:space="0"/>
              <w:left w:val="single" w:color="auto" w:sz="6" w:space="0"/>
              <w:bottom w:val="single" w:color="auto" w:sz="6" w:space="0"/>
              <w:right w:val="single" w:color="auto" w:sz="6" w:space="0"/>
            </w:tcBorders>
            <w:vAlign w:val="center"/>
          </w:tcPr>
          <w:p w14:paraId="27AA33DF">
            <w:pPr>
              <w:pStyle w:val="34"/>
            </w:pPr>
            <w:r>
              <w:t>释放或泄漏速率kg/s</w:t>
            </w:r>
          </w:p>
        </w:tc>
        <w:tc>
          <w:tcPr>
            <w:tcW w:w="0" w:type="auto"/>
            <w:tcBorders>
              <w:top w:val="single" w:color="auto" w:sz="12" w:space="0"/>
              <w:left w:val="single" w:color="auto" w:sz="6" w:space="0"/>
              <w:bottom w:val="single" w:color="auto" w:sz="6" w:space="0"/>
              <w:right w:val="single" w:color="auto" w:sz="6" w:space="0"/>
            </w:tcBorders>
            <w:vAlign w:val="center"/>
          </w:tcPr>
          <w:p w14:paraId="4794B4EC">
            <w:pPr>
              <w:pStyle w:val="34"/>
            </w:pPr>
            <w:r>
              <w:t>释放或泄漏时间min</w:t>
            </w:r>
          </w:p>
        </w:tc>
        <w:tc>
          <w:tcPr>
            <w:tcW w:w="0" w:type="auto"/>
            <w:tcBorders>
              <w:top w:val="single" w:color="auto" w:sz="12" w:space="0"/>
              <w:left w:val="single" w:color="auto" w:sz="6" w:space="0"/>
              <w:bottom w:val="single" w:color="auto" w:sz="6" w:space="0"/>
              <w:right w:val="single" w:color="auto" w:sz="6" w:space="0"/>
            </w:tcBorders>
            <w:vAlign w:val="center"/>
          </w:tcPr>
          <w:p w14:paraId="2EEDA371">
            <w:pPr>
              <w:pStyle w:val="34"/>
            </w:pPr>
            <w:r>
              <w:t>最大释放或泄漏量</w:t>
            </w:r>
          </w:p>
        </w:tc>
        <w:tc>
          <w:tcPr>
            <w:tcW w:w="0" w:type="auto"/>
            <w:tcBorders>
              <w:top w:val="single" w:color="auto" w:sz="12" w:space="0"/>
              <w:left w:val="single" w:color="auto" w:sz="6" w:space="0"/>
              <w:bottom w:val="single" w:color="auto" w:sz="6" w:space="0"/>
              <w:right w:val="single" w:color="auto" w:sz="6" w:space="0"/>
            </w:tcBorders>
            <w:vAlign w:val="center"/>
          </w:tcPr>
          <w:p w14:paraId="6DA3FA7E">
            <w:pPr>
              <w:pStyle w:val="34"/>
              <w:rPr>
                <w:b/>
              </w:rPr>
            </w:pPr>
            <w:r>
              <w:t>蒸发时间min</w:t>
            </w:r>
          </w:p>
        </w:tc>
        <w:tc>
          <w:tcPr>
            <w:tcW w:w="0" w:type="auto"/>
            <w:tcBorders>
              <w:top w:val="single" w:color="auto" w:sz="12" w:space="0"/>
              <w:left w:val="single" w:color="auto" w:sz="6" w:space="0"/>
              <w:bottom w:val="single" w:color="auto" w:sz="6" w:space="0"/>
              <w:right w:val="single" w:color="auto" w:sz="6" w:space="0"/>
            </w:tcBorders>
            <w:vAlign w:val="center"/>
          </w:tcPr>
          <w:p w14:paraId="5AD202E9">
            <w:pPr>
              <w:pStyle w:val="34"/>
              <w:rPr>
                <w:b/>
              </w:rPr>
            </w:pPr>
            <w:r>
              <w:t>蒸发速率kg/s</w:t>
            </w:r>
          </w:p>
        </w:tc>
        <w:tc>
          <w:tcPr>
            <w:tcW w:w="0" w:type="auto"/>
            <w:tcBorders>
              <w:top w:val="single" w:color="auto" w:sz="12" w:space="0"/>
              <w:left w:val="single" w:color="auto" w:sz="6" w:space="0"/>
              <w:bottom w:val="single" w:color="auto" w:sz="6" w:space="0"/>
            </w:tcBorders>
            <w:vAlign w:val="center"/>
          </w:tcPr>
          <w:p w14:paraId="1886D660">
            <w:pPr>
              <w:pStyle w:val="34"/>
            </w:pPr>
            <w:r>
              <w:rPr>
                <w:rFonts w:hint="eastAsia"/>
              </w:rPr>
              <w:t>蒸发量</w:t>
            </w:r>
          </w:p>
          <w:p w14:paraId="45C68C32">
            <w:pPr>
              <w:pStyle w:val="34"/>
              <w:rPr>
                <w:b/>
              </w:rPr>
            </w:pPr>
            <w:r>
              <w:rPr>
                <w:rFonts w:hint="eastAsia"/>
              </w:rPr>
              <w:t>kg</w:t>
            </w:r>
          </w:p>
        </w:tc>
      </w:tr>
      <w:tr w14:paraId="771540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tcBorders>
              <w:top w:val="single" w:color="auto" w:sz="6" w:space="0"/>
              <w:left w:val="single" w:color="auto" w:sz="12" w:space="0"/>
              <w:bottom w:val="single" w:color="auto" w:sz="6" w:space="0"/>
              <w:right w:val="single" w:color="auto" w:sz="6" w:space="0"/>
            </w:tcBorders>
            <w:vAlign w:val="center"/>
          </w:tcPr>
          <w:p w14:paraId="48E91A39">
            <w:pPr>
              <w:pStyle w:val="34"/>
            </w:pPr>
            <w:bookmarkStart w:id="559" w:name="OLE_LINK194"/>
            <w:r>
              <w:rPr>
                <w:rFonts w:hint="eastAsia"/>
              </w:rPr>
              <w:t>CO</w:t>
            </w:r>
            <w:bookmarkEnd w:id="559"/>
            <w:r>
              <w:rPr>
                <w:rFonts w:hint="eastAsia"/>
              </w:rPr>
              <w:t>泄露</w:t>
            </w:r>
          </w:p>
        </w:tc>
        <w:tc>
          <w:tcPr>
            <w:tcW w:w="0" w:type="auto"/>
            <w:tcBorders>
              <w:top w:val="single" w:color="auto" w:sz="6" w:space="0"/>
              <w:left w:val="single" w:color="auto" w:sz="6" w:space="0"/>
              <w:bottom w:val="single" w:color="auto" w:sz="6" w:space="0"/>
              <w:right w:val="single" w:color="auto" w:sz="6" w:space="0"/>
            </w:tcBorders>
            <w:vAlign w:val="center"/>
          </w:tcPr>
          <w:p w14:paraId="319FE921">
            <w:pPr>
              <w:pStyle w:val="34"/>
            </w:pPr>
            <w:r>
              <w:rPr>
                <w:rFonts w:hint="eastAsia"/>
              </w:rPr>
              <w:t>气体泄漏</w:t>
            </w:r>
          </w:p>
        </w:tc>
        <w:tc>
          <w:tcPr>
            <w:tcW w:w="0" w:type="auto"/>
            <w:vMerge w:val="restart"/>
            <w:tcBorders>
              <w:top w:val="single" w:color="auto" w:sz="6" w:space="0"/>
              <w:left w:val="single" w:color="auto" w:sz="6" w:space="0"/>
              <w:bottom w:val="single" w:color="auto" w:sz="6" w:space="0"/>
              <w:right w:val="single" w:color="auto" w:sz="6" w:space="0"/>
            </w:tcBorders>
            <w:vAlign w:val="center"/>
          </w:tcPr>
          <w:p w14:paraId="5EBF6A75">
            <w:pPr>
              <w:pStyle w:val="34"/>
            </w:pPr>
            <w:r>
              <w:t>码头前沿、候装点、运输道路</w:t>
            </w:r>
          </w:p>
          <w:p w14:paraId="7063F1AD">
            <w:pPr>
              <w:pStyle w:val="34"/>
            </w:pPr>
          </w:p>
        </w:tc>
        <w:tc>
          <w:tcPr>
            <w:tcW w:w="0" w:type="auto"/>
            <w:tcBorders>
              <w:top w:val="single" w:color="auto" w:sz="6" w:space="0"/>
              <w:left w:val="single" w:color="auto" w:sz="6" w:space="0"/>
              <w:bottom w:val="single" w:color="auto" w:sz="6" w:space="0"/>
              <w:right w:val="single" w:color="auto" w:sz="6" w:space="0"/>
            </w:tcBorders>
            <w:vAlign w:val="center"/>
          </w:tcPr>
          <w:p w14:paraId="453B7E9F">
            <w:pPr>
              <w:pStyle w:val="34"/>
            </w:pPr>
            <w:r>
              <w:rPr>
                <w:rFonts w:hint="eastAsia"/>
              </w:rPr>
              <w:t>CO</w:t>
            </w:r>
          </w:p>
        </w:tc>
        <w:tc>
          <w:tcPr>
            <w:tcW w:w="0" w:type="auto"/>
            <w:tcBorders>
              <w:top w:val="single" w:color="auto" w:sz="6" w:space="0"/>
              <w:left w:val="single" w:color="auto" w:sz="6" w:space="0"/>
              <w:bottom w:val="single" w:color="auto" w:sz="6" w:space="0"/>
              <w:right w:val="single" w:color="auto" w:sz="6" w:space="0"/>
            </w:tcBorders>
            <w:vAlign w:val="center"/>
          </w:tcPr>
          <w:p w14:paraId="16756E82">
            <w:pPr>
              <w:pStyle w:val="34"/>
            </w:pPr>
            <w:r>
              <w:rPr>
                <w:rFonts w:hint="eastAsia"/>
              </w:rPr>
              <w:t>大气</w:t>
            </w:r>
          </w:p>
        </w:tc>
        <w:tc>
          <w:tcPr>
            <w:tcW w:w="0" w:type="auto"/>
            <w:tcBorders>
              <w:top w:val="single" w:color="auto" w:sz="6" w:space="0"/>
              <w:left w:val="single" w:color="auto" w:sz="6" w:space="0"/>
              <w:bottom w:val="single" w:color="auto" w:sz="6" w:space="0"/>
              <w:right w:val="single" w:color="auto" w:sz="6" w:space="0"/>
            </w:tcBorders>
            <w:vAlign w:val="center"/>
          </w:tcPr>
          <w:p w14:paraId="321D356A">
            <w:pPr>
              <w:pStyle w:val="34"/>
            </w:pPr>
            <w:r>
              <w:rPr>
                <w:rFonts w:hint="eastAsia"/>
              </w:rPr>
              <w:t>0.024</w:t>
            </w:r>
          </w:p>
        </w:tc>
        <w:tc>
          <w:tcPr>
            <w:tcW w:w="0" w:type="auto"/>
            <w:tcBorders>
              <w:top w:val="single" w:color="auto" w:sz="6" w:space="0"/>
              <w:left w:val="single" w:color="auto" w:sz="6" w:space="0"/>
              <w:bottom w:val="single" w:color="auto" w:sz="6" w:space="0"/>
              <w:right w:val="single" w:color="auto" w:sz="6" w:space="0"/>
            </w:tcBorders>
            <w:vAlign w:val="center"/>
          </w:tcPr>
          <w:p w14:paraId="2596E23A">
            <w:pPr>
              <w:pStyle w:val="34"/>
            </w:pPr>
            <w:r>
              <w:rPr>
                <w:rFonts w:hint="eastAsia"/>
              </w:rPr>
              <w:t>15</w:t>
            </w:r>
          </w:p>
        </w:tc>
        <w:tc>
          <w:tcPr>
            <w:tcW w:w="0" w:type="auto"/>
            <w:tcBorders>
              <w:top w:val="single" w:color="auto" w:sz="6" w:space="0"/>
              <w:left w:val="single" w:color="auto" w:sz="6" w:space="0"/>
              <w:bottom w:val="single" w:color="auto" w:sz="6" w:space="0"/>
              <w:right w:val="single" w:color="auto" w:sz="6" w:space="0"/>
            </w:tcBorders>
            <w:vAlign w:val="center"/>
          </w:tcPr>
          <w:p w14:paraId="28717FD2">
            <w:pPr>
              <w:pStyle w:val="34"/>
            </w:pPr>
            <w:r>
              <w:rPr>
                <w:rFonts w:hint="eastAsia"/>
              </w:rPr>
              <w:t>21.6kg</w:t>
            </w:r>
          </w:p>
        </w:tc>
        <w:tc>
          <w:tcPr>
            <w:tcW w:w="0" w:type="auto"/>
            <w:tcBorders>
              <w:top w:val="single" w:color="auto" w:sz="6" w:space="0"/>
              <w:left w:val="single" w:color="auto" w:sz="6" w:space="0"/>
              <w:bottom w:val="single" w:color="auto" w:sz="6" w:space="0"/>
              <w:right w:val="single" w:color="auto" w:sz="6" w:space="0"/>
            </w:tcBorders>
            <w:vAlign w:val="center"/>
          </w:tcPr>
          <w:p w14:paraId="25417056">
            <w:pPr>
              <w:pStyle w:val="34"/>
              <w:rPr>
                <w:b/>
              </w:rPr>
            </w:pPr>
            <w:r>
              <w:rPr>
                <w:b/>
              </w:rPr>
              <w:t>—</w:t>
            </w:r>
          </w:p>
        </w:tc>
        <w:tc>
          <w:tcPr>
            <w:tcW w:w="0" w:type="auto"/>
            <w:tcBorders>
              <w:top w:val="single" w:color="auto" w:sz="6" w:space="0"/>
              <w:left w:val="single" w:color="auto" w:sz="6" w:space="0"/>
              <w:bottom w:val="single" w:color="auto" w:sz="6" w:space="0"/>
              <w:right w:val="single" w:color="auto" w:sz="6" w:space="0"/>
            </w:tcBorders>
            <w:vAlign w:val="center"/>
          </w:tcPr>
          <w:p w14:paraId="5A7F4CF0">
            <w:pPr>
              <w:pStyle w:val="34"/>
              <w:rPr>
                <w:b/>
              </w:rPr>
            </w:pPr>
            <w:r>
              <w:rPr>
                <w:b/>
              </w:rPr>
              <w:t>—</w:t>
            </w:r>
          </w:p>
        </w:tc>
        <w:tc>
          <w:tcPr>
            <w:tcW w:w="0" w:type="auto"/>
            <w:tcBorders>
              <w:top w:val="single" w:color="auto" w:sz="6" w:space="0"/>
              <w:left w:val="single" w:color="auto" w:sz="6" w:space="0"/>
              <w:bottom w:val="single" w:color="auto" w:sz="6" w:space="0"/>
            </w:tcBorders>
            <w:vAlign w:val="center"/>
          </w:tcPr>
          <w:p w14:paraId="60B767C8">
            <w:pPr>
              <w:pStyle w:val="34"/>
              <w:rPr>
                <w:b/>
              </w:rPr>
            </w:pPr>
            <w:r>
              <w:rPr>
                <w:b/>
              </w:rPr>
              <w:t>—</w:t>
            </w:r>
          </w:p>
        </w:tc>
      </w:tr>
      <w:tr w14:paraId="40E1FE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vMerge w:val="restart"/>
            <w:tcBorders>
              <w:top w:val="single" w:color="auto" w:sz="6" w:space="0"/>
              <w:left w:val="single" w:color="auto" w:sz="12" w:space="0"/>
              <w:bottom w:val="single" w:color="auto" w:sz="6" w:space="0"/>
              <w:right w:val="single" w:color="auto" w:sz="6" w:space="0"/>
            </w:tcBorders>
            <w:vAlign w:val="center"/>
          </w:tcPr>
          <w:p w14:paraId="4C47A889">
            <w:pPr>
              <w:pStyle w:val="34"/>
            </w:pPr>
            <w:r>
              <w:rPr>
                <w:rFonts w:hint="eastAsia"/>
              </w:rPr>
              <w:t>乙硫醇泄漏</w:t>
            </w:r>
          </w:p>
        </w:tc>
        <w:tc>
          <w:tcPr>
            <w:tcW w:w="0" w:type="auto"/>
            <w:tcBorders>
              <w:top w:val="single" w:color="auto" w:sz="6" w:space="0"/>
              <w:left w:val="single" w:color="auto" w:sz="6" w:space="0"/>
              <w:bottom w:val="single" w:color="auto" w:sz="6" w:space="0"/>
              <w:right w:val="single" w:color="auto" w:sz="6" w:space="0"/>
            </w:tcBorders>
            <w:vAlign w:val="center"/>
          </w:tcPr>
          <w:p w14:paraId="74196782">
            <w:pPr>
              <w:pStyle w:val="34"/>
            </w:pPr>
            <w:r>
              <w:rPr>
                <w:rFonts w:hint="eastAsia"/>
              </w:rPr>
              <w:t>液态化学品蒸发</w:t>
            </w:r>
          </w:p>
        </w:tc>
        <w:tc>
          <w:tcPr>
            <w:tcW w:w="0" w:type="auto"/>
            <w:vMerge w:val="continue"/>
            <w:tcBorders>
              <w:top w:val="single" w:color="auto" w:sz="6" w:space="0"/>
              <w:left w:val="single" w:color="auto" w:sz="6" w:space="0"/>
              <w:bottom w:val="single" w:color="auto" w:sz="6" w:space="0"/>
              <w:right w:val="single" w:color="auto" w:sz="6" w:space="0"/>
            </w:tcBorders>
            <w:vAlign w:val="center"/>
          </w:tcPr>
          <w:p w14:paraId="0DA4DAF8">
            <w:pPr>
              <w:pStyle w:val="34"/>
            </w:pPr>
          </w:p>
        </w:tc>
        <w:tc>
          <w:tcPr>
            <w:tcW w:w="0" w:type="auto"/>
            <w:tcBorders>
              <w:top w:val="single" w:color="auto" w:sz="6" w:space="0"/>
              <w:left w:val="single" w:color="auto" w:sz="6" w:space="0"/>
              <w:bottom w:val="single" w:color="auto" w:sz="6" w:space="0"/>
              <w:right w:val="single" w:color="auto" w:sz="6" w:space="0"/>
            </w:tcBorders>
            <w:vAlign w:val="center"/>
          </w:tcPr>
          <w:p w14:paraId="08710F93">
            <w:pPr>
              <w:pStyle w:val="34"/>
              <w:rPr>
                <w:b/>
              </w:rPr>
            </w:pPr>
            <w:r>
              <w:rPr>
                <w:rFonts w:hint="eastAsia"/>
                <w:b/>
              </w:rPr>
              <w:t>乙硫醇</w:t>
            </w:r>
          </w:p>
        </w:tc>
        <w:tc>
          <w:tcPr>
            <w:tcW w:w="0" w:type="auto"/>
            <w:tcBorders>
              <w:top w:val="single" w:color="auto" w:sz="6" w:space="0"/>
              <w:left w:val="single" w:color="auto" w:sz="6" w:space="0"/>
              <w:bottom w:val="single" w:color="auto" w:sz="6" w:space="0"/>
              <w:right w:val="single" w:color="auto" w:sz="6" w:space="0"/>
            </w:tcBorders>
            <w:vAlign w:val="center"/>
          </w:tcPr>
          <w:p w14:paraId="746F25B5">
            <w:pPr>
              <w:pStyle w:val="34"/>
              <w:rPr>
                <w:b/>
              </w:rPr>
            </w:pPr>
            <w:r>
              <w:rPr>
                <w:rFonts w:hint="eastAsia"/>
                <w:b/>
              </w:rPr>
              <w:t>大气</w:t>
            </w:r>
          </w:p>
        </w:tc>
        <w:tc>
          <w:tcPr>
            <w:tcW w:w="0" w:type="auto"/>
            <w:tcBorders>
              <w:top w:val="single" w:color="auto" w:sz="6" w:space="0"/>
              <w:left w:val="single" w:color="auto" w:sz="6" w:space="0"/>
              <w:bottom w:val="single" w:color="auto" w:sz="6" w:space="0"/>
              <w:right w:val="single" w:color="auto" w:sz="6" w:space="0"/>
            </w:tcBorders>
            <w:vAlign w:val="center"/>
          </w:tcPr>
          <w:p w14:paraId="67069081">
            <w:pPr>
              <w:pStyle w:val="34"/>
              <w:rPr>
                <w:b/>
              </w:rPr>
            </w:pPr>
            <w:r>
              <w:rPr>
                <w:rFonts w:hint="eastAsia"/>
                <w:b/>
              </w:rPr>
              <w:t>34.95</w:t>
            </w:r>
          </w:p>
        </w:tc>
        <w:tc>
          <w:tcPr>
            <w:tcW w:w="0" w:type="auto"/>
            <w:tcBorders>
              <w:top w:val="single" w:color="auto" w:sz="6" w:space="0"/>
              <w:left w:val="single" w:color="auto" w:sz="6" w:space="0"/>
              <w:bottom w:val="single" w:color="auto" w:sz="6" w:space="0"/>
              <w:right w:val="single" w:color="auto" w:sz="6" w:space="0"/>
            </w:tcBorders>
            <w:vAlign w:val="center"/>
          </w:tcPr>
          <w:p w14:paraId="01E29988">
            <w:pPr>
              <w:pStyle w:val="34"/>
              <w:rPr>
                <w:b/>
              </w:rPr>
            </w:pPr>
            <w:r>
              <w:rPr>
                <w:rFonts w:hint="eastAsia"/>
                <w:b/>
              </w:rPr>
              <w:t>10</w:t>
            </w:r>
          </w:p>
        </w:tc>
        <w:tc>
          <w:tcPr>
            <w:tcW w:w="0" w:type="auto"/>
            <w:tcBorders>
              <w:top w:val="single" w:color="auto" w:sz="6" w:space="0"/>
              <w:left w:val="single" w:color="auto" w:sz="6" w:space="0"/>
              <w:bottom w:val="single" w:color="auto" w:sz="6" w:space="0"/>
              <w:right w:val="single" w:color="auto" w:sz="6" w:space="0"/>
            </w:tcBorders>
            <w:vAlign w:val="center"/>
          </w:tcPr>
          <w:p w14:paraId="6D28A2C3">
            <w:pPr>
              <w:pStyle w:val="34"/>
              <w:rPr>
                <w:b/>
              </w:rPr>
            </w:pPr>
            <w:r>
              <w:rPr>
                <w:rFonts w:hint="eastAsia"/>
                <w:b/>
              </w:rPr>
              <w:t>20975kg</w:t>
            </w:r>
          </w:p>
        </w:tc>
        <w:tc>
          <w:tcPr>
            <w:tcW w:w="0" w:type="auto"/>
            <w:tcBorders>
              <w:top w:val="single" w:color="auto" w:sz="6" w:space="0"/>
              <w:left w:val="single" w:color="auto" w:sz="6" w:space="0"/>
              <w:bottom w:val="single" w:color="auto" w:sz="6" w:space="0"/>
              <w:right w:val="single" w:color="auto" w:sz="6" w:space="0"/>
            </w:tcBorders>
            <w:vAlign w:val="center"/>
          </w:tcPr>
          <w:p w14:paraId="4AF90110">
            <w:pPr>
              <w:pStyle w:val="34"/>
              <w:rPr>
                <w:b/>
              </w:rPr>
            </w:pPr>
            <w:r>
              <w:rPr>
                <w:rFonts w:hint="eastAsia"/>
                <w:b/>
              </w:rPr>
              <w:t>15</w:t>
            </w:r>
          </w:p>
        </w:tc>
        <w:tc>
          <w:tcPr>
            <w:tcW w:w="0" w:type="auto"/>
            <w:tcBorders>
              <w:top w:val="single" w:color="auto" w:sz="6" w:space="0"/>
              <w:left w:val="single" w:color="auto" w:sz="6" w:space="0"/>
              <w:bottom w:val="single" w:color="auto" w:sz="6" w:space="0"/>
              <w:right w:val="single" w:color="auto" w:sz="6" w:space="0"/>
            </w:tcBorders>
            <w:vAlign w:val="center"/>
          </w:tcPr>
          <w:p w14:paraId="4DAA94B5">
            <w:pPr>
              <w:pStyle w:val="34"/>
              <w:rPr>
                <w:b/>
              </w:rPr>
            </w:pPr>
            <w:r>
              <w:rPr>
                <w:rFonts w:hint="eastAsia"/>
                <w:b/>
              </w:rPr>
              <w:t>0.402</w:t>
            </w:r>
          </w:p>
        </w:tc>
        <w:tc>
          <w:tcPr>
            <w:tcW w:w="0" w:type="auto"/>
            <w:tcBorders>
              <w:top w:val="single" w:color="auto" w:sz="6" w:space="0"/>
              <w:left w:val="single" w:color="auto" w:sz="6" w:space="0"/>
              <w:bottom w:val="single" w:color="auto" w:sz="6" w:space="0"/>
            </w:tcBorders>
            <w:vAlign w:val="center"/>
          </w:tcPr>
          <w:p w14:paraId="2417D20D">
            <w:pPr>
              <w:pStyle w:val="34"/>
              <w:rPr>
                <w:b/>
              </w:rPr>
            </w:pPr>
            <w:r>
              <w:rPr>
                <w:rFonts w:hint="eastAsia"/>
                <w:b/>
              </w:rPr>
              <w:t>361.8</w:t>
            </w:r>
          </w:p>
        </w:tc>
      </w:tr>
      <w:tr w14:paraId="427E99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vMerge w:val="continue"/>
            <w:tcBorders>
              <w:top w:val="single" w:color="auto" w:sz="6" w:space="0"/>
              <w:left w:val="single" w:color="auto" w:sz="12" w:space="0"/>
              <w:bottom w:val="single" w:color="auto" w:sz="6" w:space="0"/>
              <w:right w:val="single" w:color="auto" w:sz="6" w:space="0"/>
            </w:tcBorders>
            <w:vAlign w:val="center"/>
          </w:tcPr>
          <w:p w14:paraId="38F08D5F">
            <w:pPr>
              <w:pStyle w:val="34"/>
            </w:pPr>
          </w:p>
        </w:tc>
        <w:tc>
          <w:tcPr>
            <w:tcW w:w="0" w:type="auto"/>
            <w:vMerge w:val="restart"/>
            <w:tcBorders>
              <w:top w:val="single" w:color="auto" w:sz="6" w:space="0"/>
              <w:left w:val="single" w:color="auto" w:sz="6" w:space="0"/>
              <w:bottom w:val="single" w:color="auto" w:sz="6" w:space="0"/>
              <w:right w:val="single" w:color="auto" w:sz="6" w:space="0"/>
            </w:tcBorders>
            <w:vAlign w:val="center"/>
          </w:tcPr>
          <w:p w14:paraId="7F6C36EC">
            <w:pPr>
              <w:pStyle w:val="34"/>
            </w:pPr>
            <w:r>
              <w:rPr>
                <w:rFonts w:hint="eastAsia"/>
              </w:rPr>
              <w:t>火灾爆炸</w:t>
            </w:r>
          </w:p>
        </w:tc>
        <w:tc>
          <w:tcPr>
            <w:tcW w:w="0" w:type="auto"/>
            <w:vMerge w:val="continue"/>
            <w:tcBorders>
              <w:top w:val="single" w:color="auto" w:sz="6" w:space="0"/>
              <w:left w:val="single" w:color="auto" w:sz="6" w:space="0"/>
              <w:bottom w:val="single" w:color="auto" w:sz="6" w:space="0"/>
              <w:right w:val="single" w:color="auto" w:sz="6" w:space="0"/>
            </w:tcBorders>
            <w:vAlign w:val="center"/>
          </w:tcPr>
          <w:p w14:paraId="7583EB86">
            <w:pPr>
              <w:pStyle w:val="34"/>
              <w:rPr>
                <w:b/>
              </w:rPr>
            </w:pPr>
          </w:p>
        </w:tc>
        <w:tc>
          <w:tcPr>
            <w:tcW w:w="0" w:type="auto"/>
            <w:tcBorders>
              <w:top w:val="single" w:color="auto" w:sz="6" w:space="0"/>
              <w:left w:val="single" w:color="auto" w:sz="6" w:space="0"/>
              <w:bottom w:val="single" w:color="auto" w:sz="6" w:space="0"/>
              <w:right w:val="single" w:color="auto" w:sz="6" w:space="0"/>
            </w:tcBorders>
            <w:vAlign w:val="center"/>
          </w:tcPr>
          <w:p w14:paraId="60EF742E">
            <w:pPr>
              <w:pStyle w:val="34"/>
              <w:rPr>
                <w:b/>
              </w:rPr>
            </w:pPr>
            <w:r>
              <w:rPr>
                <w:rFonts w:hint="eastAsia"/>
                <w:b/>
              </w:rPr>
              <w:t>CO</w:t>
            </w:r>
          </w:p>
        </w:tc>
        <w:tc>
          <w:tcPr>
            <w:tcW w:w="0" w:type="auto"/>
            <w:tcBorders>
              <w:top w:val="single" w:color="auto" w:sz="6" w:space="0"/>
              <w:left w:val="single" w:color="auto" w:sz="6" w:space="0"/>
              <w:bottom w:val="single" w:color="auto" w:sz="6" w:space="0"/>
              <w:right w:val="single" w:color="auto" w:sz="6" w:space="0"/>
            </w:tcBorders>
            <w:vAlign w:val="center"/>
          </w:tcPr>
          <w:p w14:paraId="5D48F654">
            <w:pPr>
              <w:pStyle w:val="34"/>
              <w:rPr>
                <w:b/>
              </w:rPr>
            </w:pPr>
            <w:r>
              <w:rPr>
                <w:b/>
              </w:rPr>
              <w:t>大气</w:t>
            </w:r>
          </w:p>
        </w:tc>
        <w:tc>
          <w:tcPr>
            <w:tcW w:w="0" w:type="auto"/>
            <w:tcBorders>
              <w:top w:val="single" w:color="auto" w:sz="6" w:space="0"/>
              <w:left w:val="single" w:color="auto" w:sz="6" w:space="0"/>
              <w:bottom w:val="single" w:color="auto" w:sz="6" w:space="0"/>
              <w:right w:val="single" w:color="auto" w:sz="6" w:space="0"/>
            </w:tcBorders>
            <w:vAlign w:val="center"/>
          </w:tcPr>
          <w:p w14:paraId="531EEAC0">
            <w:pPr>
              <w:pStyle w:val="34"/>
              <w:rPr>
                <w:b/>
              </w:rPr>
            </w:pPr>
            <w:r>
              <w:rPr>
                <w:rFonts w:hint="eastAsia"/>
                <w:b/>
              </w:rPr>
              <w:t>0.15</w:t>
            </w:r>
          </w:p>
        </w:tc>
        <w:tc>
          <w:tcPr>
            <w:tcW w:w="0" w:type="auto"/>
            <w:tcBorders>
              <w:top w:val="single" w:color="auto" w:sz="6" w:space="0"/>
              <w:left w:val="single" w:color="auto" w:sz="6" w:space="0"/>
              <w:bottom w:val="single" w:color="auto" w:sz="6" w:space="0"/>
              <w:right w:val="single" w:color="auto" w:sz="6" w:space="0"/>
            </w:tcBorders>
            <w:vAlign w:val="center"/>
          </w:tcPr>
          <w:p w14:paraId="6420B9B7">
            <w:pPr>
              <w:pStyle w:val="34"/>
              <w:rPr>
                <w:b/>
              </w:rPr>
            </w:pPr>
            <w:r>
              <w:rPr>
                <w:rFonts w:hint="eastAsia"/>
                <w:b/>
              </w:rPr>
              <w:t>10</w:t>
            </w:r>
          </w:p>
        </w:tc>
        <w:tc>
          <w:tcPr>
            <w:tcW w:w="0" w:type="auto"/>
            <w:tcBorders>
              <w:top w:val="single" w:color="auto" w:sz="6" w:space="0"/>
              <w:left w:val="single" w:color="auto" w:sz="6" w:space="0"/>
              <w:bottom w:val="single" w:color="auto" w:sz="6" w:space="0"/>
              <w:right w:val="single" w:color="auto" w:sz="6" w:space="0"/>
            </w:tcBorders>
            <w:vAlign w:val="center"/>
          </w:tcPr>
          <w:p w14:paraId="568185E2">
            <w:pPr>
              <w:pStyle w:val="34"/>
              <w:rPr>
                <w:b/>
              </w:rPr>
            </w:pPr>
            <w:r>
              <w:rPr>
                <w:rFonts w:hint="eastAsia"/>
                <w:b/>
              </w:rPr>
              <w:t>135kg</w:t>
            </w:r>
          </w:p>
        </w:tc>
        <w:tc>
          <w:tcPr>
            <w:tcW w:w="0" w:type="auto"/>
            <w:tcBorders>
              <w:top w:val="single" w:color="auto" w:sz="6" w:space="0"/>
              <w:left w:val="single" w:color="auto" w:sz="6" w:space="0"/>
              <w:bottom w:val="single" w:color="auto" w:sz="6" w:space="0"/>
              <w:right w:val="single" w:color="auto" w:sz="6" w:space="0"/>
            </w:tcBorders>
            <w:vAlign w:val="center"/>
          </w:tcPr>
          <w:p w14:paraId="41FA183A">
            <w:pPr>
              <w:pStyle w:val="34"/>
              <w:rPr>
                <w:b/>
              </w:rPr>
            </w:pPr>
            <w:r>
              <w:rPr>
                <w:b/>
              </w:rPr>
              <w:t>—</w:t>
            </w:r>
          </w:p>
        </w:tc>
        <w:tc>
          <w:tcPr>
            <w:tcW w:w="0" w:type="auto"/>
            <w:tcBorders>
              <w:top w:val="single" w:color="auto" w:sz="6" w:space="0"/>
              <w:left w:val="single" w:color="auto" w:sz="6" w:space="0"/>
              <w:bottom w:val="single" w:color="auto" w:sz="6" w:space="0"/>
              <w:right w:val="single" w:color="auto" w:sz="6" w:space="0"/>
            </w:tcBorders>
            <w:vAlign w:val="center"/>
          </w:tcPr>
          <w:p w14:paraId="32803CD7">
            <w:pPr>
              <w:pStyle w:val="34"/>
              <w:rPr>
                <w:b/>
              </w:rPr>
            </w:pPr>
            <w:r>
              <w:rPr>
                <w:b/>
              </w:rPr>
              <w:t>—</w:t>
            </w:r>
          </w:p>
        </w:tc>
        <w:tc>
          <w:tcPr>
            <w:tcW w:w="0" w:type="auto"/>
            <w:tcBorders>
              <w:top w:val="single" w:color="auto" w:sz="6" w:space="0"/>
              <w:left w:val="single" w:color="auto" w:sz="6" w:space="0"/>
              <w:bottom w:val="single" w:color="auto" w:sz="6" w:space="0"/>
            </w:tcBorders>
            <w:vAlign w:val="center"/>
          </w:tcPr>
          <w:p w14:paraId="7CAAE0CA">
            <w:pPr>
              <w:pStyle w:val="34"/>
              <w:rPr>
                <w:b/>
              </w:rPr>
            </w:pPr>
            <w:r>
              <w:rPr>
                <w:b/>
              </w:rPr>
              <w:t>—</w:t>
            </w:r>
          </w:p>
        </w:tc>
      </w:tr>
      <w:tr w14:paraId="4ACF42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vMerge w:val="continue"/>
            <w:tcBorders>
              <w:top w:val="single" w:color="auto" w:sz="6" w:space="0"/>
              <w:left w:val="single" w:color="auto" w:sz="12" w:space="0"/>
              <w:bottom w:val="single" w:color="auto" w:sz="6" w:space="0"/>
              <w:right w:val="single" w:color="auto" w:sz="6" w:space="0"/>
            </w:tcBorders>
            <w:vAlign w:val="center"/>
          </w:tcPr>
          <w:p w14:paraId="0DDA31BB">
            <w:pPr>
              <w:pStyle w:val="34"/>
            </w:pPr>
          </w:p>
        </w:tc>
        <w:tc>
          <w:tcPr>
            <w:tcW w:w="0" w:type="auto"/>
            <w:vMerge w:val="continue"/>
            <w:tcBorders>
              <w:top w:val="single" w:color="auto" w:sz="6" w:space="0"/>
              <w:left w:val="single" w:color="auto" w:sz="6" w:space="0"/>
              <w:bottom w:val="single" w:color="auto" w:sz="6" w:space="0"/>
              <w:right w:val="single" w:color="auto" w:sz="6" w:space="0"/>
            </w:tcBorders>
            <w:vAlign w:val="center"/>
          </w:tcPr>
          <w:p w14:paraId="06B28909">
            <w:pPr>
              <w:pStyle w:val="34"/>
            </w:pPr>
          </w:p>
        </w:tc>
        <w:tc>
          <w:tcPr>
            <w:tcW w:w="0" w:type="auto"/>
            <w:vMerge w:val="continue"/>
            <w:tcBorders>
              <w:top w:val="single" w:color="auto" w:sz="6" w:space="0"/>
              <w:left w:val="single" w:color="auto" w:sz="6" w:space="0"/>
              <w:bottom w:val="single" w:color="auto" w:sz="6" w:space="0"/>
              <w:right w:val="single" w:color="auto" w:sz="6" w:space="0"/>
            </w:tcBorders>
            <w:vAlign w:val="center"/>
          </w:tcPr>
          <w:p w14:paraId="0A3FD74B">
            <w:pPr>
              <w:pStyle w:val="34"/>
            </w:pPr>
          </w:p>
        </w:tc>
        <w:tc>
          <w:tcPr>
            <w:tcW w:w="0" w:type="auto"/>
            <w:tcBorders>
              <w:top w:val="single" w:color="auto" w:sz="6" w:space="0"/>
              <w:left w:val="single" w:color="auto" w:sz="6" w:space="0"/>
              <w:bottom w:val="single" w:color="auto" w:sz="6" w:space="0"/>
              <w:right w:val="single" w:color="auto" w:sz="6" w:space="0"/>
            </w:tcBorders>
            <w:vAlign w:val="center"/>
          </w:tcPr>
          <w:p w14:paraId="4E33147D">
            <w:pPr>
              <w:pStyle w:val="34"/>
              <w:rPr>
                <w:b/>
              </w:rPr>
            </w:pPr>
            <w:r>
              <w:rPr>
                <w:rFonts w:hint="eastAsia"/>
                <w:b/>
              </w:rPr>
              <w:t>SO</w:t>
            </w:r>
            <w:r>
              <w:rPr>
                <w:rFonts w:hint="eastAsia"/>
                <w:b/>
                <w:vertAlign w:val="subscript"/>
              </w:rPr>
              <w:t>2</w:t>
            </w:r>
          </w:p>
        </w:tc>
        <w:tc>
          <w:tcPr>
            <w:tcW w:w="0" w:type="auto"/>
            <w:tcBorders>
              <w:top w:val="single" w:color="auto" w:sz="6" w:space="0"/>
              <w:left w:val="single" w:color="auto" w:sz="6" w:space="0"/>
              <w:bottom w:val="single" w:color="auto" w:sz="6" w:space="0"/>
              <w:right w:val="single" w:color="auto" w:sz="6" w:space="0"/>
            </w:tcBorders>
            <w:vAlign w:val="center"/>
          </w:tcPr>
          <w:p w14:paraId="18A5DAC0">
            <w:pPr>
              <w:pStyle w:val="34"/>
              <w:rPr>
                <w:b/>
              </w:rPr>
            </w:pPr>
            <w:r>
              <w:rPr>
                <w:b/>
              </w:rPr>
              <w:t>大气</w:t>
            </w:r>
          </w:p>
        </w:tc>
        <w:tc>
          <w:tcPr>
            <w:tcW w:w="0" w:type="auto"/>
            <w:tcBorders>
              <w:top w:val="single" w:color="auto" w:sz="6" w:space="0"/>
              <w:left w:val="single" w:color="auto" w:sz="6" w:space="0"/>
              <w:bottom w:val="single" w:color="auto" w:sz="6" w:space="0"/>
              <w:right w:val="single" w:color="auto" w:sz="6" w:space="0"/>
            </w:tcBorders>
            <w:vAlign w:val="center"/>
          </w:tcPr>
          <w:p w14:paraId="2DC5BB56">
            <w:pPr>
              <w:pStyle w:val="34"/>
              <w:rPr>
                <w:b/>
                <w:kern w:val="0"/>
              </w:rPr>
            </w:pPr>
            <w:r>
              <w:rPr>
                <w:rFonts w:hint="eastAsia"/>
                <w:b/>
                <w:kern w:val="0"/>
              </w:rPr>
              <w:t>0.03</w:t>
            </w:r>
          </w:p>
        </w:tc>
        <w:tc>
          <w:tcPr>
            <w:tcW w:w="0" w:type="auto"/>
            <w:tcBorders>
              <w:top w:val="single" w:color="auto" w:sz="6" w:space="0"/>
              <w:left w:val="single" w:color="auto" w:sz="6" w:space="0"/>
              <w:bottom w:val="single" w:color="auto" w:sz="6" w:space="0"/>
              <w:right w:val="single" w:color="auto" w:sz="6" w:space="0"/>
            </w:tcBorders>
            <w:vAlign w:val="center"/>
          </w:tcPr>
          <w:p w14:paraId="15B0A5F1">
            <w:pPr>
              <w:pStyle w:val="34"/>
              <w:rPr>
                <w:b/>
              </w:rPr>
            </w:pPr>
            <w:r>
              <w:rPr>
                <w:rFonts w:hint="eastAsia"/>
                <w:b/>
              </w:rPr>
              <w:t>10</w:t>
            </w:r>
          </w:p>
        </w:tc>
        <w:tc>
          <w:tcPr>
            <w:tcW w:w="0" w:type="auto"/>
            <w:tcBorders>
              <w:top w:val="single" w:color="auto" w:sz="6" w:space="0"/>
              <w:left w:val="single" w:color="auto" w:sz="6" w:space="0"/>
              <w:bottom w:val="single" w:color="auto" w:sz="6" w:space="0"/>
              <w:right w:val="single" w:color="auto" w:sz="6" w:space="0"/>
            </w:tcBorders>
            <w:vAlign w:val="center"/>
          </w:tcPr>
          <w:p w14:paraId="34DABDE8">
            <w:pPr>
              <w:pStyle w:val="34"/>
              <w:rPr>
                <w:b/>
                <w:kern w:val="0"/>
              </w:rPr>
            </w:pPr>
            <w:r>
              <w:rPr>
                <w:rFonts w:hint="eastAsia"/>
                <w:b/>
                <w:kern w:val="0"/>
              </w:rPr>
              <w:t>27kg</w:t>
            </w:r>
          </w:p>
        </w:tc>
        <w:tc>
          <w:tcPr>
            <w:tcW w:w="0" w:type="auto"/>
            <w:tcBorders>
              <w:top w:val="single" w:color="auto" w:sz="6" w:space="0"/>
              <w:left w:val="single" w:color="auto" w:sz="6" w:space="0"/>
              <w:bottom w:val="single" w:color="auto" w:sz="6" w:space="0"/>
              <w:right w:val="single" w:color="auto" w:sz="6" w:space="0"/>
            </w:tcBorders>
            <w:vAlign w:val="center"/>
          </w:tcPr>
          <w:p w14:paraId="46B43F54">
            <w:pPr>
              <w:pStyle w:val="34"/>
            </w:pPr>
            <w:r>
              <w:t>—</w:t>
            </w:r>
          </w:p>
        </w:tc>
        <w:tc>
          <w:tcPr>
            <w:tcW w:w="0" w:type="auto"/>
            <w:tcBorders>
              <w:top w:val="single" w:color="auto" w:sz="6" w:space="0"/>
              <w:left w:val="single" w:color="auto" w:sz="6" w:space="0"/>
              <w:bottom w:val="single" w:color="auto" w:sz="6" w:space="0"/>
              <w:right w:val="single" w:color="auto" w:sz="6" w:space="0"/>
            </w:tcBorders>
            <w:vAlign w:val="center"/>
          </w:tcPr>
          <w:p w14:paraId="0BEE4F63">
            <w:pPr>
              <w:pStyle w:val="34"/>
            </w:pPr>
            <w:r>
              <w:t>—</w:t>
            </w:r>
          </w:p>
        </w:tc>
        <w:tc>
          <w:tcPr>
            <w:tcW w:w="0" w:type="auto"/>
            <w:tcBorders>
              <w:top w:val="single" w:color="auto" w:sz="6" w:space="0"/>
              <w:left w:val="single" w:color="auto" w:sz="6" w:space="0"/>
              <w:bottom w:val="single" w:color="auto" w:sz="6" w:space="0"/>
            </w:tcBorders>
            <w:vAlign w:val="center"/>
          </w:tcPr>
          <w:p w14:paraId="50684296">
            <w:pPr>
              <w:pStyle w:val="34"/>
            </w:pPr>
            <w:r>
              <w:t>—</w:t>
            </w:r>
          </w:p>
        </w:tc>
      </w:tr>
      <w:tr w14:paraId="732078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vMerge w:val="restart"/>
            <w:tcBorders>
              <w:top w:val="single" w:color="auto" w:sz="6" w:space="0"/>
              <w:left w:val="single" w:color="auto" w:sz="12" w:space="0"/>
              <w:bottom w:val="single" w:color="auto" w:sz="6" w:space="0"/>
              <w:right w:val="single" w:color="auto" w:sz="6" w:space="0"/>
            </w:tcBorders>
            <w:vAlign w:val="center"/>
          </w:tcPr>
          <w:p w14:paraId="0C2859A2">
            <w:pPr>
              <w:pStyle w:val="34"/>
            </w:pPr>
            <w:r>
              <w:t>丙烯腈</w:t>
            </w:r>
            <w:r>
              <w:rPr>
                <w:rFonts w:hint="eastAsia"/>
              </w:rPr>
              <w:t>泄漏</w:t>
            </w:r>
          </w:p>
        </w:tc>
        <w:tc>
          <w:tcPr>
            <w:tcW w:w="0" w:type="auto"/>
            <w:tcBorders>
              <w:top w:val="single" w:color="auto" w:sz="6" w:space="0"/>
              <w:left w:val="single" w:color="auto" w:sz="6" w:space="0"/>
              <w:bottom w:val="single" w:color="auto" w:sz="6" w:space="0"/>
              <w:right w:val="single" w:color="auto" w:sz="6" w:space="0"/>
            </w:tcBorders>
            <w:vAlign w:val="center"/>
          </w:tcPr>
          <w:p w14:paraId="03036270">
            <w:pPr>
              <w:pStyle w:val="34"/>
            </w:pPr>
            <w:r>
              <w:rPr>
                <w:rFonts w:hint="eastAsia"/>
              </w:rPr>
              <w:t>液态化学品蒸发</w:t>
            </w:r>
          </w:p>
        </w:tc>
        <w:tc>
          <w:tcPr>
            <w:tcW w:w="0" w:type="auto"/>
            <w:vMerge w:val="continue"/>
            <w:tcBorders>
              <w:top w:val="single" w:color="auto" w:sz="6" w:space="0"/>
              <w:left w:val="single" w:color="auto" w:sz="6" w:space="0"/>
              <w:bottom w:val="single" w:color="auto" w:sz="6" w:space="0"/>
              <w:right w:val="single" w:color="auto" w:sz="6" w:space="0"/>
            </w:tcBorders>
            <w:vAlign w:val="center"/>
          </w:tcPr>
          <w:p w14:paraId="33E41A36">
            <w:pPr>
              <w:pStyle w:val="34"/>
            </w:pPr>
          </w:p>
        </w:tc>
        <w:tc>
          <w:tcPr>
            <w:tcW w:w="0" w:type="auto"/>
            <w:tcBorders>
              <w:top w:val="single" w:color="auto" w:sz="6" w:space="0"/>
              <w:left w:val="single" w:color="auto" w:sz="6" w:space="0"/>
              <w:bottom w:val="single" w:color="auto" w:sz="6" w:space="0"/>
              <w:right w:val="single" w:color="auto" w:sz="6" w:space="0"/>
            </w:tcBorders>
            <w:vAlign w:val="center"/>
          </w:tcPr>
          <w:p w14:paraId="50CE53F3">
            <w:pPr>
              <w:pStyle w:val="34"/>
              <w:rPr>
                <w:b/>
              </w:rPr>
            </w:pPr>
            <w:r>
              <w:rPr>
                <w:rFonts w:hint="eastAsia"/>
                <w:b/>
              </w:rPr>
              <w:t>丙烯腈</w:t>
            </w:r>
          </w:p>
        </w:tc>
        <w:tc>
          <w:tcPr>
            <w:tcW w:w="0" w:type="auto"/>
            <w:tcBorders>
              <w:top w:val="single" w:color="auto" w:sz="6" w:space="0"/>
              <w:left w:val="single" w:color="auto" w:sz="6" w:space="0"/>
              <w:bottom w:val="single" w:color="auto" w:sz="6" w:space="0"/>
              <w:right w:val="single" w:color="auto" w:sz="6" w:space="0"/>
            </w:tcBorders>
            <w:vAlign w:val="center"/>
          </w:tcPr>
          <w:p w14:paraId="167762F4">
            <w:pPr>
              <w:pStyle w:val="34"/>
              <w:rPr>
                <w:b/>
              </w:rPr>
            </w:pPr>
            <w:r>
              <w:rPr>
                <w:rFonts w:hint="eastAsia"/>
                <w:b/>
              </w:rPr>
              <w:t>大气</w:t>
            </w:r>
          </w:p>
        </w:tc>
        <w:tc>
          <w:tcPr>
            <w:tcW w:w="0" w:type="auto"/>
            <w:tcBorders>
              <w:top w:val="single" w:color="auto" w:sz="6" w:space="0"/>
              <w:left w:val="single" w:color="auto" w:sz="6" w:space="0"/>
              <w:bottom w:val="single" w:color="auto" w:sz="6" w:space="0"/>
              <w:right w:val="single" w:color="auto" w:sz="6" w:space="0"/>
            </w:tcBorders>
            <w:vAlign w:val="center"/>
          </w:tcPr>
          <w:p w14:paraId="7D1BDDAA">
            <w:pPr>
              <w:pStyle w:val="34"/>
              <w:rPr>
                <w:b/>
                <w:kern w:val="0"/>
              </w:rPr>
            </w:pPr>
            <w:r>
              <w:rPr>
                <w:rFonts w:hint="eastAsia"/>
                <w:b/>
                <w:kern w:val="0"/>
              </w:rPr>
              <w:t>0.26</w:t>
            </w:r>
          </w:p>
        </w:tc>
        <w:tc>
          <w:tcPr>
            <w:tcW w:w="0" w:type="auto"/>
            <w:tcBorders>
              <w:top w:val="single" w:color="auto" w:sz="6" w:space="0"/>
              <w:left w:val="single" w:color="auto" w:sz="6" w:space="0"/>
              <w:bottom w:val="single" w:color="auto" w:sz="6" w:space="0"/>
              <w:right w:val="single" w:color="auto" w:sz="6" w:space="0"/>
            </w:tcBorders>
            <w:vAlign w:val="center"/>
          </w:tcPr>
          <w:p w14:paraId="3113B759">
            <w:pPr>
              <w:pStyle w:val="34"/>
              <w:rPr>
                <w:b/>
              </w:rPr>
            </w:pPr>
            <w:r>
              <w:rPr>
                <w:rFonts w:hint="eastAsia"/>
                <w:b/>
              </w:rPr>
              <w:t>10</w:t>
            </w:r>
          </w:p>
        </w:tc>
        <w:tc>
          <w:tcPr>
            <w:tcW w:w="0" w:type="auto"/>
            <w:tcBorders>
              <w:top w:val="single" w:color="auto" w:sz="6" w:space="0"/>
              <w:left w:val="single" w:color="auto" w:sz="6" w:space="0"/>
              <w:bottom w:val="single" w:color="auto" w:sz="6" w:space="0"/>
              <w:right w:val="single" w:color="auto" w:sz="6" w:space="0"/>
            </w:tcBorders>
            <w:vAlign w:val="center"/>
          </w:tcPr>
          <w:p w14:paraId="5C6D9D15">
            <w:pPr>
              <w:pStyle w:val="34"/>
              <w:rPr>
                <w:b/>
                <w:kern w:val="0"/>
              </w:rPr>
            </w:pPr>
            <w:r>
              <w:rPr>
                <w:rFonts w:hint="eastAsia"/>
                <w:b/>
                <w:kern w:val="0"/>
              </w:rPr>
              <w:t>160kg</w:t>
            </w:r>
          </w:p>
        </w:tc>
        <w:tc>
          <w:tcPr>
            <w:tcW w:w="0" w:type="auto"/>
            <w:tcBorders>
              <w:top w:val="single" w:color="auto" w:sz="6" w:space="0"/>
              <w:left w:val="single" w:color="auto" w:sz="6" w:space="0"/>
              <w:bottom w:val="single" w:color="auto" w:sz="6" w:space="0"/>
              <w:right w:val="single" w:color="auto" w:sz="6" w:space="0"/>
            </w:tcBorders>
            <w:vAlign w:val="center"/>
          </w:tcPr>
          <w:p w14:paraId="743020F7">
            <w:pPr>
              <w:pStyle w:val="34"/>
              <w:rPr>
                <w:b/>
              </w:rPr>
            </w:pPr>
            <w:r>
              <w:rPr>
                <w:rFonts w:hint="eastAsia"/>
                <w:b/>
              </w:rPr>
              <w:t>15</w:t>
            </w:r>
          </w:p>
        </w:tc>
        <w:tc>
          <w:tcPr>
            <w:tcW w:w="0" w:type="auto"/>
            <w:tcBorders>
              <w:top w:val="single" w:color="auto" w:sz="6" w:space="0"/>
              <w:left w:val="single" w:color="auto" w:sz="6" w:space="0"/>
              <w:bottom w:val="single" w:color="auto" w:sz="6" w:space="0"/>
              <w:right w:val="single" w:color="auto" w:sz="6" w:space="0"/>
            </w:tcBorders>
            <w:vAlign w:val="center"/>
          </w:tcPr>
          <w:p w14:paraId="756DAAF9">
            <w:pPr>
              <w:pStyle w:val="34"/>
              <w:rPr>
                <w:b/>
              </w:rPr>
            </w:pPr>
            <w:r>
              <w:rPr>
                <w:rFonts w:hint="eastAsia"/>
                <w:b/>
              </w:rPr>
              <w:t>0.004</w:t>
            </w:r>
          </w:p>
        </w:tc>
        <w:tc>
          <w:tcPr>
            <w:tcW w:w="0" w:type="auto"/>
            <w:tcBorders>
              <w:top w:val="single" w:color="auto" w:sz="6" w:space="0"/>
              <w:left w:val="single" w:color="auto" w:sz="6" w:space="0"/>
              <w:bottom w:val="single" w:color="auto" w:sz="6" w:space="0"/>
            </w:tcBorders>
            <w:vAlign w:val="center"/>
          </w:tcPr>
          <w:p w14:paraId="0B450D6B">
            <w:pPr>
              <w:pStyle w:val="34"/>
              <w:rPr>
                <w:b/>
              </w:rPr>
            </w:pPr>
            <w:r>
              <w:rPr>
                <w:rFonts w:hint="eastAsia"/>
                <w:b/>
              </w:rPr>
              <w:t>3.6</w:t>
            </w:r>
          </w:p>
        </w:tc>
      </w:tr>
      <w:tr w14:paraId="6A0EF3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vMerge w:val="continue"/>
            <w:tcBorders>
              <w:top w:val="single" w:color="auto" w:sz="6" w:space="0"/>
              <w:left w:val="single" w:color="auto" w:sz="12" w:space="0"/>
              <w:bottom w:val="single" w:color="auto" w:sz="6" w:space="0"/>
              <w:right w:val="single" w:color="auto" w:sz="6" w:space="0"/>
            </w:tcBorders>
            <w:vAlign w:val="center"/>
          </w:tcPr>
          <w:p w14:paraId="3FAFE417">
            <w:pPr>
              <w:pStyle w:val="34"/>
            </w:pPr>
          </w:p>
        </w:tc>
        <w:tc>
          <w:tcPr>
            <w:tcW w:w="0" w:type="auto"/>
            <w:tcBorders>
              <w:top w:val="single" w:color="auto" w:sz="6" w:space="0"/>
              <w:left w:val="single" w:color="auto" w:sz="6" w:space="0"/>
              <w:bottom w:val="single" w:color="auto" w:sz="6" w:space="0"/>
              <w:right w:val="single" w:color="auto" w:sz="6" w:space="0"/>
            </w:tcBorders>
            <w:vAlign w:val="center"/>
          </w:tcPr>
          <w:p w14:paraId="59CE1C99">
            <w:pPr>
              <w:pStyle w:val="34"/>
            </w:pPr>
            <w:r>
              <w:rPr>
                <w:rFonts w:hint="eastAsia"/>
              </w:rPr>
              <w:t>火灾爆炸</w:t>
            </w:r>
          </w:p>
        </w:tc>
        <w:tc>
          <w:tcPr>
            <w:tcW w:w="0" w:type="auto"/>
            <w:vMerge w:val="continue"/>
            <w:tcBorders>
              <w:top w:val="single" w:color="auto" w:sz="6" w:space="0"/>
              <w:left w:val="single" w:color="auto" w:sz="6" w:space="0"/>
              <w:bottom w:val="single" w:color="auto" w:sz="6" w:space="0"/>
              <w:right w:val="single" w:color="auto" w:sz="6" w:space="0"/>
            </w:tcBorders>
            <w:vAlign w:val="center"/>
          </w:tcPr>
          <w:p w14:paraId="532BF60B">
            <w:pPr>
              <w:pStyle w:val="34"/>
            </w:pPr>
          </w:p>
        </w:tc>
        <w:tc>
          <w:tcPr>
            <w:tcW w:w="0" w:type="auto"/>
            <w:tcBorders>
              <w:top w:val="single" w:color="auto" w:sz="6" w:space="0"/>
              <w:left w:val="single" w:color="auto" w:sz="6" w:space="0"/>
              <w:bottom w:val="single" w:color="auto" w:sz="6" w:space="0"/>
              <w:right w:val="single" w:color="auto" w:sz="6" w:space="0"/>
            </w:tcBorders>
            <w:vAlign w:val="center"/>
          </w:tcPr>
          <w:p w14:paraId="588AE361">
            <w:pPr>
              <w:pStyle w:val="34"/>
            </w:pPr>
            <w:r>
              <w:rPr>
                <w:rFonts w:hint="eastAsia"/>
              </w:rPr>
              <w:t>CO</w:t>
            </w:r>
          </w:p>
        </w:tc>
        <w:tc>
          <w:tcPr>
            <w:tcW w:w="0" w:type="auto"/>
            <w:tcBorders>
              <w:top w:val="single" w:color="auto" w:sz="6" w:space="0"/>
              <w:left w:val="single" w:color="auto" w:sz="6" w:space="0"/>
              <w:bottom w:val="single" w:color="auto" w:sz="6" w:space="0"/>
              <w:right w:val="single" w:color="auto" w:sz="6" w:space="0"/>
            </w:tcBorders>
            <w:vAlign w:val="center"/>
          </w:tcPr>
          <w:p w14:paraId="6341E2D8">
            <w:pPr>
              <w:pStyle w:val="34"/>
            </w:pPr>
            <w:r>
              <w:t>大气</w:t>
            </w:r>
          </w:p>
        </w:tc>
        <w:tc>
          <w:tcPr>
            <w:tcW w:w="0" w:type="auto"/>
            <w:tcBorders>
              <w:top w:val="single" w:color="auto" w:sz="6" w:space="0"/>
              <w:left w:val="single" w:color="auto" w:sz="6" w:space="0"/>
              <w:bottom w:val="single" w:color="auto" w:sz="6" w:space="0"/>
              <w:right w:val="single" w:color="auto" w:sz="6" w:space="0"/>
            </w:tcBorders>
            <w:vAlign w:val="center"/>
          </w:tcPr>
          <w:p w14:paraId="71A853CE">
            <w:pPr>
              <w:pStyle w:val="34"/>
              <w:rPr>
                <w:kern w:val="0"/>
              </w:rPr>
            </w:pPr>
            <w:r>
              <w:rPr>
                <w:rFonts w:hint="eastAsia"/>
                <w:kern w:val="0"/>
              </w:rPr>
              <w:t>0.00125</w:t>
            </w:r>
          </w:p>
        </w:tc>
        <w:tc>
          <w:tcPr>
            <w:tcW w:w="0" w:type="auto"/>
            <w:tcBorders>
              <w:top w:val="single" w:color="auto" w:sz="6" w:space="0"/>
              <w:left w:val="single" w:color="auto" w:sz="6" w:space="0"/>
              <w:bottom w:val="single" w:color="auto" w:sz="6" w:space="0"/>
              <w:right w:val="single" w:color="auto" w:sz="6" w:space="0"/>
            </w:tcBorders>
            <w:vAlign w:val="center"/>
          </w:tcPr>
          <w:p w14:paraId="61A3EFC8">
            <w:pPr>
              <w:pStyle w:val="34"/>
            </w:pPr>
            <w:r>
              <w:rPr>
                <w:rFonts w:hint="eastAsia"/>
              </w:rPr>
              <w:t>10</w:t>
            </w:r>
          </w:p>
        </w:tc>
        <w:tc>
          <w:tcPr>
            <w:tcW w:w="0" w:type="auto"/>
            <w:tcBorders>
              <w:top w:val="single" w:color="auto" w:sz="6" w:space="0"/>
              <w:left w:val="single" w:color="auto" w:sz="6" w:space="0"/>
              <w:bottom w:val="single" w:color="auto" w:sz="6" w:space="0"/>
              <w:right w:val="single" w:color="auto" w:sz="6" w:space="0"/>
            </w:tcBorders>
            <w:vAlign w:val="center"/>
          </w:tcPr>
          <w:p w14:paraId="6932C5DD">
            <w:pPr>
              <w:pStyle w:val="34"/>
              <w:rPr>
                <w:kern w:val="0"/>
              </w:rPr>
            </w:pPr>
            <w:r>
              <w:rPr>
                <w:rFonts w:hint="eastAsia"/>
                <w:kern w:val="0"/>
              </w:rPr>
              <w:t>1.125kg</w:t>
            </w:r>
          </w:p>
        </w:tc>
        <w:tc>
          <w:tcPr>
            <w:tcW w:w="0" w:type="auto"/>
            <w:tcBorders>
              <w:top w:val="single" w:color="auto" w:sz="6" w:space="0"/>
              <w:left w:val="single" w:color="auto" w:sz="6" w:space="0"/>
              <w:bottom w:val="single" w:color="auto" w:sz="6" w:space="0"/>
              <w:right w:val="single" w:color="auto" w:sz="6" w:space="0"/>
            </w:tcBorders>
            <w:vAlign w:val="center"/>
          </w:tcPr>
          <w:p w14:paraId="5BDD92F0">
            <w:pPr>
              <w:pStyle w:val="34"/>
            </w:pPr>
            <w:r>
              <w:t>—</w:t>
            </w:r>
          </w:p>
        </w:tc>
        <w:tc>
          <w:tcPr>
            <w:tcW w:w="0" w:type="auto"/>
            <w:tcBorders>
              <w:top w:val="single" w:color="auto" w:sz="6" w:space="0"/>
              <w:left w:val="single" w:color="auto" w:sz="6" w:space="0"/>
              <w:bottom w:val="single" w:color="auto" w:sz="6" w:space="0"/>
              <w:right w:val="single" w:color="auto" w:sz="6" w:space="0"/>
            </w:tcBorders>
            <w:vAlign w:val="center"/>
          </w:tcPr>
          <w:p w14:paraId="5E5AF15B">
            <w:pPr>
              <w:pStyle w:val="34"/>
            </w:pPr>
            <w:r>
              <w:t>—</w:t>
            </w:r>
          </w:p>
        </w:tc>
        <w:tc>
          <w:tcPr>
            <w:tcW w:w="0" w:type="auto"/>
            <w:tcBorders>
              <w:top w:val="single" w:color="auto" w:sz="6" w:space="0"/>
              <w:left w:val="single" w:color="auto" w:sz="6" w:space="0"/>
              <w:bottom w:val="single" w:color="auto" w:sz="6" w:space="0"/>
            </w:tcBorders>
            <w:vAlign w:val="center"/>
          </w:tcPr>
          <w:p w14:paraId="61EA06AD">
            <w:pPr>
              <w:pStyle w:val="34"/>
            </w:pPr>
            <w:r>
              <w:t>—</w:t>
            </w:r>
          </w:p>
        </w:tc>
      </w:tr>
      <w:tr w14:paraId="58AAFF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tcBorders>
              <w:top w:val="single" w:color="auto" w:sz="6" w:space="0"/>
              <w:left w:val="single" w:color="auto" w:sz="12" w:space="0"/>
              <w:bottom w:val="single" w:color="auto" w:sz="6" w:space="0"/>
              <w:right w:val="single" w:color="auto" w:sz="6" w:space="0"/>
            </w:tcBorders>
            <w:vAlign w:val="center"/>
          </w:tcPr>
          <w:p w14:paraId="5AAB5729">
            <w:pPr>
              <w:pStyle w:val="34"/>
            </w:pPr>
            <w:r>
              <w:rPr>
                <w:rFonts w:hint="eastAsia"/>
              </w:rPr>
              <w:t>氟化氢泄漏</w:t>
            </w:r>
          </w:p>
        </w:tc>
        <w:tc>
          <w:tcPr>
            <w:tcW w:w="0" w:type="auto"/>
            <w:tcBorders>
              <w:top w:val="single" w:color="auto" w:sz="6" w:space="0"/>
              <w:left w:val="single" w:color="auto" w:sz="6" w:space="0"/>
              <w:bottom w:val="single" w:color="auto" w:sz="6" w:space="0"/>
              <w:right w:val="single" w:color="auto" w:sz="6" w:space="0"/>
            </w:tcBorders>
            <w:vAlign w:val="center"/>
          </w:tcPr>
          <w:p w14:paraId="7A3BA45F">
            <w:pPr>
              <w:pStyle w:val="34"/>
            </w:pPr>
            <w:r>
              <w:rPr>
                <w:rFonts w:hint="eastAsia"/>
              </w:rPr>
              <w:t>液态化学品蒸发</w:t>
            </w:r>
          </w:p>
        </w:tc>
        <w:tc>
          <w:tcPr>
            <w:tcW w:w="0" w:type="auto"/>
            <w:vMerge w:val="continue"/>
            <w:tcBorders>
              <w:top w:val="single" w:color="auto" w:sz="6" w:space="0"/>
              <w:left w:val="single" w:color="auto" w:sz="6" w:space="0"/>
              <w:bottom w:val="single" w:color="auto" w:sz="6" w:space="0"/>
              <w:right w:val="single" w:color="auto" w:sz="6" w:space="0"/>
            </w:tcBorders>
            <w:vAlign w:val="center"/>
          </w:tcPr>
          <w:p w14:paraId="5D1DC09A">
            <w:pPr>
              <w:pStyle w:val="34"/>
            </w:pPr>
          </w:p>
        </w:tc>
        <w:tc>
          <w:tcPr>
            <w:tcW w:w="0" w:type="auto"/>
            <w:tcBorders>
              <w:top w:val="single" w:color="auto" w:sz="6" w:space="0"/>
              <w:left w:val="single" w:color="auto" w:sz="6" w:space="0"/>
              <w:bottom w:val="single" w:color="auto" w:sz="6" w:space="0"/>
              <w:right w:val="single" w:color="auto" w:sz="6" w:space="0"/>
            </w:tcBorders>
            <w:vAlign w:val="center"/>
          </w:tcPr>
          <w:p w14:paraId="5972C9F5">
            <w:pPr>
              <w:pStyle w:val="34"/>
              <w:rPr>
                <w:b/>
              </w:rPr>
            </w:pPr>
            <w:r>
              <w:rPr>
                <w:rFonts w:hint="eastAsia"/>
                <w:b/>
              </w:rPr>
              <w:t>氟化氢</w:t>
            </w:r>
          </w:p>
        </w:tc>
        <w:tc>
          <w:tcPr>
            <w:tcW w:w="0" w:type="auto"/>
            <w:tcBorders>
              <w:top w:val="single" w:color="auto" w:sz="6" w:space="0"/>
              <w:left w:val="single" w:color="auto" w:sz="6" w:space="0"/>
              <w:bottom w:val="single" w:color="auto" w:sz="6" w:space="0"/>
              <w:right w:val="single" w:color="auto" w:sz="6" w:space="0"/>
            </w:tcBorders>
            <w:vAlign w:val="center"/>
          </w:tcPr>
          <w:p w14:paraId="23BA9911">
            <w:pPr>
              <w:pStyle w:val="34"/>
              <w:rPr>
                <w:b/>
              </w:rPr>
            </w:pPr>
            <w:r>
              <w:rPr>
                <w:b/>
              </w:rPr>
              <w:t>大气</w:t>
            </w:r>
          </w:p>
        </w:tc>
        <w:tc>
          <w:tcPr>
            <w:tcW w:w="0" w:type="auto"/>
            <w:tcBorders>
              <w:top w:val="single" w:color="auto" w:sz="6" w:space="0"/>
              <w:left w:val="single" w:color="auto" w:sz="6" w:space="0"/>
              <w:bottom w:val="single" w:color="auto" w:sz="6" w:space="0"/>
              <w:right w:val="single" w:color="auto" w:sz="6" w:space="0"/>
            </w:tcBorders>
            <w:vAlign w:val="center"/>
          </w:tcPr>
          <w:p w14:paraId="488EEB94">
            <w:pPr>
              <w:pStyle w:val="34"/>
              <w:rPr>
                <w:b/>
                <w:kern w:val="0"/>
              </w:rPr>
            </w:pPr>
            <w:r>
              <w:rPr>
                <w:rFonts w:hint="eastAsia"/>
                <w:b/>
                <w:kern w:val="0"/>
              </w:rPr>
              <w:t>16.67</w:t>
            </w:r>
          </w:p>
        </w:tc>
        <w:tc>
          <w:tcPr>
            <w:tcW w:w="0" w:type="auto"/>
            <w:tcBorders>
              <w:top w:val="single" w:color="auto" w:sz="6" w:space="0"/>
              <w:left w:val="single" w:color="auto" w:sz="6" w:space="0"/>
              <w:bottom w:val="single" w:color="auto" w:sz="6" w:space="0"/>
              <w:right w:val="single" w:color="auto" w:sz="6" w:space="0"/>
            </w:tcBorders>
            <w:vAlign w:val="center"/>
          </w:tcPr>
          <w:p w14:paraId="2DF074C4">
            <w:pPr>
              <w:pStyle w:val="34"/>
              <w:rPr>
                <w:b/>
              </w:rPr>
            </w:pPr>
            <w:r>
              <w:rPr>
                <w:rFonts w:hint="eastAsia"/>
                <w:b/>
              </w:rPr>
              <w:t>10</w:t>
            </w:r>
          </w:p>
        </w:tc>
        <w:tc>
          <w:tcPr>
            <w:tcW w:w="0" w:type="auto"/>
            <w:tcBorders>
              <w:top w:val="single" w:color="auto" w:sz="6" w:space="0"/>
              <w:left w:val="single" w:color="auto" w:sz="6" w:space="0"/>
              <w:bottom w:val="single" w:color="auto" w:sz="6" w:space="0"/>
              <w:right w:val="single" w:color="auto" w:sz="6" w:space="0"/>
            </w:tcBorders>
            <w:vAlign w:val="center"/>
          </w:tcPr>
          <w:p w14:paraId="7CBC6189">
            <w:pPr>
              <w:pStyle w:val="34"/>
              <w:rPr>
                <w:b/>
                <w:kern w:val="0"/>
              </w:rPr>
            </w:pPr>
            <w:r>
              <w:rPr>
                <w:rFonts w:hint="eastAsia"/>
                <w:b/>
              </w:rPr>
              <w:t>/</w:t>
            </w:r>
          </w:p>
        </w:tc>
        <w:tc>
          <w:tcPr>
            <w:tcW w:w="0" w:type="auto"/>
            <w:tcBorders>
              <w:top w:val="single" w:color="auto" w:sz="6" w:space="0"/>
              <w:left w:val="single" w:color="auto" w:sz="6" w:space="0"/>
              <w:bottom w:val="single" w:color="auto" w:sz="6" w:space="0"/>
              <w:right w:val="single" w:color="auto" w:sz="6" w:space="0"/>
            </w:tcBorders>
            <w:vAlign w:val="center"/>
          </w:tcPr>
          <w:p w14:paraId="61F6B8E8">
            <w:pPr>
              <w:pStyle w:val="34"/>
              <w:rPr>
                <w:b/>
              </w:rPr>
            </w:pPr>
            <w:r>
              <w:rPr>
                <w:rFonts w:hint="eastAsia"/>
                <w:b/>
              </w:rPr>
              <w:t>15</w:t>
            </w:r>
          </w:p>
        </w:tc>
        <w:tc>
          <w:tcPr>
            <w:tcW w:w="0" w:type="auto"/>
            <w:tcBorders>
              <w:top w:val="single" w:color="auto" w:sz="6" w:space="0"/>
              <w:left w:val="single" w:color="auto" w:sz="6" w:space="0"/>
              <w:bottom w:val="single" w:color="auto" w:sz="6" w:space="0"/>
              <w:right w:val="single" w:color="auto" w:sz="6" w:space="0"/>
            </w:tcBorders>
            <w:vAlign w:val="center"/>
          </w:tcPr>
          <w:p w14:paraId="51208B19">
            <w:pPr>
              <w:pStyle w:val="34"/>
              <w:rPr>
                <w:b/>
              </w:rPr>
            </w:pPr>
            <w:r>
              <w:rPr>
                <w:rFonts w:hint="eastAsia"/>
                <w:b/>
              </w:rPr>
              <w:t>0.012</w:t>
            </w:r>
          </w:p>
        </w:tc>
        <w:tc>
          <w:tcPr>
            <w:tcW w:w="0" w:type="auto"/>
            <w:tcBorders>
              <w:top w:val="single" w:color="auto" w:sz="6" w:space="0"/>
              <w:left w:val="single" w:color="auto" w:sz="6" w:space="0"/>
              <w:bottom w:val="single" w:color="auto" w:sz="6" w:space="0"/>
            </w:tcBorders>
            <w:vAlign w:val="center"/>
          </w:tcPr>
          <w:p w14:paraId="688530B8">
            <w:pPr>
              <w:pStyle w:val="34"/>
              <w:rPr>
                <w:b/>
              </w:rPr>
            </w:pPr>
            <w:r>
              <w:rPr>
                <w:rFonts w:hint="eastAsia"/>
                <w:b/>
              </w:rPr>
              <w:t>10.86</w:t>
            </w:r>
          </w:p>
        </w:tc>
      </w:tr>
      <w:tr w14:paraId="6A33EC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tcBorders>
              <w:top w:val="single" w:color="auto" w:sz="6" w:space="0"/>
              <w:left w:val="single" w:color="auto" w:sz="12" w:space="0"/>
              <w:bottom w:val="single" w:color="auto" w:sz="6" w:space="0"/>
              <w:right w:val="single" w:color="auto" w:sz="6" w:space="0"/>
            </w:tcBorders>
            <w:vAlign w:val="center"/>
          </w:tcPr>
          <w:p w14:paraId="331C7AFB">
            <w:pPr>
              <w:pStyle w:val="34"/>
            </w:pPr>
            <w:r>
              <w:rPr>
                <w:rFonts w:hint="eastAsia"/>
              </w:rPr>
              <w:t>黄磷泄漏</w:t>
            </w:r>
          </w:p>
        </w:tc>
        <w:tc>
          <w:tcPr>
            <w:tcW w:w="0" w:type="auto"/>
            <w:tcBorders>
              <w:top w:val="single" w:color="auto" w:sz="6" w:space="0"/>
              <w:left w:val="single" w:color="auto" w:sz="6" w:space="0"/>
              <w:bottom w:val="single" w:color="auto" w:sz="6" w:space="0"/>
              <w:right w:val="single" w:color="auto" w:sz="6" w:space="0"/>
            </w:tcBorders>
            <w:vAlign w:val="center"/>
          </w:tcPr>
          <w:p w14:paraId="66A6C653">
            <w:pPr>
              <w:pStyle w:val="34"/>
            </w:pPr>
            <w:r>
              <w:rPr>
                <w:rFonts w:hint="eastAsia"/>
              </w:rPr>
              <w:t>火灾</w:t>
            </w:r>
          </w:p>
        </w:tc>
        <w:tc>
          <w:tcPr>
            <w:tcW w:w="0" w:type="auto"/>
            <w:vMerge w:val="continue"/>
            <w:tcBorders>
              <w:top w:val="single" w:color="auto" w:sz="6" w:space="0"/>
              <w:left w:val="single" w:color="auto" w:sz="6" w:space="0"/>
              <w:bottom w:val="single" w:color="auto" w:sz="6" w:space="0"/>
              <w:right w:val="single" w:color="auto" w:sz="6" w:space="0"/>
            </w:tcBorders>
            <w:vAlign w:val="center"/>
          </w:tcPr>
          <w:p w14:paraId="27134182">
            <w:pPr>
              <w:pStyle w:val="34"/>
            </w:pPr>
          </w:p>
        </w:tc>
        <w:tc>
          <w:tcPr>
            <w:tcW w:w="0" w:type="auto"/>
            <w:tcBorders>
              <w:top w:val="single" w:color="auto" w:sz="6" w:space="0"/>
              <w:left w:val="single" w:color="auto" w:sz="6" w:space="0"/>
              <w:bottom w:val="single" w:color="auto" w:sz="6" w:space="0"/>
              <w:right w:val="single" w:color="auto" w:sz="6" w:space="0"/>
            </w:tcBorders>
            <w:vAlign w:val="center"/>
          </w:tcPr>
          <w:p w14:paraId="28C4EC86">
            <w:pPr>
              <w:pStyle w:val="34"/>
              <w:rPr>
                <w:b/>
              </w:rPr>
            </w:pPr>
            <w:r>
              <w:rPr>
                <w:rFonts w:hint="eastAsia"/>
                <w:b/>
              </w:rPr>
              <w:t>P</w:t>
            </w:r>
            <w:r>
              <w:rPr>
                <w:rFonts w:hint="eastAsia"/>
                <w:b/>
                <w:vertAlign w:val="subscript"/>
              </w:rPr>
              <w:t>2</w:t>
            </w:r>
            <w:r>
              <w:rPr>
                <w:rFonts w:hint="eastAsia"/>
                <w:b/>
              </w:rPr>
              <w:t>O</w:t>
            </w:r>
            <w:r>
              <w:rPr>
                <w:rFonts w:hint="eastAsia"/>
                <w:b/>
                <w:vertAlign w:val="subscript"/>
              </w:rPr>
              <w:t>5</w:t>
            </w:r>
          </w:p>
        </w:tc>
        <w:tc>
          <w:tcPr>
            <w:tcW w:w="0" w:type="auto"/>
            <w:tcBorders>
              <w:top w:val="single" w:color="auto" w:sz="6" w:space="0"/>
              <w:left w:val="single" w:color="auto" w:sz="6" w:space="0"/>
              <w:bottom w:val="single" w:color="auto" w:sz="6" w:space="0"/>
              <w:right w:val="single" w:color="auto" w:sz="6" w:space="0"/>
            </w:tcBorders>
            <w:vAlign w:val="center"/>
          </w:tcPr>
          <w:p w14:paraId="25B2916B">
            <w:pPr>
              <w:pStyle w:val="34"/>
              <w:rPr>
                <w:b/>
              </w:rPr>
            </w:pPr>
            <w:r>
              <w:rPr>
                <w:b/>
              </w:rPr>
              <w:t>大气</w:t>
            </w:r>
          </w:p>
        </w:tc>
        <w:tc>
          <w:tcPr>
            <w:tcW w:w="0" w:type="auto"/>
            <w:tcBorders>
              <w:top w:val="single" w:color="auto" w:sz="6" w:space="0"/>
              <w:left w:val="single" w:color="auto" w:sz="6" w:space="0"/>
              <w:bottom w:val="single" w:color="auto" w:sz="6" w:space="0"/>
              <w:right w:val="single" w:color="auto" w:sz="6" w:space="0"/>
            </w:tcBorders>
            <w:vAlign w:val="center"/>
          </w:tcPr>
          <w:p w14:paraId="4E818D50">
            <w:pPr>
              <w:pStyle w:val="34"/>
              <w:rPr>
                <w:b/>
              </w:rPr>
            </w:pPr>
            <w:r>
              <w:rPr>
                <w:rFonts w:hint="eastAsia"/>
                <w:b/>
              </w:rPr>
              <w:t>0.20</w:t>
            </w:r>
          </w:p>
        </w:tc>
        <w:tc>
          <w:tcPr>
            <w:tcW w:w="0" w:type="auto"/>
            <w:tcBorders>
              <w:top w:val="single" w:color="auto" w:sz="6" w:space="0"/>
              <w:left w:val="single" w:color="auto" w:sz="6" w:space="0"/>
              <w:bottom w:val="single" w:color="auto" w:sz="6" w:space="0"/>
              <w:right w:val="single" w:color="auto" w:sz="6" w:space="0"/>
            </w:tcBorders>
            <w:vAlign w:val="center"/>
          </w:tcPr>
          <w:p w14:paraId="5B170EED">
            <w:pPr>
              <w:pStyle w:val="34"/>
              <w:rPr>
                <w:b/>
              </w:rPr>
            </w:pPr>
            <w:r>
              <w:rPr>
                <w:rFonts w:hint="eastAsia"/>
                <w:b/>
              </w:rPr>
              <w:t>10</w:t>
            </w:r>
          </w:p>
        </w:tc>
        <w:tc>
          <w:tcPr>
            <w:tcW w:w="0" w:type="auto"/>
            <w:tcBorders>
              <w:top w:val="single" w:color="auto" w:sz="6" w:space="0"/>
              <w:left w:val="single" w:color="auto" w:sz="6" w:space="0"/>
              <w:bottom w:val="single" w:color="auto" w:sz="6" w:space="0"/>
              <w:right w:val="single" w:color="auto" w:sz="6" w:space="0"/>
            </w:tcBorders>
            <w:vAlign w:val="center"/>
          </w:tcPr>
          <w:p w14:paraId="1EA48446">
            <w:pPr>
              <w:pStyle w:val="34"/>
              <w:rPr>
                <w:b/>
              </w:rPr>
            </w:pPr>
            <w:r>
              <w:rPr>
                <w:rFonts w:hint="eastAsia"/>
                <w:b/>
              </w:rPr>
              <w:t>183.23kg</w:t>
            </w:r>
          </w:p>
        </w:tc>
        <w:tc>
          <w:tcPr>
            <w:tcW w:w="0" w:type="auto"/>
            <w:tcBorders>
              <w:top w:val="single" w:color="auto" w:sz="6" w:space="0"/>
              <w:left w:val="single" w:color="auto" w:sz="6" w:space="0"/>
              <w:bottom w:val="single" w:color="auto" w:sz="6" w:space="0"/>
              <w:right w:val="single" w:color="auto" w:sz="6" w:space="0"/>
            </w:tcBorders>
            <w:vAlign w:val="center"/>
          </w:tcPr>
          <w:p w14:paraId="287333AB">
            <w:pPr>
              <w:pStyle w:val="34"/>
              <w:rPr>
                <w:b/>
              </w:rPr>
            </w:pPr>
            <w:r>
              <w:rPr>
                <w:b/>
              </w:rPr>
              <w:t>—</w:t>
            </w:r>
          </w:p>
        </w:tc>
        <w:tc>
          <w:tcPr>
            <w:tcW w:w="0" w:type="auto"/>
            <w:tcBorders>
              <w:top w:val="single" w:color="auto" w:sz="6" w:space="0"/>
              <w:left w:val="single" w:color="auto" w:sz="6" w:space="0"/>
              <w:bottom w:val="single" w:color="auto" w:sz="6" w:space="0"/>
              <w:right w:val="single" w:color="auto" w:sz="6" w:space="0"/>
            </w:tcBorders>
            <w:vAlign w:val="center"/>
          </w:tcPr>
          <w:p w14:paraId="6691F079">
            <w:pPr>
              <w:pStyle w:val="34"/>
              <w:rPr>
                <w:b/>
              </w:rPr>
            </w:pPr>
            <w:r>
              <w:rPr>
                <w:b/>
              </w:rPr>
              <w:t>—</w:t>
            </w:r>
          </w:p>
        </w:tc>
        <w:tc>
          <w:tcPr>
            <w:tcW w:w="0" w:type="auto"/>
            <w:tcBorders>
              <w:top w:val="single" w:color="auto" w:sz="6" w:space="0"/>
              <w:left w:val="single" w:color="auto" w:sz="6" w:space="0"/>
              <w:bottom w:val="single" w:color="auto" w:sz="6" w:space="0"/>
            </w:tcBorders>
            <w:vAlign w:val="center"/>
          </w:tcPr>
          <w:p w14:paraId="07C34B7F">
            <w:pPr>
              <w:pStyle w:val="34"/>
              <w:rPr>
                <w:b/>
              </w:rPr>
            </w:pPr>
            <w:r>
              <w:rPr>
                <w:b/>
              </w:rPr>
              <w:t>—</w:t>
            </w:r>
          </w:p>
        </w:tc>
      </w:tr>
      <w:tr w14:paraId="627B3D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vMerge w:val="restart"/>
            <w:tcBorders>
              <w:top w:val="single" w:color="auto" w:sz="6" w:space="0"/>
              <w:bottom w:val="single" w:color="auto" w:sz="6" w:space="0"/>
            </w:tcBorders>
            <w:vAlign w:val="center"/>
          </w:tcPr>
          <w:p w14:paraId="64F483CB">
            <w:pPr>
              <w:pStyle w:val="34"/>
            </w:pPr>
            <w:r>
              <w:rPr>
                <w:rFonts w:hint="eastAsia"/>
              </w:rPr>
              <w:t>不溶化学品</w:t>
            </w:r>
          </w:p>
        </w:tc>
        <w:tc>
          <w:tcPr>
            <w:tcW w:w="0" w:type="auto"/>
            <w:tcBorders>
              <w:top w:val="single" w:color="auto" w:sz="6" w:space="0"/>
              <w:bottom w:val="single" w:color="auto" w:sz="6" w:space="0"/>
            </w:tcBorders>
            <w:vAlign w:val="center"/>
          </w:tcPr>
          <w:p w14:paraId="1370FC5C">
            <w:pPr>
              <w:pStyle w:val="34"/>
            </w:pPr>
            <w:r>
              <w:rPr>
                <w:rFonts w:hint="eastAsia"/>
              </w:rPr>
              <w:t>最大可信水上溢油事故</w:t>
            </w:r>
          </w:p>
        </w:tc>
        <w:tc>
          <w:tcPr>
            <w:tcW w:w="0" w:type="auto"/>
            <w:vMerge w:val="restart"/>
            <w:tcBorders>
              <w:top w:val="single" w:color="auto" w:sz="6" w:space="0"/>
              <w:bottom w:val="single" w:color="auto" w:sz="6" w:space="0"/>
            </w:tcBorders>
            <w:vAlign w:val="center"/>
          </w:tcPr>
          <w:p w14:paraId="708E0154">
            <w:pPr>
              <w:pStyle w:val="34"/>
            </w:pPr>
            <w:r>
              <w:rPr>
                <w:rFonts w:hint="eastAsia"/>
              </w:rPr>
              <w:t>码头前沿</w:t>
            </w:r>
          </w:p>
        </w:tc>
        <w:tc>
          <w:tcPr>
            <w:tcW w:w="0" w:type="auto"/>
            <w:vMerge w:val="restart"/>
            <w:tcBorders>
              <w:top w:val="single" w:color="auto" w:sz="6" w:space="0"/>
              <w:bottom w:val="single" w:color="auto" w:sz="6" w:space="0"/>
            </w:tcBorders>
            <w:vAlign w:val="center"/>
          </w:tcPr>
          <w:p w14:paraId="12D5DE4B">
            <w:pPr>
              <w:pStyle w:val="34"/>
            </w:pPr>
            <w:r>
              <w:rPr>
                <w:rFonts w:hint="eastAsia"/>
              </w:rPr>
              <w:t>燃料油</w:t>
            </w:r>
          </w:p>
        </w:tc>
        <w:tc>
          <w:tcPr>
            <w:tcW w:w="0" w:type="auto"/>
            <w:vMerge w:val="restart"/>
            <w:tcBorders>
              <w:top w:val="single" w:color="auto" w:sz="6" w:space="0"/>
              <w:bottom w:val="single" w:color="auto" w:sz="6" w:space="0"/>
            </w:tcBorders>
            <w:vAlign w:val="center"/>
          </w:tcPr>
          <w:p w14:paraId="31BD9094">
            <w:pPr>
              <w:pStyle w:val="34"/>
            </w:pPr>
            <w:r>
              <w:t>地表水</w:t>
            </w:r>
          </w:p>
        </w:tc>
        <w:tc>
          <w:tcPr>
            <w:tcW w:w="0" w:type="auto"/>
            <w:tcBorders>
              <w:top w:val="single" w:color="auto" w:sz="6" w:space="0"/>
              <w:bottom w:val="single" w:color="auto" w:sz="6" w:space="0"/>
            </w:tcBorders>
            <w:vAlign w:val="center"/>
          </w:tcPr>
          <w:p w14:paraId="5060537C">
            <w:pPr>
              <w:pStyle w:val="34"/>
            </w:pPr>
            <w:r>
              <w:t>—</w:t>
            </w:r>
          </w:p>
        </w:tc>
        <w:tc>
          <w:tcPr>
            <w:tcW w:w="0" w:type="auto"/>
            <w:tcBorders>
              <w:top w:val="single" w:color="auto" w:sz="6" w:space="0"/>
              <w:bottom w:val="single" w:color="auto" w:sz="6" w:space="0"/>
            </w:tcBorders>
            <w:vAlign w:val="center"/>
          </w:tcPr>
          <w:p w14:paraId="1A6F8E19">
            <w:pPr>
              <w:pStyle w:val="34"/>
            </w:pPr>
            <w:r>
              <w:t>—</w:t>
            </w:r>
          </w:p>
        </w:tc>
        <w:tc>
          <w:tcPr>
            <w:tcW w:w="0" w:type="auto"/>
            <w:tcBorders>
              <w:top w:val="single" w:color="auto" w:sz="6" w:space="0"/>
              <w:bottom w:val="single" w:color="auto" w:sz="6" w:space="0"/>
            </w:tcBorders>
            <w:vAlign w:val="center"/>
          </w:tcPr>
          <w:p w14:paraId="44AB0496">
            <w:pPr>
              <w:pStyle w:val="34"/>
            </w:pPr>
            <w:r>
              <w:rPr>
                <w:rFonts w:hint="eastAsia"/>
              </w:rPr>
              <w:t>243</w:t>
            </w:r>
            <w:r>
              <w:t>t</w:t>
            </w:r>
          </w:p>
        </w:tc>
        <w:tc>
          <w:tcPr>
            <w:tcW w:w="0" w:type="auto"/>
            <w:tcBorders>
              <w:top w:val="single" w:color="auto" w:sz="6" w:space="0"/>
              <w:bottom w:val="single" w:color="auto" w:sz="6" w:space="0"/>
            </w:tcBorders>
            <w:vAlign w:val="center"/>
          </w:tcPr>
          <w:p w14:paraId="6FDBCE79">
            <w:pPr>
              <w:pStyle w:val="34"/>
            </w:pPr>
            <w:r>
              <w:t>—</w:t>
            </w:r>
          </w:p>
        </w:tc>
        <w:tc>
          <w:tcPr>
            <w:tcW w:w="0" w:type="auto"/>
            <w:tcBorders>
              <w:top w:val="single" w:color="auto" w:sz="6" w:space="0"/>
              <w:bottom w:val="single" w:color="auto" w:sz="6" w:space="0"/>
            </w:tcBorders>
            <w:vAlign w:val="center"/>
          </w:tcPr>
          <w:p w14:paraId="5E8CEBF2">
            <w:pPr>
              <w:pStyle w:val="34"/>
            </w:pPr>
            <w:r>
              <w:t>—</w:t>
            </w:r>
          </w:p>
        </w:tc>
        <w:tc>
          <w:tcPr>
            <w:tcW w:w="0" w:type="auto"/>
            <w:tcBorders>
              <w:top w:val="single" w:color="auto" w:sz="6" w:space="0"/>
              <w:bottom w:val="single" w:color="auto" w:sz="6" w:space="0"/>
            </w:tcBorders>
            <w:vAlign w:val="center"/>
          </w:tcPr>
          <w:p w14:paraId="5F4483A5">
            <w:pPr>
              <w:pStyle w:val="34"/>
            </w:pPr>
            <w:r>
              <w:t>—</w:t>
            </w:r>
          </w:p>
        </w:tc>
      </w:tr>
      <w:tr w14:paraId="45D472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vMerge w:val="continue"/>
            <w:tcBorders>
              <w:top w:val="single" w:color="auto" w:sz="6" w:space="0"/>
              <w:bottom w:val="single" w:color="auto" w:sz="6" w:space="0"/>
            </w:tcBorders>
            <w:vAlign w:val="center"/>
          </w:tcPr>
          <w:p w14:paraId="2D020B5A">
            <w:pPr>
              <w:pStyle w:val="34"/>
            </w:pPr>
          </w:p>
        </w:tc>
        <w:tc>
          <w:tcPr>
            <w:tcW w:w="0" w:type="auto"/>
            <w:tcBorders>
              <w:top w:val="single" w:color="auto" w:sz="6" w:space="0"/>
              <w:bottom w:val="single" w:color="auto" w:sz="6" w:space="0"/>
            </w:tcBorders>
            <w:vAlign w:val="center"/>
          </w:tcPr>
          <w:p w14:paraId="427A4606">
            <w:pPr>
              <w:pStyle w:val="34"/>
            </w:pPr>
            <w:r>
              <w:rPr>
                <w:rFonts w:hint="eastAsia"/>
              </w:rPr>
              <w:t>最大可能水上溢油事故</w:t>
            </w:r>
          </w:p>
        </w:tc>
        <w:tc>
          <w:tcPr>
            <w:tcW w:w="0" w:type="auto"/>
            <w:vMerge w:val="continue"/>
            <w:tcBorders>
              <w:top w:val="single" w:color="auto" w:sz="6" w:space="0"/>
              <w:bottom w:val="single" w:color="auto" w:sz="6" w:space="0"/>
            </w:tcBorders>
            <w:vAlign w:val="center"/>
          </w:tcPr>
          <w:p w14:paraId="67DD3536">
            <w:pPr>
              <w:pStyle w:val="34"/>
            </w:pPr>
          </w:p>
        </w:tc>
        <w:tc>
          <w:tcPr>
            <w:tcW w:w="0" w:type="auto"/>
            <w:vMerge w:val="continue"/>
            <w:tcBorders>
              <w:top w:val="single" w:color="auto" w:sz="6" w:space="0"/>
              <w:bottom w:val="single" w:color="auto" w:sz="6" w:space="0"/>
            </w:tcBorders>
            <w:vAlign w:val="center"/>
          </w:tcPr>
          <w:p w14:paraId="2C4F3B13">
            <w:pPr>
              <w:pStyle w:val="34"/>
            </w:pPr>
          </w:p>
        </w:tc>
        <w:tc>
          <w:tcPr>
            <w:tcW w:w="0" w:type="auto"/>
            <w:vMerge w:val="continue"/>
            <w:tcBorders>
              <w:top w:val="single" w:color="auto" w:sz="6" w:space="0"/>
              <w:bottom w:val="single" w:color="auto" w:sz="6" w:space="0"/>
            </w:tcBorders>
            <w:vAlign w:val="center"/>
          </w:tcPr>
          <w:p w14:paraId="769A154D">
            <w:pPr>
              <w:pStyle w:val="34"/>
            </w:pPr>
          </w:p>
        </w:tc>
        <w:tc>
          <w:tcPr>
            <w:tcW w:w="0" w:type="auto"/>
            <w:tcBorders>
              <w:top w:val="single" w:color="auto" w:sz="6" w:space="0"/>
              <w:bottom w:val="single" w:color="auto" w:sz="6" w:space="0"/>
            </w:tcBorders>
            <w:vAlign w:val="center"/>
          </w:tcPr>
          <w:p w14:paraId="10301D2B">
            <w:pPr>
              <w:pStyle w:val="34"/>
            </w:pPr>
            <w:r>
              <w:t>—</w:t>
            </w:r>
          </w:p>
        </w:tc>
        <w:tc>
          <w:tcPr>
            <w:tcW w:w="0" w:type="auto"/>
            <w:tcBorders>
              <w:top w:val="single" w:color="auto" w:sz="6" w:space="0"/>
              <w:bottom w:val="single" w:color="auto" w:sz="6" w:space="0"/>
            </w:tcBorders>
            <w:vAlign w:val="center"/>
          </w:tcPr>
          <w:p w14:paraId="20DBA735">
            <w:pPr>
              <w:pStyle w:val="34"/>
            </w:pPr>
            <w:r>
              <w:t>—</w:t>
            </w:r>
          </w:p>
        </w:tc>
        <w:tc>
          <w:tcPr>
            <w:tcW w:w="0" w:type="auto"/>
            <w:tcBorders>
              <w:top w:val="single" w:color="auto" w:sz="6" w:space="0"/>
              <w:bottom w:val="single" w:color="auto" w:sz="6" w:space="0"/>
            </w:tcBorders>
            <w:vAlign w:val="center"/>
          </w:tcPr>
          <w:p w14:paraId="25AA52A7">
            <w:pPr>
              <w:pStyle w:val="34"/>
            </w:pPr>
            <w:r>
              <w:rPr>
                <w:rFonts w:hint="eastAsia"/>
              </w:rPr>
              <w:t>30</w:t>
            </w:r>
            <w:r>
              <w:t>t</w:t>
            </w:r>
          </w:p>
        </w:tc>
        <w:tc>
          <w:tcPr>
            <w:tcW w:w="0" w:type="auto"/>
            <w:tcBorders>
              <w:top w:val="single" w:color="auto" w:sz="6" w:space="0"/>
              <w:bottom w:val="single" w:color="auto" w:sz="6" w:space="0"/>
            </w:tcBorders>
            <w:vAlign w:val="center"/>
          </w:tcPr>
          <w:p w14:paraId="1231A591">
            <w:pPr>
              <w:pStyle w:val="34"/>
            </w:pPr>
            <w:r>
              <w:t>—</w:t>
            </w:r>
          </w:p>
        </w:tc>
        <w:tc>
          <w:tcPr>
            <w:tcW w:w="0" w:type="auto"/>
            <w:tcBorders>
              <w:top w:val="single" w:color="auto" w:sz="6" w:space="0"/>
              <w:bottom w:val="single" w:color="auto" w:sz="6" w:space="0"/>
            </w:tcBorders>
            <w:vAlign w:val="center"/>
          </w:tcPr>
          <w:p w14:paraId="15A95770">
            <w:pPr>
              <w:pStyle w:val="34"/>
            </w:pPr>
            <w:r>
              <w:t>—</w:t>
            </w:r>
          </w:p>
        </w:tc>
        <w:tc>
          <w:tcPr>
            <w:tcW w:w="0" w:type="auto"/>
            <w:tcBorders>
              <w:top w:val="single" w:color="auto" w:sz="6" w:space="0"/>
              <w:bottom w:val="single" w:color="auto" w:sz="6" w:space="0"/>
            </w:tcBorders>
            <w:vAlign w:val="center"/>
          </w:tcPr>
          <w:p w14:paraId="1C8C1A2A">
            <w:pPr>
              <w:pStyle w:val="34"/>
            </w:pPr>
            <w:r>
              <w:t>—</w:t>
            </w:r>
          </w:p>
        </w:tc>
      </w:tr>
      <w:tr w14:paraId="517F74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vMerge w:val="continue"/>
            <w:tcBorders>
              <w:top w:val="single" w:color="auto" w:sz="6" w:space="0"/>
              <w:bottom w:val="single" w:color="auto" w:sz="6" w:space="0"/>
            </w:tcBorders>
            <w:vAlign w:val="center"/>
          </w:tcPr>
          <w:p w14:paraId="02434A7B">
            <w:pPr>
              <w:pStyle w:val="34"/>
            </w:pPr>
          </w:p>
        </w:tc>
        <w:tc>
          <w:tcPr>
            <w:tcW w:w="0" w:type="auto"/>
            <w:tcBorders>
              <w:top w:val="single" w:color="auto" w:sz="6" w:space="0"/>
              <w:bottom w:val="single" w:color="auto" w:sz="6" w:space="0"/>
            </w:tcBorders>
            <w:vAlign w:val="center"/>
          </w:tcPr>
          <w:p w14:paraId="6A8D0787">
            <w:pPr>
              <w:pStyle w:val="34"/>
            </w:pPr>
            <w:r>
              <w:rPr>
                <w:rFonts w:hint="eastAsia"/>
              </w:rPr>
              <w:t>-</w:t>
            </w:r>
          </w:p>
        </w:tc>
        <w:tc>
          <w:tcPr>
            <w:tcW w:w="0" w:type="auto"/>
            <w:tcBorders>
              <w:top w:val="single" w:color="auto" w:sz="6" w:space="0"/>
              <w:bottom w:val="single" w:color="auto" w:sz="6" w:space="0"/>
            </w:tcBorders>
            <w:vAlign w:val="center"/>
          </w:tcPr>
          <w:p w14:paraId="3F66C4C0">
            <w:pPr>
              <w:pStyle w:val="34"/>
            </w:pPr>
            <w:r>
              <w:rPr>
                <w:rFonts w:hint="eastAsia"/>
              </w:rPr>
              <w:t>码头前沿</w:t>
            </w:r>
          </w:p>
        </w:tc>
        <w:tc>
          <w:tcPr>
            <w:tcW w:w="0" w:type="auto"/>
            <w:tcBorders>
              <w:top w:val="single" w:color="auto" w:sz="6" w:space="0"/>
              <w:bottom w:val="single" w:color="auto" w:sz="6" w:space="0"/>
            </w:tcBorders>
            <w:vAlign w:val="center"/>
          </w:tcPr>
          <w:p w14:paraId="6496CA25">
            <w:pPr>
              <w:pStyle w:val="34"/>
            </w:pPr>
            <w:r>
              <w:rPr>
                <w:rFonts w:hint="eastAsia"/>
              </w:rPr>
              <w:t>硅铝铁</w:t>
            </w:r>
            <w:r>
              <w:t>合金粉</w:t>
            </w:r>
          </w:p>
        </w:tc>
        <w:tc>
          <w:tcPr>
            <w:tcW w:w="0" w:type="auto"/>
            <w:tcBorders>
              <w:top w:val="single" w:color="auto" w:sz="6" w:space="0"/>
              <w:bottom w:val="single" w:color="auto" w:sz="6" w:space="0"/>
            </w:tcBorders>
            <w:vAlign w:val="center"/>
          </w:tcPr>
          <w:p w14:paraId="07D5E9D3">
            <w:pPr>
              <w:pStyle w:val="34"/>
            </w:pPr>
            <w:r>
              <w:t>地表水</w:t>
            </w:r>
          </w:p>
        </w:tc>
        <w:tc>
          <w:tcPr>
            <w:tcW w:w="0" w:type="auto"/>
            <w:tcBorders>
              <w:top w:val="single" w:color="auto" w:sz="6" w:space="0"/>
              <w:bottom w:val="single" w:color="auto" w:sz="6" w:space="0"/>
            </w:tcBorders>
            <w:vAlign w:val="center"/>
          </w:tcPr>
          <w:p w14:paraId="34780B36">
            <w:pPr>
              <w:pStyle w:val="34"/>
            </w:pPr>
            <w:r>
              <w:t>—</w:t>
            </w:r>
          </w:p>
        </w:tc>
        <w:tc>
          <w:tcPr>
            <w:tcW w:w="0" w:type="auto"/>
            <w:tcBorders>
              <w:top w:val="single" w:color="auto" w:sz="6" w:space="0"/>
              <w:bottom w:val="single" w:color="auto" w:sz="6" w:space="0"/>
            </w:tcBorders>
            <w:vAlign w:val="center"/>
          </w:tcPr>
          <w:p w14:paraId="7C52DBFF">
            <w:pPr>
              <w:pStyle w:val="34"/>
            </w:pPr>
            <w:r>
              <w:t>—</w:t>
            </w:r>
          </w:p>
        </w:tc>
        <w:tc>
          <w:tcPr>
            <w:tcW w:w="0" w:type="auto"/>
            <w:tcBorders>
              <w:top w:val="single" w:color="auto" w:sz="6" w:space="0"/>
              <w:bottom w:val="single" w:color="auto" w:sz="6" w:space="0"/>
            </w:tcBorders>
            <w:vAlign w:val="center"/>
          </w:tcPr>
          <w:p w14:paraId="11CECD7C">
            <w:pPr>
              <w:pStyle w:val="34"/>
            </w:pPr>
            <w:r>
              <w:rPr>
                <w:rFonts w:hint="eastAsia"/>
              </w:rPr>
              <w:t>1t</w:t>
            </w:r>
          </w:p>
        </w:tc>
        <w:tc>
          <w:tcPr>
            <w:tcW w:w="0" w:type="auto"/>
            <w:tcBorders>
              <w:top w:val="single" w:color="auto" w:sz="6" w:space="0"/>
              <w:bottom w:val="single" w:color="auto" w:sz="6" w:space="0"/>
            </w:tcBorders>
            <w:vAlign w:val="center"/>
          </w:tcPr>
          <w:p w14:paraId="45ADCDA9">
            <w:pPr>
              <w:pStyle w:val="34"/>
            </w:pPr>
            <w:r>
              <w:t>—</w:t>
            </w:r>
          </w:p>
        </w:tc>
        <w:tc>
          <w:tcPr>
            <w:tcW w:w="0" w:type="auto"/>
            <w:tcBorders>
              <w:top w:val="single" w:color="auto" w:sz="6" w:space="0"/>
              <w:bottom w:val="single" w:color="auto" w:sz="6" w:space="0"/>
            </w:tcBorders>
            <w:vAlign w:val="center"/>
          </w:tcPr>
          <w:p w14:paraId="37B7AE67">
            <w:pPr>
              <w:pStyle w:val="34"/>
            </w:pPr>
            <w:r>
              <w:t>—</w:t>
            </w:r>
          </w:p>
        </w:tc>
        <w:tc>
          <w:tcPr>
            <w:tcW w:w="0" w:type="auto"/>
            <w:tcBorders>
              <w:top w:val="single" w:color="auto" w:sz="6" w:space="0"/>
              <w:bottom w:val="single" w:color="auto" w:sz="6" w:space="0"/>
            </w:tcBorders>
            <w:vAlign w:val="center"/>
          </w:tcPr>
          <w:p w14:paraId="1CAA6F60">
            <w:pPr>
              <w:pStyle w:val="34"/>
            </w:pPr>
            <w:r>
              <w:t>—</w:t>
            </w:r>
          </w:p>
        </w:tc>
      </w:tr>
      <w:tr w14:paraId="417947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gridSpan w:val="2"/>
            <w:vMerge w:val="restart"/>
            <w:tcBorders>
              <w:top w:val="single" w:color="auto" w:sz="6" w:space="0"/>
              <w:bottom w:val="single" w:color="auto" w:sz="6" w:space="0"/>
            </w:tcBorders>
            <w:vAlign w:val="center"/>
          </w:tcPr>
          <w:p w14:paraId="219480E0">
            <w:pPr>
              <w:pStyle w:val="34"/>
            </w:pPr>
            <w:r>
              <w:rPr>
                <w:rFonts w:hint="eastAsia"/>
              </w:rPr>
              <w:t>溶水化学品</w:t>
            </w:r>
          </w:p>
        </w:tc>
        <w:tc>
          <w:tcPr>
            <w:tcW w:w="0" w:type="auto"/>
            <w:vMerge w:val="restart"/>
            <w:tcBorders>
              <w:top w:val="single" w:color="auto" w:sz="6" w:space="0"/>
              <w:bottom w:val="single" w:color="auto" w:sz="6" w:space="0"/>
            </w:tcBorders>
            <w:vAlign w:val="center"/>
          </w:tcPr>
          <w:p w14:paraId="5920DCE7">
            <w:pPr>
              <w:pStyle w:val="34"/>
            </w:pPr>
            <w:r>
              <w:t>码头前沿</w:t>
            </w:r>
          </w:p>
        </w:tc>
        <w:tc>
          <w:tcPr>
            <w:tcW w:w="0" w:type="auto"/>
            <w:tcBorders>
              <w:top w:val="single" w:color="auto" w:sz="6" w:space="0"/>
              <w:bottom w:val="single" w:color="auto" w:sz="6" w:space="0"/>
            </w:tcBorders>
            <w:vAlign w:val="center"/>
          </w:tcPr>
          <w:p w14:paraId="5CC7675A">
            <w:pPr>
              <w:pStyle w:val="34"/>
            </w:pPr>
            <w:r>
              <w:rPr>
                <w:rFonts w:hint="eastAsia"/>
              </w:rPr>
              <w:t>磷酸</w:t>
            </w:r>
          </w:p>
        </w:tc>
        <w:tc>
          <w:tcPr>
            <w:tcW w:w="0" w:type="auto"/>
            <w:vMerge w:val="restart"/>
            <w:tcBorders>
              <w:top w:val="single" w:color="auto" w:sz="6" w:space="0"/>
              <w:bottom w:val="single" w:color="auto" w:sz="6" w:space="0"/>
            </w:tcBorders>
            <w:vAlign w:val="center"/>
          </w:tcPr>
          <w:p w14:paraId="68D4D4F0">
            <w:pPr>
              <w:pStyle w:val="34"/>
            </w:pPr>
            <w:r>
              <w:t>地表水</w:t>
            </w:r>
          </w:p>
        </w:tc>
        <w:tc>
          <w:tcPr>
            <w:tcW w:w="0" w:type="auto"/>
            <w:tcBorders>
              <w:top w:val="single" w:color="auto" w:sz="6" w:space="0"/>
              <w:bottom w:val="single" w:color="auto" w:sz="6" w:space="0"/>
            </w:tcBorders>
            <w:vAlign w:val="center"/>
          </w:tcPr>
          <w:p w14:paraId="47F9F4F2">
            <w:pPr>
              <w:pStyle w:val="34"/>
            </w:pPr>
            <w:r>
              <w:t>—</w:t>
            </w:r>
          </w:p>
        </w:tc>
        <w:tc>
          <w:tcPr>
            <w:tcW w:w="0" w:type="auto"/>
            <w:tcBorders>
              <w:top w:val="single" w:color="auto" w:sz="6" w:space="0"/>
              <w:bottom w:val="single" w:color="auto" w:sz="6" w:space="0"/>
            </w:tcBorders>
            <w:vAlign w:val="center"/>
          </w:tcPr>
          <w:p w14:paraId="5B36C81F">
            <w:pPr>
              <w:pStyle w:val="34"/>
            </w:pPr>
            <w:r>
              <w:t>—</w:t>
            </w:r>
          </w:p>
        </w:tc>
        <w:tc>
          <w:tcPr>
            <w:tcW w:w="0" w:type="auto"/>
            <w:tcBorders>
              <w:top w:val="single" w:color="auto" w:sz="6" w:space="0"/>
              <w:bottom w:val="single" w:color="auto" w:sz="6" w:space="0"/>
            </w:tcBorders>
            <w:vAlign w:val="center"/>
          </w:tcPr>
          <w:p w14:paraId="5FA82FCA">
            <w:pPr>
              <w:pStyle w:val="34"/>
            </w:pPr>
            <w:r>
              <w:rPr>
                <w:rFonts w:hint="eastAsia"/>
              </w:rPr>
              <w:t>35kg</w:t>
            </w:r>
            <w:r>
              <w:t>/28t</w:t>
            </w:r>
          </w:p>
        </w:tc>
        <w:tc>
          <w:tcPr>
            <w:tcW w:w="0" w:type="auto"/>
            <w:tcBorders>
              <w:top w:val="single" w:color="auto" w:sz="6" w:space="0"/>
              <w:bottom w:val="single" w:color="auto" w:sz="6" w:space="0"/>
            </w:tcBorders>
            <w:vAlign w:val="center"/>
          </w:tcPr>
          <w:p w14:paraId="523E531D">
            <w:pPr>
              <w:pStyle w:val="34"/>
            </w:pPr>
            <w:r>
              <w:t>—</w:t>
            </w:r>
          </w:p>
        </w:tc>
        <w:tc>
          <w:tcPr>
            <w:tcW w:w="0" w:type="auto"/>
            <w:tcBorders>
              <w:top w:val="single" w:color="auto" w:sz="6" w:space="0"/>
              <w:bottom w:val="single" w:color="auto" w:sz="6" w:space="0"/>
            </w:tcBorders>
            <w:vAlign w:val="center"/>
          </w:tcPr>
          <w:p w14:paraId="3C076D9B">
            <w:pPr>
              <w:pStyle w:val="34"/>
            </w:pPr>
            <w:r>
              <w:t>—</w:t>
            </w:r>
          </w:p>
        </w:tc>
        <w:tc>
          <w:tcPr>
            <w:tcW w:w="0" w:type="auto"/>
            <w:tcBorders>
              <w:top w:val="single" w:color="auto" w:sz="6" w:space="0"/>
              <w:bottom w:val="single" w:color="auto" w:sz="6" w:space="0"/>
            </w:tcBorders>
            <w:vAlign w:val="center"/>
          </w:tcPr>
          <w:p w14:paraId="0404A6A2">
            <w:pPr>
              <w:pStyle w:val="34"/>
            </w:pPr>
            <w:r>
              <w:t>—</w:t>
            </w:r>
          </w:p>
        </w:tc>
      </w:tr>
      <w:tr w14:paraId="2BA002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gridSpan w:val="2"/>
            <w:vMerge w:val="continue"/>
            <w:tcBorders>
              <w:top w:val="single" w:color="auto" w:sz="6" w:space="0"/>
              <w:bottom w:val="single" w:color="auto" w:sz="6" w:space="0"/>
            </w:tcBorders>
            <w:vAlign w:val="center"/>
          </w:tcPr>
          <w:p w14:paraId="64C19138">
            <w:pPr>
              <w:pStyle w:val="34"/>
            </w:pPr>
          </w:p>
        </w:tc>
        <w:tc>
          <w:tcPr>
            <w:tcW w:w="0" w:type="auto"/>
            <w:vMerge w:val="continue"/>
            <w:tcBorders>
              <w:top w:val="single" w:color="auto" w:sz="6" w:space="0"/>
              <w:bottom w:val="single" w:color="auto" w:sz="6" w:space="0"/>
            </w:tcBorders>
            <w:vAlign w:val="center"/>
          </w:tcPr>
          <w:p w14:paraId="70ED0BB3">
            <w:pPr>
              <w:pStyle w:val="34"/>
            </w:pPr>
          </w:p>
        </w:tc>
        <w:tc>
          <w:tcPr>
            <w:tcW w:w="0" w:type="auto"/>
            <w:tcBorders>
              <w:top w:val="single" w:color="auto" w:sz="6" w:space="0"/>
              <w:bottom w:val="single" w:color="auto" w:sz="6" w:space="0"/>
            </w:tcBorders>
            <w:vAlign w:val="center"/>
          </w:tcPr>
          <w:p w14:paraId="50E6C39E">
            <w:pPr>
              <w:pStyle w:val="34"/>
            </w:pPr>
            <w:r>
              <w:rPr>
                <w:rFonts w:hint="eastAsia"/>
              </w:rPr>
              <w:t>硫酸</w:t>
            </w:r>
          </w:p>
        </w:tc>
        <w:tc>
          <w:tcPr>
            <w:tcW w:w="0" w:type="auto"/>
            <w:vMerge w:val="continue"/>
            <w:tcBorders>
              <w:top w:val="single" w:color="auto" w:sz="6" w:space="0"/>
              <w:bottom w:val="single" w:color="auto" w:sz="6" w:space="0"/>
            </w:tcBorders>
            <w:vAlign w:val="center"/>
          </w:tcPr>
          <w:p w14:paraId="3FEB6C53">
            <w:pPr>
              <w:pStyle w:val="34"/>
            </w:pPr>
          </w:p>
        </w:tc>
        <w:tc>
          <w:tcPr>
            <w:tcW w:w="0" w:type="auto"/>
            <w:tcBorders>
              <w:top w:val="single" w:color="auto" w:sz="6" w:space="0"/>
              <w:bottom w:val="single" w:color="auto" w:sz="6" w:space="0"/>
            </w:tcBorders>
            <w:vAlign w:val="center"/>
          </w:tcPr>
          <w:p w14:paraId="45A78385">
            <w:pPr>
              <w:pStyle w:val="34"/>
            </w:pPr>
            <w:r>
              <w:t>—</w:t>
            </w:r>
          </w:p>
        </w:tc>
        <w:tc>
          <w:tcPr>
            <w:tcW w:w="0" w:type="auto"/>
            <w:tcBorders>
              <w:top w:val="single" w:color="auto" w:sz="6" w:space="0"/>
              <w:bottom w:val="single" w:color="auto" w:sz="6" w:space="0"/>
            </w:tcBorders>
            <w:vAlign w:val="center"/>
          </w:tcPr>
          <w:p w14:paraId="466D5737">
            <w:pPr>
              <w:pStyle w:val="34"/>
            </w:pPr>
            <w:r>
              <w:t>—</w:t>
            </w:r>
          </w:p>
        </w:tc>
        <w:tc>
          <w:tcPr>
            <w:tcW w:w="0" w:type="auto"/>
            <w:tcBorders>
              <w:top w:val="single" w:color="auto" w:sz="6" w:space="0"/>
              <w:bottom w:val="single" w:color="auto" w:sz="6" w:space="0"/>
            </w:tcBorders>
            <w:vAlign w:val="center"/>
          </w:tcPr>
          <w:p w14:paraId="6BB7A0E9">
            <w:pPr>
              <w:pStyle w:val="34"/>
            </w:pPr>
            <w:r>
              <w:rPr>
                <w:rFonts w:hint="eastAsia"/>
              </w:rPr>
              <w:t>1t</w:t>
            </w:r>
          </w:p>
        </w:tc>
        <w:tc>
          <w:tcPr>
            <w:tcW w:w="0" w:type="auto"/>
            <w:tcBorders>
              <w:top w:val="single" w:color="auto" w:sz="6" w:space="0"/>
              <w:bottom w:val="single" w:color="auto" w:sz="6" w:space="0"/>
            </w:tcBorders>
            <w:vAlign w:val="center"/>
          </w:tcPr>
          <w:p w14:paraId="7EA4F2DE">
            <w:pPr>
              <w:pStyle w:val="34"/>
            </w:pPr>
            <w:r>
              <w:t>—</w:t>
            </w:r>
          </w:p>
        </w:tc>
        <w:tc>
          <w:tcPr>
            <w:tcW w:w="0" w:type="auto"/>
            <w:tcBorders>
              <w:top w:val="single" w:color="auto" w:sz="6" w:space="0"/>
              <w:bottom w:val="single" w:color="auto" w:sz="6" w:space="0"/>
            </w:tcBorders>
            <w:vAlign w:val="center"/>
          </w:tcPr>
          <w:p w14:paraId="190621F7">
            <w:pPr>
              <w:pStyle w:val="34"/>
            </w:pPr>
            <w:r>
              <w:t>—</w:t>
            </w:r>
          </w:p>
        </w:tc>
        <w:tc>
          <w:tcPr>
            <w:tcW w:w="0" w:type="auto"/>
            <w:tcBorders>
              <w:top w:val="single" w:color="auto" w:sz="6" w:space="0"/>
              <w:bottom w:val="single" w:color="auto" w:sz="6" w:space="0"/>
            </w:tcBorders>
            <w:vAlign w:val="center"/>
          </w:tcPr>
          <w:p w14:paraId="1B51C930">
            <w:pPr>
              <w:pStyle w:val="34"/>
            </w:pPr>
            <w:r>
              <w:t>—</w:t>
            </w:r>
          </w:p>
        </w:tc>
      </w:tr>
      <w:tr w14:paraId="23D654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gridSpan w:val="2"/>
            <w:vMerge w:val="continue"/>
            <w:tcBorders>
              <w:top w:val="single" w:color="auto" w:sz="6" w:space="0"/>
              <w:bottom w:val="single" w:color="auto" w:sz="6" w:space="0"/>
            </w:tcBorders>
            <w:vAlign w:val="center"/>
          </w:tcPr>
          <w:p w14:paraId="3494FCE0">
            <w:pPr>
              <w:pStyle w:val="34"/>
            </w:pPr>
          </w:p>
        </w:tc>
        <w:tc>
          <w:tcPr>
            <w:tcW w:w="0" w:type="auto"/>
            <w:vMerge w:val="continue"/>
            <w:tcBorders>
              <w:top w:val="single" w:color="auto" w:sz="6" w:space="0"/>
              <w:bottom w:val="single" w:color="auto" w:sz="6" w:space="0"/>
            </w:tcBorders>
            <w:vAlign w:val="center"/>
          </w:tcPr>
          <w:p w14:paraId="52B5E169">
            <w:pPr>
              <w:pStyle w:val="34"/>
            </w:pPr>
          </w:p>
        </w:tc>
        <w:tc>
          <w:tcPr>
            <w:tcW w:w="0" w:type="auto"/>
            <w:tcBorders>
              <w:top w:val="single" w:color="auto" w:sz="6" w:space="0"/>
              <w:bottom w:val="single" w:color="auto" w:sz="6" w:space="0"/>
            </w:tcBorders>
            <w:vAlign w:val="center"/>
          </w:tcPr>
          <w:p w14:paraId="2695504A">
            <w:pPr>
              <w:pStyle w:val="34"/>
            </w:pPr>
            <w:r>
              <w:rPr>
                <w:rFonts w:hint="eastAsia"/>
              </w:rPr>
              <w:t>氢氧化钠</w:t>
            </w:r>
          </w:p>
        </w:tc>
        <w:tc>
          <w:tcPr>
            <w:tcW w:w="0" w:type="auto"/>
            <w:vMerge w:val="continue"/>
            <w:tcBorders>
              <w:top w:val="single" w:color="auto" w:sz="6" w:space="0"/>
              <w:bottom w:val="single" w:color="auto" w:sz="6" w:space="0"/>
            </w:tcBorders>
            <w:vAlign w:val="center"/>
          </w:tcPr>
          <w:p w14:paraId="4935E3E0">
            <w:pPr>
              <w:pStyle w:val="34"/>
            </w:pPr>
          </w:p>
        </w:tc>
        <w:tc>
          <w:tcPr>
            <w:tcW w:w="0" w:type="auto"/>
            <w:tcBorders>
              <w:top w:val="single" w:color="auto" w:sz="6" w:space="0"/>
              <w:bottom w:val="single" w:color="auto" w:sz="6" w:space="0"/>
            </w:tcBorders>
            <w:vAlign w:val="center"/>
          </w:tcPr>
          <w:p w14:paraId="3373DCAC">
            <w:pPr>
              <w:pStyle w:val="34"/>
            </w:pPr>
            <w:r>
              <w:t>—</w:t>
            </w:r>
          </w:p>
        </w:tc>
        <w:tc>
          <w:tcPr>
            <w:tcW w:w="0" w:type="auto"/>
            <w:tcBorders>
              <w:top w:val="single" w:color="auto" w:sz="6" w:space="0"/>
              <w:bottom w:val="single" w:color="auto" w:sz="6" w:space="0"/>
            </w:tcBorders>
            <w:vAlign w:val="center"/>
          </w:tcPr>
          <w:p w14:paraId="7EE57338">
            <w:pPr>
              <w:pStyle w:val="34"/>
            </w:pPr>
            <w:r>
              <w:t>—</w:t>
            </w:r>
          </w:p>
        </w:tc>
        <w:tc>
          <w:tcPr>
            <w:tcW w:w="0" w:type="auto"/>
            <w:tcBorders>
              <w:top w:val="single" w:color="auto" w:sz="6" w:space="0"/>
              <w:bottom w:val="single" w:color="auto" w:sz="6" w:space="0"/>
            </w:tcBorders>
            <w:vAlign w:val="center"/>
          </w:tcPr>
          <w:p w14:paraId="43822926">
            <w:pPr>
              <w:pStyle w:val="34"/>
            </w:pPr>
            <w:r>
              <w:rPr>
                <w:rFonts w:hint="eastAsia"/>
              </w:rPr>
              <w:t>400kg</w:t>
            </w:r>
          </w:p>
        </w:tc>
        <w:tc>
          <w:tcPr>
            <w:tcW w:w="0" w:type="auto"/>
            <w:tcBorders>
              <w:top w:val="single" w:color="auto" w:sz="6" w:space="0"/>
              <w:bottom w:val="single" w:color="auto" w:sz="6" w:space="0"/>
            </w:tcBorders>
            <w:vAlign w:val="center"/>
          </w:tcPr>
          <w:p w14:paraId="73716FBE">
            <w:pPr>
              <w:pStyle w:val="34"/>
            </w:pPr>
            <w:r>
              <w:t>—</w:t>
            </w:r>
          </w:p>
        </w:tc>
        <w:tc>
          <w:tcPr>
            <w:tcW w:w="0" w:type="auto"/>
            <w:tcBorders>
              <w:top w:val="single" w:color="auto" w:sz="6" w:space="0"/>
              <w:bottom w:val="single" w:color="auto" w:sz="6" w:space="0"/>
            </w:tcBorders>
            <w:vAlign w:val="center"/>
          </w:tcPr>
          <w:p w14:paraId="61D8BD2A">
            <w:pPr>
              <w:pStyle w:val="34"/>
            </w:pPr>
            <w:r>
              <w:t>—</w:t>
            </w:r>
          </w:p>
        </w:tc>
        <w:tc>
          <w:tcPr>
            <w:tcW w:w="0" w:type="auto"/>
            <w:tcBorders>
              <w:top w:val="single" w:color="auto" w:sz="6" w:space="0"/>
              <w:bottom w:val="single" w:color="auto" w:sz="6" w:space="0"/>
            </w:tcBorders>
            <w:vAlign w:val="center"/>
          </w:tcPr>
          <w:p w14:paraId="52DDD8E3">
            <w:pPr>
              <w:pStyle w:val="34"/>
            </w:pPr>
            <w:r>
              <w:t>—</w:t>
            </w:r>
          </w:p>
        </w:tc>
      </w:tr>
      <w:tr w14:paraId="419ACB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gridSpan w:val="2"/>
            <w:vMerge w:val="continue"/>
            <w:tcBorders>
              <w:top w:val="single" w:color="auto" w:sz="6" w:space="0"/>
              <w:bottom w:val="single" w:color="auto" w:sz="6" w:space="0"/>
            </w:tcBorders>
            <w:vAlign w:val="center"/>
          </w:tcPr>
          <w:p w14:paraId="706663C1">
            <w:pPr>
              <w:pStyle w:val="34"/>
            </w:pPr>
          </w:p>
        </w:tc>
        <w:tc>
          <w:tcPr>
            <w:tcW w:w="0" w:type="auto"/>
            <w:vMerge w:val="continue"/>
            <w:tcBorders>
              <w:top w:val="single" w:color="auto" w:sz="6" w:space="0"/>
              <w:bottom w:val="single" w:color="auto" w:sz="6" w:space="0"/>
            </w:tcBorders>
            <w:vAlign w:val="center"/>
          </w:tcPr>
          <w:p w14:paraId="230DE74A">
            <w:pPr>
              <w:pStyle w:val="34"/>
            </w:pPr>
          </w:p>
        </w:tc>
        <w:tc>
          <w:tcPr>
            <w:tcW w:w="0" w:type="auto"/>
            <w:tcBorders>
              <w:top w:val="single" w:color="auto" w:sz="6" w:space="0"/>
              <w:bottom w:val="single" w:color="auto" w:sz="6" w:space="0"/>
            </w:tcBorders>
            <w:vAlign w:val="center"/>
          </w:tcPr>
          <w:p w14:paraId="676EC53E">
            <w:pPr>
              <w:pStyle w:val="34"/>
            </w:pPr>
            <w:r>
              <w:rPr>
                <w:rFonts w:hint="eastAsia"/>
              </w:rPr>
              <w:t>硫酸镉</w:t>
            </w:r>
          </w:p>
        </w:tc>
        <w:tc>
          <w:tcPr>
            <w:tcW w:w="0" w:type="auto"/>
            <w:vMerge w:val="continue"/>
            <w:tcBorders>
              <w:top w:val="single" w:color="auto" w:sz="6" w:space="0"/>
              <w:bottom w:val="single" w:color="auto" w:sz="6" w:space="0"/>
            </w:tcBorders>
            <w:vAlign w:val="center"/>
          </w:tcPr>
          <w:p w14:paraId="1F91C0AE">
            <w:pPr>
              <w:pStyle w:val="34"/>
            </w:pPr>
          </w:p>
        </w:tc>
        <w:tc>
          <w:tcPr>
            <w:tcW w:w="0" w:type="auto"/>
            <w:tcBorders>
              <w:top w:val="single" w:color="auto" w:sz="6" w:space="0"/>
              <w:bottom w:val="single" w:color="auto" w:sz="6" w:space="0"/>
            </w:tcBorders>
            <w:vAlign w:val="center"/>
          </w:tcPr>
          <w:p w14:paraId="35998EEE">
            <w:pPr>
              <w:pStyle w:val="34"/>
            </w:pPr>
            <w:r>
              <w:t>—</w:t>
            </w:r>
          </w:p>
        </w:tc>
        <w:tc>
          <w:tcPr>
            <w:tcW w:w="0" w:type="auto"/>
            <w:tcBorders>
              <w:top w:val="single" w:color="auto" w:sz="6" w:space="0"/>
              <w:bottom w:val="single" w:color="auto" w:sz="6" w:space="0"/>
            </w:tcBorders>
            <w:vAlign w:val="center"/>
          </w:tcPr>
          <w:p w14:paraId="5F0D1162">
            <w:pPr>
              <w:pStyle w:val="34"/>
            </w:pPr>
            <w:r>
              <w:t>—</w:t>
            </w:r>
          </w:p>
        </w:tc>
        <w:tc>
          <w:tcPr>
            <w:tcW w:w="0" w:type="auto"/>
            <w:tcBorders>
              <w:top w:val="single" w:color="auto" w:sz="6" w:space="0"/>
              <w:bottom w:val="single" w:color="auto" w:sz="6" w:space="0"/>
            </w:tcBorders>
            <w:vAlign w:val="center"/>
          </w:tcPr>
          <w:p w14:paraId="1360BD0A">
            <w:pPr>
              <w:pStyle w:val="34"/>
            </w:pPr>
            <w:r>
              <w:rPr>
                <w:rFonts w:hint="eastAsia"/>
              </w:rPr>
              <w:t>20kg</w:t>
            </w:r>
          </w:p>
        </w:tc>
        <w:tc>
          <w:tcPr>
            <w:tcW w:w="0" w:type="auto"/>
            <w:tcBorders>
              <w:top w:val="single" w:color="auto" w:sz="6" w:space="0"/>
              <w:bottom w:val="single" w:color="auto" w:sz="6" w:space="0"/>
            </w:tcBorders>
            <w:vAlign w:val="center"/>
          </w:tcPr>
          <w:p w14:paraId="0140D359">
            <w:pPr>
              <w:pStyle w:val="34"/>
            </w:pPr>
            <w:r>
              <w:t>—</w:t>
            </w:r>
          </w:p>
        </w:tc>
        <w:tc>
          <w:tcPr>
            <w:tcW w:w="0" w:type="auto"/>
            <w:tcBorders>
              <w:top w:val="single" w:color="auto" w:sz="6" w:space="0"/>
              <w:bottom w:val="single" w:color="auto" w:sz="6" w:space="0"/>
            </w:tcBorders>
            <w:vAlign w:val="center"/>
          </w:tcPr>
          <w:p w14:paraId="2EF89EFA">
            <w:pPr>
              <w:pStyle w:val="34"/>
            </w:pPr>
            <w:r>
              <w:t>—</w:t>
            </w:r>
          </w:p>
        </w:tc>
        <w:tc>
          <w:tcPr>
            <w:tcW w:w="0" w:type="auto"/>
            <w:tcBorders>
              <w:top w:val="single" w:color="auto" w:sz="6" w:space="0"/>
              <w:bottom w:val="single" w:color="auto" w:sz="6" w:space="0"/>
            </w:tcBorders>
            <w:vAlign w:val="center"/>
          </w:tcPr>
          <w:p w14:paraId="12F7A5A8">
            <w:pPr>
              <w:pStyle w:val="34"/>
            </w:pPr>
            <w:r>
              <w:t>—</w:t>
            </w:r>
          </w:p>
        </w:tc>
      </w:tr>
      <w:tr w14:paraId="7A4F93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gridSpan w:val="2"/>
            <w:vMerge w:val="continue"/>
            <w:tcBorders>
              <w:top w:val="single" w:color="auto" w:sz="6" w:space="0"/>
              <w:bottom w:val="single" w:color="auto" w:sz="12" w:space="0"/>
            </w:tcBorders>
            <w:vAlign w:val="center"/>
          </w:tcPr>
          <w:p w14:paraId="6A8E1388">
            <w:pPr>
              <w:pStyle w:val="34"/>
            </w:pPr>
          </w:p>
        </w:tc>
        <w:tc>
          <w:tcPr>
            <w:tcW w:w="0" w:type="auto"/>
            <w:vMerge w:val="continue"/>
            <w:tcBorders>
              <w:top w:val="single" w:color="auto" w:sz="6" w:space="0"/>
              <w:bottom w:val="single" w:color="auto" w:sz="12" w:space="0"/>
            </w:tcBorders>
            <w:vAlign w:val="center"/>
          </w:tcPr>
          <w:p w14:paraId="6790350D">
            <w:pPr>
              <w:pStyle w:val="34"/>
            </w:pPr>
          </w:p>
        </w:tc>
        <w:tc>
          <w:tcPr>
            <w:tcW w:w="0" w:type="auto"/>
            <w:tcBorders>
              <w:top w:val="single" w:color="auto" w:sz="6" w:space="0"/>
              <w:bottom w:val="single" w:color="auto" w:sz="12" w:space="0"/>
            </w:tcBorders>
            <w:vAlign w:val="center"/>
          </w:tcPr>
          <w:p w14:paraId="22501C1A">
            <w:pPr>
              <w:pStyle w:val="34"/>
            </w:pPr>
            <w:r>
              <w:rPr>
                <w:rFonts w:hint="eastAsia"/>
              </w:rPr>
              <w:t>己二腈</w:t>
            </w:r>
          </w:p>
        </w:tc>
        <w:tc>
          <w:tcPr>
            <w:tcW w:w="0" w:type="auto"/>
            <w:vMerge w:val="continue"/>
            <w:tcBorders>
              <w:top w:val="single" w:color="auto" w:sz="6" w:space="0"/>
              <w:bottom w:val="single" w:color="auto" w:sz="12" w:space="0"/>
            </w:tcBorders>
            <w:vAlign w:val="center"/>
          </w:tcPr>
          <w:p w14:paraId="7652C5E4">
            <w:pPr>
              <w:pStyle w:val="34"/>
            </w:pPr>
          </w:p>
        </w:tc>
        <w:tc>
          <w:tcPr>
            <w:tcW w:w="0" w:type="auto"/>
            <w:tcBorders>
              <w:top w:val="single" w:color="auto" w:sz="6" w:space="0"/>
              <w:bottom w:val="single" w:color="auto" w:sz="12" w:space="0"/>
            </w:tcBorders>
            <w:vAlign w:val="center"/>
          </w:tcPr>
          <w:p w14:paraId="607EC1B9">
            <w:pPr>
              <w:pStyle w:val="34"/>
            </w:pPr>
            <w:r>
              <w:t>—</w:t>
            </w:r>
          </w:p>
        </w:tc>
        <w:tc>
          <w:tcPr>
            <w:tcW w:w="0" w:type="auto"/>
            <w:tcBorders>
              <w:top w:val="single" w:color="auto" w:sz="6" w:space="0"/>
              <w:bottom w:val="single" w:color="auto" w:sz="12" w:space="0"/>
            </w:tcBorders>
            <w:vAlign w:val="center"/>
          </w:tcPr>
          <w:p w14:paraId="79DAC6D2">
            <w:pPr>
              <w:pStyle w:val="34"/>
            </w:pPr>
            <w:r>
              <w:t>—</w:t>
            </w:r>
          </w:p>
        </w:tc>
        <w:tc>
          <w:tcPr>
            <w:tcW w:w="0" w:type="auto"/>
            <w:tcBorders>
              <w:top w:val="single" w:color="auto" w:sz="6" w:space="0"/>
              <w:bottom w:val="single" w:color="auto" w:sz="12" w:space="0"/>
            </w:tcBorders>
            <w:vAlign w:val="center"/>
          </w:tcPr>
          <w:p w14:paraId="590A66B7">
            <w:pPr>
              <w:pStyle w:val="34"/>
            </w:pPr>
            <w:r>
              <w:rPr>
                <w:rFonts w:hint="eastAsia"/>
              </w:rPr>
              <w:t>25kg</w:t>
            </w:r>
          </w:p>
        </w:tc>
        <w:tc>
          <w:tcPr>
            <w:tcW w:w="0" w:type="auto"/>
            <w:tcBorders>
              <w:top w:val="single" w:color="auto" w:sz="6" w:space="0"/>
              <w:bottom w:val="single" w:color="auto" w:sz="12" w:space="0"/>
            </w:tcBorders>
            <w:vAlign w:val="center"/>
          </w:tcPr>
          <w:p w14:paraId="7F136134">
            <w:pPr>
              <w:pStyle w:val="34"/>
            </w:pPr>
            <w:r>
              <w:t>—</w:t>
            </w:r>
          </w:p>
        </w:tc>
        <w:tc>
          <w:tcPr>
            <w:tcW w:w="0" w:type="auto"/>
            <w:tcBorders>
              <w:top w:val="single" w:color="auto" w:sz="6" w:space="0"/>
              <w:bottom w:val="single" w:color="auto" w:sz="12" w:space="0"/>
            </w:tcBorders>
            <w:vAlign w:val="center"/>
          </w:tcPr>
          <w:p w14:paraId="25850938">
            <w:pPr>
              <w:pStyle w:val="34"/>
            </w:pPr>
            <w:r>
              <w:t>—</w:t>
            </w:r>
          </w:p>
        </w:tc>
        <w:tc>
          <w:tcPr>
            <w:tcW w:w="0" w:type="auto"/>
            <w:tcBorders>
              <w:top w:val="single" w:color="auto" w:sz="6" w:space="0"/>
              <w:bottom w:val="single" w:color="auto" w:sz="12" w:space="0"/>
            </w:tcBorders>
            <w:vAlign w:val="center"/>
          </w:tcPr>
          <w:p w14:paraId="7BBF7099">
            <w:pPr>
              <w:pStyle w:val="34"/>
            </w:pPr>
            <w:r>
              <w:t>—</w:t>
            </w:r>
          </w:p>
        </w:tc>
      </w:tr>
    </w:tbl>
    <w:p w14:paraId="14FA9B40">
      <w:pPr>
        <w:ind w:firstLine="437"/>
        <w:sectPr>
          <w:pgSz w:w="16840" w:h="11907" w:orient="landscape"/>
          <w:pgMar w:top="1797" w:right="1440" w:bottom="1514" w:left="1440" w:header="992" w:footer="851" w:gutter="284"/>
          <w:pgNumType w:fmt="numberInDash"/>
          <w:cols w:space="425" w:num="1"/>
          <w:docGrid w:type="linesAndChars" w:linePitch="465" w:charSpace="-4355"/>
        </w:sectPr>
      </w:pPr>
    </w:p>
    <w:p w14:paraId="728D33C6">
      <w:pPr>
        <w:pStyle w:val="4"/>
      </w:pPr>
      <w:bookmarkStart w:id="560" w:name="_Toc198042337"/>
      <w:bookmarkStart w:id="561" w:name="_Toc217977934"/>
      <w:r>
        <w:t>风险预测与评价</w:t>
      </w:r>
      <w:bookmarkEnd w:id="560"/>
      <w:bookmarkEnd w:id="561"/>
    </w:p>
    <w:p w14:paraId="0B2D26E8">
      <w:pPr>
        <w:pStyle w:val="5"/>
      </w:pPr>
      <w:r>
        <w:rPr>
          <w:rFonts w:hint="eastAsia"/>
        </w:rPr>
        <w:t>陆域环境风险预测与评价</w:t>
      </w:r>
    </w:p>
    <w:p w14:paraId="5E3A3605">
      <w:pPr>
        <w:numPr>
          <w:ilvl w:val="1"/>
          <w:numId w:val="56"/>
        </w:numPr>
        <w:ind w:firstLine="439"/>
        <w:rPr>
          <w:b/>
          <w:bCs/>
          <w:vanish/>
        </w:rPr>
      </w:pPr>
    </w:p>
    <w:p w14:paraId="7A37504E">
      <w:pPr>
        <w:numPr>
          <w:ilvl w:val="2"/>
          <w:numId w:val="56"/>
        </w:numPr>
        <w:ind w:firstLine="439"/>
        <w:rPr>
          <w:b/>
          <w:bCs/>
          <w:vanish/>
        </w:rPr>
      </w:pPr>
    </w:p>
    <w:p w14:paraId="3710AF28">
      <w:pPr>
        <w:pStyle w:val="6"/>
      </w:pPr>
      <w:r>
        <w:rPr>
          <w:rFonts w:hint="eastAsia"/>
        </w:rPr>
        <w:t>泄漏事故环境影响分析</w:t>
      </w:r>
    </w:p>
    <w:p w14:paraId="161C5DE3">
      <w:pPr>
        <w:ind w:firstLine="437"/>
      </w:pPr>
      <w:r>
        <w:rPr>
          <w:rFonts w:hint="eastAsia"/>
        </w:rPr>
        <w:t>一、模型筛选</w:t>
      </w:r>
    </w:p>
    <w:p w14:paraId="594A8476">
      <w:pPr>
        <w:ind w:firstLine="437"/>
      </w:pPr>
      <w:r>
        <w:t>（1）理查德森数定义及计算公式</w:t>
      </w:r>
    </w:p>
    <w:p w14:paraId="1AC88926">
      <w:pPr>
        <w:ind w:firstLine="437"/>
      </w:pPr>
      <w:r>
        <w:t>根据HJ169-2018，查理理查德森数（Ri）的计算分连续排放和瞬时排放两种形式，查理理查德森数（Ri）两种排放方式计算公式如下。</w:t>
      </w:r>
    </w:p>
    <w:p w14:paraId="1A4227F6">
      <w:pPr>
        <w:ind w:firstLine="437"/>
      </w:pPr>
      <w:r>
        <w:drawing>
          <wp:inline distT="0" distB="0" distL="0" distR="0">
            <wp:extent cx="1431925" cy="379730"/>
            <wp:effectExtent l="0" t="0" r="0" b="1270"/>
            <wp:docPr id="1007727877" name="图片 421" descr="360截图17860604781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27877" name="图片 421" descr="360截图17860604781186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1431925" cy="379730"/>
                    </a:xfrm>
                    <a:prstGeom prst="rect">
                      <a:avLst/>
                    </a:prstGeom>
                    <a:noFill/>
                    <a:ln>
                      <a:noFill/>
                    </a:ln>
                  </pic:spPr>
                </pic:pic>
              </a:graphicData>
            </a:graphic>
          </wp:inline>
        </w:drawing>
      </w:r>
    </w:p>
    <w:p w14:paraId="7703C1D6">
      <w:pPr>
        <w:ind w:firstLine="437"/>
      </w:pPr>
      <w:r>
        <w:t>连续排放：</w:t>
      </w:r>
    </w:p>
    <w:p w14:paraId="663014CB">
      <w:pPr>
        <w:ind w:firstLine="437"/>
      </w:pPr>
      <w:r>
        <w:drawing>
          <wp:inline distT="0" distB="0" distL="0" distR="0">
            <wp:extent cx="1630680" cy="664210"/>
            <wp:effectExtent l="0" t="0" r="7620" b="2540"/>
            <wp:docPr id="771740938" name="图片 420" descr="360截图17401209558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40938" name="图片 420" descr="360截图1740120955849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1630680" cy="664210"/>
                    </a:xfrm>
                    <a:prstGeom prst="rect">
                      <a:avLst/>
                    </a:prstGeom>
                    <a:noFill/>
                    <a:ln>
                      <a:noFill/>
                    </a:ln>
                  </pic:spPr>
                </pic:pic>
              </a:graphicData>
            </a:graphic>
          </wp:inline>
        </w:drawing>
      </w:r>
    </w:p>
    <w:p w14:paraId="5D9A98DE">
      <w:pPr>
        <w:ind w:firstLine="437"/>
      </w:pPr>
      <w:r>
        <w:t>瞬时排放：</w:t>
      </w:r>
    </w:p>
    <w:p w14:paraId="0EE776C9">
      <w:pPr>
        <w:ind w:firstLine="437"/>
      </w:pPr>
      <w:r>
        <w:drawing>
          <wp:inline distT="0" distB="0" distL="0" distR="0">
            <wp:extent cx="1742440" cy="543560"/>
            <wp:effectExtent l="0" t="0" r="0" b="8890"/>
            <wp:docPr id="1419321150" name="图片 419" descr="360截图1872012194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321150" name="图片 419" descr="360截图1872012194739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1742440" cy="543560"/>
                    </a:xfrm>
                    <a:prstGeom prst="rect">
                      <a:avLst/>
                    </a:prstGeom>
                    <a:noFill/>
                    <a:ln>
                      <a:noFill/>
                    </a:ln>
                  </pic:spPr>
                </pic:pic>
              </a:graphicData>
            </a:graphic>
          </wp:inline>
        </w:drawing>
      </w:r>
    </w:p>
    <w:p w14:paraId="60C4B357">
      <w:pPr>
        <w:ind w:firstLine="437"/>
      </w:pPr>
      <w:r>
        <w:t>式中：ρrel—排放物质进入大气的初始密度，kg/m3；</w:t>
      </w:r>
    </w:p>
    <w:p w14:paraId="752104E4">
      <w:pPr>
        <w:ind w:firstLine="437"/>
      </w:pPr>
      <w:r>
        <w:t xml:space="preserve">      ρa—环境空气密度，kg/m3；</w:t>
      </w:r>
    </w:p>
    <w:p w14:paraId="0EC59B70">
      <w:pPr>
        <w:ind w:firstLine="437"/>
      </w:pPr>
      <w:r>
        <w:t xml:space="preserve">      Q—连续排放烟羽的排放速率，kg/s；</w:t>
      </w:r>
    </w:p>
    <w:p w14:paraId="4DE8CDDC">
      <w:pPr>
        <w:ind w:firstLine="437"/>
      </w:pPr>
      <w:r>
        <w:t xml:space="preserve">      Qr—瞬时排放烟羽的排放速率，kg/s；</w:t>
      </w:r>
    </w:p>
    <w:p w14:paraId="772E5745">
      <w:pPr>
        <w:ind w:firstLine="437"/>
      </w:pPr>
      <w:r>
        <w:t xml:space="preserve">      Drel—初始的烟团宽度，即源直径，m；</w:t>
      </w:r>
    </w:p>
    <w:p w14:paraId="47D6F6EA">
      <w:pPr>
        <w:ind w:firstLine="437"/>
      </w:pPr>
      <w:r>
        <w:t xml:space="preserve">      Ur—10m高处风速，m/s。</w:t>
      </w:r>
    </w:p>
    <w:p w14:paraId="1CCB4ACC">
      <w:pPr>
        <w:ind w:firstLine="437"/>
      </w:pPr>
      <w:r>
        <w:t>判定连续排放还是瞬时排放，可通过对比排放时间Td和污染物到达最近的受体点（网格点或敏感点）的时间T确定。</w:t>
      </w:r>
    </w:p>
    <w:p w14:paraId="3E013B24">
      <w:pPr>
        <w:ind w:firstLine="437"/>
      </w:pPr>
      <w:r>
        <w:drawing>
          <wp:inline distT="0" distB="0" distL="0" distR="0">
            <wp:extent cx="621030" cy="250190"/>
            <wp:effectExtent l="0" t="0" r="7620" b="0"/>
            <wp:docPr id="57438220" name="图片 418" descr="360截图1757111746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8220" name="图片 418" descr="360截图1757111746507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621030" cy="250190"/>
                    </a:xfrm>
                    <a:prstGeom prst="rect">
                      <a:avLst/>
                    </a:prstGeom>
                    <a:noFill/>
                    <a:ln>
                      <a:noFill/>
                    </a:ln>
                  </pic:spPr>
                </pic:pic>
              </a:graphicData>
            </a:graphic>
          </wp:inline>
        </w:drawing>
      </w:r>
    </w:p>
    <w:p w14:paraId="5046B569">
      <w:pPr>
        <w:ind w:firstLine="437"/>
      </w:pPr>
      <w:r>
        <w:t>式中：X—事故发生地与计算点的距离，m；</w:t>
      </w:r>
    </w:p>
    <w:p w14:paraId="43AA551C">
      <w:pPr>
        <w:ind w:firstLine="437"/>
      </w:pPr>
      <w:r>
        <w:t xml:space="preserve">      Ur—10m高处风速，m/s。假设风速和风向在T时间段内保持不变。</w:t>
      </w:r>
    </w:p>
    <w:p w14:paraId="788FF673">
      <w:pPr>
        <w:ind w:firstLine="437"/>
      </w:pPr>
      <w:r>
        <w:t>当Td&gt;T时，可被认为是连续排放的；当Td≤T时，可被认为是瞬时排放。</w:t>
      </w:r>
    </w:p>
    <w:p w14:paraId="45EE8D77">
      <w:pPr>
        <w:ind w:firstLine="437"/>
      </w:pPr>
      <w:r>
        <w:t>（2）判断标准</w:t>
      </w:r>
    </w:p>
    <w:p w14:paraId="6BB5F973">
      <w:pPr>
        <w:ind w:firstLine="437"/>
      </w:pPr>
      <w:r>
        <w:t>判断标准：对于连续排放，Ri≥1/6为重质气体，Ri&lt;1/6为轻质气体；对于瞬时排放，Ri&gt;0.04为重质气体，Ri≤0.04为轻质气体。当Ri处于临界值附近时，说明烟团/烟羽既不是典型的重质气体扩散，也不是典型的轻质气体扩散</w:t>
      </w:r>
      <w:r>
        <w:rPr>
          <w:rFonts w:hint="eastAsia"/>
        </w:rPr>
        <w:t>；</w:t>
      </w:r>
      <w:r>
        <w:t>可以进行敏感性分析，分别采用重质气体模型和轻质气体模型进行模拟，选取影响范围最大的结果。</w:t>
      </w:r>
    </w:p>
    <w:p w14:paraId="3F2FAE35">
      <w:pPr>
        <w:ind w:firstLine="437"/>
      </w:pPr>
      <w:r>
        <w:t>根据</w:t>
      </w:r>
      <w:r>
        <w:rPr>
          <w:rFonts w:hint="eastAsia"/>
        </w:rPr>
        <w:t>风险源强分析，以泄露事故发生在堆场作为典型事件，与</w:t>
      </w:r>
      <w:r>
        <w:t>事故发生地到达最近的受体点（</w:t>
      </w:r>
      <w:r>
        <w:rPr>
          <w:rFonts w:hint="eastAsia"/>
        </w:rPr>
        <w:t>港务大厦</w:t>
      </w:r>
      <w:r>
        <w:t>）</w:t>
      </w:r>
      <w:r>
        <w:rPr>
          <w:rFonts w:hint="eastAsia"/>
        </w:rPr>
        <w:t>约3070m；项目所在地</w:t>
      </w:r>
      <w:r>
        <w:t>10m高处风速</w:t>
      </w:r>
      <w:r>
        <w:rPr>
          <w:rFonts w:hint="eastAsia"/>
        </w:rPr>
        <w:t>取3.2</w:t>
      </w:r>
      <w:r>
        <w:t>m/s</w:t>
      </w:r>
      <w:r>
        <w:rPr>
          <w:rFonts w:hint="eastAsia"/>
        </w:rPr>
        <w:t>，事故时排放时间一般取10~15min，经计算</w:t>
      </w:r>
      <w:r>
        <w:t>T=2X/Ur=2×</w:t>
      </w:r>
      <w:r>
        <w:rPr>
          <w:rFonts w:hint="eastAsia"/>
        </w:rPr>
        <w:t>980</w:t>
      </w:r>
      <w:r>
        <w:t>/</w:t>
      </w:r>
      <w:r>
        <w:rPr>
          <w:rFonts w:hint="eastAsia"/>
        </w:rPr>
        <w:t>3.2</w:t>
      </w:r>
      <w:r>
        <w:t>=</w:t>
      </w:r>
      <w:r>
        <w:rPr>
          <w:rFonts w:hint="eastAsia"/>
        </w:rPr>
        <w:t>612.5</w:t>
      </w:r>
      <w:r>
        <w:t>s</w:t>
      </w:r>
      <w:r>
        <w:rPr>
          <w:rFonts w:hint="eastAsia"/>
        </w:rPr>
        <w:t>，事故排放时间＞污染物到达时间，项目</w:t>
      </w:r>
      <w:r>
        <w:t>有毒有害气体排放方式均为连续排放</w:t>
      </w:r>
      <w:r>
        <w:rPr>
          <w:rFonts w:hint="eastAsia"/>
        </w:rPr>
        <w:t>。</w:t>
      </w:r>
    </w:p>
    <w:p w14:paraId="233B03CB">
      <w:pPr>
        <w:ind w:firstLine="437"/>
      </w:pPr>
      <w:r>
        <w:t>根据《建设项目环境风险评价技术导则》（HJ 169-2018）要求，二级评价需预测最不利气象条件。最不利气象条件取F类稳定度，1.5m/s风速，温度25</w:t>
      </w:r>
      <w:r>
        <w:rPr>
          <w:rFonts w:hint="eastAsia"/>
        </w:rPr>
        <w:t>℃</w:t>
      </w:r>
      <w:r>
        <w:t>，相对湿度50%。</w:t>
      </w:r>
    </w:p>
    <w:p w14:paraId="2A0D42BD">
      <w:pPr>
        <w:ind w:firstLine="437"/>
      </w:pPr>
      <w:r>
        <w:rPr>
          <w:rFonts w:hint="eastAsia"/>
        </w:rPr>
        <w:t>一、乙硫醇泄漏</w:t>
      </w:r>
    </w:p>
    <w:p w14:paraId="59C604C8">
      <w:pPr>
        <w:ind w:firstLine="437"/>
      </w:pPr>
      <w:r>
        <w:rPr>
          <w:rFonts w:hint="eastAsia"/>
        </w:rPr>
        <w:t>1</w:t>
      </w:r>
      <w:r>
        <w:t>、预测模型筛选</w:t>
      </w:r>
    </w:p>
    <w:p w14:paraId="1CB2485F">
      <w:pPr>
        <w:ind w:firstLine="437"/>
      </w:pPr>
      <w:r>
        <w:rPr>
          <w:rFonts w:hint="eastAsia"/>
        </w:rPr>
        <w:t>乙硫醇蒸气相对密度2.14kg/m</w:t>
      </w:r>
      <w:r>
        <w:rPr>
          <w:rFonts w:hint="eastAsia"/>
          <w:vertAlign w:val="superscript"/>
        </w:rPr>
        <w:t>3</w:t>
      </w:r>
      <w:r>
        <w:rPr>
          <w:rFonts w:hint="eastAsia"/>
        </w:rPr>
        <w:t>，输入源强参数后，计算得到理查德森数Ri</w:t>
      </w:r>
      <w:bookmarkStart w:id="562" w:name="_Hlk65578644"/>
      <w:r>
        <w:rPr>
          <w:rFonts w:hint="eastAsia"/>
        </w:rPr>
        <w:t>＜1/6</w:t>
      </w:r>
      <w:bookmarkEnd w:id="562"/>
      <w:r>
        <w:rPr>
          <w:rFonts w:hint="eastAsia"/>
        </w:rPr>
        <w:t>，为轻质气体。扩散计算建议采用AFTOX模式。</w:t>
      </w:r>
    </w:p>
    <w:p w14:paraId="7E8F2492">
      <w:pPr>
        <w:ind w:firstLine="437"/>
      </w:pPr>
      <w:r>
        <w:rPr>
          <w:rFonts w:hint="eastAsia"/>
        </w:rPr>
        <w:t>2</w:t>
      </w:r>
      <w:r>
        <w:t>、预测结果</w:t>
      </w:r>
    </w:p>
    <w:p w14:paraId="547B00DB">
      <w:pPr>
        <w:ind w:firstLine="437"/>
      </w:pPr>
      <w:r>
        <w:rPr>
          <w:rFonts w:hint="eastAsia"/>
        </w:rPr>
        <w:t>①</w:t>
      </w:r>
      <w:r>
        <w:t>预测参数</w:t>
      </w:r>
    </w:p>
    <w:p w14:paraId="0DDCA94E">
      <w:pPr>
        <w:pStyle w:val="7"/>
      </w:pPr>
      <w:r>
        <w:rPr>
          <w:rFonts w:hint="eastAsia"/>
        </w:rPr>
        <w:t>乙硫醇泄漏</w:t>
      </w:r>
      <w:r>
        <w:t>大气风险预测模型主要参数表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60"/>
        <w:gridCol w:w="2384"/>
        <w:gridCol w:w="4684"/>
      </w:tblGrid>
      <w:tr w14:paraId="309AB8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460" w:type="dxa"/>
            <w:vAlign w:val="center"/>
          </w:tcPr>
          <w:p w14:paraId="6557BD58">
            <w:pPr>
              <w:pStyle w:val="34"/>
            </w:pPr>
            <w:r>
              <w:t>参数类型</w:t>
            </w:r>
          </w:p>
        </w:tc>
        <w:tc>
          <w:tcPr>
            <w:tcW w:w="2384" w:type="dxa"/>
            <w:vAlign w:val="center"/>
          </w:tcPr>
          <w:p w14:paraId="7207D905">
            <w:pPr>
              <w:pStyle w:val="34"/>
            </w:pPr>
            <w:r>
              <w:t>选项</w:t>
            </w:r>
          </w:p>
        </w:tc>
        <w:tc>
          <w:tcPr>
            <w:tcW w:w="4684" w:type="dxa"/>
            <w:vAlign w:val="center"/>
          </w:tcPr>
          <w:p w14:paraId="321D7EEB">
            <w:pPr>
              <w:pStyle w:val="34"/>
            </w:pPr>
            <w:r>
              <w:t>参数</w:t>
            </w:r>
          </w:p>
        </w:tc>
      </w:tr>
      <w:tr w14:paraId="1CBD7D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3AAA390E">
            <w:pPr>
              <w:pStyle w:val="34"/>
            </w:pPr>
            <w:r>
              <w:t>基本情况</w:t>
            </w:r>
          </w:p>
        </w:tc>
        <w:tc>
          <w:tcPr>
            <w:tcW w:w="2384" w:type="dxa"/>
            <w:vAlign w:val="center"/>
          </w:tcPr>
          <w:p w14:paraId="2F5BA0E2">
            <w:pPr>
              <w:pStyle w:val="34"/>
            </w:pPr>
            <w:r>
              <w:t>事故源经度/（°）</w:t>
            </w:r>
          </w:p>
        </w:tc>
        <w:tc>
          <w:tcPr>
            <w:tcW w:w="4684" w:type="dxa"/>
          </w:tcPr>
          <w:p w14:paraId="6937CCED">
            <w:pPr>
              <w:pStyle w:val="34"/>
            </w:pPr>
            <w:r>
              <w:t>108.6</w:t>
            </w:r>
            <w:r>
              <w:rPr>
                <w:rFonts w:hint="eastAsia"/>
              </w:rPr>
              <w:t>57</w:t>
            </w:r>
          </w:p>
        </w:tc>
      </w:tr>
      <w:tr w14:paraId="2CB96F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C7A382C">
            <w:pPr>
              <w:pStyle w:val="34"/>
            </w:pPr>
          </w:p>
        </w:tc>
        <w:tc>
          <w:tcPr>
            <w:tcW w:w="2384" w:type="dxa"/>
            <w:vAlign w:val="center"/>
          </w:tcPr>
          <w:p w14:paraId="67C9AD80">
            <w:pPr>
              <w:pStyle w:val="34"/>
            </w:pPr>
            <w:r>
              <w:t>事故源纬度/（°）</w:t>
            </w:r>
          </w:p>
        </w:tc>
        <w:tc>
          <w:tcPr>
            <w:tcW w:w="4684" w:type="dxa"/>
          </w:tcPr>
          <w:p w14:paraId="3F11E636">
            <w:pPr>
              <w:pStyle w:val="34"/>
            </w:pPr>
            <w:r>
              <w:t>21.66</w:t>
            </w:r>
            <w:r>
              <w:rPr>
                <w:rFonts w:hint="eastAsia"/>
              </w:rPr>
              <w:t>3</w:t>
            </w:r>
          </w:p>
        </w:tc>
      </w:tr>
      <w:tr w14:paraId="047E73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61059813">
            <w:pPr>
              <w:pStyle w:val="34"/>
            </w:pPr>
          </w:p>
        </w:tc>
        <w:tc>
          <w:tcPr>
            <w:tcW w:w="2384" w:type="dxa"/>
            <w:vAlign w:val="center"/>
          </w:tcPr>
          <w:p w14:paraId="2EA7F77B">
            <w:pPr>
              <w:pStyle w:val="34"/>
            </w:pPr>
            <w:r>
              <w:t>事故源类型</w:t>
            </w:r>
          </w:p>
        </w:tc>
        <w:tc>
          <w:tcPr>
            <w:tcW w:w="4684" w:type="dxa"/>
            <w:vAlign w:val="center"/>
          </w:tcPr>
          <w:p w14:paraId="7CCDF6B5">
            <w:pPr>
              <w:pStyle w:val="34"/>
            </w:pPr>
            <w:r>
              <w:t>危险物质泄漏</w:t>
            </w:r>
          </w:p>
        </w:tc>
      </w:tr>
      <w:tr w14:paraId="44BD56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022083DC">
            <w:pPr>
              <w:pStyle w:val="34"/>
            </w:pPr>
            <w:r>
              <w:t>气象参数</w:t>
            </w:r>
          </w:p>
        </w:tc>
        <w:tc>
          <w:tcPr>
            <w:tcW w:w="2384" w:type="dxa"/>
            <w:vAlign w:val="center"/>
          </w:tcPr>
          <w:p w14:paraId="346F4A6A">
            <w:pPr>
              <w:pStyle w:val="34"/>
            </w:pPr>
            <w:r>
              <w:t>气象条件类型</w:t>
            </w:r>
          </w:p>
        </w:tc>
        <w:tc>
          <w:tcPr>
            <w:tcW w:w="4684" w:type="dxa"/>
            <w:vAlign w:val="center"/>
          </w:tcPr>
          <w:p w14:paraId="2C86A6E4">
            <w:pPr>
              <w:pStyle w:val="34"/>
            </w:pPr>
            <w:r>
              <w:t>最不利气象条件</w:t>
            </w:r>
          </w:p>
        </w:tc>
      </w:tr>
      <w:tr w14:paraId="5C2FFB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EA33596">
            <w:pPr>
              <w:pStyle w:val="34"/>
            </w:pPr>
          </w:p>
        </w:tc>
        <w:tc>
          <w:tcPr>
            <w:tcW w:w="2384" w:type="dxa"/>
            <w:vAlign w:val="center"/>
          </w:tcPr>
          <w:p w14:paraId="464B8EE3">
            <w:pPr>
              <w:pStyle w:val="34"/>
            </w:pPr>
            <w:r>
              <w:t>风速/（m/s）</w:t>
            </w:r>
          </w:p>
        </w:tc>
        <w:tc>
          <w:tcPr>
            <w:tcW w:w="4684" w:type="dxa"/>
            <w:vAlign w:val="center"/>
          </w:tcPr>
          <w:p w14:paraId="5BB57AAC">
            <w:pPr>
              <w:pStyle w:val="34"/>
            </w:pPr>
            <w:r>
              <w:t>1.5</w:t>
            </w:r>
          </w:p>
        </w:tc>
      </w:tr>
      <w:tr w14:paraId="6ABA20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37BD9CD3">
            <w:pPr>
              <w:pStyle w:val="34"/>
            </w:pPr>
          </w:p>
        </w:tc>
        <w:tc>
          <w:tcPr>
            <w:tcW w:w="2384" w:type="dxa"/>
            <w:vAlign w:val="center"/>
          </w:tcPr>
          <w:p w14:paraId="0036125D">
            <w:pPr>
              <w:pStyle w:val="34"/>
            </w:pPr>
            <w:r>
              <w:t>环境温度/</w:t>
            </w:r>
            <w:r>
              <w:rPr>
                <w:rFonts w:hint="eastAsia"/>
              </w:rPr>
              <w:t>℃</w:t>
            </w:r>
          </w:p>
        </w:tc>
        <w:tc>
          <w:tcPr>
            <w:tcW w:w="4684" w:type="dxa"/>
            <w:vAlign w:val="center"/>
          </w:tcPr>
          <w:p w14:paraId="356B26BE">
            <w:pPr>
              <w:pStyle w:val="34"/>
            </w:pPr>
            <w:r>
              <w:t>25</w:t>
            </w:r>
          </w:p>
        </w:tc>
      </w:tr>
      <w:tr w14:paraId="2BD785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01749F62">
            <w:pPr>
              <w:pStyle w:val="34"/>
            </w:pPr>
          </w:p>
        </w:tc>
        <w:tc>
          <w:tcPr>
            <w:tcW w:w="2384" w:type="dxa"/>
            <w:vAlign w:val="center"/>
          </w:tcPr>
          <w:p w14:paraId="72131B6F">
            <w:pPr>
              <w:pStyle w:val="34"/>
            </w:pPr>
            <w:r>
              <w:t>相对湿度/%</w:t>
            </w:r>
          </w:p>
        </w:tc>
        <w:tc>
          <w:tcPr>
            <w:tcW w:w="4684" w:type="dxa"/>
            <w:vAlign w:val="center"/>
          </w:tcPr>
          <w:p w14:paraId="6210714D">
            <w:pPr>
              <w:pStyle w:val="34"/>
            </w:pPr>
            <w:r>
              <w:t>50</w:t>
            </w:r>
          </w:p>
        </w:tc>
      </w:tr>
      <w:tr w14:paraId="4E44F9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062EC949">
            <w:pPr>
              <w:pStyle w:val="34"/>
            </w:pPr>
          </w:p>
        </w:tc>
        <w:tc>
          <w:tcPr>
            <w:tcW w:w="2384" w:type="dxa"/>
            <w:vAlign w:val="center"/>
          </w:tcPr>
          <w:p w14:paraId="4BECADCA">
            <w:pPr>
              <w:pStyle w:val="34"/>
            </w:pPr>
            <w:r>
              <w:t>稳定度</w:t>
            </w:r>
          </w:p>
        </w:tc>
        <w:tc>
          <w:tcPr>
            <w:tcW w:w="4684" w:type="dxa"/>
            <w:vAlign w:val="center"/>
          </w:tcPr>
          <w:p w14:paraId="51D40808">
            <w:pPr>
              <w:pStyle w:val="34"/>
            </w:pPr>
            <w:r>
              <w:t>F</w:t>
            </w:r>
          </w:p>
        </w:tc>
      </w:tr>
      <w:tr w14:paraId="24E9C3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4714CD8F">
            <w:pPr>
              <w:pStyle w:val="34"/>
            </w:pPr>
            <w:r>
              <w:t>其他参数</w:t>
            </w:r>
          </w:p>
        </w:tc>
        <w:tc>
          <w:tcPr>
            <w:tcW w:w="2384" w:type="dxa"/>
            <w:vAlign w:val="center"/>
          </w:tcPr>
          <w:p w14:paraId="041EB780">
            <w:pPr>
              <w:pStyle w:val="34"/>
            </w:pPr>
            <w:r>
              <w:t>地表粗糙度/</w:t>
            </w:r>
            <w:r>
              <w:rPr>
                <w:rFonts w:hint="eastAsia"/>
              </w:rPr>
              <w:t>m</w:t>
            </w:r>
          </w:p>
        </w:tc>
        <w:tc>
          <w:tcPr>
            <w:tcW w:w="4684" w:type="dxa"/>
            <w:vAlign w:val="center"/>
          </w:tcPr>
          <w:p w14:paraId="29726718">
            <w:pPr>
              <w:pStyle w:val="34"/>
            </w:pPr>
            <w:r>
              <w:rPr>
                <w:rFonts w:hint="eastAsia"/>
              </w:rPr>
              <w:t>0.03</w:t>
            </w:r>
          </w:p>
        </w:tc>
      </w:tr>
      <w:tr w14:paraId="125CE8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3" w:hRule="atLeast"/>
        </w:trPr>
        <w:tc>
          <w:tcPr>
            <w:tcW w:w="1460" w:type="dxa"/>
            <w:vMerge w:val="continue"/>
            <w:vAlign w:val="center"/>
          </w:tcPr>
          <w:p w14:paraId="36EBF667">
            <w:pPr>
              <w:pStyle w:val="34"/>
            </w:pPr>
          </w:p>
        </w:tc>
        <w:tc>
          <w:tcPr>
            <w:tcW w:w="2384" w:type="dxa"/>
            <w:vAlign w:val="center"/>
          </w:tcPr>
          <w:p w14:paraId="1558A7DC">
            <w:pPr>
              <w:pStyle w:val="34"/>
            </w:pPr>
            <w:r>
              <w:t>是否考虑地形</w:t>
            </w:r>
          </w:p>
        </w:tc>
        <w:tc>
          <w:tcPr>
            <w:tcW w:w="4684" w:type="dxa"/>
            <w:vAlign w:val="center"/>
          </w:tcPr>
          <w:p w14:paraId="052C5F9E">
            <w:pPr>
              <w:pStyle w:val="34"/>
            </w:pPr>
            <w:r>
              <w:rPr>
                <w:rFonts w:hint="eastAsia"/>
              </w:rPr>
              <w:t>否</w:t>
            </w:r>
          </w:p>
        </w:tc>
      </w:tr>
      <w:tr w14:paraId="1F50FE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trPr>
        <w:tc>
          <w:tcPr>
            <w:tcW w:w="1460" w:type="dxa"/>
            <w:vMerge w:val="continue"/>
            <w:vAlign w:val="center"/>
          </w:tcPr>
          <w:p w14:paraId="115C9184">
            <w:pPr>
              <w:pStyle w:val="34"/>
            </w:pPr>
          </w:p>
        </w:tc>
        <w:tc>
          <w:tcPr>
            <w:tcW w:w="2384" w:type="dxa"/>
            <w:vAlign w:val="center"/>
          </w:tcPr>
          <w:p w14:paraId="27472489">
            <w:pPr>
              <w:pStyle w:val="34"/>
            </w:pPr>
            <w:r>
              <w:t>地形数据精度/m</w:t>
            </w:r>
          </w:p>
        </w:tc>
        <w:tc>
          <w:tcPr>
            <w:tcW w:w="4684" w:type="dxa"/>
            <w:vAlign w:val="center"/>
          </w:tcPr>
          <w:p w14:paraId="6F515C5B">
            <w:pPr>
              <w:pStyle w:val="34"/>
            </w:pPr>
            <w:r>
              <w:rPr>
                <w:rFonts w:hint="eastAsia"/>
              </w:rPr>
              <w:t>/</w:t>
            </w:r>
          </w:p>
        </w:tc>
      </w:tr>
    </w:tbl>
    <w:p w14:paraId="0150AB49">
      <w:pPr>
        <w:ind w:firstLine="437"/>
      </w:pPr>
      <w:r>
        <w:rPr>
          <w:rFonts w:hint="eastAsia"/>
        </w:rPr>
        <w:t>②</w:t>
      </w:r>
      <w:r>
        <w:t>预测结果</w:t>
      </w:r>
    </w:p>
    <w:p w14:paraId="0EC7B330">
      <w:pPr>
        <w:ind w:firstLine="437"/>
      </w:pPr>
      <w:r>
        <w:t>由预测结果可知，</w:t>
      </w:r>
      <w:bookmarkStart w:id="563" w:name="_Hlk68454641"/>
      <w:r>
        <w:t>在最不利气象条件（F类稳定度，1.5m/s风速，温度25</w:t>
      </w:r>
      <w:r>
        <w:rPr>
          <w:rFonts w:hint="eastAsia"/>
        </w:rPr>
        <w:t>℃</w:t>
      </w:r>
      <w:r>
        <w:t>，相对湿度50%）下，</w:t>
      </w:r>
      <w:r>
        <w:rPr>
          <w:rFonts w:hint="eastAsia"/>
        </w:rPr>
        <w:t>乙硫醇</w:t>
      </w:r>
      <w:r>
        <w:t>浓度</w:t>
      </w:r>
      <w:r>
        <w:rPr>
          <w:rFonts w:hint="eastAsia"/>
        </w:rPr>
        <w:t>超出</w:t>
      </w:r>
      <w:r>
        <w:t>大气毒性终点浓度-1（</w:t>
      </w:r>
      <w:r>
        <w:rPr>
          <w:rFonts w:hint="eastAsia"/>
        </w:rPr>
        <w:t>910mg/m</w:t>
      </w:r>
      <w:r>
        <w:rPr>
          <w:rFonts w:hint="eastAsia"/>
          <w:vertAlign w:val="superscript"/>
        </w:rPr>
        <w:t>3</w:t>
      </w:r>
      <w:r>
        <w:t>）</w:t>
      </w:r>
      <w:r>
        <w:rPr>
          <w:rFonts w:hint="eastAsia"/>
        </w:rPr>
        <w:t>对应的距离为下风向110m，</w:t>
      </w:r>
      <w:r>
        <w:t>达到大气毒性终点浓度-2（</w:t>
      </w:r>
      <w:r>
        <w:rPr>
          <w:rFonts w:hint="eastAsia"/>
        </w:rPr>
        <w:t>300mg/m</w:t>
      </w:r>
      <w:r>
        <w:rPr>
          <w:rFonts w:hint="eastAsia"/>
          <w:vertAlign w:val="superscript"/>
        </w:rPr>
        <w:t>3</w:t>
      </w:r>
      <w:r>
        <w:t>）</w:t>
      </w:r>
      <w:r>
        <w:rPr>
          <w:rFonts w:hint="eastAsia"/>
        </w:rPr>
        <w:t>对应的距离为下风向260m；</w:t>
      </w:r>
      <w:r>
        <w:t>事故发生后，预测到达</w:t>
      </w:r>
      <w:r>
        <w:rPr>
          <w:rFonts w:hint="eastAsia"/>
        </w:rPr>
        <w:t>敏感点</w:t>
      </w:r>
      <w:r>
        <w:t>的</w:t>
      </w:r>
      <w:r>
        <w:rPr>
          <w:rFonts w:hint="eastAsia"/>
        </w:rPr>
        <w:t>乙硫醇</w:t>
      </w:r>
      <w:r>
        <w:t>浓度</w:t>
      </w:r>
      <w:r>
        <w:rPr>
          <w:rFonts w:hint="eastAsia"/>
        </w:rPr>
        <w:t>最大</w:t>
      </w:r>
      <w:r>
        <w:t>贡献值</w:t>
      </w:r>
      <w:r>
        <w:rPr>
          <w:rFonts w:hint="eastAsia"/>
        </w:rPr>
        <w:t>出现在联检港务大厦，浓度为24mg/m</w:t>
      </w:r>
      <w:r>
        <w:rPr>
          <w:vertAlign w:val="superscript"/>
        </w:rPr>
        <w:t>3</w:t>
      </w:r>
      <w:r>
        <w:t>，未达到大气毒性终点浓度-1</w:t>
      </w:r>
      <w:r>
        <w:rPr>
          <w:rFonts w:hint="eastAsia"/>
        </w:rPr>
        <w:t>和达到大</w:t>
      </w:r>
      <w:r>
        <w:t>气毒性终点浓度-2，</w:t>
      </w:r>
      <w:r>
        <w:rPr>
          <w:rFonts w:hint="eastAsia"/>
        </w:rPr>
        <w:t>对周边环境影响不大</w:t>
      </w:r>
      <w:r>
        <w:t>。</w:t>
      </w:r>
      <w:bookmarkEnd w:id="563"/>
    </w:p>
    <w:p w14:paraId="1E31FD9A">
      <w:pPr>
        <w:pStyle w:val="7"/>
      </w:pPr>
      <w:bookmarkStart w:id="564" w:name="_Hlk68454658"/>
      <w:r>
        <w:t>下风向不同距离</w:t>
      </w:r>
      <w:r>
        <w:rPr>
          <w:rFonts w:hint="eastAsia"/>
        </w:rPr>
        <w:t>乙硫醇</w:t>
      </w:r>
      <w:r>
        <w:t>的最大浓度</w:t>
      </w:r>
    </w:p>
    <w:tbl>
      <w:tblPr>
        <w:tblStyle w:val="88"/>
        <w:tblW w:w="8528"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340"/>
        <w:gridCol w:w="2813"/>
        <w:gridCol w:w="3375"/>
      </w:tblGrid>
      <w:tr w14:paraId="15CE00C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tblHeader/>
          <w:jc w:val="center"/>
        </w:trPr>
        <w:tc>
          <w:tcPr>
            <w:tcW w:w="2340" w:type="dxa"/>
            <w:vAlign w:val="center"/>
          </w:tcPr>
          <w:p w14:paraId="7EDAAEA8">
            <w:pPr>
              <w:pStyle w:val="34"/>
              <w:rPr>
                <w:szCs w:val="21"/>
              </w:rPr>
            </w:pPr>
            <w:r>
              <w:rPr>
                <w:szCs w:val="21"/>
              </w:rPr>
              <w:t>下风向距离（m）</w:t>
            </w:r>
          </w:p>
        </w:tc>
        <w:tc>
          <w:tcPr>
            <w:tcW w:w="2813" w:type="dxa"/>
            <w:vAlign w:val="center"/>
          </w:tcPr>
          <w:p w14:paraId="266B63F3">
            <w:pPr>
              <w:pStyle w:val="34"/>
              <w:rPr>
                <w:szCs w:val="21"/>
              </w:rPr>
            </w:pPr>
            <w:r>
              <w:rPr>
                <w:szCs w:val="21"/>
              </w:rPr>
              <w:t>浓度出现时间（min）</w:t>
            </w:r>
          </w:p>
        </w:tc>
        <w:tc>
          <w:tcPr>
            <w:tcW w:w="3375" w:type="dxa"/>
            <w:vAlign w:val="center"/>
          </w:tcPr>
          <w:p w14:paraId="00E6155B">
            <w:pPr>
              <w:pStyle w:val="34"/>
              <w:rPr>
                <w:szCs w:val="21"/>
              </w:rPr>
            </w:pPr>
            <w:r>
              <w:rPr>
                <w:szCs w:val="21"/>
              </w:rPr>
              <w:t>下风向高峰浓度（mg/m</w:t>
            </w:r>
            <w:r>
              <w:rPr>
                <w:szCs w:val="21"/>
                <w:vertAlign w:val="superscript"/>
              </w:rPr>
              <w:t>3</w:t>
            </w:r>
            <w:r>
              <w:rPr>
                <w:szCs w:val="21"/>
              </w:rPr>
              <w:t>）</w:t>
            </w:r>
          </w:p>
        </w:tc>
      </w:tr>
      <w:tr w14:paraId="28337D3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1AFFA48A">
            <w:pPr>
              <w:pStyle w:val="34"/>
              <w:rPr>
                <w:szCs w:val="21"/>
              </w:rPr>
            </w:pPr>
            <w:r>
              <w:rPr>
                <w:color w:val="000000"/>
                <w:szCs w:val="21"/>
              </w:rPr>
              <w:t xml:space="preserve">10.00 </w:t>
            </w:r>
          </w:p>
        </w:tc>
        <w:tc>
          <w:tcPr>
            <w:tcW w:w="2813" w:type="dxa"/>
            <w:vAlign w:val="center"/>
          </w:tcPr>
          <w:p w14:paraId="5C57F87E">
            <w:pPr>
              <w:pStyle w:val="34"/>
              <w:rPr>
                <w:szCs w:val="21"/>
              </w:rPr>
            </w:pPr>
            <w:r>
              <w:rPr>
                <w:szCs w:val="21"/>
              </w:rPr>
              <w:t xml:space="preserve">0.08 </w:t>
            </w:r>
          </w:p>
        </w:tc>
        <w:tc>
          <w:tcPr>
            <w:tcW w:w="3375" w:type="dxa"/>
            <w:vAlign w:val="center"/>
          </w:tcPr>
          <w:p w14:paraId="35E4DE5E">
            <w:pPr>
              <w:pStyle w:val="34"/>
              <w:rPr>
                <w:szCs w:val="21"/>
              </w:rPr>
            </w:pPr>
            <w:r>
              <w:rPr>
                <w:szCs w:val="21"/>
              </w:rPr>
              <w:t xml:space="preserve">0.00 </w:t>
            </w:r>
          </w:p>
        </w:tc>
      </w:tr>
      <w:tr w14:paraId="17F416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A566763">
            <w:pPr>
              <w:pStyle w:val="34"/>
              <w:rPr>
                <w:szCs w:val="21"/>
              </w:rPr>
            </w:pPr>
            <w:r>
              <w:rPr>
                <w:color w:val="000000"/>
                <w:szCs w:val="21"/>
              </w:rPr>
              <w:t xml:space="preserve">60.00 </w:t>
            </w:r>
          </w:p>
        </w:tc>
        <w:tc>
          <w:tcPr>
            <w:tcW w:w="2813" w:type="dxa"/>
            <w:vAlign w:val="center"/>
          </w:tcPr>
          <w:p w14:paraId="3FC92FB6">
            <w:pPr>
              <w:pStyle w:val="34"/>
              <w:rPr>
                <w:szCs w:val="21"/>
              </w:rPr>
            </w:pPr>
            <w:r>
              <w:rPr>
                <w:szCs w:val="21"/>
              </w:rPr>
              <w:t xml:space="preserve">0.50 </w:t>
            </w:r>
          </w:p>
        </w:tc>
        <w:tc>
          <w:tcPr>
            <w:tcW w:w="3375" w:type="dxa"/>
            <w:vAlign w:val="center"/>
          </w:tcPr>
          <w:p w14:paraId="24381E6E">
            <w:pPr>
              <w:pStyle w:val="34"/>
              <w:rPr>
                <w:szCs w:val="21"/>
              </w:rPr>
            </w:pPr>
            <w:r>
              <w:rPr>
                <w:szCs w:val="21"/>
              </w:rPr>
              <w:t xml:space="preserve">1759.50 </w:t>
            </w:r>
          </w:p>
        </w:tc>
      </w:tr>
      <w:tr w14:paraId="04E1717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A011A33">
            <w:pPr>
              <w:pStyle w:val="34"/>
              <w:rPr>
                <w:szCs w:val="21"/>
              </w:rPr>
            </w:pPr>
            <w:r>
              <w:rPr>
                <w:color w:val="000000"/>
                <w:szCs w:val="21"/>
              </w:rPr>
              <w:t xml:space="preserve">110.00 </w:t>
            </w:r>
          </w:p>
        </w:tc>
        <w:tc>
          <w:tcPr>
            <w:tcW w:w="2813" w:type="dxa"/>
            <w:vAlign w:val="center"/>
          </w:tcPr>
          <w:p w14:paraId="6756CAD3">
            <w:pPr>
              <w:pStyle w:val="34"/>
              <w:rPr>
                <w:szCs w:val="21"/>
              </w:rPr>
            </w:pPr>
            <w:r>
              <w:rPr>
                <w:szCs w:val="21"/>
              </w:rPr>
              <w:t xml:space="preserve">0.92 </w:t>
            </w:r>
          </w:p>
        </w:tc>
        <w:tc>
          <w:tcPr>
            <w:tcW w:w="3375" w:type="dxa"/>
            <w:vAlign w:val="center"/>
          </w:tcPr>
          <w:p w14:paraId="07AFF89E">
            <w:pPr>
              <w:pStyle w:val="34"/>
              <w:rPr>
                <w:szCs w:val="21"/>
              </w:rPr>
            </w:pPr>
            <w:r>
              <w:rPr>
                <w:szCs w:val="21"/>
              </w:rPr>
              <w:t xml:space="preserve">1606.90 </w:t>
            </w:r>
          </w:p>
        </w:tc>
      </w:tr>
      <w:tr w14:paraId="4FD6D4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7CA67D9">
            <w:pPr>
              <w:pStyle w:val="34"/>
              <w:rPr>
                <w:szCs w:val="21"/>
              </w:rPr>
            </w:pPr>
            <w:r>
              <w:rPr>
                <w:color w:val="000000"/>
                <w:szCs w:val="21"/>
              </w:rPr>
              <w:t xml:space="preserve">360.00 </w:t>
            </w:r>
          </w:p>
        </w:tc>
        <w:tc>
          <w:tcPr>
            <w:tcW w:w="2813" w:type="dxa"/>
            <w:vAlign w:val="center"/>
          </w:tcPr>
          <w:p w14:paraId="0AFEE194">
            <w:pPr>
              <w:pStyle w:val="34"/>
              <w:rPr>
                <w:szCs w:val="21"/>
              </w:rPr>
            </w:pPr>
            <w:r>
              <w:rPr>
                <w:szCs w:val="21"/>
              </w:rPr>
              <w:t xml:space="preserve">3.00 </w:t>
            </w:r>
          </w:p>
        </w:tc>
        <w:tc>
          <w:tcPr>
            <w:tcW w:w="3375" w:type="dxa"/>
            <w:vAlign w:val="center"/>
          </w:tcPr>
          <w:p w14:paraId="6F2093E6">
            <w:pPr>
              <w:pStyle w:val="34"/>
              <w:rPr>
                <w:szCs w:val="21"/>
              </w:rPr>
            </w:pPr>
            <w:r>
              <w:rPr>
                <w:szCs w:val="21"/>
              </w:rPr>
              <w:t xml:space="preserve">532.24 </w:t>
            </w:r>
          </w:p>
        </w:tc>
      </w:tr>
      <w:tr w14:paraId="77CDAB0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F917CA3">
            <w:pPr>
              <w:pStyle w:val="34"/>
              <w:rPr>
                <w:szCs w:val="21"/>
              </w:rPr>
            </w:pPr>
            <w:r>
              <w:rPr>
                <w:color w:val="000000"/>
                <w:szCs w:val="21"/>
              </w:rPr>
              <w:t xml:space="preserve">510.00 </w:t>
            </w:r>
          </w:p>
        </w:tc>
        <w:tc>
          <w:tcPr>
            <w:tcW w:w="2813" w:type="dxa"/>
            <w:vAlign w:val="center"/>
          </w:tcPr>
          <w:p w14:paraId="0B6786D5">
            <w:pPr>
              <w:pStyle w:val="34"/>
              <w:rPr>
                <w:szCs w:val="21"/>
              </w:rPr>
            </w:pPr>
            <w:r>
              <w:rPr>
                <w:szCs w:val="21"/>
              </w:rPr>
              <w:t xml:space="preserve">4.25 </w:t>
            </w:r>
          </w:p>
        </w:tc>
        <w:tc>
          <w:tcPr>
            <w:tcW w:w="3375" w:type="dxa"/>
            <w:vAlign w:val="center"/>
          </w:tcPr>
          <w:p w14:paraId="1DAC588C">
            <w:pPr>
              <w:pStyle w:val="34"/>
              <w:rPr>
                <w:szCs w:val="21"/>
              </w:rPr>
            </w:pPr>
            <w:r>
              <w:rPr>
                <w:szCs w:val="21"/>
              </w:rPr>
              <w:t xml:space="preserve">328.01 </w:t>
            </w:r>
          </w:p>
        </w:tc>
      </w:tr>
      <w:tr w14:paraId="42C11F0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8281AC5">
            <w:pPr>
              <w:pStyle w:val="34"/>
              <w:rPr>
                <w:szCs w:val="21"/>
              </w:rPr>
            </w:pPr>
            <w:r>
              <w:rPr>
                <w:color w:val="000000"/>
                <w:szCs w:val="21"/>
              </w:rPr>
              <w:t xml:space="preserve">1010.00 </w:t>
            </w:r>
          </w:p>
        </w:tc>
        <w:tc>
          <w:tcPr>
            <w:tcW w:w="2813" w:type="dxa"/>
            <w:vAlign w:val="center"/>
          </w:tcPr>
          <w:p w14:paraId="2597B396">
            <w:pPr>
              <w:pStyle w:val="34"/>
              <w:rPr>
                <w:szCs w:val="21"/>
              </w:rPr>
            </w:pPr>
            <w:r>
              <w:rPr>
                <w:szCs w:val="21"/>
              </w:rPr>
              <w:t xml:space="preserve">8.42 </w:t>
            </w:r>
          </w:p>
        </w:tc>
        <w:tc>
          <w:tcPr>
            <w:tcW w:w="3375" w:type="dxa"/>
            <w:vAlign w:val="center"/>
          </w:tcPr>
          <w:p w14:paraId="47D147ED">
            <w:pPr>
              <w:pStyle w:val="34"/>
              <w:rPr>
                <w:szCs w:val="21"/>
              </w:rPr>
            </w:pPr>
            <w:r>
              <w:rPr>
                <w:szCs w:val="21"/>
              </w:rPr>
              <w:t xml:space="preserve">114.73 </w:t>
            </w:r>
          </w:p>
        </w:tc>
      </w:tr>
      <w:tr w14:paraId="02903DE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5D0E1EF">
            <w:pPr>
              <w:pStyle w:val="34"/>
              <w:rPr>
                <w:szCs w:val="21"/>
              </w:rPr>
            </w:pPr>
            <w:r>
              <w:rPr>
                <w:color w:val="000000"/>
                <w:szCs w:val="21"/>
              </w:rPr>
              <w:t xml:space="preserve">1510.00 </w:t>
            </w:r>
          </w:p>
        </w:tc>
        <w:tc>
          <w:tcPr>
            <w:tcW w:w="2813" w:type="dxa"/>
            <w:vAlign w:val="center"/>
          </w:tcPr>
          <w:p w14:paraId="397847BF">
            <w:pPr>
              <w:pStyle w:val="34"/>
              <w:rPr>
                <w:szCs w:val="21"/>
              </w:rPr>
            </w:pPr>
            <w:r>
              <w:rPr>
                <w:szCs w:val="21"/>
              </w:rPr>
              <w:t xml:space="preserve">12.58 </w:t>
            </w:r>
          </w:p>
        </w:tc>
        <w:tc>
          <w:tcPr>
            <w:tcW w:w="3375" w:type="dxa"/>
            <w:vAlign w:val="center"/>
          </w:tcPr>
          <w:p w14:paraId="56652D85">
            <w:pPr>
              <w:pStyle w:val="34"/>
              <w:rPr>
                <w:szCs w:val="21"/>
              </w:rPr>
            </w:pPr>
            <w:r>
              <w:rPr>
                <w:szCs w:val="21"/>
              </w:rPr>
              <w:t xml:space="preserve">60.85 </w:t>
            </w:r>
          </w:p>
        </w:tc>
      </w:tr>
      <w:tr w14:paraId="230BFE5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2A49B8A">
            <w:pPr>
              <w:pStyle w:val="34"/>
              <w:rPr>
                <w:szCs w:val="21"/>
              </w:rPr>
            </w:pPr>
            <w:r>
              <w:rPr>
                <w:color w:val="000000"/>
                <w:szCs w:val="21"/>
              </w:rPr>
              <w:t xml:space="preserve">2010.00 </w:t>
            </w:r>
          </w:p>
        </w:tc>
        <w:tc>
          <w:tcPr>
            <w:tcW w:w="2813" w:type="dxa"/>
            <w:vAlign w:val="center"/>
          </w:tcPr>
          <w:p w14:paraId="2FEFF34C">
            <w:pPr>
              <w:pStyle w:val="34"/>
              <w:rPr>
                <w:szCs w:val="21"/>
              </w:rPr>
            </w:pPr>
            <w:r>
              <w:rPr>
                <w:szCs w:val="21"/>
              </w:rPr>
              <w:t xml:space="preserve">18.75 </w:t>
            </w:r>
          </w:p>
        </w:tc>
        <w:tc>
          <w:tcPr>
            <w:tcW w:w="3375" w:type="dxa"/>
            <w:vAlign w:val="center"/>
          </w:tcPr>
          <w:p w14:paraId="23558640">
            <w:pPr>
              <w:pStyle w:val="34"/>
              <w:rPr>
                <w:szCs w:val="21"/>
              </w:rPr>
            </w:pPr>
            <w:r>
              <w:rPr>
                <w:szCs w:val="21"/>
              </w:rPr>
              <w:t xml:space="preserve">41.81 </w:t>
            </w:r>
          </w:p>
        </w:tc>
      </w:tr>
      <w:tr w14:paraId="638C4D3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1E295F8C">
            <w:pPr>
              <w:pStyle w:val="34"/>
              <w:rPr>
                <w:szCs w:val="21"/>
              </w:rPr>
            </w:pPr>
            <w:r>
              <w:rPr>
                <w:color w:val="000000"/>
                <w:szCs w:val="21"/>
              </w:rPr>
              <w:t xml:space="preserve">3010.00 </w:t>
            </w:r>
          </w:p>
        </w:tc>
        <w:tc>
          <w:tcPr>
            <w:tcW w:w="2813" w:type="dxa"/>
            <w:vAlign w:val="center"/>
          </w:tcPr>
          <w:p w14:paraId="34432EB7">
            <w:pPr>
              <w:pStyle w:val="34"/>
              <w:rPr>
                <w:szCs w:val="21"/>
              </w:rPr>
            </w:pPr>
            <w:r>
              <w:rPr>
                <w:szCs w:val="21"/>
              </w:rPr>
              <w:t xml:space="preserve">28.08 </w:t>
            </w:r>
          </w:p>
        </w:tc>
        <w:tc>
          <w:tcPr>
            <w:tcW w:w="3375" w:type="dxa"/>
            <w:vAlign w:val="center"/>
          </w:tcPr>
          <w:p w14:paraId="1063E672">
            <w:pPr>
              <w:pStyle w:val="34"/>
              <w:rPr>
                <w:szCs w:val="21"/>
              </w:rPr>
            </w:pPr>
            <w:r>
              <w:rPr>
                <w:szCs w:val="21"/>
              </w:rPr>
              <w:t xml:space="preserve">24.55 </w:t>
            </w:r>
          </w:p>
        </w:tc>
      </w:tr>
      <w:tr w14:paraId="3450743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187B6B30">
            <w:pPr>
              <w:pStyle w:val="34"/>
              <w:rPr>
                <w:szCs w:val="21"/>
              </w:rPr>
            </w:pPr>
            <w:r>
              <w:rPr>
                <w:color w:val="000000"/>
                <w:szCs w:val="21"/>
              </w:rPr>
              <w:t xml:space="preserve">4010.00 </w:t>
            </w:r>
          </w:p>
        </w:tc>
        <w:tc>
          <w:tcPr>
            <w:tcW w:w="2813" w:type="dxa"/>
            <w:vAlign w:val="center"/>
          </w:tcPr>
          <w:p w14:paraId="51CBBDFE">
            <w:pPr>
              <w:pStyle w:val="34"/>
              <w:rPr>
                <w:szCs w:val="21"/>
              </w:rPr>
            </w:pPr>
            <w:r>
              <w:rPr>
                <w:szCs w:val="21"/>
              </w:rPr>
              <w:t xml:space="preserve">37.42 </w:t>
            </w:r>
          </w:p>
        </w:tc>
        <w:tc>
          <w:tcPr>
            <w:tcW w:w="3375" w:type="dxa"/>
            <w:vAlign w:val="center"/>
          </w:tcPr>
          <w:p w14:paraId="1044A3E6">
            <w:pPr>
              <w:pStyle w:val="34"/>
              <w:rPr>
                <w:szCs w:val="21"/>
              </w:rPr>
            </w:pPr>
            <w:r>
              <w:rPr>
                <w:szCs w:val="21"/>
              </w:rPr>
              <w:t xml:space="preserve">16.79 </w:t>
            </w:r>
          </w:p>
        </w:tc>
      </w:tr>
    </w:tbl>
    <w:p w14:paraId="02153D72">
      <w:pPr>
        <w:pStyle w:val="7"/>
      </w:pPr>
      <w:r>
        <w:rPr>
          <w:rFonts w:hint="eastAsia"/>
        </w:rPr>
        <w:t>大气敏感保护目标最大影响预测结果</w:t>
      </w:r>
    </w:p>
    <w:tbl>
      <w:tblPr>
        <w:tblStyle w:val="88"/>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99"/>
        <w:gridCol w:w="1263"/>
        <w:gridCol w:w="801"/>
        <w:gridCol w:w="777"/>
        <w:gridCol w:w="777"/>
        <w:gridCol w:w="880"/>
        <w:gridCol w:w="777"/>
        <w:gridCol w:w="777"/>
        <w:gridCol w:w="777"/>
      </w:tblGrid>
      <w:tr w14:paraId="5B4DC2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03E2E0CF">
            <w:pPr>
              <w:pStyle w:val="34"/>
            </w:pPr>
            <w:r>
              <w:t>名称</w:t>
            </w:r>
          </w:p>
        </w:tc>
        <w:tc>
          <w:tcPr>
            <w:tcW w:w="1263" w:type="dxa"/>
            <w:vAlign w:val="center"/>
          </w:tcPr>
          <w:p w14:paraId="31D726FD">
            <w:pPr>
              <w:pStyle w:val="34"/>
            </w:pPr>
            <w:r>
              <w:t>最大浓度/时间(min)</w:t>
            </w:r>
          </w:p>
        </w:tc>
        <w:tc>
          <w:tcPr>
            <w:tcW w:w="801" w:type="dxa"/>
            <w:vAlign w:val="center"/>
          </w:tcPr>
          <w:p w14:paraId="25FF94D0">
            <w:pPr>
              <w:pStyle w:val="34"/>
            </w:pPr>
            <w:r>
              <w:rPr>
                <w:rFonts w:hint="eastAsia"/>
              </w:rPr>
              <w:t>20min</w:t>
            </w:r>
          </w:p>
        </w:tc>
        <w:tc>
          <w:tcPr>
            <w:tcW w:w="777" w:type="dxa"/>
            <w:vAlign w:val="center"/>
          </w:tcPr>
          <w:p w14:paraId="58FCC325">
            <w:pPr>
              <w:pStyle w:val="34"/>
            </w:pPr>
            <w:r>
              <w:rPr>
                <w:rFonts w:hint="eastAsia"/>
              </w:rPr>
              <w:t>25min</w:t>
            </w:r>
          </w:p>
        </w:tc>
        <w:tc>
          <w:tcPr>
            <w:tcW w:w="777" w:type="dxa"/>
            <w:vAlign w:val="center"/>
          </w:tcPr>
          <w:p w14:paraId="73D740E3">
            <w:pPr>
              <w:pStyle w:val="34"/>
            </w:pPr>
            <w:r>
              <w:rPr>
                <w:rFonts w:hint="eastAsia"/>
              </w:rPr>
              <w:t>30min</w:t>
            </w:r>
          </w:p>
        </w:tc>
        <w:tc>
          <w:tcPr>
            <w:tcW w:w="880" w:type="dxa"/>
            <w:vAlign w:val="center"/>
          </w:tcPr>
          <w:p w14:paraId="23E12FEA">
            <w:pPr>
              <w:pStyle w:val="34"/>
            </w:pPr>
            <w:r>
              <w:rPr>
                <w:rFonts w:hint="eastAsia"/>
              </w:rPr>
              <w:t>35min</w:t>
            </w:r>
          </w:p>
        </w:tc>
        <w:tc>
          <w:tcPr>
            <w:tcW w:w="777" w:type="dxa"/>
            <w:vAlign w:val="center"/>
          </w:tcPr>
          <w:p w14:paraId="10F7E9C5">
            <w:pPr>
              <w:pStyle w:val="34"/>
            </w:pPr>
            <w:r>
              <w:rPr>
                <w:rFonts w:hint="eastAsia"/>
              </w:rPr>
              <w:t>40min</w:t>
            </w:r>
          </w:p>
        </w:tc>
        <w:tc>
          <w:tcPr>
            <w:tcW w:w="777" w:type="dxa"/>
            <w:vAlign w:val="center"/>
          </w:tcPr>
          <w:p w14:paraId="11CFE22B">
            <w:pPr>
              <w:pStyle w:val="34"/>
            </w:pPr>
            <w:r>
              <w:rPr>
                <w:rFonts w:hint="eastAsia"/>
              </w:rPr>
              <w:t>45min</w:t>
            </w:r>
          </w:p>
        </w:tc>
        <w:tc>
          <w:tcPr>
            <w:tcW w:w="777" w:type="dxa"/>
            <w:vAlign w:val="center"/>
          </w:tcPr>
          <w:p w14:paraId="6F24368D">
            <w:pPr>
              <w:pStyle w:val="34"/>
            </w:pPr>
            <w:r>
              <w:rPr>
                <w:rFonts w:hint="eastAsia"/>
              </w:rPr>
              <w:t>50min</w:t>
            </w:r>
          </w:p>
        </w:tc>
      </w:tr>
      <w:tr w14:paraId="772C86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512B64F7">
            <w:pPr>
              <w:pStyle w:val="34"/>
            </w:pPr>
            <w:bookmarkStart w:id="565" w:name="_Hlk218085876"/>
            <w:r>
              <w:t>联检</w:t>
            </w:r>
            <w:r>
              <w:rPr>
                <w:rFonts w:hint="eastAsia"/>
              </w:rPr>
              <w:t>港务大厦</w:t>
            </w:r>
          </w:p>
        </w:tc>
        <w:tc>
          <w:tcPr>
            <w:tcW w:w="1263" w:type="dxa"/>
            <w:vAlign w:val="center"/>
          </w:tcPr>
          <w:p w14:paraId="08CD47FA">
            <w:pPr>
              <w:pStyle w:val="34"/>
            </w:pPr>
            <w:r>
              <w:rPr>
                <w:rFonts w:hint="eastAsia"/>
              </w:rPr>
              <w:t>24|30</w:t>
            </w:r>
          </w:p>
        </w:tc>
        <w:tc>
          <w:tcPr>
            <w:tcW w:w="801" w:type="dxa"/>
            <w:vAlign w:val="center"/>
          </w:tcPr>
          <w:p w14:paraId="464EF90B">
            <w:pPr>
              <w:pStyle w:val="34"/>
            </w:pPr>
            <w:r>
              <w:rPr>
                <w:rFonts w:hint="eastAsia"/>
              </w:rPr>
              <w:t xml:space="preserve">0.00 </w:t>
            </w:r>
          </w:p>
        </w:tc>
        <w:tc>
          <w:tcPr>
            <w:tcW w:w="777" w:type="dxa"/>
            <w:vAlign w:val="center"/>
          </w:tcPr>
          <w:p w14:paraId="5EB4EFD0">
            <w:pPr>
              <w:pStyle w:val="34"/>
            </w:pPr>
            <w:r>
              <w:rPr>
                <w:rFonts w:hint="eastAsia"/>
              </w:rPr>
              <w:t xml:space="preserve">4.69 </w:t>
            </w:r>
          </w:p>
        </w:tc>
        <w:tc>
          <w:tcPr>
            <w:tcW w:w="777" w:type="dxa"/>
            <w:vAlign w:val="center"/>
          </w:tcPr>
          <w:p w14:paraId="5E60F014">
            <w:pPr>
              <w:pStyle w:val="34"/>
            </w:pPr>
            <w:r>
              <w:rPr>
                <w:rFonts w:hint="eastAsia"/>
              </w:rPr>
              <w:t xml:space="preserve">24.00 </w:t>
            </w:r>
          </w:p>
        </w:tc>
        <w:tc>
          <w:tcPr>
            <w:tcW w:w="880" w:type="dxa"/>
            <w:vAlign w:val="center"/>
          </w:tcPr>
          <w:p w14:paraId="47E71039">
            <w:pPr>
              <w:pStyle w:val="34"/>
            </w:pPr>
            <w:r>
              <w:rPr>
                <w:rFonts w:hint="eastAsia"/>
              </w:rPr>
              <w:t xml:space="preserve">24.00 </w:t>
            </w:r>
          </w:p>
        </w:tc>
        <w:tc>
          <w:tcPr>
            <w:tcW w:w="777" w:type="dxa"/>
            <w:vAlign w:val="center"/>
          </w:tcPr>
          <w:p w14:paraId="06663633">
            <w:pPr>
              <w:pStyle w:val="34"/>
            </w:pPr>
            <w:r>
              <w:rPr>
                <w:rFonts w:hint="eastAsia"/>
              </w:rPr>
              <w:t xml:space="preserve">19.90 </w:t>
            </w:r>
          </w:p>
        </w:tc>
        <w:tc>
          <w:tcPr>
            <w:tcW w:w="777" w:type="dxa"/>
            <w:vAlign w:val="center"/>
          </w:tcPr>
          <w:p w14:paraId="1A39EDB0">
            <w:pPr>
              <w:pStyle w:val="34"/>
            </w:pPr>
            <w:r>
              <w:rPr>
                <w:rFonts w:hint="eastAsia"/>
              </w:rPr>
              <w:t xml:space="preserve">0.00 </w:t>
            </w:r>
          </w:p>
        </w:tc>
        <w:tc>
          <w:tcPr>
            <w:tcW w:w="777" w:type="dxa"/>
            <w:vAlign w:val="center"/>
          </w:tcPr>
          <w:p w14:paraId="3B604464">
            <w:pPr>
              <w:pStyle w:val="34"/>
            </w:pPr>
            <w:r>
              <w:rPr>
                <w:rFonts w:hint="eastAsia"/>
              </w:rPr>
              <w:t xml:space="preserve">0.00 </w:t>
            </w:r>
          </w:p>
        </w:tc>
      </w:tr>
      <w:tr w14:paraId="20704E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023C0B1E">
            <w:pPr>
              <w:pStyle w:val="34"/>
            </w:pPr>
            <w:r>
              <w:rPr>
                <w:rFonts w:hint="eastAsia"/>
              </w:rPr>
              <w:t>保税港管委会</w:t>
            </w:r>
          </w:p>
        </w:tc>
        <w:tc>
          <w:tcPr>
            <w:tcW w:w="1263" w:type="dxa"/>
            <w:vAlign w:val="center"/>
          </w:tcPr>
          <w:p w14:paraId="54832AA1">
            <w:pPr>
              <w:pStyle w:val="34"/>
            </w:pPr>
            <w:r>
              <w:rPr>
                <w:rFonts w:hint="eastAsia"/>
              </w:rPr>
              <w:t>22.4|30</w:t>
            </w:r>
          </w:p>
        </w:tc>
        <w:tc>
          <w:tcPr>
            <w:tcW w:w="801" w:type="dxa"/>
            <w:vAlign w:val="center"/>
          </w:tcPr>
          <w:p w14:paraId="47074D30">
            <w:pPr>
              <w:pStyle w:val="34"/>
            </w:pPr>
            <w:r>
              <w:rPr>
                <w:rFonts w:hint="eastAsia"/>
              </w:rPr>
              <w:t xml:space="preserve">0.00 </w:t>
            </w:r>
          </w:p>
        </w:tc>
        <w:tc>
          <w:tcPr>
            <w:tcW w:w="777" w:type="dxa"/>
            <w:vAlign w:val="center"/>
          </w:tcPr>
          <w:p w14:paraId="7E290E17">
            <w:pPr>
              <w:pStyle w:val="34"/>
            </w:pPr>
            <w:r>
              <w:rPr>
                <w:rFonts w:hint="eastAsia"/>
              </w:rPr>
              <w:t xml:space="preserve">0.05 </w:t>
            </w:r>
          </w:p>
        </w:tc>
        <w:tc>
          <w:tcPr>
            <w:tcW w:w="777" w:type="dxa"/>
            <w:vAlign w:val="center"/>
          </w:tcPr>
          <w:p w14:paraId="080E7887">
            <w:pPr>
              <w:pStyle w:val="34"/>
            </w:pPr>
            <w:r>
              <w:rPr>
                <w:rFonts w:hint="eastAsia"/>
              </w:rPr>
              <w:t xml:space="preserve">22.40 </w:t>
            </w:r>
          </w:p>
        </w:tc>
        <w:tc>
          <w:tcPr>
            <w:tcW w:w="880" w:type="dxa"/>
            <w:vAlign w:val="center"/>
          </w:tcPr>
          <w:p w14:paraId="2E328360">
            <w:pPr>
              <w:pStyle w:val="34"/>
            </w:pPr>
            <w:r>
              <w:rPr>
                <w:rFonts w:hint="eastAsia"/>
              </w:rPr>
              <w:t xml:space="preserve">22.40 </w:t>
            </w:r>
          </w:p>
        </w:tc>
        <w:tc>
          <w:tcPr>
            <w:tcW w:w="777" w:type="dxa"/>
            <w:vAlign w:val="center"/>
          </w:tcPr>
          <w:p w14:paraId="62E6B36B">
            <w:pPr>
              <w:pStyle w:val="34"/>
            </w:pPr>
            <w:r>
              <w:rPr>
                <w:rFonts w:hint="eastAsia"/>
              </w:rPr>
              <w:t xml:space="preserve">22.30 </w:t>
            </w:r>
          </w:p>
        </w:tc>
        <w:tc>
          <w:tcPr>
            <w:tcW w:w="777" w:type="dxa"/>
            <w:vAlign w:val="center"/>
          </w:tcPr>
          <w:p w14:paraId="477DFCE4">
            <w:pPr>
              <w:pStyle w:val="34"/>
            </w:pPr>
            <w:r>
              <w:rPr>
                <w:rFonts w:hint="eastAsia"/>
              </w:rPr>
              <w:t xml:space="preserve">0.00 </w:t>
            </w:r>
          </w:p>
        </w:tc>
        <w:tc>
          <w:tcPr>
            <w:tcW w:w="777" w:type="dxa"/>
            <w:vAlign w:val="center"/>
          </w:tcPr>
          <w:p w14:paraId="475B9BAE">
            <w:pPr>
              <w:pStyle w:val="34"/>
            </w:pPr>
            <w:r>
              <w:rPr>
                <w:rFonts w:hint="eastAsia"/>
              </w:rPr>
              <w:t xml:space="preserve">0.00 </w:t>
            </w:r>
          </w:p>
        </w:tc>
      </w:tr>
      <w:tr w14:paraId="3D9328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0F8B3011">
            <w:pPr>
              <w:pStyle w:val="34"/>
            </w:pPr>
            <w:r>
              <w:rPr>
                <w:rFonts w:hint="eastAsia"/>
              </w:rPr>
              <w:t>保税港区生活区</w:t>
            </w:r>
            <w:r>
              <w:t>大楼</w:t>
            </w:r>
          </w:p>
        </w:tc>
        <w:tc>
          <w:tcPr>
            <w:tcW w:w="1263" w:type="dxa"/>
            <w:vAlign w:val="center"/>
          </w:tcPr>
          <w:p w14:paraId="69BFB4BF">
            <w:pPr>
              <w:pStyle w:val="34"/>
            </w:pPr>
            <w:r>
              <w:rPr>
                <w:rFonts w:hint="eastAsia"/>
              </w:rPr>
              <w:t>21.7|30</w:t>
            </w:r>
          </w:p>
        </w:tc>
        <w:tc>
          <w:tcPr>
            <w:tcW w:w="801" w:type="dxa"/>
            <w:vAlign w:val="center"/>
          </w:tcPr>
          <w:p w14:paraId="7A85E28B">
            <w:pPr>
              <w:pStyle w:val="34"/>
            </w:pPr>
            <w:r>
              <w:rPr>
                <w:rFonts w:hint="eastAsia"/>
              </w:rPr>
              <w:t xml:space="preserve">0.00 </w:t>
            </w:r>
          </w:p>
        </w:tc>
        <w:tc>
          <w:tcPr>
            <w:tcW w:w="777" w:type="dxa"/>
            <w:vAlign w:val="center"/>
          </w:tcPr>
          <w:p w14:paraId="7D50E28E">
            <w:pPr>
              <w:pStyle w:val="34"/>
            </w:pPr>
            <w:r>
              <w:rPr>
                <w:rFonts w:hint="eastAsia"/>
              </w:rPr>
              <w:t xml:space="preserve">0.00 </w:t>
            </w:r>
          </w:p>
        </w:tc>
        <w:tc>
          <w:tcPr>
            <w:tcW w:w="777" w:type="dxa"/>
            <w:vAlign w:val="center"/>
          </w:tcPr>
          <w:p w14:paraId="23106FBA">
            <w:pPr>
              <w:pStyle w:val="34"/>
            </w:pPr>
            <w:r>
              <w:rPr>
                <w:rFonts w:hint="eastAsia"/>
              </w:rPr>
              <w:t xml:space="preserve">21.70 </w:t>
            </w:r>
          </w:p>
        </w:tc>
        <w:tc>
          <w:tcPr>
            <w:tcW w:w="880" w:type="dxa"/>
            <w:vAlign w:val="center"/>
          </w:tcPr>
          <w:p w14:paraId="489AFC13">
            <w:pPr>
              <w:pStyle w:val="34"/>
            </w:pPr>
            <w:r>
              <w:rPr>
                <w:rFonts w:hint="eastAsia"/>
              </w:rPr>
              <w:t xml:space="preserve">21.70 </w:t>
            </w:r>
          </w:p>
        </w:tc>
        <w:tc>
          <w:tcPr>
            <w:tcW w:w="777" w:type="dxa"/>
            <w:vAlign w:val="center"/>
          </w:tcPr>
          <w:p w14:paraId="7CC54602">
            <w:pPr>
              <w:pStyle w:val="34"/>
            </w:pPr>
            <w:r>
              <w:rPr>
                <w:rFonts w:hint="eastAsia"/>
              </w:rPr>
              <w:t xml:space="preserve">21.70 </w:t>
            </w:r>
          </w:p>
        </w:tc>
        <w:tc>
          <w:tcPr>
            <w:tcW w:w="777" w:type="dxa"/>
            <w:vAlign w:val="center"/>
          </w:tcPr>
          <w:p w14:paraId="371BA427">
            <w:pPr>
              <w:pStyle w:val="34"/>
            </w:pPr>
            <w:r>
              <w:rPr>
                <w:rFonts w:hint="eastAsia"/>
              </w:rPr>
              <w:t xml:space="preserve">0.01 </w:t>
            </w:r>
          </w:p>
        </w:tc>
        <w:tc>
          <w:tcPr>
            <w:tcW w:w="777" w:type="dxa"/>
            <w:vAlign w:val="center"/>
          </w:tcPr>
          <w:p w14:paraId="3A753586">
            <w:pPr>
              <w:pStyle w:val="34"/>
            </w:pPr>
            <w:r>
              <w:rPr>
                <w:rFonts w:hint="eastAsia"/>
              </w:rPr>
              <w:t xml:space="preserve">0.00 </w:t>
            </w:r>
          </w:p>
        </w:tc>
      </w:tr>
      <w:bookmarkEnd w:id="565"/>
    </w:tbl>
    <w:p w14:paraId="00D85B3E">
      <w:pPr>
        <w:pStyle w:val="7"/>
      </w:pPr>
      <w:bookmarkStart w:id="566" w:name="OLE_LINK237"/>
      <w:r>
        <w:rPr>
          <w:rFonts w:hint="eastAsia"/>
        </w:rPr>
        <w:t>乙硫醇泄漏超出阈值的范围</w:t>
      </w:r>
    </w:p>
    <w:tbl>
      <w:tblPr>
        <w:tblStyle w:val="88"/>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3228"/>
        <w:gridCol w:w="2702"/>
        <w:gridCol w:w="2598"/>
      </w:tblGrid>
      <w:tr w14:paraId="4C7D662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0730FA45">
            <w:pPr>
              <w:pStyle w:val="34"/>
            </w:pPr>
            <w:bookmarkStart w:id="567" w:name="_Hlk28799321"/>
            <w:r>
              <w:t>超过大气毒性终点浓度-1</w:t>
            </w:r>
          </w:p>
        </w:tc>
        <w:tc>
          <w:tcPr>
            <w:tcW w:w="2702" w:type="dxa"/>
            <w:vAlign w:val="center"/>
          </w:tcPr>
          <w:p w14:paraId="7CFDEB00">
            <w:pPr>
              <w:pStyle w:val="34"/>
            </w:pPr>
            <w:r>
              <w:t>阈值（mg/m3）</w:t>
            </w:r>
          </w:p>
        </w:tc>
        <w:tc>
          <w:tcPr>
            <w:tcW w:w="2598" w:type="dxa"/>
            <w:vAlign w:val="center"/>
          </w:tcPr>
          <w:p w14:paraId="342D64B6">
            <w:pPr>
              <w:pStyle w:val="34"/>
            </w:pPr>
            <w:r>
              <w:rPr>
                <w:rFonts w:hint="eastAsia"/>
              </w:rPr>
              <w:t>910</w:t>
            </w:r>
          </w:p>
        </w:tc>
      </w:tr>
      <w:tr w14:paraId="39ECD7D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01C5677A">
            <w:pPr>
              <w:pStyle w:val="34"/>
            </w:pPr>
          </w:p>
        </w:tc>
        <w:tc>
          <w:tcPr>
            <w:tcW w:w="2702" w:type="dxa"/>
            <w:vAlign w:val="center"/>
          </w:tcPr>
          <w:p w14:paraId="0D1F5D5C">
            <w:pPr>
              <w:pStyle w:val="34"/>
            </w:pPr>
            <w:r>
              <w:t>最大半宽（m）</w:t>
            </w:r>
          </w:p>
        </w:tc>
        <w:tc>
          <w:tcPr>
            <w:tcW w:w="2598" w:type="dxa"/>
            <w:vAlign w:val="center"/>
          </w:tcPr>
          <w:p w14:paraId="074D4215">
            <w:pPr>
              <w:pStyle w:val="34"/>
            </w:pPr>
            <w:r>
              <w:rPr>
                <w:rFonts w:hint="eastAsia"/>
              </w:rPr>
              <w:t>4</w:t>
            </w:r>
          </w:p>
        </w:tc>
      </w:tr>
      <w:tr w14:paraId="7B06374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4E204059">
            <w:pPr>
              <w:pStyle w:val="34"/>
            </w:pPr>
          </w:p>
        </w:tc>
        <w:tc>
          <w:tcPr>
            <w:tcW w:w="2702" w:type="dxa"/>
            <w:vAlign w:val="center"/>
          </w:tcPr>
          <w:p w14:paraId="46517DF5">
            <w:pPr>
              <w:pStyle w:val="34"/>
            </w:pPr>
            <w:r>
              <w:t>影响范围（m）</w:t>
            </w:r>
          </w:p>
        </w:tc>
        <w:tc>
          <w:tcPr>
            <w:tcW w:w="2598" w:type="dxa"/>
            <w:vAlign w:val="center"/>
          </w:tcPr>
          <w:p w14:paraId="3F5A01DC">
            <w:pPr>
              <w:pStyle w:val="34"/>
            </w:pPr>
            <w:r>
              <w:rPr>
                <w:rFonts w:hint="eastAsia"/>
              </w:rPr>
              <w:t>110</w:t>
            </w:r>
          </w:p>
        </w:tc>
      </w:tr>
      <w:tr w14:paraId="02B0D8F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388471C5">
            <w:pPr>
              <w:pStyle w:val="34"/>
            </w:pPr>
            <w:r>
              <w:t>超过大气毒性终点浓度-2</w:t>
            </w:r>
          </w:p>
        </w:tc>
        <w:tc>
          <w:tcPr>
            <w:tcW w:w="2702" w:type="dxa"/>
            <w:vAlign w:val="center"/>
          </w:tcPr>
          <w:p w14:paraId="4C0D6284">
            <w:pPr>
              <w:pStyle w:val="34"/>
            </w:pPr>
            <w:r>
              <w:t>阈值（mg/m3）</w:t>
            </w:r>
          </w:p>
        </w:tc>
        <w:tc>
          <w:tcPr>
            <w:tcW w:w="2598" w:type="dxa"/>
            <w:vAlign w:val="center"/>
          </w:tcPr>
          <w:p w14:paraId="38893486">
            <w:pPr>
              <w:pStyle w:val="34"/>
            </w:pPr>
            <w:r>
              <w:rPr>
                <w:rFonts w:hint="eastAsia"/>
              </w:rPr>
              <w:t>300</w:t>
            </w:r>
          </w:p>
        </w:tc>
      </w:tr>
      <w:tr w14:paraId="3FFE82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55803EDE">
            <w:pPr>
              <w:pStyle w:val="34"/>
            </w:pPr>
          </w:p>
        </w:tc>
        <w:tc>
          <w:tcPr>
            <w:tcW w:w="2702" w:type="dxa"/>
            <w:vAlign w:val="center"/>
          </w:tcPr>
          <w:p w14:paraId="33F89AE6">
            <w:pPr>
              <w:pStyle w:val="34"/>
            </w:pPr>
            <w:r>
              <w:t>最大半宽（m）</w:t>
            </w:r>
          </w:p>
        </w:tc>
        <w:tc>
          <w:tcPr>
            <w:tcW w:w="2598" w:type="dxa"/>
            <w:vAlign w:val="center"/>
          </w:tcPr>
          <w:p w14:paraId="635B48A3">
            <w:pPr>
              <w:pStyle w:val="34"/>
            </w:pPr>
            <w:r>
              <w:rPr>
                <w:rFonts w:hint="eastAsia"/>
              </w:rPr>
              <w:t>12</w:t>
            </w:r>
          </w:p>
        </w:tc>
      </w:tr>
      <w:tr w14:paraId="1DF3D0F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21D9FC86">
            <w:pPr>
              <w:pStyle w:val="34"/>
            </w:pPr>
          </w:p>
        </w:tc>
        <w:tc>
          <w:tcPr>
            <w:tcW w:w="2702" w:type="dxa"/>
            <w:vAlign w:val="center"/>
          </w:tcPr>
          <w:p w14:paraId="42B962C4">
            <w:pPr>
              <w:pStyle w:val="34"/>
            </w:pPr>
            <w:r>
              <w:t>影响范围（m）</w:t>
            </w:r>
          </w:p>
        </w:tc>
        <w:tc>
          <w:tcPr>
            <w:tcW w:w="2598" w:type="dxa"/>
            <w:vAlign w:val="center"/>
          </w:tcPr>
          <w:p w14:paraId="5D0EDAFC">
            <w:pPr>
              <w:pStyle w:val="34"/>
            </w:pPr>
            <w:r>
              <w:rPr>
                <w:rFonts w:hint="eastAsia"/>
              </w:rPr>
              <w:t>260</w:t>
            </w:r>
          </w:p>
        </w:tc>
      </w:tr>
      <w:bookmarkEnd w:id="564"/>
      <w:bookmarkEnd w:id="567"/>
    </w:tbl>
    <w:p w14:paraId="0DF1E717">
      <w:pPr>
        <w:ind w:firstLine="437"/>
      </w:pPr>
    </w:p>
    <w:p w14:paraId="39C7E421">
      <w:pPr>
        <w:ind w:firstLine="0" w:firstLineChars="0"/>
      </w:pPr>
      <w:r>
        <w:drawing>
          <wp:inline distT="0" distB="0" distL="0" distR="0">
            <wp:extent cx="5278120" cy="3444240"/>
            <wp:effectExtent l="0" t="0" r="0" b="3810"/>
            <wp:docPr id="6404259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425927" name="图片 1"/>
                    <pic:cNvPicPr>
                      <a:picLocks noChangeAspect="1"/>
                    </pic:cNvPicPr>
                  </pic:nvPicPr>
                  <pic:blipFill>
                    <a:blip r:embed="rId146"/>
                    <a:stretch>
                      <a:fillRect/>
                    </a:stretch>
                  </pic:blipFill>
                  <pic:spPr>
                    <a:xfrm>
                      <a:off x="0" y="0"/>
                      <a:ext cx="5278120" cy="3444240"/>
                    </a:xfrm>
                    <a:prstGeom prst="rect">
                      <a:avLst/>
                    </a:prstGeom>
                  </pic:spPr>
                </pic:pic>
              </a:graphicData>
            </a:graphic>
          </wp:inline>
        </w:drawing>
      </w:r>
    </w:p>
    <w:p w14:paraId="2CE90E15">
      <w:pPr>
        <w:pStyle w:val="8"/>
      </w:pPr>
      <w:r>
        <w:rPr>
          <w:rFonts w:hint="eastAsia"/>
        </w:rPr>
        <w:t>乙硫醇泄漏最大影响区域图</w:t>
      </w:r>
    </w:p>
    <w:bookmarkEnd w:id="566"/>
    <w:p w14:paraId="3DD134CB">
      <w:pPr>
        <w:ind w:firstLine="437"/>
      </w:pPr>
      <w:r>
        <w:rPr>
          <w:rFonts w:hint="eastAsia"/>
        </w:rPr>
        <w:t>二、丙烯腈泄漏</w:t>
      </w:r>
    </w:p>
    <w:p w14:paraId="1DE31E46">
      <w:pPr>
        <w:ind w:firstLine="437"/>
      </w:pPr>
      <w:r>
        <w:rPr>
          <w:rFonts w:hint="eastAsia"/>
        </w:rPr>
        <w:t>1、预测模型筛选</w:t>
      </w:r>
    </w:p>
    <w:p w14:paraId="2D0D24B2">
      <w:pPr>
        <w:ind w:firstLine="437"/>
      </w:pPr>
      <w:r>
        <w:rPr>
          <w:rFonts w:hint="eastAsia"/>
        </w:rPr>
        <w:t>根据《建设项目环境风险评价技术导则》（HJ/169-2018）附录G，丙烯腈初始密度未大于空气密度，不计算理查德森数，选用AFTOX模型进行大气风险预测模型。</w:t>
      </w:r>
    </w:p>
    <w:p w14:paraId="6C457C28">
      <w:pPr>
        <w:ind w:firstLine="437"/>
      </w:pPr>
      <w:r>
        <w:rPr>
          <w:rFonts w:hint="eastAsia"/>
        </w:rPr>
        <w:t>2</w:t>
      </w:r>
      <w:r>
        <w:t>、预测结果</w:t>
      </w:r>
    </w:p>
    <w:p w14:paraId="40B8ECEA">
      <w:pPr>
        <w:ind w:firstLine="437"/>
      </w:pPr>
      <w:r>
        <w:rPr>
          <w:rFonts w:hint="eastAsia"/>
        </w:rPr>
        <w:t>①</w:t>
      </w:r>
      <w:r>
        <w:t>预测参数</w:t>
      </w:r>
    </w:p>
    <w:p w14:paraId="11659385">
      <w:pPr>
        <w:pStyle w:val="7"/>
      </w:pPr>
      <w:r>
        <w:rPr>
          <w:rFonts w:hint="eastAsia"/>
        </w:rPr>
        <w:t>丙烯腈泄漏</w:t>
      </w:r>
      <w:r>
        <w:t>大气风险预测模型主要参数表</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60"/>
        <w:gridCol w:w="2384"/>
        <w:gridCol w:w="4684"/>
      </w:tblGrid>
      <w:tr w14:paraId="2BF9D3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460" w:type="dxa"/>
            <w:vAlign w:val="center"/>
          </w:tcPr>
          <w:p w14:paraId="00D905E0">
            <w:pPr>
              <w:pStyle w:val="34"/>
            </w:pPr>
            <w:r>
              <w:t>参数类型</w:t>
            </w:r>
          </w:p>
        </w:tc>
        <w:tc>
          <w:tcPr>
            <w:tcW w:w="2384" w:type="dxa"/>
            <w:vAlign w:val="center"/>
          </w:tcPr>
          <w:p w14:paraId="20C30A77">
            <w:pPr>
              <w:pStyle w:val="34"/>
            </w:pPr>
            <w:r>
              <w:t>选项</w:t>
            </w:r>
          </w:p>
        </w:tc>
        <w:tc>
          <w:tcPr>
            <w:tcW w:w="4684" w:type="dxa"/>
            <w:vAlign w:val="center"/>
          </w:tcPr>
          <w:p w14:paraId="75753186">
            <w:pPr>
              <w:pStyle w:val="34"/>
            </w:pPr>
            <w:r>
              <w:t>参数</w:t>
            </w:r>
          </w:p>
        </w:tc>
      </w:tr>
      <w:tr w14:paraId="1CF4CE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2A26964D">
            <w:pPr>
              <w:pStyle w:val="34"/>
            </w:pPr>
            <w:r>
              <w:t>基本情况</w:t>
            </w:r>
          </w:p>
        </w:tc>
        <w:tc>
          <w:tcPr>
            <w:tcW w:w="2384" w:type="dxa"/>
            <w:vAlign w:val="center"/>
          </w:tcPr>
          <w:p w14:paraId="2560C99D">
            <w:pPr>
              <w:pStyle w:val="34"/>
            </w:pPr>
            <w:r>
              <w:t>事故源经度/（°）</w:t>
            </w:r>
          </w:p>
        </w:tc>
        <w:tc>
          <w:tcPr>
            <w:tcW w:w="4684" w:type="dxa"/>
          </w:tcPr>
          <w:p w14:paraId="0D234403">
            <w:pPr>
              <w:pStyle w:val="34"/>
            </w:pPr>
            <w:r>
              <w:t>108.6</w:t>
            </w:r>
            <w:r>
              <w:rPr>
                <w:rFonts w:hint="eastAsia"/>
              </w:rPr>
              <w:t>57</w:t>
            </w:r>
          </w:p>
        </w:tc>
      </w:tr>
      <w:tr w14:paraId="4FA3A3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76A2F32B">
            <w:pPr>
              <w:pStyle w:val="34"/>
            </w:pPr>
          </w:p>
        </w:tc>
        <w:tc>
          <w:tcPr>
            <w:tcW w:w="2384" w:type="dxa"/>
            <w:vAlign w:val="center"/>
          </w:tcPr>
          <w:p w14:paraId="64579D53">
            <w:pPr>
              <w:pStyle w:val="34"/>
            </w:pPr>
            <w:r>
              <w:t>事故源纬度/（°）</w:t>
            </w:r>
          </w:p>
        </w:tc>
        <w:tc>
          <w:tcPr>
            <w:tcW w:w="4684" w:type="dxa"/>
          </w:tcPr>
          <w:p w14:paraId="103B57CA">
            <w:pPr>
              <w:pStyle w:val="34"/>
            </w:pPr>
            <w:r>
              <w:t>21.66</w:t>
            </w:r>
            <w:r>
              <w:rPr>
                <w:rFonts w:hint="eastAsia"/>
              </w:rPr>
              <w:t>3</w:t>
            </w:r>
          </w:p>
        </w:tc>
      </w:tr>
      <w:tr w14:paraId="756F0C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53CAB54E">
            <w:pPr>
              <w:pStyle w:val="34"/>
            </w:pPr>
          </w:p>
        </w:tc>
        <w:tc>
          <w:tcPr>
            <w:tcW w:w="2384" w:type="dxa"/>
            <w:vAlign w:val="center"/>
          </w:tcPr>
          <w:p w14:paraId="229A578A">
            <w:pPr>
              <w:pStyle w:val="34"/>
            </w:pPr>
            <w:r>
              <w:t>事故源类型</w:t>
            </w:r>
          </w:p>
        </w:tc>
        <w:tc>
          <w:tcPr>
            <w:tcW w:w="4684" w:type="dxa"/>
            <w:vAlign w:val="center"/>
          </w:tcPr>
          <w:p w14:paraId="161D19AF">
            <w:pPr>
              <w:pStyle w:val="34"/>
            </w:pPr>
            <w:r>
              <w:t>危险物质泄漏</w:t>
            </w:r>
          </w:p>
        </w:tc>
      </w:tr>
      <w:tr w14:paraId="170033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40328CF0">
            <w:pPr>
              <w:pStyle w:val="34"/>
            </w:pPr>
            <w:r>
              <w:t>气象参数</w:t>
            </w:r>
          </w:p>
        </w:tc>
        <w:tc>
          <w:tcPr>
            <w:tcW w:w="2384" w:type="dxa"/>
            <w:vAlign w:val="center"/>
          </w:tcPr>
          <w:p w14:paraId="6E559965">
            <w:pPr>
              <w:pStyle w:val="34"/>
            </w:pPr>
            <w:r>
              <w:t>气象条件类型</w:t>
            </w:r>
          </w:p>
        </w:tc>
        <w:tc>
          <w:tcPr>
            <w:tcW w:w="4684" w:type="dxa"/>
            <w:vAlign w:val="center"/>
          </w:tcPr>
          <w:p w14:paraId="64EA9919">
            <w:pPr>
              <w:pStyle w:val="34"/>
            </w:pPr>
            <w:r>
              <w:t>最不利气象条件</w:t>
            </w:r>
          </w:p>
        </w:tc>
      </w:tr>
      <w:tr w14:paraId="102FD5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7DB1FF9C">
            <w:pPr>
              <w:pStyle w:val="34"/>
            </w:pPr>
          </w:p>
        </w:tc>
        <w:tc>
          <w:tcPr>
            <w:tcW w:w="2384" w:type="dxa"/>
            <w:vAlign w:val="center"/>
          </w:tcPr>
          <w:p w14:paraId="30A7F7BD">
            <w:pPr>
              <w:pStyle w:val="34"/>
            </w:pPr>
            <w:r>
              <w:t>风速/（m/s）</w:t>
            </w:r>
          </w:p>
        </w:tc>
        <w:tc>
          <w:tcPr>
            <w:tcW w:w="4684" w:type="dxa"/>
            <w:vAlign w:val="center"/>
          </w:tcPr>
          <w:p w14:paraId="36D7CF13">
            <w:pPr>
              <w:pStyle w:val="34"/>
            </w:pPr>
            <w:r>
              <w:t>1.5</w:t>
            </w:r>
          </w:p>
        </w:tc>
      </w:tr>
      <w:tr w14:paraId="580613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1617F805">
            <w:pPr>
              <w:pStyle w:val="34"/>
            </w:pPr>
          </w:p>
        </w:tc>
        <w:tc>
          <w:tcPr>
            <w:tcW w:w="2384" w:type="dxa"/>
            <w:vAlign w:val="center"/>
          </w:tcPr>
          <w:p w14:paraId="30929F00">
            <w:pPr>
              <w:pStyle w:val="34"/>
            </w:pPr>
            <w:r>
              <w:t>环境温度/</w:t>
            </w:r>
            <w:r>
              <w:rPr>
                <w:rFonts w:hint="eastAsia"/>
              </w:rPr>
              <w:t>℃</w:t>
            </w:r>
          </w:p>
        </w:tc>
        <w:tc>
          <w:tcPr>
            <w:tcW w:w="4684" w:type="dxa"/>
            <w:vAlign w:val="center"/>
          </w:tcPr>
          <w:p w14:paraId="03EA8BE9">
            <w:pPr>
              <w:pStyle w:val="34"/>
            </w:pPr>
            <w:r>
              <w:t>25</w:t>
            </w:r>
          </w:p>
        </w:tc>
      </w:tr>
      <w:tr w14:paraId="0F9DBA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7C13F164">
            <w:pPr>
              <w:pStyle w:val="34"/>
            </w:pPr>
          </w:p>
        </w:tc>
        <w:tc>
          <w:tcPr>
            <w:tcW w:w="2384" w:type="dxa"/>
            <w:vAlign w:val="center"/>
          </w:tcPr>
          <w:p w14:paraId="242075FA">
            <w:pPr>
              <w:pStyle w:val="34"/>
            </w:pPr>
            <w:r>
              <w:t>相对湿度/%</w:t>
            </w:r>
          </w:p>
        </w:tc>
        <w:tc>
          <w:tcPr>
            <w:tcW w:w="4684" w:type="dxa"/>
            <w:vAlign w:val="center"/>
          </w:tcPr>
          <w:p w14:paraId="0C5AB9FC">
            <w:pPr>
              <w:pStyle w:val="34"/>
            </w:pPr>
            <w:r>
              <w:t>50</w:t>
            </w:r>
          </w:p>
        </w:tc>
      </w:tr>
      <w:tr w14:paraId="0B0B94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31193A1E">
            <w:pPr>
              <w:pStyle w:val="34"/>
            </w:pPr>
          </w:p>
        </w:tc>
        <w:tc>
          <w:tcPr>
            <w:tcW w:w="2384" w:type="dxa"/>
            <w:vAlign w:val="center"/>
          </w:tcPr>
          <w:p w14:paraId="2FD75BD4">
            <w:pPr>
              <w:pStyle w:val="34"/>
            </w:pPr>
            <w:r>
              <w:t>稳定度</w:t>
            </w:r>
          </w:p>
        </w:tc>
        <w:tc>
          <w:tcPr>
            <w:tcW w:w="4684" w:type="dxa"/>
            <w:vAlign w:val="center"/>
          </w:tcPr>
          <w:p w14:paraId="73EAA011">
            <w:pPr>
              <w:pStyle w:val="34"/>
            </w:pPr>
            <w:r>
              <w:t>F</w:t>
            </w:r>
          </w:p>
        </w:tc>
      </w:tr>
      <w:tr w14:paraId="483E46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563AA117">
            <w:pPr>
              <w:pStyle w:val="34"/>
            </w:pPr>
            <w:r>
              <w:t>其他参数</w:t>
            </w:r>
          </w:p>
        </w:tc>
        <w:tc>
          <w:tcPr>
            <w:tcW w:w="2384" w:type="dxa"/>
            <w:vAlign w:val="center"/>
          </w:tcPr>
          <w:p w14:paraId="2242D350">
            <w:pPr>
              <w:pStyle w:val="34"/>
            </w:pPr>
            <w:r>
              <w:t>地表粗糙度/</w:t>
            </w:r>
            <w:r>
              <w:rPr>
                <w:rFonts w:hint="eastAsia"/>
              </w:rPr>
              <w:t>m</w:t>
            </w:r>
          </w:p>
        </w:tc>
        <w:tc>
          <w:tcPr>
            <w:tcW w:w="4684" w:type="dxa"/>
            <w:vAlign w:val="center"/>
          </w:tcPr>
          <w:p w14:paraId="78B16360">
            <w:pPr>
              <w:pStyle w:val="34"/>
            </w:pPr>
            <w:r>
              <w:rPr>
                <w:rFonts w:hint="eastAsia"/>
              </w:rPr>
              <w:t>0.03</w:t>
            </w:r>
          </w:p>
        </w:tc>
      </w:tr>
      <w:tr w14:paraId="0EBCA2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3" w:hRule="atLeast"/>
        </w:trPr>
        <w:tc>
          <w:tcPr>
            <w:tcW w:w="1460" w:type="dxa"/>
            <w:vMerge w:val="continue"/>
            <w:vAlign w:val="center"/>
          </w:tcPr>
          <w:p w14:paraId="181E84F4">
            <w:pPr>
              <w:pStyle w:val="34"/>
            </w:pPr>
          </w:p>
        </w:tc>
        <w:tc>
          <w:tcPr>
            <w:tcW w:w="2384" w:type="dxa"/>
            <w:vAlign w:val="center"/>
          </w:tcPr>
          <w:p w14:paraId="65DF4155">
            <w:pPr>
              <w:pStyle w:val="34"/>
            </w:pPr>
            <w:r>
              <w:t>是否考虑地形</w:t>
            </w:r>
          </w:p>
        </w:tc>
        <w:tc>
          <w:tcPr>
            <w:tcW w:w="4684" w:type="dxa"/>
            <w:vAlign w:val="center"/>
          </w:tcPr>
          <w:p w14:paraId="40DA38AA">
            <w:pPr>
              <w:pStyle w:val="34"/>
            </w:pPr>
            <w:r>
              <w:rPr>
                <w:rFonts w:hint="eastAsia"/>
              </w:rPr>
              <w:t>否</w:t>
            </w:r>
          </w:p>
        </w:tc>
      </w:tr>
      <w:tr w14:paraId="2ECBF5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75C54D20">
            <w:pPr>
              <w:pStyle w:val="34"/>
            </w:pPr>
          </w:p>
        </w:tc>
        <w:tc>
          <w:tcPr>
            <w:tcW w:w="2384" w:type="dxa"/>
            <w:vAlign w:val="center"/>
          </w:tcPr>
          <w:p w14:paraId="2D2CAB94">
            <w:pPr>
              <w:pStyle w:val="34"/>
            </w:pPr>
            <w:r>
              <w:t>地形数据精度/m</w:t>
            </w:r>
          </w:p>
        </w:tc>
        <w:tc>
          <w:tcPr>
            <w:tcW w:w="4684" w:type="dxa"/>
            <w:vAlign w:val="center"/>
          </w:tcPr>
          <w:p w14:paraId="25BF166C">
            <w:pPr>
              <w:pStyle w:val="34"/>
            </w:pPr>
            <w:r>
              <w:rPr>
                <w:rFonts w:hint="eastAsia"/>
              </w:rPr>
              <w:t>/</w:t>
            </w:r>
          </w:p>
        </w:tc>
      </w:tr>
    </w:tbl>
    <w:p w14:paraId="61A5F330">
      <w:pPr>
        <w:ind w:firstLine="437"/>
      </w:pPr>
      <w:r>
        <w:rPr>
          <w:rFonts w:hint="eastAsia"/>
        </w:rPr>
        <w:t>②</w:t>
      </w:r>
      <w:r>
        <w:t>预测结果</w:t>
      </w:r>
    </w:p>
    <w:p w14:paraId="366F68D5">
      <w:pPr>
        <w:ind w:firstLine="437"/>
      </w:pPr>
      <w:r>
        <w:t>由预测结果可知，在最不利气象条件（F类稳定度，1.5m/s风速，温度25</w:t>
      </w:r>
      <w:r>
        <w:rPr>
          <w:rFonts w:hint="eastAsia"/>
        </w:rPr>
        <w:t>℃</w:t>
      </w:r>
      <w:r>
        <w:t>，相对湿度50%）下，</w:t>
      </w:r>
      <w:r>
        <w:rPr>
          <w:rFonts w:hint="eastAsia"/>
        </w:rPr>
        <w:t>丙烯腈</w:t>
      </w:r>
      <w:r>
        <w:t>浓度</w:t>
      </w:r>
      <w:r>
        <w:rPr>
          <w:rFonts w:hint="eastAsia"/>
        </w:rPr>
        <w:t>达到</w:t>
      </w:r>
      <w:r>
        <w:t>大气毒性终点浓度-1（</w:t>
      </w:r>
      <w:r>
        <w:rPr>
          <w:rFonts w:hint="eastAsia"/>
        </w:rPr>
        <w:t>61mg/m</w:t>
      </w:r>
      <w:r>
        <w:rPr>
          <w:rFonts w:hint="eastAsia"/>
          <w:vertAlign w:val="superscript"/>
        </w:rPr>
        <w:t>3</w:t>
      </w:r>
      <w:r>
        <w:t>）</w:t>
      </w:r>
      <w:r>
        <w:rPr>
          <w:rFonts w:hint="eastAsia"/>
        </w:rPr>
        <w:t>对应的距离为下风向90m，</w:t>
      </w:r>
      <w:r>
        <w:t>大气毒性终点浓度-2（</w:t>
      </w:r>
      <w:r>
        <w:rPr>
          <w:rFonts w:hint="eastAsia"/>
        </w:rPr>
        <w:t>3.7mg/m</w:t>
      </w:r>
      <w:r>
        <w:rPr>
          <w:rFonts w:hint="eastAsia"/>
          <w:vertAlign w:val="superscript"/>
        </w:rPr>
        <w:t>3</w:t>
      </w:r>
      <w:r>
        <w:t>）</w:t>
      </w:r>
      <w:r>
        <w:rPr>
          <w:rFonts w:hint="eastAsia"/>
        </w:rPr>
        <w:t>对应的距离为下风向1070m；</w:t>
      </w:r>
      <w:r>
        <w:t>事故发生后，预测到达</w:t>
      </w:r>
      <w:r>
        <w:rPr>
          <w:rFonts w:hint="eastAsia"/>
        </w:rPr>
        <w:t>敏感点</w:t>
      </w:r>
      <w:r>
        <w:t>的</w:t>
      </w:r>
      <w:r>
        <w:rPr>
          <w:rFonts w:hint="eastAsia"/>
        </w:rPr>
        <w:t>丙烯腈</w:t>
      </w:r>
      <w:r>
        <w:t>浓度</w:t>
      </w:r>
      <w:r>
        <w:rPr>
          <w:rFonts w:hint="eastAsia"/>
        </w:rPr>
        <w:t>最大</w:t>
      </w:r>
      <w:r>
        <w:t>贡献值</w:t>
      </w:r>
      <w:r>
        <w:rPr>
          <w:rFonts w:hint="eastAsia"/>
        </w:rPr>
        <w:t>出现在联检大楼，浓度为0.85mg/m</w:t>
      </w:r>
      <w:r>
        <w:rPr>
          <w:vertAlign w:val="superscript"/>
        </w:rPr>
        <w:t>3</w:t>
      </w:r>
      <w:r>
        <w:t>，未达到大气毒性终点浓度-1和达到大气毒性终点浓度-2，</w:t>
      </w:r>
      <w:r>
        <w:rPr>
          <w:rFonts w:hint="eastAsia"/>
        </w:rPr>
        <w:t>对周边环境影响不大</w:t>
      </w:r>
      <w:r>
        <w:t>。</w:t>
      </w:r>
    </w:p>
    <w:p w14:paraId="6B157889">
      <w:pPr>
        <w:pStyle w:val="7"/>
      </w:pPr>
      <w:r>
        <w:t>下风向不同距离丙烯腈的最大浓度</w:t>
      </w:r>
    </w:p>
    <w:tbl>
      <w:tblPr>
        <w:tblStyle w:val="88"/>
        <w:tblW w:w="8528"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340"/>
        <w:gridCol w:w="2813"/>
        <w:gridCol w:w="3375"/>
      </w:tblGrid>
      <w:tr w14:paraId="72E2C35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tblHeader/>
          <w:jc w:val="center"/>
        </w:trPr>
        <w:tc>
          <w:tcPr>
            <w:tcW w:w="2340" w:type="dxa"/>
            <w:vAlign w:val="center"/>
          </w:tcPr>
          <w:p w14:paraId="31BE12B6">
            <w:pPr>
              <w:pStyle w:val="34"/>
            </w:pPr>
            <w:r>
              <w:t>下风向距离（m）</w:t>
            </w:r>
          </w:p>
        </w:tc>
        <w:tc>
          <w:tcPr>
            <w:tcW w:w="2813" w:type="dxa"/>
            <w:vAlign w:val="center"/>
          </w:tcPr>
          <w:p w14:paraId="63E09C2B">
            <w:pPr>
              <w:pStyle w:val="34"/>
            </w:pPr>
            <w:r>
              <w:t>浓度出现时间（min）</w:t>
            </w:r>
          </w:p>
        </w:tc>
        <w:tc>
          <w:tcPr>
            <w:tcW w:w="3375" w:type="dxa"/>
            <w:vAlign w:val="center"/>
          </w:tcPr>
          <w:p w14:paraId="3AD40579">
            <w:pPr>
              <w:pStyle w:val="34"/>
            </w:pPr>
            <w:r>
              <w:t>下风向高峰浓度（mg/m</w:t>
            </w:r>
            <w:r>
              <w:rPr>
                <w:vertAlign w:val="superscript"/>
              </w:rPr>
              <w:t>3</w:t>
            </w:r>
            <w:r>
              <w:t>）</w:t>
            </w:r>
          </w:p>
        </w:tc>
      </w:tr>
      <w:tr w14:paraId="0839A04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06D5015">
            <w:pPr>
              <w:pStyle w:val="34"/>
            </w:pPr>
            <w:r>
              <w:rPr>
                <w:color w:val="000000"/>
                <w:szCs w:val="21"/>
              </w:rPr>
              <w:t xml:space="preserve">10.00 </w:t>
            </w:r>
          </w:p>
        </w:tc>
        <w:tc>
          <w:tcPr>
            <w:tcW w:w="2813" w:type="dxa"/>
            <w:vAlign w:val="center"/>
          </w:tcPr>
          <w:p w14:paraId="7CA5D6D2">
            <w:pPr>
              <w:pStyle w:val="34"/>
              <w:rPr>
                <w:color w:val="000000"/>
                <w:szCs w:val="21"/>
              </w:rPr>
            </w:pPr>
            <w:r>
              <w:rPr>
                <w:rFonts w:hint="eastAsia"/>
                <w:color w:val="000000"/>
                <w:szCs w:val="21"/>
              </w:rPr>
              <w:t xml:space="preserve">0.08 </w:t>
            </w:r>
          </w:p>
        </w:tc>
        <w:tc>
          <w:tcPr>
            <w:tcW w:w="3375" w:type="dxa"/>
            <w:vAlign w:val="center"/>
          </w:tcPr>
          <w:p w14:paraId="012F220B">
            <w:pPr>
              <w:pStyle w:val="34"/>
              <w:rPr>
                <w:color w:val="000000"/>
                <w:szCs w:val="21"/>
              </w:rPr>
            </w:pPr>
            <w:r>
              <w:rPr>
                <w:rFonts w:hint="eastAsia"/>
                <w:color w:val="000000"/>
                <w:szCs w:val="21"/>
              </w:rPr>
              <w:t xml:space="preserve">0.00 </w:t>
            </w:r>
          </w:p>
        </w:tc>
      </w:tr>
      <w:tr w14:paraId="10A6A33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5C71BBD">
            <w:pPr>
              <w:pStyle w:val="34"/>
            </w:pPr>
            <w:r>
              <w:rPr>
                <w:color w:val="000000"/>
                <w:szCs w:val="21"/>
              </w:rPr>
              <w:t xml:space="preserve">60.00 </w:t>
            </w:r>
          </w:p>
        </w:tc>
        <w:tc>
          <w:tcPr>
            <w:tcW w:w="2813" w:type="dxa"/>
            <w:vAlign w:val="center"/>
          </w:tcPr>
          <w:p w14:paraId="627FF35E">
            <w:pPr>
              <w:pStyle w:val="34"/>
              <w:rPr>
                <w:color w:val="000000"/>
                <w:szCs w:val="21"/>
              </w:rPr>
            </w:pPr>
            <w:r>
              <w:rPr>
                <w:rFonts w:hint="eastAsia"/>
                <w:color w:val="000000"/>
                <w:szCs w:val="21"/>
              </w:rPr>
              <w:t xml:space="preserve">0.50 </w:t>
            </w:r>
          </w:p>
        </w:tc>
        <w:tc>
          <w:tcPr>
            <w:tcW w:w="3375" w:type="dxa"/>
            <w:vAlign w:val="center"/>
          </w:tcPr>
          <w:p w14:paraId="61A84D34">
            <w:pPr>
              <w:pStyle w:val="34"/>
              <w:rPr>
                <w:color w:val="000000"/>
                <w:szCs w:val="21"/>
              </w:rPr>
            </w:pPr>
            <w:r>
              <w:rPr>
                <w:rFonts w:hint="eastAsia"/>
                <w:color w:val="000000"/>
                <w:szCs w:val="21"/>
              </w:rPr>
              <w:t xml:space="preserve">62.43 </w:t>
            </w:r>
          </w:p>
        </w:tc>
      </w:tr>
      <w:tr w14:paraId="428EBB4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63CFB72A">
            <w:pPr>
              <w:pStyle w:val="34"/>
            </w:pPr>
            <w:r>
              <w:rPr>
                <w:color w:val="000000"/>
                <w:szCs w:val="21"/>
              </w:rPr>
              <w:t xml:space="preserve">110.00 </w:t>
            </w:r>
          </w:p>
        </w:tc>
        <w:tc>
          <w:tcPr>
            <w:tcW w:w="2813" w:type="dxa"/>
            <w:vAlign w:val="center"/>
          </w:tcPr>
          <w:p w14:paraId="32B2A5B8">
            <w:pPr>
              <w:pStyle w:val="34"/>
              <w:rPr>
                <w:color w:val="000000"/>
                <w:szCs w:val="21"/>
              </w:rPr>
            </w:pPr>
            <w:r>
              <w:rPr>
                <w:rFonts w:hint="eastAsia"/>
                <w:color w:val="000000"/>
                <w:szCs w:val="21"/>
              </w:rPr>
              <w:t xml:space="preserve">0.92 </w:t>
            </w:r>
          </w:p>
        </w:tc>
        <w:tc>
          <w:tcPr>
            <w:tcW w:w="3375" w:type="dxa"/>
            <w:vAlign w:val="center"/>
          </w:tcPr>
          <w:p w14:paraId="0A8C470F">
            <w:pPr>
              <w:pStyle w:val="34"/>
              <w:rPr>
                <w:color w:val="000000"/>
                <w:szCs w:val="21"/>
              </w:rPr>
            </w:pPr>
            <w:r>
              <w:rPr>
                <w:rFonts w:hint="eastAsia"/>
                <w:color w:val="000000"/>
                <w:szCs w:val="21"/>
              </w:rPr>
              <w:t xml:space="preserve">57.02 </w:t>
            </w:r>
          </w:p>
        </w:tc>
      </w:tr>
      <w:tr w14:paraId="6970060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8B4634B">
            <w:pPr>
              <w:pStyle w:val="34"/>
            </w:pPr>
            <w:r>
              <w:rPr>
                <w:color w:val="000000"/>
                <w:szCs w:val="21"/>
              </w:rPr>
              <w:t xml:space="preserve">360.00 </w:t>
            </w:r>
          </w:p>
        </w:tc>
        <w:tc>
          <w:tcPr>
            <w:tcW w:w="2813" w:type="dxa"/>
            <w:vAlign w:val="center"/>
          </w:tcPr>
          <w:p w14:paraId="3B522AC9">
            <w:pPr>
              <w:pStyle w:val="34"/>
              <w:rPr>
                <w:color w:val="000000"/>
                <w:szCs w:val="21"/>
              </w:rPr>
            </w:pPr>
            <w:r>
              <w:rPr>
                <w:rFonts w:hint="eastAsia"/>
                <w:color w:val="000000"/>
                <w:szCs w:val="21"/>
              </w:rPr>
              <w:t xml:space="preserve">3.00 </w:t>
            </w:r>
          </w:p>
        </w:tc>
        <w:tc>
          <w:tcPr>
            <w:tcW w:w="3375" w:type="dxa"/>
            <w:vAlign w:val="center"/>
          </w:tcPr>
          <w:p w14:paraId="5A402248">
            <w:pPr>
              <w:pStyle w:val="34"/>
              <w:rPr>
                <w:color w:val="000000"/>
                <w:szCs w:val="21"/>
              </w:rPr>
            </w:pPr>
            <w:r>
              <w:rPr>
                <w:rFonts w:hint="eastAsia"/>
                <w:color w:val="000000"/>
                <w:szCs w:val="21"/>
              </w:rPr>
              <w:t xml:space="preserve">18.89 </w:t>
            </w:r>
          </w:p>
        </w:tc>
      </w:tr>
      <w:tr w14:paraId="308E495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9A38379">
            <w:pPr>
              <w:pStyle w:val="34"/>
            </w:pPr>
            <w:r>
              <w:rPr>
                <w:color w:val="000000"/>
                <w:szCs w:val="21"/>
              </w:rPr>
              <w:t xml:space="preserve">510.00 </w:t>
            </w:r>
          </w:p>
        </w:tc>
        <w:tc>
          <w:tcPr>
            <w:tcW w:w="2813" w:type="dxa"/>
            <w:vAlign w:val="center"/>
          </w:tcPr>
          <w:p w14:paraId="60F77F63">
            <w:pPr>
              <w:pStyle w:val="34"/>
              <w:rPr>
                <w:color w:val="000000"/>
                <w:szCs w:val="21"/>
              </w:rPr>
            </w:pPr>
            <w:r>
              <w:rPr>
                <w:rFonts w:hint="eastAsia"/>
                <w:color w:val="000000"/>
                <w:szCs w:val="21"/>
              </w:rPr>
              <w:t xml:space="preserve">4.25 </w:t>
            </w:r>
          </w:p>
        </w:tc>
        <w:tc>
          <w:tcPr>
            <w:tcW w:w="3375" w:type="dxa"/>
            <w:vAlign w:val="center"/>
          </w:tcPr>
          <w:p w14:paraId="11DEEF48">
            <w:pPr>
              <w:pStyle w:val="34"/>
              <w:rPr>
                <w:color w:val="000000"/>
                <w:szCs w:val="21"/>
              </w:rPr>
            </w:pPr>
            <w:r>
              <w:rPr>
                <w:rFonts w:hint="eastAsia"/>
                <w:color w:val="000000"/>
                <w:szCs w:val="21"/>
              </w:rPr>
              <w:t xml:space="preserve">11.64 </w:t>
            </w:r>
          </w:p>
        </w:tc>
      </w:tr>
      <w:tr w14:paraId="1943B62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DA15511">
            <w:pPr>
              <w:pStyle w:val="34"/>
            </w:pPr>
            <w:r>
              <w:rPr>
                <w:color w:val="000000"/>
                <w:szCs w:val="21"/>
              </w:rPr>
              <w:t xml:space="preserve">1010.00 </w:t>
            </w:r>
          </w:p>
        </w:tc>
        <w:tc>
          <w:tcPr>
            <w:tcW w:w="2813" w:type="dxa"/>
            <w:vAlign w:val="center"/>
          </w:tcPr>
          <w:p w14:paraId="114956AE">
            <w:pPr>
              <w:pStyle w:val="34"/>
              <w:rPr>
                <w:color w:val="000000"/>
                <w:szCs w:val="21"/>
              </w:rPr>
            </w:pPr>
            <w:r>
              <w:rPr>
                <w:rFonts w:hint="eastAsia"/>
                <w:color w:val="000000"/>
                <w:szCs w:val="21"/>
              </w:rPr>
              <w:t xml:space="preserve">8.42 </w:t>
            </w:r>
          </w:p>
        </w:tc>
        <w:tc>
          <w:tcPr>
            <w:tcW w:w="3375" w:type="dxa"/>
            <w:vAlign w:val="center"/>
          </w:tcPr>
          <w:p w14:paraId="458EFB19">
            <w:pPr>
              <w:pStyle w:val="34"/>
              <w:rPr>
                <w:color w:val="000000"/>
                <w:szCs w:val="21"/>
              </w:rPr>
            </w:pPr>
            <w:r>
              <w:rPr>
                <w:rFonts w:hint="eastAsia"/>
                <w:color w:val="000000"/>
                <w:szCs w:val="21"/>
              </w:rPr>
              <w:t xml:space="preserve">4.07 </w:t>
            </w:r>
          </w:p>
        </w:tc>
      </w:tr>
      <w:tr w14:paraId="76B317E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5B0390E">
            <w:pPr>
              <w:pStyle w:val="34"/>
            </w:pPr>
            <w:r>
              <w:rPr>
                <w:color w:val="000000"/>
                <w:szCs w:val="21"/>
              </w:rPr>
              <w:t xml:space="preserve">1510.00 </w:t>
            </w:r>
          </w:p>
        </w:tc>
        <w:tc>
          <w:tcPr>
            <w:tcW w:w="2813" w:type="dxa"/>
            <w:vAlign w:val="center"/>
          </w:tcPr>
          <w:p w14:paraId="6489B915">
            <w:pPr>
              <w:pStyle w:val="34"/>
              <w:rPr>
                <w:color w:val="000000"/>
                <w:szCs w:val="21"/>
              </w:rPr>
            </w:pPr>
            <w:r>
              <w:rPr>
                <w:rFonts w:hint="eastAsia"/>
                <w:color w:val="000000"/>
                <w:szCs w:val="21"/>
              </w:rPr>
              <w:t xml:space="preserve">12.58 </w:t>
            </w:r>
          </w:p>
        </w:tc>
        <w:tc>
          <w:tcPr>
            <w:tcW w:w="3375" w:type="dxa"/>
            <w:vAlign w:val="center"/>
          </w:tcPr>
          <w:p w14:paraId="128E4328">
            <w:pPr>
              <w:pStyle w:val="34"/>
              <w:rPr>
                <w:color w:val="000000"/>
                <w:szCs w:val="21"/>
              </w:rPr>
            </w:pPr>
            <w:r>
              <w:rPr>
                <w:rFonts w:hint="eastAsia"/>
                <w:color w:val="000000"/>
                <w:szCs w:val="21"/>
              </w:rPr>
              <w:t xml:space="preserve">2.16 </w:t>
            </w:r>
          </w:p>
        </w:tc>
      </w:tr>
      <w:tr w14:paraId="77AC4BA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4FA969A9">
            <w:pPr>
              <w:pStyle w:val="34"/>
            </w:pPr>
            <w:r>
              <w:rPr>
                <w:color w:val="000000"/>
                <w:szCs w:val="21"/>
              </w:rPr>
              <w:t xml:space="preserve">2010.00 </w:t>
            </w:r>
          </w:p>
        </w:tc>
        <w:tc>
          <w:tcPr>
            <w:tcW w:w="2813" w:type="dxa"/>
            <w:vAlign w:val="center"/>
          </w:tcPr>
          <w:p w14:paraId="314769C3">
            <w:pPr>
              <w:pStyle w:val="34"/>
              <w:rPr>
                <w:color w:val="000000"/>
                <w:szCs w:val="21"/>
              </w:rPr>
            </w:pPr>
            <w:r>
              <w:rPr>
                <w:rFonts w:hint="eastAsia"/>
                <w:color w:val="000000"/>
                <w:szCs w:val="21"/>
              </w:rPr>
              <w:t xml:space="preserve">18.75 </w:t>
            </w:r>
          </w:p>
        </w:tc>
        <w:tc>
          <w:tcPr>
            <w:tcW w:w="3375" w:type="dxa"/>
            <w:vAlign w:val="center"/>
          </w:tcPr>
          <w:p w14:paraId="1BB130DD">
            <w:pPr>
              <w:pStyle w:val="34"/>
              <w:rPr>
                <w:color w:val="000000"/>
                <w:szCs w:val="21"/>
              </w:rPr>
            </w:pPr>
            <w:r>
              <w:rPr>
                <w:rFonts w:hint="eastAsia"/>
                <w:color w:val="000000"/>
                <w:szCs w:val="21"/>
              </w:rPr>
              <w:t xml:space="preserve">1.48 </w:t>
            </w:r>
          </w:p>
        </w:tc>
      </w:tr>
      <w:tr w14:paraId="4BC7546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7DF1671">
            <w:pPr>
              <w:pStyle w:val="34"/>
            </w:pPr>
            <w:r>
              <w:rPr>
                <w:color w:val="000000"/>
                <w:szCs w:val="21"/>
              </w:rPr>
              <w:t xml:space="preserve">3010.00 </w:t>
            </w:r>
          </w:p>
        </w:tc>
        <w:tc>
          <w:tcPr>
            <w:tcW w:w="2813" w:type="dxa"/>
            <w:vAlign w:val="center"/>
          </w:tcPr>
          <w:p w14:paraId="346CBFB3">
            <w:pPr>
              <w:pStyle w:val="34"/>
              <w:rPr>
                <w:color w:val="000000"/>
                <w:szCs w:val="21"/>
              </w:rPr>
            </w:pPr>
            <w:r>
              <w:rPr>
                <w:rFonts w:hint="eastAsia"/>
                <w:color w:val="000000"/>
                <w:szCs w:val="21"/>
              </w:rPr>
              <w:t xml:space="preserve">28.08 </w:t>
            </w:r>
          </w:p>
        </w:tc>
        <w:tc>
          <w:tcPr>
            <w:tcW w:w="3375" w:type="dxa"/>
            <w:vAlign w:val="center"/>
          </w:tcPr>
          <w:p w14:paraId="4B02F6EA">
            <w:pPr>
              <w:pStyle w:val="34"/>
              <w:rPr>
                <w:color w:val="000000"/>
                <w:szCs w:val="21"/>
              </w:rPr>
            </w:pPr>
            <w:r>
              <w:rPr>
                <w:rFonts w:hint="eastAsia"/>
                <w:color w:val="000000"/>
                <w:szCs w:val="21"/>
              </w:rPr>
              <w:t xml:space="preserve">0.87 </w:t>
            </w:r>
          </w:p>
        </w:tc>
      </w:tr>
      <w:tr w14:paraId="08B7A5B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38FD2A97">
            <w:pPr>
              <w:pStyle w:val="34"/>
            </w:pPr>
            <w:r>
              <w:rPr>
                <w:color w:val="000000"/>
                <w:szCs w:val="21"/>
              </w:rPr>
              <w:t xml:space="preserve">4010.00 </w:t>
            </w:r>
          </w:p>
        </w:tc>
        <w:tc>
          <w:tcPr>
            <w:tcW w:w="2813" w:type="dxa"/>
            <w:vAlign w:val="center"/>
          </w:tcPr>
          <w:p w14:paraId="6357A76A">
            <w:pPr>
              <w:pStyle w:val="34"/>
              <w:rPr>
                <w:color w:val="000000"/>
                <w:szCs w:val="21"/>
              </w:rPr>
            </w:pPr>
            <w:r>
              <w:rPr>
                <w:rFonts w:hint="eastAsia"/>
                <w:color w:val="000000"/>
                <w:szCs w:val="21"/>
              </w:rPr>
              <w:t xml:space="preserve">37.42 </w:t>
            </w:r>
          </w:p>
        </w:tc>
        <w:tc>
          <w:tcPr>
            <w:tcW w:w="3375" w:type="dxa"/>
            <w:vAlign w:val="center"/>
          </w:tcPr>
          <w:p w14:paraId="34BE6F11">
            <w:pPr>
              <w:pStyle w:val="34"/>
              <w:rPr>
                <w:color w:val="000000"/>
                <w:szCs w:val="21"/>
              </w:rPr>
            </w:pPr>
            <w:r>
              <w:rPr>
                <w:rFonts w:hint="eastAsia"/>
                <w:color w:val="000000"/>
                <w:szCs w:val="21"/>
              </w:rPr>
              <w:t xml:space="preserve">0.60 </w:t>
            </w:r>
          </w:p>
        </w:tc>
      </w:tr>
    </w:tbl>
    <w:p w14:paraId="21645AB6">
      <w:pPr>
        <w:pStyle w:val="7"/>
      </w:pPr>
      <w:r>
        <w:rPr>
          <w:rFonts w:hint="eastAsia"/>
        </w:rPr>
        <w:t>大气敏感保护目标最大影响预测结果</w:t>
      </w:r>
    </w:p>
    <w:tbl>
      <w:tblPr>
        <w:tblStyle w:val="88"/>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99"/>
        <w:gridCol w:w="1263"/>
        <w:gridCol w:w="801"/>
        <w:gridCol w:w="777"/>
        <w:gridCol w:w="777"/>
        <w:gridCol w:w="880"/>
        <w:gridCol w:w="777"/>
        <w:gridCol w:w="777"/>
        <w:gridCol w:w="777"/>
      </w:tblGrid>
      <w:tr w14:paraId="5D05E3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71EE1216">
            <w:pPr>
              <w:pStyle w:val="34"/>
            </w:pPr>
            <w:r>
              <w:t>名称</w:t>
            </w:r>
          </w:p>
        </w:tc>
        <w:tc>
          <w:tcPr>
            <w:tcW w:w="1263" w:type="dxa"/>
            <w:vAlign w:val="center"/>
          </w:tcPr>
          <w:p w14:paraId="5538BBD2">
            <w:pPr>
              <w:pStyle w:val="34"/>
            </w:pPr>
            <w:r>
              <w:t>最大浓度/时间(min)</w:t>
            </w:r>
          </w:p>
        </w:tc>
        <w:tc>
          <w:tcPr>
            <w:tcW w:w="801" w:type="dxa"/>
            <w:vAlign w:val="center"/>
          </w:tcPr>
          <w:p w14:paraId="7C8A3B6E">
            <w:pPr>
              <w:pStyle w:val="34"/>
            </w:pPr>
            <w:r>
              <w:rPr>
                <w:rFonts w:hint="eastAsia"/>
              </w:rPr>
              <w:t>20min</w:t>
            </w:r>
          </w:p>
        </w:tc>
        <w:tc>
          <w:tcPr>
            <w:tcW w:w="777" w:type="dxa"/>
            <w:vAlign w:val="center"/>
          </w:tcPr>
          <w:p w14:paraId="5E16EA7D">
            <w:pPr>
              <w:pStyle w:val="34"/>
            </w:pPr>
            <w:r>
              <w:rPr>
                <w:rFonts w:hint="eastAsia"/>
              </w:rPr>
              <w:t>25min</w:t>
            </w:r>
          </w:p>
        </w:tc>
        <w:tc>
          <w:tcPr>
            <w:tcW w:w="777" w:type="dxa"/>
            <w:vAlign w:val="center"/>
          </w:tcPr>
          <w:p w14:paraId="302E9D3F">
            <w:pPr>
              <w:pStyle w:val="34"/>
            </w:pPr>
            <w:r>
              <w:rPr>
                <w:rFonts w:hint="eastAsia"/>
              </w:rPr>
              <w:t>30min</w:t>
            </w:r>
          </w:p>
        </w:tc>
        <w:tc>
          <w:tcPr>
            <w:tcW w:w="880" w:type="dxa"/>
            <w:vAlign w:val="center"/>
          </w:tcPr>
          <w:p w14:paraId="07533994">
            <w:pPr>
              <w:pStyle w:val="34"/>
            </w:pPr>
            <w:r>
              <w:rPr>
                <w:rFonts w:hint="eastAsia"/>
              </w:rPr>
              <w:t>35min</w:t>
            </w:r>
          </w:p>
        </w:tc>
        <w:tc>
          <w:tcPr>
            <w:tcW w:w="777" w:type="dxa"/>
            <w:vAlign w:val="center"/>
          </w:tcPr>
          <w:p w14:paraId="1ED4A561">
            <w:pPr>
              <w:pStyle w:val="34"/>
            </w:pPr>
            <w:r>
              <w:rPr>
                <w:rFonts w:hint="eastAsia"/>
              </w:rPr>
              <w:t>40min</w:t>
            </w:r>
          </w:p>
        </w:tc>
        <w:tc>
          <w:tcPr>
            <w:tcW w:w="777" w:type="dxa"/>
            <w:vAlign w:val="center"/>
          </w:tcPr>
          <w:p w14:paraId="5ED94012">
            <w:pPr>
              <w:pStyle w:val="34"/>
            </w:pPr>
            <w:r>
              <w:rPr>
                <w:rFonts w:hint="eastAsia"/>
              </w:rPr>
              <w:t>45min</w:t>
            </w:r>
          </w:p>
        </w:tc>
        <w:tc>
          <w:tcPr>
            <w:tcW w:w="777" w:type="dxa"/>
            <w:vAlign w:val="center"/>
          </w:tcPr>
          <w:p w14:paraId="4F7BD778">
            <w:pPr>
              <w:pStyle w:val="34"/>
            </w:pPr>
            <w:r>
              <w:rPr>
                <w:rFonts w:hint="eastAsia"/>
              </w:rPr>
              <w:t>50min</w:t>
            </w:r>
          </w:p>
        </w:tc>
      </w:tr>
      <w:tr w14:paraId="7C5CC2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45FFD9DA">
            <w:pPr>
              <w:pStyle w:val="34"/>
            </w:pPr>
            <w:r>
              <w:t>联检</w:t>
            </w:r>
            <w:r>
              <w:rPr>
                <w:rFonts w:hint="eastAsia"/>
              </w:rPr>
              <w:t>港务大厦</w:t>
            </w:r>
          </w:p>
        </w:tc>
        <w:tc>
          <w:tcPr>
            <w:tcW w:w="1263" w:type="dxa"/>
            <w:vAlign w:val="center"/>
          </w:tcPr>
          <w:p w14:paraId="03555F82">
            <w:pPr>
              <w:pStyle w:val="34"/>
            </w:pPr>
            <w:r>
              <w:rPr>
                <w:rFonts w:hint="eastAsia"/>
              </w:rPr>
              <w:t>0.85|30</w:t>
            </w:r>
          </w:p>
        </w:tc>
        <w:tc>
          <w:tcPr>
            <w:tcW w:w="801" w:type="dxa"/>
            <w:vAlign w:val="center"/>
          </w:tcPr>
          <w:p w14:paraId="7D3DB37F">
            <w:pPr>
              <w:pStyle w:val="34"/>
            </w:pPr>
            <w:r>
              <w:rPr>
                <w:rFonts w:hint="eastAsia"/>
              </w:rPr>
              <w:t xml:space="preserve">0.00 </w:t>
            </w:r>
          </w:p>
        </w:tc>
        <w:tc>
          <w:tcPr>
            <w:tcW w:w="777" w:type="dxa"/>
            <w:vAlign w:val="center"/>
          </w:tcPr>
          <w:p w14:paraId="431C14F6">
            <w:pPr>
              <w:pStyle w:val="34"/>
            </w:pPr>
            <w:r>
              <w:rPr>
                <w:rFonts w:hint="eastAsia"/>
              </w:rPr>
              <w:t xml:space="preserve">0.17 </w:t>
            </w:r>
          </w:p>
        </w:tc>
        <w:tc>
          <w:tcPr>
            <w:tcW w:w="777" w:type="dxa"/>
            <w:vAlign w:val="center"/>
          </w:tcPr>
          <w:p w14:paraId="275CFBA8">
            <w:pPr>
              <w:pStyle w:val="34"/>
            </w:pPr>
            <w:r>
              <w:rPr>
                <w:rFonts w:hint="eastAsia"/>
              </w:rPr>
              <w:t xml:space="preserve">0.85 </w:t>
            </w:r>
          </w:p>
        </w:tc>
        <w:tc>
          <w:tcPr>
            <w:tcW w:w="880" w:type="dxa"/>
            <w:vAlign w:val="center"/>
          </w:tcPr>
          <w:p w14:paraId="352F3127">
            <w:pPr>
              <w:pStyle w:val="34"/>
            </w:pPr>
            <w:r>
              <w:rPr>
                <w:rFonts w:hint="eastAsia"/>
              </w:rPr>
              <w:t xml:space="preserve">0.85 </w:t>
            </w:r>
          </w:p>
        </w:tc>
        <w:tc>
          <w:tcPr>
            <w:tcW w:w="777" w:type="dxa"/>
            <w:vAlign w:val="center"/>
          </w:tcPr>
          <w:p w14:paraId="6E7D65D4">
            <w:pPr>
              <w:pStyle w:val="34"/>
            </w:pPr>
            <w:r>
              <w:rPr>
                <w:rFonts w:hint="eastAsia"/>
              </w:rPr>
              <w:t xml:space="preserve">0.70 </w:t>
            </w:r>
          </w:p>
        </w:tc>
        <w:tc>
          <w:tcPr>
            <w:tcW w:w="777" w:type="dxa"/>
            <w:vAlign w:val="center"/>
          </w:tcPr>
          <w:p w14:paraId="5BB86CDA">
            <w:pPr>
              <w:pStyle w:val="34"/>
            </w:pPr>
            <w:r>
              <w:rPr>
                <w:rFonts w:hint="eastAsia"/>
              </w:rPr>
              <w:t xml:space="preserve">0.00 </w:t>
            </w:r>
          </w:p>
        </w:tc>
        <w:tc>
          <w:tcPr>
            <w:tcW w:w="777" w:type="dxa"/>
            <w:vAlign w:val="center"/>
          </w:tcPr>
          <w:p w14:paraId="4D34C455">
            <w:pPr>
              <w:pStyle w:val="34"/>
            </w:pPr>
            <w:r>
              <w:rPr>
                <w:rFonts w:hint="eastAsia"/>
              </w:rPr>
              <w:t xml:space="preserve">0.00 </w:t>
            </w:r>
          </w:p>
        </w:tc>
      </w:tr>
      <w:tr w14:paraId="305363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0D94F522">
            <w:pPr>
              <w:pStyle w:val="34"/>
            </w:pPr>
            <w:r>
              <w:rPr>
                <w:rFonts w:hint="eastAsia"/>
              </w:rPr>
              <w:t>保税港管委会</w:t>
            </w:r>
          </w:p>
        </w:tc>
        <w:tc>
          <w:tcPr>
            <w:tcW w:w="1263" w:type="dxa"/>
            <w:vAlign w:val="center"/>
          </w:tcPr>
          <w:p w14:paraId="268CD1C6">
            <w:pPr>
              <w:pStyle w:val="34"/>
            </w:pPr>
            <w:r>
              <w:rPr>
                <w:rFonts w:hint="eastAsia"/>
              </w:rPr>
              <w:t>0.79|30</w:t>
            </w:r>
          </w:p>
        </w:tc>
        <w:tc>
          <w:tcPr>
            <w:tcW w:w="801" w:type="dxa"/>
            <w:vAlign w:val="center"/>
          </w:tcPr>
          <w:p w14:paraId="03586A28">
            <w:pPr>
              <w:pStyle w:val="34"/>
            </w:pPr>
            <w:r>
              <w:rPr>
                <w:rFonts w:hint="eastAsia"/>
              </w:rPr>
              <w:t xml:space="preserve">0.00 </w:t>
            </w:r>
          </w:p>
        </w:tc>
        <w:tc>
          <w:tcPr>
            <w:tcW w:w="777" w:type="dxa"/>
            <w:vAlign w:val="center"/>
          </w:tcPr>
          <w:p w14:paraId="71ED301C">
            <w:pPr>
              <w:pStyle w:val="34"/>
            </w:pPr>
            <w:r>
              <w:rPr>
                <w:rFonts w:hint="eastAsia"/>
              </w:rPr>
              <w:t xml:space="preserve">0.00 </w:t>
            </w:r>
          </w:p>
        </w:tc>
        <w:tc>
          <w:tcPr>
            <w:tcW w:w="777" w:type="dxa"/>
            <w:vAlign w:val="center"/>
          </w:tcPr>
          <w:p w14:paraId="335B8920">
            <w:pPr>
              <w:pStyle w:val="34"/>
            </w:pPr>
            <w:r>
              <w:rPr>
                <w:rFonts w:hint="eastAsia"/>
              </w:rPr>
              <w:t xml:space="preserve">0.79 </w:t>
            </w:r>
          </w:p>
        </w:tc>
        <w:tc>
          <w:tcPr>
            <w:tcW w:w="880" w:type="dxa"/>
            <w:vAlign w:val="center"/>
          </w:tcPr>
          <w:p w14:paraId="59A85A47">
            <w:pPr>
              <w:pStyle w:val="34"/>
            </w:pPr>
            <w:r>
              <w:rPr>
                <w:rFonts w:hint="eastAsia"/>
              </w:rPr>
              <w:t xml:space="preserve">0.79 </w:t>
            </w:r>
          </w:p>
        </w:tc>
        <w:tc>
          <w:tcPr>
            <w:tcW w:w="777" w:type="dxa"/>
            <w:vAlign w:val="center"/>
          </w:tcPr>
          <w:p w14:paraId="2A9C44D7">
            <w:pPr>
              <w:pStyle w:val="34"/>
            </w:pPr>
            <w:r>
              <w:rPr>
                <w:rFonts w:hint="eastAsia"/>
              </w:rPr>
              <w:t xml:space="preserve">0.79 </w:t>
            </w:r>
          </w:p>
        </w:tc>
        <w:tc>
          <w:tcPr>
            <w:tcW w:w="777" w:type="dxa"/>
            <w:vAlign w:val="center"/>
          </w:tcPr>
          <w:p w14:paraId="4809A6ED">
            <w:pPr>
              <w:pStyle w:val="34"/>
            </w:pPr>
            <w:r>
              <w:rPr>
                <w:rFonts w:hint="eastAsia"/>
              </w:rPr>
              <w:t xml:space="preserve">0.00 </w:t>
            </w:r>
          </w:p>
        </w:tc>
        <w:tc>
          <w:tcPr>
            <w:tcW w:w="777" w:type="dxa"/>
            <w:vAlign w:val="center"/>
          </w:tcPr>
          <w:p w14:paraId="35559C21">
            <w:pPr>
              <w:pStyle w:val="34"/>
            </w:pPr>
            <w:r>
              <w:rPr>
                <w:rFonts w:hint="eastAsia"/>
              </w:rPr>
              <w:t xml:space="preserve">0.00 </w:t>
            </w:r>
          </w:p>
        </w:tc>
      </w:tr>
      <w:tr w14:paraId="5821B7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0A0F7563">
            <w:pPr>
              <w:pStyle w:val="34"/>
            </w:pPr>
            <w:r>
              <w:rPr>
                <w:rFonts w:hint="eastAsia"/>
              </w:rPr>
              <w:t>保税港区生活区</w:t>
            </w:r>
            <w:r>
              <w:t>大楼</w:t>
            </w:r>
          </w:p>
        </w:tc>
        <w:tc>
          <w:tcPr>
            <w:tcW w:w="1263" w:type="dxa"/>
            <w:vAlign w:val="center"/>
          </w:tcPr>
          <w:p w14:paraId="0E16FC82">
            <w:pPr>
              <w:pStyle w:val="34"/>
            </w:pPr>
            <w:r>
              <w:rPr>
                <w:rFonts w:hint="eastAsia"/>
              </w:rPr>
              <w:t>0.77|30</w:t>
            </w:r>
          </w:p>
        </w:tc>
        <w:tc>
          <w:tcPr>
            <w:tcW w:w="801" w:type="dxa"/>
            <w:vAlign w:val="center"/>
          </w:tcPr>
          <w:p w14:paraId="22E1BAC8">
            <w:pPr>
              <w:pStyle w:val="34"/>
            </w:pPr>
            <w:r>
              <w:rPr>
                <w:rFonts w:hint="eastAsia"/>
              </w:rPr>
              <w:t xml:space="preserve">0.00 </w:t>
            </w:r>
          </w:p>
        </w:tc>
        <w:tc>
          <w:tcPr>
            <w:tcW w:w="777" w:type="dxa"/>
            <w:vAlign w:val="center"/>
          </w:tcPr>
          <w:p w14:paraId="48C73CEF">
            <w:pPr>
              <w:pStyle w:val="34"/>
            </w:pPr>
            <w:r>
              <w:rPr>
                <w:rFonts w:hint="eastAsia"/>
              </w:rPr>
              <w:t xml:space="preserve">0.00 </w:t>
            </w:r>
          </w:p>
        </w:tc>
        <w:tc>
          <w:tcPr>
            <w:tcW w:w="777" w:type="dxa"/>
            <w:vAlign w:val="center"/>
          </w:tcPr>
          <w:p w14:paraId="1E797218">
            <w:pPr>
              <w:pStyle w:val="34"/>
            </w:pPr>
            <w:r>
              <w:rPr>
                <w:rFonts w:hint="eastAsia"/>
              </w:rPr>
              <w:t xml:space="preserve">0.77 </w:t>
            </w:r>
          </w:p>
        </w:tc>
        <w:tc>
          <w:tcPr>
            <w:tcW w:w="880" w:type="dxa"/>
            <w:vAlign w:val="center"/>
          </w:tcPr>
          <w:p w14:paraId="341AD152">
            <w:pPr>
              <w:pStyle w:val="34"/>
            </w:pPr>
            <w:r>
              <w:rPr>
                <w:rFonts w:hint="eastAsia"/>
              </w:rPr>
              <w:t xml:space="preserve">0.77 </w:t>
            </w:r>
          </w:p>
        </w:tc>
        <w:tc>
          <w:tcPr>
            <w:tcW w:w="777" w:type="dxa"/>
            <w:vAlign w:val="center"/>
          </w:tcPr>
          <w:p w14:paraId="03DCFF06">
            <w:pPr>
              <w:pStyle w:val="34"/>
            </w:pPr>
            <w:r>
              <w:rPr>
                <w:rFonts w:hint="eastAsia"/>
              </w:rPr>
              <w:t xml:space="preserve">0.77 </w:t>
            </w:r>
          </w:p>
        </w:tc>
        <w:tc>
          <w:tcPr>
            <w:tcW w:w="777" w:type="dxa"/>
            <w:vAlign w:val="center"/>
          </w:tcPr>
          <w:p w14:paraId="5030408D">
            <w:pPr>
              <w:pStyle w:val="34"/>
            </w:pPr>
            <w:r>
              <w:rPr>
                <w:rFonts w:hint="eastAsia"/>
              </w:rPr>
              <w:t xml:space="preserve">0.00 </w:t>
            </w:r>
          </w:p>
        </w:tc>
        <w:tc>
          <w:tcPr>
            <w:tcW w:w="777" w:type="dxa"/>
            <w:vAlign w:val="center"/>
          </w:tcPr>
          <w:p w14:paraId="662943FA">
            <w:pPr>
              <w:pStyle w:val="34"/>
            </w:pPr>
            <w:r>
              <w:rPr>
                <w:rFonts w:hint="eastAsia"/>
              </w:rPr>
              <w:t xml:space="preserve">0.00 </w:t>
            </w:r>
          </w:p>
        </w:tc>
      </w:tr>
    </w:tbl>
    <w:p w14:paraId="73FD06BE">
      <w:pPr>
        <w:pStyle w:val="7"/>
      </w:pPr>
      <w:bookmarkStart w:id="568" w:name="_Hlk68454891"/>
      <w:bookmarkStart w:id="569" w:name="_Toc66194223"/>
      <w:bookmarkStart w:id="570" w:name="_Toc66194024"/>
      <w:r>
        <w:rPr>
          <w:rFonts w:hint="eastAsia"/>
        </w:rPr>
        <w:t>丙烯腈泄漏超出阈值的范围</w:t>
      </w:r>
    </w:p>
    <w:tbl>
      <w:tblPr>
        <w:tblStyle w:val="88"/>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3228"/>
        <w:gridCol w:w="2702"/>
        <w:gridCol w:w="2598"/>
      </w:tblGrid>
      <w:tr w14:paraId="3729042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4CF89F48">
            <w:pPr>
              <w:pStyle w:val="34"/>
            </w:pPr>
            <w:r>
              <w:t>超过大气毒性终点浓度-1</w:t>
            </w:r>
          </w:p>
        </w:tc>
        <w:tc>
          <w:tcPr>
            <w:tcW w:w="2702" w:type="dxa"/>
            <w:vAlign w:val="center"/>
          </w:tcPr>
          <w:p w14:paraId="79037B86">
            <w:pPr>
              <w:pStyle w:val="34"/>
            </w:pPr>
            <w:r>
              <w:t>阈值（mg/m</w:t>
            </w:r>
            <w:r>
              <w:rPr>
                <w:vertAlign w:val="superscript"/>
              </w:rPr>
              <w:t>3</w:t>
            </w:r>
            <w:r>
              <w:t>）</w:t>
            </w:r>
          </w:p>
        </w:tc>
        <w:tc>
          <w:tcPr>
            <w:tcW w:w="2598" w:type="dxa"/>
            <w:vAlign w:val="center"/>
          </w:tcPr>
          <w:p w14:paraId="15A6B2E0">
            <w:pPr>
              <w:pStyle w:val="34"/>
            </w:pPr>
            <w:r>
              <w:rPr>
                <w:rFonts w:hint="eastAsia"/>
              </w:rPr>
              <w:t>61</w:t>
            </w:r>
          </w:p>
        </w:tc>
      </w:tr>
      <w:tr w14:paraId="3387F17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3B904E24">
            <w:pPr>
              <w:pStyle w:val="34"/>
            </w:pPr>
          </w:p>
        </w:tc>
        <w:tc>
          <w:tcPr>
            <w:tcW w:w="2702" w:type="dxa"/>
            <w:vAlign w:val="center"/>
          </w:tcPr>
          <w:p w14:paraId="2A1280FD">
            <w:pPr>
              <w:pStyle w:val="34"/>
            </w:pPr>
            <w:r>
              <w:t>最大半宽（m）</w:t>
            </w:r>
          </w:p>
        </w:tc>
        <w:tc>
          <w:tcPr>
            <w:tcW w:w="2598" w:type="dxa"/>
            <w:vAlign w:val="center"/>
          </w:tcPr>
          <w:p w14:paraId="22EB2F72">
            <w:pPr>
              <w:pStyle w:val="34"/>
            </w:pPr>
            <w:r>
              <w:rPr>
                <w:rFonts w:hint="eastAsia"/>
              </w:rPr>
              <w:t>0</w:t>
            </w:r>
          </w:p>
        </w:tc>
      </w:tr>
      <w:tr w14:paraId="1F29E59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01476642">
            <w:pPr>
              <w:pStyle w:val="34"/>
            </w:pPr>
          </w:p>
        </w:tc>
        <w:tc>
          <w:tcPr>
            <w:tcW w:w="2702" w:type="dxa"/>
            <w:vAlign w:val="center"/>
          </w:tcPr>
          <w:p w14:paraId="2B2AA767">
            <w:pPr>
              <w:pStyle w:val="34"/>
            </w:pPr>
            <w:r>
              <w:t>影响范围（m）</w:t>
            </w:r>
          </w:p>
        </w:tc>
        <w:tc>
          <w:tcPr>
            <w:tcW w:w="2598" w:type="dxa"/>
            <w:vAlign w:val="center"/>
          </w:tcPr>
          <w:p w14:paraId="1E64E174">
            <w:pPr>
              <w:pStyle w:val="34"/>
            </w:pPr>
            <w:r>
              <w:rPr>
                <w:rFonts w:hint="eastAsia"/>
              </w:rPr>
              <w:t>90</w:t>
            </w:r>
          </w:p>
        </w:tc>
      </w:tr>
      <w:tr w14:paraId="683C17B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255A784A">
            <w:pPr>
              <w:pStyle w:val="34"/>
            </w:pPr>
            <w:r>
              <w:t>超过大气毒性终点浓度-2</w:t>
            </w:r>
          </w:p>
        </w:tc>
        <w:tc>
          <w:tcPr>
            <w:tcW w:w="2702" w:type="dxa"/>
            <w:vAlign w:val="center"/>
          </w:tcPr>
          <w:p w14:paraId="1AC56C37">
            <w:pPr>
              <w:pStyle w:val="34"/>
            </w:pPr>
            <w:r>
              <w:t>阈值（mg/m</w:t>
            </w:r>
            <w:r>
              <w:rPr>
                <w:vertAlign w:val="superscript"/>
              </w:rPr>
              <w:t>3</w:t>
            </w:r>
            <w:r>
              <w:t>）</w:t>
            </w:r>
          </w:p>
        </w:tc>
        <w:tc>
          <w:tcPr>
            <w:tcW w:w="2598" w:type="dxa"/>
            <w:vAlign w:val="center"/>
          </w:tcPr>
          <w:p w14:paraId="22D53417">
            <w:pPr>
              <w:pStyle w:val="34"/>
            </w:pPr>
            <w:r>
              <w:rPr>
                <w:rFonts w:hint="eastAsia"/>
              </w:rPr>
              <w:t>3.7</w:t>
            </w:r>
          </w:p>
        </w:tc>
      </w:tr>
      <w:tr w14:paraId="14D5E29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64673A0F">
            <w:pPr>
              <w:pStyle w:val="34"/>
            </w:pPr>
          </w:p>
        </w:tc>
        <w:tc>
          <w:tcPr>
            <w:tcW w:w="2702" w:type="dxa"/>
            <w:vAlign w:val="center"/>
          </w:tcPr>
          <w:p w14:paraId="672B40CA">
            <w:pPr>
              <w:pStyle w:val="34"/>
            </w:pPr>
            <w:r>
              <w:t>最大半宽（m）</w:t>
            </w:r>
          </w:p>
        </w:tc>
        <w:tc>
          <w:tcPr>
            <w:tcW w:w="2598" w:type="dxa"/>
            <w:vAlign w:val="center"/>
          </w:tcPr>
          <w:p w14:paraId="01618271">
            <w:pPr>
              <w:pStyle w:val="34"/>
            </w:pPr>
            <w:r>
              <w:rPr>
                <w:rFonts w:hint="eastAsia"/>
              </w:rPr>
              <w:t>24</w:t>
            </w:r>
          </w:p>
        </w:tc>
      </w:tr>
      <w:tr w14:paraId="6325BCF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6C62CE3D">
            <w:pPr>
              <w:pStyle w:val="34"/>
            </w:pPr>
          </w:p>
        </w:tc>
        <w:tc>
          <w:tcPr>
            <w:tcW w:w="2702" w:type="dxa"/>
            <w:vAlign w:val="center"/>
          </w:tcPr>
          <w:p w14:paraId="258EEA84">
            <w:pPr>
              <w:pStyle w:val="34"/>
            </w:pPr>
            <w:r>
              <w:t>影响范围（m）</w:t>
            </w:r>
          </w:p>
        </w:tc>
        <w:tc>
          <w:tcPr>
            <w:tcW w:w="2598" w:type="dxa"/>
            <w:vAlign w:val="center"/>
          </w:tcPr>
          <w:p w14:paraId="76C79ED8">
            <w:pPr>
              <w:pStyle w:val="34"/>
            </w:pPr>
            <w:r>
              <w:rPr>
                <w:rFonts w:hint="eastAsia"/>
              </w:rPr>
              <w:t>1070</w:t>
            </w:r>
          </w:p>
        </w:tc>
      </w:tr>
    </w:tbl>
    <w:p w14:paraId="39CEB97A">
      <w:pPr>
        <w:ind w:firstLine="437"/>
      </w:pPr>
    </w:p>
    <w:p w14:paraId="4AAE592F">
      <w:pPr>
        <w:ind w:firstLine="0" w:firstLineChars="0"/>
      </w:pPr>
      <w:r>
        <w:drawing>
          <wp:inline distT="0" distB="0" distL="0" distR="0">
            <wp:extent cx="5278120" cy="3730625"/>
            <wp:effectExtent l="0" t="0" r="0" b="3175"/>
            <wp:docPr id="1082144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144121" name="图片 1"/>
                    <pic:cNvPicPr>
                      <a:picLocks noChangeAspect="1"/>
                    </pic:cNvPicPr>
                  </pic:nvPicPr>
                  <pic:blipFill>
                    <a:blip r:embed="rId147"/>
                    <a:stretch>
                      <a:fillRect/>
                    </a:stretch>
                  </pic:blipFill>
                  <pic:spPr>
                    <a:xfrm>
                      <a:off x="0" y="0"/>
                      <a:ext cx="5278120" cy="3730625"/>
                    </a:xfrm>
                    <a:prstGeom prst="rect">
                      <a:avLst/>
                    </a:prstGeom>
                  </pic:spPr>
                </pic:pic>
              </a:graphicData>
            </a:graphic>
          </wp:inline>
        </w:drawing>
      </w:r>
    </w:p>
    <w:p w14:paraId="05792F75">
      <w:pPr>
        <w:pStyle w:val="8"/>
        <w:ind w:firstLine="480"/>
      </w:pPr>
      <w:r>
        <w:rPr>
          <w:rFonts w:hint="eastAsia"/>
        </w:rPr>
        <w:t>丙烯腈泄漏最大影响区域图</w:t>
      </w:r>
    </w:p>
    <w:p w14:paraId="0DD2229D">
      <w:pPr>
        <w:ind w:firstLine="437"/>
      </w:pPr>
      <w:r>
        <w:rPr>
          <w:rFonts w:hint="eastAsia"/>
        </w:rPr>
        <w:t>三、氟化氢泄漏</w:t>
      </w:r>
    </w:p>
    <w:p w14:paraId="51869350">
      <w:pPr>
        <w:ind w:firstLine="437"/>
      </w:pPr>
      <w:r>
        <w:rPr>
          <w:rFonts w:hint="eastAsia"/>
        </w:rPr>
        <w:t>1、预测模型筛选</w:t>
      </w:r>
    </w:p>
    <w:p w14:paraId="32CE3955">
      <w:pPr>
        <w:ind w:firstLine="437"/>
      </w:pPr>
      <w:r>
        <w:rPr>
          <w:rFonts w:hint="eastAsia"/>
        </w:rPr>
        <w:t>根据《建设项目环境风险评价技术导则》（HJ/169-2018）附录G，氟化氢初始密度未大于空气密度，不计算理查德森数，选用AFTOX模型进行大气风险预测模型。</w:t>
      </w:r>
    </w:p>
    <w:p w14:paraId="2C7A407B">
      <w:pPr>
        <w:ind w:firstLine="437"/>
      </w:pPr>
      <w:r>
        <w:rPr>
          <w:rFonts w:hint="eastAsia"/>
        </w:rPr>
        <w:t>2</w:t>
      </w:r>
      <w:r>
        <w:t>、预测结果</w:t>
      </w:r>
    </w:p>
    <w:p w14:paraId="690876EA">
      <w:pPr>
        <w:ind w:firstLine="437"/>
      </w:pPr>
      <w:r>
        <w:rPr>
          <w:rFonts w:hint="eastAsia"/>
        </w:rPr>
        <w:t>①</w:t>
      </w:r>
      <w:r>
        <w:t>预测参数</w:t>
      </w:r>
    </w:p>
    <w:p w14:paraId="04C6CCBF">
      <w:pPr>
        <w:pStyle w:val="7"/>
      </w:pPr>
      <w:r>
        <w:rPr>
          <w:rFonts w:hint="eastAsia"/>
        </w:rPr>
        <w:t>氟化氢泄漏</w:t>
      </w:r>
      <w:r>
        <w:t>大气风险预测模型主要参数表</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60"/>
        <w:gridCol w:w="2384"/>
        <w:gridCol w:w="4684"/>
      </w:tblGrid>
      <w:tr w14:paraId="39B956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460" w:type="dxa"/>
            <w:vAlign w:val="center"/>
          </w:tcPr>
          <w:p w14:paraId="59A977C7">
            <w:pPr>
              <w:pStyle w:val="34"/>
            </w:pPr>
            <w:r>
              <w:t>参数类型</w:t>
            </w:r>
          </w:p>
        </w:tc>
        <w:tc>
          <w:tcPr>
            <w:tcW w:w="2384" w:type="dxa"/>
            <w:vAlign w:val="center"/>
          </w:tcPr>
          <w:p w14:paraId="5564F691">
            <w:pPr>
              <w:pStyle w:val="34"/>
            </w:pPr>
            <w:r>
              <w:t>选项</w:t>
            </w:r>
          </w:p>
        </w:tc>
        <w:tc>
          <w:tcPr>
            <w:tcW w:w="4684" w:type="dxa"/>
            <w:vAlign w:val="center"/>
          </w:tcPr>
          <w:p w14:paraId="1D53FA62">
            <w:pPr>
              <w:pStyle w:val="34"/>
            </w:pPr>
            <w:r>
              <w:t>参数</w:t>
            </w:r>
          </w:p>
        </w:tc>
      </w:tr>
      <w:tr w14:paraId="35D5DA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1626D909">
            <w:pPr>
              <w:pStyle w:val="34"/>
            </w:pPr>
            <w:r>
              <w:t>基本情况</w:t>
            </w:r>
          </w:p>
        </w:tc>
        <w:tc>
          <w:tcPr>
            <w:tcW w:w="2384" w:type="dxa"/>
            <w:vAlign w:val="center"/>
          </w:tcPr>
          <w:p w14:paraId="6B60FD77">
            <w:pPr>
              <w:pStyle w:val="34"/>
            </w:pPr>
            <w:r>
              <w:t>事故源经度/（°）</w:t>
            </w:r>
          </w:p>
        </w:tc>
        <w:tc>
          <w:tcPr>
            <w:tcW w:w="4684" w:type="dxa"/>
          </w:tcPr>
          <w:p w14:paraId="02E8BE36">
            <w:pPr>
              <w:pStyle w:val="34"/>
            </w:pPr>
            <w:r>
              <w:t>108.6</w:t>
            </w:r>
            <w:r>
              <w:rPr>
                <w:rFonts w:hint="eastAsia"/>
              </w:rPr>
              <w:t>57</w:t>
            </w:r>
          </w:p>
        </w:tc>
      </w:tr>
      <w:tr w14:paraId="7E5DF9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6827C75B">
            <w:pPr>
              <w:pStyle w:val="34"/>
            </w:pPr>
          </w:p>
        </w:tc>
        <w:tc>
          <w:tcPr>
            <w:tcW w:w="2384" w:type="dxa"/>
            <w:vAlign w:val="center"/>
          </w:tcPr>
          <w:p w14:paraId="5917D229">
            <w:pPr>
              <w:pStyle w:val="34"/>
            </w:pPr>
            <w:r>
              <w:t>事故源纬度/（°）</w:t>
            </w:r>
          </w:p>
        </w:tc>
        <w:tc>
          <w:tcPr>
            <w:tcW w:w="4684" w:type="dxa"/>
          </w:tcPr>
          <w:p w14:paraId="01E66283">
            <w:pPr>
              <w:pStyle w:val="34"/>
            </w:pPr>
            <w:r>
              <w:t>21.66</w:t>
            </w:r>
            <w:r>
              <w:rPr>
                <w:rFonts w:hint="eastAsia"/>
              </w:rPr>
              <w:t>3</w:t>
            </w:r>
          </w:p>
        </w:tc>
      </w:tr>
      <w:tr w14:paraId="709D1F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7638BEDF">
            <w:pPr>
              <w:pStyle w:val="34"/>
            </w:pPr>
          </w:p>
        </w:tc>
        <w:tc>
          <w:tcPr>
            <w:tcW w:w="2384" w:type="dxa"/>
            <w:vAlign w:val="center"/>
          </w:tcPr>
          <w:p w14:paraId="79FF6406">
            <w:pPr>
              <w:pStyle w:val="34"/>
            </w:pPr>
            <w:r>
              <w:t>事故源类型</w:t>
            </w:r>
          </w:p>
        </w:tc>
        <w:tc>
          <w:tcPr>
            <w:tcW w:w="4684" w:type="dxa"/>
            <w:vAlign w:val="center"/>
          </w:tcPr>
          <w:p w14:paraId="55AD337D">
            <w:pPr>
              <w:pStyle w:val="34"/>
            </w:pPr>
            <w:r>
              <w:t>危险物质泄漏</w:t>
            </w:r>
          </w:p>
        </w:tc>
      </w:tr>
      <w:tr w14:paraId="54A499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56C48FBF">
            <w:pPr>
              <w:pStyle w:val="34"/>
            </w:pPr>
            <w:r>
              <w:t>气象参数</w:t>
            </w:r>
          </w:p>
        </w:tc>
        <w:tc>
          <w:tcPr>
            <w:tcW w:w="2384" w:type="dxa"/>
            <w:vAlign w:val="center"/>
          </w:tcPr>
          <w:p w14:paraId="4DCB86E6">
            <w:pPr>
              <w:pStyle w:val="34"/>
            </w:pPr>
            <w:r>
              <w:t>气象条件类型</w:t>
            </w:r>
          </w:p>
        </w:tc>
        <w:tc>
          <w:tcPr>
            <w:tcW w:w="4684" w:type="dxa"/>
            <w:vAlign w:val="center"/>
          </w:tcPr>
          <w:p w14:paraId="140310B5">
            <w:pPr>
              <w:pStyle w:val="34"/>
            </w:pPr>
            <w:r>
              <w:t>最不利气象条件</w:t>
            </w:r>
          </w:p>
        </w:tc>
      </w:tr>
      <w:tr w14:paraId="279CF0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49A130EB">
            <w:pPr>
              <w:pStyle w:val="34"/>
            </w:pPr>
          </w:p>
        </w:tc>
        <w:tc>
          <w:tcPr>
            <w:tcW w:w="2384" w:type="dxa"/>
            <w:vAlign w:val="center"/>
          </w:tcPr>
          <w:p w14:paraId="47DE7F69">
            <w:pPr>
              <w:pStyle w:val="34"/>
            </w:pPr>
            <w:r>
              <w:t>风速/（m/s）</w:t>
            </w:r>
          </w:p>
        </w:tc>
        <w:tc>
          <w:tcPr>
            <w:tcW w:w="4684" w:type="dxa"/>
            <w:vAlign w:val="center"/>
          </w:tcPr>
          <w:p w14:paraId="3DCAC965">
            <w:pPr>
              <w:pStyle w:val="34"/>
            </w:pPr>
            <w:r>
              <w:t>1.5</w:t>
            </w:r>
          </w:p>
        </w:tc>
      </w:tr>
      <w:tr w14:paraId="18A582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4AD26CCA">
            <w:pPr>
              <w:pStyle w:val="34"/>
            </w:pPr>
          </w:p>
        </w:tc>
        <w:tc>
          <w:tcPr>
            <w:tcW w:w="2384" w:type="dxa"/>
            <w:vAlign w:val="center"/>
          </w:tcPr>
          <w:p w14:paraId="05A454EF">
            <w:pPr>
              <w:pStyle w:val="34"/>
            </w:pPr>
            <w:r>
              <w:t>环境温度/</w:t>
            </w:r>
            <w:r>
              <w:rPr>
                <w:rFonts w:hint="eastAsia"/>
              </w:rPr>
              <w:t>℃</w:t>
            </w:r>
          </w:p>
        </w:tc>
        <w:tc>
          <w:tcPr>
            <w:tcW w:w="4684" w:type="dxa"/>
            <w:vAlign w:val="center"/>
          </w:tcPr>
          <w:p w14:paraId="0C5AF63F">
            <w:pPr>
              <w:pStyle w:val="34"/>
            </w:pPr>
            <w:r>
              <w:t>25</w:t>
            </w:r>
          </w:p>
        </w:tc>
      </w:tr>
      <w:tr w14:paraId="30CC33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0983AAF">
            <w:pPr>
              <w:pStyle w:val="34"/>
            </w:pPr>
          </w:p>
        </w:tc>
        <w:tc>
          <w:tcPr>
            <w:tcW w:w="2384" w:type="dxa"/>
            <w:vAlign w:val="center"/>
          </w:tcPr>
          <w:p w14:paraId="0B100C3E">
            <w:pPr>
              <w:pStyle w:val="34"/>
            </w:pPr>
            <w:r>
              <w:t>相对湿度/%</w:t>
            </w:r>
          </w:p>
        </w:tc>
        <w:tc>
          <w:tcPr>
            <w:tcW w:w="4684" w:type="dxa"/>
            <w:vAlign w:val="center"/>
          </w:tcPr>
          <w:p w14:paraId="01B250A3">
            <w:pPr>
              <w:pStyle w:val="34"/>
            </w:pPr>
            <w:r>
              <w:t>50</w:t>
            </w:r>
          </w:p>
        </w:tc>
      </w:tr>
      <w:tr w14:paraId="7A1398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4ED828C">
            <w:pPr>
              <w:pStyle w:val="34"/>
            </w:pPr>
          </w:p>
        </w:tc>
        <w:tc>
          <w:tcPr>
            <w:tcW w:w="2384" w:type="dxa"/>
            <w:vAlign w:val="center"/>
          </w:tcPr>
          <w:p w14:paraId="46B5EB42">
            <w:pPr>
              <w:pStyle w:val="34"/>
            </w:pPr>
            <w:r>
              <w:t>稳定度</w:t>
            </w:r>
          </w:p>
        </w:tc>
        <w:tc>
          <w:tcPr>
            <w:tcW w:w="4684" w:type="dxa"/>
            <w:vAlign w:val="center"/>
          </w:tcPr>
          <w:p w14:paraId="4C0F17DF">
            <w:pPr>
              <w:pStyle w:val="34"/>
            </w:pPr>
            <w:r>
              <w:t>F</w:t>
            </w:r>
          </w:p>
        </w:tc>
      </w:tr>
      <w:tr w14:paraId="4B7A48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5CC02D30">
            <w:pPr>
              <w:pStyle w:val="34"/>
            </w:pPr>
            <w:r>
              <w:t>其他参数</w:t>
            </w:r>
          </w:p>
        </w:tc>
        <w:tc>
          <w:tcPr>
            <w:tcW w:w="2384" w:type="dxa"/>
            <w:vAlign w:val="center"/>
          </w:tcPr>
          <w:p w14:paraId="53926660">
            <w:pPr>
              <w:pStyle w:val="34"/>
            </w:pPr>
            <w:r>
              <w:t>地表粗糙度/</w:t>
            </w:r>
            <w:r>
              <w:rPr>
                <w:rFonts w:hint="eastAsia"/>
              </w:rPr>
              <w:t>m</w:t>
            </w:r>
          </w:p>
        </w:tc>
        <w:tc>
          <w:tcPr>
            <w:tcW w:w="4684" w:type="dxa"/>
            <w:vAlign w:val="center"/>
          </w:tcPr>
          <w:p w14:paraId="326E45D8">
            <w:pPr>
              <w:pStyle w:val="34"/>
            </w:pPr>
            <w:r>
              <w:rPr>
                <w:rFonts w:hint="eastAsia"/>
              </w:rPr>
              <w:t>0.03</w:t>
            </w:r>
          </w:p>
        </w:tc>
      </w:tr>
      <w:tr w14:paraId="69C087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3" w:hRule="atLeast"/>
        </w:trPr>
        <w:tc>
          <w:tcPr>
            <w:tcW w:w="1460" w:type="dxa"/>
            <w:vMerge w:val="continue"/>
            <w:vAlign w:val="center"/>
          </w:tcPr>
          <w:p w14:paraId="2D3E6EAA">
            <w:pPr>
              <w:pStyle w:val="34"/>
            </w:pPr>
          </w:p>
        </w:tc>
        <w:tc>
          <w:tcPr>
            <w:tcW w:w="2384" w:type="dxa"/>
            <w:vAlign w:val="center"/>
          </w:tcPr>
          <w:p w14:paraId="4F284BFE">
            <w:pPr>
              <w:pStyle w:val="34"/>
            </w:pPr>
            <w:r>
              <w:t>是否考虑地形</w:t>
            </w:r>
          </w:p>
        </w:tc>
        <w:tc>
          <w:tcPr>
            <w:tcW w:w="4684" w:type="dxa"/>
            <w:vAlign w:val="center"/>
          </w:tcPr>
          <w:p w14:paraId="57F8401D">
            <w:pPr>
              <w:pStyle w:val="34"/>
            </w:pPr>
            <w:r>
              <w:rPr>
                <w:rFonts w:hint="eastAsia"/>
              </w:rPr>
              <w:t>否</w:t>
            </w:r>
          </w:p>
        </w:tc>
      </w:tr>
      <w:tr w14:paraId="2DA38D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1A1B3A14">
            <w:pPr>
              <w:pStyle w:val="34"/>
            </w:pPr>
          </w:p>
        </w:tc>
        <w:tc>
          <w:tcPr>
            <w:tcW w:w="2384" w:type="dxa"/>
            <w:vAlign w:val="center"/>
          </w:tcPr>
          <w:p w14:paraId="218FDF6B">
            <w:pPr>
              <w:pStyle w:val="34"/>
            </w:pPr>
            <w:r>
              <w:t>地形数据精度/m</w:t>
            </w:r>
          </w:p>
        </w:tc>
        <w:tc>
          <w:tcPr>
            <w:tcW w:w="4684" w:type="dxa"/>
            <w:vAlign w:val="center"/>
          </w:tcPr>
          <w:p w14:paraId="277AD0A8">
            <w:pPr>
              <w:pStyle w:val="34"/>
            </w:pPr>
            <w:r>
              <w:rPr>
                <w:rFonts w:hint="eastAsia"/>
              </w:rPr>
              <w:t>/</w:t>
            </w:r>
          </w:p>
        </w:tc>
      </w:tr>
    </w:tbl>
    <w:p w14:paraId="766A0B7E">
      <w:pPr>
        <w:ind w:firstLine="437"/>
      </w:pPr>
      <w:r>
        <w:rPr>
          <w:rFonts w:hint="eastAsia"/>
        </w:rPr>
        <w:t>②</w:t>
      </w:r>
      <w:r>
        <w:t>预测结果</w:t>
      </w:r>
    </w:p>
    <w:p w14:paraId="5D47DF2D">
      <w:pPr>
        <w:ind w:firstLine="437"/>
      </w:pPr>
      <w:r>
        <w:t>由预测结果可知，在最不利气象条件（F类稳定度，1.5m/s风速，温度25</w:t>
      </w:r>
      <w:r>
        <w:rPr>
          <w:rFonts w:hint="eastAsia"/>
        </w:rPr>
        <w:t>℃</w:t>
      </w:r>
      <w:r>
        <w:t>，相对湿度50%）下，</w:t>
      </w:r>
      <w:r>
        <w:rPr>
          <w:rFonts w:hint="eastAsia"/>
        </w:rPr>
        <w:t>氟化氢</w:t>
      </w:r>
      <w:r>
        <w:t>浓度</w:t>
      </w:r>
      <w:r>
        <w:rPr>
          <w:rFonts w:hint="eastAsia"/>
        </w:rPr>
        <w:t>达到</w:t>
      </w:r>
      <w:r>
        <w:t>大气毒性终点浓度-1（</w:t>
      </w:r>
      <w:r>
        <w:rPr>
          <w:rFonts w:hint="eastAsia"/>
        </w:rPr>
        <w:t>36mg/m</w:t>
      </w:r>
      <w:r>
        <w:rPr>
          <w:rFonts w:hint="eastAsia"/>
          <w:vertAlign w:val="superscript"/>
        </w:rPr>
        <w:t>3</w:t>
      </w:r>
      <w:r>
        <w:t>）</w:t>
      </w:r>
      <w:r>
        <w:rPr>
          <w:rFonts w:hint="eastAsia"/>
        </w:rPr>
        <w:t>对应的距离为下风向220m，</w:t>
      </w:r>
      <w:r>
        <w:t>达到大气毒性终点浓度-2（</w:t>
      </w:r>
      <w:r>
        <w:rPr>
          <w:rFonts w:hint="eastAsia"/>
        </w:rPr>
        <w:t>20mg/m</w:t>
      </w:r>
      <w:r>
        <w:rPr>
          <w:rFonts w:hint="eastAsia"/>
          <w:vertAlign w:val="superscript"/>
        </w:rPr>
        <w:t>3</w:t>
      </w:r>
      <w:r>
        <w:t>）</w:t>
      </w:r>
      <w:r>
        <w:rPr>
          <w:rFonts w:hint="eastAsia"/>
        </w:rPr>
        <w:t>对应的距离为下风向320m；</w:t>
      </w:r>
      <w:r>
        <w:t>事故发生后，预测到达</w:t>
      </w:r>
      <w:r>
        <w:rPr>
          <w:rFonts w:hint="eastAsia"/>
        </w:rPr>
        <w:t>敏感点</w:t>
      </w:r>
      <w:r>
        <w:t>的</w:t>
      </w:r>
      <w:r>
        <w:rPr>
          <w:rFonts w:hint="eastAsia"/>
        </w:rPr>
        <w:t>氟化氢</w:t>
      </w:r>
      <w:r>
        <w:t>浓度</w:t>
      </w:r>
      <w:r>
        <w:rPr>
          <w:rFonts w:hint="eastAsia"/>
        </w:rPr>
        <w:t>最大</w:t>
      </w:r>
      <w:r>
        <w:t>贡献值</w:t>
      </w:r>
      <w:r>
        <w:rPr>
          <w:rFonts w:hint="eastAsia"/>
        </w:rPr>
        <w:t>出现在联检大楼，浓度为3.30mg/m</w:t>
      </w:r>
      <w:r>
        <w:rPr>
          <w:vertAlign w:val="superscript"/>
        </w:rPr>
        <w:t>3</w:t>
      </w:r>
      <w:r>
        <w:t>，未达到大气毒性终点浓度-1和达到大气毒性终点浓度-2，</w:t>
      </w:r>
      <w:r>
        <w:rPr>
          <w:rFonts w:hint="eastAsia"/>
        </w:rPr>
        <w:t>对周边环境影响不大</w:t>
      </w:r>
      <w:r>
        <w:t>。</w:t>
      </w:r>
    </w:p>
    <w:p w14:paraId="2949ABAC">
      <w:pPr>
        <w:pStyle w:val="7"/>
      </w:pPr>
      <w:r>
        <w:t>下风向不同距离氟化氢的最大浓度</w:t>
      </w:r>
    </w:p>
    <w:tbl>
      <w:tblPr>
        <w:tblStyle w:val="88"/>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340"/>
        <w:gridCol w:w="2813"/>
        <w:gridCol w:w="3375"/>
      </w:tblGrid>
      <w:tr w14:paraId="2315661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tblHeader/>
          <w:jc w:val="center"/>
        </w:trPr>
        <w:tc>
          <w:tcPr>
            <w:tcW w:w="2340" w:type="dxa"/>
            <w:vAlign w:val="center"/>
          </w:tcPr>
          <w:p w14:paraId="0A4BB5A9">
            <w:pPr>
              <w:pStyle w:val="34"/>
            </w:pPr>
            <w:r>
              <w:t>下风向距离（m）</w:t>
            </w:r>
          </w:p>
        </w:tc>
        <w:tc>
          <w:tcPr>
            <w:tcW w:w="2813" w:type="dxa"/>
            <w:vAlign w:val="center"/>
          </w:tcPr>
          <w:p w14:paraId="1584D583">
            <w:pPr>
              <w:pStyle w:val="34"/>
            </w:pPr>
            <w:r>
              <w:t>浓度出现时间（min）</w:t>
            </w:r>
          </w:p>
        </w:tc>
        <w:tc>
          <w:tcPr>
            <w:tcW w:w="3375" w:type="dxa"/>
            <w:vAlign w:val="center"/>
          </w:tcPr>
          <w:p w14:paraId="23FFB026">
            <w:pPr>
              <w:pStyle w:val="34"/>
            </w:pPr>
            <w:r>
              <w:t>下风向高峰浓度（mg/m3）</w:t>
            </w:r>
          </w:p>
        </w:tc>
      </w:tr>
      <w:tr w14:paraId="33CB592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6F95FDD">
            <w:pPr>
              <w:pStyle w:val="34"/>
            </w:pPr>
            <w:r>
              <w:t>10</w:t>
            </w:r>
          </w:p>
        </w:tc>
        <w:tc>
          <w:tcPr>
            <w:tcW w:w="2813" w:type="dxa"/>
            <w:vAlign w:val="center"/>
          </w:tcPr>
          <w:p w14:paraId="27DF51EA">
            <w:pPr>
              <w:pStyle w:val="34"/>
            </w:pPr>
            <w:r>
              <w:rPr>
                <w:rFonts w:hint="eastAsia"/>
              </w:rPr>
              <w:t>0.08</w:t>
            </w:r>
          </w:p>
        </w:tc>
        <w:tc>
          <w:tcPr>
            <w:tcW w:w="3375" w:type="dxa"/>
            <w:vAlign w:val="center"/>
          </w:tcPr>
          <w:p w14:paraId="3D56536D">
            <w:pPr>
              <w:pStyle w:val="34"/>
            </w:pPr>
            <w:r>
              <w:rPr>
                <w:rFonts w:hint="eastAsia"/>
              </w:rPr>
              <w:t>1535.10</w:t>
            </w:r>
          </w:p>
        </w:tc>
      </w:tr>
      <w:tr w14:paraId="2DBB396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1B2753B5">
            <w:pPr>
              <w:pStyle w:val="34"/>
            </w:pPr>
            <w:r>
              <w:t>20</w:t>
            </w:r>
          </w:p>
        </w:tc>
        <w:tc>
          <w:tcPr>
            <w:tcW w:w="2813" w:type="dxa"/>
            <w:vAlign w:val="center"/>
          </w:tcPr>
          <w:p w14:paraId="4EC2FEE0">
            <w:pPr>
              <w:pStyle w:val="34"/>
            </w:pPr>
            <w:r>
              <w:rPr>
                <w:rFonts w:hint="eastAsia"/>
              </w:rPr>
              <w:t>0.25</w:t>
            </w:r>
          </w:p>
        </w:tc>
        <w:tc>
          <w:tcPr>
            <w:tcW w:w="3375" w:type="dxa"/>
            <w:vAlign w:val="center"/>
          </w:tcPr>
          <w:p w14:paraId="29B8B317">
            <w:pPr>
              <w:pStyle w:val="34"/>
            </w:pPr>
            <w:r>
              <w:rPr>
                <w:rFonts w:hint="eastAsia"/>
              </w:rPr>
              <w:t>475.78</w:t>
            </w:r>
          </w:p>
        </w:tc>
      </w:tr>
      <w:tr w14:paraId="1BDB089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296A354">
            <w:pPr>
              <w:pStyle w:val="34"/>
            </w:pPr>
            <w:r>
              <w:t>50</w:t>
            </w:r>
          </w:p>
        </w:tc>
        <w:tc>
          <w:tcPr>
            <w:tcW w:w="2813" w:type="dxa"/>
            <w:vAlign w:val="center"/>
          </w:tcPr>
          <w:p w14:paraId="68047EBE">
            <w:pPr>
              <w:pStyle w:val="34"/>
            </w:pPr>
            <w:r>
              <w:rPr>
                <w:rFonts w:hint="eastAsia"/>
              </w:rPr>
              <w:t>0.41</w:t>
            </w:r>
          </w:p>
        </w:tc>
        <w:tc>
          <w:tcPr>
            <w:tcW w:w="3375" w:type="dxa"/>
            <w:vAlign w:val="center"/>
          </w:tcPr>
          <w:p w14:paraId="0F7F25D5">
            <w:pPr>
              <w:pStyle w:val="34"/>
            </w:pPr>
            <w:r>
              <w:rPr>
                <w:rFonts w:hint="eastAsia"/>
              </w:rPr>
              <w:t>243.37</w:t>
            </w:r>
          </w:p>
        </w:tc>
      </w:tr>
      <w:tr w14:paraId="6F7BC2B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3CE542C7">
            <w:pPr>
              <w:pStyle w:val="34"/>
            </w:pPr>
            <w:r>
              <w:t>100</w:t>
            </w:r>
          </w:p>
        </w:tc>
        <w:tc>
          <w:tcPr>
            <w:tcW w:w="2813" w:type="dxa"/>
            <w:vAlign w:val="center"/>
          </w:tcPr>
          <w:p w14:paraId="423F8F6E">
            <w:pPr>
              <w:pStyle w:val="34"/>
            </w:pPr>
            <w:r>
              <w:rPr>
                <w:rFonts w:hint="eastAsia"/>
              </w:rPr>
              <w:t>0.91</w:t>
            </w:r>
          </w:p>
        </w:tc>
        <w:tc>
          <w:tcPr>
            <w:tcW w:w="3375" w:type="dxa"/>
            <w:vAlign w:val="center"/>
          </w:tcPr>
          <w:p w14:paraId="1B6E3F36">
            <w:pPr>
              <w:pStyle w:val="34"/>
            </w:pPr>
            <w:r>
              <w:rPr>
                <w:rFonts w:hint="eastAsia"/>
              </w:rPr>
              <w:t>95.19</w:t>
            </w:r>
          </w:p>
        </w:tc>
      </w:tr>
      <w:tr w14:paraId="0369BC9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9E91CD3">
            <w:pPr>
              <w:pStyle w:val="34"/>
            </w:pPr>
            <w:r>
              <w:rPr>
                <w:rFonts w:hint="eastAsia"/>
              </w:rPr>
              <w:t>200</w:t>
            </w:r>
          </w:p>
        </w:tc>
        <w:tc>
          <w:tcPr>
            <w:tcW w:w="2813" w:type="dxa"/>
            <w:vAlign w:val="center"/>
          </w:tcPr>
          <w:p w14:paraId="7F03B5B9">
            <w:pPr>
              <w:pStyle w:val="34"/>
            </w:pPr>
            <w:r>
              <w:rPr>
                <w:rFonts w:hint="eastAsia"/>
              </w:rPr>
              <w:t>1.75</w:t>
            </w:r>
          </w:p>
        </w:tc>
        <w:tc>
          <w:tcPr>
            <w:tcW w:w="3375" w:type="dxa"/>
            <w:vAlign w:val="center"/>
          </w:tcPr>
          <w:p w14:paraId="4C5F69C6">
            <w:pPr>
              <w:pStyle w:val="34"/>
            </w:pPr>
            <w:r>
              <w:rPr>
                <w:rFonts w:hint="eastAsia"/>
              </w:rPr>
              <w:t>38.83</w:t>
            </w:r>
          </w:p>
        </w:tc>
      </w:tr>
      <w:tr w14:paraId="49F6365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A753A76">
            <w:pPr>
              <w:pStyle w:val="34"/>
            </w:pPr>
            <w:r>
              <w:rPr>
                <w:rFonts w:hint="eastAsia"/>
              </w:rPr>
              <w:t>300</w:t>
            </w:r>
          </w:p>
        </w:tc>
        <w:tc>
          <w:tcPr>
            <w:tcW w:w="2813" w:type="dxa"/>
            <w:vAlign w:val="center"/>
          </w:tcPr>
          <w:p w14:paraId="4E508487">
            <w:pPr>
              <w:pStyle w:val="34"/>
            </w:pPr>
            <w:r>
              <w:rPr>
                <w:rFonts w:hint="eastAsia"/>
              </w:rPr>
              <w:t>2.58</w:t>
            </w:r>
          </w:p>
        </w:tc>
        <w:tc>
          <w:tcPr>
            <w:tcW w:w="3375" w:type="dxa"/>
            <w:vAlign w:val="center"/>
          </w:tcPr>
          <w:p w14:paraId="01F909B6">
            <w:pPr>
              <w:pStyle w:val="34"/>
            </w:pPr>
            <w:r>
              <w:rPr>
                <w:rFonts w:hint="eastAsia"/>
              </w:rPr>
              <w:t>21.40</w:t>
            </w:r>
          </w:p>
        </w:tc>
      </w:tr>
      <w:tr w14:paraId="59E102B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58FED1F">
            <w:pPr>
              <w:pStyle w:val="34"/>
            </w:pPr>
            <w:r>
              <w:rPr>
                <w:rFonts w:hint="eastAsia"/>
              </w:rPr>
              <w:t>500</w:t>
            </w:r>
          </w:p>
        </w:tc>
        <w:tc>
          <w:tcPr>
            <w:tcW w:w="2813" w:type="dxa"/>
            <w:vAlign w:val="center"/>
          </w:tcPr>
          <w:p w14:paraId="7D88813F">
            <w:pPr>
              <w:pStyle w:val="34"/>
            </w:pPr>
            <w:r>
              <w:rPr>
                <w:rFonts w:hint="eastAsia"/>
              </w:rPr>
              <w:t>4.25</w:t>
            </w:r>
          </w:p>
        </w:tc>
        <w:tc>
          <w:tcPr>
            <w:tcW w:w="3375" w:type="dxa"/>
            <w:vAlign w:val="center"/>
          </w:tcPr>
          <w:p w14:paraId="78D3368F">
            <w:pPr>
              <w:pStyle w:val="34"/>
            </w:pPr>
            <w:r>
              <w:rPr>
                <w:rFonts w:hint="eastAsia"/>
              </w:rPr>
              <w:t>9.65</w:t>
            </w:r>
          </w:p>
        </w:tc>
      </w:tr>
      <w:tr w14:paraId="0D753B4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831D636">
            <w:pPr>
              <w:pStyle w:val="34"/>
            </w:pPr>
            <w:r>
              <w:rPr>
                <w:rFonts w:hint="eastAsia"/>
              </w:rPr>
              <w:t>1000</w:t>
            </w:r>
          </w:p>
        </w:tc>
        <w:tc>
          <w:tcPr>
            <w:tcW w:w="2813" w:type="dxa"/>
            <w:vAlign w:val="center"/>
          </w:tcPr>
          <w:p w14:paraId="1AF3A425">
            <w:pPr>
              <w:pStyle w:val="34"/>
            </w:pPr>
            <w:r>
              <w:rPr>
                <w:rFonts w:hint="eastAsia"/>
              </w:rPr>
              <w:t>8.41</w:t>
            </w:r>
          </w:p>
        </w:tc>
        <w:tc>
          <w:tcPr>
            <w:tcW w:w="3375" w:type="dxa"/>
            <w:vAlign w:val="center"/>
          </w:tcPr>
          <w:p w14:paraId="0FECE0B5">
            <w:pPr>
              <w:pStyle w:val="34"/>
            </w:pPr>
            <w:r>
              <w:rPr>
                <w:rFonts w:hint="eastAsia"/>
              </w:rPr>
              <w:t>3.14</w:t>
            </w:r>
          </w:p>
        </w:tc>
      </w:tr>
      <w:tr w14:paraId="16B9E35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656EC244">
            <w:pPr>
              <w:pStyle w:val="34"/>
            </w:pPr>
            <w:r>
              <w:rPr>
                <w:rFonts w:hint="eastAsia"/>
              </w:rPr>
              <w:t>1500</w:t>
            </w:r>
          </w:p>
        </w:tc>
        <w:tc>
          <w:tcPr>
            <w:tcW w:w="2813" w:type="dxa"/>
            <w:vAlign w:val="center"/>
          </w:tcPr>
          <w:p w14:paraId="651F977F">
            <w:pPr>
              <w:pStyle w:val="34"/>
            </w:pPr>
            <w:r>
              <w:rPr>
                <w:rFonts w:hint="eastAsia"/>
              </w:rPr>
              <w:t>12.58</w:t>
            </w:r>
          </w:p>
        </w:tc>
        <w:tc>
          <w:tcPr>
            <w:tcW w:w="3375" w:type="dxa"/>
            <w:vAlign w:val="center"/>
          </w:tcPr>
          <w:p w14:paraId="0803D974">
            <w:pPr>
              <w:pStyle w:val="34"/>
            </w:pPr>
            <w:r>
              <w:rPr>
                <w:rFonts w:hint="eastAsia"/>
              </w:rPr>
              <w:t>1.63</w:t>
            </w:r>
          </w:p>
        </w:tc>
      </w:tr>
      <w:tr w14:paraId="6B50D0E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453AD9D">
            <w:pPr>
              <w:pStyle w:val="34"/>
            </w:pPr>
            <w:r>
              <w:rPr>
                <w:rFonts w:hint="eastAsia"/>
              </w:rPr>
              <w:t>2000</w:t>
            </w:r>
          </w:p>
        </w:tc>
        <w:tc>
          <w:tcPr>
            <w:tcW w:w="2813" w:type="dxa"/>
            <w:vAlign w:val="center"/>
          </w:tcPr>
          <w:p w14:paraId="49384989">
            <w:pPr>
              <w:pStyle w:val="34"/>
            </w:pPr>
            <w:r>
              <w:rPr>
                <w:rFonts w:hint="eastAsia"/>
              </w:rPr>
              <w:t>19.75</w:t>
            </w:r>
          </w:p>
        </w:tc>
        <w:tc>
          <w:tcPr>
            <w:tcW w:w="3375" w:type="dxa"/>
            <w:vAlign w:val="center"/>
          </w:tcPr>
          <w:p w14:paraId="0F69DD05">
            <w:pPr>
              <w:pStyle w:val="34"/>
            </w:pPr>
            <w:r>
              <w:rPr>
                <w:rFonts w:hint="eastAsia"/>
              </w:rPr>
              <w:t>1.11</w:t>
            </w:r>
          </w:p>
        </w:tc>
      </w:tr>
      <w:tr w14:paraId="7CEDF94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166AD75B">
            <w:pPr>
              <w:pStyle w:val="34"/>
            </w:pPr>
            <w:r>
              <w:rPr>
                <w:rFonts w:hint="eastAsia"/>
              </w:rPr>
              <w:t>3000</w:t>
            </w:r>
          </w:p>
        </w:tc>
        <w:tc>
          <w:tcPr>
            <w:tcW w:w="2813" w:type="dxa"/>
            <w:vAlign w:val="center"/>
          </w:tcPr>
          <w:p w14:paraId="1BD482C5">
            <w:pPr>
              <w:pStyle w:val="34"/>
            </w:pPr>
            <w:r>
              <w:rPr>
                <w:rFonts w:hint="eastAsia"/>
              </w:rPr>
              <w:t>29.08</w:t>
            </w:r>
          </w:p>
        </w:tc>
        <w:tc>
          <w:tcPr>
            <w:tcW w:w="3375" w:type="dxa"/>
            <w:vAlign w:val="center"/>
          </w:tcPr>
          <w:p w14:paraId="42A988B2">
            <w:pPr>
              <w:pStyle w:val="34"/>
            </w:pPr>
            <w:r>
              <w:rPr>
                <w:rFonts w:hint="eastAsia"/>
              </w:rPr>
              <w:t>0.65</w:t>
            </w:r>
          </w:p>
        </w:tc>
      </w:tr>
      <w:tr w14:paraId="192FE5E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08189E9">
            <w:pPr>
              <w:pStyle w:val="34"/>
            </w:pPr>
            <w:r>
              <w:rPr>
                <w:rFonts w:hint="eastAsia"/>
              </w:rPr>
              <w:t>4000</w:t>
            </w:r>
          </w:p>
        </w:tc>
        <w:tc>
          <w:tcPr>
            <w:tcW w:w="2813" w:type="dxa"/>
            <w:vAlign w:val="center"/>
          </w:tcPr>
          <w:p w14:paraId="14949D91">
            <w:pPr>
              <w:pStyle w:val="34"/>
            </w:pPr>
            <w:r>
              <w:rPr>
                <w:rFonts w:hint="eastAsia"/>
              </w:rPr>
              <w:t>38.42</w:t>
            </w:r>
          </w:p>
        </w:tc>
        <w:tc>
          <w:tcPr>
            <w:tcW w:w="3375" w:type="dxa"/>
            <w:vAlign w:val="center"/>
          </w:tcPr>
          <w:p w14:paraId="246D8910">
            <w:pPr>
              <w:pStyle w:val="34"/>
            </w:pPr>
            <w:r>
              <w:rPr>
                <w:rFonts w:hint="eastAsia"/>
              </w:rPr>
              <w:t>0.45</w:t>
            </w:r>
          </w:p>
        </w:tc>
      </w:tr>
      <w:tr w14:paraId="752E5EB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D94C15D">
            <w:pPr>
              <w:pStyle w:val="34"/>
            </w:pPr>
            <w:r>
              <w:rPr>
                <w:rFonts w:hint="eastAsia"/>
              </w:rPr>
              <w:t>5000</w:t>
            </w:r>
          </w:p>
        </w:tc>
        <w:tc>
          <w:tcPr>
            <w:tcW w:w="2813" w:type="dxa"/>
            <w:vAlign w:val="center"/>
          </w:tcPr>
          <w:p w14:paraId="2ECAE7D3">
            <w:pPr>
              <w:pStyle w:val="34"/>
            </w:pPr>
            <w:r>
              <w:rPr>
                <w:rFonts w:hint="eastAsia"/>
              </w:rPr>
              <w:t>47.58</w:t>
            </w:r>
          </w:p>
        </w:tc>
        <w:tc>
          <w:tcPr>
            <w:tcW w:w="3375" w:type="dxa"/>
            <w:vAlign w:val="center"/>
          </w:tcPr>
          <w:p w14:paraId="392C57BA">
            <w:pPr>
              <w:pStyle w:val="34"/>
            </w:pPr>
            <w:r>
              <w:rPr>
                <w:rFonts w:hint="eastAsia"/>
              </w:rPr>
              <w:t>0.33</w:t>
            </w:r>
          </w:p>
        </w:tc>
      </w:tr>
    </w:tbl>
    <w:p w14:paraId="0EF5BFF9">
      <w:pPr>
        <w:pStyle w:val="7"/>
      </w:pPr>
      <w:r>
        <w:rPr>
          <w:rFonts w:hint="eastAsia"/>
        </w:rPr>
        <w:t>大气敏感保护目标最大影响预测结果</w:t>
      </w:r>
    </w:p>
    <w:tbl>
      <w:tblPr>
        <w:tblStyle w:val="88"/>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99"/>
        <w:gridCol w:w="1392"/>
        <w:gridCol w:w="672"/>
        <w:gridCol w:w="777"/>
        <w:gridCol w:w="777"/>
        <w:gridCol w:w="880"/>
        <w:gridCol w:w="777"/>
        <w:gridCol w:w="777"/>
        <w:gridCol w:w="777"/>
      </w:tblGrid>
      <w:tr w14:paraId="173D6E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jc w:val="center"/>
        </w:trPr>
        <w:tc>
          <w:tcPr>
            <w:tcW w:w="1699" w:type="dxa"/>
            <w:vAlign w:val="center"/>
          </w:tcPr>
          <w:p w14:paraId="04D26D3B">
            <w:pPr>
              <w:pStyle w:val="34"/>
            </w:pPr>
            <w:r>
              <w:t>名称</w:t>
            </w:r>
          </w:p>
        </w:tc>
        <w:tc>
          <w:tcPr>
            <w:tcW w:w="1392" w:type="dxa"/>
            <w:vAlign w:val="center"/>
          </w:tcPr>
          <w:p w14:paraId="17B525A3">
            <w:pPr>
              <w:pStyle w:val="34"/>
            </w:pPr>
            <w:r>
              <w:t>最大浓度/时间(min)</w:t>
            </w:r>
          </w:p>
        </w:tc>
        <w:tc>
          <w:tcPr>
            <w:tcW w:w="672" w:type="dxa"/>
            <w:vAlign w:val="center"/>
          </w:tcPr>
          <w:p w14:paraId="1B719058">
            <w:pPr>
              <w:pStyle w:val="34"/>
            </w:pPr>
            <w:r>
              <w:rPr>
                <w:rFonts w:hint="eastAsia"/>
              </w:rPr>
              <w:t>8</w:t>
            </w:r>
            <w:r>
              <w:t>min</w:t>
            </w:r>
          </w:p>
        </w:tc>
        <w:tc>
          <w:tcPr>
            <w:tcW w:w="777" w:type="dxa"/>
            <w:vAlign w:val="center"/>
          </w:tcPr>
          <w:p w14:paraId="6EBB474C">
            <w:pPr>
              <w:pStyle w:val="34"/>
            </w:pPr>
            <w:r>
              <w:t>1</w:t>
            </w:r>
            <w:r>
              <w:rPr>
                <w:rFonts w:hint="eastAsia"/>
              </w:rPr>
              <w:t>2</w:t>
            </w:r>
            <w:r>
              <w:t>min</w:t>
            </w:r>
          </w:p>
        </w:tc>
        <w:tc>
          <w:tcPr>
            <w:tcW w:w="777" w:type="dxa"/>
            <w:vAlign w:val="center"/>
          </w:tcPr>
          <w:p w14:paraId="21AB2BD1">
            <w:pPr>
              <w:pStyle w:val="34"/>
            </w:pPr>
            <w:r>
              <w:rPr>
                <w:rFonts w:hint="eastAsia"/>
              </w:rPr>
              <w:t>20</w:t>
            </w:r>
            <w:r>
              <w:t>min</w:t>
            </w:r>
          </w:p>
        </w:tc>
        <w:tc>
          <w:tcPr>
            <w:tcW w:w="880" w:type="dxa"/>
            <w:vAlign w:val="center"/>
          </w:tcPr>
          <w:p w14:paraId="3EBCB87C">
            <w:pPr>
              <w:pStyle w:val="34"/>
            </w:pPr>
            <w:r>
              <w:rPr>
                <w:rFonts w:hint="eastAsia"/>
              </w:rPr>
              <w:t>30</w:t>
            </w:r>
            <w:r>
              <w:t>min</w:t>
            </w:r>
          </w:p>
        </w:tc>
        <w:tc>
          <w:tcPr>
            <w:tcW w:w="777" w:type="dxa"/>
            <w:vAlign w:val="center"/>
          </w:tcPr>
          <w:p w14:paraId="68FE326E">
            <w:pPr>
              <w:pStyle w:val="34"/>
            </w:pPr>
            <w:r>
              <w:rPr>
                <w:rFonts w:hint="eastAsia"/>
              </w:rPr>
              <w:t>40</w:t>
            </w:r>
            <w:r>
              <w:t>min</w:t>
            </w:r>
          </w:p>
        </w:tc>
        <w:tc>
          <w:tcPr>
            <w:tcW w:w="777" w:type="dxa"/>
            <w:vAlign w:val="center"/>
          </w:tcPr>
          <w:p w14:paraId="7AE18770">
            <w:pPr>
              <w:pStyle w:val="34"/>
            </w:pPr>
            <w:r>
              <w:rPr>
                <w:rFonts w:hint="eastAsia"/>
              </w:rPr>
              <w:t>44</w:t>
            </w:r>
            <w:r>
              <w:t>min</w:t>
            </w:r>
          </w:p>
        </w:tc>
        <w:tc>
          <w:tcPr>
            <w:tcW w:w="777" w:type="dxa"/>
            <w:vAlign w:val="center"/>
          </w:tcPr>
          <w:p w14:paraId="3915DFF4">
            <w:pPr>
              <w:pStyle w:val="34"/>
            </w:pPr>
            <w:r>
              <w:rPr>
                <w:rFonts w:hint="eastAsia"/>
              </w:rPr>
              <w:t>50</w:t>
            </w:r>
            <w:r>
              <w:t>min</w:t>
            </w:r>
          </w:p>
        </w:tc>
      </w:tr>
      <w:tr w14:paraId="4BAB30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2ACBD74A">
            <w:pPr>
              <w:pStyle w:val="34"/>
            </w:pPr>
            <w:r>
              <w:t>联检</w:t>
            </w:r>
            <w:r>
              <w:rPr>
                <w:rFonts w:hint="eastAsia"/>
              </w:rPr>
              <w:t>港务大厦</w:t>
            </w:r>
          </w:p>
        </w:tc>
        <w:tc>
          <w:tcPr>
            <w:tcW w:w="1392" w:type="dxa"/>
            <w:vAlign w:val="center"/>
          </w:tcPr>
          <w:p w14:paraId="690EEFB2">
            <w:pPr>
              <w:pStyle w:val="34"/>
            </w:pPr>
            <w:r>
              <w:rPr>
                <w:rFonts w:hint="eastAsia"/>
              </w:rPr>
              <w:t>3.30|8</w:t>
            </w:r>
          </w:p>
        </w:tc>
        <w:tc>
          <w:tcPr>
            <w:tcW w:w="672" w:type="dxa"/>
            <w:vAlign w:val="center"/>
          </w:tcPr>
          <w:p w14:paraId="7D0E7A3E">
            <w:pPr>
              <w:pStyle w:val="34"/>
            </w:pPr>
            <w:r>
              <w:rPr>
                <w:rFonts w:hint="eastAsia"/>
              </w:rPr>
              <w:t>3.30</w:t>
            </w:r>
          </w:p>
        </w:tc>
        <w:tc>
          <w:tcPr>
            <w:tcW w:w="777" w:type="dxa"/>
            <w:vAlign w:val="center"/>
          </w:tcPr>
          <w:p w14:paraId="2F74A305">
            <w:pPr>
              <w:pStyle w:val="34"/>
            </w:pPr>
            <w:r>
              <w:rPr>
                <w:rFonts w:hint="eastAsia"/>
              </w:rPr>
              <w:t>3.30</w:t>
            </w:r>
          </w:p>
        </w:tc>
        <w:tc>
          <w:tcPr>
            <w:tcW w:w="777" w:type="dxa"/>
            <w:vAlign w:val="center"/>
          </w:tcPr>
          <w:p w14:paraId="289ED275">
            <w:pPr>
              <w:pStyle w:val="34"/>
            </w:pPr>
            <w:r>
              <w:rPr>
                <w:rFonts w:hint="eastAsia"/>
              </w:rPr>
              <w:t>3.30</w:t>
            </w:r>
          </w:p>
        </w:tc>
        <w:tc>
          <w:tcPr>
            <w:tcW w:w="880" w:type="dxa"/>
            <w:vAlign w:val="center"/>
          </w:tcPr>
          <w:p w14:paraId="6FFC8B99">
            <w:pPr>
              <w:pStyle w:val="34"/>
            </w:pPr>
            <w:r>
              <w:rPr>
                <w:rFonts w:hint="eastAsia"/>
              </w:rPr>
              <w:t>0</w:t>
            </w:r>
          </w:p>
        </w:tc>
        <w:tc>
          <w:tcPr>
            <w:tcW w:w="777" w:type="dxa"/>
            <w:vAlign w:val="center"/>
          </w:tcPr>
          <w:p w14:paraId="46845628">
            <w:pPr>
              <w:pStyle w:val="34"/>
            </w:pPr>
            <w:r>
              <w:rPr>
                <w:rFonts w:hint="eastAsia"/>
              </w:rPr>
              <w:t>0</w:t>
            </w:r>
          </w:p>
        </w:tc>
        <w:tc>
          <w:tcPr>
            <w:tcW w:w="777" w:type="dxa"/>
            <w:vAlign w:val="center"/>
          </w:tcPr>
          <w:p w14:paraId="5DEA13D2">
            <w:pPr>
              <w:pStyle w:val="34"/>
            </w:pPr>
            <w:r>
              <w:rPr>
                <w:rFonts w:hint="eastAsia"/>
              </w:rPr>
              <w:t>0</w:t>
            </w:r>
          </w:p>
        </w:tc>
        <w:tc>
          <w:tcPr>
            <w:tcW w:w="777" w:type="dxa"/>
            <w:vAlign w:val="center"/>
          </w:tcPr>
          <w:p w14:paraId="78075094">
            <w:pPr>
              <w:pStyle w:val="34"/>
            </w:pPr>
            <w:r>
              <w:rPr>
                <w:rFonts w:hint="eastAsia"/>
              </w:rPr>
              <w:t>0</w:t>
            </w:r>
          </w:p>
        </w:tc>
      </w:tr>
      <w:tr w14:paraId="017648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01643CA4">
            <w:pPr>
              <w:pStyle w:val="34"/>
            </w:pPr>
            <w:r>
              <w:rPr>
                <w:rFonts w:hint="eastAsia"/>
              </w:rPr>
              <w:t>保税港管委会</w:t>
            </w:r>
          </w:p>
        </w:tc>
        <w:tc>
          <w:tcPr>
            <w:tcW w:w="1392" w:type="dxa"/>
            <w:vAlign w:val="center"/>
          </w:tcPr>
          <w:p w14:paraId="7D771094">
            <w:pPr>
              <w:pStyle w:val="34"/>
            </w:pPr>
            <w:r>
              <w:rPr>
                <w:rFonts w:hint="eastAsia"/>
              </w:rPr>
              <w:t>1.68|12</w:t>
            </w:r>
          </w:p>
        </w:tc>
        <w:tc>
          <w:tcPr>
            <w:tcW w:w="672" w:type="dxa"/>
            <w:vAlign w:val="center"/>
          </w:tcPr>
          <w:p w14:paraId="5BC3F606">
            <w:pPr>
              <w:pStyle w:val="34"/>
            </w:pPr>
            <w:r>
              <w:rPr>
                <w:rFonts w:hint="eastAsia"/>
              </w:rPr>
              <w:t>0</w:t>
            </w:r>
          </w:p>
        </w:tc>
        <w:tc>
          <w:tcPr>
            <w:tcW w:w="777" w:type="dxa"/>
            <w:vAlign w:val="center"/>
          </w:tcPr>
          <w:p w14:paraId="07C23E17">
            <w:pPr>
              <w:pStyle w:val="34"/>
            </w:pPr>
            <w:r>
              <w:rPr>
                <w:rFonts w:hint="eastAsia"/>
              </w:rPr>
              <w:t>1.68</w:t>
            </w:r>
          </w:p>
        </w:tc>
        <w:tc>
          <w:tcPr>
            <w:tcW w:w="777" w:type="dxa"/>
            <w:vAlign w:val="center"/>
          </w:tcPr>
          <w:p w14:paraId="41D4C023">
            <w:pPr>
              <w:pStyle w:val="34"/>
            </w:pPr>
            <w:r>
              <w:rPr>
                <w:rFonts w:hint="eastAsia"/>
              </w:rPr>
              <w:t>1.68</w:t>
            </w:r>
          </w:p>
        </w:tc>
        <w:tc>
          <w:tcPr>
            <w:tcW w:w="880" w:type="dxa"/>
            <w:vAlign w:val="center"/>
          </w:tcPr>
          <w:p w14:paraId="19DBD902">
            <w:pPr>
              <w:pStyle w:val="34"/>
            </w:pPr>
            <w:r>
              <w:rPr>
                <w:rFonts w:hint="eastAsia"/>
              </w:rPr>
              <w:t>0</w:t>
            </w:r>
          </w:p>
        </w:tc>
        <w:tc>
          <w:tcPr>
            <w:tcW w:w="777" w:type="dxa"/>
            <w:vAlign w:val="center"/>
          </w:tcPr>
          <w:p w14:paraId="2220D07C">
            <w:pPr>
              <w:pStyle w:val="34"/>
            </w:pPr>
            <w:r>
              <w:rPr>
                <w:rFonts w:hint="eastAsia"/>
              </w:rPr>
              <w:t>0</w:t>
            </w:r>
          </w:p>
        </w:tc>
        <w:tc>
          <w:tcPr>
            <w:tcW w:w="777" w:type="dxa"/>
            <w:vAlign w:val="center"/>
          </w:tcPr>
          <w:p w14:paraId="5FEAE5B5">
            <w:pPr>
              <w:pStyle w:val="34"/>
            </w:pPr>
            <w:r>
              <w:rPr>
                <w:rFonts w:hint="eastAsia"/>
              </w:rPr>
              <w:t>0</w:t>
            </w:r>
          </w:p>
        </w:tc>
        <w:tc>
          <w:tcPr>
            <w:tcW w:w="777" w:type="dxa"/>
            <w:vAlign w:val="center"/>
          </w:tcPr>
          <w:p w14:paraId="517B4797">
            <w:pPr>
              <w:pStyle w:val="34"/>
            </w:pPr>
            <w:r>
              <w:rPr>
                <w:rFonts w:hint="eastAsia"/>
              </w:rPr>
              <w:t>0</w:t>
            </w:r>
          </w:p>
        </w:tc>
      </w:tr>
      <w:tr w14:paraId="4CC640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31D549E8">
            <w:pPr>
              <w:pStyle w:val="34"/>
            </w:pPr>
            <w:r>
              <w:rPr>
                <w:rFonts w:hint="eastAsia"/>
              </w:rPr>
              <w:t>保税港区生活区</w:t>
            </w:r>
            <w:r>
              <w:t>大楼</w:t>
            </w:r>
          </w:p>
        </w:tc>
        <w:tc>
          <w:tcPr>
            <w:tcW w:w="1392" w:type="dxa"/>
            <w:vAlign w:val="center"/>
          </w:tcPr>
          <w:p w14:paraId="5E810F0A">
            <w:pPr>
              <w:pStyle w:val="34"/>
            </w:pPr>
            <w:r>
              <w:rPr>
                <w:rFonts w:hint="eastAsia"/>
              </w:rPr>
              <w:t>1.16|18</w:t>
            </w:r>
          </w:p>
        </w:tc>
        <w:tc>
          <w:tcPr>
            <w:tcW w:w="672" w:type="dxa"/>
            <w:vAlign w:val="center"/>
          </w:tcPr>
          <w:p w14:paraId="182ADC19">
            <w:pPr>
              <w:pStyle w:val="34"/>
            </w:pPr>
            <w:r>
              <w:rPr>
                <w:rFonts w:hint="eastAsia"/>
              </w:rPr>
              <w:t>0</w:t>
            </w:r>
          </w:p>
        </w:tc>
        <w:tc>
          <w:tcPr>
            <w:tcW w:w="777" w:type="dxa"/>
            <w:vAlign w:val="center"/>
          </w:tcPr>
          <w:p w14:paraId="3F4A64A1">
            <w:pPr>
              <w:pStyle w:val="34"/>
            </w:pPr>
            <w:r>
              <w:rPr>
                <w:rFonts w:hint="eastAsia"/>
              </w:rPr>
              <w:t>0</w:t>
            </w:r>
          </w:p>
        </w:tc>
        <w:tc>
          <w:tcPr>
            <w:tcW w:w="777" w:type="dxa"/>
            <w:vAlign w:val="center"/>
          </w:tcPr>
          <w:p w14:paraId="24033B26">
            <w:pPr>
              <w:pStyle w:val="34"/>
            </w:pPr>
            <w:r>
              <w:rPr>
                <w:rFonts w:hint="eastAsia"/>
              </w:rPr>
              <w:t>1.16</w:t>
            </w:r>
          </w:p>
        </w:tc>
        <w:tc>
          <w:tcPr>
            <w:tcW w:w="880" w:type="dxa"/>
            <w:vAlign w:val="center"/>
          </w:tcPr>
          <w:p w14:paraId="2B00DF4C">
            <w:pPr>
              <w:pStyle w:val="34"/>
            </w:pPr>
            <w:r>
              <w:rPr>
                <w:rFonts w:hint="eastAsia"/>
              </w:rPr>
              <w:t>1.15</w:t>
            </w:r>
          </w:p>
        </w:tc>
        <w:tc>
          <w:tcPr>
            <w:tcW w:w="777" w:type="dxa"/>
            <w:vAlign w:val="center"/>
          </w:tcPr>
          <w:p w14:paraId="5B832CD1">
            <w:pPr>
              <w:pStyle w:val="34"/>
            </w:pPr>
            <w:r>
              <w:rPr>
                <w:rFonts w:hint="eastAsia"/>
              </w:rPr>
              <w:t>0</w:t>
            </w:r>
          </w:p>
        </w:tc>
        <w:tc>
          <w:tcPr>
            <w:tcW w:w="777" w:type="dxa"/>
            <w:vAlign w:val="center"/>
          </w:tcPr>
          <w:p w14:paraId="525B2F55">
            <w:pPr>
              <w:pStyle w:val="34"/>
            </w:pPr>
            <w:r>
              <w:rPr>
                <w:rFonts w:hint="eastAsia"/>
              </w:rPr>
              <w:t>0</w:t>
            </w:r>
          </w:p>
        </w:tc>
        <w:tc>
          <w:tcPr>
            <w:tcW w:w="777" w:type="dxa"/>
            <w:vAlign w:val="center"/>
          </w:tcPr>
          <w:p w14:paraId="0F33AED1">
            <w:pPr>
              <w:pStyle w:val="34"/>
            </w:pPr>
            <w:r>
              <w:rPr>
                <w:rFonts w:hint="eastAsia"/>
              </w:rPr>
              <w:t>0</w:t>
            </w:r>
          </w:p>
        </w:tc>
      </w:tr>
    </w:tbl>
    <w:p w14:paraId="3D009A3D">
      <w:pPr>
        <w:pStyle w:val="7"/>
      </w:pPr>
      <w:r>
        <w:rPr>
          <w:rFonts w:hint="eastAsia"/>
        </w:rPr>
        <w:t>氟化氢泄漏超出阈值的范围</w:t>
      </w:r>
    </w:p>
    <w:tbl>
      <w:tblPr>
        <w:tblStyle w:val="88"/>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3228"/>
        <w:gridCol w:w="2702"/>
        <w:gridCol w:w="2598"/>
      </w:tblGrid>
      <w:tr w14:paraId="32EA942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5B29E74E">
            <w:pPr>
              <w:pStyle w:val="34"/>
            </w:pPr>
            <w:r>
              <w:t>超过大气毒性终点浓度-1</w:t>
            </w:r>
          </w:p>
        </w:tc>
        <w:tc>
          <w:tcPr>
            <w:tcW w:w="2702" w:type="dxa"/>
            <w:vAlign w:val="center"/>
          </w:tcPr>
          <w:p w14:paraId="719B90AC">
            <w:pPr>
              <w:pStyle w:val="34"/>
            </w:pPr>
            <w:r>
              <w:t>阈值（mg/m3）</w:t>
            </w:r>
          </w:p>
        </w:tc>
        <w:tc>
          <w:tcPr>
            <w:tcW w:w="2598" w:type="dxa"/>
            <w:vAlign w:val="center"/>
          </w:tcPr>
          <w:p w14:paraId="780A018E">
            <w:pPr>
              <w:pStyle w:val="34"/>
            </w:pPr>
            <w:r>
              <w:rPr>
                <w:rFonts w:hint="eastAsia"/>
              </w:rPr>
              <w:t>36</w:t>
            </w:r>
          </w:p>
        </w:tc>
      </w:tr>
      <w:tr w14:paraId="4C43A9E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6C4287D6">
            <w:pPr>
              <w:pStyle w:val="34"/>
            </w:pPr>
          </w:p>
        </w:tc>
        <w:tc>
          <w:tcPr>
            <w:tcW w:w="2702" w:type="dxa"/>
            <w:vAlign w:val="center"/>
          </w:tcPr>
          <w:p w14:paraId="4F621D9E">
            <w:pPr>
              <w:pStyle w:val="34"/>
            </w:pPr>
            <w:r>
              <w:t>最大半宽（m）</w:t>
            </w:r>
          </w:p>
        </w:tc>
        <w:tc>
          <w:tcPr>
            <w:tcW w:w="2598" w:type="dxa"/>
            <w:vAlign w:val="center"/>
          </w:tcPr>
          <w:p w14:paraId="0217206D">
            <w:pPr>
              <w:pStyle w:val="34"/>
            </w:pPr>
            <w:r>
              <w:rPr>
                <w:rFonts w:hint="eastAsia"/>
              </w:rPr>
              <w:t>6</w:t>
            </w:r>
          </w:p>
        </w:tc>
      </w:tr>
      <w:tr w14:paraId="17D239D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5AD9AE27">
            <w:pPr>
              <w:pStyle w:val="34"/>
            </w:pPr>
          </w:p>
        </w:tc>
        <w:tc>
          <w:tcPr>
            <w:tcW w:w="2702" w:type="dxa"/>
            <w:vAlign w:val="center"/>
          </w:tcPr>
          <w:p w14:paraId="6BFAF797">
            <w:pPr>
              <w:pStyle w:val="34"/>
            </w:pPr>
            <w:r>
              <w:t>影响范围（m）</w:t>
            </w:r>
          </w:p>
        </w:tc>
        <w:tc>
          <w:tcPr>
            <w:tcW w:w="2598" w:type="dxa"/>
            <w:vAlign w:val="center"/>
          </w:tcPr>
          <w:p w14:paraId="15F94B80">
            <w:pPr>
              <w:pStyle w:val="34"/>
            </w:pPr>
            <w:r>
              <w:rPr>
                <w:rFonts w:hint="eastAsia"/>
              </w:rPr>
              <w:t>220</w:t>
            </w:r>
          </w:p>
        </w:tc>
      </w:tr>
      <w:tr w14:paraId="42FFFF2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77023D8E">
            <w:pPr>
              <w:pStyle w:val="34"/>
            </w:pPr>
            <w:r>
              <w:t>超过大气毒性终点浓度-2</w:t>
            </w:r>
          </w:p>
        </w:tc>
        <w:tc>
          <w:tcPr>
            <w:tcW w:w="2702" w:type="dxa"/>
            <w:vAlign w:val="center"/>
          </w:tcPr>
          <w:p w14:paraId="2C0056DD">
            <w:pPr>
              <w:pStyle w:val="34"/>
            </w:pPr>
            <w:r>
              <w:t>阈值（mg/m3）</w:t>
            </w:r>
          </w:p>
        </w:tc>
        <w:tc>
          <w:tcPr>
            <w:tcW w:w="2598" w:type="dxa"/>
            <w:vAlign w:val="center"/>
          </w:tcPr>
          <w:p w14:paraId="241133E1">
            <w:pPr>
              <w:pStyle w:val="34"/>
            </w:pPr>
            <w:r>
              <w:rPr>
                <w:rFonts w:hint="eastAsia"/>
              </w:rPr>
              <w:t>20</w:t>
            </w:r>
          </w:p>
        </w:tc>
      </w:tr>
      <w:tr w14:paraId="52D4792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71ED4347">
            <w:pPr>
              <w:pStyle w:val="34"/>
            </w:pPr>
          </w:p>
        </w:tc>
        <w:tc>
          <w:tcPr>
            <w:tcW w:w="2702" w:type="dxa"/>
            <w:vAlign w:val="center"/>
          </w:tcPr>
          <w:p w14:paraId="363AE425">
            <w:pPr>
              <w:pStyle w:val="34"/>
            </w:pPr>
            <w:r>
              <w:t>最大半宽（m）</w:t>
            </w:r>
          </w:p>
        </w:tc>
        <w:tc>
          <w:tcPr>
            <w:tcW w:w="2598" w:type="dxa"/>
            <w:vAlign w:val="center"/>
          </w:tcPr>
          <w:p w14:paraId="0C4F21E8">
            <w:pPr>
              <w:pStyle w:val="34"/>
            </w:pPr>
            <w:r>
              <w:rPr>
                <w:rFonts w:hint="eastAsia"/>
              </w:rPr>
              <w:t>10</w:t>
            </w:r>
          </w:p>
        </w:tc>
      </w:tr>
      <w:tr w14:paraId="6B1351D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3C39A085">
            <w:pPr>
              <w:pStyle w:val="34"/>
            </w:pPr>
          </w:p>
        </w:tc>
        <w:tc>
          <w:tcPr>
            <w:tcW w:w="2702" w:type="dxa"/>
            <w:vAlign w:val="center"/>
          </w:tcPr>
          <w:p w14:paraId="09CFDABF">
            <w:pPr>
              <w:pStyle w:val="34"/>
            </w:pPr>
            <w:r>
              <w:t>影响范围（m）</w:t>
            </w:r>
          </w:p>
        </w:tc>
        <w:tc>
          <w:tcPr>
            <w:tcW w:w="2598" w:type="dxa"/>
            <w:vAlign w:val="center"/>
          </w:tcPr>
          <w:p w14:paraId="06078F5B">
            <w:pPr>
              <w:pStyle w:val="34"/>
            </w:pPr>
            <w:r>
              <w:rPr>
                <w:rFonts w:hint="eastAsia"/>
              </w:rPr>
              <w:t>320</w:t>
            </w:r>
          </w:p>
        </w:tc>
      </w:tr>
    </w:tbl>
    <w:p w14:paraId="5F37F016">
      <w:pPr>
        <w:ind w:firstLine="437"/>
      </w:pPr>
    </w:p>
    <w:p w14:paraId="750559A7">
      <w:pPr>
        <w:pStyle w:val="6"/>
      </w:pPr>
      <w:r>
        <w:rPr>
          <w:rFonts w:hint="eastAsia"/>
        </w:rPr>
        <w:t>火灾事故环境影响</w:t>
      </w:r>
    </w:p>
    <w:p w14:paraId="694D4265">
      <w:pPr>
        <w:ind w:firstLine="437"/>
      </w:pPr>
      <w:r>
        <w:rPr>
          <w:rFonts w:hint="eastAsia"/>
        </w:rPr>
        <w:t>一、火灾二次污染物CO影响分析</w:t>
      </w:r>
    </w:p>
    <w:p w14:paraId="53F90584">
      <w:pPr>
        <w:ind w:firstLine="437"/>
      </w:pPr>
      <w:r>
        <w:rPr>
          <w:rFonts w:hint="eastAsia"/>
        </w:rPr>
        <w:t>1、预测模型筛选</w:t>
      </w:r>
    </w:p>
    <w:p w14:paraId="13557737">
      <w:pPr>
        <w:ind w:firstLine="437"/>
      </w:pPr>
      <w:r>
        <w:rPr>
          <w:rFonts w:hint="eastAsia"/>
        </w:rPr>
        <w:t>根据《建设项目环境风险评价技术导则》（HJ/169-2018）附录G，CO初始密度未大于空气密度，不计算理查德森数，选用AFTOX模型进行大气风险预测模型。</w:t>
      </w:r>
    </w:p>
    <w:p w14:paraId="50CB3FC9">
      <w:pPr>
        <w:ind w:firstLine="437"/>
      </w:pPr>
      <w:r>
        <w:rPr>
          <w:rFonts w:hint="eastAsia"/>
        </w:rPr>
        <w:t>2</w:t>
      </w:r>
      <w:r>
        <w:t>、预测结果</w:t>
      </w:r>
    </w:p>
    <w:p w14:paraId="205AF4D0">
      <w:pPr>
        <w:ind w:firstLine="437"/>
      </w:pPr>
      <w:r>
        <w:rPr>
          <w:rFonts w:hint="eastAsia"/>
        </w:rPr>
        <w:t>①</w:t>
      </w:r>
      <w:r>
        <w:t>预测参数</w:t>
      </w:r>
    </w:p>
    <w:p w14:paraId="5C6E8D87">
      <w:pPr>
        <w:pStyle w:val="7"/>
      </w:pPr>
      <w:r>
        <w:rPr>
          <w:rFonts w:hint="eastAsia"/>
        </w:rPr>
        <w:t>火灾二次污染物CO</w:t>
      </w:r>
      <w:r>
        <w:t>大气风险预测模型主要参数表</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60"/>
        <w:gridCol w:w="2384"/>
        <w:gridCol w:w="4684"/>
      </w:tblGrid>
      <w:tr w14:paraId="037C17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460" w:type="dxa"/>
            <w:vAlign w:val="center"/>
          </w:tcPr>
          <w:p w14:paraId="18385634">
            <w:pPr>
              <w:pStyle w:val="34"/>
            </w:pPr>
            <w:r>
              <w:t>参数类型</w:t>
            </w:r>
          </w:p>
        </w:tc>
        <w:tc>
          <w:tcPr>
            <w:tcW w:w="2384" w:type="dxa"/>
            <w:vAlign w:val="center"/>
          </w:tcPr>
          <w:p w14:paraId="444FBA6B">
            <w:pPr>
              <w:pStyle w:val="34"/>
            </w:pPr>
            <w:r>
              <w:t>选项</w:t>
            </w:r>
          </w:p>
        </w:tc>
        <w:tc>
          <w:tcPr>
            <w:tcW w:w="4684" w:type="dxa"/>
            <w:vAlign w:val="center"/>
          </w:tcPr>
          <w:p w14:paraId="41AF772F">
            <w:pPr>
              <w:pStyle w:val="34"/>
            </w:pPr>
            <w:r>
              <w:t>参数</w:t>
            </w:r>
          </w:p>
        </w:tc>
      </w:tr>
      <w:tr w14:paraId="656349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4A9F342A">
            <w:pPr>
              <w:pStyle w:val="34"/>
            </w:pPr>
            <w:r>
              <w:t>基本情况</w:t>
            </w:r>
          </w:p>
        </w:tc>
        <w:tc>
          <w:tcPr>
            <w:tcW w:w="2384" w:type="dxa"/>
            <w:vAlign w:val="center"/>
          </w:tcPr>
          <w:p w14:paraId="58A109D8">
            <w:pPr>
              <w:pStyle w:val="34"/>
            </w:pPr>
            <w:r>
              <w:t>事故源经度/（°）</w:t>
            </w:r>
          </w:p>
        </w:tc>
        <w:tc>
          <w:tcPr>
            <w:tcW w:w="4684" w:type="dxa"/>
          </w:tcPr>
          <w:p w14:paraId="35039476">
            <w:pPr>
              <w:pStyle w:val="34"/>
            </w:pPr>
            <w:r>
              <w:t>108.6</w:t>
            </w:r>
            <w:r>
              <w:rPr>
                <w:rFonts w:hint="eastAsia"/>
              </w:rPr>
              <w:t>57</w:t>
            </w:r>
          </w:p>
        </w:tc>
      </w:tr>
      <w:tr w14:paraId="1FBDBD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D04131E">
            <w:pPr>
              <w:pStyle w:val="34"/>
            </w:pPr>
          </w:p>
        </w:tc>
        <w:tc>
          <w:tcPr>
            <w:tcW w:w="2384" w:type="dxa"/>
            <w:vAlign w:val="center"/>
          </w:tcPr>
          <w:p w14:paraId="105E34CD">
            <w:pPr>
              <w:pStyle w:val="34"/>
            </w:pPr>
            <w:r>
              <w:t>事故源纬度/（°）</w:t>
            </w:r>
          </w:p>
        </w:tc>
        <w:tc>
          <w:tcPr>
            <w:tcW w:w="4684" w:type="dxa"/>
          </w:tcPr>
          <w:p w14:paraId="091C5A38">
            <w:pPr>
              <w:pStyle w:val="34"/>
            </w:pPr>
            <w:r>
              <w:t>21.66</w:t>
            </w:r>
            <w:r>
              <w:rPr>
                <w:rFonts w:hint="eastAsia"/>
              </w:rPr>
              <w:t>3</w:t>
            </w:r>
          </w:p>
        </w:tc>
      </w:tr>
      <w:tr w14:paraId="602C3B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4D1164B0">
            <w:pPr>
              <w:pStyle w:val="34"/>
            </w:pPr>
          </w:p>
        </w:tc>
        <w:tc>
          <w:tcPr>
            <w:tcW w:w="2384" w:type="dxa"/>
            <w:vAlign w:val="center"/>
          </w:tcPr>
          <w:p w14:paraId="2F508F20">
            <w:pPr>
              <w:pStyle w:val="34"/>
            </w:pPr>
            <w:r>
              <w:t>事故源类型</w:t>
            </w:r>
          </w:p>
        </w:tc>
        <w:tc>
          <w:tcPr>
            <w:tcW w:w="4684" w:type="dxa"/>
            <w:vAlign w:val="center"/>
          </w:tcPr>
          <w:p w14:paraId="408F9AA3">
            <w:pPr>
              <w:pStyle w:val="34"/>
            </w:pPr>
            <w:r>
              <w:rPr>
                <w:rFonts w:hint="eastAsia"/>
              </w:rPr>
              <w:t>火灾</w:t>
            </w:r>
          </w:p>
        </w:tc>
      </w:tr>
      <w:tr w14:paraId="21BB13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1BE61C24">
            <w:pPr>
              <w:pStyle w:val="34"/>
            </w:pPr>
            <w:r>
              <w:t>气象参数</w:t>
            </w:r>
          </w:p>
        </w:tc>
        <w:tc>
          <w:tcPr>
            <w:tcW w:w="2384" w:type="dxa"/>
            <w:vAlign w:val="center"/>
          </w:tcPr>
          <w:p w14:paraId="65D243CD">
            <w:pPr>
              <w:pStyle w:val="34"/>
            </w:pPr>
            <w:r>
              <w:t>气象条件类型</w:t>
            </w:r>
          </w:p>
        </w:tc>
        <w:tc>
          <w:tcPr>
            <w:tcW w:w="4684" w:type="dxa"/>
            <w:vAlign w:val="center"/>
          </w:tcPr>
          <w:p w14:paraId="4E800E8D">
            <w:pPr>
              <w:pStyle w:val="34"/>
            </w:pPr>
            <w:r>
              <w:t>最不利气象条件</w:t>
            </w:r>
          </w:p>
        </w:tc>
      </w:tr>
      <w:tr w14:paraId="6C0598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0E66059">
            <w:pPr>
              <w:pStyle w:val="34"/>
            </w:pPr>
          </w:p>
        </w:tc>
        <w:tc>
          <w:tcPr>
            <w:tcW w:w="2384" w:type="dxa"/>
            <w:vAlign w:val="center"/>
          </w:tcPr>
          <w:p w14:paraId="410AFEF0">
            <w:pPr>
              <w:pStyle w:val="34"/>
            </w:pPr>
            <w:r>
              <w:t>风速/（m/s）</w:t>
            </w:r>
          </w:p>
        </w:tc>
        <w:tc>
          <w:tcPr>
            <w:tcW w:w="4684" w:type="dxa"/>
            <w:vAlign w:val="center"/>
          </w:tcPr>
          <w:p w14:paraId="5DE31766">
            <w:pPr>
              <w:pStyle w:val="34"/>
            </w:pPr>
            <w:r>
              <w:t>1.5</w:t>
            </w:r>
          </w:p>
        </w:tc>
      </w:tr>
      <w:tr w14:paraId="41CF8C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DBADDD3">
            <w:pPr>
              <w:pStyle w:val="34"/>
            </w:pPr>
          </w:p>
        </w:tc>
        <w:tc>
          <w:tcPr>
            <w:tcW w:w="2384" w:type="dxa"/>
            <w:vAlign w:val="center"/>
          </w:tcPr>
          <w:p w14:paraId="74DCB7E6">
            <w:pPr>
              <w:pStyle w:val="34"/>
            </w:pPr>
            <w:r>
              <w:t>环境温度/</w:t>
            </w:r>
            <w:r>
              <w:rPr>
                <w:rFonts w:hint="eastAsia"/>
              </w:rPr>
              <w:t>℃</w:t>
            </w:r>
          </w:p>
        </w:tc>
        <w:tc>
          <w:tcPr>
            <w:tcW w:w="4684" w:type="dxa"/>
            <w:vAlign w:val="center"/>
          </w:tcPr>
          <w:p w14:paraId="5287E100">
            <w:pPr>
              <w:pStyle w:val="34"/>
            </w:pPr>
            <w:r>
              <w:t>25</w:t>
            </w:r>
          </w:p>
        </w:tc>
      </w:tr>
      <w:tr w14:paraId="63EFE8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525F18D9">
            <w:pPr>
              <w:pStyle w:val="34"/>
            </w:pPr>
          </w:p>
        </w:tc>
        <w:tc>
          <w:tcPr>
            <w:tcW w:w="2384" w:type="dxa"/>
            <w:vAlign w:val="center"/>
          </w:tcPr>
          <w:p w14:paraId="25491D1E">
            <w:pPr>
              <w:pStyle w:val="34"/>
            </w:pPr>
            <w:r>
              <w:t>相对湿度/%</w:t>
            </w:r>
          </w:p>
        </w:tc>
        <w:tc>
          <w:tcPr>
            <w:tcW w:w="4684" w:type="dxa"/>
            <w:vAlign w:val="center"/>
          </w:tcPr>
          <w:p w14:paraId="00EECB0A">
            <w:pPr>
              <w:pStyle w:val="34"/>
            </w:pPr>
            <w:r>
              <w:t>50</w:t>
            </w:r>
          </w:p>
        </w:tc>
      </w:tr>
      <w:tr w14:paraId="4ACBD5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05B7FE67">
            <w:pPr>
              <w:pStyle w:val="34"/>
            </w:pPr>
          </w:p>
        </w:tc>
        <w:tc>
          <w:tcPr>
            <w:tcW w:w="2384" w:type="dxa"/>
            <w:vAlign w:val="center"/>
          </w:tcPr>
          <w:p w14:paraId="7EA76A50">
            <w:pPr>
              <w:pStyle w:val="34"/>
            </w:pPr>
            <w:r>
              <w:t>稳定度</w:t>
            </w:r>
          </w:p>
        </w:tc>
        <w:tc>
          <w:tcPr>
            <w:tcW w:w="4684" w:type="dxa"/>
            <w:vAlign w:val="center"/>
          </w:tcPr>
          <w:p w14:paraId="77A68867">
            <w:pPr>
              <w:pStyle w:val="34"/>
            </w:pPr>
            <w:r>
              <w:t>F</w:t>
            </w:r>
          </w:p>
        </w:tc>
      </w:tr>
      <w:tr w14:paraId="36D6C1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08D103E0">
            <w:pPr>
              <w:pStyle w:val="34"/>
            </w:pPr>
            <w:r>
              <w:t>其他参数</w:t>
            </w:r>
          </w:p>
        </w:tc>
        <w:tc>
          <w:tcPr>
            <w:tcW w:w="2384" w:type="dxa"/>
            <w:vAlign w:val="center"/>
          </w:tcPr>
          <w:p w14:paraId="558E5A6D">
            <w:pPr>
              <w:pStyle w:val="34"/>
            </w:pPr>
            <w:r>
              <w:t>地表粗糙度/</w:t>
            </w:r>
            <w:r>
              <w:rPr>
                <w:rFonts w:hint="eastAsia"/>
              </w:rPr>
              <w:t>m</w:t>
            </w:r>
          </w:p>
        </w:tc>
        <w:tc>
          <w:tcPr>
            <w:tcW w:w="4684" w:type="dxa"/>
            <w:vAlign w:val="center"/>
          </w:tcPr>
          <w:p w14:paraId="512FEE53">
            <w:pPr>
              <w:pStyle w:val="34"/>
            </w:pPr>
            <w:r>
              <w:rPr>
                <w:rFonts w:hint="eastAsia"/>
              </w:rPr>
              <w:t>0.03</w:t>
            </w:r>
          </w:p>
        </w:tc>
      </w:tr>
      <w:tr w14:paraId="7F12DD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3" w:hRule="atLeast"/>
        </w:trPr>
        <w:tc>
          <w:tcPr>
            <w:tcW w:w="1460" w:type="dxa"/>
            <w:vMerge w:val="continue"/>
            <w:vAlign w:val="center"/>
          </w:tcPr>
          <w:p w14:paraId="67BB6301">
            <w:pPr>
              <w:pStyle w:val="34"/>
            </w:pPr>
          </w:p>
        </w:tc>
        <w:tc>
          <w:tcPr>
            <w:tcW w:w="2384" w:type="dxa"/>
            <w:vAlign w:val="center"/>
          </w:tcPr>
          <w:p w14:paraId="1AD205AB">
            <w:pPr>
              <w:pStyle w:val="34"/>
            </w:pPr>
            <w:r>
              <w:t>是否考虑地形</w:t>
            </w:r>
          </w:p>
        </w:tc>
        <w:tc>
          <w:tcPr>
            <w:tcW w:w="4684" w:type="dxa"/>
            <w:vAlign w:val="center"/>
          </w:tcPr>
          <w:p w14:paraId="06301E9B">
            <w:pPr>
              <w:pStyle w:val="34"/>
            </w:pPr>
            <w:r>
              <w:rPr>
                <w:rFonts w:hint="eastAsia"/>
              </w:rPr>
              <w:t>否</w:t>
            </w:r>
          </w:p>
        </w:tc>
      </w:tr>
      <w:tr w14:paraId="7A1DB4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11CC26C1">
            <w:pPr>
              <w:pStyle w:val="34"/>
            </w:pPr>
          </w:p>
        </w:tc>
        <w:tc>
          <w:tcPr>
            <w:tcW w:w="2384" w:type="dxa"/>
            <w:vAlign w:val="center"/>
          </w:tcPr>
          <w:p w14:paraId="5FF76A71">
            <w:pPr>
              <w:pStyle w:val="34"/>
            </w:pPr>
            <w:r>
              <w:t>地形数据精度/m</w:t>
            </w:r>
          </w:p>
        </w:tc>
        <w:tc>
          <w:tcPr>
            <w:tcW w:w="4684" w:type="dxa"/>
            <w:vAlign w:val="center"/>
          </w:tcPr>
          <w:p w14:paraId="31BB50F6">
            <w:pPr>
              <w:pStyle w:val="34"/>
            </w:pPr>
            <w:r>
              <w:rPr>
                <w:rFonts w:hint="eastAsia"/>
              </w:rPr>
              <w:t>/</w:t>
            </w:r>
          </w:p>
        </w:tc>
      </w:tr>
    </w:tbl>
    <w:p w14:paraId="60902F08">
      <w:pPr>
        <w:ind w:firstLine="437"/>
      </w:pPr>
      <w:r>
        <w:rPr>
          <w:rFonts w:hint="eastAsia"/>
        </w:rPr>
        <w:t>②</w:t>
      </w:r>
      <w:r>
        <w:t>预测结果</w:t>
      </w:r>
    </w:p>
    <w:p w14:paraId="166932A1">
      <w:pPr>
        <w:ind w:firstLine="437"/>
      </w:pPr>
      <w:r>
        <w:t>由预测结果可知，在最不利气象条件（F类稳定度，1.5m/s风速，温度25</w:t>
      </w:r>
      <w:r>
        <w:rPr>
          <w:rFonts w:hint="eastAsia"/>
        </w:rPr>
        <w:t>℃</w:t>
      </w:r>
      <w:r>
        <w:t>，相对湿度50%）下，</w:t>
      </w:r>
      <w:r>
        <w:rPr>
          <w:rFonts w:hint="eastAsia"/>
        </w:rPr>
        <w:t>CO</w:t>
      </w:r>
      <w:r>
        <w:t>浓度</w:t>
      </w:r>
      <w:r>
        <w:rPr>
          <w:rFonts w:hint="eastAsia"/>
        </w:rPr>
        <w:t>达到</w:t>
      </w:r>
      <w:r>
        <w:t>大气毒性终点浓度-1（</w:t>
      </w:r>
      <w:r>
        <w:rPr>
          <w:rFonts w:hint="eastAsia"/>
        </w:rPr>
        <w:t>380mg/m</w:t>
      </w:r>
      <w:r>
        <w:rPr>
          <w:rFonts w:hint="eastAsia"/>
          <w:vertAlign w:val="superscript"/>
        </w:rPr>
        <w:t>3</w:t>
      </w:r>
      <w:r>
        <w:t>）</w:t>
      </w:r>
      <w:r>
        <w:rPr>
          <w:rFonts w:hint="eastAsia"/>
        </w:rPr>
        <w:t>对应的距离为下风向590m，</w:t>
      </w:r>
      <w:r>
        <w:t>达到大气毒性终点浓度-2（</w:t>
      </w:r>
      <w:r>
        <w:rPr>
          <w:rFonts w:hint="eastAsia"/>
        </w:rPr>
        <w:t>95mg/m</w:t>
      </w:r>
      <w:r>
        <w:rPr>
          <w:rFonts w:hint="eastAsia"/>
          <w:vertAlign w:val="superscript"/>
        </w:rPr>
        <w:t>3</w:t>
      </w:r>
      <w:r>
        <w:t>）</w:t>
      </w:r>
      <w:r>
        <w:rPr>
          <w:rFonts w:hint="eastAsia"/>
        </w:rPr>
        <w:t>对应的距离为下风向250m；</w:t>
      </w:r>
      <w:r>
        <w:t>事故发生后，预测到达</w:t>
      </w:r>
      <w:r>
        <w:rPr>
          <w:rFonts w:hint="eastAsia"/>
        </w:rPr>
        <w:t>敏感点</w:t>
      </w:r>
      <w:r>
        <w:t>的</w:t>
      </w:r>
      <w:r>
        <w:rPr>
          <w:rFonts w:hint="eastAsia"/>
        </w:rPr>
        <w:t>CO</w:t>
      </w:r>
      <w:r>
        <w:t>浓度</w:t>
      </w:r>
      <w:r>
        <w:rPr>
          <w:rFonts w:hint="eastAsia"/>
        </w:rPr>
        <w:t>最大</w:t>
      </w:r>
      <w:r>
        <w:t>贡献值</w:t>
      </w:r>
      <w:r>
        <w:rPr>
          <w:rFonts w:hint="eastAsia"/>
        </w:rPr>
        <w:t>出现在联检大楼，浓度为41.4mg/m</w:t>
      </w:r>
      <w:r>
        <w:rPr>
          <w:vertAlign w:val="superscript"/>
        </w:rPr>
        <w:t>3</w:t>
      </w:r>
      <w:r>
        <w:t>，未达到大气毒性终点浓度-1和达到大气毒性终点浓度-2，</w:t>
      </w:r>
      <w:r>
        <w:rPr>
          <w:rFonts w:hint="eastAsia"/>
        </w:rPr>
        <w:t>对周边环境影响不大</w:t>
      </w:r>
      <w:r>
        <w:t>。</w:t>
      </w:r>
    </w:p>
    <w:p w14:paraId="5CC81378">
      <w:pPr>
        <w:pStyle w:val="7"/>
      </w:pPr>
      <w:r>
        <w:t>下风向不同距离</w:t>
      </w:r>
      <w:r>
        <w:rPr>
          <w:rFonts w:hint="eastAsia"/>
        </w:rPr>
        <w:t>CO</w:t>
      </w:r>
      <w:r>
        <w:t>的最大浓度</w:t>
      </w:r>
    </w:p>
    <w:tbl>
      <w:tblPr>
        <w:tblStyle w:val="88"/>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340"/>
        <w:gridCol w:w="2813"/>
        <w:gridCol w:w="3375"/>
      </w:tblGrid>
      <w:tr w14:paraId="277A904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tblHeader/>
          <w:jc w:val="center"/>
        </w:trPr>
        <w:tc>
          <w:tcPr>
            <w:tcW w:w="2340" w:type="dxa"/>
            <w:vAlign w:val="center"/>
          </w:tcPr>
          <w:p w14:paraId="029FB94A">
            <w:pPr>
              <w:pStyle w:val="34"/>
            </w:pPr>
            <w:r>
              <w:t>下风向距离（m）</w:t>
            </w:r>
          </w:p>
        </w:tc>
        <w:tc>
          <w:tcPr>
            <w:tcW w:w="2813" w:type="dxa"/>
            <w:vAlign w:val="center"/>
          </w:tcPr>
          <w:p w14:paraId="4494056E">
            <w:pPr>
              <w:pStyle w:val="34"/>
            </w:pPr>
            <w:r>
              <w:t>浓度出现时间（min）</w:t>
            </w:r>
          </w:p>
        </w:tc>
        <w:tc>
          <w:tcPr>
            <w:tcW w:w="3375" w:type="dxa"/>
            <w:vAlign w:val="center"/>
          </w:tcPr>
          <w:p w14:paraId="7DA1139E">
            <w:pPr>
              <w:pStyle w:val="34"/>
            </w:pPr>
            <w:r>
              <w:t>下风向高峰浓度（mg/m3）</w:t>
            </w:r>
          </w:p>
        </w:tc>
      </w:tr>
      <w:tr w14:paraId="004D1B3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3FCF132">
            <w:pPr>
              <w:pStyle w:val="34"/>
            </w:pPr>
            <w:r>
              <w:t>10</w:t>
            </w:r>
          </w:p>
        </w:tc>
        <w:tc>
          <w:tcPr>
            <w:tcW w:w="2813" w:type="dxa"/>
            <w:vAlign w:val="center"/>
          </w:tcPr>
          <w:p w14:paraId="39BDCE00">
            <w:pPr>
              <w:pStyle w:val="34"/>
            </w:pPr>
            <w:r>
              <w:rPr>
                <w:rFonts w:hint="eastAsia"/>
              </w:rPr>
              <w:t>0.08</w:t>
            </w:r>
          </w:p>
        </w:tc>
        <w:tc>
          <w:tcPr>
            <w:tcW w:w="3375" w:type="dxa"/>
            <w:vAlign w:val="center"/>
          </w:tcPr>
          <w:p w14:paraId="4194B0BD">
            <w:pPr>
              <w:pStyle w:val="34"/>
            </w:pPr>
            <w:r>
              <w:rPr>
                <w:rFonts w:hint="eastAsia"/>
              </w:rPr>
              <w:t>34784.00</w:t>
            </w:r>
          </w:p>
        </w:tc>
      </w:tr>
      <w:tr w14:paraId="4739AD2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91A4E5F">
            <w:pPr>
              <w:pStyle w:val="34"/>
            </w:pPr>
            <w:r>
              <w:t>20</w:t>
            </w:r>
          </w:p>
        </w:tc>
        <w:tc>
          <w:tcPr>
            <w:tcW w:w="2813" w:type="dxa"/>
            <w:vAlign w:val="center"/>
          </w:tcPr>
          <w:p w14:paraId="713D653B">
            <w:pPr>
              <w:pStyle w:val="34"/>
            </w:pPr>
            <w:r>
              <w:rPr>
                <w:rFonts w:hint="eastAsia"/>
              </w:rPr>
              <w:t>0.25</w:t>
            </w:r>
          </w:p>
        </w:tc>
        <w:tc>
          <w:tcPr>
            <w:tcW w:w="3375" w:type="dxa"/>
            <w:vAlign w:val="center"/>
          </w:tcPr>
          <w:p w14:paraId="5B61850A">
            <w:pPr>
              <w:pStyle w:val="34"/>
            </w:pPr>
            <w:r>
              <w:rPr>
                <w:rFonts w:hint="eastAsia"/>
              </w:rPr>
              <w:t>6720.70</w:t>
            </w:r>
          </w:p>
        </w:tc>
      </w:tr>
      <w:tr w14:paraId="4C3D73C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AB530FA">
            <w:pPr>
              <w:pStyle w:val="34"/>
            </w:pPr>
            <w:r>
              <w:t>50</w:t>
            </w:r>
          </w:p>
        </w:tc>
        <w:tc>
          <w:tcPr>
            <w:tcW w:w="2813" w:type="dxa"/>
            <w:vAlign w:val="center"/>
          </w:tcPr>
          <w:p w14:paraId="64249EF1">
            <w:pPr>
              <w:pStyle w:val="34"/>
            </w:pPr>
            <w:r>
              <w:rPr>
                <w:rFonts w:hint="eastAsia"/>
              </w:rPr>
              <w:t>0.42</w:t>
            </w:r>
          </w:p>
        </w:tc>
        <w:tc>
          <w:tcPr>
            <w:tcW w:w="3375" w:type="dxa"/>
            <w:vAlign w:val="center"/>
          </w:tcPr>
          <w:p w14:paraId="6BF25F43">
            <w:pPr>
              <w:pStyle w:val="34"/>
            </w:pPr>
            <w:r>
              <w:rPr>
                <w:rFonts w:hint="eastAsia"/>
              </w:rPr>
              <w:t>3417.30</w:t>
            </w:r>
          </w:p>
        </w:tc>
      </w:tr>
      <w:tr w14:paraId="3C98733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6C8F0BBB">
            <w:pPr>
              <w:pStyle w:val="34"/>
            </w:pPr>
            <w:r>
              <w:t>100</w:t>
            </w:r>
          </w:p>
        </w:tc>
        <w:tc>
          <w:tcPr>
            <w:tcW w:w="2813" w:type="dxa"/>
            <w:vAlign w:val="center"/>
          </w:tcPr>
          <w:p w14:paraId="46C1E37E">
            <w:pPr>
              <w:pStyle w:val="34"/>
            </w:pPr>
            <w:r>
              <w:rPr>
                <w:rFonts w:hint="eastAsia"/>
              </w:rPr>
              <w:t>0.91</w:t>
            </w:r>
          </w:p>
        </w:tc>
        <w:tc>
          <w:tcPr>
            <w:tcW w:w="3375" w:type="dxa"/>
            <w:vAlign w:val="center"/>
          </w:tcPr>
          <w:p w14:paraId="17413B9B">
            <w:pPr>
              <w:pStyle w:val="34"/>
            </w:pPr>
            <w:r>
              <w:rPr>
                <w:rFonts w:hint="eastAsia"/>
              </w:rPr>
              <w:t>1281.90</w:t>
            </w:r>
          </w:p>
        </w:tc>
      </w:tr>
      <w:tr w14:paraId="7988791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3F87D606">
            <w:pPr>
              <w:pStyle w:val="34"/>
            </w:pPr>
            <w:r>
              <w:rPr>
                <w:rFonts w:hint="eastAsia"/>
              </w:rPr>
              <w:t>200</w:t>
            </w:r>
          </w:p>
        </w:tc>
        <w:tc>
          <w:tcPr>
            <w:tcW w:w="2813" w:type="dxa"/>
            <w:vAlign w:val="center"/>
          </w:tcPr>
          <w:p w14:paraId="592A78FF">
            <w:pPr>
              <w:pStyle w:val="34"/>
            </w:pPr>
            <w:r>
              <w:rPr>
                <w:rFonts w:hint="eastAsia"/>
              </w:rPr>
              <w:t>1.75</w:t>
            </w:r>
          </w:p>
        </w:tc>
        <w:tc>
          <w:tcPr>
            <w:tcW w:w="3375" w:type="dxa"/>
            <w:vAlign w:val="center"/>
          </w:tcPr>
          <w:p w14:paraId="4D70C027">
            <w:pPr>
              <w:pStyle w:val="34"/>
            </w:pPr>
            <w:r>
              <w:rPr>
                <w:rFonts w:hint="eastAsia"/>
              </w:rPr>
              <w:t>501.62</w:t>
            </w:r>
          </w:p>
        </w:tc>
      </w:tr>
      <w:tr w14:paraId="13CE864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39B9C1E">
            <w:pPr>
              <w:pStyle w:val="34"/>
            </w:pPr>
            <w:r>
              <w:rPr>
                <w:rFonts w:hint="eastAsia"/>
              </w:rPr>
              <w:t>300</w:t>
            </w:r>
          </w:p>
        </w:tc>
        <w:tc>
          <w:tcPr>
            <w:tcW w:w="2813" w:type="dxa"/>
            <w:vAlign w:val="center"/>
          </w:tcPr>
          <w:p w14:paraId="03C0D623">
            <w:pPr>
              <w:pStyle w:val="34"/>
            </w:pPr>
            <w:r>
              <w:rPr>
                <w:rFonts w:hint="eastAsia"/>
              </w:rPr>
              <w:t>2.58</w:t>
            </w:r>
          </w:p>
        </w:tc>
        <w:tc>
          <w:tcPr>
            <w:tcW w:w="3375" w:type="dxa"/>
            <w:vAlign w:val="center"/>
          </w:tcPr>
          <w:p w14:paraId="17E3A8C7">
            <w:pPr>
              <w:pStyle w:val="34"/>
            </w:pPr>
            <w:r>
              <w:rPr>
                <w:rFonts w:hint="eastAsia"/>
              </w:rPr>
              <w:t>272.55</w:t>
            </w:r>
          </w:p>
        </w:tc>
      </w:tr>
      <w:tr w14:paraId="634F0E9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5021D2B">
            <w:pPr>
              <w:pStyle w:val="34"/>
            </w:pPr>
            <w:r>
              <w:rPr>
                <w:rFonts w:hint="eastAsia"/>
              </w:rPr>
              <w:t>500</w:t>
            </w:r>
          </w:p>
        </w:tc>
        <w:tc>
          <w:tcPr>
            <w:tcW w:w="2813" w:type="dxa"/>
            <w:vAlign w:val="center"/>
          </w:tcPr>
          <w:p w14:paraId="6D25F07B">
            <w:pPr>
              <w:pStyle w:val="34"/>
            </w:pPr>
            <w:r>
              <w:rPr>
                <w:rFonts w:hint="eastAsia"/>
              </w:rPr>
              <w:t>4.25</w:t>
            </w:r>
          </w:p>
        </w:tc>
        <w:tc>
          <w:tcPr>
            <w:tcW w:w="3375" w:type="dxa"/>
            <w:vAlign w:val="center"/>
          </w:tcPr>
          <w:p w14:paraId="6387943F">
            <w:pPr>
              <w:pStyle w:val="34"/>
            </w:pPr>
            <w:r>
              <w:rPr>
                <w:rFonts w:hint="eastAsia"/>
              </w:rPr>
              <w:t>121.74</w:t>
            </w:r>
          </w:p>
        </w:tc>
      </w:tr>
      <w:tr w14:paraId="19CD5BC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6AEF0780">
            <w:pPr>
              <w:pStyle w:val="34"/>
            </w:pPr>
            <w:r>
              <w:rPr>
                <w:rFonts w:hint="eastAsia"/>
              </w:rPr>
              <w:t>1000</w:t>
            </w:r>
          </w:p>
        </w:tc>
        <w:tc>
          <w:tcPr>
            <w:tcW w:w="2813" w:type="dxa"/>
            <w:vAlign w:val="center"/>
          </w:tcPr>
          <w:p w14:paraId="6EFF9B21">
            <w:pPr>
              <w:pStyle w:val="34"/>
            </w:pPr>
            <w:r>
              <w:rPr>
                <w:rFonts w:hint="eastAsia"/>
              </w:rPr>
              <w:t>8.41</w:t>
            </w:r>
          </w:p>
        </w:tc>
        <w:tc>
          <w:tcPr>
            <w:tcW w:w="3375" w:type="dxa"/>
            <w:vAlign w:val="center"/>
          </w:tcPr>
          <w:p w14:paraId="5EEF34E7">
            <w:pPr>
              <w:pStyle w:val="34"/>
            </w:pPr>
            <w:r>
              <w:rPr>
                <w:rFonts w:hint="eastAsia"/>
              </w:rPr>
              <w:t>39.33</w:t>
            </w:r>
          </w:p>
        </w:tc>
      </w:tr>
      <w:tr w14:paraId="5A2A260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645F325">
            <w:pPr>
              <w:pStyle w:val="34"/>
            </w:pPr>
            <w:r>
              <w:rPr>
                <w:rFonts w:hint="eastAsia"/>
              </w:rPr>
              <w:t>1500</w:t>
            </w:r>
          </w:p>
        </w:tc>
        <w:tc>
          <w:tcPr>
            <w:tcW w:w="2813" w:type="dxa"/>
            <w:vAlign w:val="center"/>
          </w:tcPr>
          <w:p w14:paraId="748DD231">
            <w:pPr>
              <w:pStyle w:val="34"/>
            </w:pPr>
            <w:r>
              <w:rPr>
                <w:rFonts w:hint="eastAsia"/>
              </w:rPr>
              <w:t>12.58</w:t>
            </w:r>
          </w:p>
        </w:tc>
        <w:tc>
          <w:tcPr>
            <w:tcW w:w="3375" w:type="dxa"/>
            <w:vAlign w:val="center"/>
          </w:tcPr>
          <w:p w14:paraId="7FC59676">
            <w:pPr>
              <w:pStyle w:val="34"/>
            </w:pPr>
            <w:r>
              <w:rPr>
                <w:rFonts w:hint="eastAsia"/>
              </w:rPr>
              <w:t>20.46</w:t>
            </w:r>
          </w:p>
        </w:tc>
      </w:tr>
      <w:tr w14:paraId="246293E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1E01A972">
            <w:pPr>
              <w:pStyle w:val="34"/>
            </w:pPr>
            <w:r>
              <w:rPr>
                <w:rFonts w:hint="eastAsia"/>
              </w:rPr>
              <w:t>2000</w:t>
            </w:r>
          </w:p>
        </w:tc>
        <w:tc>
          <w:tcPr>
            <w:tcW w:w="2813" w:type="dxa"/>
            <w:vAlign w:val="center"/>
          </w:tcPr>
          <w:p w14:paraId="40CE3828">
            <w:pPr>
              <w:pStyle w:val="34"/>
            </w:pPr>
            <w:r>
              <w:rPr>
                <w:rFonts w:hint="eastAsia"/>
              </w:rPr>
              <w:t>19.75</w:t>
            </w:r>
          </w:p>
        </w:tc>
        <w:tc>
          <w:tcPr>
            <w:tcW w:w="3375" w:type="dxa"/>
            <w:vAlign w:val="center"/>
          </w:tcPr>
          <w:p w14:paraId="424D23C8">
            <w:pPr>
              <w:pStyle w:val="34"/>
            </w:pPr>
            <w:r>
              <w:rPr>
                <w:rFonts w:hint="eastAsia"/>
              </w:rPr>
              <w:t>13.98</w:t>
            </w:r>
          </w:p>
        </w:tc>
      </w:tr>
      <w:tr w14:paraId="6ACD98A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4D12CD4">
            <w:pPr>
              <w:pStyle w:val="34"/>
            </w:pPr>
            <w:r>
              <w:rPr>
                <w:rFonts w:hint="eastAsia"/>
              </w:rPr>
              <w:t>3000</w:t>
            </w:r>
          </w:p>
        </w:tc>
        <w:tc>
          <w:tcPr>
            <w:tcW w:w="2813" w:type="dxa"/>
            <w:vAlign w:val="center"/>
          </w:tcPr>
          <w:p w14:paraId="17B1C365">
            <w:pPr>
              <w:pStyle w:val="34"/>
            </w:pPr>
            <w:r>
              <w:rPr>
                <w:rFonts w:hint="eastAsia"/>
              </w:rPr>
              <w:t>29.08</w:t>
            </w:r>
          </w:p>
        </w:tc>
        <w:tc>
          <w:tcPr>
            <w:tcW w:w="3375" w:type="dxa"/>
            <w:vAlign w:val="center"/>
          </w:tcPr>
          <w:p w14:paraId="19A1AF45">
            <w:pPr>
              <w:pStyle w:val="34"/>
            </w:pPr>
            <w:r>
              <w:rPr>
                <w:rFonts w:hint="eastAsia"/>
              </w:rPr>
              <w:t>8.16</w:t>
            </w:r>
          </w:p>
        </w:tc>
      </w:tr>
      <w:tr w14:paraId="4AE774F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6C66D792">
            <w:pPr>
              <w:pStyle w:val="34"/>
            </w:pPr>
            <w:r>
              <w:rPr>
                <w:rFonts w:hint="eastAsia"/>
              </w:rPr>
              <w:t>4000</w:t>
            </w:r>
          </w:p>
        </w:tc>
        <w:tc>
          <w:tcPr>
            <w:tcW w:w="2813" w:type="dxa"/>
            <w:vAlign w:val="center"/>
          </w:tcPr>
          <w:p w14:paraId="4068FB31">
            <w:pPr>
              <w:pStyle w:val="34"/>
            </w:pPr>
            <w:r>
              <w:rPr>
                <w:rFonts w:hint="eastAsia"/>
              </w:rPr>
              <w:t>38.41</w:t>
            </w:r>
          </w:p>
        </w:tc>
        <w:tc>
          <w:tcPr>
            <w:tcW w:w="3375" w:type="dxa"/>
            <w:vAlign w:val="center"/>
          </w:tcPr>
          <w:p w14:paraId="16796A15">
            <w:pPr>
              <w:pStyle w:val="34"/>
            </w:pPr>
            <w:r>
              <w:rPr>
                <w:rFonts w:hint="eastAsia"/>
              </w:rPr>
              <w:t>5.56</w:t>
            </w:r>
          </w:p>
        </w:tc>
      </w:tr>
      <w:tr w14:paraId="447FCB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C7E9FDD">
            <w:pPr>
              <w:pStyle w:val="34"/>
            </w:pPr>
            <w:r>
              <w:rPr>
                <w:rFonts w:hint="eastAsia"/>
              </w:rPr>
              <w:t>5000</w:t>
            </w:r>
          </w:p>
        </w:tc>
        <w:tc>
          <w:tcPr>
            <w:tcW w:w="2813" w:type="dxa"/>
            <w:vAlign w:val="center"/>
          </w:tcPr>
          <w:p w14:paraId="10C7B85B">
            <w:pPr>
              <w:pStyle w:val="34"/>
            </w:pPr>
            <w:r>
              <w:rPr>
                <w:rFonts w:hint="eastAsia"/>
              </w:rPr>
              <w:t>47.58</w:t>
            </w:r>
          </w:p>
        </w:tc>
        <w:tc>
          <w:tcPr>
            <w:tcW w:w="3375" w:type="dxa"/>
            <w:vAlign w:val="center"/>
          </w:tcPr>
          <w:p w14:paraId="58F83115">
            <w:pPr>
              <w:pStyle w:val="34"/>
            </w:pPr>
            <w:r>
              <w:rPr>
                <w:rFonts w:hint="eastAsia"/>
              </w:rPr>
              <w:t>4.15</w:t>
            </w:r>
          </w:p>
        </w:tc>
      </w:tr>
    </w:tbl>
    <w:p w14:paraId="759D4BB8">
      <w:pPr>
        <w:pStyle w:val="7"/>
      </w:pPr>
      <w:r>
        <w:rPr>
          <w:rFonts w:hint="eastAsia"/>
        </w:rPr>
        <w:t>大气敏感保护目标最大影响预测结果</w:t>
      </w:r>
    </w:p>
    <w:tbl>
      <w:tblPr>
        <w:tblStyle w:val="88"/>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22"/>
        <w:gridCol w:w="1317"/>
        <w:gridCol w:w="672"/>
        <w:gridCol w:w="777"/>
        <w:gridCol w:w="777"/>
        <w:gridCol w:w="1032"/>
        <w:gridCol w:w="777"/>
        <w:gridCol w:w="777"/>
        <w:gridCol w:w="777"/>
      </w:tblGrid>
      <w:tr w14:paraId="1512D7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jc w:val="center"/>
        </w:trPr>
        <w:tc>
          <w:tcPr>
            <w:tcW w:w="1622" w:type="dxa"/>
            <w:vAlign w:val="center"/>
          </w:tcPr>
          <w:p w14:paraId="2E6ED32C">
            <w:pPr>
              <w:pStyle w:val="34"/>
            </w:pPr>
            <w:r>
              <w:t>名称</w:t>
            </w:r>
          </w:p>
        </w:tc>
        <w:tc>
          <w:tcPr>
            <w:tcW w:w="1317" w:type="dxa"/>
            <w:vAlign w:val="center"/>
          </w:tcPr>
          <w:p w14:paraId="6CA8063D">
            <w:pPr>
              <w:pStyle w:val="34"/>
            </w:pPr>
            <w:r>
              <w:t>最大浓度/</w:t>
            </w:r>
          </w:p>
          <w:p w14:paraId="05044867">
            <w:pPr>
              <w:pStyle w:val="34"/>
            </w:pPr>
            <w:r>
              <w:t>时间(min)</w:t>
            </w:r>
          </w:p>
        </w:tc>
        <w:tc>
          <w:tcPr>
            <w:tcW w:w="672" w:type="dxa"/>
            <w:vAlign w:val="center"/>
          </w:tcPr>
          <w:p w14:paraId="105A3CCF">
            <w:pPr>
              <w:pStyle w:val="34"/>
            </w:pPr>
            <w:r>
              <w:rPr>
                <w:rFonts w:hint="eastAsia"/>
              </w:rPr>
              <w:t>8</w:t>
            </w:r>
            <w:r>
              <w:t>min</w:t>
            </w:r>
          </w:p>
        </w:tc>
        <w:tc>
          <w:tcPr>
            <w:tcW w:w="777" w:type="dxa"/>
            <w:vAlign w:val="center"/>
          </w:tcPr>
          <w:p w14:paraId="70DB9D2D">
            <w:pPr>
              <w:pStyle w:val="34"/>
            </w:pPr>
            <w:r>
              <w:t>1</w:t>
            </w:r>
            <w:r>
              <w:rPr>
                <w:rFonts w:hint="eastAsia"/>
              </w:rPr>
              <w:t>2</w:t>
            </w:r>
            <w:r>
              <w:t>min</w:t>
            </w:r>
          </w:p>
        </w:tc>
        <w:tc>
          <w:tcPr>
            <w:tcW w:w="777" w:type="dxa"/>
            <w:vAlign w:val="center"/>
          </w:tcPr>
          <w:p w14:paraId="3429A83B">
            <w:pPr>
              <w:pStyle w:val="34"/>
            </w:pPr>
            <w:r>
              <w:rPr>
                <w:rFonts w:hint="eastAsia"/>
              </w:rPr>
              <w:t>20</w:t>
            </w:r>
            <w:r>
              <w:t>min</w:t>
            </w:r>
          </w:p>
        </w:tc>
        <w:tc>
          <w:tcPr>
            <w:tcW w:w="1032" w:type="dxa"/>
            <w:vAlign w:val="center"/>
          </w:tcPr>
          <w:p w14:paraId="3D27B407">
            <w:pPr>
              <w:pStyle w:val="34"/>
            </w:pPr>
            <w:r>
              <w:rPr>
                <w:rFonts w:hint="eastAsia"/>
              </w:rPr>
              <w:t>30</w:t>
            </w:r>
            <w:r>
              <w:t>min</w:t>
            </w:r>
          </w:p>
        </w:tc>
        <w:tc>
          <w:tcPr>
            <w:tcW w:w="777" w:type="dxa"/>
            <w:vAlign w:val="center"/>
          </w:tcPr>
          <w:p w14:paraId="37324D28">
            <w:pPr>
              <w:pStyle w:val="34"/>
            </w:pPr>
            <w:r>
              <w:rPr>
                <w:rFonts w:hint="eastAsia"/>
              </w:rPr>
              <w:t>40</w:t>
            </w:r>
            <w:r>
              <w:t>min</w:t>
            </w:r>
          </w:p>
        </w:tc>
        <w:tc>
          <w:tcPr>
            <w:tcW w:w="777" w:type="dxa"/>
            <w:vAlign w:val="center"/>
          </w:tcPr>
          <w:p w14:paraId="1FC6BE7E">
            <w:pPr>
              <w:pStyle w:val="34"/>
            </w:pPr>
            <w:r>
              <w:rPr>
                <w:rFonts w:hint="eastAsia"/>
              </w:rPr>
              <w:t>44</w:t>
            </w:r>
            <w:r>
              <w:t>min</w:t>
            </w:r>
          </w:p>
        </w:tc>
        <w:tc>
          <w:tcPr>
            <w:tcW w:w="777" w:type="dxa"/>
            <w:vAlign w:val="center"/>
          </w:tcPr>
          <w:p w14:paraId="26869BC7">
            <w:pPr>
              <w:pStyle w:val="34"/>
            </w:pPr>
            <w:r>
              <w:rPr>
                <w:rFonts w:hint="eastAsia"/>
              </w:rPr>
              <w:t>50min</w:t>
            </w:r>
          </w:p>
        </w:tc>
      </w:tr>
      <w:tr w14:paraId="57FCA9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2" w:type="dxa"/>
            <w:vAlign w:val="center"/>
          </w:tcPr>
          <w:p w14:paraId="0ECF975D">
            <w:pPr>
              <w:pStyle w:val="34"/>
            </w:pPr>
            <w:r>
              <w:t>联检</w:t>
            </w:r>
            <w:r>
              <w:rPr>
                <w:rFonts w:hint="eastAsia"/>
              </w:rPr>
              <w:t>港务大厦</w:t>
            </w:r>
          </w:p>
        </w:tc>
        <w:tc>
          <w:tcPr>
            <w:tcW w:w="1317" w:type="dxa"/>
            <w:vAlign w:val="center"/>
          </w:tcPr>
          <w:p w14:paraId="4CEE7545">
            <w:pPr>
              <w:pStyle w:val="34"/>
            </w:pPr>
            <w:r>
              <w:rPr>
                <w:rFonts w:hint="eastAsia"/>
              </w:rPr>
              <w:t>41.4|8</w:t>
            </w:r>
          </w:p>
        </w:tc>
        <w:tc>
          <w:tcPr>
            <w:tcW w:w="672" w:type="dxa"/>
            <w:vAlign w:val="center"/>
          </w:tcPr>
          <w:p w14:paraId="7315B187">
            <w:pPr>
              <w:pStyle w:val="34"/>
            </w:pPr>
            <w:r>
              <w:rPr>
                <w:rFonts w:hint="eastAsia"/>
              </w:rPr>
              <w:t>41.4</w:t>
            </w:r>
          </w:p>
        </w:tc>
        <w:tc>
          <w:tcPr>
            <w:tcW w:w="777" w:type="dxa"/>
            <w:vAlign w:val="center"/>
          </w:tcPr>
          <w:p w14:paraId="2248839A">
            <w:pPr>
              <w:pStyle w:val="34"/>
            </w:pPr>
            <w:r>
              <w:rPr>
                <w:rFonts w:hint="eastAsia"/>
              </w:rPr>
              <w:t>41.4</w:t>
            </w:r>
          </w:p>
        </w:tc>
        <w:tc>
          <w:tcPr>
            <w:tcW w:w="777" w:type="dxa"/>
            <w:vAlign w:val="center"/>
          </w:tcPr>
          <w:p w14:paraId="52ED72A7">
            <w:pPr>
              <w:pStyle w:val="34"/>
            </w:pPr>
            <w:r>
              <w:rPr>
                <w:rFonts w:hint="eastAsia"/>
              </w:rPr>
              <w:t>41.4</w:t>
            </w:r>
          </w:p>
        </w:tc>
        <w:tc>
          <w:tcPr>
            <w:tcW w:w="1032" w:type="dxa"/>
            <w:vAlign w:val="center"/>
          </w:tcPr>
          <w:p w14:paraId="7A5443FC">
            <w:pPr>
              <w:pStyle w:val="34"/>
            </w:pPr>
            <w:r>
              <w:rPr>
                <w:rFonts w:hint="eastAsia"/>
              </w:rPr>
              <w:t>0</w:t>
            </w:r>
          </w:p>
        </w:tc>
        <w:tc>
          <w:tcPr>
            <w:tcW w:w="777" w:type="dxa"/>
            <w:vAlign w:val="center"/>
          </w:tcPr>
          <w:p w14:paraId="0DC11A27">
            <w:pPr>
              <w:pStyle w:val="34"/>
            </w:pPr>
            <w:r>
              <w:rPr>
                <w:rFonts w:hint="eastAsia"/>
              </w:rPr>
              <w:t>0</w:t>
            </w:r>
          </w:p>
        </w:tc>
        <w:tc>
          <w:tcPr>
            <w:tcW w:w="777" w:type="dxa"/>
            <w:vAlign w:val="center"/>
          </w:tcPr>
          <w:p w14:paraId="44150A88">
            <w:pPr>
              <w:pStyle w:val="34"/>
            </w:pPr>
            <w:r>
              <w:rPr>
                <w:rFonts w:hint="eastAsia"/>
              </w:rPr>
              <w:t>0</w:t>
            </w:r>
          </w:p>
        </w:tc>
        <w:tc>
          <w:tcPr>
            <w:tcW w:w="777" w:type="dxa"/>
            <w:vAlign w:val="center"/>
          </w:tcPr>
          <w:p w14:paraId="7641DE5E">
            <w:pPr>
              <w:pStyle w:val="34"/>
            </w:pPr>
            <w:r>
              <w:rPr>
                <w:rFonts w:hint="eastAsia"/>
              </w:rPr>
              <w:t>0</w:t>
            </w:r>
          </w:p>
        </w:tc>
      </w:tr>
      <w:tr w14:paraId="613CDA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2" w:type="dxa"/>
            <w:vAlign w:val="center"/>
          </w:tcPr>
          <w:p w14:paraId="1303FAC7">
            <w:pPr>
              <w:pStyle w:val="34"/>
            </w:pPr>
            <w:r>
              <w:rPr>
                <w:rFonts w:hint="eastAsia"/>
              </w:rPr>
              <w:t>保税港管委会</w:t>
            </w:r>
          </w:p>
        </w:tc>
        <w:tc>
          <w:tcPr>
            <w:tcW w:w="1317" w:type="dxa"/>
            <w:vAlign w:val="center"/>
          </w:tcPr>
          <w:p w14:paraId="1AB858BF">
            <w:pPr>
              <w:pStyle w:val="34"/>
            </w:pPr>
            <w:r>
              <w:rPr>
                <w:rFonts w:hint="eastAsia"/>
              </w:rPr>
              <w:t>21.0|12</w:t>
            </w:r>
          </w:p>
        </w:tc>
        <w:tc>
          <w:tcPr>
            <w:tcW w:w="672" w:type="dxa"/>
            <w:vAlign w:val="center"/>
          </w:tcPr>
          <w:p w14:paraId="2D31508F">
            <w:pPr>
              <w:pStyle w:val="34"/>
            </w:pPr>
            <w:r>
              <w:rPr>
                <w:rFonts w:hint="eastAsia"/>
              </w:rPr>
              <w:t>0</w:t>
            </w:r>
          </w:p>
        </w:tc>
        <w:tc>
          <w:tcPr>
            <w:tcW w:w="777" w:type="dxa"/>
            <w:vAlign w:val="center"/>
          </w:tcPr>
          <w:p w14:paraId="57EC4821">
            <w:pPr>
              <w:pStyle w:val="34"/>
            </w:pPr>
            <w:r>
              <w:rPr>
                <w:rFonts w:hint="eastAsia"/>
              </w:rPr>
              <w:t>21.0</w:t>
            </w:r>
          </w:p>
        </w:tc>
        <w:tc>
          <w:tcPr>
            <w:tcW w:w="777" w:type="dxa"/>
            <w:vAlign w:val="center"/>
          </w:tcPr>
          <w:p w14:paraId="1E97ED16">
            <w:pPr>
              <w:pStyle w:val="34"/>
            </w:pPr>
            <w:r>
              <w:rPr>
                <w:rFonts w:hint="eastAsia"/>
              </w:rPr>
              <w:t>21.0</w:t>
            </w:r>
          </w:p>
        </w:tc>
        <w:tc>
          <w:tcPr>
            <w:tcW w:w="1032" w:type="dxa"/>
            <w:vAlign w:val="center"/>
          </w:tcPr>
          <w:p w14:paraId="456F2954">
            <w:pPr>
              <w:pStyle w:val="34"/>
            </w:pPr>
            <w:r>
              <w:rPr>
                <w:rFonts w:hint="eastAsia"/>
              </w:rPr>
              <w:t>0</w:t>
            </w:r>
          </w:p>
        </w:tc>
        <w:tc>
          <w:tcPr>
            <w:tcW w:w="777" w:type="dxa"/>
            <w:vAlign w:val="center"/>
          </w:tcPr>
          <w:p w14:paraId="5491482B">
            <w:pPr>
              <w:pStyle w:val="34"/>
            </w:pPr>
            <w:r>
              <w:rPr>
                <w:rFonts w:hint="eastAsia"/>
              </w:rPr>
              <w:t>0</w:t>
            </w:r>
          </w:p>
        </w:tc>
        <w:tc>
          <w:tcPr>
            <w:tcW w:w="777" w:type="dxa"/>
            <w:vAlign w:val="center"/>
          </w:tcPr>
          <w:p w14:paraId="648A6C7D">
            <w:pPr>
              <w:pStyle w:val="34"/>
            </w:pPr>
            <w:r>
              <w:rPr>
                <w:rFonts w:hint="eastAsia"/>
              </w:rPr>
              <w:t>0</w:t>
            </w:r>
          </w:p>
        </w:tc>
        <w:tc>
          <w:tcPr>
            <w:tcW w:w="777" w:type="dxa"/>
            <w:vAlign w:val="center"/>
          </w:tcPr>
          <w:p w14:paraId="2D70F391">
            <w:pPr>
              <w:pStyle w:val="34"/>
            </w:pPr>
            <w:r>
              <w:rPr>
                <w:rFonts w:hint="eastAsia"/>
              </w:rPr>
              <w:t>0</w:t>
            </w:r>
          </w:p>
        </w:tc>
      </w:tr>
      <w:tr w14:paraId="1C4226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2" w:type="dxa"/>
            <w:vAlign w:val="center"/>
          </w:tcPr>
          <w:p w14:paraId="769E8A0B">
            <w:pPr>
              <w:pStyle w:val="34"/>
            </w:pPr>
            <w:r>
              <w:rPr>
                <w:rFonts w:hint="eastAsia"/>
              </w:rPr>
              <w:t>保税港区生活区</w:t>
            </w:r>
            <w:r>
              <w:t>大楼</w:t>
            </w:r>
          </w:p>
        </w:tc>
        <w:tc>
          <w:tcPr>
            <w:tcW w:w="1317" w:type="dxa"/>
            <w:vAlign w:val="center"/>
          </w:tcPr>
          <w:p w14:paraId="3B22CEB8">
            <w:pPr>
              <w:pStyle w:val="34"/>
            </w:pPr>
            <w:r>
              <w:rPr>
                <w:rFonts w:hint="eastAsia"/>
              </w:rPr>
              <w:t>14.6|18</w:t>
            </w:r>
          </w:p>
        </w:tc>
        <w:tc>
          <w:tcPr>
            <w:tcW w:w="672" w:type="dxa"/>
            <w:vAlign w:val="center"/>
          </w:tcPr>
          <w:p w14:paraId="41613319">
            <w:pPr>
              <w:pStyle w:val="34"/>
            </w:pPr>
            <w:r>
              <w:rPr>
                <w:rFonts w:hint="eastAsia"/>
              </w:rPr>
              <w:t>0</w:t>
            </w:r>
          </w:p>
        </w:tc>
        <w:tc>
          <w:tcPr>
            <w:tcW w:w="777" w:type="dxa"/>
            <w:vAlign w:val="center"/>
          </w:tcPr>
          <w:p w14:paraId="48F22025">
            <w:pPr>
              <w:pStyle w:val="34"/>
            </w:pPr>
            <w:r>
              <w:rPr>
                <w:rFonts w:hint="eastAsia"/>
              </w:rPr>
              <w:t>0</w:t>
            </w:r>
          </w:p>
        </w:tc>
        <w:tc>
          <w:tcPr>
            <w:tcW w:w="777" w:type="dxa"/>
            <w:vAlign w:val="center"/>
          </w:tcPr>
          <w:p w14:paraId="0BC81206">
            <w:pPr>
              <w:pStyle w:val="34"/>
            </w:pPr>
            <w:r>
              <w:rPr>
                <w:rFonts w:hint="eastAsia"/>
              </w:rPr>
              <w:t>14.6</w:t>
            </w:r>
          </w:p>
        </w:tc>
        <w:tc>
          <w:tcPr>
            <w:tcW w:w="1032" w:type="dxa"/>
            <w:vAlign w:val="center"/>
          </w:tcPr>
          <w:p w14:paraId="156816D8">
            <w:pPr>
              <w:pStyle w:val="34"/>
            </w:pPr>
            <w:r>
              <w:rPr>
                <w:rFonts w:hint="eastAsia"/>
              </w:rPr>
              <w:t>14.5</w:t>
            </w:r>
          </w:p>
        </w:tc>
        <w:tc>
          <w:tcPr>
            <w:tcW w:w="777" w:type="dxa"/>
            <w:vAlign w:val="center"/>
          </w:tcPr>
          <w:p w14:paraId="55412BD1">
            <w:pPr>
              <w:pStyle w:val="34"/>
            </w:pPr>
            <w:r>
              <w:rPr>
                <w:rFonts w:hint="eastAsia"/>
              </w:rPr>
              <w:t>0</w:t>
            </w:r>
          </w:p>
        </w:tc>
        <w:tc>
          <w:tcPr>
            <w:tcW w:w="777" w:type="dxa"/>
            <w:vAlign w:val="center"/>
          </w:tcPr>
          <w:p w14:paraId="403AD87A">
            <w:pPr>
              <w:pStyle w:val="34"/>
            </w:pPr>
            <w:r>
              <w:rPr>
                <w:rFonts w:hint="eastAsia"/>
              </w:rPr>
              <w:t>0</w:t>
            </w:r>
          </w:p>
        </w:tc>
        <w:tc>
          <w:tcPr>
            <w:tcW w:w="777" w:type="dxa"/>
            <w:vAlign w:val="center"/>
          </w:tcPr>
          <w:p w14:paraId="2C8F9B36">
            <w:pPr>
              <w:pStyle w:val="34"/>
            </w:pPr>
            <w:r>
              <w:rPr>
                <w:rFonts w:hint="eastAsia"/>
              </w:rPr>
              <w:t>0</w:t>
            </w:r>
          </w:p>
        </w:tc>
      </w:tr>
    </w:tbl>
    <w:p w14:paraId="74CE4F3D">
      <w:pPr>
        <w:pStyle w:val="7"/>
      </w:pPr>
      <w:r>
        <w:rPr>
          <w:rFonts w:hint="eastAsia"/>
        </w:rPr>
        <w:t>CO泄漏超出阈值的范围</w:t>
      </w:r>
    </w:p>
    <w:tbl>
      <w:tblPr>
        <w:tblStyle w:val="88"/>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3228"/>
        <w:gridCol w:w="2702"/>
        <w:gridCol w:w="2598"/>
      </w:tblGrid>
      <w:tr w14:paraId="399B32E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312" w:hRule="atLeast"/>
        </w:trPr>
        <w:tc>
          <w:tcPr>
            <w:tcW w:w="3228" w:type="dxa"/>
            <w:vMerge w:val="restart"/>
            <w:vAlign w:val="center"/>
          </w:tcPr>
          <w:p w14:paraId="29C2DD82">
            <w:pPr>
              <w:pStyle w:val="34"/>
            </w:pPr>
            <w:r>
              <w:t>超过大气毒性终点浓度-1</w:t>
            </w:r>
          </w:p>
        </w:tc>
        <w:tc>
          <w:tcPr>
            <w:tcW w:w="2702" w:type="dxa"/>
            <w:vAlign w:val="center"/>
          </w:tcPr>
          <w:p w14:paraId="33B891EE">
            <w:pPr>
              <w:pStyle w:val="34"/>
            </w:pPr>
            <w:r>
              <w:t>阈值（mg/m3）</w:t>
            </w:r>
          </w:p>
        </w:tc>
        <w:tc>
          <w:tcPr>
            <w:tcW w:w="2598" w:type="dxa"/>
            <w:vAlign w:val="center"/>
          </w:tcPr>
          <w:p w14:paraId="4AC318CC">
            <w:pPr>
              <w:pStyle w:val="34"/>
            </w:pPr>
            <w:r>
              <w:t>380</w:t>
            </w:r>
          </w:p>
        </w:tc>
      </w:tr>
      <w:tr w14:paraId="00FBAEE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11FDD916">
            <w:pPr>
              <w:pStyle w:val="34"/>
            </w:pPr>
          </w:p>
        </w:tc>
        <w:tc>
          <w:tcPr>
            <w:tcW w:w="2702" w:type="dxa"/>
            <w:vAlign w:val="center"/>
          </w:tcPr>
          <w:p w14:paraId="527DE7CC">
            <w:pPr>
              <w:pStyle w:val="34"/>
            </w:pPr>
            <w:r>
              <w:t>最大半宽（m）</w:t>
            </w:r>
          </w:p>
        </w:tc>
        <w:tc>
          <w:tcPr>
            <w:tcW w:w="2598" w:type="dxa"/>
            <w:vAlign w:val="center"/>
          </w:tcPr>
          <w:p w14:paraId="43326FE6">
            <w:pPr>
              <w:pStyle w:val="34"/>
            </w:pPr>
            <w:r>
              <w:rPr>
                <w:rFonts w:hint="eastAsia"/>
              </w:rPr>
              <w:t>8</w:t>
            </w:r>
          </w:p>
        </w:tc>
      </w:tr>
      <w:tr w14:paraId="05B7BC0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5270F642">
            <w:pPr>
              <w:pStyle w:val="34"/>
            </w:pPr>
          </w:p>
        </w:tc>
        <w:tc>
          <w:tcPr>
            <w:tcW w:w="2702" w:type="dxa"/>
            <w:vAlign w:val="center"/>
          </w:tcPr>
          <w:p w14:paraId="52A419DE">
            <w:pPr>
              <w:pStyle w:val="34"/>
            </w:pPr>
            <w:r>
              <w:t>影响范围（m）</w:t>
            </w:r>
          </w:p>
        </w:tc>
        <w:tc>
          <w:tcPr>
            <w:tcW w:w="2598" w:type="dxa"/>
            <w:vAlign w:val="center"/>
          </w:tcPr>
          <w:p w14:paraId="7C81416C">
            <w:pPr>
              <w:pStyle w:val="34"/>
            </w:pPr>
            <w:r>
              <w:rPr>
                <w:rFonts w:hint="eastAsia"/>
              </w:rPr>
              <w:t>250</w:t>
            </w:r>
          </w:p>
        </w:tc>
      </w:tr>
      <w:tr w14:paraId="5910C81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74B532AE">
            <w:pPr>
              <w:pStyle w:val="34"/>
            </w:pPr>
            <w:r>
              <w:t>超过大气毒性终点浓度-2</w:t>
            </w:r>
          </w:p>
        </w:tc>
        <w:tc>
          <w:tcPr>
            <w:tcW w:w="2702" w:type="dxa"/>
            <w:vAlign w:val="center"/>
          </w:tcPr>
          <w:p w14:paraId="66662AC1">
            <w:pPr>
              <w:pStyle w:val="34"/>
            </w:pPr>
            <w:r>
              <w:t>阈值（mg/m3）</w:t>
            </w:r>
          </w:p>
        </w:tc>
        <w:tc>
          <w:tcPr>
            <w:tcW w:w="2598" w:type="dxa"/>
            <w:vAlign w:val="center"/>
          </w:tcPr>
          <w:p w14:paraId="78831D87">
            <w:pPr>
              <w:pStyle w:val="34"/>
            </w:pPr>
            <w:r>
              <w:rPr>
                <w:rFonts w:hint="eastAsia"/>
              </w:rPr>
              <w:t>95</w:t>
            </w:r>
          </w:p>
        </w:tc>
      </w:tr>
      <w:tr w14:paraId="7E03271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73D8101C">
            <w:pPr>
              <w:pStyle w:val="34"/>
            </w:pPr>
          </w:p>
        </w:tc>
        <w:tc>
          <w:tcPr>
            <w:tcW w:w="2702" w:type="dxa"/>
            <w:vAlign w:val="center"/>
          </w:tcPr>
          <w:p w14:paraId="42EEFD81">
            <w:pPr>
              <w:pStyle w:val="34"/>
            </w:pPr>
            <w:r>
              <w:t>最大半宽（m）</w:t>
            </w:r>
          </w:p>
        </w:tc>
        <w:tc>
          <w:tcPr>
            <w:tcW w:w="2598" w:type="dxa"/>
            <w:vAlign w:val="center"/>
          </w:tcPr>
          <w:p w14:paraId="6580171A">
            <w:pPr>
              <w:pStyle w:val="34"/>
            </w:pPr>
            <w:r>
              <w:rPr>
                <w:rFonts w:hint="eastAsia"/>
              </w:rPr>
              <w:t>18</w:t>
            </w:r>
          </w:p>
        </w:tc>
      </w:tr>
      <w:tr w14:paraId="61C6694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59FFBE13">
            <w:pPr>
              <w:pStyle w:val="34"/>
            </w:pPr>
          </w:p>
        </w:tc>
        <w:tc>
          <w:tcPr>
            <w:tcW w:w="2702" w:type="dxa"/>
            <w:vAlign w:val="center"/>
          </w:tcPr>
          <w:p w14:paraId="432BD092">
            <w:pPr>
              <w:pStyle w:val="34"/>
            </w:pPr>
            <w:r>
              <w:t>影响范围（m）</w:t>
            </w:r>
          </w:p>
        </w:tc>
        <w:tc>
          <w:tcPr>
            <w:tcW w:w="2598" w:type="dxa"/>
            <w:vAlign w:val="center"/>
          </w:tcPr>
          <w:p w14:paraId="02ED3993">
            <w:pPr>
              <w:pStyle w:val="34"/>
            </w:pPr>
            <w:r>
              <w:rPr>
                <w:rFonts w:hint="eastAsia"/>
              </w:rPr>
              <w:t>590</w:t>
            </w:r>
          </w:p>
        </w:tc>
      </w:tr>
    </w:tbl>
    <w:p w14:paraId="6A1F1972">
      <w:pPr>
        <w:ind w:firstLine="437"/>
      </w:pPr>
      <w:r>
        <w:rPr>
          <w:rFonts w:hint="eastAsia"/>
        </w:rPr>
        <w:t>二、火灾二次污染物SO</w:t>
      </w:r>
      <w:r>
        <w:rPr>
          <w:rFonts w:hint="eastAsia"/>
          <w:vertAlign w:val="subscript"/>
        </w:rPr>
        <w:t>2</w:t>
      </w:r>
      <w:r>
        <w:rPr>
          <w:rFonts w:hint="eastAsia"/>
        </w:rPr>
        <w:t>影响分析</w:t>
      </w:r>
    </w:p>
    <w:p w14:paraId="4620205A">
      <w:pPr>
        <w:ind w:firstLine="437"/>
      </w:pPr>
      <w:r>
        <w:rPr>
          <w:rFonts w:hint="eastAsia"/>
        </w:rPr>
        <w:t>1</w:t>
      </w:r>
      <w:r>
        <w:t>、预测模型筛选</w:t>
      </w:r>
    </w:p>
    <w:p w14:paraId="5985F2C9">
      <w:pPr>
        <w:ind w:firstLine="437"/>
      </w:pPr>
      <w:r>
        <w:rPr>
          <w:rFonts w:hint="eastAsia"/>
        </w:rPr>
        <w:t>二氧化硫相对密度1.25kg/m</w:t>
      </w:r>
      <w:r>
        <w:rPr>
          <w:rFonts w:hint="eastAsia"/>
          <w:vertAlign w:val="superscript"/>
        </w:rPr>
        <w:t>3</w:t>
      </w:r>
      <w:r>
        <w:rPr>
          <w:rFonts w:hint="eastAsia"/>
        </w:rPr>
        <w:t>，输入源强参数后，计算得到理查德森数Ri＜1/6，为轻质气体。扩散计算建议采用AFTOX模式。</w:t>
      </w:r>
    </w:p>
    <w:p w14:paraId="02BFFDE9">
      <w:pPr>
        <w:ind w:firstLine="437"/>
      </w:pPr>
      <w:r>
        <w:rPr>
          <w:rFonts w:hint="eastAsia"/>
        </w:rPr>
        <w:t>2</w:t>
      </w:r>
      <w:r>
        <w:t>、预测结果</w:t>
      </w:r>
    </w:p>
    <w:p w14:paraId="1A7C94E9">
      <w:pPr>
        <w:ind w:firstLine="437"/>
      </w:pPr>
      <w:r>
        <w:rPr>
          <w:rFonts w:hint="eastAsia"/>
        </w:rPr>
        <w:t>①</w:t>
      </w:r>
      <w:r>
        <w:t>预测参数</w:t>
      </w:r>
    </w:p>
    <w:p w14:paraId="38696A24">
      <w:pPr>
        <w:pStyle w:val="7"/>
      </w:pPr>
      <w:r>
        <w:rPr>
          <w:rFonts w:hint="eastAsia"/>
        </w:rPr>
        <w:t>火灾二次污染物SO</w:t>
      </w:r>
      <w:r>
        <w:rPr>
          <w:rFonts w:hint="eastAsia"/>
          <w:vertAlign w:val="subscript"/>
        </w:rPr>
        <w:t>2</w:t>
      </w:r>
      <w:r>
        <w:t>大气风险预测模型主要参数表</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60"/>
        <w:gridCol w:w="2384"/>
        <w:gridCol w:w="4684"/>
      </w:tblGrid>
      <w:tr w14:paraId="09F615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460" w:type="dxa"/>
            <w:vAlign w:val="center"/>
          </w:tcPr>
          <w:p w14:paraId="3F19BA19">
            <w:pPr>
              <w:pStyle w:val="34"/>
            </w:pPr>
            <w:r>
              <w:t>参数类型</w:t>
            </w:r>
          </w:p>
        </w:tc>
        <w:tc>
          <w:tcPr>
            <w:tcW w:w="2384" w:type="dxa"/>
            <w:vAlign w:val="center"/>
          </w:tcPr>
          <w:p w14:paraId="590534CF">
            <w:pPr>
              <w:pStyle w:val="34"/>
            </w:pPr>
            <w:r>
              <w:t>选项</w:t>
            </w:r>
          </w:p>
        </w:tc>
        <w:tc>
          <w:tcPr>
            <w:tcW w:w="4684" w:type="dxa"/>
            <w:vAlign w:val="center"/>
          </w:tcPr>
          <w:p w14:paraId="37C7E056">
            <w:pPr>
              <w:pStyle w:val="34"/>
            </w:pPr>
            <w:r>
              <w:t>参数</w:t>
            </w:r>
          </w:p>
        </w:tc>
      </w:tr>
      <w:tr w14:paraId="63830D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40ACCCFA">
            <w:pPr>
              <w:pStyle w:val="34"/>
            </w:pPr>
            <w:r>
              <w:t>基本情况</w:t>
            </w:r>
          </w:p>
        </w:tc>
        <w:tc>
          <w:tcPr>
            <w:tcW w:w="2384" w:type="dxa"/>
            <w:vAlign w:val="center"/>
          </w:tcPr>
          <w:p w14:paraId="40405A14">
            <w:pPr>
              <w:pStyle w:val="34"/>
            </w:pPr>
            <w:r>
              <w:t>事故源经度/（°）</w:t>
            </w:r>
          </w:p>
        </w:tc>
        <w:tc>
          <w:tcPr>
            <w:tcW w:w="4684" w:type="dxa"/>
          </w:tcPr>
          <w:p w14:paraId="7FCC8123">
            <w:pPr>
              <w:pStyle w:val="34"/>
            </w:pPr>
            <w:r>
              <w:t>108.6</w:t>
            </w:r>
            <w:r>
              <w:rPr>
                <w:rFonts w:hint="eastAsia"/>
              </w:rPr>
              <w:t>57</w:t>
            </w:r>
          </w:p>
        </w:tc>
      </w:tr>
      <w:tr w14:paraId="31661E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35B0B0B1">
            <w:pPr>
              <w:pStyle w:val="34"/>
            </w:pPr>
          </w:p>
        </w:tc>
        <w:tc>
          <w:tcPr>
            <w:tcW w:w="2384" w:type="dxa"/>
            <w:vAlign w:val="center"/>
          </w:tcPr>
          <w:p w14:paraId="56774007">
            <w:pPr>
              <w:pStyle w:val="34"/>
            </w:pPr>
            <w:r>
              <w:t>事故源纬度/（°）</w:t>
            </w:r>
          </w:p>
        </w:tc>
        <w:tc>
          <w:tcPr>
            <w:tcW w:w="4684" w:type="dxa"/>
          </w:tcPr>
          <w:p w14:paraId="37E0428E">
            <w:pPr>
              <w:pStyle w:val="34"/>
            </w:pPr>
            <w:r>
              <w:t>21.66</w:t>
            </w:r>
            <w:r>
              <w:rPr>
                <w:rFonts w:hint="eastAsia"/>
              </w:rPr>
              <w:t>3</w:t>
            </w:r>
          </w:p>
        </w:tc>
      </w:tr>
      <w:tr w14:paraId="02DDBA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35B290B6">
            <w:pPr>
              <w:pStyle w:val="34"/>
            </w:pPr>
          </w:p>
        </w:tc>
        <w:tc>
          <w:tcPr>
            <w:tcW w:w="2384" w:type="dxa"/>
            <w:vAlign w:val="center"/>
          </w:tcPr>
          <w:p w14:paraId="1E6657C2">
            <w:pPr>
              <w:pStyle w:val="34"/>
            </w:pPr>
            <w:r>
              <w:t>事故源类型</w:t>
            </w:r>
          </w:p>
        </w:tc>
        <w:tc>
          <w:tcPr>
            <w:tcW w:w="4684" w:type="dxa"/>
            <w:vAlign w:val="center"/>
          </w:tcPr>
          <w:p w14:paraId="57416572">
            <w:pPr>
              <w:pStyle w:val="34"/>
            </w:pPr>
            <w:r>
              <w:rPr>
                <w:rFonts w:hint="eastAsia"/>
              </w:rPr>
              <w:t>火灾</w:t>
            </w:r>
          </w:p>
        </w:tc>
      </w:tr>
      <w:tr w14:paraId="7D580D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0F4AA1E5">
            <w:pPr>
              <w:pStyle w:val="34"/>
            </w:pPr>
            <w:r>
              <w:t>气象参数</w:t>
            </w:r>
          </w:p>
        </w:tc>
        <w:tc>
          <w:tcPr>
            <w:tcW w:w="2384" w:type="dxa"/>
            <w:vAlign w:val="center"/>
          </w:tcPr>
          <w:p w14:paraId="3D318C89">
            <w:pPr>
              <w:pStyle w:val="34"/>
            </w:pPr>
            <w:r>
              <w:t>气象条件类型</w:t>
            </w:r>
          </w:p>
        </w:tc>
        <w:tc>
          <w:tcPr>
            <w:tcW w:w="4684" w:type="dxa"/>
            <w:vAlign w:val="center"/>
          </w:tcPr>
          <w:p w14:paraId="30E9330B">
            <w:pPr>
              <w:pStyle w:val="34"/>
            </w:pPr>
            <w:r>
              <w:t>最不利气象条件</w:t>
            </w:r>
          </w:p>
        </w:tc>
      </w:tr>
      <w:tr w14:paraId="0A3DB4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360DC5C7">
            <w:pPr>
              <w:pStyle w:val="34"/>
            </w:pPr>
          </w:p>
        </w:tc>
        <w:tc>
          <w:tcPr>
            <w:tcW w:w="2384" w:type="dxa"/>
            <w:vAlign w:val="center"/>
          </w:tcPr>
          <w:p w14:paraId="4969230F">
            <w:pPr>
              <w:pStyle w:val="34"/>
            </w:pPr>
            <w:r>
              <w:t>风速/（m/s）</w:t>
            </w:r>
          </w:p>
        </w:tc>
        <w:tc>
          <w:tcPr>
            <w:tcW w:w="4684" w:type="dxa"/>
            <w:vAlign w:val="center"/>
          </w:tcPr>
          <w:p w14:paraId="6172C007">
            <w:pPr>
              <w:pStyle w:val="34"/>
            </w:pPr>
            <w:r>
              <w:t>1.5</w:t>
            </w:r>
          </w:p>
        </w:tc>
      </w:tr>
      <w:tr w14:paraId="633D4A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7C46F6B3">
            <w:pPr>
              <w:pStyle w:val="34"/>
            </w:pPr>
          </w:p>
        </w:tc>
        <w:tc>
          <w:tcPr>
            <w:tcW w:w="2384" w:type="dxa"/>
            <w:vAlign w:val="center"/>
          </w:tcPr>
          <w:p w14:paraId="4973210B">
            <w:pPr>
              <w:pStyle w:val="34"/>
            </w:pPr>
            <w:r>
              <w:t>环境温度/</w:t>
            </w:r>
            <w:r>
              <w:rPr>
                <w:rFonts w:hint="eastAsia"/>
              </w:rPr>
              <w:t>℃</w:t>
            </w:r>
          </w:p>
        </w:tc>
        <w:tc>
          <w:tcPr>
            <w:tcW w:w="4684" w:type="dxa"/>
            <w:vAlign w:val="center"/>
          </w:tcPr>
          <w:p w14:paraId="60C7921D">
            <w:pPr>
              <w:pStyle w:val="34"/>
            </w:pPr>
            <w:r>
              <w:t>25</w:t>
            </w:r>
          </w:p>
        </w:tc>
      </w:tr>
      <w:tr w14:paraId="769DE8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416707D9">
            <w:pPr>
              <w:pStyle w:val="34"/>
            </w:pPr>
          </w:p>
        </w:tc>
        <w:tc>
          <w:tcPr>
            <w:tcW w:w="2384" w:type="dxa"/>
            <w:vAlign w:val="center"/>
          </w:tcPr>
          <w:p w14:paraId="28A4D55E">
            <w:pPr>
              <w:pStyle w:val="34"/>
            </w:pPr>
            <w:r>
              <w:t>相对湿度/%</w:t>
            </w:r>
          </w:p>
        </w:tc>
        <w:tc>
          <w:tcPr>
            <w:tcW w:w="4684" w:type="dxa"/>
            <w:vAlign w:val="center"/>
          </w:tcPr>
          <w:p w14:paraId="569A4034">
            <w:pPr>
              <w:pStyle w:val="34"/>
            </w:pPr>
            <w:r>
              <w:t>50</w:t>
            </w:r>
          </w:p>
        </w:tc>
      </w:tr>
      <w:tr w14:paraId="3B749A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2EF4503">
            <w:pPr>
              <w:pStyle w:val="34"/>
            </w:pPr>
          </w:p>
        </w:tc>
        <w:tc>
          <w:tcPr>
            <w:tcW w:w="2384" w:type="dxa"/>
            <w:vAlign w:val="center"/>
          </w:tcPr>
          <w:p w14:paraId="50374B32">
            <w:pPr>
              <w:pStyle w:val="34"/>
            </w:pPr>
            <w:r>
              <w:t>稳定度</w:t>
            </w:r>
          </w:p>
        </w:tc>
        <w:tc>
          <w:tcPr>
            <w:tcW w:w="4684" w:type="dxa"/>
            <w:vAlign w:val="center"/>
          </w:tcPr>
          <w:p w14:paraId="744CA576">
            <w:pPr>
              <w:pStyle w:val="34"/>
            </w:pPr>
            <w:r>
              <w:t>F</w:t>
            </w:r>
          </w:p>
        </w:tc>
      </w:tr>
      <w:tr w14:paraId="433B55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0347AEA3">
            <w:pPr>
              <w:pStyle w:val="34"/>
            </w:pPr>
            <w:r>
              <w:t>其他参数</w:t>
            </w:r>
          </w:p>
        </w:tc>
        <w:tc>
          <w:tcPr>
            <w:tcW w:w="2384" w:type="dxa"/>
            <w:vAlign w:val="center"/>
          </w:tcPr>
          <w:p w14:paraId="70034D9F">
            <w:pPr>
              <w:pStyle w:val="34"/>
            </w:pPr>
            <w:r>
              <w:t>地表粗糙度/</w:t>
            </w:r>
            <w:r>
              <w:rPr>
                <w:rFonts w:hint="eastAsia"/>
              </w:rPr>
              <w:t>m</w:t>
            </w:r>
          </w:p>
        </w:tc>
        <w:tc>
          <w:tcPr>
            <w:tcW w:w="4684" w:type="dxa"/>
            <w:vAlign w:val="center"/>
          </w:tcPr>
          <w:p w14:paraId="49C5C5A0">
            <w:pPr>
              <w:pStyle w:val="34"/>
            </w:pPr>
            <w:r>
              <w:rPr>
                <w:rFonts w:hint="eastAsia"/>
              </w:rPr>
              <w:t>0.03</w:t>
            </w:r>
          </w:p>
        </w:tc>
      </w:tr>
      <w:tr w14:paraId="2E9EC3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3" w:hRule="atLeast"/>
        </w:trPr>
        <w:tc>
          <w:tcPr>
            <w:tcW w:w="1460" w:type="dxa"/>
            <w:vMerge w:val="continue"/>
            <w:vAlign w:val="center"/>
          </w:tcPr>
          <w:p w14:paraId="563BC4D2">
            <w:pPr>
              <w:pStyle w:val="34"/>
            </w:pPr>
          </w:p>
        </w:tc>
        <w:tc>
          <w:tcPr>
            <w:tcW w:w="2384" w:type="dxa"/>
            <w:vAlign w:val="center"/>
          </w:tcPr>
          <w:p w14:paraId="4DFA7CFC">
            <w:pPr>
              <w:pStyle w:val="34"/>
            </w:pPr>
            <w:r>
              <w:t>是否考虑地形</w:t>
            </w:r>
          </w:p>
        </w:tc>
        <w:tc>
          <w:tcPr>
            <w:tcW w:w="4684" w:type="dxa"/>
            <w:vAlign w:val="center"/>
          </w:tcPr>
          <w:p w14:paraId="1D99C171">
            <w:pPr>
              <w:pStyle w:val="34"/>
            </w:pPr>
            <w:r>
              <w:rPr>
                <w:rFonts w:hint="eastAsia"/>
              </w:rPr>
              <w:t>否</w:t>
            </w:r>
          </w:p>
        </w:tc>
      </w:tr>
      <w:tr w14:paraId="29865E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1BB06982">
            <w:pPr>
              <w:pStyle w:val="34"/>
            </w:pPr>
          </w:p>
        </w:tc>
        <w:tc>
          <w:tcPr>
            <w:tcW w:w="2384" w:type="dxa"/>
            <w:vAlign w:val="center"/>
          </w:tcPr>
          <w:p w14:paraId="59CC739F">
            <w:pPr>
              <w:pStyle w:val="34"/>
            </w:pPr>
            <w:r>
              <w:t>地形数据精度/m</w:t>
            </w:r>
          </w:p>
        </w:tc>
        <w:tc>
          <w:tcPr>
            <w:tcW w:w="4684" w:type="dxa"/>
            <w:vAlign w:val="center"/>
          </w:tcPr>
          <w:p w14:paraId="137C7AF9">
            <w:pPr>
              <w:pStyle w:val="34"/>
            </w:pPr>
            <w:r>
              <w:rPr>
                <w:rFonts w:hint="eastAsia"/>
              </w:rPr>
              <w:t>/</w:t>
            </w:r>
          </w:p>
        </w:tc>
      </w:tr>
    </w:tbl>
    <w:p w14:paraId="22E8F47F">
      <w:pPr>
        <w:ind w:firstLine="437"/>
      </w:pPr>
      <w:r>
        <w:rPr>
          <w:rFonts w:hint="eastAsia"/>
        </w:rPr>
        <w:t>②</w:t>
      </w:r>
      <w:r>
        <w:t>预测结果</w:t>
      </w:r>
    </w:p>
    <w:p w14:paraId="5DF873D7">
      <w:pPr>
        <w:ind w:firstLine="437"/>
      </w:pPr>
      <w:r>
        <w:t>由预测结果可知，在最不利气象条件（F类稳定度，1.5m/s风速，温度25</w:t>
      </w:r>
      <w:r>
        <w:rPr>
          <w:rFonts w:hint="eastAsia"/>
        </w:rPr>
        <w:t>℃</w:t>
      </w:r>
      <w:r>
        <w:t>，相对湿度50%）下，</w:t>
      </w:r>
      <w:r>
        <w:rPr>
          <w:rFonts w:hint="eastAsia"/>
        </w:rPr>
        <w:t>二氧化硫</w:t>
      </w:r>
      <w:r>
        <w:t>浓度</w:t>
      </w:r>
      <w:r>
        <w:rPr>
          <w:rFonts w:hint="eastAsia"/>
        </w:rPr>
        <w:t>超出</w:t>
      </w:r>
      <w:r>
        <w:t>大气毒性终点浓度-1（</w:t>
      </w:r>
      <w:r>
        <w:rPr>
          <w:rFonts w:hint="eastAsia"/>
        </w:rPr>
        <w:t>79mg/m</w:t>
      </w:r>
      <w:r>
        <w:rPr>
          <w:rFonts w:hint="eastAsia"/>
          <w:vertAlign w:val="superscript"/>
        </w:rPr>
        <w:t>3</w:t>
      </w:r>
      <w:r>
        <w:t>）</w:t>
      </w:r>
      <w:r>
        <w:rPr>
          <w:rFonts w:hint="eastAsia"/>
        </w:rPr>
        <w:t>对应的距离为下风向330m，</w:t>
      </w:r>
      <w:r>
        <w:t>达到大气毒性终点浓度-2（</w:t>
      </w:r>
      <w:r>
        <w:rPr>
          <w:rFonts w:hint="eastAsia"/>
        </w:rPr>
        <w:t>2mg/m</w:t>
      </w:r>
      <w:r>
        <w:rPr>
          <w:rFonts w:hint="eastAsia"/>
          <w:vertAlign w:val="superscript"/>
        </w:rPr>
        <w:t>3</w:t>
      </w:r>
      <w:r>
        <w:t>）</w:t>
      </w:r>
      <w:r>
        <w:rPr>
          <w:rFonts w:hint="eastAsia"/>
        </w:rPr>
        <w:t>对应的距离为下风向3870m；</w:t>
      </w:r>
      <w:r>
        <w:t>事故发生后，预测到达</w:t>
      </w:r>
      <w:r>
        <w:rPr>
          <w:rFonts w:hint="eastAsia"/>
        </w:rPr>
        <w:t>敏感点</w:t>
      </w:r>
      <w:r>
        <w:t>的</w:t>
      </w:r>
      <w:r>
        <w:rPr>
          <w:rFonts w:hint="eastAsia"/>
          <w:bCs/>
        </w:rPr>
        <w:t>SO</w:t>
      </w:r>
      <w:r>
        <w:rPr>
          <w:rFonts w:hint="eastAsia"/>
          <w:bCs/>
          <w:vertAlign w:val="subscript"/>
        </w:rPr>
        <w:t>2</w:t>
      </w:r>
      <w:r>
        <w:t>浓度</w:t>
      </w:r>
      <w:r>
        <w:rPr>
          <w:rFonts w:hint="eastAsia"/>
        </w:rPr>
        <w:t>最大</w:t>
      </w:r>
      <w:r>
        <w:t>贡献值</w:t>
      </w:r>
      <w:r>
        <w:rPr>
          <w:rFonts w:hint="eastAsia"/>
        </w:rPr>
        <w:t>出现在联检大楼，浓度为8.27mg/m</w:t>
      </w:r>
      <w:r>
        <w:rPr>
          <w:vertAlign w:val="superscript"/>
        </w:rPr>
        <w:t>3</w:t>
      </w:r>
      <w:r>
        <w:t>，未达到大气毒性终点浓度-1</w:t>
      </w:r>
      <w:r>
        <w:rPr>
          <w:rFonts w:hint="eastAsia"/>
        </w:rPr>
        <w:t>；联检大楼、保税港管委会、保税港区生活区</w:t>
      </w:r>
      <w:r>
        <w:rPr>
          <w:rFonts w:hint="eastAsia"/>
          <w:bCs/>
        </w:rPr>
        <w:t>SO</w:t>
      </w:r>
      <w:r>
        <w:rPr>
          <w:rFonts w:hint="eastAsia"/>
          <w:bCs/>
          <w:vertAlign w:val="subscript"/>
        </w:rPr>
        <w:t>2</w:t>
      </w:r>
      <w:r>
        <w:rPr>
          <w:bCs/>
        </w:rPr>
        <w:t>最大落地浓度</w:t>
      </w:r>
      <w:r>
        <w:rPr>
          <w:rFonts w:hint="eastAsia"/>
        </w:rPr>
        <w:t>超出</w:t>
      </w:r>
      <w:r>
        <w:t>大气毒性终点浓度-</w:t>
      </w:r>
      <w:r>
        <w:rPr>
          <w:rFonts w:hint="eastAsia"/>
        </w:rPr>
        <w:t>2范围；其余敏感目标均低于</w:t>
      </w:r>
      <w:r>
        <w:t>大气毒性终点浓度</w:t>
      </w:r>
      <w:r>
        <w:rPr>
          <w:rFonts w:hint="eastAsia"/>
        </w:rPr>
        <w:t>范围，</w:t>
      </w:r>
      <w:r>
        <w:rPr>
          <w:rFonts w:hint="eastAsia"/>
          <w:bCs/>
        </w:rPr>
        <w:t>SO</w:t>
      </w:r>
      <w:r>
        <w:rPr>
          <w:rFonts w:hint="eastAsia"/>
          <w:bCs/>
          <w:vertAlign w:val="subscript"/>
        </w:rPr>
        <w:t>2</w:t>
      </w:r>
      <w:r>
        <w:rPr>
          <w:rFonts w:hint="eastAsia"/>
        </w:rPr>
        <w:t>扩散至40min左右时各敏感点均达到大气毒性终点浓度。</w:t>
      </w:r>
      <w:r>
        <w:rPr>
          <w:bCs/>
        </w:rPr>
        <w:t>项目</w:t>
      </w:r>
      <w:r>
        <w:rPr>
          <w:rFonts w:hint="eastAsia"/>
          <w:bCs/>
        </w:rPr>
        <w:t>SO</w:t>
      </w:r>
      <w:r>
        <w:rPr>
          <w:rFonts w:hint="eastAsia"/>
          <w:bCs/>
          <w:vertAlign w:val="subscript"/>
        </w:rPr>
        <w:t>2</w:t>
      </w:r>
      <w:r>
        <w:rPr>
          <w:bCs/>
        </w:rPr>
        <w:t>气体对项目周边环境影响较大。</w:t>
      </w:r>
    </w:p>
    <w:p w14:paraId="1F80F8CB">
      <w:pPr>
        <w:pStyle w:val="7"/>
      </w:pPr>
      <w:r>
        <w:t>下风向不同距离</w:t>
      </w:r>
      <w:r>
        <w:rPr>
          <w:rFonts w:hint="eastAsia"/>
        </w:rPr>
        <w:t>二氧化硫</w:t>
      </w:r>
      <w:r>
        <w:t>的最大浓度</w:t>
      </w:r>
    </w:p>
    <w:tbl>
      <w:tblPr>
        <w:tblStyle w:val="88"/>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340"/>
        <w:gridCol w:w="2813"/>
        <w:gridCol w:w="3375"/>
      </w:tblGrid>
      <w:tr w14:paraId="7814561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tblHeader/>
          <w:jc w:val="center"/>
        </w:trPr>
        <w:tc>
          <w:tcPr>
            <w:tcW w:w="2340" w:type="dxa"/>
            <w:vAlign w:val="center"/>
          </w:tcPr>
          <w:p w14:paraId="31D536A0">
            <w:pPr>
              <w:pStyle w:val="34"/>
            </w:pPr>
            <w:r>
              <w:t>下风向距离（m）</w:t>
            </w:r>
          </w:p>
        </w:tc>
        <w:tc>
          <w:tcPr>
            <w:tcW w:w="2813" w:type="dxa"/>
            <w:vAlign w:val="center"/>
          </w:tcPr>
          <w:p w14:paraId="5B9D586A">
            <w:pPr>
              <w:pStyle w:val="34"/>
            </w:pPr>
            <w:r>
              <w:t>浓度出现时间（min）</w:t>
            </w:r>
          </w:p>
        </w:tc>
        <w:tc>
          <w:tcPr>
            <w:tcW w:w="3375" w:type="dxa"/>
            <w:vAlign w:val="center"/>
          </w:tcPr>
          <w:p w14:paraId="3E55AE81">
            <w:pPr>
              <w:pStyle w:val="34"/>
            </w:pPr>
            <w:r>
              <w:t>下风向高峰浓度（mg/m3）</w:t>
            </w:r>
          </w:p>
        </w:tc>
      </w:tr>
      <w:tr w14:paraId="0FC14E9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3F379848">
            <w:pPr>
              <w:pStyle w:val="34"/>
            </w:pPr>
            <w:r>
              <w:t>10</w:t>
            </w:r>
          </w:p>
        </w:tc>
        <w:tc>
          <w:tcPr>
            <w:tcW w:w="2813" w:type="dxa"/>
            <w:vAlign w:val="center"/>
          </w:tcPr>
          <w:p w14:paraId="52D9D999">
            <w:pPr>
              <w:pStyle w:val="34"/>
            </w:pPr>
            <w:r>
              <w:rPr>
                <w:rFonts w:hint="eastAsia"/>
              </w:rPr>
              <w:t>0.08</w:t>
            </w:r>
          </w:p>
        </w:tc>
        <w:tc>
          <w:tcPr>
            <w:tcW w:w="3375" w:type="dxa"/>
            <w:vAlign w:val="center"/>
          </w:tcPr>
          <w:p w14:paraId="0A7D9B73">
            <w:pPr>
              <w:pStyle w:val="34"/>
            </w:pPr>
            <w:r>
              <w:rPr>
                <w:rFonts w:hint="eastAsia"/>
              </w:rPr>
              <w:t>6956.80</w:t>
            </w:r>
          </w:p>
        </w:tc>
      </w:tr>
      <w:tr w14:paraId="62BBAF5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5F0B919">
            <w:pPr>
              <w:pStyle w:val="34"/>
            </w:pPr>
            <w:r>
              <w:t>20</w:t>
            </w:r>
          </w:p>
        </w:tc>
        <w:tc>
          <w:tcPr>
            <w:tcW w:w="2813" w:type="dxa"/>
            <w:vAlign w:val="center"/>
          </w:tcPr>
          <w:p w14:paraId="7EF99712">
            <w:pPr>
              <w:pStyle w:val="34"/>
            </w:pPr>
            <w:r>
              <w:rPr>
                <w:rFonts w:hint="eastAsia"/>
              </w:rPr>
              <w:t>0.25</w:t>
            </w:r>
          </w:p>
        </w:tc>
        <w:tc>
          <w:tcPr>
            <w:tcW w:w="3375" w:type="dxa"/>
            <w:vAlign w:val="center"/>
          </w:tcPr>
          <w:p w14:paraId="48258713">
            <w:pPr>
              <w:pStyle w:val="34"/>
            </w:pPr>
            <w:r>
              <w:rPr>
                <w:rFonts w:hint="eastAsia"/>
              </w:rPr>
              <w:t>1344.10</w:t>
            </w:r>
          </w:p>
        </w:tc>
      </w:tr>
      <w:tr w14:paraId="331021F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5430C86">
            <w:pPr>
              <w:pStyle w:val="34"/>
            </w:pPr>
            <w:r>
              <w:t>50</w:t>
            </w:r>
          </w:p>
        </w:tc>
        <w:tc>
          <w:tcPr>
            <w:tcW w:w="2813" w:type="dxa"/>
            <w:vAlign w:val="center"/>
          </w:tcPr>
          <w:p w14:paraId="0844620D">
            <w:pPr>
              <w:pStyle w:val="34"/>
            </w:pPr>
            <w:r>
              <w:rPr>
                <w:rFonts w:hint="eastAsia"/>
              </w:rPr>
              <w:t>0.42</w:t>
            </w:r>
          </w:p>
        </w:tc>
        <w:tc>
          <w:tcPr>
            <w:tcW w:w="3375" w:type="dxa"/>
            <w:vAlign w:val="center"/>
          </w:tcPr>
          <w:p w14:paraId="42723961">
            <w:pPr>
              <w:pStyle w:val="34"/>
            </w:pPr>
            <w:r>
              <w:rPr>
                <w:rFonts w:hint="eastAsia"/>
              </w:rPr>
              <w:t>683.46</w:t>
            </w:r>
          </w:p>
        </w:tc>
      </w:tr>
      <w:tr w14:paraId="21970FB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CF3F7DF">
            <w:pPr>
              <w:pStyle w:val="34"/>
            </w:pPr>
            <w:r>
              <w:t>100</w:t>
            </w:r>
          </w:p>
        </w:tc>
        <w:tc>
          <w:tcPr>
            <w:tcW w:w="2813" w:type="dxa"/>
            <w:vAlign w:val="center"/>
          </w:tcPr>
          <w:p w14:paraId="0678D226">
            <w:pPr>
              <w:pStyle w:val="34"/>
            </w:pPr>
            <w:r>
              <w:rPr>
                <w:rFonts w:hint="eastAsia"/>
              </w:rPr>
              <w:t>0.91</w:t>
            </w:r>
          </w:p>
        </w:tc>
        <w:tc>
          <w:tcPr>
            <w:tcW w:w="3375" w:type="dxa"/>
            <w:vAlign w:val="center"/>
          </w:tcPr>
          <w:p w14:paraId="72415F4E">
            <w:pPr>
              <w:pStyle w:val="34"/>
            </w:pPr>
            <w:r>
              <w:rPr>
                <w:rFonts w:hint="eastAsia"/>
              </w:rPr>
              <w:t>256.37</w:t>
            </w:r>
          </w:p>
        </w:tc>
      </w:tr>
      <w:tr w14:paraId="7A5546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3B436F2C">
            <w:pPr>
              <w:pStyle w:val="34"/>
            </w:pPr>
            <w:r>
              <w:rPr>
                <w:rFonts w:hint="eastAsia"/>
              </w:rPr>
              <w:t>200</w:t>
            </w:r>
          </w:p>
        </w:tc>
        <w:tc>
          <w:tcPr>
            <w:tcW w:w="2813" w:type="dxa"/>
            <w:vAlign w:val="center"/>
          </w:tcPr>
          <w:p w14:paraId="250CB697">
            <w:pPr>
              <w:pStyle w:val="34"/>
            </w:pPr>
            <w:r>
              <w:rPr>
                <w:rFonts w:hint="eastAsia"/>
              </w:rPr>
              <w:t>1.75</w:t>
            </w:r>
          </w:p>
        </w:tc>
        <w:tc>
          <w:tcPr>
            <w:tcW w:w="3375" w:type="dxa"/>
            <w:vAlign w:val="center"/>
          </w:tcPr>
          <w:p w14:paraId="73C57CE5">
            <w:pPr>
              <w:pStyle w:val="34"/>
            </w:pPr>
            <w:r>
              <w:rPr>
                <w:rFonts w:hint="eastAsia"/>
              </w:rPr>
              <w:t>100.32</w:t>
            </w:r>
          </w:p>
        </w:tc>
      </w:tr>
      <w:tr w14:paraId="27C8CD9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34776546">
            <w:pPr>
              <w:pStyle w:val="34"/>
            </w:pPr>
            <w:r>
              <w:rPr>
                <w:rFonts w:hint="eastAsia"/>
              </w:rPr>
              <w:t>300</w:t>
            </w:r>
          </w:p>
        </w:tc>
        <w:tc>
          <w:tcPr>
            <w:tcW w:w="2813" w:type="dxa"/>
            <w:vAlign w:val="center"/>
          </w:tcPr>
          <w:p w14:paraId="6374EBCB">
            <w:pPr>
              <w:pStyle w:val="34"/>
            </w:pPr>
            <w:r>
              <w:rPr>
                <w:rFonts w:hint="eastAsia"/>
              </w:rPr>
              <w:t>2.58</w:t>
            </w:r>
          </w:p>
        </w:tc>
        <w:tc>
          <w:tcPr>
            <w:tcW w:w="3375" w:type="dxa"/>
            <w:vAlign w:val="center"/>
          </w:tcPr>
          <w:p w14:paraId="1786C1E3">
            <w:pPr>
              <w:pStyle w:val="34"/>
            </w:pPr>
            <w:r>
              <w:rPr>
                <w:rFonts w:hint="eastAsia"/>
              </w:rPr>
              <w:t>54.51</w:t>
            </w:r>
          </w:p>
        </w:tc>
      </w:tr>
      <w:tr w14:paraId="0E04AC4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D843FE5">
            <w:pPr>
              <w:pStyle w:val="34"/>
            </w:pPr>
            <w:r>
              <w:rPr>
                <w:rFonts w:hint="eastAsia"/>
              </w:rPr>
              <w:t>500</w:t>
            </w:r>
          </w:p>
        </w:tc>
        <w:tc>
          <w:tcPr>
            <w:tcW w:w="2813" w:type="dxa"/>
            <w:vAlign w:val="center"/>
          </w:tcPr>
          <w:p w14:paraId="359421D0">
            <w:pPr>
              <w:pStyle w:val="34"/>
            </w:pPr>
            <w:r>
              <w:rPr>
                <w:rFonts w:hint="eastAsia"/>
              </w:rPr>
              <w:t>4.25</w:t>
            </w:r>
          </w:p>
        </w:tc>
        <w:tc>
          <w:tcPr>
            <w:tcW w:w="3375" w:type="dxa"/>
            <w:vAlign w:val="center"/>
          </w:tcPr>
          <w:p w14:paraId="0EE1F870">
            <w:pPr>
              <w:pStyle w:val="34"/>
            </w:pPr>
            <w:r>
              <w:rPr>
                <w:rFonts w:hint="eastAsia"/>
              </w:rPr>
              <w:t>24.34</w:t>
            </w:r>
          </w:p>
        </w:tc>
      </w:tr>
      <w:tr w14:paraId="4A3D0FC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64527749">
            <w:pPr>
              <w:pStyle w:val="34"/>
            </w:pPr>
            <w:r>
              <w:rPr>
                <w:rFonts w:hint="eastAsia"/>
              </w:rPr>
              <w:t>1000</w:t>
            </w:r>
          </w:p>
        </w:tc>
        <w:tc>
          <w:tcPr>
            <w:tcW w:w="2813" w:type="dxa"/>
            <w:vAlign w:val="center"/>
          </w:tcPr>
          <w:p w14:paraId="4AB714A5">
            <w:pPr>
              <w:pStyle w:val="34"/>
            </w:pPr>
            <w:r>
              <w:rPr>
                <w:rFonts w:hint="eastAsia"/>
              </w:rPr>
              <w:t>8.41</w:t>
            </w:r>
          </w:p>
        </w:tc>
        <w:tc>
          <w:tcPr>
            <w:tcW w:w="3375" w:type="dxa"/>
            <w:vAlign w:val="center"/>
          </w:tcPr>
          <w:p w14:paraId="6C9FD1B5">
            <w:pPr>
              <w:pStyle w:val="34"/>
            </w:pPr>
            <w:r>
              <w:rPr>
                <w:rFonts w:hint="eastAsia"/>
              </w:rPr>
              <w:t>7.86</w:t>
            </w:r>
          </w:p>
        </w:tc>
      </w:tr>
      <w:tr w14:paraId="5CAEBDF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3941FD7">
            <w:pPr>
              <w:pStyle w:val="34"/>
            </w:pPr>
            <w:r>
              <w:rPr>
                <w:rFonts w:hint="eastAsia"/>
              </w:rPr>
              <w:t>1500</w:t>
            </w:r>
          </w:p>
        </w:tc>
        <w:tc>
          <w:tcPr>
            <w:tcW w:w="2813" w:type="dxa"/>
            <w:vAlign w:val="center"/>
          </w:tcPr>
          <w:p w14:paraId="049631F5">
            <w:pPr>
              <w:pStyle w:val="34"/>
            </w:pPr>
            <w:r>
              <w:rPr>
                <w:rFonts w:hint="eastAsia"/>
              </w:rPr>
              <w:t>12.58</w:t>
            </w:r>
          </w:p>
        </w:tc>
        <w:tc>
          <w:tcPr>
            <w:tcW w:w="3375" w:type="dxa"/>
            <w:vAlign w:val="center"/>
          </w:tcPr>
          <w:p w14:paraId="110735FC">
            <w:pPr>
              <w:pStyle w:val="34"/>
            </w:pPr>
            <w:r>
              <w:rPr>
                <w:rFonts w:hint="eastAsia"/>
              </w:rPr>
              <w:t>4.09</w:t>
            </w:r>
          </w:p>
        </w:tc>
      </w:tr>
      <w:tr w14:paraId="36656BB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36B9A5A3">
            <w:pPr>
              <w:pStyle w:val="34"/>
            </w:pPr>
            <w:r>
              <w:rPr>
                <w:rFonts w:hint="eastAsia"/>
              </w:rPr>
              <w:t>2000</w:t>
            </w:r>
          </w:p>
        </w:tc>
        <w:tc>
          <w:tcPr>
            <w:tcW w:w="2813" w:type="dxa"/>
            <w:vAlign w:val="center"/>
          </w:tcPr>
          <w:p w14:paraId="0B1424F3">
            <w:pPr>
              <w:pStyle w:val="34"/>
            </w:pPr>
            <w:r>
              <w:rPr>
                <w:rFonts w:hint="eastAsia"/>
              </w:rPr>
              <w:t>19.75</w:t>
            </w:r>
          </w:p>
        </w:tc>
        <w:tc>
          <w:tcPr>
            <w:tcW w:w="3375" w:type="dxa"/>
            <w:vAlign w:val="center"/>
          </w:tcPr>
          <w:p w14:paraId="1EDA43BD">
            <w:pPr>
              <w:pStyle w:val="34"/>
            </w:pPr>
            <w:r>
              <w:rPr>
                <w:rFonts w:hint="eastAsia"/>
              </w:rPr>
              <w:t>2.79</w:t>
            </w:r>
          </w:p>
        </w:tc>
      </w:tr>
      <w:tr w14:paraId="5BF27A3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6BE3602A">
            <w:pPr>
              <w:pStyle w:val="34"/>
            </w:pPr>
            <w:r>
              <w:rPr>
                <w:rFonts w:hint="eastAsia"/>
              </w:rPr>
              <w:t>3000</w:t>
            </w:r>
          </w:p>
        </w:tc>
        <w:tc>
          <w:tcPr>
            <w:tcW w:w="2813" w:type="dxa"/>
            <w:vAlign w:val="center"/>
          </w:tcPr>
          <w:p w14:paraId="0CED2D09">
            <w:pPr>
              <w:pStyle w:val="34"/>
            </w:pPr>
            <w:r>
              <w:rPr>
                <w:rFonts w:hint="eastAsia"/>
              </w:rPr>
              <w:t>29.08</w:t>
            </w:r>
          </w:p>
        </w:tc>
        <w:tc>
          <w:tcPr>
            <w:tcW w:w="3375" w:type="dxa"/>
            <w:vAlign w:val="center"/>
          </w:tcPr>
          <w:p w14:paraId="01E57CD4">
            <w:pPr>
              <w:pStyle w:val="34"/>
            </w:pPr>
            <w:r>
              <w:rPr>
                <w:rFonts w:hint="eastAsia"/>
              </w:rPr>
              <w:t>1.63</w:t>
            </w:r>
          </w:p>
        </w:tc>
      </w:tr>
      <w:tr w14:paraId="15BEF4D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047D92B">
            <w:pPr>
              <w:pStyle w:val="34"/>
            </w:pPr>
            <w:r>
              <w:rPr>
                <w:rFonts w:hint="eastAsia"/>
              </w:rPr>
              <w:t>4000</w:t>
            </w:r>
          </w:p>
        </w:tc>
        <w:tc>
          <w:tcPr>
            <w:tcW w:w="2813" w:type="dxa"/>
            <w:vAlign w:val="center"/>
          </w:tcPr>
          <w:p w14:paraId="5F6305C9">
            <w:pPr>
              <w:pStyle w:val="34"/>
            </w:pPr>
            <w:r>
              <w:rPr>
                <w:rFonts w:hint="eastAsia"/>
              </w:rPr>
              <w:t>38.41</w:t>
            </w:r>
          </w:p>
        </w:tc>
        <w:tc>
          <w:tcPr>
            <w:tcW w:w="3375" w:type="dxa"/>
            <w:vAlign w:val="center"/>
          </w:tcPr>
          <w:p w14:paraId="74E1CE94">
            <w:pPr>
              <w:pStyle w:val="34"/>
            </w:pPr>
            <w:r>
              <w:rPr>
                <w:rFonts w:hint="eastAsia"/>
              </w:rPr>
              <w:t>1.11</w:t>
            </w:r>
          </w:p>
        </w:tc>
      </w:tr>
      <w:tr w14:paraId="3F41B3D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9C36CF7">
            <w:pPr>
              <w:pStyle w:val="34"/>
            </w:pPr>
            <w:r>
              <w:rPr>
                <w:rFonts w:hint="eastAsia"/>
              </w:rPr>
              <w:t>5000</w:t>
            </w:r>
          </w:p>
        </w:tc>
        <w:tc>
          <w:tcPr>
            <w:tcW w:w="2813" w:type="dxa"/>
            <w:vAlign w:val="center"/>
          </w:tcPr>
          <w:p w14:paraId="3938148D">
            <w:pPr>
              <w:pStyle w:val="34"/>
            </w:pPr>
            <w:r>
              <w:rPr>
                <w:rFonts w:hint="eastAsia"/>
              </w:rPr>
              <w:t>47.58</w:t>
            </w:r>
          </w:p>
        </w:tc>
        <w:tc>
          <w:tcPr>
            <w:tcW w:w="3375" w:type="dxa"/>
            <w:vAlign w:val="center"/>
          </w:tcPr>
          <w:p w14:paraId="37793060">
            <w:pPr>
              <w:pStyle w:val="34"/>
            </w:pPr>
            <w:r>
              <w:rPr>
                <w:rFonts w:hint="eastAsia"/>
              </w:rPr>
              <w:t>0.83</w:t>
            </w:r>
          </w:p>
        </w:tc>
      </w:tr>
    </w:tbl>
    <w:p w14:paraId="569CCDDE">
      <w:pPr>
        <w:pStyle w:val="7"/>
      </w:pPr>
      <w:r>
        <w:rPr>
          <w:rFonts w:hint="eastAsia"/>
        </w:rPr>
        <w:t>大气敏感保护目标最大影响预测结果</w:t>
      </w:r>
    </w:p>
    <w:tbl>
      <w:tblPr>
        <w:tblStyle w:val="88"/>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99"/>
        <w:gridCol w:w="1392"/>
        <w:gridCol w:w="672"/>
        <w:gridCol w:w="777"/>
        <w:gridCol w:w="777"/>
        <w:gridCol w:w="880"/>
        <w:gridCol w:w="777"/>
        <w:gridCol w:w="777"/>
        <w:gridCol w:w="777"/>
      </w:tblGrid>
      <w:tr w14:paraId="63C22C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58928F2B">
            <w:pPr>
              <w:pStyle w:val="34"/>
            </w:pPr>
            <w:r>
              <w:t>名称</w:t>
            </w:r>
          </w:p>
        </w:tc>
        <w:tc>
          <w:tcPr>
            <w:tcW w:w="1392" w:type="dxa"/>
            <w:vAlign w:val="center"/>
          </w:tcPr>
          <w:p w14:paraId="098B5671">
            <w:pPr>
              <w:pStyle w:val="34"/>
            </w:pPr>
            <w:r>
              <w:t>最大浓度/时间(min)</w:t>
            </w:r>
          </w:p>
        </w:tc>
        <w:tc>
          <w:tcPr>
            <w:tcW w:w="672" w:type="dxa"/>
            <w:vAlign w:val="center"/>
          </w:tcPr>
          <w:p w14:paraId="417FDD28">
            <w:pPr>
              <w:pStyle w:val="34"/>
            </w:pPr>
            <w:r>
              <w:rPr>
                <w:rFonts w:hint="eastAsia"/>
              </w:rPr>
              <w:t>8</w:t>
            </w:r>
            <w:r>
              <w:t>min</w:t>
            </w:r>
          </w:p>
        </w:tc>
        <w:tc>
          <w:tcPr>
            <w:tcW w:w="777" w:type="dxa"/>
            <w:vAlign w:val="center"/>
          </w:tcPr>
          <w:p w14:paraId="61541288">
            <w:pPr>
              <w:pStyle w:val="34"/>
            </w:pPr>
            <w:r>
              <w:rPr>
                <w:rFonts w:hint="eastAsia"/>
              </w:rPr>
              <w:t>12</w:t>
            </w:r>
            <w:r>
              <w:t>min</w:t>
            </w:r>
          </w:p>
        </w:tc>
        <w:tc>
          <w:tcPr>
            <w:tcW w:w="777" w:type="dxa"/>
            <w:vAlign w:val="center"/>
          </w:tcPr>
          <w:p w14:paraId="7157E4CA">
            <w:pPr>
              <w:pStyle w:val="34"/>
            </w:pPr>
            <w:r>
              <w:rPr>
                <w:rFonts w:hint="eastAsia"/>
              </w:rPr>
              <w:t>20</w:t>
            </w:r>
            <w:r>
              <w:t>min</w:t>
            </w:r>
          </w:p>
        </w:tc>
        <w:tc>
          <w:tcPr>
            <w:tcW w:w="880" w:type="dxa"/>
            <w:vAlign w:val="center"/>
          </w:tcPr>
          <w:p w14:paraId="53F0FD1D">
            <w:pPr>
              <w:pStyle w:val="34"/>
            </w:pPr>
            <w:r>
              <w:rPr>
                <w:rFonts w:hint="eastAsia"/>
              </w:rPr>
              <w:t>30</w:t>
            </w:r>
            <w:r>
              <w:t>min</w:t>
            </w:r>
          </w:p>
        </w:tc>
        <w:tc>
          <w:tcPr>
            <w:tcW w:w="777" w:type="dxa"/>
            <w:vAlign w:val="center"/>
          </w:tcPr>
          <w:p w14:paraId="5F2B1262">
            <w:pPr>
              <w:pStyle w:val="34"/>
            </w:pPr>
            <w:r>
              <w:rPr>
                <w:rFonts w:hint="eastAsia"/>
              </w:rPr>
              <w:t>40</w:t>
            </w:r>
            <w:r>
              <w:t>min</w:t>
            </w:r>
          </w:p>
        </w:tc>
        <w:tc>
          <w:tcPr>
            <w:tcW w:w="777" w:type="dxa"/>
            <w:vAlign w:val="center"/>
          </w:tcPr>
          <w:p w14:paraId="126D1312">
            <w:pPr>
              <w:pStyle w:val="34"/>
            </w:pPr>
            <w:r>
              <w:rPr>
                <w:rFonts w:hint="eastAsia"/>
              </w:rPr>
              <w:t>44</w:t>
            </w:r>
            <w:r>
              <w:t>min</w:t>
            </w:r>
          </w:p>
        </w:tc>
        <w:tc>
          <w:tcPr>
            <w:tcW w:w="777" w:type="dxa"/>
            <w:vAlign w:val="center"/>
          </w:tcPr>
          <w:p w14:paraId="7D81485E">
            <w:pPr>
              <w:pStyle w:val="34"/>
            </w:pPr>
            <w:r>
              <w:rPr>
                <w:rFonts w:hint="eastAsia"/>
              </w:rPr>
              <w:t>50min</w:t>
            </w:r>
          </w:p>
        </w:tc>
      </w:tr>
      <w:tr w14:paraId="4E30CF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2B2453CC">
            <w:pPr>
              <w:pStyle w:val="34"/>
            </w:pPr>
            <w:r>
              <w:t>联检</w:t>
            </w:r>
            <w:r>
              <w:rPr>
                <w:rFonts w:hint="eastAsia"/>
              </w:rPr>
              <w:t>港务大厦</w:t>
            </w:r>
          </w:p>
        </w:tc>
        <w:tc>
          <w:tcPr>
            <w:tcW w:w="1392" w:type="dxa"/>
            <w:vAlign w:val="center"/>
          </w:tcPr>
          <w:p w14:paraId="2BAF701C">
            <w:pPr>
              <w:pStyle w:val="34"/>
            </w:pPr>
            <w:r>
              <w:rPr>
                <w:rFonts w:hint="eastAsia"/>
              </w:rPr>
              <w:t>8.27|8</w:t>
            </w:r>
          </w:p>
        </w:tc>
        <w:tc>
          <w:tcPr>
            <w:tcW w:w="672" w:type="dxa"/>
            <w:vAlign w:val="center"/>
          </w:tcPr>
          <w:p w14:paraId="046CA217">
            <w:pPr>
              <w:pStyle w:val="34"/>
            </w:pPr>
            <w:r>
              <w:rPr>
                <w:rFonts w:hint="eastAsia"/>
              </w:rPr>
              <w:t>8.27</w:t>
            </w:r>
          </w:p>
        </w:tc>
        <w:tc>
          <w:tcPr>
            <w:tcW w:w="777" w:type="dxa"/>
            <w:vAlign w:val="center"/>
          </w:tcPr>
          <w:p w14:paraId="5692FD82">
            <w:pPr>
              <w:pStyle w:val="34"/>
            </w:pPr>
            <w:r>
              <w:rPr>
                <w:rFonts w:hint="eastAsia"/>
              </w:rPr>
              <w:t>8.27</w:t>
            </w:r>
          </w:p>
        </w:tc>
        <w:tc>
          <w:tcPr>
            <w:tcW w:w="777" w:type="dxa"/>
            <w:vAlign w:val="center"/>
          </w:tcPr>
          <w:p w14:paraId="6014440F">
            <w:pPr>
              <w:pStyle w:val="34"/>
            </w:pPr>
            <w:r>
              <w:rPr>
                <w:rFonts w:hint="eastAsia"/>
              </w:rPr>
              <w:t>8.27</w:t>
            </w:r>
          </w:p>
        </w:tc>
        <w:tc>
          <w:tcPr>
            <w:tcW w:w="880" w:type="dxa"/>
            <w:vAlign w:val="center"/>
          </w:tcPr>
          <w:p w14:paraId="0483D981">
            <w:pPr>
              <w:pStyle w:val="34"/>
            </w:pPr>
            <w:r>
              <w:rPr>
                <w:rFonts w:hint="eastAsia"/>
              </w:rPr>
              <w:t>0</w:t>
            </w:r>
          </w:p>
        </w:tc>
        <w:tc>
          <w:tcPr>
            <w:tcW w:w="777" w:type="dxa"/>
            <w:vAlign w:val="center"/>
          </w:tcPr>
          <w:p w14:paraId="513BEC79">
            <w:pPr>
              <w:pStyle w:val="34"/>
            </w:pPr>
            <w:r>
              <w:rPr>
                <w:rFonts w:hint="eastAsia"/>
              </w:rPr>
              <w:t>0</w:t>
            </w:r>
          </w:p>
        </w:tc>
        <w:tc>
          <w:tcPr>
            <w:tcW w:w="777" w:type="dxa"/>
            <w:vAlign w:val="center"/>
          </w:tcPr>
          <w:p w14:paraId="02EBCA28">
            <w:pPr>
              <w:pStyle w:val="34"/>
            </w:pPr>
            <w:r>
              <w:rPr>
                <w:rFonts w:hint="eastAsia"/>
              </w:rPr>
              <w:t>0</w:t>
            </w:r>
          </w:p>
        </w:tc>
        <w:tc>
          <w:tcPr>
            <w:tcW w:w="777" w:type="dxa"/>
            <w:vAlign w:val="center"/>
          </w:tcPr>
          <w:p w14:paraId="2AB71F19">
            <w:pPr>
              <w:pStyle w:val="34"/>
            </w:pPr>
            <w:r>
              <w:rPr>
                <w:rFonts w:hint="eastAsia"/>
              </w:rPr>
              <w:t>0</w:t>
            </w:r>
          </w:p>
        </w:tc>
      </w:tr>
      <w:tr w14:paraId="7FA539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418C0B44">
            <w:pPr>
              <w:pStyle w:val="34"/>
            </w:pPr>
            <w:r>
              <w:rPr>
                <w:rFonts w:hint="eastAsia"/>
              </w:rPr>
              <w:t>保税港管委会</w:t>
            </w:r>
          </w:p>
        </w:tc>
        <w:tc>
          <w:tcPr>
            <w:tcW w:w="1392" w:type="dxa"/>
            <w:vAlign w:val="center"/>
          </w:tcPr>
          <w:p w14:paraId="349905F2">
            <w:pPr>
              <w:pStyle w:val="34"/>
            </w:pPr>
            <w:r>
              <w:rPr>
                <w:rFonts w:hint="eastAsia"/>
              </w:rPr>
              <w:t>4.20|12</w:t>
            </w:r>
          </w:p>
        </w:tc>
        <w:tc>
          <w:tcPr>
            <w:tcW w:w="672" w:type="dxa"/>
            <w:vAlign w:val="center"/>
          </w:tcPr>
          <w:p w14:paraId="6D85F160">
            <w:pPr>
              <w:pStyle w:val="34"/>
            </w:pPr>
            <w:r>
              <w:rPr>
                <w:rFonts w:hint="eastAsia"/>
              </w:rPr>
              <w:t>0</w:t>
            </w:r>
          </w:p>
        </w:tc>
        <w:tc>
          <w:tcPr>
            <w:tcW w:w="777" w:type="dxa"/>
            <w:vAlign w:val="center"/>
          </w:tcPr>
          <w:p w14:paraId="4689CF42">
            <w:pPr>
              <w:pStyle w:val="34"/>
            </w:pPr>
            <w:r>
              <w:rPr>
                <w:rFonts w:hint="eastAsia"/>
              </w:rPr>
              <w:t>4.20</w:t>
            </w:r>
          </w:p>
        </w:tc>
        <w:tc>
          <w:tcPr>
            <w:tcW w:w="777" w:type="dxa"/>
            <w:vAlign w:val="center"/>
          </w:tcPr>
          <w:p w14:paraId="2FE0F9A9">
            <w:pPr>
              <w:pStyle w:val="34"/>
            </w:pPr>
            <w:r>
              <w:rPr>
                <w:rFonts w:hint="eastAsia"/>
              </w:rPr>
              <w:t>4.20</w:t>
            </w:r>
          </w:p>
        </w:tc>
        <w:tc>
          <w:tcPr>
            <w:tcW w:w="880" w:type="dxa"/>
            <w:vAlign w:val="center"/>
          </w:tcPr>
          <w:p w14:paraId="64D68456">
            <w:pPr>
              <w:pStyle w:val="34"/>
            </w:pPr>
            <w:r>
              <w:rPr>
                <w:rFonts w:hint="eastAsia"/>
              </w:rPr>
              <w:t>0</w:t>
            </w:r>
          </w:p>
        </w:tc>
        <w:tc>
          <w:tcPr>
            <w:tcW w:w="777" w:type="dxa"/>
            <w:vAlign w:val="center"/>
          </w:tcPr>
          <w:p w14:paraId="149FBD13">
            <w:pPr>
              <w:pStyle w:val="34"/>
            </w:pPr>
            <w:r>
              <w:rPr>
                <w:rFonts w:hint="eastAsia"/>
              </w:rPr>
              <w:t>0</w:t>
            </w:r>
          </w:p>
        </w:tc>
        <w:tc>
          <w:tcPr>
            <w:tcW w:w="777" w:type="dxa"/>
            <w:vAlign w:val="center"/>
          </w:tcPr>
          <w:p w14:paraId="4F252F9C">
            <w:pPr>
              <w:pStyle w:val="34"/>
            </w:pPr>
            <w:r>
              <w:rPr>
                <w:rFonts w:hint="eastAsia"/>
              </w:rPr>
              <w:t>0</w:t>
            </w:r>
          </w:p>
        </w:tc>
        <w:tc>
          <w:tcPr>
            <w:tcW w:w="777" w:type="dxa"/>
            <w:vAlign w:val="center"/>
          </w:tcPr>
          <w:p w14:paraId="60A045DE">
            <w:pPr>
              <w:pStyle w:val="34"/>
            </w:pPr>
            <w:r>
              <w:rPr>
                <w:rFonts w:hint="eastAsia"/>
              </w:rPr>
              <w:t>0</w:t>
            </w:r>
          </w:p>
        </w:tc>
      </w:tr>
      <w:tr w14:paraId="189D3F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0099EEE3">
            <w:pPr>
              <w:pStyle w:val="34"/>
            </w:pPr>
            <w:r>
              <w:rPr>
                <w:rFonts w:hint="eastAsia"/>
              </w:rPr>
              <w:t>保税港区生活区</w:t>
            </w:r>
            <w:r>
              <w:t>大楼</w:t>
            </w:r>
          </w:p>
        </w:tc>
        <w:tc>
          <w:tcPr>
            <w:tcW w:w="1392" w:type="dxa"/>
            <w:vAlign w:val="center"/>
          </w:tcPr>
          <w:p w14:paraId="2C6E228E">
            <w:pPr>
              <w:pStyle w:val="34"/>
            </w:pPr>
            <w:r>
              <w:rPr>
                <w:rFonts w:hint="eastAsia"/>
              </w:rPr>
              <w:t>2.91|18</w:t>
            </w:r>
          </w:p>
        </w:tc>
        <w:tc>
          <w:tcPr>
            <w:tcW w:w="672" w:type="dxa"/>
            <w:vAlign w:val="center"/>
          </w:tcPr>
          <w:p w14:paraId="18305BE2">
            <w:pPr>
              <w:pStyle w:val="34"/>
            </w:pPr>
            <w:r>
              <w:rPr>
                <w:rFonts w:hint="eastAsia"/>
              </w:rPr>
              <w:t>0</w:t>
            </w:r>
          </w:p>
        </w:tc>
        <w:tc>
          <w:tcPr>
            <w:tcW w:w="777" w:type="dxa"/>
            <w:vAlign w:val="center"/>
          </w:tcPr>
          <w:p w14:paraId="1241B838">
            <w:pPr>
              <w:pStyle w:val="34"/>
            </w:pPr>
            <w:r>
              <w:rPr>
                <w:rFonts w:hint="eastAsia"/>
              </w:rPr>
              <w:t>0</w:t>
            </w:r>
          </w:p>
        </w:tc>
        <w:tc>
          <w:tcPr>
            <w:tcW w:w="777" w:type="dxa"/>
            <w:vAlign w:val="center"/>
          </w:tcPr>
          <w:p w14:paraId="7E4506A2">
            <w:pPr>
              <w:pStyle w:val="34"/>
            </w:pPr>
            <w:r>
              <w:rPr>
                <w:rFonts w:hint="eastAsia"/>
              </w:rPr>
              <w:t>2.91</w:t>
            </w:r>
          </w:p>
        </w:tc>
        <w:tc>
          <w:tcPr>
            <w:tcW w:w="880" w:type="dxa"/>
            <w:vAlign w:val="center"/>
          </w:tcPr>
          <w:p w14:paraId="391C6595">
            <w:pPr>
              <w:pStyle w:val="34"/>
            </w:pPr>
            <w:r>
              <w:rPr>
                <w:rFonts w:hint="eastAsia"/>
              </w:rPr>
              <w:t>2.89</w:t>
            </w:r>
          </w:p>
        </w:tc>
        <w:tc>
          <w:tcPr>
            <w:tcW w:w="777" w:type="dxa"/>
            <w:vAlign w:val="center"/>
          </w:tcPr>
          <w:p w14:paraId="1171D694">
            <w:pPr>
              <w:pStyle w:val="34"/>
            </w:pPr>
            <w:r>
              <w:rPr>
                <w:rFonts w:hint="eastAsia"/>
              </w:rPr>
              <w:t>0</w:t>
            </w:r>
          </w:p>
        </w:tc>
        <w:tc>
          <w:tcPr>
            <w:tcW w:w="777" w:type="dxa"/>
            <w:vAlign w:val="center"/>
          </w:tcPr>
          <w:p w14:paraId="5741B040">
            <w:pPr>
              <w:pStyle w:val="34"/>
            </w:pPr>
            <w:r>
              <w:rPr>
                <w:rFonts w:hint="eastAsia"/>
              </w:rPr>
              <w:t>0</w:t>
            </w:r>
          </w:p>
        </w:tc>
        <w:tc>
          <w:tcPr>
            <w:tcW w:w="777" w:type="dxa"/>
            <w:vAlign w:val="center"/>
          </w:tcPr>
          <w:p w14:paraId="0E1361D7">
            <w:pPr>
              <w:pStyle w:val="34"/>
            </w:pPr>
            <w:r>
              <w:rPr>
                <w:rFonts w:hint="eastAsia"/>
              </w:rPr>
              <w:t>0</w:t>
            </w:r>
          </w:p>
        </w:tc>
      </w:tr>
    </w:tbl>
    <w:p w14:paraId="36D660E6">
      <w:pPr>
        <w:pStyle w:val="7"/>
      </w:pPr>
      <w:r>
        <w:rPr>
          <w:rFonts w:hint="eastAsia"/>
        </w:rPr>
        <w:t>二氧化硫泄漏超出阈值的范围</w:t>
      </w:r>
    </w:p>
    <w:tbl>
      <w:tblPr>
        <w:tblStyle w:val="88"/>
        <w:tblW w:w="8528"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3228"/>
        <w:gridCol w:w="2702"/>
        <w:gridCol w:w="2598"/>
      </w:tblGrid>
      <w:tr w14:paraId="5CB726C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5950184B">
            <w:pPr>
              <w:pStyle w:val="34"/>
            </w:pPr>
            <w:r>
              <w:t>超过大气毒性终点浓度-1</w:t>
            </w:r>
          </w:p>
        </w:tc>
        <w:tc>
          <w:tcPr>
            <w:tcW w:w="2702" w:type="dxa"/>
            <w:vAlign w:val="center"/>
          </w:tcPr>
          <w:p w14:paraId="70C0CCAF">
            <w:pPr>
              <w:pStyle w:val="34"/>
            </w:pPr>
            <w:r>
              <w:t>阈值（mg/m3）</w:t>
            </w:r>
          </w:p>
        </w:tc>
        <w:tc>
          <w:tcPr>
            <w:tcW w:w="2598" w:type="dxa"/>
            <w:vAlign w:val="center"/>
          </w:tcPr>
          <w:p w14:paraId="2F7954CE">
            <w:pPr>
              <w:pStyle w:val="34"/>
            </w:pPr>
            <w:r>
              <w:rPr>
                <w:rFonts w:hint="eastAsia"/>
              </w:rPr>
              <w:t>79</w:t>
            </w:r>
          </w:p>
        </w:tc>
      </w:tr>
      <w:tr w14:paraId="2003AB1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79583048">
            <w:pPr>
              <w:pStyle w:val="34"/>
            </w:pPr>
          </w:p>
        </w:tc>
        <w:tc>
          <w:tcPr>
            <w:tcW w:w="2702" w:type="dxa"/>
            <w:vAlign w:val="center"/>
          </w:tcPr>
          <w:p w14:paraId="474121A2">
            <w:pPr>
              <w:pStyle w:val="34"/>
            </w:pPr>
            <w:r>
              <w:t>最大半宽（m）</w:t>
            </w:r>
          </w:p>
        </w:tc>
        <w:tc>
          <w:tcPr>
            <w:tcW w:w="2598" w:type="dxa"/>
            <w:vAlign w:val="center"/>
          </w:tcPr>
          <w:p w14:paraId="28B417D9">
            <w:pPr>
              <w:pStyle w:val="34"/>
            </w:pPr>
            <w:r>
              <w:rPr>
                <w:rFonts w:hint="eastAsia"/>
              </w:rPr>
              <w:t>6</w:t>
            </w:r>
          </w:p>
        </w:tc>
      </w:tr>
      <w:tr w14:paraId="620F0B2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47C64660">
            <w:pPr>
              <w:pStyle w:val="34"/>
            </w:pPr>
          </w:p>
        </w:tc>
        <w:tc>
          <w:tcPr>
            <w:tcW w:w="2702" w:type="dxa"/>
            <w:vAlign w:val="center"/>
          </w:tcPr>
          <w:p w14:paraId="1C86A83E">
            <w:pPr>
              <w:pStyle w:val="34"/>
            </w:pPr>
            <w:r>
              <w:t>影响范围（m）</w:t>
            </w:r>
          </w:p>
        </w:tc>
        <w:tc>
          <w:tcPr>
            <w:tcW w:w="2598" w:type="dxa"/>
            <w:vAlign w:val="center"/>
          </w:tcPr>
          <w:p w14:paraId="74F1246B">
            <w:pPr>
              <w:pStyle w:val="34"/>
            </w:pPr>
            <w:r>
              <w:rPr>
                <w:rFonts w:hint="eastAsia"/>
              </w:rPr>
              <w:t>160</w:t>
            </w:r>
          </w:p>
        </w:tc>
      </w:tr>
      <w:tr w14:paraId="071A5EC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762C327B">
            <w:pPr>
              <w:pStyle w:val="34"/>
            </w:pPr>
            <w:r>
              <w:t>超过大气毒性终点浓度-2</w:t>
            </w:r>
          </w:p>
        </w:tc>
        <w:tc>
          <w:tcPr>
            <w:tcW w:w="2702" w:type="dxa"/>
            <w:vAlign w:val="center"/>
          </w:tcPr>
          <w:p w14:paraId="18998BED">
            <w:pPr>
              <w:pStyle w:val="34"/>
            </w:pPr>
            <w:r>
              <w:t>阈值（mg/m3）</w:t>
            </w:r>
          </w:p>
        </w:tc>
        <w:tc>
          <w:tcPr>
            <w:tcW w:w="2598" w:type="dxa"/>
            <w:vAlign w:val="center"/>
          </w:tcPr>
          <w:p w14:paraId="5599C4A9">
            <w:pPr>
              <w:pStyle w:val="34"/>
            </w:pPr>
            <w:r>
              <w:rPr>
                <w:rFonts w:hint="eastAsia"/>
              </w:rPr>
              <w:t>2</w:t>
            </w:r>
          </w:p>
        </w:tc>
      </w:tr>
      <w:tr w14:paraId="14C1118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19B230BD">
            <w:pPr>
              <w:pStyle w:val="34"/>
            </w:pPr>
          </w:p>
        </w:tc>
        <w:tc>
          <w:tcPr>
            <w:tcW w:w="2702" w:type="dxa"/>
            <w:vAlign w:val="center"/>
          </w:tcPr>
          <w:p w14:paraId="64048A97">
            <w:pPr>
              <w:pStyle w:val="34"/>
            </w:pPr>
            <w:r>
              <w:t>最大半宽（m）</w:t>
            </w:r>
          </w:p>
        </w:tc>
        <w:tc>
          <w:tcPr>
            <w:tcW w:w="2598" w:type="dxa"/>
            <w:vAlign w:val="center"/>
          </w:tcPr>
          <w:p w14:paraId="1D45AB15">
            <w:pPr>
              <w:pStyle w:val="34"/>
            </w:pPr>
            <w:r>
              <w:rPr>
                <w:rFonts w:hint="eastAsia"/>
              </w:rPr>
              <w:t>50</w:t>
            </w:r>
          </w:p>
        </w:tc>
      </w:tr>
      <w:tr w14:paraId="158EEBD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4DC969A3">
            <w:pPr>
              <w:pStyle w:val="34"/>
            </w:pPr>
          </w:p>
        </w:tc>
        <w:tc>
          <w:tcPr>
            <w:tcW w:w="2702" w:type="dxa"/>
            <w:vAlign w:val="center"/>
          </w:tcPr>
          <w:p w14:paraId="42E68202">
            <w:pPr>
              <w:pStyle w:val="34"/>
            </w:pPr>
            <w:r>
              <w:t>影响范围（m）</w:t>
            </w:r>
          </w:p>
        </w:tc>
        <w:tc>
          <w:tcPr>
            <w:tcW w:w="2598" w:type="dxa"/>
            <w:vAlign w:val="center"/>
          </w:tcPr>
          <w:p w14:paraId="201660DE">
            <w:pPr>
              <w:pStyle w:val="34"/>
            </w:pPr>
            <w:r>
              <w:rPr>
                <w:rFonts w:hint="eastAsia"/>
              </w:rPr>
              <w:t>3870</w:t>
            </w:r>
          </w:p>
        </w:tc>
      </w:tr>
    </w:tbl>
    <w:p w14:paraId="26FA1349">
      <w:pPr>
        <w:ind w:firstLine="0" w:firstLineChars="0"/>
      </w:pPr>
      <w:r>
        <w:drawing>
          <wp:inline distT="0" distB="0" distL="0" distR="0">
            <wp:extent cx="5278120" cy="4077970"/>
            <wp:effectExtent l="0" t="0" r="0" b="0"/>
            <wp:docPr id="593315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15101" name="图片 1"/>
                    <pic:cNvPicPr>
                      <a:picLocks noChangeAspect="1"/>
                    </pic:cNvPicPr>
                  </pic:nvPicPr>
                  <pic:blipFill>
                    <a:blip r:embed="rId148"/>
                    <a:stretch>
                      <a:fillRect/>
                    </a:stretch>
                  </pic:blipFill>
                  <pic:spPr>
                    <a:xfrm>
                      <a:off x="0" y="0"/>
                      <a:ext cx="5278120" cy="4077970"/>
                    </a:xfrm>
                    <a:prstGeom prst="rect">
                      <a:avLst/>
                    </a:prstGeom>
                  </pic:spPr>
                </pic:pic>
              </a:graphicData>
            </a:graphic>
          </wp:inline>
        </w:drawing>
      </w:r>
    </w:p>
    <w:p w14:paraId="3B513F8D">
      <w:pPr>
        <w:pStyle w:val="8"/>
        <w:ind w:firstLine="480"/>
      </w:pPr>
      <w:r>
        <w:rPr>
          <w:rFonts w:hint="eastAsia"/>
        </w:rPr>
        <w:t>二氧化硫二次污染物最大影响区域图</w:t>
      </w:r>
    </w:p>
    <w:p w14:paraId="6096D98D">
      <w:pPr>
        <w:ind w:firstLine="437"/>
      </w:pPr>
      <w:r>
        <w:rPr>
          <w:rFonts w:hint="eastAsia"/>
        </w:rPr>
        <w:t>二、黄磷火灾二次污染物影响分析</w:t>
      </w:r>
    </w:p>
    <w:p w14:paraId="1624E2DF">
      <w:pPr>
        <w:ind w:firstLine="437"/>
      </w:pPr>
      <w:r>
        <w:rPr>
          <w:rFonts w:hint="eastAsia"/>
        </w:rPr>
        <w:t>1、预测模型筛选</w:t>
      </w:r>
    </w:p>
    <w:p w14:paraId="20204707">
      <w:pPr>
        <w:ind w:firstLine="437"/>
      </w:pPr>
      <w:r>
        <w:rPr>
          <w:rFonts w:hint="eastAsia"/>
        </w:rPr>
        <w:t>输入源强参数后，计算得到理查德森数Ri＜1/6，为轻质气体。扩散计算建议采用AFTOX模式。</w:t>
      </w:r>
    </w:p>
    <w:p w14:paraId="11518BFF">
      <w:pPr>
        <w:ind w:firstLine="437"/>
      </w:pPr>
      <w:r>
        <w:rPr>
          <w:rFonts w:hint="eastAsia"/>
        </w:rPr>
        <w:t>2</w:t>
      </w:r>
      <w:r>
        <w:t>、预测结果</w:t>
      </w:r>
    </w:p>
    <w:p w14:paraId="00746ED0">
      <w:pPr>
        <w:ind w:firstLine="437"/>
      </w:pPr>
      <w:r>
        <w:rPr>
          <w:rFonts w:hint="eastAsia"/>
        </w:rPr>
        <w:t>①</w:t>
      </w:r>
      <w:r>
        <w:t>预测参数</w:t>
      </w:r>
    </w:p>
    <w:p w14:paraId="0DCBC562">
      <w:pPr>
        <w:pStyle w:val="7"/>
      </w:pPr>
      <w:r>
        <w:rPr>
          <w:rFonts w:hint="eastAsia"/>
        </w:rPr>
        <w:t>黄磷火灾二次污染物P</w:t>
      </w:r>
      <w:r>
        <w:rPr>
          <w:rFonts w:hint="eastAsia"/>
          <w:vertAlign w:val="subscript"/>
        </w:rPr>
        <w:t>2</w:t>
      </w:r>
      <w:r>
        <w:rPr>
          <w:rFonts w:hint="eastAsia"/>
        </w:rPr>
        <w:t>O</w:t>
      </w:r>
      <w:r>
        <w:rPr>
          <w:rFonts w:hint="eastAsia"/>
          <w:vertAlign w:val="subscript"/>
        </w:rPr>
        <w:t>5</w:t>
      </w:r>
      <w:r>
        <w:t>大气风险预测模型主要参数表</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60"/>
        <w:gridCol w:w="2384"/>
        <w:gridCol w:w="4684"/>
      </w:tblGrid>
      <w:tr w14:paraId="329B7C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460" w:type="dxa"/>
            <w:vAlign w:val="center"/>
          </w:tcPr>
          <w:p w14:paraId="5D5FED55">
            <w:pPr>
              <w:pStyle w:val="34"/>
            </w:pPr>
            <w:r>
              <w:t>参数类型</w:t>
            </w:r>
          </w:p>
        </w:tc>
        <w:tc>
          <w:tcPr>
            <w:tcW w:w="2384" w:type="dxa"/>
            <w:vAlign w:val="center"/>
          </w:tcPr>
          <w:p w14:paraId="4420CC14">
            <w:pPr>
              <w:pStyle w:val="34"/>
            </w:pPr>
            <w:r>
              <w:t>选项</w:t>
            </w:r>
          </w:p>
        </w:tc>
        <w:tc>
          <w:tcPr>
            <w:tcW w:w="4684" w:type="dxa"/>
            <w:vAlign w:val="center"/>
          </w:tcPr>
          <w:p w14:paraId="3941F687">
            <w:pPr>
              <w:pStyle w:val="34"/>
            </w:pPr>
            <w:r>
              <w:t>参数</w:t>
            </w:r>
          </w:p>
        </w:tc>
      </w:tr>
      <w:tr w14:paraId="225CAA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11F1CA00">
            <w:pPr>
              <w:pStyle w:val="34"/>
            </w:pPr>
            <w:r>
              <w:t>基本情况</w:t>
            </w:r>
          </w:p>
        </w:tc>
        <w:tc>
          <w:tcPr>
            <w:tcW w:w="2384" w:type="dxa"/>
            <w:vAlign w:val="center"/>
          </w:tcPr>
          <w:p w14:paraId="03DF10FC">
            <w:pPr>
              <w:pStyle w:val="34"/>
            </w:pPr>
            <w:r>
              <w:t>事故源经度/（°）</w:t>
            </w:r>
          </w:p>
        </w:tc>
        <w:tc>
          <w:tcPr>
            <w:tcW w:w="4684" w:type="dxa"/>
          </w:tcPr>
          <w:p w14:paraId="1F9B42C1">
            <w:pPr>
              <w:pStyle w:val="34"/>
            </w:pPr>
            <w:r>
              <w:t>108.6</w:t>
            </w:r>
            <w:r>
              <w:rPr>
                <w:rFonts w:hint="eastAsia"/>
              </w:rPr>
              <w:t>57</w:t>
            </w:r>
          </w:p>
        </w:tc>
      </w:tr>
      <w:tr w14:paraId="559437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57FB2AD1">
            <w:pPr>
              <w:pStyle w:val="34"/>
            </w:pPr>
          </w:p>
        </w:tc>
        <w:tc>
          <w:tcPr>
            <w:tcW w:w="2384" w:type="dxa"/>
            <w:vAlign w:val="center"/>
          </w:tcPr>
          <w:p w14:paraId="59A67329">
            <w:pPr>
              <w:pStyle w:val="34"/>
            </w:pPr>
            <w:r>
              <w:t>事故源纬度/（°）</w:t>
            </w:r>
          </w:p>
        </w:tc>
        <w:tc>
          <w:tcPr>
            <w:tcW w:w="4684" w:type="dxa"/>
          </w:tcPr>
          <w:p w14:paraId="619CC090">
            <w:pPr>
              <w:pStyle w:val="34"/>
            </w:pPr>
            <w:r>
              <w:t>21.66</w:t>
            </w:r>
            <w:r>
              <w:rPr>
                <w:rFonts w:hint="eastAsia"/>
              </w:rPr>
              <w:t>3</w:t>
            </w:r>
          </w:p>
        </w:tc>
      </w:tr>
      <w:tr w14:paraId="7AED0B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32310F07">
            <w:pPr>
              <w:pStyle w:val="34"/>
            </w:pPr>
          </w:p>
        </w:tc>
        <w:tc>
          <w:tcPr>
            <w:tcW w:w="2384" w:type="dxa"/>
            <w:vAlign w:val="center"/>
          </w:tcPr>
          <w:p w14:paraId="1F1A5A49">
            <w:pPr>
              <w:pStyle w:val="34"/>
            </w:pPr>
            <w:r>
              <w:t>事故源类型</w:t>
            </w:r>
          </w:p>
        </w:tc>
        <w:tc>
          <w:tcPr>
            <w:tcW w:w="4684" w:type="dxa"/>
            <w:vAlign w:val="center"/>
          </w:tcPr>
          <w:p w14:paraId="510654B9">
            <w:pPr>
              <w:pStyle w:val="34"/>
            </w:pPr>
            <w:r>
              <w:rPr>
                <w:rFonts w:hint="eastAsia"/>
              </w:rPr>
              <w:t>火灾</w:t>
            </w:r>
          </w:p>
        </w:tc>
      </w:tr>
      <w:tr w14:paraId="6AEB44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72DF4CF2">
            <w:pPr>
              <w:pStyle w:val="34"/>
            </w:pPr>
            <w:r>
              <w:t>气象参数</w:t>
            </w:r>
          </w:p>
        </w:tc>
        <w:tc>
          <w:tcPr>
            <w:tcW w:w="2384" w:type="dxa"/>
            <w:vAlign w:val="center"/>
          </w:tcPr>
          <w:p w14:paraId="7B97CE21">
            <w:pPr>
              <w:pStyle w:val="34"/>
            </w:pPr>
            <w:r>
              <w:t>气象条件类型</w:t>
            </w:r>
          </w:p>
        </w:tc>
        <w:tc>
          <w:tcPr>
            <w:tcW w:w="4684" w:type="dxa"/>
            <w:vAlign w:val="center"/>
          </w:tcPr>
          <w:p w14:paraId="09CBCFB0">
            <w:pPr>
              <w:pStyle w:val="34"/>
            </w:pPr>
            <w:r>
              <w:t>最不利气象条件</w:t>
            </w:r>
          </w:p>
        </w:tc>
      </w:tr>
      <w:tr w14:paraId="437614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5EB42548">
            <w:pPr>
              <w:pStyle w:val="34"/>
            </w:pPr>
          </w:p>
        </w:tc>
        <w:tc>
          <w:tcPr>
            <w:tcW w:w="2384" w:type="dxa"/>
            <w:vAlign w:val="center"/>
          </w:tcPr>
          <w:p w14:paraId="40072AE0">
            <w:pPr>
              <w:pStyle w:val="34"/>
            </w:pPr>
            <w:r>
              <w:t>风速/（m/s）</w:t>
            </w:r>
          </w:p>
        </w:tc>
        <w:tc>
          <w:tcPr>
            <w:tcW w:w="4684" w:type="dxa"/>
            <w:vAlign w:val="center"/>
          </w:tcPr>
          <w:p w14:paraId="6E04A68B">
            <w:pPr>
              <w:pStyle w:val="34"/>
            </w:pPr>
            <w:r>
              <w:t>1.5</w:t>
            </w:r>
          </w:p>
        </w:tc>
      </w:tr>
      <w:tr w14:paraId="3105C2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3F057DE">
            <w:pPr>
              <w:pStyle w:val="34"/>
            </w:pPr>
          </w:p>
        </w:tc>
        <w:tc>
          <w:tcPr>
            <w:tcW w:w="2384" w:type="dxa"/>
            <w:vAlign w:val="center"/>
          </w:tcPr>
          <w:p w14:paraId="5667937F">
            <w:pPr>
              <w:pStyle w:val="34"/>
            </w:pPr>
            <w:r>
              <w:t>环境温度/</w:t>
            </w:r>
            <w:r>
              <w:rPr>
                <w:rFonts w:hint="eastAsia"/>
              </w:rPr>
              <w:t>℃</w:t>
            </w:r>
          </w:p>
        </w:tc>
        <w:tc>
          <w:tcPr>
            <w:tcW w:w="4684" w:type="dxa"/>
            <w:vAlign w:val="center"/>
          </w:tcPr>
          <w:p w14:paraId="5E9263A6">
            <w:pPr>
              <w:pStyle w:val="34"/>
            </w:pPr>
            <w:r>
              <w:t>25</w:t>
            </w:r>
          </w:p>
        </w:tc>
      </w:tr>
      <w:tr w14:paraId="1A8227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4501AC3D">
            <w:pPr>
              <w:pStyle w:val="34"/>
            </w:pPr>
          </w:p>
        </w:tc>
        <w:tc>
          <w:tcPr>
            <w:tcW w:w="2384" w:type="dxa"/>
            <w:vAlign w:val="center"/>
          </w:tcPr>
          <w:p w14:paraId="6C3980AA">
            <w:pPr>
              <w:pStyle w:val="34"/>
            </w:pPr>
            <w:r>
              <w:t>相对湿度/%</w:t>
            </w:r>
          </w:p>
        </w:tc>
        <w:tc>
          <w:tcPr>
            <w:tcW w:w="4684" w:type="dxa"/>
            <w:vAlign w:val="center"/>
          </w:tcPr>
          <w:p w14:paraId="7509F829">
            <w:pPr>
              <w:pStyle w:val="34"/>
            </w:pPr>
            <w:r>
              <w:t>50</w:t>
            </w:r>
          </w:p>
        </w:tc>
      </w:tr>
      <w:tr w14:paraId="26B3E7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0E275F98">
            <w:pPr>
              <w:pStyle w:val="34"/>
            </w:pPr>
          </w:p>
        </w:tc>
        <w:tc>
          <w:tcPr>
            <w:tcW w:w="2384" w:type="dxa"/>
            <w:vAlign w:val="center"/>
          </w:tcPr>
          <w:p w14:paraId="178B124D">
            <w:pPr>
              <w:pStyle w:val="34"/>
            </w:pPr>
            <w:r>
              <w:t>稳定度</w:t>
            </w:r>
          </w:p>
        </w:tc>
        <w:tc>
          <w:tcPr>
            <w:tcW w:w="4684" w:type="dxa"/>
            <w:vAlign w:val="center"/>
          </w:tcPr>
          <w:p w14:paraId="4D49E3C5">
            <w:pPr>
              <w:pStyle w:val="34"/>
            </w:pPr>
            <w:r>
              <w:t>F</w:t>
            </w:r>
          </w:p>
        </w:tc>
      </w:tr>
      <w:tr w14:paraId="434AD9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5EC767D6">
            <w:pPr>
              <w:pStyle w:val="34"/>
            </w:pPr>
            <w:r>
              <w:t>其他参数</w:t>
            </w:r>
          </w:p>
        </w:tc>
        <w:tc>
          <w:tcPr>
            <w:tcW w:w="2384" w:type="dxa"/>
            <w:vAlign w:val="center"/>
          </w:tcPr>
          <w:p w14:paraId="22E7657E">
            <w:pPr>
              <w:pStyle w:val="34"/>
            </w:pPr>
            <w:r>
              <w:t>地表粗糙度/</w:t>
            </w:r>
            <w:r>
              <w:rPr>
                <w:rFonts w:hint="eastAsia"/>
              </w:rPr>
              <w:t>m</w:t>
            </w:r>
          </w:p>
        </w:tc>
        <w:tc>
          <w:tcPr>
            <w:tcW w:w="4684" w:type="dxa"/>
            <w:vAlign w:val="center"/>
          </w:tcPr>
          <w:p w14:paraId="222D6A11">
            <w:pPr>
              <w:pStyle w:val="34"/>
            </w:pPr>
            <w:r>
              <w:rPr>
                <w:rFonts w:hint="eastAsia"/>
              </w:rPr>
              <w:t>0.03</w:t>
            </w:r>
          </w:p>
        </w:tc>
      </w:tr>
      <w:tr w14:paraId="6F4DEB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3" w:hRule="atLeast"/>
        </w:trPr>
        <w:tc>
          <w:tcPr>
            <w:tcW w:w="1460" w:type="dxa"/>
            <w:vMerge w:val="continue"/>
            <w:vAlign w:val="center"/>
          </w:tcPr>
          <w:p w14:paraId="2977ACDD">
            <w:pPr>
              <w:pStyle w:val="34"/>
            </w:pPr>
          </w:p>
        </w:tc>
        <w:tc>
          <w:tcPr>
            <w:tcW w:w="2384" w:type="dxa"/>
            <w:vAlign w:val="center"/>
          </w:tcPr>
          <w:p w14:paraId="6F2F5BC5">
            <w:pPr>
              <w:pStyle w:val="34"/>
            </w:pPr>
            <w:r>
              <w:t>是否考虑地形</w:t>
            </w:r>
          </w:p>
        </w:tc>
        <w:tc>
          <w:tcPr>
            <w:tcW w:w="4684" w:type="dxa"/>
            <w:vAlign w:val="center"/>
          </w:tcPr>
          <w:p w14:paraId="06E08B55">
            <w:pPr>
              <w:pStyle w:val="34"/>
            </w:pPr>
            <w:r>
              <w:rPr>
                <w:rFonts w:hint="eastAsia"/>
              </w:rPr>
              <w:t>否</w:t>
            </w:r>
          </w:p>
        </w:tc>
      </w:tr>
      <w:tr w14:paraId="2FB844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1B548E33">
            <w:pPr>
              <w:pStyle w:val="34"/>
            </w:pPr>
          </w:p>
        </w:tc>
        <w:tc>
          <w:tcPr>
            <w:tcW w:w="2384" w:type="dxa"/>
            <w:vAlign w:val="center"/>
          </w:tcPr>
          <w:p w14:paraId="15DFFBCB">
            <w:pPr>
              <w:pStyle w:val="34"/>
            </w:pPr>
            <w:r>
              <w:t>地形数据精度/m</w:t>
            </w:r>
          </w:p>
        </w:tc>
        <w:tc>
          <w:tcPr>
            <w:tcW w:w="4684" w:type="dxa"/>
            <w:vAlign w:val="center"/>
          </w:tcPr>
          <w:p w14:paraId="4CCB563D">
            <w:pPr>
              <w:pStyle w:val="34"/>
            </w:pPr>
            <w:r>
              <w:rPr>
                <w:rFonts w:hint="eastAsia"/>
              </w:rPr>
              <w:t>/</w:t>
            </w:r>
          </w:p>
        </w:tc>
      </w:tr>
    </w:tbl>
    <w:p w14:paraId="4B2A4EEE">
      <w:pPr>
        <w:ind w:firstLine="437"/>
      </w:pPr>
      <w:r>
        <w:rPr>
          <w:rFonts w:hint="eastAsia"/>
        </w:rPr>
        <w:t>②</w:t>
      </w:r>
      <w:r>
        <w:t>预测结果</w:t>
      </w:r>
    </w:p>
    <w:p w14:paraId="3122D069">
      <w:pPr>
        <w:ind w:firstLine="437"/>
      </w:pPr>
      <w:r>
        <w:t>由预测结果可知，在最不利气象条件（F类稳定度，1.5m/s风速，温度25</w:t>
      </w:r>
      <w:r>
        <w:rPr>
          <w:rFonts w:hint="eastAsia"/>
        </w:rPr>
        <w:t>℃</w:t>
      </w:r>
      <w:r>
        <w:t>，相对湿度50%）下，</w:t>
      </w:r>
      <w:r>
        <w:rPr>
          <w:rFonts w:hint="eastAsia"/>
        </w:rPr>
        <w:t>P</w:t>
      </w:r>
      <w:r>
        <w:rPr>
          <w:rFonts w:hint="eastAsia"/>
          <w:vertAlign w:val="subscript"/>
        </w:rPr>
        <w:t>2</w:t>
      </w:r>
      <w:r>
        <w:rPr>
          <w:rFonts w:hint="eastAsia"/>
        </w:rPr>
        <w:t>O</w:t>
      </w:r>
      <w:r>
        <w:rPr>
          <w:rFonts w:hint="eastAsia"/>
          <w:vertAlign w:val="subscript"/>
        </w:rPr>
        <w:t>5</w:t>
      </w:r>
      <w:r>
        <w:t>浓度</w:t>
      </w:r>
      <w:r>
        <w:rPr>
          <w:rFonts w:hint="eastAsia"/>
        </w:rPr>
        <w:t>达到</w:t>
      </w:r>
      <w:r>
        <w:t>大气毒性终点浓度-1（</w:t>
      </w:r>
      <w:r>
        <w:rPr>
          <w:rFonts w:hint="eastAsia"/>
        </w:rPr>
        <w:t>50mg/m</w:t>
      </w:r>
      <w:r>
        <w:rPr>
          <w:rFonts w:hint="eastAsia"/>
          <w:vertAlign w:val="superscript"/>
        </w:rPr>
        <w:t>3</w:t>
      </w:r>
      <w:r>
        <w:t>）</w:t>
      </w:r>
      <w:r>
        <w:rPr>
          <w:rFonts w:hint="eastAsia"/>
        </w:rPr>
        <w:t>对应的距离为下风向940m，</w:t>
      </w:r>
      <w:r>
        <w:t>达到大气毒性终点浓度-2（</w:t>
      </w:r>
      <w:r>
        <w:rPr>
          <w:rFonts w:hint="eastAsia"/>
        </w:rPr>
        <w:t>10mg/m</w:t>
      </w:r>
      <w:r>
        <w:rPr>
          <w:rFonts w:hint="eastAsia"/>
          <w:vertAlign w:val="superscript"/>
        </w:rPr>
        <w:t>3</w:t>
      </w:r>
      <w:r>
        <w:t>）</w:t>
      </w:r>
      <w:r>
        <w:rPr>
          <w:rFonts w:hint="eastAsia"/>
        </w:rPr>
        <w:t>对应的距离为下风向2860m。</w:t>
      </w:r>
      <w:r>
        <w:t>事故发生后，预测</w:t>
      </w:r>
      <w:r>
        <w:rPr>
          <w:rFonts w:hint="eastAsia"/>
        </w:rPr>
        <w:t>敏感点联检大楼</w:t>
      </w:r>
      <w:r>
        <w:rPr>
          <w:bCs/>
        </w:rPr>
        <w:t>P</w:t>
      </w:r>
      <w:r>
        <w:rPr>
          <w:bCs/>
          <w:vertAlign w:val="subscript"/>
        </w:rPr>
        <w:t>2</w:t>
      </w:r>
      <w:r>
        <w:rPr>
          <w:bCs/>
        </w:rPr>
        <w:t>O</w:t>
      </w:r>
      <w:r>
        <w:rPr>
          <w:bCs/>
          <w:vertAlign w:val="subscript"/>
        </w:rPr>
        <w:t>5</w:t>
      </w:r>
      <w:r>
        <w:rPr>
          <w:bCs/>
        </w:rPr>
        <w:t>最大落地浓度</w:t>
      </w:r>
      <w:r>
        <w:rPr>
          <w:rFonts w:hint="eastAsia"/>
        </w:rPr>
        <w:t>超出</w:t>
      </w:r>
      <w:r>
        <w:t>大气毒性终点浓度-1</w:t>
      </w:r>
      <w:r>
        <w:rPr>
          <w:rFonts w:hint="eastAsia"/>
        </w:rPr>
        <w:t>范围；联检大楼</w:t>
      </w:r>
      <w:r>
        <w:rPr>
          <w:bCs/>
        </w:rPr>
        <w:t>P</w:t>
      </w:r>
      <w:r>
        <w:rPr>
          <w:bCs/>
          <w:vertAlign w:val="subscript"/>
        </w:rPr>
        <w:t>2</w:t>
      </w:r>
      <w:r>
        <w:rPr>
          <w:bCs/>
        </w:rPr>
        <w:t>O</w:t>
      </w:r>
      <w:r>
        <w:rPr>
          <w:bCs/>
          <w:vertAlign w:val="subscript"/>
        </w:rPr>
        <w:t>5</w:t>
      </w:r>
      <w:r>
        <w:rPr>
          <w:bCs/>
        </w:rPr>
        <w:t>最大落地浓度</w:t>
      </w:r>
      <w:r>
        <w:rPr>
          <w:rFonts w:hint="eastAsia"/>
        </w:rPr>
        <w:t>超出</w:t>
      </w:r>
      <w:r>
        <w:t>大气毒性终点浓度-</w:t>
      </w:r>
      <w:r>
        <w:rPr>
          <w:rFonts w:hint="eastAsia"/>
        </w:rPr>
        <w:t>2范围；其余敏感目标均低于</w:t>
      </w:r>
      <w:r>
        <w:t>大气毒性终点浓度</w:t>
      </w:r>
      <w:r>
        <w:rPr>
          <w:rFonts w:hint="eastAsia"/>
        </w:rPr>
        <w:t>范围，P</w:t>
      </w:r>
      <w:r>
        <w:rPr>
          <w:rFonts w:hint="eastAsia"/>
          <w:vertAlign w:val="subscript"/>
        </w:rPr>
        <w:t>2</w:t>
      </w:r>
      <w:r>
        <w:rPr>
          <w:rFonts w:hint="eastAsia"/>
        </w:rPr>
        <w:t>O</w:t>
      </w:r>
      <w:r>
        <w:rPr>
          <w:rFonts w:hint="eastAsia"/>
          <w:vertAlign w:val="subscript"/>
        </w:rPr>
        <w:t>5</w:t>
      </w:r>
      <w:r>
        <w:rPr>
          <w:rFonts w:hint="eastAsia"/>
        </w:rPr>
        <w:t>扩散至40min左右时各敏感点均达到大气毒性终点浓度。</w:t>
      </w:r>
      <w:r>
        <w:rPr>
          <w:bCs/>
        </w:rPr>
        <w:t>项目P</w:t>
      </w:r>
      <w:r>
        <w:rPr>
          <w:bCs/>
          <w:vertAlign w:val="subscript"/>
        </w:rPr>
        <w:t>2</w:t>
      </w:r>
      <w:r>
        <w:rPr>
          <w:bCs/>
        </w:rPr>
        <w:t>O</w:t>
      </w:r>
      <w:r>
        <w:rPr>
          <w:bCs/>
          <w:vertAlign w:val="subscript"/>
        </w:rPr>
        <w:t>5</w:t>
      </w:r>
      <w:r>
        <w:rPr>
          <w:bCs/>
        </w:rPr>
        <w:t>气体对项目周边环境影响较大。</w:t>
      </w:r>
    </w:p>
    <w:p w14:paraId="1FA21EB8">
      <w:pPr>
        <w:pStyle w:val="7"/>
      </w:pPr>
      <w:r>
        <w:t>下风向不同距离</w:t>
      </w:r>
      <w:r>
        <w:rPr>
          <w:rFonts w:hint="eastAsia"/>
        </w:rPr>
        <w:t>P</w:t>
      </w:r>
      <w:r>
        <w:rPr>
          <w:rFonts w:hint="eastAsia"/>
          <w:vertAlign w:val="subscript"/>
        </w:rPr>
        <w:t>2</w:t>
      </w:r>
      <w:r>
        <w:rPr>
          <w:rFonts w:hint="eastAsia"/>
        </w:rPr>
        <w:t>O</w:t>
      </w:r>
      <w:r>
        <w:rPr>
          <w:rFonts w:hint="eastAsia"/>
          <w:vertAlign w:val="subscript"/>
        </w:rPr>
        <w:t>5</w:t>
      </w:r>
      <w:r>
        <w:t>的最大浓度</w:t>
      </w:r>
    </w:p>
    <w:tbl>
      <w:tblPr>
        <w:tblStyle w:val="88"/>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340"/>
        <w:gridCol w:w="2813"/>
        <w:gridCol w:w="3375"/>
      </w:tblGrid>
      <w:tr w14:paraId="0B8C1AA5">
        <w:tblPrEx>
          <w:tblCellMar>
            <w:top w:w="0" w:type="dxa"/>
            <w:left w:w="108" w:type="dxa"/>
            <w:bottom w:w="0" w:type="dxa"/>
            <w:right w:w="108" w:type="dxa"/>
          </w:tblCellMar>
        </w:tblPrEx>
        <w:trPr>
          <w:trHeight w:val="20" w:hRule="atLeast"/>
          <w:tblHeader/>
          <w:jc w:val="center"/>
        </w:trPr>
        <w:tc>
          <w:tcPr>
            <w:tcW w:w="2340" w:type="dxa"/>
            <w:vAlign w:val="center"/>
          </w:tcPr>
          <w:p w14:paraId="298132C4">
            <w:pPr>
              <w:pStyle w:val="34"/>
            </w:pPr>
            <w:r>
              <w:t>下风向距离（m）</w:t>
            </w:r>
          </w:p>
        </w:tc>
        <w:tc>
          <w:tcPr>
            <w:tcW w:w="2813" w:type="dxa"/>
            <w:vAlign w:val="center"/>
          </w:tcPr>
          <w:p w14:paraId="5C854C56">
            <w:pPr>
              <w:pStyle w:val="34"/>
            </w:pPr>
            <w:r>
              <w:t>浓度出现时间（min）</w:t>
            </w:r>
          </w:p>
        </w:tc>
        <w:tc>
          <w:tcPr>
            <w:tcW w:w="3375" w:type="dxa"/>
            <w:vAlign w:val="center"/>
          </w:tcPr>
          <w:p w14:paraId="00CE75DC">
            <w:pPr>
              <w:pStyle w:val="34"/>
            </w:pPr>
            <w:r>
              <w:t>下风向高峰浓度（mg/m3）</w:t>
            </w:r>
          </w:p>
        </w:tc>
      </w:tr>
      <w:tr w14:paraId="3FB2B3C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18E6D561">
            <w:pPr>
              <w:pStyle w:val="34"/>
            </w:pPr>
            <w:r>
              <w:t>10</w:t>
            </w:r>
          </w:p>
        </w:tc>
        <w:tc>
          <w:tcPr>
            <w:tcW w:w="2813" w:type="dxa"/>
            <w:vAlign w:val="center"/>
          </w:tcPr>
          <w:p w14:paraId="6A94BA5F">
            <w:pPr>
              <w:pStyle w:val="34"/>
            </w:pPr>
            <w:r>
              <w:rPr>
                <w:rFonts w:hint="eastAsia"/>
              </w:rPr>
              <w:t>0.08</w:t>
            </w:r>
          </w:p>
        </w:tc>
        <w:tc>
          <w:tcPr>
            <w:tcW w:w="3375" w:type="dxa"/>
            <w:vAlign w:val="center"/>
          </w:tcPr>
          <w:p w14:paraId="66BEC5AF">
            <w:pPr>
              <w:pStyle w:val="34"/>
            </w:pPr>
            <w:r>
              <w:rPr>
                <w:rFonts w:hint="eastAsia"/>
              </w:rPr>
              <w:t>438.84</w:t>
            </w:r>
          </w:p>
        </w:tc>
      </w:tr>
      <w:tr w14:paraId="025FA5E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45A78DAB">
            <w:pPr>
              <w:pStyle w:val="34"/>
            </w:pPr>
            <w:r>
              <w:t>20</w:t>
            </w:r>
          </w:p>
        </w:tc>
        <w:tc>
          <w:tcPr>
            <w:tcW w:w="2813" w:type="dxa"/>
            <w:vAlign w:val="center"/>
          </w:tcPr>
          <w:p w14:paraId="47F2B1B0">
            <w:pPr>
              <w:pStyle w:val="34"/>
            </w:pPr>
            <w:r>
              <w:rPr>
                <w:rFonts w:hint="eastAsia"/>
              </w:rPr>
              <w:t>0.25</w:t>
            </w:r>
          </w:p>
        </w:tc>
        <w:tc>
          <w:tcPr>
            <w:tcW w:w="3375" w:type="dxa"/>
            <w:vAlign w:val="center"/>
          </w:tcPr>
          <w:p w14:paraId="44977B3D">
            <w:pPr>
              <w:pStyle w:val="34"/>
            </w:pPr>
            <w:r>
              <w:rPr>
                <w:rFonts w:hint="eastAsia"/>
              </w:rPr>
              <w:t>6687.50</w:t>
            </w:r>
          </w:p>
        </w:tc>
      </w:tr>
      <w:tr w14:paraId="3CCE17F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A6B96F6">
            <w:pPr>
              <w:pStyle w:val="34"/>
            </w:pPr>
            <w:r>
              <w:t>50</w:t>
            </w:r>
          </w:p>
        </w:tc>
        <w:tc>
          <w:tcPr>
            <w:tcW w:w="2813" w:type="dxa"/>
            <w:vAlign w:val="center"/>
          </w:tcPr>
          <w:p w14:paraId="7C8B1643">
            <w:pPr>
              <w:pStyle w:val="34"/>
            </w:pPr>
            <w:r>
              <w:rPr>
                <w:rFonts w:hint="eastAsia"/>
              </w:rPr>
              <w:t>0.41</w:t>
            </w:r>
          </w:p>
        </w:tc>
        <w:tc>
          <w:tcPr>
            <w:tcW w:w="3375" w:type="dxa"/>
            <w:vAlign w:val="center"/>
          </w:tcPr>
          <w:p w14:paraId="7EE1F056">
            <w:pPr>
              <w:pStyle w:val="34"/>
            </w:pPr>
            <w:r>
              <w:rPr>
                <w:rFonts w:hint="eastAsia"/>
              </w:rPr>
              <w:t>5017.80</w:t>
            </w:r>
          </w:p>
        </w:tc>
      </w:tr>
      <w:tr w14:paraId="16A3D7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49794667">
            <w:pPr>
              <w:pStyle w:val="34"/>
            </w:pPr>
            <w:r>
              <w:t>100</w:t>
            </w:r>
          </w:p>
        </w:tc>
        <w:tc>
          <w:tcPr>
            <w:tcW w:w="2813" w:type="dxa"/>
            <w:vAlign w:val="center"/>
          </w:tcPr>
          <w:p w14:paraId="4C8EACB1">
            <w:pPr>
              <w:pStyle w:val="34"/>
            </w:pPr>
            <w:r>
              <w:rPr>
                <w:rFonts w:hint="eastAsia"/>
              </w:rPr>
              <w:t>0.91</w:t>
            </w:r>
          </w:p>
        </w:tc>
        <w:tc>
          <w:tcPr>
            <w:tcW w:w="3375" w:type="dxa"/>
            <w:vAlign w:val="center"/>
          </w:tcPr>
          <w:p w14:paraId="1883E2E3">
            <w:pPr>
              <w:pStyle w:val="34"/>
            </w:pPr>
            <w:r>
              <w:rPr>
                <w:rFonts w:hint="eastAsia"/>
              </w:rPr>
              <w:t>1879.80</w:t>
            </w:r>
          </w:p>
        </w:tc>
      </w:tr>
      <w:tr w14:paraId="1D84B7E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680334D">
            <w:pPr>
              <w:pStyle w:val="34"/>
            </w:pPr>
            <w:r>
              <w:rPr>
                <w:rFonts w:hint="eastAsia"/>
              </w:rPr>
              <w:t>200</w:t>
            </w:r>
          </w:p>
        </w:tc>
        <w:tc>
          <w:tcPr>
            <w:tcW w:w="2813" w:type="dxa"/>
            <w:vAlign w:val="center"/>
          </w:tcPr>
          <w:p w14:paraId="1F3CDA8E">
            <w:pPr>
              <w:pStyle w:val="34"/>
            </w:pPr>
            <w:r>
              <w:rPr>
                <w:rFonts w:hint="eastAsia"/>
              </w:rPr>
              <w:t>1.75</w:t>
            </w:r>
          </w:p>
        </w:tc>
        <w:tc>
          <w:tcPr>
            <w:tcW w:w="3375" w:type="dxa"/>
            <w:vAlign w:val="center"/>
          </w:tcPr>
          <w:p w14:paraId="7C993B4B">
            <w:pPr>
              <w:pStyle w:val="34"/>
            </w:pPr>
            <w:r>
              <w:rPr>
                <w:rFonts w:hint="eastAsia"/>
              </w:rPr>
              <w:t>697.56</w:t>
            </w:r>
          </w:p>
        </w:tc>
      </w:tr>
      <w:tr w14:paraId="210815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79055AB">
            <w:pPr>
              <w:pStyle w:val="34"/>
            </w:pPr>
            <w:r>
              <w:rPr>
                <w:rFonts w:hint="eastAsia"/>
              </w:rPr>
              <w:t>300</w:t>
            </w:r>
          </w:p>
        </w:tc>
        <w:tc>
          <w:tcPr>
            <w:tcW w:w="2813" w:type="dxa"/>
            <w:vAlign w:val="center"/>
          </w:tcPr>
          <w:p w14:paraId="47332370">
            <w:pPr>
              <w:pStyle w:val="34"/>
            </w:pPr>
            <w:r>
              <w:rPr>
                <w:rFonts w:hint="eastAsia"/>
              </w:rPr>
              <w:t>2.58</w:t>
            </w:r>
          </w:p>
        </w:tc>
        <w:tc>
          <w:tcPr>
            <w:tcW w:w="3375" w:type="dxa"/>
            <w:vAlign w:val="center"/>
          </w:tcPr>
          <w:p w14:paraId="0FE360DF">
            <w:pPr>
              <w:pStyle w:val="34"/>
            </w:pPr>
            <w:r>
              <w:rPr>
                <w:rFonts w:hint="eastAsia"/>
              </w:rPr>
              <w:t>372.22</w:t>
            </w:r>
          </w:p>
        </w:tc>
      </w:tr>
      <w:tr w14:paraId="607C97D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4E1C0C28">
            <w:pPr>
              <w:pStyle w:val="34"/>
            </w:pPr>
            <w:r>
              <w:rPr>
                <w:rFonts w:hint="eastAsia"/>
              </w:rPr>
              <w:t>500</w:t>
            </w:r>
          </w:p>
        </w:tc>
        <w:tc>
          <w:tcPr>
            <w:tcW w:w="2813" w:type="dxa"/>
            <w:vAlign w:val="center"/>
          </w:tcPr>
          <w:p w14:paraId="250B271C">
            <w:pPr>
              <w:pStyle w:val="34"/>
            </w:pPr>
            <w:r>
              <w:rPr>
                <w:rFonts w:hint="eastAsia"/>
              </w:rPr>
              <w:t>4.25</w:t>
            </w:r>
          </w:p>
        </w:tc>
        <w:tc>
          <w:tcPr>
            <w:tcW w:w="3375" w:type="dxa"/>
            <w:vAlign w:val="center"/>
          </w:tcPr>
          <w:p w14:paraId="37E82913">
            <w:pPr>
              <w:pStyle w:val="34"/>
            </w:pPr>
            <w:r>
              <w:rPr>
                <w:rFonts w:hint="eastAsia"/>
              </w:rPr>
              <w:t>164.17</w:t>
            </w:r>
          </w:p>
        </w:tc>
      </w:tr>
      <w:tr w14:paraId="347A7A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6D90591">
            <w:pPr>
              <w:pStyle w:val="34"/>
            </w:pPr>
            <w:r>
              <w:rPr>
                <w:rFonts w:hint="eastAsia"/>
              </w:rPr>
              <w:t>1000</w:t>
            </w:r>
          </w:p>
        </w:tc>
        <w:tc>
          <w:tcPr>
            <w:tcW w:w="2813" w:type="dxa"/>
            <w:vAlign w:val="center"/>
          </w:tcPr>
          <w:p w14:paraId="6EB760F1">
            <w:pPr>
              <w:pStyle w:val="34"/>
            </w:pPr>
            <w:r>
              <w:rPr>
                <w:rFonts w:hint="eastAsia"/>
              </w:rPr>
              <w:t>8.41</w:t>
            </w:r>
          </w:p>
        </w:tc>
        <w:tc>
          <w:tcPr>
            <w:tcW w:w="3375" w:type="dxa"/>
            <w:vAlign w:val="center"/>
          </w:tcPr>
          <w:p w14:paraId="0C0EF284">
            <w:pPr>
              <w:pStyle w:val="34"/>
            </w:pPr>
            <w:r>
              <w:rPr>
                <w:rFonts w:hint="eastAsia"/>
              </w:rPr>
              <w:t>52.65</w:t>
            </w:r>
          </w:p>
        </w:tc>
      </w:tr>
      <w:tr w14:paraId="1E7A403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9B11AAE">
            <w:pPr>
              <w:pStyle w:val="34"/>
            </w:pPr>
            <w:r>
              <w:rPr>
                <w:rFonts w:hint="eastAsia"/>
              </w:rPr>
              <w:t>1500</w:t>
            </w:r>
          </w:p>
        </w:tc>
        <w:tc>
          <w:tcPr>
            <w:tcW w:w="2813" w:type="dxa"/>
            <w:vAlign w:val="center"/>
          </w:tcPr>
          <w:p w14:paraId="7A5963D8">
            <w:pPr>
              <w:pStyle w:val="34"/>
            </w:pPr>
            <w:r>
              <w:rPr>
                <w:rFonts w:hint="eastAsia"/>
              </w:rPr>
              <w:t>12.58</w:t>
            </w:r>
          </w:p>
        </w:tc>
        <w:tc>
          <w:tcPr>
            <w:tcW w:w="3375" w:type="dxa"/>
            <w:vAlign w:val="center"/>
          </w:tcPr>
          <w:p w14:paraId="52583F1E">
            <w:pPr>
              <w:pStyle w:val="34"/>
            </w:pPr>
            <w:r>
              <w:rPr>
                <w:rFonts w:hint="eastAsia"/>
              </w:rPr>
              <w:t>27.34</w:t>
            </w:r>
          </w:p>
        </w:tc>
      </w:tr>
      <w:tr w14:paraId="4BFA992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2FF0B92">
            <w:pPr>
              <w:pStyle w:val="34"/>
            </w:pPr>
            <w:r>
              <w:rPr>
                <w:rFonts w:hint="eastAsia"/>
              </w:rPr>
              <w:t>2000</w:t>
            </w:r>
          </w:p>
        </w:tc>
        <w:tc>
          <w:tcPr>
            <w:tcW w:w="2813" w:type="dxa"/>
            <w:vAlign w:val="center"/>
          </w:tcPr>
          <w:p w14:paraId="1D6BCEB6">
            <w:pPr>
              <w:pStyle w:val="34"/>
            </w:pPr>
            <w:r>
              <w:rPr>
                <w:rFonts w:hint="eastAsia"/>
              </w:rPr>
              <w:t>19.75</w:t>
            </w:r>
          </w:p>
        </w:tc>
        <w:tc>
          <w:tcPr>
            <w:tcW w:w="3375" w:type="dxa"/>
            <w:vAlign w:val="center"/>
          </w:tcPr>
          <w:p w14:paraId="4BE5DA75">
            <w:pPr>
              <w:pStyle w:val="34"/>
            </w:pPr>
            <w:r>
              <w:rPr>
                <w:rFonts w:hint="eastAsia"/>
              </w:rPr>
              <w:t>18.67</w:t>
            </w:r>
          </w:p>
        </w:tc>
      </w:tr>
      <w:tr w14:paraId="18CCAA2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67D1BD5D">
            <w:pPr>
              <w:pStyle w:val="34"/>
            </w:pPr>
            <w:r>
              <w:rPr>
                <w:rFonts w:hint="eastAsia"/>
              </w:rPr>
              <w:t>3000</w:t>
            </w:r>
          </w:p>
        </w:tc>
        <w:tc>
          <w:tcPr>
            <w:tcW w:w="2813" w:type="dxa"/>
            <w:vAlign w:val="center"/>
          </w:tcPr>
          <w:p w14:paraId="745A76F8">
            <w:pPr>
              <w:pStyle w:val="34"/>
            </w:pPr>
            <w:r>
              <w:rPr>
                <w:rFonts w:hint="eastAsia"/>
              </w:rPr>
              <w:t>29.08</w:t>
            </w:r>
          </w:p>
        </w:tc>
        <w:tc>
          <w:tcPr>
            <w:tcW w:w="3375" w:type="dxa"/>
            <w:vAlign w:val="center"/>
          </w:tcPr>
          <w:p w14:paraId="4D92EE4C">
            <w:pPr>
              <w:pStyle w:val="34"/>
            </w:pPr>
            <w:r>
              <w:rPr>
                <w:rFonts w:hint="eastAsia"/>
              </w:rPr>
              <w:t>10.89</w:t>
            </w:r>
          </w:p>
        </w:tc>
      </w:tr>
      <w:tr w14:paraId="75A0A2B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EA8A47B">
            <w:pPr>
              <w:pStyle w:val="34"/>
            </w:pPr>
            <w:r>
              <w:rPr>
                <w:rFonts w:hint="eastAsia"/>
              </w:rPr>
              <w:t>4000</w:t>
            </w:r>
          </w:p>
        </w:tc>
        <w:tc>
          <w:tcPr>
            <w:tcW w:w="2813" w:type="dxa"/>
            <w:vAlign w:val="center"/>
          </w:tcPr>
          <w:p w14:paraId="26BB0EBA">
            <w:pPr>
              <w:pStyle w:val="34"/>
            </w:pPr>
            <w:r>
              <w:rPr>
                <w:rFonts w:hint="eastAsia"/>
              </w:rPr>
              <w:t>38.41</w:t>
            </w:r>
          </w:p>
        </w:tc>
        <w:tc>
          <w:tcPr>
            <w:tcW w:w="3375" w:type="dxa"/>
            <w:vAlign w:val="center"/>
          </w:tcPr>
          <w:p w14:paraId="7130BBC7">
            <w:pPr>
              <w:pStyle w:val="34"/>
            </w:pPr>
            <w:r>
              <w:rPr>
                <w:rFonts w:hint="eastAsia"/>
              </w:rPr>
              <w:t>7.43</w:t>
            </w:r>
          </w:p>
        </w:tc>
      </w:tr>
      <w:tr w14:paraId="77D9059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E8E8BF6">
            <w:pPr>
              <w:pStyle w:val="34"/>
            </w:pPr>
            <w:r>
              <w:rPr>
                <w:rFonts w:hint="eastAsia"/>
              </w:rPr>
              <w:t>5000</w:t>
            </w:r>
          </w:p>
        </w:tc>
        <w:tc>
          <w:tcPr>
            <w:tcW w:w="2813" w:type="dxa"/>
            <w:vAlign w:val="center"/>
          </w:tcPr>
          <w:p w14:paraId="2D9C3B9A">
            <w:pPr>
              <w:pStyle w:val="34"/>
            </w:pPr>
            <w:r>
              <w:rPr>
                <w:rFonts w:hint="eastAsia"/>
              </w:rPr>
              <w:t>47.58</w:t>
            </w:r>
          </w:p>
        </w:tc>
        <w:tc>
          <w:tcPr>
            <w:tcW w:w="3375" w:type="dxa"/>
            <w:vAlign w:val="center"/>
          </w:tcPr>
          <w:p w14:paraId="5DA7579D">
            <w:pPr>
              <w:pStyle w:val="34"/>
            </w:pPr>
            <w:r>
              <w:rPr>
                <w:rFonts w:hint="eastAsia"/>
              </w:rPr>
              <w:t>5.55</w:t>
            </w:r>
          </w:p>
        </w:tc>
      </w:tr>
    </w:tbl>
    <w:p w14:paraId="5BB9413C">
      <w:pPr>
        <w:pStyle w:val="7"/>
      </w:pPr>
      <w:r>
        <w:rPr>
          <w:rFonts w:hint="eastAsia"/>
        </w:rPr>
        <w:t>大气敏感保护目标最大影响预测结果</w:t>
      </w:r>
    </w:p>
    <w:tbl>
      <w:tblPr>
        <w:tblStyle w:val="88"/>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99"/>
        <w:gridCol w:w="1392"/>
        <w:gridCol w:w="672"/>
        <w:gridCol w:w="777"/>
        <w:gridCol w:w="777"/>
        <w:gridCol w:w="880"/>
        <w:gridCol w:w="777"/>
        <w:gridCol w:w="777"/>
        <w:gridCol w:w="777"/>
      </w:tblGrid>
      <w:tr w14:paraId="717EFD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jc w:val="center"/>
        </w:trPr>
        <w:tc>
          <w:tcPr>
            <w:tcW w:w="1699" w:type="dxa"/>
            <w:vAlign w:val="center"/>
          </w:tcPr>
          <w:p w14:paraId="6D087588">
            <w:pPr>
              <w:pStyle w:val="34"/>
            </w:pPr>
            <w:r>
              <w:t>名称</w:t>
            </w:r>
          </w:p>
        </w:tc>
        <w:tc>
          <w:tcPr>
            <w:tcW w:w="1392" w:type="dxa"/>
            <w:vAlign w:val="center"/>
          </w:tcPr>
          <w:p w14:paraId="7891E155">
            <w:pPr>
              <w:pStyle w:val="34"/>
            </w:pPr>
            <w:r>
              <w:t>最大浓度/时间(min)</w:t>
            </w:r>
          </w:p>
        </w:tc>
        <w:tc>
          <w:tcPr>
            <w:tcW w:w="672" w:type="dxa"/>
            <w:vAlign w:val="center"/>
          </w:tcPr>
          <w:p w14:paraId="0F7E6EB2">
            <w:pPr>
              <w:pStyle w:val="34"/>
            </w:pPr>
            <w:r>
              <w:rPr>
                <w:rFonts w:hint="eastAsia"/>
              </w:rPr>
              <w:t>8</w:t>
            </w:r>
            <w:r>
              <w:t>min</w:t>
            </w:r>
          </w:p>
        </w:tc>
        <w:tc>
          <w:tcPr>
            <w:tcW w:w="777" w:type="dxa"/>
            <w:vAlign w:val="center"/>
          </w:tcPr>
          <w:p w14:paraId="00695D0A">
            <w:pPr>
              <w:pStyle w:val="34"/>
            </w:pPr>
            <w:r>
              <w:rPr>
                <w:rFonts w:hint="eastAsia"/>
              </w:rPr>
              <w:t>12</w:t>
            </w:r>
            <w:r>
              <w:t>min</w:t>
            </w:r>
          </w:p>
        </w:tc>
        <w:tc>
          <w:tcPr>
            <w:tcW w:w="777" w:type="dxa"/>
            <w:vAlign w:val="center"/>
          </w:tcPr>
          <w:p w14:paraId="6522E8DA">
            <w:pPr>
              <w:pStyle w:val="34"/>
            </w:pPr>
            <w:r>
              <w:rPr>
                <w:rFonts w:hint="eastAsia"/>
              </w:rPr>
              <w:t>20</w:t>
            </w:r>
            <w:r>
              <w:t>min</w:t>
            </w:r>
          </w:p>
        </w:tc>
        <w:tc>
          <w:tcPr>
            <w:tcW w:w="880" w:type="dxa"/>
            <w:vAlign w:val="center"/>
          </w:tcPr>
          <w:p w14:paraId="074BD116">
            <w:pPr>
              <w:pStyle w:val="34"/>
            </w:pPr>
            <w:r>
              <w:rPr>
                <w:rFonts w:hint="eastAsia"/>
              </w:rPr>
              <w:t>30</w:t>
            </w:r>
            <w:r>
              <w:t>min</w:t>
            </w:r>
          </w:p>
        </w:tc>
        <w:tc>
          <w:tcPr>
            <w:tcW w:w="777" w:type="dxa"/>
            <w:vAlign w:val="center"/>
          </w:tcPr>
          <w:p w14:paraId="02A0EB59">
            <w:pPr>
              <w:pStyle w:val="34"/>
            </w:pPr>
            <w:r>
              <w:rPr>
                <w:rFonts w:hint="eastAsia"/>
              </w:rPr>
              <w:t>40</w:t>
            </w:r>
            <w:r>
              <w:t>min</w:t>
            </w:r>
          </w:p>
        </w:tc>
        <w:tc>
          <w:tcPr>
            <w:tcW w:w="777" w:type="dxa"/>
            <w:vAlign w:val="center"/>
          </w:tcPr>
          <w:p w14:paraId="72716B34">
            <w:pPr>
              <w:pStyle w:val="34"/>
            </w:pPr>
            <w:r>
              <w:rPr>
                <w:rFonts w:hint="eastAsia"/>
              </w:rPr>
              <w:t>44</w:t>
            </w:r>
            <w:r>
              <w:t>min</w:t>
            </w:r>
          </w:p>
        </w:tc>
        <w:tc>
          <w:tcPr>
            <w:tcW w:w="777" w:type="dxa"/>
            <w:vAlign w:val="center"/>
          </w:tcPr>
          <w:p w14:paraId="042A9ABD">
            <w:pPr>
              <w:pStyle w:val="34"/>
            </w:pPr>
            <w:r>
              <w:rPr>
                <w:rFonts w:hint="eastAsia"/>
              </w:rPr>
              <w:t>50min</w:t>
            </w:r>
          </w:p>
        </w:tc>
      </w:tr>
      <w:tr w14:paraId="3AAD68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2FE25E4D">
            <w:pPr>
              <w:pStyle w:val="34"/>
            </w:pPr>
            <w:r>
              <w:t>联检大楼</w:t>
            </w:r>
          </w:p>
        </w:tc>
        <w:tc>
          <w:tcPr>
            <w:tcW w:w="1392" w:type="dxa"/>
            <w:vAlign w:val="center"/>
          </w:tcPr>
          <w:p w14:paraId="1A487AD4">
            <w:pPr>
              <w:pStyle w:val="34"/>
            </w:pPr>
            <w:r>
              <w:rPr>
                <w:rFonts w:hint="eastAsia"/>
              </w:rPr>
              <w:t>55.4|8</w:t>
            </w:r>
          </w:p>
        </w:tc>
        <w:tc>
          <w:tcPr>
            <w:tcW w:w="672" w:type="dxa"/>
            <w:vAlign w:val="center"/>
          </w:tcPr>
          <w:p w14:paraId="699CDC19">
            <w:pPr>
              <w:pStyle w:val="34"/>
            </w:pPr>
            <w:r>
              <w:rPr>
                <w:rFonts w:hint="eastAsia"/>
              </w:rPr>
              <w:t>55.4</w:t>
            </w:r>
          </w:p>
        </w:tc>
        <w:tc>
          <w:tcPr>
            <w:tcW w:w="777" w:type="dxa"/>
            <w:vAlign w:val="center"/>
          </w:tcPr>
          <w:p w14:paraId="41B4970E">
            <w:pPr>
              <w:pStyle w:val="34"/>
            </w:pPr>
            <w:r>
              <w:rPr>
                <w:rFonts w:hint="eastAsia"/>
              </w:rPr>
              <w:t>55.4</w:t>
            </w:r>
          </w:p>
        </w:tc>
        <w:tc>
          <w:tcPr>
            <w:tcW w:w="777" w:type="dxa"/>
            <w:vAlign w:val="center"/>
          </w:tcPr>
          <w:p w14:paraId="4813C41C">
            <w:pPr>
              <w:pStyle w:val="34"/>
            </w:pPr>
            <w:r>
              <w:rPr>
                <w:rFonts w:hint="eastAsia"/>
              </w:rPr>
              <w:t>55.4</w:t>
            </w:r>
          </w:p>
        </w:tc>
        <w:tc>
          <w:tcPr>
            <w:tcW w:w="880" w:type="dxa"/>
            <w:vAlign w:val="center"/>
          </w:tcPr>
          <w:p w14:paraId="39573FB6">
            <w:pPr>
              <w:pStyle w:val="34"/>
            </w:pPr>
            <w:r>
              <w:rPr>
                <w:rFonts w:hint="eastAsia"/>
              </w:rPr>
              <w:t>0</w:t>
            </w:r>
          </w:p>
        </w:tc>
        <w:tc>
          <w:tcPr>
            <w:tcW w:w="777" w:type="dxa"/>
            <w:vAlign w:val="center"/>
          </w:tcPr>
          <w:p w14:paraId="63340547">
            <w:pPr>
              <w:pStyle w:val="34"/>
            </w:pPr>
            <w:r>
              <w:rPr>
                <w:rFonts w:hint="eastAsia"/>
              </w:rPr>
              <w:t>0</w:t>
            </w:r>
          </w:p>
        </w:tc>
        <w:tc>
          <w:tcPr>
            <w:tcW w:w="777" w:type="dxa"/>
            <w:vAlign w:val="center"/>
          </w:tcPr>
          <w:p w14:paraId="5DBB5EAA">
            <w:pPr>
              <w:pStyle w:val="34"/>
            </w:pPr>
            <w:r>
              <w:rPr>
                <w:rFonts w:hint="eastAsia"/>
              </w:rPr>
              <w:t>0</w:t>
            </w:r>
          </w:p>
        </w:tc>
        <w:tc>
          <w:tcPr>
            <w:tcW w:w="777" w:type="dxa"/>
            <w:vAlign w:val="center"/>
          </w:tcPr>
          <w:p w14:paraId="782B92D8">
            <w:pPr>
              <w:pStyle w:val="34"/>
            </w:pPr>
            <w:r>
              <w:rPr>
                <w:rFonts w:hint="eastAsia"/>
              </w:rPr>
              <w:t>0</w:t>
            </w:r>
          </w:p>
        </w:tc>
      </w:tr>
      <w:tr w14:paraId="461A49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2995603C">
            <w:pPr>
              <w:pStyle w:val="34"/>
            </w:pPr>
            <w:r>
              <w:t>港口集团办公楼</w:t>
            </w:r>
          </w:p>
        </w:tc>
        <w:tc>
          <w:tcPr>
            <w:tcW w:w="1392" w:type="dxa"/>
            <w:vAlign w:val="center"/>
          </w:tcPr>
          <w:p w14:paraId="629997CA">
            <w:pPr>
              <w:pStyle w:val="34"/>
            </w:pPr>
            <w:r>
              <w:rPr>
                <w:rFonts w:hint="eastAsia"/>
              </w:rPr>
              <w:t>28.1|12</w:t>
            </w:r>
          </w:p>
        </w:tc>
        <w:tc>
          <w:tcPr>
            <w:tcW w:w="672" w:type="dxa"/>
            <w:vAlign w:val="center"/>
          </w:tcPr>
          <w:p w14:paraId="396110DA">
            <w:pPr>
              <w:pStyle w:val="34"/>
            </w:pPr>
            <w:r>
              <w:rPr>
                <w:rFonts w:hint="eastAsia"/>
              </w:rPr>
              <w:t>0</w:t>
            </w:r>
          </w:p>
        </w:tc>
        <w:tc>
          <w:tcPr>
            <w:tcW w:w="777" w:type="dxa"/>
            <w:vAlign w:val="center"/>
          </w:tcPr>
          <w:p w14:paraId="5BD04752">
            <w:pPr>
              <w:pStyle w:val="34"/>
            </w:pPr>
            <w:r>
              <w:rPr>
                <w:rFonts w:hint="eastAsia"/>
              </w:rPr>
              <w:t>28.1</w:t>
            </w:r>
          </w:p>
        </w:tc>
        <w:tc>
          <w:tcPr>
            <w:tcW w:w="777" w:type="dxa"/>
            <w:vAlign w:val="center"/>
          </w:tcPr>
          <w:p w14:paraId="604D039B">
            <w:pPr>
              <w:pStyle w:val="34"/>
            </w:pPr>
            <w:r>
              <w:rPr>
                <w:rFonts w:hint="eastAsia"/>
              </w:rPr>
              <w:t>28.1</w:t>
            </w:r>
          </w:p>
        </w:tc>
        <w:tc>
          <w:tcPr>
            <w:tcW w:w="880" w:type="dxa"/>
            <w:vAlign w:val="center"/>
          </w:tcPr>
          <w:p w14:paraId="059043F4">
            <w:pPr>
              <w:pStyle w:val="34"/>
            </w:pPr>
            <w:r>
              <w:rPr>
                <w:rFonts w:hint="eastAsia"/>
              </w:rPr>
              <w:t>0</w:t>
            </w:r>
          </w:p>
        </w:tc>
        <w:tc>
          <w:tcPr>
            <w:tcW w:w="777" w:type="dxa"/>
            <w:vAlign w:val="center"/>
          </w:tcPr>
          <w:p w14:paraId="0A8B97AC">
            <w:pPr>
              <w:pStyle w:val="34"/>
            </w:pPr>
            <w:r>
              <w:rPr>
                <w:rFonts w:hint="eastAsia"/>
              </w:rPr>
              <w:t>0</w:t>
            </w:r>
          </w:p>
        </w:tc>
        <w:tc>
          <w:tcPr>
            <w:tcW w:w="777" w:type="dxa"/>
            <w:vAlign w:val="center"/>
          </w:tcPr>
          <w:p w14:paraId="28466585">
            <w:pPr>
              <w:pStyle w:val="34"/>
            </w:pPr>
            <w:r>
              <w:rPr>
                <w:rFonts w:hint="eastAsia"/>
              </w:rPr>
              <w:t>0</w:t>
            </w:r>
          </w:p>
        </w:tc>
        <w:tc>
          <w:tcPr>
            <w:tcW w:w="777" w:type="dxa"/>
            <w:vAlign w:val="center"/>
          </w:tcPr>
          <w:p w14:paraId="2FB17676">
            <w:pPr>
              <w:pStyle w:val="34"/>
            </w:pPr>
            <w:r>
              <w:rPr>
                <w:rFonts w:hint="eastAsia"/>
              </w:rPr>
              <w:t>0</w:t>
            </w:r>
          </w:p>
        </w:tc>
      </w:tr>
      <w:tr w14:paraId="66A378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79905137">
            <w:pPr>
              <w:pStyle w:val="34"/>
            </w:pPr>
            <w:r>
              <w:t>中国钦州保税港区海事处</w:t>
            </w:r>
          </w:p>
        </w:tc>
        <w:tc>
          <w:tcPr>
            <w:tcW w:w="1392" w:type="dxa"/>
            <w:vAlign w:val="center"/>
          </w:tcPr>
          <w:p w14:paraId="30889215">
            <w:pPr>
              <w:pStyle w:val="34"/>
            </w:pPr>
            <w:r>
              <w:rPr>
                <w:rFonts w:hint="eastAsia"/>
              </w:rPr>
              <w:t>19.4|18</w:t>
            </w:r>
          </w:p>
        </w:tc>
        <w:tc>
          <w:tcPr>
            <w:tcW w:w="672" w:type="dxa"/>
            <w:vAlign w:val="center"/>
          </w:tcPr>
          <w:p w14:paraId="02590713">
            <w:pPr>
              <w:pStyle w:val="34"/>
            </w:pPr>
            <w:r>
              <w:rPr>
                <w:rFonts w:hint="eastAsia"/>
              </w:rPr>
              <w:t>0</w:t>
            </w:r>
          </w:p>
        </w:tc>
        <w:tc>
          <w:tcPr>
            <w:tcW w:w="777" w:type="dxa"/>
            <w:vAlign w:val="center"/>
          </w:tcPr>
          <w:p w14:paraId="2C711668">
            <w:pPr>
              <w:pStyle w:val="34"/>
            </w:pPr>
            <w:r>
              <w:rPr>
                <w:rFonts w:hint="eastAsia"/>
              </w:rPr>
              <w:t>0</w:t>
            </w:r>
          </w:p>
        </w:tc>
        <w:tc>
          <w:tcPr>
            <w:tcW w:w="777" w:type="dxa"/>
            <w:vAlign w:val="center"/>
          </w:tcPr>
          <w:p w14:paraId="09755799">
            <w:pPr>
              <w:pStyle w:val="34"/>
            </w:pPr>
            <w:r>
              <w:rPr>
                <w:rFonts w:hint="eastAsia"/>
              </w:rPr>
              <w:t>19.4</w:t>
            </w:r>
          </w:p>
        </w:tc>
        <w:tc>
          <w:tcPr>
            <w:tcW w:w="880" w:type="dxa"/>
            <w:vAlign w:val="center"/>
          </w:tcPr>
          <w:p w14:paraId="75AE3B75">
            <w:pPr>
              <w:pStyle w:val="34"/>
            </w:pPr>
            <w:r>
              <w:rPr>
                <w:rFonts w:hint="eastAsia"/>
              </w:rPr>
              <w:t>14.0</w:t>
            </w:r>
          </w:p>
        </w:tc>
        <w:tc>
          <w:tcPr>
            <w:tcW w:w="777" w:type="dxa"/>
            <w:vAlign w:val="center"/>
          </w:tcPr>
          <w:p w14:paraId="382BDE28">
            <w:pPr>
              <w:pStyle w:val="34"/>
            </w:pPr>
            <w:r>
              <w:rPr>
                <w:rFonts w:hint="eastAsia"/>
              </w:rPr>
              <w:t>0</w:t>
            </w:r>
          </w:p>
        </w:tc>
        <w:tc>
          <w:tcPr>
            <w:tcW w:w="777" w:type="dxa"/>
            <w:vAlign w:val="center"/>
          </w:tcPr>
          <w:p w14:paraId="05F678AE">
            <w:pPr>
              <w:pStyle w:val="34"/>
            </w:pPr>
            <w:r>
              <w:rPr>
                <w:rFonts w:hint="eastAsia"/>
              </w:rPr>
              <w:t>0</w:t>
            </w:r>
          </w:p>
        </w:tc>
        <w:tc>
          <w:tcPr>
            <w:tcW w:w="777" w:type="dxa"/>
            <w:vAlign w:val="center"/>
          </w:tcPr>
          <w:p w14:paraId="5B805E03">
            <w:pPr>
              <w:pStyle w:val="34"/>
            </w:pPr>
            <w:r>
              <w:rPr>
                <w:rFonts w:hint="eastAsia"/>
              </w:rPr>
              <w:t>0</w:t>
            </w:r>
          </w:p>
        </w:tc>
      </w:tr>
    </w:tbl>
    <w:p w14:paraId="6F09A290">
      <w:pPr>
        <w:pStyle w:val="7"/>
      </w:pPr>
      <w:r>
        <w:rPr>
          <w:rFonts w:hint="eastAsia"/>
        </w:rPr>
        <w:t>二次污染物P</w:t>
      </w:r>
      <w:r>
        <w:rPr>
          <w:rFonts w:hint="eastAsia"/>
          <w:vertAlign w:val="subscript"/>
        </w:rPr>
        <w:t>2</w:t>
      </w:r>
      <w:r>
        <w:rPr>
          <w:rFonts w:hint="eastAsia"/>
        </w:rPr>
        <w:t>O</w:t>
      </w:r>
      <w:r>
        <w:rPr>
          <w:rFonts w:hint="eastAsia"/>
          <w:vertAlign w:val="subscript"/>
        </w:rPr>
        <w:t>5</w:t>
      </w:r>
      <w:r>
        <w:rPr>
          <w:rFonts w:hint="eastAsia"/>
        </w:rPr>
        <w:t>超出阈值的范围</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3086"/>
        <w:gridCol w:w="2843"/>
        <w:gridCol w:w="2599"/>
      </w:tblGrid>
      <w:tr w14:paraId="1DCBEDF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997" w:type="dxa"/>
            <w:vMerge w:val="restart"/>
            <w:vAlign w:val="center"/>
          </w:tcPr>
          <w:p w14:paraId="5FAE56D6">
            <w:pPr>
              <w:pStyle w:val="34"/>
            </w:pPr>
            <w:r>
              <w:t>超过大气毒性终点浓度-1</w:t>
            </w:r>
          </w:p>
        </w:tc>
        <w:tc>
          <w:tcPr>
            <w:tcW w:w="2761" w:type="dxa"/>
            <w:vAlign w:val="center"/>
          </w:tcPr>
          <w:p w14:paraId="3E463891">
            <w:pPr>
              <w:pStyle w:val="34"/>
            </w:pPr>
            <w:r>
              <w:t>阈值（mg/m</w:t>
            </w:r>
            <w:r>
              <w:rPr>
                <w:vertAlign w:val="superscript"/>
              </w:rPr>
              <w:t>3</w:t>
            </w:r>
            <w:r>
              <w:t>）</w:t>
            </w:r>
          </w:p>
        </w:tc>
        <w:tc>
          <w:tcPr>
            <w:tcW w:w="2524" w:type="dxa"/>
            <w:vAlign w:val="center"/>
          </w:tcPr>
          <w:p w14:paraId="26F4F0F0">
            <w:pPr>
              <w:pStyle w:val="34"/>
            </w:pPr>
            <w:r>
              <w:rPr>
                <w:rFonts w:hint="eastAsia"/>
              </w:rPr>
              <w:t>50</w:t>
            </w:r>
          </w:p>
        </w:tc>
      </w:tr>
      <w:tr w14:paraId="411546B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997" w:type="dxa"/>
            <w:vMerge w:val="continue"/>
            <w:vAlign w:val="center"/>
          </w:tcPr>
          <w:p w14:paraId="33761C11">
            <w:pPr>
              <w:pStyle w:val="34"/>
            </w:pPr>
          </w:p>
        </w:tc>
        <w:tc>
          <w:tcPr>
            <w:tcW w:w="2761" w:type="dxa"/>
            <w:vAlign w:val="center"/>
          </w:tcPr>
          <w:p w14:paraId="551F7624">
            <w:pPr>
              <w:pStyle w:val="34"/>
            </w:pPr>
            <w:r>
              <w:t>最大半宽（m）</w:t>
            </w:r>
          </w:p>
        </w:tc>
        <w:tc>
          <w:tcPr>
            <w:tcW w:w="2524" w:type="dxa"/>
            <w:vAlign w:val="center"/>
          </w:tcPr>
          <w:p w14:paraId="3304253C">
            <w:pPr>
              <w:pStyle w:val="34"/>
            </w:pPr>
            <w:r>
              <w:rPr>
                <w:rFonts w:hint="eastAsia"/>
              </w:rPr>
              <w:t>16</w:t>
            </w:r>
          </w:p>
        </w:tc>
      </w:tr>
      <w:tr w14:paraId="5478512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997" w:type="dxa"/>
            <w:vMerge w:val="continue"/>
            <w:vAlign w:val="center"/>
          </w:tcPr>
          <w:p w14:paraId="6845AA3F">
            <w:pPr>
              <w:pStyle w:val="34"/>
            </w:pPr>
          </w:p>
        </w:tc>
        <w:tc>
          <w:tcPr>
            <w:tcW w:w="2761" w:type="dxa"/>
            <w:vAlign w:val="center"/>
          </w:tcPr>
          <w:p w14:paraId="53A12AB2">
            <w:pPr>
              <w:pStyle w:val="34"/>
            </w:pPr>
            <w:r>
              <w:t>影响范围（m）</w:t>
            </w:r>
          </w:p>
        </w:tc>
        <w:tc>
          <w:tcPr>
            <w:tcW w:w="2524" w:type="dxa"/>
            <w:vAlign w:val="center"/>
          </w:tcPr>
          <w:p w14:paraId="68EFD982">
            <w:pPr>
              <w:pStyle w:val="34"/>
            </w:pPr>
            <w:r>
              <w:rPr>
                <w:rFonts w:hint="eastAsia"/>
              </w:rPr>
              <w:t>940</w:t>
            </w:r>
          </w:p>
        </w:tc>
      </w:tr>
      <w:tr w14:paraId="55F2A45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997" w:type="dxa"/>
            <w:vMerge w:val="restart"/>
            <w:vAlign w:val="center"/>
          </w:tcPr>
          <w:p w14:paraId="26CF1C57">
            <w:pPr>
              <w:pStyle w:val="34"/>
            </w:pPr>
            <w:r>
              <w:t>超过大气毒性终点浓度-2</w:t>
            </w:r>
          </w:p>
        </w:tc>
        <w:tc>
          <w:tcPr>
            <w:tcW w:w="2761" w:type="dxa"/>
            <w:vAlign w:val="center"/>
          </w:tcPr>
          <w:p w14:paraId="727F0C25">
            <w:pPr>
              <w:pStyle w:val="34"/>
            </w:pPr>
            <w:r>
              <w:t>阈值（mg/m</w:t>
            </w:r>
            <w:r>
              <w:rPr>
                <w:vertAlign w:val="superscript"/>
              </w:rPr>
              <w:t>3</w:t>
            </w:r>
            <w:r>
              <w:t>）</w:t>
            </w:r>
          </w:p>
        </w:tc>
        <w:tc>
          <w:tcPr>
            <w:tcW w:w="2524" w:type="dxa"/>
            <w:vAlign w:val="center"/>
          </w:tcPr>
          <w:p w14:paraId="0F01DFC8">
            <w:pPr>
              <w:pStyle w:val="34"/>
            </w:pPr>
            <w:r>
              <w:rPr>
                <w:rFonts w:hint="eastAsia"/>
              </w:rPr>
              <w:t>10</w:t>
            </w:r>
          </w:p>
        </w:tc>
      </w:tr>
      <w:tr w14:paraId="5AB2D25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997" w:type="dxa"/>
            <w:vMerge w:val="continue"/>
            <w:vAlign w:val="center"/>
          </w:tcPr>
          <w:p w14:paraId="58978FA5">
            <w:pPr>
              <w:pStyle w:val="34"/>
            </w:pPr>
          </w:p>
        </w:tc>
        <w:tc>
          <w:tcPr>
            <w:tcW w:w="2761" w:type="dxa"/>
            <w:vAlign w:val="center"/>
          </w:tcPr>
          <w:p w14:paraId="496E9850">
            <w:pPr>
              <w:pStyle w:val="34"/>
            </w:pPr>
            <w:r>
              <w:t>最大半宽（m）</w:t>
            </w:r>
          </w:p>
        </w:tc>
        <w:tc>
          <w:tcPr>
            <w:tcW w:w="2524" w:type="dxa"/>
            <w:vAlign w:val="center"/>
          </w:tcPr>
          <w:p w14:paraId="32D61A11">
            <w:pPr>
              <w:pStyle w:val="34"/>
            </w:pPr>
            <w:r>
              <w:rPr>
                <w:rFonts w:hint="eastAsia"/>
              </w:rPr>
              <w:t>38</w:t>
            </w:r>
          </w:p>
        </w:tc>
      </w:tr>
      <w:tr w14:paraId="0C0055E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997" w:type="dxa"/>
            <w:vMerge w:val="continue"/>
            <w:vAlign w:val="center"/>
          </w:tcPr>
          <w:p w14:paraId="193B6CF5">
            <w:pPr>
              <w:pStyle w:val="34"/>
            </w:pPr>
          </w:p>
        </w:tc>
        <w:tc>
          <w:tcPr>
            <w:tcW w:w="2761" w:type="dxa"/>
            <w:vAlign w:val="center"/>
          </w:tcPr>
          <w:p w14:paraId="17CFAC54">
            <w:pPr>
              <w:pStyle w:val="34"/>
            </w:pPr>
            <w:r>
              <w:t>影响范围（m）</w:t>
            </w:r>
          </w:p>
        </w:tc>
        <w:tc>
          <w:tcPr>
            <w:tcW w:w="2524" w:type="dxa"/>
            <w:vAlign w:val="center"/>
          </w:tcPr>
          <w:p w14:paraId="1512C445">
            <w:pPr>
              <w:pStyle w:val="34"/>
            </w:pPr>
            <w:r>
              <w:rPr>
                <w:rFonts w:hint="eastAsia"/>
              </w:rPr>
              <w:t>2860</w:t>
            </w:r>
          </w:p>
        </w:tc>
      </w:tr>
    </w:tbl>
    <w:p w14:paraId="28DC6F56">
      <w:pPr>
        <w:ind w:firstLine="0" w:firstLineChars="0"/>
      </w:pPr>
      <w:r>
        <w:drawing>
          <wp:inline distT="0" distB="0" distL="0" distR="0">
            <wp:extent cx="5278120" cy="5142230"/>
            <wp:effectExtent l="0" t="0" r="0" b="1270"/>
            <wp:docPr id="15585757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75745" name="图片 1"/>
                    <pic:cNvPicPr>
                      <a:picLocks noChangeAspect="1"/>
                    </pic:cNvPicPr>
                  </pic:nvPicPr>
                  <pic:blipFill>
                    <a:blip r:embed="rId149"/>
                    <a:stretch>
                      <a:fillRect/>
                    </a:stretch>
                  </pic:blipFill>
                  <pic:spPr>
                    <a:xfrm>
                      <a:off x="0" y="0"/>
                      <a:ext cx="5278120" cy="5142230"/>
                    </a:xfrm>
                    <a:prstGeom prst="rect">
                      <a:avLst/>
                    </a:prstGeom>
                  </pic:spPr>
                </pic:pic>
              </a:graphicData>
            </a:graphic>
          </wp:inline>
        </w:drawing>
      </w:r>
    </w:p>
    <w:p w14:paraId="64310457">
      <w:pPr>
        <w:pStyle w:val="8"/>
        <w:ind w:firstLine="480"/>
      </w:pPr>
      <w:r>
        <w:rPr>
          <w:rFonts w:hint="eastAsia"/>
        </w:rPr>
        <w:t>氧化磷二次污染最大影响区域图</w:t>
      </w:r>
    </w:p>
    <w:p w14:paraId="589DCB94">
      <w:pPr>
        <w:pStyle w:val="6"/>
      </w:pPr>
      <w:r>
        <w:rPr>
          <w:rFonts w:hint="eastAsia"/>
        </w:rPr>
        <w:t>小结</w:t>
      </w:r>
    </w:p>
    <w:p w14:paraId="3897C64E">
      <w:pPr>
        <w:ind w:firstLine="437"/>
      </w:pPr>
      <w:r>
        <w:rPr>
          <w:rFonts w:hint="eastAsia"/>
        </w:rPr>
        <w:t>根据陆域风险事故预测结果，本项目危险物质乙硫醇、丙烯腈、氟化氢泄漏及事故燃烧的二次污染物CO造成的陆域环境空气影响较小，各敏感保护目标均不超过大气毒性终点浓度范围，危险物质陆域环境空气影响主要为化学品燃烧产生的P</w:t>
      </w:r>
      <w:r>
        <w:rPr>
          <w:rFonts w:hint="eastAsia"/>
          <w:vertAlign w:val="subscript"/>
        </w:rPr>
        <w:t>2</w:t>
      </w:r>
      <w:r>
        <w:rPr>
          <w:rFonts w:hint="eastAsia"/>
        </w:rPr>
        <w:t>O</w:t>
      </w:r>
      <w:r>
        <w:rPr>
          <w:rFonts w:hint="eastAsia"/>
          <w:vertAlign w:val="subscript"/>
        </w:rPr>
        <w:t>5</w:t>
      </w:r>
      <w:r>
        <w:rPr>
          <w:rFonts w:hint="eastAsia"/>
        </w:rPr>
        <w:t>及SO</w:t>
      </w:r>
      <w:r>
        <w:rPr>
          <w:rFonts w:hint="eastAsia"/>
          <w:vertAlign w:val="subscript"/>
        </w:rPr>
        <w:t>2</w:t>
      </w:r>
      <w:r>
        <w:rPr>
          <w:rFonts w:hint="eastAsia"/>
        </w:rPr>
        <w:t>等二次污染物，污染物超标最长持续时间为17min，主要影响联检大楼、保税港管委会、保税港区生活区，影响人口约870人。</w:t>
      </w:r>
    </w:p>
    <w:p w14:paraId="319F7A80">
      <w:pPr>
        <w:pStyle w:val="5"/>
      </w:pPr>
      <w:r>
        <w:rPr>
          <w:rFonts w:hint="eastAsia"/>
        </w:rPr>
        <w:t>海域环境风险</w:t>
      </w:r>
      <w:bookmarkEnd w:id="568"/>
      <w:r>
        <w:rPr>
          <w:rFonts w:hint="eastAsia"/>
        </w:rPr>
        <w:t>预测与评价</w:t>
      </w:r>
      <w:bookmarkEnd w:id="569"/>
      <w:bookmarkEnd w:id="570"/>
    </w:p>
    <w:p w14:paraId="69854AA3">
      <w:pPr>
        <w:pStyle w:val="6"/>
      </w:pPr>
      <w:bookmarkStart w:id="571" w:name="_Toc59022309"/>
      <w:r>
        <w:t>溢油风险事故影响评估</w:t>
      </w:r>
      <w:bookmarkEnd w:id="571"/>
    </w:p>
    <w:p w14:paraId="398D3531">
      <w:pPr>
        <w:ind w:firstLine="437"/>
      </w:pPr>
      <w:bookmarkStart w:id="572" w:name="_Toc59022310"/>
      <w:bookmarkStart w:id="573" w:name="_Toc369854893"/>
      <w:r>
        <w:rPr>
          <w:rFonts w:hint="eastAsia"/>
        </w:rPr>
        <w:t>一、溢油的物理与化学变化过程</w:t>
      </w:r>
      <w:bookmarkEnd w:id="572"/>
    </w:p>
    <w:bookmarkEnd w:id="573"/>
    <w:p w14:paraId="793E7ACE">
      <w:pPr>
        <w:ind w:firstLine="437"/>
      </w:pPr>
      <w:r>
        <w:t>（1）对流与扩散原理</w:t>
      </w:r>
    </w:p>
    <w:p w14:paraId="6CFA2127">
      <w:pPr>
        <w:ind w:firstLine="437"/>
      </w:pPr>
      <w:r>
        <w:t>溢油在水面上运动主要是通过对流与扩散进行的。对流主要受制于油膜上方的风与油膜下方的水流。溢油的扩展是重力、惯性力、摩擦力、粘性与表面张力之间的动力学平衡导致的现象。风对油膜的影响表现为风所产生的漂流。一般采用风漂流流速等于风速的3%。油膜的扩散(或扩宽)也是极为复杂的过程。对此Bonit(1992)与Fay(1969、1971)有详细的研究。但这些研究多局限于静止水面上的油膜，油膜的扩展分为3个阶段：惯性阶段、粘性阶段和表面张力阶段。</w:t>
      </w:r>
    </w:p>
    <w:p w14:paraId="52D6B9CC">
      <w:pPr>
        <w:ind w:firstLine="437"/>
      </w:pPr>
      <w:r>
        <w:t>（2）蒸发</w:t>
      </w:r>
    </w:p>
    <w:p w14:paraId="12A29EDA">
      <w:pPr>
        <w:ind w:firstLine="437"/>
      </w:pPr>
      <w:r>
        <w:t>1/2~2/3的溢油在几小时与一天的时间内会蒸发掉。由于蒸发，油膜的物理与化学性质将产生重要的变化。由于蒸发依赖于多种因素。而且这些因素又在随时发生变化，要准确地计算蒸发率是困难的。进入海洋的溢油的蒸发速率与油的类型、风速、温度以及溢油面积等因素有关。现采用Mackay和Leinonen提出的模型，计算溢油的蒸发量。蒸发通量为：</w:t>
      </w:r>
    </w:p>
    <w:p w14:paraId="03B4DF93">
      <w:pPr>
        <w:ind w:firstLine="437"/>
        <w:jc w:val="center"/>
      </w:pPr>
      <w:r>
        <w:drawing>
          <wp:inline distT="0" distB="0" distL="0" distR="0">
            <wp:extent cx="2294890" cy="259080"/>
            <wp:effectExtent l="0" t="0" r="0" b="7620"/>
            <wp:docPr id="170358691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86913" name="图片 35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2294890" cy="259080"/>
                    </a:xfrm>
                    <a:prstGeom prst="rect">
                      <a:avLst/>
                    </a:prstGeom>
                    <a:noFill/>
                    <a:ln>
                      <a:noFill/>
                    </a:ln>
                  </pic:spPr>
                </pic:pic>
              </a:graphicData>
            </a:graphic>
          </wp:inline>
        </w:drawing>
      </w:r>
    </w:p>
    <w:p w14:paraId="4CF1BDBA">
      <w:pPr>
        <w:ind w:firstLine="437"/>
      </w:pPr>
      <w:r>
        <w:t>式中：</w:t>
      </w:r>
      <w:r>
        <w:drawing>
          <wp:inline distT="0" distB="0" distL="0" distR="0">
            <wp:extent cx="215900" cy="215900"/>
            <wp:effectExtent l="0" t="0" r="0" b="0"/>
            <wp:docPr id="29113507"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3507" name="图片 35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a:xfrm>
                      <a:off x="0" y="0"/>
                      <a:ext cx="215900" cy="215900"/>
                    </a:xfrm>
                    <a:prstGeom prst="rect">
                      <a:avLst/>
                    </a:prstGeom>
                    <a:noFill/>
                    <a:ln>
                      <a:noFill/>
                    </a:ln>
                  </pic:spPr>
                </pic:pic>
              </a:graphicData>
            </a:graphic>
          </wp:inline>
        </w:drawing>
      </w:r>
      <w:r>
        <w:t>——蒸发油质量变化系数；</w:t>
      </w:r>
    </w:p>
    <w:p w14:paraId="710872AB">
      <w:pPr>
        <w:ind w:firstLine="437"/>
      </w:pPr>
      <w:r>
        <w:drawing>
          <wp:inline distT="0" distB="0" distL="0" distR="0">
            <wp:extent cx="163830" cy="215900"/>
            <wp:effectExtent l="0" t="0" r="7620" b="0"/>
            <wp:docPr id="1843475050"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75050" name="图片 35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a:xfrm>
                      <a:off x="0" y="0"/>
                      <a:ext cx="163830" cy="215900"/>
                    </a:xfrm>
                    <a:prstGeom prst="rect">
                      <a:avLst/>
                    </a:prstGeom>
                    <a:noFill/>
                    <a:ln>
                      <a:noFill/>
                    </a:ln>
                  </pic:spPr>
                </pic:pic>
              </a:graphicData>
            </a:graphic>
          </wp:inline>
        </w:drawing>
      </w:r>
      <w:r>
        <w:t>——溢油中第</w:t>
      </w:r>
      <w:r>
        <w:drawing>
          <wp:inline distT="0" distB="0" distL="0" distR="0">
            <wp:extent cx="86360" cy="172720"/>
            <wp:effectExtent l="0" t="0" r="8890" b="0"/>
            <wp:docPr id="657190375"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190375" name="图片 35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0" y="0"/>
                      <a:ext cx="86360" cy="172720"/>
                    </a:xfrm>
                    <a:prstGeom prst="rect">
                      <a:avLst/>
                    </a:prstGeom>
                    <a:noFill/>
                    <a:ln>
                      <a:noFill/>
                    </a:ln>
                  </pic:spPr>
                </pic:pic>
              </a:graphicData>
            </a:graphic>
          </wp:inline>
        </w:drawing>
      </w:r>
      <w:r>
        <w:t>种组分的浓度，mole/e；</w:t>
      </w:r>
    </w:p>
    <w:p w14:paraId="6C23EBC0">
      <w:pPr>
        <w:ind w:firstLine="437"/>
      </w:pPr>
      <w:r>
        <w:drawing>
          <wp:inline distT="0" distB="0" distL="0" distR="0">
            <wp:extent cx="163830" cy="215900"/>
            <wp:effectExtent l="0" t="0" r="7620" b="0"/>
            <wp:docPr id="1897658943"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658943" name="图片 34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a:xfrm>
                      <a:off x="0" y="0"/>
                      <a:ext cx="163830" cy="215900"/>
                    </a:xfrm>
                    <a:prstGeom prst="rect">
                      <a:avLst/>
                    </a:prstGeom>
                    <a:noFill/>
                    <a:ln>
                      <a:noFill/>
                    </a:ln>
                  </pic:spPr>
                </pic:pic>
              </a:graphicData>
            </a:graphic>
          </wp:inline>
        </w:drawing>
      </w:r>
      <w:r>
        <w:t>——一定温度下，第</w:t>
      </w:r>
      <w:r>
        <w:drawing>
          <wp:inline distT="0" distB="0" distL="0" distR="0">
            <wp:extent cx="86360" cy="172720"/>
            <wp:effectExtent l="0" t="0" r="8890" b="0"/>
            <wp:docPr id="2070387483"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387483" name="图片 34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0" y="0"/>
                      <a:ext cx="86360" cy="172720"/>
                    </a:xfrm>
                    <a:prstGeom prst="rect">
                      <a:avLst/>
                    </a:prstGeom>
                    <a:noFill/>
                    <a:ln>
                      <a:noFill/>
                    </a:ln>
                  </pic:spPr>
                </pic:pic>
              </a:graphicData>
            </a:graphic>
          </wp:inline>
        </w:drawing>
      </w:r>
      <w:r>
        <w:t>种组分的蒸汽压力；</w:t>
      </w:r>
    </w:p>
    <w:p w14:paraId="391818AA">
      <w:pPr>
        <w:ind w:firstLine="437"/>
      </w:pPr>
      <w:r>
        <w:drawing>
          <wp:inline distT="0" distB="0" distL="0" distR="0">
            <wp:extent cx="163830" cy="163830"/>
            <wp:effectExtent l="0" t="0" r="7620" b="7620"/>
            <wp:docPr id="2120952960"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952960" name="图片 34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0" y="0"/>
                      <a:ext cx="163830" cy="163830"/>
                    </a:xfrm>
                    <a:prstGeom prst="rect">
                      <a:avLst/>
                    </a:prstGeom>
                    <a:noFill/>
                    <a:ln>
                      <a:noFill/>
                    </a:ln>
                  </pic:spPr>
                </pic:pic>
              </a:graphicData>
            </a:graphic>
          </wp:inline>
        </w:drawing>
      </w:r>
      <w:r>
        <w:t>——普通气体常数；</w:t>
      </w:r>
    </w:p>
    <w:p w14:paraId="6C770B98">
      <w:pPr>
        <w:ind w:firstLine="437"/>
      </w:pPr>
      <w:r>
        <w:drawing>
          <wp:inline distT="0" distB="0" distL="0" distR="0">
            <wp:extent cx="146685" cy="163830"/>
            <wp:effectExtent l="0" t="0" r="5715" b="7620"/>
            <wp:docPr id="153236031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360316" name="图片 34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a:xfrm>
                      <a:off x="0" y="0"/>
                      <a:ext cx="146685" cy="163830"/>
                    </a:xfrm>
                    <a:prstGeom prst="rect">
                      <a:avLst/>
                    </a:prstGeom>
                    <a:noFill/>
                    <a:ln>
                      <a:noFill/>
                    </a:ln>
                  </pic:spPr>
                </pic:pic>
              </a:graphicData>
            </a:graphic>
          </wp:inline>
        </w:drawing>
      </w:r>
      <w:r>
        <w:t>——油面上的空气温度，°K。</w:t>
      </w:r>
    </w:p>
    <w:p w14:paraId="2E04BE41">
      <w:pPr>
        <w:ind w:firstLine="437"/>
      </w:pPr>
      <w:r>
        <w:t>（3）溶解</w:t>
      </w:r>
    </w:p>
    <w:p w14:paraId="07039D28">
      <w:pPr>
        <w:ind w:firstLine="437"/>
      </w:pPr>
      <w:r>
        <w:t>溶解于水的碳氢化合物对于水中生物系统存在着潜在毒性，但溢油的溶解不会达到百分之几的程度，所以从溢油量损失的观点看他们是无关紧要的。这说明在分析油膜的运动时可以不考虑溶解率。</w:t>
      </w:r>
    </w:p>
    <w:p w14:paraId="30B0BD55">
      <w:pPr>
        <w:ind w:firstLine="437"/>
      </w:pPr>
      <w:r>
        <w:t>（4）垂直扩散或垂直运输</w:t>
      </w:r>
    </w:p>
    <w:p w14:paraId="075C2965">
      <w:pPr>
        <w:ind w:firstLine="437"/>
      </w:pPr>
      <w:r>
        <w:t>垂向分散作用对油膜寿命的评估也是必不可少的。垂向分散率的大小主要取决海况，但也受到溢油相关参数的影响，比如溢油的厚度、溢油属性(密度、表面张力和粘度等)。乳化过程对溢油寿命造成的重大影响在于其所造成的溢油粘度的猛增以及含水率的增加导致的溢油厚度的增大。</w:t>
      </w:r>
    </w:p>
    <w:p w14:paraId="75ACAE0D">
      <w:pPr>
        <w:ind w:firstLine="437"/>
      </w:pPr>
      <w:r>
        <w:t>（5）乳化乳胶的形成</w:t>
      </w:r>
    </w:p>
    <w:p w14:paraId="7C9E28EC">
      <w:pPr>
        <w:ind w:firstLine="437"/>
      </w:pPr>
      <w:r>
        <w:t>重质原油具有较高的粘性，一般形成较稳定的乳胶状油，而沥青烯与高分子量蜡的存在乳胶的形成密切相关。溢油的含水率(乳化率)往往是采用何种溢油应急器材的重要依据。由于溢油的乳化作用，溢油的粘度会逐渐升高，甚至能高达130000~170000mm</w:t>
      </w:r>
      <w:r>
        <w:rPr>
          <w:vertAlign w:val="superscript"/>
        </w:rPr>
        <w:t>2</w:t>
      </w:r>
      <w:r>
        <w:t>/s，影响了溢油应急器材的性能。因此，溢油含水率的计算在溢油预测中尤为重要。由于水包油形成“巧克力冻”的机理尚不明确，本文仅计算油包水混合物中的含水率。含水率的计算，较为广泛使用的是Mackay et al.(1980)提出的计算公式：</w:t>
      </w:r>
    </w:p>
    <w:p w14:paraId="5A94DDD8">
      <w:pPr>
        <w:ind w:firstLine="437"/>
      </w:pPr>
      <w:r>
        <w:drawing>
          <wp:inline distT="0" distB="0" distL="0" distR="0">
            <wp:extent cx="1889125" cy="440055"/>
            <wp:effectExtent l="0" t="0" r="0" b="0"/>
            <wp:docPr id="43041286"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1286" name="图片 34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1889125" cy="440055"/>
                    </a:xfrm>
                    <a:prstGeom prst="rect">
                      <a:avLst/>
                    </a:prstGeom>
                    <a:noFill/>
                    <a:ln>
                      <a:noFill/>
                    </a:ln>
                  </pic:spPr>
                </pic:pic>
              </a:graphicData>
            </a:graphic>
          </wp:inline>
        </w:drawing>
      </w:r>
      <w:r>
        <w:t xml:space="preserve">           </w:t>
      </w:r>
      <w:r>
        <w:rPr>
          <w:rFonts w:hint="eastAsia"/>
        </w:rPr>
        <w:t xml:space="preserve">               </w:t>
      </w:r>
      <w:r>
        <w:t xml:space="preserve">   </w:t>
      </w:r>
    </w:p>
    <w:p w14:paraId="1C0F87E7">
      <w:pPr>
        <w:ind w:firstLine="437"/>
      </w:pPr>
      <w:r>
        <w:t>式中：</w:t>
      </w:r>
      <w:r>
        <w:drawing>
          <wp:inline distT="0" distB="0" distL="0" distR="0">
            <wp:extent cx="233045" cy="215900"/>
            <wp:effectExtent l="0" t="0" r="0" b="0"/>
            <wp:docPr id="1995293101"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293101" name="图片 34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0" y="0"/>
                      <a:ext cx="233045" cy="215900"/>
                    </a:xfrm>
                    <a:prstGeom prst="rect">
                      <a:avLst/>
                    </a:prstGeom>
                    <a:noFill/>
                    <a:ln>
                      <a:noFill/>
                    </a:ln>
                  </pic:spPr>
                </pic:pic>
              </a:graphicData>
            </a:graphic>
          </wp:inline>
        </w:drawing>
      </w:r>
      <w:r>
        <w:t>——乳化液中水的体积分数；</w:t>
      </w:r>
    </w:p>
    <w:p w14:paraId="1ADD79FE">
      <w:pPr>
        <w:ind w:firstLine="437"/>
      </w:pPr>
      <w:r>
        <w:drawing>
          <wp:inline distT="0" distB="0" distL="0" distR="0">
            <wp:extent cx="215900" cy="215900"/>
            <wp:effectExtent l="0" t="0" r="0" b="0"/>
            <wp:docPr id="1792627794"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627794" name="图片 34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0" y="0"/>
                      <a:ext cx="215900" cy="215900"/>
                    </a:xfrm>
                    <a:prstGeom prst="rect">
                      <a:avLst/>
                    </a:prstGeom>
                    <a:noFill/>
                    <a:ln>
                      <a:noFill/>
                    </a:ln>
                  </pic:spPr>
                </pic:pic>
              </a:graphicData>
            </a:graphic>
          </wp:inline>
        </w:drawing>
      </w:r>
      <w:r>
        <w:t>——是一个经验常数，其取值在1.0e</w:t>
      </w:r>
      <w:r>
        <w:rPr>
          <w:vertAlign w:val="superscript"/>
        </w:rPr>
        <w:t>-6</w:t>
      </w:r>
      <w:r>
        <w:t>和2.0e</w:t>
      </w:r>
      <w:r>
        <w:rPr>
          <w:vertAlign w:val="superscript"/>
        </w:rPr>
        <w:t>-6</w:t>
      </w:r>
      <w:r>
        <w:t>之间，本文中取为1.6e</w:t>
      </w:r>
      <w:r>
        <w:rPr>
          <w:vertAlign w:val="superscript"/>
        </w:rPr>
        <w:t>-6</w:t>
      </w:r>
      <w:r>
        <w:t>(NOAA, 1994)；</w:t>
      </w:r>
    </w:p>
    <w:p w14:paraId="3D9DCD48">
      <w:pPr>
        <w:ind w:firstLine="437"/>
      </w:pPr>
      <w:r>
        <w:drawing>
          <wp:inline distT="0" distB="0" distL="0" distR="0">
            <wp:extent cx="163830" cy="163830"/>
            <wp:effectExtent l="0" t="0" r="7620" b="7620"/>
            <wp:docPr id="1620267906"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267906" name="图片 34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0" y="0"/>
                      <a:ext cx="163830" cy="163830"/>
                    </a:xfrm>
                    <a:prstGeom prst="rect">
                      <a:avLst/>
                    </a:prstGeom>
                    <a:noFill/>
                    <a:ln>
                      <a:noFill/>
                    </a:ln>
                  </pic:spPr>
                </pic:pic>
              </a:graphicData>
            </a:graphic>
          </wp:inline>
        </w:drawing>
      </w:r>
      <w:r>
        <w:t>——海表面10m以上的风速；</w:t>
      </w:r>
    </w:p>
    <w:p w14:paraId="69D90BFC">
      <w:pPr>
        <w:ind w:firstLine="437"/>
      </w:pPr>
      <w:r>
        <w:drawing>
          <wp:inline distT="0" distB="0" distL="0" distR="0">
            <wp:extent cx="440055" cy="259080"/>
            <wp:effectExtent l="0" t="0" r="0" b="7620"/>
            <wp:docPr id="1337102320"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102320" name="图片 34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440055" cy="259080"/>
                    </a:xfrm>
                    <a:prstGeom prst="rect">
                      <a:avLst/>
                    </a:prstGeom>
                    <a:noFill/>
                    <a:ln>
                      <a:noFill/>
                    </a:ln>
                  </pic:spPr>
                </pic:pic>
              </a:graphicData>
            </a:graphic>
          </wp:inline>
        </w:drawing>
      </w:r>
      <w:r>
        <w:t>——该种油品最终能形成的最大含水率，其取值一般建立在实验室数据之上。</w:t>
      </w:r>
    </w:p>
    <w:p w14:paraId="46ADB1AA">
      <w:pPr>
        <w:ind w:firstLine="437"/>
      </w:pPr>
      <w:r>
        <w:t>（6）沉积</w:t>
      </w:r>
    </w:p>
    <w:p w14:paraId="1085AEE9">
      <w:pPr>
        <w:ind w:firstLine="437"/>
      </w:pPr>
      <w:r>
        <w:t>各种形式的油都有可能被沉积物颗粒吸附沉于水底或粘结在岸边。在淤泥质沉积物中油的渗透是最小的，只有上层几厘米才会受到影响。</w:t>
      </w:r>
    </w:p>
    <w:p w14:paraId="7393E68D">
      <w:pPr>
        <w:ind w:firstLine="437"/>
      </w:pPr>
      <w:r>
        <w:t>总之，对流与扩散是影响溢油的最重要的过程，他们能改变油膜的位置；蒸发和其它的变化过程在溢油风险预报中亦应尽可能考虑，但是要全面地对溢油风险作出预测，目前还很困难，尤其是对于生态系统的影响需进行大量的现场实验与理论分析工作。本评价报告只是通过溢油的对流与扩散的数值模型给出溢油油膜分布的大致轮廓，从这些轮廓可以预测到溢油的最大危害可能出现在什么地方，以及它所能影响的海域范围，旨在为溢油应急决策提供技术参考。</w:t>
      </w:r>
    </w:p>
    <w:p w14:paraId="0C009B1F">
      <w:pPr>
        <w:ind w:firstLine="437"/>
      </w:pPr>
      <w:bookmarkStart w:id="574" w:name="_Toc59022311"/>
      <w:bookmarkStart w:id="575" w:name="_Toc369854894"/>
      <w:r>
        <w:rPr>
          <w:rFonts w:hint="eastAsia"/>
        </w:rPr>
        <w:t>二、油膜轨迹预测</w:t>
      </w:r>
      <w:bookmarkEnd w:id="574"/>
    </w:p>
    <w:p w14:paraId="0E4BBD52">
      <w:pPr>
        <w:ind w:firstLine="437"/>
      </w:pPr>
      <w:r>
        <w:rPr>
          <w:rFonts w:hint="eastAsia"/>
        </w:rPr>
        <w:t>1、</w:t>
      </w:r>
      <w:r>
        <w:t>油膜轨迹预测</w:t>
      </w:r>
      <w:bookmarkEnd w:id="575"/>
    </w:p>
    <w:p w14:paraId="0AAAAA17">
      <w:pPr>
        <w:ind w:firstLine="437"/>
      </w:pPr>
      <w:r>
        <w:t>（1）泄漏油油膜中心点运移轨迹计算</w:t>
      </w:r>
    </w:p>
    <w:p w14:paraId="504BE9C7">
      <w:pPr>
        <w:ind w:firstLine="437"/>
      </w:pPr>
      <w:r>
        <w:t>海流在风作用下，形成风生流。计算海流、风共生流可采用下述2种方法之一，视具体情形选择之，即：</w:t>
      </w:r>
    </w:p>
    <w:p w14:paraId="0B5464B1">
      <w:pPr>
        <w:ind w:firstLine="437"/>
      </w:pPr>
      <w:r>
        <w:t>A.在水流动量方程中计及风应力；</w:t>
      </w:r>
    </w:p>
    <w:p w14:paraId="3FA79545">
      <w:pPr>
        <w:ind w:firstLine="437"/>
      </w:pPr>
      <w:r>
        <w:t>B.采用Hoult经验公式：</w:t>
      </w:r>
    </w:p>
    <w:p w14:paraId="1B165009">
      <w:pPr>
        <w:ind w:firstLine="437"/>
      </w:pPr>
      <w:r>
        <w:drawing>
          <wp:inline distT="0" distB="0" distL="0" distR="0">
            <wp:extent cx="1268095" cy="267335"/>
            <wp:effectExtent l="0" t="0" r="8255" b="0"/>
            <wp:docPr id="379788921"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88921" name="图片 34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0" y="0"/>
                      <a:ext cx="1268095" cy="267335"/>
                    </a:xfrm>
                    <a:prstGeom prst="rect">
                      <a:avLst/>
                    </a:prstGeom>
                    <a:noFill/>
                    <a:ln>
                      <a:noFill/>
                    </a:ln>
                  </pic:spPr>
                </pic:pic>
              </a:graphicData>
            </a:graphic>
          </wp:inline>
        </w:drawing>
      </w:r>
    </w:p>
    <w:p w14:paraId="42092630">
      <w:pPr>
        <w:ind w:firstLine="437"/>
      </w:pPr>
      <w:r>
        <w:t>式中：</w:t>
      </w:r>
      <w:r>
        <w:drawing>
          <wp:inline distT="0" distB="0" distL="0" distR="0">
            <wp:extent cx="198120" cy="215900"/>
            <wp:effectExtent l="0" t="0" r="0" b="0"/>
            <wp:docPr id="631740848"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740848" name="图片 33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a:xfrm>
                      <a:off x="0" y="0"/>
                      <a:ext cx="198120" cy="215900"/>
                    </a:xfrm>
                    <a:prstGeom prst="rect">
                      <a:avLst/>
                    </a:prstGeom>
                    <a:noFill/>
                    <a:ln>
                      <a:noFill/>
                    </a:ln>
                  </pic:spPr>
                </pic:pic>
              </a:graphicData>
            </a:graphic>
          </wp:inline>
        </w:drawing>
      </w:r>
      <w:r>
        <w:t>——油膜扩散速度，</w:t>
      </w:r>
      <w:r>
        <w:drawing>
          <wp:inline distT="0" distB="0" distL="0" distR="0">
            <wp:extent cx="198120" cy="215900"/>
            <wp:effectExtent l="0" t="0" r="0" b="0"/>
            <wp:docPr id="930736562"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736562" name="图片 33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a:xfrm>
                      <a:off x="0" y="0"/>
                      <a:ext cx="198120" cy="215900"/>
                    </a:xfrm>
                    <a:prstGeom prst="rect">
                      <a:avLst/>
                    </a:prstGeom>
                    <a:noFill/>
                    <a:ln>
                      <a:noFill/>
                    </a:ln>
                  </pic:spPr>
                </pic:pic>
              </a:graphicData>
            </a:graphic>
          </wp:inline>
        </w:drawing>
      </w:r>
      <w:r>
        <w:t>=0；</w:t>
      </w:r>
    </w:p>
    <w:p w14:paraId="740ACCC3">
      <w:pPr>
        <w:ind w:firstLine="437"/>
      </w:pPr>
      <w:r>
        <w:drawing>
          <wp:inline distT="0" distB="0" distL="0" distR="0">
            <wp:extent cx="120650" cy="163830"/>
            <wp:effectExtent l="0" t="0" r="0" b="7620"/>
            <wp:docPr id="911007275"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007275" name="图片 33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120650" cy="163830"/>
                    </a:xfrm>
                    <a:prstGeom prst="rect">
                      <a:avLst/>
                    </a:prstGeom>
                    <a:noFill/>
                    <a:ln>
                      <a:noFill/>
                    </a:ln>
                  </pic:spPr>
                </pic:pic>
              </a:graphicData>
            </a:graphic>
          </wp:inline>
        </w:drawing>
      </w:r>
      <w:r>
        <w:t>——风对油膜运动的作用系数，它主要取决于风、石油类、海水性质、水温等(取值介于0.01~0.03)；</w:t>
      </w:r>
    </w:p>
    <w:p w14:paraId="5D5E4010">
      <w:pPr>
        <w:ind w:firstLine="437"/>
      </w:pPr>
      <w:r>
        <w:drawing>
          <wp:inline distT="0" distB="0" distL="0" distR="0">
            <wp:extent cx="293370" cy="267335"/>
            <wp:effectExtent l="0" t="0" r="0" b="0"/>
            <wp:docPr id="1349191763"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91763" name="图片 33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293370" cy="267335"/>
                    </a:xfrm>
                    <a:prstGeom prst="rect">
                      <a:avLst/>
                    </a:prstGeom>
                    <a:noFill/>
                    <a:ln>
                      <a:noFill/>
                    </a:ln>
                  </pic:spPr>
                </pic:pic>
              </a:graphicData>
            </a:graphic>
          </wp:inline>
        </w:drawing>
      </w:r>
      <w:r>
        <w:t>——水体的表面流速，它与垂线平均流速有一定的关系，主要取决于流速在垂向的分布，计算中取：</w:t>
      </w:r>
      <w:r>
        <w:drawing>
          <wp:inline distT="0" distB="0" distL="0" distR="0">
            <wp:extent cx="293370" cy="267335"/>
            <wp:effectExtent l="0" t="0" r="0" b="0"/>
            <wp:docPr id="69442578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25785" name="图片 33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293370" cy="267335"/>
                    </a:xfrm>
                    <a:prstGeom prst="rect">
                      <a:avLst/>
                    </a:prstGeom>
                    <a:noFill/>
                    <a:ln>
                      <a:noFill/>
                    </a:ln>
                  </pic:spPr>
                </pic:pic>
              </a:graphicData>
            </a:graphic>
          </wp:inline>
        </w:drawing>
      </w:r>
      <w:r>
        <w:t>=(1.2~1.3)</w:t>
      </w:r>
      <w:r>
        <w:drawing>
          <wp:inline distT="0" distB="0" distL="0" distR="0">
            <wp:extent cx="146685" cy="163830"/>
            <wp:effectExtent l="0" t="0" r="5715" b="7620"/>
            <wp:docPr id="1923407913"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407913" name="图片 33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146685" cy="163830"/>
                    </a:xfrm>
                    <a:prstGeom prst="rect">
                      <a:avLst/>
                    </a:prstGeom>
                    <a:noFill/>
                    <a:ln>
                      <a:noFill/>
                    </a:ln>
                  </pic:spPr>
                </pic:pic>
              </a:graphicData>
            </a:graphic>
          </wp:inline>
        </w:drawing>
      </w:r>
      <w:r>
        <w:t>垂线平均。</w:t>
      </w:r>
    </w:p>
    <w:p w14:paraId="03CC7CF5">
      <w:pPr>
        <w:ind w:firstLine="437"/>
      </w:pPr>
      <w:r>
        <w:t>在算得海流、风共生流场的基础上，再进行Lagrange无质量标记点运动轨迹追踪计算。Lagrange质点追踪计算是研究污染物排放后，长历时地随海流游荡的最终去向，它是分析排污效果优劣的重要手段之一，也可对生物的影响评价提供基本资料。</w:t>
      </w:r>
    </w:p>
    <w:p w14:paraId="56E27FFF">
      <w:pPr>
        <w:ind w:firstLine="437"/>
      </w:pPr>
      <w:r>
        <w:t>Lagrange质点追踪计算可描述污染物质随水流在水域中运动的轨迹：</w:t>
      </w:r>
    </w:p>
    <w:p w14:paraId="4A552DEE">
      <w:pPr>
        <w:ind w:firstLine="437"/>
      </w:pPr>
      <w:r>
        <w:drawing>
          <wp:inline distT="0" distB="0" distL="0" distR="0">
            <wp:extent cx="3277870" cy="396875"/>
            <wp:effectExtent l="0" t="0" r="0" b="3175"/>
            <wp:docPr id="708375724"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375724" name="图片 33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3277870" cy="396875"/>
                    </a:xfrm>
                    <a:prstGeom prst="rect">
                      <a:avLst/>
                    </a:prstGeom>
                    <a:noFill/>
                    <a:ln>
                      <a:noFill/>
                    </a:ln>
                  </pic:spPr>
                </pic:pic>
              </a:graphicData>
            </a:graphic>
          </wp:inline>
        </w:drawing>
      </w:r>
    </w:p>
    <w:p w14:paraId="40CFEA90">
      <w:pPr>
        <w:ind w:firstLine="437"/>
      </w:pPr>
      <w:r>
        <w:t>点位代表油膜中心位置，计算公式为：</w:t>
      </w:r>
    </w:p>
    <w:p w14:paraId="03666DC2">
      <w:pPr>
        <w:ind w:firstLine="437"/>
      </w:pPr>
      <w:r>
        <w:drawing>
          <wp:inline distT="0" distB="0" distL="0" distR="0">
            <wp:extent cx="4304665" cy="621030"/>
            <wp:effectExtent l="0" t="0" r="0" b="7620"/>
            <wp:docPr id="442082496"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82496" name="图片 33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a:xfrm>
                      <a:off x="0" y="0"/>
                      <a:ext cx="4304665" cy="621030"/>
                    </a:xfrm>
                    <a:prstGeom prst="rect">
                      <a:avLst/>
                    </a:prstGeom>
                    <a:noFill/>
                    <a:ln>
                      <a:noFill/>
                    </a:ln>
                  </pic:spPr>
                </pic:pic>
              </a:graphicData>
            </a:graphic>
          </wp:inline>
        </w:drawing>
      </w:r>
    </w:p>
    <w:p w14:paraId="0B8D5DFB">
      <w:pPr>
        <w:ind w:firstLine="437"/>
      </w:pPr>
      <w:r>
        <w:t>式中：</w:t>
      </w:r>
      <w:r>
        <w:drawing>
          <wp:inline distT="0" distB="0" distL="0" distR="0">
            <wp:extent cx="603885" cy="215900"/>
            <wp:effectExtent l="0" t="0" r="5715" b="0"/>
            <wp:docPr id="1261323590"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323590" name="图片 33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a:xfrm>
                      <a:off x="0" y="0"/>
                      <a:ext cx="603885" cy="215900"/>
                    </a:xfrm>
                    <a:prstGeom prst="rect">
                      <a:avLst/>
                    </a:prstGeom>
                    <a:noFill/>
                    <a:ln>
                      <a:noFill/>
                    </a:ln>
                  </pic:spPr>
                </pic:pic>
              </a:graphicData>
            </a:graphic>
          </wp:inline>
        </w:drawing>
      </w:r>
      <w:r>
        <w:t>——欧拉流速，下脚标</w:t>
      </w:r>
      <w:r>
        <w:drawing>
          <wp:inline distT="0" distB="0" distL="0" distR="0">
            <wp:extent cx="86360" cy="172720"/>
            <wp:effectExtent l="0" t="0" r="8890" b="0"/>
            <wp:docPr id="355593537"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93537" name="图片 33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86360" cy="172720"/>
                    </a:xfrm>
                    <a:prstGeom prst="rect">
                      <a:avLst/>
                    </a:prstGeom>
                    <a:noFill/>
                    <a:ln>
                      <a:noFill/>
                    </a:ln>
                  </pic:spPr>
                </pic:pic>
              </a:graphicData>
            </a:graphic>
          </wp:inline>
        </w:drawing>
      </w:r>
      <w:r>
        <w:t>为无质量标记点点号，其初始位置为</w:t>
      </w:r>
      <w:r>
        <w:drawing>
          <wp:inline distT="0" distB="0" distL="0" distR="0">
            <wp:extent cx="457200" cy="215900"/>
            <wp:effectExtent l="0" t="0" r="0" b="0"/>
            <wp:docPr id="155408615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86159" name="图片 32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457200" cy="215900"/>
                    </a:xfrm>
                    <a:prstGeom prst="rect">
                      <a:avLst/>
                    </a:prstGeom>
                    <a:noFill/>
                    <a:ln>
                      <a:noFill/>
                    </a:ln>
                  </pic:spPr>
                </pic:pic>
              </a:graphicData>
            </a:graphic>
          </wp:inline>
        </w:drawing>
      </w:r>
      <w:r>
        <w:t>；</w:t>
      </w:r>
    </w:p>
    <w:p w14:paraId="495B29FE">
      <w:pPr>
        <w:ind w:firstLine="437"/>
      </w:pPr>
      <w:r>
        <w:drawing>
          <wp:inline distT="0" distB="0" distL="0" distR="0">
            <wp:extent cx="86360" cy="146685"/>
            <wp:effectExtent l="0" t="0" r="8890" b="5715"/>
            <wp:docPr id="275932319"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32319" name="图片 32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0" y="0"/>
                      <a:ext cx="86360" cy="146685"/>
                    </a:xfrm>
                    <a:prstGeom prst="rect">
                      <a:avLst/>
                    </a:prstGeom>
                    <a:noFill/>
                    <a:ln>
                      <a:noFill/>
                    </a:ln>
                  </pic:spPr>
                </pic:pic>
              </a:graphicData>
            </a:graphic>
          </wp:inline>
        </w:drawing>
      </w:r>
      <w:r>
        <w:t>——时刻；</w:t>
      </w:r>
      <w:r>
        <w:drawing>
          <wp:inline distT="0" distB="0" distL="0" distR="0">
            <wp:extent cx="163830" cy="163830"/>
            <wp:effectExtent l="0" t="0" r="7620" b="7620"/>
            <wp:docPr id="686295825"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95825" name="图片 32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a:xfrm>
                      <a:off x="0" y="0"/>
                      <a:ext cx="163830" cy="163830"/>
                    </a:xfrm>
                    <a:prstGeom prst="rect">
                      <a:avLst/>
                    </a:prstGeom>
                    <a:noFill/>
                    <a:ln>
                      <a:noFill/>
                    </a:ln>
                  </pic:spPr>
                </pic:pic>
              </a:graphicData>
            </a:graphic>
          </wp:inline>
        </w:drawing>
      </w:r>
      <w:r>
        <w:t>——时步；</w:t>
      </w:r>
      <w:r>
        <w:drawing>
          <wp:inline distT="0" distB="0" distL="0" distR="0">
            <wp:extent cx="146685" cy="163830"/>
            <wp:effectExtent l="0" t="0" r="5715" b="7620"/>
            <wp:docPr id="742479995"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79995" name="图片 32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a:xfrm>
                      <a:off x="0" y="0"/>
                      <a:ext cx="146685" cy="163830"/>
                    </a:xfrm>
                    <a:prstGeom prst="rect">
                      <a:avLst/>
                    </a:prstGeom>
                    <a:noFill/>
                    <a:ln>
                      <a:noFill/>
                    </a:ln>
                  </pic:spPr>
                </pic:pic>
              </a:graphicData>
            </a:graphic>
          </wp:inline>
        </w:drawing>
      </w:r>
      <w:r>
        <w:t>——梯度算子。</w:t>
      </w:r>
    </w:p>
    <w:p w14:paraId="4966DDE0">
      <w:pPr>
        <w:ind w:firstLine="437"/>
      </w:pPr>
      <w:r>
        <w:t>利用三节点等参数三角元面积坐标，易于求得新点位的插值流速。最终可求得不同时刻溢油油膜中心位置。</w:t>
      </w:r>
    </w:p>
    <w:p w14:paraId="0A5AA3BC">
      <w:pPr>
        <w:ind w:firstLine="437"/>
      </w:pPr>
      <w:bookmarkStart w:id="576" w:name="_Toc151736104"/>
      <w:bookmarkStart w:id="577" w:name="_Toc151797953"/>
      <w:bookmarkStart w:id="578" w:name="_Toc151889962"/>
      <w:bookmarkStart w:id="579" w:name="_Toc151779501"/>
      <w:r>
        <w:t>（2）油膜扩散直径和扩散面积的计算</w:t>
      </w:r>
      <w:bookmarkEnd w:id="576"/>
      <w:bookmarkEnd w:id="577"/>
      <w:bookmarkEnd w:id="578"/>
      <w:bookmarkEnd w:id="579"/>
    </w:p>
    <w:p w14:paraId="5248101A">
      <w:pPr>
        <w:ind w:firstLine="437"/>
      </w:pPr>
      <w:r>
        <w:t>建设工程项目发生的燃料油泄漏事故，模拟石油类的泄漏过程，大体上可分为3个阶段，即：</w:t>
      </w:r>
    </w:p>
    <w:p w14:paraId="319EA71D">
      <w:pPr>
        <w:ind w:firstLine="437"/>
      </w:pPr>
      <w:r>
        <w:t>A.浮射流阶段；</w:t>
      </w:r>
    </w:p>
    <w:p w14:paraId="2E7DCC11">
      <w:pPr>
        <w:ind w:firstLine="437"/>
      </w:pPr>
      <w:r>
        <w:t>B.溢油控制阶段；</w:t>
      </w:r>
    </w:p>
    <w:p w14:paraId="2B0A7B6C">
      <w:pPr>
        <w:ind w:firstLine="437"/>
      </w:pPr>
      <w:r>
        <w:t>C.溢油漂移、输运、扩散阶段。</w:t>
      </w:r>
    </w:p>
    <w:p w14:paraId="4C2DB081">
      <w:pPr>
        <w:ind w:firstLine="437"/>
      </w:pPr>
      <w:r>
        <w:t>根据数学模型得出不同时刻溢油油膜中心位置后，再按P.C.Blokker提出的油膜扩散直径的经验计算公式，进一步预测油膜的扩散范围：</w:t>
      </w:r>
    </w:p>
    <w:p w14:paraId="0FD92FA4">
      <w:pPr>
        <w:ind w:firstLine="437"/>
      </w:pPr>
      <w:r>
        <w:drawing>
          <wp:inline distT="0" distB="0" distL="0" distR="0">
            <wp:extent cx="1992630" cy="431165"/>
            <wp:effectExtent l="0" t="0" r="7620" b="6985"/>
            <wp:docPr id="1335643121"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643121" name="图片 32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a:xfrm>
                      <a:off x="0" y="0"/>
                      <a:ext cx="1992630" cy="431165"/>
                    </a:xfrm>
                    <a:prstGeom prst="rect">
                      <a:avLst/>
                    </a:prstGeom>
                    <a:noFill/>
                    <a:ln>
                      <a:noFill/>
                    </a:ln>
                  </pic:spPr>
                </pic:pic>
              </a:graphicData>
            </a:graphic>
          </wp:inline>
        </w:drawing>
      </w:r>
    </w:p>
    <w:p w14:paraId="1A0553D6">
      <w:pPr>
        <w:ind w:firstLine="437"/>
      </w:pPr>
      <w:r>
        <w:t>式中：</w:t>
      </w:r>
      <w:r>
        <w:drawing>
          <wp:inline distT="0" distB="0" distL="0" distR="0">
            <wp:extent cx="86360" cy="146685"/>
            <wp:effectExtent l="0" t="0" r="8890" b="5715"/>
            <wp:docPr id="453145496"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45496" name="图片 32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a:xfrm>
                      <a:off x="0" y="0"/>
                      <a:ext cx="86360" cy="146685"/>
                    </a:xfrm>
                    <a:prstGeom prst="rect">
                      <a:avLst/>
                    </a:prstGeom>
                    <a:noFill/>
                    <a:ln>
                      <a:noFill/>
                    </a:ln>
                  </pic:spPr>
                </pic:pic>
              </a:graphicData>
            </a:graphic>
          </wp:inline>
        </w:drawing>
      </w:r>
      <w:r>
        <w:t>——时间，min；</w:t>
      </w:r>
    </w:p>
    <w:p w14:paraId="596E077E">
      <w:pPr>
        <w:ind w:firstLine="437"/>
      </w:pPr>
      <w:r>
        <w:drawing>
          <wp:inline distT="0" distB="0" distL="0" distR="0">
            <wp:extent cx="405130" cy="215900"/>
            <wp:effectExtent l="0" t="0" r="0" b="0"/>
            <wp:docPr id="191293833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938333" name="图片 32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a:xfrm>
                      <a:off x="0" y="0"/>
                      <a:ext cx="405130" cy="215900"/>
                    </a:xfrm>
                    <a:prstGeom prst="rect">
                      <a:avLst/>
                    </a:prstGeom>
                    <a:noFill/>
                    <a:ln>
                      <a:noFill/>
                    </a:ln>
                  </pic:spPr>
                </pic:pic>
              </a:graphicData>
            </a:graphic>
          </wp:inline>
        </w:drawing>
      </w:r>
      <w:r>
        <w:t>——分别为油膜在</w:t>
      </w:r>
      <w:r>
        <w:drawing>
          <wp:inline distT="0" distB="0" distL="0" distR="0">
            <wp:extent cx="86360" cy="146685"/>
            <wp:effectExtent l="0" t="0" r="8890" b="5715"/>
            <wp:docPr id="109613923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139232" name="图片 32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0" y="0"/>
                      <a:ext cx="86360" cy="146685"/>
                    </a:xfrm>
                    <a:prstGeom prst="rect">
                      <a:avLst/>
                    </a:prstGeom>
                    <a:noFill/>
                    <a:ln>
                      <a:noFill/>
                    </a:ln>
                  </pic:spPr>
                </pic:pic>
              </a:graphicData>
            </a:graphic>
          </wp:inline>
        </w:drawing>
      </w:r>
      <w:r>
        <w:t>时刻扩散的直径和初始直径，m；</w:t>
      </w:r>
    </w:p>
    <w:p w14:paraId="6D2242F0">
      <w:pPr>
        <w:ind w:firstLine="437"/>
      </w:pPr>
      <w:r>
        <w:drawing>
          <wp:inline distT="0" distB="0" distL="0" distR="0">
            <wp:extent cx="120650" cy="163830"/>
            <wp:effectExtent l="0" t="0" r="0" b="7620"/>
            <wp:docPr id="968555612"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555612" name="图片 32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0" y="0"/>
                      <a:ext cx="120650" cy="163830"/>
                    </a:xfrm>
                    <a:prstGeom prst="rect">
                      <a:avLst/>
                    </a:prstGeom>
                    <a:noFill/>
                    <a:ln>
                      <a:noFill/>
                    </a:ln>
                  </pic:spPr>
                </pic:pic>
              </a:graphicData>
            </a:graphic>
          </wp:inline>
        </w:drawing>
      </w:r>
      <w:r>
        <w:t>——系数；</w:t>
      </w:r>
    </w:p>
    <w:p w14:paraId="566EED0B">
      <w:pPr>
        <w:ind w:firstLine="437"/>
      </w:pPr>
      <w:r>
        <w:drawing>
          <wp:inline distT="0" distB="0" distL="0" distR="0">
            <wp:extent cx="379730" cy="215900"/>
            <wp:effectExtent l="0" t="0" r="1270" b="0"/>
            <wp:docPr id="1954147783"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47783" name="图片 32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379730" cy="215900"/>
                    </a:xfrm>
                    <a:prstGeom prst="rect">
                      <a:avLst/>
                    </a:prstGeom>
                    <a:noFill/>
                    <a:ln>
                      <a:noFill/>
                    </a:ln>
                  </pic:spPr>
                </pic:pic>
              </a:graphicData>
            </a:graphic>
          </wp:inline>
        </w:drawing>
      </w:r>
      <w:r>
        <w:t>——分别为水和燃料油的比重；</w:t>
      </w:r>
    </w:p>
    <w:p w14:paraId="7888A293">
      <w:pPr>
        <w:ind w:firstLine="437"/>
      </w:pPr>
      <w:r>
        <w:drawing>
          <wp:inline distT="0" distB="0" distL="0" distR="0">
            <wp:extent cx="163830" cy="215900"/>
            <wp:effectExtent l="0" t="0" r="7620" b="0"/>
            <wp:docPr id="1905241327"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41327" name="图片 31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a:xfrm>
                      <a:off x="0" y="0"/>
                      <a:ext cx="163830" cy="215900"/>
                    </a:xfrm>
                    <a:prstGeom prst="rect">
                      <a:avLst/>
                    </a:prstGeom>
                    <a:noFill/>
                    <a:ln>
                      <a:noFill/>
                    </a:ln>
                  </pic:spPr>
                </pic:pic>
              </a:graphicData>
            </a:graphic>
          </wp:inline>
        </w:drawing>
      </w:r>
      <w:r>
        <w:t>——计算泄漏燃料油量，m</w:t>
      </w:r>
      <w:r>
        <w:rPr>
          <w:vertAlign w:val="superscript"/>
        </w:rPr>
        <w:t>3</w:t>
      </w:r>
      <w:r>
        <w:t>。</w:t>
      </w:r>
    </w:p>
    <w:p w14:paraId="2CD1CA9A">
      <w:pPr>
        <w:ind w:firstLine="437"/>
      </w:pPr>
      <w:bookmarkStart w:id="580" w:name="_Toc369854895"/>
      <w:r>
        <w:rPr>
          <w:rFonts w:hint="eastAsia"/>
        </w:rPr>
        <w:t>2、</w:t>
      </w:r>
      <w:r>
        <w:t>“油粒子”法</w:t>
      </w:r>
      <w:bookmarkEnd w:id="580"/>
    </w:p>
    <w:p w14:paraId="075650B0">
      <w:pPr>
        <w:ind w:firstLine="437"/>
      </w:pPr>
      <w:r>
        <w:t>油粒子法，顾名思义就是将连续的溢油离散成许多粒子，对这些粒子在欧拉流场下进行追踪。在计算过程中，每个粒子将被赋予一定的属性，比如位置、粘度、密度、抵岸或者悬浮状态等，在模拟结束时，通过计算和分析油粒子的属性来获得对溢油事件的定量或者定性描述。“油粒子法”的提出，突破了以对流扩散为主的传统方法，并且避免在数值计算过程中的“数值振荡”，是溢油模式更新换代的转折点。</w:t>
      </w:r>
    </w:p>
    <w:p w14:paraId="15622224">
      <w:pPr>
        <w:ind w:firstLine="437"/>
      </w:pPr>
      <w:r>
        <w:t>计算中油粒子的数目对计算结果精度的影响是非常明显的。为了模拟湍动扩散效应，必须采用大量的油粒子以获得较为准确的结果。一般来说，精度随着粒子数目的平方根的变化而变化。</w:t>
      </w:r>
    </w:p>
    <w:p w14:paraId="70C48D60">
      <w:pPr>
        <w:ind w:firstLine="437"/>
      </w:pPr>
      <w:r>
        <w:t>油粒子的数目主要由以下几个因素决定：</w:t>
      </w:r>
    </w:p>
    <w:p w14:paraId="3F7094F6">
      <w:pPr>
        <w:ind w:firstLine="437"/>
      </w:pPr>
      <w:r>
        <w:t>（1）模拟时间的长短；</w:t>
      </w:r>
    </w:p>
    <w:p w14:paraId="5D0F6939">
      <w:pPr>
        <w:ind w:firstLine="437"/>
      </w:pPr>
      <w:r>
        <w:t>（2）粒子扩展尺度的期望值；</w:t>
      </w:r>
    </w:p>
    <w:p w14:paraId="334490F7">
      <w:pPr>
        <w:ind w:firstLine="437"/>
      </w:pPr>
      <w:r>
        <w:t>（3）用于统计油粒子数的网格空间不长；</w:t>
      </w:r>
    </w:p>
    <w:p w14:paraId="687A24BA">
      <w:pPr>
        <w:ind w:firstLine="437"/>
      </w:pPr>
      <w:r>
        <w:t>（4）溢油量；</w:t>
      </w:r>
    </w:p>
    <w:p w14:paraId="30DFDAF9">
      <w:pPr>
        <w:ind w:firstLine="437"/>
      </w:pPr>
      <w:r>
        <w:t>（5）垂向分层情况；</w:t>
      </w:r>
    </w:p>
    <w:p w14:paraId="16E04F69">
      <w:pPr>
        <w:ind w:firstLine="437"/>
      </w:pPr>
      <w:r>
        <w:t>（6）计算域的最小水深。</w:t>
      </w:r>
    </w:p>
    <w:p w14:paraId="36533787">
      <w:pPr>
        <w:ind w:firstLine="437"/>
      </w:pPr>
      <w:r>
        <w:t>从更深的意义上来说，持续排放所采用的粒子数会比瞬时排放的多。</w:t>
      </w:r>
    </w:p>
    <w:p w14:paraId="3185FB5A">
      <w:pPr>
        <w:ind w:firstLine="437"/>
      </w:pPr>
      <w:r>
        <w:t>模拟的精度一般采用最小浓度(厚度)来表示，该浓度(厚度)由单个粒子在一个计算网格单元表征。最小浓度为单个粒子的质量除以其所处的网格的体积，其计算式表示如下：</w:t>
      </w:r>
    </w:p>
    <w:p w14:paraId="7C088635">
      <w:pPr>
        <w:ind w:firstLine="437"/>
      </w:pPr>
      <w:r>
        <w:drawing>
          <wp:inline distT="0" distB="0" distL="0" distR="0">
            <wp:extent cx="2320290" cy="457200"/>
            <wp:effectExtent l="0" t="0" r="0" b="0"/>
            <wp:docPr id="723007307"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007307" name="图片 31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0" y="0"/>
                      <a:ext cx="2320290" cy="457200"/>
                    </a:xfrm>
                    <a:prstGeom prst="rect">
                      <a:avLst/>
                    </a:prstGeom>
                    <a:noFill/>
                    <a:ln>
                      <a:noFill/>
                    </a:ln>
                  </pic:spPr>
                </pic:pic>
              </a:graphicData>
            </a:graphic>
          </wp:inline>
        </w:drawing>
      </w:r>
    </w:p>
    <w:p w14:paraId="6E118946">
      <w:pPr>
        <w:ind w:firstLine="437"/>
      </w:pPr>
      <w:r>
        <w:t>式中：</w:t>
      </w:r>
      <w:r>
        <w:drawing>
          <wp:inline distT="0" distB="0" distL="0" distR="0">
            <wp:extent cx="293370" cy="215900"/>
            <wp:effectExtent l="0" t="0" r="0" b="0"/>
            <wp:docPr id="492089993"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89993" name="图片 31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a:xfrm>
                      <a:off x="0" y="0"/>
                      <a:ext cx="293370" cy="215900"/>
                    </a:xfrm>
                    <a:prstGeom prst="rect">
                      <a:avLst/>
                    </a:prstGeom>
                    <a:noFill/>
                    <a:ln>
                      <a:noFill/>
                    </a:ln>
                  </pic:spPr>
                </pic:pic>
              </a:graphicData>
            </a:graphic>
          </wp:inline>
        </w:drawing>
      </w:r>
      <w:r>
        <w:t>——最小浓度；</w:t>
      </w:r>
    </w:p>
    <w:p w14:paraId="31CC4388">
      <w:pPr>
        <w:ind w:firstLine="437"/>
      </w:pPr>
      <w:r>
        <w:drawing>
          <wp:inline distT="0" distB="0" distL="0" distR="0">
            <wp:extent cx="457200" cy="241300"/>
            <wp:effectExtent l="0" t="0" r="0" b="6350"/>
            <wp:docPr id="1777303035"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03035" name="图片 31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a:xfrm>
                      <a:off x="0" y="0"/>
                      <a:ext cx="457200" cy="241300"/>
                    </a:xfrm>
                    <a:prstGeom prst="rect">
                      <a:avLst/>
                    </a:prstGeom>
                    <a:noFill/>
                    <a:ln>
                      <a:noFill/>
                    </a:ln>
                  </pic:spPr>
                </pic:pic>
              </a:graphicData>
            </a:graphic>
          </wp:inline>
        </w:drawing>
      </w:r>
      <w:r>
        <w:t>——每个油粒子的体积；</w:t>
      </w:r>
    </w:p>
    <w:p w14:paraId="0447910D">
      <w:pPr>
        <w:ind w:firstLine="437"/>
      </w:pPr>
      <w:r>
        <w:drawing>
          <wp:inline distT="0" distB="0" distL="0" distR="0">
            <wp:extent cx="267335" cy="215900"/>
            <wp:effectExtent l="0" t="0" r="0" b="0"/>
            <wp:docPr id="2137800811"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800811" name="图片 31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a:xfrm>
                      <a:off x="0" y="0"/>
                      <a:ext cx="267335" cy="215900"/>
                    </a:xfrm>
                    <a:prstGeom prst="rect">
                      <a:avLst/>
                    </a:prstGeom>
                    <a:noFill/>
                    <a:ln>
                      <a:noFill/>
                    </a:ln>
                  </pic:spPr>
                </pic:pic>
              </a:graphicData>
            </a:graphic>
          </wp:inline>
        </w:drawing>
      </w:r>
      <w:r>
        <w:t>——网格单元的面积；</w:t>
      </w:r>
    </w:p>
    <w:p w14:paraId="48944EA1">
      <w:pPr>
        <w:ind w:firstLine="437"/>
      </w:pPr>
      <w:r>
        <w:drawing>
          <wp:inline distT="0" distB="0" distL="0" distR="0">
            <wp:extent cx="310515" cy="241300"/>
            <wp:effectExtent l="0" t="0" r="0" b="6350"/>
            <wp:docPr id="1178257412"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57412" name="图片 31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0" y="0"/>
                      <a:ext cx="310515" cy="241300"/>
                    </a:xfrm>
                    <a:prstGeom prst="rect">
                      <a:avLst/>
                    </a:prstGeom>
                    <a:noFill/>
                    <a:ln>
                      <a:noFill/>
                    </a:ln>
                  </pic:spPr>
                </pic:pic>
              </a:graphicData>
            </a:graphic>
          </wp:inline>
        </w:drawing>
      </w:r>
      <w:r>
        <w:t>——局部水层的厚度。</w:t>
      </w:r>
    </w:p>
    <w:p w14:paraId="7C994516">
      <w:pPr>
        <w:ind w:firstLine="437"/>
      </w:pPr>
      <w:bookmarkStart w:id="581" w:name="_Toc298266869"/>
      <w:bookmarkStart w:id="582" w:name="_Toc295659843"/>
      <w:bookmarkStart w:id="583" w:name="_Toc369854896"/>
      <w:bookmarkStart w:id="584" w:name="_Toc59022312"/>
      <w:r>
        <w:t>三、溢油初始参数</w:t>
      </w:r>
      <w:bookmarkEnd w:id="581"/>
      <w:bookmarkEnd w:id="582"/>
      <w:r>
        <w:t>设置与条件</w:t>
      </w:r>
      <w:bookmarkEnd w:id="583"/>
      <w:bookmarkEnd w:id="584"/>
    </w:p>
    <w:p w14:paraId="1EFC4B97">
      <w:pPr>
        <w:ind w:firstLine="437"/>
      </w:pPr>
      <w:r>
        <w:t>模型的初始参数设置包括动力参数、油品参数设置、溢油位置选取等。动力参数设置主要包括风应力系数及风偏向角的取值，其中，风应力系数的取值一般在2%~6%之间，而风偏向角的取值范围为10~40°。此外，风偏向角还应依赖于模拟海域的科氏力效应，鉴于本次计算海域纬度跨度较小，科氏力效应对风偏向角的影响可忽略不计，因此，在计算过程中，将风偏向角设为常数。</w:t>
      </w:r>
    </w:p>
    <w:p w14:paraId="4FEC973A">
      <w:pPr>
        <w:ind w:firstLine="437"/>
      </w:pPr>
      <w:r>
        <w:t>油品参数设置主要确定油品的初始属性值，包括倾点、密度、粘度、API以及油品在蒸馏曲线中的蒸发百分比及其相应的组分沸点温度，这部分的资料主要参考ADIOS2中的油品数据库。</w:t>
      </w:r>
    </w:p>
    <w:p w14:paraId="42726ED3">
      <w:pPr>
        <w:ind w:firstLine="437"/>
      </w:pPr>
      <w:r>
        <w:t>通过潮流模型，预测出研究海域的潮流场，为溢油模拟预测提供水动力条件，选择落潮和涨潮2个具有代表性的时刻作为溢油初始时间。</w:t>
      </w:r>
    </w:p>
    <w:p w14:paraId="3B127DED">
      <w:pPr>
        <w:ind w:firstLine="437"/>
      </w:pPr>
      <w:r>
        <w:t>（1）溢油事故位置</w:t>
      </w:r>
    </w:p>
    <w:p w14:paraId="4F75CECE">
      <w:pPr>
        <w:ind w:firstLine="437"/>
      </w:pPr>
      <w:r>
        <w:t>根据前述源项分析章节。</w:t>
      </w:r>
    </w:p>
    <w:p w14:paraId="758B8947">
      <w:pPr>
        <w:ind w:firstLine="437"/>
      </w:pPr>
      <w:r>
        <w:t>（2）溢油事故源强</w:t>
      </w:r>
    </w:p>
    <w:p w14:paraId="051E5DD6">
      <w:pPr>
        <w:ind w:firstLine="437"/>
      </w:pPr>
      <w:r>
        <w:rPr>
          <w:rFonts w:hint="eastAsia"/>
        </w:rPr>
        <w:t>根据《</w:t>
      </w:r>
      <w:bookmarkStart w:id="585" w:name="OLE_LINK71"/>
      <w:r>
        <w:rPr>
          <w:rFonts w:hint="eastAsia"/>
        </w:rPr>
        <w:t>水上溢油环境风险评估技术导则</w:t>
      </w:r>
      <w:bookmarkEnd w:id="585"/>
      <w:r>
        <w:rPr>
          <w:rFonts w:hint="eastAsia"/>
        </w:rPr>
        <w:t>》（JT-T1143-2017），水运工程建设项目的可能最大水上溢油事故溢油量，按照设计代表船型的1个货油边舱或燃料油边舱的容积确定。本工程设计代表船型为5000DWT集装箱船，船用燃料油数量依据《水上溢油环境风险评估技术导则》（JTT1143-2017）附录C中的“表C.7集装箱船、滚装船、小汽车运输船燃油舱中燃油数量关系”中集装箱船单舱燃油量，为28.5t。</w:t>
      </w:r>
    </w:p>
    <w:p w14:paraId="790283BA">
      <w:pPr>
        <w:ind w:firstLine="437"/>
      </w:pPr>
      <w:r>
        <w:t>（3）事故环境条件</w:t>
      </w:r>
    </w:p>
    <w:p w14:paraId="70845E1E">
      <w:pPr>
        <w:ind w:firstLine="437"/>
      </w:pPr>
      <w:r>
        <w:t>根据工程附近气象站的风场气象资料，对工程海域气象特征进行统计分析。</w:t>
      </w:r>
    </w:p>
    <w:p w14:paraId="3CC7A620">
      <w:pPr>
        <w:ind w:firstLine="437"/>
      </w:pPr>
      <w:r>
        <w:t>按照</w:t>
      </w:r>
      <w:r>
        <w:rPr>
          <w:rFonts w:hint="eastAsia"/>
        </w:rPr>
        <w:t>《水上溢油环境风险评估技术导则》（JT-T1143-2017）</w:t>
      </w:r>
      <w:r>
        <w:t>要求，在对工程附近气象站的历史风场资料分析的基础上，选择S(</w:t>
      </w:r>
      <w:r>
        <w:rPr>
          <w:rFonts w:hint="eastAsia"/>
        </w:rPr>
        <w:t>夏季</w:t>
      </w:r>
      <w:r>
        <w:t>主频风)、N(</w:t>
      </w:r>
      <w:r>
        <w:rPr>
          <w:rFonts w:hint="eastAsia"/>
        </w:rPr>
        <w:t>冬季</w:t>
      </w:r>
      <w:r>
        <w:t>主频风)、SE(不利风) 、NE(不利风)作为本次溢油事故模拟的特征风场。其中，主频风对应的风速以平均风速考量；不利风向的选择则以尽可能多地危害敏感目标为依据,其风速值则选取该风向下的历史风速最大值。按照风潮组合情况共</w:t>
      </w:r>
      <w:r>
        <w:rPr>
          <w:rFonts w:hint="eastAsia"/>
        </w:rPr>
        <w:t>8</w:t>
      </w:r>
      <w:r>
        <w:t>种预测方案。此外，本海区年平均气温为23.0°C。事故模拟情景见表</w:t>
      </w:r>
      <w:r>
        <w:rPr>
          <w:rFonts w:hint="eastAsia"/>
        </w:rPr>
        <w:t>5.4-25</w:t>
      </w:r>
      <w:r>
        <w:t>。</w:t>
      </w:r>
    </w:p>
    <w:p w14:paraId="523CDE69">
      <w:pPr>
        <w:pStyle w:val="7"/>
      </w:pPr>
      <w:r>
        <w:t>事故模拟情景及参数表</w:t>
      </w:r>
    </w:p>
    <w:tbl>
      <w:tblPr>
        <w:tblStyle w:val="88"/>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30"/>
        <w:gridCol w:w="1648"/>
        <w:gridCol w:w="2824"/>
        <w:gridCol w:w="3326"/>
      </w:tblGrid>
      <w:tr w14:paraId="54ED550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 w:hRule="atLeast"/>
          <w:tblHeader/>
        </w:trPr>
        <w:tc>
          <w:tcPr>
            <w:tcW w:w="8528" w:type="dxa"/>
            <w:gridSpan w:val="4"/>
            <w:tcBorders>
              <w:top w:val="single" w:color="000000" w:sz="12" w:space="0"/>
              <w:bottom w:val="single" w:color="000000" w:sz="12" w:space="0"/>
            </w:tcBorders>
            <w:shd w:val="clear" w:color="auto" w:fill="E0E0E0"/>
            <w:vAlign w:val="center"/>
          </w:tcPr>
          <w:p w14:paraId="042D323F">
            <w:pPr>
              <w:pStyle w:val="34"/>
            </w:pPr>
            <w:r>
              <w:rPr>
                <w:rFonts w:hint="eastAsia"/>
              </w:rPr>
              <w:t>燃料油</w:t>
            </w:r>
            <w:r>
              <w:t>泄漏</w:t>
            </w:r>
          </w:p>
        </w:tc>
      </w:tr>
      <w:tr w14:paraId="70A3937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restart"/>
            <w:tcBorders>
              <w:top w:val="single" w:color="000000" w:sz="6" w:space="0"/>
              <w:bottom w:val="single" w:color="000000" w:sz="6" w:space="0"/>
            </w:tcBorders>
            <w:vAlign w:val="center"/>
          </w:tcPr>
          <w:p w14:paraId="2FE3EBF3">
            <w:pPr>
              <w:pStyle w:val="34"/>
            </w:pPr>
            <w:r>
              <w:t>源强信息</w:t>
            </w:r>
          </w:p>
        </w:tc>
        <w:tc>
          <w:tcPr>
            <w:tcW w:w="1648" w:type="dxa"/>
            <w:tcBorders>
              <w:top w:val="single" w:color="000000" w:sz="6" w:space="0"/>
              <w:bottom w:val="single" w:color="000000" w:sz="6" w:space="0"/>
            </w:tcBorders>
            <w:vAlign w:val="center"/>
          </w:tcPr>
          <w:p w14:paraId="55DF8D29">
            <w:pPr>
              <w:pStyle w:val="34"/>
            </w:pPr>
            <w:r>
              <w:t>潮时</w:t>
            </w:r>
          </w:p>
        </w:tc>
        <w:tc>
          <w:tcPr>
            <w:tcW w:w="6150" w:type="dxa"/>
            <w:gridSpan w:val="2"/>
            <w:vAlign w:val="center"/>
          </w:tcPr>
          <w:p w14:paraId="7C374D76">
            <w:pPr>
              <w:pStyle w:val="34"/>
            </w:pPr>
            <w:r>
              <w:rPr>
                <w:rFonts w:hint="eastAsia"/>
              </w:rPr>
              <w:t>涨</w:t>
            </w:r>
            <w:r>
              <w:t>潮、</w:t>
            </w:r>
            <w:r>
              <w:rPr>
                <w:rFonts w:hint="eastAsia"/>
              </w:rPr>
              <w:t>落潮</w:t>
            </w:r>
          </w:p>
        </w:tc>
      </w:tr>
      <w:tr w14:paraId="794ED2C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tcBorders>
              <w:top w:val="single" w:color="000000" w:sz="6" w:space="0"/>
              <w:bottom w:val="single" w:color="000000" w:sz="6" w:space="0"/>
            </w:tcBorders>
            <w:vAlign w:val="center"/>
          </w:tcPr>
          <w:p w14:paraId="4E5D0FC6">
            <w:pPr>
              <w:pStyle w:val="34"/>
            </w:pPr>
          </w:p>
        </w:tc>
        <w:tc>
          <w:tcPr>
            <w:tcW w:w="1648" w:type="dxa"/>
            <w:tcBorders>
              <w:top w:val="single" w:color="000000" w:sz="6" w:space="0"/>
              <w:bottom w:val="single" w:color="000000" w:sz="6" w:space="0"/>
            </w:tcBorders>
            <w:vAlign w:val="center"/>
          </w:tcPr>
          <w:p w14:paraId="63330D26">
            <w:pPr>
              <w:pStyle w:val="34"/>
            </w:pPr>
            <w:r>
              <w:t>泄漏量</w:t>
            </w:r>
          </w:p>
        </w:tc>
        <w:tc>
          <w:tcPr>
            <w:tcW w:w="6150" w:type="dxa"/>
            <w:gridSpan w:val="2"/>
            <w:vAlign w:val="center"/>
          </w:tcPr>
          <w:p w14:paraId="388C4C10">
            <w:pPr>
              <w:pStyle w:val="34"/>
            </w:pPr>
            <w:r>
              <w:rPr>
                <w:rFonts w:hint="eastAsia"/>
              </w:rPr>
              <w:t>30t（1个5千吨级泊位）</w:t>
            </w:r>
          </w:p>
        </w:tc>
      </w:tr>
      <w:tr w14:paraId="46528D7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tcBorders>
              <w:top w:val="single" w:color="000000" w:sz="6" w:space="0"/>
              <w:bottom w:val="single" w:color="000000" w:sz="6" w:space="0"/>
            </w:tcBorders>
            <w:vAlign w:val="center"/>
          </w:tcPr>
          <w:p w14:paraId="5FFA3699">
            <w:pPr>
              <w:pStyle w:val="34"/>
            </w:pPr>
          </w:p>
        </w:tc>
        <w:tc>
          <w:tcPr>
            <w:tcW w:w="1648" w:type="dxa"/>
            <w:tcBorders>
              <w:top w:val="single" w:color="000000" w:sz="6" w:space="0"/>
              <w:bottom w:val="single" w:color="000000" w:sz="6" w:space="0"/>
            </w:tcBorders>
            <w:vAlign w:val="center"/>
          </w:tcPr>
          <w:p w14:paraId="1D0D7EE6">
            <w:pPr>
              <w:pStyle w:val="34"/>
            </w:pPr>
            <w:r>
              <w:t>泄漏点</w:t>
            </w:r>
          </w:p>
        </w:tc>
        <w:tc>
          <w:tcPr>
            <w:tcW w:w="6150" w:type="dxa"/>
            <w:gridSpan w:val="2"/>
            <w:tcBorders>
              <w:bottom w:val="single" w:color="000000" w:sz="6" w:space="0"/>
            </w:tcBorders>
            <w:vAlign w:val="center"/>
          </w:tcPr>
          <w:p w14:paraId="29CA05F0">
            <w:pPr>
              <w:pStyle w:val="34"/>
            </w:pPr>
            <w:r>
              <w:rPr>
                <w:rFonts w:hint="eastAsia"/>
              </w:rPr>
              <w:t>码头</w:t>
            </w:r>
          </w:p>
        </w:tc>
      </w:tr>
      <w:tr w14:paraId="6A708C0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restart"/>
            <w:tcBorders>
              <w:top w:val="single" w:color="000000" w:sz="6" w:space="0"/>
              <w:bottom w:val="single" w:color="000000" w:sz="6" w:space="0"/>
            </w:tcBorders>
            <w:vAlign w:val="center"/>
          </w:tcPr>
          <w:p w14:paraId="680B1BA6">
            <w:pPr>
              <w:pStyle w:val="34"/>
            </w:pPr>
            <w:r>
              <w:t>气象</w:t>
            </w:r>
          </w:p>
          <w:p w14:paraId="0D309955">
            <w:pPr>
              <w:pStyle w:val="34"/>
            </w:pPr>
            <w:r>
              <w:t>海况</w:t>
            </w:r>
          </w:p>
          <w:p w14:paraId="1C77062E">
            <w:pPr>
              <w:pStyle w:val="34"/>
            </w:pPr>
            <w:r>
              <w:t>条件</w:t>
            </w:r>
          </w:p>
        </w:tc>
        <w:tc>
          <w:tcPr>
            <w:tcW w:w="1648" w:type="dxa"/>
            <w:tcBorders>
              <w:top w:val="single" w:color="000000" w:sz="6" w:space="0"/>
              <w:bottom w:val="single" w:color="000000" w:sz="6" w:space="0"/>
            </w:tcBorders>
            <w:vAlign w:val="center"/>
          </w:tcPr>
          <w:p w14:paraId="1D34E44F">
            <w:pPr>
              <w:pStyle w:val="34"/>
            </w:pPr>
            <w:r>
              <w:t>不利风向</w:t>
            </w:r>
          </w:p>
        </w:tc>
        <w:tc>
          <w:tcPr>
            <w:tcW w:w="2824" w:type="dxa"/>
            <w:tcBorders>
              <w:top w:val="single" w:color="000000" w:sz="6" w:space="0"/>
            </w:tcBorders>
            <w:vAlign w:val="center"/>
          </w:tcPr>
          <w:p w14:paraId="11277D20">
            <w:pPr>
              <w:pStyle w:val="34"/>
            </w:pPr>
            <w:r>
              <w:t>NE</w:t>
            </w:r>
            <w:r>
              <w:rPr>
                <w:rFonts w:hint="eastAsia"/>
              </w:rPr>
              <w:t>(不利风向</w:t>
            </w:r>
            <w:r>
              <w:t>)</w:t>
            </w:r>
          </w:p>
        </w:tc>
        <w:tc>
          <w:tcPr>
            <w:tcW w:w="3326" w:type="dxa"/>
            <w:tcBorders>
              <w:top w:val="single" w:color="000000" w:sz="6" w:space="0"/>
            </w:tcBorders>
            <w:vAlign w:val="center"/>
          </w:tcPr>
          <w:p w14:paraId="32F7E09C">
            <w:pPr>
              <w:pStyle w:val="34"/>
            </w:pPr>
            <w:r>
              <w:t>SE</w:t>
            </w:r>
            <w:r>
              <w:rPr>
                <w:rFonts w:hint="eastAsia"/>
              </w:rPr>
              <w:t>(不利风向</w:t>
            </w:r>
            <w:r>
              <w:t>)</w:t>
            </w:r>
          </w:p>
        </w:tc>
      </w:tr>
      <w:tr w14:paraId="4C04C35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tcBorders>
              <w:top w:val="single" w:color="000000" w:sz="6" w:space="0"/>
              <w:bottom w:val="single" w:color="000000" w:sz="6" w:space="0"/>
            </w:tcBorders>
            <w:vAlign w:val="center"/>
          </w:tcPr>
          <w:p w14:paraId="7AB99E38">
            <w:pPr>
              <w:pStyle w:val="34"/>
            </w:pPr>
          </w:p>
        </w:tc>
        <w:tc>
          <w:tcPr>
            <w:tcW w:w="1648" w:type="dxa"/>
            <w:tcBorders>
              <w:top w:val="single" w:color="000000" w:sz="6" w:space="0"/>
              <w:bottom w:val="single" w:color="000000" w:sz="6" w:space="0"/>
            </w:tcBorders>
            <w:vAlign w:val="center"/>
          </w:tcPr>
          <w:p w14:paraId="3DF7BFD5">
            <w:pPr>
              <w:pStyle w:val="34"/>
            </w:pPr>
            <w:r>
              <w:t>风速</w:t>
            </w:r>
          </w:p>
        </w:tc>
        <w:tc>
          <w:tcPr>
            <w:tcW w:w="2824" w:type="dxa"/>
            <w:tcBorders>
              <w:bottom w:val="single" w:color="000000" w:sz="6" w:space="0"/>
            </w:tcBorders>
            <w:vAlign w:val="center"/>
          </w:tcPr>
          <w:p w14:paraId="64872106">
            <w:pPr>
              <w:pStyle w:val="34"/>
            </w:pPr>
            <w:r>
              <w:rPr>
                <w:rFonts w:hint="eastAsia"/>
              </w:rPr>
              <w:t>10.8m/s</w:t>
            </w:r>
          </w:p>
        </w:tc>
        <w:tc>
          <w:tcPr>
            <w:tcW w:w="3326" w:type="dxa"/>
            <w:tcBorders>
              <w:bottom w:val="single" w:color="000000" w:sz="6" w:space="0"/>
            </w:tcBorders>
            <w:vAlign w:val="center"/>
          </w:tcPr>
          <w:p w14:paraId="2F0ACA6F">
            <w:pPr>
              <w:pStyle w:val="34"/>
            </w:pPr>
            <w:r>
              <w:rPr>
                <w:rFonts w:hint="eastAsia"/>
              </w:rPr>
              <w:t>10.8m/s</w:t>
            </w:r>
          </w:p>
        </w:tc>
      </w:tr>
      <w:tr w14:paraId="2AD8332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tcBorders>
              <w:top w:val="single" w:color="000000" w:sz="6" w:space="0"/>
              <w:bottom w:val="single" w:color="000000" w:sz="6" w:space="0"/>
            </w:tcBorders>
            <w:vAlign w:val="center"/>
          </w:tcPr>
          <w:p w14:paraId="6DC6B13A">
            <w:pPr>
              <w:pStyle w:val="34"/>
            </w:pPr>
          </w:p>
        </w:tc>
        <w:tc>
          <w:tcPr>
            <w:tcW w:w="1648" w:type="dxa"/>
            <w:tcBorders>
              <w:top w:val="single" w:color="000000" w:sz="6" w:space="0"/>
              <w:bottom w:val="single" w:color="000000" w:sz="6" w:space="0"/>
            </w:tcBorders>
            <w:vAlign w:val="center"/>
          </w:tcPr>
          <w:p w14:paraId="7A89E8FD">
            <w:pPr>
              <w:pStyle w:val="34"/>
            </w:pPr>
            <w:r>
              <w:t>定常风向</w:t>
            </w:r>
          </w:p>
        </w:tc>
        <w:tc>
          <w:tcPr>
            <w:tcW w:w="2824" w:type="dxa"/>
            <w:tcBorders>
              <w:bottom w:val="single" w:color="000000" w:sz="6" w:space="0"/>
            </w:tcBorders>
            <w:vAlign w:val="center"/>
          </w:tcPr>
          <w:p w14:paraId="17BC39E8">
            <w:pPr>
              <w:pStyle w:val="34"/>
            </w:pPr>
            <w:r>
              <w:t>S</w:t>
            </w:r>
            <w:r>
              <w:rPr>
                <w:rFonts w:hint="eastAsia"/>
              </w:rPr>
              <w:t>(夏季主频风</w:t>
            </w:r>
            <w:r>
              <w:t>)</w:t>
            </w:r>
          </w:p>
        </w:tc>
        <w:tc>
          <w:tcPr>
            <w:tcW w:w="3326" w:type="dxa"/>
            <w:tcBorders>
              <w:bottom w:val="single" w:color="000000" w:sz="6" w:space="0"/>
            </w:tcBorders>
            <w:vAlign w:val="center"/>
          </w:tcPr>
          <w:p w14:paraId="2B0646D5">
            <w:pPr>
              <w:pStyle w:val="34"/>
            </w:pPr>
            <w:r>
              <w:t>N</w:t>
            </w:r>
            <w:r>
              <w:rPr>
                <w:rFonts w:hint="eastAsia"/>
              </w:rPr>
              <w:t>(冬季主频风</w:t>
            </w:r>
            <w:r>
              <w:t>)</w:t>
            </w:r>
          </w:p>
        </w:tc>
      </w:tr>
      <w:tr w14:paraId="0CCD1CD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tcBorders>
              <w:top w:val="single" w:color="000000" w:sz="6" w:space="0"/>
              <w:bottom w:val="single" w:color="000000" w:sz="6" w:space="0"/>
            </w:tcBorders>
            <w:vAlign w:val="center"/>
          </w:tcPr>
          <w:p w14:paraId="432EDD25">
            <w:pPr>
              <w:pStyle w:val="34"/>
            </w:pPr>
          </w:p>
        </w:tc>
        <w:tc>
          <w:tcPr>
            <w:tcW w:w="1648" w:type="dxa"/>
            <w:tcBorders>
              <w:top w:val="single" w:color="000000" w:sz="6" w:space="0"/>
              <w:bottom w:val="single" w:color="000000" w:sz="6" w:space="0"/>
            </w:tcBorders>
            <w:vAlign w:val="center"/>
          </w:tcPr>
          <w:p w14:paraId="77E6B1F3">
            <w:pPr>
              <w:pStyle w:val="34"/>
            </w:pPr>
            <w:r>
              <w:t>风速</w:t>
            </w:r>
          </w:p>
        </w:tc>
        <w:tc>
          <w:tcPr>
            <w:tcW w:w="2824" w:type="dxa"/>
            <w:tcBorders>
              <w:bottom w:val="single" w:color="000000" w:sz="6" w:space="0"/>
            </w:tcBorders>
            <w:vAlign w:val="center"/>
          </w:tcPr>
          <w:p w14:paraId="6845AB7D">
            <w:pPr>
              <w:pStyle w:val="34"/>
            </w:pPr>
            <w:r>
              <w:t>3.3m/s</w:t>
            </w:r>
          </w:p>
        </w:tc>
        <w:tc>
          <w:tcPr>
            <w:tcW w:w="3326" w:type="dxa"/>
            <w:tcBorders>
              <w:bottom w:val="single" w:color="000000" w:sz="6" w:space="0"/>
            </w:tcBorders>
            <w:vAlign w:val="center"/>
          </w:tcPr>
          <w:p w14:paraId="53D0D01F">
            <w:pPr>
              <w:pStyle w:val="34"/>
            </w:pPr>
            <w:r>
              <w:t>3.2m/s</w:t>
            </w:r>
          </w:p>
        </w:tc>
      </w:tr>
      <w:tr w14:paraId="320B0D7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537" w:hRule="atLeast"/>
        </w:trPr>
        <w:tc>
          <w:tcPr>
            <w:tcW w:w="730" w:type="dxa"/>
            <w:vMerge w:val="continue"/>
            <w:tcBorders>
              <w:top w:val="single" w:color="000000" w:sz="6" w:space="0"/>
              <w:bottom w:val="single" w:color="000000" w:sz="6" w:space="0"/>
            </w:tcBorders>
            <w:vAlign w:val="center"/>
          </w:tcPr>
          <w:p w14:paraId="33D73274">
            <w:pPr>
              <w:pStyle w:val="34"/>
            </w:pPr>
          </w:p>
        </w:tc>
        <w:tc>
          <w:tcPr>
            <w:tcW w:w="1648" w:type="dxa"/>
            <w:tcBorders>
              <w:top w:val="single" w:color="000000" w:sz="6" w:space="0"/>
              <w:bottom w:val="single" w:color="000000" w:sz="6" w:space="0"/>
            </w:tcBorders>
            <w:vAlign w:val="center"/>
          </w:tcPr>
          <w:p w14:paraId="61B74C47">
            <w:pPr>
              <w:pStyle w:val="34"/>
            </w:pPr>
            <w:r>
              <w:t>平均温度</w:t>
            </w:r>
          </w:p>
        </w:tc>
        <w:tc>
          <w:tcPr>
            <w:tcW w:w="6150" w:type="dxa"/>
            <w:gridSpan w:val="2"/>
            <w:tcBorders>
              <w:top w:val="single" w:color="000000" w:sz="6" w:space="0"/>
              <w:bottom w:val="single" w:color="000000" w:sz="6" w:space="0"/>
            </w:tcBorders>
            <w:vAlign w:val="center"/>
          </w:tcPr>
          <w:p w14:paraId="4FF62C37">
            <w:pPr>
              <w:pStyle w:val="34"/>
            </w:pPr>
            <w:r>
              <w:rPr>
                <w:rFonts w:hint="eastAsia"/>
              </w:rPr>
              <w:t>23</w:t>
            </w:r>
            <w:r>
              <w:t>.0℃</w:t>
            </w:r>
          </w:p>
        </w:tc>
      </w:tr>
      <w:tr w14:paraId="5538CAA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restart"/>
            <w:tcBorders>
              <w:top w:val="single" w:color="000000" w:sz="6" w:space="0"/>
            </w:tcBorders>
            <w:vAlign w:val="center"/>
          </w:tcPr>
          <w:p w14:paraId="6D0FDBF4">
            <w:pPr>
              <w:pStyle w:val="34"/>
            </w:pPr>
            <w:r>
              <w:t>油品</w:t>
            </w:r>
          </w:p>
          <w:p w14:paraId="1475FE0E">
            <w:pPr>
              <w:pStyle w:val="34"/>
            </w:pPr>
            <w:r>
              <w:t>属性</w:t>
            </w:r>
          </w:p>
          <w:p w14:paraId="0DA00D78">
            <w:pPr>
              <w:pStyle w:val="34"/>
            </w:pPr>
            <w:r>
              <w:t>参数</w:t>
            </w:r>
          </w:p>
        </w:tc>
        <w:tc>
          <w:tcPr>
            <w:tcW w:w="1648" w:type="dxa"/>
            <w:tcBorders>
              <w:top w:val="single" w:color="000000" w:sz="6" w:space="0"/>
              <w:bottom w:val="single" w:color="000000" w:sz="6" w:space="0"/>
            </w:tcBorders>
            <w:vAlign w:val="center"/>
          </w:tcPr>
          <w:p w14:paraId="503178C7">
            <w:pPr>
              <w:pStyle w:val="34"/>
            </w:pPr>
            <w:r>
              <w:t>密度</w:t>
            </w:r>
          </w:p>
        </w:tc>
        <w:tc>
          <w:tcPr>
            <w:tcW w:w="6150" w:type="dxa"/>
            <w:gridSpan w:val="2"/>
            <w:tcBorders>
              <w:top w:val="single" w:color="000000" w:sz="6" w:space="0"/>
              <w:bottom w:val="single" w:color="000000" w:sz="6" w:space="0"/>
            </w:tcBorders>
            <w:vAlign w:val="center"/>
          </w:tcPr>
          <w:p w14:paraId="14F34F60">
            <w:pPr>
              <w:pStyle w:val="34"/>
            </w:pPr>
            <w:r>
              <w:t>850 kg/m</w:t>
            </w:r>
            <w:r>
              <w:rPr>
                <w:vertAlign w:val="superscript"/>
              </w:rPr>
              <w:t>3</w:t>
            </w:r>
            <w:r>
              <w:t xml:space="preserve"> (20°C)</w:t>
            </w:r>
          </w:p>
        </w:tc>
      </w:tr>
      <w:tr w14:paraId="45A7F4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tcBorders>
              <w:top w:val="single" w:color="000000" w:sz="6" w:space="0"/>
            </w:tcBorders>
            <w:vAlign w:val="center"/>
          </w:tcPr>
          <w:p w14:paraId="7EC2312A">
            <w:pPr>
              <w:pStyle w:val="34"/>
            </w:pPr>
          </w:p>
        </w:tc>
        <w:tc>
          <w:tcPr>
            <w:tcW w:w="1648" w:type="dxa"/>
            <w:tcBorders>
              <w:top w:val="single" w:color="000000" w:sz="6" w:space="0"/>
              <w:bottom w:val="single" w:color="000000" w:sz="6" w:space="0"/>
            </w:tcBorders>
            <w:vAlign w:val="center"/>
          </w:tcPr>
          <w:p w14:paraId="7AE51EAD">
            <w:pPr>
              <w:pStyle w:val="34"/>
            </w:pPr>
            <w:r>
              <w:t>API</w:t>
            </w:r>
          </w:p>
        </w:tc>
        <w:tc>
          <w:tcPr>
            <w:tcW w:w="6150" w:type="dxa"/>
            <w:gridSpan w:val="2"/>
            <w:tcBorders>
              <w:top w:val="single" w:color="000000" w:sz="6" w:space="0"/>
              <w:bottom w:val="single" w:color="000000" w:sz="6" w:space="0"/>
            </w:tcBorders>
            <w:vAlign w:val="center"/>
          </w:tcPr>
          <w:p w14:paraId="42D6CDF4">
            <w:pPr>
              <w:pStyle w:val="34"/>
            </w:pPr>
            <w:r>
              <w:t>24.5</w:t>
            </w:r>
          </w:p>
        </w:tc>
      </w:tr>
      <w:tr w14:paraId="0C87F5C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vAlign w:val="center"/>
          </w:tcPr>
          <w:p w14:paraId="57529A63">
            <w:pPr>
              <w:pStyle w:val="34"/>
            </w:pPr>
          </w:p>
        </w:tc>
        <w:tc>
          <w:tcPr>
            <w:tcW w:w="1648" w:type="dxa"/>
            <w:tcBorders>
              <w:top w:val="single" w:color="000000" w:sz="6" w:space="0"/>
              <w:bottom w:val="single" w:color="000000" w:sz="6" w:space="0"/>
            </w:tcBorders>
            <w:vAlign w:val="center"/>
          </w:tcPr>
          <w:p w14:paraId="16F99EF6">
            <w:pPr>
              <w:pStyle w:val="34"/>
            </w:pPr>
            <w:r>
              <w:t>运动粘度</w:t>
            </w:r>
          </w:p>
        </w:tc>
        <w:tc>
          <w:tcPr>
            <w:tcW w:w="6150" w:type="dxa"/>
            <w:gridSpan w:val="2"/>
            <w:tcBorders>
              <w:top w:val="single" w:color="000000" w:sz="6" w:space="0"/>
              <w:bottom w:val="single" w:color="000000" w:sz="6" w:space="0"/>
            </w:tcBorders>
            <w:vAlign w:val="center"/>
          </w:tcPr>
          <w:p w14:paraId="0153F26D">
            <w:pPr>
              <w:pStyle w:val="34"/>
            </w:pPr>
            <w:r>
              <w:t>130mm</w:t>
            </w:r>
            <w:r>
              <w:rPr>
                <w:vertAlign w:val="superscript"/>
              </w:rPr>
              <w:t>2</w:t>
            </w:r>
            <w:r>
              <w:t>/s</w:t>
            </w:r>
          </w:p>
        </w:tc>
      </w:tr>
      <w:tr w14:paraId="4FD69DA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vAlign w:val="center"/>
          </w:tcPr>
          <w:p w14:paraId="56EC6CEB">
            <w:pPr>
              <w:pStyle w:val="34"/>
            </w:pPr>
          </w:p>
        </w:tc>
        <w:tc>
          <w:tcPr>
            <w:tcW w:w="1648" w:type="dxa"/>
            <w:tcBorders>
              <w:top w:val="single" w:color="000000" w:sz="6" w:space="0"/>
              <w:bottom w:val="single" w:color="000000" w:sz="6" w:space="0"/>
            </w:tcBorders>
            <w:vAlign w:val="center"/>
          </w:tcPr>
          <w:p w14:paraId="471B5D5B">
            <w:pPr>
              <w:pStyle w:val="34"/>
            </w:pPr>
            <w:r>
              <w:t>相对温度</w:t>
            </w:r>
          </w:p>
        </w:tc>
        <w:tc>
          <w:tcPr>
            <w:tcW w:w="6150" w:type="dxa"/>
            <w:gridSpan w:val="2"/>
            <w:tcBorders>
              <w:top w:val="single" w:color="000000" w:sz="6" w:space="0"/>
              <w:bottom w:val="single" w:color="000000" w:sz="6" w:space="0"/>
            </w:tcBorders>
            <w:vAlign w:val="center"/>
          </w:tcPr>
          <w:p w14:paraId="7FD95674">
            <w:pPr>
              <w:pStyle w:val="34"/>
            </w:pPr>
            <w:r>
              <w:t>38℃</w:t>
            </w:r>
          </w:p>
        </w:tc>
      </w:tr>
      <w:tr w14:paraId="34C4653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vAlign w:val="center"/>
          </w:tcPr>
          <w:p w14:paraId="776AA65E">
            <w:pPr>
              <w:pStyle w:val="34"/>
            </w:pPr>
          </w:p>
        </w:tc>
        <w:tc>
          <w:tcPr>
            <w:tcW w:w="1648" w:type="dxa"/>
            <w:tcBorders>
              <w:top w:val="single" w:color="000000" w:sz="6" w:space="0"/>
              <w:bottom w:val="single" w:color="000000" w:sz="6" w:space="0"/>
            </w:tcBorders>
            <w:vAlign w:val="center"/>
          </w:tcPr>
          <w:p w14:paraId="517D65C6">
            <w:pPr>
              <w:pStyle w:val="34"/>
            </w:pPr>
            <w:r>
              <w:t>倾点</w:t>
            </w:r>
          </w:p>
        </w:tc>
        <w:tc>
          <w:tcPr>
            <w:tcW w:w="6150" w:type="dxa"/>
            <w:gridSpan w:val="2"/>
            <w:tcBorders>
              <w:top w:val="single" w:color="000000" w:sz="6" w:space="0"/>
              <w:bottom w:val="single" w:color="000000" w:sz="6" w:space="0"/>
            </w:tcBorders>
            <w:vAlign w:val="center"/>
          </w:tcPr>
          <w:p w14:paraId="52B6400F">
            <w:pPr>
              <w:pStyle w:val="34"/>
            </w:pPr>
            <w:r>
              <w:t>7.0℃</w:t>
            </w:r>
          </w:p>
        </w:tc>
      </w:tr>
      <w:tr w14:paraId="5A8484A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restart"/>
            <w:vAlign w:val="center"/>
          </w:tcPr>
          <w:p w14:paraId="6D6B48FD">
            <w:pPr>
              <w:pStyle w:val="34"/>
            </w:pPr>
            <w:r>
              <w:t>过程</w:t>
            </w:r>
          </w:p>
          <w:p w14:paraId="47DC0E97">
            <w:pPr>
              <w:pStyle w:val="34"/>
            </w:pPr>
            <w:r>
              <w:t>参数</w:t>
            </w:r>
          </w:p>
        </w:tc>
        <w:tc>
          <w:tcPr>
            <w:tcW w:w="1648" w:type="dxa"/>
            <w:tcBorders>
              <w:top w:val="single" w:color="000000" w:sz="6" w:space="0"/>
              <w:bottom w:val="single" w:color="000000" w:sz="6" w:space="0"/>
            </w:tcBorders>
            <w:vAlign w:val="center"/>
          </w:tcPr>
          <w:p w14:paraId="60289A49">
            <w:pPr>
              <w:pStyle w:val="34"/>
            </w:pPr>
            <w:r>
              <w:t>风偏向角</w:t>
            </w:r>
          </w:p>
        </w:tc>
        <w:tc>
          <w:tcPr>
            <w:tcW w:w="6150" w:type="dxa"/>
            <w:gridSpan w:val="2"/>
            <w:tcBorders>
              <w:top w:val="single" w:color="000000" w:sz="6" w:space="0"/>
              <w:bottom w:val="single" w:color="000000" w:sz="6" w:space="0"/>
            </w:tcBorders>
            <w:vAlign w:val="center"/>
          </w:tcPr>
          <w:p w14:paraId="10B3BDC9">
            <w:pPr>
              <w:pStyle w:val="34"/>
            </w:pPr>
            <w:r>
              <w:t>10°</w:t>
            </w:r>
          </w:p>
        </w:tc>
      </w:tr>
      <w:tr w14:paraId="1433DD6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tcBorders>
              <w:bottom w:val="single" w:color="000000" w:sz="12" w:space="0"/>
            </w:tcBorders>
            <w:vAlign w:val="center"/>
          </w:tcPr>
          <w:p w14:paraId="28E13908">
            <w:pPr>
              <w:pStyle w:val="34"/>
            </w:pPr>
          </w:p>
        </w:tc>
        <w:tc>
          <w:tcPr>
            <w:tcW w:w="1648" w:type="dxa"/>
            <w:tcBorders>
              <w:top w:val="single" w:color="000000" w:sz="6" w:space="0"/>
              <w:bottom w:val="single" w:color="000000" w:sz="12" w:space="0"/>
            </w:tcBorders>
            <w:vAlign w:val="center"/>
          </w:tcPr>
          <w:p w14:paraId="6355BD3F">
            <w:pPr>
              <w:pStyle w:val="34"/>
            </w:pPr>
            <w:r>
              <w:t>风应力系数</w:t>
            </w:r>
          </w:p>
        </w:tc>
        <w:tc>
          <w:tcPr>
            <w:tcW w:w="6150" w:type="dxa"/>
            <w:gridSpan w:val="2"/>
            <w:tcBorders>
              <w:top w:val="single" w:color="000000" w:sz="6" w:space="0"/>
              <w:bottom w:val="single" w:color="000000" w:sz="12" w:space="0"/>
            </w:tcBorders>
            <w:vAlign w:val="center"/>
          </w:tcPr>
          <w:p w14:paraId="6B4A15D1">
            <w:pPr>
              <w:pStyle w:val="34"/>
            </w:pPr>
            <w:r>
              <w:t>0.03</w:t>
            </w:r>
          </w:p>
        </w:tc>
      </w:tr>
    </w:tbl>
    <w:p w14:paraId="24C1703E">
      <w:pPr>
        <w:ind w:firstLine="437"/>
      </w:pPr>
      <w:r>
        <w:t>海上溢油的运动及变化受其物理、化学和生物等过程的影响，而这些过程又与油类的性质、海洋水动力环境及海洋气象环境等密切相关。溢油事故发生后，溢油应急部门将会迅速采取应急措施，从保守角度考虑以及为溢油应急部门的溢油应急提供技术依据，本报告预测了不同工况条件下发生的溢油事件在</w:t>
      </w:r>
      <w:r>
        <w:rPr>
          <w:rFonts w:hint="eastAsia"/>
        </w:rPr>
        <w:t>48</w:t>
      </w:r>
      <w:r>
        <w:t>h内溢油的时空分布变化情况。</w:t>
      </w:r>
    </w:p>
    <w:p w14:paraId="2BFBBA5D">
      <w:pPr>
        <w:ind w:firstLine="437"/>
      </w:pPr>
      <w:bookmarkStart w:id="586" w:name="_Toc59022313"/>
      <w:r>
        <w:t>四、溢油</w:t>
      </w:r>
      <w:r>
        <w:rPr>
          <w:rFonts w:hint="eastAsia"/>
        </w:rPr>
        <w:t>事故预测与分析</w:t>
      </w:r>
      <w:bookmarkEnd w:id="586"/>
    </w:p>
    <w:p w14:paraId="73295255">
      <w:pPr>
        <w:ind w:firstLine="437"/>
      </w:pPr>
      <w:r>
        <w:t>（1）溢油事故预测结果与分析</w:t>
      </w:r>
    </w:p>
    <w:p w14:paraId="13486AD6">
      <w:pPr>
        <w:ind w:firstLine="437"/>
      </w:pPr>
      <w:r>
        <w:rPr>
          <w:rFonts w:hint="eastAsia"/>
        </w:rPr>
        <w:t>①高潮时</w:t>
      </w:r>
      <w:r>
        <w:t>溢油</w:t>
      </w:r>
    </w:p>
    <w:p w14:paraId="5C375334">
      <w:pPr>
        <w:ind w:firstLine="437"/>
      </w:pPr>
      <w:r>
        <w:t>A.</w:t>
      </w:r>
      <w:r>
        <w:rPr>
          <w:rFonts w:hint="eastAsia"/>
        </w:rPr>
        <w:t>高潮时</w:t>
      </w:r>
      <w:r>
        <w:t xml:space="preserve">S风向下溢油 </w:t>
      </w:r>
    </w:p>
    <w:p w14:paraId="517FEC53">
      <w:pPr>
        <w:ind w:firstLine="437"/>
      </w:pPr>
      <w:r>
        <w:rPr>
          <w:rFonts w:hint="eastAsia"/>
        </w:rPr>
        <w:t>溢油发生后，溢油在涨潮潮流和S风的共同作用下主要聚集在港池范围周边海域，数部分溢油可沿大榄坪9、10泊位岸线运动，污染岸线长度约为475m。</w:t>
      </w:r>
    </w:p>
    <w:p w14:paraId="2DF4523E">
      <w:pPr>
        <w:ind w:firstLine="437"/>
      </w:pPr>
      <w:r>
        <w:t>B.高潮时N风向下溢油</w:t>
      </w:r>
    </w:p>
    <w:p w14:paraId="1103CDC6">
      <w:pPr>
        <w:ind w:firstLine="437"/>
      </w:pPr>
      <w:r>
        <w:rPr>
          <w:rFonts w:hint="eastAsia"/>
        </w:rPr>
        <w:t>码头发生溢油事故后，在N风和潮流的共同作用下，溢油蜿蜒曲折地南向运动。12小时溢油主要在钦州港交通用海区迂回，其后向东南侧漂移，约48小时溢油临近北部湾二长棘绸长毛对虾国家级种质资源保护区(实验区)。从溢油轨迹和扫海面积来看，该工况下，溢油污染的海域面积较大，并可能对种质资源保护区造成污染。</w:t>
      </w:r>
    </w:p>
    <w:p w14:paraId="59F9CFB6">
      <w:pPr>
        <w:ind w:firstLine="437"/>
      </w:pPr>
      <w:r>
        <w:t>C. 高潮时NE</w:t>
      </w:r>
      <w:r>
        <w:rPr>
          <w:rFonts w:hint="eastAsia"/>
        </w:rPr>
        <w:t>风向下</w:t>
      </w:r>
      <w:r>
        <w:t>溢油</w:t>
      </w:r>
    </w:p>
    <w:p w14:paraId="5FA26E74">
      <w:pPr>
        <w:ind w:firstLine="437"/>
      </w:pPr>
      <w:r>
        <w:rPr>
          <w:rFonts w:hint="eastAsia"/>
        </w:rPr>
        <w:t>在强风的拖曳力下，溢油向西南方向运动，约5.3</w:t>
      </w:r>
      <w:r>
        <w:rPr>
          <w:rFonts w:hint="eastAsia"/>
          <w:lang w:eastAsia="zh-CN"/>
        </w:rPr>
        <w:t>小时</w:t>
      </w:r>
      <w:r>
        <w:rPr>
          <w:rFonts w:hint="eastAsia"/>
        </w:rPr>
        <w:t>，溢油可进入</w:t>
      </w:r>
      <w:bookmarkStart w:id="587" w:name="OLE_LINK205"/>
      <w:r>
        <w:rPr>
          <w:rFonts w:hint="eastAsia"/>
        </w:rPr>
        <w:t>钦州港青菜头南浅海滩涂养殖区</w:t>
      </w:r>
      <w:bookmarkEnd w:id="587"/>
      <w:r>
        <w:rPr>
          <w:rFonts w:hint="eastAsia"/>
        </w:rPr>
        <w:t>，并横穿该规划养殖区，污染该区面积约4.15</w:t>
      </w:r>
      <w:r>
        <w:t>km</w:t>
      </w:r>
      <w:r>
        <w:rPr>
          <w:vertAlign w:val="superscript"/>
        </w:rPr>
        <w:t>2</w:t>
      </w:r>
      <w:r>
        <w:rPr>
          <w:rFonts w:hint="eastAsia"/>
        </w:rPr>
        <w:t>；8小时后，溢油在防城港突堤登岸。</w:t>
      </w:r>
    </w:p>
    <w:p w14:paraId="4339B2BE">
      <w:pPr>
        <w:ind w:firstLine="437"/>
      </w:pPr>
      <w:r>
        <w:t xml:space="preserve">D. </w:t>
      </w:r>
      <w:r>
        <w:rPr>
          <w:rFonts w:hint="eastAsia"/>
        </w:rPr>
        <w:t>高潮时</w:t>
      </w:r>
      <w:r>
        <w:t>SE</w:t>
      </w:r>
      <w:r>
        <w:rPr>
          <w:rFonts w:hint="eastAsia"/>
        </w:rPr>
        <w:t>风向下</w:t>
      </w:r>
      <w:r>
        <w:t>溢油</w:t>
      </w:r>
    </w:p>
    <w:p w14:paraId="1C0A9425">
      <w:pPr>
        <w:ind w:firstLine="437"/>
      </w:pPr>
      <w:r>
        <w:rPr>
          <w:rFonts w:hint="eastAsia"/>
        </w:rPr>
        <w:t>本项目码头发生溢油事故后，油膜在风和潮流的共同作用下向</w:t>
      </w:r>
      <w:bookmarkStart w:id="588" w:name="OLE_LINK201"/>
      <w:r>
        <w:rPr>
          <w:rFonts w:hint="eastAsia"/>
        </w:rPr>
        <w:t>西北方向</w:t>
      </w:r>
      <w:bookmarkEnd w:id="588"/>
      <w:r>
        <w:rPr>
          <w:rFonts w:hint="eastAsia"/>
        </w:rPr>
        <w:t>顺岸运动，约3.5小时溢油主体抵达金鼓江作业区岸线；少量油离子继续向西北方向进入茅尾海内，10.8h溢油进入茅尾海南部浅海滩涂养殖区，并在13.5h后在茅尾海大陶村附近登岸。该工况下溢油污染物的敏感目标众多，因此需要引起注意，特别是在溢油后2小时内迅速采取溢油应急措施，可减小溢油对茅尾海以及潮汐通道处的敏感目标的污染。</w:t>
      </w:r>
    </w:p>
    <w:p w14:paraId="12D372F9">
      <w:pPr>
        <w:ind w:firstLine="0" w:firstLineChars="0"/>
      </w:pPr>
      <w:r>
        <w:drawing>
          <wp:inline distT="0" distB="0" distL="0" distR="0">
            <wp:extent cx="5118735" cy="3521710"/>
            <wp:effectExtent l="0" t="0" r="5715" b="2540"/>
            <wp:docPr id="1940040216" name="图片 2" descr="涨潮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40216" name="图片 2" descr="涨潮_S"/>
                    <pic:cNvPicPr>
                      <a:picLocks noChangeAspect="1"/>
                    </pic:cNvPicPr>
                  </pic:nvPicPr>
                  <pic:blipFill>
                    <a:blip r:embed="rId188"/>
                    <a:srcRect l="2030" t="3255" r="-10" b="1404"/>
                    <a:stretch>
                      <a:fillRect/>
                    </a:stretch>
                  </pic:blipFill>
                  <pic:spPr>
                    <a:xfrm>
                      <a:off x="0" y="0"/>
                      <a:ext cx="5123824" cy="3525264"/>
                    </a:xfrm>
                    <a:prstGeom prst="rect">
                      <a:avLst/>
                    </a:prstGeom>
                    <a:ln>
                      <a:noFill/>
                    </a:ln>
                  </pic:spPr>
                </pic:pic>
              </a:graphicData>
            </a:graphic>
          </wp:inline>
        </w:drawing>
      </w:r>
    </w:p>
    <w:p w14:paraId="7BD11936">
      <w:pPr>
        <w:pStyle w:val="8"/>
        <w:keepLines/>
      </w:pPr>
      <w:bookmarkStart w:id="589" w:name="OLE_LINK196"/>
      <w:r>
        <w:rPr>
          <w:rFonts w:hint="eastAsia"/>
        </w:rPr>
        <w:t>高潮时</w:t>
      </w:r>
      <w:r>
        <w:t>S风向溢油</w:t>
      </w:r>
      <w:r>
        <w:rPr>
          <w:rFonts w:hint="eastAsia"/>
        </w:rPr>
        <w:t>轨迹</w:t>
      </w:r>
    </w:p>
    <w:bookmarkEnd w:id="589"/>
    <w:p w14:paraId="5B61325D">
      <w:pPr>
        <w:ind w:firstLine="0" w:firstLineChars="0"/>
      </w:pPr>
      <w:r>
        <w:drawing>
          <wp:inline distT="0" distB="0" distL="0" distR="0">
            <wp:extent cx="5278120" cy="3731895"/>
            <wp:effectExtent l="0" t="0" r="0" b="1905"/>
            <wp:docPr id="2" name="图片 1" descr="涨潮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涨潮_N"/>
                    <pic:cNvPicPr>
                      <a:picLocks noChangeAspect="1"/>
                    </pic:cNvPicPr>
                  </pic:nvPicPr>
                  <pic:blipFill>
                    <a:blip r:embed="rId189"/>
                    <a:stretch>
                      <a:fillRect/>
                    </a:stretch>
                  </pic:blipFill>
                  <pic:spPr>
                    <a:xfrm>
                      <a:off x="0" y="0"/>
                      <a:ext cx="5278120" cy="3731895"/>
                    </a:xfrm>
                    <a:prstGeom prst="rect">
                      <a:avLst/>
                    </a:prstGeom>
                  </pic:spPr>
                </pic:pic>
              </a:graphicData>
            </a:graphic>
          </wp:inline>
        </w:drawing>
      </w:r>
    </w:p>
    <w:p w14:paraId="103AA015">
      <w:pPr>
        <w:pStyle w:val="8"/>
        <w:keepLines/>
      </w:pPr>
      <w:bookmarkStart w:id="590" w:name="OLE_LINK199"/>
      <w:r>
        <w:rPr>
          <w:rFonts w:hint="eastAsia"/>
        </w:rPr>
        <w:t>高潮时N</w:t>
      </w:r>
      <w:r>
        <w:t>风向溢油</w:t>
      </w:r>
      <w:r>
        <w:rPr>
          <w:rFonts w:hint="eastAsia"/>
        </w:rPr>
        <w:t>轨迹</w:t>
      </w:r>
    </w:p>
    <w:bookmarkEnd w:id="590"/>
    <w:p w14:paraId="5756DA2A">
      <w:pPr>
        <w:ind w:firstLine="0" w:firstLineChars="0"/>
      </w:pPr>
      <w:r>
        <w:drawing>
          <wp:inline distT="0" distB="0" distL="0" distR="0">
            <wp:extent cx="5278120" cy="3731895"/>
            <wp:effectExtent l="0" t="0" r="0" b="1905"/>
            <wp:docPr id="299786242" name="图片 1" descr="涨潮_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786242" name="图片 1" descr="涨潮_NE"/>
                    <pic:cNvPicPr>
                      <a:picLocks noChangeAspect="1"/>
                    </pic:cNvPicPr>
                  </pic:nvPicPr>
                  <pic:blipFill>
                    <a:blip r:embed="rId190"/>
                    <a:stretch>
                      <a:fillRect/>
                    </a:stretch>
                  </pic:blipFill>
                  <pic:spPr>
                    <a:xfrm>
                      <a:off x="0" y="0"/>
                      <a:ext cx="5278120" cy="3731895"/>
                    </a:xfrm>
                    <a:prstGeom prst="rect">
                      <a:avLst/>
                    </a:prstGeom>
                  </pic:spPr>
                </pic:pic>
              </a:graphicData>
            </a:graphic>
          </wp:inline>
        </w:drawing>
      </w:r>
    </w:p>
    <w:p w14:paraId="68DEE7EA">
      <w:pPr>
        <w:pStyle w:val="8"/>
        <w:keepLines/>
      </w:pPr>
      <w:bookmarkStart w:id="591" w:name="OLE_LINK200"/>
      <w:r>
        <w:rPr>
          <w:rFonts w:hint="eastAsia"/>
        </w:rPr>
        <w:t>高潮时NE</w:t>
      </w:r>
      <w:r>
        <w:t>风向溢油</w:t>
      </w:r>
      <w:r>
        <w:rPr>
          <w:rFonts w:hint="eastAsia"/>
        </w:rPr>
        <w:t>轨迹</w:t>
      </w:r>
    </w:p>
    <w:p w14:paraId="77C01FAB">
      <w:pPr>
        <w:ind w:firstLine="0" w:firstLineChars="0"/>
      </w:pPr>
      <w:r>
        <w:drawing>
          <wp:inline distT="0" distB="0" distL="0" distR="0">
            <wp:extent cx="5278120" cy="3731895"/>
            <wp:effectExtent l="0" t="0" r="0" b="1905"/>
            <wp:docPr id="552820545" name="图片 2" descr="涨潮_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20545" name="图片 2" descr="涨潮_SE"/>
                    <pic:cNvPicPr>
                      <a:picLocks noChangeAspect="1"/>
                    </pic:cNvPicPr>
                  </pic:nvPicPr>
                  <pic:blipFill>
                    <a:blip r:embed="rId191"/>
                    <a:stretch>
                      <a:fillRect/>
                    </a:stretch>
                  </pic:blipFill>
                  <pic:spPr>
                    <a:xfrm>
                      <a:off x="0" y="0"/>
                      <a:ext cx="5278120" cy="3731895"/>
                    </a:xfrm>
                    <a:prstGeom prst="rect">
                      <a:avLst/>
                    </a:prstGeom>
                  </pic:spPr>
                </pic:pic>
              </a:graphicData>
            </a:graphic>
          </wp:inline>
        </w:drawing>
      </w:r>
    </w:p>
    <w:p w14:paraId="208BCFC5">
      <w:pPr>
        <w:pStyle w:val="8"/>
        <w:keepLines/>
      </w:pPr>
      <w:bookmarkStart w:id="592" w:name="OLE_LINK202"/>
      <w:r>
        <w:rPr>
          <w:rFonts w:hint="eastAsia"/>
        </w:rPr>
        <w:t>高潮时SE</w:t>
      </w:r>
      <w:r>
        <w:t>风向溢油</w:t>
      </w:r>
      <w:r>
        <w:rPr>
          <w:rFonts w:hint="eastAsia"/>
        </w:rPr>
        <w:t>轨迹</w:t>
      </w:r>
    </w:p>
    <w:bookmarkEnd w:id="591"/>
    <w:bookmarkEnd w:id="592"/>
    <w:p w14:paraId="28BC42DE">
      <w:pPr>
        <w:ind w:firstLine="437"/>
      </w:pPr>
      <w:r>
        <w:rPr>
          <w:rFonts w:hint="eastAsia"/>
        </w:rPr>
        <w:t>②低潮时</w:t>
      </w:r>
      <w:r>
        <w:t>溢油</w:t>
      </w:r>
    </w:p>
    <w:p w14:paraId="595E0707">
      <w:pPr>
        <w:ind w:firstLine="437"/>
      </w:pPr>
      <w:r>
        <w:t>A.</w:t>
      </w:r>
      <w:r>
        <w:rPr>
          <w:rFonts w:hint="eastAsia"/>
        </w:rPr>
        <w:t>低潮时</w:t>
      </w:r>
      <w:r>
        <w:t xml:space="preserve">S风向下溢油 </w:t>
      </w:r>
    </w:p>
    <w:p w14:paraId="0C93468D">
      <w:pPr>
        <w:ind w:firstLine="437"/>
      </w:pPr>
      <w:r>
        <w:t>溢油发生后，溢油在</w:t>
      </w:r>
      <w:r>
        <w:rPr>
          <w:rFonts w:hint="eastAsia"/>
        </w:rPr>
        <w:t>落潮</w:t>
      </w:r>
      <w:r>
        <w:t>潮流和S风的共同作用下</w:t>
      </w:r>
      <w:r>
        <w:rPr>
          <w:rFonts w:hint="eastAsia"/>
        </w:rPr>
        <w:t>，主体部分溢油在1</w:t>
      </w:r>
      <w:r>
        <w:rPr>
          <w:rFonts w:hint="eastAsia"/>
          <w:lang w:eastAsia="zh-CN"/>
        </w:rPr>
        <w:t>小时</w:t>
      </w:r>
      <w:r>
        <w:rPr>
          <w:rFonts w:hint="eastAsia"/>
        </w:rPr>
        <w:t>可抵岸，其他溢油顺保税港区东岸移动。该工况下溢油主要对保税港区西南岸的岸线造成一定污染。</w:t>
      </w:r>
    </w:p>
    <w:p w14:paraId="62FF2C91">
      <w:pPr>
        <w:ind w:firstLine="437"/>
      </w:pPr>
      <w:r>
        <w:t xml:space="preserve">B. </w:t>
      </w:r>
      <w:r>
        <w:rPr>
          <w:rFonts w:hint="eastAsia"/>
        </w:rPr>
        <w:t>低潮时</w:t>
      </w:r>
      <w:r>
        <w:t>N风向下溢油</w:t>
      </w:r>
    </w:p>
    <w:p w14:paraId="2F90079F">
      <w:pPr>
        <w:ind w:firstLine="437"/>
      </w:pPr>
      <w:r>
        <w:rPr>
          <w:rFonts w:hint="eastAsia"/>
        </w:rPr>
        <w:t>码头发生溢油事故后，</w:t>
      </w:r>
      <w:r>
        <w:t>在N风和</w:t>
      </w:r>
      <w:r>
        <w:rPr>
          <w:rFonts w:hint="eastAsia"/>
        </w:rPr>
        <w:t>落潮潮</w:t>
      </w:r>
      <w:r>
        <w:t>流的共同作用下，</w:t>
      </w:r>
      <w:r>
        <w:rPr>
          <w:rFonts w:hint="eastAsia"/>
        </w:rPr>
        <w:t>溢油整体向东南方向运动，25h到达三墩作业区，溢油主体之后在码头至三墩区间海域蜿蜒活动；少量油离子绕过三墩作业区进一步向东南方向漂移；至48h尚未抵达北部湾二长棘绸长毛对虾国家级种质资源保护区。</w:t>
      </w:r>
    </w:p>
    <w:p w14:paraId="3A6A9CF9">
      <w:pPr>
        <w:ind w:firstLine="0" w:firstLineChars="0"/>
      </w:pPr>
      <w:r>
        <w:drawing>
          <wp:inline distT="0" distB="0" distL="0" distR="0">
            <wp:extent cx="5278120" cy="3731895"/>
            <wp:effectExtent l="0" t="0" r="0" b="1905"/>
            <wp:docPr id="420316894" name="图片 1" descr="落潮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316894" name="图片 1" descr="落潮_S"/>
                    <pic:cNvPicPr>
                      <a:picLocks noChangeAspect="1"/>
                    </pic:cNvPicPr>
                  </pic:nvPicPr>
                  <pic:blipFill>
                    <a:blip r:embed="rId192"/>
                    <a:stretch>
                      <a:fillRect/>
                    </a:stretch>
                  </pic:blipFill>
                  <pic:spPr>
                    <a:xfrm>
                      <a:off x="0" y="0"/>
                      <a:ext cx="5278120" cy="3731895"/>
                    </a:xfrm>
                    <a:prstGeom prst="rect">
                      <a:avLst/>
                    </a:prstGeom>
                  </pic:spPr>
                </pic:pic>
              </a:graphicData>
            </a:graphic>
          </wp:inline>
        </w:drawing>
      </w:r>
    </w:p>
    <w:p w14:paraId="07E1E72C">
      <w:pPr>
        <w:pStyle w:val="8"/>
        <w:keepLines/>
      </w:pPr>
      <w:bookmarkStart w:id="593" w:name="OLE_LINK203"/>
      <w:r>
        <w:rPr>
          <w:rFonts w:hint="eastAsia"/>
        </w:rPr>
        <w:t>低潮时S</w:t>
      </w:r>
      <w:r>
        <w:t>风向溢油</w:t>
      </w:r>
      <w:r>
        <w:rPr>
          <w:rFonts w:hint="eastAsia"/>
        </w:rPr>
        <w:t>轨迹</w:t>
      </w:r>
    </w:p>
    <w:bookmarkEnd w:id="593"/>
    <w:p w14:paraId="64A3DE79">
      <w:pPr>
        <w:ind w:firstLine="0" w:firstLineChars="0"/>
      </w:pPr>
      <w:r>
        <w:drawing>
          <wp:inline distT="0" distB="0" distL="0" distR="0">
            <wp:extent cx="5278120" cy="3731895"/>
            <wp:effectExtent l="0" t="0" r="0" b="1905"/>
            <wp:docPr id="4" name="图片 3" descr="落潮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落潮_N"/>
                    <pic:cNvPicPr>
                      <a:picLocks noChangeAspect="1"/>
                    </pic:cNvPicPr>
                  </pic:nvPicPr>
                  <pic:blipFill>
                    <a:blip r:embed="rId193"/>
                    <a:stretch>
                      <a:fillRect/>
                    </a:stretch>
                  </pic:blipFill>
                  <pic:spPr>
                    <a:xfrm>
                      <a:off x="0" y="0"/>
                      <a:ext cx="5278120" cy="3731895"/>
                    </a:xfrm>
                    <a:prstGeom prst="rect">
                      <a:avLst/>
                    </a:prstGeom>
                  </pic:spPr>
                </pic:pic>
              </a:graphicData>
            </a:graphic>
          </wp:inline>
        </w:drawing>
      </w:r>
    </w:p>
    <w:p w14:paraId="47874230">
      <w:pPr>
        <w:pStyle w:val="8"/>
        <w:keepLines/>
      </w:pPr>
      <w:bookmarkStart w:id="594" w:name="OLE_LINK204"/>
      <w:r>
        <w:rPr>
          <w:rFonts w:hint="eastAsia"/>
        </w:rPr>
        <w:t>低潮时N</w:t>
      </w:r>
      <w:r>
        <w:t>风向溢油</w:t>
      </w:r>
      <w:r>
        <w:rPr>
          <w:rFonts w:hint="eastAsia"/>
        </w:rPr>
        <w:t>轨迹</w:t>
      </w:r>
    </w:p>
    <w:bookmarkEnd w:id="594"/>
    <w:p w14:paraId="27C77BF1">
      <w:pPr>
        <w:ind w:firstLine="437"/>
      </w:pPr>
      <w:r>
        <w:t xml:space="preserve">C. </w:t>
      </w:r>
      <w:r>
        <w:rPr>
          <w:rFonts w:hint="eastAsia"/>
        </w:rPr>
        <w:t>低潮时NE风向下溢油</w:t>
      </w:r>
    </w:p>
    <w:p w14:paraId="2AEA97B5">
      <w:pPr>
        <w:ind w:firstLine="437"/>
      </w:pPr>
      <w:r>
        <w:rPr>
          <w:rFonts w:hint="eastAsia"/>
        </w:rPr>
        <w:t>在强风的拖曳力和潮流的共同作用下，溢油向西南外海方向飘移，4.6小时抵达钦州港青菜头南浅海滩涂养殖区，并在该规划养殖区东南角穿越；6.5小时溢出模型区域。</w:t>
      </w:r>
    </w:p>
    <w:p w14:paraId="043B8CDC">
      <w:pPr>
        <w:ind w:firstLine="0" w:firstLineChars="0"/>
        <w:jc w:val="center"/>
      </w:pPr>
      <w:r>
        <w:drawing>
          <wp:inline distT="0" distB="0" distL="0" distR="0">
            <wp:extent cx="4940300" cy="3493135"/>
            <wp:effectExtent l="0" t="0" r="0" b="0"/>
            <wp:docPr id="1236310320" name="图片 1" descr="落潮_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10320" name="图片 1" descr="落潮_NE"/>
                    <pic:cNvPicPr>
                      <a:picLocks noChangeAspect="1"/>
                    </pic:cNvPicPr>
                  </pic:nvPicPr>
                  <pic:blipFill>
                    <a:blip r:embed="rId194"/>
                    <a:stretch>
                      <a:fillRect/>
                    </a:stretch>
                  </pic:blipFill>
                  <pic:spPr>
                    <a:xfrm>
                      <a:off x="0" y="0"/>
                      <a:ext cx="4947895" cy="3498409"/>
                    </a:xfrm>
                    <a:prstGeom prst="rect">
                      <a:avLst/>
                    </a:prstGeom>
                  </pic:spPr>
                </pic:pic>
              </a:graphicData>
            </a:graphic>
          </wp:inline>
        </w:drawing>
      </w:r>
    </w:p>
    <w:p w14:paraId="1E754130">
      <w:pPr>
        <w:pStyle w:val="8"/>
        <w:keepLines/>
      </w:pPr>
      <w:bookmarkStart w:id="595" w:name="OLE_LINK206"/>
      <w:r>
        <w:rPr>
          <w:rFonts w:hint="eastAsia"/>
        </w:rPr>
        <w:t>低潮时NE</w:t>
      </w:r>
      <w:r>
        <w:t>风向溢油</w:t>
      </w:r>
      <w:r>
        <w:rPr>
          <w:rFonts w:hint="eastAsia"/>
        </w:rPr>
        <w:t>轨迹</w:t>
      </w:r>
    </w:p>
    <w:bookmarkEnd w:id="595"/>
    <w:p w14:paraId="04CAB55A">
      <w:pPr>
        <w:ind w:firstLine="437"/>
      </w:pPr>
      <w:r>
        <w:t xml:space="preserve">D. </w:t>
      </w:r>
      <w:r>
        <w:rPr>
          <w:rFonts w:hint="eastAsia"/>
        </w:rPr>
        <w:t>低潮时</w:t>
      </w:r>
      <w:r>
        <w:t>SE</w:t>
      </w:r>
      <w:r>
        <w:rPr>
          <w:rFonts w:hint="eastAsia"/>
        </w:rPr>
        <w:t>风向下溢油</w:t>
      </w:r>
    </w:p>
    <w:p w14:paraId="6F9BF2D1">
      <w:pPr>
        <w:ind w:firstLine="437"/>
      </w:pPr>
      <w:r>
        <w:rPr>
          <w:rFonts w:hint="eastAsia"/>
        </w:rPr>
        <w:t>码头发生溢油事故后，油膜在SE强风的主导作用下径直向茅尾海湾内内漂移，约12小时，主体部分溢油可抵达龙门港镇南部海岸；部分溢油可继续朝茅尾海方向运动，对茅尾海南部浅海滩涂养殖区造成污染。</w:t>
      </w:r>
    </w:p>
    <w:p w14:paraId="602BA9B0">
      <w:pPr>
        <w:ind w:firstLine="0" w:firstLineChars="0"/>
      </w:pPr>
      <w:r>
        <w:drawing>
          <wp:inline distT="0" distB="0" distL="0" distR="0">
            <wp:extent cx="5278120" cy="3731895"/>
            <wp:effectExtent l="0" t="0" r="0" b="1905"/>
            <wp:docPr id="458564623" name="图片 1" descr="落潮_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564623" name="图片 1" descr="落潮_SE"/>
                    <pic:cNvPicPr>
                      <a:picLocks noChangeAspect="1"/>
                    </pic:cNvPicPr>
                  </pic:nvPicPr>
                  <pic:blipFill>
                    <a:blip r:embed="rId195"/>
                    <a:stretch>
                      <a:fillRect/>
                    </a:stretch>
                  </pic:blipFill>
                  <pic:spPr>
                    <a:xfrm>
                      <a:off x="0" y="0"/>
                      <a:ext cx="5278120" cy="3731895"/>
                    </a:xfrm>
                    <a:prstGeom prst="rect">
                      <a:avLst/>
                    </a:prstGeom>
                  </pic:spPr>
                </pic:pic>
              </a:graphicData>
            </a:graphic>
          </wp:inline>
        </w:drawing>
      </w:r>
    </w:p>
    <w:p w14:paraId="153BE5C8">
      <w:pPr>
        <w:pStyle w:val="8"/>
        <w:keepLines/>
      </w:pPr>
      <w:r>
        <w:rPr>
          <w:rFonts w:hint="eastAsia"/>
        </w:rPr>
        <w:t>低潮时SE</w:t>
      </w:r>
      <w:r>
        <w:t>风向溢油</w:t>
      </w:r>
      <w:r>
        <w:rPr>
          <w:rFonts w:hint="eastAsia"/>
        </w:rPr>
        <w:t>轨迹</w:t>
      </w:r>
    </w:p>
    <w:p w14:paraId="4CBF33D0">
      <w:pPr>
        <w:ind w:firstLine="437"/>
      </w:pPr>
      <w:r>
        <w:t>(2)溢油路径和扫海面积</w:t>
      </w:r>
    </w:p>
    <w:p w14:paraId="5E337E04">
      <w:pPr>
        <w:ind w:firstLine="437"/>
      </w:pPr>
      <w:r>
        <w:t>海上溢油在运动的同时还进行着蒸发、溶解、乳化、沉降以及浮油和海岸线的相互作用等过程，溢油的总量、组成、性质均发生着变化。其中蒸发是溢油质量传输过程的主要部分，特别是轻质原油或成品油如汽油、柴油等。蒸发与油膜的性质、扩散面积有关，也跟风速、海况、海</w:t>
      </w:r>
      <w:r>
        <w:rPr>
          <w:rFonts w:hint="eastAsia"/>
        </w:rPr>
        <w:t>-</w:t>
      </w:r>
      <w:r>
        <w:t>气温差以及太阳辐射强度有关，结合溢油性质、风况以及溢油的扩展面积计算溢油的残油量。</w:t>
      </w:r>
    </w:p>
    <w:p w14:paraId="69FF69BC">
      <w:pPr>
        <w:ind w:firstLine="437"/>
      </w:pPr>
      <w:r>
        <w:t>本次模拟将溢油的非动力过程与溢油的动力过程紧密联系，如蒸发和溶解模型就需要任何时刻油膜的面积，而面积的计算就是根据动力过程计算所得的粒子位置通过一定的算法计算得来，此外，密度、粘度的变化也是溢油计算中不可忽略的过程。</w:t>
      </w:r>
    </w:p>
    <w:p w14:paraId="06884AC2">
      <w:pPr>
        <w:ind w:firstLine="437"/>
      </w:pPr>
      <w:r>
        <w:t>本次溢油预测的燃油为炼油，因此蒸发</w:t>
      </w:r>
      <w:r>
        <w:rPr>
          <w:rFonts w:hint="eastAsia"/>
        </w:rPr>
        <w:t>是</w:t>
      </w:r>
      <w:r>
        <w:t>溢油损失的关键过程。但是随着时间的增长，单位时间内的蒸发损失量也随之减少，这可能由溢油中可蒸发损失组分减小造成的。从</w:t>
      </w:r>
      <w:r>
        <w:rPr>
          <w:rFonts w:hint="eastAsia"/>
        </w:rPr>
        <w:t>码头</w:t>
      </w:r>
      <w:r>
        <w:t>发生的溢油在各种工况下的</w:t>
      </w:r>
      <w:r>
        <w:rPr>
          <w:rFonts w:hint="eastAsia"/>
        </w:rPr>
        <w:t>溢油</w:t>
      </w:r>
      <w:r>
        <w:t>残余量对比中可以看出，在相同海水温度下，溢油在海面上的衰减最敏感的因素是风速，风速增加则物质转移系数增大，溢油的蒸发量也随之加大。其次，影响蒸发的另一主要因素为单位时间内的瞬时扩展面积。</w:t>
      </w:r>
    </w:p>
    <w:p w14:paraId="35A8B8D0">
      <w:pPr>
        <w:ind w:firstLine="437"/>
      </w:pPr>
      <w:r>
        <w:t>在本模式中考虑了另一风化过程——溶解过程，其是在一定能量的搅动下，溢油中的一些石油烃组分进入海水中的过程。溶解量和速率取决于石油的组成和物理性质、油膜扩展度、水温和水的湍流度以及油的乳化程度等。在影响溶解的环境因素中，风速和海况显得尤为重要。但溶解量较蒸发量小得多，通常仅是蒸发量的百分之几。溶解是溢油发生后活动最短的过程，明显有效时间主要在一小时左右。其后相对蒸发而言是可以忽略的。</w:t>
      </w:r>
    </w:p>
    <w:p w14:paraId="24C6D037">
      <w:pPr>
        <w:ind w:firstLine="437"/>
      </w:pPr>
      <w:r>
        <w:t>此外，综合表中的数据还可以看出，溢油的扫海面积除了受海况影响之外(例如风和流的夹角等)，还与起始溢油量有关。</w:t>
      </w:r>
    </w:p>
    <w:p w14:paraId="7A2EA0D9">
      <w:pPr>
        <w:ind w:firstLine="437"/>
      </w:pPr>
      <w:r>
        <w:t>大部分工况下的溢油事故的油膜厚度随时间的减小而减小，主要由于油膜扩散面积的增加以及油量减少所致；小部分油膜厚度可能会有先减小后增加的现象，可能的原因为抵岸使得局部油膜重叠，扩展面积减小。</w:t>
      </w:r>
      <w:bookmarkStart w:id="596" w:name="_Hlk68455081"/>
    </w:p>
    <w:p w14:paraId="051FAD18">
      <w:pPr>
        <w:ind w:firstLine="437"/>
        <w:sectPr>
          <w:headerReference r:id="rId26" w:type="first"/>
          <w:footerReference r:id="rId27" w:type="first"/>
          <w:pgSz w:w="11907" w:h="16840"/>
          <w:pgMar w:top="1440" w:right="1514" w:bottom="1440" w:left="1797" w:header="992" w:footer="851" w:gutter="284"/>
          <w:pgNumType w:fmt="numberInDash"/>
          <w:cols w:space="425" w:num="1"/>
          <w:docGrid w:type="linesAndChars" w:linePitch="465" w:charSpace="-4355"/>
        </w:sectPr>
      </w:pPr>
    </w:p>
    <w:p w14:paraId="4B537318">
      <w:pPr>
        <w:pStyle w:val="212"/>
        <w:numPr>
          <w:ilvl w:val="4"/>
          <w:numId w:val="1"/>
        </w:numPr>
        <w:ind w:firstLine="437"/>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码头溢油残油量和扫海面积随时间的变化（</w:t>
      </w:r>
      <w:r>
        <w:rPr>
          <w:rFonts w:hint="eastAsia" w:cs="Times New Roman"/>
          <w:color w:val="000000" w:themeColor="text1"/>
          <w14:textFill>
            <w14:solidFill>
              <w14:schemeClr w14:val="tx1"/>
            </w14:solidFill>
          </w14:textFill>
        </w:rPr>
        <w:t>高潮时</w:t>
      </w:r>
      <w:r>
        <w:rPr>
          <w:rFonts w:cs="Times New Roman"/>
          <w:color w:val="000000" w:themeColor="text1"/>
          <w14:textFill>
            <w14:solidFill>
              <w14:schemeClr w14:val="tx1"/>
            </w14:solidFill>
          </w14:textFill>
        </w:rPr>
        <w:t>）</w:t>
      </w:r>
    </w:p>
    <w:tbl>
      <w:tblPr>
        <w:tblStyle w:val="88"/>
        <w:tblW w:w="141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1"/>
        <w:gridCol w:w="578"/>
        <w:gridCol w:w="1267"/>
        <w:gridCol w:w="952"/>
        <w:gridCol w:w="1049"/>
        <w:gridCol w:w="1242"/>
        <w:gridCol w:w="935"/>
        <w:gridCol w:w="1089"/>
        <w:gridCol w:w="1193"/>
        <w:gridCol w:w="1080"/>
        <w:gridCol w:w="1080"/>
        <w:gridCol w:w="1171"/>
        <w:gridCol w:w="1012"/>
        <w:gridCol w:w="1035"/>
      </w:tblGrid>
      <w:tr w14:paraId="3F7BD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1069" w:type="dxa"/>
            <w:gridSpan w:val="2"/>
            <w:vMerge w:val="restart"/>
            <w:tcBorders>
              <w:top w:val="single" w:color="auto" w:sz="12" w:space="0"/>
              <w:left w:val="single" w:color="auto" w:sz="12" w:space="0"/>
              <w:bottom w:val="single" w:color="auto" w:sz="6" w:space="0"/>
              <w:right w:val="single" w:color="auto" w:sz="6" w:space="0"/>
            </w:tcBorders>
            <w:vAlign w:val="center"/>
          </w:tcPr>
          <w:p w14:paraId="5B732A1F">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时间(h)</w:t>
            </w:r>
          </w:p>
        </w:tc>
        <w:tc>
          <w:tcPr>
            <w:tcW w:w="3268" w:type="dxa"/>
            <w:gridSpan w:val="3"/>
            <w:tcBorders>
              <w:top w:val="single" w:color="auto" w:sz="12" w:space="0"/>
              <w:left w:val="single" w:color="auto" w:sz="6" w:space="0"/>
              <w:bottom w:val="single" w:color="auto" w:sz="6" w:space="0"/>
              <w:right w:val="single" w:color="auto" w:sz="6" w:space="0"/>
            </w:tcBorders>
            <w:vAlign w:val="center"/>
          </w:tcPr>
          <w:p w14:paraId="6C23CF43">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w:t>
            </w:r>
            <w:r>
              <w:rPr>
                <w:rFonts w:hint="eastAsia"/>
                <w:color w:val="000000" w:themeColor="text1"/>
                <w:kern w:val="0"/>
                <w:sz w:val="21"/>
                <w:szCs w:val="21"/>
                <w14:textFill>
                  <w14:solidFill>
                    <w14:schemeClr w14:val="tx1"/>
                  </w14:solidFill>
                </w14:textFill>
              </w:rPr>
              <w:t>夏季</w:t>
            </w:r>
            <w:r>
              <w:rPr>
                <w:color w:val="000000" w:themeColor="text1"/>
                <w:kern w:val="0"/>
                <w:sz w:val="21"/>
                <w:szCs w:val="21"/>
                <w14:textFill>
                  <w14:solidFill>
                    <w14:schemeClr w14:val="tx1"/>
                  </w14:solidFill>
                </w14:textFill>
              </w:rPr>
              <w:t>主频风）</w:t>
            </w:r>
          </w:p>
        </w:tc>
        <w:tc>
          <w:tcPr>
            <w:tcW w:w="3266" w:type="dxa"/>
            <w:gridSpan w:val="3"/>
            <w:tcBorders>
              <w:top w:val="single" w:color="auto" w:sz="12" w:space="0"/>
              <w:left w:val="single" w:color="auto" w:sz="6" w:space="0"/>
              <w:bottom w:val="single" w:color="auto" w:sz="6" w:space="0"/>
              <w:right w:val="single" w:color="auto" w:sz="6" w:space="0"/>
            </w:tcBorders>
            <w:vAlign w:val="center"/>
          </w:tcPr>
          <w:p w14:paraId="34D31BAD">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w:t>
            </w:r>
            <w:r>
              <w:rPr>
                <w:rFonts w:hint="eastAsia"/>
                <w:color w:val="000000" w:themeColor="text1"/>
                <w:kern w:val="0"/>
                <w:sz w:val="21"/>
                <w:szCs w:val="21"/>
                <w14:textFill>
                  <w14:solidFill>
                    <w14:schemeClr w14:val="tx1"/>
                  </w14:solidFill>
                </w14:textFill>
              </w:rPr>
              <w:t>冬季</w:t>
            </w:r>
            <w:r>
              <w:rPr>
                <w:color w:val="000000" w:themeColor="text1"/>
                <w:kern w:val="0"/>
                <w:sz w:val="21"/>
                <w:szCs w:val="21"/>
                <w14:textFill>
                  <w14:solidFill>
                    <w14:schemeClr w14:val="tx1"/>
                  </w14:solidFill>
                </w14:textFill>
              </w:rPr>
              <w:t>主频风）</w:t>
            </w:r>
          </w:p>
        </w:tc>
        <w:tc>
          <w:tcPr>
            <w:tcW w:w="3353" w:type="dxa"/>
            <w:gridSpan w:val="3"/>
            <w:tcBorders>
              <w:top w:val="single" w:color="auto" w:sz="12" w:space="0"/>
              <w:left w:val="single" w:color="auto" w:sz="6" w:space="0"/>
              <w:bottom w:val="single" w:color="auto" w:sz="6" w:space="0"/>
              <w:right w:val="single" w:color="auto" w:sz="6" w:space="0"/>
            </w:tcBorders>
            <w:vAlign w:val="center"/>
          </w:tcPr>
          <w:p w14:paraId="21D989B3">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NE（不利风向）</w:t>
            </w:r>
          </w:p>
        </w:tc>
        <w:tc>
          <w:tcPr>
            <w:tcW w:w="3218" w:type="dxa"/>
            <w:gridSpan w:val="3"/>
            <w:tcBorders>
              <w:top w:val="single" w:color="auto" w:sz="12" w:space="0"/>
              <w:left w:val="single" w:color="auto" w:sz="6" w:space="0"/>
              <w:bottom w:val="single" w:color="auto" w:sz="6" w:space="0"/>
              <w:right w:val="single" w:color="auto" w:sz="12" w:space="0"/>
            </w:tcBorders>
          </w:tcPr>
          <w:p w14:paraId="3184674D">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SE（不利风向）</w:t>
            </w:r>
          </w:p>
        </w:tc>
      </w:tr>
      <w:tr w14:paraId="1E734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69" w:type="dxa"/>
            <w:gridSpan w:val="2"/>
            <w:vMerge w:val="continue"/>
            <w:tcBorders>
              <w:top w:val="single" w:color="auto" w:sz="6" w:space="0"/>
              <w:left w:val="single" w:color="auto" w:sz="12" w:space="0"/>
              <w:bottom w:val="single" w:color="auto" w:sz="6" w:space="0"/>
              <w:right w:val="single" w:color="auto" w:sz="6" w:space="0"/>
            </w:tcBorders>
            <w:vAlign w:val="center"/>
          </w:tcPr>
          <w:p w14:paraId="0CBC8799">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1267" w:type="dxa"/>
            <w:tcBorders>
              <w:top w:val="single" w:color="auto" w:sz="6" w:space="0"/>
              <w:left w:val="single" w:color="auto" w:sz="6" w:space="0"/>
              <w:bottom w:val="single" w:color="auto" w:sz="6" w:space="0"/>
              <w:right w:val="single" w:color="auto" w:sz="6" w:space="0"/>
            </w:tcBorders>
            <w:vAlign w:val="center"/>
          </w:tcPr>
          <w:p w14:paraId="37AAB859">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952" w:type="dxa"/>
            <w:tcBorders>
              <w:top w:val="single" w:color="auto" w:sz="6" w:space="0"/>
              <w:left w:val="single" w:color="auto" w:sz="6" w:space="0"/>
              <w:bottom w:val="single" w:color="auto" w:sz="6" w:space="0"/>
              <w:right w:val="single" w:color="auto" w:sz="6" w:space="0"/>
            </w:tcBorders>
            <w:vAlign w:val="center"/>
          </w:tcPr>
          <w:p w14:paraId="2B6EF7EA">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vAlign w:val="center"/>
          </w:tcPr>
          <w:p w14:paraId="5B298DB8">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油膜厚度(um)</w:t>
            </w:r>
          </w:p>
        </w:tc>
        <w:tc>
          <w:tcPr>
            <w:tcW w:w="1242" w:type="dxa"/>
            <w:tcBorders>
              <w:top w:val="single" w:color="auto" w:sz="6" w:space="0"/>
              <w:left w:val="single" w:color="auto" w:sz="6" w:space="0"/>
              <w:bottom w:val="single" w:color="auto" w:sz="6" w:space="0"/>
              <w:right w:val="single" w:color="auto" w:sz="6" w:space="0"/>
            </w:tcBorders>
            <w:vAlign w:val="center"/>
          </w:tcPr>
          <w:p w14:paraId="642EB12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935" w:type="dxa"/>
            <w:tcBorders>
              <w:top w:val="single" w:color="auto" w:sz="6" w:space="0"/>
              <w:left w:val="single" w:color="auto" w:sz="6" w:space="0"/>
              <w:bottom w:val="single" w:color="auto" w:sz="6" w:space="0"/>
              <w:right w:val="single" w:color="auto" w:sz="6" w:space="0"/>
            </w:tcBorders>
            <w:vAlign w:val="center"/>
          </w:tcPr>
          <w:p w14:paraId="6E4EC87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89" w:type="dxa"/>
            <w:tcBorders>
              <w:top w:val="single" w:color="auto" w:sz="6" w:space="0"/>
              <w:left w:val="single" w:color="auto" w:sz="6" w:space="0"/>
              <w:bottom w:val="single" w:color="auto" w:sz="6" w:space="0"/>
              <w:right w:val="single" w:color="auto" w:sz="6" w:space="0"/>
            </w:tcBorders>
            <w:vAlign w:val="center"/>
          </w:tcPr>
          <w:p w14:paraId="5F6D1F8C">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w:t>
            </w:r>
          </w:p>
          <w:p w14:paraId="78601F30">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(um)</w:t>
            </w:r>
          </w:p>
        </w:tc>
        <w:tc>
          <w:tcPr>
            <w:tcW w:w="1193" w:type="dxa"/>
            <w:tcBorders>
              <w:top w:val="single" w:color="auto" w:sz="6" w:space="0"/>
              <w:left w:val="single" w:color="auto" w:sz="6" w:space="0"/>
              <w:bottom w:val="single" w:color="auto" w:sz="6" w:space="0"/>
              <w:right w:val="single" w:color="auto" w:sz="6" w:space="0"/>
            </w:tcBorders>
            <w:vAlign w:val="center"/>
          </w:tcPr>
          <w:p w14:paraId="1A9972C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1080" w:type="dxa"/>
            <w:tcBorders>
              <w:top w:val="single" w:color="auto" w:sz="6" w:space="0"/>
              <w:left w:val="single" w:color="auto" w:sz="6" w:space="0"/>
              <w:bottom w:val="single" w:color="auto" w:sz="6" w:space="0"/>
              <w:right w:val="single" w:color="auto" w:sz="6" w:space="0"/>
            </w:tcBorders>
            <w:vAlign w:val="center"/>
          </w:tcPr>
          <w:p w14:paraId="0BD4ACA3">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vAlign w:val="center"/>
          </w:tcPr>
          <w:p w14:paraId="78EF9E1C">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w:t>
            </w:r>
          </w:p>
          <w:p w14:paraId="1B91A18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(um)</w:t>
            </w:r>
          </w:p>
        </w:tc>
        <w:tc>
          <w:tcPr>
            <w:tcW w:w="1171" w:type="dxa"/>
            <w:tcBorders>
              <w:top w:val="single" w:color="auto" w:sz="6" w:space="0"/>
              <w:left w:val="single" w:color="auto" w:sz="6" w:space="0"/>
              <w:bottom w:val="single" w:color="auto" w:sz="6" w:space="0"/>
              <w:right w:val="single" w:color="auto" w:sz="6" w:space="0"/>
            </w:tcBorders>
            <w:vAlign w:val="center"/>
          </w:tcPr>
          <w:p w14:paraId="3CEE1CD8">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1012" w:type="dxa"/>
            <w:tcBorders>
              <w:top w:val="single" w:color="auto" w:sz="6" w:space="0"/>
              <w:left w:val="single" w:color="auto" w:sz="6" w:space="0"/>
              <w:bottom w:val="single" w:color="auto" w:sz="6" w:space="0"/>
              <w:right w:val="single" w:color="auto" w:sz="6" w:space="0"/>
            </w:tcBorders>
            <w:vAlign w:val="center"/>
          </w:tcPr>
          <w:p w14:paraId="15D566C9">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35" w:type="dxa"/>
            <w:tcBorders>
              <w:top w:val="single" w:color="auto" w:sz="6" w:space="0"/>
              <w:left w:val="single" w:color="auto" w:sz="6" w:space="0"/>
              <w:bottom w:val="single" w:color="auto" w:sz="6" w:space="0"/>
              <w:right w:val="single" w:color="auto" w:sz="12" w:space="0"/>
            </w:tcBorders>
            <w:vAlign w:val="center"/>
          </w:tcPr>
          <w:p w14:paraId="36D4D81B">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油膜厚度(um)</w:t>
            </w:r>
          </w:p>
        </w:tc>
      </w:tr>
      <w:tr w14:paraId="5AE07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restart"/>
            <w:tcBorders>
              <w:top w:val="single" w:color="auto" w:sz="6" w:space="0"/>
              <w:left w:val="single" w:color="auto" w:sz="12" w:space="0"/>
              <w:bottom w:val="single" w:color="auto" w:sz="6" w:space="0"/>
              <w:right w:val="single" w:color="auto" w:sz="6" w:space="0"/>
            </w:tcBorders>
            <w:vAlign w:val="center"/>
          </w:tcPr>
          <w:p w14:paraId="47A93FD6">
            <w:pPr>
              <w:adjustRightIn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高潮时</w:t>
            </w:r>
          </w:p>
        </w:tc>
        <w:tc>
          <w:tcPr>
            <w:tcW w:w="578" w:type="dxa"/>
            <w:tcBorders>
              <w:top w:val="single" w:color="auto" w:sz="6" w:space="0"/>
              <w:left w:val="single" w:color="auto" w:sz="6" w:space="0"/>
              <w:bottom w:val="single" w:color="auto" w:sz="6" w:space="0"/>
              <w:right w:val="single" w:color="auto" w:sz="6" w:space="0"/>
            </w:tcBorders>
            <w:vAlign w:val="center"/>
          </w:tcPr>
          <w:p w14:paraId="4302BF5F">
            <w:pPr>
              <w:adjustRightIn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267" w:type="dxa"/>
            <w:tcBorders>
              <w:top w:val="nil"/>
              <w:left w:val="nil"/>
              <w:bottom w:val="single" w:color="000000" w:sz="8" w:space="0"/>
              <w:right w:val="single" w:color="000000" w:sz="8" w:space="0"/>
            </w:tcBorders>
            <w:vAlign w:val="center"/>
          </w:tcPr>
          <w:p w14:paraId="5B74760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28.50</w:t>
            </w:r>
          </w:p>
        </w:tc>
        <w:tc>
          <w:tcPr>
            <w:tcW w:w="952" w:type="dxa"/>
            <w:tcBorders>
              <w:top w:val="nil"/>
              <w:left w:val="nil"/>
              <w:bottom w:val="single" w:color="000000" w:sz="8" w:space="0"/>
              <w:right w:val="single" w:color="000000" w:sz="8" w:space="0"/>
            </w:tcBorders>
            <w:vAlign w:val="center"/>
          </w:tcPr>
          <w:p w14:paraId="1DE1C90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0.00</w:t>
            </w:r>
          </w:p>
        </w:tc>
        <w:tc>
          <w:tcPr>
            <w:tcW w:w="1049" w:type="dxa"/>
            <w:tcBorders>
              <w:top w:val="nil"/>
              <w:left w:val="nil"/>
              <w:bottom w:val="single" w:color="000000" w:sz="8" w:space="0"/>
              <w:right w:val="single" w:color="000000" w:sz="8" w:space="0"/>
            </w:tcBorders>
            <w:vAlign w:val="center"/>
          </w:tcPr>
          <w:p w14:paraId="79EB1358">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0.00</w:t>
            </w:r>
          </w:p>
        </w:tc>
        <w:tc>
          <w:tcPr>
            <w:tcW w:w="1242" w:type="dxa"/>
            <w:tcBorders>
              <w:top w:val="nil"/>
              <w:left w:val="nil"/>
              <w:bottom w:val="single" w:color="000000" w:sz="8" w:space="0"/>
              <w:right w:val="single" w:color="000000" w:sz="8" w:space="0"/>
            </w:tcBorders>
            <w:vAlign w:val="center"/>
          </w:tcPr>
          <w:p w14:paraId="4A52217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28.50</w:t>
            </w:r>
          </w:p>
        </w:tc>
        <w:tc>
          <w:tcPr>
            <w:tcW w:w="935" w:type="dxa"/>
            <w:tcBorders>
              <w:top w:val="nil"/>
              <w:left w:val="nil"/>
              <w:bottom w:val="single" w:color="000000" w:sz="8" w:space="0"/>
              <w:right w:val="single" w:color="000000" w:sz="8" w:space="0"/>
            </w:tcBorders>
            <w:vAlign w:val="center"/>
          </w:tcPr>
          <w:p w14:paraId="4BD992F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0.00</w:t>
            </w:r>
          </w:p>
        </w:tc>
        <w:tc>
          <w:tcPr>
            <w:tcW w:w="1089" w:type="dxa"/>
            <w:tcBorders>
              <w:top w:val="nil"/>
              <w:left w:val="nil"/>
              <w:bottom w:val="single" w:color="000000" w:sz="8" w:space="0"/>
              <w:right w:val="single" w:color="000000" w:sz="8" w:space="0"/>
            </w:tcBorders>
            <w:vAlign w:val="center"/>
          </w:tcPr>
          <w:p w14:paraId="74E6E57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0.00</w:t>
            </w:r>
          </w:p>
        </w:tc>
        <w:tc>
          <w:tcPr>
            <w:tcW w:w="1193" w:type="dxa"/>
            <w:tcBorders>
              <w:top w:val="nil"/>
              <w:left w:val="nil"/>
              <w:bottom w:val="single" w:color="000000" w:sz="8" w:space="0"/>
              <w:right w:val="single" w:color="000000" w:sz="8" w:space="0"/>
            </w:tcBorders>
            <w:vAlign w:val="center"/>
          </w:tcPr>
          <w:p w14:paraId="58FCFB3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28.50</w:t>
            </w:r>
          </w:p>
        </w:tc>
        <w:tc>
          <w:tcPr>
            <w:tcW w:w="1080" w:type="dxa"/>
            <w:tcBorders>
              <w:top w:val="nil"/>
              <w:left w:val="nil"/>
              <w:bottom w:val="single" w:color="000000" w:sz="8" w:space="0"/>
              <w:right w:val="single" w:color="000000" w:sz="8" w:space="0"/>
            </w:tcBorders>
            <w:vAlign w:val="center"/>
          </w:tcPr>
          <w:p w14:paraId="7C3F2F3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0.00</w:t>
            </w:r>
          </w:p>
        </w:tc>
        <w:tc>
          <w:tcPr>
            <w:tcW w:w="1080" w:type="dxa"/>
            <w:tcBorders>
              <w:top w:val="nil"/>
              <w:left w:val="nil"/>
              <w:bottom w:val="single" w:color="000000" w:sz="8" w:space="0"/>
              <w:right w:val="single" w:color="000000" w:sz="8" w:space="0"/>
            </w:tcBorders>
            <w:vAlign w:val="center"/>
          </w:tcPr>
          <w:p w14:paraId="1F0466C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0.00</w:t>
            </w:r>
          </w:p>
        </w:tc>
        <w:tc>
          <w:tcPr>
            <w:tcW w:w="1171" w:type="dxa"/>
            <w:tcBorders>
              <w:top w:val="nil"/>
              <w:left w:val="nil"/>
              <w:bottom w:val="single" w:color="000000" w:sz="8" w:space="0"/>
              <w:right w:val="single" w:color="000000" w:sz="8" w:space="0"/>
            </w:tcBorders>
            <w:vAlign w:val="center"/>
          </w:tcPr>
          <w:p w14:paraId="06E84A99">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28.50</w:t>
            </w:r>
          </w:p>
        </w:tc>
        <w:tc>
          <w:tcPr>
            <w:tcW w:w="1012" w:type="dxa"/>
            <w:tcBorders>
              <w:top w:val="nil"/>
              <w:left w:val="nil"/>
              <w:bottom w:val="single" w:color="000000" w:sz="8" w:space="0"/>
              <w:right w:val="single" w:color="000000" w:sz="8" w:space="0"/>
            </w:tcBorders>
            <w:vAlign w:val="center"/>
          </w:tcPr>
          <w:p w14:paraId="188282B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0.00</w:t>
            </w:r>
          </w:p>
        </w:tc>
        <w:tc>
          <w:tcPr>
            <w:tcW w:w="1035" w:type="dxa"/>
            <w:tcBorders>
              <w:top w:val="nil"/>
              <w:left w:val="nil"/>
              <w:bottom w:val="single" w:color="000000" w:sz="8" w:space="0"/>
              <w:right w:val="single" w:color="000000" w:sz="12" w:space="0"/>
            </w:tcBorders>
            <w:vAlign w:val="center"/>
          </w:tcPr>
          <w:p w14:paraId="61DC48C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0.00</w:t>
            </w:r>
          </w:p>
        </w:tc>
      </w:tr>
      <w:tr w14:paraId="678DD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6FFCF1E0">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55D82219">
            <w:pPr>
              <w:adjustRightIn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267" w:type="dxa"/>
            <w:tcBorders>
              <w:top w:val="nil"/>
              <w:left w:val="nil"/>
              <w:bottom w:val="single" w:color="000000" w:sz="8" w:space="0"/>
              <w:right w:val="single" w:color="000000" w:sz="8" w:space="0"/>
            </w:tcBorders>
            <w:vAlign w:val="center"/>
          </w:tcPr>
          <w:p w14:paraId="5FA0FF8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23.93</w:t>
            </w:r>
          </w:p>
        </w:tc>
        <w:tc>
          <w:tcPr>
            <w:tcW w:w="952" w:type="dxa"/>
            <w:tcBorders>
              <w:top w:val="nil"/>
              <w:left w:val="nil"/>
              <w:bottom w:val="single" w:color="000000" w:sz="8" w:space="0"/>
              <w:right w:val="single" w:color="000000" w:sz="8" w:space="0"/>
            </w:tcBorders>
            <w:vAlign w:val="center"/>
          </w:tcPr>
          <w:p w14:paraId="3E7703A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0.46</w:t>
            </w:r>
          </w:p>
        </w:tc>
        <w:tc>
          <w:tcPr>
            <w:tcW w:w="1049" w:type="dxa"/>
            <w:tcBorders>
              <w:top w:val="nil"/>
              <w:left w:val="nil"/>
              <w:bottom w:val="single" w:color="000000" w:sz="8" w:space="0"/>
              <w:right w:val="single" w:color="000000" w:sz="8" w:space="0"/>
            </w:tcBorders>
            <w:vAlign w:val="center"/>
          </w:tcPr>
          <w:p w14:paraId="76D501C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215.28</w:t>
            </w:r>
          </w:p>
        </w:tc>
        <w:tc>
          <w:tcPr>
            <w:tcW w:w="1242" w:type="dxa"/>
            <w:tcBorders>
              <w:top w:val="nil"/>
              <w:left w:val="nil"/>
              <w:bottom w:val="single" w:color="000000" w:sz="8" w:space="0"/>
              <w:right w:val="single" w:color="000000" w:sz="8" w:space="0"/>
            </w:tcBorders>
            <w:vAlign w:val="center"/>
          </w:tcPr>
          <w:p w14:paraId="64B2FC4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23.86</w:t>
            </w:r>
          </w:p>
        </w:tc>
        <w:tc>
          <w:tcPr>
            <w:tcW w:w="935" w:type="dxa"/>
            <w:tcBorders>
              <w:top w:val="nil"/>
              <w:left w:val="nil"/>
              <w:bottom w:val="single" w:color="000000" w:sz="8" w:space="0"/>
              <w:right w:val="single" w:color="000000" w:sz="8" w:space="0"/>
            </w:tcBorders>
            <w:vAlign w:val="center"/>
          </w:tcPr>
          <w:p w14:paraId="4184EB5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0.52</w:t>
            </w:r>
          </w:p>
        </w:tc>
        <w:tc>
          <w:tcPr>
            <w:tcW w:w="1089" w:type="dxa"/>
            <w:tcBorders>
              <w:top w:val="nil"/>
              <w:left w:val="nil"/>
              <w:bottom w:val="single" w:color="000000" w:sz="8" w:space="0"/>
              <w:right w:val="single" w:color="000000" w:sz="8" w:space="0"/>
            </w:tcBorders>
            <w:vAlign w:val="center"/>
          </w:tcPr>
          <w:p w14:paraId="234611C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171.63</w:t>
            </w:r>
          </w:p>
        </w:tc>
        <w:tc>
          <w:tcPr>
            <w:tcW w:w="1193" w:type="dxa"/>
            <w:tcBorders>
              <w:top w:val="nil"/>
              <w:left w:val="nil"/>
              <w:bottom w:val="single" w:color="000000" w:sz="8" w:space="0"/>
              <w:right w:val="single" w:color="000000" w:sz="8" w:space="0"/>
            </w:tcBorders>
            <w:vAlign w:val="center"/>
          </w:tcPr>
          <w:p w14:paraId="52249B3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22.72</w:t>
            </w:r>
          </w:p>
        </w:tc>
        <w:tc>
          <w:tcPr>
            <w:tcW w:w="1080" w:type="dxa"/>
            <w:tcBorders>
              <w:top w:val="nil"/>
              <w:left w:val="nil"/>
              <w:bottom w:val="single" w:color="000000" w:sz="8" w:space="0"/>
              <w:right w:val="single" w:color="000000" w:sz="8" w:space="0"/>
            </w:tcBorders>
            <w:vAlign w:val="center"/>
          </w:tcPr>
          <w:p w14:paraId="616469D8">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0.66</w:t>
            </w:r>
          </w:p>
        </w:tc>
        <w:tc>
          <w:tcPr>
            <w:tcW w:w="1080" w:type="dxa"/>
            <w:tcBorders>
              <w:top w:val="nil"/>
              <w:left w:val="nil"/>
              <w:bottom w:val="single" w:color="000000" w:sz="8" w:space="0"/>
              <w:right w:val="single" w:color="000000" w:sz="8" w:space="0"/>
            </w:tcBorders>
            <w:vAlign w:val="center"/>
          </w:tcPr>
          <w:p w14:paraId="643D78E1">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141.25</w:t>
            </w:r>
          </w:p>
        </w:tc>
        <w:tc>
          <w:tcPr>
            <w:tcW w:w="1171" w:type="dxa"/>
            <w:tcBorders>
              <w:top w:val="nil"/>
              <w:left w:val="nil"/>
              <w:bottom w:val="single" w:color="000000" w:sz="8" w:space="0"/>
              <w:right w:val="single" w:color="000000" w:sz="8" w:space="0"/>
            </w:tcBorders>
            <w:vAlign w:val="center"/>
          </w:tcPr>
          <w:p w14:paraId="255341C8">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22.85</w:t>
            </w:r>
          </w:p>
        </w:tc>
        <w:tc>
          <w:tcPr>
            <w:tcW w:w="1012" w:type="dxa"/>
            <w:tcBorders>
              <w:top w:val="nil"/>
              <w:left w:val="nil"/>
              <w:bottom w:val="single" w:color="000000" w:sz="8" w:space="0"/>
              <w:right w:val="single" w:color="000000" w:sz="8" w:space="0"/>
            </w:tcBorders>
            <w:vAlign w:val="center"/>
          </w:tcPr>
          <w:p w14:paraId="060F5AA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0.56</w:t>
            </w:r>
          </w:p>
        </w:tc>
        <w:tc>
          <w:tcPr>
            <w:tcW w:w="1035" w:type="dxa"/>
            <w:tcBorders>
              <w:top w:val="nil"/>
              <w:left w:val="nil"/>
              <w:bottom w:val="single" w:color="000000" w:sz="8" w:space="0"/>
              <w:right w:val="single" w:color="000000" w:sz="8" w:space="0"/>
            </w:tcBorders>
            <w:vAlign w:val="center"/>
          </w:tcPr>
          <w:p w14:paraId="161610C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151.40</w:t>
            </w:r>
          </w:p>
        </w:tc>
      </w:tr>
      <w:tr w14:paraId="5D934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486388B6">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2D808DCD">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267" w:type="dxa"/>
            <w:tcBorders>
              <w:top w:val="nil"/>
              <w:left w:val="nil"/>
              <w:bottom w:val="single" w:color="000000" w:sz="8" w:space="0"/>
              <w:right w:val="single" w:color="000000" w:sz="8" w:space="0"/>
            </w:tcBorders>
            <w:vAlign w:val="center"/>
          </w:tcPr>
          <w:p w14:paraId="37CCC997">
            <w:pPr>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465E70B5">
            <w:pPr>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3016BB34">
            <w:pPr>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73187F7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15.70</w:t>
            </w:r>
          </w:p>
        </w:tc>
        <w:tc>
          <w:tcPr>
            <w:tcW w:w="935" w:type="dxa"/>
            <w:tcBorders>
              <w:top w:val="nil"/>
              <w:left w:val="nil"/>
              <w:bottom w:val="single" w:color="000000" w:sz="8" w:space="0"/>
              <w:right w:val="single" w:color="000000" w:sz="8" w:space="0"/>
            </w:tcBorders>
            <w:vAlign w:val="center"/>
          </w:tcPr>
          <w:p w14:paraId="0DE02187">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4.24</w:t>
            </w:r>
          </w:p>
        </w:tc>
        <w:tc>
          <w:tcPr>
            <w:tcW w:w="1089" w:type="dxa"/>
            <w:tcBorders>
              <w:top w:val="nil"/>
              <w:left w:val="nil"/>
              <w:bottom w:val="single" w:color="000000" w:sz="8" w:space="0"/>
              <w:right w:val="single" w:color="000000" w:sz="8" w:space="0"/>
            </w:tcBorders>
            <w:vAlign w:val="center"/>
          </w:tcPr>
          <w:p w14:paraId="6A72EB37">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17.40</w:t>
            </w:r>
          </w:p>
        </w:tc>
        <w:tc>
          <w:tcPr>
            <w:tcW w:w="1193" w:type="dxa"/>
            <w:tcBorders>
              <w:top w:val="nil"/>
              <w:left w:val="nil"/>
              <w:bottom w:val="single" w:color="000000" w:sz="8" w:space="0"/>
              <w:right w:val="single" w:color="000000" w:sz="8" w:space="0"/>
            </w:tcBorders>
            <w:vAlign w:val="center"/>
          </w:tcPr>
          <w:p w14:paraId="55B69F81">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14.28</w:t>
            </w:r>
          </w:p>
        </w:tc>
        <w:tc>
          <w:tcPr>
            <w:tcW w:w="1080" w:type="dxa"/>
            <w:tcBorders>
              <w:top w:val="nil"/>
              <w:left w:val="nil"/>
              <w:bottom w:val="single" w:color="000000" w:sz="8" w:space="0"/>
              <w:right w:val="single" w:color="000000" w:sz="8" w:space="0"/>
            </w:tcBorders>
            <w:vAlign w:val="center"/>
          </w:tcPr>
          <w:p w14:paraId="5A1201B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6.48</w:t>
            </w:r>
          </w:p>
        </w:tc>
        <w:tc>
          <w:tcPr>
            <w:tcW w:w="1080" w:type="dxa"/>
            <w:tcBorders>
              <w:top w:val="nil"/>
              <w:left w:val="nil"/>
              <w:bottom w:val="single" w:color="000000" w:sz="8" w:space="0"/>
              <w:right w:val="single" w:color="000000" w:sz="8" w:space="0"/>
            </w:tcBorders>
            <w:vAlign w:val="center"/>
          </w:tcPr>
          <w:p w14:paraId="7FD97C6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25.99</w:t>
            </w:r>
          </w:p>
        </w:tc>
        <w:tc>
          <w:tcPr>
            <w:tcW w:w="1171" w:type="dxa"/>
            <w:tcBorders>
              <w:top w:val="nil"/>
              <w:left w:val="nil"/>
              <w:bottom w:val="single" w:color="000000" w:sz="8" w:space="0"/>
              <w:right w:val="single" w:color="000000" w:sz="8" w:space="0"/>
            </w:tcBorders>
            <w:vAlign w:val="center"/>
          </w:tcPr>
          <w:p w14:paraId="5585BBC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14.29</w:t>
            </w:r>
          </w:p>
        </w:tc>
        <w:tc>
          <w:tcPr>
            <w:tcW w:w="1012" w:type="dxa"/>
            <w:tcBorders>
              <w:top w:val="nil"/>
              <w:left w:val="nil"/>
              <w:bottom w:val="single" w:color="000000" w:sz="8" w:space="0"/>
              <w:right w:val="single" w:color="000000" w:sz="8" w:space="0"/>
            </w:tcBorders>
            <w:vAlign w:val="center"/>
          </w:tcPr>
          <w:p w14:paraId="06829F9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5.73</w:t>
            </w:r>
          </w:p>
        </w:tc>
        <w:tc>
          <w:tcPr>
            <w:tcW w:w="1035" w:type="dxa"/>
            <w:tcBorders>
              <w:top w:val="nil"/>
              <w:left w:val="nil"/>
              <w:bottom w:val="single" w:color="000000" w:sz="8" w:space="0"/>
              <w:right w:val="single" w:color="000000" w:sz="8" w:space="0"/>
            </w:tcBorders>
            <w:vAlign w:val="center"/>
          </w:tcPr>
          <w:p w14:paraId="5C30F77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27.10</w:t>
            </w:r>
          </w:p>
        </w:tc>
      </w:tr>
      <w:tr w14:paraId="269C0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751ED414">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3ABAF216">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267" w:type="dxa"/>
            <w:tcBorders>
              <w:top w:val="nil"/>
              <w:left w:val="nil"/>
              <w:bottom w:val="single" w:color="000000" w:sz="8" w:space="0"/>
              <w:right w:val="single" w:color="000000" w:sz="8" w:space="0"/>
            </w:tcBorders>
            <w:vAlign w:val="center"/>
          </w:tcPr>
          <w:p w14:paraId="30E6025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02F4C75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038FC7C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3DF08E4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13.76</w:t>
            </w:r>
          </w:p>
        </w:tc>
        <w:tc>
          <w:tcPr>
            <w:tcW w:w="935" w:type="dxa"/>
            <w:tcBorders>
              <w:top w:val="nil"/>
              <w:left w:val="nil"/>
              <w:bottom w:val="single" w:color="000000" w:sz="8" w:space="0"/>
              <w:right w:val="single" w:color="000000" w:sz="8" w:space="0"/>
            </w:tcBorders>
            <w:vAlign w:val="center"/>
          </w:tcPr>
          <w:p w14:paraId="508E972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11.81</w:t>
            </w:r>
          </w:p>
        </w:tc>
        <w:tc>
          <w:tcPr>
            <w:tcW w:w="1089" w:type="dxa"/>
            <w:tcBorders>
              <w:top w:val="nil"/>
              <w:left w:val="nil"/>
              <w:bottom w:val="single" w:color="000000" w:sz="8" w:space="0"/>
              <w:right w:val="single" w:color="000000" w:sz="8" w:space="0"/>
            </w:tcBorders>
            <w:vAlign w:val="center"/>
          </w:tcPr>
          <w:p w14:paraId="094A1A5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7.62</w:t>
            </w:r>
          </w:p>
        </w:tc>
        <w:tc>
          <w:tcPr>
            <w:tcW w:w="1193" w:type="dxa"/>
            <w:tcBorders>
              <w:top w:val="nil"/>
              <w:left w:val="nil"/>
              <w:bottom w:val="single" w:color="000000" w:sz="8" w:space="0"/>
              <w:right w:val="single" w:color="000000" w:sz="8" w:space="0"/>
            </w:tcBorders>
            <w:vAlign w:val="center"/>
          </w:tcPr>
          <w:p w14:paraId="7AE0A37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12.80</w:t>
            </w:r>
          </w:p>
        </w:tc>
        <w:tc>
          <w:tcPr>
            <w:tcW w:w="1080" w:type="dxa"/>
            <w:tcBorders>
              <w:top w:val="nil"/>
              <w:left w:val="nil"/>
              <w:bottom w:val="single" w:color="000000" w:sz="8" w:space="0"/>
              <w:right w:val="single" w:color="000000" w:sz="8" w:space="0"/>
            </w:tcBorders>
            <w:vAlign w:val="center"/>
          </w:tcPr>
          <w:p w14:paraId="16ECDB3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13.27</w:t>
            </w:r>
          </w:p>
        </w:tc>
        <w:tc>
          <w:tcPr>
            <w:tcW w:w="1080" w:type="dxa"/>
            <w:tcBorders>
              <w:top w:val="nil"/>
              <w:left w:val="nil"/>
              <w:bottom w:val="single" w:color="000000" w:sz="8" w:space="0"/>
              <w:right w:val="single" w:color="000000" w:sz="8" w:space="0"/>
            </w:tcBorders>
            <w:vAlign w:val="center"/>
          </w:tcPr>
          <w:p w14:paraId="17A36B2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20.50</w:t>
            </w:r>
          </w:p>
        </w:tc>
        <w:tc>
          <w:tcPr>
            <w:tcW w:w="1171" w:type="dxa"/>
            <w:tcBorders>
              <w:top w:val="nil"/>
              <w:left w:val="nil"/>
              <w:bottom w:val="single" w:color="000000" w:sz="8" w:space="0"/>
              <w:right w:val="single" w:color="000000" w:sz="8" w:space="0"/>
            </w:tcBorders>
            <w:vAlign w:val="center"/>
          </w:tcPr>
          <w:p w14:paraId="7351C52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23044B4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76C9610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1AFC4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4B09C62F">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5104D7A2">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w:t>
            </w:r>
          </w:p>
        </w:tc>
        <w:tc>
          <w:tcPr>
            <w:tcW w:w="1267" w:type="dxa"/>
            <w:tcBorders>
              <w:top w:val="nil"/>
              <w:left w:val="nil"/>
              <w:bottom w:val="single" w:color="000000" w:sz="8" w:space="0"/>
              <w:right w:val="single" w:color="000000" w:sz="8" w:space="0"/>
            </w:tcBorders>
            <w:vAlign w:val="center"/>
          </w:tcPr>
          <w:p w14:paraId="41D1448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143EF7B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4EB1E6F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19F5A5F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12.24</w:t>
            </w:r>
          </w:p>
        </w:tc>
        <w:tc>
          <w:tcPr>
            <w:tcW w:w="935" w:type="dxa"/>
            <w:tcBorders>
              <w:top w:val="nil"/>
              <w:left w:val="nil"/>
              <w:bottom w:val="single" w:color="000000" w:sz="8" w:space="0"/>
              <w:right w:val="single" w:color="000000" w:sz="8" w:space="0"/>
            </w:tcBorders>
            <w:vAlign w:val="center"/>
          </w:tcPr>
          <w:p w14:paraId="7FED86B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27.38</w:t>
            </w:r>
          </w:p>
        </w:tc>
        <w:tc>
          <w:tcPr>
            <w:tcW w:w="1089" w:type="dxa"/>
            <w:tcBorders>
              <w:top w:val="nil"/>
              <w:left w:val="nil"/>
              <w:bottom w:val="single" w:color="000000" w:sz="8" w:space="0"/>
              <w:right w:val="single" w:color="000000" w:sz="8" w:space="0"/>
            </w:tcBorders>
            <w:vAlign w:val="center"/>
          </w:tcPr>
          <w:p w14:paraId="56570AD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3.27</w:t>
            </w:r>
          </w:p>
        </w:tc>
        <w:tc>
          <w:tcPr>
            <w:tcW w:w="1193" w:type="dxa"/>
            <w:tcBorders>
              <w:top w:val="nil"/>
              <w:left w:val="nil"/>
              <w:bottom w:val="single" w:color="000000" w:sz="8" w:space="0"/>
              <w:right w:val="single" w:color="000000" w:sz="8" w:space="0"/>
            </w:tcBorders>
            <w:vAlign w:val="center"/>
          </w:tcPr>
          <w:p w14:paraId="64473EC1">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1C3F66D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475992E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5264D23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00E0D02A">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4B9E825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1B61C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5B9535FD">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06450008">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1267" w:type="dxa"/>
            <w:tcBorders>
              <w:top w:val="nil"/>
              <w:left w:val="nil"/>
              <w:bottom w:val="single" w:color="000000" w:sz="8" w:space="0"/>
              <w:right w:val="single" w:color="000000" w:sz="8" w:space="0"/>
            </w:tcBorders>
            <w:vAlign w:val="center"/>
          </w:tcPr>
          <w:p w14:paraId="201EF39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5E72F88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7BB4969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5A016F3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11.03</w:t>
            </w:r>
          </w:p>
        </w:tc>
        <w:tc>
          <w:tcPr>
            <w:tcW w:w="935" w:type="dxa"/>
            <w:tcBorders>
              <w:top w:val="nil"/>
              <w:left w:val="nil"/>
              <w:bottom w:val="single" w:color="000000" w:sz="8" w:space="0"/>
              <w:right w:val="single" w:color="000000" w:sz="8" w:space="0"/>
            </w:tcBorders>
            <w:vAlign w:val="center"/>
          </w:tcPr>
          <w:p w14:paraId="0413E3A7">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81.37</w:t>
            </w:r>
          </w:p>
        </w:tc>
        <w:tc>
          <w:tcPr>
            <w:tcW w:w="1089" w:type="dxa"/>
            <w:tcBorders>
              <w:top w:val="nil"/>
              <w:left w:val="nil"/>
              <w:bottom w:val="single" w:color="000000" w:sz="8" w:space="0"/>
              <w:right w:val="single" w:color="000000" w:sz="8" w:space="0"/>
            </w:tcBorders>
            <w:vAlign w:val="center"/>
          </w:tcPr>
          <w:p w14:paraId="0A113545">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2.06</w:t>
            </w:r>
          </w:p>
        </w:tc>
        <w:tc>
          <w:tcPr>
            <w:tcW w:w="1193" w:type="dxa"/>
            <w:tcBorders>
              <w:top w:val="nil"/>
              <w:left w:val="nil"/>
              <w:bottom w:val="single" w:color="000000" w:sz="8" w:space="0"/>
              <w:right w:val="single" w:color="000000" w:sz="8" w:space="0"/>
            </w:tcBorders>
            <w:vAlign w:val="center"/>
          </w:tcPr>
          <w:p w14:paraId="5135430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035833EA">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69CC5479">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5ED1963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297C001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151D2D5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030EB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11244394">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374139E4">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1267" w:type="dxa"/>
            <w:tcBorders>
              <w:top w:val="nil"/>
              <w:left w:val="nil"/>
              <w:bottom w:val="single" w:color="000000" w:sz="8" w:space="0"/>
              <w:right w:val="single" w:color="000000" w:sz="8" w:space="0"/>
            </w:tcBorders>
            <w:vAlign w:val="center"/>
          </w:tcPr>
          <w:p w14:paraId="5C56B15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04DE952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6A0CA94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02C6AD7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10.22</w:t>
            </w:r>
          </w:p>
        </w:tc>
        <w:tc>
          <w:tcPr>
            <w:tcW w:w="935" w:type="dxa"/>
            <w:tcBorders>
              <w:top w:val="nil"/>
              <w:left w:val="nil"/>
              <w:bottom w:val="single" w:color="000000" w:sz="8" w:space="0"/>
              <w:right w:val="single" w:color="000000" w:sz="8" w:space="0"/>
            </w:tcBorders>
            <w:vAlign w:val="center"/>
          </w:tcPr>
          <w:p w14:paraId="1AF84E59">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125.87</w:t>
            </w:r>
          </w:p>
        </w:tc>
        <w:tc>
          <w:tcPr>
            <w:tcW w:w="1089" w:type="dxa"/>
            <w:tcBorders>
              <w:top w:val="nil"/>
              <w:left w:val="nil"/>
              <w:bottom w:val="single" w:color="000000" w:sz="8" w:space="0"/>
              <w:right w:val="single" w:color="000000" w:sz="8" w:space="0"/>
            </w:tcBorders>
            <w:vAlign w:val="center"/>
          </w:tcPr>
          <w:p w14:paraId="42E269B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1.47</w:t>
            </w:r>
          </w:p>
        </w:tc>
        <w:tc>
          <w:tcPr>
            <w:tcW w:w="1193" w:type="dxa"/>
            <w:tcBorders>
              <w:top w:val="nil"/>
              <w:left w:val="nil"/>
              <w:bottom w:val="single" w:color="000000" w:sz="8" w:space="0"/>
              <w:right w:val="single" w:color="000000" w:sz="8" w:space="0"/>
            </w:tcBorders>
            <w:vAlign w:val="center"/>
          </w:tcPr>
          <w:p w14:paraId="02FDDFC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607FAB4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1CDA29D9">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788421A7">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000BE9E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6417E08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488FA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65CBDE3B">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59196C2E">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18</w:t>
            </w:r>
          </w:p>
        </w:tc>
        <w:tc>
          <w:tcPr>
            <w:tcW w:w="1267" w:type="dxa"/>
            <w:tcBorders>
              <w:top w:val="nil"/>
              <w:left w:val="nil"/>
              <w:bottom w:val="single" w:color="000000" w:sz="8" w:space="0"/>
              <w:right w:val="single" w:color="000000" w:sz="8" w:space="0"/>
            </w:tcBorders>
            <w:vAlign w:val="center"/>
          </w:tcPr>
          <w:p w14:paraId="3F57FD0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2D92A0A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6D2904F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59B09F0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9.67</w:t>
            </w:r>
          </w:p>
        </w:tc>
        <w:tc>
          <w:tcPr>
            <w:tcW w:w="935" w:type="dxa"/>
            <w:tcBorders>
              <w:top w:val="nil"/>
              <w:left w:val="nil"/>
              <w:bottom w:val="single" w:color="000000" w:sz="8" w:space="0"/>
              <w:right w:val="single" w:color="000000" w:sz="8" w:space="0"/>
            </w:tcBorders>
            <w:vAlign w:val="center"/>
          </w:tcPr>
          <w:p w14:paraId="67D25A1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131.02</w:t>
            </w:r>
          </w:p>
        </w:tc>
        <w:tc>
          <w:tcPr>
            <w:tcW w:w="1089" w:type="dxa"/>
            <w:tcBorders>
              <w:top w:val="nil"/>
              <w:left w:val="nil"/>
              <w:bottom w:val="single" w:color="000000" w:sz="8" w:space="0"/>
              <w:right w:val="single" w:color="000000" w:sz="8" w:space="0"/>
            </w:tcBorders>
            <w:vAlign w:val="center"/>
          </w:tcPr>
          <w:p w14:paraId="0BD5F55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1.77</w:t>
            </w:r>
          </w:p>
        </w:tc>
        <w:tc>
          <w:tcPr>
            <w:tcW w:w="1193" w:type="dxa"/>
            <w:tcBorders>
              <w:top w:val="nil"/>
              <w:left w:val="nil"/>
              <w:bottom w:val="single" w:color="000000" w:sz="8" w:space="0"/>
              <w:right w:val="single" w:color="000000" w:sz="8" w:space="0"/>
            </w:tcBorders>
            <w:vAlign w:val="center"/>
          </w:tcPr>
          <w:p w14:paraId="2A313F01">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3E4AD8A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5865C5C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5362021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71F81F0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56CB191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1FECF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49596249">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051C724D">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21</w:t>
            </w:r>
          </w:p>
        </w:tc>
        <w:tc>
          <w:tcPr>
            <w:tcW w:w="1267" w:type="dxa"/>
            <w:tcBorders>
              <w:top w:val="nil"/>
              <w:left w:val="nil"/>
              <w:bottom w:val="single" w:color="000000" w:sz="8" w:space="0"/>
              <w:right w:val="single" w:color="000000" w:sz="8" w:space="0"/>
            </w:tcBorders>
            <w:vAlign w:val="center"/>
          </w:tcPr>
          <w:p w14:paraId="2F59970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1B0434C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0B69571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633FBC7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9.29</w:t>
            </w:r>
          </w:p>
        </w:tc>
        <w:tc>
          <w:tcPr>
            <w:tcW w:w="935" w:type="dxa"/>
            <w:tcBorders>
              <w:top w:val="nil"/>
              <w:left w:val="nil"/>
              <w:bottom w:val="single" w:color="000000" w:sz="8" w:space="0"/>
              <w:right w:val="single" w:color="000000" w:sz="8" w:space="0"/>
            </w:tcBorders>
            <w:vAlign w:val="center"/>
          </w:tcPr>
          <w:p w14:paraId="1F2D0AC7">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133.81</w:t>
            </w:r>
          </w:p>
        </w:tc>
        <w:tc>
          <w:tcPr>
            <w:tcW w:w="1089" w:type="dxa"/>
            <w:tcBorders>
              <w:top w:val="nil"/>
              <w:left w:val="nil"/>
              <w:bottom w:val="single" w:color="000000" w:sz="8" w:space="0"/>
              <w:right w:val="single" w:color="000000" w:sz="8" w:space="0"/>
            </w:tcBorders>
            <w:vAlign w:val="center"/>
          </w:tcPr>
          <w:p w14:paraId="1E0331F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1.59</w:t>
            </w:r>
          </w:p>
        </w:tc>
        <w:tc>
          <w:tcPr>
            <w:tcW w:w="1193" w:type="dxa"/>
            <w:tcBorders>
              <w:top w:val="nil"/>
              <w:left w:val="nil"/>
              <w:bottom w:val="single" w:color="000000" w:sz="8" w:space="0"/>
              <w:right w:val="single" w:color="000000" w:sz="8" w:space="0"/>
            </w:tcBorders>
            <w:vAlign w:val="center"/>
          </w:tcPr>
          <w:p w14:paraId="7BA070A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550E78A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2738861A">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3E7D539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68FC678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361D5FB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0FEA0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5FD256BA">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235618AE">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24</w:t>
            </w:r>
          </w:p>
        </w:tc>
        <w:tc>
          <w:tcPr>
            <w:tcW w:w="1267" w:type="dxa"/>
            <w:tcBorders>
              <w:top w:val="nil"/>
              <w:left w:val="nil"/>
              <w:bottom w:val="single" w:color="000000" w:sz="8" w:space="0"/>
              <w:right w:val="single" w:color="000000" w:sz="8" w:space="0"/>
            </w:tcBorders>
            <w:vAlign w:val="center"/>
          </w:tcPr>
          <w:p w14:paraId="38FD8F6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7272FAC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400B32A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08A4124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8.96</w:t>
            </w:r>
          </w:p>
        </w:tc>
        <w:tc>
          <w:tcPr>
            <w:tcW w:w="935" w:type="dxa"/>
            <w:tcBorders>
              <w:top w:val="nil"/>
              <w:left w:val="nil"/>
              <w:bottom w:val="single" w:color="000000" w:sz="8" w:space="0"/>
              <w:right w:val="single" w:color="000000" w:sz="8" w:space="0"/>
            </w:tcBorders>
            <w:vAlign w:val="center"/>
          </w:tcPr>
          <w:p w14:paraId="195D27A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138.33</w:t>
            </w:r>
          </w:p>
        </w:tc>
        <w:tc>
          <w:tcPr>
            <w:tcW w:w="1089" w:type="dxa"/>
            <w:tcBorders>
              <w:top w:val="nil"/>
              <w:left w:val="nil"/>
              <w:bottom w:val="single" w:color="000000" w:sz="8" w:space="0"/>
              <w:right w:val="single" w:color="000000" w:sz="8" w:space="0"/>
            </w:tcBorders>
            <w:vAlign w:val="center"/>
          </w:tcPr>
          <w:p w14:paraId="25C7C615">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1.38</w:t>
            </w:r>
          </w:p>
        </w:tc>
        <w:tc>
          <w:tcPr>
            <w:tcW w:w="1193" w:type="dxa"/>
            <w:tcBorders>
              <w:top w:val="nil"/>
              <w:left w:val="nil"/>
              <w:bottom w:val="single" w:color="000000" w:sz="8" w:space="0"/>
              <w:right w:val="single" w:color="000000" w:sz="8" w:space="0"/>
            </w:tcBorders>
            <w:vAlign w:val="center"/>
          </w:tcPr>
          <w:p w14:paraId="7C06C9E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2B7B83B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3C781E1A">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6727AE8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785E4348">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534818B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4429E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201A18AF">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2431BB15">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27</w:t>
            </w:r>
          </w:p>
        </w:tc>
        <w:tc>
          <w:tcPr>
            <w:tcW w:w="1267" w:type="dxa"/>
            <w:tcBorders>
              <w:top w:val="nil"/>
              <w:left w:val="nil"/>
              <w:bottom w:val="single" w:color="000000" w:sz="8" w:space="0"/>
              <w:right w:val="single" w:color="000000" w:sz="8" w:space="0"/>
            </w:tcBorders>
            <w:vAlign w:val="center"/>
          </w:tcPr>
          <w:p w14:paraId="22E2CF6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723A58EF">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4372B87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231B9FF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8.68</w:t>
            </w:r>
          </w:p>
        </w:tc>
        <w:tc>
          <w:tcPr>
            <w:tcW w:w="935" w:type="dxa"/>
            <w:tcBorders>
              <w:top w:val="nil"/>
              <w:left w:val="nil"/>
              <w:bottom w:val="single" w:color="000000" w:sz="8" w:space="0"/>
              <w:right w:val="single" w:color="000000" w:sz="8" w:space="0"/>
            </w:tcBorders>
            <w:vAlign w:val="center"/>
          </w:tcPr>
          <w:p w14:paraId="75D3E44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142.96</w:t>
            </w:r>
          </w:p>
        </w:tc>
        <w:tc>
          <w:tcPr>
            <w:tcW w:w="1089" w:type="dxa"/>
            <w:tcBorders>
              <w:top w:val="nil"/>
              <w:left w:val="nil"/>
              <w:bottom w:val="single" w:color="000000" w:sz="8" w:space="0"/>
              <w:right w:val="single" w:color="000000" w:sz="8" w:space="0"/>
            </w:tcBorders>
            <w:vAlign w:val="center"/>
          </w:tcPr>
          <w:p w14:paraId="5CE937B5">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1.33</w:t>
            </w:r>
          </w:p>
        </w:tc>
        <w:tc>
          <w:tcPr>
            <w:tcW w:w="1193" w:type="dxa"/>
            <w:tcBorders>
              <w:top w:val="nil"/>
              <w:left w:val="nil"/>
              <w:bottom w:val="single" w:color="000000" w:sz="8" w:space="0"/>
              <w:right w:val="single" w:color="000000" w:sz="8" w:space="0"/>
            </w:tcBorders>
            <w:vAlign w:val="center"/>
          </w:tcPr>
          <w:p w14:paraId="7A0AF258">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110000C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482A677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1DD15C7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03D5E9BA">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40742E88">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0FB59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167AE22F">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0343EA16">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w:t>
            </w:r>
          </w:p>
        </w:tc>
        <w:tc>
          <w:tcPr>
            <w:tcW w:w="1267" w:type="dxa"/>
            <w:tcBorders>
              <w:top w:val="nil"/>
              <w:left w:val="nil"/>
              <w:bottom w:val="single" w:color="000000" w:sz="8" w:space="0"/>
              <w:right w:val="single" w:color="000000" w:sz="8" w:space="0"/>
            </w:tcBorders>
            <w:vAlign w:val="center"/>
          </w:tcPr>
          <w:p w14:paraId="5F780CA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1B89770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03A704CF">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3970297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8.42</w:t>
            </w:r>
          </w:p>
        </w:tc>
        <w:tc>
          <w:tcPr>
            <w:tcW w:w="935" w:type="dxa"/>
            <w:tcBorders>
              <w:top w:val="nil"/>
              <w:left w:val="nil"/>
              <w:bottom w:val="single" w:color="000000" w:sz="8" w:space="0"/>
              <w:right w:val="single" w:color="000000" w:sz="8" w:space="0"/>
            </w:tcBorders>
            <w:vAlign w:val="center"/>
          </w:tcPr>
          <w:p w14:paraId="1EF32015">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154.03</w:t>
            </w:r>
          </w:p>
        </w:tc>
        <w:tc>
          <w:tcPr>
            <w:tcW w:w="1089" w:type="dxa"/>
            <w:tcBorders>
              <w:top w:val="nil"/>
              <w:left w:val="nil"/>
              <w:bottom w:val="single" w:color="000000" w:sz="8" w:space="0"/>
              <w:right w:val="single" w:color="000000" w:sz="8" w:space="0"/>
            </w:tcBorders>
            <w:vAlign w:val="center"/>
          </w:tcPr>
          <w:p w14:paraId="70229068">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1.09</w:t>
            </w:r>
          </w:p>
        </w:tc>
        <w:tc>
          <w:tcPr>
            <w:tcW w:w="1193" w:type="dxa"/>
            <w:tcBorders>
              <w:top w:val="nil"/>
              <w:left w:val="nil"/>
              <w:bottom w:val="single" w:color="000000" w:sz="8" w:space="0"/>
              <w:right w:val="single" w:color="000000" w:sz="8" w:space="0"/>
            </w:tcBorders>
            <w:vAlign w:val="center"/>
          </w:tcPr>
          <w:p w14:paraId="790ACA4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2DFE3625">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0C70002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3FC1F84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0F5DE90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20C0637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4E5E8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45A0E497">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486E53CA">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33</w:t>
            </w:r>
          </w:p>
        </w:tc>
        <w:tc>
          <w:tcPr>
            <w:tcW w:w="1267" w:type="dxa"/>
            <w:tcBorders>
              <w:top w:val="nil"/>
              <w:left w:val="nil"/>
              <w:bottom w:val="single" w:color="000000" w:sz="8" w:space="0"/>
              <w:right w:val="single" w:color="000000" w:sz="8" w:space="0"/>
            </w:tcBorders>
            <w:vAlign w:val="center"/>
          </w:tcPr>
          <w:p w14:paraId="4B914B8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200BE13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02CB22D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4605611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8.17</w:t>
            </w:r>
          </w:p>
        </w:tc>
        <w:tc>
          <w:tcPr>
            <w:tcW w:w="935" w:type="dxa"/>
            <w:tcBorders>
              <w:top w:val="nil"/>
              <w:left w:val="nil"/>
              <w:bottom w:val="single" w:color="000000" w:sz="8" w:space="0"/>
              <w:right w:val="single" w:color="000000" w:sz="8" w:space="0"/>
            </w:tcBorders>
            <w:vAlign w:val="center"/>
          </w:tcPr>
          <w:p w14:paraId="576B4D6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158.11</w:t>
            </w:r>
          </w:p>
        </w:tc>
        <w:tc>
          <w:tcPr>
            <w:tcW w:w="1089" w:type="dxa"/>
            <w:tcBorders>
              <w:top w:val="nil"/>
              <w:left w:val="nil"/>
              <w:bottom w:val="single" w:color="000000" w:sz="8" w:space="0"/>
              <w:right w:val="single" w:color="000000" w:sz="8" w:space="0"/>
            </w:tcBorders>
            <w:vAlign w:val="center"/>
          </w:tcPr>
          <w:p w14:paraId="4A86792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1.00</w:t>
            </w:r>
          </w:p>
        </w:tc>
        <w:tc>
          <w:tcPr>
            <w:tcW w:w="1193" w:type="dxa"/>
            <w:tcBorders>
              <w:top w:val="nil"/>
              <w:left w:val="nil"/>
              <w:bottom w:val="single" w:color="000000" w:sz="8" w:space="0"/>
              <w:right w:val="single" w:color="000000" w:sz="8" w:space="0"/>
            </w:tcBorders>
            <w:vAlign w:val="center"/>
          </w:tcPr>
          <w:p w14:paraId="23E1F71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2ED0790F">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0EC0F02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1ACA728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63991EE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0444618A">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115F2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1C4B7720">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1625CF62">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36</w:t>
            </w:r>
          </w:p>
        </w:tc>
        <w:tc>
          <w:tcPr>
            <w:tcW w:w="1267" w:type="dxa"/>
            <w:tcBorders>
              <w:top w:val="nil"/>
              <w:left w:val="nil"/>
              <w:bottom w:val="single" w:color="000000" w:sz="8" w:space="0"/>
              <w:right w:val="single" w:color="000000" w:sz="8" w:space="0"/>
            </w:tcBorders>
            <w:vAlign w:val="center"/>
          </w:tcPr>
          <w:p w14:paraId="4391A46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455C563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026527B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7DB0A0B7">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7.94</w:t>
            </w:r>
          </w:p>
        </w:tc>
        <w:tc>
          <w:tcPr>
            <w:tcW w:w="935" w:type="dxa"/>
            <w:tcBorders>
              <w:top w:val="nil"/>
              <w:left w:val="nil"/>
              <w:bottom w:val="single" w:color="000000" w:sz="8" w:space="0"/>
              <w:right w:val="single" w:color="000000" w:sz="8" w:space="0"/>
            </w:tcBorders>
            <w:vAlign w:val="center"/>
          </w:tcPr>
          <w:p w14:paraId="7C129081">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215.66</w:t>
            </w:r>
          </w:p>
        </w:tc>
        <w:tc>
          <w:tcPr>
            <w:tcW w:w="1089" w:type="dxa"/>
            <w:tcBorders>
              <w:top w:val="nil"/>
              <w:left w:val="nil"/>
              <w:bottom w:val="single" w:color="000000" w:sz="8" w:space="0"/>
              <w:right w:val="single" w:color="000000" w:sz="8" w:space="0"/>
            </w:tcBorders>
            <w:vAlign w:val="center"/>
          </w:tcPr>
          <w:p w14:paraId="6F3E97BA">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0.96</w:t>
            </w:r>
          </w:p>
        </w:tc>
        <w:tc>
          <w:tcPr>
            <w:tcW w:w="1193" w:type="dxa"/>
            <w:tcBorders>
              <w:top w:val="nil"/>
              <w:left w:val="nil"/>
              <w:bottom w:val="single" w:color="000000" w:sz="8" w:space="0"/>
              <w:right w:val="single" w:color="000000" w:sz="8" w:space="0"/>
            </w:tcBorders>
            <w:vAlign w:val="center"/>
          </w:tcPr>
          <w:p w14:paraId="4F4FA5F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3D9DF3A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6F98429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3F3FE2F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10F3E40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7780558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37F00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0A78E176">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5A6E2350">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39</w:t>
            </w:r>
          </w:p>
        </w:tc>
        <w:tc>
          <w:tcPr>
            <w:tcW w:w="1267" w:type="dxa"/>
            <w:tcBorders>
              <w:top w:val="nil"/>
              <w:left w:val="nil"/>
              <w:bottom w:val="single" w:color="000000" w:sz="8" w:space="0"/>
              <w:right w:val="single" w:color="000000" w:sz="8" w:space="0"/>
            </w:tcBorders>
            <w:vAlign w:val="center"/>
          </w:tcPr>
          <w:p w14:paraId="4E4D9DC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12AB0D2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4725331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7924E418">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7.75</w:t>
            </w:r>
          </w:p>
        </w:tc>
        <w:tc>
          <w:tcPr>
            <w:tcW w:w="935" w:type="dxa"/>
            <w:tcBorders>
              <w:top w:val="nil"/>
              <w:left w:val="nil"/>
              <w:bottom w:val="single" w:color="000000" w:sz="8" w:space="0"/>
              <w:right w:val="single" w:color="000000" w:sz="8" w:space="0"/>
            </w:tcBorders>
            <w:vAlign w:val="center"/>
          </w:tcPr>
          <w:p w14:paraId="174F738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262.52</w:t>
            </w:r>
          </w:p>
        </w:tc>
        <w:tc>
          <w:tcPr>
            <w:tcW w:w="1089" w:type="dxa"/>
            <w:tcBorders>
              <w:top w:val="nil"/>
              <w:left w:val="nil"/>
              <w:bottom w:val="single" w:color="000000" w:sz="8" w:space="0"/>
              <w:right w:val="single" w:color="000000" w:sz="8" w:space="0"/>
            </w:tcBorders>
            <w:vAlign w:val="center"/>
          </w:tcPr>
          <w:p w14:paraId="5E0F6019">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0.94</w:t>
            </w:r>
          </w:p>
        </w:tc>
        <w:tc>
          <w:tcPr>
            <w:tcW w:w="1193" w:type="dxa"/>
            <w:tcBorders>
              <w:top w:val="nil"/>
              <w:left w:val="nil"/>
              <w:bottom w:val="single" w:color="000000" w:sz="8" w:space="0"/>
              <w:right w:val="single" w:color="000000" w:sz="8" w:space="0"/>
            </w:tcBorders>
            <w:vAlign w:val="center"/>
          </w:tcPr>
          <w:p w14:paraId="0EE6946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3ED8B7F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1B15880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2410F2A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3938BBC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50892227">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52537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0FA1D38C">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4E3D60A6">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42</w:t>
            </w:r>
          </w:p>
        </w:tc>
        <w:tc>
          <w:tcPr>
            <w:tcW w:w="1267" w:type="dxa"/>
            <w:tcBorders>
              <w:top w:val="nil"/>
              <w:left w:val="nil"/>
              <w:bottom w:val="single" w:color="000000" w:sz="8" w:space="0"/>
              <w:right w:val="single" w:color="000000" w:sz="8" w:space="0"/>
            </w:tcBorders>
            <w:vAlign w:val="center"/>
          </w:tcPr>
          <w:p w14:paraId="23B1A26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70AF80E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17F064E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7C5B9CB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7.57</w:t>
            </w:r>
          </w:p>
        </w:tc>
        <w:tc>
          <w:tcPr>
            <w:tcW w:w="935" w:type="dxa"/>
            <w:tcBorders>
              <w:top w:val="nil"/>
              <w:left w:val="nil"/>
              <w:bottom w:val="single" w:color="000000" w:sz="8" w:space="0"/>
              <w:right w:val="single" w:color="000000" w:sz="8" w:space="0"/>
            </w:tcBorders>
            <w:vAlign w:val="center"/>
          </w:tcPr>
          <w:p w14:paraId="6197745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273.11</w:t>
            </w:r>
          </w:p>
        </w:tc>
        <w:tc>
          <w:tcPr>
            <w:tcW w:w="1089" w:type="dxa"/>
            <w:tcBorders>
              <w:top w:val="nil"/>
              <w:left w:val="nil"/>
              <w:bottom w:val="single" w:color="000000" w:sz="8" w:space="0"/>
              <w:right w:val="single" w:color="000000" w:sz="8" w:space="0"/>
            </w:tcBorders>
            <w:vAlign w:val="center"/>
          </w:tcPr>
          <w:p w14:paraId="0A57FF0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0.88</w:t>
            </w:r>
          </w:p>
        </w:tc>
        <w:tc>
          <w:tcPr>
            <w:tcW w:w="1193" w:type="dxa"/>
            <w:tcBorders>
              <w:top w:val="nil"/>
              <w:left w:val="nil"/>
              <w:bottom w:val="single" w:color="000000" w:sz="8" w:space="0"/>
              <w:right w:val="single" w:color="000000" w:sz="8" w:space="0"/>
            </w:tcBorders>
            <w:vAlign w:val="center"/>
          </w:tcPr>
          <w:p w14:paraId="6CDEC6C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397D362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13928ED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787EBBC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30F77E51">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21B5B0F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3F97B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675323F1">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7B96BA73">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45</w:t>
            </w:r>
          </w:p>
        </w:tc>
        <w:tc>
          <w:tcPr>
            <w:tcW w:w="1267" w:type="dxa"/>
            <w:tcBorders>
              <w:top w:val="nil"/>
              <w:left w:val="nil"/>
              <w:bottom w:val="single" w:color="000000" w:sz="8" w:space="0"/>
              <w:right w:val="single" w:color="000000" w:sz="8" w:space="0"/>
            </w:tcBorders>
            <w:vAlign w:val="center"/>
          </w:tcPr>
          <w:p w14:paraId="607BCF2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08C7E5D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77CA141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1E70C6A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7.40</w:t>
            </w:r>
          </w:p>
        </w:tc>
        <w:tc>
          <w:tcPr>
            <w:tcW w:w="935" w:type="dxa"/>
            <w:tcBorders>
              <w:top w:val="nil"/>
              <w:left w:val="nil"/>
              <w:bottom w:val="single" w:color="000000" w:sz="8" w:space="0"/>
              <w:right w:val="single" w:color="000000" w:sz="8" w:space="0"/>
            </w:tcBorders>
            <w:vAlign w:val="center"/>
          </w:tcPr>
          <w:p w14:paraId="67813BC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276.59</w:t>
            </w:r>
          </w:p>
        </w:tc>
        <w:tc>
          <w:tcPr>
            <w:tcW w:w="1089" w:type="dxa"/>
            <w:tcBorders>
              <w:top w:val="nil"/>
              <w:left w:val="nil"/>
              <w:bottom w:val="single" w:color="000000" w:sz="8" w:space="0"/>
              <w:right w:val="single" w:color="000000" w:sz="8" w:space="0"/>
            </w:tcBorders>
            <w:vAlign w:val="center"/>
          </w:tcPr>
          <w:p w14:paraId="63DFE01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0.78</w:t>
            </w:r>
          </w:p>
        </w:tc>
        <w:tc>
          <w:tcPr>
            <w:tcW w:w="1193" w:type="dxa"/>
            <w:tcBorders>
              <w:top w:val="nil"/>
              <w:left w:val="nil"/>
              <w:bottom w:val="single" w:color="000000" w:sz="8" w:space="0"/>
              <w:right w:val="single" w:color="000000" w:sz="8" w:space="0"/>
            </w:tcBorders>
            <w:vAlign w:val="center"/>
          </w:tcPr>
          <w:p w14:paraId="1EA5C50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5884671F">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6A74F85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2467E08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401E248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5F6BA4A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6DC0D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3B156F4D">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405BA222">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48</w:t>
            </w:r>
          </w:p>
        </w:tc>
        <w:tc>
          <w:tcPr>
            <w:tcW w:w="1267" w:type="dxa"/>
            <w:tcBorders>
              <w:top w:val="nil"/>
              <w:left w:val="nil"/>
              <w:bottom w:val="single" w:color="000000" w:sz="8" w:space="0"/>
              <w:right w:val="single" w:color="000000" w:sz="8" w:space="0"/>
            </w:tcBorders>
            <w:vAlign w:val="center"/>
          </w:tcPr>
          <w:p w14:paraId="1667BEE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25147C5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1DF3D5B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2E5A0CA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7.24</w:t>
            </w:r>
          </w:p>
        </w:tc>
        <w:tc>
          <w:tcPr>
            <w:tcW w:w="935" w:type="dxa"/>
            <w:tcBorders>
              <w:top w:val="nil"/>
              <w:left w:val="nil"/>
              <w:bottom w:val="single" w:color="000000" w:sz="8" w:space="0"/>
              <w:right w:val="single" w:color="000000" w:sz="8" w:space="0"/>
            </w:tcBorders>
            <w:vAlign w:val="center"/>
          </w:tcPr>
          <w:p w14:paraId="4FA4D16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284.69</w:t>
            </w:r>
          </w:p>
        </w:tc>
        <w:tc>
          <w:tcPr>
            <w:tcW w:w="1089" w:type="dxa"/>
            <w:tcBorders>
              <w:top w:val="nil"/>
              <w:left w:val="nil"/>
              <w:bottom w:val="single" w:color="000000" w:sz="8" w:space="0"/>
              <w:right w:val="single" w:color="000000" w:sz="8" w:space="0"/>
            </w:tcBorders>
            <w:vAlign w:val="center"/>
          </w:tcPr>
          <w:p w14:paraId="0101B7E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0.74</w:t>
            </w:r>
          </w:p>
        </w:tc>
        <w:tc>
          <w:tcPr>
            <w:tcW w:w="1193" w:type="dxa"/>
            <w:tcBorders>
              <w:top w:val="nil"/>
              <w:left w:val="nil"/>
              <w:bottom w:val="single" w:color="000000" w:sz="8" w:space="0"/>
              <w:right w:val="single" w:color="000000" w:sz="8" w:space="0"/>
            </w:tcBorders>
            <w:vAlign w:val="center"/>
          </w:tcPr>
          <w:p w14:paraId="39F9EDB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44207D0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2D69B07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4AA48CA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25B54D1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375C5F4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01428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exact"/>
          <w:jc w:val="center"/>
        </w:trPr>
        <w:tc>
          <w:tcPr>
            <w:tcW w:w="10956" w:type="dxa"/>
            <w:gridSpan w:val="11"/>
            <w:tcBorders>
              <w:top w:val="single" w:color="auto" w:sz="6" w:space="0"/>
              <w:left w:val="single" w:color="auto" w:sz="12" w:space="0"/>
              <w:bottom w:val="single" w:color="auto" w:sz="12" w:space="0"/>
              <w:right w:val="single" w:color="auto" w:sz="6" w:space="0"/>
            </w:tcBorders>
            <w:vAlign w:val="center"/>
          </w:tcPr>
          <w:p w14:paraId="481064D9">
            <w:pPr>
              <w:adjustRightIn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备注：“——”表示该工况下该时刻主体油膜抵岸或</w:t>
            </w:r>
            <w:r>
              <w:rPr>
                <w:rFonts w:hint="eastAsia"/>
                <w:color w:val="000000" w:themeColor="text1"/>
                <w:sz w:val="21"/>
                <w:szCs w:val="21"/>
                <w14:textFill>
                  <w14:solidFill>
                    <w14:schemeClr w14:val="tx1"/>
                  </w14:solidFill>
                </w14:textFill>
              </w:rPr>
              <w:t>漂出</w:t>
            </w:r>
            <w:r>
              <w:rPr>
                <w:color w:val="000000" w:themeColor="text1"/>
                <w:sz w:val="21"/>
                <w:szCs w:val="21"/>
                <w14:textFill>
                  <w14:solidFill>
                    <w14:schemeClr w14:val="tx1"/>
                  </w14:solidFill>
                </w14:textFill>
              </w:rPr>
              <w:t>计算域，因此无值。</w:t>
            </w:r>
          </w:p>
        </w:tc>
        <w:tc>
          <w:tcPr>
            <w:tcW w:w="3218" w:type="dxa"/>
            <w:gridSpan w:val="3"/>
            <w:tcBorders>
              <w:top w:val="single" w:color="auto" w:sz="6" w:space="0"/>
              <w:left w:val="single" w:color="auto" w:sz="6" w:space="0"/>
              <w:bottom w:val="single" w:color="auto" w:sz="12" w:space="0"/>
              <w:right w:val="single" w:color="auto" w:sz="12" w:space="0"/>
            </w:tcBorders>
          </w:tcPr>
          <w:p w14:paraId="37F9B286">
            <w:pPr>
              <w:adjustRightInd w:val="0"/>
              <w:spacing w:line="240" w:lineRule="exact"/>
              <w:ind w:firstLine="0" w:firstLineChars="0"/>
              <w:jc w:val="center"/>
              <w:rPr>
                <w:color w:val="000000" w:themeColor="text1"/>
                <w:sz w:val="21"/>
                <w:szCs w:val="21"/>
                <w14:textFill>
                  <w14:solidFill>
                    <w14:schemeClr w14:val="tx1"/>
                  </w14:solidFill>
                </w14:textFill>
              </w:rPr>
            </w:pPr>
          </w:p>
        </w:tc>
      </w:tr>
    </w:tbl>
    <w:p w14:paraId="6F91FE23">
      <w:pPr>
        <w:pStyle w:val="212"/>
        <w:ind w:left="0" w:firstLine="0"/>
        <w:rPr>
          <w:rFonts w:cs="Times New Roman"/>
          <w:color w:val="000000" w:themeColor="text1"/>
          <w14:textFill>
            <w14:solidFill>
              <w14:schemeClr w14:val="tx1"/>
            </w14:solidFill>
          </w14:textFill>
        </w:rPr>
      </w:pPr>
    </w:p>
    <w:p w14:paraId="53D7B2E7">
      <w:pPr>
        <w:pStyle w:val="212"/>
        <w:ind w:left="0" w:firstLine="0"/>
        <w:rPr>
          <w:rFonts w:cs="Times New Roman"/>
          <w:color w:val="000000" w:themeColor="text1"/>
          <w14:textFill>
            <w14:solidFill>
              <w14:schemeClr w14:val="tx1"/>
            </w14:solidFill>
          </w14:textFill>
        </w:rPr>
      </w:pPr>
    </w:p>
    <w:p w14:paraId="6BF2F1D0">
      <w:pPr>
        <w:pStyle w:val="212"/>
        <w:ind w:left="0" w:firstLine="0"/>
        <w:rPr>
          <w:rFonts w:cs="Times New Roman"/>
          <w:color w:val="000000" w:themeColor="text1"/>
          <w14:textFill>
            <w14:solidFill>
              <w14:schemeClr w14:val="tx1"/>
            </w14:solidFill>
          </w14:textFill>
        </w:rPr>
      </w:pPr>
    </w:p>
    <w:p w14:paraId="73611EAC">
      <w:pPr>
        <w:pStyle w:val="212"/>
        <w:ind w:left="0" w:firstLine="0"/>
        <w:rPr>
          <w:rFonts w:cs="Times New Roman"/>
          <w:color w:val="000000" w:themeColor="text1"/>
          <w14:textFill>
            <w14:solidFill>
              <w14:schemeClr w14:val="tx1"/>
            </w14:solidFill>
          </w14:textFill>
        </w:rPr>
      </w:pPr>
    </w:p>
    <w:p w14:paraId="6746BF67">
      <w:pPr>
        <w:pStyle w:val="212"/>
        <w:ind w:left="0" w:firstLine="0"/>
        <w:rPr>
          <w:rFonts w:cs="Times New Roman"/>
          <w:color w:val="000000" w:themeColor="text1"/>
          <w14:textFill>
            <w14:solidFill>
              <w14:schemeClr w14:val="tx1"/>
            </w14:solidFill>
          </w14:textFill>
        </w:rPr>
      </w:pPr>
    </w:p>
    <w:p w14:paraId="4ECF788E">
      <w:pPr>
        <w:pStyle w:val="212"/>
        <w:numPr>
          <w:ilvl w:val="4"/>
          <w:numId w:val="1"/>
        </w:numPr>
        <w:ind w:firstLine="437"/>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码头溢油残油量和扫海面积随时间的变化（</w:t>
      </w:r>
      <w:r>
        <w:rPr>
          <w:rFonts w:hint="eastAsia" w:cs="Times New Roman"/>
          <w:color w:val="000000" w:themeColor="text1"/>
          <w14:textFill>
            <w14:solidFill>
              <w14:schemeClr w14:val="tx1"/>
            </w14:solidFill>
          </w14:textFill>
        </w:rPr>
        <w:t>低潮时</w:t>
      </w:r>
      <w:r>
        <w:rPr>
          <w:rFonts w:cs="Times New Roman"/>
          <w:color w:val="000000" w:themeColor="text1"/>
          <w14:textFill>
            <w14:solidFill>
              <w14:schemeClr w14:val="tx1"/>
            </w14:solidFill>
          </w14:textFill>
        </w:rPr>
        <w:t>）</w:t>
      </w:r>
    </w:p>
    <w:tbl>
      <w:tblPr>
        <w:tblStyle w:val="88"/>
        <w:tblW w:w="141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1"/>
        <w:gridCol w:w="578"/>
        <w:gridCol w:w="1267"/>
        <w:gridCol w:w="954"/>
        <w:gridCol w:w="1046"/>
        <w:gridCol w:w="1242"/>
        <w:gridCol w:w="935"/>
        <w:gridCol w:w="1089"/>
        <w:gridCol w:w="1319"/>
        <w:gridCol w:w="954"/>
        <w:gridCol w:w="1081"/>
        <w:gridCol w:w="1171"/>
        <w:gridCol w:w="1013"/>
        <w:gridCol w:w="1034"/>
      </w:tblGrid>
      <w:tr w14:paraId="05515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69" w:type="dxa"/>
            <w:gridSpan w:val="2"/>
            <w:vMerge w:val="restart"/>
            <w:tcBorders>
              <w:top w:val="single" w:color="auto" w:sz="12" w:space="0"/>
              <w:left w:val="single" w:color="auto" w:sz="12" w:space="0"/>
              <w:bottom w:val="single" w:color="auto" w:sz="6" w:space="0"/>
              <w:right w:val="single" w:color="auto" w:sz="6" w:space="0"/>
            </w:tcBorders>
            <w:vAlign w:val="center"/>
          </w:tcPr>
          <w:p w14:paraId="0850BDED">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时间(h)</w:t>
            </w:r>
          </w:p>
        </w:tc>
        <w:tc>
          <w:tcPr>
            <w:tcW w:w="3267" w:type="dxa"/>
            <w:gridSpan w:val="3"/>
            <w:tcBorders>
              <w:top w:val="single" w:color="auto" w:sz="12" w:space="0"/>
              <w:left w:val="single" w:color="auto" w:sz="6" w:space="0"/>
              <w:bottom w:val="single" w:color="auto" w:sz="6" w:space="0"/>
              <w:right w:val="single" w:color="auto" w:sz="6" w:space="0"/>
            </w:tcBorders>
            <w:vAlign w:val="center"/>
          </w:tcPr>
          <w:p w14:paraId="1C92D483">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w:t>
            </w:r>
            <w:r>
              <w:rPr>
                <w:rFonts w:hint="eastAsia"/>
                <w:color w:val="000000" w:themeColor="text1"/>
                <w:kern w:val="0"/>
                <w:sz w:val="21"/>
                <w:szCs w:val="21"/>
                <w14:textFill>
                  <w14:solidFill>
                    <w14:schemeClr w14:val="tx1"/>
                  </w14:solidFill>
                </w14:textFill>
              </w:rPr>
              <w:t>夏季</w:t>
            </w:r>
            <w:r>
              <w:rPr>
                <w:color w:val="000000" w:themeColor="text1"/>
                <w:kern w:val="0"/>
                <w:sz w:val="21"/>
                <w:szCs w:val="21"/>
                <w14:textFill>
                  <w14:solidFill>
                    <w14:schemeClr w14:val="tx1"/>
                  </w14:solidFill>
                </w14:textFill>
              </w:rPr>
              <w:t>主频风）</w:t>
            </w:r>
          </w:p>
        </w:tc>
        <w:tc>
          <w:tcPr>
            <w:tcW w:w="3266" w:type="dxa"/>
            <w:gridSpan w:val="3"/>
            <w:tcBorders>
              <w:top w:val="single" w:color="auto" w:sz="12" w:space="0"/>
              <w:left w:val="single" w:color="auto" w:sz="6" w:space="0"/>
              <w:bottom w:val="single" w:color="auto" w:sz="6" w:space="0"/>
              <w:right w:val="single" w:color="auto" w:sz="6" w:space="0"/>
            </w:tcBorders>
            <w:vAlign w:val="center"/>
          </w:tcPr>
          <w:p w14:paraId="47EF6DE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w:t>
            </w:r>
            <w:r>
              <w:rPr>
                <w:rFonts w:hint="eastAsia"/>
                <w:color w:val="000000" w:themeColor="text1"/>
                <w:kern w:val="0"/>
                <w:sz w:val="21"/>
                <w:szCs w:val="21"/>
                <w14:textFill>
                  <w14:solidFill>
                    <w14:schemeClr w14:val="tx1"/>
                  </w14:solidFill>
                </w14:textFill>
              </w:rPr>
              <w:t>冬季</w:t>
            </w:r>
            <w:r>
              <w:rPr>
                <w:color w:val="000000" w:themeColor="text1"/>
                <w:kern w:val="0"/>
                <w:sz w:val="21"/>
                <w:szCs w:val="21"/>
                <w14:textFill>
                  <w14:solidFill>
                    <w14:schemeClr w14:val="tx1"/>
                  </w14:solidFill>
                </w14:textFill>
              </w:rPr>
              <w:t>主频风）</w:t>
            </w:r>
          </w:p>
        </w:tc>
        <w:tc>
          <w:tcPr>
            <w:tcW w:w="3354" w:type="dxa"/>
            <w:gridSpan w:val="3"/>
            <w:tcBorders>
              <w:top w:val="single" w:color="auto" w:sz="12" w:space="0"/>
              <w:left w:val="single" w:color="auto" w:sz="6" w:space="0"/>
              <w:bottom w:val="single" w:color="auto" w:sz="6" w:space="0"/>
              <w:right w:val="single" w:color="auto" w:sz="6" w:space="0"/>
            </w:tcBorders>
            <w:vAlign w:val="center"/>
          </w:tcPr>
          <w:p w14:paraId="4757CEE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NE（不利风向）</w:t>
            </w:r>
          </w:p>
        </w:tc>
        <w:tc>
          <w:tcPr>
            <w:tcW w:w="3218" w:type="dxa"/>
            <w:gridSpan w:val="3"/>
            <w:tcBorders>
              <w:top w:val="single" w:color="auto" w:sz="12" w:space="0"/>
              <w:left w:val="single" w:color="auto" w:sz="6" w:space="0"/>
              <w:bottom w:val="single" w:color="auto" w:sz="6" w:space="0"/>
              <w:right w:val="single" w:color="auto" w:sz="12" w:space="0"/>
            </w:tcBorders>
          </w:tcPr>
          <w:p w14:paraId="0EA905D4">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SE（不利风向）</w:t>
            </w:r>
          </w:p>
        </w:tc>
      </w:tr>
      <w:tr w14:paraId="6731D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69" w:type="dxa"/>
            <w:gridSpan w:val="2"/>
            <w:vMerge w:val="continue"/>
            <w:tcBorders>
              <w:top w:val="single" w:color="auto" w:sz="6" w:space="0"/>
              <w:left w:val="single" w:color="auto" w:sz="12" w:space="0"/>
              <w:bottom w:val="single" w:color="auto" w:sz="6" w:space="0"/>
              <w:right w:val="single" w:color="auto" w:sz="6" w:space="0"/>
            </w:tcBorders>
            <w:vAlign w:val="center"/>
          </w:tcPr>
          <w:p w14:paraId="1CDBBD29">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1267" w:type="dxa"/>
            <w:tcBorders>
              <w:top w:val="single" w:color="auto" w:sz="6" w:space="0"/>
              <w:left w:val="single" w:color="auto" w:sz="6" w:space="0"/>
              <w:bottom w:val="single" w:color="auto" w:sz="6" w:space="0"/>
              <w:right w:val="single" w:color="auto" w:sz="6" w:space="0"/>
            </w:tcBorders>
            <w:vAlign w:val="center"/>
          </w:tcPr>
          <w:p w14:paraId="34F48DBC">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954" w:type="dxa"/>
            <w:tcBorders>
              <w:top w:val="single" w:color="auto" w:sz="6" w:space="0"/>
              <w:left w:val="single" w:color="auto" w:sz="6" w:space="0"/>
              <w:bottom w:val="single" w:color="auto" w:sz="6" w:space="0"/>
              <w:right w:val="single" w:color="auto" w:sz="6" w:space="0"/>
            </w:tcBorders>
            <w:vAlign w:val="center"/>
          </w:tcPr>
          <w:p w14:paraId="24EE35D9">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vAlign w:val="center"/>
          </w:tcPr>
          <w:p w14:paraId="6194836C">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油膜厚度(um)</w:t>
            </w:r>
          </w:p>
        </w:tc>
        <w:tc>
          <w:tcPr>
            <w:tcW w:w="1242" w:type="dxa"/>
            <w:tcBorders>
              <w:top w:val="single" w:color="auto" w:sz="6" w:space="0"/>
              <w:left w:val="single" w:color="auto" w:sz="6" w:space="0"/>
              <w:bottom w:val="single" w:color="auto" w:sz="6" w:space="0"/>
              <w:right w:val="single" w:color="auto" w:sz="6" w:space="0"/>
            </w:tcBorders>
            <w:vAlign w:val="center"/>
          </w:tcPr>
          <w:p w14:paraId="1982ABEA">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935" w:type="dxa"/>
            <w:tcBorders>
              <w:top w:val="single" w:color="auto" w:sz="6" w:space="0"/>
              <w:left w:val="single" w:color="auto" w:sz="6" w:space="0"/>
              <w:bottom w:val="single" w:color="auto" w:sz="6" w:space="0"/>
              <w:right w:val="single" w:color="auto" w:sz="6" w:space="0"/>
            </w:tcBorders>
            <w:vAlign w:val="center"/>
          </w:tcPr>
          <w:p w14:paraId="4509F624">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89" w:type="dxa"/>
            <w:tcBorders>
              <w:top w:val="single" w:color="auto" w:sz="6" w:space="0"/>
              <w:left w:val="single" w:color="auto" w:sz="6" w:space="0"/>
              <w:bottom w:val="single" w:color="auto" w:sz="6" w:space="0"/>
              <w:right w:val="single" w:color="auto" w:sz="6" w:space="0"/>
            </w:tcBorders>
            <w:vAlign w:val="center"/>
          </w:tcPr>
          <w:p w14:paraId="2A349D85">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w:t>
            </w:r>
          </w:p>
          <w:p w14:paraId="3F8BB402">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(um)</w:t>
            </w:r>
          </w:p>
        </w:tc>
        <w:tc>
          <w:tcPr>
            <w:tcW w:w="1319" w:type="dxa"/>
            <w:tcBorders>
              <w:top w:val="single" w:color="auto" w:sz="6" w:space="0"/>
              <w:left w:val="single" w:color="auto" w:sz="6" w:space="0"/>
              <w:bottom w:val="single" w:color="auto" w:sz="6" w:space="0"/>
              <w:right w:val="single" w:color="auto" w:sz="6" w:space="0"/>
            </w:tcBorders>
            <w:vAlign w:val="center"/>
          </w:tcPr>
          <w:p w14:paraId="6D858F82">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954" w:type="dxa"/>
            <w:tcBorders>
              <w:top w:val="single" w:color="auto" w:sz="6" w:space="0"/>
              <w:left w:val="single" w:color="auto" w:sz="6" w:space="0"/>
              <w:bottom w:val="single" w:color="auto" w:sz="6" w:space="0"/>
              <w:right w:val="single" w:color="auto" w:sz="6" w:space="0"/>
            </w:tcBorders>
            <w:vAlign w:val="center"/>
          </w:tcPr>
          <w:p w14:paraId="37DF65D0">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vAlign w:val="center"/>
          </w:tcPr>
          <w:p w14:paraId="1051B282">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w:t>
            </w:r>
          </w:p>
          <w:p w14:paraId="2939E5D1">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(um)</w:t>
            </w:r>
          </w:p>
        </w:tc>
        <w:tc>
          <w:tcPr>
            <w:tcW w:w="1171" w:type="dxa"/>
            <w:tcBorders>
              <w:top w:val="single" w:color="auto" w:sz="6" w:space="0"/>
              <w:left w:val="single" w:color="auto" w:sz="6" w:space="0"/>
              <w:bottom w:val="single" w:color="auto" w:sz="6" w:space="0"/>
              <w:right w:val="single" w:color="auto" w:sz="6" w:space="0"/>
            </w:tcBorders>
            <w:vAlign w:val="center"/>
          </w:tcPr>
          <w:p w14:paraId="2D324C6F">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1013" w:type="dxa"/>
            <w:tcBorders>
              <w:top w:val="single" w:color="auto" w:sz="6" w:space="0"/>
              <w:left w:val="single" w:color="auto" w:sz="6" w:space="0"/>
              <w:bottom w:val="single" w:color="auto" w:sz="6" w:space="0"/>
              <w:right w:val="single" w:color="auto" w:sz="6" w:space="0"/>
            </w:tcBorders>
            <w:vAlign w:val="center"/>
          </w:tcPr>
          <w:p w14:paraId="7DAAF911">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vAlign w:val="center"/>
          </w:tcPr>
          <w:p w14:paraId="2321EA9A">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油膜厚度(um)</w:t>
            </w:r>
          </w:p>
        </w:tc>
      </w:tr>
      <w:tr w14:paraId="588CD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restart"/>
            <w:tcBorders>
              <w:top w:val="single" w:color="auto" w:sz="6" w:space="0"/>
              <w:left w:val="single" w:color="auto" w:sz="12" w:space="0"/>
              <w:bottom w:val="single" w:color="auto" w:sz="6" w:space="0"/>
              <w:right w:val="single" w:color="auto" w:sz="6" w:space="0"/>
            </w:tcBorders>
            <w:vAlign w:val="center"/>
          </w:tcPr>
          <w:p w14:paraId="7F506024">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高潮时</w:t>
            </w:r>
          </w:p>
        </w:tc>
        <w:tc>
          <w:tcPr>
            <w:tcW w:w="578" w:type="dxa"/>
            <w:tcBorders>
              <w:top w:val="single" w:color="auto" w:sz="6" w:space="0"/>
              <w:left w:val="single" w:color="auto" w:sz="6" w:space="0"/>
              <w:bottom w:val="single" w:color="auto" w:sz="6" w:space="0"/>
              <w:right w:val="single" w:color="auto" w:sz="6" w:space="0"/>
            </w:tcBorders>
            <w:vAlign w:val="center"/>
          </w:tcPr>
          <w:p w14:paraId="498536BE">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w:t>
            </w:r>
          </w:p>
        </w:tc>
        <w:tc>
          <w:tcPr>
            <w:tcW w:w="1267" w:type="dxa"/>
            <w:tcBorders>
              <w:top w:val="nil"/>
              <w:left w:val="nil"/>
              <w:bottom w:val="single" w:color="000000" w:sz="8" w:space="0"/>
              <w:right w:val="single" w:color="000000" w:sz="8" w:space="0"/>
            </w:tcBorders>
            <w:vAlign w:val="center"/>
          </w:tcPr>
          <w:p w14:paraId="169205FF">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28.50 </w:t>
            </w:r>
          </w:p>
        </w:tc>
        <w:tc>
          <w:tcPr>
            <w:tcW w:w="954" w:type="dxa"/>
            <w:tcBorders>
              <w:top w:val="nil"/>
              <w:left w:val="nil"/>
              <w:bottom w:val="single" w:color="000000" w:sz="8" w:space="0"/>
              <w:right w:val="single" w:color="000000" w:sz="8" w:space="0"/>
            </w:tcBorders>
            <w:vAlign w:val="center"/>
          </w:tcPr>
          <w:p w14:paraId="7AFCBB7C">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0.00 </w:t>
            </w:r>
          </w:p>
        </w:tc>
        <w:tc>
          <w:tcPr>
            <w:tcW w:w="1046" w:type="dxa"/>
            <w:tcBorders>
              <w:top w:val="nil"/>
              <w:left w:val="nil"/>
              <w:bottom w:val="single" w:color="000000" w:sz="8" w:space="0"/>
              <w:right w:val="single" w:color="000000" w:sz="8" w:space="0"/>
            </w:tcBorders>
            <w:vAlign w:val="center"/>
          </w:tcPr>
          <w:p w14:paraId="4CB1788F">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0.00 </w:t>
            </w:r>
          </w:p>
        </w:tc>
        <w:tc>
          <w:tcPr>
            <w:tcW w:w="1242" w:type="dxa"/>
            <w:tcBorders>
              <w:top w:val="nil"/>
              <w:left w:val="nil"/>
              <w:bottom w:val="single" w:color="000000" w:sz="8" w:space="0"/>
              <w:right w:val="single" w:color="000000" w:sz="8" w:space="0"/>
            </w:tcBorders>
            <w:vAlign w:val="center"/>
          </w:tcPr>
          <w:p w14:paraId="4F6AF12C">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28.50 </w:t>
            </w:r>
          </w:p>
        </w:tc>
        <w:tc>
          <w:tcPr>
            <w:tcW w:w="935" w:type="dxa"/>
            <w:tcBorders>
              <w:top w:val="nil"/>
              <w:left w:val="nil"/>
              <w:bottom w:val="single" w:color="000000" w:sz="8" w:space="0"/>
              <w:right w:val="single" w:color="000000" w:sz="8" w:space="0"/>
            </w:tcBorders>
            <w:vAlign w:val="center"/>
          </w:tcPr>
          <w:p w14:paraId="54B2FC0D">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0.00 </w:t>
            </w:r>
          </w:p>
        </w:tc>
        <w:tc>
          <w:tcPr>
            <w:tcW w:w="1089" w:type="dxa"/>
            <w:tcBorders>
              <w:top w:val="nil"/>
              <w:left w:val="nil"/>
              <w:bottom w:val="single" w:color="000000" w:sz="8" w:space="0"/>
              <w:right w:val="single" w:color="000000" w:sz="8" w:space="0"/>
            </w:tcBorders>
            <w:vAlign w:val="center"/>
          </w:tcPr>
          <w:p w14:paraId="717C5B1B">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0.00 </w:t>
            </w:r>
          </w:p>
        </w:tc>
        <w:tc>
          <w:tcPr>
            <w:tcW w:w="1319" w:type="dxa"/>
            <w:tcBorders>
              <w:top w:val="nil"/>
              <w:left w:val="nil"/>
              <w:bottom w:val="single" w:color="000000" w:sz="8" w:space="0"/>
              <w:right w:val="single" w:color="000000" w:sz="8" w:space="0"/>
            </w:tcBorders>
            <w:vAlign w:val="center"/>
          </w:tcPr>
          <w:p w14:paraId="4AC01996">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28.50 </w:t>
            </w:r>
          </w:p>
        </w:tc>
        <w:tc>
          <w:tcPr>
            <w:tcW w:w="954" w:type="dxa"/>
            <w:tcBorders>
              <w:top w:val="nil"/>
              <w:left w:val="nil"/>
              <w:bottom w:val="single" w:color="000000" w:sz="8" w:space="0"/>
              <w:right w:val="single" w:color="000000" w:sz="8" w:space="0"/>
            </w:tcBorders>
            <w:vAlign w:val="center"/>
          </w:tcPr>
          <w:p w14:paraId="46A27638">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0.00 </w:t>
            </w:r>
          </w:p>
        </w:tc>
        <w:tc>
          <w:tcPr>
            <w:tcW w:w="1081" w:type="dxa"/>
            <w:tcBorders>
              <w:top w:val="nil"/>
              <w:left w:val="nil"/>
              <w:bottom w:val="single" w:color="000000" w:sz="8" w:space="0"/>
              <w:right w:val="single" w:color="000000" w:sz="8" w:space="0"/>
            </w:tcBorders>
            <w:vAlign w:val="center"/>
          </w:tcPr>
          <w:p w14:paraId="619E1D4E">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0.00 </w:t>
            </w:r>
          </w:p>
        </w:tc>
        <w:tc>
          <w:tcPr>
            <w:tcW w:w="1171" w:type="dxa"/>
            <w:tcBorders>
              <w:top w:val="nil"/>
              <w:left w:val="nil"/>
              <w:bottom w:val="single" w:color="000000" w:sz="8" w:space="0"/>
              <w:right w:val="single" w:color="000000" w:sz="8" w:space="0"/>
            </w:tcBorders>
            <w:vAlign w:val="center"/>
          </w:tcPr>
          <w:p w14:paraId="09D726CF">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28.50 </w:t>
            </w:r>
          </w:p>
        </w:tc>
        <w:tc>
          <w:tcPr>
            <w:tcW w:w="1013" w:type="dxa"/>
            <w:tcBorders>
              <w:top w:val="nil"/>
              <w:left w:val="nil"/>
              <w:bottom w:val="single" w:color="000000" w:sz="8" w:space="0"/>
              <w:right w:val="single" w:color="000000" w:sz="8" w:space="0"/>
            </w:tcBorders>
            <w:vAlign w:val="center"/>
          </w:tcPr>
          <w:p w14:paraId="1DF89523">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0.00 </w:t>
            </w:r>
          </w:p>
        </w:tc>
        <w:tc>
          <w:tcPr>
            <w:tcW w:w="1034" w:type="dxa"/>
            <w:tcBorders>
              <w:top w:val="nil"/>
              <w:left w:val="nil"/>
              <w:bottom w:val="single" w:color="000000" w:sz="8" w:space="0"/>
              <w:right w:val="single" w:color="000000" w:sz="12" w:space="0"/>
            </w:tcBorders>
            <w:vAlign w:val="center"/>
          </w:tcPr>
          <w:p w14:paraId="647E338F">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0.00 </w:t>
            </w:r>
          </w:p>
        </w:tc>
      </w:tr>
      <w:tr w14:paraId="39063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2E5E7C1D">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79CC3B26">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267" w:type="dxa"/>
            <w:tcBorders>
              <w:top w:val="nil"/>
              <w:left w:val="nil"/>
              <w:bottom w:val="single" w:color="000000" w:sz="8" w:space="0"/>
              <w:right w:val="single" w:color="000000" w:sz="8" w:space="0"/>
            </w:tcBorders>
            <w:vAlign w:val="center"/>
          </w:tcPr>
          <w:p w14:paraId="2B06201C">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23.85 </w:t>
            </w:r>
          </w:p>
        </w:tc>
        <w:tc>
          <w:tcPr>
            <w:tcW w:w="954" w:type="dxa"/>
            <w:tcBorders>
              <w:top w:val="nil"/>
              <w:left w:val="nil"/>
              <w:bottom w:val="single" w:color="000000" w:sz="8" w:space="0"/>
              <w:right w:val="single" w:color="000000" w:sz="8" w:space="0"/>
            </w:tcBorders>
            <w:vAlign w:val="center"/>
          </w:tcPr>
          <w:p w14:paraId="250A9D07">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0.48 </w:t>
            </w:r>
          </w:p>
        </w:tc>
        <w:tc>
          <w:tcPr>
            <w:tcW w:w="1046" w:type="dxa"/>
            <w:tcBorders>
              <w:top w:val="nil"/>
              <w:left w:val="nil"/>
              <w:bottom w:val="single" w:color="000000" w:sz="8" w:space="0"/>
              <w:right w:val="single" w:color="000000" w:sz="8" w:space="0"/>
            </w:tcBorders>
            <w:vAlign w:val="center"/>
          </w:tcPr>
          <w:p w14:paraId="2336DAA1">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183.14 </w:t>
            </w:r>
          </w:p>
        </w:tc>
        <w:tc>
          <w:tcPr>
            <w:tcW w:w="1242" w:type="dxa"/>
            <w:tcBorders>
              <w:top w:val="nil"/>
              <w:left w:val="nil"/>
              <w:bottom w:val="single" w:color="000000" w:sz="8" w:space="0"/>
              <w:right w:val="single" w:color="000000" w:sz="8" w:space="0"/>
            </w:tcBorders>
            <w:vAlign w:val="center"/>
          </w:tcPr>
          <w:p w14:paraId="0A6E181A">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23.85 </w:t>
            </w:r>
          </w:p>
        </w:tc>
        <w:tc>
          <w:tcPr>
            <w:tcW w:w="935" w:type="dxa"/>
            <w:tcBorders>
              <w:top w:val="nil"/>
              <w:left w:val="nil"/>
              <w:bottom w:val="single" w:color="000000" w:sz="8" w:space="0"/>
              <w:right w:val="single" w:color="000000" w:sz="8" w:space="0"/>
            </w:tcBorders>
            <w:vAlign w:val="center"/>
          </w:tcPr>
          <w:p w14:paraId="3C9F471B">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0.56 </w:t>
            </w:r>
          </w:p>
        </w:tc>
        <w:tc>
          <w:tcPr>
            <w:tcW w:w="1089" w:type="dxa"/>
            <w:tcBorders>
              <w:top w:val="nil"/>
              <w:left w:val="nil"/>
              <w:bottom w:val="single" w:color="000000" w:sz="8" w:space="0"/>
              <w:right w:val="single" w:color="000000" w:sz="8" w:space="0"/>
            </w:tcBorders>
            <w:vAlign w:val="center"/>
          </w:tcPr>
          <w:p w14:paraId="4577B059">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161.24 </w:t>
            </w:r>
          </w:p>
        </w:tc>
        <w:tc>
          <w:tcPr>
            <w:tcW w:w="1319" w:type="dxa"/>
            <w:tcBorders>
              <w:top w:val="nil"/>
              <w:left w:val="nil"/>
              <w:bottom w:val="single" w:color="000000" w:sz="8" w:space="0"/>
              <w:right w:val="single" w:color="000000" w:sz="8" w:space="0"/>
            </w:tcBorders>
            <w:vAlign w:val="center"/>
          </w:tcPr>
          <w:p w14:paraId="1BB5227F">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22.80 </w:t>
            </w:r>
          </w:p>
        </w:tc>
        <w:tc>
          <w:tcPr>
            <w:tcW w:w="954" w:type="dxa"/>
            <w:tcBorders>
              <w:top w:val="nil"/>
              <w:left w:val="nil"/>
              <w:bottom w:val="single" w:color="000000" w:sz="8" w:space="0"/>
              <w:right w:val="single" w:color="000000" w:sz="8" w:space="0"/>
            </w:tcBorders>
            <w:vAlign w:val="center"/>
          </w:tcPr>
          <w:p w14:paraId="0EF925A7">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0.63 </w:t>
            </w:r>
          </w:p>
        </w:tc>
        <w:tc>
          <w:tcPr>
            <w:tcW w:w="1081" w:type="dxa"/>
            <w:tcBorders>
              <w:top w:val="nil"/>
              <w:left w:val="nil"/>
              <w:bottom w:val="single" w:color="000000" w:sz="8" w:space="0"/>
              <w:right w:val="single" w:color="000000" w:sz="8" w:space="0"/>
            </w:tcBorders>
            <w:vAlign w:val="center"/>
          </w:tcPr>
          <w:p w14:paraId="07261E09">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148.97 </w:t>
            </w:r>
          </w:p>
        </w:tc>
        <w:tc>
          <w:tcPr>
            <w:tcW w:w="1171" w:type="dxa"/>
            <w:tcBorders>
              <w:top w:val="nil"/>
              <w:left w:val="nil"/>
              <w:bottom w:val="single" w:color="000000" w:sz="8" w:space="0"/>
              <w:right w:val="single" w:color="000000" w:sz="8" w:space="0"/>
            </w:tcBorders>
            <w:vAlign w:val="center"/>
          </w:tcPr>
          <w:p w14:paraId="5C5AF2BE">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22.82 </w:t>
            </w:r>
          </w:p>
        </w:tc>
        <w:tc>
          <w:tcPr>
            <w:tcW w:w="1013" w:type="dxa"/>
            <w:tcBorders>
              <w:top w:val="nil"/>
              <w:left w:val="nil"/>
              <w:bottom w:val="single" w:color="000000" w:sz="8" w:space="0"/>
              <w:right w:val="single" w:color="000000" w:sz="8" w:space="0"/>
            </w:tcBorders>
            <w:vAlign w:val="center"/>
          </w:tcPr>
          <w:p w14:paraId="281F5B0F">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0.56 </w:t>
            </w:r>
          </w:p>
        </w:tc>
        <w:tc>
          <w:tcPr>
            <w:tcW w:w="1034" w:type="dxa"/>
            <w:tcBorders>
              <w:top w:val="nil"/>
              <w:left w:val="nil"/>
              <w:bottom w:val="single" w:color="000000" w:sz="8" w:space="0"/>
              <w:right w:val="single" w:color="000000" w:sz="8" w:space="0"/>
            </w:tcBorders>
            <w:vAlign w:val="center"/>
          </w:tcPr>
          <w:p w14:paraId="55F527D6">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149.36 </w:t>
            </w:r>
          </w:p>
        </w:tc>
      </w:tr>
      <w:tr w14:paraId="3F327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3D9F55A2">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24A4F3D5">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1267" w:type="dxa"/>
            <w:tcBorders>
              <w:top w:val="nil"/>
              <w:left w:val="nil"/>
              <w:bottom w:val="single" w:color="000000" w:sz="8" w:space="0"/>
              <w:right w:val="single" w:color="000000" w:sz="8" w:space="0"/>
            </w:tcBorders>
            <w:vAlign w:val="center"/>
          </w:tcPr>
          <w:p w14:paraId="672AECE5">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4CF0812">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4575968C">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4B1D4403">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15.34 </w:t>
            </w:r>
          </w:p>
        </w:tc>
        <w:tc>
          <w:tcPr>
            <w:tcW w:w="935" w:type="dxa"/>
            <w:tcBorders>
              <w:top w:val="nil"/>
              <w:left w:val="nil"/>
              <w:bottom w:val="single" w:color="000000" w:sz="8" w:space="0"/>
              <w:right w:val="single" w:color="000000" w:sz="8" w:space="0"/>
            </w:tcBorders>
            <w:vAlign w:val="center"/>
          </w:tcPr>
          <w:p w14:paraId="3CC7080C">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8.83 </w:t>
            </w:r>
          </w:p>
        </w:tc>
        <w:tc>
          <w:tcPr>
            <w:tcW w:w="1089" w:type="dxa"/>
            <w:tcBorders>
              <w:top w:val="nil"/>
              <w:left w:val="nil"/>
              <w:bottom w:val="single" w:color="000000" w:sz="8" w:space="0"/>
              <w:right w:val="single" w:color="000000" w:sz="8" w:space="0"/>
            </w:tcBorders>
            <w:vAlign w:val="center"/>
          </w:tcPr>
          <w:p w14:paraId="3A8C8FD9">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14.32 </w:t>
            </w:r>
          </w:p>
        </w:tc>
        <w:tc>
          <w:tcPr>
            <w:tcW w:w="1319" w:type="dxa"/>
            <w:tcBorders>
              <w:top w:val="nil"/>
              <w:left w:val="nil"/>
              <w:bottom w:val="single" w:color="000000" w:sz="8" w:space="0"/>
              <w:right w:val="single" w:color="000000" w:sz="8" w:space="0"/>
            </w:tcBorders>
            <w:vAlign w:val="center"/>
          </w:tcPr>
          <w:p w14:paraId="3D77495B">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13.85 </w:t>
            </w:r>
          </w:p>
        </w:tc>
        <w:tc>
          <w:tcPr>
            <w:tcW w:w="954" w:type="dxa"/>
            <w:tcBorders>
              <w:top w:val="nil"/>
              <w:left w:val="nil"/>
              <w:bottom w:val="single" w:color="000000" w:sz="8" w:space="0"/>
              <w:right w:val="single" w:color="000000" w:sz="8" w:space="0"/>
            </w:tcBorders>
            <w:vAlign w:val="center"/>
          </w:tcPr>
          <w:p w14:paraId="2445F383">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12.56 </w:t>
            </w:r>
          </w:p>
        </w:tc>
        <w:tc>
          <w:tcPr>
            <w:tcW w:w="1081" w:type="dxa"/>
            <w:tcBorders>
              <w:top w:val="nil"/>
              <w:left w:val="nil"/>
              <w:bottom w:val="single" w:color="000000" w:sz="8" w:space="0"/>
              <w:right w:val="single" w:color="000000" w:sz="8" w:space="0"/>
            </w:tcBorders>
            <w:vAlign w:val="center"/>
          </w:tcPr>
          <w:p w14:paraId="2A9BBF0F">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13.00 </w:t>
            </w:r>
          </w:p>
        </w:tc>
        <w:tc>
          <w:tcPr>
            <w:tcW w:w="1171" w:type="dxa"/>
            <w:tcBorders>
              <w:top w:val="nil"/>
              <w:left w:val="nil"/>
              <w:bottom w:val="single" w:color="000000" w:sz="8" w:space="0"/>
              <w:right w:val="single" w:color="000000" w:sz="8" w:space="0"/>
            </w:tcBorders>
            <w:vAlign w:val="center"/>
          </w:tcPr>
          <w:p w14:paraId="33FD6D74">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14.31 </w:t>
            </w:r>
          </w:p>
        </w:tc>
        <w:tc>
          <w:tcPr>
            <w:tcW w:w="1013" w:type="dxa"/>
            <w:tcBorders>
              <w:top w:val="nil"/>
              <w:left w:val="nil"/>
              <w:bottom w:val="single" w:color="000000" w:sz="8" w:space="0"/>
              <w:right w:val="single" w:color="000000" w:sz="8" w:space="0"/>
            </w:tcBorders>
            <w:vAlign w:val="center"/>
          </w:tcPr>
          <w:p w14:paraId="1C5CCE2A">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3.14 </w:t>
            </w:r>
          </w:p>
        </w:tc>
        <w:tc>
          <w:tcPr>
            <w:tcW w:w="1034" w:type="dxa"/>
            <w:tcBorders>
              <w:top w:val="nil"/>
              <w:left w:val="nil"/>
              <w:bottom w:val="single" w:color="000000" w:sz="8" w:space="0"/>
              <w:right w:val="single" w:color="000000" w:sz="8" w:space="0"/>
            </w:tcBorders>
            <w:vAlign w:val="center"/>
          </w:tcPr>
          <w:p w14:paraId="2F5DDEA0">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20.22 </w:t>
            </w:r>
          </w:p>
        </w:tc>
      </w:tr>
      <w:tr w14:paraId="00447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0D21FA0E">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6B829E09">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w:t>
            </w:r>
          </w:p>
        </w:tc>
        <w:tc>
          <w:tcPr>
            <w:tcW w:w="1267" w:type="dxa"/>
            <w:tcBorders>
              <w:top w:val="nil"/>
              <w:left w:val="nil"/>
              <w:bottom w:val="single" w:color="000000" w:sz="8" w:space="0"/>
              <w:right w:val="single" w:color="000000" w:sz="8" w:space="0"/>
            </w:tcBorders>
            <w:vAlign w:val="center"/>
          </w:tcPr>
          <w:p w14:paraId="0CF5ACE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47F676C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553782D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4DA43891">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13.17 </w:t>
            </w:r>
          </w:p>
        </w:tc>
        <w:tc>
          <w:tcPr>
            <w:tcW w:w="935" w:type="dxa"/>
            <w:tcBorders>
              <w:top w:val="nil"/>
              <w:left w:val="nil"/>
              <w:bottom w:val="single" w:color="000000" w:sz="8" w:space="0"/>
              <w:right w:val="single" w:color="000000" w:sz="8" w:space="0"/>
            </w:tcBorders>
            <w:vAlign w:val="center"/>
          </w:tcPr>
          <w:p w14:paraId="301AFC2D">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30.69 </w:t>
            </w:r>
          </w:p>
        </w:tc>
        <w:tc>
          <w:tcPr>
            <w:tcW w:w="1089" w:type="dxa"/>
            <w:tcBorders>
              <w:top w:val="nil"/>
              <w:left w:val="nil"/>
              <w:bottom w:val="single" w:color="000000" w:sz="8" w:space="0"/>
              <w:right w:val="single" w:color="000000" w:sz="8" w:space="0"/>
            </w:tcBorders>
            <w:vAlign w:val="center"/>
          </w:tcPr>
          <w:p w14:paraId="16491A99">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5.68 </w:t>
            </w:r>
          </w:p>
        </w:tc>
        <w:tc>
          <w:tcPr>
            <w:tcW w:w="1319" w:type="dxa"/>
            <w:tcBorders>
              <w:top w:val="nil"/>
              <w:left w:val="nil"/>
              <w:bottom w:val="single" w:color="000000" w:sz="8" w:space="0"/>
              <w:right w:val="single" w:color="000000" w:sz="8" w:space="0"/>
            </w:tcBorders>
            <w:vAlign w:val="center"/>
          </w:tcPr>
          <w:p w14:paraId="0D8E27AB">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11.98 </w:t>
            </w:r>
          </w:p>
        </w:tc>
        <w:tc>
          <w:tcPr>
            <w:tcW w:w="954" w:type="dxa"/>
            <w:tcBorders>
              <w:top w:val="nil"/>
              <w:left w:val="nil"/>
              <w:bottom w:val="single" w:color="000000" w:sz="8" w:space="0"/>
              <w:right w:val="single" w:color="000000" w:sz="8" w:space="0"/>
            </w:tcBorders>
            <w:vAlign w:val="center"/>
          </w:tcPr>
          <w:p w14:paraId="2194748F">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37.34 </w:t>
            </w:r>
          </w:p>
        </w:tc>
        <w:tc>
          <w:tcPr>
            <w:tcW w:w="1081" w:type="dxa"/>
            <w:tcBorders>
              <w:top w:val="nil"/>
              <w:left w:val="nil"/>
              <w:bottom w:val="single" w:color="000000" w:sz="8" w:space="0"/>
              <w:right w:val="single" w:color="000000" w:sz="8" w:space="0"/>
            </w:tcBorders>
            <w:vAlign w:val="center"/>
          </w:tcPr>
          <w:p w14:paraId="57485695">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6.56 </w:t>
            </w:r>
          </w:p>
        </w:tc>
        <w:tc>
          <w:tcPr>
            <w:tcW w:w="1171" w:type="dxa"/>
            <w:tcBorders>
              <w:top w:val="nil"/>
              <w:left w:val="nil"/>
              <w:bottom w:val="single" w:color="000000" w:sz="8" w:space="0"/>
              <w:right w:val="single" w:color="000000" w:sz="8" w:space="0"/>
            </w:tcBorders>
            <w:vAlign w:val="center"/>
          </w:tcPr>
          <w:p w14:paraId="0D2E7AA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 xml:space="preserve">11.92 </w:t>
            </w:r>
          </w:p>
        </w:tc>
        <w:tc>
          <w:tcPr>
            <w:tcW w:w="1013" w:type="dxa"/>
            <w:tcBorders>
              <w:top w:val="nil"/>
              <w:left w:val="nil"/>
              <w:bottom w:val="single" w:color="000000" w:sz="8" w:space="0"/>
              <w:right w:val="single" w:color="000000" w:sz="8" w:space="0"/>
            </w:tcBorders>
            <w:vAlign w:val="center"/>
          </w:tcPr>
          <w:p w14:paraId="4B24416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 xml:space="preserve">15.39 </w:t>
            </w:r>
          </w:p>
        </w:tc>
        <w:tc>
          <w:tcPr>
            <w:tcW w:w="1034" w:type="dxa"/>
            <w:tcBorders>
              <w:top w:val="nil"/>
              <w:left w:val="nil"/>
              <w:bottom w:val="single" w:color="000000" w:sz="8" w:space="0"/>
              <w:right w:val="single" w:color="000000" w:sz="8" w:space="0"/>
            </w:tcBorders>
            <w:vAlign w:val="center"/>
          </w:tcPr>
          <w:p w14:paraId="48EE7D2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 xml:space="preserve">4.41 </w:t>
            </w:r>
          </w:p>
        </w:tc>
      </w:tr>
      <w:tr w14:paraId="61A55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5ED0207D">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717B4342">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w:t>
            </w:r>
          </w:p>
        </w:tc>
        <w:tc>
          <w:tcPr>
            <w:tcW w:w="1267" w:type="dxa"/>
            <w:tcBorders>
              <w:top w:val="nil"/>
              <w:left w:val="nil"/>
              <w:bottom w:val="single" w:color="000000" w:sz="8" w:space="0"/>
              <w:right w:val="single" w:color="000000" w:sz="8" w:space="0"/>
            </w:tcBorders>
            <w:vAlign w:val="center"/>
          </w:tcPr>
          <w:p w14:paraId="20D0402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038DCE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508026A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5F576AC5">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12.02 </w:t>
            </w:r>
          </w:p>
        </w:tc>
        <w:tc>
          <w:tcPr>
            <w:tcW w:w="935" w:type="dxa"/>
            <w:tcBorders>
              <w:top w:val="nil"/>
              <w:left w:val="nil"/>
              <w:bottom w:val="single" w:color="000000" w:sz="8" w:space="0"/>
              <w:right w:val="single" w:color="000000" w:sz="8" w:space="0"/>
            </w:tcBorders>
            <w:vAlign w:val="center"/>
          </w:tcPr>
          <w:p w14:paraId="37A7F7CF">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43.13 </w:t>
            </w:r>
          </w:p>
        </w:tc>
        <w:tc>
          <w:tcPr>
            <w:tcW w:w="1089" w:type="dxa"/>
            <w:tcBorders>
              <w:top w:val="nil"/>
              <w:left w:val="nil"/>
              <w:bottom w:val="single" w:color="000000" w:sz="8" w:space="0"/>
              <w:right w:val="single" w:color="000000" w:sz="8" w:space="0"/>
            </w:tcBorders>
            <w:vAlign w:val="center"/>
          </w:tcPr>
          <w:p w14:paraId="41DA9DC9">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4.41 </w:t>
            </w:r>
          </w:p>
        </w:tc>
        <w:tc>
          <w:tcPr>
            <w:tcW w:w="1319" w:type="dxa"/>
            <w:tcBorders>
              <w:top w:val="nil"/>
              <w:left w:val="nil"/>
              <w:bottom w:val="single" w:color="000000" w:sz="8" w:space="0"/>
              <w:right w:val="single" w:color="000000" w:sz="8" w:space="0"/>
            </w:tcBorders>
            <w:vAlign w:val="center"/>
          </w:tcPr>
          <w:p w14:paraId="7AE3FCD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17678F4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7AEFB80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5973072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 xml:space="preserve">10.42 </w:t>
            </w:r>
          </w:p>
        </w:tc>
        <w:tc>
          <w:tcPr>
            <w:tcW w:w="1013" w:type="dxa"/>
            <w:tcBorders>
              <w:top w:val="nil"/>
              <w:left w:val="nil"/>
              <w:bottom w:val="single" w:color="000000" w:sz="8" w:space="0"/>
              <w:right w:val="single" w:color="000000" w:sz="8" w:space="0"/>
            </w:tcBorders>
            <w:vAlign w:val="center"/>
          </w:tcPr>
          <w:p w14:paraId="2CE763A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 xml:space="preserve">24.20 </w:t>
            </w:r>
          </w:p>
        </w:tc>
        <w:tc>
          <w:tcPr>
            <w:tcW w:w="1034" w:type="dxa"/>
            <w:tcBorders>
              <w:top w:val="nil"/>
              <w:left w:val="nil"/>
              <w:bottom w:val="single" w:color="000000" w:sz="8" w:space="0"/>
              <w:right w:val="single" w:color="000000" w:sz="8" w:space="0"/>
            </w:tcBorders>
            <w:vAlign w:val="center"/>
          </w:tcPr>
          <w:p w14:paraId="43E5CAE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 xml:space="preserve">2.80 </w:t>
            </w:r>
          </w:p>
        </w:tc>
      </w:tr>
      <w:tr w14:paraId="0D5BF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1F1BD9EB">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0A83DA3A">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w:t>
            </w:r>
          </w:p>
        </w:tc>
        <w:tc>
          <w:tcPr>
            <w:tcW w:w="1267" w:type="dxa"/>
            <w:tcBorders>
              <w:top w:val="nil"/>
              <w:left w:val="nil"/>
              <w:bottom w:val="single" w:color="000000" w:sz="8" w:space="0"/>
              <w:right w:val="single" w:color="000000" w:sz="8" w:space="0"/>
            </w:tcBorders>
            <w:vAlign w:val="center"/>
          </w:tcPr>
          <w:p w14:paraId="7F578BF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5CA1FCC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4D6ACA4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14DF3F9E">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11.24 </w:t>
            </w:r>
          </w:p>
        </w:tc>
        <w:tc>
          <w:tcPr>
            <w:tcW w:w="935" w:type="dxa"/>
            <w:tcBorders>
              <w:top w:val="nil"/>
              <w:left w:val="nil"/>
              <w:bottom w:val="single" w:color="000000" w:sz="8" w:space="0"/>
              <w:right w:val="single" w:color="000000" w:sz="8" w:space="0"/>
            </w:tcBorders>
            <w:vAlign w:val="center"/>
          </w:tcPr>
          <w:p w14:paraId="539855DB">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48.29 </w:t>
            </w:r>
          </w:p>
        </w:tc>
        <w:tc>
          <w:tcPr>
            <w:tcW w:w="1089" w:type="dxa"/>
            <w:tcBorders>
              <w:top w:val="nil"/>
              <w:left w:val="nil"/>
              <w:bottom w:val="single" w:color="000000" w:sz="8" w:space="0"/>
              <w:right w:val="single" w:color="000000" w:sz="8" w:space="0"/>
            </w:tcBorders>
            <w:vAlign w:val="center"/>
          </w:tcPr>
          <w:p w14:paraId="16229B03">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3.12 </w:t>
            </w:r>
          </w:p>
        </w:tc>
        <w:tc>
          <w:tcPr>
            <w:tcW w:w="1319" w:type="dxa"/>
            <w:tcBorders>
              <w:top w:val="nil"/>
              <w:left w:val="nil"/>
              <w:bottom w:val="single" w:color="000000" w:sz="8" w:space="0"/>
              <w:right w:val="single" w:color="000000" w:sz="8" w:space="0"/>
            </w:tcBorders>
            <w:vAlign w:val="center"/>
          </w:tcPr>
          <w:p w14:paraId="48A17D8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658BFA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45BCC12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754A04FF">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33AEAE1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4F58665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1B9A2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1BA1D64D">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2AA71680">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w:t>
            </w:r>
          </w:p>
        </w:tc>
        <w:tc>
          <w:tcPr>
            <w:tcW w:w="1267" w:type="dxa"/>
            <w:tcBorders>
              <w:top w:val="nil"/>
              <w:left w:val="nil"/>
              <w:bottom w:val="single" w:color="000000" w:sz="8" w:space="0"/>
              <w:right w:val="single" w:color="000000" w:sz="8" w:space="0"/>
            </w:tcBorders>
            <w:vAlign w:val="center"/>
          </w:tcPr>
          <w:p w14:paraId="6716EDC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5AC33B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6A48160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6A8290DD">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10.61 </w:t>
            </w:r>
          </w:p>
        </w:tc>
        <w:tc>
          <w:tcPr>
            <w:tcW w:w="935" w:type="dxa"/>
            <w:tcBorders>
              <w:top w:val="nil"/>
              <w:left w:val="nil"/>
              <w:bottom w:val="single" w:color="000000" w:sz="8" w:space="0"/>
              <w:right w:val="single" w:color="000000" w:sz="8" w:space="0"/>
            </w:tcBorders>
            <w:vAlign w:val="center"/>
          </w:tcPr>
          <w:p w14:paraId="2DFC6B91">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55.68 </w:t>
            </w:r>
          </w:p>
        </w:tc>
        <w:tc>
          <w:tcPr>
            <w:tcW w:w="1089" w:type="dxa"/>
            <w:tcBorders>
              <w:top w:val="nil"/>
              <w:left w:val="nil"/>
              <w:bottom w:val="single" w:color="000000" w:sz="8" w:space="0"/>
              <w:right w:val="single" w:color="000000" w:sz="8" w:space="0"/>
            </w:tcBorders>
            <w:vAlign w:val="center"/>
          </w:tcPr>
          <w:p w14:paraId="47B76820">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2.77 </w:t>
            </w:r>
          </w:p>
        </w:tc>
        <w:tc>
          <w:tcPr>
            <w:tcW w:w="1319" w:type="dxa"/>
            <w:tcBorders>
              <w:top w:val="nil"/>
              <w:left w:val="nil"/>
              <w:bottom w:val="single" w:color="000000" w:sz="8" w:space="0"/>
              <w:right w:val="single" w:color="000000" w:sz="8" w:space="0"/>
            </w:tcBorders>
            <w:vAlign w:val="center"/>
          </w:tcPr>
          <w:p w14:paraId="6222744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5ED3D42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7F7DFE5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1F93D96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06071C8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59DD588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5DC30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02E9A960">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59138B3C">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18</w:t>
            </w:r>
          </w:p>
        </w:tc>
        <w:tc>
          <w:tcPr>
            <w:tcW w:w="1267" w:type="dxa"/>
            <w:tcBorders>
              <w:top w:val="nil"/>
              <w:left w:val="nil"/>
              <w:bottom w:val="single" w:color="000000" w:sz="8" w:space="0"/>
              <w:right w:val="single" w:color="000000" w:sz="8" w:space="0"/>
            </w:tcBorders>
            <w:vAlign w:val="center"/>
          </w:tcPr>
          <w:p w14:paraId="5DD161F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44A7A05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6DBFD7A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73C08FD5">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10.14 </w:t>
            </w:r>
          </w:p>
        </w:tc>
        <w:tc>
          <w:tcPr>
            <w:tcW w:w="935" w:type="dxa"/>
            <w:tcBorders>
              <w:top w:val="nil"/>
              <w:left w:val="nil"/>
              <w:bottom w:val="single" w:color="000000" w:sz="8" w:space="0"/>
              <w:right w:val="single" w:color="000000" w:sz="8" w:space="0"/>
            </w:tcBorders>
            <w:vAlign w:val="center"/>
          </w:tcPr>
          <w:p w14:paraId="3D5AD5E4">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60.69 </w:t>
            </w:r>
          </w:p>
        </w:tc>
        <w:tc>
          <w:tcPr>
            <w:tcW w:w="1089" w:type="dxa"/>
            <w:tcBorders>
              <w:top w:val="nil"/>
              <w:left w:val="nil"/>
              <w:bottom w:val="single" w:color="000000" w:sz="8" w:space="0"/>
              <w:right w:val="single" w:color="000000" w:sz="8" w:space="0"/>
            </w:tcBorders>
            <w:vAlign w:val="center"/>
          </w:tcPr>
          <w:p w14:paraId="60CC5AE0">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2.34 </w:t>
            </w:r>
          </w:p>
        </w:tc>
        <w:tc>
          <w:tcPr>
            <w:tcW w:w="1319" w:type="dxa"/>
            <w:tcBorders>
              <w:top w:val="nil"/>
              <w:left w:val="nil"/>
              <w:bottom w:val="single" w:color="000000" w:sz="8" w:space="0"/>
              <w:right w:val="single" w:color="000000" w:sz="8" w:space="0"/>
            </w:tcBorders>
            <w:vAlign w:val="center"/>
          </w:tcPr>
          <w:p w14:paraId="1AC7356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67590EE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5E9CB2B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3C81F72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60F405C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0C8ECFB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19B11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1D90BA1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543F7CB6">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21</w:t>
            </w:r>
          </w:p>
        </w:tc>
        <w:tc>
          <w:tcPr>
            <w:tcW w:w="1267" w:type="dxa"/>
            <w:tcBorders>
              <w:top w:val="nil"/>
              <w:left w:val="nil"/>
              <w:bottom w:val="single" w:color="000000" w:sz="8" w:space="0"/>
              <w:right w:val="single" w:color="000000" w:sz="8" w:space="0"/>
            </w:tcBorders>
            <w:vAlign w:val="center"/>
          </w:tcPr>
          <w:p w14:paraId="22A03E1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87AC86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19660AC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7AB85087">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9.74 </w:t>
            </w:r>
          </w:p>
        </w:tc>
        <w:tc>
          <w:tcPr>
            <w:tcW w:w="935" w:type="dxa"/>
            <w:tcBorders>
              <w:top w:val="nil"/>
              <w:left w:val="nil"/>
              <w:bottom w:val="single" w:color="000000" w:sz="8" w:space="0"/>
              <w:right w:val="single" w:color="000000" w:sz="8" w:space="0"/>
            </w:tcBorders>
            <w:vAlign w:val="center"/>
          </w:tcPr>
          <w:p w14:paraId="0BF63BE3">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69.46 </w:t>
            </w:r>
          </w:p>
        </w:tc>
        <w:tc>
          <w:tcPr>
            <w:tcW w:w="1089" w:type="dxa"/>
            <w:tcBorders>
              <w:top w:val="nil"/>
              <w:left w:val="nil"/>
              <w:bottom w:val="single" w:color="000000" w:sz="8" w:space="0"/>
              <w:right w:val="single" w:color="000000" w:sz="8" w:space="0"/>
            </w:tcBorders>
            <w:vAlign w:val="center"/>
          </w:tcPr>
          <w:p w14:paraId="00643C39">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2.06 </w:t>
            </w:r>
          </w:p>
        </w:tc>
        <w:tc>
          <w:tcPr>
            <w:tcW w:w="1319" w:type="dxa"/>
            <w:tcBorders>
              <w:top w:val="nil"/>
              <w:left w:val="nil"/>
              <w:bottom w:val="single" w:color="000000" w:sz="8" w:space="0"/>
              <w:right w:val="single" w:color="000000" w:sz="8" w:space="0"/>
            </w:tcBorders>
            <w:vAlign w:val="center"/>
          </w:tcPr>
          <w:p w14:paraId="2067187F">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2E23860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23DA4E4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08F9E46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75BCA28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60B4F89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07D19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3A6F967B">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65ECCEEA">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24</w:t>
            </w:r>
          </w:p>
        </w:tc>
        <w:tc>
          <w:tcPr>
            <w:tcW w:w="1267" w:type="dxa"/>
            <w:tcBorders>
              <w:top w:val="nil"/>
              <w:left w:val="nil"/>
              <w:bottom w:val="single" w:color="000000" w:sz="8" w:space="0"/>
              <w:right w:val="single" w:color="000000" w:sz="8" w:space="0"/>
            </w:tcBorders>
            <w:vAlign w:val="center"/>
          </w:tcPr>
          <w:p w14:paraId="48CAC5D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2615ADD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28BAE2E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24A0856D">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9.39 </w:t>
            </w:r>
          </w:p>
        </w:tc>
        <w:tc>
          <w:tcPr>
            <w:tcW w:w="935" w:type="dxa"/>
            <w:tcBorders>
              <w:top w:val="nil"/>
              <w:left w:val="nil"/>
              <w:bottom w:val="single" w:color="000000" w:sz="8" w:space="0"/>
              <w:right w:val="single" w:color="000000" w:sz="8" w:space="0"/>
            </w:tcBorders>
            <w:vAlign w:val="center"/>
          </w:tcPr>
          <w:p w14:paraId="3D2B6C9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80.36 </w:t>
            </w:r>
          </w:p>
        </w:tc>
        <w:tc>
          <w:tcPr>
            <w:tcW w:w="1089" w:type="dxa"/>
            <w:tcBorders>
              <w:top w:val="nil"/>
              <w:left w:val="nil"/>
              <w:bottom w:val="single" w:color="000000" w:sz="8" w:space="0"/>
              <w:right w:val="single" w:color="000000" w:sz="8" w:space="0"/>
            </w:tcBorders>
            <w:vAlign w:val="center"/>
          </w:tcPr>
          <w:p w14:paraId="45F15CA1">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1.79 </w:t>
            </w:r>
          </w:p>
        </w:tc>
        <w:tc>
          <w:tcPr>
            <w:tcW w:w="1319" w:type="dxa"/>
            <w:tcBorders>
              <w:top w:val="nil"/>
              <w:left w:val="nil"/>
              <w:bottom w:val="single" w:color="000000" w:sz="8" w:space="0"/>
              <w:right w:val="single" w:color="000000" w:sz="8" w:space="0"/>
            </w:tcBorders>
            <w:vAlign w:val="center"/>
          </w:tcPr>
          <w:p w14:paraId="577B77C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36AF380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7B06495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3B38DA7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0F22AA5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3FED25D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02953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0E343196">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035EFD85">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27</w:t>
            </w:r>
          </w:p>
        </w:tc>
        <w:tc>
          <w:tcPr>
            <w:tcW w:w="1267" w:type="dxa"/>
            <w:tcBorders>
              <w:top w:val="nil"/>
              <w:left w:val="nil"/>
              <w:bottom w:val="single" w:color="000000" w:sz="8" w:space="0"/>
              <w:right w:val="single" w:color="000000" w:sz="8" w:space="0"/>
            </w:tcBorders>
            <w:vAlign w:val="center"/>
          </w:tcPr>
          <w:p w14:paraId="6E30895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5712C1E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05A4896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14387596">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35" w:type="dxa"/>
            <w:tcBorders>
              <w:top w:val="nil"/>
              <w:left w:val="nil"/>
              <w:bottom w:val="single" w:color="000000" w:sz="8" w:space="0"/>
              <w:right w:val="single" w:color="000000" w:sz="8" w:space="0"/>
            </w:tcBorders>
            <w:vAlign w:val="center"/>
          </w:tcPr>
          <w:p w14:paraId="5503B94F">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89" w:type="dxa"/>
            <w:tcBorders>
              <w:top w:val="nil"/>
              <w:left w:val="nil"/>
              <w:bottom w:val="single" w:color="000000" w:sz="8" w:space="0"/>
              <w:right w:val="single" w:color="000000" w:sz="8" w:space="0"/>
            </w:tcBorders>
            <w:vAlign w:val="center"/>
          </w:tcPr>
          <w:p w14:paraId="0AE8DFEC">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319" w:type="dxa"/>
            <w:tcBorders>
              <w:top w:val="nil"/>
              <w:left w:val="nil"/>
              <w:bottom w:val="single" w:color="000000" w:sz="8" w:space="0"/>
              <w:right w:val="single" w:color="000000" w:sz="8" w:space="0"/>
            </w:tcBorders>
            <w:vAlign w:val="center"/>
          </w:tcPr>
          <w:p w14:paraId="22E31A8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D7CA26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3170081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31F321C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576313A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0EF5B10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5D2F5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329314BF">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4F8FB450">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30</w:t>
            </w:r>
          </w:p>
        </w:tc>
        <w:tc>
          <w:tcPr>
            <w:tcW w:w="1267" w:type="dxa"/>
            <w:tcBorders>
              <w:top w:val="nil"/>
              <w:left w:val="nil"/>
              <w:bottom w:val="single" w:color="000000" w:sz="8" w:space="0"/>
              <w:right w:val="single" w:color="000000" w:sz="8" w:space="0"/>
            </w:tcBorders>
            <w:vAlign w:val="center"/>
          </w:tcPr>
          <w:p w14:paraId="5705322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D6130B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1496F20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7DD03262">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35" w:type="dxa"/>
            <w:tcBorders>
              <w:top w:val="nil"/>
              <w:left w:val="nil"/>
              <w:bottom w:val="single" w:color="000000" w:sz="8" w:space="0"/>
              <w:right w:val="single" w:color="000000" w:sz="8" w:space="0"/>
            </w:tcBorders>
            <w:vAlign w:val="center"/>
          </w:tcPr>
          <w:p w14:paraId="3729E81E">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89" w:type="dxa"/>
            <w:tcBorders>
              <w:top w:val="nil"/>
              <w:left w:val="nil"/>
              <w:bottom w:val="single" w:color="000000" w:sz="8" w:space="0"/>
              <w:right w:val="single" w:color="000000" w:sz="8" w:space="0"/>
            </w:tcBorders>
            <w:vAlign w:val="center"/>
          </w:tcPr>
          <w:p w14:paraId="5DBA8CF4">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319" w:type="dxa"/>
            <w:tcBorders>
              <w:top w:val="nil"/>
              <w:left w:val="nil"/>
              <w:bottom w:val="single" w:color="000000" w:sz="8" w:space="0"/>
              <w:right w:val="single" w:color="000000" w:sz="8" w:space="0"/>
            </w:tcBorders>
            <w:vAlign w:val="center"/>
          </w:tcPr>
          <w:p w14:paraId="58BE667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1B6E172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697A51C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149F7A9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452E90A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267121E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17D48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7CF158A8">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51E32B74">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33</w:t>
            </w:r>
          </w:p>
        </w:tc>
        <w:tc>
          <w:tcPr>
            <w:tcW w:w="1267" w:type="dxa"/>
            <w:tcBorders>
              <w:top w:val="nil"/>
              <w:left w:val="nil"/>
              <w:bottom w:val="single" w:color="000000" w:sz="8" w:space="0"/>
              <w:right w:val="single" w:color="000000" w:sz="8" w:space="0"/>
            </w:tcBorders>
            <w:vAlign w:val="center"/>
          </w:tcPr>
          <w:p w14:paraId="1306D5E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084829A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5372AA6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70FF4CB6">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35" w:type="dxa"/>
            <w:tcBorders>
              <w:top w:val="nil"/>
              <w:left w:val="nil"/>
              <w:bottom w:val="single" w:color="000000" w:sz="8" w:space="0"/>
              <w:right w:val="single" w:color="000000" w:sz="8" w:space="0"/>
            </w:tcBorders>
            <w:vAlign w:val="center"/>
          </w:tcPr>
          <w:p w14:paraId="0D2EDD87">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89" w:type="dxa"/>
            <w:tcBorders>
              <w:top w:val="nil"/>
              <w:left w:val="nil"/>
              <w:bottom w:val="single" w:color="000000" w:sz="8" w:space="0"/>
              <w:right w:val="single" w:color="000000" w:sz="8" w:space="0"/>
            </w:tcBorders>
            <w:vAlign w:val="center"/>
          </w:tcPr>
          <w:p w14:paraId="59F53DD0">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319" w:type="dxa"/>
            <w:tcBorders>
              <w:top w:val="nil"/>
              <w:left w:val="nil"/>
              <w:bottom w:val="single" w:color="000000" w:sz="8" w:space="0"/>
              <w:right w:val="single" w:color="000000" w:sz="8" w:space="0"/>
            </w:tcBorders>
            <w:vAlign w:val="center"/>
          </w:tcPr>
          <w:p w14:paraId="3051302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35B0141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3F008A3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12C3D04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7D19FB4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68C9913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38D42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4ED62DF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09ADEA72">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36</w:t>
            </w:r>
          </w:p>
        </w:tc>
        <w:tc>
          <w:tcPr>
            <w:tcW w:w="1267" w:type="dxa"/>
            <w:tcBorders>
              <w:top w:val="nil"/>
              <w:left w:val="nil"/>
              <w:bottom w:val="single" w:color="000000" w:sz="8" w:space="0"/>
              <w:right w:val="single" w:color="000000" w:sz="8" w:space="0"/>
            </w:tcBorders>
            <w:vAlign w:val="center"/>
          </w:tcPr>
          <w:p w14:paraId="7007D41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760EE9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5CAE0E8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1C6FBAF1">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35" w:type="dxa"/>
            <w:tcBorders>
              <w:top w:val="nil"/>
              <w:left w:val="nil"/>
              <w:bottom w:val="single" w:color="000000" w:sz="8" w:space="0"/>
              <w:right w:val="single" w:color="000000" w:sz="8" w:space="0"/>
            </w:tcBorders>
            <w:vAlign w:val="center"/>
          </w:tcPr>
          <w:p w14:paraId="056372FD">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89" w:type="dxa"/>
            <w:tcBorders>
              <w:top w:val="nil"/>
              <w:left w:val="nil"/>
              <w:bottom w:val="single" w:color="000000" w:sz="8" w:space="0"/>
              <w:right w:val="single" w:color="000000" w:sz="8" w:space="0"/>
            </w:tcBorders>
            <w:vAlign w:val="center"/>
          </w:tcPr>
          <w:p w14:paraId="533F19AB">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319" w:type="dxa"/>
            <w:tcBorders>
              <w:top w:val="nil"/>
              <w:left w:val="nil"/>
              <w:bottom w:val="single" w:color="000000" w:sz="8" w:space="0"/>
              <w:right w:val="single" w:color="000000" w:sz="8" w:space="0"/>
            </w:tcBorders>
            <w:vAlign w:val="center"/>
          </w:tcPr>
          <w:p w14:paraId="36C8931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47BF5DE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13832A0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29EF718F">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61E444D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0D31569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50364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3DDFF85B">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54479C04">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39</w:t>
            </w:r>
          </w:p>
        </w:tc>
        <w:tc>
          <w:tcPr>
            <w:tcW w:w="1267" w:type="dxa"/>
            <w:tcBorders>
              <w:top w:val="nil"/>
              <w:left w:val="nil"/>
              <w:bottom w:val="single" w:color="000000" w:sz="8" w:space="0"/>
              <w:right w:val="single" w:color="000000" w:sz="8" w:space="0"/>
            </w:tcBorders>
            <w:vAlign w:val="center"/>
          </w:tcPr>
          <w:p w14:paraId="5A3920F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5CB18F1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22CA975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511D5486">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35" w:type="dxa"/>
            <w:tcBorders>
              <w:top w:val="nil"/>
              <w:left w:val="nil"/>
              <w:bottom w:val="single" w:color="000000" w:sz="8" w:space="0"/>
              <w:right w:val="single" w:color="000000" w:sz="8" w:space="0"/>
            </w:tcBorders>
            <w:vAlign w:val="center"/>
          </w:tcPr>
          <w:p w14:paraId="6D408A0B">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89" w:type="dxa"/>
            <w:tcBorders>
              <w:top w:val="nil"/>
              <w:left w:val="nil"/>
              <w:bottom w:val="single" w:color="000000" w:sz="8" w:space="0"/>
              <w:right w:val="single" w:color="000000" w:sz="8" w:space="0"/>
            </w:tcBorders>
            <w:vAlign w:val="center"/>
          </w:tcPr>
          <w:p w14:paraId="5FFCC161">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319" w:type="dxa"/>
            <w:tcBorders>
              <w:top w:val="nil"/>
              <w:left w:val="nil"/>
              <w:bottom w:val="single" w:color="000000" w:sz="8" w:space="0"/>
              <w:right w:val="single" w:color="000000" w:sz="8" w:space="0"/>
            </w:tcBorders>
            <w:vAlign w:val="center"/>
          </w:tcPr>
          <w:p w14:paraId="7E9389F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D20BFD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6C6D7A4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3EF9769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0346AB7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492CA15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35217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4D5EC949">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485CC132">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42</w:t>
            </w:r>
          </w:p>
        </w:tc>
        <w:tc>
          <w:tcPr>
            <w:tcW w:w="1267" w:type="dxa"/>
            <w:tcBorders>
              <w:top w:val="nil"/>
              <w:left w:val="nil"/>
              <w:bottom w:val="single" w:color="000000" w:sz="8" w:space="0"/>
              <w:right w:val="single" w:color="000000" w:sz="8" w:space="0"/>
            </w:tcBorders>
            <w:vAlign w:val="center"/>
          </w:tcPr>
          <w:p w14:paraId="296C868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43721AC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0B79F21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60489C11">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35" w:type="dxa"/>
            <w:tcBorders>
              <w:top w:val="nil"/>
              <w:left w:val="nil"/>
              <w:bottom w:val="single" w:color="000000" w:sz="8" w:space="0"/>
              <w:right w:val="single" w:color="000000" w:sz="8" w:space="0"/>
            </w:tcBorders>
            <w:vAlign w:val="center"/>
          </w:tcPr>
          <w:p w14:paraId="5C9817DC">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89" w:type="dxa"/>
            <w:tcBorders>
              <w:top w:val="nil"/>
              <w:left w:val="nil"/>
              <w:bottom w:val="single" w:color="000000" w:sz="8" w:space="0"/>
              <w:right w:val="single" w:color="000000" w:sz="8" w:space="0"/>
            </w:tcBorders>
            <w:vAlign w:val="center"/>
          </w:tcPr>
          <w:p w14:paraId="51D82B09">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319" w:type="dxa"/>
            <w:tcBorders>
              <w:top w:val="nil"/>
              <w:left w:val="nil"/>
              <w:bottom w:val="single" w:color="000000" w:sz="8" w:space="0"/>
              <w:right w:val="single" w:color="000000" w:sz="8" w:space="0"/>
            </w:tcBorders>
            <w:vAlign w:val="center"/>
          </w:tcPr>
          <w:p w14:paraId="6CF7E97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DC5257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0F3C3EE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1545B53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2E464A5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599E9E0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486E8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60A32AE4">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6EB15C2B">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45</w:t>
            </w:r>
          </w:p>
        </w:tc>
        <w:tc>
          <w:tcPr>
            <w:tcW w:w="1267" w:type="dxa"/>
            <w:tcBorders>
              <w:top w:val="nil"/>
              <w:left w:val="nil"/>
              <w:bottom w:val="single" w:color="000000" w:sz="8" w:space="0"/>
              <w:right w:val="single" w:color="000000" w:sz="8" w:space="0"/>
            </w:tcBorders>
            <w:vAlign w:val="center"/>
          </w:tcPr>
          <w:p w14:paraId="2529DAA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51B6FED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745AFF0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61F5AA18">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35" w:type="dxa"/>
            <w:tcBorders>
              <w:top w:val="nil"/>
              <w:left w:val="nil"/>
              <w:bottom w:val="single" w:color="000000" w:sz="8" w:space="0"/>
              <w:right w:val="single" w:color="000000" w:sz="8" w:space="0"/>
            </w:tcBorders>
            <w:vAlign w:val="center"/>
          </w:tcPr>
          <w:p w14:paraId="288B47BE">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89" w:type="dxa"/>
            <w:tcBorders>
              <w:top w:val="nil"/>
              <w:left w:val="nil"/>
              <w:bottom w:val="single" w:color="000000" w:sz="8" w:space="0"/>
              <w:right w:val="single" w:color="000000" w:sz="8" w:space="0"/>
            </w:tcBorders>
            <w:vAlign w:val="center"/>
          </w:tcPr>
          <w:p w14:paraId="024C0285">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319" w:type="dxa"/>
            <w:tcBorders>
              <w:top w:val="nil"/>
              <w:left w:val="nil"/>
              <w:bottom w:val="single" w:color="000000" w:sz="8" w:space="0"/>
              <w:right w:val="single" w:color="000000" w:sz="8" w:space="0"/>
            </w:tcBorders>
            <w:vAlign w:val="center"/>
          </w:tcPr>
          <w:p w14:paraId="3909482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34222E4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1E5735E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12BC01B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519B7E2F">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5544B8B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45CF2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541F9C7B">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5BC3077A">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48</w:t>
            </w:r>
          </w:p>
        </w:tc>
        <w:tc>
          <w:tcPr>
            <w:tcW w:w="1267" w:type="dxa"/>
            <w:tcBorders>
              <w:top w:val="nil"/>
              <w:left w:val="nil"/>
              <w:bottom w:val="single" w:color="000000" w:sz="8" w:space="0"/>
              <w:right w:val="single" w:color="000000" w:sz="8" w:space="0"/>
            </w:tcBorders>
            <w:vAlign w:val="center"/>
          </w:tcPr>
          <w:p w14:paraId="6402C9A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59FE1E6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04E1F58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6B94B273">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35" w:type="dxa"/>
            <w:tcBorders>
              <w:top w:val="nil"/>
              <w:left w:val="nil"/>
              <w:bottom w:val="single" w:color="000000" w:sz="8" w:space="0"/>
              <w:right w:val="single" w:color="000000" w:sz="8" w:space="0"/>
            </w:tcBorders>
            <w:vAlign w:val="center"/>
          </w:tcPr>
          <w:p w14:paraId="428EDC64">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89" w:type="dxa"/>
            <w:tcBorders>
              <w:top w:val="nil"/>
              <w:left w:val="nil"/>
              <w:bottom w:val="single" w:color="000000" w:sz="8" w:space="0"/>
              <w:right w:val="single" w:color="000000" w:sz="8" w:space="0"/>
            </w:tcBorders>
            <w:vAlign w:val="center"/>
          </w:tcPr>
          <w:p w14:paraId="7DA9B07B">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319" w:type="dxa"/>
            <w:tcBorders>
              <w:top w:val="nil"/>
              <w:left w:val="nil"/>
              <w:bottom w:val="single" w:color="000000" w:sz="8" w:space="0"/>
              <w:right w:val="single" w:color="000000" w:sz="8" w:space="0"/>
            </w:tcBorders>
            <w:vAlign w:val="center"/>
          </w:tcPr>
          <w:p w14:paraId="71E45BD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60A3219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6D4C6E6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2834496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78EFA75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1CF388A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4ADFF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exact"/>
          <w:jc w:val="center"/>
        </w:trPr>
        <w:tc>
          <w:tcPr>
            <w:tcW w:w="14174" w:type="dxa"/>
            <w:gridSpan w:val="14"/>
            <w:tcBorders>
              <w:top w:val="single" w:color="auto" w:sz="6" w:space="0"/>
              <w:left w:val="single" w:color="auto" w:sz="12" w:space="0"/>
              <w:bottom w:val="single" w:color="auto" w:sz="12" w:space="0"/>
              <w:right w:val="single" w:color="auto" w:sz="12" w:space="0"/>
            </w:tcBorders>
            <w:vAlign w:val="center"/>
          </w:tcPr>
          <w:p w14:paraId="10348BB3">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备注：“——”表示该工况下该时刻主体油膜抵岸或飘出计算域，因此无值。</w:t>
            </w:r>
          </w:p>
        </w:tc>
      </w:tr>
    </w:tbl>
    <w:p w14:paraId="564464E4">
      <w:pPr>
        <w:ind w:firstLine="437"/>
        <w:sectPr>
          <w:pgSz w:w="16840" w:h="11907" w:orient="landscape"/>
          <w:pgMar w:top="1797" w:right="1440" w:bottom="1514" w:left="1440" w:header="992" w:footer="851" w:gutter="284"/>
          <w:pgNumType w:fmt="numberInDash"/>
          <w:cols w:space="425" w:num="1"/>
          <w:docGrid w:type="linesAndChars" w:linePitch="465" w:charSpace="-4355"/>
        </w:sectPr>
      </w:pPr>
    </w:p>
    <w:bookmarkEnd w:id="596"/>
    <w:p w14:paraId="2D7E6EF8">
      <w:pPr>
        <w:ind w:firstLine="437"/>
      </w:pPr>
      <w:r>
        <w:rPr>
          <w:rFonts w:hint="eastAsia"/>
        </w:rPr>
        <w:t>五、</w:t>
      </w:r>
      <w:bookmarkStart w:id="597" w:name="_Toc59022315"/>
      <w:bookmarkStart w:id="598" w:name="_Hlk68455430"/>
      <w:r>
        <w:rPr>
          <w:rFonts w:hint="eastAsia"/>
        </w:rPr>
        <w:t>溢油事故环境影响后果分析</w:t>
      </w:r>
      <w:bookmarkEnd w:id="597"/>
    </w:p>
    <w:p w14:paraId="6673F356">
      <w:pPr>
        <w:ind w:firstLine="437"/>
      </w:pPr>
      <w:r>
        <w:t>以溢油对水域环境（海面和水体）及岸线的污染作为油类的代表性环境风险，根据海面油膜厚度、水体油品含量和着岸溢油量作为的评价指标，采用《中国海上船舶溢油应急计划》研究中的影响评价指标判断影响程度，进行环境风险定性、定量评价。</w:t>
      </w:r>
    </w:p>
    <w:p w14:paraId="094B22E1">
      <w:pPr>
        <w:pStyle w:val="7"/>
      </w:pPr>
      <w:r>
        <w:t>溢油归宿状态六级环境污染影响程度的评价指标</w:t>
      </w:r>
    </w:p>
    <w:tbl>
      <w:tblPr>
        <w:tblStyle w:val="88"/>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55"/>
        <w:gridCol w:w="627"/>
        <w:gridCol w:w="992"/>
        <w:gridCol w:w="1416"/>
        <w:gridCol w:w="1335"/>
        <w:gridCol w:w="1290"/>
        <w:gridCol w:w="1055"/>
        <w:gridCol w:w="1052"/>
      </w:tblGrid>
      <w:tr w14:paraId="3DB6F23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cantSplit/>
          <w:trHeight w:val="410" w:hRule="atLeast"/>
          <w:jc w:val="center"/>
        </w:trPr>
        <w:tc>
          <w:tcPr>
            <w:tcW w:w="1382" w:type="dxa"/>
            <w:gridSpan w:val="2"/>
            <w:tcBorders>
              <w:top w:val="single" w:color="000000" w:sz="12" w:space="0"/>
              <w:left w:val="single" w:color="000000" w:sz="12" w:space="0"/>
              <w:bottom w:val="single" w:color="auto" w:sz="4" w:space="0"/>
              <w:right w:val="single" w:color="auto" w:sz="4" w:space="0"/>
              <w:tl2br w:val="single" w:color="000000" w:sz="6" w:space="0"/>
            </w:tcBorders>
            <w:vAlign w:val="center"/>
          </w:tcPr>
          <w:p w14:paraId="2285D626">
            <w:pPr>
              <w:pStyle w:val="34"/>
            </w:pPr>
            <w:r>
              <w:t>影响程度</w:t>
            </w:r>
          </w:p>
          <w:p w14:paraId="0375436E">
            <w:pPr>
              <w:pStyle w:val="34"/>
            </w:pPr>
            <w:r>
              <w:t>归宿状态</w:t>
            </w:r>
          </w:p>
        </w:tc>
        <w:tc>
          <w:tcPr>
            <w:tcW w:w="992" w:type="dxa"/>
            <w:tcBorders>
              <w:top w:val="single" w:color="000000" w:sz="12" w:space="0"/>
              <w:left w:val="single" w:color="auto" w:sz="4" w:space="0"/>
              <w:bottom w:val="single" w:color="auto" w:sz="4" w:space="0"/>
              <w:right w:val="single" w:color="auto" w:sz="4" w:space="0"/>
            </w:tcBorders>
            <w:vAlign w:val="center"/>
          </w:tcPr>
          <w:p w14:paraId="44A87B59">
            <w:pPr>
              <w:pStyle w:val="34"/>
            </w:pPr>
            <w:r>
              <w:t>极重污染</w:t>
            </w:r>
          </w:p>
        </w:tc>
        <w:tc>
          <w:tcPr>
            <w:tcW w:w="1416" w:type="dxa"/>
            <w:tcBorders>
              <w:top w:val="single" w:color="000000" w:sz="12" w:space="0"/>
              <w:left w:val="single" w:color="auto" w:sz="4" w:space="0"/>
              <w:bottom w:val="single" w:color="auto" w:sz="4" w:space="0"/>
              <w:right w:val="single" w:color="auto" w:sz="4" w:space="0"/>
            </w:tcBorders>
            <w:vAlign w:val="center"/>
          </w:tcPr>
          <w:p w14:paraId="0E90DB81">
            <w:pPr>
              <w:pStyle w:val="34"/>
            </w:pPr>
            <w:r>
              <w:t>严重污染</w:t>
            </w:r>
          </w:p>
        </w:tc>
        <w:tc>
          <w:tcPr>
            <w:tcW w:w="1335" w:type="dxa"/>
            <w:tcBorders>
              <w:top w:val="single" w:color="000000" w:sz="12" w:space="0"/>
              <w:left w:val="single" w:color="auto" w:sz="4" w:space="0"/>
              <w:bottom w:val="single" w:color="auto" w:sz="4" w:space="0"/>
              <w:right w:val="single" w:color="auto" w:sz="4" w:space="0"/>
            </w:tcBorders>
            <w:vAlign w:val="center"/>
          </w:tcPr>
          <w:p w14:paraId="664192FE">
            <w:pPr>
              <w:pStyle w:val="34"/>
            </w:pPr>
            <w:r>
              <w:t>中度污染</w:t>
            </w:r>
          </w:p>
        </w:tc>
        <w:tc>
          <w:tcPr>
            <w:tcW w:w="1290" w:type="dxa"/>
            <w:tcBorders>
              <w:top w:val="single" w:color="000000" w:sz="12" w:space="0"/>
              <w:left w:val="single" w:color="auto" w:sz="4" w:space="0"/>
              <w:bottom w:val="single" w:color="auto" w:sz="4" w:space="0"/>
              <w:right w:val="single" w:color="auto" w:sz="4" w:space="0"/>
            </w:tcBorders>
            <w:vAlign w:val="center"/>
          </w:tcPr>
          <w:p w14:paraId="7CB0FDC6">
            <w:pPr>
              <w:pStyle w:val="34"/>
            </w:pPr>
            <w:r>
              <w:t>轻度污染</w:t>
            </w:r>
          </w:p>
        </w:tc>
        <w:tc>
          <w:tcPr>
            <w:tcW w:w="1055" w:type="dxa"/>
            <w:tcBorders>
              <w:top w:val="single" w:color="000000" w:sz="12" w:space="0"/>
              <w:left w:val="single" w:color="auto" w:sz="4" w:space="0"/>
              <w:bottom w:val="single" w:color="auto" w:sz="4" w:space="0"/>
              <w:right w:val="single" w:color="auto" w:sz="4" w:space="0"/>
            </w:tcBorders>
            <w:vAlign w:val="center"/>
          </w:tcPr>
          <w:p w14:paraId="2D049D87">
            <w:pPr>
              <w:pStyle w:val="34"/>
            </w:pPr>
            <w:r>
              <w:t>一般影响</w:t>
            </w:r>
          </w:p>
        </w:tc>
        <w:tc>
          <w:tcPr>
            <w:tcW w:w="1052" w:type="dxa"/>
            <w:tcBorders>
              <w:top w:val="single" w:color="000000" w:sz="12" w:space="0"/>
              <w:left w:val="single" w:color="auto" w:sz="4" w:space="0"/>
              <w:bottom w:val="single" w:color="auto" w:sz="4" w:space="0"/>
              <w:right w:val="single" w:color="000000" w:sz="12" w:space="0"/>
            </w:tcBorders>
            <w:vAlign w:val="center"/>
          </w:tcPr>
          <w:p w14:paraId="251BFC9E">
            <w:pPr>
              <w:pStyle w:val="34"/>
            </w:pPr>
            <w:r>
              <w:t>轻度影响</w:t>
            </w:r>
          </w:p>
        </w:tc>
      </w:tr>
      <w:tr w14:paraId="17F7041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755" w:type="dxa"/>
            <w:vMerge w:val="restart"/>
            <w:tcBorders>
              <w:top w:val="single" w:color="auto" w:sz="4" w:space="0"/>
              <w:left w:val="single" w:color="000000" w:sz="12" w:space="0"/>
              <w:bottom w:val="single" w:color="auto" w:sz="4" w:space="0"/>
              <w:right w:val="single" w:color="auto" w:sz="4" w:space="0"/>
            </w:tcBorders>
            <w:vAlign w:val="center"/>
          </w:tcPr>
          <w:p w14:paraId="2E7635DE">
            <w:pPr>
              <w:pStyle w:val="34"/>
            </w:pPr>
            <w:r>
              <w:t>海面油膜厚度</w:t>
            </w:r>
          </w:p>
        </w:tc>
        <w:tc>
          <w:tcPr>
            <w:tcW w:w="627" w:type="dxa"/>
            <w:tcBorders>
              <w:top w:val="single" w:color="auto" w:sz="4" w:space="0"/>
              <w:left w:val="single" w:color="auto" w:sz="4" w:space="0"/>
              <w:bottom w:val="single" w:color="auto" w:sz="4" w:space="0"/>
              <w:right w:val="single" w:color="auto" w:sz="4" w:space="0"/>
            </w:tcBorders>
            <w:vAlign w:val="center"/>
          </w:tcPr>
          <w:p w14:paraId="07FD46FD">
            <w:pPr>
              <w:pStyle w:val="34"/>
            </w:pPr>
            <w:r>
              <w:rPr/>
              <w:sym w:font="Symbol" w:char="F06D"/>
            </w:r>
            <w:r>
              <w:t>m</w:t>
            </w:r>
          </w:p>
        </w:tc>
        <w:tc>
          <w:tcPr>
            <w:tcW w:w="992" w:type="dxa"/>
            <w:tcBorders>
              <w:top w:val="single" w:color="auto" w:sz="4" w:space="0"/>
              <w:left w:val="single" w:color="auto" w:sz="4" w:space="0"/>
              <w:bottom w:val="single" w:color="auto" w:sz="4" w:space="0"/>
              <w:right w:val="single" w:color="auto" w:sz="4" w:space="0"/>
            </w:tcBorders>
            <w:vAlign w:val="center"/>
          </w:tcPr>
          <w:p w14:paraId="1A991A60">
            <w:pPr>
              <w:pStyle w:val="34"/>
            </w:pPr>
            <w:r>
              <w:t>&gt;50</w:t>
            </w:r>
          </w:p>
        </w:tc>
        <w:tc>
          <w:tcPr>
            <w:tcW w:w="1416" w:type="dxa"/>
            <w:tcBorders>
              <w:top w:val="single" w:color="auto" w:sz="4" w:space="0"/>
              <w:left w:val="single" w:color="auto" w:sz="4" w:space="0"/>
              <w:bottom w:val="single" w:color="auto" w:sz="4" w:space="0"/>
              <w:right w:val="single" w:color="auto" w:sz="4" w:space="0"/>
            </w:tcBorders>
            <w:vAlign w:val="center"/>
          </w:tcPr>
          <w:p w14:paraId="7E958CC5">
            <w:pPr>
              <w:pStyle w:val="34"/>
            </w:pPr>
            <w:r>
              <w:t>25-50</w:t>
            </w:r>
          </w:p>
        </w:tc>
        <w:tc>
          <w:tcPr>
            <w:tcW w:w="1335" w:type="dxa"/>
            <w:tcBorders>
              <w:top w:val="single" w:color="auto" w:sz="4" w:space="0"/>
              <w:left w:val="single" w:color="auto" w:sz="4" w:space="0"/>
              <w:bottom w:val="single" w:color="auto" w:sz="4" w:space="0"/>
              <w:right w:val="single" w:color="auto" w:sz="4" w:space="0"/>
            </w:tcBorders>
            <w:vAlign w:val="center"/>
          </w:tcPr>
          <w:p w14:paraId="4A464EBD">
            <w:pPr>
              <w:pStyle w:val="34"/>
            </w:pPr>
            <w:r>
              <w:t>8-25</w:t>
            </w:r>
          </w:p>
        </w:tc>
        <w:tc>
          <w:tcPr>
            <w:tcW w:w="1290" w:type="dxa"/>
            <w:tcBorders>
              <w:top w:val="single" w:color="auto" w:sz="4" w:space="0"/>
              <w:left w:val="single" w:color="auto" w:sz="4" w:space="0"/>
              <w:bottom w:val="single" w:color="auto" w:sz="4" w:space="0"/>
              <w:right w:val="single" w:color="auto" w:sz="4" w:space="0"/>
            </w:tcBorders>
            <w:vAlign w:val="center"/>
          </w:tcPr>
          <w:p w14:paraId="0647752A">
            <w:pPr>
              <w:pStyle w:val="34"/>
            </w:pPr>
            <w:r>
              <w:t>4-8</w:t>
            </w:r>
          </w:p>
        </w:tc>
        <w:tc>
          <w:tcPr>
            <w:tcW w:w="1055" w:type="dxa"/>
            <w:tcBorders>
              <w:top w:val="single" w:color="auto" w:sz="4" w:space="0"/>
              <w:left w:val="single" w:color="auto" w:sz="4" w:space="0"/>
              <w:bottom w:val="single" w:color="auto" w:sz="4" w:space="0"/>
              <w:right w:val="single" w:color="auto" w:sz="4" w:space="0"/>
            </w:tcBorders>
            <w:vAlign w:val="center"/>
          </w:tcPr>
          <w:p w14:paraId="7E669130">
            <w:pPr>
              <w:pStyle w:val="34"/>
            </w:pPr>
            <w:r>
              <w:t>2-4</w:t>
            </w:r>
          </w:p>
        </w:tc>
        <w:tc>
          <w:tcPr>
            <w:tcW w:w="1052" w:type="dxa"/>
            <w:tcBorders>
              <w:top w:val="single" w:color="auto" w:sz="4" w:space="0"/>
              <w:left w:val="single" w:color="auto" w:sz="4" w:space="0"/>
              <w:bottom w:val="single" w:color="auto" w:sz="4" w:space="0"/>
              <w:right w:val="single" w:color="000000" w:sz="12" w:space="0"/>
            </w:tcBorders>
            <w:vAlign w:val="center"/>
          </w:tcPr>
          <w:p w14:paraId="3FDCE2D6">
            <w:pPr>
              <w:pStyle w:val="34"/>
            </w:pPr>
            <w:r>
              <w:t>1-2</w:t>
            </w:r>
          </w:p>
        </w:tc>
      </w:tr>
      <w:tr w14:paraId="1D828FF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755" w:type="dxa"/>
            <w:vMerge w:val="continue"/>
            <w:tcBorders>
              <w:top w:val="single" w:color="auto" w:sz="4" w:space="0"/>
              <w:left w:val="single" w:color="000000" w:sz="12" w:space="0"/>
              <w:bottom w:val="single" w:color="000000" w:sz="12" w:space="0"/>
              <w:right w:val="single" w:color="auto" w:sz="4" w:space="0"/>
            </w:tcBorders>
            <w:vAlign w:val="center"/>
          </w:tcPr>
          <w:p w14:paraId="7A647962">
            <w:pPr>
              <w:pStyle w:val="34"/>
            </w:pPr>
          </w:p>
        </w:tc>
        <w:tc>
          <w:tcPr>
            <w:tcW w:w="627" w:type="dxa"/>
            <w:tcBorders>
              <w:top w:val="single" w:color="auto" w:sz="4" w:space="0"/>
              <w:left w:val="single" w:color="auto" w:sz="4" w:space="0"/>
              <w:bottom w:val="single" w:color="000000" w:sz="12" w:space="0"/>
              <w:right w:val="single" w:color="auto" w:sz="4" w:space="0"/>
            </w:tcBorders>
            <w:vAlign w:val="center"/>
          </w:tcPr>
          <w:p w14:paraId="7B91AA0C">
            <w:pPr>
              <w:pStyle w:val="34"/>
            </w:pPr>
            <w:r>
              <w:t>颜色</w:t>
            </w:r>
          </w:p>
        </w:tc>
        <w:tc>
          <w:tcPr>
            <w:tcW w:w="992" w:type="dxa"/>
            <w:tcBorders>
              <w:top w:val="single" w:color="auto" w:sz="4" w:space="0"/>
              <w:left w:val="single" w:color="auto" w:sz="4" w:space="0"/>
              <w:bottom w:val="single" w:color="000000" w:sz="12" w:space="0"/>
              <w:right w:val="single" w:color="auto" w:sz="4" w:space="0"/>
            </w:tcBorders>
            <w:vAlign w:val="center"/>
          </w:tcPr>
          <w:p w14:paraId="1E357B88">
            <w:pPr>
              <w:pStyle w:val="34"/>
            </w:pPr>
            <w:r>
              <w:t>深色</w:t>
            </w:r>
          </w:p>
        </w:tc>
        <w:tc>
          <w:tcPr>
            <w:tcW w:w="1416" w:type="dxa"/>
            <w:tcBorders>
              <w:top w:val="single" w:color="auto" w:sz="4" w:space="0"/>
              <w:left w:val="single" w:color="auto" w:sz="4" w:space="0"/>
              <w:bottom w:val="single" w:color="000000" w:sz="12" w:space="0"/>
              <w:right w:val="single" w:color="auto" w:sz="4" w:space="0"/>
            </w:tcBorders>
            <w:vAlign w:val="center"/>
          </w:tcPr>
          <w:p w14:paraId="04D0DCE9">
            <w:pPr>
              <w:pStyle w:val="34"/>
            </w:pPr>
            <w:r>
              <w:t>暗色-较深色</w:t>
            </w:r>
          </w:p>
        </w:tc>
        <w:tc>
          <w:tcPr>
            <w:tcW w:w="1335" w:type="dxa"/>
            <w:tcBorders>
              <w:top w:val="single" w:color="auto" w:sz="4" w:space="0"/>
              <w:left w:val="single" w:color="auto" w:sz="4" w:space="0"/>
              <w:bottom w:val="single" w:color="000000" w:sz="12" w:space="0"/>
              <w:right w:val="single" w:color="auto" w:sz="4" w:space="0"/>
            </w:tcBorders>
            <w:vAlign w:val="center"/>
          </w:tcPr>
          <w:p w14:paraId="5BB79B94">
            <w:pPr>
              <w:pStyle w:val="34"/>
            </w:pPr>
            <w:r>
              <w:t>亮带-浅暗色</w:t>
            </w:r>
          </w:p>
        </w:tc>
        <w:tc>
          <w:tcPr>
            <w:tcW w:w="1290" w:type="dxa"/>
            <w:tcBorders>
              <w:top w:val="single" w:color="auto" w:sz="4" w:space="0"/>
              <w:left w:val="single" w:color="auto" w:sz="4" w:space="0"/>
              <w:bottom w:val="single" w:color="000000" w:sz="12" w:space="0"/>
              <w:right w:val="single" w:color="auto" w:sz="4" w:space="0"/>
            </w:tcBorders>
            <w:vAlign w:val="center"/>
          </w:tcPr>
          <w:p w14:paraId="2DD85ACD">
            <w:pPr>
              <w:pStyle w:val="34"/>
            </w:pPr>
            <w:r>
              <w:t>能分辨轮廓</w:t>
            </w:r>
          </w:p>
        </w:tc>
        <w:tc>
          <w:tcPr>
            <w:tcW w:w="1055" w:type="dxa"/>
            <w:tcBorders>
              <w:top w:val="single" w:color="auto" w:sz="4" w:space="0"/>
              <w:left w:val="single" w:color="auto" w:sz="4" w:space="0"/>
              <w:bottom w:val="single" w:color="000000" w:sz="12" w:space="0"/>
              <w:right w:val="single" w:color="auto" w:sz="4" w:space="0"/>
            </w:tcBorders>
            <w:vAlign w:val="center"/>
          </w:tcPr>
          <w:p w14:paraId="602042BD">
            <w:pPr>
              <w:pStyle w:val="34"/>
            </w:pPr>
            <w:r>
              <w:t>银屏色</w:t>
            </w:r>
          </w:p>
        </w:tc>
        <w:tc>
          <w:tcPr>
            <w:tcW w:w="1052" w:type="dxa"/>
            <w:tcBorders>
              <w:top w:val="single" w:color="auto" w:sz="4" w:space="0"/>
              <w:left w:val="single" w:color="auto" w:sz="4" w:space="0"/>
              <w:bottom w:val="single" w:color="000000" w:sz="12" w:space="0"/>
              <w:right w:val="single" w:color="000000" w:sz="12" w:space="0"/>
            </w:tcBorders>
            <w:vAlign w:val="center"/>
          </w:tcPr>
          <w:p w14:paraId="50AD2573">
            <w:pPr>
              <w:pStyle w:val="34"/>
            </w:pPr>
            <w:r>
              <w:t>难分辨</w:t>
            </w:r>
          </w:p>
        </w:tc>
      </w:tr>
    </w:tbl>
    <w:p w14:paraId="5B627608">
      <w:pPr>
        <w:ind w:firstLine="437"/>
      </w:pPr>
      <w:r>
        <w:rPr>
          <w:rFonts w:hint="eastAsia"/>
        </w:rPr>
        <w:t>溢油点距离最近的敏感目标为钦州港青菜头南浅海滩涂养殖区，溢油最快可在5.3小时内抵达该敏感目标；项目距离周边其他生态保护目标均有一定距离，仅特殊工况下进入茅尾海可能对湾内红树林、养殖区造成影响外，溢油逸散至其他敏感目标的概率不大。</w:t>
      </w:r>
    </w:p>
    <w:p w14:paraId="320E8174">
      <w:pPr>
        <w:ind w:firstLine="437"/>
        <w:rPr>
          <w:b/>
        </w:rPr>
      </w:pPr>
      <w:r>
        <w:rPr>
          <w:rFonts w:hint="eastAsia"/>
        </w:rPr>
        <w:t>项目溢油点为近岸，对岸线的污染不容忽视，建议适度扩大近岸收油机的配备比例，可有效快速地阻止溢油对岸线造成的污染。</w:t>
      </w:r>
      <w:bookmarkEnd w:id="598"/>
      <w:bookmarkStart w:id="599" w:name="_Toc59022316"/>
    </w:p>
    <w:bookmarkEnd w:id="599"/>
    <w:p w14:paraId="65E3624F">
      <w:pPr>
        <w:pStyle w:val="6"/>
      </w:pPr>
      <w:bookmarkStart w:id="600" w:name="_Toc59022317"/>
      <w:r>
        <w:rPr>
          <w:rFonts w:hint="eastAsia"/>
        </w:rPr>
        <w:t>化学品泄漏</w:t>
      </w:r>
      <w:r>
        <w:t>风险事故影响评估</w:t>
      </w:r>
      <w:bookmarkEnd w:id="600"/>
    </w:p>
    <w:p w14:paraId="5F3F540D">
      <w:pPr>
        <w:ind w:firstLine="437"/>
      </w:pPr>
      <w:r>
        <w:rPr>
          <w:rFonts w:hint="eastAsia"/>
        </w:rPr>
        <w:t>一、化学品</w:t>
      </w:r>
      <w:r>
        <w:t>泄漏风险事故影响分析</w:t>
      </w:r>
    </w:p>
    <w:p w14:paraId="1B887162">
      <w:pPr>
        <w:ind w:firstLine="437"/>
      </w:pPr>
      <w:r>
        <w:t>由于船运事故，</w:t>
      </w:r>
      <w:r>
        <w:rPr>
          <w:rFonts w:hint="eastAsia"/>
        </w:rPr>
        <w:t>化学品</w:t>
      </w:r>
      <w:r>
        <w:t>泄漏入海后，受风、浪、流、光照、气温、水温和生物活动等因素的影响，存在着极其复杂的物理、化学和生物过程。其在海水中的扩散过程可以分为动力学过程和非动力学过程。</w:t>
      </w:r>
    </w:p>
    <w:p w14:paraId="5C727D57">
      <w:pPr>
        <w:ind w:firstLine="437"/>
      </w:pPr>
      <w:r>
        <w:rPr>
          <w:rFonts w:hint="eastAsia"/>
        </w:rPr>
        <w:t>化学品</w:t>
      </w:r>
      <w:r>
        <w:t>在海洋水体中的运动主要表现为两种过程：在平流作用下的整体位移和在剪流和湍流作用下的扩散。而持续时间较长的运动形式主要表现为平流输运和湍流扩散，这两种过程总是同时存在，通常称为“平流－扩散”问题。利用物质输运方程建立平流——扩散输运模型，即扩散浓度模型，来预测</w:t>
      </w:r>
      <w:r>
        <w:rPr>
          <w:rFonts w:hint="eastAsia"/>
        </w:rPr>
        <w:t>化学品</w:t>
      </w:r>
      <w:r>
        <w:t>泄漏入海后在海水中的扩散浓度分布。</w:t>
      </w:r>
    </w:p>
    <w:p w14:paraId="2F3F4A0C">
      <w:pPr>
        <w:ind w:firstLine="437"/>
      </w:pPr>
      <w:r>
        <w:rPr>
          <w:rFonts w:hint="eastAsia"/>
        </w:rPr>
        <w:t>化学品</w:t>
      </w:r>
      <w:r>
        <w:t>入海后的分子扩散、生物降解以及与海水互溶中的蒸发等过程，存在多种控制条件和多种复杂的变化机理，目前尚无可用于预测模式的成熟的科研成果，因此，在计算中没有涉及。根据</w:t>
      </w:r>
      <w:r>
        <w:rPr>
          <w:rFonts w:hint="eastAsia"/>
        </w:rPr>
        <w:t>《钦州港大榄坪南作业区7#、8#泊位新增危险货物集装箱项目环境影响报告书》，已对码头前沿磷酸泄漏风险事故进行影响分析，本次新增危险货物码头前沿水动力条件等与上一版环评基本一致，本次评价引用环境风险泄漏事故预测结果。</w:t>
      </w:r>
    </w:p>
    <w:p w14:paraId="2A08873A">
      <w:pPr>
        <w:ind w:firstLine="437"/>
      </w:pPr>
      <w:bookmarkStart w:id="601" w:name="_Toc59022319"/>
      <w:r>
        <w:rPr>
          <w:rFonts w:hint="eastAsia"/>
        </w:rPr>
        <w:t>二、数值计算方法</w:t>
      </w:r>
      <w:bookmarkEnd w:id="601"/>
    </w:p>
    <w:p w14:paraId="24387FE2">
      <w:pPr>
        <w:ind w:firstLine="437"/>
      </w:pPr>
      <w:r>
        <w:t>经垂向空间平均的物质输运方程为：</w:t>
      </w:r>
    </w:p>
    <w:p w14:paraId="268EC357">
      <w:pPr>
        <w:ind w:firstLine="437"/>
      </w:pPr>
      <w:r>
        <w:object>
          <v:shape id="_x0000_i1048" o:spt="75" type="#_x0000_t75" style="height:29.15pt;width:265.2pt;" o:ole="t" fillcolor="#000005" filled="f" o:preferrelative="t" stroked="f" coordsize="21600,21600">
            <v:path/>
            <v:fill on="f" focussize="0,0"/>
            <v:stroke on="f" joinstyle="miter"/>
            <v:imagedata r:id="rId197" o:title=""/>
            <o:lock v:ext="edit" aspectratio="t"/>
            <w10:wrap type="none"/>
            <w10:anchorlock/>
          </v:shape>
          <o:OLEObject Type="Embed" ProgID="Equation.3" ShapeID="_x0000_i1048" DrawAspect="Content" ObjectID="_1468075748" r:id="rId196">
            <o:LockedField>false</o:LockedField>
          </o:OLEObject>
        </w:object>
      </w:r>
    </w:p>
    <w:p w14:paraId="4DE8A9F6">
      <w:pPr>
        <w:ind w:firstLine="437"/>
      </w:pPr>
      <w:r>
        <w:t>式中：</w:t>
      </w:r>
      <w:r>
        <w:object>
          <v:shape id="_x0000_i1049" o:spt="75" type="#_x0000_t75" style="height:13.65pt;width:13.65pt;" o:ole="t" fillcolor="#000005" filled="f" o:preferrelative="t" stroked="f" coordsize="21600,21600">
            <v:path/>
            <v:fill on="f" focussize="0,0"/>
            <v:stroke on="f" joinstyle="miter"/>
            <v:imagedata r:id="rId199" o:title=""/>
            <o:lock v:ext="edit" aspectratio="t"/>
            <w10:wrap type="none"/>
            <w10:anchorlock/>
          </v:shape>
          <o:OLEObject Type="Embed" ProgID="Equation.3" ShapeID="_x0000_i1049" DrawAspect="Content" ObjectID="_1468075749" r:id="rId198">
            <o:LockedField>false</o:LockedField>
          </o:OLEObject>
        </w:object>
      </w:r>
      <w:r>
        <w:t>——入海物质浓度；</w:t>
      </w:r>
    </w:p>
    <w:p w14:paraId="71CD1589">
      <w:pPr>
        <w:ind w:firstLine="437"/>
      </w:pPr>
      <w:r>
        <w:object>
          <v:shape id="_x0000_i1050" o:spt="75" type="#_x0000_t75" style="height:13.65pt;width:20.95pt;" o:ole="t" fillcolor="#000005" filled="f" o:preferrelative="t" stroked="f" coordsize="21600,21600">
            <v:path/>
            <v:fill on="f" focussize="0,0"/>
            <v:stroke on="f" joinstyle="miter"/>
            <v:imagedata r:id="rId201" o:title=""/>
            <o:lock v:ext="edit" aspectratio="t"/>
            <w10:wrap type="none"/>
            <w10:anchorlock/>
          </v:shape>
          <o:OLEObject Type="Embed" ProgID="Equation.3" ShapeID="_x0000_i1050" DrawAspect="Content" ObjectID="_1468075750" r:id="rId200">
            <o:LockedField>false</o:LockedField>
          </o:OLEObject>
        </w:object>
      </w:r>
      <w:r>
        <w:t>——</w:t>
      </w:r>
      <w:r>
        <w:object>
          <v:shape id="_x0000_i1051" o:spt="75" type="#_x0000_t75" style="height:13.65pt;width:20.95pt;" o:ole="t" fillcolor="#000005" filled="f" o:preferrelative="t" stroked="f" coordsize="21600,21600">
            <v:path/>
            <v:fill on="f" focussize="0,0"/>
            <v:stroke on="f" joinstyle="miter"/>
            <v:imagedata r:id="rId203" o:title=""/>
            <o:lock v:ext="edit" aspectratio="t"/>
            <w10:wrap type="none"/>
            <w10:anchorlock/>
          </v:shape>
          <o:OLEObject Type="Embed" ProgID="Equation.3" ShapeID="_x0000_i1051" DrawAspect="Content" ObjectID="_1468075751" r:id="rId202">
            <o:LockedField>false</o:LockedField>
          </o:OLEObject>
        </w:object>
      </w:r>
      <w:r>
        <w:t>向流速分量；</w:t>
      </w:r>
    </w:p>
    <w:p w14:paraId="63C01A6F">
      <w:pPr>
        <w:ind w:firstLine="437"/>
      </w:pPr>
      <w:r>
        <w:object>
          <v:shape id="_x0000_i1052" o:spt="75" type="#_x0000_t75" style="height:18.25pt;width:35.55pt;" o:ole="t" fillcolor="#000005" filled="f" o:preferrelative="t" stroked="f" coordsize="21600,21600">
            <v:path/>
            <v:fill on="f" focussize="0,0"/>
            <v:stroke on="f" joinstyle="miter"/>
            <v:imagedata r:id="rId205" o:title=""/>
            <o:lock v:ext="edit" aspectratio="t"/>
            <w10:wrap type="none"/>
            <w10:anchorlock/>
          </v:shape>
          <o:OLEObject Type="Embed" ProgID="Equation.3" ShapeID="_x0000_i1052" DrawAspect="Content" ObjectID="_1468075752" r:id="rId204">
            <o:LockedField>false</o:LockedField>
          </o:OLEObject>
        </w:object>
      </w:r>
      <w:r>
        <w:t>——分散系数(dispersion coefficient)；</w:t>
      </w:r>
    </w:p>
    <w:p w14:paraId="5BC3034B">
      <w:pPr>
        <w:ind w:firstLine="437"/>
      </w:pPr>
      <w:r>
        <w:object>
          <v:shape id="_x0000_i1053" o:spt="75" type="#_x0000_t75" style="height:13.65pt;width:10.05pt;" o:ole="t" fillcolor="#000005" filled="f" o:preferrelative="t" stroked="f" coordsize="21600,21600">
            <v:path/>
            <v:fill on="f" focussize="0,0"/>
            <v:stroke on="f" joinstyle="miter"/>
            <v:imagedata r:id="rId207" o:title=""/>
            <o:lock v:ext="edit" aspectratio="t"/>
            <w10:wrap type="none"/>
            <w10:anchorlock/>
          </v:shape>
          <o:OLEObject Type="Embed" ProgID="Equation.3" ShapeID="_x0000_i1053" DrawAspect="Content" ObjectID="_1468075753" r:id="rId206">
            <o:LockedField>false</o:LockedField>
          </o:OLEObject>
        </w:object>
      </w:r>
      <w:r>
        <w:t>——入海物质源单位体积的排放速率。</w:t>
      </w:r>
    </w:p>
    <w:p w14:paraId="63622E75">
      <w:pPr>
        <w:ind w:firstLine="437"/>
      </w:pPr>
      <w:r>
        <w:t>陆边界：</w:t>
      </w:r>
      <w:r>
        <w:object>
          <v:shape id="_x0000_i1054" o:spt="75" type="#_x0000_t75" style="height:30.1pt;width:54.7pt;" o:ole="t" fillcolor="#000005" filled="f" o:preferrelative="t" stroked="f" coordsize="21600,21600">
            <v:path/>
            <v:fill on="f" focussize="0,0"/>
            <v:stroke on="f" joinstyle="miter"/>
            <v:imagedata r:id="rId209" o:title=""/>
            <o:lock v:ext="edit" aspectratio="t"/>
            <w10:wrap type="none"/>
            <w10:anchorlock/>
          </v:shape>
          <o:OLEObject Type="Embed" ProgID="Equation.3" ShapeID="_x0000_i1054" DrawAspect="Content" ObjectID="_1468075754" r:id="rId208">
            <o:LockedField>false</o:LockedField>
          </o:OLEObject>
        </w:object>
      </w:r>
    </w:p>
    <w:p w14:paraId="489D3304">
      <w:pPr>
        <w:ind w:firstLine="437"/>
      </w:pPr>
      <w:r>
        <w:t>开边界：</w:t>
      </w:r>
      <w:r>
        <w:object>
          <v:shape id="_x0000_i1055" o:spt="75" type="#_x0000_t75" style="height:13.65pt;width:35.55pt;" o:ole="t" fillcolor="#000005" filled="f" o:preferrelative="t" stroked="f" coordsize="21600,21600">
            <v:path/>
            <v:fill on="f" focussize="0,0"/>
            <v:stroke on="f" joinstyle="miter"/>
            <v:imagedata r:id="rId211" o:title=""/>
            <o:lock v:ext="edit" aspectratio="t"/>
            <w10:wrap type="none"/>
            <w10:anchorlock/>
          </v:shape>
          <o:OLEObject Type="Embed" ProgID="Equation.3" ShapeID="_x0000_i1055" DrawAspect="Content" ObjectID="_1468075755" r:id="rId210">
            <o:LockedField>false</o:LockedField>
          </o:OLEObject>
        </w:object>
      </w:r>
      <w:r>
        <w:t xml:space="preserve">              入流段</w:t>
      </w:r>
    </w:p>
    <w:p w14:paraId="51BB0B9A">
      <w:pPr>
        <w:ind w:firstLine="437"/>
      </w:pPr>
      <w:r>
        <w:object>
          <v:shape id="_x0000_i1056" o:spt="75" type="#_x0000_t75" style="height:30.1pt;width:78.4pt;" o:ole="t" fillcolor="#000005" filled="f" o:preferrelative="t" stroked="f" coordsize="21600,21600">
            <v:path/>
            <v:fill on="f" focussize="0,0"/>
            <v:stroke on="f" joinstyle="miter"/>
            <v:imagedata r:id="rId213" o:title=""/>
            <o:lock v:ext="edit" aspectratio="t"/>
            <w10:wrap type="none"/>
            <w10:anchorlock/>
          </v:shape>
          <o:OLEObject Type="Embed" ProgID="Equation.3" ShapeID="_x0000_i1056" DrawAspect="Content" ObjectID="_1468075756" r:id="rId212">
            <o:LockedField>false</o:LockedField>
          </o:OLEObject>
        </w:object>
      </w:r>
      <w:r>
        <w:t xml:space="preserve">       出流段</w:t>
      </w:r>
    </w:p>
    <w:p w14:paraId="0FB8E30C">
      <w:pPr>
        <w:ind w:firstLine="437"/>
      </w:pPr>
      <w:r>
        <w:t>初始条件可以零值起算。</w:t>
      </w:r>
    </w:p>
    <w:p w14:paraId="42EAFD81">
      <w:pPr>
        <w:ind w:firstLine="437"/>
      </w:pPr>
      <w:r>
        <w:t>对于二维模型，分散系数可采用如下的形式：</w:t>
      </w:r>
    </w:p>
    <w:p w14:paraId="4C0C15E7">
      <w:pPr>
        <w:ind w:firstLine="437"/>
      </w:pPr>
      <w:r>
        <w:object>
          <v:shape id="_x0000_i1057" o:spt="75" type="#_x0000_t75" style="height:29.15pt;width:143.1pt;" o:ole="t" fillcolor="#000005" filled="f" o:preferrelative="t" stroked="f" coordsize="21600,21600">
            <v:path/>
            <v:fill on="f" focussize="0,0"/>
            <v:stroke on="f" joinstyle="miter"/>
            <v:imagedata r:id="rId215" o:title=""/>
            <o:lock v:ext="edit" aspectratio="t"/>
            <w10:wrap type="none"/>
            <w10:anchorlock/>
          </v:shape>
          <o:OLEObject Type="Embed" ProgID="Equation.3" ShapeID="_x0000_i1057" DrawAspect="Content" ObjectID="_1468075757" r:id="rId214">
            <o:LockedField>false</o:LockedField>
          </o:OLEObject>
        </w:object>
      </w:r>
    </w:p>
    <w:p w14:paraId="06B1292C">
      <w:pPr>
        <w:ind w:firstLine="437"/>
      </w:pPr>
      <w:r>
        <w:t>式中：</w:t>
      </w:r>
      <w:r>
        <w:object>
          <v:shape id="_x0000_i1058" o:spt="75" type="#_x0000_t75" style="height:13.65pt;width:20.95pt;" o:ole="t" fillcolor="#000005" filled="f" o:preferrelative="t" stroked="f" coordsize="21600,21600">
            <v:path/>
            <v:fill on="f" focussize="0,0"/>
            <v:stroke on="f" joinstyle="miter"/>
            <v:imagedata r:id="rId217" o:title=""/>
            <o:lock v:ext="edit" aspectratio="t"/>
            <w10:wrap type="none"/>
            <w10:anchorlock/>
          </v:shape>
          <o:OLEObject Type="Embed" ProgID="Equation.3" ShapeID="_x0000_i1058" DrawAspect="Content" ObjectID="_1468075758" r:id="rId216">
            <o:LockedField>false</o:LockedField>
          </o:OLEObject>
        </w:object>
      </w:r>
      <w:r>
        <w:t>——</w:t>
      </w:r>
      <w:r>
        <w:object>
          <v:shape id="_x0000_i1059" o:spt="75" type="#_x0000_t75" style="height:17.3pt;width:26.45pt;" o:ole="t" fillcolor="#000005" filled="f" o:preferrelative="t" stroked="f" coordsize="21600,21600">
            <v:path/>
            <v:fill on="f" focussize="0,0"/>
            <v:stroke on="f" joinstyle="miter"/>
            <v:imagedata r:id="rId219" o:title=""/>
            <o:lock v:ext="edit" aspectratio="t"/>
            <w10:wrap type="none"/>
            <w10:anchorlock/>
          </v:shape>
          <o:OLEObject Type="Embed" ProgID="Equation.3" ShapeID="_x0000_i1059" DrawAspect="Content" ObjectID="_1468075759" r:id="rId218">
            <o:LockedField>false</o:LockedField>
          </o:OLEObject>
        </w:object>
      </w:r>
      <w:r>
        <w:t>向流速分量。</w:t>
      </w:r>
    </w:p>
    <w:p w14:paraId="55851FD3">
      <w:pPr>
        <w:ind w:firstLine="439"/>
        <w:rPr>
          <w:b/>
          <w:bCs/>
        </w:rPr>
      </w:pPr>
      <w:bookmarkStart w:id="602" w:name="_Toc59022320"/>
      <w:r>
        <w:rPr>
          <w:rFonts w:hint="eastAsia"/>
          <w:b/>
          <w:bCs/>
        </w:rPr>
        <w:t>三、化学品预测方案</w:t>
      </w:r>
      <w:bookmarkEnd w:id="602"/>
    </w:p>
    <w:p w14:paraId="2CB7D0F8">
      <w:pPr>
        <w:ind w:firstLine="437"/>
      </w:pPr>
      <w:r>
        <w:rPr>
          <w:rFonts w:hint="eastAsia"/>
        </w:rPr>
        <w:t>（1）</w:t>
      </w:r>
      <w:r>
        <w:t>泄漏发生点</w:t>
      </w:r>
    </w:p>
    <w:p w14:paraId="22D874FD">
      <w:pPr>
        <w:ind w:firstLine="437"/>
      </w:pPr>
      <w:r>
        <w:t>根据源项分析结果，确定</w:t>
      </w:r>
      <w:r>
        <w:rPr>
          <w:rFonts w:hint="eastAsia"/>
        </w:rPr>
        <w:t>化学品</w:t>
      </w:r>
      <w:r>
        <w:t>泄漏发生位置</w:t>
      </w:r>
      <w:r>
        <w:rPr>
          <w:rFonts w:hint="eastAsia"/>
        </w:rPr>
        <w:t>1</w:t>
      </w:r>
      <w:r>
        <w:t>个，</w:t>
      </w:r>
      <w:r>
        <w:rPr>
          <w:rFonts w:hint="eastAsia"/>
        </w:rPr>
        <w:t>为码头前沿</w:t>
      </w:r>
      <w:r>
        <w:t>，具体位置见图</w:t>
      </w:r>
      <w:r>
        <w:rPr>
          <w:rFonts w:hint="eastAsia"/>
        </w:rPr>
        <w:t>5.4-25</w:t>
      </w:r>
      <w:r>
        <w:t>所示。</w:t>
      </w:r>
    </w:p>
    <w:p w14:paraId="650CDEE8">
      <w:pPr>
        <w:ind w:firstLine="437"/>
      </w:pPr>
      <w:r>
        <w:rPr>
          <w:rFonts w:hint="eastAsia"/>
        </w:rPr>
        <w:t>（2）</w:t>
      </w:r>
      <w:r>
        <w:t xml:space="preserve"> 泄漏量</w:t>
      </w:r>
    </w:p>
    <w:p w14:paraId="39D051AF">
      <w:pPr>
        <w:ind w:firstLine="437"/>
        <w:rPr>
          <w:b/>
        </w:rPr>
      </w:pPr>
      <w:r>
        <w:t>根据源项分析，化学品泄漏的源强如下：</w:t>
      </w:r>
    </w:p>
    <w:p w14:paraId="07DA7388">
      <w:pPr>
        <w:ind w:firstLine="439"/>
        <w:rPr>
          <w:b/>
        </w:rPr>
      </w:pPr>
      <w:r>
        <w:rPr>
          <w:rFonts w:hint="eastAsia"/>
          <w:b/>
        </w:rPr>
        <w:t>①</w:t>
      </w:r>
      <w:r>
        <w:rPr>
          <w:b/>
        </w:rPr>
        <w:t>酸性物质</w:t>
      </w:r>
    </w:p>
    <w:p w14:paraId="628ECA6C">
      <w:pPr>
        <w:ind w:firstLine="437"/>
      </w:pPr>
      <w:r>
        <w:t>泄漏物品：硫酸溶液</w:t>
      </w:r>
    </w:p>
    <w:p w14:paraId="1AF87CE9">
      <w:pPr>
        <w:ind w:firstLine="437"/>
      </w:pPr>
      <w:r>
        <w:t>泄漏场景：一个独立包装（桶装）发生泄漏事故的情况</w:t>
      </w:r>
    </w:p>
    <w:p w14:paraId="49DCAACB">
      <w:pPr>
        <w:ind w:firstLine="437"/>
      </w:pPr>
      <w:r>
        <w:t>泄漏量：IBC吨桶（1t,独立包装）；</w:t>
      </w:r>
    </w:p>
    <w:p w14:paraId="319117C5">
      <w:pPr>
        <w:ind w:firstLine="437"/>
      </w:pPr>
      <w:r>
        <w:rPr>
          <w:rFonts w:hint="eastAsia"/>
        </w:rPr>
        <w:t>泄漏物品：磷酸溶液</w:t>
      </w:r>
    </w:p>
    <w:p w14:paraId="2649BB3B">
      <w:pPr>
        <w:ind w:firstLine="437"/>
      </w:pPr>
      <w:r>
        <w:rPr>
          <w:rFonts w:hint="eastAsia"/>
        </w:rPr>
        <w:t>泄漏场景：</w:t>
      </w:r>
      <w:r>
        <w:t>一个罐箱或其中一个内包装发生泄漏事故的情况。</w:t>
      </w:r>
    </w:p>
    <w:p w14:paraId="75A09807">
      <w:pPr>
        <w:ind w:firstLine="437"/>
      </w:pPr>
      <w:r>
        <w:rPr>
          <w:rFonts w:hint="eastAsia"/>
        </w:rPr>
        <w:t>泄漏量：35kg/28t；</w:t>
      </w:r>
    </w:p>
    <w:p w14:paraId="2CF53D54">
      <w:pPr>
        <w:ind w:firstLine="439"/>
        <w:rPr>
          <w:b/>
        </w:rPr>
      </w:pPr>
      <w:r>
        <w:rPr>
          <w:rFonts w:hint="eastAsia"/>
          <w:b/>
        </w:rPr>
        <w:t>②</w:t>
      </w:r>
      <w:r>
        <w:rPr>
          <w:b/>
        </w:rPr>
        <w:t>碱性物质</w:t>
      </w:r>
    </w:p>
    <w:p w14:paraId="573E91DC">
      <w:pPr>
        <w:ind w:firstLine="437"/>
      </w:pPr>
      <w:r>
        <w:t>泄漏物品：氢氧化钠</w:t>
      </w:r>
    </w:p>
    <w:p w14:paraId="166E96AA">
      <w:pPr>
        <w:ind w:firstLine="437"/>
      </w:pPr>
      <w:r>
        <w:t>泄漏场景：一个独立包装（桶装）发生泄漏事故的情况。</w:t>
      </w:r>
    </w:p>
    <w:p w14:paraId="2B96C742">
      <w:pPr>
        <w:ind w:firstLine="437"/>
      </w:pPr>
      <w:r>
        <w:t>泄漏量：400kg独立包装（桶装）；</w:t>
      </w:r>
    </w:p>
    <w:p w14:paraId="5266FE1A">
      <w:pPr>
        <w:ind w:firstLine="439"/>
        <w:rPr>
          <w:b/>
        </w:rPr>
      </w:pPr>
      <w:r>
        <w:rPr>
          <w:rFonts w:hint="eastAsia"/>
          <w:b/>
        </w:rPr>
        <w:t>③</w:t>
      </w:r>
      <w:r>
        <w:rPr>
          <w:b/>
        </w:rPr>
        <w:t>溶于水产生重金属离子的物质</w:t>
      </w:r>
    </w:p>
    <w:p w14:paraId="542EFE17">
      <w:pPr>
        <w:ind w:firstLine="437"/>
      </w:pPr>
      <w:r>
        <w:t>泄漏物品：</w:t>
      </w:r>
      <w:r>
        <w:rPr>
          <w:rFonts w:hint="eastAsia"/>
        </w:rPr>
        <w:t>硫酸镉</w:t>
      </w:r>
    </w:p>
    <w:p w14:paraId="29D69F9C">
      <w:pPr>
        <w:ind w:firstLine="437"/>
      </w:pPr>
      <w:r>
        <w:t>泄漏场景：一个独立包装（桶装）发生泄漏事故的情况。</w:t>
      </w:r>
    </w:p>
    <w:p w14:paraId="29B5E2B0">
      <w:pPr>
        <w:ind w:firstLine="437"/>
      </w:pPr>
      <w:r>
        <w:t>泄漏量：20kg独立包装（桶装）；</w:t>
      </w:r>
    </w:p>
    <w:p w14:paraId="41C64A90">
      <w:pPr>
        <w:ind w:firstLine="439"/>
        <w:rPr>
          <w:b/>
        </w:rPr>
      </w:pPr>
      <w:r>
        <w:rPr>
          <w:rFonts w:hint="eastAsia"/>
          <w:b/>
        </w:rPr>
        <w:t>④</w:t>
      </w:r>
      <w:r>
        <w:rPr>
          <w:b/>
        </w:rPr>
        <w:t>可溶有机物</w:t>
      </w:r>
    </w:p>
    <w:p w14:paraId="6F273ADF">
      <w:pPr>
        <w:ind w:firstLine="437"/>
      </w:pPr>
      <w:r>
        <w:t>泄漏物品：</w:t>
      </w:r>
      <w:bookmarkStart w:id="603" w:name="OLE_LINK170"/>
      <w:r>
        <w:rPr>
          <w:rFonts w:hint="eastAsia"/>
        </w:rPr>
        <w:t>己</w:t>
      </w:r>
      <w:r>
        <w:t>二腈</w:t>
      </w:r>
      <w:bookmarkEnd w:id="603"/>
    </w:p>
    <w:p w14:paraId="4F0A5E91">
      <w:pPr>
        <w:ind w:firstLine="437"/>
      </w:pPr>
      <w:r>
        <w:t>泄漏场景：一个独立包装（桶装）发生泄漏事故的情况。</w:t>
      </w:r>
    </w:p>
    <w:p w14:paraId="5BDACDB2">
      <w:pPr>
        <w:ind w:firstLine="437"/>
      </w:pPr>
      <w:r>
        <w:t>泄漏量：25kg独立包装（桶装）；</w:t>
      </w:r>
    </w:p>
    <w:p w14:paraId="74120A84">
      <w:pPr>
        <w:ind w:firstLine="439"/>
        <w:rPr>
          <w:b/>
        </w:rPr>
      </w:pPr>
      <w:r>
        <w:rPr>
          <w:rFonts w:hint="eastAsia"/>
          <w:b/>
        </w:rPr>
        <w:t>⑤不溶，密度＞1g/cm</w:t>
      </w:r>
      <w:r>
        <w:rPr>
          <w:rFonts w:hint="eastAsia"/>
          <w:b/>
          <w:vertAlign w:val="superscript"/>
        </w:rPr>
        <w:t>3</w:t>
      </w:r>
      <w:r>
        <w:rPr>
          <w:rFonts w:hint="eastAsia"/>
          <w:b/>
        </w:rPr>
        <w:t>固态危险货物</w:t>
      </w:r>
    </w:p>
    <w:p w14:paraId="732A5685">
      <w:pPr>
        <w:ind w:firstLine="437"/>
      </w:pPr>
      <w:r>
        <w:t>泄漏物品：硅铝铁合金粉</w:t>
      </w:r>
    </w:p>
    <w:p w14:paraId="3A463429">
      <w:pPr>
        <w:ind w:firstLine="437"/>
      </w:pPr>
      <w:r>
        <w:t>泄漏场景：一个独立包装（桶装）发生泄漏事故的情况。</w:t>
      </w:r>
    </w:p>
    <w:p w14:paraId="324BEEE0">
      <w:pPr>
        <w:ind w:firstLine="437"/>
      </w:pPr>
      <w:r>
        <w:t>泄漏量：IBC吨桶（1t,独立包装）</w:t>
      </w:r>
    </w:p>
    <w:p w14:paraId="78A160C4">
      <w:pPr>
        <w:pStyle w:val="7"/>
      </w:pPr>
      <w:r>
        <w:rPr>
          <w:rFonts w:hint="eastAsia"/>
        </w:rPr>
        <w:t>化学品泄漏源强</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44"/>
        <w:gridCol w:w="2216"/>
        <w:gridCol w:w="4225"/>
        <w:gridCol w:w="1537"/>
      </w:tblGrid>
      <w:tr w14:paraId="65A5D8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exact"/>
          <w:jc w:val="center"/>
        </w:trPr>
        <w:tc>
          <w:tcPr>
            <w:tcW w:w="544" w:type="dxa"/>
            <w:vMerge w:val="restart"/>
            <w:vAlign w:val="center"/>
          </w:tcPr>
          <w:p w14:paraId="620A4A1E">
            <w:pPr>
              <w:pStyle w:val="34"/>
            </w:pPr>
            <w:r>
              <w:t>源强</w:t>
            </w:r>
          </w:p>
        </w:tc>
        <w:tc>
          <w:tcPr>
            <w:tcW w:w="2216" w:type="dxa"/>
            <w:vAlign w:val="center"/>
          </w:tcPr>
          <w:p w14:paraId="3FCA581C">
            <w:pPr>
              <w:pStyle w:val="34"/>
            </w:pPr>
            <w:r>
              <w:t>磷酸</w:t>
            </w:r>
          </w:p>
        </w:tc>
        <w:tc>
          <w:tcPr>
            <w:tcW w:w="4225" w:type="dxa"/>
            <w:vAlign w:val="center"/>
          </w:tcPr>
          <w:p w14:paraId="50A303A3">
            <w:pPr>
              <w:pStyle w:val="34"/>
            </w:pPr>
            <w:r>
              <w:t>35kg/28t（独立包装35kg；箱罐最大28t）</w:t>
            </w:r>
          </w:p>
        </w:tc>
        <w:tc>
          <w:tcPr>
            <w:tcW w:w="1537" w:type="dxa"/>
            <w:vAlign w:val="center"/>
          </w:tcPr>
          <w:p w14:paraId="18CF5969">
            <w:pPr>
              <w:pStyle w:val="34"/>
            </w:pPr>
            <w:r>
              <w:rPr>
                <w:rFonts w:hint="eastAsia"/>
              </w:rPr>
              <w:t xml:space="preserve">离子浓度 </w:t>
            </w:r>
          </w:p>
        </w:tc>
      </w:tr>
      <w:tr w14:paraId="4ABE0E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exact"/>
          <w:jc w:val="center"/>
        </w:trPr>
        <w:tc>
          <w:tcPr>
            <w:tcW w:w="544" w:type="dxa"/>
            <w:vMerge w:val="continue"/>
            <w:vAlign w:val="center"/>
          </w:tcPr>
          <w:p w14:paraId="267A16A6">
            <w:pPr>
              <w:pStyle w:val="34"/>
            </w:pPr>
          </w:p>
        </w:tc>
        <w:tc>
          <w:tcPr>
            <w:tcW w:w="2216" w:type="dxa"/>
            <w:vAlign w:val="center"/>
          </w:tcPr>
          <w:p w14:paraId="34C3954E">
            <w:pPr>
              <w:pStyle w:val="34"/>
            </w:pPr>
            <w:r>
              <w:rPr>
                <w:rFonts w:hint="eastAsia"/>
              </w:rPr>
              <w:t>硫酸</w:t>
            </w:r>
          </w:p>
        </w:tc>
        <w:tc>
          <w:tcPr>
            <w:tcW w:w="4225" w:type="dxa"/>
            <w:vAlign w:val="center"/>
          </w:tcPr>
          <w:p w14:paraId="4E439140">
            <w:pPr>
              <w:pStyle w:val="34"/>
            </w:pPr>
            <w:r>
              <w:t>1t（IBC吨桶</w:t>
            </w:r>
            <w:r>
              <w:rPr>
                <w:rFonts w:hint="eastAsia"/>
              </w:rPr>
              <w:t>，独立包装）</w:t>
            </w:r>
          </w:p>
        </w:tc>
        <w:tc>
          <w:tcPr>
            <w:tcW w:w="1537" w:type="dxa"/>
            <w:vAlign w:val="center"/>
          </w:tcPr>
          <w:p w14:paraId="11281BC5">
            <w:pPr>
              <w:pStyle w:val="34"/>
            </w:pPr>
            <w:r>
              <w:rPr>
                <w:rFonts w:hint="eastAsia"/>
              </w:rPr>
              <w:t>离子浓度</w:t>
            </w:r>
          </w:p>
        </w:tc>
      </w:tr>
      <w:tr w14:paraId="6DE9AD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exact"/>
          <w:jc w:val="center"/>
        </w:trPr>
        <w:tc>
          <w:tcPr>
            <w:tcW w:w="544" w:type="dxa"/>
            <w:vMerge w:val="continue"/>
            <w:vAlign w:val="center"/>
          </w:tcPr>
          <w:p w14:paraId="782D5552">
            <w:pPr>
              <w:pStyle w:val="34"/>
            </w:pPr>
          </w:p>
        </w:tc>
        <w:tc>
          <w:tcPr>
            <w:tcW w:w="2216" w:type="dxa"/>
            <w:vAlign w:val="center"/>
          </w:tcPr>
          <w:p w14:paraId="7E2F13C3">
            <w:pPr>
              <w:pStyle w:val="34"/>
            </w:pPr>
            <w:r>
              <w:t>氢氧化钠（固体）</w:t>
            </w:r>
          </w:p>
        </w:tc>
        <w:tc>
          <w:tcPr>
            <w:tcW w:w="4225" w:type="dxa"/>
            <w:vAlign w:val="center"/>
          </w:tcPr>
          <w:p w14:paraId="6F160C1C">
            <w:pPr>
              <w:pStyle w:val="34"/>
            </w:pPr>
            <w:r>
              <w:t>400kg（集装箱一个独立包装泄漏）</w:t>
            </w:r>
          </w:p>
        </w:tc>
        <w:tc>
          <w:tcPr>
            <w:tcW w:w="1537" w:type="dxa"/>
            <w:vAlign w:val="center"/>
          </w:tcPr>
          <w:p w14:paraId="3BDB7A25">
            <w:pPr>
              <w:pStyle w:val="34"/>
            </w:pPr>
            <w:r>
              <w:rPr>
                <w:rFonts w:hint="eastAsia"/>
              </w:rPr>
              <w:t>离子浓度</w:t>
            </w:r>
          </w:p>
        </w:tc>
      </w:tr>
      <w:tr w14:paraId="585588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exact"/>
          <w:jc w:val="center"/>
        </w:trPr>
        <w:tc>
          <w:tcPr>
            <w:tcW w:w="544" w:type="dxa"/>
            <w:vMerge w:val="continue"/>
            <w:vAlign w:val="center"/>
          </w:tcPr>
          <w:p w14:paraId="38B367A4">
            <w:pPr>
              <w:pStyle w:val="34"/>
            </w:pPr>
          </w:p>
        </w:tc>
        <w:tc>
          <w:tcPr>
            <w:tcW w:w="2216" w:type="dxa"/>
            <w:vAlign w:val="center"/>
          </w:tcPr>
          <w:p w14:paraId="559BD69E">
            <w:pPr>
              <w:pStyle w:val="34"/>
            </w:pPr>
            <w:r>
              <w:rPr>
                <w:rFonts w:hint="eastAsia"/>
              </w:rPr>
              <w:t>硫酸镉</w:t>
            </w:r>
          </w:p>
        </w:tc>
        <w:tc>
          <w:tcPr>
            <w:tcW w:w="4225" w:type="dxa"/>
            <w:vAlign w:val="center"/>
          </w:tcPr>
          <w:p w14:paraId="568555A5">
            <w:pPr>
              <w:pStyle w:val="34"/>
            </w:pPr>
            <w:r>
              <w:rPr>
                <w:rFonts w:hint="eastAsia"/>
              </w:rPr>
              <w:t>20kg（独立包装）</w:t>
            </w:r>
          </w:p>
        </w:tc>
        <w:tc>
          <w:tcPr>
            <w:tcW w:w="1537" w:type="dxa"/>
            <w:vAlign w:val="center"/>
          </w:tcPr>
          <w:p w14:paraId="54338A82">
            <w:pPr>
              <w:pStyle w:val="34"/>
            </w:pPr>
            <w:r>
              <w:rPr>
                <w:rFonts w:hint="eastAsia"/>
              </w:rPr>
              <w:t>重金属离子</w:t>
            </w:r>
          </w:p>
        </w:tc>
      </w:tr>
      <w:tr w14:paraId="2D259C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exact"/>
          <w:jc w:val="center"/>
        </w:trPr>
        <w:tc>
          <w:tcPr>
            <w:tcW w:w="544" w:type="dxa"/>
            <w:vMerge w:val="continue"/>
            <w:vAlign w:val="center"/>
          </w:tcPr>
          <w:p w14:paraId="646EDA32">
            <w:pPr>
              <w:pStyle w:val="34"/>
            </w:pPr>
          </w:p>
        </w:tc>
        <w:tc>
          <w:tcPr>
            <w:tcW w:w="2216" w:type="dxa"/>
            <w:vAlign w:val="center"/>
          </w:tcPr>
          <w:p w14:paraId="0BB59E50">
            <w:pPr>
              <w:pStyle w:val="34"/>
            </w:pPr>
            <w:r>
              <w:rPr>
                <w:rFonts w:hint="eastAsia"/>
              </w:rPr>
              <w:t>己二腈</w:t>
            </w:r>
          </w:p>
        </w:tc>
        <w:tc>
          <w:tcPr>
            <w:tcW w:w="4225" w:type="dxa"/>
            <w:vAlign w:val="center"/>
          </w:tcPr>
          <w:p w14:paraId="518716FD">
            <w:pPr>
              <w:pStyle w:val="34"/>
            </w:pPr>
            <w:r>
              <w:rPr>
                <w:rFonts w:hint="eastAsia"/>
              </w:rPr>
              <w:t>25kg（独立包装）</w:t>
            </w:r>
          </w:p>
        </w:tc>
        <w:tc>
          <w:tcPr>
            <w:tcW w:w="1537" w:type="dxa"/>
            <w:vAlign w:val="center"/>
          </w:tcPr>
          <w:p w14:paraId="4689BD07">
            <w:pPr>
              <w:pStyle w:val="34"/>
            </w:pPr>
            <w:r>
              <w:rPr>
                <w:rFonts w:hint="eastAsia"/>
              </w:rPr>
              <w:t>生物毒性</w:t>
            </w:r>
          </w:p>
        </w:tc>
      </w:tr>
      <w:tr w14:paraId="5B57AA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exact"/>
          <w:jc w:val="center"/>
        </w:trPr>
        <w:tc>
          <w:tcPr>
            <w:tcW w:w="544" w:type="dxa"/>
            <w:vMerge w:val="continue"/>
            <w:vAlign w:val="center"/>
          </w:tcPr>
          <w:p w14:paraId="16F45D84">
            <w:pPr>
              <w:pStyle w:val="34"/>
            </w:pPr>
          </w:p>
        </w:tc>
        <w:tc>
          <w:tcPr>
            <w:tcW w:w="2216" w:type="dxa"/>
            <w:vAlign w:val="center"/>
          </w:tcPr>
          <w:p w14:paraId="37B44794">
            <w:pPr>
              <w:pStyle w:val="34"/>
            </w:pPr>
            <w:r>
              <w:rPr>
                <w:rFonts w:hint="eastAsia"/>
              </w:rPr>
              <w:t>硅铝铁合金粉</w:t>
            </w:r>
          </w:p>
        </w:tc>
        <w:tc>
          <w:tcPr>
            <w:tcW w:w="4225" w:type="dxa"/>
            <w:vAlign w:val="center"/>
          </w:tcPr>
          <w:p w14:paraId="1A2ABC34">
            <w:pPr>
              <w:pStyle w:val="34"/>
            </w:pPr>
            <w:r>
              <w:t>1t（IBC吨桶</w:t>
            </w:r>
            <w:r>
              <w:rPr>
                <w:rFonts w:hint="eastAsia"/>
              </w:rPr>
              <w:t>，独立包装）</w:t>
            </w:r>
          </w:p>
        </w:tc>
        <w:tc>
          <w:tcPr>
            <w:tcW w:w="1537" w:type="dxa"/>
            <w:vAlign w:val="center"/>
          </w:tcPr>
          <w:p w14:paraId="7482DCA5">
            <w:pPr>
              <w:pStyle w:val="34"/>
            </w:pPr>
            <w:r>
              <w:rPr>
                <w:rFonts w:hint="eastAsia"/>
              </w:rPr>
              <w:t>粉末颗粒扩散</w:t>
            </w:r>
          </w:p>
        </w:tc>
      </w:tr>
    </w:tbl>
    <w:p w14:paraId="4D2BC426">
      <w:pPr>
        <w:ind w:firstLine="437"/>
      </w:pPr>
      <w:bookmarkStart w:id="604" w:name="_Toc59022321"/>
      <w:r>
        <w:rPr>
          <w:rFonts w:hint="eastAsia"/>
        </w:rPr>
        <w:t>四、化学品</w:t>
      </w:r>
      <w:r>
        <w:t>泄漏数值计算结果与分析</w:t>
      </w:r>
      <w:bookmarkEnd w:id="604"/>
    </w:p>
    <w:p w14:paraId="2310D0A8">
      <w:pPr>
        <w:ind w:firstLine="437"/>
      </w:pPr>
      <w:bookmarkStart w:id="605" w:name="_Toc59022322"/>
      <w:bookmarkStart w:id="606" w:name="_Hlk68455581"/>
      <w:r>
        <w:rPr>
          <w:rFonts w:hint="eastAsia"/>
        </w:rPr>
        <w:t>1、磷酸数值计算结果与分析</w:t>
      </w:r>
      <w:bookmarkEnd w:id="605"/>
    </w:p>
    <w:p w14:paraId="3902BB9B">
      <w:pPr>
        <w:ind w:firstLine="437"/>
      </w:pPr>
      <w:r>
        <w:rPr>
          <w:rFonts w:hint="eastAsia"/>
        </w:rPr>
        <w:t>一般事故泄露 35kg情形下，磷酸泄漏入海影响水域的扩散距离和包络面积见表5.4-30；从表5.4-30可以看出，一般事故情形下，可溶性化学品泄露对项目所在海域的海洋环境影响较小。</w:t>
      </w:r>
    </w:p>
    <w:p w14:paraId="38E3FFDA">
      <w:pPr>
        <w:pStyle w:val="7"/>
      </w:pPr>
      <w:r>
        <w:rPr>
          <w:rFonts w:hint="eastAsia"/>
        </w:rPr>
        <w:t>一般事故下（35kg）磷酸泄漏入海影响水域的扩散距离与包络面积</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52"/>
        <w:gridCol w:w="1155"/>
        <w:gridCol w:w="1156"/>
        <w:gridCol w:w="1127"/>
        <w:gridCol w:w="1127"/>
        <w:gridCol w:w="977"/>
        <w:gridCol w:w="1128"/>
      </w:tblGrid>
      <w:tr w14:paraId="33DA26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vMerge w:val="restart"/>
            <w:vAlign w:val="center"/>
          </w:tcPr>
          <w:p w14:paraId="1DDB202B">
            <w:pPr>
              <w:pStyle w:val="34"/>
            </w:pPr>
            <w:r>
              <w:rPr>
                <w:rFonts w:hint="eastAsia"/>
              </w:rPr>
              <w:t>指标</w:t>
            </w:r>
          </w:p>
        </w:tc>
        <w:tc>
          <w:tcPr>
            <w:tcW w:w="2311" w:type="dxa"/>
            <w:gridSpan w:val="2"/>
            <w:vMerge w:val="restart"/>
            <w:vAlign w:val="center"/>
          </w:tcPr>
          <w:p w14:paraId="7A6DE084">
            <w:pPr>
              <w:pStyle w:val="34"/>
            </w:pPr>
            <w:r>
              <w:rPr>
                <w:rFonts w:hint="eastAsia"/>
              </w:rPr>
              <w:t>包络面积（km</w:t>
            </w:r>
            <w:r>
              <w:rPr>
                <w:rFonts w:hint="eastAsia"/>
                <w:vertAlign w:val="superscript"/>
              </w:rPr>
              <w:t>2</w:t>
            </w:r>
            <w:r>
              <w:rPr>
                <w:rFonts w:hint="eastAsia"/>
              </w:rPr>
              <w:t>）</w:t>
            </w:r>
          </w:p>
        </w:tc>
        <w:tc>
          <w:tcPr>
            <w:tcW w:w="4359" w:type="dxa"/>
            <w:gridSpan w:val="4"/>
          </w:tcPr>
          <w:p w14:paraId="644B326B">
            <w:pPr>
              <w:pStyle w:val="34"/>
            </w:pPr>
            <w:r>
              <w:rPr>
                <w:rFonts w:hint="eastAsia"/>
              </w:rPr>
              <w:t>最远扩散距离（km），泄漏点起算</w:t>
            </w:r>
          </w:p>
        </w:tc>
      </w:tr>
      <w:tr w14:paraId="22AD49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vMerge w:val="continue"/>
          </w:tcPr>
          <w:p w14:paraId="5303474D">
            <w:pPr>
              <w:pStyle w:val="34"/>
            </w:pPr>
          </w:p>
        </w:tc>
        <w:tc>
          <w:tcPr>
            <w:tcW w:w="2311" w:type="dxa"/>
            <w:gridSpan w:val="2"/>
            <w:vMerge w:val="continue"/>
          </w:tcPr>
          <w:p w14:paraId="3FD33029">
            <w:pPr>
              <w:pStyle w:val="34"/>
            </w:pPr>
          </w:p>
        </w:tc>
        <w:tc>
          <w:tcPr>
            <w:tcW w:w="2254" w:type="dxa"/>
            <w:gridSpan w:val="2"/>
          </w:tcPr>
          <w:p w14:paraId="23EB70E9">
            <w:pPr>
              <w:pStyle w:val="34"/>
            </w:pPr>
            <w:r>
              <w:rPr>
                <w:rFonts w:hint="eastAsia"/>
              </w:rPr>
              <w:t>偏北向</w:t>
            </w:r>
          </w:p>
        </w:tc>
        <w:tc>
          <w:tcPr>
            <w:tcW w:w="2105" w:type="dxa"/>
            <w:gridSpan w:val="2"/>
          </w:tcPr>
          <w:p w14:paraId="1A575039">
            <w:pPr>
              <w:pStyle w:val="34"/>
            </w:pPr>
            <w:r>
              <w:rPr>
                <w:rFonts w:hint="eastAsia"/>
              </w:rPr>
              <w:t>偏南向</w:t>
            </w:r>
          </w:p>
        </w:tc>
      </w:tr>
      <w:tr w14:paraId="26C13F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6CE25B26">
            <w:pPr>
              <w:pStyle w:val="34"/>
            </w:pPr>
            <w:r>
              <w:rPr>
                <w:rFonts w:hint="eastAsia"/>
              </w:rPr>
              <w:t>泄漏潮流</w:t>
            </w:r>
          </w:p>
        </w:tc>
        <w:tc>
          <w:tcPr>
            <w:tcW w:w="1155" w:type="dxa"/>
          </w:tcPr>
          <w:p w14:paraId="42CFBFE2">
            <w:pPr>
              <w:pStyle w:val="34"/>
            </w:pPr>
            <w:r>
              <w:rPr>
                <w:rFonts w:hint="eastAsia"/>
              </w:rPr>
              <w:t>涨潮</w:t>
            </w:r>
          </w:p>
        </w:tc>
        <w:tc>
          <w:tcPr>
            <w:tcW w:w="1156" w:type="dxa"/>
          </w:tcPr>
          <w:p w14:paraId="37011D57">
            <w:pPr>
              <w:pStyle w:val="34"/>
            </w:pPr>
            <w:r>
              <w:rPr>
                <w:rFonts w:hint="eastAsia"/>
              </w:rPr>
              <w:t>落潮</w:t>
            </w:r>
          </w:p>
        </w:tc>
        <w:tc>
          <w:tcPr>
            <w:tcW w:w="1127" w:type="dxa"/>
          </w:tcPr>
          <w:p w14:paraId="40CF5D16">
            <w:pPr>
              <w:pStyle w:val="34"/>
            </w:pPr>
            <w:r>
              <w:rPr>
                <w:rFonts w:hint="eastAsia"/>
              </w:rPr>
              <w:t>涨潮</w:t>
            </w:r>
          </w:p>
        </w:tc>
        <w:tc>
          <w:tcPr>
            <w:tcW w:w="1127" w:type="dxa"/>
          </w:tcPr>
          <w:p w14:paraId="6E32DD98">
            <w:pPr>
              <w:pStyle w:val="34"/>
            </w:pPr>
            <w:r>
              <w:rPr>
                <w:rFonts w:hint="eastAsia"/>
              </w:rPr>
              <w:t>落潮</w:t>
            </w:r>
          </w:p>
        </w:tc>
        <w:tc>
          <w:tcPr>
            <w:tcW w:w="977" w:type="dxa"/>
          </w:tcPr>
          <w:p w14:paraId="306C10CC">
            <w:pPr>
              <w:pStyle w:val="34"/>
            </w:pPr>
            <w:r>
              <w:rPr>
                <w:rFonts w:hint="eastAsia"/>
              </w:rPr>
              <w:t>涨潮</w:t>
            </w:r>
          </w:p>
        </w:tc>
        <w:tc>
          <w:tcPr>
            <w:tcW w:w="1128" w:type="dxa"/>
          </w:tcPr>
          <w:p w14:paraId="3CCD3043">
            <w:pPr>
              <w:pStyle w:val="34"/>
            </w:pPr>
            <w:r>
              <w:rPr>
                <w:rFonts w:hint="eastAsia"/>
              </w:rPr>
              <w:t>落潮</w:t>
            </w:r>
          </w:p>
        </w:tc>
      </w:tr>
      <w:tr w14:paraId="04AD48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5E9F7EB9">
            <w:pPr>
              <w:pStyle w:val="34"/>
            </w:pPr>
            <w:r>
              <w:rPr>
                <w:rFonts w:hint="eastAsia"/>
              </w:rPr>
              <w:t>＞0.001</w:t>
            </w:r>
            <w:r>
              <w:t>mg/L</w:t>
            </w:r>
          </w:p>
        </w:tc>
        <w:tc>
          <w:tcPr>
            <w:tcW w:w="1155" w:type="dxa"/>
          </w:tcPr>
          <w:p w14:paraId="27CD5FB7">
            <w:pPr>
              <w:pStyle w:val="34"/>
            </w:pPr>
            <w:r>
              <w:rPr>
                <w:rFonts w:hint="eastAsia"/>
              </w:rPr>
              <w:t>0.780</w:t>
            </w:r>
          </w:p>
        </w:tc>
        <w:tc>
          <w:tcPr>
            <w:tcW w:w="1156" w:type="dxa"/>
          </w:tcPr>
          <w:p w14:paraId="0CDDC786">
            <w:pPr>
              <w:pStyle w:val="34"/>
            </w:pPr>
            <w:r>
              <w:rPr>
                <w:rFonts w:hint="eastAsia"/>
              </w:rPr>
              <w:t>0.405</w:t>
            </w:r>
          </w:p>
        </w:tc>
        <w:tc>
          <w:tcPr>
            <w:tcW w:w="1127" w:type="dxa"/>
          </w:tcPr>
          <w:p w14:paraId="333C2391">
            <w:pPr>
              <w:pStyle w:val="34"/>
            </w:pPr>
            <w:r>
              <w:rPr>
                <w:rFonts w:hint="eastAsia"/>
              </w:rPr>
              <w:t>8.459</w:t>
            </w:r>
          </w:p>
        </w:tc>
        <w:tc>
          <w:tcPr>
            <w:tcW w:w="1127" w:type="dxa"/>
          </w:tcPr>
          <w:p w14:paraId="252D3AE2">
            <w:pPr>
              <w:pStyle w:val="34"/>
            </w:pPr>
            <w:r>
              <w:rPr>
                <w:rFonts w:hint="eastAsia"/>
              </w:rPr>
              <w:t>4.926</w:t>
            </w:r>
          </w:p>
        </w:tc>
        <w:tc>
          <w:tcPr>
            <w:tcW w:w="977" w:type="dxa"/>
          </w:tcPr>
          <w:p w14:paraId="5338B556">
            <w:pPr>
              <w:pStyle w:val="34"/>
            </w:pPr>
            <w:r>
              <w:rPr>
                <w:rFonts w:hint="eastAsia"/>
              </w:rPr>
              <w:t>5.462</w:t>
            </w:r>
          </w:p>
        </w:tc>
        <w:tc>
          <w:tcPr>
            <w:tcW w:w="1128" w:type="dxa"/>
          </w:tcPr>
          <w:p w14:paraId="419177CA">
            <w:pPr>
              <w:pStyle w:val="34"/>
            </w:pPr>
            <w:r>
              <w:rPr>
                <w:rFonts w:hint="eastAsia"/>
              </w:rPr>
              <w:t>6.992</w:t>
            </w:r>
          </w:p>
        </w:tc>
      </w:tr>
      <w:tr w14:paraId="788D44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06B64D8D">
            <w:pPr>
              <w:pStyle w:val="34"/>
            </w:pPr>
            <w:r>
              <w:rPr>
                <w:rFonts w:hint="eastAsia"/>
              </w:rPr>
              <w:t>＞0.01</w:t>
            </w:r>
            <w:r>
              <w:t>mg/L</w:t>
            </w:r>
          </w:p>
        </w:tc>
        <w:tc>
          <w:tcPr>
            <w:tcW w:w="1155" w:type="dxa"/>
          </w:tcPr>
          <w:p w14:paraId="1AC9C8FB">
            <w:pPr>
              <w:pStyle w:val="34"/>
            </w:pPr>
            <w:r>
              <w:rPr>
                <w:rFonts w:hint="eastAsia"/>
              </w:rPr>
              <w:t>0.060</w:t>
            </w:r>
          </w:p>
        </w:tc>
        <w:tc>
          <w:tcPr>
            <w:tcW w:w="1156" w:type="dxa"/>
          </w:tcPr>
          <w:p w14:paraId="4A3005D9">
            <w:pPr>
              <w:pStyle w:val="34"/>
            </w:pPr>
            <w:r>
              <w:rPr>
                <w:rFonts w:hint="eastAsia"/>
              </w:rPr>
              <w:t>0.035</w:t>
            </w:r>
          </w:p>
        </w:tc>
        <w:tc>
          <w:tcPr>
            <w:tcW w:w="1127" w:type="dxa"/>
          </w:tcPr>
          <w:p w14:paraId="2F5D264E">
            <w:pPr>
              <w:pStyle w:val="34"/>
            </w:pPr>
            <w:r>
              <w:rPr>
                <w:rFonts w:hint="eastAsia"/>
              </w:rPr>
              <w:t>3.956</w:t>
            </w:r>
          </w:p>
        </w:tc>
        <w:tc>
          <w:tcPr>
            <w:tcW w:w="1127" w:type="dxa"/>
          </w:tcPr>
          <w:p w14:paraId="23935B53">
            <w:pPr>
              <w:pStyle w:val="34"/>
            </w:pPr>
            <w:r>
              <w:rPr>
                <w:rFonts w:hint="eastAsia"/>
              </w:rPr>
              <w:t>-</w:t>
            </w:r>
          </w:p>
        </w:tc>
        <w:tc>
          <w:tcPr>
            <w:tcW w:w="977" w:type="dxa"/>
          </w:tcPr>
          <w:p w14:paraId="67234296">
            <w:pPr>
              <w:pStyle w:val="34"/>
            </w:pPr>
            <w:r>
              <w:rPr>
                <w:rFonts w:hint="eastAsia"/>
              </w:rPr>
              <w:t>-</w:t>
            </w:r>
          </w:p>
        </w:tc>
        <w:tc>
          <w:tcPr>
            <w:tcW w:w="1128" w:type="dxa"/>
          </w:tcPr>
          <w:p w14:paraId="4EBE609D">
            <w:pPr>
              <w:pStyle w:val="34"/>
            </w:pPr>
            <w:r>
              <w:rPr>
                <w:rFonts w:hint="eastAsia"/>
              </w:rPr>
              <w:t>2.175</w:t>
            </w:r>
          </w:p>
        </w:tc>
      </w:tr>
      <w:tr w14:paraId="5287B0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5E9CBBEF">
            <w:pPr>
              <w:pStyle w:val="34"/>
            </w:pPr>
            <w:r>
              <w:rPr>
                <w:rFonts w:hint="eastAsia"/>
              </w:rPr>
              <w:t>＞0.1</w:t>
            </w:r>
            <w:r>
              <w:t>mg/L</w:t>
            </w:r>
          </w:p>
        </w:tc>
        <w:tc>
          <w:tcPr>
            <w:tcW w:w="1155" w:type="dxa"/>
          </w:tcPr>
          <w:p w14:paraId="3DE29CD0">
            <w:pPr>
              <w:pStyle w:val="34"/>
            </w:pPr>
            <w:r>
              <w:rPr>
                <w:rFonts w:hint="eastAsia"/>
              </w:rPr>
              <w:t>0.010</w:t>
            </w:r>
          </w:p>
        </w:tc>
        <w:tc>
          <w:tcPr>
            <w:tcW w:w="1156" w:type="dxa"/>
          </w:tcPr>
          <w:p w14:paraId="39A69B00">
            <w:pPr>
              <w:pStyle w:val="34"/>
            </w:pPr>
            <w:r>
              <w:rPr>
                <w:rFonts w:hint="eastAsia"/>
              </w:rPr>
              <w:t>0.056</w:t>
            </w:r>
          </w:p>
        </w:tc>
        <w:tc>
          <w:tcPr>
            <w:tcW w:w="1127" w:type="dxa"/>
          </w:tcPr>
          <w:p w14:paraId="479514C2">
            <w:pPr>
              <w:pStyle w:val="34"/>
            </w:pPr>
            <w:r>
              <w:rPr>
                <w:rFonts w:hint="eastAsia"/>
              </w:rPr>
              <w:t>0.914</w:t>
            </w:r>
          </w:p>
        </w:tc>
        <w:tc>
          <w:tcPr>
            <w:tcW w:w="1127" w:type="dxa"/>
          </w:tcPr>
          <w:p w14:paraId="3D4A3470">
            <w:pPr>
              <w:pStyle w:val="34"/>
            </w:pPr>
            <w:r>
              <w:rPr>
                <w:rFonts w:hint="eastAsia"/>
              </w:rPr>
              <w:t>-</w:t>
            </w:r>
          </w:p>
        </w:tc>
        <w:tc>
          <w:tcPr>
            <w:tcW w:w="977" w:type="dxa"/>
          </w:tcPr>
          <w:p w14:paraId="62CA7DFC">
            <w:pPr>
              <w:pStyle w:val="34"/>
            </w:pPr>
            <w:r>
              <w:rPr>
                <w:rFonts w:hint="eastAsia"/>
              </w:rPr>
              <w:t>-</w:t>
            </w:r>
          </w:p>
        </w:tc>
        <w:tc>
          <w:tcPr>
            <w:tcW w:w="1128" w:type="dxa"/>
          </w:tcPr>
          <w:p w14:paraId="0D500976">
            <w:pPr>
              <w:pStyle w:val="34"/>
            </w:pPr>
            <w:r>
              <w:rPr>
                <w:rFonts w:hint="eastAsia"/>
              </w:rPr>
              <w:t>0.628</w:t>
            </w:r>
          </w:p>
        </w:tc>
      </w:tr>
      <w:tr w14:paraId="0BB0FA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3A849D1F">
            <w:pPr>
              <w:pStyle w:val="34"/>
            </w:pPr>
            <w:r>
              <w:rPr>
                <w:rFonts w:hint="eastAsia"/>
              </w:rPr>
              <w:t>＞1</w:t>
            </w:r>
            <w:r>
              <w:t>mg/L</w:t>
            </w:r>
          </w:p>
        </w:tc>
        <w:tc>
          <w:tcPr>
            <w:tcW w:w="1155" w:type="dxa"/>
          </w:tcPr>
          <w:p w14:paraId="0C8C8BDA">
            <w:pPr>
              <w:pStyle w:val="34"/>
            </w:pPr>
            <w:r>
              <w:rPr>
                <w:rFonts w:hint="eastAsia"/>
              </w:rPr>
              <w:t>-</w:t>
            </w:r>
          </w:p>
        </w:tc>
        <w:tc>
          <w:tcPr>
            <w:tcW w:w="1156" w:type="dxa"/>
          </w:tcPr>
          <w:p w14:paraId="06DDD8A8">
            <w:pPr>
              <w:pStyle w:val="34"/>
            </w:pPr>
            <w:r>
              <w:rPr>
                <w:rFonts w:hint="eastAsia"/>
              </w:rPr>
              <w:t>-</w:t>
            </w:r>
          </w:p>
        </w:tc>
        <w:tc>
          <w:tcPr>
            <w:tcW w:w="1127" w:type="dxa"/>
          </w:tcPr>
          <w:p w14:paraId="07CD49D3">
            <w:pPr>
              <w:pStyle w:val="34"/>
            </w:pPr>
            <w:r>
              <w:rPr>
                <w:rFonts w:hint="eastAsia"/>
              </w:rPr>
              <w:t>-</w:t>
            </w:r>
          </w:p>
        </w:tc>
        <w:tc>
          <w:tcPr>
            <w:tcW w:w="1127" w:type="dxa"/>
          </w:tcPr>
          <w:p w14:paraId="6995DE3E">
            <w:pPr>
              <w:pStyle w:val="34"/>
            </w:pPr>
            <w:r>
              <w:rPr>
                <w:rFonts w:hint="eastAsia"/>
              </w:rPr>
              <w:t>-</w:t>
            </w:r>
          </w:p>
        </w:tc>
        <w:tc>
          <w:tcPr>
            <w:tcW w:w="977" w:type="dxa"/>
          </w:tcPr>
          <w:p w14:paraId="357BF260">
            <w:pPr>
              <w:pStyle w:val="34"/>
            </w:pPr>
            <w:r>
              <w:rPr>
                <w:rFonts w:hint="eastAsia"/>
              </w:rPr>
              <w:t>-</w:t>
            </w:r>
          </w:p>
        </w:tc>
        <w:tc>
          <w:tcPr>
            <w:tcW w:w="1128" w:type="dxa"/>
          </w:tcPr>
          <w:p w14:paraId="6F0E1E65">
            <w:pPr>
              <w:pStyle w:val="34"/>
            </w:pPr>
            <w:r>
              <w:rPr>
                <w:rFonts w:hint="eastAsia"/>
              </w:rPr>
              <w:t>-</w:t>
            </w:r>
          </w:p>
        </w:tc>
      </w:tr>
    </w:tbl>
    <w:p w14:paraId="1F8723C5">
      <w:pPr>
        <w:ind w:firstLine="437"/>
      </w:pPr>
      <w:r>
        <w:rPr>
          <w:rFonts w:hint="eastAsia"/>
        </w:rPr>
        <w:t>磷酸严重事故泄露 28t情形下，磷酸泄漏入海影响水域的扩散距离和包络面积见表5.4-32；表中可以看出，涨潮阶段泄露，磷酸浓度大于0.001mg向北扩散的距离为21.419km，向南扩散的距离为13.911km；落潮阶段泄露，磷酸浓度大于0.001mg/L向北扩散的距离为21.341km，向南扩散的距离为18.100km，落潮阶段泄露比涨潮阶段泄露扩散影响范围大。严重泄漏事故(28t)会对钦州湾海域的海洋环境造成的影响面积较大。</w:t>
      </w:r>
    </w:p>
    <w:p w14:paraId="1E740E8A">
      <w:pPr>
        <w:pStyle w:val="7"/>
      </w:pPr>
      <w:r>
        <w:rPr>
          <w:rFonts w:hint="eastAsia"/>
        </w:rPr>
        <w:t>严重事故下（28t）磷酸泄漏入海影响水域的扩散距离与包络面积</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52"/>
        <w:gridCol w:w="1155"/>
        <w:gridCol w:w="1156"/>
        <w:gridCol w:w="1127"/>
        <w:gridCol w:w="1127"/>
        <w:gridCol w:w="977"/>
        <w:gridCol w:w="1128"/>
      </w:tblGrid>
      <w:tr w14:paraId="3B261B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852" w:type="dxa"/>
            <w:vMerge w:val="restart"/>
            <w:vAlign w:val="center"/>
          </w:tcPr>
          <w:p w14:paraId="655E9308">
            <w:pPr>
              <w:pStyle w:val="34"/>
            </w:pPr>
            <w:r>
              <w:rPr>
                <w:rFonts w:hint="eastAsia"/>
              </w:rPr>
              <w:t>指标</w:t>
            </w:r>
          </w:p>
        </w:tc>
        <w:tc>
          <w:tcPr>
            <w:tcW w:w="2311" w:type="dxa"/>
            <w:gridSpan w:val="2"/>
            <w:vMerge w:val="restart"/>
            <w:vAlign w:val="center"/>
          </w:tcPr>
          <w:p w14:paraId="783B7E02">
            <w:pPr>
              <w:pStyle w:val="34"/>
            </w:pPr>
            <w:r>
              <w:rPr>
                <w:rFonts w:hint="eastAsia"/>
              </w:rPr>
              <w:t>包络面积（km</w:t>
            </w:r>
            <w:r>
              <w:rPr>
                <w:rFonts w:hint="eastAsia"/>
                <w:vertAlign w:val="superscript"/>
              </w:rPr>
              <w:t>2</w:t>
            </w:r>
            <w:r>
              <w:rPr>
                <w:rFonts w:hint="eastAsia"/>
              </w:rPr>
              <w:t>）</w:t>
            </w:r>
          </w:p>
        </w:tc>
        <w:tc>
          <w:tcPr>
            <w:tcW w:w="4359" w:type="dxa"/>
            <w:gridSpan w:val="4"/>
          </w:tcPr>
          <w:p w14:paraId="1D5E0658">
            <w:pPr>
              <w:pStyle w:val="34"/>
            </w:pPr>
            <w:r>
              <w:rPr>
                <w:rFonts w:hint="eastAsia"/>
              </w:rPr>
              <w:t>最远扩散距离（km），泄漏点起算</w:t>
            </w:r>
          </w:p>
        </w:tc>
      </w:tr>
      <w:tr w14:paraId="79D26A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852" w:type="dxa"/>
            <w:vMerge w:val="continue"/>
          </w:tcPr>
          <w:p w14:paraId="400A81FB">
            <w:pPr>
              <w:pStyle w:val="34"/>
            </w:pPr>
          </w:p>
        </w:tc>
        <w:tc>
          <w:tcPr>
            <w:tcW w:w="2311" w:type="dxa"/>
            <w:gridSpan w:val="2"/>
            <w:vMerge w:val="continue"/>
          </w:tcPr>
          <w:p w14:paraId="6E295212">
            <w:pPr>
              <w:pStyle w:val="34"/>
            </w:pPr>
          </w:p>
        </w:tc>
        <w:tc>
          <w:tcPr>
            <w:tcW w:w="2254" w:type="dxa"/>
            <w:gridSpan w:val="2"/>
          </w:tcPr>
          <w:p w14:paraId="423E7F37">
            <w:pPr>
              <w:pStyle w:val="34"/>
            </w:pPr>
            <w:r>
              <w:rPr>
                <w:rFonts w:hint="eastAsia"/>
              </w:rPr>
              <w:t>偏北向</w:t>
            </w:r>
          </w:p>
        </w:tc>
        <w:tc>
          <w:tcPr>
            <w:tcW w:w="2105" w:type="dxa"/>
            <w:gridSpan w:val="2"/>
          </w:tcPr>
          <w:p w14:paraId="72A3326D">
            <w:pPr>
              <w:pStyle w:val="34"/>
            </w:pPr>
            <w:r>
              <w:rPr>
                <w:rFonts w:hint="eastAsia"/>
              </w:rPr>
              <w:t>偏南向</w:t>
            </w:r>
          </w:p>
        </w:tc>
      </w:tr>
      <w:tr w14:paraId="441DE4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184A7228">
            <w:pPr>
              <w:pStyle w:val="34"/>
            </w:pPr>
            <w:r>
              <w:rPr>
                <w:rFonts w:hint="eastAsia"/>
              </w:rPr>
              <w:t>泄漏潮流</w:t>
            </w:r>
          </w:p>
        </w:tc>
        <w:tc>
          <w:tcPr>
            <w:tcW w:w="1155" w:type="dxa"/>
          </w:tcPr>
          <w:p w14:paraId="7B0A1ACE">
            <w:pPr>
              <w:pStyle w:val="34"/>
            </w:pPr>
            <w:r>
              <w:rPr>
                <w:rFonts w:hint="eastAsia"/>
              </w:rPr>
              <w:t>涨潮</w:t>
            </w:r>
          </w:p>
        </w:tc>
        <w:tc>
          <w:tcPr>
            <w:tcW w:w="1156" w:type="dxa"/>
          </w:tcPr>
          <w:p w14:paraId="4DB34C78">
            <w:pPr>
              <w:pStyle w:val="34"/>
            </w:pPr>
            <w:r>
              <w:rPr>
                <w:rFonts w:hint="eastAsia"/>
              </w:rPr>
              <w:t>落潮</w:t>
            </w:r>
          </w:p>
        </w:tc>
        <w:tc>
          <w:tcPr>
            <w:tcW w:w="1127" w:type="dxa"/>
          </w:tcPr>
          <w:p w14:paraId="72896657">
            <w:pPr>
              <w:pStyle w:val="34"/>
            </w:pPr>
            <w:r>
              <w:rPr>
                <w:rFonts w:hint="eastAsia"/>
              </w:rPr>
              <w:t>涨潮</w:t>
            </w:r>
          </w:p>
        </w:tc>
        <w:tc>
          <w:tcPr>
            <w:tcW w:w="1127" w:type="dxa"/>
          </w:tcPr>
          <w:p w14:paraId="1C281424">
            <w:pPr>
              <w:pStyle w:val="34"/>
            </w:pPr>
            <w:r>
              <w:rPr>
                <w:rFonts w:hint="eastAsia"/>
              </w:rPr>
              <w:t>落潮</w:t>
            </w:r>
          </w:p>
        </w:tc>
        <w:tc>
          <w:tcPr>
            <w:tcW w:w="977" w:type="dxa"/>
          </w:tcPr>
          <w:p w14:paraId="4899585C">
            <w:pPr>
              <w:pStyle w:val="34"/>
            </w:pPr>
            <w:r>
              <w:rPr>
                <w:rFonts w:hint="eastAsia"/>
              </w:rPr>
              <w:t>涨潮</w:t>
            </w:r>
          </w:p>
        </w:tc>
        <w:tc>
          <w:tcPr>
            <w:tcW w:w="1128" w:type="dxa"/>
          </w:tcPr>
          <w:p w14:paraId="3DDF8C80">
            <w:pPr>
              <w:pStyle w:val="34"/>
            </w:pPr>
            <w:r>
              <w:rPr>
                <w:rFonts w:hint="eastAsia"/>
              </w:rPr>
              <w:t>落潮</w:t>
            </w:r>
          </w:p>
        </w:tc>
      </w:tr>
      <w:tr w14:paraId="197992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49D36F05">
            <w:pPr>
              <w:pStyle w:val="34"/>
            </w:pPr>
            <w:r>
              <w:rPr>
                <w:rFonts w:hint="eastAsia"/>
              </w:rPr>
              <w:t>＞0.001</w:t>
            </w:r>
            <w:r>
              <w:t>mg/L</w:t>
            </w:r>
          </w:p>
        </w:tc>
        <w:tc>
          <w:tcPr>
            <w:tcW w:w="1155" w:type="dxa"/>
          </w:tcPr>
          <w:p w14:paraId="4F56E3F7">
            <w:pPr>
              <w:pStyle w:val="34"/>
            </w:pPr>
            <w:r>
              <w:rPr>
                <w:rFonts w:hint="eastAsia"/>
              </w:rPr>
              <w:t>70.225</w:t>
            </w:r>
          </w:p>
        </w:tc>
        <w:tc>
          <w:tcPr>
            <w:tcW w:w="1156" w:type="dxa"/>
          </w:tcPr>
          <w:p w14:paraId="537449B4">
            <w:pPr>
              <w:pStyle w:val="34"/>
            </w:pPr>
            <w:r>
              <w:rPr>
                <w:rFonts w:hint="eastAsia"/>
              </w:rPr>
              <w:t>124.393</w:t>
            </w:r>
          </w:p>
        </w:tc>
        <w:tc>
          <w:tcPr>
            <w:tcW w:w="1127" w:type="dxa"/>
          </w:tcPr>
          <w:p w14:paraId="2F3C6977">
            <w:pPr>
              <w:pStyle w:val="34"/>
            </w:pPr>
            <w:r>
              <w:rPr>
                <w:rFonts w:hint="eastAsia"/>
              </w:rPr>
              <w:t>21.419</w:t>
            </w:r>
          </w:p>
        </w:tc>
        <w:tc>
          <w:tcPr>
            <w:tcW w:w="1127" w:type="dxa"/>
          </w:tcPr>
          <w:p w14:paraId="3BA6C35C">
            <w:pPr>
              <w:pStyle w:val="34"/>
            </w:pPr>
            <w:r>
              <w:rPr>
                <w:rFonts w:hint="eastAsia"/>
              </w:rPr>
              <w:t>21.341</w:t>
            </w:r>
          </w:p>
        </w:tc>
        <w:tc>
          <w:tcPr>
            <w:tcW w:w="977" w:type="dxa"/>
          </w:tcPr>
          <w:p w14:paraId="07A1850E">
            <w:pPr>
              <w:pStyle w:val="34"/>
            </w:pPr>
            <w:r>
              <w:rPr>
                <w:rFonts w:hint="eastAsia"/>
              </w:rPr>
              <w:t>13.911</w:t>
            </w:r>
          </w:p>
        </w:tc>
        <w:tc>
          <w:tcPr>
            <w:tcW w:w="1128" w:type="dxa"/>
          </w:tcPr>
          <w:p w14:paraId="5A7A1B63">
            <w:pPr>
              <w:pStyle w:val="34"/>
            </w:pPr>
            <w:r>
              <w:rPr>
                <w:rFonts w:hint="eastAsia"/>
              </w:rPr>
              <w:t>18.100</w:t>
            </w:r>
          </w:p>
        </w:tc>
      </w:tr>
      <w:tr w14:paraId="4E961A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67FF141B">
            <w:pPr>
              <w:pStyle w:val="34"/>
            </w:pPr>
            <w:r>
              <w:rPr>
                <w:rFonts w:hint="eastAsia"/>
              </w:rPr>
              <w:t>＞0.01</w:t>
            </w:r>
            <w:r>
              <w:t>mg/L</w:t>
            </w:r>
          </w:p>
        </w:tc>
        <w:tc>
          <w:tcPr>
            <w:tcW w:w="1155" w:type="dxa"/>
          </w:tcPr>
          <w:p w14:paraId="3FB33988">
            <w:pPr>
              <w:pStyle w:val="34"/>
            </w:pPr>
            <w:r>
              <w:rPr>
                <w:rFonts w:hint="eastAsia"/>
              </w:rPr>
              <w:t>66.563</w:t>
            </w:r>
          </w:p>
        </w:tc>
        <w:tc>
          <w:tcPr>
            <w:tcW w:w="1156" w:type="dxa"/>
          </w:tcPr>
          <w:p w14:paraId="59B2FB8F">
            <w:pPr>
              <w:pStyle w:val="34"/>
            </w:pPr>
            <w:r>
              <w:rPr>
                <w:rFonts w:hint="eastAsia"/>
              </w:rPr>
              <w:t>117.697</w:t>
            </w:r>
          </w:p>
        </w:tc>
        <w:tc>
          <w:tcPr>
            <w:tcW w:w="1127" w:type="dxa"/>
          </w:tcPr>
          <w:p w14:paraId="42697F08">
            <w:pPr>
              <w:pStyle w:val="34"/>
            </w:pPr>
            <w:r>
              <w:rPr>
                <w:rFonts w:hint="eastAsia"/>
              </w:rPr>
              <w:t>20.735</w:t>
            </w:r>
          </w:p>
        </w:tc>
        <w:tc>
          <w:tcPr>
            <w:tcW w:w="1127" w:type="dxa"/>
          </w:tcPr>
          <w:p w14:paraId="643B26D4">
            <w:pPr>
              <w:pStyle w:val="34"/>
            </w:pPr>
            <w:r>
              <w:rPr>
                <w:rFonts w:hint="eastAsia"/>
              </w:rPr>
              <w:t>20.606</w:t>
            </w:r>
          </w:p>
        </w:tc>
        <w:tc>
          <w:tcPr>
            <w:tcW w:w="977" w:type="dxa"/>
          </w:tcPr>
          <w:p w14:paraId="4C4D7373">
            <w:pPr>
              <w:pStyle w:val="34"/>
            </w:pPr>
            <w:r>
              <w:rPr>
                <w:rFonts w:hint="eastAsia"/>
              </w:rPr>
              <w:t>9.982</w:t>
            </w:r>
          </w:p>
        </w:tc>
        <w:tc>
          <w:tcPr>
            <w:tcW w:w="1128" w:type="dxa"/>
          </w:tcPr>
          <w:p w14:paraId="5252D3D9">
            <w:pPr>
              <w:pStyle w:val="34"/>
            </w:pPr>
            <w:r>
              <w:rPr>
                <w:rFonts w:hint="eastAsia"/>
              </w:rPr>
              <w:t>17.107</w:t>
            </w:r>
          </w:p>
        </w:tc>
      </w:tr>
      <w:tr w14:paraId="17CDAD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6F7805B8">
            <w:pPr>
              <w:pStyle w:val="34"/>
            </w:pPr>
            <w:r>
              <w:rPr>
                <w:rFonts w:hint="eastAsia"/>
              </w:rPr>
              <w:t>＞0.1</w:t>
            </w:r>
            <w:r>
              <w:t>mg/L</w:t>
            </w:r>
          </w:p>
        </w:tc>
        <w:tc>
          <w:tcPr>
            <w:tcW w:w="1155" w:type="dxa"/>
          </w:tcPr>
          <w:p w14:paraId="6A8052F6">
            <w:pPr>
              <w:pStyle w:val="34"/>
            </w:pPr>
            <w:r>
              <w:rPr>
                <w:rFonts w:hint="eastAsia"/>
              </w:rPr>
              <w:t>28.898</w:t>
            </w:r>
          </w:p>
        </w:tc>
        <w:tc>
          <w:tcPr>
            <w:tcW w:w="1156" w:type="dxa"/>
          </w:tcPr>
          <w:p w14:paraId="57FB8F97">
            <w:pPr>
              <w:pStyle w:val="34"/>
            </w:pPr>
            <w:r>
              <w:rPr>
                <w:rFonts w:hint="eastAsia"/>
              </w:rPr>
              <w:t>52.843</w:t>
            </w:r>
          </w:p>
        </w:tc>
        <w:tc>
          <w:tcPr>
            <w:tcW w:w="1127" w:type="dxa"/>
          </w:tcPr>
          <w:p w14:paraId="68C08718">
            <w:pPr>
              <w:pStyle w:val="34"/>
            </w:pPr>
            <w:r>
              <w:rPr>
                <w:rFonts w:hint="eastAsia"/>
              </w:rPr>
              <w:t>20.130</w:t>
            </w:r>
          </w:p>
        </w:tc>
        <w:tc>
          <w:tcPr>
            <w:tcW w:w="1127" w:type="dxa"/>
          </w:tcPr>
          <w:p w14:paraId="3D0B8B7F">
            <w:pPr>
              <w:pStyle w:val="34"/>
            </w:pPr>
            <w:r>
              <w:rPr>
                <w:rFonts w:hint="eastAsia"/>
              </w:rPr>
              <w:t>10.049</w:t>
            </w:r>
          </w:p>
        </w:tc>
        <w:tc>
          <w:tcPr>
            <w:tcW w:w="977" w:type="dxa"/>
          </w:tcPr>
          <w:p w14:paraId="7EF35090">
            <w:pPr>
              <w:pStyle w:val="34"/>
            </w:pPr>
            <w:r>
              <w:rPr>
                <w:rFonts w:hint="eastAsia"/>
              </w:rPr>
              <w:t>6.904</w:t>
            </w:r>
          </w:p>
        </w:tc>
        <w:tc>
          <w:tcPr>
            <w:tcW w:w="1128" w:type="dxa"/>
          </w:tcPr>
          <w:p w14:paraId="5766A4D0">
            <w:pPr>
              <w:pStyle w:val="34"/>
            </w:pPr>
            <w:r>
              <w:rPr>
                <w:rFonts w:hint="eastAsia"/>
              </w:rPr>
              <w:t>14.389</w:t>
            </w:r>
          </w:p>
        </w:tc>
      </w:tr>
      <w:tr w14:paraId="4D6600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4879B3F3">
            <w:pPr>
              <w:pStyle w:val="34"/>
            </w:pPr>
            <w:r>
              <w:rPr>
                <w:rFonts w:hint="eastAsia"/>
              </w:rPr>
              <w:t>＞1</w:t>
            </w:r>
            <w:r>
              <w:t>mg/L</w:t>
            </w:r>
          </w:p>
        </w:tc>
        <w:tc>
          <w:tcPr>
            <w:tcW w:w="1155" w:type="dxa"/>
          </w:tcPr>
          <w:p w14:paraId="7FF93CE0">
            <w:pPr>
              <w:pStyle w:val="34"/>
            </w:pPr>
            <w:r>
              <w:rPr>
                <w:rFonts w:hint="eastAsia"/>
              </w:rPr>
              <w:t>2.697</w:t>
            </w:r>
          </w:p>
        </w:tc>
        <w:tc>
          <w:tcPr>
            <w:tcW w:w="1156" w:type="dxa"/>
          </w:tcPr>
          <w:p w14:paraId="17A16825">
            <w:pPr>
              <w:pStyle w:val="34"/>
            </w:pPr>
            <w:r>
              <w:rPr>
                <w:rFonts w:hint="eastAsia"/>
              </w:rPr>
              <w:t>1.913</w:t>
            </w:r>
          </w:p>
        </w:tc>
        <w:tc>
          <w:tcPr>
            <w:tcW w:w="1127" w:type="dxa"/>
          </w:tcPr>
          <w:p w14:paraId="26251634">
            <w:pPr>
              <w:pStyle w:val="34"/>
            </w:pPr>
            <w:r>
              <w:rPr>
                <w:rFonts w:hint="eastAsia"/>
              </w:rPr>
              <w:t>7.493</w:t>
            </w:r>
          </w:p>
        </w:tc>
        <w:tc>
          <w:tcPr>
            <w:tcW w:w="1127" w:type="dxa"/>
          </w:tcPr>
          <w:p w14:paraId="77D19CA8">
            <w:pPr>
              <w:pStyle w:val="34"/>
            </w:pPr>
            <w:r>
              <w:rPr>
                <w:rFonts w:hint="eastAsia"/>
              </w:rPr>
              <w:t>3.354</w:t>
            </w:r>
          </w:p>
        </w:tc>
        <w:tc>
          <w:tcPr>
            <w:tcW w:w="977" w:type="dxa"/>
          </w:tcPr>
          <w:p w14:paraId="3F73DC15">
            <w:pPr>
              <w:pStyle w:val="34"/>
            </w:pPr>
            <w:r>
              <w:rPr>
                <w:rFonts w:hint="eastAsia"/>
              </w:rPr>
              <w:t>4.171</w:t>
            </w:r>
          </w:p>
        </w:tc>
        <w:tc>
          <w:tcPr>
            <w:tcW w:w="1128" w:type="dxa"/>
          </w:tcPr>
          <w:p w14:paraId="5ACEDFA1">
            <w:pPr>
              <w:pStyle w:val="34"/>
            </w:pPr>
            <w:r>
              <w:rPr>
                <w:rFonts w:hint="eastAsia"/>
              </w:rPr>
              <w:t>7.023</w:t>
            </w:r>
          </w:p>
        </w:tc>
      </w:tr>
    </w:tbl>
    <w:p w14:paraId="5D35AB5E">
      <w:pPr>
        <w:ind w:firstLine="437"/>
      </w:pPr>
      <w:r>
        <w:rPr>
          <w:rFonts w:hint="eastAsia"/>
        </w:rPr>
        <w:t>泄漏的磷酸（0.0001mg/L）在海洋环境敏感区内最快到达时间见表5.4-32。</w:t>
      </w:r>
    </w:p>
    <w:p w14:paraId="6EFC14E7">
      <w:pPr>
        <w:pStyle w:val="7"/>
      </w:pPr>
      <w:r>
        <w:rPr>
          <w:rFonts w:hint="eastAsia"/>
        </w:rPr>
        <w:t>泄漏的磷酸（0.0001mg/L）最快到达海洋环境保护目标的时间（h）</w:t>
      </w:r>
    </w:p>
    <w:tbl>
      <w:tblPr>
        <w:tblStyle w:val="88"/>
        <w:tblW w:w="85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525"/>
        <w:gridCol w:w="1652"/>
        <w:gridCol w:w="1048"/>
        <w:gridCol w:w="1249"/>
        <w:gridCol w:w="1048"/>
      </w:tblGrid>
      <w:tr w14:paraId="362D36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Merge w:val="restart"/>
            <w:vAlign w:val="center"/>
          </w:tcPr>
          <w:p w14:paraId="57BAE75D">
            <w:pPr>
              <w:pStyle w:val="34"/>
            </w:pPr>
            <w:r>
              <w:rPr>
                <w:rFonts w:hint="eastAsia"/>
              </w:rPr>
              <w:t>环境保护目标</w:t>
            </w:r>
          </w:p>
        </w:tc>
        <w:tc>
          <w:tcPr>
            <w:tcW w:w="2700" w:type="dxa"/>
            <w:gridSpan w:val="2"/>
            <w:vAlign w:val="center"/>
          </w:tcPr>
          <w:p w14:paraId="384AC7F5">
            <w:pPr>
              <w:pStyle w:val="34"/>
            </w:pPr>
            <w:r>
              <w:rPr>
                <w:rFonts w:hint="eastAsia"/>
              </w:rPr>
              <w:t>35kg，0.0001mg/L</w:t>
            </w:r>
          </w:p>
        </w:tc>
        <w:tc>
          <w:tcPr>
            <w:tcW w:w="2297" w:type="dxa"/>
            <w:gridSpan w:val="2"/>
            <w:vAlign w:val="center"/>
          </w:tcPr>
          <w:p w14:paraId="27E5CE6F">
            <w:pPr>
              <w:pStyle w:val="34"/>
            </w:pPr>
            <w:r>
              <w:rPr>
                <w:rFonts w:hint="eastAsia"/>
              </w:rPr>
              <w:t>28t，0.0001mg/L</w:t>
            </w:r>
          </w:p>
        </w:tc>
      </w:tr>
      <w:tr w14:paraId="19F945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Merge w:val="continue"/>
            <w:vAlign w:val="center"/>
          </w:tcPr>
          <w:p w14:paraId="7F889709">
            <w:pPr>
              <w:pStyle w:val="34"/>
            </w:pPr>
          </w:p>
        </w:tc>
        <w:tc>
          <w:tcPr>
            <w:tcW w:w="1652" w:type="dxa"/>
            <w:vAlign w:val="center"/>
          </w:tcPr>
          <w:p w14:paraId="36173286">
            <w:pPr>
              <w:pStyle w:val="34"/>
            </w:pPr>
            <w:r>
              <w:rPr>
                <w:rFonts w:hint="eastAsia"/>
              </w:rPr>
              <w:t>涨潮</w:t>
            </w:r>
          </w:p>
        </w:tc>
        <w:tc>
          <w:tcPr>
            <w:tcW w:w="1048" w:type="dxa"/>
            <w:vAlign w:val="center"/>
          </w:tcPr>
          <w:p w14:paraId="32FA1B11">
            <w:pPr>
              <w:pStyle w:val="34"/>
            </w:pPr>
            <w:r>
              <w:rPr>
                <w:rFonts w:hint="eastAsia"/>
              </w:rPr>
              <w:t>落潮</w:t>
            </w:r>
          </w:p>
        </w:tc>
        <w:tc>
          <w:tcPr>
            <w:tcW w:w="1249" w:type="dxa"/>
            <w:vAlign w:val="center"/>
          </w:tcPr>
          <w:p w14:paraId="3FED3397">
            <w:pPr>
              <w:pStyle w:val="34"/>
            </w:pPr>
            <w:r>
              <w:rPr>
                <w:rFonts w:hint="eastAsia"/>
              </w:rPr>
              <w:t>涨潮</w:t>
            </w:r>
          </w:p>
        </w:tc>
        <w:tc>
          <w:tcPr>
            <w:tcW w:w="1048" w:type="dxa"/>
            <w:vAlign w:val="center"/>
          </w:tcPr>
          <w:p w14:paraId="09E10E96">
            <w:pPr>
              <w:pStyle w:val="34"/>
            </w:pPr>
            <w:r>
              <w:rPr>
                <w:rFonts w:hint="eastAsia"/>
              </w:rPr>
              <w:t>落潮</w:t>
            </w:r>
          </w:p>
        </w:tc>
      </w:tr>
      <w:tr w14:paraId="5B237C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Align w:val="center"/>
          </w:tcPr>
          <w:p w14:paraId="4BDF8164">
            <w:pPr>
              <w:pStyle w:val="34"/>
            </w:pPr>
            <w:r>
              <w:rPr>
                <w:rFonts w:hint="eastAsia"/>
              </w:rPr>
              <w:t>钦州港青菜头南浅海滩涂养殖区</w:t>
            </w:r>
          </w:p>
        </w:tc>
        <w:tc>
          <w:tcPr>
            <w:tcW w:w="1652" w:type="dxa"/>
            <w:vAlign w:val="center"/>
          </w:tcPr>
          <w:p w14:paraId="5873ADB3">
            <w:pPr>
              <w:pStyle w:val="34"/>
            </w:pPr>
            <w:r>
              <w:rPr>
                <w:rFonts w:hint="eastAsia"/>
              </w:rPr>
              <w:t>21</w:t>
            </w:r>
          </w:p>
        </w:tc>
        <w:tc>
          <w:tcPr>
            <w:tcW w:w="1048" w:type="dxa"/>
            <w:vAlign w:val="center"/>
          </w:tcPr>
          <w:p w14:paraId="68DB815E">
            <w:pPr>
              <w:pStyle w:val="34"/>
            </w:pPr>
            <w:r>
              <w:rPr>
                <w:rFonts w:hint="eastAsia"/>
              </w:rPr>
              <w:t>14</w:t>
            </w:r>
          </w:p>
        </w:tc>
        <w:tc>
          <w:tcPr>
            <w:tcW w:w="1249" w:type="dxa"/>
            <w:vAlign w:val="center"/>
          </w:tcPr>
          <w:p w14:paraId="47FEEF14">
            <w:pPr>
              <w:pStyle w:val="34"/>
            </w:pPr>
            <w:r>
              <w:rPr>
                <w:rFonts w:hint="eastAsia"/>
              </w:rPr>
              <w:t>18</w:t>
            </w:r>
          </w:p>
        </w:tc>
        <w:tc>
          <w:tcPr>
            <w:tcW w:w="1048" w:type="dxa"/>
            <w:vAlign w:val="center"/>
          </w:tcPr>
          <w:p w14:paraId="1A26BCBE">
            <w:pPr>
              <w:pStyle w:val="34"/>
            </w:pPr>
            <w:r>
              <w:rPr>
                <w:rFonts w:hint="eastAsia"/>
              </w:rPr>
              <w:t>13.5</w:t>
            </w:r>
          </w:p>
        </w:tc>
      </w:tr>
      <w:tr w14:paraId="45D3E0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Align w:val="center"/>
          </w:tcPr>
          <w:p w14:paraId="49C7BF43">
            <w:pPr>
              <w:pStyle w:val="34"/>
            </w:pPr>
            <w:r>
              <w:rPr>
                <w:rFonts w:hint="eastAsia"/>
              </w:rPr>
              <w:t>茅尾海南部浅海滩涂养殖区</w:t>
            </w:r>
          </w:p>
        </w:tc>
        <w:tc>
          <w:tcPr>
            <w:tcW w:w="1652" w:type="dxa"/>
            <w:vAlign w:val="center"/>
          </w:tcPr>
          <w:p w14:paraId="0F013D4B">
            <w:pPr>
              <w:pStyle w:val="34"/>
            </w:pPr>
            <w:r>
              <w:rPr>
                <w:rFonts w:hint="eastAsia"/>
              </w:rPr>
              <w:t>10</w:t>
            </w:r>
          </w:p>
        </w:tc>
        <w:tc>
          <w:tcPr>
            <w:tcW w:w="1048" w:type="dxa"/>
            <w:vAlign w:val="center"/>
          </w:tcPr>
          <w:p w14:paraId="3D991274">
            <w:pPr>
              <w:pStyle w:val="34"/>
            </w:pPr>
            <w:r>
              <w:rPr>
                <w:rFonts w:hint="eastAsia"/>
              </w:rPr>
              <w:t>-</w:t>
            </w:r>
          </w:p>
        </w:tc>
        <w:tc>
          <w:tcPr>
            <w:tcW w:w="1249" w:type="dxa"/>
            <w:vAlign w:val="center"/>
          </w:tcPr>
          <w:p w14:paraId="3465CC6D">
            <w:pPr>
              <w:pStyle w:val="34"/>
            </w:pPr>
            <w:r>
              <w:rPr>
                <w:rFonts w:hint="eastAsia"/>
              </w:rPr>
              <w:t>10</w:t>
            </w:r>
          </w:p>
        </w:tc>
        <w:tc>
          <w:tcPr>
            <w:tcW w:w="1048" w:type="dxa"/>
            <w:vAlign w:val="center"/>
          </w:tcPr>
          <w:p w14:paraId="406034BC">
            <w:pPr>
              <w:pStyle w:val="34"/>
            </w:pPr>
            <w:r>
              <w:rPr>
                <w:rFonts w:hint="eastAsia"/>
              </w:rPr>
              <w:t>21.5</w:t>
            </w:r>
          </w:p>
        </w:tc>
      </w:tr>
      <w:tr w14:paraId="5854CE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Align w:val="center"/>
          </w:tcPr>
          <w:p w14:paraId="24DD907E">
            <w:pPr>
              <w:pStyle w:val="34"/>
            </w:pPr>
            <w:r>
              <w:rPr>
                <w:rFonts w:hint="eastAsia"/>
              </w:rPr>
              <w:t>七十二泾生态控制区</w:t>
            </w:r>
          </w:p>
        </w:tc>
        <w:tc>
          <w:tcPr>
            <w:tcW w:w="1652" w:type="dxa"/>
            <w:vAlign w:val="center"/>
          </w:tcPr>
          <w:p w14:paraId="62FCE938">
            <w:pPr>
              <w:pStyle w:val="34"/>
            </w:pPr>
            <w:r>
              <w:rPr>
                <w:rFonts w:hint="eastAsia"/>
              </w:rPr>
              <w:t>8.5</w:t>
            </w:r>
          </w:p>
        </w:tc>
        <w:tc>
          <w:tcPr>
            <w:tcW w:w="1048" w:type="dxa"/>
            <w:vAlign w:val="center"/>
          </w:tcPr>
          <w:p w14:paraId="1B8BF312">
            <w:pPr>
              <w:pStyle w:val="34"/>
            </w:pPr>
            <w:r>
              <w:rPr>
                <w:rFonts w:hint="eastAsia"/>
              </w:rPr>
              <w:t>20.5</w:t>
            </w:r>
          </w:p>
        </w:tc>
        <w:tc>
          <w:tcPr>
            <w:tcW w:w="1249" w:type="dxa"/>
            <w:vAlign w:val="center"/>
          </w:tcPr>
          <w:p w14:paraId="62F8B854">
            <w:pPr>
              <w:pStyle w:val="34"/>
            </w:pPr>
            <w:r>
              <w:rPr>
                <w:rFonts w:hint="eastAsia"/>
              </w:rPr>
              <w:t>8</w:t>
            </w:r>
          </w:p>
        </w:tc>
        <w:tc>
          <w:tcPr>
            <w:tcW w:w="1048" w:type="dxa"/>
            <w:vAlign w:val="center"/>
          </w:tcPr>
          <w:p w14:paraId="7AC45098">
            <w:pPr>
              <w:pStyle w:val="34"/>
            </w:pPr>
            <w:r>
              <w:rPr>
                <w:rFonts w:hint="eastAsia"/>
              </w:rPr>
              <w:t>19</w:t>
            </w:r>
          </w:p>
        </w:tc>
      </w:tr>
      <w:tr w14:paraId="7F9A7F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Align w:val="center"/>
          </w:tcPr>
          <w:p w14:paraId="48830B4C">
            <w:pPr>
              <w:pStyle w:val="34"/>
            </w:pPr>
            <w:r>
              <w:rPr>
                <w:rFonts w:hint="eastAsia"/>
              </w:rPr>
              <w:t>金鼓江红树林分布区</w:t>
            </w:r>
          </w:p>
        </w:tc>
        <w:tc>
          <w:tcPr>
            <w:tcW w:w="1652" w:type="dxa"/>
            <w:vAlign w:val="center"/>
          </w:tcPr>
          <w:p w14:paraId="665533AE">
            <w:pPr>
              <w:pStyle w:val="34"/>
            </w:pPr>
            <w:r>
              <w:rPr>
                <w:rFonts w:hint="eastAsia"/>
              </w:rPr>
              <w:t>14</w:t>
            </w:r>
          </w:p>
        </w:tc>
        <w:tc>
          <w:tcPr>
            <w:tcW w:w="1048" w:type="dxa"/>
            <w:vAlign w:val="center"/>
          </w:tcPr>
          <w:p w14:paraId="6DAC8894">
            <w:pPr>
              <w:pStyle w:val="34"/>
            </w:pPr>
            <w:r>
              <w:rPr>
                <w:rFonts w:hint="eastAsia"/>
              </w:rPr>
              <w:t>-</w:t>
            </w:r>
          </w:p>
        </w:tc>
        <w:tc>
          <w:tcPr>
            <w:tcW w:w="1249" w:type="dxa"/>
            <w:vAlign w:val="center"/>
          </w:tcPr>
          <w:p w14:paraId="0F0084F6">
            <w:pPr>
              <w:pStyle w:val="34"/>
            </w:pPr>
            <w:r>
              <w:rPr>
                <w:rFonts w:hint="eastAsia"/>
              </w:rPr>
              <w:t>13.5</w:t>
            </w:r>
          </w:p>
        </w:tc>
        <w:tc>
          <w:tcPr>
            <w:tcW w:w="1048" w:type="dxa"/>
            <w:vAlign w:val="center"/>
          </w:tcPr>
          <w:p w14:paraId="21F99A20">
            <w:pPr>
              <w:pStyle w:val="34"/>
            </w:pPr>
            <w:r>
              <w:rPr>
                <w:rFonts w:hint="eastAsia"/>
              </w:rPr>
              <w:t>25.0</w:t>
            </w:r>
          </w:p>
        </w:tc>
      </w:tr>
      <w:tr w14:paraId="736B68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Align w:val="center"/>
          </w:tcPr>
          <w:p w14:paraId="6516CB6A">
            <w:pPr>
              <w:pStyle w:val="34"/>
            </w:pPr>
            <w:r>
              <w:rPr>
                <w:rFonts w:hint="eastAsia"/>
              </w:rPr>
              <w:t>广西茅尾海红树林自治区级自然保护区</w:t>
            </w:r>
          </w:p>
        </w:tc>
        <w:tc>
          <w:tcPr>
            <w:tcW w:w="1652" w:type="dxa"/>
            <w:vAlign w:val="center"/>
          </w:tcPr>
          <w:p w14:paraId="36868D7B">
            <w:pPr>
              <w:pStyle w:val="34"/>
            </w:pPr>
            <w:r>
              <w:rPr>
                <w:rFonts w:hint="eastAsia"/>
              </w:rPr>
              <w:t>9</w:t>
            </w:r>
          </w:p>
        </w:tc>
        <w:tc>
          <w:tcPr>
            <w:tcW w:w="1048" w:type="dxa"/>
            <w:vAlign w:val="center"/>
          </w:tcPr>
          <w:p w14:paraId="62EE77B5">
            <w:pPr>
              <w:pStyle w:val="34"/>
            </w:pPr>
            <w:r>
              <w:rPr>
                <w:rFonts w:hint="eastAsia"/>
              </w:rPr>
              <w:t>23</w:t>
            </w:r>
          </w:p>
        </w:tc>
        <w:tc>
          <w:tcPr>
            <w:tcW w:w="1249" w:type="dxa"/>
            <w:vAlign w:val="center"/>
          </w:tcPr>
          <w:p w14:paraId="7173344A">
            <w:pPr>
              <w:pStyle w:val="34"/>
            </w:pPr>
            <w:r>
              <w:rPr>
                <w:rFonts w:hint="eastAsia"/>
              </w:rPr>
              <w:t>8.5</w:t>
            </w:r>
          </w:p>
        </w:tc>
        <w:tc>
          <w:tcPr>
            <w:tcW w:w="1048" w:type="dxa"/>
            <w:vAlign w:val="center"/>
          </w:tcPr>
          <w:p w14:paraId="6BA9FD68">
            <w:pPr>
              <w:pStyle w:val="34"/>
            </w:pPr>
            <w:r>
              <w:rPr>
                <w:rFonts w:hint="eastAsia"/>
              </w:rPr>
              <w:t>19.5</w:t>
            </w:r>
          </w:p>
        </w:tc>
      </w:tr>
      <w:tr w14:paraId="0206D5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Align w:val="center"/>
          </w:tcPr>
          <w:p w14:paraId="7AA08192">
            <w:pPr>
              <w:pStyle w:val="34"/>
            </w:pPr>
            <w:r>
              <w:rPr>
                <w:rFonts w:hint="eastAsia"/>
              </w:rPr>
              <w:t>茅尾海国家级海洋公园</w:t>
            </w:r>
          </w:p>
        </w:tc>
        <w:tc>
          <w:tcPr>
            <w:tcW w:w="1652" w:type="dxa"/>
            <w:vAlign w:val="center"/>
          </w:tcPr>
          <w:p w14:paraId="7A97BD0A">
            <w:pPr>
              <w:pStyle w:val="34"/>
            </w:pPr>
            <w:r>
              <w:rPr>
                <w:rFonts w:hint="eastAsia"/>
              </w:rPr>
              <w:t>11</w:t>
            </w:r>
          </w:p>
        </w:tc>
        <w:tc>
          <w:tcPr>
            <w:tcW w:w="1048" w:type="dxa"/>
            <w:vAlign w:val="center"/>
          </w:tcPr>
          <w:p w14:paraId="2A3C2457">
            <w:pPr>
              <w:pStyle w:val="34"/>
            </w:pPr>
            <w:r>
              <w:rPr>
                <w:rFonts w:hint="eastAsia"/>
              </w:rPr>
              <w:t>-</w:t>
            </w:r>
          </w:p>
        </w:tc>
        <w:tc>
          <w:tcPr>
            <w:tcW w:w="1249" w:type="dxa"/>
            <w:vAlign w:val="center"/>
          </w:tcPr>
          <w:p w14:paraId="604AF33F">
            <w:pPr>
              <w:pStyle w:val="34"/>
            </w:pPr>
            <w:r>
              <w:rPr>
                <w:rFonts w:hint="eastAsia"/>
              </w:rPr>
              <w:t>11</w:t>
            </w:r>
          </w:p>
        </w:tc>
        <w:tc>
          <w:tcPr>
            <w:tcW w:w="1048" w:type="dxa"/>
            <w:vAlign w:val="center"/>
          </w:tcPr>
          <w:p w14:paraId="3662A954">
            <w:pPr>
              <w:pStyle w:val="34"/>
            </w:pPr>
            <w:r>
              <w:rPr>
                <w:rFonts w:hint="eastAsia"/>
              </w:rPr>
              <w:t>21.5</w:t>
            </w:r>
          </w:p>
        </w:tc>
      </w:tr>
      <w:tr w14:paraId="32CC7C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Align w:val="center"/>
          </w:tcPr>
          <w:p w14:paraId="5B399578">
            <w:pPr>
              <w:pStyle w:val="34"/>
            </w:pPr>
            <w:r>
              <w:rPr>
                <w:rFonts w:hint="eastAsia"/>
              </w:rPr>
              <w:t>北部湾二长棘绸长毛对虾国家级种质资源保护区(实验区)</w:t>
            </w:r>
          </w:p>
        </w:tc>
        <w:tc>
          <w:tcPr>
            <w:tcW w:w="1652" w:type="dxa"/>
            <w:vAlign w:val="center"/>
          </w:tcPr>
          <w:p w14:paraId="4B28141B">
            <w:pPr>
              <w:pStyle w:val="34"/>
            </w:pPr>
            <w:r>
              <w:rPr>
                <w:rFonts w:hint="eastAsia"/>
              </w:rPr>
              <w:t>-</w:t>
            </w:r>
          </w:p>
        </w:tc>
        <w:tc>
          <w:tcPr>
            <w:tcW w:w="1048" w:type="dxa"/>
            <w:vAlign w:val="center"/>
          </w:tcPr>
          <w:p w14:paraId="5B9835C9">
            <w:pPr>
              <w:pStyle w:val="34"/>
            </w:pPr>
            <w:r>
              <w:rPr>
                <w:rFonts w:hint="eastAsia"/>
              </w:rPr>
              <w:t>-</w:t>
            </w:r>
          </w:p>
        </w:tc>
        <w:tc>
          <w:tcPr>
            <w:tcW w:w="1249" w:type="dxa"/>
            <w:vAlign w:val="center"/>
          </w:tcPr>
          <w:p w14:paraId="79544206">
            <w:pPr>
              <w:pStyle w:val="34"/>
            </w:pPr>
            <w:r>
              <w:rPr>
                <w:rFonts w:hint="eastAsia"/>
              </w:rPr>
              <w:t>-</w:t>
            </w:r>
          </w:p>
        </w:tc>
        <w:tc>
          <w:tcPr>
            <w:tcW w:w="1048" w:type="dxa"/>
            <w:vAlign w:val="center"/>
          </w:tcPr>
          <w:p w14:paraId="3075D080">
            <w:pPr>
              <w:pStyle w:val="34"/>
            </w:pPr>
            <w:r>
              <w:rPr>
                <w:rFonts w:hint="eastAsia"/>
              </w:rPr>
              <w:t>10</w:t>
            </w:r>
          </w:p>
        </w:tc>
      </w:tr>
    </w:tbl>
    <w:p w14:paraId="69DB42DE">
      <w:pPr>
        <w:ind w:firstLine="439"/>
        <w:rPr>
          <w:b/>
        </w:rPr>
      </w:pPr>
      <w:bookmarkStart w:id="607" w:name="_Toc59022323"/>
      <w:r>
        <w:rPr>
          <w:rFonts w:hint="eastAsia"/>
          <w:b/>
        </w:rPr>
        <w:t>2、硫酸泄漏环境影响</w:t>
      </w:r>
    </w:p>
    <w:p w14:paraId="1BA12C6C">
      <w:pPr>
        <w:ind w:firstLine="437"/>
      </w:pPr>
      <w:r>
        <w:rPr>
          <w:rFonts w:hint="eastAsia"/>
        </w:rPr>
        <w:t>落潮和涨潮码头硫酸泄漏的浓度值分别为23.28 mg/L和18.57mg/L，位于泄漏点位置，浓度包络线整体上呈东南-西北轴向分布，与主流向相同。落潮和涨潮时高浓度区的分布则分别为朝东南分布和朝西北分布，分别与落潮流向和涨潮流向相同。</w:t>
      </w:r>
    </w:p>
    <w:p w14:paraId="1131E2AF">
      <w:pPr>
        <w:ind w:firstLine="437"/>
      </w:pPr>
      <w:r>
        <w:rPr>
          <w:rFonts w:hint="eastAsia"/>
        </w:rPr>
        <w:t>落潮时，由于落潮流的作用，高浓度区一般在泄漏点的东南区域， 0.02mg/L包络线的最大顺岸扩散距离为6.4km；垂岸向扩散距离不超过0.3km，因此，该工况下的硫酸泄漏事故影响海域范围较为有限，</w:t>
      </w:r>
      <w:r>
        <w:t>浓度</w:t>
      </w:r>
      <w:r>
        <w:rPr>
          <w:rFonts w:hint="eastAsia"/>
        </w:rPr>
        <w:t>最大值为0.086mg/L，影响较小，对其他敏感目标无影响；涨潮时，泄漏硫酸在涨潮流的作用下，高浓度区向湾内分布，在其他敏感目标处硫酸浓度均小于＜0.001，无影响。</w:t>
      </w:r>
    </w:p>
    <w:p w14:paraId="7AF4A589">
      <w:pPr>
        <w:pStyle w:val="7"/>
      </w:pPr>
      <w:r>
        <w:t>硫酸泄漏后</w:t>
      </w:r>
      <w:r>
        <w:rPr>
          <w:rFonts w:hint="eastAsia"/>
        </w:rPr>
        <w:t>在</w:t>
      </w:r>
      <w:r>
        <w:t>海洋环境敏感区的影响</w:t>
      </w:r>
    </w:p>
    <w:tbl>
      <w:tblPr>
        <w:tblStyle w:val="88"/>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87"/>
        <w:gridCol w:w="1559"/>
        <w:gridCol w:w="1459"/>
      </w:tblGrid>
      <w:tr w14:paraId="19144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exact"/>
          <w:jc w:val="center"/>
        </w:trPr>
        <w:tc>
          <w:tcPr>
            <w:tcW w:w="5487" w:type="dxa"/>
            <w:vMerge w:val="restart"/>
            <w:tcBorders>
              <w:top w:val="single" w:color="auto" w:sz="12" w:space="0"/>
              <w:left w:val="single" w:color="auto" w:sz="12" w:space="0"/>
              <w:tl2br w:val="single" w:color="auto" w:sz="4" w:space="0"/>
            </w:tcBorders>
            <w:vAlign w:val="center"/>
          </w:tcPr>
          <w:p w14:paraId="167F7035">
            <w:pPr>
              <w:pStyle w:val="34"/>
            </w:pPr>
            <w:r>
              <w:rPr>
                <w:rFonts w:hint="eastAsia"/>
              </w:rPr>
              <w:t xml:space="preserve">            </w:t>
            </w:r>
            <w:r>
              <w:t>事故地点、时间</w:t>
            </w:r>
          </w:p>
          <w:p w14:paraId="32006969">
            <w:pPr>
              <w:pStyle w:val="34"/>
            </w:pPr>
            <w:r>
              <w:t>敏感区名称</w:t>
            </w:r>
          </w:p>
        </w:tc>
        <w:tc>
          <w:tcPr>
            <w:tcW w:w="3018" w:type="dxa"/>
            <w:gridSpan w:val="2"/>
            <w:tcBorders>
              <w:top w:val="single" w:color="auto" w:sz="12" w:space="0"/>
              <w:right w:val="single" w:color="auto" w:sz="12" w:space="0"/>
            </w:tcBorders>
            <w:vAlign w:val="center"/>
          </w:tcPr>
          <w:p w14:paraId="54D8B7E9">
            <w:pPr>
              <w:pStyle w:val="34"/>
            </w:pPr>
            <w:r>
              <w:rPr>
                <w:rFonts w:hint="eastAsia"/>
              </w:rPr>
              <w:t>码头处</w:t>
            </w:r>
            <w:r>
              <w:t>事故(</w:t>
            </w:r>
            <w:r>
              <w:rPr>
                <w:rFonts w:hint="eastAsia"/>
              </w:rPr>
              <w:t>最大浓度值mg/L</w:t>
            </w:r>
            <w:r>
              <w:t>)</w:t>
            </w:r>
          </w:p>
        </w:tc>
      </w:tr>
      <w:tr w14:paraId="0E396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5487" w:type="dxa"/>
            <w:vMerge w:val="continue"/>
            <w:tcBorders>
              <w:left w:val="single" w:color="auto" w:sz="12" w:space="0"/>
            </w:tcBorders>
            <w:vAlign w:val="center"/>
          </w:tcPr>
          <w:p w14:paraId="3AC87337">
            <w:pPr>
              <w:pStyle w:val="34"/>
            </w:pPr>
          </w:p>
        </w:tc>
        <w:tc>
          <w:tcPr>
            <w:tcW w:w="1559" w:type="dxa"/>
            <w:vAlign w:val="center"/>
          </w:tcPr>
          <w:p w14:paraId="36F8EA36">
            <w:pPr>
              <w:pStyle w:val="34"/>
            </w:pPr>
            <w:r>
              <w:t>落潮时</w:t>
            </w:r>
          </w:p>
        </w:tc>
        <w:tc>
          <w:tcPr>
            <w:tcW w:w="1459" w:type="dxa"/>
            <w:tcBorders>
              <w:right w:val="single" w:color="auto" w:sz="12" w:space="0"/>
            </w:tcBorders>
            <w:vAlign w:val="center"/>
          </w:tcPr>
          <w:p w14:paraId="063DDC4F">
            <w:pPr>
              <w:pStyle w:val="34"/>
            </w:pPr>
            <w:r>
              <w:t>涨潮时</w:t>
            </w:r>
          </w:p>
        </w:tc>
      </w:tr>
      <w:tr w14:paraId="10652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19A1C5EE">
            <w:pPr>
              <w:pStyle w:val="34"/>
            </w:pPr>
            <w:r>
              <w:rPr>
                <w:rFonts w:hint="eastAsia"/>
              </w:rPr>
              <w:t>钦州港青菜头南浅海滩涂养殖区</w:t>
            </w:r>
          </w:p>
        </w:tc>
        <w:tc>
          <w:tcPr>
            <w:tcW w:w="1559" w:type="dxa"/>
          </w:tcPr>
          <w:p w14:paraId="6E32FB39">
            <w:pPr>
              <w:pStyle w:val="34"/>
            </w:pPr>
            <w:r>
              <w:rPr>
                <w:rFonts w:hint="eastAsia"/>
              </w:rPr>
              <w:t>＜0.001</w:t>
            </w:r>
          </w:p>
        </w:tc>
        <w:tc>
          <w:tcPr>
            <w:tcW w:w="1459" w:type="dxa"/>
            <w:tcBorders>
              <w:right w:val="single" w:color="auto" w:sz="12" w:space="0"/>
            </w:tcBorders>
          </w:tcPr>
          <w:p w14:paraId="34DCA9A7">
            <w:pPr>
              <w:pStyle w:val="34"/>
            </w:pPr>
            <w:r>
              <w:rPr>
                <w:rFonts w:hint="eastAsia"/>
              </w:rPr>
              <w:t>＜0.001</w:t>
            </w:r>
          </w:p>
        </w:tc>
      </w:tr>
      <w:tr w14:paraId="2473E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2AB1244C">
            <w:pPr>
              <w:pStyle w:val="34"/>
            </w:pPr>
            <w:r>
              <w:rPr>
                <w:rFonts w:hint="eastAsia"/>
              </w:rPr>
              <w:t>茅尾海南部浅海滩涂养殖区</w:t>
            </w:r>
          </w:p>
        </w:tc>
        <w:tc>
          <w:tcPr>
            <w:tcW w:w="1559" w:type="dxa"/>
          </w:tcPr>
          <w:p w14:paraId="68CA4083">
            <w:pPr>
              <w:pStyle w:val="34"/>
            </w:pPr>
            <w:r>
              <w:rPr>
                <w:rFonts w:hint="eastAsia"/>
              </w:rPr>
              <w:t>＜0.001</w:t>
            </w:r>
          </w:p>
        </w:tc>
        <w:tc>
          <w:tcPr>
            <w:tcW w:w="1459" w:type="dxa"/>
            <w:tcBorders>
              <w:right w:val="single" w:color="auto" w:sz="12" w:space="0"/>
            </w:tcBorders>
          </w:tcPr>
          <w:p w14:paraId="3219D7AE">
            <w:pPr>
              <w:pStyle w:val="34"/>
            </w:pPr>
            <w:r>
              <w:rPr>
                <w:rFonts w:hint="eastAsia"/>
              </w:rPr>
              <w:t>＜0.001</w:t>
            </w:r>
          </w:p>
        </w:tc>
      </w:tr>
      <w:tr w14:paraId="58E24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exact"/>
          <w:jc w:val="center"/>
        </w:trPr>
        <w:tc>
          <w:tcPr>
            <w:tcW w:w="5487" w:type="dxa"/>
            <w:tcBorders>
              <w:left w:val="single" w:color="auto" w:sz="12" w:space="0"/>
            </w:tcBorders>
            <w:vAlign w:val="center"/>
          </w:tcPr>
          <w:p w14:paraId="4254B038">
            <w:pPr>
              <w:pStyle w:val="34"/>
            </w:pPr>
            <w:r>
              <w:rPr>
                <w:rFonts w:hint="eastAsia"/>
              </w:rPr>
              <w:t>七十二泾生态控制区</w:t>
            </w:r>
          </w:p>
        </w:tc>
        <w:tc>
          <w:tcPr>
            <w:tcW w:w="1559" w:type="dxa"/>
          </w:tcPr>
          <w:p w14:paraId="45F92770">
            <w:pPr>
              <w:pStyle w:val="34"/>
            </w:pPr>
            <w:r>
              <w:rPr>
                <w:rFonts w:hint="eastAsia"/>
              </w:rPr>
              <w:t>＜0.001</w:t>
            </w:r>
          </w:p>
        </w:tc>
        <w:tc>
          <w:tcPr>
            <w:tcW w:w="1459" w:type="dxa"/>
            <w:tcBorders>
              <w:right w:val="single" w:color="auto" w:sz="12" w:space="0"/>
            </w:tcBorders>
          </w:tcPr>
          <w:p w14:paraId="026ADE64">
            <w:pPr>
              <w:pStyle w:val="34"/>
            </w:pPr>
            <w:r>
              <w:rPr>
                <w:rFonts w:hint="eastAsia"/>
              </w:rPr>
              <w:t>＜0.001</w:t>
            </w:r>
          </w:p>
        </w:tc>
      </w:tr>
      <w:tr w14:paraId="623F2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7C08A845">
            <w:pPr>
              <w:pStyle w:val="34"/>
            </w:pPr>
            <w:r>
              <w:rPr>
                <w:rFonts w:hint="eastAsia"/>
              </w:rPr>
              <w:t>金鼓江红树林分布区</w:t>
            </w:r>
          </w:p>
        </w:tc>
        <w:tc>
          <w:tcPr>
            <w:tcW w:w="1559" w:type="dxa"/>
          </w:tcPr>
          <w:p w14:paraId="732C4BDC">
            <w:pPr>
              <w:pStyle w:val="34"/>
            </w:pPr>
            <w:r>
              <w:rPr>
                <w:rFonts w:hint="eastAsia"/>
              </w:rPr>
              <w:t>＜0.001</w:t>
            </w:r>
          </w:p>
        </w:tc>
        <w:tc>
          <w:tcPr>
            <w:tcW w:w="1459" w:type="dxa"/>
            <w:tcBorders>
              <w:right w:val="single" w:color="auto" w:sz="12" w:space="0"/>
            </w:tcBorders>
          </w:tcPr>
          <w:p w14:paraId="05672D3D">
            <w:pPr>
              <w:pStyle w:val="34"/>
            </w:pPr>
            <w:r>
              <w:rPr>
                <w:rFonts w:hint="eastAsia"/>
              </w:rPr>
              <w:t>＜0.001</w:t>
            </w:r>
          </w:p>
        </w:tc>
      </w:tr>
      <w:tr w14:paraId="740BD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exact"/>
          <w:jc w:val="center"/>
        </w:trPr>
        <w:tc>
          <w:tcPr>
            <w:tcW w:w="5487" w:type="dxa"/>
            <w:tcBorders>
              <w:left w:val="single" w:color="auto" w:sz="12" w:space="0"/>
            </w:tcBorders>
            <w:vAlign w:val="center"/>
          </w:tcPr>
          <w:p w14:paraId="2C25BB4E">
            <w:pPr>
              <w:pStyle w:val="34"/>
            </w:pPr>
            <w:r>
              <w:rPr>
                <w:rFonts w:hint="eastAsia"/>
              </w:rPr>
              <w:t>广西茅尾海红树林自治区级自然保护区</w:t>
            </w:r>
          </w:p>
        </w:tc>
        <w:tc>
          <w:tcPr>
            <w:tcW w:w="1559" w:type="dxa"/>
          </w:tcPr>
          <w:p w14:paraId="3E8F5E5A">
            <w:pPr>
              <w:pStyle w:val="34"/>
            </w:pPr>
            <w:r>
              <w:rPr>
                <w:rFonts w:hint="eastAsia"/>
              </w:rPr>
              <w:t>＜0.001</w:t>
            </w:r>
          </w:p>
        </w:tc>
        <w:tc>
          <w:tcPr>
            <w:tcW w:w="1459" w:type="dxa"/>
            <w:tcBorders>
              <w:right w:val="single" w:color="auto" w:sz="12" w:space="0"/>
            </w:tcBorders>
          </w:tcPr>
          <w:p w14:paraId="1D237352">
            <w:pPr>
              <w:pStyle w:val="34"/>
            </w:pPr>
            <w:r>
              <w:rPr>
                <w:rFonts w:hint="eastAsia"/>
              </w:rPr>
              <w:t>＜0.001</w:t>
            </w:r>
          </w:p>
        </w:tc>
      </w:tr>
      <w:tr w14:paraId="68338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050498E5">
            <w:pPr>
              <w:pStyle w:val="34"/>
            </w:pPr>
            <w:r>
              <w:rPr>
                <w:rFonts w:hint="eastAsia"/>
              </w:rPr>
              <w:t>茅尾海国家级海洋公园</w:t>
            </w:r>
          </w:p>
        </w:tc>
        <w:tc>
          <w:tcPr>
            <w:tcW w:w="1559" w:type="dxa"/>
          </w:tcPr>
          <w:p w14:paraId="1C6A297D">
            <w:pPr>
              <w:pStyle w:val="34"/>
            </w:pPr>
            <w:r>
              <w:rPr>
                <w:rFonts w:hint="eastAsia"/>
              </w:rPr>
              <w:t>＜0.001</w:t>
            </w:r>
          </w:p>
        </w:tc>
        <w:tc>
          <w:tcPr>
            <w:tcW w:w="1459" w:type="dxa"/>
            <w:tcBorders>
              <w:right w:val="single" w:color="auto" w:sz="12" w:space="0"/>
            </w:tcBorders>
          </w:tcPr>
          <w:p w14:paraId="2FC65EE7">
            <w:pPr>
              <w:pStyle w:val="34"/>
            </w:pPr>
            <w:r>
              <w:rPr>
                <w:rFonts w:hint="eastAsia"/>
              </w:rPr>
              <w:t>＜0.001</w:t>
            </w:r>
          </w:p>
        </w:tc>
      </w:tr>
      <w:tr w14:paraId="7794B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exact"/>
          <w:jc w:val="center"/>
        </w:trPr>
        <w:tc>
          <w:tcPr>
            <w:tcW w:w="5487" w:type="dxa"/>
            <w:tcBorders>
              <w:left w:val="single" w:color="auto" w:sz="12" w:space="0"/>
              <w:bottom w:val="single" w:color="auto" w:sz="12" w:space="0"/>
            </w:tcBorders>
            <w:vAlign w:val="center"/>
          </w:tcPr>
          <w:p w14:paraId="1C46CF09">
            <w:pPr>
              <w:pStyle w:val="34"/>
            </w:pPr>
            <w:r>
              <w:rPr>
                <w:rFonts w:hint="eastAsia"/>
              </w:rPr>
              <w:t>北部湾二长棘绸长毛对虾国家级种质资源保护区(实验区)</w:t>
            </w:r>
          </w:p>
        </w:tc>
        <w:tc>
          <w:tcPr>
            <w:tcW w:w="1559" w:type="dxa"/>
            <w:tcBorders>
              <w:bottom w:val="single" w:color="auto" w:sz="12" w:space="0"/>
            </w:tcBorders>
          </w:tcPr>
          <w:p w14:paraId="638144D7">
            <w:pPr>
              <w:pStyle w:val="34"/>
            </w:pPr>
            <w:r>
              <w:rPr>
                <w:rFonts w:hint="eastAsia"/>
              </w:rPr>
              <w:t>＜0.001</w:t>
            </w:r>
          </w:p>
        </w:tc>
        <w:tc>
          <w:tcPr>
            <w:tcW w:w="1459" w:type="dxa"/>
            <w:tcBorders>
              <w:bottom w:val="single" w:color="auto" w:sz="12" w:space="0"/>
              <w:right w:val="single" w:color="auto" w:sz="12" w:space="0"/>
            </w:tcBorders>
          </w:tcPr>
          <w:p w14:paraId="713ACB43">
            <w:pPr>
              <w:pStyle w:val="34"/>
            </w:pPr>
            <w:r>
              <w:rPr>
                <w:rFonts w:hint="eastAsia"/>
              </w:rPr>
              <w:t>＜0.001</w:t>
            </w:r>
          </w:p>
        </w:tc>
      </w:tr>
    </w:tbl>
    <w:p w14:paraId="20330032">
      <w:pPr>
        <w:ind w:firstLine="439"/>
        <w:rPr>
          <w:b/>
        </w:rPr>
      </w:pPr>
      <w:r>
        <w:rPr>
          <w:rFonts w:hint="eastAsia"/>
          <w:b/>
        </w:rPr>
        <w:t>3、氢氧化钠</w:t>
      </w:r>
      <w:r>
        <w:rPr>
          <w:b/>
        </w:rPr>
        <w:t>泄漏环境影响分析</w:t>
      </w:r>
      <w:bookmarkEnd w:id="607"/>
    </w:p>
    <w:p w14:paraId="5F9B47AB">
      <w:pPr>
        <w:ind w:firstLine="437"/>
      </w:pPr>
      <w:r>
        <w:rPr>
          <w:rFonts w:hint="eastAsia"/>
        </w:rPr>
        <w:t>落潮和涨潮码头氢氧化钠泄漏的最大浓度值分别为</w:t>
      </w:r>
      <w:r>
        <w:t>1</w:t>
      </w:r>
      <w:r>
        <w:rPr>
          <w:rFonts w:hint="eastAsia"/>
        </w:rPr>
        <w:t>8.62mg/L和14.86mg/L，位于泄漏点位置，浓度包络线整体上呈东南-西北轴向分布，与主流向相同。</w:t>
      </w:r>
    </w:p>
    <w:p w14:paraId="63194C3A">
      <w:pPr>
        <w:ind w:firstLine="437"/>
      </w:pPr>
      <w:r>
        <w:rPr>
          <w:rFonts w:hint="eastAsia"/>
        </w:rPr>
        <w:t>落潮时，由于落潮流的作用，高浓度区一般在泄漏点的东南区域，0.01mg/L包络线的最大顺岸扩散距离为9.4km；垂岸向扩散距离不超过2.</w:t>
      </w:r>
      <w:r>
        <w:t>5</w:t>
      </w:r>
      <w:r>
        <w:rPr>
          <w:rFonts w:hint="eastAsia"/>
        </w:rPr>
        <w:t>km，该工况下的氢氧化钠泄漏事故主要对钦州湾湾外的钦州湾外湾渔业用海区造成影响，最大浓度值为0.07mg/L，在其他敏感目标内的浓度较小；涨潮时，氢氧化钠溶于水后在涨潮流的作用下，高浓度区向泄漏点西北侧分布，小部分可进入金鼓江，但不会影响金鼓江上游的红树林；氢氧化钠在钦州湾外湾渔业用海区的最大浓度值不超过0.012mg/L，对其他敏感目标基本无影响。</w:t>
      </w:r>
    </w:p>
    <w:p w14:paraId="6E58CEAB">
      <w:pPr>
        <w:pStyle w:val="7"/>
      </w:pPr>
      <w:r>
        <w:rPr>
          <w:rFonts w:hint="eastAsia"/>
        </w:rPr>
        <w:t>氢氧化钠泄漏后在</w:t>
      </w:r>
      <w:r>
        <w:t>海洋环境敏感区</w:t>
      </w:r>
      <w:r>
        <w:rPr>
          <w:rFonts w:hint="eastAsia"/>
        </w:rPr>
        <w:t>内</w:t>
      </w:r>
      <w:r>
        <w:t>最大浓度增量统计</w:t>
      </w:r>
    </w:p>
    <w:tbl>
      <w:tblPr>
        <w:tblStyle w:val="88"/>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87"/>
        <w:gridCol w:w="1559"/>
        <w:gridCol w:w="1459"/>
      </w:tblGrid>
      <w:tr w14:paraId="7A4E5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exact"/>
          <w:jc w:val="center"/>
        </w:trPr>
        <w:tc>
          <w:tcPr>
            <w:tcW w:w="5487" w:type="dxa"/>
            <w:vMerge w:val="restart"/>
            <w:tcBorders>
              <w:top w:val="single" w:color="auto" w:sz="12" w:space="0"/>
              <w:left w:val="single" w:color="auto" w:sz="12" w:space="0"/>
              <w:tl2br w:val="single" w:color="auto" w:sz="4" w:space="0"/>
            </w:tcBorders>
            <w:vAlign w:val="center"/>
          </w:tcPr>
          <w:p w14:paraId="5FFD7340">
            <w:pPr>
              <w:pStyle w:val="34"/>
            </w:pPr>
            <w:r>
              <w:rPr>
                <w:rFonts w:hint="eastAsia"/>
              </w:rPr>
              <w:t xml:space="preserve">            </w:t>
            </w:r>
            <w:r>
              <w:t>事故地点、时间</w:t>
            </w:r>
          </w:p>
          <w:p w14:paraId="193B4547">
            <w:pPr>
              <w:pStyle w:val="34"/>
            </w:pPr>
            <w:r>
              <w:t>敏感区名称</w:t>
            </w:r>
          </w:p>
        </w:tc>
        <w:tc>
          <w:tcPr>
            <w:tcW w:w="3018" w:type="dxa"/>
            <w:gridSpan w:val="2"/>
            <w:tcBorders>
              <w:top w:val="single" w:color="auto" w:sz="12" w:space="0"/>
              <w:right w:val="single" w:color="auto" w:sz="12" w:space="0"/>
            </w:tcBorders>
            <w:vAlign w:val="center"/>
          </w:tcPr>
          <w:p w14:paraId="11DD8545">
            <w:pPr>
              <w:pStyle w:val="34"/>
            </w:pPr>
            <w:r>
              <w:rPr>
                <w:rFonts w:hint="eastAsia"/>
              </w:rPr>
              <w:t>码头处</w:t>
            </w:r>
            <w:r>
              <w:t>事故(</w:t>
            </w:r>
            <w:r>
              <w:rPr>
                <w:rFonts w:hint="eastAsia"/>
              </w:rPr>
              <w:t>最大浓度值mg/L</w:t>
            </w:r>
            <w:r>
              <w:t>)</w:t>
            </w:r>
          </w:p>
        </w:tc>
      </w:tr>
      <w:tr w14:paraId="56654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5487" w:type="dxa"/>
            <w:vMerge w:val="continue"/>
            <w:tcBorders>
              <w:left w:val="single" w:color="auto" w:sz="12" w:space="0"/>
            </w:tcBorders>
            <w:vAlign w:val="center"/>
          </w:tcPr>
          <w:p w14:paraId="2B936FBD">
            <w:pPr>
              <w:pStyle w:val="34"/>
            </w:pPr>
          </w:p>
        </w:tc>
        <w:tc>
          <w:tcPr>
            <w:tcW w:w="1559" w:type="dxa"/>
            <w:vAlign w:val="center"/>
          </w:tcPr>
          <w:p w14:paraId="52326B6B">
            <w:pPr>
              <w:pStyle w:val="34"/>
            </w:pPr>
            <w:r>
              <w:t>落潮时</w:t>
            </w:r>
          </w:p>
        </w:tc>
        <w:tc>
          <w:tcPr>
            <w:tcW w:w="1459" w:type="dxa"/>
            <w:tcBorders>
              <w:right w:val="single" w:color="auto" w:sz="12" w:space="0"/>
            </w:tcBorders>
            <w:vAlign w:val="center"/>
          </w:tcPr>
          <w:p w14:paraId="734FC5D4">
            <w:pPr>
              <w:pStyle w:val="34"/>
            </w:pPr>
            <w:r>
              <w:t>涨潮时</w:t>
            </w:r>
          </w:p>
        </w:tc>
      </w:tr>
      <w:tr w14:paraId="48DDB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7FAE859E">
            <w:pPr>
              <w:pStyle w:val="34"/>
            </w:pPr>
            <w:r>
              <w:rPr>
                <w:rFonts w:hint="eastAsia"/>
              </w:rPr>
              <w:t>钦州港青菜头南浅海滩涂养殖区</w:t>
            </w:r>
          </w:p>
        </w:tc>
        <w:tc>
          <w:tcPr>
            <w:tcW w:w="1559" w:type="dxa"/>
          </w:tcPr>
          <w:p w14:paraId="6548F9A7">
            <w:pPr>
              <w:pStyle w:val="34"/>
            </w:pPr>
            <w:r>
              <w:rPr>
                <w:rFonts w:hint="eastAsia"/>
              </w:rPr>
              <w:t>＜0.002</w:t>
            </w:r>
          </w:p>
        </w:tc>
        <w:tc>
          <w:tcPr>
            <w:tcW w:w="1459" w:type="dxa"/>
            <w:tcBorders>
              <w:right w:val="single" w:color="auto" w:sz="12" w:space="0"/>
            </w:tcBorders>
          </w:tcPr>
          <w:p w14:paraId="3B9E743A">
            <w:pPr>
              <w:pStyle w:val="34"/>
            </w:pPr>
            <w:r>
              <w:rPr>
                <w:rFonts w:hint="eastAsia"/>
              </w:rPr>
              <w:t>＜0.002</w:t>
            </w:r>
          </w:p>
        </w:tc>
      </w:tr>
      <w:tr w14:paraId="0C1B4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2415950D">
            <w:pPr>
              <w:pStyle w:val="34"/>
            </w:pPr>
            <w:r>
              <w:rPr>
                <w:rFonts w:hint="eastAsia"/>
              </w:rPr>
              <w:t>茅尾海南部浅海滩涂养殖区</w:t>
            </w:r>
          </w:p>
        </w:tc>
        <w:tc>
          <w:tcPr>
            <w:tcW w:w="1559" w:type="dxa"/>
          </w:tcPr>
          <w:p w14:paraId="6B03E1F2">
            <w:pPr>
              <w:pStyle w:val="34"/>
            </w:pPr>
            <w:r>
              <w:rPr>
                <w:rFonts w:hint="eastAsia"/>
              </w:rPr>
              <w:t>＜0.002</w:t>
            </w:r>
          </w:p>
        </w:tc>
        <w:tc>
          <w:tcPr>
            <w:tcW w:w="1459" w:type="dxa"/>
            <w:tcBorders>
              <w:right w:val="single" w:color="auto" w:sz="12" w:space="0"/>
            </w:tcBorders>
          </w:tcPr>
          <w:p w14:paraId="0EFFF308">
            <w:pPr>
              <w:pStyle w:val="34"/>
            </w:pPr>
            <w:r>
              <w:rPr>
                <w:rFonts w:hint="eastAsia"/>
              </w:rPr>
              <w:t>＜0.002</w:t>
            </w:r>
          </w:p>
        </w:tc>
      </w:tr>
      <w:tr w14:paraId="32124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057AAA0C">
            <w:pPr>
              <w:pStyle w:val="34"/>
            </w:pPr>
            <w:r>
              <w:rPr>
                <w:rFonts w:hint="eastAsia"/>
              </w:rPr>
              <w:t>七十二泾生态控制区</w:t>
            </w:r>
          </w:p>
        </w:tc>
        <w:tc>
          <w:tcPr>
            <w:tcW w:w="1559" w:type="dxa"/>
          </w:tcPr>
          <w:p w14:paraId="4DDA49A1">
            <w:pPr>
              <w:pStyle w:val="34"/>
            </w:pPr>
            <w:r>
              <w:rPr>
                <w:rFonts w:hint="eastAsia"/>
              </w:rPr>
              <w:t>＜0.002</w:t>
            </w:r>
          </w:p>
        </w:tc>
        <w:tc>
          <w:tcPr>
            <w:tcW w:w="1459" w:type="dxa"/>
            <w:tcBorders>
              <w:right w:val="single" w:color="auto" w:sz="12" w:space="0"/>
            </w:tcBorders>
          </w:tcPr>
          <w:p w14:paraId="4A4772F7">
            <w:pPr>
              <w:pStyle w:val="34"/>
            </w:pPr>
            <w:r>
              <w:rPr>
                <w:rFonts w:hint="eastAsia"/>
              </w:rPr>
              <w:t>＜0.002</w:t>
            </w:r>
          </w:p>
        </w:tc>
      </w:tr>
      <w:tr w14:paraId="583D7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014249DF">
            <w:pPr>
              <w:pStyle w:val="34"/>
            </w:pPr>
            <w:r>
              <w:rPr>
                <w:rFonts w:hint="eastAsia"/>
              </w:rPr>
              <w:t>金鼓江红树林分布区</w:t>
            </w:r>
          </w:p>
        </w:tc>
        <w:tc>
          <w:tcPr>
            <w:tcW w:w="1559" w:type="dxa"/>
          </w:tcPr>
          <w:p w14:paraId="6718A6C8">
            <w:pPr>
              <w:pStyle w:val="34"/>
            </w:pPr>
            <w:r>
              <w:rPr>
                <w:rFonts w:hint="eastAsia"/>
              </w:rPr>
              <w:t>＜0.002</w:t>
            </w:r>
          </w:p>
        </w:tc>
        <w:tc>
          <w:tcPr>
            <w:tcW w:w="1459" w:type="dxa"/>
            <w:tcBorders>
              <w:right w:val="single" w:color="auto" w:sz="12" w:space="0"/>
            </w:tcBorders>
          </w:tcPr>
          <w:p w14:paraId="37C33E65">
            <w:pPr>
              <w:pStyle w:val="34"/>
            </w:pPr>
            <w:r>
              <w:rPr>
                <w:rFonts w:hint="eastAsia"/>
              </w:rPr>
              <w:t>＜0.002</w:t>
            </w:r>
          </w:p>
        </w:tc>
      </w:tr>
      <w:tr w14:paraId="6BB34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483EAA2D">
            <w:pPr>
              <w:pStyle w:val="34"/>
            </w:pPr>
            <w:r>
              <w:rPr>
                <w:rFonts w:hint="eastAsia"/>
              </w:rPr>
              <w:t>广西茅尾海红树林自治区级自然保护区</w:t>
            </w:r>
          </w:p>
        </w:tc>
        <w:tc>
          <w:tcPr>
            <w:tcW w:w="1559" w:type="dxa"/>
          </w:tcPr>
          <w:p w14:paraId="27136042">
            <w:pPr>
              <w:pStyle w:val="34"/>
            </w:pPr>
            <w:r>
              <w:rPr>
                <w:rFonts w:hint="eastAsia"/>
              </w:rPr>
              <w:t>＜0.002</w:t>
            </w:r>
          </w:p>
        </w:tc>
        <w:tc>
          <w:tcPr>
            <w:tcW w:w="1459" w:type="dxa"/>
            <w:tcBorders>
              <w:right w:val="single" w:color="auto" w:sz="12" w:space="0"/>
            </w:tcBorders>
          </w:tcPr>
          <w:p w14:paraId="2D608AA3">
            <w:pPr>
              <w:pStyle w:val="34"/>
            </w:pPr>
            <w:r>
              <w:rPr>
                <w:rFonts w:hint="eastAsia"/>
              </w:rPr>
              <w:t>＜0.002</w:t>
            </w:r>
          </w:p>
        </w:tc>
      </w:tr>
      <w:tr w14:paraId="30C50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58B8DEF6">
            <w:pPr>
              <w:pStyle w:val="34"/>
            </w:pPr>
            <w:r>
              <w:rPr>
                <w:rFonts w:hint="eastAsia"/>
              </w:rPr>
              <w:t>茅尾海国家级海洋公园</w:t>
            </w:r>
          </w:p>
        </w:tc>
        <w:tc>
          <w:tcPr>
            <w:tcW w:w="1559" w:type="dxa"/>
          </w:tcPr>
          <w:p w14:paraId="474E64D9">
            <w:pPr>
              <w:pStyle w:val="34"/>
            </w:pPr>
            <w:r>
              <w:rPr>
                <w:rFonts w:hint="eastAsia"/>
              </w:rPr>
              <w:t>＜0.002</w:t>
            </w:r>
          </w:p>
        </w:tc>
        <w:tc>
          <w:tcPr>
            <w:tcW w:w="1459" w:type="dxa"/>
            <w:tcBorders>
              <w:right w:val="single" w:color="auto" w:sz="12" w:space="0"/>
            </w:tcBorders>
          </w:tcPr>
          <w:p w14:paraId="257FBEBD">
            <w:pPr>
              <w:pStyle w:val="34"/>
            </w:pPr>
            <w:r>
              <w:rPr>
                <w:rFonts w:hint="eastAsia"/>
              </w:rPr>
              <w:t>＜0.002</w:t>
            </w:r>
          </w:p>
        </w:tc>
      </w:tr>
      <w:tr w14:paraId="0102C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exact"/>
          <w:jc w:val="center"/>
        </w:trPr>
        <w:tc>
          <w:tcPr>
            <w:tcW w:w="5487" w:type="dxa"/>
            <w:tcBorders>
              <w:left w:val="single" w:color="auto" w:sz="12" w:space="0"/>
              <w:bottom w:val="single" w:color="auto" w:sz="12" w:space="0"/>
            </w:tcBorders>
            <w:vAlign w:val="center"/>
          </w:tcPr>
          <w:p w14:paraId="129D6A52">
            <w:pPr>
              <w:pStyle w:val="34"/>
            </w:pPr>
            <w:r>
              <w:rPr>
                <w:rFonts w:hint="eastAsia"/>
              </w:rPr>
              <w:t>北部湾二长棘绸长毛对虾国家级种质资源保护区(实验区)</w:t>
            </w:r>
          </w:p>
        </w:tc>
        <w:tc>
          <w:tcPr>
            <w:tcW w:w="1559" w:type="dxa"/>
            <w:tcBorders>
              <w:bottom w:val="single" w:color="auto" w:sz="12" w:space="0"/>
            </w:tcBorders>
          </w:tcPr>
          <w:p w14:paraId="3C04899B">
            <w:pPr>
              <w:pStyle w:val="34"/>
            </w:pPr>
            <w:r>
              <w:rPr>
                <w:rFonts w:hint="eastAsia"/>
              </w:rPr>
              <w:t>＜0.002</w:t>
            </w:r>
          </w:p>
        </w:tc>
        <w:tc>
          <w:tcPr>
            <w:tcW w:w="1459" w:type="dxa"/>
            <w:tcBorders>
              <w:bottom w:val="single" w:color="auto" w:sz="12" w:space="0"/>
              <w:right w:val="single" w:color="auto" w:sz="12" w:space="0"/>
            </w:tcBorders>
          </w:tcPr>
          <w:p w14:paraId="151FD388">
            <w:pPr>
              <w:pStyle w:val="34"/>
            </w:pPr>
            <w:r>
              <w:rPr>
                <w:rFonts w:hint="eastAsia"/>
              </w:rPr>
              <w:t>＜0.002</w:t>
            </w:r>
          </w:p>
        </w:tc>
      </w:tr>
    </w:tbl>
    <w:p w14:paraId="61E013E9">
      <w:pPr>
        <w:ind w:firstLine="437"/>
      </w:pPr>
      <w:r>
        <w:rPr>
          <w:rFonts w:hint="eastAsia"/>
        </w:rPr>
        <w:t>4、己二腈泄漏环境影响分析</w:t>
      </w:r>
    </w:p>
    <w:p w14:paraId="6C68AA22">
      <w:pPr>
        <w:ind w:firstLine="437"/>
      </w:pPr>
      <w:r>
        <w:rPr>
          <w:rFonts w:hint="eastAsia"/>
        </w:rPr>
        <w:t>落潮和涨潮码头己二腈泄漏的最大浓度值分别为0.63 mg/L和0.50mg/L，位于泄漏点位置。</w:t>
      </w:r>
    </w:p>
    <w:p w14:paraId="0653D384">
      <w:pPr>
        <w:ind w:firstLine="437"/>
      </w:pPr>
      <w:r>
        <w:rPr>
          <w:rFonts w:hint="eastAsia"/>
        </w:rPr>
        <w:t>落潮时，由于落潮流的作用，高浓度区一般在钦州湾外湾，相较而言，进入钦州湾内则较少，其中，0.0001mg/L包络线偏南向的最远扩散距离为15.1km；0.001mg/L包络线偏南向的最远扩散距离为5.9km；0.01mg/L和0.1mg/L包络线偏南向的最远扩散距离不超过2km，相较而言，上述浓度包络线偏北向的扩散距离则较小。从图中可以看出，己二腈主要影响的敏感目标为钦州湾外湾渔业用海区、钦州湾渔业用海区，在钦州湾外湾渔业用海区内的最大浓度值不超过0.006mg/L，在钦州湾渔业用海区的最大浓度值为0.0002mg/L。</w:t>
      </w:r>
    </w:p>
    <w:p w14:paraId="58E6177D">
      <w:pPr>
        <w:ind w:firstLine="437"/>
      </w:pPr>
      <w:r>
        <w:rPr>
          <w:rFonts w:hint="eastAsia"/>
        </w:rPr>
        <w:t>涨潮时，己二腈随涨潮流进入钦州湾湾内，其中，0.0001mg/L包络线偏北向的最远扩散距离为4.7km；0.001mg/L包络线偏北向的最远扩散距离为3.5km；0.01mg/L和0.1mg/L包络线偏北向的最远扩散距离不超过2km，相较而言，除0.0001mg/L包络线外，上述浓度包络线偏南向的扩散距离则较小。己二腈在钦州湾外湾渔业用海区中的己二腈浓度值普遍比落潮时小，在钦州湾外湾渔业用海区中的最大浓度值不超过0.0003mg/L，在其他敏感目标内的最大浓度均不超过0.0001 mg/L。</w:t>
      </w:r>
    </w:p>
    <w:p w14:paraId="362A343E">
      <w:pPr>
        <w:pStyle w:val="7"/>
      </w:pPr>
      <w:r>
        <w:rPr>
          <w:rFonts w:hint="eastAsia"/>
        </w:rPr>
        <w:t>己二腈泄漏入海影响水域的扩散距离与包络面积</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52"/>
        <w:gridCol w:w="1155"/>
        <w:gridCol w:w="1156"/>
        <w:gridCol w:w="1127"/>
        <w:gridCol w:w="1127"/>
        <w:gridCol w:w="977"/>
        <w:gridCol w:w="1128"/>
      </w:tblGrid>
      <w:tr w14:paraId="239A5C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vMerge w:val="restart"/>
            <w:vAlign w:val="center"/>
          </w:tcPr>
          <w:p w14:paraId="0C230239">
            <w:pPr>
              <w:pStyle w:val="34"/>
            </w:pPr>
            <w:r>
              <w:rPr>
                <w:rFonts w:hint="eastAsia"/>
              </w:rPr>
              <w:t>指标</w:t>
            </w:r>
          </w:p>
        </w:tc>
        <w:tc>
          <w:tcPr>
            <w:tcW w:w="2311" w:type="dxa"/>
            <w:gridSpan w:val="2"/>
            <w:vMerge w:val="restart"/>
            <w:vAlign w:val="center"/>
          </w:tcPr>
          <w:p w14:paraId="3618F410">
            <w:pPr>
              <w:pStyle w:val="34"/>
            </w:pPr>
            <w:r>
              <w:rPr>
                <w:rFonts w:hint="eastAsia"/>
              </w:rPr>
              <w:t>包络面积（km</w:t>
            </w:r>
            <w:r>
              <w:rPr>
                <w:rFonts w:hint="eastAsia"/>
                <w:vertAlign w:val="superscript"/>
              </w:rPr>
              <w:t>2</w:t>
            </w:r>
            <w:r>
              <w:rPr>
                <w:rFonts w:hint="eastAsia"/>
              </w:rPr>
              <w:t>）</w:t>
            </w:r>
          </w:p>
        </w:tc>
        <w:tc>
          <w:tcPr>
            <w:tcW w:w="4359" w:type="dxa"/>
            <w:gridSpan w:val="4"/>
          </w:tcPr>
          <w:p w14:paraId="7657DBDB">
            <w:pPr>
              <w:pStyle w:val="34"/>
            </w:pPr>
            <w:r>
              <w:rPr>
                <w:rFonts w:hint="eastAsia"/>
              </w:rPr>
              <w:t>最远扩散距离（km），泄漏点起算</w:t>
            </w:r>
          </w:p>
        </w:tc>
      </w:tr>
      <w:tr w14:paraId="668645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vMerge w:val="continue"/>
          </w:tcPr>
          <w:p w14:paraId="73E69183">
            <w:pPr>
              <w:pStyle w:val="34"/>
            </w:pPr>
          </w:p>
        </w:tc>
        <w:tc>
          <w:tcPr>
            <w:tcW w:w="2311" w:type="dxa"/>
            <w:gridSpan w:val="2"/>
            <w:vMerge w:val="continue"/>
          </w:tcPr>
          <w:p w14:paraId="6F695083">
            <w:pPr>
              <w:pStyle w:val="34"/>
            </w:pPr>
          </w:p>
        </w:tc>
        <w:tc>
          <w:tcPr>
            <w:tcW w:w="2254" w:type="dxa"/>
            <w:gridSpan w:val="2"/>
          </w:tcPr>
          <w:p w14:paraId="3642B098">
            <w:pPr>
              <w:pStyle w:val="34"/>
            </w:pPr>
            <w:r>
              <w:rPr>
                <w:rFonts w:hint="eastAsia"/>
              </w:rPr>
              <w:t>偏北向</w:t>
            </w:r>
          </w:p>
        </w:tc>
        <w:tc>
          <w:tcPr>
            <w:tcW w:w="2105" w:type="dxa"/>
            <w:gridSpan w:val="2"/>
          </w:tcPr>
          <w:p w14:paraId="377D8C90">
            <w:pPr>
              <w:pStyle w:val="34"/>
            </w:pPr>
            <w:r>
              <w:rPr>
                <w:rFonts w:hint="eastAsia"/>
              </w:rPr>
              <w:t>偏南向</w:t>
            </w:r>
          </w:p>
        </w:tc>
      </w:tr>
      <w:tr w14:paraId="42C0A2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4833B336">
            <w:pPr>
              <w:pStyle w:val="34"/>
            </w:pPr>
            <w:r>
              <w:rPr>
                <w:rFonts w:hint="eastAsia"/>
              </w:rPr>
              <w:t>泄漏潮流</w:t>
            </w:r>
          </w:p>
        </w:tc>
        <w:tc>
          <w:tcPr>
            <w:tcW w:w="1155" w:type="dxa"/>
          </w:tcPr>
          <w:p w14:paraId="026EFCBB">
            <w:pPr>
              <w:pStyle w:val="34"/>
            </w:pPr>
            <w:r>
              <w:rPr>
                <w:rFonts w:hint="eastAsia"/>
              </w:rPr>
              <w:t>涨潮</w:t>
            </w:r>
          </w:p>
        </w:tc>
        <w:tc>
          <w:tcPr>
            <w:tcW w:w="1156" w:type="dxa"/>
          </w:tcPr>
          <w:p w14:paraId="76E24ACD">
            <w:pPr>
              <w:pStyle w:val="34"/>
            </w:pPr>
            <w:r>
              <w:rPr>
                <w:rFonts w:hint="eastAsia"/>
              </w:rPr>
              <w:t>落潮</w:t>
            </w:r>
          </w:p>
        </w:tc>
        <w:tc>
          <w:tcPr>
            <w:tcW w:w="1127" w:type="dxa"/>
          </w:tcPr>
          <w:p w14:paraId="625C9581">
            <w:pPr>
              <w:pStyle w:val="34"/>
            </w:pPr>
            <w:r>
              <w:rPr>
                <w:rFonts w:hint="eastAsia"/>
              </w:rPr>
              <w:t>涨潮</w:t>
            </w:r>
          </w:p>
        </w:tc>
        <w:tc>
          <w:tcPr>
            <w:tcW w:w="1127" w:type="dxa"/>
          </w:tcPr>
          <w:p w14:paraId="14E07086">
            <w:pPr>
              <w:pStyle w:val="34"/>
            </w:pPr>
            <w:r>
              <w:rPr>
                <w:rFonts w:hint="eastAsia"/>
              </w:rPr>
              <w:t>落潮</w:t>
            </w:r>
          </w:p>
        </w:tc>
        <w:tc>
          <w:tcPr>
            <w:tcW w:w="977" w:type="dxa"/>
          </w:tcPr>
          <w:p w14:paraId="0149856C">
            <w:pPr>
              <w:pStyle w:val="34"/>
            </w:pPr>
            <w:r>
              <w:rPr>
                <w:rFonts w:hint="eastAsia"/>
              </w:rPr>
              <w:t>涨潮</w:t>
            </w:r>
          </w:p>
        </w:tc>
        <w:tc>
          <w:tcPr>
            <w:tcW w:w="1128" w:type="dxa"/>
          </w:tcPr>
          <w:p w14:paraId="7C90314F">
            <w:pPr>
              <w:pStyle w:val="34"/>
            </w:pPr>
            <w:r>
              <w:rPr>
                <w:rFonts w:hint="eastAsia"/>
              </w:rPr>
              <w:t>落潮</w:t>
            </w:r>
          </w:p>
        </w:tc>
      </w:tr>
      <w:tr w14:paraId="634EA1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733753CF">
            <w:pPr>
              <w:pStyle w:val="34"/>
            </w:pPr>
            <w:r>
              <w:rPr>
                <w:rFonts w:hint="eastAsia"/>
              </w:rPr>
              <w:t>＞0.001</w:t>
            </w:r>
            <w:r>
              <w:t>mg/L</w:t>
            </w:r>
          </w:p>
        </w:tc>
        <w:tc>
          <w:tcPr>
            <w:tcW w:w="1155" w:type="dxa"/>
            <w:vAlign w:val="bottom"/>
          </w:tcPr>
          <w:p w14:paraId="2C9713C0">
            <w:pPr>
              <w:pStyle w:val="34"/>
            </w:pPr>
            <w:r>
              <w:rPr>
                <w:rFonts w:hint="eastAsia"/>
              </w:rPr>
              <w:t xml:space="preserve">0.83 </w:t>
            </w:r>
          </w:p>
        </w:tc>
        <w:tc>
          <w:tcPr>
            <w:tcW w:w="1156" w:type="dxa"/>
            <w:vAlign w:val="bottom"/>
          </w:tcPr>
          <w:p w14:paraId="3ADD87CA">
            <w:pPr>
              <w:pStyle w:val="34"/>
            </w:pPr>
            <w:r>
              <w:rPr>
                <w:rFonts w:hint="eastAsia"/>
              </w:rPr>
              <w:t xml:space="preserve">9.16 </w:t>
            </w:r>
          </w:p>
        </w:tc>
        <w:tc>
          <w:tcPr>
            <w:tcW w:w="1127" w:type="dxa"/>
          </w:tcPr>
          <w:p w14:paraId="5FAF1E75">
            <w:pPr>
              <w:pStyle w:val="34"/>
            </w:pPr>
            <w:r>
              <w:rPr>
                <w:rFonts w:hint="eastAsia"/>
              </w:rPr>
              <w:t>3.5</w:t>
            </w:r>
          </w:p>
        </w:tc>
        <w:tc>
          <w:tcPr>
            <w:tcW w:w="1127" w:type="dxa"/>
          </w:tcPr>
          <w:p w14:paraId="5C3052AE">
            <w:pPr>
              <w:pStyle w:val="34"/>
            </w:pPr>
            <w:r>
              <w:rPr>
                <w:rFonts w:hint="eastAsia"/>
              </w:rPr>
              <w:t>0.13</w:t>
            </w:r>
          </w:p>
        </w:tc>
        <w:tc>
          <w:tcPr>
            <w:tcW w:w="977" w:type="dxa"/>
          </w:tcPr>
          <w:p w14:paraId="44E0D7CB">
            <w:pPr>
              <w:pStyle w:val="34"/>
            </w:pPr>
            <w:r>
              <w:rPr>
                <w:rFonts w:hint="eastAsia"/>
              </w:rPr>
              <w:t>0.05</w:t>
            </w:r>
          </w:p>
        </w:tc>
        <w:tc>
          <w:tcPr>
            <w:tcW w:w="1128" w:type="dxa"/>
          </w:tcPr>
          <w:p w14:paraId="00C366E2">
            <w:pPr>
              <w:pStyle w:val="34"/>
            </w:pPr>
            <w:r>
              <w:rPr>
                <w:rFonts w:hint="eastAsia"/>
              </w:rPr>
              <w:t>5.9</w:t>
            </w:r>
          </w:p>
        </w:tc>
      </w:tr>
      <w:tr w14:paraId="50E837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5A8EDF76">
            <w:pPr>
              <w:pStyle w:val="34"/>
            </w:pPr>
            <w:r>
              <w:rPr>
                <w:rFonts w:hint="eastAsia"/>
              </w:rPr>
              <w:t>＞0.01</w:t>
            </w:r>
            <w:r>
              <w:t>mg/L</w:t>
            </w:r>
          </w:p>
        </w:tc>
        <w:tc>
          <w:tcPr>
            <w:tcW w:w="1155" w:type="dxa"/>
            <w:vAlign w:val="bottom"/>
          </w:tcPr>
          <w:p w14:paraId="361FAB07">
            <w:pPr>
              <w:pStyle w:val="34"/>
            </w:pPr>
            <w:r>
              <w:rPr>
                <w:rFonts w:hint="eastAsia"/>
              </w:rPr>
              <w:t xml:space="preserve">0.24 </w:t>
            </w:r>
          </w:p>
        </w:tc>
        <w:tc>
          <w:tcPr>
            <w:tcW w:w="1156" w:type="dxa"/>
            <w:vAlign w:val="bottom"/>
          </w:tcPr>
          <w:p w14:paraId="77F0FA5D">
            <w:pPr>
              <w:pStyle w:val="34"/>
            </w:pPr>
            <w:r>
              <w:rPr>
                <w:rFonts w:hint="eastAsia"/>
              </w:rPr>
              <w:t xml:space="preserve">0.75 </w:t>
            </w:r>
          </w:p>
        </w:tc>
        <w:tc>
          <w:tcPr>
            <w:tcW w:w="1127" w:type="dxa"/>
          </w:tcPr>
          <w:p w14:paraId="72C1C548">
            <w:pPr>
              <w:pStyle w:val="34"/>
            </w:pPr>
            <w:r>
              <w:rPr>
                <w:rFonts w:hint="eastAsia"/>
              </w:rPr>
              <w:t>2.0</w:t>
            </w:r>
          </w:p>
        </w:tc>
        <w:tc>
          <w:tcPr>
            <w:tcW w:w="1127" w:type="dxa"/>
          </w:tcPr>
          <w:p w14:paraId="0EBA52F8">
            <w:pPr>
              <w:pStyle w:val="34"/>
            </w:pPr>
            <w:r>
              <w:rPr>
                <w:rFonts w:hint="eastAsia"/>
              </w:rPr>
              <w:t>0.08</w:t>
            </w:r>
          </w:p>
        </w:tc>
        <w:tc>
          <w:tcPr>
            <w:tcW w:w="977" w:type="dxa"/>
          </w:tcPr>
          <w:p w14:paraId="1D0DB8A8">
            <w:pPr>
              <w:pStyle w:val="34"/>
            </w:pPr>
            <w:r>
              <w:rPr>
                <w:rFonts w:hint="eastAsia"/>
              </w:rPr>
              <w:t>0.04</w:t>
            </w:r>
          </w:p>
        </w:tc>
        <w:tc>
          <w:tcPr>
            <w:tcW w:w="1128" w:type="dxa"/>
          </w:tcPr>
          <w:p w14:paraId="3271C03A">
            <w:pPr>
              <w:pStyle w:val="34"/>
            </w:pPr>
            <w:r>
              <w:rPr>
                <w:rFonts w:hint="eastAsia"/>
              </w:rPr>
              <w:t>1.95</w:t>
            </w:r>
          </w:p>
        </w:tc>
      </w:tr>
      <w:tr w14:paraId="4C1E24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77A8FFAE">
            <w:pPr>
              <w:pStyle w:val="34"/>
            </w:pPr>
            <w:r>
              <w:rPr>
                <w:rFonts w:hint="eastAsia"/>
              </w:rPr>
              <w:t>＞0.1</w:t>
            </w:r>
            <w:r>
              <w:t>mg/L</w:t>
            </w:r>
          </w:p>
        </w:tc>
        <w:tc>
          <w:tcPr>
            <w:tcW w:w="1155" w:type="dxa"/>
            <w:vAlign w:val="bottom"/>
          </w:tcPr>
          <w:p w14:paraId="2965AB07">
            <w:pPr>
              <w:pStyle w:val="34"/>
            </w:pPr>
            <w:r>
              <w:rPr>
                <w:rFonts w:hint="eastAsia"/>
              </w:rPr>
              <w:t xml:space="preserve">0.03 </w:t>
            </w:r>
          </w:p>
        </w:tc>
        <w:tc>
          <w:tcPr>
            <w:tcW w:w="1156" w:type="dxa"/>
            <w:vAlign w:val="bottom"/>
          </w:tcPr>
          <w:p w14:paraId="3C5EE5EA">
            <w:pPr>
              <w:pStyle w:val="34"/>
            </w:pPr>
            <w:r>
              <w:rPr>
                <w:rFonts w:hint="eastAsia"/>
              </w:rPr>
              <w:t xml:space="preserve">0.22 </w:t>
            </w:r>
          </w:p>
        </w:tc>
        <w:tc>
          <w:tcPr>
            <w:tcW w:w="1127" w:type="dxa"/>
          </w:tcPr>
          <w:p w14:paraId="1FA70898">
            <w:pPr>
              <w:pStyle w:val="34"/>
            </w:pPr>
            <w:r>
              <w:rPr>
                <w:rFonts w:hint="eastAsia"/>
              </w:rPr>
              <w:t>0.7</w:t>
            </w:r>
          </w:p>
        </w:tc>
        <w:tc>
          <w:tcPr>
            <w:tcW w:w="1127" w:type="dxa"/>
          </w:tcPr>
          <w:p w14:paraId="660166BD">
            <w:pPr>
              <w:pStyle w:val="34"/>
            </w:pPr>
            <w:r>
              <w:rPr>
                <w:rFonts w:hint="eastAsia"/>
              </w:rPr>
              <w:t>0.05</w:t>
            </w:r>
          </w:p>
        </w:tc>
        <w:tc>
          <w:tcPr>
            <w:tcW w:w="977" w:type="dxa"/>
          </w:tcPr>
          <w:p w14:paraId="5ECF515A">
            <w:pPr>
              <w:pStyle w:val="34"/>
            </w:pPr>
            <w:r>
              <w:rPr>
                <w:rFonts w:hint="eastAsia"/>
              </w:rPr>
              <w:t>0.03</w:t>
            </w:r>
          </w:p>
        </w:tc>
        <w:tc>
          <w:tcPr>
            <w:tcW w:w="1128" w:type="dxa"/>
          </w:tcPr>
          <w:p w14:paraId="5270CABA">
            <w:pPr>
              <w:pStyle w:val="34"/>
            </w:pPr>
            <w:r>
              <w:rPr>
                <w:rFonts w:hint="eastAsia"/>
              </w:rPr>
              <w:t>0.90</w:t>
            </w:r>
          </w:p>
        </w:tc>
      </w:tr>
      <w:tr w14:paraId="6456D4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3B58EDF2">
            <w:pPr>
              <w:pStyle w:val="34"/>
            </w:pPr>
            <w:r>
              <w:rPr>
                <w:rFonts w:hint="eastAsia"/>
              </w:rPr>
              <w:t>＞1</w:t>
            </w:r>
            <w:r>
              <w:t>mg/L</w:t>
            </w:r>
          </w:p>
        </w:tc>
        <w:tc>
          <w:tcPr>
            <w:tcW w:w="1155" w:type="dxa"/>
          </w:tcPr>
          <w:p w14:paraId="5DAD28BD">
            <w:pPr>
              <w:pStyle w:val="34"/>
            </w:pPr>
            <w:r>
              <w:rPr>
                <w:rFonts w:hint="eastAsia"/>
              </w:rPr>
              <w:t>-</w:t>
            </w:r>
          </w:p>
        </w:tc>
        <w:tc>
          <w:tcPr>
            <w:tcW w:w="1156" w:type="dxa"/>
          </w:tcPr>
          <w:p w14:paraId="5700D3F8">
            <w:pPr>
              <w:pStyle w:val="34"/>
            </w:pPr>
            <w:r>
              <w:rPr>
                <w:rFonts w:hint="eastAsia"/>
              </w:rPr>
              <w:t>-</w:t>
            </w:r>
          </w:p>
        </w:tc>
        <w:tc>
          <w:tcPr>
            <w:tcW w:w="1127" w:type="dxa"/>
          </w:tcPr>
          <w:p w14:paraId="55D0ADDB">
            <w:pPr>
              <w:pStyle w:val="34"/>
            </w:pPr>
            <w:r>
              <w:rPr>
                <w:rFonts w:hint="eastAsia"/>
              </w:rPr>
              <w:t>-</w:t>
            </w:r>
          </w:p>
        </w:tc>
        <w:tc>
          <w:tcPr>
            <w:tcW w:w="1127" w:type="dxa"/>
          </w:tcPr>
          <w:p w14:paraId="41AA7F74">
            <w:pPr>
              <w:pStyle w:val="34"/>
            </w:pPr>
            <w:r>
              <w:rPr>
                <w:rFonts w:hint="eastAsia"/>
              </w:rPr>
              <w:t>-</w:t>
            </w:r>
          </w:p>
        </w:tc>
        <w:tc>
          <w:tcPr>
            <w:tcW w:w="977" w:type="dxa"/>
          </w:tcPr>
          <w:p w14:paraId="44E85743">
            <w:pPr>
              <w:pStyle w:val="34"/>
            </w:pPr>
            <w:r>
              <w:rPr>
                <w:rFonts w:hint="eastAsia"/>
              </w:rPr>
              <w:t>-</w:t>
            </w:r>
          </w:p>
        </w:tc>
        <w:tc>
          <w:tcPr>
            <w:tcW w:w="1128" w:type="dxa"/>
          </w:tcPr>
          <w:p w14:paraId="2068822E">
            <w:pPr>
              <w:pStyle w:val="34"/>
            </w:pPr>
            <w:r>
              <w:rPr>
                <w:rFonts w:hint="eastAsia"/>
              </w:rPr>
              <w:t>-</w:t>
            </w:r>
          </w:p>
        </w:tc>
      </w:tr>
    </w:tbl>
    <w:p w14:paraId="7217E99D">
      <w:pPr>
        <w:ind w:firstLine="437"/>
      </w:pPr>
      <w:r>
        <w:rPr>
          <w:rFonts w:hint="eastAsia"/>
        </w:rPr>
        <w:t>5、硫酸镉泄漏环境影响分析</w:t>
      </w:r>
    </w:p>
    <w:p w14:paraId="1A6A2F9D">
      <w:pPr>
        <w:ind w:firstLine="437"/>
      </w:pPr>
      <w:r>
        <w:rPr>
          <w:rFonts w:hint="eastAsia"/>
        </w:rPr>
        <w:t>落潮和涨潮码头硫酸镉泄漏的最大浓度值分别为0.31mg/L和0.25mg/L，位于泄漏点位置。</w:t>
      </w:r>
    </w:p>
    <w:p w14:paraId="76B14C02">
      <w:pPr>
        <w:ind w:firstLine="437"/>
      </w:pPr>
      <w:r>
        <w:rPr>
          <w:rFonts w:hint="eastAsia"/>
        </w:rPr>
        <w:t>落潮时，由于落潮流的作用，高浓度区一般在钦州湾外湾，相较而言，进入钦州湾内则较少。从图中可以看出，镉离子主要影响的敏感目标为钦州湾外湾渔业用海区</w:t>
      </w:r>
      <w:r>
        <w:t>、</w:t>
      </w:r>
      <w:r>
        <w:rPr>
          <w:rFonts w:hint="eastAsia"/>
        </w:rPr>
        <w:t>钦州湾渔业用海区。其中，在钦州湾外湾渔业用海区内的最大浓度值为0.0012mg/L，超出第一类海水水质标准(≤0.001mg/L)，超标面积为0.66km</w:t>
      </w:r>
      <w:r>
        <w:rPr>
          <w:rFonts w:hint="eastAsia"/>
          <w:vertAlign w:val="superscript"/>
        </w:rPr>
        <w:t>2</w:t>
      </w:r>
      <w:r>
        <w:rPr>
          <w:rFonts w:hint="eastAsia"/>
        </w:rPr>
        <w:t>，达到二类水质标准；在钦州湾渔业用海区</w:t>
      </w:r>
      <w:r>
        <w:t>的最大浓度为</w:t>
      </w:r>
      <w:r>
        <w:rPr>
          <w:rFonts w:hint="eastAsia"/>
        </w:rPr>
        <w:t>0.00013 mg/L，达到第一类海水水质标准。涨潮时，镉离子随涨潮流进入钦州湾湾内，相较而言，在钦州湾外湾渔业用海区</w:t>
      </w:r>
      <w:r>
        <w:t>中的</w:t>
      </w:r>
      <w:r>
        <w:rPr>
          <w:rFonts w:hint="eastAsia"/>
        </w:rPr>
        <w:t>镉离子浓度值普遍比落潮时小，在钦州湾外湾渔业用海区</w:t>
      </w:r>
      <w:r>
        <w:t>中的</w:t>
      </w:r>
      <w:r>
        <w:rPr>
          <w:rFonts w:hint="eastAsia"/>
        </w:rPr>
        <w:t>最大浓度值不超过0.00018mg/L，达到第一类海水水质标准；在其他敏感目标内的浓度值更小，且均优于第一类海水水质标准浓度值。</w:t>
      </w:r>
    </w:p>
    <w:p w14:paraId="0ABDEEDA">
      <w:pPr>
        <w:ind w:firstLine="437"/>
      </w:pPr>
      <w:r>
        <w:t>扩散距离方面，</w:t>
      </w:r>
      <w:r>
        <w:rPr>
          <w:rFonts w:hint="eastAsia"/>
        </w:rPr>
        <w:t>由于落潮流的作用，落潮时硫酸镉高浓度区偏南向分布，相较而言，进入钦州湾内则较少，其中，0.0001mg/L包络线偏南向的最远扩散距离为11.8km；0.001mg/L包络线偏南向的最远扩散距离为5.4km；0.01mg/L和0.1mg/L包络线偏南向的最远扩散距离不超过1.5km，上述浓度包络线偏北向的扩散距离则较小。涨潮时，硫酸镉高浓度区随涨潮流偏北向分布，其中，0.0001mg/L包络线偏北向的最远扩散距离为4.4km；0.001mg/L包络线偏北向的最远扩散距离为3.4km；0.01mg/L和0.1mg/L包络线偏北向的最远扩散距离不超过1.5km，相较而言，除0.0001mg/L包络线外，其他浓度包络线偏南向的扩散距离不超过50m。</w:t>
      </w:r>
    </w:p>
    <w:p w14:paraId="6AD295A1">
      <w:pPr>
        <w:pStyle w:val="7"/>
      </w:pPr>
      <w:r>
        <w:rPr>
          <w:rFonts w:hint="eastAsia"/>
        </w:rPr>
        <w:t>硫酸镉泄漏后镉离子在</w:t>
      </w:r>
      <w:r>
        <w:t>海洋环境敏感区</w:t>
      </w:r>
      <w:r>
        <w:rPr>
          <w:rFonts w:hint="eastAsia"/>
        </w:rPr>
        <w:t>内</w:t>
      </w:r>
      <w:r>
        <w:t>最大浓度增量统计</w:t>
      </w:r>
    </w:p>
    <w:tbl>
      <w:tblPr>
        <w:tblStyle w:val="88"/>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87"/>
        <w:gridCol w:w="1559"/>
        <w:gridCol w:w="1459"/>
      </w:tblGrid>
      <w:tr w14:paraId="72756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5487" w:type="dxa"/>
            <w:vMerge w:val="restart"/>
            <w:tcBorders>
              <w:top w:val="single" w:color="auto" w:sz="12" w:space="0"/>
              <w:left w:val="single" w:color="auto" w:sz="12" w:space="0"/>
              <w:tl2br w:val="single" w:color="auto" w:sz="4" w:space="0"/>
            </w:tcBorders>
            <w:vAlign w:val="center"/>
          </w:tcPr>
          <w:p w14:paraId="2BC34344">
            <w:pPr>
              <w:pStyle w:val="34"/>
            </w:pPr>
            <w:r>
              <w:rPr>
                <w:rFonts w:hint="eastAsia"/>
              </w:rPr>
              <w:t xml:space="preserve">            </w:t>
            </w:r>
            <w:r>
              <w:t>事故地点、时间</w:t>
            </w:r>
          </w:p>
          <w:p w14:paraId="7CF85241">
            <w:pPr>
              <w:pStyle w:val="34"/>
            </w:pPr>
            <w:r>
              <w:t>敏感区名称</w:t>
            </w:r>
          </w:p>
        </w:tc>
        <w:tc>
          <w:tcPr>
            <w:tcW w:w="3018" w:type="dxa"/>
            <w:gridSpan w:val="2"/>
            <w:tcBorders>
              <w:top w:val="single" w:color="auto" w:sz="12" w:space="0"/>
              <w:right w:val="single" w:color="auto" w:sz="12" w:space="0"/>
            </w:tcBorders>
            <w:vAlign w:val="center"/>
          </w:tcPr>
          <w:p w14:paraId="5D787D8D">
            <w:pPr>
              <w:pStyle w:val="34"/>
            </w:pPr>
            <w:r>
              <w:rPr>
                <w:rFonts w:hint="eastAsia"/>
              </w:rPr>
              <w:t>码头处</w:t>
            </w:r>
            <w:r>
              <w:t>事故(</w:t>
            </w:r>
            <w:r>
              <w:rPr>
                <w:rFonts w:hint="eastAsia"/>
              </w:rPr>
              <w:t>最大浓度值mg/L</w:t>
            </w:r>
            <w:r>
              <w:t>)</w:t>
            </w:r>
          </w:p>
        </w:tc>
      </w:tr>
      <w:tr w14:paraId="75D1E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5487" w:type="dxa"/>
            <w:vMerge w:val="continue"/>
            <w:tcBorders>
              <w:left w:val="single" w:color="auto" w:sz="12" w:space="0"/>
            </w:tcBorders>
            <w:vAlign w:val="center"/>
          </w:tcPr>
          <w:p w14:paraId="1C0291B2">
            <w:pPr>
              <w:pStyle w:val="34"/>
            </w:pPr>
          </w:p>
        </w:tc>
        <w:tc>
          <w:tcPr>
            <w:tcW w:w="1559" w:type="dxa"/>
            <w:vAlign w:val="center"/>
          </w:tcPr>
          <w:p w14:paraId="299C12D6">
            <w:pPr>
              <w:pStyle w:val="34"/>
            </w:pPr>
            <w:r>
              <w:t>落潮时</w:t>
            </w:r>
          </w:p>
        </w:tc>
        <w:tc>
          <w:tcPr>
            <w:tcW w:w="1459" w:type="dxa"/>
            <w:tcBorders>
              <w:right w:val="single" w:color="auto" w:sz="12" w:space="0"/>
            </w:tcBorders>
            <w:vAlign w:val="center"/>
          </w:tcPr>
          <w:p w14:paraId="638B65EB">
            <w:pPr>
              <w:pStyle w:val="34"/>
            </w:pPr>
            <w:r>
              <w:t>涨潮时</w:t>
            </w:r>
          </w:p>
        </w:tc>
      </w:tr>
      <w:tr w14:paraId="2C900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74CBCF7A">
            <w:pPr>
              <w:pStyle w:val="34"/>
            </w:pPr>
            <w:r>
              <w:rPr>
                <w:rFonts w:hint="eastAsia"/>
              </w:rPr>
              <w:t>钦州港青菜头南浅海滩涂养殖区</w:t>
            </w:r>
          </w:p>
        </w:tc>
        <w:tc>
          <w:tcPr>
            <w:tcW w:w="1559" w:type="dxa"/>
            <w:vAlign w:val="center"/>
          </w:tcPr>
          <w:p w14:paraId="49E36DE3">
            <w:pPr>
              <w:pStyle w:val="34"/>
            </w:pPr>
            <w:r>
              <w:rPr>
                <w:rFonts w:hint="eastAsia"/>
              </w:rPr>
              <w:t>＜5×10</w:t>
            </w:r>
            <w:r>
              <w:rPr>
                <w:rFonts w:hint="eastAsia"/>
                <w:vertAlign w:val="superscript"/>
              </w:rPr>
              <w:t>-5</w:t>
            </w:r>
          </w:p>
        </w:tc>
        <w:tc>
          <w:tcPr>
            <w:tcW w:w="1459" w:type="dxa"/>
            <w:tcBorders>
              <w:right w:val="single" w:color="auto" w:sz="12" w:space="0"/>
            </w:tcBorders>
            <w:vAlign w:val="center"/>
          </w:tcPr>
          <w:p w14:paraId="34FB6CF7">
            <w:pPr>
              <w:pStyle w:val="34"/>
            </w:pPr>
            <w:r>
              <w:rPr>
                <w:rFonts w:hint="eastAsia"/>
              </w:rPr>
              <w:t>＜5×10</w:t>
            </w:r>
            <w:r>
              <w:rPr>
                <w:rFonts w:hint="eastAsia"/>
                <w:vertAlign w:val="superscript"/>
              </w:rPr>
              <w:t>-5</w:t>
            </w:r>
          </w:p>
        </w:tc>
      </w:tr>
      <w:tr w14:paraId="6E64F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73A7798B">
            <w:pPr>
              <w:pStyle w:val="34"/>
            </w:pPr>
            <w:r>
              <w:rPr>
                <w:rFonts w:hint="eastAsia"/>
              </w:rPr>
              <w:t>茅尾海南部浅海滩涂养殖区</w:t>
            </w:r>
          </w:p>
        </w:tc>
        <w:tc>
          <w:tcPr>
            <w:tcW w:w="1559" w:type="dxa"/>
            <w:vAlign w:val="center"/>
          </w:tcPr>
          <w:p w14:paraId="7AEED17D">
            <w:pPr>
              <w:pStyle w:val="34"/>
            </w:pPr>
            <w:r>
              <w:rPr>
                <w:rFonts w:hint="eastAsia"/>
              </w:rPr>
              <w:t>＜5×10</w:t>
            </w:r>
            <w:r>
              <w:rPr>
                <w:rFonts w:hint="eastAsia"/>
                <w:vertAlign w:val="superscript"/>
              </w:rPr>
              <w:t>-5</w:t>
            </w:r>
          </w:p>
        </w:tc>
        <w:tc>
          <w:tcPr>
            <w:tcW w:w="1459" w:type="dxa"/>
            <w:tcBorders>
              <w:right w:val="single" w:color="auto" w:sz="12" w:space="0"/>
            </w:tcBorders>
            <w:vAlign w:val="center"/>
          </w:tcPr>
          <w:p w14:paraId="36E79C53">
            <w:pPr>
              <w:pStyle w:val="34"/>
            </w:pPr>
            <w:r>
              <w:rPr>
                <w:rFonts w:hint="eastAsia"/>
              </w:rPr>
              <w:t>＜5×10</w:t>
            </w:r>
            <w:r>
              <w:rPr>
                <w:rFonts w:hint="eastAsia"/>
                <w:vertAlign w:val="superscript"/>
              </w:rPr>
              <w:t>-5</w:t>
            </w:r>
          </w:p>
        </w:tc>
      </w:tr>
      <w:tr w14:paraId="48922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6CB6D98E">
            <w:pPr>
              <w:pStyle w:val="34"/>
            </w:pPr>
            <w:r>
              <w:rPr>
                <w:rFonts w:hint="eastAsia"/>
              </w:rPr>
              <w:t>七十二泾生态控制区</w:t>
            </w:r>
          </w:p>
        </w:tc>
        <w:tc>
          <w:tcPr>
            <w:tcW w:w="1559" w:type="dxa"/>
            <w:vAlign w:val="center"/>
          </w:tcPr>
          <w:p w14:paraId="3DC51CCA">
            <w:pPr>
              <w:pStyle w:val="34"/>
            </w:pPr>
            <w:r>
              <w:rPr>
                <w:rFonts w:hint="eastAsia"/>
              </w:rPr>
              <w:t>＜5×10</w:t>
            </w:r>
            <w:r>
              <w:rPr>
                <w:rFonts w:hint="eastAsia"/>
                <w:vertAlign w:val="superscript"/>
              </w:rPr>
              <w:t>-5</w:t>
            </w:r>
          </w:p>
        </w:tc>
        <w:tc>
          <w:tcPr>
            <w:tcW w:w="1459" w:type="dxa"/>
            <w:tcBorders>
              <w:right w:val="single" w:color="auto" w:sz="12" w:space="0"/>
            </w:tcBorders>
            <w:vAlign w:val="center"/>
          </w:tcPr>
          <w:p w14:paraId="4DEE4321">
            <w:pPr>
              <w:pStyle w:val="34"/>
            </w:pPr>
            <w:r>
              <w:rPr>
                <w:rFonts w:hint="eastAsia"/>
              </w:rPr>
              <w:t>＜5×10</w:t>
            </w:r>
            <w:r>
              <w:rPr>
                <w:rFonts w:hint="eastAsia"/>
                <w:vertAlign w:val="superscript"/>
              </w:rPr>
              <w:t>-5</w:t>
            </w:r>
          </w:p>
        </w:tc>
      </w:tr>
      <w:tr w14:paraId="10CF3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2A490570">
            <w:pPr>
              <w:pStyle w:val="34"/>
            </w:pPr>
            <w:r>
              <w:rPr>
                <w:rFonts w:hint="eastAsia"/>
              </w:rPr>
              <w:t>金鼓江红树林分布区</w:t>
            </w:r>
          </w:p>
        </w:tc>
        <w:tc>
          <w:tcPr>
            <w:tcW w:w="1559" w:type="dxa"/>
            <w:vAlign w:val="center"/>
          </w:tcPr>
          <w:p w14:paraId="4E6265D0">
            <w:pPr>
              <w:pStyle w:val="34"/>
            </w:pPr>
            <w:r>
              <w:rPr>
                <w:rFonts w:hint="eastAsia"/>
              </w:rPr>
              <w:t>＜5×10</w:t>
            </w:r>
            <w:r>
              <w:rPr>
                <w:rFonts w:hint="eastAsia"/>
                <w:vertAlign w:val="superscript"/>
              </w:rPr>
              <w:t>-5</w:t>
            </w:r>
          </w:p>
        </w:tc>
        <w:tc>
          <w:tcPr>
            <w:tcW w:w="1459" w:type="dxa"/>
            <w:tcBorders>
              <w:right w:val="single" w:color="auto" w:sz="12" w:space="0"/>
            </w:tcBorders>
            <w:vAlign w:val="center"/>
          </w:tcPr>
          <w:p w14:paraId="2FE8CB62">
            <w:pPr>
              <w:pStyle w:val="34"/>
            </w:pPr>
            <w:r>
              <w:rPr>
                <w:rFonts w:hint="eastAsia"/>
              </w:rPr>
              <w:t>＜5×10</w:t>
            </w:r>
            <w:r>
              <w:rPr>
                <w:rFonts w:hint="eastAsia"/>
                <w:vertAlign w:val="superscript"/>
              </w:rPr>
              <w:t>-5</w:t>
            </w:r>
          </w:p>
        </w:tc>
      </w:tr>
      <w:tr w14:paraId="6E9BA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7912A021">
            <w:pPr>
              <w:pStyle w:val="34"/>
            </w:pPr>
            <w:r>
              <w:rPr>
                <w:rFonts w:hint="eastAsia"/>
              </w:rPr>
              <w:t>广西茅尾海红树林自治区级自然保护区</w:t>
            </w:r>
          </w:p>
        </w:tc>
        <w:tc>
          <w:tcPr>
            <w:tcW w:w="1559" w:type="dxa"/>
            <w:vAlign w:val="center"/>
          </w:tcPr>
          <w:p w14:paraId="5A95FC63">
            <w:pPr>
              <w:pStyle w:val="34"/>
            </w:pPr>
            <w:r>
              <w:rPr>
                <w:rFonts w:hint="eastAsia"/>
              </w:rPr>
              <w:t>＜5×10</w:t>
            </w:r>
            <w:r>
              <w:rPr>
                <w:rFonts w:hint="eastAsia"/>
                <w:vertAlign w:val="superscript"/>
              </w:rPr>
              <w:t>-5</w:t>
            </w:r>
          </w:p>
        </w:tc>
        <w:tc>
          <w:tcPr>
            <w:tcW w:w="1459" w:type="dxa"/>
            <w:tcBorders>
              <w:right w:val="single" w:color="auto" w:sz="12" w:space="0"/>
            </w:tcBorders>
            <w:vAlign w:val="center"/>
          </w:tcPr>
          <w:p w14:paraId="4700391B">
            <w:pPr>
              <w:pStyle w:val="34"/>
            </w:pPr>
            <w:r>
              <w:rPr>
                <w:rFonts w:hint="eastAsia"/>
              </w:rPr>
              <w:t>＜5×10</w:t>
            </w:r>
            <w:r>
              <w:rPr>
                <w:rFonts w:hint="eastAsia"/>
                <w:vertAlign w:val="superscript"/>
              </w:rPr>
              <w:t>-5</w:t>
            </w:r>
          </w:p>
        </w:tc>
      </w:tr>
      <w:tr w14:paraId="78679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63F5B38D">
            <w:pPr>
              <w:pStyle w:val="34"/>
            </w:pPr>
            <w:r>
              <w:rPr>
                <w:rFonts w:hint="eastAsia"/>
              </w:rPr>
              <w:t>茅尾海国家级海洋公园</w:t>
            </w:r>
          </w:p>
        </w:tc>
        <w:tc>
          <w:tcPr>
            <w:tcW w:w="1559" w:type="dxa"/>
            <w:vAlign w:val="center"/>
          </w:tcPr>
          <w:p w14:paraId="63F60F66">
            <w:pPr>
              <w:pStyle w:val="34"/>
            </w:pPr>
            <w:r>
              <w:rPr>
                <w:rFonts w:hint="eastAsia"/>
              </w:rPr>
              <w:t>＜5×10</w:t>
            </w:r>
            <w:r>
              <w:rPr>
                <w:rFonts w:hint="eastAsia"/>
                <w:vertAlign w:val="superscript"/>
              </w:rPr>
              <w:t>-5</w:t>
            </w:r>
          </w:p>
        </w:tc>
        <w:tc>
          <w:tcPr>
            <w:tcW w:w="1459" w:type="dxa"/>
            <w:tcBorders>
              <w:right w:val="single" w:color="auto" w:sz="12" w:space="0"/>
            </w:tcBorders>
            <w:vAlign w:val="center"/>
          </w:tcPr>
          <w:p w14:paraId="71B99A76">
            <w:pPr>
              <w:pStyle w:val="34"/>
            </w:pPr>
            <w:r>
              <w:rPr>
                <w:rFonts w:hint="eastAsia"/>
              </w:rPr>
              <w:t>＜5×10</w:t>
            </w:r>
            <w:r>
              <w:rPr>
                <w:rFonts w:hint="eastAsia"/>
                <w:vertAlign w:val="superscript"/>
              </w:rPr>
              <w:t>-5</w:t>
            </w:r>
          </w:p>
        </w:tc>
      </w:tr>
      <w:tr w14:paraId="28D69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exact"/>
          <w:jc w:val="center"/>
        </w:trPr>
        <w:tc>
          <w:tcPr>
            <w:tcW w:w="5487" w:type="dxa"/>
            <w:tcBorders>
              <w:left w:val="single" w:color="auto" w:sz="12" w:space="0"/>
              <w:bottom w:val="single" w:color="auto" w:sz="12" w:space="0"/>
            </w:tcBorders>
            <w:vAlign w:val="center"/>
          </w:tcPr>
          <w:p w14:paraId="39D78A15">
            <w:pPr>
              <w:pStyle w:val="34"/>
            </w:pPr>
            <w:r>
              <w:rPr>
                <w:rFonts w:hint="eastAsia"/>
              </w:rPr>
              <w:t>北部湾二长棘绸长毛对虾国家级种质资源保护区(实验区)</w:t>
            </w:r>
          </w:p>
        </w:tc>
        <w:tc>
          <w:tcPr>
            <w:tcW w:w="1559" w:type="dxa"/>
            <w:tcBorders>
              <w:bottom w:val="single" w:color="auto" w:sz="12" w:space="0"/>
            </w:tcBorders>
            <w:vAlign w:val="center"/>
          </w:tcPr>
          <w:p w14:paraId="1CD90D64">
            <w:pPr>
              <w:pStyle w:val="34"/>
            </w:pPr>
            <w:r>
              <w:rPr>
                <w:rFonts w:hint="eastAsia"/>
              </w:rPr>
              <w:t>＜5×10</w:t>
            </w:r>
            <w:r>
              <w:rPr>
                <w:rFonts w:hint="eastAsia"/>
                <w:vertAlign w:val="superscript"/>
              </w:rPr>
              <w:t>-5</w:t>
            </w:r>
          </w:p>
        </w:tc>
        <w:tc>
          <w:tcPr>
            <w:tcW w:w="1459" w:type="dxa"/>
            <w:tcBorders>
              <w:bottom w:val="single" w:color="auto" w:sz="12" w:space="0"/>
              <w:right w:val="single" w:color="auto" w:sz="12" w:space="0"/>
            </w:tcBorders>
            <w:vAlign w:val="center"/>
          </w:tcPr>
          <w:p w14:paraId="4DE36CED">
            <w:pPr>
              <w:pStyle w:val="34"/>
            </w:pPr>
            <w:r>
              <w:rPr>
                <w:rFonts w:hint="eastAsia"/>
              </w:rPr>
              <w:t>＜5×10</w:t>
            </w:r>
            <w:r>
              <w:rPr>
                <w:rFonts w:hint="eastAsia"/>
                <w:vertAlign w:val="superscript"/>
              </w:rPr>
              <w:t>-5</w:t>
            </w:r>
          </w:p>
        </w:tc>
      </w:tr>
    </w:tbl>
    <w:p w14:paraId="4A94AC9A">
      <w:pPr>
        <w:pStyle w:val="7"/>
      </w:pPr>
      <w:r>
        <w:rPr>
          <w:rFonts w:hint="eastAsia"/>
        </w:rPr>
        <w:t>硫酸镉泄漏入海影响水域的扩散距离与包络面积</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52"/>
        <w:gridCol w:w="1155"/>
        <w:gridCol w:w="1156"/>
        <w:gridCol w:w="1127"/>
        <w:gridCol w:w="1127"/>
        <w:gridCol w:w="977"/>
        <w:gridCol w:w="1128"/>
      </w:tblGrid>
      <w:tr w14:paraId="18AAEC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vMerge w:val="restart"/>
            <w:vAlign w:val="center"/>
          </w:tcPr>
          <w:p w14:paraId="44AE72C7">
            <w:pPr>
              <w:pStyle w:val="34"/>
            </w:pPr>
            <w:r>
              <w:rPr>
                <w:rFonts w:hint="eastAsia"/>
              </w:rPr>
              <w:t>指标</w:t>
            </w:r>
          </w:p>
        </w:tc>
        <w:tc>
          <w:tcPr>
            <w:tcW w:w="2311" w:type="dxa"/>
            <w:gridSpan w:val="2"/>
            <w:vMerge w:val="restart"/>
            <w:vAlign w:val="center"/>
          </w:tcPr>
          <w:p w14:paraId="7376062B">
            <w:pPr>
              <w:pStyle w:val="34"/>
            </w:pPr>
            <w:r>
              <w:rPr>
                <w:rFonts w:hint="eastAsia"/>
              </w:rPr>
              <w:t>包络面积（km</w:t>
            </w:r>
            <w:r>
              <w:rPr>
                <w:rFonts w:hint="eastAsia"/>
                <w:vertAlign w:val="superscript"/>
              </w:rPr>
              <w:t>2</w:t>
            </w:r>
            <w:r>
              <w:rPr>
                <w:rFonts w:hint="eastAsia"/>
              </w:rPr>
              <w:t>）</w:t>
            </w:r>
          </w:p>
        </w:tc>
        <w:tc>
          <w:tcPr>
            <w:tcW w:w="4359" w:type="dxa"/>
            <w:gridSpan w:val="4"/>
          </w:tcPr>
          <w:p w14:paraId="11D7A393">
            <w:pPr>
              <w:pStyle w:val="34"/>
            </w:pPr>
            <w:r>
              <w:rPr>
                <w:rFonts w:hint="eastAsia"/>
              </w:rPr>
              <w:t>最远扩散距离（km），泄漏点起算</w:t>
            </w:r>
          </w:p>
        </w:tc>
      </w:tr>
      <w:tr w14:paraId="091648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vMerge w:val="continue"/>
          </w:tcPr>
          <w:p w14:paraId="70505EF1">
            <w:pPr>
              <w:pStyle w:val="34"/>
            </w:pPr>
          </w:p>
        </w:tc>
        <w:tc>
          <w:tcPr>
            <w:tcW w:w="2311" w:type="dxa"/>
            <w:gridSpan w:val="2"/>
            <w:vMerge w:val="continue"/>
          </w:tcPr>
          <w:p w14:paraId="565746C0">
            <w:pPr>
              <w:pStyle w:val="34"/>
            </w:pPr>
          </w:p>
        </w:tc>
        <w:tc>
          <w:tcPr>
            <w:tcW w:w="2254" w:type="dxa"/>
            <w:gridSpan w:val="2"/>
          </w:tcPr>
          <w:p w14:paraId="6D420FAF">
            <w:pPr>
              <w:pStyle w:val="34"/>
            </w:pPr>
            <w:r>
              <w:rPr>
                <w:rFonts w:hint="eastAsia"/>
              </w:rPr>
              <w:t>偏北向</w:t>
            </w:r>
          </w:p>
        </w:tc>
        <w:tc>
          <w:tcPr>
            <w:tcW w:w="2105" w:type="dxa"/>
            <w:gridSpan w:val="2"/>
          </w:tcPr>
          <w:p w14:paraId="1A60A7E9">
            <w:pPr>
              <w:pStyle w:val="34"/>
            </w:pPr>
            <w:r>
              <w:rPr>
                <w:rFonts w:hint="eastAsia"/>
              </w:rPr>
              <w:t>偏南向</w:t>
            </w:r>
          </w:p>
        </w:tc>
      </w:tr>
      <w:tr w14:paraId="5CA39A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36E8FCF8">
            <w:pPr>
              <w:pStyle w:val="34"/>
            </w:pPr>
            <w:r>
              <w:rPr>
                <w:rFonts w:hint="eastAsia"/>
              </w:rPr>
              <w:t>泄漏潮流</w:t>
            </w:r>
          </w:p>
        </w:tc>
        <w:tc>
          <w:tcPr>
            <w:tcW w:w="1155" w:type="dxa"/>
          </w:tcPr>
          <w:p w14:paraId="233D8A17">
            <w:pPr>
              <w:pStyle w:val="34"/>
            </w:pPr>
            <w:r>
              <w:rPr>
                <w:rFonts w:hint="eastAsia"/>
              </w:rPr>
              <w:t>涨潮</w:t>
            </w:r>
          </w:p>
        </w:tc>
        <w:tc>
          <w:tcPr>
            <w:tcW w:w="1156" w:type="dxa"/>
          </w:tcPr>
          <w:p w14:paraId="0AE75F96">
            <w:pPr>
              <w:pStyle w:val="34"/>
            </w:pPr>
            <w:r>
              <w:rPr>
                <w:rFonts w:hint="eastAsia"/>
              </w:rPr>
              <w:t>落潮</w:t>
            </w:r>
          </w:p>
        </w:tc>
        <w:tc>
          <w:tcPr>
            <w:tcW w:w="1127" w:type="dxa"/>
          </w:tcPr>
          <w:p w14:paraId="694ABF0D">
            <w:pPr>
              <w:pStyle w:val="34"/>
            </w:pPr>
            <w:r>
              <w:rPr>
                <w:rFonts w:hint="eastAsia"/>
              </w:rPr>
              <w:t>涨潮</w:t>
            </w:r>
          </w:p>
        </w:tc>
        <w:tc>
          <w:tcPr>
            <w:tcW w:w="1127" w:type="dxa"/>
          </w:tcPr>
          <w:p w14:paraId="73905373">
            <w:pPr>
              <w:pStyle w:val="34"/>
            </w:pPr>
            <w:r>
              <w:rPr>
                <w:rFonts w:hint="eastAsia"/>
              </w:rPr>
              <w:t>落潮</w:t>
            </w:r>
          </w:p>
        </w:tc>
        <w:tc>
          <w:tcPr>
            <w:tcW w:w="977" w:type="dxa"/>
          </w:tcPr>
          <w:p w14:paraId="02DE5B0B">
            <w:pPr>
              <w:pStyle w:val="34"/>
            </w:pPr>
            <w:r>
              <w:rPr>
                <w:rFonts w:hint="eastAsia"/>
              </w:rPr>
              <w:t>涨潮</w:t>
            </w:r>
          </w:p>
        </w:tc>
        <w:tc>
          <w:tcPr>
            <w:tcW w:w="1128" w:type="dxa"/>
          </w:tcPr>
          <w:p w14:paraId="275756A4">
            <w:pPr>
              <w:pStyle w:val="34"/>
            </w:pPr>
            <w:r>
              <w:rPr>
                <w:rFonts w:hint="eastAsia"/>
              </w:rPr>
              <w:t>落潮</w:t>
            </w:r>
          </w:p>
        </w:tc>
      </w:tr>
      <w:tr w14:paraId="403B76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0B678DE8">
            <w:pPr>
              <w:pStyle w:val="34"/>
            </w:pPr>
            <w:r>
              <w:rPr>
                <w:rFonts w:hint="eastAsia"/>
              </w:rPr>
              <w:t>＞0.001</w:t>
            </w:r>
            <w:r>
              <w:t>mg/L</w:t>
            </w:r>
          </w:p>
        </w:tc>
        <w:tc>
          <w:tcPr>
            <w:tcW w:w="1155" w:type="dxa"/>
          </w:tcPr>
          <w:p w14:paraId="1EBBB601">
            <w:pPr>
              <w:pStyle w:val="34"/>
            </w:pPr>
            <w:r>
              <w:rPr>
                <w:rFonts w:hint="eastAsia"/>
              </w:rPr>
              <w:t>0.41</w:t>
            </w:r>
          </w:p>
        </w:tc>
        <w:tc>
          <w:tcPr>
            <w:tcW w:w="1156" w:type="dxa"/>
          </w:tcPr>
          <w:p w14:paraId="22420B19">
            <w:pPr>
              <w:pStyle w:val="34"/>
            </w:pPr>
            <w:r>
              <w:rPr>
                <w:rFonts w:hint="eastAsia"/>
              </w:rPr>
              <w:t>4.49</w:t>
            </w:r>
          </w:p>
        </w:tc>
        <w:tc>
          <w:tcPr>
            <w:tcW w:w="1127" w:type="dxa"/>
          </w:tcPr>
          <w:p w14:paraId="5AB0838A">
            <w:pPr>
              <w:pStyle w:val="34"/>
            </w:pPr>
            <w:r>
              <w:rPr>
                <w:rFonts w:hint="eastAsia"/>
              </w:rPr>
              <w:t>3.4</w:t>
            </w:r>
          </w:p>
        </w:tc>
        <w:tc>
          <w:tcPr>
            <w:tcW w:w="1127" w:type="dxa"/>
          </w:tcPr>
          <w:p w14:paraId="40B32D95">
            <w:pPr>
              <w:pStyle w:val="34"/>
            </w:pPr>
            <w:r>
              <w:rPr>
                <w:rFonts w:hint="eastAsia"/>
              </w:rPr>
              <w:t>0.13</w:t>
            </w:r>
          </w:p>
        </w:tc>
        <w:tc>
          <w:tcPr>
            <w:tcW w:w="977" w:type="dxa"/>
          </w:tcPr>
          <w:p w14:paraId="34E88EE9">
            <w:pPr>
              <w:pStyle w:val="34"/>
            </w:pPr>
            <w:r>
              <w:rPr>
                <w:rFonts w:hint="eastAsia"/>
              </w:rPr>
              <w:t>0.05</w:t>
            </w:r>
          </w:p>
        </w:tc>
        <w:tc>
          <w:tcPr>
            <w:tcW w:w="1128" w:type="dxa"/>
          </w:tcPr>
          <w:p w14:paraId="58BF5C0E">
            <w:pPr>
              <w:pStyle w:val="34"/>
            </w:pPr>
            <w:r>
              <w:rPr>
                <w:rFonts w:hint="eastAsia"/>
              </w:rPr>
              <w:t>5.4</w:t>
            </w:r>
          </w:p>
        </w:tc>
      </w:tr>
      <w:tr w14:paraId="4B2FBD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442AD3F0">
            <w:pPr>
              <w:pStyle w:val="34"/>
            </w:pPr>
            <w:r>
              <w:rPr>
                <w:rFonts w:hint="eastAsia"/>
              </w:rPr>
              <w:t>＞0.01</w:t>
            </w:r>
            <w:r>
              <w:t>mg/L</w:t>
            </w:r>
          </w:p>
        </w:tc>
        <w:tc>
          <w:tcPr>
            <w:tcW w:w="1155" w:type="dxa"/>
          </w:tcPr>
          <w:p w14:paraId="3A117448">
            <w:pPr>
              <w:pStyle w:val="34"/>
            </w:pPr>
            <w:r>
              <w:rPr>
                <w:rFonts w:hint="eastAsia"/>
              </w:rPr>
              <w:t>0.12</w:t>
            </w:r>
          </w:p>
        </w:tc>
        <w:tc>
          <w:tcPr>
            <w:tcW w:w="1156" w:type="dxa"/>
          </w:tcPr>
          <w:p w14:paraId="4AA6BCAE">
            <w:pPr>
              <w:pStyle w:val="34"/>
            </w:pPr>
            <w:r>
              <w:rPr>
                <w:rFonts w:hint="eastAsia"/>
              </w:rPr>
              <w:t>0.37</w:t>
            </w:r>
          </w:p>
        </w:tc>
        <w:tc>
          <w:tcPr>
            <w:tcW w:w="1127" w:type="dxa"/>
          </w:tcPr>
          <w:p w14:paraId="79A146D5">
            <w:pPr>
              <w:pStyle w:val="34"/>
            </w:pPr>
            <w:r>
              <w:rPr>
                <w:rFonts w:hint="eastAsia"/>
              </w:rPr>
              <w:t>1.4</w:t>
            </w:r>
          </w:p>
        </w:tc>
        <w:tc>
          <w:tcPr>
            <w:tcW w:w="1127" w:type="dxa"/>
          </w:tcPr>
          <w:p w14:paraId="3B276199">
            <w:pPr>
              <w:pStyle w:val="34"/>
            </w:pPr>
            <w:r>
              <w:rPr>
                <w:rFonts w:hint="eastAsia"/>
              </w:rPr>
              <w:t>0.06</w:t>
            </w:r>
          </w:p>
        </w:tc>
        <w:tc>
          <w:tcPr>
            <w:tcW w:w="977" w:type="dxa"/>
          </w:tcPr>
          <w:p w14:paraId="70D80D1C">
            <w:pPr>
              <w:pStyle w:val="34"/>
            </w:pPr>
            <w:r>
              <w:rPr>
                <w:rFonts w:hint="eastAsia"/>
              </w:rPr>
              <w:t>0.04</w:t>
            </w:r>
          </w:p>
        </w:tc>
        <w:tc>
          <w:tcPr>
            <w:tcW w:w="1128" w:type="dxa"/>
          </w:tcPr>
          <w:p w14:paraId="2B7BE5E8">
            <w:pPr>
              <w:pStyle w:val="34"/>
            </w:pPr>
            <w:r>
              <w:rPr>
                <w:rFonts w:hint="eastAsia"/>
              </w:rPr>
              <w:t>1.3</w:t>
            </w:r>
          </w:p>
        </w:tc>
      </w:tr>
      <w:tr w14:paraId="764F4E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1852" w:type="dxa"/>
          </w:tcPr>
          <w:p w14:paraId="0177C8FA">
            <w:pPr>
              <w:pStyle w:val="34"/>
            </w:pPr>
            <w:r>
              <w:rPr>
                <w:rFonts w:hint="eastAsia"/>
              </w:rPr>
              <w:t>＞0.1</w:t>
            </w:r>
            <w:r>
              <w:t>mg/L</w:t>
            </w:r>
          </w:p>
        </w:tc>
        <w:tc>
          <w:tcPr>
            <w:tcW w:w="1155" w:type="dxa"/>
          </w:tcPr>
          <w:p w14:paraId="6B65C974">
            <w:pPr>
              <w:pStyle w:val="34"/>
            </w:pPr>
            <w:r>
              <w:rPr>
                <w:rFonts w:hint="eastAsia"/>
              </w:rPr>
              <w:t>0.013</w:t>
            </w:r>
          </w:p>
        </w:tc>
        <w:tc>
          <w:tcPr>
            <w:tcW w:w="1156" w:type="dxa"/>
          </w:tcPr>
          <w:p w14:paraId="3AEE4E8B">
            <w:pPr>
              <w:pStyle w:val="34"/>
            </w:pPr>
            <w:r>
              <w:rPr>
                <w:rFonts w:hint="eastAsia"/>
              </w:rPr>
              <w:t>0.11</w:t>
            </w:r>
          </w:p>
        </w:tc>
        <w:tc>
          <w:tcPr>
            <w:tcW w:w="1127" w:type="dxa"/>
          </w:tcPr>
          <w:p w14:paraId="634802FC">
            <w:pPr>
              <w:pStyle w:val="34"/>
            </w:pPr>
            <w:r>
              <w:rPr>
                <w:rFonts w:hint="eastAsia"/>
              </w:rPr>
              <w:t>0.3</w:t>
            </w:r>
          </w:p>
        </w:tc>
        <w:tc>
          <w:tcPr>
            <w:tcW w:w="1127" w:type="dxa"/>
          </w:tcPr>
          <w:p w14:paraId="5CA76B3E">
            <w:pPr>
              <w:pStyle w:val="34"/>
            </w:pPr>
            <w:r>
              <w:rPr>
                <w:rFonts w:hint="eastAsia"/>
              </w:rPr>
              <w:t>0.04</w:t>
            </w:r>
          </w:p>
        </w:tc>
        <w:tc>
          <w:tcPr>
            <w:tcW w:w="977" w:type="dxa"/>
          </w:tcPr>
          <w:p w14:paraId="1DCA005E">
            <w:pPr>
              <w:pStyle w:val="34"/>
            </w:pPr>
            <w:r>
              <w:rPr>
                <w:rFonts w:hint="eastAsia"/>
              </w:rPr>
              <w:t>0.03</w:t>
            </w:r>
          </w:p>
        </w:tc>
        <w:tc>
          <w:tcPr>
            <w:tcW w:w="1128" w:type="dxa"/>
          </w:tcPr>
          <w:p w14:paraId="697CDDA1">
            <w:pPr>
              <w:pStyle w:val="34"/>
            </w:pPr>
            <w:r>
              <w:rPr>
                <w:rFonts w:hint="eastAsia"/>
              </w:rPr>
              <w:t>0.6</w:t>
            </w:r>
          </w:p>
        </w:tc>
      </w:tr>
      <w:tr w14:paraId="246BF8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5B7A6C4E">
            <w:pPr>
              <w:pStyle w:val="34"/>
            </w:pPr>
            <w:r>
              <w:rPr>
                <w:rFonts w:hint="eastAsia"/>
              </w:rPr>
              <w:t>＞1</w:t>
            </w:r>
            <w:r>
              <w:t>mg/L</w:t>
            </w:r>
          </w:p>
        </w:tc>
        <w:tc>
          <w:tcPr>
            <w:tcW w:w="1155" w:type="dxa"/>
          </w:tcPr>
          <w:p w14:paraId="0299D1DE">
            <w:pPr>
              <w:pStyle w:val="34"/>
            </w:pPr>
            <w:r>
              <w:rPr>
                <w:rFonts w:hint="eastAsia"/>
              </w:rPr>
              <w:t>-</w:t>
            </w:r>
          </w:p>
        </w:tc>
        <w:tc>
          <w:tcPr>
            <w:tcW w:w="1156" w:type="dxa"/>
          </w:tcPr>
          <w:p w14:paraId="6214E9D8">
            <w:pPr>
              <w:pStyle w:val="34"/>
            </w:pPr>
            <w:r>
              <w:rPr>
                <w:rFonts w:hint="eastAsia"/>
              </w:rPr>
              <w:t>-</w:t>
            </w:r>
          </w:p>
        </w:tc>
        <w:tc>
          <w:tcPr>
            <w:tcW w:w="1127" w:type="dxa"/>
          </w:tcPr>
          <w:p w14:paraId="575BE627">
            <w:pPr>
              <w:pStyle w:val="34"/>
            </w:pPr>
            <w:r>
              <w:rPr>
                <w:rFonts w:hint="eastAsia"/>
              </w:rPr>
              <w:t>-</w:t>
            </w:r>
          </w:p>
        </w:tc>
        <w:tc>
          <w:tcPr>
            <w:tcW w:w="1127" w:type="dxa"/>
          </w:tcPr>
          <w:p w14:paraId="7B99391C">
            <w:pPr>
              <w:pStyle w:val="34"/>
            </w:pPr>
            <w:r>
              <w:rPr>
                <w:rFonts w:hint="eastAsia"/>
              </w:rPr>
              <w:t>-</w:t>
            </w:r>
          </w:p>
        </w:tc>
        <w:tc>
          <w:tcPr>
            <w:tcW w:w="977" w:type="dxa"/>
          </w:tcPr>
          <w:p w14:paraId="4030EA4C">
            <w:pPr>
              <w:pStyle w:val="34"/>
            </w:pPr>
            <w:r>
              <w:rPr>
                <w:rFonts w:hint="eastAsia"/>
              </w:rPr>
              <w:t>-</w:t>
            </w:r>
          </w:p>
        </w:tc>
        <w:tc>
          <w:tcPr>
            <w:tcW w:w="1128" w:type="dxa"/>
          </w:tcPr>
          <w:p w14:paraId="2F993AA8">
            <w:pPr>
              <w:pStyle w:val="34"/>
            </w:pPr>
            <w:r>
              <w:rPr>
                <w:rFonts w:hint="eastAsia"/>
              </w:rPr>
              <w:t>-</w:t>
            </w:r>
          </w:p>
        </w:tc>
      </w:tr>
    </w:tbl>
    <w:p w14:paraId="5D31CC2A">
      <w:pPr>
        <w:ind w:firstLine="437"/>
      </w:pPr>
      <w:r>
        <w:rPr>
          <w:rFonts w:hint="eastAsia"/>
        </w:rPr>
        <w:t>6.不溶于水的硅铝铁合金粉入海环境影响分析</w:t>
      </w:r>
    </w:p>
    <w:p w14:paraId="5A7243DE">
      <w:pPr>
        <w:ind w:firstLine="437"/>
      </w:pPr>
      <w:r>
        <w:rPr>
          <w:rFonts w:hint="eastAsia"/>
        </w:rPr>
        <w:t>落潮和涨潮码头硅铝铁合金粉泄漏的最大浓度值分别为1.64mg/L和3.14mg/L，位于泄漏点位置。</w:t>
      </w:r>
    </w:p>
    <w:p w14:paraId="6CA288F7">
      <w:pPr>
        <w:ind w:firstLine="437"/>
      </w:pPr>
      <w:r>
        <w:rPr>
          <w:rFonts w:hint="eastAsia"/>
        </w:rPr>
        <w:t>落潮时，由于落潮流的作用，高浓度区一般在泄漏点东南侧，相较而言，泄漏点西北侧则较少。从图中可以看出，硅铝铁合金粉在钦州湾外湾渔业用海区的最大浓度值不超过0.025mg/L。涨潮时，硅铝铁合金粉扩散随涨潮流进入钦州湾湾内，在钦州湾外湾渔业用海区</w:t>
      </w:r>
      <w:r>
        <w:t>中的</w:t>
      </w:r>
      <w:r>
        <w:rPr>
          <w:rFonts w:hint="eastAsia"/>
        </w:rPr>
        <w:t>最大浓度值不超过0.15mg/L。</w:t>
      </w:r>
    </w:p>
    <w:p w14:paraId="326D6C75">
      <w:pPr>
        <w:pStyle w:val="7"/>
      </w:pPr>
      <w:r>
        <w:rPr>
          <w:rFonts w:hint="eastAsia"/>
        </w:rPr>
        <w:t>硅铝铁合金粉泄漏后在</w:t>
      </w:r>
      <w:r>
        <w:t>海洋环境敏感区</w:t>
      </w:r>
      <w:r>
        <w:rPr>
          <w:rFonts w:hint="eastAsia"/>
        </w:rPr>
        <w:t>内</w:t>
      </w:r>
      <w:r>
        <w:t>最大浓度增量统计</w:t>
      </w:r>
    </w:p>
    <w:tbl>
      <w:tblPr>
        <w:tblStyle w:val="88"/>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87"/>
        <w:gridCol w:w="1559"/>
        <w:gridCol w:w="1459"/>
      </w:tblGrid>
      <w:tr w14:paraId="64751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5487" w:type="dxa"/>
            <w:vMerge w:val="restart"/>
            <w:tcBorders>
              <w:top w:val="single" w:color="auto" w:sz="12" w:space="0"/>
              <w:left w:val="single" w:color="auto" w:sz="12" w:space="0"/>
              <w:tl2br w:val="single" w:color="auto" w:sz="4" w:space="0"/>
            </w:tcBorders>
            <w:vAlign w:val="center"/>
          </w:tcPr>
          <w:p w14:paraId="2AE6A0BE">
            <w:pPr>
              <w:pStyle w:val="34"/>
            </w:pPr>
            <w:r>
              <w:rPr>
                <w:rFonts w:hint="eastAsia"/>
              </w:rPr>
              <w:t xml:space="preserve">            </w:t>
            </w:r>
            <w:r>
              <w:t>事故地点、时间</w:t>
            </w:r>
          </w:p>
          <w:p w14:paraId="6CB16380">
            <w:pPr>
              <w:pStyle w:val="34"/>
            </w:pPr>
            <w:r>
              <w:t>敏感区名称</w:t>
            </w:r>
          </w:p>
        </w:tc>
        <w:tc>
          <w:tcPr>
            <w:tcW w:w="3018" w:type="dxa"/>
            <w:gridSpan w:val="2"/>
            <w:tcBorders>
              <w:top w:val="single" w:color="auto" w:sz="12" w:space="0"/>
              <w:right w:val="single" w:color="auto" w:sz="12" w:space="0"/>
            </w:tcBorders>
            <w:vAlign w:val="center"/>
          </w:tcPr>
          <w:p w14:paraId="6C431477">
            <w:pPr>
              <w:pStyle w:val="34"/>
            </w:pPr>
            <w:r>
              <w:rPr>
                <w:rFonts w:hint="eastAsia"/>
              </w:rPr>
              <w:t>码头处</w:t>
            </w:r>
            <w:r>
              <w:t>事故(</w:t>
            </w:r>
            <w:r>
              <w:rPr>
                <w:rFonts w:hint="eastAsia"/>
              </w:rPr>
              <w:t>最大浓度值mg/L</w:t>
            </w:r>
            <w:r>
              <w:t>)</w:t>
            </w:r>
          </w:p>
        </w:tc>
      </w:tr>
      <w:tr w14:paraId="399B1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5487" w:type="dxa"/>
            <w:vMerge w:val="continue"/>
            <w:tcBorders>
              <w:left w:val="single" w:color="auto" w:sz="12" w:space="0"/>
            </w:tcBorders>
            <w:vAlign w:val="center"/>
          </w:tcPr>
          <w:p w14:paraId="7B6EC84B">
            <w:pPr>
              <w:pStyle w:val="34"/>
            </w:pPr>
          </w:p>
        </w:tc>
        <w:tc>
          <w:tcPr>
            <w:tcW w:w="1559" w:type="dxa"/>
            <w:vAlign w:val="center"/>
          </w:tcPr>
          <w:p w14:paraId="6406D33D">
            <w:pPr>
              <w:pStyle w:val="34"/>
            </w:pPr>
            <w:r>
              <w:t>落潮时</w:t>
            </w:r>
          </w:p>
        </w:tc>
        <w:tc>
          <w:tcPr>
            <w:tcW w:w="1459" w:type="dxa"/>
            <w:tcBorders>
              <w:right w:val="single" w:color="auto" w:sz="12" w:space="0"/>
            </w:tcBorders>
            <w:vAlign w:val="center"/>
          </w:tcPr>
          <w:p w14:paraId="74E2BDDF">
            <w:pPr>
              <w:pStyle w:val="34"/>
            </w:pPr>
            <w:r>
              <w:t>涨潮时</w:t>
            </w:r>
          </w:p>
        </w:tc>
      </w:tr>
      <w:tr w14:paraId="47988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37EF7461">
            <w:pPr>
              <w:pStyle w:val="34"/>
            </w:pPr>
            <w:r>
              <w:rPr>
                <w:rFonts w:hint="eastAsia"/>
              </w:rPr>
              <w:t>钦州港青菜头南浅海滩涂养殖区</w:t>
            </w:r>
          </w:p>
        </w:tc>
        <w:tc>
          <w:tcPr>
            <w:tcW w:w="1559" w:type="dxa"/>
          </w:tcPr>
          <w:p w14:paraId="78507AC9">
            <w:pPr>
              <w:pStyle w:val="34"/>
            </w:pPr>
            <w:r>
              <w:rPr>
                <w:rFonts w:hint="eastAsia"/>
              </w:rPr>
              <w:t>＜0.025</w:t>
            </w:r>
          </w:p>
        </w:tc>
        <w:tc>
          <w:tcPr>
            <w:tcW w:w="1459" w:type="dxa"/>
            <w:tcBorders>
              <w:right w:val="single" w:color="auto" w:sz="12" w:space="0"/>
            </w:tcBorders>
          </w:tcPr>
          <w:p w14:paraId="42837126">
            <w:pPr>
              <w:pStyle w:val="34"/>
            </w:pPr>
            <w:r>
              <w:rPr>
                <w:rFonts w:hint="eastAsia"/>
              </w:rPr>
              <w:t>＜0.01</w:t>
            </w:r>
          </w:p>
        </w:tc>
      </w:tr>
      <w:tr w14:paraId="3CE3C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4AFC2C8C">
            <w:pPr>
              <w:pStyle w:val="34"/>
            </w:pPr>
            <w:r>
              <w:rPr>
                <w:rFonts w:hint="eastAsia"/>
              </w:rPr>
              <w:t>茅尾海南部浅海滩涂养殖区</w:t>
            </w:r>
          </w:p>
        </w:tc>
        <w:tc>
          <w:tcPr>
            <w:tcW w:w="1559" w:type="dxa"/>
          </w:tcPr>
          <w:p w14:paraId="4745C157">
            <w:pPr>
              <w:pStyle w:val="34"/>
            </w:pPr>
            <w:r>
              <w:rPr>
                <w:rFonts w:hint="eastAsia"/>
              </w:rPr>
              <w:t>＜0.025</w:t>
            </w:r>
          </w:p>
        </w:tc>
        <w:tc>
          <w:tcPr>
            <w:tcW w:w="1459" w:type="dxa"/>
            <w:tcBorders>
              <w:right w:val="single" w:color="auto" w:sz="12" w:space="0"/>
            </w:tcBorders>
          </w:tcPr>
          <w:p w14:paraId="5A16EF36">
            <w:pPr>
              <w:pStyle w:val="34"/>
            </w:pPr>
            <w:r>
              <w:rPr>
                <w:rFonts w:hint="eastAsia"/>
              </w:rPr>
              <w:t>＜0.01</w:t>
            </w:r>
          </w:p>
        </w:tc>
      </w:tr>
      <w:tr w14:paraId="58898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27040FDB">
            <w:pPr>
              <w:pStyle w:val="34"/>
            </w:pPr>
            <w:r>
              <w:rPr>
                <w:rFonts w:hint="eastAsia"/>
              </w:rPr>
              <w:t>七十二泾生态控制区</w:t>
            </w:r>
          </w:p>
        </w:tc>
        <w:tc>
          <w:tcPr>
            <w:tcW w:w="1559" w:type="dxa"/>
          </w:tcPr>
          <w:p w14:paraId="61E10871">
            <w:pPr>
              <w:pStyle w:val="34"/>
            </w:pPr>
            <w:r>
              <w:rPr>
                <w:rFonts w:hint="eastAsia"/>
              </w:rPr>
              <w:t>＜0.025</w:t>
            </w:r>
          </w:p>
        </w:tc>
        <w:tc>
          <w:tcPr>
            <w:tcW w:w="1459" w:type="dxa"/>
            <w:tcBorders>
              <w:right w:val="single" w:color="auto" w:sz="12" w:space="0"/>
            </w:tcBorders>
          </w:tcPr>
          <w:p w14:paraId="110DC69F">
            <w:pPr>
              <w:pStyle w:val="34"/>
            </w:pPr>
            <w:r>
              <w:rPr>
                <w:rFonts w:hint="eastAsia"/>
              </w:rPr>
              <w:t>＜0.01</w:t>
            </w:r>
          </w:p>
        </w:tc>
      </w:tr>
      <w:tr w14:paraId="57BFF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2F0CB82F">
            <w:pPr>
              <w:pStyle w:val="34"/>
            </w:pPr>
            <w:r>
              <w:rPr>
                <w:rFonts w:hint="eastAsia"/>
              </w:rPr>
              <w:t>金鼓江红树林分布区</w:t>
            </w:r>
          </w:p>
        </w:tc>
        <w:tc>
          <w:tcPr>
            <w:tcW w:w="1559" w:type="dxa"/>
          </w:tcPr>
          <w:p w14:paraId="1602AADC">
            <w:pPr>
              <w:pStyle w:val="34"/>
            </w:pPr>
            <w:r>
              <w:rPr>
                <w:rFonts w:hint="eastAsia"/>
              </w:rPr>
              <w:t>＜0.025</w:t>
            </w:r>
          </w:p>
        </w:tc>
        <w:tc>
          <w:tcPr>
            <w:tcW w:w="1459" w:type="dxa"/>
            <w:tcBorders>
              <w:right w:val="single" w:color="auto" w:sz="12" w:space="0"/>
            </w:tcBorders>
          </w:tcPr>
          <w:p w14:paraId="7F616DD8">
            <w:pPr>
              <w:pStyle w:val="34"/>
            </w:pPr>
            <w:r>
              <w:rPr>
                <w:rFonts w:hint="eastAsia"/>
              </w:rPr>
              <w:t>＜0.01</w:t>
            </w:r>
          </w:p>
        </w:tc>
      </w:tr>
      <w:tr w14:paraId="4AA47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79D83B4D">
            <w:pPr>
              <w:pStyle w:val="34"/>
            </w:pPr>
            <w:r>
              <w:rPr>
                <w:rFonts w:hint="eastAsia"/>
              </w:rPr>
              <w:t>广西茅尾海红树林自治区级自然保护区</w:t>
            </w:r>
          </w:p>
        </w:tc>
        <w:tc>
          <w:tcPr>
            <w:tcW w:w="1559" w:type="dxa"/>
          </w:tcPr>
          <w:p w14:paraId="7767EFCE">
            <w:pPr>
              <w:pStyle w:val="34"/>
            </w:pPr>
            <w:r>
              <w:rPr>
                <w:rFonts w:hint="eastAsia"/>
              </w:rPr>
              <w:t>＜0.025</w:t>
            </w:r>
          </w:p>
        </w:tc>
        <w:tc>
          <w:tcPr>
            <w:tcW w:w="1459" w:type="dxa"/>
            <w:tcBorders>
              <w:right w:val="single" w:color="auto" w:sz="12" w:space="0"/>
            </w:tcBorders>
          </w:tcPr>
          <w:p w14:paraId="6967B555">
            <w:pPr>
              <w:pStyle w:val="34"/>
            </w:pPr>
            <w:r>
              <w:rPr>
                <w:rFonts w:hint="eastAsia"/>
              </w:rPr>
              <w:t>＜0.01</w:t>
            </w:r>
          </w:p>
        </w:tc>
      </w:tr>
      <w:tr w14:paraId="1E1B7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2243CBCA">
            <w:pPr>
              <w:pStyle w:val="34"/>
            </w:pPr>
            <w:r>
              <w:rPr>
                <w:rFonts w:hint="eastAsia"/>
              </w:rPr>
              <w:t>茅尾海国家级海洋公园</w:t>
            </w:r>
          </w:p>
        </w:tc>
        <w:tc>
          <w:tcPr>
            <w:tcW w:w="1559" w:type="dxa"/>
          </w:tcPr>
          <w:p w14:paraId="1DEDB89C">
            <w:pPr>
              <w:pStyle w:val="34"/>
            </w:pPr>
            <w:r>
              <w:rPr>
                <w:rFonts w:hint="eastAsia"/>
              </w:rPr>
              <w:t>＜0.025</w:t>
            </w:r>
          </w:p>
        </w:tc>
        <w:tc>
          <w:tcPr>
            <w:tcW w:w="1459" w:type="dxa"/>
            <w:tcBorders>
              <w:right w:val="single" w:color="auto" w:sz="12" w:space="0"/>
            </w:tcBorders>
          </w:tcPr>
          <w:p w14:paraId="43D0034D">
            <w:pPr>
              <w:pStyle w:val="34"/>
            </w:pPr>
            <w:r>
              <w:rPr>
                <w:rFonts w:hint="eastAsia"/>
              </w:rPr>
              <w:t>＜0.01</w:t>
            </w:r>
          </w:p>
        </w:tc>
      </w:tr>
      <w:tr w14:paraId="61883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exact"/>
          <w:jc w:val="center"/>
        </w:trPr>
        <w:tc>
          <w:tcPr>
            <w:tcW w:w="5487" w:type="dxa"/>
            <w:tcBorders>
              <w:left w:val="single" w:color="auto" w:sz="12" w:space="0"/>
              <w:bottom w:val="single" w:color="auto" w:sz="12" w:space="0"/>
            </w:tcBorders>
            <w:vAlign w:val="center"/>
          </w:tcPr>
          <w:p w14:paraId="1EC4D4ED">
            <w:pPr>
              <w:pStyle w:val="34"/>
            </w:pPr>
            <w:r>
              <w:rPr>
                <w:rFonts w:hint="eastAsia"/>
              </w:rPr>
              <w:t>北部湾二长棘绸长毛对虾国家级种质资源保护区(实验区)</w:t>
            </w:r>
          </w:p>
        </w:tc>
        <w:tc>
          <w:tcPr>
            <w:tcW w:w="1559" w:type="dxa"/>
            <w:tcBorders>
              <w:bottom w:val="single" w:color="auto" w:sz="12" w:space="0"/>
            </w:tcBorders>
          </w:tcPr>
          <w:p w14:paraId="00295700">
            <w:pPr>
              <w:pStyle w:val="34"/>
            </w:pPr>
            <w:r>
              <w:rPr>
                <w:rFonts w:hint="eastAsia"/>
              </w:rPr>
              <w:t>＜0.025</w:t>
            </w:r>
          </w:p>
        </w:tc>
        <w:tc>
          <w:tcPr>
            <w:tcW w:w="1459" w:type="dxa"/>
            <w:tcBorders>
              <w:bottom w:val="single" w:color="auto" w:sz="12" w:space="0"/>
              <w:right w:val="single" w:color="auto" w:sz="12" w:space="0"/>
            </w:tcBorders>
          </w:tcPr>
          <w:p w14:paraId="4CFB58BE">
            <w:pPr>
              <w:pStyle w:val="34"/>
            </w:pPr>
            <w:r>
              <w:rPr>
                <w:rFonts w:hint="eastAsia"/>
              </w:rPr>
              <w:t>＜0.01</w:t>
            </w:r>
          </w:p>
        </w:tc>
      </w:tr>
    </w:tbl>
    <w:p w14:paraId="76DAFBEA">
      <w:pPr>
        <w:ind w:firstLine="437"/>
      </w:pPr>
      <w:r>
        <w:rPr>
          <w:rFonts w:hint="eastAsia"/>
        </w:rPr>
        <w:t>五、小结</w:t>
      </w:r>
    </w:p>
    <w:p w14:paraId="49FF271C">
      <w:pPr>
        <w:ind w:firstLine="437"/>
      </w:pPr>
      <w:r>
        <w:rPr>
          <w:rFonts w:hint="eastAsia"/>
        </w:rPr>
        <w:t>根据本项目化学品海域泄漏预测分析，项目危险化学品中生物毒性物质己二腈、硫酸镉、硅铝铁合金粉泄漏造成海域内浓度增量较小，其中，己二腈泄、硫酸镉泄漏能达到第二类海水水质标准，符合渔业用海区水质要求，上述两种物质对敏感目标影响均较小。</w:t>
      </w:r>
    </w:p>
    <w:p w14:paraId="5C8C349D">
      <w:pPr>
        <w:ind w:firstLine="437"/>
      </w:pPr>
      <w:r>
        <w:t>磷酸、硫酸泄漏造成泄漏海域p</w:t>
      </w:r>
      <w:r>
        <w:rPr>
          <w:rFonts w:hint="eastAsia"/>
        </w:rPr>
        <w:t>H降低，可能降低鱼类血液pH值，影响动物的摄食，降低摄食强度和对食物的吸收率。由预测结果可知在渔业用海区硫酸浓度最大值为0.02 mg/L，影响较小，在其他敏感目标处硫酸浓度均小于＜0.001，无影响。</w:t>
      </w:r>
    </w:p>
    <w:p w14:paraId="09CB43E7">
      <w:pPr>
        <w:ind w:firstLine="437"/>
      </w:pPr>
      <w:r>
        <w:rPr>
          <w:rFonts w:hint="eastAsia"/>
        </w:rPr>
        <w:t>氢氧化钠泄漏造成</w:t>
      </w:r>
      <w:r>
        <w:t>泄漏海域p</w:t>
      </w:r>
      <w:r>
        <w:rPr>
          <w:rFonts w:hint="eastAsia"/>
        </w:rPr>
        <w:t>H升高，当水体pH值大于9，水体存在许多死藻和濒死的藻细胞。此时鱼类受刺激后狂游乱窜,体表产生大量黏液：鳃盖腐蚀损伤、鳃部有大量的分泌物。氢氧化钠</w:t>
      </w:r>
      <w:bookmarkStart w:id="608" w:name="OLE_LINK207"/>
      <w:r>
        <w:rPr>
          <w:rFonts w:hint="eastAsia"/>
        </w:rPr>
        <w:t>在渔业用海区</w:t>
      </w:r>
      <w:bookmarkEnd w:id="608"/>
      <w:r>
        <w:rPr>
          <w:rFonts w:hint="eastAsia"/>
        </w:rPr>
        <w:t>的最大浓度值不超过0.012mg/L，对其他敏感目标基本无影响，对水体内水生生物危害不大。</w:t>
      </w:r>
    </w:p>
    <w:p w14:paraId="55F8B8BA">
      <w:pPr>
        <w:ind w:firstLine="437"/>
      </w:pPr>
      <w:r>
        <w:rPr>
          <w:rFonts w:hint="eastAsia"/>
        </w:rPr>
        <w:t>综上所述，本项目化学品泄漏的主要影响为酸性物质及磷酸根影响，在化学品达到所在敏感区的时间前要及时做好化学品泄漏风险防控，最大限度降低化学品泄漏的影响。</w:t>
      </w:r>
    </w:p>
    <w:bookmarkEnd w:id="606"/>
    <w:p w14:paraId="308505EE">
      <w:pPr>
        <w:pStyle w:val="4"/>
      </w:pPr>
      <w:bookmarkStart w:id="609" w:name="_Toc198042338"/>
      <w:bookmarkStart w:id="610" w:name="_Toc217977935"/>
      <w:r>
        <w:t>环境风险管理</w:t>
      </w:r>
      <w:bookmarkEnd w:id="609"/>
      <w:bookmarkEnd w:id="610"/>
    </w:p>
    <w:p w14:paraId="7A414FFA">
      <w:pPr>
        <w:pStyle w:val="5"/>
      </w:pPr>
      <w:r>
        <w:t>应急预案的编制</w:t>
      </w:r>
      <w:r>
        <w:rPr>
          <w:rFonts w:hint="eastAsia"/>
        </w:rPr>
        <w:t>要求</w:t>
      </w:r>
    </w:p>
    <w:p w14:paraId="36A625D4">
      <w:pPr>
        <w:ind w:firstLine="437"/>
      </w:pPr>
      <w:r>
        <w:rPr>
          <w:rFonts w:hint="eastAsia"/>
        </w:rPr>
        <w:t>本项目建成后与7#-10#为统一运营管理单位</w:t>
      </w:r>
      <w:r>
        <w:t>，</w:t>
      </w:r>
      <w:r>
        <w:rPr>
          <w:rFonts w:hint="eastAsia"/>
        </w:rPr>
        <w:t>现有运营单位已编制《</w:t>
      </w:r>
      <w:bookmarkStart w:id="611" w:name="_Hlk125885284"/>
      <w:r>
        <w:t>突发环境事件应急预案</w:t>
      </w:r>
      <w:bookmarkEnd w:id="611"/>
      <w:r>
        <w:rPr>
          <w:rFonts w:hint="eastAsia"/>
        </w:rPr>
        <w:t>（修订）》（2023年版），并在钦州市生态环境局备案。应急预案适用主体为</w:t>
      </w:r>
      <w:r>
        <w:t>广西钦州保税港区盛港码头有限公司</w:t>
      </w:r>
      <w:r>
        <w:rPr>
          <w:rFonts w:hint="eastAsia"/>
        </w:rPr>
        <w:t>（现已合并为</w:t>
      </w:r>
      <w:r>
        <w:t>广西钦州保税港区</w:t>
      </w:r>
      <w:r>
        <w:rPr>
          <w:rFonts w:hint="eastAsia"/>
        </w:rPr>
        <w:t>宏港</w:t>
      </w:r>
      <w:r>
        <w:t>码头有限公司</w:t>
      </w:r>
      <w:r>
        <w:rPr>
          <w:rFonts w:hint="eastAsia"/>
        </w:rPr>
        <w:t>）</w:t>
      </w:r>
      <w:r>
        <w:t>，适用工程范围为</w:t>
      </w:r>
      <w:r>
        <w:rPr>
          <w:rFonts w:hint="eastAsia"/>
        </w:rPr>
        <w:t>钦州港大榄坪南作业区7号～10号泊位发生或可能的突发环境事件的应急处置，以及周边企业突发环境事件需要请求支援时的应急联动。本次项目新建集装箱泊位作业货种、装卸工艺等均不变，新增</w:t>
      </w:r>
      <w:bookmarkStart w:id="612" w:name="OLE_LINK514"/>
      <w:r>
        <w:rPr>
          <w:rFonts w:hint="eastAsia"/>
        </w:rPr>
        <w:t>危险货物集装箱堆场</w:t>
      </w:r>
      <w:bookmarkEnd w:id="612"/>
      <w:r>
        <w:rPr>
          <w:rFonts w:hint="eastAsia"/>
        </w:rPr>
        <w:t>，项目建成后根据项目突发应急事故要求修编应急预案</w:t>
      </w:r>
      <w:r>
        <w:t>。</w:t>
      </w:r>
    </w:p>
    <w:p w14:paraId="1F06012C">
      <w:pPr>
        <w:ind w:firstLine="437"/>
      </w:pPr>
      <w:r>
        <w:t>应急预案明确应急</w:t>
      </w:r>
      <w:r>
        <w:rPr>
          <w:rFonts w:hint="eastAsia"/>
        </w:rPr>
        <w:t>救援组织</w:t>
      </w:r>
      <w:r>
        <w:t>机构构成，广西钦州保税港区</w:t>
      </w:r>
      <w:r>
        <w:rPr>
          <w:rFonts w:hint="eastAsia"/>
        </w:rPr>
        <w:t>宏港</w:t>
      </w:r>
      <w:r>
        <w:t>码头有限公司应急救援组织机构包括：应急指挥部，下设应急办公室、各救援小组等机构。在办公楼设应急办公室，应急办公室作为日常机构，履行应急值守、信息汇总和综合协调职责，发挥运转枢纽作用</w:t>
      </w:r>
      <w:r>
        <w:rPr>
          <w:rFonts w:hint="eastAsia"/>
        </w:rPr>
        <w:t>；</w:t>
      </w:r>
      <w:r>
        <w:t>应急指挥中心负责事故现场的救援指挥。</w:t>
      </w:r>
    </w:p>
    <w:p w14:paraId="49E147AB">
      <w:pPr>
        <w:ind w:firstLine="437"/>
        <w:rPr>
          <w:u w:val="single"/>
        </w:rPr>
      </w:pPr>
      <w:r>
        <w:rPr>
          <w:rFonts w:hint="eastAsia"/>
          <w:u w:val="single"/>
        </w:rPr>
        <w:t>本次评价要求在本项目应急预案编制中，重点针对危险货物集装箱堆场、危险货物集装箱装卸可能发生的风险事故情景编制专项应急处置卡。</w:t>
      </w:r>
    </w:p>
    <w:tbl>
      <w:tblPr>
        <w:tblStyle w:val="88"/>
        <w:tblW w:w="0" w:type="auto"/>
        <w:tblInd w:w="0" w:type="dxa"/>
        <w:tblLayout w:type="autofit"/>
        <w:tblCellMar>
          <w:top w:w="0" w:type="dxa"/>
          <w:left w:w="108" w:type="dxa"/>
          <w:bottom w:w="0" w:type="dxa"/>
          <w:right w:w="108" w:type="dxa"/>
        </w:tblCellMar>
      </w:tblPr>
      <w:tblGrid>
        <w:gridCol w:w="8312"/>
      </w:tblGrid>
      <w:tr w14:paraId="7CC23B22">
        <w:tblPrEx>
          <w:tblCellMar>
            <w:top w:w="0" w:type="dxa"/>
            <w:left w:w="108" w:type="dxa"/>
            <w:bottom w:w="0" w:type="dxa"/>
            <w:right w:w="108" w:type="dxa"/>
          </w:tblCellMar>
        </w:tblPrEx>
        <w:trPr>
          <w:trHeight w:val="5064" w:hRule="atLeast"/>
        </w:trPr>
        <w:tc>
          <w:tcPr>
            <w:tcW w:w="8312" w:type="dxa"/>
            <w:tcBorders>
              <w:top w:val="nil"/>
              <w:left w:val="nil"/>
              <w:bottom w:val="nil"/>
              <w:right w:val="nil"/>
            </w:tcBorders>
            <w:vAlign w:val="center"/>
          </w:tcPr>
          <w:p w14:paraId="4467AF94">
            <w:pPr>
              <w:ind w:firstLine="0" w:firstLineChars="0"/>
              <w:jc w:val="center"/>
            </w:pPr>
            <w:r>
              <w:drawing>
                <wp:inline distT="0" distB="0" distL="0" distR="0">
                  <wp:extent cx="4187190" cy="2603500"/>
                  <wp:effectExtent l="0" t="0" r="3810" b="6350"/>
                  <wp:docPr id="1375757850"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50" name="image4.jpeg"/>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187190" cy="2603500"/>
                          </a:xfrm>
                          <a:prstGeom prst="rect">
                            <a:avLst/>
                          </a:prstGeom>
                        </pic:spPr>
                      </pic:pic>
                    </a:graphicData>
                  </a:graphic>
                </wp:inline>
              </w:drawing>
            </w:r>
          </w:p>
          <w:p w14:paraId="58C79C40">
            <w:pPr>
              <w:pStyle w:val="8"/>
            </w:pPr>
            <w:r>
              <w:t>突发环境事件现场应急救援组织图</w:t>
            </w:r>
          </w:p>
        </w:tc>
      </w:tr>
    </w:tbl>
    <w:p w14:paraId="4263792B">
      <w:pPr>
        <w:ind w:firstLine="437"/>
      </w:pPr>
      <w:r>
        <w:rPr>
          <w:rFonts w:hint="eastAsia"/>
        </w:rPr>
        <w:t>根据企业内可能发生的环境污染事故的类型、严重程度和影响范围，调动相应的应急救援队伍，在应急救援指挥部的统一指挥下，快速、有序、有效地开展应急救援行动，以尽快处置事故，使事故的危害降到最低。应急救援组织机构及职责见5.5-1。</w:t>
      </w:r>
    </w:p>
    <w:p w14:paraId="62D0EE40">
      <w:pPr>
        <w:ind w:firstLine="437"/>
        <w:sectPr>
          <w:pgSz w:w="11907" w:h="16840"/>
          <w:pgMar w:top="1440" w:right="1514" w:bottom="1440" w:left="1797" w:header="992" w:footer="851" w:gutter="284"/>
          <w:pgNumType w:fmt="numberInDash"/>
          <w:cols w:space="425" w:num="1"/>
          <w:docGrid w:type="linesAndChars" w:linePitch="465" w:charSpace="-4355"/>
        </w:sectPr>
      </w:pPr>
    </w:p>
    <w:p w14:paraId="2533463B">
      <w:pPr>
        <w:pStyle w:val="7"/>
      </w:pPr>
      <w:r>
        <w:t>应急救援组织机构及职责</w:t>
      </w:r>
    </w:p>
    <w:tbl>
      <w:tblPr>
        <w:tblStyle w:val="88"/>
        <w:tblW w:w="5000" w:type="pct"/>
        <w:jc w:val="center"/>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Layout w:type="fixed"/>
        <w:tblCellMar>
          <w:top w:w="0" w:type="dxa"/>
          <w:left w:w="108" w:type="dxa"/>
          <w:bottom w:w="0" w:type="dxa"/>
          <w:right w:w="108" w:type="dxa"/>
        </w:tblCellMar>
      </w:tblPr>
      <w:tblGrid>
        <w:gridCol w:w="1573"/>
        <w:gridCol w:w="2016"/>
        <w:gridCol w:w="3462"/>
        <w:gridCol w:w="7125"/>
      </w:tblGrid>
      <w:tr w14:paraId="4486BB95">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624" w:hRule="atLeast"/>
          <w:tblHeader/>
          <w:jc w:val="center"/>
        </w:trPr>
        <w:tc>
          <w:tcPr>
            <w:tcW w:w="555" w:type="pct"/>
            <w:tcBorders>
              <w:top w:val="single" w:color="auto" w:sz="12" w:space="0"/>
              <w:left w:val="single" w:color="auto" w:sz="12" w:space="0"/>
              <w:bottom w:val="single" w:color="auto" w:sz="4" w:space="0"/>
              <w:right w:val="single" w:color="404040" w:sz="4" w:space="0"/>
            </w:tcBorders>
            <w:vAlign w:val="center"/>
          </w:tcPr>
          <w:p w14:paraId="3B1A147C">
            <w:pPr>
              <w:widowControl/>
              <w:spacing w:line="240" w:lineRule="exact"/>
              <w:ind w:firstLine="0" w:firstLineChars="0"/>
              <w:jc w:val="center"/>
              <w:rPr>
                <w:b/>
                <w:kern w:val="0"/>
                <w:sz w:val="21"/>
                <w:szCs w:val="21"/>
              </w:rPr>
            </w:pPr>
            <w:r>
              <w:rPr>
                <w:b/>
                <w:kern w:val="0"/>
                <w:sz w:val="21"/>
                <w:szCs w:val="21"/>
              </w:rPr>
              <w:t>应急救援组织机构</w:t>
            </w:r>
          </w:p>
        </w:tc>
        <w:tc>
          <w:tcPr>
            <w:tcW w:w="711" w:type="pct"/>
            <w:tcBorders>
              <w:top w:val="single" w:color="auto" w:sz="12" w:space="0"/>
              <w:left w:val="single" w:color="404040" w:sz="4" w:space="0"/>
              <w:bottom w:val="single" w:color="auto" w:sz="4" w:space="0"/>
              <w:right w:val="single" w:color="404040" w:sz="4" w:space="0"/>
            </w:tcBorders>
            <w:vAlign w:val="center"/>
          </w:tcPr>
          <w:p w14:paraId="7290A4B9">
            <w:pPr>
              <w:widowControl/>
              <w:spacing w:line="240" w:lineRule="exact"/>
              <w:ind w:firstLine="0" w:firstLineChars="0"/>
              <w:jc w:val="center"/>
              <w:rPr>
                <w:b/>
                <w:kern w:val="0"/>
                <w:sz w:val="21"/>
                <w:szCs w:val="21"/>
              </w:rPr>
            </w:pPr>
            <w:r>
              <w:rPr>
                <w:b/>
                <w:kern w:val="0"/>
                <w:sz w:val="21"/>
                <w:szCs w:val="21"/>
              </w:rPr>
              <w:t>日常职位</w:t>
            </w:r>
          </w:p>
        </w:tc>
        <w:tc>
          <w:tcPr>
            <w:tcW w:w="1221" w:type="pct"/>
            <w:tcBorders>
              <w:top w:val="single" w:color="auto" w:sz="12" w:space="0"/>
              <w:left w:val="single" w:color="404040" w:sz="4" w:space="0"/>
              <w:bottom w:val="single" w:color="auto" w:sz="4" w:space="0"/>
              <w:right w:val="single" w:color="404040" w:sz="4" w:space="0"/>
            </w:tcBorders>
            <w:vAlign w:val="center"/>
          </w:tcPr>
          <w:p w14:paraId="320C3895">
            <w:pPr>
              <w:widowControl/>
              <w:spacing w:line="240" w:lineRule="exact"/>
              <w:ind w:firstLine="0" w:firstLineChars="0"/>
              <w:jc w:val="center"/>
              <w:rPr>
                <w:b/>
                <w:kern w:val="0"/>
                <w:sz w:val="21"/>
                <w:szCs w:val="21"/>
              </w:rPr>
            </w:pPr>
            <w:r>
              <w:rPr>
                <w:b/>
                <w:kern w:val="0"/>
                <w:sz w:val="21"/>
                <w:szCs w:val="21"/>
              </w:rPr>
              <w:t>日常职责</w:t>
            </w:r>
          </w:p>
        </w:tc>
        <w:tc>
          <w:tcPr>
            <w:tcW w:w="2512" w:type="pct"/>
            <w:tcBorders>
              <w:top w:val="single" w:color="auto" w:sz="12" w:space="0"/>
              <w:left w:val="single" w:color="404040" w:sz="4" w:space="0"/>
              <w:bottom w:val="single" w:color="auto" w:sz="4" w:space="0"/>
              <w:right w:val="single" w:color="auto" w:sz="12" w:space="0"/>
            </w:tcBorders>
            <w:vAlign w:val="center"/>
          </w:tcPr>
          <w:p w14:paraId="19E36AD9">
            <w:pPr>
              <w:widowControl/>
              <w:spacing w:line="240" w:lineRule="exact"/>
              <w:ind w:firstLine="0" w:firstLineChars="0"/>
              <w:jc w:val="center"/>
              <w:rPr>
                <w:b/>
                <w:kern w:val="0"/>
                <w:sz w:val="21"/>
                <w:szCs w:val="21"/>
              </w:rPr>
            </w:pPr>
            <w:r>
              <w:rPr>
                <w:b/>
                <w:kern w:val="0"/>
                <w:sz w:val="21"/>
                <w:szCs w:val="21"/>
              </w:rPr>
              <w:t>应急职责</w:t>
            </w:r>
          </w:p>
        </w:tc>
      </w:tr>
      <w:tr w14:paraId="79C7300A">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312" w:hRule="atLeast"/>
          <w:jc w:val="center"/>
        </w:trPr>
        <w:tc>
          <w:tcPr>
            <w:tcW w:w="5000" w:type="pct"/>
            <w:gridSpan w:val="4"/>
            <w:tcBorders>
              <w:top w:val="single" w:color="auto" w:sz="4" w:space="0"/>
              <w:left w:val="single" w:color="auto" w:sz="12" w:space="0"/>
              <w:bottom w:val="single" w:color="auto" w:sz="4" w:space="0"/>
              <w:right w:val="single" w:color="auto" w:sz="12" w:space="0"/>
            </w:tcBorders>
            <w:vAlign w:val="center"/>
          </w:tcPr>
          <w:p w14:paraId="7FD7182B">
            <w:pPr>
              <w:widowControl/>
              <w:spacing w:line="240" w:lineRule="exact"/>
              <w:ind w:firstLine="0" w:firstLineChars="0"/>
              <w:jc w:val="center"/>
              <w:rPr>
                <w:kern w:val="0"/>
                <w:sz w:val="21"/>
                <w:szCs w:val="21"/>
              </w:rPr>
            </w:pPr>
            <w:r>
              <w:rPr>
                <w:kern w:val="0"/>
                <w:sz w:val="21"/>
                <w:szCs w:val="21"/>
              </w:rPr>
              <w:t>应急指挥部</w:t>
            </w:r>
          </w:p>
        </w:tc>
      </w:tr>
      <w:tr w14:paraId="6483BEB6">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1949" w:hRule="atLeast"/>
          <w:jc w:val="center"/>
        </w:trPr>
        <w:tc>
          <w:tcPr>
            <w:tcW w:w="555" w:type="pct"/>
            <w:tcBorders>
              <w:top w:val="single" w:color="auto" w:sz="4" w:space="0"/>
              <w:left w:val="single" w:color="auto" w:sz="12" w:space="0"/>
              <w:bottom w:val="single" w:color="404040" w:sz="4" w:space="0"/>
              <w:right w:val="single" w:color="404040" w:sz="4" w:space="0"/>
            </w:tcBorders>
            <w:vAlign w:val="center"/>
          </w:tcPr>
          <w:p w14:paraId="698AEABD">
            <w:pPr>
              <w:widowControl/>
              <w:spacing w:line="240" w:lineRule="exact"/>
              <w:ind w:firstLine="0" w:firstLineChars="0"/>
              <w:jc w:val="center"/>
              <w:rPr>
                <w:kern w:val="0"/>
                <w:sz w:val="21"/>
                <w:szCs w:val="21"/>
              </w:rPr>
            </w:pPr>
            <w:r>
              <w:rPr>
                <w:kern w:val="0"/>
                <w:sz w:val="21"/>
                <w:szCs w:val="21"/>
              </w:rPr>
              <w:t>总指挥</w:t>
            </w:r>
          </w:p>
        </w:tc>
        <w:tc>
          <w:tcPr>
            <w:tcW w:w="711" w:type="pct"/>
            <w:tcBorders>
              <w:top w:val="single" w:color="auto" w:sz="4" w:space="0"/>
              <w:left w:val="single" w:color="404040" w:sz="4" w:space="0"/>
              <w:bottom w:val="single" w:color="404040" w:sz="4" w:space="0"/>
              <w:right w:val="single" w:color="404040" w:sz="4" w:space="0"/>
            </w:tcBorders>
            <w:vAlign w:val="center"/>
          </w:tcPr>
          <w:p w14:paraId="115C3F49">
            <w:pPr>
              <w:widowControl/>
              <w:spacing w:line="240" w:lineRule="exact"/>
              <w:ind w:firstLine="0" w:firstLineChars="0"/>
              <w:jc w:val="center"/>
              <w:rPr>
                <w:kern w:val="0"/>
                <w:sz w:val="21"/>
                <w:szCs w:val="21"/>
              </w:rPr>
            </w:pPr>
            <w:r>
              <w:rPr>
                <w:kern w:val="0"/>
                <w:sz w:val="21"/>
                <w:szCs w:val="21"/>
              </w:rPr>
              <w:t>总经理</w:t>
            </w:r>
          </w:p>
        </w:tc>
        <w:tc>
          <w:tcPr>
            <w:tcW w:w="1221" w:type="pct"/>
            <w:tcBorders>
              <w:top w:val="single" w:color="auto" w:sz="4" w:space="0"/>
              <w:left w:val="single" w:color="404040" w:sz="4" w:space="0"/>
              <w:bottom w:val="single" w:color="404040" w:sz="4" w:space="0"/>
              <w:right w:val="single" w:color="404040" w:sz="4" w:space="0"/>
            </w:tcBorders>
            <w:vAlign w:val="center"/>
          </w:tcPr>
          <w:p w14:paraId="1AF49935">
            <w:pPr>
              <w:widowControl/>
              <w:spacing w:line="240" w:lineRule="exact"/>
              <w:ind w:firstLine="0" w:firstLineChars="0"/>
              <w:jc w:val="center"/>
              <w:rPr>
                <w:kern w:val="0"/>
                <w:sz w:val="21"/>
                <w:szCs w:val="21"/>
              </w:rPr>
            </w:pPr>
            <w:r>
              <w:rPr>
                <w:kern w:val="0"/>
                <w:sz w:val="21"/>
                <w:szCs w:val="21"/>
              </w:rPr>
              <w:t>（1）贯彻执行国家、当地政府、上级主管部门关于突发环境事件发生和应急救援的方针、政策及有关规定；</w:t>
            </w:r>
          </w:p>
          <w:p w14:paraId="34A636E2">
            <w:pPr>
              <w:widowControl/>
              <w:spacing w:line="240" w:lineRule="exact"/>
              <w:ind w:firstLine="0" w:firstLineChars="0"/>
              <w:jc w:val="center"/>
              <w:rPr>
                <w:kern w:val="0"/>
                <w:sz w:val="21"/>
                <w:szCs w:val="21"/>
              </w:rPr>
            </w:pPr>
            <w:r>
              <w:rPr>
                <w:kern w:val="0"/>
                <w:sz w:val="21"/>
                <w:szCs w:val="21"/>
              </w:rPr>
              <w:t>（2）对突发环境事件应急预案的编制、修订内容进行审定、批准；</w:t>
            </w:r>
          </w:p>
          <w:p w14:paraId="67945185">
            <w:pPr>
              <w:widowControl/>
              <w:spacing w:line="240" w:lineRule="exact"/>
              <w:ind w:firstLine="0" w:firstLineChars="0"/>
              <w:jc w:val="center"/>
              <w:rPr>
                <w:kern w:val="0"/>
                <w:sz w:val="21"/>
                <w:szCs w:val="21"/>
              </w:rPr>
            </w:pPr>
            <w:r>
              <w:rPr>
                <w:kern w:val="0"/>
                <w:sz w:val="21"/>
                <w:szCs w:val="21"/>
              </w:rPr>
              <w:t>（3）保障企业突发环境事件应急保障经费的投入。</w:t>
            </w:r>
          </w:p>
        </w:tc>
        <w:tc>
          <w:tcPr>
            <w:tcW w:w="2512" w:type="pct"/>
            <w:tcBorders>
              <w:top w:val="single" w:color="auto" w:sz="4" w:space="0"/>
              <w:left w:val="single" w:color="404040" w:sz="4" w:space="0"/>
              <w:bottom w:val="single" w:color="404040" w:sz="4" w:space="0"/>
              <w:right w:val="single" w:color="auto" w:sz="12" w:space="0"/>
            </w:tcBorders>
            <w:vAlign w:val="center"/>
          </w:tcPr>
          <w:p w14:paraId="400837DA">
            <w:pPr>
              <w:widowControl/>
              <w:spacing w:line="240" w:lineRule="exact"/>
              <w:ind w:firstLine="0" w:firstLineChars="0"/>
              <w:jc w:val="center"/>
              <w:rPr>
                <w:kern w:val="0"/>
                <w:sz w:val="21"/>
                <w:szCs w:val="21"/>
              </w:rPr>
            </w:pPr>
            <w:r>
              <w:rPr>
                <w:kern w:val="0"/>
                <w:sz w:val="21"/>
                <w:szCs w:val="21"/>
              </w:rPr>
              <w:t>（1）接受政府的指令和调动；</w:t>
            </w:r>
          </w:p>
          <w:p w14:paraId="16538C8D">
            <w:pPr>
              <w:widowControl/>
              <w:spacing w:line="240" w:lineRule="exact"/>
              <w:ind w:firstLine="0" w:firstLineChars="0"/>
              <w:jc w:val="center"/>
              <w:rPr>
                <w:kern w:val="0"/>
                <w:sz w:val="21"/>
                <w:szCs w:val="21"/>
              </w:rPr>
            </w:pPr>
            <w:r>
              <w:rPr>
                <w:kern w:val="0"/>
                <w:sz w:val="21"/>
                <w:szCs w:val="21"/>
              </w:rPr>
              <w:t>（2）决定应急预案的启动与终止；</w:t>
            </w:r>
          </w:p>
          <w:p w14:paraId="1E43B559">
            <w:pPr>
              <w:widowControl/>
              <w:spacing w:line="240" w:lineRule="exact"/>
              <w:ind w:firstLine="0" w:firstLineChars="0"/>
              <w:jc w:val="center"/>
              <w:rPr>
                <w:kern w:val="0"/>
                <w:sz w:val="21"/>
                <w:szCs w:val="21"/>
              </w:rPr>
            </w:pPr>
            <w:r>
              <w:rPr>
                <w:kern w:val="0"/>
                <w:sz w:val="21"/>
                <w:szCs w:val="21"/>
              </w:rPr>
              <w:t>（3）审核突发环境事件的险情及应急处理进展等情况，确定预警和应急响应级别；</w:t>
            </w:r>
          </w:p>
          <w:p w14:paraId="2690CCAF">
            <w:pPr>
              <w:widowControl/>
              <w:spacing w:line="240" w:lineRule="exact"/>
              <w:ind w:firstLine="0" w:firstLineChars="0"/>
              <w:jc w:val="center"/>
              <w:rPr>
                <w:kern w:val="0"/>
                <w:sz w:val="21"/>
                <w:szCs w:val="21"/>
              </w:rPr>
            </w:pPr>
            <w:r>
              <w:rPr>
                <w:kern w:val="0"/>
                <w:sz w:val="21"/>
                <w:szCs w:val="21"/>
              </w:rPr>
              <w:t>（4）发生突发环境事故时，亲自或委托副总指挥赶赴现场进行指挥及组织现场应急处理；</w:t>
            </w:r>
          </w:p>
          <w:p w14:paraId="1C0915A4">
            <w:pPr>
              <w:widowControl/>
              <w:spacing w:line="240" w:lineRule="exact"/>
              <w:ind w:firstLine="0" w:firstLineChars="0"/>
              <w:jc w:val="center"/>
              <w:rPr>
                <w:kern w:val="0"/>
                <w:sz w:val="21"/>
                <w:szCs w:val="21"/>
              </w:rPr>
            </w:pPr>
            <w:r>
              <w:rPr>
                <w:kern w:val="0"/>
                <w:sz w:val="21"/>
                <w:szCs w:val="21"/>
              </w:rPr>
              <w:t>（5）发布应急处置命令；</w:t>
            </w:r>
          </w:p>
          <w:p w14:paraId="238FF3AB">
            <w:pPr>
              <w:widowControl/>
              <w:spacing w:line="240" w:lineRule="exact"/>
              <w:ind w:firstLine="0" w:firstLineChars="0"/>
              <w:jc w:val="center"/>
              <w:rPr>
                <w:kern w:val="0"/>
                <w:sz w:val="21"/>
                <w:szCs w:val="21"/>
              </w:rPr>
            </w:pPr>
            <w:r>
              <w:rPr>
                <w:kern w:val="0"/>
                <w:sz w:val="21"/>
                <w:szCs w:val="21"/>
              </w:rPr>
              <w:t>（6）如果事故级别升级到社会应急，负责及时向政府部门报告并提出协助请求。</w:t>
            </w:r>
          </w:p>
        </w:tc>
      </w:tr>
      <w:tr w14:paraId="402F0F92">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1871" w:hRule="atLeast"/>
          <w:jc w:val="center"/>
        </w:trPr>
        <w:tc>
          <w:tcPr>
            <w:tcW w:w="555" w:type="pct"/>
            <w:tcBorders>
              <w:top w:val="single" w:color="404040" w:sz="4" w:space="0"/>
              <w:left w:val="single" w:color="auto" w:sz="12" w:space="0"/>
              <w:bottom w:val="single" w:color="404040" w:sz="4" w:space="0"/>
              <w:right w:val="single" w:color="404040" w:sz="4" w:space="0"/>
            </w:tcBorders>
            <w:vAlign w:val="center"/>
          </w:tcPr>
          <w:p w14:paraId="2D3832EC">
            <w:pPr>
              <w:widowControl/>
              <w:spacing w:line="240" w:lineRule="exact"/>
              <w:ind w:firstLine="0" w:firstLineChars="0"/>
              <w:jc w:val="center"/>
              <w:rPr>
                <w:kern w:val="0"/>
                <w:sz w:val="21"/>
                <w:szCs w:val="21"/>
              </w:rPr>
            </w:pPr>
            <w:r>
              <w:rPr>
                <w:kern w:val="0"/>
                <w:sz w:val="21"/>
                <w:szCs w:val="21"/>
              </w:rPr>
              <w:t>副总指挥</w:t>
            </w:r>
          </w:p>
        </w:tc>
        <w:tc>
          <w:tcPr>
            <w:tcW w:w="711" w:type="pct"/>
            <w:tcBorders>
              <w:top w:val="single" w:color="404040" w:sz="4" w:space="0"/>
              <w:left w:val="single" w:color="404040" w:sz="4" w:space="0"/>
              <w:bottom w:val="single" w:color="404040" w:sz="4" w:space="0"/>
              <w:right w:val="single" w:color="404040" w:sz="4" w:space="0"/>
            </w:tcBorders>
            <w:vAlign w:val="center"/>
          </w:tcPr>
          <w:p w14:paraId="6006434D">
            <w:pPr>
              <w:widowControl/>
              <w:spacing w:line="240" w:lineRule="exact"/>
              <w:ind w:firstLine="0" w:firstLineChars="0"/>
              <w:jc w:val="center"/>
              <w:rPr>
                <w:kern w:val="0"/>
                <w:sz w:val="21"/>
                <w:szCs w:val="21"/>
              </w:rPr>
            </w:pPr>
            <w:r>
              <w:rPr>
                <w:kern w:val="0"/>
                <w:sz w:val="21"/>
                <w:szCs w:val="21"/>
              </w:rPr>
              <w:t>公司领导</w:t>
            </w:r>
          </w:p>
        </w:tc>
        <w:tc>
          <w:tcPr>
            <w:tcW w:w="1221" w:type="pct"/>
            <w:tcBorders>
              <w:top w:val="single" w:color="404040" w:sz="4" w:space="0"/>
              <w:left w:val="single" w:color="404040" w:sz="4" w:space="0"/>
              <w:bottom w:val="single" w:color="404040" w:sz="4" w:space="0"/>
              <w:right w:val="single" w:color="404040" w:sz="4" w:space="0"/>
            </w:tcBorders>
            <w:vAlign w:val="center"/>
          </w:tcPr>
          <w:p w14:paraId="6B50CA52">
            <w:pPr>
              <w:widowControl/>
              <w:spacing w:line="240" w:lineRule="exact"/>
              <w:ind w:firstLine="0" w:firstLineChars="0"/>
              <w:jc w:val="center"/>
              <w:rPr>
                <w:kern w:val="0"/>
                <w:sz w:val="21"/>
                <w:szCs w:val="21"/>
              </w:rPr>
            </w:pPr>
            <w:r>
              <w:rPr>
                <w:kern w:val="0"/>
                <w:sz w:val="21"/>
                <w:szCs w:val="21"/>
              </w:rPr>
              <w:t>（1）组织、指导员工突发环境事件的应急培训工作， 协调指导应急救援队伍的管理和救援能力评估工作；</w:t>
            </w:r>
          </w:p>
          <w:p w14:paraId="156E9478">
            <w:pPr>
              <w:widowControl/>
              <w:spacing w:line="240" w:lineRule="exact"/>
              <w:ind w:firstLine="0" w:firstLineChars="0"/>
              <w:jc w:val="center"/>
              <w:rPr>
                <w:kern w:val="0"/>
                <w:sz w:val="21"/>
                <w:szCs w:val="21"/>
              </w:rPr>
            </w:pPr>
            <w:r>
              <w:rPr>
                <w:kern w:val="0"/>
                <w:sz w:val="21"/>
                <w:szCs w:val="21"/>
              </w:rPr>
              <w:t>（2）检查、督促做好突发环境事件的预防措施和应急救援的各项准备工作；</w:t>
            </w:r>
          </w:p>
          <w:p w14:paraId="4E4269A1">
            <w:pPr>
              <w:widowControl/>
              <w:spacing w:line="240" w:lineRule="exact"/>
              <w:ind w:firstLine="0" w:firstLineChars="0"/>
              <w:jc w:val="center"/>
              <w:rPr>
                <w:kern w:val="0"/>
                <w:sz w:val="21"/>
                <w:szCs w:val="21"/>
              </w:rPr>
            </w:pPr>
            <w:r>
              <w:rPr>
                <w:kern w:val="0"/>
                <w:sz w:val="21"/>
                <w:szCs w:val="21"/>
              </w:rPr>
              <w:t>（3）监督应急体系的建设和运转，审查应急救援工作报告。</w:t>
            </w:r>
          </w:p>
        </w:tc>
        <w:tc>
          <w:tcPr>
            <w:tcW w:w="2512" w:type="pct"/>
            <w:tcBorders>
              <w:top w:val="single" w:color="404040" w:sz="4" w:space="0"/>
              <w:left w:val="single" w:color="404040" w:sz="4" w:space="0"/>
              <w:bottom w:val="single" w:color="404040" w:sz="4" w:space="0"/>
              <w:right w:val="single" w:color="auto" w:sz="12" w:space="0"/>
            </w:tcBorders>
            <w:vAlign w:val="center"/>
          </w:tcPr>
          <w:p w14:paraId="64DB1B81">
            <w:pPr>
              <w:widowControl/>
              <w:spacing w:line="240" w:lineRule="exact"/>
              <w:ind w:firstLine="0" w:firstLineChars="0"/>
              <w:jc w:val="center"/>
              <w:rPr>
                <w:kern w:val="0"/>
                <w:sz w:val="21"/>
                <w:szCs w:val="21"/>
              </w:rPr>
            </w:pPr>
            <w:r>
              <w:rPr>
                <w:kern w:val="0"/>
                <w:sz w:val="21"/>
                <w:szCs w:val="21"/>
              </w:rPr>
              <w:t>（1）协助总指挥组织和指挥应急任务；</w:t>
            </w:r>
          </w:p>
          <w:p w14:paraId="44BB11C8">
            <w:pPr>
              <w:widowControl/>
              <w:spacing w:line="240" w:lineRule="exact"/>
              <w:ind w:firstLine="0" w:firstLineChars="0"/>
              <w:jc w:val="center"/>
              <w:rPr>
                <w:kern w:val="0"/>
                <w:sz w:val="21"/>
                <w:szCs w:val="21"/>
              </w:rPr>
            </w:pPr>
            <w:r>
              <w:rPr>
                <w:kern w:val="0"/>
                <w:sz w:val="21"/>
                <w:szCs w:val="21"/>
              </w:rPr>
              <w:t>（2）事故现场应急的直接指挥和协调；</w:t>
            </w:r>
          </w:p>
          <w:p w14:paraId="57A61167">
            <w:pPr>
              <w:widowControl/>
              <w:spacing w:line="240" w:lineRule="exact"/>
              <w:ind w:firstLine="0" w:firstLineChars="0"/>
              <w:jc w:val="center"/>
              <w:rPr>
                <w:kern w:val="0"/>
                <w:sz w:val="21"/>
                <w:szCs w:val="21"/>
              </w:rPr>
            </w:pPr>
            <w:r>
              <w:rPr>
                <w:kern w:val="0"/>
                <w:sz w:val="21"/>
                <w:szCs w:val="21"/>
              </w:rPr>
              <w:t>（3）对应急行动提出建议；</w:t>
            </w:r>
          </w:p>
          <w:p w14:paraId="18F67DE7">
            <w:pPr>
              <w:widowControl/>
              <w:spacing w:line="240" w:lineRule="exact"/>
              <w:ind w:firstLine="0" w:firstLineChars="0"/>
              <w:jc w:val="center"/>
              <w:rPr>
                <w:kern w:val="0"/>
                <w:sz w:val="21"/>
                <w:szCs w:val="21"/>
              </w:rPr>
            </w:pPr>
            <w:r>
              <w:rPr>
                <w:kern w:val="0"/>
                <w:sz w:val="21"/>
                <w:szCs w:val="21"/>
              </w:rPr>
              <w:t>（4）负责企业人员的应急行动的顺利执行；</w:t>
            </w:r>
          </w:p>
          <w:p w14:paraId="4348C675">
            <w:pPr>
              <w:widowControl/>
              <w:spacing w:line="240" w:lineRule="exact"/>
              <w:ind w:firstLine="0" w:firstLineChars="0"/>
              <w:jc w:val="center"/>
              <w:rPr>
                <w:kern w:val="0"/>
                <w:sz w:val="21"/>
                <w:szCs w:val="21"/>
              </w:rPr>
            </w:pPr>
            <w:r>
              <w:rPr>
                <w:kern w:val="0"/>
                <w:sz w:val="21"/>
                <w:szCs w:val="21"/>
              </w:rPr>
              <w:t>（5）控制现场出现的紧急情况；</w:t>
            </w:r>
          </w:p>
          <w:p w14:paraId="59F2518A">
            <w:pPr>
              <w:widowControl/>
              <w:spacing w:line="240" w:lineRule="exact"/>
              <w:ind w:firstLine="0" w:firstLineChars="0"/>
              <w:jc w:val="center"/>
              <w:rPr>
                <w:kern w:val="0"/>
                <w:sz w:val="21"/>
                <w:szCs w:val="21"/>
              </w:rPr>
            </w:pPr>
            <w:r>
              <w:rPr>
                <w:kern w:val="0"/>
                <w:sz w:val="21"/>
                <w:szCs w:val="21"/>
              </w:rPr>
              <w:t>（6）现场应急行动与场外人员操作指挥的协调。</w:t>
            </w:r>
          </w:p>
        </w:tc>
      </w:tr>
      <w:tr w14:paraId="6D635331">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1560" w:hRule="atLeast"/>
          <w:jc w:val="center"/>
        </w:trPr>
        <w:tc>
          <w:tcPr>
            <w:tcW w:w="555" w:type="pct"/>
            <w:tcBorders>
              <w:top w:val="single" w:color="404040" w:sz="4" w:space="0"/>
              <w:left w:val="single" w:color="auto" w:sz="12" w:space="0"/>
              <w:bottom w:val="single" w:color="404040" w:sz="4" w:space="0"/>
              <w:right w:val="single" w:color="404040" w:sz="4" w:space="0"/>
            </w:tcBorders>
            <w:vAlign w:val="center"/>
          </w:tcPr>
          <w:p w14:paraId="68753837">
            <w:pPr>
              <w:widowControl/>
              <w:spacing w:line="240" w:lineRule="exact"/>
              <w:ind w:firstLine="0" w:firstLineChars="0"/>
              <w:jc w:val="center"/>
              <w:rPr>
                <w:kern w:val="0"/>
                <w:sz w:val="21"/>
                <w:szCs w:val="21"/>
              </w:rPr>
            </w:pPr>
            <w:r>
              <w:rPr>
                <w:kern w:val="0"/>
                <w:sz w:val="21"/>
                <w:szCs w:val="21"/>
              </w:rPr>
              <w:t>应急办公室</w:t>
            </w:r>
          </w:p>
        </w:tc>
        <w:tc>
          <w:tcPr>
            <w:tcW w:w="711" w:type="pct"/>
            <w:tcBorders>
              <w:top w:val="single" w:color="404040" w:sz="4" w:space="0"/>
              <w:left w:val="single" w:color="404040" w:sz="4" w:space="0"/>
              <w:bottom w:val="single" w:color="404040" w:sz="4" w:space="0"/>
              <w:right w:val="single" w:color="404040" w:sz="4" w:space="0"/>
            </w:tcBorders>
            <w:vAlign w:val="center"/>
          </w:tcPr>
          <w:p w14:paraId="73FA908F">
            <w:pPr>
              <w:widowControl/>
              <w:spacing w:line="240" w:lineRule="exact"/>
              <w:ind w:firstLine="0" w:firstLineChars="0"/>
              <w:jc w:val="center"/>
              <w:rPr>
                <w:kern w:val="0"/>
                <w:sz w:val="21"/>
                <w:szCs w:val="21"/>
              </w:rPr>
            </w:pPr>
            <w:r>
              <w:rPr>
                <w:kern w:val="0"/>
                <w:sz w:val="21"/>
                <w:szCs w:val="21"/>
              </w:rPr>
              <w:t>主任</w:t>
            </w:r>
          </w:p>
        </w:tc>
        <w:tc>
          <w:tcPr>
            <w:tcW w:w="1221" w:type="pct"/>
            <w:tcBorders>
              <w:top w:val="single" w:color="404040" w:sz="4" w:space="0"/>
              <w:left w:val="single" w:color="404040" w:sz="4" w:space="0"/>
              <w:bottom w:val="single" w:color="404040" w:sz="4" w:space="0"/>
              <w:right w:val="single" w:color="404040" w:sz="4" w:space="0"/>
            </w:tcBorders>
            <w:vAlign w:val="center"/>
          </w:tcPr>
          <w:p w14:paraId="6E88C471">
            <w:pPr>
              <w:widowControl/>
              <w:spacing w:line="240" w:lineRule="exact"/>
              <w:ind w:firstLine="0" w:firstLineChars="0"/>
              <w:jc w:val="center"/>
              <w:rPr>
                <w:kern w:val="0"/>
                <w:sz w:val="21"/>
                <w:szCs w:val="21"/>
              </w:rPr>
            </w:pPr>
            <w:r>
              <w:rPr>
                <w:kern w:val="0"/>
                <w:sz w:val="21"/>
                <w:szCs w:val="21"/>
              </w:rPr>
              <w:t>（1）负责组织应急预案制定、修订工作；</w:t>
            </w:r>
          </w:p>
          <w:p w14:paraId="0FE5250E">
            <w:pPr>
              <w:widowControl/>
              <w:spacing w:line="240" w:lineRule="exact"/>
              <w:ind w:firstLine="0" w:firstLineChars="0"/>
              <w:jc w:val="center"/>
              <w:rPr>
                <w:kern w:val="0"/>
                <w:sz w:val="21"/>
                <w:szCs w:val="21"/>
              </w:rPr>
            </w:pPr>
            <w:r>
              <w:rPr>
                <w:kern w:val="0"/>
                <w:sz w:val="21"/>
                <w:szCs w:val="21"/>
              </w:rPr>
              <w:t>（2）负责公司应急预案的日常管理工作；</w:t>
            </w:r>
          </w:p>
          <w:p w14:paraId="64CB4341">
            <w:pPr>
              <w:widowControl/>
              <w:spacing w:line="240" w:lineRule="exact"/>
              <w:ind w:firstLine="0" w:firstLineChars="0"/>
              <w:jc w:val="center"/>
              <w:rPr>
                <w:kern w:val="0"/>
                <w:sz w:val="21"/>
                <w:szCs w:val="21"/>
              </w:rPr>
            </w:pPr>
            <w:r>
              <w:rPr>
                <w:kern w:val="0"/>
                <w:sz w:val="21"/>
                <w:szCs w:val="21"/>
              </w:rPr>
              <w:t>（3）负责日常的接警工作；</w:t>
            </w:r>
          </w:p>
          <w:p w14:paraId="64E00527">
            <w:pPr>
              <w:widowControl/>
              <w:spacing w:line="240" w:lineRule="exact"/>
              <w:ind w:firstLine="0" w:firstLineChars="0"/>
              <w:jc w:val="center"/>
              <w:rPr>
                <w:kern w:val="0"/>
                <w:sz w:val="21"/>
                <w:szCs w:val="21"/>
              </w:rPr>
            </w:pPr>
            <w:r>
              <w:rPr>
                <w:kern w:val="0"/>
                <w:sz w:val="21"/>
                <w:szCs w:val="21"/>
              </w:rPr>
              <w:t>（4）组织应急的培训、演练等工作。</w:t>
            </w:r>
          </w:p>
        </w:tc>
        <w:tc>
          <w:tcPr>
            <w:tcW w:w="2512" w:type="pct"/>
            <w:tcBorders>
              <w:top w:val="single" w:color="404040" w:sz="4" w:space="0"/>
              <w:left w:val="single" w:color="404040" w:sz="4" w:space="0"/>
              <w:bottom w:val="single" w:color="404040" w:sz="4" w:space="0"/>
              <w:right w:val="single" w:color="auto" w:sz="12" w:space="0"/>
            </w:tcBorders>
            <w:vAlign w:val="center"/>
          </w:tcPr>
          <w:p w14:paraId="0132A2A2">
            <w:pPr>
              <w:widowControl/>
              <w:spacing w:line="240" w:lineRule="exact"/>
              <w:ind w:firstLine="0" w:firstLineChars="0"/>
              <w:jc w:val="center"/>
              <w:rPr>
                <w:kern w:val="0"/>
                <w:sz w:val="21"/>
                <w:szCs w:val="21"/>
              </w:rPr>
            </w:pPr>
            <w:r>
              <w:rPr>
                <w:kern w:val="0"/>
                <w:sz w:val="21"/>
                <w:szCs w:val="21"/>
              </w:rPr>
              <w:t>（1）上传下达指挥安排的应急任务；</w:t>
            </w:r>
          </w:p>
          <w:p w14:paraId="0E95BED4">
            <w:pPr>
              <w:widowControl/>
              <w:spacing w:line="240" w:lineRule="exact"/>
              <w:ind w:firstLine="0" w:firstLineChars="0"/>
              <w:jc w:val="center"/>
              <w:rPr>
                <w:kern w:val="0"/>
                <w:sz w:val="21"/>
                <w:szCs w:val="21"/>
              </w:rPr>
            </w:pPr>
            <w:r>
              <w:rPr>
                <w:kern w:val="0"/>
                <w:sz w:val="21"/>
                <w:szCs w:val="21"/>
              </w:rPr>
              <w:t>（2）负责人员配置、资源分配、应急队伍的调动；</w:t>
            </w:r>
          </w:p>
          <w:p w14:paraId="21C6714F">
            <w:pPr>
              <w:widowControl/>
              <w:spacing w:line="240" w:lineRule="exact"/>
              <w:ind w:firstLine="0" w:firstLineChars="0"/>
              <w:jc w:val="center"/>
              <w:rPr>
                <w:kern w:val="0"/>
                <w:sz w:val="21"/>
                <w:szCs w:val="21"/>
              </w:rPr>
            </w:pPr>
            <w:r>
              <w:rPr>
                <w:kern w:val="0"/>
                <w:sz w:val="21"/>
                <w:szCs w:val="21"/>
              </w:rPr>
              <w:t>（3）事故信息的上报，并与相关的外部应急部门、组织和机构进行联络，及时通报应急信息；</w:t>
            </w:r>
          </w:p>
          <w:p w14:paraId="54F59BB5">
            <w:pPr>
              <w:widowControl/>
              <w:spacing w:line="240" w:lineRule="exact"/>
              <w:ind w:firstLine="0" w:firstLineChars="0"/>
              <w:jc w:val="center"/>
              <w:rPr>
                <w:kern w:val="0"/>
                <w:sz w:val="21"/>
                <w:szCs w:val="21"/>
              </w:rPr>
            </w:pPr>
            <w:r>
              <w:rPr>
                <w:kern w:val="0"/>
                <w:sz w:val="21"/>
                <w:szCs w:val="21"/>
              </w:rPr>
              <w:t>（4）负责保护事故发生后的相关数据。</w:t>
            </w:r>
          </w:p>
        </w:tc>
      </w:tr>
      <w:tr w14:paraId="1AB5BBD6">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312" w:hRule="atLeast"/>
          <w:jc w:val="center"/>
        </w:trPr>
        <w:tc>
          <w:tcPr>
            <w:tcW w:w="5000" w:type="pct"/>
            <w:gridSpan w:val="4"/>
            <w:tcBorders>
              <w:top w:val="single" w:color="404040" w:sz="4" w:space="0"/>
              <w:left w:val="single" w:color="auto" w:sz="12" w:space="0"/>
              <w:bottom w:val="single" w:color="404040" w:sz="4" w:space="0"/>
              <w:right w:val="single" w:color="auto" w:sz="12" w:space="0"/>
            </w:tcBorders>
            <w:vAlign w:val="center"/>
          </w:tcPr>
          <w:p w14:paraId="167B7EA2">
            <w:pPr>
              <w:widowControl/>
              <w:spacing w:line="240" w:lineRule="exact"/>
              <w:ind w:firstLine="0" w:firstLineChars="0"/>
              <w:jc w:val="center"/>
              <w:rPr>
                <w:kern w:val="0"/>
                <w:sz w:val="21"/>
                <w:szCs w:val="21"/>
              </w:rPr>
            </w:pPr>
            <w:r>
              <w:rPr>
                <w:kern w:val="0"/>
                <w:sz w:val="21"/>
                <w:szCs w:val="21"/>
              </w:rPr>
              <w:t>应急处置小组</w:t>
            </w:r>
          </w:p>
        </w:tc>
      </w:tr>
      <w:tr w14:paraId="33D81092">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309" w:hRule="atLeast"/>
          <w:jc w:val="center"/>
        </w:trPr>
        <w:tc>
          <w:tcPr>
            <w:tcW w:w="555" w:type="pct"/>
            <w:tcBorders>
              <w:top w:val="single" w:color="404040" w:sz="4" w:space="0"/>
              <w:left w:val="single" w:color="auto" w:sz="12" w:space="0"/>
              <w:bottom w:val="single" w:color="404040" w:sz="4" w:space="0"/>
              <w:right w:val="single" w:color="404040" w:sz="4" w:space="0"/>
            </w:tcBorders>
            <w:vAlign w:val="center"/>
          </w:tcPr>
          <w:p w14:paraId="48F3AFF2">
            <w:pPr>
              <w:widowControl/>
              <w:spacing w:line="240" w:lineRule="exact"/>
              <w:ind w:firstLine="0" w:firstLineChars="0"/>
              <w:jc w:val="center"/>
              <w:rPr>
                <w:kern w:val="0"/>
                <w:sz w:val="21"/>
                <w:szCs w:val="21"/>
              </w:rPr>
            </w:pPr>
            <w:r>
              <w:rPr>
                <w:kern w:val="0"/>
                <w:sz w:val="21"/>
                <w:szCs w:val="21"/>
              </w:rPr>
              <w:t>救援抢险组</w:t>
            </w:r>
          </w:p>
        </w:tc>
        <w:tc>
          <w:tcPr>
            <w:tcW w:w="711" w:type="pct"/>
            <w:tcBorders>
              <w:top w:val="single" w:color="404040" w:sz="4" w:space="0"/>
              <w:left w:val="single" w:color="404040" w:sz="4" w:space="0"/>
              <w:bottom w:val="single" w:color="404040" w:sz="4" w:space="0"/>
              <w:right w:val="single" w:color="404040" w:sz="4" w:space="0"/>
            </w:tcBorders>
            <w:vAlign w:val="center"/>
          </w:tcPr>
          <w:p w14:paraId="47B1C163">
            <w:pPr>
              <w:widowControl/>
              <w:spacing w:line="240" w:lineRule="exact"/>
              <w:ind w:firstLine="0" w:firstLineChars="0"/>
              <w:jc w:val="center"/>
              <w:rPr>
                <w:kern w:val="0"/>
                <w:sz w:val="21"/>
                <w:szCs w:val="21"/>
              </w:rPr>
            </w:pPr>
            <w:r>
              <w:rPr>
                <w:kern w:val="0"/>
                <w:sz w:val="21"/>
                <w:szCs w:val="21"/>
              </w:rPr>
              <w:t>组长</w:t>
            </w:r>
          </w:p>
        </w:tc>
        <w:tc>
          <w:tcPr>
            <w:tcW w:w="1221" w:type="pct"/>
            <w:tcBorders>
              <w:top w:val="single" w:color="404040" w:sz="4" w:space="0"/>
              <w:left w:val="single" w:color="404040" w:sz="4" w:space="0"/>
              <w:bottom w:val="single" w:color="404040" w:sz="4" w:space="0"/>
              <w:right w:val="single" w:color="404040" w:sz="4" w:space="0"/>
            </w:tcBorders>
            <w:vAlign w:val="center"/>
          </w:tcPr>
          <w:p w14:paraId="0954D114">
            <w:pPr>
              <w:widowControl/>
              <w:spacing w:line="240" w:lineRule="exact"/>
              <w:ind w:firstLine="0" w:firstLineChars="0"/>
              <w:jc w:val="center"/>
              <w:rPr>
                <w:kern w:val="0"/>
                <w:sz w:val="21"/>
                <w:szCs w:val="21"/>
              </w:rPr>
            </w:pPr>
            <w:r>
              <w:rPr>
                <w:kern w:val="0"/>
                <w:sz w:val="21"/>
                <w:szCs w:val="21"/>
              </w:rPr>
              <w:t>（1）熟悉疏散路线；管理好警戒疏散的物资；</w:t>
            </w:r>
          </w:p>
          <w:p w14:paraId="15E5A524">
            <w:pPr>
              <w:widowControl/>
              <w:spacing w:line="240" w:lineRule="exact"/>
              <w:ind w:firstLine="0" w:firstLineChars="0"/>
              <w:jc w:val="center"/>
              <w:rPr>
                <w:kern w:val="0"/>
                <w:sz w:val="21"/>
                <w:szCs w:val="21"/>
              </w:rPr>
            </w:pPr>
            <w:r>
              <w:rPr>
                <w:kern w:val="0"/>
                <w:sz w:val="21"/>
                <w:szCs w:val="21"/>
              </w:rPr>
              <w:t>（2）负责用电设施、车辆的维护及保养等；</w:t>
            </w:r>
          </w:p>
          <w:p w14:paraId="25FD0463">
            <w:pPr>
              <w:widowControl/>
              <w:spacing w:line="240" w:lineRule="exact"/>
              <w:ind w:firstLine="0" w:firstLineChars="0"/>
              <w:jc w:val="center"/>
              <w:rPr>
                <w:kern w:val="0"/>
                <w:sz w:val="21"/>
                <w:szCs w:val="21"/>
              </w:rPr>
            </w:pPr>
            <w:r>
              <w:rPr>
                <w:kern w:val="0"/>
                <w:sz w:val="21"/>
                <w:szCs w:val="21"/>
              </w:rPr>
              <w:t>（3）参与相关培训及演练，熟悉应急工作。</w:t>
            </w:r>
          </w:p>
        </w:tc>
        <w:tc>
          <w:tcPr>
            <w:tcW w:w="2512" w:type="pct"/>
            <w:tcBorders>
              <w:top w:val="single" w:color="404040" w:sz="4" w:space="0"/>
              <w:left w:val="single" w:color="404040" w:sz="4" w:space="0"/>
              <w:bottom w:val="single" w:color="404040" w:sz="4" w:space="0"/>
              <w:right w:val="single" w:color="auto" w:sz="12" w:space="0"/>
            </w:tcBorders>
            <w:vAlign w:val="center"/>
          </w:tcPr>
          <w:p w14:paraId="769E072E">
            <w:pPr>
              <w:widowControl/>
              <w:spacing w:line="240" w:lineRule="exact"/>
              <w:ind w:firstLine="0" w:firstLineChars="0"/>
              <w:jc w:val="center"/>
              <w:rPr>
                <w:kern w:val="0"/>
                <w:sz w:val="21"/>
                <w:szCs w:val="21"/>
              </w:rPr>
            </w:pPr>
            <w:r>
              <w:rPr>
                <w:kern w:val="0"/>
                <w:sz w:val="21"/>
                <w:szCs w:val="21"/>
              </w:rPr>
              <w:t>（1）阻止非抢险救援人员进入事故现场；负责现场车辆疏导；</w:t>
            </w:r>
          </w:p>
          <w:p w14:paraId="278658E9">
            <w:pPr>
              <w:widowControl/>
              <w:spacing w:line="240" w:lineRule="exact"/>
              <w:ind w:firstLine="0" w:firstLineChars="0"/>
              <w:jc w:val="center"/>
              <w:rPr>
                <w:kern w:val="0"/>
                <w:sz w:val="21"/>
                <w:szCs w:val="21"/>
              </w:rPr>
            </w:pPr>
            <w:r>
              <w:rPr>
                <w:kern w:val="0"/>
                <w:sz w:val="21"/>
                <w:szCs w:val="21"/>
              </w:rPr>
              <w:t>（2）根据指挥部的指令及时疏散人员；</w:t>
            </w:r>
          </w:p>
          <w:p w14:paraId="680DBD61">
            <w:pPr>
              <w:widowControl/>
              <w:spacing w:line="240" w:lineRule="exact"/>
              <w:ind w:firstLine="0" w:firstLineChars="0"/>
              <w:jc w:val="center"/>
              <w:rPr>
                <w:kern w:val="0"/>
                <w:sz w:val="21"/>
                <w:szCs w:val="21"/>
              </w:rPr>
            </w:pPr>
            <w:r>
              <w:rPr>
                <w:kern w:val="0"/>
                <w:sz w:val="21"/>
                <w:szCs w:val="21"/>
              </w:rPr>
              <w:t>（3）维持港区内治安秩序；</w:t>
            </w:r>
          </w:p>
          <w:p w14:paraId="7227312A">
            <w:pPr>
              <w:widowControl/>
              <w:spacing w:line="240" w:lineRule="exact"/>
              <w:ind w:firstLine="0" w:firstLineChars="0"/>
              <w:jc w:val="center"/>
              <w:rPr>
                <w:kern w:val="0"/>
                <w:sz w:val="21"/>
                <w:szCs w:val="21"/>
              </w:rPr>
            </w:pPr>
            <w:r>
              <w:rPr>
                <w:kern w:val="0"/>
                <w:sz w:val="21"/>
                <w:szCs w:val="21"/>
              </w:rPr>
              <w:t>（1）负责港区内事故现场隔离区域和疏散区域的警戒和交通管制；</w:t>
            </w:r>
          </w:p>
          <w:p w14:paraId="64960CEB">
            <w:pPr>
              <w:widowControl/>
              <w:spacing w:line="240" w:lineRule="exact"/>
              <w:ind w:firstLine="0" w:firstLineChars="0"/>
              <w:jc w:val="center"/>
              <w:rPr>
                <w:kern w:val="0"/>
                <w:sz w:val="21"/>
                <w:szCs w:val="21"/>
              </w:rPr>
            </w:pPr>
            <w:r>
              <w:rPr>
                <w:kern w:val="0"/>
                <w:sz w:val="21"/>
                <w:szCs w:val="21"/>
              </w:rPr>
              <w:t>（2）确保各专业队与场内事故现场指挥部广播和通讯的畅通；</w:t>
            </w:r>
          </w:p>
          <w:p w14:paraId="6B7A8C87">
            <w:pPr>
              <w:widowControl/>
              <w:spacing w:line="240" w:lineRule="exact"/>
              <w:ind w:firstLine="0" w:firstLineChars="0"/>
              <w:jc w:val="center"/>
              <w:rPr>
                <w:kern w:val="0"/>
                <w:sz w:val="21"/>
                <w:szCs w:val="21"/>
              </w:rPr>
            </w:pPr>
            <w:r>
              <w:rPr>
                <w:kern w:val="0"/>
                <w:sz w:val="21"/>
                <w:szCs w:val="21"/>
              </w:rPr>
              <w:t>（3）负责修复用电设施或敷设临时线路，保证事故用电，维修各种造成损害的其他急用设备设施；</w:t>
            </w:r>
          </w:p>
          <w:p w14:paraId="576E0C3B">
            <w:pPr>
              <w:widowControl/>
              <w:spacing w:line="240" w:lineRule="exact"/>
              <w:ind w:firstLine="0" w:firstLineChars="0"/>
              <w:jc w:val="center"/>
              <w:rPr>
                <w:kern w:val="0"/>
                <w:sz w:val="21"/>
                <w:szCs w:val="21"/>
              </w:rPr>
            </w:pPr>
            <w:r>
              <w:rPr>
                <w:kern w:val="0"/>
                <w:sz w:val="21"/>
                <w:szCs w:val="21"/>
              </w:rPr>
              <w:t>（4）按组长部命令，恢复供电或切断电源。</w:t>
            </w:r>
          </w:p>
        </w:tc>
      </w:tr>
      <w:tr w14:paraId="6CAB6FC9">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309" w:hRule="atLeast"/>
          <w:jc w:val="center"/>
        </w:trPr>
        <w:tc>
          <w:tcPr>
            <w:tcW w:w="555" w:type="pct"/>
            <w:tcBorders>
              <w:top w:val="single" w:color="404040" w:sz="4" w:space="0"/>
              <w:left w:val="single" w:color="auto" w:sz="12" w:space="0"/>
              <w:bottom w:val="single" w:color="404040" w:sz="4" w:space="0"/>
              <w:right w:val="single" w:color="404040" w:sz="4" w:space="0"/>
            </w:tcBorders>
            <w:vAlign w:val="center"/>
          </w:tcPr>
          <w:p w14:paraId="0300826A">
            <w:pPr>
              <w:widowControl/>
              <w:spacing w:line="240" w:lineRule="exact"/>
              <w:ind w:firstLine="0" w:firstLineChars="0"/>
              <w:jc w:val="center"/>
              <w:rPr>
                <w:kern w:val="0"/>
                <w:sz w:val="21"/>
                <w:szCs w:val="21"/>
              </w:rPr>
            </w:pPr>
            <w:r>
              <w:rPr>
                <w:kern w:val="0"/>
                <w:sz w:val="21"/>
                <w:szCs w:val="21"/>
              </w:rPr>
              <w:t>后勤保障组</w:t>
            </w:r>
          </w:p>
        </w:tc>
        <w:tc>
          <w:tcPr>
            <w:tcW w:w="711" w:type="pct"/>
            <w:tcBorders>
              <w:top w:val="single" w:color="404040" w:sz="4" w:space="0"/>
              <w:left w:val="single" w:color="404040" w:sz="4" w:space="0"/>
              <w:bottom w:val="single" w:color="404040" w:sz="4" w:space="0"/>
              <w:right w:val="single" w:color="404040" w:sz="4" w:space="0"/>
            </w:tcBorders>
            <w:vAlign w:val="center"/>
          </w:tcPr>
          <w:p w14:paraId="4597DA06">
            <w:pPr>
              <w:widowControl/>
              <w:spacing w:line="240" w:lineRule="exact"/>
              <w:ind w:firstLine="0" w:firstLineChars="0"/>
              <w:jc w:val="center"/>
              <w:rPr>
                <w:kern w:val="0"/>
                <w:sz w:val="21"/>
                <w:szCs w:val="21"/>
              </w:rPr>
            </w:pPr>
            <w:r>
              <w:rPr>
                <w:kern w:val="0"/>
                <w:sz w:val="21"/>
                <w:szCs w:val="21"/>
              </w:rPr>
              <w:t>组长</w:t>
            </w:r>
          </w:p>
        </w:tc>
        <w:tc>
          <w:tcPr>
            <w:tcW w:w="1221" w:type="pct"/>
            <w:tcBorders>
              <w:top w:val="single" w:color="404040" w:sz="4" w:space="0"/>
              <w:left w:val="single" w:color="404040" w:sz="4" w:space="0"/>
              <w:bottom w:val="single" w:color="404040" w:sz="4" w:space="0"/>
              <w:right w:val="single" w:color="404040" w:sz="4" w:space="0"/>
            </w:tcBorders>
            <w:vAlign w:val="center"/>
          </w:tcPr>
          <w:p w14:paraId="6D93F6E4">
            <w:pPr>
              <w:widowControl/>
              <w:spacing w:line="240" w:lineRule="exact"/>
              <w:ind w:firstLine="0" w:firstLineChars="0"/>
              <w:jc w:val="center"/>
              <w:rPr>
                <w:kern w:val="0"/>
                <w:sz w:val="21"/>
                <w:szCs w:val="21"/>
              </w:rPr>
            </w:pPr>
            <w:r>
              <w:rPr>
                <w:kern w:val="0"/>
                <w:sz w:val="21"/>
                <w:szCs w:val="21"/>
              </w:rPr>
              <w:t>（1）负责人员救护及救援行动所需物资的准备及维护等管理工作；</w:t>
            </w:r>
          </w:p>
          <w:p w14:paraId="60736A15">
            <w:pPr>
              <w:widowControl/>
              <w:spacing w:line="240" w:lineRule="exact"/>
              <w:ind w:firstLine="0" w:firstLineChars="0"/>
              <w:jc w:val="center"/>
              <w:rPr>
                <w:kern w:val="0"/>
                <w:sz w:val="21"/>
                <w:szCs w:val="21"/>
              </w:rPr>
            </w:pPr>
            <w:r>
              <w:rPr>
                <w:kern w:val="0"/>
                <w:sz w:val="21"/>
                <w:szCs w:val="21"/>
              </w:rPr>
              <w:t>（2）参与相关培训及演练，熟悉应急工作。</w:t>
            </w:r>
          </w:p>
        </w:tc>
        <w:tc>
          <w:tcPr>
            <w:tcW w:w="2512" w:type="pct"/>
            <w:tcBorders>
              <w:top w:val="single" w:color="404040" w:sz="4" w:space="0"/>
              <w:left w:val="single" w:color="404040" w:sz="4" w:space="0"/>
              <w:bottom w:val="single" w:color="404040" w:sz="4" w:space="0"/>
              <w:right w:val="single" w:color="auto" w:sz="12" w:space="0"/>
            </w:tcBorders>
            <w:vAlign w:val="center"/>
          </w:tcPr>
          <w:p w14:paraId="46B99F24">
            <w:pPr>
              <w:widowControl/>
              <w:spacing w:line="240" w:lineRule="exact"/>
              <w:ind w:firstLine="0" w:firstLineChars="0"/>
              <w:jc w:val="center"/>
              <w:rPr>
                <w:kern w:val="0"/>
                <w:sz w:val="21"/>
                <w:szCs w:val="21"/>
              </w:rPr>
            </w:pPr>
            <w:r>
              <w:rPr>
                <w:kern w:val="0"/>
                <w:sz w:val="21"/>
                <w:szCs w:val="21"/>
              </w:rPr>
              <w:t>（1）负责对伤员的救护、包扎、诊治和人工呼吸等现场急救；及保护、转送事故中的受伤人员；</w:t>
            </w:r>
          </w:p>
          <w:p w14:paraId="5A1AF70D">
            <w:pPr>
              <w:widowControl/>
              <w:spacing w:line="240" w:lineRule="exact"/>
              <w:ind w:firstLine="0" w:firstLineChars="0"/>
              <w:jc w:val="center"/>
              <w:rPr>
                <w:kern w:val="0"/>
                <w:sz w:val="21"/>
                <w:szCs w:val="21"/>
              </w:rPr>
            </w:pPr>
            <w:r>
              <w:rPr>
                <w:kern w:val="0"/>
                <w:sz w:val="21"/>
                <w:szCs w:val="21"/>
              </w:rPr>
              <w:t>（2）负责车辆的安排和调配；</w:t>
            </w:r>
          </w:p>
          <w:p w14:paraId="578498CB">
            <w:pPr>
              <w:widowControl/>
              <w:spacing w:line="240" w:lineRule="exact"/>
              <w:ind w:firstLine="0" w:firstLineChars="0"/>
              <w:jc w:val="center"/>
              <w:rPr>
                <w:kern w:val="0"/>
                <w:sz w:val="21"/>
                <w:szCs w:val="21"/>
              </w:rPr>
            </w:pPr>
            <w:r>
              <w:rPr>
                <w:kern w:val="0"/>
                <w:sz w:val="21"/>
                <w:szCs w:val="21"/>
              </w:rPr>
              <w:t>（3）为救援行动提供物质保证（包括应急抢险器材、救援防护器材、监测器材和指挥通信器材等）；</w:t>
            </w:r>
          </w:p>
          <w:p w14:paraId="14E6933E">
            <w:pPr>
              <w:widowControl/>
              <w:spacing w:line="240" w:lineRule="exact"/>
              <w:ind w:firstLine="0" w:firstLineChars="0"/>
              <w:jc w:val="center"/>
              <w:rPr>
                <w:kern w:val="0"/>
                <w:sz w:val="21"/>
                <w:szCs w:val="21"/>
              </w:rPr>
            </w:pPr>
            <w:r>
              <w:rPr>
                <w:kern w:val="0"/>
                <w:sz w:val="21"/>
                <w:szCs w:val="21"/>
              </w:rPr>
              <w:t>（1）负责应急时的后勤保障工作；</w:t>
            </w:r>
          </w:p>
        </w:tc>
      </w:tr>
      <w:tr w14:paraId="6FDD8324">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309" w:hRule="atLeast"/>
          <w:jc w:val="center"/>
        </w:trPr>
        <w:tc>
          <w:tcPr>
            <w:tcW w:w="555" w:type="pct"/>
            <w:tcBorders>
              <w:top w:val="single" w:color="404040" w:sz="4" w:space="0"/>
              <w:left w:val="single" w:color="auto" w:sz="12" w:space="0"/>
              <w:bottom w:val="single" w:color="404040" w:sz="4" w:space="0"/>
              <w:right w:val="single" w:color="404040" w:sz="4" w:space="0"/>
            </w:tcBorders>
            <w:vAlign w:val="center"/>
          </w:tcPr>
          <w:p w14:paraId="07EC700D">
            <w:pPr>
              <w:widowControl/>
              <w:spacing w:line="240" w:lineRule="exact"/>
              <w:ind w:firstLine="0" w:firstLineChars="0"/>
              <w:jc w:val="center"/>
              <w:rPr>
                <w:kern w:val="0"/>
                <w:sz w:val="21"/>
                <w:szCs w:val="21"/>
              </w:rPr>
            </w:pPr>
            <w:r>
              <w:rPr>
                <w:kern w:val="0"/>
                <w:sz w:val="21"/>
                <w:szCs w:val="21"/>
              </w:rPr>
              <w:t>应急监测组</w:t>
            </w:r>
          </w:p>
        </w:tc>
        <w:tc>
          <w:tcPr>
            <w:tcW w:w="711" w:type="pct"/>
            <w:tcBorders>
              <w:top w:val="single" w:color="404040" w:sz="4" w:space="0"/>
              <w:left w:val="single" w:color="404040" w:sz="4" w:space="0"/>
              <w:bottom w:val="single" w:color="404040" w:sz="4" w:space="0"/>
              <w:right w:val="single" w:color="404040" w:sz="4" w:space="0"/>
            </w:tcBorders>
            <w:vAlign w:val="center"/>
          </w:tcPr>
          <w:p w14:paraId="14936A48">
            <w:pPr>
              <w:widowControl/>
              <w:spacing w:line="240" w:lineRule="exact"/>
              <w:ind w:firstLine="0" w:firstLineChars="0"/>
              <w:jc w:val="center"/>
              <w:rPr>
                <w:kern w:val="0"/>
                <w:sz w:val="21"/>
                <w:szCs w:val="21"/>
              </w:rPr>
            </w:pPr>
            <w:r>
              <w:rPr>
                <w:kern w:val="0"/>
                <w:sz w:val="21"/>
                <w:szCs w:val="21"/>
              </w:rPr>
              <w:t>主任</w:t>
            </w:r>
          </w:p>
        </w:tc>
        <w:tc>
          <w:tcPr>
            <w:tcW w:w="1221" w:type="pct"/>
            <w:tcBorders>
              <w:top w:val="single" w:color="404040" w:sz="4" w:space="0"/>
              <w:left w:val="single" w:color="404040" w:sz="4" w:space="0"/>
              <w:bottom w:val="single" w:color="404040" w:sz="4" w:space="0"/>
              <w:right w:val="single" w:color="404040" w:sz="4" w:space="0"/>
            </w:tcBorders>
            <w:vAlign w:val="center"/>
          </w:tcPr>
          <w:p w14:paraId="76611189">
            <w:pPr>
              <w:widowControl/>
              <w:spacing w:line="240" w:lineRule="exact"/>
              <w:ind w:firstLine="0" w:firstLineChars="0"/>
              <w:jc w:val="center"/>
              <w:rPr>
                <w:kern w:val="0"/>
                <w:sz w:val="21"/>
                <w:szCs w:val="21"/>
              </w:rPr>
            </w:pPr>
            <w:r>
              <w:rPr>
                <w:kern w:val="0"/>
                <w:sz w:val="21"/>
                <w:szCs w:val="21"/>
              </w:rPr>
              <w:t>（1）负责日常大气和水体的监测；</w:t>
            </w:r>
          </w:p>
          <w:p w14:paraId="04EABC9E">
            <w:pPr>
              <w:widowControl/>
              <w:spacing w:line="240" w:lineRule="exact"/>
              <w:ind w:firstLine="0" w:firstLineChars="0"/>
              <w:jc w:val="center"/>
              <w:rPr>
                <w:kern w:val="0"/>
                <w:sz w:val="21"/>
                <w:szCs w:val="21"/>
              </w:rPr>
            </w:pPr>
            <w:r>
              <w:rPr>
                <w:kern w:val="0"/>
                <w:sz w:val="21"/>
                <w:szCs w:val="21"/>
              </w:rPr>
              <w:t>（2）负责移动式集装箱应急池、雨水阀门、消防泵等环境应急资源的管理等；</w:t>
            </w:r>
          </w:p>
          <w:p w14:paraId="3C52B903">
            <w:pPr>
              <w:widowControl/>
              <w:spacing w:line="240" w:lineRule="exact"/>
              <w:ind w:firstLine="0" w:firstLineChars="0"/>
              <w:jc w:val="center"/>
              <w:rPr>
                <w:kern w:val="0"/>
                <w:sz w:val="21"/>
                <w:szCs w:val="21"/>
              </w:rPr>
            </w:pPr>
            <w:r>
              <w:rPr>
                <w:kern w:val="0"/>
                <w:sz w:val="21"/>
                <w:szCs w:val="21"/>
              </w:rPr>
              <w:t>（3）负责应急监测设备的维护及保养等；</w:t>
            </w:r>
          </w:p>
          <w:p w14:paraId="4C908A18">
            <w:pPr>
              <w:widowControl/>
              <w:spacing w:line="240" w:lineRule="exact"/>
              <w:ind w:firstLine="0" w:firstLineChars="0"/>
              <w:jc w:val="center"/>
              <w:rPr>
                <w:kern w:val="0"/>
                <w:sz w:val="21"/>
                <w:szCs w:val="21"/>
              </w:rPr>
            </w:pPr>
            <w:r>
              <w:rPr>
                <w:kern w:val="0"/>
                <w:sz w:val="21"/>
                <w:szCs w:val="21"/>
              </w:rPr>
              <w:t>（4）参与相关培训及演练，熟悉应急工作，并负责制定其中的应急监测方案。</w:t>
            </w:r>
          </w:p>
        </w:tc>
        <w:tc>
          <w:tcPr>
            <w:tcW w:w="2512" w:type="pct"/>
            <w:tcBorders>
              <w:top w:val="single" w:color="404040" w:sz="4" w:space="0"/>
              <w:left w:val="single" w:color="404040" w:sz="4" w:space="0"/>
              <w:bottom w:val="single" w:color="404040" w:sz="4" w:space="0"/>
              <w:right w:val="single" w:color="auto" w:sz="12" w:space="0"/>
            </w:tcBorders>
            <w:vAlign w:val="center"/>
          </w:tcPr>
          <w:p w14:paraId="600EAB09">
            <w:pPr>
              <w:widowControl/>
              <w:spacing w:line="240" w:lineRule="exact"/>
              <w:ind w:firstLine="0" w:firstLineChars="0"/>
              <w:jc w:val="center"/>
              <w:rPr>
                <w:kern w:val="0"/>
                <w:sz w:val="21"/>
                <w:szCs w:val="21"/>
              </w:rPr>
            </w:pPr>
            <w:r>
              <w:rPr>
                <w:kern w:val="0"/>
                <w:sz w:val="21"/>
                <w:szCs w:val="21"/>
              </w:rPr>
              <w:t>（1）负责对事故状态下的大气、水体环境的监测提供依据与保障；</w:t>
            </w:r>
          </w:p>
          <w:p w14:paraId="2DC45CD3">
            <w:pPr>
              <w:widowControl/>
              <w:spacing w:line="240" w:lineRule="exact"/>
              <w:ind w:firstLine="0" w:firstLineChars="0"/>
              <w:jc w:val="center"/>
              <w:rPr>
                <w:kern w:val="0"/>
                <w:sz w:val="21"/>
                <w:szCs w:val="21"/>
              </w:rPr>
            </w:pPr>
            <w:r>
              <w:rPr>
                <w:kern w:val="0"/>
                <w:sz w:val="21"/>
                <w:szCs w:val="21"/>
              </w:rPr>
              <w:t>（2）协助生态环境局或监测单位进行环境应急监测</w:t>
            </w:r>
          </w:p>
          <w:p w14:paraId="6129DB59">
            <w:pPr>
              <w:widowControl/>
              <w:spacing w:line="240" w:lineRule="exact"/>
              <w:ind w:firstLine="0" w:firstLineChars="0"/>
              <w:jc w:val="center"/>
              <w:rPr>
                <w:kern w:val="0"/>
                <w:sz w:val="21"/>
                <w:szCs w:val="21"/>
              </w:rPr>
            </w:pPr>
            <w:r>
              <w:rPr>
                <w:kern w:val="0"/>
                <w:sz w:val="21"/>
                <w:szCs w:val="21"/>
              </w:rPr>
              <w:t>（3）负责对事故产生的污染物进行控制，避免或减少污染物对外环境造成污染；主要包括雨水排口、污水排口的截断，防止事故废水蔓延，同时包括将事故废水引入移动式集装箱应急池等应急工作；</w:t>
            </w:r>
          </w:p>
          <w:p w14:paraId="1DD0D73A">
            <w:pPr>
              <w:widowControl/>
              <w:spacing w:line="240" w:lineRule="exact"/>
              <w:ind w:firstLine="0" w:firstLineChars="0"/>
              <w:jc w:val="center"/>
              <w:rPr>
                <w:kern w:val="0"/>
                <w:sz w:val="21"/>
                <w:szCs w:val="21"/>
              </w:rPr>
            </w:pPr>
            <w:r>
              <w:rPr>
                <w:kern w:val="0"/>
                <w:sz w:val="21"/>
                <w:szCs w:val="21"/>
              </w:rPr>
              <w:t>（4）负责对事故后产生的环境污染物进行相应处理。</w:t>
            </w:r>
          </w:p>
        </w:tc>
      </w:tr>
      <w:tr w14:paraId="7F3991F1">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309" w:hRule="atLeast"/>
          <w:jc w:val="center"/>
        </w:trPr>
        <w:tc>
          <w:tcPr>
            <w:tcW w:w="555" w:type="pct"/>
            <w:tcBorders>
              <w:top w:val="single" w:color="404040" w:sz="4" w:space="0"/>
              <w:left w:val="single" w:color="auto" w:sz="12" w:space="0"/>
              <w:bottom w:val="single" w:color="404040" w:sz="4" w:space="0"/>
              <w:right w:val="single" w:color="404040" w:sz="4" w:space="0"/>
            </w:tcBorders>
            <w:vAlign w:val="center"/>
          </w:tcPr>
          <w:p w14:paraId="1FFCE953">
            <w:pPr>
              <w:widowControl/>
              <w:spacing w:line="240" w:lineRule="exact"/>
              <w:ind w:firstLine="0" w:firstLineChars="0"/>
              <w:jc w:val="center"/>
              <w:rPr>
                <w:kern w:val="0"/>
                <w:sz w:val="21"/>
                <w:szCs w:val="21"/>
              </w:rPr>
            </w:pPr>
            <w:r>
              <w:rPr>
                <w:kern w:val="0"/>
                <w:sz w:val="21"/>
                <w:szCs w:val="21"/>
              </w:rPr>
              <w:t>通讯联络组</w:t>
            </w:r>
          </w:p>
        </w:tc>
        <w:tc>
          <w:tcPr>
            <w:tcW w:w="711" w:type="pct"/>
            <w:tcBorders>
              <w:top w:val="single" w:color="404040" w:sz="4" w:space="0"/>
              <w:left w:val="single" w:color="404040" w:sz="4" w:space="0"/>
              <w:bottom w:val="single" w:color="404040" w:sz="4" w:space="0"/>
              <w:right w:val="single" w:color="404040" w:sz="4" w:space="0"/>
            </w:tcBorders>
            <w:vAlign w:val="center"/>
          </w:tcPr>
          <w:p w14:paraId="448FE8B3">
            <w:pPr>
              <w:widowControl/>
              <w:spacing w:line="240" w:lineRule="exact"/>
              <w:ind w:firstLine="0" w:firstLineChars="0"/>
              <w:jc w:val="center"/>
              <w:rPr>
                <w:kern w:val="0"/>
                <w:sz w:val="21"/>
                <w:szCs w:val="21"/>
              </w:rPr>
            </w:pPr>
            <w:r>
              <w:rPr>
                <w:kern w:val="0"/>
                <w:sz w:val="21"/>
                <w:szCs w:val="21"/>
              </w:rPr>
              <w:t>组长</w:t>
            </w:r>
          </w:p>
        </w:tc>
        <w:tc>
          <w:tcPr>
            <w:tcW w:w="1221" w:type="pct"/>
            <w:tcBorders>
              <w:top w:val="single" w:color="404040" w:sz="4" w:space="0"/>
              <w:left w:val="single" w:color="404040" w:sz="4" w:space="0"/>
              <w:bottom w:val="single" w:color="404040" w:sz="4" w:space="0"/>
              <w:right w:val="single" w:color="404040" w:sz="4" w:space="0"/>
            </w:tcBorders>
            <w:vAlign w:val="center"/>
          </w:tcPr>
          <w:p w14:paraId="5FDEE2CF">
            <w:pPr>
              <w:widowControl/>
              <w:spacing w:line="240" w:lineRule="exact"/>
              <w:ind w:firstLine="0" w:firstLineChars="0"/>
              <w:jc w:val="center"/>
              <w:rPr>
                <w:kern w:val="0"/>
                <w:sz w:val="21"/>
                <w:szCs w:val="21"/>
              </w:rPr>
            </w:pPr>
            <w:r>
              <w:rPr>
                <w:kern w:val="0"/>
                <w:sz w:val="21"/>
                <w:szCs w:val="21"/>
              </w:rPr>
              <w:t>（1）日常更新公司通讯录，人员变更联系方式变更等；</w:t>
            </w:r>
          </w:p>
          <w:p w14:paraId="04AFF97E">
            <w:pPr>
              <w:widowControl/>
              <w:spacing w:line="240" w:lineRule="exact"/>
              <w:ind w:firstLine="0" w:firstLineChars="0"/>
              <w:jc w:val="center"/>
              <w:rPr>
                <w:kern w:val="0"/>
                <w:sz w:val="21"/>
                <w:szCs w:val="21"/>
              </w:rPr>
            </w:pPr>
            <w:r>
              <w:rPr>
                <w:kern w:val="0"/>
                <w:sz w:val="21"/>
                <w:szCs w:val="21"/>
              </w:rPr>
              <w:t>（2）日常更新对外联系电话、联系方式。</w:t>
            </w:r>
          </w:p>
        </w:tc>
        <w:tc>
          <w:tcPr>
            <w:tcW w:w="2512" w:type="pct"/>
            <w:tcBorders>
              <w:top w:val="single" w:color="404040" w:sz="4" w:space="0"/>
              <w:left w:val="single" w:color="404040" w:sz="4" w:space="0"/>
              <w:bottom w:val="single" w:color="404040" w:sz="4" w:space="0"/>
              <w:right w:val="single" w:color="auto" w:sz="12" w:space="0"/>
            </w:tcBorders>
            <w:vAlign w:val="center"/>
          </w:tcPr>
          <w:p w14:paraId="6E030587">
            <w:pPr>
              <w:widowControl/>
              <w:spacing w:line="240" w:lineRule="exact"/>
              <w:ind w:firstLine="0" w:firstLineChars="0"/>
              <w:jc w:val="center"/>
              <w:rPr>
                <w:kern w:val="0"/>
                <w:sz w:val="21"/>
                <w:szCs w:val="21"/>
              </w:rPr>
            </w:pPr>
            <w:r>
              <w:rPr>
                <w:kern w:val="0"/>
                <w:sz w:val="21"/>
                <w:szCs w:val="21"/>
              </w:rPr>
              <w:t>（1）负责通信方式或线路及信息交流畅通。</w:t>
            </w:r>
          </w:p>
          <w:p w14:paraId="04F7F313">
            <w:pPr>
              <w:widowControl/>
              <w:spacing w:line="240" w:lineRule="exact"/>
              <w:ind w:firstLine="0" w:firstLineChars="0"/>
              <w:jc w:val="center"/>
              <w:rPr>
                <w:kern w:val="0"/>
                <w:sz w:val="21"/>
                <w:szCs w:val="21"/>
              </w:rPr>
            </w:pPr>
            <w:r>
              <w:rPr>
                <w:kern w:val="0"/>
                <w:sz w:val="21"/>
                <w:szCs w:val="21"/>
              </w:rPr>
              <w:t>（2）负责保障事件现场与应急指挥部、上级应急指挥机构及外界的通讯联络；</w:t>
            </w:r>
          </w:p>
          <w:p w14:paraId="3734CA16">
            <w:pPr>
              <w:widowControl/>
              <w:spacing w:line="240" w:lineRule="exact"/>
              <w:ind w:firstLine="0" w:firstLineChars="0"/>
              <w:jc w:val="center"/>
              <w:rPr>
                <w:kern w:val="0"/>
                <w:sz w:val="21"/>
                <w:szCs w:val="21"/>
              </w:rPr>
            </w:pPr>
            <w:r>
              <w:rPr>
                <w:kern w:val="0"/>
                <w:sz w:val="21"/>
                <w:szCs w:val="21"/>
              </w:rPr>
              <w:t>（3）保持通讯处于正常状态。</w:t>
            </w:r>
          </w:p>
        </w:tc>
      </w:tr>
      <w:tr w14:paraId="44EF323F">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309" w:hRule="atLeast"/>
          <w:jc w:val="center"/>
        </w:trPr>
        <w:tc>
          <w:tcPr>
            <w:tcW w:w="555" w:type="pct"/>
            <w:tcBorders>
              <w:top w:val="single" w:color="404040" w:sz="4" w:space="0"/>
              <w:left w:val="single" w:color="auto" w:sz="12" w:space="0"/>
              <w:bottom w:val="single" w:color="404040" w:sz="4" w:space="0"/>
              <w:right w:val="single" w:color="404040" w:sz="4" w:space="0"/>
            </w:tcBorders>
            <w:vAlign w:val="center"/>
          </w:tcPr>
          <w:p w14:paraId="5EA0D697">
            <w:pPr>
              <w:widowControl/>
              <w:spacing w:line="240" w:lineRule="exact"/>
              <w:ind w:firstLine="0" w:firstLineChars="0"/>
              <w:jc w:val="center"/>
              <w:rPr>
                <w:kern w:val="0"/>
                <w:sz w:val="21"/>
                <w:szCs w:val="21"/>
              </w:rPr>
            </w:pPr>
            <w:r>
              <w:rPr>
                <w:kern w:val="0"/>
                <w:sz w:val="21"/>
                <w:szCs w:val="21"/>
              </w:rPr>
              <w:t>善后处置组</w:t>
            </w:r>
          </w:p>
        </w:tc>
        <w:tc>
          <w:tcPr>
            <w:tcW w:w="711" w:type="pct"/>
            <w:tcBorders>
              <w:top w:val="single" w:color="404040" w:sz="4" w:space="0"/>
              <w:left w:val="single" w:color="404040" w:sz="4" w:space="0"/>
              <w:bottom w:val="single" w:color="404040" w:sz="4" w:space="0"/>
              <w:right w:val="single" w:color="404040" w:sz="4" w:space="0"/>
            </w:tcBorders>
            <w:vAlign w:val="center"/>
          </w:tcPr>
          <w:p w14:paraId="5B554B6D">
            <w:pPr>
              <w:widowControl/>
              <w:spacing w:line="240" w:lineRule="exact"/>
              <w:ind w:firstLine="0" w:firstLineChars="0"/>
              <w:jc w:val="center"/>
              <w:rPr>
                <w:kern w:val="0"/>
                <w:sz w:val="21"/>
                <w:szCs w:val="21"/>
              </w:rPr>
            </w:pPr>
            <w:r>
              <w:rPr>
                <w:kern w:val="0"/>
                <w:sz w:val="21"/>
                <w:szCs w:val="21"/>
              </w:rPr>
              <w:t>组长</w:t>
            </w:r>
          </w:p>
        </w:tc>
        <w:tc>
          <w:tcPr>
            <w:tcW w:w="1221" w:type="pct"/>
            <w:tcBorders>
              <w:top w:val="single" w:color="404040" w:sz="4" w:space="0"/>
              <w:left w:val="single" w:color="404040" w:sz="4" w:space="0"/>
              <w:bottom w:val="single" w:color="404040" w:sz="4" w:space="0"/>
              <w:right w:val="single" w:color="404040" w:sz="4" w:space="0"/>
            </w:tcBorders>
            <w:vAlign w:val="center"/>
          </w:tcPr>
          <w:p w14:paraId="723B7600">
            <w:pPr>
              <w:widowControl/>
              <w:spacing w:line="240" w:lineRule="exact"/>
              <w:ind w:firstLine="0" w:firstLineChars="0"/>
              <w:jc w:val="center"/>
              <w:rPr>
                <w:kern w:val="0"/>
                <w:sz w:val="21"/>
                <w:szCs w:val="21"/>
              </w:rPr>
            </w:pPr>
            <w:r>
              <w:rPr>
                <w:kern w:val="0"/>
                <w:sz w:val="21"/>
                <w:szCs w:val="21"/>
              </w:rPr>
              <w:t>（1）负责善后处置工作，包括人员安置、补偿， 征用物资补偿，救援费用的支付，灾后重建，污染 物收集、清理与处理等事项；</w:t>
            </w:r>
          </w:p>
          <w:p w14:paraId="6E2AE34C">
            <w:pPr>
              <w:widowControl/>
              <w:spacing w:line="240" w:lineRule="exact"/>
              <w:ind w:firstLine="0" w:firstLineChars="0"/>
              <w:jc w:val="center"/>
              <w:rPr>
                <w:kern w:val="0"/>
                <w:sz w:val="21"/>
                <w:szCs w:val="21"/>
              </w:rPr>
            </w:pPr>
            <w:r>
              <w:rPr>
                <w:kern w:val="0"/>
                <w:sz w:val="21"/>
                <w:szCs w:val="21"/>
              </w:rPr>
              <w:t>（2）尽快消除事故后果和影响，安抚受害和受影响人员，保证社会稳定，尽快恢复正常秩序。</w:t>
            </w:r>
          </w:p>
        </w:tc>
        <w:tc>
          <w:tcPr>
            <w:tcW w:w="2512" w:type="pct"/>
            <w:tcBorders>
              <w:top w:val="single" w:color="404040" w:sz="4" w:space="0"/>
              <w:left w:val="single" w:color="404040" w:sz="4" w:space="0"/>
              <w:bottom w:val="single" w:color="404040" w:sz="4" w:space="0"/>
              <w:right w:val="single" w:color="auto" w:sz="12" w:space="0"/>
            </w:tcBorders>
            <w:vAlign w:val="center"/>
          </w:tcPr>
          <w:p w14:paraId="7E5EB9D7">
            <w:pPr>
              <w:widowControl/>
              <w:spacing w:line="240" w:lineRule="exact"/>
              <w:ind w:firstLine="0" w:firstLineChars="0"/>
              <w:jc w:val="center"/>
              <w:rPr>
                <w:kern w:val="0"/>
                <w:sz w:val="21"/>
                <w:szCs w:val="21"/>
              </w:rPr>
            </w:pPr>
            <w:r>
              <w:rPr>
                <w:kern w:val="0"/>
                <w:sz w:val="21"/>
                <w:szCs w:val="21"/>
              </w:rPr>
              <w:t>（1）在突发环境事件救援工作中的突出个人表彰和奖励；</w:t>
            </w:r>
          </w:p>
          <w:p w14:paraId="130C6837">
            <w:pPr>
              <w:widowControl/>
              <w:spacing w:line="240" w:lineRule="exact"/>
              <w:ind w:firstLine="0" w:firstLineChars="0"/>
              <w:jc w:val="center"/>
              <w:rPr>
                <w:kern w:val="0"/>
                <w:sz w:val="21"/>
                <w:szCs w:val="21"/>
              </w:rPr>
            </w:pPr>
            <w:r>
              <w:rPr>
                <w:kern w:val="0"/>
                <w:sz w:val="21"/>
                <w:szCs w:val="21"/>
              </w:rPr>
              <w:t>（2）造成突发环境事件的相关人员的追责和处罚；（3）在突发环境事件中致病、致残、死亡的人员，给予相应的补助和抚恤。对提供安置场所、应急物资的所有人给予适当补偿；</w:t>
            </w:r>
          </w:p>
          <w:p w14:paraId="5E06CA3D">
            <w:pPr>
              <w:widowControl/>
              <w:spacing w:line="240" w:lineRule="exact"/>
              <w:ind w:firstLine="0" w:firstLineChars="0"/>
              <w:jc w:val="center"/>
              <w:rPr>
                <w:kern w:val="0"/>
                <w:sz w:val="21"/>
                <w:szCs w:val="21"/>
              </w:rPr>
            </w:pPr>
            <w:r>
              <w:rPr>
                <w:kern w:val="0"/>
                <w:sz w:val="21"/>
                <w:szCs w:val="21"/>
              </w:rPr>
              <w:t>（4）组织进行突发环境事件现场清理工作，使事发现场恢复到相对稳定、安全的基本状态，防止发生二次污染事故；</w:t>
            </w:r>
          </w:p>
          <w:p w14:paraId="45897235">
            <w:pPr>
              <w:widowControl/>
              <w:spacing w:line="240" w:lineRule="exact"/>
              <w:ind w:firstLine="0" w:firstLineChars="0"/>
              <w:jc w:val="center"/>
              <w:rPr>
                <w:kern w:val="0"/>
                <w:sz w:val="21"/>
                <w:szCs w:val="21"/>
              </w:rPr>
            </w:pPr>
            <w:r>
              <w:rPr>
                <w:kern w:val="0"/>
                <w:sz w:val="21"/>
                <w:szCs w:val="21"/>
              </w:rPr>
              <w:t>（5）采取有效措施，确保受灾群众的正常生活。</w:t>
            </w:r>
          </w:p>
        </w:tc>
      </w:tr>
      <w:tr w14:paraId="48EFCDDA">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309" w:hRule="atLeast"/>
          <w:jc w:val="center"/>
        </w:trPr>
        <w:tc>
          <w:tcPr>
            <w:tcW w:w="555" w:type="pct"/>
            <w:tcBorders>
              <w:top w:val="single" w:color="404040" w:sz="4" w:space="0"/>
              <w:left w:val="single" w:color="auto" w:sz="12" w:space="0"/>
              <w:bottom w:val="single" w:color="auto" w:sz="12" w:space="0"/>
              <w:right w:val="single" w:color="404040" w:sz="4" w:space="0"/>
            </w:tcBorders>
            <w:vAlign w:val="center"/>
          </w:tcPr>
          <w:p w14:paraId="2767704F">
            <w:pPr>
              <w:widowControl/>
              <w:spacing w:line="240" w:lineRule="exact"/>
              <w:ind w:firstLine="0" w:firstLineChars="0"/>
              <w:jc w:val="center"/>
              <w:rPr>
                <w:kern w:val="0"/>
                <w:sz w:val="21"/>
                <w:szCs w:val="21"/>
              </w:rPr>
            </w:pPr>
            <w:r>
              <w:rPr>
                <w:kern w:val="0"/>
                <w:sz w:val="21"/>
                <w:szCs w:val="21"/>
              </w:rPr>
              <w:t>应急专家组</w:t>
            </w:r>
          </w:p>
        </w:tc>
        <w:tc>
          <w:tcPr>
            <w:tcW w:w="711" w:type="pct"/>
            <w:tcBorders>
              <w:top w:val="single" w:color="404040" w:sz="4" w:space="0"/>
              <w:left w:val="single" w:color="404040" w:sz="4" w:space="0"/>
              <w:bottom w:val="single" w:color="auto" w:sz="12" w:space="0"/>
              <w:right w:val="single" w:color="404040" w:sz="4" w:space="0"/>
            </w:tcBorders>
            <w:vAlign w:val="center"/>
          </w:tcPr>
          <w:p w14:paraId="464C3CDF">
            <w:pPr>
              <w:widowControl/>
              <w:spacing w:line="240" w:lineRule="exact"/>
              <w:ind w:firstLine="0" w:firstLineChars="0"/>
              <w:jc w:val="center"/>
              <w:rPr>
                <w:kern w:val="0"/>
                <w:sz w:val="21"/>
                <w:szCs w:val="21"/>
              </w:rPr>
            </w:pPr>
            <w:r>
              <w:rPr>
                <w:kern w:val="0"/>
                <w:sz w:val="21"/>
                <w:szCs w:val="21"/>
              </w:rPr>
              <w:t>为参谋机构，可由企业内部或外界应急管理、工程技术、安全生产、环境保护方面的专家组成</w:t>
            </w:r>
          </w:p>
        </w:tc>
        <w:tc>
          <w:tcPr>
            <w:tcW w:w="1221" w:type="pct"/>
            <w:tcBorders>
              <w:top w:val="single" w:color="404040" w:sz="4" w:space="0"/>
              <w:left w:val="single" w:color="404040" w:sz="4" w:space="0"/>
              <w:bottom w:val="single" w:color="auto" w:sz="12" w:space="0"/>
              <w:right w:val="single" w:color="404040" w:sz="4" w:space="0"/>
            </w:tcBorders>
            <w:vAlign w:val="center"/>
          </w:tcPr>
          <w:p w14:paraId="75C81D5C">
            <w:pPr>
              <w:widowControl/>
              <w:spacing w:line="240" w:lineRule="exact"/>
              <w:ind w:firstLine="0" w:firstLineChars="0"/>
              <w:jc w:val="center"/>
              <w:rPr>
                <w:kern w:val="0"/>
                <w:sz w:val="21"/>
                <w:szCs w:val="21"/>
              </w:rPr>
            </w:pPr>
            <w:r>
              <w:rPr>
                <w:kern w:val="0"/>
                <w:sz w:val="21"/>
                <w:szCs w:val="21"/>
              </w:rPr>
              <w:t>指导企业进行日常的应急工作，包括培训、演练、隐患整改等。</w:t>
            </w:r>
          </w:p>
        </w:tc>
        <w:tc>
          <w:tcPr>
            <w:tcW w:w="2512" w:type="pct"/>
            <w:tcBorders>
              <w:top w:val="single" w:color="404040" w:sz="4" w:space="0"/>
              <w:left w:val="single" w:color="404040" w:sz="4" w:space="0"/>
              <w:bottom w:val="single" w:color="auto" w:sz="12" w:space="0"/>
              <w:right w:val="single" w:color="auto" w:sz="12" w:space="0"/>
            </w:tcBorders>
            <w:vAlign w:val="center"/>
          </w:tcPr>
          <w:p w14:paraId="191B5746">
            <w:pPr>
              <w:widowControl/>
              <w:spacing w:line="240" w:lineRule="exact"/>
              <w:ind w:firstLine="0" w:firstLineChars="0"/>
              <w:jc w:val="center"/>
              <w:rPr>
                <w:kern w:val="0"/>
                <w:sz w:val="21"/>
                <w:szCs w:val="21"/>
              </w:rPr>
            </w:pPr>
            <w:r>
              <w:rPr>
                <w:kern w:val="0"/>
                <w:sz w:val="21"/>
                <w:szCs w:val="21"/>
              </w:rPr>
              <w:t>为现场应急处置行动提供技术支持。</w:t>
            </w:r>
          </w:p>
        </w:tc>
      </w:tr>
    </w:tbl>
    <w:p w14:paraId="2103E27E">
      <w:pPr>
        <w:ind w:firstLine="437"/>
        <w:sectPr>
          <w:pgSz w:w="16840" w:h="11907" w:orient="landscape"/>
          <w:pgMar w:top="1797" w:right="1440" w:bottom="1514" w:left="1440" w:header="992" w:footer="851" w:gutter="284"/>
          <w:pgNumType w:fmt="numberInDash"/>
          <w:cols w:space="425" w:num="1"/>
          <w:docGrid w:type="linesAndChars" w:linePitch="465" w:charSpace="-4355"/>
        </w:sectPr>
      </w:pPr>
    </w:p>
    <w:p w14:paraId="00E4AF31">
      <w:pPr>
        <w:pStyle w:val="5"/>
      </w:pPr>
      <w:r>
        <w:t>应急设备</w:t>
      </w:r>
    </w:p>
    <w:p w14:paraId="60219C67">
      <w:pPr>
        <w:ind w:firstLine="437"/>
      </w:pPr>
      <w:r>
        <w:rPr>
          <w:rFonts w:hint="eastAsia"/>
        </w:rPr>
        <w:t>一、</w:t>
      </w:r>
      <w:r>
        <w:t>企业自身应急设施配备</w:t>
      </w:r>
    </w:p>
    <w:p w14:paraId="0479FEB4">
      <w:pPr>
        <w:ind w:firstLine="437"/>
      </w:pPr>
      <w:r>
        <w:rPr>
          <w:rFonts w:hint="eastAsia"/>
        </w:rPr>
        <w:t>项目水上污染事故应急设备依托7号8号泊位后方陆域水上污染事故应急设备库存放，现有应急设备库配备</w:t>
      </w:r>
      <w:r>
        <w:t>环境风险应急物资和设备见表</w:t>
      </w:r>
      <w:r>
        <w:rPr>
          <w:rFonts w:hint="eastAsia"/>
        </w:rPr>
        <w:t>5.5-2。项目为自动化集装箱码头，不属于从事油类物质和类油类物质的码头，参照《港口码头水上污染事故应急防备能力要求》（JT/T 451-2017）中表4 海港其他码头水上溢油应急设施、设备、物资配备要求，5千吨级海港码头应配备的应急物资要求及本项目配备情况见表5.5-2。</w:t>
      </w:r>
    </w:p>
    <w:p w14:paraId="572CF1D1">
      <w:pPr>
        <w:pStyle w:val="7"/>
      </w:pPr>
      <w:r>
        <w:rPr>
          <w:rFonts w:hint="eastAsia"/>
        </w:rPr>
        <w:t>海港其他码头</w:t>
      </w:r>
      <w:bookmarkStart w:id="613" w:name="OLE_LINK255"/>
      <w:r>
        <w:rPr>
          <w:rFonts w:hint="eastAsia"/>
        </w:rPr>
        <w:t>水上溢油</w:t>
      </w:r>
      <w:bookmarkEnd w:id="613"/>
      <w:r>
        <w:rPr>
          <w:rFonts w:hint="eastAsia"/>
        </w:rPr>
        <w:t>应急设施、设备、物资配备要求</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83"/>
        <w:gridCol w:w="2410"/>
        <w:gridCol w:w="2695"/>
        <w:gridCol w:w="1276"/>
        <w:gridCol w:w="764"/>
      </w:tblGrid>
      <w:tr w14:paraId="7DE975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24" w:type="pct"/>
            <w:gridSpan w:val="2"/>
            <w:vMerge w:val="restart"/>
            <w:vAlign w:val="center"/>
          </w:tcPr>
          <w:p w14:paraId="7245C221">
            <w:pPr>
              <w:pStyle w:val="34"/>
            </w:pPr>
            <w:r>
              <w:rPr>
                <w:rFonts w:hint="eastAsia"/>
              </w:rPr>
              <w:t>设备名称</w:t>
            </w:r>
          </w:p>
        </w:tc>
        <w:tc>
          <w:tcPr>
            <w:tcW w:w="1580" w:type="pct"/>
            <w:vAlign w:val="center"/>
          </w:tcPr>
          <w:p w14:paraId="793558B5">
            <w:pPr>
              <w:pStyle w:val="34"/>
            </w:pPr>
            <w:r>
              <w:rPr>
                <w:rFonts w:hint="eastAsia"/>
              </w:rPr>
              <w:t>靠泊能力</w:t>
            </w:r>
          </w:p>
        </w:tc>
        <w:tc>
          <w:tcPr>
            <w:tcW w:w="748" w:type="pct"/>
            <w:vMerge w:val="restart"/>
            <w:vAlign w:val="center"/>
          </w:tcPr>
          <w:p w14:paraId="0E99072D">
            <w:pPr>
              <w:pStyle w:val="34"/>
            </w:pPr>
            <w:r>
              <w:rPr>
                <w:rFonts w:hint="eastAsia"/>
              </w:rPr>
              <w:t>现有物资配备情况</w:t>
            </w:r>
          </w:p>
        </w:tc>
        <w:tc>
          <w:tcPr>
            <w:tcW w:w="449" w:type="pct"/>
            <w:vMerge w:val="restart"/>
            <w:vAlign w:val="center"/>
          </w:tcPr>
          <w:p w14:paraId="1FB500B9">
            <w:pPr>
              <w:pStyle w:val="34"/>
            </w:pPr>
            <w:r>
              <w:rPr>
                <w:rFonts w:hint="eastAsia"/>
              </w:rPr>
              <w:t>是否符合</w:t>
            </w:r>
          </w:p>
        </w:tc>
      </w:tr>
      <w:tr w14:paraId="553568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24" w:type="pct"/>
            <w:gridSpan w:val="2"/>
            <w:vMerge w:val="continue"/>
            <w:vAlign w:val="center"/>
          </w:tcPr>
          <w:p w14:paraId="005157DC">
            <w:pPr>
              <w:pStyle w:val="34"/>
            </w:pPr>
          </w:p>
        </w:tc>
        <w:tc>
          <w:tcPr>
            <w:tcW w:w="1580" w:type="pct"/>
            <w:vAlign w:val="center"/>
          </w:tcPr>
          <w:p w14:paraId="4BA44E57">
            <w:pPr>
              <w:pStyle w:val="34"/>
            </w:pPr>
            <w:r>
              <w:t>1000</w:t>
            </w:r>
            <w:r>
              <w:rPr>
                <w:rFonts w:hint="eastAsia"/>
              </w:rPr>
              <w:t>吨级～5000吨级（含）</w:t>
            </w:r>
          </w:p>
        </w:tc>
        <w:tc>
          <w:tcPr>
            <w:tcW w:w="748" w:type="pct"/>
            <w:vMerge w:val="continue"/>
            <w:vAlign w:val="center"/>
          </w:tcPr>
          <w:p w14:paraId="795E3B04">
            <w:pPr>
              <w:pStyle w:val="34"/>
            </w:pPr>
          </w:p>
        </w:tc>
        <w:tc>
          <w:tcPr>
            <w:tcW w:w="449" w:type="pct"/>
            <w:vMerge w:val="continue"/>
            <w:vAlign w:val="center"/>
          </w:tcPr>
          <w:p w14:paraId="2F0B07C2">
            <w:pPr>
              <w:pStyle w:val="34"/>
            </w:pPr>
          </w:p>
        </w:tc>
      </w:tr>
      <w:tr w14:paraId="5328B0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1" w:type="pct"/>
            <w:vAlign w:val="center"/>
          </w:tcPr>
          <w:p w14:paraId="7CF049F6">
            <w:pPr>
              <w:pStyle w:val="34"/>
            </w:pPr>
            <w:r>
              <w:rPr>
                <w:rFonts w:hint="eastAsia"/>
              </w:rPr>
              <w:t>围油栏</w:t>
            </w:r>
          </w:p>
        </w:tc>
        <w:tc>
          <w:tcPr>
            <w:tcW w:w="1413" w:type="pct"/>
            <w:vAlign w:val="center"/>
          </w:tcPr>
          <w:p w14:paraId="29524E57">
            <w:pPr>
              <w:pStyle w:val="34"/>
            </w:pPr>
            <w:r>
              <w:rPr>
                <w:rFonts w:hint="eastAsia"/>
              </w:rPr>
              <w:t>应急型（m）</w:t>
            </w:r>
          </w:p>
        </w:tc>
        <w:tc>
          <w:tcPr>
            <w:tcW w:w="1580" w:type="pct"/>
            <w:vAlign w:val="center"/>
          </w:tcPr>
          <w:p w14:paraId="55942FB4">
            <w:pPr>
              <w:pStyle w:val="34"/>
            </w:pPr>
            <w:r>
              <w:rPr>
                <w:rFonts w:hint="eastAsia"/>
              </w:rPr>
              <w:t>不低于最大设计船型设计船长的3倍</w:t>
            </w:r>
          </w:p>
        </w:tc>
        <w:tc>
          <w:tcPr>
            <w:tcW w:w="748" w:type="pct"/>
            <w:vAlign w:val="center"/>
          </w:tcPr>
          <w:p w14:paraId="30F6ECE6">
            <w:pPr>
              <w:pStyle w:val="34"/>
            </w:pPr>
            <w:r>
              <w:rPr>
                <w:rFonts w:hint="eastAsia"/>
              </w:rPr>
              <w:t>1500</w:t>
            </w:r>
          </w:p>
        </w:tc>
        <w:tc>
          <w:tcPr>
            <w:tcW w:w="449" w:type="pct"/>
            <w:vAlign w:val="center"/>
          </w:tcPr>
          <w:p w14:paraId="0BEB0B99">
            <w:pPr>
              <w:pStyle w:val="34"/>
            </w:pPr>
            <w:r>
              <w:rPr>
                <w:rFonts w:hint="eastAsia"/>
              </w:rPr>
              <w:t>是</w:t>
            </w:r>
          </w:p>
        </w:tc>
      </w:tr>
      <w:tr w14:paraId="33623B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1" w:type="pct"/>
            <w:vAlign w:val="center"/>
          </w:tcPr>
          <w:p w14:paraId="5B06B4CC">
            <w:pPr>
              <w:pStyle w:val="34"/>
            </w:pPr>
            <w:r>
              <w:rPr>
                <w:rFonts w:hint="eastAsia"/>
              </w:rPr>
              <w:t>收油机</w:t>
            </w:r>
          </w:p>
        </w:tc>
        <w:tc>
          <w:tcPr>
            <w:tcW w:w="1413" w:type="pct"/>
            <w:vAlign w:val="center"/>
          </w:tcPr>
          <w:p w14:paraId="2B52E1B5">
            <w:pPr>
              <w:pStyle w:val="34"/>
            </w:pPr>
            <w:r>
              <w:rPr>
                <w:rFonts w:hint="eastAsia"/>
              </w:rPr>
              <w:t>总能力（m</w:t>
            </w:r>
            <w:r>
              <w:rPr>
                <w:rFonts w:hint="eastAsia"/>
                <w:vertAlign w:val="superscript"/>
              </w:rPr>
              <w:t>3</w:t>
            </w:r>
            <w:r>
              <w:rPr>
                <w:rFonts w:hint="eastAsia"/>
              </w:rPr>
              <w:t>/h）</w:t>
            </w:r>
          </w:p>
        </w:tc>
        <w:tc>
          <w:tcPr>
            <w:tcW w:w="1580" w:type="pct"/>
            <w:vAlign w:val="center"/>
          </w:tcPr>
          <w:p w14:paraId="25A9B04D">
            <w:pPr>
              <w:pStyle w:val="34"/>
            </w:pPr>
            <w:r>
              <w:rPr>
                <w:rFonts w:hint="eastAsia"/>
              </w:rPr>
              <w:t>1</w:t>
            </w:r>
          </w:p>
        </w:tc>
        <w:tc>
          <w:tcPr>
            <w:tcW w:w="748" w:type="pct"/>
            <w:vAlign w:val="center"/>
          </w:tcPr>
          <w:p w14:paraId="79DD41C0">
            <w:pPr>
              <w:pStyle w:val="34"/>
            </w:pPr>
            <w:r>
              <w:rPr>
                <w:rFonts w:hint="eastAsia"/>
              </w:rPr>
              <w:t>18.6</w:t>
            </w:r>
          </w:p>
        </w:tc>
        <w:tc>
          <w:tcPr>
            <w:tcW w:w="449" w:type="pct"/>
            <w:vAlign w:val="center"/>
          </w:tcPr>
          <w:p w14:paraId="38306367">
            <w:pPr>
              <w:pStyle w:val="34"/>
            </w:pPr>
            <w:r>
              <w:rPr>
                <w:rFonts w:hint="eastAsia"/>
              </w:rPr>
              <w:t>是</w:t>
            </w:r>
          </w:p>
        </w:tc>
      </w:tr>
      <w:tr w14:paraId="2FE465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1" w:type="pct"/>
            <w:vAlign w:val="center"/>
          </w:tcPr>
          <w:p w14:paraId="5A95BDAA">
            <w:pPr>
              <w:pStyle w:val="34"/>
            </w:pPr>
            <w:r>
              <w:rPr>
                <w:rFonts w:hint="eastAsia"/>
              </w:rPr>
              <w:t>油拖网</w:t>
            </w:r>
          </w:p>
        </w:tc>
        <w:tc>
          <w:tcPr>
            <w:tcW w:w="1413" w:type="pct"/>
            <w:vAlign w:val="center"/>
          </w:tcPr>
          <w:p w14:paraId="3D9A1579">
            <w:pPr>
              <w:pStyle w:val="34"/>
            </w:pPr>
            <w:r>
              <w:rPr>
                <w:rFonts w:hint="eastAsia"/>
              </w:rPr>
              <w:t>数量（套）</w:t>
            </w:r>
          </w:p>
        </w:tc>
        <w:tc>
          <w:tcPr>
            <w:tcW w:w="1580" w:type="pct"/>
            <w:vAlign w:val="center"/>
          </w:tcPr>
          <w:p w14:paraId="5B36A051">
            <w:pPr>
              <w:pStyle w:val="34"/>
            </w:pPr>
            <w:r>
              <w:rPr>
                <w:rFonts w:hint="eastAsia"/>
              </w:rPr>
              <w:t>1</w:t>
            </w:r>
          </w:p>
        </w:tc>
        <w:tc>
          <w:tcPr>
            <w:tcW w:w="748" w:type="pct"/>
            <w:vAlign w:val="center"/>
          </w:tcPr>
          <w:p w14:paraId="59B129B4">
            <w:pPr>
              <w:pStyle w:val="34"/>
            </w:pPr>
            <w:r>
              <w:rPr>
                <w:rFonts w:hint="eastAsia"/>
              </w:rPr>
              <w:t>2</w:t>
            </w:r>
          </w:p>
        </w:tc>
        <w:tc>
          <w:tcPr>
            <w:tcW w:w="449" w:type="pct"/>
            <w:vAlign w:val="center"/>
          </w:tcPr>
          <w:p w14:paraId="7C99B5E7">
            <w:pPr>
              <w:pStyle w:val="34"/>
            </w:pPr>
            <w:r>
              <w:rPr>
                <w:rFonts w:hint="eastAsia"/>
              </w:rPr>
              <w:t>是</w:t>
            </w:r>
          </w:p>
        </w:tc>
      </w:tr>
      <w:tr w14:paraId="4466DD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1" w:type="pct"/>
            <w:vAlign w:val="center"/>
          </w:tcPr>
          <w:p w14:paraId="6807EFA9">
            <w:pPr>
              <w:pStyle w:val="34"/>
            </w:pPr>
            <w:r>
              <w:rPr>
                <w:rFonts w:hint="eastAsia"/>
              </w:rPr>
              <w:t>吸油材料</w:t>
            </w:r>
          </w:p>
        </w:tc>
        <w:tc>
          <w:tcPr>
            <w:tcW w:w="1413" w:type="pct"/>
            <w:vAlign w:val="center"/>
          </w:tcPr>
          <w:p w14:paraId="13821657">
            <w:pPr>
              <w:pStyle w:val="34"/>
            </w:pPr>
            <w:r>
              <w:rPr>
                <w:rFonts w:hint="eastAsia"/>
              </w:rPr>
              <w:t>数量（t）</w:t>
            </w:r>
          </w:p>
        </w:tc>
        <w:tc>
          <w:tcPr>
            <w:tcW w:w="1580" w:type="pct"/>
            <w:vAlign w:val="center"/>
          </w:tcPr>
          <w:p w14:paraId="009FC952">
            <w:pPr>
              <w:pStyle w:val="34"/>
            </w:pPr>
            <w:r>
              <w:rPr>
                <w:rFonts w:hint="eastAsia"/>
              </w:rPr>
              <w:t>0.2</w:t>
            </w:r>
          </w:p>
        </w:tc>
        <w:tc>
          <w:tcPr>
            <w:tcW w:w="748" w:type="pct"/>
            <w:vAlign w:val="center"/>
          </w:tcPr>
          <w:p w14:paraId="0CFB0DBB">
            <w:pPr>
              <w:pStyle w:val="34"/>
            </w:pPr>
            <w:r>
              <w:rPr>
                <w:rFonts w:hint="eastAsia"/>
              </w:rPr>
              <w:t>5.75</w:t>
            </w:r>
          </w:p>
        </w:tc>
        <w:tc>
          <w:tcPr>
            <w:tcW w:w="449" w:type="pct"/>
            <w:vAlign w:val="center"/>
          </w:tcPr>
          <w:p w14:paraId="164A8898">
            <w:pPr>
              <w:pStyle w:val="34"/>
            </w:pPr>
            <w:r>
              <w:rPr>
                <w:rFonts w:hint="eastAsia"/>
              </w:rPr>
              <w:t>是</w:t>
            </w:r>
          </w:p>
        </w:tc>
      </w:tr>
      <w:tr w14:paraId="473B8B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1" w:type="pct"/>
            <w:vAlign w:val="center"/>
          </w:tcPr>
          <w:p w14:paraId="393A921A">
            <w:pPr>
              <w:pStyle w:val="34"/>
            </w:pPr>
            <w:r>
              <w:rPr>
                <w:rFonts w:hint="eastAsia"/>
              </w:rPr>
              <w:t>溢油分散剂</w:t>
            </w:r>
          </w:p>
        </w:tc>
        <w:tc>
          <w:tcPr>
            <w:tcW w:w="1413" w:type="pct"/>
            <w:vAlign w:val="center"/>
          </w:tcPr>
          <w:p w14:paraId="1703B9ED">
            <w:pPr>
              <w:pStyle w:val="34"/>
            </w:pPr>
            <w:r>
              <w:rPr>
                <w:rFonts w:hint="eastAsia"/>
              </w:rPr>
              <w:t>浓缩型溢油分散，数量（t）</w:t>
            </w:r>
          </w:p>
        </w:tc>
        <w:tc>
          <w:tcPr>
            <w:tcW w:w="1580" w:type="pct"/>
            <w:vAlign w:val="center"/>
          </w:tcPr>
          <w:p w14:paraId="050081B5">
            <w:pPr>
              <w:pStyle w:val="34"/>
            </w:pPr>
            <w:r>
              <w:rPr>
                <w:rFonts w:hint="eastAsia"/>
              </w:rPr>
              <w:t>0.2</w:t>
            </w:r>
          </w:p>
        </w:tc>
        <w:tc>
          <w:tcPr>
            <w:tcW w:w="748" w:type="pct"/>
            <w:vAlign w:val="center"/>
          </w:tcPr>
          <w:p w14:paraId="7F7CB09A">
            <w:pPr>
              <w:pStyle w:val="34"/>
            </w:pPr>
            <w:r>
              <w:rPr>
                <w:rFonts w:hint="eastAsia"/>
              </w:rPr>
              <w:t>1.71</w:t>
            </w:r>
          </w:p>
        </w:tc>
        <w:tc>
          <w:tcPr>
            <w:tcW w:w="449" w:type="pct"/>
            <w:vAlign w:val="center"/>
          </w:tcPr>
          <w:p w14:paraId="6D8FF875">
            <w:pPr>
              <w:pStyle w:val="34"/>
            </w:pPr>
            <w:r>
              <w:rPr>
                <w:rFonts w:hint="eastAsia"/>
              </w:rPr>
              <w:t>是</w:t>
            </w:r>
          </w:p>
        </w:tc>
      </w:tr>
      <w:tr w14:paraId="76F5E1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1" w:type="pct"/>
            <w:vAlign w:val="center"/>
          </w:tcPr>
          <w:p w14:paraId="526C35B6">
            <w:pPr>
              <w:pStyle w:val="34"/>
            </w:pPr>
            <w:r>
              <w:rPr>
                <w:rFonts w:hint="eastAsia"/>
              </w:rPr>
              <w:t>溢油分散剂喷洒装置</w:t>
            </w:r>
          </w:p>
        </w:tc>
        <w:tc>
          <w:tcPr>
            <w:tcW w:w="1413" w:type="pct"/>
            <w:vAlign w:val="center"/>
          </w:tcPr>
          <w:p w14:paraId="1C556A79">
            <w:pPr>
              <w:pStyle w:val="34"/>
            </w:pPr>
            <w:r>
              <w:rPr>
                <w:rFonts w:hint="eastAsia"/>
              </w:rPr>
              <w:t>数量（套）</w:t>
            </w:r>
          </w:p>
        </w:tc>
        <w:tc>
          <w:tcPr>
            <w:tcW w:w="1580" w:type="pct"/>
            <w:vAlign w:val="center"/>
          </w:tcPr>
          <w:p w14:paraId="13E27841">
            <w:pPr>
              <w:pStyle w:val="34"/>
            </w:pPr>
            <w:r>
              <w:rPr>
                <w:rFonts w:hint="eastAsia"/>
              </w:rPr>
              <w:t>1</w:t>
            </w:r>
          </w:p>
        </w:tc>
        <w:tc>
          <w:tcPr>
            <w:tcW w:w="748" w:type="pct"/>
            <w:vAlign w:val="center"/>
          </w:tcPr>
          <w:p w14:paraId="722C1659">
            <w:pPr>
              <w:pStyle w:val="34"/>
            </w:pPr>
            <w:r>
              <w:rPr>
                <w:rFonts w:hint="eastAsia"/>
              </w:rPr>
              <w:t>3</w:t>
            </w:r>
          </w:p>
        </w:tc>
        <w:tc>
          <w:tcPr>
            <w:tcW w:w="449" w:type="pct"/>
            <w:vAlign w:val="center"/>
          </w:tcPr>
          <w:p w14:paraId="20625224">
            <w:pPr>
              <w:pStyle w:val="34"/>
            </w:pPr>
            <w:r>
              <w:rPr>
                <w:rFonts w:hint="eastAsia"/>
              </w:rPr>
              <w:t>是</w:t>
            </w:r>
          </w:p>
        </w:tc>
      </w:tr>
      <w:tr w14:paraId="35FB14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1" w:type="pct"/>
            <w:vAlign w:val="center"/>
          </w:tcPr>
          <w:p w14:paraId="51DEB4CF">
            <w:pPr>
              <w:pStyle w:val="34"/>
            </w:pPr>
            <w:r>
              <w:rPr>
                <w:rFonts w:hint="eastAsia"/>
              </w:rPr>
              <w:t>储存装置</w:t>
            </w:r>
          </w:p>
        </w:tc>
        <w:tc>
          <w:tcPr>
            <w:tcW w:w="1413" w:type="pct"/>
            <w:vAlign w:val="center"/>
          </w:tcPr>
          <w:p w14:paraId="67CB4DD3">
            <w:pPr>
              <w:pStyle w:val="34"/>
            </w:pPr>
            <w:r>
              <w:rPr>
                <w:rFonts w:hint="eastAsia"/>
              </w:rPr>
              <w:t>有效容积（m</w:t>
            </w:r>
            <w:r>
              <w:rPr>
                <w:rFonts w:hint="eastAsia"/>
                <w:vertAlign w:val="superscript"/>
              </w:rPr>
              <w:t>3</w:t>
            </w:r>
            <w:r>
              <w:rPr>
                <w:rFonts w:hint="eastAsia"/>
              </w:rPr>
              <w:t>）</w:t>
            </w:r>
          </w:p>
        </w:tc>
        <w:tc>
          <w:tcPr>
            <w:tcW w:w="1580" w:type="pct"/>
            <w:vAlign w:val="center"/>
          </w:tcPr>
          <w:p w14:paraId="7D7595AE">
            <w:pPr>
              <w:pStyle w:val="34"/>
            </w:pPr>
            <w:r>
              <w:rPr>
                <w:rFonts w:hint="eastAsia"/>
              </w:rPr>
              <w:t>1</w:t>
            </w:r>
          </w:p>
        </w:tc>
        <w:tc>
          <w:tcPr>
            <w:tcW w:w="748" w:type="pct"/>
            <w:vAlign w:val="center"/>
          </w:tcPr>
          <w:p w14:paraId="22FC21FC">
            <w:pPr>
              <w:pStyle w:val="34"/>
            </w:pPr>
            <w:r>
              <w:rPr>
                <w:rFonts w:hint="eastAsia"/>
              </w:rPr>
              <w:t>67</w:t>
            </w:r>
          </w:p>
        </w:tc>
        <w:tc>
          <w:tcPr>
            <w:tcW w:w="449" w:type="pct"/>
            <w:vAlign w:val="center"/>
          </w:tcPr>
          <w:p w14:paraId="3DB07812">
            <w:pPr>
              <w:pStyle w:val="34"/>
            </w:pPr>
            <w:r>
              <w:rPr>
                <w:rFonts w:hint="eastAsia"/>
              </w:rPr>
              <w:t>是</w:t>
            </w:r>
          </w:p>
        </w:tc>
      </w:tr>
    </w:tbl>
    <w:p w14:paraId="7C5C69AD">
      <w:pPr>
        <w:ind w:firstLine="437"/>
      </w:pPr>
      <w:r>
        <w:rPr>
          <w:rFonts w:hint="eastAsia"/>
        </w:rPr>
        <w:t>由上表可知，已配备的应急物资</w:t>
      </w:r>
      <w:bookmarkStart w:id="614" w:name="_Hlk183505878"/>
      <w:r>
        <w:rPr>
          <w:rFonts w:hint="eastAsia"/>
        </w:rPr>
        <w:t>符合5千吨级海港码头应急设施、设备、物资配备要求</w:t>
      </w:r>
      <w:bookmarkEnd w:id="614"/>
      <w:r>
        <w:rPr>
          <w:rFonts w:hint="eastAsia"/>
        </w:rPr>
        <w:t>，本次评价不新增水上溢油</w:t>
      </w:r>
      <w:r>
        <w:t>应急物资</w:t>
      </w:r>
      <w:r>
        <w:rPr>
          <w:rFonts w:hint="eastAsia"/>
        </w:rPr>
        <w:t>。</w:t>
      </w:r>
    </w:p>
    <w:p w14:paraId="004F1AAC">
      <w:pPr>
        <w:ind w:firstLine="437"/>
      </w:pPr>
      <w:r>
        <w:t>二、依托设备</w:t>
      </w:r>
    </w:p>
    <w:p w14:paraId="75BEDFAB">
      <w:pPr>
        <w:ind w:firstLine="437"/>
      </w:pPr>
      <w:r>
        <w:rPr>
          <w:rFonts w:hint="eastAsia"/>
        </w:rPr>
        <w:t>本项目溢油应急力量还可依托周边现有应急设备，根据《北部湾港总体规划（2035年）》，项目所在海域周边应急资源分布如下：</w:t>
      </w:r>
    </w:p>
    <w:p w14:paraId="3697A340">
      <w:pPr>
        <w:ind w:firstLine="437"/>
        <w:rPr>
          <w:b/>
        </w:rPr>
      </w:pPr>
      <w:r>
        <w:rPr>
          <w:rFonts w:hint="eastAsia"/>
        </w:rPr>
        <w:t>①广西海事局应急资源</w:t>
      </w:r>
    </w:p>
    <w:p w14:paraId="725EA756">
      <w:pPr>
        <w:ind w:firstLine="437"/>
      </w:pPr>
      <w:r>
        <w:rPr>
          <w:rFonts w:hint="eastAsia"/>
        </w:rPr>
        <w:t>根据广西海事局统计资料，广西海事局辖区内现有溢油应急资源由海事局应急设备库、码头企业应急设备库和专业清污单位应急设备库组成，主要包括浮油回收船</w:t>
      </w:r>
      <w:r>
        <w:t>12</w:t>
      </w:r>
      <w:r>
        <w:rPr>
          <w:rFonts w:hint="eastAsia"/>
        </w:rPr>
        <w:t>艘，应急辅助船</w:t>
      </w:r>
      <w:r>
        <w:t>56</w:t>
      </w:r>
      <w:r>
        <w:rPr>
          <w:rFonts w:hint="eastAsia"/>
        </w:rPr>
        <w:t>艘，收油机</w:t>
      </w:r>
      <w:r>
        <w:t>52</w:t>
      </w:r>
      <w:r>
        <w:rPr>
          <w:rFonts w:hint="eastAsia"/>
        </w:rPr>
        <w:t>台，围油栏</w:t>
      </w:r>
      <w:r>
        <w:t>59930m</w:t>
      </w:r>
      <w:r>
        <w:rPr>
          <w:rFonts w:hint="eastAsia"/>
        </w:rPr>
        <w:t>，吸油拖栏</w:t>
      </w:r>
      <w:r>
        <w:t>26968m</w:t>
      </w:r>
      <w:r>
        <w:rPr>
          <w:rFonts w:hint="eastAsia"/>
        </w:rPr>
        <w:t>。详见下表4</w:t>
      </w:r>
      <w:r>
        <w:t>.</w:t>
      </w:r>
      <w:r>
        <w:rPr>
          <w:rFonts w:hint="eastAsia"/>
        </w:rPr>
        <w:t>6</w:t>
      </w:r>
      <w:r>
        <w:t>-</w:t>
      </w:r>
      <w:r>
        <w:rPr>
          <w:rFonts w:hint="eastAsia"/>
        </w:rPr>
        <w:t>16。</w:t>
      </w:r>
    </w:p>
    <w:p w14:paraId="34468D52">
      <w:pPr>
        <w:ind w:firstLine="437"/>
      </w:pPr>
      <w:r>
        <w:rPr>
          <w:rFonts w:hint="eastAsia"/>
        </w:rPr>
        <w:t>②钦州溢油应急设备库</w:t>
      </w:r>
    </w:p>
    <w:p w14:paraId="11A85F07">
      <w:pPr>
        <w:ind w:firstLine="437"/>
      </w:pPr>
      <w:r>
        <w:rPr>
          <w:rFonts w:hint="eastAsia"/>
        </w:rPr>
        <w:t>钦州溢油应急设备库是由交通运输部投资建设的国家中型应急设备库，按照一次综合溢油清除控制能力</w:t>
      </w:r>
      <w:r>
        <w:t>500</w:t>
      </w:r>
      <w:r>
        <w:rPr>
          <w:rFonts w:hint="eastAsia"/>
        </w:rPr>
        <w:t>吨标准建设。</w:t>
      </w:r>
    </w:p>
    <w:p w14:paraId="03525A07">
      <w:pPr>
        <w:ind w:firstLine="437"/>
      </w:pPr>
      <w:r>
        <w:rPr>
          <w:rFonts w:hint="eastAsia"/>
        </w:rPr>
        <w:t>根据交通运输部《关于广西海事局钦州溢油应急设备库工程可行性研究报告的批复》（交规划发</w:t>
      </w:r>
      <w:r>
        <w:rPr>
          <w:rFonts w:hint="eastAsia" w:ascii="宋体" w:hAnsi="宋体"/>
        </w:rPr>
        <w:t>〔</w:t>
      </w:r>
      <w:r>
        <w:t>2009</w:t>
      </w:r>
      <w:r>
        <w:rPr>
          <w:rFonts w:hint="eastAsia" w:ascii="宋体" w:hAnsi="宋体"/>
        </w:rPr>
        <w:t>〕</w:t>
      </w:r>
      <w:r>
        <w:rPr>
          <w:rFonts w:hint="eastAsia"/>
        </w:rPr>
        <w:t>第</w:t>
      </w:r>
      <w:r>
        <w:t>507</w:t>
      </w:r>
      <w:r>
        <w:rPr>
          <w:rFonts w:hint="eastAsia"/>
        </w:rPr>
        <w:t>号），设备库建设面积</w:t>
      </w:r>
      <w:r>
        <w:t>1000m</w:t>
      </w:r>
      <w:r>
        <w:rPr>
          <w:vertAlign w:val="superscript"/>
        </w:rPr>
        <w:t>2</w:t>
      </w:r>
      <w:r>
        <w:rPr>
          <w:rFonts w:hint="eastAsia"/>
        </w:rPr>
        <w:t>，设备操作训练场所</w:t>
      </w:r>
      <w:r>
        <w:t>2592m</w:t>
      </w:r>
      <w:r>
        <w:rPr>
          <w:vertAlign w:val="superscript"/>
        </w:rPr>
        <w:t>2</w:t>
      </w:r>
      <w:r>
        <w:rPr>
          <w:rFonts w:hint="eastAsia"/>
        </w:rPr>
        <w:t>，配备</w:t>
      </w:r>
      <w:bookmarkStart w:id="615" w:name="OLE_LINK112"/>
      <w:r>
        <w:rPr>
          <w:rFonts w:hint="eastAsia"/>
        </w:rPr>
        <w:t>应急卸载、围控、回收、储运等应急设备</w:t>
      </w:r>
      <w:bookmarkEnd w:id="615"/>
      <w:r>
        <w:rPr>
          <w:rFonts w:hint="eastAsia"/>
        </w:rPr>
        <w:t>总投资</w:t>
      </w:r>
      <w:r>
        <w:t>3300</w:t>
      </w:r>
      <w:r>
        <w:rPr>
          <w:rFonts w:hint="eastAsia"/>
        </w:rPr>
        <w:t>万元。该设备库位于钦州海巡基地（钦州港金谷港区勒沟作业区），地理位置有利于应急出海作业，相关设备设施已完成采购。</w:t>
      </w:r>
    </w:p>
    <w:p w14:paraId="095460CA">
      <w:pPr>
        <w:pStyle w:val="7"/>
      </w:pPr>
      <w:r>
        <w:rPr>
          <w:rFonts w:hint="eastAsia"/>
        </w:rPr>
        <w:t>广西海事局钦州溢油应急设备库设备配备情况</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132"/>
        <w:gridCol w:w="2132"/>
        <w:gridCol w:w="2132"/>
        <w:gridCol w:w="2132"/>
      </w:tblGrid>
      <w:tr w14:paraId="2F6C18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4264" w:type="dxa"/>
            <w:gridSpan w:val="2"/>
          </w:tcPr>
          <w:p w14:paraId="0511D93D">
            <w:pPr>
              <w:widowControl/>
              <w:spacing w:line="240" w:lineRule="exact"/>
              <w:ind w:firstLine="377"/>
              <w:jc w:val="center"/>
              <w:rPr>
                <w:kern w:val="0"/>
                <w:sz w:val="21"/>
                <w:szCs w:val="21"/>
              </w:rPr>
            </w:pPr>
            <w:r>
              <w:rPr>
                <w:kern w:val="0"/>
                <w:sz w:val="21"/>
                <w:szCs w:val="21"/>
              </w:rPr>
              <w:t>应急设备名称</w:t>
            </w:r>
          </w:p>
        </w:tc>
        <w:tc>
          <w:tcPr>
            <w:tcW w:w="2132" w:type="dxa"/>
          </w:tcPr>
          <w:p w14:paraId="18C7B7F2">
            <w:pPr>
              <w:widowControl/>
              <w:spacing w:line="240" w:lineRule="exact"/>
              <w:ind w:firstLine="377"/>
              <w:jc w:val="center"/>
              <w:rPr>
                <w:kern w:val="0"/>
                <w:sz w:val="21"/>
                <w:szCs w:val="21"/>
              </w:rPr>
            </w:pPr>
            <w:r>
              <w:rPr>
                <w:kern w:val="0"/>
                <w:sz w:val="21"/>
                <w:szCs w:val="21"/>
              </w:rPr>
              <w:t>单位</w:t>
            </w:r>
          </w:p>
        </w:tc>
        <w:tc>
          <w:tcPr>
            <w:tcW w:w="2132" w:type="dxa"/>
          </w:tcPr>
          <w:p w14:paraId="40E86B60">
            <w:pPr>
              <w:widowControl/>
              <w:spacing w:line="240" w:lineRule="exact"/>
              <w:ind w:firstLine="377"/>
              <w:jc w:val="center"/>
              <w:rPr>
                <w:kern w:val="0"/>
                <w:sz w:val="21"/>
                <w:szCs w:val="21"/>
              </w:rPr>
            </w:pPr>
            <w:r>
              <w:rPr>
                <w:kern w:val="0"/>
                <w:sz w:val="21"/>
                <w:szCs w:val="21"/>
              </w:rPr>
              <w:t>数量</w:t>
            </w:r>
          </w:p>
        </w:tc>
      </w:tr>
      <w:tr w14:paraId="75818F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4"/>
          </w:tcPr>
          <w:p w14:paraId="60E6135C">
            <w:pPr>
              <w:widowControl/>
              <w:spacing w:line="240" w:lineRule="exact"/>
              <w:ind w:firstLine="377"/>
              <w:jc w:val="center"/>
              <w:rPr>
                <w:kern w:val="0"/>
                <w:sz w:val="21"/>
                <w:szCs w:val="21"/>
              </w:rPr>
            </w:pPr>
            <w:r>
              <w:rPr>
                <w:kern w:val="0"/>
                <w:sz w:val="21"/>
                <w:szCs w:val="21"/>
              </w:rPr>
              <w:t>一、应急卸载设备</w:t>
            </w:r>
          </w:p>
        </w:tc>
      </w:tr>
      <w:tr w14:paraId="31EB80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0676B472">
            <w:pPr>
              <w:widowControl/>
              <w:spacing w:line="240" w:lineRule="exact"/>
              <w:ind w:firstLine="377"/>
              <w:jc w:val="center"/>
              <w:rPr>
                <w:kern w:val="0"/>
                <w:sz w:val="21"/>
                <w:szCs w:val="21"/>
              </w:rPr>
            </w:pPr>
            <w:r>
              <w:rPr>
                <w:rFonts w:hint="eastAsia"/>
                <w:kern w:val="0"/>
                <w:sz w:val="21"/>
                <w:szCs w:val="21"/>
              </w:rPr>
              <w:t>1.1</w:t>
            </w:r>
          </w:p>
        </w:tc>
        <w:tc>
          <w:tcPr>
            <w:tcW w:w="2132" w:type="dxa"/>
          </w:tcPr>
          <w:p w14:paraId="12F52E64">
            <w:pPr>
              <w:widowControl/>
              <w:spacing w:line="240" w:lineRule="exact"/>
              <w:ind w:firstLine="377"/>
              <w:jc w:val="center"/>
              <w:rPr>
                <w:kern w:val="0"/>
                <w:sz w:val="21"/>
                <w:szCs w:val="21"/>
              </w:rPr>
            </w:pPr>
            <w:r>
              <w:rPr>
                <w:rFonts w:hint="eastAsia"/>
                <w:kern w:val="0"/>
                <w:sz w:val="21"/>
                <w:szCs w:val="21"/>
              </w:rPr>
              <w:t>大型防腐蚀离心泵</w:t>
            </w:r>
          </w:p>
        </w:tc>
        <w:tc>
          <w:tcPr>
            <w:tcW w:w="2132" w:type="dxa"/>
          </w:tcPr>
          <w:p w14:paraId="630175E9">
            <w:pPr>
              <w:widowControl/>
              <w:spacing w:line="240" w:lineRule="exact"/>
              <w:ind w:firstLine="377"/>
              <w:jc w:val="center"/>
              <w:rPr>
                <w:kern w:val="0"/>
                <w:sz w:val="21"/>
                <w:szCs w:val="21"/>
              </w:rPr>
            </w:pPr>
            <w:r>
              <w:rPr>
                <w:kern w:val="0"/>
                <w:sz w:val="21"/>
                <w:szCs w:val="21"/>
              </w:rPr>
              <w:t>套</w:t>
            </w:r>
          </w:p>
        </w:tc>
        <w:tc>
          <w:tcPr>
            <w:tcW w:w="2132" w:type="dxa"/>
          </w:tcPr>
          <w:p w14:paraId="4A1565B4">
            <w:pPr>
              <w:widowControl/>
              <w:spacing w:line="240" w:lineRule="exact"/>
              <w:ind w:firstLine="377"/>
              <w:jc w:val="center"/>
              <w:rPr>
                <w:kern w:val="0"/>
                <w:sz w:val="21"/>
                <w:szCs w:val="21"/>
              </w:rPr>
            </w:pPr>
            <w:r>
              <w:rPr>
                <w:rFonts w:hint="eastAsia"/>
                <w:kern w:val="0"/>
                <w:sz w:val="21"/>
                <w:szCs w:val="21"/>
              </w:rPr>
              <w:t>1</w:t>
            </w:r>
          </w:p>
        </w:tc>
      </w:tr>
      <w:tr w14:paraId="56A253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329E8438">
            <w:pPr>
              <w:widowControl/>
              <w:spacing w:line="240" w:lineRule="exact"/>
              <w:ind w:firstLine="377"/>
              <w:jc w:val="center"/>
              <w:rPr>
                <w:kern w:val="0"/>
                <w:sz w:val="21"/>
                <w:szCs w:val="21"/>
              </w:rPr>
            </w:pPr>
            <w:r>
              <w:rPr>
                <w:rFonts w:hint="eastAsia"/>
                <w:kern w:val="0"/>
                <w:sz w:val="21"/>
                <w:szCs w:val="21"/>
              </w:rPr>
              <w:t>1.2</w:t>
            </w:r>
          </w:p>
        </w:tc>
        <w:tc>
          <w:tcPr>
            <w:tcW w:w="2132" w:type="dxa"/>
          </w:tcPr>
          <w:p w14:paraId="06432E37">
            <w:pPr>
              <w:widowControl/>
              <w:spacing w:line="240" w:lineRule="exact"/>
              <w:ind w:firstLine="377"/>
              <w:jc w:val="center"/>
              <w:rPr>
                <w:kern w:val="0"/>
                <w:sz w:val="21"/>
                <w:szCs w:val="21"/>
              </w:rPr>
            </w:pPr>
            <w:r>
              <w:rPr>
                <w:rFonts w:hint="eastAsia"/>
                <w:kern w:val="0"/>
                <w:sz w:val="21"/>
                <w:szCs w:val="21"/>
              </w:rPr>
              <w:t>大型螺杆卸载泵</w:t>
            </w:r>
          </w:p>
        </w:tc>
        <w:tc>
          <w:tcPr>
            <w:tcW w:w="2132" w:type="dxa"/>
          </w:tcPr>
          <w:p w14:paraId="5A50AD99">
            <w:pPr>
              <w:widowControl/>
              <w:spacing w:line="240" w:lineRule="exact"/>
              <w:ind w:firstLine="377"/>
              <w:jc w:val="center"/>
              <w:rPr>
                <w:kern w:val="0"/>
                <w:sz w:val="21"/>
                <w:szCs w:val="21"/>
              </w:rPr>
            </w:pPr>
            <w:r>
              <w:rPr>
                <w:kern w:val="0"/>
                <w:sz w:val="21"/>
                <w:szCs w:val="21"/>
              </w:rPr>
              <w:t>套</w:t>
            </w:r>
          </w:p>
        </w:tc>
        <w:tc>
          <w:tcPr>
            <w:tcW w:w="2132" w:type="dxa"/>
          </w:tcPr>
          <w:p w14:paraId="6420BA92">
            <w:pPr>
              <w:widowControl/>
              <w:spacing w:line="240" w:lineRule="exact"/>
              <w:ind w:firstLine="377"/>
              <w:jc w:val="center"/>
              <w:rPr>
                <w:kern w:val="0"/>
                <w:sz w:val="21"/>
                <w:szCs w:val="21"/>
              </w:rPr>
            </w:pPr>
            <w:r>
              <w:rPr>
                <w:rFonts w:hint="eastAsia"/>
                <w:kern w:val="0"/>
                <w:sz w:val="21"/>
                <w:szCs w:val="21"/>
              </w:rPr>
              <w:t>1</w:t>
            </w:r>
          </w:p>
        </w:tc>
      </w:tr>
      <w:tr w14:paraId="28C068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2C749983">
            <w:pPr>
              <w:widowControl/>
              <w:spacing w:line="240" w:lineRule="exact"/>
              <w:ind w:firstLine="377"/>
              <w:jc w:val="center"/>
              <w:rPr>
                <w:kern w:val="0"/>
                <w:sz w:val="21"/>
                <w:szCs w:val="21"/>
              </w:rPr>
            </w:pPr>
            <w:r>
              <w:rPr>
                <w:rFonts w:hint="eastAsia"/>
                <w:kern w:val="0"/>
                <w:sz w:val="21"/>
                <w:szCs w:val="21"/>
              </w:rPr>
              <w:t>1.3</w:t>
            </w:r>
          </w:p>
        </w:tc>
        <w:tc>
          <w:tcPr>
            <w:tcW w:w="2132" w:type="dxa"/>
          </w:tcPr>
          <w:p w14:paraId="1032147A">
            <w:pPr>
              <w:widowControl/>
              <w:spacing w:line="240" w:lineRule="exact"/>
              <w:ind w:firstLine="377"/>
              <w:jc w:val="center"/>
              <w:rPr>
                <w:kern w:val="0"/>
                <w:sz w:val="21"/>
                <w:szCs w:val="21"/>
              </w:rPr>
            </w:pPr>
            <w:r>
              <w:rPr>
                <w:rFonts w:hint="eastAsia"/>
                <w:kern w:val="0"/>
                <w:sz w:val="21"/>
                <w:szCs w:val="21"/>
              </w:rPr>
              <w:t>中型螺杆卸载泵</w:t>
            </w:r>
          </w:p>
        </w:tc>
        <w:tc>
          <w:tcPr>
            <w:tcW w:w="2132" w:type="dxa"/>
          </w:tcPr>
          <w:p w14:paraId="6C4856A6">
            <w:pPr>
              <w:widowControl/>
              <w:spacing w:line="240" w:lineRule="exact"/>
              <w:ind w:firstLine="377"/>
              <w:jc w:val="center"/>
              <w:rPr>
                <w:kern w:val="0"/>
                <w:sz w:val="21"/>
                <w:szCs w:val="21"/>
              </w:rPr>
            </w:pPr>
            <w:r>
              <w:rPr>
                <w:kern w:val="0"/>
                <w:sz w:val="21"/>
                <w:szCs w:val="21"/>
              </w:rPr>
              <w:t>套</w:t>
            </w:r>
          </w:p>
        </w:tc>
        <w:tc>
          <w:tcPr>
            <w:tcW w:w="2132" w:type="dxa"/>
          </w:tcPr>
          <w:p w14:paraId="2E30FF57">
            <w:pPr>
              <w:widowControl/>
              <w:spacing w:line="240" w:lineRule="exact"/>
              <w:ind w:firstLine="377"/>
              <w:jc w:val="center"/>
              <w:rPr>
                <w:kern w:val="0"/>
                <w:sz w:val="21"/>
                <w:szCs w:val="21"/>
              </w:rPr>
            </w:pPr>
            <w:r>
              <w:rPr>
                <w:rFonts w:hint="eastAsia"/>
                <w:kern w:val="0"/>
                <w:sz w:val="21"/>
                <w:szCs w:val="21"/>
              </w:rPr>
              <w:t>1</w:t>
            </w:r>
          </w:p>
        </w:tc>
      </w:tr>
      <w:tr w14:paraId="3DE9EF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7880484C">
            <w:pPr>
              <w:widowControl/>
              <w:spacing w:line="240" w:lineRule="exact"/>
              <w:ind w:firstLine="377"/>
              <w:jc w:val="center"/>
              <w:rPr>
                <w:kern w:val="0"/>
                <w:sz w:val="21"/>
                <w:szCs w:val="21"/>
              </w:rPr>
            </w:pPr>
            <w:r>
              <w:rPr>
                <w:rFonts w:hint="eastAsia"/>
                <w:kern w:val="0"/>
                <w:sz w:val="21"/>
                <w:szCs w:val="21"/>
              </w:rPr>
              <w:t>1.4</w:t>
            </w:r>
          </w:p>
        </w:tc>
        <w:tc>
          <w:tcPr>
            <w:tcW w:w="2132" w:type="dxa"/>
          </w:tcPr>
          <w:p w14:paraId="6C6279AD">
            <w:pPr>
              <w:widowControl/>
              <w:spacing w:line="240" w:lineRule="exact"/>
              <w:ind w:firstLine="377"/>
              <w:jc w:val="center"/>
              <w:rPr>
                <w:kern w:val="0"/>
                <w:sz w:val="21"/>
                <w:szCs w:val="21"/>
              </w:rPr>
            </w:pPr>
            <w:r>
              <w:rPr>
                <w:rFonts w:hint="eastAsia"/>
                <w:kern w:val="0"/>
                <w:sz w:val="21"/>
                <w:szCs w:val="21"/>
              </w:rPr>
              <w:t>小型螺杆卸载泵</w:t>
            </w:r>
          </w:p>
        </w:tc>
        <w:tc>
          <w:tcPr>
            <w:tcW w:w="2132" w:type="dxa"/>
          </w:tcPr>
          <w:p w14:paraId="18E2DB9C">
            <w:pPr>
              <w:widowControl/>
              <w:spacing w:line="240" w:lineRule="exact"/>
              <w:ind w:firstLine="377"/>
              <w:jc w:val="center"/>
              <w:rPr>
                <w:kern w:val="0"/>
                <w:sz w:val="21"/>
                <w:szCs w:val="21"/>
              </w:rPr>
            </w:pPr>
          </w:p>
        </w:tc>
        <w:tc>
          <w:tcPr>
            <w:tcW w:w="2132" w:type="dxa"/>
          </w:tcPr>
          <w:p w14:paraId="520FA997">
            <w:pPr>
              <w:widowControl/>
              <w:spacing w:line="240" w:lineRule="exact"/>
              <w:ind w:firstLine="377"/>
              <w:jc w:val="center"/>
              <w:rPr>
                <w:kern w:val="0"/>
                <w:sz w:val="21"/>
                <w:szCs w:val="21"/>
              </w:rPr>
            </w:pPr>
            <w:r>
              <w:rPr>
                <w:rFonts w:hint="eastAsia"/>
                <w:kern w:val="0"/>
                <w:sz w:val="21"/>
                <w:szCs w:val="21"/>
              </w:rPr>
              <w:t>1</w:t>
            </w:r>
          </w:p>
        </w:tc>
      </w:tr>
      <w:tr w14:paraId="03E60C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4"/>
          </w:tcPr>
          <w:p w14:paraId="5290464E">
            <w:pPr>
              <w:widowControl/>
              <w:spacing w:line="240" w:lineRule="exact"/>
              <w:ind w:firstLine="377"/>
              <w:jc w:val="center"/>
              <w:rPr>
                <w:kern w:val="0"/>
                <w:sz w:val="21"/>
                <w:szCs w:val="21"/>
              </w:rPr>
            </w:pPr>
            <w:r>
              <w:rPr>
                <w:kern w:val="0"/>
                <w:sz w:val="21"/>
                <w:szCs w:val="21"/>
              </w:rPr>
              <w:t>二、溢油围控设备</w:t>
            </w:r>
          </w:p>
        </w:tc>
      </w:tr>
      <w:tr w14:paraId="3CF3A1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2B852475">
            <w:pPr>
              <w:widowControl/>
              <w:spacing w:line="240" w:lineRule="exact"/>
              <w:ind w:firstLine="377"/>
              <w:jc w:val="center"/>
              <w:rPr>
                <w:kern w:val="0"/>
                <w:sz w:val="21"/>
                <w:szCs w:val="21"/>
              </w:rPr>
            </w:pPr>
            <w:r>
              <w:rPr>
                <w:rFonts w:hint="eastAsia"/>
                <w:kern w:val="0"/>
                <w:sz w:val="21"/>
                <w:szCs w:val="21"/>
              </w:rPr>
              <w:t>2.1</w:t>
            </w:r>
          </w:p>
        </w:tc>
        <w:tc>
          <w:tcPr>
            <w:tcW w:w="2132" w:type="dxa"/>
          </w:tcPr>
          <w:p w14:paraId="2DD46124">
            <w:pPr>
              <w:widowControl/>
              <w:spacing w:line="240" w:lineRule="exact"/>
              <w:ind w:firstLine="377"/>
              <w:jc w:val="center"/>
              <w:rPr>
                <w:kern w:val="0"/>
                <w:sz w:val="21"/>
                <w:szCs w:val="21"/>
              </w:rPr>
            </w:pPr>
            <w:r>
              <w:rPr>
                <w:rFonts w:hint="eastAsia"/>
                <w:kern w:val="0"/>
                <w:sz w:val="21"/>
                <w:szCs w:val="21"/>
              </w:rPr>
              <w:t>海洋型充气式围油栏</w:t>
            </w:r>
          </w:p>
        </w:tc>
        <w:tc>
          <w:tcPr>
            <w:tcW w:w="2132" w:type="dxa"/>
          </w:tcPr>
          <w:p w14:paraId="479F643D">
            <w:pPr>
              <w:widowControl/>
              <w:spacing w:line="240" w:lineRule="exact"/>
              <w:ind w:firstLine="377"/>
              <w:jc w:val="center"/>
              <w:rPr>
                <w:kern w:val="0"/>
                <w:sz w:val="21"/>
                <w:szCs w:val="21"/>
              </w:rPr>
            </w:pPr>
            <w:r>
              <w:rPr>
                <w:kern w:val="0"/>
                <w:sz w:val="21"/>
                <w:szCs w:val="21"/>
              </w:rPr>
              <w:t>m</w:t>
            </w:r>
          </w:p>
        </w:tc>
        <w:tc>
          <w:tcPr>
            <w:tcW w:w="2132" w:type="dxa"/>
          </w:tcPr>
          <w:p w14:paraId="48D560E9">
            <w:pPr>
              <w:widowControl/>
              <w:spacing w:line="240" w:lineRule="exact"/>
              <w:ind w:firstLine="377"/>
              <w:jc w:val="center"/>
              <w:rPr>
                <w:kern w:val="0"/>
                <w:sz w:val="21"/>
                <w:szCs w:val="21"/>
              </w:rPr>
            </w:pPr>
            <w:r>
              <w:rPr>
                <w:rFonts w:hint="eastAsia"/>
                <w:kern w:val="0"/>
                <w:sz w:val="21"/>
                <w:szCs w:val="21"/>
              </w:rPr>
              <w:t>800</w:t>
            </w:r>
          </w:p>
        </w:tc>
      </w:tr>
      <w:tr w14:paraId="626968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69983F1D">
            <w:pPr>
              <w:widowControl/>
              <w:spacing w:line="240" w:lineRule="exact"/>
              <w:ind w:firstLine="377"/>
              <w:jc w:val="center"/>
              <w:rPr>
                <w:kern w:val="0"/>
                <w:sz w:val="21"/>
                <w:szCs w:val="21"/>
              </w:rPr>
            </w:pPr>
            <w:r>
              <w:rPr>
                <w:rFonts w:hint="eastAsia"/>
                <w:kern w:val="0"/>
                <w:sz w:val="21"/>
                <w:szCs w:val="21"/>
              </w:rPr>
              <w:t>2.2</w:t>
            </w:r>
          </w:p>
        </w:tc>
        <w:tc>
          <w:tcPr>
            <w:tcW w:w="2132" w:type="dxa"/>
          </w:tcPr>
          <w:p w14:paraId="10BA2DF4">
            <w:pPr>
              <w:widowControl/>
              <w:spacing w:line="240" w:lineRule="exact"/>
              <w:ind w:firstLine="377"/>
              <w:jc w:val="center"/>
              <w:rPr>
                <w:kern w:val="0"/>
                <w:sz w:val="21"/>
                <w:szCs w:val="21"/>
              </w:rPr>
            </w:pPr>
            <w:r>
              <w:rPr>
                <w:rFonts w:hint="eastAsia"/>
                <w:kern w:val="0"/>
                <w:sz w:val="21"/>
                <w:szCs w:val="21"/>
              </w:rPr>
              <w:t>防火围油栏</w:t>
            </w:r>
          </w:p>
        </w:tc>
        <w:tc>
          <w:tcPr>
            <w:tcW w:w="2132" w:type="dxa"/>
          </w:tcPr>
          <w:p w14:paraId="5181AB21">
            <w:pPr>
              <w:widowControl/>
              <w:spacing w:line="240" w:lineRule="exact"/>
              <w:ind w:firstLine="377"/>
              <w:jc w:val="center"/>
              <w:rPr>
                <w:kern w:val="0"/>
                <w:sz w:val="21"/>
                <w:szCs w:val="21"/>
              </w:rPr>
            </w:pPr>
            <w:r>
              <w:rPr>
                <w:rFonts w:hint="eastAsia"/>
                <w:kern w:val="0"/>
                <w:sz w:val="21"/>
                <w:szCs w:val="21"/>
              </w:rPr>
              <w:t>m</w:t>
            </w:r>
          </w:p>
        </w:tc>
        <w:tc>
          <w:tcPr>
            <w:tcW w:w="2132" w:type="dxa"/>
          </w:tcPr>
          <w:p w14:paraId="768EE162">
            <w:pPr>
              <w:widowControl/>
              <w:spacing w:line="240" w:lineRule="exact"/>
              <w:ind w:firstLine="377"/>
              <w:jc w:val="center"/>
              <w:rPr>
                <w:kern w:val="0"/>
                <w:sz w:val="21"/>
                <w:szCs w:val="21"/>
              </w:rPr>
            </w:pPr>
            <w:r>
              <w:rPr>
                <w:rFonts w:hint="eastAsia"/>
                <w:kern w:val="0"/>
                <w:sz w:val="21"/>
                <w:szCs w:val="21"/>
              </w:rPr>
              <w:t>500</w:t>
            </w:r>
          </w:p>
        </w:tc>
      </w:tr>
      <w:tr w14:paraId="2B99F8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4"/>
          </w:tcPr>
          <w:p w14:paraId="00ED531C">
            <w:pPr>
              <w:widowControl/>
              <w:spacing w:line="240" w:lineRule="exact"/>
              <w:ind w:firstLine="377"/>
              <w:jc w:val="center"/>
              <w:rPr>
                <w:kern w:val="0"/>
                <w:sz w:val="21"/>
                <w:szCs w:val="21"/>
              </w:rPr>
            </w:pPr>
            <w:r>
              <w:rPr>
                <w:kern w:val="0"/>
                <w:sz w:val="21"/>
                <w:szCs w:val="21"/>
              </w:rPr>
              <w:t>三、溢油回收设备</w:t>
            </w:r>
          </w:p>
        </w:tc>
      </w:tr>
      <w:tr w14:paraId="69291B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4CD35148">
            <w:pPr>
              <w:widowControl/>
              <w:spacing w:line="240" w:lineRule="exact"/>
              <w:ind w:firstLine="377"/>
              <w:jc w:val="center"/>
              <w:rPr>
                <w:kern w:val="0"/>
                <w:sz w:val="21"/>
                <w:szCs w:val="21"/>
              </w:rPr>
            </w:pPr>
            <w:r>
              <w:rPr>
                <w:rFonts w:hint="eastAsia"/>
                <w:kern w:val="0"/>
                <w:sz w:val="21"/>
                <w:szCs w:val="21"/>
              </w:rPr>
              <w:t>3.1</w:t>
            </w:r>
          </w:p>
        </w:tc>
        <w:tc>
          <w:tcPr>
            <w:tcW w:w="2132" w:type="dxa"/>
          </w:tcPr>
          <w:p w14:paraId="61E2288F">
            <w:pPr>
              <w:widowControl/>
              <w:spacing w:line="240" w:lineRule="exact"/>
              <w:ind w:firstLine="377"/>
              <w:jc w:val="center"/>
              <w:rPr>
                <w:kern w:val="0"/>
                <w:sz w:val="21"/>
                <w:szCs w:val="21"/>
              </w:rPr>
            </w:pPr>
            <w:r>
              <w:rPr>
                <w:rFonts w:hint="eastAsia"/>
                <w:kern w:val="0"/>
                <w:sz w:val="21"/>
                <w:szCs w:val="21"/>
              </w:rPr>
              <w:t>大型收油机</w:t>
            </w:r>
          </w:p>
        </w:tc>
        <w:tc>
          <w:tcPr>
            <w:tcW w:w="2132" w:type="dxa"/>
          </w:tcPr>
          <w:p w14:paraId="3C3ADF99">
            <w:pPr>
              <w:widowControl/>
              <w:spacing w:line="240" w:lineRule="exact"/>
              <w:ind w:firstLine="377"/>
              <w:jc w:val="center"/>
              <w:rPr>
                <w:kern w:val="0"/>
                <w:sz w:val="21"/>
                <w:szCs w:val="21"/>
              </w:rPr>
            </w:pPr>
            <w:r>
              <w:rPr>
                <w:kern w:val="0"/>
                <w:sz w:val="21"/>
                <w:szCs w:val="21"/>
              </w:rPr>
              <w:t>套</w:t>
            </w:r>
          </w:p>
        </w:tc>
        <w:tc>
          <w:tcPr>
            <w:tcW w:w="2132" w:type="dxa"/>
          </w:tcPr>
          <w:p w14:paraId="39A0CEC5">
            <w:pPr>
              <w:widowControl/>
              <w:spacing w:line="240" w:lineRule="exact"/>
              <w:ind w:firstLine="377"/>
              <w:jc w:val="center"/>
              <w:rPr>
                <w:kern w:val="0"/>
                <w:sz w:val="21"/>
                <w:szCs w:val="21"/>
              </w:rPr>
            </w:pPr>
            <w:r>
              <w:rPr>
                <w:rFonts w:hint="eastAsia"/>
                <w:kern w:val="0"/>
                <w:sz w:val="21"/>
                <w:szCs w:val="21"/>
              </w:rPr>
              <w:t>1</w:t>
            </w:r>
          </w:p>
        </w:tc>
      </w:tr>
      <w:tr w14:paraId="0DCE15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690D3554">
            <w:pPr>
              <w:widowControl/>
              <w:spacing w:line="240" w:lineRule="exact"/>
              <w:ind w:firstLine="377"/>
              <w:jc w:val="center"/>
              <w:rPr>
                <w:kern w:val="0"/>
                <w:sz w:val="21"/>
                <w:szCs w:val="21"/>
              </w:rPr>
            </w:pPr>
            <w:r>
              <w:rPr>
                <w:rFonts w:hint="eastAsia"/>
                <w:kern w:val="0"/>
                <w:sz w:val="21"/>
                <w:szCs w:val="21"/>
              </w:rPr>
              <w:t>3.2</w:t>
            </w:r>
          </w:p>
        </w:tc>
        <w:tc>
          <w:tcPr>
            <w:tcW w:w="2132" w:type="dxa"/>
          </w:tcPr>
          <w:p w14:paraId="3AC3BB78">
            <w:pPr>
              <w:widowControl/>
              <w:spacing w:line="240" w:lineRule="exact"/>
              <w:ind w:firstLine="377"/>
              <w:jc w:val="center"/>
              <w:rPr>
                <w:kern w:val="0"/>
                <w:sz w:val="21"/>
                <w:szCs w:val="21"/>
              </w:rPr>
            </w:pPr>
            <w:r>
              <w:rPr>
                <w:rFonts w:hint="eastAsia"/>
                <w:kern w:val="0"/>
                <w:sz w:val="21"/>
                <w:szCs w:val="21"/>
              </w:rPr>
              <w:t>中型收油机</w:t>
            </w:r>
          </w:p>
        </w:tc>
        <w:tc>
          <w:tcPr>
            <w:tcW w:w="2132" w:type="dxa"/>
          </w:tcPr>
          <w:p w14:paraId="01FBD047">
            <w:pPr>
              <w:widowControl/>
              <w:spacing w:line="240" w:lineRule="exact"/>
              <w:ind w:firstLine="377"/>
              <w:jc w:val="center"/>
              <w:rPr>
                <w:kern w:val="0"/>
                <w:sz w:val="21"/>
                <w:szCs w:val="21"/>
              </w:rPr>
            </w:pPr>
            <w:r>
              <w:rPr>
                <w:kern w:val="0"/>
                <w:sz w:val="21"/>
                <w:szCs w:val="21"/>
              </w:rPr>
              <w:t>套</w:t>
            </w:r>
          </w:p>
        </w:tc>
        <w:tc>
          <w:tcPr>
            <w:tcW w:w="2132" w:type="dxa"/>
          </w:tcPr>
          <w:p w14:paraId="3471D390">
            <w:pPr>
              <w:widowControl/>
              <w:spacing w:line="240" w:lineRule="exact"/>
              <w:ind w:firstLine="377"/>
              <w:jc w:val="center"/>
              <w:rPr>
                <w:kern w:val="0"/>
                <w:sz w:val="21"/>
                <w:szCs w:val="21"/>
              </w:rPr>
            </w:pPr>
            <w:r>
              <w:rPr>
                <w:rFonts w:hint="eastAsia"/>
                <w:kern w:val="0"/>
                <w:sz w:val="21"/>
                <w:szCs w:val="21"/>
              </w:rPr>
              <w:t>1</w:t>
            </w:r>
          </w:p>
        </w:tc>
      </w:tr>
      <w:tr w14:paraId="7A448B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362560CF">
            <w:pPr>
              <w:widowControl/>
              <w:spacing w:line="240" w:lineRule="exact"/>
              <w:ind w:firstLine="377"/>
              <w:jc w:val="center"/>
              <w:rPr>
                <w:kern w:val="0"/>
                <w:sz w:val="21"/>
                <w:szCs w:val="21"/>
              </w:rPr>
            </w:pPr>
            <w:r>
              <w:rPr>
                <w:rFonts w:hint="eastAsia"/>
                <w:kern w:val="0"/>
                <w:sz w:val="21"/>
                <w:szCs w:val="21"/>
              </w:rPr>
              <w:t>3.3</w:t>
            </w:r>
          </w:p>
        </w:tc>
        <w:tc>
          <w:tcPr>
            <w:tcW w:w="2132" w:type="dxa"/>
          </w:tcPr>
          <w:p w14:paraId="52FFBAEB">
            <w:pPr>
              <w:widowControl/>
              <w:spacing w:line="240" w:lineRule="exact"/>
              <w:ind w:firstLine="377"/>
              <w:jc w:val="center"/>
              <w:rPr>
                <w:kern w:val="0"/>
                <w:sz w:val="21"/>
                <w:szCs w:val="21"/>
              </w:rPr>
            </w:pPr>
            <w:r>
              <w:rPr>
                <w:rFonts w:hint="eastAsia"/>
                <w:kern w:val="0"/>
                <w:sz w:val="21"/>
                <w:szCs w:val="21"/>
              </w:rPr>
              <w:t>小型收油机</w:t>
            </w:r>
          </w:p>
        </w:tc>
        <w:tc>
          <w:tcPr>
            <w:tcW w:w="2132" w:type="dxa"/>
          </w:tcPr>
          <w:p w14:paraId="37B29B6B">
            <w:pPr>
              <w:widowControl/>
              <w:spacing w:line="240" w:lineRule="exact"/>
              <w:ind w:firstLine="377"/>
              <w:jc w:val="center"/>
              <w:rPr>
                <w:kern w:val="0"/>
                <w:sz w:val="21"/>
                <w:szCs w:val="21"/>
              </w:rPr>
            </w:pPr>
            <w:r>
              <w:rPr>
                <w:kern w:val="0"/>
                <w:sz w:val="21"/>
                <w:szCs w:val="21"/>
              </w:rPr>
              <w:t>套</w:t>
            </w:r>
          </w:p>
        </w:tc>
        <w:tc>
          <w:tcPr>
            <w:tcW w:w="2132" w:type="dxa"/>
          </w:tcPr>
          <w:p w14:paraId="5A012DBD">
            <w:pPr>
              <w:widowControl/>
              <w:spacing w:line="240" w:lineRule="exact"/>
              <w:ind w:firstLine="377"/>
              <w:jc w:val="center"/>
              <w:rPr>
                <w:kern w:val="0"/>
                <w:sz w:val="21"/>
                <w:szCs w:val="21"/>
              </w:rPr>
            </w:pPr>
            <w:r>
              <w:rPr>
                <w:rFonts w:hint="eastAsia"/>
                <w:kern w:val="0"/>
                <w:sz w:val="21"/>
                <w:szCs w:val="21"/>
              </w:rPr>
              <w:t>1</w:t>
            </w:r>
          </w:p>
        </w:tc>
      </w:tr>
      <w:tr w14:paraId="4E96FA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32AE0691">
            <w:pPr>
              <w:widowControl/>
              <w:spacing w:line="240" w:lineRule="exact"/>
              <w:ind w:firstLine="377"/>
              <w:jc w:val="center"/>
              <w:rPr>
                <w:kern w:val="0"/>
                <w:sz w:val="21"/>
                <w:szCs w:val="21"/>
              </w:rPr>
            </w:pPr>
            <w:r>
              <w:rPr>
                <w:rFonts w:hint="eastAsia"/>
                <w:kern w:val="0"/>
                <w:sz w:val="21"/>
                <w:szCs w:val="21"/>
              </w:rPr>
              <w:t>3.4</w:t>
            </w:r>
          </w:p>
        </w:tc>
        <w:tc>
          <w:tcPr>
            <w:tcW w:w="2132" w:type="dxa"/>
          </w:tcPr>
          <w:p w14:paraId="593EC968">
            <w:pPr>
              <w:widowControl/>
              <w:spacing w:line="240" w:lineRule="exact"/>
              <w:ind w:firstLine="377"/>
              <w:jc w:val="center"/>
              <w:rPr>
                <w:kern w:val="0"/>
                <w:sz w:val="21"/>
                <w:szCs w:val="21"/>
              </w:rPr>
            </w:pPr>
            <w:r>
              <w:rPr>
                <w:rFonts w:hint="eastAsia"/>
                <w:kern w:val="0"/>
                <w:sz w:val="21"/>
                <w:szCs w:val="21"/>
              </w:rPr>
              <w:t>自航式收油机</w:t>
            </w:r>
          </w:p>
        </w:tc>
        <w:tc>
          <w:tcPr>
            <w:tcW w:w="2132" w:type="dxa"/>
          </w:tcPr>
          <w:p w14:paraId="58C187BA">
            <w:pPr>
              <w:widowControl/>
              <w:spacing w:line="240" w:lineRule="exact"/>
              <w:ind w:firstLine="377"/>
              <w:jc w:val="center"/>
              <w:rPr>
                <w:kern w:val="0"/>
                <w:sz w:val="21"/>
                <w:szCs w:val="21"/>
              </w:rPr>
            </w:pPr>
            <w:r>
              <w:rPr>
                <w:kern w:val="0"/>
                <w:sz w:val="21"/>
                <w:szCs w:val="21"/>
              </w:rPr>
              <w:t>套</w:t>
            </w:r>
          </w:p>
        </w:tc>
        <w:tc>
          <w:tcPr>
            <w:tcW w:w="2132" w:type="dxa"/>
          </w:tcPr>
          <w:p w14:paraId="1380C875">
            <w:pPr>
              <w:widowControl/>
              <w:spacing w:line="240" w:lineRule="exact"/>
              <w:ind w:firstLine="377"/>
              <w:jc w:val="center"/>
              <w:rPr>
                <w:kern w:val="0"/>
                <w:sz w:val="21"/>
                <w:szCs w:val="21"/>
              </w:rPr>
            </w:pPr>
            <w:r>
              <w:rPr>
                <w:rFonts w:hint="eastAsia"/>
                <w:kern w:val="0"/>
                <w:sz w:val="21"/>
                <w:szCs w:val="21"/>
              </w:rPr>
              <w:t>1</w:t>
            </w:r>
          </w:p>
        </w:tc>
      </w:tr>
      <w:tr w14:paraId="51C704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4"/>
          </w:tcPr>
          <w:p w14:paraId="11219E6A">
            <w:pPr>
              <w:widowControl/>
              <w:spacing w:line="240" w:lineRule="exact"/>
              <w:ind w:firstLine="377"/>
              <w:jc w:val="center"/>
              <w:rPr>
                <w:kern w:val="0"/>
                <w:sz w:val="21"/>
                <w:szCs w:val="21"/>
              </w:rPr>
            </w:pPr>
            <w:r>
              <w:rPr>
                <w:kern w:val="0"/>
                <w:sz w:val="21"/>
                <w:szCs w:val="21"/>
              </w:rPr>
              <w:t>四、油污储运设备</w:t>
            </w:r>
          </w:p>
        </w:tc>
      </w:tr>
      <w:tr w14:paraId="7AD85B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5B085558">
            <w:pPr>
              <w:widowControl/>
              <w:spacing w:line="240" w:lineRule="exact"/>
              <w:ind w:firstLine="377"/>
              <w:jc w:val="center"/>
              <w:rPr>
                <w:kern w:val="0"/>
                <w:sz w:val="21"/>
                <w:szCs w:val="21"/>
              </w:rPr>
            </w:pPr>
            <w:r>
              <w:rPr>
                <w:rFonts w:hint="eastAsia"/>
                <w:kern w:val="0"/>
                <w:sz w:val="21"/>
                <w:szCs w:val="21"/>
              </w:rPr>
              <w:t>4.1</w:t>
            </w:r>
          </w:p>
        </w:tc>
        <w:tc>
          <w:tcPr>
            <w:tcW w:w="2132" w:type="dxa"/>
          </w:tcPr>
          <w:p w14:paraId="69BF0328">
            <w:pPr>
              <w:widowControl/>
              <w:spacing w:line="240" w:lineRule="exact"/>
              <w:ind w:firstLine="377"/>
              <w:jc w:val="center"/>
              <w:rPr>
                <w:kern w:val="0"/>
                <w:sz w:val="21"/>
                <w:szCs w:val="21"/>
              </w:rPr>
            </w:pPr>
            <w:r>
              <w:rPr>
                <w:rFonts w:hint="eastAsia"/>
                <w:kern w:val="0"/>
                <w:sz w:val="21"/>
                <w:szCs w:val="21"/>
              </w:rPr>
              <w:t>轻便储油囊</w:t>
            </w:r>
          </w:p>
        </w:tc>
        <w:tc>
          <w:tcPr>
            <w:tcW w:w="2132" w:type="dxa"/>
          </w:tcPr>
          <w:p w14:paraId="5FE90ED7">
            <w:pPr>
              <w:widowControl/>
              <w:spacing w:line="240" w:lineRule="exact"/>
              <w:ind w:firstLine="377"/>
              <w:jc w:val="center"/>
              <w:rPr>
                <w:kern w:val="0"/>
                <w:sz w:val="21"/>
                <w:szCs w:val="21"/>
              </w:rPr>
            </w:pPr>
            <w:r>
              <w:rPr>
                <w:kern w:val="0"/>
                <w:sz w:val="21"/>
                <w:szCs w:val="21"/>
              </w:rPr>
              <w:t>个</w:t>
            </w:r>
          </w:p>
        </w:tc>
        <w:tc>
          <w:tcPr>
            <w:tcW w:w="2132" w:type="dxa"/>
          </w:tcPr>
          <w:p w14:paraId="0AEB2ADF">
            <w:pPr>
              <w:widowControl/>
              <w:spacing w:line="240" w:lineRule="exact"/>
              <w:ind w:firstLine="377"/>
              <w:jc w:val="center"/>
              <w:rPr>
                <w:kern w:val="0"/>
                <w:sz w:val="21"/>
                <w:szCs w:val="21"/>
              </w:rPr>
            </w:pPr>
            <w:r>
              <w:rPr>
                <w:rFonts w:hint="eastAsia"/>
                <w:kern w:val="0"/>
                <w:sz w:val="21"/>
                <w:szCs w:val="21"/>
              </w:rPr>
              <w:t>2</w:t>
            </w:r>
          </w:p>
        </w:tc>
      </w:tr>
      <w:tr w14:paraId="09104B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4"/>
          </w:tcPr>
          <w:p w14:paraId="593CB59E">
            <w:pPr>
              <w:widowControl/>
              <w:spacing w:line="240" w:lineRule="exact"/>
              <w:ind w:firstLine="377"/>
              <w:jc w:val="center"/>
              <w:rPr>
                <w:kern w:val="0"/>
                <w:sz w:val="21"/>
                <w:szCs w:val="21"/>
              </w:rPr>
            </w:pPr>
            <w:r>
              <w:rPr>
                <w:kern w:val="0"/>
                <w:sz w:val="21"/>
                <w:szCs w:val="21"/>
              </w:rPr>
              <w:t>五、溢油分散物质</w:t>
            </w:r>
          </w:p>
        </w:tc>
      </w:tr>
      <w:tr w14:paraId="1CEC15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512318A9">
            <w:pPr>
              <w:widowControl/>
              <w:spacing w:line="240" w:lineRule="exact"/>
              <w:ind w:firstLine="377"/>
              <w:jc w:val="center"/>
              <w:rPr>
                <w:kern w:val="0"/>
                <w:sz w:val="21"/>
                <w:szCs w:val="21"/>
              </w:rPr>
            </w:pPr>
            <w:r>
              <w:rPr>
                <w:rFonts w:hint="eastAsia"/>
                <w:kern w:val="0"/>
                <w:sz w:val="21"/>
                <w:szCs w:val="21"/>
              </w:rPr>
              <w:t>5.1</w:t>
            </w:r>
          </w:p>
        </w:tc>
        <w:tc>
          <w:tcPr>
            <w:tcW w:w="2132" w:type="dxa"/>
          </w:tcPr>
          <w:p w14:paraId="4A75D965">
            <w:pPr>
              <w:widowControl/>
              <w:spacing w:line="240" w:lineRule="exact"/>
              <w:ind w:firstLine="377"/>
              <w:jc w:val="center"/>
              <w:rPr>
                <w:kern w:val="0"/>
                <w:sz w:val="21"/>
                <w:szCs w:val="21"/>
              </w:rPr>
            </w:pPr>
            <w:r>
              <w:rPr>
                <w:rFonts w:hint="eastAsia"/>
                <w:kern w:val="0"/>
                <w:sz w:val="21"/>
                <w:szCs w:val="21"/>
              </w:rPr>
              <w:t>浓缩分散剂</w:t>
            </w:r>
          </w:p>
        </w:tc>
        <w:tc>
          <w:tcPr>
            <w:tcW w:w="2132" w:type="dxa"/>
          </w:tcPr>
          <w:p w14:paraId="2621D4E7">
            <w:pPr>
              <w:widowControl/>
              <w:spacing w:line="240" w:lineRule="exact"/>
              <w:ind w:firstLine="377"/>
              <w:jc w:val="center"/>
              <w:rPr>
                <w:kern w:val="0"/>
                <w:sz w:val="21"/>
                <w:szCs w:val="21"/>
              </w:rPr>
            </w:pPr>
            <w:r>
              <w:rPr>
                <w:kern w:val="0"/>
                <w:sz w:val="21"/>
                <w:szCs w:val="21"/>
              </w:rPr>
              <w:t>吨</w:t>
            </w:r>
          </w:p>
        </w:tc>
        <w:tc>
          <w:tcPr>
            <w:tcW w:w="2132" w:type="dxa"/>
          </w:tcPr>
          <w:p w14:paraId="7AF17A41">
            <w:pPr>
              <w:widowControl/>
              <w:spacing w:line="240" w:lineRule="exact"/>
              <w:ind w:firstLine="377"/>
              <w:jc w:val="center"/>
              <w:rPr>
                <w:kern w:val="0"/>
                <w:sz w:val="21"/>
                <w:szCs w:val="21"/>
              </w:rPr>
            </w:pPr>
            <w:r>
              <w:rPr>
                <w:rFonts w:hint="eastAsia"/>
                <w:kern w:val="0"/>
                <w:sz w:val="21"/>
                <w:szCs w:val="21"/>
              </w:rPr>
              <w:t>4</w:t>
            </w:r>
          </w:p>
        </w:tc>
      </w:tr>
      <w:tr w14:paraId="356269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280AAC88">
            <w:pPr>
              <w:widowControl/>
              <w:spacing w:line="240" w:lineRule="exact"/>
              <w:ind w:firstLine="377"/>
              <w:jc w:val="center"/>
              <w:rPr>
                <w:kern w:val="0"/>
                <w:sz w:val="21"/>
                <w:szCs w:val="21"/>
              </w:rPr>
            </w:pPr>
            <w:r>
              <w:rPr>
                <w:rFonts w:hint="eastAsia"/>
                <w:kern w:val="0"/>
                <w:sz w:val="21"/>
                <w:szCs w:val="21"/>
              </w:rPr>
              <w:t>5.2</w:t>
            </w:r>
          </w:p>
        </w:tc>
        <w:tc>
          <w:tcPr>
            <w:tcW w:w="2132" w:type="dxa"/>
          </w:tcPr>
          <w:p w14:paraId="3C89B213">
            <w:pPr>
              <w:widowControl/>
              <w:spacing w:line="240" w:lineRule="exact"/>
              <w:ind w:firstLine="377"/>
              <w:jc w:val="center"/>
              <w:rPr>
                <w:kern w:val="0"/>
                <w:sz w:val="21"/>
                <w:szCs w:val="21"/>
              </w:rPr>
            </w:pPr>
            <w:r>
              <w:rPr>
                <w:rFonts w:hint="eastAsia"/>
                <w:kern w:val="0"/>
                <w:sz w:val="21"/>
                <w:szCs w:val="21"/>
              </w:rPr>
              <w:t>船用喷洒装置</w:t>
            </w:r>
          </w:p>
        </w:tc>
        <w:tc>
          <w:tcPr>
            <w:tcW w:w="2132" w:type="dxa"/>
          </w:tcPr>
          <w:p w14:paraId="0981667C">
            <w:pPr>
              <w:widowControl/>
              <w:spacing w:line="240" w:lineRule="exact"/>
              <w:ind w:firstLine="377"/>
              <w:jc w:val="center"/>
              <w:rPr>
                <w:kern w:val="0"/>
                <w:sz w:val="21"/>
                <w:szCs w:val="21"/>
              </w:rPr>
            </w:pPr>
            <w:r>
              <w:rPr>
                <w:kern w:val="0"/>
                <w:sz w:val="21"/>
                <w:szCs w:val="21"/>
              </w:rPr>
              <w:t>套</w:t>
            </w:r>
          </w:p>
        </w:tc>
        <w:tc>
          <w:tcPr>
            <w:tcW w:w="2132" w:type="dxa"/>
          </w:tcPr>
          <w:p w14:paraId="444565E2">
            <w:pPr>
              <w:widowControl/>
              <w:spacing w:line="240" w:lineRule="exact"/>
              <w:ind w:firstLine="377"/>
              <w:jc w:val="center"/>
              <w:rPr>
                <w:kern w:val="0"/>
                <w:sz w:val="21"/>
                <w:szCs w:val="21"/>
              </w:rPr>
            </w:pPr>
            <w:r>
              <w:rPr>
                <w:rFonts w:hint="eastAsia"/>
                <w:kern w:val="0"/>
                <w:sz w:val="21"/>
                <w:szCs w:val="21"/>
              </w:rPr>
              <w:t>2</w:t>
            </w:r>
          </w:p>
        </w:tc>
      </w:tr>
      <w:tr w14:paraId="13AED5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4"/>
          </w:tcPr>
          <w:p w14:paraId="1B8335AC">
            <w:pPr>
              <w:widowControl/>
              <w:spacing w:line="240" w:lineRule="exact"/>
              <w:ind w:firstLine="377"/>
              <w:jc w:val="center"/>
              <w:rPr>
                <w:kern w:val="0"/>
                <w:sz w:val="21"/>
                <w:szCs w:val="21"/>
              </w:rPr>
            </w:pPr>
            <w:r>
              <w:rPr>
                <w:kern w:val="0"/>
                <w:sz w:val="21"/>
                <w:szCs w:val="21"/>
              </w:rPr>
              <w:t>六、溢油吸附材料</w:t>
            </w:r>
          </w:p>
        </w:tc>
      </w:tr>
      <w:tr w14:paraId="2FA143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354C52BE">
            <w:pPr>
              <w:widowControl/>
              <w:spacing w:line="240" w:lineRule="exact"/>
              <w:ind w:firstLine="377"/>
              <w:jc w:val="center"/>
              <w:rPr>
                <w:kern w:val="0"/>
                <w:sz w:val="21"/>
                <w:szCs w:val="21"/>
              </w:rPr>
            </w:pPr>
            <w:r>
              <w:rPr>
                <w:rFonts w:hint="eastAsia"/>
                <w:kern w:val="0"/>
                <w:sz w:val="21"/>
                <w:szCs w:val="21"/>
              </w:rPr>
              <w:t>6.1</w:t>
            </w:r>
          </w:p>
        </w:tc>
        <w:tc>
          <w:tcPr>
            <w:tcW w:w="2132" w:type="dxa"/>
          </w:tcPr>
          <w:p w14:paraId="4C0F0AE1">
            <w:pPr>
              <w:widowControl/>
              <w:spacing w:line="240" w:lineRule="exact"/>
              <w:ind w:firstLine="377"/>
              <w:jc w:val="center"/>
              <w:rPr>
                <w:kern w:val="0"/>
                <w:sz w:val="21"/>
                <w:szCs w:val="21"/>
              </w:rPr>
            </w:pPr>
            <w:r>
              <w:rPr>
                <w:rFonts w:hint="eastAsia"/>
                <w:kern w:val="0"/>
                <w:sz w:val="21"/>
                <w:szCs w:val="21"/>
              </w:rPr>
              <w:t>吸油钻</w:t>
            </w:r>
          </w:p>
        </w:tc>
        <w:tc>
          <w:tcPr>
            <w:tcW w:w="2132" w:type="dxa"/>
          </w:tcPr>
          <w:p w14:paraId="78213AFE">
            <w:pPr>
              <w:widowControl/>
              <w:spacing w:line="240" w:lineRule="exact"/>
              <w:ind w:firstLine="377"/>
              <w:jc w:val="center"/>
              <w:rPr>
                <w:kern w:val="0"/>
                <w:sz w:val="21"/>
                <w:szCs w:val="21"/>
              </w:rPr>
            </w:pPr>
            <w:r>
              <w:rPr>
                <w:kern w:val="0"/>
                <w:sz w:val="21"/>
                <w:szCs w:val="21"/>
              </w:rPr>
              <w:t>吨</w:t>
            </w:r>
          </w:p>
        </w:tc>
        <w:tc>
          <w:tcPr>
            <w:tcW w:w="2132" w:type="dxa"/>
          </w:tcPr>
          <w:p w14:paraId="2DE119A3">
            <w:pPr>
              <w:widowControl/>
              <w:spacing w:line="240" w:lineRule="exact"/>
              <w:ind w:firstLine="377"/>
              <w:jc w:val="center"/>
              <w:rPr>
                <w:kern w:val="0"/>
                <w:sz w:val="21"/>
                <w:szCs w:val="21"/>
              </w:rPr>
            </w:pPr>
            <w:r>
              <w:rPr>
                <w:rFonts w:hint="eastAsia"/>
                <w:kern w:val="0"/>
                <w:sz w:val="21"/>
                <w:szCs w:val="21"/>
              </w:rPr>
              <w:t>5</w:t>
            </w:r>
          </w:p>
        </w:tc>
      </w:tr>
      <w:tr w14:paraId="410A36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58A0C16F">
            <w:pPr>
              <w:widowControl/>
              <w:spacing w:line="240" w:lineRule="exact"/>
              <w:ind w:firstLine="377"/>
              <w:jc w:val="center"/>
              <w:rPr>
                <w:kern w:val="0"/>
                <w:sz w:val="21"/>
                <w:szCs w:val="21"/>
              </w:rPr>
            </w:pPr>
            <w:r>
              <w:rPr>
                <w:rFonts w:hint="eastAsia"/>
                <w:kern w:val="0"/>
                <w:sz w:val="21"/>
                <w:szCs w:val="21"/>
              </w:rPr>
              <w:t>6.2</w:t>
            </w:r>
          </w:p>
        </w:tc>
        <w:tc>
          <w:tcPr>
            <w:tcW w:w="2132" w:type="dxa"/>
          </w:tcPr>
          <w:p w14:paraId="2A29A9F3">
            <w:pPr>
              <w:widowControl/>
              <w:spacing w:line="240" w:lineRule="exact"/>
              <w:ind w:firstLine="377"/>
              <w:jc w:val="center"/>
              <w:rPr>
                <w:kern w:val="0"/>
                <w:sz w:val="21"/>
                <w:szCs w:val="21"/>
              </w:rPr>
            </w:pPr>
            <w:r>
              <w:rPr>
                <w:rFonts w:hint="eastAsia"/>
                <w:kern w:val="0"/>
                <w:sz w:val="21"/>
                <w:szCs w:val="21"/>
              </w:rPr>
              <w:t>吸油拖栏</w:t>
            </w:r>
          </w:p>
        </w:tc>
        <w:tc>
          <w:tcPr>
            <w:tcW w:w="2132" w:type="dxa"/>
          </w:tcPr>
          <w:p w14:paraId="1B6994F7">
            <w:pPr>
              <w:widowControl/>
              <w:spacing w:line="240" w:lineRule="exact"/>
              <w:ind w:firstLine="377"/>
              <w:jc w:val="center"/>
              <w:rPr>
                <w:kern w:val="0"/>
                <w:sz w:val="21"/>
                <w:szCs w:val="21"/>
              </w:rPr>
            </w:pPr>
            <w:r>
              <w:rPr>
                <w:kern w:val="0"/>
                <w:sz w:val="21"/>
                <w:szCs w:val="21"/>
              </w:rPr>
              <w:t>套</w:t>
            </w:r>
          </w:p>
        </w:tc>
        <w:tc>
          <w:tcPr>
            <w:tcW w:w="2132" w:type="dxa"/>
          </w:tcPr>
          <w:p w14:paraId="3C84785C">
            <w:pPr>
              <w:widowControl/>
              <w:spacing w:line="240" w:lineRule="exact"/>
              <w:ind w:firstLine="377"/>
              <w:jc w:val="center"/>
              <w:rPr>
                <w:kern w:val="0"/>
                <w:sz w:val="21"/>
                <w:szCs w:val="21"/>
              </w:rPr>
            </w:pPr>
            <w:r>
              <w:rPr>
                <w:rFonts w:hint="eastAsia"/>
                <w:kern w:val="0"/>
                <w:sz w:val="21"/>
                <w:szCs w:val="21"/>
              </w:rPr>
              <w:t>400</w:t>
            </w:r>
          </w:p>
        </w:tc>
      </w:tr>
      <w:tr w14:paraId="106023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4"/>
          </w:tcPr>
          <w:p w14:paraId="3FE6B2A4">
            <w:pPr>
              <w:widowControl/>
              <w:spacing w:line="240" w:lineRule="exact"/>
              <w:ind w:firstLine="377"/>
              <w:jc w:val="center"/>
              <w:rPr>
                <w:kern w:val="0"/>
                <w:sz w:val="21"/>
                <w:szCs w:val="21"/>
              </w:rPr>
            </w:pPr>
            <w:r>
              <w:rPr>
                <w:kern w:val="0"/>
                <w:sz w:val="21"/>
                <w:szCs w:val="21"/>
              </w:rPr>
              <w:t>七、配套设施</w:t>
            </w:r>
          </w:p>
        </w:tc>
      </w:tr>
      <w:tr w14:paraId="67F3DC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534F3FF2">
            <w:pPr>
              <w:widowControl/>
              <w:spacing w:line="240" w:lineRule="exact"/>
              <w:ind w:firstLine="377"/>
              <w:jc w:val="center"/>
              <w:rPr>
                <w:kern w:val="0"/>
                <w:sz w:val="21"/>
                <w:szCs w:val="21"/>
              </w:rPr>
            </w:pPr>
            <w:r>
              <w:rPr>
                <w:rFonts w:hint="eastAsia"/>
                <w:kern w:val="0"/>
                <w:sz w:val="21"/>
                <w:szCs w:val="21"/>
              </w:rPr>
              <w:t>7.1</w:t>
            </w:r>
          </w:p>
        </w:tc>
        <w:tc>
          <w:tcPr>
            <w:tcW w:w="2132" w:type="dxa"/>
          </w:tcPr>
          <w:p w14:paraId="225502A1">
            <w:pPr>
              <w:widowControl/>
              <w:spacing w:line="240" w:lineRule="exact"/>
              <w:ind w:firstLine="377"/>
              <w:jc w:val="center"/>
              <w:rPr>
                <w:kern w:val="0"/>
                <w:sz w:val="21"/>
                <w:szCs w:val="21"/>
              </w:rPr>
            </w:pPr>
            <w:r>
              <w:rPr>
                <w:rFonts w:hint="eastAsia"/>
                <w:kern w:val="0"/>
                <w:sz w:val="21"/>
                <w:szCs w:val="21"/>
              </w:rPr>
              <w:t>高压热水清洗机</w:t>
            </w:r>
          </w:p>
        </w:tc>
        <w:tc>
          <w:tcPr>
            <w:tcW w:w="2132" w:type="dxa"/>
          </w:tcPr>
          <w:p w14:paraId="32529A8E">
            <w:pPr>
              <w:widowControl/>
              <w:spacing w:line="240" w:lineRule="exact"/>
              <w:ind w:firstLine="377"/>
              <w:jc w:val="center"/>
              <w:rPr>
                <w:kern w:val="0"/>
                <w:sz w:val="21"/>
                <w:szCs w:val="21"/>
              </w:rPr>
            </w:pPr>
            <w:r>
              <w:rPr>
                <w:kern w:val="0"/>
                <w:sz w:val="21"/>
                <w:szCs w:val="21"/>
              </w:rPr>
              <w:t>台</w:t>
            </w:r>
          </w:p>
        </w:tc>
        <w:tc>
          <w:tcPr>
            <w:tcW w:w="2132" w:type="dxa"/>
          </w:tcPr>
          <w:p w14:paraId="25FFF8AD">
            <w:pPr>
              <w:widowControl/>
              <w:spacing w:line="240" w:lineRule="exact"/>
              <w:ind w:firstLine="377"/>
              <w:jc w:val="center"/>
              <w:rPr>
                <w:kern w:val="0"/>
                <w:sz w:val="21"/>
                <w:szCs w:val="21"/>
              </w:rPr>
            </w:pPr>
            <w:r>
              <w:rPr>
                <w:rFonts w:hint="eastAsia"/>
                <w:kern w:val="0"/>
                <w:sz w:val="21"/>
                <w:szCs w:val="21"/>
              </w:rPr>
              <w:t>2</w:t>
            </w:r>
          </w:p>
        </w:tc>
      </w:tr>
      <w:tr w14:paraId="414E86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115C9B7E">
            <w:pPr>
              <w:widowControl/>
              <w:spacing w:line="240" w:lineRule="exact"/>
              <w:ind w:firstLine="377"/>
              <w:jc w:val="center"/>
              <w:rPr>
                <w:kern w:val="0"/>
                <w:sz w:val="21"/>
                <w:szCs w:val="21"/>
              </w:rPr>
            </w:pPr>
            <w:r>
              <w:rPr>
                <w:rFonts w:hint="eastAsia"/>
                <w:kern w:val="0"/>
                <w:sz w:val="21"/>
                <w:szCs w:val="21"/>
              </w:rPr>
              <w:t>7.2</w:t>
            </w:r>
          </w:p>
        </w:tc>
        <w:tc>
          <w:tcPr>
            <w:tcW w:w="2132" w:type="dxa"/>
          </w:tcPr>
          <w:p w14:paraId="28C5EC58">
            <w:pPr>
              <w:widowControl/>
              <w:spacing w:line="240" w:lineRule="exact"/>
              <w:ind w:firstLine="377"/>
              <w:jc w:val="center"/>
              <w:rPr>
                <w:kern w:val="0"/>
                <w:sz w:val="21"/>
                <w:szCs w:val="21"/>
              </w:rPr>
            </w:pPr>
            <w:r>
              <w:rPr>
                <w:rFonts w:hint="eastAsia"/>
                <w:kern w:val="0"/>
                <w:sz w:val="21"/>
                <w:szCs w:val="21"/>
              </w:rPr>
              <w:t>防护用品1</w:t>
            </w:r>
          </w:p>
        </w:tc>
        <w:tc>
          <w:tcPr>
            <w:tcW w:w="2132" w:type="dxa"/>
          </w:tcPr>
          <w:p w14:paraId="4C08AEF4">
            <w:pPr>
              <w:widowControl/>
              <w:spacing w:line="240" w:lineRule="exact"/>
              <w:ind w:firstLine="377"/>
              <w:jc w:val="center"/>
              <w:rPr>
                <w:kern w:val="0"/>
                <w:sz w:val="21"/>
                <w:szCs w:val="21"/>
              </w:rPr>
            </w:pPr>
            <w:r>
              <w:rPr>
                <w:kern w:val="0"/>
                <w:sz w:val="21"/>
                <w:szCs w:val="21"/>
              </w:rPr>
              <w:t>套</w:t>
            </w:r>
          </w:p>
        </w:tc>
        <w:tc>
          <w:tcPr>
            <w:tcW w:w="2132" w:type="dxa"/>
          </w:tcPr>
          <w:p w14:paraId="042CAF52">
            <w:pPr>
              <w:widowControl/>
              <w:spacing w:line="240" w:lineRule="exact"/>
              <w:ind w:firstLine="377"/>
              <w:jc w:val="center"/>
              <w:rPr>
                <w:kern w:val="0"/>
                <w:sz w:val="21"/>
                <w:szCs w:val="21"/>
              </w:rPr>
            </w:pPr>
            <w:r>
              <w:rPr>
                <w:rFonts w:hint="eastAsia"/>
                <w:kern w:val="0"/>
                <w:sz w:val="21"/>
                <w:szCs w:val="21"/>
              </w:rPr>
              <w:t>20</w:t>
            </w:r>
          </w:p>
        </w:tc>
      </w:tr>
      <w:tr w14:paraId="491316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7C9442CC">
            <w:pPr>
              <w:widowControl/>
              <w:spacing w:line="240" w:lineRule="exact"/>
              <w:ind w:firstLine="377"/>
              <w:jc w:val="center"/>
              <w:rPr>
                <w:kern w:val="0"/>
                <w:sz w:val="21"/>
                <w:szCs w:val="21"/>
              </w:rPr>
            </w:pPr>
            <w:r>
              <w:rPr>
                <w:rFonts w:hint="eastAsia"/>
                <w:kern w:val="0"/>
                <w:sz w:val="21"/>
                <w:szCs w:val="21"/>
              </w:rPr>
              <w:t>7.3</w:t>
            </w:r>
          </w:p>
        </w:tc>
        <w:tc>
          <w:tcPr>
            <w:tcW w:w="2132" w:type="dxa"/>
          </w:tcPr>
          <w:p w14:paraId="5ED37E26">
            <w:pPr>
              <w:widowControl/>
              <w:spacing w:line="240" w:lineRule="exact"/>
              <w:ind w:firstLine="377"/>
              <w:jc w:val="center"/>
              <w:rPr>
                <w:kern w:val="0"/>
                <w:sz w:val="21"/>
                <w:szCs w:val="21"/>
              </w:rPr>
            </w:pPr>
            <w:r>
              <w:rPr>
                <w:rFonts w:hint="eastAsia"/>
                <w:kern w:val="0"/>
                <w:sz w:val="21"/>
                <w:szCs w:val="21"/>
              </w:rPr>
              <w:t>防护用品2</w:t>
            </w:r>
          </w:p>
        </w:tc>
        <w:tc>
          <w:tcPr>
            <w:tcW w:w="2132" w:type="dxa"/>
          </w:tcPr>
          <w:p w14:paraId="729B6353">
            <w:pPr>
              <w:widowControl/>
              <w:spacing w:line="240" w:lineRule="exact"/>
              <w:ind w:firstLine="377"/>
              <w:jc w:val="center"/>
              <w:rPr>
                <w:kern w:val="0"/>
                <w:sz w:val="21"/>
                <w:szCs w:val="21"/>
              </w:rPr>
            </w:pPr>
            <w:r>
              <w:rPr>
                <w:kern w:val="0"/>
                <w:sz w:val="21"/>
                <w:szCs w:val="21"/>
              </w:rPr>
              <w:t>套</w:t>
            </w:r>
          </w:p>
        </w:tc>
        <w:tc>
          <w:tcPr>
            <w:tcW w:w="2132" w:type="dxa"/>
          </w:tcPr>
          <w:p w14:paraId="4E3E5A18">
            <w:pPr>
              <w:widowControl/>
              <w:spacing w:line="240" w:lineRule="exact"/>
              <w:ind w:firstLine="377"/>
              <w:jc w:val="center"/>
              <w:rPr>
                <w:kern w:val="0"/>
                <w:sz w:val="21"/>
                <w:szCs w:val="21"/>
              </w:rPr>
            </w:pPr>
            <w:r>
              <w:rPr>
                <w:rFonts w:hint="eastAsia"/>
                <w:kern w:val="0"/>
                <w:sz w:val="21"/>
                <w:szCs w:val="21"/>
              </w:rPr>
              <w:t>15</w:t>
            </w:r>
          </w:p>
        </w:tc>
      </w:tr>
      <w:tr w14:paraId="1FE624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7C5D6B6A">
            <w:pPr>
              <w:widowControl/>
              <w:spacing w:line="240" w:lineRule="exact"/>
              <w:ind w:firstLine="377"/>
              <w:jc w:val="center"/>
              <w:rPr>
                <w:kern w:val="0"/>
                <w:sz w:val="21"/>
                <w:szCs w:val="21"/>
              </w:rPr>
            </w:pPr>
            <w:r>
              <w:rPr>
                <w:rFonts w:hint="eastAsia"/>
                <w:kern w:val="0"/>
                <w:sz w:val="21"/>
                <w:szCs w:val="21"/>
              </w:rPr>
              <w:t>74</w:t>
            </w:r>
          </w:p>
        </w:tc>
        <w:tc>
          <w:tcPr>
            <w:tcW w:w="2132" w:type="dxa"/>
          </w:tcPr>
          <w:p w14:paraId="26EEB845">
            <w:pPr>
              <w:widowControl/>
              <w:spacing w:line="240" w:lineRule="exact"/>
              <w:ind w:firstLine="377"/>
              <w:jc w:val="center"/>
              <w:rPr>
                <w:kern w:val="0"/>
                <w:sz w:val="21"/>
                <w:szCs w:val="21"/>
              </w:rPr>
            </w:pPr>
            <w:r>
              <w:rPr>
                <w:rFonts w:hint="eastAsia"/>
                <w:kern w:val="0"/>
                <w:sz w:val="21"/>
                <w:szCs w:val="21"/>
              </w:rPr>
              <w:t>后勤保障用品</w:t>
            </w:r>
          </w:p>
        </w:tc>
        <w:tc>
          <w:tcPr>
            <w:tcW w:w="2132" w:type="dxa"/>
          </w:tcPr>
          <w:p w14:paraId="2F200529">
            <w:pPr>
              <w:widowControl/>
              <w:spacing w:line="240" w:lineRule="exact"/>
              <w:ind w:firstLine="377"/>
              <w:jc w:val="center"/>
              <w:rPr>
                <w:kern w:val="0"/>
                <w:sz w:val="21"/>
                <w:szCs w:val="21"/>
              </w:rPr>
            </w:pPr>
            <w:r>
              <w:rPr>
                <w:kern w:val="0"/>
                <w:sz w:val="21"/>
                <w:szCs w:val="21"/>
              </w:rPr>
              <w:t>套</w:t>
            </w:r>
          </w:p>
        </w:tc>
        <w:tc>
          <w:tcPr>
            <w:tcW w:w="2132" w:type="dxa"/>
          </w:tcPr>
          <w:p w14:paraId="7A72C46B">
            <w:pPr>
              <w:widowControl/>
              <w:spacing w:line="240" w:lineRule="exact"/>
              <w:ind w:firstLine="377"/>
              <w:jc w:val="center"/>
              <w:rPr>
                <w:kern w:val="0"/>
                <w:sz w:val="21"/>
                <w:szCs w:val="21"/>
              </w:rPr>
            </w:pPr>
            <w:r>
              <w:rPr>
                <w:rFonts w:hint="eastAsia"/>
                <w:kern w:val="0"/>
                <w:sz w:val="21"/>
                <w:szCs w:val="21"/>
              </w:rPr>
              <w:t>1</w:t>
            </w:r>
          </w:p>
        </w:tc>
      </w:tr>
    </w:tbl>
    <w:p w14:paraId="5B12FE11">
      <w:pPr>
        <w:ind w:firstLine="437"/>
      </w:pPr>
      <w:r>
        <w:rPr>
          <w:rFonts w:hint="eastAsia"/>
        </w:rPr>
        <w:t>③海巡</w:t>
      </w:r>
      <w:r>
        <w:t xml:space="preserve">1002 </w:t>
      </w:r>
    </w:p>
    <w:p w14:paraId="02A9BB87">
      <w:pPr>
        <w:ind w:firstLine="437"/>
      </w:pPr>
      <w:r>
        <w:t>2012</w:t>
      </w:r>
      <w:r>
        <w:rPr>
          <w:rFonts w:hint="eastAsia"/>
        </w:rPr>
        <w:t>年</w:t>
      </w:r>
      <w:r>
        <w:t>4</w:t>
      </w:r>
      <w:r>
        <w:rPr>
          <w:rFonts w:hint="eastAsia"/>
        </w:rPr>
        <w:t>月，交通运输部投资</w:t>
      </w:r>
      <w:r>
        <w:t xml:space="preserve">6500 </w:t>
      </w:r>
      <w:r>
        <w:rPr>
          <w:rFonts w:hint="eastAsia"/>
        </w:rPr>
        <w:t>万元建造的“海巡</w:t>
      </w:r>
      <w:r>
        <w:t>1002</w:t>
      </w:r>
      <w:r>
        <w:rPr>
          <w:rFonts w:hint="eastAsia"/>
        </w:rPr>
        <w:t>”在钦州应急反应基地列编。“海巡</w:t>
      </w:r>
      <w:r>
        <w:t>1002</w:t>
      </w:r>
      <w:r>
        <w:rPr>
          <w:rFonts w:hint="eastAsia"/>
        </w:rPr>
        <w:t>”主要用于广西沿海近岸海域船舶溢油事故的应急处置，包括溢油回收（回收舱舱容</w:t>
      </w:r>
      <w:r>
        <w:t xml:space="preserve">639 </w:t>
      </w:r>
      <w:r>
        <w:rPr>
          <w:rFonts w:hint="eastAsia"/>
        </w:rPr>
        <w:t>m</w:t>
      </w:r>
      <w:r>
        <w:rPr>
          <w:rFonts w:hint="eastAsia"/>
          <w:vertAlign w:val="superscript"/>
        </w:rPr>
        <w:t>3</w:t>
      </w:r>
      <w:r>
        <w:rPr>
          <w:rFonts w:hint="eastAsia"/>
        </w:rPr>
        <w:t>，回收能力</w:t>
      </w:r>
      <w:r>
        <w:t xml:space="preserve">200 </w:t>
      </w:r>
      <w:r>
        <w:rPr>
          <w:rFonts w:hint="eastAsia"/>
        </w:rPr>
        <w:t>m</w:t>
      </w:r>
      <w:r>
        <w:rPr>
          <w:rFonts w:hint="eastAsia"/>
          <w:vertAlign w:val="superscript"/>
        </w:rPr>
        <w:t>3</w:t>
      </w:r>
      <w:r>
        <w:t>/</w:t>
      </w:r>
      <w:r>
        <w:rPr>
          <w:rFonts w:hint="eastAsia"/>
        </w:rPr>
        <w:t>h）、临时储存、处理等，并兼顾溢油围控、消油剂喷洒、应急辅助卸载、溢油监视和重点污染源监护等功能。</w:t>
      </w:r>
    </w:p>
    <w:p w14:paraId="448BEC5B">
      <w:pPr>
        <w:ind w:firstLine="437"/>
      </w:pPr>
      <w:r>
        <w:rPr>
          <w:rFonts w:hint="eastAsia"/>
        </w:rPr>
        <w:t>钦州港辖区现有钦州市桂通船舶服务有限公司、广西鑫丰海洋科技环保有限公司</w:t>
      </w:r>
      <w:r>
        <w:t>2</w:t>
      </w:r>
      <w:r>
        <w:rPr>
          <w:rFonts w:hint="eastAsia"/>
        </w:rPr>
        <w:t>家一级和钦州市苏南船舶服务有限公司</w:t>
      </w:r>
      <w:r>
        <w:t>1</w:t>
      </w:r>
      <w:r>
        <w:rPr>
          <w:rFonts w:hint="eastAsia"/>
        </w:rPr>
        <w:t>家二级经广西海事局备案公布的船舶污染清除作业单位，其作业范围覆盖本项目码头。</w:t>
      </w:r>
    </w:p>
    <w:p w14:paraId="46F72F62">
      <w:pPr>
        <w:ind w:firstLine="437"/>
      </w:pPr>
      <w:r>
        <w:rPr>
          <w:rFonts w:hint="eastAsia"/>
        </w:rPr>
        <w:t>三</w:t>
      </w:r>
      <w:r>
        <w:t>、应急清除能力</w:t>
      </w:r>
    </w:p>
    <w:p w14:paraId="13E1A8A8">
      <w:pPr>
        <w:ind w:firstLine="437"/>
      </w:pPr>
      <w:r>
        <w:rPr>
          <w:rFonts w:hint="eastAsia" w:ascii="宋体" w:hAnsi="宋体"/>
        </w:rPr>
        <w:t>①</w:t>
      </w:r>
      <w:r>
        <w:rPr>
          <w:rFonts w:hint="eastAsia"/>
        </w:rPr>
        <w:t>溢油清除能力</w:t>
      </w:r>
    </w:p>
    <w:p w14:paraId="530FF7A4">
      <w:pPr>
        <w:ind w:firstLine="437"/>
      </w:pPr>
      <w:r>
        <w:rPr>
          <w:rFonts w:hint="eastAsia"/>
        </w:rPr>
        <w:t>钦州现有岸线溢油清除能力达到了5400吨，同时广西区域海域境内还拥有目前世界上最先进的溢油应急回收船——海特191轮。该船配置的收油技术在世界上首次采用，主要包括自动调节流道翼流板、轴流泵舷外排水、动态斜面（DIP）收油及真空泵抽油方式等最先进的回收溢油技术，可一次性回收中高粘度浮油640m</w:t>
      </w:r>
      <w:r>
        <w:rPr>
          <w:rFonts w:hint="eastAsia"/>
          <w:vertAlign w:val="superscript"/>
        </w:rPr>
        <w:t>3</w:t>
      </w:r>
      <w:r>
        <w:rPr>
          <w:rFonts w:hint="eastAsia"/>
        </w:rPr>
        <w:t>，收油效率每小时可达200m</w:t>
      </w:r>
      <w:r>
        <w:rPr>
          <w:rFonts w:hint="eastAsia"/>
          <w:vertAlign w:val="superscript"/>
        </w:rPr>
        <w:t>3</w:t>
      </w:r>
      <w:r>
        <w:rPr>
          <w:rFonts w:hint="eastAsia"/>
        </w:rPr>
        <w:t>。该船采用全方位溢油监视、跟踪、探测雷达系统，能搜索方圆数公里海面溢油；在首、尾甲板配备了大型起吊设备，能直接在船上吊装围油栏等围控设备。</w:t>
      </w:r>
    </w:p>
    <w:p w14:paraId="269C3AC7">
      <w:pPr>
        <w:ind w:firstLine="437"/>
      </w:pPr>
      <w:r>
        <w:rPr>
          <w:rFonts w:hint="eastAsia" w:ascii="宋体" w:hAnsi="宋体"/>
        </w:rPr>
        <w:t>②</w:t>
      </w:r>
      <w:r>
        <w:rPr>
          <w:rFonts w:hint="eastAsia"/>
        </w:rPr>
        <w:t>溢油回收物陆上接收处置能力</w:t>
      </w:r>
    </w:p>
    <w:p w14:paraId="5287A2DB">
      <w:pPr>
        <w:ind w:firstLine="437"/>
      </w:pPr>
      <w:r>
        <w:rPr>
          <w:rFonts w:hint="eastAsia"/>
        </w:rPr>
        <w:t>目前，北部湾港船舶污染清除单位拥有临时贮存能力11847m</w:t>
      </w:r>
      <w:r>
        <w:rPr>
          <w:rFonts w:hint="eastAsia"/>
          <w:vertAlign w:val="superscript"/>
        </w:rPr>
        <w:t>3</w:t>
      </w:r>
      <w:r>
        <w:rPr>
          <w:rFonts w:hint="eastAsia"/>
        </w:rPr>
        <w:t>，钦州中石油10万t原油码头拥有应急贮存能力30000 m</w:t>
      </w:r>
      <w:r>
        <w:rPr>
          <w:rFonts w:hint="eastAsia"/>
          <w:vertAlign w:val="superscript"/>
        </w:rPr>
        <w:t>3</w:t>
      </w:r>
      <w:r>
        <w:rPr>
          <w:rFonts w:hint="eastAsia"/>
        </w:rPr>
        <w:t>，离港区不远的中石油钦州炼油厂和即将建成的钦州30万t原油码头应急贮存能力也有数万立方米，总体上可满足应急接收需求。</w:t>
      </w:r>
    </w:p>
    <w:p w14:paraId="387F9F19">
      <w:pPr>
        <w:ind w:firstLine="437"/>
      </w:pPr>
      <w:r>
        <w:rPr>
          <w:rFonts w:hint="eastAsia"/>
        </w:rPr>
        <w:t>四、应急队伍</w:t>
      </w:r>
    </w:p>
    <w:p w14:paraId="13075F5F">
      <w:pPr>
        <w:ind w:firstLine="437"/>
      </w:pPr>
      <w:r>
        <w:rPr>
          <w:rFonts w:hint="eastAsia" w:ascii="宋体" w:hAnsi="宋体"/>
        </w:rPr>
        <w:t>①</w:t>
      </w:r>
      <w:r>
        <w:rPr>
          <w:rFonts w:hint="eastAsia"/>
        </w:rPr>
        <w:t>省级和市级溢油应急组织指挥队伍目前广西建有溢油应急处置专家库，共有专家47人；自治区及沿海地市海上搜救中心共有船舶污染应急高级指挥人员2人，现场指挥11人。</w:t>
      </w:r>
    </w:p>
    <w:p w14:paraId="1CE27876">
      <w:pPr>
        <w:ind w:firstLine="437"/>
      </w:pPr>
      <w:r>
        <w:rPr>
          <w:rFonts w:hint="eastAsia" w:ascii="宋体" w:hAnsi="宋体"/>
        </w:rPr>
        <w:t>②</w:t>
      </w:r>
      <w:r>
        <w:rPr>
          <w:rFonts w:hint="eastAsia"/>
        </w:rPr>
        <w:t>应急清除队伍</w:t>
      </w:r>
    </w:p>
    <w:p w14:paraId="3733FC24">
      <w:pPr>
        <w:ind w:firstLine="437"/>
      </w:pPr>
      <w:r>
        <w:rPr>
          <w:rFonts w:hint="eastAsia"/>
        </w:rPr>
        <w:t>地方专业应急队伍来自广西 8 家船舶污染清除单位，现有专业应急人员237人；兼职应急队伍来自港口码头特别是油码头的员工。建议规划运营单位应建设溢油应急队伍，确保专业力量承担溢油应急设备物资保养、维护，以及应急处置工作。</w:t>
      </w:r>
    </w:p>
    <w:p w14:paraId="605CD089">
      <w:pPr>
        <w:ind w:firstLine="437"/>
      </w:pPr>
      <w:r>
        <w:rPr>
          <w:rFonts w:hint="eastAsia" w:ascii="宋体" w:hAnsi="宋体"/>
        </w:rPr>
        <w:t>③</w:t>
      </w:r>
      <w:r>
        <w:rPr>
          <w:rFonts w:hint="eastAsia"/>
        </w:rPr>
        <w:t>应急演习</w:t>
      </w:r>
    </w:p>
    <w:p w14:paraId="63B90157">
      <w:pPr>
        <w:ind w:firstLine="437"/>
      </w:pPr>
      <w:r>
        <w:rPr>
          <w:rFonts w:hint="eastAsia"/>
        </w:rPr>
        <w:t>每年企业、码头组织开展溢油应急演练。</w:t>
      </w:r>
    </w:p>
    <w:p w14:paraId="33D57032">
      <w:pPr>
        <w:ind w:firstLine="437"/>
        <w:sectPr>
          <w:pgSz w:w="11907" w:h="16840"/>
          <w:pgMar w:top="1440" w:right="1514" w:bottom="1440" w:left="1797" w:header="992" w:footer="851" w:gutter="284"/>
          <w:pgNumType w:fmt="numberInDash"/>
          <w:cols w:space="425" w:num="1"/>
          <w:docGrid w:type="linesAndChars" w:linePitch="465" w:charSpace="-4355"/>
        </w:sectPr>
      </w:pPr>
    </w:p>
    <w:p w14:paraId="71914965">
      <w:pPr>
        <w:pStyle w:val="7"/>
      </w:pPr>
      <w:bookmarkStart w:id="616" w:name="_Toc247517371"/>
      <w:bookmarkStart w:id="617" w:name="_Toc342725948"/>
      <w:bookmarkStart w:id="618" w:name="_Toc247517568"/>
      <w:bookmarkStart w:id="619" w:name="_Toc232154545"/>
      <w:bookmarkStart w:id="620" w:name="_Toc247517495"/>
      <w:r>
        <w:rPr>
          <w:rFonts w:hint="eastAsia"/>
        </w:rPr>
        <w:t>广西船舶污染应急救援物资储备</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79"/>
        <w:gridCol w:w="897"/>
        <w:gridCol w:w="859"/>
        <w:gridCol w:w="1100"/>
        <w:gridCol w:w="940"/>
        <w:gridCol w:w="940"/>
        <w:gridCol w:w="938"/>
        <w:gridCol w:w="1105"/>
        <w:gridCol w:w="940"/>
        <w:gridCol w:w="1060"/>
        <w:gridCol w:w="940"/>
        <w:gridCol w:w="578"/>
        <w:gridCol w:w="940"/>
        <w:gridCol w:w="1020"/>
        <w:gridCol w:w="940"/>
      </w:tblGrid>
      <w:tr w14:paraId="3EFC0F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0" w:type="auto"/>
            <w:vAlign w:val="center"/>
          </w:tcPr>
          <w:p w14:paraId="6DB99E3A">
            <w:pPr>
              <w:widowControl/>
              <w:spacing w:line="240" w:lineRule="exact"/>
              <w:ind w:firstLine="0" w:firstLineChars="0"/>
              <w:jc w:val="center"/>
              <w:rPr>
                <w:kern w:val="0"/>
                <w:sz w:val="21"/>
                <w:szCs w:val="21"/>
              </w:rPr>
            </w:pPr>
            <w:r>
              <w:rPr>
                <w:kern w:val="0"/>
                <w:sz w:val="21"/>
                <w:szCs w:val="21"/>
              </w:rPr>
              <w:t>单位名称</w:t>
            </w:r>
          </w:p>
        </w:tc>
        <w:tc>
          <w:tcPr>
            <w:tcW w:w="0" w:type="auto"/>
            <w:vAlign w:val="center"/>
          </w:tcPr>
          <w:p w14:paraId="04F7FEB3">
            <w:pPr>
              <w:widowControl/>
              <w:spacing w:line="240" w:lineRule="exact"/>
              <w:ind w:firstLine="0" w:firstLineChars="0"/>
              <w:jc w:val="center"/>
              <w:rPr>
                <w:kern w:val="0"/>
                <w:sz w:val="21"/>
                <w:szCs w:val="21"/>
              </w:rPr>
            </w:pPr>
            <w:r>
              <w:rPr>
                <w:kern w:val="0"/>
                <w:sz w:val="21"/>
                <w:szCs w:val="21"/>
              </w:rPr>
              <w:t>围油栏</w:t>
            </w:r>
            <w:r>
              <w:rPr>
                <w:rFonts w:hint="eastAsia"/>
                <w:kern w:val="0"/>
                <w:sz w:val="21"/>
                <w:szCs w:val="21"/>
              </w:rPr>
              <w:t>（</w:t>
            </w:r>
            <w:r>
              <w:rPr>
                <w:kern w:val="0"/>
                <w:sz w:val="21"/>
                <w:szCs w:val="21"/>
              </w:rPr>
              <w:t>m</w:t>
            </w:r>
            <w:r>
              <w:rPr>
                <w:rFonts w:hint="eastAsia"/>
                <w:kern w:val="0"/>
                <w:sz w:val="21"/>
                <w:szCs w:val="21"/>
              </w:rPr>
              <w:t>）</w:t>
            </w:r>
          </w:p>
        </w:tc>
        <w:tc>
          <w:tcPr>
            <w:tcW w:w="0" w:type="auto"/>
            <w:vAlign w:val="center"/>
          </w:tcPr>
          <w:p w14:paraId="38F2D499">
            <w:pPr>
              <w:widowControl/>
              <w:spacing w:line="240" w:lineRule="exact"/>
              <w:ind w:firstLine="0" w:firstLineChars="0"/>
              <w:jc w:val="center"/>
              <w:rPr>
                <w:kern w:val="0"/>
                <w:sz w:val="21"/>
                <w:szCs w:val="21"/>
              </w:rPr>
            </w:pPr>
            <w:r>
              <w:rPr>
                <w:rFonts w:hint="eastAsia"/>
                <w:kern w:val="0"/>
                <w:sz w:val="21"/>
                <w:szCs w:val="21"/>
              </w:rPr>
              <w:t>消油剂</w:t>
            </w:r>
          </w:p>
          <w:p w14:paraId="56D2B491">
            <w:pPr>
              <w:widowControl/>
              <w:spacing w:line="240" w:lineRule="exact"/>
              <w:ind w:firstLine="0" w:firstLineChars="0"/>
              <w:jc w:val="center"/>
              <w:rPr>
                <w:kern w:val="0"/>
                <w:sz w:val="21"/>
                <w:szCs w:val="21"/>
              </w:rPr>
            </w:pPr>
            <w:r>
              <w:rPr>
                <w:rFonts w:hint="eastAsia"/>
                <w:kern w:val="0"/>
                <w:sz w:val="21"/>
                <w:szCs w:val="21"/>
              </w:rPr>
              <w:t>（公斤）</w:t>
            </w:r>
          </w:p>
        </w:tc>
        <w:tc>
          <w:tcPr>
            <w:tcW w:w="0" w:type="auto"/>
            <w:vAlign w:val="center"/>
          </w:tcPr>
          <w:p w14:paraId="6C660759">
            <w:pPr>
              <w:widowControl/>
              <w:spacing w:line="240" w:lineRule="exact"/>
              <w:ind w:firstLine="0" w:firstLineChars="0"/>
              <w:jc w:val="center"/>
              <w:rPr>
                <w:kern w:val="0"/>
                <w:sz w:val="21"/>
                <w:szCs w:val="21"/>
              </w:rPr>
            </w:pPr>
            <w:r>
              <w:rPr>
                <w:rFonts w:hint="eastAsia"/>
                <w:kern w:val="0"/>
                <w:sz w:val="21"/>
                <w:szCs w:val="21"/>
              </w:rPr>
              <w:t>消油剂喷洒装置（台）</w:t>
            </w:r>
          </w:p>
        </w:tc>
        <w:tc>
          <w:tcPr>
            <w:tcW w:w="0" w:type="auto"/>
            <w:vAlign w:val="center"/>
          </w:tcPr>
          <w:p w14:paraId="2134D805">
            <w:pPr>
              <w:widowControl/>
              <w:spacing w:line="240" w:lineRule="exact"/>
              <w:ind w:firstLine="0" w:firstLineChars="0"/>
              <w:jc w:val="center"/>
              <w:rPr>
                <w:kern w:val="0"/>
                <w:sz w:val="21"/>
                <w:szCs w:val="21"/>
              </w:rPr>
            </w:pPr>
            <w:r>
              <w:rPr>
                <w:rFonts w:hint="eastAsia"/>
                <w:kern w:val="0"/>
                <w:sz w:val="21"/>
                <w:szCs w:val="21"/>
              </w:rPr>
              <w:t>收油机（台）</w:t>
            </w:r>
          </w:p>
        </w:tc>
        <w:tc>
          <w:tcPr>
            <w:tcW w:w="0" w:type="auto"/>
            <w:vAlign w:val="center"/>
          </w:tcPr>
          <w:p w14:paraId="035006DF">
            <w:pPr>
              <w:widowControl/>
              <w:spacing w:line="240" w:lineRule="exact"/>
              <w:ind w:firstLine="0" w:firstLineChars="0"/>
              <w:jc w:val="center"/>
              <w:rPr>
                <w:kern w:val="0"/>
                <w:sz w:val="21"/>
                <w:szCs w:val="21"/>
              </w:rPr>
            </w:pPr>
            <w:r>
              <w:rPr>
                <w:rFonts w:hint="eastAsia"/>
                <w:kern w:val="0"/>
                <w:sz w:val="21"/>
                <w:szCs w:val="21"/>
              </w:rPr>
              <w:t>吸油毡（吨）</w:t>
            </w:r>
          </w:p>
        </w:tc>
        <w:tc>
          <w:tcPr>
            <w:tcW w:w="0" w:type="auto"/>
            <w:vAlign w:val="center"/>
          </w:tcPr>
          <w:p w14:paraId="30243E54">
            <w:pPr>
              <w:widowControl/>
              <w:spacing w:line="240" w:lineRule="exact"/>
              <w:ind w:firstLine="0" w:firstLineChars="0"/>
              <w:jc w:val="center"/>
              <w:rPr>
                <w:kern w:val="0"/>
                <w:sz w:val="21"/>
                <w:szCs w:val="21"/>
              </w:rPr>
            </w:pPr>
            <w:r>
              <w:rPr>
                <w:rFonts w:hint="eastAsia"/>
                <w:kern w:val="0"/>
                <w:sz w:val="21"/>
                <w:szCs w:val="21"/>
              </w:rPr>
              <w:t>吸油拖栏（m）</w:t>
            </w:r>
          </w:p>
        </w:tc>
        <w:tc>
          <w:tcPr>
            <w:tcW w:w="0" w:type="auto"/>
            <w:vAlign w:val="center"/>
          </w:tcPr>
          <w:p w14:paraId="7977E186">
            <w:pPr>
              <w:widowControl/>
              <w:spacing w:line="240" w:lineRule="exact"/>
              <w:ind w:firstLine="0" w:firstLineChars="0"/>
              <w:jc w:val="center"/>
              <w:rPr>
                <w:kern w:val="0"/>
                <w:sz w:val="21"/>
                <w:szCs w:val="21"/>
              </w:rPr>
            </w:pPr>
            <w:r>
              <w:rPr>
                <w:rFonts w:hint="eastAsia"/>
                <w:kern w:val="0"/>
                <w:sz w:val="21"/>
                <w:szCs w:val="21"/>
              </w:rPr>
              <w:t>储油罐（个）</w:t>
            </w:r>
          </w:p>
        </w:tc>
        <w:tc>
          <w:tcPr>
            <w:tcW w:w="0" w:type="auto"/>
            <w:vAlign w:val="center"/>
          </w:tcPr>
          <w:p w14:paraId="0713CDB1">
            <w:pPr>
              <w:widowControl/>
              <w:spacing w:line="240" w:lineRule="exact"/>
              <w:ind w:firstLine="0" w:firstLineChars="0"/>
              <w:jc w:val="center"/>
              <w:rPr>
                <w:kern w:val="0"/>
                <w:sz w:val="21"/>
                <w:szCs w:val="21"/>
              </w:rPr>
            </w:pPr>
            <w:r>
              <w:rPr>
                <w:rFonts w:hint="eastAsia"/>
                <w:kern w:val="0"/>
                <w:sz w:val="21"/>
                <w:szCs w:val="21"/>
              </w:rPr>
              <w:t>储油囊（个）</w:t>
            </w:r>
          </w:p>
        </w:tc>
        <w:tc>
          <w:tcPr>
            <w:tcW w:w="0" w:type="auto"/>
            <w:vAlign w:val="center"/>
          </w:tcPr>
          <w:p w14:paraId="1DC6A418">
            <w:pPr>
              <w:widowControl/>
              <w:spacing w:line="240" w:lineRule="exact"/>
              <w:ind w:firstLine="0" w:firstLineChars="0"/>
              <w:jc w:val="center"/>
              <w:rPr>
                <w:kern w:val="0"/>
                <w:sz w:val="21"/>
                <w:szCs w:val="21"/>
              </w:rPr>
            </w:pPr>
            <w:r>
              <w:rPr>
                <w:rFonts w:hint="eastAsia"/>
                <w:kern w:val="0"/>
                <w:sz w:val="21"/>
                <w:szCs w:val="21"/>
              </w:rPr>
              <w:t>油水分离装置（台）</w:t>
            </w:r>
          </w:p>
        </w:tc>
        <w:tc>
          <w:tcPr>
            <w:tcW w:w="0" w:type="auto"/>
            <w:vAlign w:val="center"/>
          </w:tcPr>
          <w:p w14:paraId="6891E74F">
            <w:pPr>
              <w:widowControl/>
              <w:spacing w:line="240" w:lineRule="exact"/>
              <w:ind w:firstLine="0" w:firstLineChars="0"/>
              <w:jc w:val="center"/>
              <w:rPr>
                <w:kern w:val="0"/>
                <w:sz w:val="21"/>
                <w:szCs w:val="21"/>
              </w:rPr>
            </w:pPr>
            <w:r>
              <w:rPr>
                <w:rFonts w:hint="eastAsia"/>
                <w:kern w:val="0"/>
                <w:sz w:val="21"/>
                <w:szCs w:val="21"/>
              </w:rPr>
              <w:t>防爆泵（套）</w:t>
            </w:r>
          </w:p>
        </w:tc>
        <w:tc>
          <w:tcPr>
            <w:tcW w:w="0" w:type="auto"/>
            <w:vAlign w:val="center"/>
          </w:tcPr>
          <w:p w14:paraId="4063C38D">
            <w:pPr>
              <w:widowControl/>
              <w:spacing w:line="240" w:lineRule="exact"/>
              <w:ind w:firstLine="0" w:firstLineChars="0"/>
              <w:jc w:val="center"/>
              <w:rPr>
                <w:kern w:val="0"/>
                <w:sz w:val="21"/>
                <w:szCs w:val="21"/>
              </w:rPr>
            </w:pPr>
            <w:r>
              <w:rPr>
                <w:rFonts w:hint="eastAsia"/>
                <w:kern w:val="0"/>
                <w:sz w:val="21"/>
                <w:szCs w:val="21"/>
              </w:rPr>
              <w:t>高压清洗机</w:t>
            </w:r>
          </w:p>
        </w:tc>
        <w:tc>
          <w:tcPr>
            <w:tcW w:w="0" w:type="auto"/>
            <w:vAlign w:val="center"/>
          </w:tcPr>
          <w:p w14:paraId="4E51C9BE">
            <w:pPr>
              <w:widowControl/>
              <w:spacing w:line="240" w:lineRule="exact"/>
              <w:ind w:firstLine="0" w:firstLineChars="0"/>
              <w:jc w:val="center"/>
              <w:rPr>
                <w:kern w:val="0"/>
                <w:sz w:val="21"/>
                <w:szCs w:val="21"/>
              </w:rPr>
            </w:pPr>
            <w:r>
              <w:rPr>
                <w:rFonts w:hint="eastAsia"/>
                <w:kern w:val="0"/>
                <w:sz w:val="21"/>
                <w:szCs w:val="21"/>
              </w:rPr>
              <w:t>油罐车（辆）</w:t>
            </w:r>
          </w:p>
        </w:tc>
        <w:tc>
          <w:tcPr>
            <w:tcW w:w="0" w:type="auto"/>
            <w:vAlign w:val="center"/>
          </w:tcPr>
          <w:p w14:paraId="32B56FD7">
            <w:pPr>
              <w:widowControl/>
              <w:spacing w:line="240" w:lineRule="exact"/>
              <w:ind w:firstLine="0" w:firstLineChars="0"/>
              <w:jc w:val="center"/>
              <w:rPr>
                <w:kern w:val="0"/>
                <w:sz w:val="21"/>
                <w:szCs w:val="21"/>
              </w:rPr>
            </w:pPr>
            <w:r>
              <w:rPr>
                <w:rFonts w:hint="eastAsia"/>
                <w:kern w:val="0"/>
                <w:sz w:val="21"/>
                <w:szCs w:val="21"/>
              </w:rPr>
              <w:t>浮油回收船（艘）</w:t>
            </w:r>
          </w:p>
        </w:tc>
        <w:tc>
          <w:tcPr>
            <w:tcW w:w="0" w:type="auto"/>
            <w:vAlign w:val="center"/>
          </w:tcPr>
          <w:p w14:paraId="75906192">
            <w:pPr>
              <w:widowControl/>
              <w:spacing w:line="240" w:lineRule="exact"/>
              <w:ind w:firstLine="0" w:firstLineChars="0"/>
              <w:jc w:val="center"/>
              <w:rPr>
                <w:kern w:val="0"/>
                <w:sz w:val="21"/>
                <w:szCs w:val="21"/>
              </w:rPr>
            </w:pPr>
            <w:r>
              <w:rPr>
                <w:rFonts w:hint="eastAsia"/>
                <w:kern w:val="0"/>
                <w:sz w:val="21"/>
                <w:szCs w:val="21"/>
              </w:rPr>
              <w:t>辅助船（艘）</w:t>
            </w:r>
          </w:p>
        </w:tc>
      </w:tr>
      <w:tr w14:paraId="6FCB38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66E7DBE0">
            <w:pPr>
              <w:widowControl/>
              <w:spacing w:line="240" w:lineRule="exact"/>
              <w:ind w:firstLine="0" w:firstLineChars="0"/>
              <w:jc w:val="center"/>
              <w:rPr>
                <w:kern w:val="0"/>
                <w:sz w:val="21"/>
                <w:szCs w:val="21"/>
              </w:rPr>
            </w:pPr>
            <w:r>
              <w:rPr>
                <w:kern w:val="0"/>
                <w:sz w:val="21"/>
                <w:szCs w:val="21"/>
              </w:rPr>
              <w:t>钦州市海事局</w:t>
            </w:r>
          </w:p>
        </w:tc>
        <w:tc>
          <w:tcPr>
            <w:tcW w:w="0" w:type="auto"/>
            <w:vAlign w:val="center"/>
          </w:tcPr>
          <w:p w14:paraId="67EB0B12">
            <w:pPr>
              <w:widowControl/>
              <w:spacing w:line="240" w:lineRule="exact"/>
              <w:ind w:firstLine="0" w:firstLineChars="0"/>
              <w:jc w:val="center"/>
              <w:rPr>
                <w:kern w:val="0"/>
                <w:sz w:val="21"/>
                <w:szCs w:val="21"/>
              </w:rPr>
            </w:pPr>
            <w:r>
              <w:rPr>
                <w:rFonts w:hint="eastAsia"/>
                <w:kern w:val="0"/>
                <w:sz w:val="21"/>
                <w:szCs w:val="21"/>
              </w:rPr>
              <w:t>2600</w:t>
            </w:r>
          </w:p>
        </w:tc>
        <w:tc>
          <w:tcPr>
            <w:tcW w:w="0" w:type="auto"/>
            <w:vAlign w:val="center"/>
          </w:tcPr>
          <w:p w14:paraId="3F14A48E">
            <w:pPr>
              <w:widowControl/>
              <w:spacing w:line="240" w:lineRule="exact"/>
              <w:ind w:firstLine="0" w:firstLineChars="0"/>
              <w:jc w:val="center"/>
              <w:rPr>
                <w:kern w:val="0"/>
                <w:sz w:val="21"/>
                <w:szCs w:val="21"/>
              </w:rPr>
            </w:pPr>
          </w:p>
        </w:tc>
        <w:tc>
          <w:tcPr>
            <w:tcW w:w="0" w:type="auto"/>
            <w:vAlign w:val="center"/>
          </w:tcPr>
          <w:p w14:paraId="15F9AE76">
            <w:pPr>
              <w:widowControl/>
              <w:spacing w:line="240" w:lineRule="exact"/>
              <w:ind w:firstLine="0" w:firstLineChars="0"/>
              <w:jc w:val="center"/>
              <w:rPr>
                <w:kern w:val="0"/>
                <w:sz w:val="21"/>
                <w:szCs w:val="21"/>
              </w:rPr>
            </w:pPr>
          </w:p>
        </w:tc>
        <w:tc>
          <w:tcPr>
            <w:tcW w:w="0" w:type="auto"/>
            <w:vAlign w:val="center"/>
          </w:tcPr>
          <w:p w14:paraId="26A6944C">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5F94009F">
            <w:pPr>
              <w:widowControl/>
              <w:spacing w:line="240" w:lineRule="exact"/>
              <w:ind w:firstLine="0" w:firstLineChars="0"/>
              <w:jc w:val="center"/>
              <w:rPr>
                <w:kern w:val="0"/>
                <w:sz w:val="21"/>
                <w:szCs w:val="21"/>
              </w:rPr>
            </w:pPr>
            <w:r>
              <w:rPr>
                <w:rFonts w:hint="eastAsia"/>
                <w:kern w:val="0"/>
                <w:sz w:val="21"/>
                <w:szCs w:val="21"/>
              </w:rPr>
              <w:t>19</w:t>
            </w:r>
          </w:p>
        </w:tc>
        <w:tc>
          <w:tcPr>
            <w:tcW w:w="0" w:type="auto"/>
            <w:vAlign w:val="center"/>
          </w:tcPr>
          <w:p w14:paraId="4BE8CBDF">
            <w:pPr>
              <w:widowControl/>
              <w:spacing w:line="240" w:lineRule="exact"/>
              <w:ind w:firstLine="0" w:firstLineChars="0"/>
              <w:jc w:val="center"/>
              <w:rPr>
                <w:kern w:val="0"/>
                <w:sz w:val="21"/>
                <w:szCs w:val="21"/>
              </w:rPr>
            </w:pPr>
            <w:r>
              <w:rPr>
                <w:rFonts w:hint="eastAsia"/>
                <w:kern w:val="0"/>
                <w:sz w:val="21"/>
                <w:szCs w:val="21"/>
              </w:rPr>
              <w:t>5600</w:t>
            </w:r>
          </w:p>
        </w:tc>
        <w:tc>
          <w:tcPr>
            <w:tcW w:w="0" w:type="auto"/>
            <w:vAlign w:val="center"/>
          </w:tcPr>
          <w:p w14:paraId="3CE20A5F">
            <w:pPr>
              <w:widowControl/>
              <w:spacing w:line="240" w:lineRule="exact"/>
              <w:ind w:firstLine="0" w:firstLineChars="0"/>
              <w:jc w:val="center"/>
              <w:rPr>
                <w:kern w:val="0"/>
                <w:sz w:val="21"/>
                <w:szCs w:val="21"/>
              </w:rPr>
            </w:pPr>
          </w:p>
        </w:tc>
        <w:tc>
          <w:tcPr>
            <w:tcW w:w="0" w:type="auto"/>
            <w:vAlign w:val="center"/>
          </w:tcPr>
          <w:p w14:paraId="46B4A89E">
            <w:pPr>
              <w:widowControl/>
              <w:spacing w:line="240" w:lineRule="exact"/>
              <w:ind w:firstLine="0" w:firstLineChars="0"/>
              <w:jc w:val="center"/>
              <w:rPr>
                <w:kern w:val="0"/>
                <w:sz w:val="21"/>
                <w:szCs w:val="21"/>
              </w:rPr>
            </w:pPr>
          </w:p>
        </w:tc>
        <w:tc>
          <w:tcPr>
            <w:tcW w:w="0" w:type="auto"/>
            <w:vAlign w:val="center"/>
          </w:tcPr>
          <w:p w14:paraId="1BB58187">
            <w:pPr>
              <w:widowControl/>
              <w:spacing w:line="240" w:lineRule="exact"/>
              <w:ind w:firstLine="0" w:firstLineChars="0"/>
              <w:jc w:val="center"/>
              <w:rPr>
                <w:kern w:val="0"/>
                <w:sz w:val="21"/>
                <w:szCs w:val="21"/>
              </w:rPr>
            </w:pPr>
          </w:p>
        </w:tc>
        <w:tc>
          <w:tcPr>
            <w:tcW w:w="0" w:type="auto"/>
            <w:vAlign w:val="center"/>
          </w:tcPr>
          <w:p w14:paraId="1D36E080">
            <w:pPr>
              <w:widowControl/>
              <w:spacing w:line="240" w:lineRule="exact"/>
              <w:ind w:firstLine="0" w:firstLineChars="0"/>
              <w:jc w:val="center"/>
              <w:rPr>
                <w:kern w:val="0"/>
                <w:sz w:val="21"/>
                <w:szCs w:val="21"/>
              </w:rPr>
            </w:pPr>
          </w:p>
        </w:tc>
        <w:tc>
          <w:tcPr>
            <w:tcW w:w="0" w:type="auto"/>
            <w:vAlign w:val="center"/>
          </w:tcPr>
          <w:p w14:paraId="5D4F5AC7">
            <w:pPr>
              <w:widowControl/>
              <w:spacing w:line="240" w:lineRule="exact"/>
              <w:ind w:firstLine="0" w:firstLineChars="0"/>
              <w:jc w:val="center"/>
              <w:rPr>
                <w:kern w:val="0"/>
                <w:sz w:val="21"/>
                <w:szCs w:val="21"/>
              </w:rPr>
            </w:pPr>
          </w:p>
        </w:tc>
        <w:tc>
          <w:tcPr>
            <w:tcW w:w="0" w:type="auto"/>
            <w:vAlign w:val="center"/>
          </w:tcPr>
          <w:p w14:paraId="485A5AAF">
            <w:pPr>
              <w:widowControl/>
              <w:spacing w:line="240" w:lineRule="exact"/>
              <w:ind w:firstLine="0" w:firstLineChars="0"/>
              <w:jc w:val="center"/>
              <w:rPr>
                <w:kern w:val="0"/>
                <w:sz w:val="21"/>
                <w:szCs w:val="21"/>
              </w:rPr>
            </w:pPr>
          </w:p>
        </w:tc>
        <w:tc>
          <w:tcPr>
            <w:tcW w:w="0" w:type="auto"/>
            <w:vAlign w:val="center"/>
          </w:tcPr>
          <w:p w14:paraId="4D55D5F9">
            <w:pPr>
              <w:widowControl/>
              <w:spacing w:line="240" w:lineRule="exact"/>
              <w:ind w:firstLine="0" w:firstLineChars="0"/>
              <w:jc w:val="center"/>
              <w:rPr>
                <w:kern w:val="0"/>
                <w:sz w:val="21"/>
                <w:szCs w:val="21"/>
              </w:rPr>
            </w:pPr>
          </w:p>
        </w:tc>
        <w:tc>
          <w:tcPr>
            <w:tcW w:w="0" w:type="auto"/>
            <w:vAlign w:val="center"/>
          </w:tcPr>
          <w:p w14:paraId="70FE8899">
            <w:pPr>
              <w:widowControl/>
              <w:spacing w:line="240" w:lineRule="exact"/>
              <w:ind w:firstLine="0" w:firstLineChars="0"/>
              <w:jc w:val="center"/>
              <w:rPr>
                <w:kern w:val="0"/>
                <w:sz w:val="21"/>
                <w:szCs w:val="21"/>
              </w:rPr>
            </w:pPr>
          </w:p>
        </w:tc>
      </w:tr>
      <w:tr w14:paraId="5E8F1B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625423A1">
            <w:pPr>
              <w:widowControl/>
              <w:spacing w:line="240" w:lineRule="exact"/>
              <w:ind w:firstLine="0" w:firstLineChars="0"/>
              <w:jc w:val="center"/>
              <w:rPr>
                <w:kern w:val="0"/>
                <w:sz w:val="21"/>
                <w:szCs w:val="21"/>
              </w:rPr>
            </w:pPr>
            <w:r>
              <w:rPr>
                <w:kern w:val="0"/>
                <w:sz w:val="21"/>
                <w:szCs w:val="21"/>
              </w:rPr>
              <w:t>北海海事局</w:t>
            </w:r>
          </w:p>
        </w:tc>
        <w:tc>
          <w:tcPr>
            <w:tcW w:w="0" w:type="auto"/>
            <w:vAlign w:val="center"/>
          </w:tcPr>
          <w:p w14:paraId="50E7CC9A">
            <w:pPr>
              <w:widowControl/>
              <w:spacing w:line="240" w:lineRule="exact"/>
              <w:ind w:firstLine="0" w:firstLineChars="0"/>
              <w:jc w:val="center"/>
              <w:rPr>
                <w:kern w:val="0"/>
                <w:sz w:val="21"/>
                <w:szCs w:val="21"/>
              </w:rPr>
            </w:pPr>
            <w:r>
              <w:rPr>
                <w:rFonts w:hint="eastAsia"/>
                <w:kern w:val="0"/>
                <w:sz w:val="21"/>
                <w:szCs w:val="21"/>
              </w:rPr>
              <w:t>660</w:t>
            </w:r>
          </w:p>
        </w:tc>
        <w:tc>
          <w:tcPr>
            <w:tcW w:w="0" w:type="auto"/>
            <w:vAlign w:val="center"/>
          </w:tcPr>
          <w:p w14:paraId="67A1061C">
            <w:pPr>
              <w:widowControl/>
              <w:spacing w:line="240" w:lineRule="exact"/>
              <w:ind w:firstLine="0" w:firstLineChars="0"/>
              <w:jc w:val="center"/>
              <w:rPr>
                <w:kern w:val="0"/>
                <w:sz w:val="21"/>
                <w:szCs w:val="21"/>
              </w:rPr>
            </w:pPr>
          </w:p>
        </w:tc>
        <w:tc>
          <w:tcPr>
            <w:tcW w:w="0" w:type="auto"/>
            <w:vAlign w:val="center"/>
          </w:tcPr>
          <w:p w14:paraId="27745C08">
            <w:pPr>
              <w:widowControl/>
              <w:spacing w:line="240" w:lineRule="exact"/>
              <w:ind w:firstLine="0" w:firstLineChars="0"/>
              <w:jc w:val="center"/>
              <w:rPr>
                <w:kern w:val="0"/>
                <w:sz w:val="21"/>
                <w:szCs w:val="21"/>
              </w:rPr>
            </w:pPr>
          </w:p>
        </w:tc>
        <w:tc>
          <w:tcPr>
            <w:tcW w:w="0" w:type="auto"/>
            <w:vAlign w:val="center"/>
          </w:tcPr>
          <w:p w14:paraId="35FB5C0C">
            <w:pPr>
              <w:widowControl/>
              <w:spacing w:line="240" w:lineRule="exact"/>
              <w:ind w:firstLine="0" w:firstLineChars="0"/>
              <w:jc w:val="center"/>
              <w:rPr>
                <w:kern w:val="0"/>
                <w:sz w:val="21"/>
                <w:szCs w:val="21"/>
              </w:rPr>
            </w:pPr>
          </w:p>
        </w:tc>
        <w:tc>
          <w:tcPr>
            <w:tcW w:w="0" w:type="auto"/>
            <w:vAlign w:val="center"/>
          </w:tcPr>
          <w:p w14:paraId="07071A98">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3693F1B7">
            <w:pPr>
              <w:widowControl/>
              <w:spacing w:line="240" w:lineRule="exact"/>
              <w:ind w:firstLine="0" w:firstLineChars="0"/>
              <w:jc w:val="center"/>
              <w:rPr>
                <w:kern w:val="0"/>
                <w:sz w:val="21"/>
                <w:szCs w:val="21"/>
              </w:rPr>
            </w:pPr>
          </w:p>
        </w:tc>
        <w:tc>
          <w:tcPr>
            <w:tcW w:w="0" w:type="auto"/>
            <w:vAlign w:val="center"/>
          </w:tcPr>
          <w:p w14:paraId="64ACD1AB">
            <w:pPr>
              <w:widowControl/>
              <w:spacing w:line="240" w:lineRule="exact"/>
              <w:ind w:firstLine="0" w:firstLineChars="0"/>
              <w:jc w:val="center"/>
              <w:rPr>
                <w:kern w:val="0"/>
                <w:sz w:val="21"/>
                <w:szCs w:val="21"/>
              </w:rPr>
            </w:pPr>
          </w:p>
        </w:tc>
        <w:tc>
          <w:tcPr>
            <w:tcW w:w="0" w:type="auto"/>
            <w:vAlign w:val="center"/>
          </w:tcPr>
          <w:p w14:paraId="54F4854E">
            <w:pPr>
              <w:widowControl/>
              <w:spacing w:line="240" w:lineRule="exact"/>
              <w:ind w:firstLine="0" w:firstLineChars="0"/>
              <w:jc w:val="center"/>
              <w:rPr>
                <w:kern w:val="0"/>
                <w:sz w:val="21"/>
                <w:szCs w:val="21"/>
              </w:rPr>
            </w:pPr>
          </w:p>
        </w:tc>
        <w:tc>
          <w:tcPr>
            <w:tcW w:w="0" w:type="auto"/>
            <w:vAlign w:val="center"/>
          </w:tcPr>
          <w:p w14:paraId="43AAE8AA">
            <w:pPr>
              <w:widowControl/>
              <w:spacing w:line="240" w:lineRule="exact"/>
              <w:ind w:firstLine="0" w:firstLineChars="0"/>
              <w:jc w:val="center"/>
              <w:rPr>
                <w:kern w:val="0"/>
                <w:sz w:val="21"/>
                <w:szCs w:val="21"/>
              </w:rPr>
            </w:pPr>
          </w:p>
        </w:tc>
        <w:tc>
          <w:tcPr>
            <w:tcW w:w="0" w:type="auto"/>
            <w:vAlign w:val="center"/>
          </w:tcPr>
          <w:p w14:paraId="0EAC87BF">
            <w:pPr>
              <w:widowControl/>
              <w:spacing w:line="240" w:lineRule="exact"/>
              <w:ind w:firstLine="0" w:firstLineChars="0"/>
              <w:jc w:val="center"/>
              <w:rPr>
                <w:kern w:val="0"/>
                <w:sz w:val="21"/>
                <w:szCs w:val="21"/>
              </w:rPr>
            </w:pPr>
          </w:p>
        </w:tc>
        <w:tc>
          <w:tcPr>
            <w:tcW w:w="0" w:type="auto"/>
            <w:vAlign w:val="center"/>
          </w:tcPr>
          <w:p w14:paraId="0BE05087">
            <w:pPr>
              <w:widowControl/>
              <w:spacing w:line="240" w:lineRule="exact"/>
              <w:ind w:firstLine="0" w:firstLineChars="0"/>
              <w:jc w:val="center"/>
              <w:rPr>
                <w:kern w:val="0"/>
                <w:sz w:val="21"/>
                <w:szCs w:val="21"/>
              </w:rPr>
            </w:pPr>
          </w:p>
        </w:tc>
        <w:tc>
          <w:tcPr>
            <w:tcW w:w="0" w:type="auto"/>
            <w:vAlign w:val="center"/>
          </w:tcPr>
          <w:p w14:paraId="377E0FFA">
            <w:pPr>
              <w:widowControl/>
              <w:spacing w:line="240" w:lineRule="exact"/>
              <w:ind w:firstLine="0" w:firstLineChars="0"/>
              <w:jc w:val="center"/>
              <w:rPr>
                <w:kern w:val="0"/>
                <w:sz w:val="21"/>
                <w:szCs w:val="21"/>
              </w:rPr>
            </w:pPr>
          </w:p>
        </w:tc>
        <w:tc>
          <w:tcPr>
            <w:tcW w:w="0" w:type="auto"/>
            <w:vAlign w:val="center"/>
          </w:tcPr>
          <w:p w14:paraId="7A37C7DA">
            <w:pPr>
              <w:widowControl/>
              <w:spacing w:line="240" w:lineRule="exact"/>
              <w:ind w:firstLine="0" w:firstLineChars="0"/>
              <w:jc w:val="center"/>
              <w:rPr>
                <w:kern w:val="0"/>
                <w:sz w:val="21"/>
                <w:szCs w:val="21"/>
              </w:rPr>
            </w:pPr>
          </w:p>
        </w:tc>
        <w:tc>
          <w:tcPr>
            <w:tcW w:w="0" w:type="auto"/>
            <w:vAlign w:val="center"/>
          </w:tcPr>
          <w:p w14:paraId="48FAF4D3">
            <w:pPr>
              <w:widowControl/>
              <w:spacing w:line="240" w:lineRule="exact"/>
              <w:ind w:firstLine="0" w:firstLineChars="0"/>
              <w:jc w:val="center"/>
              <w:rPr>
                <w:kern w:val="0"/>
                <w:sz w:val="21"/>
                <w:szCs w:val="21"/>
              </w:rPr>
            </w:pPr>
          </w:p>
        </w:tc>
      </w:tr>
      <w:tr w14:paraId="176139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0" w:type="auto"/>
            <w:vAlign w:val="center"/>
          </w:tcPr>
          <w:p w14:paraId="33226100">
            <w:pPr>
              <w:widowControl/>
              <w:spacing w:line="240" w:lineRule="exact"/>
              <w:ind w:firstLine="0" w:firstLineChars="0"/>
              <w:jc w:val="center"/>
              <w:rPr>
                <w:kern w:val="0"/>
                <w:sz w:val="21"/>
                <w:szCs w:val="21"/>
              </w:rPr>
            </w:pPr>
            <w:r>
              <w:rPr>
                <w:kern w:val="0"/>
                <w:sz w:val="21"/>
                <w:szCs w:val="21"/>
              </w:rPr>
              <w:t>防城港海事局</w:t>
            </w:r>
          </w:p>
        </w:tc>
        <w:tc>
          <w:tcPr>
            <w:tcW w:w="0" w:type="auto"/>
            <w:vAlign w:val="center"/>
          </w:tcPr>
          <w:p w14:paraId="48EFFB1E">
            <w:pPr>
              <w:widowControl/>
              <w:spacing w:line="240" w:lineRule="exact"/>
              <w:ind w:firstLine="0" w:firstLineChars="0"/>
              <w:jc w:val="center"/>
              <w:rPr>
                <w:kern w:val="0"/>
                <w:sz w:val="21"/>
                <w:szCs w:val="21"/>
              </w:rPr>
            </w:pPr>
            <w:r>
              <w:rPr>
                <w:rFonts w:hint="eastAsia"/>
                <w:kern w:val="0"/>
                <w:sz w:val="21"/>
                <w:szCs w:val="21"/>
              </w:rPr>
              <w:t>680</w:t>
            </w:r>
          </w:p>
        </w:tc>
        <w:tc>
          <w:tcPr>
            <w:tcW w:w="0" w:type="auto"/>
            <w:vAlign w:val="center"/>
          </w:tcPr>
          <w:p w14:paraId="398177A1">
            <w:pPr>
              <w:widowControl/>
              <w:spacing w:line="240" w:lineRule="exact"/>
              <w:ind w:firstLine="0" w:firstLineChars="0"/>
              <w:jc w:val="center"/>
              <w:rPr>
                <w:kern w:val="0"/>
                <w:sz w:val="21"/>
                <w:szCs w:val="21"/>
              </w:rPr>
            </w:pPr>
          </w:p>
        </w:tc>
        <w:tc>
          <w:tcPr>
            <w:tcW w:w="0" w:type="auto"/>
            <w:vAlign w:val="center"/>
          </w:tcPr>
          <w:p w14:paraId="36D72B23">
            <w:pPr>
              <w:widowControl/>
              <w:spacing w:line="240" w:lineRule="exact"/>
              <w:ind w:firstLine="0" w:firstLineChars="0"/>
              <w:jc w:val="center"/>
              <w:rPr>
                <w:kern w:val="0"/>
                <w:sz w:val="21"/>
                <w:szCs w:val="21"/>
              </w:rPr>
            </w:pPr>
          </w:p>
        </w:tc>
        <w:tc>
          <w:tcPr>
            <w:tcW w:w="0" w:type="auto"/>
            <w:vAlign w:val="center"/>
          </w:tcPr>
          <w:p w14:paraId="779EBAC6">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1F702EB3">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2DBC4ABE">
            <w:pPr>
              <w:widowControl/>
              <w:spacing w:line="240" w:lineRule="exact"/>
              <w:ind w:firstLine="0" w:firstLineChars="0"/>
              <w:jc w:val="center"/>
              <w:rPr>
                <w:kern w:val="0"/>
                <w:sz w:val="21"/>
                <w:szCs w:val="21"/>
              </w:rPr>
            </w:pPr>
          </w:p>
        </w:tc>
        <w:tc>
          <w:tcPr>
            <w:tcW w:w="0" w:type="auto"/>
            <w:vAlign w:val="center"/>
          </w:tcPr>
          <w:p w14:paraId="2B8C19F7">
            <w:pPr>
              <w:widowControl/>
              <w:spacing w:line="240" w:lineRule="exact"/>
              <w:ind w:firstLine="0" w:firstLineChars="0"/>
              <w:jc w:val="center"/>
              <w:rPr>
                <w:kern w:val="0"/>
                <w:sz w:val="21"/>
                <w:szCs w:val="21"/>
              </w:rPr>
            </w:pPr>
          </w:p>
        </w:tc>
        <w:tc>
          <w:tcPr>
            <w:tcW w:w="0" w:type="auto"/>
            <w:vAlign w:val="center"/>
          </w:tcPr>
          <w:p w14:paraId="38CCE263">
            <w:pPr>
              <w:widowControl/>
              <w:spacing w:line="240" w:lineRule="exact"/>
              <w:ind w:firstLine="0" w:firstLineChars="0"/>
              <w:jc w:val="center"/>
              <w:rPr>
                <w:kern w:val="0"/>
                <w:sz w:val="21"/>
                <w:szCs w:val="21"/>
              </w:rPr>
            </w:pPr>
          </w:p>
        </w:tc>
        <w:tc>
          <w:tcPr>
            <w:tcW w:w="0" w:type="auto"/>
            <w:vAlign w:val="center"/>
          </w:tcPr>
          <w:p w14:paraId="2715B8A6">
            <w:pPr>
              <w:widowControl/>
              <w:spacing w:line="240" w:lineRule="exact"/>
              <w:ind w:firstLine="0" w:firstLineChars="0"/>
              <w:jc w:val="center"/>
              <w:rPr>
                <w:kern w:val="0"/>
                <w:sz w:val="21"/>
                <w:szCs w:val="21"/>
              </w:rPr>
            </w:pPr>
          </w:p>
        </w:tc>
        <w:tc>
          <w:tcPr>
            <w:tcW w:w="0" w:type="auto"/>
            <w:vAlign w:val="center"/>
          </w:tcPr>
          <w:p w14:paraId="07597321">
            <w:pPr>
              <w:widowControl/>
              <w:spacing w:line="240" w:lineRule="exact"/>
              <w:ind w:firstLine="0" w:firstLineChars="0"/>
              <w:jc w:val="center"/>
              <w:rPr>
                <w:kern w:val="0"/>
                <w:sz w:val="21"/>
                <w:szCs w:val="21"/>
              </w:rPr>
            </w:pPr>
          </w:p>
        </w:tc>
        <w:tc>
          <w:tcPr>
            <w:tcW w:w="0" w:type="auto"/>
            <w:vAlign w:val="center"/>
          </w:tcPr>
          <w:p w14:paraId="0DA25CA8">
            <w:pPr>
              <w:widowControl/>
              <w:spacing w:line="240" w:lineRule="exact"/>
              <w:ind w:firstLine="0" w:firstLineChars="0"/>
              <w:jc w:val="center"/>
              <w:rPr>
                <w:kern w:val="0"/>
                <w:sz w:val="21"/>
                <w:szCs w:val="21"/>
              </w:rPr>
            </w:pPr>
          </w:p>
        </w:tc>
        <w:tc>
          <w:tcPr>
            <w:tcW w:w="0" w:type="auto"/>
            <w:vAlign w:val="center"/>
          </w:tcPr>
          <w:p w14:paraId="28C95E31">
            <w:pPr>
              <w:widowControl/>
              <w:spacing w:line="240" w:lineRule="exact"/>
              <w:ind w:firstLine="0" w:firstLineChars="0"/>
              <w:jc w:val="center"/>
              <w:rPr>
                <w:kern w:val="0"/>
                <w:sz w:val="21"/>
                <w:szCs w:val="21"/>
              </w:rPr>
            </w:pPr>
          </w:p>
        </w:tc>
        <w:tc>
          <w:tcPr>
            <w:tcW w:w="0" w:type="auto"/>
            <w:vAlign w:val="center"/>
          </w:tcPr>
          <w:p w14:paraId="502F4A60">
            <w:pPr>
              <w:widowControl/>
              <w:spacing w:line="240" w:lineRule="exact"/>
              <w:ind w:firstLine="0" w:firstLineChars="0"/>
              <w:jc w:val="center"/>
              <w:rPr>
                <w:kern w:val="0"/>
                <w:sz w:val="21"/>
                <w:szCs w:val="21"/>
              </w:rPr>
            </w:pPr>
          </w:p>
        </w:tc>
        <w:tc>
          <w:tcPr>
            <w:tcW w:w="0" w:type="auto"/>
            <w:vAlign w:val="center"/>
          </w:tcPr>
          <w:p w14:paraId="41453724">
            <w:pPr>
              <w:widowControl/>
              <w:spacing w:line="240" w:lineRule="exact"/>
              <w:ind w:firstLine="0" w:firstLineChars="0"/>
              <w:jc w:val="center"/>
              <w:rPr>
                <w:kern w:val="0"/>
                <w:sz w:val="21"/>
                <w:szCs w:val="21"/>
              </w:rPr>
            </w:pPr>
          </w:p>
        </w:tc>
      </w:tr>
      <w:tr w14:paraId="283E4D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shd w:val="clear" w:color="auto" w:fill="BEBEBE" w:themeFill="background1" w:themeFillShade="BF"/>
            <w:vAlign w:val="center"/>
          </w:tcPr>
          <w:p w14:paraId="07FA9DEB">
            <w:pPr>
              <w:widowControl/>
              <w:spacing w:line="240" w:lineRule="exact"/>
              <w:ind w:firstLine="0" w:firstLineChars="0"/>
              <w:jc w:val="center"/>
              <w:rPr>
                <w:kern w:val="0"/>
                <w:sz w:val="21"/>
                <w:szCs w:val="21"/>
              </w:rPr>
            </w:pPr>
            <w:r>
              <w:rPr>
                <w:kern w:val="0"/>
                <w:sz w:val="21"/>
                <w:szCs w:val="21"/>
              </w:rPr>
              <w:t>海事小计</w:t>
            </w:r>
          </w:p>
        </w:tc>
        <w:tc>
          <w:tcPr>
            <w:tcW w:w="0" w:type="auto"/>
            <w:shd w:val="clear" w:color="auto" w:fill="BEBEBE" w:themeFill="background1" w:themeFillShade="BF"/>
            <w:vAlign w:val="center"/>
          </w:tcPr>
          <w:p w14:paraId="3488EF47">
            <w:pPr>
              <w:widowControl/>
              <w:spacing w:line="240" w:lineRule="exact"/>
              <w:ind w:firstLine="0" w:firstLineChars="0"/>
              <w:jc w:val="center"/>
              <w:rPr>
                <w:kern w:val="0"/>
                <w:sz w:val="21"/>
                <w:szCs w:val="21"/>
              </w:rPr>
            </w:pPr>
            <w:r>
              <w:rPr>
                <w:rFonts w:hint="eastAsia"/>
                <w:kern w:val="0"/>
                <w:sz w:val="21"/>
                <w:szCs w:val="21"/>
              </w:rPr>
              <w:t>3940</w:t>
            </w:r>
          </w:p>
        </w:tc>
        <w:tc>
          <w:tcPr>
            <w:tcW w:w="0" w:type="auto"/>
            <w:shd w:val="clear" w:color="auto" w:fill="BEBEBE" w:themeFill="background1" w:themeFillShade="BF"/>
            <w:vAlign w:val="center"/>
          </w:tcPr>
          <w:p w14:paraId="04504566">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1682FBED">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3A076A78">
            <w:pPr>
              <w:widowControl/>
              <w:spacing w:line="240" w:lineRule="exact"/>
              <w:ind w:firstLine="0" w:firstLineChars="0"/>
              <w:jc w:val="center"/>
              <w:rPr>
                <w:kern w:val="0"/>
                <w:sz w:val="21"/>
                <w:szCs w:val="21"/>
              </w:rPr>
            </w:pPr>
            <w:r>
              <w:rPr>
                <w:rFonts w:hint="eastAsia"/>
                <w:kern w:val="0"/>
                <w:sz w:val="21"/>
                <w:szCs w:val="21"/>
              </w:rPr>
              <w:t>4</w:t>
            </w:r>
          </w:p>
        </w:tc>
        <w:tc>
          <w:tcPr>
            <w:tcW w:w="0" w:type="auto"/>
            <w:shd w:val="clear" w:color="auto" w:fill="BEBEBE" w:themeFill="background1" w:themeFillShade="BF"/>
            <w:vAlign w:val="center"/>
          </w:tcPr>
          <w:p w14:paraId="498C6059">
            <w:pPr>
              <w:widowControl/>
              <w:spacing w:line="240" w:lineRule="exact"/>
              <w:ind w:firstLine="0" w:firstLineChars="0"/>
              <w:jc w:val="center"/>
              <w:rPr>
                <w:kern w:val="0"/>
                <w:sz w:val="21"/>
                <w:szCs w:val="21"/>
              </w:rPr>
            </w:pPr>
            <w:r>
              <w:rPr>
                <w:rFonts w:hint="eastAsia"/>
                <w:kern w:val="0"/>
                <w:sz w:val="21"/>
                <w:szCs w:val="21"/>
              </w:rPr>
              <w:t>27</w:t>
            </w:r>
          </w:p>
        </w:tc>
        <w:tc>
          <w:tcPr>
            <w:tcW w:w="0" w:type="auto"/>
            <w:shd w:val="clear" w:color="auto" w:fill="BEBEBE" w:themeFill="background1" w:themeFillShade="BF"/>
            <w:vAlign w:val="center"/>
          </w:tcPr>
          <w:p w14:paraId="29591F9C">
            <w:pPr>
              <w:widowControl/>
              <w:spacing w:line="240" w:lineRule="exact"/>
              <w:ind w:firstLine="0" w:firstLineChars="0"/>
              <w:jc w:val="center"/>
              <w:rPr>
                <w:kern w:val="0"/>
                <w:sz w:val="21"/>
                <w:szCs w:val="21"/>
              </w:rPr>
            </w:pPr>
            <w:r>
              <w:rPr>
                <w:rFonts w:hint="eastAsia"/>
                <w:kern w:val="0"/>
                <w:sz w:val="21"/>
                <w:szCs w:val="21"/>
              </w:rPr>
              <w:t>5600</w:t>
            </w:r>
          </w:p>
        </w:tc>
        <w:tc>
          <w:tcPr>
            <w:tcW w:w="0" w:type="auto"/>
            <w:shd w:val="clear" w:color="auto" w:fill="BEBEBE" w:themeFill="background1" w:themeFillShade="BF"/>
            <w:vAlign w:val="center"/>
          </w:tcPr>
          <w:p w14:paraId="5B1E5F04">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372FF0E6">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4539763B">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487984A2">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78E21476">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1437FC5D">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42D93B40">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22C2DA52">
            <w:pPr>
              <w:widowControl/>
              <w:spacing w:line="240" w:lineRule="exact"/>
              <w:ind w:firstLine="0" w:firstLineChars="0"/>
              <w:jc w:val="center"/>
              <w:rPr>
                <w:kern w:val="0"/>
                <w:sz w:val="21"/>
                <w:szCs w:val="21"/>
              </w:rPr>
            </w:pPr>
          </w:p>
        </w:tc>
      </w:tr>
      <w:tr w14:paraId="0DC308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7942A059">
            <w:pPr>
              <w:widowControl/>
              <w:spacing w:line="240" w:lineRule="exact"/>
              <w:ind w:firstLine="0" w:firstLineChars="0"/>
              <w:jc w:val="center"/>
              <w:rPr>
                <w:kern w:val="0"/>
                <w:sz w:val="21"/>
                <w:szCs w:val="21"/>
              </w:rPr>
            </w:pPr>
            <w:r>
              <w:rPr>
                <w:rFonts w:hint="eastAsia"/>
                <w:kern w:val="0"/>
                <w:sz w:val="21"/>
                <w:szCs w:val="21"/>
              </w:rPr>
              <w:t>北海涠洲终端处理厂</w:t>
            </w:r>
          </w:p>
        </w:tc>
        <w:tc>
          <w:tcPr>
            <w:tcW w:w="0" w:type="auto"/>
            <w:vAlign w:val="center"/>
          </w:tcPr>
          <w:p w14:paraId="0C0E7471">
            <w:pPr>
              <w:widowControl/>
              <w:spacing w:line="240" w:lineRule="exact"/>
              <w:ind w:firstLine="0" w:firstLineChars="0"/>
              <w:jc w:val="center"/>
              <w:rPr>
                <w:kern w:val="0"/>
                <w:sz w:val="21"/>
                <w:szCs w:val="21"/>
              </w:rPr>
            </w:pPr>
            <w:r>
              <w:rPr>
                <w:rFonts w:hint="eastAsia"/>
                <w:kern w:val="0"/>
                <w:sz w:val="21"/>
                <w:szCs w:val="21"/>
              </w:rPr>
              <w:t>800</w:t>
            </w:r>
          </w:p>
        </w:tc>
        <w:tc>
          <w:tcPr>
            <w:tcW w:w="0" w:type="auto"/>
            <w:vAlign w:val="center"/>
          </w:tcPr>
          <w:p w14:paraId="2195BB24">
            <w:pPr>
              <w:widowControl/>
              <w:spacing w:line="240" w:lineRule="exact"/>
              <w:ind w:firstLine="0" w:firstLineChars="0"/>
              <w:jc w:val="center"/>
              <w:rPr>
                <w:kern w:val="0"/>
                <w:sz w:val="21"/>
                <w:szCs w:val="21"/>
              </w:rPr>
            </w:pPr>
            <w:r>
              <w:rPr>
                <w:rFonts w:hint="eastAsia"/>
                <w:kern w:val="0"/>
                <w:sz w:val="21"/>
                <w:szCs w:val="21"/>
              </w:rPr>
              <w:t>10000</w:t>
            </w:r>
          </w:p>
        </w:tc>
        <w:tc>
          <w:tcPr>
            <w:tcW w:w="0" w:type="auto"/>
            <w:vAlign w:val="center"/>
          </w:tcPr>
          <w:p w14:paraId="08390E60">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0FE9387E">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0128F56C">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1B5BD3D4">
            <w:pPr>
              <w:widowControl/>
              <w:spacing w:line="240" w:lineRule="exact"/>
              <w:ind w:firstLine="0" w:firstLineChars="0"/>
              <w:jc w:val="center"/>
              <w:rPr>
                <w:kern w:val="0"/>
                <w:sz w:val="21"/>
                <w:szCs w:val="21"/>
              </w:rPr>
            </w:pPr>
          </w:p>
        </w:tc>
        <w:tc>
          <w:tcPr>
            <w:tcW w:w="0" w:type="auto"/>
            <w:vAlign w:val="center"/>
          </w:tcPr>
          <w:p w14:paraId="2CDA2A35">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48920F74">
            <w:pPr>
              <w:widowControl/>
              <w:spacing w:line="240" w:lineRule="exact"/>
              <w:ind w:firstLine="0" w:firstLineChars="0"/>
              <w:jc w:val="center"/>
              <w:rPr>
                <w:kern w:val="0"/>
                <w:sz w:val="21"/>
                <w:szCs w:val="21"/>
              </w:rPr>
            </w:pPr>
          </w:p>
        </w:tc>
        <w:tc>
          <w:tcPr>
            <w:tcW w:w="0" w:type="auto"/>
            <w:vAlign w:val="center"/>
          </w:tcPr>
          <w:p w14:paraId="2667AF52">
            <w:pPr>
              <w:widowControl/>
              <w:spacing w:line="240" w:lineRule="exact"/>
              <w:ind w:firstLine="0" w:firstLineChars="0"/>
              <w:jc w:val="center"/>
              <w:rPr>
                <w:kern w:val="0"/>
                <w:sz w:val="21"/>
                <w:szCs w:val="21"/>
              </w:rPr>
            </w:pPr>
          </w:p>
        </w:tc>
        <w:tc>
          <w:tcPr>
            <w:tcW w:w="0" w:type="auto"/>
            <w:vAlign w:val="center"/>
          </w:tcPr>
          <w:p w14:paraId="72BD943C">
            <w:pPr>
              <w:widowControl/>
              <w:spacing w:line="240" w:lineRule="exact"/>
              <w:ind w:firstLine="0" w:firstLineChars="0"/>
              <w:jc w:val="center"/>
              <w:rPr>
                <w:kern w:val="0"/>
                <w:sz w:val="21"/>
                <w:szCs w:val="21"/>
              </w:rPr>
            </w:pPr>
          </w:p>
        </w:tc>
        <w:tc>
          <w:tcPr>
            <w:tcW w:w="0" w:type="auto"/>
            <w:vAlign w:val="center"/>
          </w:tcPr>
          <w:p w14:paraId="6DECAB85">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2B7CF28C">
            <w:pPr>
              <w:widowControl/>
              <w:spacing w:line="240" w:lineRule="exact"/>
              <w:ind w:firstLine="0" w:firstLineChars="0"/>
              <w:jc w:val="center"/>
              <w:rPr>
                <w:kern w:val="0"/>
                <w:sz w:val="21"/>
                <w:szCs w:val="21"/>
              </w:rPr>
            </w:pPr>
          </w:p>
        </w:tc>
        <w:tc>
          <w:tcPr>
            <w:tcW w:w="0" w:type="auto"/>
            <w:vAlign w:val="center"/>
          </w:tcPr>
          <w:p w14:paraId="7371A79E">
            <w:pPr>
              <w:widowControl/>
              <w:spacing w:line="240" w:lineRule="exact"/>
              <w:ind w:firstLine="0" w:firstLineChars="0"/>
              <w:jc w:val="center"/>
              <w:rPr>
                <w:kern w:val="0"/>
                <w:sz w:val="21"/>
                <w:szCs w:val="21"/>
              </w:rPr>
            </w:pPr>
          </w:p>
        </w:tc>
        <w:tc>
          <w:tcPr>
            <w:tcW w:w="0" w:type="auto"/>
            <w:vAlign w:val="center"/>
          </w:tcPr>
          <w:p w14:paraId="6A385288">
            <w:pPr>
              <w:widowControl/>
              <w:spacing w:line="240" w:lineRule="exact"/>
              <w:ind w:firstLine="0" w:firstLineChars="0"/>
              <w:jc w:val="center"/>
              <w:rPr>
                <w:kern w:val="0"/>
                <w:sz w:val="21"/>
                <w:szCs w:val="21"/>
              </w:rPr>
            </w:pPr>
            <w:r>
              <w:rPr>
                <w:rFonts w:hint="eastAsia"/>
                <w:kern w:val="0"/>
                <w:sz w:val="21"/>
                <w:szCs w:val="21"/>
              </w:rPr>
              <w:t>2</w:t>
            </w:r>
          </w:p>
        </w:tc>
      </w:tr>
      <w:tr w14:paraId="6747D2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0E200E64">
            <w:pPr>
              <w:widowControl/>
              <w:spacing w:line="240" w:lineRule="exact"/>
              <w:ind w:firstLine="0" w:firstLineChars="0"/>
              <w:jc w:val="center"/>
              <w:rPr>
                <w:kern w:val="0"/>
                <w:sz w:val="21"/>
                <w:szCs w:val="21"/>
              </w:rPr>
            </w:pPr>
            <w:r>
              <w:rPr>
                <w:kern w:val="0"/>
                <w:sz w:val="21"/>
                <w:szCs w:val="21"/>
              </w:rPr>
              <w:t>北海港务集团等</w:t>
            </w:r>
          </w:p>
        </w:tc>
        <w:tc>
          <w:tcPr>
            <w:tcW w:w="0" w:type="auto"/>
            <w:vAlign w:val="center"/>
          </w:tcPr>
          <w:p w14:paraId="7ED4B9F6">
            <w:pPr>
              <w:widowControl/>
              <w:spacing w:line="240" w:lineRule="exact"/>
              <w:ind w:firstLine="0" w:firstLineChars="0"/>
              <w:jc w:val="center"/>
              <w:rPr>
                <w:kern w:val="0"/>
                <w:sz w:val="21"/>
                <w:szCs w:val="21"/>
              </w:rPr>
            </w:pPr>
            <w:r>
              <w:rPr>
                <w:rFonts w:hint="eastAsia"/>
                <w:kern w:val="0"/>
                <w:sz w:val="21"/>
                <w:szCs w:val="21"/>
              </w:rPr>
              <w:t>960</w:t>
            </w:r>
          </w:p>
        </w:tc>
        <w:tc>
          <w:tcPr>
            <w:tcW w:w="0" w:type="auto"/>
            <w:vAlign w:val="center"/>
          </w:tcPr>
          <w:p w14:paraId="41EF15F1">
            <w:pPr>
              <w:widowControl/>
              <w:spacing w:line="240" w:lineRule="exact"/>
              <w:ind w:firstLine="0" w:firstLineChars="0"/>
              <w:jc w:val="center"/>
              <w:rPr>
                <w:kern w:val="0"/>
                <w:sz w:val="21"/>
                <w:szCs w:val="21"/>
              </w:rPr>
            </w:pPr>
            <w:r>
              <w:rPr>
                <w:rFonts w:hint="eastAsia"/>
                <w:kern w:val="0"/>
                <w:sz w:val="21"/>
                <w:szCs w:val="21"/>
              </w:rPr>
              <w:t>1000</w:t>
            </w:r>
          </w:p>
        </w:tc>
        <w:tc>
          <w:tcPr>
            <w:tcW w:w="0" w:type="auto"/>
            <w:vAlign w:val="center"/>
          </w:tcPr>
          <w:p w14:paraId="0C2996E5">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328E8896">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211AC194">
            <w:pPr>
              <w:widowControl/>
              <w:spacing w:line="240" w:lineRule="exact"/>
              <w:ind w:firstLine="0" w:firstLineChars="0"/>
              <w:jc w:val="center"/>
              <w:rPr>
                <w:kern w:val="0"/>
                <w:sz w:val="21"/>
                <w:szCs w:val="21"/>
              </w:rPr>
            </w:pPr>
            <w:r>
              <w:rPr>
                <w:rFonts w:hint="eastAsia"/>
                <w:kern w:val="0"/>
                <w:sz w:val="21"/>
                <w:szCs w:val="21"/>
              </w:rPr>
              <w:t>1.2</w:t>
            </w:r>
          </w:p>
        </w:tc>
        <w:tc>
          <w:tcPr>
            <w:tcW w:w="0" w:type="auto"/>
            <w:vAlign w:val="center"/>
          </w:tcPr>
          <w:p w14:paraId="1A811180">
            <w:pPr>
              <w:widowControl/>
              <w:spacing w:line="240" w:lineRule="exact"/>
              <w:ind w:firstLine="0" w:firstLineChars="0"/>
              <w:jc w:val="center"/>
              <w:rPr>
                <w:kern w:val="0"/>
                <w:sz w:val="21"/>
                <w:szCs w:val="21"/>
              </w:rPr>
            </w:pPr>
            <w:r>
              <w:rPr>
                <w:rFonts w:hint="eastAsia"/>
                <w:kern w:val="0"/>
                <w:sz w:val="21"/>
                <w:szCs w:val="21"/>
              </w:rPr>
              <w:t>1000</w:t>
            </w:r>
          </w:p>
        </w:tc>
        <w:tc>
          <w:tcPr>
            <w:tcW w:w="0" w:type="auto"/>
            <w:vAlign w:val="center"/>
          </w:tcPr>
          <w:p w14:paraId="648920F5">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7BC23F73">
            <w:pPr>
              <w:widowControl/>
              <w:spacing w:line="240" w:lineRule="exact"/>
              <w:ind w:firstLine="0" w:firstLineChars="0"/>
              <w:jc w:val="center"/>
              <w:rPr>
                <w:kern w:val="0"/>
                <w:sz w:val="21"/>
                <w:szCs w:val="21"/>
              </w:rPr>
            </w:pPr>
          </w:p>
        </w:tc>
        <w:tc>
          <w:tcPr>
            <w:tcW w:w="0" w:type="auto"/>
            <w:vAlign w:val="center"/>
          </w:tcPr>
          <w:p w14:paraId="660926EC">
            <w:pPr>
              <w:widowControl/>
              <w:spacing w:line="240" w:lineRule="exact"/>
              <w:ind w:firstLine="0" w:firstLineChars="0"/>
              <w:jc w:val="center"/>
              <w:rPr>
                <w:kern w:val="0"/>
                <w:sz w:val="21"/>
                <w:szCs w:val="21"/>
              </w:rPr>
            </w:pPr>
          </w:p>
        </w:tc>
        <w:tc>
          <w:tcPr>
            <w:tcW w:w="0" w:type="auto"/>
            <w:vAlign w:val="center"/>
          </w:tcPr>
          <w:p w14:paraId="0827073A">
            <w:pPr>
              <w:widowControl/>
              <w:spacing w:line="240" w:lineRule="exact"/>
              <w:ind w:firstLine="0" w:firstLineChars="0"/>
              <w:jc w:val="center"/>
              <w:rPr>
                <w:kern w:val="0"/>
                <w:sz w:val="21"/>
                <w:szCs w:val="21"/>
              </w:rPr>
            </w:pPr>
          </w:p>
        </w:tc>
        <w:tc>
          <w:tcPr>
            <w:tcW w:w="0" w:type="auto"/>
            <w:vAlign w:val="center"/>
          </w:tcPr>
          <w:p w14:paraId="5C4CE73A">
            <w:pPr>
              <w:widowControl/>
              <w:spacing w:line="240" w:lineRule="exact"/>
              <w:ind w:firstLine="0" w:firstLineChars="0"/>
              <w:jc w:val="center"/>
              <w:rPr>
                <w:kern w:val="0"/>
                <w:sz w:val="21"/>
                <w:szCs w:val="21"/>
              </w:rPr>
            </w:pPr>
          </w:p>
        </w:tc>
        <w:tc>
          <w:tcPr>
            <w:tcW w:w="0" w:type="auto"/>
            <w:vAlign w:val="center"/>
          </w:tcPr>
          <w:p w14:paraId="0D4F8DE4">
            <w:pPr>
              <w:widowControl/>
              <w:spacing w:line="240" w:lineRule="exact"/>
              <w:ind w:firstLine="0" w:firstLineChars="0"/>
              <w:jc w:val="center"/>
              <w:rPr>
                <w:kern w:val="0"/>
                <w:sz w:val="21"/>
                <w:szCs w:val="21"/>
              </w:rPr>
            </w:pPr>
          </w:p>
        </w:tc>
        <w:tc>
          <w:tcPr>
            <w:tcW w:w="0" w:type="auto"/>
            <w:vAlign w:val="center"/>
          </w:tcPr>
          <w:p w14:paraId="400313EF">
            <w:pPr>
              <w:widowControl/>
              <w:spacing w:line="240" w:lineRule="exact"/>
              <w:ind w:firstLine="0" w:firstLineChars="0"/>
              <w:jc w:val="center"/>
              <w:rPr>
                <w:kern w:val="0"/>
                <w:sz w:val="21"/>
                <w:szCs w:val="21"/>
              </w:rPr>
            </w:pPr>
          </w:p>
        </w:tc>
        <w:tc>
          <w:tcPr>
            <w:tcW w:w="0" w:type="auto"/>
            <w:vAlign w:val="center"/>
          </w:tcPr>
          <w:p w14:paraId="512082D4">
            <w:pPr>
              <w:widowControl/>
              <w:spacing w:line="240" w:lineRule="exact"/>
              <w:ind w:firstLine="0" w:firstLineChars="0"/>
              <w:jc w:val="center"/>
              <w:rPr>
                <w:kern w:val="0"/>
                <w:sz w:val="21"/>
                <w:szCs w:val="21"/>
              </w:rPr>
            </w:pPr>
          </w:p>
        </w:tc>
      </w:tr>
      <w:tr w14:paraId="04A473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49518700">
            <w:pPr>
              <w:widowControl/>
              <w:spacing w:line="240" w:lineRule="exact"/>
              <w:ind w:firstLine="0" w:firstLineChars="0"/>
              <w:jc w:val="center"/>
              <w:rPr>
                <w:kern w:val="0"/>
                <w:sz w:val="21"/>
                <w:szCs w:val="21"/>
              </w:rPr>
            </w:pPr>
            <w:r>
              <w:rPr>
                <w:kern w:val="0"/>
                <w:sz w:val="21"/>
                <w:szCs w:val="21"/>
              </w:rPr>
              <w:t>广西鹏达海洋工程有限公司</w:t>
            </w:r>
          </w:p>
        </w:tc>
        <w:tc>
          <w:tcPr>
            <w:tcW w:w="0" w:type="auto"/>
            <w:vAlign w:val="center"/>
          </w:tcPr>
          <w:p w14:paraId="57B4DBC6">
            <w:pPr>
              <w:widowControl/>
              <w:spacing w:line="240" w:lineRule="exact"/>
              <w:ind w:firstLine="0" w:firstLineChars="0"/>
              <w:jc w:val="center"/>
              <w:rPr>
                <w:kern w:val="0"/>
                <w:sz w:val="21"/>
                <w:szCs w:val="21"/>
              </w:rPr>
            </w:pPr>
            <w:r>
              <w:rPr>
                <w:rFonts w:hint="eastAsia"/>
                <w:kern w:val="0"/>
                <w:sz w:val="21"/>
                <w:szCs w:val="21"/>
              </w:rPr>
              <w:t>6850</w:t>
            </w:r>
          </w:p>
        </w:tc>
        <w:tc>
          <w:tcPr>
            <w:tcW w:w="0" w:type="auto"/>
            <w:vAlign w:val="center"/>
          </w:tcPr>
          <w:p w14:paraId="50600D6D">
            <w:pPr>
              <w:widowControl/>
              <w:spacing w:line="240" w:lineRule="exact"/>
              <w:ind w:firstLine="0" w:firstLineChars="0"/>
              <w:jc w:val="center"/>
              <w:rPr>
                <w:kern w:val="0"/>
                <w:sz w:val="21"/>
                <w:szCs w:val="21"/>
              </w:rPr>
            </w:pPr>
            <w:r>
              <w:rPr>
                <w:rFonts w:hint="eastAsia"/>
                <w:kern w:val="0"/>
                <w:sz w:val="21"/>
                <w:szCs w:val="21"/>
              </w:rPr>
              <w:t>6500</w:t>
            </w:r>
          </w:p>
        </w:tc>
        <w:tc>
          <w:tcPr>
            <w:tcW w:w="0" w:type="auto"/>
            <w:vAlign w:val="center"/>
          </w:tcPr>
          <w:p w14:paraId="0FEFE7EA">
            <w:pPr>
              <w:widowControl/>
              <w:spacing w:line="240" w:lineRule="exact"/>
              <w:ind w:firstLine="0" w:firstLineChars="0"/>
              <w:jc w:val="center"/>
              <w:rPr>
                <w:kern w:val="0"/>
                <w:sz w:val="21"/>
                <w:szCs w:val="21"/>
              </w:rPr>
            </w:pPr>
            <w:r>
              <w:rPr>
                <w:rFonts w:hint="eastAsia"/>
                <w:kern w:val="0"/>
                <w:sz w:val="21"/>
                <w:szCs w:val="21"/>
              </w:rPr>
              <w:t>12</w:t>
            </w:r>
          </w:p>
        </w:tc>
        <w:tc>
          <w:tcPr>
            <w:tcW w:w="0" w:type="auto"/>
            <w:vAlign w:val="center"/>
          </w:tcPr>
          <w:p w14:paraId="01A0C345">
            <w:pPr>
              <w:widowControl/>
              <w:spacing w:line="240" w:lineRule="exact"/>
              <w:ind w:firstLine="0" w:firstLineChars="0"/>
              <w:jc w:val="center"/>
              <w:rPr>
                <w:kern w:val="0"/>
                <w:sz w:val="21"/>
                <w:szCs w:val="21"/>
              </w:rPr>
            </w:pPr>
            <w:r>
              <w:rPr>
                <w:rFonts w:hint="eastAsia"/>
                <w:kern w:val="0"/>
                <w:sz w:val="21"/>
                <w:szCs w:val="21"/>
              </w:rPr>
              <w:t>7</w:t>
            </w:r>
          </w:p>
        </w:tc>
        <w:tc>
          <w:tcPr>
            <w:tcW w:w="0" w:type="auto"/>
            <w:vAlign w:val="center"/>
          </w:tcPr>
          <w:p w14:paraId="0F6FD794">
            <w:pPr>
              <w:widowControl/>
              <w:spacing w:line="240" w:lineRule="exact"/>
              <w:ind w:firstLine="0" w:firstLineChars="0"/>
              <w:jc w:val="center"/>
              <w:rPr>
                <w:kern w:val="0"/>
                <w:sz w:val="21"/>
                <w:szCs w:val="21"/>
              </w:rPr>
            </w:pPr>
            <w:r>
              <w:rPr>
                <w:rFonts w:hint="eastAsia"/>
                <w:kern w:val="0"/>
                <w:sz w:val="21"/>
                <w:szCs w:val="21"/>
              </w:rPr>
              <w:t>12</w:t>
            </w:r>
          </w:p>
        </w:tc>
        <w:tc>
          <w:tcPr>
            <w:tcW w:w="0" w:type="auto"/>
            <w:vAlign w:val="center"/>
          </w:tcPr>
          <w:p w14:paraId="50AE145E">
            <w:pPr>
              <w:widowControl/>
              <w:spacing w:line="240" w:lineRule="exact"/>
              <w:ind w:firstLine="0" w:firstLineChars="0"/>
              <w:jc w:val="center"/>
              <w:rPr>
                <w:kern w:val="0"/>
                <w:sz w:val="21"/>
                <w:szCs w:val="21"/>
              </w:rPr>
            </w:pPr>
            <w:r>
              <w:rPr>
                <w:rFonts w:hint="eastAsia"/>
                <w:kern w:val="0"/>
                <w:sz w:val="21"/>
                <w:szCs w:val="21"/>
              </w:rPr>
              <w:t>4400</w:t>
            </w:r>
          </w:p>
        </w:tc>
        <w:tc>
          <w:tcPr>
            <w:tcW w:w="0" w:type="auto"/>
            <w:vAlign w:val="center"/>
          </w:tcPr>
          <w:p w14:paraId="41504A0E">
            <w:pPr>
              <w:widowControl/>
              <w:spacing w:line="240" w:lineRule="exact"/>
              <w:ind w:firstLine="0" w:firstLineChars="0"/>
              <w:jc w:val="center"/>
              <w:rPr>
                <w:kern w:val="0"/>
                <w:sz w:val="21"/>
                <w:szCs w:val="21"/>
              </w:rPr>
            </w:pPr>
            <w:r>
              <w:rPr>
                <w:rFonts w:hint="eastAsia"/>
                <w:kern w:val="0"/>
                <w:sz w:val="21"/>
                <w:szCs w:val="21"/>
              </w:rPr>
              <w:t>3162m3</w:t>
            </w:r>
          </w:p>
        </w:tc>
        <w:tc>
          <w:tcPr>
            <w:tcW w:w="0" w:type="auto"/>
            <w:vAlign w:val="center"/>
          </w:tcPr>
          <w:p w14:paraId="4035CC75">
            <w:pPr>
              <w:widowControl/>
              <w:spacing w:line="240" w:lineRule="exact"/>
              <w:ind w:firstLine="0" w:firstLineChars="0"/>
              <w:jc w:val="center"/>
              <w:rPr>
                <w:kern w:val="0"/>
                <w:sz w:val="21"/>
                <w:szCs w:val="21"/>
              </w:rPr>
            </w:pPr>
          </w:p>
        </w:tc>
        <w:tc>
          <w:tcPr>
            <w:tcW w:w="0" w:type="auto"/>
            <w:vAlign w:val="center"/>
          </w:tcPr>
          <w:p w14:paraId="6AF18862">
            <w:pPr>
              <w:widowControl/>
              <w:spacing w:line="240" w:lineRule="exact"/>
              <w:ind w:firstLine="0" w:firstLineChars="0"/>
              <w:jc w:val="center"/>
              <w:rPr>
                <w:kern w:val="0"/>
                <w:sz w:val="21"/>
                <w:szCs w:val="21"/>
              </w:rPr>
            </w:pPr>
          </w:p>
        </w:tc>
        <w:tc>
          <w:tcPr>
            <w:tcW w:w="0" w:type="auto"/>
            <w:vAlign w:val="center"/>
          </w:tcPr>
          <w:p w14:paraId="4F09F64F">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4C3B2551">
            <w:pPr>
              <w:widowControl/>
              <w:spacing w:line="240" w:lineRule="exact"/>
              <w:ind w:firstLine="0" w:firstLineChars="0"/>
              <w:jc w:val="center"/>
              <w:rPr>
                <w:kern w:val="0"/>
                <w:sz w:val="21"/>
                <w:szCs w:val="21"/>
              </w:rPr>
            </w:pPr>
            <w:r>
              <w:rPr>
                <w:rFonts w:hint="eastAsia"/>
                <w:kern w:val="0"/>
                <w:sz w:val="21"/>
                <w:szCs w:val="21"/>
              </w:rPr>
              <w:t>6</w:t>
            </w:r>
          </w:p>
        </w:tc>
        <w:tc>
          <w:tcPr>
            <w:tcW w:w="0" w:type="auto"/>
            <w:vAlign w:val="center"/>
          </w:tcPr>
          <w:p w14:paraId="14136E7E">
            <w:pPr>
              <w:widowControl/>
              <w:spacing w:line="240" w:lineRule="exact"/>
              <w:ind w:firstLine="0" w:firstLineChars="0"/>
              <w:jc w:val="center"/>
              <w:rPr>
                <w:kern w:val="0"/>
                <w:sz w:val="21"/>
                <w:szCs w:val="21"/>
              </w:rPr>
            </w:pPr>
          </w:p>
        </w:tc>
        <w:tc>
          <w:tcPr>
            <w:tcW w:w="0" w:type="auto"/>
            <w:vAlign w:val="center"/>
          </w:tcPr>
          <w:p w14:paraId="488297FD">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550D91EF">
            <w:pPr>
              <w:widowControl/>
              <w:spacing w:line="240" w:lineRule="exact"/>
              <w:ind w:firstLine="0" w:firstLineChars="0"/>
              <w:jc w:val="center"/>
              <w:rPr>
                <w:kern w:val="0"/>
                <w:sz w:val="21"/>
                <w:szCs w:val="21"/>
              </w:rPr>
            </w:pPr>
            <w:r>
              <w:rPr>
                <w:rFonts w:hint="eastAsia"/>
                <w:kern w:val="0"/>
                <w:sz w:val="21"/>
                <w:szCs w:val="21"/>
              </w:rPr>
              <w:t>9</w:t>
            </w:r>
          </w:p>
        </w:tc>
      </w:tr>
      <w:tr w14:paraId="3D1143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0" w:type="auto"/>
            <w:vAlign w:val="center"/>
          </w:tcPr>
          <w:p w14:paraId="33F13652">
            <w:pPr>
              <w:widowControl/>
              <w:spacing w:line="240" w:lineRule="exact"/>
              <w:ind w:firstLine="0" w:firstLineChars="0"/>
              <w:jc w:val="center"/>
              <w:rPr>
                <w:kern w:val="0"/>
                <w:sz w:val="21"/>
                <w:szCs w:val="21"/>
              </w:rPr>
            </w:pPr>
            <w:r>
              <w:rPr>
                <w:kern w:val="0"/>
                <w:sz w:val="21"/>
                <w:szCs w:val="21"/>
              </w:rPr>
              <w:t>北海伟龙船舶服务有限公司</w:t>
            </w:r>
          </w:p>
        </w:tc>
        <w:tc>
          <w:tcPr>
            <w:tcW w:w="0" w:type="auto"/>
            <w:vAlign w:val="center"/>
          </w:tcPr>
          <w:p w14:paraId="47BDC2AD">
            <w:pPr>
              <w:widowControl/>
              <w:spacing w:line="240" w:lineRule="exact"/>
              <w:ind w:firstLine="0" w:firstLineChars="0"/>
              <w:jc w:val="center"/>
              <w:rPr>
                <w:kern w:val="0"/>
                <w:sz w:val="21"/>
                <w:szCs w:val="21"/>
              </w:rPr>
            </w:pPr>
            <w:r>
              <w:rPr>
                <w:rFonts w:hint="eastAsia"/>
                <w:kern w:val="0"/>
                <w:sz w:val="21"/>
                <w:szCs w:val="21"/>
              </w:rPr>
              <w:t>4200</w:t>
            </w:r>
          </w:p>
        </w:tc>
        <w:tc>
          <w:tcPr>
            <w:tcW w:w="0" w:type="auto"/>
            <w:vAlign w:val="center"/>
          </w:tcPr>
          <w:p w14:paraId="55E24D59">
            <w:pPr>
              <w:widowControl/>
              <w:spacing w:line="240" w:lineRule="exact"/>
              <w:ind w:firstLine="0" w:firstLineChars="0"/>
              <w:jc w:val="center"/>
              <w:rPr>
                <w:kern w:val="0"/>
                <w:sz w:val="21"/>
                <w:szCs w:val="21"/>
              </w:rPr>
            </w:pPr>
            <w:r>
              <w:rPr>
                <w:rFonts w:hint="eastAsia"/>
                <w:kern w:val="0"/>
                <w:sz w:val="21"/>
                <w:szCs w:val="21"/>
              </w:rPr>
              <w:t>10000</w:t>
            </w:r>
          </w:p>
        </w:tc>
        <w:tc>
          <w:tcPr>
            <w:tcW w:w="0" w:type="auto"/>
            <w:vAlign w:val="center"/>
          </w:tcPr>
          <w:p w14:paraId="65BE3BC0">
            <w:pPr>
              <w:widowControl/>
              <w:spacing w:line="240" w:lineRule="exact"/>
              <w:ind w:firstLine="0" w:firstLineChars="0"/>
              <w:jc w:val="center"/>
              <w:rPr>
                <w:kern w:val="0"/>
                <w:sz w:val="21"/>
                <w:szCs w:val="21"/>
              </w:rPr>
            </w:pPr>
            <w:r>
              <w:rPr>
                <w:rFonts w:hint="eastAsia"/>
                <w:kern w:val="0"/>
                <w:sz w:val="21"/>
                <w:szCs w:val="21"/>
              </w:rPr>
              <w:t>6</w:t>
            </w:r>
          </w:p>
        </w:tc>
        <w:tc>
          <w:tcPr>
            <w:tcW w:w="0" w:type="auto"/>
            <w:vAlign w:val="center"/>
          </w:tcPr>
          <w:p w14:paraId="4E072E95">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0492F14F">
            <w:pPr>
              <w:widowControl/>
              <w:spacing w:line="240" w:lineRule="exact"/>
              <w:ind w:firstLine="0" w:firstLineChars="0"/>
              <w:jc w:val="center"/>
              <w:rPr>
                <w:kern w:val="0"/>
                <w:sz w:val="21"/>
                <w:szCs w:val="21"/>
              </w:rPr>
            </w:pPr>
            <w:r>
              <w:rPr>
                <w:rFonts w:hint="eastAsia"/>
                <w:kern w:val="0"/>
                <w:sz w:val="21"/>
                <w:szCs w:val="21"/>
              </w:rPr>
              <w:t>6</w:t>
            </w:r>
          </w:p>
        </w:tc>
        <w:tc>
          <w:tcPr>
            <w:tcW w:w="0" w:type="auto"/>
            <w:vAlign w:val="center"/>
          </w:tcPr>
          <w:p w14:paraId="14401BC0">
            <w:pPr>
              <w:widowControl/>
              <w:spacing w:line="240" w:lineRule="exact"/>
              <w:ind w:firstLine="0" w:firstLineChars="0"/>
              <w:jc w:val="center"/>
              <w:rPr>
                <w:kern w:val="0"/>
                <w:sz w:val="21"/>
                <w:szCs w:val="21"/>
              </w:rPr>
            </w:pPr>
            <w:r>
              <w:rPr>
                <w:rFonts w:hint="eastAsia"/>
                <w:kern w:val="0"/>
                <w:sz w:val="21"/>
                <w:szCs w:val="21"/>
              </w:rPr>
              <w:t>2000</w:t>
            </w:r>
          </w:p>
        </w:tc>
        <w:tc>
          <w:tcPr>
            <w:tcW w:w="0" w:type="auto"/>
            <w:vAlign w:val="center"/>
          </w:tcPr>
          <w:p w14:paraId="7A754321">
            <w:pPr>
              <w:widowControl/>
              <w:spacing w:line="240" w:lineRule="exact"/>
              <w:ind w:firstLine="0" w:firstLineChars="0"/>
              <w:jc w:val="center"/>
              <w:rPr>
                <w:kern w:val="0"/>
                <w:sz w:val="21"/>
                <w:szCs w:val="21"/>
              </w:rPr>
            </w:pPr>
          </w:p>
        </w:tc>
        <w:tc>
          <w:tcPr>
            <w:tcW w:w="0" w:type="auto"/>
            <w:vAlign w:val="center"/>
          </w:tcPr>
          <w:p w14:paraId="7F9D3388">
            <w:pPr>
              <w:widowControl/>
              <w:spacing w:line="240" w:lineRule="exact"/>
              <w:ind w:firstLine="0" w:firstLineChars="0"/>
              <w:jc w:val="center"/>
              <w:rPr>
                <w:kern w:val="0"/>
                <w:sz w:val="21"/>
                <w:szCs w:val="21"/>
              </w:rPr>
            </w:pPr>
          </w:p>
        </w:tc>
        <w:tc>
          <w:tcPr>
            <w:tcW w:w="0" w:type="auto"/>
            <w:vAlign w:val="center"/>
          </w:tcPr>
          <w:p w14:paraId="4CCEF3FF">
            <w:pPr>
              <w:widowControl/>
              <w:spacing w:line="240" w:lineRule="exact"/>
              <w:ind w:firstLine="0" w:firstLineChars="0"/>
              <w:jc w:val="center"/>
              <w:rPr>
                <w:kern w:val="0"/>
                <w:sz w:val="21"/>
                <w:szCs w:val="21"/>
              </w:rPr>
            </w:pPr>
          </w:p>
        </w:tc>
        <w:tc>
          <w:tcPr>
            <w:tcW w:w="0" w:type="auto"/>
            <w:vAlign w:val="center"/>
          </w:tcPr>
          <w:p w14:paraId="3A7366C3">
            <w:pPr>
              <w:widowControl/>
              <w:spacing w:line="240" w:lineRule="exact"/>
              <w:ind w:firstLine="0" w:firstLineChars="0"/>
              <w:jc w:val="center"/>
              <w:rPr>
                <w:kern w:val="0"/>
                <w:sz w:val="21"/>
                <w:szCs w:val="21"/>
              </w:rPr>
            </w:pPr>
          </w:p>
        </w:tc>
        <w:tc>
          <w:tcPr>
            <w:tcW w:w="0" w:type="auto"/>
            <w:vAlign w:val="center"/>
          </w:tcPr>
          <w:p w14:paraId="783A1A9B">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681BAF5B">
            <w:pPr>
              <w:widowControl/>
              <w:spacing w:line="240" w:lineRule="exact"/>
              <w:ind w:firstLine="0" w:firstLineChars="0"/>
              <w:jc w:val="center"/>
              <w:rPr>
                <w:kern w:val="0"/>
                <w:sz w:val="21"/>
                <w:szCs w:val="21"/>
              </w:rPr>
            </w:pPr>
          </w:p>
        </w:tc>
        <w:tc>
          <w:tcPr>
            <w:tcW w:w="0" w:type="auto"/>
            <w:vAlign w:val="center"/>
          </w:tcPr>
          <w:p w14:paraId="09232A6D">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251F4E72">
            <w:pPr>
              <w:widowControl/>
              <w:spacing w:line="240" w:lineRule="exact"/>
              <w:ind w:firstLine="0" w:firstLineChars="0"/>
              <w:jc w:val="center"/>
              <w:rPr>
                <w:kern w:val="0"/>
                <w:sz w:val="21"/>
                <w:szCs w:val="21"/>
              </w:rPr>
            </w:pPr>
            <w:r>
              <w:rPr>
                <w:rFonts w:hint="eastAsia"/>
                <w:kern w:val="0"/>
                <w:sz w:val="21"/>
                <w:szCs w:val="21"/>
              </w:rPr>
              <w:t>6</w:t>
            </w:r>
          </w:p>
        </w:tc>
      </w:tr>
      <w:tr w14:paraId="05E4FA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shd w:val="clear" w:color="auto" w:fill="BEBEBE" w:themeFill="background1" w:themeFillShade="BF"/>
            <w:vAlign w:val="center"/>
          </w:tcPr>
          <w:p w14:paraId="5A6122DF">
            <w:pPr>
              <w:widowControl/>
              <w:spacing w:line="240" w:lineRule="exact"/>
              <w:ind w:firstLine="0" w:firstLineChars="0"/>
              <w:jc w:val="center"/>
              <w:rPr>
                <w:kern w:val="0"/>
                <w:sz w:val="21"/>
                <w:szCs w:val="21"/>
              </w:rPr>
            </w:pPr>
            <w:r>
              <w:rPr>
                <w:kern w:val="0"/>
                <w:sz w:val="21"/>
                <w:szCs w:val="21"/>
              </w:rPr>
              <w:t>北海企业小计</w:t>
            </w:r>
          </w:p>
        </w:tc>
        <w:tc>
          <w:tcPr>
            <w:tcW w:w="0" w:type="auto"/>
            <w:shd w:val="clear" w:color="auto" w:fill="BEBEBE" w:themeFill="background1" w:themeFillShade="BF"/>
            <w:vAlign w:val="center"/>
          </w:tcPr>
          <w:p w14:paraId="5B83A418">
            <w:pPr>
              <w:widowControl/>
              <w:spacing w:line="240" w:lineRule="exact"/>
              <w:ind w:firstLine="0" w:firstLineChars="0"/>
              <w:jc w:val="center"/>
              <w:rPr>
                <w:kern w:val="0"/>
                <w:sz w:val="21"/>
                <w:szCs w:val="21"/>
              </w:rPr>
            </w:pPr>
            <w:r>
              <w:rPr>
                <w:rFonts w:hint="eastAsia"/>
                <w:kern w:val="0"/>
                <w:sz w:val="21"/>
                <w:szCs w:val="21"/>
              </w:rPr>
              <w:t>12810</w:t>
            </w:r>
          </w:p>
        </w:tc>
        <w:tc>
          <w:tcPr>
            <w:tcW w:w="0" w:type="auto"/>
            <w:shd w:val="clear" w:color="auto" w:fill="BEBEBE" w:themeFill="background1" w:themeFillShade="BF"/>
            <w:vAlign w:val="center"/>
          </w:tcPr>
          <w:p w14:paraId="643B19D0">
            <w:pPr>
              <w:widowControl/>
              <w:spacing w:line="240" w:lineRule="exact"/>
              <w:ind w:firstLine="0" w:firstLineChars="0"/>
              <w:jc w:val="center"/>
              <w:rPr>
                <w:kern w:val="0"/>
                <w:sz w:val="21"/>
                <w:szCs w:val="21"/>
              </w:rPr>
            </w:pPr>
            <w:r>
              <w:rPr>
                <w:rFonts w:hint="eastAsia"/>
                <w:kern w:val="0"/>
                <w:sz w:val="21"/>
                <w:szCs w:val="21"/>
              </w:rPr>
              <w:t>27500</w:t>
            </w:r>
          </w:p>
        </w:tc>
        <w:tc>
          <w:tcPr>
            <w:tcW w:w="0" w:type="auto"/>
            <w:shd w:val="clear" w:color="auto" w:fill="BEBEBE" w:themeFill="background1" w:themeFillShade="BF"/>
            <w:vAlign w:val="center"/>
          </w:tcPr>
          <w:p w14:paraId="4A5A2C62">
            <w:pPr>
              <w:widowControl/>
              <w:spacing w:line="240" w:lineRule="exact"/>
              <w:ind w:firstLine="0" w:firstLineChars="0"/>
              <w:jc w:val="center"/>
              <w:rPr>
                <w:kern w:val="0"/>
                <w:sz w:val="21"/>
                <w:szCs w:val="21"/>
              </w:rPr>
            </w:pPr>
            <w:r>
              <w:rPr>
                <w:rFonts w:hint="eastAsia"/>
                <w:kern w:val="0"/>
                <w:sz w:val="21"/>
                <w:szCs w:val="21"/>
              </w:rPr>
              <w:t>20</w:t>
            </w:r>
          </w:p>
        </w:tc>
        <w:tc>
          <w:tcPr>
            <w:tcW w:w="0" w:type="auto"/>
            <w:shd w:val="clear" w:color="auto" w:fill="BEBEBE" w:themeFill="background1" w:themeFillShade="BF"/>
            <w:vAlign w:val="center"/>
          </w:tcPr>
          <w:p w14:paraId="0065940E">
            <w:pPr>
              <w:widowControl/>
              <w:spacing w:line="240" w:lineRule="exact"/>
              <w:ind w:firstLine="0" w:firstLineChars="0"/>
              <w:jc w:val="center"/>
              <w:rPr>
                <w:kern w:val="0"/>
                <w:sz w:val="21"/>
                <w:szCs w:val="21"/>
              </w:rPr>
            </w:pPr>
            <w:r>
              <w:rPr>
                <w:rFonts w:hint="eastAsia"/>
                <w:kern w:val="0"/>
                <w:sz w:val="21"/>
                <w:szCs w:val="21"/>
              </w:rPr>
              <w:t>15</w:t>
            </w:r>
          </w:p>
        </w:tc>
        <w:tc>
          <w:tcPr>
            <w:tcW w:w="0" w:type="auto"/>
            <w:shd w:val="clear" w:color="auto" w:fill="BEBEBE" w:themeFill="background1" w:themeFillShade="BF"/>
            <w:vAlign w:val="center"/>
          </w:tcPr>
          <w:p w14:paraId="53ED9881">
            <w:pPr>
              <w:widowControl/>
              <w:spacing w:line="240" w:lineRule="exact"/>
              <w:ind w:firstLine="0" w:firstLineChars="0"/>
              <w:jc w:val="center"/>
              <w:rPr>
                <w:kern w:val="0"/>
                <w:sz w:val="21"/>
                <w:szCs w:val="21"/>
              </w:rPr>
            </w:pPr>
            <w:r>
              <w:rPr>
                <w:rFonts w:hint="eastAsia"/>
                <w:kern w:val="0"/>
                <w:sz w:val="21"/>
                <w:szCs w:val="21"/>
              </w:rPr>
              <w:t>20.2</w:t>
            </w:r>
          </w:p>
        </w:tc>
        <w:tc>
          <w:tcPr>
            <w:tcW w:w="0" w:type="auto"/>
            <w:shd w:val="clear" w:color="auto" w:fill="BEBEBE" w:themeFill="background1" w:themeFillShade="BF"/>
            <w:vAlign w:val="center"/>
          </w:tcPr>
          <w:p w14:paraId="5D006847">
            <w:pPr>
              <w:widowControl/>
              <w:spacing w:line="240" w:lineRule="exact"/>
              <w:ind w:firstLine="0" w:firstLineChars="0"/>
              <w:jc w:val="center"/>
              <w:rPr>
                <w:kern w:val="0"/>
                <w:sz w:val="21"/>
                <w:szCs w:val="21"/>
              </w:rPr>
            </w:pPr>
            <w:r>
              <w:rPr>
                <w:rFonts w:hint="eastAsia"/>
                <w:kern w:val="0"/>
                <w:sz w:val="21"/>
                <w:szCs w:val="21"/>
              </w:rPr>
              <w:t>7400</w:t>
            </w:r>
          </w:p>
        </w:tc>
        <w:tc>
          <w:tcPr>
            <w:tcW w:w="0" w:type="auto"/>
            <w:shd w:val="clear" w:color="auto" w:fill="BEBEBE" w:themeFill="background1" w:themeFillShade="BF"/>
            <w:vAlign w:val="center"/>
          </w:tcPr>
          <w:p w14:paraId="73AD44BB">
            <w:pPr>
              <w:widowControl/>
              <w:spacing w:line="240" w:lineRule="exact"/>
              <w:ind w:firstLine="0" w:firstLineChars="0"/>
              <w:jc w:val="center"/>
              <w:rPr>
                <w:kern w:val="0"/>
                <w:sz w:val="21"/>
                <w:szCs w:val="21"/>
              </w:rPr>
            </w:pPr>
            <w:r>
              <w:rPr>
                <w:rFonts w:hint="eastAsia"/>
                <w:kern w:val="0"/>
                <w:sz w:val="21"/>
                <w:szCs w:val="21"/>
              </w:rPr>
              <w:t>6</w:t>
            </w:r>
          </w:p>
        </w:tc>
        <w:tc>
          <w:tcPr>
            <w:tcW w:w="0" w:type="auto"/>
            <w:shd w:val="clear" w:color="auto" w:fill="BEBEBE" w:themeFill="background1" w:themeFillShade="BF"/>
            <w:vAlign w:val="center"/>
          </w:tcPr>
          <w:p w14:paraId="5932AB13">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07D9DC89">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4BEE2512">
            <w:pPr>
              <w:widowControl/>
              <w:spacing w:line="240" w:lineRule="exact"/>
              <w:ind w:firstLine="0" w:firstLineChars="0"/>
              <w:jc w:val="center"/>
              <w:rPr>
                <w:kern w:val="0"/>
                <w:sz w:val="21"/>
                <w:szCs w:val="21"/>
              </w:rPr>
            </w:pPr>
            <w:r>
              <w:rPr>
                <w:rFonts w:hint="eastAsia"/>
                <w:kern w:val="0"/>
                <w:sz w:val="21"/>
                <w:szCs w:val="21"/>
              </w:rPr>
              <w:t>4</w:t>
            </w:r>
          </w:p>
        </w:tc>
        <w:tc>
          <w:tcPr>
            <w:tcW w:w="0" w:type="auto"/>
            <w:shd w:val="clear" w:color="auto" w:fill="BEBEBE" w:themeFill="background1" w:themeFillShade="BF"/>
            <w:vAlign w:val="center"/>
          </w:tcPr>
          <w:p w14:paraId="0A111150">
            <w:pPr>
              <w:widowControl/>
              <w:spacing w:line="240" w:lineRule="exact"/>
              <w:ind w:firstLine="0" w:firstLineChars="0"/>
              <w:jc w:val="center"/>
              <w:rPr>
                <w:kern w:val="0"/>
                <w:sz w:val="21"/>
                <w:szCs w:val="21"/>
              </w:rPr>
            </w:pPr>
            <w:r>
              <w:rPr>
                <w:rFonts w:hint="eastAsia"/>
                <w:kern w:val="0"/>
                <w:sz w:val="21"/>
                <w:szCs w:val="21"/>
              </w:rPr>
              <w:t>9</w:t>
            </w:r>
          </w:p>
        </w:tc>
        <w:tc>
          <w:tcPr>
            <w:tcW w:w="0" w:type="auto"/>
            <w:shd w:val="clear" w:color="auto" w:fill="BEBEBE" w:themeFill="background1" w:themeFillShade="BF"/>
            <w:vAlign w:val="center"/>
          </w:tcPr>
          <w:p w14:paraId="4BD1E182">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4DC521F3">
            <w:pPr>
              <w:widowControl/>
              <w:spacing w:line="240" w:lineRule="exact"/>
              <w:ind w:firstLine="0" w:firstLineChars="0"/>
              <w:jc w:val="center"/>
              <w:rPr>
                <w:kern w:val="0"/>
                <w:sz w:val="21"/>
                <w:szCs w:val="21"/>
              </w:rPr>
            </w:pPr>
            <w:r>
              <w:rPr>
                <w:rFonts w:hint="eastAsia"/>
                <w:kern w:val="0"/>
                <w:sz w:val="21"/>
                <w:szCs w:val="21"/>
              </w:rPr>
              <w:t>3</w:t>
            </w:r>
          </w:p>
        </w:tc>
        <w:tc>
          <w:tcPr>
            <w:tcW w:w="0" w:type="auto"/>
            <w:shd w:val="clear" w:color="auto" w:fill="BEBEBE" w:themeFill="background1" w:themeFillShade="BF"/>
            <w:vAlign w:val="center"/>
          </w:tcPr>
          <w:p w14:paraId="1EB44C6F">
            <w:pPr>
              <w:widowControl/>
              <w:spacing w:line="240" w:lineRule="exact"/>
              <w:ind w:firstLine="0" w:firstLineChars="0"/>
              <w:jc w:val="center"/>
              <w:rPr>
                <w:kern w:val="0"/>
                <w:sz w:val="21"/>
                <w:szCs w:val="21"/>
              </w:rPr>
            </w:pPr>
            <w:r>
              <w:rPr>
                <w:rFonts w:hint="eastAsia"/>
                <w:kern w:val="0"/>
                <w:sz w:val="21"/>
                <w:szCs w:val="21"/>
              </w:rPr>
              <w:t>17</w:t>
            </w:r>
          </w:p>
        </w:tc>
      </w:tr>
      <w:tr w14:paraId="2EDB13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3C5948EB">
            <w:pPr>
              <w:widowControl/>
              <w:spacing w:line="240" w:lineRule="exact"/>
              <w:ind w:firstLine="0" w:firstLineChars="0"/>
              <w:jc w:val="center"/>
              <w:rPr>
                <w:kern w:val="0"/>
                <w:sz w:val="21"/>
                <w:szCs w:val="21"/>
              </w:rPr>
            </w:pPr>
            <w:r>
              <w:rPr>
                <w:kern w:val="0"/>
                <w:sz w:val="21"/>
                <w:szCs w:val="21"/>
              </w:rPr>
              <w:t>中石油广西石化</w:t>
            </w:r>
          </w:p>
        </w:tc>
        <w:tc>
          <w:tcPr>
            <w:tcW w:w="0" w:type="auto"/>
            <w:vAlign w:val="center"/>
          </w:tcPr>
          <w:p w14:paraId="484F3FCE">
            <w:pPr>
              <w:widowControl/>
              <w:spacing w:line="240" w:lineRule="exact"/>
              <w:ind w:firstLine="0" w:firstLineChars="0"/>
              <w:jc w:val="center"/>
              <w:rPr>
                <w:kern w:val="0"/>
                <w:sz w:val="21"/>
                <w:szCs w:val="21"/>
              </w:rPr>
            </w:pPr>
            <w:r>
              <w:rPr>
                <w:rFonts w:hint="eastAsia"/>
                <w:kern w:val="0"/>
                <w:sz w:val="21"/>
                <w:szCs w:val="21"/>
              </w:rPr>
              <w:t>5000</w:t>
            </w:r>
          </w:p>
        </w:tc>
        <w:tc>
          <w:tcPr>
            <w:tcW w:w="0" w:type="auto"/>
            <w:vAlign w:val="center"/>
          </w:tcPr>
          <w:p w14:paraId="234F92E9">
            <w:pPr>
              <w:widowControl/>
              <w:spacing w:line="240" w:lineRule="exact"/>
              <w:ind w:firstLine="0" w:firstLineChars="0"/>
              <w:jc w:val="center"/>
              <w:rPr>
                <w:kern w:val="0"/>
                <w:sz w:val="21"/>
                <w:szCs w:val="21"/>
              </w:rPr>
            </w:pPr>
            <w:r>
              <w:rPr>
                <w:rFonts w:hint="eastAsia"/>
                <w:kern w:val="0"/>
                <w:sz w:val="21"/>
                <w:szCs w:val="21"/>
              </w:rPr>
              <w:t>5000</w:t>
            </w:r>
          </w:p>
        </w:tc>
        <w:tc>
          <w:tcPr>
            <w:tcW w:w="0" w:type="auto"/>
            <w:vAlign w:val="center"/>
          </w:tcPr>
          <w:p w14:paraId="3EC3BCA7">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76291B7F">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2210C642">
            <w:pPr>
              <w:widowControl/>
              <w:spacing w:line="240" w:lineRule="exact"/>
              <w:ind w:firstLine="0" w:firstLineChars="0"/>
              <w:jc w:val="center"/>
              <w:rPr>
                <w:kern w:val="0"/>
                <w:sz w:val="21"/>
                <w:szCs w:val="21"/>
              </w:rPr>
            </w:pPr>
            <w:r>
              <w:rPr>
                <w:rFonts w:hint="eastAsia"/>
                <w:kern w:val="0"/>
                <w:sz w:val="21"/>
                <w:szCs w:val="21"/>
              </w:rPr>
              <w:t>8</w:t>
            </w:r>
          </w:p>
        </w:tc>
        <w:tc>
          <w:tcPr>
            <w:tcW w:w="0" w:type="auto"/>
            <w:vAlign w:val="center"/>
          </w:tcPr>
          <w:p w14:paraId="789293D6">
            <w:pPr>
              <w:widowControl/>
              <w:spacing w:line="240" w:lineRule="exact"/>
              <w:ind w:firstLine="0" w:firstLineChars="0"/>
              <w:jc w:val="center"/>
              <w:rPr>
                <w:kern w:val="0"/>
                <w:sz w:val="21"/>
                <w:szCs w:val="21"/>
              </w:rPr>
            </w:pPr>
          </w:p>
        </w:tc>
        <w:tc>
          <w:tcPr>
            <w:tcW w:w="0" w:type="auto"/>
            <w:vAlign w:val="center"/>
          </w:tcPr>
          <w:p w14:paraId="2A3E6BFC">
            <w:pPr>
              <w:widowControl/>
              <w:spacing w:line="240" w:lineRule="exact"/>
              <w:ind w:firstLine="0" w:firstLineChars="0"/>
              <w:jc w:val="center"/>
              <w:rPr>
                <w:kern w:val="0"/>
                <w:sz w:val="21"/>
                <w:szCs w:val="21"/>
              </w:rPr>
            </w:pPr>
            <w:r>
              <w:rPr>
                <w:rFonts w:hint="eastAsia"/>
                <w:kern w:val="0"/>
                <w:sz w:val="21"/>
                <w:szCs w:val="21"/>
              </w:rPr>
              <w:t>7</w:t>
            </w:r>
          </w:p>
        </w:tc>
        <w:tc>
          <w:tcPr>
            <w:tcW w:w="0" w:type="auto"/>
            <w:vAlign w:val="center"/>
          </w:tcPr>
          <w:p w14:paraId="37C1641C">
            <w:pPr>
              <w:widowControl/>
              <w:spacing w:line="240" w:lineRule="exact"/>
              <w:ind w:firstLine="0" w:firstLineChars="0"/>
              <w:jc w:val="center"/>
              <w:rPr>
                <w:kern w:val="0"/>
                <w:sz w:val="21"/>
                <w:szCs w:val="21"/>
              </w:rPr>
            </w:pPr>
          </w:p>
        </w:tc>
        <w:tc>
          <w:tcPr>
            <w:tcW w:w="0" w:type="auto"/>
            <w:vAlign w:val="center"/>
          </w:tcPr>
          <w:p w14:paraId="112A5D8B">
            <w:pPr>
              <w:widowControl/>
              <w:spacing w:line="240" w:lineRule="exact"/>
              <w:ind w:firstLine="0" w:firstLineChars="0"/>
              <w:jc w:val="center"/>
              <w:rPr>
                <w:kern w:val="0"/>
                <w:sz w:val="21"/>
                <w:szCs w:val="21"/>
              </w:rPr>
            </w:pPr>
          </w:p>
        </w:tc>
        <w:tc>
          <w:tcPr>
            <w:tcW w:w="0" w:type="auto"/>
            <w:vAlign w:val="center"/>
          </w:tcPr>
          <w:p w14:paraId="21534908">
            <w:pPr>
              <w:widowControl/>
              <w:spacing w:line="240" w:lineRule="exact"/>
              <w:ind w:firstLine="0" w:firstLineChars="0"/>
              <w:jc w:val="center"/>
              <w:rPr>
                <w:kern w:val="0"/>
                <w:sz w:val="21"/>
                <w:szCs w:val="21"/>
              </w:rPr>
            </w:pPr>
          </w:p>
        </w:tc>
        <w:tc>
          <w:tcPr>
            <w:tcW w:w="0" w:type="auto"/>
            <w:vAlign w:val="center"/>
          </w:tcPr>
          <w:p w14:paraId="13257FD7">
            <w:pPr>
              <w:widowControl/>
              <w:spacing w:line="240" w:lineRule="exact"/>
              <w:ind w:firstLine="0" w:firstLineChars="0"/>
              <w:jc w:val="center"/>
              <w:rPr>
                <w:kern w:val="0"/>
                <w:sz w:val="21"/>
                <w:szCs w:val="21"/>
              </w:rPr>
            </w:pPr>
          </w:p>
        </w:tc>
        <w:tc>
          <w:tcPr>
            <w:tcW w:w="0" w:type="auto"/>
            <w:vAlign w:val="center"/>
          </w:tcPr>
          <w:p w14:paraId="20A61CF8">
            <w:pPr>
              <w:widowControl/>
              <w:spacing w:line="240" w:lineRule="exact"/>
              <w:ind w:firstLine="0" w:firstLineChars="0"/>
              <w:jc w:val="center"/>
              <w:rPr>
                <w:kern w:val="0"/>
                <w:sz w:val="21"/>
                <w:szCs w:val="21"/>
              </w:rPr>
            </w:pPr>
          </w:p>
        </w:tc>
        <w:tc>
          <w:tcPr>
            <w:tcW w:w="0" w:type="auto"/>
            <w:vAlign w:val="center"/>
          </w:tcPr>
          <w:p w14:paraId="1FB222F9">
            <w:pPr>
              <w:widowControl/>
              <w:spacing w:line="240" w:lineRule="exact"/>
              <w:ind w:firstLine="0" w:firstLineChars="0"/>
              <w:jc w:val="center"/>
              <w:rPr>
                <w:kern w:val="0"/>
                <w:sz w:val="21"/>
                <w:szCs w:val="21"/>
              </w:rPr>
            </w:pPr>
          </w:p>
        </w:tc>
        <w:tc>
          <w:tcPr>
            <w:tcW w:w="0" w:type="auto"/>
            <w:vAlign w:val="center"/>
          </w:tcPr>
          <w:p w14:paraId="0FF46BDF">
            <w:pPr>
              <w:widowControl/>
              <w:spacing w:line="240" w:lineRule="exact"/>
              <w:ind w:firstLine="0" w:firstLineChars="0"/>
              <w:jc w:val="center"/>
              <w:rPr>
                <w:kern w:val="0"/>
                <w:sz w:val="21"/>
                <w:szCs w:val="21"/>
              </w:rPr>
            </w:pPr>
          </w:p>
        </w:tc>
      </w:tr>
      <w:tr w14:paraId="7C9010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2585B031">
            <w:pPr>
              <w:widowControl/>
              <w:spacing w:line="240" w:lineRule="exact"/>
              <w:ind w:firstLine="0" w:firstLineChars="0"/>
              <w:jc w:val="center"/>
              <w:rPr>
                <w:kern w:val="0"/>
                <w:sz w:val="21"/>
                <w:szCs w:val="21"/>
              </w:rPr>
            </w:pPr>
            <w:r>
              <w:rPr>
                <w:kern w:val="0"/>
                <w:sz w:val="21"/>
                <w:szCs w:val="21"/>
              </w:rPr>
              <w:t>钦州广明码头</w:t>
            </w:r>
          </w:p>
        </w:tc>
        <w:tc>
          <w:tcPr>
            <w:tcW w:w="0" w:type="auto"/>
            <w:vAlign w:val="center"/>
          </w:tcPr>
          <w:p w14:paraId="14C50EFC">
            <w:pPr>
              <w:widowControl/>
              <w:spacing w:line="240" w:lineRule="exact"/>
              <w:ind w:firstLine="0" w:firstLineChars="0"/>
              <w:jc w:val="center"/>
              <w:rPr>
                <w:kern w:val="0"/>
                <w:sz w:val="21"/>
                <w:szCs w:val="21"/>
              </w:rPr>
            </w:pPr>
            <w:r>
              <w:rPr>
                <w:rFonts w:hint="eastAsia"/>
                <w:kern w:val="0"/>
                <w:sz w:val="21"/>
                <w:szCs w:val="21"/>
              </w:rPr>
              <w:t>450</w:t>
            </w:r>
          </w:p>
        </w:tc>
        <w:tc>
          <w:tcPr>
            <w:tcW w:w="0" w:type="auto"/>
            <w:vAlign w:val="center"/>
          </w:tcPr>
          <w:p w14:paraId="66DCA273">
            <w:pPr>
              <w:widowControl/>
              <w:spacing w:line="240" w:lineRule="exact"/>
              <w:ind w:firstLine="0" w:firstLineChars="0"/>
              <w:jc w:val="center"/>
              <w:rPr>
                <w:kern w:val="0"/>
                <w:sz w:val="21"/>
                <w:szCs w:val="21"/>
              </w:rPr>
            </w:pPr>
            <w:r>
              <w:rPr>
                <w:rFonts w:hint="eastAsia"/>
                <w:kern w:val="0"/>
                <w:sz w:val="21"/>
                <w:szCs w:val="21"/>
              </w:rPr>
              <w:t>2000</w:t>
            </w:r>
          </w:p>
        </w:tc>
        <w:tc>
          <w:tcPr>
            <w:tcW w:w="0" w:type="auto"/>
            <w:vAlign w:val="center"/>
          </w:tcPr>
          <w:p w14:paraId="39510BDD">
            <w:pPr>
              <w:widowControl/>
              <w:spacing w:line="240" w:lineRule="exact"/>
              <w:ind w:firstLine="0" w:firstLineChars="0"/>
              <w:jc w:val="center"/>
              <w:rPr>
                <w:kern w:val="0"/>
                <w:sz w:val="21"/>
                <w:szCs w:val="21"/>
              </w:rPr>
            </w:pPr>
          </w:p>
        </w:tc>
        <w:tc>
          <w:tcPr>
            <w:tcW w:w="0" w:type="auto"/>
            <w:vAlign w:val="center"/>
          </w:tcPr>
          <w:p w14:paraId="75410150">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59DC46B5">
            <w:pPr>
              <w:widowControl/>
              <w:spacing w:line="240" w:lineRule="exact"/>
              <w:ind w:firstLine="0" w:firstLineChars="0"/>
              <w:jc w:val="center"/>
              <w:rPr>
                <w:kern w:val="0"/>
                <w:sz w:val="21"/>
                <w:szCs w:val="21"/>
              </w:rPr>
            </w:pPr>
          </w:p>
        </w:tc>
        <w:tc>
          <w:tcPr>
            <w:tcW w:w="0" w:type="auto"/>
            <w:vAlign w:val="center"/>
          </w:tcPr>
          <w:p w14:paraId="72917647">
            <w:pPr>
              <w:widowControl/>
              <w:spacing w:line="240" w:lineRule="exact"/>
              <w:ind w:firstLine="0" w:firstLineChars="0"/>
              <w:jc w:val="center"/>
              <w:rPr>
                <w:kern w:val="0"/>
                <w:sz w:val="21"/>
                <w:szCs w:val="21"/>
              </w:rPr>
            </w:pPr>
            <w:r>
              <w:rPr>
                <w:rFonts w:hint="eastAsia"/>
                <w:kern w:val="0"/>
                <w:sz w:val="21"/>
                <w:szCs w:val="21"/>
              </w:rPr>
              <w:t>200</w:t>
            </w:r>
          </w:p>
        </w:tc>
        <w:tc>
          <w:tcPr>
            <w:tcW w:w="0" w:type="auto"/>
            <w:vAlign w:val="center"/>
          </w:tcPr>
          <w:p w14:paraId="51736A8B">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53CB2DF0">
            <w:pPr>
              <w:widowControl/>
              <w:spacing w:line="240" w:lineRule="exact"/>
              <w:ind w:firstLine="0" w:firstLineChars="0"/>
              <w:jc w:val="center"/>
              <w:rPr>
                <w:kern w:val="0"/>
                <w:sz w:val="21"/>
                <w:szCs w:val="21"/>
              </w:rPr>
            </w:pPr>
          </w:p>
        </w:tc>
        <w:tc>
          <w:tcPr>
            <w:tcW w:w="0" w:type="auto"/>
            <w:vAlign w:val="center"/>
          </w:tcPr>
          <w:p w14:paraId="34AE290E">
            <w:pPr>
              <w:widowControl/>
              <w:spacing w:line="240" w:lineRule="exact"/>
              <w:ind w:firstLine="0" w:firstLineChars="0"/>
              <w:jc w:val="center"/>
              <w:rPr>
                <w:kern w:val="0"/>
                <w:sz w:val="21"/>
                <w:szCs w:val="21"/>
              </w:rPr>
            </w:pPr>
          </w:p>
        </w:tc>
        <w:tc>
          <w:tcPr>
            <w:tcW w:w="0" w:type="auto"/>
            <w:vAlign w:val="center"/>
          </w:tcPr>
          <w:p w14:paraId="1869C1E6">
            <w:pPr>
              <w:widowControl/>
              <w:spacing w:line="240" w:lineRule="exact"/>
              <w:ind w:firstLine="0" w:firstLineChars="0"/>
              <w:jc w:val="center"/>
              <w:rPr>
                <w:kern w:val="0"/>
                <w:sz w:val="21"/>
                <w:szCs w:val="21"/>
              </w:rPr>
            </w:pPr>
          </w:p>
        </w:tc>
        <w:tc>
          <w:tcPr>
            <w:tcW w:w="0" w:type="auto"/>
            <w:vAlign w:val="center"/>
          </w:tcPr>
          <w:p w14:paraId="2C4056CB">
            <w:pPr>
              <w:widowControl/>
              <w:spacing w:line="240" w:lineRule="exact"/>
              <w:ind w:firstLine="0" w:firstLineChars="0"/>
              <w:jc w:val="center"/>
              <w:rPr>
                <w:kern w:val="0"/>
                <w:sz w:val="21"/>
                <w:szCs w:val="21"/>
              </w:rPr>
            </w:pPr>
          </w:p>
        </w:tc>
        <w:tc>
          <w:tcPr>
            <w:tcW w:w="0" w:type="auto"/>
            <w:vAlign w:val="center"/>
          </w:tcPr>
          <w:p w14:paraId="3B4E731A">
            <w:pPr>
              <w:widowControl/>
              <w:spacing w:line="240" w:lineRule="exact"/>
              <w:ind w:firstLine="0" w:firstLineChars="0"/>
              <w:jc w:val="center"/>
              <w:rPr>
                <w:kern w:val="0"/>
                <w:sz w:val="21"/>
                <w:szCs w:val="21"/>
              </w:rPr>
            </w:pPr>
          </w:p>
        </w:tc>
        <w:tc>
          <w:tcPr>
            <w:tcW w:w="0" w:type="auto"/>
            <w:vAlign w:val="center"/>
          </w:tcPr>
          <w:p w14:paraId="4BA27F9E">
            <w:pPr>
              <w:widowControl/>
              <w:spacing w:line="240" w:lineRule="exact"/>
              <w:ind w:firstLine="0" w:firstLineChars="0"/>
              <w:jc w:val="center"/>
              <w:rPr>
                <w:kern w:val="0"/>
                <w:sz w:val="21"/>
                <w:szCs w:val="21"/>
              </w:rPr>
            </w:pPr>
          </w:p>
        </w:tc>
        <w:tc>
          <w:tcPr>
            <w:tcW w:w="0" w:type="auto"/>
            <w:vAlign w:val="center"/>
          </w:tcPr>
          <w:p w14:paraId="34069BB4">
            <w:pPr>
              <w:widowControl/>
              <w:spacing w:line="240" w:lineRule="exact"/>
              <w:ind w:firstLine="0" w:firstLineChars="0"/>
              <w:jc w:val="center"/>
              <w:rPr>
                <w:kern w:val="0"/>
                <w:sz w:val="21"/>
                <w:szCs w:val="21"/>
              </w:rPr>
            </w:pPr>
          </w:p>
        </w:tc>
      </w:tr>
      <w:tr w14:paraId="486273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0" w:type="auto"/>
            <w:vAlign w:val="center"/>
          </w:tcPr>
          <w:p w14:paraId="3DE600FB">
            <w:pPr>
              <w:widowControl/>
              <w:spacing w:line="240" w:lineRule="exact"/>
              <w:ind w:firstLine="0" w:firstLineChars="0"/>
              <w:jc w:val="center"/>
              <w:rPr>
                <w:kern w:val="0"/>
                <w:sz w:val="21"/>
                <w:szCs w:val="21"/>
              </w:rPr>
            </w:pPr>
            <w:r>
              <w:rPr>
                <w:kern w:val="0"/>
                <w:sz w:val="21"/>
                <w:szCs w:val="21"/>
              </w:rPr>
              <w:t>广西钦州中石化</w:t>
            </w:r>
          </w:p>
        </w:tc>
        <w:tc>
          <w:tcPr>
            <w:tcW w:w="0" w:type="auto"/>
            <w:vAlign w:val="center"/>
          </w:tcPr>
          <w:p w14:paraId="3BC06F88">
            <w:pPr>
              <w:widowControl/>
              <w:spacing w:line="240" w:lineRule="exact"/>
              <w:ind w:firstLine="0" w:firstLineChars="0"/>
              <w:jc w:val="center"/>
              <w:rPr>
                <w:kern w:val="0"/>
                <w:sz w:val="21"/>
                <w:szCs w:val="21"/>
              </w:rPr>
            </w:pPr>
            <w:r>
              <w:rPr>
                <w:rFonts w:hint="eastAsia"/>
                <w:kern w:val="0"/>
                <w:sz w:val="21"/>
                <w:szCs w:val="21"/>
              </w:rPr>
              <w:t>600</w:t>
            </w:r>
          </w:p>
        </w:tc>
        <w:tc>
          <w:tcPr>
            <w:tcW w:w="0" w:type="auto"/>
            <w:vAlign w:val="center"/>
          </w:tcPr>
          <w:p w14:paraId="60837FC8">
            <w:pPr>
              <w:widowControl/>
              <w:spacing w:line="240" w:lineRule="exact"/>
              <w:ind w:firstLine="0" w:firstLineChars="0"/>
              <w:jc w:val="center"/>
              <w:rPr>
                <w:kern w:val="0"/>
                <w:sz w:val="21"/>
                <w:szCs w:val="21"/>
              </w:rPr>
            </w:pPr>
            <w:r>
              <w:rPr>
                <w:rFonts w:hint="eastAsia"/>
                <w:kern w:val="0"/>
                <w:sz w:val="21"/>
                <w:szCs w:val="21"/>
              </w:rPr>
              <w:t>2000</w:t>
            </w:r>
          </w:p>
        </w:tc>
        <w:tc>
          <w:tcPr>
            <w:tcW w:w="0" w:type="auto"/>
            <w:vAlign w:val="center"/>
          </w:tcPr>
          <w:p w14:paraId="2FCA1185">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760EEA70">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3544C3B3">
            <w:pPr>
              <w:widowControl/>
              <w:spacing w:line="240" w:lineRule="exact"/>
              <w:ind w:firstLine="0" w:firstLineChars="0"/>
              <w:jc w:val="center"/>
              <w:rPr>
                <w:kern w:val="0"/>
                <w:sz w:val="21"/>
                <w:szCs w:val="21"/>
              </w:rPr>
            </w:pPr>
          </w:p>
        </w:tc>
        <w:tc>
          <w:tcPr>
            <w:tcW w:w="0" w:type="auto"/>
            <w:vAlign w:val="center"/>
          </w:tcPr>
          <w:p w14:paraId="2A146AFE">
            <w:pPr>
              <w:widowControl/>
              <w:spacing w:line="240" w:lineRule="exact"/>
              <w:ind w:firstLine="0" w:firstLineChars="0"/>
              <w:jc w:val="center"/>
              <w:rPr>
                <w:kern w:val="0"/>
                <w:sz w:val="21"/>
                <w:szCs w:val="21"/>
              </w:rPr>
            </w:pPr>
            <w:r>
              <w:rPr>
                <w:rFonts w:hint="eastAsia"/>
                <w:kern w:val="0"/>
                <w:sz w:val="21"/>
                <w:szCs w:val="21"/>
              </w:rPr>
              <w:t>400</w:t>
            </w:r>
          </w:p>
        </w:tc>
        <w:tc>
          <w:tcPr>
            <w:tcW w:w="0" w:type="auto"/>
            <w:vAlign w:val="center"/>
          </w:tcPr>
          <w:p w14:paraId="6C595841">
            <w:pPr>
              <w:widowControl/>
              <w:spacing w:line="240" w:lineRule="exact"/>
              <w:ind w:firstLine="0" w:firstLineChars="0"/>
              <w:jc w:val="center"/>
              <w:rPr>
                <w:kern w:val="0"/>
                <w:sz w:val="21"/>
                <w:szCs w:val="21"/>
              </w:rPr>
            </w:pPr>
          </w:p>
        </w:tc>
        <w:tc>
          <w:tcPr>
            <w:tcW w:w="0" w:type="auto"/>
            <w:vAlign w:val="center"/>
          </w:tcPr>
          <w:p w14:paraId="3A9BA87B">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009B3BB2">
            <w:pPr>
              <w:widowControl/>
              <w:spacing w:line="240" w:lineRule="exact"/>
              <w:ind w:firstLine="0" w:firstLineChars="0"/>
              <w:jc w:val="center"/>
              <w:rPr>
                <w:kern w:val="0"/>
                <w:sz w:val="21"/>
                <w:szCs w:val="21"/>
              </w:rPr>
            </w:pPr>
          </w:p>
        </w:tc>
        <w:tc>
          <w:tcPr>
            <w:tcW w:w="0" w:type="auto"/>
            <w:vAlign w:val="center"/>
          </w:tcPr>
          <w:p w14:paraId="5E4DDA4D">
            <w:pPr>
              <w:widowControl/>
              <w:spacing w:line="240" w:lineRule="exact"/>
              <w:ind w:firstLine="0" w:firstLineChars="0"/>
              <w:jc w:val="center"/>
              <w:rPr>
                <w:kern w:val="0"/>
                <w:sz w:val="21"/>
                <w:szCs w:val="21"/>
              </w:rPr>
            </w:pPr>
          </w:p>
        </w:tc>
        <w:tc>
          <w:tcPr>
            <w:tcW w:w="0" w:type="auto"/>
            <w:vAlign w:val="center"/>
          </w:tcPr>
          <w:p w14:paraId="6BBCB67B">
            <w:pPr>
              <w:widowControl/>
              <w:spacing w:line="240" w:lineRule="exact"/>
              <w:ind w:firstLine="0" w:firstLineChars="0"/>
              <w:jc w:val="center"/>
              <w:rPr>
                <w:kern w:val="0"/>
                <w:sz w:val="21"/>
                <w:szCs w:val="21"/>
              </w:rPr>
            </w:pPr>
          </w:p>
        </w:tc>
        <w:tc>
          <w:tcPr>
            <w:tcW w:w="0" w:type="auto"/>
            <w:vAlign w:val="center"/>
          </w:tcPr>
          <w:p w14:paraId="41B17150">
            <w:pPr>
              <w:widowControl/>
              <w:spacing w:line="240" w:lineRule="exact"/>
              <w:ind w:firstLine="0" w:firstLineChars="0"/>
              <w:jc w:val="center"/>
              <w:rPr>
                <w:kern w:val="0"/>
                <w:sz w:val="21"/>
                <w:szCs w:val="21"/>
              </w:rPr>
            </w:pPr>
          </w:p>
        </w:tc>
        <w:tc>
          <w:tcPr>
            <w:tcW w:w="0" w:type="auto"/>
            <w:vAlign w:val="center"/>
          </w:tcPr>
          <w:p w14:paraId="4F54E1CE">
            <w:pPr>
              <w:widowControl/>
              <w:spacing w:line="240" w:lineRule="exact"/>
              <w:ind w:firstLine="0" w:firstLineChars="0"/>
              <w:jc w:val="center"/>
              <w:rPr>
                <w:kern w:val="0"/>
                <w:sz w:val="21"/>
                <w:szCs w:val="21"/>
              </w:rPr>
            </w:pPr>
          </w:p>
        </w:tc>
        <w:tc>
          <w:tcPr>
            <w:tcW w:w="0" w:type="auto"/>
            <w:vAlign w:val="center"/>
          </w:tcPr>
          <w:p w14:paraId="06676A37">
            <w:pPr>
              <w:widowControl/>
              <w:spacing w:line="240" w:lineRule="exact"/>
              <w:ind w:firstLine="0" w:firstLineChars="0"/>
              <w:jc w:val="center"/>
              <w:rPr>
                <w:kern w:val="0"/>
                <w:sz w:val="21"/>
                <w:szCs w:val="21"/>
              </w:rPr>
            </w:pPr>
          </w:p>
        </w:tc>
      </w:tr>
      <w:tr w14:paraId="540745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03EE6170">
            <w:pPr>
              <w:widowControl/>
              <w:spacing w:line="240" w:lineRule="exact"/>
              <w:ind w:firstLine="0" w:firstLineChars="0"/>
              <w:jc w:val="center"/>
              <w:rPr>
                <w:kern w:val="0"/>
                <w:sz w:val="21"/>
                <w:szCs w:val="21"/>
              </w:rPr>
            </w:pPr>
            <w:r>
              <w:rPr>
                <w:kern w:val="0"/>
                <w:sz w:val="21"/>
                <w:szCs w:val="21"/>
              </w:rPr>
              <w:t>广西东油沥青有限公司</w:t>
            </w:r>
          </w:p>
        </w:tc>
        <w:tc>
          <w:tcPr>
            <w:tcW w:w="0" w:type="auto"/>
            <w:vAlign w:val="center"/>
          </w:tcPr>
          <w:p w14:paraId="6B1CC0F4">
            <w:pPr>
              <w:widowControl/>
              <w:spacing w:line="240" w:lineRule="exact"/>
              <w:ind w:firstLine="0" w:firstLineChars="0"/>
              <w:jc w:val="center"/>
              <w:rPr>
                <w:kern w:val="0"/>
                <w:sz w:val="21"/>
                <w:szCs w:val="21"/>
              </w:rPr>
            </w:pPr>
            <w:r>
              <w:rPr>
                <w:rFonts w:hint="eastAsia"/>
                <w:kern w:val="0"/>
                <w:sz w:val="21"/>
                <w:szCs w:val="21"/>
              </w:rPr>
              <w:t>800</w:t>
            </w:r>
          </w:p>
        </w:tc>
        <w:tc>
          <w:tcPr>
            <w:tcW w:w="0" w:type="auto"/>
            <w:vAlign w:val="center"/>
          </w:tcPr>
          <w:p w14:paraId="4923447B">
            <w:pPr>
              <w:widowControl/>
              <w:spacing w:line="240" w:lineRule="exact"/>
              <w:ind w:firstLine="0" w:firstLineChars="0"/>
              <w:jc w:val="center"/>
              <w:rPr>
                <w:kern w:val="0"/>
                <w:sz w:val="21"/>
                <w:szCs w:val="21"/>
              </w:rPr>
            </w:pPr>
            <w:r>
              <w:rPr>
                <w:rFonts w:hint="eastAsia"/>
                <w:kern w:val="0"/>
                <w:sz w:val="21"/>
                <w:szCs w:val="21"/>
              </w:rPr>
              <w:t>2000</w:t>
            </w:r>
          </w:p>
        </w:tc>
        <w:tc>
          <w:tcPr>
            <w:tcW w:w="0" w:type="auto"/>
            <w:vAlign w:val="center"/>
          </w:tcPr>
          <w:p w14:paraId="6906F5A1">
            <w:pPr>
              <w:widowControl/>
              <w:spacing w:line="240" w:lineRule="exact"/>
              <w:ind w:firstLine="0" w:firstLineChars="0"/>
              <w:jc w:val="center"/>
              <w:rPr>
                <w:kern w:val="0"/>
                <w:sz w:val="21"/>
                <w:szCs w:val="21"/>
              </w:rPr>
            </w:pPr>
          </w:p>
        </w:tc>
        <w:tc>
          <w:tcPr>
            <w:tcW w:w="0" w:type="auto"/>
            <w:vAlign w:val="center"/>
          </w:tcPr>
          <w:p w14:paraId="4B09FE40">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596BB224">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139E0791">
            <w:pPr>
              <w:widowControl/>
              <w:spacing w:line="240" w:lineRule="exact"/>
              <w:ind w:firstLine="0" w:firstLineChars="0"/>
              <w:jc w:val="center"/>
              <w:rPr>
                <w:kern w:val="0"/>
                <w:sz w:val="21"/>
                <w:szCs w:val="21"/>
              </w:rPr>
            </w:pPr>
          </w:p>
        </w:tc>
        <w:tc>
          <w:tcPr>
            <w:tcW w:w="0" w:type="auto"/>
            <w:vAlign w:val="center"/>
          </w:tcPr>
          <w:p w14:paraId="3094FC26">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5E9A19AA">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58D7831F">
            <w:pPr>
              <w:widowControl/>
              <w:spacing w:line="240" w:lineRule="exact"/>
              <w:ind w:firstLine="0" w:firstLineChars="0"/>
              <w:jc w:val="center"/>
              <w:rPr>
                <w:kern w:val="0"/>
                <w:sz w:val="21"/>
                <w:szCs w:val="21"/>
              </w:rPr>
            </w:pPr>
          </w:p>
        </w:tc>
        <w:tc>
          <w:tcPr>
            <w:tcW w:w="0" w:type="auto"/>
            <w:vAlign w:val="center"/>
          </w:tcPr>
          <w:p w14:paraId="5ECE1979">
            <w:pPr>
              <w:widowControl/>
              <w:spacing w:line="240" w:lineRule="exact"/>
              <w:ind w:firstLine="0" w:firstLineChars="0"/>
              <w:jc w:val="center"/>
              <w:rPr>
                <w:kern w:val="0"/>
                <w:sz w:val="21"/>
                <w:szCs w:val="21"/>
              </w:rPr>
            </w:pPr>
          </w:p>
        </w:tc>
        <w:tc>
          <w:tcPr>
            <w:tcW w:w="0" w:type="auto"/>
            <w:vAlign w:val="center"/>
          </w:tcPr>
          <w:p w14:paraId="23B40F4D">
            <w:pPr>
              <w:widowControl/>
              <w:spacing w:line="240" w:lineRule="exact"/>
              <w:ind w:firstLine="0" w:firstLineChars="0"/>
              <w:jc w:val="center"/>
              <w:rPr>
                <w:kern w:val="0"/>
                <w:sz w:val="21"/>
                <w:szCs w:val="21"/>
              </w:rPr>
            </w:pPr>
          </w:p>
        </w:tc>
        <w:tc>
          <w:tcPr>
            <w:tcW w:w="0" w:type="auto"/>
            <w:vAlign w:val="center"/>
          </w:tcPr>
          <w:p w14:paraId="4DBBB65E">
            <w:pPr>
              <w:widowControl/>
              <w:spacing w:line="240" w:lineRule="exact"/>
              <w:ind w:firstLine="0" w:firstLineChars="0"/>
              <w:jc w:val="center"/>
              <w:rPr>
                <w:kern w:val="0"/>
                <w:sz w:val="21"/>
                <w:szCs w:val="21"/>
              </w:rPr>
            </w:pPr>
          </w:p>
        </w:tc>
        <w:tc>
          <w:tcPr>
            <w:tcW w:w="0" w:type="auto"/>
            <w:vAlign w:val="center"/>
          </w:tcPr>
          <w:p w14:paraId="3550133C">
            <w:pPr>
              <w:widowControl/>
              <w:spacing w:line="240" w:lineRule="exact"/>
              <w:ind w:firstLine="0" w:firstLineChars="0"/>
              <w:jc w:val="center"/>
              <w:rPr>
                <w:kern w:val="0"/>
                <w:sz w:val="21"/>
                <w:szCs w:val="21"/>
              </w:rPr>
            </w:pPr>
          </w:p>
        </w:tc>
        <w:tc>
          <w:tcPr>
            <w:tcW w:w="0" w:type="auto"/>
            <w:vAlign w:val="center"/>
          </w:tcPr>
          <w:p w14:paraId="5BFEAB87">
            <w:pPr>
              <w:widowControl/>
              <w:spacing w:line="240" w:lineRule="exact"/>
              <w:ind w:firstLine="0" w:firstLineChars="0"/>
              <w:jc w:val="center"/>
              <w:rPr>
                <w:kern w:val="0"/>
                <w:sz w:val="21"/>
                <w:szCs w:val="21"/>
              </w:rPr>
            </w:pPr>
          </w:p>
        </w:tc>
      </w:tr>
      <w:tr w14:paraId="78B186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361017BC">
            <w:pPr>
              <w:widowControl/>
              <w:spacing w:line="240" w:lineRule="exact"/>
              <w:ind w:firstLine="0" w:firstLineChars="0"/>
              <w:jc w:val="center"/>
              <w:rPr>
                <w:kern w:val="0"/>
                <w:sz w:val="21"/>
                <w:szCs w:val="21"/>
              </w:rPr>
            </w:pPr>
            <w:r>
              <w:rPr>
                <w:kern w:val="0"/>
                <w:sz w:val="21"/>
                <w:szCs w:val="21"/>
              </w:rPr>
              <w:t>钦州苏南公司</w:t>
            </w:r>
          </w:p>
        </w:tc>
        <w:tc>
          <w:tcPr>
            <w:tcW w:w="0" w:type="auto"/>
            <w:vAlign w:val="center"/>
          </w:tcPr>
          <w:p w14:paraId="226B6915">
            <w:pPr>
              <w:widowControl/>
              <w:spacing w:line="240" w:lineRule="exact"/>
              <w:ind w:firstLine="0" w:firstLineChars="0"/>
              <w:jc w:val="center"/>
              <w:rPr>
                <w:kern w:val="0"/>
                <w:sz w:val="21"/>
                <w:szCs w:val="21"/>
              </w:rPr>
            </w:pPr>
            <w:r>
              <w:rPr>
                <w:rFonts w:hint="eastAsia"/>
                <w:kern w:val="0"/>
                <w:sz w:val="21"/>
                <w:szCs w:val="21"/>
              </w:rPr>
              <w:t>4200</w:t>
            </w:r>
          </w:p>
        </w:tc>
        <w:tc>
          <w:tcPr>
            <w:tcW w:w="0" w:type="auto"/>
            <w:vAlign w:val="center"/>
          </w:tcPr>
          <w:p w14:paraId="0DAAFFAE">
            <w:pPr>
              <w:widowControl/>
              <w:spacing w:line="240" w:lineRule="exact"/>
              <w:ind w:firstLine="0" w:firstLineChars="0"/>
              <w:jc w:val="center"/>
              <w:rPr>
                <w:kern w:val="0"/>
                <w:sz w:val="21"/>
                <w:szCs w:val="21"/>
              </w:rPr>
            </w:pPr>
            <w:r>
              <w:rPr>
                <w:rFonts w:hint="eastAsia"/>
                <w:kern w:val="0"/>
                <w:sz w:val="21"/>
                <w:szCs w:val="21"/>
              </w:rPr>
              <w:t>10000</w:t>
            </w:r>
          </w:p>
        </w:tc>
        <w:tc>
          <w:tcPr>
            <w:tcW w:w="0" w:type="auto"/>
            <w:vAlign w:val="center"/>
          </w:tcPr>
          <w:p w14:paraId="741F80C3">
            <w:pPr>
              <w:widowControl/>
              <w:spacing w:line="240" w:lineRule="exact"/>
              <w:ind w:firstLine="0" w:firstLineChars="0"/>
              <w:jc w:val="center"/>
              <w:rPr>
                <w:kern w:val="0"/>
                <w:sz w:val="21"/>
                <w:szCs w:val="21"/>
              </w:rPr>
            </w:pPr>
            <w:r>
              <w:rPr>
                <w:rFonts w:hint="eastAsia"/>
                <w:kern w:val="0"/>
                <w:sz w:val="21"/>
                <w:szCs w:val="21"/>
              </w:rPr>
              <w:t>6</w:t>
            </w:r>
          </w:p>
        </w:tc>
        <w:tc>
          <w:tcPr>
            <w:tcW w:w="0" w:type="auto"/>
            <w:vAlign w:val="center"/>
          </w:tcPr>
          <w:p w14:paraId="779BAEC6">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2A8CDE89">
            <w:pPr>
              <w:widowControl/>
              <w:spacing w:line="240" w:lineRule="exact"/>
              <w:ind w:firstLine="0" w:firstLineChars="0"/>
              <w:jc w:val="center"/>
              <w:rPr>
                <w:kern w:val="0"/>
                <w:sz w:val="21"/>
                <w:szCs w:val="21"/>
              </w:rPr>
            </w:pPr>
            <w:r>
              <w:rPr>
                <w:rFonts w:hint="eastAsia"/>
                <w:kern w:val="0"/>
                <w:sz w:val="21"/>
                <w:szCs w:val="21"/>
              </w:rPr>
              <w:t>6</w:t>
            </w:r>
          </w:p>
        </w:tc>
        <w:tc>
          <w:tcPr>
            <w:tcW w:w="0" w:type="auto"/>
            <w:vAlign w:val="center"/>
          </w:tcPr>
          <w:p w14:paraId="79420A4E">
            <w:pPr>
              <w:widowControl/>
              <w:spacing w:line="240" w:lineRule="exact"/>
              <w:ind w:firstLine="0" w:firstLineChars="0"/>
              <w:jc w:val="center"/>
              <w:rPr>
                <w:kern w:val="0"/>
                <w:sz w:val="21"/>
                <w:szCs w:val="21"/>
              </w:rPr>
            </w:pPr>
            <w:r>
              <w:rPr>
                <w:rFonts w:hint="eastAsia"/>
                <w:kern w:val="0"/>
                <w:sz w:val="21"/>
                <w:szCs w:val="21"/>
              </w:rPr>
              <w:t>1000</w:t>
            </w:r>
          </w:p>
        </w:tc>
        <w:tc>
          <w:tcPr>
            <w:tcW w:w="0" w:type="auto"/>
            <w:vAlign w:val="center"/>
          </w:tcPr>
          <w:p w14:paraId="759238AF">
            <w:pPr>
              <w:widowControl/>
              <w:spacing w:line="240" w:lineRule="exact"/>
              <w:ind w:firstLine="0" w:firstLineChars="0"/>
              <w:jc w:val="center"/>
              <w:rPr>
                <w:kern w:val="0"/>
                <w:sz w:val="21"/>
                <w:szCs w:val="21"/>
              </w:rPr>
            </w:pPr>
            <w:r>
              <w:rPr>
                <w:rFonts w:hint="eastAsia"/>
                <w:kern w:val="0"/>
                <w:sz w:val="21"/>
                <w:szCs w:val="21"/>
              </w:rPr>
              <w:t>1670 m3</w:t>
            </w:r>
          </w:p>
        </w:tc>
        <w:tc>
          <w:tcPr>
            <w:tcW w:w="0" w:type="auto"/>
            <w:vAlign w:val="center"/>
          </w:tcPr>
          <w:p w14:paraId="05959693">
            <w:pPr>
              <w:widowControl/>
              <w:spacing w:line="240" w:lineRule="exact"/>
              <w:ind w:firstLine="0" w:firstLineChars="0"/>
              <w:jc w:val="center"/>
              <w:rPr>
                <w:kern w:val="0"/>
                <w:sz w:val="21"/>
                <w:szCs w:val="21"/>
              </w:rPr>
            </w:pPr>
          </w:p>
        </w:tc>
        <w:tc>
          <w:tcPr>
            <w:tcW w:w="0" w:type="auto"/>
            <w:vAlign w:val="center"/>
          </w:tcPr>
          <w:p w14:paraId="56BE48C3">
            <w:pPr>
              <w:widowControl/>
              <w:spacing w:line="240" w:lineRule="exact"/>
              <w:ind w:firstLine="0" w:firstLineChars="0"/>
              <w:jc w:val="center"/>
              <w:rPr>
                <w:kern w:val="0"/>
                <w:sz w:val="21"/>
                <w:szCs w:val="21"/>
              </w:rPr>
            </w:pPr>
          </w:p>
        </w:tc>
        <w:tc>
          <w:tcPr>
            <w:tcW w:w="0" w:type="auto"/>
            <w:vAlign w:val="center"/>
          </w:tcPr>
          <w:p w14:paraId="5CFA45FE">
            <w:pPr>
              <w:widowControl/>
              <w:spacing w:line="240" w:lineRule="exact"/>
              <w:ind w:firstLine="0" w:firstLineChars="0"/>
              <w:jc w:val="center"/>
              <w:rPr>
                <w:kern w:val="0"/>
                <w:sz w:val="21"/>
                <w:szCs w:val="21"/>
              </w:rPr>
            </w:pPr>
          </w:p>
        </w:tc>
        <w:tc>
          <w:tcPr>
            <w:tcW w:w="0" w:type="auto"/>
            <w:vAlign w:val="center"/>
          </w:tcPr>
          <w:p w14:paraId="085C035C">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4CF98AFB">
            <w:pPr>
              <w:widowControl/>
              <w:spacing w:line="240" w:lineRule="exact"/>
              <w:ind w:firstLine="0" w:firstLineChars="0"/>
              <w:jc w:val="center"/>
              <w:rPr>
                <w:kern w:val="0"/>
                <w:sz w:val="21"/>
                <w:szCs w:val="21"/>
              </w:rPr>
            </w:pPr>
          </w:p>
        </w:tc>
        <w:tc>
          <w:tcPr>
            <w:tcW w:w="0" w:type="auto"/>
            <w:vAlign w:val="center"/>
          </w:tcPr>
          <w:p w14:paraId="1C559F9E">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1BD94179">
            <w:pPr>
              <w:widowControl/>
              <w:spacing w:line="240" w:lineRule="exact"/>
              <w:ind w:firstLine="0" w:firstLineChars="0"/>
              <w:jc w:val="center"/>
              <w:rPr>
                <w:kern w:val="0"/>
                <w:sz w:val="21"/>
                <w:szCs w:val="21"/>
              </w:rPr>
            </w:pPr>
            <w:r>
              <w:rPr>
                <w:rFonts w:hint="eastAsia"/>
                <w:kern w:val="0"/>
                <w:sz w:val="21"/>
                <w:szCs w:val="21"/>
              </w:rPr>
              <w:t>6</w:t>
            </w:r>
          </w:p>
        </w:tc>
      </w:tr>
      <w:tr w14:paraId="6F3B20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0" w:type="auto"/>
            <w:vAlign w:val="center"/>
          </w:tcPr>
          <w:p w14:paraId="4D937A8F">
            <w:pPr>
              <w:widowControl/>
              <w:spacing w:line="240" w:lineRule="exact"/>
              <w:ind w:firstLine="0" w:firstLineChars="0"/>
              <w:jc w:val="center"/>
              <w:rPr>
                <w:kern w:val="0"/>
                <w:sz w:val="21"/>
                <w:szCs w:val="21"/>
              </w:rPr>
            </w:pPr>
            <w:r>
              <w:rPr>
                <w:kern w:val="0"/>
                <w:sz w:val="21"/>
                <w:szCs w:val="21"/>
              </w:rPr>
              <w:t>钦州桂通公司</w:t>
            </w:r>
          </w:p>
        </w:tc>
        <w:tc>
          <w:tcPr>
            <w:tcW w:w="0" w:type="auto"/>
            <w:vAlign w:val="center"/>
          </w:tcPr>
          <w:p w14:paraId="2DD1AF12">
            <w:pPr>
              <w:widowControl/>
              <w:spacing w:line="240" w:lineRule="exact"/>
              <w:ind w:firstLine="0" w:firstLineChars="0"/>
              <w:jc w:val="center"/>
              <w:rPr>
                <w:kern w:val="0"/>
                <w:sz w:val="21"/>
                <w:szCs w:val="21"/>
              </w:rPr>
            </w:pPr>
            <w:r>
              <w:rPr>
                <w:rFonts w:hint="eastAsia"/>
                <w:kern w:val="0"/>
                <w:sz w:val="21"/>
                <w:szCs w:val="21"/>
              </w:rPr>
              <w:t>10400</w:t>
            </w:r>
          </w:p>
        </w:tc>
        <w:tc>
          <w:tcPr>
            <w:tcW w:w="0" w:type="auto"/>
            <w:vAlign w:val="center"/>
          </w:tcPr>
          <w:p w14:paraId="60360753">
            <w:pPr>
              <w:widowControl/>
              <w:spacing w:line="240" w:lineRule="exact"/>
              <w:ind w:firstLine="0" w:firstLineChars="0"/>
              <w:jc w:val="center"/>
              <w:rPr>
                <w:kern w:val="0"/>
                <w:sz w:val="21"/>
                <w:szCs w:val="21"/>
              </w:rPr>
            </w:pPr>
            <w:r>
              <w:rPr>
                <w:rFonts w:hint="eastAsia"/>
                <w:kern w:val="0"/>
                <w:sz w:val="21"/>
                <w:szCs w:val="21"/>
              </w:rPr>
              <w:t>20000</w:t>
            </w:r>
          </w:p>
        </w:tc>
        <w:tc>
          <w:tcPr>
            <w:tcW w:w="0" w:type="auto"/>
            <w:vAlign w:val="center"/>
          </w:tcPr>
          <w:p w14:paraId="13C3E76D">
            <w:pPr>
              <w:widowControl/>
              <w:spacing w:line="240" w:lineRule="exact"/>
              <w:ind w:firstLine="0" w:firstLineChars="0"/>
              <w:jc w:val="center"/>
              <w:rPr>
                <w:kern w:val="0"/>
                <w:sz w:val="21"/>
                <w:szCs w:val="21"/>
              </w:rPr>
            </w:pPr>
            <w:r>
              <w:rPr>
                <w:rFonts w:hint="eastAsia"/>
                <w:kern w:val="0"/>
                <w:sz w:val="21"/>
                <w:szCs w:val="21"/>
              </w:rPr>
              <w:t>12</w:t>
            </w:r>
          </w:p>
        </w:tc>
        <w:tc>
          <w:tcPr>
            <w:tcW w:w="0" w:type="auto"/>
            <w:vAlign w:val="center"/>
          </w:tcPr>
          <w:p w14:paraId="5D920621">
            <w:pPr>
              <w:widowControl/>
              <w:spacing w:line="240" w:lineRule="exact"/>
              <w:ind w:firstLine="0" w:firstLineChars="0"/>
              <w:jc w:val="center"/>
              <w:rPr>
                <w:kern w:val="0"/>
                <w:sz w:val="21"/>
                <w:szCs w:val="21"/>
              </w:rPr>
            </w:pPr>
            <w:r>
              <w:rPr>
                <w:rFonts w:hint="eastAsia"/>
                <w:kern w:val="0"/>
                <w:sz w:val="21"/>
                <w:szCs w:val="21"/>
              </w:rPr>
              <w:t>5</w:t>
            </w:r>
          </w:p>
        </w:tc>
        <w:tc>
          <w:tcPr>
            <w:tcW w:w="0" w:type="auto"/>
            <w:vAlign w:val="center"/>
          </w:tcPr>
          <w:p w14:paraId="46020F68">
            <w:pPr>
              <w:widowControl/>
              <w:spacing w:line="240" w:lineRule="exact"/>
              <w:ind w:firstLine="0" w:firstLineChars="0"/>
              <w:jc w:val="center"/>
              <w:rPr>
                <w:kern w:val="0"/>
                <w:sz w:val="21"/>
                <w:szCs w:val="21"/>
              </w:rPr>
            </w:pPr>
            <w:r>
              <w:rPr>
                <w:rFonts w:hint="eastAsia"/>
                <w:kern w:val="0"/>
                <w:sz w:val="21"/>
                <w:szCs w:val="21"/>
              </w:rPr>
              <w:t>12</w:t>
            </w:r>
          </w:p>
        </w:tc>
        <w:tc>
          <w:tcPr>
            <w:tcW w:w="0" w:type="auto"/>
            <w:vAlign w:val="center"/>
          </w:tcPr>
          <w:p w14:paraId="5815E671">
            <w:pPr>
              <w:widowControl/>
              <w:spacing w:line="240" w:lineRule="exact"/>
              <w:ind w:firstLine="0" w:firstLineChars="0"/>
              <w:jc w:val="center"/>
              <w:rPr>
                <w:kern w:val="0"/>
                <w:sz w:val="21"/>
                <w:szCs w:val="21"/>
              </w:rPr>
            </w:pPr>
            <w:r>
              <w:rPr>
                <w:rFonts w:hint="eastAsia"/>
                <w:kern w:val="0"/>
                <w:sz w:val="21"/>
                <w:szCs w:val="21"/>
              </w:rPr>
              <w:t>4000</w:t>
            </w:r>
          </w:p>
        </w:tc>
        <w:tc>
          <w:tcPr>
            <w:tcW w:w="0" w:type="auto"/>
            <w:vAlign w:val="center"/>
          </w:tcPr>
          <w:p w14:paraId="5B3658D6">
            <w:pPr>
              <w:widowControl/>
              <w:spacing w:line="240" w:lineRule="exact"/>
              <w:ind w:firstLine="0" w:firstLineChars="0"/>
              <w:jc w:val="center"/>
              <w:rPr>
                <w:kern w:val="0"/>
                <w:sz w:val="21"/>
                <w:szCs w:val="21"/>
              </w:rPr>
            </w:pPr>
            <w:r>
              <w:rPr>
                <w:rFonts w:hint="eastAsia"/>
                <w:kern w:val="0"/>
                <w:sz w:val="21"/>
                <w:szCs w:val="21"/>
              </w:rPr>
              <w:t>1792 m3</w:t>
            </w:r>
          </w:p>
        </w:tc>
        <w:tc>
          <w:tcPr>
            <w:tcW w:w="0" w:type="auto"/>
            <w:vAlign w:val="center"/>
          </w:tcPr>
          <w:p w14:paraId="4EFAF723">
            <w:pPr>
              <w:widowControl/>
              <w:spacing w:line="240" w:lineRule="exact"/>
              <w:ind w:firstLine="0" w:firstLineChars="0"/>
              <w:jc w:val="center"/>
              <w:rPr>
                <w:kern w:val="0"/>
                <w:sz w:val="21"/>
                <w:szCs w:val="21"/>
              </w:rPr>
            </w:pPr>
          </w:p>
        </w:tc>
        <w:tc>
          <w:tcPr>
            <w:tcW w:w="0" w:type="auto"/>
            <w:vAlign w:val="center"/>
          </w:tcPr>
          <w:p w14:paraId="0CE7DB0D">
            <w:pPr>
              <w:widowControl/>
              <w:spacing w:line="240" w:lineRule="exact"/>
              <w:ind w:firstLine="0" w:firstLineChars="0"/>
              <w:jc w:val="center"/>
              <w:rPr>
                <w:kern w:val="0"/>
                <w:sz w:val="21"/>
                <w:szCs w:val="21"/>
              </w:rPr>
            </w:pPr>
          </w:p>
        </w:tc>
        <w:tc>
          <w:tcPr>
            <w:tcW w:w="0" w:type="auto"/>
            <w:vAlign w:val="center"/>
          </w:tcPr>
          <w:p w14:paraId="35CB3353">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4F7CDA6F">
            <w:pPr>
              <w:widowControl/>
              <w:spacing w:line="240" w:lineRule="exact"/>
              <w:ind w:firstLine="0" w:firstLineChars="0"/>
              <w:jc w:val="center"/>
              <w:rPr>
                <w:kern w:val="0"/>
                <w:sz w:val="21"/>
                <w:szCs w:val="21"/>
              </w:rPr>
            </w:pPr>
            <w:r>
              <w:rPr>
                <w:rFonts w:hint="eastAsia"/>
                <w:kern w:val="0"/>
                <w:sz w:val="21"/>
                <w:szCs w:val="21"/>
              </w:rPr>
              <w:t>6</w:t>
            </w:r>
          </w:p>
        </w:tc>
        <w:tc>
          <w:tcPr>
            <w:tcW w:w="0" w:type="auto"/>
            <w:vAlign w:val="center"/>
          </w:tcPr>
          <w:p w14:paraId="03D4A1A7">
            <w:pPr>
              <w:widowControl/>
              <w:spacing w:line="240" w:lineRule="exact"/>
              <w:ind w:firstLine="0" w:firstLineChars="0"/>
              <w:jc w:val="center"/>
              <w:rPr>
                <w:kern w:val="0"/>
                <w:sz w:val="21"/>
                <w:szCs w:val="21"/>
              </w:rPr>
            </w:pPr>
          </w:p>
        </w:tc>
        <w:tc>
          <w:tcPr>
            <w:tcW w:w="0" w:type="auto"/>
            <w:vAlign w:val="center"/>
          </w:tcPr>
          <w:p w14:paraId="0F4A4888">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2FCD3A1C">
            <w:pPr>
              <w:widowControl/>
              <w:spacing w:line="240" w:lineRule="exact"/>
              <w:ind w:firstLine="0" w:firstLineChars="0"/>
              <w:jc w:val="center"/>
              <w:rPr>
                <w:kern w:val="0"/>
                <w:sz w:val="21"/>
                <w:szCs w:val="21"/>
              </w:rPr>
            </w:pPr>
            <w:r>
              <w:rPr>
                <w:rFonts w:hint="eastAsia"/>
                <w:kern w:val="0"/>
                <w:sz w:val="21"/>
                <w:szCs w:val="21"/>
              </w:rPr>
              <w:t>8</w:t>
            </w:r>
          </w:p>
        </w:tc>
      </w:tr>
      <w:tr w14:paraId="002B2D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shd w:val="clear" w:color="auto" w:fill="BEBEBE" w:themeFill="background1" w:themeFillShade="BF"/>
            <w:vAlign w:val="center"/>
          </w:tcPr>
          <w:p w14:paraId="4A5CE65D">
            <w:pPr>
              <w:widowControl/>
              <w:spacing w:line="240" w:lineRule="exact"/>
              <w:ind w:firstLine="0" w:firstLineChars="0"/>
              <w:jc w:val="center"/>
              <w:rPr>
                <w:kern w:val="0"/>
                <w:sz w:val="21"/>
                <w:szCs w:val="21"/>
              </w:rPr>
            </w:pPr>
            <w:r>
              <w:rPr>
                <w:kern w:val="0"/>
                <w:sz w:val="21"/>
                <w:szCs w:val="21"/>
              </w:rPr>
              <w:t>钦州企业小计</w:t>
            </w:r>
          </w:p>
        </w:tc>
        <w:tc>
          <w:tcPr>
            <w:tcW w:w="0" w:type="auto"/>
            <w:shd w:val="clear" w:color="auto" w:fill="BEBEBE" w:themeFill="background1" w:themeFillShade="BF"/>
            <w:vAlign w:val="center"/>
          </w:tcPr>
          <w:p w14:paraId="68FE6482">
            <w:pPr>
              <w:widowControl/>
              <w:spacing w:line="240" w:lineRule="exact"/>
              <w:ind w:firstLine="0" w:firstLineChars="0"/>
              <w:jc w:val="center"/>
              <w:rPr>
                <w:kern w:val="0"/>
                <w:sz w:val="21"/>
                <w:szCs w:val="21"/>
              </w:rPr>
            </w:pPr>
            <w:r>
              <w:rPr>
                <w:rFonts w:hint="eastAsia"/>
                <w:kern w:val="0"/>
                <w:sz w:val="21"/>
                <w:szCs w:val="21"/>
              </w:rPr>
              <w:t>21450</w:t>
            </w:r>
          </w:p>
        </w:tc>
        <w:tc>
          <w:tcPr>
            <w:tcW w:w="0" w:type="auto"/>
            <w:shd w:val="clear" w:color="auto" w:fill="BEBEBE" w:themeFill="background1" w:themeFillShade="BF"/>
            <w:vAlign w:val="center"/>
          </w:tcPr>
          <w:p w14:paraId="0262D08F">
            <w:pPr>
              <w:widowControl/>
              <w:spacing w:line="240" w:lineRule="exact"/>
              <w:ind w:firstLine="0" w:firstLineChars="0"/>
              <w:jc w:val="center"/>
              <w:rPr>
                <w:kern w:val="0"/>
                <w:sz w:val="21"/>
                <w:szCs w:val="21"/>
              </w:rPr>
            </w:pPr>
            <w:r>
              <w:rPr>
                <w:rFonts w:hint="eastAsia"/>
                <w:kern w:val="0"/>
                <w:sz w:val="21"/>
                <w:szCs w:val="21"/>
              </w:rPr>
              <w:t>41000</w:t>
            </w:r>
          </w:p>
        </w:tc>
        <w:tc>
          <w:tcPr>
            <w:tcW w:w="0" w:type="auto"/>
            <w:shd w:val="clear" w:color="auto" w:fill="BEBEBE" w:themeFill="background1" w:themeFillShade="BF"/>
            <w:vAlign w:val="center"/>
          </w:tcPr>
          <w:p w14:paraId="23E79EB2">
            <w:pPr>
              <w:widowControl/>
              <w:spacing w:line="240" w:lineRule="exact"/>
              <w:ind w:firstLine="0" w:firstLineChars="0"/>
              <w:jc w:val="center"/>
              <w:rPr>
                <w:kern w:val="0"/>
                <w:sz w:val="21"/>
                <w:szCs w:val="21"/>
              </w:rPr>
            </w:pPr>
            <w:r>
              <w:rPr>
                <w:rFonts w:hint="eastAsia"/>
                <w:kern w:val="0"/>
                <w:sz w:val="21"/>
                <w:szCs w:val="21"/>
              </w:rPr>
              <w:t>23</w:t>
            </w:r>
          </w:p>
        </w:tc>
        <w:tc>
          <w:tcPr>
            <w:tcW w:w="0" w:type="auto"/>
            <w:shd w:val="clear" w:color="auto" w:fill="BEBEBE" w:themeFill="background1" w:themeFillShade="BF"/>
            <w:vAlign w:val="center"/>
          </w:tcPr>
          <w:p w14:paraId="07BFD49B">
            <w:pPr>
              <w:widowControl/>
              <w:spacing w:line="240" w:lineRule="exact"/>
              <w:ind w:firstLine="0" w:firstLineChars="0"/>
              <w:jc w:val="center"/>
              <w:rPr>
                <w:kern w:val="0"/>
                <w:sz w:val="21"/>
                <w:szCs w:val="21"/>
              </w:rPr>
            </w:pPr>
            <w:r>
              <w:rPr>
                <w:rFonts w:hint="eastAsia"/>
                <w:kern w:val="0"/>
                <w:sz w:val="21"/>
                <w:szCs w:val="21"/>
              </w:rPr>
              <w:t>15</w:t>
            </w:r>
          </w:p>
        </w:tc>
        <w:tc>
          <w:tcPr>
            <w:tcW w:w="0" w:type="auto"/>
            <w:shd w:val="clear" w:color="auto" w:fill="BEBEBE" w:themeFill="background1" w:themeFillShade="BF"/>
            <w:vAlign w:val="center"/>
          </w:tcPr>
          <w:p w14:paraId="654C02CB">
            <w:pPr>
              <w:widowControl/>
              <w:spacing w:line="240" w:lineRule="exact"/>
              <w:ind w:firstLine="0" w:firstLineChars="0"/>
              <w:jc w:val="center"/>
              <w:rPr>
                <w:kern w:val="0"/>
                <w:sz w:val="21"/>
                <w:szCs w:val="21"/>
              </w:rPr>
            </w:pPr>
            <w:r>
              <w:rPr>
                <w:rFonts w:hint="eastAsia"/>
                <w:kern w:val="0"/>
                <w:sz w:val="21"/>
                <w:szCs w:val="21"/>
              </w:rPr>
              <w:t>27.6</w:t>
            </w:r>
          </w:p>
        </w:tc>
        <w:tc>
          <w:tcPr>
            <w:tcW w:w="0" w:type="auto"/>
            <w:shd w:val="clear" w:color="auto" w:fill="BEBEBE" w:themeFill="background1" w:themeFillShade="BF"/>
            <w:vAlign w:val="center"/>
          </w:tcPr>
          <w:p w14:paraId="30140056">
            <w:pPr>
              <w:widowControl/>
              <w:spacing w:line="240" w:lineRule="exact"/>
              <w:ind w:firstLine="0" w:firstLineChars="0"/>
              <w:jc w:val="center"/>
              <w:rPr>
                <w:kern w:val="0"/>
                <w:sz w:val="21"/>
                <w:szCs w:val="21"/>
              </w:rPr>
            </w:pPr>
            <w:r>
              <w:rPr>
                <w:rFonts w:hint="eastAsia"/>
                <w:kern w:val="0"/>
                <w:sz w:val="21"/>
                <w:szCs w:val="21"/>
              </w:rPr>
              <w:t>5600</w:t>
            </w:r>
          </w:p>
        </w:tc>
        <w:tc>
          <w:tcPr>
            <w:tcW w:w="0" w:type="auto"/>
            <w:shd w:val="clear" w:color="auto" w:fill="BEBEBE" w:themeFill="background1" w:themeFillShade="BF"/>
            <w:vAlign w:val="center"/>
          </w:tcPr>
          <w:p w14:paraId="0A5DADE0">
            <w:pPr>
              <w:widowControl/>
              <w:spacing w:line="240" w:lineRule="exact"/>
              <w:ind w:firstLine="0" w:firstLineChars="0"/>
              <w:jc w:val="center"/>
              <w:rPr>
                <w:kern w:val="0"/>
                <w:sz w:val="21"/>
                <w:szCs w:val="21"/>
              </w:rPr>
            </w:pPr>
            <w:r>
              <w:rPr>
                <w:rFonts w:hint="eastAsia"/>
                <w:kern w:val="0"/>
                <w:sz w:val="21"/>
                <w:szCs w:val="21"/>
              </w:rPr>
              <w:t>10</w:t>
            </w:r>
          </w:p>
        </w:tc>
        <w:tc>
          <w:tcPr>
            <w:tcW w:w="0" w:type="auto"/>
            <w:shd w:val="clear" w:color="auto" w:fill="BEBEBE" w:themeFill="background1" w:themeFillShade="BF"/>
            <w:vAlign w:val="center"/>
          </w:tcPr>
          <w:p w14:paraId="46E41A8E">
            <w:pPr>
              <w:widowControl/>
              <w:spacing w:line="240" w:lineRule="exact"/>
              <w:ind w:firstLine="0" w:firstLineChars="0"/>
              <w:jc w:val="center"/>
              <w:rPr>
                <w:kern w:val="0"/>
                <w:sz w:val="21"/>
                <w:szCs w:val="21"/>
              </w:rPr>
            </w:pPr>
            <w:r>
              <w:rPr>
                <w:rFonts w:hint="eastAsia"/>
                <w:kern w:val="0"/>
                <w:sz w:val="21"/>
                <w:szCs w:val="21"/>
              </w:rPr>
              <w:t>2</w:t>
            </w:r>
          </w:p>
        </w:tc>
        <w:tc>
          <w:tcPr>
            <w:tcW w:w="0" w:type="auto"/>
            <w:shd w:val="clear" w:color="auto" w:fill="BEBEBE" w:themeFill="background1" w:themeFillShade="BF"/>
            <w:vAlign w:val="center"/>
          </w:tcPr>
          <w:p w14:paraId="37DB8B8F">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7C85BBD8">
            <w:pPr>
              <w:widowControl/>
              <w:spacing w:line="240" w:lineRule="exact"/>
              <w:ind w:firstLine="0" w:firstLineChars="0"/>
              <w:jc w:val="center"/>
              <w:rPr>
                <w:kern w:val="0"/>
                <w:sz w:val="21"/>
                <w:szCs w:val="21"/>
              </w:rPr>
            </w:pPr>
            <w:r>
              <w:rPr>
                <w:rFonts w:hint="eastAsia"/>
                <w:kern w:val="0"/>
                <w:sz w:val="21"/>
                <w:szCs w:val="21"/>
              </w:rPr>
              <w:t>4</w:t>
            </w:r>
          </w:p>
        </w:tc>
        <w:tc>
          <w:tcPr>
            <w:tcW w:w="0" w:type="auto"/>
            <w:shd w:val="clear" w:color="auto" w:fill="BEBEBE" w:themeFill="background1" w:themeFillShade="BF"/>
            <w:vAlign w:val="center"/>
          </w:tcPr>
          <w:p w14:paraId="318457F0">
            <w:pPr>
              <w:widowControl/>
              <w:spacing w:line="240" w:lineRule="exact"/>
              <w:ind w:firstLine="0" w:firstLineChars="0"/>
              <w:jc w:val="center"/>
              <w:rPr>
                <w:kern w:val="0"/>
                <w:sz w:val="21"/>
                <w:szCs w:val="21"/>
              </w:rPr>
            </w:pPr>
            <w:r>
              <w:rPr>
                <w:rFonts w:hint="eastAsia"/>
                <w:kern w:val="0"/>
                <w:sz w:val="21"/>
                <w:szCs w:val="21"/>
              </w:rPr>
              <w:t>9</w:t>
            </w:r>
          </w:p>
        </w:tc>
        <w:tc>
          <w:tcPr>
            <w:tcW w:w="0" w:type="auto"/>
            <w:shd w:val="clear" w:color="auto" w:fill="BEBEBE" w:themeFill="background1" w:themeFillShade="BF"/>
            <w:vAlign w:val="center"/>
          </w:tcPr>
          <w:p w14:paraId="3D2E5F70">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37102FF1">
            <w:pPr>
              <w:widowControl/>
              <w:spacing w:line="240" w:lineRule="exact"/>
              <w:ind w:firstLine="0" w:firstLineChars="0"/>
              <w:jc w:val="center"/>
              <w:rPr>
                <w:kern w:val="0"/>
                <w:sz w:val="21"/>
                <w:szCs w:val="21"/>
              </w:rPr>
            </w:pPr>
            <w:r>
              <w:rPr>
                <w:rFonts w:hint="eastAsia"/>
                <w:kern w:val="0"/>
                <w:sz w:val="21"/>
                <w:szCs w:val="21"/>
              </w:rPr>
              <w:t>3</w:t>
            </w:r>
          </w:p>
        </w:tc>
        <w:tc>
          <w:tcPr>
            <w:tcW w:w="0" w:type="auto"/>
            <w:shd w:val="clear" w:color="auto" w:fill="BEBEBE" w:themeFill="background1" w:themeFillShade="BF"/>
            <w:vAlign w:val="center"/>
          </w:tcPr>
          <w:p w14:paraId="030C0BBE">
            <w:pPr>
              <w:widowControl/>
              <w:spacing w:line="240" w:lineRule="exact"/>
              <w:ind w:firstLine="0" w:firstLineChars="0"/>
              <w:jc w:val="center"/>
              <w:rPr>
                <w:kern w:val="0"/>
                <w:sz w:val="21"/>
                <w:szCs w:val="21"/>
              </w:rPr>
            </w:pPr>
            <w:r>
              <w:rPr>
                <w:rFonts w:hint="eastAsia"/>
                <w:kern w:val="0"/>
                <w:sz w:val="21"/>
                <w:szCs w:val="21"/>
              </w:rPr>
              <w:t>14</w:t>
            </w:r>
          </w:p>
        </w:tc>
      </w:tr>
      <w:tr w14:paraId="307E5D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1383FB6D">
            <w:pPr>
              <w:widowControl/>
              <w:spacing w:line="240" w:lineRule="exact"/>
              <w:ind w:firstLine="0" w:firstLineChars="0"/>
              <w:jc w:val="center"/>
              <w:rPr>
                <w:kern w:val="0"/>
                <w:sz w:val="21"/>
                <w:szCs w:val="21"/>
              </w:rPr>
            </w:pPr>
            <w:r>
              <w:rPr>
                <w:rFonts w:hint="eastAsia"/>
                <w:kern w:val="0"/>
                <w:sz w:val="21"/>
                <w:szCs w:val="21"/>
              </w:rPr>
              <w:t>防城港港口区航清水上清洁服务部</w:t>
            </w:r>
          </w:p>
        </w:tc>
        <w:tc>
          <w:tcPr>
            <w:tcW w:w="0" w:type="auto"/>
            <w:vAlign w:val="center"/>
          </w:tcPr>
          <w:p w14:paraId="49514A33">
            <w:pPr>
              <w:widowControl/>
              <w:spacing w:line="240" w:lineRule="exact"/>
              <w:ind w:firstLine="0" w:firstLineChars="0"/>
              <w:jc w:val="center"/>
              <w:rPr>
                <w:kern w:val="0"/>
                <w:sz w:val="21"/>
                <w:szCs w:val="21"/>
              </w:rPr>
            </w:pPr>
            <w:r>
              <w:rPr>
                <w:rFonts w:hint="eastAsia"/>
                <w:kern w:val="0"/>
                <w:sz w:val="21"/>
                <w:szCs w:val="21"/>
              </w:rPr>
              <w:t>830</w:t>
            </w:r>
          </w:p>
        </w:tc>
        <w:tc>
          <w:tcPr>
            <w:tcW w:w="0" w:type="auto"/>
            <w:vAlign w:val="center"/>
          </w:tcPr>
          <w:p w14:paraId="4E986CA7">
            <w:pPr>
              <w:widowControl/>
              <w:spacing w:line="240" w:lineRule="exact"/>
              <w:ind w:firstLine="0" w:firstLineChars="0"/>
              <w:jc w:val="center"/>
              <w:rPr>
                <w:kern w:val="0"/>
                <w:sz w:val="21"/>
                <w:szCs w:val="21"/>
              </w:rPr>
            </w:pPr>
          </w:p>
        </w:tc>
        <w:tc>
          <w:tcPr>
            <w:tcW w:w="0" w:type="auto"/>
            <w:vAlign w:val="center"/>
          </w:tcPr>
          <w:p w14:paraId="488D329C">
            <w:pPr>
              <w:widowControl/>
              <w:spacing w:line="240" w:lineRule="exact"/>
              <w:ind w:firstLine="0" w:firstLineChars="0"/>
              <w:jc w:val="center"/>
              <w:rPr>
                <w:kern w:val="0"/>
                <w:sz w:val="21"/>
                <w:szCs w:val="21"/>
              </w:rPr>
            </w:pPr>
          </w:p>
        </w:tc>
        <w:tc>
          <w:tcPr>
            <w:tcW w:w="0" w:type="auto"/>
            <w:vAlign w:val="center"/>
          </w:tcPr>
          <w:p w14:paraId="6BDB72BF">
            <w:pPr>
              <w:widowControl/>
              <w:spacing w:line="240" w:lineRule="exact"/>
              <w:ind w:firstLine="0" w:firstLineChars="0"/>
              <w:jc w:val="center"/>
              <w:rPr>
                <w:kern w:val="0"/>
                <w:sz w:val="21"/>
                <w:szCs w:val="21"/>
              </w:rPr>
            </w:pPr>
          </w:p>
        </w:tc>
        <w:tc>
          <w:tcPr>
            <w:tcW w:w="0" w:type="auto"/>
            <w:vAlign w:val="center"/>
          </w:tcPr>
          <w:p w14:paraId="5CCDEEB0">
            <w:pPr>
              <w:widowControl/>
              <w:spacing w:line="240" w:lineRule="exact"/>
              <w:ind w:firstLine="0" w:firstLineChars="0"/>
              <w:jc w:val="center"/>
              <w:rPr>
                <w:kern w:val="0"/>
                <w:sz w:val="21"/>
                <w:szCs w:val="21"/>
              </w:rPr>
            </w:pPr>
          </w:p>
        </w:tc>
        <w:tc>
          <w:tcPr>
            <w:tcW w:w="0" w:type="auto"/>
            <w:vAlign w:val="center"/>
          </w:tcPr>
          <w:p w14:paraId="634AC5F4">
            <w:pPr>
              <w:widowControl/>
              <w:spacing w:line="240" w:lineRule="exact"/>
              <w:ind w:firstLine="0" w:firstLineChars="0"/>
              <w:jc w:val="center"/>
              <w:rPr>
                <w:kern w:val="0"/>
                <w:sz w:val="21"/>
                <w:szCs w:val="21"/>
              </w:rPr>
            </w:pPr>
          </w:p>
        </w:tc>
        <w:tc>
          <w:tcPr>
            <w:tcW w:w="0" w:type="auto"/>
            <w:vAlign w:val="center"/>
          </w:tcPr>
          <w:p w14:paraId="469910AF">
            <w:pPr>
              <w:widowControl/>
              <w:spacing w:line="240" w:lineRule="exact"/>
              <w:ind w:firstLine="0" w:firstLineChars="0"/>
              <w:jc w:val="center"/>
              <w:rPr>
                <w:kern w:val="0"/>
                <w:sz w:val="21"/>
                <w:szCs w:val="21"/>
              </w:rPr>
            </w:pPr>
          </w:p>
        </w:tc>
        <w:tc>
          <w:tcPr>
            <w:tcW w:w="0" w:type="auto"/>
            <w:vAlign w:val="center"/>
          </w:tcPr>
          <w:p w14:paraId="7921EAC1">
            <w:pPr>
              <w:widowControl/>
              <w:spacing w:line="240" w:lineRule="exact"/>
              <w:ind w:firstLine="0" w:firstLineChars="0"/>
              <w:jc w:val="center"/>
              <w:rPr>
                <w:kern w:val="0"/>
                <w:sz w:val="21"/>
                <w:szCs w:val="21"/>
              </w:rPr>
            </w:pPr>
          </w:p>
        </w:tc>
        <w:tc>
          <w:tcPr>
            <w:tcW w:w="0" w:type="auto"/>
            <w:vAlign w:val="center"/>
          </w:tcPr>
          <w:p w14:paraId="2537DE82">
            <w:pPr>
              <w:widowControl/>
              <w:spacing w:line="240" w:lineRule="exact"/>
              <w:ind w:firstLine="0" w:firstLineChars="0"/>
              <w:jc w:val="center"/>
              <w:rPr>
                <w:kern w:val="0"/>
                <w:sz w:val="21"/>
                <w:szCs w:val="21"/>
              </w:rPr>
            </w:pPr>
          </w:p>
        </w:tc>
        <w:tc>
          <w:tcPr>
            <w:tcW w:w="0" w:type="auto"/>
            <w:vAlign w:val="center"/>
          </w:tcPr>
          <w:p w14:paraId="6B5FE662">
            <w:pPr>
              <w:widowControl/>
              <w:spacing w:line="240" w:lineRule="exact"/>
              <w:ind w:firstLine="0" w:firstLineChars="0"/>
              <w:jc w:val="center"/>
              <w:rPr>
                <w:kern w:val="0"/>
                <w:sz w:val="21"/>
                <w:szCs w:val="21"/>
              </w:rPr>
            </w:pPr>
          </w:p>
        </w:tc>
        <w:tc>
          <w:tcPr>
            <w:tcW w:w="0" w:type="auto"/>
            <w:vAlign w:val="center"/>
          </w:tcPr>
          <w:p w14:paraId="5916308A">
            <w:pPr>
              <w:widowControl/>
              <w:spacing w:line="240" w:lineRule="exact"/>
              <w:ind w:firstLine="0" w:firstLineChars="0"/>
              <w:jc w:val="center"/>
              <w:rPr>
                <w:kern w:val="0"/>
                <w:sz w:val="21"/>
                <w:szCs w:val="21"/>
              </w:rPr>
            </w:pPr>
          </w:p>
        </w:tc>
        <w:tc>
          <w:tcPr>
            <w:tcW w:w="0" w:type="auto"/>
            <w:vAlign w:val="center"/>
          </w:tcPr>
          <w:p w14:paraId="4351108C">
            <w:pPr>
              <w:widowControl/>
              <w:spacing w:line="240" w:lineRule="exact"/>
              <w:ind w:firstLine="0" w:firstLineChars="0"/>
              <w:jc w:val="center"/>
              <w:rPr>
                <w:kern w:val="0"/>
                <w:sz w:val="21"/>
                <w:szCs w:val="21"/>
              </w:rPr>
            </w:pPr>
          </w:p>
        </w:tc>
        <w:tc>
          <w:tcPr>
            <w:tcW w:w="0" w:type="auto"/>
            <w:vAlign w:val="center"/>
          </w:tcPr>
          <w:p w14:paraId="17F4B2B6">
            <w:pPr>
              <w:widowControl/>
              <w:spacing w:line="240" w:lineRule="exact"/>
              <w:ind w:firstLine="0" w:firstLineChars="0"/>
              <w:jc w:val="center"/>
              <w:rPr>
                <w:kern w:val="0"/>
                <w:sz w:val="21"/>
                <w:szCs w:val="21"/>
              </w:rPr>
            </w:pPr>
          </w:p>
        </w:tc>
        <w:tc>
          <w:tcPr>
            <w:tcW w:w="0" w:type="auto"/>
            <w:vAlign w:val="center"/>
          </w:tcPr>
          <w:p w14:paraId="2178C084">
            <w:pPr>
              <w:widowControl/>
              <w:spacing w:line="240" w:lineRule="exact"/>
              <w:ind w:firstLine="0" w:firstLineChars="0"/>
              <w:jc w:val="center"/>
              <w:rPr>
                <w:kern w:val="0"/>
                <w:sz w:val="21"/>
                <w:szCs w:val="21"/>
              </w:rPr>
            </w:pPr>
            <w:r>
              <w:rPr>
                <w:rFonts w:hint="eastAsia"/>
                <w:kern w:val="0"/>
                <w:sz w:val="21"/>
                <w:szCs w:val="21"/>
              </w:rPr>
              <w:t>1</w:t>
            </w:r>
          </w:p>
        </w:tc>
      </w:tr>
      <w:tr w14:paraId="09B880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0" w:type="auto"/>
            <w:vAlign w:val="center"/>
          </w:tcPr>
          <w:p w14:paraId="7AE7E103">
            <w:pPr>
              <w:widowControl/>
              <w:spacing w:line="240" w:lineRule="exact"/>
              <w:ind w:firstLine="0" w:firstLineChars="0"/>
              <w:jc w:val="center"/>
              <w:rPr>
                <w:kern w:val="0"/>
                <w:sz w:val="21"/>
                <w:szCs w:val="21"/>
              </w:rPr>
            </w:pPr>
            <w:r>
              <w:rPr>
                <w:kern w:val="0"/>
                <w:sz w:val="21"/>
                <w:szCs w:val="21"/>
              </w:rPr>
              <w:t>南宁安明防城港分公司</w:t>
            </w:r>
          </w:p>
        </w:tc>
        <w:tc>
          <w:tcPr>
            <w:tcW w:w="0" w:type="auto"/>
            <w:vAlign w:val="center"/>
          </w:tcPr>
          <w:p w14:paraId="2CB01BD7">
            <w:pPr>
              <w:widowControl/>
              <w:spacing w:line="240" w:lineRule="exact"/>
              <w:ind w:firstLine="0" w:firstLineChars="0"/>
              <w:jc w:val="center"/>
              <w:rPr>
                <w:kern w:val="0"/>
                <w:sz w:val="21"/>
                <w:szCs w:val="21"/>
              </w:rPr>
            </w:pPr>
            <w:r>
              <w:rPr>
                <w:rFonts w:hint="eastAsia"/>
                <w:kern w:val="0"/>
                <w:sz w:val="21"/>
                <w:szCs w:val="21"/>
              </w:rPr>
              <w:t>1000</w:t>
            </w:r>
          </w:p>
        </w:tc>
        <w:tc>
          <w:tcPr>
            <w:tcW w:w="0" w:type="auto"/>
            <w:vAlign w:val="center"/>
          </w:tcPr>
          <w:p w14:paraId="7B28C25F">
            <w:pPr>
              <w:widowControl/>
              <w:spacing w:line="240" w:lineRule="exact"/>
              <w:ind w:firstLine="0" w:firstLineChars="0"/>
              <w:jc w:val="center"/>
              <w:rPr>
                <w:kern w:val="0"/>
                <w:sz w:val="21"/>
                <w:szCs w:val="21"/>
              </w:rPr>
            </w:pPr>
            <w:r>
              <w:rPr>
                <w:rFonts w:hint="eastAsia"/>
                <w:kern w:val="0"/>
                <w:sz w:val="21"/>
                <w:szCs w:val="21"/>
              </w:rPr>
              <w:t>2000</w:t>
            </w:r>
          </w:p>
        </w:tc>
        <w:tc>
          <w:tcPr>
            <w:tcW w:w="0" w:type="auto"/>
            <w:vAlign w:val="center"/>
          </w:tcPr>
          <w:p w14:paraId="65B5AA59">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055511A5">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2B929D57">
            <w:pPr>
              <w:widowControl/>
              <w:spacing w:line="240" w:lineRule="exact"/>
              <w:ind w:firstLine="0" w:firstLineChars="0"/>
              <w:jc w:val="center"/>
              <w:rPr>
                <w:kern w:val="0"/>
                <w:sz w:val="21"/>
                <w:szCs w:val="21"/>
              </w:rPr>
            </w:pPr>
            <w:r>
              <w:rPr>
                <w:rFonts w:hint="eastAsia"/>
                <w:kern w:val="0"/>
                <w:sz w:val="21"/>
                <w:szCs w:val="21"/>
              </w:rPr>
              <w:t>5</w:t>
            </w:r>
          </w:p>
        </w:tc>
        <w:tc>
          <w:tcPr>
            <w:tcW w:w="0" w:type="auto"/>
            <w:vAlign w:val="center"/>
          </w:tcPr>
          <w:p w14:paraId="32AAE780">
            <w:pPr>
              <w:widowControl/>
              <w:spacing w:line="240" w:lineRule="exact"/>
              <w:ind w:firstLine="0" w:firstLineChars="0"/>
              <w:jc w:val="center"/>
              <w:rPr>
                <w:kern w:val="0"/>
                <w:sz w:val="21"/>
                <w:szCs w:val="21"/>
              </w:rPr>
            </w:pPr>
            <w:r>
              <w:rPr>
                <w:rFonts w:hint="eastAsia"/>
                <w:kern w:val="0"/>
                <w:sz w:val="21"/>
                <w:szCs w:val="21"/>
              </w:rPr>
              <w:t>300</w:t>
            </w:r>
          </w:p>
        </w:tc>
        <w:tc>
          <w:tcPr>
            <w:tcW w:w="0" w:type="auto"/>
            <w:vAlign w:val="center"/>
          </w:tcPr>
          <w:p w14:paraId="617FEB9F">
            <w:pPr>
              <w:widowControl/>
              <w:spacing w:line="240" w:lineRule="exact"/>
              <w:ind w:firstLine="0" w:firstLineChars="0"/>
              <w:jc w:val="center"/>
              <w:rPr>
                <w:kern w:val="0"/>
                <w:sz w:val="21"/>
                <w:szCs w:val="21"/>
              </w:rPr>
            </w:pPr>
          </w:p>
        </w:tc>
        <w:tc>
          <w:tcPr>
            <w:tcW w:w="0" w:type="auto"/>
            <w:vAlign w:val="center"/>
          </w:tcPr>
          <w:p w14:paraId="037F0F9A">
            <w:pPr>
              <w:widowControl/>
              <w:spacing w:line="240" w:lineRule="exact"/>
              <w:ind w:firstLine="0" w:firstLineChars="0"/>
              <w:jc w:val="center"/>
              <w:rPr>
                <w:kern w:val="0"/>
                <w:sz w:val="21"/>
                <w:szCs w:val="21"/>
              </w:rPr>
            </w:pPr>
          </w:p>
        </w:tc>
        <w:tc>
          <w:tcPr>
            <w:tcW w:w="0" w:type="auto"/>
            <w:vAlign w:val="center"/>
          </w:tcPr>
          <w:p w14:paraId="3C863C72">
            <w:pPr>
              <w:widowControl/>
              <w:spacing w:line="240" w:lineRule="exact"/>
              <w:ind w:firstLine="0" w:firstLineChars="0"/>
              <w:jc w:val="center"/>
              <w:rPr>
                <w:kern w:val="0"/>
                <w:sz w:val="21"/>
                <w:szCs w:val="21"/>
              </w:rPr>
            </w:pPr>
          </w:p>
        </w:tc>
        <w:tc>
          <w:tcPr>
            <w:tcW w:w="0" w:type="auto"/>
            <w:vAlign w:val="center"/>
          </w:tcPr>
          <w:p w14:paraId="04C9AF6B">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485B52B8">
            <w:pPr>
              <w:widowControl/>
              <w:spacing w:line="240" w:lineRule="exact"/>
              <w:ind w:firstLine="0" w:firstLineChars="0"/>
              <w:jc w:val="center"/>
              <w:rPr>
                <w:kern w:val="0"/>
                <w:sz w:val="21"/>
                <w:szCs w:val="21"/>
              </w:rPr>
            </w:pPr>
          </w:p>
        </w:tc>
        <w:tc>
          <w:tcPr>
            <w:tcW w:w="0" w:type="auto"/>
            <w:vAlign w:val="center"/>
          </w:tcPr>
          <w:p w14:paraId="7281352E">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61E22BD5">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3CB8699D">
            <w:pPr>
              <w:widowControl/>
              <w:spacing w:line="240" w:lineRule="exact"/>
              <w:ind w:firstLine="0" w:firstLineChars="0"/>
              <w:jc w:val="center"/>
              <w:rPr>
                <w:kern w:val="0"/>
                <w:sz w:val="21"/>
                <w:szCs w:val="21"/>
              </w:rPr>
            </w:pPr>
            <w:r>
              <w:rPr>
                <w:rFonts w:hint="eastAsia"/>
                <w:kern w:val="0"/>
                <w:sz w:val="21"/>
                <w:szCs w:val="21"/>
              </w:rPr>
              <w:t>2</w:t>
            </w:r>
          </w:p>
        </w:tc>
      </w:tr>
      <w:tr w14:paraId="641357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062E5CF9">
            <w:pPr>
              <w:widowControl/>
              <w:spacing w:line="240" w:lineRule="exact"/>
              <w:ind w:firstLine="0" w:firstLineChars="0"/>
              <w:jc w:val="center"/>
              <w:rPr>
                <w:kern w:val="0"/>
                <w:sz w:val="21"/>
                <w:szCs w:val="21"/>
              </w:rPr>
            </w:pPr>
            <w:r>
              <w:rPr>
                <w:kern w:val="0"/>
                <w:sz w:val="21"/>
                <w:szCs w:val="21"/>
              </w:rPr>
              <w:t>防城港中燃船舶燃料供应公司</w:t>
            </w:r>
          </w:p>
        </w:tc>
        <w:tc>
          <w:tcPr>
            <w:tcW w:w="0" w:type="auto"/>
            <w:vAlign w:val="center"/>
          </w:tcPr>
          <w:p w14:paraId="3BB17F4B">
            <w:pPr>
              <w:widowControl/>
              <w:spacing w:line="240" w:lineRule="exact"/>
              <w:ind w:firstLine="0" w:firstLineChars="0"/>
              <w:jc w:val="center"/>
              <w:rPr>
                <w:kern w:val="0"/>
                <w:sz w:val="21"/>
                <w:szCs w:val="21"/>
              </w:rPr>
            </w:pPr>
          </w:p>
        </w:tc>
        <w:tc>
          <w:tcPr>
            <w:tcW w:w="0" w:type="auto"/>
            <w:vAlign w:val="center"/>
          </w:tcPr>
          <w:p w14:paraId="236D3AFC">
            <w:pPr>
              <w:widowControl/>
              <w:spacing w:line="240" w:lineRule="exact"/>
              <w:ind w:firstLine="0" w:firstLineChars="0"/>
              <w:jc w:val="center"/>
              <w:rPr>
                <w:kern w:val="0"/>
                <w:sz w:val="21"/>
                <w:szCs w:val="21"/>
              </w:rPr>
            </w:pPr>
            <w:r>
              <w:rPr>
                <w:rFonts w:hint="eastAsia"/>
                <w:kern w:val="0"/>
                <w:sz w:val="21"/>
                <w:szCs w:val="21"/>
              </w:rPr>
              <w:t>1500</w:t>
            </w:r>
          </w:p>
        </w:tc>
        <w:tc>
          <w:tcPr>
            <w:tcW w:w="0" w:type="auto"/>
            <w:vAlign w:val="center"/>
          </w:tcPr>
          <w:p w14:paraId="307CAE1D">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3A305CD6">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6C665076">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2C29AD17">
            <w:pPr>
              <w:widowControl/>
              <w:spacing w:line="240" w:lineRule="exact"/>
              <w:ind w:firstLine="0" w:firstLineChars="0"/>
              <w:jc w:val="center"/>
              <w:rPr>
                <w:kern w:val="0"/>
                <w:sz w:val="21"/>
                <w:szCs w:val="21"/>
              </w:rPr>
            </w:pPr>
          </w:p>
        </w:tc>
        <w:tc>
          <w:tcPr>
            <w:tcW w:w="0" w:type="auto"/>
            <w:vAlign w:val="center"/>
          </w:tcPr>
          <w:p w14:paraId="55E20653">
            <w:pPr>
              <w:widowControl/>
              <w:spacing w:line="240" w:lineRule="exact"/>
              <w:ind w:firstLine="0" w:firstLineChars="0"/>
              <w:jc w:val="center"/>
              <w:rPr>
                <w:kern w:val="0"/>
                <w:sz w:val="21"/>
                <w:szCs w:val="21"/>
              </w:rPr>
            </w:pPr>
          </w:p>
        </w:tc>
        <w:tc>
          <w:tcPr>
            <w:tcW w:w="0" w:type="auto"/>
            <w:vAlign w:val="center"/>
          </w:tcPr>
          <w:p w14:paraId="5B19761E">
            <w:pPr>
              <w:widowControl/>
              <w:spacing w:line="240" w:lineRule="exact"/>
              <w:ind w:firstLine="0" w:firstLineChars="0"/>
              <w:jc w:val="center"/>
              <w:rPr>
                <w:kern w:val="0"/>
                <w:sz w:val="21"/>
                <w:szCs w:val="21"/>
              </w:rPr>
            </w:pPr>
          </w:p>
        </w:tc>
        <w:tc>
          <w:tcPr>
            <w:tcW w:w="0" w:type="auto"/>
            <w:vAlign w:val="center"/>
          </w:tcPr>
          <w:p w14:paraId="7AD5402D">
            <w:pPr>
              <w:widowControl/>
              <w:spacing w:line="240" w:lineRule="exact"/>
              <w:ind w:firstLine="0" w:firstLineChars="0"/>
              <w:jc w:val="center"/>
              <w:rPr>
                <w:kern w:val="0"/>
                <w:sz w:val="21"/>
                <w:szCs w:val="21"/>
              </w:rPr>
            </w:pPr>
          </w:p>
        </w:tc>
        <w:tc>
          <w:tcPr>
            <w:tcW w:w="0" w:type="auto"/>
            <w:vAlign w:val="center"/>
          </w:tcPr>
          <w:p w14:paraId="620BF209">
            <w:pPr>
              <w:widowControl/>
              <w:spacing w:line="240" w:lineRule="exact"/>
              <w:ind w:firstLine="0" w:firstLineChars="0"/>
              <w:jc w:val="center"/>
              <w:rPr>
                <w:kern w:val="0"/>
                <w:sz w:val="21"/>
                <w:szCs w:val="21"/>
              </w:rPr>
            </w:pPr>
          </w:p>
        </w:tc>
        <w:tc>
          <w:tcPr>
            <w:tcW w:w="0" w:type="auto"/>
            <w:vAlign w:val="center"/>
          </w:tcPr>
          <w:p w14:paraId="7F512E7D">
            <w:pPr>
              <w:widowControl/>
              <w:spacing w:line="240" w:lineRule="exact"/>
              <w:ind w:firstLine="0" w:firstLineChars="0"/>
              <w:jc w:val="center"/>
              <w:rPr>
                <w:kern w:val="0"/>
                <w:sz w:val="21"/>
                <w:szCs w:val="21"/>
              </w:rPr>
            </w:pPr>
          </w:p>
        </w:tc>
        <w:tc>
          <w:tcPr>
            <w:tcW w:w="0" w:type="auto"/>
            <w:vAlign w:val="center"/>
          </w:tcPr>
          <w:p w14:paraId="68716ED7">
            <w:pPr>
              <w:widowControl/>
              <w:spacing w:line="240" w:lineRule="exact"/>
              <w:ind w:firstLine="0" w:firstLineChars="0"/>
              <w:jc w:val="center"/>
              <w:rPr>
                <w:kern w:val="0"/>
                <w:sz w:val="21"/>
                <w:szCs w:val="21"/>
              </w:rPr>
            </w:pPr>
          </w:p>
        </w:tc>
        <w:tc>
          <w:tcPr>
            <w:tcW w:w="0" w:type="auto"/>
            <w:vAlign w:val="center"/>
          </w:tcPr>
          <w:p w14:paraId="62B60AA4">
            <w:pPr>
              <w:widowControl/>
              <w:spacing w:line="240" w:lineRule="exact"/>
              <w:ind w:firstLine="0" w:firstLineChars="0"/>
              <w:jc w:val="center"/>
              <w:rPr>
                <w:kern w:val="0"/>
                <w:sz w:val="21"/>
                <w:szCs w:val="21"/>
              </w:rPr>
            </w:pPr>
          </w:p>
        </w:tc>
        <w:tc>
          <w:tcPr>
            <w:tcW w:w="0" w:type="auto"/>
            <w:vAlign w:val="center"/>
          </w:tcPr>
          <w:p w14:paraId="7CC31BED">
            <w:pPr>
              <w:widowControl/>
              <w:spacing w:line="240" w:lineRule="exact"/>
              <w:ind w:firstLine="0" w:firstLineChars="0"/>
              <w:jc w:val="center"/>
              <w:rPr>
                <w:kern w:val="0"/>
                <w:sz w:val="21"/>
                <w:szCs w:val="21"/>
              </w:rPr>
            </w:pPr>
          </w:p>
        </w:tc>
      </w:tr>
      <w:tr w14:paraId="2CC5F0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5521BAB3">
            <w:pPr>
              <w:widowControl/>
              <w:spacing w:line="240" w:lineRule="exact"/>
              <w:ind w:firstLine="0" w:firstLineChars="0"/>
              <w:jc w:val="center"/>
              <w:rPr>
                <w:kern w:val="0"/>
                <w:sz w:val="21"/>
                <w:szCs w:val="21"/>
              </w:rPr>
            </w:pPr>
            <w:r>
              <w:rPr>
                <w:kern w:val="0"/>
                <w:sz w:val="21"/>
                <w:szCs w:val="21"/>
              </w:rPr>
              <w:t>防城港恒创公司</w:t>
            </w:r>
          </w:p>
        </w:tc>
        <w:tc>
          <w:tcPr>
            <w:tcW w:w="0" w:type="auto"/>
            <w:vAlign w:val="center"/>
          </w:tcPr>
          <w:p w14:paraId="0A04526D">
            <w:pPr>
              <w:widowControl/>
              <w:spacing w:line="240" w:lineRule="exact"/>
              <w:ind w:firstLine="0" w:firstLineChars="0"/>
              <w:jc w:val="center"/>
              <w:rPr>
                <w:kern w:val="0"/>
                <w:sz w:val="21"/>
                <w:szCs w:val="21"/>
              </w:rPr>
            </w:pPr>
            <w:r>
              <w:rPr>
                <w:rFonts w:hint="eastAsia"/>
                <w:kern w:val="0"/>
                <w:sz w:val="21"/>
                <w:szCs w:val="21"/>
              </w:rPr>
              <w:t>8800</w:t>
            </w:r>
          </w:p>
        </w:tc>
        <w:tc>
          <w:tcPr>
            <w:tcW w:w="0" w:type="auto"/>
            <w:vAlign w:val="center"/>
          </w:tcPr>
          <w:p w14:paraId="62DADA90">
            <w:pPr>
              <w:widowControl/>
              <w:spacing w:line="240" w:lineRule="exact"/>
              <w:ind w:firstLine="0" w:firstLineChars="0"/>
              <w:jc w:val="center"/>
              <w:rPr>
                <w:kern w:val="0"/>
                <w:sz w:val="21"/>
                <w:szCs w:val="21"/>
              </w:rPr>
            </w:pPr>
            <w:r>
              <w:rPr>
                <w:rFonts w:hint="eastAsia"/>
                <w:kern w:val="0"/>
                <w:sz w:val="21"/>
                <w:szCs w:val="21"/>
              </w:rPr>
              <w:t>20000</w:t>
            </w:r>
          </w:p>
        </w:tc>
        <w:tc>
          <w:tcPr>
            <w:tcW w:w="0" w:type="auto"/>
            <w:vAlign w:val="center"/>
          </w:tcPr>
          <w:p w14:paraId="00FFC4A5">
            <w:pPr>
              <w:widowControl/>
              <w:spacing w:line="240" w:lineRule="exact"/>
              <w:ind w:firstLine="0" w:firstLineChars="0"/>
              <w:jc w:val="center"/>
              <w:rPr>
                <w:kern w:val="0"/>
                <w:sz w:val="21"/>
                <w:szCs w:val="21"/>
              </w:rPr>
            </w:pPr>
            <w:r>
              <w:rPr>
                <w:rFonts w:hint="eastAsia"/>
                <w:kern w:val="0"/>
                <w:sz w:val="21"/>
                <w:szCs w:val="21"/>
              </w:rPr>
              <w:t>10</w:t>
            </w:r>
          </w:p>
        </w:tc>
        <w:tc>
          <w:tcPr>
            <w:tcW w:w="0" w:type="auto"/>
            <w:vAlign w:val="center"/>
          </w:tcPr>
          <w:p w14:paraId="6F27AADB">
            <w:pPr>
              <w:widowControl/>
              <w:spacing w:line="240" w:lineRule="exact"/>
              <w:ind w:firstLine="0" w:firstLineChars="0"/>
              <w:jc w:val="center"/>
              <w:rPr>
                <w:kern w:val="0"/>
                <w:sz w:val="21"/>
                <w:szCs w:val="21"/>
              </w:rPr>
            </w:pPr>
            <w:r>
              <w:rPr>
                <w:rFonts w:hint="eastAsia"/>
                <w:kern w:val="0"/>
                <w:sz w:val="21"/>
                <w:szCs w:val="21"/>
              </w:rPr>
              <w:t>7</w:t>
            </w:r>
          </w:p>
        </w:tc>
        <w:tc>
          <w:tcPr>
            <w:tcW w:w="0" w:type="auto"/>
            <w:vAlign w:val="center"/>
          </w:tcPr>
          <w:p w14:paraId="5FD2873F">
            <w:pPr>
              <w:widowControl/>
              <w:spacing w:line="240" w:lineRule="exact"/>
              <w:ind w:firstLine="0" w:firstLineChars="0"/>
              <w:jc w:val="center"/>
              <w:rPr>
                <w:kern w:val="0"/>
                <w:sz w:val="21"/>
                <w:szCs w:val="21"/>
              </w:rPr>
            </w:pPr>
            <w:r>
              <w:rPr>
                <w:rFonts w:hint="eastAsia"/>
                <w:kern w:val="0"/>
                <w:sz w:val="21"/>
                <w:szCs w:val="21"/>
              </w:rPr>
              <w:t>12</w:t>
            </w:r>
          </w:p>
        </w:tc>
        <w:tc>
          <w:tcPr>
            <w:tcW w:w="0" w:type="auto"/>
            <w:vAlign w:val="center"/>
          </w:tcPr>
          <w:p w14:paraId="2A9B72A6">
            <w:pPr>
              <w:widowControl/>
              <w:spacing w:line="240" w:lineRule="exact"/>
              <w:ind w:firstLine="0" w:firstLineChars="0"/>
              <w:jc w:val="center"/>
              <w:rPr>
                <w:kern w:val="0"/>
                <w:sz w:val="21"/>
                <w:szCs w:val="21"/>
              </w:rPr>
            </w:pPr>
            <w:r>
              <w:rPr>
                <w:rFonts w:hint="eastAsia"/>
                <w:kern w:val="0"/>
                <w:sz w:val="21"/>
                <w:szCs w:val="21"/>
              </w:rPr>
              <w:t>4000</w:t>
            </w:r>
          </w:p>
        </w:tc>
        <w:tc>
          <w:tcPr>
            <w:tcW w:w="0" w:type="auto"/>
            <w:vAlign w:val="center"/>
          </w:tcPr>
          <w:p w14:paraId="288A2053">
            <w:pPr>
              <w:widowControl/>
              <w:spacing w:line="240" w:lineRule="exact"/>
              <w:ind w:firstLine="0" w:firstLineChars="0"/>
              <w:jc w:val="center"/>
              <w:rPr>
                <w:kern w:val="0"/>
                <w:sz w:val="21"/>
                <w:szCs w:val="21"/>
              </w:rPr>
            </w:pPr>
            <w:r>
              <w:rPr>
                <w:rFonts w:hint="eastAsia"/>
                <w:kern w:val="0"/>
                <w:sz w:val="21"/>
                <w:szCs w:val="21"/>
              </w:rPr>
              <w:t>1777m3</w:t>
            </w:r>
          </w:p>
        </w:tc>
        <w:tc>
          <w:tcPr>
            <w:tcW w:w="0" w:type="auto"/>
            <w:vAlign w:val="center"/>
          </w:tcPr>
          <w:p w14:paraId="5606D7B5">
            <w:pPr>
              <w:widowControl/>
              <w:spacing w:line="240" w:lineRule="exact"/>
              <w:ind w:firstLine="0" w:firstLineChars="0"/>
              <w:jc w:val="center"/>
              <w:rPr>
                <w:kern w:val="0"/>
                <w:sz w:val="21"/>
                <w:szCs w:val="21"/>
              </w:rPr>
            </w:pPr>
          </w:p>
        </w:tc>
        <w:tc>
          <w:tcPr>
            <w:tcW w:w="0" w:type="auto"/>
            <w:vAlign w:val="center"/>
          </w:tcPr>
          <w:p w14:paraId="5F8E2680">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6B67DDFB">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0ABBCC17">
            <w:pPr>
              <w:widowControl/>
              <w:spacing w:line="240" w:lineRule="exact"/>
              <w:ind w:firstLine="0" w:firstLineChars="0"/>
              <w:jc w:val="center"/>
              <w:rPr>
                <w:kern w:val="0"/>
                <w:sz w:val="21"/>
                <w:szCs w:val="21"/>
              </w:rPr>
            </w:pPr>
            <w:r>
              <w:rPr>
                <w:rFonts w:hint="eastAsia"/>
                <w:kern w:val="0"/>
                <w:sz w:val="21"/>
                <w:szCs w:val="21"/>
              </w:rPr>
              <w:t>6</w:t>
            </w:r>
          </w:p>
        </w:tc>
        <w:tc>
          <w:tcPr>
            <w:tcW w:w="0" w:type="auto"/>
            <w:vAlign w:val="center"/>
          </w:tcPr>
          <w:p w14:paraId="61914307">
            <w:pPr>
              <w:widowControl/>
              <w:spacing w:line="240" w:lineRule="exact"/>
              <w:ind w:firstLine="0" w:firstLineChars="0"/>
              <w:jc w:val="center"/>
              <w:rPr>
                <w:kern w:val="0"/>
                <w:sz w:val="21"/>
                <w:szCs w:val="21"/>
              </w:rPr>
            </w:pPr>
          </w:p>
        </w:tc>
        <w:tc>
          <w:tcPr>
            <w:tcW w:w="0" w:type="auto"/>
            <w:vAlign w:val="center"/>
          </w:tcPr>
          <w:p w14:paraId="1CC557FC">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59CD1C5D">
            <w:pPr>
              <w:widowControl/>
              <w:spacing w:line="240" w:lineRule="exact"/>
              <w:ind w:firstLine="0" w:firstLineChars="0"/>
              <w:jc w:val="center"/>
              <w:rPr>
                <w:kern w:val="0"/>
                <w:sz w:val="21"/>
                <w:szCs w:val="21"/>
              </w:rPr>
            </w:pPr>
            <w:r>
              <w:rPr>
                <w:rFonts w:hint="eastAsia"/>
                <w:kern w:val="0"/>
                <w:sz w:val="21"/>
                <w:szCs w:val="21"/>
              </w:rPr>
              <w:t>8</w:t>
            </w:r>
          </w:p>
        </w:tc>
      </w:tr>
      <w:tr w14:paraId="2EA86A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4095367F">
            <w:pPr>
              <w:widowControl/>
              <w:spacing w:line="240" w:lineRule="exact"/>
              <w:ind w:firstLine="0" w:firstLineChars="0"/>
              <w:jc w:val="center"/>
              <w:rPr>
                <w:kern w:val="0"/>
                <w:sz w:val="21"/>
                <w:szCs w:val="21"/>
              </w:rPr>
            </w:pPr>
            <w:r>
              <w:rPr>
                <w:kern w:val="0"/>
                <w:sz w:val="21"/>
                <w:szCs w:val="21"/>
              </w:rPr>
              <w:t>防城港行球公司</w:t>
            </w:r>
          </w:p>
        </w:tc>
        <w:tc>
          <w:tcPr>
            <w:tcW w:w="0" w:type="auto"/>
            <w:vAlign w:val="center"/>
          </w:tcPr>
          <w:p w14:paraId="375881B3">
            <w:pPr>
              <w:widowControl/>
              <w:spacing w:line="240" w:lineRule="exact"/>
              <w:ind w:firstLine="0" w:firstLineChars="0"/>
              <w:jc w:val="center"/>
              <w:rPr>
                <w:kern w:val="0"/>
                <w:sz w:val="21"/>
                <w:szCs w:val="21"/>
              </w:rPr>
            </w:pPr>
            <w:r>
              <w:rPr>
                <w:rFonts w:hint="eastAsia"/>
                <w:kern w:val="0"/>
                <w:sz w:val="21"/>
                <w:szCs w:val="21"/>
              </w:rPr>
              <w:t>400</w:t>
            </w:r>
          </w:p>
        </w:tc>
        <w:tc>
          <w:tcPr>
            <w:tcW w:w="0" w:type="auto"/>
            <w:vAlign w:val="center"/>
          </w:tcPr>
          <w:p w14:paraId="59748884">
            <w:pPr>
              <w:widowControl/>
              <w:spacing w:line="240" w:lineRule="exact"/>
              <w:ind w:firstLine="0" w:firstLineChars="0"/>
              <w:jc w:val="center"/>
              <w:rPr>
                <w:kern w:val="0"/>
                <w:sz w:val="21"/>
                <w:szCs w:val="21"/>
              </w:rPr>
            </w:pPr>
            <w:r>
              <w:rPr>
                <w:rFonts w:hint="eastAsia"/>
                <w:kern w:val="0"/>
                <w:sz w:val="21"/>
                <w:szCs w:val="21"/>
              </w:rPr>
              <w:t>2000</w:t>
            </w:r>
          </w:p>
        </w:tc>
        <w:tc>
          <w:tcPr>
            <w:tcW w:w="0" w:type="auto"/>
            <w:vAlign w:val="center"/>
          </w:tcPr>
          <w:p w14:paraId="66A61DA5">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0DCC4026">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6FC5B949">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0F620A4D">
            <w:pPr>
              <w:widowControl/>
              <w:spacing w:line="240" w:lineRule="exact"/>
              <w:ind w:firstLine="0" w:firstLineChars="0"/>
              <w:jc w:val="center"/>
              <w:rPr>
                <w:kern w:val="0"/>
                <w:sz w:val="21"/>
                <w:szCs w:val="21"/>
              </w:rPr>
            </w:pPr>
          </w:p>
        </w:tc>
        <w:tc>
          <w:tcPr>
            <w:tcW w:w="0" w:type="auto"/>
            <w:vAlign w:val="center"/>
          </w:tcPr>
          <w:p w14:paraId="3F31EB4A">
            <w:pPr>
              <w:widowControl/>
              <w:spacing w:line="240" w:lineRule="exact"/>
              <w:ind w:firstLine="0" w:firstLineChars="0"/>
              <w:jc w:val="center"/>
              <w:rPr>
                <w:kern w:val="0"/>
                <w:sz w:val="21"/>
                <w:szCs w:val="21"/>
              </w:rPr>
            </w:pPr>
          </w:p>
        </w:tc>
        <w:tc>
          <w:tcPr>
            <w:tcW w:w="0" w:type="auto"/>
            <w:vAlign w:val="center"/>
          </w:tcPr>
          <w:p w14:paraId="791C3C03">
            <w:pPr>
              <w:widowControl/>
              <w:spacing w:line="240" w:lineRule="exact"/>
              <w:ind w:firstLine="0" w:firstLineChars="0"/>
              <w:jc w:val="center"/>
              <w:rPr>
                <w:kern w:val="0"/>
                <w:sz w:val="21"/>
                <w:szCs w:val="21"/>
              </w:rPr>
            </w:pPr>
          </w:p>
        </w:tc>
        <w:tc>
          <w:tcPr>
            <w:tcW w:w="0" w:type="auto"/>
            <w:vAlign w:val="center"/>
          </w:tcPr>
          <w:p w14:paraId="4B373FE4">
            <w:pPr>
              <w:widowControl/>
              <w:spacing w:line="240" w:lineRule="exact"/>
              <w:ind w:firstLine="0" w:firstLineChars="0"/>
              <w:jc w:val="center"/>
              <w:rPr>
                <w:kern w:val="0"/>
                <w:sz w:val="21"/>
                <w:szCs w:val="21"/>
              </w:rPr>
            </w:pPr>
          </w:p>
        </w:tc>
        <w:tc>
          <w:tcPr>
            <w:tcW w:w="0" w:type="auto"/>
            <w:vAlign w:val="center"/>
          </w:tcPr>
          <w:p w14:paraId="219AF0F6">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501ACCC2">
            <w:pPr>
              <w:widowControl/>
              <w:spacing w:line="240" w:lineRule="exact"/>
              <w:ind w:firstLine="0" w:firstLineChars="0"/>
              <w:jc w:val="center"/>
              <w:rPr>
                <w:kern w:val="0"/>
                <w:sz w:val="21"/>
                <w:szCs w:val="21"/>
              </w:rPr>
            </w:pPr>
          </w:p>
        </w:tc>
        <w:tc>
          <w:tcPr>
            <w:tcW w:w="0" w:type="auto"/>
            <w:vAlign w:val="center"/>
          </w:tcPr>
          <w:p w14:paraId="2F2DFB94">
            <w:pPr>
              <w:widowControl/>
              <w:spacing w:line="240" w:lineRule="exact"/>
              <w:ind w:firstLine="0" w:firstLineChars="0"/>
              <w:jc w:val="center"/>
              <w:rPr>
                <w:kern w:val="0"/>
                <w:sz w:val="21"/>
                <w:szCs w:val="21"/>
              </w:rPr>
            </w:pPr>
          </w:p>
        </w:tc>
        <w:tc>
          <w:tcPr>
            <w:tcW w:w="0" w:type="auto"/>
            <w:vAlign w:val="center"/>
          </w:tcPr>
          <w:p w14:paraId="12193316">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6BC9900E">
            <w:pPr>
              <w:widowControl/>
              <w:spacing w:line="240" w:lineRule="exact"/>
              <w:ind w:firstLine="0" w:firstLineChars="0"/>
              <w:jc w:val="center"/>
              <w:rPr>
                <w:kern w:val="0"/>
                <w:sz w:val="21"/>
                <w:szCs w:val="21"/>
              </w:rPr>
            </w:pPr>
          </w:p>
        </w:tc>
      </w:tr>
      <w:tr w14:paraId="281BF4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0E12AB40">
            <w:pPr>
              <w:widowControl/>
              <w:spacing w:line="240" w:lineRule="exact"/>
              <w:ind w:firstLine="0" w:firstLineChars="0"/>
              <w:jc w:val="center"/>
              <w:rPr>
                <w:kern w:val="0"/>
                <w:sz w:val="21"/>
                <w:szCs w:val="21"/>
              </w:rPr>
            </w:pPr>
            <w:r>
              <w:rPr>
                <w:kern w:val="0"/>
                <w:sz w:val="21"/>
                <w:szCs w:val="21"/>
              </w:rPr>
              <w:t>广西北部湾港安船舶环保有限公司</w:t>
            </w:r>
          </w:p>
        </w:tc>
        <w:tc>
          <w:tcPr>
            <w:tcW w:w="0" w:type="auto"/>
            <w:vAlign w:val="center"/>
          </w:tcPr>
          <w:p w14:paraId="7D4075A3">
            <w:pPr>
              <w:widowControl/>
              <w:spacing w:line="240" w:lineRule="exact"/>
              <w:ind w:firstLine="0" w:firstLineChars="0"/>
              <w:jc w:val="center"/>
              <w:rPr>
                <w:kern w:val="0"/>
                <w:sz w:val="21"/>
                <w:szCs w:val="21"/>
              </w:rPr>
            </w:pPr>
            <w:r>
              <w:rPr>
                <w:rFonts w:hint="eastAsia"/>
                <w:kern w:val="0"/>
                <w:sz w:val="21"/>
                <w:szCs w:val="21"/>
              </w:rPr>
              <w:t>9400</w:t>
            </w:r>
          </w:p>
        </w:tc>
        <w:tc>
          <w:tcPr>
            <w:tcW w:w="0" w:type="auto"/>
            <w:vAlign w:val="center"/>
          </w:tcPr>
          <w:p w14:paraId="2CEDE1AE">
            <w:pPr>
              <w:widowControl/>
              <w:spacing w:line="240" w:lineRule="exact"/>
              <w:ind w:firstLine="0" w:firstLineChars="0"/>
              <w:jc w:val="center"/>
              <w:rPr>
                <w:kern w:val="0"/>
                <w:sz w:val="21"/>
                <w:szCs w:val="21"/>
              </w:rPr>
            </w:pPr>
            <w:r>
              <w:rPr>
                <w:rFonts w:hint="eastAsia"/>
                <w:kern w:val="0"/>
                <w:sz w:val="21"/>
                <w:szCs w:val="21"/>
              </w:rPr>
              <w:t>20000</w:t>
            </w:r>
          </w:p>
        </w:tc>
        <w:tc>
          <w:tcPr>
            <w:tcW w:w="0" w:type="auto"/>
            <w:vAlign w:val="center"/>
          </w:tcPr>
          <w:p w14:paraId="3CF7A69B">
            <w:pPr>
              <w:widowControl/>
              <w:spacing w:line="240" w:lineRule="exact"/>
              <w:ind w:firstLine="0" w:firstLineChars="0"/>
              <w:jc w:val="center"/>
              <w:rPr>
                <w:kern w:val="0"/>
                <w:sz w:val="21"/>
                <w:szCs w:val="21"/>
              </w:rPr>
            </w:pPr>
            <w:r>
              <w:rPr>
                <w:rFonts w:hint="eastAsia"/>
                <w:kern w:val="0"/>
                <w:sz w:val="21"/>
                <w:szCs w:val="21"/>
              </w:rPr>
              <w:t>12</w:t>
            </w:r>
          </w:p>
        </w:tc>
        <w:tc>
          <w:tcPr>
            <w:tcW w:w="0" w:type="auto"/>
            <w:vAlign w:val="center"/>
          </w:tcPr>
          <w:p w14:paraId="03BF4C59">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5CE0A31C">
            <w:pPr>
              <w:widowControl/>
              <w:spacing w:line="240" w:lineRule="exact"/>
              <w:ind w:firstLine="0" w:firstLineChars="0"/>
              <w:jc w:val="center"/>
              <w:rPr>
                <w:kern w:val="0"/>
                <w:sz w:val="21"/>
                <w:szCs w:val="21"/>
              </w:rPr>
            </w:pPr>
            <w:r>
              <w:rPr>
                <w:rFonts w:hint="eastAsia"/>
                <w:kern w:val="0"/>
                <w:sz w:val="21"/>
                <w:szCs w:val="21"/>
              </w:rPr>
              <w:t>12</w:t>
            </w:r>
          </w:p>
        </w:tc>
        <w:tc>
          <w:tcPr>
            <w:tcW w:w="0" w:type="auto"/>
            <w:vAlign w:val="center"/>
          </w:tcPr>
          <w:p w14:paraId="30DE4C87">
            <w:pPr>
              <w:widowControl/>
              <w:spacing w:line="240" w:lineRule="exact"/>
              <w:ind w:firstLine="0" w:firstLineChars="0"/>
              <w:jc w:val="center"/>
              <w:rPr>
                <w:kern w:val="0"/>
                <w:sz w:val="21"/>
                <w:szCs w:val="21"/>
              </w:rPr>
            </w:pPr>
            <w:r>
              <w:rPr>
                <w:rFonts w:hint="eastAsia"/>
                <w:kern w:val="0"/>
                <w:sz w:val="21"/>
                <w:szCs w:val="21"/>
              </w:rPr>
              <w:t>4000</w:t>
            </w:r>
          </w:p>
        </w:tc>
        <w:tc>
          <w:tcPr>
            <w:tcW w:w="0" w:type="auto"/>
            <w:vAlign w:val="center"/>
          </w:tcPr>
          <w:p w14:paraId="5B2AAB56">
            <w:pPr>
              <w:widowControl/>
              <w:spacing w:line="240" w:lineRule="exact"/>
              <w:ind w:firstLine="0" w:firstLineChars="0"/>
              <w:jc w:val="center"/>
              <w:rPr>
                <w:kern w:val="0"/>
                <w:sz w:val="21"/>
                <w:szCs w:val="21"/>
              </w:rPr>
            </w:pPr>
            <w:r>
              <w:rPr>
                <w:rFonts w:hint="eastAsia"/>
                <w:kern w:val="0"/>
                <w:sz w:val="21"/>
                <w:szCs w:val="21"/>
              </w:rPr>
              <w:t>2751.5m3</w:t>
            </w:r>
          </w:p>
        </w:tc>
        <w:tc>
          <w:tcPr>
            <w:tcW w:w="0" w:type="auto"/>
            <w:vAlign w:val="center"/>
          </w:tcPr>
          <w:p w14:paraId="0EFBE959">
            <w:pPr>
              <w:widowControl/>
              <w:spacing w:line="240" w:lineRule="exact"/>
              <w:ind w:firstLine="0" w:firstLineChars="0"/>
              <w:jc w:val="center"/>
              <w:rPr>
                <w:kern w:val="0"/>
                <w:sz w:val="21"/>
                <w:szCs w:val="21"/>
              </w:rPr>
            </w:pPr>
          </w:p>
        </w:tc>
        <w:tc>
          <w:tcPr>
            <w:tcW w:w="0" w:type="auto"/>
            <w:vAlign w:val="center"/>
          </w:tcPr>
          <w:p w14:paraId="7133AC68">
            <w:pPr>
              <w:widowControl/>
              <w:spacing w:line="240" w:lineRule="exact"/>
              <w:ind w:firstLine="0" w:firstLineChars="0"/>
              <w:jc w:val="center"/>
              <w:rPr>
                <w:kern w:val="0"/>
                <w:sz w:val="21"/>
                <w:szCs w:val="21"/>
              </w:rPr>
            </w:pPr>
          </w:p>
        </w:tc>
        <w:tc>
          <w:tcPr>
            <w:tcW w:w="0" w:type="auto"/>
            <w:vAlign w:val="center"/>
          </w:tcPr>
          <w:p w14:paraId="666A1102">
            <w:pPr>
              <w:widowControl/>
              <w:spacing w:line="240" w:lineRule="exact"/>
              <w:ind w:firstLine="0" w:firstLineChars="0"/>
              <w:jc w:val="center"/>
              <w:rPr>
                <w:kern w:val="0"/>
                <w:sz w:val="21"/>
                <w:szCs w:val="21"/>
              </w:rPr>
            </w:pPr>
          </w:p>
        </w:tc>
        <w:tc>
          <w:tcPr>
            <w:tcW w:w="0" w:type="auto"/>
            <w:vAlign w:val="center"/>
          </w:tcPr>
          <w:p w14:paraId="0E1B640E">
            <w:pPr>
              <w:widowControl/>
              <w:spacing w:line="240" w:lineRule="exact"/>
              <w:ind w:firstLine="0" w:firstLineChars="0"/>
              <w:jc w:val="center"/>
              <w:rPr>
                <w:kern w:val="0"/>
                <w:sz w:val="21"/>
                <w:szCs w:val="21"/>
              </w:rPr>
            </w:pPr>
            <w:r>
              <w:rPr>
                <w:rFonts w:hint="eastAsia"/>
                <w:kern w:val="0"/>
                <w:sz w:val="21"/>
                <w:szCs w:val="21"/>
              </w:rPr>
              <w:t>6</w:t>
            </w:r>
          </w:p>
        </w:tc>
        <w:tc>
          <w:tcPr>
            <w:tcW w:w="0" w:type="auto"/>
            <w:vAlign w:val="center"/>
          </w:tcPr>
          <w:p w14:paraId="4BDA16E5">
            <w:pPr>
              <w:widowControl/>
              <w:spacing w:line="240" w:lineRule="exact"/>
              <w:ind w:firstLine="0" w:firstLineChars="0"/>
              <w:jc w:val="center"/>
              <w:rPr>
                <w:kern w:val="0"/>
                <w:sz w:val="21"/>
                <w:szCs w:val="21"/>
              </w:rPr>
            </w:pPr>
          </w:p>
        </w:tc>
        <w:tc>
          <w:tcPr>
            <w:tcW w:w="0" w:type="auto"/>
            <w:vAlign w:val="center"/>
          </w:tcPr>
          <w:p w14:paraId="08AD36AC">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7817120A">
            <w:pPr>
              <w:widowControl/>
              <w:spacing w:line="240" w:lineRule="exact"/>
              <w:ind w:firstLine="0" w:firstLineChars="0"/>
              <w:jc w:val="center"/>
              <w:rPr>
                <w:kern w:val="0"/>
                <w:sz w:val="21"/>
                <w:szCs w:val="21"/>
              </w:rPr>
            </w:pPr>
            <w:r>
              <w:rPr>
                <w:rFonts w:hint="eastAsia"/>
                <w:kern w:val="0"/>
                <w:sz w:val="21"/>
                <w:szCs w:val="21"/>
              </w:rPr>
              <w:t>12</w:t>
            </w:r>
          </w:p>
        </w:tc>
      </w:tr>
      <w:tr w14:paraId="304A15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shd w:val="clear" w:color="auto" w:fill="BEBEBE" w:themeFill="background1" w:themeFillShade="BF"/>
            <w:vAlign w:val="center"/>
          </w:tcPr>
          <w:p w14:paraId="53764DBC">
            <w:pPr>
              <w:widowControl/>
              <w:spacing w:line="240" w:lineRule="exact"/>
              <w:ind w:firstLine="0" w:firstLineChars="0"/>
              <w:jc w:val="center"/>
              <w:rPr>
                <w:kern w:val="0"/>
                <w:sz w:val="21"/>
                <w:szCs w:val="21"/>
              </w:rPr>
            </w:pPr>
            <w:r>
              <w:rPr>
                <w:kern w:val="0"/>
                <w:sz w:val="21"/>
                <w:szCs w:val="21"/>
              </w:rPr>
              <w:t>防城港企业小计</w:t>
            </w:r>
          </w:p>
        </w:tc>
        <w:tc>
          <w:tcPr>
            <w:tcW w:w="0" w:type="auto"/>
            <w:shd w:val="clear" w:color="auto" w:fill="BEBEBE" w:themeFill="background1" w:themeFillShade="BF"/>
            <w:vAlign w:val="center"/>
          </w:tcPr>
          <w:p w14:paraId="7C910341">
            <w:pPr>
              <w:widowControl/>
              <w:spacing w:line="240" w:lineRule="exact"/>
              <w:ind w:firstLine="0" w:firstLineChars="0"/>
              <w:jc w:val="center"/>
              <w:rPr>
                <w:kern w:val="0"/>
                <w:sz w:val="21"/>
                <w:szCs w:val="21"/>
              </w:rPr>
            </w:pPr>
            <w:r>
              <w:rPr>
                <w:rFonts w:hint="eastAsia"/>
                <w:kern w:val="0"/>
                <w:sz w:val="21"/>
                <w:szCs w:val="21"/>
              </w:rPr>
              <w:t>20430</w:t>
            </w:r>
          </w:p>
        </w:tc>
        <w:tc>
          <w:tcPr>
            <w:tcW w:w="0" w:type="auto"/>
            <w:shd w:val="clear" w:color="auto" w:fill="BEBEBE" w:themeFill="background1" w:themeFillShade="BF"/>
            <w:vAlign w:val="center"/>
          </w:tcPr>
          <w:p w14:paraId="6236CC46">
            <w:pPr>
              <w:widowControl/>
              <w:spacing w:line="240" w:lineRule="exact"/>
              <w:ind w:firstLine="0" w:firstLineChars="0"/>
              <w:jc w:val="center"/>
              <w:rPr>
                <w:kern w:val="0"/>
                <w:sz w:val="21"/>
                <w:szCs w:val="21"/>
              </w:rPr>
            </w:pPr>
            <w:r>
              <w:rPr>
                <w:rFonts w:hint="eastAsia"/>
                <w:kern w:val="0"/>
                <w:sz w:val="21"/>
                <w:szCs w:val="21"/>
              </w:rPr>
              <w:t>45500</w:t>
            </w:r>
          </w:p>
        </w:tc>
        <w:tc>
          <w:tcPr>
            <w:tcW w:w="0" w:type="auto"/>
            <w:shd w:val="clear" w:color="auto" w:fill="BEBEBE" w:themeFill="background1" w:themeFillShade="BF"/>
            <w:vAlign w:val="center"/>
          </w:tcPr>
          <w:p w14:paraId="6B47766A">
            <w:pPr>
              <w:widowControl/>
              <w:spacing w:line="240" w:lineRule="exact"/>
              <w:ind w:firstLine="0" w:firstLineChars="0"/>
              <w:jc w:val="center"/>
              <w:rPr>
                <w:kern w:val="0"/>
                <w:sz w:val="21"/>
                <w:szCs w:val="21"/>
              </w:rPr>
            </w:pPr>
            <w:r>
              <w:rPr>
                <w:rFonts w:hint="eastAsia"/>
                <w:kern w:val="0"/>
                <w:sz w:val="21"/>
                <w:szCs w:val="21"/>
              </w:rPr>
              <w:t>29</w:t>
            </w:r>
          </w:p>
        </w:tc>
        <w:tc>
          <w:tcPr>
            <w:tcW w:w="0" w:type="auto"/>
            <w:shd w:val="clear" w:color="auto" w:fill="BEBEBE" w:themeFill="background1" w:themeFillShade="BF"/>
            <w:vAlign w:val="center"/>
          </w:tcPr>
          <w:p w14:paraId="2F96AA4F">
            <w:pPr>
              <w:widowControl/>
              <w:spacing w:line="240" w:lineRule="exact"/>
              <w:ind w:firstLine="0" w:firstLineChars="0"/>
              <w:jc w:val="center"/>
              <w:rPr>
                <w:kern w:val="0"/>
                <w:sz w:val="21"/>
                <w:szCs w:val="21"/>
              </w:rPr>
            </w:pPr>
            <w:r>
              <w:rPr>
                <w:rFonts w:hint="eastAsia"/>
                <w:kern w:val="0"/>
                <w:sz w:val="21"/>
                <w:szCs w:val="21"/>
              </w:rPr>
              <w:t>17</w:t>
            </w:r>
          </w:p>
        </w:tc>
        <w:tc>
          <w:tcPr>
            <w:tcW w:w="0" w:type="auto"/>
            <w:shd w:val="clear" w:color="auto" w:fill="BEBEBE" w:themeFill="background1" w:themeFillShade="BF"/>
            <w:vAlign w:val="center"/>
          </w:tcPr>
          <w:p w14:paraId="42105E75">
            <w:pPr>
              <w:widowControl/>
              <w:spacing w:line="240" w:lineRule="exact"/>
              <w:ind w:firstLine="0" w:firstLineChars="0"/>
              <w:jc w:val="center"/>
              <w:rPr>
                <w:kern w:val="0"/>
                <w:sz w:val="21"/>
                <w:szCs w:val="21"/>
              </w:rPr>
            </w:pPr>
            <w:r>
              <w:rPr>
                <w:rFonts w:hint="eastAsia"/>
                <w:kern w:val="0"/>
                <w:sz w:val="21"/>
                <w:szCs w:val="21"/>
              </w:rPr>
              <w:t>33</w:t>
            </w:r>
          </w:p>
        </w:tc>
        <w:tc>
          <w:tcPr>
            <w:tcW w:w="0" w:type="auto"/>
            <w:shd w:val="clear" w:color="auto" w:fill="BEBEBE" w:themeFill="background1" w:themeFillShade="BF"/>
            <w:vAlign w:val="center"/>
          </w:tcPr>
          <w:p w14:paraId="09048C78">
            <w:pPr>
              <w:widowControl/>
              <w:spacing w:line="240" w:lineRule="exact"/>
              <w:ind w:firstLine="0" w:firstLineChars="0"/>
              <w:jc w:val="center"/>
              <w:rPr>
                <w:kern w:val="0"/>
                <w:sz w:val="21"/>
                <w:szCs w:val="21"/>
              </w:rPr>
            </w:pPr>
            <w:r>
              <w:rPr>
                <w:rFonts w:hint="eastAsia"/>
                <w:kern w:val="0"/>
                <w:sz w:val="21"/>
                <w:szCs w:val="21"/>
              </w:rPr>
              <w:t>8300</w:t>
            </w:r>
          </w:p>
        </w:tc>
        <w:tc>
          <w:tcPr>
            <w:tcW w:w="0" w:type="auto"/>
            <w:shd w:val="clear" w:color="auto" w:fill="BEBEBE" w:themeFill="background1" w:themeFillShade="BF"/>
            <w:vAlign w:val="center"/>
          </w:tcPr>
          <w:p w14:paraId="0E8D8288">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65D551F4">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43B5E079">
            <w:pPr>
              <w:widowControl/>
              <w:spacing w:line="240" w:lineRule="exact"/>
              <w:ind w:firstLine="0" w:firstLineChars="0"/>
              <w:jc w:val="center"/>
              <w:rPr>
                <w:kern w:val="0"/>
                <w:sz w:val="21"/>
                <w:szCs w:val="21"/>
              </w:rPr>
            </w:pPr>
            <w:r>
              <w:rPr>
                <w:rFonts w:hint="eastAsia"/>
                <w:kern w:val="0"/>
                <w:sz w:val="21"/>
                <w:szCs w:val="21"/>
              </w:rPr>
              <w:t>1</w:t>
            </w:r>
          </w:p>
        </w:tc>
        <w:tc>
          <w:tcPr>
            <w:tcW w:w="0" w:type="auto"/>
            <w:shd w:val="clear" w:color="auto" w:fill="BEBEBE" w:themeFill="background1" w:themeFillShade="BF"/>
            <w:vAlign w:val="center"/>
          </w:tcPr>
          <w:p w14:paraId="33714BD6">
            <w:pPr>
              <w:widowControl/>
              <w:spacing w:line="240" w:lineRule="exact"/>
              <w:ind w:firstLine="0" w:firstLineChars="0"/>
              <w:jc w:val="center"/>
              <w:rPr>
                <w:kern w:val="0"/>
                <w:sz w:val="21"/>
                <w:szCs w:val="21"/>
              </w:rPr>
            </w:pPr>
            <w:r>
              <w:rPr>
                <w:rFonts w:hint="eastAsia"/>
                <w:kern w:val="0"/>
                <w:sz w:val="21"/>
                <w:szCs w:val="21"/>
              </w:rPr>
              <w:t>11</w:t>
            </w:r>
          </w:p>
        </w:tc>
        <w:tc>
          <w:tcPr>
            <w:tcW w:w="0" w:type="auto"/>
            <w:shd w:val="clear" w:color="auto" w:fill="BEBEBE" w:themeFill="background1" w:themeFillShade="BF"/>
            <w:vAlign w:val="center"/>
          </w:tcPr>
          <w:p w14:paraId="1C772E55">
            <w:pPr>
              <w:widowControl/>
              <w:spacing w:line="240" w:lineRule="exact"/>
              <w:ind w:firstLine="0" w:firstLineChars="0"/>
              <w:jc w:val="center"/>
              <w:rPr>
                <w:kern w:val="0"/>
                <w:sz w:val="21"/>
                <w:szCs w:val="21"/>
              </w:rPr>
            </w:pPr>
            <w:r>
              <w:rPr>
                <w:rFonts w:hint="eastAsia"/>
                <w:kern w:val="0"/>
                <w:sz w:val="21"/>
                <w:szCs w:val="21"/>
              </w:rPr>
              <w:t>12</w:t>
            </w:r>
          </w:p>
        </w:tc>
        <w:tc>
          <w:tcPr>
            <w:tcW w:w="0" w:type="auto"/>
            <w:shd w:val="clear" w:color="auto" w:fill="BEBEBE" w:themeFill="background1" w:themeFillShade="BF"/>
            <w:vAlign w:val="center"/>
          </w:tcPr>
          <w:p w14:paraId="23392156">
            <w:pPr>
              <w:widowControl/>
              <w:spacing w:line="240" w:lineRule="exact"/>
              <w:ind w:firstLine="0" w:firstLineChars="0"/>
              <w:jc w:val="center"/>
              <w:rPr>
                <w:kern w:val="0"/>
                <w:sz w:val="21"/>
                <w:szCs w:val="21"/>
              </w:rPr>
            </w:pPr>
            <w:r>
              <w:rPr>
                <w:rFonts w:hint="eastAsia"/>
                <w:kern w:val="0"/>
                <w:sz w:val="21"/>
                <w:szCs w:val="21"/>
              </w:rPr>
              <w:t>3</w:t>
            </w:r>
          </w:p>
        </w:tc>
        <w:tc>
          <w:tcPr>
            <w:tcW w:w="0" w:type="auto"/>
            <w:shd w:val="clear" w:color="auto" w:fill="BEBEBE" w:themeFill="background1" w:themeFillShade="BF"/>
            <w:vAlign w:val="center"/>
          </w:tcPr>
          <w:p w14:paraId="61C0AB65">
            <w:pPr>
              <w:widowControl/>
              <w:spacing w:line="240" w:lineRule="exact"/>
              <w:ind w:firstLine="0" w:firstLineChars="0"/>
              <w:jc w:val="center"/>
              <w:rPr>
                <w:kern w:val="0"/>
                <w:sz w:val="21"/>
                <w:szCs w:val="21"/>
              </w:rPr>
            </w:pPr>
            <w:r>
              <w:rPr>
                <w:rFonts w:hint="eastAsia"/>
                <w:kern w:val="0"/>
                <w:sz w:val="21"/>
                <w:szCs w:val="21"/>
              </w:rPr>
              <w:t>6</w:t>
            </w:r>
          </w:p>
        </w:tc>
        <w:tc>
          <w:tcPr>
            <w:tcW w:w="0" w:type="auto"/>
            <w:shd w:val="clear" w:color="auto" w:fill="BEBEBE" w:themeFill="background1" w:themeFillShade="BF"/>
            <w:vAlign w:val="center"/>
          </w:tcPr>
          <w:p w14:paraId="377C22A6">
            <w:pPr>
              <w:widowControl/>
              <w:spacing w:line="240" w:lineRule="exact"/>
              <w:ind w:firstLine="0" w:firstLineChars="0"/>
              <w:jc w:val="center"/>
              <w:rPr>
                <w:kern w:val="0"/>
                <w:sz w:val="21"/>
                <w:szCs w:val="21"/>
              </w:rPr>
            </w:pPr>
            <w:r>
              <w:rPr>
                <w:rFonts w:hint="eastAsia"/>
                <w:kern w:val="0"/>
                <w:sz w:val="21"/>
                <w:szCs w:val="21"/>
              </w:rPr>
              <w:t>23</w:t>
            </w:r>
          </w:p>
        </w:tc>
      </w:tr>
      <w:tr w14:paraId="18A7C1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0" w:type="auto"/>
            <w:shd w:val="clear" w:color="auto" w:fill="BEBEBE" w:themeFill="background1" w:themeFillShade="BF"/>
            <w:vAlign w:val="center"/>
          </w:tcPr>
          <w:p w14:paraId="2532DE45">
            <w:pPr>
              <w:widowControl/>
              <w:spacing w:line="240" w:lineRule="exact"/>
              <w:ind w:firstLine="0" w:firstLineChars="0"/>
              <w:jc w:val="center"/>
              <w:rPr>
                <w:kern w:val="0"/>
                <w:sz w:val="21"/>
                <w:szCs w:val="21"/>
              </w:rPr>
            </w:pPr>
            <w:r>
              <w:rPr>
                <w:kern w:val="0"/>
                <w:sz w:val="21"/>
                <w:szCs w:val="21"/>
              </w:rPr>
              <w:t>沿海企业小计</w:t>
            </w:r>
          </w:p>
        </w:tc>
        <w:tc>
          <w:tcPr>
            <w:tcW w:w="0" w:type="auto"/>
            <w:shd w:val="clear" w:color="auto" w:fill="BEBEBE" w:themeFill="background1" w:themeFillShade="BF"/>
            <w:vAlign w:val="center"/>
          </w:tcPr>
          <w:p w14:paraId="2B85C885">
            <w:pPr>
              <w:widowControl/>
              <w:spacing w:line="240" w:lineRule="exact"/>
              <w:ind w:firstLine="0" w:firstLineChars="0"/>
              <w:jc w:val="center"/>
              <w:rPr>
                <w:kern w:val="0"/>
                <w:sz w:val="21"/>
                <w:szCs w:val="21"/>
              </w:rPr>
            </w:pPr>
            <w:r>
              <w:rPr>
                <w:rFonts w:hint="eastAsia"/>
                <w:kern w:val="0"/>
                <w:sz w:val="21"/>
                <w:szCs w:val="21"/>
              </w:rPr>
              <w:t>54690</w:t>
            </w:r>
          </w:p>
        </w:tc>
        <w:tc>
          <w:tcPr>
            <w:tcW w:w="0" w:type="auto"/>
            <w:shd w:val="clear" w:color="auto" w:fill="BEBEBE" w:themeFill="background1" w:themeFillShade="BF"/>
            <w:vAlign w:val="center"/>
          </w:tcPr>
          <w:p w14:paraId="466A6CC9">
            <w:pPr>
              <w:widowControl/>
              <w:spacing w:line="240" w:lineRule="exact"/>
              <w:ind w:firstLine="0" w:firstLineChars="0"/>
              <w:jc w:val="center"/>
              <w:rPr>
                <w:kern w:val="0"/>
                <w:sz w:val="21"/>
                <w:szCs w:val="21"/>
              </w:rPr>
            </w:pPr>
            <w:r>
              <w:rPr>
                <w:rFonts w:hint="eastAsia"/>
                <w:kern w:val="0"/>
                <w:sz w:val="21"/>
                <w:szCs w:val="21"/>
              </w:rPr>
              <w:t>114000</w:t>
            </w:r>
          </w:p>
        </w:tc>
        <w:tc>
          <w:tcPr>
            <w:tcW w:w="0" w:type="auto"/>
            <w:shd w:val="clear" w:color="auto" w:fill="BEBEBE" w:themeFill="background1" w:themeFillShade="BF"/>
            <w:vAlign w:val="center"/>
          </w:tcPr>
          <w:p w14:paraId="7BDC2605">
            <w:pPr>
              <w:widowControl/>
              <w:spacing w:line="240" w:lineRule="exact"/>
              <w:ind w:firstLine="0" w:firstLineChars="0"/>
              <w:jc w:val="center"/>
              <w:rPr>
                <w:kern w:val="0"/>
                <w:sz w:val="21"/>
                <w:szCs w:val="21"/>
              </w:rPr>
            </w:pPr>
            <w:r>
              <w:rPr>
                <w:rFonts w:hint="eastAsia"/>
                <w:kern w:val="0"/>
                <w:sz w:val="21"/>
                <w:szCs w:val="21"/>
              </w:rPr>
              <w:t>72</w:t>
            </w:r>
          </w:p>
        </w:tc>
        <w:tc>
          <w:tcPr>
            <w:tcW w:w="0" w:type="auto"/>
            <w:shd w:val="clear" w:color="auto" w:fill="BEBEBE" w:themeFill="background1" w:themeFillShade="BF"/>
            <w:vAlign w:val="center"/>
          </w:tcPr>
          <w:p w14:paraId="47AB8733">
            <w:pPr>
              <w:widowControl/>
              <w:spacing w:line="240" w:lineRule="exact"/>
              <w:ind w:firstLine="0" w:firstLineChars="0"/>
              <w:jc w:val="center"/>
              <w:rPr>
                <w:kern w:val="0"/>
                <w:sz w:val="21"/>
                <w:szCs w:val="21"/>
              </w:rPr>
            </w:pPr>
            <w:r>
              <w:rPr>
                <w:rFonts w:hint="eastAsia"/>
                <w:kern w:val="0"/>
                <w:sz w:val="21"/>
                <w:szCs w:val="21"/>
              </w:rPr>
              <w:t>47</w:t>
            </w:r>
          </w:p>
        </w:tc>
        <w:tc>
          <w:tcPr>
            <w:tcW w:w="0" w:type="auto"/>
            <w:shd w:val="clear" w:color="auto" w:fill="BEBEBE" w:themeFill="background1" w:themeFillShade="BF"/>
            <w:vAlign w:val="center"/>
          </w:tcPr>
          <w:p w14:paraId="1A6E9342">
            <w:pPr>
              <w:widowControl/>
              <w:spacing w:line="240" w:lineRule="exact"/>
              <w:ind w:firstLine="0" w:firstLineChars="0"/>
              <w:jc w:val="center"/>
              <w:rPr>
                <w:kern w:val="0"/>
                <w:sz w:val="21"/>
                <w:szCs w:val="21"/>
              </w:rPr>
            </w:pPr>
            <w:r>
              <w:rPr>
                <w:rFonts w:hint="eastAsia"/>
                <w:kern w:val="0"/>
                <w:sz w:val="21"/>
                <w:szCs w:val="21"/>
              </w:rPr>
              <w:t>81.2</w:t>
            </w:r>
          </w:p>
        </w:tc>
        <w:tc>
          <w:tcPr>
            <w:tcW w:w="0" w:type="auto"/>
            <w:shd w:val="clear" w:color="auto" w:fill="BEBEBE" w:themeFill="background1" w:themeFillShade="BF"/>
            <w:vAlign w:val="center"/>
          </w:tcPr>
          <w:p w14:paraId="1F141BC0">
            <w:pPr>
              <w:widowControl/>
              <w:spacing w:line="240" w:lineRule="exact"/>
              <w:ind w:firstLine="0" w:firstLineChars="0"/>
              <w:jc w:val="center"/>
              <w:rPr>
                <w:kern w:val="0"/>
                <w:sz w:val="21"/>
                <w:szCs w:val="21"/>
              </w:rPr>
            </w:pPr>
            <w:r>
              <w:rPr>
                <w:rFonts w:hint="eastAsia"/>
                <w:kern w:val="0"/>
                <w:sz w:val="21"/>
                <w:szCs w:val="21"/>
              </w:rPr>
              <w:t>21300</w:t>
            </w:r>
          </w:p>
        </w:tc>
        <w:tc>
          <w:tcPr>
            <w:tcW w:w="0" w:type="auto"/>
            <w:shd w:val="clear" w:color="auto" w:fill="BEBEBE" w:themeFill="background1" w:themeFillShade="BF"/>
            <w:vAlign w:val="center"/>
          </w:tcPr>
          <w:p w14:paraId="6179673F">
            <w:pPr>
              <w:widowControl/>
              <w:spacing w:line="240" w:lineRule="exact"/>
              <w:ind w:firstLine="0" w:firstLineChars="0"/>
              <w:jc w:val="center"/>
              <w:rPr>
                <w:kern w:val="0"/>
                <w:sz w:val="21"/>
                <w:szCs w:val="21"/>
              </w:rPr>
            </w:pPr>
            <w:r>
              <w:rPr>
                <w:rFonts w:hint="eastAsia"/>
                <w:kern w:val="0"/>
                <w:sz w:val="21"/>
                <w:szCs w:val="21"/>
              </w:rPr>
              <w:t>16</w:t>
            </w:r>
          </w:p>
        </w:tc>
        <w:tc>
          <w:tcPr>
            <w:tcW w:w="0" w:type="auto"/>
            <w:shd w:val="clear" w:color="auto" w:fill="BEBEBE" w:themeFill="background1" w:themeFillShade="BF"/>
            <w:vAlign w:val="center"/>
          </w:tcPr>
          <w:p w14:paraId="097AB534">
            <w:pPr>
              <w:widowControl/>
              <w:spacing w:line="240" w:lineRule="exact"/>
              <w:ind w:firstLine="0" w:firstLineChars="0"/>
              <w:jc w:val="center"/>
              <w:rPr>
                <w:kern w:val="0"/>
                <w:sz w:val="21"/>
                <w:szCs w:val="21"/>
              </w:rPr>
            </w:pPr>
            <w:r>
              <w:rPr>
                <w:rFonts w:hint="eastAsia"/>
                <w:kern w:val="0"/>
                <w:sz w:val="21"/>
                <w:szCs w:val="21"/>
              </w:rPr>
              <w:t>2</w:t>
            </w:r>
          </w:p>
        </w:tc>
        <w:tc>
          <w:tcPr>
            <w:tcW w:w="0" w:type="auto"/>
            <w:shd w:val="clear" w:color="auto" w:fill="BEBEBE" w:themeFill="background1" w:themeFillShade="BF"/>
            <w:vAlign w:val="center"/>
          </w:tcPr>
          <w:p w14:paraId="43865326">
            <w:pPr>
              <w:widowControl/>
              <w:spacing w:line="240" w:lineRule="exact"/>
              <w:ind w:firstLine="0" w:firstLineChars="0"/>
              <w:jc w:val="center"/>
              <w:rPr>
                <w:kern w:val="0"/>
                <w:sz w:val="21"/>
                <w:szCs w:val="21"/>
              </w:rPr>
            </w:pPr>
            <w:r>
              <w:rPr>
                <w:rFonts w:hint="eastAsia"/>
                <w:kern w:val="0"/>
                <w:sz w:val="21"/>
                <w:szCs w:val="21"/>
              </w:rPr>
              <w:t>1</w:t>
            </w:r>
          </w:p>
        </w:tc>
        <w:tc>
          <w:tcPr>
            <w:tcW w:w="0" w:type="auto"/>
            <w:shd w:val="clear" w:color="auto" w:fill="BEBEBE" w:themeFill="background1" w:themeFillShade="BF"/>
            <w:vAlign w:val="center"/>
          </w:tcPr>
          <w:p w14:paraId="1330A8AE">
            <w:pPr>
              <w:widowControl/>
              <w:spacing w:line="240" w:lineRule="exact"/>
              <w:ind w:firstLine="0" w:firstLineChars="0"/>
              <w:jc w:val="center"/>
              <w:rPr>
                <w:kern w:val="0"/>
                <w:sz w:val="21"/>
                <w:szCs w:val="21"/>
              </w:rPr>
            </w:pPr>
            <w:r>
              <w:rPr>
                <w:rFonts w:hint="eastAsia"/>
                <w:kern w:val="0"/>
                <w:sz w:val="21"/>
                <w:szCs w:val="21"/>
              </w:rPr>
              <w:t>19</w:t>
            </w:r>
          </w:p>
        </w:tc>
        <w:tc>
          <w:tcPr>
            <w:tcW w:w="0" w:type="auto"/>
            <w:shd w:val="clear" w:color="auto" w:fill="BEBEBE" w:themeFill="background1" w:themeFillShade="BF"/>
            <w:vAlign w:val="center"/>
          </w:tcPr>
          <w:p w14:paraId="4CC3E6D0">
            <w:pPr>
              <w:widowControl/>
              <w:spacing w:line="240" w:lineRule="exact"/>
              <w:ind w:firstLine="0" w:firstLineChars="0"/>
              <w:jc w:val="center"/>
              <w:rPr>
                <w:kern w:val="0"/>
                <w:sz w:val="21"/>
                <w:szCs w:val="21"/>
              </w:rPr>
            </w:pPr>
            <w:r>
              <w:rPr>
                <w:rFonts w:hint="eastAsia"/>
                <w:kern w:val="0"/>
                <w:sz w:val="21"/>
                <w:szCs w:val="21"/>
              </w:rPr>
              <w:t>30</w:t>
            </w:r>
          </w:p>
        </w:tc>
        <w:tc>
          <w:tcPr>
            <w:tcW w:w="0" w:type="auto"/>
            <w:shd w:val="clear" w:color="auto" w:fill="BEBEBE" w:themeFill="background1" w:themeFillShade="BF"/>
            <w:vAlign w:val="center"/>
          </w:tcPr>
          <w:p w14:paraId="127A9DF8">
            <w:pPr>
              <w:widowControl/>
              <w:spacing w:line="240" w:lineRule="exact"/>
              <w:ind w:firstLine="0" w:firstLineChars="0"/>
              <w:jc w:val="center"/>
              <w:rPr>
                <w:kern w:val="0"/>
                <w:sz w:val="21"/>
                <w:szCs w:val="21"/>
              </w:rPr>
            </w:pPr>
            <w:r>
              <w:rPr>
                <w:rFonts w:hint="eastAsia"/>
                <w:kern w:val="0"/>
                <w:sz w:val="21"/>
                <w:szCs w:val="21"/>
              </w:rPr>
              <w:t>3</w:t>
            </w:r>
          </w:p>
        </w:tc>
        <w:tc>
          <w:tcPr>
            <w:tcW w:w="0" w:type="auto"/>
            <w:shd w:val="clear" w:color="auto" w:fill="BEBEBE" w:themeFill="background1" w:themeFillShade="BF"/>
            <w:vAlign w:val="center"/>
          </w:tcPr>
          <w:p w14:paraId="050AF5DC">
            <w:pPr>
              <w:widowControl/>
              <w:spacing w:line="240" w:lineRule="exact"/>
              <w:ind w:firstLine="0" w:firstLineChars="0"/>
              <w:jc w:val="center"/>
              <w:rPr>
                <w:kern w:val="0"/>
                <w:sz w:val="21"/>
                <w:szCs w:val="21"/>
              </w:rPr>
            </w:pPr>
            <w:r>
              <w:rPr>
                <w:rFonts w:hint="eastAsia"/>
                <w:kern w:val="0"/>
                <w:sz w:val="21"/>
                <w:szCs w:val="21"/>
              </w:rPr>
              <w:t>12</w:t>
            </w:r>
          </w:p>
        </w:tc>
        <w:tc>
          <w:tcPr>
            <w:tcW w:w="0" w:type="auto"/>
            <w:shd w:val="clear" w:color="auto" w:fill="BEBEBE" w:themeFill="background1" w:themeFillShade="BF"/>
            <w:vAlign w:val="center"/>
          </w:tcPr>
          <w:p w14:paraId="1086A655">
            <w:pPr>
              <w:widowControl/>
              <w:spacing w:line="240" w:lineRule="exact"/>
              <w:ind w:firstLine="0" w:firstLineChars="0"/>
              <w:jc w:val="center"/>
              <w:rPr>
                <w:kern w:val="0"/>
                <w:sz w:val="21"/>
                <w:szCs w:val="21"/>
              </w:rPr>
            </w:pPr>
            <w:r>
              <w:rPr>
                <w:rFonts w:hint="eastAsia"/>
                <w:kern w:val="0"/>
                <w:sz w:val="21"/>
                <w:szCs w:val="21"/>
              </w:rPr>
              <w:t>54</w:t>
            </w:r>
          </w:p>
        </w:tc>
      </w:tr>
      <w:tr w14:paraId="458768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shd w:val="clear" w:color="auto" w:fill="BEBEBE" w:themeFill="background1" w:themeFillShade="BF"/>
            <w:vAlign w:val="center"/>
          </w:tcPr>
          <w:p w14:paraId="76ABB5D0">
            <w:pPr>
              <w:widowControl/>
              <w:spacing w:line="240" w:lineRule="exact"/>
              <w:ind w:firstLine="0" w:firstLineChars="0"/>
              <w:jc w:val="center"/>
              <w:rPr>
                <w:kern w:val="0"/>
                <w:sz w:val="21"/>
                <w:szCs w:val="21"/>
              </w:rPr>
            </w:pPr>
            <w:r>
              <w:rPr>
                <w:kern w:val="0"/>
                <w:sz w:val="21"/>
                <w:szCs w:val="21"/>
              </w:rPr>
              <w:t>总计</w:t>
            </w:r>
          </w:p>
        </w:tc>
        <w:tc>
          <w:tcPr>
            <w:tcW w:w="0" w:type="auto"/>
            <w:shd w:val="clear" w:color="auto" w:fill="BEBEBE" w:themeFill="background1" w:themeFillShade="BF"/>
            <w:vAlign w:val="center"/>
          </w:tcPr>
          <w:p w14:paraId="346AE92B">
            <w:pPr>
              <w:widowControl/>
              <w:spacing w:line="240" w:lineRule="exact"/>
              <w:ind w:firstLine="0" w:firstLineChars="0"/>
              <w:jc w:val="center"/>
              <w:rPr>
                <w:kern w:val="0"/>
                <w:sz w:val="21"/>
                <w:szCs w:val="21"/>
              </w:rPr>
            </w:pPr>
            <w:r>
              <w:rPr>
                <w:rFonts w:hint="eastAsia"/>
                <w:kern w:val="0"/>
                <w:sz w:val="21"/>
                <w:szCs w:val="21"/>
              </w:rPr>
              <w:t>58630</w:t>
            </w:r>
          </w:p>
        </w:tc>
        <w:tc>
          <w:tcPr>
            <w:tcW w:w="0" w:type="auto"/>
            <w:shd w:val="clear" w:color="auto" w:fill="BEBEBE" w:themeFill="background1" w:themeFillShade="BF"/>
            <w:vAlign w:val="center"/>
          </w:tcPr>
          <w:p w14:paraId="047FF329">
            <w:pPr>
              <w:widowControl/>
              <w:spacing w:line="240" w:lineRule="exact"/>
              <w:ind w:firstLine="0" w:firstLineChars="0"/>
              <w:jc w:val="center"/>
              <w:rPr>
                <w:kern w:val="0"/>
                <w:sz w:val="21"/>
                <w:szCs w:val="21"/>
              </w:rPr>
            </w:pPr>
            <w:r>
              <w:rPr>
                <w:rFonts w:hint="eastAsia"/>
                <w:kern w:val="0"/>
                <w:sz w:val="21"/>
                <w:szCs w:val="21"/>
              </w:rPr>
              <w:t>114000</w:t>
            </w:r>
          </w:p>
        </w:tc>
        <w:tc>
          <w:tcPr>
            <w:tcW w:w="0" w:type="auto"/>
            <w:shd w:val="clear" w:color="auto" w:fill="BEBEBE" w:themeFill="background1" w:themeFillShade="BF"/>
            <w:vAlign w:val="center"/>
          </w:tcPr>
          <w:p w14:paraId="3BA02BE2">
            <w:pPr>
              <w:widowControl/>
              <w:spacing w:line="240" w:lineRule="exact"/>
              <w:ind w:firstLine="0" w:firstLineChars="0"/>
              <w:jc w:val="center"/>
              <w:rPr>
                <w:kern w:val="0"/>
                <w:sz w:val="21"/>
                <w:szCs w:val="21"/>
              </w:rPr>
            </w:pPr>
            <w:r>
              <w:rPr>
                <w:rFonts w:hint="eastAsia"/>
                <w:kern w:val="0"/>
                <w:sz w:val="21"/>
                <w:szCs w:val="21"/>
              </w:rPr>
              <w:t>72</w:t>
            </w:r>
          </w:p>
        </w:tc>
        <w:tc>
          <w:tcPr>
            <w:tcW w:w="0" w:type="auto"/>
            <w:shd w:val="clear" w:color="auto" w:fill="BEBEBE" w:themeFill="background1" w:themeFillShade="BF"/>
            <w:vAlign w:val="center"/>
          </w:tcPr>
          <w:p w14:paraId="0AC05B97">
            <w:pPr>
              <w:widowControl/>
              <w:spacing w:line="240" w:lineRule="exact"/>
              <w:ind w:firstLine="0" w:firstLineChars="0"/>
              <w:jc w:val="center"/>
              <w:rPr>
                <w:kern w:val="0"/>
                <w:sz w:val="21"/>
                <w:szCs w:val="21"/>
              </w:rPr>
            </w:pPr>
            <w:r>
              <w:rPr>
                <w:rFonts w:hint="eastAsia"/>
                <w:kern w:val="0"/>
                <w:sz w:val="21"/>
                <w:szCs w:val="21"/>
              </w:rPr>
              <w:t>51</w:t>
            </w:r>
          </w:p>
        </w:tc>
        <w:tc>
          <w:tcPr>
            <w:tcW w:w="0" w:type="auto"/>
            <w:shd w:val="clear" w:color="auto" w:fill="BEBEBE" w:themeFill="background1" w:themeFillShade="BF"/>
            <w:vAlign w:val="center"/>
          </w:tcPr>
          <w:p w14:paraId="10866535">
            <w:pPr>
              <w:widowControl/>
              <w:spacing w:line="240" w:lineRule="exact"/>
              <w:ind w:firstLine="0" w:firstLineChars="0"/>
              <w:jc w:val="center"/>
              <w:rPr>
                <w:kern w:val="0"/>
                <w:sz w:val="21"/>
                <w:szCs w:val="21"/>
              </w:rPr>
            </w:pPr>
            <w:r>
              <w:rPr>
                <w:rFonts w:hint="eastAsia"/>
                <w:kern w:val="0"/>
                <w:sz w:val="21"/>
                <w:szCs w:val="21"/>
              </w:rPr>
              <w:t>108.2</w:t>
            </w:r>
          </w:p>
        </w:tc>
        <w:tc>
          <w:tcPr>
            <w:tcW w:w="0" w:type="auto"/>
            <w:shd w:val="clear" w:color="auto" w:fill="BEBEBE" w:themeFill="background1" w:themeFillShade="BF"/>
            <w:vAlign w:val="center"/>
          </w:tcPr>
          <w:p w14:paraId="0EE56252">
            <w:pPr>
              <w:widowControl/>
              <w:spacing w:line="240" w:lineRule="exact"/>
              <w:ind w:firstLine="0" w:firstLineChars="0"/>
              <w:jc w:val="center"/>
              <w:rPr>
                <w:kern w:val="0"/>
                <w:sz w:val="21"/>
                <w:szCs w:val="21"/>
              </w:rPr>
            </w:pPr>
            <w:r>
              <w:rPr>
                <w:rFonts w:hint="eastAsia"/>
                <w:kern w:val="0"/>
                <w:sz w:val="21"/>
                <w:szCs w:val="21"/>
              </w:rPr>
              <w:t>26900</w:t>
            </w:r>
          </w:p>
        </w:tc>
        <w:tc>
          <w:tcPr>
            <w:tcW w:w="0" w:type="auto"/>
            <w:shd w:val="clear" w:color="auto" w:fill="BEBEBE" w:themeFill="background1" w:themeFillShade="BF"/>
            <w:vAlign w:val="center"/>
          </w:tcPr>
          <w:p w14:paraId="10F9A2E2">
            <w:pPr>
              <w:widowControl/>
              <w:spacing w:line="240" w:lineRule="exact"/>
              <w:ind w:firstLine="0" w:firstLineChars="0"/>
              <w:jc w:val="center"/>
              <w:rPr>
                <w:kern w:val="0"/>
                <w:sz w:val="21"/>
                <w:szCs w:val="21"/>
              </w:rPr>
            </w:pPr>
            <w:r>
              <w:rPr>
                <w:rFonts w:hint="eastAsia"/>
                <w:kern w:val="0"/>
                <w:sz w:val="21"/>
                <w:szCs w:val="21"/>
              </w:rPr>
              <w:t>16</w:t>
            </w:r>
          </w:p>
        </w:tc>
        <w:tc>
          <w:tcPr>
            <w:tcW w:w="0" w:type="auto"/>
            <w:shd w:val="clear" w:color="auto" w:fill="BEBEBE" w:themeFill="background1" w:themeFillShade="BF"/>
            <w:vAlign w:val="center"/>
          </w:tcPr>
          <w:p w14:paraId="53EA6954">
            <w:pPr>
              <w:widowControl/>
              <w:spacing w:line="240" w:lineRule="exact"/>
              <w:ind w:firstLine="0" w:firstLineChars="0"/>
              <w:jc w:val="center"/>
              <w:rPr>
                <w:kern w:val="0"/>
                <w:sz w:val="21"/>
                <w:szCs w:val="21"/>
              </w:rPr>
            </w:pPr>
            <w:r>
              <w:rPr>
                <w:rFonts w:hint="eastAsia"/>
                <w:kern w:val="0"/>
                <w:sz w:val="21"/>
                <w:szCs w:val="21"/>
              </w:rPr>
              <w:t>2</w:t>
            </w:r>
          </w:p>
        </w:tc>
        <w:tc>
          <w:tcPr>
            <w:tcW w:w="0" w:type="auto"/>
            <w:shd w:val="clear" w:color="auto" w:fill="BEBEBE" w:themeFill="background1" w:themeFillShade="BF"/>
            <w:vAlign w:val="center"/>
          </w:tcPr>
          <w:p w14:paraId="62D7A251">
            <w:pPr>
              <w:widowControl/>
              <w:spacing w:line="240" w:lineRule="exact"/>
              <w:ind w:firstLine="0" w:firstLineChars="0"/>
              <w:jc w:val="center"/>
              <w:rPr>
                <w:kern w:val="0"/>
                <w:sz w:val="21"/>
                <w:szCs w:val="21"/>
              </w:rPr>
            </w:pPr>
            <w:r>
              <w:rPr>
                <w:rFonts w:hint="eastAsia"/>
                <w:kern w:val="0"/>
                <w:sz w:val="21"/>
                <w:szCs w:val="21"/>
              </w:rPr>
              <w:t>1</w:t>
            </w:r>
          </w:p>
        </w:tc>
        <w:tc>
          <w:tcPr>
            <w:tcW w:w="0" w:type="auto"/>
            <w:shd w:val="clear" w:color="auto" w:fill="BEBEBE" w:themeFill="background1" w:themeFillShade="BF"/>
            <w:vAlign w:val="center"/>
          </w:tcPr>
          <w:p w14:paraId="057ADF5C">
            <w:pPr>
              <w:widowControl/>
              <w:spacing w:line="240" w:lineRule="exact"/>
              <w:ind w:firstLine="0" w:firstLineChars="0"/>
              <w:jc w:val="center"/>
              <w:rPr>
                <w:kern w:val="0"/>
                <w:sz w:val="21"/>
                <w:szCs w:val="21"/>
              </w:rPr>
            </w:pPr>
            <w:r>
              <w:rPr>
                <w:rFonts w:hint="eastAsia"/>
                <w:kern w:val="0"/>
                <w:sz w:val="21"/>
                <w:szCs w:val="21"/>
              </w:rPr>
              <w:t>19</w:t>
            </w:r>
          </w:p>
        </w:tc>
        <w:tc>
          <w:tcPr>
            <w:tcW w:w="0" w:type="auto"/>
            <w:shd w:val="clear" w:color="auto" w:fill="BEBEBE" w:themeFill="background1" w:themeFillShade="BF"/>
            <w:vAlign w:val="center"/>
          </w:tcPr>
          <w:p w14:paraId="55D78F68">
            <w:pPr>
              <w:widowControl/>
              <w:spacing w:line="240" w:lineRule="exact"/>
              <w:ind w:firstLine="0" w:firstLineChars="0"/>
              <w:jc w:val="center"/>
              <w:rPr>
                <w:kern w:val="0"/>
                <w:sz w:val="21"/>
                <w:szCs w:val="21"/>
              </w:rPr>
            </w:pPr>
            <w:r>
              <w:rPr>
                <w:rFonts w:hint="eastAsia"/>
                <w:kern w:val="0"/>
                <w:sz w:val="21"/>
                <w:szCs w:val="21"/>
              </w:rPr>
              <w:t>30</w:t>
            </w:r>
          </w:p>
        </w:tc>
        <w:tc>
          <w:tcPr>
            <w:tcW w:w="0" w:type="auto"/>
            <w:shd w:val="clear" w:color="auto" w:fill="BEBEBE" w:themeFill="background1" w:themeFillShade="BF"/>
            <w:vAlign w:val="center"/>
          </w:tcPr>
          <w:p w14:paraId="49A57175">
            <w:pPr>
              <w:widowControl/>
              <w:spacing w:line="240" w:lineRule="exact"/>
              <w:ind w:firstLine="0" w:firstLineChars="0"/>
              <w:jc w:val="center"/>
              <w:rPr>
                <w:kern w:val="0"/>
                <w:sz w:val="21"/>
                <w:szCs w:val="21"/>
              </w:rPr>
            </w:pPr>
            <w:r>
              <w:rPr>
                <w:rFonts w:hint="eastAsia"/>
                <w:kern w:val="0"/>
                <w:sz w:val="21"/>
                <w:szCs w:val="21"/>
              </w:rPr>
              <w:t>3</w:t>
            </w:r>
          </w:p>
        </w:tc>
        <w:tc>
          <w:tcPr>
            <w:tcW w:w="0" w:type="auto"/>
            <w:shd w:val="clear" w:color="auto" w:fill="BEBEBE" w:themeFill="background1" w:themeFillShade="BF"/>
            <w:vAlign w:val="center"/>
          </w:tcPr>
          <w:p w14:paraId="6AFE65D3">
            <w:pPr>
              <w:widowControl/>
              <w:spacing w:line="240" w:lineRule="exact"/>
              <w:ind w:firstLine="0" w:firstLineChars="0"/>
              <w:jc w:val="center"/>
              <w:rPr>
                <w:kern w:val="0"/>
                <w:sz w:val="21"/>
                <w:szCs w:val="21"/>
              </w:rPr>
            </w:pPr>
            <w:r>
              <w:rPr>
                <w:rFonts w:hint="eastAsia"/>
                <w:kern w:val="0"/>
                <w:sz w:val="21"/>
                <w:szCs w:val="21"/>
              </w:rPr>
              <w:t>12</w:t>
            </w:r>
          </w:p>
        </w:tc>
        <w:tc>
          <w:tcPr>
            <w:tcW w:w="0" w:type="auto"/>
            <w:shd w:val="clear" w:color="auto" w:fill="BEBEBE" w:themeFill="background1" w:themeFillShade="BF"/>
            <w:vAlign w:val="center"/>
          </w:tcPr>
          <w:p w14:paraId="3C954511">
            <w:pPr>
              <w:widowControl/>
              <w:spacing w:line="240" w:lineRule="exact"/>
              <w:ind w:firstLine="0" w:firstLineChars="0"/>
              <w:jc w:val="center"/>
              <w:rPr>
                <w:kern w:val="0"/>
                <w:sz w:val="21"/>
                <w:szCs w:val="21"/>
              </w:rPr>
            </w:pPr>
            <w:r>
              <w:rPr>
                <w:rFonts w:hint="eastAsia"/>
                <w:kern w:val="0"/>
                <w:sz w:val="21"/>
                <w:szCs w:val="21"/>
              </w:rPr>
              <w:t>54</w:t>
            </w:r>
          </w:p>
        </w:tc>
      </w:tr>
    </w:tbl>
    <w:p w14:paraId="67D3E43A">
      <w:pPr>
        <w:pStyle w:val="5"/>
        <w:sectPr>
          <w:pgSz w:w="16840" w:h="11907" w:orient="landscape"/>
          <w:pgMar w:top="1797" w:right="1440" w:bottom="1514" w:left="1440" w:header="992" w:footer="851" w:gutter="284"/>
          <w:pgNumType w:fmt="numberInDash"/>
          <w:cols w:space="425" w:num="1"/>
          <w:docGrid w:type="lines" w:linePitch="465" w:charSpace="-4355"/>
        </w:sectPr>
      </w:pPr>
    </w:p>
    <w:p w14:paraId="54552F92">
      <w:pPr>
        <w:pStyle w:val="5"/>
      </w:pPr>
      <w:r>
        <w:t>风险防范对策措施</w:t>
      </w:r>
    </w:p>
    <w:p w14:paraId="76A35167">
      <w:pPr>
        <w:ind w:firstLine="437"/>
        <w:rPr>
          <w:u w:val="single"/>
        </w:rPr>
      </w:pPr>
      <w:r>
        <w:rPr>
          <w:rFonts w:hint="eastAsia"/>
          <w:u w:val="single"/>
        </w:rPr>
        <w:t>严格按《港口危险货物集装箱堆场设计规范》（JTS 176—2020）、《港口作业安全要求 第3部分：危险货物集装箱》（GB 16994.3-2021）以及项目安全评价报告要求做好危险品集装箱堆场设计、危险品集装箱装卸作业管理工作。</w:t>
      </w:r>
    </w:p>
    <w:p w14:paraId="0BA69CB2">
      <w:pPr>
        <w:pStyle w:val="6"/>
      </w:pPr>
      <w:r>
        <w:rPr>
          <w:rFonts w:hint="eastAsia"/>
        </w:rPr>
        <w:t>监控措施</w:t>
      </w:r>
    </w:p>
    <w:p w14:paraId="1254E8CF">
      <w:pPr>
        <w:ind w:firstLine="437"/>
      </w:pPr>
      <w:r>
        <w:rPr>
          <w:rFonts w:hint="eastAsia" w:ascii="宋体" w:hAnsi="宋体" w:cs="宋体"/>
        </w:rPr>
        <w:t>①</w:t>
      </w:r>
      <w:r>
        <w:t>码头、值班室等处</w:t>
      </w:r>
      <w:r>
        <w:rPr>
          <w:rFonts w:hint="eastAsia"/>
        </w:rPr>
        <w:t>应</w:t>
      </w:r>
      <w:r>
        <w:t>安装报警电话和应急广播，一旦发生火警</w:t>
      </w:r>
      <w:r>
        <w:rPr>
          <w:rFonts w:hint="eastAsia"/>
        </w:rPr>
        <w:t>、泄漏等事故</w:t>
      </w:r>
      <w:r>
        <w:t>可及时和监控中心、消防值班室联络，及时启动应急处理预案</w:t>
      </w:r>
      <w:r>
        <w:rPr>
          <w:rFonts w:hint="eastAsia"/>
        </w:rPr>
        <w:t>。</w:t>
      </w:r>
    </w:p>
    <w:p w14:paraId="5E74070B">
      <w:pPr>
        <w:ind w:firstLine="437"/>
      </w:pPr>
      <w:r>
        <w:rPr>
          <w:rFonts w:hint="eastAsia" w:ascii="宋体" w:hAnsi="宋体" w:cs="宋体"/>
        </w:rPr>
        <w:t>②</w:t>
      </w:r>
      <w:r>
        <w:rPr>
          <w:rFonts w:hint="eastAsia"/>
        </w:rPr>
        <w:t>港区对集装箱作业、堆存的控制及计算机管理部分包括集装箱信息处理系统、无线数据传输系统、大型机械信息远程监控系统、智能化道口系统、照明控制系统、冷藏集装箱监控系统等</w:t>
      </w:r>
      <w:r>
        <w:t>，</w:t>
      </w:r>
      <w:r>
        <w:rPr>
          <w:rFonts w:hint="eastAsia"/>
        </w:rPr>
        <w:t>并</w:t>
      </w:r>
      <w:r>
        <w:t>设码头操作控制系统、码头通信联络及监控系统。港区设监控系统，监控摄像头安装在码头前沿、危险货物集装箱专用堆场、港区主干道高杆灯灯杆上，</w:t>
      </w:r>
      <w:r>
        <w:rPr>
          <w:rFonts w:hint="eastAsia"/>
        </w:rPr>
        <w:t>并</w:t>
      </w:r>
      <w:r>
        <w:t>随时监控集装箱作业区的作业情况。危险货物集装箱码头装卸作业时，通过监控系统对现场作业情况进行实时监控。危货堆场的视频监控与港口管理局联网，实时监控危货堆场集装箱作业情况。</w:t>
      </w:r>
    </w:p>
    <w:p w14:paraId="5BCA90AE">
      <w:pPr>
        <w:ind w:firstLine="437"/>
      </w:pPr>
      <w:r>
        <w:rPr>
          <w:rFonts w:hint="eastAsia" w:ascii="宋体" w:hAnsi="宋体" w:cs="宋体"/>
        </w:rPr>
        <w:t>③按要求设置</w:t>
      </w:r>
      <w:r>
        <w:t>消防灭火系统，</w:t>
      </w:r>
      <w:r>
        <w:rPr>
          <w:rFonts w:hint="eastAsia"/>
        </w:rPr>
        <w:t>并配备</w:t>
      </w:r>
      <w:r>
        <w:t>完善消防设备、防污染设施和应急救援</w:t>
      </w:r>
      <w:r>
        <w:rPr>
          <w:rFonts w:hint="eastAsia"/>
          <w:lang w:eastAsia="zh-CN"/>
        </w:rPr>
        <w:t>物资</w:t>
      </w:r>
      <w:r>
        <w:rPr>
          <w:rFonts w:hint="eastAsia"/>
        </w:rPr>
        <w:t>。</w:t>
      </w:r>
    </w:p>
    <w:p w14:paraId="4933CB76">
      <w:pPr>
        <w:pStyle w:val="6"/>
      </w:pPr>
      <w:r>
        <w:rPr>
          <w:rFonts w:hint="eastAsia"/>
        </w:rPr>
        <w:t>火灾</w:t>
      </w:r>
      <w:r>
        <w:t>爆炸事故防范和应急措施</w:t>
      </w:r>
    </w:p>
    <w:p w14:paraId="63115B30">
      <w:pPr>
        <w:ind w:firstLine="437"/>
      </w:pPr>
      <w:r>
        <w:rPr>
          <w:rFonts w:hint="eastAsia"/>
        </w:rPr>
        <w:t>项目实施后，危险货物集装箱作业过程中，建议的管控措施包括：</w:t>
      </w:r>
    </w:p>
    <w:p w14:paraId="2BE41ACD">
      <w:pPr>
        <w:ind w:firstLine="437"/>
      </w:pPr>
      <w:r>
        <w:rPr>
          <w:rFonts w:hint="eastAsia"/>
        </w:rPr>
        <w:t>（1）危险货物箱的装卸必须严格按照《国际海运危险货物规则》和我国《水运危险货物运输规则》执行，危险货物集装箱在装船或卸船前，检查系泊是否安全，同时建议在船舶四周敷设围油栏。作业方应会同船方对集装箱外观进行检查，重点检查集装箱结构是否有损坏、有无洒漏或渗漏现象。发现异常应通知有关部门处理，在未处理之前不得装卸。</w:t>
      </w:r>
    </w:p>
    <w:p w14:paraId="68E5068F">
      <w:pPr>
        <w:ind w:firstLine="437"/>
      </w:pPr>
      <w:r>
        <w:rPr>
          <w:rFonts w:hint="eastAsia"/>
        </w:rPr>
        <w:t>（2）从事危险货物集装箱装、卸作业人员，应熟知各类危险货物的性质，并经港口有关部门的培训，经考核合格者，方可参加作业。作业前，应详细了解所装卸危险货物的性质、危险程度、安全和医疗急救措施，并严格按照有关操作规程作业。</w:t>
      </w:r>
    </w:p>
    <w:p w14:paraId="35397EDB">
      <w:pPr>
        <w:ind w:firstLine="437"/>
      </w:pPr>
      <w:r>
        <w:rPr>
          <w:rFonts w:hint="eastAsia"/>
        </w:rPr>
        <w:t>（3）装卸危险货物，应根据货物性质选用合适的装卸机具，按国家标准安装使用防爆防静电气设备，机械设备的设计和选型应符合《生产设备安全卫生设计总则》（GB5083-99）。装卸易燃、易爆货物，装卸机械应安置火星熄灭装置，禁止使用非防爆型电器设备，严格控制作业人员携带无防爆功能的手机进入码头装卸区；装卸易燃易爆危险货物集装箱期间，不得进行加油、加水（岸上管道加水除外）等作业；易燃易危爆险货物集装箱装卸时，距装卸地点50m范围内为禁止明火作业区域；危险货物集装箱作业、堆存区域不得进行车辆维修、保养等工作。</w:t>
      </w:r>
    </w:p>
    <w:p w14:paraId="79C46867">
      <w:pPr>
        <w:ind w:firstLine="437"/>
      </w:pPr>
      <w:r>
        <w:rPr>
          <w:rFonts w:hint="eastAsia"/>
        </w:rPr>
        <w:t>（4）雷电和暴风雨天气以及附近有火情时，应立即停止装卸作业。</w:t>
      </w:r>
    </w:p>
    <w:p w14:paraId="7EE6373E">
      <w:pPr>
        <w:ind w:firstLine="437"/>
      </w:pPr>
      <w:r>
        <w:t>（</w:t>
      </w:r>
      <w:r>
        <w:rPr>
          <w:rFonts w:hint="eastAsia"/>
        </w:rPr>
        <w:t>5</w:t>
      </w:r>
      <w:r>
        <w:t>）火灾事故的整体应急体系（消防、人员疏散、紧急救护环保等），其中的环保应急计划</w:t>
      </w:r>
      <w:r>
        <w:rPr>
          <w:rFonts w:hint="eastAsia"/>
        </w:rPr>
        <w:t>应</w:t>
      </w:r>
      <w:r>
        <w:t>包括以下环节：</w:t>
      </w:r>
    </w:p>
    <w:p w14:paraId="60E2413A">
      <w:pPr>
        <w:ind w:firstLine="437"/>
      </w:pPr>
      <w:r>
        <w:rPr>
          <w:rFonts w:hint="eastAsia"/>
        </w:rPr>
        <w:t>①</w:t>
      </w:r>
      <w:r>
        <w:t>当发生灾害事故时，首先应对事故地点附近的建筑物内人员作紧急疏散，并视事故发展态势决定是否对港区外围居民区人员进行疏散。</w:t>
      </w:r>
    </w:p>
    <w:p w14:paraId="62ED4A13">
      <w:pPr>
        <w:ind w:firstLine="437"/>
      </w:pPr>
      <w:r>
        <w:rPr>
          <w:rFonts w:hint="eastAsia"/>
        </w:rPr>
        <w:t>②</w:t>
      </w:r>
      <w:r>
        <w:t>由港区抢险指挥系统确定事故救灾行动方案，灭火方法以及制止连环爆炸事故的紧急措施。</w:t>
      </w:r>
    </w:p>
    <w:p w14:paraId="443FAC58">
      <w:pPr>
        <w:ind w:firstLine="437"/>
      </w:pPr>
      <w:r>
        <w:rPr>
          <w:rFonts w:hint="eastAsia"/>
        </w:rPr>
        <w:t>③</w:t>
      </w:r>
      <w:r>
        <w:t>港区环保部门必须以最快速度对事故现场实行环境监控，以便提供关于事故对环境可能带来的任何种性质危害及程度等方面第一手资料。</w:t>
      </w:r>
    </w:p>
    <w:p w14:paraId="59C385F5">
      <w:pPr>
        <w:ind w:firstLine="437"/>
      </w:pPr>
      <w:r>
        <w:rPr>
          <w:rFonts w:hint="eastAsia"/>
        </w:rPr>
        <w:t>④</w:t>
      </w:r>
      <w:r>
        <w:t>环境监测站技术人员掌握火灾事故性质的同时，预估将会对环境产生影响的主要污染因子，随后进行相应的布点，并采集环境样品进行相应分析化验工作（包括大气、水体和土壤）并根据监测结果分析可能对环境产生的污染和危害，进而为领导决策如何妥善处理事故的环境影响后果，并实施相应减免和补救措施提供依据。</w:t>
      </w:r>
    </w:p>
    <w:p w14:paraId="3CF6E79D">
      <w:pPr>
        <w:ind w:firstLine="437"/>
      </w:pPr>
      <w:r>
        <w:rPr>
          <w:rFonts w:hint="eastAsia"/>
        </w:rPr>
        <w:t>⑤</w:t>
      </w:r>
      <w:r>
        <w:t>在环保专家指导下，针对污染事故的特性，提出处置事故区固体废弃物的方案和建议，并组织抢险队伍付诸行动。</w:t>
      </w:r>
    </w:p>
    <w:p w14:paraId="6720432E">
      <w:pPr>
        <w:pStyle w:val="6"/>
      </w:pPr>
      <w:r>
        <w:rPr>
          <w:rFonts w:hint="eastAsia"/>
        </w:rPr>
        <w:t>码头前沿溢油/危险化学品泄露</w:t>
      </w:r>
      <w:bookmarkStart w:id="621" w:name="OLE_LINK268"/>
      <w:r>
        <w:rPr>
          <w:rFonts w:hint="eastAsia"/>
        </w:rPr>
        <w:t>防范措施</w:t>
      </w:r>
      <w:bookmarkEnd w:id="621"/>
    </w:p>
    <w:p w14:paraId="21538255">
      <w:pPr>
        <w:ind w:firstLine="439"/>
        <w:rPr>
          <w:b/>
          <w:bCs/>
        </w:rPr>
      </w:pPr>
      <w:r>
        <w:rPr>
          <w:rFonts w:hint="eastAsia"/>
          <w:b/>
          <w:bCs/>
        </w:rPr>
        <w:t>1、总体要求</w:t>
      </w:r>
    </w:p>
    <w:p w14:paraId="5BBE310C">
      <w:pPr>
        <w:ind w:firstLine="437"/>
      </w:pPr>
      <w:r>
        <w:rPr>
          <w:rFonts w:hint="eastAsia"/>
        </w:rPr>
        <w:t>①建立船舶交通管制系统和水上安全保障系统，为进出港船舶创造必要的适航条件，辅以安全的助导航设施，避免船舶事故的发生。</w:t>
      </w:r>
    </w:p>
    <w:p w14:paraId="2A6C846F">
      <w:pPr>
        <w:ind w:firstLine="437"/>
      </w:pPr>
      <w:r>
        <w:rPr>
          <w:rFonts w:hint="eastAsia"/>
        </w:rPr>
        <w:t>②建立港区水上安全监督机构，如港务监督、配置水上安全保障设施，如水上通讯联络、船舶导航、助航、引航、航道航标指示、水上救助、气象预报等。</w:t>
      </w:r>
    </w:p>
    <w:p w14:paraId="20215F75">
      <w:pPr>
        <w:ind w:firstLine="437"/>
      </w:pPr>
      <w:r>
        <w:rPr>
          <w:rFonts w:hint="eastAsia"/>
        </w:rPr>
        <w:t>③对港区船舶停泊水域和通航水深定期监测。</w:t>
      </w:r>
    </w:p>
    <w:p w14:paraId="3B57C9C5">
      <w:pPr>
        <w:ind w:firstLine="437"/>
      </w:pPr>
      <w:r>
        <w:rPr>
          <w:rFonts w:hint="eastAsia"/>
        </w:rPr>
        <w:t>④制定安全管理制度、安全操作规程等安全生产管理制度，定期进行危险品泄漏应急处理消防演练。</w:t>
      </w:r>
    </w:p>
    <w:p w14:paraId="31E4623C">
      <w:pPr>
        <w:ind w:firstLine="437"/>
      </w:pPr>
      <w:r>
        <w:rPr>
          <w:rFonts w:hint="eastAsia"/>
        </w:rPr>
        <w:t>⑤加强作业人员危险品集装箱的操作技能、环保意识培训，确保按照规范进行操作，树立良好的风险安全意识，降低人为因素溢油/溢化工品事故发生几率。</w:t>
      </w:r>
    </w:p>
    <w:p w14:paraId="21995F35">
      <w:pPr>
        <w:ind w:firstLine="437"/>
      </w:pPr>
      <w:r>
        <w:rPr>
          <w:rFonts w:hint="eastAsia"/>
        </w:rPr>
        <w:t>⑥危险品严格按照《MARPOL73/78防污公约》附则包装，防止装卸过程中集装箱掉落损坏或箱体门打开，包装损坏危险品泄漏入海。</w:t>
      </w:r>
    </w:p>
    <w:p w14:paraId="4598B03C">
      <w:pPr>
        <w:ind w:firstLine="437"/>
        <w:rPr>
          <w:u w:val="single"/>
        </w:rPr>
      </w:pPr>
      <w:r>
        <w:rPr>
          <w:rFonts w:hint="eastAsia"/>
          <w:u w:val="single"/>
        </w:rPr>
        <w:t>2、码头前沿装卸事故泄露主要应当措施</w:t>
      </w:r>
    </w:p>
    <w:p w14:paraId="30CFB439">
      <w:pPr>
        <w:ind w:firstLine="437"/>
        <w:rPr>
          <w:u w:val="single"/>
        </w:rPr>
      </w:pPr>
      <w:r>
        <w:rPr>
          <w:rFonts w:hint="eastAsia"/>
          <w:u w:val="single"/>
        </w:rPr>
        <w:t>（1）泄漏源控制在满足相应条件的情况下，通过控制化学品的溢出或泄漏来消除化学品的进一步扩散，可以使用以下方法：</w:t>
      </w:r>
    </w:p>
    <w:p w14:paraId="2B41C52D">
      <w:pPr>
        <w:ind w:firstLine="437"/>
        <w:rPr>
          <w:u w:val="single"/>
        </w:rPr>
      </w:pPr>
      <w:r>
        <w:rPr>
          <w:rFonts w:hint="eastAsia"/>
          <w:u w:val="single"/>
        </w:rPr>
        <w:t>①停止作业；</w:t>
      </w:r>
    </w:p>
    <w:p w14:paraId="0F5C5FF6">
      <w:pPr>
        <w:ind w:firstLine="437"/>
        <w:rPr>
          <w:u w:val="single"/>
        </w:rPr>
      </w:pPr>
      <w:r>
        <w:rPr>
          <w:rFonts w:hint="eastAsia"/>
          <w:u w:val="single"/>
        </w:rPr>
        <w:t>②对于已经起吊的集装箱发生泄漏，应立刻采取堵漏措施，将该集装箱由带托盘的半挂拖车送往危险货物集装箱堆场内设置的危险品箱事故应急处理场地处理，并将洒在地面上的污物清扫干净。</w:t>
      </w:r>
    </w:p>
    <w:p w14:paraId="4E77FE56">
      <w:pPr>
        <w:ind w:firstLine="437"/>
        <w:rPr>
          <w:u w:val="single"/>
        </w:rPr>
      </w:pPr>
      <w:bookmarkStart w:id="622" w:name="OLE_LINK515"/>
      <w:r>
        <w:rPr>
          <w:rFonts w:hint="eastAsia"/>
          <w:u w:val="single"/>
        </w:rPr>
        <w:t>（2）</w:t>
      </w:r>
      <w:bookmarkEnd w:id="622"/>
      <w:r>
        <w:rPr>
          <w:rFonts w:hint="eastAsia"/>
          <w:u w:val="single"/>
        </w:rPr>
        <w:t>一旦液体危险货物发生泄漏，泄漏到地面上时会四处蔓延扩散，难以收集处理，为此需要将液体化学品引流到安全地点。为了保证将事故废水控制在场界范围内，不使其进入水体，本项目采取以下措施：</w:t>
      </w:r>
    </w:p>
    <w:p w14:paraId="7CB19564">
      <w:pPr>
        <w:ind w:firstLine="437"/>
        <w:rPr>
          <w:u w:val="single"/>
        </w:rPr>
      </w:pPr>
      <w:bookmarkStart w:id="623" w:name="OLE_LINK513"/>
      <w:r>
        <w:rPr>
          <w:rFonts w:hint="eastAsia"/>
          <w:u w:val="single"/>
        </w:rPr>
        <w:t>①</w:t>
      </w:r>
      <w:bookmarkEnd w:id="623"/>
      <w:r>
        <w:rPr>
          <w:rFonts w:hint="eastAsia"/>
          <w:u w:val="single"/>
        </w:rPr>
        <w:t>迅速采用防渗沙袋将事故废水隔离；及时采用围油栏、消油剂、消油剂喷洒装置、吸油毡等风险事故应急设施。建设单位已按码头等级配备围油栏、吸油毡、分散剂等溢油处理器材；</w:t>
      </w:r>
    </w:p>
    <w:p w14:paraId="4853C577">
      <w:pPr>
        <w:ind w:firstLine="437"/>
        <w:rPr>
          <w:u w:val="single"/>
        </w:rPr>
      </w:pPr>
      <w:r>
        <w:rPr>
          <w:rFonts w:hint="eastAsia"/>
          <w:u w:val="single"/>
        </w:rPr>
        <w:t>②用防水布和沙袋封闭所有出入口及雨水、污水等所有通向外界的通道，确保事故废水控制在本工程范围内；</w:t>
      </w:r>
    </w:p>
    <w:p w14:paraId="07F79FA6">
      <w:pPr>
        <w:ind w:firstLine="437"/>
        <w:rPr>
          <w:u w:val="single"/>
        </w:rPr>
      </w:pPr>
      <w:r>
        <w:rPr>
          <w:rFonts w:hint="eastAsia"/>
          <w:u w:val="single"/>
        </w:rPr>
        <w:t>③对于不慎落入水中的污染物，迅速在泄露海域开展围油栏布放。</w:t>
      </w:r>
    </w:p>
    <w:p w14:paraId="4688824A">
      <w:pPr>
        <w:ind w:firstLine="437"/>
        <w:rPr>
          <w:u w:val="single"/>
        </w:rPr>
      </w:pPr>
      <w:r>
        <w:rPr>
          <w:rFonts w:hint="eastAsia"/>
          <w:u w:val="single"/>
        </w:rPr>
        <w:t>（3）对于泄漏至海域化学品应根据泄漏物质特性尽量采取可行措施进行收集、吸附：</w:t>
      </w:r>
    </w:p>
    <w:p w14:paraId="6F9805E8">
      <w:pPr>
        <w:ind w:firstLine="437"/>
        <w:rPr>
          <w:u w:val="single"/>
        </w:rPr>
      </w:pPr>
      <w:r>
        <w:rPr>
          <w:rFonts w:hint="eastAsia"/>
          <w:u w:val="single"/>
        </w:rPr>
        <w:t>①可溶性化学品尽量采用吸附法。可在码头前沿配备一点数量的活性炭、改性沸石等吸附材料，一旦化学品泄漏进入水体，迅速在泄漏点及附近水域投放吸附剂，尽可能吸附污染物。</w:t>
      </w:r>
    </w:p>
    <w:p w14:paraId="24E568E1">
      <w:pPr>
        <w:ind w:firstLine="437"/>
        <w:rPr>
          <w:u w:val="single"/>
        </w:rPr>
      </w:pPr>
      <w:r>
        <w:rPr>
          <w:rFonts w:hint="eastAsia"/>
          <w:u w:val="single"/>
        </w:rPr>
        <w:t>②码头配备捞网，当泄漏入海物质为不溶性固体化学品时，及时在泄露海域进行打捞。</w:t>
      </w:r>
    </w:p>
    <w:p w14:paraId="10B019DE">
      <w:pPr>
        <w:ind w:firstLine="437"/>
        <w:rPr>
          <w:u w:val="single"/>
        </w:rPr>
      </w:pPr>
      <w:r>
        <w:rPr>
          <w:rFonts w:hint="eastAsia"/>
          <w:u w:val="single"/>
        </w:rPr>
        <w:t>3、船舶溢油风险防范措施</w:t>
      </w:r>
    </w:p>
    <w:p w14:paraId="60E6BC96">
      <w:pPr>
        <w:ind w:firstLine="437"/>
        <w:rPr>
          <w:u w:val="single"/>
        </w:rPr>
      </w:pPr>
      <w:r>
        <w:rPr>
          <w:rFonts w:hint="eastAsia"/>
          <w:u w:val="single"/>
        </w:rPr>
        <w:t>（1）时刻关注天气变化情况，遇到不利风况时，应提醒船舶引航员高度警惕，杜绝应疏忽或人为因素导致溢油事故发生。</w:t>
      </w:r>
    </w:p>
    <w:p w14:paraId="260C2BE0">
      <w:pPr>
        <w:ind w:firstLine="437"/>
        <w:rPr>
          <w:u w:val="single"/>
        </w:rPr>
      </w:pPr>
      <w:r>
        <w:rPr>
          <w:rFonts w:hint="eastAsia"/>
          <w:u w:val="single"/>
        </w:rPr>
        <w:t>（2）建立溢油应急体系和制定溢油应急预案，并与周边码头、港口形成联动系统。应急计划中须对应急人员、设施及器材的配备作因地制宜的和详细的规定；</w:t>
      </w:r>
    </w:p>
    <w:p w14:paraId="658C0A26">
      <w:pPr>
        <w:ind w:firstLine="437"/>
        <w:rPr>
          <w:u w:val="single"/>
        </w:rPr>
      </w:pPr>
      <w:r>
        <w:rPr>
          <w:rFonts w:hint="eastAsia"/>
          <w:u w:val="single"/>
        </w:rPr>
        <w:t>（3）轮船进出港和进出锚地实施引航员制度。并规定引航员的培训与考核制度，引航员的职责、以及引航员对航道、浅滩、礁石、港口水文气象条件熟悉的培训。</w:t>
      </w:r>
    </w:p>
    <w:p w14:paraId="119530DD">
      <w:pPr>
        <w:ind w:firstLine="437"/>
        <w:rPr>
          <w:u w:val="single"/>
        </w:rPr>
      </w:pPr>
      <w:r>
        <w:rPr>
          <w:rFonts w:hint="eastAsia"/>
          <w:u w:val="single"/>
        </w:rPr>
        <w:t>（4）实施船舶码头靠泊和锚地锚泊制度。这包括使用锚地申请、锚泊密度(间隔)、船只进出锚地航速，各种天气条件下的锚地船只的</w:t>
      </w:r>
      <w:r>
        <w:rPr>
          <w:rFonts w:hint="eastAsia"/>
          <w:u w:val="single"/>
          <w:lang w:eastAsia="zh-CN"/>
        </w:rPr>
        <w:t>瞭望</w:t>
      </w:r>
      <w:r>
        <w:rPr>
          <w:rFonts w:hint="eastAsia"/>
          <w:u w:val="single"/>
        </w:rPr>
        <w:t>制度等，以防锚地船只拖锚、碰撞、挤压、搁浅、触礁等事故发生。</w:t>
      </w:r>
    </w:p>
    <w:p w14:paraId="0E5C3656">
      <w:pPr>
        <w:ind w:firstLine="437"/>
        <w:rPr>
          <w:u w:val="single"/>
        </w:rPr>
      </w:pPr>
      <w:r>
        <w:rPr>
          <w:rFonts w:hint="eastAsia"/>
          <w:u w:val="single"/>
        </w:rPr>
        <w:t>（5）码头对所用船舶及其人员应提出严格的书面管理要求及所应承担的防止船舶溢油责任和义务，并落实本条例规定的防治污染有关措施。船员对可能出现事故溢油的人为原因与自然因素应学习、了解，提高溢油危害的认识及安全运输的责任感和责任心。</w:t>
      </w:r>
    </w:p>
    <w:p w14:paraId="029D4522">
      <w:pPr>
        <w:ind w:firstLine="437"/>
        <w:rPr>
          <w:u w:val="single"/>
        </w:rPr>
      </w:pPr>
      <w:r>
        <w:rPr>
          <w:rFonts w:hint="eastAsia"/>
          <w:u w:val="single"/>
        </w:rPr>
        <w:t>（6）在港轮船实施值班、瞭望制度。</w:t>
      </w:r>
    </w:p>
    <w:p w14:paraId="46968F98">
      <w:pPr>
        <w:ind w:firstLine="437"/>
        <w:rPr>
          <w:u w:val="single"/>
        </w:rPr>
      </w:pPr>
      <w:r>
        <w:rPr>
          <w:rFonts w:hint="eastAsia"/>
          <w:u w:val="single"/>
        </w:rPr>
        <w:t>（7）码头泊位应装备符合工程要求的系船设施和防撞靠泊设施；应按照设计船型参数，对船舶进港航道、港池及调头区实施必要的炸礁、清淤工作；并注意航标设置及日常维护工作。</w:t>
      </w:r>
    </w:p>
    <w:p w14:paraId="2ADEBE96">
      <w:pPr>
        <w:ind w:firstLine="437"/>
        <w:rPr>
          <w:u w:val="single"/>
        </w:rPr>
      </w:pPr>
      <w:r>
        <w:rPr>
          <w:rFonts w:hint="eastAsia"/>
          <w:u w:val="single"/>
        </w:rPr>
        <w:t>（8）对码头操作员队伍进行培训，持证上岗。主要培训内容包括港口、码头安全防污管理规定、国际防污公约、《国际油轮和油码头安全指南》、防火防爆知识、船舶靠泊、接管、装卸、扫气、报警、应急、急救等方面的基础知识和技术要求。</w:t>
      </w:r>
    </w:p>
    <w:p w14:paraId="19AB90E5">
      <w:pPr>
        <w:ind w:firstLine="437"/>
        <w:rPr>
          <w:u w:val="single"/>
        </w:rPr>
      </w:pPr>
      <w:r>
        <w:rPr>
          <w:rFonts w:hint="eastAsia"/>
          <w:u w:val="single"/>
        </w:rPr>
        <w:t>（9）一旦发生溢油事故，立即项目应急预警，开展应急响应。</w:t>
      </w:r>
    </w:p>
    <w:p w14:paraId="13E62BB4">
      <w:pPr>
        <w:pStyle w:val="6"/>
      </w:pPr>
      <w:r>
        <w:rPr>
          <w:rFonts w:hint="eastAsia"/>
        </w:rPr>
        <w:t>危险货物堆场环境风险防范措施</w:t>
      </w:r>
    </w:p>
    <w:p w14:paraId="00275BC1">
      <w:pPr>
        <w:ind w:firstLine="437"/>
      </w:pPr>
      <w:r>
        <w:rPr>
          <w:rFonts w:hint="eastAsia"/>
        </w:rPr>
        <w:t>①地面硬化防渗，四周布置环形消防车道，四周设栅栏隔离。</w:t>
      </w:r>
    </w:p>
    <w:p w14:paraId="00F7B9E8">
      <w:pPr>
        <w:ind w:firstLine="437"/>
      </w:pPr>
      <w:r>
        <w:rPr>
          <w:rFonts w:hint="eastAsia"/>
        </w:rPr>
        <w:t>②堆场内设警示标识，配备消防沙、消防水池、消防器械柜、人体静电消除设施等，堆场高杆灯应配备避雷针和监控探头。其堆场内易燃易爆危险货物集装箱堆放层高不超过两层；其他危险货物集装箱堆放层高不超过三层。</w:t>
      </w:r>
    </w:p>
    <w:p w14:paraId="3AA3B500">
      <w:pPr>
        <w:ind w:firstLine="437"/>
      </w:pPr>
      <w:r>
        <w:rPr>
          <w:rFonts w:hint="eastAsia"/>
        </w:rPr>
        <w:t>③危险货物集装箱专用堆场进口大门处设有值班室，设置专业管理人员，严格要求入场车辆按照规定路线、速度行驶。</w:t>
      </w:r>
    </w:p>
    <w:p w14:paraId="3563A04C">
      <w:pPr>
        <w:ind w:firstLine="437"/>
      </w:pPr>
      <w:r>
        <w:rPr>
          <w:rFonts w:hint="eastAsia"/>
        </w:rPr>
        <w:t>④定期对堆场现场进行巡查，建立巡查档案。</w:t>
      </w:r>
    </w:p>
    <w:p w14:paraId="4A0953DB">
      <w:pPr>
        <w:ind w:firstLine="437"/>
      </w:pPr>
      <w:r>
        <w:rPr>
          <w:rFonts w:hint="eastAsia"/>
        </w:rPr>
        <w:t>⑤按《水运工程环境保护设计规范》（JTS149-2018）设置了满足要求的应急处理场地、应急处置池、独立排水沟、集污池。</w:t>
      </w:r>
    </w:p>
    <w:p w14:paraId="64823B80">
      <w:pPr>
        <w:ind w:firstLine="437"/>
      </w:pPr>
      <w:r>
        <w:fldChar w:fldCharType="begin"/>
      </w:r>
      <w:r>
        <w:instrText xml:space="preserve"> </w:instrText>
      </w:r>
      <w:r>
        <w:rPr>
          <w:rFonts w:hint="eastAsia"/>
        </w:rPr>
        <w:instrText xml:space="preserve">= 6 \* GB3</w:instrText>
      </w:r>
      <w:r>
        <w:instrText xml:space="preserve"> </w:instrText>
      </w:r>
      <w:r>
        <w:fldChar w:fldCharType="separate"/>
      </w:r>
      <w:r>
        <w:rPr>
          <w:rFonts w:hint="eastAsia"/>
        </w:rPr>
        <w:t>⑥</w:t>
      </w:r>
      <w:r>
        <w:fldChar w:fldCharType="end"/>
      </w:r>
      <w:r>
        <w:rPr>
          <w:rFonts w:hint="eastAsia"/>
        </w:rPr>
        <w:t>沿危险货物中转堆场围网分散设置喷淋及其他灭火器材，值班室应配备手提式灭火器。</w:t>
      </w:r>
    </w:p>
    <w:p w14:paraId="7E442A4C">
      <w:pPr>
        <w:ind w:firstLine="437"/>
      </w:pPr>
      <w:r>
        <w:fldChar w:fldCharType="begin"/>
      </w:r>
      <w:r>
        <w:instrText xml:space="preserve"> </w:instrText>
      </w:r>
      <w:r>
        <w:rPr>
          <w:rFonts w:hint="eastAsia"/>
        </w:rPr>
        <w:instrText xml:space="preserve">= 7 \* GB3</w:instrText>
      </w:r>
      <w:r>
        <w:instrText xml:space="preserve"> </w:instrText>
      </w:r>
      <w:r>
        <w:fldChar w:fldCharType="separate"/>
      </w:r>
      <w:r>
        <w:rPr>
          <w:rFonts w:hint="eastAsia"/>
        </w:rPr>
        <w:t>⑦</w:t>
      </w:r>
      <w:r>
        <w:fldChar w:fldCharType="end"/>
      </w:r>
      <w:r>
        <w:rPr>
          <w:rFonts w:hint="eastAsia"/>
        </w:rPr>
        <w:t>危险货物集装箱堆场各值班室处以及围墙四周设置户外型防爆火灾报警按钮、户外型防爆声光报警器、消防电话设施，信号送至港区消控室。</w:t>
      </w:r>
    </w:p>
    <w:p w14:paraId="23DC4780">
      <w:pPr>
        <w:ind w:firstLine="437"/>
        <w:rPr>
          <w:u w:val="single"/>
        </w:rPr>
      </w:pPr>
      <w:r>
        <w:fldChar w:fldCharType="begin"/>
      </w:r>
      <w:r>
        <w:instrText xml:space="preserve"> </w:instrText>
      </w:r>
      <w:r>
        <w:rPr>
          <w:rFonts w:hint="eastAsia"/>
        </w:rPr>
        <w:instrText xml:space="preserve">= 8 \* GB3</w:instrText>
      </w:r>
      <w:r>
        <w:instrText xml:space="preserve"> </w:instrText>
      </w:r>
      <w:r>
        <w:fldChar w:fldCharType="separate"/>
      </w:r>
      <w:r>
        <w:rPr>
          <w:rFonts w:hint="eastAsia"/>
        </w:rPr>
        <w:t>⑧</w:t>
      </w:r>
      <w:r>
        <w:fldChar w:fldCharType="end"/>
      </w:r>
      <w:r>
        <w:rPr>
          <w:rFonts w:hint="eastAsia"/>
          <w:u w:val="single"/>
        </w:rPr>
        <w:t>危险货物集装箱堆场应根据堆存货物类别、数量划分堆存区域堆存。不同类别危险货物集装箱的隔离应符合《港口作业安全要求第3部分：危险货物集装箱》（GB16994.3-2021）及附录A的有关规定：装载锂金属电池组、锂离子电池组的危险货物集装箱不应与易燃易爆危险货物集装箱堆存在同一个堆存区域；灭火方法相互禁忌的危险货物集装箱不应堆存在同一堆存区域；装载GB6944中4.3项遇水放出易燃气体物质的危险货物集装箱和需敞门运输的易产生易燃气体的集装箱，应在最上层堆码；液化天然气罐式集装箱相互不应叠放，与易燃易爆危险货物集装箱不应叠放，与其他危险货物集装箱叠放时，应放置在最上层；液化天然气罐式集装箱相互不应叠放，与易燃易爆危险货物集装箱不应叠放，与其他危险货物集装箱叠放时，应放置在最上层；装有GB6944中6.1项毒性物质中包装类别工的危险货物的集装箱的箱门应紧邻其他集装箱箱体；硝酸铵类物质的危险货物集装箱应直装直取，不应在港内堆存、滞留。</w:t>
      </w:r>
    </w:p>
    <w:p w14:paraId="62E2E700">
      <w:pPr>
        <w:pStyle w:val="6"/>
      </w:pPr>
      <w:r>
        <w:t>集装箱装卸要求</w:t>
      </w:r>
    </w:p>
    <w:p w14:paraId="35C4E12A">
      <w:pPr>
        <w:ind w:firstLine="437"/>
        <w:rPr>
          <w:u w:val="single"/>
        </w:rPr>
      </w:pPr>
      <w:r>
        <w:rPr>
          <w:rFonts w:hint="eastAsia"/>
          <w:u w:val="single"/>
        </w:rPr>
        <w:t>集装箱装卸堆存作业应按照</w:t>
      </w:r>
      <w:bookmarkStart w:id="624" w:name="OLE_LINK507"/>
      <w:r>
        <w:rPr>
          <w:rFonts w:hint="eastAsia"/>
          <w:u w:val="single"/>
        </w:rPr>
        <w:t>《港口作业安全要求第4部分：普通货物集装箱》（GB16994.4-2023）中相关要求进行，对于危险货物集装箱作业，应执行《港口作业安全要求第3部分：危险货物集装箱》（GB16994.3-2021）中相关要求。</w:t>
      </w:r>
      <w:bookmarkEnd w:id="624"/>
    </w:p>
    <w:p w14:paraId="7A355A52">
      <w:pPr>
        <w:pStyle w:val="6"/>
      </w:pPr>
      <w:r>
        <w:rPr>
          <w:rFonts w:hint="eastAsia"/>
        </w:rPr>
        <w:t>各类危险物质应急物资配备要求</w:t>
      </w:r>
    </w:p>
    <w:p w14:paraId="4CB07872">
      <w:pPr>
        <w:ind w:firstLine="437"/>
        <w:rPr>
          <w:u w:val="single"/>
        </w:rPr>
      </w:pPr>
      <w:r>
        <w:rPr>
          <w:rFonts w:hint="eastAsia"/>
          <w:u w:val="single"/>
        </w:rPr>
        <w:t>1、第2类气体</w:t>
      </w:r>
    </w:p>
    <w:p w14:paraId="290984B5">
      <w:pPr>
        <w:ind w:firstLine="437"/>
        <w:rPr>
          <w:u w:val="single"/>
        </w:rPr>
      </w:pPr>
      <w:r>
        <w:rPr>
          <w:rFonts w:hint="eastAsia"/>
          <w:u w:val="single"/>
        </w:rPr>
        <w:t>（1）配置一定数量的消防防护服（手套、靴子、连体工作服、安全帽）、正压式空气呼吸器、防毒面具、可燃气体浓度自动检测仪、便携式可燃气体检测报警仪或固定式检测报警仪等。</w:t>
      </w:r>
    </w:p>
    <w:p w14:paraId="6D34DEAE">
      <w:pPr>
        <w:ind w:firstLine="437"/>
        <w:rPr>
          <w:u w:val="single"/>
        </w:rPr>
      </w:pPr>
      <w:r>
        <w:rPr>
          <w:rFonts w:hint="eastAsia"/>
          <w:u w:val="single"/>
        </w:rPr>
        <w:t>（2）发生火灾(爆炸)时，在尽可能远的地方使用水雾、泡沫或钠盐干粉灭火器。用大量的水使相邻的容器保持冷却。迅速将未受损坏、经冷却的危险货物包件转移到安全地。</w:t>
      </w:r>
    </w:p>
    <w:p w14:paraId="204FABA1">
      <w:pPr>
        <w:ind w:firstLine="437"/>
        <w:rPr>
          <w:u w:val="single"/>
        </w:rPr>
      </w:pPr>
      <w:r>
        <w:rPr>
          <w:rFonts w:hint="eastAsia"/>
          <w:u w:val="single"/>
        </w:rPr>
        <w:t>2、第3类易燃液体</w:t>
      </w:r>
    </w:p>
    <w:p w14:paraId="2B78010D">
      <w:pPr>
        <w:ind w:firstLine="437"/>
        <w:rPr>
          <w:u w:val="single"/>
        </w:rPr>
      </w:pPr>
      <w:r>
        <w:rPr>
          <w:rFonts w:hint="eastAsia"/>
          <w:u w:val="single"/>
        </w:rPr>
        <w:t>（1）配备红外测温装置监控箱内温度变化。（2）注意远隔氧化剂、强酸其他危险货物集装箱。（3）运输时所用的箱罐车应有接地链，罐(槽)内可设孔隔板以减少震荡产生静电。装运3类易燃液体的车辆排气管必须配备阻火装置，禁止使用易产生火花的机械设备和工具装卸。（4）配置一定数量的消防防护服（手套、靴子、连体工作服、安全帽）、正压式空气呼吸器、防毒面具等。（5）发生火灾(爆炸)时，应使用钠盐干粉灭火器，或其他非水灭火装置灭火。在条件允许的情况下，应迅速转移可能卷入火中的其他易燃液体容器。</w:t>
      </w:r>
    </w:p>
    <w:p w14:paraId="35CD2717">
      <w:pPr>
        <w:ind w:firstLine="437"/>
        <w:rPr>
          <w:u w:val="single"/>
        </w:rPr>
      </w:pPr>
      <w:r>
        <w:rPr>
          <w:rFonts w:hint="eastAsia"/>
          <w:u w:val="single"/>
        </w:rPr>
        <w:t>3、第4类易燃固体、易于自燃的物质、遇水放出易燃气体的物质</w:t>
      </w:r>
    </w:p>
    <w:p w14:paraId="1A616F41">
      <w:pPr>
        <w:ind w:firstLine="437"/>
        <w:rPr>
          <w:u w:val="single"/>
        </w:rPr>
      </w:pPr>
      <w:r>
        <w:rPr>
          <w:rFonts w:hint="eastAsia"/>
          <w:u w:val="single"/>
        </w:rPr>
        <w:t>（1）配备红外测温装置监控箱内温度变化。（2）注意远隔氧化剂、强酸其他危险货物集装箱。（3）配置一定数量的消防防护服（手套、靴子、连体工作服、安全帽）自给式空气呼吸器、惰性材料、防毒面具等。（4）扑救可燃固体表面火灾应采用磷酸铵盐干粉灭火器，扑救烷基铝类火灾宜采用D类干粉灭火器。（5）发生火灾（爆炸）时，用水冷却物品和包件，并在可能时将其转移，应使用雾状水，不得使用水射流。</w:t>
      </w:r>
    </w:p>
    <w:p w14:paraId="26F5D88C">
      <w:pPr>
        <w:ind w:firstLine="437"/>
        <w:rPr>
          <w:u w:val="single"/>
        </w:rPr>
      </w:pPr>
      <w:r>
        <w:rPr>
          <w:rFonts w:hint="eastAsia"/>
          <w:u w:val="single"/>
        </w:rPr>
        <w:t>4、第5类氧化性物质和有机过氧化物</w:t>
      </w:r>
    </w:p>
    <w:p w14:paraId="408134B9">
      <w:pPr>
        <w:ind w:firstLine="437"/>
        <w:rPr>
          <w:u w:val="single"/>
        </w:rPr>
      </w:pPr>
      <w:r>
        <w:rPr>
          <w:rFonts w:hint="eastAsia"/>
          <w:u w:val="single"/>
        </w:rPr>
        <w:t>（1）向装卸工组说明货物品名性质、作业安全事项并准备好消防器材和安全防护用品。（2）配备红外测温装置监控箱内温度变化。（3）配置一定数量的消防防护服（手套、靴子、连体工作服、安全帽）、正压式空气呼吸器、惰性材料、防毒面具等。（4）扑救可燃固体表面火灾应采用磷酸铵盐干粉灭火剂，扑救烷基铝类火灾宜采用D类干粉灭火剂。（5）发生火灾(爆炸)时，在尽可能远的地方使用大量的水喷射，迅速转移可能卷入火中的容器，或用大量水对其他容器进行冷却。</w:t>
      </w:r>
    </w:p>
    <w:p w14:paraId="37D06A16">
      <w:pPr>
        <w:ind w:firstLine="437"/>
        <w:rPr>
          <w:u w:val="single"/>
        </w:rPr>
      </w:pPr>
      <w:r>
        <w:rPr>
          <w:rFonts w:hint="eastAsia"/>
          <w:u w:val="single"/>
        </w:rPr>
        <w:t>5、第6类毒性物质</w:t>
      </w:r>
    </w:p>
    <w:p w14:paraId="51828F67">
      <w:pPr>
        <w:ind w:firstLine="437"/>
        <w:rPr>
          <w:u w:val="single"/>
        </w:rPr>
      </w:pPr>
      <w:r>
        <w:rPr>
          <w:rFonts w:hint="eastAsia"/>
          <w:u w:val="single"/>
        </w:rPr>
        <w:t>（1）配备红外测温装置监控箱内温度变化。（2）注意远隔氧化剂、有机过氧化物其他危险货物集装箱。（3）应保持排水明渠畅通、做好防水措施；确保箱体、包装无破损，且符合货物包装要求。（4）设置有毒气体检(探)测器、有毒气体浓度自动检测仪。报警值的设置应执行GB50493有关规定。（5）配置一定数量的消防防护服（手套、靴子、连体工作服、安全帽）、正压式空气呼吸器、惰性材料、防毒面具等。（6）发生火灾(爆炸)时，用大量水或其他方法灭火，对可能卷入火中的容器，应使用大量水进行冷却。</w:t>
      </w:r>
    </w:p>
    <w:p w14:paraId="18C45237">
      <w:pPr>
        <w:ind w:firstLine="437"/>
        <w:rPr>
          <w:u w:val="single"/>
        </w:rPr>
      </w:pPr>
      <w:r>
        <w:rPr>
          <w:rFonts w:hint="eastAsia"/>
          <w:u w:val="single"/>
        </w:rPr>
        <w:t>6、第8类腐蚀性物质</w:t>
      </w:r>
    </w:p>
    <w:p w14:paraId="3E92BBC2">
      <w:pPr>
        <w:ind w:firstLine="437"/>
        <w:rPr>
          <w:u w:val="single"/>
        </w:rPr>
      </w:pPr>
      <w:r>
        <w:rPr>
          <w:rFonts w:hint="eastAsia"/>
          <w:u w:val="single"/>
        </w:rPr>
        <w:t>（1）配备红外测温装置监控箱内温度变化。（2）注意远隔有机物、氧化剂、易燃物品其他危险货物集装箱。（3）配置一定数量的消防防护服（手套、靴子、连体工作服、安全帽）、自给式空气呼吸器、防毒面具等。（4）发生火灾(爆炸)时，使用水雾或水射流，保持临近容器的冷却，如有可能，迅速转移卷入火中的容器。</w:t>
      </w:r>
    </w:p>
    <w:p w14:paraId="1E39C8A9">
      <w:pPr>
        <w:ind w:firstLine="437"/>
        <w:rPr>
          <w:u w:val="single"/>
        </w:rPr>
      </w:pPr>
      <w:r>
        <w:rPr>
          <w:rFonts w:hint="eastAsia"/>
          <w:u w:val="single"/>
        </w:rPr>
        <w:t>7、第9类杂项危险物质和物品，包括危害环境物质</w:t>
      </w:r>
    </w:p>
    <w:p w14:paraId="29D3C44D">
      <w:pPr>
        <w:ind w:firstLine="437"/>
        <w:rPr>
          <w:u w:val="single"/>
        </w:rPr>
      </w:pPr>
      <w:r>
        <w:rPr>
          <w:rFonts w:hint="eastAsia"/>
          <w:u w:val="single"/>
        </w:rPr>
        <w:t>（1）配备红外测温装置监控箱内温度变化。（2）配置一定数量的消防防护服（手套、靴子、连体工作服、安全帽）、自给式空气呼吸器、防毒面具等。</w:t>
      </w:r>
    </w:p>
    <w:p w14:paraId="4D609946">
      <w:pPr>
        <w:ind w:firstLine="437"/>
        <w:rPr>
          <w:u w:val="single"/>
        </w:rPr>
      </w:pPr>
      <w:r>
        <w:rPr>
          <w:rFonts w:hint="eastAsia"/>
          <w:u w:val="single"/>
        </w:rPr>
        <w:t>8、各类消防物资应满足项目消防安全风险评估报告，主要消防措施及消防种类要求如下：</w:t>
      </w:r>
    </w:p>
    <w:p w14:paraId="14FE7FC4">
      <w:pPr>
        <w:pStyle w:val="7"/>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消防措施及灭火剂种类表</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33"/>
        <w:gridCol w:w="2475"/>
        <w:gridCol w:w="4120"/>
      </w:tblGrid>
      <w:tr w14:paraId="51CF90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trPr>
        <w:tc>
          <w:tcPr>
            <w:tcW w:w="1133" w:type="pct"/>
            <w:vAlign w:val="center"/>
          </w:tcPr>
          <w:p w14:paraId="02783C34">
            <w:pPr>
              <w:adjustRightInd w:val="0"/>
              <w:snapToGrid w:val="0"/>
              <w:ind w:firstLine="0" w:firstLineChars="0"/>
              <w:jc w:val="center"/>
              <w:rPr>
                <w:b/>
                <w:color w:val="000000" w:themeColor="text1"/>
                <w:kern w:val="0"/>
                <w:sz w:val="21"/>
                <w:szCs w:val="21"/>
                <w:u w:val="single"/>
                <w:lang w:eastAsia="en-US"/>
                <w14:textFill>
                  <w14:solidFill>
                    <w14:schemeClr w14:val="tx1"/>
                  </w14:solidFill>
                </w14:textFill>
              </w:rPr>
            </w:pPr>
            <w:r>
              <w:rPr>
                <w:b/>
                <w:color w:val="000000" w:themeColor="text1"/>
                <w:kern w:val="0"/>
                <w:sz w:val="21"/>
                <w:szCs w:val="21"/>
                <w:u w:val="single"/>
                <w:lang w:eastAsia="en-US"/>
                <w14:textFill>
                  <w14:solidFill>
                    <w14:schemeClr w14:val="tx1"/>
                  </w14:solidFill>
                </w14:textFill>
              </w:rPr>
              <w:t>危险</w:t>
            </w:r>
            <w:r>
              <w:rPr>
                <w:rFonts w:hint="eastAsia"/>
                <w:b/>
                <w:color w:val="000000" w:themeColor="text1"/>
                <w:kern w:val="0"/>
                <w:sz w:val="21"/>
                <w:szCs w:val="21"/>
                <w:u w:val="single"/>
                <w:lang w:eastAsia="en-US"/>
                <w14:textFill>
                  <w14:solidFill>
                    <w14:schemeClr w14:val="tx1"/>
                  </w14:solidFill>
                </w14:textFill>
              </w:rPr>
              <w:t>物理</w:t>
            </w:r>
            <w:r>
              <w:rPr>
                <w:b/>
                <w:color w:val="000000" w:themeColor="text1"/>
                <w:kern w:val="0"/>
                <w:sz w:val="21"/>
                <w:szCs w:val="21"/>
                <w:u w:val="single"/>
                <w:lang w:eastAsia="en-US"/>
                <w14:textFill>
                  <w14:solidFill>
                    <w14:schemeClr w14:val="tx1"/>
                  </w14:solidFill>
                </w14:textFill>
              </w:rPr>
              <w:t>性质</w:t>
            </w:r>
          </w:p>
        </w:tc>
        <w:tc>
          <w:tcPr>
            <w:tcW w:w="1451" w:type="pct"/>
            <w:vAlign w:val="center"/>
          </w:tcPr>
          <w:p w14:paraId="59AA3AA1">
            <w:pPr>
              <w:adjustRightInd w:val="0"/>
              <w:snapToGrid w:val="0"/>
              <w:ind w:firstLine="0" w:firstLineChars="0"/>
              <w:jc w:val="center"/>
              <w:rPr>
                <w:b/>
                <w:color w:val="000000" w:themeColor="text1"/>
                <w:kern w:val="0"/>
                <w:sz w:val="21"/>
                <w:szCs w:val="21"/>
                <w:u w:val="single"/>
                <w14:textFill>
                  <w14:solidFill>
                    <w14:schemeClr w14:val="tx1"/>
                  </w14:solidFill>
                </w14:textFill>
              </w:rPr>
            </w:pPr>
            <w:r>
              <w:rPr>
                <w:b/>
                <w:color w:val="000000" w:themeColor="text1"/>
                <w:kern w:val="0"/>
                <w:sz w:val="21"/>
                <w:szCs w:val="21"/>
                <w:u w:val="single"/>
                <w14:textFill>
                  <w14:solidFill>
                    <w14:schemeClr w14:val="tx1"/>
                  </w14:solidFill>
                </w14:textFill>
              </w:rPr>
              <w:t>有毒有害特性</w:t>
            </w:r>
          </w:p>
        </w:tc>
        <w:tc>
          <w:tcPr>
            <w:tcW w:w="2415" w:type="pct"/>
            <w:vAlign w:val="center"/>
          </w:tcPr>
          <w:p w14:paraId="729824FA">
            <w:pPr>
              <w:adjustRightInd w:val="0"/>
              <w:snapToGrid w:val="0"/>
              <w:ind w:firstLine="0" w:firstLineChars="0"/>
              <w:jc w:val="center"/>
              <w:rPr>
                <w:b/>
                <w:color w:val="000000" w:themeColor="text1"/>
                <w:kern w:val="0"/>
                <w:sz w:val="21"/>
                <w:szCs w:val="21"/>
                <w:u w:val="single"/>
                <w14:textFill>
                  <w14:solidFill>
                    <w14:schemeClr w14:val="tx1"/>
                  </w14:solidFill>
                </w14:textFill>
              </w:rPr>
            </w:pPr>
            <w:r>
              <w:rPr>
                <w:b/>
                <w:color w:val="000000" w:themeColor="text1"/>
                <w:kern w:val="0"/>
                <w:sz w:val="21"/>
                <w:szCs w:val="21"/>
                <w:u w:val="single"/>
                <w14:textFill>
                  <w14:solidFill>
                    <w14:schemeClr w14:val="tx1"/>
                  </w14:solidFill>
                </w14:textFill>
              </w:rPr>
              <w:t>消防灭火剂种类</w:t>
            </w:r>
          </w:p>
        </w:tc>
      </w:tr>
      <w:tr w14:paraId="572BF1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restart"/>
            <w:vAlign w:val="center"/>
          </w:tcPr>
          <w:p w14:paraId="22ECCD4E">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气体物质</w:t>
            </w:r>
          </w:p>
        </w:tc>
        <w:tc>
          <w:tcPr>
            <w:tcW w:w="1451" w:type="pct"/>
            <w:vAlign w:val="center"/>
          </w:tcPr>
          <w:p w14:paraId="718CE820">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易燃</w:t>
            </w:r>
          </w:p>
        </w:tc>
        <w:tc>
          <w:tcPr>
            <w:tcW w:w="2415" w:type="pct"/>
            <w:vAlign w:val="center"/>
          </w:tcPr>
          <w:p w14:paraId="45B1F5B5">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水、醇、氯仿、干粉</w:t>
            </w:r>
          </w:p>
        </w:tc>
      </w:tr>
      <w:tr w14:paraId="4DEBC7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4BE63A27">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p>
        </w:tc>
        <w:tc>
          <w:tcPr>
            <w:tcW w:w="1451" w:type="pct"/>
            <w:vAlign w:val="center"/>
          </w:tcPr>
          <w:p w14:paraId="5A51B71E">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毒性</w:t>
            </w:r>
          </w:p>
        </w:tc>
        <w:tc>
          <w:tcPr>
            <w:tcW w:w="2415" w:type="pct"/>
            <w:vAlign w:val="center"/>
          </w:tcPr>
          <w:p w14:paraId="0BEAE8A5">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14:textFill>
                  <w14:solidFill>
                    <w14:schemeClr w14:val="tx1"/>
                  </w14:solidFill>
                </w14:textFill>
              </w:rPr>
              <w:t>雾状水</w:t>
            </w:r>
          </w:p>
        </w:tc>
      </w:tr>
      <w:tr w14:paraId="2829B1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restart"/>
            <w:vAlign w:val="center"/>
          </w:tcPr>
          <w:p w14:paraId="6947BCC3">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液体物质</w:t>
            </w:r>
          </w:p>
        </w:tc>
        <w:tc>
          <w:tcPr>
            <w:tcW w:w="1451" w:type="pct"/>
            <w:vAlign w:val="center"/>
          </w:tcPr>
          <w:p w14:paraId="00216EDE">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氧化性</w:t>
            </w:r>
          </w:p>
        </w:tc>
        <w:tc>
          <w:tcPr>
            <w:tcW w:w="2415" w:type="pct"/>
            <w:vAlign w:val="center"/>
          </w:tcPr>
          <w:p w14:paraId="1DA6EEF3">
            <w:pPr>
              <w:adjustRightInd w:val="0"/>
              <w:snapToGrid w:val="0"/>
              <w:ind w:firstLine="0" w:firstLineChars="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雾状水、二氧化碳、砂土、泡沫</w:t>
            </w:r>
          </w:p>
        </w:tc>
      </w:tr>
      <w:tr w14:paraId="7726EF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6299BF2E">
            <w:pPr>
              <w:adjustRightInd w:val="0"/>
              <w:snapToGrid w:val="0"/>
              <w:ind w:firstLine="0" w:firstLineChars="0"/>
              <w:jc w:val="center"/>
              <w:rPr>
                <w:color w:val="000000" w:themeColor="text1"/>
                <w:kern w:val="0"/>
                <w:sz w:val="21"/>
                <w:szCs w:val="21"/>
                <w:u w:val="single"/>
                <w14:textFill>
                  <w14:solidFill>
                    <w14:schemeClr w14:val="tx1"/>
                  </w14:solidFill>
                </w14:textFill>
              </w:rPr>
            </w:pPr>
          </w:p>
        </w:tc>
        <w:tc>
          <w:tcPr>
            <w:tcW w:w="1451" w:type="pct"/>
            <w:vAlign w:val="center"/>
          </w:tcPr>
          <w:p w14:paraId="3F483BA0">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腐蚀性</w:t>
            </w:r>
          </w:p>
        </w:tc>
        <w:tc>
          <w:tcPr>
            <w:tcW w:w="2415" w:type="pct"/>
            <w:vAlign w:val="center"/>
          </w:tcPr>
          <w:p w14:paraId="512442E3">
            <w:pPr>
              <w:adjustRightInd w:val="0"/>
              <w:snapToGrid w:val="0"/>
              <w:ind w:firstLine="0" w:firstLineChars="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干石粉、干砂</w:t>
            </w:r>
          </w:p>
        </w:tc>
      </w:tr>
      <w:tr w14:paraId="0F9714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2BC011EB">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p>
        </w:tc>
        <w:tc>
          <w:tcPr>
            <w:tcW w:w="1451" w:type="pct"/>
            <w:vAlign w:val="center"/>
          </w:tcPr>
          <w:p w14:paraId="027C323A">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易燃易爆</w:t>
            </w:r>
          </w:p>
        </w:tc>
        <w:tc>
          <w:tcPr>
            <w:tcW w:w="2415" w:type="pct"/>
            <w:vAlign w:val="center"/>
          </w:tcPr>
          <w:p w14:paraId="719F83FA">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干粉、二氧化碳、干砂</w:t>
            </w:r>
          </w:p>
        </w:tc>
      </w:tr>
      <w:tr w14:paraId="3E1B11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32049937">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p>
        </w:tc>
        <w:tc>
          <w:tcPr>
            <w:tcW w:w="1451" w:type="pct"/>
            <w:vAlign w:val="center"/>
          </w:tcPr>
          <w:p w14:paraId="7576B00A">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遇水放出易燃气体</w:t>
            </w:r>
          </w:p>
        </w:tc>
        <w:tc>
          <w:tcPr>
            <w:tcW w:w="2415" w:type="pct"/>
            <w:vAlign w:val="center"/>
          </w:tcPr>
          <w:p w14:paraId="654C6066">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二氧化碳、干石粉、干砂</w:t>
            </w:r>
          </w:p>
        </w:tc>
      </w:tr>
      <w:tr w14:paraId="650BA6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2F6D044B">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p>
        </w:tc>
        <w:tc>
          <w:tcPr>
            <w:tcW w:w="1451" w:type="pct"/>
            <w:vAlign w:val="center"/>
          </w:tcPr>
          <w:p w14:paraId="044A7AE8">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毒性</w:t>
            </w:r>
          </w:p>
        </w:tc>
        <w:tc>
          <w:tcPr>
            <w:tcW w:w="2415" w:type="pct"/>
            <w:vAlign w:val="center"/>
          </w:tcPr>
          <w:p w14:paraId="3859B899">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雾状水</w:t>
            </w:r>
          </w:p>
        </w:tc>
      </w:tr>
      <w:tr w14:paraId="19085C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restart"/>
            <w:vAlign w:val="center"/>
          </w:tcPr>
          <w:p w14:paraId="0B09773C">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固体物质</w:t>
            </w:r>
          </w:p>
        </w:tc>
        <w:tc>
          <w:tcPr>
            <w:tcW w:w="1451" w:type="pct"/>
            <w:vAlign w:val="center"/>
          </w:tcPr>
          <w:p w14:paraId="052FFDF6">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遇水放出易燃气体</w:t>
            </w:r>
          </w:p>
        </w:tc>
        <w:tc>
          <w:tcPr>
            <w:tcW w:w="2415" w:type="pct"/>
            <w:vAlign w:val="center"/>
          </w:tcPr>
          <w:p w14:paraId="1D2E6C95">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二氧化碳、干石粉、干砂</w:t>
            </w:r>
          </w:p>
        </w:tc>
      </w:tr>
      <w:tr w14:paraId="1CFBFF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70BF78D1">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p>
        </w:tc>
        <w:tc>
          <w:tcPr>
            <w:tcW w:w="1451" w:type="pct"/>
            <w:vAlign w:val="center"/>
          </w:tcPr>
          <w:p w14:paraId="7C8AE8ED">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易自燃</w:t>
            </w:r>
          </w:p>
        </w:tc>
        <w:tc>
          <w:tcPr>
            <w:tcW w:w="2415" w:type="pct"/>
            <w:vAlign w:val="center"/>
          </w:tcPr>
          <w:p w14:paraId="7816C7CD">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二氧化碳、干石粉、干砂</w:t>
            </w:r>
          </w:p>
        </w:tc>
      </w:tr>
      <w:tr w14:paraId="43CB1D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0A84DCD7">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p>
        </w:tc>
        <w:tc>
          <w:tcPr>
            <w:tcW w:w="1451" w:type="pct"/>
            <w:vAlign w:val="center"/>
          </w:tcPr>
          <w:p w14:paraId="2618DEB4">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氧化性</w:t>
            </w:r>
          </w:p>
        </w:tc>
        <w:tc>
          <w:tcPr>
            <w:tcW w:w="2415" w:type="pct"/>
            <w:vAlign w:val="center"/>
          </w:tcPr>
          <w:p w14:paraId="23245484">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二氧化碳、干石粉、干砂</w:t>
            </w:r>
          </w:p>
        </w:tc>
      </w:tr>
      <w:tr w14:paraId="7C8574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62369CC5">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p>
        </w:tc>
        <w:tc>
          <w:tcPr>
            <w:tcW w:w="1451" w:type="pct"/>
            <w:vAlign w:val="center"/>
          </w:tcPr>
          <w:p w14:paraId="64292E65">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腐蚀性</w:t>
            </w:r>
          </w:p>
        </w:tc>
        <w:tc>
          <w:tcPr>
            <w:tcW w:w="2415" w:type="pct"/>
            <w:vAlign w:val="center"/>
          </w:tcPr>
          <w:p w14:paraId="1AE5CA0F">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干石粉、干砂</w:t>
            </w:r>
          </w:p>
        </w:tc>
      </w:tr>
      <w:tr w14:paraId="0F4297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26D20353">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p>
        </w:tc>
        <w:tc>
          <w:tcPr>
            <w:tcW w:w="1451" w:type="pct"/>
            <w:vAlign w:val="center"/>
          </w:tcPr>
          <w:p w14:paraId="61D65800">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毒性</w:t>
            </w:r>
          </w:p>
        </w:tc>
        <w:tc>
          <w:tcPr>
            <w:tcW w:w="2415" w:type="pct"/>
            <w:vAlign w:val="center"/>
          </w:tcPr>
          <w:p w14:paraId="76FAD176">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雾状水</w:t>
            </w:r>
          </w:p>
        </w:tc>
      </w:tr>
    </w:tbl>
    <w:p w14:paraId="381AD2FB">
      <w:pPr>
        <w:pStyle w:val="6"/>
        <w:rPr>
          <w:color w:val="000000"/>
        </w:rPr>
      </w:pPr>
      <w:bookmarkStart w:id="625" w:name="OLE_LINK505"/>
      <w:r>
        <w:rPr>
          <w:rFonts w:hint="eastAsia"/>
          <w:color w:val="000000"/>
        </w:rPr>
        <w:t>运输系统环境风险事故防范措施</w:t>
      </w:r>
    </w:p>
    <w:bookmarkEnd w:id="625"/>
    <w:p w14:paraId="7FA1F1D1">
      <w:pPr>
        <w:ind w:firstLine="437"/>
        <w:rPr>
          <w:color w:val="000000"/>
        </w:rPr>
      </w:pPr>
      <w:r>
        <w:rPr>
          <w:rFonts w:hint="eastAsia"/>
          <w:color w:val="000000"/>
        </w:rPr>
        <w:t>①码头内部危险货物运输路线严格按照厂内规定的运输路线。</w:t>
      </w:r>
    </w:p>
    <w:p w14:paraId="02C6E13B">
      <w:pPr>
        <w:ind w:firstLine="437"/>
        <w:rPr>
          <w:color w:val="000000"/>
        </w:rPr>
      </w:pPr>
      <w:r>
        <w:rPr>
          <w:rFonts w:hint="eastAsia"/>
          <w:color w:val="000000"/>
        </w:rPr>
        <w:t>②危货集装箱运输车辆满足《道路危险货物运输管理规定》（交通运输部令2013 年第2 号）等相关规范要求，企业做好危货集装箱运输车辆的日常检测、维护和保养工作，对于存在安全隐患的车辆必须及时整改，坚决杜绝车辆带病运营，保证危货集装箱运输车辆状况符合安全要求。</w:t>
      </w:r>
    </w:p>
    <w:p w14:paraId="22BB431E">
      <w:pPr>
        <w:ind w:firstLine="437"/>
        <w:rPr>
          <w:color w:val="000000"/>
        </w:rPr>
      </w:pPr>
      <w:r>
        <w:rPr>
          <w:rFonts w:hint="eastAsia"/>
          <w:color w:val="000000"/>
        </w:rPr>
        <w:t>③危货集装箱运输人员、押运人员经交通运输主管部门考核合格，取得从业资格。</w:t>
      </w:r>
    </w:p>
    <w:p w14:paraId="050A8F99">
      <w:pPr>
        <w:ind w:firstLine="437"/>
        <w:rPr>
          <w:color w:val="000000"/>
        </w:rPr>
      </w:pPr>
      <w:r>
        <w:rPr>
          <w:rFonts w:hint="eastAsia"/>
          <w:color w:val="000000"/>
        </w:rPr>
        <w:t>④企业定期组织危货集装箱运输人员参加培训教育，注重提升危货集装箱运输人员的技能水平和安全意识。</w:t>
      </w:r>
    </w:p>
    <w:p w14:paraId="0133A5D2">
      <w:pPr>
        <w:ind w:firstLine="437"/>
        <w:rPr>
          <w:color w:val="000000"/>
        </w:rPr>
      </w:pPr>
      <w:r>
        <w:rPr>
          <w:rFonts w:hint="eastAsia"/>
          <w:color w:val="000000"/>
        </w:rPr>
        <w:t>⑤提高应急处置能力，建立有效的应急小组，加强对应急人员技能培训。</w:t>
      </w:r>
    </w:p>
    <w:p w14:paraId="356D1679">
      <w:pPr>
        <w:ind w:firstLine="437"/>
        <w:rPr>
          <w:color w:val="000000"/>
        </w:rPr>
      </w:pPr>
      <w:r>
        <w:rPr>
          <w:rFonts w:hint="eastAsia"/>
          <w:color w:val="000000"/>
        </w:rPr>
        <w:t>堆场至厂外企业运输管理措施建设单位不负责堆场至厂外企业的危险货物运送工作，但建设单位要求货主提供运输车辆信息进行备案。建设单位严格按照国家有关危险化学品运输的规定进行管理，对运送单位资质、运输人员资质、货物装载、运输路线等严格把关，确保安全作业要求、运输和装卸的安全质量管理等满足规定要求。禁止不符合化学危险货物运输技术条件的货车从事危险货物运输。</w:t>
      </w:r>
    </w:p>
    <w:p w14:paraId="13937CA6">
      <w:pPr>
        <w:pStyle w:val="6"/>
        <w:rPr>
          <w:rFonts w:ascii="Arial" w:hAnsi="Arial"/>
        </w:rPr>
      </w:pPr>
      <w:r>
        <w:rPr>
          <w:rFonts w:hint="eastAsia"/>
        </w:rPr>
        <w:t>事故废水环境风险防范措施</w:t>
      </w:r>
    </w:p>
    <w:p w14:paraId="2056595F">
      <w:pPr>
        <w:ind w:firstLine="437"/>
        <w:rPr>
          <w:color w:val="000000"/>
        </w:rPr>
      </w:pPr>
      <w:r>
        <w:rPr>
          <w:rFonts w:hint="eastAsia"/>
        </w:rPr>
        <w:t>风险事故下产生的废水有危险货物泄漏产生事故废水、火灾爆炸事故产生消防废水。项目邻近海域，事故废水、消防废水若不合理收集、处置，很可能污染近岸海域。</w:t>
      </w:r>
      <w:r>
        <w:t>为了避免事故废水、消防废水污染近岸海域，建设单位需要采取</w:t>
      </w:r>
      <w:r>
        <w:rPr>
          <w:rFonts w:hint="eastAsia"/>
        </w:rPr>
        <w:t>“单元—厂区—园区/区域”风险防控体系进行</w:t>
      </w:r>
      <w:r>
        <w:t>事故废水的收集处理。</w:t>
      </w:r>
    </w:p>
    <w:p w14:paraId="1C2195AB">
      <w:pPr>
        <w:ind w:firstLine="437"/>
        <w:rPr>
          <w:rFonts w:hint="eastAsia" w:ascii="宋体" w:hAnsi="宋体"/>
          <w:color w:val="000000"/>
        </w:rPr>
      </w:pPr>
      <w:r>
        <w:rPr>
          <w:rFonts w:hint="eastAsia"/>
          <w:color w:val="000000"/>
        </w:rPr>
        <w:t>（1）废水收集处理体系</w:t>
      </w:r>
    </w:p>
    <w:p w14:paraId="3D3FA62A">
      <w:pPr>
        <w:ind w:firstLine="437"/>
        <w:rPr>
          <w:color w:val="000000"/>
        </w:rPr>
      </w:pPr>
      <w:r>
        <w:rPr>
          <w:rFonts w:hint="eastAsia" w:ascii="宋体" w:hAnsi="宋体" w:cs="宋体"/>
          <w:color w:val="000000"/>
        </w:rPr>
        <w:t>①</w:t>
      </w:r>
      <w:r>
        <w:rPr>
          <w:rFonts w:hint="eastAsia"/>
          <w:color w:val="000000"/>
        </w:rPr>
        <w:t>单元</w:t>
      </w:r>
    </w:p>
    <w:p w14:paraId="4DD678CA">
      <w:pPr>
        <w:ind w:firstLine="437"/>
        <w:rPr>
          <w:color w:val="000000"/>
          <w:kern w:val="0"/>
        </w:rPr>
      </w:pPr>
      <w:bookmarkStart w:id="626" w:name="OLE_LINK216"/>
      <w:r>
        <w:rPr>
          <w:rFonts w:hint="eastAsia"/>
          <w:color w:val="000000"/>
          <w:kern w:val="0"/>
        </w:rPr>
        <w:t>项目危险品集装箱堆场严格按《港口危险货物集装箱堆场设计规范》（JTS 176—2020）进行设计，对平面布置、堆场面层防渗结构、消防要求及其他配套设施均满足JTS176规范要求，并</w:t>
      </w:r>
      <w:r>
        <w:rPr>
          <w:color w:val="000000"/>
          <w:kern w:val="0"/>
        </w:rPr>
        <w:t>根据《水运工程环境保护设计规范》（JTS149-2018）</w:t>
      </w:r>
      <w:bookmarkEnd w:id="626"/>
      <w:r>
        <w:rPr>
          <w:rFonts w:hint="eastAsia"/>
          <w:color w:val="000000"/>
          <w:kern w:val="0"/>
        </w:rPr>
        <w:t>在危险品集装箱堆场设有独立的排水环沟、事故应急处置池和收集池，事故状态下事故废水通过堆场内四周环形排水沟进入事故应急处置池和收集池暂存，通过阀门控制不进入项目雨水管，不会排放至海域。</w:t>
      </w:r>
    </w:p>
    <w:p w14:paraId="5E00B88E">
      <w:pPr>
        <w:ind w:firstLine="437"/>
        <w:rPr>
          <w:color w:val="000000"/>
          <w:kern w:val="0"/>
        </w:rPr>
      </w:pPr>
      <w:r>
        <w:rPr>
          <w:rFonts w:hint="eastAsia"/>
          <w:color w:val="000000"/>
        </w:rPr>
        <w:t>在项目危险品堆场四周设置围挡，堆场下部混凝土基础围挡可以作为本项目二级防控，当事故消防水水量超出一级防控措施容纳能力时，通过用沙袋封堵堆场出入口，可以将事故废水控制在危险品堆场围墙范围内，不会溢流至堆场外进入项目雨水管道。</w:t>
      </w:r>
    </w:p>
    <w:p w14:paraId="37E4CDED">
      <w:pPr>
        <w:ind w:firstLine="437"/>
        <w:rPr>
          <w:color w:val="000000"/>
        </w:rPr>
      </w:pPr>
      <w:r>
        <w:rPr>
          <w:rFonts w:hint="eastAsia" w:ascii="宋体" w:hAnsi="宋体" w:cs="宋体"/>
          <w:color w:val="000000"/>
        </w:rPr>
        <w:t>②</w:t>
      </w:r>
      <w:r>
        <w:rPr>
          <w:rFonts w:hint="eastAsia"/>
          <w:color w:val="000000"/>
        </w:rPr>
        <w:t>厂区</w:t>
      </w:r>
    </w:p>
    <w:p w14:paraId="5FBCD031">
      <w:pPr>
        <w:ind w:firstLine="437"/>
        <w:rPr>
          <w:color w:val="000000"/>
        </w:rPr>
      </w:pPr>
      <w:r>
        <w:rPr>
          <w:rFonts w:hint="eastAsia"/>
          <w:color w:val="000000"/>
        </w:rPr>
        <w:t>项目在码头配备沙袋，一旦发生风险事故，立即通过沙袋堵截事故区域和雨水管道，避免事故废水通过雨水排放口进入近岸水域；并在项目雨水总排口处设置阀门，事故发生时必要情况下通过关闭总阀门避免事故废水进入海域。其次，项目在7-10号泊位码头前沿还配备移动应急池，可辅助收集事故废水。</w:t>
      </w:r>
    </w:p>
    <w:p w14:paraId="698BD27F">
      <w:pPr>
        <w:ind w:firstLine="437"/>
        <w:rPr>
          <w:color w:val="000000"/>
        </w:rPr>
      </w:pPr>
      <w:r>
        <w:rPr>
          <w:rFonts w:hint="eastAsia" w:ascii="宋体" w:hAnsi="宋体" w:cs="宋体"/>
          <w:color w:val="000000"/>
        </w:rPr>
        <w:t>③园区/区域</w:t>
      </w:r>
    </w:p>
    <w:p w14:paraId="054D34F1">
      <w:pPr>
        <w:ind w:firstLine="437"/>
        <w:rPr>
          <w:color w:val="000000"/>
        </w:rPr>
      </w:pPr>
      <w:r>
        <w:rPr>
          <w:rFonts w:hint="eastAsia"/>
          <w:color w:val="000000"/>
        </w:rPr>
        <w:t>项目相邻泊位大榄坪1-6号泊位为同类型项目，按</w:t>
      </w:r>
      <w:r>
        <w:rPr>
          <w:color w:val="000000"/>
          <w:kern w:val="0"/>
        </w:rPr>
        <w:t>JTS149</w:t>
      </w:r>
      <w:r>
        <w:rPr>
          <w:rFonts w:hint="eastAsia"/>
          <w:color w:val="000000"/>
          <w:kern w:val="0"/>
        </w:rPr>
        <w:t>设置有收集池、应急物资等；项目所在的钦州港内分布有钦州溢油应急设备库，具备应急卸载、围控、回收、储运等应急设备；可有效支撑项目环境风险事故是应急响应。</w:t>
      </w:r>
    </w:p>
    <w:p w14:paraId="7BC4BC09">
      <w:pPr>
        <w:ind w:firstLine="437"/>
        <w:rPr>
          <w:color w:val="000000"/>
        </w:rPr>
      </w:pPr>
      <w:r>
        <w:rPr>
          <w:rFonts w:hint="eastAsia"/>
          <w:color w:val="000000"/>
        </w:rPr>
        <w:t>（2）泄漏风险防控措施</w:t>
      </w:r>
    </w:p>
    <w:p w14:paraId="456EA16D">
      <w:pPr>
        <w:ind w:firstLine="437"/>
        <w:contextualSpacing/>
        <w:rPr>
          <w:color w:val="000000"/>
        </w:rPr>
      </w:pPr>
      <w:r>
        <w:rPr>
          <w:color w:val="000000"/>
        </w:rPr>
        <w:t>严格落实《设备管理办法》，加强设备的管用养修，防止设备、设施的损坏造成溢油。保持溢油监视报警装置的完好有效，发现溢油及时报告，启动应急预案组织抢险。</w:t>
      </w:r>
    </w:p>
    <w:p w14:paraId="4033ABB0">
      <w:pPr>
        <w:ind w:firstLine="437"/>
        <w:rPr>
          <w:color w:val="000000"/>
        </w:rPr>
      </w:pPr>
      <w:r>
        <w:rPr>
          <w:rFonts w:hint="eastAsia"/>
          <w:color w:val="000000"/>
        </w:rPr>
        <w:t>严格按《船岸安全检查表》的内容要求进行检查和填写，同时应接受海事部门的监督检查。做好与船方必要的沟通与交流，明确作业期间的通讯联络方式及交流语言，并明确规定紧急情况下的应急信号。如果在作业过程中出现通讯中断或联系有误等情况，应停止作业，以免发生误装、冒顶或泄漏等事故。</w:t>
      </w:r>
    </w:p>
    <w:p w14:paraId="27486825">
      <w:pPr>
        <w:pStyle w:val="6"/>
        <w:rPr>
          <w:color w:val="000000"/>
          <w:u w:val="single"/>
        </w:rPr>
      </w:pPr>
      <w:r>
        <w:rPr>
          <w:rFonts w:hint="eastAsia"/>
          <w:color w:val="000000"/>
          <w:u w:val="single"/>
        </w:rPr>
        <w:t>土壤、地下水风险风范措施</w:t>
      </w:r>
    </w:p>
    <w:p w14:paraId="7D02A4E7">
      <w:pPr>
        <w:ind w:firstLine="437"/>
        <w:rPr>
          <w:u w:val="single"/>
        </w:rPr>
      </w:pPr>
      <w:r>
        <w:rPr>
          <w:rFonts w:hint="eastAsia"/>
          <w:u w:val="single"/>
        </w:rPr>
        <w:t>项目营运期严格按照《港口作业安全要求第4部分：普通货物集装箱》（GB16994.4-2023）、《港口作业安全要求第3部分：危险货物集装箱》（GB16994.3-2021）中相关要求，加强员工管理、培训，降低码头事故风险概率。同时，项目设计阶段已按《自动化集装箱码头建设指南》（JTS/T 199-2021）、《港口危险货物集装箱堆场设计规范》（JTS 176—2020）等相关规范进行设计，对于可能存在环境风险事故的危险品集装箱堆场及配套设施采取防渗砼面层（抗渗等级P6）、HDPE防渗膜，能有效降低项目污染物下渗进入土壤、地下水等污染事件的发生。</w:t>
      </w:r>
    </w:p>
    <w:p w14:paraId="16219FDF">
      <w:pPr>
        <w:ind w:firstLine="437"/>
        <w:rPr>
          <w:color w:val="000000"/>
          <w:u w:val="single"/>
        </w:rPr>
      </w:pPr>
      <w:r>
        <w:rPr>
          <w:rFonts w:hint="eastAsia"/>
          <w:color w:val="000000"/>
          <w:u w:val="single"/>
        </w:rPr>
        <w:t>加强码头特别是隐蔽工程的巡逻检查工作，定期对危险品集装箱码头面层结构、应急处理场地、应急池及收集池等池体及管道进行检查，一旦发现破损及时修补；发生事故后及时对相关池体收集的废液进行委托清运，不得在池体中长期存放，正常工况下保证相关应急池体处于空置状态。</w:t>
      </w:r>
    </w:p>
    <w:p w14:paraId="214D235D">
      <w:pPr>
        <w:ind w:firstLine="439"/>
      </w:pPr>
      <w:r>
        <w:rPr>
          <w:rFonts w:hint="eastAsia"/>
          <w:b/>
          <w:bCs/>
        </w:rPr>
        <w:t>总体而言，按本次评价完善项目风险防范措施，后期运营中加强管理和设备维护，定期开展培训，能将项目环境风险影响降低至最小。</w:t>
      </w:r>
    </w:p>
    <w:p w14:paraId="3C1E8DB2">
      <w:pPr>
        <w:pStyle w:val="4"/>
      </w:pPr>
      <w:bookmarkStart w:id="627" w:name="_Toc198042339"/>
      <w:bookmarkStart w:id="628" w:name="_Toc217977936"/>
      <w:r>
        <w:t>环境风险影响分析结论</w:t>
      </w:r>
      <w:bookmarkEnd w:id="616"/>
      <w:bookmarkEnd w:id="617"/>
      <w:bookmarkEnd w:id="618"/>
      <w:bookmarkEnd w:id="619"/>
      <w:bookmarkEnd w:id="620"/>
      <w:bookmarkEnd w:id="627"/>
      <w:bookmarkEnd w:id="628"/>
    </w:p>
    <w:p w14:paraId="39E9E50B">
      <w:pPr>
        <w:ind w:firstLine="437"/>
      </w:pPr>
      <w:r>
        <w:rPr>
          <w:rFonts w:hint="eastAsia"/>
        </w:rPr>
        <w:t>环境风险评价的结果表明，拟建项目基本满足国家相关环境保护和安全法规、标准的要求，在落实本次评价提出的风险防范措施落实情况下，拟建项目从环境风险的角度考虑是可行的，项目环境风险可防可控。</w:t>
      </w:r>
    </w:p>
    <w:p w14:paraId="4D85C2CF">
      <w:pPr>
        <w:ind w:firstLine="437"/>
        <w:rPr>
          <w:szCs w:val="20"/>
        </w:rPr>
      </w:pPr>
    </w:p>
    <w:p w14:paraId="475BDC32">
      <w:pPr>
        <w:ind w:firstLine="437"/>
        <w:sectPr>
          <w:pgSz w:w="11907" w:h="16840"/>
          <w:pgMar w:top="1440" w:right="1514" w:bottom="1440" w:left="1797" w:header="992" w:footer="851" w:gutter="284"/>
          <w:pgNumType w:fmt="numberInDash"/>
          <w:cols w:space="425" w:num="1"/>
          <w:docGrid w:type="linesAndChars" w:linePitch="465" w:charSpace="-4355"/>
        </w:sectPr>
      </w:pPr>
    </w:p>
    <w:p w14:paraId="584C5255">
      <w:pPr>
        <w:pStyle w:val="3"/>
        <w:ind w:firstLine="705"/>
      </w:pPr>
      <w:bookmarkStart w:id="629" w:name="_Toc217977937"/>
      <w:bookmarkStart w:id="630" w:name="_Toc198042340"/>
      <w:r>
        <w:t>环境保护措施及可行性论证</w:t>
      </w:r>
      <w:bookmarkEnd w:id="629"/>
      <w:bookmarkEnd w:id="630"/>
    </w:p>
    <w:p w14:paraId="02FF5FE6">
      <w:pPr>
        <w:pStyle w:val="4"/>
      </w:pPr>
      <w:bookmarkStart w:id="631" w:name="_Toc198042341"/>
      <w:bookmarkStart w:id="632" w:name="_Toc303949960"/>
      <w:bookmarkStart w:id="633" w:name="_Toc317003283"/>
      <w:bookmarkStart w:id="634" w:name="_Toc317003563"/>
      <w:bookmarkStart w:id="635" w:name="_Toc217977938"/>
      <w:r>
        <w:t>施工阶段环保措施</w:t>
      </w:r>
      <w:bookmarkEnd w:id="631"/>
      <w:bookmarkEnd w:id="632"/>
      <w:bookmarkEnd w:id="633"/>
      <w:bookmarkEnd w:id="634"/>
      <w:bookmarkEnd w:id="635"/>
    </w:p>
    <w:p w14:paraId="1A0EA5F1">
      <w:pPr>
        <w:pStyle w:val="5"/>
      </w:pPr>
      <w:r>
        <w:t>水环境保护措施</w:t>
      </w:r>
    </w:p>
    <w:p w14:paraId="3F00C88C">
      <w:pPr>
        <w:ind w:firstLine="462"/>
        <w:rPr>
          <w:snapToGrid w:val="0"/>
        </w:rPr>
      </w:pPr>
      <w:r>
        <w:t>（1）施工船舶油污水和生活污水：</w:t>
      </w:r>
      <w:r>
        <w:rPr>
          <w:rFonts w:hint="eastAsia"/>
        </w:rPr>
        <w:t>均由有资质单位进行接收、转运及处置。</w:t>
      </w:r>
      <w:r>
        <w:rPr>
          <w:rFonts w:hint="eastAsia"/>
          <w:snapToGrid w:val="0"/>
        </w:rPr>
        <w:t>施工人员生活污水排入7号8号泊位生活污水处理站，经预处理后进入大榄坪污水处理厂</w:t>
      </w:r>
      <w:r>
        <w:rPr>
          <w:snapToGrid w:val="0"/>
        </w:rPr>
        <w:t>。</w:t>
      </w:r>
    </w:p>
    <w:p w14:paraId="1C1A83F8">
      <w:pPr>
        <w:ind w:firstLine="462"/>
      </w:pPr>
      <w:r>
        <w:rPr>
          <w:rFonts w:hint="eastAsia"/>
          <w:snapToGrid w:val="0"/>
        </w:rPr>
        <w:t>（2）项目依托工程陆域围填海形成后将形成较大面积的地表裸露，雨季时雨水冲刷表土，泥沙随水进入海域，可能导致沿岸水体中的悬浮物浓度小幅度的升高，因此在陆域形成后施工场地的雨水汇水处应多设置临时截、排水及沉淀池，并在沉淀池出水口利用土工布过滤，以降低SS含量，雨水经沉淀后排海，可将径流雨水带来的悬浮物影响降至最低。</w:t>
      </w:r>
    </w:p>
    <w:p w14:paraId="40458428">
      <w:pPr>
        <w:ind w:firstLine="462"/>
      </w:pPr>
      <w:r>
        <w:t>（2）施工期悬浮泥沙：施工前</w:t>
      </w:r>
      <w:r>
        <w:rPr>
          <w:rFonts w:hint="eastAsia"/>
        </w:rPr>
        <w:t>按要求开展</w:t>
      </w:r>
      <w:r>
        <w:t>悬沙跟踪监测，</w:t>
      </w:r>
      <w:r>
        <w:rPr>
          <w:rFonts w:hint="eastAsia"/>
        </w:rPr>
        <w:t>重点关注本项目疏浚区域及溢流口周边，</w:t>
      </w:r>
      <w:r>
        <w:t>发现悬沙浓度</w:t>
      </w:r>
      <w:r>
        <w:rPr>
          <w:rFonts w:hint="eastAsia"/>
        </w:rPr>
        <w:t>超出《广西壮族自治区生态环境厅关于印发广西壮族自治区近岸海域环境功能区划调整方案的通知》（桂环发〔2023〕9号）中相应功能区海水水质标准时</w:t>
      </w:r>
      <w:r>
        <w:t>，应立即停止施工，对施工造成的海洋生态损失应当给予一定的赔偿。</w:t>
      </w:r>
    </w:p>
    <w:p w14:paraId="45EBBBD0">
      <w:pPr>
        <w:ind w:firstLine="462"/>
      </w:pPr>
      <w:r>
        <w:rPr>
          <w:rFonts w:hint="eastAsia"/>
        </w:rPr>
        <w:t>（</w:t>
      </w:r>
      <w:r>
        <w:t>3</w:t>
      </w:r>
      <w:r>
        <w:rPr>
          <w:rFonts w:hint="eastAsia"/>
        </w:rPr>
        <w:t>）疏浚物转运过程中应加强与海事、海洋与渔业等主管部门的沟通联系。本项目部分疏浚土石回填至钦州保税港区吴鼎仓储物流中心填海工程范围内，相关填海工程环保措施由钦州保税港区吴鼎仓储物流中心填海工程自行落实，评价仅对其提出原则性要求：该填海工程实施过程中应优化施工时序，采取先围后填原则；围填区内合理规划吹填径流路线，尽量延长退水在回填区内的停留时间，必要时可考虑在回填区内设置沉淀池并投加絮凝剂；优化溢流口退水排放位置，充分沉淀后的退水通过溢流口排放，溢流口主要沿围堰布设，不新增临时用海；溢流口内侧及外侧可通过设置1~2道防污帘减缓悬浮泥沙扩散，确保出水悬浮物浓度控制在150mg/L，并对防污帘开展定期巡视检查和维护工作，及时清理、更换堵塞破损防污帘。</w:t>
      </w:r>
    </w:p>
    <w:p w14:paraId="7F90E6C3">
      <w:pPr>
        <w:ind w:firstLine="462"/>
      </w:pPr>
      <w:r>
        <w:t>（</w:t>
      </w:r>
      <w:r>
        <w:rPr>
          <w:rFonts w:hint="eastAsia"/>
        </w:rPr>
        <w:t>4</w:t>
      </w:r>
      <w:r>
        <w:t>）陆域施工中的施工机械要严格检查，防止油料泄漏；严禁将废油、施工垃圾等随意抛入水体。</w:t>
      </w:r>
    </w:p>
    <w:p w14:paraId="74F1BCA0">
      <w:pPr>
        <w:ind w:firstLine="462"/>
      </w:pPr>
      <w:r>
        <w:rPr>
          <w:rFonts w:hint="eastAsia"/>
        </w:rPr>
        <w:t>（5）海域疏浚的污染防治措施</w:t>
      </w:r>
    </w:p>
    <w:p w14:paraId="78DE34A4">
      <w:pPr>
        <w:ind w:firstLine="462"/>
      </w:pPr>
      <w:r>
        <w:rPr>
          <w:rFonts w:hint="eastAsia" w:ascii="宋体" w:hAnsi="宋体"/>
        </w:rPr>
        <w:t>①</w:t>
      </w:r>
      <w:r>
        <w:t>施工单位应合理选择疏浚设备和施工方法，对整个工程的施工质量、进度和资源消耗作出合理安排，尽可能地缩短施工周期，以减小施工作业对水环境的影响。</w:t>
      </w:r>
    </w:p>
    <w:p w14:paraId="7F9674C8">
      <w:pPr>
        <w:ind w:firstLine="462"/>
      </w:pPr>
      <w:r>
        <w:rPr>
          <w:rFonts w:hint="eastAsia" w:ascii="宋体" w:hAnsi="宋体"/>
        </w:rPr>
        <w:t>②</w:t>
      </w:r>
      <w:r>
        <w:t>施工船舶应安装定位系统，精确定位后再开始挖掘，减少疏浚作业中不必要的超深、超宽的疏浚土方量；施工船舶应安装抛泥在线监控系统，对海洋倾倒疏浚土活动进行实时监控，确保挖泥船舶在指定地点卸泥。</w:t>
      </w:r>
    </w:p>
    <w:p w14:paraId="4A0B0A93">
      <w:pPr>
        <w:ind w:firstLine="462"/>
      </w:pPr>
      <w:r>
        <w:rPr>
          <w:rFonts w:hint="eastAsia" w:ascii="宋体" w:hAnsi="宋体"/>
        </w:rPr>
        <w:t>③</w:t>
      </w:r>
      <w:r>
        <w:t>加强对</w:t>
      </w:r>
      <w:r>
        <w:rPr>
          <w:rFonts w:hint="eastAsia"/>
        </w:rPr>
        <w:t>疏浚物</w:t>
      </w:r>
      <w:r>
        <w:t>外抛过程的监管，必须运至指定地点方可抛泥，严防半路抛洒或泄漏。做好施工设备的日常检查维修，重点对施工船舶的连接部件以及储泥船舱进行检查，防止断裂或泄漏造成污染事故。</w:t>
      </w:r>
    </w:p>
    <w:p w14:paraId="24A1953A">
      <w:pPr>
        <w:ind w:firstLine="462"/>
      </w:pPr>
      <w:r>
        <w:rPr>
          <w:rFonts w:hint="eastAsia" w:ascii="宋体" w:hAnsi="宋体"/>
        </w:rPr>
        <w:t>④</w:t>
      </w:r>
      <w:r>
        <w:t>取得倾倒许可证，疏浚土倾倒至管理部门批准的指定抛泥区，避免发生污染。</w:t>
      </w:r>
    </w:p>
    <w:p w14:paraId="65E69428">
      <w:pPr>
        <w:ind w:firstLine="462"/>
      </w:pPr>
      <w:r>
        <w:rPr>
          <w:rFonts w:hint="eastAsia" w:ascii="宋体" w:hAnsi="宋体"/>
        </w:rPr>
        <w:t>⑤</w:t>
      </w:r>
      <w:r>
        <w:t>加强施工船舶的日常检查维修，重点对挖泥船的连接部件以及储泥船舱进行检查，防止断裂或泄漏造成污染事故。</w:t>
      </w:r>
    </w:p>
    <w:p w14:paraId="59CEA450">
      <w:pPr>
        <w:ind w:firstLine="462"/>
      </w:pPr>
      <w:r>
        <w:rPr>
          <w:rFonts w:hint="eastAsia"/>
        </w:rPr>
        <w:t>（6）委托开展施工期监理（含环保相关内容），协助建设单位加强建设项目全过程控制，指导施工单位落实好施工期各项环保措施，确保施工过程中各项环保措施落实到位。</w:t>
      </w:r>
    </w:p>
    <w:p w14:paraId="67826C79">
      <w:pPr>
        <w:pStyle w:val="5"/>
      </w:pPr>
      <w:r>
        <w:t>生态保护措施</w:t>
      </w:r>
    </w:p>
    <w:p w14:paraId="11884EE1">
      <w:pPr>
        <w:ind w:firstLine="462"/>
      </w:pPr>
      <w:r>
        <w:t>（1）陆域施工期间，施工作业产生的建筑垃圾及生活垃圾禁止抛弃入海。</w:t>
      </w:r>
    </w:p>
    <w:p w14:paraId="3546B6F3">
      <w:pPr>
        <w:ind w:firstLine="462"/>
      </w:pPr>
      <w:r>
        <w:t>（2）水域施工过程中须密切注意</w:t>
      </w:r>
      <w:r>
        <w:rPr>
          <w:rFonts w:hint="eastAsia"/>
        </w:rPr>
        <w:t>监测</w:t>
      </w:r>
      <w:r>
        <w:t>施工区及其周边海域的水质变化。如发现因疏浚施工引起水质变化而对周围海域海洋生物产生不良影响，则应立即采取措施，必要时可短暂停工。</w:t>
      </w:r>
    </w:p>
    <w:p w14:paraId="74E55E5E">
      <w:pPr>
        <w:ind w:firstLine="462"/>
      </w:pPr>
      <w:r>
        <w:rPr>
          <w:rFonts w:hint="eastAsia"/>
        </w:rPr>
        <w:t>（3）在当地环保及渔政部门的监督和指导下进行施工作业，优化工程施工工艺，如炸礁选择环保型炸药等，避免原水域生境的急剧变化，降低施工作业环境影响程度。</w:t>
      </w:r>
    </w:p>
    <w:p w14:paraId="1E62310A">
      <w:pPr>
        <w:ind w:firstLine="462"/>
      </w:pPr>
      <w:r>
        <w:t>（</w:t>
      </w:r>
      <w:r>
        <w:rPr>
          <w:rFonts w:hint="eastAsia"/>
        </w:rPr>
        <w:t>4</w:t>
      </w:r>
      <w:r>
        <w:t>）</w:t>
      </w:r>
      <w:r>
        <w:rPr>
          <w:rFonts w:hint="eastAsia"/>
        </w:rPr>
        <w:t>在炸礁、疏浚作业前半小时，对施工作业区和邻近水域采取小炮驱鱼的措施，通过定向爆炸的声响效应，将作业区鱼类驱赶到安全水域。驱鱼范围为驱鱼范围一般为爆破点周边</w:t>
      </w:r>
      <w:r>
        <w:t>500～1400</w:t>
      </w:r>
      <w:r>
        <w:rPr>
          <w:rFonts w:hint="eastAsia"/>
        </w:rPr>
        <w:t>米，具体的安全防护距离应由专业机构通过测试及评估确定。驱鱼设备可选用定制驱鱼声响装置，通过声响将鱼类驱赶至作业场外。</w:t>
      </w:r>
    </w:p>
    <w:p w14:paraId="38000DE5">
      <w:pPr>
        <w:ind w:firstLine="462"/>
      </w:pPr>
      <w:r>
        <w:rPr>
          <w:rFonts w:hint="eastAsia"/>
        </w:rPr>
        <w:t>（5）</w:t>
      </w:r>
      <w:r>
        <w:t>为减轻水下爆破冲击波对渔业资源的影响，建议将</w:t>
      </w:r>
      <w:r>
        <w:rPr>
          <w:snapToGrid w:val="0"/>
        </w:rPr>
        <w:t>一次最大爆炸药量控制在</w:t>
      </w:r>
      <w:r>
        <w:t>100kg以下，采用分层爆破、微差爆破技术，控制爆破对鱼类影响的范围。并在大爆前先采取放小炮措施，让鱼群远离爆破区域。爆破工程应避开鱼类繁殖季节，建议施工单位采用快硬、高强、微膨胀的材料或直接用成型的炮孔塞堵塞炮孔等措施，减少钻孔工作量，加快施工进度，严格将爆破施工控制在</w:t>
      </w:r>
      <w:r>
        <w:rPr>
          <w:snapToGrid w:val="0"/>
        </w:rPr>
        <w:t>枯水期11～3月完成，减少爆破对鱼类影响持续的时间。</w:t>
      </w:r>
    </w:p>
    <w:p w14:paraId="7521EC0B">
      <w:pPr>
        <w:ind w:firstLine="462"/>
      </w:pPr>
      <w:r>
        <w:rPr>
          <w:rFonts w:hint="eastAsia"/>
        </w:rPr>
        <w:t>（6）</w:t>
      </w:r>
      <w:r>
        <w:t>项目疏浚、炸礁工程对用海区域内的海洋生物造成一定程度的破坏。本次评价建议采用增殖放流等生态恢复措施。码头前沿水域建议按照《中华人民共和国渔业法》等法律法规和《中国水生生物资源养护行动纲要》等有关规定在渔业部门的指导下采取增殖放流的方式，对受损的海洋生物资源进行补偿。建设单位与渔业主管部门协商制定补偿方案，具体种类、数量按照生态补偿方案确定。</w:t>
      </w:r>
    </w:p>
    <w:p w14:paraId="31696ABE">
      <w:pPr>
        <w:pStyle w:val="5"/>
      </w:pPr>
      <w:r>
        <w:t>环境空气保护措施</w:t>
      </w:r>
    </w:p>
    <w:p w14:paraId="3430C188">
      <w:pPr>
        <w:ind w:firstLine="462"/>
      </w:pPr>
      <w:r>
        <w:t>（1）</w:t>
      </w:r>
      <w:r>
        <w:rPr>
          <w:rFonts w:hint="eastAsia"/>
        </w:rPr>
        <w:t>进出工地的物料、垃圾运输车辆，应当采用密闭车斗。无密闭车斗的，应用苫布覆盖。</w:t>
      </w:r>
    </w:p>
    <w:p w14:paraId="4D7D5553">
      <w:pPr>
        <w:ind w:firstLine="462"/>
      </w:pPr>
      <w:r>
        <w:t>（</w:t>
      </w:r>
      <w:r>
        <w:rPr>
          <w:rFonts w:hint="eastAsia"/>
        </w:rPr>
        <w:t>2</w:t>
      </w:r>
      <w:r>
        <w:t>）采用外购商品混凝土、封闭运输到现场浇灌的施工方式，不在施工现场搅拌混凝土；</w:t>
      </w:r>
    </w:p>
    <w:p w14:paraId="5C3F1F9A">
      <w:pPr>
        <w:ind w:firstLine="462"/>
      </w:pPr>
      <w:r>
        <w:t>（</w:t>
      </w:r>
      <w:r>
        <w:rPr>
          <w:rFonts w:hint="eastAsia"/>
        </w:rPr>
        <w:t>3</w:t>
      </w:r>
      <w:r>
        <w:t>）加强对施工机械、车辆的维修保养，保持其良好工况，同时避免以柴油为燃料的施工机械超负荷工作，减少尾气排放。</w:t>
      </w:r>
    </w:p>
    <w:p w14:paraId="7CAC3799">
      <w:pPr>
        <w:ind w:firstLine="462"/>
      </w:pPr>
      <w:r>
        <w:t>（</w:t>
      </w:r>
      <w:r>
        <w:rPr>
          <w:rFonts w:hint="eastAsia"/>
        </w:rPr>
        <w:t>4</w:t>
      </w:r>
      <w:r>
        <w:t>本项目所在海域位于船舶大气污染物排放控制区内，施工期禁止内河船舶及“三无”船舶参与海上施工和运输，作业船舶应遵守大气污染物排放控制区相关要求，通过使用符合规定的清洁燃料油，满足硫氧化物、颗粒物和氮氧化物的排放控制要求。</w:t>
      </w:r>
    </w:p>
    <w:p w14:paraId="75DDF4EB">
      <w:pPr>
        <w:pStyle w:val="5"/>
      </w:pPr>
      <w:r>
        <w:t>声环境保护措施</w:t>
      </w:r>
    </w:p>
    <w:p w14:paraId="5F09E3D0">
      <w:pPr>
        <w:ind w:firstLine="462"/>
      </w:pPr>
      <w:r>
        <w:t xml:space="preserve">（1）施工机械尽量采用低噪声设备，加强设备日常维修保养，使施工机械保持良好状态，避免超正常噪声水平运转；加强对施工机械实行检定措施，未达产品噪声限值设备不应继续使用； </w:t>
      </w:r>
    </w:p>
    <w:p w14:paraId="197599ED">
      <w:pPr>
        <w:ind w:firstLine="462"/>
      </w:pPr>
      <w:r>
        <w:t>（2）加强现场施工人员个人防护工作，通过合理安排工人轮流操作机械，减少工作接触高噪声的时间；对在声源附近工作时间较长的工人，可采取发放防声耳塞、头盔等保护措施，使工人进行自身保护。</w:t>
      </w:r>
    </w:p>
    <w:p w14:paraId="4F9EDA23">
      <w:pPr>
        <w:pStyle w:val="5"/>
      </w:pPr>
      <w:bookmarkStart w:id="636" w:name="OLE_LINK211"/>
      <w:r>
        <w:t>固体废物污染防治措施</w:t>
      </w:r>
    </w:p>
    <w:bookmarkEnd w:id="636"/>
    <w:p w14:paraId="1C233DAB">
      <w:pPr>
        <w:ind w:firstLine="462"/>
      </w:pPr>
      <w:r>
        <w:t>（1）陆域施工人员生活垃圾处置：</w:t>
      </w:r>
      <w:r>
        <w:rPr>
          <w:snapToGrid w:val="0"/>
        </w:rPr>
        <w:t>禁止在施工中随意丢弃垃圾，在施工现场</w:t>
      </w:r>
      <w:r>
        <w:t>设置封闭的垃圾</w:t>
      </w:r>
      <w:r>
        <w:rPr>
          <w:rFonts w:hint="eastAsia"/>
        </w:rPr>
        <w:t>收集</w:t>
      </w:r>
      <w:r>
        <w:t>设施，</w:t>
      </w:r>
      <w:r>
        <w:rPr>
          <w:rFonts w:hint="eastAsia"/>
        </w:rPr>
        <w:t>收集后集中堆放在7号8号泊位垃圾中转站内，由环卫部门上门清运</w:t>
      </w:r>
      <w:r>
        <w:t>。</w:t>
      </w:r>
    </w:p>
    <w:p w14:paraId="0F019181">
      <w:pPr>
        <w:ind w:firstLine="462"/>
      </w:pPr>
      <w:r>
        <w:t>（</w:t>
      </w:r>
      <w:r>
        <w:rPr>
          <w:rFonts w:hint="eastAsia"/>
        </w:rPr>
        <w:t>2</w:t>
      </w:r>
      <w:r>
        <w:t>）</w:t>
      </w:r>
      <w:r>
        <w:rPr>
          <w:rFonts w:hint="eastAsia"/>
        </w:rPr>
        <w:t>本项目倾倒总量为74.84万m</w:t>
      </w:r>
      <w:r>
        <w:rPr>
          <w:rFonts w:hint="eastAsia"/>
          <w:vertAlign w:val="superscript"/>
        </w:rPr>
        <w:t>3</w:t>
      </w:r>
      <w:r>
        <w:rPr>
          <w:rFonts w:hint="eastAsia"/>
        </w:rPr>
        <w:t>，项目疏浚物倾倒应按照《中华人民共和国海洋倾废管理条例》及自治区海洋局相关要求办理倾倒证，严格按照倾倒证许可的倾倒废弃物类型及数量进行倾倒，禁止改变倾倒物类别及新增倾倒物数量。</w:t>
      </w:r>
    </w:p>
    <w:p w14:paraId="4A37C72C">
      <w:pPr>
        <w:ind w:firstLine="462"/>
      </w:pPr>
      <w:r>
        <w:t>（3）施工期船舶生活垃圾接收上岸送至钦州市城市垃圾处理系统统一处理。船舶垃圾应参照国际海事组织（IMO）制定的MARPOL73/78公约附则Ⅴ、《船舶污染物排放标准》（GB3552-2018）、《防治船舶污染海洋环境管理条例》等法规的相应要求进行控制，并积极制定船舶垃圾管理规定，保护海洋环境。所有船舶垃圾禁止排入水体。船舶油水分离器产生的少量废油及生产垃圾中的污油和油渣等属危险废物，由具有相应资质部门有偿接收处理。对固体废物从产生、收集、运输、贮存、再循环利用、加工处理直至最终处置，实行全过程管理，以实现废物减量化、资源化和无害化。施工船舶垃圾应做好日常的收集、分类与储存工作，严格按照“五联单制度”进行管理，建立固体废物产生、外运、处置及最终去向的详细台账，并定期向当地环保部门报告。船舶垃圾委托有资质的污染物接收单位接收处理，严禁将船舶垃圾倾倒入海污染水域。</w:t>
      </w:r>
    </w:p>
    <w:p w14:paraId="1BF38A8B">
      <w:pPr>
        <w:pStyle w:val="5"/>
      </w:pPr>
      <w:r>
        <w:rPr>
          <w:rFonts w:hint="eastAsia"/>
        </w:rPr>
        <w:t>其他要求</w:t>
      </w:r>
    </w:p>
    <w:p w14:paraId="2841B7C8">
      <w:pPr>
        <w:ind w:firstLine="464"/>
        <w:rPr>
          <w:b/>
          <w:bCs/>
        </w:rPr>
      </w:pPr>
      <w:r>
        <w:rPr>
          <w:rFonts w:hint="eastAsia"/>
          <w:b/>
          <w:bCs/>
        </w:rPr>
        <w:t>项目港池范围内的大榄坪污水处理厂与金桂浆纸业公司现状排污口正在推进迁改工作，评价要求相关单位按国家相关规定、规范尽快开展迁改排污口的排口论证、环境影响评价工作，落实迁改排口的环保手续，在环境质量可控、码头运营不受影响的前提下，排污口迁改工作与本项目施工协调发展。</w:t>
      </w:r>
    </w:p>
    <w:p w14:paraId="58E0BD7F">
      <w:pPr>
        <w:pStyle w:val="4"/>
      </w:pPr>
      <w:bookmarkStart w:id="637" w:name="_Toc317003564"/>
      <w:bookmarkStart w:id="638" w:name="_Toc217977939"/>
      <w:bookmarkStart w:id="639" w:name="_Toc198042342"/>
      <w:bookmarkStart w:id="640" w:name="_Toc317003284"/>
      <w:bookmarkStart w:id="641" w:name="_Toc303949961"/>
      <w:r>
        <w:t>运营期环保措施</w:t>
      </w:r>
      <w:bookmarkEnd w:id="637"/>
      <w:bookmarkEnd w:id="638"/>
      <w:bookmarkEnd w:id="639"/>
      <w:bookmarkEnd w:id="640"/>
      <w:bookmarkEnd w:id="641"/>
    </w:p>
    <w:p w14:paraId="40D29B29">
      <w:pPr>
        <w:pStyle w:val="5"/>
      </w:pPr>
      <w:r>
        <w:rPr>
          <w:rFonts w:hint="eastAsia"/>
        </w:rPr>
        <w:t>进出港船舶管理要求</w:t>
      </w:r>
    </w:p>
    <w:p w14:paraId="6A974E8E">
      <w:pPr>
        <w:ind w:firstLine="462"/>
      </w:pPr>
      <w:r>
        <w:rPr>
          <w:rFonts w:hint="eastAsia"/>
        </w:rPr>
        <w:t>（1）根据《产业结构调整指导目录（2024 年本）》，淘汰类船长大于90米的海洋钢质船舶禁止进出本项目港区内作业。</w:t>
      </w:r>
    </w:p>
    <w:p w14:paraId="49AD958C">
      <w:pPr>
        <w:ind w:firstLine="462"/>
      </w:pPr>
      <w:r>
        <w:rPr>
          <w:rFonts w:hint="eastAsia"/>
        </w:rPr>
        <w:t>（2）进出港船舶应符合《沿海海域船舶排污设备铅封管理规定》《船舶污染物排放标准》(GB3552-2018)、73/78防污染公约、合《交通运输部关于印发船舶大气污染 物排放控制区实施方案的通知》（交海发</w:t>
      </w:r>
      <w:r>
        <w:t>〔</w:t>
      </w:r>
      <w:r>
        <w:rPr>
          <w:rFonts w:hint="eastAsia"/>
        </w:rPr>
        <w:t>2018</w:t>
      </w:r>
      <w:r>
        <w:t>〕</w:t>
      </w:r>
      <w:r>
        <w:rPr>
          <w:rFonts w:hint="eastAsia"/>
        </w:rPr>
        <w:t>168号）各时段管理要求。</w:t>
      </w:r>
    </w:p>
    <w:p w14:paraId="234EEE48">
      <w:pPr>
        <w:pStyle w:val="5"/>
      </w:pPr>
      <w:r>
        <w:t>水环境保护措施</w:t>
      </w:r>
    </w:p>
    <w:p w14:paraId="0748AF1A">
      <w:pPr>
        <w:ind w:firstLine="462"/>
      </w:pPr>
      <w:r>
        <w:rPr>
          <w:rFonts w:hint="eastAsia"/>
        </w:rPr>
        <w:t>本次扩建不涉及水处理设施，均依托现有7~10号泊位已有污水处理设施。</w:t>
      </w:r>
    </w:p>
    <w:p w14:paraId="048AAA3F">
      <w:pPr>
        <w:pStyle w:val="6"/>
      </w:pPr>
      <w:r>
        <w:t>到港船舶污染防治措施</w:t>
      </w:r>
    </w:p>
    <w:p w14:paraId="56B1DC05">
      <w:pPr>
        <w:ind w:firstLine="462"/>
      </w:pPr>
      <w:r>
        <w:rPr>
          <w:rFonts w:hint="eastAsia"/>
        </w:rPr>
        <w:t>项目到港船舶污水原则上由具有接收资质单位接收转运；码头在前沿设置船舶生活污水接收设施，应急时船舶生活污水通过接收设施进入生活污水收集箱，生活污水经收集后泵送至 7 号 8 号泊位的生活污水处理站预处理后排入大榄坪污水处理厂。</w:t>
      </w:r>
    </w:p>
    <w:p w14:paraId="0052A14F">
      <w:pPr>
        <w:ind w:firstLine="462"/>
      </w:pPr>
      <w:r>
        <w:rPr>
          <w:rFonts w:hint="eastAsia"/>
        </w:rPr>
        <w:t>船舶生活污水按《MARPOL73/78 防污公约》附则Ⅳ“防止船舶生活污水污染规则”规定，在航行中并且在4海里以外排放，或到港后委托有资质的船舶服务公司接收处理。船舶压载水应在航行中排放或在航行中完成深海置换，严禁进入钦州港区内排放。</w:t>
      </w:r>
    </w:p>
    <w:p w14:paraId="7D02FFFA">
      <w:pPr>
        <w:pStyle w:val="6"/>
      </w:pPr>
      <w:r>
        <w:t>港区污水处置</w:t>
      </w:r>
    </w:p>
    <w:p w14:paraId="7723276F">
      <w:pPr>
        <w:ind w:firstLine="462"/>
      </w:pPr>
      <w:r>
        <w:rPr>
          <w:rFonts w:hint="eastAsia"/>
        </w:rPr>
        <w:t>项目运营期</w:t>
      </w:r>
      <w:r>
        <w:t>港区生活污水</w:t>
      </w:r>
      <w:r>
        <w:rPr>
          <w:rFonts w:hint="eastAsia"/>
        </w:rPr>
        <w:t>经收集后泵送至</w:t>
      </w:r>
      <w:r>
        <w:t>7</w:t>
      </w:r>
      <w:r>
        <w:rPr>
          <w:rFonts w:hint="eastAsia"/>
        </w:rPr>
        <w:t>号</w:t>
      </w:r>
      <w:r>
        <w:t>8</w:t>
      </w:r>
      <w:r>
        <w:rPr>
          <w:rFonts w:hint="eastAsia"/>
        </w:rPr>
        <w:t>号泊位的生活污水处理站，预处理后排入市政污水管网</w:t>
      </w:r>
      <w:r>
        <w:t>，最终进入大榄坪污水处理厂，不得外排。</w:t>
      </w:r>
    </w:p>
    <w:p w14:paraId="1239DF30">
      <w:pPr>
        <w:pStyle w:val="5"/>
      </w:pPr>
      <w:r>
        <w:rPr>
          <w:rFonts w:hint="eastAsia"/>
        </w:rPr>
        <w:t>地下水环境保护措施</w:t>
      </w:r>
    </w:p>
    <w:p w14:paraId="5133FFF7">
      <w:pPr>
        <w:ind w:firstLine="462"/>
      </w:pPr>
      <w:r>
        <w:rPr>
          <w:rFonts w:hint="eastAsia"/>
        </w:rPr>
        <w:t>（1）在污水管道、污水储存、码头装卸区、危险品堆场等作业区域应采取的污染控制措施，将污染物跑、冒、滴、漏降到最低限度；管道敷设尽量采用“可视化”原则，即管道尽可能地上或架空敷设，做到污染物“早发现、早处理”，减少由于埋地管道等泄漏而造成的地下水污染。</w:t>
      </w:r>
    </w:p>
    <w:p w14:paraId="52EF842A">
      <w:pPr>
        <w:ind w:firstLine="462"/>
      </w:pPr>
      <w:r>
        <w:rPr>
          <w:rFonts w:hint="eastAsia"/>
        </w:rPr>
        <w:t>（2）分区防渗</w:t>
      </w:r>
    </w:p>
    <w:p w14:paraId="49AE2C81">
      <w:pPr>
        <w:ind w:firstLine="462"/>
      </w:pPr>
      <w:r>
        <w:t>根据《环境影响评价技术导》（HJ 610-2016）</w:t>
      </w:r>
      <w:r>
        <w:rPr>
          <w:rFonts w:hint="eastAsia"/>
        </w:rPr>
        <w:t>提出分区防控要求。根据项目特点和实际情况，项目污染物类型为不属于重金属、持久性污染物的其他类型，污染控制难易程度为易-难，天然包气带防污性能按保守估计为弱，则防渗分区判定为一般防渗区。因此，本次项目涉及的危险品集装箱堆场及配套的排水、应急措施防渗技术要求按等效黏土防渗层Mb≥1.5</w:t>
      </w:r>
      <w:r>
        <w:t>m</w:t>
      </w:r>
      <w:r>
        <w:rPr>
          <w:rFonts w:hint="eastAsia"/>
        </w:rPr>
        <w:t>，K≤1×10</w:t>
      </w:r>
      <w:r>
        <w:rPr>
          <w:rFonts w:hint="eastAsia"/>
          <w:vertAlign w:val="superscript"/>
        </w:rPr>
        <w:t>-7</w:t>
      </w:r>
      <w:r>
        <w:rPr>
          <w:rFonts w:hint="eastAsia"/>
        </w:rPr>
        <w:t>cm/</w:t>
      </w:r>
      <w:r>
        <w:t>s</w:t>
      </w:r>
      <w:r>
        <w:rPr>
          <w:rFonts w:hint="eastAsia"/>
        </w:rPr>
        <w:t>执行。</w:t>
      </w:r>
    </w:p>
    <w:p w14:paraId="39EE2442">
      <w:pPr>
        <w:ind w:firstLine="462"/>
      </w:pPr>
      <w:r>
        <w:rPr>
          <w:rFonts w:hint="eastAsia"/>
        </w:rPr>
        <w:t>项目其他区域为划分为简单防渗区，采用一般地面硬化，满足《环境影响评价技术导则地下水环境》（HJ 610-2016）要求。</w:t>
      </w:r>
    </w:p>
    <w:p w14:paraId="58DF7553">
      <w:pPr>
        <w:pStyle w:val="8"/>
        <w:ind w:left="851"/>
        <w:rPr>
          <w:u w:val="single"/>
        </w:rPr>
      </w:pPr>
      <w:r>
        <w:rPr>
          <w:rFonts w:hint="eastAsia"/>
          <w:u w:val="single"/>
        </w:rPr>
        <w:t>项目分区防渗示意图</w:t>
      </w:r>
    </w:p>
    <w:p w14:paraId="70785B41">
      <w:pPr>
        <w:pStyle w:val="5"/>
      </w:pPr>
      <w:r>
        <w:t>生态环境保护措施</w:t>
      </w:r>
    </w:p>
    <w:p w14:paraId="5451CCE4">
      <w:pPr>
        <w:ind w:firstLine="462"/>
      </w:pPr>
      <w:r>
        <w:t>（1）妥善处理在港船舶污染物和陆域废水，禁止向海域直接排放。</w:t>
      </w:r>
    </w:p>
    <w:p w14:paraId="612E1F77">
      <w:pPr>
        <w:ind w:firstLine="462"/>
        <w:rPr>
          <w:b/>
        </w:rPr>
      </w:pPr>
      <w:r>
        <w:t>（</w:t>
      </w:r>
      <w:r>
        <w:rPr>
          <w:rFonts w:hint="eastAsia"/>
        </w:rPr>
        <w:t>2</w:t>
      </w:r>
      <w:r>
        <w:t>）项目</w:t>
      </w:r>
      <w:r>
        <w:rPr>
          <w:rFonts w:hint="eastAsia"/>
        </w:rPr>
        <w:t>海域疏浚炸礁等</w:t>
      </w:r>
      <w:r>
        <w:t>造成海洋生物资源量损失及经济损失为</w:t>
      </w:r>
      <w:r>
        <w:rPr>
          <w:rFonts w:hint="eastAsia"/>
        </w:rPr>
        <w:t>97.53万元。</w:t>
      </w:r>
      <w:r>
        <w:rPr>
          <w:lang w:val="zh-CN"/>
        </w:rPr>
        <w:t>具体的放流种类、放流地点，建设单位应咨询当地渔业主管部门后确定。</w:t>
      </w:r>
      <w:r>
        <w:t>建设单位应做好增殖放流效果的跟踪监测、调查和评估工作。</w:t>
      </w:r>
      <w:r>
        <w:rPr>
          <w:rFonts w:hint="eastAsia"/>
          <w:bCs/>
        </w:rPr>
        <w:t>上述补偿金额为本次环评初步测算，下一步建设单位应委托专业单位编制生态补偿实施方案，实施方案经充分论证后再实施。根据实施方案中的要求，落实下一步的增殖放流等生态补偿措施。</w:t>
      </w:r>
    </w:p>
    <w:p w14:paraId="417A13DD">
      <w:pPr>
        <w:pStyle w:val="5"/>
      </w:pPr>
      <w:r>
        <w:t>大气环境保护对策</w:t>
      </w:r>
    </w:p>
    <w:p w14:paraId="0358D3E4">
      <w:pPr>
        <w:ind w:firstLine="462"/>
      </w:pPr>
      <w:r>
        <w:t>（1）码头装卸机械设备选择符合国家标准的环保产品，以减少有害气体的排放量。加强机械、车辆的维修保养，使用合格的燃油，使其充分燃烧，减少尾气中污染物的排放量。</w:t>
      </w:r>
    </w:p>
    <w:p w14:paraId="01C573B3">
      <w:pPr>
        <w:ind w:firstLine="462"/>
        <w:rPr>
          <w:rFonts w:hint="eastAsia" w:ascii="宋体" w:hAnsi="宋体"/>
        </w:rPr>
      </w:pPr>
      <w:r>
        <w:t>（2）</w:t>
      </w:r>
      <w:r>
        <w:rPr>
          <w:rFonts w:hint="eastAsia" w:ascii="宋体" w:hAnsi="宋体"/>
        </w:rPr>
        <w:t>合理安排进出港车辆，避免堵塞，减少汽车怠速行驶时尾气的排放。</w:t>
      </w:r>
    </w:p>
    <w:p w14:paraId="0EF45167">
      <w:pPr>
        <w:ind w:firstLine="462"/>
      </w:pPr>
      <w:r>
        <w:t>（3）</w:t>
      </w:r>
      <w:r>
        <w:rPr>
          <w:rFonts w:hint="eastAsia"/>
        </w:rPr>
        <w:t>码头设置船舶岸电设施，船舶进港靠泊使用岸电设备。</w:t>
      </w:r>
    </w:p>
    <w:p w14:paraId="4DE398D0">
      <w:pPr>
        <w:pStyle w:val="5"/>
      </w:pPr>
      <w:r>
        <w:t>声环境保护对策</w:t>
      </w:r>
    </w:p>
    <w:p w14:paraId="2F6A3D7A">
      <w:pPr>
        <w:ind w:firstLine="462"/>
      </w:pPr>
      <w:r>
        <w:t>港口机械作业噪声和到港船舶。采取的措施如下：</w:t>
      </w:r>
    </w:p>
    <w:p w14:paraId="19C549F7">
      <w:pPr>
        <w:ind w:firstLine="462"/>
      </w:pPr>
      <w:r>
        <w:t>（1）</w:t>
      </w:r>
      <w:r>
        <w:rPr>
          <w:kern w:val="0"/>
        </w:rPr>
        <w:t>在生产允许的条件下，尽可能选用低噪声设备</w:t>
      </w:r>
      <w:r>
        <w:t>。</w:t>
      </w:r>
    </w:p>
    <w:p w14:paraId="40B337A3">
      <w:pPr>
        <w:ind w:firstLine="462"/>
      </w:pPr>
      <w:r>
        <w:t>（2）加强机械设备的维护，</w:t>
      </w:r>
      <w:r>
        <w:rPr>
          <w:rFonts w:hint="eastAsia"/>
        </w:rPr>
        <w:t>确保设备处于良好地运转状态，杜绝因设备不正常运转时产生的高噪声现象。</w:t>
      </w:r>
    </w:p>
    <w:p w14:paraId="366A36D1">
      <w:pPr>
        <w:ind w:firstLine="462"/>
      </w:pPr>
      <w:r>
        <w:t>（3）加强船岸协调，尽量减少船舶鸣笛次数。</w:t>
      </w:r>
    </w:p>
    <w:p w14:paraId="23C5B829">
      <w:pPr>
        <w:ind w:firstLine="462"/>
      </w:pPr>
      <w:r>
        <w:t>运营期采取的声环境保护措施均是常规环保措施，在国内外类似工程中应用广泛，在经济、技术等方面可行。</w:t>
      </w:r>
    </w:p>
    <w:p w14:paraId="7336B444">
      <w:pPr>
        <w:pStyle w:val="5"/>
      </w:pPr>
      <w:r>
        <w:t>固体废物污染防治措施</w:t>
      </w:r>
    </w:p>
    <w:p w14:paraId="14AE7776">
      <w:pPr>
        <w:ind w:firstLine="462"/>
      </w:pPr>
      <w:r>
        <w:t>（</w:t>
      </w:r>
      <w:r>
        <w:rPr>
          <w:rFonts w:hint="eastAsia"/>
        </w:rPr>
        <w:t>1</w:t>
      </w:r>
      <w:r>
        <w:t>）到港船舶生活垃圾委托</w:t>
      </w:r>
      <w:r>
        <w:rPr>
          <w:rFonts w:hint="eastAsia"/>
        </w:rPr>
        <w:t>单位</w:t>
      </w:r>
      <w:r>
        <w:t>接收处置。</w:t>
      </w:r>
    </w:p>
    <w:p w14:paraId="0429ACEF">
      <w:pPr>
        <w:ind w:firstLine="462"/>
      </w:pPr>
      <w:r>
        <w:t>（</w:t>
      </w:r>
      <w:r>
        <w:rPr>
          <w:rFonts w:hint="eastAsia"/>
        </w:rPr>
        <w:t>2</w:t>
      </w:r>
      <w:r>
        <w:t>）港区生活垃圾统一收集</w:t>
      </w:r>
      <w:r>
        <w:rPr>
          <w:rFonts w:hint="eastAsia"/>
        </w:rPr>
        <w:t>至</w:t>
      </w:r>
      <w:r>
        <w:t>生活垃圾中转站，定期交由当地环卫部门处置。</w:t>
      </w:r>
    </w:p>
    <w:p w14:paraId="4DDBEFBE">
      <w:pPr>
        <w:pStyle w:val="5"/>
      </w:pPr>
      <w:r>
        <w:t>风险应急措施</w:t>
      </w:r>
    </w:p>
    <w:p w14:paraId="0989183B">
      <w:pPr>
        <w:ind w:firstLine="462"/>
      </w:pPr>
      <w:r>
        <w:t>参照评价风险章节</w:t>
      </w:r>
      <w:r>
        <w:rPr>
          <w:rFonts w:hint="eastAsia"/>
        </w:rPr>
        <w:t>做好各项风险防控管控措施，按要求修编码头应急预案并</w:t>
      </w:r>
      <w:r>
        <w:t>纳入钦州港溢油应急预案中</w:t>
      </w:r>
      <w:r>
        <w:rPr>
          <w:rFonts w:hint="eastAsia"/>
        </w:rPr>
        <w:t>；营运期</w:t>
      </w:r>
      <w:r>
        <w:t>加强日常演练，预防</w:t>
      </w:r>
      <w:r>
        <w:rPr>
          <w:rFonts w:hint="eastAsia"/>
        </w:rPr>
        <w:t>溢油、化学品泄漏</w:t>
      </w:r>
      <w:r>
        <w:t>事故的发生。</w:t>
      </w:r>
    </w:p>
    <w:p w14:paraId="6B73387E">
      <w:pPr>
        <w:pStyle w:val="4"/>
      </w:pPr>
      <w:bookmarkStart w:id="642" w:name="_Toc198042343"/>
      <w:bookmarkStart w:id="643" w:name="_Toc217977940"/>
      <w:bookmarkStart w:id="644" w:name="_Toc61856436"/>
      <w:bookmarkStart w:id="645" w:name="_Toc317003565"/>
      <w:bookmarkStart w:id="646" w:name="_Toc58640773"/>
      <w:bookmarkStart w:id="647" w:name="_Toc269375479"/>
      <w:bookmarkStart w:id="648" w:name="_Toc317003285"/>
      <w:r>
        <w:rPr>
          <w:rFonts w:hint="eastAsia"/>
        </w:rPr>
        <w:t>环保措施可行性分析</w:t>
      </w:r>
      <w:bookmarkEnd w:id="642"/>
      <w:bookmarkEnd w:id="643"/>
    </w:p>
    <w:p w14:paraId="3E4B284B">
      <w:pPr>
        <w:pStyle w:val="5"/>
      </w:pPr>
      <w:r>
        <w:rPr>
          <w:rFonts w:hint="eastAsia"/>
        </w:rPr>
        <w:t>生活污水处理站可行性分析</w:t>
      </w:r>
    </w:p>
    <w:p w14:paraId="64559C16">
      <w:pPr>
        <w:ind w:firstLine="462"/>
      </w:pPr>
      <w:r>
        <w:rPr>
          <w:rFonts w:hint="eastAsia"/>
        </w:rPr>
        <w:t>项目生活污水产生量5.88m</w:t>
      </w:r>
      <w:r>
        <w:rPr>
          <w:rFonts w:hint="eastAsia"/>
          <w:vertAlign w:val="superscript"/>
        </w:rPr>
        <w:t>3</w:t>
      </w:r>
      <w:r>
        <w:rPr>
          <w:rFonts w:hint="eastAsia"/>
        </w:rPr>
        <w:t>/d，生活污水泵送至7号8号泊位的生活污水处理站处理，生活污水处理站处理规模为5m</w:t>
      </w:r>
      <w:r>
        <w:rPr>
          <w:rFonts w:hint="eastAsia"/>
          <w:vertAlign w:val="superscript"/>
        </w:rPr>
        <w:t>3</w:t>
      </w:r>
      <w:r>
        <w:rPr>
          <w:rFonts w:hint="eastAsia"/>
        </w:rPr>
        <w:t>/h，设计日运行时间8h，日处理水量可达40 m</w:t>
      </w:r>
      <w:r>
        <w:rPr>
          <w:rFonts w:hint="eastAsia"/>
          <w:vertAlign w:val="superscript"/>
        </w:rPr>
        <w:t>3</w:t>
      </w:r>
      <w:r>
        <w:rPr>
          <w:rFonts w:hint="eastAsia"/>
        </w:rPr>
        <w:t>/d。</w:t>
      </w:r>
    </w:p>
    <w:p w14:paraId="4351E5D6">
      <w:pPr>
        <w:ind w:firstLine="462"/>
      </w:pPr>
      <w:r>
        <w:rPr>
          <w:rFonts w:hint="eastAsia"/>
        </w:rPr>
        <w:t>根据生活污水处理站2024年运行情况统计，生活污水日处理水量10~25 m</w:t>
      </w:r>
      <w:r>
        <w:rPr>
          <w:rFonts w:hint="eastAsia"/>
          <w:vertAlign w:val="superscript"/>
        </w:rPr>
        <w:t>3</w:t>
      </w:r>
      <w:r>
        <w:rPr>
          <w:rFonts w:hint="eastAsia"/>
        </w:rPr>
        <w:t>，本项目新增5.88m</w:t>
      </w:r>
      <w:r>
        <w:rPr>
          <w:rFonts w:hint="eastAsia"/>
          <w:vertAlign w:val="superscript"/>
        </w:rPr>
        <w:t>3</w:t>
      </w:r>
      <w:r>
        <w:rPr>
          <w:rFonts w:hint="eastAsia"/>
        </w:rPr>
        <w:t>/d后生活污水处理站日处理水量最大约30m</w:t>
      </w:r>
      <w:r>
        <w:rPr>
          <w:rFonts w:hint="eastAsia"/>
          <w:vertAlign w:val="superscript"/>
        </w:rPr>
        <w:t>3</w:t>
      </w:r>
      <w:r>
        <w:rPr>
          <w:rFonts w:hint="eastAsia"/>
        </w:rPr>
        <w:t>/d，设计日处理水量40 m</w:t>
      </w:r>
      <w:r>
        <w:rPr>
          <w:rFonts w:hint="eastAsia"/>
          <w:vertAlign w:val="superscript"/>
        </w:rPr>
        <w:t>3</w:t>
      </w:r>
      <w:r>
        <w:rPr>
          <w:rFonts w:hint="eastAsia"/>
        </w:rPr>
        <w:t>/d可满足本项目新增生活污水处理需求。根据2024年度生活污水处理站出水口水质监测，生活污水处理站出水水质可达到《污水综合排放标准》（GB 8978-1996）三级标准，项目生活污水处理依托7号8号泊位的生活污水处理站处理可行。</w:t>
      </w:r>
    </w:p>
    <w:p w14:paraId="22FB3E1A">
      <w:pPr>
        <w:pStyle w:val="5"/>
        <w:rPr>
          <w:u w:val="single"/>
        </w:rPr>
      </w:pPr>
      <w:r>
        <w:rPr>
          <w:rFonts w:hint="eastAsia"/>
          <w:u w:val="single"/>
        </w:rPr>
        <w:t>生产废水处理站可行性分析</w:t>
      </w:r>
    </w:p>
    <w:p w14:paraId="673C4BBF">
      <w:pPr>
        <w:ind w:firstLine="462"/>
        <w:rPr>
          <w:u w:val="single"/>
        </w:rPr>
      </w:pPr>
      <w:r>
        <w:rPr>
          <w:rFonts w:hint="eastAsia"/>
          <w:u w:val="single"/>
        </w:rPr>
        <w:t>项目生产污水产生量1.56m</w:t>
      </w:r>
      <w:r>
        <w:rPr>
          <w:rFonts w:hint="eastAsia"/>
          <w:u w:val="single"/>
          <w:vertAlign w:val="superscript"/>
        </w:rPr>
        <w:t>3</w:t>
      </w:r>
      <w:r>
        <w:rPr>
          <w:rFonts w:hint="eastAsia"/>
          <w:u w:val="single"/>
        </w:rPr>
        <w:t>/d，生产废水经收集后管道送至7号8号泊位的生产废水处理站处理，生产废水处理站处理规模为5m</w:t>
      </w:r>
      <w:r>
        <w:rPr>
          <w:rFonts w:hint="eastAsia"/>
          <w:u w:val="single"/>
          <w:vertAlign w:val="superscript"/>
        </w:rPr>
        <w:t>3</w:t>
      </w:r>
      <w:r>
        <w:rPr>
          <w:rFonts w:hint="eastAsia"/>
          <w:u w:val="single"/>
        </w:rPr>
        <w:t>/h，日处理水量可达10m</w:t>
      </w:r>
      <w:r>
        <w:rPr>
          <w:rFonts w:hint="eastAsia"/>
          <w:u w:val="single"/>
          <w:vertAlign w:val="superscript"/>
        </w:rPr>
        <w:t>3</w:t>
      </w:r>
      <w:r>
        <w:rPr>
          <w:rFonts w:hint="eastAsia"/>
          <w:u w:val="single"/>
        </w:rPr>
        <w:t>/d。</w:t>
      </w:r>
    </w:p>
    <w:p w14:paraId="0274CB20">
      <w:pPr>
        <w:ind w:firstLine="462"/>
        <w:rPr>
          <w:u w:val="single"/>
        </w:rPr>
      </w:pPr>
      <w:r>
        <w:rPr>
          <w:rFonts w:hint="eastAsia"/>
          <w:u w:val="single"/>
        </w:rPr>
        <w:t>根据生产废水处理站2024年运行情况统计，现状项目生产污水产生量很小，基本处于未启动状态，本项目新增1.56m</w:t>
      </w:r>
      <w:r>
        <w:rPr>
          <w:rFonts w:hint="eastAsia"/>
          <w:u w:val="single"/>
          <w:vertAlign w:val="superscript"/>
        </w:rPr>
        <w:t>3</w:t>
      </w:r>
      <w:r>
        <w:rPr>
          <w:rFonts w:hint="eastAsia"/>
          <w:u w:val="single"/>
        </w:rPr>
        <w:t>/d，未超出其设计处理规模，新增废水有利于生产废水处理站的运行频率。根据2024年度生产污水处理站出水口水质监测，处理站出水水质可达到《污水综合排放标准》（GB 8978-1996）三级标准，项目生产废水处理依托7号8号泊位的生产污水处理站处理可行。</w:t>
      </w:r>
    </w:p>
    <w:p w14:paraId="37EB2786">
      <w:pPr>
        <w:pStyle w:val="5"/>
      </w:pPr>
      <w:r>
        <w:rPr>
          <w:rFonts w:hint="eastAsia"/>
        </w:rPr>
        <w:t>水上污染事故应急设备库可行性分析</w:t>
      </w:r>
    </w:p>
    <w:p w14:paraId="5357FEEB">
      <w:pPr>
        <w:ind w:firstLine="462"/>
      </w:pPr>
      <w:r>
        <w:rPr>
          <w:rFonts w:hint="eastAsia"/>
        </w:rPr>
        <w:t>根据4.6.6节，项目运营单位现有已配备的应急物资符合《港口码头水上污染事故应急防备能力要求》（JT/T 451-2017）中表4 海港其他码头水上溢油应急设施、设备、物资配备要求，不新增水上污染事故应急设备，现有工程水上污染事故应急设备库容量满足本项目溢油应急设备贮存要求。</w:t>
      </w:r>
    </w:p>
    <w:p w14:paraId="71DB62E5">
      <w:pPr>
        <w:pStyle w:val="4"/>
      </w:pPr>
      <w:bookmarkStart w:id="649" w:name="_Toc198042344"/>
      <w:bookmarkStart w:id="650" w:name="_Toc217977941"/>
      <w:r>
        <w:t>环境保护措施费用估算</w:t>
      </w:r>
      <w:bookmarkEnd w:id="644"/>
      <w:bookmarkEnd w:id="645"/>
      <w:bookmarkEnd w:id="646"/>
      <w:bookmarkEnd w:id="647"/>
      <w:bookmarkEnd w:id="648"/>
      <w:bookmarkEnd w:id="649"/>
      <w:bookmarkEnd w:id="650"/>
    </w:p>
    <w:p w14:paraId="086DF01E">
      <w:pPr>
        <w:ind w:firstLine="462"/>
        <w:rPr>
          <w:u w:val="single"/>
        </w:rPr>
      </w:pPr>
      <w:r>
        <w:rPr>
          <w:rFonts w:hint="eastAsia"/>
          <w:u w:val="single"/>
        </w:rPr>
        <w:t>本</w:t>
      </w:r>
      <w:r>
        <w:rPr>
          <w:u w:val="single"/>
        </w:rPr>
        <w:t>工程总投资94122万元，环保设施投资1051.53万元，环保投资占总投资的比例为</w:t>
      </w:r>
      <w:r>
        <w:rPr>
          <w:rFonts w:hint="eastAsia"/>
          <w:u w:val="single"/>
        </w:rPr>
        <w:t>1.12</w:t>
      </w:r>
      <w:r>
        <w:rPr>
          <w:u w:val="single"/>
        </w:rPr>
        <w:t>%；环保设施投资估算具体见表</w:t>
      </w:r>
      <w:r>
        <w:rPr>
          <w:rFonts w:hint="eastAsia"/>
          <w:u w:val="single"/>
        </w:rPr>
        <w:t>6.4</w:t>
      </w:r>
      <w:r>
        <w:rPr>
          <w:u w:val="single"/>
        </w:rPr>
        <w:t>-1。</w:t>
      </w:r>
    </w:p>
    <w:p w14:paraId="7CA16B5D">
      <w:pPr>
        <w:pStyle w:val="7"/>
      </w:pPr>
      <w:r>
        <w:t>环保措施投资估算</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73"/>
        <w:gridCol w:w="1237"/>
        <w:gridCol w:w="2217"/>
        <w:gridCol w:w="1541"/>
        <w:gridCol w:w="1603"/>
        <w:gridCol w:w="1277"/>
      </w:tblGrid>
      <w:tr w14:paraId="1EF4DD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071" w:type="pct"/>
            <w:gridSpan w:val="2"/>
            <w:vAlign w:val="center"/>
          </w:tcPr>
          <w:p w14:paraId="57A0BF07">
            <w:pPr>
              <w:pStyle w:val="34"/>
            </w:pPr>
            <w:r>
              <w:t>项目</w:t>
            </w:r>
          </w:p>
        </w:tc>
        <w:tc>
          <w:tcPr>
            <w:tcW w:w="1312" w:type="pct"/>
            <w:tcMar>
              <w:left w:w="28" w:type="dxa"/>
              <w:right w:w="28" w:type="dxa"/>
            </w:tcMar>
            <w:vAlign w:val="center"/>
          </w:tcPr>
          <w:p w14:paraId="4CCD4D47">
            <w:pPr>
              <w:pStyle w:val="34"/>
            </w:pPr>
            <w:r>
              <w:t>内容或估算方法</w:t>
            </w:r>
          </w:p>
        </w:tc>
        <w:tc>
          <w:tcPr>
            <w:tcW w:w="912" w:type="pct"/>
            <w:tcMar>
              <w:left w:w="28" w:type="dxa"/>
              <w:right w:w="28" w:type="dxa"/>
            </w:tcMar>
            <w:vAlign w:val="center"/>
          </w:tcPr>
          <w:p w14:paraId="7B1A7F8C">
            <w:pPr>
              <w:pStyle w:val="34"/>
            </w:pPr>
            <w:r>
              <w:t>投资金额</w:t>
            </w:r>
          </w:p>
          <w:p w14:paraId="429C0722">
            <w:pPr>
              <w:pStyle w:val="34"/>
            </w:pPr>
            <w:r>
              <w:t>（万元）</w:t>
            </w:r>
          </w:p>
        </w:tc>
        <w:tc>
          <w:tcPr>
            <w:tcW w:w="949" w:type="pct"/>
            <w:tcMar>
              <w:left w:w="28" w:type="dxa"/>
              <w:right w:w="28" w:type="dxa"/>
            </w:tcMar>
            <w:vAlign w:val="center"/>
          </w:tcPr>
          <w:p w14:paraId="76CA8521">
            <w:pPr>
              <w:pStyle w:val="34"/>
            </w:pPr>
            <w:r>
              <w:t>环境效益</w:t>
            </w:r>
          </w:p>
        </w:tc>
        <w:tc>
          <w:tcPr>
            <w:tcW w:w="756" w:type="pct"/>
            <w:tcMar>
              <w:left w:w="28" w:type="dxa"/>
              <w:right w:w="28" w:type="dxa"/>
            </w:tcMar>
            <w:vAlign w:val="center"/>
          </w:tcPr>
          <w:p w14:paraId="526244C3">
            <w:pPr>
              <w:pStyle w:val="34"/>
            </w:pPr>
            <w:r>
              <w:t>备注</w:t>
            </w:r>
          </w:p>
        </w:tc>
      </w:tr>
      <w:tr w14:paraId="713037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Align w:val="center"/>
          </w:tcPr>
          <w:p w14:paraId="32EC2B0D">
            <w:pPr>
              <w:pStyle w:val="34"/>
            </w:pPr>
            <w:r>
              <w:t>大气</w:t>
            </w:r>
          </w:p>
        </w:tc>
        <w:tc>
          <w:tcPr>
            <w:tcW w:w="732" w:type="pct"/>
            <w:tcMar>
              <w:left w:w="28" w:type="dxa"/>
              <w:right w:w="28" w:type="dxa"/>
            </w:tcMar>
            <w:vAlign w:val="center"/>
          </w:tcPr>
          <w:p w14:paraId="293C67D1">
            <w:pPr>
              <w:pStyle w:val="34"/>
            </w:pPr>
            <w:r>
              <w:t>施工降尘</w:t>
            </w:r>
          </w:p>
        </w:tc>
        <w:tc>
          <w:tcPr>
            <w:tcW w:w="1312" w:type="pct"/>
            <w:tcMar>
              <w:left w:w="28" w:type="dxa"/>
              <w:right w:w="28" w:type="dxa"/>
            </w:tcMar>
            <w:vAlign w:val="center"/>
          </w:tcPr>
          <w:p w14:paraId="0D678B74">
            <w:pPr>
              <w:pStyle w:val="34"/>
            </w:pPr>
            <w:r>
              <w:t>洒水降尘措施</w:t>
            </w:r>
          </w:p>
        </w:tc>
        <w:tc>
          <w:tcPr>
            <w:tcW w:w="912" w:type="pct"/>
            <w:tcMar>
              <w:left w:w="28" w:type="dxa"/>
              <w:right w:w="28" w:type="dxa"/>
            </w:tcMar>
            <w:vAlign w:val="center"/>
          </w:tcPr>
          <w:p w14:paraId="585DA267">
            <w:pPr>
              <w:pStyle w:val="34"/>
            </w:pPr>
            <w:r>
              <w:t>10.00</w:t>
            </w:r>
          </w:p>
        </w:tc>
        <w:tc>
          <w:tcPr>
            <w:tcW w:w="949" w:type="pct"/>
            <w:tcMar>
              <w:left w:w="28" w:type="dxa"/>
              <w:right w:w="28" w:type="dxa"/>
            </w:tcMar>
            <w:vAlign w:val="center"/>
          </w:tcPr>
          <w:p w14:paraId="1B2C2B47">
            <w:pPr>
              <w:pStyle w:val="34"/>
            </w:pPr>
            <w:r>
              <w:t>减轻空气污染（施工队自备洒水车）</w:t>
            </w:r>
          </w:p>
        </w:tc>
        <w:tc>
          <w:tcPr>
            <w:tcW w:w="756" w:type="pct"/>
            <w:tcMar>
              <w:left w:w="28" w:type="dxa"/>
              <w:right w:w="28" w:type="dxa"/>
            </w:tcMar>
            <w:vAlign w:val="center"/>
          </w:tcPr>
          <w:p w14:paraId="0884FED0">
            <w:pPr>
              <w:pStyle w:val="34"/>
            </w:pPr>
            <w:r>
              <w:t>新增</w:t>
            </w:r>
          </w:p>
        </w:tc>
      </w:tr>
      <w:tr w14:paraId="143575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Align w:val="center"/>
          </w:tcPr>
          <w:p w14:paraId="61E10195">
            <w:pPr>
              <w:pStyle w:val="34"/>
            </w:pPr>
            <w:r>
              <w:t>噪声</w:t>
            </w:r>
          </w:p>
        </w:tc>
        <w:tc>
          <w:tcPr>
            <w:tcW w:w="732" w:type="pct"/>
            <w:tcMar>
              <w:left w:w="28" w:type="dxa"/>
              <w:right w:w="28" w:type="dxa"/>
            </w:tcMar>
            <w:vAlign w:val="center"/>
          </w:tcPr>
          <w:p w14:paraId="1006AA24">
            <w:pPr>
              <w:pStyle w:val="34"/>
            </w:pPr>
            <w:r>
              <w:t>施工期固定设备降噪</w:t>
            </w:r>
          </w:p>
        </w:tc>
        <w:tc>
          <w:tcPr>
            <w:tcW w:w="1312" w:type="pct"/>
            <w:tcMar>
              <w:left w:w="28" w:type="dxa"/>
              <w:right w:w="28" w:type="dxa"/>
            </w:tcMar>
            <w:vAlign w:val="center"/>
          </w:tcPr>
          <w:p w14:paraId="6AB9E7F7">
            <w:pPr>
              <w:pStyle w:val="34"/>
            </w:pPr>
            <w:r>
              <w:t>隔声罩、防声耳塞、头盔</w:t>
            </w:r>
          </w:p>
        </w:tc>
        <w:tc>
          <w:tcPr>
            <w:tcW w:w="912" w:type="pct"/>
            <w:tcMar>
              <w:left w:w="28" w:type="dxa"/>
              <w:right w:w="28" w:type="dxa"/>
            </w:tcMar>
            <w:vAlign w:val="center"/>
          </w:tcPr>
          <w:p w14:paraId="7904D41B">
            <w:pPr>
              <w:pStyle w:val="34"/>
            </w:pPr>
            <w:r>
              <w:t>5.00</w:t>
            </w:r>
          </w:p>
        </w:tc>
        <w:tc>
          <w:tcPr>
            <w:tcW w:w="949" w:type="pct"/>
            <w:tcMar>
              <w:left w:w="28" w:type="dxa"/>
              <w:right w:w="28" w:type="dxa"/>
            </w:tcMar>
            <w:vAlign w:val="center"/>
          </w:tcPr>
          <w:p w14:paraId="494A06CB">
            <w:pPr>
              <w:pStyle w:val="34"/>
            </w:pPr>
            <w:r>
              <w:t>减轻施工期设备噪声对环境的负面影响</w:t>
            </w:r>
          </w:p>
        </w:tc>
        <w:tc>
          <w:tcPr>
            <w:tcW w:w="756" w:type="pct"/>
            <w:tcMar>
              <w:left w:w="28" w:type="dxa"/>
              <w:right w:w="28" w:type="dxa"/>
            </w:tcMar>
            <w:vAlign w:val="center"/>
          </w:tcPr>
          <w:p w14:paraId="37F384AB">
            <w:pPr>
              <w:pStyle w:val="34"/>
            </w:pPr>
            <w:r>
              <w:t>新增</w:t>
            </w:r>
          </w:p>
        </w:tc>
      </w:tr>
      <w:tr w14:paraId="4B13CC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Merge w:val="restart"/>
            <w:vAlign w:val="center"/>
          </w:tcPr>
          <w:p w14:paraId="10EB91B8">
            <w:pPr>
              <w:pStyle w:val="34"/>
            </w:pPr>
            <w:r>
              <w:rPr>
                <w:rFonts w:hint="eastAsia"/>
              </w:rPr>
              <w:t>水</w:t>
            </w:r>
          </w:p>
        </w:tc>
        <w:tc>
          <w:tcPr>
            <w:tcW w:w="732" w:type="pct"/>
            <w:tcMar>
              <w:left w:w="28" w:type="dxa"/>
              <w:right w:w="28" w:type="dxa"/>
            </w:tcMar>
            <w:vAlign w:val="center"/>
          </w:tcPr>
          <w:p w14:paraId="38420980">
            <w:pPr>
              <w:pStyle w:val="34"/>
            </w:pPr>
            <w:r>
              <w:rPr>
                <w:rFonts w:hint="eastAsia"/>
              </w:rPr>
              <w:t>疏浚区域悬浮物污染防治</w:t>
            </w:r>
          </w:p>
        </w:tc>
        <w:tc>
          <w:tcPr>
            <w:tcW w:w="1312" w:type="pct"/>
            <w:tcMar>
              <w:left w:w="28" w:type="dxa"/>
              <w:right w:w="28" w:type="dxa"/>
            </w:tcMar>
            <w:vAlign w:val="center"/>
          </w:tcPr>
          <w:p w14:paraId="58733C2E">
            <w:pPr>
              <w:pStyle w:val="34"/>
            </w:pPr>
            <w:r>
              <w:t>防污帘</w:t>
            </w:r>
          </w:p>
        </w:tc>
        <w:tc>
          <w:tcPr>
            <w:tcW w:w="912" w:type="pct"/>
            <w:tcMar>
              <w:left w:w="28" w:type="dxa"/>
              <w:right w:w="28" w:type="dxa"/>
            </w:tcMar>
            <w:vAlign w:val="center"/>
          </w:tcPr>
          <w:p w14:paraId="57D891E4">
            <w:pPr>
              <w:pStyle w:val="34"/>
            </w:pPr>
            <w:r>
              <w:t>30</w:t>
            </w:r>
            <w:r>
              <w:rPr>
                <w:rFonts w:hint="eastAsia"/>
              </w:rPr>
              <w:t>.00</w:t>
            </w:r>
          </w:p>
        </w:tc>
        <w:tc>
          <w:tcPr>
            <w:tcW w:w="949" w:type="pct"/>
            <w:tcMar>
              <w:left w:w="28" w:type="dxa"/>
              <w:right w:w="28" w:type="dxa"/>
            </w:tcMar>
            <w:vAlign w:val="center"/>
          </w:tcPr>
          <w:p w14:paraId="2A61C839">
            <w:pPr>
              <w:pStyle w:val="34"/>
            </w:pPr>
            <w:r>
              <w:t>防止悬浮物扩散</w:t>
            </w:r>
          </w:p>
        </w:tc>
        <w:tc>
          <w:tcPr>
            <w:tcW w:w="756" w:type="pct"/>
            <w:tcMar>
              <w:left w:w="28" w:type="dxa"/>
              <w:right w:w="28" w:type="dxa"/>
            </w:tcMar>
            <w:vAlign w:val="center"/>
          </w:tcPr>
          <w:p w14:paraId="044AF7DF">
            <w:pPr>
              <w:pStyle w:val="34"/>
            </w:pPr>
            <w:r>
              <w:t>新增</w:t>
            </w:r>
          </w:p>
        </w:tc>
      </w:tr>
      <w:tr w14:paraId="005AE8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Merge w:val="continue"/>
            <w:vAlign w:val="center"/>
          </w:tcPr>
          <w:p w14:paraId="518E98F9">
            <w:pPr>
              <w:pStyle w:val="34"/>
            </w:pPr>
          </w:p>
        </w:tc>
        <w:tc>
          <w:tcPr>
            <w:tcW w:w="732" w:type="pct"/>
            <w:tcMar>
              <w:left w:w="28" w:type="dxa"/>
              <w:right w:w="28" w:type="dxa"/>
            </w:tcMar>
            <w:vAlign w:val="center"/>
          </w:tcPr>
          <w:p w14:paraId="668F625E">
            <w:pPr>
              <w:pStyle w:val="34"/>
            </w:pPr>
            <w:r>
              <w:rPr>
                <w:rFonts w:hint="eastAsia"/>
              </w:rPr>
              <w:t>施工场地雨季悬浮物污染防治措施</w:t>
            </w:r>
          </w:p>
        </w:tc>
        <w:tc>
          <w:tcPr>
            <w:tcW w:w="1312" w:type="pct"/>
            <w:tcMar>
              <w:left w:w="28" w:type="dxa"/>
              <w:right w:w="28" w:type="dxa"/>
            </w:tcMar>
            <w:vAlign w:val="center"/>
          </w:tcPr>
          <w:p w14:paraId="25BDAF27">
            <w:pPr>
              <w:pStyle w:val="34"/>
            </w:pPr>
            <w:r>
              <w:rPr>
                <w:rFonts w:hint="eastAsia"/>
              </w:rPr>
              <w:t>临时截排水沟、沉淀池</w:t>
            </w:r>
          </w:p>
        </w:tc>
        <w:tc>
          <w:tcPr>
            <w:tcW w:w="912" w:type="pct"/>
            <w:tcMar>
              <w:left w:w="28" w:type="dxa"/>
              <w:right w:w="28" w:type="dxa"/>
            </w:tcMar>
            <w:vAlign w:val="center"/>
          </w:tcPr>
          <w:p w14:paraId="78F5406F">
            <w:pPr>
              <w:pStyle w:val="34"/>
            </w:pPr>
            <w:r>
              <w:rPr>
                <w:rFonts w:hint="eastAsia"/>
              </w:rPr>
              <w:t>10.00</w:t>
            </w:r>
          </w:p>
        </w:tc>
        <w:tc>
          <w:tcPr>
            <w:tcW w:w="949" w:type="pct"/>
            <w:tcMar>
              <w:left w:w="28" w:type="dxa"/>
              <w:right w:w="28" w:type="dxa"/>
            </w:tcMar>
            <w:vAlign w:val="center"/>
          </w:tcPr>
          <w:p w14:paraId="73B5D749">
            <w:pPr>
              <w:pStyle w:val="34"/>
            </w:pPr>
            <w:r>
              <w:t>降低悬浮物浓度</w:t>
            </w:r>
          </w:p>
        </w:tc>
        <w:tc>
          <w:tcPr>
            <w:tcW w:w="756" w:type="pct"/>
            <w:tcMar>
              <w:left w:w="28" w:type="dxa"/>
              <w:right w:w="28" w:type="dxa"/>
            </w:tcMar>
            <w:vAlign w:val="center"/>
          </w:tcPr>
          <w:p w14:paraId="2210FA31">
            <w:pPr>
              <w:pStyle w:val="34"/>
            </w:pPr>
            <w:r>
              <w:t>新增</w:t>
            </w:r>
          </w:p>
        </w:tc>
      </w:tr>
      <w:tr w14:paraId="2405CC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tcBorders>
              <w:bottom w:val="single" w:color="auto" w:sz="4" w:space="0"/>
            </w:tcBorders>
            <w:vAlign w:val="center"/>
          </w:tcPr>
          <w:p w14:paraId="3A8B6B95">
            <w:pPr>
              <w:pStyle w:val="34"/>
            </w:pPr>
            <w:r>
              <w:t>固废</w:t>
            </w:r>
          </w:p>
        </w:tc>
        <w:tc>
          <w:tcPr>
            <w:tcW w:w="732" w:type="pct"/>
            <w:tcBorders>
              <w:bottom w:val="single" w:color="auto" w:sz="4" w:space="0"/>
            </w:tcBorders>
            <w:tcMar>
              <w:left w:w="28" w:type="dxa"/>
              <w:right w:w="28" w:type="dxa"/>
            </w:tcMar>
            <w:vAlign w:val="center"/>
          </w:tcPr>
          <w:p w14:paraId="11AB18A9">
            <w:pPr>
              <w:pStyle w:val="34"/>
            </w:pPr>
            <w:r>
              <w:t>垃圾清运</w:t>
            </w:r>
          </w:p>
        </w:tc>
        <w:tc>
          <w:tcPr>
            <w:tcW w:w="1312" w:type="pct"/>
            <w:tcBorders>
              <w:bottom w:val="single" w:color="auto" w:sz="4" w:space="0"/>
            </w:tcBorders>
            <w:tcMar>
              <w:left w:w="28" w:type="dxa"/>
              <w:right w:w="28" w:type="dxa"/>
            </w:tcMar>
            <w:vAlign w:val="center"/>
          </w:tcPr>
          <w:p w14:paraId="6BDDD1FA">
            <w:pPr>
              <w:pStyle w:val="34"/>
            </w:pPr>
            <w:r>
              <w:t>施工垃圾清运</w:t>
            </w:r>
          </w:p>
        </w:tc>
        <w:tc>
          <w:tcPr>
            <w:tcW w:w="912" w:type="pct"/>
            <w:tcBorders>
              <w:bottom w:val="single" w:color="auto" w:sz="4" w:space="0"/>
            </w:tcBorders>
            <w:tcMar>
              <w:left w:w="28" w:type="dxa"/>
              <w:right w:w="28" w:type="dxa"/>
            </w:tcMar>
            <w:vAlign w:val="center"/>
          </w:tcPr>
          <w:p w14:paraId="37CD41B5">
            <w:pPr>
              <w:pStyle w:val="34"/>
            </w:pPr>
            <w:r>
              <w:rPr>
                <w:rFonts w:hint="eastAsia"/>
              </w:rPr>
              <w:t>2</w:t>
            </w:r>
            <w:r>
              <w:t>.00</w:t>
            </w:r>
          </w:p>
        </w:tc>
        <w:tc>
          <w:tcPr>
            <w:tcW w:w="949" w:type="pct"/>
            <w:tcBorders>
              <w:bottom w:val="single" w:color="auto" w:sz="4" w:space="0"/>
            </w:tcBorders>
            <w:tcMar>
              <w:left w:w="28" w:type="dxa"/>
              <w:right w:w="28" w:type="dxa"/>
            </w:tcMar>
            <w:vAlign w:val="center"/>
          </w:tcPr>
          <w:p w14:paraId="585E8728">
            <w:pPr>
              <w:pStyle w:val="34"/>
            </w:pPr>
            <w:r>
              <w:t>避免垃圾等随意丢弃，影响景观</w:t>
            </w:r>
          </w:p>
        </w:tc>
        <w:tc>
          <w:tcPr>
            <w:tcW w:w="756" w:type="pct"/>
            <w:tcMar>
              <w:left w:w="28" w:type="dxa"/>
              <w:right w:w="28" w:type="dxa"/>
            </w:tcMar>
            <w:vAlign w:val="center"/>
          </w:tcPr>
          <w:p w14:paraId="3D73F188">
            <w:pPr>
              <w:pStyle w:val="34"/>
            </w:pPr>
            <w:r>
              <w:t>新增</w:t>
            </w:r>
          </w:p>
        </w:tc>
      </w:tr>
      <w:tr w14:paraId="656752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Align w:val="center"/>
          </w:tcPr>
          <w:p w14:paraId="0D8C62CD">
            <w:pPr>
              <w:pStyle w:val="34"/>
            </w:pPr>
            <w:r>
              <w:t>生态</w:t>
            </w:r>
          </w:p>
        </w:tc>
        <w:tc>
          <w:tcPr>
            <w:tcW w:w="732" w:type="pct"/>
            <w:tcMar>
              <w:left w:w="28" w:type="dxa"/>
              <w:right w:w="28" w:type="dxa"/>
            </w:tcMar>
            <w:vAlign w:val="center"/>
          </w:tcPr>
          <w:p w14:paraId="5DB71AC7">
            <w:pPr>
              <w:pStyle w:val="34"/>
              <w:rPr>
                <w:u w:val="single"/>
              </w:rPr>
            </w:pPr>
            <w:r>
              <w:rPr>
                <w:rFonts w:hint="eastAsia"/>
                <w:u w:val="single"/>
              </w:rPr>
              <w:t>生态补偿</w:t>
            </w:r>
          </w:p>
        </w:tc>
        <w:tc>
          <w:tcPr>
            <w:tcW w:w="1312" w:type="pct"/>
            <w:tcMar>
              <w:left w:w="28" w:type="dxa"/>
              <w:right w:w="28" w:type="dxa"/>
            </w:tcMar>
            <w:vAlign w:val="center"/>
          </w:tcPr>
          <w:p w14:paraId="548B28FF">
            <w:pPr>
              <w:pStyle w:val="34"/>
              <w:rPr>
                <w:u w:val="single"/>
              </w:rPr>
            </w:pPr>
            <w:r>
              <w:rPr>
                <w:u w:val="single"/>
              </w:rPr>
              <w:t>海洋生物资源量损害</w:t>
            </w:r>
            <w:r>
              <w:rPr>
                <w:rFonts w:hint="eastAsia"/>
                <w:u w:val="single"/>
              </w:rPr>
              <w:t>补偿</w:t>
            </w:r>
          </w:p>
        </w:tc>
        <w:tc>
          <w:tcPr>
            <w:tcW w:w="912" w:type="pct"/>
            <w:tcMar>
              <w:left w:w="28" w:type="dxa"/>
              <w:right w:w="28" w:type="dxa"/>
            </w:tcMar>
            <w:vAlign w:val="center"/>
          </w:tcPr>
          <w:p w14:paraId="79B09D45">
            <w:pPr>
              <w:pStyle w:val="34"/>
              <w:rPr>
                <w:u w:val="single"/>
              </w:rPr>
            </w:pPr>
            <w:r>
              <w:rPr>
                <w:rFonts w:hint="eastAsia"/>
                <w:u w:val="single"/>
              </w:rPr>
              <w:t>97.53</w:t>
            </w:r>
          </w:p>
        </w:tc>
        <w:tc>
          <w:tcPr>
            <w:tcW w:w="949" w:type="pct"/>
            <w:tcMar>
              <w:left w:w="28" w:type="dxa"/>
              <w:right w:w="28" w:type="dxa"/>
            </w:tcMar>
            <w:vAlign w:val="center"/>
          </w:tcPr>
          <w:p w14:paraId="078E49B8">
            <w:pPr>
              <w:pStyle w:val="34"/>
              <w:rPr>
                <w:u w:val="single"/>
              </w:rPr>
            </w:pPr>
            <w:r>
              <w:rPr>
                <w:rFonts w:hint="eastAsia"/>
                <w:u w:val="single"/>
              </w:rPr>
              <w:t>疏浚工程、炸礁工程生物损失</w:t>
            </w:r>
          </w:p>
        </w:tc>
        <w:tc>
          <w:tcPr>
            <w:tcW w:w="756" w:type="pct"/>
            <w:tcMar>
              <w:left w:w="28" w:type="dxa"/>
              <w:right w:w="28" w:type="dxa"/>
            </w:tcMar>
            <w:vAlign w:val="center"/>
          </w:tcPr>
          <w:p w14:paraId="78AECFD0">
            <w:pPr>
              <w:pStyle w:val="34"/>
              <w:rPr>
                <w:u w:val="single"/>
              </w:rPr>
            </w:pPr>
            <w:r>
              <w:rPr>
                <w:rFonts w:hint="eastAsia"/>
                <w:u w:val="single"/>
              </w:rPr>
              <w:t>新增</w:t>
            </w:r>
          </w:p>
        </w:tc>
      </w:tr>
      <w:tr w14:paraId="743514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Align w:val="center"/>
          </w:tcPr>
          <w:p w14:paraId="20C7760B">
            <w:pPr>
              <w:pStyle w:val="34"/>
            </w:pPr>
            <w:r>
              <w:rPr>
                <w:rFonts w:hint="eastAsia"/>
              </w:rPr>
              <w:t>环境风险</w:t>
            </w:r>
          </w:p>
        </w:tc>
        <w:tc>
          <w:tcPr>
            <w:tcW w:w="732" w:type="pct"/>
            <w:tcMar>
              <w:left w:w="28" w:type="dxa"/>
              <w:right w:w="28" w:type="dxa"/>
            </w:tcMar>
            <w:vAlign w:val="center"/>
          </w:tcPr>
          <w:p w14:paraId="1F084AA8">
            <w:pPr>
              <w:pStyle w:val="34"/>
            </w:pPr>
            <w:r>
              <w:rPr>
                <w:rFonts w:hint="eastAsia"/>
                <w:szCs w:val="21"/>
              </w:rPr>
              <w:t>事故废水收集系统</w:t>
            </w:r>
          </w:p>
        </w:tc>
        <w:tc>
          <w:tcPr>
            <w:tcW w:w="1312" w:type="pct"/>
            <w:tcMar>
              <w:left w:w="28" w:type="dxa"/>
              <w:right w:w="28" w:type="dxa"/>
            </w:tcMar>
            <w:vAlign w:val="center"/>
          </w:tcPr>
          <w:p w14:paraId="1C24CD86">
            <w:pPr>
              <w:pStyle w:val="34"/>
            </w:pPr>
            <w:r>
              <w:rPr>
                <w:rFonts w:hint="eastAsia"/>
                <w:szCs w:val="21"/>
              </w:rPr>
              <w:t>包括堆场应急处置场地和处置池、事故废水收集池等，雨水截止阀</w:t>
            </w:r>
          </w:p>
        </w:tc>
        <w:tc>
          <w:tcPr>
            <w:tcW w:w="912" w:type="pct"/>
            <w:tcMar>
              <w:left w:w="28" w:type="dxa"/>
              <w:right w:w="28" w:type="dxa"/>
            </w:tcMar>
            <w:vAlign w:val="center"/>
          </w:tcPr>
          <w:p w14:paraId="4AED53E3">
            <w:pPr>
              <w:pStyle w:val="34"/>
            </w:pPr>
            <w:r>
              <w:rPr>
                <w:rFonts w:hint="eastAsia"/>
              </w:rPr>
              <w:t>650</w:t>
            </w:r>
          </w:p>
        </w:tc>
        <w:tc>
          <w:tcPr>
            <w:tcW w:w="949" w:type="pct"/>
            <w:tcMar>
              <w:left w:w="28" w:type="dxa"/>
              <w:right w:w="28" w:type="dxa"/>
            </w:tcMar>
            <w:vAlign w:val="center"/>
          </w:tcPr>
          <w:p w14:paraId="0DB80CE0">
            <w:pPr>
              <w:pStyle w:val="34"/>
            </w:pPr>
            <w:r>
              <w:rPr>
                <w:rFonts w:hint="eastAsia"/>
              </w:rPr>
              <w:t>避免危险品堆场环境风险</w:t>
            </w:r>
          </w:p>
        </w:tc>
        <w:tc>
          <w:tcPr>
            <w:tcW w:w="756" w:type="pct"/>
            <w:tcMar>
              <w:left w:w="28" w:type="dxa"/>
              <w:right w:w="28" w:type="dxa"/>
            </w:tcMar>
            <w:vAlign w:val="center"/>
          </w:tcPr>
          <w:p w14:paraId="68D2A5F2">
            <w:pPr>
              <w:pStyle w:val="34"/>
            </w:pPr>
            <w:r>
              <w:rPr>
                <w:rFonts w:hint="eastAsia"/>
              </w:rPr>
              <w:t>新增</w:t>
            </w:r>
          </w:p>
        </w:tc>
      </w:tr>
      <w:tr w14:paraId="647A69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Merge w:val="restart"/>
            <w:vAlign w:val="center"/>
          </w:tcPr>
          <w:p w14:paraId="47DC8BD9">
            <w:pPr>
              <w:pStyle w:val="34"/>
            </w:pPr>
            <w:r>
              <w:t>环境管理</w:t>
            </w:r>
          </w:p>
        </w:tc>
        <w:tc>
          <w:tcPr>
            <w:tcW w:w="732" w:type="pct"/>
            <w:tcMar>
              <w:left w:w="28" w:type="dxa"/>
              <w:right w:w="28" w:type="dxa"/>
            </w:tcMar>
            <w:vAlign w:val="center"/>
          </w:tcPr>
          <w:p w14:paraId="72EDD01B">
            <w:pPr>
              <w:pStyle w:val="34"/>
            </w:pPr>
            <w:r>
              <w:t>施工期</w:t>
            </w:r>
          </w:p>
          <w:p w14:paraId="28559891">
            <w:pPr>
              <w:pStyle w:val="34"/>
            </w:pPr>
            <w:r>
              <w:t>环境监测</w:t>
            </w:r>
          </w:p>
        </w:tc>
        <w:tc>
          <w:tcPr>
            <w:tcW w:w="1312" w:type="pct"/>
            <w:tcMar>
              <w:left w:w="28" w:type="dxa"/>
              <w:right w:w="28" w:type="dxa"/>
            </w:tcMar>
            <w:vAlign w:val="center"/>
          </w:tcPr>
          <w:p w14:paraId="76CAB6C8">
            <w:pPr>
              <w:pStyle w:val="34"/>
            </w:pPr>
            <w:r>
              <w:rPr>
                <w:rFonts w:hint="eastAsia"/>
              </w:rPr>
              <w:t>海洋环境</w:t>
            </w:r>
          </w:p>
        </w:tc>
        <w:tc>
          <w:tcPr>
            <w:tcW w:w="912" w:type="pct"/>
            <w:tcMar>
              <w:left w:w="28" w:type="dxa"/>
              <w:right w:w="28" w:type="dxa"/>
            </w:tcMar>
            <w:vAlign w:val="center"/>
          </w:tcPr>
          <w:p w14:paraId="59D31B21">
            <w:pPr>
              <w:pStyle w:val="34"/>
            </w:pPr>
            <w:r>
              <w:rPr>
                <w:rFonts w:hint="eastAsia"/>
              </w:rPr>
              <w:t>50</w:t>
            </w:r>
            <w:r>
              <w:t>.00</w:t>
            </w:r>
          </w:p>
        </w:tc>
        <w:tc>
          <w:tcPr>
            <w:tcW w:w="949" w:type="pct"/>
            <w:tcMar>
              <w:left w:w="28" w:type="dxa"/>
              <w:right w:w="28" w:type="dxa"/>
            </w:tcMar>
            <w:vAlign w:val="center"/>
          </w:tcPr>
          <w:p w14:paraId="12C4A03A">
            <w:pPr>
              <w:pStyle w:val="34"/>
            </w:pPr>
            <w:r>
              <w:t>掌握施工期环境变化并提出减缓措施</w:t>
            </w:r>
          </w:p>
        </w:tc>
        <w:tc>
          <w:tcPr>
            <w:tcW w:w="756" w:type="pct"/>
            <w:tcMar>
              <w:left w:w="28" w:type="dxa"/>
              <w:right w:w="28" w:type="dxa"/>
            </w:tcMar>
            <w:vAlign w:val="center"/>
          </w:tcPr>
          <w:p w14:paraId="1C437F61">
            <w:pPr>
              <w:pStyle w:val="34"/>
            </w:pPr>
            <w:r>
              <w:t>新增</w:t>
            </w:r>
          </w:p>
        </w:tc>
      </w:tr>
      <w:tr w14:paraId="23F950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Merge w:val="continue"/>
            <w:vAlign w:val="center"/>
          </w:tcPr>
          <w:p w14:paraId="472C7057">
            <w:pPr>
              <w:pStyle w:val="34"/>
            </w:pPr>
          </w:p>
        </w:tc>
        <w:tc>
          <w:tcPr>
            <w:tcW w:w="732" w:type="pct"/>
            <w:tcMar>
              <w:left w:w="28" w:type="dxa"/>
              <w:right w:w="28" w:type="dxa"/>
            </w:tcMar>
            <w:vAlign w:val="center"/>
          </w:tcPr>
          <w:p w14:paraId="0EDE9459">
            <w:pPr>
              <w:pStyle w:val="34"/>
            </w:pPr>
            <w:r>
              <w:t>运营期环境监测</w:t>
            </w:r>
          </w:p>
        </w:tc>
        <w:tc>
          <w:tcPr>
            <w:tcW w:w="1312" w:type="pct"/>
            <w:tcMar>
              <w:left w:w="28" w:type="dxa"/>
              <w:right w:w="28" w:type="dxa"/>
            </w:tcMar>
            <w:vAlign w:val="center"/>
          </w:tcPr>
          <w:p w14:paraId="0BEDCC8A">
            <w:pPr>
              <w:pStyle w:val="34"/>
            </w:pPr>
            <w:r>
              <w:rPr>
                <w:rFonts w:hint="eastAsia"/>
              </w:rPr>
              <w:t>海洋环境、厂界噪声</w:t>
            </w:r>
          </w:p>
        </w:tc>
        <w:tc>
          <w:tcPr>
            <w:tcW w:w="912" w:type="pct"/>
            <w:tcMar>
              <w:left w:w="28" w:type="dxa"/>
              <w:right w:w="28" w:type="dxa"/>
            </w:tcMar>
            <w:vAlign w:val="center"/>
          </w:tcPr>
          <w:p w14:paraId="3CCC7212">
            <w:pPr>
              <w:pStyle w:val="34"/>
            </w:pPr>
            <w:r>
              <w:t>45.00</w:t>
            </w:r>
          </w:p>
        </w:tc>
        <w:tc>
          <w:tcPr>
            <w:tcW w:w="949" w:type="pct"/>
            <w:tcMar>
              <w:left w:w="28" w:type="dxa"/>
              <w:right w:w="28" w:type="dxa"/>
            </w:tcMar>
            <w:vAlign w:val="center"/>
          </w:tcPr>
          <w:p w14:paraId="0A40EF43">
            <w:pPr>
              <w:pStyle w:val="34"/>
            </w:pPr>
            <w:r>
              <w:t>掌握运营期环境变化并提出减缓措施</w:t>
            </w:r>
          </w:p>
        </w:tc>
        <w:tc>
          <w:tcPr>
            <w:tcW w:w="756" w:type="pct"/>
            <w:tcMar>
              <w:left w:w="28" w:type="dxa"/>
              <w:right w:w="28" w:type="dxa"/>
            </w:tcMar>
            <w:vAlign w:val="center"/>
          </w:tcPr>
          <w:p w14:paraId="7827A531">
            <w:pPr>
              <w:pStyle w:val="34"/>
            </w:pPr>
            <w:r>
              <w:t>新增</w:t>
            </w:r>
          </w:p>
        </w:tc>
      </w:tr>
      <w:tr w14:paraId="61A3D9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Merge w:val="continue"/>
            <w:vAlign w:val="center"/>
          </w:tcPr>
          <w:p w14:paraId="2E8F1062">
            <w:pPr>
              <w:pStyle w:val="34"/>
            </w:pPr>
          </w:p>
        </w:tc>
        <w:tc>
          <w:tcPr>
            <w:tcW w:w="732" w:type="pct"/>
            <w:tcMar>
              <w:left w:w="28" w:type="dxa"/>
              <w:right w:w="28" w:type="dxa"/>
            </w:tcMar>
            <w:vAlign w:val="center"/>
          </w:tcPr>
          <w:p w14:paraId="41744E94">
            <w:pPr>
              <w:pStyle w:val="34"/>
            </w:pPr>
            <w:r>
              <w:t>人员培训</w:t>
            </w:r>
          </w:p>
        </w:tc>
        <w:tc>
          <w:tcPr>
            <w:tcW w:w="1312" w:type="pct"/>
            <w:tcMar>
              <w:left w:w="28" w:type="dxa"/>
              <w:right w:w="28" w:type="dxa"/>
            </w:tcMar>
            <w:vAlign w:val="center"/>
          </w:tcPr>
          <w:p w14:paraId="25F7487A">
            <w:pPr>
              <w:pStyle w:val="34"/>
            </w:pPr>
            <w:r>
              <w:t>施工单位、管理单位、应急队伍、有关人员环保业务培训</w:t>
            </w:r>
          </w:p>
        </w:tc>
        <w:tc>
          <w:tcPr>
            <w:tcW w:w="912" w:type="pct"/>
            <w:tcMar>
              <w:left w:w="28" w:type="dxa"/>
              <w:right w:w="28" w:type="dxa"/>
            </w:tcMar>
            <w:vAlign w:val="center"/>
          </w:tcPr>
          <w:p w14:paraId="1AA43974">
            <w:pPr>
              <w:pStyle w:val="34"/>
            </w:pPr>
            <w:r>
              <w:rPr>
                <w:rFonts w:hint="eastAsia"/>
              </w:rPr>
              <w:t>2</w:t>
            </w:r>
            <w:r>
              <w:t>.00</w:t>
            </w:r>
          </w:p>
        </w:tc>
        <w:tc>
          <w:tcPr>
            <w:tcW w:w="949" w:type="pct"/>
            <w:tcMar>
              <w:left w:w="28" w:type="dxa"/>
              <w:right w:w="28" w:type="dxa"/>
            </w:tcMar>
            <w:vAlign w:val="center"/>
          </w:tcPr>
          <w:p w14:paraId="293CD568">
            <w:pPr>
              <w:pStyle w:val="34"/>
            </w:pPr>
            <w:r>
              <w:t>提高环境管理人员的业务水平和应急能力</w:t>
            </w:r>
          </w:p>
        </w:tc>
        <w:tc>
          <w:tcPr>
            <w:tcW w:w="756" w:type="pct"/>
            <w:tcMar>
              <w:left w:w="28" w:type="dxa"/>
              <w:right w:w="28" w:type="dxa"/>
            </w:tcMar>
            <w:vAlign w:val="center"/>
          </w:tcPr>
          <w:p w14:paraId="1DD3CE73">
            <w:pPr>
              <w:pStyle w:val="34"/>
            </w:pPr>
            <w:r>
              <w:t>新增</w:t>
            </w:r>
          </w:p>
        </w:tc>
      </w:tr>
      <w:tr w14:paraId="74A678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Merge w:val="continue"/>
            <w:vAlign w:val="center"/>
          </w:tcPr>
          <w:p w14:paraId="65CFBDE2">
            <w:pPr>
              <w:pStyle w:val="34"/>
            </w:pPr>
          </w:p>
        </w:tc>
        <w:tc>
          <w:tcPr>
            <w:tcW w:w="732" w:type="pct"/>
            <w:tcMar>
              <w:left w:w="28" w:type="dxa"/>
              <w:right w:w="28" w:type="dxa"/>
            </w:tcMar>
            <w:vAlign w:val="center"/>
          </w:tcPr>
          <w:p w14:paraId="6DB470D3">
            <w:pPr>
              <w:pStyle w:val="34"/>
            </w:pPr>
            <w:r>
              <w:t>竣工环保验收</w:t>
            </w:r>
          </w:p>
        </w:tc>
        <w:tc>
          <w:tcPr>
            <w:tcW w:w="1312" w:type="pct"/>
            <w:tcMar>
              <w:left w:w="28" w:type="dxa"/>
              <w:right w:w="28" w:type="dxa"/>
            </w:tcMar>
            <w:vAlign w:val="center"/>
          </w:tcPr>
          <w:p w14:paraId="3E5933CE">
            <w:pPr>
              <w:pStyle w:val="34"/>
            </w:pPr>
            <w:r>
              <w:t>组织环保设施及其监测竣工验收</w:t>
            </w:r>
          </w:p>
        </w:tc>
        <w:tc>
          <w:tcPr>
            <w:tcW w:w="912" w:type="pct"/>
            <w:tcMar>
              <w:left w:w="28" w:type="dxa"/>
              <w:right w:w="28" w:type="dxa"/>
            </w:tcMar>
            <w:vAlign w:val="center"/>
          </w:tcPr>
          <w:p w14:paraId="7F254810">
            <w:pPr>
              <w:pStyle w:val="34"/>
            </w:pPr>
            <w:r>
              <w:t>50.00</w:t>
            </w:r>
          </w:p>
        </w:tc>
        <w:tc>
          <w:tcPr>
            <w:tcW w:w="949" w:type="pct"/>
            <w:tcMar>
              <w:left w:w="28" w:type="dxa"/>
              <w:right w:w="28" w:type="dxa"/>
            </w:tcMar>
            <w:vAlign w:val="center"/>
          </w:tcPr>
          <w:p w14:paraId="544A9309">
            <w:pPr>
              <w:pStyle w:val="34"/>
            </w:pPr>
            <w:r>
              <w:t>环保管理要求</w:t>
            </w:r>
          </w:p>
        </w:tc>
        <w:tc>
          <w:tcPr>
            <w:tcW w:w="756" w:type="pct"/>
            <w:tcMar>
              <w:left w:w="28" w:type="dxa"/>
              <w:right w:w="28" w:type="dxa"/>
            </w:tcMar>
            <w:vAlign w:val="center"/>
          </w:tcPr>
          <w:p w14:paraId="4BF7989C">
            <w:pPr>
              <w:pStyle w:val="34"/>
            </w:pPr>
            <w:r>
              <w:t>新增</w:t>
            </w:r>
          </w:p>
        </w:tc>
      </w:tr>
      <w:tr w14:paraId="3135CA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71" w:type="pct"/>
            <w:gridSpan w:val="2"/>
            <w:vAlign w:val="center"/>
          </w:tcPr>
          <w:p w14:paraId="3166F30C">
            <w:pPr>
              <w:pStyle w:val="34"/>
            </w:pPr>
            <w:r>
              <w:t>不可预见费用</w:t>
            </w:r>
          </w:p>
        </w:tc>
        <w:tc>
          <w:tcPr>
            <w:tcW w:w="1312" w:type="pct"/>
            <w:tcMar>
              <w:left w:w="28" w:type="dxa"/>
              <w:right w:w="28" w:type="dxa"/>
            </w:tcMar>
            <w:vAlign w:val="center"/>
          </w:tcPr>
          <w:p w14:paraId="5586DA2A">
            <w:pPr>
              <w:pStyle w:val="34"/>
            </w:pPr>
            <w:r>
              <w:t>突发性事故监测</w:t>
            </w:r>
            <w:r>
              <w:rPr>
                <w:rFonts w:hint="eastAsia"/>
              </w:rPr>
              <w:t>等</w:t>
            </w:r>
          </w:p>
        </w:tc>
        <w:tc>
          <w:tcPr>
            <w:tcW w:w="912" w:type="pct"/>
            <w:tcMar>
              <w:left w:w="28" w:type="dxa"/>
              <w:right w:w="28" w:type="dxa"/>
            </w:tcMar>
            <w:vAlign w:val="center"/>
          </w:tcPr>
          <w:p w14:paraId="316C700D">
            <w:pPr>
              <w:pStyle w:val="34"/>
            </w:pPr>
            <w:r>
              <w:rPr>
                <w:rFonts w:hint="eastAsia"/>
              </w:rPr>
              <w:t>1</w:t>
            </w:r>
            <w:r>
              <w:t>00.00</w:t>
            </w:r>
          </w:p>
        </w:tc>
        <w:tc>
          <w:tcPr>
            <w:tcW w:w="949" w:type="pct"/>
            <w:tcMar>
              <w:left w:w="28" w:type="dxa"/>
              <w:right w:w="28" w:type="dxa"/>
            </w:tcMar>
            <w:vAlign w:val="center"/>
          </w:tcPr>
          <w:p w14:paraId="281360B1">
            <w:pPr>
              <w:pStyle w:val="34"/>
            </w:pPr>
            <w:r>
              <w:rPr>
                <w:rFonts w:hint="eastAsia"/>
              </w:rPr>
              <w:t>/</w:t>
            </w:r>
          </w:p>
        </w:tc>
        <w:tc>
          <w:tcPr>
            <w:tcW w:w="756" w:type="pct"/>
            <w:tcMar>
              <w:left w:w="28" w:type="dxa"/>
              <w:right w:w="28" w:type="dxa"/>
            </w:tcMar>
            <w:vAlign w:val="center"/>
          </w:tcPr>
          <w:p w14:paraId="0A712219">
            <w:pPr>
              <w:pStyle w:val="34"/>
            </w:pPr>
            <w:r>
              <w:t>预留</w:t>
            </w:r>
          </w:p>
        </w:tc>
      </w:tr>
      <w:tr w14:paraId="5A78F7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83" w:type="pct"/>
            <w:gridSpan w:val="3"/>
            <w:vAlign w:val="center"/>
          </w:tcPr>
          <w:p w14:paraId="77AA9EFB">
            <w:pPr>
              <w:pStyle w:val="34"/>
              <w:rPr>
                <w:u w:val="single"/>
              </w:rPr>
            </w:pPr>
            <w:r>
              <w:rPr>
                <w:u w:val="single"/>
              </w:rPr>
              <w:t>合计</w:t>
            </w:r>
          </w:p>
        </w:tc>
        <w:tc>
          <w:tcPr>
            <w:tcW w:w="912" w:type="pct"/>
            <w:tcMar>
              <w:left w:w="28" w:type="dxa"/>
              <w:right w:w="28" w:type="dxa"/>
            </w:tcMar>
            <w:vAlign w:val="center"/>
          </w:tcPr>
          <w:p w14:paraId="67A1FAFE">
            <w:pPr>
              <w:pStyle w:val="34"/>
              <w:rPr>
                <w:u w:val="single"/>
              </w:rPr>
            </w:pPr>
            <w:r>
              <w:rPr>
                <w:rFonts w:hint="eastAsia"/>
                <w:u w:val="single"/>
              </w:rPr>
              <w:t>1051.53</w:t>
            </w:r>
          </w:p>
        </w:tc>
        <w:tc>
          <w:tcPr>
            <w:tcW w:w="949" w:type="pct"/>
            <w:tcMar>
              <w:left w:w="28" w:type="dxa"/>
              <w:right w:w="28" w:type="dxa"/>
            </w:tcMar>
            <w:vAlign w:val="center"/>
          </w:tcPr>
          <w:p w14:paraId="4C26CD32">
            <w:pPr>
              <w:pStyle w:val="34"/>
              <w:rPr>
                <w:u w:val="single"/>
              </w:rPr>
            </w:pPr>
          </w:p>
        </w:tc>
        <w:tc>
          <w:tcPr>
            <w:tcW w:w="756" w:type="pct"/>
            <w:tcMar>
              <w:left w:w="28" w:type="dxa"/>
              <w:right w:w="28" w:type="dxa"/>
            </w:tcMar>
            <w:vAlign w:val="center"/>
          </w:tcPr>
          <w:p w14:paraId="079AD8B9">
            <w:pPr>
              <w:pStyle w:val="34"/>
              <w:rPr>
                <w:u w:val="single"/>
              </w:rPr>
            </w:pPr>
          </w:p>
        </w:tc>
      </w:tr>
    </w:tbl>
    <w:p w14:paraId="6DC3FE65">
      <w:pPr>
        <w:ind w:firstLine="462"/>
      </w:pPr>
    </w:p>
    <w:p w14:paraId="2A2121EA">
      <w:pPr>
        <w:ind w:firstLine="462"/>
        <w:sectPr>
          <w:headerReference r:id="rId28" w:type="even"/>
          <w:pgSz w:w="11907" w:h="16840"/>
          <w:pgMar w:top="1440" w:right="1514" w:bottom="1440" w:left="1797" w:header="992" w:footer="851" w:gutter="284"/>
          <w:pgNumType w:fmt="numberInDash"/>
          <w:cols w:space="425" w:num="1"/>
          <w:docGrid w:type="linesAndChars" w:linePitch="465" w:charSpace="-1866"/>
        </w:sectPr>
      </w:pPr>
    </w:p>
    <w:p w14:paraId="0326FE9A">
      <w:pPr>
        <w:pStyle w:val="3"/>
        <w:ind w:firstLine="705"/>
      </w:pPr>
      <w:bookmarkStart w:id="651" w:name="_Toc317003290"/>
      <w:bookmarkStart w:id="652" w:name="_Toc269375485"/>
      <w:bookmarkStart w:id="653" w:name="_Toc198042345"/>
      <w:bookmarkStart w:id="654" w:name="_Toc217977942"/>
      <w:bookmarkStart w:id="655" w:name="_Toc317003570"/>
      <w:bookmarkStart w:id="656" w:name="_Toc269375480"/>
      <w:bookmarkStart w:id="657" w:name="_Toc317003286"/>
      <w:bookmarkStart w:id="658" w:name="_Toc317003566"/>
      <w:r>
        <w:t>环境影响经济损益分析</w:t>
      </w:r>
      <w:bookmarkEnd w:id="651"/>
      <w:bookmarkEnd w:id="652"/>
      <w:bookmarkEnd w:id="653"/>
      <w:bookmarkEnd w:id="654"/>
      <w:bookmarkEnd w:id="655"/>
      <w:bookmarkStart w:id="659" w:name="_Toc57967332"/>
    </w:p>
    <w:p w14:paraId="0A01FA2B">
      <w:pPr>
        <w:pStyle w:val="4"/>
      </w:pPr>
      <w:bookmarkStart w:id="660" w:name="_Toc217977943"/>
      <w:bookmarkStart w:id="661" w:name="_Toc160855126"/>
      <w:bookmarkStart w:id="662" w:name="_Toc269375486"/>
      <w:bookmarkStart w:id="663" w:name="_Toc160856081"/>
      <w:bookmarkStart w:id="664" w:name="_Toc125384813"/>
      <w:bookmarkStart w:id="665" w:name="_Toc317003571"/>
      <w:bookmarkStart w:id="666" w:name="_Toc160857399"/>
      <w:bookmarkStart w:id="667" w:name="_Toc198042346"/>
      <w:bookmarkStart w:id="668" w:name="_Toc317003291"/>
      <w:r>
        <w:t>项目建设带来的环境损失</w:t>
      </w:r>
      <w:bookmarkEnd w:id="659"/>
      <w:bookmarkEnd w:id="660"/>
      <w:bookmarkEnd w:id="661"/>
      <w:bookmarkEnd w:id="662"/>
      <w:bookmarkEnd w:id="663"/>
      <w:bookmarkEnd w:id="664"/>
      <w:bookmarkEnd w:id="665"/>
      <w:bookmarkEnd w:id="666"/>
      <w:bookmarkEnd w:id="667"/>
      <w:bookmarkEnd w:id="668"/>
    </w:p>
    <w:p w14:paraId="08E6FB26">
      <w:pPr>
        <w:ind w:firstLine="462"/>
      </w:pPr>
      <w:r>
        <w:t>项目带来的环境损失主要表现在如下几个方面：</w:t>
      </w:r>
    </w:p>
    <w:p w14:paraId="203D9BC4">
      <w:pPr>
        <w:ind w:firstLine="462"/>
      </w:pPr>
      <w:r>
        <w:t>（1）陆域施工期对周边大气及声环境造成一定影响，但不会对环境保护目标产生污染影响，而且这些影响都将随着施工期的结束而在短期内消失。施工车辆的进出将给当地的公路交通运输造成一定的干扰。</w:t>
      </w:r>
    </w:p>
    <w:p w14:paraId="768D76E9">
      <w:pPr>
        <w:ind w:firstLine="462"/>
      </w:pPr>
      <w:r>
        <w:t>（2）运营期陆域生活污水、生产废水若直接排放会对附近海域水质造成污染影响。到港船舶事故性排放含油舱底水将对水环境产生污染影响。港区</w:t>
      </w:r>
      <w:r>
        <w:rPr>
          <w:rFonts w:hint="eastAsia"/>
        </w:rPr>
        <w:t>集装箱</w:t>
      </w:r>
      <w:r>
        <w:t>装卸作业扬尘，装卸机械废气以及船舶废气等对环境空气有轻微的影响。港区装卸机械作业噪声会对局部区域产生污染影响。</w:t>
      </w:r>
    </w:p>
    <w:p w14:paraId="2C17B13F">
      <w:pPr>
        <w:pStyle w:val="4"/>
      </w:pPr>
      <w:bookmarkStart w:id="669" w:name="_Toc198042347"/>
      <w:bookmarkStart w:id="670" w:name="_Toc317003572"/>
      <w:bookmarkStart w:id="671" w:name="_Toc217977944"/>
      <w:bookmarkStart w:id="672" w:name="_Toc312860817"/>
      <w:bookmarkStart w:id="673" w:name="_Toc317003292"/>
      <w:r>
        <w:t>环境经济效益分析</w:t>
      </w:r>
      <w:bookmarkEnd w:id="669"/>
      <w:bookmarkEnd w:id="670"/>
      <w:bookmarkEnd w:id="671"/>
      <w:bookmarkEnd w:id="672"/>
      <w:bookmarkEnd w:id="673"/>
    </w:p>
    <w:p w14:paraId="23F7873E">
      <w:pPr>
        <w:ind w:firstLine="462"/>
      </w:pPr>
      <w:r>
        <w:t>（1）本项目生活污水经处理后实现零排放，可以减少污水排放对环境的影响，降低水污染损失。</w:t>
      </w:r>
    </w:p>
    <w:p w14:paraId="6A0C28B1">
      <w:pPr>
        <w:ind w:firstLine="462"/>
      </w:pPr>
      <w:r>
        <w:t>（2）在采取</w:t>
      </w:r>
      <w:r>
        <w:rPr>
          <w:rFonts w:hint="eastAsia"/>
        </w:rPr>
        <w:t>运输</w:t>
      </w:r>
      <w:r>
        <w:t>、装卸洒水抑尘以及清扫、洒水等措施后，将会减</w:t>
      </w:r>
      <w:r>
        <w:rPr>
          <w:rFonts w:hint="eastAsia"/>
        </w:rPr>
        <w:t>少</w:t>
      </w:r>
      <w:r>
        <w:t>装卸扬尘、道路扬尘等对人身体的危害。</w:t>
      </w:r>
    </w:p>
    <w:p w14:paraId="6F81FFF7">
      <w:pPr>
        <w:ind w:firstLine="462"/>
      </w:pPr>
      <w:r>
        <w:t>（3）本项目的绿化工程将会改善港区的景观环境，并能起到减缓噪声影响、改善周边地区环境空气的作用。</w:t>
      </w:r>
    </w:p>
    <w:p w14:paraId="6945959F">
      <w:pPr>
        <w:pStyle w:val="4"/>
      </w:pPr>
      <w:bookmarkStart w:id="674" w:name="_Toc312860818"/>
      <w:bookmarkStart w:id="675" w:name="_Toc317003573"/>
      <w:bookmarkStart w:id="676" w:name="_Toc198042348"/>
      <w:bookmarkStart w:id="677" w:name="_Toc317003293"/>
      <w:bookmarkStart w:id="678" w:name="_Toc217977945"/>
      <w:r>
        <w:t>工程经济和社会效益分析</w:t>
      </w:r>
      <w:bookmarkEnd w:id="674"/>
      <w:bookmarkEnd w:id="675"/>
      <w:bookmarkEnd w:id="676"/>
      <w:bookmarkEnd w:id="677"/>
      <w:bookmarkEnd w:id="678"/>
    </w:p>
    <w:p w14:paraId="2D89EE5F">
      <w:pPr>
        <w:ind w:firstLine="462"/>
      </w:pPr>
      <w:r>
        <w:t>根据项目《</w:t>
      </w:r>
      <w:r>
        <w:rPr>
          <w:rFonts w:hint="eastAsia"/>
        </w:rPr>
        <w:t>工可</w:t>
      </w:r>
      <w:r>
        <w:t>》报告，本项目的国民经济内部收益率</w:t>
      </w:r>
      <w:r>
        <w:rPr>
          <w:rFonts w:hint="eastAsia"/>
        </w:rPr>
        <w:t>为8.04</w:t>
      </w:r>
      <w:r>
        <w:t>%，高于</w:t>
      </w:r>
      <w:r>
        <w:rPr>
          <w:rFonts w:hint="eastAsia"/>
        </w:rPr>
        <w:t>5</w:t>
      </w:r>
      <w:r>
        <w:t xml:space="preserve">%的社会折现率，这说明本项目具有良好的国民经济效益。而且，除了可量化的直接效益外，它还具有可观的间接效益和社会效益，如可以增加就业率、繁荣地方经济等。 </w:t>
      </w:r>
    </w:p>
    <w:p w14:paraId="1F8A84C9">
      <w:pPr>
        <w:ind w:firstLine="462"/>
      </w:pPr>
      <w:r>
        <w:t>从经济敏感性分析看，本项目具有良好的抗风险性。因此，从国民经济角度考虑，本项目的建设是可行的。</w:t>
      </w:r>
    </w:p>
    <w:p w14:paraId="0D264665">
      <w:pPr>
        <w:ind w:firstLine="462"/>
        <w:sectPr>
          <w:headerReference r:id="rId29" w:type="default"/>
          <w:headerReference r:id="rId30" w:type="even"/>
          <w:pgSz w:w="11907" w:h="16840"/>
          <w:pgMar w:top="1440" w:right="1514" w:bottom="1440" w:left="1797" w:header="992" w:footer="851" w:gutter="284"/>
          <w:pgNumType w:fmt="numberInDash"/>
          <w:cols w:space="425" w:num="1"/>
          <w:docGrid w:type="linesAndChars" w:linePitch="465" w:charSpace="-1866"/>
        </w:sectPr>
      </w:pPr>
      <w:r>
        <w:t>从可研报告中财务指标测算结果上看，本项目全部投资所得税</w:t>
      </w:r>
      <w:r>
        <w:rPr>
          <w:rFonts w:hint="eastAsia"/>
        </w:rPr>
        <w:t>前</w:t>
      </w:r>
      <w:r>
        <w:t>内部收益率为</w:t>
      </w:r>
      <w:r>
        <w:rPr>
          <w:rFonts w:hint="eastAsia"/>
        </w:rPr>
        <w:t>7.24</w:t>
      </w:r>
      <w:r>
        <w:t>％，高于</w:t>
      </w:r>
      <w:r>
        <w:rPr>
          <w:rFonts w:hint="eastAsia"/>
        </w:rPr>
        <w:t>7</w:t>
      </w:r>
      <w:r>
        <w:t>%的行业平均收益率水平。说明本项目具有较好的财务盈利能力。</w:t>
      </w:r>
    </w:p>
    <w:bookmarkEnd w:id="656"/>
    <w:bookmarkEnd w:id="657"/>
    <w:bookmarkEnd w:id="658"/>
    <w:p w14:paraId="5A996A94">
      <w:pPr>
        <w:pStyle w:val="3"/>
        <w:ind w:firstLine="705"/>
      </w:pPr>
      <w:bookmarkStart w:id="679" w:name="_Toc198042349"/>
      <w:bookmarkStart w:id="680" w:name="_Toc217977946"/>
      <w:r>
        <w:t>环境保护管理与环境监控计划</w:t>
      </w:r>
      <w:bookmarkEnd w:id="679"/>
      <w:bookmarkEnd w:id="680"/>
    </w:p>
    <w:p w14:paraId="4A9AA4E1">
      <w:pPr>
        <w:pStyle w:val="4"/>
      </w:pPr>
      <w:bookmarkStart w:id="681" w:name="_Toc125384808"/>
      <w:bookmarkStart w:id="682" w:name="_Toc317003287"/>
      <w:bookmarkStart w:id="683" w:name="_Toc160857373"/>
      <w:bookmarkStart w:id="684" w:name="_Toc317003567"/>
      <w:bookmarkStart w:id="685" w:name="_Toc160855100"/>
      <w:bookmarkStart w:id="686" w:name="_Toc269375481"/>
      <w:bookmarkStart w:id="687" w:name="_Toc160856055"/>
      <w:bookmarkStart w:id="688" w:name="_Toc198042350"/>
      <w:bookmarkStart w:id="689" w:name="_Toc217977947"/>
      <w:r>
        <w:t>环境管理</w:t>
      </w:r>
      <w:bookmarkEnd w:id="681"/>
      <w:bookmarkEnd w:id="682"/>
      <w:bookmarkEnd w:id="683"/>
      <w:bookmarkEnd w:id="684"/>
      <w:bookmarkEnd w:id="685"/>
      <w:bookmarkEnd w:id="686"/>
      <w:bookmarkEnd w:id="687"/>
      <w:bookmarkEnd w:id="688"/>
      <w:bookmarkEnd w:id="689"/>
    </w:p>
    <w:p w14:paraId="29B421E8">
      <w:pPr>
        <w:pStyle w:val="5"/>
      </w:pPr>
      <w:bookmarkStart w:id="690" w:name="_Toc474771349"/>
      <w:bookmarkStart w:id="691" w:name="_Toc477530875"/>
      <w:bookmarkStart w:id="692" w:name="_Toc317003288"/>
      <w:bookmarkStart w:id="693" w:name="_Toc301808261"/>
      <w:bookmarkStart w:id="694" w:name="_Toc317003568"/>
      <w:bookmarkStart w:id="695" w:name="_Toc260909485"/>
      <w:bookmarkStart w:id="696" w:name="_Toc303949965"/>
      <w:r>
        <w:t>环境管理机构</w:t>
      </w:r>
      <w:r>
        <w:rPr>
          <w:rFonts w:hint="eastAsia"/>
        </w:rPr>
        <w:t>与职责</w:t>
      </w:r>
    </w:p>
    <w:p w14:paraId="7E8596C5">
      <w:pPr>
        <w:ind w:firstLine="462"/>
      </w:pPr>
      <w:r>
        <w:t>根据《环境保护法》，</w:t>
      </w:r>
      <w:r>
        <w:rPr>
          <w:rFonts w:hint="eastAsia"/>
        </w:rPr>
        <w:t>建设</w:t>
      </w:r>
      <w:r>
        <w:t>单位在生产和经营中防止污染、保护生态环境是其重要职责。为做好本工程环境保护工作，建设单位应设置环境管理机构</w:t>
      </w:r>
      <w:r>
        <w:rPr>
          <w:rFonts w:hint="eastAsia"/>
        </w:rPr>
        <w:t>和专职环境管理人员</w:t>
      </w:r>
      <w:r>
        <w:t>，负责监督和管理本工程各项环境保护措施的落实，施工期环境</w:t>
      </w:r>
      <w:r>
        <w:rPr>
          <w:rFonts w:hint="eastAsia"/>
        </w:rPr>
        <w:t>管理和</w:t>
      </w:r>
      <w:r>
        <w:t>竣工环保验收</w:t>
      </w:r>
      <w:r>
        <w:rPr>
          <w:rFonts w:hint="eastAsia"/>
        </w:rPr>
        <w:t>工作</w:t>
      </w:r>
      <w:r>
        <w:t>。</w:t>
      </w:r>
    </w:p>
    <w:p w14:paraId="65F60D6F">
      <w:pPr>
        <w:ind w:firstLine="462"/>
      </w:pPr>
      <w:r>
        <w:t>建设单位环保管理机构的</w:t>
      </w:r>
      <w:r>
        <w:rPr>
          <w:rFonts w:hint="eastAsia"/>
        </w:rPr>
        <w:t>主要</w:t>
      </w:r>
      <w:r>
        <w:t>职责</w:t>
      </w:r>
      <w:r>
        <w:rPr>
          <w:rFonts w:hint="eastAsia"/>
        </w:rPr>
        <w:t>包括</w:t>
      </w:r>
      <w:r>
        <w:t>：</w:t>
      </w:r>
      <w:r>
        <w:rPr>
          <w:rFonts w:hint="eastAsia"/>
        </w:rPr>
        <w:t>①制定各项环境管理制度，建立健全环境管理体系；②</w:t>
      </w:r>
      <w:r>
        <w:t>宣传并执行国家有关环保法规</w:t>
      </w:r>
      <w:r>
        <w:rPr>
          <w:rFonts w:hint="eastAsia"/>
        </w:rPr>
        <w:t>政策</w:t>
      </w:r>
      <w:r>
        <w:t>；</w:t>
      </w:r>
      <w:r>
        <w:rPr>
          <w:rFonts w:hint="eastAsia"/>
        </w:rPr>
        <w:t>③</w:t>
      </w:r>
      <w:r>
        <w:t>加强日常环境管理工作，对整个施工过程实施全程环境管理，监督各项环保措施的落实</w:t>
      </w:r>
      <w:r>
        <w:rPr>
          <w:rFonts w:hint="eastAsia"/>
        </w:rPr>
        <w:t>，防止</w:t>
      </w:r>
      <w:r>
        <w:t>污染事故的发生；</w:t>
      </w:r>
      <w:r>
        <w:rPr>
          <w:rFonts w:hint="eastAsia"/>
        </w:rPr>
        <w:t>④</w:t>
      </w:r>
      <w:r>
        <w:t>加强与环境保护主管部门的沟通和联系，主动接受</w:t>
      </w:r>
      <w:r>
        <w:rPr>
          <w:rFonts w:hint="eastAsia"/>
        </w:rPr>
        <w:t>生态环境主管部门</w:t>
      </w:r>
      <w:r>
        <w:t>的管理、监督和指导；</w:t>
      </w:r>
      <w:r>
        <w:rPr>
          <w:rFonts w:hint="eastAsia"/>
        </w:rPr>
        <w:t>⑤</w:t>
      </w:r>
      <w:r>
        <w:t>按</w:t>
      </w:r>
      <w:r>
        <w:rPr>
          <w:rFonts w:hint="eastAsia"/>
        </w:rPr>
        <w:t>生态环境主管部门</w:t>
      </w:r>
      <w:r>
        <w:t>规定和要求填报各种环境管理报表；</w:t>
      </w:r>
      <w:r>
        <w:rPr>
          <w:rFonts w:hint="eastAsia"/>
        </w:rPr>
        <w:t>⑥</w:t>
      </w:r>
      <w:r>
        <w:t>协调处理因本</w:t>
      </w:r>
      <w:r>
        <w:rPr>
          <w:rFonts w:hint="eastAsia"/>
        </w:rPr>
        <w:t>工程</w:t>
      </w:r>
      <w:r>
        <w:t>所产生的环境问题</w:t>
      </w:r>
      <w:r>
        <w:rPr>
          <w:rFonts w:hint="eastAsia"/>
        </w:rPr>
        <w:t>；⑦执行环境信息公开制度。</w:t>
      </w:r>
    </w:p>
    <w:p w14:paraId="2B6E3D8F">
      <w:pPr>
        <w:pStyle w:val="5"/>
      </w:pPr>
      <w:r>
        <w:rPr>
          <w:rFonts w:hint="eastAsia"/>
        </w:rPr>
        <w:t>建设单位施工期环境管理</w:t>
      </w:r>
    </w:p>
    <w:p w14:paraId="3F3C4F72">
      <w:pPr>
        <w:ind w:firstLine="462"/>
      </w:pPr>
      <w:bookmarkStart w:id="697" w:name="_Toc391899478"/>
      <w:bookmarkStart w:id="698" w:name="_Toc388948596"/>
      <w:r>
        <w:t>为了有效保护项目拟建址所在区域环境质量，切实保证本报告提出各项施工期环境保护措施的落实，施工单位应设置环境保护管理机构，</w:t>
      </w:r>
      <w:r>
        <w:rPr>
          <w:rFonts w:hint="eastAsia"/>
        </w:rPr>
        <w:t>建设单位监督施工单位落实各项环境保护措施，开展施工期监理（含环保相关内容），做好主要环境保护措施技术交底，确保施工过程中各项环保措施落实到位，并且配合环境保护主管部门对项目施工实施监督、管理和指导。根据本报告提出的污染防治措施和对策，制定出切实可行的环境污染防治办法和措施。</w:t>
      </w:r>
    </w:p>
    <w:p w14:paraId="07C0A09C">
      <w:pPr>
        <w:ind w:firstLine="462"/>
        <w:jc w:val="left"/>
      </w:pPr>
      <w:r>
        <w:t>项目建设单位环保管理机构的职责如下：</w:t>
      </w:r>
    </w:p>
    <w:p w14:paraId="03DE2C22">
      <w:pPr>
        <w:numPr>
          <w:ilvl w:val="0"/>
          <w:numId w:val="57"/>
        </w:numPr>
        <w:ind w:firstLine="462"/>
        <w:jc w:val="left"/>
      </w:pPr>
      <w:r>
        <w:t>宣传并执行国家有关环保法规、条例、标准，并监督有关部门执行。</w:t>
      </w:r>
    </w:p>
    <w:p w14:paraId="7D4FD550">
      <w:pPr>
        <w:numPr>
          <w:ilvl w:val="0"/>
          <w:numId w:val="57"/>
        </w:numPr>
        <w:ind w:firstLine="462"/>
        <w:jc w:val="left"/>
      </w:pPr>
      <w:r>
        <w:t>负责本项目的环境保护管理工作，监督各项环保措施的落实与执行情况</w:t>
      </w:r>
      <w:r>
        <w:rPr>
          <w:rFonts w:hint="eastAsia"/>
        </w:rPr>
        <w:t>。</w:t>
      </w:r>
    </w:p>
    <w:p w14:paraId="7AB74A68">
      <w:pPr>
        <w:numPr>
          <w:ilvl w:val="0"/>
          <w:numId w:val="57"/>
        </w:numPr>
        <w:ind w:firstLine="462"/>
        <w:jc w:val="left"/>
      </w:pPr>
      <w:r>
        <w:t>在施工地点，应由</w:t>
      </w:r>
      <w:r>
        <w:rPr>
          <w:rFonts w:hint="eastAsia"/>
        </w:rPr>
        <w:t>施工</w:t>
      </w:r>
      <w:r>
        <w:t>监理人员在施工现场跟踪监控管理，监察环保设施设置与实施情况。</w:t>
      </w:r>
    </w:p>
    <w:p w14:paraId="64AE6ACB">
      <w:pPr>
        <w:numPr>
          <w:ilvl w:val="0"/>
          <w:numId w:val="57"/>
        </w:numPr>
        <w:ind w:firstLine="462"/>
        <w:jc w:val="left"/>
      </w:pPr>
      <w:r>
        <w:t>按</w:t>
      </w:r>
      <w:r>
        <w:rPr>
          <w:rFonts w:hint="eastAsia"/>
        </w:rPr>
        <w:t>环保部门</w:t>
      </w:r>
      <w:r>
        <w:t>规定和要求填报各种环境管理报表。</w:t>
      </w:r>
    </w:p>
    <w:p w14:paraId="1243E70F">
      <w:pPr>
        <w:numPr>
          <w:ilvl w:val="0"/>
          <w:numId w:val="57"/>
        </w:numPr>
        <w:ind w:firstLine="462"/>
        <w:jc w:val="left"/>
      </w:pPr>
      <w:r>
        <w:t>建设单位自行进行环保设施竣工验收。</w:t>
      </w:r>
    </w:p>
    <w:p w14:paraId="5203E0D9">
      <w:pPr>
        <w:numPr>
          <w:ilvl w:val="0"/>
          <w:numId w:val="57"/>
        </w:numPr>
        <w:ind w:firstLine="462"/>
        <w:jc w:val="left"/>
      </w:pPr>
      <w:r>
        <w:t>负责对污染事故的调查、监测分析工作，并写出调查报告。</w:t>
      </w:r>
    </w:p>
    <w:p w14:paraId="79D5B9B9">
      <w:pPr>
        <w:numPr>
          <w:ilvl w:val="0"/>
          <w:numId w:val="57"/>
        </w:numPr>
        <w:ind w:firstLine="462"/>
        <w:jc w:val="left"/>
      </w:pPr>
      <w:r>
        <w:t>协调、处理因本项目所产生的环境问题而引起的各种投诉，并达成相应的谅解措施。</w:t>
      </w:r>
    </w:p>
    <w:p w14:paraId="1742E6B2">
      <w:pPr>
        <w:numPr>
          <w:ilvl w:val="0"/>
          <w:numId w:val="57"/>
        </w:numPr>
        <w:ind w:firstLine="462"/>
        <w:jc w:val="left"/>
      </w:pPr>
      <w:r>
        <w:rPr>
          <w:rFonts w:hint="eastAsia"/>
        </w:rPr>
        <w:t>落实环境监测工作及监测计划的实施。</w:t>
      </w:r>
    </w:p>
    <w:bookmarkEnd w:id="697"/>
    <w:bookmarkEnd w:id="698"/>
    <w:p w14:paraId="7C98F122">
      <w:pPr>
        <w:pStyle w:val="4"/>
      </w:pPr>
      <w:bookmarkStart w:id="699" w:name="_Toc217977948"/>
      <w:bookmarkStart w:id="700" w:name="_Toc198042351"/>
      <w:r>
        <w:t>项目污染物排放清单及管理要求</w:t>
      </w:r>
      <w:bookmarkEnd w:id="690"/>
      <w:bookmarkEnd w:id="691"/>
      <w:bookmarkEnd w:id="699"/>
      <w:bookmarkEnd w:id="700"/>
    </w:p>
    <w:p w14:paraId="1267A794">
      <w:pPr>
        <w:ind w:firstLine="462"/>
      </w:pPr>
      <w:r>
        <w:t>项目主要建设内容为港池疏浚、陆域形成</w:t>
      </w:r>
      <w:r>
        <w:rPr>
          <w:rFonts w:hint="eastAsia"/>
        </w:rPr>
        <w:t>、配套工程</w:t>
      </w:r>
      <w:r>
        <w:t>等</w:t>
      </w:r>
      <w:r>
        <w:rPr>
          <w:bCs/>
        </w:rPr>
        <w:t>。</w:t>
      </w:r>
      <w:r>
        <w:t>施工期主要影响为污水、大气、噪声、固体废物影响；正常运营期主要为生活污水、车辆废气、</w:t>
      </w:r>
      <w:r>
        <w:rPr>
          <w:rFonts w:hint="eastAsia"/>
        </w:rPr>
        <w:t>机械</w:t>
      </w:r>
      <w:r>
        <w:t>噪声和固体废物影响。</w:t>
      </w:r>
    </w:p>
    <w:p w14:paraId="5D990931">
      <w:pPr>
        <w:ind w:firstLine="462"/>
        <w:sectPr>
          <w:headerReference r:id="rId31" w:type="even"/>
          <w:pgSz w:w="11907" w:h="16840"/>
          <w:pgMar w:top="1440" w:right="1514" w:bottom="1440" w:left="1797" w:header="992" w:footer="851" w:gutter="284"/>
          <w:pgNumType w:fmt="numberInDash"/>
          <w:cols w:space="425" w:num="1"/>
          <w:docGrid w:type="linesAndChars" w:linePitch="465" w:charSpace="-1866"/>
        </w:sectPr>
      </w:pPr>
      <w:r>
        <w:rPr>
          <w:rFonts w:hint="eastAsia"/>
        </w:rPr>
        <w:t>根据建设项目排污特点，工程建成后主要污染物为陆域废污水、船舶废污水、固体废物等。根据国家总量控制指标体系要求和北部湾港总体规划环评中对总量控制的建议，结合本项目的污染物排放特点和本报告提出的环保对策，项目不设总量控制指标</w:t>
      </w:r>
      <w:r>
        <w:t>。</w:t>
      </w:r>
    </w:p>
    <w:p w14:paraId="7FCF5F68">
      <w:pPr>
        <w:pStyle w:val="212"/>
        <w:numPr>
          <w:ilvl w:val="4"/>
          <w:numId w:val="1"/>
        </w:num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本项目污染物排放清单及管理要求</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51"/>
        <w:gridCol w:w="694"/>
        <w:gridCol w:w="1502"/>
        <w:gridCol w:w="828"/>
        <w:gridCol w:w="1928"/>
        <w:gridCol w:w="1004"/>
        <w:gridCol w:w="1080"/>
        <w:gridCol w:w="1391"/>
        <w:gridCol w:w="2856"/>
        <w:gridCol w:w="2096"/>
      </w:tblGrid>
      <w:tr w14:paraId="5B6312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51" w:type="dxa"/>
            <w:tcMar>
              <w:left w:w="0" w:type="dxa"/>
              <w:right w:w="0" w:type="dxa"/>
            </w:tcMar>
            <w:vAlign w:val="center"/>
          </w:tcPr>
          <w:p w14:paraId="518C1CC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694" w:type="dxa"/>
            <w:tcMar>
              <w:left w:w="0" w:type="dxa"/>
              <w:right w:w="0" w:type="dxa"/>
            </w:tcMar>
            <w:vAlign w:val="center"/>
          </w:tcPr>
          <w:p w14:paraId="0739E6C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环境要素</w:t>
            </w:r>
          </w:p>
        </w:tc>
        <w:tc>
          <w:tcPr>
            <w:tcW w:w="1502" w:type="dxa"/>
            <w:tcMar>
              <w:left w:w="0" w:type="dxa"/>
              <w:right w:w="0" w:type="dxa"/>
            </w:tcMar>
            <w:vAlign w:val="center"/>
          </w:tcPr>
          <w:p w14:paraId="53570EE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污染源</w:t>
            </w:r>
          </w:p>
        </w:tc>
        <w:tc>
          <w:tcPr>
            <w:tcW w:w="828" w:type="dxa"/>
            <w:tcMar>
              <w:left w:w="0" w:type="dxa"/>
              <w:right w:w="0" w:type="dxa"/>
            </w:tcMar>
            <w:vAlign w:val="center"/>
          </w:tcPr>
          <w:p w14:paraId="4DE366A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工段</w:t>
            </w:r>
          </w:p>
        </w:tc>
        <w:tc>
          <w:tcPr>
            <w:tcW w:w="1928" w:type="dxa"/>
            <w:tcMar>
              <w:left w:w="0" w:type="dxa"/>
              <w:right w:w="0" w:type="dxa"/>
            </w:tcMar>
            <w:vAlign w:val="center"/>
          </w:tcPr>
          <w:p w14:paraId="27E5A0A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污染因子</w:t>
            </w:r>
          </w:p>
        </w:tc>
        <w:tc>
          <w:tcPr>
            <w:tcW w:w="1004" w:type="dxa"/>
            <w:tcMar>
              <w:left w:w="0" w:type="dxa"/>
              <w:right w:w="0" w:type="dxa"/>
            </w:tcMar>
            <w:vAlign w:val="center"/>
          </w:tcPr>
          <w:p w14:paraId="2F51294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产生量</w:t>
            </w:r>
          </w:p>
        </w:tc>
        <w:tc>
          <w:tcPr>
            <w:tcW w:w="1080" w:type="dxa"/>
            <w:tcMar>
              <w:left w:w="0" w:type="dxa"/>
              <w:right w:w="0" w:type="dxa"/>
            </w:tcMar>
            <w:vAlign w:val="center"/>
          </w:tcPr>
          <w:p w14:paraId="57A9068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排放浓度</w:t>
            </w:r>
          </w:p>
        </w:tc>
        <w:tc>
          <w:tcPr>
            <w:tcW w:w="1391" w:type="dxa"/>
            <w:tcMar>
              <w:left w:w="0" w:type="dxa"/>
              <w:right w:w="0" w:type="dxa"/>
            </w:tcMar>
            <w:vAlign w:val="center"/>
          </w:tcPr>
          <w:p w14:paraId="0A6CF178">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排放量</w:t>
            </w:r>
          </w:p>
        </w:tc>
        <w:tc>
          <w:tcPr>
            <w:tcW w:w="2856" w:type="dxa"/>
            <w:tcMar>
              <w:left w:w="0" w:type="dxa"/>
              <w:right w:w="0" w:type="dxa"/>
            </w:tcMar>
            <w:vAlign w:val="center"/>
          </w:tcPr>
          <w:p w14:paraId="10783C7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环境保护措施及排放去向</w:t>
            </w:r>
          </w:p>
        </w:tc>
        <w:tc>
          <w:tcPr>
            <w:tcW w:w="2096" w:type="dxa"/>
            <w:tcMar>
              <w:left w:w="0" w:type="dxa"/>
              <w:right w:w="0" w:type="dxa"/>
            </w:tcMar>
            <w:vAlign w:val="center"/>
          </w:tcPr>
          <w:p w14:paraId="6FB3AF9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执行标准</w:t>
            </w:r>
          </w:p>
        </w:tc>
      </w:tr>
      <w:tr w14:paraId="63D92A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restart"/>
            <w:tcMar>
              <w:left w:w="0" w:type="dxa"/>
              <w:right w:w="0" w:type="dxa"/>
            </w:tcMar>
            <w:vAlign w:val="center"/>
          </w:tcPr>
          <w:p w14:paraId="02C8091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694" w:type="dxa"/>
            <w:vMerge w:val="restart"/>
            <w:tcMar>
              <w:left w:w="0" w:type="dxa"/>
              <w:right w:w="0" w:type="dxa"/>
            </w:tcMar>
            <w:vAlign w:val="center"/>
          </w:tcPr>
          <w:p w14:paraId="4F128BF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污水</w:t>
            </w:r>
          </w:p>
        </w:tc>
        <w:tc>
          <w:tcPr>
            <w:tcW w:w="1502" w:type="dxa"/>
            <w:tcMar>
              <w:left w:w="0" w:type="dxa"/>
              <w:right w:w="0" w:type="dxa"/>
            </w:tcMar>
            <w:vAlign w:val="center"/>
          </w:tcPr>
          <w:p w14:paraId="1590EBF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船舶生活废水</w:t>
            </w:r>
          </w:p>
        </w:tc>
        <w:tc>
          <w:tcPr>
            <w:tcW w:w="828" w:type="dxa"/>
            <w:vMerge w:val="restart"/>
            <w:tcMar>
              <w:left w:w="0" w:type="dxa"/>
              <w:right w:w="0" w:type="dxa"/>
            </w:tcMar>
            <w:vAlign w:val="center"/>
          </w:tcPr>
          <w:p w14:paraId="73B9FE2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施工期</w:t>
            </w:r>
          </w:p>
        </w:tc>
        <w:tc>
          <w:tcPr>
            <w:tcW w:w="1928" w:type="dxa"/>
            <w:tcMar>
              <w:left w:w="0" w:type="dxa"/>
              <w:right w:w="0" w:type="dxa"/>
            </w:tcMar>
            <w:vAlign w:val="center"/>
          </w:tcPr>
          <w:p w14:paraId="41593088">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COD</w:t>
            </w:r>
            <w:r>
              <w:rPr>
                <w:color w:val="000000" w:themeColor="text1"/>
                <w:sz w:val="21"/>
                <w:szCs w:val="21"/>
                <w14:textFill>
                  <w14:solidFill>
                    <w14:schemeClr w14:val="tx1"/>
                  </w14:solidFill>
                </w14:textFill>
              </w:rPr>
              <w:t>、</w:t>
            </w:r>
            <w:r>
              <w:rPr>
                <w:color w:val="000000" w:themeColor="text1"/>
                <w:sz w:val="21"/>
                <w:szCs w:val="21"/>
                <w:lang w:val="en-US"/>
                <w14:textFill>
                  <w14:solidFill>
                    <w14:schemeClr w14:val="tx1"/>
                  </w14:solidFill>
                </w14:textFill>
              </w:rPr>
              <w:t>BOD</w:t>
            </w:r>
            <w:r>
              <w:rPr>
                <w:color w:val="000000" w:themeColor="text1"/>
                <w:sz w:val="21"/>
                <w:szCs w:val="21"/>
                <w:vertAlign w:val="subscript"/>
                <w:lang w:val="en-US"/>
                <w14:textFill>
                  <w14:solidFill>
                    <w14:schemeClr w14:val="tx1"/>
                  </w14:solidFill>
                </w14:textFill>
              </w:rPr>
              <w:t>5</w:t>
            </w:r>
            <w:r>
              <w:rPr>
                <w:color w:val="000000" w:themeColor="text1"/>
                <w:sz w:val="21"/>
                <w:szCs w:val="21"/>
                <w14:textFill>
                  <w14:solidFill>
                    <w14:schemeClr w14:val="tx1"/>
                  </w14:solidFill>
                </w14:textFill>
              </w:rPr>
              <w:t>等</w:t>
            </w:r>
          </w:p>
        </w:tc>
        <w:tc>
          <w:tcPr>
            <w:tcW w:w="1004" w:type="dxa"/>
            <w:tcMar>
              <w:left w:w="0" w:type="dxa"/>
              <w:right w:w="0" w:type="dxa"/>
            </w:tcMar>
            <w:vAlign w:val="center"/>
          </w:tcPr>
          <w:p w14:paraId="15A7BB2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350 t</w:t>
            </w:r>
          </w:p>
        </w:tc>
        <w:tc>
          <w:tcPr>
            <w:tcW w:w="1080" w:type="dxa"/>
            <w:tcMar>
              <w:left w:w="0" w:type="dxa"/>
              <w:right w:w="0" w:type="dxa"/>
            </w:tcMar>
            <w:vAlign w:val="center"/>
          </w:tcPr>
          <w:p w14:paraId="5EC2C624">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71383528">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856" w:type="dxa"/>
            <w:vMerge w:val="restart"/>
            <w:tcMar>
              <w:left w:w="0" w:type="dxa"/>
              <w:right w:w="0" w:type="dxa"/>
            </w:tcMar>
            <w:vAlign w:val="center"/>
          </w:tcPr>
          <w:p w14:paraId="145C36D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委托接收，有资质单位处置</w:t>
            </w:r>
          </w:p>
        </w:tc>
        <w:tc>
          <w:tcPr>
            <w:tcW w:w="2096" w:type="dxa"/>
            <w:tcMar>
              <w:left w:w="0" w:type="dxa"/>
              <w:right w:w="0" w:type="dxa"/>
            </w:tcMar>
            <w:vAlign w:val="center"/>
          </w:tcPr>
          <w:p w14:paraId="30AFD05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r w14:paraId="5ECB9A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continue"/>
            <w:tcMar>
              <w:left w:w="0" w:type="dxa"/>
              <w:right w:w="0" w:type="dxa"/>
            </w:tcMar>
            <w:vAlign w:val="center"/>
          </w:tcPr>
          <w:p w14:paraId="1D40122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694" w:type="dxa"/>
            <w:vMerge w:val="continue"/>
            <w:tcMar>
              <w:left w:w="0" w:type="dxa"/>
              <w:right w:w="0" w:type="dxa"/>
            </w:tcMar>
            <w:vAlign w:val="center"/>
          </w:tcPr>
          <w:p w14:paraId="3E04DE4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502" w:type="dxa"/>
            <w:tcMar>
              <w:left w:w="0" w:type="dxa"/>
              <w:right w:w="0" w:type="dxa"/>
            </w:tcMar>
            <w:vAlign w:val="center"/>
          </w:tcPr>
          <w:p w14:paraId="5BCFEC2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船舶含油废水</w:t>
            </w:r>
          </w:p>
        </w:tc>
        <w:tc>
          <w:tcPr>
            <w:tcW w:w="828" w:type="dxa"/>
            <w:vMerge w:val="continue"/>
            <w:tcMar>
              <w:left w:w="0" w:type="dxa"/>
              <w:right w:w="0" w:type="dxa"/>
            </w:tcMar>
            <w:vAlign w:val="center"/>
          </w:tcPr>
          <w:p w14:paraId="52A4AF3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12E309F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石油类</w:t>
            </w:r>
          </w:p>
        </w:tc>
        <w:tc>
          <w:tcPr>
            <w:tcW w:w="1004" w:type="dxa"/>
            <w:tcMar>
              <w:left w:w="0" w:type="dxa"/>
              <w:right w:w="0" w:type="dxa"/>
            </w:tcMar>
            <w:vAlign w:val="center"/>
          </w:tcPr>
          <w:p w14:paraId="2B02A7B8">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252 t</w:t>
            </w:r>
          </w:p>
        </w:tc>
        <w:tc>
          <w:tcPr>
            <w:tcW w:w="1080" w:type="dxa"/>
            <w:tcMar>
              <w:left w:w="0" w:type="dxa"/>
              <w:right w:w="0" w:type="dxa"/>
            </w:tcMar>
            <w:vAlign w:val="center"/>
          </w:tcPr>
          <w:p w14:paraId="1FE906E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49BA833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856" w:type="dxa"/>
            <w:vMerge w:val="continue"/>
            <w:tcMar>
              <w:left w:w="0" w:type="dxa"/>
              <w:right w:w="0" w:type="dxa"/>
            </w:tcMar>
            <w:vAlign w:val="center"/>
          </w:tcPr>
          <w:p w14:paraId="1348B0C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2096" w:type="dxa"/>
            <w:tcMar>
              <w:left w:w="0" w:type="dxa"/>
              <w:right w:w="0" w:type="dxa"/>
            </w:tcMar>
            <w:vAlign w:val="center"/>
          </w:tcPr>
          <w:p w14:paraId="66B23C9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r w14:paraId="4FBA18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551" w:type="dxa"/>
            <w:vMerge w:val="continue"/>
            <w:tcMar>
              <w:left w:w="0" w:type="dxa"/>
              <w:right w:w="0" w:type="dxa"/>
            </w:tcMar>
            <w:vAlign w:val="center"/>
          </w:tcPr>
          <w:p w14:paraId="4402DAF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694" w:type="dxa"/>
            <w:vMerge w:val="continue"/>
            <w:tcMar>
              <w:left w:w="0" w:type="dxa"/>
              <w:right w:w="0" w:type="dxa"/>
            </w:tcMar>
            <w:vAlign w:val="center"/>
          </w:tcPr>
          <w:p w14:paraId="3C9765B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502" w:type="dxa"/>
            <w:tcMar>
              <w:left w:w="0" w:type="dxa"/>
              <w:right w:w="0" w:type="dxa"/>
            </w:tcMar>
            <w:vAlign w:val="center"/>
          </w:tcPr>
          <w:p w14:paraId="1726D0F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陆域生活污水</w:t>
            </w:r>
          </w:p>
        </w:tc>
        <w:tc>
          <w:tcPr>
            <w:tcW w:w="828" w:type="dxa"/>
            <w:vMerge w:val="continue"/>
            <w:tcMar>
              <w:left w:w="0" w:type="dxa"/>
              <w:right w:w="0" w:type="dxa"/>
            </w:tcMar>
            <w:vAlign w:val="center"/>
          </w:tcPr>
          <w:p w14:paraId="472C3EC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0770E2A3">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COD</w:t>
            </w:r>
            <w:r>
              <w:rPr>
                <w:color w:val="000000" w:themeColor="text1"/>
                <w:sz w:val="21"/>
                <w:szCs w:val="21"/>
                <w14:textFill>
                  <w14:solidFill>
                    <w14:schemeClr w14:val="tx1"/>
                  </w14:solidFill>
                </w14:textFill>
              </w:rPr>
              <w:t>、</w:t>
            </w:r>
            <w:r>
              <w:rPr>
                <w:color w:val="000000" w:themeColor="text1"/>
                <w:sz w:val="21"/>
                <w:szCs w:val="21"/>
                <w:lang w:val="en-US"/>
                <w14:textFill>
                  <w14:solidFill>
                    <w14:schemeClr w14:val="tx1"/>
                  </w14:solidFill>
                </w14:textFill>
              </w:rPr>
              <w:t>BOD</w:t>
            </w:r>
            <w:r>
              <w:rPr>
                <w:color w:val="000000" w:themeColor="text1"/>
                <w:sz w:val="21"/>
                <w:szCs w:val="21"/>
                <w:vertAlign w:val="subscript"/>
                <w:lang w:val="en-US"/>
                <w14:textFill>
                  <w14:solidFill>
                    <w14:schemeClr w14:val="tx1"/>
                  </w14:solidFill>
                </w14:textFill>
              </w:rPr>
              <w:t>5</w:t>
            </w:r>
            <w:r>
              <w:rPr>
                <w:color w:val="000000" w:themeColor="text1"/>
                <w:sz w:val="21"/>
                <w:szCs w:val="21"/>
                <w14:textFill>
                  <w14:solidFill>
                    <w14:schemeClr w14:val="tx1"/>
                  </w14:solidFill>
                </w14:textFill>
              </w:rPr>
              <w:t>等</w:t>
            </w:r>
          </w:p>
        </w:tc>
        <w:tc>
          <w:tcPr>
            <w:tcW w:w="1004" w:type="dxa"/>
            <w:tcMar>
              <w:left w:w="0" w:type="dxa"/>
              <w:right w:w="0" w:type="dxa"/>
            </w:tcMar>
            <w:vAlign w:val="center"/>
          </w:tcPr>
          <w:p w14:paraId="10B33D3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840 t</w:t>
            </w:r>
          </w:p>
        </w:tc>
        <w:tc>
          <w:tcPr>
            <w:tcW w:w="1080" w:type="dxa"/>
            <w:tcMar>
              <w:left w:w="0" w:type="dxa"/>
              <w:right w:w="0" w:type="dxa"/>
            </w:tcMar>
            <w:vAlign w:val="center"/>
          </w:tcPr>
          <w:p w14:paraId="4741259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500mg/L</w:t>
            </w:r>
          </w:p>
          <w:p w14:paraId="294B5F2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300mg/L</w:t>
            </w:r>
          </w:p>
        </w:tc>
        <w:tc>
          <w:tcPr>
            <w:tcW w:w="1391" w:type="dxa"/>
            <w:tcMar>
              <w:left w:w="0" w:type="dxa"/>
              <w:right w:w="0" w:type="dxa"/>
            </w:tcMar>
            <w:vAlign w:val="center"/>
          </w:tcPr>
          <w:p w14:paraId="4B8D4FF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856" w:type="dxa"/>
            <w:tcMar>
              <w:left w:w="0" w:type="dxa"/>
              <w:right w:w="0" w:type="dxa"/>
            </w:tcMar>
            <w:vAlign w:val="center"/>
          </w:tcPr>
          <w:p w14:paraId="07410AC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排入7号、8号泊位生活污水处理站，预处理后进入大榄坪污水处理厂</w:t>
            </w:r>
          </w:p>
        </w:tc>
        <w:tc>
          <w:tcPr>
            <w:tcW w:w="2096" w:type="dxa"/>
            <w:tcMar>
              <w:left w:w="0" w:type="dxa"/>
              <w:right w:w="0" w:type="dxa"/>
            </w:tcMar>
            <w:vAlign w:val="center"/>
          </w:tcPr>
          <w:p w14:paraId="654629A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《污水综合排放标准》（GB 8978-1996）三级标准</w:t>
            </w:r>
          </w:p>
        </w:tc>
      </w:tr>
      <w:tr w14:paraId="534B1E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551" w:type="dxa"/>
            <w:vMerge w:val="continue"/>
            <w:tcMar>
              <w:left w:w="0" w:type="dxa"/>
              <w:right w:w="0" w:type="dxa"/>
            </w:tcMar>
            <w:vAlign w:val="center"/>
          </w:tcPr>
          <w:p w14:paraId="3155945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694" w:type="dxa"/>
            <w:vMerge w:val="continue"/>
            <w:tcMar>
              <w:left w:w="0" w:type="dxa"/>
              <w:right w:w="0" w:type="dxa"/>
            </w:tcMar>
            <w:vAlign w:val="center"/>
          </w:tcPr>
          <w:p w14:paraId="3B278AD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502" w:type="dxa"/>
            <w:tcMar>
              <w:left w:w="0" w:type="dxa"/>
              <w:right w:w="0" w:type="dxa"/>
            </w:tcMar>
            <w:vAlign w:val="center"/>
          </w:tcPr>
          <w:p w14:paraId="77073D4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陆域生活污水</w:t>
            </w:r>
          </w:p>
        </w:tc>
        <w:tc>
          <w:tcPr>
            <w:tcW w:w="828" w:type="dxa"/>
            <w:vMerge w:val="restart"/>
            <w:tcMar>
              <w:left w:w="0" w:type="dxa"/>
              <w:right w:w="0" w:type="dxa"/>
            </w:tcMar>
            <w:vAlign w:val="center"/>
          </w:tcPr>
          <w:p w14:paraId="6BC632A4">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运营期</w:t>
            </w:r>
          </w:p>
        </w:tc>
        <w:tc>
          <w:tcPr>
            <w:tcW w:w="1928" w:type="dxa"/>
            <w:tcMar>
              <w:left w:w="0" w:type="dxa"/>
              <w:right w:w="0" w:type="dxa"/>
            </w:tcMar>
            <w:vAlign w:val="center"/>
          </w:tcPr>
          <w:p w14:paraId="2D91AECC">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COD</w:t>
            </w:r>
            <w:r>
              <w:rPr>
                <w:color w:val="000000" w:themeColor="text1"/>
                <w:sz w:val="21"/>
                <w:szCs w:val="21"/>
                <w14:textFill>
                  <w14:solidFill>
                    <w14:schemeClr w14:val="tx1"/>
                  </w14:solidFill>
                </w14:textFill>
              </w:rPr>
              <w:t>、</w:t>
            </w:r>
            <w:r>
              <w:rPr>
                <w:color w:val="000000" w:themeColor="text1"/>
                <w:sz w:val="21"/>
                <w:szCs w:val="21"/>
                <w:lang w:val="en-US"/>
                <w14:textFill>
                  <w14:solidFill>
                    <w14:schemeClr w14:val="tx1"/>
                  </w14:solidFill>
                </w14:textFill>
              </w:rPr>
              <w:t>BOD</w:t>
            </w:r>
            <w:r>
              <w:rPr>
                <w:color w:val="000000" w:themeColor="text1"/>
                <w:sz w:val="21"/>
                <w:szCs w:val="21"/>
                <w:vertAlign w:val="subscript"/>
                <w:lang w:val="en-US"/>
                <w14:textFill>
                  <w14:solidFill>
                    <w14:schemeClr w14:val="tx1"/>
                  </w14:solidFill>
                </w14:textFill>
              </w:rPr>
              <w:t>5</w:t>
            </w:r>
            <w:r>
              <w:rPr>
                <w:color w:val="000000" w:themeColor="text1"/>
                <w:sz w:val="21"/>
                <w:szCs w:val="21"/>
                <w14:textFill>
                  <w14:solidFill>
                    <w14:schemeClr w14:val="tx1"/>
                  </w14:solidFill>
                </w14:textFill>
              </w:rPr>
              <w:t>等</w:t>
            </w:r>
          </w:p>
        </w:tc>
        <w:tc>
          <w:tcPr>
            <w:tcW w:w="1004" w:type="dxa"/>
            <w:tcMar>
              <w:left w:w="0" w:type="dxa"/>
              <w:right w:w="0" w:type="dxa"/>
            </w:tcMar>
            <w:vAlign w:val="center"/>
          </w:tcPr>
          <w:p w14:paraId="48EB8D4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1940.4t/a</w:t>
            </w:r>
          </w:p>
        </w:tc>
        <w:tc>
          <w:tcPr>
            <w:tcW w:w="1080" w:type="dxa"/>
            <w:tcMar>
              <w:left w:w="0" w:type="dxa"/>
              <w:right w:w="0" w:type="dxa"/>
            </w:tcMar>
            <w:vAlign w:val="center"/>
          </w:tcPr>
          <w:p w14:paraId="0F975CA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500mg/L</w:t>
            </w:r>
          </w:p>
          <w:p w14:paraId="3CC9F1D8">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300mg/L</w:t>
            </w:r>
          </w:p>
        </w:tc>
        <w:tc>
          <w:tcPr>
            <w:tcW w:w="1391" w:type="dxa"/>
            <w:tcMar>
              <w:left w:w="0" w:type="dxa"/>
              <w:right w:w="0" w:type="dxa"/>
            </w:tcMar>
            <w:vAlign w:val="center"/>
          </w:tcPr>
          <w:p w14:paraId="2A4FC56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856" w:type="dxa"/>
            <w:tcMar>
              <w:left w:w="0" w:type="dxa"/>
              <w:right w:w="0" w:type="dxa"/>
            </w:tcMar>
            <w:vAlign w:val="center"/>
          </w:tcPr>
          <w:p w14:paraId="5154193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间接排放。排入7号、8号泊位生活污水处理站，预处理后进入大榄坪污水处理厂</w:t>
            </w:r>
          </w:p>
        </w:tc>
        <w:tc>
          <w:tcPr>
            <w:tcW w:w="2096" w:type="dxa"/>
            <w:tcMar>
              <w:left w:w="0" w:type="dxa"/>
              <w:right w:w="0" w:type="dxa"/>
            </w:tcMar>
            <w:vAlign w:val="center"/>
          </w:tcPr>
          <w:p w14:paraId="225934C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《污水综合排放标准》（GB 8978-1996）三级标准</w:t>
            </w:r>
          </w:p>
        </w:tc>
      </w:tr>
      <w:tr w14:paraId="5682F1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551" w:type="dxa"/>
            <w:vMerge w:val="continue"/>
            <w:tcMar>
              <w:left w:w="0" w:type="dxa"/>
              <w:right w:w="0" w:type="dxa"/>
            </w:tcMar>
            <w:vAlign w:val="center"/>
          </w:tcPr>
          <w:p w14:paraId="0EFC0864">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694" w:type="dxa"/>
            <w:vMerge w:val="continue"/>
            <w:tcMar>
              <w:left w:w="0" w:type="dxa"/>
              <w:right w:w="0" w:type="dxa"/>
            </w:tcMar>
            <w:vAlign w:val="center"/>
          </w:tcPr>
          <w:p w14:paraId="75DA9D9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502" w:type="dxa"/>
            <w:tcMar>
              <w:left w:w="0" w:type="dxa"/>
              <w:right w:w="0" w:type="dxa"/>
            </w:tcMar>
            <w:vAlign w:val="center"/>
          </w:tcPr>
          <w:p w14:paraId="5EDBE18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陆域生产废水</w:t>
            </w:r>
          </w:p>
        </w:tc>
        <w:tc>
          <w:tcPr>
            <w:tcW w:w="828" w:type="dxa"/>
            <w:vMerge w:val="continue"/>
            <w:tcMar>
              <w:left w:w="0" w:type="dxa"/>
              <w:right w:w="0" w:type="dxa"/>
            </w:tcMar>
            <w:vAlign w:val="center"/>
          </w:tcPr>
          <w:p w14:paraId="3468AD4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2ECC221C">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14:textFill>
                  <w14:solidFill>
                    <w14:schemeClr w14:val="tx1"/>
                  </w14:solidFill>
                </w14:textFill>
              </w:rPr>
              <w:t>石油类、SS等</w:t>
            </w:r>
          </w:p>
        </w:tc>
        <w:tc>
          <w:tcPr>
            <w:tcW w:w="1004" w:type="dxa"/>
            <w:tcMar>
              <w:left w:w="0" w:type="dxa"/>
              <w:right w:w="0" w:type="dxa"/>
            </w:tcMar>
            <w:vAlign w:val="center"/>
          </w:tcPr>
          <w:p w14:paraId="6845512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514.8 t/a</w:t>
            </w:r>
          </w:p>
        </w:tc>
        <w:tc>
          <w:tcPr>
            <w:tcW w:w="1080" w:type="dxa"/>
            <w:tcMar>
              <w:left w:w="0" w:type="dxa"/>
              <w:right w:w="0" w:type="dxa"/>
            </w:tcMar>
            <w:vAlign w:val="center"/>
          </w:tcPr>
          <w:p w14:paraId="3CDCF9B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 mg/L</w:t>
            </w:r>
          </w:p>
          <w:p w14:paraId="464836B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 mg/L</w:t>
            </w:r>
          </w:p>
        </w:tc>
        <w:tc>
          <w:tcPr>
            <w:tcW w:w="1391" w:type="dxa"/>
            <w:tcMar>
              <w:left w:w="0" w:type="dxa"/>
              <w:right w:w="0" w:type="dxa"/>
            </w:tcMar>
            <w:vAlign w:val="center"/>
          </w:tcPr>
          <w:p w14:paraId="5B67DEA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856" w:type="dxa"/>
            <w:tcMar>
              <w:left w:w="0" w:type="dxa"/>
              <w:right w:w="0" w:type="dxa"/>
            </w:tcMar>
            <w:vAlign w:val="center"/>
          </w:tcPr>
          <w:p w14:paraId="3AD4794A">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经收集后泵送至7号8号泊位的含油污水处理站处理后进入大榄坪污水处理厂</w:t>
            </w:r>
          </w:p>
        </w:tc>
        <w:tc>
          <w:tcPr>
            <w:tcW w:w="2096" w:type="dxa"/>
            <w:tcMar>
              <w:left w:w="0" w:type="dxa"/>
              <w:right w:w="0" w:type="dxa"/>
            </w:tcMar>
            <w:vAlign w:val="center"/>
          </w:tcPr>
          <w:p w14:paraId="043DEB9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《污水综合排放标准》（GB 8978-1996）三级标准</w:t>
            </w:r>
          </w:p>
        </w:tc>
      </w:tr>
      <w:tr w14:paraId="3DC07C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continue"/>
            <w:tcMar>
              <w:left w:w="0" w:type="dxa"/>
              <w:right w:w="0" w:type="dxa"/>
            </w:tcMar>
            <w:vAlign w:val="center"/>
          </w:tcPr>
          <w:p w14:paraId="03D8049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694" w:type="dxa"/>
            <w:vMerge w:val="continue"/>
            <w:tcMar>
              <w:left w:w="0" w:type="dxa"/>
              <w:right w:w="0" w:type="dxa"/>
            </w:tcMar>
            <w:vAlign w:val="center"/>
          </w:tcPr>
          <w:p w14:paraId="1133E60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502" w:type="dxa"/>
            <w:tcMar>
              <w:left w:w="0" w:type="dxa"/>
              <w:right w:w="0" w:type="dxa"/>
            </w:tcMar>
            <w:vAlign w:val="center"/>
          </w:tcPr>
          <w:p w14:paraId="0F0D3D1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船舶生活污水</w:t>
            </w:r>
          </w:p>
        </w:tc>
        <w:tc>
          <w:tcPr>
            <w:tcW w:w="828" w:type="dxa"/>
            <w:vMerge w:val="continue"/>
            <w:tcMar>
              <w:left w:w="0" w:type="dxa"/>
              <w:right w:w="0" w:type="dxa"/>
            </w:tcMar>
            <w:vAlign w:val="center"/>
          </w:tcPr>
          <w:p w14:paraId="09EE6AD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1A8468E9">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COD</w:t>
            </w:r>
            <w:r>
              <w:rPr>
                <w:color w:val="000000" w:themeColor="text1"/>
                <w:sz w:val="21"/>
                <w:szCs w:val="21"/>
                <w14:textFill>
                  <w14:solidFill>
                    <w14:schemeClr w14:val="tx1"/>
                  </w14:solidFill>
                </w14:textFill>
              </w:rPr>
              <w:t>、</w:t>
            </w:r>
            <w:r>
              <w:rPr>
                <w:color w:val="000000" w:themeColor="text1"/>
                <w:sz w:val="21"/>
                <w:szCs w:val="21"/>
                <w:lang w:val="en-US"/>
                <w14:textFill>
                  <w14:solidFill>
                    <w14:schemeClr w14:val="tx1"/>
                  </w14:solidFill>
                </w14:textFill>
              </w:rPr>
              <w:t>BOD</w:t>
            </w:r>
            <w:r>
              <w:rPr>
                <w:color w:val="000000" w:themeColor="text1"/>
                <w:sz w:val="21"/>
                <w:szCs w:val="21"/>
                <w:vertAlign w:val="subscript"/>
                <w:lang w:val="en-US"/>
                <w14:textFill>
                  <w14:solidFill>
                    <w14:schemeClr w14:val="tx1"/>
                  </w14:solidFill>
                </w14:textFill>
              </w:rPr>
              <w:t>5</w:t>
            </w:r>
            <w:r>
              <w:rPr>
                <w:color w:val="000000" w:themeColor="text1"/>
                <w:sz w:val="21"/>
                <w:szCs w:val="21"/>
                <w:vertAlign w:val="subscript"/>
                <w14:textFill>
                  <w14:solidFill>
                    <w14:schemeClr w14:val="tx1"/>
                  </w14:solidFill>
                </w14:textFill>
              </w:rPr>
              <w:t>、</w:t>
            </w:r>
            <w:r>
              <w:rPr>
                <w:color w:val="000000" w:themeColor="text1"/>
                <w:sz w:val="21"/>
                <w:szCs w:val="21"/>
                <w:lang w:val="en-US"/>
                <w14:textFill>
                  <w14:solidFill>
                    <w14:schemeClr w14:val="tx1"/>
                  </w14:solidFill>
                </w14:textFill>
              </w:rPr>
              <w:t>NH</w:t>
            </w:r>
            <w:r>
              <w:rPr>
                <w:color w:val="000000" w:themeColor="text1"/>
                <w:sz w:val="21"/>
                <w:szCs w:val="21"/>
                <w:vertAlign w:val="subscript"/>
                <w:lang w:val="en-US"/>
                <w14:textFill>
                  <w14:solidFill>
                    <w14:schemeClr w14:val="tx1"/>
                  </w14:solidFill>
                </w14:textFill>
              </w:rPr>
              <w:t>3</w:t>
            </w:r>
            <w:r>
              <w:rPr>
                <w:color w:val="000000" w:themeColor="text1"/>
                <w:sz w:val="21"/>
                <w:szCs w:val="21"/>
                <w:lang w:val="en-US"/>
                <w14:textFill>
                  <w14:solidFill>
                    <w14:schemeClr w14:val="tx1"/>
                  </w14:solidFill>
                </w14:textFill>
              </w:rPr>
              <w:t>-N</w:t>
            </w:r>
          </w:p>
        </w:tc>
        <w:tc>
          <w:tcPr>
            <w:tcW w:w="1004" w:type="dxa"/>
            <w:tcMar>
              <w:left w:w="0" w:type="dxa"/>
              <w:right w:w="0" w:type="dxa"/>
            </w:tcMar>
            <w:vAlign w:val="center"/>
          </w:tcPr>
          <w:p w14:paraId="64B960B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2040t/a </w:t>
            </w:r>
          </w:p>
        </w:tc>
        <w:tc>
          <w:tcPr>
            <w:tcW w:w="1080" w:type="dxa"/>
            <w:tcMar>
              <w:left w:w="0" w:type="dxa"/>
              <w:right w:w="0" w:type="dxa"/>
            </w:tcMar>
            <w:vAlign w:val="center"/>
          </w:tcPr>
          <w:p w14:paraId="36C08E3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300mg/L</w:t>
            </w:r>
          </w:p>
          <w:p w14:paraId="141DD61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200mg/L</w:t>
            </w:r>
          </w:p>
          <w:p w14:paraId="57AAE39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35mg/L</w:t>
            </w:r>
          </w:p>
        </w:tc>
        <w:tc>
          <w:tcPr>
            <w:tcW w:w="1391" w:type="dxa"/>
            <w:tcMar>
              <w:left w:w="0" w:type="dxa"/>
              <w:right w:w="0" w:type="dxa"/>
            </w:tcMar>
            <w:vAlign w:val="center"/>
          </w:tcPr>
          <w:p w14:paraId="51EA947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856" w:type="dxa"/>
            <w:tcMar>
              <w:left w:w="0" w:type="dxa"/>
              <w:right w:w="0" w:type="dxa"/>
            </w:tcMar>
            <w:vAlign w:val="center"/>
          </w:tcPr>
          <w:p w14:paraId="2F4D727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委托接收，有资质单位处置</w:t>
            </w:r>
          </w:p>
        </w:tc>
        <w:tc>
          <w:tcPr>
            <w:tcW w:w="2096" w:type="dxa"/>
            <w:tcMar>
              <w:left w:w="0" w:type="dxa"/>
              <w:right w:w="0" w:type="dxa"/>
            </w:tcMar>
            <w:vAlign w:val="center"/>
          </w:tcPr>
          <w:p w14:paraId="492C262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r w14:paraId="36E9EE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restart"/>
            <w:tcMar>
              <w:left w:w="0" w:type="dxa"/>
              <w:right w:w="0" w:type="dxa"/>
            </w:tcMar>
            <w:vAlign w:val="center"/>
          </w:tcPr>
          <w:p w14:paraId="1C74847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694" w:type="dxa"/>
            <w:vMerge w:val="restart"/>
            <w:tcMar>
              <w:left w:w="0" w:type="dxa"/>
              <w:right w:w="0" w:type="dxa"/>
            </w:tcMar>
            <w:vAlign w:val="center"/>
          </w:tcPr>
          <w:p w14:paraId="3D0B179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大气</w:t>
            </w:r>
          </w:p>
        </w:tc>
        <w:tc>
          <w:tcPr>
            <w:tcW w:w="1502" w:type="dxa"/>
            <w:tcMar>
              <w:left w:w="0" w:type="dxa"/>
              <w:right w:w="0" w:type="dxa"/>
            </w:tcMar>
            <w:vAlign w:val="center"/>
          </w:tcPr>
          <w:p w14:paraId="6D94921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材料运输</w:t>
            </w:r>
          </w:p>
        </w:tc>
        <w:tc>
          <w:tcPr>
            <w:tcW w:w="828" w:type="dxa"/>
            <w:vMerge w:val="restart"/>
            <w:tcMar>
              <w:left w:w="0" w:type="dxa"/>
              <w:right w:w="0" w:type="dxa"/>
            </w:tcMar>
            <w:vAlign w:val="center"/>
          </w:tcPr>
          <w:p w14:paraId="77B613F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施工期</w:t>
            </w:r>
          </w:p>
        </w:tc>
        <w:tc>
          <w:tcPr>
            <w:tcW w:w="1928" w:type="dxa"/>
            <w:tcMar>
              <w:left w:w="0" w:type="dxa"/>
              <w:right w:w="0" w:type="dxa"/>
            </w:tcMar>
            <w:vAlign w:val="center"/>
          </w:tcPr>
          <w:p w14:paraId="1F29A64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TSP</w:t>
            </w:r>
          </w:p>
        </w:tc>
        <w:tc>
          <w:tcPr>
            <w:tcW w:w="1004" w:type="dxa"/>
            <w:tcMar>
              <w:left w:w="0" w:type="dxa"/>
              <w:right w:w="0" w:type="dxa"/>
            </w:tcMar>
            <w:vAlign w:val="center"/>
          </w:tcPr>
          <w:p w14:paraId="1BDBE14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80" w:type="dxa"/>
            <w:tcMar>
              <w:left w:w="0" w:type="dxa"/>
              <w:right w:w="0" w:type="dxa"/>
            </w:tcMar>
            <w:vAlign w:val="center"/>
          </w:tcPr>
          <w:p w14:paraId="5D5D6C0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64072F1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无组织排放</w:t>
            </w:r>
          </w:p>
        </w:tc>
        <w:tc>
          <w:tcPr>
            <w:tcW w:w="2856" w:type="dxa"/>
            <w:tcMar>
              <w:left w:w="0" w:type="dxa"/>
              <w:right w:w="0" w:type="dxa"/>
            </w:tcMar>
            <w:vAlign w:val="center"/>
          </w:tcPr>
          <w:p w14:paraId="02A5CB84">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洒水降尘</w:t>
            </w:r>
          </w:p>
        </w:tc>
        <w:tc>
          <w:tcPr>
            <w:tcW w:w="2096" w:type="dxa"/>
            <w:vMerge w:val="restart"/>
            <w:tcMar>
              <w:left w:w="0" w:type="dxa"/>
              <w:right w:w="0" w:type="dxa"/>
            </w:tcMar>
            <w:vAlign w:val="center"/>
          </w:tcPr>
          <w:p w14:paraId="2D7D31B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《大气污染物综合排放标准》（GB16297-1996）中的无组织排放标准</w:t>
            </w:r>
          </w:p>
        </w:tc>
      </w:tr>
      <w:tr w14:paraId="114CD0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continue"/>
            <w:tcMar>
              <w:left w:w="0" w:type="dxa"/>
              <w:right w:w="0" w:type="dxa"/>
            </w:tcMar>
            <w:vAlign w:val="center"/>
          </w:tcPr>
          <w:p w14:paraId="4774BEE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694" w:type="dxa"/>
            <w:vMerge w:val="continue"/>
            <w:tcMar>
              <w:left w:w="0" w:type="dxa"/>
              <w:right w:w="0" w:type="dxa"/>
            </w:tcMar>
            <w:vAlign w:val="center"/>
          </w:tcPr>
          <w:p w14:paraId="64CD708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502" w:type="dxa"/>
            <w:tcMar>
              <w:left w:w="0" w:type="dxa"/>
              <w:right w:w="0" w:type="dxa"/>
            </w:tcMar>
            <w:vAlign w:val="center"/>
          </w:tcPr>
          <w:p w14:paraId="3862AA2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船舶废气</w:t>
            </w:r>
          </w:p>
        </w:tc>
        <w:tc>
          <w:tcPr>
            <w:tcW w:w="828" w:type="dxa"/>
            <w:vMerge w:val="continue"/>
            <w:tcMar>
              <w:left w:w="0" w:type="dxa"/>
              <w:right w:w="0" w:type="dxa"/>
            </w:tcMar>
            <w:vAlign w:val="center"/>
          </w:tcPr>
          <w:p w14:paraId="3C25B1F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0D28515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SO</w:t>
            </w:r>
            <w:r>
              <w:rPr>
                <w:color w:val="000000" w:themeColor="text1"/>
                <w:sz w:val="21"/>
                <w:szCs w:val="21"/>
                <w:vertAlign w:val="subscript"/>
                <w14:textFill>
                  <w14:solidFill>
                    <w14:schemeClr w14:val="tx1"/>
                  </w14:solidFill>
                </w14:textFill>
              </w:rPr>
              <w:t>2</w:t>
            </w:r>
            <w:r>
              <w:rPr>
                <w:color w:val="000000" w:themeColor="text1"/>
                <w:sz w:val="21"/>
                <w:szCs w:val="21"/>
                <w14:textFill>
                  <w14:solidFill>
                    <w14:schemeClr w14:val="tx1"/>
                  </w14:solidFill>
                </w14:textFill>
              </w:rPr>
              <w:t>、NO</w:t>
            </w:r>
            <w:r>
              <w:rPr>
                <w:color w:val="000000" w:themeColor="text1"/>
                <w:sz w:val="21"/>
                <w:szCs w:val="21"/>
                <w:vertAlign w:val="subscript"/>
                <w14:textFill>
                  <w14:solidFill>
                    <w14:schemeClr w14:val="tx1"/>
                  </w14:solidFill>
                </w14:textFill>
              </w:rPr>
              <w:t>x</w:t>
            </w:r>
          </w:p>
        </w:tc>
        <w:tc>
          <w:tcPr>
            <w:tcW w:w="1004" w:type="dxa"/>
            <w:tcMar>
              <w:left w:w="0" w:type="dxa"/>
              <w:right w:w="0" w:type="dxa"/>
            </w:tcMar>
            <w:vAlign w:val="center"/>
          </w:tcPr>
          <w:p w14:paraId="5EC5CBA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80" w:type="dxa"/>
            <w:tcMar>
              <w:left w:w="0" w:type="dxa"/>
              <w:right w:w="0" w:type="dxa"/>
            </w:tcMar>
            <w:vAlign w:val="center"/>
          </w:tcPr>
          <w:p w14:paraId="6521A27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5662E4A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无组织排放</w:t>
            </w:r>
          </w:p>
        </w:tc>
        <w:tc>
          <w:tcPr>
            <w:tcW w:w="2856" w:type="dxa"/>
            <w:tcMar>
              <w:left w:w="0" w:type="dxa"/>
              <w:right w:w="0" w:type="dxa"/>
            </w:tcMar>
            <w:vAlign w:val="center"/>
          </w:tcPr>
          <w:p w14:paraId="2AE9EB2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环保设备</w:t>
            </w:r>
          </w:p>
        </w:tc>
        <w:tc>
          <w:tcPr>
            <w:tcW w:w="2096" w:type="dxa"/>
            <w:vMerge w:val="continue"/>
            <w:tcMar>
              <w:left w:w="0" w:type="dxa"/>
              <w:right w:w="0" w:type="dxa"/>
            </w:tcMar>
            <w:vAlign w:val="center"/>
          </w:tcPr>
          <w:p w14:paraId="6AEFEC6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r>
      <w:tr w14:paraId="5E4302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551" w:type="dxa"/>
            <w:vMerge w:val="continue"/>
            <w:tcMar>
              <w:left w:w="0" w:type="dxa"/>
              <w:right w:w="0" w:type="dxa"/>
            </w:tcMar>
            <w:vAlign w:val="center"/>
          </w:tcPr>
          <w:p w14:paraId="4AF0817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694" w:type="dxa"/>
            <w:vMerge w:val="continue"/>
            <w:tcMar>
              <w:left w:w="0" w:type="dxa"/>
              <w:right w:w="0" w:type="dxa"/>
            </w:tcMar>
            <w:vAlign w:val="center"/>
          </w:tcPr>
          <w:p w14:paraId="07A3321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502" w:type="dxa"/>
            <w:tcMar>
              <w:left w:w="0" w:type="dxa"/>
              <w:right w:w="0" w:type="dxa"/>
            </w:tcMar>
            <w:vAlign w:val="center"/>
          </w:tcPr>
          <w:p w14:paraId="1AC51B8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车辆废气</w:t>
            </w:r>
          </w:p>
        </w:tc>
        <w:tc>
          <w:tcPr>
            <w:tcW w:w="828" w:type="dxa"/>
            <w:vMerge w:val="restart"/>
            <w:tcMar>
              <w:left w:w="0" w:type="dxa"/>
              <w:right w:w="0" w:type="dxa"/>
            </w:tcMar>
            <w:vAlign w:val="center"/>
          </w:tcPr>
          <w:p w14:paraId="16BE0A5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运营期</w:t>
            </w:r>
          </w:p>
        </w:tc>
        <w:tc>
          <w:tcPr>
            <w:tcW w:w="1928" w:type="dxa"/>
            <w:tcMar>
              <w:left w:w="0" w:type="dxa"/>
              <w:right w:w="0" w:type="dxa"/>
            </w:tcMar>
            <w:vAlign w:val="center"/>
          </w:tcPr>
          <w:p w14:paraId="139EC46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SO</w:t>
            </w:r>
            <w:r>
              <w:rPr>
                <w:color w:val="000000" w:themeColor="text1"/>
                <w:sz w:val="21"/>
                <w:szCs w:val="21"/>
                <w:vertAlign w:val="subscript"/>
                <w14:textFill>
                  <w14:solidFill>
                    <w14:schemeClr w14:val="tx1"/>
                  </w14:solidFill>
                </w14:textFill>
              </w:rPr>
              <w:t>2</w:t>
            </w:r>
            <w:r>
              <w:rPr>
                <w:color w:val="000000" w:themeColor="text1"/>
                <w:sz w:val="21"/>
                <w:szCs w:val="21"/>
                <w14:textFill>
                  <w14:solidFill>
                    <w14:schemeClr w14:val="tx1"/>
                  </w14:solidFill>
                </w14:textFill>
              </w:rPr>
              <w:t>、CO、NO</w:t>
            </w:r>
            <w:r>
              <w:rPr>
                <w:color w:val="000000" w:themeColor="text1"/>
                <w:sz w:val="21"/>
                <w:szCs w:val="21"/>
                <w:vertAlign w:val="subscript"/>
                <w14:textFill>
                  <w14:solidFill>
                    <w14:schemeClr w14:val="tx1"/>
                  </w14:solidFill>
                </w14:textFill>
              </w:rPr>
              <w:t>x</w:t>
            </w:r>
          </w:p>
        </w:tc>
        <w:tc>
          <w:tcPr>
            <w:tcW w:w="1004" w:type="dxa"/>
            <w:tcMar>
              <w:left w:w="0" w:type="dxa"/>
              <w:right w:w="0" w:type="dxa"/>
            </w:tcMar>
            <w:vAlign w:val="center"/>
          </w:tcPr>
          <w:p w14:paraId="4CE2853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80" w:type="dxa"/>
            <w:tcMar>
              <w:left w:w="0" w:type="dxa"/>
              <w:right w:w="0" w:type="dxa"/>
            </w:tcMar>
            <w:vAlign w:val="center"/>
          </w:tcPr>
          <w:p w14:paraId="291DF70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7D9ADC7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无组织排放</w:t>
            </w:r>
          </w:p>
        </w:tc>
        <w:tc>
          <w:tcPr>
            <w:tcW w:w="2856" w:type="dxa"/>
            <w:vMerge w:val="restart"/>
            <w:tcMar>
              <w:left w:w="0" w:type="dxa"/>
              <w:right w:w="0" w:type="dxa"/>
            </w:tcMar>
            <w:vAlign w:val="center"/>
          </w:tcPr>
          <w:p w14:paraId="3909F83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车辆怠速行驶</w:t>
            </w:r>
          </w:p>
        </w:tc>
        <w:tc>
          <w:tcPr>
            <w:tcW w:w="2096" w:type="dxa"/>
            <w:vMerge w:val="continue"/>
            <w:tcMar>
              <w:left w:w="0" w:type="dxa"/>
              <w:right w:w="0" w:type="dxa"/>
            </w:tcMar>
            <w:vAlign w:val="center"/>
          </w:tcPr>
          <w:p w14:paraId="4E84F8A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r>
      <w:tr w14:paraId="2C2211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551" w:type="dxa"/>
            <w:vMerge w:val="continue"/>
            <w:tcMar>
              <w:left w:w="0" w:type="dxa"/>
              <w:right w:w="0" w:type="dxa"/>
            </w:tcMar>
            <w:vAlign w:val="center"/>
          </w:tcPr>
          <w:p w14:paraId="4BBEADB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694" w:type="dxa"/>
            <w:vMerge w:val="continue"/>
            <w:tcMar>
              <w:left w:w="0" w:type="dxa"/>
              <w:right w:w="0" w:type="dxa"/>
            </w:tcMar>
            <w:vAlign w:val="center"/>
          </w:tcPr>
          <w:p w14:paraId="6D1BDA1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502" w:type="dxa"/>
            <w:tcMar>
              <w:left w:w="0" w:type="dxa"/>
              <w:right w:w="0" w:type="dxa"/>
            </w:tcMar>
            <w:vAlign w:val="center"/>
          </w:tcPr>
          <w:p w14:paraId="608B7C0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铺装道路扬尘</w:t>
            </w:r>
          </w:p>
        </w:tc>
        <w:tc>
          <w:tcPr>
            <w:tcW w:w="828" w:type="dxa"/>
            <w:vMerge w:val="continue"/>
            <w:tcMar>
              <w:left w:w="0" w:type="dxa"/>
              <w:right w:w="0" w:type="dxa"/>
            </w:tcMar>
            <w:vAlign w:val="center"/>
          </w:tcPr>
          <w:p w14:paraId="6222DFC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6EEED19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TSP、PM</w:t>
            </w:r>
            <w:r>
              <w:rPr>
                <w:color w:val="000000" w:themeColor="text1"/>
                <w:sz w:val="21"/>
                <w:szCs w:val="21"/>
                <w:vertAlign w:val="subscript"/>
                <w14:textFill>
                  <w14:solidFill>
                    <w14:schemeClr w14:val="tx1"/>
                  </w14:solidFill>
                </w14:textFill>
              </w:rPr>
              <w:t>10</w:t>
            </w:r>
            <w:r>
              <w:rPr>
                <w:color w:val="000000" w:themeColor="text1"/>
                <w:sz w:val="21"/>
                <w:szCs w:val="21"/>
                <w14:textFill>
                  <w14:solidFill>
                    <w14:schemeClr w14:val="tx1"/>
                  </w14:solidFill>
                </w14:textFill>
              </w:rPr>
              <w:t>、PM</w:t>
            </w:r>
            <w:r>
              <w:rPr>
                <w:color w:val="000000" w:themeColor="text1"/>
                <w:sz w:val="21"/>
                <w:szCs w:val="21"/>
                <w:vertAlign w:val="subscript"/>
                <w14:textFill>
                  <w14:solidFill>
                    <w14:schemeClr w14:val="tx1"/>
                  </w14:solidFill>
                </w14:textFill>
              </w:rPr>
              <w:t>2.5</w:t>
            </w:r>
          </w:p>
        </w:tc>
        <w:tc>
          <w:tcPr>
            <w:tcW w:w="1004" w:type="dxa"/>
            <w:tcMar>
              <w:left w:w="0" w:type="dxa"/>
              <w:right w:w="0" w:type="dxa"/>
            </w:tcMar>
            <w:vAlign w:val="center"/>
          </w:tcPr>
          <w:p w14:paraId="5AEA9B7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80" w:type="dxa"/>
            <w:tcMar>
              <w:left w:w="0" w:type="dxa"/>
              <w:right w:w="0" w:type="dxa"/>
            </w:tcMar>
            <w:vAlign w:val="center"/>
          </w:tcPr>
          <w:p w14:paraId="755A09F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1A3CAF8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无组织排放</w:t>
            </w:r>
          </w:p>
        </w:tc>
        <w:tc>
          <w:tcPr>
            <w:tcW w:w="2856" w:type="dxa"/>
            <w:vMerge w:val="continue"/>
            <w:tcMar>
              <w:left w:w="0" w:type="dxa"/>
              <w:right w:w="0" w:type="dxa"/>
            </w:tcMar>
            <w:vAlign w:val="center"/>
          </w:tcPr>
          <w:p w14:paraId="2527B33A">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2096" w:type="dxa"/>
            <w:vMerge w:val="continue"/>
            <w:tcMar>
              <w:left w:w="0" w:type="dxa"/>
              <w:right w:w="0" w:type="dxa"/>
            </w:tcMar>
            <w:vAlign w:val="center"/>
          </w:tcPr>
          <w:p w14:paraId="7F138D5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r>
      <w:tr w14:paraId="585932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551" w:type="dxa"/>
            <w:vMerge w:val="restart"/>
            <w:tcMar>
              <w:left w:w="0" w:type="dxa"/>
              <w:right w:w="0" w:type="dxa"/>
            </w:tcMar>
            <w:vAlign w:val="center"/>
          </w:tcPr>
          <w:p w14:paraId="31FAE69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2196" w:type="dxa"/>
            <w:gridSpan w:val="2"/>
            <w:vMerge w:val="restart"/>
            <w:tcMar>
              <w:left w:w="0" w:type="dxa"/>
              <w:right w:w="0" w:type="dxa"/>
            </w:tcMar>
            <w:vAlign w:val="center"/>
          </w:tcPr>
          <w:p w14:paraId="016BE0A8">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w:t>
            </w:r>
          </w:p>
        </w:tc>
        <w:tc>
          <w:tcPr>
            <w:tcW w:w="828" w:type="dxa"/>
            <w:tcMar>
              <w:left w:w="0" w:type="dxa"/>
              <w:right w:w="0" w:type="dxa"/>
            </w:tcMar>
            <w:vAlign w:val="center"/>
          </w:tcPr>
          <w:p w14:paraId="2296454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施工期</w:t>
            </w:r>
          </w:p>
        </w:tc>
        <w:tc>
          <w:tcPr>
            <w:tcW w:w="1928" w:type="dxa"/>
            <w:tcMar>
              <w:left w:w="0" w:type="dxa"/>
              <w:right w:w="0" w:type="dxa"/>
            </w:tcMar>
            <w:vAlign w:val="center"/>
          </w:tcPr>
          <w:p w14:paraId="79ED849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04" w:type="dxa"/>
            <w:tcMar>
              <w:left w:w="0" w:type="dxa"/>
              <w:right w:w="0" w:type="dxa"/>
            </w:tcMar>
            <w:vAlign w:val="center"/>
          </w:tcPr>
          <w:p w14:paraId="2805B17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80" w:type="dxa"/>
            <w:tcMar>
              <w:left w:w="0" w:type="dxa"/>
              <w:right w:w="0" w:type="dxa"/>
            </w:tcMar>
            <w:vAlign w:val="center"/>
          </w:tcPr>
          <w:p w14:paraId="7D75576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19A5EC7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856" w:type="dxa"/>
            <w:tcMar>
              <w:left w:w="0" w:type="dxa"/>
              <w:right w:w="0" w:type="dxa"/>
            </w:tcMar>
            <w:vAlign w:val="center"/>
          </w:tcPr>
          <w:p w14:paraId="0D6D955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降噪措施</w:t>
            </w:r>
          </w:p>
        </w:tc>
        <w:tc>
          <w:tcPr>
            <w:tcW w:w="2096" w:type="dxa"/>
            <w:vMerge w:val="restart"/>
            <w:tcMar>
              <w:left w:w="0" w:type="dxa"/>
              <w:right w:w="0" w:type="dxa"/>
            </w:tcMar>
            <w:vAlign w:val="center"/>
          </w:tcPr>
          <w:p w14:paraId="40069A4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《声环境质量标准》（GB3096-2008）中3类标准</w:t>
            </w:r>
          </w:p>
        </w:tc>
      </w:tr>
      <w:tr w14:paraId="34DB51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continue"/>
            <w:tcMar>
              <w:left w:w="0" w:type="dxa"/>
              <w:right w:w="0" w:type="dxa"/>
            </w:tcMar>
            <w:vAlign w:val="center"/>
          </w:tcPr>
          <w:p w14:paraId="70ED154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2196" w:type="dxa"/>
            <w:gridSpan w:val="2"/>
            <w:vMerge w:val="continue"/>
            <w:tcMar>
              <w:left w:w="0" w:type="dxa"/>
              <w:right w:w="0" w:type="dxa"/>
            </w:tcMar>
            <w:vAlign w:val="center"/>
          </w:tcPr>
          <w:p w14:paraId="5257728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828" w:type="dxa"/>
            <w:tcMar>
              <w:left w:w="0" w:type="dxa"/>
              <w:right w:w="0" w:type="dxa"/>
            </w:tcMar>
            <w:vAlign w:val="center"/>
          </w:tcPr>
          <w:p w14:paraId="7FD0B3F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运营期</w:t>
            </w:r>
          </w:p>
        </w:tc>
        <w:tc>
          <w:tcPr>
            <w:tcW w:w="1928" w:type="dxa"/>
            <w:tcMar>
              <w:left w:w="0" w:type="dxa"/>
              <w:right w:w="0" w:type="dxa"/>
            </w:tcMar>
            <w:vAlign w:val="center"/>
          </w:tcPr>
          <w:p w14:paraId="049553F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04" w:type="dxa"/>
            <w:tcMar>
              <w:left w:w="0" w:type="dxa"/>
              <w:right w:w="0" w:type="dxa"/>
            </w:tcMar>
            <w:vAlign w:val="center"/>
          </w:tcPr>
          <w:p w14:paraId="6FC3E68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80" w:type="dxa"/>
            <w:tcMar>
              <w:left w:w="0" w:type="dxa"/>
              <w:right w:w="0" w:type="dxa"/>
            </w:tcMar>
            <w:vAlign w:val="center"/>
          </w:tcPr>
          <w:p w14:paraId="4970A0AA">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00D073E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856" w:type="dxa"/>
            <w:tcMar>
              <w:left w:w="0" w:type="dxa"/>
              <w:right w:w="0" w:type="dxa"/>
            </w:tcMar>
            <w:vAlign w:val="center"/>
          </w:tcPr>
          <w:p w14:paraId="57FB05B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降噪措施</w:t>
            </w:r>
          </w:p>
        </w:tc>
        <w:tc>
          <w:tcPr>
            <w:tcW w:w="2096" w:type="dxa"/>
            <w:vMerge w:val="continue"/>
            <w:tcMar>
              <w:left w:w="0" w:type="dxa"/>
              <w:right w:w="0" w:type="dxa"/>
            </w:tcMar>
            <w:vAlign w:val="center"/>
          </w:tcPr>
          <w:p w14:paraId="5417EC9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r>
      <w:tr w14:paraId="6C6CE1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551" w:type="dxa"/>
            <w:vMerge w:val="restart"/>
            <w:tcMar>
              <w:left w:w="0" w:type="dxa"/>
              <w:right w:w="0" w:type="dxa"/>
            </w:tcMar>
            <w:vAlign w:val="center"/>
          </w:tcPr>
          <w:p w14:paraId="5CE0674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2196" w:type="dxa"/>
            <w:gridSpan w:val="2"/>
            <w:vMerge w:val="restart"/>
            <w:tcMar>
              <w:left w:w="0" w:type="dxa"/>
              <w:right w:w="0" w:type="dxa"/>
            </w:tcMar>
            <w:vAlign w:val="center"/>
          </w:tcPr>
          <w:p w14:paraId="27E7AA8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固体废物</w:t>
            </w:r>
          </w:p>
        </w:tc>
        <w:tc>
          <w:tcPr>
            <w:tcW w:w="828" w:type="dxa"/>
            <w:vMerge w:val="restart"/>
            <w:tcMar>
              <w:left w:w="0" w:type="dxa"/>
              <w:right w:w="0" w:type="dxa"/>
            </w:tcMar>
            <w:vAlign w:val="center"/>
          </w:tcPr>
          <w:p w14:paraId="7D8691D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施工期</w:t>
            </w:r>
          </w:p>
        </w:tc>
        <w:tc>
          <w:tcPr>
            <w:tcW w:w="1928" w:type="dxa"/>
            <w:vMerge w:val="restart"/>
            <w:tcMar>
              <w:left w:w="0" w:type="dxa"/>
              <w:right w:w="0" w:type="dxa"/>
            </w:tcMar>
            <w:vAlign w:val="center"/>
          </w:tcPr>
          <w:p w14:paraId="2E954B1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疏浚物</w:t>
            </w:r>
          </w:p>
        </w:tc>
        <w:tc>
          <w:tcPr>
            <w:tcW w:w="1004" w:type="dxa"/>
            <w:vMerge w:val="restart"/>
            <w:tcMar>
              <w:left w:w="0" w:type="dxa"/>
              <w:right w:w="0" w:type="dxa"/>
            </w:tcMar>
            <w:vAlign w:val="center"/>
          </w:tcPr>
          <w:p w14:paraId="306F239A">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131.16万m</w:t>
            </w:r>
            <w:r>
              <w:rPr>
                <w:color w:val="000000" w:themeColor="text1"/>
                <w:sz w:val="21"/>
                <w:szCs w:val="21"/>
                <w:vertAlign w:val="superscript"/>
                <w14:textFill>
                  <w14:solidFill>
                    <w14:schemeClr w14:val="tx1"/>
                  </w14:solidFill>
                </w14:textFill>
              </w:rPr>
              <w:t>3</w:t>
            </w:r>
          </w:p>
        </w:tc>
        <w:tc>
          <w:tcPr>
            <w:tcW w:w="1080" w:type="dxa"/>
            <w:tcMar>
              <w:left w:w="0" w:type="dxa"/>
              <w:right w:w="0" w:type="dxa"/>
            </w:tcMar>
            <w:vAlign w:val="center"/>
          </w:tcPr>
          <w:p w14:paraId="32B587CA">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792716B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74.84万m</w:t>
            </w:r>
            <w:r>
              <w:rPr>
                <w:color w:val="000000" w:themeColor="text1"/>
                <w:sz w:val="21"/>
                <w:szCs w:val="21"/>
                <w:vertAlign w:val="superscript"/>
                <w14:textFill>
                  <w14:solidFill>
                    <w14:schemeClr w14:val="tx1"/>
                  </w14:solidFill>
                </w14:textFill>
              </w:rPr>
              <w:t>3</w:t>
            </w:r>
          </w:p>
        </w:tc>
        <w:tc>
          <w:tcPr>
            <w:tcW w:w="2856" w:type="dxa"/>
            <w:tcMar>
              <w:left w:w="0" w:type="dxa"/>
              <w:right w:w="0" w:type="dxa"/>
            </w:tcMar>
            <w:vAlign w:val="center"/>
          </w:tcPr>
          <w:p w14:paraId="6BA0400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抛泥至海洋倾倒区B区</w:t>
            </w:r>
          </w:p>
        </w:tc>
        <w:tc>
          <w:tcPr>
            <w:tcW w:w="2096" w:type="dxa"/>
            <w:tcMar>
              <w:left w:w="0" w:type="dxa"/>
              <w:right w:w="0" w:type="dxa"/>
            </w:tcMar>
            <w:vAlign w:val="center"/>
          </w:tcPr>
          <w:p w14:paraId="7DC43D34">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r w14:paraId="3690ED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51" w:type="dxa"/>
            <w:vMerge w:val="continue"/>
            <w:tcMar>
              <w:left w:w="0" w:type="dxa"/>
              <w:right w:w="0" w:type="dxa"/>
            </w:tcMar>
            <w:vAlign w:val="center"/>
          </w:tcPr>
          <w:p w14:paraId="281FAE0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2196" w:type="dxa"/>
            <w:gridSpan w:val="2"/>
            <w:vMerge w:val="continue"/>
            <w:tcMar>
              <w:left w:w="0" w:type="dxa"/>
              <w:right w:w="0" w:type="dxa"/>
            </w:tcMar>
            <w:vAlign w:val="center"/>
          </w:tcPr>
          <w:p w14:paraId="6263DE5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828" w:type="dxa"/>
            <w:vMerge w:val="continue"/>
            <w:tcMar>
              <w:left w:w="0" w:type="dxa"/>
              <w:right w:w="0" w:type="dxa"/>
            </w:tcMar>
            <w:vAlign w:val="center"/>
          </w:tcPr>
          <w:p w14:paraId="2C55985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vMerge w:val="continue"/>
            <w:tcMar>
              <w:left w:w="0" w:type="dxa"/>
              <w:right w:w="0" w:type="dxa"/>
            </w:tcMar>
            <w:vAlign w:val="center"/>
          </w:tcPr>
          <w:p w14:paraId="6AC2B25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004" w:type="dxa"/>
            <w:vMerge w:val="continue"/>
            <w:tcMar>
              <w:left w:w="0" w:type="dxa"/>
              <w:right w:w="0" w:type="dxa"/>
            </w:tcMar>
            <w:vAlign w:val="center"/>
          </w:tcPr>
          <w:p w14:paraId="4A40F1A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080" w:type="dxa"/>
            <w:tcMar>
              <w:left w:w="0" w:type="dxa"/>
              <w:right w:w="0" w:type="dxa"/>
            </w:tcMar>
            <w:vAlign w:val="center"/>
          </w:tcPr>
          <w:p w14:paraId="3882532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7ABDCD3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val="en-US"/>
                <w14:textFill>
                  <w14:solidFill>
                    <w14:schemeClr w14:val="tx1"/>
                  </w14:solidFill>
                </w14:textFill>
              </w:rPr>
              <w:t>56.32</w:t>
            </w:r>
            <w:r>
              <w:rPr>
                <w:color w:val="000000" w:themeColor="text1"/>
                <w:sz w:val="21"/>
                <w:szCs w:val="21"/>
                <w:lang w:val="en-US"/>
                <w14:textFill>
                  <w14:solidFill>
                    <w14:schemeClr w14:val="tx1"/>
                  </w14:solidFill>
                </w14:textFill>
              </w:rPr>
              <w:t>万m</w:t>
            </w:r>
            <w:r>
              <w:rPr>
                <w:color w:val="000000" w:themeColor="text1"/>
                <w:sz w:val="21"/>
                <w:szCs w:val="21"/>
                <w:vertAlign w:val="superscript"/>
                <w:lang w:val="en-US"/>
                <w14:textFill>
                  <w14:solidFill>
                    <w14:schemeClr w14:val="tx1"/>
                  </w14:solidFill>
                </w14:textFill>
              </w:rPr>
              <w:t>3</w:t>
            </w:r>
          </w:p>
        </w:tc>
        <w:tc>
          <w:tcPr>
            <w:tcW w:w="2856" w:type="dxa"/>
            <w:tcMar>
              <w:left w:w="0" w:type="dxa"/>
              <w:right w:w="0" w:type="dxa"/>
            </w:tcMar>
            <w:vAlign w:val="center"/>
          </w:tcPr>
          <w:p w14:paraId="5E75EDE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吹填于后方昊鼎物流配送中心项目陆域形成</w:t>
            </w:r>
          </w:p>
        </w:tc>
        <w:tc>
          <w:tcPr>
            <w:tcW w:w="2096" w:type="dxa"/>
            <w:tcMar>
              <w:left w:w="0" w:type="dxa"/>
              <w:right w:w="0" w:type="dxa"/>
            </w:tcMar>
            <w:vAlign w:val="center"/>
          </w:tcPr>
          <w:p w14:paraId="6D35733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r>
      <w:tr w14:paraId="2E588B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continue"/>
            <w:tcMar>
              <w:left w:w="0" w:type="dxa"/>
              <w:right w:w="0" w:type="dxa"/>
            </w:tcMar>
            <w:vAlign w:val="center"/>
          </w:tcPr>
          <w:p w14:paraId="70ED70C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2196" w:type="dxa"/>
            <w:gridSpan w:val="2"/>
            <w:vMerge w:val="continue"/>
            <w:tcMar>
              <w:left w:w="0" w:type="dxa"/>
              <w:right w:w="0" w:type="dxa"/>
            </w:tcMar>
            <w:vAlign w:val="center"/>
          </w:tcPr>
          <w:p w14:paraId="600C642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828" w:type="dxa"/>
            <w:vMerge w:val="continue"/>
            <w:tcMar>
              <w:left w:w="0" w:type="dxa"/>
              <w:right w:w="0" w:type="dxa"/>
            </w:tcMar>
            <w:vAlign w:val="center"/>
          </w:tcPr>
          <w:p w14:paraId="566AE85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5E5FFF9C">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船舶生活垃圾</w:t>
            </w:r>
          </w:p>
        </w:tc>
        <w:tc>
          <w:tcPr>
            <w:tcW w:w="1004" w:type="dxa"/>
            <w:tcMar>
              <w:left w:w="0" w:type="dxa"/>
              <w:right w:w="0" w:type="dxa"/>
            </w:tcMar>
            <w:vAlign w:val="center"/>
          </w:tcPr>
          <w:p w14:paraId="23DDF1BE">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8.5t</w:t>
            </w:r>
          </w:p>
        </w:tc>
        <w:tc>
          <w:tcPr>
            <w:tcW w:w="1080" w:type="dxa"/>
            <w:tcMar>
              <w:left w:w="0" w:type="dxa"/>
              <w:right w:w="0" w:type="dxa"/>
            </w:tcMar>
            <w:vAlign w:val="center"/>
          </w:tcPr>
          <w:p w14:paraId="148FD959">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w:t>
            </w:r>
          </w:p>
        </w:tc>
        <w:tc>
          <w:tcPr>
            <w:tcW w:w="1391" w:type="dxa"/>
            <w:tcMar>
              <w:left w:w="0" w:type="dxa"/>
              <w:right w:w="0" w:type="dxa"/>
            </w:tcMar>
            <w:vAlign w:val="center"/>
          </w:tcPr>
          <w:p w14:paraId="6D91DE35">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8.5t</w:t>
            </w:r>
          </w:p>
        </w:tc>
        <w:tc>
          <w:tcPr>
            <w:tcW w:w="2856" w:type="dxa"/>
            <w:tcMar>
              <w:left w:w="0" w:type="dxa"/>
              <w:right w:w="0" w:type="dxa"/>
            </w:tcMar>
            <w:vAlign w:val="center"/>
          </w:tcPr>
          <w:p w14:paraId="10067DE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委托接收，有资质单位处置</w:t>
            </w:r>
          </w:p>
        </w:tc>
        <w:tc>
          <w:tcPr>
            <w:tcW w:w="2096" w:type="dxa"/>
            <w:tcMar>
              <w:left w:w="0" w:type="dxa"/>
              <w:right w:w="0" w:type="dxa"/>
            </w:tcMar>
            <w:vAlign w:val="center"/>
          </w:tcPr>
          <w:p w14:paraId="6419016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r w14:paraId="7DFAD3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continue"/>
            <w:tcMar>
              <w:left w:w="0" w:type="dxa"/>
              <w:right w:w="0" w:type="dxa"/>
            </w:tcMar>
            <w:vAlign w:val="center"/>
          </w:tcPr>
          <w:p w14:paraId="15F6978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2196" w:type="dxa"/>
            <w:gridSpan w:val="2"/>
            <w:vMerge w:val="continue"/>
            <w:tcMar>
              <w:left w:w="0" w:type="dxa"/>
              <w:right w:w="0" w:type="dxa"/>
            </w:tcMar>
            <w:vAlign w:val="center"/>
          </w:tcPr>
          <w:p w14:paraId="301FC7C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828" w:type="dxa"/>
            <w:vMerge w:val="restart"/>
            <w:tcMar>
              <w:left w:w="0" w:type="dxa"/>
              <w:right w:w="0" w:type="dxa"/>
            </w:tcMar>
            <w:vAlign w:val="center"/>
          </w:tcPr>
          <w:p w14:paraId="4E40A7F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运营期</w:t>
            </w:r>
          </w:p>
        </w:tc>
        <w:tc>
          <w:tcPr>
            <w:tcW w:w="1928" w:type="dxa"/>
            <w:tcMar>
              <w:left w:w="0" w:type="dxa"/>
              <w:right w:w="0" w:type="dxa"/>
            </w:tcMar>
            <w:vAlign w:val="center"/>
          </w:tcPr>
          <w:p w14:paraId="217873D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到港船舶生活垃圾</w:t>
            </w:r>
          </w:p>
        </w:tc>
        <w:tc>
          <w:tcPr>
            <w:tcW w:w="1004" w:type="dxa"/>
            <w:tcMar>
              <w:left w:w="0" w:type="dxa"/>
              <w:right w:w="0" w:type="dxa"/>
            </w:tcMar>
            <w:vAlign w:val="center"/>
          </w:tcPr>
          <w:p w14:paraId="24FFDE8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52.8t/a</w:t>
            </w:r>
          </w:p>
        </w:tc>
        <w:tc>
          <w:tcPr>
            <w:tcW w:w="1080" w:type="dxa"/>
            <w:tcMar>
              <w:left w:w="0" w:type="dxa"/>
              <w:right w:w="0" w:type="dxa"/>
            </w:tcMar>
            <w:vAlign w:val="center"/>
          </w:tcPr>
          <w:p w14:paraId="0708FDC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7EFD2E48">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52.8t/a</w:t>
            </w:r>
          </w:p>
        </w:tc>
        <w:tc>
          <w:tcPr>
            <w:tcW w:w="2856" w:type="dxa"/>
            <w:tcMar>
              <w:left w:w="0" w:type="dxa"/>
              <w:right w:w="0" w:type="dxa"/>
            </w:tcMar>
            <w:vAlign w:val="center"/>
          </w:tcPr>
          <w:p w14:paraId="51E582A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委托接收，有资质单位处置</w:t>
            </w:r>
          </w:p>
        </w:tc>
        <w:tc>
          <w:tcPr>
            <w:tcW w:w="2096" w:type="dxa"/>
            <w:tcMar>
              <w:left w:w="0" w:type="dxa"/>
              <w:right w:w="0" w:type="dxa"/>
            </w:tcMar>
            <w:vAlign w:val="center"/>
          </w:tcPr>
          <w:p w14:paraId="6CD3373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r w14:paraId="5780F3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continue"/>
            <w:tcMar>
              <w:left w:w="0" w:type="dxa"/>
              <w:right w:w="0" w:type="dxa"/>
            </w:tcMar>
            <w:vAlign w:val="center"/>
          </w:tcPr>
          <w:p w14:paraId="6BA00EE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2196" w:type="dxa"/>
            <w:gridSpan w:val="2"/>
            <w:vMerge w:val="continue"/>
            <w:tcMar>
              <w:left w:w="0" w:type="dxa"/>
              <w:right w:w="0" w:type="dxa"/>
            </w:tcMar>
            <w:vAlign w:val="center"/>
          </w:tcPr>
          <w:p w14:paraId="7667BFC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828" w:type="dxa"/>
            <w:vMerge w:val="continue"/>
            <w:tcMar>
              <w:left w:w="0" w:type="dxa"/>
              <w:right w:w="0" w:type="dxa"/>
            </w:tcMar>
            <w:vAlign w:val="center"/>
          </w:tcPr>
          <w:p w14:paraId="053520D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6238BE93">
            <w:pPr>
              <w:pStyle w:val="209"/>
              <w:adjustRightInd w:val="0"/>
              <w:snapToGrid w:val="0"/>
              <w:spacing w:line="240" w:lineRule="exact"/>
              <w:ind w:firstLine="0" w:firstLineChars="0"/>
              <w:jc w:val="center"/>
              <w:rPr>
                <w:snapToGrid w:val="0"/>
                <w:color w:val="000000" w:themeColor="text1"/>
                <w:sz w:val="21"/>
                <w:szCs w:val="21"/>
                <w14:textFill>
                  <w14:solidFill>
                    <w14:schemeClr w14:val="tx1"/>
                  </w14:solidFill>
                </w14:textFill>
              </w:rPr>
            </w:pPr>
            <w:r>
              <w:rPr>
                <w:sz w:val="21"/>
                <w:szCs w:val="21"/>
              </w:rPr>
              <w:t>陆域危险废物</w:t>
            </w:r>
          </w:p>
        </w:tc>
        <w:tc>
          <w:tcPr>
            <w:tcW w:w="1004" w:type="dxa"/>
            <w:tcMar>
              <w:left w:w="0" w:type="dxa"/>
              <w:right w:w="0" w:type="dxa"/>
            </w:tcMar>
            <w:vAlign w:val="center"/>
          </w:tcPr>
          <w:p w14:paraId="35F406A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1.19 t/a</w:t>
            </w:r>
          </w:p>
        </w:tc>
        <w:tc>
          <w:tcPr>
            <w:tcW w:w="1080" w:type="dxa"/>
            <w:tcMar>
              <w:left w:w="0" w:type="dxa"/>
              <w:right w:w="0" w:type="dxa"/>
            </w:tcMar>
            <w:vAlign w:val="center"/>
          </w:tcPr>
          <w:p w14:paraId="6DAF710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391" w:type="dxa"/>
            <w:tcMar>
              <w:left w:w="0" w:type="dxa"/>
              <w:right w:w="0" w:type="dxa"/>
            </w:tcMar>
            <w:vAlign w:val="center"/>
          </w:tcPr>
          <w:p w14:paraId="7E8F32B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1.19 t/a</w:t>
            </w:r>
          </w:p>
        </w:tc>
        <w:tc>
          <w:tcPr>
            <w:tcW w:w="2856" w:type="dxa"/>
            <w:tcMar>
              <w:left w:w="0" w:type="dxa"/>
              <w:right w:w="0" w:type="dxa"/>
            </w:tcMar>
            <w:vAlign w:val="center"/>
          </w:tcPr>
          <w:p w14:paraId="569A74C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委托接收，有资质单位处置</w:t>
            </w:r>
          </w:p>
        </w:tc>
        <w:tc>
          <w:tcPr>
            <w:tcW w:w="2096" w:type="dxa"/>
            <w:tcMar>
              <w:left w:w="0" w:type="dxa"/>
              <w:right w:w="0" w:type="dxa"/>
            </w:tcMar>
            <w:vAlign w:val="center"/>
          </w:tcPr>
          <w:p w14:paraId="7E7E89F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r>
      <w:tr w14:paraId="69E124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continue"/>
            <w:tcMar>
              <w:left w:w="0" w:type="dxa"/>
              <w:right w:w="0" w:type="dxa"/>
            </w:tcMar>
            <w:vAlign w:val="center"/>
          </w:tcPr>
          <w:p w14:paraId="1A8F279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2196" w:type="dxa"/>
            <w:gridSpan w:val="2"/>
            <w:vMerge w:val="continue"/>
            <w:tcMar>
              <w:left w:w="0" w:type="dxa"/>
              <w:right w:w="0" w:type="dxa"/>
            </w:tcMar>
            <w:vAlign w:val="center"/>
          </w:tcPr>
          <w:p w14:paraId="00EF927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828" w:type="dxa"/>
            <w:vMerge w:val="continue"/>
            <w:tcMar>
              <w:left w:w="0" w:type="dxa"/>
              <w:right w:w="0" w:type="dxa"/>
            </w:tcMar>
            <w:vAlign w:val="center"/>
          </w:tcPr>
          <w:p w14:paraId="01D2D6A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10822622">
            <w:pPr>
              <w:pStyle w:val="209"/>
              <w:adjustRightInd w:val="0"/>
              <w:snapToGrid w:val="0"/>
              <w:spacing w:line="240" w:lineRule="exact"/>
              <w:ind w:firstLine="0" w:firstLineChars="0"/>
              <w:jc w:val="center"/>
              <w:rPr>
                <w:snapToGrid w:val="0"/>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陆域生活垃圾</w:t>
            </w:r>
          </w:p>
        </w:tc>
        <w:tc>
          <w:tcPr>
            <w:tcW w:w="1004" w:type="dxa"/>
            <w:tcMar>
              <w:left w:w="0" w:type="dxa"/>
              <w:right w:w="0" w:type="dxa"/>
            </w:tcMar>
            <w:vAlign w:val="center"/>
          </w:tcPr>
          <w:p w14:paraId="6BFD945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35.28t/a</w:t>
            </w:r>
          </w:p>
        </w:tc>
        <w:tc>
          <w:tcPr>
            <w:tcW w:w="1080" w:type="dxa"/>
            <w:tcMar>
              <w:left w:w="0" w:type="dxa"/>
              <w:right w:w="0" w:type="dxa"/>
            </w:tcMar>
            <w:vAlign w:val="center"/>
          </w:tcPr>
          <w:p w14:paraId="7A2FCE3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1705F91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35.28t/a</w:t>
            </w:r>
          </w:p>
        </w:tc>
        <w:tc>
          <w:tcPr>
            <w:tcW w:w="2856" w:type="dxa"/>
            <w:tcMar>
              <w:left w:w="0" w:type="dxa"/>
              <w:right w:w="0" w:type="dxa"/>
            </w:tcMar>
            <w:vAlign w:val="center"/>
          </w:tcPr>
          <w:p w14:paraId="5B32496A">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环卫部门处理</w:t>
            </w:r>
          </w:p>
        </w:tc>
        <w:tc>
          <w:tcPr>
            <w:tcW w:w="2096" w:type="dxa"/>
            <w:tcMar>
              <w:left w:w="0" w:type="dxa"/>
              <w:right w:w="0" w:type="dxa"/>
            </w:tcMar>
            <w:vAlign w:val="center"/>
          </w:tcPr>
          <w:p w14:paraId="333741B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bl>
    <w:p w14:paraId="69ABB4B2">
      <w:pPr>
        <w:ind w:firstLine="462"/>
        <w:sectPr>
          <w:pgSz w:w="16840" w:h="11907" w:orient="landscape"/>
          <w:pgMar w:top="1797" w:right="1440" w:bottom="1514" w:left="1440" w:header="992" w:footer="851" w:gutter="284"/>
          <w:pgNumType w:fmt="numberInDash"/>
          <w:cols w:space="425" w:num="1"/>
          <w:docGrid w:type="linesAndChars" w:linePitch="465" w:charSpace="-1866"/>
        </w:sectPr>
      </w:pPr>
    </w:p>
    <w:p w14:paraId="5C4B806E">
      <w:pPr>
        <w:pStyle w:val="4"/>
      </w:pPr>
      <w:bookmarkStart w:id="701" w:name="_Toc217977949"/>
      <w:bookmarkStart w:id="702" w:name="_Toc198042352"/>
      <w:r>
        <w:t>环境监测</w:t>
      </w:r>
      <w:bookmarkEnd w:id="692"/>
      <w:bookmarkEnd w:id="693"/>
      <w:bookmarkEnd w:id="694"/>
      <w:bookmarkEnd w:id="695"/>
      <w:bookmarkEnd w:id="696"/>
      <w:bookmarkEnd w:id="701"/>
      <w:bookmarkEnd w:id="702"/>
    </w:p>
    <w:p w14:paraId="578AED2D">
      <w:pPr>
        <w:pStyle w:val="5"/>
      </w:pPr>
      <w:r>
        <w:t>监测目的</w:t>
      </w:r>
    </w:p>
    <w:p w14:paraId="07B9C2CC">
      <w:pPr>
        <w:ind w:firstLine="462"/>
      </w:pPr>
      <w:r>
        <w:t>通过实施必要的环境监测计划，全面及时地掌握项目施工期、运营期的环境状况，对可能发生的污染进行监测，为制定必要的污染控制措施提供依据。</w:t>
      </w:r>
    </w:p>
    <w:p w14:paraId="7C72D1B7">
      <w:pPr>
        <w:pStyle w:val="5"/>
      </w:pPr>
      <w:r>
        <w:t>环境监测机构</w:t>
      </w:r>
    </w:p>
    <w:p w14:paraId="5BE44FDE">
      <w:pPr>
        <w:ind w:firstLine="462"/>
      </w:pPr>
      <w:r>
        <w:t>环境监测委托通过计量认证或具有相应资质的环境监测机构进行。</w:t>
      </w:r>
    </w:p>
    <w:p w14:paraId="60D8D130">
      <w:pPr>
        <w:pStyle w:val="5"/>
      </w:pPr>
      <w:r>
        <w:t>环境监测计划</w:t>
      </w:r>
    </w:p>
    <w:p w14:paraId="78DDFA99">
      <w:pPr>
        <w:ind w:firstLine="462"/>
      </w:pPr>
      <w:r>
        <w:t>针对本工程污染物的排放情况，结合项目周围环境特点，制定环境监测调查方案，包括项目环保竣工验收监测调查及运营期污染物达标排放、生态环境保护措施效果的监督性监测调查，所有监测按相关监测技术规范进行，项目分析方法优先使用国标方法或行业标准方法。由项目业主负责监测计划的组织实施。</w:t>
      </w:r>
    </w:p>
    <w:p w14:paraId="76E3A974">
      <w:pPr>
        <w:pStyle w:val="6"/>
      </w:pPr>
      <w:r>
        <w:rPr>
          <w:rFonts w:hint="eastAsia"/>
        </w:rPr>
        <w:t>施工期环境监测计划</w:t>
      </w:r>
    </w:p>
    <w:p w14:paraId="72F1D91C">
      <w:pPr>
        <w:ind w:firstLine="462"/>
        <w:rPr>
          <w:szCs w:val="20"/>
        </w:rPr>
      </w:pPr>
      <w:r>
        <w:rPr>
          <w:szCs w:val="20"/>
        </w:rPr>
        <w:t>本</w:t>
      </w:r>
      <w:r>
        <w:rPr>
          <w:rFonts w:hint="eastAsia"/>
          <w:szCs w:val="20"/>
        </w:rPr>
        <w:t>项目</w:t>
      </w:r>
      <w:r>
        <w:t>施工期主要开展海水水质、海洋沉积物、海洋生态调查</w:t>
      </w:r>
      <w:r>
        <w:rPr>
          <w:szCs w:val="20"/>
        </w:rPr>
        <w:t>。</w:t>
      </w:r>
      <w:r>
        <w:rPr>
          <w:rFonts w:hint="eastAsia"/>
        </w:rPr>
        <w:t>海水水质、海洋沉积物、海洋生态监测项目及频率主要依据《建设项目海洋环境影响跟踪监测技术规程》确定。项目施工期监测计划详见表8.3-1。</w:t>
      </w:r>
    </w:p>
    <w:p w14:paraId="79402337">
      <w:pPr>
        <w:pStyle w:val="7"/>
      </w:pPr>
      <w:r>
        <w:t>项目施工期监测实施计划</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64"/>
        <w:gridCol w:w="1665"/>
        <w:gridCol w:w="1457"/>
        <w:gridCol w:w="1559"/>
        <w:gridCol w:w="2183"/>
      </w:tblGrid>
      <w:tr w14:paraId="4AF9E7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976" w:type="pct"/>
            <w:vAlign w:val="center"/>
          </w:tcPr>
          <w:p w14:paraId="2C93EFDD">
            <w:pPr>
              <w:pStyle w:val="34"/>
            </w:pPr>
            <w:r>
              <w:rPr>
                <w:rFonts w:hint="eastAsia"/>
              </w:rPr>
              <w:t>项目</w:t>
            </w:r>
          </w:p>
        </w:tc>
        <w:tc>
          <w:tcPr>
            <w:tcW w:w="976" w:type="pct"/>
            <w:vAlign w:val="center"/>
          </w:tcPr>
          <w:p w14:paraId="4265C6EE">
            <w:pPr>
              <w:pStyle w:val="34"/>
            </w:pPr>
            <w:r>
              <w:rPr>
                <w:rFonts w:hint="eastAsia"/>
              </w:rPr>
              <w:t>监测点位</w:t>
            </w:r>
          </w:p>
        </w:tc>
        <w:tc>
          <w:tcPr>
            <w:tcW w:w="854" w:type="pct"/>
            <w:vAlign w:val="center"/>
          </w:tcPr>
          <w:p w14:paraId="558D638A">
            <w:pPr>
              <w:pStyle w:val="34"/>
            </w:pPr>
            <w:r>
              <w:rPr>
                <w:rFonts w:hint="eastAsia"/>
              </w:rPr>
              <w:t>监测项目</w:t>
            </w:r>
          </w:p>
        </w:tc>
        <w:tc>
          <w:tcPr>
            <w:tcW w:w="914" w:type="pct"/>
            <w:vAlign w:val="center"/>
          </w:tcPr>
          <w:p w14:paraId="2C307F20">
            <w:pPr>
              <w:pStyle w:val="34"/>
            </w:pPr>
            <w:r>
              <w:rPr>
                <w:rFonts w:hint="eastAsia"/>
              </w:rPr>
              <w:t>监测频率</w:t>
            </w:r>
          </w:p>
        </w:tc>
        <w:tc>
          <w:tcPr>
            <w:tcW w:w="1280" w:type="pct"/>
            <w:vAlign w:val="center"/>
          </w:tcPr>
          <w:p w14:paraId="5B89A7DE">
            <w:pPr>
              <w:pStyle w:val="34"/>
            </w:pPr>
            <w:r>
              <w:rPr>
                <w:rFonts w:hint="eastAsia"/>
              </w:rPr>
              <w:t>执行标准</w:t>
            </w:r>
          </w:p>
        </w:tc>
      </w:tr>
      <w:tr w14:paraId="118D1C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76" w:type="pct"/>
            <w:vAlign w:val="center"/>
          </w:tcPr>
          <w:p w14:paraId="7025DEDE">
            <w:pPr>
              <w:pStyle w:val="34"/>
            </w:pPr>
            <w:r>
              <w:rPr>
                <w:rFonts w:hint="eastAsia"/>
              </w:rPr>
              <w:t>海水水质</w:t>
            </w:r>
          </w:p>
        </w:tc>
        <w:tc>
          <w:tcPr>
            <w:tcW w:w="976" w:type="pct"/>
            <w:vMerge w:val="restart"/>
            <w:vAlign w:val="center"/>
          </w:tcPr>
          <w:p w14:paraId="77E3D5B8">
            <w:pPr>
              <w:pStyle w:val="34"/>
            </w:pPr>
            <w:r>
              <w:rPr>
                <w:rFonts w:hint="eastAsia"/>
              </w:rPr>
              <w:t>海水水质监测站位9个，海洋沉积物、海洋生物监测站3个</w:t>
            </w:r>
          </w:p>
        </w:tc>
        <w:tc>
          <w:tcPr>
            <w:tcW w:w="854" w:type="pct"/>
            <w:vAlign w:val="center"/>
          </w:tcPr>
          <w:p w14:paraId="7A8AE369">
            <w:pPr>
              <w:pStyle w:val="34"/>
            </w:pPr>
            <w:r>
              <w:rPr>
                <w:rFonts w:hint="eastAsia"/>
              </w:rPr>
              <w:t>水温、pH值、悬浮物、无机氮、活性磷酸盐、COD、铜、铅、镉、石油类、</w:t>
            </w:r>
          </w:p>
        </w:tc>
        <w:tc>
          <w:tcPr>
            <w:tcW w:w="914" w:type="pct"/>
            <w:vAlign w:val="center"/>
          </w:tcPr>
          <w:p w14:paraId="3D431ED1">
            <w:pPr>
              <w:pStyle w:val="34"/>
            </w:pPr>
            <w:r>
              <w:rPr>
                <w:rFonts w:hint="eastAsia"/>
              </w:rPr>
              <w:t>施工前监测一次，施工期选择丰、平、枯季分别监测，施工结束后进行一次</w:t>
            </w:r>
          </w:p>
        </w:tc>
        <w:tc>
          <w:tcPr>
            <w:tcW w:w="1280" w:type="pct"/>
            <w:vAlign w:val="center"/>
          </w:tcPr>
          <w:p w14:paraId="53021283">
            <w:pPr>
              <w:pStyle w:val="34"/>
            </w:pPr>
            <w:r>
              <w:rPr>
                <w:rFonts w:hint="eastAsia"/>
              </w:rPr>
              <w:t>《海水水质标准》（</w:t>
            </w:r>
            <w:r>
              <w:t>GB3097-1997</w:t>
            </w:r>
            <w:r>
              <w:rPr>
                <w:rFonts w:hint="eastAsia"/>
              </w:rPr>
              <w:t>）</w:t>
            </w:r>
          </w:p>
        </w:tc>
      </w:tr>
      <w:tr w14:paraId="07D23F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76" w:type="pct"/>
            <w:vAlign w:val="center"/>
          </w:tcPr>
          <w:p w14:paraId="6D8E56AB">
            <w:pPr>
              <w:pStyle w:val="34"/>
            </w:pPr>
            <w:r>
              <w:rPr>
                <w:rFonts w:hint="eastAsia"/>
              </w:rPr>
              <w:t>海洋沉积物</w:t>
            </w:r>
          </w:p>
        </w:tc>
        <w:tc>
          <w:tcPr>
            <w:tcW w:w="976" w:type="pct"/>
            <w:vMerge w:val="continue"/>
            <w:vAlign w:val="center"/>
          </w:tcPr>
          <w:p w14:paraId="089FD676">
            <w:pPr>
              <w:pStyle w:val="34"/>
            </w:pPr>
          </w:p>
        </w:tc>
        <w:tc>
          <w:tcPr>
            <w:tcW w:w="854" w:type="pct"/>
            <w:vAlign w:val="center"/>
          </w:tcPr>
          <w:p w14:paraId="76F3158D">
            <w:pPr>
              <w:pStyle w:val="34"/>
            </w:pPr>
            <w:r>
              <w:rPr>
                <w:rFonts w:hint="eastAsia"/>
              </w:rPr>
              <w:t>铜、铅、镉、石油类</w:t>
            </w:r>
          </w:p>
        </w:tc>
        <w:tc>
          <w:tcPr>
            <w:tcW w:w="914" w:type="pct"/>
            <w:vAlign w:val="center"/>
          </w:tcPr>
          <w:p w14:paraId="668EB443">
            <w:pPr>
              <w:pStyle w:val="34"/>
            </w:pPr>
            <w:r>
              <w:rPr>
                <w:rFonts w:hint="eastAsia"/>
              </w:rPr>
              <w:t>施工开始时进行一次，施工期每年监测一次</w:t>
            </w:r>
          </w:p>
        </w:tc>
        <w:tc>
          <w:tcPr>
            <w:tcW w:w="1280" w:type="pct"/>
            <w:vAlign w:val="center"/>
          </w:tcPr>
          <w:p w14:paraId="0BA659DE">
            <w:pPr>
              <w:pStyle w:val="34"/>
            </w:pPr>
            <w:r>
              <w:rPr>
                <w:rFonts w:hint="eastAsia"/>
              </w:rPr>
              <w:t>《海洋沉积物质量》（GB18668-</w:t>
            </w:r>
            <w:r>
              <w:t>2002</w:t>
            </w:r>
            <w:r>
              <w:rPr>
                <w:rFonts w:hint="eastAsia"/>
              </w:rPr>
              <w:t>）</w:t>
            </w:r>
          </w:p>
        </w:tc>
      </w:tr>
      <w:tr w14:paraId="464DB5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76" w:type="pct"/>
            <w:vAlign w:val="center"/>
          </w:tcPr>
          <w:p w14:paraId="27E8CD30">
            <w:pPr>
              <w:pStyle w:val="34"/>
            </w:pPr>
            <w:r>
              <w:rPr>
                <w:rFonts w:hint="eastAsia"/>
              </w:rPr>
              <w:t>海洋生物生态</w:t>
            </w:r>
          </w:p>
        </w:tc>
        <w:tc>
          <w:tcPr>
            <w:tcW w:w="976" w:type="pct"/>
            <w:vMerge w:val="continue"/>
            <w:vAlign w:val="center"/>
          </w:tcPr>
          <w:p w14:paraId="2914845A">
            <w:pPr>
              <w:pStyle w:val="34"/>
            </w:pPr>
          </w:p>
        </w:tc>
        <w:tc>
          <w:tcPr>
            <w:tcW w:w="854" w:type="pct"/>
            <w:vAlign w:val="center"/>
          </w:tcPr>
          <w:p w14:paraId="13264957">
            <w:pPr>
              <w:pStyle w:val="34"/>
            </w:pPr>
            <w:r>
              <w:rPr>
                <w:rFonts w:hint="eastAsia"/>
              </w:rPr>
              <w:t>叶绿素a、浮游动物、浮游植物、底栖生物</w:t>
            </w:r>
          </w:p>
        </w:tc>
        <w:tc>
          <w:tcPr>
            <w:tcW w:w="914" w:type="pct"/>
            <w:vAlign w:val="center"/>
          </w:tcPr>
          <w:p w14:paraId="3ED83D83">
            <w:pPr>
              <w:pStyle w:val="34"/>
            </w:pPr>
            <w:r>
              <w:rPr>
                <w:rFonts w:hint="eastAsia"/>
              </w:rPr>
              <w:t>施工期春季、秋季各进行1次</w:t>
            </w:r>
            <w:r>
              <w:t xml:space="preserve"> </w:t>
            </w:r>
          </w:p>
        </w:tc>
        <w:tc>
          <w:tcPr>
            <w:tcW w:w="1280" w:type="pct"/>
            <w:vAlign w:val="center"/>
          </w:tcPr>
          <w:p w14:paraId="08BC9931">
            <w:pPr>
              <w:pStyle w:val="34"/>
            </w:pPr>
          </w:p>
        </w:tc>
      </w:tr>
    </w:tbl>
    <w:p w14:paraId="42D5DFD2">
      <w:pPr>
        <w:pStyle w:val="6"/>
      </w:pPr>
      <w:r>
        <w:rPr>
          <w:rFonts w:hint="eastAsia"/>
        </w:rPr>
        <w:t>运营期环境监测计划</w:t>
      </w:r>
    </w:p>
    <w:p w14:paraId="061AEFB9">
      <w:pPr>
        <w:ind w:firstLine="462"/>
      </w:pPr>
      <w:r>
        <w:rPr>
          <w:rFonts w:hint="eastAsia"/>
        </w:rPr>
        <w:t>1、常规监测</w:t>
      </w:r>
    </w:p>
    <w:p w14:paraId="21F849F7">
      <w:pPr>
        <w:ind w:firstLine="462"/>
      </w:pPr>
      <w:r>
        <w:t>开展海水水质现状调查及厂界环境噪声监测</w:t>
      </w:r>
      <w:r>
        <w:rPr>
          <w:rFonts w:hint="eastAsia"/>
        </w:rPr>
        <w:t>，运营期环境监测计划见表8.3-2。</w:t>
      </w:r>
      <w:r>
        <w:t xml:space="preserve"> </w:t>
      </w:r>
    </w:p>
    <w:p w14:paraId="4D3A57EE">
      <w:pPr>
        <w:ind w:firstLine="462"/>
      </w:pPr>
      <w:r>
        <w:rPr>
          <w:rFonts w:hint="eastAsia"/>
        </w:rPr>
        <w:t>海水水质监测项目及频率主要依据《建设项目海洋环境影响跟踪监测技术规程》确定；厂界环境噪声监测项目及频率主要依据《排污单位自行监测技术指南 总则》确定。</w:t>
      </w:r>
    </w:p>
    <w:p w14:paraId="524C1F13">
      <w:pPr>
        <w:ind w:firstLine="462"/>
      </w:pPr>
      <w:r>
        <w:rPr>
          <w:rFonts w:hint="eastAsia"/>
        </w:rPr>
        <w:t>项目具体监测频次和站位位置，可视工程实际运行情况、周边港口运行情况以及周边海洋环境例行监测点位布置情况进行统筹及调整；项目营运期码头前沿分布迁建后的排污口，</w:t>
      </w:r>
      <w:r>
        <w:rPr>
          <w:rFonts w:hint="eastAsia"/>
          <w:u w:val="single"/>
        </w:rPr>
        <w:t>建议项目跟踪监测计划可与排污口跟踪监测计划统筹实施。</w:t>
      </w:r>
      <w:r>
        <w:rPr>
          <w:rFonts w:hint="eastAsia"/>
        </w:rPr>
        <w:t>本报告所提供的运营期监测计划仅供参考。</w:t>
      </w:r>
    </w:p>
    <w:p w14:paraId="4D50FF08">
      <w:pPr>
        <w:pStyle w:val="7"/>
      </w:pPr>
      <w:r>
        <w:t>项目</w:t>
      </w:r>
      <w:r>
        <w:rPr>
          <w:rFonts w:hint="eastAsia"/>
        </w:rPr>
        <w:t>运营期</w:t>
      </w:r>
      <w:r>
        <w:t>环境质量监测实施计划</w:t>
      </w:r>
    </w:p>
    <w:tbl>
      <w:tblPr>
        <w:tblStyle w:val="88"/>
        <w:tblpPr w:leftFromText="180" w:rightFromText="180" w:vertAnchor="text" w:tblpXSpec="center" w:tblpY="1"/>
        <w:tblOverlap w:val="never"/>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90"/>
        <w:gridCol w:w="895"/>
        <w:gridCol w:w="2384"/>
        <w:gridCol w:w="2719"/>
        <w:gridCol w:w="2040"/>
      </w:tblGrid>
      <w:tr w14:paraId="32287B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287" w:type="pct"/>
            <w:vAlign w:val="center"/>
          </w:tcPr>
          <w:p w14:paraId="3754BBA9">
            <w:pPr>
              <w:adjustRightInd w:val="0"/>
              <w:snapToGrid w:val="0"/>
              <w:ind w:firstLine="0" w:firstLineChars="0"/>
              <w:jc w:val="center"/>
              <w:rPr>
                <w:sz w:val="21"/>
                <w:szCs w:val="21"/>
              </w:rPr>
            </w:pPr>
            <w:bookmarkStart w:id="703" w:name="_Toc260909486"/>
            <w:bookmarkStart w:id="704" w:name="_Toc251245354"/>
            <w:bookmarkStart w:id="705" w:name="_Toc317003289"/>
            <w:bookmarkStart w:id="706" w:name="_Toc317003569"/>
            <w:bookmarkStart w:id="707" w:name="_Toc303949966"/>
            <w:bookmarkStart w:id="708" w:name="_Toc225526840"/>
            <w:bookmarkStart w:id="709" w:name="_Toc301808262"/>
            <w:r>
              <w:rPr>
                <w:sz w:val="21"/>
                <w:szCs w:val="21"/>
              </w:rPr>
              <w:t>时段</w:t>
            </w:r>
          </w:p>
        </w:tc>
        <w:tc>
          <w:tcPr>
            <w:tcW w:w="525" w:type="pct"/>
            <w:vAlign w:val="center"/>
          </w:tcPr>
          <w:p w14:paraId="48B00F7F">
            <w:pPr>
              <w:adjustRightInd w:val="0"/>
              <w:snapToGrid w:val="0"/>
              <w:ind w:firstLine="0" w:firstLineChars="0"/>
              <w:jc w:val="center"/>
              <w:rPr>
                <w:sz w:val="21"/>
                <w:szCs w:val="21"/>
              </w:rPr>
            </w:pPr>
            <w:r>
              <w:rPr>
                <w:sz w:val="21"/>
                <w:szCs w:val="21"/>
              </w:rPr>
              <w:t>监测要素</w:t>
            </w:r>
          </w:p>
        </w:tc>
        <w:tc>
          <w:tcPr>
            <w:tcW w:w="1398" w:type="pct"/>
            <w:vAlign w:val="center"/>
          </w:tcPr>
          <w:p w14:paraId="254F5175">
            <w:pPr>
              <w:adjustRightInd w:val="0"/>
              <w:snapToGrid w:val="0"/>
              <w:ind w:firstLine="0" w:firstLineChars="0"/>
              <w:jc w:val="center"/>
              <w:rPr>
                <w:sz w:val="21"/>
                <w:szCs w:val="21"/>
              </w:rPr>
            </w:pPr>
            <w:r>
              <w:rPr>
                <w:sz w:val="21"/>
                <w:szCs w:val="21"/>
              </w:rPr>
              <w:t>监测调查布点</w:t>
            </w:r>
          </w:p>
        </w:tc>
        <w:tc>
          <w:tcPr>
            <w:tcW w:w="1594" w:type="pct"/>
            <w:vAlign w:val="center"/>
          </w:tcPr>
          <w:p w14:paraId="6EF4B291">
            <w:pPr>
              <w:adjustRightInd w:val="0"/>
              <w:snapToGrid w:val="0"/>
              <w:ind w:firstLine="0" w:firstLineChars="0"/>
              <w:jc w:val="center"/>
              <w:rPr>
                <w:sz w:val="21"/>
                <w:szCs w:val="21"/>
              </w:rPr>
            </w:pPr>
            <w:r>
              <w:rPr>
                <w:sz w:val="21"/>
                <w:szCs w:val="21"/>
              </w:rPr>
              <w:t>监测项目</w:t>
            </w:r>
          </w:p>
        </w:tc>
        <w:tc>
          <w:tcPr>
            <w:tcW w:w="1196" w:type="pct"/>
            <w:vAlign w:val="center"/>
          </w:tcPr>
          <w:p w14:paraId="3C73664D">
            <w:pPr>
              <w:adjustRightInd w:val="0"/>
              <w:snapToGrid w:val="0"/>
              <w:ind w:firstLine="0" w:firstLineChars="0"/>
              <w:jc w:val="center"/>
              <w:rPr>
                <w:sz w:val="21"/>
                <w:szCs w:val="21"/>
              </w:rPr>
            </w:pPr>
            <w:r>
              <w:rPr>
                <w:sz w:val="21"/>
                <w:szCs w:val="21"/>
              </w:rPr>
              <w:t>监测频率</w:t>
            </w:r>
          </w:p>
        </w:tc>
      </w:tr>
      <w:tr w14:paraId="05F875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85" w:hRule="atLeast"/>
        </w:trPr>
        <w:tc>
          <w:tcPr>
            <w:tcW w:w="287" w:type="pct"/>
            <w:vMerge w:val="restart"/>
            <w:vAlign w:val="center"/>
          </w:tcPr>
          <w:p w14:paraId="56077A32">
            <w:pPr>
              <w:adjustRightInd w:val="0"/>
              <w:snapToGrid w:val="0"/>
              <w:ind w:firstLine="0" w:firstLineChars="0"/>
              <w:jc w:val="center"/>
              <w:rPr>
                <w:sz w:val="21"/>
                <w:szCs w:val="21"/>
              </w:rPr>
            </w:pPr>
            <w:r>
              <w:rPr>
                <w:sz w:val="21"/>
                <w:szCs w:val="21"/>
              </w:rPr>
              <w:t>运营期</w:t>
            </w:r>
          </w:p>
        </w:tc>
        <w:tc>
          <w:tcPr>
            <w:tcW w:w="525" w:type="pct"/>
            <w:vAlign w:val="center"/>
          </w:tcPr>
          <w:p w14:paraId="77E7C3A0">
            <w:pPr>
              <w:adjustRightInd w:val="0"/>
              <w:snapToGrid w:val="0"/>
              <w:ind w:firstLine="0" w:firstLineChars="0"/>
              <w:jc w:val="center"/>
              <w:rPr>
                <w:sz w:val="21"/>
                <w:szCs w:val="21"/>
              </w:rPr>
            </w:pPr>
            <w:r>
              <w:rPr>
                <w:rFonts w:hint="eastAsia"/>
                <w:sz w:val="21"/>
                <w:szCs w:val="21"/>
              </w:rPr>
              <w:t>海水水质</w:t>
            </w:r>
          </w:p>
        </w:tc>
        <w:tc>
          <w:tcPr>
            <w:tcW w:w="1398" w:type="pct"/>
            <w:vAlign w:val="center"/>
          </w:tcPr>
          <w:p w14:paraId="1148CDCF">
            <w:pPr>
              <w:adjustRightInd w:val="0"/>
              <w:snapToGrid w:val="0"/>
              <w:ind w:firstLine="0" w:firstLineChars="0"/>
              <w:jc w:val="center"/>
              <w:rPr>
                <w:sz w:val="21"/>
                <w:szCs w:val="21"/>
              </w:rPr>
            </w:pPr>
            <w:r>
              <w:rPr>
                <w:rFonts w:hint="eastAsia"/>
                <w:sz w:val="21"/>
                <w:szCs w:val="21"/>
              </w:rPr>
              <w:t>水工结构区域设置</w:t>
            </w:r>
            <w:r>
              <w:rPr>
                <w:sz w:val="21"/>
                <w:szCs w:val="21"/>
              </w:rPr>
              <w:t>1</w:t>
            </w:r>
            <w:r>
              <w:rPr>
                <w:rFonts w:hint="eastAsia"/>
                <w:sz w:val="21"/>
                <w:szCs w:val="21"/>
              </w:rPr>
              <w:t>个垂直于纵向的监测主断面，两侧各设置1个断面。每个断面设置3个站位，间隔距离2</w:t>
            </w:r>
            <w:r>
              <w:rPr>
                <w:sz w:val="21"/>
                <w:szCs w:val="21"/>
              </w:rPr>
              <w:t>00</w:t>
            </w:r>
            <w:r>
              <w:rPr>
                <w:rFonts w:hint="eastAsia"/>
                <w:sz w:val="21"/>
                <w:szCs w:val="21"/>
              </w:rPr>
              <w:t>m</w:t>
            </w:r>
          </w:p>
        </w:tc>
        <w:tc>
          <w:tcPr>
            <w:tcW w:w="1594" w:type="pct"/>
            <w:vAlign w:val="center"/>
          </w:tcPr>
          <w:p w14:paraId="310C3B44">
            <w:pPr>
              <w:adjustRightInd w:val="0"/>
              <w:snapToGrid w:val="0"/>
              <w:ind w:firstLine="0" w:firstLineChars="0"/>
              <w:jc w:val="center"/>
              <w:rPr>
                <w:sz w:val="21"/>
                <w:szCs w:val="21"/>
              </w:rPr>
            </w:pPr>
            <w:r>
              <w:rPr>
                <w:rFonts w:hint="eastAsia"/>
                <w:sz w:val="21"/>
                <w:szCs w:val="21"/>
              </w:rPr>
              <w:t>水质指标：悬浮物、COD、无机氮、活性磷酸盐、石油类、TOC、砷、重金属（Cu、Pb、Zn、Cd、Cr、Hg）；</w:t>
            </w:r>
          </w:p>
        </w:tc>
        <w:tc>
          <w:tcPr>
            <w:tcW w:w="1196" w:type="pct"/>
            <w:vAlign w:val="center"/>
          </w:tcPr>
          <w:p w14:paraId="6D5C38B5">
            <w:pPr>
              <w:adjustRightInd w:val="0"/>
              <w:snapToGrid w:val="0"/>
              <w:ind w:firstLine="0" w:firstLineChars="0"/>
              <w:jc w:val="center"/>
              <w:rPr>
                <w:sz w:val="21"/>
                <w:szCs w:val="21"/>
              </w:rPr>
            </w:pPr>
            <w:r>
              <w:rPr>
                <w:rFonts w:hint="eastAsia"/>
                <w:sz w:val="21"/>
                <w:szCs w:val="21"/>
              </w:rPr>
              <w:t>运营期的一个潮汐年的丰水期、平水期和枯水期进行大、小潮期的水质监测。</w:t>
            </w:r>
            <w:r>
              <w:rPr>
                <w:sz w:val="21"/>
                <w:szCs w:val="21"/>
              </w:rPr>
              <w:t>以后可根据前几次的监测结果，适当加大和减小监测频率</w:t>
            </w:r>
          </w:p>
        </w:tc>
      </w:tr>
      <w:tr w14:paraId="35A68B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287" w:type="pct"/>
            <w:vMerge w:val="continue"/>
            <w:vAlign w:val="center"/>
          </w:tcPr>
          <w:p w14:paraId="27D1272B">
            <w:pPr>
              <w:adjustRightInd w:val="0"/>
              <w:snapToGrid w:val="0"/>
              <w:ind w:firstLine="0" w:firstLineChars="0"/>
              <w:jc w:val="center"/>
              <w:rPr>
                <w:sz w:val="21"/>
                <w:szCs w:val="21"/>
              </w:rPr>
            </w:pPr>
          </w:p>
        </w:tc>
        <w:tc>
          <w:tcPr>
            <w:tcW w:w="525" w:type="pct"/>
            <w:vAlign w:val="center"/>
          </w:tcPr>
          <w:p w14:paraId="1DD87231">
            <w:pPr>
              <w:adjustRightInd w:val="0"/>
              <w:snapToGrid w:val="0"/>
              <w:ind w:firstLine="0" w:firstLineChars="0"/>
              <w:jc w:val="center"/>
              <w:rPr>
                <w:sz w:val="21"/>
                <w:szCs w:val="21"/>
              </w:rPr>
            </w:pPr>
            <w:r>
              <w:rPr>
                <w:rFonts w:hint="eastAsia"/>
                <w:sz w:val="21"/>
                <w:szCs w:val="21"/>
              </w:rPr>
              <w:t>厂界环境噪声</w:t>
            </w:r>
          </w:p>
        </w:tc>
        <w:tc>
          <w:tcPr>
            <w:tcW w:w="1398" w:type="pct"/>
            <w:vAlign w:val="center"/>
          </w:tcPr>
          <w:p w14:paraId="13A185EA">
            <w:pPr>
              <w:adjustRightInd w:val="0"/>
              <w:snapToGrid w:val="0"/>
              <w:ind w:firstLine="0" w:firstLineChars="0"/>
              <w:jc w:val="center"/>
              <w:rPr>
                <w:sz w:val="21"/>
                <w:szCs w:val="21"/>
              </w:rPr>
            </w:pPr>
            <w:r>
              <w:rPr>
                <w:rFonts w:hint="eastAsia"/>
                <w:sz w:val="21"/>
                <w:szCs w:val="21"/>
              </w:rPr>
              <w:t>项目厂界</w:t>
            </w:r>
          </w:p>
        </w:tc>
        <w:tc>
          <w:tcPr>
            <w:tcW w:w="1594" w:type="pct"/>
            <w:vAlign w:val="center"/>
          </w:tcPr>
          <w:p w14:paraId="369B19C1">
            <w:pPr>
              <w:adjustRightInd w:val="0"/>
              <w:snapToGrid w:val="0"/>
              <w:ind w:firstLine="0" w:firstLineChars="0"/>
              <w:jc w:val="center"/>
              <w:rPr>
                <w:sz w:val="21"/>
                <w:szCs w:val="21"/>
              </w:rPr>
            </w:pPr>
            <w:r>
              <w:rPr>
                <w:rFonts w:hint="eastAsia"/>
                <w:sz w:val="21"/>
                <w:szCs w:val="21"/>
              </w:rPr>
              <w:t>等效连续A声级</w:t>
            </w:r>
          </w:p>
        </w:tc>
        <w:tc>
          <w:tcPr>
            <w:tcW w:w="1196" w:type="pct"/>
            <w:vAlign w:val="center"/>
          </w:tcPr>
          <w:p w14:paraId="7737E058">
            <w:pPr>
              <w:adjustRightInd w:val="0"/>
              <w:snapToGrid w:val="0"/>
              <w:ind w:firstLine="0" w:firstLineChars="0"/>
              <w:jc w:val="center"/>
              <w:rPr>
                <w:sz w:val="21"/>
                <w:szCs w:val="21"/>
              </w:rPr>
            </w:pPr>
            <w:r>
              <w:rPr>
                <w:rFonts w:hint="eastAsia"/>
                <w:sz w:val="21"/>
                <w:szCs w:val="21"/>
              </w:rPr>
              <w:t>每季度监测1次</w:t>
            </w:r>
          </w:p>
        </w:tc>
      </w:tr>
    </w:tbl>
    <w:p w14:paraId="512F62BB">
      <w:pPr>
        <w:ind w:firstLine="462"/>
      </w:pPr>
      <w:r>
        <w:rPr>
          <w:rFonts w:hint="eastAsia"/>
        </w:rPr>
        <w:t>2、海域事故监测</w:t>
      </w:r>
    </w:p>
    <w:p w14:paraId="5B5B9063">
      <w:pPr>
        <w:ind w:firstLine="462"/>
        <w:rPr>
          <w:bCs/>
        </w:rPr>
      </w:pPr>
      <w:r>
        <w:rPr>
          <w:bCs/>
        </w:rPr>
        <w:t>事故应急监测内容主要包括：理化特性的测定、</w:t>
      </w:r>
      <w:r>
        <w:rPr>
          <w:rFonts w:hint="eastAsia"/>
          <w:bCs/>
        </w:rPr>
        <w:t>泄露</w:t>
      </w:r>
      <w:r>
        <w:rPr>
          <w:bCs/>
        </w:rPr>
        <w:t>量的监测、水质污染的监测、污染范围的监测和监测结果七个部分。</w:t>
      </w:r>
    </w:p>
    <w:p w14:paraId="62BEFBAE">
      <w:pPr>
        <w:ind w:firstLine="462"/>
        <w:rPr>
          <w:bCs/>
        </w:rPr>
      </w:pPr>
      <w:r>
        <w:rPr>
          <w:bCs/>
        </w:rPr>
        <w:t>（1）理化特性测定</w:t>
      </w:r>
    </w:p>
    <w:p w14:paraId="53CA3A9F">
      <w:pPr>
        <w:ind w:firstLine="462"/>
        <w:rPr>
          <w:bCs/>
        </w:rPr>
      </w:pPr>
      <w:r>
        <w:rPr>
          <w:bCs/>
        </w:rPr>
        <w:t>溢油</w:t>
      </w:r>
      <w:r>
        <w:rPr>
          <w:rFonts w:hint="eastAsia"/>
          <w:bCs/>
        </w:rPr>
        <w:t>或泄露</w:t>
      </w:r>
      <w:r>
        <w:rPr>
          <w:bCs/>
        </w:rPr>
        <w:t>发生后立即组织人员到达事故现场采集样品，并尽早将样品送至实验室。实验室对其进行密度、粘度、闪点、凝点等测定。</w:t>
      </w:r>
    </w:p>
    <w:p w14:paraId="1037BBA2">
      <w:pPr>
        <w:ind w:firstLine="462"/>
        <w:rPr>
          <w:bCs/>
        </w:rPr>
      </w:pPr>
      <w:r>
        <w:rPr>
          <w:bCs/>
        </w:rPr>
        <w:t>（2）溢油</w:t>
      </w:r>
      <w:r>
        <w:rPr>
          <w:rFonts w:hint="eastAsia"/>
          <w:bCs/>
        </w:rPr>
        <w:t>或泄露</w:t>
      </w:r>
      <w:r>
        <w:rPr>
          <w:bCs/>
        </w:rPr>
        <w:t>量的测定</w:t>
      </w:r>
    </w:p>
    <w:p w14:paraId="4525EF79">
      <w:pPr>
        <w:ind w:firstLine="462"/>
        <w:rPr>
          <w:bCs/>
        </w:rPr>
      </w:pPr>
      <w:r>
        <w:rPr>
          <w:bCs/>
        </w:rPr>
        <w:t>测算事故发生后，已经溢出的</w:t>
      </w:r>
      <w:r>
        <w:rPr>
          <w:rFonts w:hint="eastAsia"/>
          <w:bCs/>
        </w:rPr>
        <w:t>化学品量</w:t>
      </w:r>
      <w:r>
        <w:rPr>
          <w:bCs/>
        </w:rPr>
        <w:t>及溢出速率、变化趋势。对事故发生后的某一阶段或终止时的总量进行评估。</w:t>
      </w:r>
    </w:p>
    <w:p w14:paraId="5B60C295">
      <w:pPr>
        <w:ind w:firstLine="462"/>
        <w:rPr>
          <w:bCs/>
        </w:rPr>
      </w:pPr>
      <w:r>
        <w:rPr>
          <w:bCs/>
        </w:rPr>
        <w:t>监测采用现场连线监测的方式包括：勘查现场情况，记录船舶状态、</w:t>
      </w:r>
      <w:r>
        <w:rPr>
          <w:rFonts w:hint="eastAsia"/>
          <w:bCs/>
        </w:rPr>
        <w:t>泄露</w:t>
      </w:r>
      <w:r>
        <w:rPr>
          <w:bCs/>
        </w:rPr>
        <w:t>方式、海绵污染状态程度特点；测定油带的宽度和长度、漂流方向和速度、油带的厚度；记录油带的色泽和形态；估算溢油量。</w:t>
      </w:r>
    </w:p>
    <w:p w14:paraId="2A15AEDD">
      <w:pPr>
        <w:ind w:firstLine="462"/>
        <w:rPr>
          <w:bCs/>
        </w:rPr>
      </w:pPr>
      <w:r>
        <w:rPr>
          <w:bCs/>
        </w:rPr>
        <w:t>（3）水质污染的监测</w:t>
      </w:r>
    </w:p>
    <w:p w14:paraId="1CE21ADF">
      <w:pPr>
        <w:ind w:firstLine="462"/>
        <w:rPr>
          <w:bCs/>
        </w:rPr>
      </w:pPr>
      <w:r>
        <w:rPr>
          <w:rFonts w:hint="eastAsia"/>
          <w:bCs/>
        </w:rPr>
        <w:t>①</w:t>
      </w:r>
      <w:r>
        <w:rPr>
          <w:bCs/>
        </w:rPr>
        <w:t>监测目的</w:t>
      </w:r>
    </w:p>
    <w:p w14:paraId="292D9489">
      <w:pPr>
        <w:ind w:firstLine="462"/>
        <w:rPr>
          <w:bCs/>
        </w:rPr>
      </w:pPr>
      <w:r>
        <w:rPr>
          <w:bCs/>
        </w:rPr>
        <w:t>有效监测水土中的</w:t>
      </w:r>
      <w:r>
        <w:rPr>
          <w:rFonts w:hint="eastAsia"/>
          <w:bCs/>
        </w:rPr>
        <w:t>污染物</w:t>
      </w:r>
      <w:r>
        <w:rPr>
          <w:bCs/>
        </w:rPr>
        <w:t>迁移方向，以便及时发布预报或通报。有效确定</w:t>
      </w:r>
      <w:r>
        <w:rPr>
          <w:rFonts w:hint="eastAsia"/>
          <w:bCs/>
        </w:rPr>
        <w:t>污染物</w:t>
      </w:r>
      <w:r>
        <w:rPr>
          <w:bCs/>
        </w:rPr>
        <w:t>对特殊水体的污染程度。</w:t>
      </w:r>
    </w:p>
    <w:p w14:paraId="54A81619">
      <w:pPr>
        <w:ind w:firstLine="462"/>
        <w:rPr>
          <w:bCs/>
        </w:rPr>
      </w:pPr>
      <w:r>
        <w:rPr>
          <w:rFonts w:hint="eastAsia"/>
          <w:bCs/>
        </w:rPr>
        <w:t>②</w:t>
      </w:r>
      <w:r>
        <w:rPr>
          <w:bCs/>
        </w:rPr>
        <w:t>监测调查站位</w:t>
      </w:r>
    </w:p>
    <w:p w14:paraId="4F649E1D">
      <w:pPr>
        <w:ind w:firstLine="462"/>
        <w:rPr>
          <w:bCs/>
        </w:rPr>
      </w:pPr>
      <w:r>
        <w:rPr>
          <w:bCs/>
        </w:rPr>
        <w:t>监测调查站点设置疏密一般可遵循以下原则：按近</w:t>
      </w:r>
      <w:r>
        <w:rPr>
          <w:rFonts w:hint="eastAsia"/>
          <w:bCs/>
        </w:rPr>
        <w:t>泄露</w:t>
      </w:r>
      <w:r>
        <w:rPr>
          <w:bCs/>
        </w:rPr>
        <w:t>点站点密，而随</w:t>
      </w:r>
      <w:r>
        <w:rPr>
          <w:rFonts w:hint="eastAsia"/>
          <w:bCs/>
        </w:rPr>
        <w:t>泄露</w:t>
      </w:r>
      <w:r>
        <w:rPr>
          <w:bCs/>
        </w:rPr>
        <w:t>点距离增加而站点渐疏，敏感海区站点密而一般海区站点疏的原则。</w:t>
      </w:r>
    </w:p>
    <w:p w14:paraId="6212A0FD">
      <w:pPr>
        <w:ind w:firstLine="462"/>
        <w:rPr>
          <w:bCs/>
        </w:rPr>
      </w:pPr>
      <w:r>
        <w:rPr>
          <w:bCs/>
        </w:rPr>
        <w:t>监测站点的设置可根据事故的类型和海域情况分为：同心圆式，适用于风力和海流较弱的海区。断面式、放射式适用于风力和海流较强的海区。站点布设重点考虑周围的敏感目标，尽量多布设点位，及时监控。同时要准确记录各站点的序号、经纬度和水深。每次采样时，记录站点海区的水文和气象。</w:t>
      </w:r>
    </w:p>
    <w:p w14:paraId="7FB6FDAC">
      <w:pPr>
        <w:ind w:firstLine="462"/>
        <w:rPr>
          <w:bCs/>
        </w:rPr>
      </w:pPr>
      <w:r>
        <w:rPr>
          <w:rFonts w:hint="eastAsia"/>
          <w:bCs/>
        </w:rPr>
        <w:t>③</w:t>
      </w:r>
      <w:r>
        <w:rPr>
          <w:bCs/>
        </w:rPr>
        <w:t>监测项目及周期</w:t>
      </w:r>
    </w:p>
    <w:p w14:paraId="2A2EA1AD">
      <w:pPr>
        <w:ind w:firstLine="462"/>
        <w:rPr>
          <w:bCs/>
        </w:rPr>
      </w:pPr>
      <w:r>
        <w:rPr>
          <w:bCs/>
        </w:rPr>
        <w:t>监测项目为各站点表层水中的石油类含量</w:t>
      </w:r>
      <w:r>
        <w:rPr>
          <w:rFonts w:hint="eastAsia"/>
          <w:bCs/>
        </w:rPr>
        <w:t>或污染物浓度</w:t>
      </w:r>
      <w:r>
        <w:rPr>
          <w:bCs/>
        </w:rPr>
        <w:t>。监测周期为每两周采样分析一次，连续进行五次。</w:t>
      </w:r>
    </w:p>
    <w:p w14:paraId="59FD3CCB">
      <w:pPr>
        <w:ind w:firstLine="462"/>
        <w:rPr>
          <w:bCs/>
        </w:rPr>
      </w:pPr>
      <w:r>
        <w:rPr>
          <w:bCs/>
        </w:rPr>
        <w:t>（4）海洋生物的监测</w:t>
      </w:r>
    </w:p>
    <w:p w14:paraId="63121481">
      <w:pPr>
        <w:ind w:firstLine="462"/>
        <w:rPr>
          <w:bCs/>
        </w:rPr>
      </w:pPr>
      <w:r>
        <w:rPr>
          <w:bCs/>
        </w:rPr>
        <w:t>站点设置的目的同水质污染的监测。</w:t>
      </w:r>
    </w:p>
    <w:p w14:paraId="47A9941F">
      <w:pPr>
        <w:ind w:firstLine="462"/>
        <w:rPr>
          <w:bCs/>
        </w:rPr>
      </w:pPr>
      <w:r>
        <w:rPr>
          <w:bCs/>
        </w:rPr>
        <w:t>监测因子包括浮游动物、浮游植物和底栖生物。</w:t>
      </w:r>
    </w:p>
    <w:p w14:paraId="4FA43B62">
      <w:pPr>
        <w:ind w:firstLine="462"/>
        <w:rPr>
          <w:bCs/>
        </w:rPr>
      </w:pPr>
      <w:r>
        <w:rPr>
          <w:bCs/>
        </w:rPr>
        <w:t>在</w:t>
      </w:r>
      <w:r>
        <w:rPr>
          <w:rFonts w:hint="eastAsia"/>
          <w:bCs/>
        </w:rPr>
        <w:t>泄露物</w:t>
      </w:r>
      <w:r>
        <w:rPr>
          <w:bCs/>
        </w:rPr>
        <w:t>排放后开始采样监测，然后每个月采样一次，连续监测六个月。</w:t>
      </w:r>
    </w:p>
    <w:p w14:paraId="6A86FB6F">
      <w:pPr>
        <w:ind w:firstLine="462"/>
        <w:rPr>
          <w:bCs/>
        </w:rPr>
      </w:pPr>
      <w:r>
        <w:rPr>
          <w:bCs/>
        </w:rPr>
        <w:t>（5）范围的监测</w:t>
      </w:r>
    </w:p>
    <w:p w14:paraId="5768D38C">
      <w:pPr>
        <w:ind w:firstLine="462"/>
        <w:rPr>
          <w:bCs/>
        </w:rPr>
      </w:pPr>
      <w:r>
        <w:rPr>
          <w:rFonts w:hint="eastAsia"/>
          <w:bCs/>
        </w:rPr>
        <w:t>①</w:t>
      </w:r>
      <w:r>
        <w:rPr>
          <w:bCs/>
        </w:rPr>
        <w:t>调查目的</w:t>
      </w:r>
    </w:p>
    <w:p w14:paraId="6B889638">
      <w:pPr>
        <w:ind w:firstLine="462"/>
        <w:rPr>
          <w:bCs/>
        </w:rPr>
      </w:pPr>
      <w:r>
        <w:rPr>
          <w:bCs/>
        </w:rPr>
        <w:t>对溢油漂移</w:t>
      </w:r>
      <w:r>
        <w:rPr>
          <w:rFonts w:hint="eastAsia"/>
          <w:bCs/>
        </w:rPr>
        <w:t>和污染物泄露</w:t>
      </w:r>
      <w:r>
        <w:rPr>
          <w:bCs/>
        </w:rPr>
        <w:t>所造成的污染的范围进行认定。</w:t>
      </w:r>
    </w:p>
    <w:p w14:paraId="71F7E5EA">
      <w:pPr>
        <w:ind w:firstLine="462"/>
        <w:rPr>
          <w:bCs/>
        </w:rPr>
      </w:pPr>
      <w:r>
        <w:rPr>
          <w:rFonts w:hint="eastAsia"/>
          <w:bCs/>
        </w:rPr>
        <w:t>②</w:t>
      </w:r>
      <w:r>
        <w:rPr>
          <w:bCs/>
        </w:rPr>
        <w:t>调查方式</w:t>
      </w:r>
    </w:p>
    <w:p w14:paraId="4E3C40B6">
      <w:pPr>
        <w:ind w:firstLine="462"/>
        <w:rPr>
          <w:bCs/>
        </w:rPr>
      </w:pPr>
      <w:r>
        <w:rPr>
          <w:bCs/>
        </w:rPr>
        <w:t>主动调查，调查人员对污油可能漂移到的区域</w:t>
      </w:r>
      <w:r>
        <w:rPr>
          <w:rFonts w:hint="eastAsia"/>
          <w:bCs/>
        </w:rPr>
        <w:t>和污染物扩散区域</w:t>
      </w:r>
      <w:r>
        <w:rPr>
          <w:bCs/>
        </w:rPr>
        <w:t>定期进行现场勘查，采集油样品</w:t>
      </w:r>
      <w:r>
        <w:rPr>
          <w:rFonts w:hint="eastAsia"/>
          <w:bCs/>
        </w:rPr>
        <w:t>、水样</w:t>
      </w:r>
      <w:r>
        <w:rPr>
          <w:bCs/>
        </w:rPr>
        <w:t>，分析鉴定。被动调查，调查人员根据举报，随时勘查受污染的区域，采集油样品</w:t>
      </w:r>
      <w:r>
        <w:rPr>
          <w:rFonts w:hint="eastAsia"/>
          <w:bCs/>
        </w:rPr>
        <w:t>、水样</w:t>
      </w:r>
      <w:r>
        <w:rPr>
          <w:bCs/>
        </w:rPr>
        <w:t>，分析鉴定。</w:t>
      </w:r>
    </w:p>
    <w:p w14:paraId="788B65F3">
      <w:pPr>
        <w:ind w:firstLine="462"/>
        <w:rPr>
          <w:bCs/>
        </w:rPr>
      </w:pPr>
      <w:r>
        <w:rPr>
          <w:bCs/>
        </w:rPr>
        <w:t>（6）调查结果的处理</w:t>
      </w:r>
    </w:p>
    <w:p w14:paraId="7F432A8A">
      <w:pPr>
        <w:ind w:firstLine="462"/>
      </w:pPr>
      <w:r>
        <w:t>除了“理化特性”的数据在测定之后立即通报给应急指挥部外，其余监测数据应按每监测周期进行一次综合统计。统计结果随时通报给污染损害有关部门，并编写监测报告。</w:t>
      </w:r>
    </w:p>
    <w:bookmarkEnd w:id="703"/>
    <w:bookmarkEnd w:id="704"/>
    <w:bookmarkEnd w:id="705"/>
    <w:bookmarkEnd w:id="706"/>
    <w:bookmarkEnd w:id="707"/>
    <w:bookmarkEnd w:id="708"/>
    <w:bookmarkEnd w:id="709"/>
    <w:p w14:paraId="0E0963F0">
      <w:pPr>
        <w:pStyle w:val="4"/>
      </w:pPr>
      <w:bookmarkStart w:id="710" w:name="_Toc477274315"/>
      <w:bookmarkStart w:id="711" w:name="_Toc198042353"/>
      <w:bookmarkStart w:id="712" w:name="_Toc217977950"/>
      <w:r>
        <w:t>竣工环保验收</w:t>
      </w:r>
      <w:bookmarkEnd w:id="710"/>
      <w:bookmarkEnd w:id="711"/>
      <w:bookmarkEnd w:id="712"/>
    </w:p>
    <w:p w14:paraId="194B97B3">
      <w:pPr>
        <w:ind w:firstLine="462"/>
      </w:pPr>
      <w:r>
        <w:t>根据《关于发布</w:t>
      </w:r>
      <w:r>
        <w:rPr>
          <w:rFonts w:hint="eastAsia"/>
        </w:rPr>
        <w:t>〈</w:t>
      </w:r>
      <w:r>
        <w:t>建设项目竣工环境保护验收暂行办法</w:t>
      </w:r>
      <w:r>
        <w:rPr>
          <w:rFonts w:hint="eastAsia"/>
        </w:rPr>
        <w:t>〉</w:t>
      </w:r>
      <w:r>
        <w:t>的公告》（国环规环评〔2017〕4 号）</w:t>
      </w:r>
      <w:r>
        <w:rPr>
          <w:rFonts w:hint="eastAsia"/>
        </w:rPr>
        <w:t>、《建设项目竣工环境保护验收技术规范 港口》</w:t>
      </w:r>
      <w:r>
        <w:t>，项目建设中应严格执行环境保护“三同时”制度，并进行环境保护设施验收；拟建</w:t>
      </w:r>
      <w:r>
        <w:rPr>
          <w:rFonts w:hint="eastAsia"/>
        </w:rPr>
        <w:t>项目</w:t>
      </w:r>
      <w:r>
        <w:t>竣工环境保护验收汇总一览见表</w:t>
      </w:r>
      <w:r>
        <w:rPr>
          <w:rFonts w:hint="eastAsia"/>
        </w:rPr>
        <w:t>8.4-</w:t>
      </w:r>
      <w:r>
        <w:t>1。</w:t>
      </w:r>
    </w:p>
    <w:p w14:paraId="040779A2">
      <w:pPr>
        <w:pStyle w:val="7"/>
      </w:pPr>
      <w:r>
        <w:t>拟建项目竣工环境保护验收内容</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13"/>
        <w:gridCol w:w="877"/>
        <w:gridCol w:w="1167"/>
        <w:gridCol w:w="3068"/>
        <w:gridCol w:w="2703"/>
      </w:tblGrid>
      <w:tr w14:paraId="4184B4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616" w:type="pct"/>
            <w:gridSpan w:val="3"/>
            <w:vAlign w:val="center"/>
          </w:tcPr>
          <w:p w14:paraId="2DD1F9E5">
            <w:pPr>
              <w:pStyle w:val="34"/>
            </w:pPr>
            <w:r>
              <w:t>项目</w:t>
            </w:r>
          </w:p>
        </w:tc>
        <w:tc>
          <w:tcPr>
            <w:tcW w:w="1799" w:type="pct"/>
            <w:vAlign w:val="center"/>
          </w:tcPr>
          <w:p w14:paraId="6B6C88F3">
            <w:pPr>
              <w:pStyle w:val="34"/>
            </w:pPr>
            <w:r>
              <w:t>主要措施</w:t>
            </w:r>
          </w:p>
        </w:tc>
        <w:tc>
          <w:tcPr>
            <w:tcW w:w="1585" w:type="pct"/>
            <w:vAlign w:val="center"/>
          </w:tcPr>
          <w:p w14:paraId="3DCECC69">
            <w:pPr>
              <w:pStyle w:val="34"/>
            </w:pPr>
            <w:r>
              <w:t>治理效果</w:t>
            </w:r>
          </w:p>
        </w:tc>
      </w:tr>
      <w:tr w14:paraId="413290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restart"/>
            <w:vAlign w:val="center"/>
          </w:tcPr>
          <w:p w14:paraId="1B1FDD0C">
            <w:pPr>
              <w:pStyle w:val="34"/>
            </w:pPr>
            <w:r>
              <w:t>大气</w:t>
            </w:r>
          </w:p>
          <w:p w14:paraId="306FE35C">
            <w:pPr>
              <w:pStyle w:val="34"/>
            </w:pPr>
            <w:r>
              <w:t>环境</w:t>
            </w:r>
          </w:p>
        </w:tc>
        <w:tc>
          <w:tcPr>
            <w:tcW w:w="514" w:type="pct"/>
            <w:vMerge w:val="restart"/>
            <w:vAlign w:val="center"/>
          </w:tcPr>
          <w:p w14:paraId="4F721DA2">
            <w:pPr>
              <w:pStyle w:val="34"/>
            </w:pPr>
            <w:r>
              <w:t>施工期</w:t>
            </w:r>
          </w:p>
        </w:tc>
        <w:tc>
          <w:tcPr>
            <w:tcW w:w="684" w:type="pct"/>
            <w:vAlign w:val="center"/>
          </w:tcPr>
          <w:p w14:paraId="67E7A831">
            <w:pPr>
              <w:pStyle w:val="34"/>
            </w:pPr>
            <w:r>
              <w:t>洒水除尘</w:t>
            </w:r>
          </w:p>
        </w:tc>
        <w:tc>
          <w:tcPr>
            <w:tcW w:w="1799" w:type="pct"/>
            <w:vAlign w:val="center"/>
          </w:tcPr>
          <w:p w14:paraId="3D2C3F8F">
            <w:pPr>
              <w:pStyle w:val="34"/>
            </w:pPr>
            <w:r>
              <w:t>施工配备洒水车、清扫车</w:t>
            </w:r>
          </w:p>
        </w:tc>
        <w:tc>
          <w:tcPr>
            <w:tcW w:w="1585" w:type="pct"/>
            <w:vMerge w:val="restart"/>
            <w:vAlign w:val="center"/>
          </w:tcPr>
          <w:p w14:paraId="658F3008">
            <w:pPr>
              <w:pStyle w:val="34"/>
            </w:pPr>
            <w:r>
              <w:t>减少扬尘和施工机械作业废气排放</w:t>
            </w:r>
          </w:p>
        </w:tc>
      </w:tr>
      <w:tr w14:paraId="222C4E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4BCB3BD2">
            <w:pPr>
              <w:pStyle w:val="34"/>
            </w:pPr>
          </w:p>
        </w:tc>
        <w:tc>
          <w:tcPr>
            <w:tcW w:w="514" w:type="pct"/>
            <w:vMerge w:val="continue"/>
            <w:vAlign w:val="center"/>
          </w:tcPr>
          <w:p w14:paraId="4EC2CFBD">
            <w:pPr>
              <w:pStyle w:val="34"/>
            </w:pPr>
          </w:p>
        </w:tc>
        <w:tc>
          <w:tcPr>
            <w:tcW w:w="684" w:type="pct"/>
            <w:vAlign w:val="center"/>
          </w:tcPr>
          <w:p w14:paraId="22A86772">
            <w:pPr>
              <w:pStyle w:val="34"/>
            </w:pPr>
            <w:r>
              <w:t>降尘</w:t>
            </w:r>
          </w:p>
        </w:tc>
        <w:tc>
          <w:tcPr>
            <w:tcW w:w="1799" w:type="pct"/>
            <w:vAlign w:val="center"/>
          </w:tcPr>
          <w:p w14:paraId="31953577">
            <w:pPr>
              <w:pStyle w:val="34"/>
            </w:pPr>
            <w:r>
              <w:t>材料运输车辆覆盖篷布</w:t>
            </w:r>
          </w:p>
        </w:tc>
        <w:tc>
          <w:tcPr>
            <w:tcW w:w="1585" w:type="pct"/>
            <w:vMerge w:val="continue"/>
            <w:vAlign w:val="center"/>
          </w:tcPr>
          <w:p w14:paraId="4430E0C9">
            <w:pPr>
              <w:pStyle w:val="34"/>
            </w:pPr>
          </w:p>
        </w:tc>
      </w:tr>
      <w:tr w14:paraId="14D4EA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18CFF350">
            <w:pPr>
              <w:pStyle w:val="34"/>
            </w:pPr>
          </w:p>
        </w:tc>
        <w:tc>
          <w:tcPr>
            <w:tcW w:w="514" w:type="pct"/>
            <w:vMerge w:val="continue"/>
            <w:vAlign w:val="center"/>
          </w:tcPr>
          <w:p w14:paraId="7CB61295">
            <w:pPr>
              <w:pStyle w:val="34"/>
            </w:pPr>
          </w:p>
        </w:tc>
        <w:tc>
          <w:tcPr>
            <w:tcW w:w="684" w:type="pct"/>
            <w:vAlign w:val="center"/>
          </w:tcPr>
          <w:p w14:paraId="6FF3EC1E">
            <w:pPr>
              <w:pStyle w:val="34"/>
            </w:pPr>
            <w:r>
              <w:t>减少废气</w:t>
            </w:r>
          </w:p>
        </w:tc>
        <w:tc>
          <w:tcPr>
            <w:tcW w:w="1799" w:type="pct"/>
            <w:vAlign w:val="center"/>
          </w:tcPr>
          <w:p w14:paraId="7BB61CD4">
            <w:pPr>
              <w:pStyle w:val="34"/>
            </w:pPr>
            <w:r>
              <w:t>施工机械定期保养</w:t>
            </w:r>
          </w:p>
        </w:tc>
        <w:tc>
          <w:tcPr>
            <w:tcW w:w="1585" w:type="pct"/>
            <w:vMerge w:val="continue"/>
            <w:vAlign w:val="center"/>
          </w:tcPr>
          <w:p w14:paraId="147CDA71">
            <w:pPr>
              <w:pStyle w:val="34"/>
            </w:pPr>
          </w:p>
        </w:tc>
      </w:tr>
      <w:tr w14:paraId="0317A6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restart"/>
            <w:vAlign w:val="center"/>
          </w:tcPr>
          <w:p w14:paraId="47316AF4">
            <w:pPr>
              <w:pStyle w:val="34"/>
            </w:pPr>
            <w:r>
              <w:t>水环境</w:t>
            </w:r>
          </w:p>
        </w:tc>
        <w:tc>
          <w:tcPr>
            <w:tcW w:w="514" w:type="pct"/>
            <w:vMerge w:val="restart"/>
            <w:vAlign w:val="center"/>
          </w:tcPr>
          <w:p w14:paraId="4DE0DDF1">
            <w:pPr>
              <w:pStyle w:val="34"/>
            </w:pPr>
            <w:r>
              <w:t>施工期</w:t>
            </w:r>
          </w:p>
        </w:tc>
        <w:tc>
          <w:tcPr>
            <w:tcW w:w="684" w:type="pct"/>
            <w:vMerge w:val="restart"/>
            <w:vAlign w:val="center"/>
          </w:tcPr>
          <w:p w14:paraId="46AF5572">
            <w:pPr>
              <w:pStyle w:val="34"/>
            </w:pPr>
            <w:r>
              <w:t>废水处理</w:t>
            </w:r>
          </w:p>
        </w:tc>
        <w:tc>
          <w:tcPr>
            <w:tcW w:w="1799" w:type="pct"/>
            <w:vAlign w:val="center"/>
          </w:tcPr>
          <w:p w14:paraId="4F6DC9A9">
            <w:pPr>
              <w:pStyle w:val="34"/>
            </w:pPr>
            <w:r>
              <w:rPr>
                <w:rFonts w:hint="eastAsia"/>
              </w:rPr>
              <w:t>施工场地生活污水进入生活污水处理站，施工机械的维护管理，定期检修</w:t>
            </w:r>
          </w:p>
        </w:tc>
        <w:tc>
          <w:tcPr>
            <w:tcW w:w="1585" w:type="pct"/>
            <w:vAlign w:val="center"/>
          </w:tcPr>
          <w:p w14:paraId="41DE2AAA">
            <w:pPr>
              <w:pStyle w:val="34"/>
            </w:pPr>
            <w:r>
              <w:rPr>
                <w:rFonts w:hint="eastAsia"/>
              </w:rPr>
              <w:t>生活废水经生活污水处理站处理后进入大榄坪污水处理厂，避免油料泄漏进入海域</w:t>
            </w:r>
          </w:p>
        </w:tc>
      </w:tr>
      <w:tr w14:paraId="63FFC5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3D5C8307">
            <w:pPr>
              <w:pStyle w:val="34"/>
            </w:pPr>
          </w:p>
        </w:tc>
        <w:tc>
          <w:tcPr>
            <w:tcW w:w="514" w:type="pct"/>
            <w:vMerge w:val="continue"/>
            <w:vAlign w:val="center"/>
          </w:tcPr>
          <w:p w14:paraId="211B724C">
            <w:pPr>
              <w:pStyle w:val="34"/>
            </w:pPr>
          </w:p>
        </w:tc>
        <w:tc>
          <w:tcPr>
            <w:tcW w:w="684" w:type="pct"/>
            <w:vMerge w:val="continue"/>
            <w:vAlign w:val="center"/>
          </w:tcPr>
          <w:p w14:paraId="34FC946B">
            <w:pPr>
              <w:pStyle w:val="34"/>
            </w:pPr>
          </w:p>
        </w:tc>
        <w:tc>
          <w:tcPr>
            <w:tcW w:w="1799" w:type="pct"/>
            <w:vAlign w:val="center"/>
          </w:tcPr>
          <w:p w14:paraId="58D6994C">
            <w:pPr>
              <w:pStyle w:val="34"/>
            </w:pPr>
            <w:r>
              <w:rPr>
                <w:rFonts w:hint="eastAsia"/>
              </w:rPr>
              <w:t>雨季施工悬浮物控制，设置临时截排水沟、沉淀池</w:t>
            </w:r>
          </w:p>
        </w:tc>
        <w:tc>
          <w:tcPr>
            <w:tcW w:w="1585" w:type="pct"/>
            <w:vAlign w:val="center"/>
          </w:tcPr>
          <w:p w14:paraId="3BC3DCF0">
            <w:pPr>
              <w:pStyle w:val="34"/>
            </w:pPr>
            <w:r>
              <w:rPr>
                <w:rFonts w:hint="eastAsia"/>
              </w:rPr>
              <w:t>避免施工</w:t>
            </w:r>
            <w:r>
              <w:t>SS</w:t>
            </w:r>
            <w:r>
              <w:rPr>
                <w:rFonts w:hint="eastAsia"/>
              </w:rPr>
              <w:t>进入水环境影响范围</w:t>
            </w:r>
          </w:p>
        </w:tc>
      </w:tr>
      <w:tr w14:paraId="60047F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664298DC">
            <w:pPr>
              <w:pStyle w:val="34"/>
            </w:pPr>
          </w:p>
        </w:tc>
        <w:tc>
          <w:tcPr>
            <w:tcW w:w="514" w:type="pct"/>
            <w:vMerge w:val="continue"/>
            <w:vAlign w:val="center"/>
          </w:tcPr>
          <w:p w14:paraId="23EF0C3C">
            <w:pPr>
              <w:pStyle w:val="34"/>
            </w:pPr>
          </w:p>
        </w:tc>
        <w:tc>
          <w:tcPr>
            <w:tcW w:w="684" w:type="pct"/>
            <w:vMerge w:val="continue"/>
            <w:vAlign w:val="center"/>
          </w:tcPr>
          <w:p w14:paraId="24B52B3F">
            <w:pPr>
              <w:pStyle w:val="34"/>
            </w:pPr>
          </w:p>
        </w:tc>
        <w:tc>
          <w:tcPr>
            <w:tcW w:w="1799" w:type="pct"/>
            <w:vAlign w:val="center"/>
          </w:tcPr>
          <w:p w14:paraId="5548D45F">
            <w:pPr>
              <w:pStyle w:val="34"/>
            </w:pPr>
            <w:r>
              <w:rPr>
                <w:rFonts w:hint="eastAsia"/>
              </w:rPr>
              <w:t>疏浚悬浮物控制，低污染设备，施工期设置防污帘</w:t>
            </w:r>
          </w:p>
        </w:tc>
        <w:tc>
          <w:tcPr>
            <w:tcW w:w="1585" w:type="pct"/>
            <w:vAlign w:val="center"/>
          </w:tcPr>
          <w:p w14:paraId="66081B19">
            <w:pPr>
              <w:pStyle w:val="34"/>
            </w:pPr>
            <w:r>
              <w:rPr>
                <w:rFonts w:hint="eastAsia"/>
              </w:rPr>
              <w:t>避免施工</w:t>
            </w:r>
            <w:r>
              <w:t>SS</w:t>
            </w:r>
            <w:r>
              <w:rPr>
                <w:rFonts w:hint="eastAsia"/>
              </w:rPr>
              <w:t>扩大水环境影响范围</w:t>
            </w:r>
          </w:p>
        </w:tc>
      </w:tr>
      <w:tr w14:paraId="3E58DE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278BD272">
            <w:pPr>
              <w:pStyle w:val="34"/>
            </w:pPr>
          </w:p>
        </w:tc>
        <w:tc>
          <w:tcPr>
            <w:tcW w:w="514" w:type="pct"/>
            <w:vAlign w:val="center"/>
          </w:tcPr>
          <w:p w14:paraId="3A153163">
            <w:pPr>
              <w:pStyle w:val="34"/>
            </w:pPr>
            <w:r>
              <w:t>运营期</w:t>
            </w:r>
          </w:p>
        </w:tc>
        <w:tc>
          <w:tcPr>
            <w:tcW w:w="684" w:type="pct"/>
            <w:vAlign w:val="center"/>
          </w:tcPr>
          <w:p w14:paraId="5A1471DD">
            <w:pPr>
              <w:pStyle w:val="34"/>
            </w:pPr>
            <w:r>
              <w:t>污水</w:t>
            </w:r>
          </w:p>
        </w:tc>
        <w:tc>
          <w:tcPr>
            <w:tcW w:w="1799" w:type="pct"/>
            <w:vAlign w:val="center"/>
          </w:tcPr>
          <w:p w14:paraId="5D610F63">
            <w:pPr>
              <w:pStyle w:val="34"/>
            </w:pPr>
            <w:r>
              <w:t>设置排水系统，确保</w:t>
            </w:r>
            <w:r>
              <w:rPr>
                <w:rFonts w:hint="eastAsia"/>
              </w:rPr>
              <w:t>生活</w:t>
            </w:r>
            <w:r>
              <w:t>污水全部收集进入</w:t>
            </w:r>
            <w:r>
              <w:rPr>
                <w:rFonts w:hint="eastAsia"/>
              </w:rPr>
              <w:t>生活</w:t>
            </w:r>
            <w:r>
              <w:t>污水处理站</w:t>
            </w:r>
          </w:p>
        </w:tc>
        <w:tc>
          <w:tcPr>
            <w:tcW w:w="1585" w:type="pct"/>
            <w:vAlign w:val="center"/>
          </w:tcPr>
          <w:p w14:paraId="6F983C94">
            <w:pPr>
              <w:pStyle w:val="34"/>
            </w:pPr>
            <w:r>
              <w:rPr>
                <w:rFonts w:hint="eastAsia"/>
              </w:rPr>
              <w:t>生活污水</w:t>
            </w:r>
            <w:r>
              <w:t>处理站预处理达标后排入</w:t>
            </w:r>
            <w:r>
              <w:rPr>
                <w:rFonts w:hint="eastAsia"/>
              </w:rPr>
              <w:t>大榄坪污水处理厂</w:t>
            </w:r>
          </w:p>
        </w:tc>
      </w:tr>
      <w:tr w14:paraId="4D9E1E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restart"/>
            <w:vAlign w:val="center"/>
          </w:tcPr>
          <w:p w14:paraId="724A4127">
            <w:pPr>
              <w:pStyle w:val="34"/>
            </w:pPr>
            <w:r>
              <w:t>噪声</w:t>
            </w:r>
          </w:p>
        </w:tc>
        <w:tc>
          <w:tcPr>
            <w:tcW w:w="514" w:type="pct"/>
            <w:vAlign w:val="center"/>
          </w:tcPr>
          <w:p w14:paraId="25B25F1E">
            <w:pPr>
              <w:pStyle w:val="34"/>
            </w:pPr>
            <w:r>
              <w:t>施工期</w:t>
            </w:r>
          </w:p>
        </w:tc>
        <w:tc>
          <w:tcPr>
            <w:tcW w:w="684" w:type="pct"/>
            <w:vAlign w:val="center"/>
          </w:tcPr>
          <w:p w14:paraId="46F7D5BE">
            <w:pPr>
              <w:pStyle w:val="34"/>
            </w:pPr>
            <w:r>
              <w:t>施工噪声</w:t>
            </w:r>
          </w:p>
        </w:tc>
        <w:tc>
          <w:tcPr>
            <w:tcW w:w="1799" w:type="pct"/>
            <w:vAlign w:val="center"/>
          </w:tcPr>
          <w:p w14:paraId="2CCFBDAE">
            <w:pPr>
              <w:pStyle w:val="34"/>
            </w:pPr>
            <w:r>
              <w:t>施工工人劳保等防护设施</w:t>
            </w:r>
          </w:p>
        </w:tc>
        <w:tc>
          <w:tcPr>
            <w:tcW w:w="1585" w:type="pct"/>
            <w:vAlign w:val="center"/>
          </w:tcPr>
          <w:p w14:paraId="38AC8604">
            <w:pPr>
              <w:pStyle w:val="34"/>
            </w:pPr>
            <w:r>
              <w:t>降低对施工人员的影响</w:t>
            </w:r>
          </w:p>
        </w:tc>
      </w:tr>
      <w:tr w14:paraId="1ECBF1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45F4717B">
            <w:pPr>
              <w:pStyle w:val="34"/>
            </w:pPr>
          </w:p>
        </w:tc>
        <w:tc>
          <w:tcPr>
            <w:tcW w:w="514" w:type="pct"/>
            <w:vAlign w:val="center"/>
          </w:tcPr>
          <w:p w14:paraId="4DB24676">
            <w:pPr>
              <w:pStyle w:val="34"/>
            </w:pPr>
            <w:r>
              <w:t>运营期</w:t>
            </w:r>
          </w:p>
        </w:tc>
        <w:tc>
          <w:tcPr>
            <w:tcW w:w="684" w:type="pct"/>
            <w:vAlign w:val="center"/>
          </w:tcPr>
          <w:p w14:paraId="4B460158">
            <w:pPr>
              <w:pStyle w:val="34"/>
            </w:pPr>
            <w:r>
              <w:t>装卸噪声</w:t>
            </w:r>
          </w:p>
        </w:tc>
        <w:tc>
          <w:tcPr>
            <w:tcW w:w="1799" w:type="pct"/>
            <w:vAlign w:val="center"/>
          </w:tcPr>
          <w:p w14:paraId="57AE7D0F">
            <w:pPr>
              <w:pStyle w:val="34"/>
            </w:pPr>
            <w:r>
              <w:t>设备减振垫</w:t>
            </w:r>
          </w:p>
        </w:tc>
        <w:tc>
          <w:tcPr>
            <w:tcW w:w="1585" w:type="pct"/>
            <w:vAlign w:val="center"/>
          </w:tcPr>
          <w:p w14:paraId="5C009E76">
            <w:pPr>
              <w:pStyle w:val="34"/>
            </w:pPr>
            <w:r>
              <w:t>降低对场界及工作人员的影响</w:t>
            </w:r>
          </w:p>
        </w:tc>
      </w:tr>
      <w:tr w14:paraId="4C35AE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restart"/>
            <w:vAlign w:val="center"/>
          </w:tcPr>
          <w:p w14:paraId="110D01DE">
            <w:pPr>
              <w:pStyle w:val="34"/>
            </w:pPr>
            <w:r>
              <w:t>固废</w:t>
            </w:r>
          </w:p>
        </w:tc>
        <w:tc>
          <w:tcPr>
            <w:tcW w:w="514" w:type="pct"/>
            <w:vAlign w:val="center"/>
          </w:tcPr>
          <w:p w14:paraId="3B0D6349">
            <w:pPr>
              <w:pStyle w:val="34"/>
            </w:pPr>
            <w:r>
              <w:t>施工期</w:t>
            </w:r>
          </w:p>
        </w:tc>
        <w:tc>
          <w:tcPr>
            <w:tcW w:w="684" w:type="pct"/>
            <w:vAlign w:val="center"/>
          </w:tcPr>
          <w:p w14:paraId="0BA6C5DC">
            <w:pPr>
              <w:pStyle w:val="34"/>
            </w:pPr>
            <w:r>
              <w:t>生活垃圾</w:t>
            </w:r>
          </w:p>
        </w:tc>
        <w:tc>
          <w:tcPr>
            <w:tcW w:w="1799" w:type="pct"/>
            <w:vAlign w:val="center"/>
          </w:tcPr>
          <w:p w14:paraId="18013056">
            <w:pPr>
              <w:pStyle w:val="34"/>
            </w:pPr>
            <w:r>
              <w:t>统一收集处理</w:t>
            </w:r>
          </w:p>
        </w:tc>
        <w:tc>
          <w:tcPr>
            <w:tcW w:w="1585" w:type="pct"/>
            <w:vAlign w:val="center"/>
          </w:tcPr>
          <w:p w14:paraId="00A81B8D">
            <w:pPr>
              <w:pStyle w:val="34"/>
            </w:pPr>
            <w:r>
              <w:rPr>
                <w:rFonts w:hint="eastAsia"/>
              </w:rPr>
              <w:t>外运</w:t>
            </w:r>
            <w:r>
              <w:t>处理</w:t>
            </w:r>
          </w:p>
        </w:tc>
      </w:tr>
      <w:tr w14:paraId="0EF4E2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4276A8F3">
            <w:pPr>
              <w:pStyle w:val="34"/>
            </w:pPr>
          </w:p>
        </w:tc>
        <w:tc>
          <w:tcPr>
            <w:tcW w:w="514" w:type="pct"/>
            <w:vMerge w:val="restart"/>
            <w:vAlign w:val="center"/>
          </w:tcPr>
          <w:p w14:paraId="5D3C4107">
            <w:pPr>
              <w:pStyle w:val="34"/>
            </w:pPr>
            <w:r>
              <w:t>运营期</w:t>
            </w:r>
          </w:p>
        </w:tc>
        <w:tc>
          <w:tcPr>
            <w:tcW w:w="684" w:type="pct"/>
            <w:vAlign w:val="center"/>
          </w:tcPr>
          <w:p w14:paraId="6B977FB5">
            <w:pPr>
              <w:pStyle w:val="34"/>
            </w:pPr>
            <w:r>
              <w:t>生活垃圾</w:t>
            </w:r>
          </w:p>
        </w:tc>
        <w:tc>
          <w:tcPr>
            <w:tcW w:w="1799" w:type="pct"/>
            <w:vAlign w:val="center"/>
          </w:tcPr>
          <w:p w14:paraId="2E0B3E9D">
            <w:pPr>
              <w:pStyle w:val="34"/>
            </w:pPr>
            <w:r>
              <w:t>统一收集处理</w:t>
            </w:r>
          </w:p>
        </w:tc>
        <w:tc>
          <w:tcPr>
            <w:tcW w:w="1585" w:type="pct"/>
            <w:vAlign w:val="center"/>
          </w:tcPr>
          <w:p w14:paraId="006DCA41">
            <w:pPr>
              <w:pStyle w:val="34"/>
            </w:pPr>
            <w:r>
              <w:rPr>
                <w:rFonts w:hint="eastAsia"/>
              </w:rPr>
              <w:t>外运</w:t>
            </w:r>
            <w:r>
              <w:t>处理</w:t>
            </w:r>
          </w:p>
        </w:tc>
      </w:tr>
      <w:tr w14:paraId="539A30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63A03084">
            <w:pPr>
              <w:pStyle w:val="34"/>
            </w:pPr>
          </w:p>
        </w:tc>
        <w:tc>
          <w:tcPr>
            <w:tcW w:w="514" w:type="pct"/>
            <w:vMerge w:val="continue"/>
            <w:vAlign w:val="center"/>
          </w:tcPr>
          <w:p w14:paraId="13721C06">
            <w:pPr>
              <w:pStyle w:val="34"/>
            </w:pPr>
          </w:p>
        </w:tc>
        <w:tc>
          <w:tcPr>
            <w:tcW w:w="684" w:type="pct"/>
            <w:vAlign w:val="center"/>
          </w:tcPr>
          <w:p w14:paraId="1BA9C8BB">
            <w:pPr>
              <w:pStyle w:val="34"/>
            </w:pPr>
            <w:r>
              <w:t>废油</w:t>
            </w:r>
          </w:p>
        </w:tc>
        <w:tc>
          <w:tcPr>
            <w:tcW w:w="1799" w:type="pct"/>
            <w:vAlign w:val="center"/>
          </w:tcPr>
          <w:p w14:paraId="5B866A66">
            <w:pPr>
              <w:pStyle w:val="34"/>
            </w:pPr>
            <w:r>
              <w:t>交由专业机构统一处理</w:t>
            </w:r>
          </w:p>
        </w:tc>
        <w:tc>
          <w:tcPr>
            <w:tcW w:w="1585" w:type="pct"/>
            <w:vAlign w:val="center"/>
          </w:tcPr>
          <w:p w14:paraId="4EACBB4C">
            <w:pPr>
              <w:pStyle w:val="34"/>
            </w:pPr>
            <w:r>
              <w:rPr>
                <w:rFonts w:hint="eastAsia"/>
              </w:rPr>
              <w:t>外运</w:t>
            </w:r>
            <w:r>
              <w:t>处理</w:t>
            </w:r>
          </w:p>
        </w:tc>
      </w:tr>
      <w:tr w14:paraId="5FCB57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5D37C2FB">
            <w:pPr>
              <w:pStyle w:val="34"/>
            </w:pPr>
          </w:p>
        </w:tc>
        <w:tc>
          <w:tcPr>
            <w:tcW w:w="514" w:type="pct"/>
            <w:vMerge w:val="continue"/>
            <w:vAlign w:val="center"/>
          </w:tcPr>
          <w:p w14:paraId="3F4008B3">
            <w:pPr>
              <w:pStyle w:val="34"/>
            </w:pPr>
          </w:p>
        </w:tc>
        <w:tc>
          <w:tcPr>
            <w:tcW w:w="684" w:type="pct"/>
            <w:vAlign w:val="center"/>
          </w:tcPr>
          <w:p w14:paraId="169A9BFD">
            <w:pPr>
              <w:pStyle w:val="34"/>
            </w:pPr>
            <w:r>
              <w:t>绿化</w:t>
            </w:r>
          </w:p>
        </w:tc>
        <w:tc>
          <w:tcPr>
            <w:tcW w:w="1799" w:type="pct"/>
            <w:vAlign w:val="center"/>
          </w:tcPr>
          <w:p w14:paraId="445EEE09">
            <w:pPr>
              <w:pStyle w:val="34"/>
            </w:pPr>
            <w:r>
              <w:t>加强港区绿化</w:t>
            </w:r>
          </w:p>
        </w:tc>
        <w:tc>
          <w:tcPr>
            <w:tcW w:w="1585" w:type="pct"/>
            <w:vAlign w:val="center"/>
          </w:tcPr>
          <w:p w14:paraId="08DEA0CC">
            <w:pPr>
              <w:pStyle w:val="34"/>
            </w:pPr>
            <w:r>
              <w:t>减少扬尘</w:t>
            </w:r>
          </w:p>
        </w:tc>
      </w:tr>
      <w:tr w14:paraId="4897B6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16DD15FF">
            <w:pPr>
              <w:pStyle w:val="34"/>
            </w:pPr>
          </w:p>
        </w:tc>
        <w:tc>
          <w:tcPr>
            <w:tcW w:w="514" w:type="pct"/>
            <w:vMerge w:val="continue"/>
            <w:vAlign w:val="center"/>
          </w:tcPr>
          <w:p w14:paraId="3AA1A2A4">
            <w:pPr>
              <w:pStyle w:val="34"/>
            </w:pPr>
          </w:p>
        </w:tc>
        <w:tc>
          <w:tcPr>
            <w:tcW w:w="684" w:type="pct"/>
            <w:vAlign w:val="center"/>
          </w:tcPr>
          <w:p w14:paraId="65E94099">
            <w:pPr>
              <w:pStyle w:val="34"/>
            </w:pPr>
            <w:r>
              <w:t>水生生态</w:t>
            </w:r>
          </w:p>
        </w:tc>
        <w:tc>
          <w:tcPr>
            <w:tcW w:w="1799" w:type="pct"/>
            <w:vAlign w:val="center"/>
          </w:tcPr>
          <w:p w14:paraId="40601150">
            <w:pPr>
              <w:pStyle w:val="34"/>
            </w:pPr>
            <w:r>
              <w:t>加强管理，禁止捕捞珍稀保护水生生物</w:t>
            </w:r>
            <w:r>
              <w:rPr>
                <w:rFonts w:hint="eastAsia"/>
              </w:rPr>
              <w:t>、人工增殖放流</w:t>
            </w:r>
          </w:p>
        </w:tc>
        <w:tc>
          <w:tcPr>
            <w:tcW w:w="1585" w:type="pct"/>
            <w:vAlign w:val="center"/>
          </w:tcPr>
          <w:p w14:paraId="4084FAD6">
            <w:pPr>
              <w:pStyle w:val="34"/>
            </w:pPr>
            <w:r>
              <w:t>降低对水生生物的不利影响</w:t>
            </w:r>
          </w:p>
        </w:tc>
      </w:tr>
      <w:tr w14:paraId="5D0D76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16" w:type="pct"/>
            <w:gridSpan w:val="3"/>
            <w:vAlign w:val="center"/>
          </w:tcPr>
          <w:p w14:paraId="7F371B79">
            <w:pPr>
              <w:pStyle w:val="34"/>
            </w:pPr>
            <w:r>
              <w:t>环境风险</w:t>
            </w:r>
          </w:p>
        </w:tc>
        <w:tc>
          <w:tcPr>
            <w:tcW w:w="1799" w:type="pct"/>
            <w:vAlign w:val="center"/>
          </w:tcPr>
          <w:p w14:paraId="0025DE95">
            <w:pPr>
              <w:pStyle w:val="34"/>
            </w:pPr>
            <w:r>
              <w:rPr>
                <w:rFonts w:hint="eastAsia" w:ascii="宋体" w:hAnsi="宋体" w:cs="宋体"/>
              </w:rPr>
              <w:t>事故应急池、事故处理场地、应急处置机构与应急预案、应急物资</w:t>
            </w:r>
          </w:p>
        </w:tc>
        <w:tc>
          <w:tcPr>
            <w:tcW w:w="1585" w:type="pct"/>
            <w:vAlign w:val="center"/>
          </w:tcPr>
          <w:p w14:paraId="47D8A3B7">
            <w:pPr>
              <w:pStyle w:val="34"/>
            </w:pPr>
            <w:r>
              <w:t>减轻风险影响</w:t>
            </w:r>
          </w:p>
        </w:tc>
      </w:tr>
      <w:tr w14:paraId="7F4E28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16" w:type="pct"/>
            <w:gridSpan w:val="3"/>
            <w:vAlign w:val="center"/>
          </w:tcPr>
          <w:p w14:paraId="6876BF64">
            <w:pPr>
              <w:pStyle w:val="34"/>
            </w:pPr>
            <w:r>
              <w:t>环境管理</w:t>
            </w:r>
          </w:p>
        </w:tc>
        <w:tc>
          <w:tcPr>
            <w:tcW w:w="1799" w:type="pct"/>
            <w:vAlign w:val="center"/>
          </w:tcPr>
          <w:p w14:paraId="2E994408">
            <w:pPr>
              <w:pStyle w:val="34"/>
            </w:pPr>
            <w:r>
              <w:t>日常环境管理、检查</w:t>
            </w:r>
          </w:p>
        </w:tc>
        <w:tc>
          <w:tcPr>
            <w:tcW w:w="1585" w:type="pct"/>
            <w:vAlign w:val="center"/>
          </w:tcPr>
          <w:p w14:paraId="48D3C58A">
            <w:pPr>
              <w:pStyle w:val="34"/>
            </w:pPr>
            <w:r>
              <w:t>污染物达标排放</w:t>
            </w:r>
          </w:p>
        </w:tc>
      </w:tr>
      <w:tr w14:paraId="539DAD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16" w:type="pct"/>
            <w:gridSpan w:val="3"/>
            <w:vAlign w:val="center"/>
          </w:tcPr>
          <w:p w14:paraId="747F5ED7">
            <w:pPr>
              <w:pStyle w:val="34"/>
            </w:pPr>
            <w:r>
              <w:t>环境监测</w:t>
            </w:r>
          </w:p>
        </w:tc>
        <w:tc>
          <w:tcPr>
            <w:tcW w:w="1799" w:type="pct"/>
            <w:vAlign w:val="center"/>
          </w:tcPr>
          <w:p w14:paraId="55664462">
            <w:pPr>
              <w:pStyle w:val="34"/>
            </w:pPr>
            <w:r>
              <w:t>水、气、声、生态日常监测</w:t>
            </w:r>
          </w:p>
        </w:tc>
        <w:tc>
          <w:tcPr>
            <w:tcW w:w="1585" w:type="pct"/>
            <w:vAlign w:val="center"/>
          </w:tcPr>
          <w:p w14:paraId="4F5A3B31">
            <w:pPr>
              <w:pStyle w:val="34"/>
            </w:pPr>
            <w:r>
              <w:t>污染物达标排放</w:t>
            </w:r>
          </w:p>
        </w:tc>
      </w:tr>
    </w:tbl>
    <w:p w14:paraId="6319CEE0">
      <w:pPr>
        <w:ind w:firstLine="462"/>
      </w:pPr>
    </w:p>
    <w:p w14:paraId="3992270D">
      <w:pPr>
        <w:ind w:firstLine="1032" w:firstLineChars="447"/>
        <w:rPr>
          <w:b/>
          <w:bCs/>
        </w:rPr>
        <w:sectPr>
          <w:pgSz w:w="11907" w:h="16840"/>
          <w:pgMar w:top="1440" w:right="1514" w:bottom="1440" w:left="1797" w:header="992" w:footer="851" w:gutter="284"/>
          <w:pgNumType w:fmt="numberInDash"/>
          <w:cols w:space="425" w:num="1"/>
          <w:docGrid w:type="linesAndChars" w:linePitch="465" w:charSpace="-1866"/>
        </w:sectPr>
      </w:pPr>
    </w:p>
    <w:p w14:paraId="6F7FB1E1">
      <w:pPr>
        <w:pStyle w:val="3"/>
        <w:ind w:firstLine="705"/>
      </w:pPr>
      <w:bookmarkStart w:id="713" w:name="_Toc198042354"/>
      <w:bookmarkStart w:id="714" w:name="_Toc217977951"/>
      <w:bookmarkStart w:id="715" w:name="_Toc247517429"/>
      <w:bookmarkStart w:id="716" w:name="_Toc247517520"/>
      <w:bookmarkStart w:id="717" w:name="_Toc232338282"/>
      <w:bookmarkStart w:id="718" w:name="_Toc247517593"/>
      <w:bookmarkStart w:id="719" w:name="_Toc317003295"/>
      <w:bookmarkStart w:id="720" w:name="_Toc317003575"/>
      <w:r>
        <w:t>评价结论</w:t>
      </w:r>
      <w:bookmarkEnd w:id="713"/>
      <w:bookmarkEnd w:id="714"/>
    </w:p>
    <w:p w14:paraId="10D7FB81">
      <w:pPr>
        <w:pStyle w:val="4"/>
      </w:pPr>
      <w:bookmarkStart w:id="721" w:name="_Toc217977952"/>
      <w:bookmarkStart w:id="722" w:name="_Toc198042355"/>
      <w:r>
        <w:t>工程概况</w:t>
      </w:r>
      <w:bookmarkEnd w:id="715"/>
      <w:bookmarkEnd w:id="716"/>
      <w:bookmarkEnd w:id="717"/>
      <w:bookmarkEnd w:id="718"/>
      <w:bookmarkEnd w:id="719"/>
      <w:bookmarkEnd w:id="720"/>
      <w:bookmarkEnd w:id="721"/>
      <w:bookmarkEnd w:id="722"/>
    </w:p>
    <w:p w14:paraId="1B050BB7">
      <w:pPr>
        <w:ind w:firstLine="462"/>
        <w:rPr>
          <w:szCs w:val="28"/>
        </w:rPr>
      </w:pPr>
      <w:r>
        <w:rPr>
          <w:rFonts w:hint="eastAsia" w:cs="宋体"/>
          <w:bCs/>
          <w:lang w:bidi="ar"/>
        </w:rPr>
        <w:t>北部湾港钦州港域大榄坪港区大榄坪南作业区内</w:t>
      </w:r>
      <w:r>
        <w:rPr>
          <w:bCs/>
          <w:lang w:bidi="ar"/>
        </w:rPr>
        <w:t>1</w:t>
      </w:r>
      <w:r>
        <w:rPr>
          <w:rFonts w:hint="eastAsia" w:cs="宋体"/>
          <w:bCs/>
          <w:lang w:bidi="ar"/>
        </w:rPr>
        <w:t>号至</w:t>
      </w:r>
      <w:r>
        <w:rPr>
          <w:bCs/>
          <w:lang w:bidi="ar"/>
        </w:rPr>
        <w:t>5</w:t>
      </w:r>
      <w:r>
        <w:rPr>
          <w:rFonts w:hint="eastAsia" w:cs="宋体"/>
          <w:bCs/>
          <w:lang w:bidi="ar"/>
        </w:rPr>
        <w:t>号江海联运泊位工程</w:t>
      </w:r>
      <w:r>
        <w:rPr>
          <w:rFonts w:hint="eastAsia" w:cs="宋体"/>
          <w:szCs w:val="28"/>
          <w:lang w:bidi="ar"/>
        </w:rPr>
        <w:t>位于北部湾港钦州港域大榄坪港区大榄坪南作业区，建设 5 个 5000 吨级集装箱泊位。利用</w:t>
      </w:r>
      <w:r>
        <w:rPr>
          <w:szCs w:val="28"/>
          <w:lang w:bidi="ar"/>
        </w:rPr>
        <w:t>9</w:t>
      </w:r>
      <w:r>
        <w:rPr>
          <w:rFonts w:hint="eastAsia" w:cs="宋体"/>
          <w:szCs w:val="28"/>
          <w:lang w:bidi="ar"/>
        </w:rPr>
        <w:t>号</w:t>
      </w:r>
      <w:r>
        <w:rPr>
          <w:szCs w:val="28"/>
          <w:lang w:bidi="ar"/>
        </w:rPr>
        <w:t>10</w:t>
      </w:r>
      <w:r>
        <w:rPr>
          <w:rFonts w:hint="eastAsia" w:cs="宋体"/>
          <w:szCs w:val="28"/>
          <w:lang w:bidi="ar"/>
        </w:rPr>
        <w:t>号泊位扩建工程已形成陆域，陆域面积约</w:t>
      </w:r>
      <w:r>
        <w:rPr>
          <w:szCs w:val="28"/>
          <w:lang w:bidi="ar"/>
        </w:rPr>
        <w:t>14.4</w:t>
      </w:r>
      <w:r>
        <w:rPr>
          <w:rFonts w:hint="eastAsia" w:cs="宋体"/>
          <w:szCs w:val="28"/>
          <w:lang w:bidi="ar"/>
        </w:rPr>
        <w:t>万</w:t>
      </w:r>
      <w:r>
        <w:rPr>
          <w:szCs w:val="28"/>
          <w:lang w:bidi="ar"/>
        </w:rPr>
        <w:t>m</w:t>
      </w:r>
      <w:r>
        <w:rPr>
          <w:szCs w:val="28"/>
          <w:vertAlign w:val="superscript"/>
          <w:lang w:bidi="ar"/>
        </w:rPr>
        <w:t>2</w:t>
      </w:r>
      <w:r>
        <w:rPr>
          <w:rFonts w:hint="eastAsia" w:cs="宋体"/>
          <w:szCs w:val="28"/>
          <w:lang w:bidi="ar"/>
        </w:rPr>
        <w:t>，陆域纵深</w:t>
      </w:r>
      <w:r>
        <w:rPr>
          <w:szCs w:val="28"/>
          <w:lang w:bidi="ar"/>
        </w:rPr>
        <w:t>727m</w:t>
      </w:r>
      <w:r>
        <w:rPr>
          <w:rFonts w:hint="eastAsia" w:cs="宋体"/>
          <w:szCs w:val="28"/>
          <w:lang w:bidi="ar"/>
        </w:rPr>
        <w:t>；挖入式港池宽</w:t>
      </w:r>
      <w:r>
        <w:rPr>
          <w:szCs w:val="28"/>
          <w:lang w:bidi="ar"/>
        </w:rPr>
        <w:t>242m</w:t>
      </w:r>
      <w:r>
        <w:rPr>
          <w:rFonts w:hint="eastAsia" w:cs="宋体"/>
          <w:szCs w:val="28"/>
          <w:lang w:bidi="ar"/>
        </w:rPr>
        <w:t>，泊位前沿停泊水域宽度</w:t>
      </w:r>
      <w:r>
        <w:rPr>
          <w:szCs w:val="28"/>
          <w:lang w:bidi="ar"/>
        </w:rPr>
        <w:t>39m</w:t>
      </w:r>
      <w:r>
        <w:rPr>
          <w:rFonts w:hint="eastAsia" w:cs="宋体"/>
          <w:szCs w:val="28"/>
          <w:lang w:bidi="ar"/>
        </w:rPr>
        <w:t>，港池宽度</w:t>
      </w:r>
      <w:r>
        <w:rPr>
          <w:szCs w:val="28"/>
          <w:lang w:bidi="ar"/>
        </w:rPr>
        <w:t>181.5m</w:t>
      </w:r>
      <w:r>
        <w:rPr>
          <w:rFonts w:hint="eastAsia" w:cs="宋体"/>
          <w:szCs w:val="28"/>
          <w:lang w:bidi="ar"/>
        </w:rPr>
        <w:t>，码头前沿停泊水域及连接水域底高程为</w:t>
      </w:r>
      <w:r>
        <w:rPr>
          <w:szCs w:val="28"/>
          <w:lang w:bidi="ar"/>
        </w:rPr>
        <w:t>-7.8m</w:t>
      </w:r>
      <w:r>
        <w:rPr>
          <w:rFonts w:hint="eastAsia" w:cs="宋体"/>
          <w:szCs w:val="28"/>
          <w:lang w:bidi="ar"/>
        </w:rPr>
        <w:t>。年总设计吞吐量为</w:t>
      </w:r>
      <w:r>
        <w:rPr>
          <w:szCs w:val="28"/>
          <w:lang w:bidi="ar"/>
        </w:rPr>
        <w:t>60</w:t>
      </w:r>
      <w:r>
        <w:rPr>
          <w:rFonts w:hint="eastAsia" w:cs="宋体"/>
          <w:szCs w:val="28"/>
          <w:lang w:bidi="ar"/>
        </w:rPr>
        <w:t>万</w:t>
      </w:r>
      <w:r>
        <w:rPr>
          <w:szCs w:val="28"/>
          <w:lang w:bidi="ar"/>
        </w:rPr>
        <w:t>TEU</w:t>
      </w:r>
      <w:r>
        <w:rPr>
          <w:rFonts w:hint="eastAsia" w:cs="宋体"/>
          <w:szCs w:val="28"/>
          <w:lang w:bidi="ar"/>
        </w:rPr>
        <w:t>，年总设计通过能力为</w:t>
      </w:r>
      <w:r>
        <w:rPr>
          <w:szCs w:val="28"/>
          <w:lang w:bidi="ar"/>
        </w:rPr>
        <w:t>65</w:t>
      </w:r>
      <w:r>
        <w:rPr>
          <w:rFonts w:hint="eastAsia" w:cs="宋体"/>
          <w:szCs w:val="28"/>
          <w:lang w:bidi="ar"/>
        </w:rPr>
        <w:t>万</w:t>
      </w:r>
      <w:r>
        <w:rPr>
          <w:szCs w:val="28"/>
          <w:lang w:bidi="ar"/>
        </w:rPr>
        <w:t>TEU</w:t>
      </w:r>
      <w:r>
        <w:rPr>
          <w:rFonts w:hint="eastAsia" w:cs="宋体"/>
          <w:szCs w:val="28"/>
          <w:lang w:bidi="ar"/>
        </w:rPr>
        <w:t>。</w:t>
      </w:r>
    </w:p>
    <w:p w14:paraId="3881895F">
      <w:pPr>
        <w:ind w:firstLine="462"/>
      </w:pPr>
      <w:r>
        <w:rPr>
          <w:rFonts w:hint="eastAsia" w:cs="宋体"/>
          <w:szCs w:val="28"/>
          <w:lang w:bidi="ar"/>
        </w:rPr>
        <w:t>陆域按照使用功能划分为码头前沿作业地带和堆场区，码头前沿作业地带宽度为</w:t>
      </w:r>
      <w:r>
        <w:rPr>
          <w:szCs w:val="28"/>
          <w:lang w:bidi="ar"/>
        </w:rPr>
        <w:t>65.8m</w:t>
      </w:r>
      <w:r>
        <w:rPr>
          <w:rFonts w:hint="eastAsia" w:cs="宋体"/>
          <w:szCs w:val="28"/>
          <w:lang w:bidi="ar"/>
        </w:rPr>
        <w:t>，堆场区垂直码头方向宽度为</w:t>
      </w:r>
      <w:r>
        <w:rPr>
          <w:szCs w:val="28"/>
          <w:lang w:bidi="ar"/>
        </w:rPr>
        <w:t>165m</w:t>
      </w:r>
      <w:r>
        <w:rPr>
          <w:rFonts w:hint="eastAsia" w:cs="宋体"/>
          <w:szCs w:val="28"/>
          <w:lang w:bidi="ar"/>
        </w:rPr>
        <w:t>，平行码头方向宽度为</w:t>
      </w:r>
      <w:r>
        <w:rPr>
          <w:szCs w:val="28"/>
          <w:lang w:bidi="ar"/>
        </w:rPr>
        <w:t>607m</w:t>
      </w:r>
      <w:r>
        <w:rPr>
          <w:rFonts w:hint="eastAsia" w:cs="宋体"/>
          <w:szCs w:val="28"/>
          <w:lang w:bidi="ar"/>
        </w:rPr>
        <w:t>。江海联运泊位码头前沿作业地带宽度取</w:t>
      </w:r>
      <w:r>
        <w:rPr>
          <w:szCs w:val="28"/>
          <w:lang w:bidi="ar"/>
        </w:rPr>
        <w:t>65.8m</w:t>
      </w:r>
      <w:r>
        <w:rPr>
          <w:rFonts w:hint="eastAsia" w:cs="宋体"/>
          <w:szCs w:val="28"/>
          <w:lang w:bidi="ar"/>
        </w:rPr>
        <w:t>，采用自动化单小车岸桥作业，岸桥轨内布置</w:t>
      </w:r>
      <w:r>
        <w:rPr>
          <w:szCs w:val="28"/>
          <w:lang w:bidi="ar"/>
        </w:rPr>
        <w:t>2</w:t>
      </w:r>
      <w:r>
        <w:rPr>
          <w:rFonts w:hint="eastAsia" w:cs="宋体"/>
          <w:szCs w:val="28"/>
          <w:lang w:bidi="ar"/>
        </w:rPr>
        <w:t>条特殊箱通道，陆侧轨后布置</w:t>
      </w:r>
      <w:r>
        <w:rPr>
          <w:szCs w:val="28"/>
          <w:lang w:bidi="ar"/>
        </w:rPr>
        <w:t>3</w:t>
      </w:r>
      <w:r>
        <w:rPr>
          <w:rFonts w:hint="eastAsia" w:cs="宋体"/>
          <w:szCs w:val="28"/>
          <w:lang w:bidi="ar"/>
        </w:rPr>
        <w:t>条</w:t>
      </w:r>
      <w:r>
        <w:rPr>
          <w:szCs w:val="28"/>
          <w:lang w:bidi="ar"/>
        </w:rPr>
        <w:t xml:space="preserve">IGV </w:t>
      </w:r>
      <w:r>
        <w:rPr>
          <w:rFonts w:hint="eastAsia" w:cs="宋体"/>
          <w:szCs w:val="28"/>
          <w:lang w:bidi="ar"/>
        </w:rPr>
        <w:t>装卸车道、</w:t>
      </w:r>
      <w:r>
        <w:rPr>
          <w:szCs w:val="28"/>
          <w:lang w:bidi="ar"/>
        </w:rPr>
        <w:t>6</w:t>
      </w:r>
      <w:r>
        <w:rPr>
          <w:rFonts w:hint="eastAsia" w:cs="宋体"/>
          <w:szCs w:val="28"/>
          <w:lang w:bidi="ar"/>
        </w:rPr>
        <w:t>条</w:t>
      </w:r>
      <w:r>
        <w:rPr>
          <w:szCs w:val="28"/>
          <w:lang w:bidi="ar"/>
        </w:rPr>
        <w:t>IGV</w:t>
      </w:r>
      <w:r>
        <w:rPr>
          <w:rFonts w:hint="eastAsia" w:cs="宋体"/>
          <w:szCs w:val="28"/>
          <w:lang w:bidi="ar"/>
        </w:rPr>
        <w:t>快速行车道和</w:t>
      </w:r>
      <w:r>
        <w:rPr>
          <w:szCs w:val="28"/>
          <w:lang w:bidi="ar"/>
        </w:rPr>
        <w:t>1</w:t>
      </w:r>
      <w:r>
        <w:rPr>
          <w:rFonts w:hint="eastAsia" w:cs="宋体"/>
          <w:szCs w:val="28"/>
          <w:lang w:bidi="ar"/>
        </w:rPr>
        <w:t>条堆场装卸道，宽度依次为</w:t>
      </w:r>
      <w:r>
        <w:rPr>
          <w:szCs w:val="28"/>
          <w:lang w:bidi="ar"/>
        </w:rPr>
        <w:t>12m</w:t>
      </w:r>
      <w:r>
        <w:rPr>
          <w:rFonts w:hint="eastAsia" w:cs="宋体"/>
          <w:szCs w:val="28"/>
          <w:lang w:bidi="ar"/>
        </w:rPr>
        <w:t>、</w:t>
      </w:r>
      <w:r>
        <w:rPr>
          <w:szCs w:val="28"/>
          <w:lang w:bidi="ar"/>
        </w:rPr>
        <w:t>24m</w:t>
      </w:r>
      <w:r>
        <w:rPr>
          <w:rFonts w:hint="eastAsia" w:cs="宋体"/>
          <w:szCs w:val="28"/>
          <w:lang w:bidi="ar"/>
        </w:rPr>
        <w:t>和</w:t>
      </w:r>
      <w:r>
        <w:rPr>
          <w:szCs w:val="28"/>
          <w:lang w:bidi="ar"/>
        </w:rPr>
        <w:t>4m</w:t>
      </w:r>
      <w:r>
        <w:rPr>
          <w:rFonts w:hint="eastAsia" w:cs="宋体"/>
          <w:szCs w:val="28"/>
          <w:lang w:bidi="ar"/>
        </w:rPr>
        <w:t>。陆侧端设置新增集装箱堆场占地面积约</w:t>
      </w:r>
      <w:r>
        <w:rPr>
          <w:szCs w:val="28"/>
          <w:lang w:bidi="ar"/>
        </w:rPr>
        <w:t>9.3</w:t>
      </w:r>
      <w:r>
        <w:rPr>
          <w:rFonts w:hint="eastAsia" w:cs="宋体"/>
          <w:szCs w:val="28"/>
          <w:lang w:bidi="ar"/>
        </w:rPr>
        <w:t>万</w:t>
      </w:r>
      <w:r>
        <w:rPr>
          <w:szCs w:val="28"/>
          <w:lang w:bidi="ar"/>
        </w:rPr>
        <w:t>m</w:t>
      </w:r>
      <w:r>
        <w:rPr>
          <w:szCs w:val="28"/>
          <w:vertAlign w:val="superscript"/>
          <w:lang w:bidi="ar"/>
        </w:rPr>
        <w:t>2</w:t>
      </w:r>
      <w:r>
        <w:rPr>
          <w:rFonts w:hint="eastAsia" w:cs="宋体"/>
          <w:szCs w:val="28"/>
          <w:lang w:bidi="ar"/>
        </w:rPr>
        <w:t>，其中危险货物集装箱堆场约</w:t>
      </w:r>
      <w:r>
        <w:rPr>
          <w:szCs w:val="28"/>
          <w:lang w:bidi="ar"/>
        </w:rPr>
        <w:t>1.</w:t>
      </w:r>
      <w:r>
        <w:rPr>
          <w:rFonts w:hint="eastAsia"/>
          <w:szCs w:val="28"/>
          <w:lang w:bidi="ar"/>
        </w:rPr>
        <w:t>3</w:t>
      </w:r>
      <w:r>
        <w:rPr>
          <w:rFonts w:hint="eastAsia" w:cs="宋体"/>
          <w:szCs w:val="28"/>
          <w:lang w:bidi="ar"/>
        </w:rPr>
        <w:t>万</w:t>
      </w:r>
      <w:r>
        <w:rPr>
          <w:szCs w:val="28"/>
          <w:lang w:bidi="ar"/>
        </w:rPr>
        <w:t>m</w:t>
      </w:r>
      <w:r>
        <w:rPr>
          <w:szCs w:val="28"/>
          <w:vertAlign w:val="superscript"/>
          <w:lang w:bidi="ar"/>
        </w:rPr>
        <w:t>2</w:t>
      </w:r>
      <w:r>
        <w:rPr>
          <w:rFonts w:hint="eastAsia" w:cs="宋体"/>
          <w:szCs w:val="28"/>
          <w:lang w:bidi="ar"/>
        </w:rPr>
        <w:t>；普通重、空箱采用混堆方式。</w:t>
      </w:r>
    </w:p>
    <w:p w14:paraId="0A136D47">
      <w:pPr>
        <w:ind w:firstLine="462"/>
      </w:pPr>
      <w:r>
        <w:t>项目建设工期</w:t>
      </w:r>
      <w:r>
        <w:rPr>
          <w:rFonts w:hint="eastAsia"/>
        </w:rPr>
        <w:t>18</w:t>
      </w:r>
      <w:r>
        <w:t>个月，总投资</w:t>
      </w:r>
      <w:r>
        <w:rPr>
          <w:lang w:val="zh-CN" w:bidi="ar"/>
        </w:rPr>
        <w:t>94122</w:t>
      </w:r>
      <w:r>
        <w:t>万元</w:t>
      </w:r>
      <w:r>
        <w:rPr>
          <w:rFonts w:hint="eastAsia"/>
        </w:rPr>
        <w:t>，其中环保投资</w:t>
      </w:r>
      <w:r>
        <w:t>1051.53万元</w:t>
      </w:r>
      <w:r>
        <w:rPr>
          <w:rFonts w:hint="eastAsia"/>
        </w:rPr>
        <w:t>。</w:t>
      </w:r>
    </w:p>
    <w:p w14:paraId="2654033A">
      <w:pPr>
        <w:pStyle w:val="4"/>
      </w:pPr>
      <w:bookmarkStart w:id="723" w:name="_Toc198042356"/>
      <w:bookmarkStart w:id="724" w:name="_Toc317003296"/>
      <w:bookmarkStart w:id="725" w:name="_Toc217977953"/>
      <w:bookmarkStart w:id="726" w:name="_Toc317003576"/>
      <w:r>
        <w:t>规划一致性分析结论</w:t>
      </w:r>
      <w:bookmarkEnd w:id="723"/>
      <w:bookmarkEnd w:id="724"/>
      <w:bookmarkEnd w:id="725"/>
      <w:bookmarkEnd w:id="726"/>
    </w:p>
    <w:p w14:paraId="000C9806">
      <w:pPr>
        <w:ind w:firstLine="462"/>
      </w:pPr>
      <w:r>
        <w:t>（1）与相关功能区划的一致性</w:t>
      </w:r>
    </w:p>
    <w:p w14:paraId="7E30CA62">
      <w:pPr>
        <w:ind w:firstLine="462"/>
      </w:pPr>
      <w:r>
        <w:t>工程位于</w:t>
      </w:r>
      <w:r>
        <w:rPr>
          <w:rFonts w:hint="eastAsia"/>
        </w:rPr>
        <w:t>大榄坪港区大榄坪南作业区，位置和功能符合《钦州市国土空间总体规划（2021—2035年）》市域海洋功能分区中划定的“钦州港交通运输用海区”。</w:t>
      </w:r>
    </w:p>
    <w:p w14:paraId="30D11840">
      <w:pPr>
        <w:ind w:firstLine="462"/>
      </w:pPr>
      <w:r>
        <w:t>根据《广西壮族自治区生态环境厅关于印发广西壮族自治区近岸海域环境功能区划调整方案的通知》（桂环发〔2023〕9号），本工程位于</w:t>
      </w:r>
      <w:r>
        <w:rPr>
          <w:rFonts w:hint="eastAsia"/>
        </w:rPr>
        <w:t>钦州港大榄坪排污混合区（</w:t>
      </w:r>
      <w:r>
        <w:t>GX057D</w:t>
      </w:r>
      <w:r>
        <w:rPr>
          <w:rFonts w:hint="eastAsia"/>
        </w:rPr>
        <w:t>Ⅳ）</w:t>
      </w:r>
      <w:r>
        <w:t>，</w:t>
      </w:r>
      <w:r>
        <w:rPr>
          <w:rFonts w:hint="eastAsia"/>
        </w:rPr>
        <w:t>主导功能为港口、工业、生活排污用海，属四类环境功能区，水质保护目标为海水水质标准第四类</w:t>
      </w:r>
      <w:r>
        <w:t>。</w:t>
      </w:r>
    </w:p>
    <w:p w14:paraId="609C2019">
      <w:pPr>
        <w:ind w:firstLine="462"/>
      </w:pPr>
      <w:r>
        <w:t>（2）与相关规划的一致性</w:t>
      </w:r>
    </w:p>
    <w:p w14:paraId="6088388B">
      <w:pPr>
        <w:ind w:firstLine="462"/>
      </w:pPr>
      <w:r>
        <w:rPr>
          <w:rFonts w:hint="eastAsia"/>
        </w:rPr>
        <w:t>工程</w:t>
      </w:r>
      <w:r>
        <w:t>为自动化集装箱码头，主要功能为集装箱运输、装卸及堆存业务，码头定位</w:t>
      </w:r>
      <w:r>
        <w:rPr>
          <w:rFonts w:hint="eastAsia"/>
        </w:rPr>
        <w:t>、</w:t>
      </w:r>
      <w:r>
        <w:t>工程建设位置、工程建设规模符合</w:t>
      </w:r>
      <w:r>
        <w:rPr>
          <w:rFonts w:hint="eastAsia" w:cs="Arial"/>
          <w:szCs w:val="32"/>
        </w:rPr>
        <w:t>《北部湾港总体规划（</w:t>
      </w:r>
      <w:r>
        <w:rPr>
          <w:rFonts w:cs="Arial"/>
          <w:szCs w:val="32"/>
        </w:rPr>
        <w:t>2035</w:t>
      </w:r>
      <w:r>
        <w:rPr>
          <w:rFonts w:hint="eastAsia" w:cs="Arial"/>
          <w:szCs w:val="32"/>
        </w:rPr>
        <w:t>年）》</w:t>
      </w:r>
      <w:r>
        <w:t>及其规划环评审查意见要求。</w:t>
      </w:r>
    </w:p>
    <w:p w14:paraId="64EE280D">
      <w:pPr>
        <w:ind w:firstLine="462"/>
      </w:pPr>
      <w:r>
        <w:rPr>
          <w:rFonts w:hint="eastAsia"/>
        </w:rPr>
        <w:t>（3）与环境分区管控的相符性</w:t>
      </w:r>
    </w:p>
    <w:p w14:paraId="1F8368B8">
      <w:pPr>
        <w:ind w:firstLine="462"/>
      </w:pPr>
      <w:r>
        <w:rPr>
          <w:rFonts w:hint="eastAsia"/>
        </w:rPr>
        <w:t>项目位于广西钦州保税港区重点管控单元，对照生态准入及管控要求，本项目与广西钦州保税港区重点管控单元管控要求相符合。</w:t>
      </w:r>
    </w:p>
    <w:p w14:paraId="0F552733">
      <w:pPr>
        <w:ind w:firstLine="462"/>
      </w:pPr>
      <w:r>
        <w:rPr>
          <w:rFonts w:hint="eastAsia"/>
        </w:rPr>
        <w:t>（4）与国土空间规划及其相关成果的相符性</w:t>
      </w:r>
    </w:p>
    <w:p w14:paraId="02949686">
      <w:pPr>
        <w:ind w:firstLine="462"/>
      </w:pPr>
      <w:r>
        <w:rPr>
          <w:rFonts w:hint="eastAsia"/>
        </w:rPr>
        <w:t>项目不涉及占用永久基本农田及生态保护红线，与《钦州市国土空间总体规划（2021—2035年）》及“三区三线”管控要求相符。项目位于《钦州市国土空间总体规划（2021—2035年）》中海洋发展区内的交通运输用海区，项目在已开发的港区内进行建设，符合交通运输用海区的建设要求。</w:t>
      </w:r>
    </w:p>
    <w:p w14:paraId="195F4C27">
      <w:pPr>
        <w:pStyle w:val="4"/>
      </w:pPr>
      <w:bookmarkStart w:id="727" w:name="_Toc477249148"/>
      <w:bookmarkStart w:id="728" w:name="_Toc217977954"/>
      <w:bookmarkStart w:id="729" w:name="_Toc198042357"/>
      <w:r>
        <w:t>主要环境保护目标</w:t>
      </w:r>
      <w:bookmarkEnd w:id="727"/>
      <w:bookmarkEnd w:id="728"/>
      <w:bookmarkEnd w:id="729"/>
    </w:p>
    <w:p w14:paraId="77F933DB">
      <w:pPr>
        <w:ind w:firstLine="462"/>
      </w:pPr>
      <w:r>
        <w:t>本项目水环境保护目标为所处水域海水水质。</w:t>
      </w:r>
    </w:p>
    <w:p w14:paraId="2E47588A">
      <w:pPr>
        <w:ind w:firstLine="462"/>
      </w:pPr>
      <w:r>
        <w:rPr>
          <w:rFonts w:hint="eastAsia"/>
        </w:rPr>
        <w:t>本项目</w:t>
      </w:r>
      <w:r>
        <w:t>声环境评价范围内均无环境敏感目标分布</w:t>
      </w:r>
      <w:r>
        <w:rPr>
          <w:rFonts w:hint="eastAsia"/>
        </w:rPr>
        <w:t>。</w:t>
      </w:r>
    </w:p>
    <w:p w14:paraId="021C62E7">
      <w:pPr>
        <w:ind w:firstLine="462"/>
      </w:pPr>
      <w:r>
        <w:t>评价区主要生态环境敏感保护目标为</w:t>
      </w:r>
      <w:r>
        <w:rPr>
          <w:rFonts w:hint="eastAsia"/>
        </w:rPr>
        <w:t>金鼓江红树林湿地、北部湾水源涵养生态保护红线区、钦州港青菜头南浅海滩涂养殖区等，</w:t>
      </w:r>
      <w:r>
        <w:t>项目建设未涉及占用上述生态敏感区划分范围。</w:t>
      </w:r>
    </w:p>
    <w:p w14:paraId="160AF74F">
      <w:pPr>
        <w:ind w:firstLine="462"/>
      </w:pPr>
      <w:r>
        <w:rPr>
          <w:rFonts w:hint="eastAsia"/>
        </w:rPr>
        <w:t>评价区环境风险保护目标主要为环境风险地表水、生态敏感保护目标等。</w:t>
      </w:r>
    </w:p>
    <w:p w14:paraId="3DBE5ECE">
      <w:pPr>
        <w:pStyle w:val="4"/>
      </w:pPr>
      <w:bookmarkStart w:id="730" w:name="_Toc198042358"/>
      <w:bookmarkStart w:id="731" w:name="_Toc317003577"/>
      <w:bookmarkStart w:id="732" w:name="_Toc317003297"/>
      <w:bookmarkStart w:id="733" w:name="_Toc313461118"/>
      <w:bookmarkStart w:id="734" w:name="_Toc217977955"/>
      <w:r>
        <w:t>环境质量现状调查与评价</w:t>
      </w:r>
      <w:bookmarkEnd w:id="730"/>
      <w:bookmarkEnd w:id="731"/>
      <w:bookmarkEnd w:id="732"/>
      <w:bookmarkEnd w:id="733"/>
      <w:bookmarkEnd w:id="734"/>
    </w:p>
    <w:p w14:paraId="4B47CBCB">
      <w:pPr>
        <w:pStyle w:val="5"/>
      </w:pPr>
      <w:r>
        <w:t>环境空气质量现状调查与评价</w:t>
      </w:r>
    </w:p>
    <w:p w14:paraId="1C62051D">
      <w:pPr>
        <w:ind w:firstLine="462"/>
      </w:pPr>
      <w:r>
        <w:rPr>
          <w:rFonts w:hint="eastAsia"/>
        </w:rPr>
        <w:t>根据</w:t>
      </w:r>
      <w:bookmarkStart w:id="735" w:name="_Hlk183458551"/>
      <w:r>
        <w:rPr>
          <w:rFonts w:hint="eastAsia"/>
        </w:rPr>
        <w:t>《自治区生态环境厅关于通报2024年设区城市及各县（市、区）环境空气质量的函》（桂环函〔2024〕58号）</w:t>
      </w:r>
      <w:bookmarkEnd w:id="735"/>
      <w:r>
        <w:t>，202</w:t>
      </w:r>
      <w:r>
        <w:rPr>
          <w:rFonts w:hint="eastAsia"/>
        </w:rPr>
        <w:t>4</w:t>
      </w:r>
      <w:r>
        <w:t>年钦州市为环境空气达标区。</w:t>
      </w:r>
    </w:p>
    <w:p w14:paraId="776ADF41">
      <w:pPr>
        <w:ind w:firstLine="462"/>
      </w:pPr>
      <w:r>
        <w:rPr>
          <w:rFonts w:hint="eastAsia"/>
        </w:rPr>
        <w:t>根据补充监测，泊位厂界下风向及敏感保护目标处SO</w:t>
      </w:r>
      <w:r>
        <w:rPr>
          <w:rFonts w:hint="eastAsia"/>
          <w:vertAlign w:val="subscript"/>
        </w:rPr>
        <w:t>2</w:t>
      </w:r>
      <w:r>
        <w:rPr>
          <w:rFonts w:hint="eastAsia"/>
        </w:rPr>
        <w:t>、NO</w:t>
      </w:r>
      <w:r>
        <w:rPr>
          <w:rFonts w:hint="eastAsia"/>
          <w:vertAlign w:val="subscript"/>
        </w:rPr>
        <w:t>2</w:t>
      </w:r>
      <w:r>
        <w:rPr>
          <w:rFonts w:hint="eastAsia"/>
        </w:rPr>
        <w:t>、CO及TSP监测结果均满足</w:t>
      </w:r>
      <w:r>
        <w:t>《环境空气质量标准》(GB3095-2012</w:t>
      </w:r>
      <w:r>
        <w:rPr>
          <w:rFonts w:hint="eastAsia"/>
        </w:rPr>
        <w:t>）</w:t>
      </w:r>
      <w:r>
        <w:t>二级标准</w:t>
      </w:r>
      <w:r>
        <w:rPr>
          <w:rFonts w:hint="eastAsia"/>
        </w:rPr>
        <w:t>，环境空气质量现状良好。</w:t>
      </w:r>
    </w:p>
    <w:p w14:paraId="5A03C9E1">
      <w:pPr>
        <w:pStyle w:val="5"/>
      </w:pPr>
      <w:r>
        <w:t>声环境质量现状调查与评价</w:t>
      </w:r>
    </w:p>
    <w:p w14:paraId="5E64B3F3">
      <w:pPr>
        <w:ind w:firstLine="462"/>
      </w:pPr>
      <w:r>
        <w:t>项目厂界噪声监测点昼夜间监测值均满足《工业企业厂界环境噪声排放标准》（GB12348-2008）3类标准限值要求。</w:t>
      </w:r>
    </w:p>
    <w:p w14:paraId="58584ABE">
      <w:pPr>
        <w:pStyle w:val="5"/>
      </w:pPr>
      <w:r>
        <w:t>海洋环境质量现状调查与评价</w:t>
      </w:r>
    </w:p>
    <w:p w14:paraId="4E383037">
      <w:pPr>
        <w:pStyle w:val="6"/>
      </w:pPr>
      <w:r>
        <w:t>海水环境质量现状调查与评价</w:t>
      </w:r>
    </w:p>
    <w:p w14:paraId="5C9E9BF9">
      <w:pPr>
        <w:ind w:firstLine="462"/>
        <w:rPr>
          <w:lang w:val="zh-CN" w:bidi="zh-CN"/>
        </w:rPr>
      </w:pPr>
      <w:r>
        <w:rPr>
          <w:rFonts w:hint="eastAsia"/>
          <w:lang w:val="zh-CN" w:bidi="zh-CN"/>
        </w:rPr>
        <w:t>2023年4月调查结果显示，茅尾海口门及湾口附近的II类海域出现无机氮、活性磷酸盐超标现象，最大超标0.32倍，其余指标均能满足水质标准要求；湾口以外海域基本各项指标均能满足水质标准要求。总体来看，钦州湾茅尾海因其特殊水动力条件，在受地表河流陆源污染汇入、海域及周边范围养殖污染负荷相对较重情况下出现超标现象。</w:t>
      </w:r>
    </w:p>
    <w:p w14:paraId="10A8FD68">
      <w:pPr>
        <w:pStyle w:val="6"/>
      </w:pPr>
      <w:r>
        <w:t>海域沉积物环境质量现状调查与评价</w:t>
      </w:r>
    </w:p>
    <w:p w14:paraId="3E0E3840">
      <w:pPr>
        <w:ind w:firstLine="462"/>
      </w:pPr>
      <w:r>
        <w:rPr>
          <w:rFonts w:hint="eastAsia"/>
        </w:rPr>
        <w:t>项目所在海域沉积物各站各评价因子均符合相应功能区标准的要求。</w:t>
      </w:r>
    </w:p>
    <w:p w14:paraId="4290D54D">
      <w:pPr>
        <w:pStyle w:val="6"/>
      </w:pPr>
      <w:r>
        <w:t>海洋生态环境现状调查</w:t>
      </w:r>
    </w:p>
    <w:p w14:paraId="0359DFC3">
      <w:pPr>
        <w:ind w:firstLine="462"/>
      </w:pPr>
      <w:r>
        <w:rPr>
          <w:rFonts w:hint="eastAsia"/>
        </w:rPr>
        <w:t>叶绿素a含量变化范围在0.77~3.38pg/L，平均值为1.96ug/L；浮游植物生物密度平均为10.9×10</w:t>
      </w:r>
      <w:r>
        <w:rPr>
          <w:rFonts w:hint="eastAsia"/>
          <w:vertAlign w:val="superscript"/>
        </w:rPr>
        <w:t>3</w:t>
      </w:r>
      <w:r>
        <w:rPr>
          <w:rFonts w:hint="eastAsia"/>
        </w:rPr>
        <w:t>个/L；</w:t>
      </w:r>
      <w:r>
        <w:t>浮游动物</w:t>
      </w:r>
      <w:r>
        <w:rPr>
          <w:rFonts w:hint="eastAsia"/>
        </w:rPr>
        <w:t>平均生物密度为233.8个/m²；大型底栖生物生物量平均为35.67g/m²；</w:t>
      </w:r>
      <w:r>
        <w:rPr>
          <w:rFonts w:hint="eastAsia"/>
          <w:lang w:bidi="en-US"/>
        </w:rPr>
        <w:t>鱼卵平均密度为12.96ind/m²，仔稚鱼平均密度为1.22ind/m</w:t>
      </w:r>
      <w:r>
        <w:rPr>
          <w:rFonts w:hint="eastAsia"/>
          <w:vertAlign w:val="superscript"/>
          <w:lang w:bidi="en-US"/>
        </w:rPr>
        <w:t>3</w:t>
      </w:r>
      <w:r>
        <w:rPr>
          <w:rFonts w:hint="eastAsia"/>
          <w:lang w:bidi="en-US"/>
        </w:rPr>
        <w:t>；游泳动物平均重量密度为544.69kg/km²。</w:t>
      </w:r>
      <w:r>
        <w:t>生物体质量调查所有指标均满足相应评价标准。</w:t>
      </w:r>
    </w:p>
    <w:p w14:paraId="7120FF97">
      <w:pPr>
        <w:pStyle w:val="4"/>
      </w:pPr>
      <w:bookmarkStart w:id="736" w:name="_Toc198042359"/>
      <w:bookmarkStart w:id="737" w:name="_Toc317003578"/>
      <w:bookmarkStart w:id="738" w:name="_Toc317003298"/>
      <w:bookmarkStart w:id="739" w:name="_Toc312403742"/>
      <w:bookmarkStart w:id="740" w:name="_Toc106181821"/>
      <w:bookmarkStart w:id="741" w:name="_Toc313461119"/>
      <w:bookmarkStart w:id="742" w:name="_Toc217977956"/>
      <w:bookmarkStart w:id="743" w:name="_Toc11922516"/>
      <w:bookmarkStart w:id="744" w:name="_Toc9264120"/>
      <w:r>
        <w:rPr>
          <w:rFonts w:hint="eastAsia"/>
        </w:rPr>
        <w:t>环境影响评价结论与主要环境保护措施</w:t>
      </w:r>
      <w:bookmarkEnd w:id="736"/>
      <w:bookmarkEnd w:id="737"/>
      <w:bookmarkEnd w:id="738"/>
      <w:bookmarkEnd w:id="739"/>
      <w:bookmarkEnd w:id="740"/>
      <w:bookmarkEnd w:id="741"/>
      <w:bookmarkEnd w:id="742"/>
    </w:p>
    <w:p w14:paraId="19FA36E0">
      <w:pPr>
        <w:pStyle w:val="5"/>
      </w:pPr>
      <w:r>
        <w:rPr>
          <w:rFonts w:hint="eastAsia"/>
        </w:rPr>
        <w:t>水环境</w:t>
      </w:r>
    </w:p>
    <w:p w14:paraId="2F17DBF5">
      <w:pPr>
        <w:pStyle w:val="6"/>
      </w:pPr>
      <w:r>
        <w:rPr>
          <w:rFonts w:hint="eastAsia"/>
        </w:rPr>
        <w:t>施工期</w:t>
      </w:r>
    </w:p>
    <w:p w14:paraId="058CD2BB">
      <w:pPr>
        <w:ind w:firstLine="462"/>
      </w:pPr>
      <w:r>
        <w:rPr>
          <w:rFonts w:hint="eastAsia"/>
        </w:rPr>
        <w:t>由于水下疏浚等改变了局部水深地形，这些区域的流速和流向有一定变化。项目建成后流速最大变化幅度不超过</w:t>
      </w:r>
      <w:r>
        <w:t>55cm/s</w:t>
      </w:r>
      <w:r>
        <w:rPr>
          <w:rFonts w:hint="eastAsia"/>
        </w:rPr>
        <w:t>，流向变化幅度最大不超过</w:t>
      </w:r>
      <w:r>
        <w:t>100</w:t>
      </w:r>
      <w:r>
        <w:rPr>
          <w:rFonts w:hint="eastAsia"/>
        </w:rPr>
        <w:t>°，其中，疏浚区域及其西侧海域流态变化较为明显，项目建设会对其周围</w:t>
      </w:r>
      <w:r>
        <w:t>1.0km</w:t>
      </w:r>
      <w:r>
        <w:rPr>
          <w:rFonts w:hint="eastAsia"/>
        </w:rPr>
        <w:t>海域的水动力环境造成较为明显影响。</w:t>
      </w:r>
    </w:p>
    <w:p w14:paraId="13268A98">
      <w:pPr>
        <w:ind w:firstLine="462"/>
      </w:pPr>
      <w:r>
        <w:t>悬沙不会</w:t>
      </w:r>
      <w:r>
        <w:rPr>
          <w:rFonts w:hint="eastAsia"/>
        </w:rPr>
        <w:t>对评价区域内的敏感目标造成明显影响，但</w:t>
      </w:r>
      <w:r>
        <w:t>可对距离工程区域</w:t>
      </w:r>
      <w:r>
        <w:rPr>
          <w:rFonts w:hint="eastAsia"/>
        </w:rPr>
        <w:t>1.0km范围内的水域水质产生影响。</w:t>
      </w:r>
      <w:r>
        <w:t>施工前应开展悬沙跟踪监测，发现悬沙浓度</w:t>
      </w:r>
      <w:r>
        <w:rPr>
          <w:rFonts w:hint="eastAsia"/>
        </w:rPr>
        <w:t>超出《广西壮族自治区生态环境厅关于印发广西壮族自治区近岸海域环境功能区划调整方案的通知》（桂环发〔2023〕9号）中相应功能区海水水质标准时</w:t>
      </w:r>
      <w:r>
        <w:t>，应立即停止施工，对施工造成的海洋生态损失应当给予一定的赔偿。</w:t>
      </w:r>
      <w:bookmarkStart w:id="745" w:name="_Hlk183443562"/>
    </w:p>
    <w:bookmarkEnd w:id="745"/>
    <w:p w14:paraId="489FB1F9">
      <w:pPr>
        <w:ind w:firstLine="462"/>
      </w:pPr>
      <w:r>
        <w:rPr>
          <w:rFonts w:hint="eastAsia"/>
        </w:rPr>
        <w:t>施工废水中主要的污染因子为SS和石油类，经隔油沉淀处理后回用作场区洒水抑尘不外排。不会对海域水环境造成影响。</w:t>
      </w:r>
    </w:p>
    <w:p w14:paraId="317B859C">
      <w:pPr>
        <w:pStyle w:val="6"/>
      </w:pPr>
      <w:r>
        <w:rPr>
          <w:rFonts w:hint="eastAsia"/>
        </w:rPr>
        <w:t>运营期</w:t>
      </w:r>
    </w:p>
    <w:p w14:paraId="6AC17794">
      <w:pPr>
        <w:ind w:firstLine="462"/>
        <w:rPr>
          <w:snapToGrid w:val="0"/>
          <w:kern w:val="0"/>
        </w:rPr>
      </w:pPr>
      <w:bookmarkStart w:id="746" w:name="_Hlk107408573"/>
      <w:r>
        <w:rPr>
          <w:rFonts w:hint="eastAsia"/>
          <w:snapToGrid w:val="0"/>
          <w:kern w:val="0"/>
        </w:rPr>
        <w:t>（1）到港船舶油污水由船舶委托有资质的船舶服务公司接收处理。船舶生活污水经船舶自带污水处理装置处理达标后按《MARPOL73/78 防污公约》附则Ⅳ“防止船舶生活污水污染规则”规定，在航行中并且在4海里以外排放，或到港后委托有资质的船舶服务公司接收处理。</w:t>
      </w:r>
    </w:p>
    <w:p w14:paraId="1B1554AA">
      <w:pPr>
        <w:ind w:firstLine="462"/>
      </w:pPr>
      <w:r>
        <w:rPr>
          <w:rFonts w:hint="eastAsia"/>
          <w:snapToGrid w:val="0"/>
          <w:kern w:val="0"/>
        </w:rPr>
        <w:t>（2）</w:t>
      </w:r>
      <w:r>
        <w:rPr>
          <w:rFonts w:hint="eastAsia"/>
        </w:rPr>
        <w:t>港区生活污水经收集后泵送至</w:t>
      </w:r>
      <w:r>
        <w:t>7</w:t>
      </w:r>
      <w:r>
        <w:rPr>
          <w:rFonts w:hint="eastAsia"/>
        </w:rPr>
        <w:t>号</w:t>
      </w:r>
      <w:r>
        <w:t>8</w:t>
      </w:r>
      <w:r>
        <w:rPr>
          <w:rFonts w:hint="eastAsia"/>
        </w:rPr>
        <w:t>号泊位的生活污水处理站预处理后排入大榄坪污水处理厂</w:t>
      </w:r>
      <w:r>
        <w:rPr>
          <w:rFonts w:hint="eastAsia"/>
          <w:snapToGrid w:val="0"/>
          <w:kern w:val="0"/>
        </w:rPr>
        <w:t>，不外排。</w:t>
      </w:r>
      <w:r>
        <w:t>7号8号泊位生活污水处理站运行良好，污水处理效率较高，出水水质能满足</w:t>
      </w:r>
      <w:r>
        <w:rPr>
          <w:rFonts w:hint="eastAsia"/>
        </w:rPr>
        <w:t>《污水综合排放标准》（GB 8978-1996）三级标准</w:t>
      </w:r>
      <w:r>
        <w:t>要求，出水排入市政污水管网。</w:t>
      </w:r>
      <w:r>
        <w:rPr>
          <w:rFonts w:hint="eastAsia"/>
        </w:rPr>
        <w:t>码头区域生活污水由污水处理站预处理后进入市政管网具备可行性</w:t>
      </w:r>
      <w:r>
        <w:rPr>
          <w:rFonts w:hint="eastAsia"/>
          <w:snapToGrid w:val="0"/>
        </w:rPr>
        <w:t>。</w:t>
      </w:r>
      <w:r>
        <w:rPr>
          <w:rFonts w:hint="eastAsia"/>
        </w:rPr>
        <w:t>船舶压载水应在航行中排放或在航行中完成深海置换，严禁进入钦州港区内排放。</w:t>
      </w:r>
    </w:p>
    <w:bookmarkEnd w:id="746"/>
    <w:p w14:paraId="54A0F739">
      <w:pPr>
        <w:pStyle w:val="6"/>
        <w:rPr>
          <w:snapToGrid w:val="0"/>
        </w:rPr>
      </w:pPr>
      <w:r>
        <w:rPr>
          <w:rFonts w:hint="eastAsia"/>
          <w:snapToGrid w:val="0"/>
        </w:rPr>
        <w:t>主要环保措施</w:t>
      </w:r>
    </w:p>
    <w:p w14:paraId="3E39217F">
      <w:pPr>
        <w:ind w:firstLine="462"/>
        <w:rPr>
          <w:snapToGrid w:val="0"/>
        </w:rPr>
      </w:pPr>
      <w:bookmarkStart w:id="747" w:name="_Hlk107408600"/>
      <w:r>
        <w:rPr>
          <w:rFonts w:hint="eastAsia"/>
          <w:snapToGrid w:val="0"/>
        </w:rPr>
        <w:t>（1）施工船舶控制疏浚悬浮物影响范围，疏浚砂回填形成的溢流口周边合理布置防污帘，减少疏浚作业对周边海洋环境的影响。疏浚物外抛至钦州港30万吨级进港航道疏浚工程疏浚物临时性海洋倾倒区B区，取得倾倒许可证，避免发生污染。</w:t>
      </w:r>
    </w:p>
    <w:p w14:paraId="30C6CC2C">
      <w:pPr>
        <w:ind w:firstLine="462"/>
        <w:rPr>
          <w:snapToGrid w:val="0"/>
        </w:rPr>
      </w:pPr>
      <w:r>
        <w:rPr>
          <w:rFonts w:hint="eastAsia"/>
          <w:snapToGrid w:val="0"/>
        </w:rPr>
        <w:t>（2）到港船舶油污水由船舶委托有资质的船舶污染物接收</w:t>
      </w:r>
      <w:r>
        <w:rPr>
          <w:snapToGrid w:val="0"/>
        </w:rPr>
        <w:t>公司</w:t>
      </w:r>
      <w:r>
        <w:rPr>
          <w:rFonts w:hint="eastAsia"/>
          <w:snapToGrid w:val="0"/>
        </w:rPr>
        <w:t>接收处理；本码头水域禁止排放船舶油污水。船舶生活污水根据《73/78防污公约》要求，自带生活污水处理设施处理达标后在海事部门指定地点排放或到港后委托有资质的船舶服务公司接收处理；船舶压载水应在航行中排放或在航行中完成深海置换，严禁进入钦州港区内排放。</w:t>
      </w:r>
    </w:p>
    <w:p w14:paraId="55936EF4">
      <w:pPr>
        <w:ind w:firstLine="462"/>
        <w:rPr>
          <w:snapToGrid w:val="0"/>
        </w:rPr>
      </w:pPr>
      <w:r>
        <w:rPr>
          <w:rFonts w:hint="eastAsia"/>
          <w:snapToGrid w:val="0"/>
        </w:rPr>
        <w:t>（3）</w:t>
      </w:r>
      <w:r>
        <w:t>港区生活污水</w:t>
      </w:r>
      <w:r>
        <w:rPr>
          <w:rFonts w:hint="eastAsia"/>
        </w:rPr>
        <w:t>经收集后泵送至</w:t>
      </w:r>
      <w:r>
        <w:t>7</w:t>
      </w:r>
      <w:r>
        <w:rPr>
          <w:rFonts w:hint="eastAsia"/>
        </w:rPr>
        <w:t>号</w:t>
      </w:r>
      <w:r>
        <w:t>8</w:t>
      </w:r>
      <w:r>
        <w:rPr>
          <w:rFonts w:hint="eastAsia"/>
        </w:rPr>
        <w:t>号泊位的生活污水处理站处理后排入市政污水管网</w:t>
      </w:r>
      <w:r>
        <w:t>，不得外排。</w:t>
      </w:r>
    </w:p>
    <w:bookmarkEnd w:id="747"/>
    <w:p w14:paraId="14145E9C">
      <w:pPr>
        <w:pStyle w:val="5"/>
      </w:pPr>
      <w:r>
        <w:rPr>
          <w:rFonts w:hint="eastAsia"/>
        </w:rPr>
        <w:t>生态环境</w:t>
      </w:r>
    </w:p>
    <w:p w14:paraId="6C7E4396">
      <w:pPr>
        <w:pStyle w:val="6"/>
      </w:pPr>
      <w:r>
        <w:rPr>
          <w:rFonts w:hint="eastAsia"/>
        </w:rPr>
        <w:t>施工期</w:t>
      </w:r>
    </w:p>
    <w:p w14:paraId="42F3C52E">
      <w:pPr>
        <w:ind w:firstLine="462"/>
      </w:pPr>
      <w:bookmarkStart w:id="748" w:name="_Hlk107408680"/>
      <w:r>
        <w:rPr>
          <w:rFonts w:hint="eastAsia"/>
        </w:rPr>
        <w:t>施工期产生的生态环境影响主要为港池疏浚的占用及悬浮泥沙骤增对底栖生物、鱼卵、仔鱼等生物的影响，随着施工期结束可逐渐恢复；通过生态补偿措施，可进一步降低项目建设对区域海洋生态环境的影响。</w:t>
      </w:r>
      <w:bookmarkEnd w:id="748"/>
    </w:p>
    <w:p w14:paraId="1CE060F0">
      <w:pPr>
        <w:ind w:firstLine="462"/>
      </w:pPr>
      <w:r>
        <w:t>（</w:t>
      </w:r>
      <w:r>
        <w:rPr>
          <w:rFonts w:hint="eastAsia"/>
        </w:rPr>
        <w:t>1</w:t>
      </w:r>
      <w:r>
        <w:t>）疏浚施工影响</w:t>
      </w:r>
    </w:p>
    <w:p w14:paraId="66F387E4">
      <w:pPr>
        <w:ind w:firstLine="462"/>
      </w:pPr>
      <w:r>
        <w:t>疏浚、炸礁等过程导致悬浮物含量增高，悬浮物的沉积主要影响项目区附近海域的底栖群落，施工结束后一段时间内，受影响的底栖生物群落会逐渐被新的群落所替代。水域疏浚将改变项目区域内海洋生物原有的栖息环境，尤其对底栖生物的影响是最大的。本项目占用海域内的底质环境完全破坏。除少量活动能力较强的底栖种类能够逃往他处存活外，大部分底栖生物被掩埋、覆盖而死亡。本项目施工期间产生的悬浮泥沙使周围海水中悬浮物浓度增大，透明度降低，引起浮游植物的光合作用的减少，同样会对浮游植物会产生一定的影响和破坏作用。但由于悬浮沙排放的时间相对较短，随着施工作业结束，停止悬浮沙的排放，其影响将会逐渐减轻。工程不会产生的悬浮物含量高浓度区，不会造成成体鱼类死亡，且鱼、虾、蟹等游泳能力较强的海洋生物将主动逃避，游泳生物的回避效应使得该海域的生物量有所下降，从而影响使该区域内的生物群落的种类组成和数量分布。至于经济鱼类等，由于移动性较强，更不至于造成明显影响。随着施工的结束，游泳生物的种类和数量会逐渐得到恢复。因此，施工期间产生的悬浮物不会对游泳生物造成较大的影响。疏浚引起的悬浮物增量均小于成体的明显影响浓度，对幼体的影响稍大，但都局限在水域疏浚区域内，项目的建设对区域渔业资源的影响比较小。</w:t>
      </w:r>
    </w:p>
    <w:p w14:paraId="27B11237">
      <w:pPr>
        <w:ind w:firstLine="462"/>
      </w:pPr>
      <w:r>
        <w:rPr>
          <w:rFonts w:hint="eastAsia"/>
        </w:rPr>
        <w:t>（2）炸礁施工影响</w:t>
      </w:r>
    </w:p>
    <w:p w14:paraId="4F14A065">
      <w:pPr>
        <w:ind w:firstLine="462"/>
      </w:pPr>
      <w:r>
        <w:rPr>
          <w:rFonts w:hint="eastAsia"/>
        </w:rPr>
        <w:t>水下爆破的危害作用主要来自三个方面：地震波作用、水中冲击波作用和爆破飞石。</w:t>
      </w:r>
      <w:r>
        <w:t>项目为水域疏浚工程，邻近3km内无村庄，因此炸礁引起的地基震动对周边居民的住宅不会造成影响，炸礁位置与现有码头距离约</w:t>
      </w:r>
      <w:r>
        <w:rPr>
          <w:rFonts w:hint="eastAsia"/>
        </w:rPr>
        <w:t>100</w:t>
      </w:r>
      <w:r>
        <w:t>m，水下爆破对其码头结构不会造成不利影响</w:t>
      </w:r>
      <w:r>
        <w:rPr>
          <w:rFonts w:hint="eastAsia"/>
        </w:rPr>
        <w:t>。工程所在海域整体鱼卵、仔鱼密度均较小，项目爆破产生的冲击波影响主要集中在700m范围内，因此项目冲击波产生的生态影响范围有限。</w:t>
      </w:r>
    </w:p>
    <w:p w14:paraId="655A296B">
      <w:pPr>
        <w:pStyle w:val="6"/>
      </w:pPr>
      <w:r>
        <w:rPr>
          <w:rFonts w:hint="eastAsia"/>
        </w:rPr>
        <w:t>运营期</w:t>
      </w:r>
    </w:p>
    <w:p w14:paraId="4EF3C8D5">
      <w:pPr>
        <w:ind w:firstLine="462"/>
      </w:pPr>
      <w:bookmarkStart w:id="749" w:name="_Hlk107408691"/>
      <w:r>
        <w:rPr>
          <w:rFonts w:hint="eastAsia"/>
        </w:rPr>
        <w:t>项目运营期不</w:t>
      </w:r>
      <w:r>
        <w:t>向海域排放生产生活</w:t>
      </w:r>
      <w:r>
        <w:rPr>
          <w:rFonts w:hint="eastAsia"/>
        </w:rPr>
        <w:t>废水，码头作业、船舶运行密度增加将引起的水体扰动和噪声污染，破坏原有水生生境，造成邻近港区海域的水生生物种类和数量减少，使局部海域水生生物的分布有所改变。鱼类可以通过主动逃逸避开港区作业影响区域，基本上能消除港区作业对它们的不利影响，但其在海域内的分布范围将有所改变。</w:t>
      </w:r>
    </w:p>
    <w:p w14:paraId="796C80D9">
      <w:pPr>
        <w:ind w:firstLine="462"/>
      </w:pPr>
      <w:r>
        <w:rPr>
          <w:rFonts w:hint="eastAsia"/>
        </w:rPr>
        <w:t>通过做好运营期废水治理措施及码头装卸作业、船舶进出港的环境管理措施，项目运营对评价范围内水生生物的影响将得到有效地控制。</w:t>
      </w:r>
      <w:bookmarkEnd w:id="749"/>
    </w:p>
    <w:p w14:paraId="5297ED22">
      <w:pPr>
        <w:pStyle w:val="6"/>
      </w:pPr>
      <w:r>
        <w:rPr>
          <w:rFonts w:hint="eastAsia"/>
        </w:rPr>
        <w:t>主要环境保护措施</w:t>
      </w:r>
    </w:p>
    <w:p w14:paraId="29710533">
      <w:pPr>
        <w:ind w:firstLine="462"/>
      </w:pPr>
      <w:bookmarkStart w:id="750" w:name="_Hlk107408716"/>
      <w:r>
        <w:rPr>
          <w:rFonts w:hint="eastAsia"/>
        </w:rPr>
        <w:t>（</w:t>
      </w:r>
      <w:r>
        <w:t>1</w:t>
      </w:r>
      <w:r>
        <w:rPr>
          <w:rFonts w:hint="eastAsia"/>
        </w:rPr>
        <w:t>）施工作业产生的建筑垃圾及生活垃圾禁止抛弃入海；妥善处理在港船舶污染物和陆域废水，禁止向海域直接排放。</w:t>
      </w:r>
    </w:p>
    <w:p w14:paraId="6FE132D1">
      <w:pPr>
        <w:ind w:firstLine="462"/>
      </w:pPr>
      <w:r>
        <w:rPr>
          <w:rFonts w:hint="eastAsia"/>
        </w:rPr>
        <w:t>（</w:t>
      </w:r>
      <w:r>
        <w:t>2</w:t>
      </w:r>
      <w:r>
        <w:rPr>
          <w:rFonts w:hint="eastAsia"/>
        </w:rPr>
        <w:t>）加强宣传教育，增强员工对水生生态的保护意识，禁止捕捞濒危保护水生生物。若发现濒危保护水生生物，应及时联系当地海事及渔业管理部门，以便采取相应保护和救助措施。</w:t>
      </w:r>
    </w:p>
    <w:p w14:paraId="2D676C18">
      <w:pPr>
        <w:ind w:firstLine="462"/>
      </w:pPr>
      <w:r>
        <w:rPr>
          <w:rFonts w:hint="eastAsia"/>
        </w:rPr>
        <w:t>（3）在当地环保及渔政部门的监督和指导下进行施工作业，优化工程施工工艺，如炸礁选择环保型炸药等，避免原水域生境的急剧变化，降低施工作业环境影响程度。</w:t>
      </w:r>
    </w:p>
    <w:p w14:paraId="73AAAB68">
      <w:pPr>
        <w:ind w:firstLine="462"/>
      </w:pPr>
      <w:r>
        <w:rPr>
          <w:rFonts w:hint="eastAsia"/>
        </w:rPr>
        <w:t>（4）本次</w:t>
      </w:r>
      <w:r>
        <w:t>项目建设</w:t>
      </w:r>
      <w:r>
        <w:rPr>
          <w:rFonts w:hint="eastAsia"/>
        </w:rPr>
        <w:t>包含海域的疏浚炸礁、码头水工沉箱占用等</w:t>
      </w:r>
      <w:r>
        <w:t>造成海洋生物资源量损失及</w:t>
      </w:r>
      <w:r>
        <w:rPr>
          <w:rFonts w:hint="eastAsia"/>
        </w:rPr>
        <w:t>经济损失，约97.53万元。项目业主尽快落实生态补偿费用，具体的放流种类、放流地点，建设单位应咨询当地渔业主管部门后确定。建设单位应做好增殖放流效果的跟踪监测、调查和评估工作。</w:t>
      </w:r>
      <w:bookmarkEnd w:id="750"/>
    </w:p>
    <w:p w14:paraId="757EBB0D">
      <w:pPr>
        <w:pStyle w:val="5"/>
      </w:pPr>
      <w:r>
        <w:rPr>
          <w:rFonts w:hint="eastAsia"/>
        </w:rPr>
        <w:t>环境空气</w:t>
      </w:r>
    </w:p>
    <w:p w14:paraId="19DACEBF">
      <w:pPr>
        <w:pStyle w:val="6"/>
      </w:pPr>
      <w:r>
        <w:rPr>
          <w:rFonts w:hint="eastAsia"/>
        </w:rPr>
        <w:t>施工期</w:t>
      </w:r>
    </w:p>
    <w:p w14:paraId="7A3A33F3">
      <w:pPr>
        <w:ind w:firstLine="462"/>
      </w:pPr>
      <w:bookmarkStart w:id="751" w:name="_Hlk107408739"/>
      <w:r>
        <w:rPr>
          <w:rFonts w:hint="eastAsia"/>
        </w:rPr>
        <w:t>施工期主要大气污染因子</w:t>
      </w:r>
      <w:r>
        <w:t>有TSP、NO</w:t>
      </w:r>
      <w:r>
        <w:rPr>
          <w:vertAlign w:val="subscript"/>
        </w:rPr>
        <w:t>x</w:t>
      </w:r>
      <w:r>
        <w:t>、CO</w:t>
      </w:r>
      <w:r>
        <w:rPr>
          <w:rFonts w:hint="eastAsia"/>
        </w:rPr>
        <w:t>。</w:t>
      </w:r>
      <w:r>
        <w:t>正常风况下，施工活动将使施工现场TSP近地面浓度达到1.5～3</w:t>
      </w:r>
      <w:r>
        <w:rPr>
          <w:rFonts w:hint="eastAsia"/>
        </w:rPr>
        <w:t>.</w:t>
      </w:r>
      <w:r>
        <w:t>0mg/m</w:t>
      </w:r>
      <w:r>
        <w:rPr>
          <w:vertAlign w:val="superscript"/>
        </w:rPr>
        <w:t>3</w:t>
      </w:r>
      <w:r>
        <w:t>，距施工现场约200m外的TSP浓度符合《环境空气质量标准》二级标准要求</w:t>
      </w:r>
      <w:r>
        <w:rPr>
          <w:rFonts w:hint="eastAsia"/>
        </w:rPr>
        <w:t>。施工期影响是暂时性的，随着施工的结束其影响也会停止，施工粉尘对周围大气环境不会产生明显的影响。</w:t>
      </w:r>
      <w:bookmarkEnd w:id="751"/>
    </w:p>
    <w:p w14:paraId="25E7E4D2">
      <w:pPr>
        <w:pStyle w:val="6"/>
      </w:pPr>
      <w:r>
        <w:rPr>
          <w:rFonts w:hint="eastAsia"/>
        </w:rPr>
        <w:t>运营期</w:t>
      </w:r>
    </w:p>
    <w:p w14:paraId="4C42035C">
      <w:pPr>
        <w:ind w:firstLine="462"/>
      </w:pPr>
      <w:bookmarkStart w:id="752" w:name="_Hlk107408756"/>
      <w:r>
        <w:rPr>
          <w:rFonts w:hint="eastAsia"/>
        </w:rPr>
        <w:t>项目</w:t>
      </w:r>
      <w:r>
        <w:t>为自动化集装箱码头</w:t>
      </w:r>
      <w:r>
        <w:rPr>
          <w:rFonts w:hint="eastAsia"/>
        </w:rPr>
        <w:t>，集装箱装卸作业采用轨道吊、IGV充电小车等均为电能作业，无装卸废气产生；码头后方堆场为集装箱堆场，堆场静态起尘量极少；码头设置船舶岸电设施，船舶进港靠泊使用岸电设备，该过程不会产生船舶废气；项目运营期主要</w:t>
      </w:r>
      <w:bookmarkStart w:id="753" w:name="_Hlk183459053"/>
      <w:r>
        <w:rPr>
          <w:rFonts w:hint="eastAsia"/>
        </w:rPr>
        <w:t>大气污染物为进出港运输车辆尾气产生的废气及铺装道路扬尘，均为无组织废气。</w:t>
      </w:r>
      <w:bookmarkEnd w:id="752"/>
      <w:bookmarkEnd w:id="753"/>
    </w:p>
    <w:p w14:paraId="1B87CDAB">
      <w:pPr>
        <w:pStyle w:val="6"/>
      </w:pPr>
      <w:r>
        <w:rPr>
          <w:rFonts w:hint="eastAsia"/>
        </w:rPr>
        <w:t>主要环境保护措施</w:t>
      </w:r>
    </w:p>
    <w:p w14:paraId="43E9EC84">
      <w:pPr>
        <w:ind w:firstLine="462"/>
      </w:pPr>
      <w:bookmarkStart w:id="754" w:name="_Hlk107408806"/>
      <w:r>
        <w:rPr>
          <w:rFonts w:hint="eastAsia"/>
        </w:rPr>
        <w:t>（1）本项目所在海域位于船舶大气污染物排放控制区内，施工期禁止内河船舶及“三无”船舶参与海上施工和运输，</w:t>
      </w:r>
      <w:bookmarkStart w:id="755" w:name="_Hlk183459135"/>
      <w:r>
        <w:rPr>
          <w:rFonts w:hint="eastAsia"/>
        </w:rPr>
        <w:t>作业船舶应遵守大气污染物排放控制区相关要求，通过使用符合规定的清洁燃料油，满足硫氧化物、颗粒物和氮氧化物的排放控制要求</w:t>
      </w:r>
      <w:bookmarkEnd w:id="755"/>
      <w:r>
        <w:rPr>
          <w:rFonts w:hint="eastAsia"/>
        </w:rPr>
        <w:t>。</w:t>
      </w:r>
    </w:p>
    <w:p w14:paraId="0023642A">
      <w:pPr>
        <w:ind w:firstLine="462"/>
      </w:pPr>
      <w:r>
        <w:rPr>
          <w:rFonts w:hint="eastAsia"/>
        </w:rPr>
        <w:t>（2）运营期保持厂区道路路面的清洁和相对湿度，当路面出现损坏及时修复，同时对该道路进行定时洒水，并应视路面状况调整洒水频次。</w:t>
      </w:r>
      <w:bookmarkEnd w:id="754"/>
    </w:p>
    <w:p w14:paraId="68C65B6C">
      <w:pPr>
        <w:pStyle w:val="5"/>
      </w:pPr>
      <w:r>
        <w:rPr>
          <w:rFonts w:hint="eastAsia"/>
        </w:rPr>
        <w:t>声环境</w:t>
      </w:r>
    </w:p>
    <w:p w14:paraId="1CAE38F9">
      <w:pPr>
        <w:pStyle w:val="6"/>
      </w:pPr>
      <w:r>
        <w:rPr>
          <w:rFonts w:hint="eastAsia"/>
        </w:rPr>
        <w:t>施工期</w:t>
      </w:r>
    </w:p>
    <w:p w14:paraId="62CC582F">
      <w:pPr>
        <w:ind w:firstLine="462"/>
      </w:pPr>
      <w:bookmarkStart w:id="756" w:name="_Hlk107408847"/>
      <w:r>
        <w:rPr>
          <w:rFonts w:hint="eastAsia"/>
          <w:lang w:val="zh-CN"/>
        </w:rPr>
        <w:t>经预测，单机施工机械噪声值昼间辐射到大于4</w:t>
      </w:r>
      <w:r>
        <w:rPr>
          <w:lang w:val="zh-CN"/>
        </w:rPr>
        <w:t>0m</w:t>
      </w:r>
      <w:r>
        <w:rPr>
          <w:rFonts w:hint="eastAsia"/>
          <w:lang w:val="zh-CN"/>
        </w:rPr>
        <w:t>距离时，施工噪声预测值可满足</w:t>
      </w:r>
      <w:r>
        <w:t>《建筑施工噪声排放</w:t>
      </w:r>
      <w:r>
        <w:rPr>
          <w:rFonts w:hint="eastAsia"/>
        </w:rPr>
        <w:t>标准</w:t>
      </w:r>
      <w:r>
        <w:t>》（GB12523-</w:t>
      </w:r>
      <w:r>
        <w:rPr>
          <w:rFonts w:hint="eastAsia"/>
        </w:rPr>
        <w:t>2025</w:t>
      </w:r>
      <w:r>
        <w:t>）</w:t>
      </w:r>
      <w:r>
        <w:rPr>
          <w:rFonts w:hint="eastAsia"/>
          <w:lang w:val="zh-CN"/>
        </w:rPr>
        <w:t>标准要求；对于夜间作业，施工机械噪声值辐射到大于560</w:t>
      </w:r>
      <w:r>
        <w:rPr>
          <w:lang w:val="zh-CN"/>
        </w:rPr>
        <w:t>m</w:t>
      </w:r>
      <w:r>
        <w:rPr>
          <w:rFonts w:hint="eastAsia"/>
          <w:lang w:val="zh-CN"/>
        </w:rPr>
        <w:t>处，可达到标准。</w:t>
      </w:r>
      <w:r>
        <w:rPr>
          <w:rFonts w:hint="eastAsia"/>
        </w:rPr>
        <w:t>项目评价范围内无声环境敏感点。施工噪声对周边环境的影响属短时影响，随施工活动结束消失。</w:t>
      </w:r>
      <w:bookmarkEnd w:id="756"/>
    </w:p>
    <w:p w14:paraId="545FF7F6">
      <w:pPr>
        <w:pStyle w:val="6"/>
      </w:pPr>
      <w:r>
        <w:rPr>
          <w:rFonts w:hint="eastAsia"/>
        </w:rPr>
        <w:t>运营期</w:t>
      </w:r>
    </w:p>
    <w:p w14:paraId="00B87FFF">
      <w:pPr>
        <w:ind w:firstLine="462"/>
      </w:pPr>
      <w:bookmarkStart w:id="757" w:name="_Hlk107408857"/>
      <w:r>
        <w:rPr>
          <w:rFonts w:hint="eastAsia"/>
        </w:rPr>
        <w:t>项目各侧场界执行《工业企业厂界环境噪声排放</w:t>
      </w:r>
      <w:r>
        <w:t>标准</w:t>
      </w:r>
      <w:r>
        <w:rPr>
          <w:rFonts w:hint="eastAsia"/>
        </w:rPr>
        <w:t>》（GB12348-2008）中3类标准值。根据预测，在考虑多台作业机械同时作业的不利条件下：项目各侧场界噪声排放满足3类标准要求。本项目的实施对周围环境影响较小。</w:t>
      </w:r>
      <w:bookmarkEnd w:id="757"/>
    </w:p>
    <w:p w14:paraId="41131521">
      <w:pPr>
        <w:pStyle w:val="6"/>
      </w:pPr>
      <w:r>
        <w:rPr>
          <w:rFonts w:hint="eastAsia"/>
        </w:rPr>
        <w:t>主要环境保护措施</w:t>
      </w:r>
    </w:p>
    <w:p w14:paraId="141E7560">
      <w:pPr>
        <w:ind w:firstLine="462"/>
      </w:pPr>
      <w:bookmarkStart w:id="758" w:name="_Hlk107408892"/>
      <w:r>
        <w:rPr>
          <w:rFonts w:hint="eastAsia"/>
          <w:szCs w:val="32"/>
        </w:rPr>
        <w:t>（1）</w:t>
      </w:r>
      <w:r>
        <w:t>施工机械</w:t>
      </w:r>
      <w:r>
        <w:rPr>
          <w:rFonts w:hint="eastAsia"/>
        </w:rPr>
        <w:t>尽量</w:t>
      </w:r>
      <w:r>
        <w:t>采用低噪声设备，加强设备日常维修保养，使施工机械保持良好状态，避免超正常噪声</w:t>
      </w:r>
      <w:r>
        <w:rPr>
          <w:rFonts w:hint="eastAsia"/>
        </w:rPr>
        <w:t>水平</w:t>
      </w:r>
      <w:r>
        <w:t>运转</w:t>
      </w:r>
      <w:r>
        <w:rPr>
          <w:rFonts w:hint="eastAsia"/>
        </w:rPr>
        <w:t>。加强现场施工人员个人防护工作，</w:t>
      </w:r>
      <w:r>
        <w:t>可采取发放防</w:t>
      </w:r>
      <w:r>
        <w:rPr>
          <w:rFonts w:hint="eastAsia"/>
        </w:rPr>
        <w:t>护耳</w:t>
      </w:r>
      <w:r>
        <w:t>声耳塞、头盔等保护措施，使工人进行自身保护</w:t>
      </w:r>
      <w:r>
        <w:rPr>
          <w:rFonts w:hint="eastAsia"/>
        </w:rPr>
        <w:t>。</w:t>
      </w:r>
    </w:p>
    <w:p w14:paraId="6F898F68">
      <w:pPr>
        <w:ind w:firstLine="462"/>
        <w:rPr>
          <w:rFonts w:hint="eastAsia" w:hAnsi="宋体"/>
        </w:rPr>
      </w:pPr>
      <w:r>
        <w:rPr>
          <w:rFonts w:hint="eastAsia"/>
        </w:rPr>
        <w:t>（</w:t>
      </w:r>
      <w:r>
        <w:t>2</w:t>
      </w:r>
      <w:r>
        <w:rPr>
          <w:rFonts w:hint="eastAsia"/>
        </w:rPr>
        <w:t>）</w:t>
      </w:r>
      <w:r>
        <w:t>加强对码头噪声级较高装卸机械维护</w:t>
      </w:r>
      <w:r>
        <w:rPr>
          <w:rFonts w:hint="eastAsia"/>
        </w:rPr>
        <w:t>，</w:t>
      </w:r>
      <w:r>
        <w:t>加强工作人员个人防护，通过合理安排工人轮流操作机械，减少工作接触高噪声的时间</w:t>
      </w:r>
      <w:r>
        <w:rPr>
          <w:rFonts w:hint="eastAsia"/>
        </w:rPr>
        <w:t>。码头内高噪声设备应采用减振设计，并考虑封闭处理。</w:t>
      </w:r>
      <w:bookmarkEnd w:id="758"/>
    </w:p>
    <w:p w14:paraId="0B4F7714">
      <w:pPr>
        <w:pStyle w:val="5"/>
      </w:pPr>
      <w:r>
        <w:rPr>
          <w:rFonts w:hint="eastAsia"/>
        </w:rPr>
        <w:t>固体废物</w:t>
      </w:r>
    </w:p>
    <w:p w14:paraId="0297FC22">
      <w:pPr>
        <w:ind w:firstLine="462"/>
        <w:rPr>
          <w:u w:val="single"/>
        </w:rPr>
      </w:pPr>
      <w:bookmarkStart w:id="759" w:name="_Hlk107409424"/>
      <w:bookmarkStart w:id="760" w:name="_Hlk107409366"/>
      <w:r>
        <w:rPr>
          <w:u w:val="single"/>
        </w:rPr>
        <w:t>项目施工期固体废物主要来自</w:t>
      </w:r>
      <w:r>
        <w:rPr>
          <w:rFonts w:hint="eastAsia"/>
          <w:u w:val="single"/>
        </w:rPr>
        <w:t>施工船舶</w:t>
      </w:r>
      <w:r>
        <w:rPr>
          <w:u w:val="single"/>
        </w:rPr>
        <w:t>垃圾、陆域</w:t>
      </w:r>
      <w:r>
        <w:rPr>
          <w:rFonts w:hint="eastAsia"/>
          <w:u w:val="single"/>
        </w:rPr>
        <w:t>生产</w:t>
      </w:r>
      <w:r>
        <w:rPr>
          <w:u w:val="single"/>
        </w:rPr>
        <w:t>生活垃圾及疏浚土石。</w:t>
      </w:r>
      <w:r>
        <w:rPr>
          <w:rFonts w:hint="eastAsia"/>
          <w:u w:val="single"/>
        </w:rPr>
        <w:t>生活垃圾由环卫部门上门清运</w:t>
      </w:r>
      <w:r>
        <w:rPr>
          <w:u w:val="single"/>
        </w:rPr>
        <w:t>。港池疏浚工程量</w:t>
      </w:r>
      <w:r>
        <w:rPr>
          <w:rFonts w:hint="eastAsia"/>
          <w:u w:val="single"/>
        </w:rPr>
        <w:t>131.16</w:t>
      </w:r>
      <w:r>
        <w:rPr>
          <w:u w:val="single"/>
        </w:rPr>
        <w:t>万m</w:t>
      </w:r>
      <w:r>
        <w:rPr>
          <w:u w:val="single"/>
          <w:vertAlign w:val="superscript"/>
        </w:rPr>
        <w:t>3</w:t>
      </w:r>
      <w:r>
        <w:rPr>
          <w:u w:val="single"/>
        </w:rPr>
        <w:t>，</w:t>
      </w:r>
      <w:r>
        <w:rPr>
          <w:rFonts w:hint="eastAsia"/>
          <w:u w:val="single"/>
        </w:rPr>
        <w:t>其中本项目利用约</w:t>
      </w:r>
      <w:r>
        <w:rPr>
          <w:u w:val="single"/>
        </w:rPr>
        <w:t>52.41</w:t>
      </w:r>
      <w:r>
        <w:rPr>
          <w:rFonts w:hint="eastAsia"/>
          <w:u w:val="single"/>
        </w:rPr>
        <w:t>万m</w:t>
      </w:r>
      <w:r>
        <w:rPr>
          <w:rFonts w:hint="eastAsia"/>
          <w:u w:val="single"/>
          <w:vertAlign w:val="superscript"/>
        </w:rPr>
        <w:t>3</w:t>
      </w:r>
      <w:r>
        <w:rPr>
          <w:rFonts w:hint="eastAsia"/>
          <w:u w:val="single"/>
        </w:rPr>
        <w:t>疏浚砂及3.91万m</w:t>
      </w:r>
      <w:r>
        <w:rPr>
          <w:rFonts w:hint="eastAsia"/>
          <w:u w:val="single"/>
          <w:vertAlign w:val="superscript"/>
        </w:rPr>
        <w:t>3</w:t>
      </w:r>
      <w:r>
        <w:rPr>
          <w:rFonts w:hint="eastAsia"/>
          <w:u w:val="single"/>
        </w:rPr>
        <w:t>强风化岩和中风化岩炸礁碴石用于钦州保税港区昊鼎物流配送中心项目陆域形成；</w:t>
      </w:r>
      <w:r>
        <w:rPr>
          <w:u w:val="single"/>
        </w:rPr>
        <w:t>74.84</w:t>
      </w:r>
      <w:r>
        <w:rPr>
          <w:rFonts w:hint="eastAsia"/>
          <w:u w:val="single"/>
        </w:rPr>
        <w:t>万m</w:t>
      </w:r>
      <w:r>
        <w:rPr>
          <w:rFonts w:hint="eastAsia"/>
          <w:u w:val="single"/>
          <w:vertAlign w:val="superscript"/>
        </w:rPr>
        <w:t>3</w:t>
      </w:r>
      <w:r>
        <w:rPr>
          <w:rFonts w:hint="eastAsia"/>
          <w:u w:val="single"/>
        </w:rPr>
        <w:t>疏浚土石泥驳运至53km外的钦州港30万吨级进港航道疏浚工程疏浚物临时性海洋倾倒区B区抛卸。</w:t>
      </w:r>
      <w:bookmarkEnd w:id="759"/>
      <w:bookmarkStart w:id="761" w:name="_Hlk107409440"/>
    </w:p>
    <w:p w14:paraId="1BB04ADE">
      <w:pPr>
        <w:ind w:firstLine="462"/>
      </w:pPr>
      <w:r>
        <w:rPr>
          <w:rFonts w:hint="eastAsia"/>
        </w:rPr>
        <w:t>运营期项目到港船舶生活</w:t>
      </w:r>
      <w:r>
        <w:t>垃圾均</w:t>
      </w:r>
      <w:r>
        <w:rPr>
          <w:rFonts w:hint="eastAsia"/>
        </w:rPr>
        <w:t>有资质的公司接收并</w:t>
      </w:r>
      <w:r>
        <w:t>转运处置。</w:t>
      </w:r>
    </w:p>
    <w:p w14:paraId="5534E810">
      <w:pPr>
        <w:ind w:firstLine="462"/>
      </w:pPr>
      <w:r>
        <w:rPr>
          <w:rFonts w:hint="eastAsia"/>
        </w:rPr>
        <w:t>港区生活垃圾主要是港区人员食品残渣、卫生清扫品、废旧包装袋、瓶、罐等，</w:t>
      </w:r>
      <w:r>
        <w:t>统一收集后</w:t>
      </w:r>
      <w:r>
        <w:rPr>
          <w:rFonts w:hint="eastAsia"/>
        </w:rPr>
        <w:t>集中至7号8号泊位生活垃圾中转站，交由当地环卫部门处置</w:t>
      </w:r>
      <w:r>
        <w:t>。</w:t>
      </w:r>
    </w:p>
    <w:bookmarkEnd w:id="761"/>
    <w:p w14:paraId="69B78E3E">
      <w:pPr>
        <w:ind w:firstLine="462"/>
      </w:pPr>
      <w:r>
        <w:rPr>
          <w:rFonts w:hint="eastAsia"/>
        </w:rPr>
        <w:t>通过落实以上处置措施，项目施工</w:t>
      </w:r>
      <w:r>
        <w:t>及</w:t>
      </w:r>
      <w:r>
        <w:rPr>
          <w:rFonts w:hint="eastAsia"/>
        </w:rPr>
        <w:t>运营期固体废物不会对港区周围环境造成不利影响。</w:t>
      </w:r>
    </w:p>
    <w:bookmarkEnd w:id="760"/>
    <w:p w14:paraId="41D8D7F6">
      <w:pPr>
        <w:pStyle w:val="5"/>
      </w:pPr>
      <w:r>
        <w:rPr>
          <w:rFonts w:hint="eastAsia"/>
        </w:rPr>
        <w:t>环境风险影响评价</w:t>
      </w:r>
    </w:p>
    <w:p w14:paraId="7E684781">
      <w:pPr>
        <w:ind w:firstLine="462"/>
      </w:pPr>
      <w:bookmarkStart w:id="762" w:name="_Hlk107409379"/>
      <w:r>
        <w:t>环境风险评价的结果表明，拟建项目在进一步采取安全防范措施和事故应急预案、在落实各项环保措施和采取拟建报告书提出的有关建议，按照国家相关要求配置应急设备和应急物资，与附近企业</w:t>
      </w:r>
      <w:r>
        <w:rPr>
          <w:rFonts w:hint="eastAsia"/>
        </w:rPr>
        <w:t>和钦州港</w:t>
      </w:r>
      <w:r>
        <w:t>建立应急联动机制的前提下，基本满足国家相关环境保护和安全法规、标准的要求，拟建项目从环境风险的角度考虑是可行的，但企业仍需要提高风险管理水平和强化风险防范措施。因此，企业在落实环评提出的各项环境风险要求，储备足够的应急物资和应急设备，在环境风险事故发生后能够及时进行正确处置的情况下，</w:t>
      </w:r>
      <w:r>
        <w:rPr>
          <w:rFonts w:hint="eastAsia"/>
        </w:rPr>
        <w:t>项目环境风险是可防可控的。</w:t>
      </w:r>
    </w:p>
    <w:bookmarkEnd w:id="743"/>
    <w:bookmarkEnd w:id="744"/>
    <w:bookmarkEnd w:id="762"/>
    <w:p w14:paraId="61954F8B">
      <w:pPr>
        <w:pStyle w:val="4"/>
      </w:pPr>
      <w:bookmarkStart w:id="763" w:name="_Toc217977957"/>
      <w:bookmarkStart w:id="764" w:name="_Toc317003300"/>
      <w:bookmarkStart w:id="765" w:name="_Toc317003580"/>
      <w:bookmarkStart w:id="766" w:name="_Toc198042360"/>
      <w:bookmarkStart w:id="767" w:name="_Toc313461121"/>
      <w:r>
        <w:t>评价总结论</w:t>
      </w:r>
      <w:bookmarkEnd w:id="763"/>
      <w:bookmarkEnd w:id="764"/>
      <w:bookmarkEnd w:id="765"/>
      <w:bookmarkEnd w:id="766"/>
      <w:bookmarkEnd w:id="767"/>
    </w:p>
    <w:p w14:paraId="38196DC6">
      <w:pPr>
        <w:ind w:firstLine="462"/>
      </w:pPr>
      <w:r>
        <w:t>工程建设符合《</w:t>
      </w:r>
      <w:r>
        <w:rPr>
          <w:rFonts w:hint="eastAsia"/>
        </w:rPr>
        <w:t>北部湾港总体规划（2035年）</w:t>
      </w:r>
      <w:r>
        <w:t>》及《钦州市</w:t>
      </w:r>
      <w:r>
        <w:rPr>
          <w:rFonts w:hint="eastAsia"/>
        </w:rPr>
        <w:t>国土</w:t>
      </w:r>
      <w:r>
        <w:t>空间总体规划（20</w:t>
      </w:r>
      <w:r>
        <w:rPr>
          <w:rFonts w:hint="eastAsia"/>
        </w:rPr>
        <w:t>21</w:t>
      </w:r>
      <w:r>
        <w:t>-20</w:t>
      </w:r>
      <w:r>
        <w:rPr>
          <w:rFonts w:hint="eastAsia"/>
        </w:rPr>
        <w:t>35</w:t>
      </w:r>
      <w:r>
        <w:t>）》。</w:t>
      </w:r>
      <w:r>
        <w:rPr>
          <w:rFonts w:hint="eastAsia"/>
        </w:rPr>
        <w:t>项目主要是水域疏浚、炸礁等对海水水质及海洋生态的影响，以及可能的环境风险，</w:t>
      </w:r>
      <w:r>
        <w:t>评价</w:t>
      </w:r>
      <w:r>
        <w:rPr>
          <w:rFonts w:hint="eastAsia"/>
        </w:rPr>
        <w:t>预测分析了项目的可能污染、生态和风险影响，提出了</w:t>
      </w:r>
      <w:r>
        <w:t>减缓影响的环境保护措施建议，这些措施在方案上具有一定的可操作性。落实上述环境保护对策措施，做到加强施工和运营期间环境管理，可使工程建设对环境的不利影响得到较好</w:t>
      </w:r>
      <w:r>
        <w:rPr>
          <w:rFonts w:hint="eastAsia"/>
        </w:rPr>
        <w:t>地</w:t>
      </w:r>
      <w:r>
        <w:t>控制。</w:t>
      </w:r>
    </w:p>
    <w:p w14:paraId="2FB4BC4F">
      <w:pPr>
        <w:ind w:firstLine="462"/>
        <w:sectPr>
          <w:headerReference r:id="rId32" w:type="even"/>
          <w:pgSz w:w="11906" w:h="16838"/>
          <w:pgMar w:top="1440" w:right="1514" w:bottom="1440" w:left="1797" w:header="992" w:footer="992" w:gutter="284"/>
          <w:pgNumType w:fmt="numberInDash"/>
          <w:cols w:space="425" w:num="1"/>
          <w:docGrid w:type="linesAndChars" w:linePitch="465" w:charSpace="-1872"/>
        </w:sectPr>
      </w:pPr>
      <w:r>
        <w:t>项目建成运营的社会效益明显，在评价所提出的环保措施、环保投资有效落实情况下，项目建设和</w:t>
      </w:r>
      <w:r>
        <w:rPr>
          <w:rFonts w:hint="eastAsia"/>
        </w:rPr>
        <w:t>运营</w:t>
      </w:r>
      <w:r>
        <w:t>可为环境所接受。综上所述，</w:t>
      </w:r>
      <w:r>
        <w:rPr>
          <w:rFonts w:hint="eastAsia"/>
        </w:rPr>
        <w:t>北部湾港钦州港域大榄坪港区大榄坪南作业区内1号至5号江海联运泊位工程的建设从环境保护的角度是可行的。</w:t>
      </w:r>
    </w:p>
    <w:p w14:paraId="281553F1">
      <w:pPr>
        <w:ind w:firstLine="2837"/>
        <w:rPr>
          <w:rFonts w:eastAsia="黑体"/>
          <w:sz w:val="144"/>
          <w:szCs w:val="144"/>
        </w:rPr>
      </w:pPr>
    </w:p>
    <w:p w14:paraId="55420750">
      <w:pPr>
        <w:ind w:firstLine="2837"/>
        <w:rPr>
          <w:rFonts w:eastAsia="黑体"/>
          <w:sz w:val="144"/>
          <w:szCs w:val="144"/>
        </w:rPr>
      </w:pPr>
    </w:p>
    <w:p w14:paraId="0B12D712">
      <w:pPr>
        <w:ind w:firstLine="437"/>
      </w:pPr>
    </w:p>
    <w:sectPr>
      <w:headerReference r:id="rId33" w:type="first"/>
      <w:footerReference r:id="rId34" w:type="first"/>
      <w:type w:val="oddPage"/>
      <w:pgSz w:w="11907" w:h="16840"/>
      <w:pgMar w:top="1440" w:right="1514" w:bottom="1440" w:left="1797" w:header="992" w:footer="992" w:gutter="284"/>
      <w:cols w:space="425" w:num="1"/>
      <w:titlePg/>
      <w:docGrid w:type="linesAndChars" w:linePitch="326" w:charSpace="-435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462"/>
      </w:pPr>
      <w:r>
        <w:separator/>
      </w:r>
    </w:p>
  </w:endnote>
  <w:endnote w:type="continuationSeparator" w:id="1">
    <w:p>
      <w:pPr>
        <w:ind w:firstLine="46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方正仿宋_GBK">
    <w:panose1 w:val="02000000000000000000"/>
    <w:charset w:val="86"/>
    <w:family w:val="auto"/>
    <w:pitch w:val="default"/>
    <w:sig w:usb0="A00002BF" w:usb1="38CF7CFA" w:usb2="00082016" w:usb3="00000000" w:csb0="00040001" w:csb1="00000000"/>
  </w:font>
  <w:font w:name="楷体_GB2312">
    <w:panose1 w:val="02010609030101010101"/>
    <w:charset w:val="86"/>
    <w:family w:val="modern"/>
    <w:pitch w:val="default"/>
    <w:sig w:usb0="00000001" w:usb1="080E0000" w:usb2="00000000" w:usb3="00000000" w:csb0="00040000"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华文新魏">
    <w:panose1 w:val="02010800040101010101"/>
    <w:charset w:val="86"/>
    <w:family w:val="auto"/>
    <w:pitch w:val="default"/>
    <w:sig w:usb0="00000001" w:usb1="080F0000" w:usb2="00000000" w:usb3="00000000" w:csb0="00040000" w:csb1="00000000"/>
  </w:font>
  <w:font w:name="Microsoft YaHei UI">
    <w:panose1 w:val="020B0503020204020204"/>
    <w:charset w:val="86"/>
    <w:family w:val="swiss"/>
    <w:pitch w:val="default"/>
    <w:sig w:usb0="80000287" w:usb1="2ACF3C50" w:usb2="00000016" w:usb3="00000000" w:csb0="0004001F" w:csb1="00000000"/>
  </w:font>
  <w:font w:name="幼圆">
    <w:panose1 w:val="02010509060101010101"/>
    <w:charset w:val="86"/>
    <w:family w:val="modern"/>
    <w:pitch w:val="default"/>
    <w:sig w:usb0="00000001" w:usb1="080E0000" w:usb2="0000000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CG Times (WN)">
    <w:altName w:val="Times New Roman"/>
    <w:panose1 w:val="00000000000000000000"/>
    <w:charset w:val="00"/>
    <w:family w:val="roman"/>
    <w:pitch w:val="default"/>
    <w:sig w:usb0="00000000" w:usb1="00000000" w:usb2="00000000" w:usb3="00000000" w:csb0="00000001" w:csb1="00000000"/>
  </w:font>
  <w:font w:name="Tahoma">
    <w:panose1 w:val="020B0604030504040204"/>
    <w:charset w:val="00"/>
    <w:family w:val="swiss"/>
    <w:pitch w:val="default"/>
    <w:sig w:usb0="E1002EFF" w:usb1="C000605B" w:usb2="00000029" w:usb3="00000000" w:csb0="200101FF" w:csb1="20280000"/>
  </w:font>
  <w:font w:name="Century">
    <w:panose1 w:val="02040604050505020304"/>
    <w:charset w:val="00"/>
    <w:family w:val="roman"/>
    <w:pitch w:val="default"/>
    <w:sig w:usb0="00000287" w:usb1="00000000" w:usb2="00000000" w:usb3="00000000" w:csb0="2000009F" w:csb1="DFD70000"/>
  </w:font>
  <w:font w:name="仿宋体">
    <w:altName w:val="宋体"/>
    <w:panose1 w:val="00000000000000000000"/>
    <w:charset w:val="86"/>
    <w:family w:val="auto"/>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方正宋体_GB18030">
    <w:altName w:val="宋体"/>
    <w:panose1 w:val="00000000000000000000"/>
    <w:charset w:val="86"/>
    <w:family w:val="script"/>
    <w:pitch w:val="default"/>
    <w:sig w:usb0="00000000" w:usb1="00000000" w:usb2="00000010" w:usb3="00000000" w:csb0="003C0041" w:csb1="00000000"/>
  </w:font>
  <w:font w:name="华文中宋">
    <w:panose1 w:val="02010600040101010101"/>
    <w:charset w:val="86"/>
    <w:family w:val="auto"/>
    <w:pitch w:val="default"/>
    <w:sig w:usb0="00000287" w:usb1="080F0000" w:usb2="00000000" w:usb3="00000000" w:csb0="0004009F" w:csb1="DFD70000"/>
  </w:font>
  <w:font w:name="Cambria">
    <w:panose1 w:val="02040503050406030204"/>
    <w:charset w:val="00"/>
    <w:family w:val="roman"/>
    <w:pitch w:val="default"/>
    <w:sig w:usb0="E00006FF" w:usb1="420024FF" w:usb2="02000000" w:usb3="00000000" w:csb0="2000019F" w:csb1="00000000"/>
  </w:font>
  <w:font w:name="隶书">
    <w:panose1 w:val="02010509060101010101"/>
    <w:charset w:val="86"/>
    <w:family w:val="modern"/>
    <w:pitch w:val="default"/>
    <w:sig w:usb0="00000001" w:usb1="080E0000" w:usb2="00000000" w:usb3="00000000" w:csb0="00040000" w:csb1="00000000"/>
  </w:font>
  <w:font w:name="汉鼎简书宋">
    <w:altName w:val="宋体"/>
    <w:panose1 w:val="00000000000000000000"/>
    <w:charset w:val="86"/>
    <w:family w:val="modern"/>
    <w:pitch w:val="default"/>
    <w:sig w:usb0="00000000" w:usb1="00000000" w:usb2="00000010" w:usb3="00000000" w:csb0="00040000" w:csb1="00000000"/>
  </w:font>
  <w:font w:name="Verdana">
    <w:panose1 w:val="020B0604030504040204"/>
    <w:charset w:val="00"/>
    <w:family w:val="swiss"/>
    <w:pitch w:val="default"/>
    <w:sig w:usb0="A00006FF" w:usb1="4000205B" w:usb2="00000010" w:usb3="00000000" w:csb0="2000019F" w:csb1="00000000"/>
  </w:font>
  <w:font w:name="Garamond">
    <w:panose1 w:val="02020404030301010803"/>
    <w:charset w:val="00"/>
    <w:family w:val="roman"/>
    <w:pitch w:val="default"/>
    <w:sig w:usb0="00000287" w:usb1="00000000" w:usb2="00000000" w:usb3="00000000" w:csb0="0000009F" w:csb1="DFD70000"/>
  </w:font>
  <w:font w:name="仿宋">
    <w:panose1 w:val="02010609060101010101"/>
    <w:charset w:val="86"/>
    <w:family w:val="modern"/>
    <w:pitch w:val="default"/>
    <w:sig w:usb0="800002BF" w:usb1="38CF7CFA" w:usb2="00000016" w:usb3="00000000" w:csb0="00040001" w:csb1="00000000"/>
  </w:font>
  <w:font w:name="Arial Narrow">
    <w:panose1 w:val="020B0606020202030204"/>
    <w:charset w:val="00"/>
    <w:family w:val="swiss"/>
    <w:pitch w:val="default"/>
    <w:sig w:usb0="00000287" w:usb1="00000800" w:usb2="00000000" w:usb3="00000000" w:csb0="2000009F" w:csb1="DFD70000"/>
  </w:font>
  <w:font w:name="ˎ̥">
    <w:altName w:val="Times New Roman"/>
    <w:panose1 w:val="00000000000000000000"/>
    <w:charset w:val="00"/>
    <w:family w:val="roman"/>
    <w:pitch w:val="default"/>
    <w:sig w:usb0="00000000" w:usb1="00000000" w:usb2="00000000" w:usb3="00000000" w:csb0="00040001" w:csb1="00000000"/>
  </w:font>
  <w:font w:name="华文细黑">
    <w:panose1 w:val="02010600040101010101"/>
    <w:charset w:val="86"/>
    <w:family w:val="auto"/>
    <w:pitch w:val="default"/>
    <w:sig w:usb0="00000287" w:usb1="080F0000" w:usb2="00000000" w:usb3="00000000" w:csb0="0004009F" w:csb1="DFD70000"/>
  </w:font>
  <w:font w:name="Century Gothic">
    <w:panose1 w:val="020B0502020202020204"/>
    <w:charset w:val="00"/>
    <w:family w:val="swiss"/>
    <w:pitch w:val="default"/>
    <w:sig w:usb0="00000287" w:usb1="00000000" w:usb2="00000000" w:usb3="00000000" w:csb0="2000009F" w:csb1="DFD70000"/>
  </w:font>
  <w:font w:name="Plotter">
    <w:altName w:val="Times New Roman"/>
    <w:panose1 w:val="00000000000000000000"/>
    <w:charset w:val="00"/>
    <w:family w:val="roman"/>
    <w:pitch w:val="default"/>
    <w:sig w:usb0="00000000" w:usb1="00000000" w:usb2="00000000" w:usb3="00000000" w:csb0="00000001" w:csb1="00000000"/>
  </w:font>
  <w:font w:name="Times (PCL6)">
    <w:altName w:val="Times New Roman"/>
    <w:panose1 w:val="00000000000000000000"/>
    <w:charset w:val="00"/>
    <w:family w:val="roman"/>
    <w:pitch w:val="default"/>
    <w:sig w:usb0="00000000" w:usb1="00000000" w:usb2="00000000" w:usb3="00000000" w:csb0="00000001" w:csb1="00000000"/>
  </w:font>
  <w:font w:name="华文楷体">
    <w:panose1 w:val="02010600040101010101"/>
    <w:charset w:val="86"/>
    <w:family w:val="auto"/>
    <w:pitch w:val="default"/>
    <w:sig w:usb0="00000287" w:usb1="080F0000" w:usb2="00000000" w:usb3="00000000" w:csb0="0004009F" w:csb1="DFD70000"/>
  </w:font>
  <w:font w:name="Vladimir Script">
    <w:panose1 w:val="03050402040407070305"/>
    <w:charset w:val="00"/>
    <w:family w:val="script"/>
    <w:pitch w:val="default"/>
    <w:sig w:usb0="00000003" w:usb1="00000000" w:usb2="00000000" w:usb3="00000000" w:csb0="20000001" w:csb1="00000000"/>
  </w:font>
  <w:font w:name="MS Mincho">
    <w:altName w:val="Yu Gothic UI"/>
    <w:panose1 w:val="02020609040205080304"/>
    <w:charset w:val="80"/>
    <w:family w:val="modern"/>
    <w:pitch w:val="default"/>
    <w:sig w:usb0="00000000" w:usb1="00000000" w:usb2="00000012" w:usb3="00000000" w:csb0="4002009F" w:csb1="DFD70000"/>
  </w:font>
  <w:font w:name="Tms Rmn">
    <w:altName w:val="Times New Roman"/>
    <w:panose1 w:val="02020603040505020304"/>
    <w:charset w:val="00"/>
    <w:family w:val="roman"/>
    <w:pitch w:val="default"/>
    <w:sig w:usb0="00000000" w:usb1="00000000" w:usb2="00000000" w:usb3="00000000" w:csb0="00000001" w:csb1="00000000"/>
  </w:font>
  <w:font w:name="D`a c N%">
    <w:altName w:val="Times New Roman"/>
    <w:panose1 w:val="00000000000000000000"/>
    <w:charset w:val="00"/>
    <w:family w:val="roman"/>
    <w:pitch w:val="default"/>
    <w:sig w:usb0="00000000" w:usb1="00000000" w:usb2="00000000" w:usb3="00000000" w:csb0="00000063" w:csb1="00000000"/>
  </w:font>
  <w:font w:name="MingLiU">
    <w:altName w:val="PMingLiU-ExtB"/>
    <w:panose1 w:val="02020509000000000000"/>
    <w:charset w:val="88"/>
    <w:family w:val="modern"/>
    <w:pitch w:val="default"/>
    <w:sig w:usb0="00000000" w:usb1="00000000" w:usb2="00000016" w:usb3="00000000" w:csb0="00100001" w:csb1="00000000"/>
  </w:font>
  <w:font w:name="Calibri Light">
    <w:panose1 w:val="020F0302020204030204"/>
    <w:charset w:val="00"/>
    <w:family w:val="swiss"/>
    <w:pitch w:val="default"/>
    <w:sig w:usb0="E4002EFF" w:usb1="C200247B" w:usb2="00000009" w:usb3="00000000" w:csb0="200001FF" w:csb1="00000000"/>
  </w:font>
  <w:font w:name="方正小标宋简体">
    <w:panose1 w:val="02000000000000000000"/>
    <w:charset w:val="86"/>
    <w:family w:val="auto"/>
    <w:pitch w:val="default"/>
    <w:sig w:usb0="A00002BF" w:usb1="184F6CFA" w:usb2="00000012" w:usb3="00000000" w:csb0="00040001" w:csb1="00000000"/>
  </w:font>
  <w:font w:name="MS Sans Serif">
    <w:altName w:val="Arial"/>
    <w:panose1 w:val="00000000000000000000"/>
    <w:charset w:val="00"/>
    <w:family w:val="swiss"/>
    <w:pitch w:val="default"/>
    <w:sig w:usb0="00000000" w:usb1="00000000" w:usb2="00000000" w:usb3="00000000" w:csb0="00000001" w:csb1="00000000"/>
  </w:font>
  <w:font w:name="T">
    <w:altName w:val="微软雅黑"/>
    <w:panose1 w:val="00000000000000000000"/>
    <w:charset w:val="00"/>
    <w:family w:val="roman"/>
    <w:pitch w:val="default"/>
    <w:sig w:usb0="00000000" w:usb1="00000000" w:usb2="00000804" w:usb3="00000000" w:csb0="06270001" w:csb1="0062EF54"/>
  </w:font>
  <w:font w:name="新宋体">
    <w:panose1 w:val="02010609030101010101"/>
    <w:charset w:val="86"/>
    <w:family w:val="modern"/>
    <w:pitch w:val="default"/>
    <w:sig w:usb0="00000203" w:usb1="288F0000" w:usb2="00000006" w:usb3="00000000" w:csb0="00040001" w:csb1="00000000"/>
  </w:font>
  <w:font w:name="创艺简魏碑">
    <w:altName w:val="黑体"/>
    <w:panose1 w:val="00000000000000000000"/>
    <w:charset w:val="86"/>
    <w:family w:val="auto"/>
    <w:pitch w:val="default"/>
    <w:sig w:usb0="00000000" w:usb1="00000000" w:usb2="00000010" w:usb3="00000000" w:csb0="00040000" w:csb1="00000000"/>
  </w:font>
  <w:font w:name="”“Times New Roman”“">
    <w:altName w:val="宋体"/>
    <w:panose1 w:val="00000000000000000000"/>
    <w:charset w:val="86"/>
    <w:family w:val="roman"/>
    <w:pitch w:val="default"/>
    <w:sig w:usb0="00000000" w:usb1="00000000" w:usb2="00000010" w:usb3="00000000" w:csb0="00040000" w:csb1="00000000"/>
  </w:font>
  <w:font w:name="方正宋三简体">
    <w:altName w:val="宋体"/>
    <w:panose1 w:val="00000000000000000000"/>
    <w:charset w:val="86"/>
    <w:family w:val="auto"/>
    <w:pitch w:val="default"/>
    <w:sig w:usb0="00000000" w:usb1="00000000" w:usb2="00000010" w:usb3="00000000" w:csb0="00040000" w:csb1="00000000"/>
  </w:font>
  <w:font w:name="Batang">
    <w:altName w:val="Malgun Gothic"/>
    <w:panose1 w:val="02030600000101010101"/>
    <w:charset w:val="81"/>
    <w:family w:val="roman"/>
    <w:pitch w:val="default"/>
    <w:sig w:usb0="00000000" w:usb1="00000000" w:usb2="00000030" w:usb3="00000000" w:csb0="4008009F" w:csb1="DFD70000"/>
  </w:font>
  <w:font w:name="TTE1CFADF8t00">
    <w:altName w:val="新宋体"/>
    <w:panose1 w:val="00000000000000000000"/>
    <w:charset w:val="86"/>
    <w:family w:val="swiss"/>
    <w:pitch w:val="default"/>
    <w:sig w:usb0="00000000" w:usb1="00000000" w:usb2="00000010" w:usb3="00000000" w:csb0="00040001" w:csb1="00000000"/>
  </w:font>
  <w:font w:name="MS Gothic">
    <w:panose1 w:val="020B0609070205080204"/>
    <w:charset w:val="80"/>
    <w:family w:val="modern"/>
    <w:pitch w:val="default"/>
    <w:sig w:usb0="E00002FF" w:usb1="6AC7FDFB" w:usb2="08000012" w:usb3="00000000" w:csb0="4002009F" w:csb1="DFD70000"/>
  </w:font>
  <w:font w:name="TimesNewRomanPSMT">
    <w:altName w:val="Times New Roman"/>
    <w:panose1 w:val="00000000000000000000"/>
    <w:charset w:val="00"/>
    <w:family w:val="roman"/>
    <w:pitch w:val="default"/>
    <w:sig w:usb0="00000000" w:usb1="00000000" w:usb2="00000010" w:usb3="00000000" w:csb0="00040001" w:csb1="00000000"/>
  </w:font>
  <w:font w:name="TimesNewRoman">
    <w:altName w:val="Segoe Print"/>
    <w:panose1 w:val="00000000000000000000"/>
    <w:charset w:val="00"/>
    <w:family w:val="roman"/>
    <w:pitch w:val="default"/>
    <w:sig w:usb0="00000000" w:usb1="00000000" w:usb2="00000000" w:usb3="00000000" w:csb0="00000001" w:csb1="00000000"/>
  </w:font>
  <w:font w:name="TT216o01">
    <w:altName w:val="Times New Roman"/>
    <w:panose1 w:val="00000000000000000000"/>
    <w:charset w:val="00"/>
    <w:family w:val="roman"/>
    <w:pitch w:val="default"/>
    <w:sig w:usb0="00000000" w:usb1="00000000" w:usb2="00000000" w:usb3="00000000" w:csb0="00000000" w:csb1="00000000"/>
  </w:font>
  <w:font w:name="微软雅黑">
    <w:panose1 w:val="020B0503020204020204"/>
    <w:charset w:val="86"/>
    <w:family w:val="swiss"/>
    <w:pitch w:val="default"/>
    <w:sig w:usb0="80000287" w:usb1="2ACF3C50" w:usb2="00000016" w:usb3="00000000" w:csb0="0004001F"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华文行楷">
    <w:panose1 w:val="02010800040101010101"/>
    <w:charset w:val="86"/>
    <w:family w:val="auto"/>
    <w:pitch w:val="default"/>
    <w:sig w:usb0="00000001" w:usb1="080F0000" w:usb2="00000000" w:usb3="00000000" w:csb0="00040000"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C37DE4">
    <w:pPr>
      <w:ind w:firstLine="420"/>
      <w:jc w:val="center"/>
      <w:rPr>
        <w:sz w:val="21"/>
        <w:szCs w:val="21"/>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AD62F0">
    <w:pPr>
      <w:ind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1322529"/>
    </w:sdtPr>
    <w:sdtContent>
      <w:p w14:paraId="3FB9850E">
        <w:pPr>
          <w:ind w:firstLine="480"/>
          <w:jc w:val="center"/>
        </w:pPr>
        <w:r>
          <w:fldChar w:fldCharType="begin"/>
        </w:r>
        <w:r>
          <w:instrText xml:space="preserve">PAGE   \* MERGEFORMAT</w:instrText>
        </w:r>
        <w:r>
          <w:fldChar w:fldCharType="separate"/>
        </w:r>
        <w:r>
          <w:rPr>
            <w:lang w:val="zh-CN"/>
          </w:rPr>
          <w:t>ii</w:t>
        </w:r>
        <w:r>
          <w:fldChar w:fldCharType="end"/>
        </w:r>
      </w:p>
    </w:sdtContent>
  </w:sdt>
  <w:p w14:paraId="4B323C6F">
    <w:pPr>
      <w:ind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54036710"/>
    </w:sdtPr>
    <w:sdtContent>
      <w:p w14:paraId="52FDFD49">
        <w:pPr>
          <w:ind w:firstLine="480"/>
          <w:jc w:val="center"/>
        </w:pPr>
        <w:r>
          <w:fldChar w:fldCharType="begin"/>
        </w:r>
        <w:r>
          <w:instrText xml:space="preserve">PAGE   \* MERGEFORMAT</w:instrText>
        </w:r>
        <w:r>
          <w:fldChar w:fldCharType="separate"/>
        </w:r>
        <w:r>
          <w:rPr>
            <w:lang w:val="zh-CN"/>
          </w:rPr>
          <w:t>i</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1CDC1C">
    <w:pPr>
      <w:ind w:firstLine="48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34058B">
    <w:pPr>
      <w:ind w:firstLine="48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5880B6">
    <w:pPr>
      <w:ind w:firstLine="48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AA778B">
    <w:pPr>
      <w:pBdr>
        <w:top w:val="thickThinSmallGap" w:color="auto" w:sz="24" w:space="1"/>
      </w:pBdr>
      <w:ind w:firstLine="361"/>
      <w:jc w:val="center"/>
      <w:rPr>
        <w:b/>
      </w:rPr>
    </w:pPr>
    <w:r>
      <w:rPr>
        <w:b/>
        <w:sz w:val="18"/>
      </w:rPr>
      <w:fldChar w:fldCharType="begin"/>
    </w:r>
    <w:r>
      <w:rPr>
        <w:sz w:val="18"/>
      </w:rPr>
      <w:instrText xml:space="preserve"> PAGE </w:instrText>
    </w:r>
    <w:r>
      <w:rPr>
        <w:b/>
        <w:sz w:val="18"/>
      </w:rPr>
      <w:fldChar w:fldCharType="separate"/>
    </w:r>
    <w:r>
      <w:rPr>
        <w:sz w:val="18"/>
      </w:rPr>
      <w:t>- 321 -</w:t>
    </w:r>
    <w:r>
      <w:rPr>
        <w:b/>
        <w:sz w:val="18"/>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41148C">
    <w:pPr>
      <w:pBdr>
        <w:top w:val="thinThickSmallGap" w:color="auto" w:sz="24" w:space="1"/>
      </w:pBdr>
      <w:ind w:firstLine="361"/>
      <w:jc w:val="center"/>
    </w:pPr>
    <w:r>
      <w:rPr>
        <w:b/>
        <w:sz w:val="18"/>
      </w:rPr>
      <w:fldChar w:fldCharType="begin"/>
    </w:r>
    <w:r>
      <w:rPr>
        <w:sz w:val="18"/>
      </w:rPr>
      <w:instrText xml:space="preserve"> PAGE </w:instrText>
    </w:r>
    <w:r>
      <w:rPr>
        <w:b/>
        <w:sz w:val="18"/>
      </w:rPr>
      <w:fldChar w:fldCharType="separate"/>
    </w:r>
    <w:r>
      <w:rPr>
        <w:sz w:val="18"/>
      </w:rPr>
      <w:t>- 322 -</w:t>
    </w:r>
    <w:r>
      <w:rPr>
        <w:b/>
        <w:sz w:val="18"/>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B96A81">
    <w:pPr>
      <w:pBdr>
        <w:top w:val="thickThinSmallGap" w:color="auto" w:sz="24" w:space="1"/>
      </w:pBdr>
      <w:ind w:firstLine="420"/>
    </w:pPr>
    <w:r>
      <w:rPr>
        <w:rFonts w:hint="eastAsia" w:ascii="华文新魏" w:eastAsia="华文新魏"/>
        <w:sz w:val="21"/>
        <w:szCs w:val="21"/>
      </w:rPr>
      <w:t xml:space="preserve">广西交科集团有限公司 </w:t>
    </w:r>
    <w:r>
      <w:rPr>
        <w:rFonts w:ascii="华文新魏" w:eastAsia="华文新魏"/>
        <w:sz w:val="21"/>
        <w:szCs w:val="21"/>
      </w:rPr>
      <w:t xml:space="preserve">                                              </w:t>
    </w:r>
    <w:r>
      <w:rPr>
        <w:rFonts w:eastAsia="华文新魏"/>
        <w:sz w:val="21"/>
        <w:szCs w:val="21"/>
      </w:rPr>
      <w:t xml:space="preserve"> </w:t>
    </w:r>
    <w:r>
      <w:fldChar w:fldCharType="begin"/>
    </w:r>
    <w:r>
      <w:instrText xml:space="preserve">PAGE   \* MERGEFORMAT</w:instrText>
    </w:r>
    <w:r>
      <w:fldChar w:fldCharType="separate"/>
    </w:r>
    <w:r>
      <w:rPr>
        <w:lang w:val="zh-CN"/>
      </w:rPr>
      <w:t>227</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462"/>
      </w:pPr>
      <w:r>
        <w:separator/>
      </w:r>
    </w:p>
  </w:footnote>
  <w:footnote w:type="continuationSeparator" w:id="1">
    <w:p>
      <w:pPr>
        <w:ind w:firstLine="462"/>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BEAF4B">
    <w:pPr>
      <w:pStyle w:val="57"/>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4BAC79">
    <w:pPr>
      <w:pBdr>
        <w:bottom w:val="thinThickSmallGap" w:color="auto" w:sz="24" w:space="1"/>
      </w:pBdr>
      <w:ind w:firstLine="420"/>
      <w:jc w:val="right"/>
      <w:rPr>
        <w:rFonts w:ascii="华文行楷" w:eastAsia="华文行楷"/>
        <w:sz w:val="21"/>
        <w:szCs w:val="21"/>
      </w:rPr>
    </w:pPr>
    <w:r>
      <w:rPr>
        <w:rFonts w:hint="eastAsia" w:ascii="华文行楷" w:eastAsia="华文行楷"/>
        <w:sz w:val="21"/>
        <w:szCs w:val="21"/>
      </w:rPr>
      <w:t>2 工程概况</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B1AC7F">
    <w:pPr>
      <w:pStyle w:val="167"/>
      <w:ind w:firstLine="420"/>
    </w:pPr>
    <w:r>
      <w:rPr>
        <w:rFonts w:hint="eastAsia"/>
      </w:rPr>
      <w:t>3 环境现状调查与评价</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31677D">
    <w:pPr>
      <w:pStyle w:val="167"/>
      <w:ind w:firstLine="420"/>
    </w:pPr>
    <w:r>
      <w:rPr>
        <w:rFonts w:hint="eastAsia"/>
      </w:rPr>
      <w:t>4 环境影响预测与评价</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EDECCA">
    <w:pPr>
      <w:pStyle w:val="167"/>
      <w:ind w:firstLine="420"/>
    </w:pPr>
    <w:r>
      <w:rPr>
        <w:rFonts w:hint="eastAsia"/>
      </w:rPr>
      <w:t>5 环境风险评价</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904214">
    <w:pPr>
      <w:ind w:firstLine="480"/>
      <w:jc w:val="left"/>
    </w:pPr>
    <w:r>
      <w:rPr>
        <w:rFonts w:hint="eastAsia" w:eastAsia="华文新魏"/>
      </w:rPr>
      <w:t>钦州港大榄坪南作业区7#、8#泊位新增危险货物集装箱项目（重大变动）</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2CDAD8">
    <w:pPr>
      <w:pStyle w:val="167"/>
      <w:ind w:firstLine="420"/>
    </w:pPr>
    <w:r>
      <w:rPr>
        <w:rFonts w:hint="eastAsia"/>
      </w:rPr>
      <w:t>6 环境保护措施及经济可行性论证</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064E72">
    <w:pPr>
      <w:pStyle w:val="167"/>
      <w:ind w:firstLine="0" w:firstLineChars="0"/>
      <w:jc w:val="center"/>
    </w:pPr>
    <w:r>
      <w:rPr>
        <w:rFonts w:hint="eastAsia"/>
      </w:rPr>
      <w:t>北部湾港钦州港域大榄坪港区大榄坪南作业区9号10号泊位扩建工程环境影响报告书</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DA4E94">
    <w:pPr>
      <w:pStyle w:val="167"/>
      <w:ind w:firstLine="420"/>
    </w:pPr>
    <w:r>
      <w:rPr>
        <w:rFonts w:hint="eastAsia"/>
      </w:rPr>
      <w:t>7 环境影响经济损益分析</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33A03A">
    <w:pPr>
      <w:pStyle w:val="167"/>
      <w:ind w:firstLine="420"/>
    </w:pPr>
    <w:r>
      <w:rPr>
        <w:rFonts w:hint="eastAsia"/>
      </w:rPr>
      <w:t>8 环境保护管理与环境监控计划</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26FBCA">
    <w:pPr>
      <w:pStyle w:val="167"/>
      <w:ind w:firstLine="420"/>
    </w:pPr>
    <w:r>
      <w:rPr>
        <w:rFonts w:hint="eastAsia"/>
      </w:rPr>
      <w:t>9 评价结论</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131A25">
    <w:pPr>
      <w:ind w:firstLine="480"/>
    </w:pPr>
    <w:r>
      <w:rPr>
        <w:rFonts w:hint="eastAsia"/>
      </w:rPr>
      <w:t>北部湾港钦州港域大榄坪港区大榄坪南作业区内1号至5号江海联运泊位工程环境影响报告书</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4A2029">
    <w:pPr>
      <w:ind w:firstLine="643"/>
      <w:rPr>
        <w:rFonts w:eastAsia="黑体" w:cs="宋体"/>
        <w:b/>
        <w:bCs/>
        <w:color w:val="000000"/>
        <w:sz w:val="32"/>
        <w:szCs w:val="3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802D90">
    <w:pPr>
      <w:pStyle w:val="57"/>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4AC00D">
    <w:pPr>
      <w:pStyle w:val="57"/>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9E21B7">
    <w:pPr>
      <w:ind w:firstLine="480"/>
      <w:rPr>
        <w:rFonts w:eastAsia="黑体" w:cs="宋体"/>
        <w:b/>
        <w:bCs/>
        <w:color w:val="000000"/>
        <w:sz w:val="32"/>
        <w:szCs w:val="32"/>
      </w:rPr>
    </w:pPr>
    <w:r>
      <w:rPr>
        <w:rFonts w:hint="eastAsia"/>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FEEEC6">
    <w:pPr>
      <w:ind w:firstLine="643"/>
      <w:rPr>
        <w:rFonts w:eastAsia="黑体" w:cs="宋体"/>
        <w:b/>
        <w:bCs/>
        <w:color w:val="000000"/>
        <w:sz w:val="32"/>
        <w:szCs w:val="3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8023BF">
    <w:pPr>
      <w:ind w:firstLine="643"/>
      <w:rPr>
        <w:rFonts w:eastAsia="黑体" w:cs="宋体"/>
        <w:b/>
        <w:bCs/>
        <w:color w:val="000000"/>
        <w:sz w:val="32"/>
        <w:szCs w:val="3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02F8CD">
    <w:pPr>
      <w:pBdr>
        <w:bottom w:val="thinThickSmallGap" w:color="auto" w:sz="24" w:space="1"/>
      </w:pBdr>
      <w:ind w:left="1" w:leftChars="-61" w:right="-199" w:rightChars="-83" w:hanging="147" w:hangingChars="70"/>
      <w:rPr>
        <w:rFonts w:ascii="华文行楷" w:eastAsia="华文行楷"/>
        <w:sz w:val="21"/>
        <w:szCs w:val="21"/>
      </w:rPr>
    </w:pPr>
    <w:bookmarkStart w:id="768" w:name="OLE_LINK86"/>
    <w:r>
      <w:rPr>
        <w:rFonts w:hint="eastAsia" w:ascii="华文行楷" w:eastAsia="华文行楷"/>
        <w:sz w:val="21"/>
        <w:szCs w:val="21"/>
      </w:rPr>
      <w:t>北部湾港钦州港域大榄坪港区大榄坪南作业区内1号至5号江海联运泊位工程</w:t>
    </w:r>
    <w:bookmarkEnd w:id="768"/>
    <w:r>
      <w:rPr>
        <w:rFonts w:hint="eastAsia" w:ascii="华文行楷" w:eastAsia="华文行楷"/>
        <w:sz w:val="21"/>
        <w:szCs w:val="21"/>
      </w:rPr>
      <w:t>环境影响报告书</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FFA6D6">
    <w:pPr>
      <w:pBdr>
        <w:bottom w:val="thinThickSmallGap" w:color="auto" w:sz="24" w:space="1"/>
      </w:pBdr>
      <w:ind w:firstLine="420"/>
      <w:jc w:val="right"/>
      <w:rPr>
        <w:rFonts w:eastAsia="华文行楷"/>
        <w:sz w:val="21"/>
        <w:szCs w:val="21"/>
      </w:rPr>
    </w:pPr>
    <w:r>
      <w:rPr>
        <w:rFonts w:eastAsia="华文行楷"/>
        <w:sz w:val="21"/>
        <w:szCs w:val="21"/>
      </w:rPr>
      <w:t>1 总则</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C"/>
    <w:multiLevelType w:val="singleLevel"/>
    <w:tmpl w:val="FFFFFF7C"/>
    <w:lvl w:ilvl="0" w:tentative="0">
      <w:start w:val="1"/>
      <w:numFmt w:val="decimal"/>
      <w:pStyle w:val="65"/>
      <w:lvlText w:val="%1."/>
      <w:lvlJc w:val="left"/>
      <w:pPr>
        <w:tabs>
          <w:tab w:val="left" w:pos="2040"/>
        </w:tabs>
        <w:ind w:left="2040" w:leftChars="800" w:hanging="360" w:hangingChars="200"/>
      </w:pPr>
    </w:lvl>
  </w:abstractNum>
  <w:abstractNum w:abstractNumId="1">
    <w:nsid w:val="FFFFFF7D"/>
    <w:multiLevelType w:val="singleLevel"/>
    <w:tmpl w:val="FFFFFF7D"/>
    <w:lvl w:ilvl="0" w:tentative="0">
      <w:start w:val="1"/>
      <w:numFmt w:val="decimal"/>
      <w:pStyle w:val="47"/>
      <w:lvlText w:val="%1."/>
      <w:lvlJc w:val="left"/>
      <w:pPr>
        <w:tabs>
          <w:tab w:val="left" w:pos="1620"/>
        </w:tabs>
        <w:ind w:left="1620" w:leftChars="600" w:hanging="360" w:hangingChars="200"/>
      </w:pPr>
    </w:lvl>
  </w:abstractNum>
  <w:abstractNum w:abstractNumId="2">
    <w:nsid w:val="FFFFFF7F"/>
    <w:multiLevelType w:val="singleLevel"/>
    <w:tmpl w:val="FFFFFF7F"/>
    <w:lvl w:ilvl="0" w:tentative="0">
      <w:start w:val="1"/>
      <w:numFmt w:val="decimal"/>
      <w:pStyle w:val="14"/>
      <w:lvlText w:val="%1."/>
      <w:lvlJc w:val="left"/>
      <w:pPr>
        <w:tabs>
          <w:tab w:val="left" w:pos="780"/>
        </w:tabs>
        <w:ind w:left="780" w:leftChars="200" w:hanging="360" w:hangingChars="200"/>
      </w:pPr>
    </w:lvl>
  </w:abstractNum>
  <w:abstractNum w:abstractNumId="3">
    <w:nsid w:val="FFFFFF80"/>
    <w:multiLevelType w:val="singleLevel"/>
    <w:tmpl w:val="FFFFFF80"/>
    <w:lvl w:ilvl="0" w:tentative="0">
      <w:start w:val="1"/>
      <w:numFmt w:val="bullet"/>
      <w:pStyle w:val="46"/>
      <w:lvlText w:val=""/>
      <w:lvlJc w:val="left"/>
      <w:pPr>
        <w:tabs>
          <w:tab w:val="left" w:pos="2040"/>
        </w:tabs>
        <w:ind w:left="2040" w:leftChars="800" w:hanging="360" w:hangingChars="200"/>
      </w:pPr>
      <w:rPr>
        <w:rFonts w:hint="default" w:ascii="Wingdings" w:hAnsi="Wingdings"/>
      </w:rPr>
    </w:lvl>
  </w:abstractNum>
  <w:abstractNum w:abstractNumId="4">
    <w:nsid w:val="FFFFFF81"/>
    <w:multiLevelType w:val="singleLevel"/>
    <w:tmpl w:val="FFFFFF81"/>
    <w:lvl w:ilvl="0" w:tentative="0">
      <w:start w:val="1"/>
      <w:numFmt w:val="bullet"/>
      <w:pStyle w:val="17"/>
      <w:lvlText w:val=""/>
      <w:lvlJc w:val="left"/>
      <w:pPr>
        <w:tabs>
          <w:tab w:val="left" w:pos="1620"/>
        </w:tabs>
        <w:ind w:left="1620" w:leftChars="600" w:hanging="360" w:hangingChars="200"/>
      </w:pPr>
      <w:rPr>
        <w:rFonts w:hint="default" w:ascii="Wingdings" w:hAnsi="Wingdings"/>
      </w:rPr>
    </w:lvl>
  </w:abstractNum>
  <w:abstractNum w:abstractNumId="5">
    <w:nsid w:val="FFFFFF83"/>
    <w:multiLevelType w:val="singleLevel"/>
    <w:tmpl w:val="FFFFFF83"/>
    <w:lvl w:ilvl="0" w:tentative="0">
      <w:start w:val="1"/>
      <w:numFmt w:val="bullet"/>
      <w:pStyle w:val="40"/>
      <w:lvlText w:val=""/>
      <w:lvlJc w:val="left"/>
      <w:pPr>
        <w:tabs>
          <w:tab w:val="left" w:pos="780"/>
        </w:tabs>
        <w:ind w:left="780" w:leftChars="200" w:hanging="360" w:hangingChars="200"/>
      </w:pPr>
      <w:rPr>
        <w:rFonts w:hint="default" w:ascii="Wingdings" w:hAnsi="Wingdings"/>
      </w:rPr>
    </w:lvl>
  </w:abstractNum>
  <w:abstractNum w:abstractNumId="6">
    <w:nsid w:val="FFFFFF88"/>
    <w:multiLevelType w:val="singleLevel"/>
    <w:tmpl w:val="FFFFFF88"/>
    <w:lvl w:ilvl="0" w:tentative="0">
      <w:start w:val="1"/>
      <w:numFmt w:val="decimal"/>
      <w:pStyle w:val="20"/>
      <w:lvlText w:val="%1."/>
      <w:lvlJc w:val="left"/>
      <w:pPr>
        <w:tabs>
          <w:tab w:val="left" w:pos="360"/>
        </w:tabs>
        <w:ind w:left="360" w:hanging="360" w:hangingChars="200"/>
      </w:pPr>
    </w:lvl>
  </w:abstractNum>
  <w:abstractNum w:abstractNumId="7">
    <w:nsid w:val="00000009"/>
    <w:multiLevelType w:val="multilevel"/>
    <w:tmpl w:val="00000009"/>
    <w:lvl w:ilvl="0" w:tentative="0">
      <w:start w:val="1"/>
      <w:numFmt w:val="decimal"/>
      <w:pStyle w:val="2822"/>
      <w:lvlText w:val="%1"/>
      <w:lvlJc w:val="left"/>
      <w:pPr>
        <w:tabs>
          <w:tab w:val="left" w:pos="632"/>
        </w:tabs>
        <w:ind w:left="632" w:hanging="432"/>
      </w:pPr>
    </w:lvl>
    <w:lvl w:ilvl="1" w:tentative="0">
      <w:start w:val="1"/>
      <w:numFmt w:val="decimal"/>
      <w:lvlText w:val="%1.%2"/>
      <w:lvlJc w:val="left"/>
      <w:pPr>
        <w:tabs>
          <w:tab w:val="left" w:pos="776"/>
        </w:tabs>
        <w:ind w:left="776" w:hanging="576"/>
      </w:pPr>
    </w:lvl>
    <w:lvl w:ilvl="2" w:tentative="0">
      <w:start w:val="1"/>
      <w:numFmt w:val="decimal"/>
      <w:lvlText w:val="%1.%2.%3"/>
      <w:lvlJc w:val="left"/>
      <w:pPr>
        <w:tabs>
          <w:tab w:val="left" w:pos="920"/>
        </w:tabs>
        <w:ind w:left="920" w:hanging="720"/>
      </w:pPr>
      <w:rPr>
        <w:b/>
      </w:rPr>
    </w:lvl>
    <w:lvl w:ilvl="3" w:tentative="0">
      <w:start w:val="1"/>
      <w:numFmt w:val="decimal"/>
      <w:lvlText w:val="%1.%2.%3.%4"/>
      <w:lvlJc w:val="left"/>
      <w:pPr>
        <w:tabs>
          <w:tab w:val="left" w:pos="1064"/>
        </w:tabs>
        <w:ind w:left="1064" w:hanging="864"/>
      </w:pPr>
    </w:lvl>
    <w:lvl w:ilvl="4" w:tentative="0">
      <w:start w:val="1"/>
      <w:numFmt w:val="decimal"/>
      <w:lvlText w:val="%1.%2.%3.%4.%5"/>
      <w:lvlJc w:val="left"/>
      <w:pPr>
        <w:tabs>
          <w:tab w:val="left" w:pos="1208"/>
        </w:tabs>
        <w:ind w:left="1208" w:hanging="1008"/>
      </w:pPr>
    </w:lvl>
    <w:lvl w:ilvl="5" w:tentative="0">
      <w:start w:val="1"/>
      <w:numFmt w:val="decimal"/>
      <w:lvlText w:val="%1.%2.%3.%4.%5.%6"/>
      <w:lvlJc w:val="left"/>
      <w:pPr>
        <w:tabs>
          <w:tab w:val="left" w:pos="1352"/>
        </w:tabs>
        <w:ind w:left="1352" w:hanging="1152"/>
      </w:pPr>
    </w:lvl>
    <w:lvl w:ilvl="6" w:tentative="0">
      <w:start w:val="1"/>
      <w:numFmt w:val="decimal"/>
      <w:lvlText w:val="%1.%2.%3.%4.%5.%6.%7"/>
      <w:lvlJc w:val="left"/>
      <w:pPr>
        <w:tabs>
          <w:tab w:val="left" w:pos="1496"/>
        </w:tabs>
        <w:ind w:left="1496" w:hanging="1296"/>
      </w:pPr>
    </w:lvl>
    <w:lvl w:ilvl="7" w:tentative="0">
      <w:start w:val="1"/>
      <w:numFmt w:val="decimal"/>
      <w:lvlText w:val="%1.%2.%3.%4.%5.%6.%7.%8"/>
      <w:lvlJc w:val="left"/>
      <w:pPr>
        <w:tabs>
          <w:tab w:val="left" w:pos="1640"/>
        </w:tabs>
        <w:ind w:left="1640" w:hanging="1440"/>
      </w:pPr>
    </w:lvl>
    <w:lvl w:ilvl="8" w:tentative="0">
      <w:start w:val="1"/>
      <w:numFmt w:val="decimal"/>
      <w:lvlText w:val="%1.%2.%3.%4.%5.%6.%7.%8.%9"/>
      <w:lvlJc w:val="left"/>
      <w:pPr>
        <w:tabs>
          <w:tab w:val="left" w:pos="1784"/>
        </w:tabs>
        <w:ind w:left="1784" w:hanging="1584"/>
      </w:pPr>
    </w:lvl>
  </w:abstractNum>
  <w:abstractNum w:abstractNumId="8">
    <w:nsid w:val="006F4AC7"/>
    <w:multiLevelType w:val="multilevel"/>
    <w:tmpl w:val="006F4AC7"/>
    <w:lvl w:ilvl="0" w:tentative="0">
      <w:start w:val="1"/>
      <w:numFmt w:val="decimal"/>
      <w:suff w:val="space"/>
      <w:lvlText w:val="(%1)"/>
      <w:lvlJc w:val="left"/>
      <w:pPr>
        <w:ind w:left="0" w:firstLine="0"/>
      </w:pPr>
      <w:rPr>
        <w:rFonts w:hint="default" w:ascii="Times New Roman" w:hAnsi="Times New Roman" w:cs="Times New Roman"/>
      </w:rPr>
    </w:lvl>
    <w:lvl w:ilvl="1" w:tentative="0">
      <w:start w:val="1"/>
      <w:numFmt w:val="lowerLetter"/>
      <w:lvlText w:val="%2)"/>
      <w:lvlJc w:val="left"/>
      <w:pPr>
        <w:ind w:left="1302" w:hanging="420"/>
      </w:pPr>
      <w:rPr>
        <w:rFonts w:hint="eastAsia"/>
      </w:rPr>
    </w:lvl>
    <w:lvl w:ilvl="2" w:tentative="0">
      <w:start w:val="1"/>
      <w:numFmt w:val="lowerRoman"/>
      <w:lvlText w:val="%3."/>
      <w:lvlJc w:val="right"/>
      <w:pPr>
        <w:ind w:left="1722" w:hanging="420"/>
      </w:pPr>
      <w:rPr>
        <w:rFonts w:hint="eastAsia"/>
      </w:rPr>
    </w:lvl>
    <w:lvl w:ilvl="3" w:tentative="0">
      <w:start w:val="1"/>
      <w:numFmt w:val="decimal"/>
      <w:lvlText w:val="%4."/>
      <w:lvlJc w:val="left"/>
      <w:pPr>
        <w:ind w:left="2142" w:hanging="420"/>
      </w:pPr>
      <w:rPr>
        <w:rFonts w:hint="eastAsia"/>
      </w:rPr>
    </w:lvl>
    <w:lvl w:ilvl="4" w:tentative="0">
      <w:start w:val="1"/>
      <w:numFmt w:val="lowerLetter"/>
      <w:lvlText w:val="%5)"/>
      <w:lvlJc w:val="left"/>
      <w:pPr>
        <w:ind w:left="2562" w:hanging="420"/>
      </w:pPr>
      <w:rPr>
        <w:rFonts w:hint="eastAsia"/>
      </w:rPr>
    </w:lvl>
    <w:lvl w:ilvl="5" w:tentative="0">
      <w:start w:val="1"/>
      <w:numFmt w:val="lowerRoman"/>
      <w:lvlText w:val="%6."/>
      <w:lvlJc w:val="right"/>
      <w:pPr>
        <w:ind w:left="2982" w:hanging="420"/>
      </w:pPr>
      <w:rPr>
        <w:rFonts w:hint="eastAsia"/>
      </w:rPr>
    </w:lvl>
    <w:lvl w:ilvl="6" w:tentative="0">
      <w:start w:val="1"/>
      <w:numFmt w:val="decimal"/>
      <w:lvlText w:val="%7."/>
      <w:lvlJc w:val="left"/>
      <w:pPr>
        <w:ind w:left="3402" w:hanging="420"/>
      </w:pPr>
      <w:rPr>
        <w:rFonts w:hint="eastAsia"/>
      </w:rPr>
    </w:lvl>
    <w:lvl w:ilvl="7" w:tentative="0">
      <w:start w:val="1"/>
      <w:numFmt w:val="lowerLetter"/>
      <w:lvlText w:val="%8)"/>
      <w:lvlJc w:val="left"/>
      <w:pPr>
        <w:ind w:left="3822" w:hanging="420"/>
      </w:pPr>
      <w:rPr>
        <w:rFonts w:hint="eastAsia"/>
      </w:rPr>
    </w:lvl>
    <w:lvl w:ilvl="8" w:tentative="0">
      <w:start w:val="1"/>
      <w:numFmt w:val="lowerRoman"/>
      <w:lvlText w:val="%9."/>
      <w:lvlJc w:val="right"/>
      <w:pPr>
        <w:ind w:left="4242" w:hanging="420"/>
      </w:pPr>
      <w:rPr>
        <w:rFonts w:hint="eastAsia"/>
      </w:rPr>
    </w:lvl>
  </w:abstractNum>
  <w:abstractNum w:abstractNumId="9">
    <w:nsid w:val="00A20051"/>
    <w:multiLevelType w:val="multilevel"/>
    <w:tmpl w:val="00A20051"/>
    <w:lvl w:ilvl="0" w:tentative="0">
      <w:start w:val="1"/>
      <w:numFmt w:val="decimalEnclosedCircle"/>
      <w:lvlText w:val="%1"/>
      <w:lvlJc w:val="left"/>
      <w:pPr>
        <w:ind w:left="822" w:hanging="360"/>
      </w:pPr>
      <w:rPr>
        <w:rFonts w:hint="default"/>
      </w:rPr>
    </w:lvl>
    <w:lvl w:ilvl="1" w:tentative="0">
      <w:start w:val="1"/>
      <w:numFmt w:val="lowerLetter"/>
      <w:lvlText w:val="%2)"/>
      <w:lvlJc w:val="left"/>
      <w:pPr>
        <w:ind w:left="1342" w:hanging="440"/>
      </w:pPr>
    </w:lvl>
    <w:lvl w:ilvl="2" w:tentative="0">
      <w:start w:val="1"/>
      <w:numFmt w:val="lowerRoman"/>
      <w:lvlText w:val="%3."/>
      <w:lvlJc w:val="right"/>
      <w:pPr>
        <w:ind w:left="1782" w:hanging="440"/>
      </w:pPr>
    </w:lvl>
    <w:lvl w:ilvl="3" w:tentative="0">
      <w:start w:val="1"/>
      <w:numFmt w:val="decimal"/>
      <w:lvlText w:val="%4."/>
      <w:lvlJc w:val="left"/>
      <w:pPr>
        <w:ind w:left="2222" w:hanging="440"/>
      </w:pPr>
    </w:lvl>
    <w:lvl w:ilvl="4" w:tentative="0">
      <w:start w:val="1"/>
      <w:numFmt w:val="lowerLetter"/>
      <w:lvlText w:val="%5)"/>
      <w:lvlJc w:val="left"/>
      <w:pPr>
        <w:ind w:left="2662" w:hanging="440"/>
      </w:pPr>
    </w:lvl>
    <w:lvl w:ilvl="5" w:tentative="0">
      <w:start w:val="1"/>
      <w:numFmt w:val="lowerRoman"/>
      <w:lvlText w:val="%6."/>
      <w:lvlJc w:val="right"/>
      <w:pPr>
        <w:ind w:left="3102" w:hanging="440"/>
      </w:pPr>
    </w:lvl>
    <w:lvl w:ilvl="6" w:tentative="0">
      <w:start w:val="1"/>
      <w:numFmt w:val="decimal"/>
      <w:lvlText w:val="%7."/>
      <w:lvlJc w:val="left"/>
      <w:pPr>
        <w:ind w:left="3542" w:hanging="440"/>
      </w:pPr>
    </w:lvl>
    <w:lvl w:ilvl="7" w:tentative="0">
      <w:start w:val="1"/>
      <w:numFmt w:val="lowerLetter"/>
      <w:lvlText w:val="%8)"/>
      <w:lvlJc w:val="left"/>
      <w:pPr>
        <w:ind w:left="3982" w:hanging="440"/>
      </w:pPr>
    </w:lvl>
    <w:lvl w:ilvl="8" w:tentative="0">
      <w:start w:val="1"/>
      <w:numFmt w:val="lowerRoman"/>
      <w:lvlText w:val="%9."/>
      <w:lvlJc w:val="right"/>
      <w:pPr>
        <w:ind w:left="4422" w:hanging="440"/>
      </w:pPr>
    </w:lvl>
  </w:abstractNum>
  <w:abstractNum w:abstractNumId="10">
    <w:nsid w:val="026338ED"/>
    <w:multiLevelType w:val="multilevel"/>
    <w:tmpl w:val="026338ED"/>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1">
    <w:nsid w:val="040A15CD"/>
    <w:multiLevelType w:val="multilevel"/>
    <w:tmpl w:val="040A15CD"/>
    <w:lvl w:ilvl="0" w:tentative="0">
      <w:start w:val="1"/>
      <w:numFmt w:val="none"/>
      <w:suff w:val="nothing"/>
      <w:lvlText w:val="　"/>
      <w:lvlJc w:val="left"/>
      <w:rPr>
        <w:rFonts w:hint="eastAsia" w:ascii="黑体" w:hAnsi="Times New Roman" w:eastAsia="黑体"/>
        <w:b w:val="0"/>
        <w:bCs w:val="0"/>
        <w:i w:val="0"/>
        <w:iCs w:val="0"/>
        <w:sz w:val="21"/>
        <w:szCs w:val="21"/>
      </w:rPr>
    </w:lvl>
    <w:lvl w:ilvl="1" w:tentative="0">
      <w:start w:val="1"/>
      <w:numFmt w:val="decimal"/>
      <w:isLgl/>
      <w:suff w:val="nothing"/>
      <w:lvlText w:val="%2　"/>
      <w:lvlJc w:val="left"/>
      <w:rPr>
        <w:rFonts w:hint="eastAsia" w:ascii="黑体" w:hAnsi="Times New Roman" w:eastAsia="黑体"/>
        <w:b w:val="0"/>
        <w:bCs w:val="0"/>
        <w:i w:val="0"/>
        <w:iCs w:val="0"/>
        <w:snapToGrid/>
        <w:spacing w:val="0"/>
        <w:w w:val="100"/>
        <w:kern w:val="21"/>
        <w:sz w:val="21"/>
        <w:szCs w:val="21"/>
      </w:rPr>
    </w:lvl>
    <w:lvl w:ilvl="2" w:tentative="0">
      <w:start w:val="1"/>
      <w:numFmt w:val="decimal"/>
      <w:pStyle w:val="560"/>
      <w:suff w:val="nothing"/>
      <w:lvlText w:val="%1%2.%3　"/>
      <w:lvlJc w:val="left"/>
      <w:rPr>
        <w:rFonts w:hint="eastAsia" w:ascii="黑体" w:hAnsi="Times New Roman" w:eastAsia="黑体"/>
        <w:b w:val="0"/>
        <w:bCs w:val="0"/>
        <w:i w:val="0"/>
        <w:iCs w:val="0"/>
        <w:sz w:val="21"/>
        <w:szCs w:val="21"/>
      </w:rPr>
    </w:lvl>
    <w:lvl w:ilvl="3" w:tentative="0">
      <w:start w:val="1"/>
      <w:numFmt w:val="decimal"/>
      <w:pStyle w:val="556"/>
      <w:suff w:val="nothing"/>
      <w:lvlText w:val="%1%2.%3.%4　"/>
      <w:lvlJc w:val="left"/>
      <w:rPr>
        <w:rFonts w:hint="eastAsia" w:ascii="黑体" w:hAnsi="Times New Roman" w:eastAsia="黑体"/>
        <w:b w:val="0"/>
        <w:bCs w:val="0"/>
        <w:i w:val="0"/>
        <w:iCs w:val="0"/>
        <w:sz w:val="21"/>
        <w:szCs w:val="21"/>
      </w:rPr>
    </w:lvl>
    <w:lvl w:ilvl="4" w:tentative="0">
      <w:start w:val="1"/>
      <w:numFmt w:val="decimal"/>
      <w:pStyle w:val="557"/>
      <w:suff w:val="nothing"/>
      <w:lvlText w:val="%1%2.%3.%4.%5　"/>
      <w:lvlJc w:val="left"/>
      <w:rPr>
        <w:rFonts w:hint="eastAsia" w:ascii="黑体" w:hAnsi="Times New Roman" w:eastAsia="黑体"/>
        <w:b w:val="0"/>
        <w:bCs w:val="0"/>
        <w:i w:val="0"/>
        <w:iCs w:val="0"/>
        <w:sz w:val="21"/>
        <w:szCs w:val="21"/>
      </w:rPr>
    </w:lvl>
    <w:lvl w:ilvl="5" w:tentative="0">
      <w:start w:val="1"/>
      <w:numFmt w:val="decimal"/>
      <w:pStyle w:val="558"/>
      <w:suff w:val="nothing"/>
      <w:lvlText w:val="%1%2.%3.%4.%5.%6　"/>
      <w:lvlJc w:val="left"/>
      <w:rPr>
        <w:rFonts w:hint="eastAsia" w:ascii="黑体" w:hAnsi="Times New Roman" w:eastAsia="黑体"/>
        <w:b w:val="0"/>
        <w:bCs w:val="0"/>
        <w:i w:val="0"/>
        <w:iCs w:val="0"/>
        <w:sz w:val="21"/>
        <w:szCs w:val="21"/>
      </w:rPr>
    </w:lvl>
    <w:lvl w:ilvl="6" w:tentative="0">
      <w:start w:val="1"/>
      <w:numFmt w:val="decimal"/>
      <w:pStyle w:val="559"/>
      <w:suff w:val="nothing"/>
      <w:lvlText w:val="%1%2.%3.%4.%5.%6.%7　"/>
      <w:lvlJc w:val="left"/>
      <w:rPr>
        <w:rFonts w:hint="eastAsia" w:ascii="黑体" w:hAnsi="Times New Roman" w:eastAsia="黑体"/>
        <w:b w:val="0"/>
        <w:bCs w:val="0"/>
        <w:i w:val="0"/>
        <w:iCs w:val="0"/>
        <w:sz w:val="21"/>
        <w:szCs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2">
    <w:nsid w:val="081F4E25"/>
    <w:multiLevelType w:val="multilevel"/>
    <w:tmpl w:val="081F4E25"/>
    <w:lvl w:ilvl="0" w:tentative="0">
      <w:start w:val="1"/>
      <w:numFmt w:val="decimal"/>
      <w:lvlText w:val="附图%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3">
    <w:nsid w:val="0D3D7F45"/>
    <w:multiLevelType w:val="multilevel"/>
    <w:tmpl w:val="0D3D7F45"/>
    <w:lvl w:ilvl="0" w:tentative="0">
      <w:start w:val="1"/>
      <w:numFmt w:val="decimal"/>
      <w:pStyle w:val="987"/>
      <w:lvlText w:val="(%1)"/>
      <w:lvlJc w:val="left"/>
      <w:pPr>
        <w:tabs>
          <w:tab w:val="left" w:pos="1175"/>
        </w:tabs>
        <w:ind w:left="1175" w:hanging="615"/>
      </w:pPr>
      <w:rPr>
        <w:rFonts w:hint="default"/>
      </w:rPr>
    </w:lvl>
    <w:lvl w:ilvl="1" w:tentative="0">
      <w:start w:val="1"/>
      <w:numFmt w:val="lowerLetter"/>
      <w:lvlText w:val="%2)"/>
      <w:lvlJc w:val="left"/>
      <w:pPr>
        <w:tabs>
          <w:tab w:val="left" w:pos="1400"/>
        </w:tabs>
        <w:ind w:left="1400" w:hanging="420"/>
      </w:pPr>
    </w:lvl>
    <w:lvl w:ilvl="2" w:tentative="0">
      <w:start w:val="1"/>
      <w:numFmt w:val="lowerRoman"/>
      <w:lvlText w:val="%3."/>
      <w:lvlJc w:val="right"/>
      <w:pPr>
        <w:tabs>
          <w:tab w:val="left" w:pos="1820"/>
        </w:tabs>
        <w:ind w:left="1820" w:hanging="420"/>
      </w:pPr>
    </w:lvl>
    <w:lvl w:ilvl="3" w:tentative="0">
      <w:start w:val="1"/>
      <w:numFmt w:val="decimal"/>
      <w:lvlText w:val="%4."/>
      <w:lvlJc w:val="left"/>
      <w:pPr>
        <w:tabs>
          <w:tab w:val="left" w:pos="2240"/>
        </w:tabs>
        <w:ind w:left="2240" w:hanging="420"/>
      </w:pPr>
    </w:lvl>
    <w:lvl w:ilvl="4" w:tentative="0">
      <w:start w:val="1"/>
      <w:numFmt w:val="lowerLetter"/>
      <w:lvlText w:val="%5)"/>
      <w:lvlJc w:val="left"/>
      <w:pPr>
        <w:tabs>
          <w:tab w:val="left" w:pos="2660"/>
        </w:tabs>
        <w:ind w:left="2660" w:hanging="420"/>
      </w:pPr>
    </w:lvl>
    <w:lvl w:ilvl="5" w:tentative="0">
      <w:start w:val="1"/>
      <w:numFmt w:val="lowerRoman"/>
      <w:lvlText w:val="%6."/>
      <w:lvlJc w:val="right"/>
      <w:pPr>
        <w:tabs>
          <w:tab w:val="left" w:pos="3080"/>
        </w:tabs>
        <w:ind w:left="3080" w:hanging="420"/>
      </w:pPr>
    </w:lvl>
    <w:lvl w:ilvl="6" w:tentative="0">
      <w:start w:val="1"/>
      <w:numFmt w:val="decimal"/>
      <w:lvlText w:val="%7."/>
      <w:lvlJc w:val="left"/>
      <w:pPr>
        <w:tabs>
          <w:tab w:val="left" w:pos="3500"/>
        </w:tabs>
        <w:ind w:left="3500" w:hanging="420"/>
      </w:pPr>
    </w:lvl>
    <w:lvl w:ilvl="7" w:tentative="0">
      <w:start w:val="1"/>
      <w:numFmt w:val="lowerLetter"/>
      <w:lvlText w:val="%8)"/>
      <w:lvlJc w:val="left"/>
      <w:pPr>
        <w:tabs>
          <w:tab w:val="left" w:pos="3920"/>
        </w:tabs>
        <w:ind w:left="3920" w:hanging="420"/>
      </w:pPr>
    </w:lvl>
    <w:lvl w:ilvl="8" w:tentative="0">
      <w:start w:val="1"/>
      <w:numFmt w:val="lowerRoman"/>
      <w:lvlText w:val="%9."/>
      <w:lvlJc w:val="right"/>
      <w:pPr>
        <w:tabs>
          <w:tab w:val="left" w:pos="4340"/>
        </w:tabs>
        <w:ind w:left="4340" w:hanging="420"/>
      </w:pPr>
    </w:lvl>
  </w:abstractNum>
  <w:abstractNum w:abstractNumId="14">
    <w:nsid w:val="18CF769D"/>
    <w:multiLevelType w:val="multilevel"/>
    <w:tmpl w:val="18CF769D"/>
    <w:lvl w:ilvl="0" w:tentative="0">
      <w:start w:val="1"/>
      <w:numFmt w:val="decimal"/>
      <w:lvlText w:val="%1"/>
      <w:lvlJc w:val="left"/>
      <w:pPr>
        <w:ind w:left="0" w:firstLine="0"/>
      </w:pPr>
      <w:rPr>
        <w:rFonts w:hint="eastAsia"/>
      </w:rPr>
    </w:lvl>
    <w:lvl w:ilvl="1" w:tentative="0">
      <w:start w:val="1"/>
      <w:numFmt w:val="decimal"/>
      <w:lvlText w:val="%1.%2"/>
      <w:lvlJc w:val="left"/>
      <w:pPr>
        <w:ind w:left="0" w:firstLine="0"/>
      </w:pPr>
      <w:rPr>
        <w:rFonts w:hint="eastAsia" w:ascii="Times New Roman" w:hAnsi="Times New Roman" w:cs="Times New Roman"/>
        <w:i w:val="0"/>
        <w:iCs w:val="0"/>
        <w:caps w:val="0"/>
        <w:smallCaps w:val="0"/>
        <w:strike w:val="0"/>
        <w:dstrike w:val="0"/>
        <w:vanish w:val="0"/>
        <w:spacing w:val="0"/>
        <w:position w:val="0"/>
        <w:u w:val="none"/>
        <w:vertAlign w:val="baseline"/>
      </w:rPr>
    </w:lvl>
    <w:lvl w:ilvl="2" w:tentative="0">
      <w:start w:val="1"/>
      <w:numFmt w:val="decimal"/>
      <w:suff w:val="space"/>
      <w:lvlText w:val="%1.%2.%3"/>
      <w:lvlJc w:val="left"/>
      <w:pPr>
        <w:ind w:left="0" w:firstLine="0"/>
      </w:pPr>
      <w:rPr>
        <w:rFonts w:hint="eastAsia" w:ascii="Times New Roman" w:hAnsi="Times New Roman" w:cs="Times New Roman"/>
        <w:i w:val="0"/>
        <w:iCs w:val="0"/>
        <w:caps w:val="0"/>
        <w:smallCaps w:val="0"/>
        <w:strike w:val="0"/>
        <w:dstrike w:val="0"/>
        <w:vanish w:val="0"/>
        <w:spacing w:val="0"/>
        <w:position w:val="0"/>
        <w:u w:val="none"/>
        <w:vertAlign w:val="baseline"/>
      </w:rPr>
    </w:lvl>
    <w:lvl w:ilvl="3" w:tentative="0">
      <w:start w:val="1"/>
      <w:numFmt w:val="decimal"/>
      <w:lvlText w:val="%1.%2.%3.%4"/>
      <w:lvlJc w:val="left"/>
      <w:pPr>
        <w:ind w:left="142" w:firstLine="0"/>
      </w:pPr>
      <w:rPr>
        <w:rFonts w:hint="eastAsia" w:ascii="Times New Roman" w:hAnsi="Times New Roman" w:cs="Times New Roman"/>
        <w:b/>
        <w:i w:val="0"/>
        <w:iCs w:val="0"/>
        <w:caps w:val="0"/>
        <w:smallCaps w:val="0"/>
        <w:strike w:val="0"/>
        <w:dstrike w:val="0"/>
        <w:outline w:val="0"/>
        <w:shadow w:val="0"/>
        <w:emboss w:val="0"/>
        <w:imprint w:val="0"/>
        <w:vanish w:val="0"/>
        <w:spacing w:val="0"/>
        <w:position w:val="0"/>
        <w:u w:val="none"/>
        <w:vertAlign w:val="baseline"/>
      </w:rPr>
    </w:lvl>
    <w:lvl w:ilvl="4" w:tentative="0">
      <w:start w:val="1"/>
      <w:numFmt w:val="decimal"/>
      <w:suff w:val="space"/>
      <w:lvlText w:val="%1.%2.%3.%4.%5"/>
      <w:lvlJc w:val="left"/>
      <w:pPr>
        <w:ind w:left="1008" w:hanging="1008"/>
      </w:pPr>
      <w:rPr>
        <w:rFonts w:hint="eastAsia"/>
        <w:sz w:val="24"/>
        <w:szCs w:val="24"/>
      </w:rPr>
    </w:lvl>
    <w:lvl w:ilvl="5" w:tentative="0">
      <w:start w:val="1"/>
      <w:numFmt w:val="decimal"/>
      <w:lvlRestart w:val="2"/>
      <w:lvlText w:val="表%1.%2-%6"/>
      <w:lvlJc w:val="left"/>
      <w:pPr>
        <w:ind w:left="0" w:firstLine="0"/>
      </w:pPr>
      <w:rPr>
        <w:rFonts w:hint="eastAsia" w:ascii="Times New Roman" w:hAnsi="Times New Roman" w:cs="Times New Roman"/>
        <w:b/>
        <w:i w:val="0"/>
        <w:iCs w:val="0"/>
        <w:caps w:val="0"/>
        <w:smallCaps w:val="0"/>
        <w:strike w:val="0"/>
        <w:dstrike w:val="0"/>
        <w:outline w:val="0"/>
        <w:shadow w:val="0"/>
        <w:emboss w:val="0"/>
        <w:imprint w:val="0"/>
        <w:vanish w:val="0"/>
        <w:spacing w:val="0"/>
        <w:position w:val="0"/>
        <w:sz w:val="24"/>
        <w:szCs w:val="24"/>
        <w:u w:val="none"/>
        <w:vertAlign w:val="baseline"/>
        <w:lang w:val="en-US"/>
      </w:rPr>
    </w:lvl>
    <w:lvl w:ilvl="6" w:tentative="0">
      <w:start w:val="1"/>
      <w:numFmt w:val="decimal"/>
      <w:lvlRestart w:val="2"/>
      <w:lvlText w:val="图%1.%2-%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15">
    <w:nsid w:val="1A747B0B"/>
    <w:multiLevelType w:val="multilevel"/>
    <w:tmpl w:val="1A747B0B"/>
    <w:lvl w:ilvl="0" w:tentative="0">
      <w:start w:val="1"/>
      <w:numFmt w:val="decimal"/>
      <w:pStyle w:val="727"/>
      <w:suff w:val="space"/>
      <w:lvlText w:val="第%1章"/>
      <w:lvlJc w:val="left"/>
      <w:pPr>
        <w:ind w:left="0" w:firstLine="0"/>
      </w:pPr>
      <w:rPr>
        <w:rFonts w:hint="default" w:ascii="Arial" w:hAnsi="Arial" w:eastAsia="宋体"/>
        <w:b/>
        <w:i w:val="0"/>
        <w:sz w:val="32"/>
        <w:szCs w:val="32"/>
      </w:rPr>
    </w:lvl>
    <w:lvl w:ilvl="1" w:tentative="0">
      <w:start w:val="1"/>
      <w:numFmt w:val="decimal"/>
      <w:pStyle w:val="722"/>
      <w:isLgl/>
      <w:suff w:val="space"/>
      <w:lvlText w:val="%1.%2"/>
      <w:lvlJc w:val="left"/>
      <w:pPr>
        <w:ind w:left="0" w:firstLine="0"/>
      </w:pPr>
      <w:rPr>
        <w:rFonts w:hint="default" w:ascii="Arial" w:hAnsi="Arial" w:eastAsia="宋体"/>
        <w:b/>
        <w:i w:val="0"/>
        <w:sz w:val="28"/>
        <w:szCs w:val="28"/>
      </w:rPr>
    </w:lvl>
    <w:lvl w:ilvl="2" w:tentative="0">
      <w:start w:val="1"/>
      <w:numFmt w:val="decimal"/>
      <w:pStyle w:val="724"/>
      <w:suff w:val="space"/>
      <w:lvlText w:val="%1.%2.%3"/>
      <w:lvlJc w:val="left"/>
      <w:pPr>
        <w:ind w:left="0" w:firstLine="0"/>
      </w:pPr>
      <w:rPr>
        <w:rFonts w:hint="default" w:ascii="Arial" w:hAnsi="Arial" w:eastAsia="宋体"/>
        <w:b/>
        <w:i w:val="0"/>
        <w:sz w:val="28"/>
        <w:szCs w:val="28"/>
      </w:rPr>
    </w:lvl>
    <w:lvl w:ilvl="3" w:tentative="0">
      <w:start w:val="1"/>
      <w:numFmt w:val="decimal"/>
      <w:pStyle w:val="725"/>
      <w:lvlText w:val="%1.%2.%3.%4"/>
      <w:lvlJc w:val="left"/>
      <w:pPr>
        <w:tabs>
          <w:tab w:val="left" w:pos="1021"/>
        </w:tabs>
        <w:ind w:left="851" w:hanging="851"/>
      </w:pPr>
      <w:rPr>
        <w:rFonts w:hint="default" w:ascii="Arial" w:hAnsi="Arial" w:eastAsia="宋体"/>
        <w:b/>
        <w:i w:val="0"/>
        <w:sz w:val="28"/>
        <w:szCs w:val="28"/>
      </w:rPr>
    </w:lvl>
    <w:lvl w:ilvl="4" w:tentative="0">
      <w:start w:val="1"/>
      <w:numFmt w:val="decimal"/>
      <w:pStyle w:val="726"/>
      <w:lvlText w:val="（%5）"/>
      <w:lvlJc w:val="left"/>
      <w:pPr>
        <w:tabs>
          <w:tab w:val="left" w:pos="710"/>
        </w:tabs>
        <w:ind w:left="370" w:firstLine="340"/>
      </w:pPr>
      <w:rPr>
        <w:rFonts w:hint="default" w:ascii="Arial" w:hAnsi="Arial" w:eastAsia="宋体"/>
        <w:b w:val="0"/>
        <w:i w:val="0"/>
        <w:spacing w:val="-20"/>
        <w:sz w:val="28"/>
        <w:szCs w:val="28"/>
      </w:rPr>
    </w:lvl>
    <w:lvl w:ilvl="5" w:tentative="0">
      <w:start w:val="1"/>
      <w:numFmt w:val="lowerLetter"/>
      <w:pStyle w:val="723"/>
      <w:lvlText w:val="%6)"/>
      <w:lvlJc w:val="left"/>
      <w:pPr>
        <w:tabs>
          <w:tab w:val="left" w:pos="964"/>
        </w:tabs>
        <w:ind w:left="0" w:firstLine="510"/>
      </w:pPr>
      <w:rPr>
        <w:rFonts w:hint="eastAsia" w:ascii="Times New Roman" w:hAnsi="Times New Roman" w:eastAsia="宋体" w:cs="Times New Roman"/>
        <w:b/>
        <w:i w:val="0"/>
        <w:sz w:val="28"/>
        <w:szCs w:val="28"/>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6">
    <w:nsid w:val="1C3428DE"/>
    <w:multiLevelType w:val="multilevel"/>
    <w:tmpl w:val="1C3428DE"/>
    <w:lvl w:ilvl="0" w:tentative="0">
      <w:start w:val="1"/>
      <w:numFmt w:val="decimal"/>
      <w:lvlText w:val="%1"/>
      <w:lvlJc w:val="left"/>
      <w:pPr>
        <w:tabs>
          <w:tab w:val="left" w:pos="425"/>
        </w:tabs>
        <w:ind w:left="425" w:hanging="425"/>
      </w:pPr>
      <w:rPr>
        <w:rFonts w:hint="eastAsia"/>
      </w:rPr>
    </w:lvl>
    <w:lvl w:ilvl="1" w:tentative="0">
      <w:start w:val="1"/>
      <w:numFmt w:val="decimal"/>
      <w:lvlText w:val="%1.%2"/>
      <w:lvlJc w:val="left"/>
      <w:pPr>
        <w:tabs>
          <w:tab w:val="left" w:pos="1107"/>
        </w:tabs>
        <w:ind w:left="1107" w:hanging="567"/>
      </w:pPr>
    </w:lvl>
    <w:lvl w:ilvl="2" w:tentative="0">
      <w:start w:val="1"/>
      <w:numFmt w:val="decimal"/>
      <w:pStyle w:val="3074"/>
      <w:lvlText w:val="%1.%2.%3"/>
      <w:lvlJc w:val="left"/>
      <w:pPr>
        <w:tabs>
          <w:tab w:val="left" w:pos="1440"/>
        </w:tabs>
        <w:ind w:left="1287" w:hanging="567"/>
      </w:pPr>
      <w:rPr>
        <w:color w:val="auto"/>
      </w:rPr>
    </w:lvl>
    <w:lvl w:ilvl="3" w:tentative="0">
      <w:start w:val="1"/>
      <w:numFmt w:val="decimal"/>
      <w:lvlText w:val="%1.%2.%3.%4"/>
      <w:lvlJc w:val="left"/>
      <w:pPr>
        <w:tabs>
          <w:tab w:val="left" w:pos="1080"/>
        </w:tabs>
        <w:ind w:left="708" w:hanging="708"/>
      </w:pPr>
      <w:rPr>
        <w:rFonts w:hint="default" w:ascii="Times New Roman" w:hAnsi="Times New Roman" w:cs="Times New Roman"/>
        <w:i w:val="0"/>
      </w:rPr>
    </w:lvl>
    <w:lvl w:ilvl="4" w:tentative="0">
      <w:start w:val="1"/>
      <w:numFmt w:val="decimal"/>
      <w:lvlText w:val="%1.%2.%3.%4.%5"/>
      <w:lvlJc w:val="left"/>
      <w:pPr>
        <w:tabs>
          <w:tab w:val="left" w:pos="2781"/>
        </w:tabs>
        <w:ind w:left="2551" w:hanging="850"/>
      </w:pPr>
    </w:lvl>
    <w:lvl w:ilvl="5" w:tentative="0">
      <w:start w:val="1"/>
      <w:numFmt w:val="decimal"/>
      <w:lvlText w:val="%1.%2.%3.%4.%5.%6"/>
      <w:lvlJc w:val="left"/>
      <w:pPr>
        <w:tabs>
          <w:tab w:val="left" w:pos="3566"/>
        </w:tabs>
        <w:ind w:left="3260" w:hanging="1134"/>
      </w:pPr>
    </w:lvl>
    <w:lvl w:ilvl="6" w:tentative="0">
      <w:start w:val="1"/>
      <w:numFmt w:val="decimal"/>
      <w:lvlText w:val="%1.%2.%3.%4.%5.%6.%7"/>
      <w:lvlJc w:val="left"/>
      <w:pPr>
        <w:tabs>
          <w:tab w:val="left" w:pos="4351"/>
        </w:tabs>
        <w:ind w:left="3827" w:hanging="1276"/>
      </w:pPr>
    </w:lvl>
    <w:lvl w:ilvl="7" w:tentative="0">
      <w:start w:val="1"/>
      <w:numFmt w:val="decimal"/>
      <w:lvlText w:val="%1.%2.%3.%4.%5.%6.%7.%8"/>
      <w:lvlJc w:val="left"/>
      <w:pPr>
        <w:tabs>
          <w:tab w:val="left" w:pos="4776"/>
        </w:tabs>
        <w:ind w:left="4394" w:hanging="1418"/>
      </w:pPr>
    </w:lvl>
    <w:lvl w:ilvl="8" w:tentative="0">
      <w:start w:val="1"/>
      <w:numFmt w:val="decimal"/>
      <w:lvlText w:val="%1.%2.%3.%4.%5.%6.%7.%8.%9"/>
      <w:lvlJc w:val="left"/>
      <w:pPr>
        <w:tabs>
          <w:tab w:val="left" w:pos="5562"/>
        </w:tabs>
        <w:ind w:left="5102" w:hanging="1700"/>
      </w:pPr>
    </w:lvl>
  </w:abstractNum>
  <w:abstractNum w:abstractNumId="17">
    <w:nsid w:val="1C3F5A42"/>
    <w:multiLevelType w:val="multilevel"/>
    <w:tmpl w:val="1C3F5A42"/>
    <w:lvl w:ilvl="0" w:tentative="0">
      <w:start w:val="0"/>
      <w:numFmt w:val="decimal"/>
      <w:pStyle w:val="1610"/>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8">
    <w:nsid w:val="1CB1776C"/>
    <w:multiLevelType w:val="multilevel"/>
    <w:tmpl w:val="1CB1776C"/>
    <w:lvl w:ilvl="0" w:tentative="0">
      <w:start w:val="0"/>
      <w:numFmt w:val="decimal"/>
      <w:pStyle w:val="1646"/>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9">
    <w:nsid w:val="1CFE6ACB"/>
    <w:multiLevelType w:val="multilevel"/>
    <w:tmpl w:val="1CFE6ACB"/>
    <w:lvl w:ilvl="0" w:tentative="0">
      <w:start w:val="1"/>
      <w:numFmt w:val="decimal"/>
      <w:pStyle w:val="929"/>
      <w:lvlText w:val="%1"/>
      <w:lvlJc w:val="left"/>
      <w:pPr>
        <w:tabs>
          <w:tab w:val="left" w:pos="425"/>
        </w:tabs>
        <w:ind w:left="425" w:hanging="425"/>
      </w:pPr>
    </w:lvl>
    <w:lvl w:ilvl="1" w:tentative="0">
      <w:start w:val="1"/>
      <w:numFmt w:val="decimal"/>
      <w:lvlText w:val="%1.%2"/>
      <w:lvlJc w:val="left"/>
      <w:pPr>
        <w:tabs>
          <w:tab w:val="left" w:pos="992"/>
        </w:tabs>
        <w:ind w:left="992" w:hanging="567"/>
      </w:pPr>
    </w:lvl>
    <w:lvl w:ilvl="2" w:tentative="0">
      <w:start w:val="1"/>
      <w:numFmt w:val="decimal"/>
      <w:lvlText w:val="%1.%2.%3"/>
      <w:lvlJc w:val="left"/>
      <w:pPr>
        <w:tabs>
          <w:tab w:val="left" w:pos="1571"/>
        </w:tabs>
        <w:ind w:left="1418" w:hanging="567"/>
      </w:pPr>
    </w:lvl>
    <w:lvl w:ilvl="3" w:tentative="0">
      <w:start w:val="1"/>
      <w:numFmt w:val="decimal"/>
      <w:lvlText w:val="%1.%2.%3.%4"/>
      <w:lvlJc w:val="left"/>
      <w:pPr>
        <w:tabs>
          <w:tab w:val="left" w:pos="2356"/>
        </w:tabs>
        <w:ind w:left="1984" w:hanging="708"/>
      </w:pPr>
    </w:lvl>
    <w:lvl w:ilvl="4" w:tentative="0">
      <w:start w:val="1"/>
      <w:numFmt w:val="decimal"/>
      <w:lvlText w:val="%1.%2.%3.%4.%5"/>
      <w:lvlJc w:val="left"/>
      <w:pPr>
        <w:tabs>
          <w:tab w:val="left" w:pos="3141"/>
        </w:tabs>
        <w:ind w:left="2551" w:hanging="850"/>
      </w:pPr>
    </w:lvl>
    <w:lvl w:ilvl="5" w:tentative="0">
      <w:start w:val="1"/>
      <w:numFmt w:val="decimal"/>
      <w:lvlText w:val="%1.%2.%3.%4.%5.%6"/>
      <w:lvlJc w:val="left"/>
      <w:pPr>
        <w:tabs>
          <w:tab w:val="left" w:pos="3926"/>
        </w:tabs>
        <w:ind w:left="3260" w:hanging="1134"/>
      </w:pPr>
    </w:lvl>
    <w:lvl w:ilvl="6" w:tentative="0">
      <w:start w:val="1"/>
      <w:numFmt w:val="decimal"/>
      <w:lvlText w:val="%1.%2.%3.%4.%5.%6.%7"/>
      <w:lvlJc w:val="left"/>
      <w:pPr>
        <w:tabs>
          <w:tab w:val="left" w:pos="4711"/>
        </w:tabs>
        <w:ind w:left="3827" w:hanging="1276"/>
      </w:pPr>
    </w:lvl>
    <w:lvl w:ilvl="7" w:tentative="0">
      <w:start w:val="1"/>
      <w:numFmt w:val="decimal"/>
      <w:lvlText w:val="%1.%2.%3.%4.%5.%6.%7.%8"/>
      <w:lvlJc w:val="left"/>
      <w:pPr>
        <w:tabs>
          <w:tab w:val="left" w:pos="5136"/>
        </w:tabs>
        <w:ind w:left="4394" w:hanging="1418"/>
      </w:pPr>
    </w:lvl>
    <w:lvl w:ilvl="8" w:tentative="0">
      <w:start w:val="1"/>
      <w:numFmt w:val="decimal"/>
      <w:lvlText w:val="%1.%2.%3.%4.%5.%6.%7.%8.%9"/>
      <w:lvlJc w:val="left"/>
      <w:pPr>
        <w:tabs>
          <w:tab w:val="left" w:pos="5922"/>
        </w:tabs>
        <w:ind w:left="5102" w:hanging="1700"/>
      </w:pPr>
    </w:lvl>
  </w:abstractNum>
  <w:abstractNum w:abstractNumId="20">
    <w:nsid w:val="20423B4E"/>
    <w:multiLevelType w:val="multilevel"/>
    <w:tmpl w:val="20423B4E"/>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21">
    <w:nsid w:val="215B5C48"/>
    <w:multiLevelType w:val="multilevel"/>
    <w:tmpl w:val="215B5C48"/>
    <w:lvl w:ilvl="0" w:tentative="0">
      <w:start w:val="0"/>
      <w:numFmt w:val="decimal"/>
      <w:pStyle w:val="1896"/>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2">
    <w:nsid w:val="21E91F6D"/>
    <w:multiLevelType w:val="multilevel"/>
    <w:tmpl w:val="21E91F6D"/>
    <w:lvl w:ilvl="0" w:tentative="0">
      <w:start w:val="0"/>
      <w:numFmt w:val="decimal"/>
      <w:pStyle w:val="1584"/>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3">
    <w:nsid w:val="228E5326"/>
    <w:multiLevelType w:val="multilevel"/>
    <w:tmpl w:val="228E5326"/>
    <w:lvl w:ilvl="0" w:tentative="0">
      <w:start w:val="1"/>
      <w:numFmt w:val="decimal"/>
      <w:suff w:val="space"/>
      <w:lvlText w:val="(%1)"/>
      <w:lvlJc w:val="left"/>
      <w:pPr>
        <w:ind w:left="0" w:firstLine="0"/>
      </w:pPr>
      <w:rPr>
        <w:rFonts w:hint="default" w:ascii="Times New Roman" w:hAnsi="Times New Roman" w:cs="Times New Roman"/>
      </w:rPr>
    </w:lvl>
    <w:lvl w:ilvl="1" w:tentative="0">
      <w:start w:val="1"/>
      <w:numFmt w:val="lowerLetter"/>
      <w:lvlText w:val="%2)"/>
      <w:lvlJc w:val="left"/>
      <w:pPr>
        <w:ind w:left="1302" w:hanging="420"/>
      </w:pPr>
      <w:rPr>
        <w:rFonts w:hint="eastAsia"/>
      </w:rPr>
    </w:lvl>
    <w:lvl w:ilvl="2" w:tentative="0">
      <w:start w:val="1"/>
      <w:numFmt w:val="lowerRoman"/>
      <w:lvlText w:val="%3."/>
      <w:lvlJc w:val="right"/>
      <w:pPr>
        <w:ind w:left="1722" w:hanging="420"/>
      </w:pPr>
      <w:rPr>
        <w:rFonts w:hint="eastAsia"/>
      </w:rPr>
    </w:lvl>
    <w:lvl w:ilvl="3" w:tentative="0">
      <w:start w:val="1"/>
      <w:numFmt w:val="decimal"/>
      <w:lvlText w:val="%4."/>
      <w:lvlJc w:val="left"/>
      <w:pPr>
        <w:ind w:left="2142" w:hanging="420"/>
      </w:pPr>
      <w:rPr>
        <w:rFonts w:hint="eastAsia"/>
      </w:rPr>
    </w:lvl>
    <w:lvl w:ilvl="4" w:tentative="0">
      <w:start w:val="1"/>
      <w:numFmt w:val="lowerLetter"/>
      <w:lvlText w:val="%5)"/>
      <w:lvlJc w:val="left"/>
      <w:pPr>
        <w:ind w:left="2562" w:hanging="420"/>
      </w:pPr>
      <w:rPr>
        <w:rFonts w:hint="eastAsia"/>
      </w:rPr>
    </w:lvl>
    <w:lvl w:ilvl="5" w:tentative="0">
      <w:start w:val="1"/>
      <w:numFmt w:val="lowerRoman"/>
      <w:lvlText w:val="%6."/>
      <w:lvlJc w:val="right"/>
      <w:pPr>
        <w:ind w:left="2982" w:hanging="420"/>
      </w:pPr>
      <w:rPr>
        <w:rFonts w:hint="eastAsia"/>
      </w:rPr>
    </w:lvl>
    <w:lvl w:ilvl="6" w:tentative="0">
      <w:start w:val="1"/>
      <w:numFmt w:val="decimal"/>
      <w:lvlText w:val="%7."/>
      <w:lvlJc w:val="left"/>
      <w:pPr>
        <w:ind w:left="3402" w:hanging="420"/>
      </w:pPr>
      <w:rPr>
        <w:rFonts w:hint="eastAsia"/>
      </w:rPr>
    </w:lvl>
    <w:lvl w:ilvl="7" w:tentative="0">
      <w:start w:val="1"/>
      <w:numFmt w:val="lowerLetter"/>
      <w:lvlText w:val="%8)"/>
      <w:lvlJc w:val="left"/>
      <w:pPr>
        <w:ind w:left="3822" w:hanging="420"/>
      </w:pPr>
      <w:rPr>
        <w:rFonts w:hint="eastAsia"/>
      </w:rPr>
    </w:lvl>
    <w:lvl w:ilvl="8" w:tentative="0">
      <w:start w:val="1"/>
      <w:numFmt w:val="lowerRoman"/>
      <w:lvlText w:val="%9."/>
      <w:lvlJc w:val="right"/>
      <w:pPr>
        <w:ind w:left="4242" w:hanging="420"/>
      </w:pPr>
      <w:rPr>
        <w:rFonts w:hint="eastAsia"/>
      </w:rPr>
    </w:lvl>
  </w:abstractNum>
  <w:abstractNum w:abstractNumId="24">
    <w:nsid w:val="276801CF"/>
    <w:multiLevelType w:val="multilevel"/>
    <w:tmpl w:val="276801CF"/>
    <w:lvl w:ilvl="0" w:tentative="0">
      <w:start w:val="2"/>
      <w:numFmt w:val="decimal"/>
      <w:lvlText w:val="（%1）"/>
      <w:lvlJc w:val="left"/>
      <w:pPr>
        <w:tabs>
          <w:tab w:val="left" w:pos="10414"/>
        </w:tabs>
        <w:ind w:left="10414" w:hanging="720"/>
      </w:pPr>
    </w:lvl>
    <w:lvl w:ilvl="1" w:tentative="0">
      <w:start w:val="1"/>
      <w:numFmt w:val="lowerLetter"/>
      <w:pStyle w:val="2026"/>
      <w:lvlText w:val="%2)"/>
      <w:lvlJc w:val="left"/>
      <w:pPr>
        <w:tabs>
          <w:tab w:val="left" w:pos="10534"/>
        </w:tabs>
        <w:ind w:left="10534" w:hanging="420"/>
      </w:pPr>
    </w:lvl>
    <w:lvl w:ilvl="2" w:tentative="0">
      <w:start w:val="1"/>
      <w:numFmt w:val="lowerRoman"/>
      <w:lvlText w:val="%3."/>
      <w:lvlJc w:val="right"/>
      <w:pPr>
        <w:tabs>
          <w:tab w:val="left" w:pos="10954"/>
        </w:tabs>
        <w:ind w:left="10954" w:hanging="420"/>
      </w:pPr>
    </w:lvl>
    <w:lvl w:ilvl="3" w:tentative="0">
      <w:start w:val="1"/>
      <w:numFmt w:val="decimal"/>
      <w:pStyle w:val="2028"/>
      <w:lvlText w:val="%4."/>
      <w:lvlJc w:val="left"/>
      <w:pPr>
        <w:tabs>
          <w:tab w:val="left" w:pos="11374"/>
        </w:tabs>
        <w:ind w:left="11374" w:hanging="420"/>
      </w:pPr>
    </w:lvl>
    <w:lvl w:ilvl="4" w:tentative="0">
      <w:start w:val="1"/>
      <w:numFmt w:val="lowerLetter"/>
      <w:lvlText w:val="%5)"/>
      <w:lvlJc w:val="left"/>
      <w:pPr>
        <w:tabs>
          <w:tab w:val="left" w:pos="11794"/>
        </w:tabs>
        <w:ind w:left="11794" w:hanging="420"/>
      </w:pPr>
    </w:lvl>
    <w:lvl w:ilvl="5" w:tentative="0">
      <w:start w:val="1"/>
      <w:numFmt w:val="lowerRoman"/>
      <w:lvlText w:val="%6."/>
      <w:lvlJc w:val="right"/>
      <w:pPr>
        <w:tabs>
          <w:tab w:val="left" w:pos="12214"/>
        </w:tabs>
        <w:ind w:left="12214" w:hanging="420"/>
      </w:pPr>
    </w:lvl>
    <w:lvl w:ilvl="6" w:tentative="0">
      <w:start w:val="1"/>
      <w:numFmt w:val="decimal"/>
      <w:lvlText w:val="%7."/>
      <w:lvlJc w:val="left"/>
      <w:pPr>
        <w:tabs>
          <w:tab w:val="left" w:pos="12634"/>
        </w:tabs>
        <w:ind w:left="12634" w:hanging="420"/>
      </w:pPr>
    </w:lvl>
    <w:lvl w:ilvl="7" w:tentative="0">
      <w:start w:val="1"/>
      <w:numFmt w:val="lowerLetter"/>
      <w:lvlText w:val="%8)"/>
      <w:lvlJc w:val="left"/>
      <w:pPr>
        <w:tabs>
          <w:tab w:val="left" w:pos="13054"/>
        </w:tabs>
        <w:ind w:left="13054" w:hanging="420"/>
      </w:pPr>
    </w:lvl>
    <w:lvl w:ilvl="8" w:tentative="0">
      <w:start w:val="1"/>
      <w:numFmt w:val="lowerRoman"/>
      <w:lvlText w:val="%9."/>
      <w:lvlJc w:val="right"/>
      <w:pPr>
        <w:tabs>
          <w:tab w:val="left" w:pos="13474"/>
        </w:tabs>
        <w:ind w:left="13474" w:hanging="420"/>
      </w:pPr>
    </w:lvl>
  </w:abstractNum>
  <w:abstractNum w:abstractNumId="25">
    <w:nsid w:val="2C5917C3"/>
    <w:multiLevelType w:val="multilevel"/>
    <w:tmpl w:val="2C5917C3"/>
    <w:lvl w:ilvl="0" w:tentative="0">
      <w:start w:val="0"/>
      <w:numFmt w:val="decimal"/>
      <w:pStyle w:val="1925"/>
      <w:lvlText w:val=""/>
      <w:lvlJc w:val="left"/>
    </w:lvl>
    <w:lvl w:ilvl="1" w:tentative="0">
      <w:start w:val="0"/>
      <w:numFmt w:val="decimal"/>
      <w:pStyle w:val="1926"/>
      <w:lvlText w:val=""/>
      <w:lvlJc w:val="left"/>
    </w:lvl>
    <w:lvl w:ilvl="2" w:tentative="0">
      <w:start w:val="0"/>
      <w:numFmt w:val="decimal"/>
      <w:pStyle w:val="1927"/>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6">
    <w:nsid w:val="2C65569A"/>
    <w:multiLevelType w:val="multilevel"/>
    <w:tmpl w:val="2C65569A"/>
    <w:lvl w:ilvl="0" w:tentative="0">
      <w:start w:val="1"/>
      <w:numFmt w:val="decimal"/>
      <w:lvlText w:val="%1"/>
      <w:lvlJc w:val="left"/>
      <w:pPr>
        <w:tabs>
          <w:tab w:val="left" w:pos="432"/>
        </w:tabs>
        <w:ind w:left="432" w:hanging="432"/>
      </w:pPr>
      <w:rPr>
        <w:rFonts w:hint="eastAsia"/>
      </w:rPr>
    </w:lvl>
    <w:lvl w:ilvl="1" w:tentative="0">
      <w:start w:val="1"/>
      <w:numFmt w:val="decimal"/>
      <w:pStyle w:val="3090"/>
      <w:lvlText w:val="%1.%2"/>
      <w:lvlJc w:val="left"/>
      <w:pPr>
        <w:tabs>
          <w:tab w:val="left" w:pos="576"/>
        </w:tabs>
        <w:ind w:left="576" w:hanging="576"/>
      </w:pPr>
      <w:rPr>
        <w:rFonts w:hint="eastAsia"/>
      </w:rPr>
    </w:lvl>
    <w:lvl w:ilvl="2" w:tentative="0">
      <w:start w:val="1"/>
      <w:numFmt w:val="decimal"/>
      <w:lvlText w:val="%1.%2.%3"/>
      <w:lvlJc w:val="left"/>
      <w:pPr>
        <w:tabs>
          <w:tab w:val="left" w:pos="1230"/>
        </w:tabs>
        <w:ind w:left="11" w:hanging="11"/>
      </w:pPr>
      <w:rPr>
        <w:rFonts w:hint="eastAsia"/>
      </w:rPr>
    </w:lvl>
    <w:lvl w:ilvl="3" w:tentative="0">
      <w:start w:val="1"/>
      <w:numFmt w:val="decimal"/>
      <w:lvlText w:val="%1.%2.%3.%4"/>
      <w:lvlJc w:val="left"/>
      <w:pPr>
        <w:tabs>
          <w:tab w:val="left" w:pos="1297"/>
        </w:tabs>
        <w:ind w:left="1297"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27">
    <w:nsid w:val="39857381"/>
    <w:multiLevelType w:val="multilevel"/>
    <w:tmpl w:val="39857381"/>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8">
    <w:nsid w:val="3E195213"/>
    <w:multiLevelType w:val="singleLevel"/>
    <w:tmpl w:val="3E195213"/>
    <w:lvl w:ilvl="0" w:tentative="0">
      <w:start w:val="1"/>
      <w:numFmt w:val="chineseCounting"/>
      <w:suff w:val="nothing"/>
      <w:lvlText w:val="%1、"/>
      <w:lvlJc w:val="left"/>
      <w:rPr>
        <w:rFonts w:hint="eastAsia"/>
      </w:rPr>
    </w:lvl>
  </w:abstractNum>
  <w:abstractNum w:abstractNumId="29">
    <w:nsid w:val="3EF3254F"/>
    <w:multiLevelType w:val="multilevel"/>
    <w:tmpl w:val="3EF3254F"/>
    <w:lvl w:ilvl="0" w:tentative="0">
      <w:start w:val="0"/>
      <w:numFmt w:val="decimal"/>
      <w:lvlText w:val=""/>
      <w:lvlJc w:val="left"/>
    </w:lvl>
    <w:lvl w:ilvl="1" w:tentative="0">
      <w:start w:val="0"/>
      <w:numFmt w:val="decimal"/>
      <w:lvlText w:val=""/>
      <w:lvlJc w:val="left"/>
    </w:lvl>
    <w:lvl w:ilvl="2" w:tentative="0">
      <w:start w:val="0"/>
      <w:numFmt w:val="decimal"/>
      <w:pStyle w:val="1699"/>
      <w:lvlText w:val=""/>
      <w:lvlJc w:val="left"/>
    </w:lvl>
    <w:lvl w:ilvl="3" w:tentative="0">
      <w:start w:val="0"/>
      <w:numFmt w:val="decimal"/>
      <w:pStyle w:val="1700"/>
      <w:lvlText w:val=""/>
      <w:lvlJc w:val="left"/>
    </w:lvl>
    <w:lvl w:ilvl="4" w:tentative="0">
      <w:start w:val="0"/>
      <w:numFmt w:val="decimal"/>
      <w:lvlText w:val=""/>
      <w:lvlJc w:val="left"/>
    </w:lvl>
    <w:lvl w:ilvl="5" w:tentative="0">
      <w:start w:val="0"/>
      <w:numFmt w:val="decimal"/>
      <w:lvlText w:val=""/>
      <w:lvlJc w:val="left"/>
    </w:lvl>
    <w:lvl w:ilvl="6" w:tentative="0">
      <w:start w:val="0"/>
      <w:numFmt w:val="decimal"/>
      <w:pStyle w:val="1701"/>
      <w:lvlText w:val=""/>
      <w:lvlJc w:val="left"/>
    </w:lvl>
    <w:lvl w:ilvl="7" w:tentative="0">
      <w:start w:val="0"/>
      <w:numFmt w:val="decimal"/>
      <w:pStyle w:val="1702"/>
      <w:lvlText w:val=""/>
      <w:lvlJc w:val="left"/>
    </w:lvl>
    <w:lvl w:ilvl="8" w:tentative="0">
      <w:start w:val="0"/>
      <w:numFmt w:val="decimal"/>
      <w:lvlText w:val=""/>
      <w:lvlJc w:val="left"/>
    </w:lvl>
  </w:abstractNum>
  <w:abstractNum w:abstractNumId="30">
    <w:nsid w:val="408202FF"/>
    <w:multiLevelType w:val="multilevel"/>
    <w:tmpl w:val="408202FF"/>
    <w:lvl w:ilvl="0" w:tentative="0">
      <w:start w:val="0"/>
      <w:numFmt w:val="decimal"/>
      <w:pStyle w:val="1932"/>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1">
    <w:nsid w:val="44FF2C96"/>
    <w:multiLevelType w:val="multilevel"/>
    <w:tmpl w:val="44FF2C96"/>
    <w:lvl w:ilvl="0" w:tentative="0">
      <w:start w:val="0"/>
      <w:numFmt w:val="decimal"/>
      <w:pStyle w:val="1575"/>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2">
    <w:nsid w:val="496E4D7B"/>
    <w:multiLevelType w:val="multilevel"/>
    <w:tmpl w:val="496E4D7B"/>
    <w:lvl w:ilvl="0" w:tentative="0">
      <w:start w:val="0"/>
      <w:numFmt w:val="decimal"/>
      <w:pStyle w:val="1848"/>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3">
    <w:nsid w:val="4C6915EE"/>
    <w:multiLevelType w:val="multilevel"/>
    <w:tmpl w:val="4C6915EE"/>
    <w:lvl w:ilvl="0" w:tentative="0">
      <w:start w:val="0"/>
      <w:numFmt w:val="decimal"/>
      <w:pStyle w:val="1730"/>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4">
    <w:nsid w:val="4CC153CA"/>
    <w:multiLevelType w:val="multilevel"/>
    <w:tmpl w:val="4CC153CA"/>
    <w:lvl w:ilvl="0" w:tentative="0">
      <w:start w:val="0"/>
      <w:numFmt w:val="decimal"/>
      <w:pStyle w:val="1929"/>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5">
    <w:nsid w:val="4E141DC7"/>
    <w:multiLevelType w:val="multilevel"/>
    <w:tmpl w:val="4E141DC7"/>
    <w:lvl w:ilvl="0" w:tentative="0">
      <w:start w:val="1"/>
      <w:numFmt w:val="decimal"/>
      <w:lvlText w:val="(%1)"/>
      <w:lvlJc w:val="left"/>
      <w:pPr>
        <w:ind w:left="882" w:hanging="420"/>
      </w:pPr>
      <w:rPr>
        <w:rFonts w:hint="default" w:ascii="Times New Roman" w:hAnsi="Times New Roman" w:cs="Times New Roman"/>
      </w:rPr>
    </w:lvl>
    <w:lvl w:ilvl="1" w:tentative="0">
      <w:start w:val="1"/>
      <w:numFmt w:val="lowerLetter"/>
      <w:lvlText w:val="%2)"/>
      <w:lvlJc w:val="left"/>
      <w:pPr>
        <w:ind w:left="1302" w:hanging="420"/>
      </w:pPr>
    </w:lvl>
    <w:lvl w:ilvl="2" w:tentative="0">
      <w:start w:val="1"/>
      <w:numFmt w:val="lowerRoman"/>
      <w:lvlText w:val="%3."/>
      <w:lvlJc w:val="right"/>
      <w:pPr>
        <w:ind w:left="1722" w:hanging="420"/>
      </w:pPr>
    </w:lvl>
    <w:lvl w:ilvl="3" w:tentative="0">
      <w:start w:val="1"/>
      <w:numFmt w:val="decimal"/>
      <w:lvlText w:val="%4."/>
      <w:lvlJc w:val="left"/>
      <w:pPr>
        <w:ind w:left="2142" w:hanging="420"/>
      </w:pPr>
    </w:lvl>
    <w:lvl w:ilvl="4" w:tentative="0">
      <w:start w:val="1"/>
      <w:numFmt w:val="lowerLetter"/>
      <w:lvlText w:val="%5)"/>
      <w:lvlJc w:val="left"/>
      <w:pPr>
        <w:ind w:left="2562" w:hanging="420"/>
      </w:pPr>
    </w:lvl>
    <w:lvl w:ilvl="5" w:tentative="0">
      <w:start w:val="1"/>
      <w:numFmt w:val="lowerRoman"/>
      <w:lvlText w:val="%6."/>
      <w:lvlJc w:val="right"/>
      <w:pPr>
        <w:ind w:left="2982" w:hanging="420"/>
      </w:pPr>
    </w:lvl>
    <w:lvl w:ilvl="6" w:tentative="0">
      <w:start w:val="1"/>
      <w:numFmt w:val="decimal"/>
      <w:lvlText w:val="%7."/>
      <w:lvlJc w:val="left"/>
      <w:pPr>
        <w:ind w:left="3402" w:hanging="420"/>
      </w:pPr>
    </w:lvl>
    <w:lvl w:ilvl="7" w:tentative="0">
      <w:start w:val="1"/>
      <w:numFmt w:val="lowerLetter"/>
      <w:lvlText w:val="%8)"/>
      <w:lvlJc w:val="left"/>
      <w:pPr>
        <w:ind w:left="3822" w:hanging="420"/>
      </w:pPr>
    </w:lvl>
    <w:lvl w:ilvl="8" w:tentative="0">
      <w:start w:val="1"/>
      <w:numFmt w:val="lowerRoman"/>
      <w:lvlText w:val="%9."/>
      <w:lvlJc w:val="right"/>
      <w:pPr>
        <w:ind w:left="4242" w:hanging="420"/>
      </w:pPr>
    </w:lvl>
  </w:abstractNum>
  <w:abstractNum w:abstractNumId="36">
    <w:nsid w:val="4EF430A5"/>
    <w:multiLevelType w:val="singleLevel"/>
    <w:tmpl w:val="4EF430A5"/>
    <w:lvl w:ilvl="0" w:tentative="0">
      <w:start w:val="1"/>
      <w:numFmt w:val="decimal"/>
      <w:suff w:val="nothing"/>
      <w:lvlText w:val="（%1）"/>
      <w:lvlJc w:val="left"/>
    </w:lvl>
  </w:abstractNum>
  <w:abstractNum w:abstractNumId="37">
    <w:nsid w:val="50AD358A"/>
    <w:multiLevelType w:val="multilevel"/>
    <w:tmpl w:val="50AD358A"/>
    <w:lvl w:ilvl="0" w:tentative="0">
      <w:start w:val="1"/>
      <w:numFmt w:val="decimal"/>
      <w:suff w:val="nothing"/>
      <w:lvlText w:val="%1"/>
      <w:lvlJc w:val="left"/>
      <w:pPr>
        <w:ind w:left="0" w:firstLine="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8">
    <w:nsid w:val="51457843"/>
    <w:multiLevelType w:val="multilevel"/>
    <w:tmpl w:val="51457843"/>
    <w:lvl w:ilvl="0" w:tentative="0">
      <w:start w:val="1"/>
      <w:numFmt w:val="decimal"/>
      <w:pStyle w:val="3011"/>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9">
    <w:nsid w:val="51823916"/>
    <w:multiLevelType w:val="multilevel"/>
    <w:tmpl w:val="51823916"/>
    <w:lvl w:ilvl="0" w:tentative="0">
      <w:start w:val="0"/>
      <w:numFmt w:val="decimal"/>
      <w:lvlText w:val=""/>
      <w:lvlJc w:val="left"/>
    </w:lvl>
    <w:lvl w:ilvl="1" w:tentative="0">
      <w:start w:val="0"/>
      <w:numFmt w:val="decimal"/>
      <w:lvlText w:val=""/>
      <w:lvlJc w:val="left"/>
    </w:lvl>
    <w:lvl w:ilvl="2" w:tentative="0">
      <w:start w:val="0"/>
      <w:numFmt w:val="decimal"/>
      <w:pStyle w:val="1911"/>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0">
    <w:nsid w:val="52DE6840"/>
    <w:multiLevelType w:val="multilevel"/>
    <w:tmpl w:val="52DE6840"/>
    <w:lvl w:ilvl="0" w:tentative="0">
      <w:start w:val="1"/>
      <w:numFmt w:val="decimal"/>
      <w:lvlText w:val="%1"/>
      <w:lvlJc w:val="left"/>
      <w:pPr>
        <w:ind w:left="0" w:firstLine="0"/>
      </w:pPr>
      <w:rPr>
        <w:rFonts w:hint="eastAsia"/>
      </w:rPr>
    </w:lvl>
    <w:lvl w:ilvl="1" w:tentative="0">
      <w:start w:val="1"/>
      <w:numFmt w:val="decimal"/>
      <w:lvlText w:val="%1.%2"/>
      <w:lvlJc w:val="left"/>
      <w:pPr>
        <w:ind w:left="0" w:firstLine="0"/>
      </w:pPr>
      <w:rPr>
        <w:rFonts w:hint="eastAsia" w:ascii="Times New Roman" w:hAnsi="Times New Roman" w:cs="Times New Roman"/>
        <w:i w:val="0"/>
        <w:iCs w:val="0"/>
        <w:caps w:val="0"/>
        <w:smallCaps w:val="0"/>
        <w:strike w:val="0"/>
        <w:dstrike w:val="0"/>
        <w:vanish w:val="0"/>
        <w:spacing w:val="0"/>
        <w:position w:val="0"/>
        <w:u w:val="none"/>
        <w:vertAlign w:val="baseline"/>
      </w:rPr>
    </w:lvl>
    <w:lvl w:ilvl="2" w:tentative="0">
      <w:start w:val="1"/>
      <w:numFmt w:val="decimal"/>
      <w:suff w:val="space"/>
      <w:lvlText w:val="%1.%2.%3"/>
      <w:lvlJc w:val="left"/>
      <w:pPr>
        <w:ind w:left="0" w:firstLine="0"/>
      </w:pPr>
      <w:rPr>
        <w:rFonts w:hint="eastAsia" w:ascii="Times New Roman" w:hAnsi="Times New Roman" w:cs="Times New Roman"/>
        <w:i w:val="0"/>
        <w:iCs w:val="0"/>
        <w:caps w:val="0"/>
        <w:smallCaps w:val="0"/>
        <w:strike w:val="0"/>
        <w:dstrike w:val="0"/>
        <w:vanish w:val="0"/>
        <w:spacing w:val="0"/>
        <w:position w:val="0"/>
        <w:u w:val="none"/>
        <w:vertAlign w:val="baseline"/>
      </w:rPr>
    </w:lvl>
    <w:lvl w:ilvl="3" w:tentative="0">
      <w:start w:val="1"/>
      <w:numFmt w:val="decimal"/>
      <w:lvlText w:val="%1.%2.%3.%4"/>
      <w:lvlJc w:val="left"/>
      <w:pPr>
        <w:ind w:left="142" w:firstLine="0"/>
      </w:pPr>
      <w:rPr>
        <w:rFonts w:hint="eastAsia" w:ascii="Times New Roman" w:hAnsi="Times New Roman" w:cs="Times New Roman"/>
        <w:i w:val="0"/>
        <w:iCs w:val="0"/>
        <w:caps w:val="0"/>
        <w:smallCaps w:val="0"/>
        <w:strike w:val="0"/>
        <w:dstrike w:val="0"/>
        <w:outline w:val="0"/>
        <w:shadow w:val="0"/>
        <w:emboss w:val="0"/>
        <w:imprint w:val="0"/>
        <w:vanish w:val="0"/>
        <w:spacing w:val="0"/>
        <w:position w:val="0"/>
        <w:u w:val="none"/>
        <w:vertAlign w:val="baseline"/>
      </w:rPr>
    </w:lvl>
    <w:lvl w:ilvl="4" w:tentative="0">
      <w:start w:val="1"/>
      <w:numFmt w:val="decimal"/>
      <w:suff w:val="space"/>
      <w:lvlText w:val="%1.%2.%3.%4.%5"/>
      <w:lvlJc w:val="left"/>
      <w:pPr>
        <w:ind w:left="1008" w:hanging="1008"/>
      </w:pPr>
      <w:rPr>
        <w:rFonts w:hint="eastAsia"/>
        <w:sz w:val="24"/>
        <w:szCs w:val="24"/>
      </w:rPr>
    </w:lvl>
    <w:lvl w:ilvl="5" w:tentative="0">
      <w:start w:val="1"/>
      <w:numFmt w:val="decimal"/>
      <w:lvlRestart w:val="2"/>
      <w:lvlText w:val="表%1.%2-%6"/>
      <w:lvlJc w:val="left"/>
      <w:pPr>
        <w:ind w:left="0" w:firstLine="0"/>
      </w:pPr>
      <w:rPr>
        <w:rFonts w:hint="eastAsia" w:ascii="Times New Roman" w:hAnsi="Times New Roman" w:cs="Times New Roman"/>
        <w:b/>
        <w:i w:val="0"/>
        <w:iCs w:val="0"/>
        <w:caps w:val="0"/>
        <w:smallCaps w:val="0"/>
        <w:strike w:val="0"/>
        <w:dstrike w:val="0"/>
        <w:outline w:val="0"/>
        <w:shadow w:val="0"/>
        <w:emboss w:val="0"/>
        <w:imprint w:val="0"/>
        <w:vanish w:val="0"/>
        <w:spacing w:val="0"/>
        <w:position w:val="0"/>
        <w:u w:val="none"/>
        <w:vertAlign w:val="baseline"/>
        <w:lang w:val="en-US"/>
      </w:rPr>
    </w:lvl>
    <w:lvl w:ilvl="6" w:tentative="0">
      <w:start w:val="1"/>
      <w:numFmt w:val="decimal"/>
      <w:lvlRestart w:val="2"/>
      <w:lvlText w:val="图%1.%2-%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41">
    <w:nsid w:val="5AEA1AB3"/>
    <w:multiLevelType w:val="multilevel"/>
    <w:tmpl w:val="5AEA1AB3"/>
    <w:lvl w:ilvl="0" w:tentative="0">
      <w:start w:val="1"/>
      <w:numFmt w:val="decimal"/>
      <w:pStyle w:val="3"/>
      <w:isLgl/>
      <w:suff w:val="space"/>
      <w:lvlText w:val="%1"/>
      <w:lvlJc w:val="center"/>
      <w:pPr>
        <w:ind w:left="0" w:firstLine="0"/>
      </w:pPr>
      <w:rPr>
        <w:rFonts w:hint="eastAsia"/>
      </w:rPr>
    </w:lvl>
    <w:lvl w:ilvl="1" w:tentative="0">
      <w:start w:val="1"/>
      <w:numFmt w:val="decimal"/>
      <w:pStyle w:val="4"/>
      <w:isLgl/>
      <w:suff w:val="space"/>
      <w:lvlText w:val="%1.%2"/>
      <w:lvlJc w:val="left"/>
      <w:pPr>
        <w:ind w:left="142" w:firstLine="0"/>
      </w:pPr>
      <w:rPr>
        <w:rFonts w:hint="eastAsia"/>
      </w:rPr>
    </w:lvl>
    <w:lvl w:ilvl="2" w:tentative="0">
      <w:start w:val="1"/>
      <w:numFmt w:val="decimal"/>
      <w:pStyle w:val="5"/>
      <w:isLgl/>
      <w:suff w:val="space"/>
      <w:lvlText w:val="%1.%2.%3"/>
      <w:lvlJc w:val="left"/>
      <w:pPr>
        <w:ind w:left="0" w:firstLine="0"/>
      </w:pPr>
      <w:rPr>
        <w:rFonts w:hint="eastAsia"/>
      </w:rPr>
    </w:lvl>
    <w:lvl w:ilvl="3" w:tentative="0">
      <w:start w:val="1"/>
      <w:numFmt w:val="decimal"/>
      <w:pStyle w:val="6"/>
      <w:isLgl/>
      <w:suff w:val="space"/>
      <w:lvlText w:val="%1.%2.%3.%4"/>
      <w:lvlJc w:val="left"/>
      <w:pPr>
        <w:ind w:left="0" w:firstLine="0"/>
      </w:pPr>
      <w:rPr>
        <w:rFonts w:hint="eastAsia"/>
      </w:rPr>
    </w:lvl>
    <w:lvl w:ilvl="4" w:tentative="0">
      <w:start w:val="1"/>
      <w:numFmt w:val="decimal"/>
      <w:lvlRestart w:val="2"/>
      <w:pStyle w:val="7"/>
      <w:isLgl/>
      <w:suff w:val="space"/>
      <w:lvlText w:val="表%1.%2-%5 "/>
      <w:lvlJc w:val="center"/>
      <w:pPr>
        <w:ind w:left="0" w:firstLine="0"/>
      </w:pPr>
      <w:rPr>
        <w:rFonts w:hint="eastAsia"/>
      </w:rPr>
    </w:lvl>
    <w:lvl w:ilvl="5" w:tentative="0">
      <w:start w:val="1"/>
      <w:numFmt w:val="decimal"/>
      <w:lvlRestart w:val="2"/>
      <w:pStyle w:val="8"/>
      <w:isLgl/>
      <w:suff w:val="space"/>
      <w:lvlText w:val="图%1.%2-%6"/>
      <w:lvlJc w:val="center"/>
      <w:pPr>
        <w:ind w:left="0" w:firstLine="0"/>
      </w:pPr>
      <w:rPr>
        <w:rFonts w:hint="default" w:ascii="Times New Roman" w:hAnsi="Times New Roman" w:cs="Times New Roman"/>
        <w:b/>
        <w:i w:val="0"/>
        <w:iCs/>
        <w:color w:val="auto"/>
        <w:lang w:val="en-US"/>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2">
    <w:nsid w:val="5E750455"/>
    <w:multiLevelType w:val="multilevel"/>
    <w:tmpl w:val="5E750455"/>
    <w:lvl w:ilvl="0" w:tentative="0">
      <w:start w:val="1"/>
      <w:numFmt w:val="upperLetter"/>
      <w:lvlText w:val="%1、"/>
      <w:lvlJc w:val="left"/>
      <w:pPr>
        <w:tabs>
          <w:tab w:val="left" w:pos="780"/>
        </w:tabs>
        <w:ind w:left="780" w:hanging="360"/>
      </w:pPr>
      <w:rPr>
        <w:rFonts w:hint="default"/>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pStyle w:val="3129"/>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43">
    <w:nsid w:val="60265E19"/>
    <w:multiLevelType w:val="multilevel"/>
    <w:tmpl w:val="60265E19"/>
    <w:lvl w:ilvl="0" w:tentative="0">
      <w:start w:val="0"/>
      <w:numFmt w:val="decimal"/>
      <w:lvlText w:val=""/>
      <w:lvlJc w:val="left"/>
    </w:lvl>
    <w:lvl w:ilvl="1" w:tentative="0">
      <w:start w:val="0"/>
      <w:numFmt w:val="decimal"/>
      <w:lvlText w:val=""/>
      <w:lvlJc w:val="left"/>
    </w:lvl>
    <w:lvl w:ilvl="2" w:tentative="0">
      <w:start w:val="0"/>
      <w:numFmt w:val="decimal"/>
      <w:pStyle w:val="1690"/>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4">
    <w:nsid w:val="6155474D"/>
    <w:multiLevelType w:val="multilevel"/>
    <w:tmpl w:val="6155474D"/>
    <w:lvl w:ilvl="0" w:tentative="0">
      <w:start w:val="1"/>
      <w:numFmt w:val="decimal"/>
      <w:lvlText w:val="(%1)"/>
      <w:lvlJc w:val="left"/>
      <w:pPr>
        <w:ind w:left="882" w:hanging="420"/>
      </w:pPr>
      <w:rPr>
        <w:rFonts w:hint="default" w:ascii="Times New Roman" w:hAnsi="Times New Roman" w:cs="Times New Roman"/>
      </w:rPr>
    </w:lvl>
    <w:lvl w:ilvl="1" w:tentative="0">
      <w:start w:val="1"/>
      <w:numFmt w:val="lowerLetter"/>
      <w:lvlText w:val="%2)"/>
      <w:lvlJc w:val="left"/>
      <w:pPr>
        <w:ind w:left="1302" w:hanging="420"/>
      </w:pPr>
    </w:lvl>
    <w:lvl w:ilvl="2" w:tentative="0">
      <w:start w:val="1"/>
      <w:numFmt w:val="lowerRoman"/>
      <w:lvlText w:val="%3."/>
      <w:lvlJc w:val="right"/>
      <w:pPr>
        <w:ind w:left="1722" w:hanging="420"/>
      </w:pPr>
    </w:lvl>
    <w:lvl w:ilvl="3" w:tentative="0">
      <w:start w:val="1"/>
      <w:numFmt w:val="decimal"/>
      <w:lvlText w:val="%4."/>
      <w:lvlJc w:val="left"/>
      <w:pPr>
        <w:ind w:left="2142" w:hanging="420"/>
      </w:pPr>
    </w:lvl>
    <w:lvl w:ilvl="4" w:tentative="0">
      <w:start w:val="1"/>
      <w:numFmt w:val="lowerLetter"/>
      <w:lvlText w:val="%5)"/>
      <w:lvlJc w:val="left"/>
      <w:pPr>
        <w:ind w:left="2562" w:hanging="420"/>
      </w:pPr>
    </w:lvl>
    <w:lvl w:ilvl="5" w:tentative="0">
      <w:start w:val="1"/>
      <w:numFmt w:val="lowerRoman"/>
      <w:lvlText w:val="%6."/>
      <w:lvlJc w:val="right"/>
      <w:pPr>
        <w:ind w:left="2982" w:hanging="420"/>
      </w:pPr>
    </w:lvl>
    <w:lvl w:ilvl="6" w:tentative="0">
      <w:start w:val="1"/>
      <w:numFmt w:val="decimal"/>
      <w:lvlText w:val="%7."/>
      <w:lvlJc w:val="left"/>
      <w:pPr>
        <w:ind w:left="3402" w:hanging="420"/>
      </w:pPr>
    </w:lvl>
    <w:lvl w:ilvl="7" w:tentative="0">
      <w:start w:val="1"/>
      <w:numFmt w:val="lowerLetter"/>
      <w:lvlText w:val="%8)"/>
      <w:lvlJc w:val="left"/>
      <w:pPr>
        <w:ind w:left="3822" w:hanging="420"/>
      </w:pPr>
    </w:lvl>
    <w:lvl w:ilvl="8" w:tentative="0">
      <w:start w:val="1"/>
      <w:numFmt w:val="lowerRoman"/>
      <w:lvlText w:val="%9."/>
      <w:lvlJc w:val="right"/>
      <w:pPr>
        <w:ind w:left="4242" w:hanging="420"/>
      </w:pPr>
    </w:lvl>
  </w:abstractNum>
  <w:abstractNum w:abstractNumId="45">
    <w:nsid w:val="65705745"/>
    <w:multiLevelType w:val="multilevel"/>
    <w:tmpl w:val="65705745"/>
    <w:lvl w:ilvl="0" w:tentative="0">
      <w:start w:val="1"/>
      <w:numFmt w:val="decimal"/>
      <w:pStyle w:val="3433"/>
      <w:lvlText w:val="%1."/>
      <w:lvlJc w:val="left"/>
      <w:pPr>
        <w:ind w:left="425" w:hanging="425"/>
      </w:pPr>
    </w:lvl>
    <w:lvl w:ilvl="1" w:tentative="0">
      <w:start w:val="1"/>
      <w:numFmt w:val="decimal"/>
      <w:pStyle w:val="3432"/>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46">
    <w:nsid w:val="66260077"/>
    <w:multiLevelType w:val="multilevel"/>
    <w:tmpl w:val="66260077"/>
    <w:lvl w:ilvl="0" w:tentative="0">
      <w:start w:val="1"/>
      <w:numFmt w:val="decimal"/>
      <w:lvlText w:val="（%1）"/>
      <w:lvlJc w:val="left"/>
      <w:pPr>
        <w:tabs>
          <w:tab w:val="left" w:pos="2052"/>
        </w:tabs>
        <w:ind w:left="2052" w:hanging="720"/>
      </w:pPr>
      <w:rPr>
        <w:rFonts w:hint="default"/>
      </w:rPr>
    </w:lvl>
    <w:lvl w:ilvl="1" w:tentative="0">
      <w:start w:val="1"/>
      <w:numFmt w:val="lowerLetter"/>
      <w:lvlText w:val="%2)"/>
      <w:lvlJc w:val="left"/>
      <w:pPr>
        <w:tabs>
          <w:tab w:val="left" w:pos="2172"/>
        </w:tabs>
        <w:ind w:left="2172" w:hanging="420"/>
      </w:pPr>
    </w:lvl>
    <w:lvl w:ilvl="2" w:tentative="0">
      <w:start w:val="1"/>
      <w:numFmt w:val="lowerRoman"/>
      <w:pStyle w:val="822"/>
      <w:lvlText w:val="%3."/>
      <w:lvlJc w:val="right"/>
      <w:pPr>
        <w:tabs>
          <w:tab w:val="left" w:pos="2592"/>
        </w:tabs>
        <w:ind w:left="2592" w:hanging="420"/>
      </w:pPr>
    </w:lvl>
    <w:lvl w:ilvl="3" w:tentative="0">
      <w:start w:val="1"/>
      <w:numFmt w:val="decimal"/>
      <w:pStyle w:val="821"/>
      <w:lvlText w:val="%4."/>
      <w:lvlJc w:val="left"/>
      <w:pPr>
        <w:tabs>
          <w:tab w:val="left" w:pos="3012"/>
        </w:tabs>
        <w:ind w:left="3012" w:hanging="420"/>
      </w:pPr>
    </w:lvl>
    <w:lvl w:ilvl="4" w:tentative="0">
      <w:start w:val="1"/>
      <w:numFmt w:val="lowerLetter"/>
      <w:lvlText w:val="%5)"/>
      <w:lvlJc w:val="left"/>
      <w:pPr>
        <w:tabs>
          <w:tab w:val="left" w:pos="3432"/>
        </w:tabs>
        <w:ind w:left="3432" w:hanging="420"/>
      </w:pPr>
    </w:lvl>
    <w:lvl w:ilvl="5" w:tentative="0">
      <w:start w:val="1"/>
      <w:numFmt w:val="lowerRoman"/>
      <w:lvlText w:val="%6."/>
      <w:lvlJc w:val="right"/>
      <w:pPr>
        <w:tabs>
          <w:tab w:val="left" w:pos="3852"/>
        </w:tabs>
        <w:ind w:left="3852" w:hanging="420"/>
      </w:pPr>
    </w:lvl>
    <w:lvl w:ilvl="6" w:tentative="0">
      <w:start w:val="1"/>
      <w:numFmt w:val="decimal"/>
      <w:lvlText w:val="%7."/>
      <w:lvlJc w:val="left"/>
      <w:pPr>
        <w:tabs>
          <w:tab w:val="left" w:pos="4272"/>
        </w:tabs>
        <w:ind w:left="4272" w:hanging="420"/>
      </w:pPr>
    </w:lvl>
    <w:lvl w:ilvl="7" w:tentative="0">
      <w:start w:val="1"/>
      <w:numFmt w:val="lowerLetter"/>
      <w:lvlText w:val="%8)"/>
      <w:lvlJc w:val="left"/>
      <w:pPr>
        <w:tabs>
          <w:tab w:val="left" w:pos="4692"/>
        </w:tabs>
        <w:ind w:left="4692" w:hanging="420"/>
      </w:pPr>
    </w:lvl>
    <w:lvl w:ilvl="8" w:tentative="0">
      <w:start w:val="1"/>
      <w:numFmt w:val="lowerRoman"/>
      <w:lvlText w:val="%9."/>
      <w:lvlJc w:val="right"/>
      <w:pPr>
        <w:tabs>
          <w:tab w:val="left" w:pos="5112"/>
        </w:tabs>
        <w:ind w:left="5112" w:hanging="420"/>
      </w:pPr>
    </w:lvl>
  </w:abstractNum>
  <w:abstractNum w:abstractNumId="47">
    <w:nsid w:val="6B0A344D"/>
    <w:multiLevelType w:val="multilevel"/>
    <w:tmpl w:val="6B0A344D"/>
    <w:lvl w:ilvl="0" w:tentative="0">
      <w:start w:val="0"/>
      <w:numFmt w:val="decimal"/>
      <w:pStyle w:val="1211"/>
      <w:lvlText w:val=""/>
      <w:lvlJc w:val="left"/>
      <w:pPr>
        <w:ind w:left="0" w:firstLine="0"/>
      </w:pPr>
    </w:lvl>
    <w:lvl w:ilvl="1" w:tentative="0">
      <w:start w:val="0"/>
      <w:numFmt w:val="decimal"/>
      <w:pStyle w:val="1209"/>
      <w:lvlText w:val=""/>
      <w:lvlJc w:val="left"/>
      <w:pPr>
        <w:ind w:left="0" w:firstLine="0"/>
      </w:pPr>
    </w:lvl>
    <w:lvl w:ilvl="2" w:tentative="0">
      <w:start w:val="0"/>
      <w:numFmt w:val="decimal"/>
      <w:lvlText w:val=""/>
      <w:lvlJc w:val="left"/>
      <w:pPr>
        <w:ind w:left="0" w:firstLine="0"/>
      </w:pPr>
    </w:lvl>
    <w:lvl w:ilvl="3" w:tentative="0">
      <w:start w:val="0"/>
      <w:numFmt w:val="decimal"/>
      <w:pStyle w:val="1210"/>
      <w:lvlText w:val=""/>
      <w:lvlJc w:val="left"/>
      <w:pPr>
        <w:ind w:left="0" w:firstLine="0"/>
      </w:pPr>
    </w:lvl>
    <w:lvl w:ilvl="4" w:tentative="0">
      <w:start w:val="0"/>
      <w:numFmt w:val="decimal"/>
      <w:lvlText w:val=""/>
      <w:lvlJc w:val="left"/>
      <w:pPr>
        <w:ind w:left="0" w:firstLine="0"/>
      </w:pPr>
    </w:lvl>
    <w:lvl w:ilvl="5" w:tentative="0">
      <w:start w:val="0"/>
      <w:numFmt w:val="decimal"/>
      <w:lvlText w:val=""/>
      <w:lvlJc w:val="left"/>
      <w:pPr>
        <w:ind w:left="0" w:firstLine="0"/>
      </w:pPr>
    </w:lvl>
    <w:lvl w:ilvl="6" w:tentative="0">
      <w:start w:val="0"/>
      <w:numFmt w:val="decimal"/>
      <w:lvlText w:val=""/>
      <w:lvlJc w:val="left"/>
      <w:pPr>
        <w:ind w:left="0" w:firstLine="0"/>
      </w:pPr>
    </w:lvl>
    <w:lvl w:ilvl="7" w:tentative="0">
      <w:start w:val="0"/>
      <w:numFmt w:val="decimal"/>
      <w:lvlText w:val=""/>
      <w:lvlJc w:val="left"/>
      <w:pPr>
        <w:ind w:left="0" w:firstLine="0"/>
      </w:pPr>
    </w:lvl>
    <w:lvl w:ilvl="8" w:tentative="0">
      <w:start w:val="0"/>
      <w:numFmt w:val="decimal"/>
      <w:lvlText w:val=""/>
      <w:lvlJc w:val="left"/>
      <w:pPr>
        <w:ind w:left="0" w:firstLine="0"/>
      </w:pPr>
    </w:lvl>
  </w:abstractNum>
  <w:abstractNum w:abstractNumId="48">
    <w:nsid w:val="6CEA2025"/>
    <w:multiLevelType w:val="multilevel"/>
    <w:tmpl w:val="6CEA2025"/>
    <w:lvl w:ilvl="0" w:tentative="0">
      <w:start w:val="0"/>
      <w:numFmt w:val="decimal"/>
      <w:pStyle w:val="752"/>
      <w:lvlText w:val=""/>
      <w:lvlJc w:val="left"/>
    </w:lvl>
    <w:lvl w:ilvl="1" w:tentative="0">
      <w:start w:val="0"/>
      <w:numFmt w:val="decimal"/>
      <w:pStyle w:val="751"/>
      <w:lvlText w:val=""/>
      <w:lvlJc w:val="left"/>
    </w:lvl>
    <w:lvl w:ilvl="2" w:tentative="0">
      <w:start w:val="0"/>
      <w:numFmt w:val="decimal"/>
      <w:lvlText w:val=""/>
      <w:lvlJc w:val="left"/>
    </w:lvl>
    <w:lvl w:ilvl="3" w:tentative="0">
      <w:start w:val="0"/>
      <w:numFmt w:val="decimal"/>
      <w:pStyle w:val="753"/>
      <w:lvlText w:val=""/>
      <w:lvlJc w:val="left"/>
    </w:lvl>
    <w:lvl w:ilvl="4" w:tentative="0">
      <w:start w:val="0"/>
      <w:numFmt w:val="decimal"/>
      <w:pStyle w:val="755"/>
      <w:lvlText w:val=""/>
      <w:lvlJc w:val="left"/>
    </w:lvl>
    <w:lvl w:ilvl="5" w:tentative="0">
      <w:start w:val="0"/>
      <w:numFmt w:val="decimal"/>
      <w:pStyle w:val="777"/>
      <w:lvlText w:val=""/>
      <w:lvlJc w:val="left"/>
    </w:lvl>
    <w:lvl w:ilvl="6" w:tentative="0">
      <w:start w:val="0"/>
      <w:numFmt w:val="decimal"/>
      <w:pStyle w:val="824"/>
      <w:lvlText w:val=""/>
      <w:lvlJc w:val="left"/>
    </w:lvl>
    <w:lvl w:ilvl="7" w:tentative="0">
      <w:start w:val="0"/>
      <w:numFmt w:val="decimal"/>
      <w:lvlText w:val=""/>
      <w:lvlJc w:val="left"/>
    </w:lvl>
    <w:lvl w:ilvl="8" w:tentative="0">
      <w:start w:val="0"/>
      <w:numFmt w:val="decimal"/>
      <w:lvlText w:val=""/>
      <w:lvlJc w:val="left"/>
    </w:lvl>
  </w:abstractNum>
  <w:abstractNum w:abstractNumId="49">
    <w:nsid w:val="6DBF04F4"/>
    <w:multiLevelType w:val="multilevel"/>
    <w:tmpl w:val="6DBF04F4"/>
    <w:lvl w:ilvl="0" w:tentative="0">
      <w:start w:val="1"/>
      <w:numFmt w:val="none"/>
      <w:pStyle w:val="531"/>
      <w:lvlText w:val="%1注："/>
      <w:lvlJc w:val="left"/>
      <w:pPr>
        <w:tabs>
          <w:tab w:val="left" w:pos="1140"/>
        </w:tabs>
        <w:ind w:left="840" w:hanging="420"/>
      </w:pPr>
      <w:rPr>
        <w:rFonts w:hint="eastAsia" w:ascii="宋体" w:hAnsi="Times New Roman" w:eastAsia="宋体"/>
        <w:b w:val="0"/>
        <w:bCs w:val="0"/>
        <w:i w:val="0"/>
        <w:iCs w:val="0"/>
        <w:sz w:val="18"/>
        <w:szCs w:val="18"/>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0">
    <w:nsid w:val="6E5456EB"/>
    <w:multiLevelType w:val="multilevel"/>
    <w:tmpl w:val="6E5456EB"/>
    <w:lvl w:ilvl="0" w:tentative="0">
      <w:start w:val="1"/>
      <w:numFmt w:val="decimal"/>
      <w:lvlText w:val="(%1)"/>
      <w:lvlJc w:val="left"/>
      <w:pPr>
        <w:ind w:left="882" w:hanging="420"/>
      </w:pPr>
      <w:rPr>
        <w:rFonts w:hint="default" w:ascii="Times New Roman" w:hAnsi="Times New Roman" w:cs="Times New Roman"/>
      </w:rPr>
    </w:lvl>
    <w:lvl w:ilvl="1" w:tentative="0">
      <w:start w:val="1"/>
      <w:numFmt w:val="lowerLetter"/>
      <w:lvlText w:val="%2)"/>
      <w:lvlJc w:val="left"/>
      <w:pPr>
        <w:ind w:left="1302" w:hanging="420"/>
      </w:pPr>
    </w:lvl>
    <w:lvl w:ilvl="2" w:tentative="0">
      <w:start w:val="1"/>
      <w:numFmt w:val="lowerRoman"/>
      <w:lvlText w:val="%3."/>
      <w:lvlJc w:val="right"/>
      <w:pPr>
        <w:ind w:left="1722" w:hanging="420"/>
      </w:pPr>
    </w:lvl>
    <w:lvl w:ilvl="3" w:tentative="0">
      <w:start w:val="1"/>
      <w:numFmt w:val="decimal"/>
      <w:lvlText w:val="%4."/>
      <w:lvlJc w:val="left"/>
      <w:pPr>
        <w:ind w:left="2142" w:hanging="420"/>
      </w:pPr>
    </w:lvl>
    <w:lvl w:ilvl="4" w:tentative="0">
      <w:start w:val="1"/>
      <w:numFmt w:val="lowerLetter"/>
      <w:lvlText w:val="%5)"/>
      <w:lvlJc w:val="left"/>
      <w:pPr>
        <w:ind w:left="2562" w:hanging="420"/>
      </w:pPr>
    </w:lvl>
    <w:lvl w:ilvl="5" w:tentative="0">
      <w:start w:val="1"/>
      <w:numFmt w:val="lowerRoman"/>
      <w:lvlText w:val="%6."/>
      <w:lvlJc w:val="right"/>
      <w:pPr>
        <w:ind w:left="2982" w:hanging="420"/>
      </w:pPr>
    </w:lvl>
    <w:lvl w:ilvl="6" w:tentative="0">
      <w:start w:val="1"/>
      <w:numFmt w:val="decimal"/>
      <w:lvlText w:val="%7."/>
      <w:lvlJc w:val="left"/>
      <w:pPr>
        <w:ind w:left="3402" w:hanging="420"/>
      </w:pPr>
    </w:lvl>
    <w:lvl w:ilvl="7" w:tentative="0">
      <w:start w:val="1"/>
      <w:numFmt w:val="lowerLetter"/>
      <w:lvlText w:val="%8)"/>
      <w:lvlJc w:val="left"/>
      <w:pPr>
        <w:ind w:left="3822" w:hanging="420"/>
      </w:pPr>
    </w:lvl>
    <w:lvl w:ilvl="8" w:tentative="0">
      <w:start w:val="1"/>
      <w:numFmt w:val="lowerRoman"/>
      <w:lvlText w:val="%9."/>
      <w:lvlJc w:val="right"/>
      <w:pPr>
        <w:ind w:left="4242" w:hanging="420"/>
      </w:pPr>
    </w:lvl>
  </w:abstractNum>
  <w:abstractNum w:abstractNumId="51">
    <w:nsid w:val="74B81958"/>
    <w:multiLevelType w:val="multilevel"/>
    <w:tmpl w:val="74B81958"/>
    <w:lvl w:ilvl="0" w:tentative="0">
      <w:start w:val="0"/>
      <w:numFmt w:val="decimal"/>
      <w:pStyle w:val="1632"/>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2">
    <w:nsid w:val="7678187E"/>
    <w:multiLevelType w:val="multilevel"/>
    <w:tmpl w:val="7678187E"/>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53">
    <w:nsid w:val="78CF6643"/>
    <w:multiLevelType w:val="multilevel"/>
    <w:tmpl w:val="78CF6643"/>
    <w:lvl w:ilvl="0" w:tentative="0">
      <w:start w:val="1"/>
      <w:numFmt w:val="chineseCountingThousand"/>
      <w:pStyle w:val="2435"/>
      <w:lvlText w:val="第%1章"/>
      <w:lvlJc w:val="left"/>
      <w:pPr>
        <w:ind w:left="0" w:firstLine="0"/>
      </w:pPr>
    </w:lvl>
    <w:lvl w:ilvl="1" w:tentative="0">
      <w:start w:val="1"/>
      <w:numFmt w:val="decimal"/>
      <w:pStyle w:val="2440"/>
      <w:isLgl/>
      <w:lvlText w:val="%1.%2"/>
      <w:lvlJc w:val="left"/>
      <w:pPr>
        <w:ind w:left="0" w:firstLine="0"/>
      </w:pPr>
    </w:lvl>
    <w:lvl w:ilvl="2" w:tentative="0">
      <w:start w:val="1"/>
      <w:numFmt w:val="decimal"/>
      <w:pStyle w:val="2395"/>
      <w:isLgl/>
      <w:lvlText w:val="%1.%2.%3"/>
      <w:lvlJc w:val="left"/>
      <w:pPr>
        <w:ind w:left="0" w:firstLine="0"/>
      </w:pPr>
    </w:lvl>
    <w:lvl w:ilvl="3" w:tentative="0">
      <w:start w:val="1"/>
      <w:numFmt w:val="decimal"/>
      <w:pStyle w:val="2588"/>
      <w:isLgl/>
      <w:lvlText w:val="%1.%2.%3.%4"/>
      <w:lvlJc w:val="left"/>
      <w:pPr>
        <w:ind w:left="0" w:firstLine="0"/>
      </w:pPr>
    </w:lvl>
    <w:lvl w:ilvl="4" w:tentative="0">
      <w:start w:val="1"/>
      <w:numFmt w:val="decimal"/>
      <w:lvlRestart w:val="2"/>
      <w:pStyle w:val="2545"/>
      <w:isLgl/>
      <w:lvlText w:val="表%1.%2-%5"/>
      <w:lvlJc w:val="left"/>
      <w:pPr>
        <w:ind w:left="0" w:firstLine="0"/>
      </w:pPr>
    </w:lvl>
    <w:lvl w:ilvl="5" w:tentative="0">
      <w:start w:val="1"/>
      <w:numFmt w:val="none"/>
      <w:lvlText w:val=""/>
      <w:lvlJc w:val="left"/>
      <w:pPr>
        <w:ind w:left="0" w:firstLine="0"/>
      </w:pPr>
    </w:lvl>
    <w:lvl w:ilvl="6" w:tentative="0">
      <w:start w:val="1"/>
      <w:numFmt w:val="none"/>
      <w:suff w:val="nothing"/>
      <w:lvlText w:val=""/>
      <w:lvlJc w:val="left"/>
      <w:pPr>
        <w:ind w:left="0" w:firstLine="0"/>
      </w:pPr>
    </w:lvl>
    <w:lvl w:ilvl="7" w:tentative="0">
      <w:start w:val="1"/>
      <w:numFmt w:val="none"/>
      <w:suff w:val="nothing"/>
      <w:lvlText w:val=""/>
      <w:lvlJc w:val="left"/>
      <w:pPr>
        <w:ind w:left="0" w:firstLine="0"/>
      </w:pPr>
    </w:lvl>
    <w:lvl w:ilvl="8" w:tentative="0">
      <w:start w:val="1"/>
      <w:numFmt w:val="none"/>
      <w:suff w:val="nothing"/>
      <w:lvlText w:val=""/>
      <w:lvlJc w:val="left"/>
      <w:pPr>
        <w:ind w:left="0" w:firstLine="0"/>
      </w:pPr>
    </w:lvl>
  </w:abstractNum>
  <w:abstractNum w:abstractNumId="54">
    <w:nsid w:val="7AF7175F"/>
    <w:multiLevelType w:val="multilevel"/>
    <w:tmpl w:val="7AF7175F"/>
    <w:lvl w:ilvl="0" w:tentative="0">
      <w:start w:val="1"/>
      <w:numFmt w:val="decimal"/>
      <w:suff w:val="space"/>
      <w:lvlText w:val="附件%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55">
    <w:nsid w:val="7BF24CF0"/>
    <w:multiLevelType w:val="multilevel"/>
    <w:tmpl w:val="7BF24CF0"/>
    <w:lvl w:ilvl="0" w:tentative="0">
      <w:start w:val="0"/>
      <w:numFmt w:val="decimal"/>
      <w:lvlText w:val=""/>
      <w:lvlJc w:val="left"/>
    </w:lvl>
    <w:lvl w:ilvl="1" w:tentative="0">
      <w:start w:val="0"/>
      <w:numFmt w:val="decimal"/>
      <w:lvlText w:val=""/>
      <w:lvlJc w:val="left"/>
    </w:lvl>
    <w:lvl w:ilvl="2" w:tentative="0">
      <w:start w:val="0"/>
      <w:numFmt w:val="decimal"/>
      <w:pStyle w:val="940"/>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6">
    <w:nsid w:val="7CB03E37"/>
    <w:multiLevelType w:val="multilevel"/>
    <w:tmpl w:val="7CB03E37"/>
    <w:lvl w:ilvl="0" w:tentative="0">
      <w:start w:val="1"/>
      <w:numFmt w:val="decimal"/>
      <w:suff w:val="space"/>
      <w:lvlText w:val="(%1)"/>
      <w:lvlJc w:val="left"/>
      <w:pPr>
        <w:ind w:left="0" w:firstLine="0"/>
      </w:pPr>
      <w:rPr>
        <w:rFonts w:hint="default" w:ascii="Times New Roman" w:hAnsi="Times New Roman" w:cs="Times New Roman"/>
      </w:rPr>
    </w:lvl>
    <w:lvl w:ilvl="1" w:tentative="0">
      <w:start w:val="1"/>
      <w:numFmt w:val="lowerLetter"/>
      <w:lvlText w:val="%2)"/>
      <w:lvlJc w:val="left"/>
      <w:pPr>
        <w:ind w:left="1302" w:hanging="420"/>
      </w:pPr>
      <w:rPr>
        <w:rFonts w:hint="eastAsia"/>
      </w:rPr>
    </w:lvl>
    <w:lvl w:ilvl="2" w:tentative="0">
      <w:start w:val="1"/>
      <w:numFmt w:val="lowerRoman"/>
      <w:lvlText w:val="%3."/>
      <w:lvlJc w:val="right"/>
      <w:pPr>
        <w:ind w:left="1722" w:hanging="420"/>
      </w:pPr>
      <w:rPr>
        <w:rFonts w:hint="eastAsia"/>
      </w:rPr>
    </w:lvl>
    <w:lvl w:ilvl="3" w:tentative="0">
      <w:start w:val="1"/>
      <w:numFmt w:val="decimal"/>
      <w:lvlText w:val="%4."/>
      <w:lvlJc w:val="left"/>
      <w:pPr>
        <w:ind w:left="2142" w:hanging="420"/>
      </w:pPr>
      <w:rPr>
        <w:rFonts w:hint="eastAsia"/>
      </w:rPr>
    </w:lvl>
    <w:lvl w:ilvl="4" w:tentative="0">
      <w:start w:val="1"/>
      <w:numFmt w:val="lowerLetter"/>
      <w:lvlText w:val="%5)"/>
      <w:lvlJc w:val="left"/>
      <w:pPr>
        <w:ind w:left="2562" w:hanging="420"/>
      </w:pPr>
      <w:rPr>
        <w:rFonts w:hint="eastAsia"/>
      </w:rPr>
    </w:lvl>
    <w:lvl w:ilvl="5" w:tentative="0">
      <w:start w:val="1"/>
      <w:numFmt w:val="lowerRoman"/>
      <w:lvlText w:val="%6."/>
      <w:lvlJc w:val="right"/>
      <w:pPr>
        <w:ind w:left="2982" w:hanging="420"/>
      </w:pPr>
      <w:rPr>
        <w:rFonts w:hint="eastAsia"/>
      </w:rPr>
    </w:lvl>
    <w:lvl w:ilvl="6" w:tentative="0">
      <w:start w:val="1"/>
      <w:numFmt w:val="decimal"/>
      <w:lvlText w:val="%7."/>
      <w:lvlJc w:val="left"/>
      <w:pPr>
        <w:ind w:left="3402" w:hanging="420"/>
      </w:pPr>
      <w:rPr>
        <w:rFonts w:hint="eastAsia"/>
      </w:rPr>
    </w:lvl>
    <w:lvl w:ilvl="7" w:tentative="0">
      <w:start w:val="1"/>
      <w:numFmt w:val="lowerLetter"/>
      <w:lvlText w:val="%8)"/>
      <w:lvlJc w:val="left"/>
      <w:pPr>
        <w:ind w:left="3822" w:hanging="420"/>
      </w:pPr>
      <w:rPr>
        <w:rFonts w:hint="eastAsia"/>
      </w:rPr>
    </w:lvl>
    <w:lvl w:ilvl="8" w:tentative="0">
      <w:start w:val="1"/>
      <w:numFmt w:val="lowerRoman"/>
      <w:lvlText w:val="%9."/>
      <w:lvlJc w:val="right"/>
      <w:pPr>
        <w:ind w:left="4242" w:hanging="420"/>
      </w:pPr>
      <w:rPr>
        <w:rFonts w:hint="eastAsia"/>
      </w:rPr>
    </w:lvl>
  </w:abstractNum>
  <w:num w:numId="1">
    <w:abstractNumId w:val="41"/>
  </w:num>
  <w:num w:numId="2">
    <w:abstractNumId w:val="2"/>
  </w:num>
  <w:num w:numId="3">
    <w:abstractNumId w:val="4"/>
  </w:num>
  <w:num w:numId="4">
    <w:abstractNumId w:val="6"/>
  </w:num>
  <w:num w:numId="5">
    <w:abstractNumId w:val="5"/>
  </w:num>
  <w:num w:numId="6">
    <w:abstractNumId w:val="3"/>
  </w:num>
  <w:num w:numId="7">
    <w:abstractNumId w:val="1"/>
  </w:num>
  <w:num w:numId="8">
    <w:abstractNumId w:val="0"/>
  </w:num>
  <w:num w:numId="9">
    <w:abstractNumId w:val="49"/>
  </w:num>
  <w:num w:numId="10">
    <w:abstractNumId w:val="11"/>
  </w:num>
  <w:num w:numId="11">
    <w:abstractNumId w:val="15"/>
  </w:num>
  <w:num w:numId="12">
    <w:abstractNumId w:val="48"/>
  </w:num>
  <w:num w:numId="13">
    <w:abstractNumId w:val="46"/>
  </w:num>
  <w:num w:numId="14">
    <w:abstractNumId w:val="19"/>
  </w:num>
  <w:num w:numId="15">
    <w:abstractNumId w:val="55"/>
  </w:num>
  <w:num w:numId="16">
    <w:abstractNumId w:val="13"/>
  </w:num>
  <w:num w:numId="17">
    <w:abstractNumId w:val="47"/>
  </w:num>
  <w:num w:numId="18">
    <w:abstractNumId w:val="31"/>
  </w:num>
  <w:num w:numId="19">
    <w:abstractNumId w:val="22"/>
  </w:num>
  <w:num w:numId="20">
    <w:abstractNumId w:val="17"/>
  </w:num>
  <w:num w:numId="2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num>
  <w:num w:numId="28">
    <w:abstractNumId w:val="3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lvlOverride w:ilvl="0">
      <w:startOverride w:val="1"/>
    </w:lvlOverride>
  </w:num>
  <w:num w:numId="30">
    <w:abstractNumId w:val="34"/>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num>
  <w:num w:numId="33">
    <w:abstractNumId w:val="53"/>
  </w:num>
  <w:num w:numId="34">
    <w:abstractNumId w:val="7"/>
  </w:num>
  <w:num w:numId="35">
    <w:abstractNumId w:val="38"/>
  </w:num>
  <w:num w:numId="36">
    <w:abstractNumId w:val="16"/>
  </w:num>
  <w:num w:numId="37">
    <w:abstractNumId w:val="26"/>
  </w:num>
  <w:num w:numId="38">
    <w:abstractNumId w:val="42"/>
  </w:num>
  <w:num w:numId="39">
    <w:abstractNumId w:val="45"/>
  </w:num>
  <w:num w:numId="40">
    <w:abstractNumId w:val="37"/>
  </w:num>
  <w:num w:numId="41">
    <w:abstractNumId w:val="28"/>
  </w:num>
  <w:num w:numId="42">
    <w:abstractNumId w:val="12"/>
  </w:num>
  <w:num w:numId="43">
    <w:abstractNumId w:val="54"/>
  </w:num>
  <w:num w:numId="44">
    <w:abstractNumId w:val="8"/>
  </w:num>
  <w:num w:numId="45">
    <w:abstractNumId w:val="23"/>
  </w:num>
  <w:num w:numId="46">
    <w:abstractNumId w:val="56"/>
  </w:num>
  <w:num w:numId="47">
    <w:abstractNumId w:val="50"/>
  </w:num>
  <w:num w:numId="48">
    <w:abstractNumId w:val="44"/>
  </w:num>
  <w:num w:numId="49">
    <w:abstractNumId w:val="35"/>
  </w:num>
  <w:num w:numId="50">
    <w:abstractNumId w:val="9"/>
  </w:num>
  <w:num w:numId="51">
    <w:abstractNumId w:val="20"/>
  </w:num>
  <w:num w:numId="52">
    <w:abstractNumId w:val="40"/>
  </w:num>
  <w:num w:numId="53">
    <w:abstractNumId w:val="52"/>
  </w:num>
  <w:num w:numId="54">
    <w:abstractNumId w:val="10"/>
  </w:num>
  <w:num w:numId="55">
    <w:abstractNumId w:val="27"/>
  </w:num>
  <w:num w:numId="56">
    <w:abstractNumId w:val="14"/>
  </w:num>
  <w:num w:numId="5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5"/>
  <w:evenAndOddHeaders w:val="1"/>
  <w:drawingGridHorizontalSpacing w:val="247"/>
  <w:drawingGridVerticalSpacing w:val="233"/>
  <w:displayVertic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WQ5OTBlMjNkY2IyZThlNGYzNWI1ODc4NDQ0OTg1NDIifQ=="/>
  </w:docVars>
  <w:rsids>
    <w:rsidRoot w:val="003F4FE2"/>
    <w:rsid w:val="000002DE"/>
    <w:rsid w:val="0000059E"/>
    <w:rsid w:val="00000633"/>
    <w:rsid w:val="00000B15"/>
    <w:rsid w:val="00000B7F"/>
    <w:rsid w:val="0000100C"/>
    <w:rsid w:val="00001E5B"/>
    <w:rsid w:val="00002D98"/>
    <w:rsid w:val="00002F0E"/>
    <w:rsid w:val="0000304A"/>
    <w:rsid w:val="00003215"/>
    <w:rsid w:val="00003361"/>
    <w:rsid w:val="00003637"/>
    <w:rsid w:val="00004529"/>
    <w:rsid w:val="00004B8A"/>
    <w:rsid w:val="00004F08"/>
    <w:rsid w:val="00005198"/>
    <w:rsid w:val="000053C4"/>
    <w:rsid w:val="00005925"/>
    <w:rsid w:val="000059A4"/>
    <w:rsid w:val="00006614"/>
    <w:rsid w:val="00006A3D"/>
    <w:rsid w:val="00006A80"/>
    <w:rsid w:val="00006EB3"/>
    <w:rsid w:val="000072E0"/>
    <w:rsid w:val="00007563"/>
    <w:rsid w:val="000077C1"/>
    <w:rsid w:val="00007A4D"/>
    <w:rsid w:val="00007B90"/>
    <w:rsid w:val="000100E0"/>
    <w:rsid w:val="00010C3E"/>
    <w:rsid w:val="00010CF3"/>
    <w:rsid w:val="00011114"/>
    <w:rsid w:val="00011217"/>
    <w:rsid w:val="00011914"/>
    <w:rsid w:val="000124E8"/>
    <w:rsid w:val="00012972"/>
    <w:rsid w:val="00012CDF"/>
    <w:rsid w:val="00012D3D"/>
    <w:rsid w:val="000130CF"/>
    <w:rsid w:val="00013AAD"/>
    <w:rsid w:val="00013D4B"/>
    <w:rsid w:val="00013DBD"/>
    <w:rsid w:val="00014645"/>
    <w:rsid w:val="0001464E"/>
    <w:rsid w:val="0001472E"/>
    <w:rsid w:val="00014E59"/>
    <w:rsid w:val="00014EE7"/>
    <w:rsid w:val="00014FF2"/>
    <w:rsid w:val="000155E2"/>
    <w:rsid w:val="00015A96"/>
    <w:rsid w:val="000165DA"/>
    <w:rsid w:val="00016796"/>
    <w:rsid w:val="00016A03"/>
    <w:rsid w:val="000171C0"/>
    <w:rsid w:val="0001770E"/>
    <w:rsid w:val="000179FA"/>
    <w:rsid w:val="00017AB0"/>
    <w:rsid w:val="0002015D"/>
    <w:rsid w:val="00020442"/>
    <w:rsid w:val="00020759"/>
    <w:rsid w:val="00020DC4"/>
    <w:rsid w:val="00020DCD"/>
    <w:rsid w:val="0002185A"/>
    <w:rsid w:val="00022348"/>
    <w:rsid w:val="0002274B"/>
    <w:rsid w:val="00022A9F"/>
    <w:rsid w:val="0002349A"/>
    <w:rsid w:val="000234B8"/>
    <w:rsid w:val="0002394D"/>
    <w:rsid w:val="00023982"/>
    <w:rsid w:val="00023A31"/>
    <w:rsid w:val="00023B4A"/>
    <w:rsid w:val="00023C95"/>
    <w:rsid w:val="00024306"/>
    <w:rsid w:val="000243FD"/>
    <w:rsid w:val="00024485"/>
    <w:rsid w:val="00024A82"/>
    <w:rsid w:val="00024BB0"/>
    <w:rsid w:val="00024D44"/>
    <w:rsid w:val="00024F63"/>
    <w:rsid w:val="000250FF"/>
    <w:rsid w:val="000251E3"/>
    <w:rsid w:val="0002553D"/>
    <w:rsid w:val="0002582D"/>
    <w:rsid w:val="00025A7B"/>
    <w:rsid w:val="00025BE9"/>
    <w:rsid w:val="00025E2D"/>
    <w:rsid w:val="00025EE1"/>
    <w:rsid w:val="0002665A"/>
    <w:rsid w:val="000276E6"/>
    <w:rsid w:val="000277D7"/>
    <w:rsid w:val="00027FD9"/>
    <w:rsid w:val="00030BAD"/>
    <w:rsid w:val="00030E37"/>
    <w:rsid w:val="00030E73"/>
    <w:rsid w:val="00030ECA"/>
    <w:rsid w:val="00031602"/>
    <w:rsid w:val="00031836"/>
    <w:rsid w:val="00031B77"/>
    <w:rsid w:val="00032A61"/>
    <w:rsid w:val="00032DB9"/>
    <w:rsid w:val="00033198"/>
    <w:rsid w:val="00033238"/>
    <w:rsid w:val="000335E6"/>
    <w:rsid w:val="00033D40"/>
    <w:rsid w:val="0003442C"/>
    <w:rsid w:val="00034482"/>
    <w:rsid w:val="000346B4"/>
    <w:rsid w:val="00034BD5"/>
    <w:rsid w:val="0003514B"/>
    <w:rsid w:val="000357BC"/>
    <w:rsid w:val="00036543"/>
    <w:rsid w:val="00036A10"/>
    <w:rsid w:val="00036EB7"/>
    <w:rsid w:val="00036F2E"/>
    <w:rsid w:val="00037188"/>
    <w:rsid w:val="00037720"/>
    <w:rsid w:val="00037E26"/>
    <w:rsid w:val="00040453"/>
    <w:rsid w:val="00040AB2"/>
    <w:rsid w:val="000414F4"/>
    <w:rsid w:val="000415AD"/>
    <w:rsid w:val="000417A6"/>
    <w:rsid w:val="00042430"/>
    <w:rsid w:val="000426D6"/>
    <w:rsid w:val="00042A7D"/>
    <w:rsid w:val="00042CDE"/>
    <w:rsid w:val="00042FED"/>
    <w:rsid w:val="0004370A"/>
    <w:rsid w:val="00043ADA"/>
    <w:rsid w:val="00043BD4"/>
    <w:rsid w:val="00044A69"/>
    <w:rsid w:val="00044D8F"/>
    <w:rsid w:val="00045780"/>
    <w:rsid w:val="00045A90"/>
    <w:rsid w:val="00045B14"/>
    <w:rsid w:val="00045DFA"/>
    <w:rsid w:val="000460A5"/>
    <w:rsid w:val="0004673E"/>
    <w:rsid w:val="000470D7"/>
    <w:rsid w:val="0004726B"/>
    <w:rsid w:val="0004766B"/>
    <w:rsid w:val="00050A43"/>
    <w:rsid w:val="00050F0A"/>
    <w:rsid w:val="0005103B"/>
    <w:rsid w:val="000516F9"/>
    <w:rsid w:val="000517F2"/>
    <w:rsid w:val="00051A9C"/>
    <w:rsid w:val="00051B2F"/>
    <w:rsid w:val="00051BEE"/>
    <w:rsid w:val="00051C5A"/>
    <w:rsid w:val="0005248E"/>
    <w:rsid w:val="00052642"/>
    <w:rsid w:val="0005266F"/>
    <w:rsid w:val="00052A4C"/>
    <w:rsid w:val="00052CB3"/>
    <w:rsid w:val="0005359C"/>
    <w:rsid w:val="00053BA3"/>
    <w:rsid w:val="00053D41"/>
    <w:rsid w:val="00053E96"/>
    <w:rsid w:val="00053FB9"/>
    <w:rsid w:val="00054030"/>
    <w:rsid w:val="00054EED"/>
    <w:rsid w:val="000551C2"/>
    <w:rsid w:val="0005579E"/>
    <w:rsid w:val="00055CEC"/>
    <w:rsid w:val="00055DF6"/>
    <w:rsid w:val="0005610F"/>
    <w:rsid w:val="00056466"/>
    <w:rsid w:val="00056BC8"/>
    <w:rsid w:val="00057243"/>
    <w:rsid w:val="000572EB"/>
    <w:rsid w:val="000572F7"/>
    <w:rsid w:val="00057892"/>
    <w:rsid w:val="00057DD5"/>
    <w:rsid w:val="00060237"/>
    <w:rsid w:val="00060428"/>
    <w:rsid w:val="00060630"/>
    <w:rsid w:val="00060651"/>
    <w:rsid w:val="00060ABC"/>
    <w:rsid w:val="00060BEE"/>
    <w:rsid w:val="00060CB7"/>
    <w:rsid w:val="00061AF7"/>
    <w:rsid w:val="00061BA5"/>
    <w:rsid w:val="0006284F"/>
    <w:rsid w:val="00062976"/>
    <w:rsid w:val="00062AB7"/>
    <w:rsid w:val="00063534"/>
    <w:rsid w:val="00063689"/>
    <w:rsid w:val="00063711"/>
    <w:rsid w:val="0006391E"/>
    <w:rsid w:val="00063C32"/>
    <w:rsid w:val="00063C69"/>
    <w:rsid w:val="00063D73"/>
    <w:rsid w:val="00063DE1"/>
    <w:rsid w:val="0006408F"/>
    <w:rsid w:val="000642C6"/>
    <w:rsid w:val="00064D44"/>
    <w:rsid w:val="00064F06"/>
    <w:rsid w:val="00064F7D"/>
    <w:rsid w:val="000650D7"/>
    <w:rsid w:val="0006556B"/>
    <w:rsid w:val="000657F8"/>
    <w:rsid w:val="00065845"/>
    <w:rsid w:val="00065C5C"/>
    <w:rsid w:val="00065F9B"/>
    <w:rsid w:val="0006610A"/>
    <w:rsid w:val="00067087"/>
    <w:rsid w:val="000673CB"/>
    <w:rsid w:val="0006794B"/>
    <w:rsid w:val="00067CF9"/>
    <w:rsid w:val="000703AB"/>
    <w:rsid w:val="00070CD9"/>
    <w:rsid w:val="00070F4A"/>
    <w:rsid w:val="00071A7A"/>
    <w:rsid w:val="00071E19"/>
    <w:rsid w:val="00071FAE"/>
    <w:rsid w:val="00072A1E"/>
    <w:rsid w:val="00072AF1"/>
    <w:rsid w:val="00072DB8"/>
    <w:rsid w:val="000731C1"/>
    <w:rsid w:val="00073AD7"/>
    <w:rsid w:val="00073EBD"/>
    <w:rsid w:val="00073F12"/>
    <w:rsid w:val="00074280"/>
    <w:rsid w:val="000745FD"/>
    <w:rsid w:val="00074C3D"/>
    <w:rsid w:val="00075C98"/>
    <w:rsid w:val="00076CD0"/>
    <w:rsid w:val="00076D40"/>
    <w:rsid w:val="0007709D"/>
    <w:rsid w:val="000772BB"/>
    <w:rsid w:val="00077787"/>
    <w:rsid w:val="00077EED"/>
    <w:rsid w:val="00080428"/>
    <w:rsid w:val="00080D04"/>
    <w:rsid w:val="00080E8F"/>
    <w:rsid w:val="00080EAB"/>
    <w:rsid w:val="0008145A"/>
    <w:rsid w:val="000819CA"/>
    <w:rsid w:val="0008243A"/>
    <w:rsid w:val="0008377C"/>
    <w:rsid w:val="0008387A"/>
    <w:rsid w:val="000838BD"/>
    <w:rsid w:val="000839A6"/>
    <w:rsid w:val="00083A16"/>
    <w:rsid w:val="00083A43"/>
    <w:rsid w:val="00083D15"/>
    <w:rsid w:val="00083D93"/>
    <w:rsid w:val="000840D2"/>
    <w:rsid w:val="000841E1"/>
    <w:rsid w:val="000847DA"/>
    <w:rsid w:val="00084CC0"/>
    <w:rsid w:val="00084D86"/>
    <w:rsid w:val="00084F88"/>
    <w:rsid w:val="00085D83"/>
    <w:rsid w:val="00085E16"/>
    <w:rsid w:val="000865A0"/>
    <w:rsid w:val="0008692F"/>
    <w:rsid w:val="00086DC4"/>
    <w:rsid w:val="00086DDA"/>
    <w:rsid w:val="000879B8"/>
    <w:rsid w:val="00090839"/>
    <w:rsid w:val="00090A5B"/>
    <w:rsid w:val="00090BBF"/>
    <w:rsid w:val="000910D8"/>
    <w:rsid w:val="000912F8"/>
    <w:rsid w:val="00091D9C"/>
    <w:rsid w:val="00092535"/>
    <w:rsid w:val="000926E9"/>
    <w:rsid w:val="0009285C"/>
    <w:rsid w:val="00092B2C"/>
    <w:rsid w:val="0009358D"/>
    <w:rsid w:val="000936F8"/>
    <w:rsid w:val="000937E4"/>
    <w:rsid w:val="00093A38"/>
    <w:rsid w:val="00093BF4"/>
    <w:rsid w:val="00093D67"/>
    <w:rsid w:val="00094226"/>
    <w:rsid w:val="00094258"/>
    <w:rsid w:val="00094432"/>
    <w:rsid w:val="0009460A"/>
    <w:rsid w:val="000947F3"/>
    <w:rsid w:val="00094AD3"/>
    <w:rsid w:val="00094B11"/>
    <w:rsid w:val="00094F14"/>
    <w:rsid w:val="00094FB9"/>
    <w:rsid w:val="00095643"/>
    <w:rsid w:val="00095BE1"/>
    <w:rsid w:val="00095E82"/>
    <w:rsid w:val="00095F5B"/>
    <w:rsid w:val="000961BF"/>
    <w:rsid w:val="0009676D"/>
    <w:rsid w:val="00097AA9"/>
    <w:rsid w:val="00097BFB"/>
    <w:rsid w:val="000A0100"/>
    <w:rsid w:val="000A1361"/>
    <w:rsid w:val="000A1970"/>
    <w:rsid w:val="000A2240"/>
    <w:rsid w:val="000A2E97"/>
    <w:rsid w:val="000A3373"/>
    <w:rsid w:val="000A39DB"/>
    <w:rsid w:val="000A3BFB"/>
    <w:rsid w:val="000A3D64"/>
    <w:rsid w:val="000A3DC1"/>
    <w:rsid w:val="000A409B"/>
    <w:rsid w:val="000A415B"/>
    <w:rsid w:val="000A5462"/>
    <w:rsid w:val="000A5593"/>
    <w:rsid w:val="000A56AA"/>
    <w:rsid w:val="000A5B16"/>
    <w:rsid w:val="000A5DC4"/>
    <w:rsid w:val="000A5E76"/>
    <w:rsid w:val="000A67A7"/>
    <w:rsid w:val="000A6923"/>
    <w:rsid w:val="000A70FC"/>
    <w:rsid w:val="000A7CDA"/>
    <w:rsid w:val="000A7E0A"/>
    <w:rsid w:val="000B0CF3"/>
    <w:rsid w:val="000B0DE0"/>
    <w:rsid w:val="000B10F2"/>
    <w:rsid w:val="000B1593"/>
    <w:rsid w:val="000B1770"/>
    <w:rsid w:val="000B2B47"/>
    <w:rsid w:val="000B318D"/>
    <w:rsid w:val="000B366B"/>
    <w:rsid w:val="000B4B96"/>
    <w:rsid w:val="000B505C"/>
    <w:rsid w:val="000B5319"/>
    <w:rsid w:val="000B5465"/>
    <w:rsid w:val="000B547E"/>
    <w:rsid w:val="000B5697"/>
    <w:rsid w:val="000B5C88"/>
    <w:rsid w:val="000B5E68"/>
    <w:rsid w:val="000B5EB9"/>
    <w:rsid w:val="000B5F0C"/>
    <w:rsid w:val="000B6770"/>
    <w:rsid w:val="000B6948"/>
    <w:rsid w:val="000B71D9"/>
    <w:rsid w:val="000B71E2"/>
    <w:rsid w:val="000B733F"/>
    <w:rsid w:val="000C0009"/>
    <w:rsid w:val="000C08F8"/>
    <w:rsid w:val="000C08F9"/>
    <w:rsid w:val="000C0C11"/>
    <w:rsid w:val="000C0DA1"/>
    <w:rsid w:val="000C0DAB"/>
    <w:rsid w:val="000C0E11"/>
    <w:rsid w:val="000C0F17"/>
    <w:rsid w:val="000C0F86"/>
    <w:rsid w:val="000C1179"/>
    <w:rsid w:val="000C1904"/>
    <w:rsid w:val="000C19CE"/>
    <w:rsid w:val="000C3439"/>
    <w:rsid w:val="000C34F9"/>
    <w:rsid w:val="000C3E4C"/>
    <w:rsid w:val="000C4131"/>
    <w:rsid w:val="000C4C15"/>
    <w:rsid w:val="000C4C34"/>
    <w:rsid w:val="000C4D8A"/>
    <w:rsid w:val="000C5060"/>
    <w:rsid w:val="000C5624"/>
    <w:rsid w:val="000C5B77"/>
    <w:rsid w:val="000C6065"/>
    <w:rsid w:val="000C6949"/>
    <w:rsid w:val="000C69AD"/>
    <w:rsid w:val="000C6C86"/>
    <w:rsid w:val="000C6EC9"/>
    <w:rsid w:val="000C7321"/>
    <w:rsid w:val="000C7454"/>
    <w:rsid w:val="000C7787"/>
    <w:rsid w:val="000C7852"/>
    <w:rsid w:val="000C7FA5"/>
    <w:rsid w:val="000D00AB"/>
    <w:rsid w:val="000D0114"/>
    <w:rsid w:val="000D0BA3"/>
    <w:rsid w:val="000D0BF9"/>
    <w:rsid w:val="000D1545"/>
    <w:rsid w:val="000D19B0"/>
    <w:rsid w:val="000D1AB3"/>
    <w:rsid w:val="000D1B08"/>
    <w:rsid w:val="000D1C60"/>
    <w:rsid w:val="000D2044"/>
    <w:rsid w:val="000D205B"/>
    <w:rsid w:val="000D2116"/>
    <w:rsid w:val="000D2265"/>
    <w:rsid w:val="000D2BC7"/>
    <w:rsid w:val="000D2CFF"/>
    <w:rsid w:val="000D2D7F"/>
    <w:rsid w:val="000D2EB9"/>
    <w:rsid w:val="000D319D"/>
    <w:rsid w:val="000D37AD"/>
    <w:rsid w:val="000D3FF9"/>
    <w:rsid w:val="000D40D2"/>
    <w:rsid w:val="000D46B9"/>
    <w:rsid w:val="000D4919"/>
    <w:rsid w:val="000D529B"/>
    <w:rsid w:val="000D53FE"/>
    <w:rsid w:val="000D5749"/>
    <w:rsid w:val="000D5D4B"/>
    <w:rsid w:val="000D60F7"/>
    <w:rsid w:val="000D6204"/>
    <w:rsid w:val="000D662B"/>
    <w:rsid w:val="000D669A"/>
    <w:rsid w:val="000D6735"/>
    <w:rsid w:val="000D6ADB"/>
    <w:rsid w:val="000D6BE1"/>
    <w:rsid w:val="000D7049"/>
    <w:rsid w:val="000D749C"/>
    <w:rsid w:val="000D78F7"/>
    <w:rsid w:val="000D7B1C"/>
    <w:rsid w:val="000D7E91"/>
    <w:rsid w:val="000E0744"/>
    <w:rsid w:val="000E0CA2"/>
    <w:rsid w:val="000E0FC5"/>
    <w:rsid w:val="000E11F6"/>
    <w:rsid w:val="000E147E"/>
    <w:rsid w:val="000E1824"/>
    <w:rsid w:val="000E192D"/>
    <w:rsid w:val="000E1AC0"/>
    <w:rsid w:val="000E1CA7"/>
    <w:rsid w:val="000E24F3"/>
    <w:rsid w:val="000E2708"/>
    <w:rsid w:val="000E2B8E"/>
    <w:rsid w:val="000E2F4A"/>
    <w:rsid w:val="000E32B0"/>
    <w:rsid w:val="000E3469"/>
    <w:rsid w:val="000E34E2"/>
    <w:rsid w:val="000E3AA0"/>
    <w:rsid w:val="000E3B99"/>
    <w:rsid w:val="000E3E62"/>
    <w:rsid w:val="000E3F50"/>
    <w:rsid w:val="000E40F0"/>
    <w:rsid w:val="000E45E4"/>
    <w:rsid w:val="000E4647"/>
    <w:rsid w:val="000E497B"/>
    <w:rsid w:val="000E4D4A"/>
    <w:rsid w:val="000E4F43"/>
    <w:rsid w:val="000E5A44"/>
    <w:rsid w:val="000E6248"/>
    <w:rsid w:val="000E6977"/>
    <w:rsid w:val="000E78B1"/>
    <w:rsid w:val="000F0F4D"/>
    <w:rsid w:val="000F120C"/>
    <w:rsid w:val="000F13DA"/>
    <w:rsid w:val="000F192D"/>
    <w:rsid w:val="000F1CD5"/>
    <w:rsid w:val="000F21B5"/>
    <w:rsid w:val="000F2376"/>
    <w:rsid w:val="000F26E3"/>
    <w:rsid w:val="000F27BB"/>
    <w:rsid w:val="000F28F3"/>
    <w:rsid w:val="000F29E1"/>
    <w:rsid w:val="000F2F0D"/>
    <w:rsid w:val="000F3279"/>
    <w:rsid w:val="000F3613"/>
    <w:rsid w:val="000F42B8"/>
    <w:rsid w:val="000F42FF"/>
    <w:rsid w:val="000F441B"/>
    <w:rsid w:val="000F4502"/>
    <w:rsid w:val="000F46AD"/>
    <w:rsid w:val="000F46B8"/>
    <w:rsid w:val="000F4732"/>
    <w:rsid w:val="000F4D32"/>
    <w:rsid w:val="000F4D87"/>
    <w:rsid w:val="000F50C0"/>
    <w:rsid w:val="000F5280"/>
    <w:rsid w:val="000F5C12"/>
    <w:rsid w:val="000F5CBE"/>
    <w:rsid w:val="000F5D27"/>
    <w:rsid w:val="000F5E7A"/>
    <w:rsid w:val="000F6125"/>
    <w:rsid w:val="000F626C"/>
    <w:rsid w:val="000F64A9"/>
    <w:rsid w:val="000F69A4"/>
    <w:rsid w:val="000F6A17"/>
    <w:rsid w:val="000F6A45"/>
    <w:rsid w:val="000F6CD5"/>
    <w:rsid w:val="000F7350"/>
    <w:rsid w:val="000F7867"/>
    <w:rsid w:val="000F7880"/>
    <w:rsid w:val="000F79C9"/>
    <w:rsid w:val="000F7A7F"/>
    <w:rsid w:val="000F7F7D"/>
    <w:rsid w:val="001001E1"/>
    <w:rsid w:val="0010058D"/>
    <w:rsid w:val="00101153"/>
    <w:rsid w:val="001018E7"/>
    <w:rsid w:val="0010227D"/>
    <w:rsid w:val="00102352"/>
    <w:rsid w:val="00102741"/>
    <w:rsid w:val="001028F9"/>
    <w:rsid w:val="00102980"/>
    <w:rsid w:val="00102BC1"/>
    <w:rsid w:val="00102C18"/>
    <w:rsid w:val="00102F3A"/>
    <w:rsid w:val="00103135"/>
    <w:rsid w:val="00103291"/>
    <w:rsid w:val="00103774"/>
    <w:rsid w:val="00103BB3"/>
    <w:rsid w:val="001041F5"/>
    <w:rsid w:val="0010429A"/>
    <w:rsid w:val="001042C8"/>
    <w:rsid w:val="00104860"/>
    <w:rsid w:val="00104D99"/>
    <w:rsid w:val="00104E5D"/>
    <w:rsid w:val="00104E74"/>
    <w:rsid w:val="00104E7B"/>
    <w:rsid w:val="0010535D"/>
    <w:rsid w:val="0010564B"/>
    <w:rsid w:val="001058AF"/>
    <w:rsid w:val="001058CE"/>
    <w:rsid w:val="00105A2D"/>
    <w:rsid w:val="00105CBA"/>
    <w:rsid w:val="00105FAE"/>
    <w:rsid w:val="00105FAF"/>
    <w:rsid w:val="00106706"/>
    <w:rsid w:val="00106B37"/>
    <w:rsid w:val="00106B8F"/>
    <w:rsid w:val="0010771A"/>
    <w:rsid w:val="0010776D"/>
    <w:rsid w:val="00107817"/>
    <w:rsid w:val="00107882"/>
    <w:rsid w:val="0011032E"/>
    <w:rsid w:val="001108FD"/>
    <w:rsid w:val="00110ED5"/>
    <w:rsid w:val="00111412"/>
    <w:rsid w:val="0011176E"/>
    <w:rsid w:val="00111A53"/>
    <w:rsid w:val="00112612"/>
    <w:rsid w:val="0011278D"/>
    <w:rsid w:val="00112BFE"/>
    <w:rsid w:val="00113552"/>
    <w:rsid w:val="00113648"/>
    <w:rsid w:val="0011420C"/>
    <w:rsid w:val="0011449D"/>
    <w:rsid w:val="0011477D"/>
    <w:rsid w:val="001151E9"/>
    <w:rsid w:val="00115EA5"/>
    <w:rsid w:val="0011687F"/>
    <w:rsid w:val="00116BD8"/>
    <w:rsid w:val="00116D1D"/>
    <w:rsid w:val="00116DEF"/>
    <w:rsid w:val="00117049"/>
    <w:rsid w:val="0011748D"/>
    <w:rsid w:val="00117BBB"/>
    <w:rsid w:val="00117D19"/>
    <w:rsid w:val="00117D20"/>
    <w:rsid w:val="001201D7"/>
    <w:rsid w:val="00120459"/>
    <w:rsid w:val="0012087A"/>
    <w:rsid w:val="00120980"/>
    <w:rsid w:val="00120A95"/>
    <w:rsid w:val="00120B15"/>
    <w:rsid w:val="00120F56"/>
    <w:rsid w:val="001213F5"/>
    <w:rsid w:val="00121672"/>
    <w:rsid w:val="00121B1A"/>
    <w:rsid w:val="0012262D"/>
    <w:rsid w:val="00122B65"/>
    <w:rsid w:val="00122B9B"/>
    <w:rsid w:val="00122CAE"/>
    <w:rsid w:val="00122D9E"/>
    <w:rsid w:val="00122E53"/>
    <w:rsid w:val="001233E9"/>
    <w:rsid w:val="0012357D"/>
    <w:rsid w:val="001238C0"/>
    <w:rsid w:val="00123F1D"/>
    <w:rsid w:val="00124079"/>
    <w:rsid w:val="0012486C"/>
    <w:rsid w:val="00124AEC"/>
    <w:rsid w:val="00124CB9"/>
    <w:rsid w:val="00124E15"/>
    <w:rsid w:val="001251E7"/>
    <w:rsid w:val="0012538A"/>
    <w:rsid w:val="001253E1"/>
    <w:rsid w:val="0012545B"/>
    <w:rsid w:val="0012589D"/>
    <w:rsid w:val="00125D61"/>
    <w:rsid w:val="00126293"/>
    <w:rsid w:val="001266C1"/>
    <w:rsid w:val="00126E99"/>
    <w:rsid w:val="00126EB6"/>
    <w:rsid w:val="00127080"/>
    <w:rsid w:val="00127165"/>
    <w:rsid w:val="001275EF"/>
    <w:rsid w:val="00127791"/>
    <w:rsid w:val="00127899"/>
    <w:rsid w:val="001279AF"/>
    <w:rsid w:val="00127BAD"/>
    <w:rsid w:val="001302EB"/>
    <w:rsid w:val="00130486"/>
    <w:rsid w:val="0013066F"/>
    <w:rsid w:val="001307F3"/>
    <w:rsid w:val="0013163C"/>
    <w:rsid w:val="00131D92"/>
    <w:rsid w:val="00131EB4"/>
    <w:rsid w:val="00132AFC"/>
    <w:rsid w:val="00132C79"/>
    <w:rsid w:val="00132C80"/>
    <w:rsid w:val="0013346B"/>
    <w:rsid w:val="00133CA5"/>
    <w:rsid w:val="00134FDB"/>
    <w:rsid w:val="001353FA"/>
    <w:rsid w:val="001354B1"/>
    <w:rsid w:val="0013552F"/>
    <w:rsid w:val="00135AB3"/>
    <w:rsid w:val="00135D65"/>
    <w:rsid w:val="00135F5D"/>
    <w:rsid w:val="00136197"/>
    <w:rsid w:val="001362F1"/>
    <w:rsid w:val="0013723E"/>
    <w:rsid w:val="00137D56"/>
    <w:rsid w:val="00140023"/>
    <w:rsid w:val="001402D9"/>
    <w:rsid w:val="0014064D"/>
    <w:rsid w:val="00140BDC"/>
    <w:rsid w:val="00140D9A"/>
    <w:rsid w:val="001412EC"/>
    <w:rsid w:val="001417F7"/>
    <w:rsid w:val="001418FE"/>
    <w:rsid w:val="00141C3F"/>
    <w:rsid w:val="001423C4"/>
    <w:rsid w:val="001426E7"/>
    <w:rsid w:val="00142994"/>
    <w:rsid w:val="00142B56"/>
    <w:rsid w:val="00143187"/>
    <w:rsid w:val="00143349"/>
    <w:rsid w:val="001434B3"/>
    <w:rsid w:val="001437B3"/>
    <w:rsid w:val="00143AB8"/>
    <w:rsid w:val="001440C5"/>
    <w:rsid w:val="00144442"/>
    <w:rsid w:val="001445FA"/>
    <w:rsid w:val="0014480B"/>
    <w:rsid w:val="00144C69"/>
    <w:rsid w:val="00144FB8"/>
    <w:rsid w:val="00145387"/>
    <w:rsid w:val="001456BC"/>
    <w:rsid w:val="0014583F"/>
    <w:rsid w:val="00145A44"/>
    <w:rsid w:val="00145C14"/>
    <w:rsid w:val="00145E2B"/>
    <w:rsid w:val="00145E8A"/>
    <w:rsid w:val="00145F77"/>
    <w:rsid w:val="00145FD5"/>
    <w:rsid w:val="0014787C"/>
    <w:rsid w:val="00147A37"/>
    <w:rsid w:val="00147A48"/>
    <w:rsid w:val="00147E59"/>
    <w:rsid w:val="00147F6D"/>
    <w:rsid w:val="0015054B"/>
    <w:rsid w:val="001507D6"/>
    <w:rsid w:val="00150F0F"/>
    <w:rsid w:val="00151124"/>
    <w:rsid w:val="001515EE"/>
    <w:rsid w:val="00151B01"/>
    <w:rsid w:val="001522F4"/>
    <w:rsid w:val="001525E7"/>
    <w:rsid w:val="00152925"/>
    <w:rsid w:val="00152BEB"/>
    <w:rsid w:val="00152DE5"/>
    <w:rsid w:val="00152E24"/>
    <w:rsid w:val="001536A4"/>
    <w:rsid w:val="001536CE"/>
    <w:rsid w:val="0015437A"/>
    <w:rsid w:val="001544AC"/>
    <w:rsid w:val="001548C8"/>
    <w:rsid w:val="00154C0B"/>
    <w:rsid w:val="00154F95"/>
    <w:rsid w:val="00155274"/>
    <w:rsid w:val="00155574"/>
    <w:rsid w:val="001557B8"/>
    <w:rsid w:val="001557E3"/>
    <w:rsid w:val="001559D5"/>
    <w:rsid w:val="00155A84"/>
    <w:rsid w:val="00155C5D"/>
    <w:rsid w:val="00155D5A"/>
    <w:rsid w:val="0015621C"/>
    <w:rsid w:val="00156708"/>
    <w:rsid w:val="0015691B"/>
    <w:rsid w:val="00156C9F"/>
    <w:rsid w:val="00156F5A"/>
    <w:rsid w:val="00157289"/>
    <w:rsid w:val="00157F33"/>
    <w:rsid w:val="00160251"/>
    <w:rsid w:val="0016065D"/>
    <w:rsid w:val="0016086D"/>
    <w:rsid w:val="00160C45"/>
    <w:rsid w:val="00160D19"/>
    <w:rsid w:val="00161645"/>
    <w:rsid w:val="00161B4D"/>
    <w:rsid w:val="00161DD1"/>
    <w:rsid w:val="00161E6F"/>
    <w:rsid w:val="00161F00"/>
    <w:rsid w:val="00162026"/>
    <w:rsid w:val="00162169"/>
    <w:rsid w:val="00162897"/>
    <w:rsid w:val="0016293E"/>
    <w:rsid w:val="00162D47"/>
    <w:rsid w:val="001630C5"/>
    <w:rsid w:val="0016344B"/>
    <w:rsid w:val="0016362A"/>
    <w:rsid w:val="00163755"/>
    <w:rsid w:val="00163A8E"/>
    <w:rsid w:val="00163B18"/>
    <w:rsid w:val="001643F2"/>
    <w:rsid w:val="001646D1"/>
    <w:rsid w:val="001647DE"/>
    <w:rsid w:val="00164B95"/>
    <w:rsid w:val="001650DD"/>
    <w:rsid w:val="00165559"/>
    <w:rsid w:val="0016653B"/>
    <w:rsid w:val="00166582"/>
    <w:rsid w:val="001669A6"/>
    <w:rsid w:val="00166B96"/>
    <w:rsid w:val="00166C10"/>
    <w:rsid w:val="00166EC2"/>
    <w:rsid w:val="00167443"/>
    <w:rsid w:val="001674CE"/>
    <w:rsid w:val="00167B14"/>
    <w:rsid w:val="001701DF"/>
    <w:rsid w:val="00170A47"/>
    <w:rsid w:val="0017138E"/>
    <w:rsid w:val="00171412"/>
    <w:rsid w:val="001715D5"/>
    <w:rsid w:val="00171868"/>
    <w:rsid w:val="00171DFE"/>
    <w:rsid w:val="001724EF"/>
    <w:rsid w:val="00172580"/>
    <w:rsid w:val="00173702"/>
    <w:rsid w:val="00173FD9"/>
    <w:rsid w:val="001741AC"/>
    <w:rsid w:val="001743DF"/>
    <w:rsid w:val="00174BB1"/>
    <w:rsid w:val="00174E0A"/>
    <w:rsid w:val="0017545A"/>
    <w:rsid w:val="00175637"/>
    <w:rsid w:val="0017599B"/>
    <w:rsid w:val="00175B19"/>
    <w:rsid w:val="00175C23"/>
    <w:rsid w:val="00175F48"/>
    <w:rsid w:val="00176117"/>
    <w:rsid w:val="0017669B"/>
    <w:rsid w:val="00176793"/>
    <w:rsid w:val="001778ED"/>
    <w:rsid w:val="00177A9A"/>
    <w:rsid w:val="00177F0A"/>
    <w:rsid w:val="00177F98"/>
    <w:rsid w:val="0018046B"/>
    <w:rsid w:val="001809E8"/>
    <w:rsid w:val="00180AFE"/>
    <w:rsid w:val="00180C51"/>
    <w:rsid w:val="00181233"/>
    <w:rsid w:val="0018142D"/>
    <w:rsid w:val="001814C2"/>
    <w:rsid w:val="00181581"/>
    <w:rsid w:val="0018184A"/>
    <w:rsid w:val="00181C9E"/>
    <w:rsid w:val="001821E8"/>
    <w:rsid w:val="00182378"/>
    <w:rsid w:val="001823DB"/>
    <w:rsid w:val="00182411"/>
    <w:rsid w:val="00182463"/>
    <w:rsid w:val="0018248F"/>
    <w:rsid w:val="00182CA5"/>
    <w:rsid w:val="00182D42"/>
    <w:rsid w:val="00183059"/>
    <w:rsid w:val="0018364D"/>
    <w:rsid w:val="00183712"/>
    <w:rsid w:val="00183807"/>
    <w:rsid w:val="00183FB2"/>
    <w:rsid w:val="0018411A"/>
    <w:rsid w:val="001841DA"/>
    <w:rsid w:val="001843EA"/>
    <w:rsid w:val="001845CF"/>
    <w:rsid w:val="0018474D"/>
    <w:rsid w:val="00184EE4"/>
    <w:rsid w:val="0018528A"/>
    <w:rsid w:val="00185ADF"/>
    <w:rsid w:val="00185FEF"/>
    <w:rsid w:val="00186312"/>
    <w:rsid w:val="0018657A"/>
    <w:rsid w:val="001867B8"/>
    <w:rsid w:val="00186F4E"/>
    <w:rsid w:val="00186FE8"/>
    <w:rsid w:val="00187174"/>
    <w:rsid w:val="00187661"/>
    <w:rsid w:val="001876A3"/>
    <w:rsid w:val="0018784E"/>
    <w:rsid w:val="00187B27"/>
    <w:rsid w:val="00187D7D"/>
    <w:rsid w:val="00190295"/>
    <w:rsid w:val="001903B1"/>
    <w:rsid w:val="001903FD"/>
    <w:rsid w:val="001907BC"/>
    <w:rsid w:val="00190F94"/>
    <w:rsid w:val="00191117"/>
    <w:rsid w:val="00191329"/>
    <w:rsid w:val="001919B7"/>
    <w:rsid w:val="00191EED"/>
    <w:rsid w:val="001920E6"/>
    <w:rsid w:val="001923E5"/>
    <w:rsid w:val="001924AC"/>
    <w:rsid w:val="0019277B"/>
    <w:rsid w:val="00192B99"/>
    <w:rsid w:val="00192ED5"/>
    <w:rsid w:val="0019314A"/>
    <w:rsid w:val="001935A0"/>
    <w:rsid w:val="0019363C"/>
    <w:rsid w:val="00193BDE"/>
    <w:rsid w:val="001940AC"/>
    <w:rsid w:val="00194518"/>
    <w:rsid w:val="0019476F"/>
    <w:rsid w:val="0019514D"/>
    <w:rsid w:val="0019581A"/>
    <w:rsid w:val="00195B72"/>
    <w:rsid w:val="00195E50"/>
    <w:rsid w:val="00196073"/>
    <w:rsid w:val="00196290"/>
    <w:rsid w:val="0019690D"/>
    <w:rsid w:val="001973A4"/>
    <w:rsid w:val="00197607"/>
    <w:rsid w:val="00197761"/>
    <w:rsid w:val="00197818"/>
    <w:rsid w:val="001A00C2"/>
    <w:rsid w:val="001A02DF"/>
    <w:rsid w:val="001A04C1"/>
    <w:rsid w:val="001A0814"/>
    <w:rsid w:val="001A0DF8"/>
    <w:rsid w:val="001A0FCD"/>
    <w:rsid w:val="001A1009"/>
    <w:rsid w:val="001A1702"/>
    <w:rsid w:val="001A1878"/>
    <w:rsid w:val="001A1FD8"/>
    <w:rsid w:val="001A269B"/>
    <w:rsid w:val="001A29C0"/>
    <w:rsid w:val="001A2B82"/>
    <w:rsid w:val="001A2CD1"/>
    <w:rsid w:val="001A2D3F"/>
    <w:rsid w:val="001A3056"/>
    <w:rsid w:val="001A3249"/>
    <w:rsid w:val="001A3273"/>
    <w:rsid w:val="001A3483"/>
    <w:rsid w:val="001A3527"/>
    <w:rsid w:val="001A3BBE"/>
    <w:rsid w:val="001A3C37"/>
    <w:rsid w:val="001A3CE4"/>
    <w:rsid w:val="001A402C"/>
    <w:rsid w:val="001A4179"/>
    <w:rsid w:val="001A520C"/>
    <w:rsid w:val="001A527C"/>
    <w:rsid w:val="001A58A1"/>
    <w:rsid w:val="001A5B51"/>
    <w:rsid w:val="001A5C36"/>
    <w:rsid w:val="001A62D8"/>
    <w:rsid w:val="001A6364"/>
    <w:rsid w:val="001A6D1B"/>
    <w:rsid w:val="001A6E8C"/>
    <w:rsid w:val="001A72D9"/>
    <w:rsid w:val="001A7872"/>
    <w:rsid w:val="001A788E"/>
    <w:rsid w:val="001A7A73"/>
    <w:rsid w:val="001B0253"/>
    <w:rsid w:val="001B06CE"/>
    <w:rsid w:val="001B09DA"/>
    <w:rsid w:val="001B0A97"/>
    <w:rsid w:val="001B0B3E"/>
    <w:rsid w:val="001B0BF0"/>
    <w:rsid w:val="001B0DF2"/>
    <w:rsid w:val="001B13AD"/>
    <w:rsid w:val="001B1762"/>
    <w:rsid w:val="001B1BDE"/>
    <w:rsid w:val="001B1BEF"/>
    <w:rsid w:val="001B1C0C"/>
    <w:rsid w:val="001B1E24"/>
    <w:rsid w:val="001B278D"/>
    <w:rsid w:val="001B3565"/>
    <w:rsid w:val="001B387D"/>
    <w:rsid w:val="001B5058"/>
    <w:rsid w:val="001B50C4"/>
    <w:rsid w:val="001B5B34"/>
    <w:rsid w:val="001B5CDA"/>
    <w:rsid w:val="001B5DFA"/>
    <w:rsid w:val="001B6319"/>
    <w:rsid w:val="001B64D8"/>
    <w:rsid w:val="001B67A0"/>
    <w:rsid w:val="001B6810"/>
    <w:rsid w:val="001B6F31"/>
    <w:rsid w:val="001B7464"/>
    <w:rsid w:val="001B7BE5"/>
    <w:rsid w:val="001B7DA3"/>
    <w:rsid w:val="001C008F"/>
    <w:rsid w:val="001C01C0"/>
    <w:rsid w:val="001C03BB"/>
    <w:rsid w:val="001C09FD"/>
    <w:rsid w:val="001C0EBC"/>
    <w:rsid w:val="001C1496"/>
    <w:rsid w:val="001C182F"/>
    <w:rsid w:val="001C1FD3"/>
    <w:rsid w:val="001C209D"/>
    <w:rsid w:val="001C35F7"/>
    <w:rsid w:val="001C3E0D"/>
    <w:rsid w:val="001C4099"/>
    <w:rsid w:val="001C46E1"/>
    <w:rsid w:val="001C4853"/>
    <w:rsid w:val="001C55B9"/>
    <w:rsid w:val="001C574B"/>
    <w:rsid w:val="001C577D"/>
    <w:rsid w:val="001C6298"/>
    <w:rsid w:val="001C6757"/>
    <w:rsid w:val="001C697F"/>
    <w:rsid w:val="001C6B06"/>
    <w:rsid w:val="001C705A"/>
    <w:rsid w:val="001D040D"/>
    <w:rsid w:val="001D04D1"/>
    <w:rsid w:val="001D0532"/>
    <w:rsid w:val="001D0A89"/>
    <w:rsid w:val="001D105E"/>
    <w:rsid w:val="001D140D"/>
    <w:rsid w:val="001D1466"/>
    <w:rsid w:val="001D1750"/>
    <w:rsid w:val="001D1B9E"/>
    <w:rsid w:val="001D1D60"/>
    <w:rsid w:val="001D20A8"/>
    <w:rsid w:val="001D2BB4"/>
    <w:rsid w:val="001D2D54"/>
    <w:rsid w:val="001D2F80"/>
    <w:rsid w:val="001D3DBF"/>
    <w:rsid w:val="001D4156"/>
    <w:rsid w:val="001D4257"/>
    <w:rsid w:val="001D4468"/>
    <w:rsid w:val="001D482C"/>
    <w:rsid w:val="001D49C9"/>
    <w:rsid w:val="001D4D24"/>
    <w:rsid w:val="001D55CB"/>
    <w:rsid w:val="001D5847"/>
    <w:rsid w:val="001D5F48"/>
    <w:rsid w:val="001D64A0"/>
    <w:rsid w:val="001D68A1"/>
    <w:rsid w:val="001D6C95"/>
    <w:rsid w:val="001D6D91"/>
    <w:rsid w:val="001D7645"/>
    <w:rsid w:val="001D79E7"/>
    <w:rsid w:val="001E038A"/>
    <w:rsid w:val="001E0771"/>
    <w:rsid w:val="001E0C2E"/>
    <w:rsid w:val="001E0E58"/>
    <w:rsid w:val="001E0F67"/>
    <w:rsid w:val="001E1092"/>
    <w:rsid w:val="001E1220"/>
    <w:rsid w:val="001E1301"/>
    <w:rsid w:val="001E1A18"/>
    <w:rsid w:val="001E1AF6"/>
    <w:rsid w:val="001E1B11"/>
    <w:rsid w:val="001E1BDB"/>
    <w:rsid w:val="001E1E06"/>
    <w:rsid w:val="001E280A"/>
    <w:rsid w:val="001E29F9"/>
    <w:rsid w:val="001E2DD6"/>
    <w:rsid w:val="001E2F3E"/>
    <w:rsid w:val="001E3079"/>
    <w:rsid w:val="001E389B"/>
    <w:rsid w:val="001E3927"/>
    <w:rsid w:val="001E3D0D"/>
    <w:rsid w:val="001E3DF6"/>
    <w:rsid w:val="001E44B1"/>
    <w:rsid w:val="001E4B10"/>
    <w:rsid w:val="001E4E1E"/>
    <w:rsid w:val="001E4F1D"/>
    <w:rsid w:val="001E5222"/>
    <w:rsid w:val="001E5479"/>
    <w:rsid w:val="001E5645"/>
    <w:rsid w:val="001E6719"/>
    <w:rsid w:val="001E6928"/>
    <w:rsid w:val="001E6EDE"/>
    <w:rsid w:val="001E7163"/>
    <w:rsid w:val="001E74D3"/>
    <w:rsid w:val="001E7828"/>
    <w:rsid w:val="001E78BB"/>
    <w:rsid w:val="001E7BD7"/>
    <w:rsid w:val="001E7BDD"/>
    <w:rsid w:val="001E7F88"/>
    <w:rsid w:val="001F0408"/>
    <w:rsid w:val="001F070B"/>
    <w:rsid w:val="001F0B48"/>
    <w:rsid w:val="001F0FA4"/>
    <w:rsid w:val="001F0FBF"/>
    <w:rsid w:val="001F17DB"/>
    <w:rsid w:val="001F1BF7"/>
    <w:rsid w:val="001F1C41"/>
    <w:rsid w:val="001F1E4E"/>
    <w:rsid w:val="001F1F94"/>
    <w:rsid w:val="001F2C87"/>
    <w:rsid w:val="001F3A6B"/>
    <w:rsid w:val="001F3FFE"/>
    <w:rsid w:val="001F40F0"/>
    <w:rsid w:val="001F414A"/>
    <w:rsid w:val="001F4384"/>
    <w:rsid w:val="001F4C7D"/>
    <w:rsid w:val="001F4E0A"/>
    <w:rsid w:val="001F4F1F"/>
    <w:rsid w:val="001F4FD0"/>
    <w:rsid w:val="001F53F4"/>
    <w:rsid w:val="001F5B68"/>
    <w:rsid w:val="001F5BC2"/>
    <w:rsid w:val="001F5C01"/>
    <w:rsid w:val="001F5D34"/>
    <w:rsid w:val="001F6144"/>
    <w:rsid w:val="001F64A3"/>
    <w:rsid w:val="001F67A7"/>
    <w:rsid w:val="001F7162"/>
    <w:rsid w:val="001F769F"/>
    <w:rsid w:val="001F7DFC"/>
    <w:rsid w:val="00200005"/>
    <w:rsid w:val="002000DD"/>
    <w:rsid w:val="00200528"/>
    <w:rsid w:val="00200922"/>
    <w:rsid w:val="00200AB3"/>
    <w:rsid w:val="00201006"/>
    <w:rsid w:val="00201297"/>
    <w:rsid w:val="00201800"/>
    <w:rsid w:val="00201903"/>
    <w:rsid w:val="00201D0E"/>
    <w:rsid w:val="00201D81"/>
    <w:rsid w:val="00202120"/>
    <w:rsid w:val="002029E9"/>
    <w:rsid w:val="00202D27"/>
    <w:rsid w:val="002036FB"/>
    <w:rsid w:val="0020373F"/>
    <w:rsid w:val="00203C9C"/>
    <w:rsid w:val="00203D5B"/>
    <w:rsid w:val="00203EFA"/>
    <w:rsid w:val="00204520"/>
    <w:rsid w:val="00204596"/>
    <w:rsid w:val="002049E4"/>
    <w:rsid w:val="00204A00"/>
    <w:rsid w:val="00204C01"/>
    <w:rsid w:val="00204E4C"/>
    <w:rsid w:val="0020516A"/>
    <w:rsid w:val="002051DD"/>
    <w:rsid w:val="002055BC"/>
    <w:rsid w:val="00205710"/>
    <w:rsid w:val="002058D9"/>
    <w:rsid w:val="002060B9"/>
    <w:rsid w:val="002063A3"/>
    <w:rsid w:val="0020643B"/>
    <w:rsid w:val="00206607"/>
    <w:rsid w:val="00206A23"/>
    <w:rsid w:val="00206D03"/>
    <w:rsid w:val="00206F61"/>
    <w:rsid w:val="00207203"/>
    <w:rsid w:val="00207300"/>
    <w:rsid w:val="00207480"/>
    <w:rsid w:val="002075FC"/>
    <w:rsid w:val="0020773C"/>
    <w:rsid w:val="00207836"/>
    <w:rsid w:val="00210704"/>
    <w:rsid w:val="00210ABF"/>
    <w:rsid w:val="00210C42"/>
    <w:rsid w:val="00210C78"/>
    <w:rsid w:val="00210EDA"/>
    <w:rsid w:val="00211472"/>
    <w:rsid w:val="002115B6"/>
    <w:rsid w:val="00211D2A"/>
    <w:rsid w:val="0021225A"/>
    <w:rsid w:val="0021278A"/>
    <w:rsid w:val="00212803"/>
    <w:rsid w:val="00212AA0"/>
    <w:rsid w:val="00212E8D"/>
    <w:rsid w:val="00213008"/>
    <w:rsid w:val="002131A5"/>
    <w:rsid w:val="002135BB"/>
    <w:rsid w:val="002136F2"/>
    <w:rsid w:val="00213A33"/>
    <w:rsid w:val="00213F38"/>
    <w:rsid w:val="002142F4"/>
    <w:rsid w:val="002148D1"/>
    <w:rsid w:val="00214A60"/>
    <w:rsid w:val="002152C5"/>
    <w:rsid w:val="0021533F"/>
    <w:rsid w:val="00215720"/>
    <w:rsid w:val="00215727"/>
    <w:rsid w:val="00215AFB"/>
    <w:rsid w:val="002165F1"/>
    <w:rsid w:val="0021669F"/>
    <w:rsid w:val="00216AF4"/>
    <w:rsid w:val="00216EA5"/>
    <w:rsid w:val="00217B08"/>
    <w:rsid w:val="00217D29"/>
    <w:rsid w:val="00217EAD"/>
    <w:rsid w:val="00220367"/>
    <w:rsid w:val="002204B3"/>
    <w:rsid w:val="00220524"/>
    <w:rsid w:val="00220723"/>
    <w:rsid w:val="00220B6A"/>
    <w:rsid w:val="0022128D"/>
    <w:rsid w:val="0022152C"/>
    <w:rsid w:val="00221A13"/>
    <w:rsid w:val="00222321"/>
    <w:rsid w:val="0022252E"/>
    <w:rsid w:val="00222D03"/>
    <w:rsid w:val="00223337"/>
    <w:rsid w:val="002234E2"/>
    <w:rsid w:val="0022391C"/>
    <w:rsid w:val="00223A61"/>
    <w:rsid w:val="00223BA3"/>
    <w:rsid w:val="00223E7F"/>
    <w:rsid w:val="00224CBA"/>
    <w:rsid w:val="002257B5"/>
    <w:rsid w:val="00225FE7"/>
    <w:rsid w:val="00225FEB"/>
    <w:rsid w:val="00226002"/>
    <w:rsid w:val="0022626B"/>
    <w:rsid w:val="00226A71"/>
    <w:rsid w:val="00226C34"/>
    <w:rsid w:val="002274A3"/>
    <w:rsid w:val="00227633"/>
    <w:rsid w:val="00227669"/>
    <w:rsid w:val="00227ACB"/>
    <w:rsid w:val="00227C7E"/>
    <w:rsid w:val="0023004B"/>
    <w:rsid w:val="0023036B"/>
    <w:rsid w:val="00230735"/>
    <w:rsid w:val="0023081B"/>
    <w:rsid w:val="00230974"/>
    <w:rsid w:val="002309B4"/>
    <w:rsid w:val="0023115A"/>
    <w:rsid w:val="00231379"/>
    <w:rsid w:val="002314DA"/>
    <w:rsid w:val="00231952"/>
    <w:rsid w:val="00231CDE"/>
    <w:rsid w:val="002322F3"/>
    <w:rsid w:val="0023233E"/>
    <w:rsid w:val="002324A5"/>
    <w:rsid w:val="00232B9C"/>
    <w:rsid w:val="00233308"/>
    <w:rsid w:val="002335DB"/>
    <w:rsid w:val="00233BA4"/>
    <w:rsid w:val="00233BCB"/>
    <w:rsid w:val="00233BFA"/>
    <w:rsid w:val="00233F20"/>
    <w:rsid w:val="00234130"/>
    <w:rsid w:val="0023449D"/>
    <w:rsid w:val="00234F7E"/>
    <w:rsid w:val="0023558A"/>
    <w:rsid w:val="00235D2F"/>
    <w:rsid w:val="00235EB3"/>
    <w:rsid w:val="00235FB0"/>
    <w:rsid w:val="002362CA"/>
    <w:rsid w:val="002364CC"/>
    <w:rsid w:val="00236731"/>
    <w:rsid w:val="00236841"/>
    <w:rsid w:val="00236AD5"/>
    <w:rsid w:val="00236F0B"/>
    <w:rsid w:val="002374CF"/>
    <w:rsid w:val="002377EC"/>
    <w:rsid w:val="00237ACA"/>
    <w:rsid w:val="00237E9E"/>
    <w:rsid w:val="00237F53"/>
    <w:rsid w:val="00237F66"/>
    <w:rsid w:val="00240146"/>
    <w:rsid w:val="002401C5"/>
    <w:rsid w:val="00240718"/>
    <w:rsid w:val="00240C61"/>
    <w:rsid w:val="002410FD"/>
    <w:rsid w:val="0024110E"/>
    <w:rsid w:val="002416A1"/>
    <w:rsid w:val="002417FC"/>
    <w:rsid w:val="00241C79"/>
    <w:rsid w:val="00241DD6"/>
    <w:rsid w:val="0024210F"/>
    <w:rsid w:val="00242680"/>
    <w:rsid w:val="00242F06"/>
    <w:rsid w:val="0024302A"/>
    <w:rsid w:val="00243301"/>
    <w:rsid w:val="002434EB"/>
    <w:rsid w:val="002437FE"/>
    <w:rsid w:val="0024399D"/>
    <w:rsid w:val="00243E30"/>
    <w:rsid w:val="00244051"/>
    <w:rsid w:val="0024412A"/>
    <w:rsid w:val="002441C7"/>
    <w:rsid w:val="0024430E"/>
    <w:rsid w:val="00244521"/>
    <w:rsid w:val="0024502B"/>
    <w:rsid w:val="00245098"/>
    <w:rsid w:val="00245881"/>
    <w:rsid w:val="00245D1B"/>
    <w:rsid w:val="0024638D"/>
    <w:rsid w:val="0024657C"/>
    <w:rsid w:val="0024683A"/>
    <w:rsid w:val="00246B4A"/>
    <w:rsid w:val="0024708F"/>
    <w:rsid w:val="00247166"/>
    <w:rsid w:val="00247198"/>
    <w:rsid w:val="00247641"/>
    <w:rsid w:val="002478CA"/>
    <w:rsid w:val="00247A51"/>
    <w:rsid w:val="00247C7A"/>
    <w:rsid w:val="00247D98"/>
    <w:rsid w:val="002500E5"/>
    <w:rsid w:val="00250153"/>
    <w:rsid w:val="0025021F"/>
    <w:rsid w:val="00250420"/>
    <w:rsid w:val="002504BF"/>
    <w:rsid w:val="00250679"/>
    <w:rsid w:val="002508B6"/>
    <w:rsid w:val="00250C7A"/>
    <w:rsid w:val="00250E2D"/>
    <w:rsid w:val="00250E5B"/>
    <w:rsid w:val="00250E84"/>
    <w:rsid w:val="002515ED"/>
    <w:rsid w:val="00253684"/>
    <w:rsid w:val="002538D1"/>
    <w:rsid w:val="00253FBA"/>
    <w:rsid w:val="002546CB"/>
    <w:rsid w:val="002547DD"/>
    <w:rsid w:val="00254C3F"/>
    <w:rsid w:val="00254CA2"/>
    <w:rsid w:val="00254D09"/>
    <w:rsid w:val="00254FAC"/>
    <w:rsid w:val="002551BA"/>
    <w:rsid w:val="00255D75"/>
    <w:rsid w:val="00255E61"/>
    <w:rsid w:val="002561F6"/>
    <w:rsid w:val="00256761"/>
    <w:rsid w:val="00256865"/>
    <w:rsid w:val="00256ACD"/>
    <w:rsid w:val="002577E0"/>
    <w:rsid w:val="0025799C"/>
    <w:rsid w:val="00257AA9"/>
    <w:rsid w:val="002600AE"/>
    <w:rsid w:val="002602E1"/>
    <w:rsid w:val="00260677"/>
    <w:rsid w:val="002606FE"/>
    <w:rsid w:val="0026162C"/>
    <w:rsid w:val="002616D7"/>
    <w:rsid w:val="0026176A"/>
    <w:rsid w:val="002619C0"/>
    <w:rsid w:val="0026212D"/>
    <w:rsid w:val="0026276D"/>
    <w:rsid w:val="00262A58"/>
    <w:rsid w:val="00262BF5"/>
    <w:rsid w:val="00262CD3"/>
    <w:rsid w:val="00262DD6"/>
    <w:rsid w:val="00262F17"/>
    <w:rsid w:val="0026385C"/>
    <w:rsid w:val="00264E58"/>
    <w:rsid w:val="00265138"/>
    <w:rsid w:val="0026514E"/>
    <w:rsid w:val="002651D4"/>
    <w:rsid w:val="002655DC"/>
    <w:rsid w:val="0026590E"/>
    <w:rsid w:val="00265ECC"/>
    <w:rsid w:val="0026636A"/>
    <w:rsid w:val="0026689D"/>
    <w:rsid w:val="00266C08"/>
    <w:rsid w:val="00266F0A"/>
    <w:rsid w:val="00267234"/>
    <w:rsid w:val="00267914"/>
    <w:rsid w:val="00267E3B"/>
    <w:rsid w:val="002705F4"/>
    <w:rsid w:val="0027067C"/>
    <w:rsid w:val="00270D53"/>
    <w:rsid w:val="00270EB2"/>
    <w:rsid w:val="00271009"/>
    <w:rsid w:val="00271808"/>
    <w:rsid w:val="00271BBA"/>
    <w:rsid w:val="00271C59"/>
    <w:rsid w:val="00271D1C"/>
    <w:rsid w:val="002722EC"/>
    <w:rsid w:val="0027258A"/>
    <w:rsid w:val="0027295A"/>
    <w:rsid w:val="00272A00"/>
    <w:rsid w:val="00273148"/>
    <w:rsid w:val="002733EA"/>
    <w:rsid w:val="002737F9"/>
    <w:rsid w:val="00273BD3"/>
    <w:rsid w:val="00273EA9"/>
    <w:rsid w:val="00274307"/>
    <w:rsid w:val="00274530"/>
    <w:rsid w:val="0027478B"/>
    <w:rsid w:val="002747EA"/>
    <w:rsid w:val="00274F30"/>
    <w:rsid w:val="00275A65"/>
    <w:rsid w:val="0027691C"/>
    <w:rsid w:val="00276B92"/>
    <w:rsid w:val="0027766A"/>
    <w:rsid w:val="00277A62"/>
    <w:rsid w:val="0028081F"/>
    <w:rsid w:val="002808AB"/>
    <w:rsid w:val="002809BD"/>
    <w:rsid w:val="00280CD2"/>
    <w:rsid w:val="0028104B"/>
    <w:rsid w:val="0028141A"/>
    <w:rsid w:val="002816AE"/>
    <w:rsid w:val="00281F9F"/>
    <w:rsid w:val="002820C6"/>
    <w:rsid w:val="00282263"/>
    <w:rsid w:val="002826DF"/>
    <w:rsid w:val="002827CE"/>
    <w:rsid w:val="00282A57"/>
    <w:rsid w:val="00282BD2"/>
    <w:rsid w:val="00282E77"/>
    <w:rsid w:val="00283299"/>
    <w:rsid w:val="00283805"/>
    <w:rsid w:val="00283AEF"/>
    <w:rsid w:val="00283B07"/>
    <w:rsid w:val="00283F57"/>
    <w:rsid w:val="002841A7"/>
    <w:rsid w:val="00284A9D"/>
    <w:rsid w:val="00284CC4"/>
    <w:rsid w:val="00284D03"/>
    <w:rsid w:val="00284D62"/>
    <w:rsid w:val="00285635"/>
    <w:rsid w:val="00285731"/>
    <w:rsid w:val="00285C21"/>
    <w:rsid w:val="00285EF1"/>
    <w:rsid w:val="00286903"/>
    <w:rsid w:val="00286B4D"/>
    <w:rsid w:val="00286E8E"/>
    <w:rsid w:val="00286FFD"/>
    <w:rsid w:val="002872EA"/>
    <w:rsid w:val="002872EC"/>
    <w:rsid w:val="00287424"/>
    <w:rsid w:val="00287769"/>
    <w:rsid w:val="00287C1E"/>
    <w:rsid w:val="00287E7D"/>
    <w:rsid w:val="0029049E"/>
    <w:rsid w:val="002905E9"/>
    <w:rsid w:val="0029066D"/>
    <w:rsid w:val="002907C5"/>
    <w:rsid w:val="002909C8"/>
    <w:rsid w:val="00290B93"/>
    <w:rsid w:val="0029201C"/>
    <w:rsid w:val="002923EB"/>
    <w:rsid w:val="0029259B"/>
    <w:rsid w:val="002925A3"/>
    <w:rsid w:val="00292B1E"/>
    <w:rsid w:val="00292C9E"/>
    <w:rsid w:val="002933DE"/>
    <w:rsid w:val="0029343E"/>
    <w:rsid w:val="00293966"/>
    <w:rsid w:val="00293FB2"/>
    <w:rsid w:val="00294034"/>
    <w:rsid w:val="002943B0"/>
    <w:rsid w:val="00294BCE"/>
    <w:rsid w:val="00294CA1"/>
    <w:rsid w:val="00294F08"/>
    <w:rsid w:val="002954D5"/>
    <w:rsid w:val="00295BFF"/>
    <w:rsid w:val="0029601F"/>
    <w:rsid w:val="00296197"/>
    <w:rsid w:val="00296207"/>
    <w:rsid w:val="002962B6"/>
    <w:rsid w:val="002964D6"/>
    <w:rsid w:val="002965FC"/>
    <w:rsid w:val="00296979"/>
    <w:rsid w:val="00296BCE"/>
    <w:rsid w:val="0029725A"/>
    <w:rsid w:val="002A037F"/>
    <w:rsid w:val="002A0462"/>
    <w:rsid w:val="002A04D7"/>
    <w:rsid w:val="002A0604"/>
    <w:rsid w:val="002A0BA5"/>
    <w:rsid w:val="002A0BFC"/>
    <w:rsid w:val="002A0D8F"/>
    <w:rsid w:val="002A12CB"/>
    <w:rsid w:val="002A1326"/>
    <w:rsid w:val="002A15C2"/>
    <w:rsid w:val="002A1A42"/>
    <w:rsid w:val="002A1B23"/>
    <w:rsid w:val="002A202E"/>
    <w:rsid w:val="002A229E"/>
    <w:rsid w:val="002A234F"/>
    <w:rsid w:val="002A279F"/>
    <w:rsid w:val="002A29A7"/>
    <w:rsid w:val="002A2FE7"/>
    <w:rsid w:val="002A32CF"/>
    <w:rsid w:val="002A3FF2"/>
    <w:rsid w:val="002A4608"/>
    <w:rsid w:val="002A498E"/>
    <w:rsid w:val="002A4A14"/>
    <w:rsid w:val="002A4AEA"/>
    <w:rsid w:val="002A4C4D"/>
    <w:rsid w:val="002A5202"/>
    <w:rsid w:val="002A5291"/>
    <w:rsid w:val="002A597B"/>
    <w:rsid w:val="002A5EED"/>
    <w:rsid w:val="002A5F3D"/>
    <w:rsid w:val="002A5F52"/>
    <w:rsid w:val="002A623E"/>
    <w:rsid w:val="002A6AE3"/>
    <w:rsid w:val="002A7DFB"/>
    <w:rsid w:val="002A7FDD"/>
    <w:rsid w:val="002B0003"/>
    <w:rsid w:val="002B14A0"/>
    <w:rsid w:val="002B1581"/>
    <w:rsid w:val="002B1C23"/>
    <w:rsid w:val="002B1D83"/>
    <w:rsid w:val="002B3118"/>
    <w:rsid w:val="002B3130"/>
    <w:rsid w:val="002B3191"/>
    <w:rsid w:val="002B3549"/>
    <w:rsid w:val="002B35B8"/>
    <w:rsid w:val="002B37B4"/>
    <w:rsid w:val="002B3A7D"/>
    <w:rsid w:val="002B3C0D"/>
    <w:rsid w:val="002B3F60"/>
    <w:rsid w:val="002B3F9F"/>
    <w:rsid w:val="002B463A"/>
    <w:rsid w:val="002B48C3"/>
    <w:rsid w:val="002B4F5D"/>
    <w:rsid w:val="002B54AA"/>
    <w:rsid w:val="002B55FC"/>
    <w:rsid w:val="002B5D4A"/>
    <w:rsid w:val="002B61A1"/>
    <w:rsid w:val="002B6311"/>
    <w:rsid w:val="002B6C8A"/>
    <w:rsid w:val="002B70FC"/>
    <w:rsid w:val="002B733E"/>
    <w:rsid w:val="002B7424"/>
    <w:rsid w:val="002B74A7"/>
    <w:rsid w:val="002B76A4"/>
    <w:rsid w:val="002B792B"/>
    <w:rsid w:val="002B7931"/>
    <w:rsid w:val="002B7D0E"/>
    <w:rsid w:val="002B7DA0"/>
    <w:rsid w:val="002B7E56"/>
    <w:rsid w:val="002B7EEA"/>
    <w:rsid w:val="002C02E0"/>
    <w:rsid w:val="002C03C8"/>
    <w:rsid w:val="002C0516"/>
    <w:rsid w:val="002C0590"/>
    <w:rsid w:val="002C1027"/>
    <w:rsid w:val="002C1392"/>
    <w:rsid w:val="002C1CD4"/>
    <w:rsid w:val="002C1DCB"/>
    <w:rsid w:val="002C1E34"/>
    <w:rsid w:val="002C1E52"/>
    <w:rsid w:val="002C2284"/>
    <w:rsid w:val="002C2D9B"/>
    <w:rsid w:val="002C2FEF"/>
    <w:rsid w:val="002C303C"/>
    <w:rsid w:val="002C3C47"/>
    <w:rsid w:val="002C469D"/>
    <w:rsid w:val="002C46E7"/>
    <w:rsid w:val="002C4E2D"/>
    <w:rsid w:val="002C5753"/>
    <w:rsid w:val="002C579C"/>
    <w:rsid w:val="002C5AFA"/>
    <w:rsid w:val="002C5F54"/>
    <w:rsid w:val="002C6206"/>
    <w:rsid w:val="002C6675"/>
    <w:rsid w:val="002C668A"/>
    <w:rsid w:val="002C6B6B"/>
    <w:rsid w:val="002C6BDD"/>
    <w:rsid w:val="002C6F2C"/>
    <w:rsid w:val="002C75CB"/>
    <w:rsid w:val="002C7B10"/>
    <w:rsid w:val="002C7C64"/>
    <w:rsid w:val="002D0060"/>
    <w:rsid w:val="002D01DD"/>
    <w:rsid w:val="002D0BBE"/>
    <w:rsid w:val="002D0BCE"/>
    <w:rsid w:val="002D0E63"/>
    <w:rsid w:val="002D124D"/>
    <w:rsid w:val="002D13A3"/>
    <w:rsid w:val="002D14B7"/>
    <w:rsid w:val="002D165A"/>
    <w:rsid w:val="002D17D9"/>
    <w:rsid w:val="002D185D"/>
    <w:rsid w:val="002D1E02"/>
    <w:rsid w:val="002D24AD"/>
    <w:rsid w:val="002D276D"/>
    <w:rsid w:val="002D3698"/>
    <w:rsid w:val="002D40AD"/>
    <w:rsid w:val="002D412E"/>
    <w:rsid w:val="002D49E9"/>
    <w:rsid w:val="002D49EC"/>
    <w:rsid w:val="002D4B0B"/>
    <w:rsid w:val="002D516D"/>
    <w:rsid w:val="002D57B6"/>
    <w:rsid w:val="002D59F5"/>
    <w:rsid w:val="002D6B30"/>
    <w:rsid w:val="002D6C24"/>
    <w:rsid w:val="002D6E40"/>
    <w:rsid w:val="002D6EDC"/>
    <w:rsid w:val="002D70B9"/>
    <w:rsid w:val="002D729F"/>
    <w:rsid w:val="002D73FD"/>
    <w:rsid w:val="002D7454"/>
    <w:rsid w:val="002D79EB"/>
    <w:rsid w:val="002D7D56"/>
    <w:rsid w:val="002E0B2A"/>
    <w:rsid w:val="002E0F10"/>
    <w:rsid w:val="002E10EF"/>
    <w:rsid w:val="002E16F5"/>
    <w:rsid w:val="002E1903"/>
    <w:rsid w:val="002E1A2A"/>
    <w:rsid w:val="002E1AF4"/>
    <w:rsid w:val="002E21D5"/>
    <w:rsid w:val="002E246C"/>
    <w:rsid w:val="002E2720"/>
    <w:rsid w:val="002E28AE"/>
    <w:rsid w:val="002E2944"/>
    <w:rsid w:val="002E2AD8"/>
    <w:rsid w:val="002E2C80"/>
    <w:rsid w:val="002E2DF5"/>
    <w:rsid w:val="002E3402"/>
    <w:rsid w:val="002E3604"/>
    <w:rsid w:val="002E36F3"/>
    <w:rsid w:val="002E3A31"/>
    <w:rsid w:val="002E44D7"/>
    <w:rsid w:val="002E4528"/>
    <w:rsid w:val="002E54E3"/>
    <w:rsid w:val="002E582A"/>
    <w:rsid w:val="002E6524"/>
    <w:rsid w:val="002E69B1"/>
    <w:rsid w:val="002E6BDE"/>
    <w:rsid w:val="002E6F8D"/>
    <w:rsid w:val="002E71E5"/>
    <w:rsid w:val="002E7665"/>
    <w:rsid w:val="002E7BF1"/>
    <w:rsid w:val="002E7F90"/>
    <w:rsid w:val="002F01B2"/>
    <w:rsid w:val="002F0778"/>
    <w:rsid w:val="002F0CF3"/>
    <w:rsid w:val="002F0F08"/>
    <w:rsid w:val="002F16A3"/>
    <w:rsid w:val="002F1C8A"/>
    <w:rsid w:val="002F237E"/>
    <w:rsid w:val="002F2522"/>
    <w:rsid w:val="002F391B"/>
    <w:rsid w:val="002F3DB2"/>
    <w:rsid w:val="002F444C"/>
    <w:rsid w:val="002F45A6"/>
    <w:rsid w:val="002F4636"/>
    <w:rsid w:val="002F4961"/>
    <w:rsid w:val="002F502D"/>
    <w:rsid w:val="002F503C"/>
    <w:rsid w:val="002F53B4"/>
    <w:rsid w:val="002F65EE"/>
    <w:rsid w:val="002F66AA"/>
    <w:rsid w:val="002F71D3"/>
    <w:rsid w:val="002F7738"/>
    <w:rsid w:val="002F7E89"/>
    <w:rsid w:val="002F7F9F"/>
    <w:rsid w:val="003015C4"/>
    <w:rsid w:val="003017E7"/>
    <w:rsid w:val="003020C3"/>
    <w:rsid w:val="00302883"/>
    <w:rsid w:val="00302BD0"/>
    <w:rsid w:val="00303936"/>
    <w:rsid w:val="003039FF"/>
    <w:rsid w:val="00303CF8"/>
    <w:rsid w:val="003049D0"/>
    <w:rsid w:val="00304DBF"/>
    <w:rsid w:val="00305429"/>
    <w:rsid w:val="003054C1"/>
    <w:rsid w:val="0030579D"/>
    <w:rsid w:val="003057D3"/>
    <w:rsid w:val="00305942"/>
    <w:rsid w:val="00305C8C"/>
    <w:rsid w:val="00305D78"/>
    <w:rsid w:val="00305DBD"/>
    <w:rsid w:val="00305F2F"/>
    <w:rsid w:val="00305F72"/>
    <w:rsid w:val="003061E2"/>
    <w:rsid w:val="00306E06"/>
    <w:rsid w:val="003075CA"/>
    <w:rsid w:val="0030776A"/>
    <w:rsid w:val="003078FA"/>
    <w:rsid w:val="00307EC0"/>
    <w:rsid w:val="003103B5"/>
    <w:rsid w:val="00310AEB"/>
    <w:rsid w:val="00310EA2"/>
    <w:rsid w:val="00311247"/>
    <w:rsid w:val="00311A1E"/>
    <w:rsid w:val="00311CCB"/>
    <w:rsid w:val="00312386"/>
    <w:rsid w:val="0031244B"/>
    <w:rsid w:val="00312E7B"/>
    <w:rsid w:val="00312EC9"/>
    <w:rsid w:val="0031346D"/>
    <w:rsid w:val="00313694"/>
    <w:rsid w:val="003139C7"/>
    <w:rsid w:val="00313FE4"/>
    <w:rsid w:val="003145F4"/>
    <w:rsid w:val="003147BD"/>
    <w:rsid w:val="003149F7"/>
    <w:rsid w:val="00314A8D"/>
    <w:rsid w:val="00314B5F"/>
    <w:rsid w:val="00315266"/>
    <w:rsid w:val="00315545"/>
    <w:rsid w:val="00315EA8"/>
    <w:rsid w:val="00316E5A"/>
    <w:rsid w:val="00316F66"/>
    <w:rsid w:val="003174A5"/>
    <w:rsid w:val="00317583"/>
    <w:rsid w:val="0031769D"/>
    <w:rsid w:val="00317853"/>
    <w:rsid w:val="00317BC4"/>
    <w:rsid w:val="00317CDA"/>
    <w:rsid w:val="00317F8F"/>
    <w:rsid w:val="003200CC"/>
    <w:rsid w:val="003201A7"/>
    <w:rsid w:val="00320305"/>
    <w:rsid w:val="00321093"/>
    <w:rsid w:val="003213D8"/>
    <w:rsid w:val="003214D3"/>
    <w:rsid w:val="00321931"/>
    <w:rsid w:val="00321BEE"/>
    <w:rsid w:val="003223C3"/>
    <w:rsid w:val="003229E6"/>
    <w:rsid w:val="00322FCF"/>
    <w:rsid w:val="003248A6"/>
    <w:rsid w:val="00324B7A"/>
    <w:rsid w:val="00324C42"/>
    <w:rsid w:val="00324D18"/>
    <w:rsid w:val="00324EAE"/>
    <w:rsid w:val="0032537B"/>
    <w:rsid w:val="003254AD"/>
    <w:rsid w:val="00325593"/>
    <w:rsid w:val="00325879"/>
    <w:rsid w:val="00325FC4"/>
    <w:rsid w:val="003263B7"/>
    <w:rsid w:val="00326F15"/>
    <w:rsid w:val="00327158"/>
    <w:rsid w:val="0032756F"/>
    <w:rsid w:val="00327CF4"/>
    <w:rsid w:val="00327D21"/>
    <w:rsid w:val="00330105"/>
    <w:rsid w:val="00330608"/>
    <w:rsid w:val="00330994"/>
    <w:rsid w:val="00330B8B"/>
    <w:rsid w:val="00330BC0"/>
    <w:rsid w:val="00330CD4"/>
    <w:rsid w:val="003317B0"/>
    <w:rsid w:val="00331914"/>
    <w:rsid w:val="00332038"/>
    <w:rsid w:val="00332447"/>
    <w:rsid w:val="00332738"/>
    <w:rsid w:val="003328FD"/>
    <w:rsid w:val="00332BF3"/>
    <w:rsid w:val="00333110"/>
    <w:rsid w:val="00333130"/>
    <w:rsid w:val="003332C5"/>
    <w:rsid w:val="003334F1"/>
    <w:rsid w:val="0033399D"/>
    <w:rsid w:val="00333E76"/>
    <w:rsid w:val="00333FF3"/>
    <w:rsid w:val="00334F88"/>
    <w:rsid w:val="003362F8"/>
    <w:rsid w:val="00336405"/>
    <w:rsid w:val="0033656D"/>
    <w:rsid w:val="00336B1E"/>
    <w:rsid w:val="00336BFC"/>
    <w:rsid w:val="00336C69"/>
    <w:rsid w:val="00336F46"/>
    <w:rsid w:val="00337483"/>
    <w:rsid w:val="00337796"/>
    <w:rsid w:val="00340152"/>
    <w:rsid w:val="00340989"/>
    <w:rsid w:val="00340B77"/>
    <w:rsid w:val="003418EF"/>
    <w:rsid w:val="00342119"/>
    <w:rsid w:val="003432AC"/>
    <w:rsid w:val="00343578"/>
    <w:rsid w:val="00343934"/>
    <w:rsid w:val="00343C2F"/>
    <w:rsid w:val="00344836"/>
    <w:rsid w:val="00344ABB"/>
    <w:rsid w:val="0034504E"/>
    <w:rsid w:val="00345220"/>
    <w:rsid w:val="00345733"/>
    <w:rsid w:val="00345FF1"/>
    <w:rsid w:val="003467A3"/>
    <w:rsid w:val="00346939"/>
    <w:rsid w:val="00346EE2"/>
    <w:rsid w:val="00346F69"/>
    <w:rsid w:val="00347129"/>
    <w:rsid w:val="00347B2E"/>
    <w:rsid w:val="00350019"/>
    <w:rsid w:val="0035008C"/>
    <w:rsid w:val="003501EE"/>
    <w:rsid w:val="003502A2"/>
    <w:rsid w:val="00350681"/>
    <w:rsid w:val="00350718"/>
    <w:rsid w:val="00350C0F"/>
    <w:rsid w:val="003512E3"/>
    <w:rsid w:val="0035141C"/>
    <w:rsid w:val="00351E03"/>
    <w:rsid w:val="00351F62"/>
    <w:rsid w:val="00352122"/>
    <w:rsid w:val="003522BA"/>
    <w:rsid w:val="003522CF"/>
    <w:rsid w:val="00352592"/>
    <w:rsid w:val="003527E4"/>
    <w:rsid w:val="0035291E"/>
    <w:rsid w:val="00352B41"/>
    <w:rsid w:val="00352C58"/>
    <w:rsid w:val="003530C4"/>
    <w:rsid w:val="003537E4"/>
    <w:rsid w:val="00354AB0"/>
    <w:rsid w:val="00354ACD"/>
    <w:rsid w:val="00354C51"/>
    <w:rsid w:val="0035663D"/>
    <w:rsid w:val="00356A16"/>
    <w:rsid w:val="00356AF5"/>
    <w:rsid w:val="00356CF0"/>
    <w:rsid w:val="00356D17"/>
    <w:rsid w:val="00357354"/>
    <w:rsid w:val="00357F38"/>
    <w:rsid w:val="00360B84"/>
    <w:rsid w:val="00360DB3"/>
    <w:rsid w:val="003618E5"/>
    <w:rsid w:val="00361C67"/>
    <w:rsid w:val="00362CDD"/>
    <w:rsid w:val="00362E40"/>
    <w:rsid w:val="00363123"/>
    <w:rsid w:val="00363699"/>
    <w:rsid w:val="003638AE"/>
    <w:rsid w:val="0036393F"/>
    <w:rsid w:val="00364070"/>
    <w:rsid w:val="0036429B"/>
    <w:rsid w:val="0036461D"/>
    <w:rsid w:val="00364A43"/>
    <w:rsid w:val="00365ACC"/>
    <w:rsid w:val="00365D30"/>
    <w:rsid w:val="00366123"/>
    <w:rsid w:val="003661D4"/>
    <w:rsid w:val="00366527"/>
    <w:rsid w:val="00366CF7"/>
    <w:rsid w:val="00366F39"/>
    <w:rsid w:val="00367787"/>
    <w:rsid w:val="00367879"/>
    <w:rsid w:val="00370027"/>
    <w:rsid w:val="003706A0"/>
    <w:rsid w:val="00370857"/>
    <w:rsid w:val="00370EFA"/>
    <w:rsid w:val="00371149"/>
    <w:rsid w:val="00371D44"/>
    <w:rsid w:val="00371E9C"/>
    <w:rsid w:val="00371F4C"/>
    <w:rsid w:val="00371FE3"/>
    <w:rsid w:val="0037241E"/>
    <w:rsid w:val="0037255A"/>
    <w:rsid w:val="0037273E"/>
    <w:rsid w:val="00373796"/>
    <w:rsid w:val="00373ECF"/>
    <w:rsid w:val="00373F78"/>
    <w:rsid w:val="00374114"/>
    <w:rsid w:val="00374418"/>
    <w:rsid w:val="0037478B"/>
    <w:rsid w:val="00374DDD"/>
    <w:rsid w:val="00374E30"/>
    <w:rsid w:val="003756CA"/>
    <w:rsid w:val="0037578B"/>
    <w:rsid w:val="00375A9F"/>
    <w:rsid w:val="00375BDF"/>
    <w:rsid w:val="00376623"/>
    <w:rsid w:val="00376A30"/>
    <w:rsid w:val="00380680"/>
    <w:rsid w:val="003808E8"/>
    <w:rsid w:val="00380A78"/>
    <w:rsid w:val="00380A9C"/>
    <w:rsid w:val="0038151D"/>
    <w:rsid w:val="00381629"/>
    <w:rsid w:val="00381734"/>
    <w:rsid w:val="0038184B"/>
    <w:rsid w:val="00381C54"/>
    <w:rsid w:val="0038248D"/>
    <w:rsid w:val="00382F40"/>
    <w:rsid w:val="00384233"/>
    <w:rsid w:val="0038468F"/>
    <w:rsid w:val="00384788"/>
    <w:rsid w:val="003849B1"/>
    <w:rsid w:val="00384AA1"/>
    <w:rsid w:val="00384B05"/>
    <w:rsid w:val="003853AE"/>
    <w:rsid w:val="003853C1"/>
    <w:rsid w:val="003858C3"/>
    <w:rsid w:val="00385A6C"/>
    <w:rsid w:val="00385B31"/>
    <w:rsid w:val="00385FE5"/>
    <w:rsid w:val="00386490"/>
    <w:rsid w:val="00386B39"/>
    <w:rsid w:val="00386C79"/>
    <w:rsid w:val="0038765E"/>
    <w:rsid w:val="003906F3"/>
    <w:rsid w:val="00390834"/>
    <w:rsid w:val="00390AF0"/>
    <w:rsid w:val="00390CC4"/>
    <w:rsid w:val="00390FC3"/>
    <w:rsid w:val="00391437"/>
    <w:rsid w:val="00391B3C"/>
    <w:rsid w:val="003924E1"/>
    <w:rsid w:val="00392AFF"/>
    <w:rsid w:val="00392C0C"/>
    <w:rsid w:val="00392F25"/>
    <w:rsid w:val="00393322"/>
    <w:rsid w:val="0039489F"/>
    <w:rsid w:val="003949F9"/>
    <w:rsid w:val="00396CF9"/>
    <w:rsid w:val="00396E7F"/>
    <w:rsid w:val="00396F47"/>
    <w:rsid w:val="00397A66"/>
    <w:rsid w:val="00397DB0"/>
    <w:rsid w:val="003A0283"/>
    <w:rsid w:val="003A068D"/>
    <w:rsid w:val="003A0AC6"/>
    <w:rsid w:val="003A0C50"/>
    <w:rsid w:val="003A139D"/>
    <w:rsid w:val="003A1824"/>
    <w:rsid w:val="003A1A47"/>
    <w:rsid w:val="003A1EDC"/>
    <w:rsid w:val="003A1FB4"/>
    <w:rsid w:val="003A26A6"/>
    <w:rsid w:val="003A37B2"/>
    <w:rsid w:val="003A3983"/>
    <w:rsid w:val="003A39EC"/>
    <w:rsid w:val="003A3A71"/>
    <w:rsid w:val="003A3BC0"/>
    <w:rsid w:val="003A3E46"/>
    <w:rsid w:val="003A4108"/>
    <w:rsid w:val="003A45C6"/>
    <w:rsid w:val="003A481B"/>
    <w:rsid w:val="003A56B3"/>
    <w:rsid w:val="003A56FD"/>
    <w:rsid w:val="003A5B87"/>
    <w:rsid w:val="003A5D69"/>
    <w:rsid w:val="003A646E"/>
    <w:rsid w:val="003A64BB"/>
    <w:rsid w:val="003A66AA"/>
    <w:rsid w:val="003A6E80"/>
    <w:rsid w:val="003A6F55"/>
    <w:rsid w:val="003A703F"/>
    <w:rsid w:val="003A7196"/>
    <w:rsid w:val="003A7537"/>
    <w:rsid w:val="003A7D12"/>
    <w:rsid w:val="003A7D63"/>
    <w:rsid w:val="003A7DD4"/>
    <w:rsid w:val="003B0157"/>
    <w:rsid w:val="003B01DE"/>
    <w:rsid w:val="003B077F"/>
    <w:rsid w:val="003B0BE5"/>
    <w:rsid w:val="003B0C12"/>
    <w:rsid w:val="003B0FFA"/>
    <w:rsid w:val="003B1659"/>
    <w:rsid w:val="003B1E40"/>
    <w:rsid w:val="003B2762"/>
    <w:rsid w:val="003B2AA6"/>
    <w:rsid w:val="003B2CC8"/>
    <w:rsid w:val="003B2DE2"/>
    <w:rsid w:val="003B2EA6"/>
    <w:rsid w:val="003B3277"/>
    <w:rsid w:val="003B35AE"/>
    <w:rsid w:val="003B361C"/>
    <w:rsid w:val="003B38B8"/>
    <w:rsid w:val="003B3D5C"/>
    <w:rsid w:val="003B4726"/>
    <w:rsid w:val="003B4D14"/>
    <w:rsid w:val="003B4D4A"/>
    <w:rsid w:val="003B51C8"/>
    <w:rsid w:val="003B533B"/>
    <w:rsid w:val="003B5845"/>
    <w:rsid w:val="003B5CF0"/>
    <w:rsid w:val="003B5F76"/>
    <w:rsid w:val="003B614A"/>
    <w:rsid w:val="003B631E"/>
    <w:rsid w:val="003B69D9"/>
    <w:rsid w:val="003B6BDA"/>
    <w:rsid w:val="003B79E3"/>
    <w:rsid w:val="003B7FA1"/>
    <w:rsid w:val="003C0484"/>
    <w:rsid w:val="003C0BB7"/>
    <w:rsid w:val="003C1158"/>
    <w:rsid w:val="003C14C6"/>
    <w:rsid w:val="003C1AC8"/>
    <w:rsid w:val="003C1B79"/>
    <w:rsid w:val="003C1C47"/>
    <w:rsid w:val="003C267F"/>
    <w:rsid w:val="003C2831"/>
    <w:rsid w:val="003C2F35"/>
    <w:rsid w:val="003C2F39"/>
    <w:rsid w:val="003C321A"/>
    <w:rsid w:val="003C3AA5"/>
    <w:rsid w:val="003C3BE0"/>
    <w:rsid w:val="003C3F30"/>
    <w:rsid w:val="003C46E6"/>
    <w:rsid w:val="003C4A51"/>
    <w:rsid w:val="003C4B02"/>
    <w:rsid w:val="003C4B2B"/>
    <w:rsid w:val="003C5118"/>
    <w:rsid w:val="003C521E"/>
    <w:rsid w:val="003C5412"/>
    <w:rsid w:val="003C5E96"/>
    <w:rsid w:val="003C6180"/>
    <w:rsid w:val="003C64C1"/>
    <w:rsid w:val="003C7067"/>
    <w:rsid w:val="003C75A2"/>
    <w:rsid w:val="003C7748"/>
    <w:rsid w:val="003C7954"/>
    <w:rsid w:val="003C7B65"/>
    <w:rsid w:val="003D0943"/>
    <w:rsid w:val="003D0DF2"/>
    <w:rsid w:val="003D0EAE"/>
    <w:rsid w:val="003D1263"/>
    <w:rsid w:val="003D1CC5"/>
    <w:rsid w:val="003D1DB5"/>
    <w:rsid w:val="003D1DE4"/>
    <w:rsid w:val="003D228C"/>
    <w:rsid w:val="003D2A66"/>
    <w:rsid w:val="003D2ABA"/>
    <w:rsid w:val="003D338C"/>
    <w:rsid w:val="003D3409"/>
    <w:rsid w:val="003D368F"/>
    <w:rsid w:val="003D389D"/>
    <w:rsid w:val="003D38F5"/>
    <w:rsid w:val="003D3C9D"/>
    <w:rsid w:val="003D3CC3"/>
    <w:rsid w:val="003D3FA6"/>
    <w:rsid w:val="003D4031"/>
    <w:rsid w:val="003D42E1"/>
    <w:rsid w:val="003D4C6E"/>
    <w:rsid w:val="003D5CE8"/>
    <w:rsid w:val="003D5E67"/>
    <w:rsid w:val="003D6A37"/>
    <w:rsid w:val="003D6E95"/>
    <w:rsid w:val="003D7ABE"/>
    <w:rsid w:val="003E0DF8"/>
    <w:rsid w:val="003E1421"/>
    <w:rsid w:val="003E1B1F"/>
    <w:rsid w:val="003E1BDB"/>
    <w:rsid w:val="003E1CC4"/>
    <w:rsid w:val="003E1CD6"/>
    <w:rsid w:val="003E1D3A"/>
    <w:rsid w:val="003E219E"/>
    <w:rsid w:val="003E2900"/>
    <w:rsid w:val="003E298E"/>
    <w:rsid w:val="003E2FE9"/>
    <w:rsid w:val="003E3112"/>
    <w:rsid w:val="003E32DF"/>
    <w:rsid w:val="003E373F"/>
    <w:rsid w:val="003E38D8"/>
    <w:rsid w:val="003E3902"/>
    <w:rsid w:val="003E3BC6"/>
    <w:rsid w:val="003E3C37"/>
    <w:rsid w:val="003E429B"/>
    <w:rsid w:val="003E42A3"/>
    <w:rsid w:val="003E4A83"/>
    <w:rsid w:val="003E4B36"/>
    <w:rsid w:val="003E4ECF"/>
    <w:rsid w:val="003E4F07"/>
    <w:rsid w:val="003E5B93"/>
    <w:rsid w:val="003E67D7"/>
    <w:rsid w:val="003E68C1"/>
    <w:rsid w:val="003E6902"/>
    <w:rsid w:val="003E743A"/>
    <w:rsid w:val="003E7B68"/>
    <w:rsid w:val="003E7E16"/>
    <w:rsid w:val="003F0140"/>
    <w:rsid w:val="003F13CD"/>
    <w:rsid w:val="003F1721"/>
    <w:rsid w:val="003F23A6"/>
    <w:rsid w:val="003F246D"/>
    <w:rsid w:val="003F24CB"/>
    <w:rsid w:val="003F27D4"/>
    <w:rsid w:val="003F2CF4"/>
    <w:rsid w:val="003F2ED1"/>
    <w:rsid w:val="003F2F66"/>
    <w:rsid w:val="003F3126"/>
    <w:rsid w:val="003F32C7"/>
    <w:rsid w:val="003F36C3"/>
    <w:rsid w:val="003F3A8C"/>
    <w:rsid w:val="003F4200"/>
    <w:rsid w:val="003F4A6E"/>
    <w:rsid w:val="003F4C6E"/>
    <w:rsid w:val="003F4E8A"/>
    <w:rsid w:val="003F4FE2"/>
    <w:rsid w:val="003F50D1"/>
    <w:rsid w:val="003F5276"/>
    <w:rsid w:val="003F6103"/>
    <w:rsid w:val="003F6390"/>
    <w:rsid w:val="003F64ED"/>
    <w:rsid w:val="003F6538"/>
    <w:rsid w:val="003F6899"/>
    <w:rsid w:val="003F7045"/>
    <w:rsid w:val="00400FB0"/>
    <w:rsid w:val="00401677"/>
    <w:rsid w:val="00401A39"/>
    <w:rsid w:val="00401AD7"/>
    <w:rsid w:val="00402AA1"/>
    <w:rsid w:val="00402E55"/>
    <w:rsid w:val="00402FA7"/>
    <w:rsid w:val="004030B1"/>
    <w:rsid w:val="004030FF"/>
    <w:rsid w:val="00403212"/>
    <w:rsid w:val="0040376B"/>
    <w:rsid w:val="00403818"/>
    <w:rsid w:val="00403A29"/>
    <w:rsid w:val="004044A6"/>
    <w:rsid w:val="00404751"/>
    <w:rsid w:val="004056DB"/>
    <w:rsid w:val="00405A8D"/>
    <w:rsid w:val="00405ABC"/>
    <w:rsid w:val="00405DC0"/>
    <w:rsid w:val="00405DE4"/>
    <w:rsid w:val="004063C7"/>
    <w:rsid w:val="004067A9"/>
    <w:rsid w:val="0040694A"/>
    <w:rsid w:val="00406CB8"/>
    <w:rsid w:val="00406FC5"/>
    <w:rsid w:val="0040729C"/>
    <w:rsid w:val="004079F7"/>
    <w:rsid w:val="00407A39"/>
    <w:rsid w:val="0041017B"/>
    <w:rsid w:val="00410266"/>
    <w:rsid w:val="00410297"/>
    <w:rsid w:val="004111D6"/>
    <w:rsid w:val="0041128E"/>
    <w:rsid w:val="0041137D"/>
    <w:rsid w:val="004113AB"/>
    <w:rsid w:val="00411542"/>
    <w:rsid w:val="004117E5"/>
    <w:rsid w:val="00411D82"/>
    <w:rsid w:val="00412029"/>
    <w:rsid w:val="0041237D"/>
    <w:rsid w:val="004123E1"/>
    <w:rsid w:val="004126E3"/>
    <w:rsid w:val="00412B49"/>
    <w:rsid w:val="00412D9F"/>
    <w:rsid w:val="004136D2"/>
    <w:rsid w:val="0041371E"/>
    <w:rsid w:val="00413731"/>
    <w:rsid w:val="00413919"/>
    <w:rsid w:val="00413AE2"/>
    <w:rsid w:val="00413EF1"/>
    <w:rsid w:val="004146BF"/>
    <w:rsid w:val="00414960"/>
    <w:rsid w:val="00414BA5"/>
    <w:rsid w:val="00414F80"/>
    <w:rsid w:val="00415AF3"/>
    <w:rsid w:val="0041611A"/>
    <w:rsid w:val="004161CF"/>
    <w:rsid w:val="004165C2"/>
    <w:rsid w:val="00416662"/>
    <w:rsid w:val="004166B2"/>
    <w:rsid w:val="0041690F"/>
    <w:rsid w:val="00416B06"/>
    <w:rsid w:val="00416C9B"/>
    <w:rsid w:val="00416E90"/>
    <w:rsid w:val="004171F1"/>
    <w:rsid w:val="004174CF"/>
    <w:rsid w:val="004178F9"/>
    <w:rsid w:val="004202CB"/>
    <w:rsid w:val="0042065F"/>
    <w:rsid w:val="00420679"/>
    <w:rsid w:val="00420714"/>
    <w:rsid w:val="00420A59"/>
    <w:rsid w:val="00420BF7"/>
    <w:rsid w:val="00420FDA"/>
    <w:rsid w:val="0042154A"/>
    <w:rsid w:val="0042161F"/>
    <w:rsid w:val="00421984"/>
    <w:rsid w:val="004220E2"/>
    <w:rsid w:val="00422F43"/>
    <w:rsid w:val="0042366B"/>
    <w:rsid w:val="00423CC3"/>
    <w:rsid w:val="00423D2E"/>
    <w:rsid w:val="00424075"/>
    <w:rsid w:val="0042410E"/>
    <w:rsid w:val="004249F5"/>
    <w:rsid w:val="00424A0A"/>
    <w:rsid w:val="00424C0D"/>
    <w:rsid w:val="0042544F"/>
    <w:rsid w:val="00425ABB"/>
    <w:rsid w:val="004268F5"/>
    <w:rsid w:val="00426D25"/>
    <w:rsid w:val="00426E5A"/>
    <w:rsid w:val="004275AB"/>
    <w:rsid w:val="00427A2E"/>
    <w:rsid w:val="00427C55"/>
    <w:rsid w:val="00427DE7"/>
    <w:rsid w:val="00430242"/>
    <w:rsid w:val="004302F1"/>
    <w:rsid w:val="004303E8"/>
    <w:rsid w:val="00430BCB"/>
    <w:rsid w:val="00431137"/>
    <w:rsid w:val="0043158D"/>
    <w:rsid w:val="00431B0C"/>
    <w:rsid w:val="00431B66"/>
    <w:rsid w:val="00431B8B"/>
    <w:rsid w:val="00432037"/>
    <w:rsid w:val="00432065"/>
    <w:rsid w:val="00432108"/>
    <w:rsid w:val="004329F2"/>
    <w:rsid w:val="00432FC9"/>
    <w:rsid w:val="00433508"/>
    <w:rsid w:val="004335EE"/>
    <w:rsid w:val="00433677"/>
    <w:rsid w:val="00433957"/>
    <w:rsid w:val="004339F2"/>
    <w:rsid w:val="00433A16"/>
    <w:rsid w:val="00433C52"/>
    <w:rsid w:val="00434EFA"/>
    <w:rsid w:val="004351AD"/>
    <w:rsid w:val="00435BE3"/>
    <w:rsid w:val="00435E90"/>
    <w:rsid w:val="00435F95"/>
    <w:rsid w:val="0043615C"/>
    <w:rsid w:val="0043666F"/>
    <w:rsid w:val="0043694C"/>
    <w:rsid w:val="00436DB3"/>
    <w:rsid w:val="0043725B"/>
    <w:rsid w:val="00437A55"/>
    <w:rsid w:val="00437AC5"/>
    <w:rsid w:val="00437E24"/>
    <w:rsid w:val="004406DB"/>
    <w:rsid w:val="00440B04"/>
    <w:rsid w:val="00440F12"/>
    <w:rsid w:val="00440FBA"/>
    <w:rsid w:val="00441112"/>
    <w:rsid w:val="00441258"/>
    <w:rsid w:val="0044194B"/>
    <w:rsid w:val="00441B47"/>
    <w:rsid w:val="00441C08"/>
    <w:rsid w:val="00441C30"/>
    <w:rsid w:val="00441C33"/>
    <w:rsid w:val="00441CAF"/>
    <w:rsid w:val="00442466"/>
    <w:rsid w:val="004424C9"/>
    <w:rsid w:val="00442506"/>
    <w:rsid w:val="00442646"/>
    <w:rsid w:val="004426A2"/>
    <w:rsid w:val="00443212"/>
    <w:rsid w:val="0044326D"/>
    <w:rsid w:val="0044329B"/>
    <w:rsid w:val="004435FD"/>
    <w:rsid w:val="00443833"/>
    <w:rsid w:val="00443E1E"/>
    <w:rsid w:val="00444018"/>
    <w:rsid w:val="00444689"/>
    <w:rsid w:val="00444B75"/>
    <w:rsid w:val="00444D11"/>
    <w:rsid w:val="004450A0"/>
    <w:rsid w:val="00445473"/>
    <w:rsid w:val="004454F4"/>
    <w:rsid w:val="004456BD"/>
    <w:rsid w:val="0044644B"/>
    <w:rsid w:val="004466D2"/>
    <w:rsid w:val="0044683C"/>
    <w:rsid w:val="00446ABA"/>
    <w:rsid w:val="00446E9C"/>
    <w:rsid w:val="004477F2"/>
    <w:rsid w:val="00447C2E"/>
    <w:rsid w:val="00447DAB"/>
    <w:rsid w:val="00451196"/>
    <w:rsid w:val="00451233"/>
    <w:rsid w:val="0045126B"/>
    <w:rsid w:val="00451277"/>
    <w:rsid w:val="004514D4"/>
    <w:rsid w:val="004519D1"/>
    <w:rsid w:val="00451E72"/>
    <w:rsid w:val="00451EF5"/>
    <w:rsid w:val="00451F6D"/>
    <w:rsid w:val="00452009"/>
    <w:rsid w:val="00452688"/>
    <w:rsid w:val="00452A12"/>
    <w:rsid w:val="004531AA"/>
    <w:rsid w:val="00453625"/>
    <w:rsid w:val="004538E3"/>
    <w:rsid w:val="00453BC5"/>
    <w:rsid w:val="00453C31"/>
    <w:rsid w:val="004546E0"/>
    <w:rsid w:val="00454E6D"/>
    <w:rsid w:val="0045570B"/>
    <w:rsid w:val="00455940"/>
    <w:rsid w:val="00455C3E"/>
    <w:rsid w:val="00455D18"/>
    <w:rsid w:val="00455D7F"/>
    <w:rsid w:val="00455F7D"/>
    <w:rsid w:val="0045622B"/>
    <w:rsid w:val="00456380"/>
    <w:rsid w:val="0045747A"/>
    <w:rsid w:val="0045770A"/>
    <w:rsid w:val="00457F32"/>
    <w:rsid w:val="00460A06"/>
    <w:rsid w:val="00460EDC"/>
    <w:rsid w:val="00460F66"/>
    <w:rsid w:val="004614D1"/>
    <w:rsid w:val="00461B40"/>
    <w:rsid w:val="00461B7A"/>
    <w:rsid w:val="00461C2C"/>
    <w:rsid w:val="00461F89"/>
    <w:rsid w:val="004626BA"/>
    <w:rsid w:val="0046276E"/>
    <w:rsid w:val="004628A7"/>
    <w:rsid w:val="00462B5B"/>
    <w:rsid w:val="0046316E"/>
    <w:rsid w:val="004636D8"/>
    <w:rsid w:val="004636DE"/>
    <w:rsid w:val="00463756"/>
    <w:rsid w:val="00463ACB"/>
    <w:rsid w:val="00463E3E"/>
    <w:rsid w:val="00463FCF"/>
    <w:rsid w:val="0046414E"/>
    <w:rsid w:val="0046470E"/>
    <w:rsid w:val="004655F0"/>
    <w:rsid w:val="0046579F"/>
    <w:rsid w:val="00465811"/>
    <w:rsid w:val="00465BC9"/>
    <w:rsid w:val="00466120"/>
    <w:rsid w:val="0046674F"/>
    <w:rsid w:val="0046690A"/>
    <w:rsid w:val="00466A69"/>
    <w:rsid w:val="004672B2"/>
    <w:rsid w:val="004672DC"/>
    <w:rsid w:val="00467483"/>
    <w:rsid w:val="004674B8"/>
    <w:rsid w:val="00467FC9"/>
    <w:rsid w:val="0047033C"/>
    <w:rsid w:val="00470487"/>
    <w:rsid w:val="004708E7"/>
    <w:rsid w:val="00470DDC"/>
    <w:rsid w:val="00470F71"/>
    <w:rsid w:val="00471199"/>
    <w:rsid w:val="0047145A"/>
    <w:rsid w:val="00471BFD"/>
    <w:rsid w:val="00471F45"/>
    <w:rsid w:val="0047247C"/>
    <w:rsid w:val="004726CB"/>
    <w:rsid w:val="00473F40"/>
    <w:rsid w:val="00473F5C"/>
    <w:rsid w:val="00473F5E"/>
    <w:rsid w:val="004743D2"/>
    <w:rsid w:val="0047479C"/>
    <w:rsid w:val="00474CDE"/>
    <w:rsid w:val="004750E2"/>
    <w:rsid w:val="004752A7"/>
    <w:rsid w:val="004754D8"/>
    <w:rsid w:val="004758CF"/>
    <w:rsid w:val="00475ADE"/>
    <w:rsid w:val="00475EB8"/>
    <w:rsid w:val="00475EF3"/>
    <w:rsid w:val="00475F4B"/>
    <w:rsid w:val="00475F95"/>
    <w:rsid w:val="00476097"/>
    <w:rsid w:val="00476427"/>
    <w:rsid w:val="004764C0"/>
    <w:rsid w:val="00477493"/>
    <w:rsid w:val="0047770B"/>
    <w:rsid w:val="004802EA"/>
    <w:rsid w:val="00480543"/>
    <w:rsid w:val="00480593"/>
    <w:rsid w:val="00480666"/>
    <w:rsid w:val="00480724"/>
    <w:rsid w:val="0048078E"/>
    <w:rsid w:val="00480BE2"/>
    <w:rsid w:val="00480CA0"/>
    <w:rsid w:val="00480CC6"/>
    <w:rsid w:val="004817D0"/>
    <w:rsid w:val="004820E3"/>
    <w:rsid w:val="004824A2"/>
    <w:rsid w:val="00482B85"/>
    <w:rsid w:val="00482CFC"/>
    <w:rsid w:val="004839C7"/>
    <w:rsid w:val="00483B1A"/>
    <w:rsid w:val="00483B8A"/>
    <w:rsid w:val="00483E8F"/>
    <w:rsid w:val="00483EAE"/>
    <w:rsid w:val="004840B4"/>
    <w:rsid w:val="00484371"/>
    <w:rsid w:val="0048452C"/>
    <w:rsid w:val="00484D3C"/>
    <w:rsid w:val="00485AFA"/>
    <w:rsid w:val="00485E0A"/>
    <w:rsid w:val="00486401"/>
    <w:rsid w:val="00486436"/>
    <w:rsid w:val="0048701B"/>
    <w:rsid w:val="004872F2"/>
    <w:rsid w:val="0048735C"/>
    <w:rsid w:val="00487407"/>
    <w:rsid w:val="00487657"/>
    <w:rsid w:val="004878B7"/>
    <w:rsid w:val="00487AB6"/>
    <w:rsid w:val="00487C17"/>
    <w:rsid w:val="004902F4"/>
    <w:rsid w:val="004906A7"/>
    <w:rsid w:val="00490B7C"/>
    <w:rsid w:val="004911B6"/>
    <w:rsid w:val="00491919"/>
    <w:rsid w:val="00491C44"/>
    <w:rsid w:val="00492453"/>
    <w:rsid w:val="004925D6"/>
    <w:rsid w:val="00492618"/>
    <w:rsid w:val="00492E37"/>
    <w:rsid w:val="00493F4F"/>
    <w:rsid w:val="00493F6C"/>
    <w:rsid w:val="00494033"/>
    <w:rsid w:val="004944D8"/>
    <w:rsid w:val="00494586"/>
    <w:rsid w:val="0049460B"/>
    <w:rsid w:val="00494C80"/>
    <w:rsid w:val="00494F1F"/>
    <w:rsid w:val="00494FF7"/>
    <w:rsid w:val="004951E4"/>
    <w:rsid w:val="004956D6"/>
    <w:rsid w:val="00495B48"/>
    <w:rsid w:val="00495DB5"/>
    <w:rsid w:val="00495ED7"/>
    <w:rsid w:val="00495F4D"/>
    <w:rsid w:val="00496695"/>
    <w:rsid w:val="00496763"/>
    <w:rsid w:val="00496835"/>
    <w:rsid w:val="00496A2C"/>
    <w:rsid w:val="0049705A"/>
    <w:rsid w:val="00497F64"/>
    <w:rsid w:val="004A0320"/>
    <w:rsid w:val="004A033B"/>
    <w:rsid w:val="004A04E4"/>
    <w:rsid w:val="004A0806"/>
    <w:rsid w:val="004A0C6F"/>
    <w:rsid w:val="004A0CB6"/>
    <w:rsid w:val="004A153C"/>
    <w:rsid w:val="004A2556"/>
    <w:rsid w:val="004A2B86"/>
    <w:rsid w:val="004A30A8"/>
    <w:rsid w:val="004A3C77"/>
    <w:rsid w:val="004A3C9A"/>
    <w:rsid w:val="004A3E63"/>
    <w:rsid w:val="004A40CD"/>
    <w:rsid w:val="004A4191"/>
    <w:rsid w:val="004A4630"/>
    <w:rsid w:val="004A47E9"/>
    <w:rsid w:val="004A4986"/>
    <w:rsid w:val="004A4A3F"/>
    <w:rsid w:val="004A4E4B"/>
    <w:rsid w:val="004A55DF"/>
    <w:rsid w:val="004A5A97"/>
    <w:rsid w:val="004A5BAB"/>
    <w:rsid w:val="004A5C90"/>
    <w:rsid w:val="004A5F73"/>
    <w:rsid w:val="004A60F2"/>
    <w:rsid w:val="004A61A5"/>
    <w:rsid w:val="004A6793"/>
    <w:rsid w:val="004A6E8C"/>
    <w:rsid w:val="004A7389"/>
    <w:rsid w:val="004A7A2F"/>
    <w:rsid w:val="004B0005"/>
    <w:rsid w:val="004B014A"/>
    <w:rsid w:val="004B0168"/>
    <w:rsid w:val="004B0248"/>
    <w:rsid w:val="004B0828"/>
    <w:rsid w:val="004B22A8"/>
    <w:rsid w:val="004B30C7"/>
    <w:rsid w:val="004B3672"/>
    <w:rsid w:val="004B3B82"/>
    <w:rsid w:val="004B3EF2"/>
    <w:rsid w:val="004B4889"/>
    <w:rsid w:val="004B5144"/>
    <w:rsid w:val="004B5E77"/>
    <w:rsid w:val="004B6639"/>
    <w:rsid w:val="004B6BB6"/>
    <w:rsid w:val="004B6DB1"/>
    <w:rsid w:val="004B6E0F"/>
    <w:rsid w:val="004B6F30"/>
    <w:rsid w:val="004B7424"/>
    <w:rsid w:val="004B7A05"/>
    <w:rsid w:val="004C0193"/>
    <w:rsid w:val="004C0292"/>
    <w:rsid w:val="004C0654"/>
    <w:rsid w:val="004C0D6D"/>
    <w:rsid w:val="004C16BD"/>
    <w:rsid w:val="004C2168"/>
    <w:rsid w:val="004C26F7"/>
    <w:rsid w:val="004C2A5C"/>
    <w:rsid w:val="004C2B2B"/>
    <w:rsid w:val="004C2E78"/>
    <w:rsid w:val="004C3BE6"/>
    <w:rsid w:val="004C40CF"/>
    <w:rsid w:val="004C41A9"/>
    <w:rsid w:val="004C4701"/>
    <w:rsid w:val="004C50F5"/>
    <w:rsid w:val="004C5252"/>
    <w:rsid w:val="004C538D"/>
    <w:rsid w:val="004C5794"/>
    <w:rsid w:val="004C5F69"/>
    <w:rsid w:val="004C6801"/>
    <w:rsid w:val="004C6FB8"/>
    <w:rsid w:val="004C71D8"/>
    <w:rsid w:val="004C7890"/>
    <w:rsid w:val="004C7997"/>
    <w:rsid w:val="004D01EA"/>
    <w:rsid w:val="004D0826"/>
    <w:rsid w:val="004D0BFB"/>
    <w:rsid w:val="004D0F71"/>
    <w:rsid w:val="004D1155"/>
    <w:rsid w:val="004D130E"/>
    <w:rsid w:val="004D1AAD"/>
    <w:rsid w:val="004D1F1E"/>
    <w:rsid w:val="004D1FD1"/>
    <w:rsid w:val="004D2604"/>
    <w:rsid w:val="004D2C55"/>
    <w:rsid w:val="004D2E4A"/>
    <w:rsid w:val="004D3033"/>
    <w:rsid w:val="004D3D4E"/>
    <w:rsid w:val="004D48F6"/>
    <w:rsid w:val="004D5A71"/>
    <w:rsid w:val="004D5EA0"/>
    <w:rsid w:val="004D5EE4"/>
    <w:rsid w:val="004D5FC0"/>
    <w:rsid w:val="004D60E6"/>
    <w:rsid w:val="004D63EA"/>
    <w:rsid w:val="004D6613"/>
    <w:rsid w:val="004D6A48"/>
    <w:rsid w:val="004E0076"/>
    <w:rsid w:val="004E0689"/>
    <w:rsid w:val="004E0D00"/>
    <w:rsid w:val="004E0DC8"/>
    <w:rsid w:val="004E1279"/>
    <w:rsid w:val="004E149C"/>
    <w:rsid w:val="004E16CC"/>
    <w:rsid w:val="004E175F"/>
    <w:rsid w:val="004E1BB2"/>
    <w:rsid w:val="004E23B5"/>
    <w:rsid w:val="004E2900"/>
    <w:rsid w:val="004E2945"/>
    <w:rsid w:val="004E2B95"/>
    <w:rsid w:val="004E2FD7"/>
    <w:rsid w:val="004E3076"/>
    <w:rsid w:val="004E3582"/>
    <w:rsid w:val="004E361F"/>
    <w:rsid w:val="004E38E3"/>
    <w:rsid w:val="004E3B5B"/>
    <w:rsid w:val="004E3B8A"/>
    <w:rsid w:val="004E4026"/>
    <w:rsid w:val="004E4BAF"/>
    <w:rsid w:val="004E5268"/>
    <w:rsid w:val="004E5401"/>
    <w:rsid w:val="004E5AFF"/>
    <w:rsid w:val="004E60A4"/>
    <w:rsid w:val="004E6625"/>
    <w:rsid w:val="004E754F"/>
    <w:rsid w:val="004E7650"/>
    <w:rsid w:val="004E79B0"/>
    <w:rsid w:val="004E79C5"/>
    <w:rsid w:val="004E7A77"/>
    <w:rsid w:val="004F022E"/>
    <w:rsid w:val="004F06E7"/>
    <w:rsid w:val="004F07B9"/>
    <w:rsid w:val="004F0DFD"/>
    <w:rsid w:val="004F101A"/>
    <w:rsid w:val="004F1780"/>
    <w:rsid w:val="004F1DD1"/>
    <w:rsid w:val="004F1E55"/>
    <w:rsid w:val="004F21C5"/>
    <w:rsid w:val="004F2834"/>
    <w:rsid w:val="004F28A4"/>
    <w:rsid w:val="004F2EBB"/>
    <w:rsid w:val="004F2EC6"/>
    <w:rsid w:val="004F3559"/>
    <w:rsid w:val="004F3AF2"/>
    <w:rsid w:val="004F3DBF"/>
    <w:rsid w:val="004F43FA"/>
    <w:rsid w:val="004F45AA"/>
    <w:rsid w:val="004F4A42"/>
    <w:rsid w:val="004F4B39"/>
    <w:rsid w:val="004F52D2"/>
    <w:rsid w:val="004F544B"/>
    <w:rsid w:val="004F572A"/>
    <w:rsid w:val="004F5D39"/>
    <w:rsid w:val="004F68AC"/>
    <w:rsid w:val="004F6A60"/>
    <w:rsid w:val="004F6C05"/>
    <w:rsid w:val="004F6C9B"/>
    <w:rsid w:val="004F6F9F"/>
    <w:rsid w:val="004F72AF"/>
    <w:rsid w:val="004F7469"/>
    <w:rsid w:val="00500399"/>
    <w:rsid w:val="005009D4"/>
    <w:rsid w:val="00500B71"/>
    <w:rsid w:val="00500CDE"/>
    <w:rsid w:val="00501312"/>
    <w:rsid w:val="00501805"/>
    <w:rsid w:val="00501F31"/>
    <w:rsid w:val="005020AA"/>
    <w:rsid w:val="0050220E"/>
    <w:rsid w:val="005033F8"/>
    <w:rsid w:val="00503476"/>
    <w:rsid w:val="005038E5"/>
    <w:rsid w:val="00503A3F"/>
    <w:rsid w:val="00503CF0"/>
    <w:rsid w:val="00503F87"/>
    <w:rsid w:val="0050426D"/>
    <w:rsid w:val="00504904"/>
    <w:rsid w:val="00504DC1"/>
    <w:rsid w:val="00504F10"/>
    <w:rsid w:val="00505263"/>
    <w:rsid w:val="00505434"/>
    <w:rsid w:val="0050576A"/>
    <w:rsid w:val="00505CFE"/>
    <w:rsid w:val="00505E0B"/>
    <w:rsid w:val="00505EEA"/>
    <w:rsid w:val="005062A8"/>
    <w:rsid w:val="005062CC"/>
    <w:rsid w:val="00506474"/>
    <w:rsid w:val="005064AD"/>
    <w:rsid w:val="00506A10"/>
    <w:rsid w:val="00506B1B"/>
    <w:rsid w:val="00507093"/>
    <w:rsid w:val="005070F0"/>
    <w:rsid w:val="00510836"/>
    <w:rsid w:val="00511146"/>
    <w:rsid w:val="0051114C"/>
    <w:rsid w:val="00511995"/>
    <w:rsid w:val="00511D43"/>
    <w:rsid w:val="0051201D"/>
    <w:rsid w:val="005120D1"/>
    <w:rsid w:val="00512337"/>
    <w:rsid w:val="00512641"/>
    <w:rsid w:val="0051278C"/>
    <w:rsid w:val="00513817"/>
    <w:rsid w:val="00514619"/>
    <w:rsid w:val="005146F0"/>
    <w:rsid w:val="0051578A"/>
    <w:rsid w:val="00515E15"/>
    <w:rsid w:val="00516012"/>
    <w:rsid w:val="005166B8"/>
    <w:rsid w:val="00516956"/>
    <w:rsid w:val="00516C52"/>
    <w:rsid w:val="00516EE3"/>
    <w:rsid w:val="005170EC"/>
    <w:rsid w:val="00517125"/>
    <w:rsid w:val="005171A6"/>
    <w:rsid w:val="00517349"/>
    <w:rsid w:val="00517798"/>
    <w:rsid w:val="00520183"/>
    <w:rsid w:val="005204EE"/>
    <w:rsid w:val="0052051F"/>
    <w:rsid w:val="005206B2"/>
    <w:rsid w:val="0052083B"/>
    <w:rsid w:val="00520B1F"/>
    <w:rsid w:val="00521303"/>
    <w:rsid w:val="005219F7"/>
    <w:rsid w:val="00521A05"/>
    <w:rsid w:val="00521B10"/>
    <w:rsid w:val="00521E59"/>
    <w:rsid w:val="00521F17"/>
    <w:rsid w:val="0052260E"/>
    <w:rsid w:val="0052261A"/>
    <w:rsid w:val="00522686"/>
    <w:rsid w:val="005229BB"/>
    <w:rsid w:val="00522A32"/>
    <w:rsid w:val="00522C06"/>
    <w:rsid w:val="00523228"/>
    <w:rsid w:val="00523B67"/>
    <w:rsid w:val="00523BF1"/>
    <w:rsid w:val="00523F12"/>
    <w:rsid w:val="00523F23"/>
    <w:rsid w:val="005240CF"/>
    <w:rsid w:val="00524129"/>
    <w:rsid w:val="00524167"/>
    <w:rsid w:val="00524E89"/>
    <w:rsid w:val="00524EBE"/>
    <w:rsid w:val="00525056"/>
    <w:rsid w:val="005250B4"/>
    <w:rsid w:val="005259CD"/>
    <w:rsid w:val="00525A46"/>
    <w:rsid w:val="00526006"/>
    <w:rsid w:val="005260CD"/>
    <w:rsid w:val="005261AE"/>
    <w:rsid w:val="00526755"/>
    <w:rsid w:val="00527360"/>
    <w:rsid w:val="005277F8"/>
    <w:rsid w:val="005278B8"/>
    <w:rsid w:val="00530265"/>
    <w:rsid w:val="005302B6"/>
    <w:rsid w:val="0053034F"/>
    <w:rsid w:val="00530589"/>
    <w:rsid w:val="0053069C"/>
    <w:rsid w:val="0053076E"/>
    <w:rsid w:val="00530B46"/>
    <w:rsid w:val="005313FD"/>
    <w:rsid w:val="00531467"/>
    <w:rsid w:val="00532115"/>
    <w:rsid w:val="00532164"/>
    <w:rsid w:val="00532A07"/>
    <w:rsid w:val="005331AD"/>
    <w:rsid w:val="0053384E"/>
    <w:rsid w:val="00533CE9"/>
    <w:rsid w:val="00533CF7"/>
    <w:rsid w:val="00534191"/>
    <w:rsid w:val="00534390"/>
    <w:rsid w:val="00534433"/>
    <w:rsid w:val="00534528"/>
    <w:rsid w:val="00534793"/>
    <w:rsid w:val="00534E31"/>
    <w:rsid w:val="00535148"/>
    <w:rsid w:val="0053583B"/>
    <w:rsid w:val="00535B33"/>
    <w:rsid w:val="00535CBD"/>
    <w:rsid w:val="0053617E"/>
    <w:rsid w:val="005368D0"/>
    <w:rsid w:val="00536A25"/>
    <w:rsid w:val="00536F81"/>
    <w:rsid w:val="00537ADC"/>
    <w:rsid w:val="00537CE0"/>
    <w:rsid w:val="00537D4E"/>
    <w:rsid w:val="00540221"/>
    <w:rsid w:val="0054045E"/>
    <w:rsid w:val="00540A8D"/>
    <w:rsid w:val="00540E3F"/>
    <w:rsid w:val="00541249"/>
    <w:rsid w:val="00541629"/>
    <w:rsid w:val="00541796"/>
    <w:rsid w:val="0054221E"/>
    <w:rsid w:val="005422B2"/>
    <w:rsid w:val="0054237C"/>
    <w:rsid w:val="005424D4"/>
    <w:rsid w:val="005425BD"/>
    <w:rsid w:val="0054275F"/>
    <w:rsid w:val="005434E1"/>
    <w:rsid w:val="00543C17"/>
    <w:rsid w:val="00544092"/>
    <w:rsid w:val="00544890"/>
    <w:rsid w:val="005448FB"/>
    <w:rsid w:val="00544A53"/>
    <w:rsid w:val="00544B4D"/>
    <w:rsid w:val="00544E52"/>
    <w:rsid w:val="005458B6"/>
    <w:rsid w:val="005459CC"/>
    <w:rsid w:val="00545E15"/>
    <w:rsid w:val="00546242"/>
    <w:rsid w:val="005466B8"/>
    <w:rsid w:val="00546781"/>
    <w:rsid w:val="00546C17"/>
    <w:rsid w:val="00546CDE"/>
    <w:rsid w:val="005473C4"/>
    <w:rsid w:val="00547587"/>
    <w:rsid w:val="0054764B"/>
    <w:rsid w:val="00547823"/>
    <w:rsid w:val="00547871"/>
    <w:rsid w:val="00547CCC"/>
    <w:rsid w:val="00547E5C"/>
    <w:rsid w:val="0055020B"/>
    <w:rsid w:val="0055021F"/>
    <w:rsid w:val="005506D9"/>
    <w:rsid w:val="00550D6E"/>
    <w:rsid w:val="0055101F"/>
    <w:rsid w:val="00551239"/>
    <w:rsid w:val="0055142C"/>
    <w:rsid w:val="00551E72"/>
    <w:rsid w:val="00551FED"/>
    <w:rsid w:val="005523E3"/>
    <w:rsid w:val="00552A04"/>
    <w:rsid w:val="00552B44"/>
    <w:rsid w:val="00553013"/>
    <w:rsid w:val="00553362"/>
    <w:rsid w:val="005535DE"/>
    <w:rsid w:val="00553C19"/>
    <w:rsid w:val="00554172"/>
    <w:rsid w:val="00555888"/>
    <w:rsid w:val="0055609B"/>
    <w:rsid w:val="005564BE"/>
    <w:rsid w:val="005565F7"/>
    <w:rsid w:val="005566C1"/>
    <w:rsid w:val="005566DC"/>
    <w:rsid w:val="00556A52"/>
    <w:rsid w:val="00556C88"/>
    <w:rsid w:val="00557169"/>
    <w:rsid w:val="0055746A"/>
    <w:rsid w:val="00557982"/>
    <w:rsid w:val="00557BAF"/>
    <w:rsid w:val="00557BB0"/>
    <w:rsid w:val="00557E11"/>
    <w:rsid w:val="00560182"/>
    <w:rsid w:val="00560AAC"/>
    <w:rsid w:val="00560B53"/>
    <w:rsid w:val="00560EF5"/>
    <w:rsid w:val="00560F4A"/>
    <w:rsid w:val="005615E1"/>
    <w:rsid w:val="00561694"/>
    <w:rsid w:val="00561DEF"/>
    <w:rsid w:val="00562012"/>
    <w:rsid w:val="0056202B"/>
    <w:rsid w:val="005624CE"/>
    <w:rsid w:val="005628F8"/>
    <w:rsid w:val="00562A89"/>
    <w:rsid w:val="00562ABF"/>
    <w:rsid w:val="00562F7F"/>
    <w:rsid w:val="00562F83"/>
    <w:rsid w:val="005630D6"/>
    <w:rsid w:val="00563B3C"/>
    <w:rsid w:val="00563C06"/>
    <w:rsid w:val="00563DAD"/>
    <w:rsid w:val="00563EC0"/>
    <w:rsid w:val="005640FA"/>
    <w:rsid w:val="005644B9"/>
    <w:rsid w:val="005646E5"/>
    <w:rsid w:val="005648DC"/>
    <w:rsid w:val="00565527"/>
    <w:rsid w:val="00565826"/>
    <w:rsid w:val="00565BE8"/>
    <w:rsid w:val="00565D64"/>
    <w:rsid w:val="0056601F"/>
    <w:rsid w:val="005669E5"/>
    <w:rsid w:val="00566F52"/>
    <w:rsid w:val="00566F8C"/>
    <w:rsid w:val="005672D4"/>
    <w:rsid w:val="005679D5"/>
    <w:rsid w:val="00567BF1"/>
    <w:rsid w:val="00567E44"/>
    <w:rsid w:val="00570A49"/>
    <w:rsid w:val="00570FDD"/>
    <w:rsid w:val="005713F0"/>
    <w:rsid w:val="00571521"/>
    <w:rsid w:val="005717A7"/>
    <w:rsid w:val="0057194C"/>
    <w:rsid w:val="00572003"/>
    <w:rsid w:val="00572218"/>
    <w:rsid w:val="00572243"/>
    <w:rsid w:val="00572352"/>
    <w:rsid w:val="00572DB5"/>
    <w:rsid w:val="0057312A"/>
    <w:rsid w:val="00573354"/>
    <w:rsid w:val="00573A42"/>
    <w:rsid w:val="00573C6C"/>
    <w:rsid w:val="005741E1"/>
    <w:rsid w:val="0057448F"/>
    <w:rsid w:val="00574BAB"/>
    <w:rsid w:val="00575223"/>
    <w:rsid w:val="00575A0B"/>
    <w:rsid w:val="005769AF"/>
    <w:rsid w:val="00576BF9"/>
    <w:rsid w:val="00576D9C"/>
    <w:rsid w:val="00576F13"/>
    <w:rsid w:val="00576F2C"/>
    <w:rsid w:val="00580080"/>
    <w:rsid w:val="00580252"/>
    <w:rsid w:val="00580373"/>
    <w:rsid w:val="00580492"/>
    <w:rsid w:val="00580FB1"/>
    <w:rsid w:val="00581329"/>
    <w:rsid w:val="005814D8"/>
    <w:rsid w:val="00581FDF"/>
    <w:rsid w:val="0058240C"/>
    <w:rsid w:val="00582B68"/>
    <w:rsid w:val="00582BC3"/>
    <w:rsid w:val="005833AA"/>
    <w:rsid w:val="005834D7"/>
    <w:rsid w:val="0058360F"/>
    <w:rsid w:val="00583707"/>
    <w:rsid w:val="00583CC0"/>
    <w:rsid w:val="00583FF3"/>
    <w:rsid w:val="005841E0"/>
    <w:rsid w:val="00584634"/>
    <w:rsid w:val="005847CE"/>
    <w:rsid w:val="0058483E"/>
    <w:rsid w:val="005853B3"/>
    <w:rsid w:val="0058545A"/>
    <w:rsid w:val="00585662"/>
    <w:rsid w:val="0058573E"/>
    <w:rsid w:val="0058588B"/>
    <w:rsid w:val="005858AE"/>
    <w:rsid w:val="0058592B"/>
    <w:rsid w:val="0058598A"/>
    <w:rsid w:val="00585B8D"/>
    <w:rsid w:val="005866C1"/>
    <w:rsid w:val="0058689D"/>
    <w:rsid w:val="005869B2"/>
    <w:rsid w:val="00586A42"/>
    <w:rsid w:val="00586B39"/>
    <w:rsid w:val="00586E22"/>
    <w:rsid w:val="005876AA"/>
    <w:rsid w:val="005877A2"/>
    <w:rsid w:val="005901E3"/>
    <w:rsid w:val="00590434"/>
    <w:rsid w:val="00590D22"/>
    <w:rsid w:val="00591144"/>
    <w:rsid w:val="0059187E"/>
    <w:rsid w:val="005924E1"/>
    <w:rsid w:val="0059254F"/>
    <w:rsid w:val="00592B49"/>
    <w:rsid w:val="00592C97"/>
    <w:rsid w:val="0059382A"/>
    <w:rsid w:val="005939B9"/>
    <w:rsid w:val="00593AC6"/>
    <w:rsid w:val="00593D14"/>
    <w:rsid w:val="005948AA"/>
    <w:rsid w:val="005957DA"/>
    <w:rsid w:val="00597079"/>
    <w:rsid w:val="00597262"/>
    <w:rsid w:val="00597301"/>
    <w:rsid w:val="00597470"/>
    <w:rsid w:val="00597484"/>
    <w:rsid w:val="005974CA"/>
    <w:rsid w:val="00597C95"/>
    <w:rsid w:val="005A0C99"/>
    <w:rsid w:val="005A0CB2"/>
    <w:rsid w:val="005A1311"/>
    <w:rsid w:val="005A1919"/>
    <w:rsid w:val="005A1C2A"/>
    <w:rsid w:val="005A20FE"/>
    <w:rsid w:val="005A2245"/>
    <w:rsid w:val="005A27DB"/>
    <w:rsid w:val="005A2BC9"/>
    <w:rsid w:val="005A3108"/>
    <w:rsid w:val="005A31A2"/>
    <w:rsid w:val="005A3D0E"/>
    <w:rsid w:val="005A3DAC"/>
    <w:rsid w:val="005A3E47"/>
    <w:rsid w:val="005A407B"/>
    <w:rsid w:val="005A48AA"/>
    <w:rsid w:val="005A4959"/>
    <w:rsid w:val="005A500E"/>
    <w:rsid w:val="005A5680"/>
    <w:rsid w:val="005A5952"/>
    <w:rsid w:val="005A5A32"/>
    <w:rsid w:val="005A5B7D"/>
    <w:rsid w:val="005A5FDE"/>
    <w:rsid w:val="005A624F"/>
    <w:rsid w:val="005A6877"/>
    <w:rsid w:val="005A6D24"/>
    <w:rsid w:val="005A7100"/>
    <w:rsid w:val="005A722C"/>
    <w:rsid w:val="005A72C5"/>
    <w:rsid w:val="005A738D"/>
    <w:rsid w:val="005A7411"/>
    <w:rsid w:val="005A746F"/>
    <w:rsid w:val="005A7AAE"/>
    <w:rsid w:val="005B0003"/>
    <w:rsid w:val="005B0473"/>
    <w:rsid w:val="005B0631"/>
    <w:rsid w:val="005B070C"/>
    <w:rsid w:val="005B0CB2"/>
    <w:rsid w:val="005B1080"/>
    <w:rsid w:val="005B1313"/>
    <w:rsid w:val="005B1C2F"/>
    <w:rsid w:val="005B26D2"/>
    <w:rsid w:val="005B26FB"/>
    <w:rsid w:val="005B2B61"/>
    <w:rsid w:val="005B2F6F"/>
    <w:rsid w:val="005B3987"/>
    <w:rsid w:val="005B3CBF"/>
    <w:rsid w:val="005B3D4F"/>
    <w:rsid w:val="005B3E62"/>
    <w:rsid w:val="005B4777"/>
    <w:rsid w:val="005B4B6A"/>
    <w:rsid w:val="005B52F3"/>
    <w:rsid w:val="005B5707"/>
    <w:rsid w:val="005B590A"/>
    <w:rsid w:val="005B5EAA"/>
    <w:rsid w:val="005B5FEF"/>
    <w:rsid w:val="005B60E2"/>
    <w:rsid w:val="005B6E3E"/>
    <w:rsid w:val="005B6EDC"/>
    <w:rsid w:val="005B74CD"/>
    <w:rsid w:val="005B760C"/>
    <w:rsid w:val="005B7794"/>
    <w:rsid w:val="005B7C1C"/>
    <w:rsid w:val="005B7E7C"/>
    <w:rsid w:val="005C07D2"/>
    <w:rsid w:val="005C095E"/>
    <w:rsid w:val="005C0BD6"/>
    <w:rsid w:val="005C0DEC"/>
    <w:rsid w:val="005C0E18"/>
    <w:rsid w:val="005C21D8"/>
    <w:rsid w:val="005C265C"/>
    <w:rsid w:val="005C2727"/>
    <w:rsid w:val="005C2A1A"/>
    <w:rsid w:val="005C2EF4"/>
    <w:rsid w:val="005C345C"/>
    <w:rsid w:val="005C374E"/>
    <w:rsid w:val="005C4400"/>
    <w:rsid w:val="005C441D"/>
    <w:rsid w:val="005C45B8"/>
    <w:rsid w:val="005C4AD1"/>
    <w:rsid w:val="005C4DA8"/>
    <w:rsid w:val="005C4E29"/>
    <w:rsid w:val="005C54DE"/>
    <w:rsid w:val="005C6510"/>
    <w:rsid w:val="005C6601"/>
    <w:rsid w:val="005C6FEC"/>
    <w:rsid w:val="005C7272"/>
    <w:rsid w:val="005C7350"/>
    <w:rsid w:val="005C759E"/>
    <w:rsid w:val="005C7985"/>
    <w:rsid w:val="005C7BC9"/>
    <w:rsid w:val="005C7DD6"/>
    <w:rsid w:val="005C7F9C"/>
    <w:rsid w:val="005D0024"/>
    <w:rsid w:val="005D01CB"/>
    <w:rsid w:val="005D01F7"/>
    <w:rsid w:val="005D0941"/>
    <w:rsid w:val="005D0B9A"/>
    <w:rsid w:val="005D1013"/>
    <w:rsid w:val="005D1110"/>
    <w:rsid w:val="005D1E88"/>
    <w:rsid w:val="005D224E"/>
    <w:rsid w:val="005D268D"/>
    <w:rsid w:val="005D274C"/>
    <w:rsid w:val="005D296A"/>
    <w:rsid w:val="005D30FF"/>
    <w:rsid w:val="005D3489"/>
    <w:rsid w:val="005D3E31"/>
    <w:rsid w:val="005D4146"/>
    <w:rsid w:val="005D4641"/>
    <w:rsid w:val="005D4A91"/>
    <w:rsid w:val="005D4BBB"/>
    <w:rsid w:val="005D4ECA"/>
    <w:rsid w:val="005D5701"/>
    <w:rsid w:val="005D574B"/>
    <w:rsid w:val="005D57AA"/>
    <w:rsid w:val="005D5B46"/>
    <w:rsid w:val="005D5BCE"/>
    <w:rsid w:val="005D6163"/>
    <w:rsid w:val="005D61D2"/>
    <w:rsid w:val="005D62C2"/>
    <w:rsid w:val="005D63D1"/>
    <w:rsid w:val="005D63D7"/>
    <w:rsid w:val="005D6608"/>
    <w:rsid w:val="005D6B28"/>
    <w:rsid w:val="005D7368"/>
    <w:rsid w:val="005D7374"/>
    <w:rsid w:val="005D73D3"/>
    <w:rsid w:val="005D7659"/>
    <w:rsid w:val="005D79B0"/>
    <w:rsid w:val="005D7F2F"/>
    <w:rsid w:val="005E01FC"/>
    <w:rsid w:val="005E0234"/>
    <w:rsid w:val="005E1552"/>
    <w:rsid w:val="005E165C"/>
    <w:rsid w:val="005E1776"/>
    <w:rsid w:val="005E221E"/>
    <w:rsid w:val="005E2308"/>
    <w:rsid w:val="005E26EE"/>
    <w:rsid w:val="005E3267"/>
    <w:rsid w:val="005E3491"/>
    <w:rsid w:val="005E365F"/>
    <w:rsid w:val="005E4145"/>
    <w:rsid w:val="005E426F"/>
    <w:rsid w:val="005E42F7"/>
    <w:rsid w:val="005E4692"/>
    <w:rsid w:val="005E4863"/>
    <w:rsid w:val="005E4AF6"/>
    <w:rsid w:val="005E4CCF"/>
    <w:rsid w:val="005E4EF0"/>
    <w:rsid w:val="005E50F8"/>
    <w:rsid w:val="005E52A2"/>
    <w:rsid w:val="005E5395"/>
    <w:rsid w:val="005E53ED"/>
    <w:rsid w:val="005E5571"/>
    <w:rsid w:val="005E5824"/>
    <w:rsid w:val="005E5EE5"/>
    <w:rsid w:val="005E6B48"/>
    <w:rsid w:val="005E6C58"/>
    <w:rsid w:val="005E6F76"/>
    <w:rsid w:val="005E7B47"/>
    <w:rsid w:val="005F0013"/>
    <w:rsid w:val="005F004A"/>
    <w:rsid w:val="005F0119"/>
    <w:rsid w:val="005F0408"/>
    <w:rsid w:val="005F04FC"/>
    <w:rsid w:val="005F0659"/>
    <w:rsid w:val="005F08B6"/>
    <w:rsid w:val="005F08C1"/>
    <w:rsid w:val="005F092A"/>
    <w:rsid w:val="005F0A16"/>
    <w:rsid w:val="005F0B15"/>
    <w:rsid w:val="005F0D2D"/>
    <w:rsid w:val="005F0E85"/>
    <w:rsid w:val="005F0F70"/>
    <w:rsid w:val="005F0F85"/>
    <w:rsid w:val="005F206C"/>
    <w:rsid w:val="005F2A85"/>
    <w:rsid w:val="005F31CA"/>
    <w:rsid w:val="005F3442"/>
    <w:rsid w:val="005F3507"/>
    <w:rsid w:val="005F3983"/>
    <w:rsid w:val="005F3987"/>
    <w:rsid w:val="005F3AF6"/>
    <w:rsid w:val="005F3E95"/>
    <w:rsid w:val="005F48BA"/>
    <w:rsid w:val="005F4E18"/>
    <w:rsid w:val="005F520A"/>
    <w:rsid w:val="005F5221"/>
    <w:rsid w:val="005F55BF"/>
    <w:rsid w:val="005F5843"/>
    <w:rsid w:val="005F5A23"/>
    <w:rsid w:val="005F5BBE"/>
    <w:rsid w:val="005F5BD3"/>
    <w:rsid w:val="005F5D3E"/>
    <w:rsid w:val="005F6509"/>
    <w:rsid w:val="005F6719"/>
    <w:rsid w:val="005F6D32"/>
    <w:rsid w:val="005F7160"/>
    <w:rsid w:val="005F71DC"/>
    <w:rsid w:val="005F75B2"/>
    <w:rsid w:val="005F75CD"/>
    <w:rsid w:val="005F7B4A"/>
    <w:rsid w:val="005F7CC8"/>
    <w:rsid w:val="005F7E18"/>
    <w:rsid w:val="00600185"/>
    <w:rsid w:val="006002B6"/>
    <w:rsid w:val="00600B65"/>
    <w:rsid w:val="0060101B"/>
    <w:rsid w:val="006011C1"/>
    <w:rsid w:val="0060126D"/>
    <w:rsid w:val="00601830"/>
    <w:rsid w:val="0060193F"/>
    <w:rsid w:val="00601F14"/>
    <w:rsid w:val="006026CA"/>
    <w:rsid w:val="00602A28"/>
    <w:rsid w:val="00602D50"/>
    <w:rsid w:val="006039AF"/>
    <w:rsid w:val="00603BB3"/>
    <w:rsid w:val="00604876"/>
    <w:rsid w:val="00604B53"/>
    <w:rsid w:val="00604F8A"/>
    <w:rsid w:val="00605104"/>
    <w:rsid w:val="006058E5"/>
    <w:rsid w:val="006059CD"/>
    <w:rsid w:val="00605DC4"/>
    <w:rsid w:val="00605F8F"/>
    <w:rsid w:val="006067B7"/>
    <w:rsid w:val="00606C11"/>
    <w:rsid w:val="00606D88"/>
    <w:rsid w:val="00606FA2"/>
    <w:rsid w:val="0060716D"/>
    <w:rsid w:val="0060732E"/>
    <w:rsid w:val="00607840"/>
    <w:rsid w:val="00607D21"/>
    <w:rsid w:val="0061005F"/>
    <w:rsid w:val="00610117"/>
    <w:rsid w:val="0061098A"/>
    <w:rsid w:val="00610BCE"/>
    <w:rsid w:val="0061134B"/>
    <w:rsid w:val="0061192C"/>
    <w:rsid w:val="00611F74"/>
    <w:rsid w:val="00611FAA"/>
    <w:rsid w:val="0061234D"/>
    <w:rsid w:val="006124DA"/>
    <w:rsid w:val="006125DB"/>
    <w:rsid w:val="006126FC"/>
    <w:rsid w:val="006127A4"/>
    <w:rsid w:val="00612FB3"/>
    <w:rsid w:val="00613614"/>
    <w:rsid w:val="00613AB1"/>
    <w:rsid w:val="006140CB"/>
    <w:rsid w:val="00614197"/>
    <w:rsid w:val="006141AC"/>
    <w:rsid w:val="006153B6"/>
    <w:rsid w:val="00615D17"/>
    <w:rsid w:val="00616422"/>
    <w:rsid w:val="0061646E"/>
    <w:rsid w:val="006166EC"/>
    <w:rsid w:val="00616E6D"/>
    <w:rsid w:val="0061715A"/>
    <w:rsid w:val="0061765F"/>
    <w:rsid w:val="006176DF"/>
    <w:rsid w:val="00617835"/>
    <w:rsid w:val="00617840"/>
    <w:rsid w:val="006179F9"/>
    <w:rsid w:val="00617D30"/>
    <w:rsid w:val="00617E36"/>
    <w:rsid w:val="00617FB7"/>
    <w:rsid w:val="006203C2"/>
    <w:rsid w:val="0062094C"/>
    <w:rsid w:val="00620BA4"/>
    <w:rsid w:val="00620DC6"/>
    <w:rsid w:val="0062173F"/>
    <w:rsid w:val="006217AE"/>
    <w:rsid w:val="00621935"/>
    <w:rsid w:val="00621F54"/>
    <w:rsid w:val="00622390"/>
    <w:rsid w:val="00622EA8"/>
    <w:rsid w:val="00622F89"/>
    <w:rsid w:val="00623037"/>
    <w:rsid w:val="006230B8"/>
    <w:rsid w:val="0062336F"/>
    <w:rsid w:val="006238AE"/>
    <w:rsid w:val="0062395F"/>
    <w:rsid w:val="006239F4"/>
    <w:rsid w:val="006241C4"/>
    <w:rsid w:val="00624FF5"/>
    <w:rsid w:val="00625020"/>
    <w:rsid w:val="00625215"/>
    <w:rsid w:val="006252BB"/>
    <w:rsid w:val="006254AC"/>
    <w:rsid w:val="0062556C"/>
    <w:rsid w:val="00625A32"/>
    <w:rsid w:val="00625B5C"/>
    <w:rsid w:val="00625BE9"/>
    <w:rsid w:val="00625D09"/>
    <w:rsid w:val="00625D53"/>
    <w:rsid w:val="00625D81"/>
    <w:rsid w:val="006269B9"/>
    <w:rsid w:val="006278EF"/>
    <w:rsid w:val="00627B11"/>
    <w:rsid w:val="00630546"/>
    <w:rsid w:val="006305F5"/>
    <w:rsid w:val="00631849"/>
    <w:rsid w:val="00631F1B"/>
    <w:rsid w:val="00631FE0"/>
    <w:rsid w:val="00632326"/>
    <w:rsid w:val="00632B8D"/>
    <w:rsid w:val="00632B91"/>
    <w:rsid w:val="006335A5"/>
    <w:rsid w:val="0063377C"/>
    <w:rsid w:val="00633BFB"/>
    <w:rsid w:val="00633CE4"/>
    <w:rsid w:val="00633CF8"/>
    <w:rsid w:val="006342B7"/>
    <w:rsid w:val="0063458C"/>
    <w:rsid w:val="00634CEB"/>
    <w:rsid w:val="00634E44"/>
    <w:rsid w:val="00635306"/>
    <w:rsid w:val="006355E2"/>
    <w:rsid w:val="006355EA"/>
    <w:rsid w:val="00635B57"/>
    <w:rsid w:val="00635FBA"/>
    <w:rsid w:val="00636239"/>
    <w:rsid w:val="00636BC0"/>
    <w:rsid w:val="00636F0B"/>
    <w:rsid w:val="0063750A"/>
    <w:rsid w:val="006375BB"/>
    <w:rsid w:val="006375D6"/>
    <w:rsid w:val="00637A58"/>
    <w:rsid w:val="0064040D"/>
    <w:rsid w:val="0064080C"/>
    <w:rsid w:val="00640B58"/>
    <w:rsid w:val="00641075"/>
    <w:rsid w:val="0064181C"/>
    <w:rsid w:val="00641B75"/>
    <w:rsid w:val="00641F48"/>
    <w:rsid w:val="006420CB"/>
    <w:rsid w:val="00642926"/>
    <w:rsid w:val="00642D07"/>
    <w:rsid w:val="0064316F"/>
    <w:rsid w:val="006434E5"/>
    <w:rsid w:val="00643578"/>
    <w:rsid w:val="006436F1"/>
    <w:rsid w:val="0064394C"/>
    <w:rsid w:val="0064396B"/>
    <w:rsid w:val="00643DFA"/>
    <w:rsid w:val="00644CCF"/>
    <w:rsid w:val="00644CE9"/>
    <w:rsid w:val="00644E9C"/>
    <w:rsid w:val="0064521A"/>
    <w:rsid w:val="00645860"/>
    <w:rsid w:val="00645D5C"/>
    <w:rsid w:val="00645FDE"/>
    <w:rsid w:val="00646451"/>
    <w:rsid w:val="006465F0"/>
    <w:rsid w:val="00646649"/>
    <w:rsid w:val="00647220"/>
    <w:rsid w:val="00647267"/>
    <w:rsid w:val="006472A4"/>
    <w:rsid w:val="006474CD"/>
    <w:rsid w:val="00647662"/>
    <w:rsid w:val="006478DE"/>
    <w:rsid w:val="00650116"/>
    <w:rsid w:val="006501E7"/>
    <w:rsid w:val="00650486"/>
    <w:rsid w:val="00650581"/>
    <w:rsid w:val="006508A4"/>
    <w:rsid w:val="00650939"/>
    <w:rsid w:val="006516A0"/>
    <w:rsid w:val="00651701"/>
    <w:rsid w:val="00651D35"/>
    <w:rsid w:val="00651F4A"/>
    <w:rsid w:val="0065206F"/>
    <w:rsid w:val="006529BD"/>
    <w:rsid w:val="00653491"/>
    <w:rsid w:val="00653505"/>
    <w:rsid w:val="00653751"/>
    <w:rsid w:val="00653AE4"/>
    <w:rsid w:val="00653D6A"/>
    <w:rsid w:val="00653FFA"/>
    <w:rsid w:val="00654337"/>
    <w:rsid w:val="00654382"/>
    <w:rsid w:val="0065451F"/>
    <w:rsid w:val="006548D5"/>
    <w:rsid w:val="00654ECF"/>
    <w:rsid w:val="00655293"/>
    <w:rsid w:val="00655766"/>
    <w:rsid w:val="006559B8"/>
    <w:rsid w:val="00655B3B"/>
    <w:rsid w:val="00655B7D"/>
    <w:rsid w:val="00655BE3"/>
    <w:rsid w:val="00656035"/>
    <w:rsid w:val="00656A89"/>
    <w:rsid w:val="00656BB3"/>
    <w:rsid w:val="00657581"/>
    <w:rsid w:val="00657A3B"/>
    <w:rsid w:val="006602ED"/>
    <w:rsid w:val="00660429"/>
    <w:rsid w:val="00660522"/>
    <w:rsid w:val="006615E2"/>
    <w:rsid w:val="00661896"/>
    <w:rsid w:val="006619A2"/>
    <w:rsid w:val="006619BA"/>
    <w:rsid w:val="00661D13"/>
    <w:rsid w:val="00661F45"/>
    <w:rsid w:val="006623CF"/>
    <w:rsid w:val="00662B67"/>
    <w:rsid w:val="00662D53"/>
    <w:rsid w:val="00662E4C"/>
    <w:rsid w:val="006630FC"/>
    <w:rsid w:val="00663C75"/>
    <w:rsid w:val="00663F6F"/>
    <w:rsid w:val="0066425C"/>
    <w:rsid w:val="00664269"/>
    <w:rsid w:val="006648D2"/>
    <w:rsid w:val="0066496B"/>
    <w:rsid w:val="00664DEE"/>
    <w:rsid w:val="00665BB9"/>
    <w:rsid w:val="0066603F"/>
    <w:rsid w:val="00666219"/>
    <w:rsid w:val="00666A14"/>
    <w:rsid w:val="00666AD7"/>
    <w:rsid w:val="006670B7"/>
    <w:rsid w:val="00667113"/>
    <w:rsid w:val="006675B4"/>
    <w:rsid w:val="0067023B"/>
    <w:rsid w:val="006704EA"/>
    <w:rsid w:val="00670891"/>
    <w:rsid w:val="00670A43"/>
    <w:rsid w:val="006715CD"/>
    <w:rsid w:val="00671B59"/>
    <w:rsid w:val="00671E40"/>
    <w:rsid w:val="00672178"/>
    <w:rsid w:val="0067259B"/>
    <w:rsid w:val="006725BD"/>
    <w:rsid w:val="00672AC6"/>
    <w:rsid w:val="00672D52"/>
    <w:rsid w:val="00672DB1"/>
    <w:rsid w:val="006734F7"/>
    <w:rsid w:val="006736F9"/>
    <w:rsid w:val="00673CC5"/>
    <w:rsid w:val="00673D8C"/>
    <w:rsid w:val="006747D1"/>
    <w:rsid w:val="00674936"/>
    <w:rsid w:val="006752A4"/>
    <w:rsid w:val="006756A8"/>
    <w:rsid w:val="006759C3"/>
    <w:rsid w:val="00675B80"/>
    <w:rsid w:val="00675F7D"/>
    <w:rsid w:val="00676520"/>
    <w:rsid w:val="00676765"/>
    <w:rsid w:val="00676A2C"/>
    <w:rsid w:val="00676AD6"/>
    <w:rsid w:val="006779FC"/>
    <w:rsid w:val="00677ABC"/>
    <w:rsid w:val="00680EFA"/>
    <w:rsid w:val="006810C7"/>
    <w:rsid w:val="00681228"/>
    <w:rsid w:val="0068139A"/>
    <w:rsid w:val="00681571"/>
    <w:rsid w:val="00681ED5"/>
    <w:rsid w:val="006823A0"/>
    <w:rsid w:val="006825D3"/>
    <w:rsid w:val="006827C7"/>
    <w:rsid w:val="00682C56"/>
    <w:rsid w:val="006833F4"/>
    <w:rsid w:val="00683A1D"/>
    <w:rsid w:val="00683B2E"/>
    <w:rsid w:val="00684394"/>
    <w:rsid w:val="00684BDA"/>
    <w:rsid w:val="00684D56"/>
    <w:rsid w:val="00684DBD"/>
    <w:rsid w:val="0068534C"/>
    <w:rsid w:val="00685375"/>
    <w:rsid w:val="0068543B"/>
    <w:rsid w:val="00685951"/>
    <w:rsid w:val="0068632C"/>
    <w:rsid w:val="00686330"/>
    <w:rsid w:val="00686821"/>
    <w:rsid w:val="006868D4"/>
    <w:rsid w:val="006870C2"/>
    <w:rsid w:val="00687666"/>
    <w:rsid w:val="00687913"/>
    <w:rsid w:val="006902D8"/>
    <w:rsid w:val="00690502"/>
    <w:rsid w:val="00690A45"/>
    <w:rsid w:val="00690E59"/>
    <w:rsid w:val="00691065"/>
    <w:rsid w:val="00691CE1"/>
    <w:rsid w:val="00691E1E"/>
    <w:rsid w:val="006921ED"/>
    <w:rsid w:val="006921EE"/>
    <w:rsid w:val="00692275"/>
    <w:rsid w:val="0069247B"/>
    <w:rsid w:val="00692A34"/>
    <w:rsid w:val="00693781"/>
    <w:rsid w:val="00693D6E"/>
    <w:rsid w:val="00693DF1"/>
    <w:rsid w:val="00694A36"/>
    <w:rsid w:val="0069592E"/>
    <w:rsid w:val="00695D62"/>
    <w:rsid w:val="00695FCC"/>
    <w:rsid w:val="00696583"/>
    <w:rsid w:val="0069664D"/>
    <w:rsid w:val="006966AA"/>
    <w:rsid w:val="00697678"/>
    <w:rsid w:val="00697AAF"/>
    <w:rsid w:val="00697D1B"/>
    <w:rsid w:val="00697DFE"/>
    <w:rsid w:val="006A00DF"/>
    <w:rsid w:val="006A08AD"/>
    <w:rsid w:val="006A08DE"/>
    <w:rsid w:val="006A0E07"/>
    <w:rsid w:val="006A0FDA"/>
    <w:rsid w:val="006A16D5"/>
    <w:rsid w:val="006A17BC"/>
    <w:rsid w:val="006A2097"/>
    <w:rsid w:val="006A243D"/>
    <w:rsid w:val="006A2548"/>
    <w:rsid w:val="006A274D"/>
    <w:rsid w:val="006A2F9B"/>
    <w:rsid w:val="006A3240"/>
    <w:rsid w:val="006A341D"/>
    <w:rsid w:val="006A361A"/>
    <w:rsid w:val="006A43A9"/>
    <w:rsid w:val="006A4741"/>
    <w:rsid w:val="006A49EC"/>
    <w:rsid w:val="006A4C68"/>
    <w:rsid w:val="006A5245"/>
    <w:rsid w:val="006A5406"/>
    <w:rsid w:val="006A5806"/>
    <w:rsid w:val="006A5CEF"/>
    <w:rsid w:val="006A6607"/>
    <w:rsid w:val="006B03B0"/>
    <w:rsid w:val="006B0668"/>
    <w:rsid w:val="006B0F6C"/>
    <w:rsid w:val="006B108B"/>
    <w:rsid w:val="006B167D"/>
    <w:rsid w:val="006B17FA"/>
    <w:rsid w:val="006B1C56"/>
    <w:rsid w:val="006B1C5E"/>
    <w:rsid w:val="006B1E2E"/>
    <w:rsid w:val="006B2158"/>
    <w:rsid w:val="006B22F0"/>
    <w:rsid w:val="006B2787"/>
    <w:rsid w:val="006B282D"/>
    <w:rsid w:val="006B303B"/>
    <w:rsid w:val="006B337D"/>
    <w:rsid w:val="006B344B"/>
    <w:rsid w:val="006B3AD2"/>
    <w:rsid w:val="006B3E8F"/>
    <w:rsid w:val="006B3F47"/>
    <w:rsid w:val="006B3FBD"/>
    <w:rsid w:val="006B4614"/>
    <w:rsid w:val="006B49E0"/>
    <w:rsid w:val="006B501E"/>
    <w:rsid w:val="006B505D"/>
    <w:rsid w:val="006B5720"/>
    <w:rsid w:val="006B5BDA"/>
    <w:rsid w:val="006B5CD4"/>
    <w:rsid w:val="006B753A"/>
    <w:rsid w:val="006B7E05"/>
    <w:rsid w:val="006B7E93"/>
    <w:rsid w:val="006C0470"/>
    <w:rsid w:val="006C0B25"/>
    <w:rsid w:val="006C0FB3"/>
    <w:rsid w:val="006C14BA"/>
    <w:rsid w:val="006C19C3"/>
    <w:rsid w:val="006C2681"/>
    <w:rsid w:val="006C2D1A"/>
    <w:rsid w:val="006C2FA0"/>
    <w:rsid w:val="006C334D"/>
    <w:rsid w:val="006C3B37"/>
    <w:rsid w:val="006C3D6D"/>
    <w:rsid w:val="006C3E25"/>
    <w:rsid w:val="006C3E5E"/>
    <w:rsid w:val="006C4221"/>
    <w:rsid w:val="006C483E"/>
    <w:rsid w:val="006C4C3B"/>
    <w:rsid w:val="006C5EF8"/>
    <w:rsid w:val="006C6B38"/>
    <w:rsid w:val="006C6BD8"/>
    <w:rsid w:val="006C6E1C"/>
    <w:rsid w:val="006C6EB8"/>
    <w:rsid w:val="006C70AC"/>
    <w:rsid w:val="006C7116"/>
    <w:rsid w:val="006C72FA"/>
    <w:rsid w:val="006C78AA"/>
    <w:rsid w:val="006C79A3"/>
    <w:rsid w:val="006C7A60"/>
    <w:rsid w:val="006C7C52"/>
    <w:rsid w:val="006D02B6"/>
    <w:rsid w:val="006D02E2"/>
    <w:rsid w:val="006D05BD"/>
    <w:rsid w:val="006D07BE"/>
    <w:rsid w:val="006D0E4C"/>
    <w:rsid w:val="006D1246"/>
    <w:rsid w:val="006D12FA"/>
    <w:rsid w:val="006D1333"/>
    <w:rsid w:val="006D140E"/>
    <w:rsid w:val="006D159F"/>
    <w:rsid w:val="006D1CA5"/>
    <w:rsid w:val="006D20B4"/>
    <w:rsid w:val="006D2FBA"/>
    <w:rsid w:val="006D33B1"/>
    <w:rsid w:val="006D3E55"/>
    <w:rsid w:val="006D3F55"/>
    <w:rsid w:val="006D41B6"/>
    <w:rsid w:val="006D4B55"/>
    <w:rsid w:val="006D4E36"/>
    <w:rsid w:val="006D5186"/>
    <w:rsid w:val="006D53A1"/>
    <w:rsid w:val="006D5754"/>
    <w:rsid w:val="006D59DD"/>
    <w:rsid w:val="006D60C6"/>
    <w:rsid w:val="006D6121"/>
    <w:rsid w:val="006D75A0"/>
    <w:rsid w:val="006E0170"/>
    <w:rsid w:val="006E025E"/>
    <w:rsid w:val="006E051A"/>
    <w:rsid w:val="006E0626"/>
    <w:rsid w:val="006E08AA"/>
    <w:rsid w:val="006E1122"/>
    <w:rsid w:val="006E12EE"/>
    <w:rsid w:val="006E1454"/>
    <w:rsid w:val="006E14C1"/>
    <w:rsid w:val="006E171A"/>
    <w:rsid w:val="006E1BEE"/>
    <w:rsid w:val="006E1C31"/>
    <w:rsid w:val="006E1F22"/>
    <w:rsid w:val="006E224A"/>
    <w:rsid w:val="006E224D"/>
    <w:rsid w:val="006E267F"/>
    <w:rsid w:val="006E26A2"/>
    <w:rsid w:val="006E2F7C"/>
    <w:rsid w:val="006E3066"/>
    <w:rsid w:val="006E3542"/>
    <w:rsid w:val="006E367B"/>
    <w:rsid w:val="006E38B6"/>
    <w:rsid w:val="006E38FF"/>
    <w:rsid w:val="006E46FA"/>
    <w:rsid w:val="006E4BFF"/>
    <w:rsid w:val="006E4EC8"/>
    <w:rsid w:val="006E5033"/>
    <w:rsid w:val="006E5352"/>
    <w:rsid w:val="006E5797"/>
    <w:rsid w:val="006E5EFB"/>
    <w:rsid w:val="006E6D83"/>
    <w:rsid w:val="006E7BB8"/>
    <w:rsid w:val="006E7C9E"/>
    <w:rsid w:val="006E7F29"/>
    <w:rsid w:val="006F02D8"/>
    <w:rsid w:val="006F078E"/>
    <w:rsid w:val="006F09AB"/>
    <w:rsid w:val="006F0EE6"/>
    <w:rsid w:val="006F2360"/>
    <w:rsid w:val="006F24AD"/>
    <w:rsid w:val="006F2974"/>
    <w:rsid w:val="006F2BD0"/>
    <w:rsid w:val="006F367B"/>
    <w:rsid w:val="006F3731"/>
    <w:rsid w:val="006F39E2"/>
    <w:rsid w:val="006F3A20"/>
    <w:rsid w:val="006F3B0F"/>
    <w:rsid w:val="006F3B3E"/>
    <w:rsid w:val="006F43F0"/>
    <w:rsid w:val="006F453D"/>
    <w:rsid w:val="006F4728"/>
    <w:rsid w:val="006F4E42"/>
    <w:rsid w:val="006F4E75"/>
    <w:rsid w:val="006F5451"/>
    <w:rsid w:val="006F54BD"/>
    <w:rsid w:val="006F5AE8"/>
    <w:rsid w:val="006F5D73"/>
    <w:rsid w:val="006F5E26"/>
    <w:rsid w:val="006F639B"/>
    <w:rsid w:val="006F70D6"/>
    <w:rsid w:val="006F769C"/>
    <w:rsid w:val="006F7B91"/>
    <w:rsid w:val="006F7E42"/>
    <w:rsid w:val="006F7FC2"/>
    <w:rsid w:val="007000BE"/>
    <w:rsid w:val="007004A5"/>
    <w:rsid w:val="007005B5"/>
    <w:rsid w:val="00700BA8"/>
    <w:rsid w:val="00701D5A"/>
    <w:rsid w:val="00701F66"/>
    <w:rsid w:val="00702610"/>
    <w:rsid w:val="00702A02"/>
    <w:rsid w:val="00702BCE"/>
    <w:rsid w:val="00703204"/>
    <w:rsid w:val="00703453"/>
    <w:rsid w:val="007034AC"/>
    <w:rsid w:val="007035D8"/>
    <w:rsid w:val="00704651"/>
    <w:rsid w:val="007047EC"/>
    <w:rsid w:val="00704947"/>
    <w:rsid w:val="00704B5F"/>
    <w:rsid w:val="00704F5D"/>
    <w:rsid w:val="007051C6"/>
    <w:rsid w:val="00705425"/>
    <w:rsid w:val="00705619"/>
    <w:rsid w:val="007056AB"/>
    <w:rsid w:val="00705CF4"/>
    <w:rsid w:val="00705D0C"/>
    <w:rsid w:val="00705F18"/>
    <w:rsid w:val="00707185"/>
    <w:rsid w:val="007077E7"/>
    <w:rsid w:val="007103B9"/>
    <w:rsid w:val="0071040F"/>
    <w:rsid w:val="00710968"/>
    <w:rsid w:val="00710C33"/>
    <w:rsid w:val="007111BB"/>
    <w:rsid w:val="00711566"/>
    <w:rsid w:val="00711CE3"/>
    <w:rsid w:val="0071213D"/>
    <w:rsid w:val="00712612"/>
    <w:rsid w:val="0071277A"/>
    <w:rsid w:val="00712911"/>
    <w:rsid w:val="00712CB7"/>
    <w:rsid w:val="00713612"/>
    <w:rsid w:val="00713F35"/>
    <w:rsid w:val="0071430A"/>
    <w:rsid w:val="00714896"/>
    <w:rsid w:val="00714A9B"/>
    <w:rsid w:val="00714BF0"/>
    <w:rsid w:val="00714D62"/>
    <w:rsid w:val="00714D8A"/>
    <w:rsid w:val="007150DB"/>
    <w:rsid w:val="007151E4"/>
    <w:rsid w:val="00715307"/>
    <w:rsid w:val="00715696"/>
    <w:rsid w:val="0071616E"/>
    <w:rsid w:val="007168EB"/>
    <w:rsid w:val="00717450"/>
    <w:rsid w:val="00717AEB"/>
    <w:rsid w:val="00717F5F"/>
    <w:rsid w:val="00720439"/>
    <w:rsid w:val="00720880"/>
    <w:rsid w:val="00720966"/>
    <w:rsid w:val="0072107D"/>
    <w:rsid w:val="007212B1"/>
    <w:rsid w:val="007213DD"/>
    <w:rsid w:val="00721785"/>
    <w:rsid w:val="007218F9"/>
    <w:rsid w:val="00721BBE"/>
    <w:rsid w:val="007224F0"/>
    <w:rsid w:val="00722B25"/>
    <w:rsid w:val="00722BA0"/>
    <w:rsid w:val="00722BBF"/>
    <w:rsid w:val="007231C8"/>
    <w:rsid w:val="00723FDB"/>
    <w:rsid w:val="007245DA"/>
    <w:rsid w:val="00724D72"/>
    <w:rsid w:val="00724D99"/>
    <w:rsid w:val="007250C7"/>
    <w:rsid w:val="007253C3"/>
    <w:rsid w:val="007253C6"/>
    <w:rsid w:val="00725523"/>
    <w:rsid w:val="00725670"/>
    <w:rsid w:val="00725C3E"/>
    <w:rsid w:val="00726029"/>
    <w:rsid w:val="0072635E"/>
    <w:rsid w:val="0072637F"/>
    <w:rsid w:val="00726853"/>
    <w:rsid w:val="00726DEC"/>
    <w:rsid w:val="00727552"/>
    <w:rsid w:val="007275A4"/>
    <w:rsid w:val="00727CF6"/>
    <w:rsid w:val="00730347"/>
    <w:rsid w:val="007305E0"/>
    <w:rsid w:val="00730641"/>
    <w:rsid w:val="00730A82"/>
    <w:rsid w:val="00730EF0"/>
    <w:rsid w:val="00731316"/>
    <w:rsid w:val="007313EA"/>
    <w:rsid w:val="00731926"/>
    <w:rsid w:val="00731CBD"/>
    <w:rsid w:val="00731DE5"/>
    <w:rsid w:val="00732236"/>
    <w:rsid w:val="007322DF"/>
    <w:rsid w:val="0073268D"/>
    <w:rsid w:val="00732CBE"/>
    <w:rsid w:val="00733403"/>
    <w:rsid w:val="00733DF4"/>
    <w:rsid w:val="00733E2E"/>
    <w:rsid w:val="007344AD"/>
    <w:rsid w:val="00734844"/>
    <w:rsid w:val="00734E00"/>
    <w:rsid w:val="00735845"/>
    <w:rsid w:val="00735904"/>
    <w:rsid w:val="007359D4"/>
    <w:rsid w:val="00735D15"/>
    <w:rsid w:val="00735E39"/>
    <w:rsid w:val="0073609A"/>
    <w:rsid w:val="007362E5"/>
    <w:rsid w:val="00736AB6"/>
    <w:rsid w:val="00736E72"/>
    <w:rsid w:val="00737039"/>
    <w:rsid w:val="007370A3"/>
    <w:rsid w:val="007377A5"/>
    <w:rsid w:val="007379B3"/>
    <w:rsid w:val="00737EE6"/>
    <w:rsid w:val="007400C8"/>
    <w:rsid w:val="007403AD"/>
    <w:rsid w:val="00740825"/>
    <w:rsid w:val="007408BB"/>
    <w:rsid w:val="00741111"/>
    <w:rsid w:val="007414B8"/>
    <w:rsid w:val="00741526"/>
    <w:rsid w:val="00742287"/>
    <w:rsid w:val="00742547"/>
    <w:rsid w:val="00742978"/>
    <w:rsid w:val="00742B11"/>
    <w:rsid w:val="007430EB"/>
    <w:rsid w:val="007434B7"/>
    <w:rsid w:val="00743637"/>
    <w:rsid w:val="007437A6"/>
    <w:rsid w:val="0074383B"/>
    <w:rsid w:val="0074398B"/>
    <w:rsid w:val="007439E8"/>
    <w:rsid w:val="00743A9B"/>
    <w:rsid w:val="00743D91"/>
    <w:rsid w:val="00743E27"/>
    <w:rsid w:val="00744464"/>
    <w:rsid w:val="0074457B"/>
    <w:rsid w:val="0074481E"/>
    <w:rsid w:val="00744859"/>
    <w:rsid w:val="00744A14"/>
    <w:rsid w:val="00744FB5"/>
    <w:rsid w:val="007451A2"/>
    <w:rsid w:val="007452B2"/>
    <w:rsid w:val="00745454"/>
    <w:rsid w:val="007456C9"/>
    <w:rsid w:val="007458E2"/>
    <w:rsid w:val="00745CD2"/>
    <w:rsid w:val="007464E5"/>
    <w:rsid w:val="00746516"/>
    <w:rsid w:val="00746E89"/>
    <w:rsid w:val="007472FB"/>
    <w:rsid w:val="007475FC"/>
    <w:rsid w:val="00747A4A"/>
    <w:rsid w:val="0075022D"/>
    <w:rsid w:val="00750463"/>
    <w:rsid w:val="00750C93"/>
    <w:rsid w:val="00751011"/>
    <w:rsid w:val="007511E6"/>
    <w:rsid w:val="007516E0"/>
    <w:rsid w:val="00751D86"/>
    <w:rsid w:val="00752007"/>
    <w:rsid w:val="00752164"/>
    <w:rsid w:val="0075285E"/>
    <w:rsid w:val="00752E87"/>
    <w:rsid w:val="00753A9E"/>
    <w:rsid w:val="00753CAC"/>
    <w:rsid w:val="00753D04"/>
    <w:rsid w:val="00753E71"/>
    <w:rsid w:val="00754089"/>
    <w:rsid w:val="00754373"/>
    <w:rsid w:val="00754707"/>
    <w:rsid w:val="0075479A"/>
    <w:rsid w:val="007547E6"/>
    <w:rsid w:val="0075491E"/>
    <w:rsid w:val="00754B44"/>
    <w:rsid w:val="00755389"/>
    <w:rsid w:val="00755551"/>
    <w:rsid w:val="00755685"/>
    <w:rsid w:val="00755C68"/>
    <w:rsid w:val="00756978"/>
    <w:rsid w:val="00756D35"/>
    <w:rsid w:val="00756E85"/>
    <w:rsid w:val="00757017"/>
    <w:rsid w:val="00757142"/>
    <w:rsid w:val="007577D1"/>
    <w:rsid w:val="00760414"/>
    <w:rsid w:val="007605CA"/>
    <w:rsid w:val="00760D1D"/>
    <w:rsid w:val="00761391"/>
    <w:rsid w:val="0076143B"/>
    <w:rsid w:val="00761A00"/>
    <w:rsid w:val="0076290C"/>
    <w:rsid w:val="0076323F"/>
    <w:rsid w:val="007633D2"/>
    <w:rsid w:val="007635B4"/>
    <w:rsid w:val="00763B23"/>
    <w:rsid w:val="00763EBF"/>
    <w:rsid w:val="007640AC"/>
    <w:rsid w:val="00764314"/>
    <w:rsid w:val="00764319"/>
    <w:rsid w:val="00764476"/>
    <w:rsid w:val="00764B61"/>
    <w:rsid w:val="00764C22"/>
    <w:rsid w:val="00764CA3"/>
    <w:rsid w:val="0076549A"/>
    <w:rsid w:val="00765B17"/>
    <w:rsid w:val="00765D00"/>
    <w:rsid w:val="00766137"/>
    <w:rsid w:val="00766E65"/>
    <w:rsid w:val="00766F07"/>
    <w:rsid w:val="007677A9"/>
    <w:rsid w:val="007678AA"/>
    <w:rsid w:val="007700BC"/>
    <w:rsid w:val="00770C2D"/>
    <w:rsid w:val="00771196"/>
    <w:rsid w:val="007714FB"/>
    <w:rsid w:val="0077160A"/>
    <w:rsid w:val="0077166E"/>
    <w:rsid w:val="00771769"/>
    <w:rsid w:val="00771B6C"/>
    <w:rsid w:val="0077267D"/>
    <w:rsid w:val="007730C8"/>
    <w:rsid w:val="0077352E"/>
    <w:rsid w:val="00773AB5"/>
    <w:rsid w:val="00773F38"/>
    <w:rsid w:val="0077452C"/>
    <w:rsid w:val="007747FF"/>
    <w:rsid w:val="0077489A"/>
    <w:rsid w:val="0077499E"/>
    <w:rsid w:val="0077507E"/>
    <w:rsid w:val="007751F8"/>
    <w:rsid w:val="00775570"/>
    <w:rsid w:val="00775CCD"/>
    <w:rsid w:val="0077662B"/>
    <w:rsid w:val="00776AF7"/>
    <w:rsid w:val="00776E9B"/>
    <w:rsid w:val="00776F55"/>
    <w:rsid w:val="007772FB"/>
    <w:rsid w:val="007775B0"/>
    <w:rsid w:val="0077770E"/>
    <w:rsid w:val="007779FC"/>
    <w:rsid w:val="007819D2"/>
    <w:rsid w:val="00781C91"/>
    <w:rsid w:val="007822DC"/>
    <w:rsid w:val="0078234D"/>
    <w:rsid w:val="007824D4"/>
    <w:rsid w:val="0078256C"/>
    <w:rsid w:val="00782585"/>
    <w:rsid w:val="0078259D"/>
    <w:rsid w:val="0078266A"/>
    <w:rsid w:val="007827CD"/>
    <w:rsid w:val="00783017"/>
    <w:rsid w:val="007830CF"/>
    <w:rsid w:val="007838F6"/>
    <w:rsid w:val="00783C70"/>
    <w:rsid w:val="00783DC7"/>
    <w:rsid w:val="00784DC8"/>
    <w:rsid w:val="00784F11"/>
    <w:rsid w:val="00785102"/>
    <w:rsid w:val="00785167"/>
    <w:rsid w:val="00785907"/>
    <w:rsid w:val="00786065"/>
    <w:rsid w:val="00786E3B"/>
    <w:rsid w:val="00787118"/>
    <w:rsid w:val="007873CB"/>
    <w:rsid w:val="00787683"/>
    <w:rsid w:val="00787D34"/>
    <w:rsid w:val="0079020D"/>
    <w:rsid w:val="007903CD"/>
    <w:rsid w:val="007903DA"/>
    <w:rsid w:val="00790623"/>
    <w:rsid w:val="00790FA4"/>
    <w:rsid w:val="00791151"/>
    <w:rsid w:val="0079144D"/>
    <w:rsid w:val="00791946"/>
    <w:rsid w:val="00791C1A"/>
    <w:rsid w:val="00791C9D"/>
    <w:rsid w:val="00792641"/>
    <w:rsid w:val="00792AA0"/>
    <w:rsid w:val="00793C0D"/>
    <w:rsid w:val="00793C12"/>
    <w:rsid w:val="00793C6E"/>
    <w:rsid w:val="00794375"/>
    <w:rsid w:val="00794769"/>
    <w:rsid w:val="00794EB5"/>
    <w:rsid w:val="00795746"/>
    <w:rsid w:val="0079574C"/>
    <w:rsid w:val="00795CCF"/>
    <w:rsid w:val="00795F97"/>
    <w:rsid w:val="00795FA0"/>
    <w:rsid w:val="00796075"/>
    <w:rsid w:val="00796110"/>
    <w:rsid w:val="00796255"/>
    <w:rsid w:val="00796256"/>
    <w:rsid w:val="007963C2"/>
    <w:rsid w:val="0079709D"/>
    <w:rsid w:val="007A07C8"/>
    <w:rsid w:val="007A07DB"/>
    <w:rsid w:val="007A0A25"/>
    <w:rsid w:val="007A0A53"/>
    <w:rsid w:val="007A0C93"/>
    <w:rsid w:val="007A0EEE"/>
    <w:rsid w:val="007A11D6"/>
    <w:rsid w:val="007A12D1"/>
    <w:rsid w:val="007A1C72"/>
    <w:rsid w:val="007A20A7"/>
    <w:rsid w:val="007A2181"/>
    <w:rsid w:val="007A218B"/>
    <w:rsid w:val="007A229D"/>
    <w:rsid w:val="007A2483"/>
    <w:rsid w:val="007A26ED"/>
    <w:rsid w:val="007A292E"/>
    <w:rsid w:val="007A2E76"/>
    <w:rsid w:val="007A2EB8"/>
    <w:rsid w:val="007A2F69"/>
    <w:rsid w:val="007A3990"/>
    <w:rsid w:val="007A3AF7"/>
    <w:rsid w:val="007A4B67"/>
    <w:rsid w:val="007A4C12"/>
    <w:rsid w:val="007A54A1"/>
    <w:rsid w:val="007A5690"/>
    <w:rsid w:val="007A5757"/>
    <w:rsid w:val="007A5A0C"/>
    <w:rsid w:val="007A5A7D"/>
    <w:rsid w:val="007A5C17"/>
    <w:rsid w:val="007A5D15"/>
    <w:rsid w:val="007A5D69"/>
    <w:rsid w:val="007A6594"/>
    <w:rsid w:val="007A6995"/>
    <w:rsid w:val="007A6CE7"/>
    <w:rsid w:val="007A6F57"/>
    <w:rsid w:val="007A70F8"/>
    <w:rsid w:val="007A774D"/>
    <w:rsid w:val="007A7981"/>
    <w:rsid w:val="007A7CAE"/>
    <w:rsid w:val="007A7D5E"/>
    <w:rsid w:val="007A7DF5"/>
    <w:rsid w:val="007B023F"/>
    <w:rsid w:val="007B0377"/>
    <w:rsid w:val="007B0555"/>
    <w:rsid w:val="007B05F1"/>
    <w:rsid w:val="007B0D6D"/>
    <w:rsid w:val="007B0E7C"/>
    <w:rsid w:val="007B15CA"/>
    <w:rsid w:val="007B184E"/>
    <w:rsid w:val="007B1963"/>
    <w:rsid w:val="007B1F00"/>
    <w:rsid w:val="007B257A"/>
    <w:rsid w:val="007B266F"/>
    <w:rsid w:val="007B270D"/>
    <w:rsid w:val="007B2AD7"/>
    <w:rsid w:val="007B2C90"/>
    <w:rsid w:val="007B2CE3"/>
    <w:rsid w:val="007B2F8A"/>
    <w:rsid w:val="007B33A7"/>
    <w:rsid w:val="007B38B3"/>
    <w:rsid w:val="007B3E58"/>
    <w:rsid w:val="007B4869"/>
    <w:rsid w:val="007B4B77"/>
    <w:rsid w:val="007B5197"/>
    <w:rsid w:val="007B5B71"/>
    <w:rsid w:val="007B5FB8"/>
    <w:rsid w:val="007B7A42"/>
    <w:rsid w:val="007B7D16"/>
    <w:rsid w:val="007B7ED9"/>
    <w:rsid w:val="007B7EEC"/>
    <w:rsid w:val="007C014F"/>
    <w:rsid w:val="007C025E"/>
    <w:rsid w:val="007C0527"/>
    <w:rsid w:val="007C077F"/>
    <w:rsid w:val="007C0C31"/>
    <w:rsid w:val="007C0ED6"/>
    <w:rsid w:val="007C106D"/>
    <w:rsid w:val="007C1721"/>
    <w:rsid w:val="007C1F5E"/>
    <w:rsid w:val="007C278B"/>
    <w:rsid w:val="007C34D5"/>
    <w:rsid w:val="007C3826"/>
    <w:rsid w:val="007C3E66"/>
    <w:rsid w:val="007C4113"/>
    <w:rsid w:val="007C562E"/>
    <w:rsid w:val="007C5638"/>
    <w:rsid w:val="007C57B0"/>
    <w:rsid w:val="007C5851"/>
    <w:rsid w:val="007C5F50"/>
    <w:rsid w:val="007C6758"/>
    <w:rsid w:val="007C6BD5"/>
    <w:rsid w:val="007C75AA"/>
    <w:rsid w:val="007C7670"/>
    <w:rsid w:val="007C76A2"/>
    <w:rsid w:val="007C785E"/>
    <w:rsid w:val="007C7B5B"/>
    <w:rsid w:val="007C7F5C"/>
    <w:rsid w:val="007D007A"/>
    <w:rsid w:val="007D1070"/>
    <w:rsid w:val="007D1929"/>
    <w:rsid w:val="007D24CF"/>
    <w:rsid w:val="007D2A0D"/>
    <w:rsid w:val="007D2B18"/>
    <w:rsid w:val="007D32BD"/>
    <w:rsid w:val="007D33B9"/>
    <w:rsid w:val="007D3409"/>
    <w:rsid w:val="007D4895"/>
    <w:rsid w:val="007D495D"/>
    <w:rsid w:val="007D4DE4"/>
    <w:rsid w:val="007D5115"/>
    <w:rsid w:val="007D512F"/>
    <w:rsid w:val="007D52F5"/>
    <w:rsid w:val="007D5F33"/>
    <w:rsid w:val="007D6133"/>
    <w:rsid w:val="007D65A5"/>
    <w:rsid w:val="007D6A92"/>
    <w:rsid w:val="007D71D5"/>
    <w:rsid w:val="007D75F6"/>
    <w:rsid w:val="007D76F5"/>
    <w:rsid w:val="007D7A4A"/>
    <w:rsid w:val="007E0075"/>
    <w:rsid w:val="007E0337"/>
    <w:rsid w:val="007E05DE"/>
    <w:rsid w:val="007E1980"/>
    <w:rsid w:val="007E1B8B"/>
    <w:rsid w:val="007E242E"/>
    <w:rsid w:val="007E27D3"/>
    <w:rsid w:val="007E2B73"/>
    <w:rsid w:val="007E2B99"/>
    <w:rsid w:val="007E2F1D"/>
    <w:rsid w:val="007E314F"/>
    <w:rsid w:val="007E3918"/>
    <w:rsid w:val="007E3BC6"/>
    <w:rsid w:val="007E3EE7"/>
    <w:rsid w:val="007E3F55"/>
    <w:rsid w:val="007E415B"/>
    <w:rsid w:val="007E41D3"/>
    <w:rsid w:val="007E429B"/>
    <w:rsid w:val="007E42C8"/>
    <w:rsid w:val="007E49EB"/>
    <w:rsid w:val="007E4ED0"/>
    <w:rsid w:val="007E4EF2"/>
    <w:rsid w:val="007E510A"/>
    <w:rsid w:val="007E530F"/>
    <w:rsid w:val="007E555F"/>
    <w:rsid w:val="007E55F4"/>
    <w:rsid w:val="007E57AF"/>
    <w:rsid w:val="007E5D01"/>
    <w:rsid w:val="007E61AE"/>
    <w:rsid w:val="007E68CF"/>
    <w:rsid w:val="007E6F0D"/>
    <w:rsid w:val="007E703D"/>
    <w:rsid w:val="007E7155"/>
    <w:rsid w:val="007E7743"/>
    <w:rsid w:val="007E7D3C"/>
    <w:rsid w:val="007F0275"/>
    <w:rsid w:val="007F02EB"/>
    <w:rsid w:val="007F0ED0"/>
    <w:rsid w:val="007F0FB5"/>
    <w:rsid w:val="007F107C"/>
    <w:rsid w:val="007F10DD"/>
    <w:rsid w:val="007F12A1"/>
    <w:rsid w:val="007F1320"/>
    <w:rsid w:val="007F195F"/>
    <w:rsid w:val="007F2D04"/>
    <w:rsid w:val="007F3E3E"/>
    <w:rsid w:val="007F4323"/>
    <w:rsid w:val="007F4774"/>
    <w:rsid w:val="007F4828"/>
    <w:rsid w:val="007F4F0B"/>
    <w:rsid w:val="007F4F99"/>
    <w:rsid w:val="007F5113"/>
    <w:rsid w:val="007F5CB2"/>
    <w:rsid w:val="007F5D79"/>
    <w:rsid w:val="007F6232"/>
    <w:rsid w:val="007F6503"/>
    <w:rsid w:val="007F6646"/>
    <w:rsid w:val="007F6AC6"/>
    <w:rsid w:val="007F6C65"/>
    <w:rsid w:val="007F72B0"/>
    <w:rsid w:val="007F7A46"/>
    <w:rsid w:val="00800058"/>
    <w:rsid w:val="00800D24"/>
    <w:rsid w:val="00801092"/>
    <w:rsid w:val="00801430"/>
    <w:rsid w:val="00801B2D"/>
    <w:rsid w:val="0080220A"/>
    <w:rsid w:val="00802345"/>
    <w:rsid w:val="00802650"/>
    <w:rsid w:val="00802D4F"/>
    <w:rsid w:val="00802F12"/>
    <w:rsid w:val="0080313F"/>
    <w:rsid w:val="0080316D"/>
    <w:rsid w:val="008034B9"/>
    <w:rsid w:val="0080372F"/>
    <w:rsid w:val="00803751"/>
    <w:rsid w:val="00804485"/>
    <w:rsid w:val="0080499C"/>
    <w:rsid w:val="00804B6B"/>
    <w:rsid w:val="0080538B"/>
    <w:rsid w:val="00805396"/>
    <w:rsid w:val="0080544F"/>
    <w:rsid w:val="008054A6"/>
    <w:rsid w:val="0080571A"/>
    <w:rsid w:val="00805836"/>
    <w:rsid w:val="00805F6B"/>
    <w:rsid w:val="00806093"/>
    <w:rsid w:val="0080659C"/>
    <w:rsid w:val="00806B5F"/>
    <w:rsid w:val="00806FE6"/>
    <w:rsid w:val="00807702"/>
    <w:rsid w:val="00807739"/>
    <w:rsid w:val="008079D3"/>
    <w:rsid w:val="00807C0B"/>
    <w:rsid w:val="00807DF0"/>
    <w:rsid w:val="008102D9"/>
    <w:rsid w:val="008103DD"/>
    <w:rsid w:val="0081060E"/>
    <w:rsid w:val="0081074F"/>
    <w:rsid w:val="00810D23"/>
    <w:rsid w:val="00810FCB"/>
    <w:rsid w:val="00811286"/>
    <w:rsid w:val="00811524"/>
    <w:rsid w:val="00811784"/>
    <w:rsid w:val="00811E38"/>
    <w:rsid w:val="008121A8"/>
    <w:rsid w:val="0081225B"/>
    <w:rsid w:val="0081250D"/>
    <w:rsid w:val="00812905"/>
    <w:rsid w:val="00812913"/>
    <w:rsid w:val="00812D0B"/>
    <w:rsid w:val="008130E7"/>
    <w:rsid w:val="00813458"/>
    <w:rsid w:val="00813A78"/>
    <w:rsid w:val="00813C19"/>
    <w:rsid w:val="00813E51"/>
    <w:rsid w:val="00814006"/>
    <w:rsid w:val="0081409B"/>
    <w:rsid w:val="0081439A"/>
    <w:rsid w:val="0081462A"/>
    <w:rsid w:val="0081498E"/>
    <w:rsid w:val="00814C74"/>
    <w:rsid w:val="00814F30"/>
    <w:rsid w:val="00815FE1"/>
    <w:rsid w:val="008160CB"/>
    <w:rsid w:val="00816195"/>
    <w:rsid w:val="008161EC"/>
    <w:rsid w:val="008165EB"/>
    <w:rsid w:val="0081661B"/>
    <w:rsid w:val="00816ACE"/>
    <w:rsid w:val="00816BE1"/>
    <w:rsid w:val="00816E8E"/>
    <w:rsid w:val="0081728C"/>
    <w:rsid w:val="00817F9E"/>
    <w:rsid w:val="00820106"/>
    <w:rsid w:val="0082033E"/>
    <w:rsid w:val="00820473"/>
    <w:rsid w:val="00820620"/>
    <w:rsid w:val="00820AFD"/>
    <w:rsid w:val="00820C75"/>
    <w:rsid w:val="008214A8"/>
    <w:rsid w:val="008214EC"/>
    <w:rsid w:val="00821580"/>
    <w:rsid w:val="008218CC"/>
    <w:rsid w:val="00821917"/>
    <w:rsid w:val="00821A92"/>
    <w:rsid w:val="00821B6F"/>
    <w:rsid w:val="00821CB0"/>
    <w:rsid w:val="00821E14"/>
    <w:rsid w:val="0082229D"/>
    <w:rsid w:val="008225DF"/>
    <w:rsid w:val="00822CB7"/>
    <w:rsid w:val="00822EB1"/>
    <w:rsid w:val="008231C9"/>
    <w:rsid w:val="0082328D"/>
    <w:rsid w:val="008234AF"/>
    <w:rsid w:val="00823DB3"/>
    <w:rsid w:val="00823EE5"/>
    <w:rsid w:val="008241F4"/>
    <w:rsid w:val="00824AEC"/>
    <w:rsid w:val="0082518F"/>
    <w:rsid w:val="008256E4"/>
    <w:rsid w:val="00825955"/>
    <w:rsid w:val="00825FBF"/>
    <w:rsid w:val="00826070"/>
    <w:rsid w:val="0082628A"/>
    <w:rsid w:val="00826646"/>
    <w:rsid w:val="00826CD7"/>
    <w:rsid w:val="00827399"/>
    <w:rsid w:val="00827F47"/>
    <w:rsid w:val="0083019C"/>
    <w:rsid w:val="00830EFA"/>
    <w:rsid w:val="008310E8"/>
    <w:rsid w:val="008313EE"/>
    <w:rsid w:val="008318CF"/>
    <w:rsid w:val="00831923"/>
    <w:rsid w:val="00831ABB"/>
    <w:rsid w:val="00831AFF"/>
    <w:rsid w:val="008323AB"/>
    <w:rsid w:val="008323EF"/>
    <w:rsid w:val="008324C5"/>
    <w:rsid w:val="00832E68"/>
    <w:rsid w:val="00833FF5"/>
    <w:rsid w:val="008342A0"/>
    <w:rsid w:val="008349AF"/>
    <w:rsid w:val="00834E9A"/>
    <w:rsid w:val="00835097"/>
    <w:rsid w:val="008352EE"/>
    <w:rsid w:val="008352FC"/>
    <w:rsid w:val="0083566A"/>
    <w:rsid w:val="00835E83"/>
    <w:rsid w:val="008365FD"/>
    <w:rsid w:val="008379FF"/>
    <w:rsid w:val="00837DD7"/>
    <w:rsid w:val="00837EAA"/>
    <w:rsid w:val="008403ED"/>
    <w:rsid w:val="00840F0D"/>
    <w:rsid w:val="00841436"/>
    <w:rsid w:val="008417BE"/>
    <w:rsid w:val="00841D48"/>
    <w:rsid w:val="008420B0"/>
    <w:rsid w:val="008425C5"/>
    <w:rsid w:val="00842681"/>
    <w:rsid w:val="00842BE0"/>
    <w:rsid w:val="00842D8A"/>
    <w:rsid w:val="0084324C"/>
    <w:rsid w:val="008432C3"/>
    <w:rsid w:val="00843F8B"/>
    <w:rsid w:val="008442BA"/>
    <w:rsid w:val="00844CEF"/>
    <w:rsid w:val="00844D11"/>
    <w:rsid w:val="0084521C"/>
    <w:rsid w:val="00845602"/>
    <w:rsid w:val="00845A22"/>
    <w:rsid w:val="00845AE7"/>
    <w:rsid w:val="00845DC9"/>
    <w:rsid w:val="008469BE"/>
    <w:rsid w:val="008471EE"/>
    <w:rsid w:val="00847AC4"/>
    <w:rsid w:val="00847C31"/>
    <w:rsid w:val="00847EBF"/>
    <w:rsid w:val="00850450"/>
    <w:rsid w:val="00850C29"/>
    <w:rsid w:val="00850FB4"/>
    <w:rsid w:val="00851009"/>
    <w:rsid w:val="00851012"/>
    <w:rsid w:val="008510D3"/>
    <w:rsid w:val="008510DF"/>
    <w:rsid w:val="008511C1"/>
    <w:rsid w:val="00851546"/>
    <w:rsid w:val="00851D65"/>
    <w:rsid w:val="00851EC4"/>
    <w:rsid w:val="0085215A"/>
    <w:rsid w:val="00852326"/>
    <w:rsid w:val="0085268D"/>
    <w:rsid w:val="00852771"/>
    <w:rsid w:val="00852BE1"/>
    <w:rsid w:val="00852C13"/>
    <w:rsid w:val="008531C2"/>
    <w:rsid w:val="0085320E"/>
    <w:rsid w:val="0085391D"/>
    <w:rsid w:val="00853F19"/>
    <w:rsid w:val="00854634"/>
    <w:rsid w:val="00854C29"/>
    <w:rsid w:val="00855080"/>
    <w:rsid w:val="00855139"/>
    <w:rsid w:val="008554A6"/>
    <w:rsid w:val="00855968"/>
    <w:rsid w:val="0085597B"/>
    <w:rsid w:val="00855F5B"/>
    <w:rsid w:val="00856B24"/>
    <w:rsid w:val="00857482"/>
    <w:rsid w:val="0085767C"/>
    <w:rsid w:val="008578EB"/>
    <w:rsid w:val="00857C1C"/>
    <w:rsid w:val="00857C7A"/>
    <w:rsid w:val="00857E29"/>
    <w:rsid w:val="0086011A"/>
    <w:rsid w:val="00860CB2"/>
    <w:rsid w:val="00861AA8"/>
    <w:rsid w:val="00862796"/>
    <w:rsid w:val="008629E5"/>
    <w:rsid w:val="00862BBE"/>
    <w:rsid w:val="00862C6D"/>
    <w:rsid w:val="008631AF"/>
    <w:rsid w:val="008632D3"/>
    <w:rsid w:val="00863329"/>
    <w:rsid w:val="008634F0"/>
    <w:rsid w:val="00863E96"/>
    <w:rsid w:val="008640B7"/>
    <w:rsid w:val="008641A1"/>
    <w:rsid w:val="008645D1"/>
    <w:rsid w:val="008647F4"/>
    <w:rsid w:val="00865193"/>
    <w:rsid w:val="00865238"/>
    <w:rsid w:val="008652DE"/>
    <w:rsid w:val="00865335"/>
    <w:rsid w:val="0086594E"/>
    <w:rsid w:val="00865C8E"/>
    <w:rsid w:val="00866247"/>
    <w:rsid w:val="00866797"/>
    <w:rsid w:val="008672EF"/>
    <w:rsid w:val="00867BB4"/>
    <w:rsid w:val="0087060E"/>
    <w:rsid w:val="00870DE5"/>
    <w:rsid w:val="00870FC6"/>
    <w:rsid w:val="0087169C"/>
    <w:rsid w:val="00871744"/>
    <w:rsid w:val="008717AA"/>
    <w:rsid w:val="008717B9"/>
    <w:rsid w:val="00871C05"/>
    <w:rsid w:val="00871FEA"/>
    <w:rsid w:val="008724B8"/>
    <w:rsid w:val="00872B26"/>
    <w:rsid w:val="00872FF2"/>
    <w:rsid w:val="0087312F"/>
    <w:rsid w:val="00873181"/>
    <w:rsid w:val="00873450"/>
    <w:rsid w:val="008734D1"/>
    <w:rsid w:val="00873C3D"/>
    <w:rsid w:val="00874F16"/>
    <w:rsid w:val="0087522C"/>
    <w:rsid w:val="008752C0"/>
    <w:rsid w:val="00875E13"/>
    <w:rsid w:val="008760F8"/>
    <w:rsid w:val="00876945"/>
    <w:rsid w:val="00876A16"/>
    <w:rsid w:val="0087709D"/>
    <w:rsid w:val="00877525"/>
    <w:rsid w:val="008776AB"/>
    <w:rsid w:val="008778F6"/>
    <w:rsid w:val="00877BCC"/>
    <w:rsid w:val="00880A61"/>
    <w:rsid w:val="00880F42"/>
    <w:rsid w:val="0088122D"/>
    <w:rsid w:val="00881280"/>
    <w:rsid w:val="008813FD"/>
    <w:rsid w:val="00881938"/>
    <w:rsid w:val="00881CD4"/>
    <w:rsid w:val="00881D5F"/>
    <w:rsid w:val="0088235C"/>
    <w:rsid w:val="008823FD"/>
    <w:rsid w:val="008826BA"/>
    <w:rsid w:val="008826F1"/>
    <w:rsid w:val="0088336B"/>
    <w:rsid w:val="0088344E"/>
    <w:rsid w:val="00883ADA"/>
    <w:rsid w:val="00883E2F"/>
    <w:rsid w:val="00883EAC"/>
    <w:rsid w:val="00883FA0"/>
    <w:rsid w:val="008841F8"/>
    <w:rsid w:val="0088478D"/>
    <w:rsid w:val="00884965"/>
    <w:rsid w:val="00885725"/>
    <w:rsid w:val="00885863"/>
    <w:rsid w:val="0088620B"/>
    <w:rsid w:val="008862A0"/>
    <w:rsid w:val="00886472"/>
    <w:rsid w:val="0088670E"/>
    <w:rsid w:val="00886BC6"/>
    <w:rsid w:val="0089069A"/>
    <w:rsid w:val="0089087D"/>
    <w:rsid w:val="00890A2A"/>
    <w:rsid w:val="00890A96"/>
    <w:rsid w:val="00890C7E"/>
    <w:rsid w:val="00891301"/>
    <w:rsid w:val="008914E7"/>
    <w:rsid w:val="0089150C"/>
    <w:rsid w:val="008919C5"/>
    <w:rsid w:val="00891CA2"/>
    <w:rsid w:val="00892178"/>
    <w:rsid w:val="008921C4"/>
    <w:rsid w:val="0089222A"/>
    <w:rsid w:val="00892478"/>
    <w:rsid w:val="008924F8"/>
    <w:rsid w:val="00892677"/>
    <w:rsid w:val="00892866"/>
    <w:rsid w:val="008930EA"/>
    <w:rsid w:val="008931BF"/>
    <w:rsid w:val="008933CD"/>
    <w:rsid w:val="00893A1A"/>
    <w:rsid w:val="0089434D"/>
    <w:rsid w:val="008943A3"/>
    <w:rsid w:val="008944DF"/>
    <w:rsid w:val="00894B31"/>
    <w:rsid w:val="00894C31"/>
    <w:rsid w:val="00894E2D"/>
    <w:rsid w:val="00895F27"/>
    <w:rsid w:val="00895F33"/>
    <w:rsid w:val="0089613C"/>
    <w:rsid w:val="00896230"/>
    <w:rsid w:val="008966B3"/>
    <w:rsid w:val="008973FF"/>
    <w:rsid w:val="00897C28"/>
    <w:rsid w:val="00897E74"/>
    <w:rsid w:val="00897E9B"/>
    <w:rsid w:val="008A0285"/>
    <w:rsid w:val="008A087A"/>
    <w:rsid w:val="008A0BE1"/>
    <w:rsid w:val="008A0DCC"/>
    <w:rsid w:val="008A157B"/>
    <w:rsid w:val="008A18F9"/>
    <w:rsid w:val="008A1D08"/>
    <w:rsid w:val="008A2133"/>
    <w:rsid w:val="008A226C"/>
    <w:rsid w:val="008A2C3F"/>
    <w:rsid w:val="008A2D45"/>
    <w:rsid w:val="008A316C"/>
    <w:rsid w:val="008A32EC"/>
    <w:rsid w:val="008A33E9"/>
    <w:rsid w:val="008A3C45"/>
    <w:rsid w:val="008A3ED3"/>
    <w:rsid w:val="008A3ED6"/>
    <w:rsid w:val="008A463C"/>
    <w:rsid w:val="008A490C"/>
    <w:rsid w:val="008A495F"/>
    <w:rsid w:val="008A51ED"/>
    <w:rsid w:val="008A55D5"/>
    <w:rsid w:val="008A5714"/>
    <w:rsid w:val="008A6173"/>
    <w:rsid w:val="008A6249"/>
    <w:rsid w:val="008A6282"/>
    <w:rsid w:val="008A709B"/>
    <w:rsid w:val="008A7433"/>
    <w:rsid w:val="008A74A5"/>
    <w:rsid w:val="008A7868"/>
    <w:rsid w:val="008A7D8C"/>
    <w:rsid w:val="008A7ED3"/>
    <w:rsid w:val="008B0F8B"/>
    <w:rsid w:val="008B11A2"/>
    <w:rsid w:val="008B146D"/>
    <w:rsid w:val="008B1AA9"/>
    <w:rsid w:val="008B1B48"/>
    <w:rsid w:val="008B1C4B"/>
    <w:rsid w:val="008B1C67"/>
    <w:rsid w:val="008B1E42"/>
    <w:rsid w:val="008B1EDE"/>
    <w:rsid w:val="008B1F19"/>
    <w:rsid w:val="008B1F24"/>
    <w:rsid w:val="008B20D5"/>
    <w:rsid w:val="008B2200"/>
    <w:rsid w:val="008B2336"/>
    <w:rsid w:val="008B2592"/>
    <w:rsid w:val="008B284E"/>
    <w:rsid w:val="008B2A08"/>
    <w:rsid w:val="008B33D3"/>
    <w:rsid w:val="008B36E2"/>
    <w:rsid w:val="008B38DC"/>
    <w:rsid w:val="008B421F"/>
    <w:rsid w:val="008B4303"/>
    <w:rsid w:val="008B440D"/>
    <w:rsid w:val="008B45D7"/>
    <w:rsid w:val="008B48A4"/>
    <w:rsid w:val="008B4E2E"/>
    <w:rsid w:val="008B5101"/>
    <w:rsid w:val="008B584D"/>
    <w:rsid w:val="008B5931"/>
    <w:rsid w:val="008B5B01"/>
    <w:rsid w:val="008B5B4D"/>
    <w:rsid w:val="008B676F"/>
    <w:rsid w:val="008B67B4"/>
    <w:rsid w:val="008B67EC"/>
    <w:rsid w:val="008B703D"/>
    <w:rsid w:val="008B71A1"/>
    <w:rsid w:val="008B7204"/>
    <w:rsid w:val="008B75DF"/>
    <w:rsid w:val="008B798D"/>
    <w:rsid w:val="008B7C84"/>
    <w:rsid w:val="008C017E"/>
    <w:rsid w:val="008C02F0"/>
    <w:rsid w:val="008C04E3"/>
    <w:rsid w:val="008C0631"/>
    <w:rsid w:val="008C071D"/>
    <w:rsid w:val="008C0B4A"/>
    <w:rsid w:val="008C17FE"/>
    <w:rsid w:val="008C1A28"/>
    <w:rsid w:val="008C20F3"/>
    <w:rsid w:val="008C2945"/>
    <w:rsid w:val="008C29DB"/>
    <w:rsid w:val="008C2A8D"/>
    <w:rsid w:val="008C3523"/>
    <w:rsid w:val="008C3B72"/>
    <w:rsid w:val="008C3C94"/>
    <w:rsid w:val="008C3D89"/>
    <w:rsid w:val="008C3DD2"/>
    <w:rsid w:val="008C4409"/>
    <w:rsid w:val="008C4638"/>
    <w:rsid w:val="008C4797"/>
    <w:rsid w:val="008C4B50"/>
    <w:rsid w:val="008C517C"/>
    <w:rsid w:val="008C571B"/>
    <w:rsid w:val="008C5B73"/>
    <w:rsid w:val="008C5E37"/>
    <w:rsid w:val="008C5F56"/>
    <w:rsid w:val="008C6898"/>
    <w:rsid w:val="008C68D9"/>
    <w:rsid w:val="008C6BD1"/>
    <w:rsid w:val="008C6FEE"/>
    <w:rsid w:val="008C7152"/>
    <w:rsid w:val="008C728C"/>
    <w:rsid w:val="008C733A"/>
    <w:rsid w:val="008C7646"/>
    <w:rsid w:val="008C7877"/>
    <w:rsid w:val="008C7B07"/>
    <w:rsid w:val="008C7ECB"/>
    <w:rsid w:val="008D033A"/>
    <w:rsid w:val="008D0451"/>
    <w:rsid w:val="008D05D2"/>
    <w:rsid w:val="008D0770"/>
    <w:rsid w:val="008D0CA8"/>
    <w:rsid w:val="008D0CE9"/>
    <w:rsid w:val="008D1006"/>
    <w:rsid w:val="008D1194"/>
    <w:rsid w:val="008D1325"/>
    <w:rsid w:val="008D1601"/>
    <w:rsid w:val="008D1A6F"/>
    <w:rsid w:val="008D1EC3"/>
    <w:rsid w:val="008D2122"/>
    <w:rsid w:val="008D22FC"/>
    <w:rsid w:val="008D262D"/>
    <w:rsid w:val="008D26F9"/>
    <w:rsid w:val="008D2793"/>
    <w:rsid w:val="008D28CB"/>
    <w:rsid w:val="008D2BBE"/>
    <w:rsid w:val="008D371B"/>
    <w:rsid w:val="008D3798"/>
    <w:rsid w:val="008D3B20"/>
    <w:rsid w:val="008D3C21"/>
    <w:rsid w:val="008D3DD5"/>
    <w:rsid w:val="008D3EBE"/>
    <w:rsid w:val="008D4115"/>
    <w:rsid w:val="008D41FA"/>
    <w:rsid w:val="008D452C"/>
    <w:rsid w:val="008D4A31"/>
    <w:rsid w:val="008D5121"/>
    <w:rsid w:val="008D5122"/>
    <w:rsid w:val="008D5360"/>
    <w:rsid w:val="008D5836"/>
    <w:rsid w:val="008D64DF"/>
    <w:rsid w:val="008D66DE"/>
    <w:rsid w:val="008D6B2D"/>
    <w:rsid w:val="008D6CAE"/>
    <w:rsid w:val="008D7335"/>
    <w:rsid w:val="008D7667"/>
    <w:rsid w:val="008D7A83"/>
    <w:rsid w:val="008D7ACC"/>
    <w:rsid w:val="008E030D"/>
    <w:rsid w:val="008E0778"/>
    <w:rsid w:val="008E0F6A"/>
    <w:rsid w:val="008E0FFE"/>
    <w:rsid w:val="008E12FF"/>
    <w:rsid w:val="008E1E41"/>
    <w:rsid w:val="008E1EB5"/>
    <w:rsid w:val="008E1F73"/>
    <w:rsid w:val="008E20C4"/>
    <w:rsid w:val="008E2C81"/>
    <w:rsid w:val="008E3AA3"/>
    <w:rsid w:val="008E408D"/>
    <w:rsid w:val="008E40D9"/>
    <w:rsid w:val="008E4256"/>
    <w:rsid w:val="008E46CA"/>
    <w:rsid w:val="008E4F22"/>
    <w:rsid w:val="008E50BC"/>
    <w:rsid w:val="008E50D7"/>
    <w:rsid w:val="008E5649"/>
    <w:rsid w:val="008E56F8"/>
    <w:rsid w:val="008E5799"/>
    <w:rsid w:val="008E57E4"/>
    <w:rsid w:val="008E5A60"/>
    <w:rsid w:val="008E5B37"/>
    <w:rsid w:val="008E5C4B"/>
    <w:rsid w:val="008E65DB"/>
    <w:rsid w:val="008E6808"/>
    <w:rsid w:val="008E68F7"/>
    <w:rsid w:val="008E6982"/>
    <w:rsid w:val="008E6C7A"/>
    <w:rsid w:val="008E6F2F"/>
    <w:rsid w:val="008E710D"/>
    <w:rsid w:val="008E7112"/>
    <w:rsid w:val="008E738F"/>
    <w:rsid w:val="008E770C"/>
    <w:rsid w:val="008E7935"/>
    <w:rsid w:val="008E7CE8"/>
    <w:rsid w:val="008E7E67"/>
    <w:rsid w:val="008E7E76"/>
    <w:rsid w:val="008E7F13"/>
    <w:rsid w:val="008E7F6E"/>
    <w:rsid w:val="008F0442"/>
    <w:rsid w:val="008F0499"/>
    <w:rsid w:val="008F0999"/>
    <w:rsid w:val="008F17FD"/>
    <w:rsid w:val="008F1BE0"/>
    <w:rsid w:val="008F2031"/>
    <w:rsid w:val="008F205F"/>
    <w:rsid w:val="008F20B3"/>
    <w:rsid w:val="008F3127"/>
    <w:rsid w:val="008F3286"/>
    <w:rsid w:val="008F34B8"/>
    <w:rsid w:val="008F3612"/>
    <w:rsid w:val="008F4B3D"/>
    <w:rsid w:val="008F4BFD"/>
    <w:rsid w:val="008F4C11"/>
    <w:rsid w:val="008F5119"/>
    <w:rsid w:val="008F540F"/>
    <w:rsid w:val="008F60FC"/>
    <w:rsid w:val="008F618C"/>
    <w:rsid w:val="008F637A"/>
    <w:rsid w:val="008F6396"/>
    <w:rsid w:val="008F6851"/>
    <w:rsid w:val="008F68E8"/>
    <w:rsid w:val="008F6CF1"/>
    <w:rsid w:val="008F6FB4"/>
    <w:rsid w:val="008F72B9"/>
    <w:rsid w:val="008F7321"/>
    <w:rsid w:val="008F758E"/>
    <w:rsid w:val="008F765D"/>
    <w:rsid w:val="008F76DB"/>
    <w:rsid w:val="008F7A75"/>
    <w:rsid w:val="008F7C0E"/>
    <w:rsid w:val="009006DA"/>
    <w:rsid w:val="00900A37"/>
    <w:rsid w:val="00900B08"/>
    <w:rsid w:val="00901859"/>
    <w:rsid w:val="00901E88"/>
    <w:rsid w:val="009023A9"/>
    <w:rsid w:val="00902502"/>
    <w:rsid w:val="00903B1B"/>
    <w:rsid w:val="00903B6D"/>
    <w:rsid w:val="009049A5"/>
    <w:rsid w:val="00904D14"/>
    <w:rsid w:val="00904FBA"/>
    <w:rsid w:val="00905631"/>
    <w:rsid w:val="00905E75"/>
    <w:rsid w:val="00905EE1"/>
    <w:rsid w:val="00906135"/>
    <w:rsid w:val="009062E7"/>
    <w:rsid w:val="0090661D"/>
    <w:rsid w:val="0090745B"/>
    <w:rsid w:val="009075BF"/>
    <w:rsid w:val="0090781C"/>
    <w:rsid w:val="00907ACC"/>
    <w:rsid w:val="00907B5D"/>
    <w:rsid w:val="00907D8B"/>
    <w:rsid w:val="0091017E"/>
    <w:rsid w:val="00910387"/>
    <w:rsid w:val="009103C9"/>
    <w:rsid w:val="0091058F"/>
    <w:rsid w:val="00910764"/>
    <w:rsid w:val="00910D88"/>
    <w:rsid w:val="009113D0"/>
    <w:rsid w:val="00911423"/>
    <w:rsid w:val="009122C1"/>
    <w:rsid w:val="0091279D"/>
    <w:rsid w:val="00912AE5"/>
    <w:rsid w:val="00912B4B"/>
    <w:rsid w:val="00912BD6"/>
    <w:rsid w:val="0091346F"/>
    <w:rsid w:val="00913FC4"/>
    <w:rsid w:val="0091402F"/>
    <w:rsid w:val="00914600"/>
    <w:rsid w:val="0091474C"/>
    <w:rsid w:val="009147E7"/>
    <w:rsid w:val="009149BE"/>
    <w:rsid w:val="00914B62"/>
    <w:rsid w:val="00914C28"/>
    <w:rsid w:val="00914D9A"/>
    <w:rsid w:val="00914F35"/>
    <w:rsid w:val="0091638A"/>
    <w:rsid w:val="009164C3"/>
    <w:rsid w:val="00916603"/>
    <w:rsid w:val="00916B84"/>
    <w:rsid w:val="00916CB8"/>
    <w:rsid w:val="00916FB5"/>
    <w:rsid w:val="009175AE"/>
    <w:rsid w:val="00917C1C"/>
    <w:rsid w:val="009202D3"/>
    <w:rsid w:val="0092079A"/>
    <w:rsid w:val="00921039"/>
    <w:rsid w:val="009219B2"/>
    <w:rsid w:val="00921F87"/>
    <w:rsid w:val="00922475"/>
    <w:rsid w:val="009227CD"/>
    <w:rsid w:val="009228EF"/>
    <w:rsid w:val="00922DC5"/>
    <w:rsid w:val="009234FA"/>
    <w:rsid w:val="00923759"/>
    <w:rsid w:val="00924857"/>
    <w:rsid w:val="0092499D"/>
    <w:rsid w:val="0092530F"/>
    <w:rsid w:val="009253D1"/>
    <w:rsid w:val="00925623"/>
    <w:rsid w:val="00925768"/>
    <w:rsid w:val="00926028"/>
    <w:rsid w:val="0092617B"/>
    <w:rsid w:val="009261B9"/>
    <w:rsid w:val="0092644D"/>
    <w:rsid w:val="00926656"/>
    <w:rsid w:val="00926E02"/>
    <w:rsid w:val="00926FE3"/>
    <w:rsid w:val="009270CB"/>
    <w:rsid w:val="00927366"/>
    <w:rsid w:val="00927CB8"/>
    <w:rsid w:val="00927F22"/>
    <w:rsid w:val="00930052"/>
    <w:rsid w:val="0093006A"/>
    <w:rsid w:val="00930200"/>
    <w:rsid w:val="00930356"/>
    <w:rsid w:val="00930E5D"/>
    <w:rsid w:val="00930FE4"/>
    <w:rsid w:val="009314D1"/>
    <w:rsid w:val="0093158D"/>
    <w:rsid w:val="00931653"/>
    <w:rsid w:val="00931684"/>
    <w:rsid w:val="0093172E"/>
    <w:rsid w:val="00931934"/>
    <w:rsid w:val="00932420"/>
    <w:rsid w:val="0093266B"/>
    <w:rsid w:val="00932842"/>
    <w:rsid w:val="0093290E"/>
    <w:rsid w:val="00933201"/>
    <w:rsid w:val="00933294"/>
    <w:rsid w:val="009333C7"/>
    <w:rsid w:val="00933479"/>
    <w:rsid w:val="00934AEF"/>
    <w:rsid w:val="00934B97"/>
    <w:rsid w:val="00934F3D"/>
    <w:rsid w:val="0093545C"/>
    <w:rsid w:val="0093571C"/>
    <w:rsid w:val="00935DC4"/>
    <w:rsid w:val="00935FBE"/>
    <w:rsid w:val="009367BC"/>
    <w:rsid w:val="0093693E"/>
    <w:rsid w:val="00936DEF"/>
    <w:rsid w:val="00937AF9"/>
    <w:rsid w:val="0094012C"/>
    <w:rsid w:val="0094020A"/>
    <w:rsid w:val="00940E33"/>
    <w:rsid w:val="00940F58"/>
    <w:rsid w:val="009410DA"/>
    <w:rsid w:val="009411B5"/>
    <w:rsid w:val="00941206"/>
    <w:rsid w:val="00941D08"/>
    <w:rsid w:val="00941F11"/>
    <w:rsid w:val="00942148"/>
    <w:rsid w:val="00942168"/>
    <w:rsid w:val="00942541"/>
    <w:rsid w:val="0094270D"/>
    <w:rsid w:val="009428F2"/>
    <w:rsid w:val="009429B0"/>
    <w:rsid w:val="00942C1C"/>
    <w:rsid w:val="00944002"/>
    <w:rsid w:val="009448C7"/>
    <w:rsid w:val="009449AE"/>
    <w:rsid w:val="00945614"/>
    <w:rsid w:val="009456ED"/>
    <w:rsid w:val="00945E14"/>
    <w:rsid w:val="00945F07"/>
    <w:rsid w:val="00945FDE"/>
    <w:rsid w:val="0094639A"/>
    <w:rsid w:val="00947185"/>
    <w:rsid w:val="00947515"/>
    <w:rsid w:val="0094775F"/>
    <w:rsid w:val="00947965"/>
    <w:rsid w:val="00947AA9"/>
    <w:rsid w:val="00947C9F"/>
    <w:rsid w:val="00950EC0"/>
    <w:rsid w:val="00951672"/>
    <w:rsid w:val="00951B2A"/>
    <w:rsid w:val="00951DF8"/>
    <w:rsid w:val="00952312"/>
    <w:rsid w:val="00952355"/>
    <w:rsid w:val="00952852"/>
    <w:rsid w:val="009529E6"/>
    <w:rsid w:val="009536D5"/>
    <w:rsid w:val="00953E98"/>
    <w:rsid w:val="0095410C"/>
    <w:rsid w:val="0095424D"/>
    <w:rsid w:val="009547E6"/>
    <w:rsid w:val="00954CA4"/>
    <w:rsid w:val="00954F59"/>
    <w:rsid w:val="00955813"/>
    <w:rsid w:val="00955B1E"/>
    <w:rsid w:val="00956161"/>
    <w:rsid w:val="00956320"/>
    <w:rsid w:val="00956A1E"/>
    <w:rsid w:val="00956B71"/>
    <w:rsid w:val="009570E7"/>
    <w:rsid w:val="009575C3"/>
    <w:rsid w:val="00957E08"/>
    <w:rsid w:val="009608FC"/>
    <w:rsid w:val="009609A0"/>
    <w:rsid w:val="00960AFA"/>
    <w:rsid w:val="00961328"/>
    <w:rsid w:val="00961F5A"/>
    <w:rsid w:val="00962D7E"/>
    <w:rsid w:val="00962D92"/>
    <w:rsid w:val="00962E48"/>
    <w:rsid w:val="00962FFC"/>
    <w:rsid w:val="009639A6"/>
    <w:rsid w:val="00963AE4"/>
    <w:rsid w:val="00963FE1"/>
    <w:rsid w:val="009644C4"/>
    <w:rsid w:val="009647CB"/>
    <w:rsid w:val="00964B6B"/>
    <w:rsid w:val="00964C11"/>
    <w:rsid w:val="00964C5C"/>
    <w:rsid w:val="00964C73"/>
    <w:rsid w:val="00965413"/>
    <w:rsid w:val="009660B6"/>
    <w:rsid w:val="00966187"/>
    <w:rsid w:val="0096682C"/>
    <w:rsid w:val="009669C6"/>
    <w:rsid w:val="00966B9E"/>
    <w:rsid w:val="009670E6"/>
    <w:rsid w:val="009671BF"/>
    <w:rsid w:val="00967789"/>
    <w:rsid w:val="009678F3"/>
    <w:rsid w:val="00967AD3"/>
    <w:rsid w:val="00967CA7"/>
    <w:rsid w:val="00967D1A"/>
    <w:rsid w:val="0097037A"/>
    <w:rsid w:val="0097068B"/>
    <w:rsid w:val="0097069D"/>
    <w:rsid w:val="00971407"/>
    <w:rsid w:val="0097172C"/>
    <w:rsid w:val="0097214C"/>
    <w:rsid w:val="009723E4"/>
    <w:rsid w:val="0097244A"/>
    <w:rsid w:val="009726FF"/>
    <w:rsid w:val="00972738"/>
    <w:rsid w:val="00972953"/>
    <w:rsid w:val="00972983"/>
    <w:rsid w:val="00972AA9"/>
    <w:rsid w:val="00973586"/>
    <w:rsid w:val="009736BB"/>
    <w:rsid w:val="00973752"/>
    <w:rsid w:val="009739BD"/>
    <w:rsid w:val="00973B9B"/>
    <w:rsid w:val="00973E3C"/>
    <w:rsid w:val="0097404F"/>
    <w:rsid w:val="00975107"/>
    <w:rsid w:val="00975230"/>
    <w:rsid w:val="009757F7"/>
    <w:rsid w:val="00975C00"/>
    <w:rsid w:val="00975C83"/>
    <w:rsid w:val="00975D7F"/>
    <w:rsid w:val="0097609F"/>
    <w:rsid w:val="009769FA"/>
    <w:rsid w:val="00976A0B"/>
    <w:rsid w:val="00976F7A"/>
    <w:rsid w:val="00977216"/>
    <w:rsid w:val="0097782B"/>
    <w:rsid w:val="0098000A"/>
    <w:rsid w:val="00980581"/>
    <w:rsid w:val="00980A97"/>
    <w:rsid w:val="0098182D"/>
    <w:rsid w:val="00981ABA"/>
    <w:rsid w:val="00981C57"/>
    <w:rsid w:val="009821F3"/>
    <w:rsid w:val="00982983"/>
    <w:rsid w:val="00982DF8"/>
    <w:rsid w:val="009830DE"/>
    <w:rsid w:val="009837BF"/>
    <w:rsid w:val="00983DAC"/>
    <w:rsid w:val="00983EDD"/>
    <w:rsid w:val="0098416D"/>
    <w:rsid w:val="0098514F"/>
    <w:rsid w:val="009855E9"/>
    <w:rsid w:val="00985D72"/>
    <w:rsid w:val="00985DEE"/>
    <w:rsid w:val="009860EA"/>
    <w:rsid w:val="0098693D"/>
    <w:rsid w:val="009870DA"/>
    <w:rsid w:val="0098728F"/>
    <w:rsid w:val="00987C45"/>
    <w:rsid w:val="00987F91"/>
    <w:rsid w:val="009903A3"/>
    <w:rsid w:val="009904F3"/>
    <w:rsid w:val="00990655"/>
    <w:rsid w:val="00990B40"/>
    <w:rsid w:val="00991CF6"/>
    <w:rsid w:val="00992922"/>
    <w:rsid w:val="0099294C"/>
    <w:rsid w:val="009930CE"/>
    <w:rsid w:val="00993108"/>
    <w:rsid w:val="00993F64"/>
    <w:rsid w:val="00994AA8"/>
    <w:rsid w:val="00994E31"/>
    <w:rsid w:val="0099526E"/>
    <w:rsid w:val="009952A3"/>
    <w:rsid w:val="00995354"/>
    <w:rsid w:val="009953CC"/>
    <w:rsid w:val="0099548B"/>
    <w:rsid w:val="009958FC"/>
    <w:rsid w:val="00995AAA"/>
    <w:rsid w:val="00995F4E"/>
    <w:rsid w:val="00996225"/>
    <w:rsid w:val="009964D2"/>
    <w:rsid w:val="009968B7"/>
    <w:rsid w:val="009968FA"/>
    <w:rsid w:val="00996E2B"/>
    <w:rsid w:val="00996EA3"/>
    <w:rsid w:val="00997283"/>
    <w:rsid w:val="00997AB3"/>
    <w:rsid w:val="00997FE6"/>
    <w:rsid w:val="009A03A5"/>
    <w:rsid w:val="009A0A56"/>
    <w:rsid w:val="009A0BA1"/>
    <w:rsid w:val="009A0CF0"/>
    <w:rsid w:val="009A137A"/>
    <w:rsid w:val="009A194F"/>
    <w:rsid w:val="009A1B43"/>
    <w:rsid w:val="009A1BFA"/>
    <w:rsid w:val="009A22D1"/>
    <w:rsid w:val="009A3811"/>
    <w:rsid w:val="009A3C1A"/>
    <w:rsid w:val="009A3C2E"/>
    <w:rsid w:val="009A4452"/>
    <w:rsid w:val="009A58C7"/>
    <w:rsid w:val="009A59CE"/>
    <w:rsid w:val="009A5DC2"/>
    <w:rsid w:val="009A6083"/>
    <w:rsid w:val="009A61A7"/>
    <w:rsid w:val="009A6EC6"/>
    <w:rsid w:val="009A714A"/>
    <w:rsid w:val="009A796A"/>
    <w:rsid w:val="009A7C93"/>
    <w:rsid w:val="009A7ECA"/>
    <w:rsid w:val="009B0491"/>
    <w:rsid w:val="009B0802"/>
    <w:rsid w:val="009B0A4A"/>
    <w:rsid w:val="009B0B41"/>
    <w:rsid w:val="009B0C0F"/>
    <w:rsid w:val="009B0CD7"/>
    <w:rsid w:val="009B18ED"/>
    <w:rsid w:val="009B190A"/>
    <w:rsid w:val="009B1C6B"/>
    <w:rsid w:val="009B2ACE"/>
    <w:rsid w:val="009B34AF"/>
    <w:rsid w:val="009B35DE"/>
    <w:rsid w:val="009B3E86"/>
    <w:rsid w:val="009B4A90"/>
    <w:rsid w:val="009B4B81"/>
    <w:rsid w:val="009B4E8F"/>
    <w:rsid w:val="009B53CD"/>
    <w:rsid w:val="009B594D"/>
    <w:rsid w:val="009B5C51"/>
    <w:rsid w:val="009B5E2A"/>
    <w:rsid w:val="009B6325"/>
    <w:rsid w:val="009B6BB3"/>
    <w:rsid w:val="009B6CA2"/>
    <w:rsid w:val="009B75C0"/>
    <w:rsid w:val="009B775A"/>
    <w:rsid w:val="009B7C7A"/>
    <w:rsid w:val="009C028B"/>
    <w:rsid w:val="009C08F2"/>
    <w:rsid w:val="009C0A45"/>
    <w:rsid w:val="009C0AED"/>
    <w:rsid w:val="009C14A8"/>
    <w:rsid w:val="009C152C"/>
    <w:rsid w:val="009C21A2"/>
    <w:rsid w:val="009C2715"/>
    <w:rsid w:val="009C29B0"/>
    <w:rsid w:val="009C37ED"/>
    <w:rsid w:val="009C3CDC"/>
    <w:rsid w:val="009C4526"/>
    <w:rsid w:val="009C4532"/>
    <w:rsid w:val="009C4B6F"/>
    <w:rsid w:val="009C5006"/>
    <w:rsid w:val="009C6649"/>
    <w:rsid w:val="009C68CE"/>
    <w:rsid w:val="009C6C5E"/>
    <w:rsid w:val="009C74DD"/>
    <w:rsid w:val="009C7BA5"/>
    <w:rsid w:val="009C7D03"/>
    <w:rsid w:val="009D0B12"/>
    <w:rsid w:val="009D16D0"/>
    <w:rsid w:val="009D16DD"/>
    <w:rsid w:val="009D1A53"/>
    <w:rsid w:val="009D2B5E"/>
    <w:rsid w:val="009D2D49"/>
    <w:rsid w:val="009D2D57"/>
    <w:rsid w:val="009D2EBB"/>
    <w:rsid w:val="009D3176"/>
    <w:rsid w:val="009D3187"/>
    <w:rsid w:val="009D31CE"/>
    <w:rsid w:val="009D3263"/>
    <w:rsid w:val="009D3297"/>
    <w:rsid w:val="009D3700"/>
    <w:rsid w:val="009D3A96"/>
    <w:rsid w:val="009D3F71"/>
    <w:rsid w:val="009D4468"/>
    <w:rsid w:val="009D4750"/>
    <w:rsid w:val="009D499F"/>
    <w:rsid w:val="009D51BF"/>
    <w:rsid w:val="009D522B"/>
    <w:rsid w:val="009D5AE8"/>
    <w:rsid w:val="009D5B7F"/>
    <w:rsid w:val="009D5B9D"/>
    <w:rsid w:val="009D6338"/>
    <w:rsid w:val="009D65BB"/>
    <w:rsid w:val="009D6F34"/>
    <w:rsid w:val="009D701B"/>
    <w:rsid w:val="009D727D"/>
    <w:rsid w:val="009D7503"/>
    <w:rsid w:val="009D7BE0"/>
    <w:rsid w:val="009D7C71"/>
    <w:rsid w:val="009E05F9"/>
    <w:rsid w:val="009E07F2"/>
    <w:rsid w:val="009E0CE8"/>
    <w:rsid w:val="009E0D0E"/>
    <w:rsid w:val="009E0D57"/>
    <w:rsid w:val="009E1598"/>
    <w:rsid w:val="009E1F74"/>
    <w:rsid w:val="009E2056"/>
    <w:rsid w:val="009E24B2"/>
    <w:rsid w:val="009E2790"/>
    <w:rsid w:val="009E27E5"/>
    <w:rsid w:val="009E27E8"/>
    <w:rsid w:val="009E2C23"/>
    <w:rsid w:val="009E2CDB"/>
    <w:rsid w:val="009E307D"/>
    <w:rsid w:val="009E3651"/>
    <w:rsid w:val="009E3A3E"/>
    <w:rsid w:val="009E3BB3"/>
    <w:rsid w:val="009E3CE4"/>
    <w:rsid w:val="009E3F6F"/>
    <w:rsid w:val="009E577B"/>
    <w:rsid w:val="009E5886"/>
    <w:rsid w:val="009E599F"/>
    <w:rsid w:val="009E5D9F"/>
    <w:rsid w:val="009E600E"/>
    <w:rsid w:val="009E60BF"/>
    <w:rsid w:val="009E642E"/>
    <w:rsid w:val="009E6D9C"/>
    <w:rsid w:val="009E7080"/>
    <w:rsid w:val="009E7676"/>
    <w:rsid w:val="009E7882"/>
    <w:rsid w:val="009E7A28"/>
    <w:rsid w:val="009E7E39"/>
    <w:rsid w:val="009F0598"/>
    <w:rsid w:val="009F0787"/>
    <w:rsid w:val="009F07E0"/>
    <w:rsid w:val="009F0EB3"/>
    <w:rsid w:val="009F12D9"/>
    <w:rsid w:val="009F13B7"/>
    <w:rsid w:val="009F151B"/>
    <w:rsid w:val="009F1A1D"/>
    <w:rsid w:val="009F1E7B"/>
    <w:rsid w:val="009F20B3"/>
    <w:rsid w:val="009F2385"/>
    <w:rsid w:val="009F24EC"/>
    <w:rsid w:val="009F2FCC"/>
    <w:rsid w:val="009F3261"/>
    <w:rsid w:val="009F326A"/>
    <w:rsid w:val="009F340D"/>
    <w:rsid w:val="009F3780"/>
    <w:rsid w:val="009F37B7"/>
    <w:rsid w:val="009F428D"/>
    <w:rsid w:val="009F4514"/>
    <w:rsid w:val="009F45A8"/>
    <w:rsid w:val="009F4B40"/>
    <w:rsid w:val="009F4C3C"/>
    <w:rsid w:val="009F5553"/>
    <w:rsid w:val="009F56B7"/>
    <w:rsid w:val="009F5AB9"/>
    <w:rsid w:val="009F5F15"/>
    <w:rsid w:val="009F670B"/>
    <w:rsid w:val="009F7017"/>
    <w:rsid w:val="009F707C"/>
    <w:rsid w:val="009F7092"/>
    <w:rsid w:val="009F70EA"/>
    <w:rsid w:val="009F7302"/>
    <w:rsid w:val="009F78E4"/>
    <w:rsid w:val="009F79CB"/>
    <w:rsid w:val="009F7AE8"/>
    <w:rsid w:val="009F7BAC"/>
    <w:rsid w:val="009F7F1A"/>
    <w:rsid w:val="00A00570"/>
    <w:rsid w:val="00A009CB"/>
    <w:rsid w:val="00A00E49"/>
    <w:rsid w:val="00A0122A"/>
    <w:rsid w:val="00A01874"/>
    <w:rsid w:val="00A02025"/>
    <w:rsid w:val="00A0254F"/>
    <w:rsid w:val="00A02850"/>
    <w:rsid w:val="00A0305B"/>
    <w:rsid w:val="00A03227"/>
    <w:rsid w:val="00A03714"/>
    <w:rsid w:val="00A03D51"/>
    <w:rsid w:val="00A04C41"/>
    <w:rsid w:val="00A054F7"/>
    <w:rsid w:val="00A05EEF"/>
    <w:rsid w:val="00A05F27"/>
    <w:rsid w:val="00A0604C"/>
    <w:rsid w:val="00A06604"/>
    <w:rsid w:val="00A06701"/>
    <w:rsid w:val="00A06718"/>
    <w:rsid w:val="00A06E16"/>
    <w:rsid w:val="00A06FAE"/>
    <w:rsid w:val="00A07113"/>
    <w:rsid w:val="00A07169"/>
    <w:rsid w:val="00A07256"/>
    <w:rsid w:val="00A074D5"/>
    <w:rsid w:val="00A07F3B"/>
    <w:rsid w:val="00A10592"/>
    <w:rsid w:val="00A107BC"/>
    <w:rsid w:val="00A108A2"/>
    <w:rsid w:val="00A1141F"/>
    <w:rsid w:val="00A11BCD"/>
    <w:rsid w:val="00A121DC"/>
    <w:rsid w:val="00A12426"/>
    <w:rsid w:val="00A1245F"/>
    <w:rsid w:val="00A12654"/>
    <w:rsid w:val="00A12741"/>
    <w:rsid w:val="00A12916"/>
    <w:rsid w:val="00A12AD2"/>
    <w:rsid w:val="00A12BA2"/>
    <w:rsid w:val="00A14C67"/>
    <w:rsid w:val="00A14CBB"/>
    <w:rsid w:val="00A1524C"/>
    <w:rsid w:val="00A154C0"/>
    <w:rsid w:val="00A1553B"/>
    <w:rsid w:val="00A159F6"/>
    <w:rsid w:val="00A15CE2"/>
    <w:rsid w:val="00A16130"/>
    <w:rsid w:val="00A161B7"/>
    <w:rsid w:val="00A1620A"/>
    <w:rsid w:val="00A1657C"/>
    <w:rsid w:val="00A1673B"/>
    <w:rsid w:val="00A16767"/>
    <w:rsid w:val="00A16E90"/>
    <w:rsid w:val="00A16EE5"/>
    <w:rsid w:val="00A17319"/>
    <w:rsid w:val="00A1763D"/>
    <w:rsid w:val="00A2018E"/>
    <w:rsid w:val="00A20BF9"/>
    <w:rsid w:val="00A20F2F"/>
    <w:rsid w:val="00A2150E"/>
    <w:rsid w:val="00A215A2"/>
    <w:rsid w:val="00A216BB"/>
    <w:rsid w:val="00A21752"/>
    <w:rsid w:val="00A222BD"/>
    <w:rsid w:val="00A22E4F"/>
    <w:rsid w:val="00A2306E"/>
    <w:rsid w:val="00A23D9F"/>
    <w:rsid w:val="00A24372"/>
    <w:rsid w:val="00A2452D"/>
    <w:rsid w:val="00A25077"/>
    <w:rsid w:val="00A25484"/>
    <w:rsid w:val="00A263D7"/>
    <w:rsid w:val="00A26AB5"/>
    <w:rsid w:val="00A27144"/>
    <w:rsid w:val="00A27B41"/>
    <w:rsid w:val="00A27DDC"/>
    <w:rsid w:val="00A30012"/>
    <w:rsid w:val="00A30046"/>
    <w:rsid w:val="00A30066"/>
    <w:rsid w:val="00A30144"/>
    <w:rsid w:val="00A30569"/>
    <w:rsid w:val="00A307CA"/>
    <w:rsid w:val="00A30DC2"/>
    <w:rsid w:val="00A30F21"/>
    <w:rsid w:val="00A3109A"/>
    <w:rsid w:val="00A31419"/>
    <w:rsid w:val="00A31600"/>
    <w:rsid w:val="00A31BD4"/>
    <w:rsid w:val="00A3241B"/>
    <w:rsid w:val="00A32E0A"/>
    <w:rsid w:val="00A32F01"/>
    <w:rsid w:val="00A32FE2"/>
    <w:rsid w:val="00A33157"/>
    <w:rsid w:val="00A33D6B"/>
    <w:rsid w:val="00A340FD"/>
    <w:rsid w:val="00A3423D"/>
    <w:rsid w:val="00A34B40"/>
    <w:rsid w:val="00A34C4D"/>
    <w:rsid w:val="00A35B9A"/>
    <w:rsid w:val="00A35F3A"/>
    <w:rsid w:val="00A363C9"/>
    <w:rsid w:val="00A36771"/>
    <w:rsid w:val="00A36E6A"/>
    <w:rsid w:val="00A37C7E"/>
    <w:rsid w:val="00A37D3F"/>
    <w:rsid w:val="00A405F8"/>
    <w:rsid w:val="00A40905"/>
    <w:rsid w:val="00A40B63"/>
    <w:rsid w:val="00A4114B"/>
    <w:rsid w:val="00A413FC"/>
    <w:rsid w:val="00A41441"/>
    <w:rsid w:val="00A415AA"/>
    <w:rsid w:val="00A4167C"/>
    <w:rsid w:val="00A419AD"/>
    <w:rsid w:val="00A41A1D"/>
    <w:rsid w:val="00A41D70"/>
    <w:rsid w:val="00A41D72"/>
    <w:rsid w:val="00A41E18"/>
    <w:rsid w:val="00A41F68"/>
    <w:rsid w:val="00A4204A"/>
    <w:rsid w:val="00A42145"/>
    <w:rsid w:val="00A4226E"/>
    <w:rsid w:val="00A4253F"/>
    <w:rsid w:val="00A4257F"/>
    <w:rsid w:val="00A42791"/>
    <w:rsid w:val="00A431CF"/>
    <w:rsid w:val="00A43445"/>
    <w:rsid w:val="00A435CA"/>
    <w:rsid w:val="00A43AE6"/>
    <w:rsid w:val="00A43DA3"/>
    <w:rsid w:val="00A43E83"/>
    <w:rsid w:val="00A43F37"/>
    <w:rsid w:val="00A43FEC"/>
    <w:rsid w:val="00A44194"/>
    <w:rsid w:val="00A443B2"/>
    <w:rsid w:val="00A44599"/>
    <w:rsid w:val="00A445A2"/>
    <w:rsid w:val="00A449C0"/>
    <w:rsid w:val="00A44A2C"/>
    <w:rsid w:val="00A44CC1"/>
    <w:rsid w:val="00A44D62"/>
    <w:rsid w:val="00A451FD"/>
    <w:rsid w:val="00A4544B"/>
    <w:rsid w:val="00A457E8"/>
    <w:rsid w:val="00A467F5"/>
    <w:rsid w:val="00A46E27"/>
    <w:rsid w:val="00A4719E"/>
    <w:rsid w:val="00A47353"/>
    <w:rsid w:val="00A4759C"/>
    <w:rsid w:val="00A4776F"/>
    <w:rsid w:val="00A5000F"/>
    <w:rsid w:val="00A50043"/>
    <w:rsid w:val="00A50A14"/>
    <w:rsid w:val="00A50EFF"/>
    <w:rsid w:val="00A51648"/>
    <w:rsid w:val="00A516FE"/>
    <w:rsid w:val="00A518A7"/>
    <w:rsid w:val="00A51972"/>
    <w:rsid w:val="00A51DBA"/>
    <w:rsid w:val="00A522D2"/>
    <w:rsid w:val="00A52380"/>
    <w:rsid w:val="00A526D3"/>
    <w:rsid w:val="00A52A19"/>
    <w:rsid w:val="00A5319D"/>
    <w:rsid w:val="00A539B2"/>
    <w:rsid w:val="00A53B3C"/>
    <w:rsid w:val="00A53BE1"/>
    <w:rsid w:val="00A541A6"/>
    <w:rsid w:val="00A546C7"/>
    <w:rsid w:val="00A546DE"/>
    <w:rsid w:val="00A54905"/>
    <w:rsid w:val="00A54AD4"/>
    <w:rsid w:val="00A54E60"/>
    <w:rsid w:val="00A5532B"/>
    <w:rsid w:val="00A555BA"/>
    <w:rsid w:val="00A55837"/>
    <w:rsid w:val="00A55AFA"/>
    <w:rsid w:val="00A55C48"/>
    <w:rsid w:val="00A56142"/>
    <w:rsid w:val="00A561B1"/>
    <w:rsid w:val="00A561B8"/>
    <w:rsid w:val="00A56844"/>
    <w:rsid w:val="00A56921"/>
    <w:rsid w:val="00A569E1"/>
    <w:rsid w:val="00A56E89"/>
    <w:rsid w:val="00A57059"/>
    <w:rsid w:val="00A5710E"/>
    <w:rsid w:val="00A571ED"/>
    <w:rsid w:val="00A5721E"/>
    <w:rsid w:val="00A57220"/>
    <w:rsid w:val="00A5734E"/>
    <w:rsid w:val="00A5752F"/>
    <w:rsid w:val="00A57E3C"/>
    <w:rsid w:val="00A6034B"/>
    <w:rsid w:val="00A60971"/>
    <w:rsid w:val="00A6109D"/>
    <w:rsid w:val="00A612D4"/>
    <w:rsid w:val="00A61FA2"/>
    <w:rsid w:val="00A62521"/>
    <w:rsid w:val="00A62F40"/>
    <w:rsid w:val="00A6356A"/>
    <w:rsid w:val="00A63C9C"/>
    <w:rsid w:val="00A6444A"/>
    <w:rsid w:val="00A64B7E"/>
    <w:rsid w:val="00A64BD6"/>
    <w:rsid w:val="00A64FFD"/>
    <w:rsid w:val="00A65582"/>
    <w:rsid w:val="00A6686B"/>
    <w:rsid w:val="00A66F1E"/>
    <w:rsid w:val="00A6791C"/>
    <w:rsid w:val="00A67986"/>
    <w:rsid w:val="00A679C7"/>
    <w:rsid w:val="00A702A2"/>
    <w:rsid w:val="00A702A7"/>
    <w:rsid w:val="00A705C5"/>
    <w:rsid w:val="00A715E3"/>
    <w:rsid w:val="00A71BEA"/>
    <w:rsid w:val="00A71C14"/>
    <w:rsid w:val="00A71F1C"/>
    <w:rsid w:val="00A720AD"/>
    <w:rsid w:val="00A72301"/>
    <w:rsid w:val="00A724A5"/>
    <w:rsid w:val="00A7272B"/>
    <w:rsid w:val="00A727B1"/>
    <w:rsid w:val="00A72E14"/>
    <w:rsid w:val="00A72FFB"/>
    <w:rsid w:val="00A73B76"/>
    <w:rsid w:val="00A73C52"/>
    <w:rsid w:val="00A73F7A"/>
    <w:rsid w:val="00A7422C"/>
    <w:rsid w:val="00A74796"/>
    <w:rsid w:val="00A74878"/>
    <w:rsid w:val="00A748F9"/>
    <w:rsid w:val="00A74D65"/>
    <w:rsid w:val="00A74E8C"/>
    <w:rsid w:val="00A75561"/>
    <w:rsid w:val="00A755E3"/>
    <w:rsid w:val="00A7565D"/>
    <w:rsid w:val="00A75839"/>
    <w:rsid w:val="00A759C1"/>
    <w:rsid w:val="00A763C3"/>
    <w:rsid w:val="00A7650F"/>
    <w:rsid w:val="00A765DD"/>
    <w:rsid w:val="00A77090"/>
    <w:rsid w:val="00A770C5"/>
    <w:rsid w:val="00A80018"/>
    <w:rsid w:val="00A802BD"/>
    <w:rsid w:val="00A803AC"/>
    <w:rsid w:val="00A8074A"/>
    <w:rsid w:val="00A807DE"/>
    <w:rsid w:val="00A80957"/>
    <w:rsid w:val="00A80EC1"/>
    <w:rsid w:val="00A8103C"/>
    <w:rsid w:val="00A81BDC"/>
    <w:rsid w:val="00A820B7"/>
    <w:rsid w:val="00A82F74"/>
    <w:rsid w:val="00A831F0"/>
    <w:rsid w:val="00A83380"/>
    <w:rsid w:val="00A835A1"/>
    <w:rsid w:val="00A83644"/>
    <w:rsid w:val="00A8369B"/>
    <w:rsid w:val="00A840A1"/>
    <w:rsid w:val="00A8537D"/>
    <w:rsid w:val="00A858E9"/>
    <w:rsid w:val="00A859AB"/>
    <w:rsid w:val="00A85A10"/>
    <w:rsid w:val="00A8638F"/>
    <w:rsid w:val="00A866BC"/>
    <w:rsid w:val="00A86D08"/>
    <w:rsid w:val="00A86E66"/>
    <w:rsid w:val="00A871D2"/>
    <w:rsid w:val="00A87494"/>
    <w:rsid w:val="00A8757C"/>
    <w:rsid w:val="00A87A48"/>
    <w:rsid w:val="00A87B38"/>
    <w:rsid w:val="00A87C68"/>
    <w:rsid w:val="00A87DDB"/>
    <w:rsid w:val="00A9008B"/>
    <w:rsid w:val="00A9080B"/>
    <w:rsid w:val="00A90B2C"/>
    <w:rsid w:val="00A90D9C"/>
    <w:rsid w:val="00A913E4"/>
    <w:rsid w:val="00A91765"/>
    <w:rsid w:val="00A91825"/>
    <w:rsid w:val="00A91B2E"/>
    <w:rsid w:val="00A9246D"/>
    <w:rsid w:val="00A925B1"/>
    <w:rsid w:val="00A9286C"/>
    <w:rsid w:val="00A92B50"/>
    <w:rsid w:val="00A92CF4"/>
    <w:rsid w:val="00A930C4"/>
    <w:rsid w:val="00A930EE"/>
    <w:rsid w:val="00A93374"/>
    <w:rsid w:val="00A93954"/>
    <w:rsid w:val="00A93FD3"/>
    <w:rsid w:val="00A944CD"/>
    <w:rsid w:val="00A94FE2"/>
    <w:rsid w:val="00A94FF8"/>
    <w:rsid w:val="00A958B9"/>
    <w:rsid w:val="00A95B6C"/>
    <w:rsid w:val="00A96350"/>
    <w:rsid w:val="00A96B18"/>
    <w:rsid w:val="00A970EC"/>
    <w:rsid w:val="00A971FC"/>
    <w:rsid w:val="00A97256"/>
    <w:rsid w:val="00A97820"/>
    <w:rsid w:val="00A97DE0"/>
    <w:rsid w:val="00A97F1B"/>
    <w:rsid w:val="00A97FF9"/>
    <w:rsid w:val="00AA01C8"/>
    <w:rsid w:val="00AA0E96"/>
    <w:rsid w:val="00AA13A8"/>
    <w:rsid w:val="00AA151C"/>
    <w:rsid w:val="00AA167E"/>
    <w:rsid w:val="00AA17D0"/>
    <w:rsid w:val="00AA1A85"/>
    <w:rsid w:val="00AA1C6F"/>
    <w:rsid w:val="00AA1DD5"/>
    <w:rsid w:val="00AA26A6"/>
    <w:rsid w:val="00AA27FC"/>
    <w:rsid w:val="00AA2947"/>
    <w:rsid w:val="00AA2B57"/>
    <w:rsid w:val="00AA2C8E"/>
    <w:rsid w:val="00AA2D74"/>
    <w:rsid w:val="00AA3445"/>
    <w:rsid w:val="00AA3AA9"/>
    <w:rsid w:val="00AA3C2F"/>
    <w:rsid w:val="00AA3DD5"/>
    <w:rsid w:val="00AA453F"/>
    <w:rsid w:val="00AA4AFE"/>
    <w:rsid w:val="00AA4CC8"/>
    <w:rsid w:val="00AA530A"/>
    <w:rsid w:val="00AA5331"/>
    <w:rsid w:val="00AA535F"/>
    <w:rsid w:val="00AA55A1"/>
    <w:rsid w:val="00AA576A"/>
    <w:rsid w:val="00AA6409"/>
    <w:rsid w:val="00AA7B34"/>
    <w:rsid w:val="00AA7CF6"/>
    <w:rsid w:val="00AB003A"/>
    <w:rsid w:val="00AB07AC"/>
    <w:rsid w:val="00AB0DE0"/>
    <w:rsid w:val="00AB17CD"/>
    <w:rsid w:val="00AB1E5D"/>
    <w:rsid w:val="00AB245B"/>
    <w:rsid w:val="00AB2890"/>
    <w:rsid w:val="00AB3974"/>
    <w:rsid w:val="00AB3A91"/>
    <w:rsid w:val="00AB3D89"/>
    <w:rsid w:val="00AB3F4C"/>
    <w:rsid w:val="00AB41BB"/>
    <w:rsid w:val="00AB4481"/>
    <w:rsid w:val="00AB45B9"/>
    <w:rsid w:val="00AB4C78"/>
    <w:rsid w:val="00AB5106"/>
    <w:rsid w:val="00AB56C8"/>
    <w:rsid w:val="00AB617A"/>
    <w:rsid w:val="00AB6426"/>
    <w:rsid w:val="00AB6595"/>
    <w:rsid w:val="00AB66CF"/>
    <w:rsid w:val="00AB6B66"/>
    <w:rsid w:val="00AB6E4E"/>
    <w:rsid w:val="00AB7148"/>
    <w:rsid w:val="00AB7E11"/>
    <w:rsid w:val="00AC06C3"/>
    <w:rsid w:val="00AC0C6A"/>
    <w:rsid w:val="00AC0D3D"/>
    <w:rsid w:val="00AC0DA4"/>
    <w:rsid w:val="00AC0E37"/>
    <w:rsid w:val="00AC130F"/>
    <w:rsid w:val="00AC1F18"/>
    <w:rsid w:val="00AC2235"/>
    <w:rsid w:val="00AC25A3"/>
    <w:rsid w:val="00AC2C2B"/>
    <w:rsid w:val="00AC2D8A"/>
    <w:rsid w:val="00AC2F12"/>
    <w:rsid w:val="00AC3234"/>
    <w:rsid w:val="00AC331F"/>
    <w:rsid w:val="00AC346C"/>
    <w:rsid w:val="00AC4066"/>
    <w:rsid w:val="00AC4173"/>
    <w:rsid w:val="00AC4923"/>
    <w:rsid w:val="00AC4CBD"/>
    <w:rsid w:val="00AC5403"/>
    <w:rsid w:val="00AC594E"/>
    <w:rsid w:val="00AC5AA9"/>
    <w:rsid w:val="00AC6675"/>
    <w:rsid w:val="00AC6844"/>
    <w:rsid w:val="00AC690F"/>
    <w:rsid w:val="00AC6A18"/>
    <w:rsid w:val="00AC6B1D"/>
    <w:rsid w:val="00AC6E39"/>
    <w:rsid w:val="00AC7068"/>
    <w:rsid w:val="00AC7611"/>
    <w:rsid w:val="00AC77C9"/>
    <w:rsid w:val="00AC7E00"/>
    <w:rsid w:val="00AC7E1D"/>
    <w:rsid w:val="00AC7FF6"/>
    <w:rsid w:val="00AD0BD2"/>
    <w:rsid w:val="00AD0E8A"/>
    <w:rsid w:val="00AD0E8E"/>
    <w:rsid w:val="00AD0EDF"/>
    <w:rsid w:val="00AD1105"/>
    <w:rsid w:val="00AD1255"/>
    <w:rsid w:val="00AD130A"/>
    <w:rsid w:val="00AD1378"/>
    <w:rsid w:val="00AD15BC"/>
    <w:rsid w:val="00AD162D"/>
    <w:rsid w:val="00AD2935"/>
    <w:rsid w:val="00AD2BC3"/>
    <w:rsid w:val="00AD33F9"/>
    <w:rsid w:val="00AD3E2C"/>
    <w:rsid w:val="00AD44E7"/>
    <w:rsid w:val="00AD4DAD"/>
    <w:rsid w:val="00AD5161"/>
    <w:rsid w:val="00AD546D"/>
    <w:rsid w:val="00AD57FC"/>
    <w:rsid w:val="00AD6793"/>
    <w:rsid w:val="00AD6FF9"/>
    <w:rsid w:val="00AD71F1"/>
    <w:rsid w:val="00AD7510"/>
    <w:rsid w:val="00AE003B"/>
    <w:rsid w:val="00AE066A"/>
    <w:rsid w:val="00AE06D7"/>
    <w:rsid w:val="00AE0739"/>
    <w:rsid w:val="00AE088E"/>
    <w:rsid w:val="00AE0E8E"/>
    <w:rsid w:val="00AE106A"/>
    <w:rsid w:val="00AE10BA"/>
    <w:rsid w:val="00AE11AA"/>
    <w:rsid w:val="00AE13E9"/>
    <w:rsid w:val="00AE161D"/>
    <w:rsid w:val="00AE1D0C"/>
    <w:rsid w:val="00AE27C9"/>
    <w:rsid w:val="00AE371E"/>
    <w:rsid w:val="00AE3EAA"/>
    <w:rsid w:val="00AE40AC"/>
    <w:rsid w:val="00AE4322"/>
    <w:rsid w:val="00AE48C0"/>
    <w:rsid w:val="00AE4AC6"/>
    <w:rsid w:val="00AE51DD"/>
    <w:rsid w:val="00AE5BD8"/>
    <w:rsid w:val="00AE64DA"/>
    <w:rsid w:val="00AE6D6B"/>
    <w:rsid w:val="00AE6D89"/>
    <w:rsid w:val="00AE6DAE"/>
    <w:rsid w:val="00AE766E"/>
    <w:rsid w:val="00AF001E"/>
    <w:rsid w:val="00AF08DA"/>
    <w:rsid w:val="00AF1027"/>
    <w:rsid w:val="00AF1171"/>
    <w:rsid w:val="00AF17E8"/>
    <w:rsid w:val="00AF1A8A"/>
    <w:rsid w:val="00AF1D40"/>
    <w:rsid w:val="00AF1E7A"/>
    <w:rsid w:val="00AF200D"/>
    <w:rsid w:val="00AF31ED"/>
    <w:rsid w:val="00AF31F7"/>
    <w:rsid w:val="00AF35A7"/>
    <w:rsid w:val="00AF378A"/>
    <w:rsid w:val="00AF3EB4"/>
    <w:rsid w:val="00AF3F14"/>
    <w:rsid w:val="00AF42C4"/>
    <w:rsid w:val="00AF468C"/>
    <w:rsid w:val="00AF46B1"/>
    <w:rsid w:val="00AF49DA"/>
    <w:rsid w:val="00AF4BBE"/>
    <w:rsid w:val="00AF4E1A"/>
    <w:rsid w:val="00AF5018"/>
    <w:rsid w:val="00AF5091"/>
    <w:rsid w:val="00AF555F"/>
    <w:rsid w:val="00AF5CA1"/>
    <w:rsid w:val="00AF6189"/>
    <w:rsid w:val="00AF6771"/>
    <w:rsid w:val="00AF688D"/>
    <w:rsid w:val="00AF6A1D"/>
    <w:rsid w:val="00AF6A3A"/>
    <w:rsid w:val="00AF6F27"/>
    <w:rsid w:val="00AF7092"/>
    <w:rsid w:val="00AF72B3"/>
    <w:rsid w:val="00AF74B9"/>
    <w:rsid w:val="00AF7A8C"/>
    <w:rsid w:val="00B00153"/>
    <w:rsid w:val="00B0040D"/>
    <w:rsid w:val="00B00BF5"/>
    <w:rsid w:val="00B00FC9"/>
    <w:rsid w:val="00B00FFC"/>
    <w:rsid w:val="00B014AE"/>
    <w:rsid w:val="00B014B0"/>
    <w:rsid w:val="00B0154D"/>
    <w:rsid w:val="00B019F3"/>
    <w:rsid w:val="00B01BD0"/>
    <w:rsid w:val="00B02209"/>
    <w:rsid w:val="00B0235A"/>
    <w:rsid w:val="00B02A96"/>
    <w:rsid w:val="00B02BAE"/>
    <w:rsid w:val="00B02C61"/>
    <w:rsid w:val="00B02DEC"/>
    <w:rsid w:val="00B02FB9"/>
    <w:rsid w:val="00B031C4"/>
    <w:rsid w:val="00B03357"/>
    <w:rsid w:val="00B035AD"/>
    <w:rsid w:val="00B03744"/>
    <w:rsid w:val="00B0482C"/>
    <w:rsid w:val="00B04843"/>
    <w:rsid w:val="00B04ADF"/>
    <w:rsid w:val="00B05321"/>
    <w:rsid w:val="00B055D6"/>
    <w:rsid w:val="00B05760"/>
    <w:rsid w:val="00B05B24"/>
    <w:rsid w:val="00B05FFD"/>
    <w:rsid w:val="00B0636C"/>
    <w:rsid w:val="00B063C1"/>
    <w:rsid w:val="00B0653B"/>
    <w:rsid w:val="00B06941"/>
    <w:rsid w:val="00B071E2"/>
    <w:rsid w:val="00B0725A"/>
    <w:rsid w:val="00B07407"/>
    <w:rsid w:val="00B0760C"/>
    <w:rsid w:val="00B07B0F"/>
    <w:rsid w:val="00B07C62"/>
    <w:rsid w:val="00B07ECF"/>
    <w:rsid w:val="00B10AD1"/>
    <w:rsid w:val="00B11FA8"/>
    <w:rsid w:val="00B122C7"/>
    <w:rsid w:val="00B12780"/>
    <w:rsid w:val="00B12F0B"/>
    <w:rsid w:val="00B13A39"/>
    <w:rsid w:val="00B14290"/>
    <w:rsid w:val="00B142DB"/>
    <w:rsid w:val="00B144CE"/>
    <w:rsid w:val="00B148FA"/>
    <w:rsid w:val="00B14960"/>
    <w:rsid w:val="00B14A60"/>
    <w:rsid w:val="00B14DCE"/>
    <w:rsid w:val="00B1570B"/>
    <w:rsid w:val="00B15A81"/>
    <w:rsid w:val="00B15B60"/>
    <w:rsid w:val="00B1616D"/>
    <w:rsid w:val="00B16351"/>
    <w:rsid w:val="00B16925"/>
    <w:rsid w:val="00B1699F"/>
    <w:rsid w:val="00B16D48"/>
    <w:rsid w:val="00B16E65"/>
    <w:rsid w:val="00B1758D"/>
    <w:rsid w:val="00B179A0"/>
    <w:rsid w:val="00B201C9"/>
    <w:rsid w:val="00B204CF"/>
    <w:rsid w:val="00B20A4F"/>
    <w:rsid w:val="00B20EE6"/>
    <w:rsid w:val="00B20F8F"/>
    <w:rsid w:val="00B21212"/>
    <w:rsid w:val="00B2178F"/>
    <w:rsid w:val="00B21936"/>
    <w:rsid w:val="00B21B26"/>
    <w:rsid w:val="00B21BA7"/>
    <w:rsid w:val="00B220AF"/>
    <w:rsid w:val="00B23098"/>
    <w:rsid w:val="00B24116"/>
    <w:rsid w:val="00B24341"/>
    <w:rsid w:val="00B248FD"/>
    <w:rsid w:val="00B2491C"/>
    <w:rsid w:val="00B24997"/>
    <w:rsid w:val="00B249E1"/>
    <w:rsid w:val="00B250D1"/>
    <w:rsid w:val="00B25312"/>
    <w:rsid w:val="00B25698"/>
    <w:rsid w:val="00B259DC"/>
    <w:rsid w:val="00B25DEE"/>
    <w:rsid w:val="00B260F8"/>
    <w:rsid w:val="00B264EC"/>
    <w:rsid w:val="00B265E5"/>
    <w:rsid w:val="00B268B1"/>
    <w:rsid w:val="00B26EA1"/>
    <w:rsid w:val="00B26EB0"/>
    <w:rsid w:val="00B27316"/>
    <w:rsid w:val="00B277CA"/>
    <w:rsid w:val="00B27AAB"/>
    <w:rsid w:val="00B3031C"/>
    <w:rsid w:val="00B308F3"/>
    <w:rsid w:val="00B3094B"/>
    <w:rsid w:val="00B3110D"/>
    <w:rsid w:val="00B31424"/>
    <w:rsid w:val="00B3167B"/>
    <w:rsid w:val="00B31877"/>
    <w:rsid w:val="00B31A8A"/>
    <w:rsid w:val="00B31EB2"/>
    <w:rsid w:val="00B31FFA"/>
    <w:rsid w:val="00B321DE"/>
    <w:rsid w:val="00B32595"/>
    <w:rsid w:val="00B32C67"/>
    <w:rsid w:val="00B32D6D"/>
    <w:rsid w:val="00B32E97"/>
    <w:rsid w:val="00B33331"/>
    <w:rsid w:val="00B338BA"/>
    <w:rsid w:val="00B33DFD"/>
    <w:rsid w:val="00B33E36"/>
    <w:rsid w:val="00B34963"/>
    <w:rsid w:val="00B34C98"/>
    <w:rsid w:val="00B34EFE"/>
    <w:rsid w:val="00B3506F"/>
    <w:rsid w:val="00B3522E"/>
    <w:rsid w:val="00B354A3"/>
    <w:rsid w:val="00B35D04"/>
    <w:rsid w:val="00B35DAE"/>
    <w:rsid w:val="00B364FF"/>
    <w:rsid w:val="00B36CBC"/>
    <w:rsid w:val="00B36D0B"/>
    <w:rsid w:val="00B3799C"/>
    <w:rsid w:val="00B37DE2"/>
    <w:rsid w:val="00B40187"/>
    <w:rsid w:val="00B40A97"/>
    <w:rsid w:val="00B411BE"/>
    <w:rsid w:val="00B414D1"/>
    <w:rsid w:val="00B41770"/>
    <w:rsid w:val="00B41A41"/>
    <w:rsid w:val="00B41CEA"/>
    <w:rsid w:val="00B42763"/>
    <w:rsid w:val="00B42EC3"/>
    <w:rsid w:val="00B42F21"/>
    <w:rsid w:val="00B43013"/>
    <w:rsid w:val="00B43DA5"/>
    <w:rsid w:val="00B43EC9"/>
    <w:rsid w:val="00B441D4"/>
    <w:rsid w:val="00B44B5A"/>
    <w:rsid w:val="00B44D09"/>
    <w:rsid w:val="00B450BE"/>
    <w:rsid w:val="00B451E9"/>
    <w:rsid w:val="00B457D9"/>
    <w:rsid w:val="00B45DA6"/>
    <w:rsid w:val="00B45DD4"/>
    <w:rsid w:val="00B46292"/>
    <w:rsid w:val="00B462C9"/>
    <w:rsid w:val="00B46684"/>
    <w:rsid w:val="00B46F4E"/>
    <w:rsid w:val="00B4779F"/>
    <w:rsid w:val="00B478D7"/>
    <w:rsid w:val="00B47D26"/>
    <w:rsid w:val="00B50091"/>
    <w:rsid w:val="00B501CA"/>
    <w:rsid w:val="00B50531"/>
    <w:rsid w:val="00B5064F"/>
    <w:rsid w:val="00B506CD"/>
    <w:rsid w:val="00B50CAA"/>
    <w:rsid w:val="00B50FED"/>
    <w:rsid w:val="00B511D0"/>
    <w:rsid w:val="00B5168A"/>
    <w:rsid w:val="00B5204C"/>
    <w:rsid w:val="00B52F14"/>
    <w:rsid w:val="00B5322C"/>
    <w:rsid w:val="00B5385B"/>
    <w:rsid w:val="00B53A1E"/>
    <w:rsid w:val="00B53BA6"/>
    <w:rsid w:val="00B53CD3"/>
    <w:rsid w:val="00B53D84"/>
    <w:rsid w:val="00B546B5"/>
    <w:rsid w:val="00B55785"/>
    <w:rsid w:val="00B55C72"/>
    <w:rsid w:val="00B55E42"/>
    <w:rsid w:val="00B55FC8"/>
    <w:rsid w:val="00B5641D"/>
    <w:rsid w:val="00B56841"/>
    <w:rsid w:val="00B569BE"/>
    <w:rsid w:val="00B56CB6"/>
    <w:rsid w:val="00B56E45"/>
    <w:rsid w:val="00B57847"/>
    <w:rsid w:val="00B6049A"/>
    <w:rsid w:val="00B605A1"/>
    <w:rsid w:val="00B60DEE"/>
    <w:rsid w:val="00B612FF"/>
    <w:rsid w:val="00B62367"/>
    <w:rsid w:val="00B6238D"/>
    <w:rsid w:val="00B6284F"/>
    <w:rsid w:val="00B62D08"/>
    <w:rsid w:val="00B62ED4"/>
    <w:rsid w:val="00B63ABF"/>
    <w:rsid w:val="00B64046"/>
    <w:rsid w:val="00B6426C"/>
    <w:rsid w:val="00B64683"/>
    <w:rsid w:val="00B64F44"/>
    <w:rsid w:val="00B6510C"/>
    <w:rsid w:val="00B651DB"/>
    <w:rsid w:val="00B66A79"/>
    <w:rsid w:val="00B6781B"/>
    <w:rsid w:val="00B67C5B"/>
    <w:rsid w:val="00B67E43"/>
    <w:rsid w:val="00B70440"/>
    <w:rsid w:val="00B70BA7"/>
    <w:rsid w:val="00B70E81"/>
    <w:rsid w:val="00B72003"/>
    <w:rsid w:val="00B72326"/>
    <w:rsid w:val="00B72331"/>
    <w:rsid w:val="00B72784"/>
    <w:rsid w:val="00B72A64"/>
    <w:rsid w:val="00B72CA6"/>
    <w:rsid w:val="00B72E03"/>
    <w:rsid w:val="00B72FF2"/>
    <w:rsid w:val="00B731E1"/>
    <w:rsid w:val="00B73394"/>
    <w:rsid w:val="00B737BA"/>
    <w:rsid w:val="00B7383B"/>
    <w:rsid w:val="00B73AE3"/>
    <w:rsid w:val="00B7463A"/>
    <w:rsid w:val="00B74A05"/>
    <w:rsid w:val="00B74A32"/>
    <w:rsid w:val="00B74A3D"/>
    <w:rsid w:val="00B74D11"/>
    <w:rsid w:val="00B74DEF"/>
    <w:rsid w:val="00B74F5C"/>
    <w:rsid w:val="00B75008"/>
    <w:rsid w:val="00B75011"/>
    <w:rsid w:val="00B752C4"/>
    <w:rsid w:val="00B75E0B"/>
    <w:rsid w:val="00B75F3F"/>
    <w:rsid w:val="00B75FB2"/>
    <w:rsid w:val="00B767AF"/>
    <w:rsid w:val="00B769D6"/>
    <w:rsid w:val="00B76AAF"/>
    <w:rsid w:val="00B775F0"/>
    <w:rsid w:val="00B7793C"/>
    <w:rsid w:val="00B77A9F"/>
    <w:rsid w:val="00B77E00"/>
    <w:rsid w:val="00B77F53"/>
    <w:rsid w:val="00B802A5"/>
    <w:rsid w:val="00B80806"/>
    <w:rsid w:val="00B809FD"/>
    <w:rsid w:val="00B80C9D"/>
    <w:rsid w:val="00B80FBF"/>
    <w:rsid w:val="00B81391"/>
    <w:rsid w:val="00B8147E"/>
    <w:rsid w:val="00B817ED"/>
    <w:rsid w:val="00B820B2"/>
    <w:rsid w:val="00B821B1"/>
    <w:rsid w:val="00B822CA"/>
    <w:rsid w:val="00B827BD"/>
    <w:rsid w:val="00B830F8"/>
    <w:rsid w:val="00B837DB"/>
    <w:rsid w:val="00B83F96"/>
    <w:rsid w:val="00B84178"/>
    <w:rsid w:val="00B84AC7"/>
    <w:rsid w:val="00B84AFE"/>
    <w:rsid w:val="00B84BAC"/>
    <w:rsid w:val="00B85258"/>
    <w:rsid w:val="00B85273"/>
    <w:rsid w:val="00B8595B"/>
    <w:rsid w:val="00B85C0F"/>
    <w:rsid w:val="00B8676A"/>
    <w:rsid w:val="00B86E10"/>
    <w:rsid w:val="00B87903"/>
    <w:rsid w:val="00B87B95"/>
    <w:rsid w:val="00B87DC8"/>
    <w:rsid w:val="00B87E00"/>
    <w:rsid w:val="00B90160"/>
    <w:rsid w:val="00B901E8"/>
    <w:rsid w:val="00B90503"/>
    <w:rsid w:val="00B90A12"/>
    <w:rsid w:val="00B91664"/>
    <w:rsid w:val="00B919B4"/>
    <w:rsid w:val="00B91C42"/>
    <w:rsid w:val="00B9235A"/>
    <w:rsid w:val="00B9250A"/>
    <w:rsid w:val="00B926FD"/>
    <w:rsid w:val="00B92917"/>
    <w:rsid w:val="00B92A2F"/>
    <w:rsid w:val="00B92D1C"/>
    <w:rsid w:val="00B92DCB"/>
    <w:rsid w:val="00B92E8E"/>
    <w:rsid w:val="00B93277"/>
    <w:rsid w:val="00B93433"/>
    <w:rsid w:val="00B93AA6"/>
    <w:rsid w:val="00B94274"/>
    <w:rsid w:val="00B94537"/>
    <w:rsid w:val="00B945C8"/>
    <w:rsid w:val="00B94A01"/>
    <w:rsid w:val="00B94FE2"/>
    <w:rsid w:val="00B9503E"/>
    <w:rsid w:val="00B958C4"/>
    <w:rsid w:val="00B9615D"/>
    <w:rsid w:val="00B962A7"/>
    <w:rsid w:val="00B966DC"/>
    <w:rsid w:val="00B96776"/>
    <w:rsid w:val="00B96A13"/>
    <w:rsid w:val="00B9703C"/>
    <w:rsid w:val="00B973E7"/>
    <w:rsid w:val="00B97A44"/>
    <w:rsid w:val="00B97C11"/>
    <w:rsid w:val="00B97C67"/>
    <w:rsid w:val="00BA0592"/>
    <w:rsid w:val="00BA0744"/>
    <w:rsid w:val="00BA08B3"/>
    <w:rsid w:val="00BA0A9E"/>
    <w:rsid w:val="00BA0D67"/>
    <w:rsid w:val="00BA0F21"/>
    <w:rsid w:val="00BA10C9"/>
    <w:rsid w:val="00BA1773"/>
    <w:rsid w:val="00BA178B"/>
    <w:rsid w:val="00BA1B79"/>
    <w:rsid w:val="00BA2846"/>
    <w:rsid w:val="00BA2B22"/>
    <w:rsid w:val="00BA3051"/>
    <w:rsid w:val="00BA307D"/>
    <w:rsid w:val="00BA3081"/>
    <w:rsid w:val="00BA33A1"/>
    <w:rsid w:val="00BA34B0"/>
    <w:rsid w:val="00BA34C6"/>
    <w:rsid w:val="00BA3B19"/>
    <w:rsid w:val="00BA3C9F"/>
    <w:rsid w:val="00BA3E78"/>
    <w:rsid w:val="00BA3F82"/>
    <w:rsid w:val="00BA4724"/>
    <w:rsid w:val="00BA49F7"/>
    <w:rsid w:val="00BA4EEE"/>
    <w:rsid w:val="00BA5DC7"/>
    <w:rsid w:val="00BA630E"/>
    <w:rsid w:val="00BA6456"/>
    <w:rsid w:val="00BA6903"/>
    <w:rsid w:val="00BA6919"/>
    <w:rsid w:val="00BA6F87"/>
    <w:rsid w:val="00BA73D9"/>
    <w:rsid w:val="00BA74A2"/>
    <w:rsid w:val="00BA767A"/>
    <w:rsid w:val="00BA76A7"/>
    <w:rsid w:val="00BA7AB0"/>
    <w:rsid w:val="00BA7E00"/>
    <w:rsid w:val="00BA7F20"/>
    <w:rsid w:val="00BA7F39"/>
    <w:rsid w:val="00BB0271"/>
    <w:rsid w:val="00BB04CB"/>
    <w:rsid w:val="00BB0B53"/>
    <w:rsid w:val="00BB0F8B"/>
    <w:rsid w:val="00BB1182"/>
    <w:rsid w:val="00BB14C9"/>
    <w:rsid w:val="00BB16C3"/>
    <w:rsid w:val="00BB2128"/>
    <w:rsid w:val="00BB27E3"/>
    <w:rsid w:val="00BB29C9"/>
    <w:rsid w:val="00BB2ABC"/>
    <w:rsid w:val="00BB2B4E"/>
    <w:rsid w:val="00BB2D94"/>
    <w:rsid w:val="00BB2F35"/>
    <w:rsid w:val="00BB3049"/>
    <w:rsid w:val="00BB329A"/>
    <w:rsid w:val="00BB350C"/>
    <w:rsid w:val="00BB388B"/>
    <w:rsid w:val="00BB40D1"/>
    <w:rsid w:val="00BB4727"/>
    <w:rsid w:val="00BB4784"/>
    <w:rsid w:val="00BB4922"/>
    <w:rsid w:val="00BB494D"/>
    <w:rsid w:val="00BB4AB1"/>
    <w:rsid w:val="00BB4CA0"/>
    <w:rsid w:val="00BB5138"/>
    <w:rsid w:val="00BB538C"/>
    <w:rsid w:val="00BB5721"/>
    <w:rsid w:val="00BB5975"/>
    <w:rsid w:val="00BB6797"/>
    <w:rsid w:val="00BB751F"/>
    <w:rsid w:val="00BB7637"/>
    <w:rsid w:val="00BB790D"/>
    <w:rsid w:val="00BC05BA"/>
    <w:rsid w:val="00BC05C6"/>
    <w:rsid w:val="00BC0958"/>
    <w:rsid w:val="00BC0A2A"/>
    <w:rsid w:val="00BC0AF0"/>
    <w:rsid w:val="00BC0E94"/>
    <w:rsid w:val="00BC13AE"/>
    <w:rsid w:val="00BC1453"/>
    <w:rsid w:val="00BC190F"/>
    <w:rsid w:val="00BC1CEB"/>
    <w:rsid w:val="00BC1E50"/>
    <w:rsid w:val="00BC1FF0"/>
    <w:rsid w:val="00BC2727"/>
    <w:rsid w:val="00BC2CCE"/>
    <w:rsid w:val="00BC35E2"/>
    <w:rsid w:val="00BC37D7"/>
    <w:rsid w:val="00BC4027"/>
    <w:rsid w:val="00BC423B"/>
    <w:rsid w:val="00BC4F10"/>
    <w:rsid w:val="00BC4F78"/>
    <w:rsid w:val="00BC541E"/>
    <w:rsid w:val="00BC5BD1"/>
    <w:rsid w:val="00BC67B5"/>
    <w:rsid w:val="00BC67D0"/>
    <w:rsid w:val="00BC6979"/>
    <w:rsid w:val="00BC6987"/>
    <w:rsid w:val="00BC6C03"/>
    <w:rsid w:val="00BC6DF1"/>
    <w:rsid w:val="00BC71F0"/>
    <w:rsid w:val="00BC732F"/>
    <w:rsid w:val="00BC73AC"/>
    <w:rsid w:val="00BC7811"/>
    <w:rsid w:val="00BC7B5C"/>
    <w:rsid w:val="00BC7E4D"/>
    <w:rsid w:val="00BD0213"/>
    <w:rsid w:val="00BD028C"/>
    <w:rsid w:val="00BD05E4"/>
    <w:rsid w:val="00BD1004"/>
    <w:rsid w:val="00BD1588"/>
    <w:rsid w:val="00BD1A00"/>
    <w:rsid w:val="00BD1FC9"/>
    <w:rsid w:val="00BD227B"/>
    <w:rsid w:val="00BD255D"/>
    <w:rsid w:val="00BD2B88"/>
    <w:rsid w:val="00BD2C9B"/>
    <w:rsid w:val="00BD320A"/>
    <w:rsid w:val="00BD3B4C"/>
    <w:rsid w:val="00BD45D9"/>
    <w:rsid w:val="00BD5261"/>
    <w:rsid w:val="00BD573F"/>
    <w:rsid w:val="00BD578F"/>
    <w:rsid w:val="00BD5A81"/>
    <w:rsid w:val="00BD5ADE"/>
    <w:rsid w:val="00BD5F01"/>
    <w:rsid w:val="00BD6000"/>
    <w:rsid w:val="00BD6239"/>
    <w:rsid w:val="00BD625A"/>
    <w:rsid w:val="00BD674F"/>
    <w:rsid w:val="00BD6E37"/>
    <w:rsid w:val="00BD6EBF"/>
    <w:rsid w:val="00BD759B"/>
    <w:rsid w:val="00BD77F3"/>
    <w:rsid w:val="00BD7AAC"/>
    <w:rsid w:val="00BD7CC0"/>
    <w:rsid w:val="00BD7E02"/>
    <w:rsid w:val="00BD7FFB"/>
    <w:rsid w:val="00BE1036"/>
    <w:rsid w:val="00BE11A5"/>
    <w:rsid w:val="00BE1882"/>
    <w:rsid w:val="00BE1B5D"/>
    <w:rsid w:val="00BE1CE0"/>
    <w:rsid w:val="00BE2348"/>
    <w:rsid w:val="00BE2349"/>
    <w:rsid w:val="00BE25E7"/>
    <w:rsid w:val="00BE2F0A"/>
    <w:rsid w:val="00BE3DF8"/>
    <w:rsid w:val="00BE46DE"/>
    <w:rsid w:val="00BE4DA2"/>
    <w:rsid w:val="00BE4EFC"/>
    <w:rsid w:val="00BE5213"/>
    <w:rsid w:val="00BE52BE"/>
    <w:rsid w:val="00BE5464"/>
    <w:rsid w:val="00BE585F"/>
    <w:rsid w:val="00BE59B5"/>
    <w:rsid w:val="00BE59E3"/>
    <w:rsid w:val="00BE5DE3"/>
    <w:rsid w:val="00BE62E3"/>
    <w:rsid w:val="00BE6876"/>
    <w:rsid w:val="00BE6987"/>
    <w:rsid w:val="00BE6BEC"/>
    <w:rsid w:val="00BE6F40"/>
    <w:rsid w:val="00BE7171"/>
    <w:rsid w:val="00BE72ED"/>
    <w:rsid w:val="00BE76DE"/>
    <w:rsid w:val="00BE7A33"/>
    <w:rsid w:val="00BE7BFE"/>
    <w:rsid w:val="00BF0076"/>
    <w:rsid w:val="00BF0238"/>
    <w:rsid w:val="00BF03AF"/>
    <w:rsid w:val="00BF0526"/>
    <w:rsid w:val="00BF07B3"/>
    <w:rsid w:val="00BF08C1"/>
    <w:rsid w:val="00BF0A43"/>
    <w:rsid w:val="00BF115D"/>
    <w:rsid w:val="00BF1578"/>
    <w:rsid w:val="00BF1BCE"/>
    <w:rsid w:val="00BF1BF1"/>
    <w:rsid w:val="00BF1CA7"/>
    <w:rsid w:val="00BF207C"/>
    <w:rsid w:val="00BF21B5"/>
    <w:rsid w:val="00BF2407"/>
    <w:rsid w:val="00BF25AF"/>
    <w:rsid w:val="00BF2B6E"/>
    <w:rsid w:val="00BF2D3B"/>
    <w:rsid w:val="00BF2DE1"/>
    <w:rsid w:val="00BF37FA"/>
    <w:rsid w:val="00BF3BC7"/>
    <w:rsid w:val="00BF41DB"/>
    <w:rsid w:val="00BF46B1"/>
    <w:rsid w:val="00BF46B8"/>
    <w:rsid w:val="00BF4839"/>
    <w:rsid w:val="00BF49AF"/>
    <w:rsid w:val="00BF4AD8"/>
    <w:rsid w:val="00BF4E6F"/>
    <w:rsid w:val="00BF4EC5"/>
    <w:rsid w:val="00BF505B"/>
    <w:rsid w:val="00BF55BA"/>
    <w:rsid w:val="00BF585E"/>
    <w:rsid w:val="00BF5860"/>
    <w:rsid w:val="00BF623C"/>
    <w:rsid w:val="00BF63CA"/>
    <w:rsid w:val="00BF667F"/>
    <w:rsid w:val="00BF687B"/>
    <w:rsid w:val="00BF692D"/>
    <w:rsid w:val="00BF6CD7"/>
    <w:rsid w:val="00BF6DED"/>
    <w:rsid w:val="00BF7385"/>
    <w:rsid w:val="00BF7AE0"/>
    <w:rsid w:val="00BF7E7F"/>
    <w:rsid w:val="00C00385"/>
    <w:rsid w:val="00C00971"/>
    <w:rsid w:val="00C00BBB"/>
    <w:rsid w:val="00C011B6"/>
    <w:rsid w:val="00C015AC"/>
    <w:rsid w:val="00C01A4E"/>
    <w:rsid w:val="00C01ED9"/>
    <w:rsid w:val="00C021DF"/>
    <w:rsid w:val="00C022BB"/>
    <w:rsid w:val="00C026A2"/>
    <w:rsid w:val="00C02B61"/>
    <w:rsid w:val="00C02B70"/>
    <w:rsid w:val="00C02C19"/>
    <w:rsid w:val="00C02D6B"/>
    <w:rsid w:val="00C03189"/>
    <w:rsid w:val="00C036A9"/>
    <w:rsid w:val="00C03E25"/>
    <w:rsid w:val="00C04396"/>
    <w:rsid w:val="00C045C5"/>
    <w:rsid w:val="00C04706"/>
    <w:rsid w:val="00C04723"/>
    <w:rsid w:val="00C048FF"/>
    <w:rsid w:val="00C0517F"/>
    <w:rsid w:val="00C05200"/>
    <w:rsid w:val="00C052BA"/>
    <w:rsid w:val="00C056DE"/>
    <w:rsid w:val="00C05ADB"/>
    <w:rsid w:val="00C05F7C"/>
    <w:rsid w:val="00C0607C"/>
    <w:rsid w:val="00C06C45"/>
    <w:rsid w:val="00C06D51"/>
    <w:rsid w:val="00C06DC9"/>
    <w:rsid w:val="00C07173"/>
    <w:rsid w:val="00C07270"/>
    <w:rsid w:val="00C07865"/>
    <w:rsid w:val="00C07966"/>
    <w:rsid w:val="00C104C9"/>
    <w:rsid w:val="00C107CD"/>
    <w:rsid w:val="00C10F37"/>
    <w:rsid w:val="00C111F5"/>
    <w:rsid w:val="00C112BF"/>
    <w:rsid w:val="00C11833"/>
    <w:rsid w:val="00C11E6B"/>
    <w:rsid w:val="00C11ED7"/>
    <w:rsid w:val="00C11EE4"/>
    <w:rsid w:val="00C12557"/>
    <w:rsid w:val="00C12A3A"/>
    <w:rsid w:val="00C12C0E"/>
    <w:rsid w:val="00C12D08"/>
    <w:rsid w:val="00C12DA0"/>
    <w:rsid w:val="00C12F84"/>
    <w:rsid w:val="00C12F9A"/>
    <w:rsid w:val="00C131AF"/>
    <w:rsid w:val="00C133E8"/>
    <w:rsid w:val="00C135A1"/>
    <w:rsid w:val="00C13609"/>
    <w:rsid w:val="00C13794"/>
    <w:rsid w:val="00C14007"/>
    <w:rsid w:val="00C140E4"/>
    <w:rsid w:val="00C14122"/>
    <w:rsid w:val="00C14434"/>
    <w:rsid w:val="00C146AF"/>
    <w:rsid w:val="00C1476F"/>
    <w:rsid w:val="00C14947"/>
    <w:rsid w:val="00C14961"/>
    <w:rsid w:val="00C1501B"/>
    <w:rsid w:val="00C1593C"/>
    <w:rsid w:val="00C15A52"/>
    <w:rsid w:val="00C15BC6"/>
    <w:rsid w:val="00C15FB0"/>
    <w:rsid w:val="00C16491"/>
    <w:rsid w:val="00C16BD1"/>
    <w:rsid w:val="00C16CFC"/>
    <w:rsid w:val="00C171CE"/>
    <w:rsid w:val="00C17856"/>
    <w:rsid w:val="00C201F3"/>
    <w:rsid w:val="00C202DD"/>
    <w:rsid w:val="00C205C1"/>
    <w:rsid w:val="00C21238"/>
    <w:rsid w:val="00C212CE"/>
    <w:rsid w:val="00C215D2"/>
    <w:rsid w:val="00C216AC"/>
    <w:rsid w:val="00C21A40"/>
    <w:rsid w:val="00C22338"/>
    <w:rsid w:val="00C22854"/>
    <w:rsid w:val="00C229E0"/>
    <w:rsid w:val="00C22AF9"/>
    <w:rsid w:val="00C22D82"/>
    <w:rsid w:val="00C2302F"/>
    <w:rsid w:val="00C234A1"/>
    <w:rsid w:val="00C23591"/>
    <w:rsid w:val="00C237FF"/>
    <w:rsid w:val="00C2447D"/>
    <w:rsid w:val="00C244C2"/>
    <w:rsid w:val="00C246AC"/>
    <w:rsid w:val="00C24CD5"/>
    <w:rsid w:val="00C25988"/>
    <w:rsid w:val="00C25CDE"/>
    <w:rsid w:val="00C25E83"/>
    <w:rsid w:val="00C26455"/>
    <w:rsid w:val="00C2681A"/>
    <w:rsid w:val="00C2694F"/>
    <w:rsid w:val="00C26B58"/>
    <w:rsid w:val="00C271F4"/>
    <w:rsid w:val="00C27E45"/>
    <w:rsid w:val="00C27E6F"/>
    <w:rsid w:val="00C27EFD"/>
    <w:rsid w:val="00C27F53"/>
    <w:rsid w:val="00C30115"/>
    <w:rsid w:val="00C3015A"/>
    <w:rsid w:val="00C3055E"/>
    <w:rsid w:val="00C30753"/>
    <w:rsid w:val="00C30E22"/>
    <w:rsid w:val="00C3102F"/>
    <w:rsid w:val="00C313E2"/>
    <w:rsid w:val="00C3145A"/>
    <w:rsid w:val="00C31EFC"/>
    <w:rsid w:val="00C31FC5"/>
    <w:rsid w:val="00C32086"/>
    <w:rsid w:val="00C321F7"/>
    <w:rsid w:val="00C324E8"/>
    <w:rsid w:val="00C3257E"/>
    <w:rsid w:val="00C334AB"/>
    <w:rsid w:val="00C33957"/>
    <w:rsid w:val="00C33A94"/>
    <w:rsid w:val="00C33C9A"/>
    <w:rsid w:val="00C3484C"/>
    <w:rsid w:val="00C352FC"/>
    <w:rsid w:val="00C35876"/>
    <w:rsid w:val="00C35A68"/>
    <w:rsid w:val="00C360DE"/>
    <w:rsid w:val="00C36EAD"/>
    <w:rsid w:val="00C370FF"/>
    <w:rsid w:val="00C37196"/>
    <w:rsid w:val="00C371CF"/>
    <w:rsid w:val="00C37659"/>
    <w:rsid w:val="00C37BE3"/>
    <w:rsid w:val="00C37CEA"/>
    <w:rsid w:val="00C37F11"/>
    <w:rsid w:val="00C404E2"/>
    <w:rsid w:val="00C40536"/>
    <w:rsid w:val="00C408D9"/>
    <w:rsid w:val="00C40EB6"/>
    <w:rsid w:val="00C412FA"/>
    <w:rsid w:val="00C413DF"/>
    <w:rsid w:val="00C4159A"/>
    <w:rsid w:val="00C41C69"/>
    <w:rsid w:val="00C4254E"/>
    <w:rsid w:val="00C4387E"/>
    <w:rsid w:val="00C442E2"/>
    <w:rsid w:val="00C4463F"/>
    <w:rsid w:val="00C448A8"/>
    <w:rsid w:val="00C45135"/>
    <w:rsid w:val="00C454FC"/>
    <w:rsid w:val="00C45DA1"/>
    <w:rsid w:val="00C46281"/>
    <w:rsid w:val="00C46403"/>
    <w:rsid w:val="00C466A9"/>
    <w:rsid w:val="00C46900"/>
    <w:rsid w:val="00C4769A"/>
    <w:rsid w:val="00C477A7"/>
    <w:rsid w:val="00C478BD"/>
    <w:rsid w:val="00C47A0B"/>
    <w:rsid w:val="00C50282"/>
    <w:rsid w:val="00C503EE"/>
    <w:rsid w:val="00C50558"/>
    <w:rsid w:val="00C507C3"/>
    <w:rsid w:val="00C508BC"/>
    <w:rsid w:val="00C50D25"/>
    <w:rsid w:val="00C50F6D"/>
    <w:rsid w:val="00C51969"/>
    <w:rsid w:val="00C52081"/>
    <w:rsid w:val="00C527BE"/>
    <w:rsid w:val="00C52A40"/>
    <w:rsid w:val="00C52CBD"/>
    <w:rsid w:val="00C52E96"/>
    <w:rsid w:val="00C53484"/>
    <w:rsid w:val="00C5352E"/>
    <w:rsid w:val="00C53664"/>
    <w:rsid w:val="00C536E2"/>
    <w:rsid w:val="00C5374E"/>
    <w:rsid w:val="00C53ACA"/>
    <w:rsid w:val="00C53FE7"/>
    <w:rsid w:val="00C555E4"/>
    <w:rsid w:val="00C55742"/>
    <w:rsid w:val="00C55DA5"/>
    <w:rsid w:val="00C56402"/>
    <w:rsid w:val="00C56554"/>
    <w:rsid w:val="00C56E54"/>
    <w:rsid w:val="00C573F0"/>
    <w:rsid w:val="00C57D73"/>
    <w:rsid w:val="00C60A3F"/>
    <w:rsid w:val="00C6114E"/>
    <w:rsid w:val="00C615FD"/>
    <w:rsid w:val="00C61941"/>
    <w:rsid w:val="00C61A74"/>
    <w:rsid w:val="00C62903"/>
    <w:rsid w:val="00C62D58"/>
    <w:rsid w:val="00C632C0"/>
    <w:rsid w:val="00C632E2"/>
    <w:rsid w:val="00C6332F"/>
    <w:rsid w:val="00C63687"/>
    <w:rsid w:val="00C63DCB"/>
    <w:rsid w:val="00C64194"/>
    <w:rsid w:val="00C641C6"/>
    <w:rsid w:val="00C6432A"/>
    <w:rsid w:val="00C64E0E"/>
    <w:rsid w:val="00C65137"/>
    <w:rsid w:val="00C65442"/>
    <w:rsid w:val="00C6597F"/>
    <w:rsid w:val="00C65DB0"/>
    <w:rsid w:val="00C66204"/>
    <w:rsid w:val="00C66393"/>
    <w:rsid w:val="00C66510"/>
    <w:rsid w:val="00C67095"/>
    <w:rsid w:val="00C676C2"/>
    <w:rsid w:val="00C678C8"/>
    <w:rsid w:val="00C678F4"/>
    <w:rsid w:val="00C67BB6"/>
    <w:rsid w:val="00C703BE"/>
    <w:rsid w:val="00C7046E"/>
    <w:rsid w:val="00C704FE"/>
    <w:rsid w:val="00C70C91"/>
    <w:rsid w:val="00C70DC8"/>
    <w:rsid w:val="00C70EA6"/>
    <w:rsid w:val="00C71379"/>
    <w:rsid w:val="00C7145A"/>
    <w:rsid w:val="00C71463"/>
    <w:rsid w:val="00C718A7"/>
    <w:rsid w:val="00C71CBA"/>
    <w:rsid w:val="00C7204B"/>
    <w:rsid w:val="00C720F3"/>
    <w:rsid w:val="00C7223C"/>
    <w:rsid w:val="00C723B0"/>
    <w:rsid w:val="00C72A0F"/>
    <w:rsid w:val="00C72AE1"/>
    <w:rsid w:val="00C73867"/>
    <w:rsid w:val="00C739DF"/>
    <w:rsid w:val="00C73A7A"/>
    <w:rsid w:val="00C73D4F"/>
    <w:rsid w:val="00C74819"/>
    <w:rsid w:val="00C74BD8"/>
    <w:rsid w:val="00C74CAB"/>
    <w:rsid w:val="00C75491"/>
    <w:rsid w:val="00C75B6B"/>
    <w:rsid w:val="00C76348"/>
    <w:rsid w:val="00C76843"/>
    <w:rsid w:val="00C76F9C"/>
    <w:rsid w:val="00C77CE8"/>
    <w:rsid w:val="00C77E52"/>
    <w:rsid w:val="00C80927"/>
    <w:rsid w:val="00C80D29"/>
    <w:rsid w:val="00C80E2C"/>
    <w:rsid w:val="00C8179C"/>
    <w:rsid w:val="00C81BFA"/>
    <w:rsid w:val="00C8205A"/>
    <w:rsid w:val="00C8210D"/>
    <w:rsid w:val="00C828E0"/>
    <w:rsid w:val="00C82BFA"/>
    <w:rsid w:val="00C82D4D"/>
    <w:rsid w:val="00C830BB"/>
    <w:rsid w:val="00C83350"/>
    <w:rsid w:val="00C83623"/>
    <w:rsid w:val="00C836C5"/>
    <w:rsid w:val="00C84113"/>
    <w:rsid w:val="00C847CA"/>
    <w:rsid w:val="00C84C38"/>
    <w:rsid w:val="00C85486"/>
    <w:rsid w:val="00C85584"/>
    <w:rsid w:val="00C85D2D"/>
    <w:rsid w:val="00C85D42"/>
    <w:rsid w:val="00C86171"/>
    <w:rsid w:val="00C86429"/>
    <w:rsid w:val="00C867AD"/>
    <w:rsid w:val="00C86A9A"/>
    <w:rsid w:val="00C86AA2"/>
    <w:rsid w:val="00C86B2C"/>
    <w:rsid w:val="00C86B33"/>
    <w:rsid w:val="00C86C06"/>
    <w:rsid w:val="00C870EF"/>
    <w:rsid w:val="00C87DEC"/>
    <w:rsid w:val="00C90645"/>
    <w:rsid w:val="00C9105F"/>
    <w:rsid w:val="00C91490"/>
    <w:rsid w:val="00C916A0"/>
    <w:rsid w:val="00C917C5"/>
    <w:rsid w:val="00C920FA"/>
    <w:rsid w:val="00C92920"/>
    <w:rsid w:val="00C92BA2"/>
    <w:rsid w:val="00C92ECB"/>
    <w:rsid w:val="00C92F7A"/>
    <w:rsid w:val="00C93584"/>
    <w:rsid w:val="00C93883"/>
    <w:rsid w:val="00C938B0"/>
    <w:rsid w:val="00C93A3B"/>
    <w:rsid w:val="00C93BF8"/>
    <w:rsid w:val="00C93CCE"/>
    <w:rsid w:val="00C9446B"/>
    <w:rsid w:val="00C949BE"/>
    <w:rsid w:val="00C94D09"/>
    <w:rsid w:val="00C95360"/>
    <w:rsid w:val="00C956A8"/>
    <w:rsid w:val="00C956AC"/>
    <w:rsid w:val="00C96A48"/>
    <w:rsid w:val="00C97372"/>
    <w:rsid w:val="00C977CC"/>
    <w:rsid w:val="00CA0397"/>
    <w:rsid w:val="00CA09EA"/>
    <w:rsid w:val="00CA0DE0"/>
    <w:rsid w:val="00CA2837"/>
    <w:rsid w:val="00CA2B03"/>
    <w:rsid w:val="00CA2E80"/>
    <w:rsid w:val="00CA3046"/>
    <w:rsid w:val="00CA31A3"/>
    <w:rsid w:val="00CA33FB"/>
    <w:rsid w:val="00CA3512"/>
    <w:rsid w:val="00CA36F1"/>
    <w:rsid w:val="00CA4189"/>
    <w:rsid w:val="00CA419B"/>
    <w:rsid w:val="00CA463F"/>
    <w:rsid w:val="00CA4A06"/>
    <w:rsid w:val="00CA4DFE"/>
    <w:rsid w:val="00CA4EB1"/>
    <w:rsid w:val="00CA4ECF"/>
    <w:rsid w:val="00CA5582"/>
    <w:rsid w:val="00CA5681"/>
    <w:rsid w:val="00CA5CBC"/>
    <w:rsid w:val="00CA5DDE"/>
    <w:rsid w:val="00CA617C"/>
    <w:rsid w:val="00CA640B"/>
    <w:rsid w:val="00CA65C9"/>
    <w:rsid w:val="00CA6A07"/>
    <w:rsid w:val="00CA6C02"/>
    <w:rsid w:val="00CA701B"/>
    <w:rsid w:val="00CA70B7"/>
    <w:rsid w:val="00CA79B2"/>
    <w:rsid w:val="00CA7A64"/>
    <w:rsid w:val="00CA7B80"/>
    <w:rsid w:val="00CA7ECA"/>
    <w:rsid w:val="00CB0961"/>
    <w:rsid w:val="00CB096E"/>
    <w:rsid w:val="00CB0C84"/>
    <w:rsid w:val="00CB0F8D"/>
    <w:rsid w:val="00CB1518"/>
    <w:rsid w:val="00CB1D1E"/>
    <w:rsid w:val="00CB27DD"/>
    <w:rsid w:val="00CB2824"/>
    <w:rsid w:val="00CB32D3"/>
    <w:rsid w:val="00CB41C8"/>
    <w:rsid w:val="00CB457E"/>
    <w:rsid w:val="00CB4581"/>
    <w:rsid w:val="00CB4C80"/>
    <w:rsid w:val="00CB4D17"/>
    <w:rsid w:val="00CB4D46"/>
    <w:rsid w:val="00CB5051"/>
    <w:rsid w:val="00CB52EA"/>
    <w:rsid w:val="00CB5667"/>
    <w:rsid w:val="00CB6039"/>
    <w:rsid w:val="00CB618F"/>
    <w:rsid w:val="00CB6C15"/>
    <w:rsid w:val="00CB6E3C"/>
    <w:rsid w:val="00CB7138"/>
    <w:rsid w:val="00CB73ED"/>
    <w:rsid w:val="00CB772A"/>
    <w:rsid w:val="00CB7A5F"/>
    <w:rsid w:val="00CC0225"/>
    <w:rsid w:val="00CC03FA"/>
    <w:rsid w:val="00CC0410"/>
    <w:rsid w:val="00CC0D5E"/>
    <w:rsid w:val="00CC10BE"/>
    <w:rsid w:val="00CC11C1"/>
    <w:rsid w:val="00CC173D"/>
    <w:rsid w:val="00CC1816"/>
    <w:rsid w:val="00CC1C8D"/>
    <w:rsid w:val="00CC1D67"/>
    <w:rsid w:val="00CC268A"/>
    <w:rsid w:val="00CC2713"/>
    <w:rsid w:val="00CC2892"/>
    <w:rsid w:val="00CC2917"/>
    <w:rsid w:val="00CC2ECB"/>
    <w:rsid w:val="00CC3242"/>
    <w:rsid w:val="00CC32C4"/>
    <w:rsid w:val="00CC3432"/>
    <w:rsid w:val="00CC3632"/>
    <w:rsid w:val="00CC3D58"/>
    <w:rsid w:val="00CC475F"/>
    <w:rsid w:val="00CC5080"/>
    <w:rsid w:val="00CC508B"/>
    <w:rsid w:val="00CC5664"/>
    <w:rsid w:val="00CC593C"/>
    <w:rsid w:val="00CC617B"/>
    <w:rsid w:val="00CC6B67"/>
    <w:rsid w:val="00CC6D6B"/>
    <w:rsid w:val="00CC7299"/>
    <w:rsid w:val="00CC7386"/>
    <w:rsid w:val="00CC7E18"/>
    <w:rsid w:val="00CD021D"/>
    <w:rsid w:val="00CD0783"/>
    <w:rsid w:val="00CD0D27"/>
    <w:rsid w:val="00CD0FF1"/>
    <w:rsid w:val="00CD1475"/>
    <w:rsid w:val="00CD14F8"/>
    <w:rsid w:val="00CD15F1"/>
    <w:rsid w:val="00CD16F2"/>
    <w:rsid w:val="00CD1DBD"/>
    <w:rsid w:val="00CD23A0"/>
    <w:rsid w:val="00CD25CE"/>
    <w:rsid w:val="00CD2BC8"/>
    <w:rsid w:val="00CD2E8C"/>
    <w:rsid w:val="00CD3206"/>
    <w:rsid w:val="00CD34B4"/>
    <w:rsid w:val="00CD3DD1"/>
    <w:rsid w:val="00CD4431"/>
    <w:rsid w:val="00CD4993"/>
    <w:rsid w:val="00CD4EA0"/>
    <w:rsid w:val="00CD5544"/>
    <w:rsid w:val="00CD5583"/>
    <w:rsid w:val="00CD6348"/>
    <w:rsid w:val="00CD6AB6"/>
    <w:rsid w:val="00CD7416"/>
    <w:rsid w:val="00CD7F5C"/>
    <w:rsid w:val="00CE03F7"/>
    <w:rsid w:val="00CE057E"/>
    <w:rsid w:val="00CE0A85"/>
    <w:rsid w:val="00CE0CF2"/>
    <w:rsid w:val="00CE11D1"/>
    <w:rsid w:val="00CE13A7"/>
    <w:rsid w:val="00CE16B4"/>
    <w:rsid w:val="00CE17E9"/>
    <w:rsid w:val="00CE1BFF"/>
    <w:rsid w:val="00CE1CB7"/>
    <w:rsid w:val="00CE20DC"/>
    <w:rsid w:val="00CE26DD"/>
    <w:rsid w:val="00CE2AC5"/>
    <w:rsid w:val="00CE2E71"/>
    <w:rsid w:val="00CE33B3"/>
    <w:rsid w:val="00CE359B"/>
    <w:rsid w:val="00CE3768"/>
    <w:rsid w:val="00CE37FF"/>
    <w:rsid w:val="00CE3F5A"/>
    <w:rsid w:val="00CE42FC"/>
    <w:rsid w:val="00CE442F"/>
    <w:rsid w:val="00CE4445"/>
    <w:rsid w:val="00CE45B0"/>
    <w:rsid w:val="00CE5487"/>
    <w:rsid w:val="00CE5856"/>
    <w:rsid w:val="00CE5B5C"/>
    <w:rsid w:val="00CE5DE5"/>
    <w:rsid w:val="00CE6ED0"/>
    <w:rsid w:val="00CE6FC4"/>
    <w:rsid w:val="00CE71AF"/>
    <w:rsid w:val="00CE71FD"/>
    <w:rsid w:val="00CE74A6"/>
    <w:rsid w:val="00CE7C37"/>
    <w:rsid w:val="00CE7CD4"/>
    <w:rsid w:val="00CE7D2D"/>
    <w:rsid w:val="00CE7F56"/>
    <w:rsid w:val="00CF02F3"/>
    <w:rsid w:val="00CF13DF"/>
    <w:rsid w:val="00CF1517"/>
    <w:rsid w:val="00CF1FA3"/>
    <w:rsid w:val="00CF27B2"/>
    <w:rsid w:val="00CF2CA2"/>
    <w:rsid w:val="00CF3442"/>
    <w:rsid w:val="00CF357D"/>
    <w:rsid w:val="00CF35FC"/>
    <w:rsid w:val="00CF36F0"/>
    <w:rsid w:val="00CF3749"/>
    <w:rsid w:val="00CF3A5C"/>
    <w:rsid w:val="00CF3D3E"/>
    <w:rsid w:val="00CF44BD"/>
    <w:rsid w:val="00CF44F5"/>
    <w:rsid w:val="00CF49B4"/>
    <w:rsid w:val="00CF4F44"/>
    <w:rsid w:val="00CF5182"/>
    <w:rsid w:val="00CF5CDD"/>
    <w:rsid w:val="00CF5D81"/>
    <w:rsid w:val="00CF5DFD"/>
    <w:rsid w:val="00CF5F65"/>
    <w:rsid w:val="00CF6597"/>
    <w:rsid w:val="00CF6604"/>
    <w:rsid w:val="00CF6F04"/>
    <w:rsid w:val="00CF736C"/>
    <w:rsid w:val="00CF7815"/>
    <w:rsid w:val="00CF7937"/>
    <w:rsid w:val="00CF7BCA"/>
    <w:rsid w:val="00CF7E01"/>
    <w:rsid w:val="00D003F5"/>
    <w:rsid w:val="00D006E3"/>
    <w:rsid w:val="00D007D8"/>
    <w:rsid w:val="00D0087A"/>
    <w:rsid w:val="00D00E2E"/>
    <w:rsid w:val="00D012A6"/>
    <w:rsid w:val="00D017A8"/>
    <w:rsid w:val="00D01877"/>
    <w:rsid w:val="00D01D38"/>
    <w:rsid w:val="00D03422"/>
    <w:rsid w:val="00D03AB8"/>
    <w:rsid w:val="00D03B42"/>
    <w:rsid w:val="00D03B61"/>
    <w:rsid w:val="00D03BCE"/>
    <w:rsid w:val="00D03E79"/>
    <w:rsid w:val="00D03FAB"/>
    <w:rsid w:val="00D047CF"/>
    <w:rsid w:val="00D04A3C"/>
    <w:rsid w:val="00D04DC2"/>
    <w:rsid w:val="00D04EF1"/>
    <w:rsid w:val="00D04F61"/>
    <w:rsid w:val="00D05122"/>
    <w:rsid w:val="00D05B62"/>
    <w:rsid w:val="00D05DE7"/>
    <w:rsid w:val="00D05E54"/>
    <w:rsid w:val="00D060A5"/>
    <w:rsid w:val="00D06263"/>
    <w:rsid w:val="00D0677A"/>
    <w:rsid w:val="00D06B83"/>
    <w:rsid w:val="00D06C87"/>
    <w:rsid w:val="00D0763A"/>
    <w:rsid w:val="00D07C2E"/>
    <w:rsid w:val="00D07CDB"/>
    <w:rsid w:val="00D1055A"/>
    <w:rsid w:val="00D1087A"/>
    <w:rsid w:val="00D10998"/>
    <w:rsid w:val="00D10A0B"/>
    <w:rsid w:val="00D11317"/>
    <w:rsid w:val="00D11830"/>
    <w:rsid w:val="00D12304"/>
    <w:rsid w:val="00D124D3"/>
    <w:rsid w:val="00D12C1B"/>
    <w:rsid w:val="00D12C7C"/>
    <w:rsid w:val="00D12D58"/>
    <w:rsid w:val="00D12FB1"/>
    <w:rsid w:val="00D14413"/>
    <w:rsid w:val="00D1478B"/>
    <w:rsid w:val="00D14A09"/>
    <w:rsid w:val="00D14D8E"/>
    <w:rsid w:val="00D1531C"/>
    <w:rsid w:val="00D158A2"/>
    <w:rsid w:val="00D15D1F"/>
    <w:rsid w:val="00D15E86"/>
    <w:rsid w:val="00D1619C"/>
    <w:rsid w:val="00D163E2"/>
    <w:rsid w:val="00D16BB1"/>
    <w:rsid w:val="00D16E10"/>
    <w:rsid w:val="00D17449"/>
    <w:rsid w:val="00D17450"/>
    <w:rsid w:val="00D174F0"/>
    <w:rsid w:val="00D17A75"/>
    <w:rsid w:val="00D17AB7"/>
    <w:rsid w:val="00D17B3B"/>
    <w:rsid w:val="00D17F03"/>
    <w:rsid w:val="00D17FAA"/>
    <w:rsid w:val="00D20153"/>
    <w:rsid w:val="00D204CE"/>
    <w:rsid w:val="00D20BF1"/>
    <w:rsid w:val="00D20CDB"/>
    <w:rsid w:val="00D20E62"/>
    <w:rsid w:val="00D21835"/>
    <w:rsid w:val="00D21B30"/>
    <w:rsid w:val="00D21F5F"/>
    <w:rsid w:val="00D222FB"/>
    <w:rsid w:val="00D22312"/>
    <w:rsid w:val="00D227D3"/>
    <w:rsid w:val="00D2296B"/>
    <w:rsid w:val="00D22E10"/>
    <w:rsid w:val="00D231D8"/>
    <w:rsid w:val="00D2351A"/>
    <w:rsid w:val="00D23B1D"/>
    <w:rsid w:val="00D2407E"/>
    <w:rsid w:val="00D247E5"/>
    <w:rsid w:val="00D24974"/>
    <w:rsid w:val="00D24F17"/>
    <w:rsid w:val="00D250B9"/>
    <w:rsid w:val="00D252DD"/>
    <w:rsid w:val="00D252DF"/>
    <w:rsid w:val="00D26318"/>
    <w:rsid w:val="00D265AB"/>
    <w:rsid w:val="00D26AB1"/>
    <w:rsid w:val="00D26B2A"/>
    <w:rsid w:val="00D26B37"/>
    <w:rsid w:val="00D26BD4"/>
    <w:rsid w:val="00D27075"/>
    <w:rsid w:val="00D27297"/>
    <w:rsid w:val="00D272B7"/>
    <w:rsid w:val="00D27533"/>
    <w:rsid w:val="00D27537"/>
    <w:rsid w:val="00D27AD9"/>
    <w:rsid w:val="00D3031B"/>
    <w:rsid w:val="00D30B85"/>
    <w:rsid w:val="00D30C1B"/>
    <w:rsid w:val="00D310F3"/>
    <w:rsid w:val="00D31BB3"/>
    <w:rsid w:val="00D31CC3"/>
    <w:rsid w:val="00D31E26"/>
    <w:rsid w:val="00D31F92"/>
    <w:rsid w:val="00D32566"/>
    <w:rsid w:val="00D3278E"/>
    <w:rsid w:val="00D32DA5"/>
    <w:rsid w:val="00D32EB4"/>
    <w:rsid w:val="00D3328B"/>
    <w:rsid w:val="00D333C1"/>
    <w:rsid w:val="00D337C8"/>
    <w:rsid w:val="00D33959"/>
    <w:rsid w:val="00D339C9"/>
    <w:rsid w:val="00D33C5B"/>
    <w:rsid w:val="00D33C70"/>
    <w:rsid w:val="00D341A9"/>
    <w:rsid w:val="00D342C9"/>
    <w:rsid w:val="00D347E9"/>
    <w:rsid w:val="00D3518B"/>
    <w:rsid w:val="00D358CE"/>
    <w:rsid w:val="00D35BF0"/>
    <w:rsid w:val="00D35C06"/>
    <w:rsid w:val="00D35EA8"/>
    <w:rsid w:val="00D36026"/>
    <w:rsid w:val="00D3649B"/>
    <w:rsid w:val="00D37001"/>
    <w:rsid w:val="00D371D1"/>
    <w:rsid w:val="00D37502"/>
    <w:rsid w:val="00D37E6D"/>
    <w:rsid w:val="00D400B0"/>
    <w:rsid w:val="00D401CD"/>
    <w:rsid w:val="00D40658"/>
    <w:rsid w:val="00D409C8"/>
    <w:rsid w:val="00D413BF"/>
    <w:rsid w:val="00D41F24"/>
    <w:rsid w:val="00D435B3"/>
    <w:rsid w:val="00D439C0"/>
    <w:rsid w:val="00D4452C"/>
    <w:rsid w:val="00D44585"/>
    <w:rsid w:val="00D44FFE"/>
    <w:rsid w:val="00D45637"/>
    <w:rsid w:val="00D4582C"/>
    <w:rsid w:val="00D45A5A"/>
    <w:rsid w:val="00D45B81"/>
    <w:rsid w:val="00D45FA0"/>
    <w:rsid w:val="00D4648C"/>
    <w:rsid w:val="00D467B5"/>
    <w:rsid w:val="00D46B5A"/>
    <w:rsid w:val="00D47267"/>
    <w:rsid w:val="00D4733B"/>
    <w:rsid w:val="00D4750D"/>
    <w:rsid w:val="00D47565"/>
    <w:rsid w:val="00D47B43"/>
    <w:rsid w:val="00D47D4A"/>
    <w:rsid w:val="00D5048B"/>
    <w:rsid w:val="00D504EA"/>
    <w:rsid w:val="00D50845"/>
    <w:rsid w:val="00D508DC"/>
    <w:rsid w:val="00D50AB0"/>
    <w:rsid w:val="00D50C5D"/>
    <w:rsid w:val="00D5128F"/>
    <w:rsid w:val="00D53033"/>
    <w:rsid w:val="00D53285"/>
    <w:rsid w:val="00D538E1"/>
    <w:rsid w:val="00D54018"/>
    <w:rsid w:val="00D54164"/>
    <w:rsid w:val="00D5477D"/>
    <w:rsid w:val="00D556FD"/>
    <w:rsid w:val="00D557E3"/>
    <w:rsid w:val="00D55E20"/>
    <w:rsid w:val="00D567E9"/>
    <w:rsid w:val="00D568FF"/>
    <w:rsid w:val="00D56C7D"/>
    <w:rsid w:val="00D57ADB"/>
    <w:rsid w:val="00D60BCB"/>
    <w:rsid w:val="00D6108C"/>
    <w:rsid w:val="00D6141E"/>
    <w:rsid w:val="00D616DE"/>
    <w:rsid w:val="00D61789"/>
    <w:rsid w:val="00D61A57"/>
    <w:rsid w:val="00D61D4B"/>
    <w:rsid w:val="00D61EF4"/>
    <w:rsid w:val="00D6218F"/>
    <w:rsid w:val="00D62277"/>
    <w:rsid w:val="00D622F9"/>
    <w:rsid w:val="00D62395"/>
    <w:rsid w:val="00D62570"/>
    <w:rsid w:val="00D62BA2"/>
    <w:rsid w:val="00D62D16"/>
    <w:rsid w:val="00D62F35"/>
    <w:rsid w:val="00D639C4"/>
    <w:rsid w:val="00D63B2D"/>
    <w:rsid w:val="00D63E39"/>
    <w:rsid w:val="00D64276"/>
    <w:rsid w:val="00D64875"/>
    <w:rsid w:val="00D64BEC"/>
    <w:rsid w:val="00D65F4D"/>
    <w:rsid w:val="00D6641F"/>
    <w:rsid w:val="00D66DEF"/>
    <w:rsid w:val="00D670D0"/>
    <w:rsid w:val="00D674E3"/>
    <w:rsid w:val="00D67513"/>
    <w:rsid w:val="00D676BF"/>
    <w:rsid w:val="00D67A39"/>
    <w:rsid w:val="00D67D94"/>
    <w:rsid w:val="00D70085"/>
    <w:rsid w:val="00D7049F"/>
    <w:rsid w:val="00D7053A"/>
    <w:rsid w:val="00D70CCD"/>
    <w:rsid w:val="00D70FC8"/>
    <w:rsid w:val="00D713A1"/>
    <w:rsid w:val="00D713B4"/>
    <w:rsid w:val="00D71AF3"/>
    <w:rsid w:val="00D71E18"/>
    <w:rsid w:val="00D722A2"/>
    <w:rsid w:val="00D724A0"/>
    <w:rsid w:val="00D72A68"/>
    <w:rsid w:val="00D72BAF"/>
    <w:rsid w:val="00D72F6C"/>
    <w:rsid w:val="00D736C3"/>
    <w:rsid w:val="00D737EE"/>
    <w:rsid w:val="00D73AB4"/>
    <w:rsid w:val="00D740B6"/>
    <w:rsid w:val="00D7411D"/>
    <w:rsid w:val="00D74F69"/>
    <w:rsid w:val="00D75060"/>
    <w:rsid w:val="00D753A9"/>
    <w:rsid w:val="00D75C56"/>
    <w:rsid w:val="00D75EAD"/>
    <w:rsid w:val="00D75F12"/>
    <w:rsid w:val="00D7620A"/>
    <w:rsid w:val="00D765FB"/>
    <w:rsid w:val="00D76947"/>
    <w:rsid w:val="00D76C44"/>
    <w:rsid w:val="00D76E40"/>
    <w:rsid w:val="00D77086"/>
    <w:rsid w:val="00D773FC"/>
    <w:rsid w:val="00D77543"/>
    <w:rsid w:val="00D77857"/>
    <w:rsid w:val="00D77E68"/>
    <w:rsid w:val="00D802E2"/>
    <w:rsid w:val="00D804D4"/>
    <w:rsid w:val="00D80925"/>
    <w:rsid w:val="00D80D1A"/>
    <w:rsid w:val="00D810EA"/>
    <w:rsid w:val="00D81167"/>
    <w:rsid w:val="00D8146E"/>
    <w:rsid w:val="00D8221A"/>
    <w:rsid w:val="00D82C7E"/>
    <w:rsid w:val="00D835DF"/>
    <w:rsid w:val="00D836FC"/>
    <w:rsid w:val="00D8399B"/>
    <w:rsid w:val="00D83DAA"/>
    <w:rsid w:val="00D84B5D"/>
    <w:rsid w:val="00D852BB"/>
    <w:rsid w:val="00D855F1"/>
    <w:rsid w:val="00D8573B"/>
    <w:rsid w:val="00D85898"/>
    <w:rsid w:val="00D85E3B"/>
    <w:rsid w:val="00D861BC"/>
    <w:rsid w:val="00D867B6"/>
    <w:rsid w:val="00D86A8C"/>
    <w:rsid w:val="00D86A94"/>
    <w:rsid w:val="00D8730E"/>
    <w:rsid w:val="00D87957"/>
    <w:rsid w:val="00D87977"/>
    <w:rsid w:val="00D87987"/>
    <w:rsid w:val="00D9114A"/>
    <w:rsid w:val="00D9119E"/>
    <w:rsid w:val="00D913B1"/>
    <w:rsid w:val="00D919FA"/>
    <w:rsid w:val="00D92B0A"/>
    <w:rsid w:val="00D92D6D"/>
    <w:rsid w:val="00D92F62"/>
    <w:rsid w:val="00D939DF"/>
    <w:rsid w:val="00D94287"/>
    <w:rsid w:val="00D9485E"/>
    <w:rsid w:val="00D949AC"/>
    <w:rsid w:val="00D94AEE"/>
    <w:rsid w:val="00D951E7"/>
    <w:rsid w:val="00D95AAE"/>
    <w:rsid w:val="00D96017"/>
    <w:rsid w:val="00D9629E"/>
    <w:rsid w:val="00D96C51"/>
    <w:rsid w:val="00D97009"/>
    <w:rsid w:val="00D9738E"/>
    <w:rsid w:val="00D974D6"/>
    <w:rsid w:val="00D974EE"/>
    <w:rsid w:val="00D9755B"/>
    <w:rsid w:val="00D978A8"/>
    <w:rsid w:val="00D97974"/>
    <w:rsid w:val="00D979FC"/>
    <w:rsid w:val="00D97A7B"/>
    <w:rsid w:val="00D97B0D"/>
    <w:rsid w:val="00D97CA1"/>
    <w:rsid w:val="00D97DF4"/>
    <w:rsid w:val="00D97E30"/>
    <w:rsid w:val="00DA003D"/>
    <w:rsid w:val="00DA0099"/>
    <w:rsid w:val="00DA0B73"/>
    <w:rsid w:val="00DA0C42"/>
    <w:rsid w:val="00DA1678"/>
    <w:rsid w:val="00DA16FD"/>
    <w:rsid w:val="00DA1875"/>
    <w:rsid w:val="00DA19D4"/>
    <w:rsid w:val="00DA2079"/>
    <w:rsid w:val="00DA2648"/>
    <w:rsid w:val="00DA2661"/>
    <w:rsid w:val="00DA28A0"/>
    <w:rsid w:val="00DA2D04"/>
    <w:rsid w:val="00DA2D4E"/>
    <w:rsid w:val="00DA2DEA"/>
    <w:rsid w:val="00DA2FB8"/>
    <w:rsid w:val="00DA330D"/>
    <w:rsid w:val="00DA3333"/>
    <w:rsid w:val="00DA3398"/>
    <w:rsid w:val="00DA3437"/>
    <w:rsid w:val="00DA3CE0"/>
    <w:rsid w:val="00DA3E7A"/>
    <w:rsid w:val="00DA4398"/>
    <w:rsid w:val="00DA491D"/>
    <w:rsid w:val="00DA4DAB"/>
    <w:rsid w:val="00DA5717"/>
    <w:rsid w:val="00DA5A0F"/>
    <w:rsid w:val="00DA5B83"/>
    <w:rsid w:val="00DA5E8D"/>
    <w:rsid w:val="00DA6311"/>
    <w:rsid w:val="00DA6603"/>
    <w:rsid w:val="00DA70ED"/>
    <w:rsid w:val="00DA712A"/>
    <w:rsid w:val="00DA75E5"/>
    <w:rsid w:val="00DA7EA7"/>
    <w:rsid w:val="00DB01F0"/>
    <w:rsid w:val="00DB05BA"/>
    <w:rsid w:val="00DB0F52"/>
    <w:rsid w:val="00DB0FBE"/>
    <w:rsid w:val="00DB2304"/>
    <w:rsid w:val="00DB2BF8"/>
    <w:rsid w:val="00DB2D82"/>
    <w:rsid w:val="00DB3B6F"/>
    <w:rsid w:val="00DB41F1"/>
    <w:rsid w:val="00DB4D83"/>
    <w:rsid w:val="00DB5468"/>
    <w:rsid w:val="00DB5862"/>
    <w:rsid w:val="00DB5946"/>
    <w:rsid w:val="00DB5FFF"/>
    <w:rsid w:val="00DB669C"/>
    <w:rsid w:val="00DB7242"/>
    <w:rsid w:val="00DC090C"/>
    <w:rsid w:val="00DC0B08"/>
    <w:rsid w:val="00DC1FDB"/>
    <w:rsid w:val="00DC2490"/>
    <w:rsid w:val="00DC24FB"/>
    <w:rsid w:val="00DC2502"/>
    <w:rsid w:val="00DC2DA4"/>
    <w:rsid w:val="00DC2DF2"/>
    <w:rsid w:val="00DC3180"/>
    <w:rsid w:val="00DC31FC"/>
    <w:rsid w:val="00DC3297"/>
    <w:rsid w:val="00DC3565"/>
    <w:rsid w:val="00DC364E"/>
    <w:rsid w:val="00DC3784"/>
    <w:rsid w:val="00DC39F6"/>
    <w:rsid w:val="00DC410E"/>
    <w:rsid w:val="00DC4141"/>
    <w:rsid w:val="00DC4AAA"/>
    <w:rsid w:val="00DC4D6F"/>
    <w:rsid w:val="00DC4F3F"/>
    <w:rsid w:val="00DC51BB"/>
    <w:rsid w:val="00DC52B6"/>
    <w:rsid w:val="00DC572E"/>
    <w:rsid w:val="00DC5D80"/>
    <w:rsid w:val="00DC6069"/>
    <w:rsid w:val="00DC67C1"/>
    <w:rsid w:val="00DC72C7"/>
    <w:rsid w:val="00DC78F9"/>
    <w:rsid w:val="00DC7C8D"/>
    <w:rsid w:val="00DC7CA4"/>
    <w:rsid w:val="00DD01B2"/>
    <w:rsid w:val="00DD0AAD"/>
    <w:rsid w:val="00DD0DAB"/>
    <w:rsid w:val="00DD0F11"/>
    <w:rsid w:val="00DD10AD"/>
    <w:rsid w:val="00DD290B"/>
    <w:rsid w:val="00DD295F"/>
    <w:rsid w:val="00DD2F91"/>
    <w:rsid w:val="00DD30F2"/>
    <w:rsid w:val="00DD32CE"/>
    <w:rsid w:val="00DD3516"/>
    <w:rsid w:val="00DD3646"/>
    <w:rsid w:val="00DD3674"/>
    <w:rsid w:val="00DD37CD"/>
    <w:rsid w:val="00DD3898"/>
    <w:rsid w:val="00DD38EB"/>
    <w:rsid w:val="00DD3A92"/>
    <w:rsid w:val="00DD3CB3"/>
    <w:rsid w:val="00DD435F"/>
    <w:rsid w:val="00DD47C0"/>
    <w:rsid w:val="00DD53E6"/>
    <w:rsid w:val="00DD60EC"/>
    <w:rsid w:val="00DD675D"/>
    <w:rsid w:val="00DD69F0"/>
    <w:rsid w:val="00DD6ABE"/>
    <w:rsid w:val="00DD6C77"/>
    <w:rsid w:val="00DD6D24"/>
    <w:rsid w:val="00DD70C5"/>
    <w:rsid w:val="00DD7336"/>
    <w:rsid w:val="00DD748B"/>
    <w:rsid w:val="00DD76AA"/>
    <w:rsid w:val="00DE0247"/>
    <w:rsid w:val="00DE0466"/>
    <w:rsid w:val="00DE07E4"/>
    <w:rsid w:val="00DE0C4F"/>
    <w:rsid w:val="00DE0FE3"/>
    <w:rsid w:val="00DE1150"/>
    <w:rsid w:val="00DE12EE"/>
    <w:rsid w:val="00DE16A3"/>
    <w:rsid w:val="00DE27DE"/>
    <w:rsid w:val="00DE2853"/>
    <w:rsid w:val="00DE2D97"/>
    <w:rsid w:val="00DE34EA"/>
    <w:rsid w:val="00DE36E9"/>
    <w:rsid w:val="00DE38EF"/>
    <w:rsid w:val="00DE39A4"/>
    <w:rsid w:val="00DE3B0E"/>
    <w:rsid w:val="00DE3CE5"/>
    <w:rsid w:val="00DE3ECB"/>
    <w:rsid w:val="00DE424F"/>
    <w:rsid w:val="00DE4527"/>
    <w:rsid w:val="00DE5103"/>
    <w:rsid w:val="00DE5B0C"/>
    <w:rsid w:val="00DE5FBB"/>
    <w:rsid w:val="00DE623D"/>
    <w:rsid w:val="00DE66ED"/>
    <w:rsid w:val="00DE6930"/>
    <w:rsid w:val="00DE6E28"/>
    <w:rsid w:val="00DE6F69"/>
    <w:rsid w:val="00DF0ADD"/>
    <w:rsid w:val="00DF0CB5"/>
    <w:rsid w:val="00DF0FB7"/>
    <w:rsid w:val="00DF15A7"/>
    <w:rsid w:val="00DF1C44"/>
    <w:rsid w:val="00DF2484"/>
    <w:rsid w:val="00DF24A2"/>
    <w:rsid w:val="00DF27AD"/>
    <w:rsid w:val="00DF2A05"/>
    <w:rsid w:val="00DF2C45"/>
    <w:rsid w:val="00DF3552"/>
    <w:rsid w:val="00DF356A"/>
    <w:rsid w:val="00DF35A0"/>
    <w:rsid w:val="00DF3A01"/>
    <w:rsid w:val="00DF3BD1"/>
    <w:rsid w:val="00DF3D04"/>
    <w:rsid w:val="00DF415E"/>
    <w:rsid w:val="00DF43BA"/>
    <w:rsid w:val="00DF4447"/>
    <w:rsid w:val="00DF45B3"/>
    <w:rsid w:val="00DF47D0"/>
    <w:rsid w:val="00DF4C8E"/>
    <w:rsid w:val="00DF5379"/>
    <w:rsid w:val="00DF59A0"/>
    <w:rsid w:val="00DF6050"/>
    <w:rsid w:val="00DF657A"/>
    <w:rsid w:val="00DF6943"/>
    <w:rsid w:val="00DF6B33"/>
    <w:rsid w:val="00DF7035"/>
    <w:rsid w:val="00DF7744"/>
    <w:rsid w:val="00E00363"/>
    <w:rsid w:val="00E008F6"/>
    <w:rsid w:val="00E00B96"/>
    <w:rsid w:val="00E00E98"/>
    <w:rsid w:val="00E0176D"/>
    <w:rsid w:val="00E01A7F"/>
    <w:rsid w:val="00E01FD7"/>
    <w:rsid w:val="00E0211B"/>
    <w:rsid w:val="00E022F4"/>
    <w:rsid w:val="00E024A7"/>
    <w:rsid w:val="00E0283A"/>
    <w:rsid w:val="00E02D30"/>
    <w:rsid w:val="00E02FD3"/>
    <w:rsid w:val="00E03061"/>
    <w:rsid w:val="00E033FC"/>
    <w:rsid w:val="00E034D5"/>
    <w:rsid w:val="00E03848"/>
    <w:rsid w:val="00E039A5"/>
    <w:rsid w:val="00E0403D"/>
    <w:rsid w:val="00E041CA"/>
    <w:rsid w:val="00E048E0"/>
    <w:rsid w:val="00E05372"/>
    <w:rsid w:val="00E05510"/>
    <w:rsid w:val="00E05AFF"/>
    <w:rsid w:val="00E05C6F"/>
    <w:rsid w:val="00E069DF"/>
    <w:rsid w:val="00E06A69"/>
    <w:rsid w:val="00E06D4B"/>
    <w:rsid w:val="00E06E5C"/>
    <w:rsid w:val="00E0745B"/>
    <w:rsid w:val="00E0766E"/>
    <w:rsid w:val="00E1076F"/>
    <w:rsid w:val="00E10791"/>
    <w:rsid w:val="00E10AAF"/>
    <w:rsid w:val="00E10AE9"/>
    <w:rsid w:val="00E10B62"/>
    <w:rsid w:val="00E10D4C"/>
    <w:rsid w:val="00E10FE9"/>
    <w:rsid w:val="00E1101A"/>
    <w:rsid w:val="00E111BC"/>
    <w:rsid w:val="00E11230"/>
    <w:rsid w:val="00E1128C"/>
    <w:rsid w:val="00E116A0"/>
    <w:rsid w:val="00E11A43"/>
    <w:rsid w:val="00E11CD5"/>
    <w:rsid w:val="00E11F97"/>
    <w:rsid w:val="00E120C7"/>
    <w:rsid w:val="00E12381"/>
    <w:rsid w:val="00E12383"/>
    <w:rsid w:val="00E12918"/>
    <w:rsid w:val="00E12966"/>
    <w:rsid w:val="00E12C39"/>
    <w:rsid w:val="00E130BA"/>
    <w:rsid w:val="00E131E7"/>
    <w:rsid w:val="00E13336"/>
    <w:rsid w:val="00E13CC3"/>
    <w:rsid w:val="00E13FF6"/>
    <w:rsid w:val="00E1424F"/>
    <w:rsid w:val="00E144E5"/>
    <w:rsid w:val="00E14A32"/>
    <w:rsid w:val="00E14F8A"/>
    <w:rsid w:val="00E150A2"/>
    <w:rsid w:val="00E164B9"/>
    <w:rsid w:val="00E16962"/>
    <w:rsid w:val="00E20086"/>
    <w:rsid w:val="00E20588"/>
    <w:rsid w:val="00E20AD5"/>
    <w:rsid w:val="00E210CF"/>
    <w:rsid w:val="00E210F8"/>
    <w:rsid w:val="00E215E3"/>
    <w:rsid w:val="00E21C8B"/>
    <w:rsid w:val="00E22993"/>
    <w:rsid w:val="00E229D2"/>
    <w:rsid w:val="00E22D11"/>
    <w:rsid w:val="00E2304F"/>
    <w:rsid w:val="00E23778"/>
    <w:rsid w:val="00E23A35"/>
    <w:rsid w:val="00E23DE1"/>
    <w:rsid w:val="00E23F54"/>
    <w:rsid w:val="00E24FCC"/>
    <w:rsid w:val="00E25259"/>
    <w:rsid w:val="00E2542A"/>
    <w:rsid w:val="00E25828"/>
    <w:rsid w:val="00E26234"/>
    <w:rsid w:val="00E264AC"/>
    <w:rsid w:val="00E26521"/>
    <w:rsid w:val="00E26950"/>
    <w:rsid w:val="00E26EE7"/>
    <w:rsid w:val="00E27F7F"/>
    <w:rsid w:val="00E30556"/>
    <w:rsid w:val="00E30C89"/>
    <w:rsid w:val="00E3135A"/>
    <w:rsid w:val="00E325CF"/>
    <w:rsid w:val="00E328E5"/>
    <w:rsid w:val="00E32B86"/>
    <w:rsid w:val="00E32DA1"/>
    <w:rsid w:val="00E32DD4"/>
    <w:rsid w:val="00E32FB9"/>
    <w:rsid w:val="00E333A4"/>
    <w:rsid w:val="00E338AC"/>
    <w:rsid w:val="00E33A85"/>
    <w:rsid w:val="00E33BCF"/>
    <w:rsid w:val="00E33BD6"/>
    <w:rsid w:val="00E3432A"/>
    <w:rsid w:val="00E3451B"/>
    <w:rsid w:val="00E345F6"/>
    <w:rsid w:val="00E34718"/>
    <w:rsid w:val="00E34A1F"/>
    <w:rsid w:val="00E34FBA"/>
    <w:rsid w:val="00E353E3"/>
    <w:rsid w:val="00E354B7"/>
    <w:rsid w:val="00E3562E"/>
    <w:rsid w:val="00E35AD9"/>
    <w:rsid w:val="00E35BB4"/>
    <w:rsid w:val="00E35D0E"/>
    <w:rsid w:val="00E36243"/>
    <w:rsid w:val="00E3626E"/>
    <w:rsid w:val="00E36748"/>
    <w:rsid w:val="00E36961"/>
    <w:rsid w:val="00E37038"/>
    <w:rsid w:val="00E37208"/>
    <w:rsid w:val="00E3725A"/>
    <w:rsid w:val="00E37834"/>
    <w:rsid w:val="00E37E77"/>
    <w:rsid w:val="00E404CE"/>
    <w:rsid w:val="00E4087D"/>
    <w:rsid w:val="00E409EA"/>
    <w:rsid w:val="00E40B3F"/>
    <w:rsid w:val="00E40D13"/>
    <w:rsid w:val="00E40D7E"/>
    <w:rsid w:val="00E412BB"/>
    <w:rsid w:val="00E41643"/>
    <w:rsid w:val="00E42114"/>
    <w:rsid w:val="00E4261D"/>
    <w:rsid w:val="00E42766"/>
    <w:rsid w:val="00E427FE"/>
    <w:rsid w:val="00E433C0"/>
    <w:rsid w:val="00E433E6"/>
    <w:rsid w:val="00E443AD"/>
    <w:rsid w:val="00E44A2C"/>
    <w:rsid w:val="00E4512D"/>
    <w:rsid w:val="00E451C4"/>
    <w:rsid w:val="00E4534F"/>
    <w:rsid w:val="00E453BB"/>
    <w:rsid w:val="00E45819"/>
    <w:rsid w:val="00E45985"/>
    <w:rsid w:val="00E45DFE"/>
    <w:rsid w:val="00E45E38"/>
    <w:rsid w:val="00E46426"/>
    <w:rsid w:val="00E4656D"/>
    <w:rsid w:val="00E465F3"/>
    <w:rsid w:val="00E470AE"/>
    <w:rsid w:val="00E47BF0"/>
    <w:rsid w:val="00E5013F"/>
    <w:rsid w:val="00E50666"/>
    <w:rsid w:val="00E51CF6"/>
    <w:rsid w:val="00E52153"/>
    <w:rsid w:val="00E52D5E"/>
    <w:rsid w:val="00E53072"/>
    <w:rsid w:val="00E53F58"/>
    <w:rsid w:val="00E5407D"/>
    <w:rsid w:val="00E54668"/>
    <w:rsid w:val="00E54C95"/>
    <w:rsid w:val="00E55072"/>
    <w:rsid w:val="00E55243"/>
    <w:rsid w:val="00E5556A"/>
    <w:rsid w:val="00E55599"/>
    <w:rsid w:val="00E55738"/>
    <w:rsid w:val="00E55A65"/>
    <w:rsid w:val="00E55CCF"/>
    <w:rsid w:val="00E55D48"/>
    <w:rsid w:val="00E55D75"/>
    <w:rsid w:val="00E568E1"/>
    <w:rsid w:val="00E56EB2"/>
    <w:rsid w:val="00E5738B"/>
    <w:rsid w:val="00E574EE"/>
    <w:rsid w:val="00E577B8"/>
    <w:rsid w:val="00E57DA6"/>
    <w:rsid w:val="00E601A2"/>
    <w:rsid w:val="00E60457"/>
    <w:rsid w:val="00E61249"/>
    <w:rsid w:val="00E62414"/>
    <w:rsid w:val="00E62506"/>
    <w:rsid w:val="00E62A1A"/>
    <w:rsid w:val="00E6327C"/>
    <w:rsid w:val="00E63BEC"/>
    <w:rsid w:val="00E64BDF"/>
    <w:rsid w:val="00E64F2D"/>
    <w:rsid w:val="00E65631"/>
    <w:rsid w:val="00E65BD3"/>
    <w:rsid w:val="00E65D9E"/>
    <w:rsid w:val="00E65EB8"/>
    <w:rsid w:val="00E66222"/>
    <w:rsid w:val="00E664F6"/>
    <w:rsid w:val="00E66650"/>
    <w:rsid w:val="00E66862"/>
    <w:rsid w:val="00E6698D"/>
    <w:rsid w:val="00E67A0A"/>
    <w:rsid w:val="00E67CC1"/>
    <w:rsid w:val="00E67E02"/>
    <w:rsid w:val="00E67EC1"/>
    <w:rsid w:val="00E70988"/>
    <w:rsid w:val="00E70D02"/>
    <w:rsid w:val="00E713DD"/>
    <w:rsid w:val="00E71A2C"/>
    <w:rsid w:val="00E7219A"/>
    <w:rsid w:val="00E7254B"/>
    <w:rsid w:val="00E7276A"/>
    <w:rsid w:val="00E72ABF"/>
    <w:rsid w:val="00E72D6B"/>
    <w:rsid w:val="00E72EA9"/>
    <w:rsid w:val="00E730B0"/>
    <w:rsid w:val="00E73397"/>
    <w:rsid w:val="00E73399"/>
    <w:rsid w:val="00E73C48"/>
    <w:rsid w:val="00E74003"/>
    <w:rsid w:val="00E741E8"/>
    <w:rsid w:val="00E74A54"/>
    <w:rsid w:val="00E74BB2"/>
    <w:rsid w:val="00E7521A"/>
    <w:rsid w:val="00E75397"/>
    <w:rsid w:val="00E75E8E"/>
    <w:rsid w:val="00E763F3"/>
    <w:rsid w:val="00E76FB9"/>
    <w:rsid w:val="00E7713F"/>
    <w:rsid w:val="00E7790F"/>
    <w:rsid w:val="00E80575"/>
    <w:rsid w:val="00E80584"/>
    <w:rsid w:val="00E80770"/>
    <w:rsid w:val="00E80A21"/>
    <w:rsid w:val="00E80C32"/>
    <w:rsid w:val="00E810E0"/>
    <w:rsid w:val="00E81C0C"/>
    <w:rsid w:val="00E81E6B"/>
    <w:rsid w:val="00E81E7A"/>
    <w:rsid w:val="00E821D4"/>
    <w:rsid w:val="00E82702"/>
    <w:rsid w:val="00E82B31"/>
    <w:rsid w:val="00E82BAC"/>
    <w:rsid w:val="00E82D51"/>
    <w:rsid w:val="00E830E0"/>
    <w:rsid w:val="00E8365F"/>
    <w:rsid w:val="00E83698"/>
    <w:rsid w:val="00E83705"/>
    <w:rsid w:val="00E84607"/>
    <w:rsid w:val="00E84AA1"/>
    <w:rsid w:val="00E85256"/>
    <w:rsid w:val="00E8615A"/>
    <w:rsid w:val="00E861E6"/>
    <w:rsid w:val="00E86259"/>
    <w:rsid w:val="00E86427"/>
    <w:rsid w:val="00E86C43"/>
    <w:rsid w:val="00E86D48"/>
    <w:rsid w:val="00E87E97"/>
    <w:rsid w:val="00E9006D"/>
    <w:rsid w:val="00E90471"/>
    <w:rsid w:val="00E9106A"/>
    <w:rsid w:val="00E918AF"/>
    <w:rsid w:val="00E91C26"/>
    <w:rsid w:val="00E91FA7"/>
    <w:rsid w:val="00E920A1"/>
    <w:rsid w:val="00E92183"/>
    <w:rsid w:val="00E92CE1"/>
    <w:rsid w:val="00E93440"/>
    <w:rsid w:val="00E934F0"/>
    <w:rsid w:val="00E937A7"/>
    <w:rsid w:val="00E93C10"/>
    <w:rsid w:val="00E93C3E"/>
    <w:rsid w:val="00E93C92"/>
    <w:rsid w:val="00E93EB9"/>
    <w:rsid w:val="00E943EE"/>
    <w:rsid w:val="00E94478"/>
    <w:rsid w:val="00E94593"/>
    <w:rsid w:val="00E94CD0"/>
    <w:rsid w:val="00E94EB5"/>
    <w:rsid w:val="00E94F3B"/>
    <w:rsid w:val="00E94F9E"/>
    <w:rsid w:val="00E954C9"/>
    <w:rsid w:val="00E95E9E"/>
    <w:rsid w:val="00E95EA6"/>
    <w:rsid w:val="00E95F22"/>
    <w:rsid w:val="00E96140"/>
    <w:rsid w:val="00E96256"/>
    <w:rsid w:val="00E965D3"/>
    <w:rsid w:val="00E96666"/>
    <w:rsid w:val="00E96885"/>
    <w:rsid w:val="00E96979"/>
    <w:rsid w:val="00E96AAD"/>
    <w:rsid w:val="00E96C3F"/>
    <w:rsid w:val="00E97666"/>
    <w:rsid w:val="00E97841"/>
    <w:rsid w:val="00E97B92"/>
    <w:rsid w:val="00EA09D8"/>
    <w:rsid w:val="00EA0DC0"/>
    <w:rsid w:val="00EA15B4"/>
    <w:rsid w:val="00EA2102"/>
    <w:rsid w:val="00EA2B7A"/>
    <w:rsid w:val="00EA3D5B"/>
    <w:rsid w:val="00EA3D82"/>
    <w:rsid w:val="00EA401F"/>
    <w:rsid w:val="00EA449B"/>
    <w:rsid w:val="00EA4590"/>
    <w:rsid w:val="00EA4679"/>
    <w:rsid w:val="00EA5134"/>
    <w:rsid w:val="00EA54FE"/>
    <w:rsid w:val="00EA55B5"/>
    <w:rsid w:val="00EA577F"/>
    <w:rsid w:val="00EA5A8A"/>
    <w:rsid w:val="00EA5B7A"/>
    <w:rsid w:val="00EA6586"/>
    <w:rsid w:val="00EA65C3"/>
    <w:rsid w:val="00EA67EA"/>
    <w:rsid w:val="00EA6B4E"/>
    <w:rsid w:val="00EA7620"/>
    <w:rsid w:val="00EA770B"/>
    <w:rsid w:val="00EA7BD2"/>
    <w:rsid w:val="00EA7E05"/>
    <w:rsid w:val="00EB0041"/>
    <w:rsid w:val="00EB04DD"/>
    <w:rsid w:val="00EB0672"/>
    <w:rsid w:val="00EB0843"/>
    <w:rsid w:val="00EB0C83"/>
    <w:rsid w:val="00EB0CC5"/>
    <w:rsid w:val="00EB1633"/>
    <w:rsid w:val="00EB1844"/>
    <w:rsid w:val="00EB185B"/>
    <w:rsid w:val="00EB18CB"/>
    <w:rsid w:val="00EB1A6C"/>
    <w:rsid w:val="00EB2116"/>
    <w:rsid w:val="00EB2545"/>
    <w:rsid w:val="00EB2700"/>
    <w:rsid w:val="00EB27B4"/>
    <w:rsid w:val="00EB2EE7"/>
    <w:rsid w:val="00EB328E"/>
    <w:rsid w:val="00EB34D6"/>
    <w:rsid w:val="00EB3BDE"/>
    <w:rsid w:val="00EB3C26"/>
    <w:rsid w:val="00EB3F3E"/>
    <w:rsid w:val="00EB400F"/>
    <w:rsid w:val="00EB4054"/>
    <w:rsid w:val="00EB499C"/>
    <w:rsid w:val="00EB5263"/>
    <w:rsid w:val="00EB5565"/>
    <w:rsid w:val="00EB5745"/>
    <w:rsid w:val="00EB5D25"/>
    <w:rsid w:val="00EB63D6"/>
    <w:rsid w:val="00EB6DEC"/>
    <w:rsid w:val="00EB6FF3"/>
    <w:rsid w:val="00EB71F0"/>
    <w:rsid w:val="00EB7210"/>
    <w:rsid w:val="00EB7ACA"/>
    <w:rsid w:val="00EC006A"/>
    <w:rsid w:val="00EC041C"/>
    <w:rsid w:val="00EC0443"/>
    <w:rsid w:val="00EC0923"/>
    <w:rsid w:val="00EC0BB7"/>
    <w:rsid w:val="00EC1033"/>
    <w:rsid w:val="00EC10C3"/>
    <w:rsid w:val="00EC138F"/>
    <w:rsid w:val="00EC1FE1"/>
    <w:rsid w:val="00EC2088"/>
    <w:rsid w:val="00EC22C4"/>
    <w:rsid w:val="00EC25FF"/>
    <w:rsid w:val="00EC2601"/>
    <w:rsid w:val="00EC2CD9"/>
    <w:rsid w:val="00EC3469"/>
    <w:rsid w:val="00EC358A"/>
    <w:rsid w:val="00EC3676"/>
    <w:rsid w:val="00EC382C"/>
    <w:rsid w:val="00EC3EEB"/>
    <w:rsid w:val="00EC4316"/>
    <w:rsid w:val="00EC47D5"/>
    <w:rsid w:val="00EC4898"/>
    <w:rsid w:val="00EC49D9"/>
    <w:rsid w:val="00EC50C4"/>
    <w:rsid w:val="00EC5A1F"/>
    <w:rsid w:val="00EC5A77"/>
    <w:rsid w:val="00EC62B1"/>
    <w:rsid w:val="00EC6396"/>
    <w:rsid w:val="00EC66E4"/>
    <w:rsid w:val="00EC6996"/>
    <w:rsid w:val="00EC6B17"/>
    <w:rsid w:val="00EC7700"/>
    <w:rsid w:val="00EC7873"/>
    <w:rsid w:val="00EC7D32"/>
    <w:rsid w:val="00ED038D"/>
    <w:rsid w:val="00ED0519"/>
    <w:rsid w:val="00ED0BC7"/>
    <w:rsid w:val="00ED139A"/>
    <w:rsid w:val="00ED1AD9"/>
    <w:rsid w:val="00ED1B88"/>
    <w:rsid w:val="00ED1DE5"/>
    <w:rsid w:val="00ED1E51"/>
    <w:rsid w:val="00ED23AE"/>
    <w:rsid w:val="00ED2B4F"/>
    <w:rsid w:val="00ED31C3"/>
    <w:rsid w:val="00ED32CC"/>
    <w:rsid w:val="00ED3598"/>
    <w:rsid w:val="00ED36C7"/>
    <w:rsid w:val="00ED396E"/>
    <w:rsid w:val="00ED398A"/>
    <w:rsid w:val="00ED3E55"/>
    <w:rsid w:val="00ED3E87"/>
    <w:rsid w:val="00ED41FD"/>
    <w:rsid w:val="00ED422D"/>
    <w:rsid w:val="00ED50B6"/>
    <w:rsid w:val="00ED518B"/>
    <w:rsid w:val="00ED5E3D"/>
    <w:rsid w:val="00ED6BD1"/>
    <w:rsid w:val="00ED6E54"/>
    <w:rsid w:val="00ED6F3D"/>
    <w:rsid w:val="00ED73E1"/>
    <w:rsid w:val="00ED75F7"/>
    <w:rsid w:val="00ED7624"/>
    <w:rsid w:val="00ED7625"/>
    <w:rsid w:val="00ED779A"/>
    <w:rsid w:val="00ED78ED"/>
    <w:rsid w:val="00ED7BA3"/>
    <w:rsid w:val="00ED7C19"/>
    <w:rsid w:val="00ED7D7A"/>
    <w:rsid w:val="00EE0299"/>
    <w:rsid w:val="00EE054C"/>
    <w:rsid w:val="00EE05DB"/>
    <w:rsid w:val="00EE081B"/>
    <w:rsid w:val="00EE1084"/>
    <w:rsid w:val="00EE127A"/>
    <w:rsid w:val="00EE1809"/>
    <w:rsid w:val="00EE1A74"/>
    <w:rsid w:val="00EE1E24"/>
    <w:rsid w:val="00EE2404"/>
    <w:rsid w:val="00EE2639"/>
    <w:rsid w:val="00EE28DC"/>
    <w:rsid w:val="00EE2B09"/>
    <w:rsid w:val="00EE32CD"/>
    <w:rsid w:val="00EE337B"/>
    <w:rsid w:val="00EE3ACE"/>
    <w:rsid w:val="00EE3BDC"/>
    <w:rsid w:val="00EE3D0C"/>
    <w:rsid w:val="00EE4765"/>
    <w:rsid w:val="00EE4B33"/>
    <w:rsid w:val="00EE4C14"/>
    <w:rsid w:val="00EE5C9F"/>
    <w:rsid w:val="00EE5E13"/>
    <w:rsid w:val="00EE5F36"/>
    <w:rsid w:val="00EE696A"/>
    <w:rsid w:val="00EF0596"/>
    <w:rsid w:val="00EF0DB5"/>
    <w:rsid w:val="00EF1DEF"/>
    <w:rsid w:val="00EF1F04"/>
    <w:rsid w:val="00EF20E2"/>
    <w:rsid w:val="00EF2132"/>
    <w:rsid w:val="00EF28DA"/>
    <w:rsid w:val="00EF2E1F"/>
    <w:rsid w:val="00EF368E"/>
    <w:rsid w:val="00EF3A97"/>
    <w:rsid w:val="00EF405B"/>
    <w:rsid w:val="00EF41CA"/>
    <w:rsid w:val="00EF4928"/>
    <w:rsid w:val="00EF51F7"/>
    <w:rsid w:val="00EF5883"/>
    <w:rsid w:val="00EF5B2D"/>
    <w:rsid w:val="00EF5FCF"/>
    <w:rsid w:val="00EF62B7"/>
    <w:rsid w:val="00EF692B"/>
    <w:rsid w:val="00EF6949"/>
    <w:rsid w:val="00EF6BB0"/>
    <w:rsid w:val="00EF6EA1"/>
    <w:rsid w:val="00EF704A"/>
    <w:rsid w:val="00EF7B3C"/>
    <w:rsid w:val="00EF7F33"/>
    <w:rsid w:val="00F002AD"/>
    <w:rsid w:val="00F0070C"/>
    <w:rsid w:val="00F007AA"/>
    <w:rsid w:val="00F008B8"/>
    <w:rsid w:val="00F00A41"/>
    <w:rsid w:val="00F014EB"/>
    <w:rsid w:val="00F018F9"/>
    <w:rsid w:val="00F01A4B"/>
    <w:rsid w:val="00F01B70"/>
    <w:rsid w:val="00F01C10"/>
    <w:rsid w:val="00F01E61"/>
    <w:rsid w:val="00F01EBB"/>
    <w:rsid w:val="00F02321"/>
    <w:rsid w:val="00F0243A"/>
    <w:rsid w:val="00F02640"/>
    <w:rsid w:val="00F02828"/>
    <w:rsid w:val="00F0296B"/>
    <w:rsid w:val="00F02A8A"/>
    <w:rsid w:val="00F02B4E"/>
    <w:rsid w:val="00F03452"/>
    <w:rsid w:val="00F047E0"/>
    <w:rsid w:val="00F04822"/>
    <w:rsid w:val="00F04940"/>
    <w:rsid w:val="00F04F7C"/>
    <w:rsid w:val="00F053E6"/>
    <w:rsid w:val="00F0544A"/>
    <w:rsid w:val="00F05A21"/>
    <w:rsid w:val="00F05AC7"/>
    <w:rsid w:val="00F05DE2"/>
    <w:rsid w:val="00F05FD3"/>
    <w:rsid w:val="00F06394"/>
    <w:rsid w:val="00F06398"/>
    <w:rsid w:val="00F06A40"/>
    <w:rsid w:val="00F072CB"/>
    <w:rsid w:val="00F073F7"/>
    <w:rsid w:val="00F07443"/>
    <w:rsid w:val="00F075C9"/>
    <w:rsid w:val="00F07E54"/>
    <w:rsid w:val="00F07E6B"/>
    <w:rsid w:val="00F07F4B"/>
    <w:rsid w:val="00F10B40"/>
    <w:rsid w:val="00F10E6A"/>
    <w:rsid w:val="00F114D7"/>
    <w:rsid w:val="00F11BA8"/>
    <w:rsid w:val="00F11C3D"/>
    <w:rsid w:val="00F126D8"/>
    <w:rsid w:val="00F12F50"/>
    <w:rsid w:val="00F13CA9"/>
    <w:rsid w:val="00F13D0D"/>
    <w:rsid w:val="00F13DB5"/>
    <w:rsid w:val="00F1458E"/>
    <w:rsid w:val="00F146A5"/>
    <w:rsid w:val="00F147F3"/>
    <w:rsid w:val="00F14AE3"/>
    <w:rsid w:val="00F15F35"/>
    <w:rsid w:val="00F1637E"/>
    <w:rsid w:val="00F1656F"/>
    <w:rsid w:val="00F17327"/>
    <w:rsid w:val="00F1750A"/>
    <w:rsid w:val="00F1783E"/>
    <w:rsid w:val="00F17B73"/>
    <w:rsid w:val="00F17CFD"/>
    <w:rsid w:val="00F20A94"/>
    <w:rsid w:val="00F21025"/>
    <w:rsid w:val="00F21147"/>
    <w:rsid w:val="00F2180B"/>
    <w:rsid w:val="00F22BC8"/>
    <w:rsid w:val="00F22DDA"/>
    <w:rsid w:val="00F2381E"/>
    <w:rsid w:val="00F23C35"/>
    <w:rsid w:val="00F2429C"/>
    <w:rsid w:val="00F2466A"/>
    <w:rsid w:val="00F255AE"/>
    <w:rsid w:val="00F256BA"/>
    <w:rsid w:val="00F25BDC"/>
    <w:rsid w:val="00F25CFF"/>
    <w:rsid w:val="00F25DDE"/>
    <w:rsid w:val="00F261E1"/>
    <w:rsid w:val="00F268F4"/>
    <w:rsid w:val="00F26B75"/>
    <w:rsid w:val="00F26BE6"/>
    <w:rsid w:val="00F275FF"/>
    <w:rsid w:val="00F27A73"/>
    <w:rsid w:val="00F27E6D"/>
    <w:rsid w:val="00F301CE"/>
    <w:rsid w:val="00F3052E"/>
    <w:rsid w:val="00F30544"/>
    <w:rsid w:val="00F30647"/>
    <w:rsid w:val="00F30D81"/>
    <w:rsid w:val="00F30F3E"/>
    <w:rsid w:val="00F310D2"/>
    <w:rsid w:val="00F317ED"/>
    <w:rsid w:val="00F31D94"/>
    <w:rsid w:val="00F31E25"/>
    <w:rsid w:val="00F31E9E"/>
    <w:rsid w:val="00F32020"/>
    <w:rsid w:val="00F32054"/>
    <w:rsid w:val="00F32155"/>
    <w:rsid w:val="00F32710"/>
    <w:rsid w:val="00F33253"/>
    <w:rsid w:val="00F3372E"/>
    <w:rsid w:val="00F33972"/>
    <w:rsid w:val="00F339AF"/>
    <w:rsid w:val="00F33F9D"/>
    <w:rsid w:val="00F34E39"/>
    <w:rsid w:val="00F35035"/>
    <w:rsid w:val="00F35397"/>
    <w:rsid w:val="00F3580E"/>
    <w:rsid w:val="00F35D40"/>
    <w:rsid w:val="00F35DD6"/>
    <w:rsid w:val="00F364AE"/>
    <w:rsid w:val="00F367F7"/>
    <w:rsid w:val="00F37162"/>
    <w:rsid w:val="00F3729A"/>
    <w:rsid w:val="00F376A4"/>
    <w:rsid w:val="00F4042F"/>
    <w:rsid w:val="00F408B8"/>
    <w:rsid w:val="00F40FC8"/>
    <w:rsid w:val="00F41257"/>
    <w:rsid w:val="00F41F4B"/>
    <w:rsid w:val="00F4200E"/>
    <w:rsid w:val="00F420DA"/>
    <w:rsid w:val="00F4242F"/>
    <w:rsid w:val="00F42C43"/>
    <w:rsid w:val="00F42C5C"/>
    <w:rsid w:val="00F42DA7"/>
    <w:rsid w:val="00F43032"/>
    <w:rsid w:val="00F430DA"/>
    <w:rsid w:val="00F44378"/>
    <w:rsid w:val="00F44B93"/>
    <w:rsid w:val="00F44EB6"/>
    <w:rsid w:val="00F44FB8"/>
    <w:rsid w:val="00F4523B"/>
    <w:rsid w:val="00F4531F"/>
    <w:rsid w:val="00F458A9"/>
    <w:rsid w:val="00F45921"/>
    <w:rsid w:val="00F45A5E"/>
    <w:rsid w:val="00F45B07"/>
    <w:rsid w:val="00F45B08"/>
    <w:rsid w:val="00F46165"/>
    <w:rsid w:val="00F46215"/>
    <w:rsid w:val="00F463D2"/>
    <w:rsid w:val="00F46417"/>
    <w:rsid w:val="00F465BA"/>
    <w:rsid w:val="00F4670A"/>
    <w:rsid w:val="00F4697A"/>
    <w:rsid w:val="00F46A62"/>
    <w:rsid w:val="00F46ABE"/>
    <w:rsid w:val="00F46D5A"/>
    <w:rsid w:val="00F47C2C"/>
    <w:rsid w:val="00F47EEA"/>
    <w:rsid w:val="00F50447"/>
    <w:rsid w:val="00F50697"/>
    <w:rsid w:val="00F50C1E"/>
    <w:rsid w:val="00F50D7B"/>
    <w:rsid w:val="00F51128"/>
    <w:rsid w:val="00F51140"/>
    <w:rsid w:val="00F5135A"/>
    <w:rsid w:val="00F513F6"/>
    <w:rsid w:val="00F51556"/>
    <w:rsid w:val="00F5169F"/>
    <w:rsid w:val="00F518F9"/>
    <w:rsid w:val="00F51C5C"/>
    <w:rsid w:val="00F51F10"/>
    <w:rsid w:val="00F51F36"/>
    <w:rsid w:val="00F52115"/>
    <w:rsid w:val="00F5235B"/>
    <w:rsid w:val="00F525D2"/>
    <w:rsid w:val="00F534D7"/>
    <w:rsid w:val="00F535AD"/>
    <w:rsid w:val="00F54110"/>
    <w:rsid w:val="00F54462"/>
    <w:rsid w:val="00F5461D"/>
    <w:rsid w:val="00F54CFD"/>
    <w:rsid w:val="00F5529F"/>
    <w:rsid w:val="00F5555D"/>
    <w:rsid w:val="00F55A8F"/>
    <w:rsid w:val="00F55C9B"/>
    <w:rsid w:val="00F55E46"/>
    <w:rsid w:val="00F5671C"/>
    <w:rsid w:val="00F57086"/>
    <w:rsid w:val="00F5709B"/>
    <w:rsid w:val="00F5744A"/>
    <w:rsid w:val="00F57771"/>
    <w:rsid w:val="00F577BD"/>
    <w:rsid w:val="00F578E7"/>
    <w:rsid w:val="00F57910"/>
    <w:rsid w:val="00F57976"/>
    <w:rsid w:val="00F57CA1"/>
    <w:rsid w:val="00F6034A"/>
    <w:rsid w:val="00F603AA"/>
    <w:rsid w:val="00F604E2"/>
    <w:rsid w:val="00F60B4E"/>
    <w:rsid w:val="00F61049"/>
    <w:rsid w:val="00F610B3"/>
    <w:rsid w:val="00F61417"/>
    <w:rsid w:val="00F617CB"/>
    <w:rsid w:val="00F620D2"/>
    <w:rsid w:val="00F6273C"/>
    <w:rsid w:val="00F6282A"/>
    <w:rsid w:val="00F62891"/>
    <w:rsid w:val="00F63439"/>
    <w:rsid w:val="00F63CE6"/>
    <w:rsid w:val="00F653DE"/>
    <w:rsid w:val="00F65576"/>
    <w:rsid w:val="00F6588E"/>
    <w:rsid w:val="00F65EE4"/>
    <w:rsid w:val="00F66E52"/>
    <w:rsid w:val="00F66FB8"/>
    <w:rsid w:val="00F672E7"/>
    <w:rsid w:val="00F672F4"/>
    <w:rsid w:val="00F67344"/>
    <w:rsid w:val="00F675B4"/>
    <w:rsid w:val="00F676C7"/>
    <w:rsid w:val="00F67708"/>
    <w:rsid w:val="00F677EC"/>
    <w:rsid w:val="00F67D9D"/>
    <w:rsid w:val="00F67EA7"/>
    <w:rsid w:val="00F700EB"/>
    <w:rsid w:val="00F7014A"/>
    <w:rsid w:val="00F702BA"/>
    <w:rsid w:val="00F703CC"/>
    <w:rsid w:val="00F7041D"/>
    <w:rsid w:val="00F706B7"/>
    <w:rsid w:val="00F708A5"/>
    <w:rsid w:val="00F70EAC"/>
    <w:rsid w:val="00F72042"/>
    <w:rsid w:val="00F720C5"/>
    <w:rsid w:val="00F72198"/>
    <w:rsid w:val="00F723E5"/>
    <w:rsid w:val="00F72B09"/>
    <w:rsid w:val="00F72DAE"/>
    <w:rsid w:val="00F7349F"/>
    <w:rsid w:val="00F73E4C"/>
    <w:rsid w:val="00F74378"/>
    <w:rsid w:val="00F74390"/>
    <w:rsid w:val="00F74813"/>
    <w:rsid w:val="00F7490F"/>
    <w:rsid w:val="00F74ED7"/>
    <w:rsid w:val="00F75D3A"/>
    <w:rsid w:val="00F75D8B"/>
    <w:rsid w:val="00F7603C"/>
    <w:rsid w:val="00F76D16"/>
    <w:rsid w:val="00F77201"/>
    <w:rsid w:val="00F77837"/>
    <w:rsid w:val="00F77A38"/>
    <w:rsid w:val="00F77D45"/>
    <w:rsid w:val="00F802A2"/>
    <w:rsid w:val="00F80643"/>
    <w:rsid w:val="00F80832"/>
    <w:rsid w:val="00F80C5A"/>
    <w:rsid w:val="00F81091"/>
    <w:rsid w:val="00F814B3"/>
    <w:rsid w:val="00F814CE"/>
    <w:rsid w:val="00F81657"/>
    <w:rsid w:val="00F81A3D"/>
    <w:rsid w:val="00F8200E"/>
    <w:rsid w:val="00F82477"/>
    <w:rsid w:val="00F8257B"/>
    <w:rsid w:val="00F825C8"/>
    <w:rsid w:val="00F82CB1"/>
    <w:rsid w:val="00F82EF9"/>
    <w:rsid w:val="00F83472"/>
    <w:rsid w:val="00F83478"/>
    <w:rsid w:val="00F83A5B"/>
    <w:rsid w:val="00F83B6A"/>
    <w:rsid w:val="00F83C45"/>
    <w:rsid w:val="00F846FA"/>
    <w:rsid w:val="00F84754"/>
    <w:rsid w:val="00F84891"/>
    <w:rsid w:val="00F84A57"/>
    <w:rsid w:val="00F84B12"/>
    <w:rsid w:val="00F84DA5"/>
    <w:rsid w:val="00F850A2"/>
    <w:rsid w:val="00F856E5"/>
    <w:rsid w:val="00F85BDC"/>
    <w:rsid w:val="00F85E76"/>
    <w:rsid w:val="00F85FB8"/>
    <w:rsid w:val="00F85FFF"/>
    <w:rsid w:val="00F860F8"/>
    <w:rsid w:val="00F863E1"/>
    <w:rsid w:val="00F864AC"/>
    <w:rsid w:val="00F869E6"/>
    <w:rsid w:val="00F86AC5"/>
    <w:rsid w:val="00F86B85"/>
    <w:rsid w:val="00F86CA3"/>
    <w:rsid w:val="00F86EF3"/>
    <w:rsid w:val="00F872E6"/>
    <w:rsid w:val="00F87309"/>
    <w:rsid w:val="00F87AB2"/>
    <w:rsid w:val="00F87ECD"/>
    <w:rsid w:val="00F87F34"/>
    <w:rsid w:val="00F9044A"/>
    <w:rsid w:val="00F90908"/>
    <w:rsid w:val="00F910F0"/>
    <w:rsid w:val="00F911AE"/>
    <w:rsid w:val="00F914EB"/>
    <w:rsid w:val="00F91692"/>
    <w:rsid w:val="00F91871"/>
    <w:rsid w:val="00F91C1C"/>
    <w:rsid w:val="00F91E6E"/>
    <w:rsid w:val="00F9283F"/>
    <w:rsid w:val="00F93368"/>
    <w:rsid w:val="00F939C2"/>
    <w:rsid w:val="00F94620"/>
    <w:rsid w:val="00F946BA"/>
    <w:rsid w:val="00F9479A"/>
    <w:rsid w:val="00F94A82"/>
    <w:rsid w:val="00F950BB"/>
    <w:rsid w:val="00F9528A"/>
    <w:rsid w:val="00F9531D"/>
    <w:rsid w:val="00F954EA"/>
    <w:rsid w:val="00F9597B"/>
    <w:rsid w:val="00F95D8F"/>
    <w:rsid w:val="00F960E0"/>
    <w:rsid w:val="00F96F59"/>
    <w:rsid w:val="00FA0D4A"/>
    <w:rsid w:val="00FA1103"/>
    <w:rsid w:val="00FA132E"/>
    <w:rsid w:val="00FA13B8"/>
    <w:rsid w:val="00FA1592"/>
    <w:rsid w:val="00FA19B3"/>
    <w:rsid w:val="00FA1A4E"/>
    <w:rsid w:val="00FA2107"/>
    <w:rsid w:val="00FA226B"/>
    <w:rsid w:val="00FA27BC"/>
    <w:rsid w:val="00FA2975"/>
    <w:rsid w:val="00FA2A21"/>
    <w:rsid w:val="00FA2E2D"/>
    <w:rsid w:val="00FA2EAF"/>
    <w:rsid w:val="00FA2F9C"/>
    <w:rsid w:val="00FA3A58"/>
    <w:rsid w:val="00FA3F7E"/>
    <w:rsid w:val="00FA4143"/>
    <w:rsid w:val="00FA45CC"/>
    <w:rsid w:val="00FA45D0"/>
    <w:rsid w:val="00FA4D79"/>
    <w:rsid w:val="00FA5527"/>
    <w:rsid w:val="00FA5DB3"/>
    <w:rsid w:val="00FA6087"/>
    <w:rsid w:val="00FA60AE"/>
    <w:rsid w:val="00FA63C4"/>
    <w:rsid w:val="00FA69EA"/>
    <w:rsid w:val="00FA6E72"/>
    <w:rsid w:val="00FA7123"/>
    <w:rsid w:val="00FA75B9"/>
    <w:rsid w:val="00FA776B"/>
    <w:rsid w:val="00FB0A50"/>
    <w:rsid w:val="00FB1046"/>
    <w:rsid w:val="00FB11D8"/>
    <w:rsid w:val="00FB13BD"/>
    <w:rsid w:val="00FB1A60"/>
    <w:rsid w:val="00FB1BC9"/>
    <w:rsid w:val="00FB26E2"/>
    <w:rsid w:val="00FB3861"/>
    <w:rsid w:val="00FB38F6"/>
    <w:rsid w:val="00FB3C7B"/>
    <w:rsid w:val="00FB3CFD"/>
    <w:rsid w:val="00FB3F07"/>
    <w:rsid w:val="00FB4F0D"/>
    <w:rsid w:val="00FB5085"/>
    <w:rsid w:val="00FB563E"/>
    <w:rsid w:val="00FB59CD"/>
    <w:rsid w:val="00FB5D89"/>
    <w:rsid w:val="00FB5DE6"/>
    <w:rsid w:val="00FB645D"/>
    <w:rsid w:val="00FB7523"/>
    <w:rsid w:val="00FC0175"/>
    <w:rsid w:val="00FC0711"/>
    <w:rsid w:val="00FC0A2C"/>
    <w:rsid w:val="00FC0FB2"/>
    <w:rsid w:val="00FC1049"/>
    <w:rsid w:val="00FC11C9"/>
    <w:rsid w:val="00FC12F3"/>
    <w:rsid w:val="00FC1921"/>
    <w:rsid w:val="00FC214F"/>
    <w:rsid w:val="00FC23EC"/>
    <w:rsid w:val="00FC2589"/>
    <w:rsid w:val="00FC304F"/>
    <w:rsid w:val="00FC3318"/>
    <w:rsid w:val="00FC3567"/>
    <w:rsid w:val="00FC3588"/>
    <w:rsid w:val="00FC36A0"/>
    <w:rsid w:val="00FC3FA9"/>
    <w:rsid w:val="00FC4968"/>
    <w:rsid w:val="00FC4D16"/>
    <w:rsid w:val="00FC57B6"/>
    <w:rsid w:val="00FC5AC0"/>
    <w:rsid w:val="00FC619D"/>
    <w:rsid w:val="00FC65FC"/>
    <w:rsid w:val="00FC6D9C"/>
    <w:rsid w:val="00FC6E8E"/>
    <w:rsid w:val="00FC6F67"/>
    <w:rsid w:val="00FC701C"/>
    <w:rsid w:val="00FC708B"/>
    <w:rsid w:val="00FC757D"/>
    <w:rsid w:val="00FC7C62"/>
    <w:rsid w:val="00FD025B"/>
    <w:rsid w:val="00FD06F3"/>
    <w:rsid w:val="00FD0778"/>
    <w:rsid w:val="00FD09C3"/>
    <w:rsid w:val="00FD09F7"/>
    <w:rsid w:val="00FD0D2A"/>
    <w:rsid w:val="00FD0D9C"/>
    <w:rsid w:val="00FD0E68"/>
    <w:rsid w:val="00FD1236"/>
    <w:rsid w:val="00FD1356"/>
    <w:rsid w:val="00FD14CA"/>
    <w:rsid w:val="00FD1A55"/>
    <w:rsid w:val="00FD1D72"/>
    <w:rsid w:val="00FD2214"/>
    <w:rsid w:val="00FD2251"/>
    <w:rsid w:val="00FD24FA"/>
    <w:rsid w:val="00FD2585"/>
    <w:rsid w:val="00FD2B99"/>
    <w:rsid w:val="00FD2CAF"/>
    <w:rsid w:val="00FD3409"/>
    <w:rsid w:val="00FD3807"/>
    <w:rsid w:val="00FD3D50"/>
    <w:rsid w:val="00FD436A"/>
    <w:rsid w:val="00FD4478"/>
    <w:rsid w:val="00FD447D"/>
    <w:rsid w:val="00FD458F"/>
    <w:rsid w:val="00FD4DD2"/>
    <w:rsid w:val="00FD500B"/>
    <w:rsid w:val="00FD53F9"/>
    <w:rsid w:val="00FD5572"/>
    <w:rsid w:val="00FD55B3"/>
    <w:rsid w:val="00FD56FA"/>
    <w:rsid w:val="00FD5770"/>
    <w:rsid w:val="00FD5D7D"/>
    <w:rsid w:val="00FD6151"/>
    <w:rsid w:val="00FD6BE5"/>
    <w:rsid w:val="00FD745F"/>
    <w:rsid w:val="00FD77D4"/>
    <w:rsid w:val="00FD7D66"/>
    <w:rsid w:val="00FD7F90"/>
    <w:rsid w:val="00FE0295"/>
    <w:rsid w:val="00FE163F"/>
    <w:rsid w:val="00FE1956"/>
    <w:rsid w:val="00FE1A57"/>
    <w:rsid w:val="00FE1A88"/>
    <w:rsid w:val="00FE208D"/>
    <w:rsid w:val="00FE3377"/>
    <w:rsid w:val="00FE38A7"/>
    <w:rsid w:val="00FE39F6"/>
    <w:rsid w:val="00FE3F9C"/>
    <w:rsid w:val="00FE41F1"/>
    <w:rsid w:val="00FE4309"/>
    <w:rsid w:val="00FE45FC"/>
    <w:rsid w:val="00FE4AA9"/>
    <w:rsid w:val="00FE5767"/>
    <w:rsid w:val="00FE5A01"/>
    <w:rsid w:val="00FE5D51"/>
    <w:rsid w:val="00FE620F"/>
    <w:rsid w:val="00FE6779"/>
    <w:rsid w:val="00FE6B3E"/>
    <w:rsid w:val="00FE76BA"/>
    <w:rsid w:val="00FE78AB"/>
    <w:rsid w:val="00FE7D8B"/>
    <w:rsid w:val="00FE7EA8"/>
    <w:rsid w:val="00FE7F95"/>
    <w:rsid w:val="00FF017F"/>
    <w:rsid w:val="00FF0511"/>
    <w:rsid w:val="00FF07AF"/>
    <w:rsid w:val="00FF099C"/>
    <w:rsid w:val="00FF12E0"/>
    <w:rsid w:val="00FF14FA"/>
    <w:rsid w:val="00FF1523"/>
    <w:rsid w:val="00FF1639"/>
    <w:rsid w:val="00FF1C7B"/>
    <w:rsid w:val="00FF1F67"/>
    <w:rsid w:val="00FF203D"/>
    <w:rsid w:val="00FF29F9"/>
    <w:rsid w:val="00FF31B4"/>
    <w:rsid w:val="00FF31D3"/>
    <w:rsid w:val="00FF322B"/>
    <w:rsid w:val="00FF34FB"/>
    <w:rsid w:val="00FF45D8"/>
    <w:rsid w:val="00FF46ED"/>
    <w:rsid w:val="00FF4D93"/>
    <w:rsid w:val="00FF533E"/>
    <w:rsid w:val="00FF5A85"/>
    <w:rsid w:val="00FF6613"/>
    <w:rsid w:val="00FF6794"/>
    <w:rsid w:val="00FF6E82"/>
    <w:rsid w:val="00FF6F67"/>
    <w:rsid w:val="00FF7288"/>
    <w:rsid w:val="00FF7893"/>
    <w:rsid w:val="00FF7C0E"/>
    <w:rsid w:val="00FF7CE1"/>
    <w:rsid w:val="00FF7E3E"/>
    <w:rsid w:val="08100C6B"/>
    <w:rsid w:val="0DCB01F0"/>
    <w:rsid w:val="1537785C"/>
    <w:rsid w:val="1EA731C1"/>
    <w:rsid w:val="24021B25"/>
    <w:rsid w:val="2FD304D7"/>
    <w:rsid w:val="30E644A6"/>
    <w:rsid w:val="39ED7418"/>
    <w:rsid w:val="48B62BD7"/>
    <w:rsid w:val="60047DA5"/>
    <w:rsid w:val="601C58AC"/>
    <w:rsid w:val="65EA3A95"/>
    <w:rsid w:val="73776DC8"/>
    <w:rsid w:val="78FD2592"/>
    <w:rsid w:val="79D64C71"/>
    <w:rsid w:val="7C4077CC"/>
    <w:rsid w:val="7C5B61D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35" w:semiHidden="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iPriority="0" w:semiHidden="0" w:name="endnote reference"/>
    <w:lsdException w:qFormat="1" w:uiPriority="0" w:semiHidden="0" w:name="endnote text"/>
    <w:lsdException w:qFormat="1" w:unhideWhenUsed="0" w:uiPriority="0" w:semiHidden="0" w:name="table of authorities"/>
    <w:lsdException w:qFormat="1"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99"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11"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99" w:semiHidden="0" w:name="annotation subject"/>
    <w:lsdException w:qFormat="1" w:unhideWhenUsed="0" w:uiPriority="0" w:semiHidden="0" w:name="Table Simple 1"/>
    <w:lsdException w:qFormat="1" w:unhideWhenUsed="0" w:uiPriority="0" w:semiHidden="0" w:name="Table Simple 2"/>
    <w:lsdException w:qFormat="1" w:unhideWhenUsed="0" w:uiPriority="0" w:semiHidden="0" w:name="Table Simple 3"/>
    <w:lsdException w:qFormat="1" w:unhideWhenUsed="0" w:uiPriority="0" w:semiHidden="0" w:name="Table Classic 1"/>
    <w:lsdException w:qFormat="1" w:unhideWhenUsed="0" w:uiPriority="0" w:semiHidden="0" w:name="Table Classic 2"/>
    <w:lsdException w:qFormat="1" w:unhideWhenUsed="0" w:uiPriority="0" w:semiHidden="0" w:name="Table Classic 3"/>
    <w:lsdException w:qFormat="1" w:unhideWhenUsed="0" w:uiPriority="0" w:semiHidden="0" w:name="Table Classic 4"/>
    <w:lsdException w:qFormat="1" w:unhideWhenUsed="0" w:uiPriority="0" w:semiHidden="0" w:name="Table Colorful 1"/>
    <w:lsdException w:qFormat="1" w:unhideWhenUsed="0" w:uiPriority="0" w:semiHidden="0" w:name="Table Colorful 2"/>
    <w:lsdException w:qFormat="1" w:unhideWhenUsed="0" w:uiPriority="0" w:semiHidden="0" w:name="Table Colorful 3"/>
    <w:lsdException w:qFormat="1" w:unhideWhenUsed="0" w:uiPriority="0" w:semiHidden="0" w:name="Table Columns 1"/>
    <w:lsdException w:qFormat="1" w:unhideWhenUsed="0" w:uiPriority="0" w:semiHidden="0" w:name="Table Columns 2"/>
    <w:lsdException w:qFormat="1" w:unhideWhenUsed="0" w:uiPriority="0" w:semiHidden="0" w:name="Table Columns 3"/>
    <w:lsdException w:qFormat="1" w:unhideWhenUsed="0" w:uiPriority="0" w:semiHidden="0" w:name="Table Columns 4"/>
    <w:lsdException w:qFormat="1" w:unhideWhenUsed="0" w:uiPriority="0" w:semiHidden="0" w:name="Table Columns 5"/>
    <w:lsdException w:qFormat="1" w:unhideWhenUsed="0" w:uiPriority="0" w:semiHidden="0" w:name="Table Grid 1"/>
    <w:lsdException w:qFormat="1" w:unhideWhenUsed="0" w:uiPriority="0" w:semiHidden="0" w:name="Table Grid 2"/>
    <w:lsdException w:qFormat="1" w:unhideWhenUsed="0" w:uiPriority="0" w:semiHidden="0" w:name="Table Grid 3"/>
    <w:lsdException w:qFormat="1" w:unhideWhenUsed="0" w:uiPriority="0" w:semiHidden="0" w:name="Table Grid 4"/>
    <w:lsdException w:qFormat="1" w:unhideWhenUsed="0" w:uiPriority="0" w:semiHidden="0" w:name="Table Grid 5"/>
    <w:lsdException w:qFormat="1" w:unhideWhenUsed="0" w:uiPriority="0" w:semiHidden="0" w:name="Table Grid 6"/>
    <w:lsdException w:qFormat="1" w:unhideWhenUsed="0" w:uiPriority="0" w:semiHidden="0" w:name="Table Grid 7"/>
    <w:lsdException w:qFormat="1" w:unhideWhenUsed="0" w:uiPriority="0" w:semiHidden="0" w:name="Table Grid 8"/>
    <w:lsdException w:qFormat="1" w:unhideWhenUsed="0" w:uiPriority="0" w:semiHidden="0" w:name="Table List 1"/>
    <w:lsdException w:qFormat="1" w:unhideWhenUsed="0" w:uiPriority="0" w:semiHidden="0" w:name="Table List 2"/>
    <w:lsdException w:qFormat="1" w:unhideWhenUsed="0" w:uiPriority="0" w:semiHidden="0" w:name="Table List 3"/>
    <w:lsdException w:qFormat="1" w:unhideWhenUsed="0" w:uiPriority="0" w:semiHidden="0" w:name="Table List 4"/>
    <w:lsdException w:qFormat="1" w:unhideWhenUsed="0" w:uiPriority="0" w:semiHidden="0" w:name="Table List 5"/>
    <w:lsdException w:qFormat="1" w:unhideWhenUsed="0" w:uiPriority="0" w:semiHidden="0" w:name="Table List 6"/>
    <w:lsdException w:qFormat="1" w:unhideWhenUsed="0" w:uiPriority="0" w:semiHidden="0" w:name="Table List 7"/>
    <w:lsdException w:qFormat="1" w:unhideWhenUsed="0" w:uiPriority="0" w:semiHidden="0" w:name="Table List 8"/>
    <w:lsdException w:qFormat="1" w:unhideWhenUsed="0" w:uiPriority="0" w:semiHidden="0" w:name="Table 3D effects 1"/>
    <w:lsdException w:qFormat="1" w:unhideWhenUsed="0" w:uiPriority="0" w:semiHidden="0" w:name="Table 3D effects 2"/>
    <w:lsdException w:qFormat="1" w:unhideWhenUsed="0" w:uiPriority="0" w:semiHidden="0" w:name="Table 3D effects 3"/>
    <w:lsdException w:qFormat="1" w:unhideWhenUsed="0" w:uiPriority="0" w:semiHidden="0" w:name="Table Contemporary"/>
    <w:lsdException w:qFormat="1" w:unhideWhenUsed="0" w:uiPriority="0" w:semiHidden="0" w:name="Table Elegant"/>
    <w:lsdException w:qFormat="1" w:unhideWhenUsed="0" w:uiPriority="0" w:semiHidden="0" w:name="Table Professional"/>
    <w:lsdException w:qFormat="1" w:unhideWhenUsed="0" w:uiPriority="0" w:semiHidden="0" w:name="Table Subtle 1"/>
    <w:lsdException w:qFormat="1" w:unhideWhenUsed="0" w:uiPriority="0" w:semiHidden="0" w:name="Table Subtle 2"/>
    <w:lsdException w:qFormat="1" w:unhideWhenUsed="0" w:uiPriority="0" w:semiHidden="0" w:name="Table Web 1"/>
    <w:lsdException w:qFormat="1" w:unhideWhenUsed="0" w:uiPriority="0" w:semiHidden="0" w:name="Table Web 2"/>
    <w:lsdException w:qFormat="1" w:unhideWhenUsed="0" w:uiPriority="0" w:semiHidden="0" w:name="Table Web 3"/>
    <w:lsdException w:qFormat="1" w:unhideWhenUsed="0" w:uiPriority="99" w:semiHidden="0" w:name="Balloon Text"/>
    <w:lsdException w:qFormat="1" w:unhideWhenUsed="0" w:uiPriority="0" w:semiHidden="0" w:name="Table Grid"/>
    <w:lsdException w:qFormat="1" w:unhideWhenUsed="0" w:uiPriority="0" w:semiHidden="0" w:name="Table Theme"/>
    <w:lsdException w:qFormat="1" w:uiPriority="99"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ind w:firstLine="20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152"/>
    <w:qFormat/>
    <w:uiPriority w:val="0"/>
    <w:pPr>
      <w:keepNext/>
      <w:numPr>
        <w:ilvl w:val="0"/>
        <w:numId w:val="1"/>
      </w:numPr>
      <w:tabs>
        <w:tab w:val="left" w:pos="0"/>
      </w:tabs>
      <w:spacing w:line="480" w:lineRule="auto"/>
      <w:ind w:firstLineChars="0"/>
      <w:jc w:val="center"/>
      <w:outlineLvl w:val="0"/>
    </w:pPr>
    <w:rPr>
      <w:rFonts w:eastAsia="黑体"/>
      <w:b/>
      <w:sz w:val="36"/>
      <w:szCs w:val="36"/>
    </w:rPr>
  </w:style>
  <w:style w:type="paragraph" w:styleId="4">
    <w:name w:val="heading 2"/>
    <w:basedOn w:val="1"/>
    <w:next w:val="1"/>
    <w:link w:val="153"/>
    <w:qFormat/>
    <w:uiPriority w:val="0"/>
    <w:pPr>
      <w:keepNext/>
      <w:keepLines/>
      <w:numPr>
        <w:ilvl w:val="1"/>
        <w:numId w:val="1"/>
      </w:numPr>
      <w:spacing w:line="360" w:lineRule="auto"/>
      <w:ind w:firstLineChars="0"/>
      <w:outlineLvl w:val="1"/>
    </w:pPr>
    <w:rPr>
      <w:rFonts w:eastAsia="黑体"/>
      <w:b/>
      <w:bCs/>
      <w:sz w:val="32"/>
      <w:szCs w:val="30"/>
    </w:rPr>
  </w:style>
  <w:style w:type="paragraph" w:styleId="5">
    <w:name w:val="heading 3"/>
    <w:basedOn w:val="1"/>
    <w:next w:val="1"/>
    <w:link w:val="154"/>
    <w:qFormat/>
    <w:uiPriority w:val="0"/>
    <w:pPr>
      <w:keepNext/>
      <w:keepLines/>
      <w:numPr>
        <w:ilvl w:val="2"/>
        <w:numId w:val="1"/>
      </w:numPr>
      <w:ind w:firstLineChars="0"/>
      <w:outlineLvl w:val="2"/>
    </w:pPr>
    <w:rPr>
      <w:rFonts w:eastAsia="黑体"/>
      <w:b/>
      <w:bCs/>
      <w:sz w:val="30"/>
      <w:szCs w:val="28"/>
    </w:rPr>
  </w:style>
  <w:style w:type="paragraph" w:styleId="6">
    <w:name w:val="heading 4"/>
    <w:basedOn w:val="5"/>
    <w:next w:val="1"/>
    <w:link w:val="155"/>
    <w:qFormat/>
    <w:uiPriority w:val="0"/>
    <w:pPr>
      <w:numPr>
        <w:ilvl w:val="3"/>
      </w:numPr>
      <w:outlineLvl w:val="3"/>
    </w:pPr>
    <w:rPr>
      <w:rFonts w:eastAsia="宋体"/>
      <w:sz w:val="28"/>
    </w:rPr>
  </w:style>
  <w:style w:type="paragraph" w:styleId="7">
    <w:name w:val="heading 5"/>
    <w:basedOn w:val="1"/>
    <w:next w:val="1"/>
    <w:link w:val="156"/>
    <w:qFormat/>
    <w:uiPriority w:val="0"/>
    <w:pPr>
      <w:keepNext/>
      <w:keepLines/>
      <w:numPr>
        <w:ilvl w:val="4"/>
        <w:numId w:val="1"/>
      </w:numPr>
      <w:tabs>
        <w:tab w:val="left" w:pos="360"/>
      </w:tabs>
      <w:snapToGrid w:val="0"/>
      <w:spacing w:line="360" w:lineRule="auto"/>
      <w:ind w:firstLineChars="0"/>
      <w:jc w:val="center"/>
      <w:outlineLvl w:val="4"/>
    </w:pPr>
    <w:rPr>
      <w:b/>
      <w:lang w:bidi="zh-CN"/>
    </w:rPr>
  </w:style>
  <w:style w:type="paragraph" w:styleId="8">
    <w:name w:val="heading 6"/>
    <w:basedOn w:val="1"/>
    <w:next w:val="1"/>
    <w:link w:val="157"/>
    <w:qFormat/>
    <w:uiPriority w:val="0"/>
    <w:pPr>
      <w:numPr>
        <w:ilvl w:val="5"/>
        <w:numId w:val="1"/>
      </w:numPr>
      <w:tabs>
        <w:tab w:val="left" w:pos="360"/>
      </w:tabs>
      <w:snapToGrid w:val="0"/>
      <w:spacing w:line="360" w:lineRule="auto"/>
      <w:ind w:firstLineChars="0"/>
      <w:jc w:val="center"/>
      <w:outlineLvl w:val="5"/>
    </w:pPr>
    <w:rPr>
      <w:b/>
    </w:rPr>
  </w:style>
  <w:style w:type="paragraph" w:styleId="9">
    <w:name w:val="heading 7"/>
    <w:basedOn w:val="1"/>
    <w:next w:val="1"/>
    <w:link w:val="160"/>
    <w:qFormat/>
    <w:uiPriority w:val="0"/>
    <w:pPr>
      <w:keepNext/>
      <w:keepLines/>
      <w:tabs>
        <w:tab w:val="left" w:pos="360"/>
      </w:tabs>
      <w:snapToGrid w:val="0"/>
      <w:spacing w:before="240" w:after="64" w:line="320" w:lineRule="auto"/>
      <w:outlineLvl w:val="6"/>
    </w:pPr>
    <w:rPr>
      <w:b/>
    </w:rPr>
  </w:style>
  <w:style w:type="paragraph" w:styleId="10">
    <w:name w:val="heading 8"/>
    <w:basedOn w:val="1"/>
    <w:next w:val="1"/>
    <w:link w:val="159"/>
    <w:qFormat/>
    <w:uiPriority w:val="0"/>
    <w:pPr>
      <w:keepNext/>
      <w:keepLines/>
      <w:tabs>
        <w:tab w:val="left" w:pos="360"/>
      </w:tabs>
      <w:snapToGrid w:val="0"/>
      <w:spacing w:before="240" w:after="64" w:line="320" w:lineRule="auto"/>
      <w:outlineLvl w:val="7"/>
    </w:pPr>
    <w:rPr>
      <w:rFonts w:ascii="Arial" w:hAnsi="Arial" w:eastAsia="黑体"/>
    </w:rPr>
  </w:style>
  <w:style w:type="paragraph" w:styleId="11">
    <w:name w:val="heading 9"/>
    <w:basedOn w:val="1"/>
    <w:next w:val="1"/>
    <w:link w:val="158"/>
    <w:qFormat/>
    <w:uiPriority w:val="0"/>
    <w:pPr>
      <w:keepNext/>
      <w:keepLines/>
      <w:tabs>
        <w:tab w:val="left" w:pos="360"/>
      </w:tabs>
      <w:snapToGrid w:val="0"/>
      <w:spacing w:before="240" w:after="64" w:line="320" w:lineRule="auto"/>
      <w:outlineLvl w:val="8"/>
    </w:pPr>
    <w:rPr>
      <w:rFonts w:ascii="Arial" w:hAnsi="Arial" w:eastAsia="黑体"/>
    </w:rPr>
  </w:style>
  <w:style w:type="character" w:default="1" w:styleId="133">
    <w:name w:val="Default Paragraph Font"/>
    <w:semiHidden/>
    <w:unhideWhenUsed/>
    <w:qFormat/>
    <w:uiPriority w:val="1"/>
  </w:style>
  <w:style w:type="table" w:default="1" w:styleId="88">
    <w:name w:val="Normal Table"/>
    <w:semiHidden/>
    <w:unhideWhenUsed/>
    <w:qFormat/>
    <w:uiPriority w:val="99"/>
    <w:tblPr>
      <w:tblCellMar>
        <w:top w:w="0" w:type="dxa"/>
        <w:left w:w="108" w:type="dxa"/>
        <w:bottom w:w="0" w:type="dxa"/>
        <w:right w:w="108" w:type="dxa"/>
      </w:tblCellMar>
    </w:tblPr>
  </w:style>
  <w:style w:type="paragraph" w:styleId="2">
    <w:name w:val="macro"/>
    <w:link w:val="1134"/>
    <w:autoRedefine/>
    <w:unhideWhenUsed/>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Times New Roman"/>
      <w:kern w:val="2"/>
      <w:sz w:val="24"/>
      <w:szCs w:val="24"/>
      <w:lang w:val="en-US" w:eastAsia="zh-CN" w:bidi="ar-SA"/>
    </w:rPr>
  </w:style>
  <w:style w:type="paragraph" w:styleId="12">
    <w:name w:val="List 3"/>
    <w:basedOn w:val="1"/>
    <w:autoRedefine/>
    <w:qFormat/>
    <w:uiPriority w:val="0"/>
    <w:pPr>
      <w:ind w:left="1260" w:hanging="420" w:firstLineChars="0"/>
    </w:pPr>
    <w:rPr>
      <w:sz w:val="21"/>
      <w:szCs w:val="20"/>
    </w:rPr>
  </w:style>
  <w:style w:type="paragraph" w:styleId="13">
    <w:name w:val="toc 7"/>
    <w:basedOn w:val="1"/>
    <w:next w:val="1"/>
    <w:autoRedefine/>
    <w:qFormat/>
    <w:uiPriority w:val="39"/>
    <w:pPr>
      <w:ind w:left="1440" w:firstLine="0" w:firstLineChars="0"/>
      <w:jc w:val="left"/>
    </w:pPr>
    <w:rPr>
      <w:rFonts w:ascii="Calibri" w:hAnsi="Calibri"/>
      <w:sz w:val="18"/>
      <w:szCs w:val="18"/>
    </w:rPr>
  </w:style>
  <w:style w:type="paragraph" w:styleId="14">
    <w:name w:val="List Number 2"/>
    <w:basedOn w:val="1"/>
    <w:autoRedefine/>
    <w:qFormat/>
    <w:uiPriority w:val="0"/>
    <w:pPr>
      <w:numPr>
        <w:ilvl w:val="0"/>
        <w:numId w:val="2"/>
      </w:numPr>
      <w:tabs>
        <w:tab w:val="left" w:pos="812"/>
        <w:tab w:val="clear" w:pos="780"/>
      </w:tabs>
      <w:ind w:left="0" w:leftChars="0" w:firstLine="0" w:firstLineChars="0"/>
    </w:pPr>
  </w:style>
  <w:style w:type="paragraph" w:styleId="15">
    <w:name w:val="table of authorities"/>
    <w:basedOn w:val="1"/>
    <w:next w:val="1"/>
    <w:autoRedefine/>
    <w:qFormat/>
    <w:uiPriority w:val="0"/>
    <w:pPr>
      <w:widowControl/>
      <w:spacing w:line="360" w:lineRule="auto"/>
      <w:ind w:left="420" w:leftChars="200"/>
      <w:jc w:val="left"/>
    </w:pPr>
    <w:rPr>
      <w:rFonts w:cstheme="majorBidi"/>
      <w:kern w:val="0"/>
    </w:rPr>
  </w:style>
  <w:style w:type="paragraph" w:styleId="16">
    <w:name w:val="Note Heading"/>
    <w:basedOn w:val="1"/>
    <w:next w:val="1"/>
    <w:link w:val="746"/>
    <w:autoRedefine/>
    <w:qFormat/>
    <w:uiPriority w:val="0"/>
    <w:pPr>
      <w:ind w:firstLine="0" w:firstLineChars="0"/>
      <w:jc w:val="center"/>
    </w:pPr>
    <w:rPr>
      <w:rFonts w:ascii="宋体"/>
      <w:sz w:val="28"/>
    </w:rPr>
  </w:style>
  <w:style w:type="paragraph" w:styleId="17">
    <w:name w:val="List Bullet 4"/>
    <w:basedOn w:val="1"/>
    <w:autoRedefine/>
    <w:qFormat/>
    <w:uiPriority w:val="0"/>
    <w:pPr>
      <w:numPr>
        <w:ilvl w:val="0"/>
        <w:numId w:val="3"/>
      </w:numPr>
      <w:tabs>
        <w:tab w:val="left" w:pos="360"/>
        <w:tab w:val="clear" w:pos="1620"/>
      </w:tabs>
      <w:ind w:left="0" w:leftChars="0" w:firstLine="0" w:firstLineChars="0"/>
    </w:pPr>
  </w:style>
  <w:style w:type="paragraph" w:styleId="18">
    <w:name w:val="index 8"/>
    <w:basedOn w:val="1"/>
    <w:next w:val="1"/>
    <w:autoRedefine/>
    <w:qFormat/>
    <w:uiPriority w:val="0"/>
    <w:pPr>
      <w:ind w:left="1920" w:hanging="240" w:firstLineChars="0"/>
      <w:jc w:val="left"/>
    </w:pPr>
    <w:rPr>
      <w:sz w:val="20"/>
      <w:szCs w:val="20"/>
    </w:rPr>
  </w:style>
  <w:style w:type="paragraph" w:styleId="19">
    <w:name w:val="E-mail Signature"/>
    <w:basedOn w:val="1"/>
    <w:link w:val="218"/>
    <w:autoRedefine/>
    <w:qFormat/>
    <w:uiPriority w:val="0"/>
    <w:pPr>
      <w:ind w:firstLine="0" w:firstLineChars="0"/>
    </w:pPr>
  </w:style>
  <w:style w:type="paragraph" w:styleId="20">
    <w:name w:val="List Number"/>
    <w:basedOn w:val="1"/>
    <w:autoRedefine/>
    <w:qFormat/>
    <w:uiPriority w:val="0"/>
    <w:pPr>
      <w:numPr>
        <w:ilvl w:val="0"/>
        <w:numId w:val="4"/>
      </w:numPr>
      <w:tabs>
        <w:tab w:val="clear" w:pos="360"/>
      </w:tabs>
      <w:ind w:left="0" w:firstLine="0" w:firstLineChars="0"/>
    </w:pPr>
  </w:style>
  <w:style w:type="paragraph" w:styleId="21">
    <w:name w:val="Normal Indent"/>
    <w:basedOn w:val="1"/>
    <w:link w:val="244"/>
    <w:autoRedefine/>
    <w:qFormat/>
    <w:uiPriority w:val="0"/>
    <w:pPr>
      <w:ind w:firstLine="0" w:firstLineChars="0"/>
      <w:jc w:val="left"/>
    </w:pPr>
    <w:rPr>
      <w:b/>
      <w:color w:val="000000" w:themeColor="text1"/>
      <w14:textFill>
        <w14:solidFill>
          <w14:schemeClr w14:val="tx1"/>
        </w14:solidFill>
      </w14:textFill>
    </w:rPr>
  </w:style>
  <w:style w:type="paragraph" w:styleId="22">
    <w:name w:val="caption"/>
    <w:basedOn w:val="1"/>
    <w:next w:val="1"/>
    <w:link w:val="1132"/>
    <w:qFormat/>
    <w:uiPriority w:val="35"/>
    <w:pPr>
      <w:spacing w:after="160" w:line="278" w:lineRule="auto"/>
      <w:jc w:val="center"/>
    </w:pPr>
    <w:rPr>
      <w:rFonts w:eastAsia="楷体_GB2312"/>
      <w:sz w:val="28"/>
      <w:szCs w:val="28"/>
      <w14:ligatures w14:val="standardContextual"/>
    </w:rPr>
  </w:style>
  <w:style w:type="paragraph" w:styleId="23">
    <w:name w:val="index 5"/>
    <w:basedOn w:val="1"/>
    <w:next w:val="1"/>
    <w:autoRedefine/>
    <w:qFormat/>
    <w:uiPriority w:val="0"/>
    <w:pPr>
      <w:ind w:left="1200" w:hanging="240" w:firstLineChars="0"/>
      <w:jc w:val="left"/>
    </w:pPr>
    <w:rPr>
      <w:sz w:val="20"/>
      <w:szCs w:val="20"/>
    </w:rPr>
  </w:style>
  <w:style w:type="paragraph" w:styleId="24">
    <w:name w:val="List Bullet"/>
    <w:basedOn w:val="1"/>
    <w:link w:val="3427"/>
    <w:autoRedefine/>
    <w:qFormat/>
    <w:uiPriority w:val="0"/>
    <w:pPr>
      <w:tabs>
        <w:tab w:val="left" w:pos="360"/>
      </w:tabs>
      <w:ind w:left="360" w:hanging="360" w:hangingChars="200"/>
    </w:pPr>
    <w:rPr>
      <w:rFonts w:ascii="宋体"/>
    </w:rPr>
  </w:style>
  <w:style w:type="paragraph" w:styleId="25">
    <w:name w:val="envelope address"/>
    <w:basedOn w:val="1"/>
    <w:autoRedefine/>
    <w:qFormat/>
    <w:uiPriority w:val="0"/>
    <w:pPr>
      <w:framePr w:w="7920" w:h="1980" w:hRule="exact" w:hSpace="180" w:wrap="auto" w:vAnchor="margin" w:hAnchor="page" w:xAlign="center" w:yAlign="bottom"/>
      <w:snapToGrid w:val="0"/>
      <w:ind w:left="100" w:leftChars="1400" w:firstLine="0" w:firstLineChars="0"/>
    </w:pPr>
    <w:rPr>
      <w:rFonts w:ascii="Arial" w:hAnsi="Arial" w:cs="Arial"/>
    </w:rPr>
  </w:style>
  <w:style w:type="paragraph" w:styleId="26">
    <w:name w:val="Document Map"/>
    <w:basedOn w:val="1"/>
    <w:link w:val="764"/>
    <w:autoRedefine/>
    <w:qFormat/>
    <w:uiPriority w:val="0"/>
    <w:pPr>
      <w:shd w:val="clear" w:color="auto" w:fill="000080"/>
      <w:ind w:firstLine="0" w:firstLineChars="0"/>
    </w:pPr>
  </w:style>
  <w:style w:type="paragraph" w:styleId="27">
    <w:name w:val="toa heading"/>
    <w:basedOn w:val="1"/>
    <w:next w:val="1"/>
    <w:autoRedefine/>
    <w:qFormat/>
    <w:uiPriority w:val="0"/>
    <w:pPr>
      <w:spacing w:before="120"/>
      <w:ind w:firstLine="0" w:firstLineChars="0"/>
    </w:pPr>
    <w:rPr>
      <w:rFonts w:ascii="Arial" w:hAnsi="Arial" w:cs="Arial"/>
    </w:rPr>
  </w:style>
  <w:style w:type="paragraph" w:styleId="28">
    <w:name w:val="annotation text"/>
    <w:basedOn w:val="1"/>
    <w:link w:val="168"/>
    <w:qFormat/>
    <w:uiPriority w:val="99"/>
    <w:pPr>
      <w:jc w:val="left"/>
    </w:pPr>
  </w:style>
  <w:style w:type="paragraph" w:styleId="29">
    <w:name w:val="index 6"/>
    <w:basedOn w:val="1"/>
    <w:next w:val="1"/>
    <w:qFormat/>
    <w:uiPriority w:val="0"/>
    <w:pPr>
      <w:spacing w:after="160" w:line="278" w:lineRule="auto"/>
      <w:ind w:left="2100" w:firstLine="0" w:firstLineChars="0"/>
    </w:pPr>
    <w:rPr>
      <w:rFonts w:eastAsiaTheme="minorEastAsia" w:cstheme="minorBidi"/>
      <w:sz w:val="21"/>
      <w14:ligatures w14:val="standardContextual"/>
    </w:rPr>
  </w:style>
  <w:style w:type="paragraph" w:styleId="30">
    <w:name w:val="Salutation"/>
    <w:basedOn w:val="1"/>
    <w:next w:val="1"/>
    <w:link w:val="790"/>
    <w:autoRedefine/>
    <w:qFormat/>
    <w:uiPriority w:val="0"/>
    <w:pPr>
      <w:ind w:firstLine="0" w:firstLineChars="0"/>
    </w:pPr>
  </w:style>
  <w:style w:type="paragraph" w:styleId="31">
    <w:name w:val="Body Text 3"/>
    <w:basedOn w:val="1"/>
    <w:link w:val="1137"/>
    <w:autoRedefine/>
    <w:qFormat/>
    <w:uiPriority w:val="0"/>
    <w:pPr>
      <w:ind w:right="-105" w:rightChars="-50" w:firstLine="0" w:firstLineChars="0"/>
    </w:pPr>
  </w:style>
  <w:style w:type="paragraph" w:styleId="32">
    <w:name w:val="Closing"/>
    <w:basedOn w:val="1"/>
    <w:link w:val="222"/>
    <w:autoRedefine/>
    <w:qFormat/>
    <w:uiPriority w:val="0"/>
    <w:pPr>
      <w:ind w:left="100" w:leftChars="2100" w:firstLine="0" w:firstLineChars="0"/>
    </w:pPr>
  </w:style>
  <w:style w:type="paragraph" w:styleId="33">
    <w:name w:val="List Bullet 3"/>
    <w:basedOn w:val="1"/>
    <w:autoRedefine/>
    <w:qFormat/>
    <w:uiPriority w:val="0"/>
    <w:pPr>
      <w:tabs>
        <w:tab w:val="left" w:pos="1202"/>
      </w:tabs>
      <w:ind w:left="1202" w:hanging="720" w:firstLineChars="0"/>
    </w:pPr>
  </w:style>
  <w:style w:type="paragraph" w:styleId="34">
    <w:name w:val="Body Text"/>
    <w:basedOn w:val="1"/>
    <w:link w:val="164"/>
    <w:qFormat/>
    <w:uiPriority w:val="99"/>
    <w:pPr>
      <w:spacing w:line="280" w:lineRule="exact"/>
      <w:ind w:firstLine="0" w:firstLineChars="0"/>
      <w:jc w:val="center"/>
    </w:pPr>
    <w:rPr>
      <w:sz w:val="21"/>
    </w:rPr>
  </w:style>
  <w:style w:type="paragraph" w:styleId="35">
    <w:name w:val="Body Text Indent"/>
    <w:basedOn w:val="1"/>
    <w:link w:val="249"/>
    <w:autoRedefine/>
    <w:qFormat/>
    <w:uiPriority w:val="0"/>
    <w:pPr>
      <w:spacing w:line="360" w:lineRule="auto"/>
      <w:ind w:firstLine="482" w:firstLineChars="0"/>
    </w:pPr>
    <w:rPr>
      <w:rFonts w:ascii="宋体" w:hAnsi="宋体"/>
    </w:rPr>
  </w:style>
  <w:style w:type="paragraph" w:styleId="36">
    <w:name w:val="List Number 3"/>
    <w:basedOn w:val="1"/>
    <w:autoRedefine/>
    <w:qFormat/>
    <w:uiPriority w:val="0"/>
    <w:pPr>
      <w:tabs>
        <w:tab w:val="left" w:pos="454"/>
      </w:tabs>
      <w:ind w:firstLine="454" w:firstLineChars="0"/>
    </w:pPr>
  </w:style>
  <w:style w:type="paragraph" w:styleId="37">
    <w:name w:val="List 2"/>
    <w:basedOn w:val="1"/>
    <w:autoRedefine/>
    <w:qFormat/>
    <w:uiPriority w:val="0"/>
    <w:pPr>
      <w:ind w:left="100" w:leftChars="200" w:hanging="200" w:hangingChars="200"/>
    </w:pPr>
  </w:style>
  <w:style w:type="paragraph" w:styleId="38">
    <w:name w:val="List Continue"/>
    <w:basedOn w:val="1"/>
    <w:autoRedefine/>
    <w:qFormat/>
    <w:uiPriority w:val="0"/>
    <w:pPr>
      <w:adjustRightInd w:val="0"/>
      <w:spacing w:after="120" w:line="360" w:lineRule="auto"/>
      <w:ind w:left="420" w:leftChars="200"/>
    </w:pPr>
  </w:style>
  <w:style w:type="paragraph" w:styleId="39">
    <w:name w:val="Block Text"/>
    <w:basedOn w:val="1"/>
    <w:autoRedefine/>
    <w:qFormat/>
    <w:uiPriority w:val="0"/>
    <w:pPr>
      <w:spacing w:after="120"/>
      <w:ind w:left="1440" w:leftChars="700" w:right="1440" w:rightChars="700" w:firstLine="0" w:firstLineChars="0"/>
    </w:pPr>
  </w:style>
  <w:style w:type="paragraph" w:styleId="40">
    <w:name w:val="List Bullet 2"/>
    <w:basedOn w:val="1"/>
    <w:autoRedefine/>
    <w:qFormat/>
    <w:uiPriority w:val="0"/>
    <w:pPr>
      <w:numPr>
        <w:ilvl w:val="0"/>
        <w:numId w:val="5"/>
      </w:numPr>
      <w:tabs>
        <w:tab w:val="left" w:pos="360"/>
        <w:tab w:val="clear" w:pos="780"/>
      </w:tabs>
      <w:ind w:left="0" w:leftChars="0" w:firstLine="0" w:firstLineChars="0"/>
    </w:pPr>
  </w:style>
  <w:style w:type="paragraph" w:styleId="41">
    <w:name w:val="HTML Address"/>
    <w:basedOn w:val="1"/>
    <w:link w:val="224"/>
    <w:autoRedefine/>
    <w:qFormat/>
    <w:uiPriority w:val="0"/>
    <w:pPr>
      <w:ind w:firstLine="0" w:firstLineChars="0"/>
    </w:pPr>
    <w:rPr>
      <w:i/>
      <w:iCs/>
    </w:rPr>
  </w:style>
  <w:style w:type="paragraph" w:styleId="42">
    <w:name w:val="index 4"/>
    <w:basedOn w:val="1"/>
    <w:next w:val="1"/>
    <w:autoRedefine/>
    <w:qFormat/>
    <w:uiPriority w:val="0"/>
    <w:pPr>
      <w:ind w:left="960" w:hanging="240" w:firstLineChars="0"/>
      <w:jc w:val="left"/>
    </w:pPr>
    <w:rPr>
      <w:sz w:val="20"/>
      <w:szCs w:val="20"/>
    </w:rPr>
  </w:style>
  <w:style w:type="paragraph" w:styleId="43">
    <w:name w:val="toc 5"/>
    <w:basedOn w:val="1"/>
    <w:next w:val="1"/>
    <w:autoRedefine/>
    <w:qFormat/>
    <w:uiPriority w:val="39"/>
    <w:pPr>
      <w:ind w:left="960" w:firstLine="0" w:firstLineChars="0"/>
      <w:jc w:val="left"/>
    </w:pPr>
    <w:rPr>
      <w:rFonts w:ascii="Calibri" w:hAnsi="Calibri"/>
      <w:sz w:val="18"/>
      <w:szCs w:val="18"/>
    </w:rPr>
  </w:style>
  <w:style w:type="paragraph" w:styleId="44">
    <w:name w:val="toc 3"/>
    <w:basedOn w:val="1"/>
    <w:next w:val="1"/>
    <w:autoRedefine/>
    <w:qFormat/>
    <w:uiPriority w:val="39"/>
    <w:pPr>
      <w:ind w:left="480" w:firstLine="0" w:firstLineChars="0"/>
      <w:jc w:val="left"/>
    </w:pPr>
    <w:rPr>
      <w:rFonts w:ascii="Calibri" w:hAnsi="Calibri"/>
      <w:i/>
      <w:iCs/>
      <w:sz w:val="20"/>
      <w:szCs w:val="20"/>
    </w:rPr>
  </w:style>
  <w:style w:type="paragraph" w:styleId="45">
    <w:name w:val="Plain Text"/>
    <w:basedOn w:val="1"/>
    <w:link w:val="258"/>
    <w:autoRedefine/>
    <w:qFormat/>
    <w:uiPriority w:val="0"/>
    <w:pPr>
      <w:adjustRightInd w:val="0"/>
      <w:spacing w:line="312" w:lineRule="atLeast"/>
      <w:ind w:firstLine="0" w:firstLineChars="0"/>
      <w:textAlignment w:val="baseline"/>
    </w:pPr>
    <w:rPr>
      <w:rFonts w:ascii="宋体" w:hAnsi="Courier New"/>
      <w:kern w:val="0"/>
      <w:sz w:val="21"/>
    </w:rPr>
  </w:style>
  <w:style w:type="paragraph" w:styleId="46">
    <w:name w:val="List Bullet 5"/>
    <w:basedOn w:val="1"/>
    <w:autoRedefine/>
    <w:qFormat/>
    <w:uiPriority w:val="0"/>
    <w:pPr>
      <w:numPr>
        <w:ilvl w:val="0"/>
        <w:numId w:val="6"/>
      </w:numPr>
      <w:tabs>
        <w:tab w:val="left" w:pos="360"/>
        <w:tab w:val="clear" w:pos="2040"/>
      </w:tabs>
      <w:ind w:left="0" w:leftChars="0" w:firstLine="0" w:firstLineChars="0"/>
    </w:pPr>
  </w:style>
  <w:style w:type="paragraph" w:styleId="47">
    <w:name w:val="List Number 4"/>
    <w:basedOn w:val="1"/>
    <w:autoRedefine/>
    <w:qFormat/>
    <w:uiPriority w:val="0"/>
    <w:pPr>
      <w:numPr>
        <w:ilvl w:val="0"/>
        <w:numId w:val="7"/>
      </w:numPr>
      <w:tabs>
        <w:tab w:val="left" w:pos="360"/>
        <w:tab w:val="clear" w:pos="1620"/>
      </w:tabs>
      <w:ind w:left="0" w:leftChars="0" w:firstLine="0" w:firstLineChars="0"/>
    </w:pPr>
  </w:style>
  <w:style w:type="paragraph" w:styleId="48">
    <w:name w:val="toc 8"/>
    <w:basedOn w:val="1"/>
    <w:next w:val="1"/>
    <w:autoRedefine/>
    <w:qFormat/>
    <w:uiPriority w:val="39"/>
    <w:pPr>
      <w:ind w:left="1680" w:firstLine="0" w:firstLineChars="0"/>
      <w:jc w:val="left"/>
    </w:pPr>
    <w:rPr>
      <w:rFonts w:ascii="Calibri" w:hAnsi="Calibri"/>
      <w:sz w:val="18"/>
      <w:szCs w:val="18"/>
    </w:rPr>
  </w:style>
  <w:style w:type="paragraph" w:styleId="49">
    <w:name w:val="index 3"/>
    <w:basedOn w:val="1"/>
    <w:next w:val="1"/>
    <w:autoRedefine/>
    <w:qFormat/>
    <w:uiPriority w:val="0"/>
    <w:pPr>
      <w:ind w:left="720" w:hanging="240" w:firstLineChars="0"/>
      <w:jc w:val="left"/>
    </w:pPr>
    <w:rPr>
      <w:sz w:val="20"/>
      <w:szCs w:val="20"/>
    </w:rPr>
  </w:style>
  <w:style w:type="paragraph" w:styleId="50">
    <w:name w:val="Date"/>
    <w:basedOn w:val="1"/>
    <w:next w:val="1"/>
    <w:link w:val="260"/>
    <w:autoRedefine/>
    <w:qFormat/>
    <w:uiPriority w:val="0"/>
    <w:pPr>
      <w:ind w:left="100" w:leftChars="2500" w:firstLine="0" w:firstLineChars="0"/>
    </w:pPr>
    <w:rPr>
      <w:sz w:val="21"/>
    </w:rPr>
  </w:style>
  <w:style w:type="paragraph" w:styleId="51">
    <w:name w:val="Body Text Indent 2"/>
    <w:basedOn w:val="1"/>
    <w:link w:val="250"/>
    <w:autoRedefine/>
    <w:qFormat/>
    <w:uiPriority w:val="0"/>
    <w:pPr>
      <w:spacing w:line="360" w:lineRule="auto"/>
      <w:ind w:firstLine="480" w:firstLineChars="0"/>
    </w:pPr>
    <w:rPr>
      <w:rFonts w:ascii="宋体" w:hAnsi="宋体"/>
    </w:rPr>
  </w:style>
  <w:style w:type="paragraph" w:styleId="52">
    <w:name w:val="endnote text"/>
    <w:basedOn w:val="1"/>
    <w:link w:val="1133"/>
    <w:autoRedefine/>
    <w:unhideWhenUsed/>
    <w:qFormat/>
    <w:uiPriority w:val="0"/>
    <w:pPr>
      <w:snapToGrid w:val="0"/>
      <w:jc w:val="left"/>
    </w:pPr>
    <w:rPr>
      <w:sz w:val="21"/>
      <w:lang w:val="zh-CN"/>
    </w:rPr>
  </w:style>
  <w:style w:type="paragraph" w:styleId="53">
    <w:name w:val="List Continue 5"/>
    <w:basedOn w:val="1"/>
    <w:autoRedefine/>
    <w:qFormat/>
    <w:uiPriority w:val="0"/>
    <w:pPr>
      <w:spacing w:after="120"/>
      <w:ind w:left="2100" w:leftChars="1000" w:firstLine="0" w:firstLineChars="0"/>
    </w:pPr>
  </w:style>
  <w:style w:type="paragraph" w:styleId="54">
    <w:name w:val="Balloon Text"/>
    <w:basedOn w:val="1"/>
    <w:link w:val="480"/>
    <w:qFormat/>
    <w:uiPriority w:val="99"/>
    <w:pPr>
      <w:ind w:firstLine="0" w:firstLineChars="0"/>
    </w:pPr>
    <w:rPr>
      <w:sz w:val="18"/>
      <w:szCs w:val="18"/>
    </w:rPr>
  </w:style>
  <w:style w:type="paragraph" w:styleId="55">
    <w:name w:val="footer"/>
    <w:basedOn w:val="1"/>
    <w:link w:val="252"/>
    <w:autoRedefine/>
    <w:qFormat/>
    <w:uiPriority w:val="99"/>
    <w:pPr>
      <w:tabs>
        <w:tab w:val="center" w:pos="4153"/>
        <w:tab w:val="right" w:pos="8306"/>
      </w:tabs>
      <w:snapToGrid w:val="0"/>
      <w:ind w:firstLine="0" w:firstLineChars="0"/>
      <w:jc w:val="left"/>
    </w:pPr>
    <w:rPr>
      <w:sz w:val="18"/>
      <w:szCs w:val="18"/>
    </w:rPr>
  </w:style>
  <w:style w:type="paragraph" w:styleId="56">
    <w:name w:val="envelope return"/>
    <w:basedOn w:val="1"/>
    <w:autoRedefine/>
    <w:qFormat/>
    <w:uiPriority w:val="0"/>
    <w:pPr>
      <w:snapToGrid w:val="0"/>
      <w:ind w:firstLine="0" w:firstLineChars="0"/>
    </w:pPr>
    <w:rPr>
      <w:rFonts w:ascii="Arial" w:hAnsi="Arial" w:cs="Arial"/>
    </w:rPr>
  </w:style>
  <w:style w:type="paragraph" w:styleId="57">
    <w:name w:val="header"/>
    <w:basedOn w:val="1"/>
    <w:link w:val="151"/>
    <w:qFormat/>
    <w:uiPriority w:val="99"/>
    <w:pPr>
      <w:tabs>
        <w:tab w:val="center" w:pos="4153"/>
        <w:tab w:val="right" w:pos="8306"/>
      </w:tabs>
      <w:snapToGrid w:val="0"/>
      <w:jc w:val="center"/>
    </w:pPr>
    <w:rPr>
      <w:sz w:val="18"/>
      <w:szCs w:val="18"/>
    </w:rPr>
  </w:style>
  <w:style w:type="paragraph" w:styleId="58">
    <w:name w:val="Signature"/>
    <w:basedOn w:val="1"/>
    <w:link w:val="232"/>
    <w:autoRedefine/>
    <w:qFormat/>
    <w:uiPriority w:val="0"/>
    <w:pPr>
      <w:ind w:left="100" w:leftChars="2100" w:firstLine="0" w:firstLineChars="0"/>
    </w:pPr>
  </w:style>
  <w:style w:type="paragraph" w:styleId="59">
    <w:name w:val="toc 1"/>
    <w:basedOn w:val="1"/>
    <w:next w:val="1"/>
    <w:autoRedefine/>
    <w:qFormat/>
    <w:uiPriority w:val="39"/>
  </w:style>
  <w:style w:type="paragraph" w:styleId="60">
    <w:name w:val="List Continue 4"/>
    <w:basedOn w:val="1"/>
    <w:autoRedefine/>
    <w:qFormat/>
    <w:uiPriority w:val="0"/>
    <w:pPr>
      <w:spacing w:after="120"/>
      <w:ind w:left="1680" w:leftChars="800" w:firstLine="0" w:firstLineChars="0"/>
    </w:pPr>
  </w:style>
  <w:style w:type="paragraph" w:styleId="61">
    <w:name w:val="toc 4"/>
    <w:basedOn w:val="1"/>
    <w:next w:val="1"/>
    <w:autoRedefine/>
    <w:qFormat/>
    <w:uiPriority w:val="39"/>
    <w:pPr>
      <w:ind w:left="720" w:firstLine="0" w:firstLineChars="0"/>
      <w:jc w:val="left"/>
    </w:pPr>
    <w:rPr>
      <w:rFonts w:ascii="Calibri" w:hAnsi="Calibri"/>
      <w:sz w:val="18"/>
      <w:szCs w:val="18"/>
    </w:rPr>
  </w:style>
  <w:style w:type="paragraph" w:styleId="62">
    <w:name w:val="index heading"/>
    <w:basedOn w:val="1"/>
    <w:next w:val="63"/>
    <w:autoRedefine/>
    <w:qFormat/>
    <w:uiPriority w:val="0"/>
    <w:pPr>
      <w:spacing w:before="120" w:after="120"/>
      <w:ind w:firstLine="0" w:firstLineChars="0"/>
      <w:jc w:val="left"/>
    </w:pPr>
    <w:rPr>
      <w:b/>
      <w:bCs/>
      <w:i/>
      <w:iCs/>
      <w:sz w:val="20"/>
      <w:szCs w:val="20"/>
    </w:rPr>
  </w:style>
  <w:style w:type="paragraph" w:styleId="63">
    <w:name w:val="index 1"/>
    <w:basedOn w:val="1"/>
    <w:next w:val="1"/>
    <w:autoRedefine/>
    <w:qFormat/>
    <w:uiPriority w:val="0"/>
    <w:pPr>
      <w:ind w:firstLine="0"/>
    </w:pPr>
  </w:style>
  <w:style w:type="paragraph" w:styleId="64">
    <w:name w:val="Subtitle"/>
    <w:basedOn w:val="1"/>
    <w:link w:val="233"/>
    <w:autoRedefine/>
    <w:qFormat/>
    <w:uiPriority w:val="11"/>
    <w:pPr>
      <w:spacing w:before="240" w:after="60" w:line="312" w:lineRule="auto"/>
      <w:ind w:firstLine="0" w:firstLineChars="0"/>
      <w:jc w:val="center"/>
      <w:outlineLvl w:val="1"/>
    </w:pPr>
    <w:rPr>
      <w:rFonts w:ascii="Arial" w:hAnsi="Arial" w:cs="Arial"/>
      <w:b/>
      <w:bCs/>
      <w:kern w:val="28"/>
      <w:sz w:val="32"/>
      <w:szCs w:val="32"/>
    </w:rPr>
  </w:style>
  <w:style w:type="paragraph" w:styleId="65">
    <w:name w:val="List Number 5"/>
    <w:basedOn w:val="1"/>
    <w:autoRedefine/>
    <w:qFormat/>
    <w:uiPriority w:val="0"/>
    <w:pPr>
      <w:numPr>
        <w:ilvl w:val="0"/>
        <w:numId w:val="8"/>
      </w:numPr>
      <w:tabs>
        <w:tab w:val="clear" w:pos="2040"/>
      </w:tabs>
      <w:ind w:left="0" w:leftChars="0" w:firstLine="0" w:firstLineChars="0"/>
    </w:pPr>
  </w:style>
  <w:style w:type="paragraph" w:styleId="66">
    <w:name w:val="List"/>
    <w:basedOn w:val="1"/>
    <w:qFormat/>
    <w:uiPriority w:val="0"/>
    <w:pPr>
      <w:ind w:left="200" w:hanging="200" w:hangingChars="200"/>
    </w:pPr>
  </w:style>
  <w:style w:type="paragraph" w:styleId="67">
    <w:name w:val="footnote text"/>
    <w:basedOn w:val="1"/>
    <w:link w:val="1014"/>
    <w:autoRedefine/>
    <w:qFormat/>
    <w:uiPriority w:val="0"/>
    <w:pPr>
      <w:snapToGrid w:val="0"/>
      <w:ind w:firstLine="0" w:firstLineChars="0"/>
      <w:jc w:val="left"/>
    </w:pPr>
    <w:rPr>
      <w:sz w:val="18"/>
      <w:szCs w:val="18"/>
    </w:rPr>
  </w:style>
  <w:style w:type="paragraph" w:styleId="68">
    <w:name w:val="toc 6"/>
    <w:basedOn w:val="1"/>
    <w:next w:val="1"/>
    <w:autoRedefine/>
    <w:qFormat/>
    <w:uiPriority w:val="39"/>
    <w:pPr>
      <w:ind w:left="1200" w:firstLine="0" w:firstLineChars="0"/>
      <w:jc w:val="left"/>
    </w:pPr>
    <w:rPr>
      <w:rFonts w:ascii="Calibri" w:hAnsi="Calibri"/>
      <w:sz w:val="18"/>
      <w:szCs w:val="18"/>
    </w:rPr>
  </w:style>
  <w:style w:type="paragraph" w:styleId="69">
    <w:name w:val="List 5"/>
    <w:basedOn w:val="1"/>
    <w:autoRedefine/>
    <w:qFormat/>
    <w:uiPriority w:val="0"/>
    <w:pPr>
      <w:ind w:left="100" w:leftChars="800" w:hanging="200" w:hangingChars="200"/>
    </w:pPr>
  </w:style>
  <w:style w:type="paragraph" w:styleId="70">
    <w:name w:val="Body Text Indent 3"/>
    <w:basedOn w:val="1"/>
    <w:link w:val="747"/>
    <w:qFormat/>
    <w:uiPriority w:val="0"/>
    <w:pPr>
      <w:ind w:firstLine="555" w:firstLineChars="0"/>
    </w:pPr>
    <w:rPr>
      <w:rFonts w:ascii="宋体"/>
    </w:rPr>
  </w:style>
  <w:style w:type="paragraph" w:styleId="71">
    <w:name w:val="index 7"/>
    <w:basedOn w:val="1"/>
    <w:next w:val="1"/>
    <w:autoRedefine/>
    <w:qFormat/>
    <w:uiPriority w:val="0"/>
    <w:pPr>
      <w:ind w:left="1680" w:hanging="240" w:firstLineChars="0"/>
      <w:jc w:val="left"/>
    </w:pPr>
    <w:rPr>
      <w:sz w:val="20"/>
      <w:szCs w:val="20"/>
    </w:rPr>
  </w:style>
  <w:style w:type="paragraph" w:styleId="72">
    <w:name w:val="index 9"/>
    <w:basedOn w:val="1"/>
    <w:next w:val="1"/>
    <w:autoRedefine/>
    <w:qFormat/>
    <w:uiPriority w:val="0"/>
    <w:pPr>
      <w:ind w:left="2160" w:hanging="240" w:firstLineChars="0"/>
      <w:jc w:val="left"/>
    </w:pPr>
    <w:rPr>
      <w:sz w:val="20"/>
      <w:szCs w:val="20"/>
    </w:rPr>
  </w:style>
  <w:style w:type="paragraph" w:styleId="73">
    <w:name w:val="table of figures"/>
    <w:basedOn w:val="1"/>
    <w:next w:val="1"/>
    <w:autoRedefine/>
    <w:qFormat/>
    <w:uiPriority w:val="0"/>
    <w:pPr>
      <w:spacing w:line="360" w:lineRule="auto"/>
      <w:ind w:left="200" w:leftChars="200" w:hanging="200" w:hangingChars="200"/>
    </w:pPr>
  </w:style>
  <w:style w:type="paragraph" w:styleId="74">
    <w:name w:val="toc 2"/>
    <w:basedOn w:val="1"/>
    <w:next w:val="1"/>
    <w:autoRedefine/>
    <w:qFormat/>
    <w:uiPriority w:val="39"/>
    <w:pPr>
      <w:ind w:left="420" w:leftChars="200"/>
    </w:pPr>
  </w:style>
  <w:style w:type="paragraph" w:styleId="75">
    <w:name w:val="toc 9"/>
    <w:basedOn w:val="1"/>
    <w:next w:val="1"/>
    <w:autoRedefine/>
    <w:qFormat/>
    <w:uiPriority w:val="39"/>
    <w:pPr>
      <w:ind w:left="1920" w:firstLine="0" w:firstLineChars="0"/>
      <w:jc w:val="left"/>
    </w:pPr>
    <w:rPr>
      <w:rFonts w:ascii="Calibri" w:hAnsi="Calibri"/>
      <w:sz w:val="18"/>
      <w:szCs w:val="18"/>
    </w:rPr>
  </w:style>
  <w:style w:type="paragraph" w:styleId="76">
    <w:name w:val="Body Text 2"/>
    <w:basedOn w:val="1"/>
    <w:link w:val="255"/>
    <w:autoRedefine/>
    <w:qFormat/>
    <w:uiPriority w:val="0"/>
    <w:pPr>
      <w:ind w:firstLine="0" w:firstLineChars="0"/>
    </w:pPr>
    <w:rPr>
      <w:sz w:val="21"/>
    </w:rPr>
  </w:style>
  <w:style w:type="paragraph" w:styleId="77">
    <w:name w:val="List 4"/>
    <w:basedOn w:val="1"/>
    <w:autoRedefine/>
    <w:qFormat/>
    <w:uiPriority w:val="0"/>
    <w:pPr>
      <w:ind w:left="100" w:leftChars="600" w:hanging="200" w:hangingChars="200"/>
    </w:pPr>
  </w:style>
  <w:style w:type="paragraph" w:styleId="78">
    <w:name w:val="List Continue 2"/>
    <w:basedOn w:val="1"/>
    <w:autoRedefine/>
    <w:qFormat/>
    <w:uiPriority w:val="0"/>
    <w:pPr>
      <w:spacing w:after="120"/>
      <w:ind w:left="840" w:leftChars="400" w:firstLine="0" w:firstLineChars="0"/>
    </w:pPr>
  </w:style>
  <w:style w:type="paragraph" w:styleId="79">
    <w:name w:val="Message Header"/>
    <w:basedOn w:val="1"/>
    <w:link w:val="237"/>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rPr>
  </w:style>
  <w:style w:type="paragraph" w:styleId="80">
    <w:name w:val="HTML Preformatted"/>
    <w:basedOn w:val="1"/>
    <w:link w:val="754"/>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firstLineChars="0"/>
      <w:jc w:val="left"/>
    </w:pPr>
    <w:rPr>
      <w:rFonts w:ascii="宋体" w:hAnsi="宋体" w:cs="宋体"/>
      <w:kern w:val="0"/>
    </w:rPr>
  </w:style>
  <w:style w:type="paragraph" w:styleId="81">
    <w:name w:val="Normal (Web)"/>
    <w:basedOn w:val="1"/>
    <w:link w:val="259"/>
    <w:autoRedefine/>
    <w:qFormat/>
    <w:uiPriority w:val="99"/>
    <w:pPr>
      <w:widowControl/>
      <w:spacing w:before="100" w:beforeAutospacing="1" w:after="100" w:afterAutospacing="1"/>
      <w:ind w:firstLine="0" w:firstLineChars="0"/>
      <w:jc w:val="left"/>
    </w:pPr>
    <w:rPr>
      <w:rFonts w:ascii="宋体" w:hAnsi="宋体"/>
      <w:kern w:val="0"/>
    </w:rPr>
  </w:style>
  <w:style w:type="paragraph" w:styleId="82">
    <w:name w:val="List Continue 3"/>
    <w:basedOn w:val="1"/>
    <w:autoRedefine/>
    <w:qFormat/>
    <w:uiPriority w:val="0"/>
    <w:pPr>
      <w:spacing w:after="120"/>
      <w:ind w:left="1260" w:leftChars="600" w:firstLine="0" w:firstLineChars="0"/>
    </w:pPr>
  </w:style>
  <w:style w:type="paragraph" w:styleId="83">
    <w:name w:val="index 2"/>
    <w:basedOn w:val="1"/>
    <w:next w:val="1"/>
    <w:autoRedefine/>
    <w:qFormat/>
    <w:uiPriority w:val="0"/>
    <w:pPr>
      <w:ind w:left="480" w:hanging="240" w:firstLineChars="0"/>
      <w:jc w:val="left"/>
    </w:pPr>
    <w:rPr>
      <w:sz w:val="20"/>
      <w:szCs w:val="20"/>
    </w:rPr>
  </w:style>
  <w:style w:type="paragraph" w:styleId="84">
    <w:name w:val="Title"/>
    <w:basedOn w:val="1"/>
    <w:next w:val="1"/>
    <w:link w:val="215"/>
    <w:qFormat/>
    <w:uiPriority w:val="0"/>
    <w:pPr>
      <w:spacing w:before="240" w:after="60"/>
      <w:jc w:val="center"/>
      <w:outlineLvl w:val="0"/>
    </w:pPr>
    <w:rPr>
      <w:rFonts w:asciiTheme="majorHAnsi" w:hAnsiTheme="majorHAnsi" w:eastAsiaTheme="majorEastAsia" w:cstheme="majorBidi"/>
      <w:b/>
      <w:bCs/>
      <w:sz w:val="32"/>
      <w:szCs w:val="32"/>
    </w:rPr>
  </w:style>
  <w:style w:type="paragraph" w:styleId="85">
    <w:name w:val="annotation subject"/>
    <w:basedOn w:val="28"/>
    <w:next w:val="28"/>
    <w:link w:val="169"/>
    <w:qFormat/>
    <w:uiPriority w:val="99"/>
    <w:rPr>
      <w:b/>
      <w:bCs/>
    </w:rPr>
  </w:style>
  <w:style w:type="paragraph" w:styleId="86">
    <w:name w:val="Body Text First Indent"/>
    <w:basedOn w:val="34"/>
    <w:link w:val="239"/>
    <w:autoRedefine/>
    <w:qFormat/>
    <w:uiPriority w:val="0"/>
    <w:pPr>
      <w:adjustRightInd w:val="0"/>
      <w:snapToGrid w:val="0"/>
      <w:spacing w:line="480" w:lineRule="atLeast"/>
      <w:ind w:firstLine="200" w:firstLineChars="200"/>
      <w:jc w:val="both"/>
    </w:pPr>
    <w:rPr>
      <w:sz w:val="28"/>
    </w:rPr>
  </w:style>
  <w:style w:type="paragraph" w:styleId="87">
    <w:name w:val="Body Text First Indent 2"/>
    <w:basedOn w:val="1"/>
    <w:link w:val="240"/>
    <w:autoRedefine/>
    <w:qFormat/>
    <w:uiPriority w:val="0"/>
    <w:pPr>
      <w:tabs>
        <w:tab w:val="left" w:pos="964"/>
        <w:tab w:val="left" w:pos="1172"/>
      </w:tabs>
      <w:spacing w:line="240" w:lineRule="atLeast"/>
      <w:ind w:left="964" w:hanging="720" w:firstLineChars="0"/>
    </w:pPr>
    <w:rPr>
      <w:rFonts w:ascii="宋体" w:hAnsi="宋体"/>
      <w:sz w:val="28"/>
    </w:rPr>
  </w:style>
  <w:style w:type="table" w:styleId="89">
    <w:name w:val="Table Grid"/>
    <w:basedOn w:val="88"/>
    <w:qFormat/>
    <w:uiPriority w:val="0"/>
    <w:pPr>
      <w:widowControl w:val="0"/>
      <w:jc w:val="both"/>
    </w:pPr>
    <w:rPr>
      <w:rFonts w:ascii="Calibri" w:hAnsi="Calibri" w:cs="Calibri"/>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0">
    <w:name w:val="Table Theme"/>
    <w:basedOn w:val="88"/>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1">
    <w:name w:val="Table Colorful 1"/>
    <w:basedOn w:val="88"/>
    <w:autoRedefine/>
    <w:qFormat/>
    <w:uiPriority w:val="0"/>
    <w:pPr>
      <w:widowControl w:val="0"/>
      <w:jc w:val="both"/>
    </w:pPr>
    <w:rPr>
      <w:rFonts w:ascii="Calibri" w:hAnsi="Calibri"/>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92">
    <w:name w:val="Table Colorful 2"/>
    <w:basedOn w:val="88"/>
    <w:autoRedefine/>
    <w:qFormat/>
    <w:uiPriority w:val="0"/>
    <w:pPr>
      <w:widowControl w:val="0"/>
      <w:jc w:val="both"/>
    </w:pPr>
    <w:rPr>
      <w:rFonts w:ascii="Calibri" w:hAnsi="Calibri"/>
    </w:rPr>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93">
    <w:name w:val="Table Colorful 3"/>
    <w:basedOn w:val="88"/>
    <w:autoRedefine/>
    <w:qFormat/>
    <w:uiPriority w:val="0"/>
    <w:pPr>
      <w:widowControl w:val="0"/>
      <w:jc w:val="both"/>
    </w:pPr>
    <w:rPr>
      <w:rFonts w:ascii="Calibri" w:hAnsi="Calibri"/>
    </w:r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il"/>
          <w:tr2bl w:val="nil"/>
        </w:tcBorders>
        <w:shd w:val="solid" w:color="008080" w:fill="FFFFFF"/>
      </w:tcPr>
    </w:tblStylePr>
    <w:tblStylePr w:type="firstCol">
      <w:tblPr/>
      <w:tcPr>
        <w:tcBorders>
          <w:left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94">
    <w:name w:val="Table Elegant"/>
    <w:basedOn w:val="88"/>
    <w:autoRedefine/>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table" w:styleId="95">
    <w:name w:val="Table Classic 1"/>
    <w:basedOn w:val="88"/>
    <w:autoRedefine/>
    <w:qFormat/>
    <w:uiPriority w:val="0"/>
    <w:pPr>
      <w:widowControl w:val="0"/>
      <w:jc w:val="both"/>
    </w:pPr>
    <w:rPr>
      <w:rFonts w:ascii="Calibri" w:hAnsi="Calibri"/>
    </w:rPr>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6">
    <w:name w:val="Table Classic 2"/>
    <w:basedOn w:val="88"/>
    <w:autoRedefine/>
    <w:qFormat/>
    <w:uiPriority w:val="0"/>
    <w:pPr>
      <w:widowControl w:val="0"/>
      <w:jc w:val="both"/>
    </w:pPr>
    <w:rPr>
      <w:rFonts w:ascii="Calibri" w:hAnsi="Calibri"/>
    </w:rPr>
    <w:tblPr>
      <w:tblBorders>
        <w:top w:val="single" w:color="000000" w:sz="12" w:space="0"/>
        <w:bottom w:val="single" w:color="000000" w:sz="12" w:space="0"/>
      </w:tblBorders>
    </w:tblPr>
    <w:tcPr>
      <w:shd w:val="clear" w:color="auto" w:fill="auto"/>
    </w:tcPr>
    <w:tblStylePr w:type="firstRow">
      <w:rPr>
        <w:color w:val="FFFFFF"/>
      </w:rPr>
      <w:tblPr/>
      <w:tcPr>
        <w:tcBorders>
          <w:bottom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97">
    <w:name w:val="Table Classic 3"/>
    <w:basedOn w:val="88"/>
    <w:autoRedefine/>
    <w:qFormat/>
    <w:uiPriority w:val="0"/>
    <w:pPr>
      <w:widowControl w:val="0"/>
      <w:jc w:val="both"/>
    </w:pPr>
    <w:rPr>
      <w:rFonts w:ascii="Calibri" w:hAnsi="Calibri"/>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bottom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98">
    <w:name w:val="Table Classic 4"/>
    <w:basedOn w:val="88"/>
    <w:autoRedefine/>
    <w:qFormat/>
    <w:uiPriority w:val="0"/>
    <w:pPr>
      <w:widowControl w:val="0"/>
      <w:jc w:val="both"/>
    </w:pPr>
    <w:rPr>
      <w:rFonts w:ascii="Calibri" w:hAnsi="Calibri"/>
    </w:r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bottom w:val="single" w:color="000000" w:sz="6" w:space="0"/>
          <w:tl2br w:val="nil"/>
          <w:tr2bl w:val="nil"/>
        </w:tcBorders>
        <w:shd w:val="pct50" w:color="000080" w:fill="FFFFFF"/>
      </w:tcPr>
    </w:tblStylePr>
    <w:tblStylePr w:type="lastRow">
      <w:rPr>
        <w:color w:val="000080"/>
      </w:rPr>
      <w:tblPr/>
      <w:tcPr>
        <w:tcBorders>
          <w:bottom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99">
    <w:name w:val="Table Simple 1"/>
    <w:basedOn w:val="88"/>
    <w:autoRedefine/>
    <w:qFormat/>
    <w:uiPriority w:val="0"/>
    <w:pPr>
      <w:widowControl w:val="0"/>
      <w:jc w:val="both"/>
    </w:pPr>
    <w:rPr>
      <w:rFonts w:ascii="Calibri" w:hAnsi="Calibri"/>
    </w:r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100">
    <w:name w:val="Table Simple 2"/>
    <w:basedOn w:val="88"/>
    <w:autoRedefine/>
    <w:qFormat/>
    <w:uiPriority w:val="0"/>
    <w:pPr>
      <w:widowControl w:val="0"/>
      <w:jc w:val="both"/>
    </w:pPr>
    <w:rPr>
      <w:rFonts w:ascii="Calibri" w:hAnsi="Calibri"/>
    </w:rPr>
    <w:tblPr/>
    <w:tblStylePr w:type="firstRow">
      <w:rPr>
        <w:b/>
        <w:bCs/>
      </w:rPr>
      <w:tblPr/>
      <w:tcPr>
        <w:tcBorders>
          <w:bottom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left w:val="single" w:color="000000" w:sz="6" w:space="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101">
    <w:name w:val="Table Simple 3"/>
    <w:basedOn w:val="88"/>
    <w:autoRedefine/>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102">
    <w:name w:val="Table Subtle 1"/>
    <w:basedOn w:val="88"/>
    <w:autoRedefine/>
    <w:qFormat/>
    <w:uiPriority w:val="0"/>
    <w:pPr>
      <w:widowControl w:val="0"/>
      <w:jc w:val="both"/>
    </w:pPr>
    <w:rPr>
      <w:rFonts w:ascii="Calibri" w:hAnsi="Calibri"/>
    </w:rPr>
    <w:tblPr>
      <w:tblStyleRowBandSize w:val="1"/>
    </w:tblPr>
    <w:tblStylePr w:type="firstRow">
      <w:tblPr/>
      <w:tcPr>
        <w:tcBorders>
          <w:top w:val="single" w:color="000000" w:sz="6" w:space="0"/>
          <w:bottom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left w:val="single" w:color="000000" w:sz="12" w:space="0"/>
          <w:tl2br w:val="nil"/>
          <w:tr2bl w:val="nil"/>
        </w:tcBorders>
      </w:tcPr>
    </w:tblStylePr>
    <w:tblStylePr w:type="band1Horz">
      <w:tblPr/>
      <w:tcPr>
        <w:tcBorders>
          <w:bottom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3">
    <w:name w:val="Table Subtle 2"/>
    <w:basedOn w:val="88"/>
    <w:autoRedefine/>
    <w:qFormat/>
    <w:uiPriority w:val="0"/>
    <w:pPr>
      <w:widowControl w:val="0"/>
      <w:jc w:val="both"/>
    </w:pPr>
    <w:rPr>
      <w:rFonts w:ascii="Calibri" w:hAnsi="Calibri"/>
    </w:rPr>
    <w:tblPr>
      <w:tblBorders>
        <w:left w:val="single" w:color="000000" w:sz="6" w:space="0"/>
        <w:right w:val="single" w:color="000000" w:sz="6" w:space="0"/>
      </w:tblBorders>
    </w:tblPr>
    <w:tblStylePr w:type="firstRow">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left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4">
    <w:name w:val="Table 3D effects 1"/>
    <w:basedOn w:val="88"/>
    <w:autoRedefine/>
    <w:qFormat/>
    <w:uiPriority w:val="0"/>
    <w:pPr>
      <w:widowControl w:val="0"/>
      <w:jc w:val="both"/>
    </w:pPr>
    <w:rPr>
      <w:rFonts w:ascii="Calibri" w:hAnsi="Calibri"/>
    </w:rPr>
    <w:tblPr/>
    <w:tcPr>
      <w:shd w:val="solid" w:color="C0C0C0" w:fill="FFFFFF"/>
    </w:tcPr>
    <w:tblStylePr w:type="firstRow">
      <w:rPr>
        <w:b/>
        <w:bCs/>
        <w:color w:val="800080"/>
      </w:rPr>
      <w:tblPr/>
      <w:tcPr>
        <w:tcBorders>
          <w:bottom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left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105">
    <w:name w:val="Table 3D effects 2"/>
    <w:basedOn w:val="88"/>
    <w:autoRedefine/>
    <w:qFormat/>
    <w:uiPriority w:val="0"/>
    <w:pPr>
      <w:widowControl w:val="0"/>
      <w:jc w:val="both"/>
    </w:pPr>
    <w:rPr>
      <w:rFonts w:ascii="Calibri" w:hAnsi="Calibri"/>
    </w:r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6">
    <w:name w:val="Table 3D effects 3"/>
    <w:basedOn w:val="88"/>
    <w:autoRedefine/>
    <w:qFormat/>
    <w:uiPriority w:val="0"/>
    <w:pPr>
      <w:widowControl w:val="0"/>
      <w:jc w:val="both"/>
    </w:pPr>
    <w:rPr>
      <w:rFonts w:ascii="Calibri" w:hAnsi="Calibri"/>
    </w:r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7">
    <w:name w:val="Table List 1"/>
    <w:basedOn w:val="88"/>
    <w:qFormat/>
    <w:uiPriority w:val="0"/>
    <w:pPr>
      <w:widowControl w:val="0"/>
      <w:jc w:val="both"/>
    </w:pPr>
    <w:rPr>
      <w:rFonts w:ascii="Calibri" w:hAnsi="Calibri"/>
    </w:r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bottom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8">
    <w:name w:val="Table List 2"/>
    <w:basedOn w:val="88"/>
    <w:autoRedefine/>
    <w:qFormat/>
    <w:uiPriority w:val="0"/>
    <w:pPr>
      <w:widowControl w:val="0"/>
      <w:jc w:val="both"/>
    </w:pPr>
    <w:rPr>
      <w:rFonts w:ascii="Calibri" w:hAnsi="Calibri"/>
    </w:rPr>
    <w:tblPr>
      <w:tblBorders>
        <w:bottom w:val="single" w:color="808080" w:sz="12" w:space="0"/>
      </w:tblBorders>
    </w:tblPr>
    <w:tblStylePr w:type="firstRow">
      <w:rPr>
        <w:b/>
        <w:bCs/>
        <w:color w:val="FFFFFF"/>
      </w:rPr>
      <w:tblPr/>
      <w:tcPr>
        <w:tcBorders>
          <w:bottom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9">
    <w:name w:val="Table List 3"/>
    <w:basedOn w:val="88"/>
    <w:autoRedefine/>
    <w:qFormat/>
    <w:uiPriority w:val="0"/>
    <w:pPr>
      <w:widowControl w:val="0"/>
      <w:jc w:val="both"/>
    </w:pPr>
    <w:rPr>
      <w:rFonts w:ascii="Calibri" w:hAnsi="Calibri"/>
    </w:r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110">
    <w:name w:val="Table List 4"/>
    <w:basedOn w:val="88"/>
    <w:autoRedefine/>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bottom w:val="single" w:color="000000" w:sz="12" w:space="0"/>
          <w:tl2br w:val="nil"/>
          <w:tr2bl w:val="nil"/>
        </w:tcBorders>
        <w:shd w:val="solid" w:color="808080" w:fill="FFFFFF"/>
      </w:tcPr>
    </w:tblStylePr>
  </w:style>
  <w:style w:type="table" w:styleId="111">
    <w:name w:val="Table List 5"/>
    <w:basedOn w:val="88"/>
    <w:autoRedefine/>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bottom w:val="single" w:color="000000" w:sz="12" w:space="0"/>
          <w:tl2br w:val="nil"/>
          <w:tr2bl w:val="nil"/>
        </w:tcBorders>
      </w:tcPr>
    </w:tblStylePr>
    <w:tblStylePr w:type="firstCol">
      <w:rPr>
        <w:b/>
        <w:bCs/>
      </w:rPr>
      <w:tblPr/>
      <w:tcPr>
        <w:tcBorders>
          <w:tl2br w:val="nil"/>
          <w:tr2bl w:val="nil"/>
        </w:tcBorders>
      </w:tcPr>
    </w:tblStylePr>
  </w:style>
  <w:style w:type="table" w:styleId="112">
    <w:name w:val="Table List 6"/>
    <w:basedOn w:val="88"/>
    <w:autoRedefine/>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bottom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113">
    <w:name w:val="Table List 7"/>
    <w:basedOn w:val="88"/>
    <w:autoRedefine/>
    <w:qFormat/>
    <w:uiPriority w:val="0"/>
    <w:pPr>
      <w:widowControl w:val="0"/>
      <w:jc w:val="both"/>
    </w:pPr>
    <w:rPr>
      <w:rFonts w:ascii="Calibri" w:hAnsi="Calibri"/>
    </w:r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14">
    <w:name w:val="Table List 8"/>
    <w:basedOn w:val="88"/>
    <w:autoRedefine/>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bottom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table" w:styleId="115">
    <w:name w:val="Table Contemporary"/>
    <w:basedOn w:val="88"/>
    <w:autoRedefine/>
    <w:qFormat/>
    <w:uiPriority w:val="0"/>
    <w:pPr>
      <w:widowControl w:val="0"/>
      <w:jc w:val="both"/>
    </w:pPr>
    <w:rPr>
      <w:rFonts w:ascii="Calibri" w:hAnsi="Calibri"/>
    </w:rPr>
    <w:tblPr>
      <w:tblBorders>
        <w:insideH w:val="single" w:color="FFFFFF" w:sz="18" w:space="0"/>
        <w:insideV w:val="single" w:color="FFFFFF" w:sz="18" w:space="0"/>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6">
    <w:name w:val="Table Columns 1"/>
    <w:basedOn w:val="88"/>
    <w:autoRedefine/>
    <w:qFormat/>
    <w:uiPriority w:val="0"/>
    <w:pPr>
      <w:widowControl w:val="0"/>
      <w:jc w:val="both"/>
    </w:pPr>
    <w:rPr>
      <w:rFonts w:ascii="Calibri" w:hAnsi="Calibri"/>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7">
    <w:name w:val="Table Columns 2"/>
    <w:basedOn w:val="88"/>
    <w:autoRedefine/>
    <w:qFormat/>
    <w:uiPriority w:val="0"/>
    <w:pPr>
      <w:widowControl w:val="0"/>
      <w:jc w:val="both"/>
    </w:pPr>
    <w:rPr>
      <w:rFonts w:ascii="Calibri" w:hAnsi="Calibri"/>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8">
    <w:name w:val="Table Columns 3"/>
    <w:basedOn w:val="88"/>
    <w:autoRedefine/>
    <w:qFormat/>
    <w:uiPriority w:val="0"/>
    <w:pPr>
      <w:widowControl w:val="0"/>
      <w:jc w:val="both"/>
    </w:pPr>
    <w:rPr>
      <w:rFonts w:ascii="Calibri" w:hAnsi="Calibri"/>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19">
    <w:name w:val="Table Columns 4"/>
    <w:basedOn w:val="88"/>
    <w:autoRedefine/>
    <w:qFormat/>
    <w:uiPriority w:val="0"/>
    <w:pPr>
      <w:widowControl w:val="0"/>
      <w:jc w:val="both"/>
    </w:pPr>
    <w:rPr>
      <w:rFonts w:ascii="Calibri" w:hAnsi="Calibri"/>
    </w:r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20">
    <w:name w:val="Table Columns 5"/>
    <w:basedOn w:val="88"/>
    <w:autoRedefine/>
    <w:qFormat/>
    <w:uiPriority w:val="0"/>
    <w:pPr>
      <w:widowControl w:val="0"/>
      <w:jc w:val="both"/>
    </w:pPr>
    <w:rPr>
      <w:rFonts w:ascii="Calibri" w:hAnsi="Calibri"/>
    </w:r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bottom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1">
    <w:name w:val="Table Grid 1"/>
    <w:basedOn w:val="88"/>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22">
    <w:name w:val="Table Grid 2"/>
    <w:basedOn w:val="88"/>
    <w:autoRedefine/>
    <w:qFormat/>
    <w:uiPriority w:val="0"/>
    <w:pPr>
      <w:widowControl w:val="0"/>
      <w:jc w:val="both"/>
    </w:pPr>
    <w:rPr>
      <w:rFonts w:ascii="Calibri" w:hAnsi="Calibri"/>
    </w:rPr>
    <w:tblPr>
      <w:tblBorders>
        <w:insideH w:val="single" w:color="000000" w:sz="6" w:space="0"/>
        <w:insideV w:val="single" w:color="000000" w:sz="6" w:space="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23">
    <w:name w:val="Table Grid 3"/>
    <w:basedOn w:val="88"/>
    <w:autoRedefine/>
    <w:qFormat/>
    <w:uiPriority w:val="0"/>
    <w:pPr>
      <w:widowControl w:val="0"/>
      <w:jc w:val="both"/>
    </w:pPr>
    <w:rPr>
      <w:rFonts w:ascii="Calibri" w:hAnsi="Calibri"/>
    </w:r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bottom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4">
    <w:name w:val="Table Grid 4"/>
    <w:basedOn w:val="88"/>
    <w:autoRedefine/>
    <w:qFormat/>
    <w:uiPriority w:val="0"/>
    <w:pPr>
      <w:widowControl w:val="0"/>
      <w:jc w:val="both"/>
    </w:pPr>
    <w:rPr>
      <w:rFonts w:ascii="Calibri" w:hAnsi="Calibri"/>
    </w:r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bottom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25">
    <w:name w:val="Table Grid 5"/>
    <w:basedOn w:val="88"/>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cPr>
        <w:tcBorders>
          <w:bottom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6">
    <w:name w:val="Table Grid 6"/>
    <w:basedOn w:val="88"/>
    <w:autoRedefine/>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27">
    <w:name w:val="Table Grid 7"/>
    <w:basedOn w:val="88"/>
    <w:autoRedefine/>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rPr>
        <w:b w:val="0"/>
        <w:bCs w:val="0"/>
      </w:rPr>
      <w:tblPr/>
      <w:tcPr>
        <w:tcBorders>
          <w:bottom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28">
    <w:name w:val="Table Grid 8"/>
    <w:basedOn w:val="88"/>
    <w:autoRedefine/>
    <w:qFormat/>
    <w:uiPriority w:val="0"/>
    <w:pPr>
      <w:widowControl w:val="0"/>
      <w:jc w:val="both"/>
    </w:pPr>
    <w:rPr>
      <w:rFonts w:ascii="Calibri" w:hAnsi="Calibri"/>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29">
    <w:name w:val="Table Web 1"/>
    <w:basedOn w:val="88"/>
    <w:autoRedefine/>
    <w:qFormat/>
    <w:uiPriority w:val="0"/>
    <w:pPr>
      <w:widowControl w:val="0"/>
      <w:jc w:val="both"/>
    </w:pPr>
    <w:rPr>
      <w:rFonts w:ascii="Calibri" w:hAnsi="Calibri"/>
    </w:r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0">
    <w:name w:val="Table Web 2"/>
    <w:basedOn w:val="88"/>
    <w:autoRedefine/>
    <w:qFormat/>
    <w:uiPriority w:val="0"/>
    <w:pPr>
      <w:widowControl w:val="0"/>
      <w:jc w:val="both"/>
    </w:pPr>
    <w:rPr>
      <w:rFonts w:ascii="Calibri" w:hAnsi="Calibri"/>
    </w:r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1">
    <w:name w:val="Table Web 3"/>
    <w:basedOn w:val="88"/>
    <w:autoRedefine/>
    <w:qFormat/>
    <w:uiPriority w:val="0"/>
    <w:pPr>
      <w:widowControl w:val="0"/>
      <w:jc w:val="both"/>
    </w:pPr>
    <w:rPr>
      <w:rFonts w:ascii="Calibri" w:hAnsi="Calibri"/>
    </w:r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2">
    <w:name w:val="Table Professional"/>
    <w:basedOn w:val="88"/>
    <w:autoRedefine/>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il"/>
          <w:tr2bl w:val="nil"/>
        </w:tcBorders>
        <w:shd w:val="solid" w:color="000000" w:fill="FFFFFF"/>
      </w:tcPr>
    </w:tblStylePr>
  </w:style>
  <w:style w:type="character" w:styleId="134">
    <w:name w:val="Strong"/>
    <w:autoRedefine/>
    <w:qFormat/>
    <w:uiPriority w:val="22"/>
    <w:rPr>
      <w:rFonts w:eastAsia="黑体" w:cs="宋体"/>
      <w:color w:val="000000"/>
      <w:kern w:val="2"/>
      <w:sz w:val="32"/>
      <w:szCs w:val="32"/>
      <w:lang w:val="en-US" w:eastAsia="zh-CN" w:bidi="ar-SA"/>
    </w:rPr>
  </w:style>
  <w:style w:type="character" w:styleId="135">
    <w:name w:val="endnote reference"/>
    <w:autoRedefine/>
    <w:unhideWhenUsed/>
    <w:qFormat/>
    <w:uiPriority w:val="0"/>
    <w:rPr>
      <w:rFonts w:hint="eastAsia" w:ascii="宋体" w:hAnsi="宋体" w:eastAsia="宋体" w:cs="宋体"/>
      <w:kern w:val="2"/>
      <w:sz w:val="24"/>
      <w:szCs w:val="24"/>
      <w:vertAlign w:val="superscript"/>
      <w:lang w:val="en-US" w:eastAsia="zh-CN" w:bidi="ar-SA"/>
    </w:rPr>
  </w:style>
  <w:style w:type="character" w:styleId="136">
    <w:name w:val="page number"/>
    <w:basedOn w:val="133"/>
    <w:autoRedefine/>
    <w:qFormat/>
    <w:uiPriority w:val="0"/>
    <w:rPr>
      <w:rFonts w:eastAsia="黑体" w:cs="宋体"/>
      <w:b/>
      <w:bCs/>
      <w:color w:val="000000"/>
      <w:kern w:val="2"/>
      <w:sz w:val="32"/>
      <w:szCs w:val="32"/>
      <w:lang w:val="en-US" w:eastAsia="zh-CN" w:bidi="ar-SA"/>
    </w:rPr>
  </w:style>
  <w:style w:type="character" w:styleId="137">
    <w:name w:val="FollowedHyperlink"/>
    <w:basedOn w:val="133"/>
    <w:unhideWhenUsed/>
    <w:qFormat/>
    <w:uiPriority w:val="99"/>
    <w:rPr>
      <w:color w:val="954F72"/>
      <w:u w:val="single"/>
    </w:rPr>
  </w:style>
  <w:style w:type="character" w:styleId="138">
    <w:name w:val="Emphasis"/>
    <w:autoRedefine/>
    <w:qFormat/>
    <w:uiPriority w:val="20"/>
    <w:rPr>
      <w:i/>
      <w:iCs/>
    </w:rPr>
  </w:style>
  <w:style w:type="character" w:styleId="139">
    <w:name w:val="line number"/>
    <w:autoRedefine/>
    <w:qFormat/>
    <w:uiPriority w:val="0"/>
    <w:rPr>
      <w:rFonts w:eastAsia="黑体" w:cs="宋体"/>
      <w:color w:val="000000"/>
      <w:kern w:val="2"/>
      <w:sz w:val="32"/>
      <w:szCs w:val="32"/>
      <w:lang w:val="en-US" w:eastAsia="zh-CN" w:bidi="ar-SA"/>
    </w:rPr>
  </w:style>
  <w:style w:type="character" w:styleId="140">
    <w:name w:val="HTML Definition"/>
    <w:autoRedefine/>
    <w:qFormat/>
    <w:uiPriority w:val="0"/>
    <w:rPr>
      <w:i/>
      <w:iCs/>
    </w:rPr>
  </w:style>
  <w:style w:type="character" w:styleId="141">
    <w:name w:val="HTML Typewriter"/>
    <w:autoRedefine/>
    <w:qFormat/>
    <w:uiPriority w:val="0"/>
    <w:rPr>
      <w:rFonts w:ascii="Courier New" w:hAnsi="Courier New" w:cs="Courier New"/>
      <w:sz w:val="20"/>
      <w:szCs w:val="20"/>
    </w:rPr>
  </w:style>
  <w:style w:type="character" w:styleId="142">
    <w:name w:val="HTML Acronym"/>
    <w:autoRedefine/>
    <w:qFormat/>
    <w:uiPriority w:val="0"/>
    <w:rPr>
      <w:rFonts w:eastAsia="黑体" w:cs="宋体"/>
      <w:color w:val="000000"/>
      <w:kern w:val="2"/>
      <w:sz w:val="32"/>
      <w:szCs w:val="32"/>
      <w:lang w:val="en-US" w:eastAsia="zh-CN" w:bidi="ar-SA"/>
    </w:rPr>
  </w:style>
  <w:style w:type="character" w:styleId="143">
    <w:name w:val="HTML Variable"/>
    <w:autoRedefine/>
    <w:qFormat/>
    <w:uiPriority w:val="0"/>
    <w:rPr>
      <w:i/>
      <w:iCs/>
    </w:rPr>
  </w:style>
  <w:style w:type="character" w:styleId="144">
    <w:name w:val="Hyperlink"/>
    <w:basedOn w:val="133"/>
    <w:unhideWhenUsed/>
    <w:qFormat/>
    <w:uiPriority w:val="99"/>
    <w:rPr>
      <w:color w:val="0563C1" w:themeColor="hyperlink"/>
      <w:u w:val="single"/>
      <w14:textFill>
        <w14:solidFill>
          <w14:schemeClr w14:val="hlink"/>
        </w14:solidFill>
      </w14:textFill>
    </w:rPr>
  </w:style>
  <w:style w:type="character" w:styleId="145">
    <w:name w:val="HTML Code"/>
    <w:autoRedefine/>
    <w:qFormat/>
    <w:uiPriority w:val="0"/>
    <w:rPr>
      <w:rFonts w:ascii="Courier New" w:hAnsi="Courier New" w:eastAsia="黑体" w:cs="Courier New"/>
      <w:b/>
      <w:bCs/>
      <w:color w:val="000000"/>
      <w:kern w:val="2"/>
      <w:sz w:val="20"/>
      <w:szCs w:val="20"/>
      <w:lang w:val="en-US" w:eastAsia="zh-CN" w:bidi="ar-SA"/>
    </w:rPr>
  </w:style>
  <w:style w:type="character" w:styleId="146">
    <w:name w:val="annotation reference"/>
    <w:basedOn w:val="133"/>
    <w:qFormat/>
    <w:uiPriority w:val="99"/>
    <w:rPr>
      <w:sz w:val="21"/>
      <w:szCs w:val="21"/>
    </w:rPr>
  </w:style>
  <w:style w:type="character" w:styleId="147">
    <w:name w:val="HTML Cite"/>
    <w:autoRedefine/>
    <w:qFormat/>
    <w:uiPriority w:val="0"/>
    <w:rPr>
      <w:i/>
      <w:iCs/>
    </w:rPr>
  </w:style>
  <w:style w:type="character" w:styleId="148">
    <w:name w:val="footnote reference"/>
    <w:autoRedefine/>
    <w:qFormat/>
    <w:uiPriority w:val="0"/>
    <w:rPr>
      <w:vertAlign w:val="superscript"/>
    </w:rPr>
  </w:style>
  <w:style w:type="character" w:styleId="149">
    <w:name w:val="HTML Keyboard"/>
    <w:autoRedefine/>
    <w:qFormat/>
    <w:uiPriority w:val="0"/>
    <w:rPr>
      <w:rFonts w:ascii="Courier New" w:hAnsi="Courier New" w:eastAsia="黑体" w:cs="Courier New"/>
      <w:b/>
      <w:bCs/>
      <w:color w:val="000000"/>
      <w:kern w:val="2"/>
      <w:sz w:val="20"/>
      <w:szCs w:val="20"/>
      <w:lang w:val="en-US" w:eastAsia="zh-CN" w:bidi="ar-SA"/>
    </w:rPr>
  </w:style>
  <w:style w:type="character" w:styleId="150">
    <w:name w:val="HTML Sample"/>
    <w:autoRedefine/>
    <w:qFormat/>
    <w:uiPriority w:val="0"/>
    <w:rPr>
      <w:rFonts w:ascii="Courier New" w:hAnsi="Courier New" w:cs="Courier New"/>
    </w:rPr>
  </w:style>
  <w:style w:type="character" w:customStyle="1" w:styleId="151">
    <w:name w:val="页眉 字符"/>
    <w:basedOn w:val="133"/>
    <w:link w:val="57"/>
    <w:qFormat/>
    <w:uiPriority w:val="0"/>
    <w:rPr>
      <w:kern w:val="2"/>
      <w:sz w:val="18"/>
      <w:szCs w:val="18"/>
    </w:rPr>
  </w:style>
  <w:style w:type="character" w:customStyle="1" w:styleId="152">
    <w:name w:val="标题 1 字符"/>
    <w:link w:val="3"/>
    <w:qFormat/>
    <w:uiPriority w:val="9"/>
    <w:rPr>
      <w:rFonts w:eastAsia="黑体"/>
      <w:b/>
      <w:kern w:val="2"/>
      <w:sz w:val="36"/>
      <w:szCs w:val="36"/>
    </w:rPr>
  </w:style>
  <w:style w:type="character" w:customStyle="1" w:styleId="153">
    <w:name w:val="标题 2 字符"/>
    <w:link w:val="4"/>
    <w:qFormat/>
    <w:uiPriority w:val="9"/>
    <w:rPr>
      <w:rFonts w:eastAsia="黑体"/>
      <w:b/>
      <w:bCs/>
      <w:kern w:val="2"/>
      <w:sz w:val="32"/>
      <w:szCs w:val="30"/>
    </w:rPr>
  </w:style>
  <w:style w:type="character" w:customStyle="1" w:styleId="154">
    <w:name w:val="标题 3 字符"/>
    <w:link w:val="5"/>
    <w:qFormat/>
    <w:locked/>
    <w:uiPriority w:val="9"/>
    <w:rPr>
      <w:rFonts w:eastAsia="黑体"/>
      <w:b/>
      <w:bCs/>
      <w:kern w:val="2"/>
      <w:sz w:val="30"/>
      <w:szCs w:val="28"/>
    </w:rPr>
  </w:style>
  <w:style w:type="character" w:customStyle="1" w:styleId="155">
    <w:name w:val="标题 4 字符"/>
    <w:link w:val="6"/>
    <w:qFormat/>
    <w:locked/>
    <w:uiPriority w:val="9"/>
    <w:rPr>
      <w:b/>
      <w:bCs/>
      <w:kern w:val="2"/>
      <w:sz w:val="28"/>
      <w:szCs w:val="28"/>
    </w:rPr>
  </w:style>
  <w:style w:type="character" w:customStyle="1" w:styleId="156">
    <w:name w:val="标题 5 字符"/>
    <w:link w:val="7"/>
    <w:qFormat/>
    <w:locked/>
    <w:uiPriority w:val="9"/>
    <w:rPr>
      <w:b/>
      <w:kern w:val="2"/>
      <w:sz w:val="24"/>
      <w:szCs w:val="24"/>
      <w:lang w:bidi="zh-CN"/>
    </w:rPr>
  </w:style>
  <w:style w:type="character" w:customStyle="1" w:styleId="157">
    <w:name w:val="标题 6 字符"/>
    <w:link w:val="8"/>
    <w:qFormat/>
    <w:locked/>
    <w:uiPriority w:val="9"/>
    <w:rPr>
      <w:b/>
      <w:kern w:val="2"/>
      <w:sz w:val="24"/>
      <w:szCs w:val="24"/>
    </w:rPr>
  </w:style>
  <w:style w:type="character" w:customStyle="1" w:styleId="158">
    <w:name w:val="标题 9 字符"/>
    <w:link w:val="11"/>
    <w:qFormat/>
    <w:uiPriority w:val="0"/>
    <w:rPr>
      <w:rFonts w:ascii="Arial" w:hAnsi="Arial" w:eastAsia="黑体"/>
      <w:kern w:val="2"/>
      <w:sz w:val="24"/>
      <w:szCs w:val="24"/>
    </w:rPr>
  </w:style>
  <w:style w:type="character" w:customStyle="1" w:styleId="159">
    <w:name w:val="标题 8 字符"/>
    <w:link w:val="10"/>
    <w:qFormat/>
    <w:uiPriority w:val="0"/>
    <w:rPr>
      <w:rFonts w:ascii="Arial" w:hAnsi="Arial" w:eastAsia="黑体"/>
      <w:kern w:val="2"/>
      <w:sz w:val="24"/>
      <w:szCs w:val="24"/>
    </w:rPr>
  </w:style>
  <w:style w:type="character" w:customStyle="1" w:styleId="160">
    <w:name w:val="标题 7 字符"/>
    <w:link w:val="9"/>
    <w:qFormat/>
    <w:uiPriority w:val="0"/>
    <w:rPr>
      <w:b/>
      <w:kern w:val="2"/>
      <w:sz w:val="24"/>
      <w:szCs w:val="24"/>
    </w:rPr>
  </w:style>
  <w:style w:type="paragraph" w:customStyle="1" w:styleId="161">
    <w:name w:val="彩色底纹 - 强调文字颜色 11"/>
    <w:hidden/>
    <w:semiHidden/>
    <w:qFormat/>
    <w:uiPriority w:val="0"/>
    <w:rPr>
      <w:rFonts w:ascii="Times New Roman" w:hAnsi="Times New Roman" w:eastAsia="宋体" w:cs="Times New Roman"/>
      <w:kern w:val="2"/>
      <w:sz w:val="21"/>
      <w:szCs w:val="24"/>
      <w:lang w:val="en-US" w:eastAsia="zh-CN" w:bidi="ar-SA"/>
    </w:rPr>
  </w:style>
  <w:style w:type="character" w:customStyle="1" w:styleId="162">
    <w:name w:val="列出段落 Char1"/>
    <w:link w:val="163"/>
    <w:qFormat/>
    <w:uiPriority w:val="99"/>
    <w:rPr>
      <w:kern w:val="2"/>
      <w:sz w:val="24"/>
      <w:szCs w:val="22"/>
    </w:rPr>
  </w:style>
  <w:style w:type="paragraph" w:customStyle="1" w:styleId="163">
    <w:name w:val="_Style 25"/>
    <w:link w:val="162"/>
    <w:qFormat/>
    <w:uiPriority w:val="99"/>
    <w:pPr>
      <w:widowControl w:val="0"/>
      <w:jc w:val="both"/>
    </w:pPr>
    <w:rPr>
      <w:rFonts w:ascii="Times New Roman" w:hAnsi="Times New Roman" w:eastAsia="宋体" w:cs="Times New Roman"/>
      <w:kern w:val="2"/>
      <w:sz w:val="24"/>
      <w:szCs w:val="22"/>
      <w:lang w:val="en-US" w:eastAsia="zh-CN" w:bidi="ar-SA"/>
    </w:rPr>
  </w:style>
  <w:style w:type="character" w:customStyle="1" w:styleId="164">
    <w:name w:val="正文文本 字符"/>
    <w:basedOn w:val="133"/>
    <w:link w:val="34"/>
    <w:qFormat/>
    <w:uiPriority w:val="0"/>
    <w:rPr>
      <w:kern w:val="2"/>
      <w:sz w:val="21"/>
      <w:szCs w:val="24"/>
    </w:rPr>
  </w:style>
  <w:style w:type="paragraph" w:styleId="165">
    <w:name w:val="List Paragraph"/>
    <w:basedOn w:val="1"/>
    <w:link w:val="491"/>
    <w:qFormat/>
    <w:uiPriority w:val="99"/>
    <w:pPr>
      <w:ind w:firstLine="420"/>
    </w:pPr>
  </w:style>
  <w:style w:type="paragraph" w:customStyle="1" w:styleId="166">
    <w:name w:val="图片"/>
    <w:basedOn w:val="1"/>
    <w:qFormat/>
    <w:uiPriority w:val="0"/>
    <w:pPr>
      <w:spacing w:line="360" w:lineRule="auto"/>
      <w:ind w:firstLine="0" w:firstLineChars="0"/>
      <w:jc w:val="center"/>
    </w:pPr>
  </w:style>
  <w:style w:type="paragraph" w:customStyle="1" w:styleId="167">
    <w:name w:val="页眉1"/>
    <w:basedOn w:val="1"/>
    <w:qFormat/>
    <w:uiPriority w:val="0"/>
    <w:pPr>
      <w:pBdr>
        <w:bottom w:val="thinThickSmallGap" w:color="auto" w:sz="24" w:space="1"/>
      </w:pBdr>
      <w:ind w:firstLine="480"/>
      <w:jc w:val="right"/>
    </w:pPr>
    <w:rPr>
      <w:rFonts w:eastAsia="华文新魏"/>
      <w:kern w:val="0"/>
      <w:sz w:val="21"/>
      <w:szCs w:val="21"/>
    </w:rPr>
  </w:style>
  <w:style w:type="character" w:customStyle="1" w:styleId="168">
    <w:name w:val="批注文字 字符"/>
    <w:basedOn w:val="133"/>
    <w:link w:val="28"/>
    <w:qFormat/>
    <w:uiPriority w:val="99"/>
    <w:rPr>
      <w:kern w:val="2"/>
      <w:sz w:val="24"/>
      <w:szCs w:val="24"/>
    </w:rPr>
  </w:style>
  <w:style w:type="character" w:customStyle="1" w:styleId="169">
    <w:name w:val="批注主题 字符"/>
    <w:basedOn w:val="168"/>
    <w:link w:val="85"/>
    <w:qFormat/>
    <w:uiPriority w:val="0"/>
    <w:rPr>
      <w:b/>
      <w:bCs/>
      <w:kern w:val="2"/>
      <w:sz w:val="24"/>
      <w:szCs w:val="24"/>
    </w:rPr>
  </w:style>
  <w:style w:type="character" w:customStyle="1" w:styleId="170">
    <w:name w:val="标准正文 Char"/>
    <w:link w:val="171"/>
    <w:qFormat/>
    <w:locked/>
    <w:uiPriority w:val="0"/>
    <w:rPr>
      <w:sz w:val="24"/>
      <w:szCs w:val="24"/>
    </w:rPr>
  </w:style>
  <w:style w:type="paragraph" w:customStyle="1" w:styleId="171">
    <w:name w:val="标准正文"/>
    <w:basedOn w:val="1"/>
    <w:link w:val="170"/>
    <w:qFormat/>
    <w:uiPriority w:val="0"/>
    <w:pPr>
      <w:jc w:val="left"/>
    </w:pPr>
    <w:rPr>
      <w:kern w:val="0"/>
    </w:rPr>
  </w:style>
  <w:style w:type="paragraph" w:customStyle="1" w:styleId="172">
    <w:name w:val="_Style 41"/>
    <w:basedOn w:val="1"/>
    <w:next w:val="165"/>
    <w:qFormat/>
    <w:uiPriority w:val="99"/>
    <w:pPr>
      <w:spacing w:line="360" w:lineRule="auto"/>
      <w:ind w:firstLine="420"/>
    </w:pPr>
    <w:rPr>
      <w:szCs w:val="22"/>
    </w:rPr>
  </w:style>
  <w:style w:type="paragraph" w:customStyle="1" w:styleId="173">
    <w:name w:val="正文nlw"/>
    <w:basedOn w:val="1"/>
    <w:link w:val="174"/>
    <w:qFormat/>
    <w:uiPriority w:val="99"/>
    <w:pPr>
      <w:adjustRightInd w:val="0"/>
      <w:ind w:firstLine="437"/>
      <w:textAlignment w:val="baseline"/>
    </w:pPr>
    <w:rPr>
      <w:bCs/>
      <w:color w:val="FF0000"/>
      <w:kern w:val="0"/>
    </w:rPr>
  </w:style>
  <w:style w:type="character" w:customStyle="1" w:styleId="174">
    <w:name w:val="正文nlw Char"/>
    <w:link w:val="173"/>
    <w:autoRedefine/>
    <w:qFormat/>
    <w:uiPriority w:val="99"/>
    <w:rPr>
      <w:bCs/>
      <w:color w:val="FF0000"/>
      <w:sz w:val="24"/>
      <w:szCs w:val="24"/>
    </w:rPr>
  </w:style>
  <w:style w:type="paragraph" w:customStyle="1" w:styleId="175">
    <w:name w:val="表格内"/>
    <w:basedOn w:val="1"/>
    <w:qFormat/>
    <w:uiPriority w:val="0"/>
    <w:pPr>
      <w:spacing w:line="280" w:lineRule="exact"/>
      <w:ind w:firstLine="0" w:firstLineChars="0"/>
    </w:pPr>
    <w:rPr>
      <w:sz w:val="21"/>
      <w:szCs w:val="22"/>
    </w:rPr>
  </w:style>
  <w:style w:type="paragraph" w:customStyle="1" w:styleId="176">
    <w:name w:val="msonormal"/>
    <w:basedOn w:val="1"/>
    <w:qFormat/>
    <w:uiPriority w:val="0"/>
    <w:pPr>
      <w:widowControl/>
      <w:spacing w:before="100" w:beforeAutospacing="1" w:after="100" w:afterAutospacing="1"/>
      <w:ind w:firstLine="0" w:firstLineChars="0"/>
      <w:jc w:val="left"/>
    </w:pPr>
    <w:rPr>
      <w:rFonts w:ascii="宋体" w:hAnsi="宋体" w:cs="宋体"/>
      <w:kern w:val="0"/>
    </w:rPr>
  </w:style>
  <w:style w:type="paragraph" w:customStyle="1" w:styleId="177">
    <w:name w:val="font5"/>
    <w:basedOn w:val="1"/>
    <w:qFormat/>
    <w:uiPriority w:val="0"/>
    <w:pPr>
      <w:widowControl/>
      <w:spacing w:before="100" w:beforeAutospacing="1" w:after="100" w:afterAutospacing="1"/>
      <w:ind w:firstLine="0" w:firstLineChars="0"/>
      <w:jc w:val="left"/>
    </w:pPr>
    <w:rPr>
      <w:rFonts w:ascii="等线" w:hAnsi="等线" w:eastAsia="等线" w:cs="宋体"/>
      <w:kern w:val="0"/>
      <w:sz w:val="18"/>
      <w:szCs w:val="18"/>
    </w:rPr>
  </w:style>
  <w:style w:type="paragraph" w:customStyle="1" w:styleId="178">
    <w:name w:val="xl63"/>
    <w:basedOn w:val="1"/>
    <w:qFormat/>
    <w:uiPriority w:val="0"/>
    <w:pPr>
      <w:widowControl/>
      <w:spacing w:before="100" w:beforeAutospacing="1" w:after="100" w:afterAutospacing="1"/>
      <w:ind w:firstLine="0" w:firstLineChars="0"/>
      <w:jc w:val="center"/>
      <w:textAlignment w:val="center"/>
    </w:pPr>
    <w:rPr>
      <w:rFonts w:ascii="宋体" w:hAnsi="宋体" w:cs="宋体"/>
      <w:kern w:val="0"/>
    </w:rPr>
  </w:style>
  <w:style w:type="paragraph" w:customStyle="1" w:styleId="179">
    <w:name w:val="Default"/>
    <w:link w:val="1705"/>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80">
    <w:name w:val="font6"/>
    <w:basedOn w:val="1"/>
    <w:qFormat/>
    <w:uiPriority w:val="0"/>
    <w:pPr>
      <w:widowControl/>
      <w:spacing w:before="100" w:beforeAutospacing="1" w:after="100" w:afterAutospacing="1"/>
      <w:ind w:firstLine="0" w:firstLineChars="0"/>
      <w:jc w:val="left"/>
    </w:pPr>
    <w:rPr>
      <w:rFonts w:ascii="宋体" w:hAnsi="宋体" w:cs="宋体"/>
      <w:color w:val="000000"/>
      <w:kern w:val="0"/>
      <w:sz w:val="26"/>
      <w:szCs w:val="26"/>
    </w:rPr>
  </w:style>
  <w:style w:type="paragraph" w:customStyle="1" w:styleId="181">
    <w:name w:val="font7"/>
    <w:basedOn w:val="1"/>
    <w:qFormat/>
    <w:uiPriority w:val="0"/>
    <w:pPr>
      <w:widowControl/>
      <w:spacing w:before="100" w:beforeAutospacing="1" w:after="100" w:afterAutospacing="1"/>
      <w:ind w:firstLine="0" w:firstLineChars="0"/>
      <w:jc w:val="left"/>
    </w:pPr>
    <w:rPr>
      <w:rFonts w:ascii="Arial" w:hAnsi="Arial" w:cs="Arial"/>
      <w:b/>
      <w:bCs/>
      <w:kern w:val="0"/>
      <w:sz w:val="26"/>
      <w:szCs w:val="26"/>
    </w:rPr>
  </w:style>
  <w:style w:type="paragraph" w:customStyle="1" w:styleId="182">
    <w:name w:val="font8"/>
    <w:basedOn w:val="1"/>
    <w:qFormat/>
    <w:uiPriority w:val="0"/>
    <w:pPr>
      <w:widowControl/>
      <w:spacing w:before="100" w:beforeAutospacing="1" w:after="100" w:afterAutospacing="1"/>
      <w:ind w:firstLine="0" w:firstLineChars="0"/>
      <w:jc w:val="left"/>
    </w:pPr>
    <w:rPr>
      <w:rFonts w:ascii="Arial" w:hAnsi="Arial" w:cs="Arial"/>
      <w:kern w:val="0"/>
      <w:sz w:val="26"/>
      <w:szCs w:val="26"/>
    </w:rPr>
  </w:style>
  <w:style w:type="paragraph" w:customStyle="1" w:styleId="183">
    <w:name w:val="font9"/>
    <w:basedOn w:val="1"/>
    <w:qFormat/>
    <w:uiPriority w:val="0"/>
    <w:pPr>
      <w:widowControl/>
      <w:spacing w:before="100" w:beforeAutospacing="1" w:after="100" w:afterAutospacing="1"/>
      <w:ind w:firstLine="0" w:firstLineChars="0"/>
      <w:jc w:val="left"/>
    </w:pPr>
    <w:rPr>
      <w:rFonts w:ascii="Arial" w:hAnsi="Arial" w:cs="Arial"/>
      <w:kern w:val="0"/>
      <w:sz w:val="21"/>
      <w:szCs w:val="21"/>
    </w:rPr>
  </w:style>
  <w:style w:type="paragraph" w:customStyle="1" w:styleId="184">
    <w:name w:val="font10"/>
    <w:basedOn w:val="1"/>
    <w:qFormat/>
    <w:uiPriority w:val="0"/>
    <w:pPr>
      <w:widowControl/>
      <w:spacing w:before="100" w:beforeAutospacing="1" w:after="100" w:afterAutospacing="1"/>
      <w:ind w:firstLine="0" w:firstLineChars="0"/>
      <w:jc w:val="left"/>
    </w:pPr>
    <w:rPr>
      <w:rFonts w:ascii="Arial" w:hAnsi="Arial" w:cs="Arial"/>
      <w:kern w:val="0"/>
      <w:sz w:val="22"/>
      <w:szCs w:val="22"/>
    </w:rPr>
  </w:style>
  <w:style w:type="paragraph" w:customStyle="1" w:styleId="185">
    <w:name w:val="font11"/>
    <w:basedOn w:val="1"/>
    <w:qFormat/>
    <w:uiPriority w:val="0"/>
    <w:pPr>
      <w:widowControl/>
      <w:spacing w:before="100" w:beforeAutospacing="1" w:after="100" w:afterAutospacing="1"/>
      <w:ind w:firstLine="0" w:firstLineChars="0"/>
      <w:jc w:val="left"/>
    </w:pPr>
    <w:rPr>
      <w:rFonts w:ascii="宋体" w:hAnsi="宋体" w:cs="宋体"/>
      <w:kern w:val="0"/>
      <w:sz w:val="26"/>
      <w:szCs w:val="26"/>
    </w:rPr>
  </w:style>
  <w:style w:type="paragraph" w:customStyle="1" w:styleId="186">
    <w:name w:val="xl6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color w:val="000000"/>
      <w:kern w:val="0"/>
      <w:sz w:val="26"/>
      <w:szCs w:val="26"/>
    </w:rPr>
  </w:style>
  <w:style w:type="paragraph" w:customStyle="1" w:styleId="187">
    <w:name w:val="xl6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color w:val="000000"/>
      <w:kern w:val="0"/>
      <w:sz w:val="26"/>
      <w:szCs w:val="26"/>
    </w:rPr>
  </w:style>
  <w:style w:type="paragraph" w:customStyle="1" w:styleId="188">
    <w:name w:val="xl6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color w:val="000000"/>
      <w:kern w:val="0"/>
      <w:sz w:val="26"/>
      <w:szCs w:val="26"/>
    </w:rPr>
  </w:style>
  <w:style w:type="paragraph" w:customStyle="1" w:styleId="189">
    <w:name w:val="xl6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b/>
      <w:bCs/>
      <w:kern w:val="0"/>
      <w:sz w:val="26"/>
      <w:szCs w:val="26"/>
    </w:rPr>
  </w:style>
  <w:style w:type="paragraph" w:customStyle="1" w:styleId="190">
    <w:name w:val="xl6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kern w:val="0"/>
      <w:sz w:val="26"/>
      <w:szCs w:val="26"/>
    </w:rPr>
  </w:style>
  <w:style w:type="paragraph" w:customStyle="1" w:styleId="191">
    <w:name w:val="xl70"/>
    <w:basedOn w:val="1"/>
    <w:qFormat/>
    <w:uiPriority w:val="0"/>
    <w:pPr>
      <w:widowControl/>
      <w:pBdr>
        <w:top w:val="single" w:color="000000" w:sz="4" w:space="0"/>
        <w:left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kern w:val="0"/>
      <w:sz w:val="26"/>
      <w:szCs w:val="26"/>
    </w:rPr>
  </w:style>
  <w:style w:type="paragraph" w:customStyle="1" w:styleId="192">
    <w:name w:val="xl71"/>
    <w:basedOn w:val="1"/>
    <w:qFormat/>
    <w:uiPriority w:val="0"/>
    <w:pPr>
      <w:widowControl/>
      <w:pBdr>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kern w:val="0"/>
      <w:sz w:val="26"/>
      <w:szCs w:val="26"/>
    </w:rPr>
  </w:style>
  <w:style w:type="paragraph" w:customStyle="1" w:styleId="193">
    <w:name w:val="xl72"/>
    <w:basedOn w:val="1"/>
    <w:qFormat/>
    <w:uiPriority w:val="0"/>
    <w:pPr>
      <w:widowControl/>
      <w:pBdr>
        <w:left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kern w:val="0"/>
      <w:sz w:val="26"/>
      <w:szCs w:val="26"/>
    </w:rPr>
  </w:style>
  <w:style w:type="paragraph" w:customStyle="1" w:styleId="194">
    <w:name w:val="xl7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color w:val="333333"/>
      <w:kern w:val="0"/>
      <w:sz w:val="26"/>
      <w:szCs w:val="26"/>
    </w:rPr>
  </w:style>
  <w:style w:type="paragraph" w:customStyle="1" w:styleId="195">
    <w:name w:val="xl7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宋体" w:hAnsi="宋体" w:cs="宋体"/>
      <w:color w:val="000000"/>
      <w:kern w:val="0"/>
      <w:sz w:val="26"/>
      <w:szCs w:val="26"/>
    </w:rPr>
  </w:style>
  <w:style w:type="paragraph" w:customStyle="1" w:styleId="196">
    <w:name w:val="xl7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right"/>
      <w:textAlignment w:val="center"/>
    </w:pPr>
    <w:rPr>
      <w:rFonts w:ascii="Arial" w:hAnsi="Arial" w:cs="Arial"/>
      <w:color w:val="000000"/>
      <w:kern w:val="0"/>
      <w:sz w:val="26"/>
      <w:szCs w:val="26"/>
    </w:rPr>
  </w:style>
  <w:style w:type="paragraph" w:customStyle="1" w:styleId="197">
    <w:name w:val="xl76"/>
    <w:basedOn w:val="1"/>
    <w:qFormat/>
    <w:uiPriority w:val="0"/>
    <w:pPr>
      <w:widowControl/>
      <w:pBdr>
        <w:top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kern w:val="0"/>
      <w:sz w:val="26"/>
      <w:szCs w:val="26"/>
    </w:rPr>
  </w:style>
  <w:style w:type="paragraph" w:customStyle="1" w:styleId="198">
    <w:name w:val="xl77"/>
    <w:basedOn w:val="1"/>
    <w:qFormat/>
    <w:uiPriority w:val="0"/>
    <w:pPr>
      <w:widowControl/>
      <w:pBdr>
        <w:right w:val="single" w:color="000000" w:sz="4" w:space="0"/>
      </w:pBdr>
      <w:spacing w:before="100" w:beforeAutospacing="1" w:after="100" w:afterAutospacing="1"/>
      <w:ind w:firstLine="0" w:firstLineChars="0"/>
      <w:jc w:val="center"/>
      <w:textAlignment w:val="center"/>
    </w:pPr>
    <w:rPr>
      <w:rFonts w:ascii="Arial" w:hAnsi="Arial" w:cs="Arial"/>
      <w:kern w:val="0"/>
      <w:sz w:val="26"/>
      <w:szCs w:val="26"/>
    </w:rPr>
  </w:style>
  <w:style w:type="paragraph" w:customStyle="1" w:styleId="199">
    <w:name w:val="xl7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kern w:val="0"/>
      <w:sz w:val="26"/>
      <w:szCs w:val="26"/>
    </w:rPr>
  </w:style>
  <w:style w:type="paragraph" w:customStyle="1" w:styleId="200">
    <w:name w:val="xl7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宋体" w:hAnsi="宋体" w:cs="宋体"/>
      <w:b/>
      <w:bCs/>
      <w:kern w:val="0"/>
      <w:sz w:val="26"/>
      <w:szCs w:val="26"/>
    </w:rPr>
  </w:style>
  <w:style w:type="character" w:customStyle="1" w:styleId="201">
    <w:name w:val="font41"/>
    <w:basedOn w:val="133"/>
    <w:qFormat/>
    <w:uiPriority w:val="0"/>
    <w:rPr>
      <w:rFonts w:hint="eastAsia" w:ascii="宋体" w:hAnsi="宋体" w:eastAsia="宋体"/>
      <w:color w:val="000000"/>
      <w:sz w:val="24"/>
      <w:szCs w:val="24"/>
      <w:u w:val="none"/>
    </w:rPr>
  </w:style>
  <w:style w:type="character" w:customStyle="1" w:styleId="202">
    <w:name w:val="font51"/>
    <w:basedOn w:val="133"/>
    <w:qFormat/>
    <w:uiPriority w:val="0"/>
    <w:rPr>
      <w:rFonts w:hint="eastAsia" w:ascii="宋体" w:hAnsi="宋体" w:eastAsia="宋体"/>
      <w:b/>
      <w:bCs/>
      <w:color w:val="000000"/>
      <w:sz w:val="26"/>
      <w:szCs w:val="26"/>
      <w:u w:val="none"/>
    </w:rPr>
  </w:style>
  <w:style w:type="character" w:customStyle="1" w:styleId="203">
    <w:name w:val="font31"/>
    <w:basedOn w:val="133"/>
    <w:qFormat/>
    <w:uiPriority w:val="0"/>
    <w:rPr>
      <w:rFonts w:hint="eastAsia" w:ascii="宋体" w:hAnsi="宋体" w:eastAsia="宋体"/>
      <w:color w:val="000000"/>
      <w:sz w:val="26"/>
      <w:szCs w:val="26"/>
      <w:u w:val="none"/>
    </w:rPr>
  </w:style>
  <w:style w:type="character" w:customStyle="1" w:styleId="204">
    <w:name w:val="font61"/>
    <w:basedOn w:val="133"/>
    <w:qFormat/>
    <w:uiPriority w:val="0"/>
    <w:rPr>
      <w:rFonts w:hint="default" w:ascii="Calibri" w:hAnsi="Calibri" w:cs="Calibri"/>
      <w:color w:val="000000"/>
      <w:sz w:val="24"/>
      <w:szCs w:val="24"/>
      <w:u w:val="none"/>
    </w:rPr>
  </w:style>
  <w:style w:type="character" w:customStyle="1" w:styleId="205">
    <w:name w:val="font21"/>
    <w:basedOn w:val="133"/>
    <w:qFormat/>
    <w:uiPriority w:val="0"/>
    <w:rPr>
      <w:rFonts w:hint="eastAsia" w:ascii="宋体" w:hAnsi="宋体" w:eastAsia="宋体"/>
      <w:color w:val="000000"/>
      <w:sz w:val="28"/>
      <w:szCs w:val="28"/>
      <w:u w:val="none"/>
    </w:rPr>
  </w:style>
  <w:style w:type="character" w:customStyle="1" w:styleId="206">
    <w:name w:val="font71"/>
    <w:basedOn w:val="133"/>
    <w:qFormat/>
    <w:uiPriority w:val="0"/>
    <w:rPr>
      <w:rFonts w:hint="eastAsia" w:ascii="宋体" w:hAnsi="宋体" w:eastAsia="宋体"/>
      <w:b/>
      <w:bCs/>
      <w:color w:val="000000"/>
      <w:sz w:val="26"/>
      <w:szCs w:val="26"/>
      <w:u w:val="none"/>
    </w:rPr>
  </w:style>
  <w:style w:type="character" w:styleId="207">
    <w:name w:val="Placeholder Text"/>
    <w:basedOn w:val="133"/>
    <w:unhideWhenUsed/>
    <w:qFormat/>
    <w:uiPriority w:val="99"/>
    <w:rPr>
      <w:color w:val="666666"/>
    </w:rPr>
  </w:style>
  <w:style w:type="character" w:customStyle="1" w:styleId="208">
    <w:name w:val="！正文 Char"/>
    <w:link w:val="209"/>
    <w:autoRedefine/>
    <w:qFormat/>
    <w:locked/>
    <w:uiPriority w:val="0"/>
    <w:rPr>
      <w:sz w:val="24"/>
      <w:lang w:val="zh-CN"/>
    </w:rPr>
  </w:style>
  <w:style w:type="paragraph" w:customStyle="1" w:styleId="209">
    <w:name w:val="！正文"/>
    <w:basedOn w:val="1"/>
    <w:link w:val="208"/>
    <w:qFormat/>
    <w:uiPriority w:val="0"/>
    <w:pPr>
      <w:widowControl/>
    </w:pPr>
    <w:rPr>
      <w:kern w:val="0"/>
      <w:szCs w:val="20"/>
      <w:lang w:val="zh-CN"/>
    </w:rPr>
  </w:style>
  <w:style w:type="paragraph" w:customStyle="1" w:styleId="210">
    <w:name w:val="表格格式"/>
    <w:basedOn w:val="1"/>
    <w:link w:val="211"/>
    <w:autoRedefine/>
    <w:qFormat/>
    <w:uiPriority w:val="0"/>
    <w:pPr>
      <w:widowControl/>
      <w:snapToGrid w:val="0"/>
      <w:ind w:firstLine="0" w:firstLineChars="0"/>
      <w:jc w:val="center"/>
    </w:pPr>
    <w:rPr>
      <w:color w:val="000000" w:themeColor="text1"/>
      <w:kern w:val="0"/>
      <w:sz w:val="21"/>
      <w:szCs w:val="21"/>
      <w14:textFill>
        <w14:solidFill>
          <w14:schemeClr w14:val="tx1"/>
        </w14:solidFill>
      </w14:textFill>
    </w:rPr>
  </w:style>
  <w:style w:type="character" w:customStyle="1" w:styleId="211">
    <w:name w:val="表格格式 Char"/>
    <w:link w:val="210"/>
    <w:autoRedefine/>
    <w:qFormat/>
    <w:uiPriority w:val="0"/>
    <w:rPr>
      <w:color w:val="000000" w:themeColor="text1"/>
      <w:sz w:val="21"/>
      <w:szCs w:val="21"/>
      <w14:textFill>
        <w14:solidFill>
          <w14:schemeClr w14:val="tx1"/>
        </w14:solidFill>
      </w14:textFill>
    </w:rPr>
  </w:style>
  <w:style w:type="paragraph" w:customStyle="1" w:styleId="212">
    <w:name w:val="表格名称"/>
    <w:basedOn w:val="84"/>
    <w:qFormat/>
    <w:uiPriority w:val="0"/>
    <w:pPr>
      <w:spacing w:before="0" w:after="0"/>
      <w:ind w:left="4112" w:hanging="1418" w:firstLineChars="0"/>
      <w:outlineLvl w:val="9"/>
    </w:pPr>
    <w:rPr>
      <w:rFonts w:ascii="Times New Roman" w:hAnsi="Times New Roman" w:eastAsia="宋体" w:cs="Arial"/>
      <w:bCs w:val="0"/>
      <w:sz w:val="24"/>
    </w:rPr>
  </w:style>
  <w:style w:type="paragraph" w:customStyle="1" w:styleId="213">
    <w:name w:val="图表"/>
    <w:basedOn w:val="212"/>
    <w:link w:val="214"/>
    <w:autoRedefine/>
    <w:qFormat/>
    <w:uiPriority w:val="0"/>
    <w:pPr>
      <w:ind w:left="8081" w:hanging="7230"/>
    </w:pPr>
    <w:rPr>
      <w:lang w:bidi="zh-CN"/>
    </w:rPr>
  </w:style>
  <w:style w:type="character" w:customStyle="1" w:styleId="214">
    <w:name w:val="图表 Char"/>
    <w:link w:val="213"/>
    <w:autoRedefine/>
    <w:qFormat/>
    <w:locked/>
    <w:uiPriority w:val="0"/>
    <w:rPr>
      <w:rFonts w:cs="Arial"/>
      <w:b/>
      <w:kern w:val="2"/>
      <w:sz w:val="24"/>
      <w:szCs w:val="32"/>
      <w:lang w:bidi="zh-CN"/>
    </w:rPr>
  </w:style>
  <w:style w:type="character" w:customStyle="1" w:styleId="215">
    <w:name w:val="标题 字符"/>
    <w:basedOn w:val="133"/>
    <w:link w:val="84"/>
    <w:qFormat/>
    <w:uiPriority w:val="0"/>
    <w:rPr>
      <w:rFonts w:asciiTheme="majorHAnsi" w:hAnsiTheme="majorHAnsi" w:eastAsiaTheme="majorEastAsia" w:cstheme="majorBidi"/>
      <w:b/>
      <w:bCs/>
      <w:kern w:val="2"/>
      <w:sz w:val="32"/>
      <w:szCs w:val="32"/>
    </w:rPr>
  </w:style>
  <w:style w:type="character" w:customStyle="1" w:styleId="216">
    <w:name w:val="宏文本 字符"/>
    <w:basedOn w:val="133"/>
    <w:qFormat/>
    <w:uiPriority w:val="0"/>
    <w:rPr>
      <w:rFonts w:ascii="Courier New" w:hAnsi="Courier New" w:cs="Courier New"/>
      <w:kern w:val="2"/>
      <w:sz w:val="24"/>
      <w:szCs w:val="24"/>
    </w:rPr>
  </w:style>
  <w:style w:type="character" w:customStyle="1" w:styleId="217">
    <w:name w:val="注释标题 字符"/>
    <w:basedOn w:val="133"/>
    <w:qFormat/>
    <w:uiPriority w:val="0"/>
    <w:rPr>
      <w:kern w:val="2"/>
      <w:sz w:val="24"/>
      <w:szCs w:val="24"/>
    </w:rPr>
  </w:style>
  <w:style w:type="character" w:customStyle="1" w:styleId="218">
    <w:name w:val="电子邮件签名 字符"/>
    <w:basedOn w:val="133"/>
    <w:link w:val="19"/>
    <w:qFormat/>
    <w:uiPriority w:val="0"/>
    <w:rPr>
      <w:kern w:val="2"/>
      <w:sz w:val="24"/>
      <w:szCs w:val="24"/>
    </w:rPr>
  </w:style>
  <w:style w:type="character" w:customStyle="1" w:styleId="219">
    <w:name w:val="文档结构图 字符"/>
    <w:basedOn w:val="133"/>
    <w:qFormat/>
    <w:uiPriority w:val="0"/>
    <w:rPr>
      <w:rFonts w:ascii="Microsoft YaHei UI" w:eastAsia="Microsoft YaHei UI"/>
      <w:kern w:val="2"/>
      <w:sz w:val="18"/>
      <w:szCs w:val="18"/>
    </w:rPr>
  </w:style>
  <w:style w:type="character" w:customStyle="1" w:styleId="220">
    <w:name w:val="称呼 字符"/>
    <w:basedOn w:val="133"/>
    <w:qFormat/>
    <w:uiPriority w:val="0"/>
    <w:rPr>
      <w:kern w:val="2"/>
      <w:sz w:val="24"/>
      <w:szCs w:val="24"/>
    </w:rPr>
  </w:style>
  <w:style w:type="character" w:customStyle="1" w:styleId="221">
    <w:name w:val="正文文本 3 字符"/>
    <w:basedOn w:val="133"/>
    <w:qFormat/>
    <w:uiPriority w:val="0"/>
    <w:rPr>
      <w:kern w:val="2"/>
      <w:sz w:val="16"/>
      <w:szCs w:val="16"/>
    </w:rPr>
  </w:style>
  <w:style w:type="character" w:customStyle="1" w:styleId="222">
    <w:name w:val="结束语 字符"/>
    <w:basedOn w:val="133"/>
    <w:link w:val="32"/>
    <w:qFormat/>
    <w:uiPriority w:val="0"/>
    <w:rPr>
      <w:kern w:val="2"/>
      <w:sz w:val="24"/>
      <w:szCs w:val="24"/>
    </w:rPr>
  </w:style>
  <w:style w:type="character" w:customStyle="1" w:styleId="223">
    <w:name w:val="正文文本缩进 字符"/>
    <w:basedOn w:val="133"/>
    <w:qFormat/>
    <w:uiPriority w:val="0"/>
    <w:rPr>
      <w:kern w:val="2"/>
      <w:sz w:val="24"/>
      <w:szCs w:val="24"/>
    </w:rPr>
  </w:style>
  <w:style w:type="character" w:customStyle="1" w:styleId="224">
    <w:name w:val="HTML 地址 字符"/>
    <w:basedOn w:val="133"/>
    <w:link w:val="41"/>
    <w:qFormat/>
    <w:uiPriority w:val="0"/>
    <w:rPr>
      <w:i/>
      <w:iCs/>
      <w:kern w:val="2"/>
      <w:sz w:val="24"/>
      <w:szCs w:val="24"/>
    </w:rPr>
  </w:style>
  <w:style w:type="character" w:customStyle="1" w:styleId="225">
    <w:name w:val="纯文本 字符"/>
    <w:basedOn w:val="133"/>
    <w:qFormat/>
    <w:uiPriority w:val="0"/>
    <w:rPr>
      <w:rFonts w:hAnsi="Courier New" w:cs="Courier New" w:asciiTheme="minorEastAsia" w:eastAsiaTheme="minorEastAsia"/>
      <w:kern w:val="2"/>
      <w:sz w:val="24"/>
      <w:szCs w:val="24"/>
    </w:rPr>
  </w:style>
  <w:style w:type="character" w:customStyle="1" w:styleId="226">
    <w:name w:val="日期 字符"/>
    <w:basedOn w:val="133"/>
    <w:qFormat/>
    <w:uiPriority w:val="0"/>
    <w:rPr>
      <w:kern w:val="2"/>
      <w:sz w:val="24"/>
      <w:szCs w:val="24"/>
    </w:rPr>
  </w:style>
  <w:style w:type="character" w:customStyle="1" w:styleId="227">
    <w:name w:val="正文文本缩进 2 字符"/>
    <w:basedOn w:val="133"/>
    <w:qFormat/>
    <w:uiPriority w:val="0"/>
    <w:rPr>
      <w:kern w:val="2"/>
      <w:sz w:val="24"/>
      <w:szCs w:val="24"/>
    </w:rPr>
  </w:style>
  <w:style w:type="character" w:customStyle="1" w:styleId="228">
    <w:name w:val="尾注文本 字符"/>
    <w:basedOn w:val="133"/>
    <w:link w:val="229"/>
    <w:qFormat/>
    <w:uiPriority w:val="0"/>
    <w:rPr>
      <w:kern w:val="2"/>
      <w:sz w:val="24"/>
      <w:szCs w:val="24"/>
    </w:rPr>
  </w:style>
  <w:style w:type="paragraph" w:customStyle="1" w:styleId="229">
    <w:name w:val="尾注文本1"/>
    <w:basedOn w:val="1"/>
    <w:next w:val="52"/>
    <w:link w:val="228"/>
    <w:uiPriority w:val="0"/>
    <w:pPr>
      <w:adjustRightInd w:val="0"/>
      <w:spacing w:line="312" w:lineRule="atLeast"/>
      <w:jc w:val="left"/>
      <w:textAlignment w:val="baseline"/>
    </w:pPr>
  </w:style>
  <w:style w:type="character" w:customStyle="1" w:styleId="230">
    <w:name w:val="批注框文本 字符"/>
    <w:basedOn w:val="133"/>
    <w:qFormat/>
    <w:uiPriority w:val="99"/>
    <w:rPr>
      <w:kern w:val="2"/>
      <w:sz w:val="18"/>
      <w:szCs w:val="18"/>
    </w:rPr>
  </w:style>
  <w:style w:type="character" w:customStyle="1" w:styleId="231">
    <w:name w:val="页脚 字符"/>
    <w:basedOn w:val="133"/>
    <w:qFormat/>
    <w:uiPriority w:val="0"/>
    <w:rPr>
      <w:kern w:val="2"/>
      <w:sz w:val="18"/>
      <w:szCs w:val="18"/>
    </w:rPr>
  </w:style>
  <w:style w:type="character" w:customStyle="1" w:styleId="232">
    <w:name w:val="签名 字符"/>
    <w:basedOn w:val="133"/>
    <w:link w:val="58"/>
    <w:qFormat/>
    <w:uiPriority w:val="0"/>
    <w:rPr>
      <w:kern w:val="2"/>
      <w:sz w:val="24"/>
      <w:szCs w:val="24"/>
    </w:rPr>
  </w:style>
  <w:style w:type="character" w:customStyle="1" w:styleId="233">
    <w:name w:val="副标题 字符"/>
    <w:basedOn w:val="133"/>
    <w:link w:val="64"/>
    <w:qFormat/>
    <w:uiPriority w:val="11"/>
    <w:rPr>
      <w:rFonts w:ascii="Arial" w:hAnsi="Arial" w:cs="Arial"/>
      <w:b/>
      <w:bCs/>
      <w:kern w:val="28"/>
      <w:sz w:val="32"/>
      <w:szCs w:val="32"/>
    </w:rPr>
  </w:style>
  <w:style w:type="character" w:customStyle="1" w:styleId="234">
    <w:name w:val="脚注文本 字符"/>
    <w:basedOn w:val="133"/>
    <w:qFormat/>
    <w:uiPriority w:val="0"/>
    <w:rPr>
      <w:kern w:val="2"/>
      <w:sz w:val="18"/>
      <w:szCs w:val="18"/>
    </w:rPr>
  </w:style>
  <w:style w:type="character" w:customStyle="1" w:styleId="235">
    <w:name w:val="正文文本缩进 3 字符"/>
    <w:basedOn w:val="133"/>
    <w:qFormat/>
    <w:uiPriority w:val="0"/>
    <w:rPr>
      <w:kern w:val="2"/>
      <w:sz w:val="16"/>
      <w:szCs w:val="16"/>
    </w:rPr>
  </w:style>
  <w:style w:type="character" w:customStyle="1" w:styleId="236">
    <w:name w:val="正文文本 2 字符"/>
    <w:basedOn w:val="133"/>
    <w:qFormat/>
    <w:uiPriority w:val="0"/>
    <w:rPr>
      <w:kern w:val="2"/>
      <w:sz w:val="24"/>
      <w:szCs w:val="24"/>
    </w:rPr>
  </w:style>
  <w:style w:type="character" w:customStyle="1" w:styleId="237">
    <w:name w:val="信息标题 字符"/>
    <w:basedOn w:val="133"/>
    <w:link w:val="79"/>
    <w:qFormat/>
    <w:uiPriority w:val="0"/>
    <w:rPr>
      <w:rFonts w:ascii="Arial" w:hAnsi="Arial" w:cs="Arial"/>
      <w:kern w:val="2"/>
      <w:sz w:val="24"/>
      <w:szCs w:val="24"/>
      <w:shd w:val="pct20" w:color="auto" w:fill="auto"/>
    </w:rPr>
  </w:style>
  <w:style w:type="character" w:customStyle="1" w:styleId="238">
    <w:name w:val="HTML 预设格式 字符"/>
    <w:basedOn w:val="133"/>
    <w:qFormat/>
    <w:uiPriority w:val="0"/>
    <w:rPr>
      <w:rFonts w:ascii="Courier New" w:hAnsi="Courier New" w:cs="Courier New"/>
      <w:kern w:val="2"/>
    </w:rPr>
  </w:style>
  <w:style w:type="character" w:customStyle="1" w:styleId="239">
    <w:name w:val="正文文本首行缩进 字符"/>
    <w:basedOn w:val="164"/>
    <w:link w:val="86"/>
    <w:qFormat/>
    <w:uiPriority w:val="0"/>
    <w:rPr>
      <w:kern w:val="2"/>
      <w:sz w:val="28"/>
      <w:szCs w:val="24"/>
    </w:rPr>
  </w:style>
  <w:style w:type="character" w:customStyle="1" w:styleId="240">
    <w:name w:val="正文文本首行缩进 2 字符"/>
    <w:basedOn w:val="223"/>
    <w:link w:val="87"/>
    <w:qFormat/>
    <w:uiPriority w:val="0"/>
    <w:rPr>
      <w:rFonts w:ascii="宋体" w:hAnsi="宋体"/>
      <w:kern w:val="2"/>
      <w:sz w:val="28"/>
      <w:szCs w:val="24"/>
    </w:rPr>
  </w:style>
  <w:style w:type="character" w:customStyle="1" w:styleId="241">
    <w:name w:val="标题 1 字符2"/>
    <w:autoRedefine/>
    <w:qFormat/>
    <w:uiPriority w:val="9"/>
    <w:rPr>
      <w:rFonts w:eastAsia="黑体"/>
      <w:b/>
      <w:kern w:val="2"/>
      <w:sz w:val="36"/>
      <w:szCs w:val="36"/>
    </w:rPr>
  </w:style>
  <w:style w:type="character" w:customStyle="1" w:styleId="242">
    <w:name w:val="标题 2 字符2"/>
    <w:autoRedefine/>
    <w:qFormat/>
    <w:uiPriority w:val="9"/>
    <w:rPr>
      <w:rFonts w:eastAsia="黑体"/>
      <w:b/>
      <w:bCs/>
      <w:kern w:val="2"/>
      <w:sz w:val="32"/>
      <w:szCs w:val="30"/>
    </w:rPr>
  </w:style>
  <w:style w:type="character" w:customStyle="1" w:styleId="243">
    <w:name w:val="标题 3 字符3"/>
    <w:autoRedefine/>
    <w:qFormat/>
    <w:locked/>
    <w:uiPriority w:val="9"/>
    <w:rPr>
      <w:rFonts w:eastAsia="黑体"/>
      <w:b/>
      <w:bCs/>
      <w:kern w:val="2"/>
      <w:sz w:val="30"/>
      <w:szCs w:val="28"/>
    </w:rPr>
  </w:style>
  <w:style w:type="character" w:customStyle="1" w:styleId="244">
    <w:name w:val="正文缩进 字符1"/>
    <w:link w:val="21"/>
    <w:autoRedefine/>
    <w:qFormat/>
    <w:uiPriority w:val="0"/>
    <w:rPr>
      <w:b/>
      <w:color w:val="000000" w:themeColor="text1"/>
      <w:kern w:val="2"/>
      <w:sz w:val="24"/>
      <w:szCs w:val="24"/>
      <w14:textFill>
        <w14:solidFill>
          <w14:schemeClr w14:val="tx1"/>
        </w14:solidFill>
      </w14:textFill>
    </w:rPr>
  </w:style>
  <w:style w:type="character" w:customStyle="1" w:styleId="245">
    <w:name w:val="标题 4 字符3"/>
    <w:autoRedefine/>
    <w:qFormat/>
    <w:locked/>
    <w:uiPriority w:val="9"/>
    <w:rPr>
      <w:b/>
      <w:bCs/>
      <w:kern w:val="2"/>
      <w:sz w:val="28"/>
      <w:szCs w:val="28"/>
    </w:rPr>
  </w:style>
  <w:style w:type="character" w:customStyle="1" w:styleId="246">
    <w:name w:val="标题 5 字符2"/>
    <w:autoRedefine/>
    <w:qFormat/>
    <w:locked/>
    <w:uiPriority w:val="9"/>
    <w:rPr>
      <w:b/>
      <w:kern w:val="2"/>
      <w:sz w:val="24"/>
      <w:szCs w:val="24"/>
      <w:lang w:bidi="zh-CN"/>
    </w:rPr>
  </w:style>
  <w:style w:type="character" w:customStyle="1" w:styleId="247">
    <w:name w:val="标题 6 字符2"/>
    <w:autoRedefine/>
    <w:qFormat/>
    <w:locked/>
    <w:uiPriority w:val="9"/>
    <w:rPr>
      <w:rFonts w:ascii="Arial" w:hAnsi="Arial" w:eastAsia="黑体" w:cs="宋体"/>
      <w:b/>
      <w:bCs/>
      <w:color w:val="000000"/>
      <w:kern w:val="2"/>
      <w:sz w:val="24"/>
      <w:szCs w:val="24"/>
      <w:lang w:val="en-US" w:eastAsia="zh-CN" w:bidi="ar-SA"/>
    </w:rPr>
  </w:style>
  <w:style w:type="paragraph" w:customStyle="1" w:styleId="248">
    <w:name w:val="Char Char1"/>
    <w:basedOn w:val="1"/>
    <w:autoRedefine/>
    <w:qFormat/>
    <w:uiPriority w:val="0"/>
    <w:pPr>
      <w:spacing w:line="480" w:lineRule="auto"/>
      <w:ind w:firstLine="0" w:firstLineChars="0"/>
    </w:pPr>
    <w:rPr>
      <w:rFonts w:eastAsia="黑体" w:cs="宋体"/>
      <w:sz w:val="32"/>
      <w:szCs w:val="32"/>
    </w:rPr>
  </w:style>
  <w:style w:type="character" w:customStyle="1" w:styleId="249">
    <w:name w:val="正文文本缩进 字符2"/>
    <w:link w:val="35"/>
    <w:autoRedefine/>
    <w:qFormat/>
    <w:locked/>
    <w:uiPriority w:val="0"/>
    <w:rPr>
      <w:rFonts w:ascii="宋体" w:hAnsi="宋体"/>
      <w:kern w:val="2"/>
      <w:sz w:val="24"/>
      <w:szCs w:val="24"/>
    </w:rPr>
  </w:style>
  <w:style w:type="character" w:customStyle="1" w:styleId="250">
    <w:name w:val="正文文本缩进 2 字符2"/>
    <w:link w:val="51"/>
    <w:autoRedefine/>
    <w:qFormat/>
    <w:uiPriority w:val="0"/>
    <w:rPr>
      <w:rFonts w:ascii="宋体" w:hAnsi="宋体"/>
      <w:kern w:val="2"/>
      <w:sz w:val="24"/>
      <w:szCs w:val="24"/>
    </w:rPr>
  </w:style>
  <w:style w:type="character" w:customStyle="1" w:styleId="251">
    <w:name w:val="页眉 字符2"/>
    <w:autoRedefine/>
    <w:qFormat/>
    <w:uiPriority w:val="99"/>
    <w:rPr>
      <w:rFonts w:eastAsia="宋体" w:cs="宋体"/>
      <w:b/>
      <w:bCs/>
      <w:color w:val="000000"/>
      <w:kern w:val="2"/>
      <w:sz w:val="18"/>
      <w:szCs w:val="18"/>
      <w:lang w:val="en-US" w:eastAsia="zh-CN" w:bidi="ar-SA"/>
    </w:rPr>
  </w:style>
  <w:style w:type="character" w:customStyle="1" w:styleId="252">
    <w:name w:val="页脚 字符2"/>
    <w:link w:val="55"/>
    <w:autoRedefine/>
    <w:qFormat/>
    <w:locked/>
    <w:uiPriority w:val="99"/>
    <w:rPr>
      <w:kern w:val="2"/>
      <w:sz w:val="18"/>
      <w:szCs w:val="18"/>
    </w:rPr>
  </w:style>
  <w:style w:type="paragraph" w:customStyle="1" w:styleId="253">
    <w:name w:val="xl28"/>
    <w:basedOn w:val="1"/>
    <w:link w:val="3008"/>
    <w:autoRedefine/>
    <w:qFormat/>
    <w:uiPriority w:val="0"/>
    <w:pPr>
      <w:widowControl/>
      <w:pBdr>
        <w:left w:val="single" w:color="auto" w:sz="4" w:space="0"/>
        <w:right w:val="single" w:color="auto" w:sz="4" w:space="0"/>
      </w:pBdr>
      <w:spacing w:before="100" w:beforeAutospacing="1" w:after="100" w:afterAutospacing="1"/>
      <w:ind w:firstLine="0" w:firstLineChars="0"/>
      <w:jc w:val="center"/>
    </w:pPr>
    <w:rPr>
      <w:rFonts w:hAnsi="宋体"/>
      <w:kern w:val="0"/>
      <w:sz w:val="18"/>
      <w:szCs w:val="18"/>
    </w:rPr>
  </w:style>
  <w:style w:type="character" w:customStyle="1" w:styleId="254">
    <w:name w:val="正文文本 字符2"/>
    <w:autoRedefine/>
    <w:qFormat/>
    <w:locked/>
    <w:uiPriority w:val="0"/>
    <w:rPr>
      <w:rFonts w:eastAsia="宋体" w:cs="宋体"/>
      <w:b/>
      <w:bCs/>
      <w:color w:val="000000"/>
      <w:kern w:val="2"/>
      <w:sz w:val="18"/>
      <w:szCs w:val="24"/>
      <w:lang w:val="en-US" w:eastAsia="zh-CN" w:bidi="ar-SA"/>
    </w:rPr>
  </w:style>
  <w:style w:type="character" w:customStyle="1" w:styleId="255">
    <w:name w:val="正文文本 2 字符2"/>
    <w:link w:val="76"/>
    <w:autoRedefine/>
    <w:qFormat/>
    <w:locked/>
    <w:uiPriority w:val="0"/>
    <w:rPr>
      <w:kern w:val="2"/>
      <w:sz w:val="21"/>
      <w:szCs w:val="24"/>
    </w:rPr>
  </w:style>
  <w:style w:type="paragraph" w:customStyle="1" w:styleId="256">
    <w:name w:val="xl27"/>
    <w:basedOn w:val="1"/>
    <w:autoRedefine/>
    <w:qFormat/>
    <w:uiPriority w:val="0"/>
    <w:pPr>
      <w:widowControl/>
      <w:pBdr>
        <w:left w:val="single" w:color="auto" w:sz="4" w:space="0"/>
        <w:right w:val="single" w:color="auto" w:sz="4" w:space="0"/>
      </w:pBdr>
      <w:spacing w:before="100" w:beforeAutospacing="1" w:after="100" w:afterAutospacing="1"/>
      <w:ind w:firstLine="0" w:firstLineChars="0"/>
      <w:jc w:val="center"/>
      <w:textAlignment w:val="center"/>
    </w:pPr>
    <w:rPr>
      <w:rFonts w:hint="eastAsia" w:ascii="宋体" w:hAnsi="宋体"/>
      <w:kern w:val="0"/>
    </w:rPr>
  </w:style>
  <w:style w:type="paragraph" w:customStyle="1" w:styleId="257">
    <w:name w:val="xl30"/>
    <w:basedOn w:val="1"/>
    <w:autoRedefine/>
    <w:qFormat/>
    <w:uiPriority w:val="0"/>
    <w:pPr>
      <w:widowControl/>
      <w:spacing w:before="100" w:beforeAutospacing="1" w:after="100" w:afterAutospacing="1"/>
      <w:ind w:firstLine="0" w:firstLineChars="0"/>
      <w:jc w:val="center"/>
      <w:textAlignment w:val="center"/>
    </w:pPr>
    <w:rPr>
      <w:rFonts w:hint="eastAsia" w:ascii="宋体" w:hAnsi="宋体"/>
      <w:kern w:val="0"/>
      <w:sz w:val="28"/>
      <w:szCs w:val="28"/>
    </w:rPr>
  </w:style>
  <w:style w:type="character" w:customStyle="1" w:styleId="258">
    <w:name w:val="纯文本 字符3"/>
    <w:link w:val="45"/>
    <w:autoRedefine/>
    <w:qFormat/>
    <w:uiPriority w:val="0"/>
    <w:rPr>
      <w:rFonts w:ascii="宋体" w:hAnsi="Courier New"/>
      <w:sz w:val="21"/>
      <w:szCs w:val="24"/>
    </w:rPr>
  </w:style>
  <w:style w:type="character" w:customStyle="1" w:styleId="259">
    <w:name w:val="普通(网站) 字符2"/>
    <w:link w:val="81"/>
    <w:autoRedefine/>
    <w:qFormat/>
    <w:locked/>
    <w:uiPriority w:val="99"/>
    <w:rPr>
      <w:rFonts w:ascii="宋体" w:hAnsi="宋体"/>
      <w:sz w:val="24"/>
      <w:szCs w:val="24"/>
    </w:rPr>
  </w:style>
  <w:style w:type="character" w:customStyle="1" w:styleId="260">
    <w:name w:val="日期 字符2"/>
    <w:link w:val="50"/>
    <w:autoRedefine/>
    <w:qFormat/>
    <w:locked/>
    <w:uiPriority w:val="0"/>
    <w:rPr>
      <w:kern w:val="2"/>
      <w:sz w:val="21"/>
      <w:szCs w:val="24"/>
    </w:rPr>
  </w:style>
  <w:style w:type="paragraph" w:customStyle="1" w:styleId="261">
    <w:name w:val="小表"/>
    <w:basedOn w:val="1"/>
    <w:autoRedefine/>
    <w:qFormat/>
    <w:uiPriority w:val="0"/>
    <w:pPr>
      <w:overflowPunct w:val="0"/>
      <w:autoSpaceDE w:val="0"/>
      <w:autoSpaceDN w:val="0"/>
      <w:adjustRightInd w:val="0"/>
      <w:ind w:firstLine="0" w:firstLineChars="0"/>
      <w:jc w:val="center"/>
      <w:textAlignment w:val="bottom"/>
    </w:pPr>
    <w:rPr>
      <w:kern w:val="0"/>
      <w:sz w:val="21"/>
    </w:rPr>
  </w:style>
  <w:style w:type="paragraph" w:customStyle="1" w:styleId="262">
    <w:name w:val="表格内容nlw"/>
    <w:basedOn w:val="66"/>
    <w:link w:val="263"/>
    <w:autoRedefine/>
    <w:qFormat/>
    <w:uiPriority w:val="0"/>
    <w:pPr>
      <w:spacing w:line="300" w:lineRule="exact"/>
      <w:ind w:left="0" w:firstLine="0" w:firstLineChars="0"/>
      <w:jc w:val="center"/>
    </w:pPr>
    <w:rPr>
      <w:sz w:val="21"/>
    </w:rPr>
  </w:style>
  <w:style w:type="character" w:customStyle="1" w:styleId="263">
    <w:name w:val="表格内容nlw Char"/>
    <w:link w:val="262"/>
    <w:autoRedefine/>
    <w:qFormat/>
    <w:uiPriority w:val="0"/>
    <w:rPr>
      <w:kern w:val="2"/>
      <w:sz w:val="21"/>
      <w:szCs w:val="24"/>
    </w:rPr>
  </w:style>
  <w:style w:type="paragraph" w:customStyle="1" w:styleId="264">
    <w:name w:val="样式 标题 1标题 11 + (中文) 黑体 三号 加粗 行距: 固定值 12 磅"/>
    <w:basedOn w:val="3"/>
    <w:autoRedefine/>
    <w:qFormat/>
    <w:uiPriority w:val="0"/>
    <w:pPr>
      <w:numPr>
        <w:numId w:val="0"/>
      </w:numPr>
      <w:spacing w:line="360" w:lineRule="auto"/>
    </w:pPr>
    <w:rPr>
      <w:rFonts w:cs="宋体"/>
      <w:b w:val="0"/>
      <w:bCs/>
      <w:sz w:val="32"/>
      <w:szCs w:val="32"/>
    </w:rPr>
  </w:style>
  <w:style w:type="paragraph" w:customStyle="1" w:styleId="265">
    <w:name w:val="样式 标题 2 + 字距调整二号"/>
    <w:basedOn w:val="4"/>
    <w:link w:val="266"/>
    <w:autoRedefine/>
    <w:qFormat/>
    <w:uiPriority w:val="0"/>
    <w:pPr>
      <w:ind w:left="992" w:hanging="992"/>
    </w:pPr>
    <w:rPr>
      <w:kern w:val="44"/>
      <w:sz w:val="30"/>
    </w:rPr>
  </w:style>
  <w:style w:type="character" w:customStyle="1" w:styleId="266">
    <w:name w:val="样式 标题 2 + 字距调整二号 Char"/>
    <w:link w:val="265"/>
    <w:autoRedefine/>
    <w:qFormat/>
    <w:uiPriority w:val="0"/>
    <w:rPr>
      <w:rFonts w:eastAsia="黑体"/>
      <w:b/>
      <w:bCs/>
      <w:kern w:val="44"/>
      <w:sz w:val="30"/>
      <w:szCs w:val="30"/>
    </w:rPr>
  </w:style>
  <w:style w:type="paragraph" w:customStyle="1" w:styleId="267">
    <w:name w:val="样式1"/>
    <w:basedOn w:val="264"/>
    <w:link w:val="268"/>
    <w:autoRedefine/>
    <w:qFormat/>
    <w:uiPriority w:val="0"/>
  </w:style>
  <w:style w:type="character" w:customStyle="1" w:styleId="268">
    <w:name w:val="样式1 Char"/>
    <w:link w:val="267"/>
    <w:autoRedefine/>
    <w:qFormat/>
    <w:uiPriority w:val="0"/>
    <w:rPr>
      <w:rFonts w:eastAsia="黑体" w:cs="宋体"/>
      <w:bCs/>
      <w:kern w:val="2"/>
      <w:sz w:val="32"/>
      <w:szCs w:val="32"/>
    </w:rPr>
  </w:style>
  <w:style w:type="paragraph" w:customStyle="1" w:styleId="269">
    <w:name w:val="样式2"/>
    <w:basedOn w:val="264"/>
    <w:link w:val="270"/>
    <w:autoRedefine/>
    <w:qFormat/>
    <w:uiPriority w:val="0"/>
    <w:pPr>
      <w:spacing w:line="240" w:lineRule="auto"/>
    </w:pPr>
    <w:rPr>
      <w:sz w:val="30"/>
      <w:szCs w:val="30"/>
    </w:rPr>
  </w:style>
  <w:style w:type="character" w:customStyle="1" w:styleId="270">
    <w:name w:val="样式2 Char"/>
    <w:link w:val="269"/>
    <w:autoRedefine/>
    <w:qFormat/>
    <w:uiPriority w:val="0"/>
    <w:rPr>
      <w:rFonts w:eastAsia="黑体" w:cs="宋体"/>
      <w:bCs/>
      <w:kern w:val="2"/>
      <w:sz w:val="30"/>
      <w:szCs w:val="30"/>
    </w:rPr>
  </w:style>
  <w:style w:type="paragraph" w:customStyle="1" w:styleId="271">
    <w:name w:val="样式3"/>
    <w:basedOn w:val="4"/>
    <w:next w:val="1"/>
    <w:link w:val="272"/>
    <w:autoRedefine/>
    <w:qFormat/>
    <w:uiPriority w:val="0"/>
    <w:pPr>
      <w:ind w:left="992" w:hanging="992"/>
    </w:pPr>
  </w:style>
  <w:style w:type="character" w:customStyle="1" w:styleId="272">
    <w:name w:val="样式3 Char"/>
    <w:link w:val="271"/>
    <w:autoRedefine/>
    <w:qFormat/>
    <w:locked/>
    <w:uiPriority w:val="0"/>
    <w:rPr>
      <w:rFonts w:eastAsia="黑体"/>
      <w:b/>
      <w:bCs/>
      <w:kern w:val="2"/>
      <w:sz w:val="32"/>
      <w:szCs w:val="30"/>
    </w:rPr>
  </w:style>
  <w:style w:type="paragraph" w:customStyle="1" w:styleId="273">
    <w:name w:val="我的正文"/>
    <w:basedOn w:val="1"/>
    <w:link w:val="274"/>
    <w:autoRedefine/>
    <w:qFormat/>
    <w:uiPriority w:val="0"/>
    <w:pPr>
      <w:ind w:firstLine="538" w:firstLineChars="192"/>
    </w:pPr>
  </w:style>
  <w:style w:type="character" w:customStyle="1" w:styleId="274">
    <w:name w:val="我的正文 Char"/>
    <w:link w:val="273"/>
    <w:autoRedefine/>
    <w:qFormat/>
    <w:locked/>
    <w:uiPriority w:val="0"/>
    <w:rPr>
      <w:kern w:val="2"/>
      <w:sz w:val="24"/>
      <w:szCs w:val="24"/>
    </w:rPr>
  </w:style>
  <w:style w:type="paragraph" w:customStyle="1" w:styleId="275">
    <w:name w:val="Char3"/>
    <w:basedOn w:val="1"/>
    <w:autoRedefine/>
    <w:qFormat/>
    <w:uiPriority w:val="0"/>
    <w:pPr>
      <w:spacing w:line="360" w:lineRule="auto"/>
    </w:pPr>
    <w:rPr>
      <w:rFonts w:ascii="宋体" w:hAnsi="宋体" w:cs="宋体"/>
    </w:rPr>
  </w:style>
  <w:style w:type="paragraph" w:customStyle="1" w:styleId="276">
    <w:name w:val="首行缩进:  2 字符"/>
    <w:basedOn w:val="1"/>
    <w:next w:val="1"/>
    <w:link w:val="277"/>
    <w:autoRedefine/>
    <w:qFormat/>
    <w:uiPriority w:val="0"/>
    <w:pPr>
      <w:autoSpaceDE w:val="0"/>
      <w:autoSpaceDN w:val="0"/>
      <w:adjustRightInd w:val="0"/>
      <w:spacing w:before="60" w:after="60"/>
      <w:ind w:firstLine="0" w:firstLineChars="0"/>
      <w:jc w:val="left"/>
    </w:pPr>
    <w:rPr>
      <w:rFonts w:ascii="宋体"/>
      <w:kern w:val="0"/>
    </w:rPr>
  </w:style>
  <w:style w:type="character" w:customStyle="1" w:styleId="277">
    <w:name w:val="首行缩进:  2 字符 Char"/>
    <w:link w:val="276"/>
    <w:autoRedefine/>
    <w:qFormat/>
    <w:uiPriority w:val="0"/>
    <w:rPr>
      <w:rFonts w:ascii="宋体"/>
      <w:sz w:val="24"/>
      <w:szCs w:val="24"/>
    </w:rPr>
  </w:style>
  <w:style w:type="paragraph" w:customStyle="1" w:styleId="278">
    <w:name w:val="样式4"/>
    <w:basedOn w:val="34"/>
    <w:link w:val="279"/>
    <w:autoRedefine/>
    <w:qFormat/>
    <w:uiPriority w:val="0"/>
    <w:pPr>
      <w:tabs>
        <w:tab w:val="left" w:pos="1820"/>
      </w:tabs>
      <w:snapToGrid w:val="0"/>
      <w:spacing w:line="240" w:lineRule="atLeast"/>
    </w:pPr>
    <w:rPr>
      <w:rFonts w:eastAsia="幼圆"/>
      <w:kern w:val="0"/>
      <w:sz w:val="24"/>
    </w:rPr>
  </w:style>
  <w:style w:type="character" w:customStyle="1" w:styleId="279">
    <w:name w:val="样式4 Char"/>
    <w:link w:val="278"/>
    <w:autoRedefine/>
    <w:qFormat/>
    <w:locked/>
    <w:uiPriority w:val="0"/>
    <w:rPr>
      <w:rFonts w:eastAsia="幼圆"/>
      <w:sz w:val="24"/>
      <w:szCs w:val="24"/>
    </w:rPr>
  </w:style>
  <w:style w:type="paragraph" w:customStyle="1" w:styleId="280">
    <w:name w:val="正文1"/>
    <w:basedOn w:val="45"/>
    <w:autoRedefine/>
    <w:qFormat/>
    <w:uiPriority w:val="0"/>
    <w:pPr>
      <w:adjustRightInd/>
      <w:spacing w:line="240" w:lineRule="auto"/>
      <w:jc w:val="center"/>
      <w:textAlignment w:val="auto"/>
    </w:pPr>
    <w:rPr>
      <w:rFonts w:hAnsi="宋体"/>
      <w:kern w:val="2"/>
      <w:sz w:val="24"/>
    </w:rPr>
  </w:style>
  <w:style w:type="paragraph" w:customStyle="1" w:styleId="281">
    <w:name w:val="1"/>
    <w:basedOn w:val="1"/>
    <w:next w:val="35"/>
    <w:autoRedefine/>
    <w:qFormat/>
    <w:uiPriority w:val="0"/>
    <w:pPr>
      <w:spacing w:line="460" w:lineRule="exact"/>
      <w:ind w:firstLine="570" w:firstLineChars="0"/>
    </w:pPr>
    <w:rPr>
      <w:rFonts w:ascii="宋体"/>
      <w:sz w:val="28"/>
    </w:rPr>
  </w:style>
  <w:style w:type="paragraph" w:customStyle="1" w:styleId="282">
    <w:name w:val="正文+首行缩进"/>
    <w:basedOn w:val="1"/>
    <w:autoRedefine/>
    <w:qFormat/>
    <w:uiPriority w:val="0"/>
    <w:pPr>
      <w:overflowPunct w:val="0"/>
      <w:topLinePunct/>
      <w:adjustRightInd w:val="0"/>
      <w:spacing w:line="460" w:lineRule="atLeast"/>
      <w:jc w:val="left"/>
      <w:textAlignment w:val="baseline"/>
    </w:pPr>
    <w:rPr>
      <w:kern w:val="0"/>
      <w:sz w:val="28"/>
    </w:rPr>
  </w:style>
  <w:style w:type="paragraph" w:customStyle="1" w:styleId="283">
    <w:name w:val="表格文字"/>
    <w:basedOn w:val="1"/>
    <w:link w:val="711"/>
    <w:autoRedefine/>
    <w:qFormat/>
    <w:uiPriority w:val="0"/>
    <w:pPr>
      <w:overflowPunct w:val="0"/>
      <w:topLinePunct/>
      <w:adjustRightInd w:val="0"/>
      <w:spacing w:line="460" w:lineRule="atLeast"/>
      <w:ind w:firstLine="0" w:firstLineChars="0"/>
      <w:jc w:val="center"/>
      <w:textAlignment w:val="baseline"/>
    </w:pPr>
    <w:rPr>
      <w:kern w:val="0"/>
      <w:szCs w:val="21"/>
    </w:rPr>
  </w:style>
  <w:style w:type="paragraph" w:customStyle="1" w:styleId="284">
    <w:name w:val="样式 正文首行缩进 +"/>
    <w:basedOn w:val="86"/>
    <w:autoRedefine/>
    <w:qFormat/>
    <w:uiPriority w:val="0"/>
    <w:pPr>
      <w:adjustRightInd/>
      <w:spacing w:line="500" w:lineRule="atLeast"/>
      <w:ind w:firstLine="539"/>
      <w:jc w:val="left"/>
    </w:pPr>
    <w:rPr>
      <w:rFonts w:ascii="宋体" w:hAnsi="宋体"/>
      <w:szCs w:val="20"/>
    </w:rPr>
  </w:style>
  <w:style w:type="paragraph" w:customStyle="1" w:styleId="285">
    <w:name w:val="样式 样式 正文首行缩进 + +"/>
    <w:basedOn w:val="284"/>
    <w:autoRedefine/>
    <w:qFormat/>
    <w:uiPriority w:val="0"/>
  </w:style>
  <w:style w:type="paragraph" w:customStyle="1" w:styleId="286">
    <w:name w:val="表格小四"/>
    <w:basedOn w:val="283"/>
    <w:autoRedefine/>
    <w:qFormat/>
    <w:uiPriority w:val="0"/>
    <w:pPr>
      <w:overflowPunct/>
      <w:topLinePunct w:val="0"/>
      <w:snapToGrid w:val="0"/>
      <w:spacing w:line="480" w:lineRule="exact"/>
      <w:jc w:val="both"/>
      <w:textAlignment w:val="auto"/>
    </w:pPr>
    <w:rPr>
      <w:rFonts w:ascii="宋体" w:hAnsi="宋体"/>
      <w:kern w:val="2"/>
      <w:szCs w:val="24"/>
    </w:rPr>
  </w:style>
  <w:style w:type="paragraph" w:customStyle="1" w:styleId="287">
    <w:name w:val="项目编号"/>
    <w:basedOn w:val="86"/>
    <w:autoRedefine/>
    <w:qFormat/>
    <w:uiPriority w:val="0"/>
    <w:pPr>
      <w:tabs>
        <w:tab w:val="left" w:pos="810"/>
      </w:tabs>
      <w:adjustRightInd/>
      <w:spacing w:line="500" w:lineRule="atLeast"/>
      <w:ind w:left="810" w:hanging="810" w:firstLineChars="0"/>
      <w:jc w:val="left"/>
    </w:pPr>
    <w:rPr>
      <w:rFonts w:ascii="宋体" w:hAnsi="宋体"/>
      <w:szCs w:val="28"/>
    </w:rPr>
  </w:style>
  <w:style w:type="paragraph" w:customStyle="1" w:styleId="288">
    <w:name w:val="样式 表格小四 + 字距调整二号"/>
    <w:basedOn w:val="286"/>
    <w:autoRedefine/>
    <w:qFormat/>
    <w:uiPriority w:val="0"/>
    <w:pPr>
      <w:spacing w:line="400" w:lineRule="exact"/>
    </w:pPr>
    <w:rPr>
      <w:kern w:val="44"/>
    </w:rPr>
  </w:style>
  <w:style w:type="paragraph" w:customStyle="1" w:styleId="289">
    <w:name w:val="表头四号 + 段前: 0.5 行 + 段前: 0.5 行"/>
    <w:basedOn w:val="1"/>
    <w:autoRedefine/>
    <w:qFormat/>
    <w:uiPriority w:val="0"/>
    <w:pPr>
      <w:adjustRightInd w:val="0"/>
      <w:snapToGrid w:val="0"/>
      <w:spacing w:before="25" w:beforeLines="25" w:line="500" w:lineRule="atLeast"/>
      <w:ind w:firstLine="0" w:firstLineChars="0"/>
    </w:pPr>
    <w:rPr>
      <w:rFonts w:ascii="宋体" w:hAnsi="宋体"/>
      <w:b/>
      <w:bCs/>
      <w:sz w:val="28"/>
    </w:rPr>
  </w:style>
  <w:style w:type="paragraph" w:customStyle="1" w:styleId="290">
    <w:name w:val="表格五号"/>
    <w:basedOn w:val="1"/>
    <w:autoRedefine/>
    <w:qFormat/>
    <w:uiPriority w:val="0"/>
    <w:pPr>
      <w:adjustRightInd w:val="0"/>
      <w:snapToGrid w:val="0"/>
      <w:ind w:firstLine="0" w:firstLineChars="0"/>
    </w:pPr>
    <w:rPr>
      <w:rFonts w:ascii="宋体" w:hAnsi="宋体"/>
      <w:szCs w:val="21"/>
    </w:rPr>
  </w:style>
  <w:style w:type="paragraph" w:customStyle="1" w:styleId="291">
    <w:name w:val="样式 表格五号 + 黑色 居中"/>
    <w:basedOn w:val="290"/>
    <w:autoRedefine/>
    <w:qFormat/>
    <w:uiPriority w:val="0"/>
    <w:pPr>
      <w:spacing w:line="360" w:lineRule="auto"/>
      <w:jc w:val="center"/>
    </w:pPr>
    <w:rPr>
      <w:color w:val="000000"/>
      <w:szCs w:val="20"/>
    </w:rPr>
  </w:style>
  <w:style w:type="character" w:customStyle="1" w:styleId="292">
    <w:name w:val="标题 1 Char"/>
    <w:autoRedefine/>
    <w:qFormat/>
    <w:uiPriority w:val="0"/>
    <w:rPr>
      <w:rFonts w:ascii="宋体" w:hAnsi="宋体" w:eastAsia="黑体" w:cs="宋体"/>
      <w:b/>
      <w:bCs/>
      <w:color w:val="000000"/>
      <w:kern w:val="44"/>
      <w:sz w:val="44"/>
      <w:szCs w:val="44"/>
      <w:lang w:val="en-US" w:eastAsia="zh-CN" w:bidi="ar-SA"/>
    </w:rPr>
  </w:style>
  <w:style w:type="character" w:customStyle="1" w:styleId="293">
    <w:name w:val="正文首行缩进 Char"/>
    <w:autoRedefine/>
    <w:qFormat/>
    <w:uiPriority w:val="0"/>
    <w:rPr>
      <w:rFonts w:ascii="宋体" w:hAnsi="宋体" w:eastAsia="宋体" w:cs="宋体"/>
      <w:b/>
      <w:bCs/>
      <w:color w:val="000000"/>
      <w:kern w:val="2"/>
      <w:sz w:val="28"/>
      <w:szCs w:val="28"/>
      <w:lang w:val="en-US" w:eastAsia="zh-CN" w:bidi="ar-SA"/>
    </w:rPr>
  </w:style>
  <w:style w:type="character" w:customStyle="1" w:styleId="294">
    <w:name w:val="条标题1.1.1 Char"/>
    <w:link w:val="295"/>
    <w:autoRedefine/>
    <w:qFormat/>
    <w:uiPriority w:val="0"/>
    <w:rPr>
      <w:rFonts w:ascii="宋体" w:hAnsi="宋体" w:cs="宋体"/>
      <w:b/>
      <w:bCs/>
      <w:color w:val="000000"/>
      <w:kern w:val="2"/>
      <w:sz w:val="28"/>
      <w:szCs w:val="28"/>
      <w:lang w:val="en-GB"/>
    </w:rPr>
  </w:style>
  <w:style w:type="paragraph" w:customStyle="1" w:styleId="295">
    <w:name w:val="段"/>
    <w:link w:val="294"/>
    <w:autoRedefine/>
    <w:qFormat/>
    <w:uiPriority w:val="0"/>
    <w:pPr>
      <w:autoSpaceDE w:val="0"/>
      <w:autoSpaceDN w:val="0"/>
      <w:ind w:firstLine="200" w:firstLineChars="200"/>
      <w:jc w:val="both"/>
    </w:pPr>
    <w:rPr>
      <w:rFonts w:ascii="宋体" w:hAnsi="宋体" w:eastAsia="宋体" w:cs="宋体"/>
      <w:b/>
      <w:bCs/>
      <w:color w:val="000000"/>
      <w:kern w:val="2"/>
      <w:sz w:val="28"/>
      <w:szCs w:val="28"/>
      <w:lang w:val="en-GB" w:eastAsia="zh-CN" w:bidi="ar-SA"/>
    </w:rPr>
  </w:style>
  <w:style w:type="paragraph" w:customStyle="1" w:styleId="296">
    <w:name w:val="样式 表头四号 + 段前: 0.5 行"/>
    <w:basedOn w:val="297"/>
    <w:autoRedefine/>
    <w:qFormat/>
    <w:uiPriority w:val="0"/>
    <w:pPr>
      <w:spacing w:before="96" w:beforeLines="25"/>
    </w:pPr>
    <w:rPr>
      <w:szCs w:val="20"/>
    </w:rPr>
  </w:style>
  <w:style w:type="paragraph" w:customStyle="1" w:styleId="297">
    <w:name w:val="表头四号"/>
    <w:basedOn w:val="66"/>
    <w:autoRedefine/>
    <w:qFormat/>
    <w:uiPriority w:val="0"/>
    <w:pPr>
      <w:adjustRightInd w:val="0"/>
      <w:snapToGrid w:val="0"/>
      <w:spacing w:before="50" w:beforeLines="50" w:line="500" w:lineRule="atLeast"/>
      <w:ind w:left="0" w:firstLine="0" w:firstLineChars="0"/>
    </w:pPr>
    <w:rPr>
      <w:rFonts w:ascii="宋体" w:hAnsi="宋体"/>
      <w:b/>
      <w:bCs/>
      <w:sz w:val="28"/>
      <w:szCs w:val="28"/>
    </w:rPr>
  </w:style>
  <w:style w:type="character" w:customStyle="1" w:styleId="298">
    <w:name w:val="标题 7 Char"/>
    <w:autoRedefine/>
    <w:qFormat/>
    <w:uiPriority w:val="0"/>
    <w:rPr>
      <w:rFonts w:ascii="宋体" w:hAnsi="宋体" w:eastAsia="宋体" w:cs="宋体"/>
      <w:b/>
      <w:bCs/>
      <w:color w:val="000000"/>
      <w:kern w:val="2"/>
      <w:sz w:val="24"/>
      <w:szCs w:val="28"/>
      <w:lang w:val="en-US" w:eastAsia="zh-CN" w:bidi="ar-SA"/>
    </w:rPr>
  </w:style>
  <w:style w:type="paragraph" w:customStyle="1" w:styleId="299">
    <w:name w:val="正文悬挂缩进"/>
    <w:basedOn w:val="1"/>
    <w:autoRedefine/>
    <w:qFormat/>
    <w:uiPriority w:val="0"/>
    <w:pPr>
      <w:snapToGrid w:val="0"/>
      <w:spacing w:line="360" w:lineRule="auto"/>
      <w:ind w:left="200" w:leftChars="200" w:firstLine="0" w:firstLineChars="0"/>
    </w:pPr>
    <w:rPr>
      <w:rFonts w:eastAsia="楷体_GB2312"/>
    </w:rPr>
  </w:style>
  <w:style w:type="character" w:customStyle="1" w:styleId="300">
    <w:name w:val="正文悬挂缩进 Char"/>
    <w:autoRedefine/>
    <w:qFormat/>
    <w:uiPriority w:val="0"/>
    <w:rPr>
      <w:rFonts w:eastAsia="楷体_GB2312" w:cs="宋体"/>
      <w:b/>
      <w:bCs/>
      <w:color w:val="000000"/>
      <w:kern w:val="2"/>
      <w:sz w:val="24"/>
      <w:szCs w:val="24"/>
      <w:lang w:val="en-US" w:eastAsia="zh-CN" w:bidi="ar-SA"/>
    </w:rPr>
  </w:style>
  <w:style w:type="paragraph" w:customStyle="1" w:styleId="301">
    <w:name w:val="样式 表格小四 + 11 磅"/>
    <w:basedOn w:val="286"/>
    <w:autoRedefine/>
    <w:qFormat/>
    <w:uiPriority w:val="0"/>
    <w:pPr>
      <w:spacing w:line="240" w:lineRule="atLeast"/>
    </w:pPr>
    <w:rPr>
      <w:kern w:val="0"/>
      <w:sz w:val="22"/>
    </w:rPr>
  </w:style>
  <w:style w:type="paragraph" w:customStyle="1" w:styleId="302">
    <w:name w:val="样式 样式 表格小四 + 11 磅 + 五号"/>
    <w:basedOn w:val="301"/>
    <w:autoRedefine/>
    <w:qFormat/>
    <w:uiPriority w:val="0"/>
    <w:rPr>
      <w:sz w:val="21"/>
    </w:rPr>
  </w:style>
  <w:style w:type="paragraph" w:customStyle="1" w:styleId="303">
    <w:name w:val="样式 (西文) 黑体 (中文) 黑体 小初 加粗 居中 首行缩进:  1.47 厘米 段前: 12 磅 加宽量  ..."/>
    <w:basedOn w:val="1"/>
    <w:autoRedefine/>
    <w:qFormat/>
    <w:uiPriority w:val="0"/>
    <w:pPr>
      <w:adjustRightInd w:val="0"/>
      <w:snapToGrid w:val="0"/>
      <w:spacing w:before="240" w:line="500" w:lineRule="atLeast"/>
      <w:ind w:firstLine="0" w:firstLineChars="0"/>
      <w:jc w:val="center"/>
    </w:pPr>
    <w:rPr>
      <w:rFonts w:ascii="黑体" w:hAnsi="宋体" w:eastAsia="黑体"/>
      <w:b/>
      <w:bCs/>
      <w:spacing w:val="60"/>
      <w:sz w:val="72"/>
    </w:rPr>
  </w:style>
  <w:style w:type="character" w:customStyle="1" w:styleId="304">
    <w:name w:val="样式 (西文) 黑体 (中文) 黑体 二号"/>
    <w:autoRedefine/>
    <w:qFormat/>
    <w:uiPriority w:val="0"/>
    <w:rPr>
      <w:rFonts w:ascii="黑体" w:hAnsi="黑体" w:eastAsia="黑体" w:cs="宋体"/>
      <w:b/>
      <w:bCs/>
      <w:color w:val="000000"/>
      <w:kern w:val="2"/>
      <w:sz w:val="44"/>
      <w:szCs w:val="32"/>
      <w:lang w:val="en-US" w:eastAsia="zh-CN" w:bidi="ar-SA"/>
    </w:rPr>
  </w:style>
  <w:style w:type="character" w:customStyle="1" w:styleId="305">
    <w:name w:val="列表 Char"/>
    <w:autoRedefine/>
    <w:qFormat/>
    <w:uiPriority w:val="0"/>
    <w:rPr>
      <w:rFonts w:ascii="宋体" w:hAnsi="宋体" w:eastAsia="宋体" w:cs="宋体"/>
      <w:b/>
      <w:bCs/>
      <w:color w:val="000000"/>
      <w:kern w:val="2"/>
      <w:sz w:val="28"/>
      <w:szCs w:val="28"/>
      <w:lang w:val="en-US" w:eastAsia="zh-CN" w:bidi="ar-SA"/>
    </w:rPr>
  </w:style>
  <w:style w:type="character" w:customStyle="1" w:styleId="306">
    <w:name w:val="表头四号 Char Char"/>
    <w:autoRedefine/>
    <w:qFormat/>
    <w:uiPriority w:val="0"/>
    <w:rPr>
      <w:rFonts w:ascii="宋体" w:hAnsi="宋体" w:eastAsia="宋体" w:cs="宋体"/>
      <w:b/>
      <w:bCs/>
      <w:color w:val="000000"/>
      <w:kern w:val="2"/>
      <w:sz w:val="28"/>
      <w:szCs w:val="28"/>
      <w:lang w:val="en-US" w:eastAsia="zh-CN" w:bidi="ar-SA"/>
    </w:rPr>
  </w:style>
  <w:style w:type="paragraph" w:customStyle="1" w:styleId="307">
    <w:name w:val="样式 表格文字 + 小四 居中 首行缩进:  0.36 厘米"/>
    <w:basedOn w:val="290"/>
    <w:autoRedefine/>
    <w:qFormat/>
    <w:uiPriority w:val="0"/>
    <w:pPr>
      <w:ind w:firstLine="205"/>
      <w:jc w:val="center"/>
    </w:pPr>
    <w:rPr>
      <w:szCs w:val="20"/>
    </w:rPr>
  </w:style>
  <w:style w:type="paragraph" w:customStyle="1" w:styleId="308">
    <w:name w:val="表格小四 居中 首行缩进:  0.36 厘米 + 五号 黑色"/>
    <w:basedOn w:val="307"/>
    <w:autoRedefine/>
    <w:qFormat/>
    <w:uiPriority w:val="0"/>
    <w:pPr>
      <w:spacing w:line="240" w:lineRule="atLeast"/>
      <w:ind w:firstLine="0"/>
    </w:pPr>
    <w:rPr>
      <w:color w:val="000000"/>
      <w:szCs w:val="24"/>
    </w:rPr>
  </w:style>
  <w:style w:type="paragraph" w:customStyle="1" w:styleId="309">
    <w:name w:val="表头四号 + 段前: 0.5 行1"/>
    <w:basedOn w:val="297"/>
    <w:autoRedefine/>
    <w:qFormat/>
    <w:uiPriority w:val="0"/>
    <w:pPr>
      <w:spacing w:before="193"/>
    </w:pPr>
    <w:rPr>
      <w:szCs w:val="20"/>
    </w:rPr>
  </w:style>
  <w:style w:type="character" w:customStyle="1" w:styleId="310">
    <w:name w:val="表格五号 Char"/>
    <w:autoRedefine/>
    <w:qFormat/>
    <w:uiPriority w:val="0"/>
    <w:rPr>
      <w:rFonts w:ascii="宋体" w:hAnsi="宋体" w:eastAsia="宋体" w:cs="宋体"/>
      <w:b/>
      <w:bCs/>
      <w:color w:val="000000"/>
      <w:kern w:val="2"/>
      <w:sz w:val="21"/>
      <w:szCs w:val="21"/>
      <w:lang w:val="en-US" w:eastAsia="zh-CN" w:bidi="ar-SA"/>
    </w:rPr>
  </w:style>
  <w:style w:type="character" w:customStyle="1" w:styleId="311">
    <w:name w:val="表格小四 Char"/>
    <w:autoRedefine/>
    <w:qFormat/>
    <w:uiPriority w:val="0"/>
    <w:rPr>
      <w:rFonts w:ascii="宋体" w:hAnsi="宋体" w:eastAsia="宋体" w:cs="宋体"/>
      <w:b/>
      <w:bCs/>
      <w:color w:val="000000"/>
      <w:kern w:val="2"/>
      <w:sz w:val="24"/>
      <w:szCs w:val="24"/>
      <w:lang w:val="en-US" w:eastAsia="zh-CN" w:bidi="ar-SA"/>
    </w:rPr>
  </w:style>
  <w:style w:type="paragraph" w:customStyle="1" w:styleId="312">
    <w:name w:val="表格小四 + 居中"/>
    <w:basedOn w:val="286"/>
    <w:autoRedefine/>
    <w:qFormat/>
    <w:uiPriority w:val="0"/>
    <w:pPr>
      <w:spacing w:line="240" w:lineRule="atLeast"/>
      <w:jc w:val="center"/>
    </w:pPr>
    <w:rPr>
      <w:szCs w:val="20"/>
    </w:rPr>
  </w:style>
  <w:style w:type="character" w:customStyle="1" w:styleId="313">
    <w:name w:val="正文文本 Char"/>
    <w:autoRedefine/>
    <w:qFormat/>
    <w:uiPriority w:val="0"/>
    <w:rPr>
      <w:rFonts w:ascii="宋体" w:hAnsi="宋体" w:eastAsia="宋体" w:cs="宋体"/>
      <w:b/>
      <w:bCs/>
      <w:color w:val="000000"/>
      <w:kern w:val="2"/>
      <w:sz w:val="28"/>
      <w:szCs w:val="28"/>
      <w:lang w:val="en-US" w:eastAsia="zh-CN" w:bidi="ar-SA"/>
    </w:rPr>
  </w:style>
  <w:style w:type="paragraph" w:customStyle="1" w:styleId="314">
    <w:name w:val="样式 表格小四 + 字距调整四号"/>
    <w:basedOn w:val="286"/>
    <w:autoRedefine/>
    <w:qFormat/>
    <w:uiPriority w:val="0"/>
    <w:pPr>
      <w:spacing w:line="240" w:lineRule="exact"/>
    </w:pPr>
    <w:rPr>
      <w:kern w:val="28"/>
    </w:rPr>
  </w:style>
  <w:style w:type="character" w:customStyle="1" w:styleId="315">
    <w:name w:val="Char Char"/>
    <w:autoRedefine/>
    <w:qFormat/>
    <w:uiPriority w:val="0"/>
    <w:rPr>
      <w:rFonts w:ascii="宋体" w:hAnsi="宋体" w:eastAsia="宋体" w:cs="宋体"/>
      <w:b/>
      <w:bCs/>
      <w:color w:val="000000"/>
      <w:kern w:val="2"/>
      <w:sz w:val="28"/>
      <w:szCs w:val="28"/>
      <w:lang w:val="en-US" w:eastAsia="zh-CN" w:bidi="ar-SA"/>
    </w:rPr>
  </w:style>
  <w:style w:type="character" w:customStyle="1" w:styleId="316">
    <w:name w:val="项标题(1) Char Char"/>
    <w:autoRedefine/>
    <w:qFormat/>
    <w:uiPriority w:val="0"/>
    <w:rPr>
      <w:rFonts w:ascii="宋体" w:hAnsi="宋体" w:eastAsia="宋体" w:cs="宋体"/>
      <w:b/>
      <w:bCs/>
      <w:color w:val="000000"/>
      <w:kern w:val="2"/>
      <w:sz w:val="24"/>
      <w:szCs w:val="28"/>
      <w:lang w:val="en-US" w:eastAsia="zh-CN" w:bidi="ar-SA"/>
    </w:rPr>
  </w:style>
  <w:style w:type="character" w:customStyle="1" w:styleId="317">
    <w:name w:val="Char Char15"/>
    <w:autoRedefine/>
    <w:qFormat/>
    <w:uiPriority w:val="0"/>
    <w:rPr>
      <w:rFonts w:ascii="宋体" w:hAnsi="宋体" w:eastAsia="宋体" w:cs="宋体"/>
      <w:b/>
      <w:bCs/>
      <w:color w:val="000000"/>
      <w:kern w:val="2"/>
      <w:sz w:val="28"/>
      <w:szCs w:val="28"/>
      <w:lang w:val="en-US" w:eastAsia="zh-CN" w:bidi="ar-SA"/>
    </w:rPr>
  </w:style>
  <w:style w:type="paragraph" w:customStyle="1" w:styleId="318">
    <w:name w:val="表头四号 Char"/>
    <w:basedOn w:val="86"/>
    <w:autoRedefine/>
    <w:qFormat/>
    <w:uiPriority w:val="0"/>
    <w:pPr>
      <w:spacing w:before="120" w:line="480" w:lineRule="exact"/>
      <w:ind w:firstLine="0" w:firstLineChars="0"/>
      <w:jc w:val="left"/>
    </w:pPr>
    <w:rPr>
      <w:rFonts w:ascii="宋体"/>
      <w:b/>
      <w:szCs w:val="28"/>
    </w:rPr>
  </w:style>
  <w:style w:type="paragraph" w:customStyle="1" w:styleId="319">
    <w:name w:val="样式 正文首行缩进 + 首行缩进:  2 字符1"/>
    <w:basedOn w:val="86"/>
    <w:autoRedefine/>
    <w:qFormat/>
    <w:uiPriority w:val="0"/>
    <w:pPr>
      <w:spacing w:line="480" w:lineRule="exact"/>
      <w:ind w:firstLine="560"/>
    </w:pPr>
    <w:rPr>
      <w:rFonts w:ascii="宋体"/>
      <w:szCs w:val="20"/>
    </w:rPr>
  </w:style>
  <w:style w:type="paragraph" w:customStyle="1" w:styleId="320">
    <w:name w:val="样式 表格小四 + 居中"/>
    <w:basedOn w:val="286"/>
    <w:autoRedefine/>
    <w:qFormat/>
    <w:uiPriority w:val="0"/>
    <w:pPr>
      <w:adjustRightInd/>
      <w:snapToGrid/>
      <w:jc w:val="center"/>
    </w:pPr>
    <w:rPr>
      <w:rFonts w:hAnsi="Times New Roman"/>
      <w:szCs w:val="20"/>
    </w:rPr>
  </w:style>
  <w:style w:type="paragraph" w:customStyle="1" w:styleId="321">
    <w:name w:val="xl24"/>
    <w:basedOn w:val="1"/>
    <w:link w:val="2487"/>
    <w:autoRedefine/>
    <w:qFormat/>
    <w:uiPriority w:val="0"/>
    <w:pPr>
      <w:widowControl/>
      <w:pBdr>
        <w:bottom w:val="single" w:color="auto" w:sz="4" w:space="0"/>
        <w:right w:val="single" w:color="auto" w:sz="4" w:space="0"/>
      </w:pBdr>
      <w:spacing w:before="100" w:beforeAutospacing="1" w:after="100" w:afterAutospacing="1"/>
      <w:ind w:firstLine="0" w:firstLineChars="0"/>
      <w:jc w:val="center"/>
    </w:pPr>
    <w:rPr>
      <w:rFonts w:ascii="宋体" w:hAnsi="宋体"/>
      <w:kern w:val="0"/>
      <w:szCs w:val="21"/>
    </w:rPr>
  </w:style>
  <w:style w:type="paragraph" w:customStyle="1" w:styleId="322">
    <w:name w:val="xl25"/>
    <w:basedOn w:val="1"/>
    <w:autoRedefine/>
    <w:qFormat/>
    <w:uiPriority w:val="0"/>
    <w:pPr>
      <w:widowControl/>
      <w:pBdr>
        <w:bottom w:val="single" w:color="auto" w:sz="12" w:space="0"/>
        <w:right w:val="single" w:color="auto" w:sz="4" w:space="0"/>
      </w:pBdr>
      <w:spacing w:before="100" w:beforeAutospacing="1" w:after="100" w:afterAutospacing="1"/>
      <w:ind w:firstLine="0" w:firstLineChars="0"/>
      <w:jc w:val="center"/>
    </w:pPr>
    <w:rPr>
      <w:rFonts w:ascii="宋体" w:hAnsi="宋体"/>
      <w:kern w:val="0"/>
      <w:szCs w:val="21"/>
    </w:rPr>
  </w:style>
  <w:style w:type="paragraph" w:customStyle="1" w:styleId="323">
    <w:name w:val="xl26"/>
    <w:basedOn w:val="1"/>
    <w:autoRedefine/>
    <w:qFormat/>
    <w:uiPriority w:val="0"/>
    <w:pPr>
      <w:widowControl/>
      <w:pBdr>
        <w:bottom w:val="single" w:color="auto" w:sz="4" w:space="0"/>
        <w:right w:val="single" w:color="auto" w:sz="4" w:space="0"/>
      </w:pBdr>
      <w:spacing w:before="100" w:beforeAutospacing="1" w:after="100" w:afterAutospacing="1"/>
      <w:ind w:firstLine="0" w:firstLineChars="0"/>
      <w:jc w:val="center"/>
    </w:pPr>
    <w:rPr>
      <w:rFonts w:ascii="宋体" w:hAnsi="宋体"/>
      <w:kern w:val="0"/>
      <w:szCs w:val="21"/>
    </w:rPr>
  </w:style>
  <w:style w:type="paragraph" w:customStyle="1" w:styleId="324">
    <w:name w:val="xl29"/>
    <w:basedOn w:val="1"/>
    <w:autoRedefine/>
    <w:qFormat/>
    <w:uiPriority w:val="0"/>
    <w:pPr>
      <w:widowControl/>
      <w:pBdr>
        <w:bottom w:val="single" w:color="auto" w:sz="4" w:space="0"/>
      </w:pBdr>
      <w:spacing w:before="100" w:beforeAutospacing="1" w:after="100" w:afterAutospacing="1"/>
      <w:ind w:firstLine="0" w:firstLineChars="0"/>
      <w:jc w:val="center"/>
    </w:pPr>
    <w:rPr>
      <w:rFonts w:ascii="宋体" w:hAnsi="宋体"/>
      <w:kern w:val="0"/>
      <w:szCs w:val="21"/>
    </w:rPr>
  </w:style>
  <w:style w:type="paragraph" w:customStyle="1" w:styleId="325">
    <w:name w:val="xl31"/>
    <w:basedOn w:val="1"/>
    <w:autoRedefine/>
    <w:qFormat/>
    <w:uiPriority w:val="0"/>
    <w:pPr>
      <w:widowControl/>
      <w:pBdr>
        <w:top w:val="single" w:color="auto" w:sz="4" w:space="0"/>
        <w:bottom w:val="single" w:color="auto" w:sz="4" w:space="0"/>
      </w:pBdr>
      <w:spacing w:before="100" w:beforeAutospacing="1" w:after="100" w:afterAutospacing="1"/>
      <w:ind w:firstLine="0" w:firstLineChars="0"/>
      <w:jc w:val="left"/>
    </w:pPr>
    <w:rPr>
      <w:rFonts w:ascii="宋体" w:hAnsi="宋体"/>
      <w:kern w:val="0"/>
      <w:szCs w:val="21"/>
    </w:rPr>
  </w:style>
  <w:style w:type="paragraph" w:customStyle="1" w:styleId="326">
    <w:name w:val="xl32"/>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ind w:firstLine="0" w:firstLineChars="0"/>
      <w:jc w:val="left"/>
    </w:pPr>
    <w:rPr>
      <w:rFonts w:ascii="宋体" w:hAnsi="宋体"/>
      <w:kern w:val="0"/>
    </w:rPr>
  </w:style>
  <w:style w:type="paragraph" w:customStyle="1" w:styleId="327">
    <w:name w:val="xl33"/>
    <w:basedOn w:val="1"/>
    <w:autoRedefine/>
    <w:qFormat/>
    <w:uiPriority w:val="0"/>
    <w:pPr>
      <w:widowControl/>
      <w:pBdr>
        <w:bottom w:val="single" w:color="auto" w:sz="4" w:space="0"/>
        <w:right w:val="single" w:color="auto" w:sz="4" w:space="0"/>
      </w:pBdr>
      <w:spacing w:before="100" w:beforeAutospacing="1" w:after="100" w:afterAutospacing="1"/>
      <w:ind w:firstLine="0" w:firstLineChars="0"/>
      <w:jc w:val="center"/>
    </w:pPr>
    <w:rPr>
      <w:rFonts w:ascii="宋体" w:hAnsi="宋体"/>
      <w:kern w:val="0"/>
      <w:szCs w:val="21"/>
    </w:rPr>
  </w:style>
  <w:style w:type="paragraph" w:customStyle="1" w:styleId="328">
    <w:name w:val="xl34"/>
    <w:basedOn w:val="1"/>
    <w:autoRedefine/>
    <w:qFormat/>
    <w:uiPriority w:val="0"/>
    <w:pPr>
      <w:widowControl/>
      <w:pBdr>
        <w:bottom w:val="single" w:color="auto" w:sz="4" w:space="0"/>
      </w:pBdr>
      <w:spacing w:before="100" w:beforeAutospacing="1" w:after="100" w:afterAutospacing="1"/>
      <w:ind w:firstLine="0" w:firstLineChars="0"/>
      <w:jc w:val="left"/>
    </w:pPr>
    <w:rPr>
      <w:rFonts w:ascii="宋体" w:hAnsi="宋体"/>
      <w:kern w:val="0"/>
      <w:szCs w:val="21"/>
    </w:rPr>
  </w:style>
  <w:style w:type="paragraph" w:customStyle="1" w:styleId="329">
    <w:name w:val="xl35"/>
    <w:basedOn w:val="1"/>
    <w:autoRedefine/>
    <w:qFormat/>
    <w:uiPriority w:val="0"/>
    <w:pPr>
      <w:widowControl/>
      <w:pBdr>
        <w:bottom w:val="single" w:color="auto" w:sz="4" w:space="0"/>
        <w:right w:val="single" w:color="auto" w:sz="4" w:space="0"/>
      </w:pBdr>
      <w:spacing w:before="100" w:beforeAutospacing="1" w:after="100" w:afterAutospacing="1"/>
      <w:ind w:firstLine="0" w:firstLineChars="0"/>
      <w:jc w:val="center"/>
      <w:textAlignment w:val="center"/>
    </w:pPr>
    <w:rPr>
      <w:rFonts w:ascii="宋体" w:hAnsi="宋体"/>
      <w:kern w:val="0"/>
      <w:szCs w:val="21"/>
    </w:rPr>
  </w:style>
  <w:style w:type="character" w:customStyle="1" w:styleId="330">
    <w:name w:val="font_green1"/>
    <w:autoRedefine/>
    <w:qFormat/>
    <w:uiPriority w:val="0"/>
    <w:rPr>
      <w:rFonts w:eastAsia="黑体" w:cs="宋体"/>
      <w:b/>
      <w:bCs/>
      <w:color w:val="044E10"/>
      <w:kern w:val="2"/>
      <w:sz w:val="18"/>
      <w:szCs w:val="18"/>
      <w:u w:val="none"/>
      <w:lang w:val="en-US" w:eastAsia="zh-CN" w:bidi="ar-SA"/>
    </w:rPr>
  </w:style>
  <w:style w:type="paragraph" w:customStyle="1" w:styleId="331">
    <w:name w:val="样式 样式 样式 标题 3标题 33 + 段前: 0.5 行 + 段前: 0.5 行 + 段前: 6 磅 段后: 0.5 行"/>
    <w:basedOn w:val="1"/>
    <w:autoRedefine/>
    <w:qFormat/>
    <w:uiPriority w:val="0"/>
    <w:pPr>
      <w:keepNext/>
      <w:keepLines/>
      <w:spacing w:line="360" w:lineRule="auto"/>
      <w:ind w:firstLine="480"/>
      <w:outlineLvl w:val="2"/>
    </w:pPr>
    <w:rPr>
      <w:rFonts w:ascii="黑体" w:hAnsi="宋体" w:eastAsia="黑体"/>
      <w:snapToGrid w:val="0"/>
      <w:color w:val="000000"/>
      <w:kern w:val="0"/>
    </w:rPr>
  </w:style>
  <w:style w:type="paragraph" w:customStyle="1" w:styleId="332">
    <w:name w:val="xl36"/>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ind w:firstLine="0" w:firstLineChars="0"/>
      <w:jc w:val="center"/>
    </w:pPr>
    <w:rPr>
      <w:rFonts w:ascii="Arial Unicode MS" w:hAnsi="Arial Unicode MS" w:eastAsia="Arial Unicode MS" w:cs="Arial Unicode MS"/>
      <w:kern w:val="0"/>
      <w:szCs w:val="21"/>
    </w:rPr>
  </w:style>
  <w:style w:type="paragraph" w:customStyle="1" w:styleId="333">
    <w:name w:val="xl37"/>
    <w:basedOn w:val="1"/>
    <w:autoRedefine/>
    <w:qFormat/>
    <w:uiPriority w:val="0"/>
    <w:pPr>
      <w:widowControl/>
      <w:spacing w:before="100" w:beforeAutospacing="1" w:after="100" w:afterAutospacing="1"/>
      <w:ind w:firstLine="0" w:firstLineChars="0"/>
      <w:jc w:val="center"/>
    </w:pPr>
    <w:rPr>
      <w:rFonts w:ascii="Arial Unicode MS" w:hAnsi="Arial Unicode MS" w:eastAsia="Arial Unicode MS" w:cs="Arial Unicode MS"/>
      <w:kern w:val="0"/>
    </w:rPr>
  </w:style>
  <w:style w:type="paragraph" w:customStyle="1" w:styleId="334">
    <w:name w:val="xl38"/>
    <w:basedOn w:val="1"/>
    <w:autoRedefine/>
    <w:qFormat/>
    <w:uiPriority w:val="0"/>
    <w:pPr>
      <w:widowControl/>
      <w:spacing w:before="100" w:beforeAutospacing="1" w:after="100" w:afterAutospacing="1"/>
      <w:ind w:firstLine="0" w:firstLineChars="0"/>
      <w:jc w:val="center"/>
    </w:pPr>
    <w:rPr>
      <w:rFonts w:ascii="Arial Unicode MS" w:hAnsi="Arial Unicode MS" w:eastAsia="Arial Unicode MS" w:cs="Arial Unicode MS"/>
      <w:kern w:val="0"/>
      <w:szCs w:val="21"/>
    </w:rPr>
  </w:style>
  <w:style w:type="paragraph" w:customStyle="1" w:styleId="335">
    <w:name w:val="正文文字缩进"/>
    <w:basedOn w:val="1"/>
    <w:next w:val="1"/>
    <w:link w:val="812"/>
    <w:autoRedefine/>
    <w:qFormat/>
    <w:uiPriority w:val="0"/>
    <w:pPr>
      <w:autoSpaceDE w:val="0"/>
      <w:autoSpaceDN w:val="0"/>
      <w:adjustRightInd w:val="0"/>
      <w:ind w:firstLine="0" w:firstLineChars="0"/>
      <w:jc w:val="left"/>
    </w:pPr>
    <w:rPr>
      <w:rFonts w:ascii="宋体"/>
      <w:kern w:val="0"/>
    </w:rPr>
  </w:style>
  <w:style w:type="character" w:customStyle="1" w:styleId="336">
    <w:name w:val="标题 字符2"/>
    <w:autoRedefine/>
    <w:qFormat/>
    <w:locked/>
    <w:uiPriority w:val="0"/>
    <w:rPr>
      <w:rFonts w:ascii="Arial" w:hAnsi="Arial" w:eastAsia="宋体" w:cs="Arial"/>
      <w:b/>
      <w:bCs/>
      <w:color w:val="000000"/>
      <w:kern w:val="2"/>
      <w:sz w:val="32"/>
      <w:szCs w:val="32"/>
      <w:lang w:val="en-US" w:eastAsia="zh-CN" w:bidi="ar-SA"/>
    </w:rPr>
  </w:style>
  <w:style w:type="character" w:customStyle="1" w:styleId="337">
    <w:name w:val="unnamed11"/>
    <w:autoRedefine/>
    <w:qFormat/>
    <w:uiPriority w:val="0"/>
    <w:rPr>
      <w:rFonts w:hint="eastAsia" w:ascii="宋体" w:hAnsi="宋体" w:eastAsia="宋体" w:cs="宋体"/>
      <w:b/>
      <w:bCs/>
      <w:color w:val="000000"/>
      <w:kern w:val="2"/>
      <w:sz w:val="18"/>
      <w:szCs w:val="18"/>
      <w:u w:val="none"/>
      <w:lang w:val="en-US" w:eastAsia="zh-CN" w:bidi="ar-SA"/>
    </w:rPr>
  </w:style>
  <w:style w:type="paragraph" w:customStyle="1" w:styleId="338">
    <w:name w:val="表格1"/>
    <w:basedOn w:val="1"/>
    <w:link w:val="1157"/>
    <w:autoRedefine/>
    <w:qFormat/>
    <w:uiPriority w:val="0"/>
    <w:pPr>
      <w:adjustRightInd w:val="0"/>
      <w:spacing w:line="360" w:lineRule="atLeast"/>
      <w:ind w:firstLine="0" w:firstLineChars="0"/>
      <w:jc w:val="center"/>
      <w:textAlignment w:val="baseline"/>
    </w:pPr>
    <w:rPr>
      <w:rFonts w:ascii="CG Times (WN)"/>
      <w:spacing w:val="6"/>
      <w:kern w:val="0"/>
    </w:rPr>
  </w:style>
  <w:style w:type="paragraph" w:customStyle="1" w:styleId="339">
    <w:name w:val="标题1"/>
    <w:basedOn w:val="1"/>
    <w:next w:val="1"/>
    <w:autoRedefine/>
    <w:qFormat/>
    <w:uiPriority w:val="0"/>
    <w:pPr>
      <w:adjustRightInd w:val="0"/>
      <w:snapToGrid w:val="0"/>
      <w:spacing w:after="240" w:line="420" w:lineRule="atLeast"/>
      <w:ind w:firstLine="0" w:firstLineChars="0"/>
      <w:jc w:val="left"/>
      <w:outlineLvl w:val="0"/>
    </w:pPr>
    <w:rPr>
      <w:b/>
      <w:spacing w:val="4"/>
      <w:kern w:val="0"/>
      <w:sz w:val="30"/>
    </w:rPr>
  </w:style>
  <w:style w:type="paragraph" w:customStyle="1" w:styleId="340">
    <w:name w:val="标题3"/>
    <w:basedOn w:val="1"/>
    <w:next w:val="1"/>
    <w:link w:val="1640"/>
    <w:autoRedefine/>
    <w:qFormat/>
    <w:uiPriority w:val="0"/>
    <w:pPr>
      <w:adjustRightInd w:val="0"/>
      <w:snapToGrid w:val="0"/>
      <w:spacing w:before="240" w:after="120" w:line="420" w:lineRule="atLeast"/>
      <w:ind w:firstLine="0" w:firstLineChars="0"/>
    </w:pPr>
    <w:rPr>
      <w:i/>
      <w:kern w:val="0"/>
      <w:sz w:val="28"/>
    </w:rPr>
  </w:style>
  <w:style w:type="paragraph" w:customStyle="1" w:styleId="341">
    <w:name w:val="表头1"/>
    <w:basedOn w:val="1"/>
    <w:link w:val="1406"/>
    <w:autoRedefine/>
    <w:qFormat/>
    <w:uiPriority w:val="0"/>
    <w:pPr>
      <w:keepNext/>
      <w:adjustRightInd w:val="0"/>
      <w:spacing w:line="240" w:lineRule="exact"/>
      <w:ind w:firstLine="0" w:firstLineChars="0"/>
      <w:jc w:val="center"/>
      <w:textAlignment w:val="baseline"/>
    </w:pPr>
    <w:rPr>
      <w:b/>
      <w:kern w:val="0"/>
    </w:rPr>
  </w:style>
  <w:style w:type="paragraph" w:customStyle="1" w:styleId="342">
    <w:name w:val="表中正文"/>
    <w:basedOn w:val="1"/>
    <w:autoRedefine/>
    <w:qFormat/>
    <w:uiPriority w:val="0"/>
    <w:pPr>
      <w:autoSpaceDE w:val="0"/>
      <w:autoSpaceDN w:val="0"/>
      <w:adjustRightInd w:val="0"/>
      <w:snapToGrid w:val="0"/>
      <w:spacing w:line="300" w:lineRule="atLeast"/>
      <w:ind w:firstLine="0" w:firstLineChars="0"/>
    </w:pPr>
    <w:rPr>
      <w:rFonts w:ascii="宋体"/>
    </w:rPr>
  </w:style>
  <w:style w:type="paragraph" w:customStyle="1" w:styleId="343">
    <w:name w:val="表格内容"/>
    <w:basedOn w:val="1"/>
    <w:link w:val="344"/>
    <w:autoRedefine/>
    <w:qFormat/>
    <w:uiPriority w:val="0"/>
    <w:pPr>
      <w:adjustRightInd w:val="0"/>
      <w:snapToGrid w:val="0"/>
      <w:ind w:firstLine="0" w:firstLineChars="0"/>
      <w:jc w:val="center"/>
    </w:pPr>
    <w:rPr>
      <w:rFonts w:hAnsi="宋体"/>
      <w:snapToGrid w:val="0"/>
      <w:kern w:val="0"/>
      <w:sz w:val="21"/>
      <w:szCs w:val="21"/>
    </w:rPr>
  </w:style>
  <w:style w:type="character" w:customStyle="1" w:styleId="344">
    <w:name w:val="表格内容 Char"/>
    <w:link w:val="343"/>
    <w:autoRedefine/>
    <w:qFormat/>
    <w:locked/>
    <w:uiPriority w:val="0"/>
    <w:rPr>
      <w:rFonts w:hAnsi="宋体"/>
      <w:snapToGrid w:val="0"/>
      <w:sz w:val="21"/>
      <w:szCs w:val="21"/>
    </w:rPr>
  </w:style>
  <w:style w:type="paragraph" w:customStyle="1" w:styleId="345">
    <w:name w:val="样式 标题 3 + 段前: 0.3 行"/>
    <w:basedOn w:val="5"/>
    <w:autoRedefine/>
    <w:qFormat/>
    <w:uiPriority w:val="0"/>
    <w:pPr>
      <w:keepNext w:val="0"/>
      <w:spacing w:before="120" w:beforeLines="50" w:after="120" w:line="440" w:lineRule="exact"/>
      <w:ind w:left="1418" w:firstLine="493"/>
      <w:jc w:val="left"/>
    </w:pPr>
    <w:rPr>
      <w:rFonts w:ascii="Arial" w:hAnsi="Arial"/>
      <w:bCs w:val="0"/>
      <w:spacing w:val="16"/>
      <w:w w:val="95"/>
      <w:kern w:val="0"/>
      <w:sz w:val="26"/>
      <w:szCs w:val="20"/>
    </w:rPr>
  </w:style>
  <w:style w:type="paragraph" w:customStyle="1" w:styleId="346">
    <w:name w:val="表内5"/>
    <w:basedOn w:val="347"/>
    <w:autoRedefine/>
    <w:qFormat/>
    <w:uiPriority w:val="0"/>
    <w:pPr>
      <w:jc w:val="both"/>
    </w:pPr>
  </w:style>
  <w:style w:type="paragraph" w:customStyle="1" w:styleId="347">
    <w:name w:val="表内5中"/>
    <w:basedOn w:val="45"/>
    <w:autoRedefine/>
    <w:qFormat/>
    <w:uiPriority w:val="0"/>
    <w:pPr>
      <w:snapToGrid w:val="0"/>
      <w:spacing w:line="240" w:lineRule="auto"/>
      <w:jc w:val="center"/>
      <w:textAlignment w:val="auto"/>
    </w:pPr>
    <w:rPr>
      <w:rFonts w:ascii="Times New Roman" w:hAnsi="Times New Roman"/>
      <w:kern w:val="2"/>
      <w:sz w:val="24"/>
    </w:rPr>
  </w:style>
  <w:style w:type="paragraph" w:customStyle="1" w:styleId="348">
    <w:name w:val="陈光的正文"/>
    <w:basedOn w:val="1"/>
    <w:autoRedefine/>
    <w:qFormat/>
    <w:uiPriority w:val="0"/>
    <w:pPr>
      <w:spacing w:line="360" w:lineRule="auto"/>
      <w:ind w:firstLine="567" w:firstLineChars="0"/>
    </w:pPr>
    <w:rPr>
      <w:sz w:val="28"/>
    </w:rPr>
  </w:style>
  <w:style w:type="character" w:customStyle="1" w:styleId="349">
    <w:name w:val="neiwen"/>
    <w:basedOn w:val="133"/>
    <w:autoRedefine/>
    <w:qFormat/>
    <w:uiPriority w:val="0"/>
    <w:rPr>
      <w:rFonts w:eastAsia="黑体" w:cs="宋体"/>
      <w:b/>
      <w:bCs/>
      <w:color w:val="000000"/>
      <w:kern w:val="2"/>
      <w:sz w:val="32"/>
      <w:szCs w:val="32"/>
      <w:lang w:val="en-US" w:eastAsia="zh-CN" w:bidi="ar-SA"/>
    </w:rPr>
  </w:style>
  <w:style w:type="character" w:customStyle="1" w:styleId="350">
    <w:name w:val="title1"/>
    <w:basedOn w:val="133"/>
    <w:autoRedefine/>
    <w:qFormat/>
    <w:uiPriority w:val="0"/>
    <w:rPr>
      <w:rFonts w:eastAsia="黑体" w:cs="宋体"/>
      <w:b/>
      <w:bCs/>
      <w:color w:val="000000"/>
      <w:kern w:val="2"/>
      <w:sz w:val="32"/>
      <w:szCs w:val="32"/>
      <w:lang w:val="en-US" w:eastAsia="zh-CN" w:bidi="ar-SA"/>
    </w:rPr>
  </w:style>
  <w:style w:type="paragraph" w:customStyle="1" w:styleId="351">
    <w:name w:val="样式 正文缩进文本条款 + 首行缩进:  2 字符"/>
    <w:basedOn w:val="21"/>
    <w:autoRedefine/>
    <w:qFormat/>
    <w:uiPriority w:val="0"/>
    <w:pPr>
      <w:adjustRightInd w:val="0"/>
      <w:snapToGrid w:val="0"/>
      <w:spacing w:line="480" w:lineRule="exact"/>
      <w:ind w:firstLine="560"/>
    </w:pPr>
    <w:rPr>
      <w:rFonts w:ascii="仿宋_GB2312" w:eastAsia="仿宋_GB2312" w:cs="宋体"/>
      <w:sz w:val="28"/>
    </w:rPr>
  </w:style>
  <w:style w:type="paragraph" w:customStyle="1" w:styleId="352">
    <w:name w:val="图表头"/>
    <w:basedOn w:val="1"/>
    <w:autoRedefine/>
    <w:qFormat/>
    <w:uiPriority w:val="0"/>
    <w:pPr>
      <w:adjustRightInd w:val="0"/>
      <w:spacing w:line="360" w:lineRule="auto"/>
      <w:ind w:firstLine="0" w:firstLineChars="0"/>
      <w:jc w:val="center"/>
      <w:textAlignment w:val="baseline"/>
    </w:pPr>
    <w:rPr>
      <w:rFonts w:ascii="黑体" w:eastAsia="黑体"/>
      <w:spacing w:val="5"/>
      <w:kern w:val="0"/>
    </w:rPr>
  </w:style>
  <w:style w:type="paragraph" w:customStyle="1" w:styleId="353">
    <w:name w:val="标题22"/>
    <w:basedOn w:val="1"/>
    <w:next w:val="1"/>
    <w:autoRedefine/>
    <w:qFormat/>
    <w:uiPriority w:val="0"/>
    <w:pPr>
      <w:spacing w:line="360" w:lineRule="auto"/>
      <w:ind w:firstLine="0" w:firstLineChars="0"/>
    </w:pPr>
    <w:rPr>
      <w:rFonts w:ascii="宋体" w:hAnsi="宋体" w:eastAsia="黑体" w:cs="宋体"/>
      <w:b/>
      <w:sz w:val="30"/>
    </w:rPr>
  </w:style>
  <w:style w:type="paragraph" w:customStyle="1" w:styleId="354">
    <w:name w:val="样式 标题 2"/>
    <w:basedOn w:val="4"/>
    <w:autoRedefine/>
    <w:qFormat/>
    <w:uiPriority w:val="0"/>
    <w:pPr>
      <w:ind w:left="992" w:hanging="992"/>
      <w:jc w:val="left"/>
    </w:pPr>
    <w:rPr>
      <w:rFonts w:cs="宋体"/>
      <w:color w:val="000000"/>
      <w:sz w:val="28"/>
    </w:rPr>
  </w:style>
  <w:style w:type="paragraph" w:customStyle="1" w:styleId="355">
    <w:name w:val="样式 标题 3 + 非加粗"/>
    <w:basedOn w:val="5"/>
    <w:link w:val="2003"/>
    <w:autoRedefine/>
    <w:qFormat/>
    <w:uiPriority w:val="0"/>
    <w:pPr>
      <w:numPr>
        <w:numId w:val="0"/>
      </w:numPr>
      <w:tabs>
        <w:tab w:val="left" w:pos="3570"/>
      </w:tabs>
      <w:jc w:val="left"/>
    </w:pPr>
    <w:rPr>
      <w:bCs w:val="0"/>
    </w:rPr>
  </w:style>
  <w:style w:type="paragraph" w:customStyle="1" w:styleId="356">
    <w:name w:val="表格正文"/>
    <w:basedOn w:val="1"/>
    <w:link w:val="357"/>
    <w:autoRedefine/>
    <w:qFormat/>
    <w:uiPriority w:val="0"/>
    <w:pPr>
      <w:spacing w:line="240" w:lineRule="atLeast"/>
      <w:ind w:firstLine="0" w:firstLineChars="0"/>
      <w:jc w:val="center"/>
    </w:pPr>
    <w:rPr>
      <w:color w:val="000000"/>
    </w:rPr>
  </w:style>
  <w:style w:type="character" w:customStyle="1" w:styleId="357">
    <w:name w:val="表格正文 Char"/>
    <w:link w:val="356"/>
    <w:autoRedefine/>
    <w:qFormat/>
    <w:uiPriority w:val="0"/>
    <w:rPr>
      <w:color w:val="000000"/>
      <w:kern w:val="2"/>
      <w:sz w:val="24"/>
      <w:szCs w:val="24"/>
    </w:rPr>
  </w:style>
  <w:style w:type="paragraph" w:customStyle="1" w:styleId="358">
    <w:name w:val="编号杨"/>
    <w:basedOn w:val="1"/>
    <w:autoRedefine/>
    <w:qFormat/>
    <w:uiPriority w:val="0"/>
    <w:pPr>
      <w:tabs>
        <w:tab w:val="left" w:pos="360"/>
      </w:tabs>
      <w:spacing w:before="20" w:beforeLines="20" w:after="20" w:afterLines="20" w:line="312" w:lineRule="auto"/>
      <w:ind w:firstLine="0" w:firstLineChars="0"/>
    </w:pPr>
  </w:style>
  <w:style w:type="paragraph" w:customStyle="1" w:styleId="359">
    <w:name w:val="Char Char Char Char Char Char Char Char Char Char Char Char Char Char Char Char Char Char Char Char Char Char"/>
    <w:basedOn w:val="1"/>
    <w:next w:val="1"/>
    <w:autoRedefine/>
    <w:qFormat/>
    <w:uiPriority w:val="0"/>
    <w:pPr>
      <w:spacing w:line="360" w:lineRule="auto"/>
    </w:pPr>
    <w:rPr>
      <w:rFonts w:ascii="宋体" w:hAnsi="宋体" w:cs="宋体"/>
    </w:rPr>
  </w:style>
  <w:style w:type="paragraph" w:customStyle="1" w:styleId="360">
    <w:name w:val="Char Char Char Char1 Char Char Char"/>
    <w:basedOn w:val="1"/>
    <w:autoRedefine/>
    <w:qFormat/>
    <w:uiPriority w:val="0"/>
    <w:rPr>
      <w:rFonts w:ascii="宋体" w:hAnsi="宋体" w:cs="宋体"/>
    </w:rPr>
  </w:style>
  <w:style w:type="paragraph" w:customStyle="1" w:styleId="361">
    <w:name w:val="Char Char Char Char"/>
    <w:basedOn w:val="1"/>
    <w:autoRedefine/>
    <w:qFormat/>
    <w:uiPriority w:val="0"/>
    <w:rPr>
      <w:rFonts w:ascii="宋体" w:hAnsi="宋体" w:cs="宋体"/>
    </w:rPr>
  </w:style>
  <w:style w:type="paragraph" w:customStyle="1" w:styleId="362">
    <w:name w:val="质表正文1"/>
    <w:basedOn w:val="1"/>
    <w:autoRedefine/>
    <w:qFormat/>
    <w:uiPriority w:val="0"/>
    <w:pPr>
      <w:adjustRightInd w:val="0"/>
      <w:snapToGrid w:val="0"/>
      <w:spacing w:line="360" w:lineRule="auto"/>
      <w:ind w:firstLine="0" w:firstLineChars="0"/>
      <w:jc w:val="center"/>
    </w:pPr>
    <w:rPr>
      <w:rFonts w:ascii="宋体" w:hAnsi="宋体"/>
      <w:sz w:val="21"/>
    </w:rPr>
  </w:style>
  <w:style w:type="paragraph" w:customStyle="1" w:styleId="363">
    <w:name w:val="环表头"/>
    <w:basedOn w:val="1"/>
    <w:autoRedefine/>
    <w:qFormat/>
    <w:uiPriority w:val="0"/>
    <w:pPr>
      <w:widowControl/>
      <w:tabs>
        <w:tab w:val="left" w:pos="0"/>
      </w:tabs>
      <w:adjustRightInd w:val="0"/>
      <w:spacing w:line="312" w:lineRule="atLeast"/>
      <w:ind w:right="-266" w:firstLine="0" w:firstLineChars="0"/>
      <w:jc w:val="center"/>
      <w:textAlignment w:val="baseline"/>
    </w:pPr>
    <w:rPr>
      <w:rFonts w:eastAsia="黑体"/>
      <w:b/>
      <w:kern w:val="0"/>
      <w:sz w:val="21"/>
      <w:szCs w:val="21"/>
    </w:rPr>
  </w:style>
  <w:style w:type="paragraph" w:customStyle="1" w:styleId="364">
    <w:name w:val="Char Char Char Char Char Char"/>
    <w:basedOn w:val="1"/>
    <w:next w:val="1"/>
    <w:autoRedefine/>
    <w:qFormat/>
    <w:uiPriority w:val="0"/>
    <w:pPr>
      <w:spacing w:line="360" w:lineRule="auto"/>
      <w:ind w:firstLine="0" w:firstLineChars="0"/>
      <w:jc w:val="left"/>
      <w:outlineLvl w:val="3"/>
    </w:pPr>
    <w:rPr>
      <w:rFonts w:eastAsia="Times New Roman"/>
      <w:b/>
    </w:rPr>
  </w:style>
  <w:style w:type="paragraph" w:customStyle="1" w:styleId="365">
    <w:name w:val="小四表文左齐"/>
    <w:basedOn w:val="1"/>
    <w:autoRedefine/>
    <w:qFormat/>
    <w:uiPriority w:val="0"/>
    <w:pPr>
      <w:widowControl/>
      <w:ind w:firstLine="0" w:firstLineChars="0"/>
      <w:jc w:val="center"/>
    </w:pPr>
    <w:rPr>
      <w:rFonts w:ascii="宋体"/>
      <w:sz w:val="21"/>
    </w:rPr>
  </w:style>
  <w:style w:type="paragraph" w:customStyle="1" w:styleId="366">
    <w:name w:val="二级正文"/>
    <w:basedOn w:val="1"/>
    <w:autoRedefine/>
    <w:qFormat/>
    <w:uiPriority w:val="0"/>
    <w:pPr>
      <w:tabs>
        <w:tab w:val="left" w:pos="3280"/>
      </w:tabs>
      <w:adjustRightInd w:val="0"/>
      <w:snapToGrid w:val="0"/>
      <w:spacing w:after="240"/>
      <w:ind w:left="578" w:firstLine="0" w:firstLineChars="0"/>
      <w:textAlignment w:val="baseline"/>
    </w:pPr>
    <w:rPr>
      <w:kern w:val="0"/>
      <w:sz w:val="21"/>
    </w:rPr>
  </w:style>
  <w:style w:type="paragraph" w:customStyle="1" w:styleId="367">
    <w:name w:val="xl22"/>
    <w:basedOn w:val="1"/>
    <w:autoRedefine/>
    <w:qFormat/>
    <w:uiPriority w:val="0"/>
    <w:pPr>
      <w:widowControl/>
      <w:pBdr>
        <w:bottom w:val="single" w:color="auto" w:sz="4" w:space="0"/>
        <w:right w:val="single" w:color="auto" w:sz="4" w:space="0"/>
      </w:pBdr>
      <w:spacing w:before="100" w:beforeAutospacing="1" w:after="100" w:afterAutospacing="1"/>
      <w:ind w:firstLine="0" w:firstLineChars="0"/>
      <w:jc w:val="center"/>
    </w:pPr>
    <w:rPr>
      <w:rFonts w:ascii="宋体" w:hAnsi="宋体"/>
      <w:kern w:val="0"/>
    </w:rPr>
  </w:style>
  <w:style w:type="paragraph" w:customStyle="1" w:styleId="368">
    <w:name w:val="+正文"/>
    <w:basedOn w:val="1"/>
    <w:link w:val="3285"/>
    <w:autoRedefine/>
    <w:qFormat/>
    <w:uiPriority w:val="0"/>
    <w:pPr>
      <w:spacing w:line="360" w:lineRule="auto"/>
    </w:pPr>
    <w:rPr>
      <w:sz w:val="28"/>
      <w:szCs w:val="28"/>
    </w:rPr>
  </w:style>
  <w:style w:type="paragraph" w:customStyle="1" w:styleId="369">
    <w:name w:val="样式 标题 3标题 13ReHead 3 WSAh3B HeadH3..标题 3 Char Char标题 3 ...1"/>
    <w:basedOn w:val="5"/>
    <w:autoRedefine/>
    <w:qFormat/>
    <w:uiPriority w:val="0"/>
    <w:pPr>
      <w:tabs>
        <w:tab w:val="left" w:pos="106"/>
      </w:tabs>
      <w:spacing w:before="120" w:after="120" w:line="360" w:lineRule="auto"/>
      <w:ind w:left="106" w:hanging="1418"/>
    </w:pPr>
    <w:rPr>
      <w:rFonts w:ascii="宋体" w:hAnsi="宋体" w:eastAsia="Times New Roman" w:cs="宋体"/>
      <w:color w:val="000000"/>
      <w:sz w:val="24"/>
      <w:szCs w:val="20"/>
    </w:rPr>
  </w:style>
  <w:style w:type="paragraph" w:customStyle="1" w:styleId="370">
    <w:name w:val="Char"/>
    <w:basedOn w:val="1"/>
    <w:autoRedefine/>
    <w:qFormat/>
    <w:uiPriority w:val="0"/>
    <w:pPr>
      <w:ind w:firstLine="0" w:firstLineChars="0"/>
    </w:pPr>
    <w:rPr>
      <w:rFonts w:ascii="Tahoma" w:hAnsi="Tahoma"/>
    </w:rPr>
  </w:style>
  <w:style w:type="paragraph" w:customStyle="1" w:styleId="371">
    <w:name w:val="font0"/>
    <w:basedOn w:val="1"/>
    <w:autoRedefine/>
    <w:qFormat/>
    <w:uiPriority w:val="0"/>
    <w:pPr>
      <w:widowControl/>
      <w:spacing w:before="100" w:beforeAutospacing="1" w:after="100" w:afterAutospacing="1"/>
      <w:ind w:firstLine="0" w:firstLineChars="0"/>
      <w:jc w:val="left"/>
    </w:pPr>
    <w:rPr>
      <w:rFonts w:hint="eastAsia" w:ascii="宋体" w:hAnsi="宋体"/>
      <w:kern w:val="0"/>
    </w:rPr>
  </w:style>
  <w:style w:type="paragraph" w:customStyle="1" w:styleId="372">
    <w:name w:val="font1"/>
    <w:basedOn w:val="1"/>
    <w:autoRedefine/>
    <w:qFormat/>
    <w:uiPriority w:val="0"/>
    <w:pPr>
      <w:widowControl/>
      <w:spacing w:before="100" w:beforeAutospacing="1" w:after="100" w:afterAutospacing="1"/>
      <w:ind w:firstLine="0" w:firstLineChars="0"/>
      <w:jc w:val="left"/>
    </w:pPr>
    <w:rPr>
      <w:rFonts w:hint="eastAsia" w:ascii="宋体" w:hAnsi="宋体"/>
      <w:kern w:val="0"/>
    </w:rPr>
  </w:style>
  <w:style w:type="paragraph" w:customStyle="1" w:styleId="373">
    <w:name w:val="font12"/>
    <w:basedOn w:val="1"/>
    <w:autoRedefine/>
    <w:qFormat/>
    <w:uiPriority w:val="0"/>
    <w:pPr>
      <w:widowControl/>
      <w:spacing w:before="100" w:beforeAutospacing="1" w:after="100" w:afterAutospacing="1"/>
      <w:ind w:firstLine="0" w:firstLineChars="0"/>
      <w:jc w:val="left"/>
    </w:pPr>
    <w:rPr>
      <w:rFonts w:hint="eastAsia" w:ascii="宋体" w:hAnsi="宋体"/>
      <w:color w:val="000000"/>
      <w:kern w:val="0"/>
    </w:rPr>
  </w:style>
  <w:style w:type="paragraph" w:customStyle="1" w:styleId="374">
    <w:name w:val="xl39"/>
    <w:basedOn w:val="1"/>
    <w:autoRedefine/>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ind w:firstLine="0" w:firstLineChars="0"/>
      <w:jc w:val="center"/>
    </w:pPr>
    <w:rPr>
      <w:rFonts w:ascii="宋体" w:hAnsi="宋体"/>
      <w:b/>
      <w:bCs/>
      <w:kern w:val="0"/>
    </w:rPr>
  </w:style>
  <w:style w:type="paragraph" w:customStyle="1" w:styleId="375">
    <w:name w:val="xl40"/>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ind w:firstLine="0" w:firstLineChars="0"/>
      <w:jc w:val="center"/>
    </w:pPr>
    <w:rPr>
      <w:rFonts w:ascii="宋体" w:hAnsi="宋体"/>
      <w:kern w:val="0"/>
    </w:rPr>
  </w:style>
  <w:style w:type="paragraph" w:customStyle="1" w:styleId="376">
    <w:name w:val="xl41"/>
    <w:basedOn w:val="1"/>
    <w:autoRedefine/>
    <w:qFormat/>
    <w:uiPriority w:val="0"/>
    <w:pPr>
      <w:widowControl/>
      <w:pBdr>
        <w:top w:val="single" w:color="auto" w:sz="4" w:space="0"/>
        <w:left w:val="single" w:color="auto" w:sz="8" w:space="0"/>
        <w:bottom w:val="single" w:color="auto" w:sz="4" w:space="0"/>
        <w:right w:val="single" w:color="auto" w:sz="4" w:space="0"/>
      </w:pBdr>
      <w:shd w:val="clear" w:color="auto" w:fill="FFFF00"/>
      <w:spacing w:before="100" w:beforeAutospacing="1" w:after="100" w:afterAutospacing="1"/>
      <w:ind w:firstLine="0" w:firstLineChars="0"/>
      <w:jc w:val="center"/>
    </w:pPr>
    <w:rPr>
      <w:rFonts w:ascii="宋体" w:hAnsi="宋体"/>
      <w:b/>
      <w:bCs/>
      <w:kern w:val="0"/>
    </w:rPr>
  </w:style>
  <w:style w:type="paragraph" w:customStyle="1" w:styleId="377">
    <w:name w:val="xl42"/>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ind w:firstLine="0" w:firstLineChars="0"/>
      <w:jc w:val="center"/>
    </w:pPr>
    <w:rPr>
      <w:rFonts w:ascii="宋体" w:hAnsi="宋体"/>
      <w:b/>
      <w:bCs/>
      <w:kern w:val="0"/>
    </w:rPr>
  </w:style>
  <w:style w:type="paragraph" w:customStyle="1" w:styleId="378">
    <w:name w:val="xl43"/>
    <w:basedOn w:val="1"/>
    <w:autoRedefine/>
    <w:qFormat/>
    <w:uiPriority w:val="0"/>
    <w:pPr>
      <w:widowControl/>
      <w:pBdr>
        <w:top w:val="single" w:color="auto" w:sz="4" w:space="0"/>
        <w:left w:val="single" w:color="auto" w:sz="8" w:space="0"/>
        <w:bottom w:val="single" w:color="auto" w:sz="4" w:space="0"/>
        <w:right w:val="single" w:color="auto" w:sz="4" w:space="0"/>
      </w:pBdr>
      <w:shd w:val="clear" w:color="auto" w:fill="FF9900"/>
      <w:spacing w:before="100" w:beforeAutospacing="1" w:after="100" w:afterAutospacing="1"/>
      <w:ind w:firstLine="0" w:firstLineChars="0"/>
      <w:jc w:val="center"/>
    </w:pPr>
    <w:rPr>
      <w:rFonts w:ascii="宋体" w:hAnsi="宋体"/>
      <w:b/>
      <w:bCs/>
      <w:kern w:val="0"/>
    </w:rPr>
  </w:style>
  <w:style w:type="paragraph" w:customStyle="1" w:styleId="379">
    <w:name w:val="xl44"/>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9900"/>
      <w:spacing w:before="100" w:beforeAutospacing="1" w:after="100" w:afterAutospacing="1"/>
      <w:ind w:firstLine="0" w:firstLineChars="0"/>
      <w:jc w:val="center"/>
    </w:pPr>
    <w:rPr>
      <w:rFonts w:ascii="宋体" w:hAnsi="宋体"/>
      <w:b/>
      <w:bCs/>
      <w:kern w:val="0"/>
    </w:rPr>
  </w:style>
  <w:style w:type="paragraph" w:customStyle="1" w:styleId="380">
    <w:name w:val="xl45"/>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9900"/>
      <w:spacing w:before="100" w:beforeAutospacing="1" w:after="100" w:afterAutospacing="1"/>
      <w:ind w:firstLine="0" w:firstLineChars="0"/>
      <w:jc w:val="center"/>
    </w:pPr>
    <w:rPr>
      <w:rFonts w:ascii="宋体" w:hAnsi="宋体"/>
      <w:b/>
      <w:bCs/>
      <w:kern w:val="0"/>
    </w:rPr>
  </w:style>
  <w:style w:type="paragraph" w:customStyle="1" w:styleId="381">
    <w:name w:val="xl46"/>
    <w:basedOn w:val="1"/>
    <w:autoRedefine/>
    <w:qFormat/>
    <w:uiPriority w:val="0"/>
    <w:pPr>
      <w:widowControl/>
      <w:pBdr>
        <w:top w:val="single" w:color="auto" w:sz="4" w:space="0"/>
        <w:left w:val="single" w:color="auto" w:sz="4" w:space="0"/>
        <w:bottom w:val="single" w:color="auto" w:sz="4" w:space="0"/>
        <w:right w:val="single" w:color="auto" w:sz="8" w:space="0"/>
      </w:pBdr>
      <w:shd w:val="clear" w:color="auto" w:fill="FF9900"/>
      <w:spacing w:before="100" w:beforeAutospacing="1" w:after="100" w:afterAutospacing="1"/>
      <w:ind w:firstLine="0" w:firstLineChars="0"/>
      <w:jc w:val="center"/>
    </w:pPr>
    <w:rPr>
      <w:rFonts w:ascii="宋体" w:hAnsi="宋体"/>
      <w:b/>
      <w:bCs/>
      <w:kern w:val="0"/>
    </w:rPr>
  </w:style>
  <w:style w:type="paragraph" w:customStyle="1" w:styleId="382">
    <w:name w:val="xl4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center"/>
    </w:pPr>
    <w:rPr>
      <w:rFonts w:ascii="宋体" w:hAnsi="宋体"/>
      <w:b/>
      <w:bCs/>
      <w:kern w:val="0"/>
    </w:rPr>
  </w:style>
  <w:style w:type="paragraph" w:customStyle="1" w:styleId="383">
    <w:name w:val="xl48"/>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ind w:firstLine="0" w:firstLineChars="0"/>
      <w:jc w:val="center"/>
    </w:pPr>
    <w:rPr>
      <w:rFonts w:ascii="宋体" w:hAnsi="宋体"/>
      <w:b/>
      <w:bCs/>
      <w:kern w:val="0"/>
    </w:rPr>
  </w:style>
  <w:style w:type="paragraph" w:customStyle="1" w:styleId="384">
    <w:name w:val="xl49"/>
    <w:basedOn w:val="1"/>
    <w:autoRedefine/>
    <w:qFormat/>
    <w:uiPriority w:val="0"/>
    <w:pPr>
      <w:widowControl/>
      <w:pBdr>
        <w:top w:val="single" w:color="auto" w:sz="4" w:space="0"/>
        <w:left w:val="single" w:color="auto" w:sz="8" w:space="0"/>
        <w:bottom w:val="single" w:color="auto" w:sz="4" w:space="0"/>
        <w:right w:val="single" w:color="auto" w:sz="4" w:space="0"/>
      </w:pBdr>
      <w:shd w:val="clear" w:color="auto" w:fill="33CCCC"/>
      <w:spacing w:before="100" w:beforeAutospacing="1" w:after="100" w:afterAutospacing="1"/>
      <w:ind w:firstLine="0" w:firstLineChars="0"/>
      <w:jc w:val="center"/>
    </w:pPr>
    <w:rPr>
      <w:rFonts w:ascii="宋体" w:hAnsi="宋体"/>
      <w:kern w:val="0"/>
    </w:rPr>
  </w:style>
  <w:style w:type="paragraph" w:customStyle="1" w:styleId="385">
    <w:name w:val="xl50"/>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33CCCC"/>
      <w:spacing w:before="100" w:beforeAutospacing="1" w:after="100" w:afterAutospacing="1"/>
      <w:ind w:firstLine="0" w:firstLineChars="0"/>
      <w:jc w:val="center"/>
    </w:pPr>
    <w:rPr>
      <w:rFonts w:ascii="宋体" w:hAnsi="宋体"/>
      <w:kern w:val="0"/>
    </w:rPr>
  </w:style>
  <w:style w:type="paragraph" w:customStyle="1" w:styleId="386">
    <w:name w:val="xl51"/>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33CCCC"/>
      <w:spacing w:before="100" w:beforeAutospacing="1" w:after="100" w:afterAutospacing="1"/>
      <w:ind w:firstLine="0" w:firstLineChars="0"/>
      <w:jc w:val="center"/>
    </w:pPr>
    <w:rPr>
      <w:rFonts w:ascii="宋体" w:hAnsi="宋体"/>
      <w:kern w:val="0"/>
    </w:rPr>
  </w:style>
  <w:style w:type="paragraph" w:customStyle="1" w:styleId="387">
    <w:name w:val="xl52"/>
    <w:basedOn w:val="1"/>
    <w:autoRedefine/>
    <w:qFormat/>
    <w:uiPriority w:val="0"/>
    <w:pPr>
      <w:widowControl/>
      <w:pBdr>
        <w:top w:val="single" w:color="auto" w:sz="4" w:space="0"/>
        <w:left w:val="single" w:color="auto" w:sz="4" w:space="0"/>
        <w:bottom w:val="single" w:color="auto" w:sz="4" w:space="0"/>
        <w:right w:val="single" w:color="auto" w:sz="8" w:space="0"/>
      </w:pBdr>
      <w:shd w:val="clear" w:color="auto" w:fill="33CCCC"/>
      <w:spacing w:before="100" w:beforeAutospacing="1" w:after="100" w:afterAutospacing="1"/>
      <w:ind w:firstLine="0" w:firstLineChars="0"/>
      <w:jc w:val="center"/>
    </w:pPr>
    <w:rPr>
      <w:rFonts w:ascii="宋体" w:hAnsi="宋体"/>
      <w:kern w:val="0"/>
    </w:rPr>
  </w:style>
  <w:style w:type="paragraph" w:customStyle="1" w:styleId="388">
    <w:name w:val="xl53"/>
    <w:basedOn w:val="1"/>
    <w:autoRedefine/>
    <w:qFormat/>
    <w:uiPriority w:val="0"/>
    <w:pPr>
      <w:widowControl/>
      <w:pBdr>
        <w:top w:val="single" w:color="auto" w:sz="4" w:space="0"/>
        <w:left w:val="single" w:color="auto" w:sz="8" w:space="0"/>
        <w:bottom w:val="single" w:color="auto" w:sz="4" w:space="0"/>
        <w:right w:val="single" w:color="auto" w:sz="4" w:space="0"/>
      </w:pBdr>
      <w:shd w:val="clear" w:color="auto" w:fill="33CCCC"/>
      <w:spacing w:before="100" w:beforeAutospacing="1" w:after="100" w:afterAutospacing="1"/>
      <w:ind w:firstLine="0" w:firstLineChars="0"/>
      <w:jc w:val="center"/>
    </w:pPr>
    <w:rPr>
      <w:rFonts w:ascii="宋体" w:hAnsi="宋体"/>
      <w:b/>
      <w:bCs/>
      <w:kern w:val="0"/>
    </w:rPr>
  </w:style>
  <w:style w:type="paragraph" w:customStyle="1" w:styleId="389">
    <w:name w:val="xl54"/>
    <w:basedOn w:val="1"/>
    <w:autoRedefine/>
    <w:qFormat/>
    <w:uiPriority w:val="0"/>
    <w:pPr>
      <w:widowControl/>
      <w:pBdr>
        <w:top w:val="single" w:color="auto" w:sz="4" w:space="0"/>
        <w:left w:val="single" w:color="auto" w:sz="4" w:space="0"/>
        <w:bottom w:val="single" w:color="auto" w:sz="4" w:space="0"/>
        <w:right w:val="single" w:color="auto" w:sz="8" w:space="0"/>
      </w:pBdr>
      <w:shd w:val="clear" w:color="auto" w:fill="33CCCC"/>
      <w:spacing w:before="100" w:beforeAutospacing="1" w:after="100" w:afterAutospacing="1"/>
      <w:ind w:firstLine="0" w:firstLineChars="0"/>
      <w:jc w:val="center"/>
    </w:pPr>
    <w:rPr>
      <w:rFonts w:ascii="宋体" w:hAnsi="宋体"/>
      <w:b/>
      <w:bCs/>
      <w:kern w:val="0"/>
    </w:rPr>
  </w:style>
  <w:style w:type="paragraph" w:customStyle="1" w:styleId="390">
    <w:name w:val="xl55"/>
    <w:basedOn w:val="1"/>
    <w:autoRedefine/>
    <w:qFormat/>
    <w:uiPriority w:val="0"/>
    <w:pPr>
      <w:widowControl/>
      <w:pBdr>
        <w:top w:val="single" w:color="auto" w:sz="4" w:space="0"/>
        <w:left w:val="single" w:color="auto" w:sz="8" w:space="0"/>
        <w:bottom w:val="single" w:color="auto" w:sz="4" w:space="0"/>
        <w:right w:val="single" w:color="auto" w:sz="4" w:space="0"/>
      </w:pBdr>
      <w:shd w:val="clear" w:color="auto" w:fill="00FF00"/>
      <w:spacing w:before="100" w:beforeAutospacing="1" w:after="100" w:afterAutospacing="1"/>
      <w:ind w:firstLine="0" w:firstLineChars="0"/>
      <w:jc w:val="center"/>
    </w:pPr>
    <w:rPr>
      <w:rFonts w:ascii="宋体" w:hAnsi="宋体"/>
      <w:b/>
      <w:bCs/>
      <w:kern w:val="0"/>
    </w:rPr>
  </w:style>
  <w:style w:type="paragraph" w:customStyle="1" w:styleId="391">
    <w:name w:val="xl56"/>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00FF00"/>
      <w:spacing w:before="100" w:beforeAutospacing="1" w:after="100" w:afterAutospacing="1"/>
      <w:ind w:firstLine="0" w:firstLineChars="0"/>
      <w:jc w:val="center"/>
    </w:pPr>
    <w:rPr>
      <w:rFonts w:ascii="宋体" w:hAnsi="宋体"/>
      <w:b/>
      <w:bCs/>
      <w:kern w:val="0"/>
    </w:rPr>
  </w:style>
  <w:style w:type="paragraph" w:customStyle="1" w:styleId="392">
    <w:name w:val="xl57"/>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00FF00"/>
      <w:spacing w:before="100" w:beforeAutospacing="1" w:after="100" w:afterAutospacing="1"/>
      <w:ind w:firstLine="0" w:firstLineChars="0"/>
      <w:jc w:val="center"/>
    </w:pPr>
    <w:rPr>
      <w:rFonts w:ascii="宋体" w:hAnsi="宋体"/>
      <w:b/>
      <w:bCs/>
      <w:kern w:val="0"/>
    </w:rPr>
  </w:style>
  <w:style w:type="paragraph" w:customStyle="1" w:styleId="393">
    <w:name w:val="xl58"/>
    <w:basedOn w:val="1"/>
    <w:autoRedefine/>
    <w:qFormat/>
    <w:uiPriority w:val="0"/>
    <w:pPr>
      <w:widowControl/>
      <w:pBdr>
        <w:top w:val="single" w:color="auto" w:sz="4" w:space="0"/>
        <w:left w:val="single" w:color="auto" w:sz="4" w:space="0"/>
        <w:bottom w:val="single" w:color="auto" w:sz="4" w:space="0"/>
        <w:right w:val="single" w:color="auto" w:sz="8" w:space="0"/>
      </w:pBdr>
      <w:shd w:val="clear" w:color="auto" w:fill="00FF00"/>
      <w:spacing w:before="100" w:beforeAutospacing="1" w:after="100" w:afterAutospacing="1"/>
      <w:ind w:firstLine="0" w:firstLineChars="0"/>
      <w:jc w:val="center"/>
    </w:pPr>
    <w:rPr>
      <w:rFonts w:ascii="宋体" w:hAnsi="宋体"/>
      <w:b/>
      <w:bCs/>
      <w:kern w:val="0"/>
    </w:rPr>
  </w:style>
  <w:style w:type="paragraph" w:customStyle="1" w:styleId="394">
    <w:name w:val="xl59"/>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ind w:firstLine="0" w:firstLineChars="0"/>
      <w:jc w:val="center"/>
    </w:pPr>
    <w:rPr>
      <w:rFonts w:ascii="宋体" w:hAnsi="宋体"/>
      <w:b/>
      <w:bCs/>
      <w:kern w:val="0"/>
    </w:rPr>
  </w:style>
  <w:style w:type="paragraph" w:customStyle="1" w:styleId="395">
    <w:name w:val="xl60"/>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ind w:firstLine="0" w:firstLineChars="0"/>
      <w:jc w:val="center"/>
    </w:pPr>
    <w:rPr>
      <w:rFonts w:ascii="宋体" w:hAnsi="宋体"/>
      <w:kern w:val="0"/>
    </w:rPr>
  </w:style>
  <w:style w:type="paragraph" w:customStyle="1" w:styleId="396">
    <w:name w:val="xl61"/>
    <w:basedOn w:val="1"/>
    <w:autoRedefine/>
    <w:qFormat/>
    <w:uiPriority w:val="0"/>
    <w:pPr>
      <w:widowControl/>
      <w:pBdr>
        <w:top w:val="single" w:color="auto" w:sz="4" w:space="0"/>
        <w:left w:val="single" w:color="auto" w:sz="8" w:space="0"/>
        <w:bottom w:val="single" w:color="auto" w:sz="4" w:space="0"/>
        <w:right w:val="single" w:color="auto" w:sz="4" w:space="0"/>
      </w:pBdr>
      <w:shd w:val="clear" w:color="auto" w:fill="FFFFFF"/>
      <w:spacing w:before="100" w:beforeAutospacing="1" w:after="100" w:afterAutospacing="1"/>
      <w:ind w:firstLine="0" w:firstLineChars="0"/>
      <w:jc w:val="center"/>
    </w:pPr>
    <w:rPr>
      <w:rFonts w:ascii="宋体" w:hAnsi="宋体"/>
      <w:kern w:val="0"/>
    </w:rPr>
  </w:style>
  <w:style w:type="paragraph" w:customStyle="1" w:styleId="397">
    <w:name w:val="xl62"/>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ind w:firstLine="0" w:firstLineChars="0"/>
      <w:jc w:val="center"/>
    </w:pPr>
    <w:rPr>
      <w:kern w:val="0"/>
    </w:rPr>
  </w:style>
  <w:style w:type="paragraph" w:customStyle="1" w:styleId="398">
    <w:name w:val="xl64"/>
    <w:basedOn w:val="1"/>
    <w:autoRedefine/>
    <w:qFormat/>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ind w:firstLine="0" w:firstLineChars="0"/>
      <w:jc w:val="center"/>
    </w:pPr>
    <w:rPr>
      <w:rFonts w:ascii="宋体" w:hAnsi="宋体"/>
      <w:kern w:val="0"/>
    </w:rPr>
  </w:style>
  <w:style w:type="paragraph" w:customStyle="1" w:styleId="399">
    <w:name w:val="正文首行缩进1"/>
    <w:basedOn w:val="1"/>
    <w:link w:val="3295"/>
    <w:autoRedefine/>
    <w:qFormat/>
    <w:uiPriority w:val="0"/>
    <w:pPr>
      <w:adjustRightInd w:val="0"/>
      <w:spacing w:line="300" w:lineRule="atLeast"/>
      <w:ind w:firstLine="539" w:firstLineChars="0"/>
      <w:textAlignment w:val="baseline"/>
    </w:pPr>
    <w:rPr>
      <w:rFonts w:ascii="宋体"/>
      <w:kern w:val="0"/>
    </w:rPr>
  </w:style>
  <w:style w:type="paragraph" w:customStyle="1" w:styleId="400">
    <w:name w:val="2"/>
    <w:basedOn w:val="1"/>
    <w:next w:val="45"/>
    <w:autoRedefine/>
    <w:qFormat/>
    <w:uiPriority w:val="99"/>
    <w:pPr>
      <w:ind w:firstLine="0" w:firstLineChars="0"/>
    </w:pPr>
    <w:rPr>
      <w:rFonts w:ascii="宋体" w:hAnsi="Courier New"/>
      <w:kern w:val="0"/>
      <w:sz w:val="21"/>
    </w:rPr>
  </w:style>
  <w:style w:type="paragraph" w:customStyle="1" w:styleId="401">
    <w:name w:val="表格式"/>
    <w:basedOn w:val="66"/>
    <w:autoRedefine/>
    <w:qFormat/>
    <w:uiPriority w:val="0"/>
    <w:pPr>
      <w:spacing w:line="0" w:lineRule="atLeast"/>
      <w:ind w:left="0" w:firstLine="0" w:firstLineChars="0"/>
      <w:jc w:val="center"/>
    </w:pPr>
    <w:rPr>
      <w:rFonts w:ascii="宋体" w:hAnsi="宋体"/>
      <w:sz w:val="28"/>
      <w:szCs w:val="28"/>
    </w:rPr>
  </w:style>
  <w:style w:type="paragraph" w:customStyle="1" w:styleId="402">
    <w:name w:val="样式"/>
    <w:basedOn w:val="1"/>
    <w:next w:val="51"/>
    <w:autoRedefine/>
    <w:qFormat/>
    <w:uiPriority w:val="0"/>
    <w:pPr>
      <w:spacing w:line="360" w:lineRule="auto"/>
      <w:ind w:left="359" w:leftChars="171" w:firstLine="701" w:firstLineChars="247"/>
    </w:pPr>
    <w:rPr>
      <w:spacing w:val="22"/>
    </w:rPr>
  </w:style>
  <w:style w:type="paragraph" w:customStyle="1" w:styleId="403">
    <w:name w:val="font13"/>
    <w:basedOn w:val="1"/>
    <w:autoRedefine/>
    <w:qFormat/>
    <w:uiPriority w:val="0"/>
    <w:pPr>
      <w:widowControl/>
      <w:spacing w:before="100" w:beforeAutospacing="1" w:after="100" w:afterAutospacing="1"/>
      <w:ind w:firstLine="0" w:firstLineChars="0"/>
      <w:jc w:val="left"/>
    </w:pPr>
    <w:rPr>
      <w:rFonts w:hint="eastAsia" w:ascii="黑体" w:hAnsi="Arial Unicode MS" w:eastAsia="黑体"/>
      <w:b/>
      <w:bCs/>
      <w:kern w:val="0"/>
      <w:sz w:val="20"/>
    </w:rPr>
  </w:style>
  <w:style w:type="paragraph" w:customStyle="1" w:styleId="404">
    <w:name w:val="font14"/>
    <w:basedOn w:val="1"/>
    <w:autoRedefine/>
    <w:qFormat/>
    <w:uiPriority w:val="0"/>
    <w:pPr>
      <w:widowControl/>
      <w:spacing w:before="100" w:beforeAutospacing="1" w:after="100" w:afterAutospacing="1"/>
      <w:ind w:firstLine="0" w:firstLineChars="0"/>
      <w:jc w:val="left"/>
    </w:pPr>
    <w:rPr>
      <w:rFonts w:eastAsia="Arial Unicode MS"/>
      <w:b/>
      <w:bCs/>
      <w:kern w:val="0"/>
      <w:sz w:val="20"/>
    </w:rPr>
  </w:style>
  <w:style w:type="paragraph" w:customStyle="1" w:styleId="405">
    <w:name w:val="xl80"/>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ind w:firstLine="0" w:firstLineChars="0"/>
      <w:jc w:val="center"/>
    </w:pPr>
    <w:rPr>
      <w:rFonts w:ascii="Arial Unicode MS" w:hAnsi="Arial Unicode MS" w:eastAsia="Arial Unicode MS"/>
      <w:color w:val="000000"/>
      <w:kern w:val="0"/>
      <w:sz w:val="20"/>
    </w:rPr>
  </w:style>
  <w:style w:type="paragraph" w:customStyle="1" w:styleId="406">
    <w:name w:val="xl81"/>
    <w:basedOn w:val="1"/>
    <w:autoRedefine/>
    <w:qFormat/>
    <w:uiPriority w:val="0"/>
    <w:pPr>
      <w:widowControl/>
      <w:pBdr>
        <w:top w:val="single" w:color="auto" w:sz="4" w:space="0"/>
        <w:bottom w:val="single" w:color="auto" w:sz="4" w:space="0"/>
      </w:pBdr>
      <w:spacing w:before="100" w:beforeAutospacing="1" w:after="100" w:afterAutospacing="1"/>
      <w:ind w:firstLine="0" w:firstLineChars="0"/>
      <w:jc w:val="center"/>
    </w:pPr>
    <w:rPr>
      <w:rFonts w:ascii="Arial Unicode MS" w:hAnsi="Arial Unicode MS" w:eastAsia="Arial Unicode MS"/>
      <w:color w:val="000000"/>
      <w:kern w:val="0"/>
      <w:sz w:val="20"/>
    </w:rPr>
  </w:style>
  <w:style w:type="paragraph" w:customStyle="1" w:styleId="407">
    <w:name w:val="xl82"/>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ind w:firstLine="0" w:firstLineChars="0"/>
      <w:jc w:val="center"/>
    </w:pPr>
    <w:rPr>
      <w:rFonts w:ascii="Arial Unicode MS" w:hAnsi="Arial Unicode MS" w:eastAsia="Arial Unicode MS"/>
      <w:color w:val="000000"/>
      <w:kern w:val="0"/>
      <w:sz w:val="20"/>
    </w:rPr>
  </w:style>
  <w:style w:type="paragraph" w:customStyle="1" w:styleId="408">
    <w:name w:val="font15"/>
    <w:basedOn w:val="1"/>
    <w:autoRedefine/>
    <w:qFormat/>
    <w:uiPriority w:val="0"/>
    <w:pPr>
      <w:widowControl/>
      <w:spacing w:before="100" w:beforeAutospacing="1" w:after="100" w:afterAutospacing="1"/>
      <w:ind w:firstLine="0" w:firstLineChars="0"/>
      <w:jc w:val="left"/>
    </w:pPr>
    <w:rPr>
      <w:rFonts w:eastAsia="Arial Unicode MS"/>
      <w:kern w:val="0"/>
      <w:sz w:val="16"/>
      <w:szCs w:val="16"/>
    </w:rPr>
  </w:style>
  <w:style w:type="paragraph" w:customStyle="1" w:styleId="409">
    <w:name w:val="font16"/>
    <w:basedOn w:val="1"/>
    <w:autoRedefine/>
    <w:qFormat/>
    <w:uiPriority w:val="0"/>
    <w:pPr>
      <w:widowControl/>
      <w:spacing w:before="100" w:beforeAutospacing="1" w:after="100" w:afterAutospacing="1"/>
      <w:ind w:firstLine="0" w:firstLineChars="0"/>
      <w:jc w:val="left"/>
    </w:pPr>
    <w:rPr>
      <w:rFonts w:hint="eastAsia" w:ascii="宋体" w:hAnsi="宋体"/>
      <w:color w:val="000000"/>
      <w:kern w:val="0"/>
      <w:sz w:val="16"/>
      <w:szCs w:val="16"/>
    </w:rPr>
  </w:style>
  <w:style w:type="paragraph" w:customStyle="1" w:styleId="410">
    <w:name w:val="font17"/>
    <w:basedOn w:val="1"/>
    <w:autoRedefine/>
    <w:qFormat/>
    <w:uiPriority w:val="0"/>
    <w:pPr>
      <w:widowControl/>
      <w:spacing w:before="100" w:beforeAutospacing="1" w:after="100" w:afterAutospacing="1"/>
      <w:ind w:firstLine="0" w:firstLineChars="0"/>
      <w:jc w:val="left"/>
    </w:pPr>
    <w:rPr>
      <w:rFonts w:eastAsia="Arial Unicode MS"/>
      <w:color w:val="000000"/>
      <w:kern w:val="0"/>
      <w:sz w:val="16"/>
      <w:szCs w:val="16"/>
    </w:rPr>
  </w:style>
  <w:style w:type="paragraph" w:customStyle="1" w:styleId="411">
    <w:name w:val="font18"/>
    <w:basedOn w:val="1"/>
    <w:autoRedefine/>
    <w:qFormat/>
    <w:uiPriority w:val="0"/>
    <w:pPr>
      <w:widowControl/>
      <w:spacing w:before="100" w:beforeAutospacing="1" w:after="100" w:afterAutospacing="1"/>
      <w:ind w:firstLine="0" w:firstLineChars="0"/>
      <w:jc w:val="left"/>
    </w:pPr>
    <w:rPr>
      <w:rFonts w:hint="eastAsia" w:ascii="宋体" w:hAnsi="宋体"/>
      <w:b/>
      <w:bCs/>
      <w:kern w:val="0"/>
      <w:sz w:val="20"/>
    </w:rPr>
  </w:style>
  <w:style w:type="paragraph" w:customStyle="1" w:styleId="412">
    <w:name w:val="font19"/>
    <w:basedOn w:val="1"/>
    <w:autoRedefine/>
    <w:qFormat/>
    <w:uiPriority w:val="0"/>
    <w:pPr>
      <w:widowControl/>
      <w:spacing w:before="100" w:beforeAutospacing="1" w:after="100" w:afterAutospacing="1"/>
      <w:ind w:firstLine="0" w:firstLineChars="0"/>
      <w:jc w:val="left"/>
    </w:pPr>
    <w:rPr>
      <w:rFonts w:hint="eastAsia" w:ascii="宋体" w:hAnsi="宋体"/>
      <w:kern w:val="0"/>
      <w:sz w:val="16"/>
      <w:szCs w:val="16"/>
    </w:rPr>
  </w:style>
  <w:style w:type="paragraph" w:customStyle="1" w:styleId="413">
    <w:name w:val="xl8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right"/>
    </w:pPr>
    <w:rPr>
      <w:rFonts w:eastAsia="Arial Unicode MS"/>
      <w:kern w:val="0"/>
      <w:sz w:val="16"/>
      <w:szCs w:val="16"/>
    </w:rPr>
  </w:style>
  <w:style w:type="paragraph" w:customStyle="1" w:styleId="414">
    <w:name w:val="xl8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right"/>
    </w:pPr>
    <w:rPr>
      <w:rFonts w:eastAsia="Arial Unicode MS"/>
      <w:kern w:val="0"/>
      <w:sz w:val="16"/>
      <w:szCs w:val="16"/>
    </w:rPr>
  </w:style>
  <w:style w:type="paragraph" w:customStyle="1" w:styleId="415">
    <w:name w:val="xl8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center"/>
    </w:pPr>
    <w:rPr>
      <w:rFonts w:ascii="Arial Unicode MS" w:hAnsi="Arial Unicode MS" w:eastAsia="Arial Unicode MS"/>
      <w:kern w:val="0"/>
      <w:sz w:val="16"/>
      <w:szCs w:val="16"/>
    </w:rPr>
  </w:style>
  <w:style w:type="paragraph" w:customStyle="1" w:styleId="416">
    <w:name w:val="xl8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center"/>
    </w:pPr>
    <w:rPr>
      <w:rFonts w:ascii="Arial Unicode MS" w:hAnsi="Arial Unicode MS" w:eastAsia="Arial Unicode MS"/>
      <w:b/>
      <w:bCs/>
      <w:kern w:val="0"/>
      <w:sz w:val="16"/>
      <w:szCs w:val="16"/>
    </w:rPr>
  </w:style>
  <w:style w:type="paragraph" w:customStyle="1" w:styleId="417">
    <w:name w:val="xl8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center"/>
    </w:pPr>
    <w:rPr>
      <w:rFonts w:eastAsia="Arial Unicode MS"/>
      <w:b/>
      <w:bCs/>
      <w:kern w:val="0"/>
      <w:sz w:val="16"/>
      <w:szCs w:val="16"/>
    </w:rPr>
  </w:style>
  <w:style w:type="paragraph" w:customStyle="1" w:styleId="418">
    <w:name w:val="xl8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right"/>
    </w:pPr>
    <w:rPr>
      <w:rFonts w:eastAsia="Arial Unicode MS"/>
      <w:kern w:val="0"/>
      <w:sz w:val="16"/>
      <w:szCs w:val="16"/>
    </w:rPr>
  </w:style>
  <w:style w:type="paragraph" w:customStyle="1" w:styleId="419">
    <w:name w:val="xl8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right"/>
    </w:pPr>
    <w:rPr>
      <w:rFonts w:eastAsia="Arial Unicode MS"/>
      <w:b/>
      <w:bCs/>
      <w:kern w:val="0"/>
      <w:sz w:val="16"/>
      <w:szCs w:val="16"/>
    </w:rPr>
  </w:style>
  <w:style w:type="paragraph" w:customStyle="1" w:styleId="420">
    <w:name w:val="xl9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left"/>
    </w:pPr>
    <w:rPr>
      <w:rFonts w:ascii="Arial Unicode MS" w:hAnsi="Arial Unicode MS" w:eastAsia="Arial Unicode MS"/>
      <w:b/>
      <w:bCs/>
      <w:kern w:val="0"/>
      <w:sz w:val="20"/>
    </w:rPr>
  </w:style>
  <w:style w:type="paragraph" w:customStyle="1" w:styleId="421">
    <w:name w:val="xl9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ind w:firstLine="0" w:firstLineChars="0"/>
      <w:jc w:val="center"/>
      <w:textAlignment w:val="center"/>
    </w:pPr>
    <w:rPr>
      <w:rFonts w:ascii="Arial Unicode MS" w:hAnsi="Arial Unicode MS" w:eastAsia="Arial Unicode MS"/>
      <w:kern w:val="0"/>
      <w:sz w:val="16"/>
      <w:szCs w:val="16"/>
    </w:rPr>
  </w:style>
  <w:style w:type="paragraph" w:customStyle="1" w:styleId="422">
    <w:name w:val="xl92"/>
    <w:basedOn w:val="1"/>
    <w:autoRedefine/>
    <w:qFormat/>
    <w:uiPriority w:val="0"/>
    <w:pPr>
      <w:widowControl/>
      <w:pBdr>
        <w:left w:val="single" w:color="auto" w:sz="4" w:space="0"/>
        <w:bottom w:val="single" w:color="auto" w:sz="4" w:space="0"/>
      </w:pBdr>
      <w:spacing w:before="100" w:beforeAutospacing="1" w:after="100" w:afterAutospacing="1"/>
      <w:ind w:firstLine="0" w:firstLineChars="0"/>
      <w:jc w:val="center"/>
      <w:textAlignment w:val="center"/>
    </w:pPr>
    <w:rPr>
      <w:rFonts w:ascii="Arial Unicode MS" w:hAnsi="Arial Unicode MS" w:eastAsia="Arial Unicode MS"/>
      <w:color w:val="000000"/>
      <w:kern w:val="0"/>
      <w:sz w:val="20"/>
    </w:rPr>
  </w:style>
  <w:style w:type="paragraph" w:customStyle="1" w:styleId="423">
    <w:name w:val="xl93"/>
    <w:basedOn w:val="1"/>
    <w:autoRedefine/>
    <w:qFormat/>
    <w:uiPriority w:val="0"/>
    <w:pPr>
      <w:widowControl/>
      <w:pBdr>
        <w:bottom w:val="single" w:color="auto" w:sz="4" w:space="0"/>
      </w:pBdr>
      <w:spacing w:before="100" w:beforeAutospacing="1" w:after="100" w:afterAutospacing="1"/>
      <w:ind w:firstLine="0" w:firstLineChars="0"/>
      <w:jc w:val="center"/>
      <w:textAlignment w:val="center"/>
    </w:pPr>
    <w:rPr>
      <w:rFonts w:ascii="Arial Unicode MS" w:hAnsi="Arial Unicode MS" w:eastAsia="Arial Unicode MS"/>
      <w:color w:val="000000"/>
      <w:kern w:val="0"/>
      <w:sz w:val="20"/>
    </w:rPr>
  </w:style>
  <w:style w:type="paragraph" w:customStyle="1" w:styleId="424">
    <w:name w:val="xl94"/>
    <w:basedOn w:val="1"/>
    <w:autoRedefine/>
    <w:qFormat/>
    <w:uiPriority w:val="0"/>
    <w:pPr>
      <w:widowControl/>
      <w:pBdr>
        <w:bottom w:val="single" w:color="auto" w:sz="4" w:space="0"/>
        <w:right w:val="single" w:color="auto" w:sz="4" w:space="0"/>
      </w:pBdr>
      <w:spacing w:before="100" w:beforeAutospacing="1" w:after="100" w:afterAutospacing="1"/>
      <w:ind w:firstLine="0" w:firstLineChars="0"/>
      <w:jc w:val="center"/>
      <w:textAlignment w:val="center"/>
    </w:pPr>
    <w:rPr>
      <w:rFonts w:ascii="Arial Unicode MS" w:hAnsi="Arial Unicode MS" w:eastAsia="Arial Unicode MS"/>
      <w:color w:val="000000"/>
      <w:kern w:val="0"/>
      <w:sz w:val="20"/>
    </w:rPr>
  </w:style>
  <w:style w:type="paragraph" w:customStyle="1" w:styleId="425">
    <w:name w:val="xl95"/>
    <w:basedOn w:val="1"/>
    <w:autoRedefine/>
    <w:qFormat/>
    <w:uiPriority w:val="0"/>
    <w:pPr>
      <w:widowControl/>
      <w:pBdr>
        <w:left w:val="single" w:color="auto" w:sz="4" w:space="0"/>
        <w:right w:val="single" w:color="auto" w:sz="4" w:space="0"/>
      </w:pBdr>
      <w:spacing w:before="100" w:beforeAutospacing="1" w:after="100" w:afterAutospacing="1"/>
      <w:ind w:firstLine="0" w:firstLineChars="0"/>
      <w:jc w:val="center"/>
      <w:textAlignment w:val="center"/>
    </w:pPr>
    <w:rPr>
      <w:rFonts w:ascii="Arial Unicode MS" w:hAnsi="Arial Unicode MS" w:eastAsia="Arial Unicode MS"/>
      <w:color w:val="000000"/>
      <w:kern w:val="0"/>
      <w:sz w:val="20"/>
    </w:rPr>
  </w:style>
  <w:style w:type="paragraph" w:customStyle="1" w:styleId="426">
    <w:name w:val="xl9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ind w:firstLine="0" w:firstLineChars="0"/>
      <w:jc w:val="center"/>
      <w:textAlignment w:val="center"/>
    </w:pPr>
    <w:rPr>
      <w:rFonts w:ascii="Arial Unicode MS" w:hAnsi="Arial Unicode MS" w:eastAsia="Arial Unicode MS"/>
      <w:color w:val="000000"/>
      <w:kern w:val="0"/>
      <w:sz w:val="20"/>
    </w:rPr>
  </w:style>
  <w:style w:type="paragraph" w:customStyle="1" w:styleId="427">
    <w:name w:val="xl97"/>
    <w:basedOn w:val="1"/>
    <w:autoRedefine/>
    <w:qFormat/>
    <w:uiPriority w:val="0"/>
    <w:pPr>
      <w:widowControl/>
      <w:pBdr>
        <w:left w:val="single" w:color="auto" w:sz="4" w:space="0"/>
        <w:right w:val="single" w:color="auto" w:sz="4" w:space="0"/>
      </w:pBdr>
      <w:spacing w:before="100" w:beforeAutospacing="1" w:after="100" w:afterAutospacing="1"/>
      <w:ind w:firstLine="0" w:firstLineChars="0"/>
      <w:jc w:val="center"/>
      <w:textAlignment w:val="center"/>
    </w:pPr>
    <w:rPr>
      <w:rFonts w:ascii="Arial Unicode MS" w:hAnsi="Arial Unicode MS" w:eastAsia="Arial Unicode MS"/>
      <w:color w:val="000000"/>
      <w:kern w:val="0"/>
      <w:sz w:val="20"/>
    </w:rPr>
  </w:style>
  <w:style w:type="paragraph" w:customStyle="1" w:styleId="428">
    <w:name w:val="xl98"/>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ind w:firstLine="0" w:firstLineChars="0"/>
      <w:jc w:val="center"/>
      <w:textAlignment w:val="center"/>
    </w:pPr>
    <w:rPr>
      <w:rFonts w:ascii="Arial Unicode MS" w:hAnsi="Arial Unicode MS" w:eastAsia="Arial Unicode MS"/>
      <w:color w:val="000000"/>
      <w:kern w:val="0"/>
      <w:sz w:val="20"/>
    </w:rPr>
  </w:style>
  <w:style w:type="paragraph" w:customStyle="1" w:styleId="429">
    <w:name w:val="正文(首行缩进)"/>
    <w:basedOn w:val="1"/>
    <w:link w:val="2668"/>
    <w:autoRedefine/>
    <w:qFormat/>
    <w:uiPriority w:val="0"/>
    <w:pPr>
      <w:spacing w:line="360" w:lineRule="auto"/>
      <w:ind w:firstLine="510" w:firstLineChars="0"/>
    </w:pPr>
    <w:rPr>
      <w:rFonts w:ascii="宋体" w:hAnsi="宋体"/>
      <w:snapToGrid w:val="0"/>
      <w:kern w:val="0"/>
    </w:rPr>
  </w:style>
  <w:style w:type="paragraph" w:customStyle="1" w:styleId="430">
    <w:name w:val="表"/>
    <w:basedOn w:val="1"/>
    <w:link w:val="2648"/>
    <w:autoRedefine/>
    <w:qFormat/>
    <w:uiPriority w:val="0"/>
    <w:pPr>
      <w:wordWrap w:val="0"/>
      <w:spacing w:before="180" w:after="60" w:line="280" w:lineRule="exact"/>
      <w:ind w:right="294" w:firstLine="0" w:firstLineChars="0"/>
      <w:jc w:val="center"/>
    </w:pPr>
    <w:rPr>
      <w:kern w:val="10"/>
      <w:lang w:bidi="he-IL"/>
    </w:rPr>
  </w:style>
  <w:style w:type="paragraph" w:customStyle="1" w:styleId="431">
    <w:name w:val="l_text"/>
    <w:basedOn w:val="1"/>
    <w:autoRedefine/>
    <w:qFormat/>
    <w:uiPriority w:val="0"/>
    <w:pPr>
      <w:widowControl/>
      <w:overflowPunct w:val="0"/>
      <w:autoSpaceDE w:val="0"/>
      <w:autoSpaceDN w:val="0"/>
      <w:adjustRightInd w:val="0"/>
      <w:spacing w:line="360" w:lineRule="auto"/>
      <w:ind w:firstLine="567" w:firstLineChars="0"/>
      <w:textAlignment w:val="baseline"/>
    </w:pPr>
    <w:rPr>
      <w:kern w:val="0"/>
      <w:sz w:val="28"/>
      <w:lang w:val="en-GB"/>
    </w:rPr>
  </w:style>
  <w:style w:type="character" w:customStyle="1" w:styleId="432">
    <w:name w:val="l_text Char Char2"/>
    <w:autoRedefine/>
    <w:qFormat/>
    <w:uiPriority w:val="0"/>
    <w:rPr>
      <w:rFonts w:ascii="宋体" w:hAnsi="宋体" w:eastAsia="宋体" w:cs="Century"/>
      <w:b/>
      <w:bCs/>
      <w:color w:val="000000"/>
      <w:kern w:val="2"/>
      <w:sz w:val="28"/>
      <w:szCs w:val="28"/>
      <w:lang w:val="en-US" w:eastAsia="zh-CN" w:bidi="ar-SA"/>
    </w:rPr>
  </w:style>
  <w:style w:type="character" w:customStyle="1" w:styleId="433">
    <w:name w:val="l_text Char Char Char1"/>
    <w:autoRedefine/>
    <w:qFormat/>
    <w:uiPriority w:val="0"/>
    <w:rPr>
      <w:rFonts w:ascii="宋体" w:hAnsi="宋体" w:eastAsia="宋体" w:cs="Century"/>
      <w:b/>
      <w:bCs/>
      <w:color w:val="000000"/>
      <w:kern w:val="2"/>
      <w:sz w:val="28"/>
      <w:szCs w:val="28"/>
      <w:lang w:val="en-US" w:eastAsia="zh-CN" w:bidi="ar-SA"/>
    </w:rPr>
  </w:style>
  <w:style w:type="paragraph" w:customStyle="1" w:styleId="434">
    <w:name w:val="table"/>
    <w:basedOn w:val="1"/>
    <w:autoRedefine/>
    <w:qFormat/>
    <w:uiPriority w:val="0"/>
    <w:pPr>
      <w:widowControl/>
      <w:overflowPunct w:val="0"/>
      <w:autoSpaceDE w:val="0"/>
      <w:autoSpaceDN w:val="0"/>
      <w:adjustRightInd w:val="0"/>
      <w:spacing w:before="60" w:after="60"/>
      <w:ind w:firstLine="0" w:firstLineChars="0"/>
      <w:jc w:val="center"/>
      <w:textAlignment w:val="baseline"/>
    </w:pPr>
    <w:rPr>
      <w:rFonts w:ascii="宋体" w:cs="Century"/>
      <w:kern w:val="0"/>
    </w:rPr>
  </w:style>
  <w:style w:type="paragraph" w:customStyle="1" w:styleId="435">
    <w:name w:val="l_text Char Char"/>
    <w:basedOn w:val="1"/>
    <w:autoRedefine/>
    <w:qFormat/>
    <w:uiPriority w:val="0"/>
    <w:pPr>
      <w:widowControl/>
      <w:overflowPunct w:val="0"/>
      <w:autoSpaceDE w:val="0"/>
      <w:autoSpaceDN w:val="0"/>
      <w:adjustRightInd w:val="0"/>
      <w:snapToGrid w:val="0"/>
      <w:spacing w:line="360" w:lineRule="auto"/>
      <w:ind w:firstLine="560"/>
      <w:textAlignment w:val="baseline"/>
    </w:pPr>
    <w:rPr>
      <w:rFonts w:ascii="宋体" w:hAnsi="宋体" w:cs="仿宋体"/>
      <w:kern w:val="0"/>
      <w:sz w:val="28"/>
      <w:szCs w:val="28"/>
      <w:lang w:val="zh-CN"/>
    </w:rPr>
  </w:style>
  <w:style w:type="paragraph" w:customStyle="1" w:styleId="436">
    <w:name w:val="T"/>
    <w:basedOn w:val="1"/>
    <w:autoRedefine/>
    <w:qFormat/>
    <w:uiPriority w:val="0"/>
    <w:pPr>
      <w:widowControl/>
      <w:overflowPunct w:val="0"/>
      <w:autoSpaceDE w:val="0"/>
      <w:autoSpaceDN w:val="0"/>
      <w:adjustRightInd w:val="0"/>
      <w:spacing w:before="120" w:after="120" w:line="360" w:lineRule="auto"/>
      <w:ind w:firstLine="0" w:firstLineChars="0"/>
      <w:jc w:val="center"/>
      <w:textAlignment w:val="baseline"/>
    </w:pPr>
    <w:rPr>
      <w:rFonts w:ascii="黑体" w:eastAsia="黑体" w:cs="黑体"/>
      <w:b/>
      <w:bCs/>
      <w:kern w:val="0"/>
      <w:sz w:val="28"/>
      <w:szCs w:val="28"/>
    </w:rPr>
  </w:style>
  <w:style w:type="paragraph" w:customStyle="1" w:styleId="437">
    <w:name w:val="textstyle1"/>
    <w:basedOn w:val="1"/>
    <w:autoRedefine/>
    <w:qFormat/>
    <w:uiPriority w:val="0"/>
    <w:pPr>
      <w:widowControl/>
      <w:overflowPunct w:val="0"/>
      <w:autoSpaceDE w:val="0"/>
      <w:autoSpaceDN w:val="0"/>
      <w:adjustRightInd w:val="0"/>
      <w:spacing w:before="120"/>
      <w:ind w:left="288" w:firstLine="432" w:firstLineChars="0"/>
      <w:textAlignment w:val="baseline"/>
    </w:pPr>
    <w:rPr>
      <w:rFonts w:ascii="楷体" w:eastAsia="楷体" w:cs="仿宋体"/>
      <w:kern w:val="0"/>
    </w:rPr>
  </w:style>
  <w:style w:type="paragraph" w:customStyle="1" w:styleId="438">
    <w:name w:val="表头样式"/>
    <w:basedOn w:val="439"/>
    <w:link w:val="440"/>
    <w:autoRedefine/>
    <w:qFormat/>
    <w:uiPriority w:val="0"/>
    <w:pPr>
      <w:snapToGrid/>
      <w:spacing w:line="240" w:lineRule="auto"/>
      <w:ind w:firstLine="0" w:firstLineChars="0"/>
      <w:jc w:val="center"/>
    </w:pPr>
    <w:rPr>
      <w:rFonts w:ascii="Times New Roman" w:hAnsi="Times New Roman" w:cs="Times New Roman"/>
      <w:color w:val="auto"/>
      <w:szCs w:val="21"/>
    </w:rPr>
  </w:style>
  <w:style w:type="paragraph" w:customStyle="1" w:styleId="439">
    <w:name w:val="表头11"/>
    <w:basedOn w:val="1"/>
    <w:autoRedefine/>
    <w:qFormat/>
    <w:uiPriority w:val="0"/>
    <w:pPr>
      <w:widowControl/>
      <w:wordWrap w:val="0"/>
      <w:snapToGrid w:val="0"/>
      <w:spacing w:line="360" w:lineRule="auto"/>
      <w:jc w:val="left"/>
    </w:pPr>
    <w:rPr>
      <w:rFonts w:ascii="宋体" w:hAnsi="宋体" w:cs="宋体"/>
      <w:b/>
      <w:color w:val="000000"/>
      <w:kern w:val="0"/>
    </w:rPr>
  </w:style>
  <w:style w:type="character" w:customStyle="1" w:styleId="440">
    <w:name w:val="表头样式 Char"/>
    <w:link w:val="438"/>
    <w:autoRedefine/>
    <w:qFormat/>
    <w:uiPriority w:val="0"/>
    <w:rPr>
      <w:b/>
      <w:sz w:val="24"/>
      <w:szCs w:val="21"/>
    </w:rPr>
  </w:style>
  <w:style w:type="paragraph" w:customStyle="1" w:styleId="441">
    <w:name w:val="表格nlw"/>
    <w:basedOn w:val="1"/>
    <w:link w:val="742"/>
    <w:autoRedefine/>
    <w:qFormat/>
    <w:uiPriority w:val="0"/>
    <w:pPr>
      <w:widowControl/>
      <w:spacing w:line="300" w:lineRule="exact"/>
      <w:ind w:firstLine="0" w:firstLineChars="0"/>
      <w:jc w:val="center"/>
    </w:pPr>
    <w:rPr>
      <w:kern w:val="0"/>
      <w:sz w:val="21"/>
      <w:szCs w:val="22"/>
    </w:rPr>
  </w:style>
  <w:style w:type="paragraph" w:customStyle="1" w:styleId="442">
    <w:name w:val="我的标题3"/>
    <w:basedOn w:val="1"/>
    <w:link w:val="2676"/>
    <w:autoRedefine/>
    <w:qFormat/>
    <w:uiPriority w:val="0"/>
    <w:pPr>
      <w:ind w:firstLine="0" w:firstLineChars="0"/>
    </w:pPr>
    <w:rPr>
      <w:rFonts w:eastAsia="黑体"/>
      <w:sz w:val="28"/>
    </w:rPr>
  </w:style>
  <w:style w:type="paragraph" w:customStyle="1" w:styleId="443">
    <w:name w:val="图表格式"/>
    <w:basedOn w:val="1"/>
    <w:autoRedefine/>
    <w:qFormat/>
    <w:uiPriority w:val="0"/>
    <w:pPr>
      <w:adjustRightInd w:val="0"/>
      <w:snapToGrid w:val="0"/>
      <w:spacing w:line="360" w:lineRule="auto"/>
      <w:ind w:firstLine="250" w:firstLineChars="250"/>
    </w:pPr>
    <w:rPr>
      <w:rFonts w:eastAsia="黑体"/>
      <w:snapToGrid w:val="0"/>
      <w:kern w:val="0"/>
    </w:rPr>
  </w:style>
  <w:style w:type="character" w:customStyle="1" w:styleId="444">
    <w:name w:val="图表格式 Char"/>
    <w:autoRedefine/>
    <w:qFormat/>
    <w:uiPriority w:val="0"/>
    <w:rPr>
      <w:rFonts w:ascii="宋体" w:hAnsi="宋体" w:eastAsia="宋体" w:cs="宋体"/>
      <w:b/>
      <w:bCs/>
      <w:color w:val="auto"/>
      <w:spacing w:val="0"/>
      <w:w w:val="100"/>
      <w:kern w:val="0"/>
      <w:position w:val="0"/>
      <w:sz w:val="24"/>
      <w:szCs w:val="32"/>
      <w:u w:val="none"/>
      <w:vertAlign w:val="baseline"/>
      <w:lang w:val="en-US" w:eastAsia="zh-CN" w:bidi="ar-SA"/>
    </w:rPr>
  </w:style>
  <w:style w:type="paragraph" w:customStyle="1" w:styleId="445">
    <w:name w:val="Char Char Char Char2"/>
    <w:basedOn w:val="1"/>
    <w:autoRedefine/>
    <w:qFormat/>
    <w:uiPriority w:val="0"/>
    <w:pPr>
      <w:spacing w:line="360" w:lineRule="auto"/>
    </w:pPr>
    <w:rPr>
      <w:rFonts w:ascii="宋体" w:hAnsi="宋体" w:cs="宋体"/>
    </w:rPr>
  </w:style>
  <w:style w:type="paragraph" w:customStyle="1" w:styleId="446">
    <w:name w:val="题注两端对齐"/>
    <w:basedOn w:val="22"/>
    <w:autoRedefine/>
    <w:qFormat/>
    <w:uiPriority w:val="0"/>
    <w:pPr>
      <w:spacing w:after="0" w:line="240" w:lineRule="auto"/>
      <w:ind w:firstLine="0" w:firstLineChars="0"/>
    </w:pPr>
    <w:rPr>
      <w:rFonts w:eastAsia="宋体" w:cs="Arial"/>
      <w:b/>
      <w:sz w:val="24"/>
      <w:szCs w:val="24"/>
      <w14:ligatures w14:val="none"/>
    </w:rPr>
  </w:style>
  <w:style w:type="paragraph" w:customStyle="1" w:styleId="447">
    <w:name w:val="样式 样式 宋体 小四 段前: 5 磅 段后: 5 磅 行距: 1.5 倍行距 + 首行缩进:  2 字符"/>
    <w:basedOn w:val="1"/>
    <w:autoRedefine/>
    <w:qFormat/>
    <w:uiPriority w:val="0"/>
    <w:pPr>
      <w:spacing w:line="360" w:lineRule="auto"/>
    </w:pPr>
    <w:rPr>
      <w:rFonts w:ascii="宋体" w:hAnsi="宋体" w:cs="宋体"/>
    </w:rPr>
  </w:style>
  <w:style w:type="paragraph" w:customStyle="1" w:styleId="448">
    <w:name w:val="样式 标题 1标题 11章标题 1b1 + (中文) 宋体"/>
    <w:basedOn w:val="3"/>
    <w:link w:val="449"/>
    <w:autoRedefine/>
    <w:qFormat/>
    <w:uiPriority w:val="0"/>
    <w:pPr>
      <w:ind w:left="425" w:hanging="137"/>
      <w:jc w:val="left"/>
    </w:pPr>
    <w:rPr>
      <w:bCs/>
    </w:rPr>
  </w:style>
  <w:style w:type="character" w:customStyle="1" w:styleId="449">
    <w:name w:val="样式 标题 1标题 11章标题 1b1 + (中文) 宋体 Char"/>
    <w:link w:val="448"/>
    <w:autoRedefine/>
    <w:qFormat/>
    <w:uiPriority w:val="0"/>
    <w:rPr>
      <w:rFonts w:eastAsia="黑体"/>
      <w:b/>
      <w:bCs/>
      <w:kern w:val="2"/>
      <w:sz w:val="36"/>
      <w:szCs w:val="36"/>
    </w:rPr>
  </w:style>
  <w:style w:type="paragraph" w:customStyle="1" w:styleId="450">
    <w:name w:val="正文YHY"/>
    <w:basedOn w:val="1"/>
    <w:link w:val="451"/>
    <w:autoRedefine/>
    <w:qFormat/>
    <w:uiPriority w:val="0"/>
    <w:pPr>
      <w:spacing w:before="50" w:beforeLines="50" w:after="50" w:afterLines="50" w:line="360" w:lineRule="auto"/>
    </w:pPr>
    <w:rPr>
      <w:rFonts w:cs="宋体"/>
    </w:rPr>
  </w:style>
  <w:style w:type="character" w:customStyle="1" w:styleId="451">
    <w:name w:val="正文YHY Char"/>
    <w:link w:val="450"/>
    <w:autoRedefine/>
    <w:qFormat/>
    <w:uiPriority w:val="0"/>
    <w:rPr>
      <w:rFonts w:cs="宋体"/>
      <w:kern w:val="2"/>
      <w:sz w:val="24"/>
      <w:szCs w:val="24"/>
    </w:rPr>
  </w:style>
  <w:style w:type="paragraph" w:customStyle="1" w:styleId="452">
    <w:name w:val="样式7"/>
    <w:basedOn w:val="273"/>
    <w:link w:val="453"/>
    <w:autoRedefine/>
    <w:qFormat/>
    <w:uiPriority w:val="0"/>
    <w:pPr>
      <w:spacing w:before="120" w:beforeLines="50" w:after="120" w:afterLines="50" w:line="360" w:lineRule="auto"/>
      <w:ind w:firstLine="1155" w:firstLineChars="550"/>
    </w:pPr>
    <w:rPr>
      <w:rFonts w:ascii="黑体" w:eastAsia="黑体" w:cs="方正宋体_GB18030"/>
      <w:sz w:val="21"/>
      <w:szCs w:val="21"/>
    </w:rPr>
  </w:style>
  <w:style w:type="character" w:customStyle="1" w:styleId="453">
    <w:name w:val="样式7 Char"/>
    <w:link w:val="452"/>
    <w:autoRedefine/>
    <w:qFormat/>
    <w:uiPriority w:val="0"/>
    <w:rPr>
      <w:rFonts w:ascii="黑体" w:eastAsia="黑体" w:cs="方正宋体_GB18030"/>
      <w:kern w:val="2"/>
      <w:sz w:val="21"/>
      <w:szCs w:val="21"/>
    </w:rPr>
  </w:style>
  <w:style w:type="paragraph" w:customStyle="1" w:styleId="454">
    <w:name w:val="样式 标题 2标题 21标题 121节H2SeHead wsa2标题 1.1 + 黑体 四号 非加粗"/>
    <w:basedOn w:val="4"/>
    <w:link w:val="2633"/>
    <w:autoRedefine/>
    <w:qFormat/>
    <w:uiPriority w:val="0"/>
    <w:pPr>
      <w:tabs>
        <w:tab w:val="left" w:pos="360"/>
      </w:tabs>
      <w:spacing w:before="260" w:after="260" w:line="416" w:lineRule="auto"/>
      <w:ind w:left="992" w:hanging="992"/>
    </w:pPr>
    <w:rPr>
      <w:rFonts w:ascii="黑体" w:hAnsi="黑体"/>
      <w:b w:val="0"/>
      <w:bCs w:val="0"/>
      <w:sz w:val="28"/>
      <w:szCs w:val="32"/>
    </w:rPr>
  </w:style>
  <w:style w:type="paragraph" w:customStyle="1" w:styleId="455">
    <w:name w:val="样式 标题 1 + 黑体 小三 非加粗"/>
    <w:basedOn w:val="3"/>
    <w:link w:val="834"/>
    <w:autoRedefine/>
    <w:qFormat/>
    <w:uiPriority w:val="0"/>
    <w:pPr>
      <w:keepLines/>
      <w:tabs>
        <w:tab w:val="left" w:pos="360"/>
        <w:tab w:val="clear" w:pos="0"/>
      </w:tabs>
      <w:spacing w:before="340" w:after="330" w:line="578" w:lineRule="auto"/>
      <w:ind w:left="425" w:hanging="137"/>
    </w:pPr>
    <w:rPr>
      <w:rFonts w:ascii="黑体" w:hAnsi="黑体"/>
      <w:b w:val="0"/>
      <w:kern w:val="44"/>
      <w:sz w:val="30"/>
      <w:szCs w:val="44"/>
    </w:rPr>
  </w:style>
  <w:style w:type="paragraph" w:customStyle="1" w:styleId="456">
    <w:name w:val="样式 标题 3 + 宋体 小四 非加粗"/>
    <w:basedOn w:val="5"/>
    <w:link w:val="1150"/>
    <w:autoRedefine/>
    <w:qFormat/>
    <w:uiPriority w:val="0"/>
    <w:pPr>
      <w:tabs>
        <w:tab w:val="left" w:pos="360"/>
      </w:tabs>
      <w:spacing w:before="260" w:after="260" w:line="416" w:lineRule="auto"/>
      <w:ind w:left="1418" w:hanging="1418"/>
    </w:pPr>
    <w:rPr>
      <w:rFonts w:ascii="宋体" w:hAnsi="宋体"/>
      <w:b w:val="0"/>
      <w:bCs w:val="0"/>
      <w:sz w:val="24"/>
      <w:szCs w:val="32"/>
    </w:rPr>
  </w:style>
  <w:style w:type="paragraph" w:customStyle="1" w:styleId="457">
    <w:name w:val="样式 标题 4 + 宋体 小四 非加粗"/>
    <w:basedOn w:val="6"/>
    <w:link w:val="2861"/>
    <w:autoRedefine/>
    <w:qFormat/>
    <w:uiPriority w:val="0"/>
    <w:pPr>
      <w:spacing w:before="280" w:after="290" w:line="376" w:lineRule="auto"/>
      <w:ind w:left="1418" w:hanging="1418"/>
    </w:pPr>
    <w:rPr>
      <w:rFonts w:ascii="宋体" w:hAnsi="宋体"/>
      <w:sz w:val="24"/>
    </w:rPr>
  </w:style>
  <w:style w:type="paragraph" w:customStyle="1" w:styleId="458">
    <w:name w:val="标题4 YHY"/>
    <w:basedOn w:val="6"/>
    <w:next w:val="1"/>
    <w:autoRedefine/>
    <w:qFormat/>
    <w:uiPriority w:val="0"/>
    <w:pPr>
      <w:keepNext w:val="0"/>
      <w:keepLines w:val="0"/>
      <w:numPr>
        <w:ilvl w:val="0"/>
        <w:numId w:val="0"/>
      </w:numPr>
      <w:tabs>
        <w:tab w:val="left" w:pos="352"/>
        <w:tab w:val="left" w:pos="798"/>
      </w:tabs>
      <w:spacing w:before="50" w:beforeLines="50" w:after="50" w:afterLines="50" w:line="360" w:lineRule="auto"/>
    </w:pPr>
    <w:rPr>
      <w:rFonts w:ascii="宋体" w:hAnsi="宋体"/>
      <w:sz w:val="24"/>
    </w:rPr>
  </w:style>
  <w:style w:type="paragraph" w:customStyle="1" w:styleId="459">
    <w:name w:val="CM9"/>
    <w:basedOn w:val="179"/>
    <w:next w:val="179"/>
    <w:autoRedefine/>
    <w:qFormat/>
    <w:uiPriority w:val="0"/>
    <w:pPr>
      <w:spacing w:line="536" w:lineRule="atLeast"/>
    </w:pPr>
    <w:rPr>
      <w:rFonts w:ascii="华文中宋" w:hAnsi="Calibri" w:eastAsia="华文中宋" w:cs="Times New Roman"/>
      <w:color w:val="auto"/>
    </w:rPr>
  </w:style>
  <w:style w:type="paragraph" w:customStyle="1" w:styleId="460">
    <w:name w:val="CM31"/>
    <w:basedOn w:val="179"/>
    <w:next w:val="179"/>
    <w:autoRedefine/>
    <w:qFormat/>
    <w:uiPriority w:val="99"/>
    <w:rPr>
      <w:rFonts w:ascii="华文中宋" w:hAnsi="Calibri" w:eastAsia="华文中宋" w:cs="Times New Roman"/>
      <w:color w:val="auto"/>
    </w:rPr>
  </w:style>
  <w:style w:type="paragraph" w:customStyle="1" w:styleId="461">
    <w:name w:val="CM10"/>
    <w:basedOn w:val="179"/>
    <w:next w:val="179"/>
    <w:autoRedefine/>
    <w:qFormat/>
    <w:uiPriority w:val="0"/>
    <w:pPr>
      <w:spacing w:line="536" w:lineRule="atLeast"/>
    </w:pPr>
    <w:rPr>
      <w:rFonts w:ascii="华文中宋" w:hAnsi="Calibri" w:eastAsia="华文中宋" w:cs="Times New Roman"/>
      <w:color w:val="auto"/>
    </w:rPr>
  </w:style>
  <w:style w:type="paragraph" w:customStyle="1" w:styleId="462">
    <w:name w:val="CM15"/>
    <w:basedOn w:val="179"/>
    <w:next w:val="179"/>
    <w:autoRedefine/>
    <w:qFormat/>
    <w:uiPriority w:val="99"/>
    <w:pPr>
      <w:spacing w:line="538" w:lineRule="atLeast"/>
    </w:pPr>
    <w:rPr>
      <w:rFonts w:ascii="华文中宋" w:hAnsi="Calibri" w:eastAsia="华文中宋" w:cs="Times New Roman"/>
      <w:color w:val="auto"/>
    </w:rPr>
  </w:style>
  <w:style w:type="paragraph" w:customStyle="1" w:styleId="463">
    <w:name w:val="CM18"/>
    <w:basedOn w:val="179"/>
    <w:next w:val="179"/>
    <w:autoRedefine/>
    <w:qFormat/>
    <w:uiPriority w:val="0"/>
    <w:pPr>
      <w:spacing w:line="538" w:lineRule="atLeast"/>
    </w:pPr>
    <w:rPr>
      <w:rFonts w:ascii="华文中宋" w:hAnsi="Calibri" w:eastAsia="华文中宋" w:cs="Times New Roman"/>
      <w:color w:val="auto"/>
    </w:rPr>
  </w:style>
  <w:style w:type="paragraph" w:customStyle="1" w:styleId="464">
    <w:name w:val="CM72"/>
    <w:basedOn w:val="179"/>
    <w:next w:val="179"/>
    <w:autoRedefine/>
    <w:qFormat/>
    <w:uiPriority w:val="99"/>
    <w:pPr>
      <w:spacing w:after="203"/>
    </w:pPr>
    <w:rPr>
      <w:rFonts w:ascii="华文中宋" w:hAnsi="Calibri" w:eastAsia="华文中宋" w:cs="Times New Roman"/>
      <w:color w:val="auto"/>
    </w:rPr>
  </w:style>
  <w:style w:type="paragraph" w:customStyle="1" w:styleId="465">
    <w:name w:val="CM19"/>
    <w:basedOn w:val="179"/>
    <w:next w:val="179"/>
    <w:autoRedefine/>
    <w:qFormat/>
    <w:uiPriority w:val="99"/>
    <w:rPr>
      <w:rFonts w:ascii="华文中宋" w:hAnsi="Calibri" w:eastAsia="华文中宋" w:cs="Times New Roman"/>
      <w:color w:val="auto"/>
    </w:rPr>
  </w:style>
  <w:style w:type="paragraph" w:customStyle="1" w:styleId="466">
    <w:name w:val="CM11"/>
    <w:basedOn w:val="179"/>
    <w:next w:val="179"/>
    <w:autoRedefine/>
    <w:qFormat/>
    <w:uiPriority w:val="99"/>
    <w:pPr>
      <w:spacing w:line="538" w:lineRule="atLeast"/>
    </w:pPr>
    <w:rPr>
      <w:rFonts w:ascii="华文中宋" w:hAnsi="Calibri" w:eastAsia="华文中宋" w:cs="Times New Roman"/>
      <w:color w:val="auto"/>
    </w:rPr>
  </w:style>
  <w:style w:type="paragraph" w:customStyle="1" w:styleId="467">
    <w:name w:val="CM75"/>
    <w:basedOn w:val="179"/>
    <w:next w:val="179"/>
    <w:autoRedefine/>
    <w:qFormat/>
    <w:uiPriority w:val="99"/>
    <w:pPr>
      <w:spacing w:after="530"/>
    </w:pPr>
    <w:rPr>
      <w:rFonts w:ascii="华文中宋" w:hAnsi="Calibri" w:eastAsia="华文中宋" w:cs="Times New Roman"/>
      <w:color w:val="auto"/>
    </w:rPr>
  </w:style>
  <w:style w:type="paragraph" w:customStyle="1" w:styleId="468">
    <w:name w:val="CM13"/>
    <w:basedOn w:val="179"/>
    <w:next w:val="179"/>
    <w:autoRedefine/>
    <w:qFormat/>
    <w:uiPriority w:val="99"/>
    <w:pPr>
      <w:spacing w:line="536" w:lineRule="atLeast"/>
    </w:pPr>
    <w:rPr>
      <w:rFonts w:ascii="华文中宋" w:hAnsi="Calibri" w:eastAsia="华文中宋" w:cs="Times New Roman"/>
      <w:color w:val="auto"/>
    </w:rPr>
  </w:style>
  <w:style w:type="paragraph" w:customStyle="1" w:styleId="469">
    <w:name w:val="CM25"/>
    <w:basedOn w:val="179"/>
    <w:next w:val="179"/>
    <w:autoRedefine/>
    <w:qFormat/>
    <w:uiPriority w:val="99"/>
    <w:pPr>
      <w:spacing w:line="538" w:lineRule="atLeast"/>
    </w:pPr>
    <w:rPr>
      <w:rFonts w:ascii="华文中宋" w:hAnsi="Calibri" w:eastAsia="华文中宋" w:cs="Times New Roman"/>
      <w:color w:val="auto"/>
    </w:rPr>
  </w:style>
  <w:style w:type="paragraph" w:customStyle="1" w:styleId="470">
    <w:name w:val="CM16"/>
    <w:basedOn w:val="179"/>
    <w:next w:val="179"/>
    <w:autoRedefine/>
    <w:qFormat/>
    <w:uiPriority w:val="99"/>
    <w:pPr>
      <w:spacing w:line="538" w:lineRule="atLeast"/>
    </w:pPr>
    <w:rPr>
      <w:rFonts w:ascii="华文中宋" w:hAnsi="Calibri" w:eastAsia="华文中宋" w:cs="Times New Roman"/>
      <w:color w:val="auto"/>
    </w:rPr>
  </w:style>
  <w:style w:type="paragraph" w:customStyle="1" w:styleId="471">
    <w:name w:val="CM76"/>
    <w:basedOn w:val="179"/>
    <w:next w:val="179"/>
    <w:autoRedefine/>
    <w:qFormat/>
    <w:uiPriority w:val="99"/>
    <w:pPr>
      <w:spacing w:after="270"/>
    </w:pPr>
    <w:rPr>
      <w:rFonts w:ascii="华文中宋" w:hAnsi="Calibri" w:eastAsia="华文中宋" w:cs="Times New Roman"/>
      <w:color w:val="auto"/>
    </w:rPr>
  </w:style>
  <w:style w:type="paragraph" w:customStyle="1" w:styleId="472">
    <w:name w:val="CM20"/>
    <w:basedOn w:val="179"/>
    <w:next w:val="179"/>
    <w:autoRedefine/>
    <w:qFormat/>
    <w:uiPriority w:val="0"/>
    <w:rPr>
      <w:rFonts w:ascii="华文中宋" w:hAnsi="Calibri" w:eastAsia="华文中宋" w:cs="Times New Roman"/>
      <w:color w:val="auto"/>
    </w:rPr>
  </w:style>
  <w:style w:type="paragraph" w:customStyle="1" w:styleId="473">
    <w:name w:val="CM81"/>
    <w:basedOn w:val="179"/>
    <w:next w:val="179"/>
    <w:autoRedefine/>
    <w:qFormat/>
    <w:uiPriority w:val="99"/>
    <w:pPr>
      <w:spacing w:after="125"/>
    </w:pPr>
    <w:rPr>
      <w:rFonts w:ascii="华文中宋" w:hAnsi="Calibri" w:eastAsia="华文中宋" w:cs="Times New Roman"/>
      <w:color w:val="auto"/>
    </w:rPr>
  </w:style>
  <w:style w:type="paragraph" w:customStyle="1" w:styleId="474">
    <w:name w:val="CM38"/>
    <w:basedOn w:val="179"/>
    <w:next w:val="179"/>
    <w:autoRedefine/>
    <w:qFormat/>
    <w:uiPriority w:val="0"/>
    <w:rPr>
      <w:rFonts w:ascii="华文中宋" w:hAnsi="Calibri" w:eastAsia="华文中宋" w:cs="Times New Roman"/>
      <w:color w:val="auto"/>
    </w:rPr>
  </w:style>
  <w:style w:type="paragraph" w:customStyle="1" w:styleId="475">
    <w:name w:val="CM17"/>
    <w:basedOn w:val="179"/>
    <w:next w:val="179"/>
    <w:autoRedefine/>
    <w:qFormat/>
    <w:uiPriority w:val="99"/>
    <w:pPr>
      <w:spacing w:line="536" w:lineRule="atLeast"/>
    </w:pPr>
    <w:rPr>
      <w:rFonts w:ascii="华文中宋" w:hAnsi="Calibri" w:eastAsia="华文中宋" w:cs="Times New Roman"/>
      <w:color w:val="auto"/>
    </w:rPr>
  </w:style>
  <w:style w:type="paragraph" w:customStyle="1" w:styleId="476">
    <w:name w:val="CM21"/>
    <w:basedOn w:val="179"/>
    <w:next w:val="179"/>
    <w:autoRedefine/>
    <w:qFormat/>
    <w:uiPriority w:val="0"/>
    <w:rPr>
      <w:rFonts w:ascii="华文中宋" w:hAnsi="Calibri" w:eastAsia="华文中宋" w:cs="Times New Roman"/>
      <w:color w:val="auto"/>
    </w:rPr>
  </w:style>
  <w:style w:type="paragraph" w:customStyle="1" w:styleId="477">
    <w:name w:val="CM24"/>
    <w:basedOn w:val="179"/>
    <w:next w:val="179"/>
    <w:autoRedefine/>
    <w:qFormat/>
    <w:uiPriority w:val="99"/>
    <w:pPr>
      <w:spacing w:line="538" w:lineRule="atLeast"/>
    </w:pPr>
    <w:rPr>
      <w:rFonts w:ascii="华文中宋" w:hAnsi="Calibri" w:eastAsia="华文中宋" w:cs="Times New Roman"/>
      <w:color w:val="auto"/>
    </w:rPr>
  </w:style>
  <w:style w:type="paragraph" w:customStyle="1" w:styleId="478">
    <w:name w:val="CM26"/>
    <w:basedOn w:val="179"/>
    <w:next w:val="179"/>
    <w:autoRedefine/>
    <w:qFormat/>
    <w:uiPriority w:val="99"/>
    <w:rPr>
      <w:rFonts w:ascii="华文中宋" w:hAnsi="Calibri" w:eastAsia="华文中宋" w:cs="Times New Roman"/>
      <w:color w:val="auto"/>
    </w:rPr>
  </w:style>
  <w:style w:type="paragraph" w:customStyle="1" w:styleId="479">
    <w:name w:val="默认段落字体 Para Char Char Char1 Char Char Char Char"/>
    <w:basedOn w:val="1"/>
    <w:autoRedefine/>
    <w:qFormat/>
    <w:uiPriority w:val="0"/>
    <w:pPr>
      <w:ind w:firstLine="0" w:firstLineChars="0"/>
    </w:pPr>
  </w:style>
  <w:style w:type="character" w:customStyle="1" w:styleId="480">
    <w:name w:val="批注框文本 字符2"/>
    <w:link w:val="54"/>
    <w:autoRedefine/>
    <w:qFormat/>
    <w:uiPriority w:val="99"/>
    <w:rPr>
      <w:kern w:val="2"/>
      <w:sz w:val="18"/>
      <w:szCs w:val="18"/>
    </w:rPr>
  </w:style>
  <w:style w:type="paragraph" w:customStyle="1" w:styleId="481">
    <w:name w:val="CM54"/>
    <w:basedOn w:val="179"/>
    <w:next w:val="179"/>
    <w:autoRedefine/>
    <w:qFormat/>
    <w:uiPriority w:val="99"/>
    <w:pPr>
      <w:spacing w:line="500" w:lineRule="atLeast"/>
    </w:pPr>
    <w:rPr>
      <w:rFonts w:ascii="华文中宋" w:hAnsi="Calibri" w:eastAsia="华文中宋" w:cs="Times New Roman"/>
      <w:color w:val="auto"/>
    </w:rPr>
  </w:style>
  <w:style w:type="paragraph" w:customStyle="1" w:styleId="482">
    <w:name w:val="CM65"/>
    <w:basedOn w:val="179"/>
    <w:next w:val="179"/>
    <w:autoRedefine/>
    <w:qFormat/>
    <w:uiPriority w:val="99"/>
    <w:pPr>
      <w:spacing w:line="500" w:lineRule="atLeast"/>
    </w:pPr>
    <w:rPr>
      <w:rFonts w:ascii="华文中宋" w:hAnsi="Calibri" w:eastAsia="华文中宋" w:cs="Times New Roman"/>
      <w:color w:val="auto"/>
    </w:rPr>
  </w:style>
  <w:style w:type="paragraph" w:customStyle="1" w:styleId="483">
    <w:name w:val="CM14"/>
    <w:basedOn w:val="179"/>
    <w:next w:val="179"/>
    <w:autoRedefine/>
    <w:qFormat/>
    <w:uiPriority w:val="99"/>
    <w:rPr>
      <w:rFonts w:ascii="华文中宋" w:hAnsi="Calibri" w:eastAsia="华文中宋" w:cs="Times New Roman"/>
      <w:color w:val="auto"/>
    </w:rPr>
  </w:style>
  <w:style w:type="paragraph" w:customStyle="1" w:styleId="484">
    <w:name w:val="Char Char Char1 Char Char Char Char Char Char Char Char Char Char"/>
    <w:basedOn w:val="1"/>
    <w:autoRedefine/>
    <w:qFormat/>
    <w:uiPriority w:val="0"/>
    <w:pPr>
      <w:ind w:firstLine="0" w:firstLineChars="0"/>
    </w:pPr>
    <w:rPr>
      <w:sz w:val="21"/>
    </w:rPr>
  </w:style>
  <w:style w:type="paragraph" w:customStyle="1" w:styleId="485">
    <w:name w:val="表格样式1"/>
    <w:basedOn w:val="1"/>
    <w:next w:val="1"/>
    <w:autoRedefine/>
    <w:qFormat/>
    <w:uiPriority w:val="0"/>
    <w:pPr>
      <w:adjustRightInd w:val="0"/>
      <w:spacing w:line="40" w:lineRule="atLeast"/>
      <w:ind w:firstLine="0" w:firstLineChars="0"/>
      <w:jc w:val="center"/>
      <w:textAlignment w:val="baseline"/>
    </w:pPr>
    <w:rPr>
      <w:kern w:val="0"/>
      <w:szCs w:val="20"/>
    </w:rPr>
  </w:style>
  <w:style w:type="paragraph" w:customStyle="1" w:styleId="486">
    <w:name w:val="表第一列"/>
    <w:basedOn w:val="86"/>
    <w:autoRedefine/>
    <w:qFormat/>
    <w:uiPriority w:val="0"/>
    <w:pPr>
      <w:keepNext/>
      <w:keepLines/>
      <w:tabs>
        <w:tab w:val="left" w:pos="1727"/>
        <w:tab w:val="left" w:pos="1884"/>
        <w:tab w:val="left" w:pos="2940"/>
      </w:tabs>
      <w:spacing w:line="0" w:lineRule="atLeast"/>
      <w:ind w:firstLine="0" w:firstLineChars="0"/>
      <w:jc w:val="center"/>
    </w:pPr>
    <w:rPr>
      <w:rFonts w:ascii="宋体" w:hAnsi="宋体"/>
      <w:color w:val="000000"/>
      <w:spacing w:val="-4"/>
      <w:sz w:val="21"/>
      <w:szCs w:val="20"/>
    </w:rPr>
  </w:style>
  <w:style w:type="paragraph" w:customStyle="1" w:styleId="487">
    <w:name w:val="2级标题"/>
    <w:basedOn w:val="354"/>
    <w:next w:val="34"/>
    <w:autoRedefine/>
    <w:qFormat/>
    <w:uiPriority w:val="0"/>
    <w:pPr>
      <w:spacing w:line="240" w:lineRule="auto"/>
    </w:pPr>
    <w:rPr>
      <w:sz w:val="32"/>
      <w:szCs w:val="32"/>
    </w:rPr>
  </w:style>
  <w:style w:type="paragraph" w:customStyle="1" w:styleId="488">
    <w:name w:val="简单回函地址"/>
    <w:basedOn w:val="1"/>
    <w:autoRedefine/>
    <w:qFormat/>
    <w:uiPriority w:val="0"/>
    <w:pPr>
      <w:ind w:firstLine="0" w:firstLineChars="0"/>
    </w:pPr>
    <w:rPr>
      <w:sz w:val="21"/>
    </w:rPr>
  </w:style>
  <w:style w:type="paragraph" w:customStyle="1" w:styleId="489">
    <w:name w:val="CM12"/>
    <w:basedOn w:val="179"/>
    <w:next w:val="179"/>
    <w:autoRedefine/>
    <w:qFormat/>
    <w:uiPriority w:val="0"/>
    <w:pPr>
      <w:spacing w:line="538" w:lineRule="atLeast"/>
    </w:pPr>
    <w:rPr>
      <w:rFonts w:ascii="华文中宋" w:eastAsia="华文中宋" w:cs="Times New Roman"/>
      <w:color w:val="auto"/>
    </w:rPr>
  </w:style>
  <w:style w:type="paragraph" w:customStyle="1" w:styleId="490">
    <w:name w:val="表格编号"/>
    <w:autoRedefine/>
    <w:qFormat/>
    <w:uiPriority w:val="0"/>
    <w:pPr>
      <w:jc w:val="right"/>
    </w:pPr>
    <w:rPr>
      <w:rFonts w:ascii="Times New Roman" w:hAnsi="Times New Roman" w:eastAsia="宋体" w:cs="Times New Roman"/>
      <w:sz w:val="24"/>
      <w:lang w:val="en-US" w:eastAsia="zh-CN" w:bidi="ar-SA"/>
    </w:rPr>
  </w:style>
  <w:style w:type="character" w:customStyle="1" w:styleId="491">
    <w:name w:val="列表段落 字符1"/>
    <w:link w:val="165"/>
    <w:autoRedefine/>
    <w:qFormat/>
    <w:uiPriority w:val="99"/>
    <w:rPr>
      <w:kern w:val="2"/>
      <w:sz w:val="24"/>
      <w:szCs w:val="24"/>
    </w:rPr>
  </w:style>
  <w:style w:type="paragraph" w:customStyle="1" w:styleId="492">
    <w:name w:val="2级标题 Char Char"/>
    <w:basedOn w:val="1"/>
    <w:autoRedefine/>
    <w:qFormat/>
    <w:uiPriority w:val="0"/>
    <w:pPr>
      <w:ind w:firstLine="0" w:firstLineChars="0"/>
    </w:pPr>
    <w:rPr>
      <w:rFonts w:eastAsia="黑体" w:cs="宋体"/>
      <w:b/>
      <w:bCs/>
      <w:color w:val="000000"/>
      <w:sz w:val="32"/>
      <w:szCs w:val="32"/>
    </w:rPr>
  </w:style>
  <w:style w:type="paragraph" w:customStyle="1" w:styleId="493">
    <w:name w:val="Char Char Char Char1 Char Char Char Char Char Char Char Char Char"/>
    <w:basedOn w:val="1"/>
    <w:autoRedefine/>
    <w:qFormat/>
    <w:uiPriority w:val="0"/>
    <w:rPr>
      <w:rFonts w:ascii="宋体" w:hAnsi="宋体" w:cs="宋体"/>
    </w:rPr>
  </w:style>
  <w:style w:type="paragraph" w:customStyle="1" w:styleId="494">
    <w:name w:val="样式 样式 正文缩进 + 首行缩进:  2 字符 + 首行缩进:  2.5 字符"/>
    <w:basedOn w:val="1"/>
    <w:autoRedefine/>
    <w:qFormat/>
    <w:uiPriority w:val="0"/>
    <w:pPr>
      <w:tabs>
        <w:tab w:val="left" w:pos="0"/>
      </w:tabs>
      <w:overflowPunct w:val="0"/>
      <w:autoSpaceDE w:val="0"/>
      <w:autoSpaceDN w:val="0"/>
      <w:spacing w:line="360" w:lineRule="auto"/>
      <w:textAlignment w:val="bottom"/>
    </w:pPr>
    <w:rPr>
      <w:rFonts w:ascii="宋体" w:hAnsi="宋体" w:cs="宋体"/>
      <w:kern w:val="0"/>
      <w:szCs w:val="20"/>
    </w:rPr>
  </w:style>
  <w:style w:type="paragraph" w:customStyle="1" w:styleId="495">
    <w:name w:val="1.1.1.1"/>
    <w:basedOn w:val="1"/>
    <w:autoRedefine/>
    <w:qFormat/>
    <w:uiPriority w:val="0"/>
    <w:pPr>
      <w:spacing w:before="60" w:after="60"/>
      <w:ind w:firstLine="0" w:firstLineChars="0"/>
      <w:jc w:val="left"/>
    </w:pPr>
    <w:rPr>
      <w:b/>
      <w:bCs/>
      <w:sz w:val="28"/>
    </w:rPr>
  </w:style>
  <w:style w:type="table" w:customStyle="1" w:styleId="496">
    <w:name w:val="11"/>
    <w:basedOn w:val="89"/>
    <w:autoRedefine/>
    <w:qFormat/>
    <w:uiPriority w:val="0"/>
    <w:pPr>
      <w:jc w:val="center"/>
    </w:pPr>
    <w:rPr>
      <w:rFonts w:ascii="Times New Roman" w:hAnsi="Times New Roman" w:cs="Times New Roman"/>
      <w:sz w:val="21"/>
      <w:szCs w:val="20"/>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cPr>
      <w:vAlign w:val="center"/>
    </w:tcPr>
  </w:style>
  <w:style w:type="paragraph" w:customStyle="1" w:styleId="497">
    <w:name w:val="日期1"/>
    <w:basedOn w:val="1"/>
    <w:next w:val="1"/>
    <w:autoRedefine/>
    <w:qFormat/>
    <w:uiPriority w:val="0"/>
    <w:pPr>
      <w:autoSpaceDE w:val="0"/>
      <w:autoSpaceDN w:val="0"/>
      <w:adjustRightInd w:val="0"/>
      <w:ind w:firstLine="0" w:firstLineChars="0"/>
      <w:textAlignment w:val="baseline"/>
    </w:pPr>
    <w:rPr>
      <w:spacing w:val="5"/>
      <w:kern w:val="0"/>
      <w:szCs w:val="20"/>
    </w:rPr>
  </w:style>
  <w:style w:type="paragraph" w:customStyle="1" w:styleId="498">
    <w:name w:val="CM2"/>
    <w:basedOn w:val="1"/>
    <w:next w:val="1"/>
    <w:autoRedefine/>
    <w:qFormat/>
    <w:uiPriority w:val="99"/>
    <w:pPr>
      <w:autoSpaceDE w:val="0"/>
      <w:autoSpaceDN w:val="0"/>
      <w:adjustRightInd w:val="0"/>
      <w:spacing w:line="468" w:lineRule="atLeast"/>
      <w:ind w:firstLine="0" w:firstLineChars="0"/>
      <w:jc w:val="left"/>
    </w:pPr>
    <w:rPr>
      <w:kern w:val="0"/>
    </w:rPr>
  </w:style>
  <w:style w:type="paragraph" w:customStyle="1" w:styleId="499">
    <w:name w:val="Char Char Char1 Char"/>
    <w:basedOn w:val="1"/>
    <w:autoRedefine/>
    <w:qFormat/>
    <w:uiPriority w:val="0"/>
    <w:pPr>
      <w:spacing w:line="360" w:lineRule="auto"/>
    </w:pPr>
    <w:rPr>
      <w:rFonts w:ascii="宋体" w:hAnsi="宋体" w:cs="宋体"/>
    </w:rPr>
  </w:style>
  <w:style w:type="character" w:customStyle="1" w:styleId="500">
    <w:name w:val="标题 2 Char"/>
    <w:autoRedefine/>
    <w:qFormat/>
    <w:uiPriority w:val="0"/>
    <w:rPr>
      <w:rFonts w:ascii="Arial" w:hAnsi="Arial" w:eastAsia="黑体" w:cs="宋体"/>
      <w:b/>
      <w:bCs/>
      <w:color w:val="000000"/>
      <w:kern w:val="2"/>
      <w:sz w:val="32"/>
      <w:szCs w:val="32"/>
      <w:lang w:val="en-US" w:eastAsia="zh-CN" w:bidi="ar-SA"/>
    </w:rPr>
  </w:style>
  <w:style w:type="table" w:customStyle="1" w:styleId="501">
    <w:name w:val="嵌套表格"/>
    <w:basedOn w:val="88"/>
    <w:autoRedefine/>
    <w:qFormat/>
    <w:uiPriority w:val="0"/>
    <w:pPr>
      <w:keepLines/>
      <w:jc w:val="center"/>
    </w:pPr>
    <w:rPr>
      <w:sz w:val="21"/>
      <w:szCs w:val="21"/>
    </w:rPr>
    <w:tblPr>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rPr>
      <w:jc w:val="center"/>
    </w:trPr>
    <w:tcPr>
      <w:vAlign w:val="center"/>
    </w:tcPr>
  </w:style>
  <w:style w:type="paragraph" w:customStyle="1" w:styleId="502">
    <w:name w:val="正文文字"/>
    <w:basedOn w:val="1"/>
    <w:link w:val="503"/>
    <w:autoRedefine/>
    <w:qFormat/>
    <w:uiPriority w:val="0"/>
    <w:pPr>
      <w:ind w:firstLine="0" w:firstLineChars="0"/>
    </w:pPr>
    <w:rPr>
      <w:rFonts w:cs="Courier New"/>
      <w:sz w:val="21"/>
      <w:szCs w:val="21"/>
    </w:rPr>
  </w:style>
  <w:style w:type="character" w:customStyle="1" w:styleId="503">
    <w:name w:val="正文文字 Char1"/>
    <w:link w:val="502"/>
    <w:autoRedefine/>
    <w:qFormat/>
    <w:uiPriority w:val="0"/>
    <w:rPr>
      <w:rFonts w:cs="Courier New"/>
      <w:kern w:val="2"/>
      <w:sz w:val="21"/>
      <w:szCs w:val="21"/>
    </w:rPr>
  </w:style>
  <w:style w:type="character" w:customStyle="1" w:styleId="504">
    <w:name w:val="Char Char Char Char Char Char Char Char Char Char Char Char Char Char Char Char Char Char Char Char"/>
    <w:autoRedefine/>
    <w:qFormat/>
    <w:uiPriority w:val="0"/>
    <w:rPr>
      <w:rFonts w:eastAsia="宋体" w:cs="宋体"/>
      <w:b/>
      <w:bCs/>
      <w:color w:val="000000"/>
      <w:kern w:val="2"/>
      <w:sz w:val="24"/>
      <w:szCs w:val="24"/>
      <w:lang w:val="en-US" w:eastAsia="zh-CN" w:bidi="ar-SA"/>
    </w:rPr>
  </w:style>
  <w:style w:type="paragraph" w:customStyle="1" w:styleId="505">
    <w:name w:val="样式 仿宋_GB2312 四号 行距: 固定值 25 磅"/>
    <w:basedOn w:val="1"/>
    <w:autoRedefine/>
    <w:qFormat/>
    <w:uiPriority w:val="0"/>
    <w:pPr>
      <w:spacing w:line="500" w:lineRule="exact"/>
      <w:ind w:firstLine="560"/>
    </w:pPr>
    <w:rPr>
      <w:rFonts w:eastAsia="仿宋_GB2312" w:cs="宋体"/>
      <w:sz w:val="28"/>
      <w:szCs w:val="28"/>
    </w:rPr>
  </w:style>
  <w:style w:type="paragraph" w:customStyle="1" w:styleId="506">
    <w:name w:val="款"/>
    <w:basedOn w:val="7"/>
    <w:autoRedefine/>
    <w:qFormat/>
    <w:uiPriority w:val="0"/>
    <w:pPr>
      <w:numPr>
        <w:ilvl w:val="0"/>
        <w:numId w:val="0"/>
      </w:numPr>
      <w:tabs>
        <w:tab w:val="clear" w:pos="360"/>
      </w:tabs>
      <w:snapToGrid/>
      <w:spacing w:line="500" w:lineRule="exact"/>
      <w:ind w:firstLine="100" w:firstLineChars="100"/>
      <w:jc w:val="left"/>
    </w:pPr>
    <w:rPr>
      <w:rFonts w:eastAsia="仿宋_GB2312"/>
      <w:bCs/>
      <w:szCs w:val="28"/>
    </w:rPr>
  </w:style>
  <w:style w:type="paragraph" w:customStyle="1" w:styleId="507">
    <w:name w:val="c"/>
    <w:basedOn w:val="1"/>
    <w:link w:val="508"/>
    <w:autoRedefine/>
    <w:qFormat/>
    <w:uiPriority w:val="0"/>
    <w:pPr>
      <w:widowControl/>
      <w:spacing w:before="120" w:beforeLines="50" w:line="440" w:lineRule="exact"/>
      <w:ind w:firstLine="560"/>
      <w:jc w:val="left"/>
    </w:pPr>
    <w:rPr>
      <w:rFonts w:eastAsia="仿宋_GB2312" w:cs="宋体"/>
      <w:sz w:val="28"/>
    </w:rPr>
  </w:style>
  <w:style w:type="character" w:customStyle="1" w:styleId="508">
    <w:name w:val="c Char"/>
    <w:link w:val="507"/>
    <w:autoRedefine/>
    <w:qFormat/>
    <w:uiPriority w:val="0"/>
    <w:rPr>
      <w:rFonts w:eastAsia="仿宋_GB2312" w:cs="宋体"/>
      <w:kern w:val="2"/>
      <w:sz w:val="28"/>
      <w:szCs w:val="24"/>
    </w:rPr>
  </w:style>
  <w:style w:type="character" w:customStyle="1" w:styleId="509">
    <w:name w:val="c Char1"/>
    <w:autoRedefine/>
    <w:qFormat/>
    <w:uiPriority w:val="0"/>
    <w:rPr>
      <w:rFonts w:eastAsia="仿宋_GB2312" w:cs="宋体"/>
      <w:b/>
      <w:bCs/>
      <w:color w:val="000000"/>
      <w:kern w:val="2"/>
      <w:sz w:val="28"/>
      <w:szCs w:val="32"/>
      <w:lang w:val="en-US" w:eastAsia="zh-CN" w:bidi="ar-SA"/>
    </w:rPr>
  </w:style>
  <w:style w:type="paragraph" w:customStyle="1" w:styleId="510">
    <w:name w:val="条"/>
    <w:basedOn w:val="6"/>
    <w:link w:val="687"/>
    <w:autoRedefine/>
    <w:qFormat/>
    <w:uiPriority w:val="0"/>
    <w:pPr>
      <w:numPr>
        <w:ilvl w:val="0"/>
        <w:numId w:val="0"/>
      </w:numPr>
      <w:spacing w:before="120" w:beforeLines="50"/>
      <w:jc w:val="left"/>
    </w:pPr>
    <w:rPr>
      <w:b w:val="0"/>
      <w:bCs w:val="0"/>
    </w:rPr>
  </w:style>
  <w:style w:type="character" w:customStyle="1" w:styleId="511">
    <w:name w:val="c Char Char"/>
    <w:autoRedefine/>
    <w:qFormat/>
    <w:uiPriority w:val="0"/>
    <w:rPr>
      <w:rFonts w:eastAsia="仿宋_GB2312" w:cs="宋体"/>
      <w:b/>
      <w:bCs/>
      <w:color w:val="000000"/>
      <w:kern w:val="2"/>
      <w:sz w:val="28"/>
      <w:szCs w:val="28"/>
      <w:lang w:val="en-US" w:eastAsia="zh-CN" w:bidi="ar-SA"/>
    </w:rPr>
  </w:style>
  <w:style w:type="paragraph" w:customStyle="1" w:styleId="512">
    <w:name w:val="章"/>
    <w:basedOn w:val="4"/>
    <w:autoRedefine/>
    <w:qFormat/>
    <w:uiPriority w:val="0"/>
    <w:pPr>
      <w:spacing w:line="240" w:lineRule="auto"/>
      <w:ind w:left="992" w:hanging="992"/>
      <w:jc w:val="center"/>
    </w:pPr>
    <w:rPr>
      <w:rFonts w:ascii="Arial" w:hAnsi="Arial"/>
      <w:szCs w:val="32"/>
    </w:rPr>
  </w:style>
  <w:style w:type="paragraph" w:customStyle="1" w:styleId="513">
    <w:name w:val="正文格式"/>
    <w:basedOn w:val="1"/>
    <w:next w:val="1"/>
    <w:link w:val="514"/>
    <w:autoRedefine/>
    <w:qFormat/>
    <w:uiPriority w:val="0"/>
    <w:pPr>
      <w:autoSpaceDE w:val="0"/>
      <w:autoSpaceDN w:val="0"/>
      <w:adjustRightInd w:val="0"/>
      <w:ind w:firstLine="462"/>
      <w:jc w:val="left"/>
    </w:pPr>
    <w:rPr>
      <w:kern w:val="0"/>
    </w:rPr>
  </w:style>
  <w:style w:type="character" w:customStyle="1" w:styleId="514">
    <w:name w:val="正文格式 Char"/>
    <w:link w:val="513"/>
    <w:autoRedefine/>
    <w:qFormat/>
    <w:uiPriority w:val="0"/>
    <w:rPr>
      <w:sz w:val="24"/>
      <w:szCs w:val="24"/>
    </w:rPr>
  </w:style>
  <w:style w:type="paragraph" w:customStyle="1" w:styleId="515">
    <w:name w:val="样式 表头 + 黑体 小四 自动设置 左侧:  -1 字符 首行缩进:  2 字符 段前: 0.5 行"/>
    <w:basedOn w:val="1"/>
    <w:autoRedefine/>
    <w:qFormat/>
    <w:uiPriority w:val="0"/>
    <w:pPr>
      <w:tabs>
        <w:tab w:val="left" w:pos="7140"/>
      </w:tabs>
      <w:autoSpaceDN w:val="0"/>
      <w:spacing w:before="75" w:beforeLines="75" w:after="25" w:afterLines="25" w:line="440" w:lineRule="exact"/>
      <w:ind w:left="-100" w:leftChars="-100" w:right="28"/>
      <w:jc w:val="right"/>
    </w:pPr>
    <w:rPr>
      <w:rFonts w:ascii="黑体" w:eastAsia="黑体" w:cs="宋体"/>
      <w:szCs w:val="20"/>
    </w:rPr>
  </w:style>
  <w:style w:type="paragraph" w:customStyle="1" w:styleId="516">
    <w:name w:val="无间隔1"/>
    <w:qFormat/>
    <w:uiPriority w:val="1"/>
    <w:pPr>
      <w:widowControl w:val="0"/>
      <w:jc w:val="both"/>
    </w:pPr>
    <w:rPr>
      <w:rFonts w:ascii="Times New Roman" w:hAnsi="Times New Roman" w:eastAsia="宋体" w:cs="Times New Roman"/>
      <w:kern w:val="2"/>
      <w:sz w:val="24"/>
      <w:szCs w:val="24"/>
      <w:lang w:val="en-US" w:eastAsia="zh-CN" w:bidi="ar-SA"/>
    </w:rPr>
  </w:style>
  <w:style w:type="paragraph" w:customStyle="1" w:styleId="517">
    <w:name w:val="Char Char Char Char1 Char Char Char Char Char Char Char Char Char1"/>
    <w:basedOn w:val="1"/>
    <w:autoRedefine/>
    <w:qFormat/>
    <w:uiPriority w:val="0"/>
    <w:rPr>
      <w:rFonts w:eastAsia="黑体" w:cs="宋体"/>
      <w:b/>
      <w:bCs/>
      <w:color w:val="000000"/>
      <w:sz w:val="32"/>
      <w:szCs w:val="32"/>
    </w:rPr>
  </w:style>
  <w:style w:type="paragraph" w:customStyle="1" w:styleId="518">
    <w:name w:val="1 Char Char Char Char Char Char Char Char Char Char Char Char Char Char Char1"/>
    <w:basedOn w:val="1"/>
    <w:autoRedefine/>
    <w:qFormat/>
    <w:uiPriority w:val="0"/>
    <w:pPr>
      <w:ind w:firstLine="0" w:firstLineChars="0"/>
    </w:pPr>
  </w:style>
  <w:style w:type="paragraph" w:customStyle="1" w:styleId="519">
    <w:name w:val="Char Char1 Char"/>
    <w:basedOn w:val="1"/>
    <w:autoRedefine/>
    <w:qFormat/>
    <w:uiPriority w:val="0"/>
    <w:pPr>
      <w:ind w:firstLine="0" w:firstLineChars="0"/>
    </w:pPr>
    <w:rPr>
      <w:rFonts w:eastAsia="黑体" w:cs="宋体"/>
      <w:b/>
      <w:bCs/>
      <w:color w:val="000000"/>
      <w:sz w:val="32"/>
      <w:szCs w:val="32"/>
    </w:rPr>
  </w:style>
  <w:style w:type="paragraph" w:customStyle="1" w:styleId="520">
    <w:name w:val="标题33上接文字"/>
    <w:basedOn w:val="5"/>
    <w:link w:val="521"/>
    <w:autoRedefine/>
    <w:qFormat/>
    <w:uiPriority w:val="0"/>
    <w:pPr>
      <w:spacing w:before="100" w:beforeLines="100" w:after="50" w:afterLines="50" w:line="360" w:lineRule="auto"/>
      <w:ind w:left="1418" w:hanging="1418"/>
      <w:jc w:val="left"/>
    </w:pPr>
    <w:rPr>
      <w:rFonts w:ascii="黑体" w:hAnsi="黑体" w:cs="黑体"/>
      <w:sz w:val="24"/>
      <w:szCs w:val="24"/>
    </w:rPr>
  </w:style>
  <w:style w:type="character" w:customStyle="1" w:styleId="521">
    <w:name w:val="标题33上接文字 Char"/>
    <w:link w:val="520"/>
    <w:autoRedefine/>
    <w:qFormat/>
    <w:uiPriority w:val="0"/>
    <w:rPr>
      <w:rFonts w:ascii="黑体" w:hAnsi="黑体" w:eastAsia="黑体" w:cs="黑体"/>
      <w:b/>
      <w:bCs/>
      <w:kern w:val="2"/>
      <w:sz w:val="24"/>
      <w:szCs w:val="24"/>
    </w:rPr>
  </w:style>
  <w:style w:type="paragraph" w:customStyle="1" w:styleId="522">
    <w:name w:val="报告正文"/>
    <w:basedOn w:val="1"/>
    <w:link w:val="523"/>
    <w:autoRedefine/>
    <w:qFormat/>
    <w:uiPriority w:val="0"/>
    <w:pPr>
      <w:tabs>
        <w:tab w:val="left" w:pos="0"/>
      </w:tabs>
      <w:spacing w:line="360" w:lineRule="auto"/>
    </w:pPr>
    <w:rPr>
      <w:color w:val="000000"/>
    </w:rPr>
  </w:style>
  <w:style w:type="character" w:customStyle="1" w:styleId="523">
    <w:name w:val="报告正文 Char"/>
    <w:link w:val="522"/>
    <w:autoRedefine/>
    <w:qFormat/>
    <w:uiPriority w:val="0"/>
    <w:rPr>
      <w:color w:val="000000"/>
      <w:kern w:val="2"/>
      <w:sz w:val="24"/>
      <w:szCs w:val="24"/>
    </w:rPr>
  </w:style>
  <w:style w:type="paragraph" w:customStyle="1" w:styleId="524">
    <w:name w:val="标题33"/>
    <w:basedOn w:val="5"/>
    <w:next w:val="522"/>
    <w:autoRedefine/>
    <w:qFormat/>
    <w:uiPriority w:val="0"/>
    <w:pPr>
      <w:spacing w:before="50" w:beforeLines="50" w:after="50" w:afterLines="50" w:line="360" w:lineRule="auto"/>
      <w:ind w:left="1418" w:hanging="1418"/>
      <w:jc w:val="left"/>
    </w:pPr>
    <w:rPr>
      <w:rFonts w:ascii="黑体" w:hAnsi="黑体" w:cs="黑体"/>
      <w:b w:val="0"/>
      <w:sz w:val="24"/>
      <w:szCs w:val="24"/>
    </w:rPr>
  </w:style>
  <w:style w:type="character" w:customStyle="1" w:styleId="525">
    <w:name w:val="Char Char13"/>
    <w:autoRedefine/>
    <w:qFormat/>
    <w:locked/>
    <w:uiPriority w:val="0"/>
    <w:rPr>
      <w:rFonts w:ascii="Times New Roman" w:hAnsi="Times New Roman" w:eastAsia="黑体" w:cs="Times New Roman"/>
      <w:color w:val="000000"/>
      <w:kern w:val="32"/>
      <w:sz w:val="44"/>
      <w:szCs w:val="44"/>
      <w:lang w:val="en-US" w:eastAsia="zh-CN" w:bidi="ar-SA"/>
    </w:rPr>
  </w:style>
  <w:style w:type="character" w:customStyle="1" w:styleId="526">
    <w:name w:val="Char Char12"/>
    <w:autoRedefine/>
    <w:qFormat/>
    <w:locked/>
    <w:uiPriority w:val="0"/>
    <w:rPr>
      <w:rFonts w:ascii="Times New Roman" w:hAnsi="Times New Roman" w:eastAsia="黑体" w:cs="Times New Roman"/>
      <w:color w:val="000000"/>
      <w:kern w:val="2"/>
      <w:sz w:val="32"/>
      <w:szCs w:val="32"/>
      <w:lang w:val="en-US" w:eastAsia="zh-CN" w:bidi="ar-SA"/>
    </w:rPr>
  </w:style>
  <w:style w:type="character" w:customStyle="1" w:styleId="527">
    <w:name w:val="Char Char2"/>
    <w:autoRedefine/>
    <w:qFormat/>
    <w:locked/>
    <w:uiPriority w:val="0"/>
    <w:rPr>
      <w:rFonts w:ascii="Times New Roman" w:hAnsi="Times New Roman" w:eastAsia="宋体" w:cs="Times New Roman"/>
      <w:color w:val="000000"/>
      <w:kern w:val="2"/>
      <w:sz w:val="32"/>
      <w:szCs w:val="32"/>
      <w:lang w:val="en-US" w:eastAsia="zh-CN" w:bidi="ar-SA"/>
    </w:rPr>
  </w:style>
  <w:style w:type="paragraph" w:customStyle="1" w:styleId="528">
    <w:name w:val="无间隔2"/>
    <w:autoRedefine/>
    <w:qFormat/>
    <w:uiPriority w:val="0"/>
    <w:pPr>
      <w:widowControl w:val="0"/>
      <w:adjustRightInd w:val="0"/>
      <w:jc w:val="both"/>
    </w:pPr>
    <w:rPr>
      <w:rFonts w:ascii="Times New Roman" w:hAnsi="Times New Roman" w:eastAsia="宋体" w:cs="Times New Roman"/>
      <w:kern w:val="2"/>
      <w:sz w:val="24"/>
      <w:szCs w:val="24"/>
      <w:lang w:val="en-US" w:eastAsia="zh-CN" w:bidi="ar-SA"/>
    </w:rPr>
  </w:style>
  <w:style w:type="paragraph" w:customStyle="1" w:styleId="529">
    <w:name w:val="样式18 Char"/>
    <w:basedOn w:val="1"/>
    <w:link w:val="530"/>
    <w:autoRedefine/>
    <w:qFormat/>
    <w:uiPriority w:val="0"/>
    <w:pPr>
      <w:spacing w:line="360" w:lineRule="auto"/>
      <w:ind w:firstLine="480"/>
    </w:pPr>
    <w:rPr>
      <w:rFonts w:eastAsia="仿宋_GB2312"/>
    </w:rPr>
  </w:style>
  <w:style w:type="character" w:customStyle="1" w:styleId="530">
    <w:name w:val="样式18 Char Char"/>
    <w:link w:val="529"/>
    <w:autoRedefine/>
    <w:qFormat/>
    <w:locked/>
    <w:uiPriority w:val="0"/>
    <w:rPr>
      <w:rFonts w:eastAsia="仿宋_GB2312"/>
      <w:kern w:val="2"/>
      <w:sz w:val="24"/>
      <w:szCs w:val="24"/>
    </w:rPr>
  </w:style>
  <w:style w:type="paragraph" w:customStyle="1" w:styleId="531">
    <w:name w:val="注："/>
    <w:next w:val="1"/>
    <w:autoRedefine/>
    <w:qFormat/>
    <w:uiPriority w:val="0"/>
    <w:pPr>
      <w:widowControl w:val="0"/>
      <w:numPr>
        <w:ilvl w:val="0"/>
        <w:numId w:val="9"/>
      </w:numPr>
      <w:tabs>
        <w:tab w:val="clear" w:pos="1140"/>
      </w:tabs>
      <w:autoSpaceDE w:val="0"/>
      <w:autoSpaceDN w:val="0"/>
      <w:ind w:left="0" w:firstLine="0"/>
      <w:jc w:val="both"/>
    </w:pPr>
    <w:rPr>
      <w:rFonts w:ascii="宋体" w:hAnsi="Times New Roman" w:eastAsia="宋体" w:cs="宋体"/>
      <w:sz w:val="18"/>
      <w:szCs w:val="18"/>
      <w:lang w:val="en-US" w:eastAsia="zh-CN" w:bidi="ar-SA"/>
    </w:rPr>
  </w:style>
  <w:style w:type="character" w:customStyle="1" w:styleId="532">
    <w:name w:val="Char Char6"/>
    <w:autoRedefine/>
    <w:qFormat/>
    <w:locked/>
    <w:uiPriority w:val="0"/>
    <w:rPr>
      <w:rFonts w:ascii="Times New Roman" w:hAnsi="Times New Roman" w:eastAsia="宋体" w:cs="Times New Roman"/>
      <w:b/>
      <w:bCs/>
      <w:color w:val="000000"/>
      <w:kern w:val="2"/>
      <w:sz w:val="18"/>
      <w:szCs w:val="18"/>
      <w:lang w:val="en-US" w:eastAsia="zh-CN" w:bidi="ar-SA"/>
    </w:rPr>
  </w:style>
  <w:style w:type="paragraph" w:customStyle="1" w:styleId="533">
    <w:name w:val="列出段落1"/>
    <w:basedOn w:val="1"/>
    <w:link w:val="534"/>
    <w:autoRedefine/>
    <w:qFormat/>
    <w:uiPriority w:val="0"/>
    <w:pPr>
      <w:adjustRightInd w:val="0"/>
      <w:spacing w:line="360" w:lineRule="auto"/>
      <w:ind w:firstLine="420"/>
    </w:pPr>
  </w:style>
  <w:style w:type="character" w:customStyle="1" w:styleId="534">
    <w:name w:val="List Paragraph Char1"/>
    <w:link w:val="533"/>
    <w:autoRedefine/>
    <w:qFormat/>
    <w:locked/>
    <w:uiPriority w:val="0"/>
    <w:rPr>
      <w:kern w:val="2"/>
      <w:sz w:val="24"/>
      <w:szCs w:val="24"/>
    </w:rPr>
  </w:style>
  <w:style w:type="character" w:customStyle="1" w:styleId="535">
    <w:name w:val="g Char Char"/>
    <w:autoRedefine/>
    <w:qFormat/>
    <w:locked/>
    <w:uiPriority w:val="0"/>
    <w:rPr>
      <w:rFonts w:ascii="Times New Roman" w:hAnsi="Times New Roman" w:eastAsia="宋体" w:cs="Times New Roman"/>
      <w:b/>
      <w:bCs/>
      <w:color w:val="000000"/>
      <w:kern w:val="2"/>
      <w:sz w:val="18"/>
      <w:szCs w:val="18"/>
      <w:lang w:val="en-US" w:eastAsia="zh-CN" w:bidi="ar-SA"/>
    </w:rPr>
  </w:style>
  <w:style w:type="paragraph" w:customStyle="1" w:styleId="536">
    <w:name w:val="样式10"/>
    <w:basedOn w:val="1"/>
    <w:link w:val="537"/>
    <w:autoRedefine/>
    <w:qFormat/>
    <w:uiPriority w:val="0"/>
    <w:pPr>
      <w:ind w:firstLine="562"/>
      <w:outlineLvl w:val="1"/>
    </w:pPr>
    <w:rPr>
      <w:rFonts w:eastAsia="仿宋_GB2312"/>
      <w:b/>
      <w:bCs/>
      <w:sz w:val="28"/>
      <w:szCs w:val="28"/>
    </w:rPr>
  </w:style>
  <w:style w:type="character" w:customStyle="1" w:styleId="537">
    <w:name w:val="样式10 Char"/>
    <w:link w:val="536"/>
    <w:autoRedefine/>
    <w:qFormat/>
    <w:locked/>
    <w:uiPriority w:val="0"/>
    <w:rPr>
      <w:rFonts w:eastAsia="仿宋_GB2312"/>
      <w:b/>
      <w:bCs/>
      <w:kern w:val="2"/>
      <w:sz w:val="28"/>
      <w:szCs w:val="28"/>
    </w:rPr>
  </w:style>
  <w:style w:type="paragraph" w:customStyle="1" w:styleId="538">
    <w:name w:val="样式6"/>
    <w:basedOn w:val="533"/>
    <w:link w:val="539"/>
    <w:autoRedefine/>
    <w:qFormat/>
    <w:uiPriority w:val="0"/>
    <w:pPr>
      <w:adjustRightInd/>
      <w:spacing w:line="480" w:lineRule="auto"/>
      <w:ind w:firstLine="424" w:firstLineChars="176"/>
      <w:outlineLvl w:val="2"/>
    </w:pPr>
    <w:rPr>
      <w:rFonts w:ascii="仿宋_GB2312" w:eastAsia="仿宋_GB2312" w:cs="仿宋_GB2312"/>
      <w:b/>
      <w:bCs/>
    </w:rPr>
  </w:style>
  <w:style w:type="character" w:customStyle="1" w:styleId="539">
    <w:name w:val="样式6 Char"/>
    <w:link w:val="538"/>
    <w:autoRedefine/>
    <w:qFormat/>
    <w:locked/>
    <w:uiPriority w:val="0"/>
    <w:rPr>
      <w:rFonts w:ascii="仿宋_GB2312" w:eastAsia="仿宋_GB2312" w:cs="仿宋_GB2312"/>
      <w:b/>
      <w:bCs/>
      <w:kern w:val="2"/>
      <w:sz w:val="24"/>
      <w:szCs w:val="24"/>
    </w:rPr>
  </w:style>
  <w:style w:type="character" w:customStyle="1" w:styleId="540">
    <w:name w:val="样式14 Char"/>
    <w:link w:val="541"/>
    <w:autoRedefine/>
    <w:qFormat/>
    <w:locked/>
    <w:uiPriority w:val="0"/>
    <w:rPr>
      <w:rFonts w:ascii="宋体" w:cs="宋体"/>
      <w:b/>
      <w:bCs/>
      <w:color w:val="000000"/>
      <w:kern w:val="2"/>
      <w:sz w:val="24"/>
      <w:szCs w:val="24"/>
    </w:rPr>
  </w:style>
  <w:style w:type="paragraph" w:customStyle="1" w:styleId="541">
    <w:name w:val="样式14"/>
    <w:basedOn w:val="1"/>
    <w:link w:val="540"/>
    <w:autoRedefine/>
    <w:qFormat/>
    <w:uiPriority w:val="0"/>
    <w:pPr>
      <w:widowControl/>
      <w:overflowPunct w:val="0"/>
      <w:autoSpaceDE w:val="0"/>
      <w:autoSpaceDN w:val="0"/>
      <w:adjustRightInd w:val="0"/>
      <w:spacing w:line="360" w:lineRule="auto"/>
      <w:textAlignment w:val="baseline"/>
    </w:pPr>
    <w:rPr>
      <w:rFonts w:ascii="宋体" w:cs="宋体"/>
      <w:b/>
      <w:bCs/>
      <w:color w:val="000000"/>
    </w:rPr>
  </w:style>
  <w:style w:type="paragraph" w:customStyle="1" w:styleId="542">
    <w:name w:val="样式 正文文字缩进正文文字( 首段缩进两字）正文文字缩进2字符正文文本缩进 Char2正文文本缩进 Char1 Char..."/>
    <w:basedOn w:val="35"/>
    <w:autoRedefine/>
    <w:qFormat/>
    <w:uiPriority w:val="0"/>
    <w:pPr>
      <w:adjustRightInd w:val="0"/>
      <w:spacing w:line="480" w:lineRule="exact"/>
      <w:ind w:firstLine="567"/>
    </w:pPr>
    <w:rPr>
      <w:rFonts w:hAnsi="Times New Roman" w:cs="宋体"/>
      <w:spacing w:val="6"/>
      <w:sz w:val="28"/>
      <w:szCs w:val="28"/>
    </w:rPr>
  </w:style>
  <w:style w:type="paragraph" w:customStyle="1" w:styleId="543">
    <w:name w:val="表内小四中"/>
    <w:basedOn w:val="1"/>
    <w:autoRedefine/>
    <w:qFormat/>
    <w:uiPriority w:val="0"/>
    <w:pPr>
      <w:adjustRightInd w:val="0"/>
      <w:snapToGrid w:val="0"/>
      <w:spacing w:line="360" w:lineRule="auto"/>
      <w:ind w:left="-131" w:right="-132"/>
      <w:jc w:val="center"/>
      <w:textAlignment w:val="baseline"/>
    </w:pPr>
    <w:rPr>
      <w:kern w:val="0"/>
    </w:rPr>
  </w:style>
  <w:style w:type="paragraph" w:customStyle="1" w:styleId="544">
    <w:name w:val="表名称"/>
    <w:basedOn w:val="1"/>
    <w:autoRedefine/>
    <w:qFormat/>
    <w:uiPriority w:val="0"/>
    <w:pPr>
      <w:tabs>
        <w:tab w:val="left" w:pos="-120"/>
      </w:tabs>
      <w:overflowPunct w:val="0"/>
      <w:topLinePunct/>
      <w:autoSpaceDE w:val="0"/>
      <w:adjustRightInd w:val="0"/>
      <w:snapToGrid w:val="0"/>
      <w:spacing w:line="580" w:lineRule="exact"/>
      <w:jc w:val="center"/>
      <w:textAlignment w:val="baseline"/>
    </w:pPr>
    <w:rPr>
      <w:rFonts w:ascii="宋体" w:hAnsi="宋体" w:cs="宋体"/>
      <w:b/>
      <w:bCs/>
      <w:spacing w:val="16"/>
      <w:kern w:val="0"/>
    </w:rPr>
  </w:style>
  <w:style w:type="paragraph" w:customStyle="1" w:styleId="545">
    <w:name w:val="图名称"/>
    <w:basedOn w:val="1"/>
    <w:autoRedefine/>
    <w:qFormat/>
    <w:uiPriority w:val="0"/>
    <w:pPr>
      <w:adjustRightInd w:val="0"/>
      <w:snapToGrid w:val="0"/>
      <w:spacing w:before="50" w:line="312" w:lineRule="auto"/>
      <w:ind w:firstLine="257" w:firstLineChars="257"/>
      <w:jc w:val="center"/>
    </w:pPr>
    <w:rPr>
      <w:b/>
      <w:bCs/>
      <w:color w:val="000000"/>
      <w:sz w:val="10"/>
      <w:szCs w:val="10"/>
    </w:rPr>
  </w:style>
  <w:style w:type="paragraph" w:customStyle="1" w:styleId="546">
    <w:name w:val="表内五中"/>
    <w:basedOn w:val="1"/>
    <w:autoRedefine/>
    <w:qFormat/>
    <w:uiPriority w:val="0"/>
    <w:pPr>
      <w:tabs>
        <w:tab w:val="left" w:pos="-120"/>
      </w:tabs>
      <w:adjustRightInd w:val="0"/>
      <w:spacing w:before="60" w:line="310" w:lineRule="atLeast"/>
      <w:jc w:val="center"/>
    </w:pPr>
  </w:style>
  <w:style w:type="paragraph" w:customStyle="1" w:styleId="547">
    <w:name w:val="表注"/>
    <w:basedOn w:val="1"/>
    <w:link w:val="2689"/>
    <w:autoRedefine/>
    <w:qFormat/>
    <w:uiPriority w:val="0"/>
    <w:pPr>
      <w:tabs>
        <w:tab w:val="left" w:pos="720"/>
      </w:tabs>
      <w:overflowPunct w:val="0"/>
      <w:topLinePunct/>
      <w:autoSpaceDE w:val="0"/>
      <w:adjustRightInd w:val="0"/>
      <w:snapToGrid w:val="0"/>
      <w:spacing w:before="120" w:after="40" w:line="288" w:lineRule="auto"/>
      <w:ind w:left="425" w:hanging="425"/>
      <w:jc w:val="center"/>
      <w:textAlignment w:val="baseline"/>
    </w:pPr>
    <w:rPr>
      <w:b/>
      <w:bCs/>
      <w:spacing w:val="20"/>
      <w:kern w:val="0"/>
      <w:sz w:val="28"/>
      <w:szCs w:val="28"/>
    </w:rPr>
  </w:style>
  <w:style w:type="paragraph" w:customStyle="1" w:styleId="548">
    <w:name w:val="TOC 标题1"/>
    <w:basedOn w:val="3"/>
    <w:next w:val="1"/>
    <w:autoRedefine/>
    <w:qFormat/>
    <w:uiPriority w:val="39"/>
    <w:pPr>
      <w:keepLines/>
      <w:widowControl/>
      <w:tabs>
        <w:tab w:val="clear" w:pos="0"/>
      </w:tabs>
      <w:spacing w:afterLines="50" w:line="276" w:lineRule="auto"/>
      <w:ind w:left="425" w:hanging="137"/>
      <w:jc w:val="left"/>
      <w:outlineLvl w:val="9"/>
    </w:pPr>
    <w:rPr>
      <w:rFonts w:ascii="Cambria" w:hAnsi="Cambria" w:cs="Cambria"/>
      <w:bCs/>
      <w:color w:val="365F91"/>
      <w:kern w:val="0"/>
      <w:sz w:val="28"/>
      <w:szCs w:val="28"/>
    </w:rPr>
  </w:style>
  <w:style w:type="character" w:customStyle="1" w:styleId="549">
    <w:name w:val="Char Char Char"/>
    <w:autoRedefine/>
    <w:qFormat/>
    <w:uiPriority w:val="0"/>
    <w:rPr>
      <w:rFonts w:eastAsia="黑体" w:cs="宋体"/>
      <w:color w:val="000000"/>
      <w:kern w:val="2"/>
      <w:sz w:val="32"/>
      <w:szCs w:val="32"/>
      <w:lang w:val="en-US" w:eastAsia="zh-CN" w:bidi="ar-SA"/>
    </w:rPr>
  </w:style>
  <w:style w:type="paragraph" w:customStyle="1" w:styleId="550">
    <w:name w:val="默认段落字体 Para Char Char Char Char"/>
    <w:basedOn w:val="1"/>
    <w:autoRedefine/>
    <w:qFormat/>
    <w:uiPriority w:val="0"/>
    <w:pPr>
      <w:ind w:firstLine="0" w:firstLineChars="0"/>
    </w:pPr>
    <w:rPr>
      <w:sz w:val="21"/>
      <w:szCs w:val="21"/>
    </w:rPr>
  </w:style>
  <w:style w:type="paragraph" w:customStyle="1" w:styleId="551">
    <w:name w:val="样式11"/>
    <w:basedOn w:val="1"/>
    <w:link w:val="552"/>
    <w:autoRedefine/>
    <w:qFormat/>
    <w:uiPriority w:val="0"/>
    <w:pPr>
      <w:spacing w:beforeLines="50" w:afterLines="50"/>
      <w:ind w:firstLine="482"/>
      <w:outlineLvl w:val="2"/>
    </w:pPr>
    <w:rPr>
      <w:rFonts w:eastAsia="仿宋_GB2312"/>
      <w:b/>
      <w:bCs/>
    </w:rPr>
  </w:style>
  <w:style w:type="character" w:customStyle="1" w:styleId="552">
    <w:name w:val="样式11 Char"/>
    <w:link w:val="551"/>
    <w:autoRedefine/>
    <w:qFormat/>
    <w:locked/>
    <w:uiPriority w:val="0"/>
    <w:rPr>
      <w:rFonts w:eastAsia="仿宋_GB2312"/>
      <w:b/>
      <w:bCs/>
      <w:kern w:val="2"/>
      <w:sz w:val="24"/>
      <w:szCs w:val="24"/>
    </w:rPr>
  </w:style>
  <w:style w:type="paragraph" w:customStyle="1" w:styleId="553">
    <w:name w:val="msonormalcxspmiddle"/>
    <w:basedOn w:val="1"/>
    <w:autoRedefine/>
    <w:qFormat/>
    <w:uiPriority w:val="0"/>
    <w:pPr>
      <w:widowControl/>
      <w:spacing w:before="100" w:beforeAutospacing="1" w:after="100" w:afterAutospacing="1"/>
      <w:ind w:firstLine="0" w:firstLineChars="0"/>
      <w:jc w:val="left"/>
    </w:pPr>
    <w:rPr>
      <w:rFonts w:ascii="宋体" w:hAnsi="宋体" w:cs="宋体"/>
      <w:kern w:val="0"/>
    </w:rPr>
  </w:style>
  <w:style w:type="paragraph" w:customStyle="1" w:styleId="554">
    <w:name w:val="样式16"/>
    <w:basedOn w:val="1"/>
    <w:link w:val="555"/>
    <w:autoRedefine/>
    <w:qFormat/>
    <w:uiPriority w:val="0"/>
    <w:pPr>
      <w:spacing w:line="360" w:lineRule="auto"/>
      <w:ind w:firstLine="560"/>
      <w:outlineLvl w:val="2"/>
    </w:pPr>
    <w:rPr>
      <w:rFonts w:eastAsia="黑体"/>
      <w:sz w:val="28"/>
      <w:szCs w:val="28"/>
    </w:rPr>
  </w:style>
  <w:style w:type="character" w:customStyle="1" w:styleId="555">
    <w:name w:val="样式16 Char"/>
    <w:link w:val="554"/>
    <w:autoRedefine/>
    <w:qFormat/>
    <w:locked/>
    <w:uiPriority w:val="0"/>
    <w:rPr>
      <w:rFonts w:eastAsia="黑体"/>
      <w:kern w:val="2"/>
      <w:sz w:val="28"/>
      <w:szCs w:val="28"/>
    </w:rPr>
  </w:style>
  <w:style w:type="paragraph" w:customStyle="1" w:styleId="556">
    <w:name w:val="二级无标题条"/>
    <w:basedOn w:val="1"/>
    <w:autoRedefine/>
    <w:qFormat/>
    <w:uiPriority w:val="0"/>
    <w:pPr>
      <w:numPr>
        <w:ilvl w:val="3"/>
        <w:numId w:val="10"/>
      </w:numPr>
      <w:ind w:firstLine="0" w:firstLineChars="0"/>
    </w:pPr>
    <w:rPr>
      <w:sz w:val="21"/>
      <w:szCs w:val="21"/>
    </w:rPr>
  </w:style>
  <w:style w:type="paragraph" w:customStyle="1" w:styleId="557">
    <w:name w:val="三级无标题条"/>
    <w:basedOn w:val="1"/>
    <w:autoRedefine/>
    <w:qFormat/>
    <w:uiPriority w:val="0"/>
    <w:pPr>
      <w:numPr>
        <w:ilvl w:val="4"/>
        <w:numId w:val="10"/>
      </w:numPr>
      <w:ind w:firstLine="0" w:firstLineChars="0"/>
    </w:pPr>
    <w:rPr>
      <w:sz w:val="21"/>
      <w:szCs w:val="21"/>
    </w:rPr>
  </w:style>
  <w:style w:type="paragraph" w:customStyle="1" w:styleId="558">
    <w:name w:val="四级无标题条"/>
    <w:basedOn w:val="1"/>
    <w:autoRedefine/>
    <w:qFormat/>
    <w:uiPriority w:val="0"/>
    <w:pPr>
      <w:numPr>
        <w:ilvl w:val="5"/>
        <w:numId w:val="10"/>
      </w:numPr>
      <w:ind w:firstLine="0" w:firstLineChars="0"/>
    </w:pPr>
    <w:rPr>
      <w:sz w:val="21"/>
      <w:szCs w:val="21"/>
    </w:rPr>
  </w:style>
  <w:style w:type="paragraph" w:customStyle="1" w:styleId="559">
    <w:name w:val="五级无标题条"/>
    <w:basedOn w:val="1"/>
    <w:autoRedefine/>
    <w:qFormat/>
    <w:uiPriority w:val="0"/>
    <w:pPr>
      <w:numPr>
        <w:ilvl w:val="6"/>
        <w:numId w:val="10"/>
      </w:numPr>
      <w:ind w:firstLine="0" w:firstLineChars="0"/>
    </w:pPr>
    <w:rPr>
      <w:sz w:val="21"/>
      <w:szCs w:val="21"/>
    </w:rPr>
  </w:style>
  <w:style w:type="paragraph" w:customStyle="1" w:styleId="560">
    <w:name w:val="一级无标题条"/>
    <w:basedOn w:val="1"/>
    <w:autoRedefine/>
    <w:qFormat/>
    <w:uiPriority w:val="0"/>
    <w:pPr>
      <w:numPr>
        <w:ilvl w:val="2"/>
        <w:numId w:val="10"/>
      </w:numPr>
      <w:ind w:firstLine="0" w:firstLineChars="0"/>
    </w:pPr>
    <w:rPr>
      <w:sz w:val="21"/>
      <w:szCs w:val="21"/>
    </w:rPr>
  </w:style>
  <w:style w:type="character" w:customStyle="1" w:styleId="561">
    <w:name w:val="lh22px"/>
    <w:basedOn w:val="133"/>
    <w:autoRedefine/>
    <w:qFormat/>
    <w:uiPriority w:val="0"/>
    <w:rPr>
      <w:rFonts w:eastAsia="黑体" w:cs="宋体"/>
      <w:b/>
      <w:bCs/>
      <w:color w:val="000000"/>
      <w:kern w:val="2"/>
      <w:sz w:val="32"/>
      <w:szCs w:val="32"/>
      <w:lang w:val="en-US" w:eastAsia="zh-CN" w:bidi="ar-SA"/>
    </w:rPr>
  </w:style>
  <w:style w:type="character" w:customStyle="1" w:styleId="562">
    <w:name w:val="Char Char5"/>
    <w:autoRedefine/>
    <w:qFormat/>
    <w:uiPriority w:val="0"/>
    <w:rPr>
      <w:rFonts w:eastAsia="宋体" w:cs="宋体"/>
      <w:b/>
      <w:bCs/>
      <w:color w:val="000000"/>
      <w:kern w:val="2"/>
      <w:sz w:val="28"/>
      <w:szCs w:val="28"/>
      <w:lang w:val="en-US" w:eastAsia="zh-CN" w:bidi="ar-SA"/>
    </w:rPr>
  </w:style>
  <w:style w:type="paragraph" w:customStyle="1" w:styleId="563">
    <w:name w:val="无间隔21"/>
    <w:autoRedefine/>
    <w:qFormat/>
    <w:uiPriority w:val="0"/>
    <w:pPr>
      <w:widowControl w:val="0"/>
      <w:snapToGrid w:val="0"/>
      <w:jc w:val="both"/>
    </w:pPr>
    <w:rPr>
      <w:rFonts w:ascii="Times New Roman" w:hAnsi="Times New Roman" w:eastAsia="宋体" w:cs="Times New Roman"/>
      <w:sz w:val="24"/>
      <w:szCs w:val="24"/>
      <w:lang w:val="en-US" w:eastAsia="zh-CN" w:bidi="ar-SA"/>
    </w:rPr>
  </w:style>
  <w:style w:type="paragraph" w:customStyle="1" w:styleId="564">
    <w:name w:val="表五号字"/>
    <w:basedOn w:val="1"/>
    <w:autoRedefine/>
    <w:qFormat/>
    <w:uiPriority w:val="0"/>
    <w:pPr>
      <w:adjustRightInd w:val="0"/>
      <w:snapToGrid w:val="0"/>
      <w:ind w:firstLine="0" w:firstLineChars="0"/>
      <w:jc w:val="center"/>
    </w:pPr>
    <w:rPr>
      <w:rFonts w:ascii="宋体" w:hAnsi="宋体" w:cs="宋体"/>
      <w:kern w:val="0"/>
      <w:sz w:val="21"/>
      <w:szCs w:val="21"/>
    </w:rPr>
  </w:style>
  <w:style w:type="paragraph" w:customStyle="1" w:styleId="565">
    <w:name w:val="表小四字"/>
    <w:basedOn w:val="564"/>
    <w:autoRedefine/>
    <w:qFormat/>
    <w:uiPriority w:val="0"/>
    <w:rPr>
      <w:sz w:val="24"/>
      <w:szCs w:val="24"/>
    </w:rPr>
  </w:style>
  <w:style w:type="paragraph" w:customStyle="1" w:styleId="566">
    <w:name w:val="样式8"/>
    <w:basedOn w:val="1"/>
    <w:link w:val="567"/>
    <w:autoRedefine/>
    <w:qFormat/>
    <w:uiPriority w:val="0"/>
    <w:pPr>
      <w:tabs>
        <w:tab w:val="left" w:pos="567"/>
      </w:tabs>
      <w:spacing w:line="360" w:lineRule="auto"/>
    </w:pPr>
    <w:rPr>
      <w:rFonts w:eastAsia="仿宋_GB2312"/>
    </w:rPr>
  </w:style>
  <w:style w:type="character" w:customStyle="1" w:styleId="567">
    <w:name w:val="样式8 Char"/>
    <w:link w:val="566"/>
    <w:autoRedefine/>
    <w:qFormat/>
    <w:locked/>
    <w:uiPriority w:val="0"/>
    <w:rPr>
      <w:rFonts w:eastAsia="仿宋_GB2312"/>
      <w:kern w:val="2"/>
      <w:sz w:val="24"/>
      <w:szCs w:val="24"/>
    </w:rPr>
  </w:style>
  <w:style w:type="paragraph" w:customStyle="1" w:styleId="568">
    <w:name w:val="标题 2 + 四号"/>
    <w:basedOn w:val="4"/>
    <w:autoRedefine/>
    <w:qFormat/>
    <w:uiPriority w:val="0"/>
    <w:pPr>
      <w:adjustRightInd w:val="0"/>
      <w:snapToGrid w:val="0"/>
      <w:ind w:left="992" w:hanging="992"/>
      <w:jc w:val="left"/>
    </w:pPr>
    <w:rPr>
      <w:color w:val="FF0000"/>
      <w:kern w:val="13"/>
    </w:rPr>
  </w:style>
  <w:style w:type="character" w:customStyle="1" w:styleId="569">
    <w:name w:val="正文文本 Char1"/>
    <w:autoRedefine/>
    <w:qFormat/>
    <w:uiPriority w:val="0"/>
    <w:rPr>
      <w:rFonts w:ascii="Times New Roman" w:hAnsi="Times New Roman" w:eastAsia="黑体" w:cs="Times New Roman"/>
      <w:b/>
      <w:bCs/>
      <w:color w:val="000000"/>
      <w:kern w:val="2"/>
      <w:sz w:val="24"/>
      <w:szCs w:val="24"/>
      <w:lang w:val="en-US" w:eastAsia="zh-CN" w:bidi="ar-SA"/>
    </w:rPr>
  </w:style>
  <w:style w:type="paragraph" w:customStyle="1" w:styleId="570">
    <w:name w:val="样式17"/>
    <w:basedOn w:val="1"/>
    <w:link w:val="571"/>
    <w:autoRedefine/>
    <w:qFormat/>
    <w:uiPriority w:val="0"/>
    <w:pPr>
      <w:spacing w:line="480" w:lineRule="auto"/>
      <w:ind w:firstLine="482"/>
      <w:outlineLvl w:val="2"/>
    </w:pPr>
    <w:rPr>
      <w:rFonts w:ascii="黑体" w:eastAsia="黑体" w:cs="黑体"/>
      <w:b/>
      <w:bCs/>
    </w:rPr>
  </w:style>
  <w:style w:type="character" w:customStyle="1" w:styleId="571">
    <w:name w:val="样式17 Char"/>
    <w:link w:val="570"/>
    <w:autoRedefine/>
    <w:qFormat/>
    <w:locked/>
    <w:uiPriority w:val="0"/>
    <w:rPr>
      <w:rFonts w:ascii="黑体" w:eastAsia="黑体" w:cs="黑体"/>
      <w:b/>
      <w:bCs/>
      <w:kern w:val="2"/>
      <w:sz w:val="24"/>
      <w:szCs w:val="24"/>
    </w:rPr>
  </w:style>
  <w:style w:type="character" w:customStyle="1" w:styleId="572">
    <w:name w:val="图表说明 Char1"/>
    <w:autoRedefine/>
    <w:qFormat/>
    <w:locked/>
    <w:uiPriority w:val="0"/>
    <w:rPr>
      <w:rFonts w:ascii="宋体" w:hAnsi="Courier New" w:eastAsia="宋体" w:cs="宋体"/>
      <w:b/>
      <w:bCs/>
      <w:color w:val="000000"/>
      <w:kern w:val="2"/>
      <w:sz w:val="21"/>
      <w:szCs w:val="21"/>
      <w:lang w:val="en-US" w:eastAsia="zh-CN" w:bidi="ar-SA"/>
    </w:rPr>
  </w:style>
  <w:style w:type="paragraph" w:customStyle="1" w:styleId="573">
    <w:name w:val="No Spacing1"/>
    <w:autoRedefine/>
    <w:qFormat/>
    <w:uiPriority w:val="0"/>
    <w:pPr>
      <w:widowControl w:val="0"/>
      <w:jc w:val="both"/>
    </w:pPr>
    <w:rPr>
      <w:rFonts w:ascii="Times New Roman" w:hAnsi="Times New Roman" w:eastAsia="宋体" w:cs="Times New Roman"/>
      <w:kern w:val="2"/>
      <w:sz w:val="24"/>
      <w:szCs w:val="24"/>
      <w:lang w:val="en-US" w:eastAsia="zh-CN" w:bidi="ar-SA"/>
    </w:rPr>
  </w:style>
  <w:style w:type="character" w:customStyle="1" w:styleId="574">
    <w:name w:val="Char Char14"/>
    <w:autoRedefine/>
    <w:qFormat/>
    <w:locked/>
    <w:uiPriority w:val="0"/>
    <w:rPr>
      <w:rFonts w:eastAsia="黑体" w:cs="宋体"/>
      <w:color w:val="000000"/>
      <w:kern w:val="2"/>
      <w:sz w:val="30"/>
      <w:szCs w:val="30"/>
      <w:lang w:val="en-US" w:eastAsia="zh-CN" w:bidi="ar-SA"/>
    </w:rPr>
  </w:style>
  <w:style w:type="paragraph" w:customStyle="1" w:styleId="575">
    <w:name w:val="样式20"/>
    <w:basedOn w:val="1"/>
    <w:link w:val="576"/>
    <w:autoRedefine/>
    <w:qFormat/>
    <w:uiPriority w:val="0"/>
    <w:pPr>
      <w:spacing w:line="360" w:lineRule="auto"/>
      <w:ind w:firstLine="0" w:firstLineChars="0"/>
      <w:jc w:val="center"/>
    </w:pPr>
    <w:rPr>
      <w:rFonts w:eastAsia="仿宋_GB2312"/>
      <w:b/>
      <w:bCs/>
    </w:rPr>
  </w:style>
  <w:style w:type="character" w:customStyle="1" w:styleId="576">
    <w:name w:val="样式20 Char"/>
    <w:link w:val="575"/>
    <w:autoRedefine/>
    <w:qFormat/>
    <w:locked/>
    <w:uiPriority w:val="0"/>
    <w:rPr>
      <w:rFonts w:eastAsia="仿宋_GB2312"/>
      <w:b/>
      <w:bCs/>
      <w:kern w:val="2"/>
      <w:sz w:val="24"/>
      <w:szCs w:val="24"/>
    </w:rPr>
  </w:style>
  <w:style w:type="paragraph" w:customStyle="1" w:styleId="577">
    <w:name w:val="无间隔3"/>
    <w:autoRedefine/>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578">
    <w:name w:val="图表正文"/>
    <w:basedOn w:val="1"/>
    <w:link w:val="2412"/>
    <w:qFormat/>
    <w:uiPriority w:val="0"/>
    <w:pPr>
      <w:widowControl/>
      <w:snapToGrid w:val="0"/>
      <w:spacing w:line="360" w:lineRule="atLeast"/>
      <w:ind w:firstLine="0" w:firstLineChars="0"/>
      <w:jc w:val="center"/>
    </w:pPr>
    <w:rPr>
      <w:rFonts w:ascii="宋体" w:hAnsi="宋体" w:cs="宋体"/>
      <w:kern w:val="0"/>
      <w:sz w:val="21"/>
      <w:szCs w:val="21"/>
    </w:rPr>
  </w:style>
  <w:style w:type="paragraph" w:customStyle="1" w:styleId="579">
    <w:name w:val="无间隔4"/>
    <w:autoRedefine/>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580">
    <w:name w:val="列出段落11"/>
    <w:basedOn w:val="1"/>
    <w:link w:val="581"/>
    <w:autoRedefine/>
    <w:qFormat/>
    <w:uiPriority w:val="0"/>
    <w:pPr>
      <w:ind w:firstLine="420"/>
    </w:pPr>
    <w:rPr>
      <w:sz w:val="21"/>
      <w:szCs w:val="21"/>
    </w:rPr>
  </w:style>
  <w:style w:type="character" w:customStyle="1" w:styleId="581">
    <w:name w:val="List Paragraph Char"/>
    <w:link w:val="580"/>
    <w:autoRedefine/>
    <w:qFormat/>
    <w:locked/>
    <w:uiPriority w:val="0"/>
    <w:rPr>
      <w:kern w:val="2"/>
      <w:sz w:val="21"/>
      <w:szCs w:val="21"/>
    </w:rPr>
  </w:style>
  <w:style w:type="character" w:customStyle="1" w:styleId="582">
    <w:name w:val="Char Char11"/>
    <w:autoRedefine/>
    <w:qFormat/>
    <w:uiPriority w:val="0"/>
    <w:rPr>
      <w:rFonts w:eastAsia="宋体" w:cs="宋体"/>
      <w:color w:val="000000"/>
      <w:kern w:val="44"/>
      <w:sz w:val="44"/>
      <w:szCs w:val="44"/>
      <w:lang w:val="en-US" w:eastAsia="zh-CN" w:bidi="ar-SA"/>
    </w:rPr>
  </w:style>
  <w:style w:type="character" w:customStyle="1" w:styleId="583">
    <w:name w:val="style11"/>
    <w:autoRedefine/>
    <w:qFormat/>
    <w:uiPriority w:val="0"/>
    <w:rPr>
      <w:rFonts w:eastAsia="黑体" w:cs="宋体"/>
      <w:color w:val="auto"/>
      <w:kern w:val="2"/>
      <w:sz w:val="22"/>
      <w:szCs w:val="22"/>
      <w:lang w:val="en-US" w:eastAsia="zh-CN" w:bidi="ar-SA"/>
    </w:rPr>
  </w:style>
  <w:style w:type="paragraph" w:customStyle="1" w:styleId="584">
    <w:name w:val="TOC 标题11"/>
    <w:basedOn w:val="3"/>
    <w:next w:val="1"/>
    <w:autoRedefine/>
    <w:qFormat/>
    <w:uiPriority w:val="0"/>
    <w:pPr>
      <w:keepLines/>
      <w:widowControl/>
      <w:tabs>
        <w:tab w:val="clear" w:pos="0"/>
      </w:tabs>
      <w:spacing w:line="276" w:lineRule="auto"/>
      <w:ind w:left="425" w:hanging="137"/>
      <w:jc w:val="left"/>
      <w:outlineLvl w:val="9"/>
    </w:pPr>
    <w:rPr>
      <w:rFonts w:ascii="Cambria" w:hAnsi="Cambria" w:eastAsia="宋体" w:cs="Cambria"/>
      <w:bCs/>
      <w:color w:val="365F91"/>
      <w:kern w:val="0"/>
      <w:sz w:val="28"/>
      <w:szCs w:val="28"/>
    </w:rPr>
  </w:style>
  <w:style w:type="paragraph" w:customStyle="1" w:styleId="585">
    <w:name w:val="样式5"/>
    <w:basedOn w:val="1"/>
    <w:link w:val="586"/>
    <w:autoRedefine/>
    <w:qFormat/>
    <w:uiPriority w:val="0"/>
    <w:pPr>
      <w:ind w:firstLine="643"/>
      <w:jc w:val="left"/>
      <w:outlineLvl w:val="1"/>
    </w:pPr>
    <w:rPr>
      <w:b/>
      <w:bCs/>
      <w:sz w:val="32"/>
      <w:szCs w:val="32"/>
    </w:rPr>
  </w:style>
  <w:style w:type="character" w:customStyle="1" w:styleId="586">
    <w:name w:val="样式5 Char"/>
    <w:link w:val="585"/>
    <w:autoRedefine/>
    <w:qFormat/>
    <w:locked/>
    <w:uiPriority w:val="0"/>
    <w:rPr>
      <w:b/>
      <w:bCs/>
      <w:kern w:val="2"/>
      <w:sz w:val="32"/>
      <w:szCs w:val="32"/>
    </w:rPr>
  </w:style>
  <w:style w:type="paragraph" w:customStyle="1" w:styleId="587">
    <w:name w:val="无间隔5"/>
    <w:autoRedefine/>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588">
    <w:name w:val="列出段落2"/>
    <w:basedOn w:val="1"/>
    <w:autoRedefine/>
    <w:qFormat/>
    <w:uiPriority w:val="0"/>
    <w:pPr>
      <w:ind w:firstLine="420"/>
    </w:pPr>
    <w:rPr>
      <w:rFonts w:ascii="Calibri" w:hAnsi="Calibri" w:cs="Calibri"/>
      <w:sz w:val="21"/>
      <w:szCs w:val="21"/>
    </w:rPr>
  </w:style>
  <w:style w:type="paragraph" w:customStyle="1" w:styleId="589">
    <w:name w:val="TOC 标题2"/>
    <w:basedOn w:val="3"/>
    <w:next w:val="1"/>
    <w:autoRedefine/>
    <w:qFormat/>
    <w:uiPriority w:val="0"/>
    <w:pPr>
      <w:keepLines/>
      <w:widowControl/>
      <w:tabs>
        <w:tab w:val="clear" w:pos="0"/>
      </w:tabs>
      <w:spacing w:line="276" w:lineRule="auto"/>
      <w:ind w:left="425" w:hanging="137"/>
      <w:jc w:val="left"/>
      <w:outlineLvl w:val="9"/>
    </w:pPr>
    <w:rPr>
      <w:rFonts w:ascii="Cambria" w:hAnsi="Cambria" w:eastAsia="宋体" w:cs="Cambria"/>
      <w:bCs/>
      <w:color w:val="365F91"/>
      <w:kern w:val="0"/>
      <w:sz w:val="28"/>
      <w:szCs w:val="28"/>
    </w:rPr>
  </w:style>
  <w:style w:type="paragraph" w:customStyle="1" w:styleId="590">
    <w:name w:val="表内五"/>
    <w:basedOn w:val="1"/>
    <w:autoRedefine/>
    <w:qFormat/>
    <w:uiPriority w:val="0"/>
    <w:pPr>
      <w:ind w:firstLine="0" w:firstLineChars="0"/>
    </w:pPr>
    <w:rPr>
      <w:spacing w:val="20"/>
      <w:sz w:val="21"/>
      <w:szCs w:val="21"/>
    </w:rPr>
  </w:style>
  <w:style w:type="paragraph" w:customStyle="1" w:styleId="591">
    <w:name w:val="CM5"/>
    <w:basedOn w:val="179"/>
    <w:next w:val="179"/>
    <w:autoRedefine/>
    <w:qFormat/>
    <w:uiPriority w:val="0"/>
    <w:pPr>
      <w:spacing w:line="468" w:lineRule="atLeast"/>
    </w:pPr>
    <w:rPr>
      <w:rFonts w:ascii="楷体_GB2312" w:hAnsi="Calibri" w:eastAsia="楷体_GB2312" w:cs="楷体_GB2312"/>
      <w:color w:val="auto"/>
    </w:rPr>
  </w:style>
  <w:style w:type="paragraph" w:customStyle="1" w:styleId="592">
    <w:name w:val="CM36"/>
    <w:basedOn w:val="179"/>
    <w:next w:val="179"/>
    <w:autoRedefine/>
    <w:qFormat/>
    <w:uiPriority w:val="0"/>
    <w:pPr>
      <w:spacing w:line="468" w:lineRule="atLeast"/>
    </w:pPr>
    <w:rPr>
      <w:rFonts w:ascii="楷体_GB2312" w:hAnsi="Calibri" w:eastAsia="楷体_GB2312" w:cs="楷体_GB2312"/>
      <w:color w:val="auto"/>
    </w:rPr>
  </w:style>
  <w:style w:type="character" w:customStyle="1" w:styleId="593">
    <w:name w:val="样式12 Char"/>
    <w:link w:val="594"/>
    <w:autoRedefine/>
    <w:qFormat/>
    <w:locked/>
    <w:uiPriority w:val="0"/>
    <w:rPr>
      <w:rFonts w:ascii="仿宋_GB2312" w:eastAsia="仿宋_GB2312" w:cs="宋体"/>
      <w:b/>
      <w:bCs/>
      <w:color w:val="000000"/>
      <w:kern w:val="2"/>
      <w:sz w:val="24"/>
      <w:szCs w:val="24"/>
    </w:rPr>
  </w:style>
  <w:style w:type="paragraph" w:customStyle="1" w:styleId="594">
    <w:name w:val="样式12"/>
    <w:basedOn w:val="1"/>
    <w:link w:val="593"/>
    <w:autoRedefine/>
    <w:qFormat/>
    <w:uiPriority w:val="0"/>
    <w:pPr>
      <w:spacing w:line="360" w:lineRule="auto"/>
      <w:ind w:firstLine="480"/>
    </w:pPr>
    <w:rPr>
      <w:rFonts w:ascii="仿宋_GB2312" w:eastAsia="仿宋_GB2312" w:cs="宋体"/>
      <w:b/>
      <w:bCs/>
      <w:color w:val="000000"/>
    </w:rPr>
  </w:style>
  <w:style w:type="character" w:customStyle="1" w:styleId="595">
    <w:name w:val="样式15 Char"/>
    <w:link w:val="596"/>
    <w:autoRedefine/>
    <w:qFormat/>
    <w:locked/>
    <w:uiPriority w:val="0"/>
    <w:rPr>
      <w:rFonts w:ascii="黑体" w:eastAsia="黑体" w:cs="宋体"/>
      <w:b/>
      <w:bCs/>
      <w:color w:val="000000"/>
      <w:kern w:val="2"/>
      <w:sz w:val="24"/>
      <w:szCs w:val="24"/>
    </w:rPr>
  </w:style>
  <w:style w:type="paragraph" w:customStyle="1" w:styleId="596">
    <w:name w:val="样式15"/>
    <w:basedOn w:val="1"/>
    <w:link w:val="595"/>
    <w:autoRedefine/>
    <w:qFormat/>
    <w:uiPriority w:val="0"/>
    <w:pPr>
      <w:spacing w:line="360" w:lineRule="auto"/>
      <w:outlineLvl w:val="2"/>
    </w:pPr>
    <w:rPr>
      <w:rFonts w:ascii="黑体" w:eastAsia="黑体" w:cs="宋体"/>
      <w:b/>
      <w:bCs/>
      <w:color w:val="000000"/>
    </w:rPr>
  </w:style>
  <w:style w:type="paragraph" w:customStyle="1" w:styleId="597">
    <w:name w:val="CM119"/>
    <w:basedOn w:val="179"/>
    <w:next w:val="179"/>
    <w:autoRedefine/>
    <w:qFormat/>
    <w:uiPriority w:val="0"/>
    <w:rPr>
      <w:rFonts w:ascii="仿宋_GB2312" w:hAnsi="Calibri" w:eastAsia="仿宋_GB2312" w:cs="仿宋_GB2312"/>
      <w:color w:val="auto"/>
    </w:rPr>
  </w:style>
  <w:style w:type="paragraph" w:customStyle="1" w:styleId="598">
    <w:name w:val="样式13"/>
    <w:basedOn w:val="1"/>
    <w:link w:val="599"/>
    <w:autoRedefine/>
    <w:qFormat/>
    <w:uiPriority w:val="0"/>
    <w:pPr>
      <w:adjustRightInd w:val="0"/>
      <w:spacing w:line="360" w:lineRule="auto"/>
      <w:ind w:firstLine="480"/>
    </w:pPr>
  </w:style>
  <w:style w:type="character" w:customStyle="1" w:styleId="599">
    <w:name w:val="样式13 Char"/>
    <w:link w:val="598"/>
    <w:autoRedefine/>
    <w:qFormat/>
    <w:locked/>
    <w:uiPriority w:val="0"/>
    <w:rPr>
      <w:kern w:val="2"/>
      <w:sz w:val="24"/>
      <w:szCs w:val="24"/>
    </w:rPr>
  </w:style>
  <w:style w:type="character" w:customStyle="1" w:styleId="600">
    <w:name w:val="正文格式 Char1"/>
    <w:autoRedefine/>
    <w:qFormat/>
    <w:locked/>
    <w:uiPriority w:val="0"/>
    <w:rPr>
      <w:rFonts w:ascii="Times New Roman" w:hAnsi="Times New Roman" w:eastAsia="仿宋_GB2312" w:cs="宋体"/>
      <w:b/>
      <w:bCs/>
      <w:color w:val="000000"/>
      <w:kern w:val="2"/>
      <w:sz w:val="28"/>
      <w:szCs w:val="28"/>
      <w:lang w:val="en-US" w:eastAsia="zh-CN" w:bidi="ar-SA"/>
    </w:rPr>
  </w:style>
  <w:style w:type="paragraph" w:customStyle="1" w:styleId="601">
    <w:name w:val="无间隔6"/>
    <w:autoRedefine/>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602">
    <w:name w:val="Char Char Char Char Char Char Char Char Char Char1 Char Char Char Char Char Char Char Char Char Char"/>
    <w:basedOn w:val="1"/>
    <w:autoRedefine/>
    <w:qFormat/>
    <w:uiPriority w:val="0"/>
    <w:pPr>
      <w:ind w:firstLine="0" w:firstLineChars="0"/>
    </w:pPr>
  </w:style>
  <w:style w:type="paragraph" w:customStyle="1" w:styleId="603">
    <w:name w:val="样式 标题 2 + 四号"/>
    <w:basedOn w:val="4"/>
    <w:autoRedefine/>
    <w:qFormat/>
    <w:uiPriority w:val="0"/>
    <w:pPr>
      <w:ind w:left="992" w:hanging="992"/>
    </w:pPr>
    <w:rPr>
      <w:rFonts w:ascii="Arial" w:hAnsi="Arial" w:eastAsia="宋体" w:cs="Arial"/>
      <w:b w:val="0"/>
      <w:bCs w:val="0"/>
      <w:kern w:val="0"/>
      <w:sz w:val="28"/>
      <w:szCs w:val="28"/>
    </w:rPr>
  </w:style>
  <w:style w:type="character" w:customStyle="1" w:styleId="604">
    <w:name w:val="明显强调1"/>
    <w:autoRedefine/>
    <w:qFormat/>
    <w:uiPriority w:val="0"/>
    <w:rPr>
      <w:rFonts w:eastAsia="黑体" w:cs="宋体"/>
      <w:i/>
      <w:iCs/>
      <w:color w:val="auto"/>
      <w:kern w:val="2"/>
      <w:sz w:val="32"/>
      <w:szCs w:val="32"/>
      <w:lang w:val="en-US" w:eastAsia="zh-CN" w:bidi="ar-SA"/>
    </w:rPr>
  </w:style>
  <w:style w:type="paragraph" w:customStyle="1" w:styleId="605">
    <w:name w:val="无间隔7"/>
    <w:autoRedefine/>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606">
    <w:name w:val="无间隔8"/>
    <w:autoRedefine/>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607">
    <w:name w:val="海域正文"/>
    <w:basedOn w:val="533"/>
    <w:link w:val="608"/>
    <w:autoRedefine/>
    <w:qFormat/>
    <w:uiPriority w:val="0"/>
    <w:pPr>
      <w:adjustRightInd/>
      <w:ind w:firstLine="480"/>
    </w:pPr>
    <w:rPr>
      <w:rFonts w:eastAsia="仿宋_GB2312"/>
    </w:rPr>
  </w:style>
  <w:style w:type="character" w:customStyle="1" w:styleId="608">
    <w:name w:val="海域正文 Char"/>
    <w:link w:val="607"/>
    <w:autoRedefine/>
    <w:qFormat/>
    <w:locked/>
    <w:uiPriority w:val="0"/>
    <w:rPr>
      <w:rFonts w:eastAsia="仿宋_GB2312"/>
      <w:kern w:val="2"/>
      <w:sz w:val="24"/>
      <w:szCs w:val="24"/>
    </w:rPr>
  </w:style>
  <w:style w:type="paragraph" w:customStyle="1" w:styleId="609">
    <w:name w:val="海域图表"/>
    <w:basedOn w:val="607"/>
    <w:link w:val="610"/>
    <w:autoRedefine/>
    <w:qFormat/>
    <w:uiPriority w:val="0"/>
    <w:pPr>
      <w:ind w:firstLine="0" w:firstLineChars="0"/>
      <w:jc w:val="center"/>
    </w:pPr>
    <w:rPr>
      <w:b/>
      <w:bCs/>
    </w:rPr>
  </w:style>
  <w:style w:type="character" w:customStyle="1" w:styleId="610">
    <w:name w:val="海域图表 Char"/>
    <w:link w:val="609"/>
    <w:autoRedefine/>
    <w:qFormat/>
    <w:locked/>
    <w:uiPriority w:val="0"/>
    <w:rPr>
      <w:rFonts w:eastAsia="仿宋_GB2312"/>
      <w:b/>
      <w:bCs/>
      <w:kern w:val="2"/>
      <w:sz w:val="24"/>
      <w:szCs w:val="24"/>
    </w:rPr>
  </w:style>
  <w:style w:type="paragraph" w:customStyle="1" w:styleId="611">
    <w:name w:val="海域无间隔"/>
    <w:basedOn w:val="607"/>
    <w:link w:val="612"/>
    <w:autoRedefine/>
    <w:qFormat/>
    <w:uiPriority w:val="0"/>
    <w:pPr>
      <w:spacing w:line="240" w:lineRule="auto"/>
      <w:ind w:firstLine="0" w:firstLineChars="0"/>
    </w:pPr>
  </w:style>
  <w:style w:type="character" w:customStyle="1" w:styleId="612">
    <w:name w:val="海域无间隔 Char"/>
    <w:basedOn w:val="608"/>
    <w:link w:val="611"/>
    <w:autoRedefine/>
    <w:qFormat/>
    <w:locked/>
    <w:uiPriority w:val="0"/>
    <w:rPr>
      <w:rFonts w:eastAsia="仿宋_GB2312"/>
      <w:kern w:val="2"/>
      <w:sz w:val="24"/>
      <w:szCs w:val="24"/>
    </w:rPr>
  </w:style>
  <w:style w:type="paragraph" w:customStyle="1" w:styleId="613">
    <w:name w:val="样式 标题 2 + 左侧:  0.32 厘米 首行缩进:  0 厘米"/>
    <w:basedOn w:val="4"/>
    <w:autoRedefine/>
    <w:qFormat/>
    <w:uiPriority w:val="0"/>
    <w:pPr>
      <w:keepNext w:val="0"/>
      <w:keepLines w:val="0"/>
      <w:tabs>
        <w:tab w:val="left" w:pos="756"/>
        <w:tab w:val="left" w:pos="1151"/>
      </w:tabs>
      <w:adjustRightInd w:val="0"/>
      <w:snapToGrid w:val="0"/>
      <w:spacing w:before="240" w:line="310" w:lineRule="atLeast"/>
      <w:ind w:left="756" w:hanging="576"/>
      <w:textAlignment w:val="baseline"/>
    </w:pPr>
    <w:rPr>
      <w:rFonts w:ascii="宋体" w:hAnsi="宋体" w:cs="宋体"/>
      <w:color w:val="000000"/>
      <w:sz w:val="44"/>
      <w:szCs w:val="44"/>
    </w:rPr>
  </w:style>
  <w:style w:type="paragraph" w:customStyle="1" w:styleId="614">
    <w:name w:val="样式21"/>
    <w:basedOn w:val="1"/>
    <w:link w:val="615"/>
    <w:autoRedefine/>
    <w:qFormat/>
    <w:uiPriority w:val="0"/>
    <w:pPr>
      <w:spacing w:line="360" w:lineRule="auto"/>
      <w:outlineLvl w:val="2"/>
    </w:pPr>
    <w:rPr>
      <w:rFonts w:eastAsia="黑体"/>
    </w:rPr>
  </w:style>
  <w:style w:type="character" w:customStyle="1" w:styleId="615">
    <w:name w:val="样式21 Char"/>
    <w:link w:val="614"/>
    <w:autoRedefine/>
    <w:qFormat/>
    <w:locked/>
    <w:uiPriority w:val="0"/>
    <w:rPr>
      <w:rFonts w:eastAsia="黑体"/>
      <w:kern w:val="2"/>
      <w:sz w:val="24"/>
      <w:szCs w:val="24"/>
    </w:rPr>
  </w:style>
  <w:style w:type="paragraph" w:customStyle="1" w:styleId="616">
    <w:name w:val="样式22"/>
    <w:basedOn w:val="1"/>
    <w:link w:val="617"/>
    <w:autoRedefine/>
    <w:qFormat/>
    <w:uiPriority w:val="0"/>
    <w:pPr>
      <w:spacing w:line="360" w:lineRule="auto"/>
      <w:ind w:firstLine="480"/>
    </w:pPr>
    <w:rPr>
      <w:rFonts w:eastAsia="仿宋_GB2312"/>
    </w:rPr>
  </w:style>
  <w:style w:type="character" w:customStyle="1" w:styleId="617">
    <w:name w:val="样式22 Char"/>
    <w:link w:val="616"/>
    <w:autoRedefine/>
    <w:qFormat/>
    <w:locked/>
    <w:uiPriority w:val="0"/>
    <w:rPr>
      <w:rFonts w:eastAsia="仿宋_GB2312"/>
      <w:kern w:val="2"/>
      <w:sz w:val="24"/>
      <w:szCs w:val="24"/>
    </w:rPr>
  </w:style>
  <w:style w:type="paragraph" w:customStyle="1" w:styleId="618">
    <w:name w:val="图表行"/>
    <w:basedOn w:val="1"/>
    <w:autoRedefine/>
    <w:qFormat/>
    <w:uiPriority w:val="0"/>
    <w:pPr>
      <w:spacing w:line="360" w:lineRule="auto"/>
      <w:ind w:firstLine="0" w:firstLineChars="0"/>
      <w:jc w:val="center"/>
    </w:pPr>
    <w:rPr>
      <w:b/>
      <w:bCs/>
    </w:rPr>
  </w:style>
  <w:style w:type="paragraph" w:customStyle="1" w:styleId="619">
    <w:name w:val="3"/>
    <w:basedOn w:val="1"/>
    <w:next w:val="21"/>
    <w:qFormat/>
    <w:uiPriority w:val="0"/>
    <w:pPr>
      <w:ind w:firstLine="420"/>
    </w:pPr>
  </w:style>
  <w:style w:type="paragraph" w:customStyle="1" w:styleId="620">
    <w:name w:val="样式24"/>
    <w:basedOn w:val="1"/>
    <w:link w:val="621"/>
    <w:autoRedefine/>
    <w:qFormat/>
    <w:uiPriority w:val="0"/>
    <w:pPr>
      <w:spacing w:line="360" w:lineRule="auto"/>
      <w:outlineLvl w:val="2"/>
    </w:pPr>
    <w:rPr>
      <w:rFonts w:ascii="黑体" w:eastAsia="黑体" w:cs="黑体"/>
    </w:rPr>
  </w:style>
  <w:style w:type="character" w:customStyle="1" w:styleId="621">
    <w:name w:val="样式24 Char"/>
    <w:link w:val="620"/>
    <w:autoRedefine/>
    <w:qFormat/>
    <w:locked/>
    <w:uiPriority w:val="0"/>
    <w:rPr>
      <w:rFonts w:ascii="黑体" w:eastAsia="黑体" w:cs="黑体"/>
      <w:kern w:val="2"/>
      <w:sz w:val="24"/>
      <w:szCs w:val="24"/>
    </w:rPr>
  </w:style>
  <w:style w:type="paragraph" w:customStyle="1" w:styleId="622">
    <w:name w:val="样式26"/>
    <w:basedOn w:val="1"/>
    <w:link w:val="623"/>
    <w:autoRedefine/>
    <w:qFormat/>
    <w:uiPriority w:val="0"/>
    <w:pPr>
      <w:spacing w:line="360" w:lineRule="auto"/>
      <w:ind w:firstLine="480"/>
    </w:pPr>
    <w:rPr>
      <w:rFonts w:eastAsia="仿宋_GB2312"/>
    </w:rPr>
  </w:style>
  <w:style w:type="character" w:customStyle="1" w:styleId="623">
    <w:name w:val="样式26 Char"/>
    <w:link w:val="622"/>
    <w:autoRedefine/>
    <w:qFormat/>
    <w:locked/>
    <w:uiPriority w:val="0"/>
    <w:rPr>
      <w:rFonts w:eastAsia="仿宋_GB2312"/>
      <w:kern w:val="2"/>
      <w:sz w:val="24"/>
      <w:szCs w:val="24"/>
    </w:rPr>
  </w:style>
  <w:style w:type="paragraph" w:customStyle="1" w:styleId="624">
    <w:name w:val="Char Char Char Char Char Char Char Char Char Char"/>
    <w:basedOn w:val="1"/>
    <w:autoRedefine/>
    <w:qFormat/>
    <w:uiPriority w:val="0"/>
    <w:pPr>
      <w:spacing w:line="360" w:lineRule="auto"/>
    </w:pPr>
    <w:rPr>
      <w:rFonts w:ascii="宋体" w:hAnsi="宋体" w:cs="宋体"/>
    </w:rPr>
  </w:style>
  <w:style w:type="paragraph" w:customStyle="1" w:styleId="625">
    <w:name w:val="论证—正文"/>
    <w:basedOn w:val="1"/>
    <w:autoRedefine/>
    <w:qFormat/>
    <w:uiPriority w:val="0"/>
    <w:pPr>
      <w:spacing w:beforeLines="50" w:afterLines="50" w:line="360" w:lineRule="auto"/>
      <w:ind w:firstLine="480"/>
    </w:pPr>
  </w:style>
  <w:style w:type="paragraph" w:customStyle="1" w:styleId="626">
    <w:name w:val="论证—标题4.3.1"/>
    <w:basedOn w:val="627"/>
    <w:autoRedefine/>
    <w:qFormat/>
    <w:uiPriority w:val="0"/>
    <w:pPr>
      <w:spacing w:before="50" w:after="50"/>
      <w:outlineLvl w:val="4"/>
    </w:pPr>
    <w:rPr>
      <w:sz w:val="28"/>
      <w:szCs w:val="28"/>
    </w:rPr>
  </w:style>
  <w:style w:type="paragraph" w:customStyle="1" w:styleId="627">
    <w:name w:val="论证—标题4.1"/>
    <w:basedOn w:val="1"/>
    <w:autoRedefine/>
    <w:qFormat/>
    <w:uiPriority w:val="0"/>
    <w:pPr>
      <w:snapToGrid w:val="0"/>
      <w:spacing w:beforeLines="50" w:afterLines="50" w:line="480" w:lineRule="exact"/>
      <w:ind w:firstLine="0" w:firstLineChars="0"/>
      <w:outlineLvl w:val="3"/>
    </w:pPr>
    <w:rPr>
      <w:b/>
      <w:bCs/>
      <w:sz w:val="32"/>
      <w:szCs w:val="32"/>
    </w:rPr>
  </w:style>
  <w:style w:type="paragraph" w:customStyle="1" w:styleId="628">
    <w:name w:val="论证—标题一"/>
    <w:basedOn w:val="1"/>
    <w:next w:val="1"/>
    <w:autoRedefine/>
    <w:qFormat/>
    <w:uiPriority w:val="0"/>
    <w:pPr>
      <w:tabs>
        <w:tab w:val="left" w:pos="360"/>
      </w:tabs>
      <w:adjustRightInd w:val="0"/>
      <w:snapToGrid w:val="0"/>
      <w:spacing w:beforeLines="200" w:afterLines="200"/>
      <w:ind w:firstLine="0" w:firstLineChars="0"/>
      <w:jc w:val="center"/>
      <w:outlineLvl w:val="0"/>
    </w:pPr>
    <w:rPr>
      <w:rFonts w:eastAsia="黑体"/>
      <w:b/>
      <w:bCs/>
      <w:color w:val="000000"/>
      <w:kern w:val="0"/>
      <w:sz w:val="52"/>
      <w:szCs w:val="52"/>
    </w:rPr>
  </w:style>
  <w:style w:type="paragraph" w:customStyle="1" w:styleId="629">
    <w:name w:val="论证__正文"/>
    <w:basedOn w:val="1"/>
    <w:autoRedefine/>
    <w:qFormat/>
    <w:uiPriority w:val="0"/>
    <w:pPr>
      <w:tabs>
        <w:tab w:val="left" w:pos="360"/>
      </w:tabs>
      <w:spacing w:line="360" w:lineRule="auto"/>
      <w:ind w:firstLine="480"/>
    </w:pPr>
  </w:style>
  <w:style w:type="paragraph" w:customStyle="1" w:styleId="630">
    <w:name w:val="论证—图表"/>
    <w:basedOn w:val="1"/>
    <w:autoRedefine/>
    <w:qFormat/>
    <w:uiPriority w:val="0"/>
    <w:pPr>
      <w:ind w:firstLine="0" w:firstLineChars="0"/>
      <w:jc w:val="center"/>
    </w:pPr>
    <w:rPr>
      <w:rFonts w:ascii="宋体" w:hAnsi="宋体" w:cs="宋体"/>
      <w:color w:val="000000"/>
      <w:kern w:val="0"/>
      <w:sz w:val="21"/>
      <w:szCs w:val="21"/>
    </w:rPr>
  </w:style>
  <w:style w:type="paragraph" w:customStyle="1" w:styleId="631">
    <w:name w:val="论证—标题3"/>
    <w:basedOn w:val="1"/>
    <w:next w:val="1"/>
    <w:autoRedefine/>
    <w:qFormat/>
    <w:uiPriority w:val="0"/>
    <w:pPr>
      <w:adjustRightInd w:val="0"/>
      <w:snapToGrid w:val="0"/>
      <w:spacing w:beforeLines="100" w:afterLines="100" w:line="480" w:lineRule="exact"/>
      <w:ind w:firstLine="0" w:firstLineChars="0"/>
      <w:outlineLvl w:val="2"/>
    </w:pPr>
    <w:rPr>
      <w:b/>
      <w:bCs/>
      <w:sz w:val="32"/>
      <w:szCs w:val="32"/>
    </w:rPr>
  </w:style>
  <w:style w:type="paragraph" w:customStyle="1" w:styleId="632">
    <w:name w:val="论证—标题（二）"/>
    <w:basedOn w:val="4"/>
    <w:next w:val="1"/>
    <w:autoRedefine/>
    <w:qFormat/>
    <w:uiPriority w:val="0"/>
    <w:pPr>
      <w:adjustRightInd w:val="0"/>
      <w:snapToGrid w:val="0"/>
      <w:spacing w:beforeLines="150" w:afterLines="150" w:line="480" w:lineRule="exact"/>
      <w:ind w:left="992" w:hanging="992"/>
      <w:jc w:val="left"/>
    </w:pPr>
    <w:rPr>
      <w:rFonts w:ascii="宋体" w:hAnsi="宋体" w:eastAsia="宋体" w:cs="宋体"/>
      <w:sz w:val="44"/>
      <w:szCs w:val="44"/>
    </w:rPr>
  </w:style>
  <w:style w:type="paragraph" w:customStyle="1" w:styleId="633">
    <w:name w:val="标题 1环评"/>
    <w:basedOn w:val="3"/>
    <w:autoRedefine/>
    <w:qFormat/>
    <w:uiPriority w:val="0"/>
    <w:pPr>
      <w:keepLines/>
      <w:tabs>
        <w:tab w:val="clear" w:pos="0"/>
      </w:tabs>
      <w:spacing w:beforeLines="50" w:afterLines="50" w:line="360" w:lineRule="auto"/>
      <w:ind w:left="425" w:hanging="137"/>
    </w:pPr>
    <w:rPr>
      <w:bCs/>
      <w:kern w:val="44"/>
      <w:sz w:val="44"/>
      <w:szCs w:val="44"/>
    </w:rPr>
  </w:style>
  <w:style w:type="paragraph" w:customStyle="1" w:styleId="634">
    <w:name w:val="报告标题 1 环评"/>
    <w:basedOn w:val="633"/>
    <w:autoRedefine/>
    <w:qFormat/>
    <w:uiPriority w:val="0"/>
    <w:pPr>
      <w:spacing w:before="50" w:after="50"/>
    </w:pPr>
    <w:rPr>
      <w:sz w:val="48"/>
      <w:szCs w:val="48"/>
    </w:rPr>
  </w:style>
  <w:style w:type="paragraph" w:customStyle="1" w:styleId="635">
    <w:name w:val="报告标题 1 环评 + 段前: 0.5 行 段后: 0.5 行"/>
    <w:basedOn w:val="634"/>
    <w:autoRedefine/>
    <w:qFormat/>
    <w:uiPriority w:val="0"/>
    <w:pPr>
      <w:spacing w:before="120" w:after="120"/>
    </w:pPr>
  </w:style>
  <w:style w:type="paragraph" w:customStyle="1" w:styleId="636">
    <w:name w:val="样式 报告标题 1 环评 + 段前: 0.5 行 段后: 0.5 行"/>
    <w:basedOn w:val="634"/>
    <w:autoRedefine/>
    <w:qFormat/>
    <w:uiPriority w:val="0"/>
    <w:pPr>
      <w:spacing w:before="120" w:after="120"/>
    </w:pPr>
  </w:style>
  <w:style w:type="paragraph" w:customStyle="1" w:styleId="637">
    <w:name w:val="报告标题2 环评"/>
    <w:basedOn w:val="1"/>
    <w:link w:val="638"/>
    <w:autoRedefine/>
    <w:qFormat/>
    <w:uiPriority w:val="0"/>
    <w:pPr>
      <w:adjustRightInd w:val="0"/>
      <w:snapToGrid w:val="0"/>
      <w:spacing w:beforeLines="150" w:afterLines="150" w:line="480" w:lineRule="exact"/>
      <w:ind w:firstLine="0" w:firstLineChars="0"/>
      <w:jc w:val="left"/>
      <w:outlineLvl w:val="1"/>
    </w:pPr>
    <w:rPr>
      <w:b/>
      <w:bCs/>
      <w:sz w:val="32"/>
      <w:szCs w:val="32"/>
    </w:rPr>
  </w:style>
  <w:style w:type="character" w:customStyle="1" w:styleId="638">
    <w:name w:val="报告标题2 环评 Char"/>
    <w:link w:val="637"/>
    <w:autoRedefine/>
    <w:qFormat/>
    <w:locked/>
    <w:uiPriority w:val="0"/>
    <w:rPr>
      <w:b/>
      <w:bCs/>
      <w:kern w:val="2"/>
      <w:sz w:val="32"/>
      <w:szCs w:val="32"/>
    </w:rPr>
  </w:style>
  <w:style w:type="paragraph" w:customStyle="1" w:styleId="639">
    <w:name w:val="样式 报告标题 1 环评 + 段前: 0.5 行 段后: 0.5 行1"/>
    <w:basedOn w:val="634"/>
    <w:autoRedefine/>
    <w:qFormat/>
    <w:uiPriority w:val="0"/>
    <w:pPr>
      <w:spacing w:before="120" w:after="120"/>
    </w:pPr>
  </w:style>
  <w:style w:type="paragraph" w:customStyle="1" w:styleId="640">
    <w:name w:val="样式 报告标题2 环评 + 段前: 1.5 行 段后: 1.5 行"/>
    <w:basedOn w:val="637"/>
    <w:link w:val="641"/>
    <w:autoRedefine/>
    <w:qFormat/>
    <w:uiPriority w:val="0"/>
    <w:pPr>
      <w:spacing w:before="360" w:after="360"/>
    </w:pPr>
  </w:style>
  <w:style w:type="character" w:customStyle="1" w:styleId="641">
    <w:name w:val="样式 报告标题2 环评 + 段前: 1.5 行 段后: 1.5 行 Char"/>
    <w:basedOn w:val="638"/>
    <w:link w:val="640"/>
    <w:qFormat/>
    <w:locked/>
    <w:uiPriority w:val="0"/>
    <w:rPr>
      <w:kern w:val="2"/>
      <w:sz w:val="32"/>
      <w:szCs w:val="32"/>
    </w:rPr>
  </w:style>
  <w:style w:type="paragraph" w:customStyle="1" w:styleId="642">
    <w:name w:val="报告标题3 环评"/>
    <w:basedOn w:val="1"/>
    <w:link w:val="643"/>
    <w:autoRedefine/>
    <w:qFormat/>
    <w:uiPriority w:val="0"/>
    <w:pPr>
      <w:adjustRightInd w:val="0"/>
      <w:snapToGrid w:val="0"/>
      <w:spacing w:afterLines="50" w:line="360" w:lineRule="auto"/>
      <w:ind w:firstLine="0" w:firstLineChars="0"/>
      <w:outlineLvl w:val="2"/>
    </w:pPr>
    <w:rPr>
      <w:b/>
      <w:bCs/>
      <w:sz w:val="28"/>
      <w:szCs w:val="28"/>
    </w:rPr>
  </w:style>
  <w:style w:type="character" w:customStyle="1" w:styleId="643">
    <w:name w:val="报告标题3 环评 Char"/>
    <w:link w:val="642"/>
    <w:autoRedefine/>
    <w:qFormat/>
    <w:locked/>
    <w:uiPriority w:val="0"/>
    <w:rPr>
      <w:b/>
      <w:bCs/>
      <w:kern w:val="2"/>
      <w:sz w:val="28"/>
      <w:szCs w:val="28"/>
    </w:rPr>
  </w:style>
  <w:style w:type="paragraph" w:customStyle="1" w:styleId="644">
    <w:name w:val="样式 报告标题3 环评 + 黑色"/>
    <w:basedOn w:val="642"/>
    <w:autoRedefine/>
    <w:qFormat/>
    <w:uiPriority w:val="0"/>
    <w:rPr>
      <w:color w:val="000000"/>
    </w:rPr>
  </w:style>
  <w:style w:type="paragraph" w:customStyle="1" w:styleId="645">
    <w:name w:val="报告标题4 环评 小四 加粗 黑色 行距: 固定值 23 磅"/>
    <w:basedOn w:val="1"/>
    <w:autoRedefine/>
    <w:qFormat/>
    <w:uiPriority w:val="0"/>
    <w:pPr>
      <w:spacing w:line="460" w:lineRule="exact"/>
      <w:ind w:firstLine="0" w:firstLineChars="0"/>
    </w:pPr>
    <w:rPr>
      <w:b/>
      <w:bCs/>
      <w:color w:val="000000"/>
    </w:rPr>
  </w:style>
  <w:style w:type="paragraph" w:customStyle="1" w:styleId="646">
    <w:name w:val="封面—项目"/>
    <w:basedOn w:val="1"/>
    <w:autoRedefine/>
    <w:qFormat/>
    <w:uiPriority w:val="0"/>
    <w:pPr>
      <w:tabs>
        <w:tab w:val="left" w:pos="4740"/>
      </w:tabs>
      <w:ind w:firstLine="0" w:firstLineChars="0"/>
      <w:jc w:val="center"/>
    </w:pPr>
    <w:rPr>
      <w:rFonts w:ascii="宋体" w:hAnsi="宋体" w:cs="宋体"/>
      <w:b/>
      <w:bCs/>
      <w:spacing w:val="-20"/>
      <w:sz w:val="44"/>
      <w:szCs w:val="44"/>
    </w:rPr>
  </w:style>
  <w:style w:type="paragraph" w:customStyle="1" w:styleId="647">
    <w:name w:val="封面—报告"/>
    <w:basedOn w:val="646"/>
    <w:autoRedefine/>
    <w:qFormat/>
    <w:uiPriority w:val="0"/>
    <w:rPr>
      <w:rFonts w:eastAsia="隶书"/>
      <w:sz w:val="72"/>
      <w:szCs w:val="72"/>
    </w:rPr>
  </w:style>
  <w:style w:type="paragraph" w:customStyle="1" w:styleId="648">
    <w:name w:val="封面—单位"/>
    <w:basedOn w:val="1"/>
    <w:autoRedefine/>
    <w:qFormat/>
    <w:uiPriority w:val="0"/>
    <w:pPr>
      <w:tabs>
        <w:tab w:val="left" w:pos="4740"/>
      </w:tabs>
      <w:spacing w:line="360" w:lineRule="auto"/>
      <w:ind w:firstLine="0" w:firstLineChars="0"/>
      <w:jc w:val="center"/>
    </w:pPr>
    <w:rPr>
      <w:rFonts w:ascii="华文中宋" w:hAnsi="华文中宋" w:cs="华文中宋"/>
      <w:sz w:val="30"/>
      <w:szCs w:val="30"/>
    </w:rPr>
  </w:style>
  <w:style w:type="paragraph" w:customStyle="1" w:styleId="649">
    <w:name w:val="图表—居中"/>
    <w:basedOn w:val="1"/>
    <w:autoRedefine/>
    <w:qFormat/>
    <w:uiPriority w:val="0"/>
    <w:pPr>
      <w:spacing w:line="360" w:lineRule="auto"/>
      <w:ind w:firstLine="480"/>
      <w:jc w:val="center"/>
    </w:pPr>
    <w:rPr>
      <w:rFonts w:ascii="华文中宋" w:hAnsi="华文中宋" w:cs="华文中宋"/>
    </w:rPr>
  </w:style>
  <w:style w:type="paragraph" w:customStyle="1" w:styleId="650">
    <w:name w:val="内封"/>
    <w:basedOn w:val="1"/>
    <w:autoRedefine/>
    <w:qFormat/>
    <w:uiPriority w:val="0"/>
    <w:pPr>
      <w:tabs>
        <w:tab w:val="left" w:pos="4740"/>
      </w:tabs>
      <w:spacing w:line="360" w:lineRule="auto"/>
      <w:ind w:firstLine="0" w:firstLineChars="0"/>
      <w:jc w:val="center"/>
    </w:pPr>
    <w:rPr>
      <w:b/>
      <w:bCs/>
      <w:color w:val="000000"/>
    </w:rPr>
  </w:style>
  <w:style w:type="paragraph" w:customStyle="1" w:styleId="651">
    <w:name w:val="图表报告"/>
    <w:basedOn w:val="1"/>
    <w:autoRedefine/>
    <w:qFormat/>
    <w:uiPriority w:val="0"/>
    <w:pPr>
      <w:ind w:firstLine="0" w:firstLineChars="0"/>
      <w:jc w:val="center"/>
    </w:pPr>
    <w:rPr>
      <w:sz w:val="21"/>
      <w:szCs w:val="21"/>
    </w:rPr>
  </w:style>
  <w:style w:type="paragraph" w:customStyle="1" w:styleId="652">
    <w:name w:val="正文—首行缩进"/>
    <w:basedOn w:val="1"/>
    <w:autoRedefine/>
    <w:qFormat/>
    <w:uiPriority w:val="0"/>
    <w:pPr>
      <w:spacing w:line="360" w:lineRule="auto"/>
      <w:ind w:firstLine="0" w:firstLineChars="0"/>
    </w:pPr>
  </w:style>
  <w:style w:type="paragraph" w:customStyle="1" w:styleId="653">
    <w:name w:val="图表—名称"/>
    <w:basedOn w:val="1"/>
    <w:autoRedefine/>
    <w:qFormat/>
    <w:uiPriority w:val="0"/>
    <w:pPr>
      <w:spacing w:afterLines="50" w:line="360" w:lineRule="auto"/>
      <w:ind w:firstLine="0" w:firstLineChars="0"/>
      <w:jc w:val="center"/>
    </w:pPr>
    <w:rPr>
      <w:b/>
      <w:bCs/>
      <w:sz w:val="32"/>
      <w:szCs w:val="32"/>
    </w:rPr>
  </w:style>
  <w:style w:type="paragraph" w:customStyle="1" w:styleId="654">
    <w:name w:val="表1"/>
    <w:basedOn w:val="1"/>
    <w:autoRedefine/>
    <w:qFormat/>
    <w:uiPriority w:val="0"/>
    <w:pPr>
      <w:spacing w:before="40" w:line="240" w:lineRule="atLeast"/>
      <w:ind w:firstLine="0" w:firstLineChars="0"/>
      <w:jc w:val="center"/>
    </w:pPr>
  </w:style>
  <w:style w:type="paragraph" w:customStyle="1" w:styleId="655">
    <w:name w:val="表头格式"/>
    <w:basedOn w:val="1"/>
    <w:autoRedefine/>
    <w:qFormat/>
    <w:uiPriority w:val="0"/>
    <w:pPr>
      <w:adjustRightInd w:val="0"/>
      <w:snapToGrid w:val="0"/>
      <w:spacing w:line="312" w:lineRule="auto"/>
      <w:ind w:firstLine="2415" w:firstLineChars="0"/>
      <w:jc w:val="center"/>
    </w:pPr>
    <w:rPr>
      <w:rFonts w:ascii="黑体" w:eastAsia="黑体" w:cs="黑体"/>
    </w:rPr>
  </w:style>
  <w:style w:type="paragraph" w:customStyle="1" w:styleId="656">
    <w:name w:val="正文—缩进"/>
    <w:basedOn w:val="1"/>
    <w:autoRedefine/>
    <w:qFormat/>
    <w:uiPriority w:val="0"/>
    <w:pPr>
      <w:adjustRightInd w:val="0"/>
      <w:snapToGrid w:val="0"/>
      <w:spacing w:line="360" w:lineRule="auto"/>
    </w:pPr>
  </w:style>
  <w:style w:type="paragraph" w:customStyle="1" w:styleId="657">
    <w:name w:val="图名"/>
    <w:basedOn w:val="651"/>
    <w:link w:val="1056"/>
    <w:autoRedefine/>
    <w:qFormat/>
    <w:uiPriority w:val="0"/>
    <w:pPr>
      <w:tabs>
        <w:tab w:val="left" w:pos="4740"/>
      </w:tabs>
      <w:adjustRightInd w:val="0"/>
      <w:snapToGrid w:val="0"/>
    </w:pPr>
    <w:rPr>
      <w:sz w:val="24"/>
      <w:szCs w:val="24"/>
    </w:rPr>
  </w:style>
  <w:style w:type="paragraph" w:customStyle="1" w:styleId="658">
    <w:name w:val="表—居中5号"/>
    <w:basedOn w:val="1"/>
    <w:autoRedefine/>
    <w:qFormat/>
    <w:uiPriority w:val="0"/>
    <w:pPr>
      <w:widowControl/>
      <w:ind w:firstLine="0" w:firstLineChars="0"/>
    </w:pPr>
    <w:rPr>
      <w:kern w:val="0"/>
    </w:rPr>
  </w:style>
  <w:style w:type="character" w:customStyle="1" w:styleId="659">
    <w:name w:val="表—居中5号 Char"/>
    <w:autoRedefine/>
    <w:qFormat/>
    <w:uiPriority w:val="0"/>
    <w:rPr>
      <w:rFonts w:eastAsia="宋体" w:cs="宋体"/>
      <w:b/>
      <w:bCs/>
      <w:color w:val="000000"/>
      <w:kern w:val="2"/>
      <w:sz w:val="24"/>
      <w:szCs w:val="24"/>
      <w:lang w:val="en-US" w:eastAsia="zh-CN" w:bidi="ar-SA"/>
    </w:rPr>
  </w:style>
  <w:style w:type="character" w:customStyle="1" w:styleId="660">
    <w:name w:val="图名 Char"/>
    <w:autoRedefine/>
    <w:qFormat/>
    <w:uiPriority w:val="0"/>
    <w:rPr>
      <w:rFonts w:ascii="华文中宋" w:hAnsi="华文中宋" w:eastAsia="宋体" w:cs="华文中宋"/>
      <w:b/>
      <w:bCs/>
      <w:color w:val="000000"/>
      <w:kern w:val="2"/>
      <w:sz w:val="24"/>
      <w:szCs w:val="24"/>
      <w:lang w:val="en-US" w:eastAsia="zh-CN" w:bidi="ar-SA"/>
    </w:rPr>
  </w:style>
  <w:style w:type="character" w:customStyle="1" w:styleId="661">
    <w:name w:val="txt141"/>
    <w:autoRedefine/>
    <w:qFormat/>
    <w:uiPriority w:val="0"/>
    <w:rPr>
      <w:rFonts w:ascii="宋体" w:hAnsi="宋体" w:eastAsia="宋体" w:cs="宋体"/>
      <w:b/>
      <w:bCs/>
      <w:color w:val="000000"/>
      <w:kern w:val="2"/>
      <w:sz w:val="27"/>
      <w:szCs w:val="27"/>
      <w:u w:val="none"/>
      <w:lang w:val="en-US" w:eastAsia="zh-CN" w:bidi="ar-SA"/>
    </w:rPr>
  </w:style>
  <w:style w:type="paragraph" w:customStyle="1" w:styleId="662">
    <w:name w:val="正文A"/>
    <w:autoRedefine/>
    <w:qFormat/>
    <w:uiPriority w:val="0"/>
    <w:pPr>
      <w:tabs>
        <w:tab w:val="left" w:pos="0"/>
      </w:tabs>
      <w:adjustRightInd w:val="0"/>
      <w:spacing w:before="120" w:line="360" w:lineRule="auto"/>
      <w:ind w:firstLine="480"/>
      <w:jc w:val="both"/>
    </w:pPr>
    <w:rPr>
      <w:rFonts w:ascii="Times New Roman" w:hAnsi="Times New Roman" w:eastAsia="宋体" w:cs="Times New Roman"/>
      <w:sz w:val="24"/>
      <w:szCs w:val="24"/>
      <w:lang w:val="en-US" w:eastAsia="zh-CN" w:bidi="ar-SA"/>
    </w:rPr>
  </w:style>
  <w:style w:type="character" w:customStyle="1" w:styleId="663">
    <w:name w:val="正文（首行缩进两字） Char2"/>
    <w:autoRedefine/>
    <w:qFormat/>
    <w:uiPriority w:val="0"/>
    <w:rPr>
      <w:rFonts w:eastAsia="宋体" w:cs="宋体"/>
      <w:b/>
      <w:bCs/>
      <w:color w:val="000000"/>
      <w:kern w:val="2"/>
      <w:sz w:val="24"/>
      <w:szCs w:val="24"/>
      <w:lang w:val="en-US" w:eastAsia="zh-CN" w:bidi="ar-SA"/>
    </w:rPr>
  </w:style>
  <w:style w:type="paragraph" w:customStyle="1" w:styleId="664">
    <w:name w:val="正文OK"/>
    <w:basedOn w:val="1"/>
    <w:autoRedefine/>
    <w:qFormat/>
    <w:uiPriority w:val="0"/>
    <w:pPr>
      <w:spacing w:line="460" w:lineRule="exact"/>
      <w:ind w:firstLine="0" w:firstLineChars="0"/>
    </w:pPr>
    <w:rPr>
      <w:kern w:val="0"/>
    </w:rPr>
  </w:style>
  <w:style w:type="paragraph" w:customStyle="1" w:styleId="665">
    <w:name w:val="Char Char Char Char Char Char Char Char Char Char1"/>
    <w:basedOn w:val="1"/>
    <w:autoRedefine/>
    <w:qFormat/>
    <w:uiPriority w:val="0"/>
    <w:pPr>
      <w:ind w:firstLine="0" w:firstLineChars="0"/>
    </w:pPr>
  </w:style>
  <w:style w:type="character" w:customStyle="1" w:styleId="666">
    <w:name w:val="ourfont31"/>
    <w:autoRedefine/>
    <w:qFormat/>
    <w:uiPriority w:val="0"/>
    <w:rPr>
      <w:rFonts w:eastAsia="宋体" w:cs="宋体"/>
      <w:b/>
      <w:bCs/>
      <w:color w:val="000000"/>
      <w:spacing w:val="20"/>
      <w:kern w:val="2"/>
      <w:sz w:val="21"/>
      <w:szCs w:val="21"/>
      <w:lang w:val="en-US" w:eastAsia="zh-CN" w:bidi="ar-SA"/>
    </w:rPr>
  </w:style>
  <w:style w:type="paragraph" w:customStyle="1" w:styleId="667">
    <w:name w:val="Char Char Char1"/>
    <w:basedOn w:val="1"/>
    <w:autoRedefine/>
    <w:qFormat/>
    <w:uiPriority w:val="0"/>
    <w:pPr>
      <w:spacing w:line="360" w:lineRule="auto"/>
    </w:pPr>
    <w:rPr>
      <w:rFonts w:ascii="宋体" w:hAnsi="宋体" w:cs="宋体"/>
    </w:rPr>
  </w:style>
  <w:style w:type="paragraph" w:customStyle="1" w:styleId="668">
    <w:name w:val="Char1"/>
    <w:basedOn w:val="1"/>
    <w:autoRedefine/>
    <w:qFormat/>
    <w:uiPriority w:val="0"/>
    <w:pPr>
      <w:tabs>
        <w:tab w:val="left" w:pos="360"/>
      </w:tabs>
      <w:spacing w:beforeLines="50" w:afterLines="50" w:line="360" w:lineRule="auto"/>
    </w:pPr>
  </w:style>
  <w:style w:type="character" w:customStyle="1" w:styleId="669">
    <w:name w:val="Char Char61"/>
    <w:autoRedefine/>
    <w:qFormat/>
    <w:uiPriority w:val="0"/>
    <w:rPr>
      <w:rFonts w:eastAsia="黑体" w:cs="宋体"/>
      <w:color w:val="000000"/>
      <w:kern w:val="2"/>
      <w:sz w:val="32"/>
      <w:szCs w:val="32"/>
      <w:lang w:val="en-US" w:eastAsia="zh-CN" w:bidi="ar-SA"/>
    </w:rPr>
  </w:style>
  <w:style w:type="character" w:customStyle="1" w:styleId="670">
    <w:name w:val="Char Char51"/>
    <w:autoRedefine/>
    <w:qFormat/>
    <w:uiPriority w:val="0"/>
    <w:rPr>
      <w:rFonts w:eastAsia="黑体" w:cs="宋体"/>
      <w:color w:val="000000"/>
      <w:kern w:val="2"/>
      <w:sz w:val="32"/>
      <w:szCs w:val="32"/>
      <w:lang w:val="en-US" w:eastAsia="zh-CN" w:bidi="ar-SA"/>
    </w:rPr>
  </w:style>
  <w:style w:type="paragraph" w:customStyle="1" w:styleId="671">
    <w:name w:val="报告表格标题"/>
    <w:basedOn w:val="1"/>
    <w:next w:val="1"/>
    <w:autoRedefine/>
    <w:qFormat/>
    <w:uiPriority w:val="0"/>
    <w:pPr>
      <w:adjustRightInd w:val="0"/>
      <w:snapToGrid w:val="0"/>
      <w:spacing w:beforeLines="50" w:afterLines="50" w:line="480" w:lineRule="exact"/>
      <w:ind w:firstLine="0" w:firstLineChars="0"/>
      <w:jc w:val="center"/>
    </w:pPr>
    <w:rPr>
      <w:rFonts w:ascii="黑体" w:hAnsi="宋体" w:eastAsia="黑体" w:cs="黑体"/>
    </w:rPr>
  </w:style>
  <w:style w:type="paragraph" w:customStyle="1" w:styleId="672">
    <w:name w:val="报告表格内容"/>
    <w:basedOn w:val="1"/>
    <w:next w:val="1"/>
    <w:link w:val="673"/>
    <w:autoRedefine/>
    <w:qFormat/>
    <w:uiPriority w:val="0"/>
    <w:pPr>
      <w:adjustRightInd w:val="0"/>
      <w:snapToGrid w:val="0"/>
      <w:ind w:firstLine="0" w:firstLineChars="0"/>
      <w:jc w:val="center"/>
    </w:pPr>
    <w:rPr>
      <w:sz w:val="21"/>
      <w:szCs w:val="21"/>
    </w:rPr>
  </w:style>
  <w:style w:type="character" w:customStyle="1" w:styleId="673">
    <w:name w:val="报告表格内容 Char"/>
    <w:link w:val="672"/>
    <w:autoRedefine/>
    <w:qFormat/>
    <w:locked/>
    <w:uiPriority w:val="0"/>
    <w:rPr>
      <w:kern w:val="2"/>
      <w:sz w:val="21"/>
      <w:szCs w:val="21"/>
    </w:rPr>
  </w:style>
  <w:style w:type="paragraph" w:customStyle="1" w:styleId="674">
    <w:name w:val="样式 (中文) 黑体 居中"/>
    <w:basedOn w:val="1"/>
    <w:autoRedefine/>
    <w:qFormat/>
    <w:uiPriority w:val="0"/>
    <w:pPr>
      <w:ind w:firstLine="0" w:firstLineChars="0"/>
      <w:jc w:val="center"/>
    </w:pPr>
    <w:rPr>
      <w:sz w:val="21"/>
      <w:szCs w:val="21"/>
    </w:rPr>
  </w:style>
  <w:style w:type="paragraph" w:customStyle="1" w:styleId="675">
    <w:name w:val="样式 表格内容 + 小四 行距: 单倍行距"/>
    <w:basedOn w:val="343"/>
    <w:autoRedefine/>
    <w:qFormat/>
    <w:uiPriority w:val="0"/>
    <w:pPr>
      <w:textAlignment w:val="baseline"/>
    </w:pPr>
    <w:rPr>
      <w:rFonts w:hAnsi="Times New Roman"/>
      <w:snapToGrid/>
      <w:spacing w:val="-4"/>
      <w:sz w:val="24"/>
      <w:szCs w:val="24"/>
    </w:rPr>
  </w:style>
  <w:style w:type="paragraph" w:customStyle="1" w:styleId="676">
    <w:name w:val="样式 首行缩进 Char + 首行缩进:  2.57 字符"/>
    <w:basedOn w:val="1"/>
    <w:autoRedefine/>
    <w:qFormat/>
    <w:uiPriority w:val="0"/>
    <w:pPr>
      <w:spacing w:beforeLines="50" w:line="360" w:lineRule="auto"/>
      <w:ind w:firstLine="540" w:firstLineChars="225"/>
    </w:pPr>
    <w:rPr>
      <w:color w:val="000000"/>
    </w:rPr>
  </w:style>
  <w:style w:type="paragraph" w:customStyle="1" w:styleId="677">
    <w:name w:val="Char Char Char Char Char Char1 Char Char Char1 Char Char Char Char Char Char Char Char Char Char Char Char Char Char Char1 Char Char Char1 Char Char Char Char Char Char1 Char"/>
    <w:basedOn w:val="1"/>
    <w:autoRedefine/>
    <w:qFormat/>
    <w:uiPriority w:val="0"/>
    <w:pPr>
      <w:spacing w:line="360" w:lineRule="auto"/>
    </w:pPr>
    <w:rPr>
      <w:rFonts w:ascii="宋体" w:hAnsi="宋体" w:cs="宋体"/>
    </w:rPr>
  </w:style>
  <w:style w:type="character" w:customStyle="1" w:styleId="678">
    <w:name w:val="文字缩进"/>
    <w:autoRedefine/>
    <w:qFormat/>
    <w:uiPriority w:val="0"/>
    <w:rPr>
      <w:rFonts w:eastAsia="宋体" w:cs="宋体"/>
      <w:b/>
      <w:bCs/>
      <w:color w:val="000000"/>
      <w:kern w:val="2"/>
      <w:sz w:val="24"/>
      <w:szCs w:val="24"/>
      <w:lang w:val="en-US" w:eastAsia="zh-CN" w:bidi="ar-SA"/>
    </w:rPr>
  </w:style>
  <w:style w:type="paragraph" w:customStyle="1" w:styleId="679">
    <w:name w:val="Char Char Char Char1 Char Char Char1"/>
    <w:basedOn w:val="1"/>
    <w:autoRedefine/>
    <w:qFormat/>
    <w:uiPriority w:val="0"/>
    <w:rPr>
      <w:rFonts w:eastAsia="黑体" w:cs="宋体"/>
      <w:b/>
      <w:bCs/>
      <w:color w:val="000000"/>
      <w:sz w:val="32"/>
      <w:szCs w:val="32"/>
    </w:rPr>
  </w:style>
  <w:style w:type="paragraph" w:customStyle="1" w:styleId="680">
    <w:name w:val="样式9"/>
    <w:basedOn w:val="55"/>
    <w:link w:val="2674"/>
    <w:autoRedefine/>
    <w:qFormat/>
    <w:uiPriority w:val="0"/>
    <w:pPr>
      <w:pBdr>
        <w:top w:val="thickThinSmallGap" w:color="auto" w:sz="24" w:space="1"/>
      </w:pBdr>
    </w:pPr>
  </w:style>
  <w:style w:type="paragraph" w:customStyle="1" w:styleId="681">
    <w:name w:val="Char2"/>
    <w:basedOn w:val="1"/>
    <w:next w:val="1"/>
    <w:autoRedefine/>
    <w:qFormat/>
    <w:uiPriority w:val="0"/>
    <w:pPr>
      <w:spacing w:line="336" w:lineRule="auto"/>
    </w:pPr>
    <w:rPr>
      <w:rFonts w:ascii="宋体" w:hAnsi="宋体" w:eastAsia="汉鼎简书宋" w:cs="宋体"/>
    </w:rPr>
  </w:style>
  <w:style w:type="paragraph" w:customStyle="1" w:styleId="682">
    <w:name w:val="目录"/>
    <w:basedOn w:val="1"/>
    <w:next w:val="59"/>
    <w:autoRedefine/>
    <w:qFormat/>
    <w:uiPriority w:val="0"/>
    <w:pPr>
      <w:jc w:val="center"/>
    </w:pPr>
    <w:rPr>
      <w:rFonts w:eastAsia="黑体"/>
      <w:sz w:val="36"/>
      <w:szCs w:val="20"/>
    </w:rPr>
  </w:style>
  <w:style w:type="paragraph" w:customStyle="1" w:styleId="683">
    <w:name w:val="小节"/>
    <w:next w:val="1"/>
    <w:autoRedefine/>
    <w:qFormat/>
    <w:uiPriority w:val="0"/>
    <w:pPr>
      <w:ind w:firstLine="612"/>
      <w:jc w:val="both"/>
    </w:pPr>
    <w:rPr>
      <w:rFonts w:ascii="Times New Roman" w:hAnsi="Times New Roman" w:eastAsia="宋体" w:cs="Times New Roman"/>
      <w:b/>
      <w:sz w:val="28"/>
      <w:lang w:val="en-US" w:eastAsia="zh-CN" w:bidi="ar-SA"/>
    </w:rPr>
  </w:style>
  <w:style w:type="paragraph" w:customStyle="1" w:styleId="684">
    <w:name w:val="Char Char Char Char1 Char Char Char Char Char"/>
    <w:basedOn w:val="1"/>
    <w:autoRedefine/>
    <w:qFormat/>
    <w:uiPriority w:val="0"/>
    <w:rPr>
      <w:rFonts w:eastAsia="黑体" w:cs="宋体"/>
      <w:b/>
      <w:bCs/>
      <w:color w:val="000000"/>
      <w:sz w:val="32"/>
      <w:szCs w:val="32"/>
    </w:rPr>
  </w:style>
  <w:style w:type="paragraph" w:customStyle="1" w:styleId="685">
    <w:name w:val="Char Char Char2"/>
    <w:basedOn w:val="1"/>
    <w:autoRedefine/>
    <w:qFormat/>
    <w:uiPriority w:val="0"/>
    <w:pPr>
      <w:ind w:firstLine="0" w:firstLineChars="0"/>
    </w:pPr>
    <w:rPr>
      <w:sz w:val="28"/>
      <w:szCs w:val="28"/>
    </w:rPr>
  </w:style>
  <w:style w:type="paragraph" w:customStyle="1" w:styleId="686">
    <w:name w:val="图"/>
    <w:basedOn w:val="73"/>
    <w:qFormat/>
    <w:uiPriority w:val="0"/>
    <w:pPr>
      <w:spacing w:before="50" w:beforeLines="50" w:after="50" w:afterLines="50" w:line="240" w:lineRule="auto"/>
      <w:ind w:left="0" w:leftChars="0" w:firstLine="0" w:firstLineChars="0"/>
      <w:jc w:val="center"/>
    </w:pPr>
    <w:rPr>
      <w:rFonts w:eastAsia="黑体"/>
    </w:rPr>
  </w:style>
  <w:style w:type="character" w:customStyle="1" w:styleId="687">
    <w:name w:val="条 Char"/>
    <w:link w:val="510"/>
    <w:autoRedefine/>
    <w:qFormat/>
    <w:uiPriority w:val="0"/>
    <w:rPr>
      <w:kern w:val="2"/>
      <w:sz w:val="28"/>
      <w:szCs w:val="28"/>
    </w:rPr>
  </w:style>
  <w:style w:type="paragraph" w:customStyle="1" w:styleId="688">
    <w:name w:val="样式 款 + 首行缩进:  1 字符"/>
    <w:basedOn w:val="506"/>
    <w:autoRedefine/>
    <w:qFormat/>
    <w:uiPriority w:val="0"/>
    <w:pPr>
      <w:ind w:firstLine="0" w:firstLineChars="0"/>
    </w:pPr>
    <w:rPr>
      <w:rFonts w:cs="宋体"/>
      <w:szCs w:val="20"/>
    </w:rPr>
  </w:style>
  <w:style w:type="paragraph" w:customStyle="1" w:styleId="689">
    <w:name w:val="CM196"/>
    <w:basedOn w:val="179"/>
    <w:next w:val="179"/>
    <w:autoRedefine/>
    <w:qFormat/>
    <w:uiPriority w:val="99"/>
    <w:pPr>
      <w:spacing w:after="150"/>
    </w:pPr>
    <w:rPr>
      <w:rFonts w:hAnsi="Calibri" w:cs="Times New Roman"/>
      <w:color w:val="auto"/>
    </w:rPr>
  </w:style>
  <w:style w:type="paragraph" w:customStyle="1" w:styleId="690">
    <w:name w:val="CM202"/>
    <w:basedOn w:val="179"/>
    <w:next w:val="179"/>
    <w:autoRedefine/>
    <w:qFormat/>
    <w:uiPriority w:val="99"/>
    <w:pPr>
      <w:spacing w:after="250"/>
    </w:pPr>
    <w:rPr>
      <w:rFonts w:hAnsi="Calibri" w:cs="Times New Roman"/>
      <w:color w:val="auto"/>
    </w:rPr>
  </w:style>
  <w:style w:type="paragraph" w:customStyle="1" w:styleId="691">
    <w:name w:val="CM22"/>
    <w:basedOn w:val="179"/>
    <w:next w:val="179"/>
    <w:qFormat/>
    <w:uiPriority w:val="99"/>
    <w:pPr>
      <w:spacing w:line="460" w:lineRule="atLeast"/>
    </w:pPr>
    <w:rPr>
      <w:rFonts w:hAnsi="Calibri" w:cs="Times New Roman"/>
      <w:color w:val="auto"/>
    </w:rPr>
  </w:style>
  <w:style w:type="paragraph" w:customStyle="1" w:styleId="692">
    <w:name w:val="Char Char Char Char Char Char Char Char Char Char Char Char Char Char Char Char Char Char Char Char Char Char Char Char Char"/>
    <w:basedOn w:val="1"/>
    <w:autoRedefine/>
    <w:qFormat/>
    <w:uiPriority w:val="0"/>
    <w:pPr>
      <w:spacing w:line="360" w:lineRule="auto"/>
    </w:pPr>
    <w:rPr>
      <w:rFonts w:ascii="宋体" w:hAnsi="宋体"/>
    </w:rPr>
  </w:style>
  <w:style w:type="paragraph" w:customStyle="1" w:styleId="693">
    <w:name w:val="正"/>
    <w:basedOn w:val="1"/>
    <w:link w:val="694"/>
    <w:autoRedefine/>
    <w:qFormat/>
    <w:uiPriority w:val="0"/>
    <w:pPr>
      <w:widowControl/>
      <w:jc w:val="left"/>
    </w:pPr>
    <w:rPr>
      <w:rFonts w:eastAsia="黑体" w:cs="宋体"/>
      <w:bCs/>
      <w:color w:val="000000"/>
      <w:szCs w:val="32"/>
    </w:rPr>
  </w:style>
  <w:style w:type="character" w:customStyle="1" w:styleId="694">
    <w:name w:val="正 Char"/>
    <w:link w:val="693"/>
    <w:autoRedefine/>
    <w:qFormat/>
    <w:uiPriority w:val="0"/>
    <w:rPr>
      <w:rFonts w:eastAsia="黑体" w:cs="宋体"/>
      <w:bCs/>
      <w:color w:val="000000"/>
      <w:kern w:val="2"/>
      <w:sz w:val="24"/>
      <w:szCs w:val="32"/>
    </w:rPr>
  </w:style>
  <w:style w:type="paragraph" w:customStyle="1" w:styleId="695">
    <w:name w:val="3级"/>
    <w:basedOn w:val="355"/>
    <w:autoRedefine/>
    <w:qFormat/>
    <w:uiPriority w:val="0"/>
  </w:style>
  <w:style w:type="paragraph" w:customStyle="1" w:styleId="696">
    <w:name w:val="4级标题"/>
    <w:basedOn w:val="1"/>
    <w:link w:val="1179"/>
    <w:qFormat/>
    <w:uiPriority w:val="0"/>
    <w:pPr>
      <w:ind w:firstLine="0" w:firstLineChars="0"/>
      <w:outlineLvl w:val="3"/>
    </w:pPr>
    <w:rPr>
      <w:b/>
    </w:rPr>
  </w:style>
  <w:style w:type="paragraph" w:customStyle="1" w:styleId="697">
    <w:name w:val="Char Char Char1 Char Char Char Char Char Char1 Char Char Char Char Char Char Char Char Char"/>
    <w:basedOn w:val="1"/>
    <w:autoRedefine/>
    <w:qFormat/>
    <w:uiPriority w:val="0"/>
    <w:rPr>
      <w:rFonts w:eastAsia="黑体" w:cs="宋体"/>
      <w:b/>
      <w:bCs/>
      <w:color w:val="000000"/>
      <w:sz w:val="32"/>
      <w:szCs w:val="32"/>
    </w:rPr>
  </w:style>
  <w:style w:type="character" w:customStyle="1" w:styleId="698">
    <w:name w:val="2级 Char"/>
    <w:link w:val="699"/>
    <w:autoRedefine/>
    <w:qFormat/>
    <w:uiPriority w:val="0"/>
    <w:rPr>
      <w:rFonts w:eastAsia="黑体" w:cs="宋体"/>
      <w:b/>
      <w:bCs/>
      <w:color w:val="000000"/>
      <w:kern w:val="2"/>
      <w:sz w:val="30"/>
      <w:szCs w:val="30"/>
    </w:rPr>
  </w:style>
  <w:style w:type="paragraph" w:customStyle="1" w:styleId="699">
    <w:name w:val="2级"/>
    <w:basedOn w:val="354"/>
    <w:link w:val="698"/>
    <w:autoRedefine/>
    <w:qFormat/>
    <w:uiPriority w:val="0"/>
    <w:rPr>
      <w:sz w:val="30"/>
    </w:rPr>
  </w:style>
  <w:style w:type="paragraph" w:customStyle="1" w:styleId="700">
    <w:name w:val="Char Char Char Char1"/>
    <w:basedOn w:val="1"/>
    <w:autoRedefine/>
    <w:qFormat/>
    <w:uiPriority w:val="0"/>
    <w:rPr>
      <w:rFonts w:ascii="宋体" w:hAnsi="宋体" w:cs="宋体"/>
    </w:rPr>
  </w:style>
  <w:style w:type="paragraph" w:customStyle="1" w:styleId="701">
    <w:name w:val="Char Char Char Char Char Char1 Char Char Char1 Char Char Char Char Char Char Char Char Char Char Char Char Char Char Char1 Char Char Char1 Char Char Char Char Char Char1 Char Char Char Char Char"/>
    <w:basedOn w:val="1"/>
    <w:autoRedefine/>
    <w:qFormat/>
    <w:uiPriority w:val="0"/>
    <w:pPr>
      <w:spacing w:line="360" w:lineRule="auto"/>
    </w:pPr>
    <w:rPr>
      <w:rFonts w:eastAsia="黑体" w:cs="宋体"/>
      <w:b/>
      <w:bCs/>
      <w:color w:val="000000"/>
      <w:sz w:val="32"/>
      <w:szCs w:val="32"/>
    </w:rPr>
  </w:style>
  <w:style w:type="paragraph" w:styleId="702">
    <w:name w:val="No Spacing"/>
    <w:link w:val="732"/>
    <w:autoRedefine/>
    <w:qFormat/>
    <w:uiPriority w:val="1"/>
    <w:pPr>
      <w:widowControl w:val="0"/>
      <w:adjustRightInd w:val="0"/>
      <w:jc w:val="both"/>
    </w:pPr>
    <w:rPr>
      <w:rFonts w:ascii="Times New Roman" w:hAnsi="Times New Roman" w:eastAsia="宋体" w:cs="Times New Roman"/>
      <w:kern w:val="2"/>
      <w:sz w:val="24"/>
      <w:szCs w:val="22"/>
      <w:lang w:val="en-US" w:eastAsia="zh-CN" w:bidi="ar-SA"/>
    </w:rPr>
  </w:style>
  <w:style w:type="paragraph" w:customStyle="1" w:styleId="703">
    <w:name w:val="TOC 标题3"/>
    <w:basedOn w:val="3"/>
    <w:next w:val="1"/>
    <w:autoRedefine/>
    <w:qFormat/>
    <w:uiPriority w:val="0"/>
    <w:pPr>
      <w:keepLines/>
      <w:widowControl/>
      <w:tabs>
        <w:tab w:val="clear" w:pos="0"/>
      </w:tabs>
      <w:spacing w:before="480" w:line="276" w:lineRule="auto"/>
      <w:ind w:left="425" w:hanging="137"/>
      <w:jc w:val="left"/>
      <w:outlineLvl w:val="9"/>
    </w:pPr>
    <w:rPr>
      <w:rFonts w:ascii="Cambria" w:hAnsi="Cambria" w:eastAsia="宋体"/>
      <w:bCs/>
      <w:color w:val="365F91"/>
      <w:kern w:val="0"/>
      <w:sz w:val="28"/>
      <w:szCs w:val="28"/>
    </w:rPr>
  </w:style>
  <w:style w:type="paragraph" w:customStyle="1" w:styleId="704">
    <w:name w:val="段落1"/>
    <w:basedOn w:val="1"/>
    <w:link w:val="705"/>
    <w:autoRedefine/>
    <w:qFormat/>
    <w:uiPriority w:val="0"/>
    <w:pPr>
      <w:adjustRightInd w:val="0"/>
      <w:spacing w:line="360" w:lineRule="auto"/>
      <w:ind w:firstLine="504"/>
      <w:textAlignment w:val="baseline"/>
    </w:pPr>
    <w:rPr>
      <w:rFonts w:ascii="宋体" w:hAnsi="宋体"/>
      <w:bCs/>
      <w:spacing w:val="6"/>
    </w:rPr>
  </w:style>
  <w:style w:type="character" w:customStyle="1" w:styleId="705">
    <w:name w:val="段落1 Char1"/>
    <w:link w:val="704"/>
    <w:autoRedefine/>
    <w:qFormat/>
    <w:uiPriority w:val="0"/>
    <w:rPr>
      <w:rFonts w:ascii="宋体" w:hAnsi="宋体"/>
      <w:bCs/>
      <w:spacing w:val="6"/>
      <w:kern w:val="2"/>
      <w:sz w:val="24"/>
      <w:szCs w:val="24"/>
    </w:rPr>
  </w:style>
  <w:style w:type="character" w:customStyle="1" w:styleId="706">
    <w:name w:val="批注文字 字符3"/>
    <w:autoRedefine/>
    <w:qFormat/>
    <w:uiPriority w:val="99"/>
    <w:rPr>
      <w:rFonts w:eastAsia="黑体" w:cs="宋体"/>
      <w:color w:val="000000"/>
      <w:kern w:val="2"/>
      <w:sz w:val="21"/>
      <w:szCs w:val="24"/>
      <w:lang w:val="zh-CN" w:eastAsia="zh-CN" w:bidi="ar-SA"/>
    </w:rPr>
  </w:style>
  <w:style w:type="character" w:customStyle="1" w:styleId="707">
    <w:name w:val="批注主题 字符2"/>
    <w:autoRedefine/>
    <w:qFormat/>
    <w:uiPriority w:val="99"/>
    <w:rPr>
      <w:rFonts w:eastAsia="黑体" w:cs="宋体"/>
      <w:b/>
      <w:bCs/>
      <w:color w:val="000000"/>
      <w:kern w:val="2"/>
      <w:sz w:val="24"/>
      <w:szCs w:val="24"/>
      <w:lang w:val="zh-CN" w:eastAsia="zh-CN" w:bidi="ar-SA"/>
    </w:rPr>
  </w:style>
  <w:style w:type="paragraph" w:customStyle="1" w:styleId="708">
    <w:name w:val="Char Char18 Char Char Char Char Char Char Char Char"/>
    <w:basedOn w:val="1"/>
    <w:autoRedefine/>
    <w:semiHidden/>
    <w:qFormat/>
    <w:uiPriority w:val="0"/>
    <w:pPr>
      <w:spacing w:line="360" w:lineRule="auto"/>
    </w:pPr>
    <w:rPr>
      <w:rFonts w:ascii="宋体" w:hAnsi="宋体" w:cs="宋体"/>
    </w:rPr>
  </w:style>
  <w:style w:type="paragraph" w:customStyle="1" w:styleId="709">
    <w:name w:val="样式 报告正文 + 首行缩进:  2 字符"/>
    <w:basedOn w:val="1"/>
    <w:link w:val="710"/>
    <w:autoRedefine/>
    <w:qFormat/>
    <w:uiPriority w:val="0"/>
    <w:pPr>
      <w:widowControl/>
      <w:autoSpaceDE w:val="0"/>
      <w:autoSpaceDN w:val="0"/>
      <w:spacing w:line="360" w:lineRule="auto"/>
      <w:jc w:val="left"/>
    </w:pPr>
    <w:rPr>
      <w:rFonts w:ascii="宋体" w:hAnsi="宋体" w:cs="宋体"/>
      <w:kern w:val="0"/>
      <w:szCs w:val="20"/>
    </w:rPr>
  </w:style>
  <w:style w:type="character" w:customStyle="1" w:styleId="710">
    <w:name w:val="样式 报告正文 + 首行缩进:  2 字符 Char"/>
    <w:link w:val="709"/>
    <w:qFormat/>
    <w:uiPriority w:val="0"/>
    <w:rPr>
      <w:rFonts w:ascii="宋体" w:hAnsi="宋体" w:cs="宋体"/>
      <w:sz w:val="24"/>
    </w:rPr>
  </w:style>
  <w:style w:type="character" w:customStyle="1" w:styleId="711">
    <w:name w:val="表格文字 Char"/>
    <w:link w:val="283"/>
    <w:autoRedefine/>
    <w:qFormat/>
    <w:uiPriority w:val="0"/>
    <w:rPr>
      <w:sz w:val="24"/>
      <w:szCs w:val="21"/>
    </w:rPr>
  </w:style>
  <w:style w:type="paragraph" w:customStyle="1" w:styleId="712">
    <w:name w:val="GDCI表格文字"/>
    <w:basedOn w:val="1"/>
    <w:autoRedefine/>
    <w:qFormat/>
    <w:uiPriority w:val="0"/>
    <w:pPr>
      <w:adjustRightInd w:val="0"/>
      <w:snapToGrid w:val="0"/>
      <w:spacing w:line="240" w:lineRule="atLeast"/>
      <w:ind w:firstLine="0" w:firstLineChars="0"/>
      <w:jc w:val="center"/>
    </w:pPr>
  </w:style>
  <w:style w:type="paragraph" w:customStyle="1" w:styleId="713">
    <w:name w:val="FHDI中文报告表格内容"/>
    <w:basedOn w:val="1"/>
    <w:link w:val="714"/>
    <w:autoRedefine/>
    <w:qFormat/>
    <w:uiPriority w:val="0"/>
    <w:pPr>
      <w:widowControl/>
      <w:ind w:firstLine="0" w:firstLineChars="0"/>
      <w:jc w:val="center"/>
      <w:textAlignment w:val="center"/>
    </w:pPr>
    <w:rPr>
      <w:rFonts w:ascii="Arial" w:hAnsi="Arial"/>
      <w:sz w:val="21"/>
      <w:szCs w:val="21"/>
      <w:lang w:val="zh-CN"/>
    </w:rPr>
  </w:style>
  <w:style w:type="character" w:customStyle="1" w:styleId="714">
    <w:name w:val="FHDI中文报告表格内容 Char"/>
    <w:link w:val="713"/>
    <w:autoRedefine/>
    <w:qFormat/>
    <w:uiPriority w:val="0"/>
    <w:rPr>
      <w:rFonts w:ascii="Arial" w:hAnsi="Arial"/>
      <w:kern w:val="2"/>
      <w:sz w:val="21"/>
      <w:szCs w:val="21"/>
      <w:lang w:val="zh-CN"/>
    </w:rPr>
  </w:style>
  <w:style w:type="paragraph" w:customStyle="1" w:styleId="715">
    <w:name w:val="FHDI中文报告正文缩进"/>
    <w:basedOn w:val="1"/>
    <w:next w:val="1"/>
    <w:link w:val="716"/>
    <w:autoRedefine/>
    <w:qFormat/>
    <w:uiPriority w:val="0"/>
    <w:pPr>
      <w:adjustRightInd w:val="0"/>
      <w:snapToGrid w:val="0"/>
      <w:spacing w:before="156" w:beforeLines="50" w:after="156" w:afterLines="50" w:line="288" w:lineRule="auto"/>
      <w:ind w:firstLine="560"/>
    </w:pPr>
    <w:rPr>
      <w:rFonts w:ascii="Arial" w:hAnsi="Arial"/>
      <w:sz w:val="28"/>
      <w:szCs w:val="28"/>
      <w:lang w:val="zh-CN"/>
    </w:rPr>
  </w:style>
  <w:style w:type="character" w:customStyle="1" w:styleId="716">
    <w:name w:val="FHDI中文报告正文缩进 Char"/>
    <w:link w:val="715"/>
    <w:autoRedefine/>
    <w:qFormat/>
    <w:uiPriority w:val="0"/>
    <w:rPr>
      <w:rFonts w:ascii="Arial" w:hAnsi="Arial"/>
      <w:kern w:val="2"/>
      <w:sz w:val="28"/>
      <w:szCs w:val="28"/>
      <w:lang w:val="zh-CN"/>
    </w:rPr>
  </w:style>
  <w:style w:type="paragraph" w:customStyle="1" w:styleId="717">
    <w:name w:val="CN-表格"/>
    <w:basedOn w:val="1"/>
    <w:autoRedefine/>
    <w:qFormat/>
    <w:uiPriority w:val="0"/>
    <w:pPr>
      <w:widowControl/>
      <w:spacing w:line="240" w:lineRule="atLeast"/>
      <w:ind w:firstLine="0" w:firstLineChars="0"/>
      <w:jc w:val="center"/>
    </w:pPr>
    <w:rPr>
      <w:rFonts w:eastAsia="仿宋_GB2312"/>
      <w:szCs w:val="28"/>
    </w:rPr>
  </w:style>
  <w:style w:type="paragraph" w:customStyle="1" w:styleId="718">
    <w:name w:val="Table Title"/>
    <w:basedOn w:val="1"/>
    <w:autoRedefine/>
    <w:qFormat/>
    <w:uiPriority w:val="0"/>
    <w:pPr>
      <w:spacing w:line="320" w:lineRule="exact"/>
      <w:ind w:firstLine="0" w:firstLineChars="0"/>
      <w:jc w:val="center"/>
    </w:pPr>
    <w:rPr>
      <w:rFonts w:hint="eastAsia"/>
      <w:sz w:val="28"/>
    </w:rPr>
  </w:style>
  <w:style w:type="paragraph" w:customStyle="1" w:styleId="719">
    <w:name w:val="FHDI中文报告正文"/>
    <w:basedOn w:val="1"/>
    <w:link w:val="720"/>
    <w:autoRedefine/>
    <w:qFormat/>
    <w:uiPriority w:val="0"/>
    <w:pPr>
      <w:adjustRightInd w:val="0"/>
      <w:snapToGrid w:val="0"/>
      <w:spacing w:before="156" w:beforeLines="50" w:after="156" w:afterLines="50" w:line="288" w:lineRule="auto"/>
      <w:ind w:firstLine="0" w:firstLineChars="0"/>
    </w:pPr>
    <w:rPr>
      <w:rFonts w:ascii="Arial" w:hAnsi="Arial"/>
      <w:sz w:val="28"/>
      <w:szCs w:val="28"/>
      <w:lang w:val="zh-CN"/>
    </w:rPr>
  </w:style>
  <w:style w:type="character" w:customStyle="1" w:styleId="720">
    <w:name w:val="FHDI中文报告正文 Char"/>
    <w:link w:val="719"/>
    <w:autoRedefine/>
    <w:qFormat/>
    <w:uiPriority w:val="0"/>
    <w:rPr>
      <w:rFonts w:ascii="Arial" w:hAnsi="Arial"/>
      <w:kern w:val="2"/>
      <w:sz w:val="28"/>
      <w:szCs w:val="28"/>
      <w:lang w:val="zh-CN"/>
    </w:rPr>
  </w:style>
  <w:style w:type="paragraph" w:customStyle="1" w:styleId="721">
    <w:name w:val="FHDI中文报告表格标题"/>
    <w:basedOn w:val="1"/>
    <w:next w:val="1"/>
    <w:link w:val="734"/>
    <w:autoRedefine/>
    <w:qFormat/>
    <w:uiPriority w:val="0"/>
    <w:pPr>
      <w:adjustRightInd w:val="0"/>
      <w:snapToGrid w:val="0"/>
      <w:ind w:firstLine="0" w:firstLineChars="0"/>
    </w:pPr>
    <w:rPr>
      <w:rFonts w:ascii="Arial" w:hAnsi="Arial"/>
      <w:szCs w:val="28"/>
    </w:rPr>
  </w:style>
  <w:style w:type="paragraph" w:customStyle="1" w:styleId="722">
    <w:name w:val="FHDI中文报告二级标题"/>
    <w:basedOn w:val="1"/>
    <w:next w:val="1"/>
    <w:autoRedefine/>
    <w:qFormat/>
    <w:uiPriority w:val="0"/>
    <w:pPr>
      <w:numPr>
        <w:ilvl w:val="1"/>
        <w:numId w:val="11"/>
      </w:numPr>
      <w:adjustRightInd w:val="0"/>
      <w:snapToGrid w:val="0"/>
      <w:spacing w:before="156" w:beforeLines="50" w:after="156" w:afterLines="50" w:line="288" w:lineRule="auto"/>
      <w:ind w:firstLineChars="0"/>
      <w:jc w:val="left"/>
      <w:outlineLvl w:val="1"/>
    </w:pPr>
    <w:rPr>
      <w:rFonts w:ascii="Arial" w:hAnsi="Arial"/>
      <w:b/>
      <w:sz w:val="28"/>
      <w:szCs w:val="28"/>
    </w:rPr>
  </w:style>
  <w:style w:type="paragraph" w:customStyle="1" w:styleId="723">
    <w:name w:val="FHDI中文报告六级标题"/>
    <w:basedOn w:val="1"/>
    <w:next w:val="1"/>
    <w:autoRedefine/>
    <w:qFormat/>
    <w:uiPriority w:val="0"/>
    <w:pPr>
      <w:numPr>
        <w:ilvl w:val="5"/>
        <w:numId w:val="11"/>
      </w:numPr>
      <w:tabs>
        <w:tab w:val="left" w:pos="0"/>
        <w:tab w:val="clear" w:pos="964"/>
      </w:tabs>
      <w:adjustRightInd w:val="0"/>
      <w:snapToGrid w:val="0"/>
      <w:spacing w:before="50" w:beforeLines="50" w:after="50" w:afterLines="50" w:line="288" w:lineRule="auto"/>
      <w:ind w:firstLine="0" w:firstLineChars="0"/>
    </w:pPr>
    <w:rPr>
      <w:rFonts w:ascii="Arial" w:hAnsi="Arial"/>
      <w:sz w:val="28"/>
      <w:szCs w:val="28"/>
    </w:rPr>
  </w:style>
  <w:style w:type="paragraph" w:customStyle="1" w:styleId="724">
    <w:name w:val="FHDI中文报告三级标题"/>
    <w:basedOn w:val="1"/>
    <w:next w:val="1"/>
    <w:autoRedefine/>
    <w:qFormat/>
    <w:uiPriority w:val="0"/>
    <w:pPr>
      <w:numPr>
        <w:ilvl w:val="2"/>
        <w:numId w:val="11"/>
      </w:numPr>
      <w:adjustRightInd w:val="0"/>
      <w:snapToGrid w:val="0"/>
      <w:spacing w:before="156" w:beforeLines="50" w:after="156" w:afterLines="50" w:line="288" w:lineRule="auto"/>
      <w:ind w:firstLineChars="0"/>
      <w:outlineLvl w:val="2"/>
    </w:pPr>
    <w:rPr>
      <w:rFonts w:ascii="Arial" w:hAnsi="Arial"/>
      <w:b/>
      <w:sz w:val="28"/>
      <w:szCs w:val="28"/>
    </w:rPr>
  </w:style>
  <w:style w:type="paragraph" w:customStyle="1" w:styleId="725">
    <w:name w:val="FHDI中文报告四级标题"/>
    <w:basedOn w:val="1"/>
    <w:next w:val="1"/>
    <w:autoRedefine/>
    <w:qFormat/>
    <w:uiPriority w:val="0"/>
    <w:pPr>
      <w:numPr>
        <w:ilvl w:val="3"/>
        <w:numId w:val="11"/>
      </w:numPr>
      <w:tabs>
        <w:tab w:val="clear" w:pos="1021"/>
      </w:tabs>
      <w:adjustRightInd w:val="0"/>
      <w:snapToGrid w:val="0"/>
      <w:spacing w:before="156" w:beforeLines="50" w:after="156" w:afterLines="50" w:line="288" w:lineRule="auto"/>
      <w:ind w:left="0" w:firstLine="0" w:firstLineChars="0"/>
      <w:outlineLvl w:val="3"/>
    </w:pPr>
    <w:rPr>
      <w:rFonts w:ascii="Arial" w:hAnsi="Arial"/>
      <w:b/>
      <w:sz w:val="28"/>
      <w:szCs w:val="28"/>
    </w:rPr>
  </w:style>
  <w:style w:type="paragraph" w:customStyle="1" w:styleId="726">
    <w:name w:val="FHDI中文报告五级标题"/>
    <w:basedOn w:val="1"/>
    <w:next w:val="1"/>
    <w:link w:val="733"/>
    <w:autoRedefine/>
    <w:qFormat/>
    <w:uiPriority w:val="0"/>
    <w:pPr>
      <w:numPr>
        <w:ilvl w:val="4"/>
        <w:numId w:val="11"/>
      </w:numPr>
      <w:tabs>
        <w:tab w:val="left" w:pos="0"/>
        <w:tab w:val="left" w:pos="210"/>
        <w:tab w:val="clear" w:pos="710"/>
      </w:tabs>
      <w:adjustRightInd w:val="0"/>
      <w:snapToGrid w:val="0"/>
      <w:spacing w:before="50" w:beforeLines="50" w:after="50" w:afterLines="50" w:line="288" w:lineRule="auto"/>
      <w:ind w:left="0" w:firstLine="0" w:firstLineChars="0"/>
    </w:pPr>
    <w:rPr>
      <w:rFonts w:ascii="Arial" w:hAnsi="Arial"/>
      <w:bCs/>
      <w:sz w:val="28"/>
      <w:szCs w:val="28"/>
    </w:rPr>
  </w:style>
  <w:style w:type="paragraph" w:customStyle="1" w:styleId="727">
    <w:name w:val="FHDI中文报告一级标题"/>
    <w:basedOn w:val="1"/>
    <w:next w:val="1"/>
    <w:autoRedefine/>
    <w:qFormat/>
    <w:uiPriority w:val="0"/>
    <w:pPr>
      <w:numPr>
        <w:ilvl w:val="0"/>
        <w:numId w:val="11"/>
      </w:numPr>
      <w:adjustRightInd w:val="0"/>
      <w:snapToGrid w:val="0"/>
      <w:spacing w:before="312" w:beforeLines="100" w:after="156" w:afterLines="50" w:line="288" w:lineRule="auto"/>
      <w:ind w:firstLineChars="0"/>
      <w:jc w:val="center"/>
      <w:outlineLvl w:val="0"/>
    </w:pPr>
    <w:rPr>
      <w:rFonts w:ascii="Arial" w:hAnsi="Arial"/>
      <w:b/>
      <w:bCs/>
      <w:sz w:val="32"/>
      <w:szCs w:val="32"/>
    </w:rPr>
  </w:style>
  <w:style w:type="paragraph" w:customStyle="1" w:styleId="728">
    <w:name w:val="无间隔9"/>
    <w:autoRedefine/>
    <w:qFormat/>
    <w:uiPriority w:val="0"/>
    <w:pPr>
      <w:widowControl w:val="0"/>
      <w:adjustRightInd w:val="0"/>
      <w:jc w:val="both"/>
    </w:pPr>
    <w:rPr>
      <w:rFonts w:ascii="Times New Roman" w:hAnsi="Times New Roman" w:eastAsia="宋体" w:cs="Times New Roman"/>
      <w:kern w:val="2"/>
      <w:sz w:val="24"/>
      <w:szCs w:val="22"/>
      <w:lang w:val="en-US" w:eastAsia="zh-CN" w:bidi="ar-SA"/>
    </w:rPr>
  </w:style>
  <w:style w:type="paragraph" w:customStyle="1" w:styleId="729">
    <w:name w:val="样式18"/>
    <w:basedOn w:val="1"/>
    <w:autoRedefine/>
    <w:qFormat/>
    <w:uiPriority w:val="0"/>
    <w:pPr>
      <w:spacing w:line="360" w:lineRule="auto"/>
      <w:ind w:firstLine="480"/>
    </w:pPr>
    <w:rPr>
      <w:szCs w:val="22"/>
    </w:rPr>
  </w:style>
  <w:style w:type="paragraph" w:customStyle="1" w:styleId="730">
    <w:name w:val="样式27"/>
    <w:basedOn w:val="1"/>
    <w:link w:val="731"/>
    <w:autoRedefine/>
    <w:qFormat/>
    <w:uiPriority w:val="0"/>
    <w:pPr>
      <w:adjustRightInd w:val="0"/>
      <w:spacing w:line="360" w:lineRule="auto"/>
      <w:contextualSpacing/>
      <w:jc w:val="center"/>
    </w:pPr>
    <w:rPr>
      <w:rFonts w:eastAsia="仿宋_GB2312"/>
      <w:kern w:val="0"/>
      <w:szCs w:val="20"/>
    </w:rPr>
  </w:style>
  <w:style w:type="character" w:customStyle="1" w:styleId="731">
    <w:name w:val="样式27 Char"/>
    <w:link w:val="730"/>
    <w:autoRedefine/>
    <w:qFormat/>
    <w:uiPriority w:val="0"/>
    <w:rPr>
      <w:rFonts w:eastAsia="仿宋_GB2312"/>
      <w:sz w:val="24"/>
    </w:rPr>
  </w:style>
  <w:style w:type="character" w:customStyle="1" w:styleId="732">
    <w:name w:val="无间隔 字符1"/>
    <w:link w:val="702"/>
    <w:autoRedefine/>
    <w:qFormat/>
    <w:uiPriority w:val="1"/>
    <w:rPr>
      <w:kern w:val="2"/>
      <w:sz w:val="24"/>
      <w:szCs w:val="22"/>
    </w:rPr>
  </w:style>
  <w:style w:type="character" w:customStyle="1" w:styleId="733">
    <w:name w:val="FHDI中文报告五级标题 Char Char"/>
    <w:link w:val="726"/>
    <w:autoRedefine/>
    <w:qFormat/>
    <w:uiPriority w:val="0"/>
    <w:rPr>
      <w:rFonts w:ascii="Arial" w:hAnsi="Arial"/>
      <w:bCs/>
      <w:kern w:val="2"/>
      <w:sz w:val="28"/>
      <w:szCs w:val="28"/>
    </w:rPr>
  </w:style>
  <w:style w:type="character" w:customStyle="1" w:styleId="734">
    <w:name w:val="FHDI中文报告表格标题 Char"/>
    <w:link w:val="721"/>
    <w:autoRedefine/>
    <w:qFormat/>
    <w:uiPriority w:val="0"/>
    <w:rPr>
      <w:rFonts w:ascii="Arial" w:hAnsi="Arial"/>
      <w:kern w:val="2"/>
      <w:sz w:val="24"/>
      <w:szCs w:val="28"/>
    </w:rPr>
  </w:style>
  <w:style w:type="paragraph" w:customStyle="1" w:styleId="735">
    <w:name w:val="FHDI中文报告表格备注"/>
    <w:basedOn w:val="1"/>
    <w:next w:val="1"/>
    <w:autoRedefine/>
    <w:qFormat/>
    <w:uiPriority w:val="0"/>
    <w:pPr>
      <w:snapToGrid w:val="0"/>
      <w:ind w:firstLine="0" w:firstLineChars="0"/>
      <w:jc w:val="left"/>
    </w:pPr>
    <w:rPr>
      <w:rFonts w:ascii="Arial" w:hAnsi="Arial"/>
      <w:szCs w:val="21"/>
    </w:rPr>
  </w:style>
  <w:style w:type="paragraph" w:styleId="736">
    <w:name w:val="Quote"/>
    <w:basedOn w:val="1"/>
    <w:next w:val="1"/>
    <w:link w:val="737"/>
    <w:autoRedefine/>
    <w:qFormat/>
    <w:uiPriority w:val="29"/>
    <w:pPr>
      <w:ind w:firstLine="0" w:firstLineChars="0"/>
    </w:pPr>
    <w:rPr>
      <w:i/>
      <w:iCs/>
      <w:color w:val="000000"/>
    </w:rPr>
  </w:style>
  <w:style w:type="character" w:customStyle="1" w:styleId="737">
    <w:name w:val="引用 字符"/>
    <w:basedOn w:val="133"/>
    <w:link w:val="736"/>
    <w:qFormat/>
    <w:uiPriority w:val="29"/>
    <w:rPr>
      <w:i/>
      <w:iCs/>
      <w:color w:val="000000"/>
      <w:kern w:val="2"/>
      <w:sz w:val="24"/>
      <w:szCs w:val="24"/>
    </w:rPr>
  </w:style>
  <w:style w:type="paragraph" w:customStyle="1" w:styleId="738">
    <w:name w:val="图表名"/>
    <w:basedOn w:val="212"/>
    <w:link w:val="1140"/>
    <w:autoRedefine/>
    <w:qFormat/>
    <w:uiPriority w:val="0"/>
    <w:pPr>
      <w:ind w:left="0" w:firstLine="0"/>
    </w:pPr>
    <w:rPr>
      <w:rFonts w:cs="Times New Roman"/>
      <w:lang w:val="zh-CN"/>
    </w:rPr>
  </w:style>
  <w:style w:type="paragraph" w:customStyle="1" w:styleId="739">
    <w:name w:val="图表名称"/>
    <w:basedOn w:val="1"/>
    <w:link w:val="3054"/>
    <w:autoRedefine/>
    <w:qFormat/>
    <w:uiPriority w:val="99"/>
    <w:pPr>
      <w:tabs>
        <w:tab w:val="left" w:pos="4740"/>
      </w:tabs>
      <w:adjustRightInd w:val="0"/>
      <w:snapToGrid w:val="0"/>
      <w:spacing w:line="360" w:lineRule="auto"/>
      <w:ind w:firstLine="0" w:firstLineChars="0"/>
      <w:jc w:val="center"/>
    </w:pPr>
    <w:rPr>
      <w:b/>
      <w:lang w:val="zh-CN"/>
    </w:rPr>
  </w:style>
  <w:style w:type="paragraph" w:customStyle="1" w:styleId="740">
    <w:name w:val="表号、图号"/>
    <w:basedOn w:val="1"/>
    <w:link w:val="741"/>
    <w:autoRedefine/>
    <w:qFormat/>
    <w:uiPriority w:val="0"/>
    <w:pPr>
      <w:spacing w:line="360" w:lineRule="auto"/>
      <w:ind w:firstLine="0" w:firstLineChars="0"/>
      <w:jc w:val="center"/>
      <w:outlineLvl w:val="4"/>
    </w:pPr>
    <w:rPr>
      <w:b/>
      <w:lang w:val="zh-CN"/>
    </w:rPr>
  </w:style>
  <w:style w:type="character" w:customStyle="1" w:styleId="741">
    <w:name w:val="表号、图号 Char"/>
    <w:link w:val="740"/>
    <w:autoRedefine/>
    <w:qFormat/>
    <w:uiPriority w:val="0"/>
    <w:rPr>
      <w:b/>
      <w:kern w:val="2"/>
      <w:sz w:val="24"/>
      <w:szCs w:val="24"/>
      <w:lang w:val="zh-CN"/>
    </w:rPr>
  </w:style>
  <w:style w:type="character" w:customStyle="1" w:styleId="742">
    <w:name w:val="表格nlw Char"/>
    <w:link w:val="441"/>
    <w:autoRedefine/>
    <w:qFormat/>
    <w:uiPriority w:val="0"/>
    <w:rPr>
      <w:sz w:val="21"/>
      <w:szCs w:val="22"/>
    </w:rPr>
  </w:style>
  <w:style w:type="paragraph" w:customStyle="1" w:styleId="743">
    <w:name w:val="正文文"/>
    <w:basedOn w:val="1"/>
    <w:link w:val="744"/>
    <w:autoRedefine/>
    <w:qFormat/>
    <w:uiPriority w:val="0"/>
    <w:rPr>
      <w:kern w:val="0"/>
      <w:lang w:val="zh-CN"/>
    </w:rPr>
  </w:style>
  <w:style w:type="character" w:customStyle="1" w:styleId="744">
    <w:name w:val="正文文 Char"/>
    <w:link w:val="743"/>
    <w:autoRedefine/>
    <w:qFormat/>
    <w:uiPriority w:val="0"/>
    <w:rPr>
      <w:sz w:val="24"/>
      <w:szCs w:val="24"/>
      <w:lang w:val="zh-CN"/>
    </w:rPr>
  </w:style>
  <w:style w:type="paragraph" w:customStyle="1" w:styleId="745">
    <w:name w:val="Char4 Char Char Char"/>
    <w:basedOn w:val="1"/>
    <w:autoRedefine/>
    <w:qFormat/>
    <w:uiPriority w:val="0"/>
    <w:pPr>
      <w:widowControl/>
      <w:snapToGrid w:val="0"/>
      <w:spacing w:after="160" w:line="300" w:lineRule="auto"/>
      <w:ind w:firstLine="0" w:firstLineChars="0"/>
      <w:jc w:val="left"/>
    </w:pPr>
    <w:rPr>
      <w:rFonts w:ascii="仿宋_GB2312" w:hAnsi="Verdana" w:eastAsia="仿宋_GB2312"/>
      <w:b/>
      <w:kern w:val="0"/>
      <w:sz w:val="28"/>
      <w:szCs w:val="28"/>
      <w:lang w:eastAsia="en-US"/>
    </w:rPr>
  </w:style>
  <w:style w:type="character" w:customStyle="1" w:styleId="746">
    <w:name w:val="注释标题 字符2"/>
    <w:link w:val="16"/>
    <w:autoRedefine/>
    <w:qFormat/>
    <w:uiPriority w:val="0"/>
    <w:rPr>
      <w:rFonts w:ascii="宋体"/>
      <w:kern w:val="2"/>
      <w:sz w:val="28"/>
      <w:szCs w:val="24"/>
    </w:rPr>
  </w:style>
  <w:style w:type="character" w:customStyle="1" w:styleId="747">
    <w:name w:val="正文文本缩进 3 字符2"/>
    <w:link w:val="70"/>
    <w:autoRedefine/>
    <w:qFormat/>
    <w:uiPriority w:val="0"/>
    <w:rPr>
      <w:rFonts w:ascii="宋体"/>
      <w:kern w:val="2"/>
      <w:sz w:val="24"/>
      <w:szCs w:val="24"/>
    </w:rPr>
  </w:style>
  <w:style w:type="paragraph" w:customStyle="1" w:styleId="748">
    <w:name w:val="Char Char Char Char Char Char1 Char Char Char1 Char Char Char Char Char Char Char Char Char Char Char Char Char"/>
    <w:basedOn w:val="1"/>
    <w:autoRedefine/>
    <w:semiHidden/>
    <w:qFormat/>
    <w:uiPriority w:val="0"/>
    <w:pPr>
      <w:spacing w:line="360" w:lineRule="auto"/>
    </w:pPr>
    <w:rPr>
      <w:rFonts w:ascii="宋体" w:hAnsi="宋体" w:cs="宋体"/>
    </w:rPr>
  </w:style>
  <w:style w:type="paragraph" w:customStyle="1" w:styleId="749">
    <w:name w:val="正文001"/>
    <w:basedOn w:val="1"/>
    <w:link w:val="3119"/>
    <w:autoRedefine/>
    <w:qFormat/>
    <w:uiPriority w:val="0"/>
    <w:pPr>
      <w:spacing w:before="60" w:line="420" w:lineRule="exact"/>
      <w:ind w:firstLine="482" w:firstLineChars="0"/>
    </w:pPr>
    <w:rPr>
      <w:szCs w:val="20"/>
    </w:rPr>
  </w:style>
  <w:style w:type="paragraph" w:customStyle="1" w:styleId="750">
    <w:name w:val="图编号"/>
    <w:basedOn w:val="66"/>
    <w:link w:val="780"/>
    <w:autoRedefine/>
    <w:semiHidden/>
    <w:qFormat/>
    <w:uiPriority w:val="0"/>
    <w:pPr>
      <w:ind w:left="0" w:firstLine="0" w:firstLineChars="0"/>
    </w:pPr>
    <w:rPr>
      <w:sz w:val="21"/>
      <w:szCs w:val="21"/>
    </w:rPr>
  </w:style>
  <w:style w:type="paragraph" w:customStyle="1" w:styleId="751">
    <w:name w:val="章标题"/>
    <w:next w:val="1"/>
    <w:autoRedefine/>
    <w:semiHidden/>
    <w:qFormat/>
    <w:uiPriority w:val="0"/>
    <w:pPr>
      <w:numPr>
        <w:ilvl w:val="1"/>
        <w:numId w:val="12"/>
      </w:numPr>
      <w:tabs>
        <w:tab w:val="left" w:pos="903"/>
      </w:tabs>
      <w:spacing w:before="50" w:after="50"/>
      <w:jc w:val="both"/>
      <w:outlineLvl w:val="1"/>
    </w:pPr>
    <w:rPr>
      <w:rFonts w:ascii="黑体" w:hAnsi="Times New Roman" w:eastAsia="黑体" w:cs="Times New Roman"/>
      <w:sz w:val="21"/>
      <w:lang w:val="en-US" w:eastAsia="zh-CN" w:bidi="ar-SA"/>
    </w:rPr>
  </w:style>
  <w:style w:type="paragraph" w:customStyle="1" w:styleId="752">
    <w:name w:val="前言、引言标题"/>
    <w:next w:val="1"/>
    <w:autoRedefine/>
    <w:qFormat/>
    <w:uiPriority w:val="0"/>
    <w:pPr>
      <w:numPr>
        <w:ilvl w:val="0"/>
        <w:numId w:val="12"/>
      </w:numPr>
      <w:shd w:val="clear" w:color="FFFFFF" w:fill="FFFFFF"/>
      <w:tabs>
        <w:tab w:val="left" w:pos="903"/>
      </w:tabs>
      <w:spacing w:before="640" w:after="560"/>
      <w:jc w:val="center"/>
      <w:outlineLvl w:val="0"/>
    </w:pPr>
    <w:rPr>
      <w:rFonts w:ascii="黑体" w:hAnsi="Times New Roman" w:eastAsia="黑体" w:cs="Times New Roman"/>
      <w:sz w:val="32"/>
      <w:lang w:val="en-US" w:eastAsia="zh-CN" w:bidi="ar-SA"/>
    </w:rPr>
  </w:style>
  <w:style w:type="paragraph" w:customStyle="1" w:styleId="753">
    <w:name w:val="二级条标题"/>
    <w:basedOn w:val="1"/>
    <w:next w:val="1"/>
    <w:autoRedefine/>
    <w:qFormat/>
    <w:uiPriority w:val="0"/>
    <w:pPr>
      <w:widowControl/>
      <w:numPr>
        <w:ilvl w:val="3"/>
        <w:numId w:val="12"/>
      </w:numPr>
      <w:tabs>
        <w:tab w:val="left" w:pos="360"/>
      </w:tabs>
      <w:ind w:firstLine="0" w:firstLineChars="0"/>
      <w:outlineLvl w:val="3"/>
    </w:pPr>
    <w:rPr>
      <w:rFonts w:ascii="黑体" w:eastAsia="黑体"/>
      <w:kern w:val="0"/>
      <w:sz w:val="21"/>
      <w:szCs w:val="20"/>
    </w:rPr>
  </w:style>
  <w:style w:type="character" w:customStyle="1" w:styleId="754">
    <w:name w:val="HTML 预设格式 字符2"/>
    <w:link w:val="80"/>
    <w:autoRedefine/>
    <w:qFormat/>
    <w:uiPriority w:val="0"/>
    <w:rPr>
      <w:rFonts w:ascii="宋体" w:hAnsi="宋体" w:cs="宋体"/>
      <w:sz w:val="24"/>
      <w:szCs w:val="24"/>
    </w:rPr>
  </w:style>
  <w:style w:type="paragraph" w:customStyle="1" w:styleId="755">
    <w:name w:val="三级条标题"/>
    <w:basedOn w:val="753"/>
    <w:next w:val="1"/>
    <w:autoRedefine/>
    <w:qFormat/>
    <w:uiPriority w:val="0"/>
    <w:pPr>
      <w:numPr>
        <w:ilvl w:val="4"/>
      </w:numPr>
      <w:outlineLvl w:val="4"/>
    </w:pPr>
  </w:style>
  <w:style w:type="paragraph" w:customStyle="1" w:styleId="756">
    <w:name w:val="Char Char Char Char Char Char Char"/>
    <w:basedOn w:val="1"/>
    <w:autoRedefine/>
    <w:qFormat/>
    <w:uiPriority w:val="0"/>
    <w:pPr>
      <w:spacing w:line="360" w:lineRule="auto"/>
    </w:pPr>
    <w:rPr>
      <w:rFonts w:ascii="宋体" w:hAnsi="宋体" w:cs="宋体"/>
    </w:rPr>
  </w:style>
  <w:style w:type="paragraph" w:customStyle="1" w:styleId="757">
    <w:name w:val="表格五中"/>
    <w:autoRedefine/>
    <w:qFormat/>
    <w:uiPriority w:val="0"/>
    <w:pPr>
      <w:adjustRightInd w:val="0"/>
      <w:snapToGrid w:val="0"/>
      <w:spacing w:line="240" w:lineRule="atLeast"/>
      <w:jc w:val="center"/>
    </w:pPr>
    <w:rPr>
      <w:rFonts w:ascii="Times New Roman" w:hAnsi="Times New Roman" w:eastAsia="宋体" w:cs="Times New Roman"/>
      <w:sz w:val="21"/>
      <w:lang w:val="en-US" w:eastAsia="zh-CN" w:bidi="ar-SA"/>
    </w:rPr>
  </w:style>
  <w:style w:type="paragraph" w:customStyle="1" w:styleId="758">
    <w:name w:val="Char Char Char Char Char Char Char Char Char Char2"/>
    <w:basedOn w:val="1"/>
    <w:autoRedefine/>
    <w:qFormat/>
    <w:uiPriority w:val="0"/>
    <w:pPr>
      <w:ind w:firstLine="0" w:firstLineChars="0"/>
    </w:pPr>
    <w:rPr>
      <w:szCs w:val="20"/>
    </w:rPr>
  </w:style>
  <w:style w:type="paragraph" w:customStyle="1" w:styleId="759">
    <w:name w:val="Char Char Char Char Char Char Char Char Char Char Char Char Char Char Char Char Char Char Char Char Char Char Char Char Char Char Char Char Char Char Char Char Char Char Char Char Char Char Char Char Char Char Char Char Char Char"/>
    <w:basedOn w:val="1"/>
    <w:next w:val="1"/>
    <w:autoRedefine/>
    <w:qFormat/>
    <w:uiPriority w:val="0"/>
    <w:pPr>
      <w:pBdr>
        <w:right w:val="single" w:color="auto" w:sz="12" w:space="4"/>
      </w:pBdr>
      <w:spacing w:line="360" w:lineRule="auto"/>
    </w:pPr>
    <w:rPr>
      <w:sz w:val="28"/>
      <w:szCs w:val="20"/>
    </w:rPr>
  </w:style>
  <w:style w:type="character" w:customStyle="1" w:styleId="760">
    <w:name w:val="Char Char Char Char Char Char Char Char Char Char Char Char Char Char Char Char Char Char Char Char Char"/>
    <w:autoRedefine/>
    <w:semiHidden/>
    <w:qFormat/>
    <w:uiPriority w:val="0"/>
    <w:rPr>
      <w:rFonts w:eastAsia="宋体"/>
      <w:kern w:val="2"/>
      <w:sz w:val="24"/>
      <w:szCs w:val="24"/>
      <w:lang w:val="en-US" w:eastAsia="zh-CN" w:bidi="ar-SA"/>
    </w:rPr>
  </w:style>
  <w:style w:type="paragraph" w:customStyle="1" w:styleId="761">
    <w:name w:val="Char Char Char Char Char Char Char Char Char Char Char Char Char Char Char Char Char Char Char Char Char Char Char Char Char Char Char Char Char Char Char"/>
    <w:basedOn w:val="1"/>
    <w:autoRedefine/>
    <w:semiHidden/>
    <w:qFormat/>
    <w:uiPriority w:val="0"/>
    <w:pPr>
      <w:spacing w:line="360" w:lineRule="auto"/>
    </w:pPr>
    <w:rPr>
      <w:rFonts w:ascii="宋体" w:hAnsi="宋体" w:cs="宋体"/>
    </w:rPr>
  </w:style>
  <w:style w:type="paragraph" w:customStyle="1" w:styleId="762">
    <w:name w:val="Char Char Char Char Char Char1 Char Char Char1 Char Char Char Char Char Char Char"/>
    <w:basedOn w:val="1"/>
    <w:autoRedefine/>
    <w:qFormat/>
    <w:uiPriority w:val="0"/>
    <w:pPr>
      <w:spacing w:line="360" w:lineRule="auto"/>
    </w:pPr>
    <w:rPr>
      <w:rFonts w:ascii="宋体" w:hAnsi="宋体" w:cs="宋体"/>
    </w:rPr>
  </w:style>
  <w:style w:type="character" w:customStyle="1" w:styleId="763">
    <w:name w:val="HTML 预设格式 Char1"/>
    <w:autoRedefine/>
    <w:qFormat/>
    <w:uiPriority w:val="0"/>
    <w:rPr>
      <w:rFonts w:ascii="Courier New" w:hAnsi="Courier New" w:eastAsia="黑体" w:cs="Courier New"/>
      <w:color w:val="000000"/>
      <w:kern w:val="2"/>
      <w:sz w:val="32"/>
      <w:szCs w:val="32"/>
      <w:lang w:val="en-US" w:eastAsia="zh-CN" w:bidi="ar-SA"/>
    </w:rPr>
  </w:style>
  <w:style w:type="character" w:customStyle="1" w:styleId="764">
    <w:name w:val="文档结构图 字符2"/>
    <w:link w:val="26"/>
    <w:autoRedefine/>
    <w:qFormat/>
    <w:uiPriority w:val="0"/>
    <w:rPr>
      <w:kern w:val="2"/>
      <w:sz w:val="24"/>
      <w:szCs w:val="24"/>
      <w:shd w:val="clear" w:color="auto" w:fill="000080"/>
    </w:rPr>
  </w:style>
  <w:style w:type="character" w:customStyle="1" w:styleId="765">
    <w:name w:val="标题 9 字符2"/>
    <w:autoRedefine/>
    <w:qFormat/>
    <w:uiPriority w:val="0"/>
    <w:rPr>
      <w:rFonts w:ascii="Arial" w:hAnsi="Arial" w:eastAsia="黑体"/>
      <w:kern w:val="2"/>
      <w:sz w:val="24"/>
      <w:szCs w:val="24"/>
    </w:rPr>
  </w:style>
  <w:style w:type="character" w:customStyle="1" w:styleId="766">
    <w:name w:val="标题 8 字符2"/>
    <w:autoRedefine/>
    <w:qFormat/>
    <w:uiPriority w:val="0"/>
    <w:rPr>
      <w:rFonts w:ascii="Arial" w:hAnsi="Arial" w:eastAsia="黑体"/>
      <w:kern w:val="2"/>
      <w:sz w:val="24"/>
      <w:szCs w:val="24"/>
    </w:rPr>
  </w:style>
  <w:style w:type="character" w:customStyle="1" w:styleId="767">
    <w:name w:val="标题 7 字符2"/>
    <w:autoRedefine/>
    <w:qFormat/>
    <w:uiPriority w:val="0"/>
    <w:rPr>
      <w:b/>
      <w:kern w:val="2"/>
      <w:sz w:val="24"/>
      <w:szCs w:val="24"/>
    </w:rPr>
  </w:style>
  <w:style w:type="character" w:customStyle="1" w:styleId="768">
    <w:name w:val="标题 Char1"/>
    <w:autoRedefine/>
    <w:qFormat/>
    <w:uiPriority w:val="0"/>
    <w:rPr>
      <w:rFonts w:ascii="Arial" w:hAnsi="Arial" w:eastAsia="宋体" w:cs="Arial"/>
      <w:b/>
      <w:bCs/>
      <w:kern w:val="2"/>
      <w:sz w:val="32"/>
      <w:szCs w:val="32"/>
      <w:lang w:val="en-US" w:eastAsia="zh-CN" w:bidi="ar-SA"/>
    </w:rPr>
  </w:style>
  <w:style w:type="paragraph" w:customStyle="1" w:styleId="769">
    <w:name w:val="1.1"/>
    <w:next w:val="1"/>
    <w:link w:val="1141"/>
    <w:autoRedefine/>
    <w:qFormat/>
    <w:uiPriority w:val="0"/>
    <w:pPr>
      <w:widowControl w:val="0"/>
      <w:adjustRightInd w:val="0"/>
      <w:snapToGrid w:val="0"/>
      <w:spacing w:before="100" w:beforeLines="100" w:after="50" w:afterLines="50" w:line="300" w:lineRule="auto"/>
      <w:jc w:val="both"/>
    </w:pPr>
    <w:rPr>
      <w:rFonts w:ascii="黑体" w:hAnsi="Times New Roman" w:eastAsia="黑体" w:cs="Times New Roman"/>
      <w:b/>
      <w:spacing w:val="10"/>
      <w:sz w:val="28"/>
      <w:lang w:val="en-US" w:eastAsia="zh-CN" w:bidi="ar-SA"/>
    </w:rPr>
  </w:style>
  <w:style w:type="paragraph" w:customStyle="1" w:styleId="770">
    <w:name w:val="1.1.1"/>
    <w:next w:val="1"/>
    <w:autoRedefine/>
    <w:qFormat/>
    <w:uiPriority w:val="0"/>
    <w:pPr>
      <w:widowControl w:val="0"/>
      <w:adjustRightInd w:val="0"/>
      <w:snapToGrid w:val="0"/>
      <w:spacing w:before="50" w:beforeLines="50" w:after="50" w:afterLines="50" w:line="300" w:lineRule="auto"/>
      <w:jc w:val="both"/>
    </w:pPr>
    <w:rPr>
      <w:rFonts w:ascii="宋体" w:hAnsi="Times New Roman" w:eastAsia="宋体" w:cs="Times New Roman"/>
      <w:b/>
      <w:spacing w:val="10"/>
      <w:sz w:val="24"/>
      <w:lang w:val="en-US" w:eastAsia="zh-CN" w:bidi="ar-SA"/>
    </w:rPr>
  </w:style>
  <w:style w:type="paragraph" w:customStyle="1" w:styleId="771">
    <w:name w:val="haydonli"/>
    <w:basedOn w:val="1"/>
    <w:link w:val="1176"/>
    <w:autoRedefine/>
    <w:qFormat/>
    <w:uiPriority w:val="0"/>
    <w:pPr>
      <w:snapToGrid w:val="0"/>
      <w:spacing w:line="360" w:lineRule="auto"/>
    </w:pPr>
    <w:rPr>
      <w:snapToGrid w:val="0"/>
      <w:kern w:val="0"/>
    </w:rPr>
  </w:style>
  <w:style w:type="paragraph" w:customStyle="1" w:styleId="772">
    <w:name w:val="HTML 预先格式化"/>
    <w:basedOn w:val="1"/>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firstLineChars="0"/>
      <w:jc w:val="left"/>
    </w:pPr>
    <w:rPr>
      <w:rFonts w:ascii="Arial Unicode MS" w:hAnsi="Arial Unicode MS" w:cs="Arial Unicode MS"/>
      <w:color w:val="003300"/>
      <w:kern w:val="0"/>
      <w:sz w:val="18"/>
      <w:szCs w:val="18"/>
    </w:rPr>
  </w:style>
  <w:style w:type="character" w:customStyle="1" w:styleId="773">
    <w:name w:val="t_tag"/>
    <w:autoRedefine/>
    <w:qFormat/>
    <w:uiPriority w:val="0"/>
    <w:rPr>
      <w:rFonts w:eastAsia="黑体" w:cs="宋体"/>
      <w:color w:val="000000"/>
      <w:kern w:val="2"/>
      <w:sz w:val="32"/>
      <w:szCs w:val="32"/>
      <w:lang w:val="en-US" w:eastAsia="zh-CN" w:bidi="ar-SA"/>
    </w:rPr>
  </w:style>
  <w:style w:type="paragraph" w:customStyle="1" w:styleId="774">
    <w:name w:val="xl2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center"/>
      <w:textAlignment w:val="center"/>
    </w:pPr>
    <w:rPr>
      <w:rFonts w:hint="eastAsia" w:ascii="黑体" w:hAnsi="Arial Unicode MS" w:eastAsia="黑体" w:cs="Arial Unicode MS"/>
      <w:kern w:val="0"/>
      <w:sz w:val="18"/>
      <w:szCs w:val="18"/>
    </w:rPr>
  </w:style>
  <w:style w:type="paragraph" w:customStyle="1" w:styleId="775">
    <w:name w:val="报告书正文"/>
    <w:basedOn w:val="1"/>
    <w:link w:val="776"/>
    <w:autoRedefine/>
    <w:qFormat/>
    <w:uiPriority w:val="0"/>
    <w:pPr>
      <w:adjustRightInd w:val="0"/>
      <w:snapToGrid w:val="0"/>
      <w:spacing w:line="400" w:lineRule="atLeast"/>
      <w:ind w:firstLine="567" w:firstLineChars="0"/>
    </w:pPr>
    <w:rPr>
      <w:szCs w:val="20"/>
    </w:rPr>
  </w:style>
  <w:style w:type="character" w:customStyle="1" w:styleId="776">
    <w:name w:val="报告书正文 Char"/>
    <w:link w:val="775"/>
    <w:autoRedefine/>
    <w:qFormat/>
    <w:uiPriority w:val="0"/>
    <w:rPr>
      <w:kern w:val="2"/>
      <w:sz w:val="24"/>
    </w:rPr>
  </w:style>
  <w:style w:type="paragraph" w:customStyle="1" w:styleId="777">
    <w:name w:val="四级条标题"/>
    <w:basedOn w:val="755"/>
    <w:next w:val="1"/>
    <w:autoRedefine/>
    <w:qFormat/>
    <w:uiPriority w:val="0"/>
    <w:pPr>
      <w:numPr>
        <w:ilvl w:val="5"/>
      </w:numPr>
      <w:outlineLvl w:val="5"/>
    </w:pPr>
  </w:style>
  <w:style w:type="character" w:customStyle="1" w:styleId="778">
    <w:name w:val="标题 4 Char1"/>
    <w:autoRedefine/>
    <w:qFormat/>
    <w:uiPriority w:val="0"/>
    <w:rPr>
      <w:rFonts w:ascii="Arial" w:hAnsi="Arial" w:eastAsia="黑体"/>
      <w:bCs/>
      <w:kern w:val="2"/>
      <w:sz w:val="24"/>
      <w:szCs w:val="28"/>
      <w:lang w:val="en-US" w:eastAsia="zh-CN" w:bidi="ar-SA"/>
    </w:rPr>
  </w:style>
  <w:style w:type="paragraph" w:customStyle="1" w:styleId="779">
    <w:name w:val="标题5"/>
    <w:basedOn w:val="34"/>
    <w:link w:val="1237"/>
    <w:autoRedefine/>
    <w:qFormat/>
    <w:uiPriority w:val="99"/>
    <w:pPr>
      <w:spacing w:line="480" w:lineRule="atLeast"/>
      <w:ind w:firstLine="560" w:firstLineChars="200"/>
      <w:jc w:val="both"/>
    </w:pPr>
    <w:rPr>
      <w:rFonts w:ascii="黑体" w:hAnsi="宋体" w:eastAsia="黑体" w:cs="Courier New"/>
      <w:kern w:val="0"/>
      <w:sz w:val="28"/>
      <w:szCs w:val="28"/>
      <w:lang w:val="zh-CN"/>
    </w:rPr>
  </w:style>
  <w:style w:type="character" w:customStyle="1" w:styleId="780">
    <w:name w:val="图编号 Char"/>
    <w:link w:val="750"/>
    <w:autoRedefine/>
    <w:semiHidden/>
    <w:qFormat/>
    <w:uiPriority w:val="0"/>
    <w:rPr>
      <w:kern w:val="2"/>
      <w:sz w:val="21"/>
      <w:szCs w:val="21"/>
    </w:rPr>
  </w:style>
  <w:style w:type="paragraph" w:customStyle="1" w:styleId="781">
    <w:name w:val="表格（小）"/>
    <w:basedOn w:val="1"/>
    <w:autoRedefine/>
    <w:qFormat/>
    <w:uiPriority w:val="0"/>
    <w:pPr>
      <w:adjustRightInd w:val="0"/>
      <w:snapToGrid w:val="0"/>
      <w:ind w:firstLine="0" w:firstLineChars="0"/>
    </w:pPr>
    <w:rPr>
      <w:snapToGrid w:val="0"/>
      <w:kern w:val="0"/>
      <w:sz w:val="21"/>
      <w:szCs w:val="20"/>
    </w:rPr>
  </w:style>
  <w:style w:type="paragraph" w:customStyle="1" w:styleId="782">
    <w:name w:val="表格内容 Char Char"/>
    <w:basedOn w:val="1"/>
    <w:autoRedefine/>
    <w:qFormat/>
    <w:uiPriority w:val="0"/>
    <w:pPr>
      <w:tabs>
        <w:tab w:val="left" w:pos="1535"/>
        <w:tab w:val="left" w:pos="3105"/>
        <w:tab w:val="left" w:pos="4676"/>
        <w:tab w:val="left" w:pos="6247"/>
        <w:tab w:val="left" w:pos="7740"/>
        <w:tab w:val="left" w:pos="9288"/>
      </w:tabs>
      <w:adjustRightInd w:val="0"/>
      <w:snapToGrid w:val="0"/>
      <w:spacing w:line="240" w:lineRule="exact"/>
      <w:ind w:firstLine="0" w:firstLineChars="0"/>
      <w:jc w:val="center"/>
      <w:textAlignment w:val="baseline"/>
    </w:pPr>
    <w:rPr>
      <w:color w:val="000000"/>
      <w:sz w:val="21"/>
      <w:szCs w:val="16"/>
    </w:rPr>
  </w:style>
  <w:style w:type="paragraph" w:customStyle="1" w:styleId="783">
    <w:name w:val="表格文字1"/>
    <w:basedOn w:val="1"/>
    <w:autoRedefine/>
    <w:qFormat/>
    <w:uiPriority w:val="0"/>
    <w:pPr>
      <w:spacing w:line="300" w:lineRule="auto"/>
      <w:ind w:firstLine="0" w:firstLineChars="0"/>
      <w:jc w:val="center"/>
    </w:pPr>
    <w:rPr>
      <w:rFonts w:ascii="Arial" w:hAnsi="Arial"/>
      <w:color w:val="FF0000"/>
      <w:kern w:val="0"/>
      <w:sz w:val="21"/>
      <w:szCs w:val="21"/>
    </w:rPr>
  </w:style>
  <w:style w:type="paragraph" w:customStyle="1" w:styleId="784">
    <w:name w:val="表格样式"/>
    <w:autoRedefine/>
    <w:qFormat/>
    <w:uiPriority w:val="0"/>
    <w:pPr>
      <w:widowControl w:val="0"/>
      <w:ind w:right="105" w:rightChars="50"/>
      <w:jc w:val="center"/>
    </w:pPr>
    <w:rPr>
      <w:rFonts w:ascii="宋体" w:hAnsi="宋体" w:eastAsia="宋体" w:cs="宋体"/>
      <w:sz w:val="24"/>
      <w:szCs w:val="24"/>
      <w:lang w:val="en-US" w:eastAsia="zh-CN" w:bidi="ar-SA"/>
    </w:rPr>
  </w:style>
  <w:style w:type="paragraph" w:customStyle="1" w:styleId="785">
    <w:name w:val="表号"/>
    <w:next w:val="1"/>
    <w:link w:val="2445"/>
    <w:autoRedefine/>
    <w:qFormat/>
    <w:uiPriority w:val="0"/>
    <w:pPr>
      <w:snapToGrid w:val="0"/>
      <w:jc w:val="right"/>
    </w:pPr>
    <w:rPr>
      <w:rFonts w:ascii="宋体" w:hAnsi="Times New Roman" w:eastAsia="宋体" w:cs="Times New Roman"/>
      <w:spacing w:val="10"/>
      <w:sz w:val="21"/>
      <w:szCs w:val="24"/>
      <w:lang w:val="en-US" w:eastAsia="zh-CN" w:bidi="ar-SA"/>
    </w:rPr>
  </w:style>
  <w:style w:type="paragraph" w:customStyle="1" w:styleId="786">
    <w:name w:val="Char Char Char Char Char Char1 Char Char Char1 Char Char Char Char Char Char Char Char Char Char"/>
    <w:basedOn w:val="1"/>
    <w:autoRedefine/>
    <w:semiHidden/>
    <w:qFormat/>
    <w:uiPriority w:val="0"/>
    <w:pPr>
      <w:spacing w:line="360" w:lineRule="auto"/>
    </w:pPr>
    <w:rPr>
      <w:rFonts w:ascii="宋体" w:hAnsi="宋体" w:cs="宋体"/>
    </w:rPr>
  </w:style>
  <w:style w:type="paragraph" w:customStyle="1" w:styleId="787">
    <w:name w:val="表名"/>
    <w:basedOn w:val="45"/>
    <w:link w:val="788"/>
    <w:autoRedefine/>
    <w:qFormat/>
    <w:uiPriority w:val="0"/>
    <w:pPr>
      <w:overflowPunct w:val="0"/>
      <w:autoSpaceDE w:val="0"/>
      <w:autoSpaceDN w:val="0"/>
      <w:spacing w:line="300" w:lineRule="exact"/>
      <w:ind w:left="-41" w:leftChars="-41" w:hanging="90" w:hangingChars="41"/>
      <w:jc w:val="center"/>
      <w:textAlignment w:val="bottom"/>
    </w:pPr>
    <w:rPr>
      <w:rFonts w:ascii="Times New Roman" w:hAnsi="Times New Roman" w:eastAsia="仿宋_GB2312" w:cs="Courier New"/>
      <w:b/>
      <w:bCs/>
      <w:sz w:val="28"/>
      <w:szCs w:val="21"/>
    </w:rPr>
  </w:style>
  <w:style w:type="character" w:customStyle="1" w:styleId="788">
    <w:name w:val="表名 Char"/>
    <w:link w:val="787"/>
    <w:autoRedefine/>
    <w:qFormat/>
    <w:uiPriority w:val="0"/>
    <w:rPr>
      <w:rFonts w:eastAsia="仿宋_GB2312" w:cs="Courier New"/>
      <w:b/>
      <w:bCs/>
      <w:sz w:val="28"/>
      <w:szCs w:val="21"/>
    </w:rPr>
  </w:style>
  <w:style w:type="character" w:customStyle="1" w:styleId="789">
    <w:name w:val="超级链接"/>
    <w:autoRedefine/>
    <w:qFormat/>
    <w:uiPriority w:val="0"/>
    <w:rPr>
      <w:color w:val="0000FF"/>
      <w:u w:val="single"/>
    </w:rPr>
  </w:style>
  <w:style w:type="character" w:customStyle="1" w:styleId="790">
    <w:name w:val="称呼 字符2"/>
    <w:link w:val="30"/>
    <w:autoRedefine/>
    <w:qFormat/>
    <w:uiPriority w:val="0"/>
    <w:rPr>
      <w:kern w:val="2"/>
      <w:sz w:val="24"/>
      <w:szCs w:val="24"/>
    </w:rPr>
  </w:style>
  <w:style w:type="paragraph" w:customStyle="1" w:styleId="791">
    <w:name w:val="公式"/>
    <w:next w:val="1"/>
    <w:link w:val="1823"/>
    <w:autoRedefine/>
    <w:qFormat/>
    <w:uiPriority w:val="0"/>
    <w:pPr>
      <w:jc w:val="center"/>
    </w:pPr>
    <w:rPr>
      <w:rFonts w:ascii="Times New Roman" w:hAnsi="Times New Roman" w:eastAsia="宋体" w:cs="Times New Roman"/>
      <w:kern w:val="2"/>
      <w:position w:val="-24"/>
      <w:sz w:val="21"/>
      <w:szCs w:val="24"/>
      <w:lang w:val="en-US" w:eastAsia="zh-CN" w:bidi="ar-SA"/>
    </w:rPr>
  </w:style>
  <w:style w:type="paragraph" w:customStyle="1" w:styleId="792">
    <w:name w:val="黑宋体"/>
    <w:basedOn w:val="6"/>
    <w:autoRedefine/>
    <w:qFormat/>
    <w:uiPriority w:val="0"/>
    <w:pPr>
      <w:numPr>
        <w:ilvl w:val="0"/>
        <w:numId w:val="0"/>
      </w:numPr>
      <w:tabs>
        <w:tab w:val="left" w:pos="1680"/>
      </w:tabs>
      <w:spacing w:line="360" w:lineRule="auto"/>
      <w:ind w:left="1680" w:hanging="420"/>
      <w:textAlignment w:val="baseline"/>
      <w:outlineLvl w:val="9"/>
    </w:pPr>
    <w:rPr>
      <w:rFonts w:ascii="宋体" w:hAnsi="宋体"/>
      <w:b w:val="0"/>
      <w:snapToGrid w:val="0"/>
      <w:color w:val="000000"/>
      <w:kern w:val="0"/>
      <w:sz w:val="24"/>
      <w:lang w:val="zh-CN"/>
    </w:rPr>
  </w:style>
  <w:style w:type="paragraph" w:customStyle="1" w:styleId="793">
    <w:name w:val="默认段落字体 Para Char"/>
    <w:basedOn w:val="1"/>
    <w:autoRedefine/>
    <w:qFormat/>
    <w:uiPriority w:val="0"/>
    <w:pPr>
      <w:ind w:firstLine="0" w:firstLineChars="0"/>
    </w:pPr>
    <w:rPr>
      <w:rFonts w:ascii="宋体" w:hAnsi="宋体"/>
      <w:color w:val="000000"/>
      <w:sz w:val="21"/>
      <w:szCs w:val="21"/>
    </w:rPr>
  </w:style>
  <w:style w:type="paragraph" w:customStyle="1" w:styleId="794">
    <w:name w:val="普通 (Web)"/>
    <w:basedOn w:val="1"/>
    <w:autoRedefine/>
    <w:qFormat/>
    <w:uiPriority w:val="0"/>
    <w:pPr>
      <w:widowControl/>
      <w:spacing w:before="100" w:beforeAutospacing="1" w:after="100" w:afterAutospacing="1"/>
      <w:ind w:firstLine="0" w:firstLineChars="0"/>
      <w:jc w:val="left"/>
    </w:pPr>
    <w:rPr>
      <w:rFonts w:ascii="宋体" w:hAnsi="宋体" w:cs="宋体"/>
      <w:kern w:val="0"/>
    </w:rPr>
  </w:style>
  <w:style w:type="paragraph" w:customStyle="1" w:styleId="795">
    <w:name w:val="普通文字"/>
    <w:basedOn w:val="1"/>
    <w:autoRedefine/>
    <w:qFormat/>
    <w:uiPriority w:val="0"/>
    <w:pPr>
      <w:adjustRightInd w:val="0"/>
      <w:spacing w:line="312" w:lineRule="atLeast"/>
      <w:ind w:firstLine="0" w:firstLineChars="0"/>
      <w:textAlignment w:val="baseline"/>
    </w:pPr>
    <w:rPr>
      <w:rFonts w:ascii="宋体" w:hAnsi="Courier New" w:cs="宋体"/>
      <w:kern w:val="0"/>
      <w:sz w:val="21"/>
      <w:szCs w:val="21"/>
    </w:rPr>
  </w:style>
  <w:style w:type="paragraph" w:customStyle="1" w:styleId="796">
    <w:name w:val="图头"/>
    <w:next w:val="280"/>
    <w:link w:val="1054"/>
    <w:autoRedefine/>
    <w:qFormat/>
    <w:uiPriority w:val="0"/>
    <w:pPr>
      <w:tabs>
        <w:tab w:val="left" w:pos="1470"/>
      </w:tabs>
      <w:adjustRightInd w:val="0"/>
      <w:spacing w:before="50" w:beforeLines="50" w:after="50" w:afterLines="50"/>
      <w:jc w:val="center"/>
    </w:pPr>
    <w:rPr>
      <w:rFonts w:ascii="Times New Roman" w:hAnsi="Times New Roman" w:eastAsia="宋体" w:cs="Times New Roman"/>
      <w:spacing w:val="10"/>
      <w:sz w:val="24"/>
      <w:szCs w:val="24"/>
      <w:lang w:val="en-US" w:eastAsia="zh-CN" w:bidi="ar-SA"/>
    </w:rPr>
  </w:style>
  <w:style w:type="paragraph" w:customStyle="1" w:styleId="797">
    <w:name w:val="新标题3"/>
    <w:basedOn w:val="1"/>
    <w:link w:val="798"/>
    <w:autoRedefine/>
    <w:semiHidden/>
    <w:qFormat/>
    <w:uiPriority w:val="0"/>
    <w:rPr>
      <w:rFonts w:ascii="宋体" w:hAnsi="宋体" w:cs="宋体"/>
    </w:rPr>
  </w:style>
  <w:style w:type="character" w:customStyle="1" w:styleId="798">
    <w:name w:val="新标题3 Char"/>
    <w:link w:val="797"/>
    <w:autoRedefine/>
    <w:semiHidden/>
    <w:qFormat/>
    <w:uiPriority w:val="0"/>
    <w:rPr>
      <w:rFonts w:ascii="宋体" w:hAnsi="宋体" w:cs="宋体"/>
      <w:kern w:val="2"/>
      <w:sz w:val="24"/>
      <w:szCs w:val="24"/>
    </w:rPr>
  </w:style>
  <w:style w:type="paragraph" w:customStyle="1" w:styleId="799">
    <w:name w:val="样式 标题 4标题 14 + 加粗 无下划线 自动设置 段前: 3 磅 段后: 10 磅3"/>
    <w:basedOn w:val="6"/>
    <w:next w:val="1"/>
    <w:autoRedefine/>
    <w:qFormat/>
    <w:uiPriority w:val="0"/>
    <w:pPr>
      <w:keepLines w:val="0"/>
      <w:numPr>
        <w:ilvl w:val="0"/>
        <w:numId w:val="0"/>
      </w:numPr>
      <w:tabs>
        <w:tab w:val="left" w:pos="1680"/>
      </w:tabs>
      <w:adjustRightInd w:val="0"/>
      <w:snapToGrid w:val="0"/>
      <w:spacing w:before="60" w:after="200" w:line="360" w:lineRule="auto"/>
      <w:ind w:left="1680" w:hanging="420"/>
    </w:pPr>
    <w:rPr>
      <w:b w:val="0"/>
      <w:sz w:val="24"/>
      <w:szCs w:val="20"/>
      <w:lang w:val="zh-CN"/>
    </w:rPr>
  </w:style>
  <w:style w:type="paragraph" w:customStyle="1" w:styleId="800">
    <w:name w:val="样式2 Char Char"/>
    <w:basedOn w:val="1"/>
    <w:autoRedefine/>
    <w:qFormat/>
    <w:uiPriority w:val="0"/>
    <w:pPr>
      <w:ind w:firstLine="0" w:firstLineChars="0"/>
    </w:pPr>
  </w:style>
  <w:style w:type="paragraph" w:customStyle="1" w:styleId="801">
    <w:name w:val="样式2 Char Char Char"/>
    <w:basedOn w:val="1"/>
    <w:link w:val="802"/>
    <w:autoRedefine/>
    <w:qFormat/>
    <w:uiPriority w:val="0"/>
    <w:pPr>
      <w:ind w:firstLine="0" w:firstLineChars="0"/>
    </w:pPr>
  </w:style>
  <w:style w:type="character" w:customStyle="1" w:styleId="802">
    <w:name w:val="样式2 Char Char Char Char"/>
    <w:link w:val="801"/>
    <w:autoRedefine/>
    <w:qFormat/>
    <w:uiPriority w:val="0"/>
    <w:rPr>
      <w:kern w:val="2"/>
      <w:sz w:val="24"/>
      <w:szCs w:val="24"/>
    </w:rPr>
  </w:style>
  <w:style w:type="paragraph" w:customStyle="1" w:styleId="803">
    <w:name w:val="正文（首行缩近两字）"/>
    <w:basedOn w:val="1"/>
    <w:next w:val="1"/>
    <w:link w:val="804"/>
    <w:autoRedefine/>
    <w:qFormat/>
    <w:uiPriority w:val="0"/>
    <w:pPr>
      <w:spacing w:line="480" w:lineRule="exact"/>
      <w:ind w:firstLine="475" w:firstLineChars="198"/>
    </w:pPr>
    <w:rPr>
      <w:color w:val="0000FF"/>
    </w:rPr>
  </w:style>
  <w:style w:type="character" w:customStyle="1" w:styleId="804">
    <w:name w:val="正文（首行缩近两字） Char"/>
    <w:link w:val="803"/>
    <w:autoRedefine/>
    <w:qFormat/>
    <w:uiPriority w:val="0"/>
    <w:rPr>
      <w:color w:val="0000FF"/>
      <w:kern w:val="2"/>
      <w:sz w:val="24"/>
      <w:szCs w:val="24"/>
    </w:rPr>
  </w:style>
  <w:style w:type="paragraph" w:customStyle="1" w:styleId="805">
    <w:name w:val="正文报告"/>
    <w:basedOn w:val="1"/>
    <w:link w:val="806"/>
    <w:autoRedefine/>
    <w:qFormat/>
    <w:uiPriority w:val="0"/>
    <w:pPr>
      <w:topLinePunct/>
      <w:snapToGrid w:val="0"/>
      <w:spacing w:line="480" w:lineRule="exact"/>
      <w:ind w:firstLine="567" w:firstLineChars="0"/>
    </w:pPr>
    <w:rPr>
      <w:sz w:val="28"/>
      <w:szCs w:val="28"/>
    </w:rPr>
  </w:style>
  <w:style w:type="character" w:customStyle="1" w:styleId="806">
    <w:name w:val="正文报告 Char"/>
    <w:link w:val="805"/>
    <w:autoRedefine/>
    <w:qFormat/>
    <w:uiPriority w:val="0"/>
    <w:rPr>
      <w:kern w:val="2"/>
      <w:sz w:val="28"/>
      <w:szCs w:val="28"/>
    </w:rPr>
  </w:style>
  <w:style w:type="paragraph" w:customStyle="1" w:styleId="807">
    <w:name w:val="正文缩进 Char Char Char"/>
    <w:basedOn w:val="1"/>
    <w:next w:val="45"/>
    <w:autoRedefine/>
    <w:qFormat/>
    <w:uiPriority w:val="0"/>
    <w:pPr>
      <w:ind w:firstLine="0" w:firstLineChars="0"/>
    </w:pPr>
    <w:rPr>
      <w:rFonts w:ascii="宋体" w:hAnsi="Courier New" w:cs="Courier New"/>
      <w:sz w:val="21"/>
      <w:szCs w:val="21"/>
    </w:rPr>
  </w:style>
  <w:style w:type="paragraph" w:customStyle="1" w:styleId="808">
    <w:name w:val="正文文字 2"/>
    <w:basedOn w:val="1"/>
    <w:autoRedefine/>
    <w:qFormat/>
    <w:uiPriority w:val="0"/>
    <w:pPr>
      <w:ind w:firstLine="0" w:firstLineChars="0"/>
    </w:pPr>
    <w:rPr>
      <w:sz w:val="21"/>
      <w:szCs w:val="21"/>
    </w:rPr>
  </w:style>
  <w:style w:type="paragraph" w:customStyle="1" w:styleId="809">
    <w:name w:val="正文文字 3"/>
    <w:basedOn w:val="1"/>
    <w:autoRedefine/>
    <w:qFormat/>
    <w:uiPriority w:val="0"/>
    <w:pPr>
      <w:spacing w:after="120"/>
      <w:ind w:firstLine="0" w:firstLineChars="0"/>
    </w:pPr>
    <w:rPr>
      <w:sz w:val="16"/>
      <w:szCs w:val="16"/>
    </w:rPr>
  </w:style>
  <w:style w:type="paragraph" w:customStyle="1" w:styleId="810">
    <w:name w:val="正文文字缩进 2"/>
    <w:basedOn w:val="1"/>
    <w:autoRedefine/>
    <w:qFormat/>
    <w:uiPriority w:val="0"/>
    <w:pPr>
      <w:spacing w:line="360" w:lineRule="auto"/>
      <w:ind w:firstLine="480" w:firstLineChars="0"/>
    </w:pPr>
    <w:rPr>
      <w:rFonts w:ascii="宋体" w:hAnsi="宋体" w:cs="宋体"/>
    </w:rPr>
  </w:style>
  <w:style w:type="paragraph" w:customStyle="1" w:styleId="811">
    <w:name w:val="正文文字缩进 3"/>
    <w:basedOn w:val="1"/>
    <w:autoRedefine/>
    <w:qFormat/>
    <w:uiPriority w:val="0"/>
    <w:pPr>
      <w:ind w:firstLine="555" w:firstLineChars="0"/>
    </w:pPr>
    <w:rPr>
      <w:rFonts w:ascii="宋体" w:cs="宋体"/>
    </w:rPr>
  </w:style>
  <w:style w:type="character" w:customStyle="1" w:styleId="812">
    <w:name w:val="正文文字缩进 Char"/>
    <w:link w:val="335"/>
    <w:autoRedefine/>
    <w:qFormat/>
    <w:uiPriority w:val="0"/>
    <w:rPr>
      <w:rFonts w:ascii="宋体"/>
      <w:sz w:val="24"/>
      <w:szCs w:val="24"/>
    </w:rPr>
  </w:style>
  <w:style w:type="paragraph" w:customStyle="1" w:styleId="813">
    <w:name w:val="自制表格"/>
    <w:basedOn w:val="1"/>
    <w:next w:val="1"/>
    <w:autoRedefine/>
    <w:qFormat/>
    <w:uiPriority w:val="0"/>
    <w:pPr>
      <w:spacing w:after="120"/>
      <w:ind w:firstLine="0" w:firstLineChars="0"/>
    </w:pPr>
    <w:rPr>
      <w:rFonts w:ascii="宋体"/>
      <w:kern w:val="10"/>
      <w:sz w:val="28"/>
      <w:szCs w:val="20"/>
    </w:rPr>
  </w:style>
  <w:style w:type="character" w:customStyle="1" w:styleId="814">
    <w:name w:val="z1 Char"/>
    <w:link w:val="815"/>
    <w:autoRedefine/>
    <w:qFormat/>
    <w:uiPriority w:val="0"/>
    <w:rPr>
      <w:rFonts w:ascii="宋体" w:hAnsi="宋体" w:eastAsia="黑体"/>
      <w:b/>
      <w:kern w:val="2"/>
      <w:sz w:val="28"/>
    </w:rPr>
  </w:style>
  <w:style w:type="paragraph" w:customStyle="1" w:styleId="815">
    <w:name w:val="z1"/>
    <w:basedOn w:val="1"/>
    <w:link w:val="814"/>
    <w:autoRedefine/>
    <w:qFormat/>
    <w:uiPriority w:val="0"/>
    <w:pPr>
      <w:adjustRightInd w:val="0"/>
      <w:snapToGrid w:val="0"/>
      <w:spacing w:line="360" w:lineRule="auto"/>
      <w:ind w:firstLine="560"/>
    </w:pPr>
    <w:rPr>
      <w:rFonts w:ascii="宋体" w:hAnsi="宋体" w:eastAsia="黑体"/>
      <w:b/>
      <w:sz w:val="28"/>
      <w:szCs w:val="20"/>
    </w:rPr>
  </w:style>
  <w:style w:type="character" w:customStyle="1" w:styleId="816">
    <w:name w:val="列出段落 Char Char"/>
    <w:autoRedefine/>
    <w:qFormat/>
    <w:uiPriority w:val="0"/>
    <w:rPr>
      <w:rFonts w:eastAsia="宋体" w:cs="宋体"/>
      <w:b/>
      <w:bCs/>
      <w:color w:val="000000"/>
      <w:kern w:val="2"/>
      <w:sz w:val="21"/>
      <w:szCs w:val="24"/>
      <w:lang w:val="en-US" w:eastAsia="zh-CN" w:bidi="ar-SA"/>
    </w:rPr>
  </w:style>
  <w:style w:type="paragraph" w:customStyle="1" w:styleId="817">
    <w:name w:val="3级标题"/>
    <w:basedOn w:val="1"/>
    <w:link w:val="1036"/>
    <w:autoRedefine/>
    <w:qFormat/>
    <w:uiPriority w:val="0"/>
    <w:pPr>
      <w:ind w:firstLine="0" w:firstLineChars="0"/>
      <w:outlineLvl w:val="2"/>
    </w:pPr>
    <w:rPr>
      <w:b/>
      <w:sz w:val="28"/>
      <w:lang w:val="zh-CN"/>
    </w:rPr>
  </w:style>
  <w:style w:type="paragraph" w:customStyle="1" w:styleId="818">
    <w:name w:val="标题 3 + 段前: 0.2 行 段后: 0.2 行"/>
    <w:basedOn w:val="5"/>
    <w:link w:val="819"/>
    <w:autoRedefine/>
    <w:semiHidden/>
    <w:qFormat/>
    <w:uiPriority w:val="0"/>
    <w:pPr>
      <w:numPr>
        <w:numId w:val="0"/>
      </w:numPr>
      <w:adjustRightInd w:val="0"/>
      <w:snapToGrid w:val="0"/>
      <w:spacing w:before="20" w:beforeLines="20" w:after="20" w:afterLines="20"/>
      <w:ind w:left="-108"/>
      <w:jc w:val="left"/>
    </w:pPr>
    <w:rPr>
      <w:rFonts w:eastAsia="宋体" w:cs="宋体"/>
      <w:sz w:val="24"/>
      <w:szCs w:val="20"/>
    </w:rPr>
  </w:style>
  <w:style w:type="character" w:customStyle="1" w:styleId="819">
    <w:name w:val="标题 3 + 段前: 0.2 行 段后: 0.2 行 Char"/>
    <w:link w:val="818"/>
    <w:autoRedefine/>
    <w:semiHidden/>
    <w:qFormat/>
    <w:uiPriority w:val="0"/>
    <w:rPr>
      <w:rFonts w:cs="宋体"/>
      <w:b/>
      <w:bCs/>
      <w:kern w:val="2"/>
      <w:sz w:val="24"/>
    </w:rPr>
  </w:style>
  <w:style w:type="paragraph" w:customStyle="1" w:styleId="820">
    <w:name w:val="0"/>
    <w:basedOn w:val="1"/>
    <w:autoRedefine/>
    <w:qFormat/>
    <w:uiPriority w:val="0"/>
    <w:pPr>
      <w:widowControl/>
      <w:snapToGrid w:val="0"/>
      <w:ind w:firstLine="0" w:firstLineChars="0"/>
    </w:pPr>
    <w:rPr>
      <w:kern w:val="0"/>
      <w:sz w:val="20"/>
      <w:szCs w:val="20"/>
    </w:rPr>
  </w:style>
  <w:style w:type="paragraph" w:customStyle="1" w:styleId="821">
    <w:name w:val="样式 样式 标题 4款标题1.1.1.1 + 段前: 0.2 行 段后: 0.2 行 + 段前: 0.2 行 段后: 0.2 行"/>
    <w:basedOn w:val="1"/>
    <w:autoRedefine/>
    <w:semiHidden/>
    <w:qFormat/>
    <w:uiPriority w:val="0"/>
    <w:pPr>
      <w:numPr>
        <w:ilvl w:val="3"/>
        <w:numId w:val="13"/>
      </w:numPr>
      <w:tabs>
        <w:tab w:val="clear" w:pos="3012"/>
      </w:tabs>
      <w:spacing w:before="20" w:beforeLines="20" w:after="20" w:afterLines="20"/>
      <w:ind w:left="0" w:firstLine="0" w:firstLineChars="0"/>
      <w:outlineLvl w:val="3"/>
    </w:pPr>
    <w:rPr>
      <w:rFonts w:cs="宋体"/>
      <w:b/>
      <w:bCs/>
      <w:szCs w:val="20"/>
    </w:rPr>
  </w:style>
  <w:style w:type="paragraph" w:customStyle="1" w:styleId="822">
    <w:name w:val="样式 样式 样式 标题 3 + 段前: 0.3 行 段后: 0.3 行 + 段前: 0.3 行 段后: 0.3 行 + 段前: ..."/>
    <w:basedOn w:val="1"/>
    <w:autoRedefine/>
    <w:semiHidden/>
    <w:qFormat/>
    <w:uiPriority w:val="0"/>
    <w:pPr>
      <w:keepNext/>
      <w:keepLines/>
      <w:numPr>
        <w:ilvl w:val="2"/>
        <w:numId w:val="13"/>
      </w:numPr>
      <w:tabs>
        <w:tab w:val="clear" w:pos="2592"/>
      </w:tabs>
      <w:spacing w:before="30" w:beforeLines="30" w:after="30" w:afterLines="30" w:line="500" w:lineRule="exact"/>
      <w:ind w:left="0" w:firstLine="0" w:firstLineChars="0"/>
      <w:jc w:val="left"/>
      <w:outlineLvl w:val="2"/>
    </w:pPr>
    <w:rPr>
      <w:rFonts w:cs="宋体"/>
      <w:b/>
      <w:bCs/>
      <w:szCs w:val="20"/>
    </w:rPr>
  </w:style>
  <w:style w:type="character" w:customStyle="1" w:styleId="823">
    <w:name w:val="apple-style-span"/>
    <w:autoRedefine/>
    <w:qFormat/>
    <w:uiPriority w:val="0"/>
    <w:rPr>
      <w:rFonts w:eastAsia="宋体"/>
      <w:kern w:val="2"/>
      <w:sz w:val="28"/>
      <w:lang w:val="en-US" w:eastAsia="zh-CN" w:bidi="ar-SA"/>
    </w:rPr>
  </w:style>
  <w:style w:type="paragraph" w:customStyle="1" w:styleId="824">
    <w:name w:val="五级条标题"/>
    <w:basedOn w:val="777"/>
    <w:next w:val="1"/>
    <w:autoRedefine/>
    <w:qFormat/>
    <w:uiPriority w:val="0"/>
    <w:pPr>
      <w:numPr>
        <w:ilvl w:val="6"/>
      </w:numPr>
      <w:outlineLvl w:val="6"/>
    </w:pPr>
  </w:style>
  <w:style w:type="paragraph" w:customStyle="1" w:styleId="825">
    <w:name w:val="表格文字2"/>
    <w:basedOn w:val="1"/>
    <w:link w:val="1633"/>
    <w:autoRedefine/>
    <w:qFormat/>
    <w:uiPriority w:val="0"/>
    <w:pPr>
      <w:tabs>
        <w:tab w:val="left" w:pos="277"/>
        <w:tab w:val="left" w:pos="600"/>
        <w:tab w:val="left" w:pos="780"/>
        <w:tab w:val="left" w:pos="2517"/>
      </w:tabs>
      <w:adjustRightInd w:val="0"/>
      <w:spacing w:before="60"/>
      <w:ind w:firstLine="0" w:firstLineChars="0"/>
      <w:jc w:val="center"/>
      <w:textAlignment w:val="baseline"/>
    </w:pPr>
    <w:rPr>
      <w:kern w:val="0"/>
      <w:sz w:val="21"/>
      <w:szCs w:val="20"/>
    </w:rPr>
  </w:style>
  <w:style w:type="paragraph" w:customStyle="1" w:styleId="826">
    <w:name w:val="a封面－项目名称"/>
    <w:basedOn w:val="1"/>
    <w:next w:val="1"/>
    <w:autoRedefine/>
    <w:qFormat/>
    <w:uiPriority w:val="0"/>
    <w:pPr>
      <w:spacing w:before="120" w:beforeLines="50" w:after="120" w:afterLines="50" w:line="360" w:lineRule="auto"/>
      <w:ind w:firstLine="0" w:firstLineChars="0"/>
      <w:jc w:val="center"/>
    </w:pPr>
    <w:rPr>
      <w:rFonts w:eastAsia="黑体"/>
      <w:b/>
      <w:sz w:val="48"/>
    </w:rPr>
  </w:style>
  <w:style w:type="character" w:customStyle="1" w:styleId="827">
    <w:name w:val="标题2"/>
    <w:autoRedefine/>
    <w:semiHidden/>
    <w:qFormat/>
    <w:uiPriority w:val="0"/>
    <w:rPr>
      <w:rFonts w:eastAsia="黑体" w:cs="宋体"/>
      <w:kern w:val="2"/>
      <w:sz w:val="32"/>
      <w:szCs w:val="32"/>
      <w:lang w:val="en-US" w:eastAsia="zh-CN" w:bidi="ar-SA"/>
    </w:rPr>
  </w:style>
  <w:style w:type="paragraph" w:customStyle="1" w:styleId="828">
    <w:name w:val="样式 样式 样式 样式 样式 样式 样式 123 + 自动设置 首行缩进:  2 字符 + 首行缩进:  2 字符 + 黑色 首..."/>
    <w:basedOn w:val="1"/>
    <w:autoRedefine/>
    <w:qFormat/>
    <w:uiPriority w:val="0"/>
    <w:pPr>
      <w:widowControl/>
      <w:tabs>
        <w:tab w:val="left" w:pos="352"/>
      </w:tabs>
      <w:overflowPunct w:val="0"/>
      <w:autoSpaceDE w:val="0"/>
      <w:autoSpaceDN w:val="0"/>
      <w:adjustRightInd w:val="0"/>
      <w:snapToGrid w:val="0"/>
      <w:spacing w:line="460" w:lineRule="exact"/>
      <w:ind w:firstLine="560"/>
      <w:textAlignment w:val="bottom"/>
    </w:pPr>
    <w:rPr>
      <w:rFonts w:cs="宋体"/>
      <w:kern w:val="0"/>
      <w:sz w:val="28"/>
      <w:szCs w:val="28"/>
    </w:rPr>
  </w:style>
  <w:style w:type="character" w:customStyle="1" w:styleId="829">
    <w:name w:val="content1"/>
    <w:autoRedefine/>
    <w:qFormat/>
    <w:uiPriority w:val="0"/>
    <w:rPr>
      <w:rFonts w:eastAsia="黑体" w:cs="宋体"/>
      <w:kern w:val="2"/>
      <w:sz w:val="21"/>
      <w:szCs w:val="21"/>
      <w:lang w:val="en-US" w:eastAsia="zh-CN" w:bidi="ar-SA"/>
    </w:rPr>
  </w:style>
  <w:style w:type="paragraph" w:customStyle="1" w:styleId="830">
    <w:name w:val="正文标准样式"/>
    <w:basedOn w:val="1"/>
    <w:link w:val="1007"/>
    <w:autoRedefine/>
    <w:qFormat/>
    <w:uiPriority w:val="0"/>
    <w:pPr>
      <w:adjustRightInd w:val="0"/>
      <w:spacing w:before="100" w:line="360" w:lineRule="auto"/>
      <w:ind w:firstLine="482" w:firstLineChars="0"/>
      <w:textAlignment w:val="baseline"/>
    </w:pPr>
    <w:rPr>
      <w:rFonts w:ascii="宋体" w:cs="宋体"/>
      <w:color w:val="000000"/>
    </w:rPr>
  </w:style>
  <w:style w:type="paragraph" w:customStyle="1" w:styleId="831">
    <w:name w:val="zhang正文"/>
    <w:basedOn w:val="35"/>
    <w:link w:val="2581"/>
    <w:autoRedefine/>
    <w:qFormat/>
    <w:uiPriority w:val="0"/>
    <w:pPr>
      <w:autoSpaceDE w:val="0"/>
      <w:autoSpaceDN w:val="0"/>
      <w:adjustRightInd w:val="0"/>
      <w:snapToGrid w:val="0"/>
      <w:ind w:firstLine="539"/>
      <w:textAlignment w:val="baseline"/>
    </w:pPr>
    <w:rPr>
      <w:rFonts w:ascii="Times New Roman" w:hAnsi="Times New Roman" w:eastAsia="楷体_GB2312"/>
      <w:kern w:val="0"/>
      <w:sz w:val="28"/>
      <w:szCs w:val="20"/>
    </w:rPr>
  </w:style>
  <w:style w:type="paragraph" w:customStyle="1" w:styleId="832">
    <w:name w:val="8"/>
    <w:basedOn w:val="1"/>
    <w:autoRedefine/>
    <w:qFormat/>
    <w:uiPriority w:val="0"/>
    <w:pPr>
      <w:spacing w:line="360" w:lineRule="auto"/>
      <w:ind w:firstLine="480"/>
    </w:pPr>
    <w:rPr>
      <w:kern w:val="10"/>
    </w:rPr>
  </w:style>
  <w:style w:type="paragraph" w:customStyle="1" w:styleId="833">
    <w:name w:val="1标题1级"/>
    <w:basedOn w:val="1"/>
    <w:autoRedefine/>
    <w:qFormat/>
    <w:uiPriority w:val="0"/>
    <w:pPr>
      <w:keepNext/>
      <w:snapToGrid w:val="0"/>
      <w:spacing w:line="360" w:lineRule="auto"/>
      <w:ind w:firstLine="0" w:firstLineChars="0"/>
      <w:outlineLvl w:val="0"/>
    </w:pPr>
    <w:rPr>
      <w:rFonts w:ascii="黑体" w:eastAsia="黑体"/>
      <w:bCs/>
      <w:sz w:val="44"/>
    </w:rPr>
  </w:style>
  <w:style w:type="character" w:customStyle="1" w:styleId="834">
    <w:name w:val="样式 标题 1 + 黑体 小三 非加粗 Char"/>
    <w:link w:val="455"/>
    <w:autoRedefine/>
    <w:qFormat/>
    <w:uiPriority w:val="0"/>
    <w:rPr>
      <w:rFonts w:ascii="黑体" w:hAnsi="黑体" w:eastAsia="黑体"/>
      <w:kern w:val="44"/>
      <w:sz w:val="30"/>
      <w:szCs w:val="44"/>
    </w:rPr>
  </w:style>
  <w:style w:type="paragraph" w:customStyle="1" w:styleId="835">
    <w:name w:val="样式 正文缩进 + 首行缩进:  2 字符"/>
    <w:basedOn w:val="21"/>
    <w:link w:val="1576"/>
    <w:autoRedefine/>
    <w:qFormat/>
    <w:uiPriority w:val="0"/>
    <w:pPr>
      <w:tabs>
        <w:tab w:val="left" w:pos="0"/>
      </w:tabs>
      <w:overflowPunct w:val="0"/>
      <w:autoSpaceDE w:val="0"/>
      <w:autoSpaceDN w:val="0"/>
      <w:spacing w:line="360" w:lineRule="auto"/>
      <w:ind w:firstLine="200"/>
      <w:textAlignment w:val="bottom"/>
    </w:pPr>
    <w:rPr>
      <w:rFonts w:ascii="宋体" w:hAnsi="宋体" w:cs="宋体"/>
      <w:kern w:val="0"/>
    </w:rPr>
  </w:style>
  <w:style w:type="paragraph" w:customStyle="1" w:styleId="836">
    <w:name w:val="样式 宋体 10 磅 左"/>
    <w:basedOn w:val="1"/>
    <w:autoRedefine/>
    <w:semiHidden/>
    <w:qFormat/>
    <w:uiPriority w:val="0"/>
    <w:pPr>
      <w:spacing w:line="360" w:lineRule="auto"/>
      <w:ind w:firstLine="0" w:firstLineChars="0"/>
      <w:jc w:val="left"/>
    </w:pPr>
    <w:rPr>
      <w:rFonts w:ascii="宋体" w:hAnsi="宋体" w:cs="宋体"/>
      <w:kern w:val="0"/>
      <w:szCs w:val="20"/>
    </w:rPr>
  </w:style>
  <w:style w:type="paragraph" w:customStyle="1" w:styleId="837">
    <w:name w:val="正文(首行缩进2字)"/>
    <w:basedOn w:val="1"/>
    <w:next w:val="1"/>
    <w:link w:val="2490"/>
    <w:autoRedefine/>
    <w:qFormat/>
    <w:uiPriority w:val="0"/>
    <w:pPr>
      <w:adjustRightInd w:val="0"/>
      <w:snapToGrid w:val="0"/>
      <w:spacing w:line="420" w:lineRule="auto"/>
      <w:ind w:firstLine="480"/>
      <w:textAlignment w:val="baseline"/>
    </w:pPr>
    <w:rPr>
      <w:rFonts w:ascii="宋体" w:hAnsi="宋体"/>
      <w:bCs/>
      <w:kern w:val="0"/>
      <w:szCs w:val="20"/>
    </w:rPr>
  </w:style>
  <w:style w:type="paragraph" w:customStyle="1" w:styleId="838">
    <w:name w:val="正文 + 首行缩进:  2 字符"/>
    <w:basedOn w:val="1"/>
    <w:autoRedefine/>
    <w:qFormat/>
    <w:uiPriority w:val="0"/>
    <w:pPr>
      <w:spacing w:line="360" w:lineRule="auto"/>
      <w:ind w:firstLine="480"/>
    </w:pPr>
    <w:rPr>
      <w:rFonts w:cs="宋体"/>
      <w:szCs w:val="20"/>
    </w:rPr>
  </w:style>
  <w:style w:type="paragraph" w:customStyle="1" w:styleId="839">
    <w:name w:val="样式 标题 2标题 121标题 21节 + 行距: 最小值 12 磅"/>
    <w:basedOn w:val="4"/>
    <w:autoRedefine/>
    <w:semiHidden/>
    <w:qFormat/>
    <w:uiPriority w:val="0"/>
    <w:pPr>
      <w:numPr>
        <w:ilvl w:val="0"/>
        <w:numId w:val="0"/>
      </w:numPr>
      <w:tabs>
        <w:tab w:val="center" w:pos="756"/>
        <w:tab w:val="left" w:pos="840"/>
      </w:tabs>
      <w:spacing w:before="120" w:beforeLines="50" w:after="156" w:afterLines="50" w:line="240" w:lineRule="auto"/>
      <w:ind w:left="840" w:hanging="420"/>
    </w:pPr>
    <w:rPr>
      <w:rFonts w:ascii="黑体" w:hAnsi="宋体" w:cs="宋体"/>
      <w:b w:val="0"/>
      <w:bCs w:val="0"/>
      <w:sz w:val="30"/>
      <w:szCs w:val="20"/>
      <w:lang w:val="zh-CN"/>
    </w:rPr>
  </w:style>
  <w:style w:type="paragraph" w:customStyle="1" w:styleId="840">
    <w:name w:val="样式 正文 + 首行缩进:  2 字符 + 宋体 四号 首行缩进:  2 字符"/>
    <w:basedOn w:val="838"/>
    <w:autoRedefine/>
    <w:qFormat/>
    <w:uiPriority w:val="0"/>
    <w:pPr>
      <w:spacing w:line="480" w:lineRule="exact"/>
      <w:ind w:firstLine="200"/>
    </w:pPr>
    <w:rPr>
      <w:rFonts w:ascii="宋体" w:hAnsi="宋体" w:cs="Times New Roman"/>
      <w:sz w:val="28"/>
    </w:rPr>
  </w:style>
  <w:style w:type="paragraph" w:customStyle="1" w:styleId="841">
    <w:name w:val="样式 样式 正文缩进 + 首行缩进:  2 字符 + 首行缩进:  2 字符"/>
    <w:basedOn w:val="835"/>
    <w:autoRedefine/>
    <w:semiHidden/>
    <w:qFormat/>
    <w:uiPriority w:val="0"/>
    <w:pPr>
      <w:ind w:firstLine="480"/>
    </w:pPr>
  </w:style>
  <w:style w:type="character" w:customStyle="1" w:styleId="842">
    <w:name w:val="ou"/>
    <w:autoRedefine/>
    <w:semiHidden/>
    <w:qFormat/>
    <w:uiPriority w:val="0"/>
    <w:rPr>
      <w:rFonts w:eastAsia="黑体" w:cs="宋体"/>
      <w:kern w:val="2"/>
      <w:sz w:val="32"/>
      <w:szCs w:val="32"/>
      <w:lang w:val="en-US" w:eastAsia="zh-CN" w:bidi="ar-SA"/>
    </w:rPr>
  </w:style>
  <w:style w:type="paragraph" w:customStyle="1" w:styleId="843">
    <w:name w:val="样式 表格1 + 首行缩进:  2 字符"/>
    <w:basedOn w:val="338"/>
    <w:autoRedefine/>
    <w:qFormat/>
    <w:uiPriority w:val="0"/>
    <w:pPr>
      <w:spacing w:line="240" w:lineRule="auto"/>
      <w:textAlignment w:val="center"/>
    </w:pPr>
    <w:rPr>
      <w:rFonts w:ascii="宋体" w:hAnsi="宋体" w:cs="宋体"/>
      <w:spacing w:val="0"/>
      <w:sz w:val="21"/>
      <w:szCs w:val="20"/>
    </w:rPr>
  </w:style>
  <w:style w:type="paragraph" w:customStyle="1" w:styleId="844">
    <w:name w:val="表题注"/>
    <w:basedOn w:val="22"/>
    <w:autoRedefine/>
    <w:qFormat/>
    <w:uiPriority w:val="0"/>
    <w:pPr>
      <w:keepNext/>
      <w:spacing w:before="152" w:line="0" w:lineRule="atLeast"/>
      <w:ind w:firstLine="0" w:firstLineChars="0"/>
    </w:pPr>
    <w:rPr>
      <w:rFonts w:ascii="宋体" w:hAnsi="宋体" w:eastAsia="宋体" w:cs="Arial"/>
      <w:color w:val="000000"/>
      <w:sz w:val="24"/>
      <w:szCs w:val="20"/>
      <w:lang w:val="sq-AL"/>
      <w14:ligatures w14:val="none"/>
    </w:rPr>
  </w:style>
  <w:style w:type="paragraph" w:customStyle="1" w:styleId="845">
    <w:name w:val="表格2"/>
    <w:basedOn w:val="338"/>
    <w:autoRedefine/>
    <w:qFormat/>
    <w:uiPriority w:val="0"/>
    <w:pPr>
      <w:adjustRightInd/>
      <w:spacing w:line="240" w:lineRule="auto"/>
      <w:textAlignment w:val="auto"/>
    </w:pPr>
    <w:rPr>
      <w:rFonts w:ascii="宋体"/>
      <w:spacing w:val="0"/>
      <w:kern w:val="2"/>
      <w:sz w:val="21"/>
      <w:szCs w:val="20"/>
    </w:rPr>
  </w:style>
  <w:style w:type="paragraph" w:customStyle="1" w:styleId="846">
    <w:name w:val="样式 样式 标题 4标题 14 + 自动设置 + 无下划线"/>
    <w:basedOn w:val="1"/>
    <w:autoRedefine/>
    <w:qFormat/>
    <w:uiPriority w:val="0"/>
    <w:pPr>
      <w:keepNext/>
      <w:tabs>
        <w:tab w:val="left" w:pos="2219"/>
      </w:tabs>
      <w:adjustRightInd w:val="0"/>
      <w:snapToGrid w:val="0"/>
      <w:ind w:left="2219" w:hanging="420" w:firstLineChars="0"/>
      <w:outlineLvl w:val="3"/>
    </w:pPr>
    <w:rPr>
      <w:rFonts w:eastAsia="黑体"/>
    </w:rPr>
  </w:style>
  <w:style w:type="paragraph" w:customStyle="1" w:styleId="847">
    <w:name w:val="标准"/>
    <w:basedOn w:val="1"/>
    <w:autoRedefine/>
    <w:qFormat/>
    <w:uiPriority w:val="0"/>
    <w:pPr>
      <w:adjustRightInd w:val="0"/>
      <w:spacing w:line="480" w:lineRule="exact"/>
      <w:ind w:firstLine="0" w:firstLineChars="0"/>
      <w:textAlignment w:val="baseline"/>
    </w:pPr>
    <w:rPr>
      <w:kern w:val="0"/>
      <w:sz w:val="28"/>
      <w:szCs w:val="20"/>
      <w:lang w:val="en-GB"/>
    </w:rPr>
  </w:style>
  <w:style w:type="paragraph" w:customStyle="1" w:styleId="848">
    <w:name w:val="表格内容格式"/>
    <w:basedOn w:val="1"/>
    <w:autoRedefine/>
    <w:qFormat/>
    <w:uiPriority w:val="0"/>
    <w:pPr>
      <w:adjustRightInd w:val="0"/>
      <w:spacing w:line="240" w:lineRule="atLeast"/>
      <w:ind w:firstLine="0" w:firstLineChars="0"/>
      <w:textAlignment w:val="baseline"/>
    </w:pPr>
    <w:rPr>
      <w:rFonts w:ascii="宋体" w:hAnsi="宋体"/>
      <w:snapToGrid w:val="0"/>
      <w:color w:val="000000"/>
      <w:kern w:val="0"/>
      <w:sz w:val="21"/>
      <w:szCs w:val="20"/>
    </w:rPr>
  </w:style>
  <w:style w:type="paragraph" w:customStyle="1" w:styleId="849">
    <w:name w:val="表格 2"/>
    <w:basedOn w:val="1"/>
    <w:autoRedefine/>
    <w:qFormat/>
    <w:uiPriority w:val="0"/>
    <w:pPr>
      <w:autoSpaceDE w:val="0"/>
      <w:autoSpaceDN w:val="0"/>
      <w:adjustRightInd w:val="0"/>
      <w:ind w:firstLine="0" w:firstLineChars="0"/>
      <w:jc w:val="center"/>
      <w:textAlignment w:val="baseline"/>
    </w:pPr>
    <w:rPr>
      <w:kern w:val="0"/>
      <w:szCs w:val="20"/>
    </w:rPr>
  </w:style>
  <w:style w:type="paragraph" w:customStyle="1" w:styleId="850">
    <w:name w:val="表题 2"/>
    <w:basedOn w:val="1"/>
    <w:autoRedefine/>
    <w:qFormat/>
    <w:uiPriority w:val="0"/>
    <w:pPr>
      <w:adjustRightInd w:val="0"/>
      <w:spacing w:before="120" w:after="120"/>
      <w:ind w:firstLine="0" w:firstLineChars="0"/>
      <w:jc w:val="center"/>
      <w:textAlignment w:val="baseline"/>
    </w:pPr>
    <w:rPr>
      <w:kern w:val="0"/>
      <w:sz w:val="28"/>
      <w:szCs w:val="20"/>
    </w:rPr>
  </w:style>
  <w:style w:type="paragraph" w:customStyle="1" w:styleId="851">
    <w:name w:val="表格 3"/>
    <w:basedOn w:val="1"/>
    <w:autoRedefine/>
    <w:qFormat/>
    <w:uiPriority w:val="0"/>
    <w:pPr>
      <w:autoSpaceDE w:val="0"/>
      <w:autoSpaceDN w:val="0"/>
      <w:adjustRightInd w:val="0"/>
      <w:ind w:firstLine="0" w:firstLineChars="0"/>
      <w:jc w:val="center"/>
    </w:pPr>
    <w:rPr>
      <w:kern w:val="0"/>
      <w:sz w:val="21"/>
      <w:szCs w:val="20"/>
    </w:rPr>
  </w:style>
  <w:style w:type="paragraph" w:customStyle="1" w:styleId="852">
    <w:name w:val="新正文1"/>
    <w:basedOn w:val="35"/>
    <w:autoRedefine/>
    <w:semiHidden/>
    <w:qFormat/>
    <w:uiPriority w:val="0"/>
    <w:pPr>
      <w:spacing w:line="440" w:lineRule="exact"/>
      <w:ind w:firstLine="200" w:firstLineChars="200"/>
    </w:pPr>
  </w:style>
  <w:style w:type="paragraph" w:customStyle="1" w:styleId="853">
    <w:name w:val="表头文字1"/>
    <w:basedOn w:val="1"/>
    <w:autoRedefine/>
    <w:qFormat/>
    <w:uiPriority w:val="0"/>
    <w:pPr>
      <w:spacing w:line="400" w:lineRule="exact"/>
      <w:ind w:firstLine="0" w:firstLineChars="0"/>
      <w:jc w:val="center"/>
    </w:pPr>
    <w:rPr>
      <w:rFonts w:ascii="宋体" w:hAnsi="宋体"/>
      <w:bCs/>
    </w:rPr>
  </w:style>
  <w:style w:type="paragraph" w:customStyle="1" w:styleId="854">
    <w:name w:val="样式 标题 3 + 宋体 四号 段前: 0 磅 段后: 0 磅 行距: 单倍行距"/>
    <w:basedOn w:val="5"/>
    <w:autoRedefine/>
    <w:qFormat/>
    <w:uiPriority w:val="0"/>
    <w:pPr>
      <w:numPr>
        <w:ilvl w:val="0"/>
        <w:numId w:val="0"/>
      </w:numPr>
    </w:pPr>
    <w:rPr>
      <w:rFonts w:eastAsia="宋体" w:cs="宋体"/>
      <w:sz w:val="28"/>
      <w:lang w:val="zh-CN"/>
    </w:rPr>
  </w:style>
  <w:style w:type="paragraph" w:customStyle="1" w:styleId="855">
    <w:name w:val="样式 首行缩进:  1.01 厘米"/>
    <w:basedOn w:val="1"/>
    <w:autoRedefine/>
    <w:qFormat/>
    <w:uiPriority w:val="0"/>
    <w:pPr>
      <w:spacing w:line="460" w:lineRule="exact"/>
      <w:ind w:firstLine="0" w:firstLineChars="0"/>
      <w:jc w:val="center"/>
    </w:pPr>
    <w:rPr>
      <w:rFonts w:ascii="黑体" w:eastAsia="黑体"/>
      <w:color w:val="000000"/>
      <w:sz w:val="28"/>
      <w:szCs w:val="28"/>
    </w:rPr>
  </w:style>
  <w:style w:type="paragraph" w:customStyle="1" w:styleId="856">
    <w:name w:val="样式 样式 首行缩进:  1.01 厘米 + 首行缩进:  2 字符"/>
    <w:basedOn w:val="855"/>
    <w:link w:val="2801"/>
    <w:autoRedefine/>
    <w:qFormat/>
    <w:uiPriority w:val="0"/>
    <w:pPr>
      <w:ind w:firstLine="560"/>
      <w:jc w:val="both"/>
    </w:pPr>
    <w:rPr>
      <w:rFonts w:cs="宋体"/>
    </w:rPr>
  </w:style>
  <w:style w:type="paragraph" w:customStyle="1" w:styleId="857">
    <w:name w:val="表内容"/>
    <w:basedOn w:val="1"/>
    <w:link w:val="1905"/>
    <w:autoRedefine/>
    <w:qFormat/>
    <w:uiPriority w:val="0"/>
    <w:pPr>
      <w:widowControl/>
      <w:ind w:firstLine="0" w:firstLineChars="0"/>
      <w:jc w:val="center"/>
    </w:pPr>
    <w:rPr>
      <w:sz w:val="21"/>
      <w:szCs w:val="21"/>
    </w:rPr>
  </w:style>
  <w:style w:type="paragraph" w:customStyle="1" w:styleId="858">
    <w:name w:val="样式 标题 1 + 三号 行距: 最小值 24 磅"/>
    <w:basedOn w:val="3"/>
    <w:autoRedefine/>
    <w:qFormat/>
    <w:uiPriority w:val="0"/>
    <w:pPr>
      <w:keepLines/>
      <w:numPr>
        <w:numId w:val="0"/>
      </w:numPr>
      <w:tabs>
        <w:tab w:val="left" w:pos="425"/>
        <w:tab w:val="clear" w:pos="0"/>
      </w:tabs>
      <w:spacing w:before="240" w:after="600" w:line="480" w:lineRule="atLeast"/>
      <w:ind w:left="425" w:hanging="425"/>
    </w:pPr>
    <w:rPr>
      <w:rFonts w:eastAsia="宋体" w:cs="宋体"/>
      <w:bCs/>
      <w:kern w:val="44"/>
      <w:sz w:val="44"/>
      <w:szCs w:val="44"/>
      <w:lang w:val="zh-CN"/>
    </w:rPr>
  </w:style>
  <w:style w:type="paragraph" w:customStyle="1" w:styleId="859">
    <w:name w:val="样式正文首行缩进"/>
    <w:basedOn w:val="1"/>
    <w:autoRedefine/>
    <w:semiHidden/>
    <w:qFormat/>
    <w:uiPriority w:val="0"/>
    <w:pPr>
      <w:spacing w:line="500" w:lineRule="exact"/>
      <w:ind w:firstLine="567" w:firstLineChars="0"/>
    </w:pPr>
    <w:rPr>
      <w:sz w:val="28"/>
      <w:szCs w:val="28"/>
    </w:rPr>
  </w:style>
  <w:style w:type="paragraph" w:customStyle="1" w:styleId="860">
    <w:name w:val="标题21"/>
    <w:basedOn w:val="4"/>
    <w:autoRedefine/>
    <w:semiHidden/>
    <w:qFormat/>
    <w:uiPriority w:val="0"/>
    <w:pPr>
      <w:widowControl/>
      <w:numPr>
        <w:ilvl w:val="0"/>
        <w:numId w:val="0"/>
      </w:numPr>
      <w:tabs>
        <w:tab w:val="left" w:pos="360"/>
        <w:tab w:val="left" w:pos="2225"/>
      </w:tabs>
      <w:spacing w:before="120" w:after="120" w:line="240" w:lineRule="auto"/>
      <w:ind w:firstLine="425"/>
    </w:pPr>
    <w:rPr>
      <w:b w:val="0"/>
      <w:bCs w:val="0"/>
      <w:sz w:val="30"/>
      <w:szCs w:val="20"/>
      <w:lang w:val="zh-CN"/>
    </w:rPr>
  </w:style>
  <w:style w:type="character" w:customStyle="1" w:styleId="861">
    <w:name w:val="bodyfont1"/>
    <w:autoRedefine/>
    <w:qFormat/>
    <w:uiPriority w:val="0"/>
    <w:rPr>
      <w:rFonts w:eastAsia="黑体" w:cs="宋体"/>
      <w:kern w:val="2"/>
      <w:sz w:val="21"/>
      <w:szCs w:val="21"/>
      <w:lang w:val="en-US" w:eastAsia="zh-CN" w:bidi="ar-SA"/>
    </w:rPr>
  </w:style>
  <w:style w:type="paragraph" w:customStyle="1" w:styleId="862">
    <w:name w:val="样式 标题 1 + 小四"/>
    <w:basedOn w:val="3"/>
    <w:autoRedefine/>
    <w:qFormat/>
    <w:uiPriority w:val="0"/>
    <w:pPr>
      <w:keepLines/>
      <w:numPr>
        <w:numId w:val="0"/>
      </w:numPr>
      <w:tabs>
        <w:tab w:val="left" w:pos="420"/>
        <w:tab w:val="clear" w:pos="0"/>
      </w:tabs>
      <w:spacing w:before="120" w:after="240" w:line="0" w:lineRule="atLeast"/>
      <w:ind w:left="420" w:hanging="420"/>
    </w:pPr>
    <w:rPr>
      <w:rFonts w:eastAsia="宋体"/>
      <w:bCs/>
      <w:kern w:val="44"/>
      <w:sz w:val="30"/>
      <w:szCs w:val="20"/>
      <w:lang w:val="zh-CN"/>
    </w:rPr>
  </w:style>
  <w:style w:type="paragraph" w:customStyle="1" w:styleId="863">
    <w:name w:val="样式 标题 2标题 21标题 121 + Times New Roman 小三 非加粗 黑色 段前: 8 磅 段...1"/>
    <w:basedOn w:val="4"/>
    <w:autoRedefine/>
    <w:qFormat/>
    <w:uiPriority w:val="0"/>
    <w:pPr>
      <w:numPr>
        <w:ilvl w:val="0"/>
        <w:numId w:val="0"/>
      </w:numPr>
      <w:tabs>
        <w:tab w:val="left" w:pos="456"/>
      </w:tabs>
      <w:spacing w:before="160" w:after="160" w:line="240" w:lineRule="auto"/>
      <w:ind w:left="456" w:hanging="456"/>
    </w:pPr>
    <w:rPr>
      <w:b w:val="0"/>
      <w:bCs w:val="0"/>
      <w:color w:val="000000"/>
      <w:sz w:val="30"/>
      <w:szCs w:val="20"/>
      <w:lang w:val="zh-CN"/>
    </w:rPr>
  </w:style>
  <w:style w:type="paragraph" w:customStyle="1" w:styleId="864">
    <w:name w:val="样式 标题 2标题 21标题 121 + Times New Roman 小三 非加粗 黑色 段前: 8 磅 段..."/>
    <w:basedOn w:val="4"/>
    <w:autoRedefine/>
    <w:qFormat/>
    <w:uiPriority w:val="0"/>
    <w:pPr>
      <w:numPr>
        <w:ilvl w:val="0"/>
        <w:numId w:val="0"/>
      </w:numPr>
      <w:tabs>
        <w:tab w:val="left" w:pos="360"/>
      </w:tabs>
      <w:spacing w:before="160" w:after="160" w:line="240" w:lineRule="auto"/>
    </w:pPr>
    <w:rPr>
      <w:b w:val="0"/>
      <w:bCs w:val="0"/>
      <w:color w:val="000000"/>
      <w:sz w:val="30"/>
      <w:szCs w:val="20"/>
      <w:lang w:val="zh-CN"/>
    </w:rPr>
  </w:style>
  <w:style w:type="paragraph" w:customStyle="1" w:styleId="865">
    <w:name w:val="样式 标题 2标题 21标题 121 + Times New Roman 小三 非加粗 黑色 段前: 8 磅 段...2"/>
    <w:basedOn w:val="4"/>
    <w:autoRedefine/>
    <w:qFormat/>
    <w:uiPriority w:val="0"/>
    <w:pPr>
      <w:numPr>
        <w:ilvl w:val="0"/>
        <w:numId w:val="0"/>
      </w:numPr>
      <w:tabs>
        <w:tab w:val="left" w:pos="780"/>
      </w:tabs>
      <w:spacing w:before="160" w:after="160" w:line="240" w:lineRule="auto"/>
      <w:ind w:left="780" w:hanging="360"/>
    </w:pPr>
    <w:rPr>
      <w:b w:val="0"/>
      <w:bCs w:val="0"/>
      <w:color w:val="000000"/>
      <w:sz w:val="30"/>
      <w:szCs w:val="20"/>
      <w:lang w:val="zh-CN"/>
    </w:rPr>
  </w:style>
  <w:style w:type="paragraph" w:customStyle="1" w:styleId="866">
    <w:name w:val="样式 标题 4标题 14 + 加粗 无下划线 自动设置 段前: 3 磅 段后: 10 磅"/>
    <w:basedOn w:val="6"/>
    <w:autoRedefine/>
    <w:qFormat/>
    <w:uiPriority w:val="0"/>
    <w:pPr>
      <w:keepLines w:val="0"/>
      <w:numPr>
        <w:ilvl w:val="0"/>
        <w:numId w:val="0"/>
      </w:numPr>
      <w:tabs>
        <w:tab w:val="left" w:pos="456"/>
      </w:tabs>
      <w:adjustRightInd w:val="0"/>
      <w:snapToGrid w:val="0"/>
      <w:spacing w:before="60" w:after="200"/>
      <w:ind w:left="456" w:hanging="456"/>
    </w:pPr>
    <w:rPr>
      <w:b w:val="0"/>
      <w:sz w:val="24"/>
      <w:szCs w:val="20"/>
      <w:lang w:val="zh-CN"/>
    </w:rPr>
  </w:style>
  <w:style w:type="paragraph" w:customStyle="1" w:styleId="867">
    <w:name w:val="样式 标题 4标题 14 + 加粗 无下划线 自动设置 段前: 3 磅 段后: 10 磅1"/>
    <w:basedOn w:val="6"/>
    <w:autoRedefine/>
    <w:qFormat/>
    <w:uiPriority w:val="0"/>
    <w:pPr>
      <w:keepLines w:val="0"/>
      <w:numPr>
        <w:ilvl w:val="0"/>
        <w:numId w:val="0"/>
      </w:numPr>
      <w:tabs>
        <w:tab w:val="left" w:pos="1620"/>
      </w:tabs>
      <w:adjustRightInd w:val="0"/>
      <w:snapToGrid w:val="0"/>
      <w:spacing w:before="60" w:after="200"/>
      <w:ind w:left="1620" w:hanging="360"/>
    </w:pPr>
    <w:rPr>
      <w:b w:val="0"/>
      <w:sz w:val="24"/>
      <w:szCs w:val="20"/>
      <w:lang w:val="zh-CN"/>
    </w:rPr>
  </w:style>
  <w:style w:type="paragraph" w:customStyle="1" w:styleId="868">
    <w:name w:val="样式 标题 4标题 14 + 加粗 无下划线 自动设置 段前: 3 磅 段后: 10 磅2"/>
    <w:basedOn w:val="6"/>
    <w:autoRedefine/>
    <w:qFormat/>
    <w:uiPriority w:val="0"/>
    <w:pPr>
      <w:keepLines w:val="0"/>
      <w:numPr>
        <w:ilvl w:val="0"/>
        <w:numId w:val="0"/>
      </w:numPr>
      <w:tabs>
        <w:tab w:val="left" w:pos="1080"/>
      </w:tabs>
      <w:adjustRightInd w:val="0"/>
      <w:snapToGrid w:val="0"/>
      <w:spacing w:before="60" w:after="200"/>
      <w:ind w:left="851" w:hanging="851"/>
    </w:pPr>
    <w:rPr>
      <w:b w:val="0"/>
      <w:sz w:val="24"/>
      <w:szCs w:val="20"/>
      <w:lang w:val="zh-CN"/>
    </w:rPr>
  </w:style>
  <w:style w:type="paragraph" w:customStyle="1" w:styleId="869">
    <w:name w:val="样式 标题 4标题 14 + 自动设置"/>
    <w:basedOn w:val="6"/>
    <w:autoRedefine/>
    <w:qFormat/>
    <w:uiPriority w:val="0"/>
    <w:pPr>
      <w:keepLines w:val="0"/>
      <w:numPr>
        <w:ilvl w:val="0"/>
        <w:numId w:val="0"/>
      </w:numPr>
      <w:adjustRightInd w:val="0"/>
      <w:snapToGrid w:val="0"/>
    </w:pPr>
    <w:rPr>
      <w:bCs w:val="0"/>
      <w:sz w:val="24"/>
      <w:szCs w:val="24"/>
      <w:u w:val="single"/>
      <w:lang w:val="zh-CN"/>
    </w:rPr>
  </w:style>
  <w:style w:type="paragraph" w:customStyle="1" w:styleId="870">
    <w:name w:val="样式 标题 4标题 14 + 加粗 无下划线 自动设置 段前: 3 磅 段后: 10 磅4"/>
    <w:basedOn w:val="6"/>
    <w:autoRedefine/>
    <w:qFormat/>
    <w:uiPriority w:val="0"/>
    <w:pPr>
      <w:keepLines w:val="0"/>
      <w:numPr>
        <w:ilvl w:val="0"/>
        <w:numId w:val="0"/>
      </w:numPr>
      <w:tabs>
        <w:tab w:val="left" w:pos="855"/>
      </w:tabs>
      <w:adjustRightInd w:val="0"/>
      <w:snapToGrid w:val="0"/>
      <w:spacing w:before="60" w:after="200"/>
      <w:ind w:left="855" w:hanging="855"/>
    </w:pPr>
    <w:rPr>
      <w:b w:val="0"/>
      <w:sz w:val="24"/>
      <w:szCs w:val="20"/>
      <w:lang w:val="zh-CN"/>
    </w:rPr>
  </w:style>
  <w:style w:type="paragraph" w:customStyle="1" w:styleId="871">
    <w:name w:val="正文 + 首行缩进:  2 字符 Char"/>
    <w:basedOn w:val="1"/>
    <w:autoRedefine/>
    <w:semiHidden/>
    <w:qFormat/>
    <w:uiPriority w:val="0"/>
    <w:pPr>
      <w:ind w:firstLine="480"/>
    </w:pPr>
    <w:rPr>
      <w:rFonts w:cs="宋体"/>
      <w:szCs w:val="20"/>
    </w:rPr>
  </w:style>
  <w:style w:type="character" w:customStyle="1" w:styleId="872">
    <w:name w:val="正文 + 首行缩进:  2 字符 Char Char"/>
    <w:autoRedefine/>
    <w:qFormat/>
    <w:uiPriority w:val="0"/>
    <w:rPr>
      <w:rFonts w:eastAsia="宋体" w:cs="宋体"/>
      <w:kern w:val="2"/>
      <w:sz w:val="24"/>
      <w:szCs w:val="32"/>
      <w:lang w:val="en-US" w:eastAsia="zh-CN" w:bidi="ar-SA"/>
    </w:rPr>
  </w:style>
  <w:style w:type="character" w:customStyle="1" w:styleId="873">
    <w:name w:val="样式 首行缩进:  1.01 厘米 Char"/>
    <w:autoRedefine/>
    <w:qFormat/>
    <w:uiPriority w:val="0"/>
    <w:rPr>
      <w:rFonts w:eastAsia="宋体" w:cs="宋体"/>
      <w:kern w:val="2"/>
      <w:sz w:val="24"/>
      <w:szCs w:val="24"/>
      <w:lang w:val="en-US" w:eastAsia="zh-CN" w:bidi="ar-SA"/>
    </w:rPr>
  </w:style>
  <w:style w:type="paragraph" w:customStyle="1" w:styleId="874">
    <w:name w:val="表头名称"/>
    <w:basedOn w:val="21"/>
    <w:autoRedefine/>
    <w:qFormat/>
    <w:uiPriority w:val="0"/>
    <w:pPr>
      <w:autoSpaceDE w:val="0"/>
      <w:autoSpaceDN w:val="0"/>
      <w:adjustRightInd w:val="0"/>
      <w:spacing w:line="360" w:lineRule="auto"/>
    </w:pPr>
    <w:rPr>
      <w:rFonts w:ascii="黑体" w:hAnsi="宋体" w:eastAsia="黑体"/>
      <w:kern w:val="0"/>
      <w:szCs w:val="20"/>
    </w:rPr>
  </w:style>
  <w:style w:type="paragraph" w:customStyle="1" w:styleId="875">
    <w:name w:val="123"/>
    <w:basedOn w:val="21"/>
    <w:autoRedefine/>
    <w:qFormat/>
    <w:uiPriority w:val="0"/>
    <w:pPr>
      <w:widowControl/>
      <w:tabs>
        <w:tab w:val="left" w:pos="352"/>
      </w:tabs>
      <w:overflowPunct w:val="0"/>
      <w:autoSpaceDE w:val="0"/>
      <w:autoSpaceDN w:val="0"/>
      <w:adjustRightInd w:val="0"/>
      <w:snapToGrid w:val="0"/>
      <w:spacing w:before="50" w:line="460" w:lineRule="exact"/>
      <w:ind w:firstLine="200"/>
      <w:textAlignment w:val="bottom"/>
    </w:pPr>
    <w:rPr>
      <w:color w:val="000000"/>
      <w:kern w:val="0"/>
      <w:sz w:val="21"/>
      <w:szCs w:val="20"/>
    </w:rPr>
  </w:style>
  <w:style w:type="paragraph" w:customStyle="1" w:styleId="876">
    <w:name w:val="可研-正文"/>
    <w:basedOn w:val="1"/>
    <w:autoRedefine/>
    <w:qFormat/>
    <w:uiPriority w:val="0"/>
    <w:rPr>
      <w:rFonts w:ascii="宋体"/>
      <w:sz w:val="28"/>
    </w:rPr>
  </w:style>
  <w:style w:type="paragraph" w:customStyle="1" w:styleId="877">
    <w:name w:val="可研-表格正文"/>
    <w:basedOn w:val="876"/>
    <w:autoRedefine/>
    <w:qFormat/>
    <w:uiPriority w:val="0"/>
    <w:pPr>
      <w:ind w:firstLine="0" w:firstLineChars="0"/>
    </w:pPr>
    <w:rPr>
      <w:sz w:val="24"/>
    </w:rPr>
  </w:style>
  <w:style w:type="paragraph" w:customStyle="1" w:styleId="878">
    <w:name w:val="可研-表格标题"/>
    <w:basedOn w:val="876"/>
    <w:next w:val="877"/>
    <w:autoRedefine/>
    <w:qFormat/>
    <w:uiPriority w:val="0"/>
    <w:pPr>
      <w:ind w:firstLine="0" w:firstLineChars="0"/>
      <w:jc w:val="center"/>
    </w:pPr>
    <w:rPr>
      <w:b/>
      <w:sz w:val="24"/>
    </w:rPr>
  </w:style>
  <w:style w:type="paragraph" w:customStyle="1" w:styleId="879">
    <w:name w:val="可研-节标题"/>
    <w:next w:val="876"/>
    <w:autoRedefine/>
    <w:qFormat/>
    <w:uiPriority w:val="0"/>
    <w:pPr>
      <w:spacing w:line="360" w:lineRule="auto"/>
      <w:ind w:firstLine="200" w:firstLineChars="200"/>
      <w:outlineLvl w:val="1"/>
    </w:pPr>
    <w:rPr>
      <w:rFonts w:ascii="Times New Roman" w:hAnsi="Times New Roman" w:eastAsia="宋体" w:cs="Times New Roman"/>
      <w:b/>
      <w:sz w:val="28"/>
      <w:szCs w:val="30"/>
      <w:lang w:val="en-US" w:eastAsia="zh-CN" w:bidi="ar-SA"/>
    </w:rPr>
  </w:style>
  <w:style w:type="paragraph" w:customStyle="1" w:styleId="880">
    <w:name w:val="正文标准样式 + 黑体"/>
    <w:basedOn w:val="830"/>
    <w:autoRedefine/>
    <w:qFormat/>
    <w:uiPriority w:val="0"/>
    <w:pPr>
      <w:spacing w:before="0" w:line="460" w:lineRule="exact"/>
      <w:ind w:firstLine="0"/>
      <w:outlineLvl w:val="0"/>
    </w:pPr>
    <w:rPr>
      <w:rFonts w:ascii="黑体" w:eastAsia="黑体"/>
      <w:b/>
      <w:sz w:val="28"/>
      <w:szCs w:val="28"/>
    </w:rPr>
  </w:style>
  <w:style w:type="paragraph" w:customStyle="1" w:styleId="881">
    <w:name w:val="样式 小四 行距: 固定值 23 磅"/>
    <w:basedOn w:val="1"/>
    <w:autoRedefine/>
    <w:qFormat/>
    <w:uiPriority w:val="0"/>
    <w:pPr>
      <w:tabs>
        <w:tab w:val="left" w:pos="960"/>
      </w:tabs>
      <w:ind w:left="960" w:hanging="480" w:firstLineChars="0"/>
    </w:pPr>
    <w:rPr>
      <w:sz w:val="28"/>
    </w:rPr>
  </w:style>
  <w:style w:type="paragraph" w:customStyle="1" w:styleId="882">
    <w:name w:val="样式 标题 2标题 21标题 121 + Times New Roman 小三 非加粗 黑色 段前: 8 磅 段...3"/>
    <w:basedOn w:val="1"/>
    <w:autoRedefine/>
    <w:qFormat/>
    <w:uiPriority w:val="0"/>
    <w:pPr>
      <w:tabs>
        <w:tab w:val="left" w:pos="1320"/>
      </w:tabs>
      <w:ind w:left="1320" w:hanging="420" w:firstLineChars="0"/>
    </w:pPr>
    <w:rPr>
      <w:sz w:val="28"/>
    </w:rPr>
  </w:style>
  <w:style w:type="paragraph" w:customStyle="1" w:styleId="883">
    <w:name w:val="样式 样式 样式 样式 样式 样式 样式 123 + 自动设置 首行缩进:  2 字符 + 首行缩进:  2 字符 + 黑色 首... Char"/>
    <w:basedOn w:val="1"/>
    <w:autoRedefine/>
    <w:semiHidden/>
    <w:qFormat/>
    <w:uiPriority w:val="0"/>
    <w:pPr>
      <w:widowControl/>
      <w:tabs>
        <w:tab w:val="left" w:pos="352"/>
      </w:tabs>
      <w:overflowPunct w:val="0"/>
      <w:autoSpaceDE w:val="0"/>
      <w:autoSpaceDN w:val="0"/>
      <w:adjustRightInd w:val="0"/>
      <w:snapToGrid w:val="0"/>
      <w:spacing w:line="460" w:lineRule="exact"/>
      <w:ind w:firstLine="560"/>
      <w:textAlignment w:val="bottom"/>
    </w:pPr>
    <w:rPr>
      <w:rFonts w:cs="宋体"/>
      <w:kern w:val="0"/>
      <w:sz w:val="28"/>
      <w:szCs w:val="28"/>
    </w:rPr>
  </w:style>
  <w:style w:type="character" w:customStyle="1" w:styleId="884">
    <w:name w:val="样式 样式 样式 样式 样式 样式 样式 123 + 自动设置 首行缩进:  2 字符 + 首行缩进:  2 字符 + 黑色 首... Char Char"/>
    <w:autoRedefine/>
    <w:semiHidden/>
    <w:qFormat/>
    <w:uiPriority w:val="0"/>
    <w:rPr>
      <w:rFonts w:eastAsia="宋体" w:cs="宋体"/>
      <w:kern w:val="2"/>
      <w:sz w:val="28"/>
      <w:szCs w:val="28"/>
      <w:lang w:val="en-US" w:eastAsia="zh-CN" w:bidi="ar-SA"/>
    </w:rPr>
  </w:style>
  <w:style w:type="paragraph" w:customStyle="1" w:styleId="885">
    <w:name w:val="样式 标题 3标题 13 + (中文) 黑体 四号 非加粗 黑色 段前: 21 磅 段后: 21 磅 行距: 单倍..."/>
    <w:basedOn w:val="5"/>
    <w:autoRedefine/>
    <w:qFormat/>
    <w:uiPriority w:val="0"/>
    <w:pPr>
      <w:numPr>
        <w:ilvl w:val="0"/>
        <w:numId w:val="0"/>
      </w:numPr>
      <w:spacing w:before="420" w:after="420"/>
    </w:pPr>
    <w:rPr>
      <w:rFonts w:cs="宋体"/>
      <w:b w:val="0"/>
      <w:bCs w:val="0"/>
      <w:color w:val="000000"/>
      <w:sz w:val="28"/>
      <w:szCs w:val="20"/>
      <w:lang w:val="zh-CN"/>
    </w:rPr>
  </w:style>
  <w:style w:type="paragraph" w:customStyle="1" w:styleId="886">
    <w:name w:val="样式 标题 1标题 11一、 + (中文) 黑体 小二 非加粗 段前: 5 磅 段后: 5 磅 行距: 单倍行距"/>
    <w:basedOn w:val="3"/>
    <w:autoRedefine/>
    <w:qFormat/>
    <w:uiPriority w:val="0"/>
    <w:pPr>
      <w:keepLines/>
      <w:numPr>
        <w:numId w:val="0"/>
      </w:numPr>
      <w:tabs>
        <w:tab w:val="clear" w:pos="0"/>
      </w:tabs>
      <w:spacing w:before="100" w:after="100" w:line="240" w:lineRule="auto"/>
      <w:jc w:val="both"/>
    </w:pPr>
    <w:rPr>
      <w:rFonts w:cs="宋体"/>
      <w:b w:val="0"/>
      <w:kern w:val="44"/>
      <w:szCs w:val="20"/>
      <w:lang w:val="zh-CN"/>
    </w:rPr>
  </w:style>
  <w:style w:type="paragraph" w:customStyle="1" w:styleId="887">
    <w:name w:val="样式 标题 3标题 13 + 黑色 段前: 4 磅 段后: 10 磅 行距: 单倍行距"/>
    <w:basedOn w:val="1"/>
    <w:autoRedefine/>
    <w:qFormat/>
    <w:uiPriority w:val="0"/>
    <w:pPr>
      <w:ind w:firstLine="0" w:firstLineChars="0"/>
    </w:pPr>
    <w:rPr>
      <w:sz w:val="28"/>
    </w:rPr>
  </w:style>
  <w:style w:type="paragraph" w:customStyle="1" w:styleId="888">
    <w:name w:val="样式 标题 2标题 21标题 121 + Times New Roman 非加粗 段前: 6 磅 段后: 8 磅 ..."/>
    <w:basedOn w:val="1"/>
    <w:autoRedefine/>
    <w:qFormat/>
    <w:uiPriority w:val="0"/>
    <w:pPr>
      <w:ind w:firstLine="0" w:firstLineChars="0"/>
    </w:pPr>
    <w:rPr>
      <w:sz w:val="28"/>
    </w:rPr>
  </w:style>
  <w:style w:type="paragraph" w:customStyle="1" w:styleId="889">
    <w:name w:val="正文2"/>
    <w:basedOn w:val="1"/>
    <w:link w:val="1622"/>
    <w:autoRedefine/>
    <w:qFormat/>
    <w:uiPriority w:val="0"/>
    <w:pPr>
      <w:adjustRightInd w:val="0"/>
      <w:spacing w:line="480" w:lineRule="exact"/>
      <w:ind w:firstLine="0" w:firstLineChars="0"/>
      <w:textAlignment w:val="baseline"/>
    </w:pPr>
    <w:rPr>
      <w:spacing w:val="-2"/>
      <w:kern w:val="0"/>
      <w:sz w:val="28"/>
      <w:szCs w:val="20"/>
    </w:rPr>
  </w:style>
  <w:style w:type="paragraph" w:customStyle="1" w:styleId="890">
    <w:name w:val="标准 Char"/>
    <w:basedOn w:val="1"/>
    <w:autoRedefine/>
    <w:qFormat/>
    <w:uiPriority w:val="0"/>
    <w:pPr>
      <w:adjustRightInd w:val="0"/>
      <w:spacing w:line="480" w:lineRule="exact"/>
      <w:ind w:firstLine="0" w:firstLineChars="0"/>
      <w:textAlignment w:val="baseline"/>
    </w:pPr>
    <w:rPr>
      <w:spacing w:val="-2"/>
      <w:kern w:val="0"/>
      <w:sz w:val="28"/>
      <w:szCs w:val="20"/>
      <w:lang w:val="en-GB"/>
    </w:rPr>
  </w:style>
  <w:style w:type="character" w:customStyle="1" w:styleId="891">
    <w:name w:val="未命名11"/>
    <w:autoRedefine/>
    <w:semiHidden/>
    <w:qFormat/>
    <w:uiPriority w:val="0"/>
    <w:rPr>
      <w:rFonts w:hint="eastAsia" w:ascii="宋体" w:hAnsi="宋体" w:eastAsia="宋体" w:cs="宋体"/>
      <w:kern w:val="2"/>
      <w:sz w:val="18"/>
      <w:szCs w:val="18"/>
      <w:lang w:val="en-US" w:eastAsia="zh-CN" w:bidi="ar-SA"/>
    </w:rPr>
  </w:style>
  <w:style w:type="paragraph" w:customStyle="1" w:styleId="892">
    <w:name w:val="样式 黑体 小四 加粗 行距: 固定值 20 磅1"/>
    <w:basedOn w:val="1"/>
    <w:autoRedefine/>
    <w:qFormat/>
    <w:uiPriority w:val="0"/>
    <w:pPr>
      <w:spacing w:line="400" w:lineRule="exact"/>
      <w:ind w:firstLine="0" w:firstLineChars="0"/>
    </w:pPr>
    <w:rPr>
      <w:rFonts w:ascii="黑体" w:eastAsia="黑体" w:cs="宋体"/>
      <w:b/>
      <w:bCs/>
      <w:sz w:val="28"/>
      <w:szCs w:val="20"/>
    </w:rPr>
  </w:style>
  <w:style w:type="paragraph" w:customStyle="1" w:styleId="893">
    <w:name w:val="我的标题1"/>
    <w:basedOn w:val="1"/>
    <w:autoRedefine/>
    <w:qFormat/>
    <w:uiPriority w:val="0"/>
    <w:pPr>
      <w:spacing w:line="460" w:lineRule="exact"/>
      <w:ind w:firstLine="192" w:firstLineChars="192"/>
      <w:outlineLvl w:val="0"/>
    </w:pPr>
    <w:rPr>
      <w:rFonts w:ascii="黑体" w:eastAsia="黑体"/>
      <w:sz w:val="32"/>
    </w:rPr>
  </w:style>
  <w:style w:type="paragraph" w:customStyle="1" w:styleId="894">
    <w:name w:val="样式 标题 1 + (中文) 黑体 小二 居中 段前: 0 磅 段后: 0 磅 行距: 1.5 倍行距"/>
    <w:basedOn w:val="3"/>
    <w:autoRedefine/>
    <w:qFormat/>
    <w:uiPriority w:val="0"/>
    <w:pPr>
      <w:keepLines/>
      <w:numPr>
        <w:ilvl w:val="0"/>
        <w:numId w:val="0"/>
      </w:numPr>
      <w:tabs>
        <w:tab w:val="clear" w:pos="0"/>
      </w:tabs>
      <w:spacing w:line="360" w:lineRule="auto"/>
    </w:pPr>
    <w:rPr>
      <w:rFonts w:cs="宋体"/>
      <w:bCs/>
      <w:kern w:val="44"/>
      <w:sz w:val="32"/>
      <w:szCs w:val="32"/>
      <w:lang w:val="zh-CN"/>
    </w:rPr>
  </w:style>
  <w:style w:type="paragraph" w:customStyle="1" w:styleId="895">
    <w:name w:val="样式 标题 2标题 21 + Times New Roman 黑色 段前: 0 磅 段后: 0 磅 行距: 单倍行距"/>
    <w:basedOn w:val="4"/>
    <w:autoRedefine/>
    <w:qFormat/>
    <w:uiPriority w:val="0"/>
    <w:pPr>
      <w:numPr>
        <w:ilvl w:val="0"/>
        <w:numId w:val="0"/>
      </w:numPr>
      <w:spacing w:line="240" w:lineRule="auto"/>
    </w:pPr>
    <w:rPr>
      <w:rFonts w:cs="宋体"/>
      <w:color w:val="000000"/>
      <w:sz w:val="30"/>
      <w:lang w:val="zh-CN"/>
    </w:rPr>
  </w:style>
  <w:style w:type="character" w:customStyle="1" w:styleId="896">
    <w:name w:val="unnamed21"/>
    <w:autoRedefine/>
    <w:qFormat/>
    <w:uiPriority w:val="0"/>
    <w:rPr>
      <w:rFonts w:eastAsia="黑体" w:cs="宋体"/>
      <w:color w:val="000000"/>
      <w:kern w:val="2"/>
      <w:sz w:val="21"/>
      <w:szCs w:val="21"/>
      <w:u w:val="none"/>
      <w:lang w:val="en-US" w:eastAsia="zh-CN" w:bidi="ar-SA"/>
    </w:rPr>
  </w:style>
  <w:style w:type="paragraph" w:customStyle="1" w:styleId="897">
    <w:name w:val="正文 1"/>
    <w:basedOn w:val="1"/>
    <w:autoRedefine/>
    <w:qFormat/>
    <w:uiPriority w:val="0"/>
    <w:pPr>
      <w:spacing w:line="480" w:lineRule="exact"/>
      <w:ind w:firstLine="567" w:firstLineChars="0"/>
    </w:pPr>
    <w:rPr>
      <w:rFonts w:ascii="幼圆" w:eastAsia="幼圆"/>
      <w:sz w:val="28"/>
      <w:szCs w:val="20"/>
    </w:rPr>
  </w:style>
  <w:style w:type="paragraph" w:customStyle="1" w:styleId="898">
    <w:name w:val="正文 11"/>
    <w:basedOn w:val="1"/>
    <w:autoRedefine/>
    <w:semiHidden/>
    <w:qFormat/>
    <w:uiPriority w:val="0"/>
    <w:pPr>
      <w:spacing w:line="500" w:lineRule="exact"/>
      <w:ind w:firstLine="567" w:firstLineChars="0"/>
    </w:pPr>
    <w:rPr>
      <w:rFonts w:ascii="幼圆" w:eastAsia="幼圆"/>
      <w:sz w:val="28"/>
      <w:szCs w:val="20"/>
    </w:rPr>
  </w:style>
  <w:style w:type="paragraph" w:customStyle="1" w:styleId="899">
    <w:name w:val="文章正文"/>
    <w:basedOn w:val="1"/>
    <w:link w:val="900"/>
    <w:autoRedefine/>
    <w:qFormat/>
    <w:uiPriority w:val="0"/>
    <w:pPr>
      <w:spacing w:before="156" w:beforeLines="50" w:after="156" w:afterLines="50" w:line="360" w:lineRule="auto"/>
      <w:ind w:firstLine="480"/>
    </w:pPr>
    <w:rPr>
      <w:rFonts w:ascii="宋体" w:hAnsi="宋体"/>
    </w:rPr>
  </w:style>
  <w:style w:type="character" w:customStyle="1" w:styleId="900">
    <w:name w:val="文章正文 Char"/>
    <w:link w:val="899"/>
    <w:autoRedefine/>
    <w:qFormat/>
    <w:uiPriority w:val="0"/>
    <w:rPr>
      <w:rFonts w:ascii="宋体" w:hAnsi="宋体"/>
      <w:kern w:val="2"/>
      <w:sz w:val="24"/>
      <w:szCs w:val="24"/>
    </w:rPr>
  </w:style>
  <w:style w:type="paragraph" w:customStyle="1" w:styleId="901">
    <w:name w:val="样式 正文文本缩进 3 + 小四 段前: 6 磅 段后: 6 磅 行距: 1.5 倍行距"/>
    <w:basedOn w:val="70"/>
    <w:autoRedefine/>
    <w:qFormat/>
    <w:uiPriority w:val="0"/>
    <w:pPr>
      <w:adjustRightInd w:val="0"/>
      <w:snapToGrid w:val="0"/>
      <w:spacing w:before="120" w:after="120" w:line="360" w:lineRule="auto"/>
      <w:ind w:firstLine="480" w:firstLineChars="200"/>
    </w:pPr>
    <w:rPr>
      <w:rFonts w:ascii="Times New Roman" w:cs="宋体"/>
      <w:szCs w:val="20"/>
    </w:rPr>
  </w:style>
  <w:style w:type="paragraph" w:customStyle="1" w:styleId="902">
    <w:name w:val="样式 标题 2标题 21标题 121H2SeHead wsa2标题 1.1 + 小三 非加粗 段前: 12.5..."/>
    <w:basedOn w:val="4"/>
    <w:autoRedefine/>
    <w:qFormat/>
    <w:uiPriority w:val="0"/>
    <w:pPr>
      <w:numPr>
        <w:numId w:val="0"/>
      </w:numPr>
      <w:tabs>
        <w:tab w:val="left" w:pos="238"/>
      </w:tabs>
      <w:spacing w:before="120" w:line="415" w:lineRule="auto"/>
      <w:ind w:left="238"/>
    </w:pPr>
    <w:rPr>
      <w:rFonts w:cs="宋体"/>
      <w:b w:val="0"/>
      <w:bCs w:val="0"/>
      <w:sz w:val="30"/>
      <w:szCs w:val="20"/>
      <w:lang w:val="zh-CN"/>
    </w:rPr>
  </w:style>
  <w:style w:type="paragraph" w:customStyle="1" w:styleId="903">
    <w:name w:val="样式 首行缩进:  2 字符"/>
    <w:basedOn w:val="1"/>
    <w:link w:val="1852"/>
    <w:autoRedefine/>
    <w:qFormat/>
    <w:uiPriority w:val="0"/>
    <w:pPr>
      <w:spacing w:line="360" w:lineRule="auto"/>
      <w:ind w:firstLine="480"/>
    </w:pPr>
    <w:rPr>
      <w:rFonts w:ascii="宋体" w:hAnsi="宋体"/>
      <w:color w:val="FF00FF"/>
    </w:rPr>
  </w:style>
  <w:style w:type="paragraph" w:customStyle="1" w:styleId="904">
    <w:name w:val="4"/>
    <w:basedOn w:val="1"/>
    <w:autoRedefine/>
    <w:qFormat/>
    <w:uiPriority w:val="0"/>
    <w:pPr>
      <w:ind w:firstLine="0" w:firstLineChars="0"/>
    </w:pPr>
    <w:rPr>
      <w:rFonts w:ascii="宋体"/>
      <w:bCs/>
      <w:sz w:val="28"/>
      <w:szCs w:val="20"/>
    </w:rPr>
  </w:style>
  <w:style w:type="paragraph" w:customStyle="1" w:styleId="905">
    <w:name w:val="5"/>
    <w:basedOn w:val="1"/>
    <w:next w:val="45"/>
    <w:link w:val="2538"/>
    <w:autoRedefine/>
    <w:qFormat/>
    <w:uiPriority w:val="99"/>
    <w:pPr>
      <w:ind w:firstLine="0" w:firstLineChars="0"/>
    </w:pPr>
    <w:rPr>
      <w:rFonts w:ascii="宋体" w:hAnsi="Courier New"/>
      <w:sz w:val="28"/>
      <w:szCs w:val="20"/>
    </w:rPr>
  </w:style>
  <w:style w:type="paragraph" w:customStyle="1" w:styleId="906">
    <w:name w:val="样式 (符号) 宋体 首行缩进:  0.93 厘米 段前: 6 磅 段后: 6 磅 行距: 固定值 18 磅1"/>
    <w:basedOn w:val="1"/>
    <w:autoRedefine/>
    <w:qFormat/>
    <w:uiPriority w:val="0"/>
    <w:pPr>
      <w:spacing w:before="160" w:after="160" w:line="320" w:lineRule="exact"/>
      <w:ind w:firstLine="527" w:firstLineChars="0"/>
    </w:pPr>
    <w:rPr>
      <w:rFonts w:hAnsi="宋体"/>
      <w:szCs w:val="20"/>
    </w:rPr>
  </w:style>
  <w:style w:type="paragraph" w:customStyle="1" w:styleId="907">
    <w:name w:val="正文21"/>
    <w:basedOn w:val="1"/>
    <w:link w:val="1081"/>
    <w:autoRedefine/>
    <w:qFormat/>
    <w:uiPriority w:val="99"/>
    <w:pPr>
      <w:widowControl/>
      <w:spacing w:before="100" w:beforeAutospacing="1" w:after="100" w:afterAutospacing="1"/>
    </w:pPr>
    <w:rPr>
      <w:szCs w:val="21"/>
    </w:rPr>
  </w:style>
  <w:style w:type="character" w:customStyle="1" w:styleId="908">
    <w:name w:val="My title 2 Char"/>
    <w:autoRedefine/>
    <w:semiHidden/>
    <w:qFormat/>
    <w:uiPriority w:val="0"/>
    <w:rPr>
      <w:rFonts w:ascii="Arial" w:hAnsi="Arial" w:eastAsia="宋体" w:cs="宋体"/>
      <w:b/>
      <w:bCs/>
      <w:kern w:val="2"/>
      <w:sz w:val="30"/>
      <w:szCs w:val="32"/>
      <w:lang w:val="en-US" w:eastAsia="zh-CN" w:bidi="ar-SA"/>
    </w:rPr>
  </w:style>
  <w:style w:type="character" w:customStyle="1" w:styleId="909">
    <w:name w:val="My title 4 Char"/>
    <w:autoRedefine/>
    <w:semiHidden/>
    <w:qFormat/>
    <w:uiPriority w:val="0"/>
    <w:rPr>
      <w:rFonts w:eastAsia="宋体" w:cs="宋体"/>
      <w:b/>
      <w:bCs/>
      <w:kern w:val="2"/>
      <w:sz w:val="24"/>
      <w:szCs w:val="32"/>
      <w:lang w:val="en-US" w:eastAsia="zh-CN" w:bidi="ar-SA"/>
    </w:rPr>
  </w:style>
  <w:style w:type="paragraph" w:customStyle="1" w:styleId="910">
    <w:name w:val="居中+ 三号"/>
    <w:basedOn w:val="911"/>
    <w:autoRedefine/>
    <w:qFormat/>
    <w:uiPriority w:val="0"/>
    <w:rPr>
      <w:bCs/>
      <w:sz w:val="32"/>
    </w:rPr>
  </w:style>
  <w:style w:type="paragraph" w:customStyle="1" w:styleId="911">
    <w:name w:val="居中+小四"/>
    <w:basedOn w:val="1"/>
    <w:autoRedefine/>
    <w:semiHidden/>
    <w:qFormat/>
    <w:uiPriority w:val="0"/>
    <w:pPr>
      <w:ind w:firstLine="0" w:firstLineChars="0"/>
      <w:jc w:val="center"/>
    </w:pPr>
    <w:rPr>
      <w:b/>
      <w:sz w:val="30"/>
      <w:szCs w:val="30"/>
    </w:rPr>
  </w:style>
  <w:style w:type="paragraph" w:customStyle="1" w:styleId="912">
    <w:name w:val="my table"/>
    <w:basedOn w:val="1"/>
    <w:autoRedefine/>
    <w:qFormat/>
    <w:locked/>
    <w:uiPriority w:val="0"/>
    <w:pPr>
      <w:widowControl/>
      <w:snapToGrid w:val="0"/>
      <w:spacing w:line="240" w:lineRule="exact"/>
      <w:ind w:firstLine="0" w:firstLineChars="0"/>
    </w:pPr>
    <w:rPr>
      <w:rFonts w:ascii="宋体" w:hAnsi="宋体"/>
      <w:sz w:val="21"/>
      <w:szCs w:val="20"/>
    </w:rPr>
  </w:style>
  <w:style w:type="paragraph" w:customStyle="1" w:styleId="913">
    <w:name w:val="my table header"/>
    <w:basedOn w:val="45"/>
    <w:autoRedefine/>
    <w:qFormat/>
    <w:locked/>
    <w:uiPriority w:val="0"/>
    <w:pPr>
      <w:adjustRightInd/>
      <w:spacing w:line="500" w:lineRule="exact"/>
      <w:textAlignment w:val="auto"/>
      <w:outlineLvl w:val="0"/>
    </w:pPr>
    <w:rPr>
      <w:rFonts w:ascii="Times New Roman" w:hAnsi="Times New Roman"/>
      <w:b/>
      <w:bCs/>
      <w:color w:val="000000"/>
      <w:kern w:val="2"/>
      <w:sz w:val="24"/>
    </w:rPr>
  </w:style>
  <w:style w:type="paragraph" w:customStyle="1" w:styleId="914">
    <w:name w:val="样式 正文 + 首行缩进:  2 字符 + 行距: 1.5 倍行距"/>
    <w:basedOn w:val="838"/>
    <w:autoRedefine/>
    <w:semiHidden/>
    <w:qFormat/>
    <w:uiPriority w:val="0"/>
    <w:pPr>
      <w:spacing w:line="480" w:lineRule="exact"/>
      <w:ind w:firstLine="200"/>
    </w:pPr>
    <w:rPr>
      <w:sz w:val="28"/>
    </w:rPr>
  </w:style>
  <w:style w:type="paragraph" w:customStyle="1" w:styleId="915">
    <w:name w:val="样式 宋体 四号 行距: 1.5 倍行距"/>
    <w:basedOn w:val="1"/>
    <w:autoRedefine/>
    <w:semiHidden/>
    <w:qFormat/>
    <w:uiPriority w:val="0"/>
    <w:pPr>
      <w:spacing w:line="480" w:lineRule="exact"/>
    </w:pPr>
    <w:rPr>
      <w:rFonts w:ascii="宋体" w:hAnsi="宋体" w:cs="宋体"/>
      <w:sz w:val="28"/>
      <w:szCs w:val="20"/>
    </w:rPr>
  </w:style>
  <w:style w:type="paragraph" w:customStyle="1" w:styleId="916">
    <w:name w:val="样式 正文 + 首行缩进:  2 字符 + 宋体 四号"/>
    <w:basedOn w:val="838"/>
    <w:autoRedefine/>
    <w:semiHidden/>
    <w:qFormat/>
    <w:uiPriority w:val="0"/>
    <w:pPr>
      <w:spacing w:line="240" w:lineRule="auto"/>
    </w:pPr>
    <w:rPr>
      <w:rFonts w:ascii="宋体" w:hAnsi="宋体"/>
      <w:sz w:val="28"/>
    </w:rPr>
  </w:style>
  <w:style w:type="character" w:customStyle="1" w:styleId="917">
    <w:name w:val="样式 正文 + 首行缩进:  2 字符 + 宋体 四号 Char"/>
    <w:autoRedefine/>
    <w:semiHidden/>
    <w:qFormat/>
    <w:uiPriority w:val="0"/>
    <w:rPr>
      <w:rFonts w:ascii="宋体" w:hAnsi="宋体" w:eastAsia="宋体" w:cs="宋体"/>
      <w:kern w:val="2"/>
      <w:sz w:val="28"/>
      <w:szCs w:val="32"/>
      <w:lang w:val="en-US" w:eastAsia="zh-CN" w:bidi="ar-SA"/>
    </w:rPr>
  </w:style>
  <w:style w:type="paragraph" w:customStyle="1" w:styleId="918">
    <w:name w:val="样式 正文 + 首行缩进:  2 字符 + 首行缩进:  2 字符 行距: 固定值 24 磅"/>
    <w:basedOn w:val="1"/>
    <w:autoRedefine/>
    <w:semiHidden/>
    <w:qFormat/>
    <w:uiPriority w:val="0"/>
    <w:pPr>
      <w:spacing w:line="480" w:lineRule="exact"/>
      <w:ind w:firstLine="560" w:firstLineChars="0"/>
    </w:pPr>
    <w:rPr>
      <w:sz w:val="21"/>
    </w:rPr>
  </w:style>
  <w:style w:type="character" w:customStyle="1" w:styleId="919">
    <w:name w:val="样式 小四 加粗"/>
    <w:autoRedefine/>
    <w:qFormat/>
    <w:uiPriority w:val="0"/>
    <w:rPr>
      <w:rFonts w:eastAsia="黑体" w:cs="宋体"/>
      <w:b/>
      <w:bCs/>
      <w:kern w:val="2"/>
      <w:sz w:val="24"/>
      <w:szCs w:val="32"/>
      <w:lang w:val="en-US" w:eastAsia="zh-CN" w:bidi="ar-SA"/>
    </w:rPr>
  </w:style>
  <w:style w:type="paragraph" w:customStyle="1" w:styleId="920">
    <w:name w:val="表——索引"/>
    <w:basedOn w:val="1"/>
    <w:autoRedefine/>
    <w:semiHidden/>
    <w:qFormat/>
    <w:uiPriority w:val="0"/>
    <w:pPr>
      <w:widowControl/>
      <w:spacing w:line="360" w:lineRule="auto"/>
      <w:ind w:firstLine="0" w:firstLineChars="0"/>
      <w:jc w:val="center"/>
    </w:pPr>
    <w:rPr>
      <w:rFonts w:ascii="宋体" w:hAnsi="宋体"/>
      <w:color w:val="000000"/>
    </w:rPr>
  </w:style>
  <w:style w:type="paragraph" w:customStyle="1" w:styleId="921">
    <w:name w:val="图——索引"/>
    <w:basedOn w:val="1"/>
    <w:autoRedefine/>
    <w:semiHidden/>
    <w:qFormat/>
    <w:uiPriority w:val="0"/>
    <w:pPr>
      <w:widowControl/>
      <w:tabs>
        <w:tab w:val="left" w:pos="0"/>
      </w:tabs>
      <w:spacing w:line="360" w:lineRule="auto"/>
      <w:ind w:firstLine="0" w:firstLineChars="0"/>
      <w:jc w:val="center"/>
    </w:pPr>
    <w:rPr>
      <w:rFonts w:ascii="宋体" w:hAnsi="宋体"/>
      <w:color w:val="000000"/>
    </w:rPr>
  </w:style>
  <w:style w:type="paragraph" w:customStyle="1" w:styleId="922">
    <w:name w:val="三级标题"/>
    <w:basedOn w:val="5"/>
    <w:link w:val="923"/>
    <w:autoRedefine/>
    <w:qFormat/>
    <w:uiPriority w:val="0"/>
    <w:pPr>
      <w:numPr>
        <w:numId w:val="0"/>
      </w:numPr>
      <w:tabs>
        <w:tab w:val="left" w:pos="720"/>
      </w:tabs>
      <w:spacing w:before="156" w:beforeLines="50" w:after="156" w:afterLines="50" w:line="360" w:lineRule="auto"/>
    </w:pPr>
    <w:rPr>
      <w:rFonts w:ascii="宋体" w:hAnsi="宋体" w:eastAsia="宋体" w:cs="Arial Unicode MS"/>
      <w:bCs w:val="0"/>
      <w:sz w:val="24"/>
      <w:szCs w:val="24"/>
    </w:rPr>
  </w:style>
  <w:style w:type="character" w:customStyle="1" w:styleId="923">
    <w:name w:val="三级标题 Char"/>
    <w:link w:val="922"/>
    <w:autoRedefine/>
    <w:qFormat/>
    <w:uiPriority w:val="0"/>
    <w:rPr>
      <w:rFonts w:ascii="宋体" w:hAnsi="宋体" w:cs="Arial Unicode MS"/>
      <w:b/>
      <w:kern w:val="2"/>
      <w:sz w:val="24"/>
      <w:szCs w:val="24"/>
    </w:rPr>
  </w:style>
  <w:style w:type="paragraph" w:customStyle="1" w:styleId="924">
    <w:name w:val="自动标题3级"/>
    <w:basedOn w:val="922"/>
    <w:autoRedefine/>
    <w:qFormat/>
    <w:uiPriority w:val="0"/>
    <w:pPr>
      <w:spacing w:before="120" w:after="120"/>
    </w:pPr>
    <w:rPr>
      <w:color w:val="000000"/>
    </w:rPr>
  </w:style>
  <w:style w:type="paragraph" w:customStyle="1" w:styleId="925">
    <w:name w:val="自动标题2"/>
    <w:basedOn w:val="1"/>
    <w:link w:val="926"/>
    <w:autoRedefine/>
    <w:qFormat/>
    <w:uiPriority w:val="0"/>
    <w:pPr>
      <w:keepNext/>
      <w:keepLines/>
      <w:tabs>
        <w:tab w:val="left" w:pos="480"/>
        <w:tab w:val="left" w:pos="1277"/>
      </w:tabs>
      <w:spacing w:before="120" w:beforeLines="50" w:after="120" w:afterLines="50" w:line="360" w:lineRule="auto"/>
      <w:ind w:left="1277" w:hanging="420" w:firstLineChars="0"/>
      <w:outlineLvl w:val="1"/>
    </w:pPr>
    <w:rPr>
      <w:rFonts w:ascii="黑体" w:hAnsi="Arial" w:eastAsia="黑体"/>
      <w:b/>
      <w:bCs/>
      <w:color w:val="000000"/>
      <w:sz w:val="28"/>
      <w:szCs w:val="28"/>
    </w:rPr>
  </w:style>
  <w:style w:type="character" w:customStyle="1" w:styleId="926">
    <w:name w:val="自动标题2 Char"/>
    <w:link w:val="925"/>
    <w:autoRedefine/>
    <w:qFormat/>
    <w:uiPriority w:val="0"/>
    <w:rPr>
      <w:rFonts w:ascii="黑体" w:hAnsi="Arial" w:eastAsia="黑体"/>
      <w:b/>
      <w:bCs/>
      <w:color w:val="000000"/>
      <w:kern w:val="2"/>
      <w:sz w:val="28"/>
      <w:szCs w:val="28"/>
    </w:rPr>
  </w:style>
  <w:style w:type="paragraph" w:customStyle="1" w:styleId="927">
    <w:name w:val="一"/>
    <w:basedOn w:val="1"/>
    <w:autoRedefine/>
    <w:qFormat/>
    <w:uiPriority w:val="0"/>
    <w:pPr>
      <w:widowControl/>
      <w:spacing w:before="100" w:beforeAutospacing="1" w:after="100" w:afterAutospacing="1"/>
      <w:ind w:firstLine="0" w:firstLineChars="0"/>
    </w:pPr>
    <w:rPr>
      <w:b/>
      <w:bCs/>
      <w:kern w:val="0"/>
      <w:szCs w:val="20"/>
    </w:rPr>
  </w:style>
  <w:style w:type="paragraph" w:customStyle="1" w:styleId="928">
    <w:name w:val="自动表格内部"/>
    <w:basedOn w:val="1"/>
    <w:autoRedefine/>
    <w:qFormat/>
    <w:uiPriority w:val="0"/>
    <w:pPr>
      <w:adjustRightInd w:val="0"/>
      <w:snapToGrid w:val="0"/>
      <w:ind w:firstLine="0" w:firstLineChars="0"/>
      <w:jc w:val="center"/>
    </w:pPr>
    <w:rPr>
      <w:sz w:val="21"/>
      <w:szCs w:val="21"/>
    </w:rPr>
  </w:style>
  <w:style w:type="paragraph" w:customStyle="1" w:styleId="929">
    <w:name w:val="样式 标题 2标题 21 + Times New Roman 小三 非加粗 行距: 最小值 24 磅"/>
    <w:basedOn w:val="4"/>
    <w:autoRedefine/>
    <w:qFormat/>
    <w:uiPriority w:val="0"/>
    <w:pPr>
      <w:numPr>
        <w:ilvl w:val="0"/>
        <w:numId w:val="14"/>
      </w:numPr>
      <w:tabs>
        <w:tab w:val="clear" w:pos="425"/>
      </w:tabs>
      <w:spacing w:before="120" w:after="120" w:line="480" w:lineRule="atLeast"/>
      <w:ind w:left="0" w:firstLine="0"/>
    </w:pPr>
    <w:rPr>
      <w:rFonts w:ascii="宋体" w:hAnsi="宋体" w:cs="宋体"/>
      <w:b w:val="0"/>
      <w:bCs w:val="0"/>
      <w:color w:val="000000"/>
      <w:sz w:val="28"/>
      <w:szCs w:val="28"/>
      <w:lang w:val="zh-CN"/>
    </w:rPr>
  </w:style>
  <w:style w:type="paragraph" w:customStyle="1" w:styleId="930">
    <w:name w:val="表头一"/>
    <w:basedOn w:val="1"/>
    <w:next w:val="20"/>
    <w:autoRedefine/>
    <w:semiHidden/>
    <w:qFormat/>
    <w:uiPriority w:val="0"/>
    <w:pPr>
      <w:spacing w:before="50" w:beforeLines="50"/>
      <w:ind w:firstLine="0" w:firstLineChars="0"/>
      <w:jc w:val="center"/>
    </w:pPr>
    <w:rPr>
      <w:b/>
      <w:sz w:val="28"/>
    </w:rPr>
  </w:style>
  <w:style w:type="paragraph" w:customStyle="1" w:styleId="931">
    <w:name w:val="样式 表格编号 + 首行缩进:  2 字符 段前: 0.25 行 段后: 1 行"/>
    <w:basedOn w:val="1"/>
    <w:autoRedefine/>
    <w:semiHidden/>
    <w:qFormat/>
    <w:uiPriority w:val="0"/>
    <w:pPr>
      <w:spacing w:before="25" w:beforeLines="25" w:after="25" w:afterLines="25"/>
    </w:pPr>
    <w:rPr>
      <w:sz w:val="21"/>
      <w:szCs w:val="20"/>
    </w:rPr>
  </w:style>
  <w:style w:type="character" w:customStyle="1" w:styleId="932">
    <w:name w:val="GDCI标题 3 Char Char1"/>
    <w:autoRedefine/>
    <w:semiHidden/>
    <w:qFormat/>
    <w:uiPriority w:val="0"/>
    <w:rPr>
      <w:rFonts w:ascii="宋体" w:hAnsi="宋体" w:eastAsia="宋体" w:cs="宋体"/>
      <w:b/>
      <w:bCs/>
      <w:color w:val="000000"/>
      <w:kern w:val="2"/>
      <w:sz w:val="24"/>
      <w:szCs w:val="28"/>
      <w:lang w:val="en-US" w:eastAsia="zh-CN" w:bidi="ar-SA"/>
    </w:rPr>
  </w:style>
  <w:style w:type="character" w:customStyle="1" w:styleId="933">
    <w:name w:val="GDCI标题 2 Char"/>
    <w:autoRedefine/>
    <w:qFormat/>
    <w:uiPriority w:val="0"/>
    <w:rPr>
      <w:rFonts w:ascii="Arial" w:hAnsi="Arial" w:eastAsia="黑体"/>
      <w:b/>
      <w:bCs/>
      <w:kern w:val="2"/>
      <w:sz w:val="32"/>
      <w:szCs w:val="32"/>
      <w:lang w:val="en-US" w:eastAsia="zh-CN" w:bidi="ar-SA"/>
    </w:rPr>
  </w:style>
  <w:style w:type="character" w:customStyle="1" w:styleId="934">
    <w:name w:val="GDCI标题 1 Char Char"/>
    <w:autoRedefine/>
    <w:semiHidden/>
    <w:qFormat/>
    <w:uiPriority w:val="0"/>
    <w:rPr>
      <w:rFonts w:eastAsia="宋体"/>
      <w:b/>
      <w:bCs/>
      <w:color w:val="000000"/>
      <w:kern w:val="44"/>
      <w:sz w:val="32"/>
      <w:szCs w:val="44"/>
      <w:lang w:val="en-US" w:eastAsia="zh-CN" w:bidi="ar-SA"/>
    </w:rPr>
  </w:style>
  <w:style w:type="paragraph" w:customStyle="1" w:styleId="935">
    <w:name w:val="GDCI题注两端对齐"/>
    <w:basedOn w:val="22"/>
    <w:autoRedefine/>
    <w:semiHidden/>
    <w:qFormat/>
    <w:uiPriority w:val="0"/>
    <w:pPr>
      <w:spacing w:after="0" w:line="240" w:lineRule="auto"/>
      <w:ind w:firstLine="0" w:firstLineChars="0"/>
      <w:jc w:val="both"/>
    </w:pPr>
    <w:rPr>
      <w:rFonts w:eastAsia="宋体" w:cs="Arial"/>
      <w:sz w:val="24"/>
      <w:szCs w:val="24"/>
      <w14:ligatures w14:val="none"/>
    </w:rPr>
  </w:style>
  <w:style w:type="paragraph" w:customStyle="1" w:styleId="936">
    <w:name w:val="GDCI正文"/>
    <w:basedOn w:val="1"/>
    <w:next w:val="1"/>
    <w:autoRedefine/>
    <w:semiHidden/>
    <w:qFormat/>
    <w:uiPriority w:val="0"/>
    <w:pPr>
      <w:adjustRightInd w:val="0"/>
      <w:snapToGrid w:val="0"/>
      <w:spacing w:before="20" w:beforeLines="20" w:after="20" w:afterLines="20" w:line="312" w:lineRule="auto"/>
    </w:pPr>
    <w:rPr>
      <w:rFonts w:cs="宋体"/>
      <w:szCs w:val="20"/>
    </w:rPr>
  </w:style>
  <w:style w:type="paragraph" w:customStyle="1" w:styleId="937">
    <w:name w:val="样式 正文 +"/>
    <w:basedOn w:val="1"/>
    <w:autoRedefine/>
    <w:semiHidden/>
    <w:qFormat/>
    <w:uiPriority w:val="0"/>
    <w:pPr>
      <w:spacing w:line="360" w:lineRule="auto"/>
      <w:ind w:firstLine="480"/>
      <w:jc w:val="left"/>
    </w:pPr>
    <w:rPr>
      <w:rFonts w:cs="宋体"/>
      <w:szCs w:val="20"/>
    </w:rPr>
  </w:style>
  <w:style w:type="paragraph" w:customStyle="1" w:styleId="938">
    <w:name w:val="题注蔡"/>
    <w:basedOn w:val="22"/>
    <w:link w:val="939"/>
    <w:autoRedefine/>
    <w:semiHidden/>
    <w:qFormat/>
    <w:uiPriority w:val="0"/>
    <w:pPr>
      <w:spacing w:after="0" w:line="360" w:lineRule="auto"/>
      <w:ind w:firstLine="0" w:firstLineChars="0"/>
    </w:pPr>
    <w:rPr>
      <w:rFonts w:ascii="Arial" w:hAnsi="Arial" w:eastAsia="宋体" w:cs="宋体"/>
      <w:sz w:val="24"/>
      <w:szCs w:val="20"/>
      <w14:ligatures w14:val="none"/>
    </w:rPr>
  </w:style>
  <w:style w:type="character" w:customStyle="1" w:styleId="939">
    <w:name w:val="题注蔡 Char Char"/>
    <w:link w:val="938"/>
    <w:autoRedefine/>
    <w:semiHidden/>
    <w:qFormat/>
    <w:uiPriority w:val="0"/>
    <w:rPr>
      <w:rFonts w:ascii="Arial" w:hAnsi="Arial" w:cs="宋体"/>
      <w:kern w:val="2"/>
      <w:sz w:val="24"/>
    </w:rPr>
  </w:style>
  <w:style w:type="paragraph" w:customStyle="1" w:styleId="940">
    <w:name w:val="样式 标题03"/>
    <w:basedOn w:val="1"/>
    <w:autoRedefine/>
    <w:semiHidden/>
    <w:qFormat/>
    <w:uiPriority w:val="0"/>
    <w:pPr>
      <w:numPr>
        <w:ilvl w:val="2"/>
        <w:numId w:val="15"/>
      </w:numPr>
      <w:adjustRightInd w:val="0"/>
      <w:snapToGrid w:val="0"/>
      <w:spacing w:before="156" w:beforeLines="50" w:after="156" w:afterLines="50" w:line="288" w:lineRule="auto"/>
      <w:ind w:firstLine="0" w:firstLineChars="0"/>
      <w:outlineLvl w:val="2"/>
    </w:pPr>
    <w:rPr>
      <w:b/>
      <w:color w:val="0000FF"/>
      <w:szCs w:val="20"/>
    </w:rPr>
  </w:style>
  <w:style w:type="paragraph" w:customStyle="1" w:styleId="941">
    <w:name w:val="正文首行缩进:  2 字符 + 首行缩进:  2 字符 段前: 0.5 行 段后: 0.5 行"/>
    <w:basedOn w:val="1"/>
    <w:link w:val="942"/>
    <w:autoRedefine/>
    <w:semiHidden/>
    <w:qFormat/>
    <w:uiPriority w:val="0"/>
    <w:pPr>
      <w:wordWrap w:val="0"/>
      <w:spacing w:before="50" w:beforeLines="50" w:after="50" w:afterLines="50" w:line="500" w:lineRule="exact"/>
      <w:jc w:val="left"/>
    </w:pPr>
    <w:rPr>
      <w:rFonts w:cs="宋体"/>
      <w:szCs w:val="20"/>
    </w:rPr>
  </w:style>
  <w:style w:type="character" w:customStyle="1" w:styleId="942">
    <w:name w:val="正文首行缩进:  2 字符 + 首行缩进:  2 字符 段前: 0.5 行 段后: 0.5 行 Char"/>
    <w:link w:val="941"/>
    <w:autoRedefine/>
    <w:semiHidden/>
    <w:qFormat/>
    <w:uiPriority w:val="0"/>
    <w:rPr>
      <w:rFonts w:cs="宋体"/>
      <w:kern w:val="2"/>
      <w:sz w:val="24"/>
    </w:rPr>
  </w:style>
  <w:style w:type="paragraph" w:customStyle="1" w:styleId="943">
    <w:name w:val="样式 标题 3 + 段前: 0.2 行 段后: 0.2 行"/>
    <w:basedOn w:val="5"/>
    <w:autoRedefine/>
    <w:semiHidden/>
    <w:qFormat/>
    <w:uiPriority w:val="0"/>
    <w:pPr>
      <w:numPr>
        <w:numId w:val="0"/>
      </w:numPr>
      <w:adjustRightInd w:val="0"/>
      <w:snapToGrid w:val="0"/>
      <w:spacing w:before="20" w:beforeLines="20" w:after="20" w:afterLines="20"/>
    </w:pPr>
    <w:rPr>
      <w:rFonts w:ascii="宋体" w:hAnsi="宋体" w:eastAsia="宋体" w:cs="宋体"/>
      <w:color w:val="000000"/>
      <w:sz w:val="24"/>
      <w:szCs w:val="20"/>
      <w:lang w:val="zh-CN"/>
    </w:rPr>
  </w:style>
  <w:style w:type="character" w:customStyle="1" w:styleId="944">
    <w:name w:val="GDCI标题 3 Char Char"/>
    <w:autoRedefine/>
    <w:semiHidden/>
    <w:qFormat/>
    <w:uiPriority w:val="0"/>
    <w:rPr>
      <w:rFonts w:ascii="宋体" w:hAnsi="宋体" w:cs="宋体"/>
      <w:b/>
      <w:bCs/>
      <w:kern w:val="2"/>
      <w:sz w:val="24"/>
      <w:szCs w:val="28"/>
    </w:rPr>
  </w:style>
  <w:style w:type="table" w:customStyle="1" w:styleId="945">
    <w:name w:val="网格型1"/>
    <w:basedOn w:val="88"/>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46">
    <w:name w:val="xl100"/>
    <w:basedOn w:val="1"/>
    <w:autoRedefine/>
    <w:qFormat/>
    <w:uiPriority w:val="0"/>
    <w:pPr>
      <w:widowControl/>
      <w:pBdr>
        <w:left w:val="single" w:color="auto" w:sz="4" w:space="0"/>
        <w:right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47">
    <w:name w:val="xl101"/>
    <w:basedOn w:val="1"/>
    <w:autoRedefine/>
    <w:qFormat/>
    <w:uiPriority w:val="0"/>
    <w:pPr>
      <w:widowControl/>
      <w:pBdr>
        <w:left w:val="single" w:color="auto" w:sz="4" w:space="0"/>
        <w:bottom w:val="single" w:color="auto" w:sz="4" w:space="0"/>
        <w:right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48">
    <w:name w:val="xl102"/>
    <w:basedOn w:val="1"/>
    <w:autoRedefine/>
    <w:qFormat/>
    <w:uiPriority w:val="0"/>
    <w:pPr>
      <w:widowControl/>
      <w:pBdr>
        <w:top w:val="single" w:color="auto" w:sz="4" w:space="0"/>
        <w:left w:val="single" w:color="auto" w:sz="4" w:space="0"/>
        <w:bottom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49">
    <w:name w:val="xl103"/>
    <w:basedOn w:val="1"/>
    <w:autoRedefine/>
    <w:qFormat/>
    <w:uiPriority w:val="0"/>
    <w:pPr>
      <w:widowControl/>
      <w:pBdr>
        <w:top w:val="single" w:color="auto" w:sz="4" w:space="0"/>
        <w:bottom w:val="single" w:color="auto" w:sz="4" w:space="0"/>
        <w:right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50">
    <w:name w:val="xl104"/>
    <w:basedOn w:val="1"/>
    <w:autoRedefine/>
    <w:qFormat/>
    <w:uiPriority w:val="0"/>
    <w:pPr>
      <w:widowControl/>
      <w:pBdr>
        <w:top w:val="single" w:color="auto" w:sz="4" w:space="0"/>
        <w:left w:val="single" w:color="auto" w:sz="4" w:space="0"/>
        <w:right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51">
    <w:name w:val="xl105"/>
    <w:basedOn w:val="1"/>
    <w:autoRedefine/>
    <w:qFormat/>
    <w:uiPriority w:val="0"/>
    <w:pPr>
      <w:widowControl/>
      <w:pBdr>
        <w:left w:val="single" w:color="auto" w:sz="4" w:space="0"/>
        <w:bottom w:val="single" w:color="auto" w:sz="4" w:space="0"/>
        <w:right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52">
    <w:name w:val="xl106"/>
    <w:basedOn w:val="1"/>
    <w:autoRedefine/>
    <w:qFormat/>
    <w:uiPriority w:val="0"/>
    <w:pPr>
      <w:widowControl/>
      <w:pBdr>
        <w:top w:val="single" w:color="auto" w:sz="4" w:space="0"/>
        <w:left w:val="single" w:color="auto" w:sz="4" w:space="0"/>
        <w:bottom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53">
    <w:name w:val="xl107"/>
    <w:basedOn w:val="1"/>
    <w:autoRedefine/>
    <w:qFormat/>
    <w:uiPriority w:val="0"/>
    <w:pPr>
      <w:widowControl/>
      <w:pBdr>
        <w:top w:val="single" w:color="auto" w:sz="4" w:space="0"/>
        <w:bottom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54">
    <w:name w:val="xl108"/>
    <w:basedOn w:val="1"/>
    <w:autoRedefine/>
    <w:qFormat/>
    <w:uiPriority w:val="0"/>
    <w:pPr>
      <w:widowControl/>
      <w:pBdr>
        <w:top w:val="single" w:color="auto" w:sz="4" w:space="0"/>
        <w:bottom w:val="single" w:color="auto" w:sz="4" w:space="0"/>
        <w:right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55">
    <w:name w:val="xl109"/>
    <w:basedOn w:val="1"/>
    <w:autoRedefine/>
    <w:qFormat/>
    <w:uiPriority w:val="0"/>
    <w:pPr>
      <w:widowControl/>
      <w:pBdr>
        <w:top w:val="single" w:color="auto" w:sz="4" w:space="0"/>
        <w:bottom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56">
    <w:name w:val="xl110"/>
    <w:basedOn w:val="1"/>
    <w:autoRedefine/>
    <w:qFormat/>
    <w:uiPriority w:val="0"/>
    <w:pPr>
      <w:widowControl/>
      <w:adjustRightInd w:val="0"/>
      <w:snapToGrid w:val="0"/>
      <w:spacing w:before="100" w:beforeLines="20" w:beforeAutospacing="1" w:after="100" w:afterLines="20" w:afterAutospacing="1" w:line="312" w:lineRule="auto"/>
      <w:ind w:firstLine="0" w:firstLineChars="0"/>
      <w:jc w:val="left"/>
      <w:textAlignment w:val="center"/>
    </w:pPr>
    <w:rPr>
      <w:rFonts w:ascii="宋体" w:hAnsi="宋体" w:cs="宋体"/>
      <w:kern w:val="0"/>
      <w:sz w:val="18"/>
      <w:szCs w:val="18"/>
    </w:rPr>
  </w:style>
  <w:style w:type="paragraph" w:customStyle="1" w:styleId="957">
    <w:name w:val="xl111"/>
    <w:basedOn w:val="1"/>
    <w:autoRedefine/>
    <w:qFormat/>
    <w:uiPriority w:val="0"/>
    <w:pPr>
      <w:widowControl/>
      <w:pBdr>
        <w:top w:val="single" w:color="auto" w:sz="4" w:space="0"/>
        <w:left w:val="single" w:color="auto" w:sz="4" w:space="0"/>
        <w:right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character" w:customStyle="1" w:styleId="958">
    <w:name w:val="style3 Char Char"/>
    <w:autoRedefine/>
    <w:semiHidden/>
    <w:qFormat/>
    <w:uiPriority w:val="0"/>
    <w:rPr>
      <w:rFonts w:eastAsia="宋体"/>
      <w:b/>
      <w:bCs/>
      <w:kern w:val="2"/>
      <w:sz w:val="32"/>
      <w:szCs w:val="32"/>
      <w:lang w:val="en-US" w:eastAsia="zh-CN" w:bidi="ar-SA"/>
    </w:rPr>
  </w:style>
  <w:style w:type="paragraph" w:customStyle="1" w:styleId="959">
    <w:name w:val="正文01"/>
    <w:basedOn w:val="1"/>
    <w:link w:val="960"/>
    <w:autoRedefine/>
    <w:qFormat/>
    <w:uiPriority w:val="0"/>
    <w:pPr>
      <w:adjustRightInd w:val="0"/>
      <w:snapToGrid w:val="0"/>
      <w:spacing w:before="155" w:beforeLines="50" w:after="155" w:afterLines="50" w:line="288" w:lineRule="auto"/>
      <w:ind w:firstLine="560"/>
    </w:pPr>
    <w:rPr>
      <w:rFonts w:hAnsi="Arial"/>
      <w:snapToGrid w:val="0"/>
      <w:szCs w:val="28"/>
    </w:rPr>
  </w:style>
  <w:style w:type="character" w:customStyle="1" w:styleId="960">
    <w:name w:val="正文01 Char"/>
    <w:link w:val="959"/>
    <w:autoRedefine/>
    <w:qFormat/>
    <w:uiPriority w:val="0"/>
    <w:rPr>
      <w:rFonts w:hAnsi="Arial"/>
      <w:snapToGrid w:val="0"/>
      <w:kern w:val="2"/>
      <w:sz w:val="24"/>
      <w:szCs w:val="28"/>
    </w:rPr>
  </w:style>
  <w:style w:type="paragraph" w:customStyle="1" w:styleId="961">
    <w:name w:val="公式图片"/>
    <w:basedOn w:val="1"/>
    <w:autoRedefine/>
    <w:semiHidden/>
    <w:qFormat/>
    <w:uiPriority w:val="0"/>
    <w:pPr>
      <w:adjustRightInd w:val="0"/>
      <w:snapToGrid w:val="0"/>
      <w:spacing w:before="20" w:beforeLines="20" w:after="20" w:afterLines="20"/>
      <w:ind w:firstLine="0" w:firstLineChars="0"/>
      <w:jc w:val="center"/>
    </w:pPr>
    <w:rPr>
      <w:szCs w:val="20"/>
    </w:rPr>
  </w:style>
  <w:style w:type="paragraph" w:customStyle="1" w:styleId="962">
    <w:name w:val="图片公式"/>
    <w:basedOn w:val="4"/>
    <w:autoRedefine/>
    <w:semiHidden/>
    <w:qFormat/>
    <w:uiPriority w:val="0"/>
    <w:pPr>
      <w:keepNext w:val="0"/>
      <w:keepLines w:val="0"/>
      <w:widowControl/>
      <w:numPr>
        <w:ilvl w:val="0"/>
        <w:numId w:val="0"/>
      </w:numPr>
      <w:adjustRightInd w:val="0"/>
      <w:snapToGrid w:val="0"/>
      <w:spacing w:line="240" w:lineRule="auto"/>
      <w:jc w:val="center"/>
      <w:textAlignment w:val="baseline"/>
      <w:outlineLvl w:val="9"/>
    </w:pPr>
    <w:rPr>
      <w:rFonts w:eastAsia="宋体" w:cs="宋体"/>
      <w:b w:val="0"/>
      <w:kern w:val="0"/>
      <w:sz w:val="28"/>
      <w:szCs w:val="28"/>
      <w:lang w:val="zh-CN"/>
    </w:rPr>
  </w:style>
  <w:style w:type="paragraph" w:customStyle="1" w:styleId="963">
    <w:name w:val="三号"/>
    <w:basedOn w:val="1"/>
    <w:autoRedefine/>
    <w:semiHidden/>
    <w:qFormat/>
    <w:uiPriority w:val="0"/>
    <w:pPr>
      <w:adjustRightInd w:val="0"/>
      <w:snapToGrid w:val="0"/>
      <w:spacing w:before="20" w:beforeLines="20" w:after="20" w:afterLines="20" w:line="312" w:lineRule="auto"/>
      <w:ind w:firstLine="0" w:firstLineChars="0"/>
      <w:jc w:val="center"/>
    </w:pPr>
    <w:rPr>
      <w:b/>
      <w:sz w:val="32"/>
      <w:szCs w:val="20"/>
    </w:rPr>
  </w:style>
  <w:style w:type="paragraph" w:customStyle="1" w:styleId="964">
    <w:name w:val="xl99"/>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88" w:lineRule="auto"/>
      <w:ind w:firstLine="0" w:firstLineChars="0"/>
      <w:jc w:val="center"/>
      <w:textAlignment w:val="center"/>
    </w:pPr>
    <w:rPr>
      <w:rFonts w:ascii="宋体" w:hAnsi="宋体" w:cs="宋体"/>
      <w:b/>
      <w:bCs/>
      <w:kern w:val="0"/>
      <w:sz w:val="20"/>
      <w:szCs w:val="20"/>
    </w:rPr>
  </w:style>
  <w:style w:type="paragraph" w:customStyle="1" w:styleId="965">
    <w:name w:val="xl112"/>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88" w:lineRule="auto"/>
      <w:ind w:firstLine="0" w:firstLineChars="0"/>
      <w:jc w:val="center"/>
      <w:textAlignment w:val="center"/>
    </w:pPr>
    <w:rPr>
      <w:rFonts w:ascii="宋体" w:hAnsi="宋体" w:cs="宋体"/>
      <w:b/>
      <w:bCs/>
      <w:kern w:val="0"/>
      <w:sz w:val="20"/>
      <w:szCs w:val="20"/>
    </w:rPr>
  </w:style>
  <w:style w:type="paragraph" w:customStyle="1" w:styleId="966">
    <w:name w:val="xl11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88" w:lineRule="auto"/>
      <w:ind w:firstLine="0" w:firstLineChars="0"/>
      <w:jc w:val="left"/>
      <w:textAlignment w:val="center"/>
    </w:pPr>
    <w:rPr>
      <w:rFonts w:ascii="宋体" w:hAnsi="宋体" w:cs="宋体"/>
      <w:kern w:val="0"/>
      <w:sz w:val="20"/>
      <w:szCs w:val="20"/>
    </w:rPr>
  </w:style>
  <w:style w:type="paragraph" w:customStyle="1" w:styleId="967">
    <w:name w:val="xl11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88" w:lineRule="auto"/>
      <w:ind w:firstLine="0" w:firstLineChars="0"/>
      <w:jc w:val="left"/>
      <w:textAlignment w:val="center"/>
    </w:pPr>
    <w:rPr>
      <w:rFonts w:ascii="宋体" w:hAnsi="宋体" w:cs="宋体"/>
      <w:kern w:val="0"/>
      <w:sz w:val="20"/>
      <w:szCs w:val="20"/>
    </w:rPr>
  </w:style>
  <w:style w:type="paragraph" w:customStyle="1" w:styleId="968">
    <w:name w:val="xl115"/>
    <w:basedOn w:val="1"/>
    <w:autoRedefine/>
    <w:qFormat/>
    <w:uiPriority w:val="0"/>
    <w:pPr>
      <w:widowControl/>
      <w:pBdr>
        <w:bottom w:val="single" w:color="auto" w:sz="4" w:space="0"/>
      </w:pBdr>
      <w:spacing w:before="100" w:beforeAutospacing="1" w:after="100" w:afterAutospacing="1" w:line="288" w:lineRule="auto"/>
      <w:ind w:firstLine="0" w:firstLineChars="0"/>
      <w:jc w:val="left"/>
      <w:textAlignment w:val="center"/>
    </w:pPr>
    <w:rPr>
      <w:rFonts w:ascii="宋体" w:hAnsi="宋体" w:cs="宋体"/>
      <w:kern w:val="0"/>
      <w:sz w:val="20"/>
      <w:szCs w:val="20"/>
    </w:rPr>
  </w:style>
  <w:style w:type="paragraph" w:customStyle="1" w:styleId="969">
    <w:name w:val="xl11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88" w:lineRule="auto"/>
      <w:ind w:firstLine="0" w:firstLineChars="0"/>
      <w:jc w:val="center"/>
      <w:textAlignment w:val="center"/>
    </w:pPr>
    <w:rPr>
      <w:rFonts w:ascii="宋体" w:hAnsi="宋体" w:cs="宋体"/>
      <w:b/>
      <w:bCs/>
      <w:kern w:val="0"/>
      <w:sz w:val="20"/>
      <w:szCs w:val="20"/>
    </w:rPr>
  </w:style>
  <w:style w:type="paragraph" w:customStyle="1" w:styleId="970">
    <w:name w:val="xl117"/>
    <w:basedOn w:val="1"/>
    <w:autoRedefine/>
    <w:qFormat/>
    <w:uiPriority w:val="0"/>
    <w:pPr>
      <w:widowControl/>
      <w:pBdr>
        <w:top w:val="single" w:color="auto" w:sz="4" w:space="0"/>
        <w:bottom w:val="single" w:color="auto" w:sz="4" w:space="0"/>
      </w:pBdr>
      <w:spacing w:before="100" w:beforeAutospacing="1" w:after="100" w:afterAutospacing="1" w:line="288" w:lineRule="auto"/>
      <w:ind w:firstLine="0" w:firstLineChars="0"/>
      <w:jc w:val="center"/>
      <w:textAlignment w:val="center"/>
    </w:pPr>
    <w:rPr>
      <w:rFonts w:ascii="宋体" w:hAnsi="宋体" w:cs="宋体"/>
      <w:b/>
      <w:bCs/>
      <w:kern w:val="0"/>
      <w:sz w:val="20"/>
      <w:szCs w:val="20"/>
    </w:rPr>
  </w:style>
  <w:style w:type="paragraph" w:customStyle="1" w:styleId="971">
    <w:name w:val="xl118"/>
    <w:basedOn w:val="1"/>
    <w:autoRedefine/>
    <w:qFormat/>
    <w:uiPriority w:val="0"/>
    <w:pPr>
      <w:widowControl/>
      <w:spacing w:before="100" w:beforeAutospacing="1" w:after="100" w:afterAutospacing="1" w:line="288" w:lineRule="auto"/>
      <w:ind w:firstLine="0" w:firstLineChars="0"/>
      <w:jc w:val="center"/>
      <w:textAlignment w:val="center"/>
    </w:pPr>
    <w:rPr>
      <w:rFonts w:ascii="宋体" w:hAnsi="宋体" w:cs="宋体"/>
      <w:b/>
      <w:bCs/>
      <w:kern w:val="0"/>
      <w:sz w:val="30"/>
      <w:szCs w:val="30"/>
    </w:rPr>
  </w:style>
  <w:style w:type="paragraph" w:customStyle="1" w:styleId="972">
    <w:name w:val="xl1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88" w:lineRule="auto"/>
      <w:ind w:firstLine="0" w:firstLineChars="0"/>
      <w:jc w:val="center"/>
      <w:textAlignment w:val="center"/>
    </w:pPr>
    <w:rPr>
      <w:rFonts w:ascii="宋体" w:hAnsi="宋体" w:cs="宋体"/>
      <w:b/>
      <w:bCs/>
      <w:kern w:val="0"/>
      <w:sz w:val="22"/>
      <w:szCs w:val="22"/>
    </w:rPr>
  </w:style>
  <w:style w:type="paragraph" w:customStyle="1" w:styleId="973">
    <w:name w:val="样式 样式 小三 + 首行缩进:  2 字符"/>
    <w:basedOn w:val="1"/>
    <w:autoRedefine/>
    <w:semiHidden/>
    <w:qFormat/>
    <w:uiPriority w:val="0"/>
    <w:pPr>
      <w:spacing w:line="288" w:lineRule="auto"/>
      <w:ind w:firstLine="560"/>
    </w:pPr>
    <w:rPr>
      <w:rFonts w:cs="宋体"/>
      <w:szCs w:val="20"/>
    </w:rPr>
  </w:style>
  <w:style w:type="character" w:customStyle="1" w:styleId="974">
    <w:name w:val="样式 小三1"/>
    <w:autoRedefine/>
    <w:semiHidden/>
    <w:qFormat/>
    <w:uiPriority w:val="0"/>
    <w:rPr>
      <w:rFonts w:ascii="Times New Roman" w:hAnsi="Times New Roman" w:eastAsia="宋体"/>
      <w:sz w:val="28"/>
      <w:szCs w:val="28"/>
    </w:rPr>
  </w:style>
  <w:style w:type="paragraph" w:customStyle="1" w:styleId="975">
    <w:name w:val="题注宋体 小四 居中"/>
    <w:basedOn w:val="22"/>
    <w:autoRedefine/>
    <w:semiHidden/>
    <w:qFormat/>
    <w:uiPriority w:val="0"/>
    <w:pPr>
      <w:spacing w:after="0" w:line="240" w:lineRule="auto"/>
      <w:ind w:firstLine="480" w:firstLineChars="0"/>
      <w:jc w:val="both"/>
    </w:pPr>
    <w:rPr>
      <w:rFonts w:eastAsia="宋体"/>
      <w:color w:val="0000FF"/>
      <w:sz w:val="24"/>
      <w:szCs w:val="24"/>
      <w14:ligatures w14:val="none"/>
    </w:rPr>
  </w:style>
  <w:style w:type="paragraph" w:customStyle="1" w:styleId="976">
    <w:name w:val="样式 正文格式 + 首行缩进:  2 字符"/>
    <w:basedOn w:val="1"/>
    <w:autoRedefine/>
    <w:semiHidden/>
    <w:qFormat/>
    <w:uiPriority w:val="0"/>
    <w:pPr>
      <w:widowControl/>
      <w:spacing w:line="360" w:lineRule="auto"/>
      <w:jc w:val="left"/>
    </w:pPr>
    <w:rPr>
      <w:rFonts w:cs="宋体"/>
      <w:szCs w:val="20"/>
    </w:rPr>
  </w:style>
  <w:style w:type="paragraph" w:customStyle="1" w:styleId="977">
    <w:name w:val="样式 样式 样式 正文格式 + 段前: 0.5 行 + 首行缩进:  2 字符 段前: 0.5 行 + 段前: 0.5 行"/>
    <w:basedOn w:val="1"/>
    <w:autoRedefine/>
    <w:semiHidden/>
    <w:qFormat/>
    <w:uiPriority w:val="0"/>
    <w:pPr>
      <w:widowControl/>
      <w:spacing w:line="360" w:lineRule="auto"/>
      <w:jc w:val="left"/>
    </w:pPr>
    <w:rPr>
      <w:rFonts w:cs="宋体"/>
      <w:szCs w:val="20"/>
    </w:rPr>
  </w:style>
  <w:style w:type="paragraph" w:customStyle="1" w:styleId="978">
    <w:name w:val="样式 正文格式 + 首行缩进:  2 字符 行距: 固定值 20 磅"/>
    <w:basedOn w:val="1"/>
    <w:autoRedefine/>
    <w:semiHidden/>
    <w:qFormat/>
    <w:uiPriority w:val="0"/>
    <w:pPr>
      <w:widowControl/>
      <w:spacing w:line="360" w:lineRule="auto"/>
      <w:jc w:val="left"/>
    </w:pPr>
    <w:rPr>
      <w:rFonts w:cs="宋体"/>
      <w:szCs w:val="20"/>
    </w:rPr>
  </w:style>
  <w:style w:type="paragraph" w:customStyle="1" w:styleId="979">
    <w:name w:val="样式 标题02"/>
    <w:basedOn w:val="1"/>
    <w:autoRedefine/>
    <w:semiHidden/>
    <w:qFormat/>
    <w:uiPriority w:val="0"/>
    <w:pPr>
      <w:tabs>
        <w:tab w:val="left" w:pos="720"/>
      </w:tabs>
      <w:adjustRightInd w:val="0"/>
      <w:snapToGrid w:val="0"/>
      <w:spacing w:before="50" w:beforeLines="50" w:after="50" w:afterLines="50" w:line="288" w:lineRule="auto"/>
      <w:ind w:left="720" w:hanging="720" w:firstLineChars="0"/>
      <w:outlineLvl w:val="2"/>
    </w:pPr>
    <w:rPr>
      <w:rFonts w:cs="宋体"/>
      <w:b/>
      <w:bCs/>
      <w:color w:val="000000"/>
      <w:szCs w:val="20"/>
    </w:rPr>
  </w:style>
  <w:style w:type="paragraph" w:customStyle="1" w:styleId="980">
    <w:name w:val="样式 样式 标题02 + 段前: 0.5 行 段后: 0.5 行"/>
    <w:basedOn w:val="979"/>
    <w:autoRedefine/>
    <w:semiHidden/>
    <w:qFormat/>
    <w:uiPriority w:val="0"/>
    <w:pPr>
      <w:outlineLvl w:val="1"/>
    </w:pPr>
  </w:style>
  <w:style w:type="paragraph" w:customStyle="1" w:styleId="981">
    <w:name w:val="样式 标题 2 + 段前: 0.5 行 段后: 0.5 行"/>
    <w:basedOn w:val="4"/>
    <w:autoRedefine/>
    <w:qFormat/>
    <w:uiPriority w:val="0"/>
    <w:pPr>
      <w:keepNext w:val="0"/>
      <w:keepLines w:val="0"/>
      <w:widowControl/>
      <w:numPr>
        <w:ilvl w:val="0"/>
        <w:numId w:val="0"/>
      </w:numPr>
      <w:tabs>
        <w:tab w:val="left" w:pos="1277"/>
      </w:tabs>
      <w:adjustRightInd w:val="0"/>
      <w:spacing w:before="50" w:beforeLines="50" w:after="50" w:afterLines="50" w:line="240" w:lineRule="auto"/>
      <w:ind w:left="1277" w:hanging="420"/>
      <w:jc w:val="left"/>
      <w:textAlignment w:val="baseline"/>
    </w:pPr>
    <w:rPr>
      <w:rFonts w:eastAsia="宋体" w:cs="宋体"/>
      <w:bCs w:val="0"/>
      <w:kern w:val="0"/>
      <w:sz w:val="28"/>
      <w:szCs w:val="20"/>
      <w:lang w:val="zh-CN"/>
    </w:rPr>
  </w:style>
  <w:style w:type="paragraph" w:customStyle="1" w:styleId="982">
    <w:name w:val="样式 样式 标题 2 + 红色"/>
    <w:basedOn w:val="1"/>
    <w:autoRedefine/>
    <w:semiHidden/>
    <w:qFormat/>
    <w:uiPriority w:val="0"/>
    <w:pPr>
      <w:keepNext/>
      <w:keepLines/>
      <w:suppressLineNumbers/>
      <w:tabs>
        <w:tab w:val="left" w:pos="432"/>
      </w:tabs>
      <w:suppressAutoHyphens/>
      <w:autoSpaceDE w:val="0"/>
      <w:autoSpaceDN w:val="0"/>
      <w:adjustRightInd w:val="0"/>
      <w:spacing w:before="77" w:beforeLines="25" w:line="288" w:lineRule="auto"/>
      <w:ind w:firstLine="0" w:firstLineChars="0"/>
      <w:textAlignment w:val="baseline"/>
      <w:outlineLvl w:val="1"/>
    </w:pPr>
    <w:rPr>
      <w:rFonts w:eastAsia="黑体"/>
      <w:b/>
      <w:bCs/>
      <w:kern w:val="0"/>
      <w:sz w:val="32"/>
      <w:szCs w:val="32"/>
    </w:rPr>
  </w:style>
  <w:style w:type="paragraph" w:customStyle="1" w:styleId="983">
    <w:name w:val="正文缩进2字符"/>
    <w:basedOn w:val="1"/>
    <w:autoRedefine/>
    <w:semiHidden/>
    <w:qFormat/>
    <w:uiPriority w:val="0"/>
    <w:pPr>
      <w:spacing w:before="156" w:beforeLines="50" w:after="156" w:afterLines="50" w:line="288" w:lineRule="auto"/>
      <w:ind w:left="7000" w:firstLine="560"/>
    </w:pPr>
  </w:style>
  <w:style w:type="paragraph" w:customStyle="1" w:styleId="984">
    <w:name w:val="样式 行距: 固定值 25 磅"/>
    <w:basedOn w:val="1"/>
    <w:semiHidden/>
    <w:qFormat/>
    <w:uiPriority w:val="0"/>
    <w:pPr>
      <w:spacing w:line="500" w:lineRule="exact"/>
      <w:ind w:firstLine="560"/>
    </w:pPr>
    <w:rPr>
      <w:rFonts w:cs="宋体"/>
      <w:szCs w:val="20"/>
    </w:rPr>
  </w:style>
  <w:style w:type="paragraph" w:customStyle="1" w:styleId="985">
    <w:name w:val="标题02"/>
    <w:basedOn w:val="1"/>
    <w:autoRedefine/>
    <w:qFormat/>
    <w:uiPriority w:val="0"/>
    <w:pPr>
      <w:tabs>
        <w:tab w:val="left" w:pos="720"/>
      </w:tabs>
      <w:adjustRightInd w:val="0"/>
      <w:snapToGrid w:val="0"/>
      <w:spacing w:beforeLines="50" w:afterLines="50" w:line="288" w:lineRule="auto"/>
      <w:ind w:left="720" w:hanging="720" w:firstLineChars="0"/>
      <w:outlineLvl w:val="2"/>
    </w:pPr>
    <w:rPr>
      <w:rFonts w:ascii="Arial" w:hAnsi="Arial" w:cs="Arial"/>
      <w:b/>
      <w:color w:val="000000"/>
      <w:szCs w:val="28"/>
    </w:rPr>
  </w:style>
  <w:style w:type="paragraph" w:customStyle="1" w:styleId="986">
    <w:name w:val="标题03"/>
    <w:basedOn w:val="1"/>
    <w:autoRedefine/>
    <w:semiHidden/>
    <w:qFormat/>
    <w:uiPriority w:val="0"/>
    <w:pPr>
      <w:tabs>
        <w:tab w:val="left" w:pos="1080"/>
      </w:tabs>
      <w:adjustRightInd w:val="0"/>
      <w:snapToGrid w:val="0"/>
      <w:spacing w:before="120" w:beforeLines="50" w:after="120" w:afterLines="50" w:line="288" w:lineRule="auto"/>
      <w:ind w:left="1080" w:hanging="1080" w:firstLineChars="0"/>
    </w:pPr>
    <w:rPr>
      <w:b/>
      <w:color w:val="000000"/>
      <w:szCs w:val="28"/>
    </w:rPr>
  </w:style>
  <w:style w:type="paragraph" w:customStyle="1" w:styleId="987">
    <w:name w:val="标题04"/>
    <w:basedOn w:val="1"/>
    <w:autoRedefine/>
    <w:semiHidden/>
    <w:qFormat/>
    <w:uiPriority w:val="0"/>
    <w:pPr>
      <w:numPr>
        <w:ilvl w:val="0"/>
        <w:numId w:val="16"/>
      </w:numPr>
      <w:tabs>
        <w:tab w:val="left" w:pos="720"/>
        <w:tab w:val="clear" w:pos="1175"/>
      </w:tabs>
      <w:adjustRightInd w:val="0"/>
      <w:snapToGrid w:val="0"/>
      <w:spacing w:before="120" w:beforeLines="50" w:after="120" w:afterLines="50" w:line="288" w:lineRule="auto"/>
      <w:ind w:left="0" w:firstLine="0" w:firstLineChars="0"/>
    </w:pPr>
    <w:rPr>
      <w:rFonts w:ascii="Arial" w:hAnsi="Arial" w:cs="Arial"/>
      <w:b/>
      <w:color w:val="000000"/>
      <w:szCs w:val="28"/>
    </w:rPr>
  </w:style>
  <w:style w:type="paragraph" w:customStyle="1" w:styleId="988">
    <w:name w:val="表头文字"/>
    <w:basedOn w:val="1"/>
    <w:autoRedefine/>
    <w:qFormat/>
    <w:uiPriority w:val="0"/>
    <w:pPr>
      <w:spacing w:line="560" w:lineRule="exact"/>
      <w:ind w:firstLine="0" w:firstLineChars="0"/>
      <w:jc w:val="center"/>
    </w:pPr>
    <w:rPr>
      <w:rFonts w:ascii="宋体" w:hAnsi="宋体"/>
      <w:b/>
      <w:snapToGrid w:val="0"/>
      <w:spacing w:val="-10"/>
      <w:kern w:val="0"/>
      <w:szCs w:val="30"/>
    </w:rPr>
  </w:style>
  <w:style w:type="paragraph" w:customStyle="1" w:styleId="989">
    <w:name w:val="表格文字居中3"/>
    <w:basedOn w:val="1"/>
    <w:autoRedefine/>
    <w:semiHidden/>
    <w:qFormat/>
    <w:uiPriority w:val="0"/>
    <w:pPr>
      <w:adjustRightInd w:val="0"/>
      <w:snapToGrid w:val="0"/>
      <w:spacing w:line="240" w:lineRule="atLeast"/>
      <w:ind w:firstLine="0" w:firstLineChars="0"/>
      <w:jc w:val="center"/>
    </w:pPr>
    <w:rPr>
      <w:szCs w:val="32"/>
    </w:rPr>
  </w:style>
  <w:style w:type="paragraph" w:customStyle="1" w:styleId="990">
    <w:name w:val="样式 标题 3 + 段前: 0.3 行 段后: 0.3 行"/>
    <w:basedOn w:val="5"/>
    <w:autoRedefine/>
    <w:semiHidden/>
    <w:qFormat/>
    <w:uiPriority w:val="0"/>
    <w:pPr>
      <w:numPr>
        <w:ilvl w:val="0"/>
        <w:numId w:val="0"/>
      </w:numPr>
      <w:tabs>
        <w:tab w:val="left" w:pos="1697"/>
      </w:tabs>
      <w:spacing w:before="30" w:beforeLines="30" w:after="30" w:afterLines="30" w:line="500" w:lineRule="exact"/>
      <w:ind w:hanging="420"/>
      <w:jc w:val="left"/>
    </w:pPr>
    <w:rPr>
      <w:rFonts w:eastAsia="宋体" w:cs="宋体"/>
      <w:sz w:val="24"/>
      <w:szCs w:val="20"/>
      <w:lang w:val="zh-CN"/>
    </w:rPr>
  </w:style>
  <w:style w:type="paragraph" w:customStyle="1" w:styleId="991">
    <w:name w:val="01"/>
    <w:basedOn w:val="1"/>
    <w:autoRedefine/>
    <w:semiHidden/>
    <w:qFormat/>
    <w:uiPriority w:val="0"/>
    <w:pPr>
      <w:widowControl/>
      <w:spacing w:before="100" w:beforeAutospacing="1" w:after="100" w:afterAutospacing="1"/>
      <w:ind w:firstLine="0" w:firstLineChars="0"/>
      <w:jc w:val="left"/>
    </w:pPr>
    <w:rPr>
      <w:rFonts w:ascii="宋体" w:hAnsi="宋体" w:cs="宋体"/>
      <w:kern w:val="0"/>
    </w:rPr>
  </w:style>
  <w:style w:type="paragraph" w:customStyle="1" w:styleId="992">
    <w:name w:val="样式 四号"/>
    <w:basedOn w:val="1"/>
    <w:autoRedefine/>
    <w:semiHidden/>
    <w:qFormat/>
    <w:uiPriority w:val="0"/>
    <w:pPr>
      <w:spacing w:line="360" w:lineRule="auto"/>
      <w:ind w:firstLine="150" w:firstLineChars="150"/>
    </w:pPr>
    <w:rPr>
      <w:rFonts w:cs="宋体"/>
      <w:szCs w:val="20"/>
    </w:rPr>
  </w:style>
  <w:style w:type="paragraph" w:customStyle="1" w:styleId="993">
    <w:name w:val="样式 样式 正文格式 + 行距: 固定值 23 磅 + 首行缩进:  2 字符2"/>
    <w:basedOn w:val="1"/>
    <w:autoRedefine/>
    <w:semiHidden/>
    <w:qFormat/>
    <w:uiPriority w:val="0"/>
    <w:pPr>
      <w:widowControl/>
      <w:spacing w:line="360" w:lineRule="auto"/>
      <w:jc w:val="left"/>
    </w:pPr>
    <w:rPr>
      <w:rFonts w:cs="宋体"/>
      <w:szCs w:val="20"/>
    </w:rPr>
  </w:style>
  <w:style w:type="paragraph" w:customStyle="1" w:styleId="994">
    <w:name w:val="文本框"/>
    <w:basedOn w:val="983"/>
    <w:autoRedefine/>
    <w:qFormat/>
    <w:uiPriority w:val="0"/>
    <w:pPr>
      <w:spacing w:before="50" w:after="50" w:line="240" w:lineRule="auto"/>
      <w:ind w:firstLine="200" w:firstLineChars="0"/>
    </w:pPr>
    <w:rPr>
      <w:color w:val="FF0000"/>
      <w:kern w:val="10"/>
    </w:rPr>
  </w:style>
  <w:style w:type="paragraph" w:customStyle="1" w:styleId="995">
    <w:name w:val="文本框1"/>
    <w:basedOn w:val="1"/>
    <w:autoRedefine/>
    <w:semiHidden/>
    <w:qFormat/>
    <w:uiPriority w:val="0"/>
    <w:pPr>
      <w:ind w:firstLine="0" w:firstLineChars="0"/>
      <w:jc w:val="center"/>
    </w:pPr>
    <w:rPr>
      <w:color w:val="FF0000"/>
      <w:sz w:val="21"/>
      <w:szCs w:val="21"/>
    </w:rPr>
  </w:style>
  <w:style w:type="paragraph" w:customStyle="1" w:styleId="996">
    <w:name w:val="题注2"/>
    <w:basedOn w:val="22"/>
    <w:autoRedefine/>
    <w:semiHidden/>
    <w:qFormat/>
    <w:uiPriority w:val="0"/>
    <w:pPr>
      <w:spacing w:after="0" w:line="240" w:lineRule="auto"/>
      <w:ind w:firstLine="0" w:firstLineChars="0"/>
      <w:jc w:val="both"/>
    </w:pPr>
    <w:rPr>
      <w:rFonts w:eastAsia="宋体" w:cs="Arial"/>
      <w:sz w:val="24"/>
      <w:szCs w:val="24"/>
      <w14:ligatures w14:val="none"/>
    </w:rPr>
  </w:style>
  <w:style w:type="paragraph" w:customStyle="1" w:styleId="997">
    <w:name w:val="娜娜正文"/>
    <w:basedOn w:val="1"/>
    <w:link w:val="998"/>
    <w:autoRedefine/>
    <w:semiHidden/>
    <w:qFormat/>
    <w:uiPriority w:val="0"/>
    <w:pPr>
      <w:spacing w:line="400" w:lineRule="exact"/>
    </w:pPr>
  </w:style>
  <w:style w:type="character" w:customStyle="1" w:styleId="998">
    <w:name w:val="娜娜正文 Char"/>
    <w:link w:val="997"/>
    <w:autoRedefine/>
    <w:semiHidden/>
    <w:qFormat/>
    <w:uiPriority w:val="0"/>
    <w:rPr>
      <w:kern w:val="2"/>
      <w:sz w:val="24"/>
      <w:szCs w:val="24"/>
    </w:rPr>
  </w:style>
  <w:style w:type="paragraph" w:customStyle="1" w:styleId="999">
    <w:name w:val="样式 样式 标题 3 + 段前: 0.3 行 段后: 0.3 行 + 段前: 0.3 行 段后: 0.3 行"/>
    <w:basedOn w:val="990"/>
    <w:autoRedefine/>
    <w:semiHidden/>
    <w:qFormat/>
    <w:uiPriority w:val="0"/>
  </w:style>
  <w:style w:type="paragraph" w:customStyle="1" w:styleId="1000">
    <w:name w:val="样式 正文缩进2字符 + (西文) Times New Roman"/>
    <w:basedOn w:val="983"/>
    <w:autoRedefine/>
    <w:semiHidden/>
    <w:qFormat/>
    <w:uiPriority w:val="0"/>
    <w:pPr>
      <w:ind w:firstLine="0" w:firstLineChars="0"/>
    </w:pPr>
    <w:rPr>
      <w:rFonts w:eastAsia="Times New Roman"/>
      <w:color w:val="000000"/>
      <w:kern w:val="10"/>
    </w:rPr>
  </w:style>
  <w:style w:type="paragraph" w:customStyle="1" w:styleId="1001">
    <w:name w:val="MTDisplayEquation"/>
    <w:basedOn w:val="1"/>
    <w:next w:val="1"/>
    <w:autoRedefine/>
    <w:qFormat/>
    <w:uiPriority w:val="0"/>
    <w:pPr>
      <w:tabs>
        <w:tab w:val="center" w:pos="4160"/>
        <w:tab w:val="right" w:pos="8320"/>
      </w:tabs>
      <w:ind w:firstLine="570"/>
    </w:pPr>
    <w:rPr>
      <w:color w:val="0000FF"/>
    </w:rPr>
  </w:style>
  <w:style w:type="paragraph" w:customStyle="1" w:styleId="1002">
    <w:name w:val="列表编号 + 首行缩进:2字符"/>
    <w:basedOn w:val="20"/>
    <w:autoRedefine/>
    <w:semiHidden/>
    <w:qFormat/>
    <w:uiPriority w:val="0"/>
    <w:pPr>
      <w:numPr>
        <w:ilvl w:val="0"/>
        <w:numId w:val="0"/>
      </w:numPr>
      <w:tabs>
        <w:tab w:val="left" w:pos="0"/>
        <w:tab w:val="left" w:pos="1200"/>
      </w:tabs>
      <w:spacing w:before="50" w:beforeLines="50" w:after="50" w:afterLines="50" w:line="500" w:lineRule="exact"/>
      <w:ind w:firstLine="600"/>
      <w:jc w:val="left"/>
    </w:pPr>
    <w:rPr>
      <w:rFonts w:cs="宋体"/>
      <w:szCs w:val="20"/>
    </w:rPr>
  </w:style>
  <w:style w:type="paragraph" w:customStyle="1" w:styleId="1003">
    <w:name w:val="样式 标题 4款标题1.1.1.1 + 段前: 0.2 行 段后: 0.2 行"/>
    <w:basedOn w:val="6"/>
    <w:autoRedefine/>
    <w:semiHidden/>
    <w:qFormat/>
    <w:uiPriority w:val="0"/>
    <w:pPr>
      <w:keepNext w:val="0"/>
      <w:keepLines w:val="0"/>
      <w:numPr>
        <w:ilvl w:val="0"/>
        <w:numId w:val="0"/>
      </w:numPr>
      <w:tabs>
        <w:tab w:val="left" w:pos="2117"/>
      </w:tabs>
      <w:spacing w:before="20" w:beforeLines="20" w:after="20" w:afterLines="20"/>
      <w:ind w:left="2117" w:hanging="420"/>
    </w:pPr>
    <w:rPr>
      <w:rFonts w:cs="宋体"/>
      <w:b w:val="0"/>
      <w:sz w:val="24"/>
      <w:szCs w:val="20"/>
      <w:lang w:val="zh-CN"/>
    </w:rPr>
  </w:style>
  <w:style w:type="paragraph" w:customStyle="1" w:styleId="1004">
    <w:name w:val="样式 编号杨 + 段前: 0.2 行 段后: 0.2 行"/>
    <w:basedOn w:val="358"/>
    <w:autoRedefine/>
    <w:semiHidden/>
    <w:qFormat/>
    <w:uiPriority w:val="0"/>
    <w:pPr>
      <w:ind w:left="360"/>
    </w:pPr>
    <w:rPr>
      <w:rFonts w:cs="宋体"/>
      <w:szCs w:val="20"/>
    </w:rPr>
  </w:style>
  <w:style w:type="paragraph" w:customStyle="1" w:styleId="1005">
    <w:name w:val="样式 样式 编号杨 + 段前: 0.2 行 段后: 0.2 行 + 段前: 0.2 行 段后: 0.2 行"/>
    <w:basedOn w:val="1004"/>
    <w:autoRedefine/>
    <w:semiHidden/>
    <w:qFormat/>
    <w:uiPriority w:val="0"/>
    <w:pPr>
      <w:ind w:firstLine="400"/>
    </w:pPr>
  </w:style>
  <w:style w:type="paragraph" w:customStyle="1" w:styleId="1006">
    <w:name w:val="样式 样式 样式 标题 3 + 段前: 0.3 行 段后: 0.3 行 + 段前: 0.3 行 段后: 0.3 行 + 段前: ...1"/>
    <w:basedOn w:val="999"/>
    <w:autoRedefine/>
    <w:semiHidden/>
    <w:qFormat/>
    <w:uiPriority w:val="0"/>
  </w:style>
  <w:style w:type="character" w:customStyle="1" w:styleId="1007">
    <w:name w:val="正文标准样式 Char"/>
    <w:link w:val="830"/>
    <w:autoRedefine/>
    <w:qFormat/>
    <w:uiPriority w:val="0"/>
    <w:rPr>
      <w:rFonts w:ascii="宋体" w:cs="宋体"/>
      <w:color w:val="000000"/>
      <w:kern w:val="2"/>
      <w:sz w:val="24"/>
      <w:szCs w:val="24"/>
    </w:rPr>
  </w:style>
  <w:style w:type="paragraph" w:customStyle="1" w:styleId="1008">
    <w:name w:val="表标题 Char"/>
    <w:basedOn w:val="1"/>
    <w:autoRedefine/>
    <w:semiHidden/>
    <w:qFormat/>
    <w:uiPriority w:val="0"/>
    <w:pPr>
      <w:widowControl/>
      <w:autoSpaceDE w:val="0"/>
      <w:autoSpaceDN w:val="0"/>
      <w:spacing w:after="120" w:line="312" w:lineRule="auto"/>
      <w:ind w:firstLine="0" w:firstLineChars="0"/>
      <w:jc w:val="center"/>
      <w:textAlignment w:val="bottom"/>
    </w:pPr>
    <w:rPr>
      <w:rFonts w:ascii="宋体"/>
      <w:b/>
    </w:rPr>
  </w:style>
  <w:style w:type="paragraph" w:customStyle="1" w:styleId="1009">
    <w:name w:val="文章"/>
    <w:basedOn w:val="1"/>
    <w:link w:val="2415"/>
    <w:autoRedefine/>
    <w:qFormat/>
    <w:uiPriority w:val="0"/>
    <w:pPr>
      <w:spacing w:before="60" w:after="60" w:line="480" w:lineRule="exact"/>
      <w:ind w:firstLine="488"/>
    </w:pPr>
    <w:rPr>
      <w:rFonts w:ascii="宋体" w:hAnsi="Garamond"/>
      <w:spacing w:val="2"/>
    </w:rPr>
  </w:style>
  <w:style w:type="character" w:customStyle="1" w:styleId="1010">
    <w:name w:val="blank"/>
    <w:autoRedefine/>
    <w:semiHidden/>
    <w:qFormat/>
    <w:uiPriority w:val="0"/>
    <w:rPr>
      <w:rFonts w:eastAsia="黑体" w:cs="宋体"/>
      <w:color w:val="000000"/>
      <w:kern w:val="2"/>
      <w:sz w:val="32"/>
      <w:szCs w:val="32"/>
      <w:lang w:val="en-US" w:eastAsia="zh-CN" w:bidi="ar-SA"/>
    </w:rPr>
  </w:style>
  <w:style w:type="character" w:customStyle="1" w:styleId="1011">
    <w:name w:val="表格 Char Char"/>
    <w:autoRedefine/>
    <w:qFormat/>
    <w:uiPriority w:val="0"/>
    <w:rPr>
      <w:rFonts w:eastAsia="宋体"/>
      <w:spacing w:val="-20"/>
      <w:kern w:val="2"/>
      <w:sz w:val="21"/>
      <w:szCs w:val="21"/>
      <w:lang w:val="en-US" w:eastAsia="zh-CN" w:bidi="ar-SA"/>
    </w:rPr>
  </w:style>
  <w:style w:type="character" w:customStyle="1" w:styleId="1012">
    <w:name w:val="tpc_content"/>
    <w:autoRedefine/>
    <w:semiHidden/>
    <w:qFormat/>
    <w:uiPriority w:val="0"/>
    <w:rPr>
      <w:rFonts w:eastAsia="黑体" w:cs="宋体"/>
      <w:color w:val="000000"/>
      <w:kern w:val="2"/>
      <w:sz w:val="32"/>
      <w:szCs w:val="32"/>
      <w:lang w:val="en-US" w:eastAsia="zh-CN" w:bidi="ar-SA"/>
    </w:rPr>
  </w:style>
  <w:style w:type="paragraph" w:customStyle="1" w:styleId="1013">
    <w:name w:val="正文样式1"/>
    <w:basedOn w:val="1"/>
    <w:link w:val="3037"/>
    <w:autoRedefine/>
    <w:qFormat/>
    <w:uiPriority w:val="0"/>
    <w:pPr>
      <w:adjustRightInd w:val="0"/>
      <w:spacing w:line="480" w:lineRule="atLeast"/>
      <w:ind w:firstLine="567" w:firstLineChars="0"/>
      <w:jc w:val="left"/>
      <w:textAlignment w:val="baseline"/>
    </w:pPr>
    <w:rPr>
      <w:kern w:val="28"/>
      <w:sz w:val="28"/>
      <w:szCs w:val="20"/>
    </w:rPr>
  </w:style>
  <w:style w:type="character" w:customStyle="1" w:styleId="1014">
    <w:name w:val="脚注文本 字符2"/>
    <w:link w:val="67"/>
    <w:autoRedefine/>
    <w:qFormat/>
    <w:uiPriority w:val="0"/>
    <w:rPr>
      <w:kern w:val="2"/>
      <w:sz w:val="18"/>
      <w:szCs w:val="18"/>
    </w:rPr>
  </w:style>
  <w:style w:type="character" w:customStyle="1" w:styleId="1015">
    <w:name w:val="wenzi1"/>
    <w:autoRedefine/>
    <w:semiHidden/>
    <w:qFormat/>
    <w:uiPriority w:val="0"/>
    <w:rPr>
      <w:sz w:val="13"/>
      <w:szCs w:val="13"/>
      <w:u w:val="none"/>
    </w:rPr>
  </w:style>
  <w:style w:type="character" w:customStyle="1" w:styleId="1016">
    <w:name w:val="wenzi"/>
    <w:autoRedefine/>
    <w:semiHidden/>
    <w:qFormat/>
    <w:uiPriority w:val="0"/>
    <w:rPr>
      <w:rFonts w:eastAsia="黑体" w:cs="宋体"/>
      <w:color w:val="000000"/>
      <w:kern w:val="2"/>
      <w:sz w:val="32"/>
      <w:szCs w:val="32"/>
      <w:lang w:val="en-US" w:eastAsia="zh-CN" w:bidi="ar-SA"/>
    </w:rPr>
  </w:style>
  <w:style w:type="character" w:customStyle="1" w:styleId="1017">
    <w:name w:val="textfont1"/>
    <w:autoRedefine/>
    <w:semiHidden/>
    <w:qFormat/>
    <w:uiPriority w:val="0"/>
    <w:rPr>
      <w:rFonts w:hint="default"/>
      <w:color w:val="000000"/>
      <w:sz w:val="22"/>
      <w:szCs w:val="22"/>
    </w:rPr>
  </w:style>
  <w:style w:type="paragraph" w:customStyle="1" w:styleId="1018">
    <w:name w:val="表格中居中文字"/>
    <w:basedOn w:val="1"/>
    <w:autoRedefine/>
    <w:qFormat/>
    <w:uiPriority w:val="0"/>
    <w:pPr>
      <w:spacing w:line="340" w:lineRule="exact"/>
      <w:ind w:firstLine="0" w:firstLineChars="0"/>
      <w:jc w:val="center"/>
    </w:pPr>
    <w:rPr>
      <w:sz w:val="21"/>
    </w:rPr>
  </w:style>
  <w:style w:type="paragraph" w:customStyle="1" w:styleId="1019">
    <w:name w:val="表格左对齐文字"/>
    <w:basedOn w:val="1"/>
    <w:autoRedefine/>
    <w:qFormat/>
    <w:uiPriority w:val="0"/>
    <w:pPr>
      <w:keepLines/>
      <w:spacing w:line="340" w:lineRule="exact"/>
      <w:ind w:firstLine="0" w:firstLineChars="0"/>
      <w:jc w:val="center"/>
    </w:pPr>
    <w:rPr>
      <w:sz w:val="21"/>
    </w:rPr>
  </w:style>
  <w:style w:type="character" w:customStyle="1" w:styleId="1020">
    <w:name w:val="样式 黑色1"/>
    <w:autoRedefine/>
    <w:qFormat/>
    <w:uiPriority w:val="0"/>
    <w:rPr>
      <w:color w:val="000000"/>
    </w:rPr>
  </w:style>
  <w:style w:type="paragraph" w:customStyle="1" w:styleId="1021">
    <w:name w:val="Char Char Char Char Char Char1 Char Char Char1 Char Char Char Char Char Char Char Char Char Char Char Char Char Char Char1 Char"/>
    <w:basedOn w:val="1"/>
    <w:autoRedefine/>
    <w:qFormat/>
    <w:uiPriority w:val="0"/>
    <w:pPr>
      <w:spacing w:line="360" w:lineRule="auto"/>
    </w:pPr>
    <w:rPr>
      <w:rFonts w:ascii="宋体" w:hAnsi="宋体" w:cs="宋体"/>
    </w:rPr>
  </w:style>
  <w:style w:type="paragraph" w:customStyle="1" w:styleId="1022">
    <w:name w:val="Char Char Char Char Char Char1"/>
    <w:basedOn w:val="1"/>
    <w:autoRedefine/>
    <w:qFormat/>
    <w:uiPriority w:val="0"/>
    <w:pPr>
      <w:ind w:firstLine="0" w:firstLineChars="0"/>
    </w:pPr>
    <w:rPr>
      <w:szCs w:val="20"/>
    </w:rPr>
  </w:style>
  <w:style w:type="character" w:customStyle="1" w:styleId="1023">
    <w:name w:val="Char Char8"/>
    <w:autoRedefine/>
    <w:qFormat/>
    <w:uiPriority w:val="0"/>
    <w:rPr>
      <w:rFonts w:eastAsia="宋体"/>
      <w:kern w:val="2"/>
      <w:sz w:val="21"/>
      <w:szCs w:val="24"/>
      <w:lang w:val="en-US" w:eastAsia="zh-CN" w:bidi="ar-SA"/>
    </w:rPr>
  </w:style>
  <w:style w:type="paragraph" w:customStyle="1" w:styleId="1024">
    <w:name w:val="contentarticle"/>
    <w:basedOn w:val="1"/>
    <w:autoRedefine/>
    <w:qFormat/>
    <w:uiPriority w:val="0"/>
    <w:pPr>
      <w:widowControl/>
      <w:spacing w:before="100" w:beforeAutospacing="1" w:after="100" w:afterAutospacing="1"/>
      <w:ind w:firstLine="0" w:firstLineChars="0"/>
      <w:jc w:val="left"/>
    </w:pPr>
    <w:rPr>
      <w:rFonts w:ascii="宋体" w:hAnsi="宋体" w:cs="宋体"/>
      <w:kern w:val="0"/>
      <w:sz w:val="21"/>
      <w:szCs w:val="21"/>
    </w:rPr>
  </w:style>
  <w:style w:type="paragraph" w:customStyle="1" w:styleId="1025">
    <w:name w:val="Char Char Char1 Char Char Char Char"/>
    <w:basedOn w:val="1"/>
    <w:autoRedefine/>
    <w:qFormat/>
    <w:uiPriority w:val="0"/>
    <w:pPr>
      <w:spacing w:line="360" w:lineRule="auto"/>
    </w:pPr>
    <w:rPr>
      <w:rFonts w:ascii="宋体" w:hAnsi="宋体" w:cs="宋体"/>
    </w:rPr>
  </w:style>
  <w:style w:type="paragraph" w:customStyle="1" w:styleId="1026">
    <w:name w:val="Char Char Char Char Char Char Char Char Char Char Char Char Char Char Char Char Char Char Char Char Char Char Char Char Char Char Char Char Char Char Char Char Char Char Char Char"/>
    <w:basedOn w:val="1"/>
    <w:autoRedefine/>
    <w:qFormat/>
    <w:uiPriority w:val="0"/>
    <w:pPr>
      <w:snapToGrid w:val="0"/>
      <w:spacing w:line="440" w:lineRule="atLeast"/>
    </w:pPr>
    <w:rPr>
      <w:sz w:val="21"/>
      <w:szCs w:val="20"/>
    </w:rPr>
  </w:style>
  <w:style w:type="paragraph" w:customStyle="1" w:styleId="1027">
    <w:name w:val="Char Char Char Char Char Char1 Char Char Char1 Char Char Char Char Char Char Char Char Char Char Char Char Char Char Char1 Char Char Char1 Char Char Char Char"/>
    <w:basedOn w:val="1"/>
    <w:autoRedefine/>
    <w:qFormat/>
    <w:uiPriority w:val="0"/>
    <w:pPr>
      <w:spacing w:line="360" w:lineRule="auto"/>
    </w:pPr>
    <w:rPr>
      <w:rFonts w:ascii="宋体" w:hAnsi="宋体" w:cs="宋体"/>
    </w:rPr>
  </w:style>
  <w:style w:type="character" w:customStyle="1" w:styleId="1028">
    <w:name w:val="Char Char16"/>
    <w:autoRedefine/>
    <w:qFormat/>
    <w:uiPriority w:val="0"/>
    <w:rPr>
      <w:rFonts w:ascii="Arial" w:hAnsi="Arial" w:eastAsia="黑体" w:cs="Arial"/>
      <w:b/>
      <w:bCs/>
      <w:kern w:val="2"/>
      <w:sz w:val="24"/>
      <w:szCs w:val="24"/>
      <w:lang w:val="en-US" w:eastAsia="zh-CN" w:bidi="ar-SA"/>
    </w:rPr>
  </w:style>
  <w:style w:type="character" w:customStyle="1" w:styleId="1029">
    <w:name w:val="Char Char17"/>
    <w:autoRedefine/>
    <w:qFormat/>
    <w:uiPriority w:val="0"/>
    <w:rPr>
      <w:rFonts w:ascii="宋体" w:eastAsia="宋体" w:cs="宋体"/>
      <w:b/>
      <w:bCs/>
      <w:kern w:val="2"/>
      <w:sz w:val="28"/>
      <w:szCs w:val="28"/>
      <w:lang w:val="en-US" w:eastAsia="zh-CN" w:bidi="ar-SA"/>
    </w:rPr>
  </w:style>
  <w:style w:type="paragraph" w:customStyle="1" w:styleId="1030">
    <w:name w:val="Char Char3"/>
    <w:basedOn w:val="1"/>
    <w:autoRedefine/>
    <w:qFormat/>
    <w:uiPriority w:val="0"/>
    <w:rPr>
      <w:sz w:val="21"/>
    </w:rPr>
  </w:style>
  <w:style w:type="character" w:customStyle="1" w:styleId="1031">
    <w:name w:val="1.1.1 Char"/>
    <w:autoRedefine/>
    <w:semiHidden/>
    <w:qFormat/>
    <w:uiPriority w:val="0"/>
    <w:rPr>
      <w:rFonts w:ascii="黑体" w:eastAsia="黑体"/>
      <w:b/>
      <w:bCs/>
      <w:color w:val="000000"/>
      <w:kern w:val="2"/>
      <w:sz w:val="24"/>
      <w:szCs w:val="24"/>
      <w:lang w:val="zh-CN" w:eastAsia="zh-CN" w:bidi="ar-SA"/>
    </w:rPr>
  </w:style>
  <w:style w:type="paragraph" w:customStyle="1" w:styleId="1032">
    <w:name w:val="2 字符"/>
    <w:basedOn w:val="6"/>
    <w:link w:val="1033"/>
    <w:autoRedefine/>
    <w:semiHidden/>
    <w:qFormat/>
    <w:uiPriority w:val="0"/>
    <w:pPr>
      <w:keepNext w:val="0"/>
      <w:keepLines w:val="0"/>
      <w:numPr>
        <w:ilvl w:val="0"/>
        <w:numId w:val="0"/>
      </w:numPr>
      <w:autoSpaceDE w:val="0"/>
      <w:autoSpaceDN w:val="0"/>
      <w:adjustRightInd w:val="0"/>
      <w:ind w:firstLine="560" w:firstLineChars="200"/>
      <w:jc w:val="left"/>
      <w:textAlignment w:val="baseline"/>
    </w:pPr>
    <w:rPr>
      <w:rFonts w:ascii="仿宋_GB2312" w:hAnsi="宋体" w:eastAsia="仿宋_GB2312"/>
      <w:lang w:val="zh-CN"/>
    </w:rPr>
  </w:style>
  <w:style w:type="character" w:customStyle="1" w:styleId="1033">
    <w:name w:val="2 字符 Char1"/>
    <w:link w:val="1032"/>
    <w:autoRedefine/>
    <w:semiHidden/>
    <w:qFormat/>
    <w:uiPriority w:val="0"/>
    <w:rPr>
      <w:rFonts w:ascii="仿宋_GB2312" w:hAnsi="宋体" w:eastAsia="仿宋_GB2312"/>
      <w:b/>
      <w:bCs/>
      <w:kern w:val="2"/>
      <w:sz w:val="28"/>
      <w:szCs w:val="28"/>
      <w:lang w:val="zh-CN"/>
    </w:rPr>
  </w:style>
  <w:style w:type="paragraph" w:customStyle="1" w:styleId="1034">
    <w:name w:val="3 Char Char Char Char Char Char Char Char Char Char"/>
    <w:basedOn w:val="1"/>
    <w:autoRedefine/>
    <w:semiHidden/>
    <w:qFormat/>
    <w:uiPriority w:val="0"/>
    <w:pPr>
      <w:snapToGrid w:val="0"/>
      <w:spacing w:line="360" w:lineRule="auto"/>
    </w:pPr>
    <w:rPr>
      <w:rFonts w:eastAsia="仿宋_GB2312"/>
    </w:rPr>
  </w:style>
  <w:style w:type="character" w:customStyle="1" w:styleId="1035">
    <w:name w:val="3dfont"/>
    <w:autoRedefine/>
    <w:qFormat/>
    <w:uiPriority w:val="0"/>
    <w:rPr>
      <w:rFonts w:ascii="宋体" w:hAnsi="宋体" w:eastAsia="宋体" w:cs="宋体"/>
      <w:kern w:val="2"/>
      <w:sz w:val="24"/>
      <w:szCs w:val="24"/>
      <w:lang w:val="en-US" w:eastAsia="zh-CN" w:bidi="ar-SA"/>
    </w:rPr>
  </w:style>
  <w:style w:type="character" w:customStyle="1" w:styleId="1036">
    <w:name w:val="3级标题 Char"/>
    <w:link w:val="817"/>
    <w:autoRedefine/>
    <w:qFormat/>
    <w:uiPriority w:val="0"/>
    <w:rPr>
      <w:b/>
      <w:kern w:val="2"/>
      <w:sz w:val="28"/>
      <w:szCs w:val="24"/>
      <w:lang w:val="zh-CN"/>
    </w:rPr>
  </w:style>
  <w:style w:type="paragraph" w:customStyle="1" w:styleId="1037">
    <w:name w:val="7"/>
    <w:basedOn w:val="1"/>
    <w:next w:val="34"/>
    <w:autoRedefine/>
    <w:qFormat/>
    <w:uiPriority w:val="0"/>
    <w:pPr>
      <w:autoSpaceDE w:val="0"/>
      <w:autoSpaceDN w:val="0"/>
      <w:adjustRightInd w:val="0"/>
      <w:ind w:firstLine="0" w:firstLineChars="0"/>
    </w:pPr>
    <w:rPr>
      <w:color w:val="000000"/>
      <w:sz w:val="18"/>
      <w:szCs w:val="18"/>
      <w:lang w:val="zh-CN"/>
    </w:rPr>
  </w:style>
  <w:style w:type="paragraph" w:customStyle="1" w:styleId="1038">
    <w:name w:val="8 Char Char"/>
    <w:basedOn w:val="1"/>
    <w:link w:val="1039"/>
    <w:autoRedefine/>
    <w:semiHidden/>
    <w:qFormat/>
    <w:uiPriority w:val="0"/>
    <w:pPr>
      <w:spacing w:line="360" w:lineRule="auto"/>
      <w:ind w:firstLine="480"/>
    </w:pPr>
    <w:rPr>
      <w:kern w:val="10"/>
      <w:lang w:val="zh-CN"/>
    </w:rPr>
  </w:style>
  <w:style w:type="character" w:customStyle="1" w:styleId="1039">
    <w:name w:val="8 Char Char Char"/>
    <w:link w:val="1038"/>
    <w:autoRedefine/>
    <w:semiHidden/>
    <w:qFormat/>
    <w:uiPriority w:val="0"/>
    <w:rPr>
      <w:kern w:val="10"/>
      <w:sz w:val="24"/>
      <w:szCs w:val="24"/>
      <w:lang w:val="zh-CN"/>
    </w:rPr>
  </w:style>
  <w:style w:type="paragraph" w:customStyle="1" w:styleId="1040">
    <w:name w:val="8 Char1"/>
    <w:basedOn w:val="1"/>
    <w:link w:val="1041"/>
    <w:autoRedefine/>
    <w:semiHidden/>
    <w:qFormat/>
    <w:uiPriority w:val="0"/>
    <w:pPr>
      <w:spacing w:line="360" w:lineRule="auto"/>
      <w:ind w:firstLine="480"/>
    </w:pPr>
    <w:rPr>
      <w:kern w:val="10"/>
      <w:lang w:val="zh-CN"/>
    </w:rPr>
  </w:style>
  <w:style w:type="character" w:customStyle="1" w:styleId="1041">
    <w:name w:val="8 Char1 Char"/>
    <w:link w:val="1040"/>
    <w:autoRedefine/>
    <w:semiHidden/>
    <w:qFormat/>
    <w:uiPriority w:val="0"/>
    <w:rPr>
      <w:kern w:val="10"/>
      <w:sz w:val="24"/>
      <w:szCs w:val="24"/>
      <w:lang w:val="zh-CN"/>
    </w:rPr>
  </w:style>
  <w:style w:type="paragraph" w:customStyle="1" w:styleId="1042">
    <w:name w:val="9"/>
    <w:basedOn w:val="1"/>
    <w:autoRedefine/>
    <w:qFormat/>
    <w:uiPriority w:val="0"/>
    <w:pPr>
      <w:spacing w:beforeLines="20" w:afterLines="20" w:line="360" w:lineRule="auto"/>
      <w:ind w:firstLine="540" w:firstLineChars="225"/>
    </w:pPr>
    <w:rPr>
      <w:szCs w:val="20"/>
    </w:rPr>
  </w:style>
  <w:style w:type="paragraph" w:customStyle="1" w:styleId="1043">
    <w:name w:val="91"/>
    <w:basedOn w:val="1042"/>
    <w:autoRedefine/>
    <w:semiHidden/>
    <w:qFormat/>
    <w:uiPriority w:val="0"/>
    <w:pPr>
      <w:spacing w:before="62" w:after="62"/>
      <w:ind w:left="1" w:leftChars="-2" w:hanging="5" w:hangingChars="2"/>
    </w:pPr>
  </w:style>
  <w:style w:type="character" w:customStyle="1" w:styleId="1044">
    <w:name w:val="A4"/>
    <w:autoRedefine/>
    <w:semiHidden/>
    <w:qFormat/>
    <w:uiPriority w:val="0"/>
    <w:rPr>
      <w:rFonts w:cs="宋体"/>
      <w:color w:val="000000"/>
      <w:sz w:val="28"/>
      <w:szCs w:val="28"/>
    </w:rPr>
  </w:style>
  <w:style w:type="character" w:customStyle="1" w:styleId="1045">
    <w:name w:val="A8"/>
    <w:autoRedefine/>
    <w:semiHidden/>
    <w:qFormat/>
    <w:uiPriority w:val="0"/>
    <w:rPr>
      <w:rFonts w:cs="宋体"/>
      <w:color w:val="000000"/>
      <w:sz w:val="16"/>
      <w:szCs w:val="16"/>
    </w:rPr>
  </w:style>
  <w:style w:type="character" w:customStyle="1" w:styleId="1046">
    <w:name w:val="apple-converted-space"/>
    <w:autoRedefine/>
    <w:qFormat/>
    <w:uiPriority w:val="0"/>
    <w:rPr>
      <w:rFonts w:eastAsia="宋体"/>
      <w:kern w:val="2"/>
      <w:sz w:val="28"/>
      <w:lang w:val="en-US" w:eastAsia="zh-CN" w:bidi="ar-SA"/>
    </w:rPr>
  </w:style>
  <w:style w:type="paragraph" w:customStyle="1" w:styleId="1047">
    <w:name w:val="biao-2"/>
    <w:basedOn w:val="1"/>
    <w:autoRedefine/>
    <w:semiHidden/>
    <w:qFormat/>
    <w:uiPriority w:val="0"/>
    <w:pPr>
      <w:autoSpaceDE w:val="0"/>
      <w:autoSpaceDN w:val="0"/>
      <w:adjustRightInd w:val="0"/>
      <w:snapToGrid w:val="0"/>
      <w:spacing w:line="360" w:lineRule="exact"/>
      <w:ind w:firstLine="0" w:firstLineChars="0"/>
    </w:pPr>
  </w:style>
  <w:style w:type="character" w:customStyle="1" w:styleId="1048">
    <w:name w:val="black"/>
    <w:autoRedefine/>
    <w:qFormat/>
    <w:uiPriority w:val="0"/>
    <w:rPr>
      <w:rFonts w:ascii="宋体" w:hAnsi="宋体" w:eastAsia="宋体" w:cs="宋体"/>
      <w:kern w:val="2"/>
      <w:sz w:val="24"/>
      <w:szCs w:val="24"/>
      <w:lang w:val="en-US" w:eastAsia="zh-CN" w:bidi="ar-SA"/>
    </w:rPr>
  </w:style>
  <w:style w:type="character" w:customStyle="1" w:styleId="1049">
    <w:name w:val="black121"/>
    <w:autoRedefine/>
    <w:qFormat/>
    <w:uiPriority w:val="0"/>
    <w:rPr>
      <w:rFonts w:ascii="宋体" w:hAnsi="宋体" w:eastAsia="宋体" w:cs="宋体"/>
      <w:color w:val="062158"/>
      <w:kern w:val="2"/>
      <w:sz w:val="18"/>
      <w:szCs w:val="18"/>
      <w:lang w:val="en-US" w:eastAsia="zh-CN" w:bidi="ar-SA"/>
    </w:rPr>
  </w:style>
  <w:style w:type="paragraph" w:customStyle="1" w:styleId="1050">
    <w:name w:val="Body Text Indent1"/>
    <w:basedOn w:val="1"/>
    <w:autoRedefine/>
    <w:semiHidden/>
    <w:qFormat/>
    <w:uiPriority w:val="0"/>
    <w:pPr>
      <w:adjustRightInd w:val="0"/>
      <w:spacing w:line="360" w:lineRule="atLeast"/>
      <w:ind w:left="280" w:firstLine="560" w:firstLineChars="0"/>
      <w:jc w:val="left"/>
      <w:textAlignment w:val="baseline"/>
    </w:pPr>
    <w:rPr>
      <w:kern w:val="0"/>
    </w:rPr>
  </w:style>
  <w:style w:type="paragraph" w:customStyle="1" w:styleId="1051">
    <w:name w:val="Bullet"/>
    <w:basedOn w:val="1"/>
    <w:next w:val="1"/>
    <w:autoRedefine/>
    <w:qFormat/>
    <w:uiPriority w:val="0"/>
    <w:pPr>
      <w:widowControl/>
      <w:suppressLineNumbers/>
      <w:tabs>
        <w:tab w:val="left" w:pos="360"/>
      </w:tabs>
      <w:suppressAutoHyphens/>
      <w:spacing w:after="240"/>
      <w:ind w:left="720" w:hanging="360" w:firstLineChars="0"/>
    </w:pPr>
    <w:rPr>
      <w:kern w:val="0"/>
      <w:sz w:val="23"/>
      <w:szCs w:val="23"/>
      <w:lang w:eastAsia="en-US"/>
    </w:rPr>
  </w:style>
  <w:style w:type="paragraph" w:customStyle="1" w:styleId="1052">
    <w:name w:val="表文YHY"/>
    <w:autoRedefine/>
    <w:qFormat/>
    <w:uiPriority w:val="0"/>
    <w:pPr>
      <w:jc w:val="center"/>
    </w:pPr>
    <w:rPr>
      <w:rFonts w:ascii="Times New Roman" w:hAnsi="Times New Roman" w:eastAsia="宋体" w:cs="Times New Roman"/>
      <w:sz w:val="21"/>
      <w:szCs w:val="21"/>
      <w:lang w:val="en-US" w:eastAsia="zh-CN" w:bidi="ar-SA"/>
    </w:rPr>
  </w:style>
  <w:style w:type="paragraph" w:customStyle="1" w:styleId="1053">
    <w:name w:val="图片名"/>
    <w:basedOn w:val="657"/>
    <w:link w:val="1057"/>
    <w:autoRedefine/>
    <w:qFormat/>
    <w:uiPriority w:val="0"/>
    <w:pPr>
      <w:spacing w:line="360" w:lineRule="auto"/>
    </w:pPr>
    <w:rPr>
      <w:b/>
      <w:lang w:val="zh-CN"/>
    </w:rPr>
  </w:style>
  <w:style w:type="character" w:customStyle="1" w:styleId="1054">
    <w:name w:val="图头 Char"/>
    <w:link w:val="796"/>
    <w:autoRedefine/>
    <w:qFormat/>
    <w:uiPriority w:val="0"/>
    <w:rPr>
      <w:spacing w:val="10"/>
      <w:sz w:val="24"/>
      <w:szCs w:val="24"/>
    </w:rPr>
  </w:style>
  <w:style w:type="paragraph" w:customStyle="1" w:styleId="1055">
    <w:name w:val="lhm的正文样式"/>
    <w:basedOn w:val="34"/>
    <w:next w:val="34"/>
    <w:link w:val="1058"/>
    <w:autoRedefine/>
    <w:qFormat/>
    <w:uiPriority w:val="0"/>
    <w:pPr>
      <w:spacing w:line="360" w:lineRule="auto"/>
      <w:ind w:firstLine="200" w:firstLineChars="200"/>
      <w:jc w:val="both"/>
    </w:pPr>
    <w:rPr>
      <w:rFonts w:eastAsia="仿宋_GB2312"/>
      <w:sz w:val="28"/>
    </w:rPr>
  </w:style>
  <w:style w:type="character" w:customStyle="1" w:styleId="1056">
    <w:name w:val="图名 Char1"/>
    <w:link w:val="657"/>
    <w:autoRedefine/>
    <w:qFormat/>
    <w:uiPriority w:val="0"/>
    <w:rPr>
      <w:kern w:val="2"/>
      <w:sz w:val="24"/>
      <w:szCs w:val="24"/>
    </w:rPr>
  </w:style>
  <w:style w:type="character" w:customStyle="1" w:styleId="1057">
    <w:name w:val="图片名 Char"/>
    <w:link w:val="1053"/>
    <w:autoRedefine/>
    <w:qFormat/>
    <w:uiPriority w:val="0"/>
    <w:rPr>
      <w:b/>
      <w:kern w:val="2"/>
      <w:sz w:val="24"/>
      <w:szCs w:val="24"/>
      <w:lang w:val="zh-CN"/>
    </w:rPr>
  </w:style>
  <w:style w:type="character" w:customStyle="1" w:styleId="1058">
    <w:name w:val="lhm的正文样式 Char"/>
    <w:link w:val="1055"/>
    <w:autoRedefine/>
    <w:qFormat/>
    <w:uiPriority w:val="0"/>
    <w:rPr>
      <w:rFonts w:eastAsia="仿宋_GB2312"/>
      <w:kern w:val="2"/>
      <w:sz w:val="28"/>
      <w:szCs w:val="24"/>
    </w:rPr>
  </w:style>
  <w:style w:type="character" w:customStyle="1" w:styleId="1059">
    <w:name w:val="样式 13.5 磅"/>
    <w:autoRedefine/>
    <w:qFormat/>
    <w:uiPriority w:val="0"/>
    <w:rPr>
      <w:sz w:val="28"/>
    </w:rPr>
  </w:style>
  <w:style w:type="paragraph" w:customStyle="1" w:styleId="1060">
    <w:name w:val="表格"/>
    <w:basedOn w:val="1"/>
    <w:next w:val="1"/>
    <w:link w:val="1061"/>
    <w:autoRedefine/>
    <w:qFormat/>
    <w:uiPriority w:val="0"/>
    <w:pPr>
      <w:autoSpaceDE w:val="0"/>
      <w:autoSpaceDN w:val="0"/>
      <w:adjustRightInd w:val="0"/>
      <w:snapToGrid w:val="0"/>
      <w:ind w:firstLine="0" w:firstLineChars="0"/>
      <w:jc w:val="center"/>
      <w:textAlignment w:val="baseline"/>
    </w:pPr>
    <w:rPr>
      <w:kern w:val="0"/>
      <w:szCs w:val="20"/>
    </w:rPr>
  </w:style>
  <w:style w:type="character" w:customStyle="1" w:styleId="1061">
    <w:name w:val="表格 Char"/>
    <w:link w:val="1060"/>
    <w:autoRedefine/>
    <w:qFormat/>
    <w:uiPriority w:val="0"/>
    <w:rPr>
      <w:sz w:val="24"/>
    </w:rPr>
  </w:style>
  <w:style w:type="character" w:customStyle="1" w:styleId="1062">
    <w:name w:val="4级 Char"/>
    <w:link w:val="1063"/>
    <w:autoRedefine/>
    <w:qFormat/>
    <w:uiPriority w:val="0"/>
    <w:rPr>
      <w:b/>
      <w:kern w:val="2"/>
      <w:sz w:val="24"/>
      <w:szCs w:val="24"/>
    </w:rPr>
  </w:style>
  <w:style w:type="paragraph" w:customStyle="1" w:styleId="1063">
    <w:name w:val="4级"/>
    <w:basedOn w:val="1"/>
    <w:link w:val="1062"/>
    <w:autoRedefine/>
    <w:qFormat/>
    <w:uiPriority w:val="0"/>
    <w:pPr>
      <w:spacing w:line="360" w:lineRule="auto"/>
      <w:ind w:firstLine="0" w:firstLineChars="0"/>
      <w:outlineLvl w:val="3"/>
    </w:pPr>
    <w:rPr>
      <w:b/>
    </w:rPr>
  </w:style>
  <w:style w:type="paragraph" w:customStyle="1" w:styleId="1064">
    <w:name w:val="样式 四号 黑色"/>
    <w:basedOn w:val="1"/>
    <w:link w:val="1065"/>
    <w:autoRedefine/>
    <w:qFormat/>
    <w:uiPriority w:val="0"/>
    <w:pPr>
      <w:spacing w:line="520" w:lineRule="exact"/>
      <w:ind w:firstLine="203" w:firstLineChars="203"/>
    </w:pPr>
    <w:rPr>
      <w:color w:val="000000"/>
      <w:sz w:val="28"/>
      <w:szCs w:val="28"/>
    </w:rPr>
  </w:style>
  <w:style w:type="character" w:customStyle="1" w:styleId="1065">
    <w:name w:val="样式 四号 黑色 Char"/>
    <w:link w:val="1064"/>
    <w:autoRedefine/>
    <w:qFormat/>
    <w:uiPriority w:val="0"/>
    <w:rPr>
      <w:color w:val="000000"/>
      <w:kern w:val="2"/>
      <w:sz w:val="28"/>
      <w:szCs w:val="28"/>
    </w:rPr>
  </w:style>
  <w:style w:type="paragraph" w:customStyle="1" w:styleId="1066">
    <w:name w:val="样式 标题 3 + 宋体 四号 非加粗 段前: 4 磅 段后: 8 磅 行距: 固定值 32 磅"/>
    <w:basedOn w:val="5"/>
    <w:autoRedefine/>
    <w:qFormat/>
    <w:uiPriority w:val="0"/>
    <w:pPr>
      <w:numPr>
        <w:ilvl w:val="0"/>
        <w:numId w:val="0"/>
      </w:numPr>
      <w:spacing w:before="80" w:after="160" w:line="640" w:lineRule="exact"/>
      <w:ind w:firstLine="560" w:firstLineChars="200"/>
    </w:pPr>
    <w:rPr>
      <w:rFonts w:eastAsia="宋体" w:cs="宋体"/>
      <w:bCs w:val="0"/>
      <w:sz w:val="28"/>
      <w:szCs w:val="20"/>
      <w:lang w:val="zh-CN"/>
    </w:rPr>
  </w:style>
  <w:style w:type="character" w:customStyle="1" w:styleId="1067">
    <w:name w:val="样式 (符号) 宋体 四号1"/>
    <w:autoRedefine/>
    <w:qFormat/>
    <w:uiPriority w:val="0"/>
    <w:rPr>
      <w:rFonts w:ascii="Times New Roman" w:hAnsi="Times New Roman" w:eastAsia="宋体"/>
      <w:sz w:val="28"/>
    </w:rPr>
  </w:style>
  <w:style w:type="paragraph" w:customStyle="1" w:styleId="1068">
    <w:name w:val="样式 (符号) 宋体 四号 蓝色"/>
    <w:basedOn w:val="1"/>
    <w:link w:val="1069"/>
    <w:autoRedefine/>
    <w:qFormat/>
    <w:uiPriority w:val="0"/>
    <w:pPr>
      <w:spacing w:line="520" w:lineRule="exact"/>
    </w:pPr>
    <w:rPr>
      <w:rFonts w:hAnsi="宋体"/>
      <w:color w:val="0000FF"/>
      <w:sz w:val="28"/>
      <w:szCs w:val="28"/>
    </w:rPr>
  </w:style>
  <w:style w:type="character" w:customStyle="1" w:styleId="1069">
    <w:name w:val="样式 (符号) 宋体 四号 蓝色 Char"/>
    <w:link w:val="1068"/>
    <w:autoRedefine/>
    <w:qFormat/>
    <w:uiPriority w:val="0"/>
    <w:rPr>
      <w:rFonts w:hAnsi="宋体"/>
      <w:color w:val="0000FF"/>
      <w:kern w:val="2"/>
      <w:sz w:val="28"/>
      <w:szCs w:val="28"/>
    </w:rPr>
  </w:style>
  <w:style w:type="paragraph" w:customStyle="1" w:styleId="1070">
    <w:name w:val="样式 四号 绿色 行距: 固定值 28 磅"/>
    <w:basedOn w:val="1"/>
    <w:autoRedefine/>
    <w:qFormat/>
    <w:uiPriority w:val="0"/>
    <w:pPr>
      <w:spacing w:line="520" w:lineRule="exact"/>
    </w:pPr>
    <w:rPr>
      <w:rFonts w:cs="宋体"/>
      <w:color w:val="008000"/>
      <w:sz w:val="28"/>
      <w:szCs w:val="20"/>
    </w:rPr>
  </w:style>
  <w:style w:type="paragraph" w:customStyle="1" w:styleId="1071">
    <w:name w:val="样式 宋体 四号 绿色 行距: 固定值 28 磅"/>
    <w:basedOn w:val="1"/>
    <w:autoRedefine/>
    <w:qFormat/>
    <w:uiPriority w:val="0"/>
    <w:pPr>
      <w:spacing w:line="520" w:lineRule="exact"/>
    </w:pPr>
    <w:rPr>
      <w:rFonts w:ascii="宋体" w:hAnsi="宋体" w:cs="宋体"/>
      <w:color w:val="008000"/>
      <w:sz w:val="28"/>
      <w:szCs w:val="20"/>
    </w:rPr>
  </w:style>
  <w:style w:type="paragraph" w:customStyle="1" w:styleId="1072">
    <w:name w:val="样式 四号1"/>
    <w:basedOn w:val="1"/>
    <w:link w:val="1073"/>
    <w:autoRedefine/>
    <w:qFormat/>
    <w:uiPriority w:val="0"/>
    <w:pPr>
      <w:spacing w:line="520" w:lineRule="exact"/>
    </w:pPr>
    <w:rPr>
      <w:sz w:val="28"/>
    </w:rPr>
  </w:style>
  <w:style w:type="character" w:customStyle="1" w:styleId="1073">
    <w:name w:val="样式 四号1 Char"/>
    <w:link w:val="1072"/>
    <w:autoRedefine/>
    <w:qFormat/>
    <w:uiPriority w:val="0"/>
    <w:rPr>
      <w:kern w:val="2"/>
      <w:sz w:val="28"/>
      <w:szCs w:val="24"/>
    </w:rPr>
  </w:style>
  <w:style w:type="paragraph" w:customStyle="1" w:styleId="1074">
    <w:name w:val="样式 样式 四号1 + 首行缩进:  2 字符"/>
    <w:basedOn w:val="1072"/>
    <w:autoRedefine/>
    <w:qFormat/>
    <w:uiPriority w:val="0"/>
    <w:rPr>
      <w:rFonts w:cs="宋体"/>
      <w:szCs w:val="20"/>
    </w:rPr>
  </w:style>
  <w:style w:type="paragraph" w:customStyle="1" w:styleId="1075">
    <w:name w:val="样式 四号 蓝色 首行缩进:  1.01 厘米 行距: 固定值 25 磅"/>
    <w:basedOn w:val="1"/>
    <w:autoRedefine/>
    <w:qFormat/>
    <w:uiPriority w:val="0"/>
    <w:pPr>
      <w:spacing w:line="520" w:lineRule="exact"/>
      <w:ind w:firstLine="573" w:firstLineChars="0"/>
    </w:pPr>
    <w:rPr>
      <w:rFonts w:cs="宋体"/>
      <w:color w:val="0000FF"/>
      <w:sz w:val="28"/>
      <w:szCs w:val="20"/>
    </w:rPr>
  </w:style>
  <w:style w:type="character" w:customStyle="1" w:styleId="1076">
    <w:name w:val="标题 1 Char Char"/>
    <w:autoRedefine/>
    <w:qFormat/>
    <w:uiPriority w:val="0"/>
    <w:rPr>
      <w:rFonts w:eastAsia="宋体"/>
      <w:b/>
      <w:bCs/>
      <w:kern w:val="44"/>
      <w:sz w:val="44"/>
      <w:szCs w:val="44"/>
      <w:lang w:val="en-US" w:eastAsia="zh-CN" w:bidi="ar-SA"/>
    </w:rPr>
  </w:style>
  <w:style w:type="paragraph" w:customStyle="1" w:styleId="1077">
    <w:name w:val="样式 (符号) 宋体 四号 蓝色 行距: 固定值 26 磅"/>
    <w:basedOn w:val="1"/>
    <w:autoRedefine/>
    <w:qFormat/>
    <w:uiPriority w:val="0"/>
    <w:pPr>
      <w:spacing w:line="520" w:lineRule="exact"/>
    </w:pPr>
    <w:rPr>
      <w:rFonts w:hAnsi="宋体" w:cs="宋体"/>
      <w:color w:val="0000FF"/>
      <w:sz w:val="28"/>
      <w:szCs w:val="20"/>
    </w:rPr>
  </w:style>
  <w:style w:type="paragraph" w:customStyle="1" w:styleId="1078">
    <w:name w:val="样式 四号 蓝色 行距: 最小值 25 磅"/>
    <w:basedOn w:val="1"/>
    <w:autoRedefine/>
    <w:qFormat/>
    <w:uiPriority w:val="0"/>
    <w:pPr>
      <w:spacing w:line="520" w:lineRule="atLeast"/>
    </w:pPr>
    <w:rPr>
      <w:rFonts w:cs="宋体"/>
      <w:color w:val="0000FF"/>
      <w:sz w:val="28"/>
      <w:szCs w:val="20"/>
    </w:rPr>
  </w:style>
  <w:style w:type="character" w:customStyle="1" w:styleId="1079">
    <w:name w:val="纯文本 Char2"/>
    <w:autoRedefine/>
    <w:qFormat/>
    <w:uiPriority w:val="0"/>
    <w:rPr>
      <w:rFonts w:ascii="宋体" w:hAnsi="Courier New" w:eastAsia="宋体"/>
      <w:kern w:val="2"/>
      <w:sz w:val="21"/>
      <w:lang w:val="en-US" w:eastAsia="zh-CN" w:bidi="ar-SA"/>
    </w:rPr>
  </w:style>
  <w:style w:type="paragraph" w:customStyle="1" w:styleId="1080">
    <w:name w:val="aaa正文"/>
    <w:basedOn w:val="1"/>
    <w:autoRedefine/>
    <w:qFormat/>
    <w:uiPriority w:val="0"/>
    <w:pPr>
      <w:widowControl/>
    </w:pPr>
  </w:style>
  <w:style w:type="character" w:customStyle="1" w:styleId="1081">
    <w:name w:val="正文 Char"/>
    <w:link w:val="907"/>
    <w:autoRedefine/>
    <w:qFormat/>
    <w:uiPriority w:val="99"/>
    <w:rPr>
      <w:kern w:val="2"/>
      <w:sz w:val="24"/>
      <w:szCs w:val="21"/>
    </w:rPr>
  </w:style>
  <w:style w:type="paragraph" w:customStyle="1" w:styleId="1082">
    <w:name w:val="样式 (符号) 宋体 四号 行距: 固定值 26 磅"/>
    <w:basedOn w:val="1"/>
    <w:autoRedefine/>
    <w:qFormat/>
    <w:uiPriority w:val="0"/>
    <w:pPr>
      <w:spacing w:line="520" w:lineRule="exact"/>
    </w:pPr>
    <w:rPr>
      <w:rFonts w:hAnsi="宋体" w:cs="宋体"/>
      <w:sz w:val="28"/>
      <w:szCs w:val="20"/>
    </w:rPr>
  </w:style>
  <w:style w:type="table" w:customStyle="1" w:styleId="1083">
    <w:name w:val="专业型1"/>
    <w:basedOn w:val="88"/>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l2br w:val="nil"/>
          <w:tr2bl w:val="nil"/>
        </w:tcBorders>
        <w:shd w:val="solid" w:color="000000" w:fill="FFFFFF"/>
      </w:tcPr>
    </w:tblStylePr>
  </w:style>
  <w:style w:type="table" w:customStyle="1" w:styleId="1084">
    <w:name w:val="专业型2"/>
    <w:basedOn w:val="88"/>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l2br w:val="nil"/>
          <w:tr2bl w:val="nil"/>
        </w:tcBorders>
        <w:shd w:val="solid" w:color="000000" w:fill="FFFFFF"/>
      </w:tcPr>
    </w:tblStylePr>
  </w:style>
  <w:style w:type="table" w:customStyle="1" w:styleId="1085">
    <w:name w:val="专业型3"/>
    <w:basedOn w:val="88"/>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l2br w:val="nil"/>
          <w:tr2bl w:val="nil"/>
        </w:tcBorders>
        <w:shd w:val="solid" w:color="000000" w:fill="FFFFFF"/>
      </w:tcPr>
    </w:tblStylePr>
  </w:style>
  <w:style w:type="paragraph" w:customStyle="1" w:styleId="1086">
    <w:name w:val="0-shiw-表格"/>
    <w:link w:val="1087"/>
    <w:qFormat/>
    <w:uiPriority w:val="0"/>
    <w:pPr>
      <w:spacing w:line="300" w:lineRule="exact"/>
    </w:pPr>
    <w:rPr>
      <w:rFonts w:ascii="宋体" w:hAnsi="宋体" w:eastAsia="宋体" w:cs="宋体"/>
      <w:kern w:val="2"/>
      <w:sz w:val="24"/>
      <w:szCs w:val="24"/>
      <w:lang w:val="en-US" w:eastAsia="zh-CN" w:bidi="ar-SA"/>
    </w:rPr>
  </w:style>
  <w:style w:type="character" w:customStyle="1" w:styleId="1087">
    <w:name w:val="0-shiw-表格 Char"/>
    <w:link w:val="1086"/>
    <w:autoRedefine/>
    <w:qFormat/>
    <w:uiPriority w:val="0"/>
    <w:rPr>
      <w:rFonts w:ascii="宋体" w:hAnsi="宋体" w:cs="宋体"/>
      <w:kern w:val="2"/>
      <w:sz w:val="24"/>
      <w:szCs w:val="24"/>
    </w:rPr>
  </w:style>
  <w:style w:type="paragraph" w:customStyle="1" w:styleId="1088">
    <w:name w:val="样式 正文文本 + 段前: 0.15 行"/>
    <w:basedOn w:val="34"/>
    <w:autoRedefine/>
    <w:qFormat/>
    <w:uiPriority w:val="0"/>
    <w:pPr>
      <w:adjustRightInd w:val="0"/>
      <w:snapToGrid w:val="0"/>
      <w:spacing w:before="57" w:beforeLines="15" w:after="60" w:line="320" w:lineRule="atLeast"/>
      <w:jc w:val="both"/>
    </w:pPr>
    <w:rPr>
      <w:rFonts w:eastAsia="仿宋" w:cs="宋体"/>
      <w:sz w:val="24"/>
      <w:szCs w:val="20"/>
      <w:lang w:val="zh-CN"/>
    </w:rPr>
  </w:style>
  <w:style w:type="paragraph" w:customStyle="1" w:styleId="1089">
    <w:name w:val="样式 小4居中 +"/>
    <w:basedOn w:val="1"/>
    <w:link w:val="1090"/>
    <w:autoRedefine/>
    <w:qFormat/>
    <w:uiPriority w:val="0"/>
    <w:pPr>
      <w:snapToGrid w:val="0"/>
      <w:spacing w:before="15" w:beforeLines="15" w:after="15" w:afterLines="15" w:line="320" w:lineRule="atLeast"/>
      <w:ind w:firstLine="0" w:firstLineChars="0"/>
      <w:jc w:val="center"/>
    </w:pPr>
    <w:rPr>
      <w:kern w:val="0"/>
    </w:rPr>
  </w:style>
  <w:style w:type="character" w:customStyle="1" w:styleId="1090">
    <w:name w:val="样式 小4居中 + Char"/>
    <w:link w:val="1089"/>
    <w:autoRedefine/>
    <w:qFormat/>
    <w:uiPriority w:val="0"/>
    <w:rPr>
      <w:sz w:val="24"/>
      <w:szCs w:val="24"/>
    </w:rPr>
  </w:style>
  <w:style w:type="paragraph" w:customStyle="1" w:styleId="1091">
    <w:name w:val="0-shiw-正文 4号宋体"/>
    <w:link w:val="1092"/>
    <w:autoRedefine/>
    <w:qFormat/>
    <w:uiPriority w:val="0"/>
    <w:pPr>
      <w:widowControl w:val="0"/>
      <w:adjustRightInd w:val="0"/>
      <w:snapToGrid w:val="0"/>
      <w:spacing w:line="520" w:lineRule="exact"/>
      <w:ind w:firstLine="200" w:firstLineChars="200"/>
      <w:jc w:val="both"/>
    </w:pPr>
    <w:rPr>
      <w:rFonts w:ascii="Times New Roman" w:hAnsi="Times New Roman" w:eastAsia="宋体" w:cs="Times New Roman"/>
      <w:kern w:val="2"/>
      <w:sz w:val="28"/>
      <w:szCs w:val="28"/>
      <w:lang w:val="en-US" w:eastAsia="zh-CN" w:bidi="ar-SA"/>
    </w:rPr>
  </w:style>
  <w:style w:type="character" w:customStyle="1" w:styleId="1092">
    <w:name w:val="0-shiw-正文 4号宋体 Char"/>
    <w:link w:val="1091"/>
    <w:autoRedefine/>
    <w:qFormat/>
    <w:uiPriority w:val="0"/>
    <w:rPr>
      <w:kern w:val="2"/>
      <w:sz w:val="28"/>
      <w:szCs w:val="28"/>
    </w:rPr>
  </w:style>
  <w:style w:type="paragraph" w:customStyle="1" w:styleId="1093">
    <w:name w:val="0-shiw-表格标题"/>
    <w:link w:val="1094"/>
    <w:autoRedefine/>
    <w:qFormat/>
    <w:uiPriority w:val="0"/>
    <w:pPr>
      <w:jc w:val="center"/>
    </w:pPr>
    <w:rPr>
      <w:rFonts w:ascii="宋体" w:hAnsi="宋体" w:eastAsia="宋体" w:cs="宋体"/>
      <w:kern w:val="2"/>
      <w:sz w:val="24"/>
      <w:szCs w:val="24"/>
      <w:lang w:val="en-US" w:eastAsia="zh-CN" w:bidi="ar-SA"/>
    </w:rPr>
  </w:style>
  <w:style w:type="character" w:customStyle="1" w:styleId="1094">
    <w:name w:val="0-shiw-表格标题 Char"/>
    <w:link w:val="1093"/>
    <w:autoRedefine/>
    <w:qFormat/>
    <w:uiPriority w:val="0"/>
    <w:rPr>
      <w:rFonts w:ascii="宋体" w:hAnsi="宋体" w:cs="宋体"/>
      <w:kern w:val="2"/>
      <w:sz w:val="24"/>
      <w:szCs w:val="24"/>
    </w:rPr>
  </w:style>
  <w:style w:type="paragraph" w:customStyle="1" w:styleId="1095">
    <w:name w:val="Char Char Char Char Char Char Char Char Char Char Char Char Char"/>
    <w:basedOn w:val="1"/>
    <w:autoRedefine/>
    <w:qFormat/>
    <w:uiPriority w:val="0"/>
    <w:pPr>
      <w:ind w:firstLine="0" w:firstLineChars="0"/>
    </w:pPr>
    <w:rPr>
      <w:sz w:val="21"/>
      <w:szCs w:val="21"/>
    </w:rPr>
  </w:style>
  <w:style w:type="character" w:customStyle="1" w:styleId="1096">
    <w:name w:val="Char Char19"/>
    <w:autoRedefine/>
    <w:qFormat/>
    <w:uiPriority w:val="0"/>
    <w:rPr>
      <w:rFonts w:ascii="Times New Roman" w:hAnsi="Times New Roman"/>
      <w:kern w:val="2"/>
      <w:sz w:val="24"/>
      <w:szCs w:val="24"/>
    </w:rPr>
  </w:style>
  <w:style w:type="character" w:customStyle="1" w:styleId="1097">
    <w:name w:val="正文缩 Char"/>
    <w:link w:val="1098"/>
    <w:autoRedefine/>
    <w:qFormat/>
    <w:uiPriority w:val="0"/>
    <w:rPr>
      <w:rFonts w:cs="宋体"/>
      <w:b/>
      <w:bCs/>
      <w:color w:val="000000"/>
      <w:kern w:val="2"/>
      <w:sz w:val="24"/>
      <w:szCs w:val="24"/>
    </w:rPr>
  </w:style>
  <w:style w:type="paragraph" w:customStyle="1" w:styleId="1098">
    <w:name w:val="正文缩"/>
    <w:basedOn w:val="1"/>
    <w:link w:val="1097"/>
    <w:autoRedefine/>
    <w:qFormat/>
    <w:uiPriority w:val="0"/>
    <w:rPr>
      <w:rFonts w:cs="宋体"/>
      <w:b/>
      <w:bCs/>
      <w:color w:val="000000"/>
    </w:rPr>
  </w:style>
  <w:style w:type="paragraph" w:customStyle="1" w:styleId="1099">
    <w:name w:val="FHDI插图标题"/>
    <w:basedOn w:val="1"/>
    <w:next w:val="1"/>
    <w:autoRedefine/>
    <w:qFormat/>
    <w:uiPriority w:val="0"/>
    <w:pPr>
      <w:widowControl/>
      <w:snapToGrid w:val="0"/>
      <w:spacing w:before="156" w:beforeLines="50" w:after="156" w:afterLines="50" w:line="288" w:lineRule="auto"/>
      <w:ind w:firstLine="0" w:firstLineChars="0"/>
      <w:jc w:val="center"/>
    </w:pPr>
    <w:rPr>
      <w:rFonts w:ascii="Arial" w:hAnsi="Arial"/>
      <w:kern w:val="0"/>
      <w:sz w:val="28"/>
      <w:szCs w:val="28"/>
    </w:rPr>
  </w:style>
  <w:style w:type="paragraph" w:customStyle="1" w:styleId="1100">
    <w:name w:val="700"/>
    <w:basedOn w:val="1"/>
    <w:autoRedefine/>
    <w:qFormat/>
    <w:uiPriority w:val="0"/>
    <w:pPr>
      <w:snapToGrid w:val="0"/>
      <w:ind w:firstLine="0" w:firstLineChars="0"/>
      <w:jc w:val="center"/>
    </w:pPr>
    <w:rPr>
      <w:rFonts w:hint="eastAsia" w:ascii="华文中宋" w:hAnsi="华文中宋" w:eastAsia="华文中宋"/>
      <w:kern w:val="0"/>
      <w:sz w:val="21"/>
      <w:szCs w:val="22"/>
      <w:lang w:val="zh-CN"/>
    </w:rPr>
  </w:style>
  <w:style w:type="character" w:customStyle="1" w:styleId="1101">
    <w:name w:val="四号 正文 Char"/>
    <w:link w:val="1102"/>
    <w:autoRedefine/>
    <w:qFormat/>
    <w:uiPriority w:val="0"/>
    <w:rPr>
      <w:rFonts w:cs="宋体"/>
      <w:spacing w:val="6"/>
      <w:kern w:val="2"/>
      <w:sz w:val="28"/>
    </w:rPr>
  </w:style>
  <w:style w:type="paragraph" w:customStyle="1" w:styleId="1102">
    <w:name w:val="四号 正文"/>
    <w:basedOn w:val="1"/>
    <w:link w:val="1101"/>
    <w:qFormat/>
    <w:uiPriority w:val="0"/>
    <w:pPr>
      <w:ind w:firstLine="584"/>
    </w:pPr>
    <w:rPr>
      <w:rFonts w:cs="宋体"/>
      <w:spacing w:val="6"/>
      <w:sz w:val="28"/>
      <w:szCs w:val="20"/>
    </w:rPr>
  </w:style>
  <w:style w:type="character" w:customStyle="1" w:styleId="1103">
    <w:name w:val="正文缩进 Char3"/>
    <w:autoRedefine/>
    <w:qFormat/>
    <w:uiPriority w:val="0"/>
    <w:rPr>
      <w:kern w:val="2"/>
      <w:sz w:val="24"/>
      <w:szCs w:val="24"/>
    </w:rPr>
  </w:style>
  <w:style w:type="character" w:customStyle="1" w:styleId="1104">
    <w:name w:val="表头东晓 Char"/>
    <w:link w:val="1105"/>
    <w:autoRedefine/>
    <w:qFormat/>
    <w:uiPriority w:val="0"/>
    <w:rPr>
      <w:rFonts w:cs="Courier New"/>
      <w:sz w:val="21"/>
      <w:szCs w:val="21"/>
    </w:rPr>
  </w:style>
  <w:style w:type="paragraph" w:customStyle="1" w:styleId="1105">
    <w:name w:val="表头东晓"/>
    <w:basedOn w:val="1"/>
    <w:link w:val="1104"/>
    <w:autoRedefine/>
    <w:qFormat/>
    <w:uiPriority w:val="0"/>
    <w:pPr>
      <w:widowControl/>
      <w:adjustRightInd w:val="0"/>
      <w:snapToGrid w:val="0"/>
      <w:ind w:firstLine="0" w:firstLineChars="0"/>
      <w:jc w:val="center"/>
    </w:pPr>
    <w:rPr>
      <w:rFonts w:cs="Courier New"/>
      <w:kern w:val="0"/>
      <w:sz w:val="21"/>
      <w:szCs w:val="21"/>
    </w:rPr>
  </w:style>
  <w:style w:type="paragraph" w:customStyle="1" w:styleId="1106">
    <w:name w:val="彩色列表 - 强调文字颜色 11"/>
    <w:basedOn w:val="1"/>
    <w:autoRedefine/>
    <w:qFormat/>
    <w:uiPriority w:val="0"/>
    <w:pPr>
      <w:spacing w:line="288" w:lineRule="auto"/>
      <w:ind w:firstLine="420"/>
    </w:pPr>
  </w:style>
  <w:style w:type="paragraph" w:customStyle="1" w:styleId="1107">
    <w:name w:val="表格内部"/>
    <w:basedOn w:val="1"/>
    <w:autoRedefine/>
    <w:qFormat/>
    <w:uiPriority w:val="0"/>
    <w:pPr>
      <w:spacing w:line="440" w:lineRule="exact"/>
      <w:ind w:left="-101" w:leftChars="-42" w:firstLine="0" w:firstLineChars="0"/>
      <w:jc w:val="center"/>
    </w:pPr>
    <w:rPr>
      <w:sz w:val="21"/>
      <w:szCs w:val="21"/>
    </w:rPr>
  </w:style>
  <w:style w:type="table" w:customStyle="1" w:styleId="1108">
    <w:name w:val="专业型4"/>
    <w:basedOn w:val="88"/>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l2br w:val="nil"/>
          <w:tr2bl w:val="nil"/>
        </w:tcBorders>
        <w:shd w:val="solid" w:color="000000" w:fill="FFFFFF"/>
      </w:tcPr>
    </w:tblStylePr>
  </w:style>
  <w:style w:type="table" w:customStyle="1" w:styleId="1109">
    <w:name w:val="网格型2"/>
    <w:basedOn w:val="88"/>
    <w:autoRedefine/>
    <w:qFormat/>
    <w:uiPriority w:val="3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0">
    <w:name w:val="杨1"/>
    <w:basedOn w:val="88"/>
    <w:autoRedefine/>
    <w:qFormat/>
    <w:uiPriority w:val="0"/>
    <w:pPr>
      <w:widowControl w:val="0"/>
      <w:jc w:val="both"/>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1">
    <w:name w:val="网格型 11"/>
    <w:basedOn w:val="88"/>
    <w:semiHidden/>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l2br w:val="nil"/>
          <w:tr2bl w:val="nil"/>
        </w:tcBorders>
      </w:tcPr>
    </w:tblStylePr>
    <w:tblStylePr w:type="lastCol">
      <w:rPr>
        <w:i/>
        <w:iCs/>
      </w:rPr>
      <w:tcPr>
        <w:tcBorders>
          <w:tl2br w:val="nil"/>
          <w:tr2bl w:val="nil"/>
        </w:tcBorders>
      </w:tcPr>
    </w:tblStylePr>
    <w:tblStylePr w:type="nwCell">
      <w:tcPr>
        <w:tcBorders>
          <w:tl2br w:val="single" w:color="000000" w:sz="6" w:space="0"/>
          <w:tr2bl w:val="nil"/>
        </w:tcBorders>
      </w:tcPr>
    </w:tblStylePr>
  </w:style>
  <w:style w:type="table" w:customStyle="1" w:styleId="1112">
    <w:name w:val="网格型 51"/>
    <w:basedOn w:val="88"/>
    <w:autoRedefine/>
    <w:semiHidden/>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1113">
    <w:name w:val="网格型 71"/>
    <w:basedOn w:val="88"/>
    <w:autoRedefine/>
    <w:qFormat/>
    <w:uiPriority w:val="0"/>
    <w:pPr>
      <w:widowControl w:val="0"/>
      <w:jc w:val="both"/>
    </w:pPr>
    <w:rPr>
      <w:rFonts w:ascii="Calibri" w:hAnsi="Calibri"/>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character" w:customStyle="1" w:styleId="1114">
    <w:name w:val="页眉 Char1"/>
    <w:autoRedefine/>
    <w:qFormat/>
    <w:uiPriority w:val="0"/>
    <w:rPr>
      <w:rFonts w:eastAsia="宋体"/>
      <w:kern w:val="2"/>
      <w:sz w:val="18"/>
      <w:szCs w:val="18"/>
      <w:lang w:val="en-US" w:eastAsia="zh-CN" w:bidi="ar-SA"/>
    </w:rPr>
  </w:style>
  <w:style w:type="character" w:customStyle="1" w:styleId="1115">
    <w:name w:val="页脚 Char1"/>
    <w:autoRedefine/>
    <w:qFormat/>
    <w:uiPriority w:val="0"/>
    <w:rPr>
      <w:rFonts w:eastAsia="宋体"/>
      <w:kern w:val="2"/>
      <w:sz w:val="18"/>
      <w:szCs w:val="18"/>
      <w:lang w:val="en-US" w:eastAsia="zh-CN" w:bidi="ar-SA"/>
    </w:rPr>
  </w:style>
  <w:style w:type="paragraph" w:customStyle="1" w:styleId="1116">
    <w:name w:val="Char Char3 Char Char Char Char Char Char"/>
    <w:basedOn w:val="1"/>
    <w:autoRedefine/>
    <w:qFormat/>
    <w:uiPriority w:val="0"/>
    <w:pPr>
      <w:spacing w:line="360" w:lineRule="auto"/>
    </w:pPr>
    <w:rPr>
      <w:rFonts w:ascii="宋体" w:hAnsi="宋体" w:cs="宋体"/>
    </w:rPr>
  </w:style>
  <w:style w:type="paragraph" w:customStyle="1" w:styleId="1117">
    <w:name w:val="Char Char6 Char Char Char Char Char Char Char Char"/>
    <w:basedOn w:val="1"/>
    <w:autoRedefine/>
    <w:qFormat/>
    <w:uiPriority w:val="0"/>
    <w:pPr>
      <w:spacing w:line="360" w:lineRule="auto"/>
    </w:pPr>
    <w:rPr>
      <w:rFonts w:ascii="宋体" w:hAnsi="宋体" w:cs="宋体"/>
    </w:rPr>
  </w:style>
  <w:style w:type="paragraph" w:customStyle="1" w:styleId="1118">
    <w:name w:val="Char Char Char Char Char Char1 Char Char Char1 Char Char Char Char Char Char Char Char Char Char Char Char Char Char Char1 Char Char Char1 Char Char Char Char Char Char1 Char Char Char Char Char Char Char Char Char"/>
    <w:basedOn w:val="1"/>
    <w:qFormat/>
    <w:uiPriority w:val="0"/>
    <w:pPr>
      <w:spacing w:line="360" w:lineRule="auto"/>
    </w:pPr>
    <w:rPr>
      <w:rFonts w:ascii="宋体" w:hAnsi="宋体" w:cs="宋体"/>
    </w:rPr>
  </w:style>
  <w:style w:type="paragraph" w:customStyle="1" w:styleId="1119">
    <w:name w:val="Char Char Char Char1 Char Char Char1 Char Char1 Char Char Char Char"/>
    <w:basedOn w:val="1"/>
    <w:autoRedefine/>
    <w:qFormat/>
    <w:uiPriority w:val="0"/>
    <w:rPr>
      <w:rFonts w:ascii="宋体" w:hAnsi="宋体" w:cs="宋体"/>
    </w:rPr>
  </w:style>
  <w:style w:type="paragraph" w:customStyle="1" w:styleId="1120">
    <w:name w:val="Char Char6 Char Char"/>
    <w:basedOn w:val="1"/>
    <w:autoRedefine/>
    <w:qFormat/>
    <w:uiPriority w:val="0"/>
    <w:pPr>
      <w:spacing w:line="360" w:lineRule="auto"/>
    </w:pPr>
    <w:rPr>
      <w:rFonts w:ascii="宋体" w:hAnsi="宋体" w:cs="宋体"/>
    </w:rPr>
  </w:style>
  <w:style w:type="paragraph" w:customStyle="1" w:styleId="1121">
    <w:name w:val="Char Char3 Char Char Char Char"/>
    <w:basedOn w:val="1"/>
    <w:autoRedefine/>
    <w:qFormat/>
    <w:uiPriority w:val="0"/>
    <w:pPr>
      <w:spacing w:line="360" w:lineRule="auto"/>
    </w:pPr>
    <w:rPr>
      <w:rFonts w:ascii="宋体" w:hAnsi="宋体" w:cs="宋体"/>
    </w:rPr>
  </w:style>
  <w:style w:type="paragraph" w:customStyle="1" w:styleId="1122">
    <w:name w:val="Char Char Char Char Char Char1 Char Char Char1 Char Char Char Char Char Char Char Char Char Char Char Char Char Char Char1 Char Char Char1 Char Char Char Char Char Char1 Char Char Char Char Char Char Char Char Char1"/>
    <w:basedOn w:val="1"/>
    <w:autoRedefine/>
    <w:qFormat/>
    <w:uiPriority w:val="0"/>
    <w:pPr>
      <w:spacing w:line="360" w:lineRule="auto"/>
    </w:pPr>
    <w:rPr>
      <w:rFonts w:ascii="宋体" w:hAnsi="宋体" w:cs="宋体"/>
    </w:rPr>
  </w:style>
  <w:style w:type="character" w:customStyle="1" w:styleId="1123">
    <w:name w:val="不明显强调1"/>
    <w:autoRedefine/>
    <w:qFormat/>
    <w:uiPriority w:val="19"/>
    <w:rPr>
      <w:i/>
      <w:iCs/>
      <w:color w:val="808080"/>
    </w:rPr>
  </w:style>
  <w:style w:type="paragraph" w:customStyle="1" w:styleId="1124">
    <w:name w:val="Char Char6 Char Char Char Char Char Char Char Char Char Char Char Char"/>
    <w:basedOn w:val="1"/>
    <w:autoRedefine/>
    <w:qFormat/>
    <w:uiPriority w:val="0"/>
    <w:pPr>
      <w:spacing w:line="360" w:lineRule="auto"/>
    </w:pPr>
    <w:rPr>
      <w:rFonts w:ascii="宋体" w:hAnsi="宋体" w:cs="宋体"/>
    </w:rPr>
  </w:style>
  <w:style w:type="paragraph" w:customStyle="1" w:styleId="1125">
    <w:name w:val="样式nlw"/>
    <w:basedOn w:val="1"/>
    <w:link w:val="1126"/>
    <w:autoRedefine/>
    <w:qFormat/>
    <w:uiPriority w:val="0"/>
    <w:pPr>
      <w:wordWrap w:val="0"/>
      <w:ind w:firstLine="437"/>
      <w:jc w:val="left"/>
    </w:pPr>
  </w:style>
  <w:style w:type="character" w:customStyle="1" w:styleId="1126">
    <w:name w:val="样式nlw 字符"/>
    <w:link w:val="1125"/>
    <w:qFormat/>
    <w:uiPriority w:val="0"/>
    <w:rPr>
      <w:kern w:val="2"/>
      <w:sz w:val="24"/>
      <w:szCs w:val="24"/>
    </w:rPr>
  </w:style>
  <w:style w:type="character" w:customStyle="1" w:styleId="1127">
    <w:name w:val="表标题 Char1"/>
    <w:link w:val="1128"/>
    <w:autoRedefine/>
    <w:qFormat/>
    <w:uiPriority w:val="0"/>
    <w:rPr>
      <w:b/>
      <w:sz w:val="24"/>
      <w:szCs w:val="24"/>
    </w:rPr>
  </w:style>
  <w:style w:type="paragraph" w:customStyle="1" w:styleId="1128">
    <w:name w:val="表标题"/>
    <w:basedOn w:val="1"/>
    <w:next w:val="1"/>
    <w:link w:val="1127"/>
    <w:autoRedefine/>
    <w:qFormat/>
    <w:uiPriority w:val="0"/>
    <w:pPr>
      <w:spacing w:line="360" w:lineRule="auto"/>
      <w:ind w:firstLine="0" w:firstLineChars="0"/>
      <w:jc w:val="center"/>
    </w:pPr>
    <w:rPr>
      <w:b/>
      <w:kern w:val="0"/>
    </w:rPr>
  </w:style>
  <w:style w:type="paragraph" w:customStyle="1" w:styleId="1129">
    <w:name w:val="Table Paragraph"/>
    <w:basedOn w:val="1"/>
    <w:autoRedefine/>
    <w:qFormat/>
    <w:uiPriority w:val="1"/>
    <w:pPr>
      <w:autoSpaceDE w:val="0"/>
      <w:autoSpaceDN w:val="0"/>
      <w:adjustRightInd w:val="0"/>
      <w:ind w:firstLine="0" w:firstLineChars="0"/>
      <w:jc w:val="left"/>
    </w:pPr>
    <w:rPr>
      <w:rFonts w:asciiTheme="minorHAnsi" w:hAnsiTheme="minorHAnsi" w:eastAsiaTheme="minorEastAsia" w:cstheme="minorBidi"/>
      <w:kern w:val="0"/>
    </w:rPr>
  </w:style>
  <w:style w:type="table" w:customStyle="1" w:styleId="1130">
    <w:name w:val="Table Normal"/>
    <w:autoRedefine/>
    <w:unhideWhenUsed/>
    <w:qFormat/>
    <w:uiPriority w:val="2"/>
    <w:pPr>
      <w:widowControl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character" w:customStyle="1" w:styleId="1131">
    <w:name w:val="标题 5 Char1"/>
    <w:basedOn w:val="133"/>
    <w:autoRedefine/>
    <w:qFormat/>
    <w:uiPriority w:val="9"/>
    <w:rPr>
      <w:b/>
      <w:bCs/>
      <w:kern w:val="2"/>
      <w:sz w:val="28"/>
      <w:szCs w:val="28"/>
    </w:rPr>
  </w:style>
  <w:style w:type="character" w:customStyle="1" w:styleId="1132">
    <w:name w:val="题注 字符2"/>
    <w:link w:val="22"/>
    <w:autoRedefine/>
    <w:qFormat/>
    <w:locked/>
    <w:uiPriority w:val="35"/>
    <w:rPr>
      <w:rFonts w:eastAsia="楷体_GB2312"/>
      <w:kern w:val="2"/>
      <w:sz w:val="28"/>
      <w:szCs w:val="28"/>
      <w14:ligatures w14:val="standardContextual"/>
    </w:rPr>
  </w:style>
  <w:style w:type="character" w:customStyle="1" w:styleId="1133">
    <w:name w:val="尾注文本 字符1"/>
    <w:basedOn w:val="133"/>
    <w:link w:val="52"/>
    <w:autoRedefine/>
    <w:qFormat/>
    <w:uiPriority w:val="0"/>
    <w:rPr>
      <w:kern w:val="2"/>
      <w:sz w:val="21"/>
      <w:szCs w:val="24"/>
      <w:lang w:val="zh-CN"/>
    </w:rPr>
  </w:style>
  <w:style w:type="character" w:customStyle="1" w:styleId="1134">
    <w:name w:val="宏文本 字符1"/>
    <w:basedOn w:val="133"/>
    <w:link w:val="2"/>
    <w:autoRedefine/>
    <w:qFormat/>
    <w:uiPriority w:val="0"/>
    <w:rPr>
      <w:rFonts w:ascii="Courier New" w:hAnsi="Courier New"/>
      <w:kern w:val="2"/>
      <w:sz w:val="24"/>
      <w:szCs w:val="24"/>
    </w:rPr>
  </w:style>
  <w:style w:type="character" w:customStyle="1" w:styleId="1135">
    <w:name w:val="正文文本缩进 Char1"/>
    <w:basedOn w:val="133"/>
    <w:autoRedefine/>
    <w:qFormat/>
    <w:uiPriority w:val="0"/>
    <w:rPr>
      <w:kern w:val="2"/>
      <w:sz w:val="24"/>
      <w:szCs w:val="24"/>
    </w:rPr>
  </w:style>
  <w:style w:type="character" w:customStyle="1" w:styleId="1136">
    <w:name w:val="正文首行缩进 2 Char1"/>
    <w:basedOn w:val="1135"/>
    <w:autoRedefine/>
    <w:qFormat/>
    <w:uiPriority w:val="0"/>
    <w:rPr>
      <w:kern w:val="2"/>
      <w:sz w:val="24"/>
      <w:szCs w:val="24"/>
    </w:rPr>
  </w:style>
  <w:style w:type="character" w:customStyle="1" w:styleId="1137">
    <w:name w:val="正文文本 3 字符2"/>
    <w:basedOn w:val="133"/>
    <w:link w:val="31"/>
    <w:autoRedefine/>
    <w:qFormat/>
    <w:uiPriority w:val="0"/>
    <w:rPr>
      <w:kern w:val="2"/>
      <w:sz w:val="24"/>
      <w:szCs w:val="24"/>
    </w:rPr>
  </w:style>
  <w:style w:type="paragraph" w:customStyle="1" w:styleId="1138">
    <w:name w:val="修订1"/>
    <w:autoRedefine/>
    <w:qFormat/>
    <w:uiPriority w:val="0"/>
    <w:rPr>
      <w:rFonts w:ascii="Times New Roman" w:hAnsi="Times New Roman" w:eastAsia="宋体" w:cs="Times New Roman"/>
      <w:kern w:val="2"/>
      <w:sz w:val="24"/>
      <w:szCs w:val="24"/>
      <w:lang w:val="en-US" w:eastAsia="zh-CN" w:bidi="ar-SA"/>
    </w:rPr>
  </w:style>
  <w:style w:type="paragraph" w:customStyle="1" w:styleId="1139">
    <w:name w:val="Char Char Char3"/>
    <w:basedOn w:val="1"/>
    <w:autoRedefine/>
    <w:qFormat/>
    <w:uiPriority w:val="0"/>
    <w:pPr>
      <w:widowControl/>
      <w:spacing w:after="160" w:line="240" w:lineRule="exact"/>
      <w:ind w:firstLine="0" w:firstLineChars="0"/>
      <w:jc w:val="left"/>
    </w:pPr>
    <w:rPr>
      <w:rFonts w:ascii="Verdana" w:hAnsi="Verdana"/>
      <w:kern w:val="0"/>
      <w:sz w:val="20"/>
      <w:szCs w:val="20"/>
      <w:lang w:eastAsia="en-US"/>
    </w:rPr>
  </w:style>
  <w:style w:type="character" w:customStyle="1" w:styleId="1140">
    <w:name w:val="图表名 Char"/>
    <w:link w:val="738"/>
    <w:autoRedefine/>
    <w:qFormat/>
    <w:locked/>
    <w:uiPriority w:val="0"/>
    <w:rPr>
      <w:b/>
      <w:kern w:val="2"/>
      <w:sz w:val="24"/>
      <w:szCs w:val="32"/>
      <w:lang w:val="zh-CN"/>
    </w:rPr>
  </w:style>
  <w:style w:type="character" w:customStyle="1" w:styleId="1141">
    <w:name w:val="1.1 Char"/>
    <w:link w:val="769"/>
    <w:autoRedefine/>
    <w:qFormat/>
    <w:locked/>
    <w:uiPriority w:val="0"/>
    <w:rPr>
      <w:rFonts w:ascii="黑体" w:eastAsia="黑体"/>
      <w:b/>
      <w:spacing w:val="10"/>
      <w:sz w:val="28"/>
    </w:rPr>
  </w:style>
  <w:style w:type="paragraph" w:customStyle="1" w:styleId="1142">
    <w:name w:val="标题 22"/>
    <w:basedOn w:val="1"/>
    <w:next w:val="1"/>
    <w:autoRedefine/>
    <w:qFormat/>
    <w:uiPriority w:val="0"/>
    <w:pPr>
      <w:keepNext/>
      <w:keepLines/>
      <w:spacing w:line="360" w:lineRule="auto"/>
      <w:ind w:firstLine="0" w:firstLineChars="0"/>
      <w:outlineLvl w:val="1"/>
    </w:pPr>
    <w:rPr>
      <w:b/>
      <w:bCs/>
      <w:sz w:val="30"/>
      <w:szCs w:val="30"/>
    </w:rPr>
  </w:style>
  <w:style w:type="paragraph" w:customStyle="1" w:styleId="1143">
    <w:name w:val="Char Char Char Char Char Char Char Char Char Char Char Char Char Char Char Char"/>
    <w:basedOn w:val="1"/>
    <w:autoRedefine/>
    <w:qFormat/>
    <w:uiPriority w:val="0"/>
    <w:pPr>
      <w:tabs>
        <w:tab w:val="left" w:pos="360"/>
      </w:tabs>
      <w:ind w:firstLine="0" w:firstLineChars="0"/>
    </w:pPr>
  </w:style>
  <w:style w:type="paragraph" w:customStyle="1" w:styleId="1144">
    <w:name w:val="Char7"/>
    <w:basedOn w:val="1"/>
    <w:autoRedefine/>
    <w:qFormat/>
    <w:uiPriority w:val="0"/>
    <w:pPr>
      <w:spacing w:line="360" w:lineRule="auto"/>
    </w:pPr>
    <w:rPr>
      <w:rFonts w:ascii="宋体" w:hAnsi="宋体" w:cs="宋体"/>
    </w:rPr>
  </w:style>
  <w:style w:type="paragraph" w:customStyle="1" w:styleId="1145">
    <w:name w:val="Char6"/>
    <w:basedOn w:val="1"/>
    <w:autoRedefine/>
    <w:qFormat/>
    <w:uiPriority w:val="0"/>
    <w:pPr>
      <w:spacing w:line="360" w:lineRule="auto"/>
    </w:pPr>
    <w:rPr>
      <w:rFonts w:ascii="宋体" w:hAnsi="宋体" w:cs="宋体"/>
    </w:rPr>
  </w:style>
  <w:style w:type="paragraph" w:customStyle="1" w:styleId="1146">
    <w:name w:val="Char5"/>
    <w:basedOn w:val="1"/>
    <w:autoRedefine/>
    <w:qFormat/>
    <w:uiPriority w:val="0"/>
    <w:pPr>
      <w:spacing w:line="360" w:lineRule="auto"/>
    </w:pPr>
    <w:rPr>
      <w:rFonts w:ascii="宋体" w:hAnsi="宋体" w:cs="宋体"/>
    </w:rPr>
  </w:style>
  <w:style w:type="paragraph" w:customStyle="1" w:styleId="1147">
    <w:name w:val="Char4"/>
    <w:basedOn w:val="1"/>
    <w:autoRedefine/>
    <w:qFormat/>
    <w:uiPriority w:val="0"/>
    <w:pPr>
      <w:spacing w:line="360" w:lineRule="auto"/>
    </w:pPr>
    <w:rPr>
      <w:rFonts w:ascii="宋体" w:hAnsi="宋体" w:cs="宋体"/>
    </w:rPr>
  </w:style>
  <w:style w:type="paragraph" w:customStyle="1" w:styleId="1148">
    <w:name w:val="Char Char Char Char Char Char Char Char Char Char Char Char Char Char Char Char1"/>
    <w:basedOn w:val="1"/>
    <w:autoRedefine/>
    <w:qFormat/>
    <w:uiPriority w:val="0"/>
    <w:pPr>
      <w:tabs>
        <w:tab w:val="left" w:pos="360"/>
      </w:tabs>
      <w:ind w:firstLine="0" w:firstLineChars="0"/>
    </w:pPr>
  </w:style>
  <w:style w:type="paragraph" w:customStyle="1" w:styleId="1149">
    <w:name w:val="默认段落字体 Para Char Char Char Char Char Char Char Char Char1 Char Char Char Char Char Char Char"/>
    <w:basedOn w:val="1"/>
    <w:autoRedefine/>
    <w:qFormat/>
    <w:uiPriority w:val="0"/>
    <w:pPr>
      <w:ind w:firstLine="0" w:firstLineChars="0"/>
    </w:pPr>
    <w:rPr>
      <w:b/>
      <w:bCs/>
      <w:sz w:val="36"/>
      <w:szCs w:val="32"/>
    </w:rPr>
  </w:style>
  <w:style w:type="character" w:customStyle="1" w:styleId="1150">
    <w:name w:val="样式 标题 3 + 宋体 小四 非加粗 Char"/>
    <w:link w:val="456"/>
    <w:autoRedefine/>
    <w:qFormat/>
    <w:locked/>
    <w:uiPriority w:val="0"/>
    <w:rPr>
      <w:rFonts w:ascii="宋体" w:hAnsi="宋体" w:eastAsia="黑体"/>
      <w:kern w:val="2"/>
      <w:sz w:val="24"/>
      <w:szCs w:val="32"/>
    </w:rPr>
  </w:style>
  <w:style w:type="paragraph" w:customStyle="1" w:styleId="1151">
    <w:name w:val="样式W"/>
    <w:basedOn w:val="454"/>
    <w:autoRedefine/>
    <w:qFormat/>
    <w:uiPriority w:val="99"/>
    <w:pPr>
      <w:numPr>
        <w:ilvl w:val="0"/>
        <w:numId w:val="0"/>
      </w:numPr>
      <w:tabs>
        <w:tab w:val="left" w:pos="540"/>
        <w:tab w:val="left" w:pos="567"/>
      </w:tabs>
      <w:spacing w:before="0" w:beforeLines="50" w:after="0" w:afterLines="50" w:line="360" w:lineRule="auto"/>
      <w:ind w:left="567" w:hanging="567"/>
    </w:pPr>
    <w:rPr>
      <w:rFonts w:ascii="Times New Roman" w:hAnsi="Times New Roman"/>
      <w:szCs w:val="28"/>
      <w:lang w:val="zh-CN"/>
    </w:rPr>
  </w:style>
  <w:style w:type="paragraph" w:customStyle="1" w:styleId="1152">
    <w:name w:val="普通(Web)2"/>
    <w:basedOn w:val="1"/>
    <w:autoRedefine/>
    <w:qFormat/>
    <w:uiPriority w:val="0"/>
    <w:pPr>
      <w:widowControl/>
      <w:spacing w:before="225" w:after="225" w:line="345" w:lineRule="atLeast"/>
      <w:ind w:firstLine="0" w:firstLineChars="0"/>
      <w:jc w:val="left"/>
    </w:pPr>
    <w:rPr>
      <w:rFonts w:ascii="宋体" w:hAnsi="宋体" w:cs="宋体"/>
      <w:kern w:val="0"/>
      <w:szCs w:val="21"/>
    </w:rPr>
  </w:style>
  <w:style w:type="paragraph" w:customStyle="1" w:styleId="1153">
    <w:name w:val="样式Q"/>
    <w:basedOn w:val="455"/>
    <w:autoRedefine/>
    <w:qFormat/>
    <w:uiPriority w:val="0"/>
    <w:pPr>
      <w:numPr>
        <w:numId w:val="0"/>
      </w:numPr>
      <w:spacing w:before="0" w:beforeLines="50" w:after="0" w:afterLines="50" w:line="360" w:lineRule="auto"/>
      <w:ind w:left="360" w:hanging="360"/>
      <w:jc w:val="both"/>
    </w:pPr>
    <w:rPr>
      <w:rFonts w:ascii="Times New Roman" w:hAnsi="Times New Roman"/>
      <w:lang w:val="zh-CN"/>
    </w:rPr>
  </w:style>
  <w:style w:type="paragraph" w:customStyle="1" w:styleId="1154">
    <w:name w:val="Char Char Char Char Char Char1 Char Char Char Char Char Char Char Char Char Char Char Char Char"/>
    <w:basedOn w:val="1"/>
    <w:autoRedefine/>
    <w:qFormat/>
    <w:uiPriority w:val="0"/>
    <w:pPr>
      <w:ind w:firstLine="0" w:firstLineChars="0"/>
    </w:pPr>
    <w:rPr>
      <w:b/>
      <w:bCs/>
      <w:sz w:val="36"/>
      <w:szCs w:val="32"/>
    </w:rPr>
  </w:style>
  <w:style w:type="paragraph" w:customStyle="1" w:styleId="1155">
    <w:name w:val="Char Char Char Char Char Char1 Char Char Char Char Char Char Char Char Char Char Char Char Char1"/>
    <w:basedOn w:val="1"/>
    <w:autoRedefine/>
    <w:qFormat/>
    <w:uiPriority w:val="0"/>
    <w:pPr>
      <w:ind w:firstLine="0" w:firstLineChars="0"/>
    </w:pPr>
    <w:rPr>
      <w:b/>
      <w:bCs/>
      <w:sz w:val="36"/>
      <w:szCs w:val="32"/>
    </w:rPr>
  </w:style>
  <w:style w:type="paragraph" w:customStyle="1" w:styleId="1156">
    <w:name w:val="Char8"/>
    <w:basedOn w:val="1"/>
    <w:autoRedefine/>
    <w:qFormat/>
    <w:uiPriority w:val="0"/>
    <w:pPr>
      <w:spacing w:line="360" w:lineRule="auto"/>
    </w:pPr>
    <w:rPr>
      <w:rFonts w:ascii="宋体" w:hAnsi="宋体" w:cs="宋体"/>
    </w:rPr>
  </w:style>
  <w:style w:type="character" w:customStyle="1" w:styleId="1157">
    <w:name w:val="表格1 Char"/>
    <w:link w:val="338"/>
    <w:autoRedefine/>
    <w:qFormat/>
    <w:locked/>
    <w:uiPriority w:val="0"/>
    <w:rPr>
      <w:rFonts w:ascii="CG Times (WN)"/>
      <w:spacing w:val="6"/>
      <w:sz w:val="24"/>
      <w:szCs w:val="24"/>
    </w:rPr>
  </w:style>
  <w:style w:type="character" w:customStyle="1" w:styleId="1158">
    <w:name w:val="图题目格式 Char"/>
    <w:link w:val="1159"/>
    <w:autoRedefine/>
    <w:qFormat/>
    <w:locked/>
    <w:uiPriority w:val="0"/>
    <w:rPr>
      <w:kern w:val="2"/>
      <w:sz w:val="24"/>
      <w:szCs w:val="24"/>
      <w:lang w:val="zh-CN"/>
    </w:rPr>
  </w:style>
  <w:style w:type="paragraph" w:customStyle="1" w:styleId="1159">
    <w:name w:val="图题目格式"/>
    <w:basedOn w:val="165"/>
    <w:link w:val="1158"/>
    <w:autoRedefine/>
    <w:qFormat/>
    <w:uiPriority w:val="0"/>
    <w:pPr>
      <w:ind w:firstLine="0" w:firstLineChars="0"/>
      <w:jc w:val="center"/>
    </w:pPr>
    <w:rPr>
      <w:lang w:val="zh-CN"/>
    </w:rPr>
  </w:style>
  <w:style w:type="paragraph" w:customStyle="1" w:styleId="1160">
    <w:name w:val="Char14"/>
    <w:basedOn w:val="1"/>
    <w:autoRedefine/>
    <w:qFormat/>
    <w:uiPriority w:val="0"/>
    <w:pPr>
      <w:spacing w:line="360" w:lineRule="auto"/>
    </w:pPr>
    <w:rPr>
      <w:rFonts w:ascii="宋体" w:hAnsi="宋体" w:cs="宋体"/>
    </w:rPr>
  </w:style>
  <w:style w:type="paragraph" w:customStyle="1" w:styleId="1161">
    <w:name w:val="Char13"/>
    <w:basedOn w:val="1"/>
    <w:autoRedefine/>
    <w:qFormat/>
    <w:uiPriority w:val="0"/>
    <w:pPr>
      <w:spacing w:line="360" w:lineRule="auto"/>
    </w:pPr>
    <w:rPr>
      <w:rFonts w:ascii="宋体" w:hAnsi="宋体" w:cs="宋体"/>
    </w:rPr>
  </w:style>
  <w:style w:type="paragraph" w:customStyle="1" w:styleId="1162">
    <w:name w:val="Char12"/>
    <w:basedOn w:val="1"/>
    <w:autoRedefine/>
    <w:qFormat/>
    <w:uiPriority w:val="0"/>
    <w:pPr>
      <w:ind w:firstLine="0" w:firstLineChars="0"/>
    </w:pPr>
    <w:rPr>
      <w:sz w:val="21"/>
    </w:rPr>
  </w:style>
  <w:style w:type="paragraph" w:customStyle="1" w:styleId="1163">
    <w:name w:val="样式 样式 正文缩进s4 + 首行缩进:  2 字符 + 首行缩进:  2 字符"/>
    <w:basedOn w:val="1"/>
    <w:autoRedefine/>
    <w:qFormat/>
    <w:uiPriority w:val="0"/>
    <w:pPr>
      <w:adjustRightInd w:val="0"/>
      <w:snapToGrid w:val="0"/>
      <w:spacing w:line="560" w:lineRule="exact"/>
      <w:ind w:firstLine="560"/>
    </w:pPr>
    <w:rPr>
      <w:sz w:val="28"/>
      <w:szCs w:val="28"/>
    </w:rPr>
  </w:style>
  <w:style w:type="paragraph" w:customStyle="1" w:styleId="1164">
    <w:name w:val="样式正文"/>
    <w:basedOn w:val="1"/>
    <w:autoRedefine/>
    <w:qFormat/>
    <w:uiPriority w:val="0"/>
    <w:pPr>
      <w:spacing w:line="600" w:lineRule="exact"/>
    </w:pPr>
    <w:rPr>
      <w:sz w:val="28"/>
      <w:szCs w:val="28"/>
    </w:rPr>
  </w:style>
  <w:style w:type="paragraph" w:customStyle="1" w:styleId="1165">
    <w:name w:val="样式 左侧:  0.98 厘米"/>
    <w:basedOn w:val="1"/>
    <w:autoRedefine/>
    <w:qFormat/>
    <w:uiPriority w:val="0"/>
    <w:pPr>
      <w:adjustRightInd w:val="0"/>
      <w:snapToGrid w:val="0"/>
      <w:spacing w:line="490" w:lineRule="exact"/>
      <w:ind w:firstLine="560"/>
    </w:pPr>
    <w:rPr>
      <w:rFonts w:eastAsia="仿宋_GB2312"/>
      <w:sz w:val="28"/>
      <w:szCs w:val="20"/>
    </w:rPr>
  </w:style>
  <w:style w:type="paragraph" w:customStyle="1" w:styleId="1166">
    <w:name w:val="Char11"/>
    <w:basedOn w:val="1"/>
    <w:autoRedefine/>
    <w:qFormat/>
    <w:uiPriority w:val="0"/>
    <w:pPr>
      <w:ind w:firstLine="0" w:firstLineChars="0"/>
    </w:pPr>
    <w:rPr>
      <w:sz w:val="21"/>
    </w:rPr>
  </w:style>
  <w:style w:type="paragraph" w:customStyle="1" w:styleId="1167">
    <w:name w:val="Char10"/>
    <w:basedOn w:val="1"/>
    <w:autoRedefine/>
    <w:qFormat/>
    <w:uiPriority w:val="0"/>
    <w:pPr>
      <w:ind w:firstLine="0" w:firstLineChars="0"/>
    </w:pPr>
    <w:rPr>
      <w:sz w:val="21"/>
    </w:rPr>
  </w:style>
  <w:style w:type="paragraph" w:customStyle="1" w:styleId="1168">
    <w:name w:val="Char9"/>
    <w:basedOn w:val="1"/>
    <w:autoRedefine/>
    <w:qFormat/>
    <w:uiPriority w:val="0"/>
    <w:pPr>
      <w:ind w:firstLine="0" w:firstLineChars="0"/>
    </w:pPr>
    <w:rPr>
      <w:szCs w:val="20"/>
    </w:rPr>
  </w:style>
  <w:style w:type="paragraph" w:customStyle="1" w:styleId="1169">
    <w:name w:val="Char15"/>
    <w:basedOn w:val="1"/>
    <w:autoRedefine/>
    <w:qFormat/>
    <w:uiPriority w:val="0"/>
    <w:pPr>
      <w:tabs>
        <w:tab w:val="left" w:pos="794"/>
        <w:tab w:val="left" w:pos="1191"/>
        <w:tab w:val="left" w:pos="1588"/>
        <w:tab w:val="left" w:pos="1985"/>
      </w:tabs>
      <w:autoSpaceDE w:val="0"/>
      <w:autoSpaceDN w:val="0"/>
      <w:adjustRightInd w:val="0"/>
      <w:spacing w:before="136"/>
      <w:ind w:firstLine="0" w:firstLineChars="0"/>
    </w:pPr>
    <w:rPr>
      <w:rFonts w:ascii="Tahoma" w:hAnsi="Tahoma"/>
      <w:kern w:val="0"/>
      <w:szCs w:val="20"/>
      <w:lang w:val="en-GB"/>
    </w:rPr>
  </w:style>
  <w:style w:type="paragraph" w:customStyle="1" w:styleId="1170">
    <w:name w:val="表样式"/>
    <w:autoRedefine/>
    <w:qFormat/>
    <w:uiPriority w:val="0"/>
    <w:pPr>
      <w:spacing w:beforeLines="50" w:afterLines="50"/>
      <w:jc w:val="center"/>
    </w:pPr>
    <w:rPr>
      <w:rFonts w:ascii="Times New Roman" w:hAnsi="Times New Roman" w:eastAsia="宋体" w:cs="Times New Roman"/>
      <w:sz w:val="28"/>
      <w:lang w:val="en-US" w:eastAsia="zh-CN" w:bidi="ar-SA"/>
    </w:rPr>
  </w:style>
  <w:style w:type="paragraph" w:customStyle="1" w:styleId="1171">
    <w:name w:val="3标题"/>
    <w:basedOn w:val="5"/>
    <w:autoRedefine/>
    <w:qFormat/>
    <w:uiPriority w:val="0"/>
    <w:pPr>
      <w:spacing w:line="600" w:lineRule="atLeast"/>
      <w:ind w:left="1418" w:hanging="1418"/>
    </w:pPr>
    <w:rPr>
      <w:rFonts w:eastAsia="宋体"/>
      <w:color w:val="000000"/>
      <w:sz w:val="28"/>
      <w:szCs w:val="20"/>
      <w:lang w:val="zh-CN"/>
    </w:rPr>
  </w:style>
  <w:style w:type="character" w:customStyle="1" w:styleId="1172">
    <w:name w:val="标题二 Char"/>
    <w:link w:val="1173"/>
    <w:autoRedefine/>
    <w:qFormat/>
    <w:locked/>
    <w:uiPriority w:val="0"/>
    <w:rPr>
      <w:rFonts w:ascii="Arial" w:hAnsi="Arial" w:eastAsia="黑体" w:cs="Arial"/>
      <w:b/>
      <w:bCs/>
      <w:kern w:val="2"/>
      <w:sz w:val="32"/>
      <w:szCs w:val="36"/>
      <w:lang w:val="zh-CN"/>
    </w:rPr>
  </w:style>
  <w:style w:type="paragraph" w:customStyle="1" w:styleId="1173">
    <w:name w:val="标题二"/>
    <w:basedOn w:val="1"/>
    <w:link w:val="1172"/>
    <w:autoRedefine/>
    <w:qFormat/>
    <w:uiPriority w:val="0"/>
    <w:pPr>
      <w:spacing w:before="60" w:after="60"/>
      <w:ind w:firstLine="0" w:firstLineChars="0"/>
      <w:jc w:val="left"/>
      <w:outlineLvl w:val="0"/>
    </w:pPr>
    <w:rPr>
      <w:rFonts w:ascii="Arial" w:hAnsi="Arial" w:eastAsia="黑体" w:cs="Arial"/>
      <w:b/>
      <w:bCs/>
      <w:sz w:val="32"/>
      <w:szCs w:val="36"/>
      <w:lang w:val="zh-CN"/>
    </w:rPr>
  </w:style>
  <w:style w:type="character" w:customStyle="1" w:styleId="1174">
    <w:name w:val="样式 标题二 + (西文) 宋体 Char"/>
    <w:link w:val="1175"/>
    <w:autoRedefine/>
    <w:qFormat/>
    <w:locked/>
    <w:uiPriority w:val="0"/>
    <w:rPr>
      <w:rFonts w:ascii="宋体" w:hAnsi="宋体" w:eastAsia="黑体"/>
      <w:b/>
      <w:bCs/>
      <w:kern w:val="2"/>
      <w:sz w:val="28"/>
      <w:szCs w:val="36"/>
      <w:lang w:val="zh-CN"/>
    </w:rPr>
  </w:style>
  <w:style w:type="paragraph" w:customStyle="1" w:styleId="1175">
    <w:name w:val="样式 标题二 + (西文) 宋体"/>
    <w:basedOn w:val="1173"/>
    <w:link w:val="1174"/>
    <w:autoRedefine/>
    <w:qFormat/>
    <w:uiPriority w:val="0"/>
    <w:rPr>
      <w:rFonts w:ascii="宋体" w:hAnsi="宋体" w:cs="Times New Roman"/>
      <w:sz w:val="28"/>
    </w:rPr>
  </w:style>
  <w:style w:type="character" w:customStyle="1" w:styleId="1176">
    <w:name w:val="haydonli Char"/>
    <w:link w:val="771"/>
    <w:autoRedefine/>
    <w:qFormat/>
    <w:locked/>
    <w:uiPriority w:val="0"/>
    <w:rPr>
      <w:snapToGrid w:val="0"/>
      <w:sz w:val="24"/>
      <w:szCs w:val="24"/>
    </w:rPr>
  </w:style>
  <w:style w:type="paragraph" w:customStyle="1" w:styleId="1177">
    <w:name w:val="Char Char Char Char1 Char Char Char Char Char Char Char Char Char Char Char Char"/>
    <w:basedOn w:val="1"/>
    <w:autoRedefine/>
    <w:semiHidden/>
    <w:qFormat/>
    <w:uiPriority w:val="0"/>
    <w:rPr>
      <w:rFonts w:ascii="宋体" w:hAnsi="宋体" w:cs="宋体"/>
    </w:rPr>
  </w:style>
  <w:style w:type="paragraph" w:customStyle="1" w:styleId="1178">
    <w:name w:val="Char Char Char Char Char Char1 Char Char Char1 Char Char Char Char Char Char Char Char Char Char Char Char Char Char Char1 Char Char Char Char"/>
    <w:basedOn w:val="1"/>
    <w:autoRedefine/>
    <w:qFormat/>
    <w:uiPriority w:val="0"/>
    <w:pPr>
      <w:spacing w:line="360" w:lineRule="auto"/>
    </w:pPr>
    <w:rPr>
      <w:rFonts w:ascii="宋体" w:hAnsi="宋体" w:cs="宋体"/>
    </w:rPr>
  </w:style>
  <w:style w:type="character" w:customStyle="1" w:styleId="1179">
    <w:name w:val="4级标题 Char"/>
    <w:link w:val="696"/>
    <w:autoRedefine/>
    <w:qFormat/>
    <w:locked/>
    <w:uiPriority w:val="0"/>
    <w:rPr>
      <w:b/>
      <w:kern w:val="2"/>
      <w:sz w:val="24"/>
      <w:szCs w:val="24"/>
    </w:rPr>
  </w:style>
  <w:style w:type="paragraph" w:customStyle="1" w:styleId="1180">
    <w:name w:val="1 Char Char Char Char Char Char Char Char Char Char Char Char1 Char"/>
    <w:basedOn w:val="1"/>
    <w:autoRedefine/>
    <w:qFormat/>
    <w:uiPriority w:val="0"/>
    <w:pPr>
      <w:ind w:firstLine="0" w:firstLineChars="0"/>
    </w:pPr>
  </w:style>
  <w:style w:type="paragraph" w:customStyle="1" w:styleId="1181">
    <w:name w:val="Char21"/>
    <w:basedOn w:val="1"/>
    <w:next w:val="1"/>
    <w:autoRedefine/>
    <w:qFormat/>
    <w:uiPriority w:val="0"/>
    <w:pPr>
      <w:widowControl/>
      <w:spacing w:line="360" w:lineRule="auto"/>
      <w:jc w:val="left"/>
    </w:pPr>
    <w:rPr>
      <w:rFonts w:ascii="宋体" w:hAnsi="宋体" w:cs="宋体"/>
      <w:kern w:val="0"/>
    </w:rPr>
  </w:style>
  <w:style w:type="character" w:customStyle="1" w:styleId="1182">
    <w:name w:val="报告书正文 Char Char Char"/>
    <w:link w:val="1183"/>
    <w:autoRedefine/>
    <w:semiHidden/>
    <w:qFormat/>
    <w:locked/>
    <w:uiPriority w:val="0"/>
    <w:rPr>
      <w:color w:val="000000"/>
      <w:kern w:val="2"/>
      <w:sz w:val="24"/>
      <w:szCs w:val="24"/>
    </w:rPr>
  </w:style>
  <w:style w:type="paragraph" w:customStyle="1" w:styleId="1183">
    <w:name w:val="报告书正文 Char Char"/>
    <w:basedOn w:val="1"/>
    <w:link w:val="1182"/>
    <w:autoRedefine/>
    <w:semiHidden/>
    <w:qFormat/>
    <w:uiPriority w:val="0"/>
    <w:pPr>
      <w:spacing w:line="300" w:lineRule="auto"/>
      <w:ind w:firstLine="480"/>
    </w:pPr>
    <w:rPr>
      <w:color w:val="000000"/>
    </w:rPr>
  </w:style>
  <w:style w:type="paragraph" w:customStyle="1" w:styleId="1184">
    <w:name w:val="pic-info"/>
    <w:basedOn w:val="1"/>
    <w:autoRedefine/>
    <w:qFormat/>
    <w:uiPriority w:val="0"/>
    <w:pPr>
      <w:widowControl/>
      <w:spacing w:before="100" w:beforeAutospacing="1" w:after="100" w:afterAutospacing="1"/>
      <w:ind w:firstLine="0" w:firstLineChars="0"/>
      <w:jc w:val="left"/>
    </w:pPr>
    <w:rPr>
      <w:rFonts w:ascii="宋体" w:hAnsi="宋体" w:cs="宋体"/>
      <w:kern w:val="0"/>
    </w:rPr>
  </w:style>
  <w:style w:type="paragraph" w:customStyle="1" w:styleId="1185">
    <w:name w:val="Char Char Char21"/>
    <w:basedOn w:val="1"/>
    <w:autoRedefine/>
    <w:qFormat/>
    <w:uiPriority w:val="0"/>
    <w:pPr>
      <w:widowControl/>
      <w:spacing w:after="160" w:line="240" w:lineRule="exact"/>
      <w:ind w:firstLine="0" w:firstLineChars="0"/>
      <w:jc w:val="left"/>
    </w:pPr>
    <w:rPr>
      <w:rFonts w:ascii="Verdana" w:hAnsi="Verdana"/>
      <w:kern w:val="0"/>
      <w:sz w:val="20"/>
      <w:szCs w:val="20"/>
      <w:lang w:eastAsia="en-US"/>
    </w:rPr>
  </w:style>
  <w:style w:type="paragraph" w:customStyle="1" w:styleId="1186">
    <w:name w:val="Char Char1 Char Char Char Char Char Char Char Char Char Char Char Char Char Char Char Char Char Char Char Char1 Char"/>
    <w:basedOn w:val="1"/>
    <w:autoRedefine/>
    <w:qFormat/>
    <w:uiPriority w:val="0"/>
    <w:pPr>
      <w:spacing w:line="360" w:lineRule="auto"/>
    </w:pPr>
    <w:rPr>
      <w:rFonts w:ascii="宋体" w:hAnsi="宋体" w:cs="宋体"/>
    </w:rPr>
  </w:style>
  <w:style w:type="character" w:customStyle="1" w:styleId="1187">
    <w:name w:val="SCCTPI图 Char"/>
    <w:link w:val="1188"/>
    <w:semiHidden/>
    <w:qFormat/>
    <w:locked/>
    <w:uiPriority w:val="0"/>
    <w:rPr>
      <w:kern w:val="2"/>
      <w:sz w:val="21"/>
      <w:szCs w:val="24"/>
      <w:lang w:val="zh-CN"/>
    </w:rPr>
  </w:style>
  <w:style w:type="paragraph" w:customStyle="1" w:styleId="1188">
    <w:name w:val="SCCTPI图"/>
    <w:basedOn w:val="73"/>
    <w:link w:val="1187"/>
    <w:autoRedefine/>
    <w:semiHidden/>
    <w:qFormat/>
    <w:uiPriority w:val="0"/>
    <w:pPr>
      <w:tabs>
        <w:tab w:val="left" w:pos="627"/>
      </w:tabs>
      <w:spacing w:line="240" w:lineRule="auto"/>
      <w:ind w:left="0" w:leftChars="0" w:firstLine="0" w:firstLineChars="0"/>
      <w:jc w:val="center"/>
    </w:pPr>
    <w:rPr>
      <w:sz w:val="21"/>
      <w:lang w:val="zh-CN"/>
    </w:rPr>
  </w:style>
  <w:style w:type="character" w:customStyle="1" w:styleId="1189">
    <w:name w:val="环评正文 Char"/>
    <w:link w:val="1190"/>
    <w:autoRedefine/>
    <w:qFormat/>
    <w:locked/>
    <w:uiPriority w:val="0"/>
    <w:rPr>
      <w:bCs/>
      <w:kern w:val="2"/>
      <w:sz w:val="24"/>
      <w:szCs w:val="24"/>
    </w:rPr>
  </w:style>
  <w:style w:type="paragraph" w:customStyle="1" w:styleId="1190">
    <w:name w:val="环评正文"/>
    <w:basedOn w:val="1"/>
    <w:link w:val="1189"/>
    <w:autoRedefine/>
    <w:qFormat/>
    <w:uiPriority w:val="0"/>
    <w:pPr>
      <w:ind w:firstLine="437"/>
    </w:pPr>
    <w:rPr>
      <w:bCs/>
    </w:rPr>
  </w:style>
  <w:style w:type="paragraph" w:customStyle="1" w:styleId="1191">
    <w:name w:val="2级标题 Char Char Char Char"/>
    <w:basedOn w:val="1"/>
    <w:autoRedefine/>
    <w:qFormat/>
    <w:uiPriority w:val="0"/>
    <w:pPr>
      <w:ind w:firstLine="0" w:firstLineChars="0"/>
    </w:pPr>
    <w:rPr>
      <w:rFonts w:eastAsia="黑体" w:cs="宋体"/>
      <w:b/>
      <w:bCs/>
      <w:color w:val="000000"/>
      <w:sz w:val="32"/>
      <w:szCs w:val="32"/>
    </w:rPr>
  </w:style>
  <w:style w:type="character" w:customStyle="1" w:styleId="1192">
    <w:name w:val="正文文文 Char"/>
    <w:link w:val="1193"/>
    <w:autoRedefine/>
    <w:qFormat/>
    <w:locked/>
    <w:uiPriority w:val="0"/>
    <w:rPr>
      <w:kern w:val="2"/>
      <w:sz w:val="24"/>
      <w:szCs w:val="24"/>
    </w:rPr>
  </w:style>
  <w:style w:type="paragraph" w:customStyle="1" w:styleId="1193">
    <w:name w:val="正文文文"/>
    <w:basedOn w:val="1"/>
    <w:link w:val="1192"/>
    <w:autoRedefine/>
    <w:qFormat/>
    <w:uiPriority w:val="0"/>
    <w:pPr>
      <w:ind w:firstLine="437"/>
    </w:pPr>
  </w:style>
  <w:style w:type="paragraph" w:customStyle="1" w:styleId="1194">
    <w:name w:val="CM37"/>
    <w:basedOn w:val="179"/>
    <w:next w:val="179"/>
    <w:autoRedefine/>
    <w:qFormat/>
    <w:uiPriority w:val="0"/>
    <w:rPr>
      <w:rFonts w:ascii="黑体" w:eastAsia="黑体" w:cs="Times New Roman"/>
      <w:color w:val="auto"/>
    </w:rPr>
  </w:style>
  <w:style w:type="paragraph" w:customStyle="1" w:styleId="1195">
    <w:name w:val="1 Char"/>
    <w:basedOn w:val="1"/>
    <w:autoRedefine/>
    <w:qFormat/>
    <w:uiPriority w:val="0"/>
    <w:pPr>
      <w:ind w:firstLine="0" w:firstLineChars="0"/>
    </w:pPr>
  </w:style>
  <w:style w:type="paragraph" w:customStyle="1" w:styleId="1196">
    <w:name w:val="样式 纯文本 + 黑体 首行缩进:  2 字符 Char"/>
    <w:basedOn w:val="45"/>
    <w:autoRedefine/>
    <w:qFormat/>
    <w:uiPriority w:val="0"/>
    <w:pPr>
      <w:adjustRightInd/>
      <w:spacing w:line="240" w:lineRule="auto"/>
      <w:ind w:firstLine="480" w:firstLineChars="200"/>
      <w:textAlignment w:val="auto"/>
    </w:pPr>
    <w:rPr>
      <w:rFonts w:hint="eastAsia" w:ascii="黑体"/>
      <w:kern w:val="2"/>
      <w:sz w:val="24"/>
      <w:szCs w:val="20"/>
      <w:lang w:val="zh-CN"/>
    </w:rPr>
  </w:style>
  <w:style w:type="paragraph" w:customStyle="1" w:styleId="1197">
    <w:name w:val="Char51"/>
    <w:basedOn w:val="1"/>
    <w:autoRedefine/>
    <w:qFormat/>
    <w:uiPriority w:val="0"/>
    <w:pPr>
      <w:ind w:firstLine="0" w:firstLineChars="0"/>
    </w:pPr>
  </w:style>
  <w:style w:type="paragraph" w:customStyle="1" w:styleId="1198">
    <w:name w:val="样式 样式 正文格式 + 段前: 0.5 行 + 首行缩进:  2 字符 段前: 0.5 行"/>
    <w:basedOn w:val="1"/>
    <w:autoRedefine/>
    <w:qFormat/>
    <w:uiPriority w:val="0"/>
    <w:pPr>
      <w:widowControl/>
      <w:spacing w:beforeLines="50" w:line="440" w:lineRule="exact"/>
      <w:ind w:firstLine="560"/>
      <w:jc w:val="left"/>
    </w:pPr>
    <w:rPr>
      <w:rFonts w:eastAsia="仿宋_GB2312" w:cs="宋体"/>
      <w:sz w:val="28"/>
      <w:szCs w:val="20"/>
    </w:rPr>
  </w:style>
  <w:style w:type="paragraph" w:customStyle="1" w:styleId="1199">
    <w:name w:val="表名A"/>
    <w:basedOn w:val="1"/>
    <w:autoRedefine/>
    <w:qFormat/>
    <w:uiPriority w:val="0"/>
    <w:pPr>
      <w:widowControl/>
      <w:tabs>
        <w:tab w:val="left" w:pos="0"/>
      </w:tabs>
      <w:adjustRightInd w:val="0"/>
      <w:snapToGrid w:val="0"/>
      <w:spacing w:beforeLines="80" w:afterLines="20"/>
      <w:ind w:firstLine="0" w:firstLineChars="0"/>
      <w:jc w:val="center"/>
    </w:pPr>
    <w:rPr>
      <w:b/>
      <w:kern w:val="0"/>
      <w:szCs w:val="20"/>
    </w:rPr>
  </w:style>
  <w:style w:type="paragraph" w:customStyle="1" w:styleId="1200">
    <w:name w:val="标题D"/>
    <w:autoRedefine/>
    <w:qFormat/>
    <w:uiPriority w:val="0"/>
    <w:pPr>
      <w:adjustRightInd w:val="0"/>
      <w:snapToGrid w:val="0"/>
      <w:spacing w:before="240" w:line="360" w:lineRule="auto"/>
      <w:outlineLvl w:val="3"/>
    </w:pPr>
    <w:rPr>
      <w:rFonts w:ascii="Times New Roman" w:hAnsi="Times New Roman" w:eastAsia="宋体" w:cs="Times New Roman"/>
      <w:b/>
      <w:sz w:val="24"/>
      <w:lang w:val="en-US" w:eastAsia="zh-CN" w:bidi="ar-SA"/>
    </w:rPr>
  </w:style>
  <w:style w:type="paragraph" w:customStyle="1" w:styleId="1201">
    <w:name w:val="1 Char Char Char Char Char Char Char Char Char"/>
    <w:basedOn w:val="1"/>
    <w:autoRedefine/>
    <w:qFormat/>
    <w:uiPriority w:val="0"/>
    <w:pPr>
      <w:ind w:firstLine="0" w:firstLineChars="0"/>
    </w:pPr>
  </w:style>
  <w:style w:type="paragraph" w:customStyle="1" w:styleId="1202">
    <w:name w:val="Char Char Char Char1 Char Char Char Char Char Char Char Char1 Char Char Char"/>
    <w:basedOn w:val="1"/>
    <w:autoRedefine/>
    <w:qFormat/>
    <w:uiPriority w:val="0"/>
    <w:rPr>
      <w:rFonts w:ascii="宋体" w:hAnsi="宋体" w:cs="宋体"/>
    </w:rPr>
  </w:style>
  <w:style w:type="paragraph" w:customStyle="1" w:styleId="1203">
    <w:name w:val="正文22磅"/>
    <w:basedOn w:val="1"/>
    <w:autoRedefine/>
    <w:qFormat/>
    <w:uiPriority w:val="0"/>
    <w:pPr>
      <w:spacing w:line="420" w:lineRule="exact"/>
      <w:ind w:firstLine="480"/>
    </w:pPr>
  </w:style>
  <w:style w:type="paragraph" w:customStyle="1" w:styleId="1204">
    <w:name w:val="俺的正文样式"/>
    <w:basedOn w:val="1"/>
    <w:autoRedefine/>
    <w:qFormat/>
    <w:uiPriority w:val="0"/>
    <w:pPr>
      <w:spacing w:line="500" w:lineRule="exact"/>
      <w:ind w:firstLine="560"/>
    </w:pPr>
    <w:rPr>
      <w:rFonts w:ascii="宋体"/>
      <w:sz w:val="28"/>
    </w:rPr>
  </w:style>
  <w:style w:type="paragraph" w:customStyle="1" w:styleId="1205">
    <w:name w:val="样式 题注 + 左侧:  0.98 厘米 首行缩进:  2 字符"/>
    <w:basedOn w:val="22"/>
    <w:autoRedefine/>
    <w:qFormat/>
    <w:uiPriority w:val="0"/>
    <w:pPr>
      <w:adjustRightInd w:val="0"/>
      <w:snapToGrid w:val="0"/>
      <w:spacing w:beforeLines="50" w:after="36" w:line="240" w:lineRule="auto"/>
      <w:ind w:firstLine="480"/>
      <w:jc w:val="both"/>
    </w:pPr>
    <w:rPr>
      <w:rFonts w:eastAsia="宋体"/>
      <w:color w:val="0000FF"/>
      <w14:ligatures w14:val="none"/>
    </w:rPr>
  </w:style>
  <w:style w:type="paragraph" w:customStyle="1" w:styleId="1206">
    <w:name w:val="89E7A41D6FA14BAAA27E9018BC4B9D6F"/>
    <w:autoRedefine/>
    <w:qFormat/>
    <w:uiPriority w:val="0"/>
    <w:pPr>
      <w:spacing w:after="200" w:line="276" w:lineRule="auto"/>
    </w:pPr>
    <w:rPr>
      <w:rFonts w:ascii="Calibri" w:hAnsi="Calibri" w:eastAsia="宋体" w:cs="Times New Roman"/>
      <w:sz w:val="22"/>
      <w:szCs w:val="22"/>
      <w:lang w:val="en-US" w:eastAsia="en-US" w:bidi="ar-SA"/>
    </w:rPr>
  </w:style>
  <w:style w:type="paragraph" w:customStyle="1" w:styleId="1207">
    <w:name w:val="hh段落"/>
    <w:basedOn w:val="1"/>
    <w:autoRedefine/>
    <w:qFormat/>
    <w:uiPriority w:val="0"/>
    <w:rPr>
      <w:rFonts w:ascii="Calibri" w:hAnsi="Calibri"/>
      <w:sz w:val="28"/>
      <w:szCs w:val="28"/>
    </w:rPr>
  </w:style>
  <w:style w:type="paragraph" w:customStyle="1" w:styleId="1208">
    <w:name w:val="Char Char Char Char Char"/>
    <w:basedOn w:val="1"/>
    <w:next w:val="1"/>
    <w:autoRedefine/>
    <w:semiHidden/>
    <w:qFormat/>
    <w:uiPriority w:val="0"/>
    <w:pPr>
      <w:spacing w:line="336" w:lineRule="auto"/>
    </w:pPr>
    <w:rPr>
      <w:rFonts w:eastAsia="黑体" w:cs="宋体"/>
      <w:b/>
      <w:bCs/>
      <w:color w:val="000000"/>
      <w:sz w:val="32"/>
      <w:szCs w:val="32"/>
    </w:rPr>
  </w:style>
  <w:style w:type="paragraph" w:customStyle="1" w:styleId="1209">
    <w:name w:val="HZZH标题—2"/>
    <w:basedOn w:val="4"/>
    <w:next w:val="1210"/>
    <w:autoRedefine/>
    <w:qFormat/>
    <w:uiPriority w:val="0"/>
    <w:pPr>
      <w:numPr>
        <w:numId w:val="17"/>
      </w:numPr>
      <w:tabs>
        <w:tab w:val="left" w:pos="720"/>
      </w:tabs>
      <w:spacing w:before="260" w:after="260" w:line="240" w:lineRule="auto"/>
      <w:jc w:val="left"/>
    </w:pPr>
    <w:rPr>
      <w:rFonts w:ascii="黑体" w:hAnsi="黑体" w:eastAsia="宋体"/>
      <w:color w:val="000000"/>
      <w:szCs w:val="32"/>
      <w:lang w:val="zh-CN"/>
    </w:rPr>
  </w:style>
  <w:style w:type="paragraph" w:customStyle="1" w:styleId="1210">
    <w:name w:val="HZZH标题—3"/>
    <w:basedOn w:val="5"/>
    <w:next w:val="1"/>
    <w:autoRedefine/>
    <w:qFormat/>
    <w:uiPriority w:val="0"/>
    <w:pPr>
      <w:numPr>
        <w:ilvl w:val="3"/>
        <w:numId w:val="17"/>
      </w:numPr>
      <w:tabs>
        <w:tab w:val="left" w:pos="-1800"/>
        <w:tab w:val="left" w:pos="900"/>
      </w:tabs>
      <w:spacing w:before="180" w:after="120"/>
      <w:jc w:val="left"/>
    </w:pPr>
    <w:rPr>
      <w:rFonts w:ascii="黑体"/>
      <w:color w:val="000000"/>
      <w:sz w:val="28"/>
      <w:lang w:val="zh-CN"/>
    </w:rPr>
  </w:style>
  <w:style w:type="paragraph" w:customStyle="1" w:styleId="1211">
    <w:name w:val="HZZH标题—1"/>
    <w:basedOn w:val="3"/>
    <w:next w:val="1209"/>
    <w:autoRedefine/>
    <w:qFormat/>
    <w:uiPriority w:val="0"/>
    <w:pPr>
      <w:keepLines/>
      <w:numPr>
        <w:numId w:val="17"/>
      </w:numPr>
      <w:spacing w:before="480" w:after="480" w:line="240" w:lineRule="auto"/>
    </w:pPr>
    <w:rPr>
      <w:bCs/>
      <w:color w:val="000000"/>
      <w:sz w:val="44"/>
      <w:szCs w:val="24"/>
      <w:lang w:val="zh-CN"/>
    </w:rPr>
  </w:style>
  <w:style w:type="paragraph" w:customStyle="1" w:styleId="1212">
    <w:name w:val="样式 正文首行缩进 + 首行缩进:  1 字符"/>
    <w:basedOn w:val="86"/>
    <w:autoRedefine/>
    <w:qFormat/>
    <w:uiPriority w:val="0"/>
    <w:pPr>
      <w:snapToGrid/>
      <w:spacing w:line="360" w:lineRule="auto"/>
      <w:ind w:firstLine="100"/>
    </w:pPr>
    <w:rPr>
      <w:rFonts w:cs="宋体"/>
      <w:kern w:val="0"/>
      <w:sz w:val="24"/>
      <w:szCs w:val="20"/>
    </w:rPr>
  </w:style>
  <w:style w:type="paragraph" w:customStyle="1" w:styleId="1213">
    <w:name w:val="msolistparagraph"/>
    <w:basedOn w:val="1"/>
    <w:autoRedefine/>
    <w:semiHidden/>
    <w:qFormat/>
    <w:uiPriority w:val="0"/>
    <w:pPr>
      <w:ind w:firstLine="420"/>
    </w:pPr>
  </w:style>
  <w:style w:type="paragraph" w:customStyle="1" w:styleId="1214">
    <w:name w:val="Char Char Char Char Char Char Char Char Char Char7"/>
    <w:basedOn w:val="1"/>
    <w:autoRedefine/>
    <w:qFormat/>
    <w:uiPriority w:val="0"/>
    <w:rPr>
      <w:sz w:val="21"/>
      <w:szCs w:val="20"/>
    </w:rPr>
  </w:style>
  <w:style w:type="paragraph" w:customStyle="1" w:styleId="1215">
    <w:name w:val="Char Char Char Char1 Char Char Char Char Char Char"/>
    <w:basedOn w:val="1"/>
    <w:autoRedefine/>
    <w:qFormat/>
    <w:uiPriority w:val="0"/>
    <w:rPr>
      <w:rFonts w:ascii="宋体" w:hAnsi="宋体" w:cs="宋体"/>
    </w:rPr>
  </w:style>
  <w:style w:type="paragraph" w:customStyle="1" w:styleId="1216">
    <w:name w:val="Char Char Char Char18"/>
    <w:basedOn w:val="1"/>
    <w:autoRedefine/>
    <w:qFormat/>
    <w:uiPriority w:val="0"/>
    <w:rPr>
      <w:rFonts w:ascii="宋体" w:hAnsi="宋体" w:cs="宋体"/>
    </w:rPr>
  </w:style>
  <w:style w:type="paragraph" w:customStyle="1" w:styleId="1217">
    <w:name w:val="Char Char Char Char1 Char Char Char Char Char Char Char Char"/>
    <w:basedOn w:val="1"/>
    <w:autoRedefine/>
    <w:qFormat/>
    <w:uiPriority w:val="0"/>
    <w:rPr>
      <w:rFonts w:ascii="宋体" w:hAnsi="宋体" w:cs="宋体"/>
    </w:rPr>
  </w:style>
  <w:style w:type="character" w:customStyle="1" w:styleId="1218">
    <w:name w:val="样式2 Char Char Char Char Char Char"/>
    <w:link w:val="1219"/>
    <w:autoRedefine/>
    <w:qFormat/>
    <w:locked/>
    <w:uiPriority w:val="0"/>
    <w:rPr>
      <w:kern w:val="2"/>
      <w:sz w:val="24"/>
      <w:szCs w:val="24"/>
      <w:lang w:val="zh-CN"/>
    </w:rPr>
  </w:style>
  <w:style w:type="paragraph" w:customStyle="1" w:styleId="1219">
    <w:name w:val="样式2 Char Char Char Char Char"/>
    <w:basedOn w:val="1"/>
    <w:link w:val="1218"/>
    <w:autoRedefine/>
    <w:qFormat/>
    <w:uiPriority w:val="0"/>
    <w:rPr>
      <w:lang w:val="zh-CN"/>
    </w:rPr>
  </w:style>
  <w:style w:type="paragraph" w:customStyle="1" w:styleId="1220">
    <w:name w:val="小注"/>
    <w:basedOn w:val="280"/>
    <w:autoRedefine/>
    <w:qFormat/>
    <w:uiPriority w:val="0"/>
    <w:pPr>
      <w:adjustRightInd w:val="0"/>
      <w:snapToGrid w:val="0"/>
      <w:spacing w:beforeLines="50" w:line="240" w:lineRule="exact"/>
      <w:ind w:firstLine="200" w:firstLineChars="200"/>
    </w:pPr>
    <w:rPr>
      <w:rFonts w:hAnsi="Times New Roman"/>
      <w:color w:val="000000"/>
      <w:spacing w:val="10"/>
      <w:kern w:val="0"/>
      <w:sz w:val="18"/>
      <w:szCs w:val="20"/>
      <w:lang w:val="zh-CN"/>
    </w:rPr>
  </w:style>
  <w:style w:type="paragraph" w:customStyle="1" w:styleId="1221">
    <w:name w:val="章节"/>
    <w:next w:val="1"/>
    <w:autoRedefine/>
    <w:qFormat/>
    <w:uiPriority w:val="0"/>
    <w:pPr>
      <w:adjustRightInd w:val="0"/>
      <w:snapToGrid w:val="0"/>
      <w:spacing w:beforeLines="300"/>
    </w:pPr>
    <w:rPr>
      <w:rFonts w:ascii="黑体" w:hAnsi="Times New Roman" w:eastAsia="黑体" w:cs="Times New Roman"/>
      <w:b/>
      <w:spacing w:val="10"/>
      <w:sz w:val="28"/>
      <w:lang w:val="en-US" w:eastAsia="zh-CN" w:bidi="ar-SA"/>
    </w:rPr>
  </w:style>
  <w:style w:type="paragraph" w:customStyle="1" w:styleId="1222">
    <w:name w:val="样式 标题 3标题 33 + 段前: 0.5 行"/>
    <w:basedOn w:val="5"/>
    <w:autoRedefine/>
    <w:qFormat/>
    <w:uiPriority w:val="0"/>
    <w:pPr>
      <w:snapToGrid w:val="0"/>
      <w:spacing w:line="360" w:lineRule="auto"/>
      <w:ind w:left="1418" w:hanging="1418"/>
    </w:pPr>
    <w:rPr>
      <w:rFonts w:ascii="黑体" w:hAnsi="宋体"/>
      <w:b w:val="0"/>
      <w:bCs w:val="0"/>
      <w:color w:val="008000"/>
      <w:kern w:val="0"/>
      <w:sz w:val="24"/>
      <w:szCs w:val="20"/>
      <w:lang w:val="zh-CN"/>
    </w:rPr>
  </w:style>
  <w:style w:type="paragraph" w:customStyle="1" w:styleId="1223">
    <w:name w:val="表芯"/>
    <w:basedOn w:val="1"/>
    <w:next w:val="1"/>
    <w:autoRedefine/>
    <w:qFormat/>
    <w:uiPriority w:val="0"/>
    <w:pPr>
      <w:keepNext/>
      <w:adjustRightInd w:val="0"/>
      <w:spacing w:before="20" w:line="0" w:lineRule="atLeast"/>
      <w:jc w:val="center"/>
    </w:pPr>
    <w:rPr>
      <w:rFonts w:ascii="宋体" w:hAnsi="宋体"/>
      <w:bCs/>
      <w:kern w:val="21"/>
      <w:sz w:val="21"/>
      <w:szCs w:val="20"/>
    </w:rPr>
  </w:style>
  <w:style w:type="paragraph" w:customStyle="1" w:styleId="1224">
    <w:name w:val="表题"/>
    <w:basedOn w:val="1"/>
    <w:autoRedefine/>
    <w:qFormat/>
    <w:uiPriority w:val="0"/>
    <w:pPr>
      <w:tabs>
        <w:tab w:val="left" w:pos="720"/>
      </w:tabs>
      <w:adjustRightInd w:val="0"/>
      <w:snapToGrid w:val="0"/>
      <w:spacing w:line="280" w:lineRule="exact"/>
      <w:ind w:left="-105" w:leftChars="-50" w:right="-105" w:rightChars="-50"/>
      <w:jc w:val="center"/>
    </w:pPr>
    <w:rPr>
      <w:color w:val="000000"/>
    </w:rPr>
  </w:style>
  <w:style w:type="paragraph" w:customStyle="1" w:styleId="1225">
    <w:name w:val="标题11"/>
    <w:basedOn w:val="1"/>
    <w:autoRedefine/>
    <w:qFormat/>
    <w:uiPriority w:val="0"/>
    <w:pPr>
      <w:tabs>
        <w:tab w:val="left" w:pos="1292"/>
      </w:tabs>
      <w:adjustRightInd w:val="0"/>
      <w:snapToGrid w:val="0"/>
      <w:spacing w:line="360" w:lineRule="auto"/>
      <w:ind w:left="1292" w:hanging="420"/>
    </w:pPr>
    <w:rPr>
      <w:sz w:val="28"/>
      <w:szCs w:val="20"/>
    </w:rPr>
  </w:style>
  <w:style w:type="paragraph" w:customStyle="1" w:styleId="1226">
    <w:name w:val="样式 倾斜 居中 底端: (粗-细窄间隔 自动设置  3 磅 行宽)"/>
    <w:basedOn w:val="1"/>
    <w:autoRedefine/>
    <w:qFormat/>
    <w:uiPriority w:val="0"/>
    <w:pPr>
      <w:jc w:val="center"/>
    </w:pPr>
    <w:rPr>
      <w:rFonts w:cs="宋体"/>
      <w:i/>
      <w:iCs/>
      <w:szCs w:val="20"/>
    </w:rPr>
  </w:style>
  <w:style w:type="paragraph" w:customStyle="1" w:styleId="1227">
    <w:name w:val="样式 样式 倾斜 居中 底端: (粗-细窄间隔 自动设置  3 磅 行宽) + 非倾斜 底端: (粗-细窄间隔 自动设置 ..."/>
    <w:basedOn w:val="1226"/>
    <w:autoRedefine/>
    <w:qFormat/>
    <w:uiPriority w:val="0"/>
    <w:rPr>
      <w:i w:val="0"/>
      <w:iCs w:val="0"/>
    </w:rPr>
  </w:style>
  <w:style w:type="paragraph" w:customStyle="1" w:styleId="1228">
    <w:name w:val="样式 样式 样式 倾斜 居中 底端: (粗-细窄间隔 自动设置  3 磅 行宽) + 非倾斜 底端: (粗-细窄间隔 自动设置 ..."/>
    <w:basedOn w:val="1227"/>
    <w:autoRedefine/>
    <w:qFormat/>
    <w:uiPriority w:val="0"/>
    <w:pPr>
      <w:spacing w:line="240" w:lineRule="exact"/>
    </w:pPr>
    <w:rPr>
      <w:i/>
      <w:iCs/>
    </w:rPr>
  </w:style>
  <w:style w:type="character" w:customStyle="1" w:styleId="1229">
    <w:name w:val="样式 报告书正文 + 倾斜 居中 底端: (粗-细窄间隔 自动设置  3 磅 行宽) Char"/>
    <w:link w:val="1230"/>
    <w:autoRedefine/>
    <w:qFormat/>
    <w:locked/>
    <w:uiPriority w:val="0"/>
    <w:rPr>
      <w:i/>
      <w:iCs/>
      <w:kern w:val="2"/>
      <w:sz w:val="24"/>
      <w:lang w:val="zh-CN"/>
    </w:rPr>
  </w:style>
  <w:style w:type="paragraph" w:customStyle="1" w:styleId="1230">
    <w:name w:val="样式 报告书正文 + 倾斜 居中 底端: (粗-细窄间隔 自动设置  3 磅 行宽)"/>
    <w:basedOn w:val="1"/>
    <w:link w:val="1229"/>
    <w:autoRedefine/>
    <w:qFormat/>
    <w:uiPriority w:val="0"/>
    <w:pPr>
      <w:adjustRightInd w:val="0"/>
      <w:snapToGrid w:val="0"/>
      <w:spacing w:line="400" w:lineRule="atLeast"/>
      <w:ind w:firstLine="567"/>
      <w:jc w:val="center"/>
    </w:pPr>
    <w:rPr>
      <w:i/>
      <w:iCs/>
      <w:szCs w:val="20"/>
      <w:lang w:val="zh-CN"/>
    </w:rPr>
  </w:style>
  <w:style w:type="paragraph" w:customStyle="1" w:styleId="1231">
    <w:name w:val="样式 样式 样式 报告书正文 + 倾斜 居中 底端: (粗-细窄间隔 自动设置  3 磅 行宽) + 底端: (粗-细窄间隔 自..."/>
    <w:basedOn w:val="1"/>
    <w:autoRedefine/>
    <w:qFormat/>
    <w:uiPriority w:val="0"/>
    <w:pPr>
      <w:pBdr>
        <w:bottom w:val="thickThinSmallGap" w:color="auto" w:sz="24" w:space="1"/>
      </w:pBdr>
      <w:tabs>
        <w:tab w:val="center" w:pos="4153"/>
        <w:tab w:val="right" w:pos="8306"/>
      </w:tabs>
      <w:adjustRightInd w:val="0"/>
      <w:snapToGrid w:val="0"/>
      <w:spacing w:line="400" w:lineRule="atLeast"/>
      <w:ind w:firstLine="567"/>
      <w:jc w:val="center"/>
    </w:pPr>
    <w:rPr>
      <w:iCs/>
      <w:szCs w:val="20"/>
    </w:rPr>
  </w:style>
  <w:style w:type="paragraph" w:customStyle="1" w:styleId="1232">
    <w:name w:val="样式 样式 样式 报告书正文 + 倾斜 居中 底端: (粗-细窄间隔 自动设置  3 磅 行宽) + 底端: (粗-细窄间隔 自...1"/>
    <w:basedOn w:val="1"/>
    <w:autoRedefine/>
    <w:qFormat/>
    <w:uiPriority w:val="0"/>
    <w:pPr>
      <w:pBdr>
        <w:bottom w:val="thickThinSmallGap" w:color="auto" w:sz="24" w:space="1"/>
      </w:pBdr>
      <w:tabs>
        <w:tab w:val="center" w:pos="4153"/>
        <w:tab w:val="right" w:pos="8306"/>
      </w:tabs>
      <w:adjustRightInd w:val="0"/>
      <w:snapToGrid w:val="0"/>
      <w:spacing w:line="400" w:lineRule="atLeast"/>
      <w:ind w:firstLine="567"/>
      <w:jc w:val="center"/>
    </w:pPr>
    <w:rPr>
      <w:i/>
      <w:szCs w:val="20"/>
    </w:rPr>
  </w:style>
  <w:style w:type="paragraph" w:customStyle="1" w:styleId="1233">
    <w:name w:val="样式 样式 样式 报告书正文 + 倾斜 居中 底端: (粗-细窄间隔 自动设置  3 磅 行宽) + 底端: (粗-细窄间隔 自...2"/>
    <w:basedOn w:val="1"/>
    <w:autoRedefine/>
    <w:qFormat/>
    <w:uiPriority w:val="0"/>
    <w:pPr>
      <w:pBdr>
        <w:bottom w:val="thickThinSmallGap" w:color="auto" w:sz="24" w:space="1"/>
      </w:pBdr>
      <w:tabs>
        <w:tab w:val="center" w:pos="4153"/>
        <w:tab w:val="right" w:pos="8306"/>
      </w:tabs>
      <w:adjustRightInd w:val="0"/>
      <w:snapToGrid w:val="0"/>
      <w:spacing w:line="400" w:lineRule="atLeast"/>
      <w:ind w:firstLine="567"/>
      <w:jc w:val="center"/>
    </w:pPr>
    <w:rPr>
      <w:i/>
      <w:szCs w:val="20"/>
    </w:rPr>
  </w:style>
  <w:style w:type="character" w:customStyle="1" w:styleId="1234">
    <w:name w:val="正文报告 Char Char"/>
    <w:autoRedefine/>
    <w:qFormat/>
    <w:locked/>
    <w:uiPriority w:val="0"/>
    <w:rPr>
      <w:kern w:val="2"/>
      <w:sz w:val="28"/>
      <w:szCs w:val="28"/>
      <w:lang w:val="zh-CN" w:eastAsia="zh-CN"/>
    </w:rPr>
  </w:style>
  <w:style w:type="paragraph" w:customStyle="1" w:styleId="1235">
    <w:name w:val="Char Char Char Char4"/>
    <w:basedOn w:val="1"/>
    <w:autoRedefine/>
    <w:qFormat/>
    <w:uiPriority w:val="0"/>
    <w:rPr>
      <w:rFonts w:ascii="宋体" w:hAnsi="宋体" w:cs="宋体"/>
    </w:rPr>
  </w:style>
  <w:style w:type="paragraph" w:customStyle="1" w:styleId="1236">
    <w:name w:val="标题6"/>
    <w:basedOn w:val="1"/>
    <w:autoRedefine/>
    <w:qFormat/>
    <w:uiPriority w:val="99"/>
    <w:pPr>
      <w:autoSpaceDE w:val="0"/>
      <w:autoSpaceDN w:val="0"/>
      <w:adjustRightInd w:val="0"/>
      <w:snapToGrid w:val="0"/>
      <w:spacing w:line="480" w:lineRule="exact"/>
    </w:pPr>
    <w:rPr>
      <w:rFonts w:ascii="黑体" w:hAnsi="宋体" w:eastAsia="黑体"/>
      <w:bCs/>
      <w:kern w:val="0"/>
    </w:rPr>
  </w:style>
  <w:style w:type="character" w:customStyle="1" w:styleId="1237">
    <w:name w:val="标题5 Char"/>
    <w:link w:val="779"/>
    <w:autoRedefine/>
    <w:qFormat/>
    <w:locked/>
    <w:uiPriority w:val="99"/>
    <w:rPr>
      <w:rFonts w:ascii="黑体" w:hAnsi="宋体" w:eastAsia="黑体" w:cs="Courier New"/>
      <w:sz w:val="28"/>
      <w:szCs w:val="28"/>
      <w:lang w:val="zh-CN"/>
    </w:rPr>
  </w:style>
  <w:style w:type="paragraph" w:customStyle="1" w:styleId="1238">
    <w:name w:val="Char19"/>
    <w:basedOn w:val="1"/>
    <w:autoRedefine/>
    <w:qFormat/>
    <w:uiPriority w:val="0"/>
    <w:pPr>
      <w:spacing w:line="360" w:lineRule="auto"/>
    </w:pPr>
    <w:rPr>
      <w:rFonts w:ascii="宋体" w:hAnsi="宋体" w:cs="宋体"/>
    </w:rPr>
  </w:style>
  <w:style w:type="paragraph" w:customStyle="1" w:styleId="1239">
    <w:name w:val="Char110"/>
    <w:basedOn w:val="1"/>
    <w:autoRedefine/>
    <w:qFormat/>
    <w:uiPriority w:val="0"/>
    <w:pPr>
      <w:spacing w:line="360" w:lineRule="auto"/>
    </w:pPr>
    <w:rPr>
      <w:rFonts w:ascii="宋体" w:hAnsi="宋体" w:cs="宋体"/>
    </w:rPr>
  </w:style>
  <w:style w:type="paragraph" w:customStyle="1" w:styleId="1240">
    <w:name w:val="Char Char Char Char1 Char Char"/>
    <w:basedOn w:val="1"/>
    <w:autoRedefine/>
    <w:qFormat/>
    <w:uiPriority w:val="0"/>
    <w:rPr>
      <w:rFonts w:ascii="宋体" w:hAnsi="宋体" w:cs="宋体"/>
    </w:rPr>
  </w:style>
  <w:style w:type="paragraph" w:customStyle="1" w:styleId="1241">
    <w:name w:val="已有表格"/>
    <w:basedOn w:val="1"/>
    <w:autoRedefine/>
    <w:qFormat/>
    <w:uiPriority w:val="0"/>
    <w:pPr>
      <w:adjustRightInd w:val="0"/>
      <w:spacing w:before="40" w:after="40"/>
      <w:jc w:val="center"/>
    </w:pPr>
    <w:rPr>
      <w:b/>
      <w:kern w:val="0"/>
      <w:szCs w:val="20"/>
    </w:rPr>
  </w:style>
  <w:style w:type="paragraph" w:customStyle="1" w:styleId="1242">
    <w:name w:val="应填表格"/>
    <w:basedOn w:val="1241"/>
    <w:autoRedefine/>
    <w:qFormat/>
    <w:uiPriority w:val="0"/>
    <w:pPr>
      <w:jc w:val="left"/>
    </w:pPr>
    <w:rPr>
      <w:b w:val="0"/>
    </w:rPr>
  </w:style>
  <w:style w:type="paragraph" w:customStyle="1" w:styleId="1243">
    <w:name w:val="Char18"/>
    <w:basedOn w:val="1"/>
    <w:autoRedefine/>
    <w:qFormat/>
    <w:uiPriority w:val="0"/>
    <w:pPr>
      <w:spacing w:line="360" w:lineRule="auto"/>
    </w:pPr>
    <w:rPr>
      <w:rFonts w:ascii="宋体" w:hAnsi="宋体" w:cs="宋体"/>
    </w:rPr>
  </w:style>
  <w:style w:type="paragraph" w:customStyle="1" w:styleId="1244">
    <w:name w:val="Char17"/>
    <w:basedOn w:val="1"/>
    <w:autoRedefine/>
    <w:qFormat/>
    <w:uiPriority w:val="0"/>
    <w:pPr>
      <w:spacing w:line="360" w:lineRule="auto"/>
    </w:pPr>
    <w:rPr>
      <w:rFonts w:ascii="宋体" w:hAnsi="宋体" w:cs="宋体"/>
    </w:rPr>
  </w:style>
  <w:style w:type="paragraph" w:customStyle="1" w:styleId="1245">
    <w:name w:val="Char16"/>
    <w:basedOn w:val="1"/>
    <w:autoRedefine/>
    <w:qFormat/>
    <w:uiPriority w:val="0"/>
    <w:pPr>
      <w:spacing w:line="360" w:lineRule="auto"/>
    </w:pPr>
    <w:rPr>
      <w:rFonts w:ascii="宋体" w:hAnsi="宋体" w:cs="宋体"/>
    </w:rPr>
  </w:style>
  <w:style w:type="paragraph" w:customStyle="1" w:styleId="1246">
    <w:name w:val="Char Char Char Char5"/>
    <w:basedOn w:val="1"/>
    <w:autoRedefine/>
    <w:qFormat/>
    <w:uiPriority w:val="99"/>
    <w:pPr>
      <w:spacing w:before="120" w:after="120" w:line="360" w:lineRule="auto"/>
      <w:ind w:firstLine="420"/>
    </w:pPr>
    <w:rPr>
      <w:rFonts w:ascii="Tahoma" w:hAnsi="Tahoma"/>
      <w:sz w:val="28"/>
      <w:szCs w:val="20"/>
    </w:rPr>
  </w:style>
  <w:style w:type="paragraph" w:customStyle="1" w:styleId="1247">
    <w:name w:val="Char Char Char Char Char Char Char3"/>
    <w:basedOn w:val="1"/>
    <w:autoRedefine/>
    <w:qFormat/>
    <w:uiPriority w:val="0"/>
    <w:pPr>
      <w:spacing w:line="360" w:lineRule="auto"/>
    </w:pPr>
    <w:rPr>
      <w:rFonts w:ascii="宋体" w:hAnsi="宋体" w:cs="宋体"/>
    </w:rPr>
  </w:style>
  <w:style w:type="paragraph" w:customStyle="1" w:styleId="1248">
    <w:name w:val="Char Char Char Char Char Char Char2"/>
    <w:basedOn w:val="1"/>
    <w:autoRedefine/>
    <w:qFormat/>
    <w:uiPriority w:val="0"/>
    <w:pPr>
      <w:spacing w:line="360" w:lineRule="auto"/>
    </w:pPr>
    <w:rPr>
      <w:rFonts w:ascii="宋体" w:hAnsi="宋体" w:cs="宋体"/>
    </w:rPr>
  </w:style>
  <w:style w:type="paragraph" w:customStyle="1" w:styleId="1249">
    <w:name w:val="Char Char Char Char Char Char Char Char Char1 Char Char Char Char"/>
    <w:basedOn w:val="1"/>
    <w:autoRedefine/>
    <w:qFormat/>
    <w:uiPriority w:val="0"/>
    <w:pPr>
      <w:spacing w:line="360" w:lineRule="auto"/>
    </w:pPr>
    <w:rPr>
      <w:rFonts w:ascii="宋体" w:hAnsi="宋体"/>
      <w:szCs w:val="26"/>
    </w:rPr>
  </w:style>
  <w:style w:type="paragraph" w:customStyle="1" w:styleId="1250">
    <w:name w:val="Char Char Char Char Char Char Char1"/>
    <w:basedOn w:val="1"/>
    <w:autoRedefine/>
    <w:qFormat/>
    <w:uiPriority w:val="0"/>
    <w:pPr>
      <w:spacing w:line="360" w:lineRule="auto"/>
    </w:pPr>
    <w:rPr>
      <w:rFonts w:ascii="宋体" w:hAnsi="宋体" w:cs="宋体"/>
    </w:rPr>
  </w:style>
  <w:style w:type="character" w:customStyle="1" w:styleId="1251">
    <w:name w:val="HZZH正文 Char"/>
    <w:link w:val="1252"/>
    <w:autoRedefine/>
    <w:qFormat/>
    <w:locked/>
    <w:uiPriority w:val="0"/>
    <w:rPr>
      <w:rFonts w:ascii="宋体" w:hAnsi="宋体"/>
      <w:kern w:val="2"/>
      <w:sz w:val="24"/>
      <w:szCs w:val="21"/>
      <w:lang w:val="zh-CN"/>
    </w:rPr>
  </w:style>
  <w:style w:type="paragraph" w:customStyle="1" w:styleId="1252">
    <w:name w:val="HZZH正文"/>
    <w:basedOn w:val="1"/>
    <w:link w:val="1251"/>
    <w:autoRedefine/>
    <w:qFormat/>
    <w:uiPriority w:val="0"/>
    <w:pPr>
      <w:spacing w:line="360" w:lineRule="auto"/>
      <w:ind w:firstLine="480"/>
    </w:pPr>
    <w:rPr>
      <w:rFonts w:ascii="宋体" w:hAnsi="宋体"/>
      <w:szCs w:val="21"/>
      <w:lang w:val="zh-CN"/>
    </w:rPr>
  </w:style>
  <w:style w:type="paragraph" w:customStyle="1" w:styleId="1253">
    <w:name w:val="HZZH表格内容"/>
    <w:basedOn w:val="1"/>
    <w:autoRedefine/>
    <w:qFormat/>
    <w:uiPriority w:val="0"/>
    <w:pPr>
      <w:widowControl/>
      <w:jc w:val="center"/>
    </w:pPr>
    <w:rPr>
      <w:kern w:val="0"/>
      <w:sz w:val="20"/>
      <w:szCs w:val="20"/>
    </w:rPr>
  </w:style>
  <w:style w:type="paragraph" w:customStyle="1" w:styleId="1254">
    <w:name w:val="Char Char Char Char Char Char Char4"/>
    <w:basedOn w:val="1"/>
    <w:autoRedefine/>
    <w:qFormat/>
    <w:uiPriority w:val="0"/>
    <w:pPr>
      <w:spacing w:line="360" w:lineRule="auto"/>
    </w:pPr>
    <w:rPr>
      <w:rFonts w:ascii="宋体" w:hAnsi="宋体" w:cs="宋体"/>
    </w:rPr>
  </w:style>
  <w:style w:type="paragraph" w:customStyle="1" w:styleId="1255">
    <w:name w:val="Char Char Char Char Char Char Char7"/>
    <w:basedOn w:val="1"/>
    <w:autoRedefine/>
    <w:qFormat/>
    <w:uiPriority w:val="0"/>
    <w:pPr>
      <w:spacing w:line="360" w:lineRule="auto"/>
    </w:pPr>
    <w:rPr>
      <w:rFonts w:ascii="宋体" w:hAnsi="宋体" w:cs="宋体"/>
    </w:rPr>
  </w:style>
  <w:style w:type="paragraph" w:customStyle="1" w:styleId="1256">
    <w:name w:val="Char Char Char Char6"/>
    <w:basedOn w:val="1"/>
    <w:autoRedefine/>
    <w:qFormat/>
    <w:uiPriority w:val="99"/>
    <w:pPr>
      <w:spacing w:before="120" w:after="120" w:line="360" w:lineRule="auto"/>
      <w:ind w:firstLine="420"/>
    </w:pPr>
    <w:rPr>
      <w:rFonts w:ascii="Tahoma" w:hAnsi="Tahoma"/>
      <w:sz w:val="28"/>
      <w:szCs w:val="20"/>
    </w:rPr>
  </w:style>
  <w:style w:type="paragraph" w:customStyle="1" w:styleId="1257">
    <w:name w:val="Char Char Char Char Char Char Char6"/>
    <w:basedOn w:val="1"/>
    <w:autoRedefine/>
    <w:qFormat/>
    <w:uiPriority w:val="0"/>
    <w:pPr>
      <w:spacing w:line="360" w:lineRule="auto"/>
    </w:pPr>
    <w:rPr>
      <w:rFonts w:ascii="宋体" w:hAnsi="宋体" w:cs="宋体"/>
    </w:rPr>
  </w:style>
  <w:style w:type="paragraph" w:customStyle="1" w:styleId="1258">
    <w:name w:val="Char Char Char Char Char Char Char5"/>
    <w:basedOn w:val="1"/>
    <w:autoRedefine/>
    <w:qFormat/>
    <w:uiPriority w:val="0"/>
    <w:pPr>
      <w:spacing w:line="360" w:lineRule="auto"/>
    </w:pPr>
    <w:rPr>
      <w:rFonts w:ascii="宋体" w:hAnsi="宋体" w:cs="宋体"/>
    </w:rPr>
  </w:style>
  <w:style w:type="paragraph" w:customStyle="1" w:styleId="1259">
    <w:name w:val="Char Char Char1 Char1"/>
    <w:basedOn w:val="1"/>
    <w:next w:val="1"/>
    <w:autoRedefine/>
    <w:qFormat/>
    <w:uiPriority w:val="0"/>
    <w:pPr>
      <w:spacing w:line="360" w:lineRule="auto"/>
    </w:pPr>
    <w:rPr>
      <w:rFonts w:ascii="宋体" w:hAnsi="宋体" w:cs="宋体"/>
    </w:rPr>
  </w:style>
  <w:style w:type="paragraph" w:customStyle="1" w:styleId="1260">
    <w:name w:val="Char Char Char1 Char4"/>
    <w:basedOn w:val="1"/>
    <w:next w:val="1"/>
    <w:autoRedefine/>
    <w:semiHidden/>
    <w:qFormat/>
    <w:uiPriority w:val="0"/>
    <w:pPr>
      <w:spacing w:line="360" w:lineRule="auto"/>
    </w:pPr>
    <w:rPr>
      <w:rFonts w:ascii="宋体" w:hAnsi="宋体" w:cs="宋体"/>
    </w:rPr>
  </w:style>
  <w:style w:type="paragraph" w:customStyle="1" w:styleId="1261">
    <w:name w:val="Char Char Char1 Char3"/>
    <w:basedOn w:val="1"/>
    <w:next w:val="1"/>
    <w:autoRedefine/>
    <w:semiHidden/>
    <w:qFormat/>
    <w:uiPriority w:val="0"/>
    <w:pPr>
      <w:spacing w:line="360" w:lineRule="auto"/>
    </w:pPr>
    <w:rPr>
      <w:rFonts w:ascii="宋体" w:hAnsi="宋体" w:cs="宋体"/>
    </w:rPr>
  </w:style>
  <w:style w:type="paragraph" w:customStyle="1" w:styleId="1262">
    <w:name w:val="Char Char Char1 Char2"/>
    <w:basedOn w:val="1"/>
    <w:next w:val="1"/>
    <w:semiHidden/>
    <w:qFormat/>
    <w:uiPriority w:val="0"/>
    <w:pPr>
      <w:spacing w:line="360" w:lineRule="auto"/>
    </w:pPr>
    <w:rPr>
      <w:rFonts w:ascii="宋体" w:hAnsi="宋体" w:cs="宋体"/>
    </w:rPr>
  </w:style>
  <w:style w:type="paragraph" w:customStyle="1" w:styleId="1263">
    <w:name w:val="Char20"/>
    <w:basedOn w:val="1"/>
    <w:autoRedefine/>
    <w:qFormat/>
    <w:uiPriority w:val="0"/>
    <w:pPr>
      <w:spacing w:line="360" w:lineRule="auto"/>
    </w:pPr>
    <w:rPr>
      <w:rFonts w:ascii="宋体" w:hAnsi="宋体" w:cs="宋体"/>
    </w:rPr>
  </w:style>
  <w:style w:type="paragraph" w:customStyle="1" w:styleId="1264">
    <w:name w:val="Char38"/>
    <w:basedOn w:val="1"/>
    <w:qFormat/>
    <w:uiPriority w:val="0"/>
    <w:pPr>
      <w:spacing w:line="360" w:lineRule="auto"/>
    </w:pPr>
    <w:rPr>
      <w:rFonts w:ascii="宋体" w:hAnsi="宋体" w:cs="宋体"/>
    </w:rPr>
  </w:style>
  <w:style w:type="paragraph" w:customStyle="1" w:styleId="1265">
    <w:name w:val="Char37"/>
    <w:basedOn w:val="1"/>
    <w:autoRedefine/>
    <w:qFormat/>
    <w:uiPriority w:val="0"/>
    <w:pPr>
      <w:spacing w:line="360" w:lineRule="auto"/>
    </w:pPr>
    <w:rPr>
      <w:rFonts w:ascii="宋体" w:hAnsi="宋体" w:cs="宋体"/>
    </w:rPr>
  </w:style>
  <w:style w:type="paragraph" w:customStyle="1" w:styleId="1266">
    <w:name w:val="Char36"/>
    <w:basedOn w:val="1"/>
    <w:autoRedefine/>
    <w:qFormat/>
    <w:uiPriority w:val="0"/>
    <w:pPr>
      <w:spacing w:line="360" w:lineRule="auto"/>
    </w:pPr>
    <w:rPr>
      <w:rFonts w:ascii="宋体" w:hAnsi="宋体" w:cs="宋体"/>
    </w:rPr>
  </w:style>
  <w:style w:type="paragraph" w:customStyle="1" w:styleId="1267">
    <w:name w:val="Char35"/>
    <w:basedOn w:val="1"/>
    <w:autoRedefine/>
    <w:qFormat/>
    <w:uiPriority w:val="0"/>
    <w:pPr>
      <w:spacing w:line="360" w:lineRule="auto"/>
    </w:pPr>
    <w:rPr>
      <w:rFonts w:ascii="宋体" w:hAnsi="宋体" w:cs="宋体"/>
    </w:rPr>
  </w:style>
  <w:style w:type="paragraph" w:customStyle="1" w:styleId="1268">
    <w:name w:val="Char34"/>
    <w:basedOn w:val="1"/>
    <w:autoRedefine/>
    <w:qFormat/>
    <w:uiPriority w:val="0"/>
    <w:pPr>
      <w:spacing w:line="360" w:lineRule="auto"/>
    </w:pPr>
    <w:rPr>
      <w:rFonts w:ascii="宋体" w:hAnsi="宋体" w:cs="宋体"/>
    </w:rPr>
  </w:style>
  <w:style w:type="paragraph" w:customStyle="1" w:styleId="1269">
    <w:name w:val="Char33"/>
    <w:basedOn w:val="1"/>
    <w:autoRedefine/>
    <w:qFormat/>
    <w:uiPriority w:val="0"/>
    <w:pPr>
      <w:spacing w:line="360" w:lineRule="auto"/>
    </w:pPr>
    <w:rPr>
      <w:rFonts w:ascii="宋体" w:hAnsi="宋体" w:cs="宋体"/>
    </w:rPr>
  </w:style>
  <w:style w:type="paragraph" w:customStyle="1" w:styleId="1270">
    <w:name w:val="Char32"/>
    <w:basedOn w:val="1"/>
    <w:autoRedefine/>
    <w:qFormat/>
    <w:uiPriority w:val="0"/>
    <w:pPr>
      <w:spacing w:line="360" w:lineRule="auto"/>
    </w:pPr>
    <w:rPr>
      <w:rFonts w:ascii="宋体" w:hAnsi="宋体" w:cs="宋体"/>
    </w:rPr>
  </w:style>
  <w:style w:type="paragraph" w:customStyle="1" w:styleId="1271">
    <w:name w:val="Char30"/>
    <w:basedOn w:val="1"/>
    <w:autoRedefine/>
    <w:qFormat/>
    <w:uiPriority w:val="0"/>
    <w:pPr>
      <w:spacing w:line="360" w:lineRule="auto"/>
    </w:pPr>
    <w:rPr>
      <w:rFonts w:ascii="宋体" w:hAnsi="宋体" w:cs="宋体"/>
    </w:rPr>
  </w:style>
  <w:style w:type="paragraph" w:customStyle="1" w:styleId="1272">
    <w:name w:val="Char29"/>
    <w:basedOn w:val="1"/>
    <w:autoRedefine/>
    <w:qFormat/>
    <w:uiPriority w:val="0"/>
    <w:pPr>
      <w:spacing w:line="360" w:lineRule="auto"/>
    </w:pPr>
    <w:rPr>
      <w:rFonts w:ascii="宋体" w:hAnsi="宋体" w:cs="宋体"/>
    </w:rPr>
  </w:style>
  <w:style w:type="paragraph" w:customStyle="1" w:styleId="1273">
    <w:name w:val="Char Char Char Char Char Char Char Char Char Char3"/>
    <w:basedOn w:val="1"/>
    <w:autoRedefine/>
    <w:qFormat/>
    <w:uiPriority w:val="0"/>
    <w:pPr>
      <w:spacing w:beforeLines="50"/>
    </w:pPr>
    <w:rPr>
      <w:rFonts w:ascii="Tahoma" w:hAnsi="Tahoma"/>
      <w:szCs w:val="20"/>
    </w:rPr>
  </w:style>
  <w:style w:type="paragraph" w:customStyle="1" w:styleId="1274">
    <w:name w:val="Char28"/>
    <w:basedOn w:val="1"/>
    <w:autoRedefine/>
    <w:qFormat/>
    <w:uiPriority w:val="0"/>
    <w:pPr>
      <w:spacing w:line="360" w:lineRule="auto"/>
    </w:pPr>
    <w:rPr>
      <w:rFonts w:ascii="宋体" w:hAnsi="宋体" w:cs="宋体"/>
    </w:rPr>
  </w:style>
  <w:style w:type="paragraph" w:customStyle="1" w:styleId="1275">
    <w:name w:val="Char27"/>
    <w:basedOn w:val="1"/>
    <w:autoRedefine/>
    <w:qFormat/>
    <w:uiPriority w:val="0"/>
    <w:pPr>
      <w:spacing w:line="360" w:lineRule="auto"/>
    </w:pPr>
    <w:rPr>
      <w:rFonts w:ascii="宋体" w:hAnsi="宋体" w:cs="宋体"/>
    </w:rPr>
  </w:style>
  <w:style w:type="paragraph" w:customStyle="1" w:styleId="1276">
    <w:name w:val="Char26"/>
    <w:basedOn w:val="1"/>
    <w:autoRedefine/>
    <w:qFormat/>
    <w:uiPriority w:val="0"/>
    <w:pPr>
      <w:spacing w:line="360" w:lineRule="auto"/>
    </w:pPr>
    <w:rPr>
      <w:rFonts w:ascii="宋体" w:hAnsi="宋体" w:cs="宋体"/>
    </w:rPr>
  </w:style>
  <w:style w:type="paragraph" w:customStyle="1" w:styleId="1277">
    <w:name w:val="Char25"/>
    <w:basedOn w:val="1"/>
    <w:autoRedefine/>
    <w:qFormat/>
    <w:uiPriority w:val="0"/>
    <w:pPr>
      <w:spacing w:line="360" w:lineRule="auto"/>
    </w:pPr>
    <w:rPr>
      <w:rFonts w:ascii="宋体" w:hAnsi="宋体" w:cs="宋体"/>
    </w:rPr>
  </w:style>
  <w:style w:type="paragraph" w:customStyle="1" w:styleId="1278">
    <w:name w:val="Char24"/>
    <w:basedOn w:val="1"/>
    <w:autoRedefine/>
    <w:qFormat/>
    <w:uiPriority w:val="0"/>
    <w:pPr>
      <w:spacing w:line="360" w:lineRule="auto"/>
    </w:pPr>
    <w:rPr>
      <w:rFonts w:ascii="宋体" w:hAnsi="宋体" w:cs="宋体"/>
    </w:rPr>
  </w:style>
  <w:style w:type="paragraph" w:customStyle="1" w:styleId="1279">
    <w:name w:val="第一章"/>
    <w:basedOn w:val="3"/>
    <w:autoRedefine/>
    <w:qFormat/>
    <w:uiPriority w:val="0"/>
    <w:pPr>
      <w:keepLines/>
      <w:tabs>
        <w:tab w:val="clear" w:pos="0"/>
      </w:tabs>
      <w:spacing w:line="720" w:lineRule="auto"/>
    </w:pPr>
    <w:rPr>
      <w:bCs/>
      <w:kern w:val="44"/>
      <w:lang w:val="zh-CN"/>
    </w:rPr>
  </w:style>
  <w:style w:type="paragraph" w:customStyle="1" w:styleId="1280">
    <w:name w:val="Char31"/>
    <w:basedOn w:val="1"/>
    <w:autoRedefine/>
    <w:qFormat/>
    <w:uiPriority w:val="0"/>
    <w:pPr>
      <w:tabs>
        <w:tab w:val="left" w:pos="794"/>
        <w:tab w:val="left" w:pos="1191"/>
        <w:tab w:val="left" w:pos="1588"/>
        <w:tab w:val="left" w:pos="1985"/>
      </w:tabs>
      <w:autoSpaceDE w:val="0"/>
      <w:autoSpaceDN w:val="0"/>
      <w:adjustRightInd w:val="0"/>
      <w:spacing w:before="136"/>
    </w:pPr>
    <w:rPr>
      <w:rFonts w:ascii="Tahoma" w:hAnsi="Tahoma"/>
      <w:kern w:val="0"/>
      <w:szCs w:val="20"/>
      <w:lang w:val="en-GB"/>
    </w:rPr>
  </w:style>
  <w:style w:type="paragraph" w:customStyle="1" w:styleId="1281">
    <w:name w:val="Char Char Char Char Char Char Char Char Char Char Char Char Char Char Char Char Char Char Char Char Char Char1"/>
    <w:basedOn w:val="1"/>
    <w:next w:val="1"/>
    <w:autoRedefine/>
    <w:qFormat/>
    <w:uiPriority w:val="0"/>
    <w:pPr>
      <w:spacing w:line="360" w:lineRule="auto"/>
    </w:pPr>
    <w:rPr>
      <w:rFonts w:ascii="宋体" w:hAnsi="宋体" w:cs="宋体"/>
    </w:rPr>
  </w:style>
  <w:style w:type="paragraph" w:customStyle="1" w:styleId="1282">
    <w:name w:val="Char Char Char1 Char Char Char Char1"/>
    <w:basedOn w:val="1"/>
    <w:next w:val="1"/>
    <w:autoRedefine/>
    <w:semiHidden/>
    <w:qFormat/>
    <w:uiPriority w:val="0"/>
    <w:pPr>
      <w:spacing w:line="360" w:lineRule="auto"/>
    </w:pPr>
    <w:rPr>
      <w:rFonts w:ascii="宋体" w:hAnsi="宋体" w:cs="宋体"/>
    </w:rPr>
  </w:style>
  <w:style w:type="paragraph" w:customStyle="1" w:styleId="1283">
    <w:name w:val="Char23"/>
    <w:basedOn w:val="1"/>
    <w:autoRedefine/>
    <w:qFormat/>
    <w:uiPriority w:val="0"/>
    <w:pPr>
      <w:spacing w:line="360" w:lineRule="auto"/>
    </w:pPr>
    <w:rPr>
      <w:rFonts w:ascii="宋体" w:hAnsi="宋体" w:cs="宋体"/>
    </w:rPr>
  </w:style>
  <w:style w:type="paragraph" w:customStyle="1" w:styleId="1284">
    <w:name w:val="Char22"/>
    <w:basedOn w:val="1"/>
    <w:autoRedefine/>
    <w:qFormat/>
    <w:uiPriority w:val="0"/>
    <w:pPr>
      <w:spacing w:line="360" w:lineRule="auto"/>
    </w:pPr>
    <w:rPr>
      <w:rFonts w:ascii="宋体" w:hAnsi="宋体" w:cs="宋体"/>
    </w:rPr>
  </w:style>
  <w:style w:type="paragraph" w:customStyle="1" w:styleId="1285">
    <w:name w:val="Char Char Char Char Char Char Char Char Char Char6"/>
    <w:basedOn w:val="1"/>
    <w:autoRedefine/>
    <w:qFormat/>
    <w:uiPriority w:val="0"/>
    <w:pPr>
      <w:spacing w:beforeLines="50"/>
    </w:pPr>
    <w:rPr>
      <w:rFonts w:ascii="Tahoma" w:hAnsi="Tahoma"/>
      <w:szCs w:val="20"/>
    </w:rPr>
  </w:style>
  <w:style w:type="paragraph" w:customStyle="1" w:styleId="1286">
    <w:name w:val="Char Char Char Char Char Char Char Char Char Char5"/>
    <w:basedOn w:val="1"/>
    <w:autoRedefine/>
    <w:qFormat/>
    <w:uiPriority w:val="0"/>
    <w:pPr>
      <w:spacing w:beforeLines="50"/>
    </w:pPr>
    <w:rPr>
      <w:rFonts w:ascii="Tahoma" w:hAnsi="Tahoma"/>
      <w:szCs w:val="20"/>
    </w:rPr>
  </w:style>
  <w:style w:type="paragraph" w:customStyle="1" w:styleId="1287">
    <w:name w:val="Char50"/>
    <w:basedOn w:val="1"/>
    <w:autoRedefine/>
    <w:qFormat/>
    <w:uiPriority w:val="0"/>
    <w:pPr>
      <w:spacing w:line="360" w:lineRule="auto"/>
    </w:pPr>
    <w:rPr>
      <w:rFonts w:ascii="宋体" w:hAnsi="宋体" w:cs="宋体"/>
    </w:rPr>
  </w:style>
  <w:style w:type="paragraph" w:customStyle="1" w:styleId="1288">
    <w:name w:val="Char40"/>
    <w:basedOn w:val="1"/>
    <w:autoRedefine/>
    <w:qFormat/>
    <w:uiPriority w:val="0"/>
    <w:pPr>
      <w:spacing w:line="360" w:lineRule="auto"/>
    </w:pPr>
    <w:rPr>
      <w:rFonts w:ascii="宋体" w:hAnsi="宋体" w:cs="宋体"/>
    </w:rPr>
  </w:style>
  <w:style w:type="paragraph" w:customStyle="1" w:styleId="1289">
    <w:name w:val="Char39"/>
    <w:basedOn w:val="1"/>
    <w:qFormat/>
    <w:uiPriority w:val="0"/>
    <w:pPr>
      <w:spacing w:line="360" w:lineRule="auto"/>
    </w:pPr>
    <w:rPr>
      <w:rFonts w:ascii="宋体" w:hAnsi="宋体" w:cs="宋体"/>
    </w:rPr>
  </w:style>
  <w:style w:type="paragraph" w:customStyle="1" w:styleId="1290">
    <w:name w:val="Char Char Char1 Char Char Char Char Char Char Char Char Char Char Char Char Char Char Char Char Char Char Char Char Char Char Char Char"/>
    <w:basedOn w:val="1"/>
    <w:autoRedefine/>
    <w:qFormat/>
    <w:uiPriority w:val="0"/>
    <w:rPr>
      <w:rFonts w:ascii="宋体" w:hAnsi="宋体" w:cs="宋体"/>
    </w:rPr>
  </w:style>
  <w:style w:type="paragraph" w:customStyle="1" w:styleId="1291">
    <w:name w:val="Char Char Char1 Char Char Char Char Char Char Char Char Char Char Char Char Char Char Char Char Char Char Char Char Char Char Char Char Char"/>
    <w:basedOn w:val="1"/>
    <w:autoRedefine/>
    <w:qFormat/>
    <w:uiPriority w:val="0"/>
    <w:rPr>
      <w:rFonts w:ascii="宋体" w:hAnsi="宋体" w:cs="宋体"/>
    </w:rPr>
  </w:style>
  <w:style w:type="paragraph" w:customStyle="1" w:styleId="1292">
    <w:name w:val="Char42"/>
    <w:basedOn w:val="1"/>
    <w:autoRedefine/>
    <w:qFormat/>
    <w:uiPriority w:val="0"/>
    <w:pPr>
      <w:spacing w:line="360" w:lineRule="auto"/>
    </w:pPr>
    <w:rPr>
      <w:rFonts w:ascii="宋体" w:hAnsi="宋体" w:cs="宋体"/>
    </w:rPr>
  </w:style>
  <w:style w:type="paragraph" w:customStyle="1" w:styleId="1293">
    <w:name w:val="Char41"/>
    <w:basedOn w:val="1"/>
    <w:autoRedefine/>
    <w:qFormat/>
    <w:uiPriority w:val="0"/>
    <w:pPr>
      <w:spacing w:line="360" w:lineRule="auto"/>
    </w:pPr>
    <w:rPr>
      <w:rFonts w:ascii="宋体" w:hAnsi="宋体" w:cs="宋体"/>
    </w:rPr>
  </w:style>
  <w:style w:type="paragraph" w:customStyle="1" w:styleId="1294">
    <w:name w:val="Char Char Char Char Char Char Char Char Char Char4"/>
    <w:basedOn w:val="1"/>
    <w:autoRedefine/>
    <w:qFormat/>
    <w:uiPriority w:val="0"/>
    <w:pPr>
      <w:spacing w:beforeLines="50"/>
    </w:pPr>
    <w:rPr>
      <w:rFonts w:ascii="Tahoma" w:hAnsi="Tahoma"/>
      <w:szCs w:val="20"/>
    </w:rPr>
  </w:style>
  <w:style w:type="paragraph" w:customStyle="1" w:styleId="1295">
    <w:name w:val="Char Char Char Char17"/>
    <w:basedOn w:val="1"/>
    <w:autoRedefine/>
    <w:qFormat/>
    <w:uiPriority w:val="0"/>
    <w:rPr>
      <w:sz w:val="21"/>
      <w:szCs w:val="21"/>
    </w:rPr>
  </w:style>
  <w:style w:type="paragraph" w:customStyle="1" w:styleId="1296">
    <w:name w:val="1 Char Char Char Char Char Char Char Char Char Char"/>
    <w:basedOn w:val="1"/>
    <w:autoRedefine/>
    <w:uiPriority w:val="0"/>
  </w:style>
  <w:style w:type="paragraph" w:customStyle="1" w:styleId="1297">
    <w:name w:val="Char49"/>
    <w:basedOn w:val="1"/>
    <w:autoRedefine/>
    <w:qFormat/>
    <w:uiPriority w:val="0"/>
    <w:pPr>
      <w:spacing w:line="360" w:lineRule="auto"/>
    </w:pPr>
    <w:rPr>
      <w:rFonts w:ascii="宋体" w:hAnsi="宋体" w:cs="宋体"/>
    </w:rPr>
  </w:style>
  <w:style w:type="paragraph" w:customStyle="1" w:styleId="1298">
    <w:name w:val="Char48"/>
    <w:basedOn w:val="1"/>
    <w:autoRedefine/>
    <w:qFormat/>
    <w:uiPriority w:val="0"/>
  </w:style>
  <w:style w:type="paragraph" w:customStyle="1" w:styleId="1299">
    <w:name w:val="Char Char Char Char16"/>
    <w:basedOn w:val="1"/>
    <w:autoRedefine/>
    <w:qFormat/>
    <w:uiPriority w:val="0"/>
    <w:rPr>
      <w:sz w:val="21"/>
      <w:szCs w:val="21"/>
    </w:rPr>
  </w:style>
  <w:style w:type="paragraph" w:customStyle="1" w:styleId="1300">
    <w:name w:val="Char Char Char Char15"/>
    <w:basedOn w:val="1"/>
    <w:autoRedefine/>
    <w:qFormat/>
    <w:uiPriority w:val="0"/>
    <w:rPr>
      <w:sz w:val="21"/>
      <w:szCs w:val="21"/>
    </w:rPr>
  </w:style>
  <w:style w:type="paragraph" w:customStyle="1" w:styleId="1301">
    <w:name w:val="Char47"/>
    <w:basedOn w:val="1"/>
    <w:autoRedefine/>
    <w:qFormat/>
    <w:uiPriority w:val="0"/>
    <w:pPr>
      <w:spacing w:line="360" w:lineRule="auto"/>
    </w:pPr>
    <w:rPr>
      <w:rFonts w:ascii="宋体" w:hAnsi="宋体" w:cs="宋体"/>
    </w:rPr>
  </w:style>
  <w:style w:type="paragraph" w:customStyle="1" w:styleId="1302">
    <w:name w:val="Char Char Char Char14"/>
    <w:basedOn w:val="1"/>
    <w:autoRedefine/>
    <w:qFormat/>
    <w:uiPriority w:val="99"/>
    <w:rPr>
      <w:sz w:val="21"/>
      <w:szCs w:val="21"/>
    </w:rPr>
  </w:style>
  <w:style w:type="paragraph" w:customStyle="1" w:styleId="1303">
    <w:name w:val="Char46"/>
    <w:basedOn w:val="1"/>
    <w:autoRedefine/>
    <w:qFormat/>
    <w:uiPriority w:val="0"/>
    <w:pPr>
      <w:spacing w:line="360" w:lineRule="auto"/>
    </w:pPr>
    <w:rPr>
      <w:rFonts w:ascii="宋体" w:hAnsi="宋体" w:cs="宋体"/>
    </w:rPr>
  </w:style>
  <w:style w:type="paragraph" w:customStyle="1" w:styleId="1304">
    <w:name w:val="Char Char Char Char1 Char Char Char Char Char Char Char"/>
    <w:basedOn w:val="1"/>
    <w:autoRedefine/>
    <w:qFormat/>
    <w:uiPriority w:val="0"/>
    <w:rPr>
      <w:rFonts w:ascii="宋体" w:hAnsi="宋体" w:cs="宋体"/>
    </w:rPr>
  </w:style>
  <w:style w:type="paragraph" w:customStyle="1" w:styleId="1305">
    <w:name w:val="Char Char Char Char13"/>
    <w:basedOn w:val="1"/>
    <w:autoRedefine/>
    <w:qFormat/>
    <w:uiPriority w:val="99"/>
    <w:rPr>
      <w:sz w:val="21"/>
      <w:szCs w:val="21"/>
    </w:rPr>
  </w:style>
  <w:style w:type="paragraph" w:customStyle="1" w:styleId="1306">
    <w:name w:val="Char Char Char Char12"/>
    <w:basedOn w:val="1"/>
    <w:autoRedefine/>
    <w:qFormat/>
    <w:uiPriority w:val="99"/>
    <w:rPr>
      <w:sz w:val="21"/>
      <w:szCs w:val="21"/>
    </w:rPr>
  </w:style>
  <w:style w:type="paragraph" w:customStyle="1" w:styleId="1307">
    <w:name w:val="Char Char Char Char11"/>
    <w:basedOn w:val="1"/>
    <w:autoRedefine/>
    <w:qFormat/>
    <w:uiPriority w:val="99"/>
    <w:rPr>
      <w:sz w:val="21"/>
      <w:szCs w:val="21"/>
    </w:rPr>
  </w:style>
  <w:style w:type="paragraph" w:customStyle="1" w:styleId="1308">
    <w:name w:val="Char45"/>
    <w:basedOn w:val="1"/>
    <w:autoRedefine/>
    <w:qFormat/>
    <w:uiPriority w:val="0"/>
  </w:style>
  <w:style w:type="paragraph" w:customStyle="1" w:styleId="1309">
    <w:name w:val="Char Char Char Char10"/>
    <w:basedOn w:val="1"/>
    <w:autoRedefine/>
    <w:qFormat/>
    <w:uiPriority w:val="99"/>
    <w:rPr>
      <w:sz w:val="21"/>
      <w:szCs w:val="21"/>
    </w:rPr>
  </w:style>
  <w:style w:type="paragraph" w:customStyle="1" w:styleId="1310">
    <w:name w:val="Char44"/>
    <w:basedOn w:val="1"/>
    <w:autoRedefine/>
    <w:qFormat/>
    <w:uiPriority w:val="0"/>
    <w:pPr>
      <w:spacing w:line="360" w:lineRule="auto"/>
    </w:pPr>
    <w:rPr>
      <w:rFonts w:ascii="宋体" w:hAnsi="宋体" w:cs="宋体"/>
    </w:rPr>
  </w:style>
  <w:style w:type="paragraph" w:customStyle="1" w:styleId="1311">
    <w:name w:val="Char43"/>
    <w:basedOn w:val="1"/>
    <w:autoRedefine/>
    <w:qFormat/>
    <w:uiPriority w:val="0"/>
    <w:pPr>
      <w:spacing w:line="360" w:lineRule="auto"/>
    </w:pPr>
    <w:rPr>
      <w:rFonts w:ascii="宋体" w:hAnsi="宋体" w:cs="宋体"/>
    </w:rPr>
  </w:style>
  <w:style w:type="paragraph" w:customStyle="1" w:styleId="1312">
    <w:name w:val="Char Char Char Char9"/>
    <w:basedOn w:val="1"/>
    <w:autoRedefine/>
    <w:qFormat/>
    <w:uiPriority w:val="99"/>
    <w:rPr>
      <w:sz w:val="21"/>
      <w:szCs w:val="21"/>
    </w:rPr>
  </w:style>
  <w:style w:type="paragraph" w:customStyle="1" w:styleId="1313">
    <w:name w:val="1 Char Char Char Char Char Char Char Char Char Char Char Char"/>
    <w:basedOn w:val="1"/>
    <w:autoRedefine/>
    <w:qFormat/>
    <w:uiPriority w:val="0"/>
  </w:style>
  <w:style w:type="paragraph" w:customStyle="1" w:styleId="1314">
    <w:name w:val="7AB5F74500E048D4B9BBBD9DC8C79AA1"/>
    <w:autoRedefine/>
    <w:uiPriority w:val="0"/>
    <w:pPr>
      <w:spacing w:after="200" w:line="276" w:lineRule="auto"/>
    </w:pPr>
    <w:rPr>
      <w:rFonts w:ascii="Calibri" w:hAnsi="Calibri" w:eastAsia="宋体" w:cs="Times New Roman"/>
      <w:sz w:val="22"/>
      <w:szCs w:val="22"/>
      <w:lang w:val="en-US" w:eastAsia="en-US" w:bidi="ar-SA"/>
    </w:rPr>
  </w:style>
  <w:style w:type="paragraph" w:customStyle="1" w:styleId="1315">
    <w:name w:val="3761E84A00C04894881C218FFB92E41B"/>
    <w:autoRedefine/>
    <w:qFormat/>
    <w:uiPriority w:val="0"/>
    <w:pPr>
      <w:spacing w:after="200" w:line="276" w:lineRule="auto"/>
    </w:pPr>
    <w:rPr>
      <w:rFonts w:ascii="Calibri" w:hAnsi="Calibri" w:eastAsia="宋体" w:cs="Times New Roman"/>
      <w:sz w:val="22"/>
      <w:szCs w:val="22"/>
      <w:lang w:val="en-US" w:eastAsia="en-US" w:bidi="ar-SA"/>
    </w:rPr>
  </w:style>
  <w:style w:type="paragraph" w:customStyle="1" w:styleId="1316">
    <w:name w:val="样式 小四 首行缩进:  0.85 厘米 行距: 最小值 21 磅"/>
    <w:basedOn w:val="1"/>
    <w:autoRedefine/>
    <w:qFormat/>
    <w:uiPriority w:val="0"/>
    <w:pPr>
      <w:spacing w:line="500" w:lineRule="atLeast"/>
      <w:ind w:firstLine="482" w:firstLineChars="0"/>
    </w:pPr>
    <w:rPr>
      <w:rFonts w:cs="宋体"/>
      <w:szCs w:val="20"/>
    </w:rPr>
  </w:style>
  <w:style w:type="paragraph" w:customStyle="1" w:styleId="1317">
    <w:name w:val="Char Char Char1 Char5"/>
    <w:basedOn w:val="1"/>
    <w:next w:val="1"/>
    <w:semiHidden/>
    <w:qFormat/>
    <w:uiPriority w:val="0"/>
    <w:pPr>
      <w:spacing w:line="360" w:lineRule="auto"/>
    </w:pPr>
    <w:rPr>
      <w:rFonts w:ascii="宋体" w:hAnsi="宋体" w:cs="宋体"/>
    </w:rPr>
  </w:style>
  <w:style w:type="paragraph" w:customStyle="1" w:styleId="1318">
    <w:name w:val="Char Char Char Char Char Char Char8"/>
    <w:basedOn w:val="1"/>
    <w:autoRedefine/>
    <w:qFormat/>
    <w:uiPriority w:val="0"/>
    <w:pPr>
      <w:spacing w:line="360" w:lineRule="auto"/>
    </w:pPr>
    <w:rPr>
      <w:rFonts w:ascii="宋体" w:hAnsi="宋体" w:cs="宋体"/>
    </w:rPr>
  </w:style>
  <w:style w:type="paragraph" w:customStyle="1" w:styleId="1319">
    <w:name w:val="Char Char Char Char Char Char Char9"/>
    <w:basedOn w:val="1"/>
    <w:autoRedefine/>
    <w:qFormat/>
    <w:uiPriority w:val="0"/>
    <w:pPr>
      <w:spacing w:line="360" w:lineRule="auto"/>
    </w:pPr>
    <w:rPr>
      <w:rFonts w:ascii="宋体" w:hAnsi="宋体" w:cs="宋体"/>
    </w:rPr>
  </w:style>
  <w:style w:type="paragraph" w:customStyle="1" w:styleId="1320">
    <w:name w:val="Char Char Char1 Char6"/>
    <w:basedOn w:val="1"/>
    <w:autoRedefine/>
    <w:qFormat/>
    <w:uiPriority w:val="0"/>
    <w:pPr>
      <w:ind w:firstLine="0" w:firstLineChars="0"/>
    </w:pPr>
    <w:rPr>
      <w:sz w:val="21"/>
    </w:rPr>
  </w:style>
  <w:style w:type="paragraph" w:customStyle="1" w:styleId="1321">
    <w:name w:val="1 Char Char Char Char Char Char Char Char Char Char Char Char Char Char Char1 Char"/>
    <w:basedOn w:val="1"/>
    <w:autoRedefine/>
    <w:qFormat/>
    <w:uiPriority w:val="0"/>
    <w:pPr>
      <w:ind w:firstLine="0" w:firstLineChars="0"/>
    </w:pPr>
  </w:style>
  <w:style w:type="paragraph" w:customStyle="1" w:styleId="1322">
    <w:name w:val="Char Char1 Char1"/>
    <w:basedOn w:val="1"/>
    <w:autoRedefine/>
    <w:qFormat/>
    <w:uiPriority w:val="0"/>
    <w:pPr>
      <w:ind w:firstLine="0" w:firstLineChars="0"/>
    </w:pPr>
    <w:rPr>
      <w:rFonts w:eastAsia="黑体" w:cs="宋体"/>
      <w:b/>
      <w:bCs/>
      <w:color w:val="000000"/>
      <w:sz w:val="32"/>
      <w:szCs w:val="32"/>
    </w:rPr>
  </w:style>
  <w:style w:type="paragraph" w:customStyle="1" w:styleId="1323">
    <w:name w:val="Char Char Char Char Char Char Char Char Char Char Char Char Char Char Char Char Char Char Char Char Char Char Char Char Char Char Char Char Char Char Char Char Char Char Char Char Char Char Char Char Char Char Char Char Char Char1"/>
    <w:basedOn w:val="1"/>
    <w:next w:val="1"/>
    <w:autoRedefine/>
    <w:qFormat/>
    <w:uiPriority w:val="0"/>
    <w:pPr>
      <w:pBdr>
        <w:right w:val="single" w:color="auto" w:sz="12" w:space="4"/>
      </w:pBdr>
      <w:spacing w:line="360" w:lineRule="auto"/>
    </w:pPr>
    <w:rPr>
      <w:rFonts w:ascii="宋体" w:hAnsi="宋体" w:cs="宋体"/>
      <w:sz w:val="28"/>
    </w:rPr>
  </w:style>
  <w:style w:type="character" w:customStyle="1" w:styleId="1324">
    <w:name w:val="样式 标题 6 + (中文) 宋体 四号 非加粗1 Char"/>
    <w:link w:val="1325"/>
    <w:autoRedefine/>
    <w:qFormat/>
    <w:locked/>
    <w:uiPriority w:val="0"/>
    <w:rPr>
      <w:rFonts w:ascii="Arial" w:hAnsi="Arial"/>
      <w:kern w:val="2"/>
      <w:sz w:val="28"/>
      <w:szCs w:val="24"/>
      <w:lang w:val="zh-CN"/>
    </w:rPr>
  </w:style>
  <w:style w:type="paragraph" w:customStyle="1" w:styleId="1325">
    <w:name w:val="样式 标题 6 + (中文) 宋体 四号 非加粗1"/>
    <w:basedOn w:val="8"/>
    <w:link w:val="1324"/>
    <w:autoRedefine/>
    <w:qFormat/>
    <w:uiPriority w:val="0"/>
    <w:pPr>
      <w:keepLines/>
      <w:numPr>
        <w:ilvl w:val="0"/>
        <w:numId w:val="0"/>
      </w:numPr>
      <w:tabs>
        <w:tab w:val="left" w:pos="0"/>
      </w:tabs>
      <w:snapToGrid/>
      <w:spacing w:before="240" w:after="64" w:line="316" w:lineRule="auto"/>
      <w:ind w:left="1134" w:hanging="1134"/>
      <w:jc w:val="both"/>
    </w:pPr>
    <w:rPr>
      <w:rFonts w:ascii="Arial" w:hAnsi="Arial"/>
      <w:b w:val="0"/>
      <w:sz w:val="28"/>
      <w:lang w:val="zh-CN"/>
    </w:rPr>
  </w:style>
  <w:style w:type="paragraph" w:customStyle="1" w:styleId="1326">
    <w:name w:val="样式 样式 四号 行距: 1.5 倍行距 + 左侧:  2 字符 首行缩进:  2 字符"/>
    <w:basedOn w:val="1"/>
    <w:qFormat/>
    <w:uiPriority w:val="0"/>
    <w:pPr>
      <w:spacing w:line="360" w:lineRule="auto"/>
      <w:ind w:left="300" w:leftChars="300"/>
    </w:pPr>
    <w:rPr>
      <w:rFonts w:cs="宋体"/>
      <w:sz w:val="28"/>
      <w:szCs w:val="20"/>
    </w:rPr>
  </w:style>
  <w:style w:type="paragraph" w:customStyle="1" w:styleId="1327">
    <w:name w:val="Char Char Char1 Char Char Char Char Char Char Char"/>
    <w:basedOn w:val="1"/>
    <w:autoRedefine/>
    <w:qFormat/>
    <w:uiPriority w:val="0"/>
    <w:pPr>
      <w:spacing w:line="360" w:lineRule="auto"/>
    </w:pPr>
    <w:rPr>
      <w:rFonts w:ascii="宋体" w:hAnsi="宋体" w:cs="宋体"/>
    </w:rPr>
  </w:style>
  <w:style w:type="paragraph" w:customStyle="1" w:styleId="1328">
    <w:name w:val="Char Char Char Char19"/>
    <w:basedOn w:val="1"/>
    <w:autoRedefine/>
    <w:qFormat/>
    <w:uiPriority w:val="0"/>
    <w:pPr>
      <w:spacing w:line="360" w:lineRule="auto"/>
    </w:pPr>
    <w:rPr>
      <w:sz w:val="21"/>
    </w:rPr>
  </w:style>
  <w:style w:type="paragraph" w:customStyle="1" w:styleId="1329">
    <w:name w:val="Char Char Char Char1 Char Char Char Char Char Char Char Char Char Char Char"/>
    <w:basedOn w:val="1"/>
    <w:autoRedefine/>
    <w:uiPriority w:val="0"/>
    <w:rPr>
      <w:rFonts w:ascii="宋体" w:hAnsi="宋体" w:cs="宋体"/>
    </w:rPr>
  </w:style>
  <w:style w:type="paragraph" w:customStyle="1" w:styleId="1330">
    <w:name w:val="DJ3"/>
    <w:basedOn w:val="5"/>
    <w:next w:val="1"/>
    <w:autoRedefine/>
    <w:qFormat/>
    <w:uiPriority w:val="0"/>
    <w:pPr>
      <w:keepNext w:val="0"/>
      <w:keepLines w:val="0"/>
      <w:tabs>
        <w:tab w:val="left" w:pos="1833"/>
      </w:tabs>
      <w:adjustRightInd w:val="0"/>
      <w:snapToGrid w:val="0"/>
      <w:spacing w:before="120" w:line="360" w:lineRule="auto"/>
      <w:ind w:left="1320" w:hanging="567"/>
      <w:jc w:val="left"/>
    </w:pPr>
    <w:rPr>
      <w:rFonts w:ascii="黑体"/>
      <w:bCs w:val="0"/>
      <w:sz w:val="28"/>
      <w:lang w:val="zh-CN"/>
    </w:rPr>
  </w:style>
  <w:style w:type="character" w:customStyle="1" w:styleId="1331">
    <w:name w:val="22 Char"/>
    <w:link w:val="1332"/>
    <w:autoRedefine/>
    <w:qFormat/>
    <w:locked/>
    <w:uiPriority w:val="0"/>
    <w:rPr>
      <w:color w:val="FF0000"/>
      <w:sz w:val="24"/>
      <w:szCs w:val="24"/>
      <w:lang w:val="zh-CN"/>
    </w:rPr>
  </w:style>
  <w:style w:type="paragraph" w:customStyle="1" w:styleId="1332">
    <w:name w:val="22"/>
    <w:basedOn w:val="1"/>
    <w:link w:val="1331"/>
    <w:autoRedefine/>
    <w:qFormat/>
    <w:uiPriority w:val="0"/>
    <w:pPr>
      <w:snapToGrid w:val="0"/>
      <w:ind w:firstLine="480"/>
    </w:pPr>
    <w:rPr>
      <w:color w:val="FF0000"/>
      <w:kern w:val="0"/>
      <w:lang w:val="zh-CN"/>
    </w:rPr>
  </w:style>
  <w:style w:type="paragraph" w:customStyle="1" w:styleId="1333">
    <w:name w:val="Char Char Char Char Char Char Char Char"/>
    <w:basedOn w:val="1"/>
    <w:autoRedefine/>
    <w:qFormat/>
    <w:uiPriority w:val="0"/>
    <w:pPr>
      <w:ind w:firstLine="0" w:firstLineChars="0"/>
    </w:pPr>
    <w:rPr>
      <w:sz w:val="21"/>
      <w:szCs w:val="20"/>
    </w:rPr>
  </w:style>
  <w:style w:type="paragraph" w:customStyle="1" w:styleId="1334">
    <w:name w:val="正文缩2字"/>
    <w:basedOn w:val="87"/>
    <w:autoRedefine/>
    <w:qFormat/>
    <w:uiPriority w:val="0"/>
    <w:pPr>
      <w:tabs>
        <w:tab w:val="clear" w:pos="964"/>
        <w:tab w:val="clear" w:pos="1172"/>
      </w:tabs>
      <w:spacing w:after="120" w:line="560" w:lineRule="exact"/>
      <w:ind w:left="0" w:firstLine="200" w:firstLineChars="200"/>
    </w:pPr>
    <w:rPr>
      <w:rFonts w:ascii="Times New Roman" w:hAnsi="Times New Roman"/>
      <w:lang w:val="zh-CN"/>
    </w:rPr>
  </w:style>
  <w:style w:type="paragraph" w:customStyle="1" w:styleId="1335">
    <w:name w:val="Char Char7"/>
    <w:basedOn w:val="1"/>
    <w:next w:val="1"/>
    <w:autoRedefine/>
    <w:qFormat/>
    <w:uiPriority w:val="0"/>
    <w:pPr>
      <w:spacing w:line="360" w:lineRule="auto"/>
      <w:ind w:firstLine="0" w:firstLineChars="0"/>
      <w:jc w:val="left"/>
      <w:outlineLvl w:val="3"/>
    </w:pPr>
    <w:rPr>
      <w:b/>
    </w:rPr>
  </w:style>
  <w:style w:type="character" w:customStyle="1" w:styleId="1336">
    <w:name w:val="样式 小四 行距: 1.5 倍行距 Char"/>
    <w:link w:val="1337"/>
    <w:autoRedefine/>
    <w:qFormat/>
    <w:locked/>
    <w:uiPriority w:val="0"/>
    <w:rPr>
      <w:kern w:val="2"/>
      <w:sz w:val="24"/>
    </w:rPr>
  </w:style>
  <w:style w:type="paragraph" w:customStyle="1" w:styleId="1337">
    <w:name w:val="样式 小四 行距: 1.5 倍行距"/>
    <w:basedOn w:val="1"/>
    <w:link w:val="1336"/>
    <w:autoRedefine/>
    <w:qFormat/>
    <w:uiPriority w:val="0"/>
    <w:pPr>
      <w:spacing w:line="520" w:lineRule="atLeast"/>
    </w:pPr>
    <w:rPr>
      <w:szCs w:val="20"/>
    </w:rPr>
  </w:style>
  <w:style w:type="paragraph" w:customStyle="1" w:styleId="1338">
    <w:name w:val="Char55"/>
    <w:basedOn w:val="1"/>
    <w:autoRedefine/>
    <w:semiHidden/>
    <w:qFormat/>
    <w:uiPriority w:val="0"/>
    <w:pPr>
      <w:spacing w:line="360" w:lineRule="auto"/>
    </w:pPr>
    <w:rPr>
      <w:rFonts w:ascii="宋体" w:hAnsi="宋体" w:cs="宋体"/>
    </w:rPr>
  </w:style>
  <w:style w:type="paragraph" w:customStyle="1" w:styleId="1339">
    <w:name w:val="Char Char Char Char Char Char Char Char Char Char8"/>
    <w:basedOn w:val="1"/>
    <w:autoRedefine/>
    <w:qFormat/>
    <w:uiPriority w:val="0"/>
    <w:pPr>
      <w:spacing w:beforeLines="50"/>
      <w:ind w:firstLine="0" w:firstLineChars="0"/>
    </w:pPr>
    <w:rPr>
      <w:rFonts w:ascii="Tahoma" w:hAnsi="Tahoma"/>
      <w:szCs w:val="20"/>
    </w:rPr>
  </w:style>
  <w:style w:type="paragraph" w:customStyle="1" w:styleId="1340">
    <w:name w:val="Char54"/>
    <w:basedOn w:val="1"/>
    <w:autoRedefine/>
    <w:qFormat/>
    <w:uiPriority w:val="0"/>
    <w:pPr>
      <w:spacing w:line="360" w:lineRule="auto"/>
    </w:pPr>
    <w:rPr>
      <w:rFonts w:ascii="宋体" w:hAnsi="宋体" w:cs="宋体"/>
    </w:rPr>
  </w:style>
  <w:style w:type="paragraph" w:customStyle="1" w:styleId="1341">
    <w:name w:val="Char53"/>
    <w:basedOn w:val="1"/>
    <w:autoRedefine/>
    <w:qFormat/>
    <w:uiPriority w:val="0"/>
    <w:pPr>
      <w:spacing w:line="360" w:lineRule="auto"/>
    </w:pPr>
    <w:rPr>
      <w:rFonts w:ascii="宋体" w:hAnsi="宋体" w:cs="宋体"/>
    </w:rPr>
  </w:style>
  <w:style w:type="paragraph" w:customStyle="1" w:styleId="1342">
    <w:name w:val="Char Char Char Char Char Char Char Char Char Char Char Char Char Char Char Char Char Char Char Char Char Char Char Char Char Char Char Char Char Char Char Char Char Char Char Char Char Char Char Char Char Char Char Char Char Char11"/>
    <w:basedOn w:val="1"/>
    <w:next w:val="1"/>
    <w:autoRedefine/>
    <w:qFormat/>
    <w:uiPriority w:val="0"/>
    <w:pPr>
      <w:pBdr>
        <w:right w:val="single" w:color="auto" w:sz="12" w:space="4"/>
      </w:pBdr>
      <w:spacing w:line="360" w:lineRule="auto"/>
    </w:pPr>
    <w:rPr>
      <w:sz w:val="28"/>
      <w:szCs w:val="20"/>
    </w:rPr>
  </w:style>
  <w:style w:type="paragraph" w:customStyle="1" w:styleId="1343">
    <w:name w:val="Char Char Char Char Char Char Char Char Char Char Char Char Char Char Char Char Char Char Char Char Char Char Char Char Char Char Char Char Char Char Char Char Char Char Char Char Char Char Char Char Char Char Char Char Char Char10"/>
    <w:basedOn w:val="1"/>
    <w:next w:val="1"/>
    <w:autoRedefine/>
    <w:uiPriority w:val="0"/>
    <w:pPr>
      <w:pBdr>
        <w:right w:val="single" w:color="auto" w:sz="12" w:space="4"/>
      </w:pBdr>
      <w:spacing w:line="360" w:lineRule="auto"/>
    </w:pPr>
    <w:rPr>
      <w:sz w:val="28"/>
      <w:szCs w:val="20"/>
    </w:rPr>
  </w:style>
  <w:style w:type="paragraph" w:customStyle="1" w:styleId="1344">
    <w:name w:val="Char Char Char Char Char Char Char Char Char Char Char Char Char Char Char Char Char Char Char Char Char Char Char Char Char Char Char Char Char Char Char Char Char Char Char Char Char Char Char Char Char Char Char Char Char Char9"/>
    <w:basedOn w:val="1"/>
    <w:next w:val="1"/>
    <w:autoRedefine/>
    <w:qFormat/>
    <w:uiPriority w:val="0"/>
    <w:pPr>
      <w:pBdr>
        <w:right w:val="single" w:color="auto" w:sz="12" w:space="4"/>
      </w:pBdr>
      <w:spacing w:line="360" w:lineRule="auto"/>
    </w:pPr>
    <w:rPr>
      <w:sz w:val="28"/>
      <w:szCs w:val="20"/>
    </w:rPr>
  </w:style>
  <w:style w:type="character" w:customStyle="1" w:styleId="1345">
    <w:name w:val="样式 正文首行缩进 2 Char Char"/>
    <w:link w:val="1346"/>
    <w:autoRedefine/>
    <w:qFormat/>
    <w:locked/>
    <w:uiPriority w:val="0"/>
    <w:rPr>
      <w:bCs/>
      <w:kern w:val="2"/>
      <w:sz w:val="28"/>
      <w:szCs w:val="28"/>
      <w:lang w:val="zh-CN"/>
    </w:rPr>
  </w:style>
  <w:style w:type="paragraph" w:customStyle="1" w:styleId="1346">
    <w:name w:val="样式 正文首行缩进 2"/>
    <w:basedOn w:val="87"/>
    <w:link w:val="1345"/>
    <w:autoRedefine/>
    <w:qFormat/>
    <w:uiPriority w:val="0"/>
    <w:pPr>
      <w:widowControl/>
      <w:tabs>
        <w:tab w:val="clear" w:pos="964"/>
        <w:tab w:val="clear" w:pos="1172"/>
      </w:tabs>
      <w:spacing w:afterLines="50" w:line="500" w:lineRule="exact"/>
      <w:ind w:left="0" w:firstLine="605" w:firstLineChars="216"/>
    </w:pPr>
    <w:rPr>
      <w:rFonts w:ascii="Times New Roman" w:hAnsi="Times New Roman"/>
      <w:bCs/>
      <w:szCs w:val="28"/>
      <w:lang w:val="zh-CN"/>
    </w:rPr>
  </w:style>
  <w:style w:type="paragraph" w:customStyle="1" w:styleId="1347">
    <w:name w:val="Char Char Char Char Char Char Char Char Char Char Char Char Char Char Char Char Char Char Char Char Char Char Char Char Char Char Char Char Char Char Char Char Char Char Char Char Char Char Char Char Char Char Char Char Char Char8"/>
    <w:basedOn w:val="1"/>
    <w:next w:val="1"/>
    <w:autoRedefine/>
    <w:qFormat/>
    <w:uiPriority w:val="0"/>
    <w:pPr>
      <w:pBdr>
        <w:right w:val="single" w:color="auto" w:sz="12" w:space="4"/>
      </w:pBdr>
      <w:spacing w:line="360" w:lineRule="auto"/>
    </w:pPr>
    <w:rPr>
      <w:sz w:val="28"/>
      <w:szCs w:val="20"/>
    </w:rPr>
  </w:style>
  <w:style w:type="paragraph" w:customStyle="1" w:styleId="1348">
    <w:name w:val="Char52"/>
    <w:basedOn w:val="1"/>
    <w:autoRedefine/>
    <w:uiPriority w:val="0"/>
    <w:pPr>
      <w:ind w:firstLine="0" w:firstLineChars="0"/>
    </w:pPr>
    <w:rPr>
      <w:sz w:val="21"/>
    </w:rPr>
  </w:style>
  <w:style w:type="paragraph" w:customStyle="1" w:styleId="1349">
    <w:name w:val="Char Char Char Char Char Char Char Char Char Char Char Char Char Char Char Char Char Char Char Char Char Char Char Char Char Char Char Char Char Char Char Char Char Char Char Char Char Char Char Char Char Char Char Char Char Char7"/>
    <w:basedOn w:val="1"/>
    <w:next w:val="1"/>
    <w:autoRedefine/>
    <w:qFormat/>
    <w:uiPriority w:val="0"/>
    <w:pPr>
      <w:pBdr>
        <w:right w:val="single" w:color="auto" w:sz="12" w:space="4"/>
      </w:pBdr>
      <w:spacing w:line="360" w:lineRule="auto"/>
    </w:pPr>
    <w:rPr>
      <w:sz w:val="28"/>
      <w:szCs w:val="20"/>
    </w:rPr>
  </w:style>
  <w:style w:type="paragraph" w:customStyle="1" w:styleId="1350">
    <w:name w:val="Char Char Char Char Char Char Char Char Char Char Char Char Char Char Char Char Char Char Char Char Char Char Char Char Char Char Char Char Char Char Char Char Char Char Char Char Char Char Char Char Char Char Char Char Char Char6"/>
    <w:basedOn w:val="1"/>
    <w:next w:val="1"/>
    <w:autoRedefine/>
    <w:qFormat/>
    <w:uiPriority w:val="0"/>
    <w:pPr>
      <w:pBdr>
        <w:right w:val="single" w:color="auto" w:sz="12" w:space="4"/>
      </w:pBdr>
      <w:spacing w:line="360" w:lineRule="auto"/>
    </w:pPr>
    <w:rPr>
      <w:sz w:val="28"/>
      <w:szCs w:val="20"/>
    </w:rPr>
  </w:style>
  <w:style w:type="paragraph" w:customStyle="1" w:styleId="1351">
    <w:name w:val="Char Char Char Char Char Char Char Char Char Char Char Char Char Char Char Char Char Char Char Char Char Char Char Char Char Char Char Char Char Char Char Char Char Char Char Char Char Char Char Char Char Char Char Char Char Char5"/>
    <w:basedOn w:val="1"/>
    <w:next w:val="1"/>
    <w:semiHidden/>
    <w:qFormat/>
    <w:uiPriority w:val="0"/>
    <w:pPr>
      <w:pBdr>
        <w:right w:val="single" w:color="auto" w:sz="12" w:space="4"/>
      </w:pBdr>
      <w:spacing w:line="360" w:lineRule="auto"/>
    </w:pPr>
    <w:rPr>
      <w:sz w:val="28"/>
      <w:szCs w:val="20"/>
    </w:rPr>
  </w:style>
  <w:style w:type="paragraph" w:customStyle="1" w:styleId="1352">
    <w:name w:val="Char Char Char Char Char Char Char Char Char Char Char Char Char Char Char Char Char Char Char Char Char Char Char Char Char Char Char Char Char Char Char Char Char Char Char Char Char Char Char Char Char Char Char Char Char Char4"/>
    <w:basedOn w:val="1"/>
    <w:next w:val="1"/>
    <w:autoRedefine/>
    <w:semiHidden/>
    <w:qFormat/>
    <w:uiPriority w:val="0"/>
    <w:pPr>
      <w:pBdr>
        <w:right w:val="single" w:color="auto" w:sz="12" w:space="4"/>
      </w:pBdr>
      <w:spacing w:line="360" w:lineRule="auto"/>
    </w:pPr>
    <w:rPr>
      <w:sz w:val="28"/>
      <w:szCs w:val="20"/>
    </w:rPr>
  </w:style>
  <w:style w:type="paragraph" w:customStyle="1" w:styleId="1353">
    <w:name w:val="Char Char Char Char Char Char Char Char Char Char Char Char Char Char Char Char Char Char Char Char Char Char Char Char Char Char Char Char Char Char Char Char Char Char Char Char Char Char Char Char Char Char Char Char Char Char3"/>
    <w:basedOn w:val="1"/>
    <w:next w:val="1"/>
    <w:autoRedefine/>
    <w:uiPriority w:val="0"/>
    <w:pPr>
      <w:pBdr>
        <w:right w:val="single" w:color="auto" w:sz="12" w:space="4"/>
      </w:pBdr>
      <w:spacing w:line="360" w:lineRule="auto"/>
    </w:pPr>
    <w:rPr>
      <w:sz w:val="28"/>
      <w:szCs w:val="20"/>
    </w:rPr>
  </w:style>
  <w:style w:type="paragraph" w:customStyle="1" w:styleId="1354">
    <w:name w:val="Char Char Char Char Char Char Char Char Char Char Char Char Char Char Char Char Char Char Char Char Char Char Char Char Char Char Char Char Char Char Char Char Char Char Char Char Char Char Char Char Char Char Char Char Char Char2"/>
    <w:basedOn w:val="1"/>
    <w:next w:val="1"/>
    <w:autoRedefine/>
    <w:semiHidden/>
    <w:qFormat/>
    <w:uiPriority w:val="0"/>
    <w:pPr>
      <w:pBdr>
        <w:right w:val="single" w:color="auto" w:sz="12" w:space="4"/>
      </w:pBdr>
      <w:spacing w:line="360" w:lineRule="auto"/>
    </w:pPr>
    <w:rPr>
      <w:sz w:val="28"/>
      <w:szCs w:val="20"/>
    </w:rPr>
  </w:style>
  <w:style w:type="paragraph" w:customStyle="1" w:styleId="1355">
    <w:name w:val="p0"/>
    <w:basedOn w:val="1"/>
    <w:link w:val="3038"/>
    <w:autoRedefine/>
    <w:qFormat/>
    <w:uiPriority w:val="0"/>
    <w:pPr>
      <w:widowControl/>
      <w:ind w:firstLine="0" w:firstLineChars="0"/>
    </w:pPr>
    <w:rPr>
      <w:kern w:val="0"/>
      <w:sz w:val="21"/>
      <w:szCs w:val="21"/>
    </w:rPr>
  </w:style>
  <w:style w:type="paragraph" w:customStyle="1" w:styleId="1356">
    <w:name w:val="p18"/>
    <w:basedOn w:val="1"/>
    <w:autoRedefine/>
    <w:qFormat/>
    <w:uiPriority w:val="0"/>
    <w:pPr>
      <w:widowControl/>
      <w:spacing w:line="480" w:lineRule="atLeast"/>
      <w:ind w:firstLine="0" w:firstLineChars="0"/>
    </w:pPr>
    <w:rPr>
      <w:spacing w:val="20"/>
      <w:kern w:val="0"/>
      <w:sz w:val="28"/>
      <w:szCs w:val="28"/>
    </w:rPr>
  </w:style>
  <w:style w:type="paragraph" w:customStyle="1" w:styleId="1357">
    <w:name w:val="p20"/>
    <w:basedOn w:val="1"/>
    <w:autoRedefine/>
    <w:qFormat/>
    <w:uiPriority w:val="0"/>
    <w:pPr>
      <w:widowControl/>
      <w:ind w:firstLine="0" w:firstLineChars="0"/>
    </w:pPr>
    <w:rPr>
      <w:rFonts w:ascii="宋体" w:hAnsi="宋体" w:cs="宋体"/>
      <w:kern w:val="0"/>
      <w:sz w:val="21"/>
      <w:szCs w:val="21"/>
    </w:rPr>
  </w:style>
  <w:style w:type="paragraph" w:customStyle="1" w:styleId="1358">
    <w:name w:val="p16"/>
    <w:basedOn w:val="1"/>
    <w:autoRedefine/>
    <w:qFormat/>
    <w:uiPriority w:val="0"/>
    <w:pPr>
      <w:widowControl/>
      <w:ind w:firstLine="0" w:firstLineChars="0"/>
    </w:pPr>
    <w:rPr>
      <w:rFonts w:ascii="宋体" w:hAnsi="宋体" w:cs="宋体"/>
      <w:kern w:val="0"/>
      <w:sz w:val="21"/>
      <w:szCs w:val="21"/>
    </w:rPr>
  </w:style>
  <w:style w:type="paragraph" w:customStyle="1" w:styleId="1359">
    <w:name w:val="p17"/>
    <w:basedOn w:val="1"/>
    <w:autoRedefine/>
    <w:qFormat/>
    <w:uiPriority w:val="0"/>
    <w:pPr>
      <w:widowControl/>
      <w:spacing w:line="480" w:lineRule="atLeast"/>
      <w:ind w:firstLine="0" w:firstLineChars="0"/>
    </w:pPr>
    <w:rPr>
      <w:spacing w:val="20"/>
      <w:kern w:val="0"/>
      <w:sz w:val="28"/>
      <w:szCs w:val="28"/>
    </w:rPr>
  </w:style>
  <w:style w:type="paragraph" w:customStyle="1" w:styleId="1360">
    <w:name w:val="p15"/>
    <w:basedOn w:val="1"/>
    <w:autoRedefine/>
    <w:qFormat/>
    <w:uiPriority w:val="0"/>
    <w:pPr>
      <w:widowControl/>
      <w:spacing w:line="500" w:lineRule="atLeast"/>
      <w:ind w:left="1049" w:firstLine="0" w:firstLineChars="0"/>
    </w:pPr>
    <w:rPr>
      <w:rFonts w:ascii="宋体" w:hAnsi="宋体" w:cs="宋体"/>
      <w:spacing w:val="20"/>
      <w:kern w:val="0"/>
      <w:sz w:val="28"/>
      <w:szCs w:val="28"/>
    </w:rPr>
  </w:style>
  <w:style w:type="paragraph" w:customStyle="1" w:styleId="1361">
    <w:name w:val="Char Char Char1 Char9"/>
    <w:basedOn w:val="1"/>
    <w:next w:val="1"/>
    <w:autoRedefine/>
    <w:semiHidden/>
    <w:qFormat/>
    <w:uiPriority w:val="0"/>
    <w:pPr>
      <w:spacing w:line="360" w:lineRule="auto"/>
    </w:pPr>
    <w:rPr>
      <w:rFonts w:ascii="宋体" w:hAnsi="宋体" w:cs="宋体"/>
    </w:rPr>
  </w:style>
  <w:style w:type="paragraph" w:customStyle="1" w:styleId="1362">
    <w:name w:val="项标题"/>
    <w:basedOn w:val="6"/>
    <w:autoRedefine/>
    <w:qFormat/>
    <w:uiPriority w:val="0"/>
    <w:pPr>
      <w:tabs>
        <w:tab w:val="left" w:pos="992"/>
      </w:tabs>
      <w:spacing w:before="60" w:line="240" w:lineRule="atLeast"/>
      <w:ind w:left="1418" w:firstLine="539"/>
    </w:pPr>
    <w:rPr>
      <w:rFonts w:ascii="Arial Narrow" w:hAnsi="Arial Narrow" w:eastAsia="仿宋_GB2312"/>
      <w:b w:val="0"/>
      <w:bCs w:val="0"/>
      <w:sz w:val="26"/>
      <w:szCs w:val="20"/>
      <w:lang w:val="zh-CN"/>
    </w:rPr>
  </w:style>
  <w:style w:type="character" w:customStyle="1" w:styleId="1363">
    <w:name w:val="HZZH表头 Char"/>
    <w:link w:val="1364"/>
    <w:autoRedefine/>
    <w:qFormat/>
    <w:locked/>
    <w:uiPriority w:val="0"/>
    <w:rPr>
      <w:b/>
      <w:bCs/>
      <w:kern w:val="2"/>
      <w:sz w:val="24"/>
      <w:szCs w:val="24"/>
    </w:rPr>
  </w:style>
  <w:style w:type="paragraph" w:customStyle="1" w:styleId="1364">
    <w:name w:val="HZZH表头"/>
    <w:basedOn w:val="1"/>
    <w:link w:val="1363"/>
    <w:autoRedefine/>
    <w:qFormat/>
    <w:uiPriority w:val="0"/>
    <w:pPr>
      <w:ind w:firstLine="0" w:firstLineChars="0"/>
      <w:jc w:val="center"/>
    </w:pPr>
    <w:rPr>
      <w:b/>
      <w:bCs/>
    </w:rPr>
  </w:style>
  <w:style w:type="character" w:customStyle="1" w:styleId="1365">
    <w:name w:val="HZZH标题—4 Char"/>
    <w:link w:val="1366"/>
    <w:autoRedefine/>
    <w:qFormat/>
    <w:locked/>
    <w:uiPriority w:val="0"/>
    <w:rPr>
      <w:rFonts w:ascii="宋体" w:hAnsi="宋体"/>
      <w:b/>
      <w:kern w:val="2"/>
      <w:sz w:val="24"/>
      <w:szCs w:val="28"/>
      <w:lang w:val="zh-CN"/>
    </w:rPr>
  </w:style>
  <w:style w:type="paragraph" w:customStyle="1" w:styleId="1366">
    <w:name w:val="HZZH标题—4"/>
    <w:basedOn w:val="6"/>
    <w:link w:val="1365"/>
    <w:autoRedefine/>
    <w:qFormat/>
    <w:uiPriority w:val="0"/>
    <w:pPr>
      <w:tabs>
        <w:tab w:val="left" w:pos="1080"/>
      </w:tabs>
      <w:spacing w:line="360" w:lineRule="auto"/>
      <w:ind w:left="1418" w:hanging="1418"/>
      <w:jc w:val="left"/>
    </w:pPr>
    <w:rPr>
      <w:rFonts w:ascii="宋体" w:hAnsi="宋体"/>
      <w:bCs w:val="0"/>
      <w:sz w:val="24"/>
      <w:lang w:val="zh-CN"/>
    </w:rPr>
  </w:style>
  <w:style w:type="paragraph" w:customStyle="1" w:styleId="1367">
    <w:name w:val="HZZH图名"/>
    <w:basedOn w:val="1"/>
    <w:autoRedefine/>
    <w:qFormat/>
    <w:uiPriority w:val="0"/>
    <w:pPr>
      <w:ind w:firstLine="0" w:firstLineChars="0"/>
      <w:jc w:val="center"/>
    </w:pPr>
    <w:rPr>
      <w:rFonts w:ascii="宋体" w:hAnsi="宋体"/>
      <w:b/>
      <w:szCs w:val="28"/>
    </w:rPr>
  </w:style>
  <w:style w:type="paragraph" w:customStyle="1" w:styleId="1368">
    <w:name w:val="HZZH图号图名"/>
    <w:basedOn w:val="1253"/>
    <w:autoRedefine/>
    <w:qFormat/>
    <w:uiPriority w:val="0"/>
    <w:pPr>
      <w:spacing w:line="360" w:lineRule="auto"/>
      <w:ind w:firstLine="0" w:firstLineChars="0"/>
    </w:pPr>
    <w:rPr>
      <w:rFonts w:ascii="宋体" w:hAnsi="宋体" w:cs="宋体"/>
      <w:b/>
      <w:sz w:val="24"/>
    </w:rPr>
  </w:style>
  <w:style w:type="paragraph" w:customStyle="1" w:styleId="1369">
    <w:name w:val="表文"/>
    <w:basedOn w:val="1"/>
    <w:link w:val="2715"/>
    <w:autoRedefine/>
    <w:qFormat/>
    <w:uiPriority w:val="0"/>
    <w:pPr>
      <w:autoSpaceDE w:val="0"/>
      <w:autoSpaceDN w:val="0"/>
      <w:adjustRightInd w:val="0"/>
      <w:spacing w:before="20"/>
      <w:ind w:firstLine="0" w:firstLineChars="0"/>
    </w:pPr>
    <w:rPr>
      <w:kern w:val="0"/>
      <w:sz w:val="21"/>
      <w:szCs w:val="20"/>
    </w:rPr>
  </w:style>
  <w:style w:type="paragraph" w:customStyle="1" w:styleId="1370">
    <w:name w:val="二期二级样式"/>
    <w:basedOn w:val="1"/>
    <w:autoRedefine/>
    <w:qFormat/>
    <w:uiPriority w:val="0"/>
    <w:pPr>
      <w:widowControl/>
      <w:tabs>
        <w:tab w:val="left" w:pos="720"/>
      </w:tabs>
      <w:ind w:left="567" w:hanging="567" w:firstLineChars="0"/>
      <w:jc w:val="left"/>
    </w:pPr>
    <w:rPr>
      <w:kern w:val="0"/>
    </w:rPr>
  </w:style>
  <w:style w:type="paragraph" w:customStyle="1" w:styleId="1371">
    <w:name w:val="二期三级样式"/>
    <w:basedOn w:val="1"/>
    <w:autoRedefine/>
    <w:qFormat/>
    <w:uiPriority w:val="0"/>
    <w:pPr>
      <w:widowControl/>
      <w:tabs>
        <w:tab w:val="left" w:pos="1080"/>
      </w:tabs>
      <w:ind w:left="567" w:hanging="567" w:firstLineChars="0"/>
      <w:jc w:val="left"/>
    </w:pPr>
    <w:rPr>
      <w:kern w:val="0"/>
    </w:rPr>
  </w:style>
  <w:style w:type="paragraph" w:customStyle="1" w:styleId="1372">
    <w:name w:val="二期四级样式"/>
    <w:basedOn w:val="1"/>
    <w:autoRedefine/>
    <w:qFormat/>
    <w:uiPriority w:val="0"/>
    <w:pPr>
      <w:widowControl/>
      <w:tabs>
        <w:tab w:val="left" w:pos="1174"/>
      </w:tabs>
      <w:ind w:left="567" w:hanging="113" w:firstLineChars="0"/>
      <w:jc w:val="left"/>
    </w:pPr>
    <w:rPr>
      <w:kern w:val="0"/>
    </w:rPr>
  </w:style>
  <w:style w:type="paragraph" w:customStyle="1" w:styleId="1373">
    <w:name w:val="表格字符"/>
    <w:basedOn w:val="1"/>
    <w:autoRedefine/>
    <w:qFormat/>
    <w:uiPriority w:val="0"/>
    <w:pPr>
      <w:adjustRightInd w:val="0"/>
      <w:spacing w:line="300" w:lineRule="auto"/>
      <w:ind w:firstLine="0" w:firstLineChars="0"/>
      <w:jc w:val="center"/>
    </w:pPr>
    <w:rPr>
      <w:kern w:val="0"/>
      <w:szCs w:val="20"/>
    </w:rPr>
  </w:style>
  <w:style w:type="paragraph" w:customStyle="1" w:styleId="1374">
    <w:name w:val="标题 4.1"/>
    <w:basedOn w:val="6"/>
    <w:autoRedefine/>
    <w:qFormat/>
    <w:uiPriority w:val="0"/>
    <w:pPr>
      <w:adjustRightInd w:val="0"/>
      <w:spacing w:line="360" w:lineRule="auto"/>
      <w:ind w:left="1418" w:hanging="1418"/>
      <w:outlineLvl w:val="4"/>
    </w:pPr>
    <w:rPr>
      <w:rFonts w:ascii="宋体" w:hAnsi="宋体"/>
      <w:kern w:val="0"/>
      <w:sz w:val="24"/>
      <w:szCs w:val="20"/>
      <w:lang w:val="zh-CN"/>
    </w:rPr>
  </w:style>
  <w:style w:type="paragraph" w:customStyle="1" w:styleId="1375">
    <w:name w:val="图文1"/>
    <w:basedOn w:val="1"/>
    <w:autoRedefine/>
    <w:qFormat/>
    <w:uiPriority w:val="0"/>
    <w:pPr>
      <w:adjustRightInd w:val="0"/>
      <w:snapToGrid w:val="0"/>
      <w:ind w:firstLine="0" w:firstLineChars="0"/>
      <w:jc w:val="center"/>
    </w:pPr>
    <w:rPr>
      <w:b/>
      <w:bCs/>
      <w:sz w:val="28"/>
    </w:rPr>
  </w:style>
  <w:style w:type="paragraph" w:customStyle="1" w:styleId="1376">
    <w:name w:val="中文报告书样式"/>
    <w:basedOn w:val="1"/>
    <w:qFormat/>
    <w:uiPriority w:val="0"/>
    <w:pPr>
      <w:adjustRightInd w:val="0"/>
      <w:spacing w:line="360" w:lineRule="auto"/>
      <w:ind w:firstLine="482" w:firstLineChars="0"/>
    </w:pPr>
    <w:rPr>
      <w:kern w:val="24"/>
      <w:szCs w:val="20"/>
    </w:rPr>
  </w:style>
  <w:style w:type="paragraph" w:customStyle="1" w:styleId="1377">
    <w:name w:val="前言"/>
    <w:basedOn w:val="3"/>
    <w:autoRedefine/>
    <w:qFormat/>
    <w:uiPriority w:val="0"/>
    <w:pPr>
      <w:keepLines/>
      <w:tabs>
        <w:tab w:val="clear" w:pos="0"/>
      </w:tabs>
      <w:spacing w:before="240" w:after="480" w:line="240" w:lineRule="auto"/>
    </w:pPr>
    <w:rPr>
      <w:rFonts w:ascii="黑体" w:hAnsi="Arial"/>
      <w:b w:val="0"/>
      <w:bCs/>
      <w:kern w:val="44"/>
      <w:szCs w:val="32"/>
      <w:lang w:val="zh-CN"/>
    </w:rPr>
  </w:style>
  <w:style w:type="paragraph" w:customStyle="1" w:styleId="1378">
    <w:name w:val="样式 题注 + 居中"/>
    <w:basedOn w:val="22"/>
    <w:autoRedefine/>
    <w:qFormat/>
    <w:uiPriority w:val="0"/>
    <w:pPr>
      <w:spacing w:after="0" w:line="360" w:lineRule="auto"/>
      <w:ind w:firstLine="0" w:firstLineChars="0"/>
    </w:pPr>
    <w:rPr>
      <w:rFonts w:ascii="Arial" w:hAnsi="Arial" w:eastAsia="宋体" w:cs="宋体"/>
      <w:sz w:val="24"/>
      <w:szCs w:val="20"/>
      <w14:ligatures w14:val="none"/>
    </w:rPr>
  </w:style>
  <w:style w:type="paragraph" w:customStyle="1" w:styleId="1379">
    <w:name w:val="样式 正文（首行缩进两字） + 行距: 固定值 20 磅"/>
    <w:basedOn w:val="21"/>
    <w:autoRedefine/>
    <w:qFormat/>
    <w:uiPriority w:val="0"/>
    <w:pPr>
      <w:spacing w:line="400" w:lineRule="exact"/>
      <w:ind w:firstLine="480"/>
    </w:pPr>
    <w:rPr>
      <w:rFonts w:cs="宋体"/>
      <w:szCs w:val="20"/>
      <w:lang w:val="zh-CN"/>
    </w:rPr>
  </w:style>
  <w:style w:type="paragraph" w:customStyle="1" w:styleId="1380">
    <w:name w:val="图表1"/>
    <w:next w:val="1"/>
    <w:autoRedefine/>
    <w:qFormat/>
    <w:uiPriority w:val="0"/>
    <w:pPr>
      <w:spacing w:line="240" w:lineRule="atLeast"/>
      <w:jc w:val="center"/>
    </w:pPr>
    <w:rPr>
      <w:rFonts w:ascii="楷体_GB2312" w:hAnsi="Times New Roman" w:eastAsia="楷体_GB2312" w:cs="Times New Roman"/>
      <w:sz w:val="21"/>
      <w:lang w:val="en-US" w:eastAsia="zh-CN" w:bidi="ar-SA"/>
    </w:rPr>
  </w:style>
  <w:style w:type="paragraph" w:customStyle="1" w:styleId="1381">
    <w:name w:val="HZZH公式"/>
    <w:basedOn w:val="1252"/>
    <w:autoRedefine/>
    <w:qFormat/>
    <w:uiPriority w:val="0"/>
    <w:pPr>
      <w:spacing w:line="240" w:lineRule="auto"/>
      <w:ind w:left="420" w:leftChars="100" w:right="100" w:rightChars="100" w:firstLine="217" w:firstLineChars="217"/>
    </w:pPr>
    <w:rPr>
      <w:rFonts w:ascii="Times New Roman" w:hAnsi="Times New Roman" w:cs="宋体"/>
      <w:kern w:val="0"/>
      <w:szCs w:val="24"/>
    </w:rPr>
  </w:style>
  <w:style w:type="character" w:customStyle="1" w:styleId="1382">
    <w:name w:val="样式 正文缩进正文（首行缩进两字）正文缩进 Char正文缩进 Char1 Char正文缩进 Char Char Char... Char"/>
    <w:link w:val="1383"/>
    <w:autoRedefine/>
    <w:qFormat/>
    <w:locked/>
    <w:uiPriority w:val="0"/>
    <w:rPr>
      <w:rFonts w:ascii="宋体" w:hAnsi="宋体"/>
      <w:spacing w:val="10"/>
      <w:kern w:val="2"/>
      <w:sz w:val="24"/>
      <w:szCs w:val="24"/>
      <w:lang w:val="zh-CN"/>
    </w:rPr>
  </w:style>
  <w:style w:type="paragraph" w:customStyle="1" w:styleId="1383">
    <w:name w:val="样式 正文缩进正文（首行缩进两字）正文缩进 Char正文缩进 Char1 Char正文缩进 Char Char Char..."/>
    <w:basedOn w:val="21"/>
    <w:link w:val="1382"/>
    <w:autoRedefine/>
    <w:qFormat/>
    <w:uiPriority w:val="0"/>
    <w:pPr>
      <w:ind w:firstLine="200"/>
    </w:pPr>
    <w:rPr>
      <w:rFonts w:ascii="宋体" w:hAnsi="宋体"/>
      <w:b w:val="0"/>
      <w:color w:val="auto"/>
      <w:spacing w:val="10"/>
      <w:lang w:val="zh-CN"/>
    </w:rPr>
  </w:style>
  <w:style w:type="paragraph" w:customStyle="1" w:styleId="1384">
    <w:name w:val="hzzh加粗正文"/>
    <w:basedOn w:val="1252"/>
    <w:autoRedefine/>
    <w:qFormat/>
    <w:uiPriority w:val="0"/>
    <w:pPr>
      <w:overflowPunct w:val="0"/>
      <w:spacing w:line="240" w:lineRule="auto"/>
      <w:ind w:left="420" w:leftChars="100" w:right="100" w:rightChars="100"/>
    </w:pPr>
    <w:rPr>
      <w:rFonts w:ascii="Times New Roman" w:hAnsi="Times New Roman" w:cs="宋体"/>
      <w:b/>
      <w:kern w:val="0"/>
      <w:szCs w:val="24"/>
    </w:rPr>
  </w:style>
  <w:style w:type="paragraph" w:customStyle="1" w:styleId="1385">
    <w:name w:val="Char Char Char Char Char Char Char13"/>
    <w:basedOn w:val="1"/>
    <w:autoRedefine/>
    <w:qFormat/>
    <w:uiPriority w:val="0"/>
    <w:pPr>
      <w:spacing w:line="360" w:lineRule="auto"/>
    </w:pPr>
    <w:rPr>
      <w:rFonts w:ascii="宋体" w:hAnsi="宋体" w:cs="宋体"/>
    </w:rPr>
  </w:style>
  <w:style w:type="paragraph" w:customStyle="1" w:styleId="1386">
    <w:name w:val="Char Char Char Char Char Char1 Char Char Char Char Char Char Char"/>
    <w:basedOn w:val="5"/>
    <w:autoRedefine/>
    <w:qFormat/>
    <w:uiPriority w:val="0"/>
    <w:pPr>
      <w:tabs>
        <w:tab w:val="left" w:pos="360"/>
        <w:tab w:val="left" w:pos="900"/>
      </w:tabs>
      <w:snapToGrid w:val="0"/>
      <w:spacing w:before="120" w:after="120" w:line="360" w:lineRule="auto"/>
      <w:ind w:left="542" w:leftChars="-12" w:firstLine="200" w:firstLineChars="200"/>
      <w:jc w:val="left"/>
    </w:pPr>
    <w:rPr>
      <w:b w:val="0"/>
      <w:bCs w:val="0"/>
      <w:sz w:val="24"/>
      <w:szCs w:val="24"/>
      <w:lang w:val="zh-CN"/>
    </w:rPr>
  </w:style>
  <w:style w:type="character" w:customStyle="1" w:styleId="1387">
    <w:name w:val="样式 HZZH正文 + 黑体 四号 加粗 Char"/>
    <w:link w:val="1388"/>
    <w:autoRedefine/>
    <w:qFormat/>
    <w:locked/>
    <w:uiPriority w:val="0"/>
    <w:rPr>
      <w:rFonts w:ascii="黑体" w:hAnsi="黑体" w:eastAsia="黑体"/>
      <w:b/>
      <w:bCs/>
      <w:kern w:val="2"/>
      <w:sz w:val="28"/>
      <w:szCs w:val="24"/>
      <w:lang w:val="zh-CN"/>
    </w:rPr>
  </w:style>
  <w:style w:type="paragraph" w:customStyle="1" w:styleId="1388">
    <w:name w:val="样式 HZZH正文 + 黑体 四号 加粗"/>
    <w:basedOn w:val="1252"/>
    <w:link w:val="1387"/>
    <w:autoRedefine/>
    <w:qFormat/>
    <w:uiPriority w:val="0"/>
    <w:pPr>
      <w:overflowPunct w:val="0"/>
      <w:spacing w:line="240" w:lineRule="auto"/>
      <w:ind w:left="420" w:leftChars="100" w:right="100" w:rightChars="100"/>
    </w:pPr>
    <w:rPr>
      <w:rFonts w:ascii="黑体" w:hAnsi="黑体" w:eastAsia="黑体"/>
      <w:b/>
      <w:bCs/>
      <w:sz w:val="28"/>
      <w:szCs w:val="24"/>
    </w:rPr>
  </w:style>
  <w:style w:type="character" w:customStyle="1" w:styleId="1389">
    <w:name w:val="样式 HZZH正文 + 黑体 四号 加粗1 Char"/>
    <w:link w:val="1390"/>
    <w:autoRedefine/>
    <w:qFormat/>
    <w:locked/>
    <w:uiPriority w:val="0"/>
    <w:rPr>
      <w:rFonts w:ascii="黑体" w:hAnsi="黑体" w:eastAsia="黑体"/>
      <w:b/>
      <w:bCs/>
      <w:kern w:val="2"/>
      <w:sz w:val="28"/>
      <w:szCs w:val="24"/>
      <w:lang w:val="zh-CN"/>
    </w:rPr>
  </w:style>
  <w:style w:type="paragraph" w:customStyle="1" w:styleId="1390">
    <w:name w:val="样式 HZZH正文 + 黑体 四号 加粗1"/>
    <w:basedOn w:val="1252"/>
    <w:link w:val="1389"/>
    <w:autoRedefine/>
    <w:qFormat/>
    <w:uiPriority w:val="0"/>
    <w:pPr>
      <w:overflowPunct w:val="0"/>
      <w:spacing w:line="240" w:lineRule="auto"/>
      <w:ind w:left="420" w:leftChars="100" w:right="100" w:rightChars="100"/>
    </w:pPr>
    <w:rPr>
      <w:rFonts w:ascii="黑体" w:hAnsi="黑体" w:eastAsia="黑体"/>
      <w:b/>
      <w:bCs/>
      <w:sz w:val="28"/>
      <w:szCs w:val="24"/>
    </w:rPr>
  </w:style>
  <w:style w:type="character" w:customStyle="1" w:styleId="1391">
    <w:name w:val="样式 HZZH正文 + 红色 Char"/>
    <w:link w:val="1392"/>
    <w:autoRedefine/>
    <w:qFormat/>
    <w:locked/>
    <w:uiPriority w:val="0"/>
    <w:rPr>
      <w:color w:val="000000"/>
      <w:kern w:val="2"/>
      <w:sz w:val="24"/>
      <w:szCs w:val="24"/>
      <w:lang w:val="zh-CN"/>
    </w:rPr>
  </w:style>
  <w:style w:type="paragraph" w:customStyle="1" w:styleId="1392">
    <w:name w:val="样式 HZZH正文 + 红色"/>
    <w:basedOn w:val="1252"/>
    <w:link w:val="1391"/>
    <w:autoRedefine/>
    <w:qFormat/>
    <w:uiPriority w:val="0"/>
    <w:pPr>
      <w:overflowPunct w:val="0"/>
      <w:spacing w:line="240" w:lineRule="auto"/>
      <w:ind w:left="420" w:leftChars="100" w:right="100" w:rightChars="100"/>
    </w:pPr>
    <w:rPr>
      <w:rFonts w:ascii="Times New Roman" w:hAnsi="Times New Roman"/>
      <w:color w:val="000000"/>
      <w:szCs w:val="24"/>
    </w:rPr>
  </w:style>
  <w:style w:type="paragraph" w:customStyle="1" w:styleId="1393">
    <w:name w:val="Char Char Char1 Char8"/>
    <w:basedOn w:val="1"/>
    <w:next w:val="1"/>
    <w:autoRedefine/>
    <w:semiHidden/>
    <w:qFormat/>
    <w:uiPriority w:val="0"/>
    <w:pPr>
      <w:spacing w:line="360" w:lineRule="auto"/>
    </w:pPr>
    <w:rPr>
      <w:rFonts w:ascii="宋体" w:hAnsi="宋体" w:cs="宋体"/>
    </w:rPr>
  </w:style>
  <w:style w:type="paragraph" w:customStyle="1" w:styleId="1394">
    <w:name w:val="Char Char Char Char Char Char Char12"/>
    <w:basedOn w:val="1"/>
    <w:qFormat/>
    <w:uiPriority w:val="0"/>
    <w:pPr>
      <w:spacing w:line="360" w:lineRule="auto"/>
    </w:pPr>
    <w:rPr>
      <w:rFonts w:ascii="宋体" w:hAnsi="宋体" w:cs="宋体"/>
    </w:rPr>
  </w:style>
  <w:style w:type="paragraph" w:customStyle="1" w:styleId="1395">
    <w:name w:val="Char Char Char Char Char Char Char11"/>
    <w:basedOn w:val="1"/>
    <w:autoRedefine/>
    <w:qFormat/>
    <w:uiPriority w:val="0"/>
    <w:pPr>
      <w:spacing w:line="360" w:lineRule="auto"/>
    </w:pPr>
    <w:rPr>
      <w:rFonts w:ascii="宋体" w:hAnsi="宋体" w:cs="宋体"/>
    </w:rPr>
  </w:style>
  <w:style w:type="paragraph" w:customStyle="1" w:styleId="1396">
    <w:name w:val="Char Char Char Char Char Char1 Char Char Char Char Char Char Char1"/>
    <w:basedOn w:val="5"/>
    <w:autoRedefine/>
    <w:qFormat/>
    <w:uiPriority w:val="0"/>
    <w:pPr>
      <w:tabs>
        <w:tab w:val="left" w:pos="360"/>
        <w:tab w:val="left" w:pos="900"/>
      </w:tabs>
      <w:snapToGrid w:val="0"/>
      <w:spacing w:before="120" w:after="120" w:line="360" w:lineRule="auto"/>
      <w:ind w:left="542" w:leftChars="-12" w:firstLine="200" w:firstLineChars="200"/>
      <w:jc w:val="left"/>
    </w:pPr>
    <w:rPr>
      <w:b w:val="0"/>
      <w:bCs w:val="0"/>
      <w:sz w:val="24"/>
      <w:szCs w:val="24"/>
      <w:lang w:val="zh-CN"/>
    </w:rPr>
  </w:style>
  <w:style w:type="paragraph" w:customStyle="1" w:styleId="1397">
    <w:name w:val="Char Char Char1 Char7"/>
    <w:basedOn w:val="1"/>
    <w:next w:val="1"/>
    <w:semiHidden/>
    <w:qFormat/>
    <w:uiPriority w:val="0"/>
    <w:pPr>
      <w:spacing w:line="360" w:lineRule="auto"/>
    </w:pPr>
    <w:rPr>
      <w:rFonts w:ascii="宋体" w:hAnsi="宋体" w:cs="宋体"/>
    </w:rPr>
  </w:style>
  <w:style w:type="paragraph" w:customStyle="1" w:styleId="1398">
    <w:name w:val="Char Char Char Char Char Char Char10"/>
    <w:basedOn w:val="1"/>
    <w:autoRedefine/>
    <w:qFormat/>
    <w:uiPriority w:val="0"/>
    <w:pPr>
      <w:spacing w:line="360" w:lineRule="auto"/>
    </w:pPr>
    <w:rPr>
      <w:rFonts w:ascii="宋体" w:hAnsi="宋体" w:cs="宋体"/>
    </w:rPr>
  </w:style>
  <w:style w:type="paragraph" w:customStyle="1" w:styleId="1399">
    <w:name w:val="Char56"/>
    <w:basedOn w:val="1"/>
    <w:qFormat/>
    <w:uiPriority w:val="0"/>
    <w:pPr>
      <w:spacing w:line="360" w:lineRule="auto"/>
    </w:pPr>
    <w:rPr>
      <w:rFonts w:ascii="宋体" w:hAnsi="宋体" w:cs="宋体"/>
    </w:rPr>
  </w:style>
  <w:style w:type="paragraph" w:customStyle="1" w:styleId="1400">
    <w:name w:val="Char Char Char Char Char Char Char14"/>
    <w:basedOn w:val="1"/>
    <w:autoRedefine/>
    <w:qFormat/>
    <w:uiPriority w:val="0"/>
    <w:pPr>
      <w:spacing w:line="360" w:lineRule="auto"/>
    </w:pPr>
    <w:rPr>
      <w:rFonts w:ascii="宋体" w:hAnsi="宋体" w:cs="宋体"/>
    </w:rPr>
  </w:style>
  <w:style w:type="paragraph" w:customStyle="1" w:styleId="1401">
    <w:name w:val="Char Char Char Char Char Char Char Char Char Char Char Char Char Char Char Char Char Char Char Char Char Char Char Char Char Char Char Char Char Char Char Char Char Char Char Char Char Char Char Char Char Char Char Char Char Char12"/>
    <w:basedOn w:val="1"/>
    <w:next w:val="1"/>
    <w:autoRedefine/>
    <w:qFormat/>
    <w:uiPriority w:val="0"/>
    <w:pPr>
      <w:pBdr>
        <w:right w:val="single" w:color="auto" w:sz="12" w:space="4"/>
      </w:pBdr>
      <w:spacing w:line="360" w:lineRule="auto"/>
    </w:pPr>
    <w:rPr>
      <w:sz w:val="28"/>
      <w:szCs w:val="20"/>
    </w:rPr>
  </w:style>
  <w:style w:type="character" w:customStyle="1" w:styleId="1402">
    <w:name w:val="正文首行缩进2字符 Char1"/>
    <w:autoRedefine/>
    <w:qFormat/>
    <w:locked/>
    <w:uiPriority w:val="0"/>
    <w:rPr>
      <w:kern w:val="2"/>
      <w:sz w:val="28"/>
      <w:szCs w:val="24"/>
      <w:lang w:val="zh-CN" w:eastAsia="zh-CN"/>
    </w:rPr>
  </w:style>
  <w:style w:type="paragraph" w:customStyle="1" w:styleId="1403">
    <w:name w:val="样式 宋体 小四 行距: 1.5 倍行距"/>
    <w:basedOn w:val="1"/>
    <w:autoRedefine/>
    <w:qFormat/>
    <w:uiPriority w:val="0"/>
    <w:pPr>
      <w:spacing w:line="360" w:lineRule="auto"/>
      <w:ind w:firstLine="480"/>
    </w:pPr>
    <w:rPr>
      <w:rFonts w:ascii="宋体" w:hAnsi="宋体" w:cs="宋体"/>
      <w:szCs w:val="20"/>
    </w:rPr>
  </w:style>
  <w:style w:type="character" w:customStyle="1" w:styleId="1404">
    <w:name w:val="样式 宋体 小四 Char"/>
    <w:link w:val="1405"/>
    <w:autoRedefine/>
    <w:qFormat/>
    <w:locked/>
    <w:uiPriority w:val="0"/>
    <w:rPr>
      <w:rFonts w:ascii="宋体" w:hAnsi="宋体"/>
      <w:kern w:val="2"/>
      <w:sz w:val="24"/>
      <w:szCs w:val="24"/>
      <w:lang w:val="zh-CN"/>
    </w:rPr>
  </w:style>
  <w:style w:type="paragraph" w:customStyle="1" w:styleId="1405">
    <w:name w:val="样式 宋体 小四"/>
    <w:basedOn w:val="1"/>
    <w:link w:val="1404"/>
    <w:autoRedefine/>
    <w:qFormat/>
    <w:uiPriority w:val="0"/>
    <w:pPr>
      <w:spacing w:line="360" w:lineRule="auto"/>
      <w:ind w:firstLine="482" w:firstLineChars="0"/>
    </w:pPr>
    <w:rPr>
      <w:rFonts w:ascii="宋体" w:hAnsi="宋体"/>
      <w:lang w:val="zh-CN"/>
    </w:rPr>
  </w:style>
  <w:style w:type="character" w:customStyle="1" w:styleId="1406">
    <w:name w:val="表头1 Char"/>
    <w:link w:val="341"/>
    <w:autoRedefine/>
    <w:qFormat/>
    <w:locked/>
    <w:uiPriority w:val="0"/>
    <w:rPr>
      <w:b/>
      <w:sz w:val="24"/>
      <w:szCs w:val="24"/>
    </w:rPr>
  </w:style>
  <w:style w:type="paragraph" w:customStyle="1" w:styleId="1407">
    <w:name w:val="图底1"/>
    <w:basedOn w:val="1"/>
    <w:autoRedefine/>
    <w:qFormat/>
    <w:uiPriority w:val="0"/>
    <w:pPr>
      <w:spacing w:beforeLines="20"/>
      <w:ind w:firstLine="0" w:firstLineChars="0"/>
      <w:jc w:val="center"/>
    </w:pPr>
    <w:rPr>
      <w:rFonts w:ascii="黑体" w:hAnsi="宋体" w:eastAsia="黑体"/>
      <w:lang w:val="zh-CN"/>
    </w:rPr>
  </w:style>
  <w:style w:type="paragraph" w:customStyle="1" w:styleId="1408">
    <w:name w:val="Char Char Char Char Char Char3 Char Char Char Char Char Char Char"/>
    <w:basedOn w:val="1"/>
    <w:next w:val="1"/>
    <w:autoRedefine/>
    <w:qFormat/>
    <w:uiPriority w:val="0"/>
    <w:pPr>
      <w:widowControl/>
      <w:ind w:firstLine="0" w:firstLineChars="0"/>
      <w:jc w:val="left"/>
    </w:pPr>
    <w:rPr>
      <w:rFonts w:ascii="宋体" w:hAnsi="宋体" w:eastAsia="黑体" w:cs="宋体"/>
      <w:kern w:val="0"/>
      <w:sz w:val="28"/>
    </w:rPr>
  </w:style>
  <w:style w:type="paragraph" w:customStyle="1" w:styleId="1409">
    <w:name w:val="Char Char Char3 Char"/>
    <w:basedOn w:val="1"/>
    <w:autoRedefine/>
    <w:qFormat/>
    <w:uiPriority w:val="0"/>
    <w:pPr>
      <w:widowControl/>
      <w:spacing w:line="360" w:lineRule="auto"/>
      <w:jc w:val="left"/>
    </w:pPr>
    <w:rPr>
      <w:rFonts w:ascii="宋体" w:hAnsi="宋体" w:cs="宋体"/>
      <w:kern w:val="0"/>
    </w:rPr>
  </w:style>
  <w:style w:type="paragraph" w:customStyle="1" w:styleId="1410">
    <w:name w:val="图表头2"/>
    <w:basedOn w:val="1"/>
    <w:autoRedefine/>
    <w:qFormat/>
    <w:uiPriority w:val="0"/>
    <w:pPr>
      <w:widowControl/>
      <w:tabs>
        <w:tab w:val="center" w:pos="4231"/>
        <w:tab w:val="right" w:pos="8463"/>
      </w:tabs>
      <w:adjustRightInd w:val="0"/>
      <w:ind w:firstLine="0" w:firstLineChars="0"/>
      <w:jc w:val="center"/>
    </w:pPr>
    <w:rPr>
      <w:rFonts w:ascii="宋体" w:hAnsi="宋体" w:eastAsia="黑体" w:cs="宋体"/>
      <w:spacing w:val="5"/>
      <w:kern w:val="0"/>
      <w:sz w:val="21"/>
    </w:rPr>
  </w:style>
  <w:style w:type="paragraph" w:customStyle="1" w:styleId="1411">
    <w:name w:val="Char Char Char Char Char Char Char Char1 Char Char Char Char"/>
    <w:basedOn w:val="1"/>
    <w:autoRedefine/>
    <w:qFormat/>
    <w:uiPriority w:val="0"/>
    <w:pPr>
      <w:ind w:firstLine="0" w:firstLineChars="0"/>
    </w:pPr>
    <w:rPr>
      <w:sz w:val="21"/>
    </w:rPr>
  </w:style>
  <w:style w:type="paragraph" w:customStyle="1" w:styleId="1412">
    <w:name w:val="Char Char Char Char Char Char1 Char Char Char1 Char Char Char Char Char Char Char Char Char Char Char Char Char Char Char1 Char Char Char1 Char Char Char Char1"/>
    <w:basedOn w:val="1"/>
    <w:autoRedefine/>
    <w:qFormat/>
    <w:uiPriority w:val="0"/>
    <w:pPr>
      <w:spacing w:line="360" w:lineRule="auto"/>
    </w:pPr>
    <w:rPr>
      <w:rFonts w:ascii="宋体" w:hAnsi="宋体" w:cs="宋体"/>
    </w:rPr>
  </w:style>
  <w:style w:type="paragraph" w:customStyle="1" w:styleId="1413">
    <w:name w:val="Char Char Char Char Char Char3 Char Char Char Char Char Char Char1"/>
    <w:basedOn w:val="1"/>
    <w:next w:val="1"/>
    <w:autoRedefine/>
    <w:qFormat/>
    <w:uiPriority w:val="0"/>
    <w:pPr>
      <w:widowControl/>
      <w:ind w:firstLine="0" w:firstLineChars="0"/>
      <w:jc w:val="left"/>
    </w:pPr>
    <w:rPr>
      <w:rFonts w:ascii="宋体" w:hAnsi="宋体" w:eastAsia="黑体" w:cs="宋体"/>
      <w:kern w:val="0"/>
      <w:sz w:val="28"/>
    </w:rPr>
  </w:style>
  <w:style w:type="paragraph" w:customStyle="1" w:styleId="1414">
    <w:name w:val="Char Char Char1 Char10"/>
    <w:basedOn w:val="1"/>
    <w:next w:val="1"/>
    <w:autoRedefine/>
    <w:semiHidden/>
    <w:qFormat/>
    <w:uiPriority w:val="0"/>
    <w:pPr>
      <w:widowControl/>
      <w:spacing w:line="360" w:lineRule="auto"/>
      <w:jc w:val="left"/>
    </w:pPr>
    <w:rPr>
      <w:rFonts w:ascii="宋体" w:hAnsi="宋体" w:cs="宋体"/>
      <w:kern w:val="0"/>
    </w:rPr>
  </w:style>
  <w:style w:type="paragraph" w:customStyle="1" w:styleId="1415">
    <w:name w:val="Char Char Char3 Char1"/>
    <w:basedOn w:val="1"/>
    <w:autoRedefine/>
    <w:qFormat/>
    <w:uiPriority w:val="0"/>
    <w:pPr>
      <w:widowControl/>
      <w:spacing w:line="360" w:lineRule="auto"/>
      <w:jc w:val="left"/>
    </w:pPr>
    <w:rPr>
      <w:rFonts w:ascii="宋体" w:hAnsi="宋体" w:cs="宋体"/>
      <w:kern w:val="0"/>
    </w:rPr>
  </w:style>
  <w:style w:type="paragraph" w:customStyle="1" w:styleId="1416">
    <w:name w:val="Char Char Char Char Char Char1 Char Char Char1 Char Char Char Char Char Char Char1"/>
    <w:basedOn w:val="1"/>
    <w:autoRedefine/>
    <w:qFormat/>
    <w:uiPriority w:val="0"/>
    <w:pPr>
      <w:widowControl/>
      <w:spacing w:line="360" w:lineRule="auto"/>
      <w:jc w:val="left"/>
    </w:pPr>
    <w:rPr>
      <w:rFonts w:ascii="宋体" w:hAnsi="宋体" w:cs="宋体"/>
      <w:kern w:val="0"/>
    </w:rPr>
  </w:style>
  <w:style w:type="paragraph" w:customStyle="1" w:styleId="1417">
    <w:name w:val="Char Char Char Char Char Char Char Char1 Char Char Char Char1"/>
    <w:basedOn w:val="1"/>
    <w:autoRedefine/>
    <w:qFormat/>
    <w:uiPriority w:val="0"/>
    <w:pPr>
      <w:ind w:firstLine="0" w:firstLineChars="0"/>
    </w:pPr>
    <w:rPr>
      <w:sz w:val="21"/>
    </w:rPr>
  </w:style>
  <w:style w:type="paragraph" w:customStyle="1" w:styleId="1418">
    <w:name w:val="玲正文"/>
    <w:basedOn w:val="1"/>
    <w:next w:val="86"/>
    <w:autoRedefine/>
    <w:qFormat/>
    <w:uiPriority w:val="0"/>
    <w:pPr>
      <w:adjustRightInd w:val="0"/>
      <w:snapToGrid w:val="0"/>
      <w:spacing w:line="360" w:lineRule="auto"/>
      <w:ind w:firstLine="480"/>
    </w:pPr>
    <w:rPr>
      <w:kern w:val="0"/>
    </w:rPr>
  </w:style>
  <w:style w:type="paragraph" w:customStyle="1" w:styleId="1419">
    <w:name w:val="Char Char Char1 Char Char Char Char Char Char Char Char Char Char Char Char Char Char Char Char Char Char Char Char Char Char Char Char Char Char Char Char Char Char Char Char Char Char Char Char Char Char Char Char Char Char Char Char Char"/>
    <w:basedOn w:val="1"/>
    <w:autoRedefine/>
    <w:qFormat/>
    <w:uiPriority w:val="0"/>
    <w:pPr>
      <w:snapToGrid w:val="0"/>
      <w:spacing w:line="440" w:lineRule="atLeast"/>
    </w:pPr>
    <w:rPr>
      <w:sz w:val="21"/>
      <w:szCs w:val="20"/>
    </w:rPr>
  </w:style>
  <w:style w:type="paragraph" w:customStyle="1" w:styleId="1420">
    <w:name w:val="Char Char Char1 Char Char Char Char Char Char Char Char Char Char Char Char Char Char Char Char Char Char Char Char Char Char Char Char Char Char Char Char"/>
    <w:basedOn w:val="1"/>
    <w:autoRedefine/>
    <w:qFormat/>
    <w:uiPriority w:val="0"/>
    <w:pPr>
      <w:snapToGrid w:val="0"/>
      <w:spacing w:line="440" w:lineRule="atLeast"/>
    </w:pPr>
    <w:rPr>
      <w:sz w:val="21"/>
      <w:szCs w:val="20"/>
    </w:rPr>
  </w:style>
  <w:style w:type="paragraph" w:customStyle="1" w:styleId="1421">
    <w:name w:val="Char Char Char1 Char Char Char Char Char Char Char Char Char"/>
    <w:basedOn w:val="1"/>
    <w:autoRedefine/>
    <w:qFormat/>
    <w:uiPriority w:val="0"/>
    <w:pPr>
      <w:snapToGrid w:val="0"/>
      <w:spacing w:line="440" w:lineRule="atLeast"/>
    </w:pPr>
    <w:rPr>
      <w:sz w:val="21"/>
      <w:szCs w:val="20"/>
    </w:rPr>
  </w:style>
  <w:style w:type="character" w:customStyle="1" w:styleId="1422">
    <w:name w:val="表格表格 Char"/>
    <w:link w:val="1423"/>
    <w:autoRedefine/>
    <w:qFormat/>
    <w:locked/>
    <w:uiPriority w:val="0"/>
    <w:rPr>
      <w:color w:val="000000"/>
      <w:spacing w:val="-10"/>
      <w:kern w:val="24"/>
      <w:sz w:val="21"/>
      <w:szCs w:val="18"/>
      <w:lang w:val="zh-CN"/>
    </w:rPr>
  </w:style>
  <w:style w:type="paragraph" w:customStyle="1" w:styleId="1423">
    <w:name w:val="表格表格"/>
    <w:basedOn w:val="343"/>
    <w:link w:val="1422"/>
    <w:autoRedefine/>
    <w:qFormat/>
    <w:uiPriority w:val="0"/>
    <w:pPr>
      <w:adjustRightInd/>
      <w:snapToGrid/>
      <w:spacing w:line="300" w:lineRule="exact"/>
    </w:pPr>
    <w:rPr>
      <w:rFonts w:hAnsi="Times New Roman"/>
      <w:snapToGrid/>
      <w:color w:val="000000"/>
      <w:spacing w:val="-10"/>
      <w:kern w:val="24"/>
      <w:szCs w:val="18"/>
      <w:lang w:val="zh-CN"/>
    </w:rPr>
  </w:style>
  <w:style w:type="paragraph" w:customStyle="1" w:styleId="1424">
    <w:name w:val="样式 表中文字 + 行距: 固定值 14 磅"/>
    <w:basedOn w:val="1"/>
    <w:autoRedefine/>
    <w:qFormat/>
    <w:uiPriority w:val="0"/>
    <w:pPr>
      <w:widowControl/>
      <w:adjustRightInd w:val="0"/>
      <w:snapToGrid w:val="0"/>
      <w:spacing w:line="280" w:lineRule="exact"/>
      <w:ind w:firstLine="0" w:firstLineChars="0"/>
      <w:jc w:val="center"/>
    </w:pPr>
    <w:rPr>
      <w:rFonts w:eastAsia="华文中宋"/>
      <w:kern w:val="0"/>
      <w:sz w:val="21"/>
      <w:szCs w:val="20"/>
    </w:rPr>
  </w:style>
  <w:style w:type="character" w:customStyle="1" w:styleId="1425">
    <w:name w:val="表格题目 Char"/>
    <w:link w:val="1426"/>
    <w:autoRedefine/>
    <w:qFormat/>
    <w:locked/>
    <w:uiPriority w:val="0"/>
    <w:rPr>
      <w:rFonts w:ascii="黑体" w:hAnsi="黑体" w:eastAsia="黑体"/>
      <w:kern w:val="2"/>
      <w:sz w:val="24"/>
      <w:szCs w:val="24"/>
      <w:lang w:val="zh-CN"/>
    </w:rPr>
  </w:style>
  <w:style w:type="paragraph" w:customStyle="1" w:styleId="1426">
    <w:name w:val="表格题目"/>
    <w:basedOn w:val="1"/>
    <w:link w:val="1425"/>
    <w:autoRedefine/>
    <w:qFormat/>
    <w:uiPriority w:val="0"/>
    <w:pPr>
      <w:ind w:firstLine="480"/>
    </w:pPr>
    <w:rPr>
      <w:rFonts w:ascii="黑体" w:hAnsi="黑体" w:eastAsia="黑体"/>
      <w:lang w:val="zh-CN"/>
    </w:rPr>
  </w:style>
  <w:style w:type="paragraph" w:customStyle="1" w:styleId="1427">
    <w:name w:val="Char Char Char Char Char Char Char Char Char Char Char Char Char Char Char1 Char Char Char Char Char Char Char"/>
    <w:basedOn w:val="1"/>
    <w:autoRedefine/>
    <w:qFormat/>
    <w:uiPriority w:val="0"/>
    <w:pPr>
      <w:tabs>
        <w:tab w:val="left" w:pos="360"/>
      </w:tabs>
      <w:snapToGrid w:val="0"/>
      <w:spacing w:line="360" w:lineRule="auto"/>
      <w:ind w:left="360" w:hanging="360" w:firstLineChars="0"/>
    </w:pPr>
    <w:rPr>
      <w:rFonts w:ascii="宋体" w:hAnsi="宋体" w:cs="宋体"/>
    </w:rPr>
  </w:style>
  <w:style w:type="paragraph" w:customStyle="1" w:styleId="1428">
    <w:name w:val="正文首行缩进2"/>
    <w:basedOn w:val="1"/>
    <w:autoRedefine/>
    <w:qFormat/>
    <w:uiPriority w:val="0"/>
    <w:pPr>
      <w:adjustRightInd w:val="0"/>
      <w:spacing w:line="300" w:lineRule="atLeast"/>
      <w:ind w:firstLine="539" w:firstLineChars="0"/>
    </w:pPr>
    <w:rPr>
      <w:rFonts w:ascii="宋体"/>
      <w:kern w:val="0"/>
    </w:rPr>
  </w:style>
  <w:style w:type="paragraph" w:customStyle="1" w:styleId="1429">
    <w:name w:val="日期2"/>
    <w:basedOn w:val="1"/>
    <w:next w:val="1"/>
    <w:autoRedefine/>
    <w:qFormat/>
    <w:uiPriority w:val="99"/>
    <w:pPr>
      <w:autoSpaceDE w:val="0"/>
      <w:autoSpaceDN w:val="0"/>
      <w:adjustRightInd w:val="0"/>
      <w:ind w:firstLine="0" w:firstLineChars="0"/>
    </w:pPr>
    <w:rPr>
      <w:spacing w:val="5"/>
      <w:kern w:val="0"/>
      <w:szCs w:val="20"/>
    </w:rPr>
  </w:style>
  <w:style w:type="paragraph" w:customStyle="1" w:styleId="1430">
    <w:name w:val="无间隔10"/>
    <w:autoRedefine/>
    <w:qFormat/>
    <w:uiPriority w:val="0"/>
    <w:pPr>
      <w:widowControl w:val="0"/>
      <w:adjustRightInd w:val="0"/>
      <w:jc w:val="both"/>
    </w:pPr>
    <w:rPr>
      <w:rFonts w:ascii="Times New Roman" w:hAnsi="Times New Roman" w:eastAsia="宋体" w:cs="Times New Roman"/>
      <w:kern w:val="2"/>
      <w:sz w:val="24"/>
      <w:szCs w:val="24"/>
      <w:lang w:val="en-US" w:eastAsia="zh-CN" w:bidi="ar-SA"/>
    </w:rPr>
  </w:style>
  <w:style w:type="paragraph" w:customStyle="1" w:styleId="1431">
    <w:name w:val="列出段落4"/>
    <w:basedOn w:val="1"/>
    <w:autoRedefine/>
    <w:qFormat/>
    <w:uiPriority w:val="0"/>
    <w:pPr>
      <w:adjustRightInd w:val="0"/>
      <w:spacing w:line="360" w:lineRule="auto"/>
      <w:ind w:firstLine="420"/>
    </w:pPr>
    <w:rPr>
      <w:lang w:val="zh-CN"/>
    </w:rPr>
  </w:style>
  <w:style w:type="paragraph" w:customStyle="1" w:styleId="1432">
    <w:name w:val="TOC 标题31"/>
    <w:basedOn w:val="3"/>
    <w:next w:val="1"/>
    <w:autoRedefine/>
    <w:qFormat/>
    <w:uiPriority w:val="0"/>
    <w:pPr>
      <w:keepLines/>
      <w:widowControl/>
      <w:numPr>
        <w:numId w:val="0"/>
      </w:numPr>
      <w:tabs>
        <w:tab w:val="clear" w:pos="0"/>
      </w:tabs>
      <w:spacing w:line="276" w:lineRule="auto"/>
      <w:jc w:val="left"/>
      <w:outlineLvl w:val="9"/>
    </w:pPr>
    <w:rPr>
      <w:rFonts w:ascii="Cambria" w:hAnsi="Cambria" w:cs="Cambria"/>
      <w:bCs/>
      <w:color w:val="365F91"/>
      <w:kern w:val="0"/>
      <w:sz w:val="28"/>
      <w:szCs w:val="28"/>
    </w:rPr>
  </w:style>
  <w:style w:type="paragraph" w:customStyle="1" w:styleId="1433">
    <w:name w:val="Char Char Char Char1 Char Char Char Char Char Char Char Char Char2 Char Char"/>
    <w:basedOn w:val="1"/>
    <w:autoRedefine/>
    <w:qFormat/>
    <w:uiPriority w:val="0"/>
    <w:rPr>
      <w:rFonts w:eastAsia="黑体" w:cs="宋体"/>
      <w:b/>
      <w:bCs/>
      <w:color w:val="000000"/>
      <w:sz w:val="32"/>
      <w:szCs w:val="32"/>
    </w:rPr>
  </w:style>
  <w:style w:type="paragraph" w:customStyle="1" w:styleId="1434">
    <w:name w:val="1正文段落"/>
    <w:basedOn w:val="1"/>
    <w:link w:val="2596"/>
    <w:autoRedefine/>
    <w:qFormat/>
    <w:uiPriority w:val="0"/>
    <w:pPr>
      <w:snapToGrid w:val="0"/>
      <w:spacing w:line="360" w:lineRule="auto"/>
      <w:jc w:val="left"/>
    </w:pPr>
    <w:rPr>
      <w:kern w:val="0"/>
    </w:rPr>
  </w:style>
  <w:style w:type="character" w:customStyle="1" w:styleId="1435">
    <w:name w:val="fy-G表格文 Char"/>
    <w:link w:val="1436"/>
    <w:autoRedefine/>
    <w:qFormat/>
    <w:locked/>
    <w:uiPriority w:val="0"/>
    <w:rPr>
      <w:sz w:val="24"/>
      <w:szCs w:val="24"/>
    </w:rPr>
  </w:style>
  <w:style w:type="paragraph" w:customStyle="1" w:styleId="1436">
    <w:name w:val="fy-G表格文"/>
    <w:basedOn w:val="1"/>
    <w:link w:val="1435"/>
    <w:autoRedefine/>
    <w:qFormat/>
    <w:uiPriority w:val="0"/>
    <w:pPr>
      <w:adjustRightInd w:val="0"/>
      <w:snapToGrid w:val="0"/>
      <w:spacing w:line="240" w:lineRule="atLeast"/>
      <w:ind w:firstLine="0" w:firstLineChars="0"/>
      <w:jc w:val="center"/>
    </w:pPr>
    <w:rPr>
      <w:kern w:val="0"/>
    </w:rPr>
  </w:style>
  <w:style w:type="paragraph" w:customStyle="1" w:styleId="1437">
    <w:name w:val="正文五号"/>
    <w:basedOn w:val="1"/>
    <w:next w:val="1"/>
    <w:autoRedefine/>
    <w:uiPriority w:val="0"/>
    <w:pPr>
      <w:ind w:firstLine="0" w:firstLineChars="0"/>
      <w:jc w:val="center"/>
    </w:pPr>
    <w:rPr>
      <w:rFonts w:ascii="宋体" w:hAnsi="宋体"/>
      <w:kern w:val="0"/>
      <w:sz w:val="21"/>
      <w:szCs w:val="28"/>
    </w:rPr>
  </w:style>
  <w:style w:type="paragraph" w:customStyle="1" w:styleId="1438">
    <w:name w:val="样式 样式 样式 样式 正文缩进文本条款表格标题正文（首行缩进两字） Char Char Char Char Char Char..."/>
    <w:basedOn w:val="1"/>
    <w:autoRedefine/>
    <w:qFormat/>
    <w:uiPriority w:val="0"/>
    <w:pPr>
      <w:tabs>
        <w:tab w:val="left" w:pos="283"/>
      </w:tabs>
      <w:adjustRightInd w:val="0"/>
      <w:snapToGrid w:val="0"/>
      <w:spacing w:line="480" w:lineRule="atLeast"/>
    </w:pPr>
    <w:rPr>
      <w:rFonts w:eastAsia="仿宋_GB2312" w:cs="宋体"/>
      <w:kern w:val="0"/>
      <w:sz w:val="28"/>
      <w:szCs w:val="20"/>
    </w:rPr>
  </w:style>
  <w:style w:type="paragraph" w:customStyle="1" w:styleId="1439">
    <w:name w:val="图题注"/>
    <w:basedOn w:val="22"/>
    <w:autoRedefine/>
    <w:qFormat/>
    <w:uiPriority w:val="0"/>
    <w:pPr>
      <w:snapToGrid w:val="0"/>
      <w:spacing w:before="120" w:after="240" w:line="240" w:lineRule="auto"/>
      <w:ind w:firstLine="0" w:firstLineChars="0"/>
    </w:pPr>
    <w:rPr>
      <w:rFonts w:ascii="黑体" w:hAnsi="Arial" w:eastAsia="黑体"/>
      <w:kern w:val="0"/>
      <w:sz w:val="21"/>
      <w:szCs w:val="21"/>
      <w14:ligatures w14:val="none"/>
    </w:rPr>
  </w:style>
  <w:style w:type="character" w:customStyle="1" w:styleId="1440">
    <w:name w:val="fy-G报告正文 Char"/>
    <w:link w:val="1441"/>
    <w:autoRedefine/>
    <w:qFormat/>
    <w:locked/>
    <w:uiPriority w:val="0"/>
    <w:rPr>
      <w:color w:val="000000"/>
      <w:kern w:val="2"/>
      <w:sz w:val="28"/>
      <w:szCs w:val="28"/>
    </w:rPr>
  </w:style>
  <w:style w:type="paragraph" w:customStyle="1" w:styleId="1441">
    <w:name w:val="fy-G报告正文"/>
    <w:basedOn w:val="1"/>
    <w:link w:val="1440"/>
    <w:qFormat/>
    <w:uiPriority w:val="0"/>
    <w:pPr>
      <w:widowControl/>
      <w:spacing w:line="360" w:lineRule="auto"/>
    </w:pPr>
    <w:rPr>
      <w:color w:val="000000"/>
      <w:sz w:val="28"/>
      <w:szCs w:val="28"/>
    </w:rPr>
  </w:style>
  <w:style w:type="paragraph" w:customStyle="1" w:styleId="1442">
    <w:name w:val="表头4号"/>
    <w:basedOn w:val="1"/>
    <w:autoRedefine/>
    <w:qFormat/>
    <w:uiPriority w:val="0"/>
    <w:pPr>
      <w:spacing w:line="336" w:lineRule="auto"/>
      <w:jc w:val="left"/>
    </w:pPr>
    <w:rPr>
      <w:rFonts w:ascii="宋体" w:hAnsi="宋体"/>
      <w:b/>
      <w:bCs/>
      <w:kern w:val="0"/>
      <w:sz w:val="28"/>
      <w:szCs w:val="28"/>
    </w:rPr>
  </w:style>
  <w:style w:type="character" w:customStyle="1" w:styleId="1443">
    <w:name w:val="cucd-TB-Head Char Char"/>
    <w:link w:val="1444"/>
    <w:autoRedefine/>
    <w:qFormat/>
    <w:locked/>
    <w:uiPriority w:val="0"/>
    <w:rPr>
      <w:rFonts w:ascii="黑体" w:hAnsi="黑体" w:eastAsia="黑体"/>
      <w:sz w:val="24"/>
      <w:szCs w:val="24"/>
    </w:rPr>
  </w:style>
  <w:style w:type="paragraph" w:customStyle="1" w:styleId="1444">
    <w:name w:val="cucd-TB-Head"/>
    <w:basedOn w:val="1"/>
    <w:next w:val="1"/>
    <w:link w:val="1443"/>
    <w:autoRedefine/>
    <w:qFormat/>
    <w:uiPriority w:val="0"/>
    <w:pPr>
      <w:spacing w:line="360" w:lineRule="auto"/>
      <w:ind w:firstLine="0" w:firstLineChars="0"/>
      <w:jc w:val="center"/>
    </w:pPr>
    <w:rPr>
      <w:rFonts w:ascii="黑体" w:hAnsi="黑体" w:eastAsia="黑体"/>
      <w:kern w:val="0"/>
    </w:rPr>
  </w:style>
  <w:style w:type="character" w:customStyle="1" w:styleId="1445">
    <w:name w:val="易四级标题 Char"/>
    <w:link w:val="1446"/>
    <w:autoRedefine/>
    <w:qFormat/>
    <w:locked/>
    <w:uiPriority w:val="0"/>
    <w:rPr>
      <w:rFonts w:ascii="黑体" w:hAnsi="黑体" w:eastAsia="黑体"/>
      <w:bCs/>
      <w:sz w:val="24"/>
    </w:rPr>
  </w:style>
  <w:style w:type="paragraph" w:customStyle="1" w:styleId="1446">
    <w:name w:val="易四级标题"/>
    <w:basedOn w:val="1"/>
    <w:link w:val="1445"/>
    <w:autoRedefine/>
    <w:qFormat/>
    <w:uiPriority w:val="0"/>
    <w:pPr>
      <w:keepNext/>
      <w:keepLines/>
      <w:spacing w:beforeLines="50" w:afterLines="50" w:line="360" w:lineRule="auto"/>
      <w:ind w:firstLine="0" w:firstLineChars="0"/>
      <w:outlineLvl w:val="3"/>
    </w:pPr>
    <w:rPr>
      <w:rFonts w:ascii="黑体" w:hAnsi="黑体" w:eastAsia="黑体"/>
      <w:bCs/>
      <w:kern w:val="0"/>
      <w:szCs w:val="20"/>
    </w:rPr>
  </w:style>
  <w:style w:type="paragraph" w:customStyle="1" w:styleId="1447">
    <w:name w:val="表内文字"/>
    <w:basedOn w:val="1"/>
    <w:autoRedefine/>
    <w:qFormat/>
    <w:uiPriority w:val="0"/>
    <w:pPr>
      <w:adjustRightInd w:val="0"/>
      <w:spacing w:line="320" w:lineRule="atLeast"/>
      <w:ind w:firstLine="0" w:firstLineChars="0"/>
      <w:jc w:val="center"/>
    </w:pPr>
    <w:rPr>
      <w:rFonts w:eastAsia="楷体_GB2312"/>
      <w:kern w:val="0"/>
      <w:sz w:val="21"/>
      <w:szCs w:val="21"/>
    </w:rPr>
  </w:style>
  <w:style w:type="character" w:customStyle="1" w:styleId="1448">
    <w:name w:val="表内字 Char"/>
    <w:link w:val="1449"/>
    <w:autoRedefine/>
    <w:qFormat/>
    <w:locked/>
    <w:uiPriority w:val="0"/>
    <w:rPr>
      <w:rFonts w:ascii="Arial" w:hAnsi="Arial" w:cs="Arial"/>
      <w:szCs w:val="21"/>
    </w:rPr>
  </w:style>
  <w:style w:type="paragraph" w:customStyle="1" w:styleId="1449">
    <w:name w:val="表内字"/>
    <w:basedOn w:val="1"/>
    <w:link w:val="1448"/>
    <w:autoRedefine/>
    <w:qFormat/>
    <w:uiPriority w:val="0"/>
    <w:pPr>
      <w:spacing w:line="300" w:lineRule="exact"/>
      <w:ind w:firstLine="0" w:firstLineChars="0"/>
      <w:jc w:val="center"/>
    </w:pPr>
    <w:rPr>
      <w:rFonts w:ascii="Arial" w:hAnsi="Arial" w:cs="Arial"/>
      <w:kern w:val="0"/>
      <w:sz w:val="20"/>
      <w:szCs w:val="21"/>
    </w:rPr>
  </w:style>
  <w:style w:type="paragraph" w:customStyle="1" w:styleId="1450">
    <w:name w:val="样式 标题 2 + Times New Roman 四号 非加粗"/>
    <w:basedOn w:val="4"/>
    <w:link w:val="1902"/>
    <w:autoRedefine/>
    <w:qFormat/>
    <w:uiPriority w:val="0"/>
    <w:pPr>
      <w:numPr>
        <w:ilvl w:val="0"/>
        <w:numId w:val="0"/>
      </w:numPr>
      <w:tabs>
        <w:tab w:val="left" w:pos="720"/>
      </w:tabs>
      <w:spacing w:before="120" w:after="120"/>
    </w:pPr>
    <w:rPr>
      <w:b w:val="0"/>
      <w:bCs w:val="0"/>
      <w:sz w:val="30"/>
    </w:rPr>
  </w:style>
  <w:style w:type="character" w:customStyle="1" w:styleId="1451">
    <w:name w:val="表1.1-1 字符"/>
    <w:link w:val="1452"/>
    <w:autoRedefine/>
    <w:qFormat/>
    <w:locked/>
    <w:uiPriority w:val="0"/>
    <w:rPr>
      <w:b/>
      <w:bCs/>
      <w:color w:val="000000"/>
      <w:sz w:val="24"/>
      <w:szCs w:val="24"/>
      <w:lang w:bidi="zh-CN"/>
    </w:rPr>
  </w:style>
  <w:style w:type="paragraph" w:customStyle="1" w:styleId="1452">
    <w:name w:val="表1.1-1"/>
    <w:basedOn w:val="1060"/>
    <w:link w:val="1451"/>
    <w:autoRedefine/>
    <w:qFormat/>
    <w:uiPriority w:val="0"/>
    <w:pPr>
      <w:keepNext/>
      <w:keepLines/>
      <w:widowControl/>
      <w:autoSpaceDE/>
      <w:autoSpaceDN/>
      <w:adjustRightInd/>
      <w:snapToGrid/>
      <w:ind w:firstLine="480"/>
      <w:textAlignment w:val="auto"/>
      <w:outlineLvl w:val="4"/>
    </w:pPr>
    <w:rPr>
      <w:b/>
      <w:bCs/>
      <w:color w:val="000000"/>
      <w:szCs w:val="24"/>
      <w:lang w:bidi="zh-CN"/>
    </w:rPr>
  </w:style>
  <w:style w:type="character" w:customStyle="1" w:styleId="1453">
    <w:name w:val="不明显参考1"/>
    <w:autoRedefine/>
    <w:qFormat/>
    <w:uiPriority w:val="31"/>
    <w:rPr>
      <w:smallCaps/>
      <w:color w:val="5A5A5A"/>
    </w:rPr>
  </w:style>
  <w:style w:type="character" w:customStyle="1" w:styleId="1454">
    <w:name w:val="hei141"/>
    <w:autoRedefine/>
    <w:qFormat/>
    <w:uiPriority w:val="0"/>
    <w:rPr>
      <w:color w:val="000000"/>
      <w:sz w:val="15"/>
      <w:szCs w:val="15"/>
      <w:u w:val="none"/>
    </w:rPr>
  </w:style>
  <w:style w:type="character" w:customStyle="1" w:styleId="1455">
    <w:name w:val="p18-hei"/>
    <w:basedOn w:val="133"/>
    <w:autoRedefine/>
    <w:qFormat/>
    <w:uiPriority w:val="0"/>
  </w:style>
  <w:style w:type="character" w:customStyle="1" w:styleId="1456">
    <w:name w:val="font3"/>
    <w:basedOn w:val="133"/>
    <w:autoRedefine/>
    <w:qFormat/>
    <w:uiPriority w:val="0"/>
  </w:style>
  <w:style w:type="character" w:customStyle="1" w:styleId="1457">
    <w:name w:val="普通文字 + 行距: 1.5 倍行距 Char"/>
    <w:autoRedefine/>
    <w:qFormat/>
    <w:uiPriority w:val="0"/>
    <w:rPr>
      <w:rFonts w:hint="eastAsia" w:ascii="宋体" w:hAnsi="Courier New" w:eastAsia="宋体"/>
      <w:kern w:val="2"/>
      <w:sz w:val="21"/>
      <w:lang w:val="en-US" w:eastAsia="zh-CN" w:bidi="ar-SA"/>
    </w:rPr>
  </w:style>
  <w:style w:type="character" w:customStyle="1" w:styleId="1458">
    <w:name w:val="ourfont2"/>
    <w:basedOn w:val="133"/>
    <w:autoRedefine/>
    <w:qFormat/>
    <w:uiPriority w:val="0"/>
  </w:style>
  <w:style w:type="character" w:customStyle="1" w:styleId="1459">
    <w:name w:val="lineh151"/>
    <w:basedOn w:val="133"/>
    <w:autoRedefine/>
    <w:qFormat/>
    <w:uiPriority w:val="0"/>
  </w:style>
  <w:style w:type="character" w:customStyle="1" w:styleId="1460">
    <w:name w:val="正文缩进11"/>
    <w:autoRedefine/>
    <w:qFormat/>
    <w:uiPriority w:val="0"/>
    <w:rPr>
      <w:kern w:val="2"/>
      <w:sz w:val="21"/>
      <w:szCs w:val="24"/>
    </w:rPr>
  </w:style>
  <w:style w:type="character" w:customStyle="1" w:styleId="1461">
    <w:name w:val="样式 样式 黑体 三号 加粗 + (中文) 黑体"/>
    <w:autoRedefine/>
    <w:qFormat/>
    <w:uiPriority w:val="0"/>
    <w:rPr>
      <w:rFonts w:hint="default" w:ascii="Times New Roman" w:hAnsi="Times New Roman" w:eastAsia="宋体" w:cs="Times New Roman"/>
      <w:b/>
      <w:bCs/>
      <w:kern w:val="44"/>
      <w:sz w:val="24"/>
      <w:szCs w:val="24"/>
    </w:rPr>
  </w:style>
  <w:style w:type="character" w:customStyle="1" w:styleId="1462">
    <w:name w:val="Char Char22"/>
    <w:autoRedefine/>
    <w:qFormat/>
    <w:uiPriority w:val="0"/>
    <w:rPr>
      <w:rFonts w:hint="eastAsia" w:ascii="宋体" w:hAnsi="宋体" w:eastAsia="宋体"/>
      <w:b/>
      <w:bCs/>
      <w:kern w:val="44"/>
      <w:sz w:val="36"/>
      <w:szCs w:val="44"/>
      <w:lang w:val="en-US" w:eastAsia="zh-CN" w:bidi="ar-SA"/>
    </w:rPr>
  </w:style>
  <w:style w:type="character" w:customStyle="1" w:styleId="1463">
    <w:name w:val="Char Char21"/>
    <w:autoRedefine/>
    <w:qFormat/>
    <w:uiPriority w:val="0"/>
    <w:rPr>
      <w:rFonts w:hint="eastAsia" w:ascii="宋体" w:hAnsi="宋体" w:eastAsia="宋体"/>
      <w:b/>
      <w:bCs/>
      <w:kern w:val="2"/>
      <w:sz w:val="30"/>
      <w:szCs w:val="32"/>
      <w:lang w:val="en-US" w:eastAsia="zh-CN" w:bidi="ar-SA"/>
    </w:rPr>
  </w:style>
  <w:style w:type="character" w:customStyle="1" w:styleId="1464">
    <w:name w:val="Char Char20"/>
    <w:autoRedefine/>
    <w:qFormat/>
    <w:uiPriority w:val="0"/>
    <w:rPr>
      <w:rFonts w:hint="eastAsia" w:ascii="宋体" w:hAnsi="宋体" w:eastAsia="宋体"/>
      <w:b/>
      <w:bCs/>
      <w:kern w:val="2"/>
      <w:sz w:val="28"/>
      <w:szCs w:val="32"/>
      <w:lang w:val="en-US" w:eastAsia="zh-CN" w:bidi="ar-SA"/>
    </w:rPr>
  </w:style>
  <w:style w:type="character" w:customStyle="1" w:styleId="1465">
    <w:name w:val="123YJ Char Char"/>
    <w:autoRedefine/>
    <w:qFormat/>
    <w:uiPriority w:val="0"/>
    <w:rPr>
      <w:rFonts w:hint="default" w:ascii="Times New Roman" w:hAnsi="Times New Roman" w:eastAsia="宋体" w:cs="Times New Roman"/>
      <w:sz w:val="18"/>
      <w:szCs w:val="18"/>
    </w:rPr>
  </w:style>
  <w:style w:type="character" w:customStyle="1" w:styleId="1466">
    <w:name w:val="aaa1"/>
    <w:autoRedefine/>
    <w:qFormat/>
    <w:uiPriority w:val="0"/>
    <w:rPr>
      <w:sz w:val="22"/>
      <w:szCs w:val="22"/>
    </w:rPr>
  </w:style>
  <w:style w:type="character" w:customStyle="1" w:styleId="1467">
    <w:name w:val="样式 小五"/>
    <w:autoRedefine/>
    <w:qFormat/>
    <w:uiPriority w:val="0"/>
    <w:rPr>
      <w:sz w:val="18"/>
      <w:szCs w:val="18"/>
      <w:u w:val="none"/>
      <w:vertAlign w:val="baseline"/>
    </w:rPr>
  </w:style>
  <w:style w:type="character" w:customStyle="1" w:styleId="1468">
    <w:name w:val="正文文本缩进 22"/>
    <w:autoRedefine/>
    <w:qFormat/>
    <w:uiPriority w:val="0"/>
    <w:rPr>
      <w:rFonts w:hint="eastAsia" w:ascii="宋体" w:hAnsi="宋体" w:eastAsia="宋体"/>
      <w:kern w:val="2"/>
      <w:sz w:val="24"/>
      <w:szCs w:val="24"/>
      <w:lang w:val="en-US" w:eastAsia="zh-CN" w:bidi="ar-SA"/>
    </w:rPr>
  </w:style>
  <w:style w:type="character" w:customStyle="1" w:styleId="1469">
    <w:name w:val="Char1 Char Char"/>
    <w:autoRedefine/>
    <w:qFormat/>
    <w:uiPriority w:val="0"/>
    <w:rPr>
      <w:rFonts w:hint="eastAsia" w:ascii="宋体" w:hAnsi="宋体" w:eastAsia="宋体"/>
      <w:b/>
      <w:bCs/>
      <w:kern w:val="2"/>
      <w:sz w:val="28"/>
      <w:szCs w:val="28"/>
      <w:lang w:val="en-US" w:eastAsia="zh-CN" w:bidi="ar-SA"/>
    </w:rPr>
  </w:style>
  <w:style w:type="character" w:customStyle="1" w:styleId="1470">
    <w:name w:val="样式 黑体 三号 加粗"/>
    <w:autoRedefine/>
    <w:qFormat/>
    <w:uiPriority w:val="0"/>
    <w:rPr>
      <w:rFonts w:hint="eastAsia" w:ascii="黑体" w:hAnsi="黑体" w:eastAsia="Times New Roman"/>
      <w:b/>
      <w:bCs/>
      <w:kern w:val="44"/>
      <w:sz w:val="32"/>
    </w:rPr>
  </w:style>
  <w:style w:type="character" w:customStyle="1" w:styleId="1471">
    <w:name w:val="样式8 Char Char"/>
    <w:autoRedefine/>
    <w:qFormat/>
    <w:uiPriority w:val="0"/>
    <w:rPr>
      <w:rFonts w:hint="eastAsia" w:ascii="宋体" w:hAnsi="宋体" w:eastAsia="宋体"/>
      <w:kern w:val="2"/>
      <w:sz w:val="24"/>
      <w:szCs w:val="24"/>
      <w:lang w:val="en-US" w:eastAsia="zh-CN" w:bidi="ar-SA"/>
    </w:rPr>
  </w:style>
  <w:style w:type="character" w:customStyle="1" w:styleId="1472">
    <w:name w:val="表格内容 Char Char Char"/>
    <w:autoRedefine/>
    <w:qFormat/>
    <w:uiPriority w:val="0"/>
    <w:rPr>
      <w:rFonts w:hint="eastAsia" w:ascii="宋体" w:hAnsi="宋体" w:eastAsia="宋体"/>
      <w:color w:val="000000"/>
      <w:kern w:val="2"/>
      <w:sz w:val="21"/>
      <w:szCs w:val="16"/>
      <w:lang w:val="en-US" w:eastAsia="zh-CN" w:bidi="ar-SA"/>
    </w:rPr>
  </w:style>
  <w:style w:type="character" w:customStyle="1" w:styleId="1473">
    <w:name w:val="tpc_content1"/>
    <w:autoRedefine/>
    <w:qFormat/>
    <w:uiPriority w:val="0"/>
    <w:rPr>
      <w:sz w:val="20"/>
      <w:szCs w:val="20"/>
    </w:rPr>
  </w:style>
  <w:style w:type="character" w:customStyle="1" w:styleId="1474">
    <w:name w:val="ju1"/>
    <w:autoRedefine/>
    <w:qFormat/>
    <w:uiPriority w:val="0"/>
    <w:rPr>
      <w:rFonts w:hint="default" w:ascii="ˎ̥" w:hAnsi="ˎ̥"/>
      <w:color w:val="F06000"/>
      <w:sz w:val="20"/>
      <w:szCs w:val="20"/>
    </w:rPr>
  </w:style>
  <w:style w:type="character" w:customStyle="1" w:styleId="1475">
    <w:name w:val="Char Char Char Char1 Char1 Char"/>
    <w:autoRedefine/>
    <w:qFormat/>
    <w:uiPriority w:val="0"/>
    <w:rPr>
      <w:rFonts w:hint="eastAsia" w:ascii="宋体" w:hAnsi="宋体" w:eastAsia="宋体"/>
      <w:kern w:val="2"/>
      <w:sz w:val="24"/>
      <w:szCs w:val="24"/>
      <w:lang w:val="en-US" w:eastAsia="zh-CN" w:bidi="ar-SA"/>
    </w:rPr>
  </w:style>
  <w:style w:type="character" w:customStyle="1" w:styleId="1476">
    <w:name w:val="标题 7 Char Char Char Char Char Char Char Char"/>
    <w:autoRedefine/>
    <w:qFormat/>
    <w:uiPriority w:val="0"/>
    <w:rPr>
      <w:rFonts w:hint="eastAsia" w:ascii="华文细黑" w:hAnsi="华文细黑" w:eastAsia="华文细黑"/>
      <w:i/>
      <w:snapToGrid/>
      <w:spacing w:val="10"/>
      <w:kern w:val="28"/>
      <w:sz w:val="28"/>
      <w:lang w:val="en-US" w:eastAsia="zh-CN" w:bidi="ar-SA"/>
    </w:rPr>
  </w:style>
  <w:style w:type="character" w:customStyle="1" w:styleId="1477">
    <w:name w:val="copy21"/>
    <w:autoRedefine/>
    <w:qFormat/>
    <w:uiPriority w:val="0"/>
    <w:rPr>
      <w:rFonts w:hint="default" w:ascii="ˎ̥" w:hAnsi="ˎ̥"/>
      <w:color w:val="525252"/>
      <w:sz w:val="18"/>
      <w:szCs w:val="18"/>
    </w:rPr>
  </w:style>
  <w:style w:type="character" w:customStyle="1" w:styleId="1478">
    <w:name w:val="Char Char Char1 Char Char1 Char Char"/>
    <w:autoRedefine/>
    <w:uiPriority w:val="0"/>
    <w:rPr>
      <w:rFonts w:hint="eastAsia" w:ascii="宋体" w:hAnsi="宋体" w:eastAsia="宋体"/>
      <w:kern w:val="2"/>
      <w:sz w:val="24"/>
      <w:szCs w:val="24"/>
      <w:lang w:val="en-US" w:eastAsia="zh-CN" w:bidi="ar-SA"/>
    </w:rPr>
  </w:style>
  <w:style w:type="character" w:customStyle="1" w:styleId="1479">
    <w:name w:val="正文文本缩进 23"/>
    <w:qFormat/>
    <w:uiPriority w:val="0"/>
    <w:rPr>
      <w:rFonts w:hint="eastAsia" w:ascii="宋体" w:hAnsi="宋体" w:eastAsia="宋体"/>
      <w:kern w:val="2"/>
      <w:sz w:val="24"/>
      <w:szCs w:val="24"/>
      <w:lang w:val="en-US" w:eastAsia="zh-CN" w:bidi="ar-SA"/>
    </w:rPr>
  </w:style>
  <w:style w:type="character" w:customStyle="1" w:styleId="1480">
    <w:name w:val="songp1"/>
    <w:autoRedefine/>
    <w:qFormat/>
    <w:uiPriority w:val="0"/>
    <w:rPr>
      <w:rFonts w:hint="eastAsia" w:ascii="宋体" w:hAnsi="宋体" w:eastAsia="宋体" w:cs="宋体"/>
      <w:kern w:val="2"/>
      <w:sz w:val="24"/>
      <w:szCs w:val="24"/>
      <w:lang w:val="en-US" w:eastAsia="zh-CN" w:bidi="ar-SA"/>
    </w:rPr>
  </w:style>
  <w:style w:type="character" w:customStyle="1" w:styleId="1481">
    <w:name w:val="text1"/>
    <w:autoRedefine/>
    <w:qFormat/>
    <w:uiPriority w:val="0"/>
    <w:rPr>
      <w:rFonts w:hint="eastAsia" w:ascii="宋体" w:hAnsi="宋体" w:eastAsia="宋体" w:cs="宋体"/>
      <w:kern w:val="2"/>
      <w:sz w:val="18"/>
      <w:szCs w:val="18"/>
      <w:u w:val="none"/>
      <w:lang w:val="en-US" w:eastAsia="zh-CN" w:bidi="ar-SA"/>
    </w:rPr>
  </w:style>
  <w:style w:type="character" w:customStyle="1" w:styleId="1482">
    <w:name w:val="content-text1"/>
    <w:autoRedefine/>
    <w:qFormat/>
    <w:uiPriority w:val="0"/>
    <w:rPr>
      <w:rFonts w:hint="default" w:ascii="Verdana" w:hAnsi="Verdana" w:eastAsia="宋体" w:cs="宋体"/>
      <w:kern w:val="2"/>
      <w:sz w:val="20"/>
      <w:szCs w:val="20"/>
      <w:lang w:val="en-US" w:eastAsia="zh-CN" w:bidi="ar-SA"/>
    </w:rPr>
  </w:style>
  <w:style w:type="character" w:customStyle="1" w:styleId="1483">
    <w:name w:val="tt2"/>
    <w:autoRedefine/>
    <w:qFormat/>
    <w:uiPriority w:val="0"/>
    <w:rPr>
      <w:rFonts w:hint="eastAsia" w:ascii="宋体" w:hAnsi="宋体" w:eastAsia="宋体" w:cs="宋体"/>
      <w:kern w:val="2"/>
      <w:sz w:val="24"/>
      <w:szCs w:val="24"/>
      <w:lang w:val="en-US" w:eastAsia="zh-CN" w:bidi="ar-SA"/>
    </w:rPr>
  </w:style>
  <w:style w:type="character" w:customStyle="1" w:styleId="1484">
    <w:name w:val="style171"/>
    <w:autoRedefine/>
    <w:qFormat/>
    <w:uiPriority w:val="0"/>
    <w:rPr>
      <w:rFonts w:hint="eastAsia" w:ascii="宋体" w:hAnsi="宋体" w:eastAsia="宋体" w:cs="宋体"/>
      <w:kern w:val="2"/>
      <w:sz w:val="21"/>
      <w:szCs w:val="21"/>
      <w:lang w:val="en-US" w:eastAsia="zh-CN" w:bidi="ar-SA"/>
    </w:rPr>
  </w:style>
  <w:style w:type="character" w:customStyle="1" w:styleId="1485">
    <w:name w:val="grame"/>
    <w:autoRedefine/>
    <w:uiPriority w:val="0"/>
    <w:rPr>
      <w:rFonts w:hint="eastAsia" w:ascii="宋体" w:hAnsi="宋体" w:eastAsia="宋体" w:cs="宋体"/>
      <w:kern w:val="2"/>
      <w:sz w:val="24"/>
      <w:szCs w:val="24"/>
      <w:lang w:val="en-US" w:eastAsia="zh-CN" w:bidi="ar-SA"/>
    </w:rPr>
  </w:style>
  <w:style w:type="character" w:customStyle="1" w:styleId="1486">
    <w:name w:val="p201"/>
    <w:autoRedefine/>
    <w:qFormat/>
    <w:uiPriority w:val="0"/>
    <w:rPr>
      <w:rFonts w:hint="eastAsia" w:ascii="宋体" w:hAnsi="宋体" w:eastAsia="宋体" w:cs="宋体"/>
      <w:b/>
      <w:bCs/>
      <w:color w:val="FF6600"/>
      <w:kern w:val="2"/>
      <w:sz w:val="32"/>
      <w:szCs w:val="32"/>
      <w:lang w:val="en-US" w:eastAsia="zh-CN" w:bidi="ar-SA"/>
    </w:rPr>
  </w:style>
  <w:style w:type="character" w:customStyle="1" w:styleId="1487">
    <w:name w:val="tit2"/>
    <w:autoRedefine/>
    <w:qFormat/>
    <w:uiPriority w:val="0"/>
    <w:rPr>
      <w:rFonts w:hint="eastAsia" w:ascii="宋体" w:hAnsi="宋体" w:eastAsia="宋体" w:cs="宋体"/>
      <w:b/>
      <w:bCs/>
      <w:kern w:val="2"/>
      <w:sz w:val="48"/>
      <w:szCs w:val="48"/>
      <w:lang w:val="en-US" w:eastAsia="zh-CN" w:bidi="ar-SA"/>
    </w:rPr>
  </w:style>
  <w:style w:type="character" w:customStyle="1" w:styleId="1488">
    <w:name w:val="正文文本缩进 2 Char2 Char11"/>
    <w:autoRedefine/>
    <w:qFormat/>
    <w:uiPriority w:val="0"/>
    <w:rPr>
      <w:rFonts w:hint="eastAsia" w:ascii="宋体" w:hAnsi="宋体" w:eastAsia="宋体" w:cs="宋体"/>
      <w:kern w:val="2"/>
      <w:sz w:val="24"/>
      <w:szCs w:val="24"/>
      <w:lang w:val="en-US" w:eastAsia="zh-CN" w:bidi="ar-SA"/>
    </w:rPr>
  </w:style>
  <w:style w:type="character" w:customStyle="1" w:styleId="1489">
    <w:name w:val="表头 Char1"/>
    <w:autoRedefine/>
    <w:qFormat/>
    <w:uiPriority w:val="0"/>
    <w:rPr>
      <w:rFonts w:hint="eastAsia" w:ascii="宋体" w:hAnsi="宋体" w:eastAsia="宋体" w:cs="宋体"/>
      <w:b/>
      <w:color w:val="000000"/>
      <w:kern w:val="2"/>
      <w:sz w:val="21"/>
      <w:szCs w:val="21"/>
      <w:lang w:val="en-US" w:eastAsia="zh-CN" w:bidi="ar-SA"/>
    </w:rPr>
  </w:style>
  <w:style w:type="character" w:customStyle="1" w:styleId="1490">
    <w:name w:val="extraurl22"/>
    <w:autoRedefine/>
    <w:qFormat/>
    <w:uiPriority w:val="0"/>
    <w:rPr>
      <w:color w:val="AAAAAA"/>
      <w:sz w:val="14"/>
      <w:szCs w:val="14"/>
    </w:rPr>
  </w:style>
  <w:style w:type="character" w:customStyle="1" w:styleId="1491">
    <w:name w:val="Char Char Char Char3"/>
    <w:autoRedefine/>
    <w:qFormat/>
    <w:uiPriority w:val="0"/>
    <w:rPr>
      <w:rFonts w:hint="eastAsia" w:ascii="宋体" w:hAnsi="宋体" w:eastAsia="宋体" w:cs="宋体"/>
      <w:kern w:val="2"/>
      <w:sz w:val="24"/>
      <w:szCs w:val="24"/>
      <w:lang w:val="en-US" w:eastAsia="zh-CN" w:bidi="ar-SA"/>
    </w:rPr>
  </w:style>
  <w:style w:type="character" w:customStyle="1" w:styleId="1492">
    <w:name w:val="标题6 Char"/>
    <w:autoRedefine/>
    <w:qFormat/>
    <w:uiPriority w:val="0"/>
    <w:rPr>
      <w:rFonts w:hint="eastAsia" w:ascii="黑体" w:hAnsi="宋体" w:eastAsia="黑体"/>
      <w:bCs/>
      <w:sz w:val="24"/>
      <w:szCs w:val="24"/>
      <w:lang w:val="en-US" w:eastAsia="zh-CN" w:bidi="ar-SA"/>
    </w:rPr>
  </w:style>
  <w:style w:type="character" w:customStyle="1" w:styleId="1493">
    <w:name w:val="th_text"/>
    <w:basedOn w:val="133"/>
    <w:autoRedefine/>
    <w:qFormat/>
    <w:uiPriority w:val="0"/>
  </w:style>
  <w:style w:type="character" w:customStyle="1" w:styleId="1494">
    <w:name w:val="font9black"/>
    <w:basedOn w:val="133"/>
    <w:autoRedefine/>
    <w:qFormat/>
    <w:uiPriority w:val="0"/>
  </w:style>
  <w:style w:type="character" w:customStyle="1" w:styleId="1495">
    <w:name w:val="text"/>
    <w:basedOn w:val="133"/>
    <w:autoRedefine/>
    <w:qFormat/>
    <w:uiPriority w:val="0"/>
  </w:style>
  <w:style w:type="character" w:customStyle="1" w:styleId="1496">
    <w:name w:val="mt5"/>
    <w:basedOn w:val="133"/>
    <w:autoRedefine/>
    <w:qFormat/>
    <w:uiPriority w:val="0"/>
  </w:style>
  <w:style w:type="character" w:customStyle="1" w:styleId="1497">
    <w:name w:val="Char Char Char Char1 Char1 Char1"/>
    <w:autoRedefine/>
    <w:qFormat/>
    <w:uiPriority w:val="0"/>
    <w:rPr>
      <w:rFonts w:hint="eastAsia" w:ascii="宋体" w:hAnsi="宋体" w:eastAsia="宋体"/>
      <w:kern w:val="2"/>
      <w:sz w:val="24"/>
      <w:szCs w:val="24"/>
      <w:lang w:val="en-US" w:eastAsia="zh-CN" w:bidi="ar-SA"/>
    </w:rPr>
  </w:style>
  <w:style w:type="character" w:customStyle="1" w:styleId="1498">
    <w:name w:val="Char Char Char Char8"/>
    <w:autoRedefine/>
    <w:qFormat/>
    <w:uiPriority w:val="0"/>
    <w:rPr>
      <w:rFonts w:hint="eastAsia" w:ascii="宋体" w:hAnsi="宋体" w:eastAsia="宋体"/>
      <w:kern w:val="2"/>
      <w:sz w:val="24"/>
      <w:szCs w:val="24"/>
      <w:lang w:val="en-US" w:eastAsia="zh-CN" w:bidi="ar-SA"/>
    </w:rPr>
  </w:style>
  <w:style w:type="character" w:customStyle="1" w:styleId="1499">
    <w:name w:val="Char Char Char Char7"/>
    <w:autoRedefine/>
    <w:qFormat/>
    <w:uiPriority w:val="0"/>
    <w:rPr>
      <w:rFonts w:hint="eastAsia" w:ascii="宋体" w:hAnsi="宋体" w:eastAsia="宋体"/>
      <w:kern w:val="2"/>
      <w:sz w:val="24"/>
      <w:szCs w:val="24"/>
      <w:lang w:val="en-US" w:eastAsia="zh-CN" w:bidi="ar-SA"/>
    </w:rPr>
  </w:style>
  <w:style w:type="character" w:customStyle="1" w:styleId="1500">
    <w:name w:val="t1"/>
    <w:basedOn w:val="133"/>
    <w:autoRedefine/>
    <w:qFormat/>
    <w:uiPriority w:val="0"/>
  </w:style>
  <w:style w:type="character" w:customStyle="1" w:styleId="1501">
    <w:name w:val="tit"/>
    <w:basedOn w:val="133"/>
    <w:autoRedefine/>
    <w:qFormat/>
    <w:uiPriority w:val="0"/>
  </w:style>
  <w:style w:type="character" w:customStyle="1" w:styleId="1502">
    <w:name w:val="style2"/>
    <w:basedOn w:val="133"/>
    <w:autoRedefine/>
    <w:qFormat/>
    <w:uiPriority w:val="0"/>
  </w:style>
  <w:style w:type="character" w:customStyle="1" w:styleId="1503">
    <w:name w:val="正文文本缩进 2 Char2 Char2"/>
    <w:autoRedefine/>
    <w:qFormat/>
    <w:uiPriority w:val="0"/>
    <w:rPr>
      <w:rFonts w:hint="eastAsia" w:ascii="宋体" w:hAnsi="宋体" w:eastAsia="宋体"/>
      <w:kern w:val="2"/>
      <w:sz w:val="24"/>
      <w:szCs w:val="24"/>
      <w:lang w:val="en-US" w:eastAsia="zh-CN" w:bidi="ar-SA"/>
    </w:rPr>
  </w:style>
  <w:style w:type="character" w:customStyle="1" w:styleId="1504">
    <w:name w:val="表内左齐 Char Char"/>
    <w:autoRedefine/>
    <w:qFormat/>
    <w:uiPriority w:val="0"/>
    <w:rPr>
      <w:rFonts w:hint="eastAsia" w:ascii="宋体" w:hAnsi="宋体" w:eastAsia="宋体"/>
      <w:color w:val="000000"/>
      <w:kern w:val="2"/>
      <w:sz w:val="24"/>
      <w:szCs w:val="21"/>
      <w:lang w:val="en-US" w:eastAsia="zh-CN" w:bidi="ar-SA"/>
    </w:rPr>
  </w:style>
  <w:style w:type="character" w:customStyle="1" w:styleId="1505">
    <w:name w:val="style141"/>
    <w:autoRedefine/>
    <w:qFormat/>
    <w:uiPriority w:val="0"/>
    <w:rPr>
      <w:b/>
      <w:bCs/>
      <w:sz w:val="17"/>
      <w:szCs w:val="17"/>
    </w:rPr>
  </w:style>
  <w:style w:type="character" w:customStyle="1" w:styleId="1506">
    <w:name w:val="f131"/>
    <w:autoRedefine/>
    <w:qFormat/>
    <w:uiPriority w:val="0"/>
    <w:rPr>
      <w:sz w:val="20"/>
      <w:szCs w:val="20"/>
    </w:rPr>
  </w:style>
  <w:style w:type="character" w:customStyle="1" w:styleId="1507">
    <w:name w:val="图表 Char Char"/>
    <w:autoRedefine/>
    <w:qFormat/>
    <w:uiPriority w:val="0"/>
    <w:rPr>
      <w:rFonts w:hint="default" w:ascii="Calibri" w:hAnsi="Calibri" w:cs="宋体"/>
      <w:kern w:val="2"/>
      <w:sz w:val="24"/>
    </w:rPr>
  </w:style>
  <w:style w:type="character" w:customStyle="1" w:styleId="1508">
    <w:name w:val="Char Char71"/>
    <w:autoRedefine/>
    <w:qFormat/>
    <w:uiPriority w:val="0"/>
    <w:rPr>
      <w:rFonts w:hint="eastAsia" w:ascii="宋体" w:hAnsi="宋体" w:eastAsia="宋体"/>
      <w:kern w:val="2"/>
      <w:sz w:val="18"/>
      <w:lang w:val="en-US" w:eastAsia="zh-CN" w:bidi="ar-SA"/>
    </w:rPr>
  </w:style>
  <w:style w:type="character" w:customStyle="1" w:styleId="1509">
    <w:name w:val="标题8"/>
    <w:autoRedefine/>
    <w:qFormat/>
    <w:uiPriority w:val="0"/>
  </w:style>
  <w:style w:type="character" w:customStyle="1" w:styleId="1510">
    <w:name w:val="段落 Char"/>
    <w:qFormat/>
    <w:uiPriority w:val="0"/>
    <w:rPr>
      <w:rFonts w:hint="eastAsia" w:ascii="宋体" w:hAnsi="宋体" w:eastAsia="宋体"/>
      <w:kern w:val="2"/>
      <w:sz w:val="24"/>
      <w:lang w:val="en-US" w:eastAsia="zh-CN" w:bidi="ar-SA"/>
    </w:rPr>
  </w:style>
  <w:style w:type="character" w:customStyle="1" w:styleId="1511">
    <w:name w:val="wz12"/>
    <w:autoRedefine/>
    <w:qFormat/>
    <w:uiPriority w:val="0"/>
    <w:rPr>
      <w:color w:val="0033FF"/>
      <w:sz w:val="16"/>
      <w:szCs w:val="16"/>
    </w:rPr>
  </w:style>
  <w:style w:type="character" w:customStyle="1" w:styleId="1512">
    <w:name w:val="Char Char4"/>
    <w:autoRedefine/>
    <w:qFormat/>
    <w:uiPriority w:val="0"/>
    <w:rPr>
      <w:rFonts w:hint="eastAsia" w:ascii="宋体" w:hAnsi="宋体" w:eastAsia="宋体"/>
      <w:kern w:val="2"/>
      <w:sz w:val="21"/>
      <w:lang w:val="en-US" w:eastAsia="zh-CN"/>
    </w:rPr>
  </w:style>
  <w:style w:type="paragraph" w:customStyle="1" w:styleId="1513">
    <w:name w:val="z-窗体底端1"/>
    <w:basedOn w:val="1"/>
    <w:next w:val="1"/>
    <w:link w:val="1514"/>
    <w:autoRedefine/>
    <w:unhideWhenUsed/>
    <w:qFormat/>
    <w:uiPriority w:val="0"/>
    <w:pPr>
      <w:pBdr>
        <w:top w:val="single" w:color="auto" w:sz="6" w:space="1"/>
      </w:pBdr>
      <w:ind w:firstLine="0" w:firstLineChars="0"/>
      <w:jc w:val="center"/>
    </w:pPr>
    <w:rPr>
      <w:rFonts w:ascii="Arial" w:hAnsi="Arial" w:cs="Arial"/>
      <w:vanish/>
      <w:sz w:val="16"/>
      <w:szCs w:val="16"/>
    </w:rPr>
  </w:style>
  <w:style w:type="character" w:customStyle="1" w:styleId="1514">
    <w:name w:val="z-窗体底端 Char2"/>
    <w:basedOn w:val="133"/>
    <w:link w:val="1513"/>
    <w:autoRedefine/>
    <w:qFormat/>
    <w:uiPriority w:val="0"/>
    <w:rPr>
      <w:rFonts w:ascii="Arial" w:hAnsi="Arial" w:cs="Arial"/>
      <w:vanish/>
      <w:kern w:val="2"/>
      <w:sz w:val="16"/>
      <w:szCs w:val="16"/>
    </w:rPr>
  </w:style>
  <w:style w:type="character" w:customStyle="1" w:styleId="1515">
    <w:name w:val="tabletext1"/>
    <w:autoRedefine/>
    <w:qFormat/>
    <w:uiPriority w:val="0"/>
    <w:rPr>
      <w:sz w:val="21"/>
    </w:rPr>
  </w:style>
  <w:style w:type="character" w:customStyle="1" w:styleId="1516">
    <w:name w:val="textindent"/>
    <w:autoRedefine/>
    <w:qFormat/>
    <w:uiPriority w:val="0"/>
  </w:style>
  <w:style w:type="character" w:customStyle="1" w:styleId="1517">
    <w:name w:val="articlebody21"/>
    <w:autoRedefine/>
    <w:qFormat/>
    <w:uiPriority w:val="0"/>
    <w:rPr>
      <w:sz w:val="21"/>
      <w:szCs w:val="21"/>
    </w:rPr>
  </w:style>
  <w:style w:type="character" w:customStyle="1" w:styleId="1518">
    <w:name w:val="info"/>
    <w:autoRedefine/>
    <w:qFormat/>
    <w:uiPriority w:val="0"/>
  </w:style>
  <w:style w:type="character" w:customStyle="1" w:styleId="1519">
    <w:name w:val="blue161"/>
    <w:autoRedefine/>
    <w:qFormat/>
    <w:uiPriority w:val="0"/>
    <w:rPr>
      <w:rFonts w:hint="default" w:ascii="ˎ̥" w:hAnsi="ˎ̥"/>
      <w:color w:val="333333"/>
      <w:sz w:val="21"/>
      <w:szCs w:val="21"/>
    </w:rPr>
  </w:style>
  <w:style w:type="character" w:customStyle="1" w:styleId="1520">
    <w:name w:val="splatinname1"/>
    <w:autoRedefine/>
    <w:qFormat/>
    <w:uiPriority w:val="0"/>
    <w:rPr>
      <w:b/>
      <w:bCs/>
      <w:color w:val="006600"/>
    </w:rPr>
  </w:style>
  <w:style w:type="character" w:customStyle="1" w:styleId="1521">
    <w:name w:val="splatinnamesauthor1"/>
    <w:autoRedefine/>
    <w:qFormat/>
    <w:uiPriority w:val="0"/>
    <w:rPr>
      <w:b/>
      <w:bCs/>
      <w:color w:val="CC3300"/>
    </w:rPr>
  </w:style>
  <w:style w:type="character" w:customStyle="1" w:styleId="1522">
    <w:name w:val="Char Char Char Char1 Char1 Char2"/>
    <w:autoRedefine/>
    <w:qFormat/>
    <w:uiPriority w:val="0"/>
    <w:rPr>
      <w:rFonts w:hint="eastAsia" w:ascii="宋体" w:hAnsi="宋体" w:eastAsia="宋体"/>
      <w:kern w:val="2"/>
      <w:sz w:val="24"/>
      <w:szCs w:val="24"/>
      <w:lang w:val="en-US" w:eastAsia="zh-CN" w:bidi="ar-SA"/>
    </w:rPr>
  </w:style>
  <w:style w:type="character" w:customStyle="1" w:styleId="1523">
    <w:name w:val="latinname1"/>
    <w:autoRedefine/>
    <w:qFormat/>
    <w:uiPriority w:val="0"/>
    <w:rPr>
      <w:i/>
      <w:iCs/>
    </w:rPr>
  </w:style>
  <w:style w:type="character" w:customStyle="1" w:styleId="1524">
    <w:name w:val="itemsmalllable1"/>
    <w:autoRedefine/>
    <w:qFormat/>
    <w:uiPriority w:val="0"/>
    <w:rPr>
      <w:color w:val="003300"/>
      <w:sz w:val="18"/>
      <w:szCs w:val="18"/>
    </w:rPr>
  </w:style>
  <w:style w:type="character" w:customStyle="1" w:styleId="1525">
    <w:name w:val="样式 (西文) Century Gothic (中文) 仿宋_GB2312 四号 加宽量  0.1 磅"/>
    <w:autoRedefine/>
    <w:qFormat/>
    <w:uiPriority w:val="0"/>
    <w:rPr>
      <w:rFonts w:hint="default" w:ascii="Century Gothic" w:hAnsi="Century Gothic" w:eastAsia="宋体"/>
      <w:spacing w:val="2"/>
      <w:sz w:val="32"/>
    </w:rPr>
  </w:style>
  <w:style w:type="character" w:customStyle="1" w:styleId="1526">
    <w:name w:val="正文（二）"/>
    <w:autoRedefine/>
    <w:qFormat/>
    <w:uiPriority w:val="0"/>
    <w:rPr>
      <w:kern w:val="0"/>
      <w:sz w:val="28"/>
    </w:rPr>
  </w:style>
  <w:style w:type="character" w:customStyle="1" w:styleId="1527">
    <w:name w:val="10"/>
    <w:autoRedefine/>
    <w:qFormat/>
    <w:uiPriority w:val="0"/>
    <w:rPr>
      <w:rFonts w:hint="default" w:ascii="Times New Roman" w:hAnsi="Times New Roman" w:cs="Times New Roman"/>
    </w:rPr>
  </w:style>
  <w:style w:type="character" w:customStyle="1" w:styleId="1528">
    <w:name w:val="Char Char131"/>
    <w:autoRedefine/>
    <w:qFormat/>
    <w:locked/>
    <w:uiPriority w:val="0"/>
    <w:rPr>
      <w:rFonts w:hint="default" w:ascii="Times New Roman" w:hAnsi="Times New Roman" w:eastAsia="黑体" w:cs="Times New Roman"/>
      <w:color w:val="000000"/>
      <w:kern w:val="32"/>
      <w:sz w:val="44"/>
      <w:szCs w:val="44"/>
      <w:lang w:val="en-US" w:eastAsia="zh-CN" w:bidi="ar-SA"/>
    </w:rPr>
  </w:style>
  <w:style w:type="character" w:customStyle="1" w:styleId="1529">
    <w:name w:val="明显强调2"/>
    <w:qFormat/>
    <w:uiPriority w:val="0"/>
    <w:rPr>
      <w:rFonts w:hint="eastAsia" w:ascii="黑体" w:hAnsi="黑体" w:eastAsia="黑体" w:cs="宋体"/>
      <w:i/>
      <w:iCs/>
      <w:color w:val="auto"/>
      <w:kern w:val="2"/>
      <w:sz w:val="32"/>
      <w:szCs w:val="32"/>
      <w:lang w:val="en-US" w:eastAsia="zh-CN" w:bidi="ar-SA"/>
    </w:rPr>
  </w:style>
  <w:style w:type="character" w:customStyle="1" w:styleId="1530">
    <w:name w:val="正文首行缩进 字符"/>
    <w:autoRedefine/>
    <w:qFormat/>
    <w:uiPriority w:val="0"/>
    <w:rPr>
      <w:rFonts w:hint="eastAsia" w:ascii="宋体" w:hAnsi="宋体" w:eastAsia="宋体"/>
      <w:kern w:val="2"/>
      <w:sz w:val="24"/>
      <w:szCs w:val="24"/>
      <w:lang w:val="en-US" w:eastAsia="zh-CN" w:bidi="ar-SA"/>
    </w:rPr>
  </w:style>
  <w:style w:type="character" w:customStyle="1" w:styleId="1531">
    <w:name w:val="正文缩进 字符"/>
    <w:autoRedefine/>
    <w:qFormat/>
    <w:uiPriority w:val="1"/>
    <w:rPr>
      <w:kern w:val="2"/>
      <w:sz w:val="21"/>
    </w:rPr>
  </w:style>
  <w:style w:type="character" w:customStyle="1" w:styleId="1532">
    <w:name w:val="列出段落 字符"/>
    <w:link w:val="1533"/>
    <w:autoRedefine/>
    <w:qFormat/>
    <w:uiPriority w:val="0"/>
    <w:rPr>
      <w:kern w:val="2"/>
      <w:sz w:val="24"/>
      <w:szCs w:val="24"/>
    </w:rPr>
  </w:style>
  <w:style w:type="paragraph" w:customStyle="1" w:styleId="1533">
    <w:name w:val="20"/>
    <w:basedOn w:val="1"/>
    <w:next w:val="165"/>
    <w:link w:val="1532"/>
    <w:autoRedefine/>
    <w:qFormat/>
    <w:uiPriority w:val="0"/>
    <w:pPr>
      <w:spacing w:line="360" w:lineRule="auto"/>
      <w:ind w:firstLine="420"/>
    </w:pPr>
  </w:style>
  <w:style w:type="character" w:customStyle="1" w:styleId="1534">
    <w:name w:val="正文首行缩进 2 字符"/>
    <w:autoRedefine/>
    <w:qFormat/>
    <w:uiPriority w:val="0"/>
    <w:rPr>
      <w:kern w:val="2"/>
      <w:sz w:val="21"/>
    </w:rPr>
  </w:style>
  <w:style w:type="character" w:customStyle="1" w:styleId="1535">
    <w:name w:val="z-窗体底端 字符"/>
    <w:autoRedefine/>
    <w:qFormat/>
    <w:uiPriority w:val="0"/>
    <w:rPr>
      <w:rFonts w:hint="default" w:ascii="Arial" w:hAnsi="Arial" w:cs="Arial"/>
      <w:vanish/>
      <w:kern w:val="2"/>
      <w:sz w:val="16"/>
      <w:szCs w:val="16"/>
      <w:lang w:val="zh-CN" w:eastAsia="zh-CN"/>
    </w:rPr>
  </w:style>
  <w:style w:type="character" w:customStyle="1" w:styleId="1536">
    <w:name w:val="普通(网站) 字符"/>
    <w:autoRedefine/>
    <w:qFormat/>
    <w:locked/>
    <w:uiPriority w:val="0"/>
    <w:rPr>
      <w:rFonts w:hint="eastAsia" w:ascii="宋体" w:hAnsi="宋体" w:eastAsia="宋体" w:cs="宋体"/>
      <w:sz w:val="24"/>
      <w:szCs w:val="24"/>
    </w:rPr>
  </w:style>
  <w:style w:type="character" w:customStyle="1" w:styleId="1537">
    <w:name w:val="无间隔 字符"/>
    <w:autoRedefine/>
    <w:qFormat/>
    <w:uiPriority w:val="1"/>
    <w:rPr>
      <w:kern w:val="2"/>
      <w:sz w:val="21"/>
    </w:rPr>
  </w:style>
  <w:style w:type="character" w:customStyle="1" w:styleId="1538">
    <w:name w:val="font01"/>
    <w:autoRedefine/>
    <w:qFormat/>
    <w:uiPriority w:val="0"/>
    <w:rPr>
      <w:rFonts w:hint="default" w:ascii="Times New Roman" w:hAnsi="Times New Roman" w:cs="Times New Roman"/>
      <w:color w:val="000000"/>
      <w:sz w:val="21"/>
      <w:szCs w:val="21"/>
      <w:u w:val="none"/>
      <w:vertAlign w:val="subscript"/>
    </w:rPr>
  </w:style>
  <w:style w:type="character" w:customStyle="1" w:styleId="1539">
    <w:name w:val="标题 2 Char Char"/>
    <w:autoRedefine/>
    <w:qFormat/>
    <w:uiPriority w:val="0"/>
    <w:rPr>
      <w:rFonts w:hint="default" w:ascii="Arial" w:hAnsi="Arial" w:eastAsia="黑体" w:cs="Arial"/>
      <w:b/>
      <w:bCs/>
      <w:kern w:val="2"/>
      <w:sz w:val="28"/>
      <w:szCs w:val="30"/>
      <w:lang w:val="en-US" w:eastAsia="zh-CN" w:bidi="ar-SA"/>
    </w:rPr>
  </w:style>
  <w:style w:type="character" w:customStyle="1" w:styleId="1540">
    <w:name w:val="正文文字缩进 2 Char Char Char1"/>
    <w:autoRedefine/>
    <w:qFormat/>
    <w:uiPriority w:val="0"/>
    <w:rPr>
      <w:rFonts w:hint="eastAsia" w:ascii="宋体" w:hAnsi="宋体" w:eastAsia="宋体" w:cs="宋体"/>
      <w:kern w:val="2"/>
      <w:sz w:val="27"/>
      <w:szCs w:val="27"/>
      <w:lang w:val="en-US" w:eastAsia="zh-CN" w:bidi="ar-SA"/>
    </w:rPr>
  </w:style>
  <w:style w:type="character" w:customStyle="1" w:styleId="1541">
    <w:name w:val="标题 4 字符1"/>
    <w:autoRedefine/>
    <w:qFormat/>
    <w:uiPriority w:val="0"/>
    <w:rPr>
      <w:b/>
      <w:bCs/>
      <w:kern w:val="2"/>
      <w:sz w:val="28"/>
      <w:szCs w:val="28"/>
    </w:rPr>
  </w:style>
  <w:style w:type="character" w:customStyle="1" w:styleId="1542">
    <w:name w:val="标题 3 字符1"/>
    <w:qFormat/>
    <w:uiPriority w:val="0"/>
    <w:rPr>
      <w:b/>
      <w:bCs/>
      <w:kern w:val="2"/>
      <w:sz w:val="30"/>
      <w:szCs w:val="32"/>
    </w:rPr>
  </w:style>
  <w:style w:type="character" w:customStyle="1" w:styleId="1543">
    <w:name w:val="列出段落 字符1"/>
    <w:autoRedefine/>
    <w:qFormat/>
    <w:uiPriority w:val="34"/>
    <w:rPr>
      <w:kern w:val="2"/>
      <w:sz w:val="24"/>
      <w:szCs w:val="24"/>
    </w:rPr>
  </w:style>
  <w:style w:type="character" w:customStyle="1" w:styleId="1544">
    <w:name w:val="表格内容 字符"/>
    <w:autoRedefine/>
    <w:qFormat/>
    <w:locked/>
    <w:uiPriority w:val="0"/>
    <w:rPr>
      <w:color w:val="000000"/>
      <w:sz w:val="21"/>
      <w:szCs w:val="21"/>
    </w:rPr>
  </w:style>
  <w:style w:type="table" w:customStyle="1" w:styleId="1545">
    <w:name w:val="嵌套表格1"/>
    <w:basedOn w:val="88"/>
    <w:autoRedefine/>
    <w:qFormat/>
    <w:uiPriority w:val="0"/>
    <w:pPr>
      <w:keepLines/>
      <w:jc w:val="center"/>
    </w:pPr>
    <w:rPr>
      <w:sz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table" w:customStyle="1" w:styleId="1546">
    <w:name w:val="hh"/>
    <w:basedOn w:val="89"/>
    <w:autoRedefine/>
    <w:qFormat/>
    <w:uiPriority w:val="0"/>
    <w:pPr>
      <w:spacing w:line="240" w:lineRule="exact"/>
    </w:pPr>
    <w:rPr>
      <w:rFonts w:ascii="Times New Roman" w:hAnsi="Times New Roman" w:cs="Times New Roman"/>
      <w:sz w:val="21"/>
      <w:szCs w:val="20"/>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cPr>
      <w:vAlign w:val="center"/>
    </w:tcPr>
  </w:style>
  <w:style w:type="table" w:customStyle="1" w:styleId="1547">
    <w:name w:val="表格样式2"/>
    <w:basedOn w:val="88"/>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1548">
    <w:name w:val="hp"/>
    <w:basedOn w:val="89"/>
    <w:autoRedefine/>
    <w:qFormat/>
    <w:uiPriority w:val="0"/>
    <w:pPr>
      <w:spacing w:line="240" w:lineRule="exact"/>
    </w:pPr>
    <w:rPr>
      <w:rFonts w:ascii="Times New Roman" w:hAnsi="Times New Roman" w:cs="Times New Roman"/>
      <w:sz w:val="21"/>
      <w:szCs w:val="21"/>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cPr>
      <w:vAlign w:val="center"/>
    </w:tcPr>
  </w:style>
  <w:style w:type="table" w:customStyle="1" w:styleId="1549">
    <w:name w:val="我的表哥"/>
    <w:basedOn w:val="88"/>
    <w:autoRedefine/>
    <w:qFormat/>
    <w:uiPriority w:val="0"/>
    <w:pPr>
      <w:spacing w:line="320" w:lineRule="exact"/>
      <w:jc w:val="center"/>
    </w:pPr>
    <w:rPr>
      <w:sz w:val="21"/>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left w:w="0" w:type="dxa"/>
        <w:right w:w="0" w:type="dxa"/>
      </w:tblCellMar>
    </w:tblPr>
    <w:tcPr>
      <w:vAlign w:val="center"/>
    </w:tcPr>
  </w:style>
  <w:style w:type="table" w:customStyle="1" w:styleId="1550">
    <w:name w:val="嵌套表格11"/>
    <w:basedOn w:val="88"/>
    <w:autoRedefine/>
    <w:qFormat/>
    <w:uiPriority w:val="0"/>
    <w:pPr>
      <w:keepLines/>
      <w:jc w:val="center"/>
    </w:pPr>
    <w:rPr>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1551">
    <w:name w:val="嵌套表格2"/>
    <w:basedOn w:val="88"/>
    <w:autoRedefine/>
    <w:qFormat/>
    <w:uiPriority w:val="0"/>
    <w:pPr>
      <w:keepLines/>
      <w:jc w:val="center"/>
    </w:pPr>
    <w:rPr>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1552">
    <w:name w:val="嵌套表格3"/>
    <w:basedOn w:val="88"/>
    <w:qFormat/>
    <w:uiPriority w:val="0"/>
    <w:pPr>
      <w:keepLines/>
      <w:jc w:val="center"/>
    </w:pPr>
    <w:rPr>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1553">
    <w:name w:val="嵌套表格4"/>
    <w:basedOn w:val="88"/>
    <w:autoRedefine/>
    <w:qFormat/>
    <w:uiPriority w:val="0"/>
    <w:pPr>
      <w:keepLines/>
      <w:jc w:val="center"/>
    </w:pPr>
    <w:rPr>
      <w:sz w:val="21"/>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table" w:customStyle="1" w:styleId="1554">
    <w:name w:val="嵌套表格5"/>
    <w:basedOn w:val="88"/>
    <w:autoRedefine/>
    <w:qFormat/>
    <w:uiPriority w:val="0"/>
    <w:pPr>
      <w:keepLines/>
      <w:jc w:val="center"/>
    </w:pPr>
    <w:rPr>
      <w:sz w:val="21"/>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table" w:customStyle="1" w:styleId="1555">
    <w:name w:val="网格型 72"/>
    <w:basedOn w:val="88"/>
    <w:autoRedefine/>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table" w:customStyle="1" w:styleId="1556">
    <w:name w:val="无格式表格 21"/>
    <w:basedOn w:val="88"/>
    <w:autoRedefine/>
    <w:qFormat/>
    <w:uiPriority w:val="0"/>
    <w:pPr>
      <w:spacing w:before="100" w:beforeAutospacing="1" w:after="100" w:afterAutospacing="1"/>
    </w:pPr>
    <w:tblPr>
      <w:tblBorders>
        <w:top w:val="single" w:color="7F7F7F" w:sz="4" w:space="0"/>
        <w:bottom w:val="single" w:color="7F7F7F" w:sz="4" w:space="0"/>
      </w:tblBorders>
    </w:tblPr>
    <w:tblStylePr w:type="firstRow">
      <w:rPr>
        <w:rFonts w:hint="default" w:ascii="Times New Roman" w:hAnsi="Times New Roman" w:cs="Times New Roman"/>
        <w:b/>
        <w:bCs/>
      </w:rPr>
      <w:tblPr>
        <w:tblCellMar>
          <w:top w:w="0" w:type="dxa"/>
          <w:left w:w="108" w:type="dxa"/>
          <w:bottom w:w="0" w:type="dxa"/>
          <w:right w:w="108" w:type="dxa"/>
        </w:tblCellMar>
      </w:tblPr>
      <w:tcPr>
        <w:tcBorders>
          <w:top w:val="nil"/>
          <w:left w:val="nil"/>
          <w:bottom w:val="single" w:color="7F7F7F" w:sz="4" w:space="0"/>
          <w:right w:val="nil"/>
          <w:tl2br w:val="nil"/>
          <w:tr2bl w:val="nil"/>
        </w:tcBorders>
      </w:tcPr>
    </w:tblStylePr>
    <w:tblStylePr w:type="lastRow">
      <w:rPr>
        <w:rFonts w:hint="default" w:ascii="Times New Roman" w:hAnsi="Times New Roman" w:cs="Times New Roman"/>
        <w:b/>
        <w:bCs/>
      </w:rPr>
      <w:tblPr>
        <w:tblCellMar>
          <w:top w:w="0" w:type="dxa"/>
          <w:left w:w="108" w:type="dxa"/>
          <w:bottom w:w="0" w:type="dxa"/>
          <w:right w:w="108" w:type="dxa"/>
        </w:tblCellMar>
      </w:tblPr>
      <w:tcPr>
        <w:tcBorders>
          <w:top w:val="single" w:color="7F7F7F" w:sz="4" w:space="0"/>
          <w:left w:val="nil"/>
          <w:bottom w:val="nil"/>
          <w:right w:val="nil"/>
          <w:tl2br w:val="nil"/>
          <w:tr2bl w:val="nil"/>
        </w:tcBorders>
      </w:tcPr>
    </w:tblStylePr>
    <w:tblStylePr w:type="firstCol">
      <w:rPr>
        <w:rFonts w:hint="default" w:ascii="Times New Roman" w:hAnsi="Times New Roman" w:cs="Times New Roman"/>
        <w:b/>
        <w:bCs/>
      </w:rPr>
    </w:tblStylePr>
    <w:tblStylePr w:type="lastCol">
      <w:rPr>
        <w:rFonts w:hint="default" w:ascii="Times New Roman" w:hAnsi="Times New Roman" w:cs="Times New Roman"/>
        <w:b/>
        <w:bCs/>
      </w:rPr>
    </w:tblStylePr>
    <w:tblStylePr w:type="band1Vert">
      <w:tblPr>
        <w:tblCellMar>
          <w:top w:w="0" w:type="dxa"/>
          <w:left w:w="108" w:type="dxa"/>
          <w:bottom w:w="0" w:type="dxa"/>
          <w:right w:w="108" w:type="dxa"/>
        </w:tblCellMar>
      </w:tblPr>
      <w:tcPr>
        <w:tcBorders>
          <w:top w:val="nil"/>
          <w:left w:val="single" w:color="7F7F7F" w:sz="4" w:space="0"/>
          <w:bottom w:val="nil"/>
          <w:right w:val="single" w:color="7F7F7F" w:sz="4" w:space="0"/>
          <w:tl2br w:val="nil"/>
          <w:tr2bl w:val="nil"/>
        </w:tcBorders>
      </w:tcPr>
    </w:tblStylePr>
    <w:tblStylePr w:type="band2Vert">
      <w:tblPr>
        <w:tblCellMar>
          <w:top w:w="0" w:type="dxa"/>
          <w:left w:w="108" w:type="dxa"/>
          <w:bottom w:w="0" w:type="dxa"/>
          <w:right w:w="108" w:type="dxa"/>
        </w:tblCellMar>
      </w:tblPr>
      <w:tcPr>
        <w:tcBorders>
          <w:top w:val="nil"/>
          <w:left w:val="single" w:color="7F7F7F" w:sz="4" w:space="0"/>
          <w:bottom w:val="nil"/>
          <w:right w:val="single" w:color="7F7F7F" w:sz="4" w:space="0"/>
          <w:tl2br w:val="nil"/>
          <w:tr2bl w:val="nil"/>
        </w:tcBorders>
      </w:tcPr>
    </w:tblStylePr>
    <w:tblStylePr w:type="band1Horz">
      <w:tblPr>
        <w:tblCellMar>
          <w:top w:w="0" w:type="dxa"/>
          <w:left w:w="108" w:type="dxa"/>
          <w:bottom w:w="0" w:type="dxa"/>
          <w:right w:w="108" w:type="dxa"/>
        </w:tblCellMar>
      </w:tblPr>
      <w:tcPr>
        <w:tcBorders>
          <w:top w:val="single" w:color="7F7F7F" w:sz="4" w:space="0"/>
          <w:left w:val="nil"/>
          <w:bottom w:val="single" w:color="7F7F7F" w:sz="4" w:space="0"/>
          <w:right w:val="nil"/>
          <w:tl2br w:val="nil"/>
          <w:tr2bl w:val="nil"/>
        </w:tcBorders>
      </w:tcPr>
    </w:tblStylePr>
  </w:style>
  <w:style w:type="table" w:customStyle="1" w:styleId="1557">
    <w:name w:val="网格型3"/>
    <w:basedOn w:val="88"/>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58">
    <w:name w:val="毛的表格"/>
    <w:basedOn w:val="88"/>
    <w:autoRedefine/>
    <w:qFormat/>
    <w:uiPriority w:val="0"/>
    <w:pPr>
      <w:jc w:val="center"/>
    </w:pPr>
    <w:rPr>
      <w:sz w:val="24"/>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1559">
    <w:name w:val="网格型4"/>
    <w:basedOn w:val="88"/>
    <w:autoRedefine/>
    <w:qFormat/>
    <w:uiPriority w:val="3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60">
    <w:name w:val="FHDI中文报告表格样式"/>
    <w:basedOn w:val="88"/>
    <w:autoRedefine/>
    <w:qFormat/>
    <w:uiPriority w:val="0"/>
    <w:pPr>
      <w:snapToGrid w:val="0"/>
      <w:spacing w:line="300" w:lineRule="exact"/>
      <w:jc w:val="center"/>
    </w:pPr>
    <w:rPr>
      <w:sz w:val="21"/>
      <w:szCs w:val="24"/>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cPr>
      <w:vAlign w:val="center"/>
    </w:tcPr>
  </w:style>
  <w:style w:type="paragraph" w:customStyle="1" w:styleId="1561">
    <w:name w:val="样式 样式 标题 3标题 33 + 段前: 0.5 行 + 段前: 0.5 行"/>
    <w:basedOn w:val="1222"/>
    <w:autoRedefine/>
    <w:qFormat/>
    <w:uiPriority w:val="0"/>
    <w:pPr>
      <w:numPr>
        <w:ilvl w:val="0"/>
        <w:numId w:val="0"/>
      </w:numPr>
      <w:ind w:left="1418" w:hanging="1418"/>
    </w:pPr>
  </w:style>
  <w:style w:type="paragraph" w:customStyle="1" w:styleId="1562">
    <w:name w:val="样式 样式 样式 标题 3标题 33 + 段前: 0.5 行 + 段前: 0.5 行 + 段前: 6 磅 段后: 6 磅"/>
    <w:basedOn w:val="1561"/>
    <w:autoRedefine/>
    <w:qFormat/>
    <w:uiPriority w:val="0"/>
    <w:rPr>
      <w:color w:val="auto"/>
    </w:rPr>
  </w:style>
  <w:style w:type="paragraph" w:customStyle="1" w:styleId="1563">
    <w:name w:val="样式 样式 样式 标题 3标题 33 + 段前: 0.5 行 + 段前: 0.5 行 + 段前: 6 磅 段后: 6 磅1"/>
    <w:basedOn w:val="1561"/>
    <w:autoRedefine/>
    <w:qFormat/>
    <w:uiPriority w:val="0"/>
  </w:style>
  <w:style w:type="character" w:customStyle="1" w:styleId="1564">
    <w:name w:val="图表标题 Char"/>
    <w:autoRedefine/>
    <w:qFormat/>
    <w:uiPriority w:val="0"/>
    <w:rPr>
      <w:b/>
      <w:kern w:val="2"/>
      <w:sz w:val="24"/>
      <w:szCs w:val="24"/>
      <w:lang w:val="zh-CN" w:eastAsia="zh-CN"/>
    </w:rPr>
  </w:style>
  <w:style w:type="paragraph" w:customStyle="1" w:styleId="1565">
    <w:name w:val="05表格"/>
    <w:basedOn w:val="1"/>
    <w:link w:val="1566"/>
    <w:autoRedefine/>
    <w:qFormat/>
    <w:uiPriority w:val="0"/>
    <w:pPr>
      <w:widowControl/>
      <w:spacing w:line="360" w:lineRule="exact"/>
      <w:ind w:left="-10" w:leftChars="-10" w:right="-10" w:rightChars="-10" w:firstLine="0" w:firstLineChars="0"/>
      <w:contextualSpacing/>
      <w:jc w:val="center"/>
      <w:textAlignment w:val="center"/>
    </w:pPr>
    <w:rPr>
      <w:bCs/>
      <w:color w:val="000000"/>
      <w:sz w:val="21"/>
      <w:szCs w:val="21"/>
    </w:rPr>
  </w:style>
  <w:style w:type="character" w:customStyle="1" w:styleId="1566">
    <w:name w:val="05表格 Char"/>
    <w:link w:val="1565"/>
    <w:qFormat/>
    <w:uiPriority w:val="0"/>
    <w:rPr>
      <w:bCs/>
      <w:color w:val="000000"/>
      <w:kern w:val="2"/>
      <w:sz w:val="21"/>
      <w:szCs w:val="21"/>
    </w:rPr>
  </w:style>
  <w:style w:type="table" w:customStyle="1" w:styleId="1567">
    <w:name w:val="网格型5"/>
    <w:basedOn w:val="88"/>
    <w:autoRedefine/>
    <w:unhideWhenUsed/>
    <w:qFormat/>
    <w:uiPriority w:val="0"/>
    <w:rPr>
      <w:rFonts w:ascii="Calibri" w:hAnsi="Calibri"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68">
    <w:name w:val="Table Normal1"/>
    <w:autoRedefine/>
    <w:qFormat/>
    <w:uiPriority w:val="2"/>
    <w:pPr>
      <w:widowControl w:val="0"/>
    </w:pPr>
    <w:rPr>
      <w:rFonts w:ascii="Calibri" w:hAnsi="Calibri" w:eastAsia="Times New Roman"/>
      <w:sz w:val="22"/>
      <w:szCs w:val="22"/>
      <w:lang w:eastAsia="en-US"/>
    </w:rPr>
    <w:tblPr>
      <w:tblCellMar>
        <w:top w:w="0" w:type="dxa"/>
        <w:left w:w="0" w:type="dxa"/>
        <w:bottom w:w="0" w:type="dxa"/>
        <w:right w:w="0" w:type="dxa"/>
      </w:tblCellMar>
    </w:tblPr>
  </w:style>
  <w:style w:type="paragraph" w:customStyle="1" w:styleId="1569">
    <w:name w:val="正文文本首行缩进1"/>
    <w:basedOn w:val="1"/>
    <w:autoRedefine/>
    <w:qFormat/>
    <w:uiPriority w:val="0"/>
    <w:pPr>
      <w:adjustRightInd w:val="0"/>
      <w:spacing w:line="300" w:lineRule="atLeast"/>
      <w:ind w:firstLine="539" w:firstLineChars="0"/>
      <w:textAlignment w:val="baseline"/>
    </w:pPr>
    <w:rPr>
      <w:rFonts w:ascii="宋体"/>
      <w:kern w:val="0"/>
    </w:rPr>
  </w:style>
  <w:style w:type="character" w:customStyle="1" w:styleId="1570">
    <w:name w:val="纯文本 Char1"/>
    <w:autoRedefine/>
    <w:qFormat/>
    <w:uiPriority w:val="0"/>
    <w:rPr>
      <w:rFonts w:ascii="宋体" w:hAnsi="Courier New" w:eastAsia="宋体" w:cs="Times New Roman"/>
      <w:color w:val="000000"/>
      <w:kern w:val="2"/>
      <w:sz w:val="32"/>
      <w:szCs w:val="20"/>
      <w:lang w:val="en-US" w:eastAsia="zh-CN" w:bidi="ar-SA"/>
    </w:rPr>
  </w:style>
  <w:style w:type="character" w:customStyle="1" w:styleId="1571">
    <w:name w:val="表格文字 Char1"/>
    <w:autoRedefine/>
    <w:qFormat/>
    <w:uiPriority w:val="0"/>
    <w:rPr>
      <w:sz w:val="24"/>
      <w:szCs w:val="21"/>
    </w:rPr>
  </w:style>
  <w:style w:type="character" w:customStyle="1" w:styleId="1572">
    <w:name w:val="正文 + 行距: 1.5 倍行距 Char"/>
    <w:autoRedefine/>
    <w:qFormat/>
    <w:uiPriority w:val="0"/>
    <w:rPr>
      <w:rFonts w:eastAsia="黑体" w:cs="宋体"/>
      <w:color w:val="000000"/>
      <w:kern w:val="2"/>
      <w:sz w:val="24"/>
      <w:szCs w:val="32"/>
      <w:lang w:val="en-US" w:eastAsia="zh-CN" w:bidi="ar-SA"/>
    </w:rPr>
  </w:style>
  <w:style w:type="paragraph" w:customStyle="1" w:styleId="1573">
    <w:name w:val="样式 正文缩进文本条款文本条款 Char Char Char Char Char Char Char Char文本条款 C...1"/>
    <w:basedOn w:val="21"/>
    <w:link w:val="1574"/>
    <w:autoRedefine/>
    <w:qFormat/>
    <w:uiPriority w:val="0"/>
    <w:pPr>
      <w:snapToGrid w:val="0"/>
      <w:spacing w:line="520" w:lineRule="atLeast"/>
      <w:ind w:firstLine="560"/>
    </w:pPr>
    <w:rPr>
      <w:rFonts w:cs="宋体"/>
      <w:sz w:val="28"/>
      <w:szCs w:val="20"/>
    </w:rPr>
  </w:style>
  <w:style w:type="character" w:customStyle="1" w:styleId="1574">
    <w:name w:val="样式 正文缩进文本条款文本条款 Char Char Char Char Char Char Char Char文本条款 C...1 Char"/>
    <w:link w:val="1573"/>
    <w:autoRedefine/>
    <w:qFormat/>
    <w:uiPriority w:val="0"/>
    <w:rPr>
      <w:rFonts w:cs="宋体"/>
      <w:b/>
      <w:color w:val="000000" w:themeColor="text1"/>
      <w:kern w:val="2"/>
      <w:sz w:val="28"/>
      <w14:textFill>
        <w14:solidFill>
          <w14:schemeClr w14:val="tx1"/>
        </w14:solidFill>
      </w14:textFill>
    </w:rPr>
  </w:style>
  <w:style w:type="paragraph" w:customStyle="1" w:styleId="1575">
    <w:name w:val="样式 标题 1章标题 1b1H1PIM 1标书1-*+1st levelSection Headl1L1 H...2"/>
    <w:basedOn w:val="3"/>
    <w:autoRedefine/>
    <w:qFormat/>
    <w:uiPriority w:val="0"/>
    <w:pPr>
      <w:keepLines/>
      <w:numPr>
        <w:numId w:val="18"/>
      </w:numPr>
      <w:tabs>
        <w:tab w:val="clear" w:pos="0"/>
      </w:tabs>
      <w:adjustRightInd w:val="0"/>
      <w:snapToGrid w:val="0"/>
      <w:spacing w:before="480" w:after="480" w:line="520" w:lineRule="atLeast"/>
    </w:pPr>
    <w:rPr>
      <w:rFonts w:eastAsia="仿宋_GB2312"/>
      <w:bCs/>
      <w:color w:val="000080"/>
      <w:kern w:val="44"/>
      <w:sz w:val="30"/>
      <w:szCs w:val="28"/>
    </w:rPr>
  </w:style>
  <w:style w:type="character" w:customStyle="1" w:styleId="1576">
    <w:name w:val="样式 正文缩进 + 首行缩进:  2 字符 Char"/>
    <w:link w:val="835"/>
    <w:autoRedefine/>
    <w:qFormat/>
    <w:uiPriority w:val="0"/>
    <w:rPr>
      <w:rFonts w:ascii="宋体" w:hAnsi="宋体" w:cs="宋体"/>
      <w:b/>
      <w:color w:val="000000" w:themeColor="text1"/>
      <w:sz w:val="24"/>
      <w:szCs w:val="24"/>
      <w14:textFill>
        <w14:solidFill>
          <w14:schemeClr w14:val="tx1"/>
        </w14:solidFill>
      </w14:textFill>
    </w:rPr>
  </w:style>
  <w:style w:type="paragraph" w:customStyle="1" w:styleId="1577">
    <w:name w:val="表格小4居中"/>
    <w:basedOn w:val="1"/>
    <w:link w:val="1578"/>
    <w:qFormat/>
    <w:uiPriority w:val="0"/>
    <w:pPr>
      <w:snapToGrid w:val="0"/>
      <w:spacing w:before="60" w:after="60" w:line="320" w:lineRule="atLeast"/>
      <w:ind w:firstLine="0" w:firstLineChars="0"/>
      <w:jc w:val="center"/>
    </w:pPr>
    <w:rPr>
      <w:rFonts w:cs="宋体"/>
      <w:szCs w:val="20"/>
    </w:rPr>
  </w:style>
  <w:style w:type="character" w:customStyle="1" w:styleId="1578">
    <w:name w:val="表格小4居中 Char"/>
    <w:link w:val="1577"/>
    <w:autoRedefine/>
    <w:qFormat/>
    <w:uiPriority w:val="0"/>
    <w:rPr>
      <w:rFonts w:cs="宋体"/>
      <w:kern w:val="2"/>
      <w:sz w:val="24"/>
    </w:rPr>
  </w:style>
  <w:style w:type="paragraph" w:customStyle="1" w:styleId="1579">
    <w:name w:val="表头4"/>
    <w:basedOn w:val="267"/>
    <w:link w:val="1580"/>
    <w:autoRedefine/>
    <w:qFormat/>
    <w:uiPriority w:val="0"/>
    <w:pPr>
      <w:keepNext w:val="0"/>
      <w:tabs>
        <w:tab w:val="left" w:pos="960"/>
        <w:tab w:val="clear" w:pos="0"/>
      </w:tabs>
      <w:snapToGrid w:val="0"/>
      <w:spacing w:before="156" w:beforeLines="50" w:line="520" w:lineRule="atLeast"/>
      <w:ind w:left="960" w:hanging="420"/>
      <w:jc w:val="left"/>
      <w:outlineLvl w:val="9"/>
    </w:pPr>
    <w:rPr>
      <w:rFonts w:eastAsia="宋体" w:cs="Times New Roman"/>
      <w:b/>
      <w:bCs w:val="0"/>
      <w:sz w:val="28"/>
      <w:szCs w:val="24"/>
    </w:rPr>
  </w:style>
  <w:style w:type="character" w:customStyle="1" w:styleId="1580">
    <w:name w:val="表头4 Char"/>
    <w:link w:val="1579"/>
    <w:autoRedefine/>
    <w:qFormat/>
    <w:uiPriority w:val="0"/>
    <w:rPr>
      <w:b/>
      <w:kern w:val="2"/>
      <w:sz w:val="28"/>
      <w:szCs w:val="24"/>
    </w:rPr>
  </w:style>
  <w:style w:type="paragraph" w:customStyle="1" w:styleId="1581">
    <w:name w:val="Date1"/>
    <w:basedOn w:val="1"/>
    <w:next w:val="1"/>
    <w:autoRedefine/>
    <w:qFormat/>
    <w:uiPriority w:val="0"/>
    <w:pPr>
      <w:adjustRightInd w:val="0"/>
      <w:ind w:firstLine="0" w:firstLineChars="0"/>
      <w:textAlignment w:val="baseline"/>
    </w:pPr>
    <w:rPr>
      <w:sz w:val="21"/>
      <w:szCs w:val="20"/>
    </w:rPr>
  </w:style>
  <w:style w:type="paragraph" w:customStyle="1" w:styleId="1582">
    <w:name w:val="样式 表头4 + 段前: 0.5 行"/>
    <w:basedOn w:val="1"/>
    <w:link w:val="1583"/>
    <w:autoRedefine/>
    <w:qFormat/>
    <w:uiPriority w:val="0"/>
    <w:pPr>
      <w:tabs>
        <w:tab w:val="left" w:pos="360"/>
        <w:tab w:val="left" w:pos="960"/>
      </w:tabs>
      <w:snapToGrid w:val="0"/>
      <w:spacing w:before="78" w:beforeLines="25" w:line="520" w:lineRule="atLeast"/>
      <w:ind w:left="960" w:firstLine="0" w:firstLineChars="0"/>
    </w:pPr>
    <w:rPr>
      <w:b/>
      <w:bCs/>
      <w:kern w:val="0"/>
      <w:sz w:val="28"/>
      <w:szCs w:val="28"/>
      <w:lang w:val="zh-CN"/>
    </w:rPr>
  </w:style>
  <w:style w:type="character" w:customStyle="1" w:styleId="1583">
    <w:name w:val="样式 表头4 + 段前: 0.5 行 Char"/>
    <w:link w:val="1582"/>
    <w:autoRedefine/>
    <w:qFormat/>
    <w:uiPriority w:val="0"/>
    <w:rPr>
      <w:b/>
      <w:bCs/>
      <w:sz w:val="28"/>
      <w:szCs w:val="28"/>
      <w:lang w:val="zh-CN"/>
    </w:rPr>
  </w:style>
  <w:style w:type="paragraph" w:customStyle="1" w:styleId="1584">
    <w:name w:val="符号"/>
    <w:basedOn w:val="835"/>
    <w:link w:val="1585"/>
    <w:autoRedefine/>
    <w:qFormat/>
    <w:uiPriority w:val="0"/>
    <w:pPr>
      <w:numPr>
        <w:ilvl w:val="0"/>
        <w:numId w:val="19"/>
      </w:numPr>
      <w:tabs>
        <w:tab w:val="clear" w:pos="0"/>
      </w:tabs>
      <w:overflowPunct/>
      <w:autoSpaceDE/>
      <w:autoSpaceDN/>
      <w:snapToGrid w:val="0"/>
      <w:spacing w:line="480" w:lineRule="atLeast"/>
      <w:ind w:firstLine="0"/>
      <w:textAlignment w:val="auto"/>
    </w:pPr>
    <w:rPr>
      <w:rFonts w:ascii="Times New Roman" w:hAnsi="Times New Roman"/>
      <w:kern w:val="2"/>
      <w:sz w:val="28"/>
    </w:rPr>
  </w:style>
  <w:style w:type="character" w:customStyle="1" w:styleId="1585">
    <w:name w:val="符号 Char Char"/>
    <w:link w:val="1584"/>
    <w:autoRedefine/>
    <w:qFormat/>
    <w:uiPriority w:val="0"/>
    <w:rPr>
      <w:rFonts w:cs="宋体"/>
      <w:b/>
      <w:color w:val="000000" w:themeColor="text1"/>
      <w:kern w:val="2"/>
      <w:sz w:val="28"/>
      <w:szCs w:val="24"/>
      <w14:textFill>
        <w14:solidFill>
          <w14:schemeClr w14:val="tx1"/>
        </w14:solidFill>
      </w14:textFill>
    </w:rPr>
  </w:style>
  <w:style w:type="paragraph" w:customStyle="1" w:styleId="1586">
    <w:name w:val="样式 样式 正文缩进 + 首行缩进:  2 字符 + 首行缩进:  2 字符1"/>
    <w:basedOn w:val="835"/>
    <w:link w:val="1587"/>
    <w:autoRedefine/>
    <w:qFormat/>
    <w:uiPriority w:val="0"/>
    <w:pPr>
      <w:tabs>
        <w:tab w:val="clear" w:pos="0"/>
      </w:tabs>
      <w:overflowPunct/>
      <w:autoSpaceDE/>
      <w:autoSpaceDN/>
      <w:snapToGrid w:val="0"/>
      <w:spacing w:line="480" w:lineRule="atLeast"/>
      <w:textAlignment w:val="auto"/>
    </w:pPr>
    <w:rPr>
      <w:rFonts w:ascii="Times New Roman" w:hAnsi="Times New Roman"/>
      <w:kern w:val="2"/>
      <w:sz w:val="28"/>
    </w:rPr>
  </w:style>
  <w:style w:type="character" w:customStyle="1" w:styleId="1587">
    <w:name w:val="样式 样式 正文缩进 + 首行缩进:  2 字符 + 首行缩进:  2 字符1 Char"/>
    <w:link w:val="1586"/>
    <w:autoRedefine/>
    <w:qFormat/>
    <w:uiPriority w:val="0"/>
    <w:rPr>
      <w:rFonts w:cs="宋体"/>
      <w:b/>
      <w:color w:val="000000" w:themeColor="text1"/>
      <w:kern w:val="2"/>
      <w:sz w:val="28"/>
      <w:szCs w:val="24"/>
      <w14:textFill>
        <w14:solidFill>
          <w14:schemeClr w14:val="tx1"/>
        </w14:solidFill>
      </w14:textFill>
    </w:rPr>
  </w:style>
  <w:style w:type="paragraph" w:customStyle="1" w:styleId="1588">
    <w:name w:val="样式 样式 表头4 + 段前: 0.5 行2 + 段前: 0.25 行 段后: 0.25 行"/>
    <w:basedOn w:val="1"/>
    <w:autoRedefine/>
    <w:qFormat/>
    <w:uiPriority w:val="0"/>
    <w:pPr>
      <w:snapToGrid w:val="0"/>
      <w:spacing w:before="95" w:beforeLines="25" w:after="95" w:afterLines="25" w:line="520" w:lineRule="atLeast"/>
      <w:ind w:firstLine="0" w:firstLineChars="0"/>
      <w:jc w:val="left"/>
    </w:pPr>
    <w:rPr>
      <w:b/>
      <w:bCs/>
      <w:sz w:val="28"/>
      <w:lang w:val="zh-CN"/>
    </w:rPr>
  </w:style>
  <w:style w:type="paragraph" w:customStyle="1" w:styleId="1589">
    <w:name w:val="样式 样式 表格小4 + 段前: 0 磅 段后: 0 磅 行距: 最小值 12 磅 + 居中 段前: 0.1 行 段后: 0..."/>
    <w:basedOn w:val="1"/>
    <w:autoRedefine/>
    <w:qFormat/>
    <w:uiPriority w:val="0"/>
    <w:pPr>
      <w:snapToGrid w:val="0"/>
      <w:spacing w:before="10" w:beforeLines="10" w:after="10" w:afterLines="10"/>
      <w:ind w:firstLine="0" w:firstLineChars="0"/>
      <w:jc w:val="center"/>
    </w:pPr>
    <w:rPr>
      <w:rFonts w:cs="宋体"/>
      <w:szCs w:val="20"/>
    </w:rPr>
  </w:style>
  <w:style w:type="paragraph" w:customStyle="1" w:styleId="1590">
    <w:name w:val="样式 正文缩进文本条款表正文正文非缩进表格标题正文（首行缩进两字） Char Char Char Char Char ..."/>
    <w:basedOn w:val="21"/>
    <w:link w:val="1591"/>
    <w:autoRedefine/>
    <w:qFormat/>
    <w:uiPriority w:val="0"/>
    <w:pPr>
      <w:snapToGrid w:val="0"/>
      <w:spacing w:line="520" w:lineRule="atLeast"/>
      <w:ind w:firstLine="549"/>
    </w:pPr>
    <w:rPr>
      <w:sz w:val="28"/>
      <w:szCs w:val="20"/>
      <w:lang w:val="zh-CN"/>
    </w:rPr>
  </w:style>
  <w:style w:type="character" w:customStyle="1" w:styleId="1591">
    <w:name w:val="样式 正文缩进文本条款表正文正文非缩进表格标题正文（首行缩进两字） Char Char Char Char Char ... Char"/>
    <w:link w:val="1590"/>
    <w:autoRedefine/>
    <w:qFormat/>
    <w:uiPriority w:val="0"/>
    <w:rPr>
      <w:b/>
      <w:color w:val="000000" w:themeColor="text1"/>
      <w:kern w:val="2"/>
      <w:sz w:val="28"/>
      <w:lang w:val="zh-CN"/>
      <w14:textFill>
        <w14:solidFill>
          <w14:schemeClr w14:val="tx1"/>
        </w14:solidFill>
      </w14:textFill>
    </w:rPr>
  </w:style>
  <w:style w:type="paragraph" w:customStyle="1" w:styleId="1592">
    <w:name w:val="样式 首行缩进:  1 厘米"/>
    <w:basedOn w:val="1"/>
    <w:link w:val="1593"/>
    <w:autoRedefine/>
    <w:qFormat/>
    <w:uiPriority w:val="0"/>
    <w:pPr>
      <w:snapToGrid w:val="0"/>
      <w:spacing w:line="480" w:lineRule="atLeast"/>
      <w:ind w:firstLine="567" w:firstLineChars="0"/>
    </w:pPr>
    <w:rPr>
      <w:sz w:val="28"/>
      <w:szCs w:val="20"/>
      <w:lang w:val="zh-CN"/>
    </w:rPr>
  </w:style>
  <w:style w:type="character" w:customStyle="1" w:styleId="1593">
    <w:name w:val="样式 首行缩进:  1 厘米 Char"/>
    <w:link w:val="1592"/>
    <w:autoRedefine/>
    <w:qFormat/>
    <w:uiPriority w:val="0"/>
    <w:rPr>
      <w:kern w:val="2"/>
      <w:sz w:val="28"/>
      <w:lang w:val="zh-CN"/>
    </w:rPr>
  </w:style>
  <w:style w:type="paragraph" w:customStyle="1" w:styleId="1594">
    <w:name w:val="表头尹东晓"/>
    <w:basedOn w:val="11"/>
    <w:link w:val="1595"/>
    <w:autoRedefine/>
    <w:qFormat/>
    <w:uiPriority w:val="0"/>
    <w:pPr>
      <w:keepNext w:val="0"/>
      <w:keepLines w:val="0"/>
      <w:adjustRightInd w:val="0"/>
      <w:spacing w:before="0" w:after="0" w:line="360" w:lineRule="auto"/>
      <w:ind w:firstLine="0" w:firstLineChars="0"/>
      <w:jc w:val="center"/>
      <w:outlineLvl w:val="9"/>
    </w:pPr>
    <w:rPr>
      <w:rFonts w:ascii="Times New Roman" w:hAnsi="Times New Roman" w:eastAsia="宋体"/>
      <w:b/>
      <w:snapToGrid w:val="0"/>
      <w:kern w:val="0"/>
      <w:sz w:val="21"/>
      <w:szCs w:val="21"/>
      <w:lang w:val="zh-CN"/>
    </w:rPr>
  </w:style>
  <w:style w:type="character" w:customStyle="1" w:styleId="1595">
    <w:name w:val="表头尹东晓 Char"/>
    <w:link w:val="1594"/>
    <w:autoRedefine/>
    <w:qFormat/>
    <w:uiPriority w:val="0"/>
    <w:rPr>
      <w:b/>
      <w:snapToGrid w:val="0"/>
      <w:sz w:val="21"/>
      <w:szCs w:val="21"/>
      <w:lang w:val="zh-CN"/>
    </w:rPr>
  </w:style>
  <w:style w:type="paragraph" w:customStyle="1" w:styleId="1596">
    <w:name w:val="表格尹东晓"/>
    <w:basedOn w:val="1"/>
    <w:link w:val="1597"/>
    <w:autoRedefine/>
    <w:qFormat/>
    <w:uiPriority w:val="0"/>
    <w:pPr>
      <w:adjustRightInd w:val="0"/>
      <w:snapToGrid w:val="0"/>
      <w:spacing w:line="240" w:lineRule="atLeast"/>
      <w:ind w:firstLine="0" w:firstLineChars="0"/>
      <w:jc w:val="center"/>
    </w:pPr>
    <w:rPr>
      <w:bCs/>
      <w:snapToGrid w:val="0"/>
      <w:spacing w:val="6"/>
      <w:kern w:val="0"/>
      <w:sz w:val="21"/>
      <w:szCs w:val="30"/>
    </w:rPr>
  </w:style>
  <w:style w:type="character" w:customStyle="1" w:styleId="1597">
    <w:name w:val="表格尹东晓 Char"/>
    <w:link w:val="1596"/>
    <w:autoRedefine/>
    <w:qFormat/>
    <w:uiPriority w:val="0"/>
    <w:rPr>
      <w:bCs/>
      <w:snapToGrid w:val="0"/>
      <w:spacing w:val="6"/>
      <w:sz w:val="21"/>
      <w:szCs w:val="30"/>
    </w:rPr>
  </w:style>
  <w:style w:type="paragraph" w:customStyle="1" w:styleId="1598">
    <w:name w:val="正文首行缩进 2 + Times New Roman"/>
    <w:basedOn w:val="1"/>
    <w:link w:val="1599"/>
    <w:autoRedefine/>
    <w:qFormat/>
    <w:uiPriority w:val="0"/>
    <w:pPr>
      <w:tabs>
        <w:tab w:val="left" w:pos="0"/>
        <w:tab w:val="left" w:pos="870"/>
        <w:tab w:val="left" w:pos="3150"/>
      </w:tabs>
      <w:autoSpaceDE w:val="0"/>
      <w:autoSpaceDN w:val="0"/>
      <w:spacing w:line="360" w:lineRule="auto"/>
      <w:ind w:firstLine="480"/>
      <w:jc w:val="left"/>
    </w:pPr>
    <w:rPr>
      <w:rFonts w:eastAsia="黑体" w:cs="宋体"/>
      <w:color w:val="000000"/>
      <w:szCs w:val="21"/>
    </w:rPr>
  </w:style>
  <w:style w:type="character" w:customStyle="1" w:styleId="1599">
    <w:name w:val="正文首行缩进 2 + Times New Roman Char"/>
    <w:link w:val="1598"/>
    <w:autoRedefine/>
    <w:qFormat/>
    <w:uiPriority w:val="0"/>
    <w:rPr>
      <w:rFonts w:eastAsia="黑体" w:cs="宋体"/>
      <w:color w:val="000000"/>
      <w:kern w:val="2"/>
      <w:sz w:val="24"/>
      <w:szCs w:val="21"/>
    </w:rPr>
  </w:style>
  <w:style w:type="character" w:customStyle="1" w:styleId="1600">
    <w:name w:val="5号表格 Char"/>
    <w:link w:val="1601"/>
    <w:autoRedefine/>
    <w:qFormat/>
    <w:locked/>
    <w:uiPriority w:val="0"/>
    <w:rPr>
      <w:kern w:val="2"/>
      <w:sz w:val="24"/>
      <w:szCs w:val="22"/>
    </w:rPr>
  </w:style>
  <w:style w:type="paragraph" w:customStyle="1" w:styleId="1601">
    <w:name w:val="五号表格"/>
    <w:basedOn w:val="702"/>
    <w:link w:val="1600"/>
    <w:autoRedefine/>
    <w:qFormat/>
    <w:uiPriority w:val="0"/>
    <w:pPr>
      <w:adjustRightInd/>
      <w:jc w:val="center"/>
    </w:pPr>
  </w:style>
  <w:style w:type="paragraph" w:customStyle="1" w:styleId="1602">
    <w:name w:val="Char Char Char Char Char Char1 Char Char Char1 Char Char Char Char Char Char Char Char Char Char Char Char Char Char Char1 Char Char Char1 Char Char Char Char Char Char1 Char Char Char Char Char Char Char Char Char Char Char"/>
    <w:basedOn w:val="1"/>
    <w:autoRedefine/>
    <w:qFormat/>
    <w:uiPriority w:val="0"/>
    <w:pPr>
      <w:spacing w:line="360" w:lineRule="auto"/>
    </w:pPr>
    <w:rPr>
      <w:rFonts w:ascii="宋体" w:hAnsi="宋体" w:cs="宋体"/>
    </w:rPr>
  </w:style>
  <w:style w:type="character" w:customStyle="1" w:styleId="1603">
    <w:name w:val="标题 6 Char1"/>
    <w:autoRedefine/>
    <w:qFormat/>
    <w:uiPriority w:val="0"/>
    <w:rPr>
      <w:rFonts w:ascii="Cambria" w:hAnsi="Cambria" w:eastAsia="宋体" w:cs="Times New Roman"/>
      <w:b/>
      <w:bCs/>
      <w:color w:val="000000"/>
      <w:kern w:val="2"/>
      <w:sz w:val="24"/>
      <w:szCs w:val="24"/>
      <w:lang w:val="en-US" w:eastAsia="zh-CN" w:bidi="ar-SA"/>
    </w:rPr>
  </w:style>
  <w:style w:type="character" w:customStyle="1" w:styleId="1604">
    <w:name w:val="标题 8 Char1"/>
    <w:autoRedefine/>
    <w:semiHidden/>
    <w:qFormat/>
    <w:uiPriority w:val="0"/>
    <w:rPr>
      <w:rFonts w:ascii="Cambria" w:hAnsi="Cambria" w:eastAsia="宋体" w:cs="Times New Roman"/>
      <w:color w:val="000000"/>
      <w:kern w:val="2"/>
      <w:sz w:val="24"/>
      <w:szCs w:val="24"/>
      <w:lang w:val="en-US" w:eastAsia="zh-CN" w:bidi="ar-SA"/>
    </w:rPr>
  </w:style>
  <w:style w:type="character" w:customStyle="1" w:styleId="1605">
    <w:name w:val="标题 9 Char2"/>
    <w:autoRedefine/>
    <w:semiHidden/>
    <w:qFormat/>
    <w:uiPriority w:val="0"/>
    <w:rPr>
      <w:rFonts w:ascii="Cambria" w:hAnsi="Cambria" w:eastAsia="宋体" w:cs="Times New Roman"/>
      <w:color w:val="000000"/>
      <w:kern w:val="2"/>
      <w:sz w:val="21"/>
      <w:szCs w:val="21"/>
      <w:lang w:val="en-US" w:eastAsia="zh-CN" w:bidi="ar-SA"/>
    </w:rPr>
  </w:style>
  <w:style w:type="character" w:customStyle="1" w:styleId="1606">
    <w:name w:val="题注 字符1"/>
    <w:autoRedefine/>
    <w:qFormat/>
    <w:locked/>
    <w:uiPriority w:val="0"/>
    <w:rPr>
      <w:b/>
      <w:color w:val="FF0000"/>
      <w:kern w:val="2"/>
      <w:sz w:val="24"/>
      <w:szCs w:val="24"/>
    </w:rPr>
  </w:style>
  <w:style w:type="paragraph" w:styleId="1607">
    <w:name w:val="Intense Quote"/>
    <w:basedOn w:val="1"/>
    <w:next w:val="1"/>
    <w:link w:val="1608"/>
    <w:autoRedefine/>
    <w:qFormat/>
    <w:uiPriority w:val="30"/>
    <w:pPr>
      <w:widowControl/>
      <w:pBdr>
        <w:top w:val="dotted" w:color="632423" w:sz="2" w:space="10"/>
        <w:bottom w:val="dotted" w:color="632423" w:sz="2" w:space="4"/>
      </w:pBdr>
      <w:snapToGrid w:val="0"/>
      <w:spacing w:before="160" w:line="300" w:lineRule="auto"/>
      <w:ind w:left="1440" w:right="1440" w:firstLine="0" w:firstLineChars="0"/>
      <w:jc w:val="left"/>
    </w:pPr>
    <w:rPr>
      <w:caps/>
      <w:color w:val="622423"/>
      <w:spacing w:val="5"/>
      <w:kern w:val="0"/>
      <w:sz w:val="20"/>
      <w:szCs w:val="20"/>
      <w:lang w:val="zh-CN"/>
    </w:rPr>
  </w:style>
  <w:style w:type="character" w:customStyle="1" w:styleId="1608">
    <w:name w:val="明显引用 字符"/>
    <w:basedOn w:val="133"/>
    <w:link w:val="1607"/>
    <w:qFormat/>
    <w:uiPriority w:val="30"/>
    <w:rPr>
      <w:caps/>
      <w:color w:val="622423"/>
      <w:spacing w:val="5"/>
      <w:lang w:val="zh-CN"/>
    </w:rPr>
  </w:style>
  <w:style w:type="character" w:customStyle="1" w:styleId="1609">
    <w:name w:val="带编号正文 Char"/>
    <w:link w:val="1610"/>
    <w:autoRedefine/>
    <w:qFormat/>
    <w:locked/>
    <w:uiPriority w:val="0"/>
    <w:rPr>
      <w:kern w:val="2"/>
      <w:sz w:val="24"/>
      <w:szCs w:val="22"/>
      <w:lang w:val="zh-CN"/>
    </w:rPr>
  </w:style>
  <w:style w:type="paragraph" w:customStyle="1" w:styleId="1610">
    <w:name w:val="带编号正文"/>
    <w:basedOn w:val="171"/>
    <w:link w:val="1609"/>
    <w:autoRedefine/>
    <w:qFormat/>
    <w:uiPriority w:val="0"/>
    <w:pPr>
      <w:numPr>
        <w:ilvl w:val="0"/>
        <w:numId w:val="20"/>
      </w:numPr>
      <w:ind w:firstLine="0" w:firstLineChars="0"/>
    </w:pPr>
    <w:rPr>
      <w:kern w:val="2"/>
      <w:szCs w:val="22"/>
      <w:lang w:val="zh-CN"/>
    </w:rPr>
  </w:style>
  <w:style w:type="paragraph" w:customStyle="1" w:styleId="1611">
    <w:name w:val="环龙公司文本正文"/>
    <w:autoRedefine/>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612">
    <w:name w:val="样式 文字 + 段前: 7.8 磅"/>
    <w:basedOn w:val="1"/>
    <w:autoRedefine/>
    <w:qFormat/>
    <w:uiPriority w:val="0"/>
    <w:pPr>
      <w:widowControl/>
      <w:adjustRightInd w:val="0"/>
      <w:snapToGrid w:val="0"/>
      <w:ind w:firstLine="480"/>
    </w:pPr>
    <w:rPr>
      <w:rFonts w:ascii="宋体" w:hAnsi="宋体" w:cs="宋体"/>
      <w:kern w:val="0"/>
      <w:szCs w:val="20"/>
    </w:rPr>
  </w:style>
  <w:style w:type="character" w:customStyle="1" w:styleId="1613">
    <w:name w:val="4号表头1 Char"/>
    <w:link w:val="1614"/>
    <w:autoRedefine/>
    <w:qFormat/>
    <w:locked/>
    <w:uiPriority w:val="0"/>
    <w:rPr>
      <w:kern w:val="2"/>
      <w:sz w:val="24"/>
      <w:szCs w:val="22"/>
    </w:rPr>
  </w:style>
  <w:style w:type="paragraph" w:customStyle="1" w:styleId="1614">
    <w:name w:val="4号表头1"/>
    <w:link w:val="1613"/>
    <w:autoRedefine/>
    <w:qFormat/>
    <w:uiPriority w:val="0"/>
    <w:pPr>
      <w:jc w:val="center"/>
    </w:pPr>
    <w:rPr>
      <w:rFonts w:ascii="Times New Roman" w:hAnsi="Times New Roman" w:eastAsia="宋体" w:cs="Times New Roman"/>
      <w:kern w:val="2"/>
      <w:sz w:val="24"/>
      <w:szCs w:val="22"/>
      <w:lang w:val="en-US" w:eastAsia="zh-CN" w:bidi="ar-SA"/>
    </w:rPr>
  </w:style>
  <w:style w:type="character" w:customStyle="1" w:styleId="1615">
    <w:name w:val="五号表注 Char"/>
    <w:link w:val="1616"/>
    <w:autoRedefine/>
    <w:qFormat/>
    <w:locked/>
    <w:uiPriority w:val="0"/>
    <w:rPr>
      <w:kern w:val="2"/>
      <w:sz w:val="21"/>
      <w:szCs w:val="21"/>
      <w:lang w:val="zh-CN"/>
    </w:rPr>
  </w:style>
  <w:style w:type="paragraph" w:customStyle="1" w:styleId="1616">
    <w:name w:val="五号表注"/>
    <w:basedOn w:val="171"/>
    <w:next w:val="171"/>
    <w:link w:val="1615"/>
    <w:autoRedefine/>
    <w:qFormat/>
    <w:uiPriority w:val="0"/>
    <w:pPr>
      <w:ind w:firstLine="0" w:firstLineChars="0"/>
    </w:pPr>
    <w:rPr>
      <w:kern w:val="2"/>
      <w:sz w:val="21"/>
      <w:szCs w:val="21"/>
      <w:lang w:val="zh-CN"/>
    </w:rPr>
  </w:style>
  <w:style w:type="character" w:customStyle="1" w:styleId="1617">
    <w:name w:val="四号表头 Char"/>
    <w:link w:val="1618"/>
    <w:autoRedefine/>
    <w:qFormat/>
    <w:locked/>
    <w:uiPriority w:val="0"/>
    <w:rPr>
      <w:kern w:val="2"/>
      <w:sz w:val="24"/>
      <w:szCs w:val="22"/>
      <w:lang w:val="zh-CN"/>
    </w:rPr>
  </w:style>
  <w:style w:type="paragraph" w:customStyle="1" w:styleId="1618">
    <w:name w:val="四号表头"/>
    <w:basedOn w:val="171"/>
    <w:link w:val="1617"/>
    <w:autoRedefine/>
    <w:qFormat/>
    <w:uiPriority w:val="0"/>
    <w:pPr>
      <w:ind w:firstLine="0" w:firstLineChars="0"/>
      <w:jc w:val="center"/>
    </w:pPr>
    <w:rPr>
      <w:kern w:val="2"/>
      <w:szCs w:val="22"/>
      <w:lang w:val="zh-CN"/>
    </w:rPr>
  </w:style>
  <w:style w:type="character" w:customStyle="1" w:styleId="1619">
    <w:name w:val="表后正文 Char"/>
    <w:link w:val="1620"/>
    <w:autoRedefine/>
    <w:qFormat/>
    <w:locked/>
    <w:uiPriority w:val="0"/>
    <w:rPr>
      <w:kern w:val="2"/>
      <w:sz w:val="24"/>
      <w:szCs w:val="22"/>
      <w:lang w:val="zh-CN"/>
    </w:rPr>
  </w:style>
  <w:style w:type="paragraph" w:customStyle="1" w:styleId="1620">
    <w:name w:val="表后正文"/>
    <w:basedOn w:val="171"/>
    <w:link w:val="1619"/>
    <w:autoRedefine/>
    <w:qFormat/>
    <w:uiPriority w:val="0"/>
    <w:pPr>
      <w:spacing w:beforeLines="50"/>
    </w:pPr>
    <w:rPr>
      <w:kern w:val="2"/>
      <w:szCs w:val="22"/>
      <w:lang w:val="zh-CN"/>
    </w:rPr>
  </w:style>
  <w:style w:type="paragraph" w:customStyle="1" w:styleId="1621">
    <w:name w:val="表格新"/>
    <w:basedOn w:val="1"/>
    <w:autoRedefine/>
    <w:qFormat/>
    <w:uiPriority w:val="0"/>
    <w:pPr>
      <w:widowControl/>
      <w:adjustRightInd w:val="0"/>
      <w:snapToGrid w:val="0"/>
      <w:spacing w:before="60" w:after="60"/>
      <w:ind w:firstLine="0" w:firstLineChars="0"/>
      <w:jc w:val="center"/>
    </w:pPr>
    <w:rPr>
      <w:rFonts w:ascii="宋体" w:hAnsi="宋体" w:cs="宋体"/>
      <w:kern w:val="0"/>
    </w:rPr>
  </w:style>
  <w:style w:type="character" w:customStyle="1" w:styleId="1622">
    <w:name w:val="正文2 Char"/>
    <w:link w:val="889"/>
    <w:autoRedefine/>
    <w:qFormat/>
    <w:locked/>
    <w:uiPriority w:val="0"/>
    <w:rPr>
      <w:spacing w:val="-2"/>
      <w:sz w:val="28"/>
    </w:rPr>
  </w:style>
  <w:style w:type="character" w:customStyle="1" w:styleId="1623">
    <w:name w:val="样式7表 Char"/>
    <w:link w:val="1624"/>
    <w:autoRedefine/>
    <w:qFormat/>
    <w:locked/>
    <w:uiPriority w:val="0"/>
    <w:rPr>
      <w:rFonts w:ascii="宋体" w:hAnsi="Courier New"/>
      <w:spacing w:val="6"/>
      <w:sz w:val="21"/>
      <w:szCs w:val="21"/>
      <w:lang w:val="zh-CN"/>
    </w:rPr>
  </w:style>
  <w:style w:type="paragraph" w:customStyle="1" w:styleId="1624">
    <w:name w:val="样式7表"/>
    <w:basedOn w:val="1"/>
    <w:link w:val="1623"/>
    <w:autoRedefine/>
    <w:qFormat/>
    <w:uiPriority w:val="0"/>
    <w:pPr>
      <w:widowControl/>
      <w:adjustRightInd w:val="0"/>
      <w:snapToGrid w:val="0"/>
      <w:spacing w:before="100" w:beforeAutospacing="1"/>
      <w:ind w:firstLine="0" w:firstLineChars="0"/>
      <w:jc w:val="center"/>
    </w:pPr>
    <w:rPr>
      <w:rFonts w:ascii="宋体" w:hAnsi="Courier New"/>
      <w:spacing w:val="6"/>
      <w:kern w:val="0"/>
      <w:sz w:val="21"/>
      <w:szCs w:val="21"/>
      <w:lang w:val="zh-CN"/>
    </w:rPr>
  </w:style>
  <w:style w:type="paragraph" w:customStyle="1" w:styleId="1625">
    <w:name w:val="正文3"/>
    <w:autoRedefine/>
    <w:qFormat/>
    <w:uiPriority w:val="0"/>
    <w:pPr>
      <w:jc w:val="both"/>
    </w:pPr>
    <w:rPr>
      <w:rFonts w:ascii="Cambria" w:hAnsi="Cambria" w:eastAsia="宋体" w:cs="宋体"/>
      <w:kern w:val="2"/>
      <w:sz w:val="21"/>
      <w:szCs w:val="21"/>
      <w:lang w:val="en-US" w:eastAsia="zh-CN" w:bidi="ar-SA"/>
    </w:rPr>
  </w:style>
  <w:style w:type="paragraph" w:customStyle="1" w:styleId="1626">
    <w:name w:val="正文4"/>
    <w:autoRedefine/>
    <w:qFormat/>
    <w:uiPriority w:val="0"/>
    <w:pPr>
      <w:jc w:val="both"/>
    </w:pPr>
    <w:rPr>
      <w:rFonts w:ascii="Cambria" w:hAnsi="Cambria" w:eastAsia="宋体" w:cs="宋体"/>
      <w:kern w:val="2"/>
      <w:sz w:val="21"/>
      <w:szCs w:val="21"/>
      <w:lang w:val="en-US" w:eastAsia="zh-CN" w:bidi="ar-SA"/>
    </w:rPr>
  </w:style>
  <w:style w:type="paragraph" w:customStyle="1" w:styleId="1627">
    <w:name w:val="正文5"/>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1628">
    <w:name w:val="正文6"/>
    <w:autoRedefine/>
    <w:qFormat/>
    <w:uiPriority w:val="0"/>
    <w:pPr>
      <w:jc w:val="both"/>
    </w:pPr>
    <w:rPr>
      <w:rFonts w:ascii="Cambria" w:hAnsi="Cambria" w:eastAsia="宋体" w:cs="宋体"/>
      <w:kern w:val="2"/>
      <w:sz w:val="21"/>
      <w:szCs w:val="21"/>
      <w:lang w:val="en-US" w:eastAsia="zh-CN" w:bidi="ar-SA"/>
    </w:rPr>
  </w:style>
  <w:style w:type="character" w:customStyle="1" w:styleId="1629">
    <w:name w:val="1）编号正文 Char"/>
    <w:link w:val="1630"/>
    <w:autoRedefine/>
    <w:qFormat/>
    <w:locked/>
    <w:uiPriority w:val="0"/>
    <w:rPr>
      <w:kern w:val="2"/>
      <w:sz w:val="24"/>
      <w:szCs w:val="22"/>
      <w:lang w:val="zh-CN"/>
    </w:rPr>
  </w:style>
  <w:style w:type="paragraph" w:customStyle="1" w:styleId="1630">
    <w:name w:val="1）编号正文"/>
    <w:basedOn w:val="1610"/>
    <w:link w:val="1629"/>
    <w:autoRedefine/>
    <w:qFormat/>
    <w:uiPriority w:val="0"/>
    <w:pPr>
      <w:numPr>
        <w:ilvl w:val="0"/>
        <w:numId w:val="0"/>
      </w:numPr>
      <w:ind w:left="480" w:leftChars="200" w:firstLine="120" w:firstLineChars="50"/>
    </w:pPr>
  </w:style>
  <w:style w:type="character" w:customStyle="1" w:styleId="1631">
    <w:name w:val="a)编号 Char"/>
    <w:link w:val="1632"/>
    <w:autoRedefine/>
    <w:qFormat/>
    <w:locked/>
    <w:uiPriority w:val="0"/>
  </w:style>
  <w:style w:type="paragraph" w:customStyle="1" w:styleId="1632">
    <w:name w:val="a)编号"/>
    <w:basedOn w:val="1610"/>
    <w:link w:val="1631"/>
    <w:autoRedefine/>
    <w:qFormat/>
    <w:uiPriority w:val="0"/>
    <w:pPr>
      <w:numPr>
        <w:numId w:val="21"/>
      </w:numPr>
    </w:pPr>
    <w:rPr>
      <w:kern w:val="0"/>
      <w:sz w:val="20"/>
      <w:szCs w:val="20"/>
      <w:lang w:val="en-US"/>
    </w:rPr>
  </w:style>
  <w:style w:type="character" w:customStyle="1" w:styleId="1633">
    <w:name w:val="表格文字2 Char"/>
    <w:link w:val="825"/>
    <w:autoRedefine/>
    <w:qFormat/>
    <w:locked/>
    <w:uiPriority w:val="0"/>
    <w:rPr>
      <w:sz w:val="21"/>
    </w:rPr>
  </w:style>
  <w:style w:type="character" w:customStyle="1" w:styleId="1634">
    <w:name w:val="正文首行缩进 2 + Times New Roman Char1"/>
    <w:autoRedefine/>
    <w:qFormat/>
    <w:locked/>
    <w:uiPriority w:val="0"/>
    <w:rPr>
      <w:sz w:val="24"/>
      <w:szCs w:val="24"/>
    </w:rPr>
  </w:style>
  <w:style w:type="paragraph" w:customStyle="1" w:styleId="1635">
    <w:name w:val="表内字体-烟台"/>
    <w:basedOn w:val="1"/>
    <w:autoRedefine/>
    <w:qFormat/>
    <w:uiPriority w:val="0"/>
    <w:pPr>
      <w:widowControl/>
      <w:adjustRightInd w:val="0"/>
      <w:snapToGrid w:val="0"/>
      <w:ind w:firstLine="0" w:firstLineChars="0"/>
      <w:jc w:val="center"/>
    </w:pPr>
    <w:rPr>
      <w:rFonts w:ascii="宋体" w:hAnsi="宋体" w:cs="宋体"/>
      <w:color w:val="000000"/>
      <w:kern w:val="0"/>
      <w:sz w:val="21"/>
      <w:szCs w:val="21"/>
    </w:rPr>
  </w:style>
  <w:style w:type="character" w:customStyle="1" w:styleId="1636">
    <w:name w:val="表头图名 Char"/>
    <w:link w:val="1637"/>
    <w:autoRedefine/>
    <w:qFormat/>
    <w:locked/>
    <w:uiPriority w:val="0"/>
    <w:rPr>
      <w:rFonts w:ascii="黑体" w:hAnsi="黑体" w:eastAsia="黑体"/>
      <w:kern w:val="2"/>
      <w:sz w:val="24"/>
      <w:szCs w:val="24"/>
      <w:lang w:val="zh-CN"/>
    </w:rPr>
  </w:style>
  <w:style w:type="paragraph" w:customStyle="1" w:styleId="1637">
    <w:name w:val="表头图名"/>
    <w:basedOn w:val="1"/>
    <w:link w:val="1636"/>
    <w:autoRedefine/>
    <w:qFormat/>
    <w:uiPriority w:val="0"/>
    <w:pPr>
      <w:widowControl/>
      <w:spacing w:line="520" w:lineRule="exact"/>
      <w:ind w:firstLine="0" w:firstLineChars="0"/>
      <w:contextualSpacing/>
      <w:jc w:val="center"/>
    </w:pPr>
    <w:rPr>
      <w:rFonts w:ascii="黑体" w:hAnsi="黑体" w:eastAsia="黑体"/>
      <w:lang w:val="zh-CN"/>
    </w:rPr>
  </w:style>
  <w:style w:type="paragraph" w:customStyle="1" w:styleId="1638">
    <w:name w:val="标题 41"/>
    <w:basedOn w:val="1"/>
    <w:next w:val="1"/>
    <w:autoRedefine/>
    <w:qFormat/>
    <w:uiPriority w:val="9"/>
    <w:pPr>
      <w:keepNext/>
      <w:keepLines/>
      <w:widowControl/>
      <w:spacing w:before="280" w:after="290" w:line="374" w:lineRule="auto"/>
      <w:ind w:firstLine="0" w:firstLineChars="0"/>
      <w:outlineLvl w:val="3"/>
    </w:pPr>
    <w:rPr>
      <w:rFonts w:ascii="Cambria" w:hAnsi="Cambria" w:cs="宋体"/>
      <w:b/>
      <w:bCs/>
      <w:kern w:val="0"/>
      <w:sz w:val="28"/>
      <w:szCs w:val="28"/>
    </w:rPr>
  </w:style>
  <w:style w:type="paragraph" w:customStyle="1" w:styleId="1639">
    <w:name w:val="表格标题格式"/>
    <w:basedOn w:val="1"/>
    <w:autoRedefine/>
    <w:qFormat/>
    <w:uiPriority w:val="0"/>
    <w:pPr>
      <w:widowControl/>
      <w:ind w:firstLine="0" w:firstLineChars="0"/>
      <w:jc w:val="center"/>
    </w:pPr>
    <w:rPr>
      <w:rFonts w:ascii="宋体" w:hAnsi="宋体" w:cs="宋体"/>
      <w:b/>
      <w:kern w:val="0"/>
      <w:sz w:val="21"/>
      <w:szCs w:val="21"/>
    </w:rPr>
  </w:style>
  <w:style w:type="character" w:customStyle="1" w:styleId="1640">
    <w:name w:val="标题3 Char"/>
    <w:link w:val="340"/>
    <w:autoRedefine/>
    <w:qFormat/>
    <w:locked/>
    <w:uiPriority w:val="0"/>
    <w:rPr>
      <w:i/>
      <w:sz w:val="28"/>
      <w:szCs w:val="24"/>
    </w:rPr>
  </w:style>
  <w:style w:type="paragraph" w:customStyle="1" w:styleId="1641">
    <w:name w:val="正文内容"/>
    <w:basedOn w:val="1"/>
    <w:link w:val="1642"/>
    <w:autoRedefine/>
    <w:qFormat/>
    <w:uiPriority w:val="0"/>
    <w:pPr>
      <w:widowControl/>
      <w:spacing w:line="520" w:lineRule="exact"/>
      <w:contextualSpacing/>
    </w:pPr>
    <w:rPr>
      <w:lang w:val="zh-CN"/>
    </w:rPr>
  </w:style>
  <w:style w:type="character" w:customStyle="1" w:styleId="1642">
    <w:name w:val="正文内容 Char"/>
    <w:link w:val="1641"/>
    <w:autoRedefine/>
    <w:qFormat/>
    <w:locked/>
    <w:uiPriority w:val="0"/>
    <w:rPr>
      <w:kern w:val="2"/>
      <w:sz w:val="24"/>
      <w:szCs w:val="24"/>
      <w:lang w:val="zh-CN"/>
    </w:rPr>
  </w:style>
  <w:style w:type="paragraph" w:customStyle="1" w:styleId="1643">
    <w:name w:val="图、表标题"/>
    <w:basedOn w:val="22"/>
    <w:autoRedefine/>
    <w:qFormat/>
    <w:uiPriority w:val="0"/>
    <w:pPr>
      <w:widowControl/>
      <w:adjustRightInd w:val="0"/>
      <w:snapToGrid w:val="0"/>
      <w:spacing w:after="0" w:line="360" w:lineRule="auto"/>
      <w:ind w:firstLine="576" w:firstLineChars="0"/>
    </w:pPr>
    <w:rPr>
      <w:rFonts w:eastAsia="宋体" w:cs="宋体"/>
      <w:b/>
      <w:bCs/>
      <w:color w:val="FF0000"/>
      <w:sz w:val="24"/>
      <w:szCs w:val="24"/>
      <w:lang w:val="zh-CN"/>
      <w14:ligatures w14:val="none"/>
    </w:rPr>
  </w:style>
  <w:style w:type="paragraph" w:customStyle="1" w:styleId="1644">
    <w:name w:val="标题3-在用"/>
    <w:basedOn w:val="5"/>
    <w:autoRedefine/>
    <w:qFormat/>
    <w:uiPriority w:val="0"/>
    <w:pPr>
      <w:keepNext w:val="0"/>
      <w:keepLines w:val="0"/>
      <w:widowControl/>
      <w:numPr>
        <w:ilvl w:val="0"/>
        <w:numId w:val="0"/>
      </w:numPr>
      <w:tabs>
        <w:tab w:val="left" w:pos="454"/>
      </w:tabs>
      <w:adjustRightInd w:val="0"/>
      <w:snapToGrid w:val="0"/>
      <w:spacing w:before="156" w:after="156" w:line="360" w:lineRule="auto"/>
      <w:jc w:val="left"/>
    </w:pPr>
    <w:rPr>
      <w:rFonts w:eastAsia="宋体" w:cs="宋体"/>
      <w:b w:val="0"/>
      <w:bCs w:val="0"/>
      <w:kern w:val="0"/>
      <w:sz w:val="24"/>
      <w:szCs w:val="20"/>
    </w:rPr>
  </w:style>
  <w:style w:type="paragraph" w:customStyle="1" w:styleId="1645">
    <w:name w:val="文"/>
    <w:basedOn w:val="1"/>
    <w:autoRedefine/>
    <w:qFormat/>
    <w:uiPriority w:val="0"/>
    <w:pPr>
      <w:widowControl/>
      <w:adjustRightInd w:val="0"/>
      <w:snapToGrid w:val="0"/>
      <w:spacing w:line="312" w:lineRule="auto"/>
      <w:ind w:firstLine="567" w:firstLineChars="0"/>
      <w:jc w:val="left"/>
    </w:pPr>
    <w:rPr>
      <w:rFonts w:ascii="宋体" w:hAnsi="宋体" w:cs="宋体"/>
      <w:spacing w:val="6"/>
      <w:kern w:val="0"/>
      <w:sz w:val="28"/>
      <w:szCs w:val="20"/>
    </w:rPr>
  </w:style>
  <w:style w:type="paragraph" w:customStyle="1" w:styleId="1646">
    <w:name w:val="标题  1"/>
    <w:basedOn w:val="1"/>
    <w:autoRedefine/>
    <w:qFormat/>
    <w:uiPriority w:val="0"/>
    <w:pPr>
      <w:widowControl/>
      <w:numPr>
        <w:ilvl w:val="0"/>
        <w:numId w:val="22"/>
      </w:numPr>
      <w:snapToGrid w:val="0"/>
      <w:ind w:firstLine="0" w:firstLineChars="0"/>
      <w:jc w:val="left"/>
    </w:pPr>
    <w:rPr>
      <w:rFonts w:ascii="Tahoma" w:hAnsi="Tahoma" w:cs="宋体"/>
      <w:kern w:val="0"/>
      <w:szCs w:val="20"/>
    </w:rPr>
  </w:style>
  <w:style w:type="paragraph" w:customStyle="1" w:styleId="1647">
    <w:name w:val="默认段落字体 Para Char Char Char Char Char Char Char"/>
    <w:basedOn w:val="1"/>
    <w:autoRedefine/>
    <w:qFormat/>
    <w:uiPriority w:val="0"/>
    <w:pPr>
      <w:widowControl/>
      <w:snapToGrid w:val="0"/>
      <w:ind w:firstLine="0" w:firstLineChars="0"/>
      <w:jc w:val="left"/>
    </w:pPr>
    <w:rPr>
      <w:rFonts w:ascii="Arial" w:hAnsi="Arial" w:cs="Arial"/>
      <w:kern w:val="0"/>
      <w:sz w:val="20"/>
      <w:szCs w:val="20"/>
    </w:rPr>
  </w:style>
  <w:style w:type="paragraph" w:customStyle="1" w:styleId="1648">
    <w:name w:val="wy2"/>
    <w:basedOn w:val="1"/>
    <w:autoRedefine/>
    <w:qFormat/>
    <w:uiPriority w:val="0"/>
    <w:pPr>
      <w:widowControl/>
      <w:snapToGrid w:val="0"/>
      <w:spacing w:line="312" w:lineRule="auto"/>
      <w:ind w:firstLine="680" w:firstLineChars="0"/>
      <w:jc w:val="left"/>
    </w:pPr>
    <w:rPr>
      <w:rFonts w:ascii="宋体" w:hAnsi="宋体" w:cs="宋体"/>
      <w:b/>
      <w:spacing w:val="6"/>
      <w:kern w:val="0"/>
      <w:sz w:val="32"/>
      <w:szCs w:val="20"/>
    </w:rPr>
  </w:style>
  <w:style w:type="paragraph" w:customStyle="1" w:styleId="1649">
    <w:name w:val="wy1"/>
    <w:basedOn w:val="1"/>
    <w:autoRedefine/>
    <w:qFormat/>
    <w:uiPriority w:val="0"/>
    <w:pPr>
      <w:widowControl/>
      <w:snapToGrid w:val="0"/>
      <w:spacing w:line="312" w:lineRule="auto"/>
      <w:ind w:firstLine="0" w:firstLineChars="0"/>
      <w:jc w:val="center"/>
    </w:pPr>
    <w:rPr>
      <w:rFonts w:ascii="黑体" w:hAnsi="宋体" w:eastAsia="黑体" w:cs="宋体"/>
      <w:b/>
      <w:spacing w:val="6"/>
      <w:kern w:val="0"/>
      <w:sz w:val="36"/>
      <w:szCs w:val="20"/>
    </w:rPr>
  </w:style>
  <w:style w:type="paragraph" w:customStyle="1" w:styleId="1650">
    <w:name w:val="w1"/>
    <w:basedOn w:val="1"/>
    <w:autoRedefine/>
    <w:qFormat/>
    <w:uiPriority w:val="0"/>
    <w:pPr>
      <w:widowControl/>
      <w:snapToGrid w:val="0"/>
      <w:spacing w:before="120" w:after="120" w:line="312" w:lineRule="auto"/>
      <w:ind w:firstLine="567" w:firstLineChars="0"/>
      <w:jc w:val="left"/>
    </w:pPr>
    <w:rPr>
      <w:rFonts w:ascii="宋体" w:hAnsi="宋体" w:cs="宋体"/>
      <w:b/>
      <w:spacing w:val="6"/>
      <w:kern w:val="0"/>
      <w:sz w:val="32"/>
      <w:szCs w:val="20"/>
    </w:rPr>
  </w:style>
  <w:style w:type="paragraph" w:customStyle="1" w:styleId="1651">
    <w:name w:val="w"/>
    <w:basedOn w:val="1"/>
    <w:autoRedefine/>
    <w:qFormat/>
    <w:uiPriority w:val="0"/>
    <w:pPr>
      <w:widowControl/>
      <w:snapToGrid w:val="0"/>
      <w:spacing w:line="312" w:lineRule="auto"/>
      <w:ind w:firstLine="0" w:firstLineChars="0"/>
      <w:jc w:val="center"/>
      <w:outlineLvl w:val="0"/>
    </w:pPr>
    <w:rPr>
      <w:rFonts w:ascii="黑体" w:hAnsi="宋体" w:eastAsia="黑体" w:cs="宋体"/>
      <w:b/>
      <w:spacing w:val="6"/>
      <w:kern w:val="0"/>
      <w:sz w:val="36"/>
      <w:szCs w:val="20"/>
    </w:rPr>
  </w:style>
  <w:style w:type="paragraph" w:customStyle="1" w:styleId="1652">
    <w:name w:val="表(图)头"/>
    <w:basedOn w:val="1"/>
    <w:autoRedefine/>
    <w:qFormat/>
    <w:uiPriority w:val="0"/>
    <w:pPr>
      <w:widowControl/>
      <w:snapToGrid w:val="0"/>
      <w:spacing w:line="480" w:lineRule="atLeast"/>
      <w:ind w:firstLine="0" w:firstLineChars="0"/>
      <w:jc w:val="center"/>
    </w:pPr>
    <w:rPr>
      <w:rFonts w:ascii="宋体" w:hAnsi="宋体" w:eastAsia="仿宋_GB2312" w:cs="宋体"/>
      <w:b/>
      <w:kern w:val="0"/>
      <w:szCs w:val="20"/>
    </w:rPr>
  </w:style>
  <w:style w:type="paragraph" w:customStyle="1" w:styleId="1653">
    <w:name w:val="样式表"/>
    <w:basedOn w:val="34"/>
    <w:autoRedefine/>
    <w:qFormat/>
    <w:uiPriority w:val="0"/>
    <w:pPr>
      <w:widowControl/>
      <w:adjustRightInd w:val="0"/>
      <w:snapToGrid w:val="0"/>
      <w:spacing w:before="60" w:after="60" w:line="360" w:lineRule="auto"/>
    </w:pPr>
    <w:rPr>
      <w:rFonts w:ascii="宋体" w:hAnsi="Plotter" w:eastAsia="黑体" w:cs="宋体"/>
      <w:kern w:val="0"/>
      <w:sz w:val="24"/>
      <w:szCs w:val="20"/>
      <w:lang w:val="zh-CN"/>
    </w:rPr>
  </w:style>
  <w:style w:type="paragraph" w:customStyle="1" w:styleId="1654">
    <w:name w:val="文字"/>
    <w:basedOn w:val="1"/>
    <w:link w:val="3167"/>
    <w:autoRedefine/>
    <w:qFormat/>
    <w:uiPriority w:val="99"/>
    <w:pPr>
      <w:widowControl/>
      <w:adjustRightInd w:val="0"/>
      <w:snapToGrid w:val="0"/>
      <w:spacing w:line="312" w:lineRule="auto"/>
      <w:ind w:firstLine="567" w:firstLineChars="0"/>
      <w:jc w:val="left"/>
    </w:pPr>
    <w:rPr>
      <w:rFonts w:ascii="宋体" w:hAnsi="宋体" w:cs="宋体"/>
      <w:color w:val="000000"/>
      <w:spacing w:val="6"/>
      <w:kern w:val="0"/>
      <w:sz w:val="28"/>
      <w:szCs w:val="20"/>
    </w:rPr>
  </w:style>
  <w:style w:type="paragraph" w:customStyle="1" w:styleId="1655">
    <w:name w:val="正文文本 21"/>
    <w:basedOn w:val="1"/>
    <w:autoRedefine/>
    <w:qFormat/>
    <w:uiPriority w:val="0"/>
    <w:pPr>
      <w:widowControl/>
      <w:adjustRightInd w:val="0"/>
      <w:snapToGrid w:val="0"/>
      <w:ind w:firstLine="601" w:firstLineChars="0"/>
      <w:jc w:val="left"/>
    </w:pPr>
    <w:rPr>
      <w:rFonts w:ascii="宋体" w:hAnsi="宋体" w:cs="宋体"/>
      <w:spacing w:val="20"/>
      <w:kern w:val="0"/>
      <w:sz w:val="28"/>
      <w:szCs w:val="20"/>
    </w:rPr>
  </w:style>
  <w:style w:type="paragraph" w:customStyle="1" w:styleId="1656">
    <w:name w:val="正式文字"/>
    <w:basedOn w:val="1"/>
    <w:autoRedefine/>
    <w:qFormat/>
    <w:uiPriority w:val="0"/>
    <w:pPr>
      <w:widowControl/>
      <w:autoSpaceDE w:val="0"/>
      <w:autoSpaceDN w:val="0"/>
      <w:adjustRightInd w:val="0"/>
      <w:snapToGrid w:val="0"/>
      <w:spacing w:line="312" w:lineRule="auto"/>
      <w:ind w:firstLine="567" w:firstLineChars="0"/>
      <w:jc w:val="left"/>
    </w:pPr>
    <w:rPr>
      <w:rFonts w:ascii="宋体" w:hAnsi="宋体" w:cs="宋体"/>
      <w:spacing w:val="6"/>
      <w:kern w:val="0"/>
      <w:sz w:val="28"/>
      <w:szCs w:val="20"/>
    </w:rPr>
  </w:style>
  <w:style w:type="paragraph" w:customStyle="1" w:styleId="1657">
    <w:name w:val="表格，五宋"/>
    <w:autoRedefine/>
    <w:qFormat/>
    <w:uiPriority w:val="0"/>
    <w:pPr>
      <w:adjustRightInd w:val="0"/>
      <w:spacing w:after="200" w:line="280" w:lineRule="exact"/>
      <w:jc w:val="both"/>
    </w:pPr>
    <w:rPr>
      <w:rFonts w:ascii="宋体" w:hAnsi="Times New Roman" w:eastAsia="宋体" w:cs="Times New Roman"/>
      <w:sz w:val="22"/>
      <w:lang w:val="en-US" w:eastAsia="zh-CN" w:bidi="ar-SA"/>
    </w:rPr>
  </w:style>
  <w:style w:type="paragraph" w:customStyle="1" w:styleId="1658">
    <w:name w:val="节1"/>
    <w:basedOn w:val="4"/>
    <w:autoRedefine/>
    <w:qFormat/>
    <w:uiPriority w:val="0"/>
    <w:pPr>
      <w:keepNext w:val="0"/>
      <w:keepLines w:val="0"/>
      <w:widowControl/>
      <w:numPr>
        <w:ilvl w:val="0"/>
        <w:numId w:val="0"/>
      </w:numPr>
      <w:autoSpaceDE w:val="0"/>
      <w:autoSpaceDN w:val="0"/>
      <w:adjustRightInd w:val="0"/>
      <w:snapToGrid w:val="0"/>
      <w:spacing w:before="120" w:after="120" w:line="312" w:lineRule="auto"/>
      <w:ind w:firstLine="567"/>
      <w:jc w:val="left"/>
      <w:outlineLvl w:val="9"/>
    </w:pPr>
    <w:rPr>
      <w:rFonts w:ascii="宋体" w:hAnsi="宋体" w:eastAsia="宋体" w:cs="宋体"/>
      <w:spacing w:val="6"/>
      <w:szCs w:val="20"/>
    </w:rPr>
  </w:style>
  <w:style w:type="paragraph" w:customStyle="1" w:styleId="1659">
    <w:name w:val="样式表头"/>
    <w:basedOn w:val="1"/>
    <w:autoRedefine/>
    <w:qFormat/>
    <w:uiPriority w:val="0"/>
    <w:pPr>
      <w:widowControl/>
      <w:snapToGrid w:val="0"/>
      <w:spacing w:line="312" w:lineRule="auto"/>
      <w:ind w:firstLine="0" w:firstLineChars="0"/>
      <w:jc w:val="center"/>
    </w:pPr>
    <w:rPr>
      <w:rFonts w:ascii="黑体" w:hAnsi="宋体" w:eastAsia="黑体" w:cs="宋体"/>
      <w:b/>
      <w:bCs/>
      <w:spacing w:val="6"/>
      <w:kern w:val="0"/>
      <w:sz w:val="32"/>
      <w:szCs w:val="32"/>
    </w:rPr>
  </w:style>
  <w:style w:type="paragraph" w:customStyle="1" w:styleId="1660">
    <w:name w:val="样式节"/>
    <w:basedOn w:val="1"/>
    <w:autoRedefine/>
    <w:qFormat/>
    <w:uiPriority w:val="0"/>
    <w:pPr>
      <w:widowControl/>
      <w:adjustRightInd w:val="0"/>
      <w:snapToGrid w:val="0"/>
      <w:spacing w:before="120" w:after="120" w:line="312" w:lineRule="auto"/>
      <w:ind w:firstLine="665"/>
      <w:jc w:val="left"/>
    </w:pPr>
    <w:rPr>
      <w:rFonts w:ascii="宋体" w:hAnsi="宋体" w:cs="宋体"/>
      <w:b/>
      <w:bCs/>
      <w:spacing w:val="6"/>
      <w:kern w:val="0"/>
      <w:sz w:val="32"/>
      <w:szCs w:val="32"/>
    </w:rPr>
  </w:style>
  <w:style w:type="paragraph" w:customStyle="1" w:styleId="1661">
    <w:name w:val="1节"/>
    <w:basedOn w:val="1"/>
    <w:autoRedefine/>
    <w:qFormat/>
    <w:uiPriority w:val="0"/>
    <w:pPr>
      <w:widowControl/>
      <w:adjustRightInd w:val="0"/>
      <w:snapToGrid w:val="0"/>
      <w:spacing w:before="120" w:after="120" w:line="312" w:lineRule="auto"/>
      <w:ind w:firstLine="567" w:firstLineChars="0"/>
      <w:jc w:val="left"/>
    </w:pPr>
    <w:rPr>
      <w:rFonts w:ascii="宋体" w:hAnsi="宋体" w:cs="宋体"/>
      <w:b/>
      <w:spacing w:val="6"/>
      <w:kern w:val="0"/>
      <w:sz w:val="32"/>
      <w:szCs w:val="32"/>
    </w:rPr>
  </w:style>
  <w:style w:type="paragraph" w:customStyle="1" w:styleId="1662">
    <w:name w:val="样式表格"/>
    <w:basedOn w:val="1"/>
    <w:autoRedefine/>
    <w:qFormat/>
    <w:uiPriority w:val="0"/>
    <w:pPr>
      <w:widowControl/>
      <w:adjustRightInd w:val="0"/>
      <w:snapToGrid w:val="0"/>
      <w:spacing w:before="60" w:after="60"/>
      <w:ind w:firstLine="0" w:firstLineChars="0"/>
      <w:jc w:val="center"/>
    </w:pPr>
    <w:rPr>
      <w:rFonts w:ascii="宋体" w:hAnsi="宋体" w:cs="宋体"/>
      <w:spacing w:val="6"/>
      <w:kern w:val="0"/>
      <w:szCs w:val="20"/>
    </w:rPr>
  </w:style>
  <w:style w:type="paragraph" w:customStyle="1" w:styleId="1663">
    <w:name w:val="gwp-1"/>
    <w:basedOn w:val="1"/>
    <w:autoRedefine/>
    <w:qFormat/>
    <w:uiPriority w:val="0"/>
    <w:pPr>
      <w:widowControl/>
      <w:autoSpaceDE w:val="0"/>
      <w:autoSpaceDN w:val="0"/>
      <w:adjustRightInd w:val="0"/>
      <w:snapToGrid w:val="0"/>
      <w:spacing w:beforeLines="60" w:line="312" w:lineRule="auto"/>
      <w:ind w:firstLine="567" w:firstLineChars="0"/>
      <w:jc w:val="left"/>
    </w:pPr>
    <w:rPr>
      <w:rFonts w:ascii="宋体" w:hAnsi="宋体" w:cs="宋体"/>
      <w:spacing w:val="-4"/>
      <w:kern w:val="0"/>
      <w:sz w:val="28"/>
      <w:szCs w:val="28"/>
    </w:rPr>
  </w:style>
  <w:style w:type="paragraph" w:customStyle="1" w:styleId="1664">
    <w:name w:val="表头2"/>
    <w:basedOn w:val="1"/>
    <w:autoRedefine/>
    <w:qFormat/>
    <w:uiPriority w:val="0"/>
    <w:pPr>
      <w:widowControl/>
      <w:adjustRightInd w:val="0"/>
      <w:snapToGrid w:val="0"/>
      <w:spacing w:before="240" w:line="312" w:lineRule="auto"/>
      <w:ind w:firstLine="0" w:firstLineChars="0"/>
      <w:jc w:val="center"/>
    </w:pPr>
    <w:rPr>
      <w:rFonts w:ascii="黑体" w:hAnsi="宋体" w:eastAsia="黑体" w:cs="宋体"/>
      <w:b/>
      <w:bCs/>
      <w:spacing w:val="6"/>
      <w:kern w:val="0"/>
      <w:sz w:val="32"/>
    </w:rPr>
  </w:style>
  <w:style w:type="paragraph" w:customStyle="1" w:styleId="1665">
    <w:name w:val="表2"/>
    <w:basedOn w:val="1"/>
    <w:autoRedefine/>
    <w:qFormat/>
    <w:uiPriority w:val="0"/>
    <w:pPr>
      <w:widowControl/>
      <w:adjustRightInd w:val="0"/>
      <w:snapToGrid w:val="0"/>
      <w:spacing w:before="60" w:after="60"/>
      <w:ind w:firstLine="0" w:firstLineChars="0"/>
      <w:jc w:val="center"/>
    </w:pPr>
    <w:rPr>
      <w:rFonts w:ascii="宋体" w:hAnsi="宋体" w:cs="宋体"/>
      <w:spacing w:val="-4"/>
      <w:kern w:val="0"/>
      <w:szCs w:val="21"/>
    </w:rPr>
  </w:style>
  <w:style w:type="paragraph" w:customStyle="1" w:styleId="1666">
    <w:name w:val="样式节1"/>
    <w:basedOn w:val="1"/>
    <w:autoRedefine/>
    <w:qFormat/>
    <w:uiPriority w:val="0"/>
    <w:pPr>
      <w:widowControl/>
      <w:adjustRightInd w:val="0"/>
      <w:snapToGrid w:val="0"/>
      <w:spacing w:before="120" w:after="120" w:line="312" w:lineRule="auto"/>
      <w:ind w:firstLine="567" w:firstLineChars="0"/>
      <w:jc w:val="left"/>
    </w:pPr>
    <w:rPr>
      <w:rFonts w:ascii="宋体" w:hAnsi="宋体" w:cs="宋体"/>
      <w:b/>
      <w:bCs/>
      <w:spacing w:val="6"/>
      <w:kern w:val="0"/>
      <w:sz w:val="32"/>
      <w:szCs w:val="20"/>
    </w:rPr>
  </w:style>
  <w:style w:type="paragraph" w:customStyle="1" w:styleId="1667">
    <w:name w:val="新表"/>
    <w:basedOn w:val="1"/>
    <w:autoRedefine/>
    <w:qFormat/>
    <w:uiPriority w:val="0"/>
    <w:pPr>
      <w:widowControl/>
      <w:adjustRightInd w:val="0"/>
      <w:snapToGrid w:val="0"/>
      <w:spacing w:before="60" w:after="60"/>
      <w:ind w:firstLine="0" w:firstLineChars="0"/>
      <w:jc w:val="center"/>
    </w:pPr>
    <w:rPr>
      <w:rFonts w:ascii="宋体" w:hAnsi="宋体" w:cs="宋体"/>
      <w:spacing w:val="6"/>
      <w:kern w:val="0"/>
    </w:rPr>
  </w:style>
  <w:style w:type="character" w:customStyle="1" w:styleId="1668">
    <w:name w:val="样式 标题 2 + (西文) 宋体 13 磅 非加粗 黑色 Char"/>
    <w:link w:val="1669"/>
    <w:autoRedefine/>
    <w:qFormat/>
    <w:locked/>
    <w:uiPriority w:val="0"/>
    <w:rPr>
      <w:rFonts w:ascii="宋体" w:hAnsi="宋体" w:eastAsia="黑体"/>
      <w:b/>
      <w:bCs/>
      <w:color w:val="000000"/>
      <w:sz w:val="32"/>
      <w:szCs w:val="24"/>
      <w:lang w:val="zh-CN"/>
    </w:rPr>
  </w:style>
  <w:style w:type="paragraph" w:customStyle="1" w:styleId="1669">
    <w:name w:val="样式 标题 2 + (西文) 宋体 13 磅 非加粗 黑色"/>
    <w:basedOn w:val="4"/>
    <w:link w:val="1668"/>
    <w:autoRedefine/>
    <w:qFormat/>
    <w:uiPriority w:val="0"/>
    <w:pPr>
      <w:keepNext w:val="0"/>
      <w:keepLines w:val="0"/>
      <w:widowControl/>
      <w:numPr>
        <w:ilvl w:val="0"/>
        <w:numId w:val="0"/>
      </w:numPr>
      <w:tabs>
        <w:tab w:val="left" w:pos="425"/>
      </w:tabs>
      <w:snapToGrid w:val="0"/>
      <w:spacing w:before="260" w:after="260" w:line="415" w:lineRule="auto"/>
    </w:pPr>
    <w:rPr>
      <w:rFonts w:ascii="宋体" w:hAnsi="宋体"/>
      <w:color w:val="000000"/>
      <w:kern w:val="0"/>
      <w:szCs w:val="24"/>
      <w:lang w:val="zh-CN"/>
    </w:rPr>
  </w:style>
  <w:style w:type="paragraph" w:customStyle="1" w:styleId="1670">
    <w:name w:val="样式 标题 2 + (符号) 宋体 13 磅 黑色"/>
    <w:basedOn w:val="4"/>
    <w:autoRedefine/>
    <w:qFormat/>
    <w:uiPriority w:val="0"/>
    <w:pPr>
      <w:keepNext w:val="0"/>
      <w:keepLines w:val="0"/>
      <w:widowControl/>
      <w:numPr>
        <w:ilvl w:val="0"/>
        <w:numId w:val="0"/>
      </w:numPr>
      <w:tabs>
        <w:tab w:val="left" w:pos="425"/>
      </w:tabs>
      <w:snapToGrid w:val="0"/>
      <w:spacing w:before="120" w:after="120" w:line="412" w:lineRule="auto"/>
    </w:pPr>
    <w:rPr>
      <w:b w:val="0"/>
      <w:bCs w:val="0"/>
      <w:color w:val="000000"/>
      <w:kern w:val="0"/>
      <w:sz w:val="26"/>
      <w:szCs w:val="24"/>
    </w:rPr>
  </w:style>
  <w:style w:type="paragraph" w:customStyle="1" w:styleId="1671">
    <w:name w:val="章1"/>
    <w:basedOn w:val="1"/>
    <w:autoRedefine/>
    <w:qFormat/>
    <w:uiPriority w:val="0"/>
    <w:pPr>
      <w:widowControl/>
      <w:adjustRightInd w:val="0"/>
      <w:snapToGrid w:val="0"/>
      <w:spacing w:line="312" w:lineRule="auto"/>
      <w:ind w:firstLine="0" w:firstLineChars="0"/>
      <w:jc w:val="center"/>
    </w:pPr>
    <w:rPr>
      <w:rFonts w:ascii="黑体" w:hAnsi="宋体" w:eastAsia="黑体" w:cs="宋体"/>
      <w:b/>
      <w:bCs/>
      <w:spacing w:val="6"/>
      <w:kern w:val="0"/>
      <w:sz w:val="36"/>
      <w:szCs w:val="20"/>
      <w:lang w:val="fr-FR"/>
    </w:rPr>
  </w:style>
  <w:style w:type="paragraph" w:customStyle="1" w:styleId="1672">
    <w:name w:val="xl120"/>
    <w:basedOn w:val="1"/>
    <w:autoRedefine/>
    <w:qFormat/>
    <w:uiPriority w:val="0"/>
    <w:pPr>
      <w:widowControl/>
      <w:pBdr>
        <w:top w:val="single" w:color="auto" w:sz="4" w:space="0"/>
        <w:left w:val="single" w:color="auto" w:sz="4" w:space="0"/>
        <w:bottom w:val="single" w:color="auto" w:sz="4" w:space="0"/>
        <w:right w:val="single" w:color="auto" w:sz="4" w:space="0"/>
      </w:pBdr>
      <w:snapToGrid w:val="0"/>
      <w:spacing w:before="100" w:beforeAutospacing="1" w:after="100" w:afterAutospacing="1"/>
      <w:ind w:firstLine="0" w:firstLineChars="0"/>
      <w:jc w:val="right"/>
    </w:pPr>
    <w:rPr>
      <w:rFonts w:ascii="宋体" w:hAnsi="宋体" w:cs="宋体"/>
      <w:kern w:val="0"/>
    </w:rPr>
  </w:style>
  <w:style w:type="paragraph" w:customStyle="1" w:styleId="1673">
    <w:name w:val="xl121"/>
    <w:basedOn w:val="1"/>
    <w:autoRedefine/>
    <w:qFormat/>
    <w:uiPriority w:val="0"/>
    <w:pPr>
      <w:widowControl/>
      <w:snapToGrid w:val="0"/>
      <w:spacing w:before="100" w:beforeAutospacing="1" w:after="100" w:afterAutospacing="1"/>
      <w:ind w:firstLine="0" w:firstLineChars="0"/>
      <w:jc w:val="left"/>
    </w:pPr>
    <w:rPr>
      <w:rFonts w:ascii="宋体" w:hAnsi="宋体" w:cs="宋体"/>
      <w:kern w:val="0"/>
      <w:sz w:val="20"/>
      <w:szCs w:val="20"/>
    </w:rPr>
  </w:style>
  <w:style w:type="paragraph" w:customStyle="1" w:styleId="1674">
    <w:name w:val="xl122"/>
    <w:basedOn w:val="1"/>
    <w:autoRedefine/>
    <w:qFormat/>
    <w:uiPriority w:val="0"/>
    <w:pPr>
      <w:widowControl/>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75">
    <w:name w:val="xl123"/>
    <w:basedOn w:val="1"/>
    <w:autoRedefine/>
    <w:qFormat/>
    <w:uiPriority w:val="0"/>
    <w:pPr>
      <w:widowControl/>
      <w:pBdr>
        <w:top w:val="single" w:color="auto" w:sz="4" w:space="0"/>
        <w:right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76">
    <w:name w:val="xl124"/>
    <w:basedOn w:val="1"/>
    <w:autoRedefine/>
    <w:qFormat/>
    <w:uiPriority w:val="0"/>
    <w:pPr>
      <w:widowControl/>
      <w:pBdr>
        <w:top w:val="single" w:color="auto" w:sz="4" w:space="0"/>
        <w:left w:val="single" w:color="auto" w:sz="4" w:space="0"/>
        <w:right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77">
    <w:name w:val="xl125"/>
    <w:basedOn w:val="1"/>
    <w:autoRedefine/>
    <w:qFormat/>
    <w:uiPriority w:val="0"/>
    <w:pPr>
      <w:widowControl/>
      <w:pBdr>
        <w:right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78">
    <w:name w:val="xl126"/>
    <w:basedOn w:val="1"/>
    <w:autoRedefine/>
    <w:qFormat/>
    <w:uiPriority w:val="0"/>
    <w:pPr>
      <w:widowControl/>
      <w:pBdr>
        <w:top w:val="single" w:color="auto" w:sz="4" w:space="0"/>
        <w:left w:val="single" w:color="auto" w:sz="4" w:space="0"/>
        <w:right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79">
    <w:name w:val="xl127"/>
    <w:basedOn w:val="1"/>
    <w:autoRedefine/>
    <w:qFormat/>
    <w:uiPriority w:val="0"/>
    <w:pPr>
      <w:widowControl/>
      <w:pBdr>
        <w:left w:val="single" w:color="auto" w:sz="4" w:space="0"/>
        <w:right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80">
    <w:name w:val="xl128"/>
    <w:basedOn w:val="1"/>
    <w:autoRedefine/>
    <w:qFormat/>
    <w:uiPriority w:val="0"/>
    <w:pPr>
      <w:widowControl/>
      <w:pBdr>
        <w:top w:val="single" w:color="auto" w:sz="4" w:space="0"/>
        <w:left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81">
    <w:name w:val="xl129"/>
    <w:basedOn w:val="1"/>
    <w:autoRedefine/>
    <w:qFormat/>
    <w:uiPriority w:val="0"/>
    <w:pPr>
      <w:widowControl/>
      <w:pBdr>
        <w:top w:val="single" w:color="auto" w:sz="4" w:space="0"/>
        <w:right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82">
    <w:name w:val="xl130"/>
    <w:basedOn w:val="1"/>
    <w:autoRedefine/>
    <w:qFormat/>
    <w:uiPriority w:val="0"/>
    <w:pPr>
      <w:widowControl/>
      <w:pBdr>
        <w:left w:val="single" w:color="auto" w:sz="4" w:space="0"/>
        <w:bottom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83">
    <w:name w:val="xl131"/>
    <w:basedOn w:val="1"/>
    <w:autoRedefine/>
    <w:qFormat/>
    <w:uiPriority w:val="0"/>
    <w:pPr>
      <w:widowControl/>
      <w:pBdr>
        <w:bottom w:val="single" w:color="auto" w:sz="4" w:space="0"/>
        <w:right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84">
    <w:name w:val="xl132"/>
    <w:basedOn w:val="1"/>
    <w:autoRedefine/>
    <w:qFormat/>
    <w:uiPriority w:val="0"/>
    <w:pPr>
      <w:widowControl/>
      <w:snapToGrid w:val="0"/>
      <w:spacing w:before="100" w:beforeAutospacing="1" w:after="100" w:afterAutospacing="1"/>
      <w:ind w:firstLine="0" w:firstLineChars="0"/>
      <w:jc w:val="center"/>
    </w:pPr>
    <w:rPr>
      <w:rFonts w:ascii="黑体" w:hAnsi="宋体" w:eastAsia="黑体" w:cs="宋体"/>
      <w:kern w:val="0"/>
      <w:sz w:val="32"/>
      <w:szCs w:val="32"/>
    </w:rPr>
  </w:style>
  <w:style w:type="paragraph" w:customStyle="1" w:styleId="1685">
    <w:name w:val="默认段落字体 Char Char Char"/>
    <w:basedOn w:val="1"/>
    <w:autoRedefine/>
    <w:qFormat/>
    <w:uiPriority w:val="0"/>
    <w:pPr>
      <w:widowControl/>
      <w:snapToGrid w:val="0"/>
      <w:ind w:firstLine="0" w:firstLineChars="0"/>
      <w:jc w:val="left"/>
    </w:pPr>
    <w:rPr>
      <w:rFonts w:ascii="宋体" w:hAnsi="宋体" w:cs="宋体"/>
      <w:kern w:val="0"/>
    </w:rPr>
  </w:style>
  <w:style w:type="paragraph" w:customStyle="1" w:styleId="1686">
    <w:name w:val="主标题"/>
    <w:basedOn w:val="1"/>
    <w:next w:val="1"/>
    <w:autoRedefine/>
    <w:qFormat/>
    <w:uiPriority w:val="0"/>
    <w:pPr>
      <w:widowControl/>
      <w:snapToGrid w:val="0"/>
      <w:spacing w:line="288" w:lineRule="auto"/>
      <w:ind w:firstLine="0" w:firstLineChars="0"/>
      <w:jc w:val="center"/>
    </w:pPr>
    <w:rPr>
      <w:rFonts w:ascii="Arial" w:hAnsi="Arial" w:eastAsia="黑体" w:cs="宋体"/>
      <w:kern w:val="0"/>
      <w:sz w:val="48"/>
      <w:szCs w:val="48"/>
    </w:rPr>
  </w:style>
  <w:style w:type="character" w:customStyle="1" w:styleId="1687">
    <w:name w:val="表格文字居中 Char"/>
    <w:link w:val="1688"/>
    <w:autoRedefine/>
    <w:qFormat/>
    <w:locked/>
    <w:uiPriority w:val="0"/>
    <w:rPr>
      <w:rFonts w:ascii="宋体" w:hAnsi="宋体"/>
      <w:bCs/>
      <w:color w:val="000000"/>
      <w:sz w:val="24"/>
      <w:szCs w:val="21"/>
      <w:lang w:val="zh-CN"/>
    </w:rPr>
  </w:style>
  <w:style w:type="paragraph" w:customStyle="1" w:styleId="1688">
    <w:name w:val="表格文字居中"/>
    <w:basedOn w:val="1"/>
    <w:next w:val="86"/>
    <w:link w:val="1687"/>
    <w:autoRedefine/>
    <w:qFormat/>
    <w:uiPriority w:val="0"/>
    <w:pPr>
      <w:keepNext/>
      <w:widowControl/>
      <w:tabs>
        <w:tab w:val="left" w:pos="628"/>
        <w:tab w:val="left" w:pos="1727"/>
        <w:tab w:val="left" w:pos="1884"/>
      </w:tabs>
      <w:adjustRightInd w:val="0"/>
      <w:snapToGrid w:val="0"/>
      <w:ind w:firstLine="0" w:firstLineChars="0"/>
      <w:jc w:val="center"/>
    </w:pPr>
    <w:rPr>
      <w:rFonts w:ascii="宋体" w:hAnsi="宋体"/>
      <w:bCs/>
      <w:color w:val="000000"/>
      <w:kern w:val="0"/>
      <w:szCs w:val="21"/>
      <w:lang w:val="zh-CN"/>
    </w:rPr>
  </w:style>
  <w:style w:type="character" w:customStyle="1" w:styleId="1689">
    <w:name w:val="标题 3 + 右侧:  2 字符 + 右侧:  2... Char Char"/>
    <w:link w:val="1690"/>
    <w:autoRedefine/>
    <w:qFormat/>
    <w:locked/>
    <w:uiPriority w:val="0"/>
    <w:rPr>
      <w:sz w:val="24"/>
      <w:lang w:val="zh-CN"/>
    </w:rPr>
  </w:style>
  <w:style w:type="paragraph" w:customStyle="1" w:styleId="1690">
    <w:name w:val="标题 3 + 右侧:  2 字符 + 右侧:  2..."/>
    <w:basedOn w:val="1"/>
    <w:next w:val="35"/>
    <w:link w:val="1689"/>
    <w:autoRedefine/>
    <w:qFormat/>
    <w:uiPriority w:val="0"/>
    <w:pPr>
      <w:keepNext/>
      <w:keepLines/>
      <w:widowControl/>
      <w:numPr>
        <w:ilvl w:val="2"/>
        <w:numId w:val="23"/>
      </w:numPr>
      <w:snapToGrid w:val="0"/>
      <w:spacing w:before="240" w:after="240" w:line="288" w:lineRule="auto"/>
      <w:ind w:right="25" w:rightChars="12" w:firstLine="0" w:firstLineChars="0"/>
      <w:jc w:val="left"/>
      <w:outlineLvl w:val="2"/>
    </w:pPr>
    <w:rPr>
      <w:kern w:val="0"/>
      <w:szCs w:val="20"/>
      <w:lang w:val="zh-CN"/>
    </w:rPr>
  </w:style>
  <w:style w:type="character" w:customStyle="1" w:styleId="1691">
    <w:name w:val="3-1）左缩进3.5字符，悬挂缩进1.5字符 Char"/>
    <w:link w:val="1692"/>
    <w:autoRedefine/>
    <w:qFormat/>
    <w:locked/>
    <w:uiPriority w:val="0"/>
    <w:rPr>
      <w:rFonts w:ascii="Arial" w:hAnsi="Arial" w:cs="Arial"/>
      <w:bCs/>
      <w:color w:val="000000"/>
      <w:sz w:val="24"/>
      <w:szCs w:val="21"/>
      <w:lang w:val="zh-CN"/>
    </w:rPr>
  </w:style>
  <w:style w:type="paragraph" w:customStyle="1" w:styleId="1692">
    <w:name w:val="3-1）左缩进3.5字符，悬挂缩进1.5字符"/>
    <w:basedOn w:val="1"/>
    <w:next w:val="1"/>
    <w:link w:val="1691"/>
    <w:autoRedefine/>
    <w:qFormat/>
    <w:uiPriority w:val="0"/>
    <w:pPr>
      <w:widowControl/>
      <w:adjustRightInd w:val="0"/>
      <w:snapToGrid w:val="0"/>
      <w:ind w:left="1155" w:leftChars="350" w:hanging="315" w:hangingChars="150"/>
      <w:jc w:val="left"/>
    </w:pPr>
    <w:rPr>
      <w:rFonts w:ascii="Arial" w:hAnsi="Arial" w:cs="Arial"/>
      <w:bCs/>
      <w:color w:val="000000"/>
      <w:kern w:val="0"/>
      <w:szCs w:val="21"/>
      <w:lang w:val="zh-CN"/>
    </w:rPr>
  </w:style>
  <w:style w:type="paragraph" w:customStyle="1" w:styleId="1693">
    <w:name w:val="样式章"/>
    <w:basedOn w:val="1"/>
    <w:autoRedefine/>
    <w:qFormat/>
    <w:uiPriority w:val="0"/>
    <w:pPr>
      <w:widowControl/>
      <w:autoSpaceDE w:val="0"/>
      <w:autoSpaceDN w:val="0"/>
      <w:adjustRightInd w:val="0"/>
      <w:snapToGrid w:val="0"/>
      <w:spacing w:line="312" w:lineRule="auto"/>
      <w:ind w:left="-2" w:firstLine="0" w:firstLineChars="0"/>
      <w:jc w:val="center"/>
    </w:pPr>
    <w:rPr>
      <w:rFonts w:ascii="黑体" w:hAnsi="宋体" w:eastAsia="黑体" w:cs="宋体"/>
      <w:b/>
      <w:spacing w:val="6"/>
      <w:kern w:val="0"/>
      <w:sz w:val="36"/>
      <w:szCs w:val="20"/>
    </w:rPr>
  </w:style>
  <w:style w:type="paragraph" w:customStyle="1" w:styleId="1694">
    <w:name w:val="王秀中"/>
    <w:basedOn w:val="1"/>
    <w:autoRedefine/>
    <w:qFormat/>
    <w:uiPriority w:val="0"/>
    <w:pPr>
      <w:widowControl/>
      <w:autoSpaceDE w:val="0"/>
      <w:autoSpaceDN w:val="0"/>
      <w:adjustRightInd w:val="0"/>
      <w:snapToGrid w:val="0"/>
      <w:spacing w:line="312" w:lineRule="auto"/>
      <w:ind w:firstLine="567" w:firstLineChars="0"/>
      <w:jc w:val="left"/>
    </w:pPr>
    <w:rPr>
      <w:rFonts w:ascii="宋体" w:hAnsi="宋体" w:cs="宋体"/>
      <w:kern w:val="0"/>
      <w:sz w:val="28"/>
    </w:rPr>
  </w:style>
  <w:style w:type="paragraph" w:customStyle="1" w:styleId="1695">
    <w:name w:val="6"/>
    <w:autoRedefine/>
    <w:qFormat/>
    <w:uiPriority w:val="0"/>
    <w:pPr>
      <w:widowControl w:val="0"/>
      <w:spacing w:after="200" w:line="252" w:lineRule="auto"/>
      <w:jc w:val="both"/>
    </w:pPr>
    <w:rPr>
      <w:rFonts w:ascii="Times New Roman" w:hAnsi="Times New Roman" w:eastAsia="宋体" w:cs="Times New Roman"/>
      <w:sz w:val="22"/>
      <w:lang w:val="en-US" w:eastAsia="zh-CN" w:bidi="ar-SA"/>
    </w:rPr>
  </w:style>
  <w:style w:type="paragraph" w:customStyle="1" w:styleId="1696">
    <w:name w:val="3级正文"/>
    <w:basedOn w:val="1"/>
    <w:autoRedefine/>
    <w:qFormat/>
    <w:uiPriority w:val="0"/>
    <w:pPr>
      <w:widowControl/>
      <w:adjustRightInd w:val="0"/>
      <w:snapToGrid w:val="0"/>
      <w:ind w:left="735" w:leftChars="350" w:firstLine="504"/>
      <w:jc w:val="left"/>
    </w:pPr>
    <w:rPr>
      <w:rFonts w:ascii="宋体" w:hAnsi="Arial" w:cs="宋体"/>
      <w:spacing w:val="6"/>
      <w:kern w:val="0"/>
    </w:rPr>
  </w:style>
  <w:style w:type="paragraph" w:customStyle="1" w:styleId="1697">
    <w:name w:val="fy-G报告1级"/>
    <w:next w:val="3"/>
    <w:autoRedefine/>
    <w:qFormat/>
    <w:uiPriority w:val="0"/>
    <w:pPr>
      <w:pageBreakBefore/>
      <w:adjustRightInd w:val="0"/>
      <w:spacing w:beforeLines="100" w:line="252" w:lineRule="auto"/>
      <w:ind w:left="420" w:right="100" w:rightChars="100" w:hanging="420"/>
      <w:jc w:val="center"/>
      <w:outlineLvl w:val="0"/>
    </w:pPr>
    <w:rPr>
      <w:rFonts w:ascii="华文中宋" w:hAnsi="华文中宋" w:eastAsia="华文中宋" w:cs="Times New Roman"/>
      <w:b/>
      <w:bCs/>
      <w:kern w:val="32"/>
      <w:sz w:val="30"/>
      <w:szCs w:val="30"/>
      <w:lang w:val="en-US" w:eastAsia="zh-CN" w:bidi="ar-SA"/>
    </w:rPr>
  </w:style>
  <w:style w:type="paragraph" w:customStyle="1" w:styleId="1698">
    <w:name w:val="fy-G报告2级"/>
    <w:autoRedefine/>
    <w:qFormat/>
    <w:uiPriority w:val="0"/>
    <w:pPr>
      <w:spacing w:beforeLines="100" w:line="360" w:lineRule="auto"/>
      <w:ind w:left="840" w:hanging="420"/>
      <w:jc w:val="center"/>
      <w:outlineLvl w:val="1"/>
    </w:pPr>
    <w:rPr>
      <w:rFonts w:ascii="华文中宋" w:hAnsi="华文中宋" w:eastAsia="宋体" w:cs="Times New Roman"/>
      <w:b/>
      <w:bCs/>
      <w:kern w:val="32"/>
      <w:sz w:val="28"/>
      <w:szCs w:val="24"/>
      <w:lang w:val="en-US" w:eastAsia="zh-CN" w:bidi="ar-SA"/>
    </w:rPr>
  </w:style>
  <w:style w:type="paragraph" w:customStyle="1" w:styleId="1699">
    <w:name w:val="fy-G报告3级"/>
    <w:autoRedefine/>
    <w:qFormat/>
    <w:uiPriority w:val="0"/>
    <w:pPr>
      <w:numPr>
        <w:ilvl w:val="2"/>
        <w:numId w:val="24"/>
      </w:numPr>
      <w:spacing w:beforeLines="100" w:line="360" w:lineRule="auto"/>
      <w:outlineLvl w:val="2"/>
    </w:pPr>
    <w:rPr>
      <w:rFonts w:ascii="Times New Roman" w:hAnsi="Times New Roman" w:eastAsia="宋体" w:cs="Times New Roman"/>
      <w:b/>
      <w:sz w:val="28"/>
      <w:lang w:val="en-US" w:eastAsia="zh-CN" w:bidi="ar-SA"/>
    </w:rPr>
  </w:style>
  <w:style w:type="paragraph" w:customStyle="1" w:styleId="1700">
    <w:name w:val="fy-G报告4级"/>
    <w:autoRedefine/>
    <w:qFormat/>
    <w:uiPriority w:val="0"/>
    <w:pPr>
      <w:numPr>
        <w:ilvl w:val="3"/>
        <w:numId w:val="24"/>
      </w:numPr>
      <w:spacing w:beforeLines="30" w:line="252" w:lineRule="auto"/>
      <w:outlineLvl w:val="3"/>
    </w:pPr>
    <w:rPr>
      <w:rFonts w:ascii="华文中宋" w:hAnsi="华文中宋" w:eastAsia="宋体" w:cs="Times New Roman"/>
      <w:b/>
      <w:sz w:val="28"/>
      <w:szCs w:val="28"/>
      <w:lang w:val="en-US" w:eastAsia="zh-CN" w:bidi="ar-SA"/>
    </w:rPr>
  </w:style>
  <w:style w:type="paragraph" w:customStyle="1" w:styleId="1701">
    <w:name w:val="fy-G表标题"/>
    <w:autoRedefine/>
    <w:qFormat/>
    <w:uiPriority w:val="0"/>
    <w:pPr>
      <w:numPr>
        <w:ilvl w:val="6"/>
        <w:numId w:val="24"/>
      </w:numPr>
      <w:adjustRightInd w:val="0"/>
      <w:snapToGrid w:val="0"/>
      <w:spacing w:beforeLines="30" w:line="360" w:lineRule="auto"/>
      <w:jc w:val="center"/>
    </w:pPr>
    <w:rPr>
      <w:rFonts w:ascii="宋体" w:hAnsi="宋体" w:eastAsia="宋体" w:cs="Times New Roman"/>
      <w:b/>
      <w:sz w:val="28"/>
      <w:szCs w:val="24"/>
      <w:lang w:val="en-US" w:eastAsia="zh-CN" w:bidi="ar-SA"/>
    </w:rPr>
  </w:style>
  <w:style w:type="paragraph" w:customStyle="1" w:styleId="1702">
    <w:name w:val="fy-G图标题"/>
    <w:basedOn w:val="1"/>
    <w:autoRedefine/>
    <w:qFormat/>
    <w:uiPriority w:val="0"/>
    <w:pPr>
      <w:widowControl/>
      <w:numPr>
        <w:ilvl w:val="7"/>
        <w:numId w:val="24"/>
      </w:numPr>
      <w:adjustRightInd w:val="0"/>
      <w:snapToGrid w:val="0"/>
      <w:spacing w:line="312" w:lineRule="auto"/>
      <w:ind w:firstLine="0" w:firstLineChars="0"/>
      <w:jc w:val="center"/>
    </w:pPr>
    <w:rPr>
      <w:rFonts w:ascii="宋体" w:hAnsi="宋体" w:cs="宋体"/>
      <w:b/>
      <w:kern w:val="0"/>
      <w:sz w:val="28"/>
      <w:szCs w:val="20"/>
    </w:rPr>
  </w:style>
  <w:style w:type="paragraph" w:customStyle="1" w:styleId="1703">
    <w:name w:val="wmf-正文"/>
    <w:basedOn w:val="1"/>
    <w:autoRedefine/>
    <w:qFormat/>
    <w:uiPriority w:val="0"/>
    <w:pPr>
      <w:widowControl/>
      <w:adjustRightInd w:val="0"/>
      <w:snapToGrid w:val="0"/>
      <w:ind w:left="350" w:leftChars="350"/>
      <w:jc w:val="left"/>
    </w:pPr>
    <w:rPr>
      <w:rFonts w:ascii="宋体" w:hAnsi="宋体" w:cs="宋体"/>
      <w:spacing w:val="6"/>
      <w:kern w:val="0"/>
      <w:szCs w:val="20"/>
    </w:rPr>
  </w:style>
  <w:style w:type="paragraph" w:customStyle="1" w:styleId="1704">
    <w:name w:val="正文[858D7CFB-ED40-4347-BF05-701D383B685F][858D7CFB-ED40-4347-BF05-701D383B685F]"/>
    <w:basedOn w:val="1"/>
    <w:autoRedefine/>
    <w:qFormat/>
    <w:uiPriority w:val="0"/>
    <w:pPr>
      <w:widowControl/>
      <w:snapToGrid w:val="0"/>
      <w:spacing w:line="480" w:lineRule="exact"/>
      <w:jc w:val="left"/>
    </w:pPr>
    <w:rPr>
      <w:rFonts w:ascii="Arial" w:hAnsi="Arial"/>
      <w:b/>
      <w:bCs/>
      <w:kern w:val="0"/>
    </w:rPr>
  </w:style>
  <w:style w:type="character" w:customStyle="1" w:styleId="1705">
    <w:name w:val="Default Char"/>
    <w:link w:val="179"/>
    <w:autoRedefine/>
    <w:qFormat/>
    <w:locked/>
    <w:uiPriority w:val="0"/>
    <w:rPr>
      <w:rFonts w:ascii="宋体" w:cs="宋体"/>
      <w:color w:val="000000"/>
      <w:sz w:val="24"/>
      <w:szCs w:val="24"/>
    </w:rPr>
  </w:style>
  <w:style w:type="paragraph" w:customStyle="1" w:styleId="1706">
    <w:name w:val="样式 zhang正文 + (中文) 宋体"/>
    <w:basedOn w:val="1"/>
    <w:autoRedefine/>
    <w:qFormat/>
    <w:uiPriority w:val="0"/>
    <w:pPr>
      <w:widowControl/>
      <w:autoSpaceDE w:val="0"/>
      <w:autoSpaceDN w:val="0"/>
      <w:adjustRightInd w:val="0"/>
      <w:snapToGrid w:val="0"/>
      <w:spacing w:line="480" w:lineRule="exact"/>
      <w:ind w:firstLine="482" w:firstLineChars="0"/>
      <w:jc w:val="left"/>
    </w:pPr>
    <w:rPr>
      <w:rFonts w:ascii="宋体" w:hAnsi="宋体" w:cs="宋体"/>
      <w:color w:val="000000"/>
      <w:kern w:val="0"/>
      <w:szCs w:val="20"/>
    </w:rPr>
  </w:style>
  <w:style w:type="paragraph" w:customStyle="1" w:styleId="1707">
    <w:name w:val="CM109"/>
    <w:basedOn w:val="1"/>
    <w:next w:val="1"/>
    <w:autoRedefine/>
    <w:qFormat/>
    <w:uiPriority w:val="0"/>
    <w:pPr>
      <w:widowControl/>
      <w:autoSpaceDE w:val="0"/>
      <w:autoSpaceDN w:val="0"/>
      <w:adjustRightInd w:val="0"/>
      <w:snapToGrid w:val="0"/>
      <w:spacing w:after="75"/>
      <w:ind w:firstLine="0" w:firstLineChars="0"/>
      <w:jc w:val="left"/>
    </w:pPr>
    <w:rPr>
      <w:rFonts w:ascii="宋体" w:hAnsi="宋体" w:cs="宋体"/>
      <w:kern w:val="0"/>
    </w:rPr>
  </w:style>
  <w:style w:type="character" w:customStyle="1" w:styleId="1708">
    <w:name w:val="引用 字符1"/>
    <w:basedOn w:val="133"/>
    <w:autoRedefine/>
    <w:qFormat/>
    <w:uiPriority w:val="29"/>
    <w:rPr>
      <w:i/>
      <w:iCs/>
      <w:color w:val="404040"/>
      <w:kern w:val="2"/>
      <w:sz w:val="24"/>
      <w:szCs w:val="24"/>
    </w:rPr>
  </w:style>
  <w:style w:type="character" w:customStyle="1" w:styleId="1709">
    <w:name w:val="引用 Char1"/>
    <w:autoRedefine/>
    <w:qFormat/>
    <w:uiPriority w:val="0"/>
    <w:rPr>
      <w:rFonts w:eastAsia="黑体" w:cs="宋体"/>
      <w:i/>
      <w:iCs/>
      <w:color w:val="000000"/>
      <w:kern w:val="2"/>
      <w:sz w:val="24"/>
      <w:szCs w:val="24"/>
      <w:lang w:val="en-US" w:eastAsia="zh-CN" w:bidi="ar-SA"/>
    </w:rPr>
  </w:style>
  <w:style w:type="paragraph" w:customStyle="1" w:styleId="1710">
    <w:name w:val="表格文字两端对齐"/>
    <w:basedOn w:val="1"/>
    <w:autoRedefine/>
    <w:qFormat/>
    <w:uiPriority w:val="0"/>
    <w:pPr>
      <w:widowControl/>
      <w:spacing w:line="300" w:lineRule="auto"/>
      <w:ind w:firstLine="0" w:firstLineChars="0"/>
    </w:pPr>
    <w:rPr>
      <w:rFonts w:ascii="Times (PCL6)" w:hAnsi="Times (PCL6)" w:eastAsia="仿宋_GB2312" w:cs="宋体"/>
      <w:kern w:val="0"/>
      <w:sz w:val="21"/>
    </w:rPr>
  </w:style>
  <w:style w:type="paragraph" w:customStyle="1" w:styleId="1711">
    <w:name w:val="smj Char"/>
    <w:basedOn w:val="1"/>
    <w:autoRedefine/>
    <w:qFormat/>
    <w:uiPriority w:val="0"/>
    <w:pPr>
      <w:widowControl/>
      <w:ind w:firstLine="0" w:firstLineChars="0"/>
    </w:pPr>
    <w:rPr>
      <w:rFonts w:ascii="宋体" w:hAnsi="宋体" w:eastAsia="黑体" w:cs="宋体"/>
      <w:kern w:val="0"/>
      <w:sz w:val="21"/>
    </w:rPr>
  </w:style>
  <w:style w:type="character" w:customStyle="1" w:styleId="1712">
    <w:name w:val="正文13号字体24磅 Char"/>
    <w:link w:val="1713"/>
    <w:autoRedefine/>
    <w:qFormat/>
    <w:locked/>
    <w:uiPriority w:val="0"/>
    <w:rPr>
      <w:sz w:val="26"/>
      <w:szCs w:val="26"/>
    </w:rPr>
  </w:style>
  <w:style w:type="paragraph" w:customStyle="1" w:styleId="1713">
    <w:name w:val="正文13号字体24磅"/>
    <w:basedOn w:val="1"/>
    <w:link w:val="1712"/>
    <w:autoRedefine/>
    <w:qFormat/>
    <w:uiPriority w:val="0"/>
    <w:pPr>
      <w:widowControl/>
      <w:spacing w:line="480" w:lineRule="exact"/>
      <w:ind w:firstLine="520"/>
    </w:pPr>
    <w:rPr>
      <w:kern w:val="0"/>
      <w:sz w:val="26"/>
      <w:szCs w:val="26"/>
    </w:rPr>
  </w:style>
  <w:style w:type="character" w:customStyle="1" w:styleId="1714">
    <w:name w:val="表文字 Char"/>
    <w:link w:val="1715"/>
    <w:autoRedefine/>
    <w:qFormat/>
    <w:locked/>
    <w:uiPriority w:val="0"/>
    <w:rPr>
      <w:color w:val="000000"/>
      <w:spacing w:val="4"/>
      <w:kern w:val="2"/>
      <w:sz w:val="18"/>
      <w:szCs w:val="18"/>
    </w:rPr>
  </w:style>
  <w:style w:type="paragraph" w:customStyle="1" w:styleId="1715">
    <w:name w:val="表文字"/>
    <w:basedOn w:val="1"/>
    <w:link w:val="1714"/>
    <w:autoRedefine/>
    <w:qFormat/>
    <w:uiPriority w:val="0"/>
    <w:pPr>
      <w:widowControl/>
      <w:snapToGrid w:val="0"/>
      <w:spacing w:line="320" w:lineRule="exact"/>
      <w:ind w:firstLine="0" w:firstLineChars="0"/>
      <w:jc w:val="center"/>
    </w:pPr>
    <w:rPr>
      <w:color w:val="000000"/>
      <w:spacing w:val="4"/>
      <w:sz w:val="18"/>
      <w:szCs w:val="18"/>
    </w:rPr>
  </w:style>
  <w:style w:type="character" w:customStyle="1" w:styleId="1716">
    <w:name w:val="表头1-1 字符"/>
    <w:link w:val="1717"/>
    <w:autoRedefine/>
    <w:qFormat/>
    <w:locked/>
    <w:uiPriority w:val="0"/>
    <w:rPr>
      <w:b/>
      <w:kern w:val="2"/>
      <w:sz w:val="21"/>
      <w:szCs w:val="24"/>
      <w:lang w:val="zh-CN"/>
    </w:rPr>
  </w:style>
  <w:style w:type="paragraph" w:customStyle="1" w:styleId="1717">
    <w:name w:val="表头1-1"/>
    <w:basedOn w:val="1"/>
    <w:link w:val="1716"/>
    <w:autoRedefine/>
    <w:qFormat/>
    <w:uiPriority w:val="0"/>
    <w:pPr>
      <w:widowControl/>
      <w:ind w:firstLine="0" w:firstLineChars="0"/>
      <w:jc w:val="center"/>
    </w:pPr>
    <w:rPr>
      <w:b/>
      <w:sz w:val="21"/>
      <w:lang w:val="zh-CN"/>
    </w:rPr>
  </w:style>
  <w:style w:type="paragraph" w:customStyle="1" w:styleId="1718">
    <w:name w:val="样式 样式 样式 小4居中 + + 段前: 0.15 行 段后: 0.15 行1 + 段前: 0.1 行 段后: 0.1 行"/>
    <w:basedOn w:val="1"/>
    <w:autoRedefine/>
    <w:qFormat/>
    <w:uiPriority w:val="0"/>
    <w:pPr>
      <w:widowControl/>
      <w:snapToGrid w:val="0"/>
      <w:spacing w:beforeLines="10" w:line="240" w:lineRule="atLeast"/>
      <w:ind w:firstLine="0" w:firstLineChars="0"/>
      <w:jc w:val="center"/>
    </w:pPr>
    <w:rPr>
      <w:rFonts w:ascii="宋体" w:hAnsi="宋体" w:cs="宋体"/>
      <w:kern w:val="0"/>
      <w:szCs w:val="20"/>
    </w:rPr>
  </w:style>
  <w:style w:type="paragraph" w:customStyle="1" w:styleId="1719">
    <w:name w:val="样式 样式 正文缩进 + 首行缩进:  2 字符 + 首行缩进:  2 字符3"/>
    <w:basedOn w:val="1"/>
    <w:autoRedefine/>
    <w:qFormat/>
    <w:uiPriority w:val="0"/>
    <w:pPr>
      <w:widowControl/>
      <w:snapToGrid w:val="0"/>
      <w:spacing w:line="480" w:lineRule="atLeast"/>
    </w:pPr>
    <w:rPr>
      <w:rFonts w:ascii="宋体" w:hAnsi="宋体" w:cs="宋体"/>
      <w:kern w:val="0"/>
      <w:sz w:val="28"/>
      <w:szCs w:val="20"/>
    </w:rPr>
  </w:style>
  <w:style w:type="character" w:customStyle="1" w:styleId="1720">
    <w:name w:val="样式 表头1 + 段前: 0.35 行 Char"/>
    <w:link w:val="1721"/>
    <w:autoRedefine/>
    <w:qFormat/>
    <w:locked/>
    <w:uiPriority w:val="0"/>
    <w:rPr>
      <w:rFonts w:ascii="宋体" w:hAnsi="宋体" w:cs="宋体"/>
      <w:b/>
      <w:bCs/>
      <w:kern w:val="2"/>
      <w:sz w:val="28"/>
      <w:szCs w:val="24"/>
    </w:rPr>
  </w:style>
  <w:style w:type="paragraph" w:customStyle="1" w:styleId="1721">
    <w:name w:val="样式 表头1 + 段前: 0.35 行"/>
    <w:basedOn w:val="341"/>
    <w:link w:val="1720"/>
    <w:autoRedefine/>
    <w:qFormat/>
    <w:uiPriority w:val="0"/>
    <w:pPr>
      <w:keepNext w:val="0"/>
      <w:adjustRightInd/>
      <w:snapToGrid w:val="0"/>
      <w:spacing w:line="520" w:lineRule="atLeast"/>
      <w:jc w:val="both"/>
      <w:textAlignment w:val="auto"/>
    </w:pPr>
    <w:rPr>
      <w:rFonts w:ascii="宋体" w:hAnsi="宋体" w:cs="宋体"/>
      <w:bCs/>
      <w:kern w:val="2"/>
      <w:sz w:val="28"/>
    </w:rPr>
  </w:style>
  <w:style w:type="character" w:customStyle="1" w:styleId="1722">
    <w:name w:val="样式 表头4 + 段前: 0.5 行1 Char"/>
    <w:link w:val="1723"/>
    <w:autoRedefine/>
    <w:qFormat/>
    <w:locked/>
    <w:uiPriority w:val="0"/>
    <w:rPr>
      <w:b/>
      <w:bCs/>
      <w:kern w:val="2"/>
      <w:sz w:val="28"/>
      <w:lang w:val="zh-CN"/>
    </w:rPr>
  </w:style>
  <w:style w:type="paragraph" w:customStyle="1" w:styleId="1723">
    <w:name w:val="样式 表头4 + 段前: 0.5 行1"/>
    <w:basedOn w:val="1"/>
    <w:link w:val="1722"/>
    <w:autoRedefine/>
    <w:qFormat/>
    <w:uiPriority w:val="0"/>
    <w:pPr>
      <w:widowControl/>
      <w:snapToGrid w:val="0"/>
      <w:spacing w:beforeLines="25" w:line="520" w:lineRule="atLeast"/>
      <w:ind w:firstLine="0" w:firstLineChars="0"/>
      <w:jc w:val="left"/>
    </w:pPr>
    <w:rPr>
      <w:b/>
      <w:bCs/>
      <w:sz w:val="28"/>
      <w:szCs w:val="20"/>
      <w:lang w:val="zh-CN"/>
    </w:rPr>
  </w:style>
  <w:style w:type="paragraph" w:customStyle="1" w:styleId="1724">
    <w:name w:val="图表题"/>
    <w:basedOn w:val="513"/>
    <w:next w:val="513"/>
    <w:autoRedefine/>
    <w:qFormat/>
    <w:uiPriority w:val="0"/>
    <w:pPr>
      <w:widowControl/>
      <w:autoSpaceDE/>
      <w:autoSpaceDN/>
      <w:adjustRightInd/>
      <w:ind w:firstLine="0" w:firstLineChars="0"/>
      <w:jc w:val="center"/>
    </w:pPr>
    <w:rPr>
      <w:rFonts w:hint="eastAsia" w:ascii="黑体" w:hAnsi="宋体" w:eastAsia="黑体"/>
      <w:b/>
      <w:bCs/>
      <w:kern w:val="2"/>
      <w:lang w:val="zh-CN"/>
    </w:rPr>
  </w:style>
  <w:style w:type="paragraph" w:customStyle="1" w:styleId="1725">
    <w:name w:val="s_sn_46_rid_-"/>
    <w:basedOn w:val="1"/>
    <w:autoRedefine/>
    <w:qFormat/>
    <w:uiPriority w:val="0"/>
    <w:pPr>
      <w:widowControl/>
      <w:spacing w:before="100" w:beforeAutospacing="1" w:after="100" w:afterAutospacing="1"/>
      <w:ind w:firstLine="0" w:firstLineChars="0"/>
      <w:jc w:val="left"/>
    </w:pPr>
    <w:rPr>
      <w:rFonts w:ascii="宋体" w:hAnsi="宋体" w:cs="宋体"/>
      <w:kern w:val="0"/>
    </w:rPr>
  </w:style>
  <w:style w:type="paragraph" w:customStyle="1" w:styleId="1726">
    <w:name w:val="r_15"/>
    <w:basedOn w:val="1"/>
    <w:autoRedefine/>
    <w:qFormat/>
    <w:uiPriority w:val="0"/>
    <w:pPr>
      <w:widowControl/>
      <w:spacing w:before="100" w:beforeAutospacing="1" w:after="100" w:afterAutospacing="1"/>
      <w:ind w:firstLine="0" w:firstLineChars="0"/>
      <w:jc w:val="left"/>
    </w:pPr>
    <w:rPr>
      <w:rFonts w:ascii="宋体" w:hAnsi="宋体" w:cs="宋体"/>
      <w:kern w:val="0"/>
    </w:rPr>
  </w:style>
  <w:style w:type="paragraph" w:customStyle="1" w:styleId="1727">
    <w:name w:val="表格文字中对齐"/>
    <w:basedOn w:val="1"/>
    <w:autoRedefine/>
    <w:qFormat/>
    <w:uiPriority w:val="0"/>
    <w:pPr>
      <w:widowControl/>
      <w:spacing w:line="300" w:lineRule="auto"/>
      <w:ind w:firstLine="0" w:firstLineChars="0"/>
      <w:jc w:val="center"/>
    </w:pPr>
    <w:rPr>
      <w:rFonts w:ascii="Arial Narrow" w:hAnsi="Arial Narrow" w:cs="宋体"/>
      <w:bCs/>
      <w:kern w:val="0"/>
      <w:sz w:val="21"/>
      <w:szCs w:val="21"/>
    </w:rPr>
  </w:style>
  <w:style w:type="character" w:customStyle="1" w:styleId="1728">
    <w:name w:val="正文-2 Char Char"/>
    <w:link w:val="1729"/>
    <w:autoRedefine/>
    <w:qFormat/>
    <w:locked/>
    <w:uiPriority w:val="0"/>
    <w:rPr>
      <w:rFonts w:ascii="仿宋_GB2312" w:eastAsia="仿宋_GB2312" w:cs="Calibri"/>
      <w:sz w:val="28"/>
      <w:szCs w:val="28"/>
    </w:rPr>
  </w:style>
  <w:style w:type="paragraph" w:customStyle="1" w:styleId="1729">
    <w:name w:val="正文-2"/>
    <w:link w:val="1728"/>
    <w:autoRedefine/>
    <w:qFormat/>
    <w:uiPriority w:val="0"/>
    <w:pPr>
      <w:widowControl w:val="0"/>
      <w:spacing w:line="480" w:lineRule="exact"/>
      <w:ind w:firstLine="560" w:firstLineChars="200"/>
      <w:jc w:val="both"/>
    </w:pPr>
    <w:rPr>
      <w:rFonts w:ascii="仿宋_GB2312" w:hAnsi="Times New Roman" w:eastAsia="仿宋_GB2312" w:cs="Calibri"/>
      <w:sz w:val="28"/>
      <w:szCs w:val="28"/>
      <w:lang w:val="en-US" w:eastAsia="zh-CN" w:bidi="ar-SA"/>
    </w:rPr>
  </w:style>
  <w:style w:type="paragraph" w:customStyle="1" w:styleId="1730">
    <w:name w:val="表16.4-1"/>
    <w:basedOn w:val="1"/>
    <w:autoRedefine/>
    <w:qFormat/>
    <w:uiPriority w:val="0"/>
    <w:pPr>
      <w:widowControl/>
      <w:numPr>
        <w:ilvl w:val="0"/>
        <w:numId w:val="25"/>
      </w:numPr>
      <w:tabs>
        <w:tab w:val="center" w:pos="4060"/>
        <w:tab w:val="right" w:pos="8261"/>
      </w:tabs>
      <w:suppressAutoHyphens/>
      <w:adjustRightInd w:val="0"/>
      <w:spacing w:beforeLines="100" w:line="0" w:lineRule="atLeast"/>
      <w:ind w:firstLine="0" w:firstLineChars="0"/>
      <w:jc w:val="center"/>
    </w:pPr>
    <w:rPr>
      <w:rFonts w:ascii="黑体" w:hAnsi="宋体" w:eastAsia="黑体" w:cs="宋体"/>
      <w:b/>
      <w:bCs/>
      <w:spacing w:val="6"/>
      <w:kern w:val="0"/>
      <w:szCs w:val="20"/>
    </w:rPr>
  </w:style>
  <w:style w:type="character" w:customStyle="1" w:styleId="1731">
    <w:name w:val="正文文档 Char"/>
    <w:link w:val="1732"/>
    <w:autoRedefine/>
    <w:qFormat/>
    <w:locked/>
    <w:uiPriority w:val="0"/>
    <w:rPr>
      <w:kern w:val="2"/>
      <w:sz w:val="24"/>
      <w:szCs w:val="24"/>
      <w:lang w:val="zh-CN"/>
    </w:rPr>
  </w:style>
  <w:style w:type="paragraph" w:customStyle="1" w:styleId="1732">
    <w:name w:val="正文文档"/>
    <w:basedOn w:val="1"/>
    <w:link w:val="1731"/>
    <w:autoRedefine/>
    <w:qFormat/>
    <w:uiPriority w:val="0"/>
    <w:pPr>
      <w:widowControl/>
      <w:ind w:firstLine="480"/>
    </w:pPr>
    <w:rPr>
      <w:lang w:val="zh-CN"/>
    </w:rPr>
  </w:style>
  <w:style w:type="paragraph" w:customStyle="1" w:styleId="1733">
    <w:name w:val="CM86"/>
    <w:basedOn w:val="1"/>
    <w:next w:val="1"/>
    <w:autoRedefine/>
    <w:qFormat/>
    <w:uiPriority w:val="99"/>
    <w:pPr>
      <w:widowControl/>
      <w:autoSpaceDE w:val="0"/>
      <w:autoSpaceDN w:val="0"/>
      <w:adjustRightInd w:val="0"/>
      <w:spacing w:after="470"/>
      <w:ind w:firstLine="0" w:firstLineChars="0"/>
      <w:jc w:val="left"/>
    </w:pPr>
    <w:rPr>
      <w:rFonts w:ascii="宋体" w:hAnsi="宋体" w:cs="宋体"/>
      <w:kern w:val="0"/>
    </w:rPr>
  </w:style>
  <w:style w:type="paragraph" w:customStyle="1" w:styleId="1734">
    <w:name w:val="z-h21"/>
    <w:basedOn w:val="1"/>
    <w:autoRedefine/>
    <w:qFormat/>
    <w:uiPriority w:val="0"/>
    <w:pPr>
      <w:widowControl/>
      <w:spacing w:line="332" w:lineRule="atLeast"/>
      <w:ind w:firstLine="0" w:firstLineChars="0"/>
      <w:jc w:val="center"/>
    </w:pPr>
    <w:rPr>
      <w:rFonts w:ascii="宋体" w:hAnsi="宋体" w:cs="宋体"/>
      <w:b/>
      <w:bCs/>
      <w:kern w:val="0"/>
      <w:sz w:val="22"/>
    </w:rPr>
  </w:style>
  <w:style w:type="paragraph" w:customStyle="1" w:styleId="1735">
    <w:name w:val="mcwong"/>
    <w:basedOn w:val="1"/>
    <w:autoRedefine/>
    <w:qFormat/>
    <w:uiPriority w:val="0"/>
    <w:pPr>
      <w:widowControl/>
      <w:spacing w:before="100" w:beforeAutospacing="1" w:after="100" w:afterAutospacing="1"/>
      <w:ind w:firstLine="0" w:firstLineChars="0"/>
      <w:jc w:val="left"/>
    </w:pPr>
    <w:rPr>
      <w:rFonts w:ascii="宋体" w:hAnsi="宋体" w:cs="宋体"/>
      <w:kern w:val="0"/>
    </w:rPr>
  </w:style>
  <w:style w:type="paragraph" w:customStyle="1" w:styleId="1736">
    <w:name w:val="海域5号表内容"/>
    <w:basedOn w:val="1"/>
    <w:autoRedefine/>
    <w:qFormat/>
    <w:uiPriority w:val="0"/>
    <w:pPr>
      <w:widowControl/>
      <w:adjustRightInd w:val="0"/>
      <w:snapToGrid w:val="0"/>
      <w:ind w:firstLine="0" w:firstLineChars="0"/>
      <w:jc w:val="center"/>
    </w:pPr>
    <w:rPr>
      <w:rFonts w:ascii="Calibri" w:hAnsi="Calibri" w:cs="宋体"/>
      <w:bCs/>
      <w:color w:val="000000"/>
      <w:kern w:val="0"/>
      <w:sz w:val="21"/>
      <w:szCs w:val="21"/>
    </w:rPr>
  </w:style>
  <w:style w:type="paragraph" w:customStyle="1" w:styleId="1737">
    <w:name w:val="封里1"/>
    <w:basedOn w:val="1"/>
    <w:autoRedefine/>
    <w:qFormat/>
    <w:uiPriority w:val="0"/>
    <w:pPr>
      <w:widowControl/>
      <w:adjustRightInd w:val="0"/>
      <w:snapToGrid w:val="0"/>
    </w:pPr>
    <w:rPr>
      <w:rFonts w:ascii="宋体" w:hAnsi="宋体" w:cs="宋体"/>
      <w:kern w:val="0"/>
      <w:sz w:val="32"/>
      <w:szCs w:val="32"/>
    </w:rPr>
  </w:style>
  <w:style w:type="character" w:customStyle="1" w:styleId="1738">
    <w:name w:val="文本正文 Char"/>
    <w:link w:val="1739"/>
    <w:autoRedefine/>
    <w:qFormat/>
    <w:locked/>
    <w:uiPriority w:val="0"/>
    <w:rPr>
      <w:sz w:val="24"/>
      <w:szCs w:val="28"/>
      <w:lang w:val="zh-CN"/>
    </w:rPr>
  </w:style>
  <w:style w:type="paragraph" w:customStyle="1" w:styleId="1739">
    <w:name w:val="文本正文"/>
    <w:basedOn w:val="1"/>
    <w:link w:val="1738"/>
    <w:autoRedefine/>
    <w:qFormat/>
    <w:uiPriority w:val="0"/>
    <w:pPr>
      <w:widowControl/>
      <w:adjustRightInd w:val="0"/>
      <w:spacing w:line="480" w:lineRule="exact"/>
    </w:pPr>
    <w:rPr>
      <w:kern w:val="0"/>
      <w:szCs w:val="28"/>
      <w:lang w:val="zh-CN"/>
    </w:rPr>
  </w:style>
  <w:style w:type="paragraph" w:customStyle="1" w:styleId="1740">
    <w:name w:val="海表"/>
    <w:basedOn w:val="1"/>
    <w:autoRedefine/>
    <w:qFormat/>
    <w:uiPriority w:val="0"/>
    <w:pPr>
      <w:widowControl/>
      <w:pBdr>
        <w:top w:val="single" w:color="000000" w:sz="4" w:space="1"/>
        <w:bottom w:val="single" w:color="000000" w:sz="4" w:space="1"/>
      </w:pBdr>
      <w:autoSpaceDE w:val="0"/>
      <w:autoSpaceDN w:val="0"/>
      <w:adjustRightInd w:val="0"/>
      <w:snapToGrid w:val="0"/>
      <w:jc w:val="center"/>
    </w:pPr>
    <w:rPr>
      <w:rFonts w:ascii="Calibri" w:hAnsi="Calibri" w:cs="宋体"/>
      <w:color w:val="000000"/>
      <w:kern w:val="0"/>
      <w:sz w:val="22"/>
      <w:szCs w:val="20"/>
    </w:rPr>
  </w:style>
  <w:style w:type="paragraph" w:customStyle="1" w:styleId="1741">
    <w:name w:val="海域表头"/>
    <w:basedOn w:val="1"/>
    <w:autoRedefine/>
    <w:qFormat/>
    <w:uiPriority w:val="0"/>
    <w:pPr>
      <w:keepNext/>
      <w:widowControl/>
      <w:adjustRightInd w:val="0"/>
      <w:snapToGrid w:val="0"/>
      <w:spacing w:beforeLines="50" w:line="300" w:lineRule="auto"/>
      <w:ind w:firstLine="0" w:firstLineChars="0"/>
      <w:jc w:val="center"/>
    </w:pPr>
    <w:rPr>
      <w:rFonts w:ascii="宋体" w:hAnsi="宋体" w:cs="宋体"/>
      <w:bCs/>
      <w:color w:val="000000"/>
      <w:kern w:val="0"/>
      <w:sz w:val="22"/>
      <w:szCs w:val="28"/>
    </w:rPr>
  </w:style>
  <w:style w:type="paragraph" w:customStyle="1" w:styleId="1742">
    <w:name w:val="海域图标"/>
    <w:basedOn w:val="1"/>
    <w:autoRedefine/>
    <w:qFormat/>
    <w:uiPriority w:val="0"/>
    <w:pPr>
      <w:widowControl/>
      <w:adjustRightInd w:val="0"/>
      <w:snapToGrid w:val="0"/>
      <w:spacing w:line="240" w:lineRule="atLeast"/>
      <w:ind w:firstLine="0" w:firstLineChars="0"/>
      <w:jc w:val="center"/>
    </w:pPr>
    <w:rPr>
      <w:rFonts w:ascii="宋体" w:hAnsi="宋体" w:cs="宋体"/>
      <w:bCs/>
      <w:color w:val="000000"/>
      <w:kern w:val="0"/>
      <w:sz w:val="22"/>
    </w:rPr>
  </w:style>
  <w:style w:type="character" w:customStyle="1" w:styleId="1743">
    <w:name w:val="报告正文 Char Char"/>
    <w:autoRedefine/>
    <w:qFormat/>
    <w:locked/>
    <w:uiPriority w:val="0"/>
    <w:rPr>
      <w:rFonts w:ascii="宋体" w:hAnsi="宋体" w:cs="宋体"/>
      <w:sz w:val="24"/>
    </w:rPr>
  </w:style>
  <w:style w:type="character" w:customStyle="1" w:styleId="1744">
    <w:name w:val="正文样式 Char"/>
    <w:link w:val="1745"/>
    <w:autoRedefine/>
    <w:qFormat/>
    <w:locked/>
    <w:uiPriority w:val="0"/>
    <w:rPr>
      <w:sz w:val="24"/>
      <w:szCs w:val="24"/>
      <w:lang w:val="zh-CN"/>
    </w:rPr>
  </w:style>
  <w:style w:type="paragraph" w:customStyle="1" w:styleId="1745">
    <w:name w:val="正文样式"/>
    <w:basedOn w:val="1"/>
    <w:link w:val="1744"/>
    <w:uiPriority w:val="0"/>
    <w:pPr>
      <w:adjustRightInd w:val="0"/>
      <w:snapToGrid w:val="0"/>
      <w:spacing w:line="520" w:lineRule="exact"/>
      <w:ind w:firstLine="562" w:firstLineChars="0"/>
      <w:jc w:val="left"/>
    </w:pPr>
    <w:rPr>
      <w:kern w:val="0"/>
      <w:lang w:val="zh-CN"/>
    </w:rPr>
  </w:style>
  <w:style w:type="character" w:customStyle="1" w:styleId="1746">
    <w:name w:val="正文首缩 Char"/>
    <w:link w:val="1747"/>
    <w:autoRedefine/>
    <w:qFormat/>
    <w:locked/>
    <w:uiPriority w:val="0"/>
    <w:rPr>
      <w:sz w:val="24"/>
    </w:rPr>
  </w:style>
  <w:style w:type="paragraph" w:customStyle="1" w:styleId="1747">
    <w:name w:val="正文首缩"/>
    <w:basedOn w:val="34"/>
    <w:link w:val="1746"/>
    <w:autoRedefine/>
    <w:qFormat/>
    <w:uiPriority w:val="0"/>
    <w:pPr>
      <w:widowControl/>
      <w:snapToGrid w:val="0"/>
      <w:spacing w:after="80" w:line="360" w:lineRule="auto"/>
      <w:ind w:firstLine="454"/>
      <w:jc w:val="both"/>
    </w:pPr>
    <w:rPr>
      <w:kern w:val="0"/>
      <w:sz w:val="24"/>
      <w:szCs w:val="20"/>
    </w:rPr>
  </w:style>
  <w:style w:type="paragraph" w:customStyle="1" w:styleId="1748">
    <w:name w:val="CM4"/>
    <w:basedOn w:val="1"/>
    <w:next w:val="1"/>
    <w:autoRedefine/>
    <w:qFormat/>
    <w:uiPriority w:val="99"/>
    <w:pPr>
      <w:widowControl/>
      <w:autoSpaceDE w:val="0"/>
      <w:autoSpaceDN w:val="0"/>
      <w:adjustRightInd w:val="0"/>
      <w:spacing w:line="468" w:lineRule="atLeast"/>
      <w:ind w:firstLine="0" w:firstLineChars="0"/>
      <w:jc w:val="left"/>
    </w:pPr>
    <w:rPr>
      <w:rFonts w:ascii="宋体" w:hAnsi="Calibri" w:cs="宋体"/>
      <w:kern w:val="0"/>
    </w:rPr>
  </w:style>
  <w:style w:type="character" w:customStyle="1" w:styleId="1749">
    <w:name w:val="我的图文标题 Char Char"/>
    <w:link w:val="1750"/>
    <w:autoRedefine/>
    <w:qFormat/>
    <w:locked/>
    <w:uiPriority w:val="0"/>
    <w:rPr>
      <w:rFonts w:ascii="黑体" w:hAnsi="Calibri" w:eastAsia="黑体"/>
      <w:lang w:val="zh-CN"/>
    </w:rPr>
  </w:style>
  <w:style w:type="paragraph" w:customStyle="1" w:styleId="1750">
    <w:name w:val="我的图文标题"/>
    <w:basedOn w:val="1"/>
    <w:link w:val="1749"/>
    <w:autoRedefine/>
    <w:qFormat/>
    <w:uiPriority w:val="0"/>
    <w:pPr>
      <w:widowControl/>
      <w:ind w:firstLine="0" w:firstLineChars="0"/>
      <w:jc w:val="center"/>
    </w:pPr>
    <w:rPr>
      <w:rFonts w:ascii="黑体" w:hAnsi="Calibri" w:eastAsia="黑体"/>
      <w:kern w:val="0"/>
      <w:sz w:val="20"/>
      <w:szCs w:val="20"/>
      <w:lang w:val="zh-CN"/>
    </w:rPr>
  </w:style>
  <w:style w:type="character" w:customStyle="1" w:styleId="1751">
    <w:name w:val="00 正文 Char"/>
    <w:link w:val="1752"/>
    <w:autoRedefine/>
    <w:qFormat/>
    <w:locked/>
    <w:uiPriority w:val="0"/>
    <w:rPr>
      <w:rFonts w:eastAsia="Times New Roman"/>
      <w:color w:val="000000"/>
      <w:spacing w:val="-2"/>
      <w:sz w:val="24"/>
      <w:szCs w:val="24"/>
      <w:lang w:val="zh-CN"/>
    </w:rPr>
  </w:style>
  <w:style w:type="paragraph" w:customStyle="1" w:styleId="1752">
    <w:name w:val="00 正文"/>
    <w:link w:val="1751"/>
    <w:autoRedefine/>
    <w:qFormat/>
    <w:uiPriority w:val="0"/>
    <w:pPr>
      <w:tabs>
        <w:tab w:val="left" w:pos="540"/>
      </w:tabs>
      <w:spacing w:before="120" w:after="120" w:line="500" w:lineRule="exact"/>
      <w:jc w:val="both"/>
    </w:pPr>
    <w:rPr>
      <w:rFonts w:ascii="Times New Roman" w:hAnsi="Times New Roman" w:eastAsia="Times New Roman" w:cs="Times New Roman"/>
      <w:color w:val="000000"/>
      <w:spacing w:val="-2"/>
      <w:sz w:val="24"/>
      <w:szCs w:val="24"/>
      <w:lang w:val="zh-CN" w:eastAsia="zh-CN" w:bidi="ar-SA"/>
    </w:rPr>
  </w:style>
  <w:style w:type="character" w:customStyle="1" w:styleId="1753">
    <w:name w:val="表中内容 Char"/>
    <w:link w:val="1754"/>
    <w:autoRedefine/>
    <w:qFormat/>
    <w:locked/>
    <w:uiPriority w:val="0"/>
    <w:rPr>
      <w:rFonts w:ascii="宋体" w:hAnsi="宋体"/>
      <w:color w:val="000000"/>
      <w:szCs w:val="21"/>
    </w:rPr>
  </w:style>
  <w:style w:type="paragraph" w:customStyle="1" w:styleId="1754">
    <w:name w:val="表中内容"/>
    <w:basedOn w:val="1"/>
    <w:link w:val="1753"/>
    <w:autoRedefine/>
    <w:qFormat/>
    <w:uiPriority w:val="0"/>
    <w:pPr>
      <w:widowControl/>
      <w:adjustRightInd w:val="0"/>
      <w:snapToGrid w:val="0"/>
      <w:spacing w:line="240" w:lineRule="atLeast"/>
      <w:ind w:firstLine="0" w:firstLineChars="0"/>
      <w:jc w:val="center"/>
    </w:pPr>
    <w:rPr>
      <w:rFonts w:ascii="宋体" w:hAnsi="宋体"/>
      <w:color w:val="000000"/>
      <w:kern w:val="0"/>
      <w:sz w:val="20"/>
      <w:szCs w:val="21"/>
    </w:rPr>
  </w:style>
  <w:style w:type="paragraph" w:customStyle="1" w:styleId="1755">
    <w:name w:val="我的图表标题"/>
    <w:basedOn w:val="1"/>
    <w:autoRedefine/>
    <w:qFormat/>
    <w:uiPriority w:val="0"/>
    <w:pPr>
      <w:widowControl/>
      <w:ind w:firstLine="0" w:firstLineChars="0"/>
      <w:jc w:val="center"/>
    </w:pPr>
    <w:rPr>
      <w:rFonts w:ascii="黑体" w:hAnsi="宋体" w:eastAsia="黑体" w:cs="宋体"/>
      <w:bCs/>
      <w:color w:val="000000"/>
      <w:kern w:val="0"/>
      <w:sz w:val="21"/>
      <w:szCs w:val="21"/>
    </w:rPr>
  </w:style>
  <w:style w:type="paragraph" w:customStyle="1" w:styleId="1756">
    <w:name w:val="目次、标准名称标题"/>
    <w:basedOn w:val="1"/>
    <w:next w:val="4"/>
    <w:autoRedefine/>
    <w:qFormat/>
    <w:uiPriority w:val="0"/>
    <w:pPr>
      <w:widowControl/>
      <w:shd w:val="clear" w:color="auto" w:fill="FFFFFF"/>
      <w:spacing w:before="640" w:after="560" w:line="460" w:lineRule="exact"/>
      <w:ind w:firstLine="0" w:firstLineChars="0"/>
      <w:jc w:val="center"/>
      <w:outlineLvl w:val="0"/>
    </w:pPr>
    <w:rPr>
      <w:rFonts w:ascii="黑体" w:hAnsi="宋体" w:eastAsia="黑体" w:cs="宋体"/>
      <w:kern w:val="0"/>
      <w:sz w:val="32"/>
      <w:szCs w:val="20"/>
    </w:rPr>
  </w:style>
  <w:style w:type="paragraph" w:customStyle="1" w:styleId="1757">
    <w:name w:val="样式 生物附录 + 小四 段前: 6 磅 段后: 6 磅 非加宽量 / 紧缩量  行距: 1.5 倍行距"/>
    <w:basedOn w:val="1"/>
    <w:autoRedefine/>
    <w:qFormat/>
    <w:uiPriority w:val="0"/>
    <w:pPr>
      <w:widowControl/>
      <w:spacing w:before="100" w:beforeAutospacing="1" w:after="100" w:afterAutospacing="1"/>
      <w:ind w:firstLine="0" w:firstLineChars="0"/>
    </w:pPr>
    <w:rPr>
      <w:rFonts w:ascii="宋体" w:hAnsi="宋体" w:cs="宋体"/>
      <w:b/>
      <w:bCs/>
      <w:kern w:val="0"/>
      <w:szCs w:val="20"/>
    </w:rPr>
  </w:style>
  <w:style w:type="paragraph" w:customStyle="1" w:styleId="1758">
    <w:name w:val="列项——"/>
    <w:autoRedefine/>
    <w:qFormat/>
    <w:uiPriority w:val="0"/>
    <w:pPr>
      <w:widowControl w:val="0"/>
      <w:tabs>
        <w:tab w:val="left" w:pos="854"/>
        <w:tab w:val="left" w:pos="900"/>
      </w:tabs>
      <w:ind w:left="200" w:leftChars="200" w:hanging="200" w:hangingChars="200"/>
      <w:jc w:val="both"/>
    </w:pPr>
    <w:rPr>
      <w:rFonts w:ascii="宋体" w:hAnsi="Times New Roman" w:eastAsia="宋体" w:cs="Times New Roman"/>
      <w:sz w:val="21"/>
      <w:lang w:val="en-US" w:eastAsia="zh-CN" w:bidi="ar-SA"/>
    </w:rPr>
  </w:style>
  <w:style w:type="paragraph" w:customStyle="1" w:styleId="1759">
    <w:name w:val="表格居中"/>
    <w:basedOn w:val="1"/>
    <w:autoRedefine/>
    <w:qFormat/>
    <w:uiPriority w:val="0"/>
    <w:pPr>
      <w:widowControl/>
      <w:tabs>
        <w:tab w:val="left" w:pos="-1680"/>
      </w:tabs>
      <w:adjustRightInd w:val="0"/>
      <w:spacing w:before="60" w:after="60"/>
      <w:ind w:firstLine="0" w:firstLineChars="0"/>
      <w:jc w:val="center"/>
    </w:pPr>
    <w:rPr>
      <w:rFonts w:ascii="Calibri" w:hAnsi="Calibri" w:cs="宋体"/>
      <w:bCs/>
      <w:spacing w:val="6"/>
      <w:kern w:val="0"/>
      <w:szCs w:val="20"/>
      <w:lang w:eastAsia="en-US" w:bidi="en-US"/>
    </w:rPr>
  </w:style>
  <w:style w:type="paragraph" w:customStyle="1" w:styleId="1760">
    <w:name w:val="码头表"/>
    <w:basedOn w:val="1"/>
    <w:autoRedefine/>
    <w:qFormat/>
    <w:uiPriority w:val="0"/>
    <w:pPr>
      <w:widowControl/>
      <w:adjustRightInd w:val="0"/>
      <w:snapToGrid w:val="0"/>
      <w:spacing w:before="40" w:line="360" w:lineRule="atLeast"/>
      <w:ind w:firstLine="0" w:firstLineChars="0"/>
      <w:jc w:val="center"/>
    </w:pPr>
    <w:rPr>
      <w:rFonts w:ascii="华文楷体" w:hAnsi="华文楷体" w:eastAsia="华文楷体" w:cs="宋体"/>
      <w:kern w:val="0"/>
    </w:rPr>
  </w:style>
  <w:style w:type="paragraph" w:customStyle="1" w:styleId="1761">
    <w:name w:val="A标题"/>
    <w:basedOn w:val="6"/>
    <w:autoRedefine/>
    <w:qFormat/>
    <w:uiPriority w:val="0"/>
    <w:pPr>
      <w:widowControl/>
      <w:numPr>
        <w:ilvl w:val="0"/>
        <w:numId w:val="0"/>
      </w:numPr>
      <w:tabs>
        <w:tab w:val="left" w:pos="-120"/>
        <w:tab w:val="left" w:pos="0"/>
        <w:tab w:val="left" w:pos="625"/>
        <w:tab w:val="left" w:pos="709"/>
      </w:tabs>
      <w:spacing w:line="264" w:lineRule="auto"/>
      <w:ind w:left="625" w:hanging="425"/>
      <w:jc w:val="left"/>
    </w:pPr>
    <w:rPr>
      <w:rFonts w:eastAsia="黑体"/>
      <w:b w:val="0"/>
      <w:spacing w:val="20"/>
      <w:sz w:val="24"/>
      <w:szCs w:val="20"/>
    </w:rPr>
  </w:style>
  <w:style w:type="paragraph" w:customStyle="1" w:styleId="1762">
    <w:name w:val="列项·"/>
    <w:autoRedefine/>
    <w:qFormat/>
    <w:uiPriority w:val="0"/>
    <w:pPr>
      <w:tabs>
        <w:tab w:val="left" w:pos="840"/>
        <w:tab w:val="left" w:pos="900"/>
      </w:tabs>
      <w:ind w:left="840" w:leftChars="200" w:hanging="200" w:hangingChars="200"/>
      <w:jc w:val="both"/>
    </w:pPr>
    <w:rPr>
      <w:rFonts w:ascii="宋体" w:hAnsi="Times New Roman" w:eastAsia="宋体" w:cs="Times New Roman"/>
      <w:sz w:val="21"/>
      <w:lang w:val="en-US" w:eastAsia="zh-CN" w:bidi="ar-SA"/>
    </w:rPr>
  </w:style>
  <w:style w:type="paragraph" w:customStyle="1" w:styleId="1763">
    <w:name w:val="WW-表格"/>
    <w:basedOn w:val="1"/>
    <w:autoRedefine/>
    <w:qFormat/>
    <w:uiPriority w:val="0"/>
    <w:pPr>
      <w:widowControl/>
      <w:suppressAutoHyphens/>
      <w:snapToGrid w:val="0"/>
      <w:spacing w:before="20" w:after="20"/>
      <w:ind w:firstLine="0" w:firstLineChars="0"/>
      <w:jc w:val="center"/>
    </w:pPr>
    <w:rPr>
      <w:rFonts w:ascii="宋体" w:hAnsi="宋体" w:cs="宋体"/>
      <w:sz w:val="21"/>
      <w:szCs w:val="20"/>
      <w:lang w:eastAsia="ar-SA"/>
    </w:rPr>
  </w:style>
  <w:style w:type="paragraph" w:customStyle="1" w:styleId="1764">
    <w:name w:val="报告书表格"/>
    <w:basedOn w:val="1"/>
    <w:autoRedefine/>
    <w:qFormat/>
    <w:uiPriority w:val="0"/>
    <w:pPr>
      <w:widowControl/>
      <w:adjustRightInd w:val="0"/>
      <w:spacing w:before="60" w:after="60" w:line="240" w:lineRule="atLeast"/>
      <w:ind w:firstLine="0" w:firstLineChars="0"/>
      <w:jc w:val="center"/>
    </w:pPr>
    <w:rPr>
      <w:rFonts w:ascii="宋体" w:hAnsi="宋体" w:cs="宋体"/>
      <w:kern w:val="0"/>
      <w:sz w:val="21"/>
    </w:rPr>
  </w:style>
  <w:style w:type="paragraph" w:customStyle="1" w:styleId="1765">
    <w:name w:val="WW-表格1"/>
    <w:basedOn w:val="1"/>
    <w:autoRedefine/>
    <w:qFormat/>
    <w:uiPriority w:val="0"/>
    <w:pPr>
      <w:widowControl/>
      <w:suppressAutoHyphens/>
      <w:snapToGrid w:val="0"/>
      <w:spacing w:before="20" w:after="20"/>
      <w:ind w:firstLine="0" w:firstLineChars="0"/>
      <w:jc w:val="center"/>
    </w:pPr>
    <w:rPr>
      <w:rFonts w:ascii="宋体" w:hAnsi="宋体" w:cs="宋体"/>
      <w:sz w:val="21"/>
      <w:szCs w:val="20"/>
      <w:lang w:eastAsia="ar-SA"/>
    </w:rPr>
  </w:style>
  <w:style w:type="paragraph" w:customStyle="1" w:styleId="1766">
    <w:name w:val="封面标准号1"/>
    <w:autoRedefine/>
    <w:qFormat/>
    <w:uiPriority w:val="0"/>
    <w:pPr>
      <w:widowControl w:val="0"/>
      <w:kinsoku w:val="0"/>
      <w:overflowPunct w:val="0"/>
      <w:autoSpaceDE w:val="0"/>
      <w:autoSpaceDN w:val="0"/>
      <w:spacing w:before="308"/>
      <w:jc w:val="right"/>
    </w:pPr>
    <w:rPr>
      <w:rFonts w:ascii="Times New Roman" w:hAnsi="Times New Roman" w:eastAsia="宋体" w:cs="Times New Roman"/>
      <w:sz w:val="28"/>
      <w:lang w:val="en-US" w:eastAsia="zh-CN" w:bidi="ar-SA"/>
    </w:rPr>
  </w:style>
  <w:style w:type="paragraph" w:customStyle="1" w:styleId="1767">
    <w:name w:val="生物中文名"/>
    <w:basedOn w:val="1"/>
    <w:autoRedefine/>
    <w:qFormat/>
    <w:uiPriority w:val="0"/>
    <w:pPr>
      <w:widowControl/>
      <w:tabs>
        <w:tab w:val="left" w:pos="-120"/>
      </w:tabs>
      <w:overflowPunct w:val="0"/>
      <w:topLinePunct/>
      <w:autoSpaceDE w:val="0"/>
      <w:adjustRightInd w:val="0"/>
      <w:snapToGrid w:val="0"/>
      <w:spacing w:before="60" w:line="0" w:lineRule="atLeast"/>
      <w:ind w:firstLine="454" w:firstLineChars="0"/>
    </w:pPr>
    <w:rPr>
      <w:rFonts w:ascii="宋体" w:hAnsi="宋体" w:cs="宋体"/>
      <w:spacing w:val="20"/>
      <w:kern w:val="0"/>
      <w:szCs w:val="20"/>
    </w:rPr>
  </w:style>
  <w:style w:type="paragraph" w:customStyle="1" w:styleId="1768">
    <w:name w:val="样式 题注 + 首行缩进:  2 字符"/>
    <w:basedOn w:val="22"/>
    <w:autoRedefine/>
    <w:qFormat/>
    <w:uiPriority w:val="0"/>
    <w:pPr>
      <w:widowControl/>
      <w:spacing w:before="152" w:line="360" w:lineRule="auto"/>
      <w:ind w:firstLine="400"/>
      <w:jc w:val="both"/>
    </w:pPr>
    <w:rPr>
      <w:rFonts w:ascii="Arial" w:hAnsi="Arial" w:eastAsia="黑体" w:cs="宋体"/>
      <w:color w:val="FF0000"/>
      <w:sz w:val="24"/>
      <w:szCs w:val="22"/>
      <w14:ligatures w14:val="none"/>
    </w:rPr>
  </w:style>
  <w:style w:type="paragraph" w:customStyle="1" w:styleId="1769">
    <w:name w:val="表格右"/>
    <w:basedOn w:val="1"/>
    <w:autoRedefine/>
    <w:qFormat/>
    <w:uiPriority w:val="0"/>
    <w:pPr>
      <w:widowControl/>
      <w:suppressAutoHyphens/>
      <w:snapToGrid w:val="0"/>
      <w:spacing w:before="20" w:after="20"/>
      <w:ind w:firstLine="351" w:firstLineChars="167"/>
    </w:pPr>
    <w:rPr>
      <w:rFonts w:ascii="宋体" w:hAnsi="宋体" w:cs="宋体"/>
      <w:sz w:val="21"/>
      <w:szCs w:val="20"/>
      <w:lang w:val="zh-CN"/>
    </w:rPr>
  </w:style>
  <w:style w:type="paragraph" w:customStyle="1" w:styleId="1770">
    <w:name w:val="Char1 Char Char Char Char Char Char2"/>
    <w:basedOn w:val="1"/>
    <w:next w:val="51"/>
    <w:autoRedefine/>
    <w:qFormat/>
    <w:uiPriority w:val="0"/>
    <w:pPr>
      <w:widowControl/>
      <w:ind w:firstLine="480"/>
    </w:pPr>
    <w:rPr>
      <w:rFonts w:ascii="宋体" w:hAnsi="宋体" w:cs="宋体"/>
      <w:kern w:val="0"/>
    </w:rPr>
  </w:style>
  <w:style w:type="character" w:customStyle="1" w:styleId="1771">
    <w:name w:val="0-正文 Char"/>
    <w:link w:val="1772"/>
    <w:autoRedefine/>
    <w:qFormat/>
    <w:locked/>
    <w:uiPriority w:val="0"/>
    <w:rPr>
      <w:spacing w:val="4"/>
      <w:sz w:val="28"/>
      <w:szCs w:val="28"/>
    </w:rPr>
  </w:style>
  <w:style w:type="paragraph" w:customStyle="1" w:styleId="1772">
    <w:name w:val="0-正文"/>
    <w:basedOn w:val="1"/>
    <w:link w:val="1771"/>
    <w:autoRedefine/>
    <w:qFormat/>
    <w:uiPriority w:val="0"/>
    <w:pPr>
      <w:widowControl/>
      <w:spacing w:line="312" w:lineRule="auto"/>
    </w:pPr>
    <w:rPr>
      <w:spacing w:val="4"/>
      <w:kern w:val="0"/>
      <w:sz w:val="28"/>
      <w:szCs w:val="28"/>
    </w:rPr>
  </w:style>
  <w:style w:type="paragraph" w:customStyle="1" w:styleId="1773">
    <w:name w:val="图表脚注"/>
    <w:next w:val="4"/>
    <w:autoRedefine/>
    <w:qFormat/>
    <w:uiPriority w:val="0"/>
    <w:pPr>
      <w:ind w:left="300" w:leftChars="200" w:hanging="100" w:hangingChars="100"/>
      <w:jc w:val="both"/>
    </w:pPr>
    <w:rPr>
      <w:rFonts w:ascii="宋体" w:hAnsi="Times New Roman" w:eastAsia="宋体" w:cs="Times New Roman"/>
      <w:sz w:val="18"/>
      <w:lang w:val="en-US" w:eastAsia="zh-CN" w:bidi="ar-SA"/>
    </w:rPr>
  </w:style>
  <w:style w:type="paragraph" w:customStyle="1" w:styleId="1774">
    <w:name w:val="表格居中五号"/>
    <w:basedOn w:val="1"/>
    <w:autoRedefine/>
    <w:qFormat/>
    <w:uiPriority w:val="0"/>
    <w:pPr>
      <w:widowControl/>
      <w:ind w:firstLine="0" w:firstLineChars="0"/>
      <w:jc w:val="center"/>
    </w:pPr>
    <w:rPr>
      <w:rFonts w:ascii="宋体" w:hAnsi="宋体" w:cs="宋体"/>
      <w:kern w:val="0"/>
      <w:sz w:val="21"/>
    </w:rPr>
  </w:style>
  <w:style w:type="paragraph" w:customStyle="1" w:styleId="1775">
    <w:name w:val="content"/>
    <w:basedOn w:val="1"/>
    <w:autoRedefine/>
    <w:qFormat/>
    <w:uiPriority w:val="0"/>
    <w:pPr>
      <w:widowControl/>
      <w:spacing w:before="100" w:beforeAutospacing="1" w:after="100" w:afterAutospacing="1"/>
      <w:ind w:firstLine="0" w:firstLineChars="0"/>
      <w:jc w:val="left"/>
    </w:pPr>
    <w:rPr>
      <w:rFonts w:ascii="Calibri" w:hAnsi="Calibri" w:cs="宋体"/>
      <w:bCs/>
      <w:kern w:val="0"/>
      <w:lang w:eastAsia="en-US" w:bidi="en-US"/>
    </w:rPr>
  </w:style>
  <w:style w:type="paragraph" w:customStyle="1" w:styleId="1776">
    <w:name w:val="z正文"/>
    <w:basedOn w:val="35"/>
    <w:autoRedefine/>
    <w:qFormat/>
    <w:uiPriority w:val="0"/>
    <w:pPr>
      <w:widowControl/>
      <w:autoSpaceDE w:val="0"/>
      <w:autoSpaceDN w:val="0"/>
      <w:adjustRightInd w:val="0"/>
      <w:snapToGrid w:val="0"/>
      <w:spacing w:line="240" w:lineRule="auto"/>
      <w:ind w:firstLine="539"/>
    </w:pPr>
    <w:rPr>
      <w:rFonts w:ascii="Arial" w:hAnsi="Arial"/>
    </w:rPr>
  </w:style>
  <w:style w:type="character" w:customStyle="1" w:styleId="1777">
    <w:name w:val="正文—小四 Char"/>
    <w:link w:val="1778"/>
    <w:autoRedefine/>
    <w:qFormat/>
    <w:locked/>
    <w:uiPriority w:val="0"/>
    <w:rPr>
      <w:rFonts w:ascii="宋体" w:hAnsi="宋体"/>
      <w:color w:val="000000"/>
      <w:sz w:val="24"/>
    </w:rPr>
  </w:style>
  <w:style w:type="paragraph" w:customStyle="1" w:styleId="1778">
    <w:name w:val="正文—小四"/>
    <w:basedOn w:val="1"/>
    <w:link w:val="1777"/>
    <w:autoRedefine/>
    <w:qFormat/>
    <w:uiPriority w:val="0"/>
    <w:pPr>
      <w:widowControl/>
      <w:adjustRightInd w:val="0"/>
      <w:snapToGrid w:val="0"/>
      <w:jc w:val="left"/>
    </w:pPr>
    <w:rPr>
      <w:rFonts w:ascii="宋体" w:hAnsi="宋体"/>
      <w:color w:val="000000"/>
      <w:kern w:val="0"/>
      <w:szCs w:val="20"/>
    </w:rPr>
  </w:style>
  <w:style w:type="paragraph" w:customStyle="1" w:styleId="1779">
    <w:name w:val="表头5"/>
    <w:basedOn w:val="1"/>
    <w:autoRedefine/>
    <w:qFormat/>
    <w:uiPriority w:val="0"/>
    <w:pPr>
      <w:widowControl/>
      <w:tabs>
        <w:tab w:val="left" w:pos="625"/>
      </w:tabs>
      <w:adjustRightInd w:val="0"/>
      <w:snapToGrid w:val="0"/>
      <w:spacing w:beforeLines="100" w:line="240" w:lineRule="atLeast"/>
      <w:ind w:left="950" w:leftChars="250" w:hanging="425" w:firstLineChars="0"/>
    </w:pPr>
    <w:rPr>
      <w:rFonts w:ascii="宋体" w:hAnsi="宋体" w:cs="宋体"/>
      <w:b/>
      <w:kern w:val="0"/>
    </w:rPr>
  </w:style>
  <w:style w:type="paragraph" w:customStyle="1" w:styleId="1780">
    <w:name w:val="流程图"/>
    <w:basedOn w:val="1"/>
    <w:autoRedefine/>
    <w:qFormat/>
    <w:uiPriority w:val="0"/>
    <w:pPr>
      <w:widowControl/>
      <w:ind w:firstLine="0" w:firstLineChars="0"/>
    </w:pPr>
    <w:rPr>
      <w:rFonts w:ascii="宋体" w:hAnsi="宋体" w:cs="宋体"/>
      <w:kern w:val="0"/>
      <w:sz w:val="21"/>
    </w:rPr>
  </w:style>
  <w:style w:type="paragraph" w:customStyle="1" w:styleId="1781">
    <w:name w:val="章节题目"/>
    <w:basedOn w:val="1"/>
    <w:next w:val="1"/>
    <w:autoRedefine/>
    <w:qFormat/>
    <w:uiPriority w:val="0"/>
    <w:pPr>
      <w:widowControl/>
      <w:spacing w:line="240" w:lineRule="exact"/>
      <w:ind w:firstLine="0" w:firstLineChars="0"/>
      <w:jc w:val="center"/>
    </w:pPr>
    <w:rPr>
      <w:rFonts w:ascii="宋体" w:hAnsi="宋体" w:cs="宋体"/>
      <w:kern w:val="0"/>
      <w:sz w:val="21"/>
    </w:rPr>
  </w:style>
  <w:style w:type="paragraph" w:customStyle="1" w:styleId="1782">
    <w:name w:val="1表格"/>
    <w:basedOn w:val="1"/>
    <w:autoRedefine/>
    <w:qFormat/>
    <w:uiPriority w:val="0"/>
    <w:pPr>
      <w:widowControl/>
      <w:tabs>
        <w:tab w:val="left" w:pos="7433"/>
      </w:tabs>
      <w:adjustRightInd w:val="0"/>
      <w:snapToGrid w:val="0"/>
      <w:spacing w:before="60" w:after="60"/>
      <w:ind w:firstLine="0" w:firstLineChars="0"/>
      <w:jc w:val="center"/>
    </w:pPr>
    <w:rPr>
      <w:rFonts w:ascii="宋体" w:hAnsi="宋体" w:cs="宋体"/>
      <w:spacing w:val="6"/>
      <w:kern w:val="0"/>
      <w:sz w:val="21"/>
      <w:szCs w:val="20"/>
    </w:rPr>
  </w:style>
  <w:style w:type="paragraph" w:customStyle="1" w:styleId="1783">
    <w:name w:val="样式 题目 + 左侧:  1 字符 右侧:  1 字符"/>
    <w:basedOn w:val="3"/>
    <w:autoRedefine/>
    <w:qFormat/>
    <w:uiPriority w:val="0"/>
    <w:pPr>
      <w:keepLines/>
      <w:numPr>
        <w:numId w:val="0"/>
      </w:numPr>
      <w:tabs>
        <w:tab w:val="left" w:pos="425"/>
        <w:tab w:val="clear" w:pos="0"/>
      </w:tabs>
      <w:adjustRightInd w:val="0"/>
      <w:snapToGrid w:val="0"/>
      <w:spacing w:before="100" w:beforeAutospacing="1" w:after="100" w:afterAutospacing="1" w:line="240" w:lineRule="auto"/>
      <w:ind w:right="238"/>
    </w:pPr>
    <w:rPr>
      <w:rFonts w:cs="宋体"/>
      <w:bCs/>
      <w:kern w:val="0"/>
      <w:sz w:val="24"/>
      <w:szCs w:val="20"/>
    </w:rPr>
  </w:style>
  <w:style w:type="paragraph" w:customStyle="1" w:styleId="1784">
    <w:name w:val="样式 标题 2 + 小四 首行缩进:  1.96 字符"/>
    <w:basedOn w:val="1"/>
    <w:autoRedefine/>
    <w:qFormat/>
    <w:uiPriority w:val="0"/>
    <w:pPr>
      <w:widowControl/>
      <w:ind w:firstLine="0" w:firstLineChars="0"/>
    </w:pPr>
    <w:rPr>
      <w:rFonts w:ascii="宋体" w:hAnsi="宋体" w:cs="宋体"/>
      <w:kern w:val="0"/>
      <w:sz w:val="21"/>
    </w:rPr>
  </w:style>
  <w:style w:type="paragraph" w:customStyle="1" w:styleId="1785">
    <w:name w:val="Char Char1 Char Char Char Char Char Char"/>
    <w:basedOn w:val="1"/>
    <w:autoRedefine/>
    <w:qFormat/>
    <w:uiPriority w:val="0"/>
    <w:pPr>
      <w:widowControl/>
      <w:spacing w:after="160" w:line="240" w:lineRule="exact"/>
      <w:ind w:firstLine="0" w:firstLineChars="0"/>
      <w:jc w:val="left"/>
    </w:pPr>
    <w:rPr>
      <w:rFonts w:ascii="Verdana" w:hAnsi="Verdana" w:eastAsia="仿宋_GB2312" w:cs="宋体"/>
      <w:kern w:val="0"/>
      <w:szCs w:val="20"/>
      <w:lang w:eastAsia="en-US"/>
    </w:rPr>
  </w:style>
  <w:style w:type="character" w:customStyle="1" w:styleId="1786">
    <w:name w:val="图名 Char Char"/>
    <w:autoRedefine/>
    <w:qFormat/>
    <w:locked/>
    <w:uiPriority w:val="0"/>
    <w:rPr>
      <w:kern w:val="2"/>
      <w:sz w:val="24"/>
      <w:szCs w:val="24"/>
    </w:rPr>
  </w:style>
  <w:style w:type="paragraph" w:customStyle="1" w:styleId="1787">
    <w:name w:val="样式 目录 2 + 左侧:  2 字符"/>
    <w:basedOn w:val="74"/>
    <w:autoRedefine/>
    <w:qFormat/>
    <w:uiPriority w:val="0"/>
    <w:pPr>
      <w:widowControl/>
      <w:tabs>
        <w:tab w:val="left" w:pos="1050"/>
        <w:tab w:val="right" w:leader="dot" w:pos="8296"/>
      </w:tabs>
      <w:spacing w:line="276" w:lineRule="auto"/>
      <w:ind w:left="480" w:leftChars="0" w:firstLine="0" w:firstLineChars="0"/>
    </w:pPr>
    <w:rPr>
      <w:rFonts w:ascii="Vladimir Script" w:hAnsi="Vladimir Script" w:eastAsia="楷体_GB2312" w:cs="宋体"/>
      <w:kern w:val="0"/>
    </w:rPr>
  </w:style>
  <w:style w:type="paragraph" w:customStyle="1" w:styleId="1788">
    <w:name w:val="生物拉丁文"/>
    <w:basedOn w:val="1"/>
    <w:autoRedefine/>
    <w:qFormat/>
    <w:uiPriority w:val="0"/>
    <w:pPr>
      <w:widowControl/>
      <w:tabs>
        <w:tab w:val="left" w:pos="-120"/>
        <w:tab w:val="left" w:pos="625"/>
      </w:tabs>
      <w:overflowPunct w:val="0"/>
      <w:topLinePunct/>
      <w:autoSpaceDE w:val="0"/>
      <w:adjustRightInd w:val="0"/>
      <w:snapToGrid w:val="0"/>
      <w:spacing w:before="60" w:line="0" w:lineRule="atLeast"/>
      <w:ind w:firstLine="454" w:firstLineChars="0"/>
    </w:pPr>
    <w:rPr>
      <w:rFonts w:ascii="宋体" w:hAnsi="宋体" w:cs="宋体"/>
      <w:i/>
      <w:spacing w:val="20"/>
      <w:kern w:val="0"/>
      <w:szCs w:val="20"/>
    </w:rPr>
  </w:style>
  <w:style w:type="paragraph" w:customStyle="1" w:styleId="1789">
    <w:name w:val="表头居右"/>
    <w:basedOn w:val="45"/>
    <w:autoRedefine/>
    <w:qFormat/>
    <w:uiPriority w:val="0"/>
    <w:pPr>
      <w:widowControl/>
      <w:adjustRightInd/>
      <w:spacing w:beforeLines="100" w:line="240" w:lineRule="auto"/>
      <w:ind w:firstLine="240" w:firstLineChars="100"/>
      <w:jc w:val="center"/>
      <w:textAlignment w:val="auto"/>
    </w:pPr>
    <w:rPr>
      <w:rFonts w:hint="eastAsia" w:ascii="Times New Roman" w:hAnsi="黑体"/>
      <w:kern w:val="2"/>
      <w:sz w:val="24"/>
    </w:rPr>
  </w:style>
  <w:style w:type="paragraph" w:customStyle="1" w:styleId="1790">
    <w:name w:val="引用文章"/>
    <w:basedOn w:val="1"/>
    <w:autoRedefine/>
    <w:qFormat/>
    <w:uiPriority w:val="0"/>
    <w:pPr>
      <w:widowControl/>
      <w:ind w:firstLine="420"/>
    </w:pPr>
    <w:rPr>
      <w:rFonts w:ascii="宋体" w:hAnsi="宋体" w:eastAsia="楷体_GB2312" w:cs="宋体"/>
      <w:kern w:val="0"/>
      <w:szCs w:val="20"/>
    </w:rPr>
  </w:style>
  <w:style w:type="paragraph" w:customStyle="1" w:styleId="1791">
    <w:name w:val="0.0文本"/>
    <w:basedOn w:val="1"/>
    <w:autoRedefine/>
    <w:qFormat/>
    <w:uiPriority w:val="0"/>
    <w:pPr>
      <w:widowControl/>
      <w:autoSpaceDE w:val="0"/>
      <w:autoSpaceDN w:val="0"/>
      <w:adjustRightInd w:val="0"/>
      <w:snapToGrid w:val="0"/>
      <w:ind w:left="720" w:leftChars="300" w:firstLine="0" w:firstLineChars="0"/>
    </w:pPr>
    <w:rPr>
      <w:rFonts w:ascii="宋体" w:hAnsi="MS Mincho" w:cs="Tms Rmn"/>
      <w:kern w:val="0"/>
      <w:sz w:val="21"/>
    </w:rPr>
  </w:style>
  <w:style w:type="paragraph" w:customStyle="1" w:styleId="1792">
    <w:name w:val="Char Char Char Char Char Char Char Char Char1"/>
    <w:basedOn w:val="1"/>
    <w:autoRedefine/>
    <w:qFormat/>
    <w:uiPriority w:val="0"/>
    <w:pPr>
      <w:widowControl/>
      <w:jc w:val="left"/>
    </w:pPr>
    <w:rPr>
      <w:rFonts w:ascii="Calibri" w:hAnsi="Calibri" w:cs="宋体"/>
      <w:bCs/>
      <w:kern w:val="0"/>
      <w:szCs w:val="28"/>
      <w:lang w:eastAsia="en-US" w:bidi="en-US"/>
    </w:rPr>
  </w:style>
  <w:style w:type="paragraph" w:customStyle="1" w:styleId="1793">
    <w:name w:val="WW-批注文字"/>
    <w:basedOn w:val="1"/>
    <w:autoRedefine/>
    <w:qFormat/>
    <w:uiPriority w:val="0"/>
    <w:pPr>
      <w:widowControl/>
      <w:suppressAutoHyphens/>
      <w:ind w:firstLine="0" w:firstLineChars="0"/>
      <w:jc w:val="left"/>
    </w:pPr>
    <w:rPr>
      <w:rFonts w:ascii="宋体" w:hAnsi="宋体" w:cs="宋体"/>
      <w:sz w:val="21"/>
      <w:lang w:eastAsia="ar-SA"/>
    </w:rPr>
  </w:style>
  <w:style w:type="paragraph" w:customStyle="1" w:styleId="1794">
    <w:name w:val="条题"/>
    <w:basedOn w:val="1"/>
    <w:autoRedefine/>
    <w:qFormat/>
    <w:uiPriority w:val="0"/>
    <w:pPr>
      <w:widowControl/>
      <w:tabs>
        <w:tab w:val="left" w:pos="780"/>
        <w:tab w:val="left" w:pos="1640"/>
      </w:tabs>
      <w:spacing w:beforeLines="50" w:line="480" w:lineRule="exact"/>
      <w:ind w:left="780" w:hanging="420" w:firstLineChars="0"/>
    </w:pPr>
    <w:rPr>
      <w:rFonts w:ascii="宋体" w:hAnsi="宋体" w:cs="宋体"/>
      <w:color w:val="000000"/>
      <w:kern w:val="0"/>
    </w:rPr>
  </w:style>
  <w:style w:type="character" w:customStyle="1" w:styleId="1795">
    <w:name w:val="谷表头 Char"/>
    <w:link w:val="1796"/>
    <w:autoRedefine/>
    <w:qFormat/>
    <w:locked/>
    <w:uiPriority w:val="0"/>
    <w:rPr>
      <w:rFonts w:ascii="楷体_GB2312" w:hAnsi="宋体" w:eastAsia="楷体_GB2312"/>
      <w:b/>
      <w:sz w:val="24"/>
      <w:szCs w:val="24"/>
    </w:rPr>
  </w:style>
  <w:style w:type="paragraph" w:customStyle="1" w:styleId="1796">
    <w:name w:val="谷表头"/>
    <w:basedOn w:val="1"/>
    <w:link w:val="1795"/>
    <w:autoRedefine/>
    <w:qFormat/>
    <w:uiPriority w:val="0"/>
    <w:pPr>
      <w:widowControl/>
      <w:ind w:firstLine="0" w:firstLineChars="0"/>
      <w:jc w:val="center"/>
    </w:pPr>
    <w:rPr>
      <w:rFonts w:ascii="楷体_GB2312" w:hAnsi="宋体" w:eastAsia="楷体_GB2312"/>
      <w:b/>
      <w:kern w:val="0"/>
    </w:rPr>
  </w:style>
  <w:style w:type="paragraph" w:customStyle="1" w:styleId="1797">
    <w:name w:val="表标题2"/>
    <w:basedOn w:val="1"/>
    <w:next w:val="1"/>
    <w:autoRedefine/>
    <w:qFormat/>
    <w:uiPriority w:val="0"/>
    <w:pPr>
      <w:widowControl/>
      <w:spacing w:beforeLines="50" w:after="120" w:line="312" w:lineRule="auto"/>
      <w:ind w:firstLine="0" w:firstLineChars="0"/>
      <w:jc w:val="center"/>
    </w:pPr>
    <w:rPr>
      <w:rFonts w:ascii="宋体" w:hAnsi="宋体" w:cs="宋体"/>
      <w:kern w:val="0"/>
      <w:sz w:val="21"/>
    </w:rPr>
  </w:style>
  <w:style w:type="paragraph" w:customStyle="1" w:styleId="1798">
    <w:name w:val="样式 题注 + 首行缩进:  2 字符1"/>
    <w:basedOn w:val="22"/>
    <w:autoRedefine/>
    <w:qFormat/>
    <w:uiPriority w:val="0"/>
    <w:pPr>
      <w:keepNext/>
      <w:widowControl/>
      <w:spacing w:before="152" w:line="360" w:lineRule="auto"/>
      <w:jc w:val="both"/>
    </w:pPr>
    <w:rPr>
      <w:rFonts w:ascii="Arial" w:hAnsi="Arial" w:eastAsia="黑体"/>
      <w:color w:val="FF0000"/>
      <w:sz w:val="24"/>
      <w:szCs w:val="22"/>
      <w14:ligatures w14:val="none"/>
    </w:rPr>
  </w:style>
  <w:style w:type="paragraph" w:customStyle="1" w:styleId="1799">
    <w:name w:val="题目"/>
    <w:basedOn w:val="3"/>
    <w:next w:val="1"/>
    <w:autoRedefine/>
    <w:qFormat/>
    <w:uiPriority w:val="0"/>
    <w:pPr>
      <w:keepLines/>
      <w:numPr>
        <w:numId w:val="0"/>
      </w:numPr>
      <w:tabs>
        <w:tab w:val="left" w:pos="425"/>
        <w:tab w:val="clear" w:pos="0"/>
      </w:tabs>
      <w:spacing w:before="100" w:beforeAutospacing="1" w:after="100" w:afterAutospacing="1" w:line="240" w:lineRule="auto"/>
      <w:ind w:left="100" w:leftChars="100" w:right="100" w:rightChars="100"/>
    </w:pPr>
    <w:rPr>
      <w:bCs/>
      <w:kern w:val="44"/>
      <w:sz w:val="30"/>
      <w:szCs w:val="30"/>
    </w:rPr>
  </w:style>
  <w:style w:type="paragraph" w:customStyle="1" w:styleId="1800">
    <w:name w:val="Char Char Char Char Char Char Char Char Char"/>
    <w:basedOn w:val="1"/>
    <w:autoRedefine/>
    <w:qFormat/>
    <w:uiPriority w:val="0"/>
    <w:pPr>
      <w:widowControl/>
      <w:ind w:firstLine="0" w:firstLineChars="0"/>
    </w:pPr>
    <w:rPr>
      <w:rFonts w:ascii="宋体" w:hAnsi="宋体" w:cs="宋体"/>
      <w:kern w:val="0"/>
    </w:rPr>
  </w:style>
  <w:style w:type="paragraph" w:customStyle="1" w:styleId="1801">
    <w:name w:val="图标题"/>
    <w:basedOn w:val="1"/>
    <w:autoRedefine/>
    <w:qFormat/>
    <w:uiPriority w:val="0"/>
    <w:pPr>
      <w:widowControl/>
      <w:adjustRightInd w:val="0"/>
      <w:snapToGrid w:val="0"/>
      <w:ind w:firstLine="0" w:firstLineChars="0"/>
      <w:jc w:val="center"/>
    </w:pPr>
    <w:rPr>
      <w:rFonts w:ascii="宋体" w:hAnsi="宋体" w:cs="宋体"/>
      <w:b/>
      <w:bCs/>
      <w:color w:val="000000"/>
      <w:kern w:val="0"/>
      <w:sz w:val="21"/>
      <w:szCs w:val="21"/>
    </w:rPr>
  </w:style>
  <w:style w:type="paragraph" w:customStyle="1" w:styleId="1802">
    <w:name w:val="块项目"/>
    <w:next w:val="1"/>
    <w:autoRedefine/>
    <w:qFormat/>
    <w:uiPriority w:val="0"/>
    <w:pPr>
      <w:tabs>
        <w:tab w:val="left" w:pos="840"/>
      </w:tabs>
      <w:spacing w:before="120" w:after="120"/>
      <w:ind w:firstLine="420"/>
    </w:pPr>
    <w:rPr>
      <w:rFonts w:ascii="Times New Roman" w:hAnsi="Times New Roman" w:eastAsia="宋体" w:cs="Times New Roman"/>
      <w:b/>
      <w:spacing w:val="20"/>
      <w:sz w:val="24"/>
      <w:lang w:val="en-US" w:eastAsia="zh-CN" w:bidi="ar-SA"/>
    </w:rPr>
  </w:style>
  <w:style w:type="paragraph" w:customStyle="1" w:styleId="1803">
    <w:name w:val="Char Char Char Char Char Char Char Char Char1 Char"/>
    <w:basedOn w:val="1"/>
    <w:autoRedefine/>
    <w:qFormat/>
    <w:uiPriority w:val="0"/>
    <w:pPr>
      <w:widowControl/>
      <w:jc w:val="left"/>
    </w:pPr>
    <w:rPr>
      <w:rFonts w:ascii="Calibri" w:hAnsi="Calibri" w:cs="宋体"/>
      <w:bCs/>
      <w:kern w:val="0"/>
      <w:szCs w:val="28"/>
      <w:lang w:eastAsia="en-US" w:bidi="en-US"/>
    </w:rPr>
  </w:style>
  <w:style w:type="paragraph" w:customStyle="1" w:styleId="1804">
    <w:name w:val="一章"/>
    <w:basedOn w:val="1"/>
    <w:autoRedefine/>
    <w:qFormat/>
    <w:uiPriority w:val="0"/>
    <w:pPr>
      <w:widowControl/>
      <w:adjustRightInd w:val="0"/>
      <w:snapToGrid w:val="0"/>
      <w:spacing w:line="312" w:lineRule="auto"/>
      <w:ind w:firstLine="0" w:firstLineChars="0"/>
      <w:jc w:val="center"/>
    </w:pPr>
    <w:rPr>
      <w:rFonts w:ascii="黑体" w:hAnsi="Courier New" w:eastAsia="黑体" w:cs="宋体"/>
      <w:b/>
      <w:bCs/>
      <w:spacing w:val="6"/>
      <w:kern w:val="0"/>
      <w:sz w:val="36"/>
      <w:szCs w:val="20"/>
      <w:lang w:eastAsia="en-US" w:bidi="en-US"/>
    </w:rPr>
  </w:style>
  <w:style w:type="paragraph" w:customStyle="1" w:styleId="1805">
    <w:name w:val="td"/>
    <w:basedOn w:val="1"/>
    <w:autoRedefine/>
    <w:qFormat/>
    <w:uiPriority w:val="0"/>
    <w:pPr>
      <w:widowControl/>
      <w:spacing w:before="100" w:beforeAutospacing="1" w:after="100" w:afterAutospacing="1" w:line="384" w:lineRule="auto"/>
      <w:ind w:firstLine="0" w:firstLineChars="0"/>
      <w:jc w:val="left"/>
    </w:pPr>
    <w:rPr>
      <w:rFonts w:ascii="宋体" w:hAnsi="宋体" w:cs="宋体"/>
      <w:kern w:val="0"/>
      <w:sz w:val="18"/>
      <w:szCs w:val="18"/>
    </w:rPr>
  </w:style>
  <w:style w:type="paragraph" w:customStyle="1" w:styleId="1806">
    <w:name w:val="表注-西江"/>
    <w:basedOn w:val="1"/>
    <w:autoRedefine/>
    <w:qFormat/>
    <w:uiPriority w:val="0"/>
    <w:pPr>
      <w:widowControl/>
      <w:tabs>
        <w:tab w:val="left" w:pos="-120"/>
      </w:tabs>
      <w:overflowPunct w:val="0"/>
      <w:topLinePunct/>
      <w:autoSpaceDE w:val="0"/>
      <w:adjustRightInd w:val="0"/>
      <w:snapToGrid w:val="0"/>
      <w:spacing w:before="120" w:after="240"/>
      <w:ind w:firstLine="0" w:firstLineChars="0"/>
    </w:pPr>
    <w:rPr>
      <w:rFonts w:ascii="宋体" w:hAnsi="宋体" w:cs="宋体"/>
      <w:bCs/>
      <w:spacing w:val="16"/>
      <w:kern w:val="0"/>
      <w:sz w:val="21"/>
      <w:szCs w:val="21"/>
    </w:rPr>
  </w:style>
  <w:style w:type="character" w:customStyle="1" w:styleId="1807">
    <w:name w:val="WW-正文文字缩进 3 Char"/>
    <w:link w:val="1808"/>
    <w:autoRedefine/>
    <w:qFormat/>
    <w:locked/>
    <w:uiPriority w:val="0"/>
    <w:rPr>
      <w:kern w:val="2"/>
      <w:sz w:val="24"/>
      <w:szCs w:val="24"/>
      <w:lang w:eastAsia="ar-SA"/>
    </w:rPr>
  </w:style>
  <w:style w:type="paragraph" w:customStyle="1" w:styleId="1808">
    <w:name w:val="WW-正文文字缩进 3"/>
    <w:basedOn w:val="1"/>
    <w:link w:val="1807"/>
    <w:autoRedefine/>
    <w:qFormat/>
    <w:uiPriority w:val="0"/>
    <w:pPr>
      <w:widowControl/>
      <w:suppressAutoHyphens/>
      <w:spacing w:line="460" w:lineRule="exact"/>
      <w:ind w:firstLine="480" w:firstLineChars="0"/>
    </w:pPr>
    <w:rPr>
      <w:lang w:eastAsia="ar-SA"/>
    </w:rPr>
  </w:style>
  <w:style w:type="paragraph" w:customStyle="1" w:styleId="1809">
    <w:name w:val="文1"/>
    <w:basedOn w:val="1"/>
    <w:autoRedefine/>
    <w:qFormat/>
    <w:uiPriority w:val="0"/>
    <w:pPr>
      <w:widowControl/>
      <w:adjustRightInd w:val="0"/>
      <w:snapToGrid w:val="0"/>
      <w:spacing w:line="312" w:lineRule="auto"/>
      <w:ind w:firstLine="567" w:firstLineChars="0"/>
      <w:jc w:val="left"/>
    </w:pPr>
    <w:rPr>
      <w:rFonts w:ascii="Calibri" w:hAnsi="宋体" w:cs="宋体"/>
      <w:bCs/>
      <w:spacing w:val="6"/>
      <w:kern w:val="0"/>
      <w:sz w:val="28"/>
      <w:szCs w:val="20"/>
      <w:lang w:eastAsia="en-US" w:bidi="en-US"/>
    </w:rPr>
  </w:style>
  <w:style w:type="paragraph" w:customStyle="1" w:styleId="1810">
    <w:name w:val="wtext"/>
    <w:basedOn w:val="1"/>
    <w:autoRedefine/>
    <w:qFormat/>
    <w:uiPriority w:val="0"/>
    <w:pPr>
      <w:widowControl/>
      <w:spacing w:before="100" w:beforeAutospacing="1" w:after="100" w:afterAutospacing="1"/>
      <w:ind w:firstLine="480" w:firstLineChars="0"/>
      <w:jc w:val="left"/>
    </w:pPr>
    <w:rPr>
      <w:rFonts w:ascii="Calibri" w:hAnsi="Calibri" w:cs="宋体"/>
      <w:color w:val="000000"/>
      <w:kern w:val="0"/>
      <w:sz w:val="22"/>
    </w:rPr>
  </w:style>
  <w:style w:type="paragraph" w:customStyle="1" w:styleId="1811">
    <w:name w:val="Body Text 21"/>
    <w:basedOn w:val="1"/>
    <w:autoRedefine/>
    <w:qFormat/>
    <w:uiPriority w:val="0"/>
    <w:pPr>
      <w:widowControl/>
      <w:adjustRightInd w:val="0"/>
      <w:ind w:firstLine="0" w:firstLineChars="0"/>
    </w:pPr>
    <w:rPr>
      <w:rFonts w:ascii="宋体" w:hAnsi="宋体" w:eastAsia="仿宋体" w:cs="宋体"/>
      <w:kern w:val="0"/>
      <w:szCs w:val="20"/>
    </w:rPr>
  </w:style>
  <w:style w:type="paragraph" w:customStyle="1" w:styleId="1812">
    <w:name w:val="附录标识"/>
    <w:basedOn w:val="1"/>
    <w:autoRedefine/>
    <w:qFormat/>
    <w:uiPriority w:val="0"/>
    <w:pPr>
      <w:widowControl/>
      <w:shd w:val="clear" w:color="auto" w:fill="FFFFFF"/>
      <w:tabs>
        <w:tab w:val="left" w:pos="397"/>
        <w:tab w:val="left" w:pos="6405"/>
      </w:tabs>
      <w:spacing w:before="640" w:after="200"/>
      <w:ind w:left="397" w:hanging="397" w:firstLineChars="0"/>
      <w:jc w:val="center"/>
      <w:outlineLvl w:val="0"/>
    </w:pPr>
    <w:rPr>
      <w:rFonts w:ascii="黑体" w:hAnsi="宋体" w:eastAsia="黑体" w:cs="宋体"/>
      <w:kern w:val="0"/>
      <w:sz w:val="21"/>
      <w:szCs w:val="20"/>
    </w:rPr>
  </w:style>
  <w:style w:type="paragraph" w:customStyle="1" w:styleId="1813">
    <w:name w:val="条-内容"/>
    <w:basedOn w:val="1"/>
    <w:autoRedefine/>
    <w:qFormat/>
    <w:uiPriority w:val="0"/>
    <w:pPr>
      <w:widowControl/>
      <w:spacing w:beforeLines="50" w:line="288" w:lineRule="auto"/>
      <w:ind w:firstLine="480"/>
    </w:pPr>
    <w:rPr>
      <w:rFonts w:ascii="宋体" w:hAnsi="宋体" w:cs="宋体"/>
      <w:bCs/>
      <w:kern w:val="0"/>
    </w:rPr>
  </w:style>
  <w:style w:type="paragraph" w:customStyle="1" w:styleId="1814">
    <w:name w:val="附录章标题"/>
    <w:next w:val="1"/>
    <w:autoRedefine/>
    <w:qFormat/>
    <w:uiPriority w:val="0"/>
    <w:pPr>
      <w:tabs>
        <w:tab w:val="left" w:pos="840"/>
      </w:tabs>
      <w:wordWrap w:val="0"/>
      <w:overflowPunct w:val="0"/>
      <w:autoSpaceDE w:val="0"/>
      <w:spacing w:beforeLines="50"/>
      <w:ind w:left="840" w:hanging="420"/>
      <w:jc w:val="both"/>
      <w:outlineLvl w:val="1"/>
    </w:pPr>
    <w:rPr>
      <w:rFonts w:ascii="黑体" w:hAnsi="Times New Roman" w:eastAsia="黑体" w:cs="Times New Roman"/>
      <w:kern w:val="21"/>
      <w:sz w:val="21"/>
      <w:lang w:val="en-US" w:eastAsia="zh-CN" w:bidi="ar-SA"/>
    </w:rPr>
  </w:style>
  <w:style w:type="paragraph" w:customStyle="1" w:styleId="1815">
    <w:name w:val="样式 样式 标题 3ReHead 3 WSAh3标题 32标题 311Re11Head 3 WSA11h311标题 ...4 +..."/>
    <w:basedOn w:val="1"/>
    <w:autoRedefine/>
    <w:qFormat/>
    <w:uiPriority w:val="0"/>
    <w:pPr>
      <w:keepNext/>
      <w:keepLines/>
      <w:widowControl/>
      <w:tabs>
        <w:tab w:val="left" w:pos="709"/>
        <w:tab w:val="left" w:pos="1740"/>
      </w:tabs>
      <w:adjustRightInd w:val="0"/>
      <w:snapToGrid w:val="0"/>
      <w:spacing w:before="100" w:after="100"/>
      <w:ind w:left="1740" w:hanging="420" w:firstLineChars="0"/>
      <w:outlineLvl w:val="2"/>
    </w:pPr>
    <w:rPr>
      <w:rFonts w:ascii="宋体" w:hAnsi="宋体" w:eastAsia="黑体" w:cs="宋体"/>
      <w:b/>
      <w:bCs/>
      <w:color w:val="000000"/>
      <w:kern w:val="0"/>
      <w:szCs w:val="20"/>
    </w:rPr>
  </w:style>
  <w:style w:type="character" w:customStyle="1" w:styleId="1816">
    <w:name w:val="正文表标题 Char"/>
    <w:link w:val="1817"/>
    <w:autoRedefine/>
    <w:qFormat/>
    <w:locked/>
    <w:uiPriority w:val="0"/>
    <w:rPr>
      <w:rFonts w:ascii="黑体" w:hAnsi="黑体" w:eastAsia="黑体"/>
      <w:kern w:val="2"/>
      <w:sz w:val="21"/>
      <w:szCs w:val="22"/>
    </w:rPr>
  </w:style>
  <w:style w:type="paragraph" w:customStyle="1" w:styleId="1817">
    <w:name w:val="正文表标题"/>
    <w:next w:val="4"/>
    <w:link w:val="1816"/>
    <w:autoRedefine/>
    <w:qFormat/>
    <w:uiPriority w:val="0"/>
    <w:pPr>
      <w:ind w:left="1080"/>
      <w:jc w:val="center"/>
    </w:pPr>
    <w:rPr>
      <w:rFonts w:ascii="黑体" w:hAnsi="黑体" w:eastAsia="黑体" w:cs="Times New Roman"/>
      <w:kern w:val="2"/>
      <w:sz w:val="21"/>
      <w:szCs w:val="22"/>
      <w:lang w:val="en-US" w:eastAsia="zh-CN" w:bidi="ar-SA"/>
    </w:rPr>
  </w:style>
  <w:style w:type="paragraph" w:customStyle="1" w:styleId="1818">
    <w:name w:val="表格中段落"/>
    <w:basedOn w:val="1"/>
    <w:autoRedefine/>
    <w:qFormat/>
    <w:uiPriority w:val="0"/>
    <w:pPr>
      <w:widowControl/>
      <w:ind w:firstLine="420"/>
    </w:pPr>
    <w:rPr>
      <w:rFonts w:ascii="宋体" w:hAnsi="宋体" w:cs="宋体"/>
      <w:kern w:val="0"/>
      <w:sz w:val="21"/>
      <w:szCs w:val="20"/>
    </w:rPr>
  </w:style>
  <w:style w:type="paragraph" w:customStyle="1" w:styleId="1819">
    <w:name w:val="生物拉丁文名"/>
    <w:basedOn w:val="1"/>
    <w:autoRedefine/>
    <w:qFormat/>
    <w:uiPriority w:val="0"/>
    <w:pPr>
      <w:widowControl/>
      <w:tabs>
        <w:tab w:val="left" w:pos="-120"/>
      </w:tabs>
      <w:overflowPunct w:val="0"/>
      <w:topLinePunct/>
      <w:autoSpaceDE w:val="0"/>
      <w:adjustRightInd w:val="0"/>
      <w:snapToGrid w:val="0"/>
      <w:spacing w:before="60" w:line="0" w:lineRule="atLeast"/>
      <w:ind w:firstLine="454" w:firstLineChars="0"/>
    </w:pPr>
    <w:rPr>
      <w:rFonts w:ascii="宋体" w:hAnsi="宋体" w:cs="宋体"/>
      <w:i/>
      <w:spacing w:val="20"/>
      <w:kern w:val="0"/>
      <w:szCs w:val="20"/>
    </w:rPr>
  </w:style>
  <w:style w:type="paragraph" w:customStyle="1" w:styleId="1820">
    <w:name w:val="表头右"/>
    <w:basedOn w:val="1"/>
    <w:autoRedefine/>
    <w:qFormat/>
    <w:uiPriority w:val="0"/>
    <w:pPr>
      <w:widowControl/>
      <w:ind w:firstLine="448"/>
      <w:jc w:val="right"/>
    </w:pPr>
    <w:rPr>
      <w:rFonts w:ascii="宋体" w:hAnsi="宋体" w:cs="宋体"/>
      <w:kern w:val="0"/>
      <w:sz w:val="21"/>
    </w:rPr>
  </w:style>
  <w:style w:type="paragraph" w:customStyle="1" w:styleId="1821">
    <w:name w:val="文档结构图样式"/>
    <w:basedOn w:val="26"/>
    <w:next w:val="26"/>
    <w:autoRedefine/>
    <w:qFormat/>
    <w:uiPriority w:val="0"/>
    <w:pPr>
      <w:widowControl/>
    </w:pPr>
    <w:rPr>
      <w:sz w:val="21"/>
    </w:rPr>
  </w:style>
  <w:style w:type="paragraph" w:customStyle="1" w:styleId="1822">
    <w:name w:val="Char Char Char Char Char Char Char Char Char2"/>
    <w:basedOn w:val="1"/>
    <w:autoRedefine/>
    <w:qFormat/>
    <w:uiPriority w:val="0"/>
    <w:pPr>
      <w:widowControl/>
      <w:ind w:firstLine="0" w:firstLineChars="0"/>
    </w:pPr>
    <w:rPr>
      <w:rFonts w:ascii="宋体" w:hAnsi="宋体" w:cs="宋体"/>
      <w:kern w:val="0"/>
    </w:rPr>
  </w:style>
  <w:style w:type="character" w:customStyle="1" w:styleId="1823">
    <w:name w:val="公式 Char"/>
    <w:link w:val="791"/>
    <w:autoRedefine/>
    <w:qFormat/>
    <w:locked/>
    <w:uiPriority w:val="0"/>
    <w:rPr>
      <w:kern w:val="2"/>
      <w:position w:val="-24"/>
      <w:sz w:val="21"/>
      <w:szCs w:val="24"/>
    </w:rPr>
  </w:style>
  <w:style w:type="paragraph" w:customStyle="1" w:styleId="1824">
    <w:name w:val="jj标题3"/>
    <w:basedOn w:val="5"/>
    <w:autoRedefine/>
    <w:qFormat/>
    <w:uiPriority w:val="0"/>
    <w:pPr>
      <w:numPr>
        <w:ilvl w:val="0"/>
        <w:numId w:val="0"/>
      </w:numPr>
      <w:tabs>
        <w:tab w:val="left" w:pos="425"/>
        <w:tab w:val="left" w:pos="709"/>
        <w:tab w:val="left" w:pos="1069"/>
      </w:tabs>
      <w:snapToGrid w:val="0"/>
      <w:spacing w:beforeLines="50" w:line="360" w:lineRule="auto"/>
    </w:pPr>
    <w:rPr>
      <w:rFonts w:ascii="黑体"/>
      <w:spacing w:val="12"/>
      <w:sz w:val="24"/>
      <w:szCs w:val="24"/>
    </w:rPr>
  </w:style>
  <w:style w:type="paragraph" w:customStyle="1" w:styleId="1825">
    <w:name w:val="图例"/>
    <w:autoRedefine/>
    <w:qFormat/>
    <w:uiPriority w:val="0"/>
    <w:pPr>
      <w:autoSpaceDE w:val="0"/>
      <w:autoSpaceDN w:val="0"/>
      <w:adjustRightInd w:val="0"/>
      <w:jc w:val="center"/>
    </w:pPr>
    <w:rPr>
      <w:rFonts w:ascii="黑体" w:hAnsi="Arial" w:eastAsia="黑体" w:cs="Arial"/>
      <w:b/>
      <w:spacing w:val="12"/>
      <w:sz w:val="24"/>
      <w:lang w:val="en-US" w:eastAsia="zh-CN" w:bidi="ar-SA"/>
    </w:rPr>
  </w:style>
  <w:style w:type="paragraph" w:customStyle="1" w:styleId="1826">
    <w:name w:val="样式 首行缩进:  0.80 厘米 段前: 7.8 磅"/>
    <w:basedOn w:val="1"/>
    <w:autoRedefine/>
    <w:qFormat/>
    <w:uiPriority w:val="0"/>
    <w:pPr>
      <w:widowControl/>
      <w:adjustRightInd w:val="0"/>
      <w:snapToGrid w:val="0"/>
      <w:spacing w:before="156" w:line="312" w:lineRule="auto"/>
      <w:ind w:firstLine="480" w:firstLineChars="0"/>
    </w:pPr>
    <w:rPr>
      <w:rFonts w:ascii="宋体" w:hAnsi="宋体" w:cs="宋体"/>
      <w:kern w:val="0"/>
      <w:szCs w:val="20"/>
    </w:rPr>
  </w:style>
  <w:style w:type="paragraph" w:customStyle="1" w:styleId="1827">
    <w:name w:val="生物中文类名"/>
    <w:basedOn w:val="1"/>
    <w:autoRedefine/>
    <w:qFormat/>
    <w:uiPriority w:val="0"/>
    <w:pPr>
      <w:widowControl/>
      <w:tabs>
        <w:tab w:val="left" w:pos="-120"/>
      </w:tabs>
      <w:overflowPunct w:val="0"/>
      <w:topLinePunct/>
      <w:autoSpaceDE w:val="0"/>
      <w:adjustRightInd w:val="0"/>
      <w:snapToGrid w:val="0"/>
      <w:spacing w:before="60" w:line="310" w:lineRule="atLeast"/>
      <w:ind w:firstLine="454" w:firstLineChars="0"/>
    </w:pPr>
    <w:rPr>
      <w:rFonts w:ascii="宋体" w:hAnsi="宋体" w:cs="宋体"/>
      <w:b/>
      <w:spacing w:val="20"/>
      <w:kern w:val="0"/>
      <w:szCs w:val="20"/>
    </w:rPr>
  </w:style>
  <w:style w:type="paragraph" w:customStyle="1" w:styleId="1828">
    <w:name w:val="标记文字"/>
    <w:basedOn w:val="22"/>
    <w:autoRedefine/>
    <w:qFormat/>
    <w:uiPriority w:val="0"/>
    <w:pPr>
      <w:widowControl/>
      <w:spacing w:after="0" w:line="240" w:lineRule="auto"/>
      <w:ind w:left="200" w:hanging="200" w:hangingChars="200"/>
      <w:jc w:val="both"/>
    </w:pPr>
    <w:rPr>
      <w:rFonts w:ascii="Arial" w:hAnsi="Arial" w:eastAsia="黑体"/>
      <w:color w:val="FF0000"/>
      <w:sz w:val="24"/>
      <w:szCs w:val="22"/>
      <w14:ligatures w14:val="none"/>
    </w:rPr>
  </w:style>
  <w:style w:type="paragraph" w:customStyle="1" w:styleId="1829">
    <w:name w:val="样式 生物附录 + 小四 段前: 6 磅 段后: 6 磅 非加宽量 / 紧缩量  行距: 1.5 倍行距1"/>
    <w:basedOn w:val="1"/>
    <w:autoRedefine/>
    <w:qFormat/>
    <w:uiPriority w:val="0"/>
    <w:pPr>
      <w:widowControl/>
      <w:spacing w:before="120" w:after="120"/>
      <w:ind w:firstLine="0" w:firstLineChars="0"/>
    </w:pPr>
    <w:rPr>
      <w:rFonts w:ascii="宋体" w:hAnsi="宋体" w:cs="宋体"/>
      <w:b/>
      <w:bCs/>
      <w:kern w:val="0"/>
      <w:szCs w:val="20"/>
    </w:rPr>
  </w:style>
  <w:style w:type="paragraph" w:customStyle="1" w:styleId="1830">
    <w:name w:val="封面——评价单位"/>
    <w:basedOn w:val="1"/>
    <w:autoRedefine/>
    <w:qFormat/>
    <w:uiPriority w:val="0"/>
    <w:pPr>
      <w:keepNext/>
      <w:widowControl/>
      <w:snapToGrid w:val="0"/>
      <w:ind w:firstLine="0" w:firstLineChars="0"/>
      <w:jc w:val="center"/>
    </w:pPr>
    <w:rPr>
      <w:rFonts w:ascii="宋体" w:hAnsi="宋体" w:eastAsia="仿宋_GB2312" w:cs="宋体"/>
      <w:b/>
      <w:kern w:val="0"/>
      <w:sz w:val="32"/>
      <w:szCs w:val="32"/>
    </w:rPr>
  </w:style>
  <w:style w:type="paragraph" w:customStyle="1" w:styleId="1831">
    <w:name w:val="表表"/>
    <w:basedOn w:val="1"/>
    <w:autoRedefine/>
    <w:qFormat/>
    <w:uiPriority w:val="99"/>
    <w:pPr>
      <w:widowControl/>
      <w:adjustRightInd w:val="0"/>
      <w:snapToGrid w:val="0"/>
      <w:spacing w:before="60" w:after="60"/>
      <w:ind w:firstLine="0" w:firstLineChars="0"/>
      <w:jc w:val="center"/>
    </w:pPr>
    <w:rPr>
      <w:rFonts w:ascii="宋体" w:hAnsi="宋体" w:cs="宋体"/>
      <w:kern w:val="0"/>
      <w:sz w:val="21"/>
      <w:szCs w:val="20"/>
    </w:rPr>
  </w:style>
  <w:style w:type="paragraph" w:customStyle="1" w:styleId="1832">
    <w:name w:val="表名称 Char"/>
    <w:basedOn w:val="1"/>
    <w:autoRedefine/>
    <w:qFormat/>
    <w:uiPriority w:val="0"/>
    <w:pPr>
      <w:widowControl/>
      <w:tabs>
        <w:tab w:val="left" w:pos="-120"/>
      </w:tabs>
      <w:ind w:firstLine="0" w:firstLineChars="0"/>
      <w:jc w:val="center"/>
    </w:pPr>
    <w:rPr>
      <w:rFonts w:ascii="宋体" w:hAnsi="宋体" w:eastAsia="楷体_GB2312" w:cs="宋体"/>
      <w:b/>
      <w:kern w:val="0"/>
    </w:rPr>
  </w:style>
  <w:style w:type="paragraph" w:customStyle="1" w:styleId="1833">
    <w:name w:val="默认段落字体 Para Char Char Char Char Char Char Char Char Char Char"/>
    <w:basedOn w:val="5"/>
    <w:autoRedefine/>
    <w:qFormat/>
    <w:uiPriority w:val="0"/>
    <w:pPr>
      <w:keepNext w:val="0"/>
      <w:keepLines w:val="0"/>
      <w:numPr>
        <w:ilvl w:val="0"/>
        <w:numId w:val="0"/>
      </w:numPr>
      <w:tabs>
        <w:tab w:val="left" w:pos="425"/>
        <w:tab w:val="left" w:pos="709"/>
        <w:tab w:val="left" w:pos="9990"/>
      </w:tabs>
      <w:adjustRightInd w:val="0"/>
      <w:snapToGrid w:val="0"/>
      <w:spacing w:line="360" w:lineRule="auto"/>
      <w:jc w:val="left"/>
    </w:pPr>
    <w:rPr>
      <w:rFonts w:ascii="仿宋体" w:eastAsia="仿宋体"/>
      <w:b w:val="0"/>
      <w:kern w:val="0"/>
      <w:sz w:val="24"/>
      <w:szCs w:val="24"/>
    </w:rPr>
  </w:style>
  <w:style w:type="paragraph" w:customStyle="1" w:styleId="1834">
    <w:name w:val="样式 标题 4H4h4 sub sub heading款标题1.1.1.1标题 4 Char Char标题 14 + ..."/>
    <w:basedOn w:val="6"/>
    <w:autoRedefine/>
    <w:qFormat/>
    <w:uiPriority w:val="0"/>
    <w:pPr>
      <w:widowControl/>
      <w:numPr>
        <w:ilvl w:val="0"/>
        <w:numId w:val="0"/>
      </w:numPr>
      <w:tabs>
        <w:tab w:val="left" w:pos="0"/>
        <w:tab w:val="left" w:pos="567"/>
        <w:tab w:val="left" w:pos="709"/>
      </w:tabs>
      <w:ind w:left="851" w:hanging="851"/>
    </w:pPr>
    <w:rPr>
      <w:rFonts w:ascii="黑体" w:eastAsia="黑体"/>
      <w:sz w:val="24"/>
      <w:szCs w:val="24"/>
    </w:rPr>
  </w:style>
  <w:style w:type="paragraph" w:customStyle="1" w:styleId="1835">
    <w:name w:val="Char Char Char Char Char Char Char Char Char1 Char Char Char Char Char Char Char"/>
    <w:basedOn w:val="1"/>
    <w:autoRedefine/>
    <w:qFormat/>
    <w:uiPriority w:val="0"/>
    <w:pPr>
      <w:widowControl/>
      <w:jc w:val="left"/>
    </w:pPr>
    <w:rPr>
      <w:rFonts w:ascii="宋体" w:hAnsi="宋体" w:cs="宋体"/>
      <w:kern w:val="0"/>
      <w:szCs w:val="21"/>
    </w:rPr>
  </w:style>
  <w:style w:type="paragraph" w:customStyle="1" w:styleId="1836">
    <w:name w:val="Char Char Char Char Char Char Char Char Char1 Char1"/>
    <w:basedOn w:val="1"/>
    <w:autoRedefine/>
    <w:qFormat/>
    <w:uiPriority w:val="0"/>
    <w:pPr>
      <w:widowControl/>
      <w:jc w:val="left"/>
    </w:pPr>
    <w:rPr>
      <w:rFonts w:ascii="Calibri" w:hAnsi="Calibri" w:cs="宋体"/>
      <w:bCs/>
      <w:kern w:val="0"/>
      <w:szCs w:val="28"/>
      <w:lang w:eastAsia="en-US" w:bidi="en-US"/>
    </w:rPr>
  </w:style>
  <w:style w:type="paragraph" w:customStyle="1" w:styleId="1837">
    <w:name w:val="Char Char Char Char Char Char Char Char Char11"/>
    <w:basedOn w:val="1"/>
    <w:autoRedefine/>
    <w:qFormat/>
    <w:uiPriority w:val="0"/>
    <w:pPr>
      <w:widowControl/>
      <w:jc w:val="left"/>
    </w:pPr>
    <w:rPr>
      <w:rFonts w:ascii="Calibri" w:hAnsi="Calibri" w:cs="宋体"/>
      <w:bCs/>
      <w:kern w:val="0"/>
      <w:szCs w:val="28"/>
      <w:lang w:eastAsia="en-US" w:bidi="en-US"/>
    </w:rPr>
  </w:style>
  <w:style w:type="paragraph" w:customStyle="1" w:styleId="1838">
    <w:name w:val="正文文本 22"/>
    <w:basedOn w:val="1"/>
    <w:autoRedefine/>
    <w:qFormat/>
    <w:uiPriority w:val="0"/>
    <w:pPr>
      <w:widowControl/>
      <w:adjustRightInd w:val="0"/>
      <w:spacing w:line="360" w:lineRule="atLeast"/>
      <w:ind w:firstLine="567" w:firstLineChars="0"/>
      <w:jc w:val="left"/>
    </w:pPr>
    <w:rPr>
      <w:rFonts w:ascii="宋体" w:hAnsi="宋体" w:cs="宋体"/>
      <w:kern w:val="0"/>
      <w:sz w:val="28"/>
      <w:szCs w:val="20"/>
    </w:rPr>
  </w:style>
  <w:style w:type="paragraph" w:customStyle="1" w:styleId="1839">
    <w:name w:val="Char Char Char Char Char Char Char Char Char3"/>
    <w:basedOn w:val="1"/>
    <w:autoRedefine/>
    <w:qFormat/>
    <w:uiPriority w:val="0"/>
    <w:pPr>
      <w:widowControl/>
      <w:ind w:firstLine="0" w:firstLineChars="0"/>
    </w:pPr>
    <w:rPr>
      <w:rFonts w:ascii="宋体" w:hAnsi="宋体" w:cs="宋体"/>
      <w:kern w:val="0"/>
    </w:rPr>
  </w:style>
  <w:style w:type="paragraph" w:customStyle="1" w:styleId="1840">
    <w:name w:val="Char Char Char Char Char Char Char Char Char Char Char Char Char1"/>
    <w:basedOn w:val="1"/>
    <w:autoRedefine/>
    <w:qFormat/>
    <w:uiPriority w:val="0"/>
    <w:pPr>
      <w:widowControl/>
      <w:snapToGrid w:val="0"/>
      <w:ind w:firstLine="0" w:firstLineChars="0"/>
    </w:pPr>
    <w:rPr>
      <w:rFonts w:ascii="仿宋_GB2312" w:hAnsi="宋体" w:eastAsia="仿宋_GB2312" w:cs="宋体"/>
      <w:kern w:val="0"/>
      <w:sz w:val="32"/>
      <w:szCs w:val="32"/>
    </w:rPr>
  </w:style>
  <w:style w:type="paragraph" w:customStyle="1" w:styleId="1841">
    <w:name w:val="Char Char Char11"/>
    <w:basedOn w:val="1"/>
    <w:autoRedefine/>
    <w:qFormat/>
    <w:uiPriority w:val="0"/>
    <w:pPr>
      <w:widowControl/>
      <w:jc w:val="left"/>
    </w:pPr>
    <w:rPr>
      <w:rFonts w:ascii="Calibri" w:hAnsi="Calibri" w:cs="宋体"/>
      <w:bCs/>
      <w:kern w:val="0"/>
      <w:szCs w:val="28"/>
      <w:lang w:eastAsia="en-US" w:bidi="en-US"/>
    </w:rPr>
  </w:style>
  <w:style w:type="paragraph" w:customStyle="1" w:styleId="1842">
    <w:name w:val="Char1 Char Char Char Char Char Char21"/>
    <w:basedOn w:val="1"/>
    <w:next w:val="51"/>
    <w:autoRedefine/>
    <w:qFormat/>
    <w:uiPriority w:val="0"/>
    <w:pPr>
      <w:widowControl/>
      <w:ind w:firstLine="480"/>
    </w:pPr>
    <w:rPr>
      <w:rFonts w:ascii="宋体" w:hAnsi="宋体" w:cs="宋体"/>
      <w:kern w:val="0"/>
    </w:rPr>
  </w:style>
  <w:style w:type="paragraph" w:customStyle="1" w:styleId="1843">
    <w:name w:val="Char Char Char Char Char Char Char Char Char1 Char Char Char Char Char Char Char1"/>
    <w:basedOn w:val="1"/>
    <w:autoRedefine/>
    <w:qFormat/>
    <w:uiPriority w:val="0"/>
    <w:pPr>
      <w:widowControl/>
      <w:jc w:val="left"/>
    </w:pPr>
    <w:rPr>
      <w:rFonts w:ascii="宋体" w:hAnsi="宋体" w:cs="宋体"/>
      <w:kern w:val="0"/>
      <w:szCs w:val="21"/>
    </w:rPr>
  </w:style>
  <w:style w:type="paragraph" w:customStyle="1" w:styleId="1844">
    <w:name w:val="冯正文"/>
    <w:basedOn w:val="1"/>
    <w:autoRedefine/>
    <w:qFormat/>
    <w:uiPriority w:val="0"/>
    <w:pPr>
      <w:widowControl/>
      <w:spacing w:beforeLines="25" w:line="400" w:lineRule="exact"/>
    </w:pPr>
    <w:rPr>
      <w:rFonts w:ascii="宋体" w:hAnsi="宋体" w:cs="宋体"/>
      <w:kern w:val="0"/>
      <w:szCs w:val="20"/>
    </w:rPr>
  </w:style>
  <w:style w:type="paragraph" w:customStyle="1" w:styleId="1845">
    <w:name w:val="首行缩进2字符"/>
    <w:link w:val="2494"/>
    <w:autoRedefine/>
    <w:qFormat/>
    <w:uiPriority w:val="0"/>
    <w:pPr>
      <w:spacing w:line="460" w:lineRule="exact"/>
      <w:ind w:firstLine="200"/>
    </w:pPr>
    <w:rPr>
      <w:rFonts w:ascii="Times New Roman" w:hAnsi="Times New Roman" w:eastAsia="宋体" w:cs="Times New Roman"/>
      <w:kern w:val="2"/>
      <w:lang w:val="en-US" w:eastAsia="zh-CN" w:bidi="ar-SA"/>
    </w:rPr>
  </w:style>
  <w:style w:type="paragraph" w:customStyle="1" w:styleId="1846">
    <w:name w:val="首行缩进"/>
    <w:basedOn w:val="1"/>
    <w:autoRedefine/>
    <w:qFormat/>
    <w:uiPriority w:val="0"/>
    <w:pPr>
      <w:widowControl/>
      <w:adjustRightInd w:val="0"/>
      <w:jc w:val="left"/>
    </w:pPr>
    <w:rPr>
      <w:rFonts w:ascii="宋体" w:hAnsi="宋体" w:cs="宋体"/>
      <w:kern w:val="0"/>
      <w:sz w:val="28"/>
      <w:szCs w:val="20"/>
    </w:rPr>
  </w:style>
  <w:style w:type="paragraph" w:customStyle="1" w:styleId="1847">
    <w:name w:val="条文脚注"/>
    <w:autoRedefine/>
    <w:qFormat/>
    <w:uiPriority w:val="0"/>
    <w:pPr>
      <w:snapToGrid w:val="0"/>
      <w:ind w:left="780" w:leftChars="200" w:hanging="360" w:hangingChars="200"/>
    </w:pPr>
    <w:rPr>
      <w:rFonts w:ascii="宋体" w:hAnsi="Times New Roman" w:eastAsia="宋体" w:cs="Times New Roman"/>
      <w:kern w:val="2"/>
      <w:sz w:val="18"/>
      <w:szCs w:val="18"/>
      <w:lang w:val="en-US" w:eastAsia="zh-CN" w:bidi="ar-SA"/>
    </w:rPr>
  </w:style>
  <w:style w:type="paragraph" w:customStyle="1" w:styleId="1848">
    <w:name w:val="注×："/>
    <w:autoRedefine/>
    <w:qFormat/>
    <w:uiPriority w:val="0"/>
    <w:pPr>
      <w:widowControl w:val="0"/>
      <w:numPr>
        <w:ilvl w:val="0"/>
        <w:numId w:val="26"/>
      </w:numPr>
      <w:tabs>
        <w:tab w:val="left" w:pos="630"/>
      </w:tabs>
      <w:autoSpaceDE w:val="0"/>
      <w:autoSpaceDN w:val="0"/>
      <w:jc w:val="both"/>
    </w:pPr>
    <w:rPr>
      <w:rFonts w:ascii="宋体" w:hAnsi="Times New Roman" w:eastAsia="宋体" w:cs="Times New Roman"/>
      <w:sz w:val="18"/>
      <w:lang w:val="en-US" w:eastAsia="zh-CN" w:bidi="ar-SA"/>
    </w:rPr>
  </w:style>
  <w:style w:type="paragraph" w:customStyle="1" w:styleId="1849">
    <w:name w:val="一级条标题"/>
    <w:basedOn w:val="3"/>
    <w:next w:val="4"/>
    <w:autoRedefine/>
    <w:qFormat/>
    <w:uiPriority w:val="0"/>
    <w:pPr>
      <w:keepNext w:val="0"/>
      <w:widowControl/>
      <w:numPr>
        <w:numId w:val="0"/>
      </w:numPr>
      <w:tabs>
        <w:tab w:val="left" w:pos="425"/>
        <w:tab w:val="left" w:pos="709"/>
        <w:tab w:val="left" w:pos="1440"/>
        <w:tab w:val="clear" w:pos="0"/>
      </w:tabs>
      <w:spacing w:line="240" w:lineRule="auto"/>
      <w:ind w:left="1440" w:hanging="720"/>
      <w:jc w:val="both"/>
      <w:outlineLvl w:val="2"/>
    </w:pPr>
    <w:rPr>
      <w:rFonts w:ascii="黑体"/>
      <w:b w:val="0"/>
      <w:kern w:val="0"/>
      <w:sz w:val="21"/>
      <w:szCs w:val="20"/>
    </w:rPr>
  </w:style>
  <w:style w:type="paragraph" w:customStyle="1" w:styleId="1850">
    <w:name w:val="Char Char1 Char Char Char Char Char Char Char Char Char Char Char Char Char Char Char Char Char Char Char"/>
    <w:basedOn w:val="1"/>
    <w:autoRedefine/>
    <w:qFormat/>
    <w:uiPriority w:val="0"/>
    <w:pPr>
      <w:widowControl/>
      <w:ind w:firstLine="0" w:firstLineChars="0"/>
      <w:jc w:val="left"/>
    </w:pPr>
    <w:rPr>
      <w:rFonts w:ascii="D`a c N%" w:hAnsi="D`a c N%" w:cs="宋体"/>
      <w:kern w:val="0"/>
      <w:sz w:val="28"/>
      <w:szCs w:val="20"/>
    </w:rPr>
  </w:style>
  <w:style w:type="paragraph" w:customStyle="1" w:styleId="1851">
    <w:name w:val="Paratitre"/>
    <w:basedOn w:val="1"/>
    <w:autoRedefine/>
    <w:qFormat/>
    <w:uiPriority w:val="0"/>
    <w:pPr>
      <w:widowControl/>
      <w:tabs>
        <w:tab w:val="left" w:pos="1134"/>
      </w:tabs>
      <w:adjustRightInd w:val="0"/>
      <w:ind w:left="851" w:firstLine="0" w:firstLineChars="0"/>
      <w:jc w:val="left"/>
    </w:pPr>
    <w:rPr>
      <w:rFonts w:ascii="Arial" w:hAnsi="Arial" w:cs="Arial"/>
      <w:kern w:val="0"/>
      <w:sz w:val="20"/>
      <w:szCs w:val="20"/>
      <w:lang w:eastAsia="fr-FR"/>
    </w:rPr>
  </w:style>
  <w:style w:type="character" w:customStyle="1" w:styleId="1852">
    <w:name w:val="样式 首行缩进:  2 字符 Char"/>
    <w:link w:val="903"/>
    <w:autoRedefine/>
    <w:qFormat/>
    <w:locked/>
    <w:uiPriority w:val="0"/>
    <w:rPr>
      <w:rFonts w:ascii="宋体" w:hAnsi="宋体"/>
      <w:color w:val="FF00FF"/>
      <w:kern w:val="2"/>
      <w:sz w:val="24"/>
      <w:szCs w:val="24"/>
    </w:rPr>
  </w:style>
  <w:style w:type="character" w:customStyle="1" w:styleId="1853">
    <w:name w:val="内容 Char"/>
    <w:link w:val="1854"/>
    <w:autoRedefine/>
    <w:qFormat/>
    <w:locked/>
    <w:uiPriority w:val="0"/>
    <w:rPr>
      <w:sz w:val="24"/>
      <w:szCs w:val="24"/>
      <w:lang w:val="zh-CN"/>
    </w:rPr>
  </w:style>
  <w:style w:type="paragraph" w:customStyle="1" w:styleId="1854">
    <w:name w:val="内容"/>
    <w:basedOn w:val="26"/>
    <w:next w:val="1"/>
    <w:link w:val="1853"/>
    <w:autoRedefine/>
    <w:qFormat/>
    <w:uiPriority w:val="0"/>
    <w:pPr>
      <w:widowControl/>
      <w:shd w:val="clear" w:color="auto" w:fill="auto"/>
      <w:ind w:firstLine="200" w:firstLineChars="200"/>
    </w:pPr>
    <w:rPr>
      <w:kern w:val="0"/>
      <w:lang w:val="zh-CN"/>
    </w:rPr>
  </w:style>
  <w:style w:type="paragraph" w:customStyle="1" w:styleId="1855">
    <w:name w:val="C0 Plain Text"/>
    <w:basedOn w:val="1"/>
    <w:autoRedefine/>
    <w:qFormat/>
    <w:uiPriority w:val="0"/>
    <w:pPr>
      <w:widowControl/>
      <w:overflowPunct w:val="0"/>
      <w:autoSpaceDE w:val="0"/>
      <w:autoSpaceDN w:val="0"/>
      <w:adjustRightInd w:val="0"/>
      <w:spacing w:before="120" w:after="120"/>
      <w:ind w:firstLine="0" w:firstLineChars="0"/>
    </w:pPr>
    <w:rPr>
      <w:rFonts w:ascii="宋体" w:hAnsi="宋体" w:cs="宋体"/>
      <w:kern w:val="0"/>
      <w:szCs w:val="20"/>
      <w:lang w:val="en-GB" w:eastAsia="en-US"/>
    </w:rPr>
  </w:style>
  <w:style w:type="paragraph" w:customStyle="1" w:styleId="1856">
    <w:name w:val="reader-word-layer"/>
    <w:basedOn w:val="1"/>
    <w:autoRedefine/>
    <w:qFormat/>
    <w:uiPriority w:val="0"/>
    <w:pPr>
      <w:widowControl/>
      <w:spacing w:before="100" w:beforeAutospacing="1" w:after="100" w:afterAutospacing="1"/>
      <w:ind w:firstLine="0" w:firstLineChars="0"/>
      <w:jc w:val="left"/>
    </w:pPr>
    <w:rPr>
      <w:rFonts w:ascii="宋体" w:hAnsi="宋体" w:cs="宋体"/>
      <w:kern w:val="0"/>
    </w:rPr>
  </w:style>
  <w:style w:type="character" w:customStyle="1" w:styleId="1857">
    <w:name w:val="表、图名 Char"/>
    <w:link w:val="1858"/>
    <w:autoRedefine/>
    <w:locked/>
    <w:uiPriority w:val="0"/>
    <w:rPr>
      <w:b/>
      <w:color w:val="0000FF"/>
      <w:szCs w:val="21"/>
      <w:lang w:val="zh-CN"/>
    </w:rPr>
  </w:style>
  <w:style w:type="paragraph" w:customStyle="1" w:styleId="1858">
    <w:name w:val="表、图名"/>
    <w:basedOn w:val="1"/>
    <w:link w:val="1857"/>
    <w:autoRedefine/>
    <w:qFormat/>
    <w:uiPriority w:val="0"/>
    <w:pPr>
      <w:widowControl/>
      <w:adjustRightInd w:val="0"/>
      <w:snapToGrid w:val="0"/>
      <w:ind w:firstLine="0" w:firstLineChars="0"/>
    </w:pPr>
    <w:rPr>
      <w:b/>
      <w:color w:val="0000FF"/>
      <w:kern w:val="0"/>
      <w:sz w:val="20"/>
      <w:szCs w:val="21"/>
      <w:lang w:val="zh-CN"/>
    </w:rPr>
  </w:style>
  <w:style w:type="paragraph" w:customStyle="1" w:styleId="1859">
    <w:name w:val="默认段落字体 Para Char Char Char Char Char Char Char Char Char Char Char Char Char"/>
    <w:basedOn w:val="1"/>
    <w:autoRedefine/>
    <w:qFormat/>
    <w:uiPriority w:val="0"/>
    <w:pPr>
      <w:widowControl/>
      <w:ind w:firstLine="0" w:firstLineChars="0"/>
    </w:pPr>
    <w:rPr>
      <w:rFonts w:ascii="宋体" w:hAnsi="宋体" w:cs="宋体"/>
      <w:kern w:val="0"/>
      <w:sz w:val="21"/>
    </w:rPr>
  </w:style>
  <w:style w:type="character" w:customStyle="1" w:styleId="1860">
    <w:name w:val="样式 首行缩进:  2 字符1（OPCC宋体） Char Char"/>
    <w:link w:val="1861"/>
    <w:qFormat/>
    <w:locked/>
    <w:uiPriority w:val="0"/>
    <w:rPr>
      <w:rFonts w:ascii="宋体" w:hAnsi="宋体" w:cs="宋体"/>
      <w:sz w:val="24"/>
      <w:szCs w:val="24"/>
    </w:rPr>
  </w:style>
  <w:style w:type="paragraph" w:customStyle="1" w:styleId="1861">
    <w:name w:val="样式 首行缩进:  2 字符1（OPCC宋体）"/>
    <w:basedOn w:val="1"/>
    <w:link w:val="1860"/>
    <w:autoRedefine/>
    <w:qFormat/>
    <w:uiPriority w:val="0"/>
    <w:pPr>
      <w:widowControl/>
      <w:ind w:firstLine="456"/>
    </w:pPr>
    <w:rPr>
      <w:rFonts w:ascii="宋体" w:hAnsi="宋体" w:cs="宋体"/>
      <w:kern w:val="0"/>
    </w:rPr>
  </w:style>
  <w:style w:type="character" w:customStyle="1" w:styleId="1862">
    <w:name w:val="a正文 Char"/>
    <w:link w:val="1863"/>
    <w:autoRedefine/>
    <w:qFormat/>
    <w:locked/>
    <w:uiPriority w:val="0"/>
    <w:rPr>
      <w:sz w:val="24"/>
      <w:szCs w:val="24"/>
      <w:lang w:val="zh-CN"/>
    </w:rPr>
  </w:style>
  <w:style w:type="paragraph" w:customStyle="1" w:styleId="1863">
    <w:name w:val="a正文"/>
    <w:basedOn w:val="1"/>
    <w:link w:val="1862"/>
    <w:autoRedefine/>
    <w:qFormat/>
    <w:uiPriority w:val="0"/>
    <w:pPr>
      <w:widowControl/>
    </w:pPr>
    <w:rPr>
      <w:kern w:val="0"/>
      <w:lang w:val="zh-CN"/>
    </w:rPr>
  </w:style>
  <w:style w:type="character" w:customStyle="1" w:styleId="1864">
    <w:name w:val="表格-题注（OPCC宋体） Char"/>
    <w:link w:val="1865"/>
    <w:autoRedefine/>
    <w:locked/>
    <w:uiPriority w:val="0"/>
    <w:rPr>
      <w:rFonts w:ascii="黑体" w:hAnsi="黑体" w:eastAsia="黑体" w:cs="宋体"/>
      <w:sz w:val="24"/>
      <w:szCs w:val="24"/>
    </w:rPr>
  </w:style>
  <w:style w:type="paragraph" w:customStyle="1" w:styleId="1865">
    <w:name w:val="表格-题注（OPCC宋体）"/>
    <w:basedOn w:val="1"/>
    <w:link w:val="1864"/>
    <w:autoRedefine/>
    <w:qFormat/>
    <w:uiPriority w:val="0"/>
    <w:pPr>
      <w:widowControl/>
      <w:snapToGrid w:val="0"/>
      <w:spacing w:line="336" w:lineRule="auto"/>
      <w:ind w:firstLine="480"/>
      <w:jc w:val="center"/>
    </w:pPr>
    <w:rPr>
      <w:rFonts w:ascii="黑体" w:hAnsi="黑体" w:eastAsia="黑体" w:cs="宋体"/>
      <w:kern w:val="0"/>
    </w:rPr>
  </w:style>
  <w:style w:type="character" w:customStyle="1" w:styleId="1866">
    <w:name w:val="图-题注（OPCC） Char"/>
    <w:link w:val="1867"/>
    <w:qFormat/>
    <w:locked/>
    <w:uiPriority w:val="0"/>
    <w:rPr>
      <w:rFonts w:ascii="黑体" w:hAnsi="黑体" w:eastAsia="黑体" w:cs="宋体"/>
      <w:color w:val="000000"/>
      <w:sz w:val="24"/>
      <w:szCs w:val="24"/>
    </w:rPr>
  </w:style>
  <w:style w:type="paragraph" w:customStyle="1" w:styleId="1867">
    <w:name w:val="图-题注（OPCC）"/>
    <w:basedOn w:val="22"/>
    <w:link w:val="1866"/>
    <w:autoRedefine/>
    <w:qFormat/>
    <w:uiPriority w:val="0"/>
    <w:pPr>
      <w:widowControl/>
      <w:snapToGrid w:val="0"/>
      <w:spacing w:after="0" w:line="336" w:lineRule="auto"/>
      <w:ind w:firstLine="576" w:firstLineChars="0"/>
    </w:pPr>
    <w:rPr>
      <w:rFonts w:ascii="黑体" w:hAnsi="黑体" w:eastAsia="黑体" w:cs="宋体"/>
      <w:color w:val="000000"/>
      <w:kern w:val="0"/>
      <w:sz w:val="24"/>
      <w:szCs w:val="24"/>
      <w14:ligatures w14:val="none"/>
    </w:rPr>
  </w:style>
  <w:style w:type="paragraph" w:customStyle="1" w:styleId="1868">
    <w:name w:val="表格内容（OPCC宋体）"/>
    <w:basedOn w:val="1"/>
    <w:autoRedefine/>
    <w:qFormat/>
    <w:uiPriority w:val="0"/>
    <w:pPr>
      <w:widowControl/>
      <w:adjustRightInd w:val="0"/>
      <w:snapToGrid w:val="0"/>
      <w:ind w:firstLine="0" w:firstLineChars="0"/>
      <w:jc w:val="center"/>
    </w:pPr>
    <w:rPr>
      <w:rFonts w:ascii="宋体" w:hAnsi="宋体" w:eastAsia="仿宋_GB2312" w:cs="宋体"/>
      <w:color w:val="000000"/>
      <w:kern w:val="0"/>
      <w:sz w:val="21"/>
      <w:szCs w:val="21"/>
    </w:rPr>
  </w:style>
  <w:style w:type="character" w:customStyle="1" w:styleId="1869">
    <w:name w:val="表格-内容，报告书 Char"/>
    <w:link w:val="1870"/>
    <w:autoRedefine/>
    <w:qFormat/>
    <w:locked/>
    <w:uiPriority w:val="0"/>
    <w:rPr>
      <w:rFonts w:ascii="仿宋_GB2312" w:eastAsia="仿宋_GB2312"/>
      <w:szCs w:val="18"/>
      <w:lang w:val="zh-CN"/>
    </w:rPr>
  </w:style>
  <w:style w:type="paragraph" w:customStyle="1" w:styleId="1870">
    <w:name w:val="表格-内容，报告书"/>
    <w:basedOn w:val="1"/>
    <w:link w:val="1869"/>
    <w:autoRedefine/>
    <w:qFormat/>
    <w:uiPriority w:val="0"/>
    <w:pPr>
      <w:widowControl/>
      <w:ind w:firstLine="0" w:firstLineChars="0"/>
      <w:jc w:val="center"/>
    </w:pPr>
    <w:rPr>
      <w:rFonts w:ascii="仿宋_GB2312" w:eastAsia="仿宋_GB2312"/>
      <w:kern w:val="0"/>
      <w:sz w:val="20"/>
      <w:szCs w:val="18"/>
      <w:lang w:val="zh-CN"/>
    </w:rPr>
  </w:style>
  <w:style w:type="character" w:customStyle="1" w:styleId="1871">
    <w:name w:val="图-题注，报告书 Char"/>
    <w:link w:val="1872"/>
    <w:autoRedefine/>
    <w:qFormat/>
    <w:locked/>
    <w:uiPriority w:val="0"/>
    <w:rPr>
      <w:rFonts w:ascii="宋体" w:hAnsi="宋体"/>
      <w:b/>
      <w:szCs w:val="21"/>
      <w:lang w:val="zh-CN"/>
    </w:rPr>
  </w:style>
  <w:style w:type="paragraph" w:customStyle="1" w:styleId="1872">
    <w:name w:val="图-题注，报告书"/>
    <w:basedOn w:val="22"/>
    <w:link w:val="1871"/>
    <w:autoRedefine/>
    <w:qFormat/>
    <w:uiPriority w:val="0"/>
    <w:pPr>
      <w:keepNext/>
      <w:widowControl/>
      <w:snapToGrid w:val="0"/>
      <w:spacing w:after="0" w:line="240" w:lineRule="auto"/>
      <w:ind w:firstLine="576" w:firstLineChars="0"/>
    </w:pPr>
    <w:rPr>
      <w:rFonts w:ascii="宋体" w:hAnsi="宋体" w:eastAsia="宋体"/>
      <w:b/>
      <w:kern w:val="0"/>
      <w:sz w:val="20"/>
      <w:szCs w:val="21"/>
      <w:lang w:val="zh-CN"/>
      <w14:ligatures w14:val="none"/>
    </w:rPr>
  </w:style>
  <w:style w:type="paragraph" w:customStyle="1" w:styleId="1873">
    <w:name w:val="普通(网站)1"/>
    <w:basedOn w:val="1"/>
    <w:uiPriority w:val="0"/>
    <w:pPr>
      <w:widowControl/>
      <w:spacing w:before="100" w:beforeAutospacing="1" w:after="100" w:afterAutospacing="1"/>
      <w:ind w:firstLine="0" w:firstLineChars="0"/>
      <w:jc w:val="left"/>
    </w:pPr>
    <w:rPr>
      <w:rFonts w:ascii="宋体" w:hAnsi="宋体" w:cs="宋体"/>
      <w:kern w:val="0"/>
    </w:rPr>
  </w:style>
  <w:style w:type="character" w:customStyle="1" w:styleId="1874">
    <w:name w:val="样式 题注实德题注题注 Char Char Char题注 Char Char Char Char Char Char题注... Char"/>
    <w:link w:val="1875"/>
    <w:autoRedefine/>
    <w:qFormat/>
    <w:locked/>
    <w:uiPriority w:val="0"/>
    <w:rPr>
      <w:rFonts w:ascii="Arial" w:hAnsi="Arial" w:eastAsia="黑体" w:cs="宋体"/>
      <w:sz w:val="24"/>
    </w:rPr>
  </w:style>
  <w:style w:type="paragraph" w:customStyle="1" w:styleId="1875">
    <w:name w:val="样式 题注实德题注题注 Char Char Char题注 Char Char Char Char Char Char题注..."/>
    <w:basedOn w:val="22"/>
    <w:link w:val="1874"/>
    <w:autoRedefine/>
    <w:qFormat/>
    <w:uiPriority w:val="0"/>
    <w:pPr>
      <w:widowControl/>
      <w:spacing w:after="0" w:line="360" w:lineRule="auto"/>
      <w:ind w:firstLine="400"/>
      <w:jc w:val="both"/>
    </w:pPr>
    <w:rPr>
      <w:rFonts w:ascii="Arial" w:hAnsi="Arial" w:eastAsia="黑体" w:cs="宋体"/>
      <w:kern w:val="0"/>
      <w:sz w:val="24"/>
      <w:szCs w:val="20"/>
      <w14:ligatures w14:val="none"/>
    </w:rPr>
  </w:style>
  <w:style w:type="paragraph" w:customStyle="1" w:styleId="1876">
    <w:name w:val="样式 标题 4 + 四号"/>
    <w:basedOn w:val="6"/>
    <w:next w:val="6"/>
    <w:autoRedefine/>
    <w:uiPriority w:val="0"/>
    <w:pPr>
      <w:widowControl/>
      <w:numPr>
        <w:ilvl w:val="0"/>
        <w:numId w:val="0"/>
      </w:numPr>
      <w:tabs>
        <w:tab w:val="left" w:pos="0"/>
        <w:tab w:val="left" w:pos="709"/>
      </w:tabs>
    </w:pPr>
    <w:rPr>
      <w:rFonts w:eastAsia="黑体"/>
      <w:b w:val="0"/>
    </w:rPr>
  </w:style>
  <w:style w:type="paragraph" w:customStyle="1" w:styleId="1877">
    <w:name w:val="样式 样式 环评正文 + 首行缩进:  2 字符 + 首行缩进:  2 字符"/>
    <w:basedOn w:val="1"/>
    <w:autoRedefine/>
    <w:uiPriority w:val="0"/>
    <w:pPr>
      <w:widowControl/>
      <w:ind w:firstLine="512" w:firstLineChars="0"/>
    </w:pPr>
    <w:rPr>
      <w:rFonts w:ascii="宋体" w:hAnsi="宋体" w:cs="宋体"/>
      <w:spacing w:val="8"/>
      <w:kern w:val="0"/>
      <w:sz w:val="21"/>
      <w:szCs w:val="20"/>
    </w:rPr>
  </w:style>
  <w:style w:type="paragraph" w:customStyle="1" w:styleId="1878">
    <w:name w:val="Char Char36 Char Char Char Char Char Char"/>
    <w:basedOn w:val="1"/>
    <w:autoRedefine/>
    <w:qFormat/>
    <w:uiPriority w:val="0"/>
    <w:pPr>
      <w:widowControl/>
      <w:spacing w:after="160" w:line="240" w:lineRule="exact"/>
      <w:ind w:firstLine="0" w:firstLineChars="0"/>
      <w:jc w:val="left"/>
    </w:pPr>
    <w:rPr>
      <w:rFonts w:ascii="Verdana" w:hAnsi="Verdana" w:cs="宋体"/>
      <w:kern w:val="0"/>
      <w:sz w:val="20"/>
      <w:szCs w:val="20"/>
      <w:lang w:eastAsia="en-US"/>
    </w:rPr>
  </w:style>
  <w:style w:type="paragraph" w:customStyle="1" w:styleId="1879">
    <w:name w:val="Char Char36 Char Char Char Char Char Char Char Char Char Char Char Char"/>
    <w:basedOn w:val="1"/>
    <w:autoRedefine/>
    <w:qFormat/>
    <w:uiPriority w:val="0"/>
    <w:pPr>
      <w:widowControl/>
      <w:spacing w:after="160" w:line="240" w:lineRule="exact"/>
      <w:ind w:firstLine="0" w:firstLineChars="0"/>
      <w:jc w:val="left"/>
    </w:pPr>
    <w:rPr>
      <w:rFonts w:ascii="Verdana" w:hAnsi="Verdana" w:cs="宋体"/>
      <w:kern w:val="0"/>
      <w:sz w:val="20"/>
      <w:szCs w:val="20"/>
      <w:lang w:eastAsia="en-US"/>
    </w:rPr>
  </w:style>
  <w:style w:type="paragraph" w:customStyle="1" w:styleId="1880">
    <w:name w:val="表格内容+"/>
    <w:basedOn w:val="1"/>
    <w:autoRedefine/>
    <w:semiHidden/>
    <w:qFormat/>
    <w:uiPriority w:val="0"/>
    <w:pPr>
      <w:widowControl/>
      <w:adjustRightInd w:val="0"/>
      <w:snapToGrid w:val="0"/>
      <w:spacing w:after="120" w:line="0" w:lineRule="atLeast"/>
      <w:ind w:firstLine="0" w:firstLineChars="0"/>
      <w:jc w:val="center"/>
    </w:pPr>
    <w:rPr>
      <w:rFonts w:ascii="宋体" w:hAnsi="宋体" w:cs="宋体"/>
      <w:kern w:val="0"/>
      <w:sz w:val="21"/>
      <w:szCs w:val="21"/>
    </w:rPr>
  </w:style>
  <w:style w:type="paragraph" w:customStyle="1" w:styleId="1881">
    <w:name w:val="Normal New New New"/>
    <w:autoRedefine/>
    <w:qFormat/>
    <w:uiPriority w:val="0"/>
    <w:pPr>
      <w:jc w:val="both"/>
    </w:pPr>
    <w:rPr>
      <w:rFonts w:ascii="Times New Roman" w:hAnsi="Times New Roman" w:eastAsia="宋体" w:cs="Times New Roman"/>
      <w:kern w:val="2"/>
      <w:sz w:val="21"/>
      <w:szCs w:val="21"/>
      <w:lang w:val="en-US" w:eastAsia="zh-CN" w:bidi="ar-SA"/>
    </w:rPr>
  </w:style>
  <w:style w:type="character" w:customStyle="1" w:styleId="1882">
    <w:name w:val="表格正文（安） Char"/>
    <w:link w:val="1883"/>
    <w:autoRedefine/>
    <w:qFormat/>
    <w:locked/>
    <w:uiPriority w:val="0"/>
    <w:rPr>
      <w:color w:val="000000"/>
      <w:szCs w:val="21"/>
      <w:lang w:val="zh-CN"/>
    </w:rPr>
  </w:style>
  <w:style w:type="paragraph" w:customStyle="1" w:styleId="1883">
    <w:name w:val="表格正文（安）"/>
    <w:basedOn w:val="1"/>
    <w:link w:val="1882"/>
    <w:autoRedefine/>
    <w:qFormat/>
    <w:uiPriority w:val="0"/>
    <w:pPr>
      <w:widowControl/>
      <w:ind w:firstLine="0" w:firstLineChars="0"/>
      <w:jc w:val="center"/>
    </w:pPr>
    <w:rPr>
      <w:color w:val="000000"/>
      <w:kern w:val="0"/>
      <w:sz w:val="20"/>
      <w:szCs w:val="21"/>
      <w:lang w:val="zh-CN"/>
    </w:rPr>
  </w:style>
  <w:style w:type="character" w:customStyle="1" w:styleId="1884">
    <w:name w:val="正文小四首缩1.3行距 Char"/>
    <w:link w:val="1885"/>
    <w:autoRedefine/>
    <w:qFormat/>
    <w:locked/>
    <w:uiPriority w:val="0"/>
    <w:rPr>
      <w:sz w:val="24"/>
      <w:szCs w:val="24"/>
      <w:lang w:val="zh-CN"/>
    </w:rPr>
  </w:style>
  <w:style w:type="paragraph" w:customStyle="1" w:styleId="1885">
    <w:name w:val="正文小四首缩1.3行距"/>
    <w:basedOn w:val="1"/>
    <w:link w:val="1884"/>
    <w:autoRedefine/>
    <w:uiPriority w:val="0"/>
    <w:pPr>
      <w:widowControl/>
      <w:spacing w:line="312" w:lineRule="auto"/>
      <w:ind w:firstLine="420"/>
    </w:pPr>
    <w:rPr>
      <w:kern w:val="0"/>
      <w:lang w:val="zh-CN"/>
    </w:rPr>
  </w:style>
  <w:style w:type="character" w:customStyle="1" w:styleId="1886">
    <w:name w:val="表字 Char Char"/>
    <w:link w:val="1887"/>
    <w:autoRedefine/>
    <w:qFormat/>
    <w:locked/>
    <w:uiPriority w:val="0"/>
    <w:rPr>
      <w:kern w:val="2"/>
      <w:sz w:val="21"/>
      <w:szCs w:val="24"/>
    </w:rPr>
  </w:style>
  <w:style w:type="paragraph" w:customStyle="1" w:styleId="1887">
    <w:name w:val="表字"/>
    <w:link w:val="1886"/>
    <w:autoRedefine/>
    <w:qFormat/>
    <w:uiPriority w:val="0"/>
    <w:pPr>
      <w:widowControl w:val="0"/>
      <w:jc w:val="center"/>
    </w:pPr>
    <w:rPr>
      <w:rFonts w:ascii="Times New Roman" w:hAnsi="Times New Roman" w:eastAsia="宋体" w:cs="Times New Roman"/>
      <w:kern w:val="2"/>
      <w:sz w:val="21"/>
      <w:szCs w:val="24"/>
      <w:lang w:val="en-US" w:eastAsia="zh-CN" w:bidi="ar-SA"/>
    </w:rPr>
  </w:style>
  <w:style w:type="character" w:customStyle="1" w:styleId="1888">
    <w:name w:val="小四正文 Char"/>
    <w:link w:val="1889"/>
    <w:autoRedefine/>
    <w:qFormat/>
    <w:locked/>
    <w:uiPriority w:val="0"/>
    <w:rPr>
      <w:bCs/>
      <w:sz w:val="24"/>
      <w:szCs w:val="24"/>
    </w:rPr>
  </w:style>
  <w:style w:type="paragraph" w:customStyle="1" w:styleId="1889">
    <w:name w:val="小四正文"/>
    <w:link w:val="1888"/>
    <w:autoRedefine/>
    <w:qFormat/>
    <w:uiPriority w:val="0"/>
    <w:pPr>
      <w:spacing w:line="360" w:lineRule="auto"/>
      <w:ind w:firstLine="480" w:firstLineChars="200"/>
      <w:jc w:val="both"/>
    </w:pPr>
    <w:rPr>
      <w:rFonts w:ascii="Times New Roman" w:hAnsi="Times New Roman" w:eastAsia="宋体" w:cs="Times New Roman"/>
      <w:bCs/>
      <w:sz w:val="24"/>
      <w:szCs w:val="24"/>
      <w:lang w:val="en-US" w:eastAsia="zh-CN" w:bidi="ar-SA"/>
    </w:rPr>
  </w:style>
  <w:style w:type="paragraph" w:customStyle="1" w:styleId="1890">
    <w:name w:val="Char Char1 Char Char Char Char Char Char Char Char Char Char Char Char Char Char Char Char Char Char"/>
    <w:basedOn w:val="1"/>
    <w:autoRedefine/>
    <w:qFormat/>
    <w:uiPriority w:val="0"/>
    <w:pPr>
      <w:widowControl/>
    </w:pPr>
    <w:rPr>
      <w:rFonts w:ascii="宋体" w:hAnsi="宋体" w:cs="宋体"/>
      <w:kern w:val="0"/>
    </w:rPr>
  </w:style>
  <w:style w:type="paragraph" w:customStyle="1" w:styleId="1891">
    <w:name w:val="样式 正文首行缩进 2 + 首行缩进:  2 字符"/>
    <w:basedOn w:val="87"/>
    <w:autoRedefine/>
    <w:qFormat/>
    <w:uiPriority w:val="0"/>
    <w:pPr>
      <w:widowControl/>
      <w:tabs>
        <w:tab w:val="clear" w:pos="964"/>
        <w:tab w:val="clear" w:pos="1172"/>
      </w:tabs>
      <w:spacing w:after="120" w:line="360" w:lineRule="auto"/>
      <w:ind w:left="0" w:firstLine="480" w:firstLineChars="200"/>
    </w:pPr>
    <w:rPr>
      <w:rFonts w:ascii="Times New Roman" w:hAnsi="Times New Roman" w:cs="宋体"/>
      <w:color w:val="0000FF"/>
      <w:sz w:val="24"/>
    </w:rPr>
  </w:style>
  <w:style w:type="paragraph" w:customStyle="1" w:styleId="1892">
    <w:name w:val="表头字"/>
    <w:basedOn w:val="1"/>
    <w:autoRedefine/>
    <w:qFormat/>
    <w:uiPriority w:val="0"/>
    <w:pPr>
      <w:widowControl/>
      <w:suppressAutoHyphens/>
      <w:snapToGrid w:val="0"/>
      <w:ind w:firstLine="0" w:firstLineChars="0"/>
      <w:jc w:val="center"/>
    </w:pPr>
    <w:rPr>
      <w:rFonts w:ascii="黑体" w:hAnsi="宋体" w:eastAsia="黑体" w:cs="宋体"/>
      <w:kern w:val="0"/>
    </w:rPr>
  </w:style>
  <w:style w:type="paragraph" w:customStyle="1" w:styleId="1893">
    <w:name w:val="样式 标题 4 Char + 幼圆 小四 非加粗 蓝色"/>
    <w:basedOn w:val="6"/>
    <w:autoRedefine/>
    <w:qFormat/>
    <w:uiPriority w:val="0"/>
    <w:pPr>
      <w:widowControl/>
      <w:numPr>
        <w:ilvl w:val="0"/>
        <w:numId w:val="0"/>
      </w:numPr>
      <w:tabs>
        <w:tab w:val="left" w:pos="0"/>
      </w:tabs>
    </w:pPr>
    <w:rPr>
      <w:rFonts w:ascii="幼圆" w:hAnsi="幼圆" w:eastAsia="幼圆"/>
      <w:b w:val="0"/>
      <w:bCs w:val="0"/>
      <w:color w:val="0000FF"/>
    </w:rPr>
  </w:style>
  <w:style w:type="character" w:customStyle="1" w:styleId="1894">
    <w:name w:val="段落正文 Char"/>
    <w:link w:val="1895"/>
    <w:autoRedefine/>
    <w:qFormat/>
    <w:locked/>
    <w:uiPriority w:val="0"/>
    <w:rPr>
      <w:sz w:val="24"/>
      <w:szCs w:val="24"/>
      <w:lang w:val="zh-CN"/>
    </w:rPr>
  </w:style>
  <w:style w:type="paragraph" w:customStyle="1" w:styleId="1895">
    <w:name w:val="段落正文"/>
    <w:basedOn w:val="1"/>
    <w:link w:val="1894"/>
    <w:autoRedefine/>
    <w:qFormat/>
    <w:uiPriority w:val="0"/>
    <w:pPr>
      <w:widowControl/>
      <w:ind w:firstLine="480"/>
    </w:pPr>
    <w:rPr>
      <w:kern w:val="0"/>
      <w:lang w:val="zh-CN"/>
    </w:rPr>
  </w:style>
  <w:style w:type="paragraph" w:customStyle="1" w:styleId="1896">
    <w:name w:val="样式 标题 1标题 1 1章标题 1标题 1 Char + 黑体 三号 非加粗 居中 段前: 30 磅 段后: ..."/>
    <w:basedOn w:val="3"/>
    <w:autoRedefine/>
    <w:qFormat/>
    <w:uiPriority w:val="0"/>
    <w:pPr>
      <w:keepLines/>
      <w:numPr>
        <w:numId w:val="27"/>
      </w:numPr>
      <w:tabs>
        <w:tab w:val="left" w:pos="425"/>
        <w:tab w:val="clear" w:pos="0"/>
      </w:tabs>
      <w:spacing w:before="600" w:line="520" w:lineRule="exact"/>
    </w:pPr>
    <w:rPr>
      <w:rFonts w:ascii="黑体" w:hAnsi="Arial" w:cs="宋体"/>
      <w:b w:val="0"/>
      <w:sz w:val="32"/>
      <w:szCs w:val="20"/>
    </w:rPr>
  </w:style>
  <w:style w:type="paragraph" w:customStyle="1" w:styleId="1897">
    <w:name w:val="WW-正文首行缩进"/>
    <w:basedOn w:val="34"/>
    <w:autoRedefine/>
    <w:qFormat/>
    <w:uiPriority w:val="0"/>
    <w:pPr>
      <w:widowControl/>
      <w:spacing w:after="120" w:line="360" w:lineRule="auto"/>
      <w:ind w:firstLine="420"/>
      <w:jc w:val="both"/>
    </w:pPr>
    <w:rPr>
      <w:rFonts w:eastAsia="黑体" w:cs="宋体"/>
      <w:sz w:val="24"/>
      <w:lang w:val="zh-CN" w:eastAsia="ar-SA"/>
    </w:rPr>
  </w:style>
  <w:style w:type="character" w:customStyle="1" w:styleId="1898">
    <w:name w:val="cjf表头 Char"/>
    <w:link w:val="1899"/>
    <w:autoRedefine/>
    <w:qFormat/>
    <w:locked/>
    <w:uiPriority w:val="0"/>
    <w:rPr>
      <w:rFonts w:ascii="黑体" w:hAnsi="华文中宋" w:eastAsia="黑体"/>
      <w:b/>
      <w:sz w:val="21"/>
      <w:szCs w:val="21"/>
      <w:lang w:val="zh-CN"/>
    </w:rPr>
  </w:style>
  <w:style w:type="paragraph" w:customStyle="1" w:styleId="1899">
    <w:name w:val="cjf表头"/>
    <w:basedOn w:val="1"/>
    <w:link w:val="1898"/>
    <w:autoRedefine/>
    <w:qFormat/>
    <w:uiPriority w:val="0"/>
    <w:pPr>
      <w:widowControl/>
      <w:spacing w:before="120" w:after="120"/>
      <w:ind w:firstLine="0" w:firstLineChars="0"/>
      <w:jc w:val="center"/>
    </w:pPr>
    <w:rPr>
      <w:rFonts w:ascii="黑体" w:hAnsi="华文中宋" w:eastAsia="黑体"/>
      <w:b/>
      <w:kern w:val="0"/>
      <w:sz w:val="21"/>
      <w:szCs w:val="21"/>
      <w:lang w:val="zh-CN"/>
    </w:rPr>
  </w:style>
  <w:style w:type="character" w:customStyle="1" w:styleId="1900">
    <w:name w:val="样式 标题 3 + 四号 Char"/>
    <w:link w:val="1901"/>
    <w:autoRedefine/>
    <w:qFormat/>
    <w:locked/>
    <w:uiPriority w:val="0"/>
    <w:rPr>
      <w:rFonts w:ascii="黑体" w:hAnsi="黑体" w:eastAsia="黑体"/>
      <w:bCs/>
      <w:kern w:val="2"/>
      <w:sz w:val="28"/>
      <w:szCs w:val="32"/>
      <w:lang w:val="zh-CN"/>
    </w:rPr>
  </w:style>
  <w:style w:type="paragraph" w:customStyle="1" w:styleId="1901">
    <w:name w:val="样式 标题 3 + 四号"/>
    <w:basedOn w:val="5"/>
    <w:link w:val="1900"/>
    <w:autoRedefine/>
    <w:qFormat/>
    <w:uiPriority w:val="0"/>
    <w:pPr>
      <w:numPr>
        <w:ilvl w:val="0"/>
        <w:numId w:val="0"/>
      </w:numPr>
      <w:tabs>
        <w:tab w:val="left" w:pos="425"/>
        <w:tab w:val="left" w:pos="709"/>
      </w:tabs>
      <w:adjustRightInd w:val="0"/>
      <w:snapToGrid w:val="0"/>
      <w:spacing w:line="360" w:lineRule="auto"/>
    </w:pPr>
    <w:rPr>
      <w:rFonts w:ascii="黑体" w:hAnsi="黑体"/>
      <w:b w:val="0"/>
      <w:sz w:val="28"/>
      <w:szCs w:val="32"/>
      <w:lang w:val="zh-CN"/>
    </w:rPr>
  </w:style>
  <w:style w:type="character" w:customStyle="1" w:styleId="1902">
    <w:name w:val="样式 标题 2 + Times New Roman 四号 非加粗 Char"/>
    <w:link w:val="1450"/>
    <w:autoRedefine/>
    <w:qFormat/>
    <w:locked/>
    <w:uiPriority w:val="0"/>
    <w:rPr>
      <w:rFonts w:eastAsia="黑体"/>
      <w:kern w:val="2"/>
      <w:sz w:val="30"/>
      <w:szCs w:val="30"/>
    </w:rPr>
  </w:style>
  <w:style w:type="character" w:customStyle="1" w:styleId="1903">
    <w:name w:val="样式 标题 4 + Times New Roman 段后: 7.8 磅 Char"/>
    <w:link w:val="1904"/>
    <w:autoRedefine/>
    <w:qFormat/>
    <w:locked/>
    <w:uiPriority w:val="0"/>
    <w:rPr>
      <w:b/>
      <w:bCs/>
      <w:kern w:val="2"/>
      <w:sz w:val="24"/>
      <w:lang w:val="zh-CN"/>
    </w:rPr>
  </w:style>
  <w:style w:type="paragraph" w:customStyle="1" w:styleId="1904">
    <w:name w:val="样式 标题 4 + Times New Roman 段后: 7.8 磅"/>
    <w:basedOn w:val="6"/>
    <w:link w:val="1903"/>
    <w:autoRedefine/>
    <w:qFormat/>
    <w:uiPriority w:val="0"/>
    <w:pPr>
      <w:widowControl/>
      <w:numPr>
        <w:ilvl w:val="0"/>
        <w:numId w:val="0"/>
      </w:numPr>
      <w:tabs>
        <w:tab w:val="left" w:pos="0"/>
        <w:tab w:val="left" w:pos="709"/>
      </w:tabs>
      <w:spacing w:before="120" w:after="120"/>
    </w:pPr>
    <w:rPr>
      <w:sz w:val="24"/>
      <w:szCs w:val="20"/>
      <w:lang w:val="zh-CN"/>
    </w:rPr>
  </w:style>
  <w:style w:type="character" w:customStyle="1" w:styleId="1905">
    <w:name w:val="表内容 Char"/>
    <w:link w:val="857"/>
    <w:autoRedefine/>
    <w:qFormat/>
    <w:locked/>
    <w:uiPriority w:val="0"/>
    <w:rPr>
      <w:kern w:val="2"/>
      <w:sz w:val="21"/>
      <w:szCs w:val="21"/>
    </w:rPr>
  </w:style>
  <w:style w:type="paragraph" w:customStyle="1" w:styleId="1906">
    <w:name w:val="样式 小四 段后: 6 磅 行距: 1.5 倍行距"/>
    <w:basedOn w:val="1"/>
    <w:autoRedefine/>
    <w:qFormat/>
    <w:uiPriority w:val="0"/>
    <w:pPr>
      <w:widowControl/>
      <w:spacing w:after="80"/>
    </w:pPr>
    <w:rPr>
      <w:rFonts w:ascii="宋体" w:hAnsi="宋体" w:cs="宋体"/>
      <w:kern w:val="0"/>
      <w:szCs w:val="20"/>
    </w:rPr>
  </w:style>
  <w:style w:type="character" w:customStyle="1" w:styleId="1907">
    <w:name w:val="正文烟台 Char Char"/>
    <w:link w:val="1908"/>
    <w:autoRedefine/>
    <w:qFormat/>
    <w:locked/>
    <w:uiPriority w:val="0"/>
    <w:rPr>
      <w:sz w:val="24"/>
      <w:szCs w:val="24"/>
    </w:rPr>
  </w:style>
  <w:style w:type="paragraph" w:customStyle="1" w:styleId="1908">
    <w:name w:val="正文烟台"/>
    <w:basedOn w:val="34"/>
    <w:link w:val="1907"/>
    <w:autoRedefine/>
    <w:qFormat/>
    <w:uiPriority w:val="0"/>
    <w:pPr>
      <w:widowControl/>
      <w:adjustRightInd w:val="0"/>
      <w:snapToGrid w:val="0"/>
      <w:spacing w:line="360" w:lineRule="auto"/>
      <w:ind w:firstLine="200" w:firstLineChars="200"/>
      <w:jc w:val="both"/>
    </w:pPr>
    <w:rPr>
      <w:kern w:val="0"/>
      <w:sz w:val="24"/>
    </w:rPr>
  </w:style>
  <w:style w:type="character" w:customStyle="1" w:styleId="1909">
    <w:name w:val="表格内字体 Char"/>
    <w:link w:val="1910"/>
    <w:autoRedefine/>
    <w:qFormat/>
    <w:locked/>
    <w:uiPriority w:val="0"/>
    <w:rPr>
      <w:rFonts w:ascii="宋体" w:hAnsi="宋体"/>
      <w:szCs w:val="24"/>
      <w:lang w:val="zh-CN"/>
    </w:rPr>
  </w:style>
  <w:style w:type="paragraph" w:customStyle="1" w:styleId="1910">
    <w:name w:val="表格内字体"/>
    <w:basedOn w:val="513"/>
    <w:next w:val="513"/>
    <w:link w:val="1909"/>
    <w:autoRedefine/>
    <w:qFormat/>
    <w:uiPriority w:val="0"/>
    <w:pPr>
      <w:widowControl/>
      <w:autoSpaceDE/>
      <w:autoSpaceDN/>
      <w:adjustRightInd/>
      <w:ind w:firstLine="0" w:firstLineChars="0"/>
      <w:jc w:val="center"/>
    </w:pPr>
    <w:rPr>
      <w:rFonts w:ascii="宋体" w:hAnsi="宋体"/>
      <w:sz w:val="20"/>
      <w:lang w:val="zh-CN"/>
    </w:rPr>
  </w:style>
  <w:style w:type="paragraph" w:customStyle="1" w:styleId="1911">
    <w:name w:val="徐三级标题"/>
    <w:basedOn w:val="5"/>
    <w:next w:val="1"/>
    <w:autoRedefine/>
    <w:qFormat/>
    <w:uiPriority w:val="0"/>
    <w:pPr>
      <w:numPr>
        <w:numId w:val="28"/>
      </w:numPr>
      <w:tabs>
        <w:tab w:val="left" w:pos="840"/>
        <w:tab w:val="left" w:pos="1050"/>
        <w:tab w:val="left" w:pos="1260"/>
      </w:tabs>
      <w:adjustRightInd w:val="0"/>
      <w:spacing w:before="60" w:after="60" w:line="500" w:lineRule="exact"/>
      <w:jc w:val="left"/>
    </w:pPr>
    <w:rPr>
      <w:rFonts w:eastAsia="Times New Roman"/>
      <w:bCs w:val="0"/>
      <w:kern w:val="0"/>
      <w:sz w:val="24"/>
      <w:szCs w:val="24"/>
    </w:rPr>
  </w:style>
  <w:style w:type="paragraph" w:customStyle="1" w:styleId="1912">
    <w:name w:val="【表头】"/>
    <w:basedOn w:val="1"/>
    <w:autoRedefine/>
    <w:qFormat/>
    <w:uiPriority w:val="0"/>
    <w:pPr>
      <w:widowControl/>
      <w:ind w:firstLine="0" w:firstLineChars="0"/>
      <w:jc w:val="center"/>
    </w:pPr>
    <w:rPr>
      <w:rFonts w:ascii="宋体" w:hAnsi="宋体" w:eastAsia="黑体" w:cs="Arial"/>
      <w:kern w:val="0"/>
    </w:rPr>
  </w:style>
  <w:style w:type="paragraph" w:customStyle="1" w:styleId="1913">
    <w:name w:val="00正文"/>
    <w:basedOn w:val="1"/>
    <w:autoRedefine/>
    <w:qFormat/>
    <w:uiPriority w:val="0"/>
    <w:pPr>
      <w:widowControl/>
      <w:spacing w:line="300" w:lineRule="exact"/>
      <w:ind w:firstLine="0" w:firstLineChars="0"/>
      <w:jc w:val="center"/>
    </w:pPr>
    <w:rPr>
      <w:rFonts w:ascii="宋体" w:hAnsi="宋体" w:cs="宋体"/>
      <w:bCs/>
      <w:caps/>
      <w:color w:val="000000"/>
      <w:kern w:val="0"/>
      <w:sz w:val="21"/>
    </w:rPr>
  </w:style>
  <w:style w:type="character" w:customStyle="1" w:styleId="1914">
    <w:name w:val="！4级标题 Char"/>
    <w:link w:val="1915"/>
    <w:autoRedefine/>
    <w:locked/>
    <w:uiPriority w:val="0"/>
    <w:rPr>
      <w:b/>
      <w:sz w:val="24"/>
      <w:lang w:val="zh-CN"/>
    </w:rPr>
  </w:style>
  <w:style w:type="paragraph" w:customStyle="1" w:styleId="1915">
    <w:name w:val="！4级标题"/>
    <w:basedOn w:val="1"/>
    <w:link w:val="1914"/>
    <w:autoRedefine/>
    <w:qFormat/>
    <w:uiPriority w:val="0"/>
    <w:pPr>
      <w:widowControl/>
      <w:spacing w:after="120"/>
      <w:ind w:firstLine="0" w:firstLineChars="0"/>
      <w:outlineLvl w:val="3"/>
    </w:pPr>
    <w:rPr>
      <w:b/>
      <w:kern w:val="0"/>
      <w:szCs w:val="20"/>
      <w:lang w:val="zh-CN"/>
    </w:rPr>
  </w:style>
  <w:style w:type="character" w:customStyle="1" w:styleId="1916">
    <w:name w:val="正文-使用 Char"/>
    <w:link w:val="1917"/>
    <w:qFormat/>
    <w:locked/>
    <w:uiPriority w:val="0"/>
    <w:rPr>
      <w:kern w:val="2"/>
      <w:sz w:val="24"/>
      <w:lang w:val="zh-CN" w:eastAsia="ar-SA"/>
    </w:rPr>
  </w:style>
  <w:style w:type="paragraph" w:customStyle="1" w:styleId="1917">
    <w:name w:val="正文-使用"/>
    <w:basedOn w:val="1"/>
    <w:link w:val="1916"/>
    <w:autoRedefine/>
    <w:qFormat/>
    <w:uiPriority w:val="0"/>
    <w:pPr>
      <w:widowControl/>
      <w:suppressAutoHyphens/>
      <w:snapToGrid w:val="0"/>
      <w:ind w:firstLine="482" w:firstLineChars="0"/>
    </w:pPr>
    <w:rPr>
      <w:szCs w:val="20"/>
      <w:lang w:val="zh-CN" w:eastAsia="ar-SA"/>
    </w:rPr>
  </w:style>
  <w:style w:type="paragraph" w:customStyle="1" w:styleId="1918">
    <w:name w:val="默认段落字体 Para Char Char Char Char Char Char Char Char Char Char Char Char"/>
    <w:basedOn w:val="26"/>
    <w:autoRedefine/>
    <w:qFormat/>
    <w:uiPriority w:val="0"/>
    <w:pPr>
      <w:widowControl/>
      <w:adjustRightInd w:val="0"/>
      <w:spacing w:line="436" w:lineRule="exact"/>
      <w:ind w:left="357"/>
      <w:jc w:val="left"/>
      <w:outlineLvl w:val="3"/>
    </w:pPr>
    <w:rPr>
      <w:rFonts w:ascii="Tahoma" w:hAnsi="Tahoma"/>
      <w:b/>
    </w:rPr>
  </w:style>
  <w:style w:type="paragraph" w:customStyle="1" w:styleId="1919">
    <w:name w:val="卷、册、名称"/>
    <w:basedOn w:val="1"/>
    <w:autoRedefine/>
    <w:qFormat/>
    <w:uiPriority w:val="0"/>
    <w:pPr>
      <w:widowControl/>
      <w:spacing w:beforeLines="100"/>
      <w:ind w:firstLine="0" w:firstLineChars="0"/>
      <w:jc w:val="center"/>
      <w:outlineLvl w:val="0"/>
    </w:pPr>
    <w:rPr>
      <w:rFonts w:ascii="宋体" w:hAnsi="宋体" w:cs="宋体"/>
      <w:b/>
      <w:bCs/>
      <w:spacing w:val="20"/>
      <w:kern w:val="0"/>
      <w:sz w:val="36"/>
    </w:rPr>
  </w:style>
  <w:style w:type="paragraph" w:customStyle="1" w:styleId="1920">
    <w:name w:val="hh正文"/>
    <w:basedOn w:val="1"/>
    <w:autoRedefine/>
    <w:qFormat/>
    <w:uiPriority w:val="0"/>
    <w:pPr>
      <w:widowControl/>
      <w:spacing w:line="400" w:lineRule="exact"/>
      <w:ind w:left="212" w:leftChars="101" w:firstLine="480"/>
    </w:pPr>
    <w:rPr>
      <w:rFonts w:ascii="宋体" w:hAnsi="宋体" w:cs="宋体"/>
      <w:kern w:val="0"/>
    </w:rPr>
  </w:style>
  <w:style w:type="character" w:customStyle="1" w:styleId="1921">
    <w:name w:val="正文-zl Char"/>
    <w:link w:val="1922"/>
    <w:autoRedefine/>
    <w:qFormat/>
    <w:locked/>
    <w:uiPriority w:val="0"/>
    <w:rPr>
      <w:color w:val="000000"/>
      <w:kern w:val="2"/>
      <w:sz w:val="28"/>
      <w:szCs w:val="28"/>
    </w:rPr>
  </w:style>
  <w:style w:type="paragraph" w:customStyle="1" w:styleId="1922">
    <w:name w:val="正文-zl"/>
    <w:basedOn w:val="1"/>
    <w:link w:val="1921"/>
    <w:autoRedefine/>
    <w:qFormat/>
    <w:uiPriority w:val="0"/>
    <w:pPr>
      <w:spacing w:line="360" w:lineRule="auto"/>
      <w:ind w:firstLine="560"/>
    </w:pPr>
    <w:rPr>
      <w:color w:val="000000"/>
      <w:sz w:val="28"/>
      <w:szCs w:val="28"/>
    </w:rPr>
  </w:style>
  <w:style w:type="paragraph" w:customStyle="1" w:styleId="1923">
    <w:name w:val="一般正文"/>
    <w:basedOn w:val="1"/>
    <w:autoRedefine/>
    <w:qFormat/>
    <w:uiPriority w:val="0"/>
    <w:pPr>
      <w:spacing w:line="560" w:lineRule="exact"/>
      <w:ind w:firstLine="560"/>
    </w:pPr>
    <w:rPr>
      <w:rFonts w:eastAsia="楷体_GB2312" w:cs="宋体"/>
      <w:sz w:val="28"/>
      <w:szCs w:val="20"/>
    </w:rPr>
  </w:style>
  <w:style w:type="paragraph" w:customStyle="1" w:styleId="1924">
    <w:name w:val="三级标题-zl"/>
    <w:basedOn w:val="5"/>
    <w:autoRedefine/>
    <w:qFormat/>
    <w:uiPriority w:val="0"/>
    <w:pPr>
      <w:numPr>
        <w:ilvl w:val="0"/>
        <w:numId w:val="0"/>
      </w:numPr>
      <w:tabs>
        <w:tab w:val="left" w:pos="425"/>
        <w:tab w:val="left" w:pos="1276"/>
        <w:tab w:val="left" w:pos="1575"/>
      </w:tabs>
      <w:spacing w:line="360" w:lineRule="auto"/>
    </w:pPr>
    <w:rPr>
      <w:rFonts w:eastAsia="楷体_GB2312"/>
      <w:b w:val="0"/>
      <w:bCs w:val="0"/>
      <w:color w:val="000000"/>
      <w:sz w:val="28"/>
      <w:lang w:val="zh-CN"/>
    </w:rPr>
  </w:style>
  <w:style w:type="paragraph" w:customStyle="1" w:styleId="1925">
    <w:name w:val="列项——（一级）"/>
    <w:autoRedefine/>
    <w:qFormat/>
    <w:uiPriority w:val="0"/>
    <w:pPr>
      <w:widowControl w:val="0"/>
      <w:numPr>
        <w:ilvl w:val="0"/>
        <w:numId w:val="29"/>
      </w:numPr>
      <w:jc w:val="both"/>
    </w:pPr>
    <w:rPr>
      <w:rFonts w:ascii="宋体" w:hAnsi="Times New Roman" w:eastAsia="楷体_GB2312" w:cs="Times New Roman"/>
      <w:color w:val="000000"/>
      <w:kern w:val="2"/>
      <w:sz w:val="21"/>
      <w:szCs w:val="28"/>
      <w:lang w:val="en-US" w:eastAsia="zh-CN" w:bidi="ar-SA"/>
    </w:rPr>
  </w:style>
  <w:style w:type="paragraph" w:customStyle="1" w:styleId="1926">
    <w:name w:val="列项●（二级）"/>
    <w:autoRedefine/>
    <w:qFormat/>
    <w:uiPriority w:val="0"/>
    <w:pPr>
      <w:numPr>
        <w:ilvl w:val="1"/>
        <w:numId w:val="29"/>
      </w:numPr>
      <w:tabs>
        <w:tab w:val="left" w:pos="840"/>
      </w:tabs>
      <w:jc w:val="both"/>
    </w:pPr>
    <w:rPr>
      <w:rFonts w:ascii="宋体" w:hAnsi="Times New Roman" w:eastAsia="楷体_GB2312" w:cs="Times New Roman"/>
      <w:color w:val="000000"/>
      <w:kern w:val="2"/>
      <w:sz w:val="21"/>
      <w:szCs w:val="28"/>
      <w:lang w:val="en-US" w:eastAsia="zh-CN" w:bidi="ar-SA"/>
    </w:rPr>
  </w:style>
  <w:style w:type="paragraph" w:customStyle="1" w:styleId="1927">
    <w:name w:val="列项◆（三级）"/>
    <w:basedOn w:val="1"/>
    <w:autoRedefine/>
    <w:qFormat/>
    <w:uiPriority w:val="0"/>
    <w:pPr>
      <w:numPr>
        <w:ilvl w:val="2"/>
        <w:numId w:val="29"/>
      </w:numPr>
      <w:ind w:firstLine="0" w:firstLineChars="0"/>
    </w:pPr>
    <w:rPr>
      <w:rFonts w:ascii="宋体" w:eastAsia="楷体_GB2312"/>
      <w:color w:val="000000"/>
      <w:sz w:val="28"/>
      <w:szCs w:val="21"/>
    </w:rPr>
  </w:style>
  <w:style w:type="paragraph" w:customStyle="1" w:styleId="1928">
    <w:name w:val="正文x"/>
    <w:autoRedefine/>
    <w:qFormat/>
    <w:uiPriority w:val="0"/>
    <w:pPr>
      <w:spacing w:line="480" w:lineRule="exact"/>
      <w:ind w:firstLine="200" w:firstLineChars="200"/>
      <w:jc w:val="both"/>
    </w:pPr>
    <w:rPr>
      <w:rFonts w:ascii="Times New Roman" w:hAnsi="Times New Roman" w:eastAsia="楷体_GB2312" w:cs="Times New Roman"/>
      <w:kern w:val="2"/>
      <w:sz w:val="28"/>
      <w:szCs w:val="28"/>
      <w:lang w:val="en-US" w:eastAsia="zh-CN" w:bidi="ar-SA"/>
    </w:rPr>
  </w:style>
  <w:style w:type="paragraph" w:customStyle="1" w:styleId="1929">
    <w:name w:val="样式 点项 + 段前: 5 磅 行距: 固定值 20 磅"/>
    <w:basedOn w:val="1"/>
    <w:autoRedefine/>
    <w:semiHidden/>
    <w:qFormat/>
    <w:uiPriority w:val="0"/>
    <w:pPr>
      <w:widowControl/>
      <w:numPr>
        <w:ilvl w:val="0"/>
        <w:numId w:val="30"/>
      </w:numPr>
      <w:snapToGrid w:val="0"/>
      <w:spacing w:before="100" w:line="400" w:lineRule="exact"/>
      <w:ind w:firstLine="0" w:firstLineChars="0"/>
      <w:jc w:val="left"/>
    </w:pPr>
    <w:rPr>
      <w:rFonts w:eastAsia="楷体_GB2312" w:cs="宋体"/>
      <w:sz w:val="28"/>
      <w:szCs w:val="20"/>
    </w:rPr>
  </w:style>
  <w:style w:type="character" w:customStyle="1" w:styleId="1930">
    <w:name w:val="正zmx Char"/>
    <w:link w:val="1931"/>
    <w:autoRedefine/>
    <w:semiHidden/>
    <w:qFormat/>
    <w:locked/>
    <w:uiPriority w:val="0"/>
    <w:rPr>
      <w:rFonts w:ascii="仿宋_GB2312" w:eastAsia="仿宋_GB2312"/>
      <w:sz w:val="28"/>
      <w:szCs w:val="28"/>
    </w:rPr>
  </w:style>
  <w:style w:type="paragraph" w:customStyle="1" w:styleId="1931">
    <w:name w:val="正zmx"/>
    <w:link w:val="1930"/>
    <w:autoRedefine/>
    <w:semiHidden/>
    <w:qFormat/>
    <w:uiPriority w:val="0"/>
    <w:pPr>
      <w:widowControl w:val="0"/>
      <w:spacing w:line="480" w:lineRule="exact"/>
      <w:ind w:firstLine="560" w:firstLineChars="200"/>
      <w:jc w:val="both"/>
    </w:pPr>
    <w:rPr>
      <w:rFonts w:ascii="仿宋_GB2312" w:hAnsi="Times New Roman" w:eastAsia="仿宋_GB2312" w:cs="Times New Roman"/>
      <w:sz w:val="28"/>
      <w:szCs w:val="28"/>
      <w:lang w:val="en-US" w:eastAsia="zh-CN" w:bidi="ar-SA"/>
    </w:rPr>
  </w:style>
  <w:style w:type="paragraph" w:customStyle="1" w:styleId="1932">
    <w:name w:val="有关文件"/>
    <w:basedOn w:val="1"/>
    <w:autoRedefine/>
    <w:qFormat/>
    <w:uiPriority w:val="0"/>
    <w:pPr>
      <w:widowControl/>
      <w:numPr>
        <w:ilvl w:val="0"/>
        <w:numId w:val="31"/>
      </w:numPr>
      <w:tabs>
        <w:tab w:val="left" w:pos="900"/>
      </w:tabs>
      <w:spacing w:beforeLines="50" w:afterLines="50"/>
      <w:ind w:hanging="200" w:hangingChars="200"/>
      <w:jc w:val="left"/>
    </w:pPr>
    <w:rPr>
      <w:kern w:val="0"/>
      <w:szCs w:val="20"/>
    </w:rPr>
  </w:style>
  <w:style w:type="paragraph" w:customStyle="1" w:styleId="1933">
    <w:name w:val="Char Char4 Char Char Char Char Char Char Char Char Char Char Char Char Char Char"/>
    <w:basedOn w:val="1"/>
    <w:autoRedefine/>
    <w:qFormat/>
    <w:uiPriority w:val="0"/>
    <w:pPr>
      <w:spacing w:line="360" w:lineRule="auto"/>
    </w:pPr>
    <w:rPr>
      <w:rFonts w:ascii="Tahoma" w:hAnsi="Tahoma"/>
      <w:szCs w:val="20"/>
    </w:rPr>
  </w:style>
  <w:style w:type="paragraph" w:customStyle="1" w:styleId="1934">
    <w:name w:val="1级"/>
    <w:autoRedefine/>
    <w:qFormat/>
    <w:uiPriority w:val="0"/>
    <w:pPr>
      <w:tabs>
        <w:tab w:val="left" w:pos="1077"/>
      </w:tabs>
      <w:spacing w:before="240" w:after="120"/>
      <w:ind w:left="1077" w:hanging="1077"/>
      <w:jc w:val="both"/>
      <w:outlineLvl w:val="0"/>
    </w:pPr>
    <w:rPr>
      <w:rFonts w:ascii="Arial" w:hAnsi="Arial" w:eastAsia="宋体" w:cs="Arial"/>
      <w:b/>
      <w:caps/>
      <w:sz w:val="22"/>
      <w:lang w:val="en-US" w:eastAsia="zh-CN" w:bidi="ar-SA"/>
    </w:rPr>
  </w:style>
  <w:style w:type="paragraph" w:customStyle="1" w:styleId="1935">
    <w:name w:val="规划"/>
    <w:basedOn w:val="1"/>
    <w:autoRedefine/>
    <w:qFormat/>
    <w:uiPriority w:val="0"/>
    <w:pPr>
      <w:widowControl/>
      <w:tabs>
        <w:tab w:val="left" w:pos="1560"/>
      </w:tabs>
      <w:spacing w:beforeLines="50" w:afterLines="50"/>
      <w:ind w:left="1560" w:hanging="720" w:firstLineChars="0"/>
      <w:jc w:val="left"/>
    </w:pPr>
    <w:rPr>
      <w:kern w:val="0"/>
      <w:szCs w:val="20"/>
    </w:rPr>
  </w:style>
  <w:style w:type="character" w:customStyle="1" w:styleId="1936">
    <w:name w:val="正文文本 (2)_"/>
    <w:link w:val="1937"/>
    <w:autoRedefine/>
    <w:qFormat/>
    <w:locked/>
    <w:uiPriority w:val="0"/>
    <w:rPr>
      <w:rFonts w:ascii="MingLiU" w:hAnsi="MingLiU" w:eastAsia="MingLiU" w:cs="MingLiU"/>
      <w:sz w:val="22"/>
      <w:szCs w:val="22"/>
      <w:shd w:val="clear" w:color="auto" w:fill="FFFFFF"/>
      <w:lang w:eastAsia="en-US" w:bidi="en-US"/>
    </w:rPr>
  </w:style>
  <w:style w:type="paragraph" w:customStyle="1" w:styleId="1937">
    <w:name w:val="正文文本 (2)"/>
    <w:basedOn w:val="1"/>
    <w:link w:val="1936"/>
    <w:qFormat/>
    <w:uiPriority w:val="0"/>
    <w:pPr>
      <w:shd w:val="clear" w:color="auto" w:fill="FFFFFF"/>
      <w:spacing w:after="240" w:line="0" w:lineRule="atLeast"/>
      <w:ind w:firstLine="0" w:firstLineChars="0"/>
      <w:jc w:val="center"/>
    </w:pPr>
    <w:rPr>
      <w:rFonts w:ascii="MingLiU" w:hAnsi="MingLiU" w:eastAsia="MingLiU" w:cs="MingLiU"/>
      <w:kern w:val="0"/>
      <w:sz w:val="22"/>
      <w:szCs w:val="22"/>
      <w:lang w:eastAsia="en-US" w:bidi="en-US"/>
    </w:rPr>
  </w:style>
  <w:style w:type="character" w:customStyle="1" w:styleId="1938">
    <w:name w:val="3级1） Char"/>
    <w:link w:val="1939"/>
    <w:autoRedefine/>
    <w:qFormat/>
    <w:locked/>
    <w:uiPriority w:val="0"/>
    <w:rPr>
      <w:rFonts w:ascii="宋体" w:hAnsi="Arial" w:eastAsia="黑体" w:cs="宋体"/>
      <w:color w:val="000000"/>
      <w:spacing w:val="6"/>
      <w:kern w:val="2"/>
      <w:sz w:val="24"/>
      <w:szCs w:val="24"/>
    </w:rPr>
  </w:style>
  <w:style w:type="paragraph" w:customStyle="1" w:styleId="1939">
    <w:name w:val="3级1）"/>
    <w:basedOn w:val="1"/>
    <w:link w:val="1938"/>
    <w:autoRedefine/>
    <w:qFormat/>
    <w:uiPriority w:val="0"/>
    <w:pPr>
      <w:adjustRightInd w:val="0"/>
      <w:snapToGrid w:val="0"/>
      <w:spacing w:line="360" w:lineRule="auto"/>
      <w:ind w:left="693" w:leftChars="150" w:hanging="378" w:hangingChars="150"/>
      <w:jc w:val="left"/>
    </w:pPr>
    <w:rPr>
      <w:rFonts w:ascii="宋体" w:hAnsi="Arial" w:eastAsia="黑体" w:cs="宋体"/>
      <w:color w:val="000000"/>
      <w:spacing w:val="6"/>
    </w:rPr>
  </w:style>
  <w:style w:type="paragraph" w:customStyle="1" w:styleId="1940">
    <w:name w:val="表中文字"/>
    <w:basedOn w:val="1"/>
    <w:link w:val="3467"/>
    <w:autoRedefine/>
    <w:qFormat/>
    <w:uiPriority w:val="0"/>
    <w:pPr>
      <w:snapToGrid w:val="0"/>
      <w:ind w:firstLine="0" w:firstLineChars="0"/>
      <w:jc w:val="center"/>
    </w:pPr>
    <w:rPr>
      <w:kern w:val="0"/>
      <w:sz w:val="21"/>
      <w:szCs w:val="21"/>
      <w:lang w:eastAsia="zh-TW"/>
    </w:rPr>
  </w:style>
  <w:style w:type="character" w:customStyle="1" w:styleId="1941">
    <w:name w:val="明显强调3"/>
    <w:autoRedefine/>
    <w:qFormat/>
    <w:uiPriority w:val="21"/>
    <w:rPr>
      <w:i/>
      <w:iCs/>
      <w:caps/>
      <w:spacing w:val="10"/>
      <w:sz w:val="20"/>
      <w:szCs w:val="20"/>
    </w:rPr>
  </w:style>
  <w:style w:type="character" w:customStyle="1" w:styleId="1942">
    <w:name w:val="明显参考1"/>
    <w:qFormat/>
    <w:uiPriority w:val="0"/>
    <w:rPr>
      <w:rFonts w:hint="default" w:ascii="Calibri" w:hAnsi="Calibri" w:eastAsia="宋体" w:cs="Times New Roman"/>
      <w:b/>
      <w:bCs/>
      <w:i/>
      <w:iCs/>
      <w:color w:val="622423"/>
    </w:rPr>
  </w:style>
  <w:style w:type="character" w:customStyle="1" w:styleId="1943">
    <w:name w:val="书籍标题1"/>
    <w:autoRedefine/>
    <w:qFormat/>
    <w:uiPriority w:val="0"/>
    <w:rPr>
      <w:caps/>
      <w:color w:val="622423"/>
      <w:spacing w:val="5"/>
      <w:u w:color="622423"/>
    </w:rPr>
  </w:style>
  <w:style w:type="character" w:customStyle="1" w:styleId="1944">
    <w:name w:val="不明显强调11"/>
    <w:autoRedefine/>
    <w:qFormat/>
    <w:uiPriority w:val="19"/>
    <w:rPr>
      <w:i/>
      <w:iCs/>
      <w:color w:val="808080"/>
    </w:rPr>
  </w:style>
  <w:style w:type="character" w:customStyle="1" w:styleId="1945">
    <w:name w:val="identication Char1"/>
    <w:autoRedefine/>
    <w:qFormat/>
    <w:uiPriority w:val="0"/>
    <w:rPr>
      <w:rFonts w:hint="eastAsia" w:ascii="宋体" w:hAnsi="宋体" w:eastAsia="宋体"/>
    </w:rPr>
  </w:style>
  <w:style w:type="character" w:customStyle="1" w:styleId="1946">
    <w:name w:val="日期 Char1"/>
    <w:autoRedefine/>
    <w:qFormat/>
    <w:uiPriority w:val="0"/>
    <w:rPr>
      <w:rFonts w:hint="eastAsia" w:ascii="宋体" w:hAnsi="宋体" w:eastAsia="宋体" w:cs="宋体"/>
      <w:color w:val="000000"/>
      <w:kern w:val="2"/>
      <w:sz w:val="24"/>
      <w:szCs w:val="24"/>
      <w:lang w:val="en-US" w:eastAsia="zh-CN" w:bidi="ar-SA"/>
    </w:rPr>
  </w:style>
  <w:style w:type="character" w:customStyle="1" w:styleId="1947">
    <w:name w:val="批注文字 字符2"/>
    <w:autoRedefine/>
    <w:qFormat/>
    <w:uiPriority w:val="0"/>
    <w:rPr>
      <w:rFonts w:hint="default" w:ascii="Times New Roman" w:hAnsi="Times New Roman" w:cs="Times New Roman"/>
      <w:kern w:val="2"/>
      <w:sz w:val="21"/>
      <w:szCs w:val="21"/>
    </w:rPr>
  </w:style>
  <w:style w:type="character" w:customStyle="1" w:styleId="1948">
    <w:name w:val="正文1 Char"/>
    <w:autoRedefine/>
    <w:qFormat/>
    <w:uiPriority w:val="0"/>
    <w:rPr>
      <w:rFonts w:hint="default" w:ascii="Times New Roman" w:hAnsi="Times New Roman" w:cs="Times New Roman"/>
      <w:kern w:val="2"/>
      <w:sz w:val="24"/>
      <w:szCs w:val="24"/>
    </w:rPr>
  </w:style>
  <w:style w:type="character" w:customStyle="1" w:styleId="1949">
    <w:name w:val="r_16"/>
    <w:autoRedefine/>
    <w:qFormat/>
    <w:uiPriority w:val="0"/>
    <w:rPr>
      <w:rFonts w:eastAsia="黑体" w:cs="宋体"/>
      <w:color w:val="000000"/>
      <w:kern w:val="2"/>
      <w:sz w:val="32"/>
      <w:szCs w:val="32"/>
      <w:lang w:val="en-US" w:eastAsia="zh-CN" w:bidi="ar-SA"/>
    </w:rPr>
  </w:style>
  <w:style w:type="character" w:customStyle="1" w:styleId="1950">
    <w:name w:val="题注 Char1"/>
    <w:autoRedefine/>
    <w:qFormat/>
    <w:uiPriority w:val="0"/>
    <w:rPr>
      <w:bCs/>
      <w:color w:val="000000"/>
      <w:kern w:val="0"/>
      <w:sz w:val="22"/>
      <w:szCs w:val="18"/>
    </w:rPr>
  </w:style>
  <w:style w:type="character" w:customStyle="1" w:styleId="1951">
    <w:name w:val="content151"/>
    <w:autoRedefine/>
    <w:qFormat/>
    <w:uiPriority w:val="0"/>
    <w:rPr>
      <w:sz w:val="18"/>
      <w:szCs w:val="18"/>
      <w:u w:val="none"/>
    </w:rPr>
  </w:style>
  <w:style w:type="character" w:customStyle="1" w:styleId="1952">
    <w:name w:val="落款 Char Char"/>
    <w:autoRedefine/>
    <w:qFormat/>
    <w:uiPriority w:val="0"/>
    <w:rPr>
      <w:rFonts w:hint="eastAsia" w:ascii="宋体" w:hAnsi="宋体" w:eastAsia="宋体"/>
      <w:kern w:val="2"/>
      <w:sz w:val="21"/>
      <w:szCs w:val="24"/>
      <w:lang w:val="en-US" w:eastAsia="zh-CN" w:bidi="ar-SA"/>
    </w:rPr>
  </w:style>
  <w:style w:type="character" w:customStyle="1" w:styleId="1953">
    <w:name w:val="Char Char9"/>
    <w:autoRedefine/>
    <w:qFormat/>
    <w:uiPriority w:val="0"/>
    <w:rPr>
      <w:rFonts w:hint="eastAsia" w:ascii="宋体" w:hAnsi="宋体" w:eastAsia="宋体"/>
      <w:kern w:val="2"/>
      <w:sz w:val="18"/>
      <w:szCs w:val="18"/>
      <w:lang w:val="en-US" w:eastAsia="zh-CN" w:bidi="ar-SA"/>
    </w:rPr>
  </w:style>
  <w:style w:type="character" w:customStyle="1" w:styleId="1954">
    <w:name w:val="highlight1"/>
    <w:autoRedefine/>
    <w:qFormat/>
    <w:uiPriority w:val="0"/>
    <w:rPr>
      <w:sz w:val="42"/>
      <w:szCs w:val="42"/>
    </w:rPr>
  </w:style>
  <w:style w:type="character" w:customStyle="1" w:styleId="1955">
    <w:name w:val="引用文章 Char"/>
    <w:autoRedefine/>
    <w:qFormat/>
    <w:uiPriority w:val="0"/>
    <w:rPr>
      <w:rFonts w:hint="eastAsia" w:ascii="楷体_GB2312" w:eastAsia="楷体_GB2312" w:cs="宋体"/>
      <w:kern w:val="2"/>
      <w:sz w:val="24"/>
      <w:lang w:val="en-US" w:eastAsia="zh-CN" w:bidi="ar-SA"/>
    </w:rPr>
  </w:style>
  <w:style w:type="character" w:customStyle="1" w:styleId="1956">
    <w:name w:val="正文文字缩进 2 Char Char"/>
    <w:autoRedefine/>
    <w:qFormat/>
    <w:uiPriority w:val="0"/>
    <w:rPr>
      <w:rFonts w:hint="eastAsia" w:ascii="宋体" w:hAnsi="宋体" w:eastAsia="宋体"/>
      <w:kern w:val="2"/>
      <w:sz w:val="24"/>
      <w:lang w:val="en-US" w:eastAsia="zh-CN" w:bidi="ar-SA"/>
    </w:rPr>
  </w:style>
  <w:style w:type="character" w:customStyle="1" w:styleId="1957">
    <w:name w:val="black1"/>
    <w:autoRedefine/>
    <w:qFormat/>
    <w:uiPriority w:val="0"/>
    <w:rPr>
      <w:b/>
      <w:bCs/>
      <w:color w:val="333333"/>
      <w:sz w:val="19"/>
      <w:szCs w:val="19"/>
    </w:rPr>
  </w:style>
  <w:style w:type="character" w:customStyle="1" w:styleId="1958">
    <w:name w:val="正文文字缩进 21 Char Char"/>
    <w:autoRedefine/>
    <w:qFormat/>
    <w:uiPriority w:val="0"/>
    <w:rPr>
      <w:rFonts w:hint="eastAsia" w:ascii="宋体" w:hAnsi="宋体" w:eastAsia="宋体"/>
      <w:kern w:val="2"/>
      <w:sz w:val="21"/>
      <w:szCs w:val="24"/>
      <w:lang w:val="en-US" w:eastAsia="zh-CN" w:bidi="ar-SA"/>
    </w:rPr>
  </w:style>
  <w:style w:type="character" w:customStyle="1" w:styleId="1959">
    <w:name w:val="kait"/>
    <w:autoRedefine/>
    <w:qFormat/>
    <w:uiPriority w:val="0"/>
    <w:rPr>
      <w:rFonts w:eastAsia="黑体" w:cs="宋体"/>
      <w:color w:val="000000"/>
      <w:kern w:val="2"/>
      <w:sz w:val="32"/>
      <w:szCs w:val="32"/>
      <w:lang w:val="en-US" w:eastAsia="zh-CN" w:bidi="ar-SA"/>
    </w:rPr>
  </w:style>
  <w:style w:type="character" w:customStyle="1" w:styleId="1960">
    <w:name w:val="font121"/>
    <w:autoRedefine/>
    <w:qFormat/>
    <w:uiPriority w:val="0"/>
    <w:rPr>
      <w:sz w:val="18"/>
      <w:szCs w:val="18"/>
      <w:u w:val="none"/>
    </w:rPr>
  </w:style>
  <w:style w:type="character" w:customStyle="1" w:styleId="1961">
    <w:name w:val="Heading 2 Char1 Char"/>
    <w:autoRedefine/>
    <w:qFormat/>
    <w:uiPriority w:val="0"/>
    <w:rPr>
      <w:rFonts w:hint="default" w:ascii="Arial" w:hAnsi="Arial" w:eastAsia="黑体" w:cs="Arial"/>
      <w:b/>
      <w:bCs/>
      <w:kern w:val="2"/>
      <w:sz w:val="32"/>
      <w:szCs w:val="32"/>
      <w:lang w:val="en-US" w:eastAsia="zh-CN" w:bidi="ar-SA"/>
    </w:rPr>
  </w:style>
  <w:style w:type="character" w:customStyle="1" w:styleId="1962">
    <w:name w:val="标题 3 Char2 Char Char"/>
    <w:qFormat/>
    <w:uiPriority w:val="0"/>
    <w:rPr>
      <w:rFonts w:hint="eastAsia" w:ascii="仿宋_GB2312" w:eastAsia="仿宋_GB2312"/>
      <w:b/>
      <w:spacing w:val="6"/>
      <w:kern w:val="2"/>
      <w:sz w:val="28"/>
      <w:lang w:val="en-US" w:eastAsia="zh-CN" w:bidi="ar-SA"/>
    </w:rPr>
  </w:style>
  <w:style w:type="character" w:customStyle="1" w:styleId="1963">
    <w:name w:val="批注文字 Char1"/>
    <w:autoRedefine/>
    <w:qFormat/>
    <w:uiPriority w:val="99"/>
    <w:rPr>
      <w:rFonts w:eastAsia="黑体" w:cs="宋体"/>
      <w:color w:val="000000"/>
      <w:kern w:val="2"/>
      <w:sz w:val="32"/>
      <w:szCs w:val="32"/>
      <w:lang w:val="en-US" w:eastAsia="zh-CN" w:bidi="ar-SA"/>
    </w:rPr>
  </w:style>
  <w:style w:type="character" w:customStyle="1" w:styleId="1964">
    <w:name w:val="明显引用 Char1"/>
    <w:autoRedefine/>
    <w:qFormat/>
    <w:uiPriority w:val="0"/>
    <w:rPr>
      <w:b/>
      <w:bCs/>
      <w:i/>
      <w:iCs/>
      <w:color w:val="4F81BD"/>
    </w:rPr>
  </w:style>
  <w:style w:type="character" w:customStyle="1" w:styleId="1965">
    <w:name w:val="Char Char18"/>
    <w:autoRedefine/>
    <w:qFormat/>
    <w:uiPriority w:val="0"/>
    <w:rPr>
      <w:sz w:val="18"/>
      <w:szCs w:val="18"/>
    </w:rPr>
  </w:style>
  <w:style w:type="character" w:customStyle="1" w:styleId="1966">
    <w:name w:val="Char Char91"/>
    <w:autoRedefine/>
    <w:qFormat/>
    <w:uiPriority w:val="0"/>
    <w:rPr>
      <w:rFonts w:hint="eastAsia" w:ascii="宋体" w:hAnsi="宋体" w:eastAsia="宋体"/>
      <w:kern w:val="2"/>
      <w:sz w:val="18"/>
      <w:szCs w:val="18"/>
      <w:lang w:val="en-US" w:eastAsia="zh-CN" w:bidi="ar-SA"/>
    </w:rPr>
  </w:style>
  <w:style w:type="character" w:customStyle="1" w:styleId="1967">
    <w:name w:val="Char Char151"/>
    <w:autoRedefine/>
    <w:qFormat/>
    <w:uiPriority w:val="0"/>
    <w:rPr>
      <w:rFonts w:hint="default" w:ascii="Calibri" w:hAnsi="Calibri" w:eastAsia="宋体" w:cs="Calibri"/>
      <w:b/>
      <w:bCs/>
      <w:sz w:val="28"/>
      <w:szCs w:val="28"/>
      <w:lang w:val="en-US" w:eastAsia="en-US" w:bidi="en-US"/>
    </w:rPr>
  </w:style>
  <w:style w:type="character" w:customStyle="1" w:styleId="1968">
    <w:name w:val="Char Char Char Char111"/>
    <w:autoRedefine/>
    <w:qFormat/>
    <w:uiPriority w:val="0"/>
    <w:rPr>
      <w:rFonts w:hint="eastAsia" w:ascii="宋体" w:hAnsi="宋体" w:eastAsia="宋体"/>
      <w:kern w:val="2"/>
      <w:sz w:val="18"/>
      <w:szCs w:val="18"/>
      <w:lang w:val="en-US" w:eastAsia="zh-CN" w:bidi="ar-SA"/>
    </w:rPr>
  </w:style>
  <w:style w:type="character" w:customStyle="1" w:styleId="1969">
    <w:name w:val="表头 Char Char"/>
    <w:autoRedefine/>
    <w:qFormat/>
    <w:uiPriority w:val="0"/>
    <w:rPr>
      <w:rFonts w:hint="eastAsia" w:ascii="仿宋_GB2312" w:eastAsia="仿宋_GB2312"/>
      <w:b/>
      <w:kern w:val="2"/>
      <w:sz w:val="24"/>
      <w:szCs w:val="24"/>
    </w:rPr>
  </w:style>
  <w:style w:type="character" w:customStyle="1" w:styleId="1970">
    <w:name w:val="批注框文本 Char1"/>
    <w:autoRedefine/>
    <w:qFormat/>
    <w:uiPriority w:val="0"/>
    <w:rPr>
      <w:rFonts w:hint="eastAsia" w:ascii="宋体" w:hAnsi="宋体" w:eastAsia="宋体" w:cs="宋体"/>
      <w:kern w:val="2"/>
      <w:sz w:val="18"/>
      <w:szCs w:val="18"/>
      <w:lang w:val="en-US" w:eastAsia="zh-CN" w:bidi="ar-SA"/>
    </w:rPr>
  </w:style>
  <w:style w:type="character" w:customStyle="1" w:styleId="1971">
    <w:name w:val="subtable altbg2 t_msg"/>
    <w:autoRedefine/>
    <w:qFormat/>
    <w:uiPriority w:val="0"/>
    <w:rPr>
      <w:rFonts w:hint="eastAsia" w:ascii="宋体" w:hAnsi="宋体" w:eastAsia="宋体" w:cs="宋体"/>
      <w:kern w:val="2"/>
      <w:sz w:val="24"/>
      <w:szCs w:val="24"/>
      <w:lang w:val="en-US" w:eastAsia="zh-CN" w:bidi="ar-SA"/>
    </w:rPr>
  </w:style>
  <w:style w:type="character" w:customStyle="1" w:styleId="1972">
    <w:name w:val="标题1 Char"/>
    <w:autoRedefine/>
    <w:qFormat/>
    <w:uiPriority w:val="0"/>
    <w:rPr>
      <w:rFonts w:hint="eastAsia" w:ascii="黑体" w:hAnsi="宋体" w:eastAsia="黑体" w:cs="Times New Roman"/>
      <w:bCs/>
      <w:color w:val="000000"/>
      <w:kern w:val="44"/>
      <w:sz w:val="32"/>
      <w:szCs w:val="32"/>
    </w:rPr>
  </w:style>
  <w:style w:type="character" w:customStyle="1" w:styleId="1973">
    <w:name w:val="3级标题 Char Char"/>
    <w:autoRedefine/>
    <w:qFormat/>
    <w:uiPriority w:val="0"/>
    <w:rPr>
      <w:rFonts w:hint="eastAsia" w:ascii="宋体" w:hAnsi="宋体" w:eastAsia="宋体"/>
      <w:b/>
      <w:bCs/>
      <w:kern w:val="2"/>
      <w:sz w:val="24"/>
      <w:szCs w:val="24"/>
      <w:lang w:val="en-US" w:eastAsia="zh-CN" w:bidi="ar-SA"/>
    </w:rPr>
  </w:style>
  <w:style w:type="character" w:customStyle="1" w:styleId="1974">
    <w:name w:val="正文文本缩进 2 Char1"/>
    <w:autoRedefine/>
    <w:qFormat/>
    <w:uiPriority w:val="0"/>
    <w:rPr>
      <w:rFonts w:hint="eastAsia" w:ascii="宋体" w:hAnsi="宋体" w:eastAsia="宋体"/>
      <w:kern w:val="2"/>
      <w:sz w:val="21"/>
      <w:szCs w:val="24"/>
      <w:lang w:val="en-US" w:eastAsia="zh-CN" w:bidi="ar-SA"/>
    </w:rPr>
  </w:style>
  <w:style w:type="character" w:customStyle="1" w:styleId="1975">
    <w:name w:val="表名 Char Char"/>
    <w:autoRedefine/>
    <w:qFormat/>
    <w:uiPriority w:val="0"/>
    <w:rPr>
      <w:rFonts w:hint="default" w:ascii="Arial" w:hAnsi="宋体" w:eastAsia="仿宋_GB2312" w:cs="宋体"/>
      <w:snapToGrid w:val="0"/>
      <w:kern w:val="24"/>
      <w:sz w:val="28"/>
      <w:szCs w:val="21"/>
      <w:lang w:val="en-US" w:eastAsia="zh-CN" w:bidi="ar-SA"/>
    </w:rPr>
  </w:style>
  <w:style w:type="character" w:customStyle="1" w:styleId="1976">
    <w:name w:val="1-正文 Char"/>
    <w:link w:val="1977"/>
    <w:autoRedefine/>
    <w:qFormat/>
    <w:uiPriority w:val="0"/>
    <w:rPr>
      <w:rFonts w:ascii="宋体" w:hAnsi="宋体"/>
      <w:kern w:val="2"/>
      <w:sz w:val="24"/>
      <w:szCs w:val="24"/>
    </w:rPr>
  </w:style>
  <w:style w:type="paragraph" w:customStyle="1" w:styleId="1977">
    <w:name w:val="1-正文"/>
    <w:basedOn w:val="1"/>
    <w:link w:val="1976"/>
    <w:autoRedefine/>
    <w:qFormat/>
    <w:uiPriority w:val="0"/>
    <w:pPr>
      <w:widowControl/>
      <w:spacing w:line="360" w:lineRule="auto"/>
      <w:ind w:firstLine="480"/>
      <w:jc w:val="left"/>
    </w:pPr>
    <w:rPr>
      <w:rFonts w:hint="eastAsia" w:ascii="宋体" w:hAnsi="宋体"/>
    </w:rPr>
  </w:style>
  <w:style w:type="table" w:customStyle="1" w:styleId="1978">
    <w:name w:val="三线格1"/>
    <w:basedOn w:val="88"/>
    <w:autoRedefine/>
    <w:unhideWhenUsed/>
    <w:qFormat/>
    <w:uiPriority w:val="0"/>
    <w:pPr>
      <w:widowControl w:val="0"/>
      <w:jc w:val="center"/>
    </w:pPr>
    <w:rPr>
      <w:sz w:val="21"/>
    </w:rPr>
    <w:tblPr>
      <w:tblBorders>
        <w:top w:val="single" w:color="auto" w:sz="12" w:space="0"/>
        <w:bottom w:val="single" w:color="auto" w:sz="12" w:space="0"/>
      </w:tblBorders>
    </w:tblPr>
    <w:tcPr>
      <w:vAlign w:val="center"/>
    </w:tcPr>
    <w:tblStylePr w:type="firstRow">
      <w:tcPr>
        <w:tcBorders>
          <w:bottom w:val="single" w:color="008000" w:sz="6" w:space="0"/>
          <w:tl2br w:val="nil"/>
          <w:tr2bl w:val="nil"/>
        </w:tcBorders>
      </w:tcPr>
    </w:tblStylePr>
    <w:tblStylePr w:type="lastRow">
      <w:tcPr>
        <w:tcBorders>
          <w:top w:val="single" w:color="008000" w:sz="6" w:space="0"/>
          <w:tl2br w:val="nil"/>
          <w:tr2bl w:val="nil"/>
        </w:tcBorders>
      </w:tcPr>
    </w:tblStylePr>
  </w:style>
  <w:style w:type="table" w:customStyle="1" w:styleId="1979">
    <w:name w:val="典雅型1"/>
    <w:basedOn w:val="88"/>
    <w:autoRedefine/>
    <w:unhideWhenUsed/>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l2br w:val="nil"/>
          <w:tr2bl w:val="nil"/>
        </w:tcBorders>
      </w:tcPr>
    </w:tblStylePr>
  </w:style>
  <w:style w:type="table" w:customStyle="1" w:styleId="1980">
    <w:name w:val="表格类型1"/>
    <w:basedOn w:val="88"/>
    <w:autoRedefine/>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81">
    <w:name w:val="海域表格"/>
    <w:basedOn w:val="88"/>
    <w:autoRedefine/>
    <w:qFormat/>
    <w:uiPriority w:val="99"/>
    <w:pPr>
      <w:adjustRightInd w:val="0"/>
      <w:snapToGrid w:val="0"/>
      <w:spacing w:after="200" w:line="276" w:lineRule="auto"/>
      <w:jc w:val="both"/>
    </w:pPr>
    <w:rPr>
      <w:color w:val="000000"/>
      <w:sz w:val="22"/>
    </w:rPr>
    <w:tblPr>
      <w:tblBorders>
        <w:top w:val="single" w:color="000000" w:sz="12" w:space="0"/>
        <w:bottom w:val="single" w:color="000000" w:sz="12" w:space="0"/>
        <w:insideH w:val="single" w:color="000000" w:sz="2" w:space="0"/>
        <w:insideV w:val="single" w:color="000000" w:sz="2" w:space="0"/>
      </w:tblBorders>
    </w:tblPr>
    <w:tcPr>
      <w:vAlign w:val="center"/>
    </w:tcPr>
  </w:style>
  <w:style w:type="table" w:customStyle="1" w:styleId="1982">
    <w:name w:val="毛的表格1"/>
    <w:basedOn w:val="88"/>
    <w:autoRedefine/>
    <w:semiHidden/>
    <w:qFormat/>
    <w:uiPriority w:val="0"/>
    <w:pPr>
      <w:tabs>
        <w:tab w:val="center" w:pos="210"/>
      </w:tabs>
      <w:jc w:val="center"/>
    </w:p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1983">
    <w:name w:val="浅色底纹 - 强调文字颜色 11"/>
    <w:basedOn w:val="88"/>
    <w:autoRedefine/>
    <w:qFormat/>
    <w:uiPriority w:val="60"/>
    <w:rPr>
      <w:rFonts w:ascii="Calibri" w:hAnsi="Calibri"/>
      <w:color w:val="365F91"/>
      <w:sz w:val="22"/>
    </w:rPr>
    <w:tblPr>
      <w:tblBorders>
        <w:top w:val="single" w:color="4F81BD" w:sz="8" w:space="0"/>
        <w:bottom w:val="single" w:color="4F81BD" w:sz="8" w:space="0"/>
      </w:tblBorders>
    </w:tblPr>
    <w:tblStylePr w:type="firstRow">
      <w:pPr>
        <w:spacing w:before="0" w:beforeLines="0" w:beforeAutospacing="0" w:after="0" w:afterLines="0" w:afterAutospacing="0" w:line="240" w:lineRule="auto"/>
      </w:pPr>
      <w:rPr>
        <w:b/>
        <w:bCs/>
      </w:rPr>
      <w:tcPr>
        <w:tcBorders>
          <w:top w:val="single" w:color="4F81BD" w:sz="8" w:space="0"/>
          <w:left w:val="nil"/>
          <w:bottom w:val="single" w:color="4F81BD" w:sz="8" w:space="0"/>
          <w:right w:val="nil"/>
          <w:insideH w:val="nil"/>
          <w:insideV w:val="nil"/>
        </w:tcBorders>
      </w:tcPr>
    </w:tblStylePr>
    <w:tblStylePr w:type="lastRow">
      <w:pPr>
        <w:spacing w:before="0" w:beforeLines="0" w:beforeAutospacing="0" w:after="0" w:afterLines="0" w:afterAutospacing="0" w:line="240" w:lineRule="auto"/>
      </w:pPr>
      <w:rPr>
        <w:b/>
        <w:bCs/>
      </w:rPr>
      <w:tcPr>
        <w:tcBorders>
          <w:top w:val="single" w:color="4F81BD" w:sz="8" w:space="0"/>
          <w:left w:val="nil"/>
          <w:bottom w:val="single" w:color="4F81BD"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D3DFEE"/>
      </w:tcPr>
    </w:tblStylePr>
    <w:tblStylePr w:type="band1Horz">
      <w:tcPr>
        <w:tcBorders>
          <w:left w:val="nil"/>
          <w:right w:val="nil"/>
          <w:insideH w:val="nil"/>
          <w:insideV w:val="nil"/>
        </w:tcBorders>
        <w:shd w:val="clear" w:color="auto" w:fill="D3DFEE"/>
      </w:tcPr>
    </w:tblStylePr>
  </w:style>
  <w:style w:type="table" w:customStyle="1" w:styleId="1984">
    <w:name w:val="典雅型21"/>
    <w:basedOn w:val="88"/>
    <w:qFormat/>
    <w:uiPriority w:val="0"/>
    <w:pPr>
      <w:widowControl w:val="0"/>
      <w:jc w:val="center"/>
    </w:pPr>
    <w:tblPr>
      <w:tblBorders>
        <w:top w:val="single" w:color="000000" w:sz="12" w:space="0"/>
        <w:bottom w:val="single" w:color="000000" w:sz="12" w:space="0"/>
        <w:insideH w:val="single" w:color="000000" w:sz="6" w:space="0"/>
        <w:insideV w:val="single" w:color="000000" w:sz="6" w:space="0"/>
      </w:tblBorders>
    </w:tblPr>
    <w:tcPr>
      <w:vAlign w:val="center"/>
    </w:tcPr>
    <w:tblStylePr w:type="firstRow">
      <w:rPr>
        <w:caps/>
        <w:color w:val="auto"/>
      </w:rPr>
      <w:tcPr>
        <w:tcBorders>
          <w:tl2br w:val="nil"/>
          <w:tr2bl w:val="nil"/>
        </w:tcBorders>
      </w:tcPr>
    </w:tblStylePr>
  </w:style>
  <w:style w:type="table" w:customStyle="1" w:styleId="1985">
    <w:name w:val="表格主题10"/>
    <w:basedOn w:val="88"/>
    <w:autoRedefine/>
    <w:qFormat/>
    <w:uiPriority w:val="0"/>
    <w:pPr>
      <w:widowControl w:val="0"/>
      <w:jc w:val="center"/>
    </w:pPr>
    <w:rPr>
      <w:sz w:val="21"/>
      <w:szCs w:val="21"/>
    </w:rPr>
    <w:tblPr>
      <w:tblBorders>
        <w:top w:val="single" w:color="auto" w:sz="12" w:space="0"/>
        <w:bottom w:val="single" w:color="auto" w:sz="12" w:space="0"/>
        <w:insideH w:val="single" w:color="auto" w:sz="6" w:space="0"/>
        <w:insideV w:val="single" w:color="auto" w:sz="6" w:space="0"/>
      </w:tblBorders>
    </w:tblPr>
    <w:tcPr>
      <w:vAlign w:val="center"/>
    </w:tcPr>
  </w:style>
  <w:style w:type="table" w:customStyle="1" w:styleId="1986">
    <w:name w:val="TableGrid"/>
    <w:autoRedefine/>
    <w:qFormat/>
    <w:uiPriority w:val="0"/>
    <w:rPr>
      <w:rFonts w:ascii="Calibri" w:hAnsi="Calibri"/>
      <w:kern w:val="2"/>
      <w:sz w:val="21"/>
      <w:szCs w:val="22"/>
    </w:rPr>
    <w:tblPr>
      <w:tblCellMar>
        <w:top w:w="0" w:type="dxa"/>
        <w:left w:w="0" w:type="dxa"/>
        <w:bottom w:w="0" w:type="dxa"/>
        <w:right w:w="0" w:type="dxa"/>
      </w:tblCellMar>
    </w:tblPr>
  </w:style>
  <w:style w:type="paragraph" w:customStyle="1" w:styleId="1987">
    <w:name w:val="表头6"/>
    <w:basedOn w:val="1779"/>
    <w:autoRedefine/>
    <w:qFormat/>
    <w:uiPriority w:val="0"/>
    <w:pPr>
      <w:tabs>
        <w:tab w:val="left" w:pos="843"/>
        <w:tab w:val="left" w:pos="1774"/>
        <w:tab w:val="clear" w:pos="625"/>
      </w:tabs>
      <w:ind w:left="992" w:leftChars="0" w:hanging="363"/>
    </w:pPr>
  </w:style>
  <w:style w:type="paragraph" w:customStyle="1" w:styleId="1988">
    <w:name w:val="表头8"/>
    <w:basedOn w:val="1987"/>
    <w:autoRedefine/>
    <w:qFormat/>
    <w:uiPriority w:val="0"/>
    <w:pPr>
      <w:tabs>
        <w:tab w:val="left" w:pos="903"/>
        <w:tab w:val="left" w:pos="1728"/>
        <w:tab w:val="clear" w:pos="843"/>
        <w:tab w:val="clear" w:pos="1774"/>
      </w:tabs>
      <w:ind w:left="845"/>
    </w:pPr>
  </w:style>
  <w:style w:type="paragraph" w:customStyle="1" w:styleId="1989">
    <w:name w:val="附录一级条标题"/>
    <w:basedOn w:val="1814"/>
    <w:next w:val="1"/>
    <w:autoRedefine/>
    <w:qFormat/>
    <w:uiPriority w:val="0"/>
    <w:pPr>
      <w:tabs>
        <w:tab w:val="left" w:pos="1260"/>
        <w:tab w:val="clear" w:pos="840"/>
      </w:tabs>
      <w:autoSpaceDN w:val="0"/>
      <w:spacing w:beforeLines="0"/>
      <w:ind w:left="1260"/>
      <w:outlineLvl w:val="2"/>
    </w:pPr>
  </w:style>
  <w:style w:type="paragraph" w:customStyle="1" w:styleId="1990">
    <w:name w:val="附录二级条标题"/>
    <w:basedOn w:val="1989"/>
    <w:next w:val="1"/>
    <w:autoRedefine/>
    <w:qFormat/>
    <w:uiPriority w:val="0"/>
    <w:pPr>
      <w:tabs>
        <w:tab w:val="left" w:pos="1680"/>
        <w:tab w:val="clear" w:pos="1260"/>
      </w:tabs>
      <w:ind w:left="1680"/>
      <w:outlineLvl w:val="3"/>
    </w:pPr>
  </w:style>
  <w:style w:type="paragraph" w:customStyle="1" w:styleId="1991">
    <w:name w:val="附录三级条标题"/>
    <w:basedOn w:val="1990"/>
    <w:next w:val="1"/>
    <w:autoRedefine/>
    <w:qFormat/>
    <w:uiPriority w:val="0"/>
    <w:pPr>
      <w:tabs>
        <w:tab w:val="left" w:pos="2100"/>
        <w:tab w:val="clear" w:pos="1680"/>
      </w:tabs>
      <w:ind w:left="2100"/>
      <w:outlineLvl w:val="4"/>
    </w:pPr>
  </w:style>
  <w:style w:type="paragraph" w:customStyle="1" w:styleId="1992">
    <w:name w:val="附录四级条标题"/>
    <w:basedOn w:val="1991"/>
    <w:next w:val="1"/>
    <w:autoRedefine/>
    <w:qFormat/>
    <w:uiPriority w:val="0"/>
    <w:pPr>
      <w:tabs>
        <w:tab w:val="left" w:pos="2520"/>
        <w:tab w:val="clear" w:pos="2100"/>
      </w:tabs>
      <w:ind w:left="2520"/>
      <w:outlineLvl w:val="5"/>
    </w:pPr>
  </w:style>
  <w:style w:type="paragraph" w:customStyle="1" w:styleId="1993">
    <w:name w:val="附录五级条标题"/>
    <w:basedOn w:val="1992"/>
    <w:next w:val="1"/>
    <w:autoRedefine/>
    <w:qFormat/>
    <w:uiPriority w:val="0"/>
  </w:style>
  <w:style w:type="paragraph" w:customStyle="1" w:styleId="1994">
    <w:name w:val="表头居左"/>
    <w:basedOn w:val="1789"/>
    <w:autoRedefine/>
    <w:qFormat/>
    <w:uiPriority w:val="0"/>
    <w:pPr>
      <w:spacing w:beforeLines="0" w:line="260" w:lineRule="exact"/>
      <w:ind w:firstLine="254"/>
      <w:jc w:val="both"/>
    </w:pPr>
  </w:style>
  <w:style w:type="table" w:customStyle="1" w:styleId="1995">
    <w:name w:val="网格型-ld1"/>
    <w:basedOn w:val="88"/>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96">
    <w:name w:val="网格型-ld2"/>
    <w:basedOn w:val="88"/>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997">
    <w:name w:val="标1"/>
    <w:basedOn w:val="3"/>
    <w:link w:val="1999"/>
    <w:autoRedefine/>
    <w:qFormat/>
    <w:uiPriority w:val="0"/>
    <w:pPr>
      <w:numPr>
        <w:numId w:val="0"/>
      </w:numPr>
      <w:ind w:left="432" w:hanging="432"/>
    </w:pPr>
    <w:rPr>
      <w:color w:val="000000"/>
      <w:sz w:val="32"/>
      <w:szCs w:val="32"/>
    </w:rPr>
  </w:style>
  <w:style w:type="paragraph" w:customStyle="1" w:styleId="1998">
    <w:name w:val="标1.1"/>
    <w:basedOn w:val="4"/>
    <w:link w:val="2001"/>
    <w:autoRedefine/>
    <w:qFormat/>
    <w:uiPriority w:val="0"/>
    <w:pPr>
      <w:numPr>
        <w:ilvl w:val="0"/>
        <w:numId w:val="0"/>
      </w:numPr>
    </w:pPr>
    <w:rPr>
      <w:sz w:val="30"/>
    </w:rPr>
  </w:style>
  <w:style w:type="character" w:customStyle="1" w:styleId="1999">
    <w:name w:val="标1 字符"/>
    <w:link w:val="1997"/>
    <w:qFormat/>
    <w:uiPriority w:val="0"/>
    <w:rPr>
      <w:rFonts w:eastAsia="黑体"/>
      <w:b/>
      <w:color w:val="000000"/>
      <w:kern w:val="2"/>
      <w:sz w:val="32"/>
      <w:szCs w:val="32"/>
    </w:rPr>
  </w:style>
  <w:style w:type="paragraph" w:customStyle="1" w:styleId="2000">
    <w:name w:val="标1.1.1"/>
    <w:basedOn w:val="355"/>
    <w:link w:val="2004"/>
    <w:autoRedefine/>
    <w:qFormat/>
    <w:uiPriority w:val="0"/>
    <w:pPr>
      <w:numPr>
        <w:ilvl w:val="0"/>
      </w:numPr>
      <w:tabs>
        <w:tab w:val="left" w:pos="0"/>
      </w:tabs>
    </w:pPr>
    <w:rPr>
      <w:rFonts w:eastAsia="宋体"/>
      <w:color w:val="000000"/>
      <w:sz w:val="28"/>
    </w:rPr>
  </w:style>
  <w:style w:type="character" w:customStyle="1" w:styleId="2001">
    <w:name w:val="标1.1 字符"/>
    <w:link w:val="1998"/>
    <w:autoRedefine/>
    <w:qFormat/>
    <w:uiPriority w:val="0"/>
    <w:rPr>
      <w:rFonts w:eastAsia="黑体"/>
      <w:b/>
      <w:bCs/>
      <w:kern w:val="2"/>
      <w:sz w:val="30"/>
      <w:szCs w:val="30"/>
    </w:rPr>
  </w:style>
  <w:style w:type="paragraph" w:customStyle="1" w:styleId="2002">
    <w:name w:val="标1.1.1.1"/>
    <w:basedOn w:val="6"/>
    <w:link w:val="2006"/>
    <w:autoRedefine/>
    <w:qFormat/>
    <w:uiPriority w:val="0"/>
    <w:pPr>
      <w:numPr>
        <w:ilvl w:val="0"/>
        <w:numId w:val="0"/>
      </w:numPr>
      <w:snapToGrid w:val="0"/>
    </w:pPr>
    <w:rPr>
      <w:bCs w:val="0"/>
      <w:sz w:val="24"/>
      <w:szCs w:val="24"/>
    </w:rPr>
  </w:style>
  <w:style w:type="character" w:customStyle="1" w:styleId="2003">
    <w:name w:val="样式 标题 3 + 非加粗 字符"/>
    <w:link w:val="355"/>
    <w:autoRedefine/>
    <w:qFormat/>
    <w:uiPriority w:val="0"/>
    <w:rPr>
      <w:rFonts w:eastAsia="黑体"/>
      <w:b/>
      <w:kern w:val="2"/>
      <w:sz w:val="30"/>
      <w:szCs w:val="28"/>
    </w:rPr>
  </w:style>
  <w:style w:type="character" w:customStyle="1" w:styleId="2004">
    <w:name w:val="标1.1.1 字符"/>
    <w:link w:val="2000"/>
    <w:autoRedefine/>
    <w:qFormat/>
    <w:uiPriority w:val="0"/>
    <w:rPr>
      <w:b/>
      <w:color w:val="000000"/>
      <w:kern w:val="2"/>
      <w:sz w:val="28"/>
      <w:szCs w:val="28"/>
    </w:rPr>
  </w:style>
  <w:style w:type="paragraph" w:customStyle="1" w:styleId="2005">
    <w:name w:val="标1.1.1.1.1"/>
    <w:basedOn w:val="7"/>
    <w:link w:val="2007"/>
    <w:autoRedefine/>
    <w:qFormat/>
    <w:uiPriority w:val="0"/>
    <w:pPr>
      <w:numPr>
        <w:ilvl w:val="0"/>
        <w:numId w:val="0"/>
      </w:numPr>
      <w:tabs>
        <w:tab w:val="clear" w:pos="360"/>
      </w:tabs>
      <w:jc w:val="both"/>
    </w:pPr>
    <w:rPr>
      <w:b w:val="0"/>
    </w:rPr>
  </w:style>
  <w:style w:type="character" w:customStyle="1" w:styleId="2006">
    <w:name w:val="标1.1.1.1 字符"/>
    <w:link w:val="2002"/>
    <w:autoRedefine/>
    <w:qFormat/>
    <w:uiPriority w:val="0"/>
    <w:rPr>
      <w:b/>
      <w:kern w:val="2"/>
      <w:sz w:val="24"/>
      <w:szCs w:val="24"/>
    </w:rPr>
  </w:style>
  <w:style w:type="character" w:customStyle="1" w:styleId="2007">
    <w:name w:val="标1.1.1.1.1 字符"/>
    <w:link w:val="2005"/>
    <w:autoRedefine/>
    <w:qFormat/>
    <w:uiPriority w:val="0"/>
    <w:rPr>
      <w:kern w:val="2"/>
      <w:sz w:val="24"/>
      <w:szCs w:val="24"/>
      <w:lang w:bidi="zh-CN"/>
    </w:rPr>
  </w:style>
  <w:style w:type="paragraph" w:customStyle="1" w:styleId="2008">
    <w:name w:val="图1.1-1"/>
    <w:basedOn w:val="9"/>
    <w:link w:val="2010"/>
    <w:qFormat/>
    <w:uiPriority w:val="0"/>
    <w:pPr>
      <w:tabs>
        <w:tab w:val="clear" w:pos="360"/>
      </w:tabs>
      <w:spacing w:before="0" w:after="0" w:line="240" w:lineRule="auto"/>
      <w:ind w:firstLine="0" w:firstLineChars="0"/>
      <w:jc w:val="center"/>
    </w:pPr>
  </w:style>
  <w:style w:type="paragraph" w:customStyle="1" w:styleId="2009">
    <w:name w:val="表1.1.1.1"/>
    <w:basedOn w:val="1"/>
    <w:autoRedefine/>
    <w:qFormat/>
    <w:uiPriority w:val="0"/>
    <w:pPr>
      <w:ind w:firstLine="0" w:firstLineChars="0"/>
    </w:pPr>
  </w:style>
  <w:style w:type="character" w:customStyle="1" w:styleId="2010">
    <w:name w:val="图1.1-1 字符"/>
    <w:basedOn w:val="133"/>
    <w:link w:val="2008"/>
    <w:autoRedefine/>
    <w:qFormat/>
    <w:uiPriority w:val="0"/>
    <w:rPr>
      <w:b/>
      <w:kern w:val="2"/>
      <w:sz w:val="24"/>
      <w:szCs w:val="24"/>
    </w:rPr>
  </w:style>
  <w:style w:type="paragraph" w:customStyle="1" w:styleId="2011">
    <w:name w:val="00"/>
    <w:basedOn w:val="1"/>
    <w:autoRedefine/>
    <w:qFormat/>
    <w:uiPriority w:val="0"/>
    <w:pPr>
      <w:autoSpaceDE w:val="0"/>
      <w:autoSpaceDN w:val="0"/>
      <w:adjustRightInd w:val="0"/>
      <w:snapToGrid w:val="0"/>
      <w:spacing w:line="360" w:lineRule="auto"/>
      <w:jc w:val="center"/>
    </w:pPr>
    <w:rPr>
      <w:rFonts w:ascii="宋体"/>
      <w:color w:val="000000"/>
      <w:spacing w:val="-10"/>
      <w:sz w:val="21"/>
      <w:szCs w:val="21"/>
    </w:rPr>
  </w:style>
  <w:style w:type="paragraph" w:customStyle="1" w:styleId="2012">
    <w:name w:val="表格11111"/>
    <w:basedOn w:val="1"/>
    <w:autoRedefine/>
    <w:qFormat/>
    <w:uiPriority w:val="99"/>
    <w:pPr>
      <w:widowControl/>
      <w:snapToGrid w:val="0"/>
      <w:spacing w:line="0" w:lineRule="atLeast"/>
      <w:ind w:firstLine="0" w:firstLineChars="0"/>
      <w:jc w:val="center"/>
    </w:pPr>
    <w:rPr>
      <w:kern w:val="0"/>
      <w:sz w:val="18"/>
      <w:szCs w:val="18"/>
    </w:rPr>
  </w:style>
  <w:style w:type="paragraph" w:customStyle="1" w:styleId="2013">
    <w:name w:val="表格文本"/>
    <w:basedOn w:val="1"/>
    <w:next w:val="1"/>
    <w:qFormat/>
    <w:uiPriority w:val="0"/>
    <w:pPr>
      <w:snapToGrid w:val="0"/>
      <w:ind w:firstLine="0" w:firstLineChars="0"/>
    </w:pPr>
    <w:rPr>
      <w:sz w:val="21"/>
      <w:szCs w:val="21"/>
    </w:rPr>
  </w:style>
  <w:style w:type="paragraph" w:customStyle="1" w:styleId="2014">
    <w:name w:val="图号"/>
    <w:basedOn w:val="1"/>
    <w:next w:val="1"/>
    <w:autoRedefine/>
    <w:qFormat/>
    <w:uiPriority w:val="0"/>
    <w:pPr>
      <w:topLinePunct/>
      <w:ind w:firstLine="0" w:firstLineChars="0"/>
      <w:jc w:val="center"/>
    </w:pPr>
    <w:rPr>
      <w:b/>
      <w:lang w:val="zh-CN"/>
    </w:rPr>
  </w:style>
  <w:style w:type="table" w:customStyle="1" w:styleId="2015">
    <w:name w:val="网格型12"/>
    <w:basedOn w:val="88"/>
    <w:autoRedefine/>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6">
    <w:name w:val="网格型23"/>
    <w:basedOn w:val="88"/>
    <w:qFormat/>
    <w:uiPriority w:val="5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017">
    <w:name w:val="正文文本缩进 Char"/>
    <w:autoRedefine/>
    <w:qFormat/>
    <w:locked/>
    <w:uiPriority w:val="0"/>
    <w:rPr>
      <w:rFonts w:ascii="宋体" w:hAnsi="宋体"/>
      <w:kern w:val="2"/>
      <w:sz w:val="24"/>
      <w:szCs w:val="24"/>
    </w:rPr>
  </w:style>
  <w:style w:type="paragraph" w:customStyle="1" w:styleId="2018">
    <w:name w:val="lw正文"/>
    <w:basedOn w:val="1"/>
    <w:autoRedefine/>
    <w:qFormat/>
    <w:uiPriority w:val="0"/>
    <w:pPr>
      <w:autoSpaceDE w:val="0"/>
      <w:autoSpaceDN w:val="0"/>
      <w:adjustRightInd w:val="0"/>
      <w:spacing w:line="360" w:lineRule="auto"/>
      <w:ind w:firstLine="420" w:firstLineChars="0"/>
      <w:jc w:val="left"/>
    </w:pPr>
    <w:rPr>
      <w:kern w:val="0"/>
      <w:szCs w:val="20"/>
    </w:rPr>
  </w:style>
  <w:style w:type="paragraph" w:customStyle="1" w:styleId="2019">
    <w:name w:val="标题2 job"/>
    <w:next w:val="1"/>
    <w:autoRedefine/>
    <w:qFormat/>
    <w:uiPriority w:val="0"/>
    <w:pPr>
      <w:adjustRightInd w:val="0"/>
      <w:snapToGrid w:val="0"/>
      <w:spacing w:line="360" w:lineRule="auto"/>
      <w:jc w:val="both"/>
      <w:outlineLvl w:val="1"/>
    </w:pPr>
    <w:rPr>
      <w:rFonts w:ascii="Times New Roman" w:hAnsi="Times New Roman" w:eastAsia="宋体" w:cs="Times New Roman"/>
      <w:b/>
      <w:bCs/>
      <w:kern w:val="2"/>
      <w:sz w:val="32"/>
      <w:szCs w:val="32"/>
      <w:lang w:val="en-US" w:eastAsia="zh-CN" w:bidi="ar-SA"/>
    </w:rPr>
  </w:style>
  <w:style w:type="paragraph" w:customStyle="1" w:styleId="2020">
    <w:name w:val="标题3 job"/>
    <w:next w:val="1"/>
    <w:autoRedefine/>
    <w:qFormat/>
    <w:uiPriority w:val="0"/>
    <w:pPr>
      <w:adjustRightInd w:val="0"/>
      <w:snapToGrid w:val="0"/>
      <w:spacing w:line="360" w:lineRule="auto"/>
      <w:jc w:val="both"/>
      <w:outlineLvl w:val="2"/>
    </w:pPr>
    <w:rPr>
      <w:rFonts w:ascii="Times New Roman" w:hAnsi="Times New Roman" w:eastAsia="宋体" w:cs="Times New Roman"/>
      <w:b/>
      <w:bCs/>
      <w:kern w:val="2"/>
      <w:sz w:val="24"/>
      <w:szCs w:val="24"/>
      <w:lang w:val="en-US" w:eastAsia="zh-CN" w:bidi="ar-SA"/>
    </w:rPr>
  </w:style>
  <w:style w:type="paragraph" w:customStyle="1" w:styleId="2021">
    <w:name w:val="标题5 job"/>
    <w:next w:val="1"/>
    <w:autoRedefine/>
    <w:semiHidden/>
    <w:qFormat/>
    <w:uiPriority w:val="0"/>
    <w:pPr>
      <w:spacing w:line="360" w:lineRule="auto"/>
      <w:outlineLvl w:val="4"/>
    </w:pPr>
    <w:rPr>
      <w:rFonts w:ascii="Times New Roman" w:hAnsi="Times New Roman" w:eastAsia="宋体" w:cs="Times New Roman"/>
      <w:b/>
      <w:bCs/>
      <w:kern w:val="2"/>
      <w:sz w:val="24"/>
      <w:szCs w:val="28"/>
      <w:lang w:val="en-US" w:eastAsia="zh-CN" w:bidi="ar-SA"/>
    </w:rPr>
  </w:style>
  <w:style w:type="paragraph" w:customStyle="1" w:styleId="2022">
    <w:name w:val="4级标题 zhu"/>
    <w:basedOn w:val="6"/>
    <w:autoRedefine/>
    <w:semiHidden/>
    <w:qFormat/>
    <w:uiPriority w:val="0"/>
    <w:pPr>
      <w:numPr>
        <w:ilvl w:val="0"/>
        <w:numId w:val="0"/>
      </w:numPr>
      <w:spacing w:line="520" w:lineRule="exact"/>
      <w:jc w:val="left"/>
    </w:pPr>
    <w:rPr>
      <w:rFonts w:ascii="宋体" w:hAnsi="宋体"/>
      <w:kern w:val="0"/>
      <w:sz w:val="24"/>
      <w:szCs w:val="24"/>
    </w:rPr>
  </w:style>
  <w:style w:type="character" w:customStyle="1" w:styleId="2023">
    <w:name w:val="二级标题尹东晓 Char"/>
    <w:link w:val="2024"/>
    <w:autoRedefine/>
    <w:semiHidden/>
    <w:qFormat/>
    <w:locked/>
    <w:uiPriority w:val="0"/>
    <w:rPr>
      <w:b/>
      <w:bCs/>
      <w:sz w:val="30"/>
      <w:szCs w:val="28"/>
    </w:rPr>
  </w:style>
  <w:style w:type="paragraph" w:customStyle="1" w:styleId="2024">
    <w:name w:val="二级标题尹东晓"/>
    <w:basedOn w:val="4"/>
    <w:link w:val="2023"/>
    <w:autoRedefine/>
    <w:semiHidden/>
    <w:qFormat/>
    <w:uiPriority w:val="0"/>
    <w:pPr>
      <w:keepNext w:val="0"/>
      <w:keepLines w:val="0"/>
      <w:numPr>
        <w:ilvl w:val="0"/>
        <w:numId w:val="0"/>
      </w:numPr>
      <w:adjustRightInd w:val="0"/>
      <w:snapToGrid w:val="0"/>
      <w:spacing w:before="120" w:after="120"/>
      <w:jc w:val="left"/>
    </w:pPr>
    <w:rPr>
      <w:rFonts w:eastAsia="宋体"/>
      <w:kern w:val="0"/>
      <w:sz w:val="30"/>
      <w:szCs w:val="28"/>
    </w:rPr>
  </w:style>
  <w:style w:type="paragraph" w:customStyle="1" w:styleId="2025">
    <w:name w:val="标题1-1"/>
    <w:basedOn w:val="1"/>
    <w:autoRedefine/>
    <w:qFormat/>
    <w:uiPriority w:val="0"/>
    <w:pPr>
      <w:keepNext/>
      <w:keepLines/>
      <w:snapToGrid w:val="0"/>
      <w:spacing w:line="360" w:lineRule="auto"/>
      <w:ind w:firstLine="0" w:firstLineChars="0"/>
      <w:outlineLvl w:val="0"/>
    </w:pPr>
    <w:rPr>
      <w:b/>
      <w:bCs/>
      <w:kern w:val="44"/>
      <w:sz w:val="36"/>
      <w:szCs w:val="36"/>
    </w:rPr>
  </w:style>
  <w:style w:type="paragraph" w:customStyle="1" w:styleId="2026">
    <w:name w:val="标题2-1"/>
    <w:basedOn w:val="4"/>
    <w:autoRedefine/>
    <w:semiHidden/>
    <w:qFormat/>
    <w:uiPriority w:val="0"/>
    <w:pPr>
      <w:keepNext w:val="0"/>
      <w:keepLines w:val="0"/>
      <w:numPr>
        <w:numId w:val="32"/>
      </w:numPr>
      <w:tabs>
        <w:tab w:val="left" w:pos="10534"/>
      </w:tabs>
      <w:adjustRightInd w:val="0"/>
      <w:snapToGrid w:val="0"/>
      <w:spacing w:before="120"/>
      <w:ind w:left="0" w:right="-50" w:firstLine="0"/>
      <w:jc w:val="left"/>
    </w:pPr>
    <w:rPr>
      <w:rFonts w:eastAsia="宋体"/>
      <w:kern w:val="0"/>
      <w:sz w:val="28"/>
      <w:szCs w:val="32"/>
    </w:rPr>
  </w:style>
  <w:style w:type="paragraph" w:customStyle="1" w:styleId="2027">
    <w:name w:val="标题—4"/>
    <w:autoRedefine/>
    <w:qFormat/>
    <w:uiPriority w:val="0"/>
    <w:pPr>
      <w:spacing w:line="360" w:lineRule="auto"/>
      <w:ind w:firstLine="480"/>
    </w:pPr>
    <w:rPr>
      <w:rFonts w:ascii="Times New Roman" w:hAnsi="Times New Roman" w:eastAsia="黑体" w:cs="宋体"/>
      <w:kern w:val="2"/>
      <w:sz w:val="24"/>
      <w:lang w:val="en-US" w:eastAsia="zh-CN" w:bidi="ar-SA"/>
    </w:rPr>
  </w:style>
  <w:style w:type="paragraph" w:customStyle="1" w:styleId="2028">
    <w:name w:val="标题4-1"/>
    <w:basedOn w:val="6"/>
    <w:semiHidden/>
    <w:qFormat/>
    <w:uiPriority w:val="0"/>
    <w:pPr>
      <w:keepLines w:val="0"/>
      <w:numPr>
        <w:numId w:val="32"/>
      </w:numPr>
      <w:tabs>
        <w:tab w:val="left" w:pos="11374"/>
      </w:tabs>
      <w:spacing w:before="60" w:line="360" w:lineRule="auto"/>
      <w:ind w:left="0" w:firstLine="0"/>
    </w:pPr>
    <w:rPr>
      <w:rFonts w:ascii="宋体" w:hAnsi="宋体"/>
      <w:b w:val="0"/>
      <w:kern w:val="0"/>
      <w:sz w:val="24"/>
      <w:szCs w:val="24"/>
    </w:rPr>
  </w:style>
  <w:style w:type="paragraph" w:customStyle="1" w:styleId="2029">
    <w:name w:val="二级段落"/>
    <w:basedOn w:val="1"/>
    <w:next w:val="1"/>
    <w:autoRedefine/>
    <w:qFormat/>
    <w:uiPriority w:val="0"/>
    <w:pPr>
      <w:adjustRightInd w:val="0"/>
      <w:snapToGrid w:val="0"/>
      <w:spacing w:line="360" w:lineRule="auto"/>
      <w:ind w:firstLine="210" w:firstLineChars="210"/>
      <w:jc w:val="left"/>
    </w:pPr>
    <w:rPr>
      <w:rFonts w:eastAsia="黑体"/>
      <w:sz w:val="30"/>
    </w:rPr>
  </w:style>
  <w:style w:type="paragraph" w:customStyle="1" w:styleId="2030">
    <w:name w:val="正文文字xin"/>
    <w:basedOn w:val="1"/>
    <w:autoRedefine/>
    <w:semiHidden/>
    <w:qFormat/>
    <w:uiPriority w:val="0"/>
    <w:pPr>
      <w:adjustRightInd w:val="0"/>
      <w:snapToGrid w:val="0"/>
      <w:spacing w:line="360" w:lineRule="auto"/>
      <w:jc w:val="left"/>
    </w:pPr>
  </w:style>
  <w:style w:type="paragraph" w:customStyle="1" w:styleId="2031">
    <w:name w:val="03 一级标题"/>
    <w:next w:val="1"/>
    <w:autoRedefine/>
    <w:qFormat/>
    <w:uiPriority w:val="0"/>
    <w:pPr>
      <w:snapToGrid w:val="0"/>
      <w:spacing w:before="100" w:beforeAutospacing="1" w:after="100" w:afterAutospacing="1"/>
      <w:jc w:val="center"/>
      <w:outlineLvl w:val="0"/>
    </w:pPr>
    <w:rPr>
      <w:rFonts w:ascii="Times New Roman" w:hAnsi="Times New Roman" w:eastAsia="宋体" w:cs="Times New Roman"/>
      <w:b/>
      <w:kern w:val="44"/>
      <w:sz w:val="32"/>
      <w:szCs w:val="32"/>
      <w:lang w:val="en-US" w:eastAsia="zh-CN" w:bidi="ar-SA"/>
    </w:rPr>
  </w:style>
  <w:style w:type="paragraph" w:customStyle="1" w:styleId="2032">
    <w:name w:val="02 二级标题"/>
    <w:next w:val="1"/>
    <w:autoRedefine/>
    <w:qFormat/>
    <w:uiPriority w:val="0"/>
    <w:pPr>
      <w:tabs>
        <w:tab w:val="left" w:pos="1428"/>
      </w:tabs>
      <w:spacing w:beforeLines="50" w:line="800" w:lineRule="exact"/>
      <w:outlineLvl w:val="1"/>
    </w:pPr>
    <w:rPr>
      <w:rFonts w:ascii="Times New Roman" w:hAnsi="Times New Roman" w:eastAsia="宋体" w:cs="Times New Roman"/>
      <w:b/>
      <w:bCs/>
      <w:kern w:val="2"/>
      <w:sz w:val="24"/>
      <w:szCs w:val="24"/>
      <w:lang w:val="en-US" w:eastAsia="zh-CN" w:bidi="ar-SA"/>
    </w:rPr>
  </w:style>
  <w:style w:type="character" w:customStyle="1" w:styleId="2033">
    <w:name w:val="01 三级标题 Char1"/>
    <w:link w:val="2034"/>
    <w:autoRedefine/>
    <w:qFormat/>
    <w:locked/>
    <w:uiPriority w:val="0"/>
    <w:rPr>
      <w:rFonts w:ascii="宋体" w:hAnsi="宋体"/>
      <w:b/>
      <w:spacing w:val="-2"/>
      <w:kern w:val="2"/>
      <w:sz w:val="30"/>
      <w:szCs w:val="30"/>
    </w:rPr>
  </w:style>
  <w:style w:type="paragraph" w:customStyle="1" w:styleId="2034">
    <w:name w:val="01 三级标题"/>
    <w:basedOn w:val="1"/>
    <w:next w:val="1"/>
    <w:link w:val="2033"/>
    <w:autoRedefine/>
    <w:qFormat/>
    <w:uiPriority w:val="0"/>
    <w:pPr>
      <w:adjustRightInd w:val="0"/>
      <w:snapToGrid w:val="0"/>
      <w:spacing w:beforeLines="50" w:line="520" w:lineRule="exact"/>
      <w:ind w:firstLine="210" w:firstLineChars="210"/>
      <w:jc w:val="left"/>
      <w:outlineLvl w:val="2"/>
    </w:pPr>
    <w:rPr>
      <w:rFonts w:ascii="宋体" w:hAnsi="宋体"/>
      <w:b/>
      <w:spacing w:val="-2"/>
      <w:sz w:val="30"/>
      <w:szCs w:val="30"/>
    </w:rPr>
  </w:style>
  <w:style w:type="paragraph" w:customStyle="1" w:styleId="2035">
    <w:name w:val="04 四级标题"/>
    <w:next w:val="1"/>
    <w:qFormat/>
    <w:uiPriority w:val="0"/>
    <w:pPr>
      <w:spacing w:line="600" w:lineRule="exact"/>
    </w:pPr>
    <w:rPr>
      <w:rFonts w:ascii="宋体" w:hAnsi="宋体" w:eastAsia="宋体" w:cs="Times New Roman"/>
      <w:b/>
      <w:spacing w:val="-2"/>
      <w:kern w:val="2"/>
      <w:sz w:val="24"/>
      <w:szCs w:val="28"/>
      <w:lang w:val="en-US" w:eastAsia="zh-CN" w:bidi="ar-SA"/>
    </w:rPr>
  </w:style>
  <w:style w:type="character" w:customStyle="1" w:styleId="2036">
    <w:name w:val="05 表格标题 Char"/>
    <w:link w:val="2037"/>
    <w:autoRedefine/>
    <w:qFormat/>
    <w:locked/>
    <w:uiPriority w:val="0"/>
    <w:rPr>
      <w:rFonts w:ascii="宋体" w:hAnsi="宋体"/>
      <w:kern w:val="2"/>
      <w:sz w:val="24"/>
      <w:szCs w:val="24"/>
    </w:rPr>
  </w:style>
  <w:style w:type="paragraph" w:customStyle="1" w:styleId="2037">
    <w:name w:val="05 表格标题"/>
    <w:link w:val="2036"/>
    <w:autoRedefine/>
    <w:qFormat/>
    <w:uiPriority w:val="0"/>
    <w:pPr>
      <w:spacing w:beforeLines="50" w:line="360" w:lineRule="auto"/>
      <w:jc w:val="center"/>
    </w:pPr>
    <w:rPr>
      <w:rFonts w:ascii="宋体" w:hAnsi="宋体" w:eastAsia="宋体" w:cs="Times New Roman"/>
      <w:kern w:val="2"/>
      <w:sz w:val="24"/>
      <w:szCs w:val="24"/>
      <w:lang w:val="en-US" w:eastAsia="zh-CN" w:bidi="ar-SA"/>
    </w:rPr>
  </w:style>
  <w:style w:type="paragraph" w:customStyle="1" w:styleId="2038">
    <w:name w:val="表格东晓"/>
    <w:basedOn w:val="1"/>
    <w:autoRedefine/>
    <w:semiHidden/>
    <w:qFormat/>
    <w:uiPriority w:val="0"/>
    <w:pPr>
      <w:widowControl/>
      <w:adjustRightInd w:val="0"/>
      <w:snapToGrid w:val="0"/>
      <w:spacing w:line="240" w:lineRule="exact"/>
      <w:ind w:firstLine="0" w:firstLineChars="0"/>
      <w:jc w:val="center"/>
    </w:pPr>
    <w:rPr>
      <w:rFonts w:cs="Arial"/>
      <w:b/>
      <w:bCs/>
      <w:sz w:val="21"/>
      <w:szCs w:val="21"/>
    </w:rPr>
  </w:style>
  <w:style w:type="paragraph" w:customStyle="1" w:styleId="2039">
    <w:name w:val="标题2东晓"/>
    <w:basedOn w:val="1"/>
    <w:autoRedefine/>
    <w:semiHidden/>
    <w:qFormat/>
    <w:uiPriority w:val="0"/>
    <w:pPr>
      <w:widowControl/>
      <w:adjustRightInd w:val="0"/>
      <w:snapToGrid w:val="0"/>
      <w:spacing w:before="120" w:after="120" w:line="360" w:lineRule="auto"/>
      <w:ind w:firstLine="0" w:firstLineChars="0"/>
      <w:outlineLvl w:val="1"/>
    </w:pPr>
    <w:rPr>
      <w:rFonts w:cs="Arial"/>
      <w:b/>
      <w:bCs/>
      <w:sz w:val="30"/>
      <w:szCs w:val="30"/>
    </w:rPr>
  </w:style>
  <w:style w:type="paragraph" w:customStyle="1" w:styleId="2040">
    <w:name w:val="标题3东晓"/>
    <w:basedOn w:val="1"/>
    <w:autoRedefine/>
    <w:semiHidden/>
    <w:qFormat/>
    <w:uiPriority w:val="0"/>
    <w:pPr>
      <w:widowControl/>
      <w:adjustRightInd w:val="0"/>
      <w:snapToGrid w:val="0"/>
      <w:spacing w:before="120" w:after="120" w:line="360" w:lineRule="auto"/>
      <w:ind w:firstLine="0" w:firstLineChars="0"/>
      <w:outlineLvl w:val="2"/>
    </w:pPr>
    <w:rPr>
      <w:rFonts w:cs="Arial"/>
      <w:b/>
      <w:bCs/>
      <w:sz w:val="28"/>
      <w:szCs w:val="28"/>
    </w:rPr>
  </w:style>
  <w:style w:type="paragraph" w:customStyle="1" w:styleId="2041">
    <w:name w:val="标题4东晓"/>
    <w:basedOn w:val="1"/>
    <w:autoRedefine/>
    <w:semiHidden/>
    <w:qFormat/>
    <w:uiPriority w:val="0"/>
    <w:pPr>
      <w:widowControl/>
      <w:adjustRightInd w:val="0"/>
      <w:snapToGrid w:val="0"/>
      <w:spacing w:before="120" w:after="120" w:line="360" w:lineRule="auto"/>
      <w:ind w:firstLine="0" w:firstLineChars="0"/>
      <w:outlineLvl w:val="3"/>
    </w:pPr>
    <w:rPr>
      <w:rFonts w:cs="Arial"/>
      <w:b/>
      <w:bCs/>
    </w:rPr>
  </w:style>
  <w:style w:type="paragraph" w:customStyle="1" w:styleId="2042">
    <w:name w:val="修订11"/>
    <w:autoRedefine/>
    <w:qFormat/>
    <w:uiPriority w:val="0"/>
    <w:pPr>
      <w:spacing w:beforeLines="50" w:line="360" w:lineRule="auto"/>
      <w:ind w:left="720" w:hanging="720"/>
      <w:jc w:val="both"/>
    </w:pPr>
    <w:rPr>
      <w:rFonts w:ascii="Times New Roman" w:hAnsi="Times New Roman" w:eastAsia="宋体" w:cs="Times New Roman"/>
      <w:kern w:val="2"/>
      <w:sz w:val="24"/>
      <w:szCs w:val="24"/>
      <w:lang w:val="en-US" w:eastAsia="zh-CN" w:bidi="ar-SA"/>
    </w:rPr>
  </w:style>
  <w:style w:type="paragraph" w:customStyle="1" w:styleId="2043">
    <w:name w:val="标题5xin"/>
    <w:basedOn w:val="1"/>
    <w:autoRedefine/>
    <w:semiHidden/>
    <w:qFormat/>
    <w:uiPriority w:val="0"/>
    <w:pPr>
      <w:widowControl/>
      <w:autoSpaceDE w:val="0"/>
      <w:autoSpaceDN w:val="0"/>
      <w:adjustRightInd w:val="0"/>
      <w:snapToGrid w:val="0"/>
      <w:spacing w:line="360" w:lineRule="auto"/>
      <w:ind w:firstLine="482" w:firstLineChars="210"/>
      <w:jc w:val="left"/>
      <w:outlineLvl w:val="4"/>
    </w:pPr>
    <w:rPr>
      <w:sz w:val="20"/>
      <w:szCs w:val="21"/>
    </w:rPr>
  </w:style>
  <w:style w:type="paragraph" w:customStyle="1" w:styleId="2044">
    <w:name w:val="标题3 条文"/>
    <w:basedOn w:val="5"/>
    <w:autoRedefine/>
    <w:semiHidden/>
    <w:qFormat/>
    <w:uiPriority w:val="0"/>
    <w:pPr>
      <w:keepNext w:val="0"/>
      <w:keepLines w:val="0"/>
      <w:numPr>
        <w:ilvl w:val="0"/>
        <w:numId w:val="0"/>
      </w:numPr>
      <w:autoSpaceDE w:val="0"/>
      <w:autoSpaceDN w:val="0"/>
      <w:adjustRightInd w:val="0"/>
      <w:snapToGrid w:val="0"/>
      <w:spacing w:beforeLines="200" w:line="460" w:lineRule="exact"/>
      <w:ind w:left="1418" w:hanging="567"/>
      <w:jc w:val="left"/>
    </w:pPr>
    <w:rPr>
      <w:rFonts w:hAnsi="华文中宋" w:eastAsia="宋体"/>
      <w:bCs w:val="0"/>
      <w:kern w:val="0"/>
      <w:sz w:val="28"/>
    </w:rPr>
  </w:style>
  <w:style w:type="character" w:customStyle="1" w:styleId="2045">
    <w:name w:val="z-窗体底端 Char"/>
    <w:basedOn w:val="133"/>
    <w:link w:val="2046"/>
    <w:autoRedefine/>
    <w:qFormat/>
    <w:locked/>
    <w:uiPriority w:val="0"/>
    <w:rPr>
      <w:rFonts w:ascii="Arial" w:hAnsi="Arial" w:cs="Arial"/>
      <w:b/>
      <w:vanish/>
      <w:kern w:val="2"/>
      <w:sz w:val="16"/>
      <w:szCs w:val="16"/>
    </w:rPr>
  </w:style>
  <w:style w:type="paragraph" w:customStyle="1" w:styleId="2046">
    <w:name w:val="z-窗体底端11"/>
    <w:basedOn w:val="1"/>
    <w:next w:val="1"/>
    <w:link w:val="2045"/>
    <w:autoRedefine/>
    <w:qFormat/>
    <w:uiPriority w:val="0"/>
    <w:pPr>
      <w:pBdr>
        <w:top w:val="single" w:color="auto" w:sz="6" w:space="1"/>
      </w:pBdr>
      <w:autoSpaceDE w:val="0"/>
      <w:autoSpaceDN w:val="0"/>
      <w:adjustRightInd w:val="0"/>
      <w:snapToGrid w:val="0"/>
      <w:spacing w:line="360" w:lineRule="auto"/>
      <w:ind w:firstLine="482" w:firstLineChars="210"/>
      <w:jc w:val="center"/>
    </w:pPr>
    <w:rPr>
      <w:rFonts w:ascii="Arial" w:hAnsi="Arial" w:cs="Arial"/>
      <w:b/>
      <w:vanish/>
      <w:sz w:val="16"/>
      <w:szCs w:val="16"/>
    </w:rPr>
  </w:style>
  <w:style w:type="character" w:customStyle="1" w:styleId="2047">
    <w:name w:val="z-窗体顶端 Char"/>
    <w:basedOn w:val="133"/>
    <w:link w:val="2048"/>
    <w:autoRedefine/>
    <w:qFormat/>
    <w:locked/>
    <w:uiPriority w:val="0"/>
    <w:rPr>
      <w:rFonts w:ascii="Arial" w:hAnsi="Arial" w:cs="Arial"/>
      <w:b/>
      <w:vanish/>
      <w:kern w:val="2"/>
      <w:sz w:val="16"/>
      <w:szCs w:val="16"/>
    </w:rPr>
  </w:style>
  <w:style w:type="paragraph" w:customStyle="1" w:styleId="2048">
    <w:name w:val="z-窗体顶端1"/>
    <w:basedOn w:val="1"/>
    <w:next w:val="1"/>
    <w:link w:val="2047"/>
    <w:autoRedefine/>
    <w:qFormat/>
    <w:uiPriority w:val="0"/>
    <w:pPr>
      <w:pBdr>
        <w:bottom w:val="single" w:color="auto" w:sz="6" w:space="1"/>
      </w:pBdr>
      <w:autoSpaceDE w:val="0"/>
      <w:autoSpaceDN w:val="0"/>
      <w:adjustRightInd w:val="0"/>
      <w:snapToGrid w:val="0"/>
      <w:spacing w:line="360" w:lineRule="auto"/>
      <w:ind w:firstLine="482" w:firstLineChars="210"/>
      <w:jc w:val="center"/>
    </w:pPr>
    <w:rPr>
      <w:rFonts w:ascii="Arial" w:hAnsi="Arial" w:cs="Arial"/>
      <w:b/>
      <w:vanish/>
      <w:sz w:val="16"/>
      <w:szCs w:val="16"/>
    </w:rPr>
  </w:style>
  <w:style w:type="paragraph" w:customStyle="1" w:styleId="2049">
    <w:name w:val="标题5，小节"/>
    <w:basedOn w:val="4"/>
    <w:autoRedefine/>
    <w:semiHidden/>
    <w:qFormat/>
    <w:uiPriority w:val="0"/>
    <w:pPr>
      <w:keepNext w:val="0"/>
      <w:keepLines w:val="0"/>
      <w:numPr>
        <w:ilvl w:val="0"/>
        <w:numId w:val="0"/>
      </w:numPr>
      <w:tabs>
        <w:tab w:val="left" w:pos="2475"/>
      </w:tabs>
      <w:autoSpaceDE w:val="0"/>
      <w:autoSpaceDN w:val="0"/>
      <w:adjustRightInd w:val="0"/>
      <w:snapToGrid w:val="0"/>
      <w:spacing w:before="120" w:after="60" w:line="324" w:lineRule="auto"/>
      <w:ind w:firstLine="480"/>
      <w:jc w:val="left"/>
      <w:outlineLvl w:val="2"/>
    </w:pPr>
    <w:rPr>
      <w:rFonts w:ascii="宋体" w:hAnsi="宋体"/>
      <w:color w:val="000000"/>
      <w:kern w:val="0"/>
      <w:sz w:val="30"/>
      <w:szCs w:val="20"/>
    </w:rPr>
  </w:style>
  <w:style w:type="character" w:customStyle="1" w:styleId="2050">
    <w:name w:val="正文文本-zp Char"/>
    <w:link w:val="2051"/>
    <w:autoRedefine/>
    <w:qFormat/>
    <w:locked/>
    <w:uiPriority w:val="0"/>
    <w:rPr>
      <w:sz w:val="24"/>
      <w:szCs w:val="28"/>
    </w:rPr>
  </w:style>
  <w:style w:type="paragraph" w:customStyle="1" w:styleId="2051">
    <w:name w:val="正文文本-zp"/>
    <w:basedOn w:val="1"/>
    <w:next w:val="1"/>
    <w:link w:val="2050"/>
    <w:autoRedefine/>
    <w:qFormat/>
    <w:uiPriority w:val="0"/>
    <w:pPr>
      <w:wordWrap w:val="0"/>
      <w:autoSpaceDE w:val="0"/>
      <w:adjustRightInd w:val="0"/>
      <w:snapToGrid w:val="0"/>
      <w:spacing w:line="360" w:lineRule="auto"/>
      <w:ind w:firstLine="210" w:firstLineChars="210"/>
    </w:pPr>
    <w:rPr>
      <w:kern w:val="0"/>
      <w:szCs w:val="28"/>
    </w:rPr>
  </w:style>
  <w:style w:type="character" w:customStyle="1" w:styleId="2052">
    <w:name w:val="表前文字 Char"/>
    <w:link w:val="2053"/>
    <w:autoRedefine/>
    <w:semiHidden/>
    <w:qFormat/>
    <w:locked/>
    <w:uiPriority w:val="0"/>
    <w:rPr>
      <w:rFonts w:cs="宋体"/>
      <w:kern w:val="2"/>
      <w:sz w:val="21"/>
    </w:rPr>
  </w:style>
  <w:style w:type="paragraph" w:customStyle="1" w:styleId="2053">
    <w:name w:val="表前文字"/>
    <w:basedOn w:val="2051"/>
    <w:link w:val="2052"/>
    <w:autoRedefine/>
    <w:semiHidden/>
    <w:qFormat/>
    <w:uiPriority w:val="0"/>
    <w:pPr>
      <w:spacing w:beforeLines="50" w:line="240" w:lineRule="auto"/>
      <w:ind w:firstLine="0" w:firstLineChars="0"/>
      <w:jc w:val="center"/>
    </w:pPr>
    <w:rPr>
      <w:rFonts w:cs="宋体"/>
      <w:kern w:val="2"/>
      <w:sz w:val="21"/>
      <w:szCs w:val="20"/>
    </w:rPr>
  </w:style>
  <w:style w:type="paragraph" w:customStyle="1" w:styleId="2054">
    <w:name w:val="二级标题-烟台"/>
    <w:basedOn w:val="1"/>
    <w:autoRedefine/>
    <w:semiHidden/>
    <w:qFormat/>
    <w:uiPriority w:val="0"/>
    <w:pPr>
      <w:autoSpaceDE w:val="0"/>
      <w:autoSpaceDN w:val="0"/>
      <w:adjustRightInd w:val="0"/>
      <w:snapToGrid w:val="0"/>
      <w:spacing w:before="120" w:after="120" w:line="360" w:lineRule="auto"/>
      <w:ind w:firstLine="0" w:firstLineChars="0"/>
      <w:outlineLvl w:val="1"/>
    </w:pPr>
    <w:rPr>
      <w:rFonts w:cs="Arial"/>
      <w:b/>
      <w:bCs/>
      <w:sz w:val="30"/>
      <w:szCs w:val="30"/>
    </w:rPr>
  </w:style>
  <w:style w:type="paragraph" w:customStyle="1" w:styleId="2055">
    <w:name w:val="5级标题"/>
    <w:basedOn w:val="7"/>
    <w:autoRedefine/>
    <w:semiHidden/>
    <w:qFormat/>
    <w:uiPriority w:val="0"/>
    <w:pPr>
      <w:keepLines w:val="0"/>
      <w:numPr>
        <w:ilvl w:val="0"/>
        <w:numId w:val="0"/>
      </w:numPr>
      <w:tabs>
        <w:tab w:val="left" w:pos="1008"/>
        <w:tab w:val="clear" w:pos="360"/>
      </w:tabs>
      <w:adjustRightInd w:val="0"/>
      <w:jc w:val="left"/>
    </w:pPr>
    <w:rPr>
      <w:bCs/>
      <w:kern w:val="44"/>
      <w:szCs w:val="32"/>
    </w:rPr>
  </w:style>
  <w:style w:type="paragraph" w:customStyle="1" w:styleId="2056">
    <w:name w:val="标题4_zw"/>
    <w:basedOn w:val="6"/>
    <w:qFormat/>
    <w:uiPriority w:val="0"/>
    <w:pPr>
      <w:numPr>
        <w:ilvl w:val="0"/>
        <w:numId w:val="0"/>
      </w:numPr>
      <w:spacing w:line="360" w:lineRule="auto"/>
      <w:jc w:val="left"/>
    </w:pPr>
    <w:rPr>
      <w:rFonts w:ascii="宋体" w:hAnsi="宋体"/>
      <w:kern w:val="0"/>
      <w:sz w:val="24"/>
      <w:szCs w:val="24"/>
    </w:rPr>
  </w:style>
  <w:style w:type="character" w:customStyle="1" w:styleId="2057">
    <w:name w:val="表头烟台 Char Char"/>
    <w:link w:val="2058"/>
    <w:autoRedefine/>
    <w:qFormat/>
    <w:locked/>
    <w:uiPriority w:val="0"/>
    <w:rPr>
      <w:rFonts w:cs="Courier New"/>
      <w:szCs w:val="21"/>
    </w:rPr>
  </w:style>
  <w:style w:type="paragraph" w:customStyle="1" w:styleId="2058">
    <w:name w:val="表头烟台"/>
    <w:basedOn w:val="1"/>
    <w:link w:val="2057"/>
    <w:autoRedefine/>
    <w:qFormat/>
    <w:uiPriority w:val="0"/>
    <w:pPr>
      <w:widowControl/>
      <w:adjustRightInd w:val="0"/>
      <w:snapToGrid w:val="0"/>
      <w:ind w:firstLine="0" w:firstLineChars="0"/>
      <w:jc w:val="center"/>
    </w:pPr>
    <w:rPr>
      <w:rFonts w:cs="Courier New"/>
      <w:kern w:val="0"/>
      <w:sz w:val="20"/>
      <w:szCs w:val="21"/>
    </w:rPr>
  </w:style>
  <w:style w:type="character" w:customStyle="1" w:styleId="2059">
    <w:name w:val="06 图像标题 Char"/>
    <w:link w:val="2060"/>
    <w:autoRedefine/>
    <w:qFormat/>
    <w:locked/>
    <w:uiPriority w:val="0"/>
    <w:rPr>
      <w:rFonts w:ascii="宋体" w:hAnsi="宋体"/>
      <w:sz w:val="24"/>
      <w:szCs w:val="24"/>
    </w:rPr>
  </w:style>
  <w:style w:type="paragraph" w:customStyle="1" w:styleId="2060">
    <w:name w:val="06 图像标题"/>
    <w:basedOn w:val="2037"/>
    <w:next w:val="1"/>
    <w:link w:val="2059"/>
    <w:autoRedefine/>
    <w:qFormat/>
    <w:uiPriority w:val="0"/>
    <w:pPr>
      <w:spacing w:beforeLines="0" w:line="240" w:lineRule="auto"/>
    </w:pPr>
    <w:rPr>
      <w:kern w:val="0"/>
    </w:rPr>
  </w:style>
  <w:style w:type="paragraph" w:customStyle="1" w:styleId="2061">
    <w:name w:val="5号表内正文"/>
    <w:basedOn w:val="1"/>
    <w:next w:val="1"/>
    <w:autoRedefine/>
    <w:semiHidden/>
    <w:qFormat/>
    <w:uiPriority w:val="0"/>
    <w:pPr>
      <w:widowControl/>
      <w:adjustRightInd w:val="0"/>
      <w:snapToGrid w:val="0"/>
      <w:spacing w:line="360" w:lineRule="auto"/>
      <w:ind w:firstLine="210" w:firstLineChars="210"/>
      <w:jc w:val="center"/>
    </w:pPr>
    <w:rPr>
      <w:color w:val="000000"/>
      <w:kern w:val="0"/>
      <w:szCs w:val="18"/>
    </w:rPr>
  </w:style>
  <w:style w:type="character" w:customStyle="1" w:styleId="2062">
    <w:name w:val="标题4尹东晓 Char"/>
    <w:link w:val="2063"/>
    <w:autoRedefine/>
    <w:semiHidden/>
    <w:qFormat/>
    <w:locked/>
    <w:uiPriority w:val="0"/>
    <w:rPr>
      <w:rFonts w:ascii="宋体" w:hAnsi="宋体"/>
      <w:b/>
      <w:bCs/>
      <w:color w:val="000000"/>
      <w:sz w:val="24"/>
      <w:szCs w:val="24"/>
    </w:rPr>
  </w:style>
  <w:style w:type="paragraph" w:customStyle="1" w:styleId="2063">
    <w:name w:val="标题4尹东晓"/>
    <w:basedOn w:val="6"/>
    <w:link w:val="2062"/>
    <w:autoRedefine/>
    <w:semiHidden/>
    <w:qFormat/>
    <w:uiPriority w:val="0"/>
    <w:pPr>
      <w:numPr>
        <w:ilvl w:val="0"/>
        <w:numId w:val="0"/>
      </w:numPr>
      <w:spacing w:before="120" w:after="120" w:line="360" w:lineRule="auto"/>
      <w:jc w:val="left"/>
    </w:pPr>
    <w:rPr>
      <w:rFonts w:ascii="宋体" w:hAnsi="宋体"/>
      <w:color w:val="000000"/>
      <w:kern w:val="0"/>
      <w:sz w:val="24"/>
      <w:szCs w:val="24"/>
    </w:rPr>
  </w:style>
  <w:style w:type="paragraph" w:customStyle="1" w:styleId="2064">
    <w:name w:val="标题3尹东晓"/>
    <w:basedOn w:val="1"/>
    <w:autoRedefine/>
    <w:semiHidden/>
    <w:qFormat/>
    <w:uiPriority w:val="0"/>
    <w:pPr>
      <w:adjustRightInd w:val="0"/>
      <w:snapToGrid w:val="0"/>
      <w:spacing w:line="360" w:lineRule="auto"/>
      <w:ind w:firstLine="210" w:firstLineChars="210"/>
      <w:jc w:val="left"/>
      <w:outlineLvl w:val="2"/>
    </w:pPr>
    <w:rPr>
      <w:b/>
      <w:color w:val="000000"/>
      <w:kern w:val="0"/>
      <w:sz w:val="28"/>
      <w:szCs w:val="28"/>
    </w:rPr>
  </w:style>
  <w:style w:type="paragraph" w:customStyle="1" w:styleId="2065">
    <w:name w:val="标题2尹东晓"/>
    <w:basedOn w:val="4"/>
    <w:autoRedefine/>
    <w:semiHidden/>
    <w:qFormat/>
    <w:uiPriority w:val="0"/>
    <w:pPr>
      <w:keepNext w:val="0"/>
      <w:keepLines w:val="0"/>
      <w:numPr>
        <w:ilvl w:val="0"/>
        <w:numId w:val="0"/>
      </w:numPr>
      <w:adjustRightInd w:val="0"/>
      <w:snapToGrid w:val="0"/>
      <w:jc w:val="left"/>
    </w:pPr>
    <w:rPr>
      <w:rFonts w:eastAsia="宋体"/>
      <w:color w:val="000000"/>
      <w:kern w:val="0"/>
      <w:sz w:val="30"/>
    </w:rPr>
  </w:style>
  <w:style w:type="paragraph" w:customStyle="1" w:styleId="2066">
    <w:name w:val="标题4xin"/>
    <w:basedOn w:val="6"/>
    <w:autoRedefine/>
    <w:qFormat/>
    <w:uiPriority w:val="0"/>
    <w:pPr>
      <w:widowControl/>
      <w:numPr>
        <w:ilvl w:val="0"/>
        <w:numId w:val="0"/>
      </w:numPr>
      <w:tabs>
        <w:tab w:val="left" w:pos="864"/>
      </w:tabs>
      <w:spacing w:beforeLines="50" w:line="360" w:lineRule="auto"/>
      <w:jc w:val="left"/>
    </w:pPr>
    <w:rPr>
      <w:rFonts w:ascii="宋体" w:hAnsi="宋体"/>
      <w:kern w:val="0"/>
      <w:sz w:val="24"/>
      <w:szCs w:val="24"/>
    </w:rPr>
  </w:style>
  <w:style w:type="paragraph" w:customStyle="1" w:styleId="2067">
    <w:name w:val="标题2-2"/>
    <w:basedOn w:val="1"/>
    <w:autoRedefine/>
    <w:qFormat/>
    <w:uiPriority w:val="0"/>
    <w:pPr>
      <w:autoSpaceDE w:val="0"/>
      <w:autoSpaceDN w:val="0"/>
      <w:adjustRightInd w:val="0"/>
      <w:snapToGrid w:val="0"/>
      <w:spacing w:before="120" w:after="20" w:line="300" w:lineRule="auto"/>
      <w:ind w:firstLine="210" w:firstLineChars="210"/>
      <w:outlineLvl w:val="1"/>
    </w:pPr>
    <w:rPr>
      <w:rFonts w:eastAsia="华文新魏"/>
      <w:b/>
      <w:bCs/>
      <w:kern w:val="0"/>
      <w:sz w:val="32"/>
      <w:szCs w:val="32"/>
      <w:lang w:val="zh-CN"/>
    </w:rPr>
  </w:style>
  <w:style w:type="paragraph" w:customStyle="1" w:styleId="2068">
    <w:name w:val="3级的标题"/>
    <w:basedOn w:val="1"/>
    <w:autoRedefine/>
    <w:semiHidden/>
    <w:qFormat/>
    <w:uiPriority w:val="0"/>
    <w:pPr>
      <w:tabs>
        <w:tab w:val="left" w:pos="0"/>
      </w:tabs>
      <w:adjustRightInd w:val="0"/>
      <w:snapToGrid w:val="0"/>
      <w:spacing w:line="360" w:lineRule="auto"/>
      <w:ind w:firstLine="210" w:firstLineChars="210"/>
      <w:outlineLvl w:val="0"/>
    </w:pPr>
    <w:rPr>
      <w:b/>
    </w:rPr>
  </w:style>
  <w:style w:type="paragraph" w:customStyle="1" w:styleId="2069">
    <w:name w:val="四级标题-秦滨"/>
    <w:basedOn w:val="1"/>
    <w:qFormat/>
    <w:uiPriority w:val="99"/>
    <w:pPr>
      <w:adjustRightInd w:val="0"/>
      <w:snapToGrid w:val="0"/>
      <w:spacing w:line="360" w:lineRule="auto"/>
      <w:ind w:firstLine="210" w:firstLineChars="210"/>
    </w:pPr>
    <w:rPr>
      <w:szCs w:val="22"/>
    </w:rPr>
  </w:style>
  <w:style w:type="paragraph" w:customStyle="1" w:styleId="2070">
    <w:name w:val="三级标题-秦滨"/>
    <w:basedOn w:val="1"/>
    <w:autoRedefine/>
    <w:qFormat/>
    <w:uiPriority w:val="99"/>
    <w:pPr>
      <w:adjustRightInd w:val="0"/>
      <w:snapToGrid w:val="0"/>
      <w:spacing w:line="360" w:lineRule="auto"/>
      <w:ind w:firstLine="210" w:firstLineChars="210"/>
    </w:pPr>
    <w:rPr>
      <w:szCs w:val="22"/>
    </w:rPr>
  </w:style>
  <w:style w:type="character" w:customStyle="1" w:styleId="2071">
    <w:name w:val="图表的标题 Char"/>
    <w:link w:val="2072"/>
    <w:qFormat/>
    <w:locked/>
    <w:uiPriority w:val="0"/>
    <w:rPr>
      <w:rFonts w:eastAsia="楷体"/>
      <w:color w:val="000000"/>
      <w:sz w:val="21"/>
      <w:szCs w:val="21"/>
    </w:rPr>
  </w:style>
  <w:style w:type="paragraph" w:customStyle="1" w:styleId="2072">
    <w:name w:val="图表的标题"/>
    <w:basedOn w:val="1"/>
    <w:link w:val="2071"/>
    <w:autoRedefine/>
    <w:qFormat/>
    <w:uiPriority w:val="0"/>
    <w:pPr>
      <w:adjustRightInd w:val="0"/>
      <w:snapToGrid w:val="0"/>
      <w:spacing w:line="360" w:lineRule="auto"/>
      <w:ind w:firstLine="0" w:firstLineChars="0"/>
      <w:jc w:val="center"/>
    </w:pPr>
    <w:rPr>
      <w:rFonts w:eastAsia="楷体"/>
      <w:color w:val="000000"/>
      <w:kern w:val="0"/>
      <w:sz w:val="21"/>
      <w:szCs w:val="21"/>
    </w:rPr>
  </w:style>
  <w:style w:type="paragraph" w:customStyle="1" w:styleId="2073">
    <w:name w:val="表格秦滨"/>
    <w:basedOn w:val="1"/>
    <w:autoRedefine/>
    <w:qFormat/>
    <w:uiPriority w:val="0"/>
    <w:pPr>
      <w:adjustRightInd w:val="0"/>
      <w:snapToGrid w:val="0"/>
      <w:spacing w:line="360" w:lineRule="auto"/>
      <w:ind w:firstLine="210" w:firstLineChars="210"/>
    </w:pPr>
    <w:rPr>
      <w:szCs w:val="22"/>
    </w:rPr>
  </w:style>
  <w:style w:type="character" w:customStyle="1" w:styleId="2074">
    <w:name w:val="图标题样式 Char"/>
    <w:link w:val="2075"/>
    <w:autoRedefine/>
    <w:semiHidden/>
    <w:qFormat/>
    <w:locked/>
    <w:uiPriority w:val="0"/>
    <w:rPr>
      <w:rFonts w:ascii="宋体" w:hAnsi="Courier New" w:cs="Courier New"/>
      <w:szCs w:val="21"/>
    </w:rPr>
  </w:style>
  <w:style w:type="paragraph" w:customStyle="1" w:styleId="2075">
    <w:name w:val="图标题样式"/>
    <w:basedOn w:val="738"/>
    <w:link w:val="2074"/>
    <w:autoRedefine/>
    <w:semiHidden/>
    <w:qFormat/>
    <w:uiPriority w:val="0"/>
    <w:pPr>
      <w:adjustRightInd w:val="0"/>
      <w:snapToGrid w:val="0"/>
      <w:ind w:left="-158" w:leftChars="-75" w:firstLine="85" w:firstLineChars="85"/>
    </w:pPr>
    <w:rPr>
      <w:rFonts w:ascii="宋体" w:hAnsi="Courier New" w:cs="Courier New"/>
      <w:b w:val="0"/>
      <w:kern w:val="0"/>
      <w:sz w:val="20"/>
      <w:szCs w:val="21"/>
      <w:lang w:val="en-US"/>
    </w:rPr>
  </w:style>
  <w:style w:type="character" w:customStyle="1" w:styleId="2076">
    <w:name w:val="样式 表头4 + 段前: 0.35 行 Char"/>
    <w:link w:val="2077"/>
    <w:qFormat/>
    <w:locked/>
    <w:uiPriority w:val="0"/>
    <w:rPr>
      <w:rFonts w:ascii="宋体" w:hAnsi="宋体" w:cs="宋体"/>
      <w:b/>
      <w:bCs/>
      <w:sz w:val="28"/>
    </w:rPr>
  </w:style>
  <w:style w:type="paragraph" w:customStyle="1" w:styleId="2077">
    <w:name w:val="样式 表头4 + 段前: 0.35 行"/>
    <w:basedOn w:val="1"/>
    <w:link w:val="2076"/>
    <w:autoRedefine/>
    <w:qFormat/>
    <w:uiPriority w:val="0"/>
    <w:pPr>
      <w:adjustRightInd w:val="0"/>
      <w:snapToGrid w:val="0"/>
      <w:ind w:firstLine="0" w:firstLineChars="0"/>
      <w:jc w:val="center"/>
    </w:pPr>
    <w:rPr>
      <w:rFonts w:ascii="宋体" w:hAnsi="宋体" w:cs="宋体"/>
      <w:b/>
      <w:bCs/>
      <w:kern w:val="0"/>
      <w:sz w:val="28"/>
      <w:szCs w:val="20"/>
    </w:rPr>
  </w:style>
  <w:style w:type="character" w:customStyle="1" w:styleId="2078">
    <w:name w:val="四级标题 Char"/>
    <w:link w:val="2079"/>
    <w:autoRedefine/>
    <w:qFormat/>
    <w:locked/>
    <w:uiPriority w:val="0"/>
    <w:rPr>
      <w:kern w:val="2"/>
      <w:sz w:val="24"/>
      <w:szCs w:val="22"/>
    </w:rPr>
  </w:style>
  <w:style w:type="paragraph" w:customStyle="1" w:styleId="2079">
    <w:name w:val="四级标题"/>
    <w:basedOn w:val="1"/>
    <w:link w:val="2078"/>
    <w:qFormat/>
    <w:uiPriority w:val="0"/>
    <w:pPr>
      <w:adjustRightInd w:val="0"/>
      <w:snapToGrid w:val="0"/>
      <w:spacing w:line="360" w:lineRule="auto"/>
      <w:ind w:firstLine="210" w:firstLineChars="210"/>
    </w:pPr>
    <w:rPr>
      <w:szCs w:val="22"/>
    </w:rPr>
  </w:style>
  <w:style w:type="paragraph" w:customStyle="1" w:styleId="2080">
    <w:name w:val="样式 标题 4款标题1.1.1.1(一)条，(一)标题 41. + 仿宋_GB2312 小四 非加粗"/>
    <w:basedOn w:val="6"/>
    <w:autoRedefine/>
    <w:qFormat/>
    <w:uiPriority w:val="0"/>
    <w:pPr>
      <w:numPr>
        <w:ilvl w:val="0"/>
        <w:numId w:val="0"/>
      </w:numPr>
      <w:tabs>
        <w:tab w:val="left" w:pos="1620"/>
      </w:tabs>
      <w:spacing w:before="100" w:beforeAutospacing="1" w:after="100" w:afterAutospacing="1"/>
      <w:ind w:left="1620" w:leftChars="600" w:hanging="360" w:hangingChars="200"/>
    </w:pPr>
    <w:rPr>
      <w:rFonts w:ascii="仿宋_GB2312" w:hAnsi="仿宋_GB2312" w:eastAsia="仿宋_GB2312"/>
      <w:b w:val="0"/>
      <w:bCs w:val="0"/>
      <w:kern w:val="0"/>
      <w:sz w:val="24"/>
    </w:rPr>
  </w:style>
  <w:style w:type="paragraph" w:customStyle="1" w:styleId="2081">
    <w:name w:val="样式 周表目录 + 段前: 0 磅 段后: 0 周表目录"/>
    <w:basedOn w:val="1"/>
    <w:autoRedefine/>
    <w:qFormat/>
    <w:uiPriority w:val="0"/>
    <w:pPr>
      <w:keepNext/>
      <w:adjustRightInd w:val="0"/>
      <w:snapToGrid w:val="0"/>
      <w:spacing w:line="300" w:lineRule="auto"/>
      <w:ind w:firstLine="0" w:firstLineChars="0"/>
      <w:jc w:val="center"/>
    </w:pPr>
    <w:rPr>
      <w:rFonts w:ascii="宋体" w:hAnsi="宋体" w:cs="宋体"/>
      <w:b/>
      <w:bCs/>
      <w:spacing w:val="6"/>
      <w:sz w:val="21"/>
      <w:szCs w:val="20"/>
    </w:rPr>
  </w:style>
  <w:style w:type="character" w:customStyle="1" w:styleId="2082">
    <w:name w:val="4正文 Char"/>
    <w:link w:val="2083"/>
    <w:autoRedefine/>
    <w:qFormat/>
    <w:locked/>
    <w:uiPriority w:val="0"/>
    <w:rPr>
      <w:rFonts w:ascii="宋体" w:hAnsi="宋体"/>
      <w:sz w:val="24"/>
      <w:szCs w:val="24"/>
    </w:rPr>
  </w:style>
  <w:style w:type="paragraph" w:customStyle="1" w:styleId="2083">
    <w:name w:val="4正文"/>
    <w:basedOn w:val="1"/>
    <w:link w:val="2082"/>
    <w:autoRedefine/>
    <w:qFormat/>
    <w:uiPriority w:val="0"/>
    <w:pPr>
      <w:adjustRightInd w:val="0"/>
      <w:spacing w:before="120" w:after="120" w:line="400" w:lineRule="atLeast"/>
      <w:jc w:val="left"/>
    </w:pPr>
    <w:rPr>
      <w:rFonts w:ascii="宋体" w:hAnsi="宋体"/>
      <w:kern w:val="0"/>
    </w:rPr>
  </w:style>
  <w:style w:type="paragraph" w:customStyle="1" w:styleId="2084">
    <w:name w:val="样式 段落样式 Char + 字符缩放: 100% 加宽量  1 磅"/>
    <w:basedOn w:val="1"/>
    <w:autoRedefine/>
    <w:qFormat/>
    <w:uiPriority w:val="0"/>
    <w:pPr>
      <w:keepNext/>
      <w:suppressLineNumbers/>
      <w:suppressAutoHyphens/>
      <w:topLinePunct/>
      <w:adjustRightInd w:val="0"/>
      <w:snapToGrid w:val="0"/>
      <w:spacing w:line="480" w:lineRule="atLeast"/>
      <w:ind w:firstLine="482" w:firstLineChars="0"/>
    </w:pPr>
    <w:rPr>
      <w:kern w:val="0"/>
      <w:sz w:val="28"/>
      <w:szCs w:val="28"/>
    </w:rPr>
  </w:style>
  <w:style w:type="character" w:customStyle="1" w:styleId="2085">
    <w:name w:val="样式 －正文 + 首行缩进:  2 字符2 Char"/>
    <w:link w:val="2086"/>
    <w:autoRedefine/>
    <w:qFormat/>
    <w:locked/>
    <w:uiPriority w:val="0"/>
    <w:rPr>
      <w:spacing w:val="8"/>
      <w:kern w:val="2"/>
      <w:sz w:val="28"/>
      <w:szCs w:val="28"/>
    </w:rPr>
  </w:style>
  <w:style w:type="paragraph" w:customStyle="1" w:styleId="2086">
    <w:name w:val="样式 －正文 + 首行缩进:  2 字符2"/>
    <w:basedOn w:val="1"/>
    <w:link w:val="2085"/>
    <w:autoRedefine/>
    <w:qFormat/>
    <w:uiPriority w:val="0"/>
    <w:pPr>
      <w:widowControl/>
      <w:overflowPunct w:val="0"/>
      <w:autoSpaceDE w:val="0"/>
      <w:autoSpaceDN w:val="0"/>
      <w:adjustRightInd w:val="0"/>
      <w:spacing w:line="360" w:lineRule="auto"/>
      <w:jc w:val="left"/>
    </w:pPr>
    <w:rPr>
      <w:spacing w:val="8"/>
      <w:sz w:val="28"/>
      <w:szCs w:val="28"/>
    </w:rPr>
  </w:style>
  <w:style w:type="paragraph" w:customStyle="1" w:styleId="2087">
    <w:name w:val="样式 图2-1 段落图编号+ + 段前: 0.5 行"/>
    <w:basedOn w:val="1"/>
    <w:autoRedefine/>
    <w:qFormat/>
    <w:uiPriority w:val="0"/>
    <w:pPr>
      <w:tabs>
        <w:tab w:val="left" w:pos="360"/>
        <w:tab w:val="left" w:pos="720"/>
        <w:tab w:val="left" w:pos="795"/>
        <w:tab w:val="left" w:pos="960"/>
        <w:tab w:val="left" w:pos="1200"/>
        <w:tab w:val="center" w:pos="4320"/>
      </w:tabs>
      <w:spacing w:beforeLines="50" w:line="360" w:lineRule="auto"/>
      <w:ind w:hanging="360" w:firstLineChars="0"/>
      <w:outlineLvl w:val="8"/>
    </w:pPr>
    <w:rPr>
      <w:b/>
      <w:spacing w:val="8"/>
      <w:kern w:val="0"/>
      <w:sz w:val="28"/>
      <w:szCs w:val="28"/>
    </w:rPr>
  </w:style>
  <w:style w:type="paragraph" w:customStyle="1" w:styleId="2088">
    <w:name w:val="标题4 job"/>
    <w:next w:val="1"/>
    <w:autoRedefine/>
    <w:qFormat/>
    <w:uiPriority w:val="0"/>
    <w:pPr>
      <w:spacing w:beforeLines="50" w:line="360" w:lineRule="auto"/>
      <w:jc w:val="both"/>
      <w:outlineLvl w:val="3"/>
    </w:pPr>
    <w:rPr>
      <w:rFonts w:ascii="Times New Roman" w:hAnsi="Times New Roman" w:eastAsia="宋体" w:cs="Times New Roman"/>
      <w:b/>
      <w:bCs/>
      <w:kern w:val="2"/>
      <w:sz w:val="24"/>
      <w:szCs w:val="28"/>
      <w:lang w:val="en-US" w:eastAsia="zh-CN" w:bidi="ar-SA"/>
    </w:rPr>
  </w:style>
  <w:style w:type="character" w:customStyle="1" w:styleId="2089">
    <w:name w:val="my 正文 Char"/>
    <w:link w:val="2090"/>
    <w:autoRedefine/>
    <w:semiHidden/>
    <w:qFormat/>
    <w:locked/>
    <w:uiPriority w:val="0"/>
    <w:rPr>
      <w:sz w:val="24"/>
      <w:szCs w:val="24"/>
    </w:rPr>
  </w:style>
  <w:style w:type="paragraph" w:customStyle="1" w:styleId="2090">
    <w:name w:val="my 正文"/>
    <w:basedOn w:val="1"/>
    <w:link w:val="2089"/>
    <w:autoRedefine/>
    <w:semiHidden/>
    <w:qFormat/>
    <w:uiPriority w:val="0"/>
    <w:pPr>
      <w:adjustRightInd w:val="0"/>
      <w:snapToGrid w:val="0"/>
      <w:spacing w:line="360" w:lineRule="auto"/>
      <w:jc w:val="left"/>
    </w:pPr>
    <w:rPr>
      <w:kern w:val="0"/>
    </w:rPr>
  </w:style>
  <w:style w:type="character" w:customStyle="1" w:styleId="2091">
    <w:name w:val="正文秦滨 Char Char"/>
    <w:link w:val="2092"/>
    <w:autoRedefine/>
    <w:qFormat/>
    <w:locked/>
    <w:uiPriority w:val="0"/>
    <w:rPr>
      <w:kern w:val="2"/>
      <w:sz w:val="24"/>
      <w:szCs w:val="24"/>
    </w:rPr>
  </w:style>
  <w:style w:type="paragraph" w:customStyle="1" w:styleId="2092">
    <w:name w:val="正文秦滨"/>
    <w:basedOn w:val="34"/>
    <w:link w:val="2091"/>
    <w:autoRedefine/>
    <w:qFormat/>
    <w:uiPriority w:val="0"/>
    <w:pPr>
      <w:adjustRightInd w:val="0"/>
      <w:snapToGrid w:val="0"/>
      <w:spacing w:line="360" w:lineRule="auto"/>
      <w:ind w:firstLine="200" w:firstLineChars="200"/>
      <w:jc w:val="left"/>
    </w:pPr>
    <w:rPr>
      <w:sz w:val="24"/>
    </w:rPr>
  </w:style>
  <w:style w:type="paragraph" w:customStyle="1" w:styleId="2093">
    <w:name w:val="一级标题-秦滨"/>
    <w:basedOn w:val="84"/>
    <w:autoRedefine/>
    <w:qFormat/>
    <w:uiPriority w:val="0"/>
    <w:pPr>
      <w:pageBreakBefore/>
      <w:autoSpaceDE w:val="0"/>
      <w:autoSpaceDN w:val="0"/>
      <w:adjustRightInd w:val="0"/>
      <w:snapToGrid w:val="0"/>
      <w:spacing w:before="0" w:after="0" w:line="360" w:lineRule="auto"/>
      <w:ind w:firstLine="0" w:firstLineChars="0"/>
      <w:jc w:val="left"/>
    </w:pPr>
    <w:rPr>
      <w:rFonts w:ascii="Times New Roman" w:hAnsi="Times New Roman" w:eastAsia="宋体" w:cs="Arial"/>
    </w:rPr>
  </w:style>
  <w:style w:type="character" w:customStyle="1" w:styleId="2094">
    <w:name w:val="标准正文 Char Char"/>
    <w:autoRedefine/>
    <w:qFormat/>
    <w:locked/>
    <w:uiPriority w:val="0"/>
    <w:rPr>
      <w:kern w:val="2"/>
      <w:sz w:val="24"/>
      <w:szCs w:val="24"/>
    </w:rPr>
  </w:style>
  <w:style w:type="paragraph" w:customStyle="1" w:styleId="2095">
    <w:name w:val="样式 首行缩进:  2 字符1"/>
    <w:basedOn w:val="1"/>
    <w:autoRedefine/>
    <w:qFormat/>
    <w:uiPriority w:val="0"/>
    <w:pPr>
      <w:spacing w:line="460" w:lineRule="exact"/>
    </w:pPr>
    <w:rPr>
      <w:rFonts w:eastAsia="仿宋_GB2312"/>
      <w:sz w:val="28"/>
      <w:szCs w:val="20"/>
    </w:rPr>
  </w:style>
  <w:style w:type="paragraph" w:customStyle="1" w:styleId="2096">
    <w:name w:val="Char Char1 Char Char Char Char"/>
    <w:basedOn w:val="1"/>
    <w:next w:val="1"/>
    <w:autoRedefine/>
    <w:qFormat/>
    <w:uiPriority w:val="0"/>
    <w:pPr>
      <w:spacing w:line="360" w:lineRule="auto"/>
    </w:pPr>
    <w:rPr>
      <w:rFonts w:ascii="宋体" w:hAnsi="宋体" w:cs="宋体"/>
    </w:rPr>
  </w:style>
  <w:style w:type="paragraph" w:customStyle="1" w:styleId="2097">
    <w:name w:val="Char Char5 Char Char Char Char Char Char Char Char Char Char"/>
    <w:basedOn w:val="1"/>
    <w:next w:val="1"/>
    <w:autoRedefine/>
    <w:qFormat/>
    <w:uiPriority w:val="0"/>
    <w:pPr>
      <w:spacing w:line="360" w:lineRule="auto"/>
    </w:pPr>
    <w:rPr>
      <w:rFonts w:ascii="宋体" w:hAnsi="宋体" w:cs="宋体"/>
    </w:rPr>
  </w:style>
  <w:style w:type="character" w:customStyle="1" w:styleId="2098">
    <w:name w:val="SSEC 正文 字符"/>
    <w:link w:val="2099"/>
    <w:autoRedefine/>
    <w:qFormat/>
    <w:locked/>
    <w:uiPriority w:val="0"/>
    <w:rPr>
      <w:rFonts w:ascii="宋体" w:hAnsi="宋体"/>
      <w:kern w:val="2"/>
      <w:sz w:val="24"/>
      <w:szCs w:val="24"/>
    </w:rPr>
  </w:style>
  <w:style w:type="paragraph" w:customStyle="1" w:styleId="2099">
    <w:name w:val="SSEC 正文"/>
    <w:link w:val="2098"/>
    <w:autoRedefine/>
    <w:qFormat/>
    <w:uiPriority w:val="0"/>
    <w:pPr>
      <w:widowControl w:val="0"/>
      <w:adjustRightInd w:val="0"/>
      <w:snapToGrid w:val="0"/>
      <w:spacing w:line="328" w:lineRule="auto"/>
      <w:ind w:firstLine="200" w:firstLineChars="200"/>
      <w:jc w:val="both"/>
    </w:pPr>
    <w:rPr>
      <w:rFonts w:ascii="宋体" w:hAnsi="宋体" w:eastAsia="宋体" w:cs="Times New Roman"/>
      <w:kern w:val="2"/>
      <w:sz w:val="24"/>
      <w:szCs w:val="24"/>
      <w:lang w:val="en-US" w:eastAsia="zh-CN" w:bidi="ar-SA"/>
    </w:rPr>
  </w:style>
  <w:style w:type="character" w:customStyle="1" w:styleId="2100">
    <w:name w:val="标题 5 Char"/>
    <w:basedOn w:val="133"/>
    <w:qFormat/>
    <w:uiPriority w:val="0"/>
    <w:rPr>
      <w:rFonts w:hint="default" w:ascii="Times New Roman" w:hAnsi="Times New Roman" w:eastAsia="宋体" w:cs="Times New Roman"/>
      <w:b/>
      <w:bCs/>
      <w:sz w:val="28"/>
      <w:szCs w:val="28"/>
    </w:rPr>
  </w:style>
  <w:style w:type="character" w:customStyle="1" w:styleId="2101">
    <w:name w:val="标题 8 Char"/>
    <w:basedOn w:val="133"/>
    <w:autoRedefine/>
    <w:qFormat/>
    <w:uiPriority w:val="0"/>
    <w:rPr>
      <w:rFonts w:hint="default" w:ascii="Calibri Light" w:hAnsi="Calibri Light" w:eastAsia="宋体" w:cs="Times New Roman"/>
      <w:sz w:val="24"/>
      <w:szCs w:val="24"/>
    </w:rPr>
  </w:style>
  <w:style w:type="character" w:customStyle="1" w:styleId="2102">
    <w:name w:val="标题 9 Char"/>
    <w:basedOn w:val="133"/>
    <w:autoRedefine/>
    <w:qFormat/>
    <w:uiPriority w:val="0"/>
    <w:rPr>
      <w:rFonts w:hint="default" w:ascii="Calibri Light" w:hAnsi="Calibri Light" w:eastAsia="宋体" w:cs="Times New Roman"/>
      <w:szCs w:val="21"/>
    </w:rPr>
  </w:style>
  <w:style w:type="character" w:customStyle="1" w:styleId="2103">
    <w:name w:val="04 四级标题 Char"/>
    <w:autoRedefine/>
    <w:semiHidden/>
    <w:qFormat/>
    <w:uiPriority w:val="0"/>
    <w:rPr>
      <w:rFonts w:hint="eastAsia" w:ascii="宋体" w:hAnsi="宋体" w:eastAsia="宋体"/>
      <w:b/>
      <w:spacing w:val="-2"/>
      <w:kern w:val="2"/>
      <w:sz w:val="26"/>
      <w:szCs w:val="28"/>
      <w:lang w:val="en-US" w:eastAsia="zh-CN" w:bidi="ar-SA"/>
    </w:rPr>
  </w:style>
  <w:style w:type="character" w:customStyle="1" w:styleId="2104">
    <w:name w:val="表头样式 Char Char"/>
    <w:semiHidden/>
    <w:qFormat/>
    <w:uiPriority w:val="0"/>
    <w:rPr>
      <w:rFonts w:hint="eastAsia" w:ascii="宋体" w:hAnsi="宋体" w:eastAsia="宋体" w:cs="宋体"/>
      <w:kern w:val="2"/>
      <w:sz w:val="21"/>
      <w:szCs w:val="21"/>
      <w:lang w:val="en-US" w:eastAsia="zh-CN" w:bidi="ar-SA"/>
    </w:rPr>
  </w:style>
  <w:style w:type="character" w:customStyle="1" w:styleId="2105">
    <w:name w:val="正文文本缩进 3 Char1"/>
    <w:basedOn w:val="133"/>
    <w:autoRedefine/>
    <w:qFormat/>
    <w:uiPriority w:val="0"/>
    <w:rPr>
      <w:rFonts w:hint="default" w:ascii="Times New Roman" w:hAnsi="Times New Roman" w:eastAsia="宋体" w:cs="Times New Roman"/>
      <w:sz w:val="16"/>
      <w:szCs w:val="16"/>
    </w:rPr>
  </w:style>
  <w:style w:type="character" w:customStyle="1" w:styleId="2106">
    <w:name w:val="样式 字符缩放: 100%"/>
    <w:autoRedefine/>
    <w:qFormat/>
    <w:uiPriority w:val="0"/>
    <w:rPr>
      <w:spacing w:val="0"/>
      <w:w w:val="100"/>
      <w:position w:val="0"/>
    </w:rPr>
  </w:style>
  <w:style w:type="character" w:customStyle="1" w:styleId="2107">
    <w:name w:val="z-窗体底端 Char1"/>
    <w:basedOn w:val="133"/>
    <w:qFormat/>
    <w:uiPriority w:val="0"/>
    <w:rPr>
      <w:rFonts w:hint="default" w:ascii="Arial" w:hAnsi="Arial" w:cs="Arial"/>
      <w:vanish/>
      <w:kern w:val="2"/>
      <w:sz w:val="16"/>
      <w:szCs w:val="16"/>
    </w:rPr>
  </w:style>
  <w:style w:type="paragraph" w:customStyle="1" w:styleId="2108">
    <w:name w:val="z-窗体顶端2"/>
    <w:basedOn w:val="1"/>
    <w:next w:val="1"/>
    <w:link w:val="2109"/>
    <w:unhideWhenUsed/>
    <w:qFormat/>
    <w:uiPriority w:val="0"/>
    <w:pPr>
      <w:pBdr>
        <w:bottom w:val="single" w:color="auto" w:sz="6" w:space="1"/>
      </w:pBdr>
      <w:adjustRightInd w:val="0"/>
      <w:snapToGrid w:val="0"/>
      <w:spacing w:line="360" w:lineRule="auto"/>
      <w:ind w:firstLine="210" w:firstLineChars="210"/>
      <w:jc w:val="center"/>
    </w:pPr>
    <w:rPr>
      <w:rFonts w:ascii="Arial" w:hAnsi="Arial" w:cs="Arial"/>
      <w:vanish/>
      <w:sz w:val="16"/>
      <w:szCs w:val="16"/>
    </w:rPr>
  </w:style>
  <w:style w:type="character" w:customStyle="1" w:styleId="2109">
    <w:name w:val="z-窗体顶端 Char2"/>
    <w:basedOn w:val="133"/>
    <w:link w:val="2108"/>
    <w:autoRedefine/>
    <w:qFormat/>
    <w:uiPriority w:val="0"/>
    <w:rPr>
      <w:rFonts w:ascii="Arial" w:hAnsi="Arial" w:cs="Arial"/>
      <w:vanish/>
      <w:kern w:val="2"/>
      <w:sz w:val="16"/>
      <w:szCs w:val="16"/>
    </w:rPr>
  </w:style>
  <w:style w:type="character" w:customStyle="1" w:styleId="2110">
    <w:name w:val="z-窗体顶端 Char1"/>
    <w:basedOn w:val="133"/>
    <w:autoRedefine/>
    <w:semiHidden/>
    <w:qFormat/>
    <w:uiPriority w:val="99"/>
    <w:rPr>
      <w:rFonts w:hint="default" w:ascii="Arial" w:hAnsi="Arial" w:cs="Arial"/>
      <w:vanish/>
      <w:kern w:val="2"/>
      <w:sz w:val="16"/>
      <w:szCs w:val="16"/>
    </w:rPr>
  </w:style>
  <w:style w:type="table" w:customStyle="1" w:styleId="2111">
    <w:name w:val="网格型6"/>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112">
    <w:name w:val="二级标题-秦滨"/>
    <w:basedOn w:val="2019"/>
    <w:autoRedefine/>
    <w:qFormat/>
    <w:uiPriority w:val="0"/>
    <w:pPr>
      <w:spacing w:before="156" w:after="156"/>
      <w:jc w:val="left"/>
    </w:pPr>
  </w:style>
  <w:style w:type="paragraph" w:customStyle="1" w:styleId="2113">
    <w:name w:val="表格内容居中"/>
    <w:link w:val="2114"/>
    <w:autoRedefine/>
    <w:qFormat/>
    <w:uiPriority w:val="0"/>
    <w:pPr>
      <w:jc w:val="center"/>
    </w:pPr>
    <w:rPr>
      <w:rFonts w:ascii="Times New Roman" w:hAnsi="Times New Roman" w:eastAsia="宋体" w:cs="Times New Roman"/>
      <w:bCs/>
      <w:kern w:val="2"/>
      <w:sz w:val="21"/>
      <w:szCs w:val="32"/>
      <w:lang w:val="en-US" w:eastAsia="zh-CN" w:bidi="ar-SA"/>
    </w:rPr>
  </w:style>
  <w:style w:type="character" w:customStyle="1" w:styleId="2114">
    <w:name w:val="表格内容居中 Char"/>
    <w:basedOn w:val="133"/>
    <w:link w:val="2113"/>
    <w:autoRedefine/>
    <w:qFormat/>
    <w:uiPriority w:val="0"/>
    <w:rPr>
      <w:bCs/>
      <w:kern w:val="2"/>
      <w:sz w:val="21"/>
      <w:szCs w:val="32"/>
    </w:rPr>
  </w:style>
  <w:style w:type="paragraph" w:customStyle="1" w:styleId="2115">
    <w:name w:val="报告正文小四"/>
    <w:basedOn w:val="1"/>
    <w:link w:val="2116"/>
    <w:qFormat/>
    <w:uiPriority w:val="0"/>
    <w:pPr>
      <w:widowControl/>
      <w:adjustRightInd w:val="0"/>
      <w:snapToGrid w:val="0"/>
      <w:spacing w:before="120" w:line="420" w:lineRule="atLeast"/>
      <w:ind w:firstLine="510"/>
      <w:jc w:val="left"/>
    </w:pPr>
    <w:rPr>
      <w:rFonts w:cstheme="majorBidi"/>
      <w:kern w:val="0"/>
      <w:szCs w:val="20"/>
    </w:rPr>
  </w:style>
  <w:style w:type="character" w:customStyle="1" w:styleId="2116">
    <w:name w:val="报告正文小四 Char"/>
    <w:link w:val="2115"/>
    <w:autoRedefine/>
    <w:qFormat/>
    <w:uiPriority w:val="0"/>
    <w:rPr>
      <w:rFonts w:cstheme="majorBidi"/>
      <w:sz w:val="24"/>
    </w:rPr>
  </w:style>
  <w:style w:type="character" w:customStyle="1" w:styleId="2117">
    <w:name w:val="环评正文 Char1"/>
    <w:autoRedefine/>
    <w:qFormat/>
    <w:uiPriority w:val="0"/>
    <w:rPr>
      <w:kern w:val="2"/>
      <w:sz w:val="21"/>
      <w:szCs w:val="24"/>
    </w:rPr>
  </w:style>
  <w:style w:type="character" w:customStyle="1" w:styleId="2118">
    <w:name w:val="不明显强调2"/>
    <w:autoRedefine/>
    <w:qFormat/>
    <w:uiPriority w:val="19"/>
    <w:rPr>
      <w:i/>
      <w:color w:val="5A5A5A"/>
    </w:rPr>
  </w:style>
  <w:style w:type="character" w:customStyle="1" w:styleId="2119">
    <w:name w:val="结束语 Char2"/>
    <w:autoRedefine/>
    <w:qFormat/>
    <w:uiPriority w:val="0"/>
    <w:rPr>
      <w:rFonts w:ascii="宋体" w:eastAsia="宋体"/>
      <w:sz w:val="21"/>
      <w:szCs w:val="21"/>
    </w:rPr>
  </w:style>
  <w:style w:type="character" w:customStyle="1" w:styleId="2120">
    <w:name w:val="a91"/>
    <w:qFormat/>
    <w:uiPriority w:val="0"/>
    <w:rPr>
      <w:spacing w:val="560"/>
      <w:sz w:val="18"/>
      <w:szCs w:val="18"/>
    </w:rPr>
  </w:style>
  <w:style w:type="character" w:customStyle="1" w:styleId="2121">
    <w:name w:val="文字框 Char Char"/>
    <w:autoRedefine/>
    <w:qFormat/>
    <w:uiPriority w:val="0"/>
    <w:rPr>
      <w:rFonts w:ascii="宋体" w:eastAsia="宋体"/>
      <w:kern w:val="2"/>
      <w:sz w:val="21"/>
      <w:lang w:val="en-US" w:eastAsia="zh-CN" w:bidi="ar-SA"/>
    </w:rPr>
  </w:style>
  <w:style w:type="character" w:customStyle="1" w:styleId="2122">
    <w:name w:val="正文文本缩进 3 Char2"/>
    <w:autoRedefine/>
    <w:qFormat/>
    <w:uiPriority w:val="0"/>
    <w:rPr>
      <w:sz w:val="16"/>
      <w:szCs w:val="16"/>
    </w:rPr>
  </w:style>
  <w:style w:type="character" w:customStyle="1" w:styleId="2123">
    <w:name w:val="fix91"/>
    <w:qFormat/>
    <w:uiPriority w:val="0"/>
    <w:rPr>
      <w:rFonts w:hint="default" w:ascii="Arial" w:hAnsi="Arial"/>
      <w:sz w:val="18"/>
    </w:rPr>
  </w:style>
  <w:style w:type="character" w:customStyle="1" w:styleId="2124">
    <w:name w:val="zw1"/>
    <w:autoRedefine/>
    <w:qFormat/>
    <w:uiPriority w:val="0"/>
    <w:rPr>
      <w:rFonts w:hint="eastAsia" w:ascii="宋体" w:hAnsi="宋体" w:eastAsia="宋体"/>
      <w:sz w:val="22"/>
      <w:szCs w:val="22"/>
    </w:rPr>
  </w:style>
  <w:style w:type="character" w:customStyle="1" w:styleId="2125">
    <w:name w:val="样式 正文文本缩进 3 + 小四 段前: 6 磅 段后: 6 磅 行距: 1.5 倍行距 Char"/>
    <w:autoRedefine/>
    <w:qFormat/>
    <w:uiPriority w:val="0"/>
    <w:rPr>
      <w:rFonts w:eastAsia="宋体" w:cs="宋体"/>
      <w:kern w:val="2"/>
      <w:sz w:val="24"/>
      <w:szCs w:val="16"/>
      <w:lang w:val="en-US" w:eastAsia="zh-CN" w:bidi="ar-SA"/>
    </w:rPr>
  </w:style>
  <w:style w:type="character" w:customStyle="1" w:styleId="2126">
    <w:name w:val="文档结构图 Char2"/>
    <w:autoRedefine/>
    <w:qFormat/>
    <w:uiPriority w:val="0"/>
    <w:rPr>
      <w:rFonts w:ascii="Microsoft YaHei UI" w:eastAsia="Microsoft YaHei UI"/>
      <w:kern w:val="2"/>
      <w:sz w:val="18"/>
      <w:szCs w:val="18"/>
    </w:rPr>
  </w:style>
  <w:style w:type="character" w:customStyle="1" w:styleId="2127">
    <w:name w:val="样式 黑色"/>
    <w:autoRedefine/>
    <w:qFormat/>
    <w:uiPriority w:val="0"/>
    <w:rPr>
      <w:rFonts w:ascii="宋体" w:eastAsia="宋体"/>
      <w:color w:val="000000"/>
      <w:sz w:val="24"/>
      <w:szCs w:val="24"/>
      <w:lang w:val="en-US" w:eastAsia="en-US" w:bidi="ar-SA"/>
    </w:rPr>
  </w:style>
  <w:style w:type="character" w:customStyle="1" w:styleId="2128">
    <w:name w:val="注释标题 Char2"/>
    <w:autoRedefine/>
    <w:qFormat/>
    <w:uiPriority w:val="0"/>
    <w:rPr>
      <w:rFonts w:ascii="Calibri" w:hAnsi="Calibri" w:eastAsia="宋体" w:cs="Times New Roman"/>
      <w:kern w:val="0"/>
      <w:sz w:val="24"/>
      <w:szCs w:val="24"/>
    </w:rPr>
  </w:style>
  <w:style w:type="character" w:customStyle="1" w:styleId="2129">
    <w:name w:val="dxj正文 Char"/>
    <w:autoRedefine/>
    <w:qFormat/>
    <w:uiPriority w:val="0"/>
    <w:rPr>
      <w:rFonts w:eastAsia="宋体"/>
      <w:kern w:val="2"/>
      <w:sz w:val="24"/>
      <w:szCs w:val="24"/>
      <w:lang w:val="en-US" w:eastAsia="zh-CN" w:bidi="ar-SA"/>
    </w:rPr>
  </w:style>
  <w:style w:type="character" w:customStyle="1" w:styleId="2130">
    <w:name w:val="HTML 代码1"/>
    <w:qFormat/>
    <w:uiPriority w:val="0"/>
    <w:rPr>
      <w:rFonts w:ascii="黑体" w:eastAsia="黑体" w:cs="Courier New"/>
      <w:sz w:val="24"/>
      <w:szCs w:val="24"/>
      <w:lang w:bidi="ar-SA"/>
    </w:rPr>
  </w:style>
  <w:style w:type="character" w:customStyle="1" w:styleId="2131">
    <w:name w:val="结束语 Char3"/>
    <w:autoRedefine/>
    <w:qFormat/>
    <w:uiPriority w:val="0"/>
  </w:style>
  <w:style w:type="character" w:customStyle="1" w:styleId="2132">
    <w:name w:val="签名 Char3"/>
    <w:autoRedefine/>
    <w:qFormat/>
    <w:uiPriority w:val="0"/>
  </w:style>
  <w:style w:type="character" w:customStyle="1" w:styleId="2133">
    <w:name w:val="文档结构图 Char5"/>
    <w:autoRedefine/>
    <w:qFormat/>
    <w:uiPriority w:val="0"/>
    <w:rPr>
      <w:rFonts w:ascii="宋体" w:eastAsia="宋体"/>
      <w:sz w:val="18"/>
      <w:szCs w:val="18"/>
    </w:rPr>
  </w:style>
  <w:style w:type="character" w:customStyle="1" w:styleId="2134">
    <w:name w:val="结束语 Char1"/>
    <w:autoRedefine/>
    <w:qFormat/>
    <w:uiPriority w:val="0"/>
    <w:rPr>
      <w:rFonts w:ascii="Calibri" w:hAnsi="Calibri" w:eastAsia="宋体" w:cs="Times New Roman"/>
      <w:kern w:val="0"/>
      <w:sz w:val="24"/>
      <w:szCs w:val="24"/>
    </w:rPr>
  </w:style>
  <w:style w:type="character" w:customStyle="1" w:styleId="2135">
    <w:name w:val="正文文本缩进 2 Char3"/>
    <w:autoRedefine/>
    <w:qFormat/>
    <w:uiPriority w:val="0"/>
    <w:rPr>
      <w:rFonts w:ascii="Times New Roman" w:hAnsi="Times New Roman" w:eastAsia="宋体" w:cs="Times New Roman"/>
      <w:szCs w:val="24"/>
      <w:lang w:bidi="ar-SA"/>
    </w:rPr>
  </w:style>
  <w:style w:type="character" w:customStyle="1" w:styleId="2136">
    <w:name w:val="不明显参考2"/>
    <w:autoRedefine/>
    <w:qFormat/>
    <w:uiPriority w:val="31"/>
    <w:rPr>
      <w:sz w:val="24"/>
      <w:szCs w:val="24"/>
      <w:u w:val="single"/>
    </w:rPr>
  </w:style>
  <w:style w:type="character" w:customStyle="1" w:styleId="2137">
    <w:name w:val="明显参考11"/>
    <w:autoRedefine/>
    <w:qFormat/>
    <w:uiPriority w:val="0"/>
    <w:rPr>
      <w:b/>
      <w:sz w:val="24"/>
      <w:u w:val="single"/>
    </w:rPr>
  </w:style>
  <w:style w:type="character" w:customStyle="1" w:styleId="2138">
    <w:name w:val="style391"/>
    <w:autoRedefine/>
    <w:qFormat/>
    <w:uiPriority w:val="0"/>
    <w:rPr>
      <w:sz w:val="18"/>
      <w:szCs w:val="18"/>
    </w:rPr>
  </w:style>
  <w:style w:type="character" w:customStyle="1" w:styleId="2139">
    <w:name w:val="style111"/>
    <w:autoRedefine/>
    <w:qFormat/>
    <w:uiPriority w:val="0"/>
    <w:rPr>
      <w:rFonts w:ascii="宋体" w:hAnsi="宋体" w:eastAsia="宋体" w:cs="宋体"/>
      <w:kern w:val="2"/>
      <w:sz w:val="21"/>
      <w:szCs w:val="21"/>
      <w:lang w:val="en-US" w:eastAsia="zh-CN" w:bidi="ar-SA"/>
    </w:rPr>
  </w:style>
  <w:style w:type="character" w:customStyle="1" w:styleId="2140">
    <w:name w:val="style221"/>
    <w:autoRedefine/>
    <w:qFormat/>
    <w:uiPriority w:val="0"/>
    <w:rPr>
      <w:sz w:val="36"/>
    </w:rPr>
  </w:style>
  <w:style w:type="character" w:customStyle="1" w:styleId="2141">
    <w:name w:val="er1"/>
    <w:autoRedefine/>
    <w:qFormat/>
    <w:uiPriority w:val="0"/>
    <w:rPr>
      <w:rFonts w:hint="default"/>
      <w:color w:val="000000"/>
      <w:sz w:val="22"/>
      <w:szCs w:val="22"/>
    </w:rPr>
  </w:style>
  <w:style w:type="character" w:customStyle="1" w:styleId="2142">
    <w:name w:val="文章正文 Char2"/>
    <w:autoRedefine/>
    <w:qFormat/>
    <w:uiPriority w:val="0"/>
    <w:rPr>
      <w:rFonts w:ascii="宋体" w:hAnsi="宋体" w:eastAsia="宋体"/>
      <w:kern w:val="2"/>
      <w:sz w:val="24"/>
      <w:szCs w:val="24"/>
      <w:lang w:val="en-US" w:eastAsia="zh-CN" w:bidi="ar-SA"/>
    </w:rPr>
  </w:style>
  <w:style w:type="character" w:customStyle="1" w:styleId="2143">
    <w:name w:val="标题 a Char"/>
    <w:autoRedefine/>
    <w:qFormat/>
    <w:uiPriority w:val="0"/>
    <w:rPr>
      <w:rFonts w:ascii="Arial" w:hAnsi="Arial" w:eastAsia="黑体"/>
      <w:b/>
      <w:bCs/>
      <w:kern w:val="2"/>
      <w:sz w:val="28"/>
      <w:szCs w:val="28"/>
      <w:lang w:val="en-US" w:eastAsia="zh-CN" w:bidi="ar-SA"/>
    </w:rPr>
  </w:style>
  <w:style w:type="character" w:customStyle="1" w:styleId="2144">
    <w:name w:val="样式 正文缩进 + 仿宋_GB2312 四号 Char"/>
    <w:qFormat/>
    <w:uiPriority w:val="0"/>
    <w:rPr>
      <w:rFonts w:ascii="仿宋_GB2312" w:hAnsi="仿宋_GB2312" w:eastAsia="仿宋_GB2312"/>
      <w:sz w:val="24"/>
      <w:szCs w:val="24"/>
      <w:lang w:val="en-US" w:eastAsia="zh-CN" w:bidi="ar-SA"/>
    </w:rPr>
  </w:style>
  <w:style w:type="character" w:customStyle="1" w:styleId="2145">
    <w:name w:val="H7 Char3"/>
    <w:autoRedefine/>
    <w:qFormat/>
    <w:uiPriority w:val="0"/>
    <w:rPr>
      <w:rFonts w:eastAsia="宋体"/>
      <w:b/>
      <w:bCs/>
      <w:sz w:val="24"/>
      <w:szCs w:val="24"/>
      <w:lang w:val="en-US" w:eastAsia="zh-CN" w:bidi="ar-SA"/>
    </w:rPr>
  </w:style>
  <w:style w:type="character" w:customStyle="1" w:styleId="2146">
    <w:name w:val="style21"/>
    <w:autoRedefine/>
    <w:qFormat/>
    <w:uiPriority w:val="0"/>
    <w:rPr>
      <w:spacing w:val="384"/>
      <w:sz w:val="28"/>
      <w:szCs w:val="28"/>
    </w:rPr>
  </w:style>
  <w:style w:type="character" w:customStyle="1" w:styleId="2147">
    <w:name w:val="文章正文 Char Char"/>
    <w:autoRedefine/>
    <w:qFormat/>
    <w:uiPriority w:val="0"/>
    <w:rPr>
      <w:rFonts w:ascii="宋体" w:hAnsi="宋体" w:eastAsia="宋体"/>
      <w:kern w:val="2"/>
      <w:sz w:val="24"/>
      <w:szCs w:val="24"/>
      <w:lang w:val="en-US" w:eastAsia="zh-CN" w:bidi="ar-SA"/>
    </w:rPr>
  </w:style>
  <w:style w:type="character" w:customStyle="1" w:styleId="2148">
    <w:name w:val="日期 Char2"/>
    <w:autoRedefine/>
    <w:qFormat/>
    <w:uiPriority w:val="0"/>
    <w:rPr>
      <w:kern w:val="2"/>
      <w:sz w:val="24"/>
      <w:szCs w:val="24"/>
    </w:rPr>
  </w:style>
  <w:style w:type="character" w:customStyle="1" w:styleId="2149">
    <w:name w:val="pt91"/>
    <w:autoRedefine/>
    <w:qFormat/>
    <w:uiPriority w:val="0"/>
    <w:rPr>
      <w:color w:val="000000"/>
      <w:sz w:val="18"/>
      <w:szCs w:val="18"/>
    </w:rPr>
  </w:style>
  <w:style w:type="character" w:customStyle="1" w:styleId="2150">
    <w:name w:val="页脚 Char2"/>
    <w:qFormat/>
    <w:uiPriority w:val="0"/>
    <w:rPr>
      <w:sz w:val="18"/>
      <w:szCs w:val="18"/>
    </w:rPr>
  </w:style>
  <w:style w:type="character" w:customStyle="1" w:styleId="2151">
    <w:name w:val="批注框文本 Char2"/>
    <w:autoRedefine/>
    <w:qFormat/>
    <w:uiPriority w:val="0"/>
    <w:rPr>
      <w:kern w:val="2"/>
      <w:sz w:val="18"/>
      <w:szCs w:val="18"/>
    </w:rPr>
  </w:style>
  <w:style w:type="character" w:customStyle="1" w:styleId="2152">
    <w:name w:val="cauc-0 Char Char"/>
    <w:autoRedefine/>
    <w:qFormat/>
    <w:uiPriority w:val="0"/>
    <w:rPr>
      <w:kern w:val="2"/>
      <w:sz w:val="24"/>
      <w:szCs w:val="24"/>
      <w:lang w:val="en-US" w:eastAsia="zh-CN" w:bidi="ar-SA"/>
    </w:rPr>
  </w:style>
  <w:style w:type="character" w:customStyle="1" w:styleId="2153">
    <w:name w:val="L标题4L Char"/>
    <w:autoRedefine/>
    <w:qFormat/>
    <w:uiPriority w:val="0"/>
    <w:rPr>
      <w:rFonts w:eastAsia="宋体"/>
      <w:b/>
      <w:sz w:val="24"/>
      <w:szCs w:val="24"/>
      <w:lang w:bidi="ar-SA"/>
    </w:rPr>
  </w:style>
  <w:style w:type="character" w:customStyle="1" w:styleId="2154">
    <w:name w:val="批注文字 Char2"/>
    <w:autoRedefine/>
    <w:qFormat/>
    <w:uiPriority w:val="0"/>
    <w:rPr>
      <w:rFonts w:ascii="Calibri" w:hAnsi="Calibri" w:eastAsia="宋体" w:cs="Times New Roman"/>
      <w:kern w:val="0"/>
      <w:sz w:val="24"/>
      <w:szCs w:val="24"/>
    </w:rPr>
  </w:style>
  <w:style w:type="character" w:customStyle="1" w:styleId="2155">
    <w:name w:val="正文YHY Char Char"/>
    <w:autoRedefine/>
    <w:qFormat/>
    <w:uiPriority w:val="0"/>
    <w:rPr>
      <w:rFonts w:eastAsia="宋体"/>
      <w:sz w:val="24"/>
      <w:szCs w:val="24"/>
    </w:rPr>
  </w:style>
  <w:style w:type="character" w:customStyle="1" w:styleId="2156">
    <w:name w:val="文档结构图 Char4"/>
    <w:autoRedefine/>
    <w:qFormat/>
    <w:uiPriority w:val="0"/>
    <w:rPr>
      <w:rFonts w:ascii="Times New Roman" w:hAnsi="Times New Roman" w:eastAsia="宋体" w:cs="Times New Roman"/>
      <w:szCs w:val="24"/>
      <w:shd w:val="clear" w:color="auto" w:fill="000080"/>
      <w:lang w:bidi="ar-SA"/>
    </w:rPr>
  </w:style>
  <w:style w:type="character" w:customStyle="1" w:styleId="2157">
    <w:name w:val="文章 Char"/>
    <w:qFormat/>
    <w:uiPriority w:val="0"/>
    <w:rPr>
      <w:rFonts w:eastAsia="宋体"/>
      <w:sz w:val="24"/>
      <w:szCs w:val="24"/>
      <w:lang w:val="en-US" w:eastAsia="zh-CN" w:bidi="ar-SA"/>
    </w:rPr>
  </w:style>
  <w:style w:type="character" w:customStyle="1" w:styleId="2158">
    <w:name w:val="Char Char26"/>
    <w:autoRedefine/>
    <w:qFormat/>
    <w:uiPriority w:val="0"/>
    <w:rPr>
      <w:rFonts w:ascii="Times New Roman" w:hAnsi="Times New Roman" w:eastAsia="宋体" w:cs="Times New Roman"/>
      <w:b/>
      <w:kern w:val="2"/>
      <w:sz w:val="36"/>
      <w:szCs w:val="20"/>
      <w:lang w:bidi="ar-SA"/>
    </w:rPr>
  </w:style>
  <w:style w:type="character" w:customStyle="1" w:styleId="2159">
    <w:name w:val="标题 Char2"/>
    <w:autoRedefine/>
    <w:qFormat/>
    <w:uiPriority w:val="0"/>
    <w:rPr>
      <w:rFonts w:ascii="Cambria" w:hAnsi="Cambria" w:eastAsia="宋体" w:cs="Times New Roman"/>
      <w:b/>
      <w:bCs/>
      <w:kern w:val="0"/>
      <w:sz w:val="32"/>
      <w:szCs w:val="32"/>
    </w:rPr>
  </w:style>
  <w:style w:type="character" w:customStyle="1" w:styleId="2160">
    <w:name w:val="t_blue_01"/>
    <w:autoRedefine/>
    <w:qFormat/>
    <w:uiPriority w:val="0"/>
    <w:rPr>
      <w:rFonts w:ascii="宋体" w:eastAsia="宋体"/>
      <w:sz w:val="24"/>
      <w:szCs w:val="20"/>
    </w:rPr>
  </w:style>
  <w:style w:type="character" w:customStyle="1" w:styleId="2161">
    <w:name w:val="批注文字 Char"/>
    <w:autoRedefine/>
    <w:qFormat/>
    <w:uiPriority w:val="99"/>
    <w:rPr>
      <w:rFonts w:ascii="Times New Roman" w:hAnsi="Times New Roman"/>
      <w:kern w:val="2"/>
      <w:sz w:val="21"/>
      <w:szCs w:val="24"/>
    </w:rPr>
  </w:style>
  <w:style w:type="character" w:customStyle="1" w:styleId="2162">
    <w:name w:val="HTML 地址 Char2"/>
    <w:autoRedefine/>
    <w:semiHidden/>
    <w:qFormat/>
    <w:uiPriority w:val="99"/>
    <w:rPr>
      <w:rFonts w:ascii="Calibri" w:hAnsi="Calibri" w:eastAsia="宋体" w:cs="Times New Roman"/>
      <w:i/>
      <w:iCs/>
      <w:kern w:val="0"/>
      <w:sz w:val="24"/>
      <w:szCs w:val="24"/>
    </w:rPr>
  </w:style>
  <w:style w:type="character" w:customStyle="1" w:styleId="2163">
    <w:name w:val="电子邮件签名 Char3"/>
    <w:autoRedefine/>
    <w:qFormat/>
    <w:uiPriority w:val="0"/>
  </w:style>
  <w:style w:type="character" w:customStyle="1" w:styleId="2164">
    <w:name w:val="正文文字 2 Char Char"/>
    <w:autoRedefine/>
    <w:qFormat/>
    <w:uiPriority w:val="0"/>
    <w:rPr>
      <w:rFonts w:eastAsia="宋体"/>
      <w:kern w:val="2"/>
      <w:sz w:val="21"/>
      <w:szCs w:val="24"/>
      <w:lang w:val="en-US" w:eastAsia="zh-CN" w:bidi="ar-SA"/>
    </w:rPr>
  </w:style>
  <w:style w:type="character" w:customStyle="1" w:styleId="2165">
    <w:name w:val="注释标题 Char1"/>
    <w:autoRedefine/>
    <w:qFormat/>
    <w:uiPriority w:val="0"/>
  </w:style>
  <w:style w:type="character" w:customStyle="1" w:styleId="2166">
    <w:name w:val="样式 宋体 四号 加粗"/>
    <w:autoRedefine/>
    <w:qFormat/>
    <w:uiPriority w:val="0"/>
    <w:rPr>
      <w:rFonts w:ascii="宋体" w:hAnsi="宋体"/>
      <w:bCs/>
      <w:sz w:val="28"/>
    </w:rPr>
  </w:style>
  <w:style w:type="character" w:customStyle="1" w:styleId="2167">
    <w:name w:val="bigfont"/>
    <w:autoRedefine/>
    <w:qFormat/>
    <w:uiPriority w:val="0"/>
  </w:style>
  <w:style w:type="character" w:customStyle="1" w:styleId="2168">
    <w:name w:val="样式 标题 2标题 21标题 121标题 2 Char1 Char节H2节标题 1.1节标题 1.1 Char... Char"/>
    <w:autoRedefine/>
    <w:qFormat/>
    <w:uiPriority w:val="0"/>
    <w:rPr>
      <w:rFonts w:eastAsia="宋体"/>
      <w:sz w:val="24"/>
      <w:lang w:val="zh-CN" w:eastAsia="zh-CN" w:bidi="ar-SA"/>
    </w:rPr>
  </w:style>
  <w:style w:type="character" w:customStyle="1" w:styleId="2169">
    <w:name w:val="H7 Char4"/>
    <w:autoRedefine/>
    <w:qFormat/>
    <w:uiPriority w:val="0"/>
    <w:rPr>
      <w:rFonts w:eastAsia="宋体"/>
      <w:b/>
      <w:bCs/>
      <w:sz w:val="24"/>
      <w:szCs w:val="24"/>
      <w:lang w:val="en-US" w:eastAsia="zh-CN" w:bidi="ar-SA"/>
    </w:rPr>
  </w:style>
  <w:style w:type="character" w:customStyle="1" w:styleId="2170">
    <w:name w:val="s"/>
    <w:autoRedefine/>
    <w:qFormat/>
    <w:uiPriority w:val="0"/>
  </w:style>
  <w:style w:type="character" w:customStyle="1" w:styleId="2171">
    <w:name w:val="电子邮件签名 Char1"/>
    <w:autoRedefine/>
    <w:qFormat/>
    <w:uiPriority w:val="0"/>
    <w:rPr>
      <w:rFonts w:ascii="Calibri" w:hAnsi="Calibri" w:eastAsia="宋体" w:cs="Times New Roman"/>
      <w:kern w:val="0"/>
      <w:sz w:val="24"/>
      <w:szCs w:val="24"/>
    </w:rPr>
  </w:style>
  <w:style w:type="character" w:customStyle="1" w:styleId="2172">
    <w:name w:val="l17-z105"/>
    <w:qFormat/>
    <w:uiPriority w:val="0"/>
  </w:style>
  <w:style w:type="character" w:customStyle="1" w:styleId="2173">
    <w:name w:val="txt181"/>
    <w:autoRedefine/>
    <w:qFormat/>
    <w:uiPriority w:val="0"/>
    <w:rPr>
      <w:rFonts w:hint="eastAsia" w:ascii="宋体" w:hAnsi="宋体" w:eastAsia="宋体"/>
      <w:b/>
      <w:bCs/>
      <w:sz w:val="38"/>
      <w:szCs w:val="38"/>
      <w:u w:val="none"/>
    </w:rPr>
  </w:style>
  <w:style w:type="character" w:customStyle="1" w:styleId="2174">
    <w:name w:val="普通文字 Char Char Char Char Char C Char Char Char Char Char"/>
    <w:autoRedefine/>
    <w:qFormat/>
    <w:uiPriority w:val="0"/>
    <w:rPr>
      <w:rFonts w:ascii="宋体" w:hAnsi="Courier New" w:eastAsia="宋体"/>
      <w:kern w:val="2"/>
      <w:sz w:val="21"/>
      <w:lang w:val="en-US" w:eastAsia="zh-CN" w:bidi="ar-SA"/>
    </w:rPr>
  </w:style>
  <w:style w:type="character" w:customStyle="1" w:styleId="2175">
    <w:name w:val="正文文本 2 Char2"/>
    <w:autoRedefine/>
    <w:qFormat/>
    <w:uiPriority w:val="0"/>
  </w:style>
  <w:style w:type="character" w:customStyle="1" w:styleId="2176">
    <w:name w:val="日期 Char3"/>
    <w:autoRedefine/>
    <w:qFormat/>
    <w:uiPriority w:val="0"/>
    <w:rPr>
      <w:rFonts w:ascii="Times New Roman" w:hAnsi="Times New Roman" w:eastAsia="宋体" w:cs="Times New Roman"/>
      <w:szCs w:val="24"/>
      <w:lang w:bidi="ar-SA"/>
    </w:rPr>
  </w:style>
  <w:style w:type="character" w:customStyle="1" w:styleId="2177">
    <w:name w:val="表文字 Char1"/>
    <w:autoRedefine/>
    <w:qFormat/>
    <w:uiPriority w:val="0"/>
    <w:rPr>
      <w:rFonts w:eastAsia="宋体"/>
      <w:sz w:val="24"/>
      <w:lang w:val="en-US" w:eastAsia="zh-CN" w:bidi="ar-SA"/>
    </w:rPr>
  </w:style>
  <w:style w:type="character" w:customStyle="1" w:styleId="2178">
    <w:name w:val="fix101"/>
    <w:autoRedefine/>
    <w:qFormat/>
    <w:uiPriority w:val="0"/>
    <w:rPr>
      <w:rFonts w:hint="default" w:ascii="Arial" w:hAnsi="Arial"/>
      <w:sz w:val="20"/>
    </w:rPr>
  </w:style>
  <w:style w:type="character" w:customStyle="1" w:styleId="2179">
    <w:name w:val="Char Char23"/>
    <w:autoRedefine/>
    <w:qFormat/>
    <w:uiPriority w:val="0"/>
    <w:rPr>
      <w:rFonts w:ascii="Arial" w:hAnsi="Arial" w:eastAsia="黑体"/>
      <w:b/>
      <w:bCs/>
      <w:kern w:val="2"/>
      <w:sz w:val="28"/>
      <w:szCs w:val="28"/>
      <w:lang w:val="en-US" w:eastAsia="zh-CN" w:bidi="ar-SA"/>
    </w:rPr>
  </w:style>
  <w:style w:type="character" w:customStyle="1" w:styleId="2180">
    <w:name w:val="样式51 Char Char"/>
    <w:autoRedefine/>
    <w:qFormat/>
    <w:uiPriority w:val="0"/>
    <w:rPr>
      <w:rFonts w:hAnsi="宋体" w:eastAsia="宋体"/>
      <w:kern w:val="2"/>
      <w:sz w:val="24"/>
      <w:szCs w:val="24"/>
      <w:lang w:val="en-US" w:eastAsia="zh-CN" w:bidi="ar-SA"/>
    </w:rPr>
  </w:style>
  <w:style w:type="character" w:customStyle="1" w:styleId="2181">
    <w:name w:val="正文文字缩进 3 Char Char1"/>
    <w:autoRedefine/>
    <w:qFormat/>
    <w:uiPriority w:val="0"/>
    <w:rPr>
      <w:rFonts w:eastAsia="宋体"/>
      <w:kern w:val="2"/>
      <w:sz w:val="16"/>
      <w:szCs w:val="16"/>
      <w:lang w:val="en-US" w:eastAsia="zh-CN" w:bidi="ar-SA"/>
    </w:rPr>
  </w:style>
  <w:style w:type="character" w:customStyle="1" w:styleId="2182">
    <w:name w:val="样式52 Char Char"/>
    <w:autoRedefine/>
    <w:qFormat/>
    <w:uiPriority w:val="0"/>
    <w:rPr>
      <w:rFonts w:eastAsia="宋体"/>
      <w:b/>
      <w:kern w:val="2"/>
      <w:sz w:val="24"/>
      <w:szCs w:val="24"/>
      <w:lang w:val="en-US" w:eastAsia="zh-CN" w:bidi="ar-SA"/>
    </w:rPr>
  </w:style>
  <w:style w:type="character" w:customStyle="1" w:styleId="2183">
    <w:name w:val="asg1"/>
    <w:autoRedefine/>
    <w:qFormat/>
    <w:uiPriority w:val="0"/>
    <w:rPr>
      <w:sz w:val="18"/>
      <w:szCs w:val="18"/>
    </w:rPr>
  </w:style>
  <w:style w:type="character" w:customStyle="1" w:styleId="2184">
    <w:name w:val="正文文字 2 Char Char5"/>
    <w:autoRedefine/>
    <w:semiHidden/>
    <w:qFormat/>
    <w:uiPriority w:val="0"/>
    <w:rPr>
      <w:rFonts w:eastAsia="宋体"/>
      <w:spacing w:val="-10"/>
      <w:kern w:val="2"/>
      <w:sz w:val="21"/>
      <w:szCs w:val="24"/>
      <w:lang w:val="en-US" w:eastAsia="zh-CN" w:bidi="ar-SA"/>
    </w:rPr>
  </w:style>
  <w:style w:type="character" w:customStyle="1" w:styleId="2185">
    <w:name w:val="H8 Char1"/>
    <w:autoRedefine/>
    <w:qFormat/>
    <w:uiPriority w:val="0"/>
    <w:rPr>
      <w:rFonts w:ascii="Arial" w:hAnsi="Arial" w:eastAsia="黑体"/>
      <w:sz w:val="24"/>
      <w:szCs w:val="24"/>
      <w:lang w:val="en-US" w:eastAsia="zh-CN" w:bidi="ar-SA"/>
    </w:rPr>
  </w:style>
  <w:style w:type="character" w:customStyle="1" w:styleId="2186">
    <w:name w:val="样式 标题 4标题 14H4My title 4款标题1.1.1.1 + (中文) 宋体 非加粗 段前: 12 磅..."/>
    <w:autoRedefine/>
    <w:qFormat/>
    <w:uiPriority w:val="0"/>
    <w:rPr>
      <w:sz w:val="24"/>
      <w:szCs w:val="24"/>
    </w:rPr>
  </w:style>
  <w:style w:type="character" w:customStyle="1" w:styleId="2187">
    <w:name w:val="a页眉 Char Char"/>
    <w:autoRedefine/>
    <w:qFormat/>
    <w:uiPriority w:val="0"/>
    <w:rPr>
      <w:rFonts w:eastAsia="宋体"/>
      <w:kern w:val="2"/>
      <w:sz w:val="18"/>
      <w:szCs w:val="18"/>
      <w:lang w:val="en-US" w:eastAsia="zh-CN" w:bidi="ar-SA"/>
    </w:rPr>
  </w:style>
  <w:style w:type="character" w:customStyle="1" w:styleId="2188">
    <w:name w:val="unnamed1"/>
    <w:autoRedefine/>
    <w:qFormat/>
    <w:uiPriority w:val="0"/>
  </w:style>
  <w:style w:type="character" w:customStyle="1" w:styleId="2189">
    <w:name w:val="标题 3 Char Char Char Char Char Char Char Char Char Char Char Char Char Char Char Char"/>
    <w:autoRedefine/>
    <w:qFormat/>
    <w:uiPriority w:val="0"/>
    <w:rPr>
      <w:rFonts w:ascii="宋体" w:hAnsi="宋体" w:eastAsia="宋体"/>
      <w:szCs w:val="32"/>
    </w:rPr>
  </w:style>
  <w:style w:type="character" w:customStyle="1" w:styleId="2190">
    <w:name w:val="文档结构图 Char1"/>
    <w:autoRedefine/>
    <w:qFormat/>
    <w:uiPriority w:val="0"/>
    <w:rPr>
      <w:kern w:val="2"/>
      <w:sz w:val="21"/>
      <w:szCs w:val="24"/>
      <w:shd w:val="clear" w:color="auto" w:fill="000080"/>
    </w:rPr>
  </w:style>
  <w:style w:type="character" w:customStyle="1" w:styleId="2191">
    <w:name w:val="articlebody1"/>
    <w:autoRedefine/>
    <w:qFormat/>
    <w:uiPriority w:val="0"/>
    <w:rPr>
      <w:sz w:val="21"/>
      <w:szCs w:val="21"/>
    </w:rPr>
  </w:style>
  <w:style w:type="character" w:customStyle="1" w:styleId="2192">
    <w:name w:val="H9 Char4"/>
    <w:autoRedefine/>
    <w:qFormat/>
    <w:uiPriority w:val="0"/>
    <w:rPr>
      <w:rFonts w:ascii="Arial" w:hAnsi="Arial" w:eastAsia="黑体"/>
      <w:sz w:val="21"/>
      <w:szCs w:val="21"/>
      <w:lang w:val="en-US" w:eastAsia="zh-CN" w:bidi="ar-SA"/>
    </w:rPr>
  </w:style>
  <w:style w:type="character" w:customStyle="1" w:styleId="2193">
    <w:name w:val="物探标题 1 Char"/>
    <w:autoRedefine/>
    <w:qFormat/>
    <w:uiPriority w:val="0"/>
    <w:rPr>
      <w:rFonts w:ascii="方正小标宋简体" w:hAnsi="华文中宋" w:eastAsia="方正小标宋简体"/>
      <w:b/>
      <w:kern w:val="44"/>
      <w:sz w:val="30"/>
      <w:szCs w:val="30"/>
      <w:lang w:val="en-US" w:eastAsia="zh-CN" w:bidi="ar-SA"/>
    </w:rPr>
  </w:style>
  <w:style w:type="character" w:customStyle="1" w:styleId="2194">
    <w:name w:val="首行缩进（正文） Char1"/>
    <w:autoRedefine/>
    <w:qFormat/>
    <w:uiPriority w:val="0"/>
    <w:rPr>
      <w:rFonts w:ascii="宋体" w:hAnsi="宋体" w:eastAsia="宋体"/>
      <w:kern w:val="2"/>
      <w:sz w:val="24"/>
      <w:szCs w:val="24"/>
      <w:lang w:val="en-US" w:eastAsia="zh-CN" w:bidi="ar-SA"/>
    </w:rPr>
  </w:style>
  <w:style w:type="character" w:customStyle="1" w:styleId="2195">
    <w:name w:val="正文文字 2 Char Char2"/>
    <w:autoRedefine/>
    <w:semiHidden/>
    <w:qFormat/>
    <w:uiPriority w:val="0"/>
    <w:rPr>
      <w:rFonts w:eastAsia="宋体"/>
      <w:spacing w:val="-10"/>
      <w:kern w:val="2"/>
      <w:sz w:val="21"/>
      <w:szCs w:val="24"/>
      <w:lang w:val="en-US" w:eastAsia="zh-CN" w:bidi="ar-SA"/>
    </w:rPr>
  </w:style>
  <w:style w:type="character" w:customStyle="1" w:styleId="2196">
    <w:name w:val="样式 段落样式 + (西文) 宋体 小四 黑色 Char Char"/>
    <w:qFormat/>
    <w:uiPriority w:val="0"/>
    <w:rPr>
      <w:rFonts w:eastAsia="宋体"/>
      <w:snapToGrid/>
      <w:color w:val="000000"/>
      <w:w w:val="90"/>
      <w:kern w:val="24"/>
      <w:sz w:val="24"/>
      <w:szCs w:val="21"/>
      <w:lang w:val="en-US" w:eastAsia="zh-CN" w:bidi="ar-SA"/>
    </w:rPr>
  </w:style>
  <w:style w:type="character" w:customStyle="1" w:styleId="2197">
    <w:name w:val="a标题 3 Char Char"/>
    <w:qFormat/>
    <w:uiPriority w:val="0"/>
    <w:rPr>
      <w:rFonts w:ascii="黑体" w:eastAsia="宋体"/>
      <w:b/>
      <w:sz w:val="28"/>
      <w:lang w:val="en-GB" w:eastAsia="zh-CN" w:bidi="ar-SA"/>
    </w:rPr>
  </w:style>
  <w:style w:type="character" w:customStyle="1" w:styleId="2198">
    <w:name w:val="headline-content3"/>
    <w:autoRedefine/>
    <w:qFormat/>
    <w:uiPriority w:val="0"/>
  </w:style>
  <w:style w:type="character" w:customStyle="1" w:styleId="2199">
    <w:name w:val="orange1"/>
    <w:autoRedefine/>
    <w:qFormat/>
    <w:uiPriority w:val="0"/>
    <w:rPr>
      <w:color w:val="FF6600"/>
    </w:rPr>
  </w:style>
  <w:style w:type="character" w:customStyle="1" w:styleId="2200">
    <w:name w:val="报告 Char1"/>
    <w:autoRedefine/>
    <w:qFormat/>
    <w:uiPriority w:val="0"/>
    <w:rPr>
      <w:sz w:val="24"/>
    </w:rPr>
  </w:style>
  <w:style w:type="character" w:customStyle="1" w:styleId="2201">
    <w:name w:val="样式 标题 1标题 1 Char标题1章节H1h11headingHeader 1st Pageh1 chap..."/>
    <w:autoRedefine/>
    <w:semiHidden/>
    <w:qFormat/>
    <w:uiPriority w:val="0"/>
    <w:rPr>
      <w:rFonts w:ascii="Times New Roman" w:eastAsia="仿宋_GB2312"/>
      <w:sz w:val="28"/>
    </w:rPr>
  </w:style>
  <w:style w:type="character" w:customStyle="1" w:styleId="2202">
    <w:name w:val="text_black1"/>
    <w:autoRedefine/>
    <w:qFormat/>
    <w:uiPriority w:val="0"/>
    <w:rPr>
      <w:color w:val="000000"/>
      <w:sz w:val="24"/>
      <w:szCs w:val="24"/>
    </w:rPr>
  </w:style>
  <w:style w:type="character" w:customStyle="1" w:styleId="2203">
    <w:name w:val="title11"/>
    <w:autoRedefine/>
    <w:qFormat/>
    <w:uiPriority w:val="0"/>
  </w:style>
  <w:style w:type="character" w:customStyle="1" w:styleId="2204">
    <w:name w:val="正文文字缩进 Char Char"/>
    <w:autoRedefine/>
    <w:qFormat/>
    <w:uiPriority w:val="0"/>
    <w:rPr>
      <w:rFonts w:eastAsia="宋体"/>
      <w:kern w:val="2"/>
      <w:sz w:val="21"/>
      <w:szCs w:val="24"/>
      <w:lang w:val="en-US" w:eastAsia="zh-CN" w:bidi="ar-SA"/>
    </w:rPr>
  </w:style>
  <w:style w:type="character" w:customStyle="1" w:styleId="2205">
    <w:name w:val="页眉 Char2"/>
    <w:qFormat/>
    <w:uiPriority w:val="99"/>
    <w:rPr>
      <w:kern w:val="2"/>
      <w:sz w:val="18"/>
      <w:szCs w:val="18"/>
    </w:rPr>
  </w:style>
  <w:style w:type="character" w:customStyle="1" w:styleId="2206">
    <w:name w:val="正文文本缩进 2 Char2"/>
    <w:autoRedefine/>
    <w:qFormat/>
    <w:uiPriority w:val="0"/>
  </w:style>
  <w:style w:type="character" w:customStyle="1" w:styleId="2207">
    <w:name w:val="正文文本 3 Char1"/>
    <w:autoRedefine/>
    <w:qFormat/>
    <w:uiPriority w:val="0"/>
    <w:rPr>
      <w:sz w:val="16"/>
      <w:szCs w:val="16"/>
    </w:rPr>
  </w:style>
  <w:style w:type="character" w:customStyle="1" w:styleId="2208">
    <w:name w:val="Footer Char1"/>
    <w:autoRedefine/>
    <w:semiHidden/>
    <w:qFormat/>
    <w:locked/>
    <w:uiPriority w:val="0"/>
    <w:rPr>
      <w:rFonts w:ascii="Times New Roman" w:hAnsi="Times New Roman" w:cs="Times New Roman"/>
      <w:sz w:val="18"/>
      <w:szCs w:val="18"/>
    </w:rPr>
  </w:style>
  <w:style w:type="character" w:customStyle="1" w:styleId="2209">
    <w:name w:val="HTML 预设格式 Char2"/>
    <w:autoRedefine/>
    <w:qFormat/>
    <w:uiPriority w:val="0"/>
    <w:rPr>
      <w:rFonts w:ascii="Courier New" w:hAnsi="Courier New" w:cs="Courier New"/>
      <w:sz w:val="20"/>
      <w:szCs w:val="20"/>
      <w:lang w:bidi="ar-SA"/>
    </w:rPr>
  </w:style>
  <w:style w:type="character" w:customStyle="1" w:styleId="2210">
    <w:name w:val="p11"/>
    <w:autoRedefine/>
    <w:qFormat/>
    <w:uiPriority w:val="0"/>
    <w:rPr>
      <w:rFonts w:hint="eastAsia" w:ascii="宋体" w:hAnsi="宋体" w:eastAsia="宋体"/>
      <w:sz w:val="18"/>
      <w:szCs w:val="18"/>
    </w:rPr>
  </w:style>
  <w:style w:type="character" w:customStyle="1" w:styleId="2211">
    <w:name w:val="td71"/>
    <w:autoRedefine/>
    <w:qFormat/>
    <w:uiPriority w:val="0"/>
    <w:rPr>
      <w:color w:val="3B3B3B"/>
      <w:sz w:val="21"/>
      <w:szCs w:val="21"/>
    </w:rPr>
  </w:style>
  <w:style w:type="character" w:customStyle="1" w:styleId="2212">
    <w:name w:val="px14"/>
    <w:autoRedefine/>
    <w:qFormat/>
    <w:uiPriority w:val="0"/>
  </w:style>
  <w:style w:type="character" w:customStyle="1" w:styleId="2213">
    <w:name w:val="页脚 Char Char"/>
    <w:autoRedefine/>
    <w:qFormat/>
    <w:uiPriority w:val="0"/>
    <w:rPr>
      <w:rFonts w:eastAsia="宋体"/>
      <w:kern w:val="2"/>
      <w:sz w:val="18"/>
      <w:szCs w:val="18"/>
      <w:lang w:val="en-US" w:eastAsia="zh-CN" w:bidi="ar-SA"/>
    </w:rPr>
  </w:style>
  <w:style w:type="character" w:customStyle="1" w:styleId="2214">
    <w:name w:val="样式 标题 2 + 非加粗 Char"/>
    <w:autoRedefine/>
    <w:qFormat/>
    <w:uiPriority w:val="0"/>
    <w:rPr>
      <w:rFonts w:eastAsia="黑体"/>
      <w:b/>
      <w:bCs/>
      <w:kern w:val="2"/>
      <w:sz w:val="32"/>
      <w:szCs w:val="32"/>
      <w:lang w:val="en-US" w:eastAsia="zh-CN"/>
    </w:rPr>
  </w:style>
  <w:style w:type="character" w:customStyle="1" w:styleId="2215">
    <w:name w:val="bt21"/>
    <w:autoRedefine/>
    <w:qFormat/>
    <w:uiPriority w:val="0"/>
    <w:rPr>
      <w:rFonts w:hint="eastAsia" w:ascii="黑体" w:eastAsia="黑体"/>
      <w:sz w:val="24"/>
      <w:szCs w:val="24"/>
    </w:rPr>
  </w:style>
  <w:style w:type="character" w:customStyle="1" w:styleId="2216">
    <w:name w:val="信息标题 Char1"/>
    <w:autoRedefine/>
    <w:qFormat/>
    <w:uiPriority w:val="0"/>
    <w:rPr>
      <w:rFonts w:ascii="Cambria" w:hAnsi="Cambria" w:eastAsia="宋体" w:cs="Times New Roman"/>
      <w:kern w:val="0"/>
      <w:sz w:val="24"/>
      <w:szCs w:val="24"/>
      <w:shd w:val="pct20" w:color="auto" w:fill="auto"/>
    </w:rPr>
  </w:style>
  <w:style w:type="character" w:customStyle="1" w:styleId="2217">
    <w:name w:val="copyright1"/>
    <w:autoRedefine/>
    <w:qFormat/>
    <w:uiPriority w:val="0"/>
    <w:rPr>
      <w:rFonts w:hint="default"/>
      <w:color w:val="000000"/>
    </w:rPr>
  </w:style>
  <w:style w:type="character" w:customStyle="1" w:styleId="2218">
    <w:name w:val="正文文字缩进 2 Char Char1"/>
    <w:autoRedefine/>
    <w:semiHidden/>
    <w:qFormat/>
    <w:uiPriority w:val="0"/>
    <w:rPr>
      <w:rFonts w:eastAsia="宋体"/>
      <w:kern w:val="2"/>
      <w:sz w:val="24"/>
      <w:szCs w:val="28"/>
      <w:lang w:val="en-US" w:eastAsia="zh-CN" w:bidi="ar-SA"/>
    </w:rPr>
  </w:style>
  <w:style w:type="character" w:customStyle="1" w:styleId="2219">
    <w:name w:val="txt1"/>
    <w:autoRedefine/>
    <w:qFormat/>
    <w:uiPriority w:val="0"/>
    <w:rPr>
      <w:sz w:val="20"/>
      <w:szCs w:val="20"/>
    </w:rPr>
  </w:style>
  <w:style w:type="character" w:customStyle="1" w:styleId="2220">
    <w:name w:val="font91"/>
    <w:autoRedefine/>
    <w:qFormat/>
    <w:uiPriority w:val="0"/>
    <w:rPr>
      <w:rFonts w:hint="eastAsia" w:ascii="宋体" w:hAnsi="宋体" w:eastAsia="宋体"/>
      <w:color w:val="000000"/>
      <w:sz w:val="18"/>
      <w:szCs w:val="18"/>
      <w:u w:val="none"/>
      <w:vertAlign w:val="superscript"/>
    </w:rPr>
  </w:style>
  <w:style w:type="character" w:customStyle="1" w:styleId="2221">
    <w:name w:val="105font"/>
    <w:autoRedefine/>
    <w:qFormat/>
    <w:uiPriority w:val="0"/>
  </w:style>
  <w:style w:type="character" w:customStyle="1" w:styleId="2222">
    <w:name w:val="Char Char31"/>
    <w:autoRedefine/>
    <w:qFormat/>
    <w:uiPriority w:val="0"/>
    <w:rPr>
      <w:kern w:val="2"/>
      <w:sz w:val="18"/>
      <w:szCs w:val="18"/>
    </w:rPr>
  </w:style>
  <w:style w:type="character" w:customStyle="1" w:styleId="2223">
    <w:name w:val="H9 Char1"/>
    <w:autoRedefine/>
    <w:qFormat/>
    <w:uiPriority w:val="0"/>
    <w:rPr>
      <w:rFonts w:ascii="Arial" w:hAnsi="Arial" w:eastAsia="黑体"/>
      <w:sz w:val="21"/>
      <w:szCs w:val="21"/>
      <w:lang w:val="en-US" w:eastAsia="zh-CN" w:bidi="ar-SA"/>
    </w:rPr>
  </w:style>
  <w:style w:type="character" w:customStyle="1" w:styleId="2224">
    <w:name w:val="文章正文 Char1"/>
    <w:autoRedefine/>
    <w:qFormat/>
    <w:uiPriority w:val="0"/>
    <w:rPr>
      <w:rFonts w:ascii="宋体" w:hAnsi="宋体" w:eastAsia="宋体"/>
      <w:kern w:val="2"/>
      <w:sz w:val="24"/>
      <w:szCs w:val="24"/>
      <w:lang w:val="en-US" w:eastAsia="zh-CN" w:bidi="ar-SA"/>
    </w:rPr>
  </w:style>
  <w:style w:type="character" w:customStyle="1" w:styleId="2225">
    <w:name w:val="a标题 1 Char Char"/>
    <w:autoRedefine/>
    <w:qFormat/>
    <w:uiPriority w:val="0"/>
    <w:rPr>
      <w:rFonts w:eastAsia="宋体"/>
      <w:b/>
      <w:bCs/>
      <w:kern w:val="44"/>
      <w:sz w:val="44"/>
      <w:szCs w:val="44"/>
      <w:lang w:val="en-US" w:eastAsia="zh-CN" w:bidi="ar-SA"/>
    </w:rPr>
  </w:style>
  <w:style w:type="character" w:customStyle="1" w:styleId="2226">
    <w:name w:val="aspmaker1"/>
    <w:autoRedefine/>
    <w:qFormat/>
    <w:uiPriority w:val="0"/>
    <w:rPr>
      <w:rFonts w:ascii="Verdana" w:hAnsi="Verdana"/>
      <w:sz w:val="20"/>
      <w:szCs w:val="20"/>
    </w:rPr>
  </w:style>
  <w:style w:type="character" w:customStyle="1" w:styleId="2227">
    <w:name w:val="正文文本 Char3"/>
    <w:autoRedefine/>
    <w:qFormat/>
    <w:uiPriority w:val="0"/>
    <w:rPr>
      <w:kern w:val="2"/>
      <w:sz w:val="24"/>
      <w:szCs w:val="24"/>
    </w:rPr>
  </w:style>
  <w:style w:type="character" w:customStyle="1" w:styleId="2228">
    <w:name w:val="H5 Char4"/>
    <w:autoRedefine/>
    <w:qFormat/>
    <w:uiPriority w:val="0"/>
    <w:rPr>
      <w:rFonts w:eastAsia="宋体"/>
      <w:b/>
      <w:bCs/>
      <w:sz w:val="28"/>
      <w:szCs w:val="28"/>
      <w:lang w:val="en-US" w:eastAsia="zh-CN" w:bidi="ar-SA"/>
    </w:rPr>
  </w:style>
  <w:style w:type="character" w:customStyle="1" w:styleId="2229">
    <w:name w:val="报告标题3 Char"/>
    <w:autoRedefine/>
    <w:qFormat/>
    <w:uiPriority w:val="0"/>
    <w:rPr>
      <w:rFonts w:ascii="Arial" w:hAnsi="Arial" w:eastAsia="宋体"/>
      <w:b/>
      <w:color w:val="000000"/>
      <w:kern w:val="2"/>
      <w:sz w:val="24"/>
      <w:szCs w:val="32"/>
      <w:lang w:val="en-US" w:eastAsia="zh-CN" w:bidi="ar-SA"/>
    </w:rPr>
  </w:style>
  <w:style w:type="character" w:customStyle="1" w:styleId="2230">
    <w:name w:val="table Char"/>
    <w:autoRedefine/>
    <w:qFormat/>
    <w:uiPriority w:val="0"/>
    <w:rPr>
      <w:rFonts w:ascii="宋体" w:eastAsia="宋体"/>
      <w:color w:val="000000"/>
      <w:sz w:val="24"/>
      <w:lang w:val="en-US" w:eastAsia="zh-CN" w:bidi="ar-SA"/>
    </w:rPr>
  </w:style>
  <w:style w:type="character" w:customStyle="1" w:styleId="2231">
    <w:name w:val="样式 标题 4h44标题 4 Char款标题1.1.1.11.1.1.1标题 4.1.1.1.1款标41.1...."/>
    <w:autoRedefine/>
    <w:semiHidden/>
    <w:qFormat/>
    <w:uiPriority w:val="0"/>
    <w:rPr>
      <w:rFonts w:eastAsia="仿宋_GB2312"/>
      <w:sz w:val="24"/>
      <w:szCs w:val="24"/>
    </w:rPr>
  </w:style>
  <w:style w:type="character" w:customStyle="1" w:styleId="2232">
    <w:name w:val="232321"/>
    <w:autoRedefine/>
    <w:qFormat/>
    <w:uiPriority w:val="0"/>
  </w:style>
  <w:style w:type="character" w:customStyle="1" w:styleId="2233">
    <w:name w:val="unnamed31"/>
    <w:autoRedefine/>
    <w:qFormat/>
    <w:uiPriority w:val="0"/>
    <w:rPr>
      <w:color w:val="000000"/>
      <w:spacing w:val="0"/>
      <w:sz w:val="20"/>
      <w:szCs w:val="20"/>
      <w:u w:val="none"/>
    </w:rPr>
  </w:style>
  <w:style w:type="character" w:customStyle="1" w:styleId="2234">
    <w:name w:val="粤东核电报告正文 Char Char"/>
    <w:autoRedefine/>
    <w:qFormat/>
    <w:uiPriority w:val="0"/>
    <w:rPr>
      <w:rFonts w:ascii="宋体" w:hAnsi="宋体" w:eastAsia="宋体" w:cs="宋体"/>
      <w:b/>
      <w:kern w:val="2"/>
      <w:sz w:val="24"/>
      <w:szCs w:val="24"/>
      <w:lang w:val="en-US" w:eastAsia="zh-CN" w:bidi="ar-SA"/>
    </w:rPr>
  </w:style>
  <w:style w:type="character" w:customStyle="1" w:styleId="2235">
    <w:name w:val="even Char Char"/>
    <w:autoRedefine/>
    <w:qFormat/>
    <w:uiPriority w:val="0"/>
    <w:rPr>
      <w:rFonts w:eastAsia="宋体"/>
      <w:kern w:val="2"/>
      <w:sz w:val="18"/>
      <w:szCs w:val="18"/>
      <w:lang w:val="en-US" w:eastAsia="zh-CN" w:bidi="ar-SA"/>
    </w:rPr>
  </w:style>
  <w:style w:type="character" w:customStyle="1" w:styleId="2236">
    <w:name w:val="样式 仿宋_GB2312 四号"/>
    <w:autoRedefine/>
    <w:qFormat/>
    <w:uiPriority w:val="0"/>
    <w:rPr>
      <w:rFonts w:ascii="仿宋_GB2312" w:hAnsi="仿宋_GB2312" w:eastAsia="仿宋_GB2312"/>
      <w:kern w:val="0"/>
      <w:sz w:val="24"/>
    </w:rPr>
  </w:style>
  <w:style w:type="character" w:customStyle="1" w:styleId="2237">
    <w:name w:val="样式 宋体 四号 黑色 行距: 1.5 倍行距 Char"/>
    <w:autoRedefine/>
    <w:qFormat/>
    <w:uiPriority w:val="0"/>
    <w:rPr>
      <w:rFonts w:eastAsia="宋体"/>
      <w:color w:val="000000"/>
      <w:kern w:val="2"/>
      <w:sz w:val="24"/>
      <w:szCs w:val="24"/>
      <w:lang w:val="en-US" w:eastAsia="zh-CN" w:bidi="ar-SA"/>
    </w:rPr>
  </w:style>
  <w:style w:type="character" w:customStyle="1" w:styleId="2238">
    <w:name w:val="正文正 Char"/>
    <w:autoRedefine/>
    <w:qFormat/>
    <w:uiPriority w:val="0"/>
    <w:rPr>
      <w:rFonts w:ascii="宋体" w:hAnsi="宋体"/>
      <w:kern w:val="2"/>
      <w:sz w:val="24"/>
      <w:szCs w:val="24"/>
    </w:rPr>
  </w:style>
  <w:style w:type="character" w:customStyle="1" w:styleId="2239">
    <w:name w:val="电子邮件签名 Char2"/>
    <w:qFormat/>
    <w:uiPriority w:val="0"/>
    <w:rPr>
      <w:rFonts w:ascii="宋体" w:eastAsia="宋体"/>
      <w:sz w:val="21"/>
      <w:szCs w:val="21"/>
    </w:rPr>
  </w:style>
  <w:style w:type="character" w:customStyle="1" w:styleId="2240">
    <w:name w:val="样式6 Char Char"/>
    <w:autoRedefine/>
    <w:qFormat/>
    <w:uiPriority w:val="0"/>
    <w:rPr>
      <w:rFonts w:eastAsia="宋体"/>
      <w:sz w:val="24"/>
      <w:szCs w:val="24"/>
      <w:lang w:val="en-US" w:eastAsia="zh-CN" w:bidi="ar-SA"/>
    </w:rPr>
  </w:style>
  <w:style w:type="character" w:customStyle="1" w:styleId="2241">
    <w:name w:val="我的正文 Char Char"/>
    <w:autoRedefine/>
    <w:qFormat/>
    <w:uiPriority w:val="0"/>
    <w:rPr>
      <w:rFonts w:eastAsia="宋体"/>
      <w:kern w:val="2"/>
      <w:sz w:val="28"/>
      <w:szCs w:val="24"/>
      <w:lang w:val="en-US" w:eastAsia="zh-CN" w:bidi="ar-SA"/>
    </w:rPr>
  </w:style>
  <w:style w:type="character" w:customStyle="1" w:styleId="2242">
    <w:name w:val="Char Char33"/>
    <w:autoRedefine/>
    <w:qFormat/>
    <w:uiPriority w:val="0"/>
    <w:rPr>
      <w:rFonts w:ascii="宋体" w:hAnsi="Courier New" w:eastAsia="宋体" w:cs="Courier New"/>
      <w:kern w:val="2"/>
      <w:sz w:val="21"/>
      <w:szCs w:val="21"/>
      <w:lang w:val="en-US" w:eastAsia="zh-CN" w:bidi="ar-SA"/>
    </w:rPr>
  </w:style>
  <w:style w:type="character" w:customStyle="1" w:styleId="2243">
    <w:name w:val="生物质发电表 Char Char"/>
    <w:qFormat/>
    <w:uiPriority w:val="0"/>
    <w:rPr>
      <w:rFonts w:ascii="宋体" w:hAnsi="Calibri" w:eastAsia="宋体" w:cs="Arial Unicode MS"/>
      <w:color w:val="000000"/>
      <w:sz w:val="24"/>
      <w:szCs w:val="21"/>
      <w:lang w:val="en-US" w:eastAsia="zh-CN" w:bidi="ar-SA"/>
    </w:rPr>
  </w:style>
  <w:style w:type="character" w:customStyle="1" w:styleId="2244">
    <w:name w:val="样式 7表格(治) + (中文) 黑体 加粗 Char"/>
    <w:autoRedefine/>
    <w:qFormat/>
    <w:uiPriority w:val="0"/>
    <w:rPr>
      <w:bCs/>
      <w:color w:val="000000"/>
      <w:kern w:val="2"/>
      <w:sz w:val="24"/>
      <w:lang w:bidi="ar-SA"/>
    </w:rPr>
  </w:style>
  <w:style w:type="character" w:customStyle="1" w:styleId="2245">
    <w:name w:val="articlebody"/>
    <w:autoRedefine/>
    <w:qFormat/>
    <w:uiPriority w:val="0"/>
  </w:style>
  <w:style w:type="character" w:customStyle="1" w:styleId="2246">
    <w:name w:val="批注文字 Char3"/>
    <w:qFormat/>
    <w:uiPriority w:val="0"/>
    <w:rPr>
      <w:rFonts w:ascii="Times New Roman" w:hAnsi="Times New Roman" w:eastAsia="宋体" w:cs="Times New Roman"/>
      <w:kern w:val="0"/>
      <w:szCs w:val="21"/>
      <w:lang w:bidi="ar-SA"/>
    </w:rPr>
  </w:style>
  <w:style w:type="character" w:customStyle="1" w:styleId="2247">
    <w:name w:val="H9 Char3"/>
    <w:autoRedefine/>
    <w:qFormat/>
    <w:uiPriority w:val="0"/>
    <w:rPr>
      <w:rFonts w:ascii="Arial" w:hAnsi="Arial" w:eastAsia="黑体"/>
      <w:sz w:val="21"/>
      <w:szCs w:val="21"/>
      <w:lang w:val="en-US" w:eastAsia="zh-CN" w:bidi="ar-SA"/>
    </w:rPr>
  </w:style>
  <w:style w:type="character" w:customStyle="1" w:styleId="2248">
    <w:name w:val="Char Char32"/>
    <w:autoRedefine/>
    <w:qFormat/>
    <w:uiPriority w:val="0"/>
    <w:rPr>
      <w:kern w:val="2"/>
      <w:sz w:val="18"/>
      <w:szCs w:val="18"/>
    </w:rPr>
  </w:style>
  <w:style w:type="character" w:customStyle="1" w:styleId="2249">
    <w:name w:val="g Char2"/>
    <w:autoRedefine/>
    <w:qFormat/>
    <w:uiPriority w:val="0"/>
    <w:rPr>
      <w:rFonts w:eastAsia="宋体"/>
      <w:kern w:val="2"/>
      <w:sz w:val="18"/>
      <w:szCs w:val="18"/>
      <w:lang w:val="en-US" w:eastAsia="zh-CN" w:bidi="ar-SA"/>
    </w:rPr>
  </w:style>
  <w:style w:type="character" w:customStyle="1" w:styleId="2250">
    <w:name w:val="正文文字 Char Char1"/>
    <w:autoRedefine/>
    <w:qFormat/>
    <w:uiPriority w:val="0"/>
    <w:rPr>
      <w:rFonts w:eastAsia="宋体"/>
      <w:kern w:val="2"/>
      <w:sz w:val="21"/>
      <w:szCs w:val="24"/>
      <w:lang w:val="en-US" w:eastAsia="zh-CN" w:bidi="ar-SA"/>
    </w:rPr>
  </w:style>
  <w:style w:type="character" w:customStyle="1" w:styleId="2251">
    <w:name w:val="未命名1"/>
    <w:autoRedefine/>
    <w:qFormat/>
    <w:uiPriority w:val="0"/>
  </w:style>
  <w:style w:type="character" w:customStyle="1" w:styleId="2252">
    <w:name w:val="页眉 Char Char"/>
    <w:autoRedefine/>
    <w:qFormat/>
    <w:uiPriority w:val="0"/>
    <w:rPr>
      <w:rFonts w:eastAsia="宋体"/>
      <w:kern w:val="2"/>
      <w:sz w:val="18"/>
      <w:szCs w:val="18"/>
      <w:lang w:val="en-US" w:eastAsia="zh-CN" w:bidi="ar-SA"/>
    </w:rPr>
  </w:style>
  <w:style w:type="character" w:customStyle="1" w:styleId="2253">
    <w:name w:val="a11"/>
    <w:autoRedefine/>
    <w:qFormat/>
    <w:uiPriority w:val="0"/>
    <w:rPr>
      <w:spacing w:val="330"/>
      <w:sz w:val="20"/>
      <w:szCs w:val="20"/>
    </w:rPr>
  </w:style>
  <w:style w:type="character" w:customStyle="1" w:styleId="2254">
    <w:name w:val="~ Char Char"/>
    <w:autoRedefine/>
    <w:qFormat/>
    <w:uiPriority w:val="0"/>
    <w:rPr>
      <w:rFonts w:eastAsia="宋体"/>
      <w:b/>
      <w:bCs/>
      <w:kern w:val="2"/>
      <w:sz w:val="24"/>
      <w:szCs w:val="32"/>
      <w:lang w:val="en-US" w:eastAsia="zh-CN" w:bidi="ar-SA"/>
    </w:rPr>
  </w:style>
  <w:style w:type="character" w:customStyle="1" w:styleId="2255">
    <w:name w:val="Char Char10"/>
    <w:autoRedefine/>
    <w:qFormat/>
    <w:uiPriority w:val="0"/>
    <w:rPr>
      <w:rFonts w:eastAsia="宋体"/>
      <w:kern w:val="2"/>
      <w:sz w:val="18"/>
      <w:lang w:val="en-US" w:eastAsia="zh-CN" w:bidi="ar-SA"/>
    </w:rPr>
  </w:style>
  <w:style w:type="character" w:customStyle="1" w:styleId="2256">
    <w:name w:val="read"/>
    <w:autoRedefine/>
    <w:qFormat/>
    <w:uiPriority w:val="0"/>
  </w:style>
  <w:style w:type="character" w:customStyle="1" w:styleId="2257">
    <w:name w:val="正文文本 Char2"/>
    <w:autoRedefine/>
    <w:qFormat/>
    <w:uiPriority w:val="99"/>
    <w:rPr>
      <w:kern w:val="2"/>
      <w:sz w:val="21"/>
      <w:szCs w:val="24"/>
    </w:rPr>
  </w:style>
  <w:style w:type="character" w:customStyle="1" w:styleId="2258">
    <w:name w:val="H8 Char3"/>
    <w:autoRedefine/>
    <w:qFormat/>
    <w:uiPriority w:val="0"/>
    <w:rPr>
      <w:rFonts w:ascii="Arial" w:hAnsi="Arial" w:eastAsia="黑体"/>
      <w:sz w:val="24"/>
      <w:szCs w:val="24"/>
      <w:lang w:val="en-US" w:eastAsia="zh-CN" w:bidi="ar-SA"/>
    </w:rPr>
  </w:style>
  <w:style w:type="character" w:customStyle="1" w:styleId="2259">
    <w:name w:val="1级-标题 1 Char Char"/>
    <w:autoRedefine/>
    <w:qFormat/>
    <w:uiPriority w:val="0"/>
    <w:rPr>
      <w:rFonts w:ascii="宋体" w:hAnsi="宋体"/>
      <w:b/>
      <w:bCs/>
      <w:spacing w:val="20"/>
      <w:kern w:val="44"/>
      <w:sz w:val="36"/>
      <w:szCs w:val="36"/>
    </w:rPr>
  </w:style>
  <w:style w:type="character" w:customStyle="1" w:styleId="2260">
    <w:name w:val="textcontents1"/>
    <w:autoRedefine/>
    <w:qFormat/>
    <w:uiPriority w:val="0"/>
    <w:rPr>
      <w:color w:val="000000"/>
      <w:sz w:val="21"/>
      <w:szCs w:val="21"/>
    </w:rPr>
  </w:style>
  <w:style w:type="character" w:customStyle="1" w:styleId="2261">
    <w:name w:val="正文文字 2 Char Char3"/>
    <w:autoRedefine/>
    <w:qFormat/>
    <w:uiPriority w:val="0"/>
    <w:rPr>
      <w:rFonts w:eastAsia="宋体"/>
      <w:spacing w:val="-10"/>
      <w:kern w:val="2"/>
      <w:sz w:val="21"/>
      <w:szCs w:val="24"/>
      <w:lang w:val="en-US" w:eastAsia="zh-CN" w:bidi="ar-SA"/>
    </w:rPr>
  </w:style>
  <w:style w:type="character" w:customStyle="1" w:styleId="2262">
    <w:name w:val="H9 Char"/>
    <w:autoRedefine/>
    <w:qFormat/>
    <w:uiPriority w:val="0"/>
    <w:rPr>
      <w:rFonts w:ascii="Arial" w:hAnsi="Arial" w:eastAsia="黑体"/>
      <w:kern w:val="2"/>
      <w:sz w:val="21"/>
      <w:szCs w:val="21"/>
      <w:lang w:val="en-US" w:eastAsia="zh-CN" w:bidi="ar-SA"/>
    </w:rPr>
  </w:style>
  <w:style w:type="character" w:customStyle="1" w:styleId="2263">
    <w:name w:val="Style 12 pt"/>
    <w:autoRedefine/>
    <w:qFormat/>
    <w:uiPriority w:val="0"/>
    <w:rPr>
      <w:rFonts w:ascii="Arial" w:hAnsi="Arial" w:eastAsia="仿宋"/>
      <w:sz w:val="30"/>
    </w:rPr>
  </w:style>
  <w:style w:type="character" w:customStyle="1" w:styleId="2264">
    <w:name w:val="postbody1"/>
    <w:autoRedefine/>
    <w:qFormat/>
    <w:uiPriority w:val="0"/>
    <w:rPr>
      <w:sz w:val="20"/>
    </w:rPr>
  </w:style>
  <w:style w:type="character" w:customStyle="1" w:styleId="2265">
    <w:name w:val="articletitle1"/>
    <w:autoRedefine/>
    <w:qFormat/>
    <w:uiPriority w:val="0"/>
    <w:rPr>
      <w:sz w:val="30"/>
      <w:szCs w:val="30"/>
    </w:rPr>
  </w:style>
  <w:style w:type="character" w:customStyle="1" w:styleId="2266">
    <w:name w:val="style91"/>
    <w:autoRedefine/>
    <w:qFormat/>
    <w:uiPriority w:val="0"/>
    <w:rPr>
      <w:sz w:val="20"/>
      <w:szCs w:val="20"/>
    </w:rPr>
  </w:style>
  <w:style w:type="character" w:customStyle="1" w:styleId="2267">
    <w:name w:val="llyf141"/>
    <w:autoRedefine/>
    <w:qFormat/>
    <w:uiPriority w:val="0"/>
    <w:rPr>
      <w:sz w:val="21"/>
      <w:szCs w:val="21"/>
    </w:rPr>
  </w:style>
  <w:style w:type="character" w:customStyle="1" w:styleId="2268">
    <w:name w:val="Char Char27"/>
    <w:autoRedefine/>
    <w:qFormat/>
    <w:uiPriority w:val="0"/>
    <w:rPr>
      <w:rFonts w:ascii="Times New Roman" w:hAnsi="Times New Roman" w:eastAsia="宋体" w:cs="Times New Roman"/>
      <w:kern w:val="0"/>
      <w:sz w:val="24"/>
      <w:szCs w:val="20"/>
      <w:lang w:bidi="ar-SA"/>
    </w:rPr>
  </w:style>
  <w:style w:type="character" w:customStyle="1" w:styleId="2269">
    <w:name w:val="自动4 Char"/>
    <w:autoRedefine/>
    <w:qFormat/>
    <w:uiPriority w:val="0"/>
    <w:rPr>
      <w:rFonts w:ascii="宋体" w:hAnsi="宋体" w:eastAsia="宋体" w:cs="宋体"/>
      <w:color w:val="000000"/>
      <w:kern w:val="2"/>
      <w:sz w:val="24"/>
      <w:szCs w:val="24"/>
      <w:lang w:val="en-US" w:eastAsia="zh-CN" w:bidi="ar-SA"/>
    </w:rPr>
  </w:style>
  <w:style w:type="character" w:customStyle="1" w:styleId="2270">
    <w:name w:val="文本块 Char"/>
    <w:autoRedefine/>
    <w:qFormat/>
    <w:uiPriority w:val="0"/>
    <w:rPr>
      <w:rFonts w:eastAsia="宋体"/>
      <w:kern w:val="2"/>
      <w:sz w:val="21"/>
      <w:szCs w:val="24"/>
      <w:lang w:val="en-US" w:eastAsia="zh-CN" w:bidi="ar-SA"/>
    </w:rPr>
  </w:style>
  <w:style w:type="character" w:customStyle="1" w:styleId="2271">
    <w:name w:val="正文首行缩进 Char3"/>
    <w:autoRedefine/>
    <w:qFormat/>
    <w:uiPriority w:val="0"/>
    <w:rPr>
      <w:rFonts w:ascii="Times New Roman" w:hAnsi="Times New Roman" w:eastAsia="宋体" w:cs="Times New Roman"/>
      <w:kern w:val="0"/>
      <w:szCs w:val="21"/>
      <w:lang w:bidi="ar-SA"/>
    </w:rPr>
  </w:style>
  <w:style w:type="character" w:customStyle="1" w:styleId="2272">
    <w:name w:val="物探标题3 Char Char"/>
    <w:autoRedefine/>
    <w:qFormat/>
    <w:uiPriority w:val="0"/>
    <w:rPr>
      <w:rFonts w:ascii="宋体" w:hAnsi="宋体"/>
      <w:b/>
      <w:bCs/>
      <w:color w:val="000000"/>
      <w:sz w:val="24"/>
      <w:szCs w:val="24"/>
    </w:rPr>
  </w:style>
  <w:style w:type="character" w:customStyle="1" w:styleId="2273">
    <w:name w:val="big"/>
    <w:autoRedefine/>
    <w:qFormat/>
    <w:uiPriority w:val="0"/>
  </w:style>
  <w:style w:type="character" w:customStyle="1" w:styleId="2274">
    <w:name w:val="H6 Char3"/>
    <w:autoRedefine/>
    <w:qFormat/>
    <w:uiPriority w:val="0"/>
    <w:rPr>
      <w:rFonts w:ascii="Arial" w:hAnsi="Arial" w:eastAsia="黑体"/>
      <w:b/>
      <w:bCs/>
      <w:sz w:val="24"/>
      <w:szCs w:val="24"/>
      <w:lang w:val="en-US" w:eastAsia="zh-CN" w:bidi="ar-SA"/>
    </w:rPr>
  </w:style>
  <w:style w:type="character" w:customStyle="1" w:styleId="2275">
    <w:name w:val="Header Char"/>
    <w:autoRedefine/>
    <w:qFormat/>
    <w:locked/>
    <w:uiPriority w:val="0"/>
    <w:rPr>
      <w:rFonts w:ascii="宋体" w:hAnsi="宋体" w:eastAsia="仿宋_GB2312" w:cs="宋体"/>
      <w:kern w:val="2"/>
      <w:sz w:val="18"/>
      <w:szCs w:val="18"/>
      <w:lang w:val="en-US" w:eastAsia="zh-CN" w:bidi="ar-SA"/>
    </w:rPr>
  </w:style>
  <w:style w:type="character" w:customStyle="1" w:styleId="2276">
    <w:name w:val="Draft Char"/>
    <w:qFormat/>
    <w:uiPriority w:val="0"/>
    <w:rPr>
      <w:kern w:val="2"/>
      <w:sz w:val="18"/>
      <w:szCs w:val="18"/>
    </w:rPr>
  </w:style>
  <w:style w:type="character" w:customStyle="1" w:styleId="2277">
    <w:name w:val="fix111"/>
    <w:autoRedefine/>
    <w:qFormat/>
    <w:uiPriority w:val="0"/>
    <w:rPr>
      <w:rFonts w:hint="default" w:ascii="Arial" w:hAnsi="Arial"/>
      <w:sz w:val="22"/>
    </w:rPr>
  </w:style>
  <w:style w:type="character" w:customStyle="1" w:styleId="2278">
    <w:name w:val="新 5 Char Char"/>
    <w:autoRedefine/>
    <w:qFormat/>
    <w:uiPriority w:val="0"/>
    <w:rPr>
      <w:rFonts w:eastAsia="宋体"/>
      <w:b/>
      <w:bCs/>
      <w:sz w:val="28"/>
      <w:szCs w:val="28"/>
      <w:lang w:val="en-US" w:eastAsia="zh-CN" w:bidi="ar-SA"/>
    </w:rPr>
  </w:style>
  <w:style w:type="character" w:customStyle="1" w:styleId="2279">
    <w:name w:val="样式 样式 标题 4 + (西文) Times New Roman (中文) 宋体 小四 非加粗 + Char"/>
    <w:autoRedefine/>
    <w:qFormat/>
    <w:uiPriority w:val="0"/>
  </w:style>
  <w:style w:type="character" w:customStyle="1" w:styleId="2280">
    <w:name w:val="bt11"/>
    <w:autoRedefine/>
    <w:qFormat/>
    <w:uiPriority w:val="0"/>
    <w:rPr>
      <w:rFonts w:hint="eastAsia" w:ascii="黑体" w:eastAsia="黑体"/>
      <w:color w:val="000000"/>
      <w:sz w:val="28"/>
      <w:szCs w:val="28"/>
    </w:rPr>
  </w:style>
  <w:style w:type="character" w:customStyle="1" w:styleId="2281">
    <w:name w:val="H6 Char Char"/>
    <w:autoRedefine/>
    <w:qFormat/>
    <w:uiPriority w:val="0"/>
    <w:rPr>
      <w:rFonts w:ascii="Arial" w:hAnsi="Arial" w:eastAsia="黑体"/>
      <w:b/>
      <w:bCs/>
      <w:sz w:val="24"/>
      <w:szCs w:val="24"/>
      <w:lang w:val="en-US" w:eastAsia="zh-CN" w:bidi="ar-SA"/>
    </w:rPr>
  </w:style>
  <w:style w:type="character" w:customStyle="1" w:styleId="2282">
    <w:name w:val="签名 Char1"/>
    <w:autoRedefine/>
    <w:qFormat/>
    <w:uiPriority w:val="0"/>
    <w:rPr>
      <w:rFonts w:ascii="Calibri" w:hAnsi="Calibri" w:eastAsia="宋体" w:cs="Times New Roman"/>
      <w:kern w:val="0"/>
      <w:sz w:val="24"/>
      <w:szCs w:val="24"/>
    </w:rPr>
  </w:style>
  <w:style w:type="character" w:customStyle="1" w:styleId="2283">
    <w:name w:val="标题 2 Char Char Char Char Char Char Char Char Char Char Char Char1"/>
    <w:autoRedefine/>
    <w:qFormat/>
    <w:uiPriority w:val="0"/>
    <w:rPr>
      <w:rFonts w:ascii="宋体" w:hAnsi="宋体"/>
      <w:b/>
      <w:bCs/>
      <w:spacing w:val="20"/>
      <w:kern w:val="2"/>
      <w:sz w:val="32"/>
      <w:szCs w:val="32"/>
      <w:lang w:bidi="he-IL"/>
    </w:rPr>
  </w:style>
  <w:style w:type="character" w:customStyle="1" w:styleId="2284">
    <w:name w:val="p141"/>
    <w:qFormat/>
    <w:uiPriority w:val="0"/>
    <w:rPr>
      <w:sz w:val="21"/>
      <w:szCs w:val="21"/>
    </w:rPr>
  </w:style>
  <w:style w:type="character" w:customStyle="1" w:styleId="2285">
    <w:name w:val="Char Char28"/>
    <w:autoRedefine/>
    <w:qFormat/>
    <w:uiPriority w:val="0"/>
    <w:rPr>
      <w:rFonts w:ascii="Times New Roman" w:hAnsi="Times New Roman" w:eastAsia="宋体" w:cs="Times New Roman"/>
      <w:sz w:val="24"/>
      <w:szCs w:val="24"/>
      <w:lang w:bidi="ar-SA"/>
    </w:rPr>
  </w:style>
  <w:style w:type="character" w:customStyle="1" w:styleId="2286">
    <w:name w:val="Char Char Char Char Char1"/>
    <w:qFormat/>
    <w:uiPriority w:val="0"/>
    <w:rPr>
      <w:rFonts w:ascii="Arial" w:hAnsi="Arial" w:eastAsia="黑体" w:cs="Arial"/>
      <w:kern w:val="2"/>
      <w:lang w:val="en-US" w:eastAsia="zh-CN" w:bidi="ar-SA"/>
    </w:rPr>
  </w:style>
  <w:style w:type="character" w:customStyle="1" w:styleId="2287">
    <w:name w:val="H5 Char3"/>
    <w:autoRedefine/>
    <w:qFormat/>
    <w:uiPriority w:val="0"/>
    <w:rPr>
      <w:rFonts w:eastAsia="宋体"/>
      <w:b/>
      <w:bCs/>
      <w:sz w:val="28"/>
      <w:szCs w:val="28"/>
      <w:lang w:val="en-US" w:eastAsia="zh-CN" w:bidi="ar-SA"/>
    </w:rPr>
  </w:style>
  <w:style w:type="character" w:customStyle="1" w:styleId="2288">
    <w:name w:val="search_content1"/>
    <w:autoRedefine/>
    <w:qFormat/>
    <w:uiPriority w:val="0"/>
    <w:rPr>
      <w:sz w:val="20"/>
      <w:szCs w:val="20"/>
    </w:rPr>
  </w:style>
  <w:style w:type="character" w:customStyle="1" w:styleId="2289">
    <w:name w:val="样式 标题 3标题 13 + (中文) 宋体 小四 行距: 1.5 倍行距 Char"/>
    <w:autoRedefine/>
    <w:qFormat/>
    <w:uiPriority w:val="0"/>
    <w:rPr>
      <w:rFonts w:eastAsia="宋体" w:cs="宋体"/>
      <w:b/>
      <w:bCs/>
      <w:kern w:val="2"/>
      <w:sz w:val="24"/>
      <w:szCs w:val="32"/>
      <w:lang w:val="en-US" w:eastAsia="zh-CN" w:bidi="ar-SA"/>
    </w:rPr>
  </w:style>
  <w:style w:type="character" w:customStyle="1" w:styleId="2290">
    <w:name w:val="HTML 地址 Char1"/>
    <w:autoRedefine/>
    <w:qFormat/>
    <w:uiPriority w:val="0"/>
    <w:rPr>
      <w:i/>
      <w:iCs/>
      <w:kern w:val="2"/>
      <w:sz w:val="21"/>
      <w:szCs w:val="24"/>
    </w:rPr>
  </w:style>
  <w:style w:type="character" w:customStyle="1" w:styleId="2291">
    <w:name w:val="esu4261"/>
    <w:autoRedefine/>
    <w:qFormat/>
    <w:uiPriority w:val="0"/>
  </w:style>
  <w:style w:type="character" w:customStyle="1" w:styleId="2292">
    <w:name w:val="hj"/>
    <w:autoRedefine/>
    <w:qFormat/>
    <w:uiPriority w:val="0"/>
  </w:style>
  <w:style w:type="character" w:customStyle="1" w:styleId="2293">
    <w:name w:val="main1"/>
    <w:autoRedefine/>
    <w:qFormat/>
    <w:uiPriority w:val="0"/>
  </w:style>
  <w:style w:type="character" w:customStyle="1" w:styleId="2294">
    <w:name w:val="4级（小）标题 Char"/>
    <w:autoRedefine/>
    <w:qFormat/>
    <w:uiPriority w:val="0"/>
    <w:rPr>
      <w:rFonts w:eastAsia="宋体"/>
      <w:b/>
      <w:kern w:val="2"/>
      <w:sz w:val="24"/>
      <w:szCs w:val="24"/>
      <w:lang w:val="en-US" w:eastAsia="zh-CN" w:bidi="ar-SA"/>
    </w:rPr>
  </w:style>
  <w:style w:type="character" w:customStyle="1" w:styleId="2295">
    <w:name w:val="样式 题注 + Char"/>
    <w:autoRedefine/>
    <w:qFormat/>
    <w:uiPriority w:val="0"/>
    <w:rPr>
      <w:rFonts w:eastAsia="宋体"/>
      <w:b/>
      <w:sz w:val="24"/>
      <w:szCs w:val="24"/>
      <w:u w:color="000000"/>
      <w:lang w:val="en-US" w:eastAsia="zh-CN" w:bidi="ar-SA"/>
    </w:rPr>
  </w:style>
  <w:style w:type="character" w:customStyle="1" w:styleId="2296">
    <w:name w:val="Font Style44"/>
    <w:autoRedefine/>
    <w:qFormat/>
    <w:uiPriority w:val="0"/>
    <w:rPr>
      <w:rFonts w:ascii="Arial" w:hAnsi="Arial" w:cs="Arial"/>
      <w:sz w:val="16"/>
      <w:szCs w:val="16"/>
    </w:rPr>
  </w:style>
  <w:style w:type="character" w:customStyle="1" w:styleId="2297">
    <w:name w:val="o12"/>
    <w:qFormat/>
    <w:uiPriority w:val="0"/>
  </w:style>
  <w:style w:type="character" w:customStyle="1" w:styleId="2298">
    <w:name w:val="表头 Char2"/>
    <w:autoRedefine/>
    <w:qFormat/>
    <w:uiPriority w:val="0"/>
    <w:rPr>
      <w:rFonts w:ascii="黑体" w:eastAsia="黑体"/>
      <w:snapToGrid w:val="0"/>
      <w:spacing w:val="4"/>
      <w:sz w:val="24"/>
    </w:rPr>
  </w:style>
  <w:style w:type="character" w:customStyle="1" w:styleId="2299">
    <w:name w:val="质表名"/>
    <w:autoRedefine/>
    <w:qFormat/>
    <w:uiPriority w:val="0"/>
    <w:rPr>
      <w:rFonts w:ascii="黑体" w:hAnsi="宋体" w:eastAsia="黑体"/>
      <w:sz w:val="28"/>
    </w:rPr>
  </w:style>
  <w:style w:type="character" w:customStyle="1" w:styleId="2300">
    <w:name w:val="H6 Char2"/>
    <w:autoRedefine/>
    <w:qFormat/>
    <w:uiPriority w:val="0"/>
    <w:rPr>
      <w:rFonts w:ascii="Arial" w:hAnsi="Arial" w:eastAsia="黑体"/>
      <w:b/>
      <w:bCs/>
      <w:sz w:val="24"/>
      <w:szCs w:val="24"/>
    </w:rPr>
  </w:style>
  <w:style w:type="character" w:customStyle="1" w:styleId="2301">
    <w:name w:val="样式35 Char"/>
    <w:autoRedefine/>
    <w:qFormat/>
    <w:uiPriority w:val="0"/>
    <w:rPr>
      <w:rFonts w:ascii="宋体" w:hAnsi="宋体" w:eastAsia="宋体"/>
      <w:bCs/>
      <w:color w:val="000000"/>
      <w:kern w:val="2"/>
      <w:sz w:val="24"/>
      <w:szCs w:val="24"/>
      <w:lang w:val="en-US" w:eastAsia="zh-CN" w:bidi="ar-SA"/>
    </w:rPr>
  </w:style>
  <w:style w:type="character" w:customStyle="1" w:styleId="2302">
    <w:name w:val="123YJ Char Char1"/>
    <w:qFormat/>
    <w:uiPriority w:val="0"/>
    <w:rPr>
      <w:rFonts w:eastAsia="宋体"/>
      <w:kern w:val="2"/>
      <w:sz w:val="18"/>
      <w:szCs w:val="18"/>
      <w:lang w:val="en-US" w:eastAsia="zh-CN" w:bidi="ar-SA"/>
    </w:rPr>
  </w:style>
  <w:style w:type="character" w:customStyle="1" w:styleId="2303">
    <w:name w:val="font2"/>
    <w:qFormat/>
    <w:uiPriority w:val="0"/>
    <w:rPr>
      <w:color w:val="336633"/>
      <w:sz w:val="21"/>
    </w:rPr>
  </w:style>
  <w:style w:type="character" w:customStyle="1" w:styleId="2304">
    <w:name w:val="nota"/>
    <w:autoRedefine/>
    <w:qFormat/>
    <w:uiPriority w:val="0"/>
    <w:rPr>
      <w:i/>
      <w:iCs/>
      <w:sz w:val="20"/>
    </w:rPr>
  </w:style>
  <w:style w:type="character" w:customStyle="1" w:styleId="2305">
    <w:name w:val="样式42 Char"/>
    <w:autoRedefine/>
    <w:qFormat/>
    <w:uiPriority w:val="0"/>
    <w:rPr>
      <w:rFonts w:ascii="宋体" w:hAnsi="宋体" w:eastAsia="宋体"/>
      <w:bCs/>
      <w:color w:val="000000"/>
      <w:kern w:val="2"/>
      <w:sz w:val="24"/>
      <w:szCs w:val="24"/>
      <w:lang w:val="en-US" w:eastAsia="zh-CN" w:bidi="ar-SA"/>
    </w:rPr>
  </w:style>
  <w:style w:type="character" w:customStyle="1" w:styleId="2306">
    <w:name w:val="javascript"/>
    <w:autoRedefine/>
    <w:qFormat/>
    <w:uiPriority w:val="0"/>
    <w:rPr>
      <w:rFonts w:ascii="宋体" w:hAnsi="宋体" w:eastAsia="宋体" w:cs="宋体"/>
      <w:kern w:val="2"/>
      <w:sz w:val="24"/>
      <w:szCs w:val="24"/>
      <w:lang w:val="en-US" w:eastAsia="zh-CN" w:bidi="ar-SA"/>
    </w:rPr>
  </w:style>
  <w:style w:type="character" w:customStyle="1" w:styleId="2307">
    <w:name w:val="(一) Char"/>
    <w:autoRedefine/>
    <w:qFormat/>
    <w:uiPriority w:val="0"/>
    <w:rPr>
      <w:rFonts w:ascii="Arial" w:hAnsi="Arial" w:eastAsia="黑体"/>
      <w:b/>
      <w:bCs/>
      <w:kern w:val="2"/>
      <w:sz w:val="28"/>
      <w:szCs w:val="28"/>
    </w:rPr>
  </w:style>
  <w:style w:type="character" w:customStyle="1" w:styleId="2308">
    <w:name w:val=".biaoti"/>
    <w:autoRedefine/>
    <w:qFormat/>
    <w:uiPriority w:val="0"/>
  </w:style>
  <w:style w:type="character" w:customStyle="1" w:styleId="2309">
    <w:name w:val="报告表格内文 Char"/>
    <w:autoRedefine/>
    <w:qFormat/>
    <w:uiPriority w:val="0"/>
    <w:rPr>
      <w:rFonts w:eastAsia="宋体"/>
      <w:bCs/>
      <w:color w:val="000000"/>
      <w:kern w:val="2"/>
      <w:sz w:val="21"/>
      <w:szCs w:val="24"/>
      <w:lang w:val="en-US" w:eastAsia="zh-CN" w:bidi="ar-SA"/>
    </w:rPr>
  </w:style>
  <w:style w:type="character" w:customStyle="1" w:styleId="2310">
    <w:name w:val="标题 3(CYM) Char Char"/>
    <w:qFormat/>
    <w:uiPriority w:val="0"/>
    <w:rPr>
      <w:rFonts w:ascii="Arial Unicode MS" w:hAnsi="Arial Unicode MS" w:eastAsia="Arial Unicode MS" w:cs="Arial Unicode MS"/>
      <w:b/>
      <w:bCs/>
      <w:color w:val="000000"/>
      <w:sz w:val="27"/>
      <w:szCs w:val="27"/>
      <w:lang w:val="en-US" w:eastAsia="zh-CN" w:bidi="ar-SA"/>
    </w:rPr>
  </w:style>
  <w:style w:type="character" w:customStyle="1" w:styleId="2311">
    <w:name w:val="g Char3"/>
    <w:autoRedefine/>
    <w:qFormat/>
    <w:uiPriority w:val="0"/>
    <w:rPr>
      <w:rFonts w:eastAsia="宋体"/>
      <w:kern w:val="2"/>
      <w:sz w:val="18"/>
      <w:szCs w:val="18"/>
      <w:lang w:val="en-US" w:eastAsia="zh-CN" w:bidi="ar-SA"/>
    </w:rPr>
  </w:style>
  <w:style w:type="character" w:customStyle="1" w:styleId="2312">
    <w:name w:val="6表(图)头(治) Char"/>
    <w:autoRedefine/>
    <w:qFormat/>
    <w:uiPriority w:val="0"/>
    <w:rPr>
      <w:rFonts w:eastAsia="黑体"/>
      <w:b/>
      <w:sz w:val="28"/>
      <w:lang w:val="en-US" w:eastAsia="zh-CN" w:bidi="ar-SA"/>
    </w:rPr>
  </w:style>
  <w:style w:type="character" w:customStyle="1" w:styleId="2313">
    <w:name w:val="副标题 Char3"/>
    <w:autoRedefine/>
    <w:qFormat/>
    <w:uiPriority w:val="0"/>
    <w:rPr>
      <w:rFonts w:ascii="Cambria" w:hAnsi="Cambria" w:eastAsia="宋体" w:cs="Times New Roman"/>
      <w:b/>
      <w:bCs/>
      <w:kern w:val="28"/>
      <w:sz w:val="32"/>
      <w:szCs w:val="32"/>
      <w:lang w:bidi="ar-SA"/>
    </w:rPr>
  </w:style>
  <w:style w:type="character" w:customStyle="1" w:styleId="2314">
    <w:name w:val="样式 正文 + Char"/>
    <w:autoRedefine/>
    <w:qFormat/>
    <w:uiPriority w:val="0"/>
    <w:rPr>
      <w:sz w:val="24"/>
      <w:szCs w:val="24"/>
      <w:lang w:bidi="ar-SA"/>
    </w:rPr>
  </w:style>
  <w:style w:type="character" w:customStyle="1" w:styleId="2315">
    <w:name w:val="表文字居中 Char"/>
    <w:autoRedefine/>
    <w:semiHidden/>
    <w:qFormat/>
    <w:uiPriority w:val="0"/>
    <w:rPr>
      <w:rFonts w:ascii="Arial" w:hAnsi="Arial"/>
      <w:kern w:val="2"/>
      <w:sz w:val="21"/>
      <w:lang w:val="en-US" w:eastAsia="zh-CN" w:bidi="ar-SA"/>
    </w:rPr>
  </w:style>
  <w:style w:type="character" w:customStyle="1" w:styleId="2316">
    <w:name w:val="信息标题 Char2"/>
    <w:autoRedefine/>
    <w:qFormat/>
    <w:uiPriority w:val="0"/>
    <w:rPr>
      <w:rFonts w:ascii="Cambria" w:hAnsi="Cambria" w:eastAsia="宋体" w:cs="黑体"/>
      <w:sz w:val="24"/>
      <w:szCs w:val="24"/>
      <w:shd w:val="pct20" w:color="auto" w:fill="auto"/>
      <w:lang w:bidi="ar-SA"/>
    </w:rPr>
  </w:style>
  <w:style w:type="character" w:customStyle="1" w:styleId="2317">
    <w:name w:val="f141"/>
    <w:autoRedefine/>
    <w:qFormat/>
    <w:uiPriority w:val="0"/>
    <w:rPr>
      <w:rFonts w:ascii="宋体" w:eastAsia="宋体" w:cs="Courier New"/>
      <w:kern w:val="2"/>
      <w:sz w:val="21"/>
      <w:szCs w:val="21"/>
      <w:lang w:val="en-US" w:eastAsia="zh-CN" w:bidi="ar-SA"/>
    </w:rPr>
  </w:style>
  <w:style w:type="character" w:customStyle="1" w:styleId="2318">
    <w:name w:val="样式23 Char Char"/>
    <w:qFormat/>
    <w:uiPriority w:val="0"/>
    <w:rPr>
      <w:rFonts w:ascii="黑体" w:hAnsi="Times New Roman" w:eastAsia="黑体" w:cs="Times New Roman"/>
      <w:color w:val="000000"/>
      <w:kern w:val="0"/>
      <w:szCs w:val="21"/>
    </w:rPr>
  </w:style>
  <w:style w:type="character" w:customStyle="1" w:styleId="2319">
    <w:name w:val="标题 13 Char Char"/>
    <w:autoRedefine/>
    <w:qFormat/>
    <w:uiPriority w:val="0"/>
    <w:rPr>
      <w:rFonts w:ascii="Arial Unicode MS" w:hAnsi="Arial Unicode MS" w:eastAsia="Arial Unicode MS" w:cs="Arial Unicode MS"/>
      <w:b/>
      <w:bCs/>
      <w:color w:val="000000"/>
      <w:kern w:val="2"/>
      <w:sz w:val="27"/>
      <w:szCs w:val="27"/>
      <w:lang w:val="en-US" w:eastAsia="zh-CN" w:bidi="ar-SA"/>
    </w:rPr>
  </w:style>
  <w:style w:type="character" w:customStyle="1" w:styleId="2320">
    <w:name w:val="页眉 Char3"/>
    <w:qFormat/>
    <w:locked/>
    <w:uiPriority w:val="0"/>
    <w:rPr>
      <w:rFonts w:eastAsia="宋体"/>
      <w:sz w:val="18"/>
    </w:rPr>
  </w:style>
  <w:style w:type="character" w:customStyle="1" w:styleId="2321">
    <w:name w:val="标题 13 Char5"/>
    <w:autoRedefine/>
    <w:qFormat/>
    <w:uiPriority w:val="0"/>
    <w:rPr>
      <w:rFonts w:ascii="Arial Unicode MS" w:hAnsi="Arial Unicode MS" w:eastAsia="Arial Unicode MS" w:cs="Arial Unicode MS"/>
      <w:b/>
      <w:bCs/>
      <w:color w:val="000000"/>
      <w:sz w:val="27"/>
      <w:szCs w:val="27"/>
      <w:lang w:val="en-US" w:eastAsia="zh-CN" w:bidi="ar-SA"/>
    </w:rPr>
  </w:style>
  <w:style w:type="character" w:customStyle="1" w:styleId="2322">
    <w:name w:val="表题 Char"/>
    <w:autoRedefine/>
    <w:qFormat/>
    <w:uiPriority w:val="0"/>
    <w:rPr>
      <w:rFonts w:ascii="宋体" w:eastAsia="宋体"/>
      <w:b/>
      <w:color w:val="000000"/>
      <w:sz w:val="28"/>
      <w:lang w:val="en-US" w:eastAsia="zh-CN" w:bidi="ar-SA"/>
    </w:rPr>
  </w:style>
  <w:style w:type="character" w:customStyle="1" w:styleId="2323">
    <w:name w:val="图题 Char Char Char Char Char"/>
    <w:autoRedefine/>
    <w:qFormat/>
    <w:uiPriority w:val="0"/>
    <w:rPr>
      <w:rFonts w:eastAsia="宋体"/>
      <w:kern w:val="2"/>
      <w:sz w:val="21"/>
      <w:szCs w:val="21"/>
      <w:lang w:val="en-US" w:eastAsia="zh-CN" w:bidi="ar-SA"/>
    </w:rPr>
  </w:style>
  <w:style w:type="character" w:customStyle="1" w:styleId="2324">
    <w:name w:val="题注 Char1 Char"/>
    <w:autoRedefine/>
    <w:qFormat/>
    <w:uiPriority w:val="0"/>
    <w:rPr>
      <w:rFonts w:ascii="Arial" w:hAnsi="Arial" w:eastAsia="黑体" w:cs="Arial"/>
      <w:kern w:val="2"/>
      <w:lang w:val="en-US" w:eastAsia="zh-CN" w:bidi="ar-SA"/>
    </w:rPr>
  </w:style>
  <w:style w:type="character" w:customStyle="1" w:styleId="2325">
    <w:name w:val="正文首行缩进 2 Char2"/>
    <w:qFormat/>
    <w:uiPriority w:val="0"/>
    <w:rPr>
      <w:kern w:val="2"/>
      <w:sz w:val="21"/>
      <w:szCs w:val="24"/>
    </w:rPr>
  </w:style>
  <w:style w:type="character" w:customStyle="1" w:styleId="2326">
    <w:name w:val="称呼 Char2"/>
    <w:qFormat/>
    <w:uiPriority w:val="0"/>
    <w:rPr>
      <w:rFonts w:ascii="Calibri" w:hAnsi="Calibri" w:eastAsia="宋体" w:cs="Times New Roman"/>
      <w:kern w:val="0"/>
      <w:sz w:val="24"/>
      <w:szCs w:val="24"/>
    </w:rPr>
  </w:style>
  <w:style w:type="character" w:customStyle="1" w:styleId="2327">
    <w:name w:val="批注框文本 Char3"/>
    <w:autoRedefine/>
    <w:qFormat/>
    <w:uiPriority w:val="0"/>
    <w:rPr>
      <w:kern w:val="2"/>
      <w:sz w:val="18"/>
      <w:szCs w:val="18"/>
    </w:rPr>
  </w:style>
  <w:style w:type="character" w:customStyle="1" w:styleId="2328">
    <w:name w:val="日期 Char4"/>
    <w:autoRedefine/>
    <w:qFormat/>
    <w:uiPriority w:val="0"/>
    <w:rPr>
      <w:rFonts w:ascii="宋体" w:eastAsia="宋体"/>
      <w:sz w:val="21"/>
      <w:szCs w:val="21"/>
    </w:rPr>
  </w:style>
  <w:style w:type="character" w:customStyle="1" w:styleId="2329">
    <w:name w:val="信息标题 Char3"/>
    <w:autoRedefine/>
    <w:qFormat/>
    <w:uiPriority w:val="0"/>
    <w:rPr>
      <w:rFonts w:ascii="Cambria" w:hAnsi="Cambria" w:eastAsia="宋体" w:cs="Times New Roman"/>
      <w:sz w:val="24"/>
      <w:szCs w:val="24"/>
      <w:shd w:val="pct20" w:color="auto" w:fill="auto"/>
      <w:lang w:bidi="ar-SA"/>
    </w:rPr>
  </w:style>
  <w:style w:type="character" w:customStyle="1" w:styleId="2330">
    <w:name w:val="条目 Char"/>
    <w:autoRedefine/>
    <w:qFormat/>
    <w:uiPriority w:val="0"/>
    <w:rPr>
      <w:rFonts w:ascii="华文细黑" w:hAnsi="华文细黑" w:eastAsia="华文细黑"/>
      <w:kern w:val="2"/>
      <w:sz w:val="24"/>
      <w:lang w:val="en-US" w:eastAsia="zh-CN" w:bidi="ar-SA"/>
    </w:rPr>
  </w:style>
  <w:style w:type="character" w:customStyle="1" w:styleId="2331">
    <w:name w:val="105w1"/>
    <w:autoRedefine/>
    <w:qFormat/>
    <w:uiPriority w:val="0"/>
    <w:rPr>
      <w:rFonts w:hint="default" w:ascii="ˎ̥" w:hAnsi="ˎ̥"/>
      <w:sz w:val="29"/>
      <w:szCs w:val="29"/>
    </w:rPr>
  </w:style>
  <w:style w:type="character" w:customStyle="1" w:styleId="2332">
    <w:name w:val="注释标题 Char3"/>
    <w:autoRedefine/>
    <w:qFormat/>
    <w:uiPriority w:val="0"/>
  </w:style>
  <w:style w:type="character" w:customStyle="1" w:styleId="2333">
    <w:name w:val="正文文本 Char4"/>
    <w:autoRedefine/>
    <w:qFormat/>
    <w:uiPriority w:val="0"/>
    <w:rPr>
      <w:rFonts w:ascii="Times New Roman" w:hAnsi="Times New Roman" w:eastAsia="宋体" w:cs="Times New Roman"/>
      <w:kern w:val="0"/>
      <w:szCs w:val="21"/>
      <w:lang w:bidi="ar-SA"/>
    </w:rPr>
  </w:style>
  <w:style w:type="character" w:customStyle="1" w:styleId="2334">
    <w:name w:val="批注主题 Char3"/>
    <w:autoRedefine/>
    <w:qFormat/>
    <w:uiPriority w:val="0"/>
    <w:rPr>
      <w:rFonts w:ascii="Calibri" w:hAnsi="Calibri" w:eastAsia="宋体" w:cs="Times New Roman"/>
      <w:b/>
      <w:bCs/>
      <w:kern w:val="0"/>
      <w:sz w:val="24"/>
      <w:szCs w:val="24"/>
    </w:rPr>
  </w:style>
  <w:style w:type="character" w:customStyle="1" w:styleId="2335">
    <w:name w:val="标题 13 Char4"/>
    <w:autoRedefine/>
    <w:qFormat/>
    <w:uiPriority w:val="0"/>
    <w:rPr>
      <w:rFonts w:eastAsia="宋体"/>
      <w:b/>
      <w:bCs/>
      <w:kern w:val="2"/>
      <w:sz w:val="32"/>
      <w:szCs w:val="32"/>
      <w:lang w:val="en-US" w:eastAsia="zh-CN" w:bidi="ar-SA"/>
    </w:rPr>
  </w:style>
  <w:style w:type="character" w:customStyle="1" w:styleId="2336">
    <w:name w:val="css-text3"/>
    <w:autoRedefine/>
    <w:qFormat/>
    <w:uiPriority w:val="0"/>
  </w:style>
  <w:style w:type="character" w:customStyle="1" w:styleId="2337">
    <w:name w:val="fh1"/>
    <w:qFormat/>
    <w:uiPriority w:val="0"/>
    <w:rPr>
      <w:color w:val="000000"/>
      <w:sz w:val="24"/>
      <w:szCs w:val="24"/>
      <w:u w:val="none"/>
    </w:rPr>
  </w:style>
  <w:style w:type="character" w:customStyle="1" w:styleId="2338">
    <w:name w:val="style1 style2"/>
    <w:autoRedefine/>
    <w:qFormat/>
    <w:uiPriority w:val="0"/>
  </w:style>
  <w:style w:type="character" w:customStyle="1" w:styleId="2339">
    <w:name w:val="批注主题 Char1"/>
    <w:autoRedefine/>
    <w:qFormat/>
    <w:uiPriority w:val="0"/>
    <w:rPr>
      <w:b/>
      <w:bCs/>
      <w:kern w:val="2"/>
      <w:sz w:val="24"/>
      <w:szCs w:val="24"/>
    </w:rPr>
  </w:style>
  <w:style w:type="character" w:customStyle="1" w:styleId="2340">
    <w:name w:val="表内文字 Char Char"/>
    <w:autoRedefine/>
    <w:qFormat/>
    <w:uiPriority w:val="0"/>
    <w:rPr>
      <w:rFonts w:ascii="宋体" w:hAnsi="Courier New" w:eastAsia="宋体" w:cs="Courier New"/>
      <w:color w:val="000000"/>
      <w:kern w:val="2"/>
      <w:sz w:val="21"/>
      <w:szCs w:val="21"/>
      <w:lang w:val="en-US" w:eastAsia="zh-CN" w:bidi="ar-SA"/>
    </w:rPr>
  </w:style>
  <w:style w:type="character" w:customStyle="1" w:styleId="2341">
    <w:name w:val="目标题 1) Char Char1"/>
    <w:autoRedefine/>
    <w:qFormat/>
    <w:uiPriority w:val="0"/>
    <w:rPr>
      <w:rFonts w:ascii="Times New Roman" w:hAnsi="Times New Roman" w:eastAsia="宋体" w:cs="Times New Roman"/>
      <w:i/>
      <w:iCs/>
      <w:sz w:val="24"/>
      <w:szCs w:val="24"/>
    </w:rPr>
  </w:style>
  <w:style w:type="character" w:customStyle="1" w:styleId="2342">
    <w:name w:val="批注主题 Char2"/>
    <w:autoRedefine/>
    <w:qFormat/>
    <w:uiPriority w:val="0"/>
    <w:rPr>
      <w:rFonts w:ascii="Times New Roman" w:hAnsi="Times New Roman" w:eastAsia="宋体" w:cs="Times New Roman"/>
      <w:b/>
      <w:bCs/>
      <w:kern w:val="0"/>
      <w:szCs w:val="24"/>
      <w:lang w:bidi="ar-SA"/>
    </w:rPr>
  </w:style>
  <w:style w:type="character" w:customStyle="1" w:styleId="2343">
    <w:name w:val="样式 标题 2标题21.1H2h2第一层条2Header 2nd PageA.B.C.h2 main head..."/>
    <w:autoRedefine/>
    <w:semiHidden/>
    <w:qFormat/>
    <w:uiPriority w:val="0"/>
    <w:rPr>
      <w:rFonts w:ascii="Times New Roman" w:hAnsi="Times New Roman" w:eastAsia="仿宋_GB2312"/>
      <w:sz w:val="24"/>
    </w:rPr>
  </w:style>
  <w:style w:type="character" w:customStyle="1" w:styleId="2344">
    <w:name w:val="我的表格 Char"/>
    <w:autoRedefine/>
    <w:qFormat/>
    <w:uiPriority w:val="0"/>
    <w:rPr>
      <w:rFonts w:eastAsia="宋体"/>
      <w:kern w:val="2"/>
      <w:sz w:val="21"/>
      <w:lang w:val="en-US" w:eastAsia="zh-CN" w:bidi="ar-SA"/>
    </w:rPr>
  </w:style>
  <w:style w:type="character" w:customStyle="1" w:styleId="2345">
    <w:name w:val="标题 1环评 Char Char"/>
    <w:autoRedefine/>
    <w:qFormat/>
    <w:uiPriority w:val="0"/>
    <w:rPr>
      <w:rFonts w:eastAsia="仿宋_GB2312"/>
      <w:b/>
      <w:bCs/>
      <w:kern w:val="44"/>
      <w:sz w:val="30"/>
      <w:szCs w:val="30"/>
      <w:lang w:val="en-US" w:eastAsia="zh-CN" w:bidi="ar-SA"/>
    </w:rPr>
  </w:style>
  <w:style w:type="character" w:customStyle="1" w:styleId="2346">
    <w:name w:val="Font Style109"/>
    <w:autoRedefine/>
    <w:qFormat/>
    <w:uiPriority w:val="0"/>
    <w:rPr>
      <w:rFonts w:ascii="Arial" w:hAnsi="Arial" w:cs="Arial"/>
      <w:i/>
      <w:iCs/>
      <w:sz w:val="16"/>
      <w:szCs w:val="16"/>
    </w:rPr>
  </w:style>
  <w:style w:type="character" w:customStyle="1" w:styleId="2347">
    <w:name w:val="contenttext11"/>
    <w:autoRedefine/>
    <w:qFormat/>
    <w:uiPriority w:val="0"/>
    <w:rPr>
      <w:rFonts w:hint="eastAsia" w:ascii="宋体" w:hAnsi="宋体" w:eastAsia="宋体"/>
      <w:color w:val="000000"/>
      <w:spacing w:val="240"/>
      <w:sz w:val="24"/>
      <w:szCs w:val="24"/>
    </w:rPr>
  </w:style>
  <w:style w:type="character" w:customStyle="1" w:styleId="2348">
    <w:name w:val="安评正文 Char"/>
    <w:autoRedefine/>
    <w:semiHidden/>
    <w:qFormat/>
    <w:uiPriority w:val="0"/>
    <w:rPr>
      <w:rFonts w:eastAsia="宋体"/>
      <w:color w:val="000000"/>
      <w:kern w:val="2"/>
      <w:sz w:val="24"/>
      <w:lang w:bidi="ar-SA"/>
    </w:rPr>
  </w:style>
  <w:style w:type="character" w:customStyle="1" w:styleId="2349">
    <w:name w:val="H8 Char4"/>
    <w:autoRedefine/>
    <w:qFormat/>
    <w:uiPriority w:val="0"/>
    <w:rPr>
      <w:rFonts w:ascii="Arial" w:hAnsi="Arial" w:eastAsia="黑体"/>
      <w:sz w:val="24"/>
      <w:szCs w:val="24"/>
      <w:lang w:val="en-US" w:eastAsia="zh-CN" w:bidi="ar-SA"/>
    </w:rPr>
  </w:style>
  <w:style w:type="character" w:customStyle="1" w:styleId="2350">
    <w:name w:val="ued21"/>
    <w:autoRedefine/>
    <w:qFormat/>
    <w:uiPriority w:val="0"/>
    <w:rPr>
      <w:rFonts w:hint="eastAsia" w:ascii="宋体" w:hAnsi="宋体" w:eastAsia="宋体"/>
      <w:color w:val="000000"/>
      <w:sz w:val="18"/>
      <w:szCs w:val="18"/>
    </w:rPr>
  </w:style>
  <w:style w:type="character" w:customStyle="1" w:styleId="2351">
    <w:name w:val="123YJ Char Char2"/>
    <w:autoRedefine/>
    <w:qFormat/>
    <w:uiPriority w:val="0"/>
    <w:rPr>
      <w:rFonts w:eastAsia="宋体"/>
      <w:kern w:val="2"/>
      <w:sz w:val="18"/>
      <w:szCs w:val="18"/>
      <w:lang w:val="en-US" w:eastAsia="zh-CN" w:bidi="ar-SA"/>
    </w:rPr>
  </w:style>
  <w:style w:type="character" w:customStyle="1" w:styleId="2352">
    <w:name w:val="H6 Char4"/>
    <w:autoRedefine/>
    <w:qFormat/>
    <w:uiPriority w:val="0"/>
    <w:rPr>
      <w:rFonts w:ascii="Arial" w:hAnsi="Arial" w:eastAsia="黑体"/>
      <w:b/>
      <w:bCs/>
      <w:sz w:val="24"/>
      <w:szCs w:val="24"/>
      <w:lang w:val="en-US" w:eastAsia="zh-CN" w:bidi="ar-SA"/>
    </w:rPr>
  </w:style>
  <w:style w:type="character" w:customStyle="1" w:styleId="2353">
    <w:name w:val="headline-content2"/>
    <w:autoRedefine/>
    <w:qFormat/>
    <w:uiPriority w:val="0"/>
  </w:style>
  <w:style w:type="character" w:customStyle="1" w:styleId="2354">
    <w:name w:val="text31"/>
    <w:autoRedefine/>
    <w:qFormat/>
    <w:uiPriority w:val="0"/>
    <w:rPr>
      <w:rFonts w:ascii="宋体" w:eastAsia="宋体"/>
      <w:sz w:val="20"/>
    </w:rPr>
  </w:style>
  <w:style w:type="character" w:customStyle="1" w:styleId="2355">
    <w:name w:val="detailtitle1"/>
    <w:qFormat/>
    <w:uiPriority w:val="0"/>
  </w:style>
  <w:style w:type="character" w:customStyle="1" w:styleId="2356">
    <w:name w:val="正文文本缩进 Char3"/>
    <w:autoRedefine/>
    <w:qFormat/>
    <w:uiPriority w:val="0"/>
  </w:style>
  <w:style w:type="character" w:customStyle="1" w:styleId="2357">
    <w:name w:val="H5 Char Char"/>
    <w:qFormat/>
    <w:uiPriority w:val="0"/>
    <w:rPr>
      <w:rFonts w:eastAsia="宋体"/>
      <w:b/>
      <w:bCs/>
      <w:kern w:val="2"/>
      <w:sz w:val="28"/>
      <w:szCs w:val="28"/>
      <w:lang w:val="en-US" w:eastAsia="zh-CN" w:bidi="ar-SA"/>
    </w:rPr>
  </w:style>
  <w:style w:type="character" w:customStyle="1" w:styleId="2358">
    <w:name w:val="批注引用1"/>
    <w:autoRedefine/>
    <w:qFormat/>
    <w:uiPriority w:val="0"/>
    <w:rPr>
      <w:sz w:val="21"/>
      <w:szCs w:val="21"/>
    </w:rPr>
  </w:style>
  <w:style w:type="character" w:customStyle="1" w:styleId="2359">
    <w:name w:val="Char Char25"/>
    <w:autoRedefine/>
    <w:qFormat/>
    <w:uiPriority w:val="0"/>
    <w:rPr>
      <w:rFonts w:eastAsia="宋体"/>
      <w:snapToGrid/>
      <w:sz w:val="24"/>
      <w:lang w:val="en-US" w:eastAsia="zh-CN" w:bidi="ar-SA"/>
    </w:rPr>
  </w:style>
  <w:style w:type="character" w:customStyle="1" w:styleId="2360">
    <w:name w:val="报告正文 Char1"/>
    <w:autoRedefine/>
    <w:qFormat/>
    <w:uiPriority w:val="0"/>
    <w:rPr>
      <w:rFonts w:eastAsia="宋体"/>
      <w:color w:val="000000"/>
      <w:kern w:val="2"/>
      <w:sz w:val="24"/>
      <w:szCs w:val="24"/>
      <w:lang w:val="en-US" w:eastAsia="zh-CN" w:bidi="ar-SA"/>
    </w:rPr>
  </w:style>
  <w:style w:type="character" w:customStyle="1" w:styleId="2361">
    <w:name w:val="样式 标题 4 + (西文) Times New Roman (中文) 宋体 小四 非加粗 Char"/>
    <w:autoRedefine/>
    <w:qFormat/>
    <w:uiPriority w:val="0"/>
    <w:rPr>
      <w:rFonts w:ascii="Arial" w:hAnsi="Arial" w:eastAsia="黑体"/>
      <w:b/>
      <w:bCs/>
      <w:kern w:val="2"/>
      <w:sz w:val="28"/>
      <w:szCs w:val="28"/>
      <w:lang w:val="en-US" w:eastAsia="zh-CN" w:bidi="ar-SA"/>
    </w:rPr>
  </w:style>
  <w:style w:type="character" w:customStyle="1" w:styleId="2362">
    <w:name w:val="正文文字缩进 3 Char Char2"/>
    <w:autoRedefine/>
    <w:semiHidden/>
    <w:qFormat/>
    <w:uiPriority w:val="0"/>
    <w:rPr>
      <w:rFonts w:eastAsia="宋体"/>
      <w:kern w:val="2"/>
      <w:sz w:val="16"/>
      <w:szCs w:val="16"/>
      <w:lang w:val="en-US" w:eastAsia="zh-CN" w:bidi="ar-SA"/>
    </w:rPr>
  </w:style>
  <w:style w:type="character" w:customStyle="1" w:styleId="2363">
    <w:name w:val="正文文本 2 Char1"/>
    <w:autoRedefine/>
    <w:qFormat/>
    <w:uiPriority w:val="0"/>
    <w:rPr>
      <w:rFonts w:eastAsia="宋体"/>
      <w:kern w:val="2"/>
      <w:sz w:val="21"/>
      <w:szCs w:val="24"/>
      <w:lang w:val="en-US" w:eastAsia="zh-CN" w:bidi="ar-SA"/>
    </w:rPr>
  </w:style>
  <w:style w:type="character" w:customStyle="1" w:styleId="2364">
    <w:name w:val="表格文字 Char Char"/>
    <w:autoRedefine/>
    <w:qFormat/>
    <w:uiPriority w:val="0"/>
  </w:style>
  <w:style w:type="character" w:customStyle="1" w:styleId="2365">
    <w:name w:val="标题 13 Char3"/>
    <w:autoRedefine/>
    <w:qFormat/>
    <w:uiPriority w:val="0"/>
    <w:rPr>
      <w:rFonts w:eastAsia="宋体"/>
      <w:b/>
      <w:bCs/>
      <w:kern w:val="2"/>
      <w:sz w:val="32"/>
      <w:szCs w:val="32"/>
      <w:lang w:val="en-US" w:eastAsia="zh-CN" w:bidi="ar-SA"/>
    </w:rPr>
  </w:style>
  <w:style w:type="character" w:customStyle="1" w:styleId="2366">
    <w:name w:val="段落样式 Char"/>
    <w:autoRedefine/>
    <w:qFormat/>
    <w:uiPriority w:val="0"/>
    <w:rPr>
      <w:rFonts w:eastAsia="宋体"/>
      <w:snapToGrid/>
      <w:w w:val="90"/>
      <w:kern w:val="2"/>
      <w:sz w:val="28"/>
      <w:szCs w:val="21"/>
      <w:lang w:val="en-US" w:eastAsia="zh-CN" w:bidi="ar-SA"/>
    </w:rPr>
  </w:style>
  <w:style w:type="character" w:customStyle="1" w:styleId="2367">
    <w:name w:val="正文文字 2 Char Char1"/>
    <w:autoRedefine/>
    <w:qFormat/>
    <w:uiPriority w:val="0"/>
    <w:rPr>
      <w:rFonts w:ascii="Times New Roman" w:hAnsi="Times New Roman" w:eastAsia="宋体" w:cs="Times New Roman"/>
      <w:szCs w:val="20"/>
    </w:rPr>
  </w:style>
  <w:style w:type="character" w:customStyle="1" w:styleId="2368">
    <w:name w:val="表－左对齐 Char"/>
    <w:autoRedefine/>
    <w:qFormat/>
    <w:uiPriority w:val="0"/>
    <w:rPr>
      <w:rFonts w:eastAsia="宋体" w:cs="Arial"/>
      <w:sz w:val="21"/>
      <w:szCs w:val="21"/>
      <w:lang w:val="en-US" w:eastAsia="ja-JP" w:bidi="ar-SA"/>
    </w:rPr>
  </w:style>
  <w:style w:type="character" w:customStyle="1" w:styleId="2369">
    <w:name w:val="表格中的文字 Char"/>
    <w:autoRedefine/>
    <w:semiHidden/>
    <w:qFormat/>
    <w:uiPriority w:val="0"/>
    <w:rPr>
      <w:rFonts w:ascii="宋体" w:hAnsi="宋体" w:eastAsia="宋体"/>
      <w:sz w:val="21"/>
      <w:lang w:bidi="ar-SA"/>
    </w:rPr>
  </w:style>
  <w:style w:type="character" w:customStyle="1" w:styleId="2370">
    <w:name w:val="正文文本 3 Char2"/>
    <w:autoRedefine/>
    <w:qFormat/>
    <w:uiPriority w:val="0"/>
    <w:rPr>
      <w:kern w:val="2"/>
      <w:sz w:val="16"/>
      <w:szCs w:val="16"/>
    </w:rPr>
  </w:style>
  <w:style w:type="character" w:customStyle="1" w:styleId="2371">
    <w:name w:val="正文 + 首行缩进2 厘米 Char"/>
    <w:autoRedefine/>
    <w:semiHidden/>
    <w:qFormat/>
    <w:uiPriority w:val="0"/>
    <w:rPr>
      <w:rFonts w:ascii="仿宋_GB2312" w:hAnsi="仿宋_GB2312" w:eastAsia="宋体"/>
      <w:kern w:val="2"/>
      <w:sz w:val="24"/>
      <w:szCs w:val="28"/>
      <w:lang w:bidi="ar-SA"/>
    </w:rPr>
  </w:style>
  <w:style w:type="character" w:customStyle="1" w:styleId="2372">
    <w:name w:val="称呼 Char1"/>
    <w:autoRedefine/>
    <w:qFormat/>
    <w:uiPriority w:val="0"/>
    <w:rPr>
      <w:kern w:val="2"/>
      <w:sz w:val="21"/>
      <w:szCs w:val="24"/>
    </w:rPr>
  </w:style>
  <w:style w:type="character" w:customStyle="1" w:styleId="2373">
    <w:name w:val="cucd-3 Char Char"/>
    <w:autoRedefine/>
    <w:qFormat/>
    <w:uiPriority w:val="0"/>
    <w:rPr>
      <w:b/>
      <w:kern w:val="2"/>
      <w:sz w:val="28"/>
      <w:szCs w:val="24"/>
      <w:lang w:val="en-US" w:eastAsia="zh-CN" w:bidi="ar-SA"/>
    </w:rPr>
  </w:style>
  <w:style w:type="character" w:customStyle="1" w:styleId="2374">
    <w:name w:val="d11"/>
    <w:autoRedefine/>
    <w:qFormat/>
    <w:uiPriority w:val="0"/>
    <w:rPr>
      <w:rFonts w:ascii="宋体" w:eastAsia="宋体" w:cs="宋体"/>
      <w:kern w:val="2"/>
      <w:sz w:val="20"/>
      <w:szCs w:val="20"/>
      <w:lang w:val="en-US" w:eastAsia="zh-CN" w:bidi="ar-SA"/>
    </w:rPr>
  </w:style>
  <w:style w:type="character" w:customStyle="1" w:styleId="2375">
    <w:name w:val="文章正文样式 Char Char Char Char Char"/>
    <w:autoRedefine/>
    <w:qFormat/>
    <w:uiPriority w:val="0"/>
    <w:rPr>
      <w:rFonts w:ascii="宋体" w:hAnsi="宋体" w:eastAsia="宋体" w:cs="宋体"/>
      <w:kern w:val="2"/>
      <w:sz w:val="24"/>
      <w:lang w:val="en-US" w:eastAsia="zh-CN" w:bidi="ar-SA"/>
    </w:rPr>
  </w:style>
  <w:style w:type="character" w:customStyle="1" w:styleId="2376">
    <w:name w:val="文档结构图 Char3"/>
    <w:autoRedefine/>
    <w:qFormat/>
    <w:uiPriority w:val="0"/>
    <w:rPr>
      <w:rFonts w:ascii="宋体" w:eastAsia="宋体"/>
      <w:kern w:val="2"/>
      <w:sz w:val="18"/>
      <w:szCs w:val="18"/>
    </w:rPr>
  </w:style>
  <w:style w:type="character" w:customStyle="1" w:styleId="2377">
    <w:name w:val="Heading 2 Char Char"/>
    <w:autoRedefine/>
    <w:qFormat/>
    <w:uiPriority w:val="0"/>
    <w:rPr>
      <w:rFonts w:ascii="Cambria" w:hAnsi="Cambria" w:eastAsia="宋体" w:cs="Times New Roman"/>
      <w:b/>
      <w:bCs/>
      <w:kern w:val="2"/>
      <w:sz w:val="32"/>
      <w:szCs w:val="32"/>
    </w:rPr>
  </w:style>
  <w:style w:type="character" w:customStyle="1" w:styleId="2378">
    <w:name w:val="报告标题3 Char Char"/>
    <w:autoRedefine/>
    <w:qFormat/>
    <w:uiPriority w:val="0"/>
    <w:rPr>
      <w:rFonts w:ascii="Arial" w:hAnsi="Arial" w:eastAsia="宋体"/>
      <w:b/>
      <w:color w:val="000000"/>
      <w:kern w:val="2"/>
      <w:sz w:val="24"/>
      <w:szCs w:val="32"/>
      <w:lang w:val="en-US" w:eastAsia="zh-CN" w:bidi="ar-SA"/>
    </w:rPr>
  </w:style>
  <w:style w:type="character" w:customStyle="1" w:styleId="2379">
    <w:name w:val="正文文本缩进 Char2"/>
    <w:autoRedefine/>
    <w:qFormat/>
    <w:uiPriority w:val="0"/>
    <w:rPr>
      <w:rFonts w:ascii="宋体" w:eastAsia="宋体"/>
      <w:sz w:val="21"/>
      <w:szCs w:val="21"/>
    </w:rPr>
  </w:style>
  <w:style w:type="character" w:customStyle="1" w:styleId="2380">
    <w:name w:val="标题42 Char"/>
    <w:autoRedefine/>
    <w:qFormat/>
    <w:uiPriority w:val="0"/>
    <w:rPr>
      <w:rFonts w:ascii="宋体" w:hAnsi="宋体" w:eastAsia="宋体" w:cs="宋体"/>
      <w:color w:val="000000"/>
      <w:kern w:val="2"/>
      <w:sz w:val="24"/>
      <w:szCs w:val="24"/>
      <w:lang w:val="en-US" w:eastAsia="zh-CN" w:bidi="ar-SA"/>
    </w:rPr>
  </w:style>
  <w:style w:type="character" w:customStyle="1" w:styleId="2381">
    <w:name w:val="表格正文 Char Char"/>
    <w:autoRedefine/>
    <w:qFormat/>
    <w:uiPriority w:val="0"/>
    <w:rPr>
      <w:rFonts w:ascii="仿宋_GB2312" w:eastAsia="仿宋_GB2312" w:cs="宋体"/>
      <w:sz w:val="21"/>
      <w:szCs w:val="21"/>
      <w:lang w:val="en-US" w:eastAsia="zh-CN" w:bidi="ar-SA"/>
    </w:rPr>
  </w:style>
  <w:style w:type="character" w:customStyle="1" w:styleId="2382">
    <w:name w:val="正文文字缩进 3 Char Char"/>
    <w:autoRedefine/>
    <w:qFormat/>
    <w:uiPriority w:val="0"/>
    <w:rPr>
      <w:rFonts w:eastAsia="宋体"/>
      <w:kern w:val="2"/>
      <w:sz w:val="16"/>
      <w:szCs w:val="16"/>
      <w:lang w:val="en-US" w:eastAsia="zh-CN" w:bidi="ar-SA"/>
    </w:rPr>
  </w:style>
  <w:style w:type="character" w:customStyle="1" w:styleId="2383">
    <w:name w:val="5文章(治) Char"/>
    <w:autoRedefine/>
    <w:qFormat/>
    <w:uiPriority w:val="0"/>
    <w:rPr>
      <w:rFonts w:eastAsia="宋体"/>
      <w:color w:val="000000"/>
      <w:sz w:val="24"/>
      <w:lang w:val="en-US" w:eastAsia="zh-CN" w:bidi="ar-SA"/>
    </w:rPr>
  </w:style>
  <w:style w:type="character" w:customStyle="1" w:styleId="2384">
    <w:name w:val="正文文本 3 Char3"/>
    <w:autoRedefine/>
    <w:qFormat/>
    <w:uiPriority w:val="0"/>
    <w:rPr>
      <w:rFonts w:ascii="Times New Roman" w:hAnsi="Times New Roman" w:eastAsia="宋体" w:cs="Times New Roman"/>
      <w:szCs w:val="20"/>
      <w:lang w:bidi="ar-SA"/>
    </w:rPr>
  </w:style>
  <w:style w:type="character" w:customStyle="1" w:styleId="2385">
    <w:name w:val="书籍标题11"/>
    <w:autoRedefine/>
    <w:qFormat/>
    <w:uiPriority w:val="0"/>
    <w:rPr>
      <w:rFonts w:ascii="Cambria" w:hAnsi="Cambria" w:eastAsia="宋体"/>
      <w:b/>
      <w:i/>
      <w:sz w:val="24"/>
      <w:szCs w:val="24"/>
    </w:rPr>
  </w:style>
  <w:style w:type="character" w:customStyle="1" w:styleId="2386">
    <w:name w:val="正文首行缩进 2 Char3"/>
    <w:autoRedefine/>
    <w:qFormat/>
    <w:uiPriority w:val="0"/>
    <w:rPr>
      <w:rFonts w:ascii="Times New Roman" w:hAnsi="Times New Roman" w:eastAsia="宋体" w:cs="Times New Roman"/>
      <w:sz w:val="21"/>
      <w:szCs w:val="24"/>
      <w:lang w:bidi="ar-SA"/>
    </w:rPr>
  </w:style>
  <w:style w:type="character" w:customStyle="1" w:styleId="2387">
    <w:name w:val="页码1"/>
    <w:autoRedefine/>
    <w:qFormat/>
    <w:uiPriority w:val="0"/>
    <w:rPr>
      <w:rFonts w:ascii="宋体" w:eastAsia="宋体"/>
      <w:sz w:val="24"/>
      <w:szCs w:val="20"/>
    </w:rPr>
  </w:style>
  <w:style w:type="character" w:customStyle="1" w:styleId="2388">
    <w:name w:val="副标题 Char2"/>
    <w:autoRedefine/>
    <w:qFormat/>
    <w:uiPriority w:val="0"/>
    <w:rPr>
      <w:rFonts w:ascii="楷体_GB2312" w:eastAsia="楷体_GB2312" w:cs="Times New Roman"/>
      <w:b/>
      <w:spacing w:val="40"/>
      <w:kern w:val="0"/>
      <w:sz w:val="36"/>
      <w:szCs w:val="20"/>
      <w:lang w:bidi="ar-SA"/>
    </w:rPr>
  </w:style>
  <w:style w:type="character" w:customStyle="1" w:styleId="2389">
    <w:name w:val="正文文本 2 Char3"/>
    <w:autoRedefine/>
    <w:qFormat/>
    <w:uiPriority w:val="0"/>
    <w:rPr>
      <w:rFonts w:ascii="宋体" w:eastAsia="宋体"/>
      <w:sz w:val="21"/>
      <w:szCs w:val="21"/>
    </w:rPr>
  </w:style>
  <w:style w:type="character" w:customStyle="1" w:styleId="2390">
    <w:name w:val="二级序号 Char"/>
    <w:autoRedefine/>
    <w:qFormat/>
    <w:uiPriority w:val="0"/>
    <w:rPr>
      <w:rFonts w:eastAsia="宋体"/>
      <w:spacing w:val="20"/>
      <w:kern w:val="2"/>
      <w:sz w:val="24"/>
      <w:szCs w:val="24"/>
      <w:lang w:val="en-US" w:eastAsia="zh-CN" w:bidi="ar-SA"/>
    </w:rPr>
  </w:style>
  <w:style w:type="character" w:customStyle="1" w:styleId="2391">
    <w:name w:val="签名 Char2"/>
    <w:autoRedefine/>
    <w:qFormat/>
    <w:uiPriority w:val="0"/>
    <w:rPr>
      <w:kern w:val="2"/>
      <w:sz w:val="24"/>
      <w:szCs w:val="24"/>
    </w:rPr>
  </w:style>
  <w:style w:type="character" w:customStyle="1" w:styleId="2392">
    <w:name w:val="副标题 Char1"/>
    <w:autoRedefine/>
    <w:qFormat/>
    <w:uiPriority w:val="0"/>
    <w:rPr>
      <w:rFonts w:ascii="Cambria" w:hAnsi="Cambria" w:cs="Times New Roman"/>
      <w:b/>
      <w:bCs/>
      <w:kern w:val="28"/>
      <w:sz w:val="32"/>
      <w:szCs w:val="32"/>
      <w:lang w:bidi="ar-SA"/>
    </w:rPr>
  </w:style>
  <w:style w:type="character" w:customStyle="1" w:styleId="2393">
    <w:name w:val="页眉 Char4"/>
    <w:autoRedefine/>
    <w:semiHidden/>
    <w:qFormat/>
    <w:uiPriority w:val="99"/>
    <w:rPr>
      <w:rFonts w:ascii="Calibri" w:hAnsi="Calibri" w:eastAsia="宋体" w:cs="Times New Roman"/>
      <w:kern w:val="0"/>
      <w:sz w:val="18"/>
      <w:szCs w:val="18"/>
    </w:rPr>
  </w:style>
  <w:style w:type="character" w:customStyle="1" w:styleId="2394">
    <w:name w:val="江波正文 Char"/>
    <w:autoRedefine/>
    <w:semiHidden/>
    <w:qFormat/>
    <w:uiPriority w:val="0"/>
    <w:rPr>
      <w:rFonts w:hAnsi="仿宋_GB2312" w:eastAsia="仿宋_GB2312"/>
      <w:kern w:val="2"/>
      <w:sz w:val="28"/>
      <w:szCs w:val="28"/>
      <w:lang w:val="en-US" w:eastAsia="zh-CN" w:bidi="ar-SA"/>
    </w:rPr>
  </w:style>
  <w:style w:type="paragraph" w:customStyle="1" w:styleId="2395">
    <w:name w:val="标题 3YHY"/>
    <w:basedOn w:val="5"/>
    <w:next w:val="450"/>
    <w:link w:val="2396"/>
    <w:autoRedefine/>
    <w:qFormat/>
    <w:uiPriority w:val="0"/>
    <w:pPr>
      <w:keepNext w:val="0"/>
      <w:keepLines w:val="0"/>
      <w:widowControl/>
      <w:numPr>
        <w:numId w:val="33"/>
      </w:numPr>
      <w:adjustRightInd w:val="0"/>
      <w:snapToGrid w:val="0"/>
      <w:spacing w:beforeLines="50" w:afterLines="50" w:line="360" w:lineRule="auto"/>
      <w:jc w:val="left"/>
    </w:pPr>
    <w:rPr>
      <w:rFonts w:ascii="Calibri" w:hAnsi="Calibri" w:eastAsia="宋体" w:cs="Arial Unicode MS"/>
      <w:bCs w:val="0"/>
      <w:iCs/>
      <w:smallCaps/>
      <w:color w:val="000000"/>
      <w:spacing w:val="5"/>
      <w:kern w:val="0"/>
      <w:sz w:val="24"/>
      <w:szCs w:val="24"/>
    </w:rPr>
  </w:style>
  <w:style w:type="character" w:customStyle="1" w:styleId="2396">
    <w:name w:val="标题 3YHY Char"/>
    <w:link w:val="2395"/>
    <w:autoRedefine/>
    <w:qFormat/>
    <w:uiPriority w:val="0"/>
    <w:rPr>
      <w:rFonts w:ascii="Calibri" w:hAnsi="Calibri" w:cs="Arial Unicode MS"/>
      <w:b/>
      <w:iCs/>
      <w:smallCaps/>
      <w:color w:val="000000"/>
      <w:spacing w:val="5"/>
      <w:sz w:val="24"/>
      <w:szCs w:val="24"/>
    </w:rPr>
  </w:style>
  <w:style w:type="paragraph" w:customStyle="1" w:styleId="2397">
    <w:name w:val="样式50"/>
    <w:basedOn w:val="1"/>
    <w:link w:val="2398"/>
    <w:autoRedefine/>
    <w:qFormat/>
    <w:uiPriority w:val="99"/>
    <w:pPr>
      <w:keepNext/>
      <w:keepLines/>
      <w:widowControl/>
      <w:tabs>
        <w:tab w:val="left" w:pos="540"/>
        <w:tab w:val="left" w:pos="720"/>
      </w:tabs>
      <w:spacing w:before="50" w:after="50" w:line="360" w:lineRule="auto"/>
      <w:ind w:left="720" w:hanging="720"/>
      <w:jc w:val="left"/>
      <w:outlineLvl w:val="1"/>
    </w:pPr>
    <w:rPr>
      <w:rFonts w:ascii="宋体" w:hAnsi="宋体" w:cs="MS Sans Serif"/>
      <w:b/>
      <w:color w:val="000000"/>
      <w:kern w:val="0"/>
      <w:sz w:val="28"/>
      <w:szCs w:val="20"/>
    </w:rPr>
  </w:style>
  <w:style w:type="character" w:customStyle="1" w:styleId="2398">
    <w:name w:val="样式50 Char"/>
    <w:link w:val="2397"/>
    <w:autoRedefine/>
    <w:qFormat/>
    <w:uiPriority w:val="99"/>
    <w:rPr>
      <w:rFonts w:ascii="宋体" w:hAnsi="宋体" w:cs="MS Sans Serif"/>
      <w:b/>
      <w:color w:val="000000"/>
      <w:sz w:val="28"/>
    </w:rPr>
  </w:style>
  <w:style w:type="paragraph" w:customStyle="1" w:styleId="2399">
    <w:name w:val="样式 宋体 小四 加粗 行距: 1.5 倍行距"/>
    <w:basedOn w:val="1"/>
    <w:autoRedefine/>
    <w:qFormat/>
    <w:uiPriority w:val="0"/>
    <w:pPr>
      <w:widowControl/>
      <w:spacing w:line="360" w:lineRule="auto"/>
      <w:ind w:right="210" w:rightChars="100" w:firstLine="480"/>
      <w:jc w:val="left"/>
    </w:pPr>
    <w:rPr>
      <w:rFonts w:hAnsi="宋体" w:cstheme="majorBidi"/>
      <w:bCs/>
      <w:color w:val="FF00FF"/>
      <w:kern w:val="0"/>
    </w:rPr>
  </w:style>
  <w:style w:type="paragraph" w:customStyle="1" w:styleId="2400">
    <w:name w:val="强条"/>
    <w:basedOn w:val="2401"/>
    <w:link w:val="2402"/>
    <w:qFormat/>
    <w:uiPriority w:val="0"/>
    <w:rPr>
      <w:rFonts w:ascii="黑体" w:eastAsia="黑体"/>
    </w:rPr>
  </w:style>
  <w:style w:type="paragraph" w:customStyle="1" w:styleId="2401">
    <w:name w:val="正文 文本"/>
    <w:basedOn w:val="86"/>
    <w:link w:val="2635"/>
    <w:autoRedefine/>
    <w:qFormat/>
    <w:uiPriority w:val="0"/>
    <w:pPr>
      <w:widowControl/>
      <w:adjustRightInd/>
      <w:snapToGrid/>
      <w:spacing w:after="120" w:line="288" w:lineRule="auto"/>
      <w:ind w:firstLine="480"/>
      <w:jc w:val="left"/>
    </w:pPr>
    <w:rPr>
      <w:rFonts w:cstheme="majorBidi"/>
      <w:kern w:val="0"/>
      <w:sz w:val="24"/>
      <w:lang w:val="zh-CN"/>
    </w:rPr>
  </w:style>
  <w:style w:type="character" w:customStyle="1" w:styleId="2402">
    <w:name w:val="强条 Char"/>
    <w:link w:val="2400"/>
    <w:autoRedefine/>
    <w:qFormat/>
    <w:uiPriority w:val="0"/>
    <w:rPr>
      <w:rFonts w:ascii="黑体" w:eastAsia="黑体" w:cstheme="majorBidi"/>
      <w:sz w:val="24"/>
      <w:szCs w:val="24"/>
      <w:lang w:val="zh-CN"/>
    </w:rPr>
  </w:style>
  <w:style w:type="paragraph" w:customStyle="1" w:styleId="2403">
    <w:name w:val="引言"/>
    <w:basedOn w:val="1"/>
    <w:next w:val="1"/>
    <w:autoRedefine/>
    <w:qFormat/>
    <w:uiPriority w:val="0"/>
    <w:pPr>
      <w:widowControl/>
      <w:spacing w:line="360" w:lineRule="auto"/>
      <w:jc w:val="center"/>
    </w:pPr>
    <w:rPr>
      <w:rFonts w:cstheme="majorBidi"/>
      <w:bCs/>
      <w:kern w:val="0"/>
      <w:szCs w:val="21"/>
    </w:rPr>
  </w:style>
  <w:style w:type="paragraph" w:customStyle="1" w:styleId="2404">
    <w:name w:val="GB-1"/>
    <w:autoRedefine/>
    <w:qFormat/>
    <w:uiPriority w:val="0"/>
    <w:pPr>
      <w:keepNext/>
      <w:autoSpaceDE w:val="0"/>
      <w:autoSpaceDN w:val="0"/>
      <w:spacing w:beforeLines="50" w:afterLines="50" w:line="360" w:lineRule="auto"/>
      <w:outlineLvl w:val="0"/>
    </w:pPr>
    <w:rPr>
      <w:rFonts w:ascii="黑体" w:hAnsi="Times New Roman" w:eastAsia="黑体" w:cstheme="majorBidi"/>
      <w:sz w:val="21"/>
      <w:szCs w:val="21"/>
      <w:lang w:val="en-US" w:eastAsia="zh-CN" w:bidi="ar-SA"/>
    </w:rPr>
  </w:style>
  <w:style w:type="paragraph" w:customStyle="1" w:styleId="2405">
    <w:name w:val="中文报告书"/>
    <w:basedOn w:val="1"/>
    <w:autoRedefine/>
    <w:qFormat/>
    <w:uiPriority w:val="0"/>
    <w:pPr>
      <w:widowControl/>
      <w:adjustRightInd w:val="0"/>
      <w:spacing w:after="80" w:line="420" w:lineRule="atLeast"/>
      <w:jc w:val="left"/>
      <w:textAlignment w:val="baseline"/>
    </w:pPr>
    <w:rPr>
      <w:rFonts w:cstheme="majorBidi"/>
      <w:kern w:val="0"/>
      <w:szCs w:val="20"/>
    </w:rPr>
  </w:style>
  <w:style w:type="paragraph" w:customStyle="1" w:styleId="2406">
    <w:name w:val="标题一（无序号）"/>
    <w:basedOn w:val="1"/>
    <w:autoRedefine/>
    <w:qFormat/>
    <w:uiPriority w:val="0"/>
    <w:pPr>
      <w:keepNext/>
      <w:keepLines/>
      <w:widowControl/>
      <w:adjustRightInd w:val="0"/>
      <w:snapToGrid w:val="0"/>
      <w:spacing w:before="600" w:after="720" w:line="400" w:lineRule="atLeast"/>
      <w:jc w:val="center"/>
      <w:outlineLvl w:val="0"/>
    </w:pPr>
    <w:rPr>
      <w:rFonts w:ascii="黑体" w:hAnsi="宋体" w:eastAsia="黑体" w:cs="宋体"/>
      <w:bCs/>
      <w:kern w:val="44"/>
      <w:sz w:val="30"/>
      <w:szCs w:val="20"/>
    </w:rPr>
  </w:style>
  <w:style w:type="paragraph" w:customStyle="1" w:styleId="2407">
    <w:name w:val="061209正文样式"/>
    <w:basedOn w:val="21"/>
    <w:link w:val="2408"/>
    <w:qFormat/>
    <w:uiPriority w:val="0"/>
    <w:pPr>
      <w:widowControl/>
      <w:adjustRightInd w:val="0"/>
      <w:snapToGrid w:val="0"/>
      <w:spacing w:line="360" w:lineRule="auto"/>
      <w:ind w:firstLine="560"/>
      <w:textAlignment w:val="center"/>
    </w:pPr>
    <w:rPr>
      <w:rFonts w:ascii="宋体" w:hAnsi="宋体" w:cstheme="majorBidi"/>
      <w:bCs/>
      <w:kern w:val="0"/>
      <w:sz w:val="28"/>
      <w:szCs w:val="28"/>
    </w:rPr>
  </w:style>
  <w:style w:type="character" w:customStyle="1" w:styleId="2408">
    <w:name w:val="061209正文样式 Char Char"/>
    <w:link w:val="2407"/>
    <w:autoRedefine/>
    <w:qFormat/>
    <w:uiPriority w:val="0"/>
    <w:rPr>
      <w:rFonts w:ascii="宋体" w:hAnsi="宋体" w:cstheme="majorBidi"/>
      <w:b/>
      <w:bCs/>
      <w:color w:val="000000" w:themeColor="text1"/>
      <w:sz w:val="28"/>
      <w:szCs w:val="28"/>
      <w14:textFill>
        <w14:solidFill>
          <w14:schemeClr w14:val="tx1"/>
        </w14:solidFill>
      </w14:textFill>
    </w:rPr>
  </w:style>
  <w:style w:type="paragraph" w:customStyle="1" w:styleId="2409">
    <w:name w:val="CM73"/>
    <w:basedOn w:val="179"/>
    <w:next w:val="179"/>
    <w:autoRedefine/>
    <w:qFormat/>
    <w:uiPriority w:val="0"/>
    <w:pPr>
      <w:spacing w:after="340" w:line="360" w:lineRule="auto"/>
    </w:pPr>
    <w:rPr>
      <w:rFonts w:ascii="华文中宋" w:eastAsia="华文中宋" w:cs="Times New Roman"/>
      <w:color w:val="auto"/>
    </w:rPr>
  </w:style>
  <w:style w:type="paragraph" w:customStyle="1" w:styleId="2410">
    <w:name w:val="7表格(治)"/>
    <w:link w:val="2411"/>
    <w:autoRedefine/>
    <w:qFormat/>
    <w:uiPriority w:val="0"/>
    <w:pPr>
      <w:snapToGrid w:val="0"/>
      <w:jc w:val="center"/>
    </w:pPr>
    <w:rPr>
      <w:rFonts w:ascii="Times New Roman" w:hAnsi="Times New Roman" w:eastAsia="宋体" w:cs="Times New Roman"/>
      <w:b/>
      <w:color w:val="000000"/>
      <w:sz w:val="18"/>
      <w:szCs w:val="21"/>
      <w:lang w:val="en-US" w:eastAsia="zh-CN" w:bidi="ar-SA"/>
    </w:rPr>
  </w:style>
  <w:style w:type="character" w:customStyle="1" w:styleId="2411">
    <w:name w:val="7表格(治) Char"/>
    <w:link w:val="2410"/>
    <w:autoRedefine/>
    <w:uiPriority w:val="0"/>
    <w:rPr>
      <w:b/>
      <w:color w:val="000000"/>
      <w:sz w:val="18"/>
      <w:szCs w:val="21"/>
    </w:rPr>
  </w:style>
  <w:style w:type="character" w:customStyle="1" w:styleId="2412">
    <w:name w:val="图表正文 Char"/>
    <w:link w:val="578"/>
    <w:autoRedefine/>
    <w:qFormat/>
    <w:uiPriority w:val="0"/>
    <w:rPr>
      <w:rFonts w:ascii="宋体" w:hAnsi="宋体" w:cs="宋体"/>
      <w:sz w:val="21"/>
      <w:szCs w:val="21"/>
    </w:rPr>
  </w:style>
  <w:style w:type="paragraph" w:customStyle="1" w:styleId="2413">
    <w:name w:val="CM23"/>
    <w:basedOn w:val="179"/>
    <w:next w:val="179"/>
    <w:autoRedefine/>
    <w:qFormat/>
    <w:uiPriority w:val="0"/>
    <w:pPr>
      <w:spacing w:line="480" w:lineRule="atLeast"/>
    </w:pPr>
    <w:rPr>
      <w:rFonts w:ascii="华文中宋" w:eastAsia="华文中宋" w:cs="Times New Roman"/>
      <w:color w:val="auto"/>
    </w:rPr>
  </w:style>
  <w:style w:type="paragraph" w:customStyle="1" w:styleId="2414">
    <w:name w:val="公式样式1"/>
    <w:basedOn w:val="1"/>
    <w:qFormat/>
    <w:uiPriority w:val="0"/>
    <w:pPr>
      <w:widowControl/>
      <w:spacing w:line="360" w:lineRule="auto"/>
      <w:ind w:firstLine="235"/>
      <w:jc w:val="left"/>
    </w:pPr>
    <w:rPr>
      <w:rFonts w:cstheme="majorBidi"/>
      <w:kern w:val="0"/>
      <w:szCs w:val="20"/>
    </w:rPr>
  </w:style>
  <w:style w:type="character" w:customStyle="1" w:styleId="2415">
    <w:name w:val="文章 Char1"/>
    <w:link w:val="1009"/>
    <w:autoRedefine/>
    <w:qFormat/>
    <w:uiPriority w:val="0"/>
    <w:rPr>
      <w:rFonts w:ascii="宋体" w:hAnsi="Garamond"/>
      <w:spacing w:val="2"/>
      <w:kern w:val="2"/>
      <w:sz w:val="24"/>
      <w:szCs w:val="24"/>
    </w:rPr>
  </w:style>
  <w:style w:type="paragraph" w:customStyle="1" w:styleId="2416">
    <w:name w:val="表头HYL"/>
    <w:basedOn w:val="1"/>
    <w:autoRedefine/>
    <w:qFormat/>
    <w:uiPriority w:val="0"/>
    <w:pPr>
      <w:widowControl/>
      <w:spacing w:line="360" w:lineRule="auto"/>
      <w:jc w:val="center"/>
    </w:pPr>
    <w:rPr>
      <w:rFonts w:ascii="黑体" w:hAnsi="宋体" w:eastAsia="黑体" w:cs="宋体"/>
      <w:kern w:val="0"/>
      <w:szCs w:val="21"/>
    </w:rPr>
  </w:style>
  <w:style w:type="paragraph" w:customStyle="1" w:styleId="2417">
    <w:name w:val="表内式样"/>
    <w:link w:val="2418"/>
    <w:autoRedefine/>
    <w:qFormat/>
    <w:uiPriority w:val="0"/>
    <w:pPr>
      <w:widowControl w:val="0"/>
      <w:spacing w:line="360" w:lineRule="auto"/>
      <w:jc w:val="center"/>
    </w:pPr>
    <w:rPr>
      <w:rFonts w:ascii="Times New Roman" w:hAnsi="Times New Roman" w:eastAsiaTheme="majorEastAsia" w:cstheme="majorBidi"/>
      <w:kern w:val="2"/>
      <w:sz w:val="21"/>
      <w:szCs w:val="21"/>
      <w:lang w:val="en-US" w:eastAsia="zh-CN" w:bidi="ar-SA"/>
    </w:rPr>
  </w:style>
  <w:style w:type="character" w:customStyle="1" w:styleId="2418">
    <w:name w:val="表内式样 Char"/>
    <w:link w:val="2417"/>
    <w:autoRedefine/>
    <w:qFormat/>
    <w:uiPriority w:val="0"/>
    <w:rPr>
      <w:rFonts w:eastAsiaTheme="majorEastAsia" w:cstheme="majorBidi"/>
      <w:kern w:val="2"/>
      <w:sz w:val="21"/>
      <w:szCs w:val="21"/>
    </w:rPr>
  </w:style>
  <w:style w:type="paragraph" w:customStyle="1" w:styleId="2419">
    <w:name w:val="样式72"/>
    <w:basedOn w:val="1"/>
    <w:uiPriority w:val="0"/>
    <w:pPr>
      <w:widowControl/>
      <w:autoSpaceDE w:val="0"/>
      <w:autoSpaceDN w:val="0"/>
      <w:adjustRightInd w:val="0"/>
      <w:spacing w:beforeLines="50" w:afterLines="50" w:line="360" w:lineRule="auto"/>
      <w:jc w:val="center"/>
    </w:pPr>
    <w:rPr>
      <w:rFonts w:ascii="宋体" w:hAnsi="宋体" w:cs="MS Sans Serif"/>
      <w:b/>
      <w:color w:val="000000"/>
      <w:kern w:val="0"/>
      <w:szCs w:val="20"/>
    </w:rPr>
  </w:style>
  <w:style w:type="paragraph" w:customStyle="1" w:styleId="2420">
    <w:name w:val="电镀正文"/>
    <w:basedOn w:val="21"/>
    <w:link w:val="2421"/>
    <w:qFormat/>
    <w:uiPriority w:val="0"/>
    <w:pPr>
      <w:widowControl/>
      <w:spacing w:line="312" w:lineRule="auto"/>
      <w:ind w:firstLine="200"/>
    </w:pPr>
    <w:rPr>
      <w:rFonts w:ascii="宋体" w:hAnsi="宋体" w:cstheme="majorBidi"/>
      <w:kern w:val="0"/>
    </w:rPr>
  </w:style>
  <w:style w:type="character" w:customStyle="1" w:styleId="2421">
    <w:name w:val="电镀正文 Char"/>
    <w:link w:val="2420"/>
    <w:autoRedefine/>
    <w:qFormat/>
    <w:uiPriority w:val="0"/>
    <w:rPr>
      <w:rFonts w:ascii="宋体" w:hAnsi="宋体" w:cstheme="majorBidi"/>
      <w:b/>
      <w:color w:val="000000" w:themeColor="text1"/>
      <w:sz w:val="24"/>
      <w:szCs w:val="24"/>
      <w14:textFill>
        <w14:solidFill>
          <w14:schemeClr w14:val="tx1"/>
        </w14:solidFill>
      </w14:textFill>
    </w:rPr>
  </w:style>
  <w:style w:type="paragraph" w:customStyle="1" w:styleId="2422">
    <w:name w:val="公文正文"/>
    <w:basedOn w:val="1"/>
    <w:autoRedefine/>
    <w:qFormat/>
    <w:uiPriority w:val="99"/>
    <w:pPr>
      <w:widowControl/>
      <w:spacing w:line="600" w:lineRule="exact"/>
      <w:jc w:val="left"/>
    </w:pPr>
    <w:rPr>
      <w:rFonts w:eastAsia="方正仿宋_GBK" w:cstheme="majorBidi"/>
      <w:kern w:val="0"/>
      <w:sz w:val="32"/>
    </w:rPr>
  </w:style>
  <w:style w:type="paragraph" w:customStyle="1" w:styleId="2423">
    <w:name w:val="报告表正文"/>
    <w:basedOn w:val="1"/>
    <w:autoRedefine/>
    <w:qFormat/>
    <w:uiPriority w:val="0"/>
    <w:pPr>
      <w:widowControl/>
      <w:adjustRightInd w:val="0"/>
      <w:spacing w:line="300" w:lineRule="auto"/>
      <w:ind w:left="113" w:right="113"/>
      <w:jc w:val="left"/>
      <w:textAlignment w:val="baseline"/>
    </w:pPr>
    <w:rPr>
      <w:rFonts w:cstheme="majorBidi"/>
      <w:kern w:val="0"/>
      <w:szCs w:val="20"/>
    </w:rPr>
  </w:style>
  <w:style w:type="paragraph" w:customStyle="1" w:styleId="2424">
    <w:name w:val="无间隔11"/>
    <w:autoRedefine/>
    <w:qFormat/>
    <w:uiPriority w:val="0"/>
    <w:pPr>
      <w:widowControl w:val="0"/>
      <w:spacing w:line="360" w:lineRule="auto"/>
      <w:ind w:firstLine="465"/>
      <w:jc w:val="both"/>
    </w:pPr>
    <w:rPr>
      <w:rFonts w:ascii="等线" w:hAnsi="等线" w:eastAsia="等线" w:cstheme="majorBidi"/>
      <w:kern w:val="2"/>
      <w:sz w:val="24"/>
      <w:szCs w:val="22"/>
      <w:lang w:val="en-US" w:eastAsia="zh-CN" w:bidi="ar-SA"/>
    </w:rPr>
  </w:style>
  <w:style w:type="paragraph" w:customStyle="1" w:styleId="2425">
    <w:name w:val="样式 正文文本 + 首行缩进:  2 字符"/>
    <w:basedOn w:val="34"/>
    <w:link w:val="2426"/>
    <w:autoRedefine/>
    <w:qFormat/>
    <w:uiPriority w:val="0"/>
    <w:pPr>
      <w:widowControl/>
      <w:spacing w:line="420" w:lineRule="auto"/>
      <w:ind w:firstLine="560" w:firstLineChars="200"/>
      <w:jc w:val="left"/>
    </w:pPr>
    <w:rPr>
      <w:rFonts w:cs="宋体"/>
      <w:kern w:val="0"/>
      <w:sz w:val="24"/>
    </w:rPr>
  </w:style>
  <w:style w:type="character" w:customStyle="1" w:styleId="2426">
    <w:name w:val="样式 正文文本 + 首行缩进:  2 字符 Char"/>
    <w:link w:val="2425"/>
    <w:autoRedefine/>
    <w:qFormat/>
    <w:uiPriority w:val="0"/>
    <w:rPr>
      <w:rFonts w:cs="宋体"/>
      <w:sz w:val="24"/>
      <w:szCs w:val="24"/>
    </w:rPr>
  </w:style>
  <w:style w:type="character" w:customStyle="1" w:styleId="2427">
    <w:name w:val="正文文本 Char5"/>
    <w:basedOn w:val="133"/>
    <w:autoRedefine/>
    <w:semiHidden/>
    <w:qFormat/>
    <w:uiPriority w:val="99"/>
  </w:style>
  <w:style w:type="paragraph" w:customStyle="1" w:styleId="2428">
    <w:name w:val="自动表头"/>
    <w:basedOn w:val="1"/>
    <w:link w:val="2429"/>
    <w:autoRedefine/>
    <w:qFormat/>
    <w:uiPriority w:val="0"/>
    <w:pPr>
      <w:widowControl/>
      <w:autoSpaceDE w:val="0"/>
      <w:autoSpaceDN w:val="0"/>
      <w:adjustRightInd w:val="0"/>
      <w:spacing w:before="50" w:after="50" w:line="440" w:lineRule="exact"/>
      <w:ind w:firstLine="538" w:firstLineChars="255"/>
      <w:jc w:val="left"/>
    </w:pPr>
    <w:rPr>
      <w:rFonts w:eastAsia="黑体" w:cstheme="majorBidi"/>
      <w:b/>
      <w:kern w:val="0"/>
      <w:sz w:val="20"/>
      <w:szCs w:val="21"/>
    </w:rPr>
  </w:style>
  <w:style w:type="character" w:customStyle="1" w:styleId="2429">
    <w:name w:val="自动表头 Char"/>
    <w:link w:val="2428"/>
    <w:autoRedefine/>
    <w:qFormat/>
    <w:uiPriority w:val="0"/>
    <w:rPr>
      <w:rFonts w:eastAsia="黑体" w:cstheme="majorBidi"/>
      <w:b/>
      <w:szCs w:val="21"/>
    </w:rPr>
  </w:style>
  <w:style w:type="paragraph" w:customStyle="1" w:styleId="2430">
    <w:name w:val="样式 第三标题 + 宋体"/>
    <w:basedOn w:val="2431"/>
    <w:autoRedefine/>
    <w:qFormat/>
    <w:uiPriority w:val="0"/>
    <w:pPr>
      <w:keepNext/>
      <w:tabs>
        <w:tab w:val="left" w:pos="720"/>
      </w:tabs>
      <w:snapToGrid/>
    </w:pPr>
    <w:rPr>
      <w:rFonts w:ascii="宋体"/>
      <w:b w:val="0"/>
      <w:bCs/>
      <w:color w:val="000000"/>
      <w:sz w:val="32"/>
      <w:szCs w:val="32"/>
    </w:rPr>
  </w:style>
  <w:style w:type="paragraph" w:customStyle="1" w:styleId="2431">
    <w:name w:val="第三标题"/>
    <w:basedOn w:val="5"/>
    <w:autoRedefine/>
    <w:qFormat/>
    <w:uiPriority w:val="0"/>
    <w:pPr>
      <w:keepNext w:val="0"/>
      <w:keepLines w:val="0"/>
      <w:widowControl/>
      <w:numPr>
        <w:ilvl w:val="0"/>
        <w:numId w:val="0"/>
      </w:numPr>
      <w:tabs>
        <w:tab w:val="left" w:pos="720"/>
      </w:tabs>
      <w:adjustRightInd w:val="0"/>
      <w:snapToGrid w:val="0"/>
      <w:spacing w:beforeLines="50" w:afterLines="50" w:line="360" w:lineRule="auto"/>
      <w:ind w:firstLine="200"/>
      <w:jc w:val="left"/>
    </w:pPr>
    <w:rPr>
      <w:rFonts w:ascii="Calibri" w:hAnsi="Calibri" w:cs="Arial"/>
      <w:bCs w:val="0"/>
      <w:iCs/>
      <w:smallCaps/>
      <w:spacing w:val="5"/>
      <w:kern w:val="0"/>
      <w:sz w:val="28"/>
    </w:rPr>
  </w:style>
  <w:style w:type="paragraph" w:customStyle="1" w:styleId="2432">
    <w:name w:val="样式53"/>
    <w:basedOn w:val="622"/>
    <w:link w:val="2433"/>
    <w:autoRedefine/>
    <w:qFormat/>
    <w:uiPriority w:val="0"/>
    <w:pPr>
      <w:widowControl/>
      <w:tabs>
        <w:tab w:val="left" w:pos="-480"/>
      </w:tabs>
      <w:jc w:val="left"/>
    </w:pPr>
    <w:rPr>
      <w:rFonts w:ascii="宋体" w:hAnsi="宋体" w:eastAsia="宋体" w:cstheme="majorBidi"/>
      <w:kern w:val="0"/>
    </w:rPr>
  </w:style>
  <w:style w:type="character" w:customStyle="1" w:styleId="2433">
    <w:name w:val="样式53 Char"/>
    <w:link w:val="2432"/>
    <w:autoRedefine/>
    <w:qFormat/>
    <w:uiPriority w:val="0"/>
    <w:rPr>
      <w:rFonts w:ascii="宋体" w:hAnsi="宋体" w:cstheme="majorBidi"/>
      <w:sz w:val="24"/>
      <w:szCs w:val="24"/>
    </w:rPr>
  </w:style>
  <w:style w:type="paragraph" w:customStyle="1" w:styleId="2434">
    <w:name w:val="CM45"/>
    <w:basedOn w:val="179"/>
    <w:next w:val="179"/>
    <w:autoRedefine/>
    <w:qFormat/>
    <w:uiPriority w:val="0"/>
    <w:pPr>
      <w:spacing w:line="500" w:lineRule="atLeast"/>
    </w:pPr>
    <w:rPr>
      <w:rFonts w:ascii="仿宋_GB2312" w:hAnsi="Calibri" w:eastAsia="仿宋_GB2312" w:cs="Times New Roman"/>
      <w:color w:val="auto"/>
      <w:szCs w:val="20"/>
    </w:rPr>
  </w:style>
  <w:style w:type="paragraph" w:customStyle="1" w:styleId="2435">
    <w:name w:val="样式 标题 1 + 黑体"/>
    <w:basedOn w:val="3"/>
    <w:link w:val="2436"/>
    <w:autoRedefine/>
    <w:qFormat/>
    <w:uiPriority w:val="0"/>
    <w:pPr>
      <w:keepNext w:val="0"/>
      <w:widowControl/>
      <w:numPr>
        <w:numId w:val="33"/>
      </w:numPr>
      <w:tabs>
        <w:tab w:val="left" w:pos="432"/>
        <w:tab w:val="clear" w:pos="0"/>
      </w:tabs>
      <w:autoSpaceDE w:val="0"/>
      <w:autoSpaceDN w:val="0"/>
      <w:adjustRightInd w:val="0"/>
      <w:snapToGrid w:val="0"/>
      <w:spacing w:line="360" w:lineRule="auto"/>
      <w:contextualSpacing/>
      <w:jc w:val="left"/>
    </w:pPr>
    <w:rPr>
      <w:rFonts w:ascii="黑体" w:hAnsi="黑体" w:cstheme="majorBidi"/>
      <w:smallCaps/>
      <w:spacing w:val="5"/>
      <w:kern w:val="0"/>
      <w:sz w:val="30"/>
      <w:lang w:val="zh-CN"/>
    </w:rPr>
  </w:style>
  <w:style w:type="character" w:customStyle="1" w:styleId="2436">
    <w:name w:val="样式 标题 1 + 黑体 Char"/>
    <w:link w:val="2435"/>
    <w:qFormat/>
    <w:uiPriority w:val="0"/>
    <w:rPr>
      <w:rFonts w:ascii="黑体" w:hAnsi="黑体" w:eastAsia="黑体" w:cstheme="majorBidi"/>
      <w:b/>
      <w:smallCaps/>
      <w:spacing w:val="5"/>
      <w:sz w:val="30"/>
      <w:szCs w:val="36"/>
      <w:lang w:val="zh-CN"/>
    </w:rPr>
  </w:style>
  <w:style w:type="paragraph" w:customStyle="1" w:styleId="2437">
    <w:name w:val="样式79"/>
    <w:basedOn w:val="1"/>
    <w:autoRedefine/>
    <w:qFormat/>
    <w:uiPriority w:val="0"/>
    <w:pPr>
      <w:keepNext/>
      <w:keepLines/>
      <w:widowControl/>
      <w:spacing w:beforeLines="50" w:afterLines="50" w:line="360" w:lineRule="auto"/>
      <w:jc w:val="left"/>
      <w:outlineLvl w:val="0"/>
    </w:pPr>
    <w:rPr>
      <w:rFonts w:eastAsia="黑体" w:cstheme="majorBidi"/>
      <w:bCs/>
      <w:kern w:val="44"/>
      <w:sz w:val="32"/>
      <w:szCs w:val="32"/>
    </w:rPr>
  </w:style>
  <w:style w:type="paragraph" w:customStyle="1" w:styleId="2438">
    <w:name w:val="封面正文"/>
    <w:autoRedefine/>
    <w:qFormat/>
    <w:uiPriority w:val="0"/>
    <w:pPr>
      <w:spacing w:line="360" w:lineRule="auto"/>
      <w:jc w:val="both"/>
    </w:pPr>
    <w:rPr>
      <w:rFonts w:asciiTheme="majorHAnsi" w:hAnsiTheme="majorHAnsi" w:eastAsiaTheme="majorEastAsia" w:cstheme="majorBidi"/>
      <w:sz w:val="22"/>
      <w:szCs w:val="22"/>
      <w:lang w:val="en-US" w:eastAsia="zh-CN" w:bidi="ar-SA"/>
    </w:rPr>
  </w:style>
  <w:style w:type="paragraph" w:customStyle="1" w:styleId="2439">
    <w:name w:val="环评标题2.."/>
    <w:basedOn w:val="3"/>
    <w:next w:val="1"/>
    <w:autoRedefine/>
    <w:semiHidden/>
    <w:qFormat/>
    <w:uiPriority w:val="99"/>
    <w:pPr>
      <w:keepNext w:val="0"/>
      <w:widowControl/>
      <w:numPr>
        <w:numId w:val="0"/>
      </w:numPr>
      <w:tabs>
        <w:tab w:val="clear" w:pos="0"/>
      </w:tabs>
      <w:spacing w:before="156" w:after="156" w:line="360" w:lineRule="auto"/>
      <w:contextualSpacing/>
      <w:jc w:val="left"/>
    </w:pPr>
    <w:rPr>
      <w:rFonts w:cs="宋体"/>
      <w:b w:val="0"/>
      <w:bCs/>
      <w:smallCaps/>
      <w:spacing w:val="5"/>
      <w:kern w:val="0"/>
      <w:sz w:val="28"/>
      <w:szCs w:val="20"/>
    </w:rPr>
  </w:style>
  <w:style w:type="paragraph" w:customStyle="1" w:styleId="2440">
    <w:name w:val="样式 标题 2Se标题 21标题 121标题 2 Char1 Char节H2节标题 1.1节标题 1.1 Ch...1"/>
    <w:basedOn w:val="4"/>
    <w:autoRedefine/>
    <w:qFormat/>
    <w:uiPriority w:val="0"/>
    <w:pPr>
      <w:keepNext w:val="0"/>
      <w:keepLines w:val="0"/>
      <w:widowControl/>
      <w:numPr>
        <w:numId w:val="33"/>
      </w:numPr>
      <w:spacing w:before="156" w:after="156"/>
      <w:ind w:left="50" w:leftChars="50" w:right="105" w:rightChars="50"/>
      <w:jc w:val="left"/>
    </w:pPr>
    <w:rPr>
      <w:rFonts w:ascii="Arial" w:hAnsi="Arial" w:eastAsia="宋体" w:cs="宋体"/>
      <w:bCs w:val="0"/>
      <w:smallCaps/>
      <w:kern w:val="0"/>
      <w:sz w:val="28"/>
      <w:szCs w:val="20"/>
    </w:rPr>
  </w:style>
  <w:style w:type="paragraph" w:customStyle="1" w:styleId="2441">
    <w:name w:val="默认段落字体 Para Char Char Char Char Char Char Char Char Char Char Char Char Char Char Char Char Char Char Char"/>
    <w:basedOn w:val="5"/>
    <w:autoRedefine/>
    <w:qFormat/>
    <w:uiPriority w:val="0"/>
    <w:pPr>
      <w:keepNext w:val="0"/>
      <w:keepLines w:val="0"/>
      <w:widowControl/>
      <w:numPr>
        <w:ilvl w:val="0"/>
        <w:numId w:val="0"/>
      </w:numPr>
      <w:tabs>
        <w:tab w:val="left" w:pos="851"/>
        <w:tab w:val="left" w:pos="900"/>
      </w:tabs>
      <w:adjustRightInd w:val="0"/>
      <w:snapToGrid w:val="0"/>
      <w:spacing w:before="120" w:after="120" w:line="360" w:lineRule="auto"/>
      <w:ind w:left="-12" w:leftChars="-12" w:firstLine="200"/>
      <w:jc w:val="left"/>
    </w:pPr>
    <w:rPr>
      <w:rFonts w:ascii="宋体" w:hAnsi="宋体" w:eastAsia="仿宋_GB2312" w:cstheme="majorBidi"/>
      <w:b w:val="0"/>
      <w:iCs/>
      <w:smallCaps/>
      <w:spacing w:val="5"/>
      <w:kern w:val="0"/>
      <w:sz w:val="28"/>
      <w:szCs w:val="20"/>
    </w:rPr>
  </w:style>
  <w:style w:type="paragraph" w:customStyle="1" w:styleId="2442">
    <w:name w:val="样式89"/>
    <w:basedOn w:val="1"/>
    <w:autoRedefine/>
    <w:qFormat/>
    <w:uiPriority w:val="0"/>
    <w:pPr>
      <w:widowControl/>
      <w:adjustRightInd w:val="0"/>
      <w:spacing w:before="214" w:line="360" w:lineRule="auto"/>
      <w:jc w:val="center"/>
    </w:pPr>
    <w:rPr>
      <w:rFonts w:ascii="黑体" w:eastAsia="黑体" w:cstheme="majorBidi"/>
      <w:b/>
      <w:bCs/>
      <w:color w:val="000000"/>
      <w:kern w:val="0"/>
      <w:sz w:val="20"/>
      <w:szCs w:val="21"/>
    </w:rPr>
  </w:style>
  <w:style w:type="paragraph" w:customStyle="1" w:styleId="2443">
    <w:name w:val="样式 标题 2标题 2 Char + 自动设置 首行缩进:  1.13 厘米"/>
    <w:basedOn w:val="4"/>
    <w:link w:val="2444"/>
    <w:autoRedefine/>
    <w:qFormat/>
    <w:uiPriority w:val="0"/>
    <w:pPr>
      <w:keepNext w:val="0"/>
      <w:keepLines w:val="0"/>
      <w:widowControl/>
      <w:numPr>
        <w:ilvl w:val="0"/>
        <w:numId w:val="0"/>
      </w:numPr>
      <w:spacing w:line="500" w:lineRule="exact"/>
      <w:jc w:val="left"/>
    </w:pPr>
    <w:rPr>
      <w:rFonts w:ascii="T" w:hAnsi="T" w:cs="宋体"/>
      <w:b w:val="0"/>
      <w:bCs w:val="0"/>
      <w:smallCaps/>
      <w:kern w:val="0"/>
      <w:sz w:val="28"/>
      <w:szCs w:val="21"/>
    </w:rPr>
  </w:style>
  <w:style w:type="character" w:customStyle="1" w:styleId="2444">
    <w:name w:val="样式 标题 2标题 2 Char + 自动设置 首行缩进:  1.13 厘米 Char"/>
    <w:link w:val="2443"/>
    <w:autoRedefine/>
    <w:qFormat/>
    <w:uiPriority w:val="0"/>
    <w:rPr>
      <w:rFonts w:ascii="T" w:hAnsi="T" w:eastAsia="黑体" w:cs="宋体"/>
      <w:smallCaps/>
      <w:sz w:val="28"/>
      <w:szCs w:val="21"/>
    </w:rPr>
  </w:style>
  <w:style w:type="character" w:customStyle="1" w:styleId="2445">
    <w:name w:val="表号 Char2"/>
    <w:link w:val="785"/>
    <w:qFormat/>
    <w:uiPriority w:val="0"/>
    <w:rPr>
      <w:rFonts w:ascii="宋体"/>
      <w:spacing w:val="10"/>
      <w:sz w:val="21"/>
      <w:szCs w:val="24"/>
    </w:rPr>
  </w:style>
  <w:style w:type="paragraph" w:customStyle="1" w:styleId="2446">
    <w:name w:val="列表(L)"/>
    <w:basedOn w:val="66"/>
    <w:link w:val="2447"/>
    <w:autoRedefine/>
    <w:qFormat/>
    <w:uiPriority w:val="0"/>
    <w:pPr>
      <w:widowControl/>
      <w:snapToGrid w:val="0"/>
      <w:spacing w:line="360" w:lineRule="auto"/>
      <w:ind w:left="0" w:firstLine="0" w:firstLineChars="0"/>
      <w:jc w:val="left"/>
    </w:pPr>
    <w:rPr>
      <w:rFonts w:ascii="Calibri" w:hAnsi="Calibri" w:cs="宋体"/>
      <w:kern w:val="0"/>
      <w:sz w:val="20"/>
      <w:szCs w:val="20"/>
    </w:rPr>
  </w:style>
  <w:style w:type="character" w:customStyle="1" w:styleId="2447">
    <w:name w:val="列表(L) Char"/>
    <w:link w:val="2446"/>
    <w:autoRedefine/>
    <w:qFormat/>
    <w:uiPriority w:val="0"/>
    <w:rPr>
      <w:rFonts w:ascii="Calibri" w:hAnsi="Calibri" w:cs="宋体"/>
    </w:rPr>
  </w:style>
  <w:style w:type="paragraph" w:customStyle="1" w:styleId="2448">
    <w:name w:val="样式88"/>
    <w:basedOn w:val="1"/>
    <w:qFormat/>
    <w:uiPriority w:val="0"/>
    <w:pPr>
      <w:keepNext/>
      <w:keepLines/>
      <w:widowControl/>
      <w:adjustRightInd w:val="0"/>
      <w:spacing w:before="120" w:after="120" w:line="520" w:lineRule="exact"/>
      <w:jc w:val="left"/>
      <w:outlineLvl w:val="2"/>
    </w:pPr>
    <w:rPr>
      <w:rFonts w:ascii="宋体" w:hAnsi="宋体" w:eastAsia="黑体" w:cstheme="majorBidi"/>
      <w:b/>
      <w:kern w:val="0"/>
      <w:szCs w:val="20"/>
    </w:rPr>
  </w:style>
  <w:style w:type="paragraph" w:customStyle="1" w:styleId="2449">
    <w:name w:val="正缩1"/>
    <w:basedOn w:val="1"/>
    <w:link w:val="2450"/>
    <w:uiPriority w:val="0"/>
    <w:pPr>
      <w:widowControl/>
      <w:adjustRightInd w:val="0"/>
      <w:snapToGrid w:val="0"/>
      <w:spacing w:line="500" w:lineRule="exact"/>
      <w:ind w:firstLine="567"/>
      <w:jc w:val="left"/>
    </w:pPr>
    <w:rPr>
      <w:rFonts w:eastAsia="仿宋_GB2312" w:cstheme="majorBidi"/>
      <w:color w:val="000000"/>
      <w:kern w:val="0"/>
      <w:sz w:val="28"/>
      <w:szCs w:val="20"/>
    </w:rPr>
  </w:style>
  <w:style w:type="character" w:customStyle="1" w:styleId="2450">
    <w:name w:val="正缩1 Char"/>
    <w:link w:val="2449"/>
    <w:autoRedefine/>
    <w:qFormat/>
    <w:uiPriority w:val="0"/>
    <w:rPr>
      <w:rFonts w:eastAsia="仿宋_GB2312" w:cstheme="majorBidi"/>
      <w:color w:val="000000"/>
      <w:sz w:val="28"/>
    </w:rPr>
  </w:style>
  <w:style w:type="paragraph" w:customStyle="1" w:styleId="2451">
    <w:name w:val="正文格式 Char Char Char"/>
    <w:basedOn w:val="1"/>
    <w:link w:val="2452"/>
    <w:uiPriority w:val="0"/>
    <w:pPr>
      <w:widowControl/>
      <w:spacing w:line="360" w:lineRule="auto"/>
      <w:ind w:firstLine="482"/>
      <w:jc w:val="left"/>
    </w:pPr>
    <w:rPr>
      <w:rFonts w:ascii="宋体" w:cs="宋体"/>
      <w:kern w:val="0"/>
    </w:rPr>
  </w:style>
  <w:style w:type="character" w:customStyle="1" w:styleId="2452">
    <w:name w:val="正文格式 Char Char Char Char"/>
    <w:link w:val="2451"/>
    <w:qFormat/>
    <w:uiPriority w:val="0"/>
    <w:rPr>
      <w:rFonts w:ascii="宋体" w:cs="宋体"/>
      <w:sz w:val="24"/>
      <w:szCs w:val="24"/>
    </w:rPr>
  </w:style>
  <w:style w:type="paragraph" w:customStyle="1" w:styleId="2453">
    <w:name w:val="海南化工城正文"/>
    <w:basedOn w:val="1"/>
    <w:link w:val="2454"/>
    <w:autoRedefine/>
    <w:qFormat/>
    <w:uiPriority w:val="0"/>
    <w:pPr>
      <w:widowControl/>
      <w:spacing w:line="324" w:lineRule="auto"/>
      <w:ind w:firstLine="480"/>
      <w:jc w:val="left"/>
    </w:pPr>
    <w:rPr>
      <w:rFonts w:ascii="宋体" w:hAnsi="宋体" w:cs="宋体"/>
      <w:kern w:val="0"/>
      <w:szCs w:val="20"/>
    </w:rPr>
  </w:style>
  <w:style w:type="character" w:customStyle="1" w:styleId="2454">
    <w:name w:val="海南化工城正文 Char"/>
    <w:link w:val="2453"/>
    <w:autoRedefine/>
    <w:qFormat/>
    <w:uiPriority w:val="0"/>
    <w:rPr>
      <w:rFonts w:ascii="宋体" w:hAnsi="宋体" w:cs="宋体"/>
      <w:sz w:val="24"/>
    </w:rPr>
  </w:style>
  <w:style w:type="paragraph" w:customStyle="1" w:styleId="2455">
    <w:name w:val="首行缩进（正文）"/>
    <w:basedOn w:val="1"/>
    <w:link w:val="2456"/>
    <w:autoRedefine/>
    <w:qFormat/>
    <w:uiPriority w:val="0"/>
    <w:pPr>
      <w:widowControl/>
      <w:spacing w:line="300" w:lineRule="auto"/>
      <w:ind w:firstLine="410" w:firstLineChars="171"/>
      <w:jc w:val="left"/>
    </w:pPr>
    <w:rPr>
      <w:rFonts w:ascii="宋体" w:hAnsi="宋体" w:cstheme="majorBidi"/>
      <w:kern w:val="0"/>
    </w:rPr>
  </w:style>
  <w:style w:type="character" w:customStyle="1" w:styleId="2456">
    <w:name w:val="首行缩进（正文） Char"/>
    <w:link w:val="2455"/>
    <w:autoRedefine/>
    <w:qFormat/>
    <w:uiPriority w:val="0"/>
    <w:rPr>
      <w:rFonts w:ascii="宋体" w:hAnsi="宋体" w:cstheme="majorBidi"/>
      <w:sz w:val="24"/>
      <w:szCs w:val="24"/>
    </w:rPr>
  </w:style>
  <w:style w:type="paragraph" w:customStyle="1" w:styleId="2457">
    <w:name w:val="样式141"/>
    <w:basedOn w:val="2458"/>
    <w:autoRedefine/>
    <w:qFormat/>
    <w:uiPriority w:val="0"/>
    <w:pPr>
      <w:keepNext/>
      <w:keepLines/>
      <w:spacing w:beforeLines="0" w:afterLines="0"/>
      <w:outlineLvl w:val="1"/>
    </w:pPr>
    <w:rPr>
      <w:rFonts w:ascii="黑体" w:hAnsi="黑体" w:eastAsia="黑体"/>
      <w:bCs/>
      <w:color w:val="000000"/>
      <w:sz w:val="28"/>
      <w:szCs w:val="24"/>
    </w:rPr>
  </w:style>
  <w:style w:type="paragraph" w:customStyle="1" w:styleId="2458">
    <w:name w:val="样式100"/>
    <w:basedOn w:val="1"/>
    <w:autoRedefine/>
    <w:semiHidden/>
    <w:uiPriority w:val="0"/>
    <w:pPr>
      <w:widowControl/>
      <w:spacing w:beforeLines="50" w:afterLines="100" w:line="360" w:lineRule="auto"/>
      <w:jc w:val="left"/>
    </w:pPr>
    <w:rPr>
      <w:rFonts w:cstheme="majorBidi"/>
      <w:b/>
      <w:kern w:val="0"/>
      <w:sz w:val="32"/>
      <w:szCs w:val="32"/>
    </w:rPr>
  </w:style>
  <w:style w:type="paragraph" w:customStyle="1" w:styleId="2459">
    <w:name w:val="段落样式"/>
    <w:basedOn w:val="1"/>
    <w:uiPriority w:val="0"/>
    <w:pPr>
      <w:keepNext/>
      <w:widowControl/>
      <w:suppressLineNumbers/>
      <w:suppressAutoHyphens/>
      <w:topLinePunct/>
      <w:adjustRightInd w:val="0"/>
      <w:snapToGrid w:val="0"/>
      <w:spacing w:line="360" w:lineRule="auto"/>
      <w:ind w:firstLine="482"/>
      <w:jc w:val="left"/>
      <w:textAlignment w:val="baseline"/>
    </w:pPr>
    <w:rPr>
      <w:rFonts w:cstheme="majorBidi"/>
      <w:color w:val="000000"/>
      <w:kern w:val="0"/>
    </w:rPr>
  </w:style>
  <w:style w:type="paragraph" w:customStyle="1" w:styleId="2460">
    <w:name w:val="样式 首行缩进:  2 字符 字符缩放: 100%"/>
    <w:basedOn w:val="1"/>
    <w:qFormat/>
    <w:uiPriority w:val="0"/>
    <w:pPr>
      <w:framePr w:hSpace="180" w:wrap="around" w:vAnchor="text" w:hAnchor="margin" w:xAlign="center" w:y="99"/>
      <w:widowControl/>
      <w:spacing w:line="360" w:lineRule="auto"/>
      <w:jc w:val="center"/>
    </w:pPr>
    <w:rPr>
      <w:rFonts w:cstheme="majorBidi"/>
      <w:kern w:val="0"/>
    </w:rPr>
  </w:style>
  <w:style w:type="paragraph" w:customStyle="1" w:styleId="2461">
    <w:name w:val="18"/>
    <w:basedOn w:val="1"/>
    <w:qFormat/>
    <w:uiPriority w:val="0"/>
    <w:pPr>
      <w:widowControl/>
      <w:spacing w:before="100" w:beforeAutospacing="1" w:after="100" w:afterAutospacing="1" w:line="440" w:lineRule="atLeast"/>
      <w:jc w:val="left"/>
    </w:pPr>
    <w:rPr>
      <w:rFonts w:hint="eastAsia" w:ascii="宋体" w:hAnsi="宋体" w:cstheme="majorBidi"/>
      <w:kern w:val="0"/>
    </w:rPr>
  </w:style>
  <w:style w:type="paragraph" w:customStyle="1" w:styleId="2462">
    <w:name w:val="WPS Plain"/>
    <w:uiPriority w:val="0"/>
    <w:pPr>
      <w:spacing w:line="360" w:lineRule="auto"/>
    </w:pPr>
    <w:rPr>
      <w:rFonts w:ascii="Times New Roman" w:hAnsi="Times New Roman" w:eastAsiaTheme="majorEastAsia" w:cstheme="majorBidi"/>
      <w:sz w:val="22"/>
      <w:szCs w:val="22"/>
      <w:lang w:val="en-US" w:eastAsia="zh-CN" w:bidi="ar-SA"/>
    </w:rPr>
  </w:style>
  <w:style w:type="paragraph" w:customStyle="1" w:styleId="2463">
    <w:name w:val="二级条标题 Char"/>
    <w:basedOn w:val="2464"/>
    <w:next w:val="1"/>
    <w:autoRedefine/>
    <w:qFormat/>
    <w:uiPriority w:val="0"/>
    <w:pPr>
      <w:tabs>
        <w:tab w:val="left" w:pos="360"/>
      </w:tabs>
      <w:ind w:left="735"/>
      <w:outlineLvl w:val="3"/>
    </w:pPr>
  </w:style>
  <w:style w:type="paragraph" w:customStyle="1" w:styleId="2464">
    <w:name w:val="一级条标题 Char"/>
    <w:basedOn w:val="1"/>
    <w:next w:val="1"/>
    <w:autoRedefine/>
    <w:qFormat/>
    <w:uiPriority w:val="0"/>
    <w:pPr>
      <w:widowControl/>
      <w:spacing w:line="360" w:lineRule="auto"/>
      <w:ind w:left="840"/>
      <w:jc w:val="left"/>
      <w:outlineLvl w:val="2"/>
    </w:pPr>
    <w:rPr>
      <w:rFonts w:ascii="黑体" w:eastAsia="黑体" w:cstheme="majorBidi"/>
      <w:kern w:val="0"/>
      <w:szCs w:val="20"/>
    </w:rPr>
  </w:style>
  <w:style w:type="paragraph" w:customStyle="1" w:styleId="2465">
    <w:name w:val="表1表2"/>
    <w:basedOn w:val="1"/>
    <w:qFormat/>
    <w:uiPriority w:val="0"/>
    <w:pPr>
      <w:widowControl/>
      <w:autoSpaceDE w:val="0"/>
      <w:autoSpaceDN w:val="0"/>
      <w:adjustRightInd w:val="0"/>
      <w:spacing w:line="360" w:lineRule="auto"/>
      <w:jc w:val="center"/>
      <w:textAlignment w:val="center"/>
    </w:pPr>
    <w:rPr>
      <w:rFonts w:eastAsia="仿宋_GB2312" w:cstheme="majorBidi"/>
      <w:kern w:val="0"/>
      <w:szCs w:val="21"/>
    </w:rPr>
  </w:style>
  <w:style w:type="paragraph" w:customStyle="1" w:styleId="2466">
    <w:name w:val="reader-word-layer reader-word-s1-22"/>
    <w:basedOn w:val="1"/>
    <w:autoRedefine/>
    <w:qFormat/>
    <w:uiPriority w:val="99"/>
    <w:pPr>
      <w:widowControl/>
      <w:spacing w:before="100" w:beforeAutospacing="1" w:after="100" w:afterAutospacing="1" w:line="360" w:lineRule="auto"/>
      <w:jc w:val="left"/>
    </w:pPr>
    <w:rPr>
      <w:rFonts w:ascii="宋体" w:hAnsi="宋体" w:cs="宋体"/>
      <w:kern w:val="0"/>
    </w:rPr>
  </w:style>
  <w:style w:type="paragraph" w:customStyle="1" w:styleId="2467">
    <w:name w:val="报告标题4"/>
    <w:basedOn w:val="2468"/>
    <w:qFormat/>
    <w:uiPriority w:val="0"/>
    <w:pPr>
      <w:tabs>
        <w:tab w:val="left" w:pos="-480"/>
        <w:tab w:val="left" w:pos="0"/>
        <w:tab w:val="left" w:pos="567"/>
        <w:tab w:val="left" w:pos="864"/>
      </w:tabs>
      <w:ind w:left="-480"/>
      <w:outlineLvl w:val="3"/>
    </w:pPr>
    <w:rPr>
      <w:rFonts w:eastAsia="等线"/>
      <w:b w:val="0"/>
    </w:rPr>
  </w:style>
  <w:style w:type="paragraph" w:customStyle="1" w:styleId="2468">
    <w:name w:val="报告标题2"/>
    <w:basedOn w:val="4"/>
    <w:link w:val="2567"/>
    <w:autoRedefine/>
    <w:uiPriority w:val="0"/>
    <w:pPr>
      <w:keepNext w:val="0"/>
      <w:keepLines w:val="0"/>
      <w:widowControl/>
      <w:numPr>
        <w:ilvl w:val="0"/>
        <w:numId w:val="0"/>
      </w:numPr>
      <w:tabs>
        <w:tab w:val="left" w:pos="0"/>
        <w:tab w:val="left" w:pos="567"/>
      </w:tabs>
      <w:spacing w:before="260" w:beforeLines="50"/>
      <w:ind w:left="567" w:hanging="567"/>
      <w:jc w:val="left"/>
    </w:pPr>
    <w:rPr>
      <w:rFonts w:ascii="Arial" w:hAnsi="Arial" w:eastAsia="宋体"/>
      <w:smallCaps/>
      <w:color w:val="000000"/>
      <w:kern w:val="0"/>
      <w:sz w:val="28"/>
      <w:szCs w:val="28"/>
    </w:rPr>
  </w:style>
  <w:style w:type="paragraph" w:customStyle="1" w:styleId="2469">
    <w:name w:val="样式 标题 2标题 21标题 121标题 2 Char1 Char节H2节标题 1.1节标题 1.1 Char..."/>
    <w:basedOn w:val="4"/>
    <w:uiPriority w:val="0"/>
    <w:pPr>
      <w:keepNext w:val="0"/>
      <w:keepLines w:val="0"/>
      <w:widowControl/>
      <w:numPr>
        <w:ilvl w:val="0"/>
        <w:numId w:val="0"/>
      </w:numPr>
      <w:adjustRightInd w:val="0"/>
      <w:snapToGrid w:val="0"/>
      <w:spacing w:before="260" w:beforeLines="80"/>
      <w:jc w:val="left"/>
      <w:textAlignment w:val="baseline"/>
    </w:pPr>
    <w:rPr>
      <w:smallCaps/>
      <w:kern w:val="0"/>
      <w:sz w:val="28"/>
      <w:szCs w:val="20"/>
    </w:rPr>
  </w:style>
  <w:style w:type="paragraph" w:customStyle="1" w:styleId="2470">
    <w:name w:val="样式64"/>
    <w:basedOn w:val="1"/>
    <w:uiPriority w:val="0"/>
    <w:pPr>
      <w:widowControl/>
      <w:tabs>
        <w:tab w:val="left" w:pos="1320"/>
      </w:tabs>
      <w:spacing w:beforeLines="50" w:afterLines="50" w:line="360" w:lineRule="auto"/>
      <w:ind w:firstLine="480"/>
      <w:jc w:val="left"/>
    </w:pPr>
    <w:rPr>
      <w:rFonts w:ascii="宋体" w:hAnsi="宋体" w:cstheme="majorBidi"/>
      <w:color w:val="000000"/>
      <w:kern w:val="0"/>
    </w:rPr>
  </w:style>
  <w:style w:type="paragraph" w:customStyle="1" w:styleId="2471">
    <w:name w:val="样式 首行缩进:  0.95 厘米"/>
    <w:basedOn w:val="1"/>
    <w:autoRedefine/>
    <w:uiPriority w:val="0"/>
    <w:pPr>
      <w:widowControl/>
      <w:spacing w:line="360" w:lineRule="auto"/>
      <w:jc w:val="left"/>
    </w:pPr>
    <w:rPr>
      <w:rFonts w:cs="宋体"/>
      <w:kern w:val="0"/>
      <w:szCs w:val="20"/>
    </w:rPr>
  </w:style>
  <w:style w:type="paragraph" w:customStyle="1" w:styleId="2472">
    <w:name w:val="样式 (西文) Times New Roman (符号) 宋体 加粗 居中 行距: 1.5 倍行距"/>
    <w:basedOn w:val="1"/>
    <w:autoRedefine/>
    <w:qFormat/>
    <w:uiPriority w:val="0"/>
    <w:pPr>
      <w:widowControl/>
      <w:spacing w:line="360" w:lineRule="auto"/>
      <w:jc w:val="center"/>
    </w:pPr>
    <w:rPr>
      <w:rFonts w:hAnsi="宋体" w:cs="宋体"/>
      <w:b/>
      <w:bCs/>
      <w:kern w:val="0"/>
      <w:szCs w:val="20"/>
    </w:rPr>
  </w:style>
  <w:style w:type="paragraph" w:customStyle="1" w:styleId="2473">
    <w:name w:val="表格11"/>
    <w:basedOn w:val="1"/>
    <w:autoRedefine/>
    <w:qFormat/>
    <w:uiPriority w:val="0"/>
    <w:pPr>
      <w:widowControl/>
      <w:adjustRightInd w:val="0"/>
      <w:snapToGrid w:val="0"/>
      <w:spacing w:line="360" w:lineRule="auto"/>
      <w:jc w:val="center"/>
    </w:pPr>
    <w:rPr>
      <w:rFonts w:cstheme="majorBidi"/>
      <w:kern w:val="0"/>
      <w:szCs w:val="20"/>
    </w:rPr>
  </w:style>
  <w:style w:type="paragraph" w:customStyle="1" w:styleId="2474">
    <w:name w:val="正文～!"/>
    <w:basedOn w:val="1"/>
    <w:link w:val="2475"/>
    <w:autoRedefine/>
    <w:qFormat/>
    <w:uiPriority w:val="0"/>
    <w:pPr>
      <w:widowControl/>
      <w:adjustRightInd w:val="0"/>
      <w:snapToGrid w:val="0"/>
      <w:spacing w:line="360" w:lineRule="auto"/>
      <w:ind w:right="-57" w:rightChars="-27" w:firstLine="560"/>
      <w:jc w:val="left"/>
    </w:pPr>
    <w:rPr>
      <w:rFonts w:eastAsia="仿宋_GB2312" w:cstheme="majorBidi"/>
      <w:kern w:val="0"/>
      <w:sz w:val="28"/>
      <w:szCs w:val="20"/>
    </w:rPr>
  </w:style>
  <w:style w:type="character" w:customStyle="1" w:styleId="2475">
    <w:name w:val="正文～! Char Char"/>
    <w:link w:val="2474"/>
    <w:qFormat/>
    <w:uiPriority w:val="0"/>
    <w:rPr>
      <w:rFonts w:eastAsia="仿宋_GB2312" w:cstheme="majorBidi"/>
      <w:sz w:val="28"/>
    </w:rPr>
  </w:style>
  <w:style w:type="paragraph" w:customStyle="1" w:styleId="2476">
    <w:name w:val="GH1_08段落文字"/>
    <w:link w:val="2477"/>
    <w:autoRedefine/>
    <w:qFormat/>
    <w:uiPriority w:val="0"/>
    <w:pPr>
      <w:spacing w:line="360" w:lineRule="auto"/>
      <w:ind w:firstLine="200" w:firstLineChars="200"/>
      <w:jc w:val="both"/>
    </w:pPr>
    <w:rPr>
      <w:rFonts w:asciiTheme="majorHAnsi" w:hAnsiTheme="majorHAnsi" w:eastAsiaTheme="majorEastAsia" w:cstheme="majorBidi"/>
      <w:sz w:val="24"/>
      <w:szCs w:val="24"/>
      <w:lang w:val="en-US" w:eastAsia="zh-CN" w:bidi="ar-SA"/>
    </w:rPr>
  </w:style>
  <w:style w:type="character" w:customStyle="1" w:styleId="2477">
    <w:name w:val="GH1_08段落文字 Char Char"/>
    <w:link w:val="2476"/>
    <w:autoRedefine/>
    <w:qFormat/>
    <w:uiPriority w:val="0"/>
    <w:rPr>
      <w:rFonts w:asciiTheme="majorHAnsi" w:hAnsiTheme="majorHAnsi" w:eastAsiaTheme="majorEastAsia" w:cstheme="majorBidi"/>
      <w:sz w:val="24"/>
      <w:szCs w:val="24"/>
    </w:rPr>
  </w:style>
  <w:style w:type="paragraph" w:customStyle="1" w:styleId="2478">
    <w:name w:val="样式 标题 2 + 小四 段前: 0.5 行 段后: 0.5 行 行距: 单倍行距"/>
    <w:basedOn w:val="4"/>
    <w:link w:val="2479"/>
    <w:uiPriority w:val="0"/>
    <w:pPr>
      <w:keepNext w:val="0"/>
      <w:keepLines w:val="0"/>
      <w:widowControl/>
      <w:numPr>
        <w:ilvl w:val="0"/>
        <w:numId w:val="0"/>
      </w:numPr>
      <w:tabs>
        <w:tab w:val="left" w:pos="284"/>
      </w:tabs>
      <w:wordWrap w:val="0"/>
      <w:topLinePunct/>
      <w:snapToGrid w:val="0"/>
      <w:spacing w:before="260" w:beforeLines="50" w:after="260" w:afterLines="50"/>
      <w:jc w:val="left"/>
      <w:textAlignment w:val="baseline"/>
    </w:pPr>
    <w:rPr>
      <w:rFonts w:ascii="Arial" w:hAnsi="Arial" w:eastAsia="新宋体" w:cs="宋体"/>
      <w:bCs w:val="0"/>
      <w:smallCaps/>
      <w:color w:val="000000"/>
      <w:kern w:val="0"/>
      <w:sz w:val="24"/>
      <w:szCs w:val="20"/>
    </w:rPr>
  </w:style>
  <w:style w:type="character" w:customStyle="1" w:styleId="2479">
    <w:name w:val="样式 标题 2 + 小四 段前: 0.5 行 段后: 0.5 行 行距: 单倍行距 Char"/>
    <w:link w:val="2478"/>
    <w:autoRedefine/>
    <w:qFormat/>
    <w:uiPriority w:val="0"/>
    <w:rPr>
      <w:rFonts w:ascii="Arial" w:hAnsi="Arial" w:eastAsia="新宋体" w:cs="宋体"/>
      <w:b/>
      <w:smallCaps/>
      <w:color w:val="000000"/>
      <w:sz w:val="24"/>
    </w:rPr>
  </w:style>
  <w:style w:type="paragraph" w:customStyle="1" w:styleId="2480">
    <w:name w:val="aaa"/>
    <w:basedOn w:val="1"/>
    <w:link w:val="2481"/>
    <w:autoRedefine/>
    <w:qFormat/>
    <w:uiPriority w:val="0"/>
    <w:pPr>
      <w:widowControl/>
      <w:snapToGrid w:val="0"/>
      <w:spacing w:line="360" w:lineRule="auto"/>
      <w:ind w:firstLine="480"/>
      <w:jc w:val="left"/>
    </w:pPr>
    <w:rPr>
      <w:rFonts w:cstheme="majorBidi"/>
      <w:kern w:val="0"/>
      <w:szCs w:val="20"/>
    </w:rPr>
  </w:style>
  <w:style w:type="character" w:customStyle="1" w:styleId="2481">
    <w:name w:val="aaa Char"/>
    <w:link w:val="2480"/>
    <w:uiPriority w:val="0"/>
    <w:rPr>
      <w:rFonts w:cstheme="majorBidi"/>
      <w:sz w:val="24"/>
    </w:rPr>
  </w:style>
  <w:style w:type="paragraph" w:customStyle="1" w:styleId="2482">
    <w:name w:val="样式 标题 2 + 黑体"/>
    <w:basedOn w:val="4"/>
    <w:link w:val="2483"/>
    <w:autoRedefine/>
    <w:qFormat/>
    <w:uiPriority w:val="0"/>
    <w:pPr>
      <w:keepNext w:val="0"/>
      <w:keepLines w:val="0"/>
      <w:widowControl/>
      <w:numPr>
        <w:ilvl w:val="0"/>
        <w:numId w:val="0"/>
      </w:numPr>
      <w:autoSpaceDE w:val="0"/>
      <w:autoSpaceDN w:val="0"/>
      <w:adjustRightInd w:val="0"/>
      <w:snapToGrid w:val="0"/>
      <w:jc w:val="left"/>
    </w:pPr>
    <w:rPr>
      <w:rFonts w:ascii="黑体" w:hAnsi="黑体" w:cs="黑体"/>
      <w:bCs w:val="0"/>
      <w:smallCaps/>
      <w:kern w:val="0"/>
      <w:sz w:val="28"/>
      <w:szCs w:val="28"/>
      <w:lang w:val="zh-CN"/>
    </w:rPr>
  </w:style>
  <w:style w:type="character" w:customStyle="1" w:styleId="2483">
    <w:name w:val="样式 标题 2 + 黑体 Char"/>
    <w:link w:val="2482"/>
    <w:qFormat/>
    <w:uiPriority w:val="0"/>
    <w:rPr>
      <w:rFonts w:ascii="黑体" w:hAnsi="黑体" w:eastAsia="黑体" w:cs="黑体"/>
      <w:b/>
      <w:smallCaps/>
      <w:sz w:val="28"/>
      <w:szCs w:val="28"/>
      <w:lang w:val="zh-CN"/>
    </w:rPr>
  </w:style>
  <w:style w:type="paragraph" w:customStyle="1" w:styleId="2484">
    <w:name w:val="图文字"/>
    <w:basedOn w:val="1"/>
    <w:autoRedefine/>
    <w:qFormat/>
    <w:uiPriority w:val="0"/>
    <w:pPr>
      <w:widowControl/>
      <w:spacing w:line="280" w:lineRule="exact"/>
      <w:jc w:val="center"/>
    </w:pPr>
    <w:rPr>
      <w:rFonts w:ascii="宋体" w:hAnsi="宋体" w:cstheme="majorBidi"/>
      <w:kern w:val="0"/>
    </w:rPr>
  </w:style>
  <w:style w:type="paragraph" w:customStyle="1" w:styleId="2485">
    <w:name w:val="MY标题2"/>
    <w:basedOn w:val="4"/>
    <w:link w:val="2486"/>
    <w:autoRedefine/>
    <w:qFormat/>
    <w:uiPriority w:val="0"/>
    <w:pPr>
      <w:keepNext w:val="0"/>
      <w:keepLines w:val="0"/>
      <w:widowControl/>
      <w:numPr>
        <w:ilvl w:val="0"/>
        <w:numId w:val="0"/>
      </w:numPr>
      <w:tabs>
        <w:tab w:val="left" w:pos="567"/>
      </w:tabs>
      <w:spacing w:before="156" w:after="156"/>
      <w:ind w:left="567" w:hanging="567"/>
      <w:jc w:val="left"/>
    </w:pPr>
    <w:rPr>
      <w:rFonts w:ascii="Calibri" w:hAnsi="宋体" w:cs="宋体"/>
      <w:bCs w:val="0"/>
      <w:smallCaps/>
      <w:color w:val="000000"/>
      <w:kern w:val="0"/>
      <w:sz w:val="30"/>
      <w:szCs w:val="20"/>
    </w:rPr>
  </w:style>
  <w:style w:type="character" w:customStyle="1" w:styleId="2486">
    <w:name w:val="MY标题2 Char"/>
    <w:link w:val="2485"/>
    <w:uiPriority w:val="0"/>
    <w:rPr>
      <w:rFonts w:ascii="Calibri" w:hAnsi="宋体" w:eastAsia="黑体" w:cs="宋体"/>
      <w:b/>
      <w:smallCaps/>
      <w:color w:val="000000"/>
      <w:sz w:val="30"/>
    </w:rPr>
  </w:style>
  <w:style w:type="character" w:customStyle="1" w:styleId="2487">
    <w:name w:val="xl24 Char"/>
    <w:link w:val="321"/>
    <w:uiPriority w:val="0"/>
    <w:rPr>
      <w:rFonts w:ascii="宋体" w:hAnsi="宋体"/>
      <w:sz w:val="24"/>
      <w:szCs w:val="21"/>
    </w:rPr>
  </w:style>
  <w:style w:type="paragraph" w:customStyle="1" w:styleId="2488">
    <w:name w:val="文本矿山"/>
    <w:basedOn w:val="1"/>
    <w:link w:val="2489"/>
    <w:autoRedefine/>
    <w:qFormat/>
    <w:uiPriority w:val="0"/>
    <w:pPr>
      <w:widowControl/>
      <w:spacing w:beforeLines="50" w:afterLines="50" w:line="360" w:lineRule="auto"/>
      <w:ind w:firstLine="480"/>
      <w:jc w:val="left"/>
    </w:pPr>
    <w:rPr>
      <w:rFonts w:ascii="宋体" w:hAnsi="宋体" w:cstheme="majorBidi"/>
      <w:kern w:val="0"/>
    </w:rPr>
  </w:style>
  <w:style w:type="character" w:customStyle="1" w:styleId="2489">
    <w:name w:val="文本矿山 Char"/>
    <w:link w:val="2488"/>
    <w:autoRedefine/>
    <w:qFormat/>
    <w:uiPriority w:val="0"/>
    <w:rPr>
      <w:rFonts w:ascii="宋体" w:hAnsi="宋体" w:cstheme="majorBidi"/>
      <w:sz w:val="24"/>
      <w:szCs w:val="24"/>
    </w:rPr>
  </w:style>
  <w:style w:type="character" w:customStyle="1" w:styleId="2490">
    <w:name w:val="正文(首行缩进2字) Char"/>
    <w:link w:val="837"/>
    <w:autoRedefine/>
    <w:qFormat/>
    <w:uiPriority w:val="0"/>
    <w:rPr>
      <w:rFonts w:ascii="宋体" w:hAnsi="宋体"/>
      <w:bCs/>
      <w:sz w:val="24"/>
    </w:rPr>
  </w:style>
  <w:style w:type="paragraph" w:customStyle="1" w:styleId="2491">
    <w:name w:val="MY标题3"/>
    <w:basedOn w:val="5"/>
    <w:link w:val="2492"/>
    <w:autoRedefine/>
    <w:qFormat/>
    <w:uiPriority w:val="0"/>
    <w:pPr>
      <w:keepNext w:val="0"/>
      <w:keepLines w:val="0"/>
      <w:widowControl/>
      <w:numPr>
        <w:ilvl w:val="0"/>
        <w:numId w:val="0"/>
      </w:numPr>
      <w:tabs>
        <w:tab w:val="left" w:pos="1135"/>
      </w:tabs>
      <w:adjustRightInd w:val="0"/>
      <w:snapToGrid w:val="0"/>
      <w:spacing w:before="156" w:after="156" w:line="360" w:lineRule="auto"/>
      <w:ind w:left="1135" w:hanging="851"/>
      <w:jc w:val="left"/>
    </w:pPr>
    <w:rPr>
      <w:rFonts w:ascii="Calibri" w:hAnsi="宋体" w:cs="宋体"/>
      <w:bCs w:val="0"/>
      <w:iCs/>
      <w:smallCaps/>
      <w:color w:val="000000"/>
      <w:spacing w:val="5"/>
      <w:kern w:val="0"/>
      <w:sz w:val="28"/>
      <w:szCs w:val="20"/>
    </w:rPr>
  </w:style>
  <w:style w:type="character" w:customStyle="1" w:styleId="2492">
    <w:name w:val="MY标题3 Char"/>
    <w:link w:val="2491"/>
    <w:autoRedefine/>
    <w:qFormat/>
    <w:uiPriority w:val="0"/>
    <w:rPr>
      <w:rFonts w:ascii="Calibri" w:hAnsi="宋体" w:eastAsia="黑体" w:cs="宋体"/>
      <w:b/>
      <w:iCs/>
      <w:smallCaps/>
      <w:color w:val="000000"/>
      <w:spacing w:val="5"/>
      <w:sz w:val="28"/>
    </w:rPr>
  </w:style>
  <w:style w:type="paragraph" w:customStyle="1" w:styleId="2493">
    <w:name w:val="xl144"/>
    <w:basedOn w:val="1"/>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center"/>
    </w:pPr>
    <w:rPr>
      <w:rFonts w:ascii="宋体" w:hAnsi="宋体" w:cs="宋体"/>
      <w:kern w:val="0"/>
      <w:sz w:val="20"/>
      <w:szCs w:val="20"/>
    </w:rPr>
  </w:style>
  <w:style w:type="character" w:customStyle="1" w:styleId="2494">
    <w:name w:val="首行缩进2字符 Char"/>
    <w:link w:val="1845"/>
    <w:autoRedefine/>
    <w:uiPriority w:val="0"/>
    <w:rPr>
      <w:kern w:val="2"/>
    </w:rPr>
  </w:style>
  <w:style w:type="paragraph" w:customStyle="1" w:styleId="2495">
    <w:name w:val="样式28"/>
    <w:basedOn w:val="1"/>
    <w:link w:val="2496"/>
    <w:autoRedefine/>
    <w:uiPriority w:val="0"/>
    <w:pPr>
      <w:widowControl/>
      <w:spacing w:line="360" w:lineRule="auto"/>
      <w:ind w:firstLine="480"/>
      <w:jc w:val="left"/>
    </w:pPr>
    <w:rPr>
      <w:rFonts w:cstheme="majorBidi"/>
      <w:kern w:val="0"/>
    </w:rPr>
  </w:style>
  <w:style w:type="character" w:customStyle="1" w:styleId="2496">
    <w:name w:val="样式28 Char"/>
    <w:link w:val="2495"/>
    <w:autoRedefine/>
    <w:qFormat/>
    <w:uiPriority w:val="0"/>
    <w:rPr>
      <w:rFonts w:cstheme="majorBidi"/>
      <w:sz w:val="24"/>
      <w:szCs w:val="24"/>
    </w:rPr>
  </w:style>
  <w:style w:type="paragraph" w:customStyle="1" w:styleId="2497">
    <w:name w:val="生物质发电正文"/>
    <w:basedOn w:val="1"/>
    <w:link w:val="2498"/>
    <w:autoRedefine/>
    <w:qFormat/>
    <w:uiPriority w:val="0"/>
    <w:pPr>
      <w:widowControl/>
      <w:suppressAutoHyphens/>
      <w:adjustRightInd w:val="0"/>
      <w:snapToGrid w:val="0"/>
      <w:spacing w:line="324" w:lineRule="auto"/>
      <w:jc w:val="left"/>
      <w:textAlignment w:val="baseline"/>
    </w:pPr>
    <w:rPr>
      <w:rFonts w:ascii="宋体" w:hAnsi="宋体" w:cstheme="majorBidi"/>
      <w:bCs/>
      <w:kern w:val="0"/>
    </w:rPr>
  </w:style>
  <w:style w:type="character" w:customStyle="1" w:styleId="2498">
    <w:name w:val="生物质发电正文 Char"/>
    <w:link w:val="2497"/>
    <w:autoRedefine/>
    <w:qFormat/>
    <w:uiPriority w:val="0"/>
    <w:rPr>
      <w:rFonts w:ascii="宋体" w:hAnsi="宋体" w:cstheme="majorBidi"/>
      <w:bCs/>
      <w:sz w:val="24"/>
      <w:szCs w:val="24"/>
    </w:rPr>
  </w:style>
  <w:style w:type="paragraph" w:customStyle="1" w:styleId="2499">
    <w:name w:val="样式145"/>
    <w:basedOn w:val="1"/>
    <w:qFormat/>
    <w:uiPriority w:val="0"/>
    <w:pPr>
      <w:keepNext/>
      <w:keepLines/>
      <w:widowControl/>
      <w:tabs>
        <w:tab w:val="left" w:pos="900"/>
        <w:tab w:val="left" w:pos="1080"/>
        <w:tab w:val="left" w:pos="1248"/>
      </w:tabs>
      <w:spacing w:line="360" w:lineRule="auto"/>
      <w:ind w:left="1276" w:hanging="708"/>
      <w:jc w:val="left"/>
      <w:outlineLvl w:val="3"/>
    </w:pPr>
    <w:rPr>
      <w:rFonts w:ascii="宋体" w:hAnsi="宋体" w:cs="MS Sans Serif"/>
      <w:bCs/>
      <w:color w:val="000000"/>
      <w:kern w:val="0"/>
      <w:szCs w:val="28"/>
      <w:lang w:val="zh-CN"/>
    </w:rPr>
  </w:style>
  <w:style w:type="paragraph" w:customStyle="1" w:styleId="2500">
    <w:name w:val="样式44"/>
    <w:basedOn w:val="1"/>
    <w:link w:val="2501"/>
    <w:autoRedefine/>
    <w:qFormat/>
    <w:uiPriority w:val="0"/>
    <w:pPr>
      <w:widowControl/>
      <w:spacing w:before="120" w:after="120" w:line="360" w:lineRule="auto"/>
      <w:ind w:firstLine="480"/>
      <w:jc w:val="left"/>
    </w:pPr>
    <w:rPr>
      <w:rFonts w:cstheme="majorBidi"/>
      <w:color w:val="000000"/>
      <w:kern w:val="0"/>
      <w:szCs w:val="20"/>
    </w:rPr>
  </w:style>
  <w:style w:type="character" w:customStyle="1" w:styleId="2501">
    <w:name w:val="样式44 Char"/>
    <w:link w:val="2500"/>
    <w:uiPriority w:val="0"/>
    <w:rPr>
      <w:rFonts w:cstheme="majorBidi"/>
      <w:color w:val="000000"/>
      <w:sz w:val="24"/>
    </w:rPr>
  </w:style>
  <w:style w:type="paragraph" w:customStyle="1" w:styleId="2502">
    <w:name w:val="样式 样式 标题 3标题 13标题 3 Char1 Char Char Char标题 31ReHead 3 WSAh3B... ..."/>
    <w:basedOn w:val="2503"/>
    <w:link w:val="2504"/>
    <w:uiPriority w:val="0"/>
    <w:rPr>
      <w:rFonts w:ascii="Calibri" w:hAnsi="Calibri" w:eastAsia="宋体" w:cs="宋体"/>
      <w:bCs/>
      <w:szCs w:val="20"/>
    </w:rPr>
  </w:style>
  <w:style w:type="paragraph" w:customStyle="1" w:styleId="2503">
    <w:name w:val="样式 标题 3标题 13标题 3 Char1 Char Char Char标题 31ReHead 3 WSAh3B..."/>
    <w:basedOn w:val="5"/>
    <w:autoRedefine/>
    <w:qFormat/>
    <w:uiPriority w:val="0"/>
    <w:pPr>
      <w:keepNext w:val="0"/>
      <w:keepLines w:val="0"/>
      <w:widowControl/>
      <w:numPr>
        <w:ilvl w:val="0"/>
        <w:numId w:val="0"/>
      </w:numPr>
      <w:adjustRightInd w:val="0"/>
      <w:snapToGrid w:val="0"/>
      <w:spacing w:beforeLines="50" w:afterLines="20" w:line="360" w:lineRule="auto"/>
      <w:jc w:val="left"/>
    </w:pPr>
    <w:rPr>
      <w:rFonts w:ascii="黑体" w:cstheme="majorBidi"/>
      <w:b w:val="0"/>
      <w:bCs w:val="0"/>
      <w:iCs/>
      <w:smallCaps/>
      <w:spacing w:val="5"/>
      <w:kern w:val="0"/>
      <w:sz w:val="24"/>
      <w:szCs w:val="24"/>
      <w:lang w:val="zh-CN"/>
    </w:rPr>
  </w:style>
  <w:style w:type="character" w:customStyle="1" w:styleId="2504">
    <w:name w:val="样式 样式 标题 3标题 13标题 3 Char1 Char Char Char标题 31ReHead 3 WSAh3B... ... Char"/>
    <w:link w:val="2502"/>
    <w:qFormat/>
    <w:uiPriority w:val="0"/>
    <w:rPr>
      <w:rFonts w:ascii="Calibri" w:hAnsi="Calibri" w:cs="宋体"/>
      <w:bCs/>
      <w:iCs/>
      <w:smallCaps/>
      <w:spacing w:val="5"/>
      <w:sz w:val="24"/>
      <w:lang w:val="zh-CN"/>
    </w:rPr>
  </w:style>
  <w:style w:type="paragraph" w:customStyle="1" w:styleId="2505">
    <w:name w:val="样式25"/>
    <w:basedOn w:val="620"/>
    <w:link w:val="2506"/>
    <w:autoRedefine/>
    <w:qFormat/>
    <w:uiPriority w:val="0"/>
    <w:pPr>
      <w:keepNext/>
      <w:keepLines/>
      <w:widowControl/>
      <w:tabs>
        <w:tab w:val="left" w:pos="360"/>
        <w:tab w:val="left" w:pos="540"/>
        <w:tab w:val="left" w:pos="992"/>
      </w:tabs>
      <w:spacing w:beforeLines="50" w:afterLines="50"/>
      <w:ind w:hanging="1296"/>
      <w:jc w:val="left"/>
      <w:outlineLvl w:val="1"/>
    </w:pPr>
    <w:rPr>
      <w:rFonts w:hAnsi="宋体" w:cstheme="majorBidi"/>
      <w:b/>
      <w:kern w:val="0"/>
      <w:sz w:val="28"/>
      <w:szCs w:val="28"/>
    </w:rPr>
  </w:style>
  <w:style w:type="character" w:customStyle="1" w:styleId="2506">
    <w:name w:val="样式25 Char"/>
    <w:link w:val="2505"/>
    <w:qFormat/>
    <w:uiPriority w:val="0"/>
    <w:rPr>
      <w:rFonts w:ascii="黑体" w:hAnsi="宋体" w:eastAsia="黑体" w:cstheme="majorBidi"/>
      <w:b/>
      <w:sz w:val="28"/>
      <w:szCs w:val="28"/>
    </w:rPr>
  </w:style>
  <w:style w:type="paragraph" w:customStyle="1" w:styleId="2507">
    <w:name w:val="样式34"/>
    <w:basedOn w:val="1"/>
    <w:link w:val="2508"/>
    <w:autoRedefine/>
    <w:qFormat/>
    <w:uiPriority w:val="0"/>
    <w:pPr>
      <w:keepNext/>
      <w:keepLines/>
      <w:widowControl/>
      <w:tabs>
        <w:tab w:val="left" w:pos="360"/>
        <w:tab w:val="left" w:pos="540"/>
        <w:tab w:val="left" w:pos="720"/>
        <w:tab w:val="left" w:pos="1440"/>
      </w:tabs>
      <w:spacing w:beforeLines="50" w:afterLines="50" w:line="360" w:lineRule="auto"/>
      <w:ind w:left="1740"/>
      <w:jc w:val="left"/>
      <w:outlineLvl w:val="2"/>
    </w:pPr>
    <w:rPr>
      <w:rFonts w:eastAsia="黑体" w:cstheme="majorBidi"/>
      <w:kern w:val="0"/>
      <w:szCs w:val="32"/>
    </w:rPr>
  </w:style>
  <w:style w:type="character" w:customStyle="1" w:styleId="2508">
    <w:name w:val="样式34 Char"/>
    <w:link w:val="2507"/>
    <w:autoRedefine/>
    <w:qFormat/>
    <w:uiPriority w:val="0"/>
    <w:rPr>
      <w:rFonts w:eastAsia="黑体" w:cstheme="majorBidi"/>
      <w:sz w:val="24"/>
      <w:szCs w:val="32"/>
    </w:rPr>
  </w:style>
  <w:style w:type="paragraph" w:customStyle="1" w:styleId="2509">
    <w:name w:val="样式52"/>
    <w:basedOn w:val="1"/>
    <w:link w:val="2510"/>
    <w:autoRedefine/>
    <w:qFormat/>
    <w:uiPriority w:val="0"/>
    <w:pPr>
      <w:keepNext/>
      <w:keepLines/>
      <w:widowControl/>
      <w:tabs>
        <w:tab w:val="left" w:pos="540"/>
      </w:tabs>
      <w:adjustRightInd w:val="0"/>
      <w:snapToGrid w:val="0"/>
      <w:spacing w:line="360" w:lineRule="auto"/>
      <w:jc w:val="left"/>
      <w:outlineLvl w:val="2"/>
    </w:pPr>
    <w:rPr>
      <w:rFonts w:cstheme="majorBidi"/>
      <w:b/>
      <w:kern w:val="0"/>
    </w:rPr>
  </w:style>
  <w:style w:type="character" w:customStyle="1" w:styleId="2510">
    <w:name w:val="样式52 Char"/>
    <w:link w:val="2509"/>
    <w:autoRedefine/>
    <w:qFormat/>
    <w:uiPriority w:val="0"/>
    <w:rPr>
      <w:rFonts w:cstheme="majorBidi"/>
      <w:b/>
      <w:sz w:val="24"/>
      <w:szCs w:val="24"/>
    </w:rPr>
  </w:style>
  <w:style w:type="paragraph" w:customStyle="1" w:styleId="2511">
    <w:name w:val="CM69"/>
    <w:basedOn w:val="179"/>
    <w:next w:val="179"/>
    <w:autoRedefine/>
    <w:qFormat/>
    <w:uiPriority w:val="0"/>
    <w:pPr>
      <w:spacing w:after="135" w:line="360" w:lineRule="auto"/>
    </w:pPr>
    <w:rPr>
      <w:rFonts w:ascii="华文中宋" w:eastAsia="华文中宋" w:cs="Times New Roman"/>
      <w:color w:val="auto"/>
    </w:rPr>
  </w:style>
  <w:style w:type="paragraph" w:customStyle="1" w:styleId="2512">
    <w:name w:val="大表内容"/>
    <w:autoRedefine/>
    <w:uiPriority w:val="99"/>
    <w:pPr>
      <w:snapToGrid w:val="0"/>
      <w:spacing w:line="360" w:lineRule="auto"/>
      <w:jc w:val="center"/>
    </w:pPr>
    <w:rPr>
      <w:rFonts w:ascii="Times New Roman" w:hAnsi="Times New Roman" w:eastAsiaTheme="majorEastAsia" w:cstheme="majorBidi"/>
      <w:sz w:val="21"/>
      <w:szCs w:val="22"/>
      <w:lang w:val="en-US" w:eastAsia="zh-CN" w:bidi="ar-SA"/>
    </w:rPr>
  </w:style>
  <w:style w:type="paragraph" w:customStyle="1" w:styleId="2513">
    <w:name w:val="CM71"/>
    <w:basedOn w:val="179"/>
    <w:next w:val="179"/>
    <w:autoRedefine/>
    <w:qFormat/>
    <w:uiPriority w:val="99"/>
    <w:pPr>
      <w:spacing w:after="280" w:line="360" w:lineRule="auto"/>
    </w:pPr>
    <w:rPr>
      <w:rFonts w:ascii="华文中宋" w:eastAsia="华文中宋" w:cs="Times New Roman"/>
      <w:color w:val="auto"/>
    </w:rPr>
  </w:style>
  <w:style w:type="paragraph" w:customStyle="1" w:styleId="2514">
    <w:name w:val="报告书"/>
    <w:basedOn w:val="1"/>
    <w:uiPriority w:val="0"/>
    <w:pPr>
      <w:widowControl/>
      <w:autoSpaceDE w:val="0"/>
      <w:autoSpaceDN w:val="0"/>
      <w:adjustRightInd w:val="0"/>
      <w:spacing w:line="360" w:lineRule="auto"/>
      <w:ind w:firstLine="505"/>
      <w:jc w:val="left"/>
      <w:textAlignment w:val="bottom"/>
    </w:pPr>
    <w:rPr>
      <w:rFonts w:cstheme="majorBidi"/>
      <w:kern w:val="0"/>
      <w:szCs w:val="20"/>
    </w:rPr>
  </w:style>
  <w:style w:type="paragraph" w:customStyle="1" w:styleId="2515">
    <w:name w:val="Char Char Char Char Char Char Char Char Char Char Char Char Char Char Char Char Char Char Char Char Char Char3"/>
    <w:basedOn w:val="1"/>
    <w:next w:val="1"/>
    <w:autoRedefine/>
    <w:qFormat/>
    <w:uiPriority w:val="0"/>
    <w:pPr>
      <w:widowControl/>
      <w:spacing w:line="360" w:lineRule="auto"/>
      <w:jc w:val="left"/>
    </w:pPr>
    <w:rPr>
      <w:rFonts w:ascii="宋体" w:cs="宋体"/>
      <w:kern w:val="0"/>
    </w:rPr>
  </w:style>
  <w:style w:type="paragraph" w:customStyle="1" w:styleId="2516">
    <w:name w:val="正文2 Char Char Char"/>
    <w:basedOn w:val="1"/>
    <w:autoRedefine/>
    <w:uiPriority w:val="0"/>
    <w:pPr>
      <w:widowControl/>
      <w:spacing w:before="100" w:beforeAutospacing="1" w:after="100" w:afterAutospacing="1" w:line="360" w:lineRule="auto"/>
      <w:jc w:val="left"/>
    </w:pPr>
    <w:rPr>
      <w:rFonts w:cstheme="majorBidi"/>
      <w:kern w:val="0"/>
      <w:szCs w:val="21"/>
    </w:rPr>
  </w:style>
  <w:style w:type="paragraph" w:customStyle="1" w:styleId="2517">
    <w:name w:val="CM6"/>
    <w:basedOn w:val="179"/>
    <w:next w:val="179"/>
    <w:autoRedefine/>
    <w:qFormat/>
    <w:uiPriority w:val="99"/>
    <w:pPr>
      <w:spacing w:line="478" w:lineRule="atLeast"/>
    </w:pPr>
    <w:rPr>
      <w:rFonts w:ascii="华文中宋" w:eastAsia="华文中宋" w:cs="Times New Roman"/>
      <w:color w:val="auto"/>
    </w:rPr>
  </w:style>
  <w:style w:type="paragraph" w:customStyle="1" w:styleId="2518">
    <w:name w:val="普标题1"/>
    <w:basedOn w:val="2519"/>
    <w:link w:val="2520"/>
    <w:autoRedefine/>
    <w:qFormat/>
    <w:uiPriority w:val="99"/>
    <w:rPr>
      <w:b/>
    </w:rPr>
  </w:style>
  <w:style w:type="paragraph" w:customStyle="1" w:styleId="2519">
    <w:name w:val="第一条"/>
    <w:basedOn w:val="1"/>
    <w:link w:val="2539"/>
    <w:uiPriority w:val="99"/>
    <w:pPr>
      <w:widowControl/>
      <w:spacing w:after="120" w:line="288" w:lineRule="auto"/>
      <w:ind w:left="420"/>
      <w:jc w:val="left"/>
    </w:pPr>
    <w:rPr>
      <w:rFonts w:cstheme="majorBidi"/>
      <w:kern w:val="0"/>
      <w:lang w:val="zh-CN"/>
    </w:rPr>
  </w:style>
  <w:style w:type="character" w:customStyle="1" w:styleId="2520">
    <w:name w:val="普标题1 Char"/>
    <w:link w:val="2518"/>
    <w:uiPriority w:val="99"/>
    <w:rPr>
      <w:rFonts w:cstheme="majorBidi"/>
      <w:b/>
      <w:sz w:val="24"/>
      <w:szCs w:val="24"/>
      <w:lang w:val="zh-CN"/>
    </w:rPr>
  </w:style>
  <w:style w:type="paragraph" w:customStyle="1" w:styleId="2521">
    <w:name w:val="全部"/>
    <w:basedOn w:val="1"/>
    <w:link w:val="2522"/>
    <w:qFormat/>
    <w:uiPriority w:val="0"/>
    <w:pPr>
      <w:widowControl/>
      <w:spacing w:beforeLines="50" w:afterLines="50" w:line="360" w:lineRule="auto"/>
      <w:ind w:firstLine="480"/>
      <w:jc w:val="left"/>
    </w:pPr>
    <w:rPr>
      <w:rFonts w:ascii="宋体" w:hAnsi="宋体" w:cstheme="majorBidi"/>
      <w:color w:val="000000"/>
      <w:kern w:val="0"/>
    </w:rPr>
  </w:style>
  <w:style w:type="character" w:customStyle="1" w:styleId="2522">
    <w:name w:val="全部 Char"/>
    <w:link w:val="2521"/>
    <w:autoRedefine/>
    <w:uiPriority w:val="0"/>
    <w:rPr>
      <w:rFonts w:ascii="宋体" w:hAnsi="宋体" w:cstheme="majorBidi"/>
      <w:color w:val="000000"/>
      <w:sz w:val="24"/>
      <w:szCs w:val="24"/>
    </w:rPr>
  </w:style>
  <w:style w:type="paragraph" w:customStyle="1" w:styleId="2523">
    <w:name w:val="样式 报告 + 首行缩进:  2 字符 Char"/>
    <w:basedOn w:val="1"/>
    <w:link w:val="2524"/>
    <w:autoRedefine/>
    <w:qFormat/>
    <w:uiPriority w:val="0"/>
    <w:pPr>
      <w:widowControl/>
      <w:overflowPunct w:val="0"/>
      <w:autoSpaceDE w:val="0"/>
      <w:autoSpaceDN w:val="0"/>
      <w:adjustRightInd w:val="0"/>
      <w:spacing w:before="120" w:after="120" w:line="400" w:lineRule="atLeast"/>
      <w:ind w:firstLine="480"/>
      <w:jc w:val="left"/>
      <w:textAlignment w:val="baseline"/>
    </w:pPr>
    <w:rPr>
      <w:rFonts w:cstheme="majorBidi"/>
      <w:kern w:val="0"/>
      <w:szCs w:val="20"/>
    </w:rPr>
  </w:style>
  <w:style w:type="character" w:customStyle="1" w:styleId="2524">
    <w:name w:val="样式 报告 + 首行缩进:  2 字符 Char Char"/>
    <w:link w:val="2523"/>
    <w:autoRedefine/>
    <w:qFormat/>
    <w:uiPriority w:val="0"/>
    <w:rPr>
      <w:rFonts w:cstheme="majorBidi"/>
      <w:sz w:val="24"/>
    </w:rPr>
  </w:style>
  <w:style w:type="paragraph" w:customStyle="1" w:styleId="2525">
    <w:name w:val="样式 样式 Arial 三号 左 段前: 4.65 磅 + 首行缩进:  2 字符"/>
    <w:basedOn w:val="1"/>
    <w:autoRedefine/>
    <w:qFormat/>
    <w:uiPriority w:val="0"/>
    <w:pPr>
      <w:widowControl/>
      <w:spacing w:before="60" w:line="480" w:lineRule="exact"/>
      <w:jc w:val="left"/>
    </w:pPr>
    <w:rPr>
      <w:rFonts w:ascii="Arial" w:hAnsi="Arial" w:cs="Arial"/>
      <w:kern w:val="0"/>
      <w:sz w:val="32"/>
      <w:szCs w:val="32"/>
    </w:rPr>
  </w:style>
  <w:style w:type="paragraph" w:customStyle="1" w:styleId="2526">
    <w:name w:val="报告表格内文"/>
    <w:basedOn w:val="39"/>
    <w:autoRedefine/>
    <w:qFormat/>
    <w:uiPriority w:val="0"/>
    <w:pPr>
      <w:widowControl/>
      <w:tabs>
        <w:tab w:val="left" w:pos="0"/>
      </w:tabs>
      <w:adjustRightInd w:val="0"/>
      <w:spacing w:after="0" w:line="400" w:lineRule="exact"/>
      <w:ind w:left="0" w:leftChars="0" w:right="0" w:rightChars="0" w:firstLine="200" w:firstLineChars="200"/>
      <w:jc w:val="center"/>
    </w:pPr>
    <w:rPr>
      <w:rFonts w:cstheme="majorBidi"/>
      <w:bCs/>
      <w:color w:val="000000"/>
      <w:kern w:val="0"/>
      <w:sz w:val="21"/>
    </w:rPr>
  </w:style>
  <w:style w:type="paragraph" w:customStyle="1" w:styleId="2527">
    <w:name w:val="首行缩进两字"/>
    <w:basedOn w:val="1"/>
    <w:autoRedefine/>
    <w:qFormat/>
    <w:uiPriority w:val="99"/>
    <w:pPr>
      <w:widowControl/>
      <w:spacing w:line="360" w:lineRule="auto"/>
      <w:ind w:firstLine="560"/>
      <w:jc w:val="left"/>
    </w:pPr>
    <w:rPr>
      <w:rFonts w:ascii="宋体" w:hAnsi="宋体" w:cstheme="majorBidi"/>
      <w:kern w:val="0"/>
      <w:sz w:val="28"/>
    </w:rPr>
  </w:style>
  <w:style w:type="paragraph" w:customStyle="1" w:styleId="2528">
    <w:name w:val="我"/>
    <w:basedOn w:val="1"/>
    <w:link w:val="2529"/>
    <w:autoRedefine/>
    <w:qFormat/>
    <w:uiPriority w:val="0"/>
    <w:pPr>
      <w:widowControl/>
      <w:tabs>
        <w:tab w:val="left" w:pos="0"/>
      </w:tabs>
      <w:adjustRightInd w:val="0"/>
      <w:snapToGrid w:val="0"/>
      <w:spacing w:line="520" w:lineRule="exact"/>
      <w:jc w:val="left"/>
    </w:pPr>
    <w:rPr>
      <w:rFonts w:cs="宋体"/>
      <w:kern w:val="0"/>
      <w:sz w:val="28"/>
      <w:szCs w:val="28"/>
    </w:rPr>
  </w:style>
  <w:style w:type="character" w:customStyle="1" w:styleId="2529">
    <w:name w:val="我 Char"/>
    <w:link w:val="2528"/>
    <w:autoRedefine/>
    <w:qFormat/>
    <w:uiPriority w:val="0"/>
    <w:rPr>
      <w:rFonts w:cs="宋体"/>
      <w:sz w:val="28"/>
      <w:szCs w:val="28"/>
    </w:rPr>
  </w:style>
  <w:style w:type="paragraph" w:customStyle="1" w:styleId="2530">
    <w:name w:val="样式 标题 3 + Times New Roman 段后: 7.8 磅"/>
    <w:basedOn w:val="5"/>
    <w:autoRedefine/>
    <w:qFormat/>
    <w:uiPriority w:val="0"/>
    <w:pPr>
      <w:keepNext w:val="0"/>
      <w:keepLines w:val="0"/>
      <w:widowControl/>
      <w:numPr>
        <w:ilvl w:val="0"/>
        <w:numId w:val="0"/>
      </w:numPr>
      <w:adjustRightInd w:val="0"/>
      <w:snapToGrid w:val="0"/>
      <w:spacing w:afterLines="50" w:line="360" w:lineRule="auto"/>
      <w:jc w:val="left"/>
    </w:pPr>
    <w:rPr>
      <w:rFonts w:ascii="黑体" w:eastAsia="华文楷体" w:cs="宋体"/>
      <w:b w:val="0"/>
      <w:bCs w:val="0"/>
      <w:iCs/>
      <w:smallCaps/>
      <w:spacing w:val="5"/>
      <w:kern w:val="0"/>
      <w:sz w:val="28"/>
      <w:szCs w:val="20"/>
    </w:rPr>
  </w:style>
  <w:style w:type="paragraph" w:customStyle="1" w:styleId="2531">
    <w:name w:val="样式 标题二 Char + 褐色 首行缩进:  2 字符 段前: 1.3 行 段后: 1 行"/>
    <w:basedOn w:val="1"/>
    <w:autoRedefine/>
    <w:qFormat/>
    <w:uiPriority w:val="0"/>
    <w:pPr>
      <w:widowControl/>
      <w:spacing w:beforeLines="130" w:afterLines="100" w:line="420" w:lineRule="auto"/>
      <w:jc w:val="left"/>
      <w:textAlignment w:val="baseline"/>
      <w:outlineLvl w:val="2"/>
    </w:pPr>
    <w:rPr>
      <w:rFonts w:hint="eastAsia" w:ascii="宋体" w:hAnsi="宋体" w:eastAsia="黑体" w:cstheme="majorBidi"/>
      <w:b/>
      <w:kern w:val="0"/>
      <w:szCs w:val="20"/>
      <w:u w:color="000000"/>
    </w:rPr>
  </w:style>
  <w:style w:type="paragraph" w:customStyle="1" w:styleId="2532">
    <w:name w:val="正文小四环评"/>
    <w:link w:val="2533"/>
    <w:autoRedefine/>
    <w:qFormat/>
    <w:uiPriority w:val="0"/>
    <w:pPr>
      <w:spacing w:before="100" w:beforeAutospacing="1" w:after="100" w:afterAutospacing="1" w:line="360" w:lineRule="auto"/>
      <w:ind w:firstLine="200" w:firstLineChars="200"/>
    </w:pPr>
    <w:rPr>
      <w:rFonts w:ascii="宋体" w:hAnsi="宋体" w:eastAsiaTheme="majorEastAsia" w:cstheme="majorBidi"/>
      <w:bCs/>
      <w:color w:val="000000"/>
      <w:sz w:val="24"/>
      <w:szCs w:val="24"/>
      <w:lang w:val="en-US" w:eastAsia="zh-CN" w:bidi="ar-SA"/>
    </w:rPr>
  </w:style>
  <w:style w:type="character" w:customStyle="1" w:styleId="2533">
    <w:name w:val="正文小四环评 Char"/>
    <w:link w:val="2532"/>
    <w:autoRedefine/>
    <w:qFormat/>
    <w:uiPriority w:val="0"/>
    <w:rPr>
      <w:rFonts w:ascii="宋体" w:hAnsi="宋体" w:eastAsiaTheme="majorEastAsia" w:cstheme="majorBidi"/>
      <w:bCs/>
      <w:color w:val="000000"/>
      <w:sz w:val="24"/>
      <w:szCs w:val="24"/>
    </w:rPr>
  </w:style>
  <w:style w:type="paragraph" w:customStyle="1" w:styleId="2534">
    <w:name w:val="表格YHY"/>
    <w:basedOn w:val="1"/>
    <w:link w:val="2535"/>
    <w:autoRedefine/>
    <w:qFormat/>
    <w:uiPriority w:val="0"/>
    <w:pPr>
      <w:widowControl/>
      <w:spacing w:line="360" w:lineRule="auto"/>
      <w:ind w:right="-40"/>
      <w:jc w:val="center"/>
    </w:pPr>
    <w:rPr>
      <w:rFonts w:cstheme="majorBidi"/>
      <w:bCs/>
      <w:kern w:val="0"/>
      <w:szCs w:val="21"/>
    </w:rPr>
  </w:style>
  <w:style w:type="character" w:customStyle="1" w:styleId="2535">
    <w:name w:val="表格YHY Char"/>
    <w:link w:val="2534"/>
    <w:autoRedefine/>
    <w:qFormat/>
    <w:uiPriority w:val="0"/>
    <w:rPr>
      <w:rFonts w:cstheme="majorBidi"/>
      <w:bCs/>
      <w:sz w:val="24"/>
      <w:szCs w:val="21"/>
    </w:rPr>
  </w:style>
  <w:style w:type="paragraph" w:customStyle="1" w:styleId="2536">
    <w:name w:val="正文段落S"/>
    <w:basedOn w:val="1"/>
    <w:autoRedefine/>
    <w:qFormat/>
    <w:uiPriority w:val="99"/>
    <w:pPr>
      <w:widowControl/>
      <w:spacing w:line="360" w:lineRule="auto"/>
      <w:ind w:firstLine="420"/>
      <w:jc w:val="left"/>
    </w:pPr>
    <w:rPr>
      <w:rFonts w:eastAsia="仿宋_GB2312" w:cstheme="majorBidi"/>
      <w:kern w:val="0"/>
      <w:szCs w:val="20"/>
    </w:rPr>
  </w:style>
  <w:style w:type="paragraph" w:customStyle="1" w:styleId="2537">
    <w:name w:val="表 1"/>
    <w:autoRedefine/>
    <w:uiPriority w:val="0"/>
    <w:pPr>
      <w:spacing w:afterLines="50" w:line="360" w:lineRule="auto"/>
      <w:jc w:val="center"/>
    </w:pPr>
    <w:rPr>
      <w:rFonts w:ascii="Arial" w:hAnsi="Arial" w:eastAsia="仿宋_GB2312" w:cstheme="majorBidi"/>
      <w:kern w:val="2"/>
      <w:sz w:val="28"/>
      <w:szCs w:val="28"/>
      <w:lang w:val="en-US" w:eastAsia="zh-CN" w:bidi="ar-SA"/>
    </w:rPr>
  </w:style>
  <w:style w:type="character" w:customStyle="1" w:styleId="2538">
    <w:name w:val="5 Char1"/>
    <w:link w:val="905"/>
    <w:qFormat/>
    <w:uiPriority w:val="99"/>
    <w:rPr>
      <w:rFonts w:ascii="宋体" w:hAnsi="Courier New"/>
      <w:kern w:val="2"/>
      <w:sz w:val="28"/>
    </w:rPr>
  </w:style>
  <w:style w:type="character" w:customStyle="1" w:styleId="2539">
    <w:name w:val="第一条 Char"/>
    <w:link w:val="2519"/>
    <w:uiPriority w:val="99"/>
    <w:rPr>
      <w:rFonts w:cstheme="majorBidi"/>
      <w:sz w:val="24"/>
      <w:szCs w:val="24"/>
      <w:lang w:val="zh-CN"/>
    </w:rPr>
  </w:style>
  <w:style w:type="paragraph" w:customStyle="1" w:styleId="2540">
    <w:name w:val="样式 左"/>
    <w:basedOn w:val="1"/>
    <w:qFormat/>
    <w:uiPriority w:val="0"/>
    <w:pPr>
      <w:widowControl/>
      <w:spacing w:line="360" w:lineRule="auto"/>
      <w:ind w:right="100" w:rightChars="100"/>
      <w:jc w:val="left"/>
    </w:pPr>
    <w:rPr>
      <w:rFonts w:ascii="Plotter" w:hAnsi="Plotter" w:cs="宋体"/>
      <w:kern w:val="0"/>
      <w:szCs w:val="20"/>
    </w:rPr>
  </w:style>
  <w:style w:type="paragraph" w:customStyle="1" w:styleId="2541">
    <w:name w:val="样式46"/>
    <w:basedOn w:val="21"/>
    <w:link w:val="2542"/>
    <w:qFormat/>
    <w:uiPriority w:val="0"/>
    <w:pPr>
      <w:widowControl/>
      <w:overflowPunct w:val="0"/>
      <w:autoSpaceDE w:val="0"/>
      <w:autoSpaceDN w:val="0"/>
      <w:adjustRightInd w:val="0"/>
      <w:snapToGrid w:val="0"/>
      <w:spacing w:beforeLines="50" w:afterLines="50" w:line="360" w:lineRule="auto"/>
      <w:ind w:firstLine="480"/>
      <w:textAlignment w:val="bottom"/>
    </w:pPr>
    <w:rPr>
      <w:rFonts w:ascii="Calibri" w:hAnsi="Calibri" w:cstheme="majorBidi"/>
      <w:kern w:val="0"/>
      <w:szCs w:val="20"/>
    </w:rPr>
  </w:style>
  <w:style w:type="character" w:customStyle="1" w:styleId="2542">
    <w:name w:val="样式46 Char"/>
    <w:link w:val="2541"/>
    <w:autoRedefine/>
    <w:qFormat/>
    <w:uiPriority w:val="0"/>
    <w:rPr>
      <w:rFonts w:ascii="Calibri" w:hAnsi="Calibri" w:cstheme="majorBidi"/>
      <w:b/>
      <w:color w:val="000000" w:themeColor="text1"/>
      <w:sz w:val="24"/>
      <w14:textFill>
        <w14:solidFill>
          <w14:schemeClr w14:val="tx1"/>
        </w14:solidFill>
      </w14:textFill>
    </w:rPr>
  </w:style>
  <w:style w:type="paragraph" w:customStyle="1" w:styleId="2543">
    <w:name w:val="报告1"/>
    <w:basedOn w:val="2544"/>
    <w:autoRedefine/>
    <w:uiPriority w:val="0"/>
    <w:pPr>
      <w:autoSpaceDE/>
      <w:autoSpaceDN/>
    </w:pPr>
  </w:style>
  <w:style w:type="paragraph" w:customStyle="1" w:styleId="2544">
    <w:name w:val="报告"/>
    <w:basedOn w:val="1"/>
    <w:link w:val="2647"/>
    <w:autoRedefine/>
    <w:qFormat/>
    <w:uiPriority w:val="0"/>
    <w:pPr>
      <w:widowControl/>
      <w:autoSpaceDE w:val="0"/>
      <w:autoSpaceDN w:val="0"/>
      <w:adjustRightInd w:val="0"/>
      <w:spacing w:line="360" w:lineRule="auto"/>
      <w:ind w:firstLine="505"/>
      <w:jc w:val="left"/>
      <w:textAlignment w:val="baseline"/>
    </w:pPr>
    <w:rPr>
      <w:rFonts w:cstheme="majorBidi"/>
      <w:kern w:val="0"/>
      <w:szCs w:val="20"/>
    </w:rPr>
  </w:style>
  <w:style w:type="paragraph" w:customStyle="1" w:styleId="2545">
    <w:name w:val="表头YHY"/>
    <w:basedOn w:val="7"/>
    <w:link w:val="2546"/>
    <w:autoRedefine/>
    <w:qFormat/>
    <w:uiPriority w:val="0"/>
    <w:pPr>
      <w:keepNext w:val="0"/>
      <w:keepLines w:val="0"/>
      <w:widowControl/>
      <w:numPr>
        <w:numId w:val="33"/>
      </w:numPr>
      <w:snapToGrid/>
      <w:spacing w:line="240" w:lineRule="auto"/>
    </w:pPr>
    <w:rPr>
      <w:rFonts w:ascii="黑体" w:hAnsi="Calibri" w:eastAsia="黑体" w:cs="宋体"/>
      <w:b w:val="0"/>
      <w:iCs/>
      <w:kern w:val="0"/>
      <w:sz w:val="20"/>
      <w:szCs w:val="21"/>
    </w:rPr>
  </w:style>
  <w:style w:type="character" w:customStyle="1" w:styleId="2546">
    <w:name w:val="表头YHY Char"/>
    <w:link w:val="2545"/>
    <w:autoRedefine/>
    <w:qFormat/>
    <w:uiPriority w:val="0"/>
    <w:rPr>
      <w:rFonts w:ascii="黑体" w:hAnsi="Calibri" w:eastAsia="黑体" w:cs="宋体"/>
      <w:iCs/>
      <w:szCs w:val="21"/>
      <w:lang w:bidi="zh-CN"/>
    </w:rPr>
  </w:style>
  <w:style w:type="paragraph" w:customStyle="1" w:styleId="2547">
    <w:name w:val="上标"/>
    <w:next w:val="1"/>
    <w:link w:val="2548"/>
    <w:autoRedefine/>
    <w:uiPriority w:val="0"/>
    <w:pPr>
      <w:spacing w:line="360" w:lineRule="auto"/>
      <w:ind w:firstLine="480"/>
    </w:pPr>
    <w:rPr>
      <w:rFonts w:asciiTheme="majorHAnsi" w:hAnsiTheme="majorHAnsi" w:eastAsiaTheme="majorEastAsia" w:cstheme="majorBidi"/>
      <w:sz w:val="24"/>
      <w:szCs w:val="24"/>
      <w:vertAlign w:val="superscript"/>
      <w:lang w:val="en-US" w:eastAsia="zh-CN" w:bidi="ar-SA"/>
    </w:rPr>
  </w:style>
  <w:style w:type="character" w:customStyle="1" w:styleId="2548">
    <w:name w:val="上标 Char"/>
    <w:link w:val="2547"/>
    <w:autoRedefine/>
    <w:qFormat/>
    <w:uiPriority w:val="0"/>
    <w:rPr>
      <w:rFonts w:asciiTheme="majorHAnsi" w:hAnsiTheme="majorHAnsi" w:eastAsiaTheme="majorEastAsia" w:cstheme="majorBidi"/>
      <w:sz w:val="24"/>
      <w:szCs w:val="24"/>
      <w:vertAlign w:val="superscript"/>
    </w:rPr>
  </w:style>
  <w:style w:type="paragraph" w:customStyle="1" w:styleId="2549">
    <w:name w:val="样式75"/>
    <w:basedOn w:val="267"/>
    <w:link w:val="2550"/>
    <w:autoRedefine/>
    <w:qFormat/>
    <w:uiPriority w:val="0"/>
    <w:pPr>
      <w:keepNext w:val="0"/>
      <w:widowControl/>
      <w:tabs>
        <w:tab w:val="clear" w:pos="0"/>
      </w:tabs>
      <w:spacing w:beforeLines="50" w:afterLines="50"/>
      <w:ind w:firstLine="480" w:firstLineChars="200"/>
      <w:jc w:val="left"/>
      <w:outlineLvl w:val="9"/>
    </w:pPr>
    <w:rPr>
      <w:rFonts w:ascii="Calibri" w:hAnsi="Calibri" w:eastAsia="宋体" w:cs="Times New Roman"/>
      <w:bCs w:val="0"/>
      <w:kern w:val="0"/>
      <w:sz w:val="24"/>
      <w:szCs w:val="24"/>
    </w:rPr>
  </w:style>
  <w:style w:type="character" w:customStyle="1" w:styleId="2550">
    <w:name w:val="样式75 Char"/>
    <w:link w:val="2549"/>
    <w:qFormat/>
    <w:uiPriority w:val="0"/>
    <w:rPr>
      <w:rFonts w:ascii="Calibri" w:hAnsi="Calibri"/>
      <w:sz w:val="24"/>
      <w:szCs w:val="24"/>
    </w:rPr>
  </w:style>
  <w:style w:type="paragraph" w:customStyle="1" w:styleId="2551">
    <w:name w:val="font"/>
    <w:basedOn w:val="1"/>
    <w:qFormat/>
    <w:uiPriority w:val="0"/>
    <w:pPr>
      <w:widowControl/>
      <w:spacing w:before="100" w:beforeAutospacing="1" w:after="100" w:afterAutospacing="1" w:line="360" w:lineRule="auto"/>
      <w:jc w:val="left"/>
    </w:pPr>
    <w:rPr>
      <w:rFonts w:ascii="Arial Unicode MS" w:hAnsi="Arial Unicode MS" w:eastAsia="Arial Unicode MS" w:cs="Arial Unicode MS"/>
      <w:kern w:val="0"/>
      <w:szCs w:val="20"/>
    </w:rPr>
  </w:style>
  <w:style w:type="paragraph" w:customStyle="1" w:styleId="2552">
    <w:name w:val="文章正文文字 Char"/>
    <w:basedOn w:val="1"/>
    <w:link w:val="2553"/>
    <w:autoRedefine/>
    <w:semiHidden/>
    <w:qFormat/>
    <w:uiPriority w:val="0"/>
    <w:pPr>
      <w:widowControl/>
      <w:spacing w:line="520" w:lineRule="exact"/>
      <w:jc w:val="left"/>
    </w:pPr>
    <w:rPr>
      <w:rFonts w:cstheme="majorBidi"/>
      <w:kern w:val="0"/>
    </w:rPr>
  </w:style>
  <w:style w:type="character" w:customStyle="1" w:styleId="2553">
    <w:name w:val="文章正文文字 Char Char"/>
    <w:link w:val="2552"/>
    <w:autoRedefine/>
    <w:semiHidden/>
    <w:qFormat/>
    <w:uiPriority w:val="0"/>
    <w:rPr>
      <w:rFonts w:cstheme="majorBidi"/>
      <w:sz w:val="24"/>
      <w:szCs w:val="24"/>
    </w:rPr>
  </w:style>
  <w:style w:type="paragraph" w:customStyle="1" w:styleId="2554">
    <w:name w:val="表格 32"/>
    <w:basedOn w:val="1"/>
    <w:qFormat/>
    <w:uiPriority w:val="0"/>
    <w:pPr>
      <w:widowControl/>
      <w:autoSpaceDE w:val="0"/>
      <w:autoSpaceDN w:val="0"/>
      <w:adjustRightInd w:val="0"/>
      <w:spacing w:line="360" w:lineRule="auto"/>
      <w:jc w:val="center"/>
      <w:textAlignment w:val="baseline"/>
    </w:pPr>
    <w:rPr>
      <w:rFonts w:cstheme="majorBidi"/>
      <w:kern w:val="0"/>
      <w:szCs w:val="20"/>
    </w:rPr>
  </w:style>
  <w:style w:type="paragraph" w:customStyle="1" w:styleId="2555">
    <w:name w:val="自动2"/>
    <w:basedOn w:val="1"/>
    <w:link w:val="2556"/>
    <w:autoRedefine/>
    <w:qFormat/>
    <w:uiPriority w:val="0"/>
    <w:pPr>
      <w:keepNext/>
      <w:keepLines/>
      <w:widowControl/>
      <w:tabs>
        <w:tab w:val="left" w:pos="540"/>
        <w:tab w:val="left" w:pos="720"/>
      </w:tabs>
      <w:spacing w:before="50" w:after="50" w:line="360" w:lineRule="auto"/>
      <w:ind w:left="720" w:hanging="720"/>
      <w:jc w:val="left"/>
      <w:outlineLvl w:val="1"/>
    </w:pPr>
    <w:rPr>
      <w:rFonts w:ascii="Wingdings" w:eastAsia="Wingdings" w:cs="MS Sans Serif"/>
      <w:b/>
      <w:color w:val="000000"/>
      <w:kern w:val="0"/>
      <w:sz w:val="28"/>
      <w:szCs w:val="20"/>
    </w:rPr>
  </w:style>
  <w:style w:type="character" w:customStyle="1" w:styleId="2556">
    <w:name w:val="自动2 Char"/>
    <w:link w:val="2555"/>
    <w:autoRedefine/>
    <w:qFormat/>
    <w:uiPriority w:val="0"/>
    <w:rPr>
      <w:rFonts w:ascii="Wingdings" w:eastAsia="Wingdings" w:cs="MS Sans Serif"/>
      <w:b/>
      <w:color w:val="000000"/>
      <w:sz w:val="28"/>
    </w:rPr>
  </w:style>
  <w:style w:type="paragraph" w:customStyle="1" w:styleId="2557">
    <w:name w:val="样式37"/>
    <w:basedOn w:val="1"/>
    <w:link w:val="2558"/>
    <w:autoRedefine/>
    <w:qFormat/>
    <w:uiPriority w:val="0"/>
    <w:pPr>
      <w:widowControl/>
      <w:spacing w:beforeLines="50" w:afterLines="50" w:line="360" w:lineRule="auto"/>
      <w:ind w:firstLine="480"/>
      <w:jc w:val="left"/>
    </w:pPr>
    <w:rPr>
      <w:rFonts w:ascii="宋体" w:hAnsi="宋体" w:cs="宋体"/>
      <w:color w:val="000000"/>
      <w:kern w:val="0"/>
    </w:rPr>
  </w:style>
  <w:style w:type="character" w:customStyle="1" w:styleId="2558">
    <w:name w:val="样式37 Char"/>
    <w:link w:val="2557"/>
    <w:autoRedefine/>
    <w:qFormat/>
    <w:uiPriority w:val="0"/>
    <w:rPr>
      <w:rFonts w:ascii="宋体" w:hAnsi="宋体" w:cs="宋体"/>
      <w:color w:val="000000"/>
      <w:sz w:val="24"/>
      <w:szCs w:val="24"/>
    </w:rPr>
  </w:style>
  <w:style w:type="paragraph" w:customStyle="1" w:styleId="2559">
    <w:name w:val="正文表格"/>
    <w:basedOn w:val="1"/>
    <w:autoRedefine/>
    <w:qFormat/>
    <w:uiPriority w:val="0"/>
    <w:pPr>
      <w:widowControl/>
      <w:spacing w:line="360" w:lineRule="auto"/>
      <w:jc w:val="center"/>
    </w:pPr>
    <w:rPr>
      <w:rFonts w:ascii="宋体" w:hAnsi="宋体" w:cstheme="majorBidi"/>
      <w:kern w:val="0"/>
      <w:szCs w:val="20"/>
    </w:rPr>
  </w:style>
  <w:style w:type="paragraph" w:customStyle="1" w:styleId="2560">
    <w:name w:val="样式62"/>
    <w:basedOn w:val="1"/>
    <w:autoRedefine/>
    <w:qFormat/>
    <w:uiPriority w:val="0"/>
    <w:pPr>
      <w:widowControl/>
      <w:spacing w:beforeLines="50" w:afterLines="50" w:line="360" w:lineRule="auto"/>
      <w:ind w:firstLine="480"/>
      <w:jc w:val="left"/>
    </w:pPr>
    <w:rPr>
      <w:rFonts w:cstheme="majorBidi"/>
      <w:kern w:val="0"/>
    </w:rPr>
  </w:style>
  <w:style w:type="paragraph" w:customStyle="1" w:styleId="2561">
    <w:name w:val="esu426"/>
    <w:basedOn w:val="1"/>
    <w:autoRedefine/>
    <w:qFormat/>
    <w:uiPriority w:val="99"/>
    <w:pPr>
      <w:widowControl/>
      <w:spacing w:before="100" w:beforeAutospacing="1" w:after="100" w:afterAutospacing="1" w:line="360" w:lineRule="auto"/>
      <w:jc w:val="left"/>
    </w:pPr>
    <w:rPr>
      <w:rFonts w:ascii="宋体" w:hAnsi="宋体" w:cs="宋体"/>
      <w:kern w:val="0"/>
    </w:rPr>
  </w:style>
  <w:style w:type="paragraph" w:customStyle="1" w:styleId="2562">
    <w:name w:val="0916正文样式"/>
    <w:basedOn w:val="1"/>
    <w:link w:val="2563"/>
    <w:qFormat/>
    <w:uiPriority w:val="0"/>
    <w:pPr>
      <w:widowControl/>
      <w:adjustRightInd w:val="0"/>
      <w:snapToGrid w:val="0"/>
      <w:spacing w:line="336" w:lineRule="auto"/>
      <w:jc w:val="left"/>
    </w:pPr>
    <w:rPr>
      <w:rFonts w:ascii="宋体" w:hAnsi="ˎ̥" w:cstheme="majorBidi"/>
      <w:kern w:val="0"/>
      <w:sz w:val="28"/>
      <w:szCs w:val="28"/>
    </w:rPr>
  </w:style>
  <w:style w:type="character" w:customStyle="1" w:styleId="2563">
    <w:name w:val="0916正文样式 Char"/>
    <w:link w:val="2562"/>
    <w:autoRedefine/>
    <w:qFormat/>
    <w:uiPriority w:val="0"/>
    <w:rPr>
      <w:rFonts w:ascii="宋体" w:hAnsi="ˎ̥" w:cstheme="majorBidi"/>
      <w:sz w:val="28"/>
      <w:szCs w:val="28"/>
    </w:rPr>
  </w:style>
  <w:style w:type="paragraph" w:customStyle="1" w:styleId="2564">
    <w:name w:val="Char Char110"/>
    <w:basedOn w:val="1"/>
    <w:autoRedefine/>
    <w:qFormat/>
    <w:uiPriority w:val="0"/>
    <w:pPr>
      <w:widowControl/>
      <w:tabs>
        <w:tab w:val="left" w:pos="632"/>
      </w:tabs>
      <w:spacing w:line="360" w:lineRule="auto"/>
      <w:ind w:left="632" w:hanging="432"/>
      <w:jc w:val="left"/>
    </w:pPr>
    <w:rPr>
      <w:rFonts w:ascii="宋体" w:cs="宋体"/>
      <w:kern w:val="0"/>
    </w:rPr>
  </w:style>
  <w:style w:type="paragraph" w:customStyle="1" w:styleId="2565">
    <w:name w:val="我的标题2"/>
    <w:basedOn w:val="1"/>
    <w:link w:val="2566"/>
    <w:autoRedefine/>
    <w:qFormat/>
    <w:uiPriority w:val="0"/>
    <w:pPr>
      <w:widowControl/>
      <w:spacing w:line="360" w:lineRule="auto"/>
      <w:jc w:val="left"/>
      <w:outlineLvl w:val="1"/>
    </w:pPr>
    <w:rPr>
      <w:rFonts w:cstheme="majorBidi"/>
      <w:b/>
      <w:kern w:val="0"/>
      <w:sz w:val="30"/>
    </w:rPr>
  </w:style>
  <w:style w:type="character" w:customStyle="1" w:styleId="2566">
    <w:name w:val="我的标题2 Char"/>
    <w:link w:val="2565"/>
    <w:autoRedefine/>
    <w:qFormat/>
    <w:uiPriority w:val="0"/>
    <w:rPr>
      <w:rFonts w:cstheme="majorBidi"/>
      <w:b/>
      <w:sz w:val="30"/>
      <w:szCs w:val="24"/>
    </w:rPr>
  </w:style>
  <w:style w:type="character" w:customStyle="1" w:styleId="2567">
    <w:name w:val="报告标题2 Char"/>
    <w:link w:val="2468"/>
    <w:autoRedefine/>
    <w:uiPriority w:val="0"/>
    <w:rPr>
      <w:rFonts w:ascii="Arial" w:hAnsi="Arial"/>
      <w:b/>
      <w:bCs/>
      <w:smallCaps/>
      <w:color w:val="000000"/>
      <w:sz w:val="28"/>
      <w:szCs w:val="28"/>
    </w:rPr>
  </w:style>
  <w:style w:type="paragraph" w:customStyle="1" w:styleId="2568">
    <w:name w:val="Char2 Char Char Char Char Char Char Char Char Char1"/>
    <w:basedOn w:val="1"/>
    <w:autoRedefine/>
    <w:qFormat/>
    <w:uiPriority w:val="0"/>
    <w:pPr>
      <w:widowControl/>
      <w:spacing w:line="360" w:lineRule="auto"/>
      <w:jc w:val="left"/>
    </w:pPr>
    <w:rPr>
      <w:rFonts w:ascii="宋体" w:cs="宋体"/>
      <w:kern w:val="0"/>
    </w:rPr>
  </w:style>
  <w:style w:type="paragraph" w:customStyle="1" w:styleId="2569">
    <w:name w:val="样式 生物质发电正文 + Times New Roman 加粗 首行缩进:  2 字符"/>
    <w:basedOn w:val="1"/>
    <w:link w:val="2570"/>
    <w:autoRedefine/>
    <w:qFormat/>
    <w:uiPriority w:val="0"/>
    <w:pPr>
      <w:widowControl/>
      <w:suppressAutoHyphens/>
      <w:adjustRightInd w:val="0"/>
      <w:snapToGrid w:val="0"/>
      <w:spacing w:line="324" w:lineRule="auto"/>
      <w:ind w:firstLine="482"/>
      <w:jc w:val="left"/>
      <w:textAlignment w:val="baseline"/>
    </w:pPr>
    <w:rPr>
      <w:rFonts w:cs="宋体"/>
      <w:bCs/>
      <w:kern w:val="0"/>
      <w:szCs w:val="20"/>
    </w:rPr>
  </w:style>
  <w:style w:type="character" w:customStyle="1" w:styleId="2570">
    <w:name w:val="样式 生物质发电正文 + Times New Roman 加粗 首行缩进:  2 字符 Char"/>
    <w:link w:val="2569"/>
    <w:autoRedefine/>
    <w:qFormat/>
    <w:uiPriority w:val="0"/>
    <w:rPr>
      <w:rFonts w:cs="宋体"/>
      <w:bCs/>
      <w:sz w:val="24"/>
    </w:rPr>
  </w:style>
  <w:style w:type="paragraph" w:customStyle="1" w:styleId="2571">
    <w:name w:val="GH1文本_02条款"/>
    <w:link w:val="2572"/>
    <w:autoRedefine/>
    <w:qFormat/>
    <w:uiPriority w:val="0"/>
    <w:pPr>
      <w:widowControl w:val="0"/>
      <w:tabs>
        <w:tab w:val="left" w:pos="1320"/>
        <w:tab w:val="left" w:pos="1588"/>
      </w:tabs>
      <w:spacing w:line="360" w:lineRule="auto"/>
      <w:ind w:left="1320" w:hanging="420"/>
      <w:outlineLvl w:val="2"/>
    </w:pPr>
    <w:rPr>
      <w:rFonts w:asciiTheme="majorHAnsi" w:hAnsiTheme="majorHAnsi" w:eastAsiaTheme="majorEastAsia" w:cstheme="majorBidi"/>
      <w:sz w:val="28"/>
      <w:szCs w:val="24"/>
      <w:lang w:val="en-US" w:eastAsia="zh-CN" w:bidi="ar-SA"/>
    </w:rPr>
  </w:style>
  <w:style w:type="character" w:customStyle="1" w:styleId="2572">
    <w:name w:val="GH1文本_02条款 Char Char"/>
    <w:link w:val="2571"/>
    <w:autoRedefine/>
    <w:qFormat/>
    <w:uiPriority w:val="0"/>
    <w:rPr>
      <w:rFonts w:asciiTheme="majorHAnsi" w:hAnsiTheme="majorHAnsi" w:eastAsiaTheme="majorEastAsia" w:cstheme="majorBidi"/>
      <w:sz w:val="28"/>
      <w:szCs w:val="24"/>
    </w:rPr>
  </w:style>
  <w:style w:type="paragraph" w:customStyle="1" w:styleId="2573">
    <w:name w:val="样式68"/>
    <w:basedOn w:val="1"/>
    <w:qFormat/>
    <w:uiPriority w:val="0"/>
    <w:pPr>
      <w:widowControl/>
      <w:spacing w:line="360" w:lineRule="auto"/>
      <w:ind w:right="-40"/>
      <w:jc w:val="center"/>
    </w:pPr>
    <w:rPr>
      <w:rFonts w:ascii="宋体" w:hAnsi="宋体" w:cstheme="majorBidi"/>
      <w:b/>
      <w:bCs/>
      <w:kern w:val="0"/>
      <w:szCs w:val="21"/>
    </w:rPr>
  </w:style>
  <w:style w:type="paragraph" w:customStyle="1" w:styleId="2574">
    <w:name w:val="正文-1"/>
    <w:basedOn w:val="35"/>
    <w:link w:val="2575"/>
    <w:autoRedefine/>
    <w:qFormat/>
    <w:uiPriority w:val="0"/>
    <w:pPr>
      <w:widowControl/>
      <w:snapToGrid w:val="0"/>
      <w:ind w:firstLine="180" w:firstLineChars="180"/>
      <w:jc w:val="left"/>
    </w:pPr>
    <w:rPr>
      <w:rFonts w:ascii="Calibri" w:hAnsi="Calibri" w:cstheme="majorBidi"/>
      <w:spacing w:val="4"/>
      <w:kern w:val="18"/>
      <w:szCs w:val="30"/>
    </w:rPr>
  </w:style>
  <w:style w:type="character" w:customStyle="1" w:styleId="2575">
    <w:name w:val="正文-1 Char"/>
    <w:link w:val="2574"/>
    <w:autoRedefine/>
    <w:qFormat/>
    <w:uiPriority w:val="0"/>
    <w:rPr>
      <w:rFonts w:ascii="Calibri" w:hAnsi="Calibri" w:cstheme="majorBidi"/>
      <w:spacing w:val="4"/>
      <w:kern w:val="18"/>
      <w:sz w:val="24"/>
      <w:szCs w:val="30"/>
    </w:rPr>
  </w:style>
  <w:style w:type="paragraph" w:customStyle="1" w:styleId="2576">
    <w:name w:val="wangjunbo.bullet"/>
    <w:basedOn w:val="1"/>
    <w:autoRedefine/>
    <w:qFormat/>
    <w:uiPriority w:val="0"/>
    <w:pPr>
      <w:widowControl/>
      <w:spacing w:line="320" w:lineRule="exact"/>
      <w:jc w:val="center"/>
    </w:pPr>
    <w:rPr>
      <w:rFonts w:cstheme="majorBidi"/>
      <w:kern w:val="0"/>
      <w:szCs w:val="20"/>
    </w:rPr>
  </w:style>
  <w:style w:type="paragraph" w:customStyle="1" w:styleId="2577">
    <w:name w:val="样式29"/>
    <w:basedOn w:val="1"/>
    <w:link w:val="2578"/>
    <w:autoRedefine/>
    <w:uiPriority w:val="0"/>
    <w:pPr>
      <w:widowControl/>
      <w:spacing w:line="360" w:lineRule="auto"/>
      <w:ind w:firstLine="1132" w:firstLineChars="539"/>
      <w:jc w:val="left"/>
    </w:pPr>
    <w:rPr>
      <w:rFonts w:ascii="黑体" w:eastAsia="黑体" w:cstheme="majorBidi"/>
      <w:kern w:val="0"/>
      <w:sz w:val="20"/>
      <w:szCs w:val="21"/>
    </w:rPr>
  </w:style>
  <w:style w:type="character" w:customStyle="1" w:styleId="2578">
    <w:name w:val="样式29 Char"/>
    <w:link w:val="2577"/>
    <w:uiPriority w:val="0"/>
    <w:rPr>
      <w:rFonts w:ascii="黑体" w:eastAsia="黑体" w:cstheme="majorBidi"/>
      <w:szCs w:val="21"/>
    </w:rPr>
  </w:style>
  <w:style w:type="paragraph" w:customStyle="1" w:styleId="2579">
    <w:name w:val="纯文本2"/>
    <w:basedOn w:val="1"/>
    <w:autoRedefine/>
    <w:uiPriority w:val="0"/>
    <w:pPr>
      <w:widowControl/>
      <w:adjustRightInd w:val="0"/>
      <w:snapToGrid w:val="0"/>
      <w:spacing w:line="360" w:lineRule="auto"/>
      <w:jc w:val="left"/>
    </w:pPr>
    <w:rPr>
      <w:rFonts w:hint="eastAsia" w:ascii="宋体" w:hAnsi="Courier New" w:cs="宋体"/>
      <w:kern w:val="0"/>
      <w:szCs w:val="20"/>
    </w:rPr>
  </w:style>
  <w:style w:type="paragraph" w:customStyle="1" w:styleId="2580">
    <w:name w:val="样式 样式 标题 3标题 13标题 3 Char1 Char Char Char标题 31ReHead 3 WSAh3B... ...2"/>
    <w:basedOn w:val="1"/>
    <w:uiPriority w:val="0"/>
    <w:pPr>
      <w:keepNext/>
      <w:keepLines/>
      <w:widowControl/>
      <w:spacing w:beforeLines="50" w:afterLines="50" w:line="460" w:lineRule="exact"/>
      <w:jc w:val="left"/>
      <w:outlineLvl w:val="2"/>
    </w:pPr>
    <w:rPr>
      <w:rFonts w:ascii="宋体" w:hAnsi="宋体" w:cs="宋体"/>
      <w:b/>
      <w:bCs/>
      <w:color w:val="000000"/>
      <w:kern w:val="0"/>
      <w:szCs w:val="20"/>
    </w:rPr>
  </w:style>
  <w:style w:type="character" w:customStyle="1" w:styleId="2581">
    <w:name w:val="zhang正文 Char"/>
    <w:link w:val="831"/>
    <w:autoRedefine/>
    <w:qFormat/>
    <w:uiPriority w:val="0"/>
    <w:rPr>
      <w:rFonts w:eastAsia="楷体_GB2312"/>
      <w:sz w:val="28"/>
    </w:rPr>
  </w:style>
  <w:style w:type="paragraph" w:customStyle="1" w:styleId="2582">
    <w:name w:val="自动4"/>
    <w:basedOn w:val="1"/>
    <w:autoRedefine/>
    <w:qFormat/>
    <w:uiPriority w:val="0"/>
    <w:pPr>
      <w:keepNext/>
      <w:keepLines/>
      <w:widowControl/>
      <w:tabs>
        <w:tab w:val="left" w:pos="1131"/>
      </w:tabs>
      <w:spacing w:beforeLines="50" w:afterLines="50" w:line="360" w:lineRule="auto"/>
      <w:jc w:val="left"/>
      <w:outlineLvl w:val="3"/>
    </w:pPr>
    <w:rPr>
      <w:rFonts w:cstheme="majorBidi"/>
      <w:b/>
      <w:bCs/>
      <w:kern w:val="0"/>
    </w:rPr>
  </w:style>
  <w:style w:type="paragraph" w:customStyle="1" w:styleId="2583">
    <w:name w:val="表中"/>
    <w:basedOn w:val="1"/>
    <w:autoRedefine/>
    <w:uiPriority w:val="0"/>
    <w:pPr>
      <w:widowControl/>
      <w:adjustRightInd w:val="0"/>
      <w:snapToGrid w:val="0"/>
      <w:spacing w:line="360" w:lineRule="auto"/>
      <w:jc w:val="center"/>
    </w:pPr>
    <w:rPr>
      <w:rFonts w:ascii="宋体" w:hAnsi="宋体" w:cs="宋体"/>
      <w:kern w:val="0"/>
    </w:rPr>
  </w:style>
  <w:style w:type="paragraph" w:customStyle="1" w:styleId="2584">
    <w:name w:val="Char1 Char Char Char Char Char Char Char Char Char Char Char Char"/>
    <w:basedOn w:val="1"/>
    <w:autoRedefine/>
    <w:qFormat/>
    <w:uiPriority w:val="0"/>
    <w:pPr>
      <w:widowControl/>
      <w:spacing w:line="360" w:lineRule="auto"/>
      <w:jc w:val="left"/>
    </w:pPr>
    <w:rPr>
      <w:rFonts w:ascii="宋体" w:hAnsi="宋体" w:cs="宋体"/>
      <w:kern w:val="0"/>
    </w:rPr>
  </w:style>
  <w:style w:type="paragraph" w:customStyle="1" w:styleId="2585">
    <w:name w:val="质正文"/>
    <w:basedOn w:val="1"/>
    <w:uiPriority w:val="0"/>
    <w:pPr>
      <w:widowControl/>
      <w:adjustRightInd w:val="0"/>
      <w:snapToGrid w:val="0"/>
      <w:spacing w:line="360" w:lineRule="auto"/>
      <w:jc w:val="left"/>
    </w:pPr>
    <w:rPr>
      <w:rFonts w:ascii="宋体" w:cstheme="majorBidi"/>
      <w:kern w:val="0"/>
    </w:rPr>
  </w:style>
  <w:style w:type="paragraph" w:customStyle="1" w:styleId="2586">
    <w:name w:val="论文标题"/>
    <w:basedOn w:val="1"/>
    <w:qFormat/>
    <w:uiPriority w:val="0"/>
    <w:pPr>
      <w:widowControl/>
      <w:spacing w:line="300" w:lineRule="auto"/>
      <w:jc w:val="center"/>
    </w:pPr>
    <w:rPr>
      <w:rFonts w:cs="宋体"/>
      <w:b/>
      <w:bCs/>
      <w:kern w:val="0"/>
      <w:sz w:val="44"/>
      <w:szCs w:val="20"/>
    </w:rPr>
  </w:style>
  <w:style w:type="paragraph" w:customStyle="1" w:styleId="2587">
    <w:name w:val="第1章表题"/>
    <w:basedOn w:val="1"/>
    <w:autoRedefine/>
    <w:uiPriority w:val="0"/>
    <w:pPr>
      <w:widowControl/>
      <w:adjustRightInd w:val="0"/>
      <w:snapToGrid w:val="0"/>
      <w:spacing w:before="120" w:after="60" w:line="440" w:lineRule="exact"/>
      <w:jc w:val="left"/>
      <w:textAlignment w:val="baseline"/>
    </w:pPr>
    <w:rPr>
      <w:rFonts w:ascii="仿宋_GB2312" w:eastAsia="黑体" w:cstheme="majorBidi"/>
      <w:kern w:val="0"/>
      <w:szCs w:val="20"/>
    </w:rPr>
  </w:style>
  <w:style w:type="paragraph" w:customStyle="1" w:styleId="2588">
    <w:name w:val="样式 标题 4 + (西文) Times New Roman (中文) 宋体 小四 非加粗"/>
    <w:basedOn w:val="6"/>
    <w:qFormat/>
    <w:uiPriority w:val="0"/>
    <w:pPr>
      <w:keepNext w:val="0"/>
      <w:keepLines w:val="0"/>
      <w:widowControl/>
      <w:numPr>
        <w:numId w:val="33"/>
      </w:numPr>
      <w:spacing w:line="500" w:lineRule="exact"/>
      <w:jc w:val="left"/>
    </w:pPr>
    <w:rPr>
      <w:rFonts w:ascii="宋体" w:hAnsi="宋体" w:eastAsia="黑体"/>
      <w:b w:val="0"/>
      <w:color w:val="000000"/>
      <w:spacing w:val="5"/>
      <w:kern w:val="0"/>
      <w:szCs w:val="24"/>
    </w:rPr>
  </w:style>
  <w:style w:type="paragraph" w:customStyle="1" w:styleId="2589">
    <w:name w:val="封面标准名称"/>
    <w:uiPriority w:val="0"/>
    <w:pPr>
      <w:framePr w:w="9638" w:h="6917" w:hRule="exact" w:wrap="around" w:vAnchor="margin" w:hAnchor="margin" w:xAlign="center" w:y="5955" w:anchorLock="1"/>
      <w:widowControl w:val="0"/>
      <w:spacing w:line="680" w:lineRule="exact"/>
      <w:jc w:val="center"/>
      <w:textAlignment w:val="center"/>
    </w:pPr>
    <w:rPr>
      <w:rFonts w:ascii="黑体" w:hAnsi="Times New Roman" w:eastAsia="黑体" w:cstheme="majorBidi"/>
      <w:sz w:val="52"/>
      <w:szCs w:val="22"/>
      <w:lang w:val="en-US" w:eastAsia="zh-CN" w:bidi="ar-SA"/>
    </w:rPr>
  </w:style>
  <w:style w:type="paragraph" w:customStyle="1" w:styleId="2590">
    <w:name w:val="zxz5"/>
    <w:next w:val="1"/>
    <w:autoRedefine/>
    <w:qFormat/>
    <w:uiPriority w:val="0"/>
    <w:pPr>
      <w:tabs>
        <w:tab w:val="left" w:pos="0"/>
      </w:tabs>
      <w:spacing w:line="360" w:lineRule="auto"/>
      <w:jc w:val="center"/>
    </w:pPr>
    <w:rPr>
      <w:rFonts w:ascii="宋体" w:hAnsi="宋体" w:eastAsia="Times New Roman" w:cs="宋体"/>
      <w:bCs/>
      <w:kern w:val="2"/>
      <w:sz w:val="18"/>
      <w:szCs w:val="18"/>
      <w:lang w:val="en-US" w:eastAsia="zh-CN" w:bidi="ar-SA"/>
    </w:rPr>
  </w:style>
  <w:style w:type="paragraph" w:customStyle="1" w:styleId="2591">
    <w:name w:val="样式104"/>
    <w:basedOn w:val="1"/>
    <w:autoRedefine/>
    <w:semiHidden/>
    <w:qFormat/>
    <w:uiPriority w:val="0"/>
    <w:pPr>
      <w:keepNext/>
      <w:keepLines/>
      <w:widowControl/>
      <w:spacing w:line="480" w:lineRule="exact"/>
      <w:jc w:val="left"/>
      <w:outlineLvl w:val="3"/>
    </w:pPr>
    <w:rPr>
      <w:rFonts w:cstheme="majorBidi"/>
      <w:b/>
      <w:kern w:val="0"/>
    </w:rPr>
  </w:style>
  <w:style w:type="paragraph" w:customStyle="1" w:styleId="2592">
    <w:name w:val="电镀表"/>
    <w:basedOn w:val="1"/>
    <w:link w:val="2593"/>
    <w:autoRedefine/>
    <w:uiPriority w:val="0"/>
    <w:pPr>
      <w:widowControl/>
      <w:autoSpaceDE w:val="0"/>
      <w:autoSpaceDN w:val="0"/>
      <w:adjustRightInd w:val="0"/>
      <w:spacing w:line="360" w:lineRule="auto"/>
      <w:jc w:val="center"/>
      <w:textAlignment w:val="center"/>
    </w:pPr>
    <w:rPr>
      <w:rFonts w:cstheme="majorBidi"/>
      <w:w w:val="105"/>
      <w:kern w:val="10"/>
      <w:szCs w:val="21"/>
    </w:rPr>
  </w:style>
  <w:style w:type="character" w:customStyle="1" w:styleId="2593">
    <w:name w:val="电镀表 Char"/>
    <w:link w:val="2592"/>
    <w:autoRedefine/>
    <w:qFormat/>
    <w:uiPriority w:val="0"/>
    <w:rPr>
      <w:rFonts w:cstheme="majorBidi"/>
      <w:w w:val="105"/>
      <w:kern w:val="10"/>
      <w:sz w:val="24"/>
      <w:szCs w:val="21"/>
    </w:rPr>
  </w:style>
  <w:style w:type="paragraph" w:customStyle="1" w:styleId="2594">
    <w:name w:val="12"/>
    <w:basedOn w:val="1"/>
    <w:next w:val="70"/>
    <w:autoRedefine/>
    <w:uiPriority w:val="0"/>
    <w:pPr>
      <w:widowControl/>
      <w:spacing w:line="360" w:lineRule="auto"/>
      <w:ind w:firstLine="616"/>
      <w:jc w:val="left"/>
    </w:pPr>
    <w:rPr>
      <w:rFonts w:ascii="宋体" w:cstheme="majorBidi"/>
      <w:kern w:val="0"/>
      <w:sz w:val="28"/>
      <w:szCs w:val="20"/>
    </w:rPr>
  </w:style>
  <w:style w:type="paragraph" w:customStyle="1" w:styleId="2595">
    <w:name w:val="样式 标题 2标题 21标题 121标题 1.1节标题 1.14.1 + Arial 四号 段前: 0.5 行..."/>
    <w:basedOn w:val="4"/>
    <w:qFormat/>
    <w:uiPriority w:val="0"/>
    <w:pPr>
      <w:keepNext w:val="0"/>
      <w:keepLines w:val="0"/>
      <w:widowControl/>
      <w:numPr>
        <w:ilvl w:val="0"/>
        <w:numId w:val="0"/>
      </w:numPr>
      <w:spacing w:before="260" w:beforeLines="50" w:after="260" w:afterLines="50"/>
      <w:jc w:val="left"/>
    </w:pPr>
    <w:rPr>
      <w:rFonts w:ascii="Arial" w:hAnsi="宋体" w:eastAsia="宋体" w:cs="宋体"/>
      <w:b w:val="0"/>
      <w:bCs w:val="0"/>
      <w:smallCaps/>
      <w:kern w:val="0"/>
      <w:sz w:val="24"/>
      <w:szCs w:val="20"/>
    </w:rPr>
  </w:style>
  <w:style w:type="character" w:customStyle="1" w:styleId="2596">
    <w:name w:val="1正文段落 Char"/>
    <w:link w:val="1434"/>
    <w:autoRedefine/>
    <w:qFormat/>
    <w:uiPriority w:val="0"/>
    <w:rPr>
      <w:sz w:val="24"/>
      <w:szCs w:val="24"/>
    </w:rPr>
  </w:style>
  <w:style w:type="paragraph" w:customStyle="1" w:styleId="2597">
    <w:name w:val="样式56"/>
    <w:basedOn w:val="2509"/>
    <w:link w:val="2598"/>
    <w:uiPriority w:val="0"/>
    <w:rPr>
      <w:b w:val="0"/>
      <w:sz w:val="20"/>
      <w:szCs w:val="20"/>
    </w:rPr>
  </w:style>
  <w:style w:type="character" w:customStyle="1" w:styleId="2598">
    <w:name w:val="样式56 Char"/>
    <w:link w:val="2597"/>
    <w:autoRedefine/>
    <w:uiPriority w:val="0"/>
    <w:rPr>
      <w:rFonts w:cstheme="majorBidi"/>
    </w:rPr>
  </w:style>
  <w:style w:type="paragraph" w:customStyle="1" w:styleId="2599">
    <w:name w:val="Losange 3"/>
    <w:basedOn w:val="2600"/>
    <w:autoRedefine/>
    <w:qFormat/>
    <w:uiPriority w:val="0"/>
    <w:pPr>
      <w:tabs>
        <w:tab w:val="left" w:pos="360"/>
      </w:tabs>
      <w:ind w:left="360" w:hanging="360" w:hangingChars="200"/>
    </w:pPr>
  </w:style>
  <w:style w:type="paragraph" w:customStyle="1" w:styleId="2600">
    <w:name w:val="Losange 1"/>
    <w:basedOn w:val="2601"/>
    <w:qFormat/>
    <w:uiPriority w:val="0"/>
    <w:pPr>
      <w:ind w:left="1531" w:hanging="397"/>
    </w:pPr>
  </w:style>
  <w:style w:type="paragraph" w:customStyle="1" w:styleId="2601">
    <w:name w:val="Retrait 1"/>
    <w:basedOn w:val="1"/>
    <w:qFormat/>
    <w:uiPriority w:val="0"/>
    <w:pPr>
      <w:widowControl/>
      <w:overflowPunct w:val="0"/>
      <w:autoSpaceDE w:val="0"/>
      <w:autoSpaceDN w:val="0"/>
      <w:adjustRightInd w:val="0"/>
      <w:spacing w:before="120" w:line="360" w:lineRule="auto"/>
      <w:ind w:left="851"/>
      <w:jc w:val="left"/>
      <w:textAlignment w:val="baseline"/>
    </w:pPr>
    <w:rPr>
      <w:rFonts w:ascii="Arial" w:hAnsi="Arial" w:cstheme="majorBidi"/>
      <w:color w:val="000000"/>
      <w:kern w:val="0"/>
      <w:lang w:val="en-GB"/>
    </w:rPr>
  </w:style>
  <w:style w:type="paragraph" w:customStyle="1" w:styleId="2602">
    <w:name w:val="无线页眉"/>
    <w:basedOn w:val="57"/>
    <w:autoRedefine/>
    <w:qFormat/>
    <w:uiPriority w:val="99"/>
    <w:pPr>
      <w:widowControl/>
      <w:spacing w:line="360" w:lineRule="auto"/>
      <w:ind w:firstLine="480"/>
    </w:pPr>
    <w:rPr>
      <w:rFonts w:cstheme="majorBidi"/>
      <w:kern w:val="0"/>
      <w:szCs w:val="20"/>
    </w:rPr>
  </w:style>
  <w:style w:type="paragraph" w:customStyle="1" w:styleId="2603">
    <w:name w:val="样式 Arial 三号 左 段前: 4.65 磅 行距: 固定值 24 磅"/>
    <w:basedOn w:val="1"/>
    <w:autoRedefine/>
    <w:qFormat/>
    <w:uiPriority w:val="0"/>
    <w:pPr>
      <w:widowControl/>
      <w:spacing w:before="60" w:line="480" w:lineRule="exact"/>
      <w:jc w:val="left"/>
    </w:pPr>
    <w:rPr>
      <w:rFonts w:ascii="Arial" w:hAnsi="Arial" w:cs="Arial"/>
      <w:kern w:val="0"/>
      <w:sz w:val="32"/>
      <w:szCs w:val="32"/>
    </w:rPr>
  </w:style>
  <w:style w:type="paragraph" w:customStyle="1" w:styleId="2604">
    <w:name w:val="xl19"/>
    <w:basedOn w:val="1"/>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rPr>
  </w:style>
  <w:style w:type="paragraph" w:customStyle="1" w:styleId="2605">
    <w:name w:val="正文(首行缩进)宋旭峰"/>
    <w:basedOn w:val="21"/>
    <w:link w:val="2606"/>
    <w:autoRedefine/>
    <w:qFormat/>
    <w:uiPriority w:val="0"/>
    <w:pPr>
      <w:widowControl/>
      <w:spacing w:line="360" w:lineRule="auto"/>
      <w:ind w:firstLine="480"/>
      <w:contextualSpacing/>
    </w:pPr>
    <w:rPr>
      <w:rFonts w:ascii="Calibri" w:hAnsi="Calibri" w:cstheme="majorBidi"/>
      <w:kern w:val="0"/>
    </w:rPr>
  </w:style>
  <w:style w:type="character" w:customStyle="1" w:styleId="2606">
    <w:name w:val="正文(首行缩进)宋旭峰 Char Char"/>
    <w:link w:val="2605"/>
    <w:qFormat/>
    <w:uiPriority w:val="0"/>
    <w:rPr>
      <w:rFonts w:ascii="Calibri" w:hAnsi="Calibri" w:cstheme="majorBidi"/>
      <w:b/>
      <w:color w:val="000000" w:themeColor="text1"/>
      <w:sz w:val="24"/>
      <w:szCs w:val="24"/>
      <w14:textFill>
        <w14:solidFill>
          <w14:schemeClr w14:val="tx1"/>
        </w14:solidFill>
      </w14:textFill>
    </w:rPr>
  </w:style>
  <w:style w:type="paragraph" w:customStyle="1" w:styleId="2607">
    <w:name w:val="reader-word-layer reader-word-s1-24"/>
    <w:basedOn w:val="1"/>
    <w:autoRedefine/>
    <w:uiPriority w:val="99"/>
    <w:pPr>
      <w:widowControl/>
      <w:spacing w:before="100" w:beforeAutospacing="1" w:after="100" w:afterAutospacing="1" w:line="360" w:lineRule="auto"/>
      <w:jc w:val="left"/>
    </w:pPr>
    <w:rPr>
      <w:rFonts w:ascii="宋体" w:hAnsi="宋体" w:cs="宋体"/>
      <w:kern w:val="0"/>
    </w:rPr>
  </w:style>
  <w:style w:type="paragraph" w:customStyle="1" w:styleId="2608">
    <w:name w:val="样式 样式 标题 1标题 11一、标题 1 Char章 + Times New Roman 小三 非加粗 黑色 行距:... +..."/>
    <w:basedOn w:val="1"/>
    <w:qFormat/>
    <w:uiPriority w:val="0"/>
    <w:pPr>
      <w:keepNext/>
      <w:keepLines/>
      <w:widowControl/>
      <w:spacing w:before="156" w:after="156" w:line="460" w:lineRule="exact"/>
      <w:jc w:val="left"/>
      <w:outlineLvl w:val="0"/>
    </w:pPr>
    <w:rPr>
      <w:rFonts w:eastAsia="黑体" w:cs="宋体"/>
      <w:color w:val="000000"/>
      <w:kern w:val="44"/>
      <w:sz w:val="30"/>
      <w:szCs w:val="20"/>
    </w:rPr>
  </w:style>
  <w:style w:type="paragraph" w:customStyle="1" w:styleId="2609">
    <w:name w:val="样式43"/>
    <w:basedOn w:val="1"/>
    <w:link w:val="2610"/>
    <w:autoRedefine/>
    <w:uiPriority w:val="0"/>
    <w:pPr>
      <w:widowControl/>
      <w:spacing w:line="360" w:lineRule="auto"/>
      <w:ind w:firstLine="480"/>
      <w:jc w:val="left"/>
    </w:pPr>
    <w:rPr>
      <w:rFonts w:cstheme="majorBidi"/>
      <w:kern w:val="0"/>
      <w:lang w:val="zh-CN"/>
    </w:rPr>
  </w:style>
  <w:style w:type="character" w:customStyle="1" w:styleId="2610">
    <w:name w:val="样式43 Char"/>
    <w:link w:val="2609"/>
    <w:autoRedefine/>
    <w:qFormat/>
    <w:uiPriority w:val="0"/>
    <w:rPr>
      <w:rFonts w:cstheme="majorBidi"/>
      <w:sz w:val="24"/>
      <w:szCs w:val="24"/>
      <w:lang w:val="zh-CN"/>
    </w:rPr>
  </w:style>
  <w:style w:type="paragraph" w:customStyle="1" w:styleId="2611">
    <w:name w:val="8.7正文格式"/>
    <w:basedOn w:val="1"/>
    <w:link w:val="2612"/>
    <w:autoRedefine/>
    <w:qFormat/>
    <w:uiPriority w:val="0"/>
    <w:pPr>
      <w:widowControl/>
      <w:spacing w:line="500" w:lineRule="exact"/>
      <w:ind w:firstLine="560"/>
      <w:jc w:val="left"/>
    </w:pPr>
    <w:rPr>
      <w:rFonts w:cs="宋体"/>
      <w:kern w:val="0"/>
      <w:sz w:val="28"/>
      <w:szCs w:val="20"/>
    </w:rPr>
  </w:style>
  <w:style w:type="character" w:customStyle="1" w:styleId="2612">
    <w:name w:val="8.7正文格式 Char"/>
    <w:link w:val="2611"/>
    <w:autoRedefine/>
    <w:qFormat/>
    <w:uiPriority w:val="0"/>
    <w:rPr>
      <w:rFonts w:cs="宋体"/>
      <w:sz w:val="28"/>
    </w:rPr>
  </w:style>
  <w:style w:type="paragraph" w:customStyle="1" w:styleId="2613">
    <w:name w:val="标题样式1"/>
    <w:basedOn w:val="3"/>
    <w:link w:val="2614"/>
    <w:autoRedefine/>
    <w:qFormat/>
    <w:uiPriority w:val="0"/>
    <w:pPr>
      <w:keepNext w:val="0"/>
      <w:widowControl/>
      <w:numPr>
        <w:numId w:val="0"/>
      </w:numPr>
      <w:tabs>
        <w:tab w:val="clear" w:pos="0"/>
      </w:tabs>
      <w:spacing w:line="360" w:lineRule="auto"/>
      <w:contextualSpacing/>
      <w:jc w:val="left"/>
    </w:pPr>
    <w:rPr>
      <w:rFonts w:ascii="黑体" w:hAnsi="Calibri" w:cstheme="majorBidi"/>
      <w:bCs/>
      <w:smallCaps/>
      <w:spacing w:val="5"/>
      <w:kern w:val="0"/>
      <w:sz w:val="28"/>
      <w:szCs w:val="20"/>
    </w:rPr>
  </w:style>
  <w:style w:type="character" w:customStyle="1" w:styleId="2614">
    <w:name w:val="标题样式1 Char"/>
    <w:link w:val="2613"/>
    <w:uiPriority w:val="0"/>
    <w:rPr>
      <w:rFonts w:ascii="黑体" w:hAnsi="Calibri" w:eastAsia="黑体" w:cstheme="majorBidi"/>
      <w:b/>
      <w:bCs/>
      <w:smallCaps/>
      <w:spacing w:val="5"/>
      <w:sz w:val="28"/>
    </w:rPr>
  </w:style>
  <w:style w:type="paragraph" w:customStyle="1" w:styleId="2615">
    <w:name w:val="样式 标题 2 + 段后: 16.3 磅"/>
    <w:basedOn w:val="4"/>
    <w:autoRedefine/>
    <w:qFormat/>
    <w:uiPriority w:val="99"/>
    <w:pPr>
      <w:keepNext w:val="0"/>
      <w:keepLines w:val="0"/>
      <w:widowControl/>
      <w:numPr>
        <w:ilvl w:val="0"/>
        <w:numId w:val="0"/>
      </w:numPr>
      <w:tabs>
        <w:tab w:val="left" w:pos="840"/>
      </w:tabs>
      <w:spacing w:before="260" w:after="326" w:line="312" w:lineRule="auto"/>
      <w:ind w:left="840" w:hanging="420"/>
      <w:jc w:val="left"/>
    </w:pPr>
    <w:rPr>
      <w:bCs w:val="0"/>
      <w:smallCaps/>
      <w:kern w:val="0"/>
      <w:sz w:val="24"/>
      <w:szCs w:val="24"/>
    </w:rPr>
  </w:style>
  <w:style w:type="paragraph" w:customStyle="1" w:styleId="2616">
    <w:name w:val="样式 标准正文 + 首行缩进:  2 字符"/>
    <w:basedOn w:val="1"/>
    <w:autoRedefine/>
    <w:qFormat/>
    <w:uiPriority w:val="99"/>
    <w:pPr>
      <w:widowControl/>
      <w:spacing w:line="500" w:lineRule="exact"/>
      <w:jc w:val="left"/>
    </w:pPr>
    <w:rPr>
      <w:rFonts w:ascii="宋体" w:hAnsi="宋体" w:cs="宋体"/>
      <w:color w:val="000000"/>
      <w:kern w:val="0"/>
      <w:sz w:val="28"/>
      <w:szCs w:val="20"/>
    </w:rPr>
  </w:style>
  <w:style w:type="paragraph" w:customStyle="1" w:styleId="2617">
    <w:name w:val="样式 表格 + 宋体 居中"/>
    <w:basedOn w:val="1"/>
    <w:autoRedefine/>
    <w:qFormat/>
    <w:uiPriority w:val="0"/>
    <w:pPr>
      <w:widowControl/>
      <w:spacing w:line="360" w:lineRule="auto"/>
      <w:jc w:val="center"/>
      <w:textAlignment w:val="center"/>
    </w:pPr>
    <w:rPr>
      <w:rFonts w:cstheme="majorBidi"/>
      <w:kern w:val="0"/>
      <w:szCs w:val="20"/>
    </w:rPr>
  </w:style>
  <w:style w:type="paragraph" w:customStyle="1" w:styleId="2618">
    <w:name w:val="文档结构图1"/>
    <w:basedOn w:val="1"/>
    <w:autoRedefine/>
    <w:qFormat/>
    <w:uiPriority w:val="0"/>
    <w:pPr>
      <w:widowControl/>
      <w:shd w:val="clear" w:color="auto" w:fill="000080"/>
      <w:tabs>
        <w:tab w:val="left" w:pos="0"/>
      </w:tabs>
      <w:adjustRightInd w:val="0"/>
      <w:snapToGrid w:val="0"/>
      <w:spacing w:line="360" w:lineRule="auto"/>
      <w:ind w:right="-40" w:firstLine="595"/>
      <w:jc w:val="left"/>
      <w:textAlignment w:val="center"/>
    </w:pPr>
    <w:rPr>
      <w:rFonts w:cstheme="majorBidi"/>
      <w:kern w:val="0"/>
      <w:szCs w:val="20"/>
    </w:rPr>
  </w:style>
  <w:style w:type="paragraph" w:customStyle="1" w:styleId="2619">
    <w:name w:val="附录"/>
    <w:basedOn w:val="1"/>
    <w:autoRedefine/>
    <w:uiPriority w:val="0"/>
    <w:pPr>
      <w:widowControl/>
      <w:spacing w:before="120" w:after="120" w:line="360" w:lineRule="auto"/>
      <w:ind w:left="567" w:hanging="567"/>
      <w:jc w:val="center"/>
    </w:pPr>
    <w:rPr>
      <w:rFonts w:eastAsia="楷体_GB2312" w:cstheme="majorBidi"/>
      <w:b/>
      <w:bCs/>
      <w:spacing w:val="60"/>
      <w:kern w:val="0"/>
      <w:sz w:val="28"/>
      <w:szCs w:val="20"/>
    </w:rPr>
  </w:style>
  <w:style w:type="paragraph" w:customStyle="1" w:styleId="2620">
    <w:name w:val="正文样式-"/>
    <w:basedOn w:val="1"/>
    <w:autoRedefine/>
    <w:qFormat/>
    <w:uiPriority w:val="0"/>
    <w:pPr>
      <w:widowControl/>
      <w:spacing w:line="360" w:lineRule="auto"/>
      <w:jc w:val="left"/>
    </w:pPr>
    <w:rPr>
      <w:rFonts w:cs="宋体"/>
      <w:color w:val="000000"/>
      <w:kern w:val="0"/>
      <w:szCs w:val="20"/>
    </w:rPr>
  </w:style>
  <w:style w:type="paragraph" w:customStyle="1" w:styleId="2621">
    <w:name w:val="标题3（新）"/>
    <w:basedOn w:val="1"/>
    <w:next w:val="1"/>
    <w:autoRedefine/>
    <w:qFormat/>
    <w:uiPriority w:val="0"/>
    <w:pPr>
      <w:widowControl/>
      <w:spacing w:line="240" w:lineRule="atLeast"/>
      <w:jc w:val="left"/>
      <w:outlineLvl w:val="2"/>
    </w:pPr>
    <w:rPr>
      <w:rFonts w:ascii="宋体" w:eastAsia="黑体" w:cstheme="majorBidi"/>
      <w:kern w:val="0"/>
      <w:sz w:val="28"/>
      <w:szCs w:val="22"/>
    </w:rPr>
  </w:style>
  <w:style w:type="character" w:customStyle="1" w:styleId="2622">
    <w:name w:val="样式6 Char1"/>
    <w:autoRedefine/>
    <w:qFormat/>
    <w:uiPriority w:val="0"/>
    <w:rPr>
      <w:rFonts w:ascii="创艺简魏碑" w:hAnsi="创艺简魏碑" w:eastAsia="创艺简魏碑" w:cs="MS Sans Serif"/>
      <w:color w:val="000000"/>
      <w:kern w:val="6"/>
      <w:sz w:val="24"/>
      <w:lang w:val="en-GB"/>
    </w:rPr>
  </w:style>
  <w:style w:type="paragraph" w:customStyle="1" w:styleId="2623">
    <w:name w:val="CM39"/>
    <w:basedOn w:val="179"/>
    <w:next w:val="179"/>
    <w:autoRedefine/>
    <w:uiPriority w:val="0"/>
    <w:pPr>
      <w:spacing w:line="480" w:lineRule="atLeast"/>
    </w:pPr>
    <w:rPr>
      <w:rFonts w:ascii="华文中宋" w:eastAsia="华文中宋" w:cs="Times New Roman"/>
      <w:color w:val="auto"/>
    </w:rPr>
  </w:style>
  <w:style w:type="paragraph" w:customStyle="1" w:styleId="2624">
    <w:name w:val="样式 标题 11.标题 1一、1 南陵标题 1h11.标题 1 Char标题 1 Char Char Char Ch..."/>
    <w:basedOn w:val="3"/>
    <w:autoRedefine/>
    <w:qFormat/>
    <w:uiPriority w:val="0"/>
    <w:pPr>
      <w:keepNext w:val="0"/>
      <w:widowControl/>
      <w:numPr>
        <w:numId w:val="0"/>
      </w:numPr>
      <w:tabs>
        <w:tab w:val="clear" w:pos="0"/>
      </w:tabs>
      <w:spacing w:line="360" w:lineRule="auto"/>
      <w:contextualSpacing/>
      <w:jc w:val="left"/>
    </w:pPr>
    <w:rPr>
      <w:rFonts w:ascii="黑体" w:cs="宋体"/>
      <w:b w:val="0"/>
      <w:bCs/>
      <w:smallCaps/>
      <w:spacing w:val="5"/>
      <w:kern w:val="0"/>
      <w:sz w:val="32"/>
      <w:szCs w:val="20"/>
    </w:rPr>
  </w:style>
  <w:style w:type="paragraph" w:customStyle="1" w:styleId="2625">
    <w:name w:val="码头正文"/>
    <w:basedOn w:val="21"/>
    <w:autoRedefine/>
    <w:qFormat/>
    <w:uiPriority w:val="0"/>
    <w:pPr>
      <w:widowControl/>
      <w:spacing w:line="360" w:lineRule="auto"/>
      <w:ind w:firstLine="480"/>
    </w:pPr>
    <w:rPr>
      <w:rFonts w:ascii="宋体" w:hAnsi="等线" w:eastAsia="等线" w:cstheme="majorBidi"/>
      <w:kern w:val="0"/>
      <w:szCs w:val="22"/>
      <w:u w:color="000000"/>
    </w:rPr>
  </w:style>
  <w:style w:type="paragraph" w:customStyle="1" w:styleId="2626">
    <w:name w:val="我的正文小四"/>
    <w:basedOn w:val="1"/>
    <w:qFormat/>
    <w:uiPriority w:val="0"/>
    <w:pPr>
      <w:widowControl/>
      <w:spacing w:line="360" w:lineRule="auto"/>
      <w:ind w:firstLine="480"/>
      <w:jc w:val="left"/>
    </w:pPr>
    <w:rPr>
      <w:rFonts w:cstheme="majorBidi"/>
      <w:kern w:val="0"/>
    </w:rPr>
  </w:style>
  <w:style w:type="paragraph" w:customStyle="1" w:styleId="2627">
    <w:name w:val="样式91"/>
    <w:basedOn w:val="21"/>
    <w:link w:val="2628"/>
    <w:autoRedefine/>
    <w:qFormat/>
    <w:uiPriority w:val="0"/>
    <w:pPr>
      <w:widowControl/>
      <w:overflowPunct w:val="0"/>
      <w:autoSpaceDE w:val="0"/>
      <w:autoSpaceDN w:val="0"/>
      <w:adjustRightInd w:val="0"/>
      <w:spacing w:beforeLines="50" w:afterLines="50" w:line="360" w:lineRule="auto"/>
      <w:ind w:firstLine="480"/>
    </w:pPr>
    <w:rPr>
      <w:rFonts w:ascii="宋体" w:hAnsi="宋体" w:cs="黑体"/>
      <w:kern w:val="0"/>
      <w:sz w:val="28"/>
    </w:rPr>
  </w:style>
  <w:style w:type="character" w:customStyle="1" w:styleId="2628">
    <w:name w:val="样式91 Char"/>
    <w:link w:val="2627"/>
    <w:autoRedefine/>
    <w:qFormat/>
    <w:uiPriority w:val="0"/>
    <w:rPr>
      <w:rFonts w:ascii="宋体" w:hAnsi="宋体" w:cs="黑体"/>
      <w:b/>
      <w:color w:val="000000" w:themeColor="text1"/>
      <w:sz w:val="28"/>
      <w:szCs w:val="24"/>
      <w14:textFill>
        <w14:solidFill>
          <w14:schemeClr w14:val="tx1"/>
        </w14:solidFill>
      </w14:textFill>
    </w:rPr>
  </w:style>
  <w:style w:type="paragraph" w:customStyle="1" w:styleId="2629">
    <w:name w:val="自动A"/>
    <w:basedOn w:val="1"/>
    <w:link w:val="2630"/>
    <w:autoRedefine/>
    <w:uiPriority w:val="0"/>
    <w:pPr>
      <w:widowControl/>
      <w:spacing w:beforeLines="50" w:afterLines="50" w:line="360" w:lineRule="auto"/>
      <w:ind w:firstLine="480"/>
      <w:jc w:val="left"/>
    </w:pPr>
    <w:rPr>
      <w:rFonts w:ascii="宋体" w:hAnsi="宋体" w:cs="宋体"/>
      <w:color w:val="000000"/>
      <w:kern w:val="0"/>
      <w:szCs w:val="20"/>
    </w:rPr>
  </w:style>
  <w:style w:type="character" w:customStyle="1" w:styleId="2630">
    <w:name w:val="自动A Char"/>
    <w:link w:val="2629"/>
    <w:autoRedefine/>
    <w:qFormat/>
    <w:uiPriority w:val="0"/>
    <w:rPr>
      <w:rFonts w:ascii="宋体" w:hAnsi="宋体" w:cs="宋体"/>
      <w:color w:val="000000"/>
      <w:sz w:val="24"/>
    </w:rPr>
  </w:style>
  <w:style w:type="paragraph" w:customStyle="1" w:styleId="2631">
    <w:name w:val="样式 文章正文 + 小四"/>
    <w:basedOn w:val="899"/>
    <w:link w:val="2632"/>
    <w:autoRedefine/>
    <w:uiPriority w:val="0"/>
    <w:pPr>
      <w:widowControl/>
      <w:spacing w:before="0" w:after="0"/>
      <w:jc w:val="left"/>
    </w:pPr>
    <w:rPr>
      <w:rFonts w:ascii="Calibri" w:hAnsi="Calibri" w:cstheme="majorBidi"/>
      <w:kern w:val="0"/>
      <w:sz w:val="20"/>
      <w:szCs w:val="20"/>
    </w:rPr>
  </w:style>
  <w:style w:type="character" w:customStyle="1" w:styleId="2632">
    <w:name w:val="样式 文章正文 + 小四 Char"/>
    <w:link w:val="2631"/>
    <w:autoRedefine/>
    <w:qFormat/>
    <w:uiPriority w:val="0"/>
    <w:rPr>
      <w:rFonts w:ascii="Calibri" w:hAnsi="Calibri" w:cstheme="majorBidi"/>
    </w:rPr>
  </w:style>
  <w:style w:type="character" w:customStyle="1" w:styleId="2633">
    <w:name w:val="样式 标题 2标题 21标题 121节H2SeHead wsa2标题 1.1 + 黑体 四号 非加粗 Char"/>
    <w:link w:val="454"/>
    <w:autoRedefine/>
    <w:uiPriority w:val="0"/>
    <w:rPr>
      <w:rFonts w:ascii="黑体" w:hAnsi="黑体" w:eastAsia="黑体"/>
      <w:kern w:val="2"/>
      <w:sz w:val="28"/>
      <w:szCs w:val="32"/>
    </w:rPr>
  </w:style>
  <w:style w:type="paragraph" w:customStyle="1" w:styleId="2634">
    <w:name w:val="样式90"/>
    <w:basedOn w:val="1"/>
    <w:autoRedefine/>
    <w:qFormat/>
    <w:uiPriority w:val="0"/>
    <w:pPr>
      <w:widowControl/>
      <w:adjustRightInd w:val="0"/>
      <w:snapToGrid w:val="0"/>
      <w:spacing w:beforeLines="50" w:afterLines="50" w:line="360" w:lineRule="auto"/>
      <w:jc w:val="center"/>
    </w:pPr>
    <w:rPr>
      <w:rFonts w:cstheme="majorBidi"/>
      <w:b/>
      <w:kern w:val="0"/>
      <w:szCs w:val="21"/>
    </w:rPr>
  </w:style>
  <w:style w:type="character" w:customStyle="1" w:styleId="2635">
    <w:name w:val="正文 文本 Char"/>
    <w:link w:val="2401"/>
    <w:autoRedefine/>
    <w:qFormat/>
    <w:uiPriority w:val="0"/>
    <w:rPr>
      <w:rFonts w:cstheme="majorBidi"/>
      <w:sz w:val="24"/>
      <w:szCs w:val="24"/>
      <w:lang w:val="zh-CN"/>
    </w:rPr>
  </w:style>
  <w:style w:type="paragraph" w:customStyle="1" w:styleId="2636">
    <w:name w:val="样式 标题 3标题 13ReHead 3 WSAh3B HeadH3..标题 3 Char Char标题 3 ..."/>
    <w:basedOn w:val="5"/>
    <w:link w:val="2637"/>
    <w:qFormat/>
    <w:uiPriority w:val="0"/>
    <w:pPr>
      <w:keepNext w:val="0"/>
      <w:keepLines w:val="0"/>
      <w:widowControl/>
      <w:numPr>
        <w:ilvl w:val="0"/>
        <w:numId w:val="0"/>
      </w:numPr>
      <w:adjustRightInd w:val="0"/>
      <w:snapToGrid w:val="0"/>
      <w:spacing w:beforeLines="50" w:afterLines="50" w:line="360" w:lineRule="auto"/>
      <w:jc w:val="left"/>
    </w:pPr>
    <w:rPr>
      <w:rFonts w:ascii="Calibri" w:hAnsi="Calibri" w:eastAsia="宋体" w:cs="宋体"/>
      <w:bCs w:val="0"/>
      <w:iCs/>
      <w:smallCaps/>
      <w:spacing w:val="5"/>
      <w:kern w:val="0"/>
      <w:sz w:val="24"/>
      <w:szCs w:val="24"/>
    </w:rPr>
  </w:style>
  <w:style w:type="character" w:customStyle="1" w:styleId="2637">
    <w:name w:val="样式 标题 3标题 13ReHead 3 WSAh3B HeadH3..标题 3 Char Char标题 3 ... Char"/>
    <w:link w:val="2636"/>
    <w:autoRedefine/>
    <w:qFormat/>
    <w:uiPriority w:val="0"/>
    <w:rPr>
      <w:rFonts w:ascii="Calibri" w:hAnsi="Calibri" w:cs="宋体"/>
      <w:b/>
      <w:iCs/>
      <w:smallCaps/>
      <w:spacing w:val="5"/>
      <w:sz w:val="24"/>
      <w:szCs w:val="24"/>
    </w:rPr>
  </w:style>
  <w:style w:type="paragraph" w:customStyle="1" w:styleId="2638">
    <w:name w:val="表格标题（居中）"/>
    <w:basedOn w:val="45"/>
    <w:qFormat/>
    <w:uiPriority w:val="0"/>
    <w:pPr>
      <w:widowControl/>
      <w:tabs>
        <w:tab w:val="left" w:pos="1260"/>
      </w:tabs>
      <w:snapToGrid w:val="0"/>
      <w:spacing w:beforeLines="50" w:afterLines="50" w:line="240" w:lineRule="auto"/>
      <w:ind w:firstLine="200" w:firstLineChars="200"/>
      <w:jc w:val="center"/>
      <w:textAlignment w:val="auto"/>
    </w:pPr>
    <w:rPr>
      <w:rFonts w:ascii="Times New Roman" w:hAnsi="Times New Roman" w:eastAsia="黑体"/>
      <w:color w:val="000000"/>
      <w:sz w:val="24"/>
      <w:szCs w:val="20"/>
    </w:rPr>
  </w:style>
  <w:style w:type="paragraph" w:customStyle="1" w:styleId="2639">
    <w:name w:val="正文正"/>
    <w:basedOn w:val="1"/>
    <w:link w:val="2640"/>
    <w:autoRedefine/>
    <w:qFormat/>
    <w:uiPriority w:val="0"/>
    <w:pPr>
      <w:widowControl/>
      <w:spacing w:line="360" w:lineRule="auto"/>
      <w:ind w:firstLine="480"/>
      <w:jc w:val="left"/>
    </w:pPr>
    <w:rPr>
      <w:rFonts w:ascii="宋体" w:hAnsi="宋体" w:cstheme="majorBidi"/>
      <w:kern w:val="0"/>
    </w:rPr>
  </w:style>
  <w:style w:type="character" w:customStyle="1" w:styleId="2640">
    <w:name w:val="正文正 Char Char"/>
    <w:link w:val="2639"/>
    <w:autoRedefine/>
    <w:qFormat/>
    <w:uiPriority w:val="0"/>
    <w:rPr>
      <w:rFonts w:ascii="宋体" w:hAnsi="宋体" w:cstheme="majorBidi"/>
      <w:sz w:val="24"/>
      <w:szCs w:val="24"/>
    </w:rPr>
  </w:style>
  <w:style w:type="paragraph" w:customStyle="1" w:styleId="2641">
    <w:name w:val="表格体"/>
    <w:basedOn w:val="1"/>
    <w:autoRedefine/>
    <w:uiPriority w:val="0"/>
    <w:pPr>
      <w:widowControl/>
      <w:adjustRightInd w:val="0"/>
      <w:snapToGrid w:val="0"/>
      <w:spacing w:line="360" w:lineRule="auto"/>
      <w:jc w:val="center"/>
    </w:pPr>
    <w:rPr>
      <w:rFonts w:cstheme="majorBidi"/>
      <w:bCs/>
      <w:kern w:val="0"/>
    </w:rPr>
  </w:style>
  <w:style w:type="paragraph" w:customStyle="1" w:styleId="2642">
    <w:name w:val="样式23"/>
    <w:basedOn w:val="1"/>
    <w:link w:val="2643"/>
    <w:autoRedefine/>
    <w:qFormat/>
    <w:uiPriority w:val="0"/>
    <w:pPr>
      <w:keepNext/>
      <w:keepLines/>
      <w:widowControl/>
      <w:tabs>
        <w:tab w:val="left" w:pos="360"/>
        <w:tab w:val="left" w:pos="540"/>
      </w:tabs>
      <w:spacing w:beforeLines="50" w:afterLines="50" w:line="360" w:lineRule="auto"/>
      <w:jc w:val="left"/>
      <w:outlineLvl w:val="1"/>
    </w:pPr>
    <w:rPr>
      <w:rFonts w:ascii="宋体" w:hAnsi="宋体" w:eastAsia="黑体" w:cstheme="majorBidi"/>
      <w:kern w:val="0"/>
      <w:sz w:val="28"/>
      <w:szCs w:val="28"/>
    </w:rPr>
  </w:style>
  <w:style w:type="character" w:customStyle="1" w:styleId="2643">
    <w:name w:val="样式23 Char"/>
    <w:link w:val="2642"/>
    <w:autoRedefine/>
    <w:qFormat/>
    <w:uiPriority w:val="0"/>
    <w:rPr>
      <w:rFonts w:ascii="宋体" w:hAnsi="宋体" w:eastAsia="黑体" w:cstheme="majorBidi"/>
      <w:sz w:val="28"/>
      <w:szCs w:val="28"/>
    </w:rPr>
  </w:style>
  <w:style w:type="paragraph" w:customStyle="1" w:styleId="2644">
    <w:name w:val="赵正文"/>
    <w:basedOn w:val="1"/>
    <w:autoRedefine/>
    <w:qFormat/>
    <w:uiPriority w:val="0"/>
    <w:pPr>
      <w:widowControl/>
      <w:spacing w:line="360" w:lineRule="auto"/>
      <w:jc w:val="left"/>
    </w:pPr>
    <w:rPr>
      <w:rFonts w:cstheme="majorBidi"/>
      <w:bCs/>
      <w:kern w:val="0"/>
    </w:rPr>
  </w:style>
  <w:style w:type="paragraph" w:customStyle="1" w:styleId="2645">
    <w:name w:val="CM40"/>
    <w:basedOn w:val="179"/>
    <w:next w:val="179"/>
    <w:qFormat/>
    <w:uiPriority w:val="99"/>
    <w:pPr>
      <w:spacing w:line="480" w:lineRule="atLeast"/>
    </w:pPr>
    <w:rPr>
      <w:rFonts w:ascii="华文中宋" w:eastAsia="华文中宋" w:cs="Times New Roman"/>
      <w:color w:val="auto"/>
    </w:rPr>
  </w:style>
  <w:style w:type="paragraph" w:customStyle="1" w:styleId="2646">
    <w:name w:val="正文-叶"/>
    <w:basedOn w:val="1"/>
    <w:autoRedefine/>
    <w:qFormat/>
    <w:uiPriority w:val="0"/>
    <w:pPr>
      <w:widowControl/>
      <w:topLinePunct/>
      <w:spacing w:line="312" w:lineRule="auto"/>
      <w:ind w:firstLine="465"/>
      <w:jc w:val="left"/>
    </w:pPr>
    <w:rPr>
      <w:rFonts w:cstheme="majorBidi"/>
      <w:kern w:val="0"/>
      <w:szCs w:val="20"/>
    </w:rPr>
  </w:style>
  <w:style w:type="character" w:customStyle="1" w:styleId="2647">
    <w:name w:val="报告 Char"/>
    <w:link w:val="2544"/>
    <w:qFormat/>
    <w:locked/>
    <w:uiPriority w:val="0"/>
    <w:rPr>
      <w:rFonts w:cstheme="majorBidi"/>
      <w:sz w:val="24"/>
    </w:rPr>
  </w:style>
  <w:style w:type="character" w:customStyle="1" w:styleId="2648">
    <w:name w:val="表 Char"/>
    <w:link w:val="430"/>
    <w:autoRedefine/>
    <w:qFormat/>
    <w:uiPriority w:val="0"/>
    <w:rPr>
      <w:kern w:val="10"/>
      <w:sz w:val="24"/>
      <w:szCs w:val="24"/>
      <w:lang w:bidi="he-IL"/>
    </w:rPr>
  </w:style>
  <w:style w:type="paragraph" w:customStyle="1" w:styleId="2649">
    <w:name w:val="样式 标题3YHY + 黑色 段前: 0.5 行 段后: 0.5 行"/>
    <w:basedOn w:val="1"/>
    <w:link w:val="2650"/>
    <w:uiPriority w:val="0"/>
    <w:pPr>
      <w:keepNext/>
      <w:keepLines/>
      <w:widowControl/>
      <w:spacing w:beforeLines="50" w:afterLines="50" w:line="360" w:lineRule="auto"/>
      <w:jc w:val="left"/>
      <w:outlineLvl w:val="2"/>
    </w:pPr>
    <w:rPr>
      <w:rFonts w:cstheme="majorBidi"/>
      <w:b/>
      <w:bCs/>
      <w:color w:val="000000"/>
      <w:kern w:val="0"/>
    </w:rPr>
  </w:style>
  <w:style w:type="character" w:customStyle="1" w:styleId="2650">
    <w:name w:val="样式 标题3YHY + 黑色 段前: 0.5 行 段后: 0.5 行 Char"/>
    <w:link w:val="2649"/>
    <w:autoRedefine/>
    <w:qFormat/>
    <w:uiPriority w:val="0"/>
    <w:rPr>
      <w:rFonts w:cstheme="majorBidi"/>
      <w:b/>
      <w:bCs/>
      <w:color w:val="000000"/>
      <w:sz w:val="24"/>
      <w:szCs w:val="24"/>
    </w:rPr>
  </w:style>
  <w:style w:type="paragraph" w:customStyle="1" w:styleId="2651">
    <w:name w:val="表样式1"/>
    <w:basedOn w:val="1"/>
    <w:autoRedefine/>
    <w:qFormat/>
    <w:uiPriority w:val="0"/>
    <w:pPr>
      <w:widowControl/>
      <w:spacing w:line="380" w:lineRule="exact"/>
      <w:ind w:right="-275" w:rightChars="-131"/>
      <w:jc w:val="left"/>
    </w:pPr>
    <w:rPr>
      <w:rFonts w:ascii="宋体" w:hAnsi="宋体" w:cstheme="majorBidi"/>
      <w:kern w:val="0"/>
      <w:szCs w:val="21"/>
    </w:rPr>
  </w:style>
  <w:style w:type="paragraph" w:customStyle="1" w:styleId="2652">
    <w:name w:val="小四表文居中"/>
    <w:autoRedefine/>
    <w:qFormat/>
    <w:uiPriority w:val="0"/>
    <w:pPr>
      <w:widowControl w:val="0"/>
      <w:snapToGrid w:val="0"/>
      <w:spacing w:line="360" w:lineRule="auto"/>
      <w:jc w:val="center"/>
    </w:pPr>
    <w:rPr>
      <w:rFonts w:ascii="Times New Roman" w:hAnsi="Times New Roman" w:eastAsiaTheme="majorEastAsia" w:cstheme="majorBidi"/>
      <w:kern w:val="2"/>
      <w:sz w:val="21"/>
      <w:szCs w:val="24"/>
      <w:lang w:val="en-US" w:eastAsia="zh-CN" w:bidi="ar-SA"/>
    </w:rPr>
  </w:style>
  <w:style w:type="paragraph" w:customStyle="1" w:styleId="2653">
    <w:name w:val="字紧0.2"/>
    <w:basedOn w:val="1"/>
    <w:link w:val="2654"/>
    <w:autoRedefine/>
    <w:qFormat/>
    <w:uiPriority w:val="0"/>
    <w:pPr>
      <w:widowControl/>
      <w:adjustRightInd w:val="0"/>
      <w:snapToGrid w:val="0"/>
      <w:spacing w:line="336" w:lineRule="auto"/>
      <w:jc w:val="left"/>
    </w:pPr>
    <w:rPr>
      <w:rFonts w:ascii="宋体" w:hAnsi="宋体" w:cstheme="majorBidi"/>
      <w:bCs/>
      <w:color w:val="000000"/>
      <w:spacing w:val="-4"/>
      <w:kern w:val="0"/>
      <w:sz w:val="28"/>
      <w:szCs w:val="28"/>
    </w:rPr>
  </w:style>
  <w:style w:type="character" w:customStyle="1" w:styleId="2654">
    <w:name w:val="字紧0.2 Char1"/>
    <w:link w:val="2653"/>
    <w:autoRedefine/>
    <w:qFormat/>
    <w:uiPriority w:val="0"/>
    <w:rPr>
      <w:rFonts w:ascii="宋体" w:hAnsi="宋体" w:cstheme="majorBidi"/>
      <w:bCs/>
      <w:color w:val="000000"/>
      <w:spacing w:val="-4"/>
      <w:sz w:val="28"/>
      <w:szCs w:val="28"/>
    </w:rPr>
  </w:style>
  <w:style w:type="paragraph" w:customStyle="1" w:styleId="2655">
    <w:name w:val="CM74"/>
    <w:basedOn w:val="179"/>
    <w:next w:val="179"/>
    <w:autoRedefine/>
    <w:uiPriority w:val="99"/>
    <w:pPr>
      <w:spacing w:after="195" w:line="360" w:lineRule="auto"/>
    </w:pPr>
    <w:rPr>
      <w:rFonts w:ascii="华文中宋" w:eastAsia="华文中宋" w:cs="Times New Roman"/>
      <w:color w:val="auto"/>
    </w:rPr>
  </w:style>
  <w:style w:type="paragraph" w:customStyle="1" w:styleId="2656">
    <w:name w:val="中大表格内容"/>
    <w:basedOn w:val="2657"/>
    <w:autoRedefine/>
    <w:qFormat/>
    <w:uiPriority w:val="0"/>
    <w:pPr>
      <w:spacing w:line="240" w:lineRule="auto"/>
      <w:jc w:val="center"/>
    </w:pPr>
    <w:rPr>
      <w:sz w:val="21"/>
      <w:szCs w:val="21"/>
    </w:rPr>
  </w:style>
  <w:style w:type="paragraph" w:customStyle="1" w:styleId="2657">
    <w:name w:val="中大正文"/>
    <w:basedOn w:val="1"/>
    <w:autoRedefine/>
    <w:uiPriority w:val="0"/>
    <w:pPr>
      <w:widowControl/>
      <w:autoSpaceDE w:val="0"/>
      <w:autoSpaceDN w:val="0"/>
      <w:adjustRightInd w:val="0"/>
      <w:snapToGrid w:val="0"/>
      <w:spacing w:line="360" w:lineRule="auto"/>
      <w:jc w:val="left"/>
    </w:pPr>
    <w:rPr>
      <w:rFonts w:cs="Arial"/>
      <w:kern w:val="0"/>
      <w:szCs w:val="22"/>
      <w:lang w:val="zh-CN"/>
    </w:rPr>
  </w:style>
  <w:style w:type="paragraph" w:customStyle="1" w:styleId="2658">
    <w:name w:val="样式30"/>
    <w:basedOn w:val="1"/>
    <w:link w:val="2659"/>
    <w:autoRedefine/>
    <w:qFormat/>
    <w:uiPriority w:val="0"/>
    <w:pPr>
      <w:widowControl/>
      <w:snapToGrid w:val="0"/>
      <w:spacing w:beforeLines="50" w:afterLines="50" w:line="360" w:lineRule="auto"/>
      <w:jc w:val="left"/>
    </w:pPr>
    <w:rPr>
      <w:rFonts w:cstheme="majorBidi"/>
      <w:color w:val="000000"/>
      <w:kern w:val="0"/>
      <w:szCs w:val="20"/>
    </w:rPr>
  </w:style>
  <w:style w:type="character" w:customStyle="1" w:styleId="2659">
    <w:name w:val="样式30 Char"/>
    <w:link w:val="2658"/>
    <w:qFormat/>
    <w:uiPriority w:val="0"/>
    <w:rPr>
      <w:rFonts w:cstheme="majorBidi"/>
      <w:color w:val="000000"/>
      <w:sz w:val="24"/>
    </w:rPr>
  </w:style>
  <w:style w:type="paragraph" w:customStyle="1" w:styleId="2660">
    <w:name w:val="表格03"/>
    <w:basedOn w:val="1"/>
    <w:autoRedefine/>
    <w:qFormat/>
    <w:uiPriority w:val="0"/>
    <w:pPr>
      <w:widowControl/>
      <w:spacing w:line="400" w:lineRule="exact"/>
      <w:jc w:val="center"/>
    </w:pPr>
    <w:rPr>
      <w:rFonts w:cstheme="majorBidi"/>
      <w:kern w:val="0"/>
      <w:szCs w:val="21"/>
    </w:rPr>
  </w:style>
  <w:style w:type="paragraph" w:customStyle="1" w:styleId="2661">
    <w:name w:val="CM7"/>
    <w:basedOn w:val="179"/>
    <w:next w:val="179"/>
    <w:qFormat/>
    <w:uiPriority w:val="0"/>
    <w:pPr>
      <w:spacing w:line="471" w:lineRule="atLeast"/>
    </w:pPr>
    <w:rPr>
      <w:rFonts w:ascii="华文中宋" w:eastAsia="华文中宋" w:cs="Times New Roman"/>
      <w:color w:val="auto"/>
    </w:rPr>
  </w:style>
  <w:style w:type="paragraph" w:customStyle="1" w:styleId="2662">
    <w:name w:val="CM43"/>
    <w:basedOn w:val="179"/>
    <w:next w:val="179"/>
    <w:autoRedefine/>
    <w:qFormat/>
    <w:uiPriority w:val="99"/>
    <w:pPr>
      <w:spacing w:line="480" w:lineRule="atLeast"/>
    </w:pPr>
    <w:rPr>
      <w:rFonts w:ascii="华文中宋" w:eastAsia="华文中宋" w:cs="Times New Roman"/>
      <w:color w:val="auto"/>
    </w:rPr>
  </w:style>
  <w:style w:type="paragraph" w:customStyle="1" w:styleId="2663">
    <w:name w:val="F正文"/>
    <w:autoRedefine/>
    <w:qFormat/>
    <w:uiPriority w:val="0"/>
    <w:pPr>
      <w:widowControl w:val="0"/>
      <w:adjustRightInd w:val="0"/>
      <w:spacing w:line="360" w:lineRule="atLeast"/>
      <w:textAlignment w:val="baseline"/>
    </w:pPr>
    <w:rPr>
      <w:rFonts w:ascii="Times New Roman" w:hAnsi="Times New Roman" w:eastAsiaTheme="majorEastAsia" w:cstheme="majorBidi"/>
      <w:spacing w:val="12"/>
      <w:sz w:val="24"/>
      <w:szCs w:val="22"/>
      <w:lang w:val="en-US" w:eastAsia="zh-CN" w:bidi="ar-SA"/>
    </w:rPr>
  </w:style>
  <w:style w:type="paragraph" w:customStyle="1" w:styleId="2664">
    <w:name w:val="样式 宋体"/>
    <w:basedOn w:val="1"/>
    <w:qFormat/>
    <w:uiPriority w:val="0"/>
    <w:pPr>
      <w:widowControl/>
      <w:spacing w:line="360" w:lineRule="auto"/>
      <w:jc w:val="left"/>
    </w:pPr>
    <w:rPr>
      <w:rFonts w:ascii="宋体" w:hAnsi="宋体" w:cs="宋体"/>
      <w:kern w:val="0"/>
      <w:szCs w:val="20"/>
    </w:rPr>
  </w:style>
  <w:style w:type="paragraph" w:customStyle="1" w:styleId="2665">
    <w:name w:val="3 Char"/>
    <w:basedOn w:val="1"/>
    <w:autoRedefine/>
    <w:qFormat/>
    <w:uiPriority w:val="99"/>
    <w:pPr>
      <w:widowControl/>
      <w:spacing w:line="360" w:lineRule="auto"/>
      <w:jc w:val="left"/>
    </w:pPr>
    <w:rPr>
      <w:rFonts w:cstheme="majorBidi"/>
      <w:kern w:val="0"/>
      <w:szCs w:val="21"/>
    </w:rPr>
  </w:style>
  <w:style w:type="paragraph" w:customStyle="1" w:styleId="2666">
    <w:name w:val="char"/>
    <w:basedOn w:val="1"/>
    <w:uiPriority w:val="0"/>
    <w:pPr>
      <w:widowControl/>
      <w:spacing w:after="160" w:line="240" w:lineRule="exact"/>
      <w:jc w:val="left"/>
    </w:pPr>
    <w:rPr>
      <w:rFonts w:ascii="Verdana" w:hAnsi="Verdana" w:eastAsia="仿宋_GB2312" w:cs="”“Times New Roman”“"/>
      <w:kern w:val="0"/>
      <w:szCs w:val="20"/>
      <w:lang w:eastAsia="en-US"/>
    </w:rPr>
  </w:style>
  <w:style w:type="paragraph" w:customStyle="1" w:styleId="2667">
    <w:name w:val="样式 宋体 四号1"/>
    <w:basedOn w:val="1"/>
    <w:next w:val="44"/>
    <w:autoRedefine/>
    <w:qFormat/>
    <w:uiPriority w:val="0"/>
    <w:pPr>
      <w:widowControl/>
      <w:spacing w:line="360" w:lineRule="auto"/>
      <w:ind w:firstLine="560"/>
      <w:jc w:val="left"/>
    </w:pPr>
    <w:rPr>
      <w:rFonts w:ascii="宋体" w:hAnsi="宋体" w:cs="宋体"/>
      <w:kern w:val="0"/>
      <w:sz w:val="28"/>
      <w:szCs w:val="20"/>
    </w:rPr>
  </w:style>
  <w:style w:type="character" w:customStyle="1" w:styleId="2668">
    <w:name w:val="正文(首行缩进) Char"/>
    <w:link w:val="429"/>
    <w:autoRedefine/>
    <w:qFormat/>
    <w:uiPriority w:val="0"/>
    <w:rPr>
      <w:rFonts w:ascii="宋体" w:hAnsi="宋体"/>
      <w:snapToGrid w:val="0"/>
      <w:sz w:val="24"/>
      <w:szCs w:val="24"/>
    </w:rPr>
  </w:style>
  <w:style w:type="paragraph" w:customStyle="1" w:styleId="2669">
    <w:name w:val="样式115"/>
    <w:basedOn w:val="1"/>
    <w:link w:val="2670"/>
    <w:qFormat/>
    <w:uiPriority w:val="0"/>
    <w:pPr>
      <w:widowControl/>
      <w:spacing w:beforeLines="50" w:afterLines="50" w:line="360" w:lineRule="auto"/>
      <w:ind w:firstLine="480"/>
      <w:jc w:val="left"/>
    </w:pPr>
    <w:rPr>
      <w:rFonts w:cstheme="majorBidi"/>
      <w:kern w:val="0"/>
    </w:rPr>
  </w:style>
  <w:style w:type="character" w:customStyle="1" w:styleId="2670">
    <w:name w:val="样式115 Char"/>
    <w:link w:val="2669"/>
    <w:autoRedefine/>
    <w:qFormat/>
    <w:uiPriority w:val="0"/>
    <w:rPr>
      <w:rFonts w:cstheme="majorBidi"/>
      <w:sz w:val="24"/>
      <w:szCs w:val="24"/>
    </w:rPr>
  </w:style>
  <w:style w:type="paragraph" w:customStyle="1" w:styleId="2671">
    <w:name w:val="正文小4黑体"/>
    <w:basedOn w:val="2672"/>
    <w:link w:val="2673"/>
    <w:autoRedefine/>
    <w:qFormat/>
    <w:uiPriority w:val="0"/>
    <w:pPr>
      <w:jc w:val="center"/>
    </w:pPr>
    <w:rPr>
      <w:b/>
    </w:rPr>
  </w:style>
  <w:style w:type="paragraph" w:customStyle="1" w:styleId="2672">
    <w:name w:val="正文小4"/>
    <w:basedOn w:val="34"/>
    <w:next w:val="34"/>
    <w:link w:val="2736"/>
    <w:autoRedefine/>
    <w:qFormat/>
    <w:uiPriority w:val="0"/>
    <w:pPr>
      <w:widowControl/>
      <w:spacing w:line="360" w:lineRule="auto"/>
      <w:ind w:firstLine="200" w:firstLineChars="200"/>
      <w:jc w:val="left"/>
    </w:pPr>
    <w:rPr>
      <w:rFonts w:cstheme="majorBidi"/>
      <w:kern w:val="0"/>
      <w:sz w:val="24"/>
    </w:rPr>
  </w:style>
  <w:style w:type="character" w:customStyle="1" w:styleId="2673">
    <w:name w:val="正文小4黑体 Char"/>
    <w:link w:val="2671"/>
    <w:autoRedefine/>
    <w:qFormat/>
    <w:uiPriority w:val="0"/>
    <w:rPr>
      <w:rFonts w:cstheme="majorBidi"/>
      <w:b/>
      <w:sz w:val="24"/>
      <w:szCs w:val="24"/>
    </w:rPr>
  </w:style>
  <w:style w:type="character" w:customStyle="1" w:styleId="2674">
    <w:name w:val="样式9 Char"/>
    <w:link w:val="680"/>
    <w:autoRedefine/>
    <w:qFormat/>
    <w:uiPriority w:val="0"/>
    <w:rPr>
      <w:kern w:val="2"/>
      <w:sz w:val="18"/>
      <w:szCs w:val="18"/>
    </w:rPr>
  </w:style>
  <w:style w:type="paragraph" w:customStyle="1" w:styleId="2675">
    <w:name w:val="Char Char Char Char Char Char Char Char Char Char Char Char Char Char Char Char Char Char"/>
    <w:basedOn w:val="1"/>
    <w:autoRedefine/>
    <w:qFormat/>
    <w:uiPriority w:val="0"/>
    <w:pPr>
      <w:widowControl/>
      <w:spacing w:line="360" w:lineRule="auto"/>
      <w:jc w:val="left"/>
    </w:pPr>
    <w:rPr>
      <w:rFonts w:cstheme="majorBidi"/>
      <w:kern w:val="0"/>
    </w:rPr>
  </w:style>
  <w:style w:type="character" w:customStyle="1" w:styleId="2676">
    <w:name w:val="我的标题3 Char"/>
    <w:link w:val="442"/>
    <w:autoRedefine/>
    <w:qFormat/>
    <w:uiPriority w:val="0"/>
    <w:rPr>
      <w:rFonts w:eastAsia="黑体"/>
      <w:kern w:val="2"/>
      <w:sz w:val="28"/>
      <w:szCs w:val="24"/>
    </w:rPr>
  </w:style>
  <w:style w:type="paragraph" w:customStyle="1" w:styleId="2677">
    <w:name w:val="_Style 4"/>
    <w:basedOn w:val="1"/>
    <w:qFormat/>
    <w:uiPriority w:val="99"/>
    <w:pPr>
      <w:widowControl/>
      <w:spacing w:line="360" w:lineRule="auto"/>
      <w:jc w:val="left"/>
    </w:pPr>
    <w:rPr>
      <w:rFonts w:cstheme="majorBidi"/>
      <w:kern w:val="0"/>
      <w:szCs w:val="20"/>
    </w:rPr>
  </w:style>
  <w:style w:type="paragraph" w:customStyle="1" w:styleId="2678">
    <w:name w:val="CM27"/>
    <w:basedOn w:val="179"/>
    <w:next w:val="179"/>
    <w:autoRedefine/>
    <w:qFormat/>
    <w:uiPriority w:val="0"/>
    <w:pPr>
      <w:spacing w:line="480" w:lineRule="atLeast"/>
    </w:pPr>
    <w:rPr>
      <w:rFonts w:ascii="华文中宋" w:eastAsia="华文中宋" w:cs="Times New Roman"/>
      <w:color w:val="auto"/>
    </w:rPr>
  </w:style>
  <w:style w:type="paragraph" w:customStyle="1" w:styleId="2679">
    <w:name w:val="样式47"/>
    <w:basedOn w:val="1"/>
    <w:autoRedefine/>
    <w:uiPriority w:val="0"/>
    <w:pPr>
      <w:widowControl/>
      <w:adjustRightInd w:val="0"/>
      <w:snapToGrid w:val="0"/>
      <w:spacing w:before="50" w:after="50" w:line="360" w:lineRule="auto"/>
      <w:ind w:firstLine="480"/>
      <w:jc w:val="left"/>
    </w:pPr>
    <w:rPr>
      <w:rFonts w:cstheme="majorBidi"/>
      <w:color w:val="000000"/>
      <w:kern w:val="0"/>
    </w:rPr>
  </w:style>
  <w:style w:type="paragraph" w:customStyle="1" w:styleId="2680">
    <w:name w:val="default"/>
    <w:basedOn w:val="1"/>
    <w:autoRedefine/>
    <w:uiPriority w:val="99"/>
    <w:pPr>
      <w:widowControl/>
      <w:spacing w:before="100" w:beforeAutospacing="1" w:after="100" w:afterAutospacing="1" w:line="360" w:lineRule="auto"/>
      <w:jc w:val="left"/>
    </w:pPr>
    <w:rPr>
      <w:rFonts w:ascii="宋体" w:hAnsi="宋体" w:cs="宋体"/>
      <w:kern w:val="0"/>
    </w:rPr>
  </w:style>
  <w:style w:type="paragraph" w:customStyle="1" w:styleId="2681">
    <w:name w:val="样式92"/>
    <w:basedOn w:val="1"/>
    <w:autoRedefine/>
    <w:qFormat/>
    <w:uiPriority w:val="0"/>
    <w:pPr>
      <w:widowControl/>
      <w:spacing w:line="360" w:lineRule="auto"/>
      <w:ind w:firstLine="207" w:firstLineChars="98"/>
      <w:jc w:val="center"/>
    </w:pPr>
    <w:rPr>
      <w:rFonts w:cstheme="majorBidi"/>
      <w:b/>
      <w:color w:val="000000"/>
      <w:kern w:val="0"/>
      <w:szCs w:val="21"/>
    </w:rPr>
  </w:style>
  <w:style w:type="paragraph" w:customStyle="1" w:styleId="2682">
    <w:name w:val="样式 标题 2标题 21标题 121标题 2 Char1 Char节H2节标题 1.1节标题 1.1 Char...2"/>
    <w:basedOn w:val="4"/>
    <w:link w:val="2683"/>
    <w:autoRedefine/>
    <w:qFormat/>
    <w:uiPriority w:val="0"/>
    <w:pPr>
      <w:keepNext w:val="0"/>
      <w:keepLines w:val="0"/>
      <w:widowControl/>
      <w:numPr>
        <w:ilvl w:val="0"/>
        <w:numId w:val="0"/>
      </w:numPr>
      <w:tabs>
        <w:tab w:val="left" w:pos="567"/>
      </w:tabs>
      <w:adjustRightInd w:val="0"/>
      <w:spacing w:before="260" w:beforeLines="100" w:after="100"/>
      <w:ind w:left="567" w:hanging="567"/>
      <w:jc w:val="left"/>
      <w:textAlignment w:val="baseline"/>
    </w:pPr>
    <w:rPr>
      <w:rFonts w:ascii="Calibri" w:hAnsi="Calibri"/>
      <w:b w:val="0"/>
      <w:smallCaps/>
      <w:color w:val="000000"/>
      <w:kern w:val="0"/>
      <w:sz w:val="28"/>
      <w:szCs w:val="20"/>
    </w:rPr>
  </w:style>
  <w:style w:type="character" w:customStyle="1" w:styleId="2683">
    <w:name w:val="样式 标题 2标题 21标题 121标题 2 Char1 Char节H2节标题 1.1节标题 1.1 Char...2 Char"/>
    <w:link w:val="2682"/>
    <w:autoRedefine/>
    <w:qFormat/>
    <w:uiPriority w:val="0"/>
    <w:rPr>
      <w:rFonts w:ascii="Calibri" w:hAnsi="Calibri" w:eastAsia="黑体"/>
      <w:bCs/>
      <w:smallCaps/>
      <w:color w:val="000000"/>
      <w:sz w:val="28"/>
    </w:rPr>
  </w:style>
  <w:style w:type="paragraph" w:customStyle="1" w:styleId="2684">
    <w:name w:val="Char Char Char Char Char Char1 Char2"/>
    <w:basedOn w:val="1"/>
    <w:autoRedefine/>
    <w:qFormat/>
    <w:uiPriority w:val="99"/>
    <w:pPr>
      <w:widowControl/>
      <w:spacing w:after="160" w:line="240" w:lineRule="exact"/>
      <w:jc w:val="left"/>
    </w:pPr>
    <w:rPr>
      <w:rFonts w:ascii="Arial" w:hAnsi="Arial" w:eastAsia="Times New Roman" w:cs="Verdana"/>
      <w:b/>
      <w:kern w:val="0"/>
      <w:szCs w:val="20"/>
      <w:lang w:eastAsia="en-US"/>
    </w:rPr>
  </w:style>
  <w:style w:type="paragraph" w:customStyle="1" w:styleId="2685">
    <w:name w:val="样式51"/>
    <w:basedOn w:val="680"/>
    <w:link w:val="2686"/>
    <w:autoRedefine/>
    <w:qFormat/>
    <w:uiPriority w:val="0"/>
    <w:pPr>
      <w:keepNext/>
      <w:keepLines/>
      <w:widowControl/>
      <w:pBdr>
        <w:top w:val="none" w:color="auto" w:sz="0" w:space="0"/>
      </w:pBdr>
      <w:tabs>
        <w:tab w:val="left" w:pos="720"/>
        <w:tab w:val="clear" w:pos="4153"/>
        <w:tab w:val="clear" w:pos="8306"/>
      </w:tabs>
      <w:snapToGrid/>
      <w:spacing w:before="50" w:after="50" w:line="360" w:lineRule="auto"/>
      <w:ind w:left="720" w:hanging="720" w:firstLineChars="200"/>
      <w:outlineLvl w:val="2"/>
    </w:pPr>
    <w:rPr>
      <w:rFonts w:ascii="宋体" w:hAnsi="宋体" w:cs="MS Sans Serif"/>
      <w:b/>
      <w:color w:val="000000"/>
      <w:kern w:val="0"/>
      <w:sz w:val="24"/>
      <w:szCs w:val="20"/>
    </w:rPr>
  </w:style>
  <w:style w:type="character" w:customStyle="1" w:styleId="2686">
    <w:name w:val="样式51 Char"/>
    <w:link w:val="2685"/>
    <w:autoRedefine/>
    <w:qFormat/>
    <w:uiPriority w:val="0"/>
    <w:rPr>
      <w:rFonts w:ascii="宋体" w:hAnsi="宋体" w:cs="MS Sans Serif"/>
      <w:b/>
      <w:color w:val="000000"/>
      <w:sz w:val="24"/>
    </w:rPr>
  </w:style>
  <w:style w:type="paragraph" w:customStyle="1" w:styleId="2687">
    <w:name w:val="Char Char Char Char Char Char Char Char Char Char Char Char Char Char Char Char Char Char Char Char Char Char Char Char Char Char Char Char Char Char Char Char Char Char Char Char Char Char Char Char Char Char Char"/>
    <w:basedOn w:val="1"/>
    <w:next w:val="1"/>
    <w:uiPriority w:val="0"/>
    <w:pPr>
      <w:widowControl/>
      <w:spacing w:line="360" w:lineRule="auto"/>
      <w:jc w:val="left"/>
    </w:pPr>
    <w:rPr>
      <w:rFonts w:cstheme="majorBidi"/>
      <w:kern w:val="0"/>
      <w:szCs w:val="20"/>
    </w:rPr>
  </w:style>
  <w:style w:type="paragraph" w:customStyle="1" w:styleId="2688">
    <w:name w:val="CM28"/>
    <w:basedOn w:val="179"/>
    <w:next w:val="179"/>
    <w:autoRedefine/>
    <w:qFormat/>
    <w:uiPriority w:val="0"/>
    <w:pPr>
      <w:spacing w:line="480" w:lineRule="atLeast"/>
    </w:pPr>
    <w:rPr>
      <w:rFonts w:ascii="华文中宋" w:eastAsia="华文中宋" w:cs="Times New Roman"/>
      <w:color w:val="auto"/>
    </w:rPr>
  </w:style>
  <w:style w:type="character" w:customStyle="1" w:styleId="2689">
    <w:name w:val="表注 Char"/>
    <w:link w:val="547"/>
    <w:autoRedefine/>
    <w:qFormat/>
    <w:uiPriority w:val="0"/>
    <w:rPr>
      <w:b/>
      <w:bCs/>
      <w:spacing w:val="20"/>
      <w:sz w:val="28"/>
      <w:szCs w:val="28"/>
    </w:rPr>
  </w:style>
  <w:style w:type="paragraph" w:customStyle="1" w:styleId="2690">
    <w:name w:val="样式 样式 样式 华文细黑 + 首行缩进:  2 字符 + 首行缩进:  2 字符"/>
    <w:basedOn w:val="1"/>
    <w:autoRedefine/>
    <w:qFormat/>
    <w:uiPriority w:val="99"/>
    <w:pPr>
      <w:widowControl/>
      <w:snapToGrid w:val="0"/>
      <w:spacing w:beforeLines="50" w:afterLines="50" w:line="480" w:lineRule="exact"/>
      <w:jc w:val="left"/>
    </w:pPr>
    <w:rPr>
      <w:rFonts w:ascii="仿宋_GB2312" w:hAnsi="华文细黑" w:eastAsia="仿宋_GB2312" w:cs="宋体"/>
      <w:kern w:val="0"/>
      <w:sz w:val="28"/>
      <w:szCs w:val="20"/>
      <w:lang w:val="zh-CN"/>
    </w:rPr>
  </w:style>
  <w:style w:type="paragraph" w:customStyle="1" w:styleId="2691">
    <w:name w:val="我的样式（正文）"/>
    <w:basedOn w:val="1"/>
    <w:autoRedefine/>
    <w:qFormat/>
    <w:uiPriority w:val="0"/>
    <w:pPr>
      <w:widowControl/>
      <w:spacing w:line="440" w:lineRule="exact"/>
      <w:jc w:val="left"/>
    </w:pPr>
    <w:rPr>
      <w:rFonts w:ascii="宋体" w:cstheme="majorBidi"/>
      <w:kern w:val="0"/>
      <w:sz w:val="28"/>
      <w:szCs w:val="20"/>
    </w:rPr>
  </w:style>
  <w:style w:type="character" w:customStyle="1" w:styleId="2692">
    <w:name w:val="表名 Char1"/>
    <w:autoRedefine/>
    <w:qFormat/>
    <w:uiPriority w:val="0"/>
    <w:rPr>
      <w:rFonts w:ascii="Times New Roman" w:hAnsi="Times New Roman" w:eastAsia="黑体"/>
      <w:sz w:val="24"/>
    </w:rPr>
  </w:style>
  <w:style w:type="paragraph" w:customStyle="1" w:styleId="2693">
    <w:name w:val="样式 表头 + 段前: 0.5 行 行距: 1.5 倍行距"/>
    <w:basedOn w:val="45"/>
    <w:link w:val="2694"/>
    <w:autoRedefine/>
    <w:qFormat/>
    <w:uiPriority w:val="99"/>
    <w:pPr>
      <w:widowControl/>
      <w:overflowPunct w:val="0"/>
      <w:autoSpaceDE w:val="0"/>
      <w:autoSpaceDN w:val="0"/>
      <w:spacing w:before="120" w:beforeLines="50" w:line="360" w:lineRule="auto"/>
      <w:ind w:firstLine="422" w:firstLineChars="200"/>
      <w:textAlignment w:val="bottom"/>
    </w:pPr>
    <w:rPr>
      <w:rFonts w:ascii="黑体" w:hAnsi="宋体" w:eastAsia="黑体" w:cstheme="majorBidi"/>
      <w:b/>
      <w:bCs/>
      <w:kern w:val="2"/>
      <w:szCs w:val="22"/>
      <w:u w:color="000000"/>
    </w:rPr>
  </w:style>
  <w:style w:type="character" w:customStyle="1" w:styleId="2694">
    <w:name w:val="样式 表头 + 段前: 0.5 行 行距: 1.5 倍行距 Char"/>
    <w:link w:val="2693"/>
    <w:autoRedefine/>
    <w:qFormat/>
    <w:uiPriority w:val="99"/>
    <w:rPr>
      <w:rFonts w:ascii="黑体" w:hAnsi="宋体" w:eastAsia="黑体" w:cstheme="majorBidi"/>
      <w:b/>
      <w:bCs/>
      <w:kern w:val="2"/>
      <w:sz w:val="21"/>
      <w:szCs w:val="22"/>
      <w:u w:color="000000"/>
    </w:rPr>
  </w:style>
  <w:style w:type="paragraph" w:customStyle="1" w:styleId="2695">
    <w:name w:val="图文框"/>
    <w:basedOn w:val="1"/>
    <w:autoRedefine/>
    <w:qFormat/>
    <w:uiPriority w:val="0"/>
    <w:pPr>
      <w:widowControl/>
      <w:spacing w:line="360" w:lineRule="auto"/>
      <w:jc w:val="center"/>
    </w:pPr>
    <w:rPr>
      <w:rFonts w:cstheme="majorBidi"/>
      <w:kern w:val="18"/>
    </w:rPr>
  </w:style>
  <w:style w:type="paragraph" w:customStyle="1" w:styleId="2696">
    <w:name w:val="列出段落12"/>
    <w:basedOn w:val="1"/>
    <w:link w:val="2697"/>
    <w:autoRedefine/>
    <w:uiPriority w:val="0"/>
    <w:pPr>
      <w:widowControl/>
      <w:spacing w:line="360" w:lineRule="auto"/>
      <w:ind w:firstLine="420"/>
      <w:jc w:val="left"/>
    </w:pPr>
    <w:rPr>
      <w:rFonts w:ascii="等线" w:hAnsi="等线" w:eastAsia="等线" w:cstheme="majorBidi"/>
      <w:kern w:val="0"/>
      <w:szCs w:val="22"/>
    </w:rPr>
  </w:style>
  <w:style w:type="character" w:customStyle="1" w:styleId="2697">
    <w:name w:val="列出段落 Char"/>
    <w:link w:val="2696"/>
    <w:autoRedefine/>
    <w:qFormat/>
    <w:uiPriority w:val="0"/>
    <w:rPr>
      <w:rFonts w:ascii="等线" w:hAnsi="等线" w:eastAsia="等线" w:cstheme="majorBidi"/>
      <w:sz w:val="24"/>
      <w:szCs w:val="22"/>
    </w:rPr>
  </w:style>
  <w:style w:type="paragraph" w:customStyle="1" w:styleId="2698">
    <w:name w:val="Char1 Char Char Char"/>
    <w:basedOn w:val="1"/>
    <w:uiPriority w:val="0"/>
    <w:pPr>
      <w:widowControl/>
      <w:spacing w:line="360" w:lineRule="auto"/>
      <w:jc w:val="left"/>
    </w:pPr>
    <w:rPr>
      <w:rFonts w:cstheme="majorBidi"/>
      <w:kern w:val="0"/>
    </w:rPr>
  </w:style>
  <w:style w:type="paragraph" w:customStyle="1" w:styleId="2699">
    <w:name w:val="xl13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center"/>
    </w:pPr>
    <w:rPr>
      <w:rFonts w:ascii="宋体" w:hAnsi="宋体" w:cs="宋体"/>
      <w:b/>
      <w:bCs/>
      <w:kern w:val="0"/>
      <w:sz w:val="20"/>
      <w:szCs w:val="20"/>
    </w:rPr>
  </w:style>
  <w:style w:type="paragraph" w:customStyle="1" w:styleId="2700">
    <w:name w:val="Char Char Char Char21"/>
    <w:basedOn w:val="1"/>
    <w:autoRedefine/>
    <w:qFormat/>
    <w:uiPriority w:val="99"/>
    <w:pPr>
      <w:widowControl/>
      <w:spacing w:line="360" w:lineRule="auto"/>
      <w:jc w:val="left"/>
    </w:pPr>
    <w:rPr>
      <w:rFonts w:ascii="宋体" w:hAnsi="宋体" w:cs="宋体"/>
      <w:kern w:val="0"/>
    </w:rPr>
  </w:style>
  <w:style w:type="paragraph" w:customStyle="1" w:styleId="2701">
    <w:name w:val="MY正文"/>
    <w:basedOn w:val="1"/>
    <w:link w:val="2702"/>
    <w:autoRedefine/>
    <w:qFormat/>
    <w:uiPriority w:val="0"/>
    <w:pPr>
      <w:widowControl/>
      <w:spacing w:line="300" w:lineRule="auto"/>
      <w:ind w:firstLine="480"/>
      <w:jc w:val="left"/>
    </w:pPr>
    <w:rPr>
      <w:rFonts w:cs="宋体"/>
      <w:color w:val="000000"/>
      <w:kern w:val="0"/>
      <w:szCs w:val="20"/>
    </w:rPr>
  </w:style>
  <w:style w:type="character" w:customStyle="1" w:styleId="2702">
    <w:name w:val="MY正文 Char"/>
    <w:link w:val="2701"/>
    <w:qFormat/>
    <w:uiPriority w:val="0"/>
    <w:rPr>
      <w:rFonts w:cs="宋体"/>
      <w:color w:val="000000"/>
      <w:sz w:val="24"/>
    </w:rPr>
  </w:style>
  <w:style w:type="paragraph" w:customStyle="1" w:styleId="2703">
    <w:name w:val="样式 标题 1 + 四号"/>
    <w:basedOn w:val="3"/>
    <w:link w:val="2704"/>
    <w:autoRedefine/>
    <w:qFormat/>
    <w:uiPriority w:val="0"/>
    <w:pPr>
      <w:keepNext w:val="0"/>
      <w:widowControl/>
      <w:numPr>
        <w:numId w:val="0"/>
      </w:numPr>
      <w:tabs>
        <w:tab w:val="clear" w:pos="0"/>
      </w:tabs>
      <w:spacing w:line="360" w:lineRule="auto"/>
      <w:contextualSpacing/>
    </w:pPr>
    <w:rPr>
      <w:rFonts w:ascii="Calibri" w:hAnsi="宋体" w:eastAsia="宋体" w:cstheme="majorBidi"/>
      <w:smallCaps/>
      <w:spacing w:val="5"/>
      <w:kern w:val="0"/>
      <w:sz w:val="28"/>
      <w:szCs w:val="32"/>
    </w:rPr>
  </w:style>
  <w:style w:type="character" w:customStyle="1" w:styleId="2704">
    <w:name w:val="样式 标题 1 + 四号 Char"/>
    <w:link w:val="2703"/>
    <w:qFormat/>
    <w:uiPriority w:val="0"/>
    <w:rPr>
      <w:rFonts w:ascii="Calibri" w:hAnsi="宋体" w:cstheme="majorBidi"/>
      <w:b/>
      <w:smallCaps/>
      <w:spacing w:val="5"/>
      <w:sz w:val="28"/>
      <w:szCs w:val="32"/>
    </w:rPr>
  </w:style>
  <w:style w:type="paragraph" w:customStyle="1" w:styleId="2705">
    <w:name w:val="lmy正文"/>
    <w:basedOn w:val="1"/>
    <w:link w:val="2706"/>
    <w:autoRedefine/>
    <w:qFormat/>
    <w:uiPriority w:val="0"/>
    <w:pPr>
      <w:widowControl/>
      <w:autoSpaceDE w:val="0"/>
      <w:autoSpaceDN w:val="0"/>
      <w:adjustRightInd w:val="0"/>
      <w:spacing w:line="300" w:lineRule="auto"/>
      <w:ind w:firstLine="480"/>
      <w:jc w:val="left"/>
    </w:pPr>
    <w:rPr>
      <w:rFonts w:ascii="宋体" w:hAnsi="宋体" w:cstheme="majorBidi"/>
      <w:color w:val="000000"/>
      <w:kern w:val="0"/>
    </w:rPr>
  </w:style>
  <w:style w:type="character" w:customStyle="1" w:styleId="2706">
    <w:name w:val="lmy正文 Char"/>
    <w:link w:val="2705"/>
    <w:autoRedefine/>
    <w:qFormat/>
    <w:uiPriority w:val="0"/>
    <w:rPr>
      <w:rFonts w:ascii="宋体" w:hAnsi="宋体" w:cstheme="majorBidi"/>
      <w:color w:val="000000"/>
      <w:sz w:val="24"/>
      <w:szCs w:val="24"/>
    </w:rPr>
  </w:style>
  <w:style w:type="paragraph" w:customStyle="1" w:styleId="2707">
    <w:name w:val="ENFI正文"/>
    <w:basedOn w:val="1"/>
    <w:link w:val="2708"/>
    <w:autoRedefine/>
    <w:qFormat/>
    <w:uiPriority w:val="0"/>
    <w:pPr>
      <w:widowControl/>
      <w:adjustRightInd w:val="0"/>
      <w:snapToGrid w:val="0"/>
      <w:spacing w:line="500" w:lineRule="exact"/>
      <w:ind w:firstLine="567"/>
      <w:jc w:val="left"/>
    </w:pPr>
    <w:rPr>
      <w:rFonts w:eastAsia="仿宋_GB2312" w:cstheme="majorBidi"/>
      <w:color w:val="000000"/>
      <w:kern w:val="0"/>
      <w:sz w:val="28"/>
      <w:szCs w:val="20"/>
    </w:rPr>
  </w:style>
  <w:style w:type="character" w:customStyle="1" w:styleId="2708">
    <w:name w:val="ENFI正文 Char Char"/>
    <w:link w:val="2707"/>
    <w:autoRedefine/>
    <w:uiPriority w:val="0"/>
    <w:rPr>
      <w:rFonts w:eastAsia="仿宋_GB2312" w:cstheme="majorBidi"/>
      <w:color w:val="000000"/>
      <w:sz w:val="28"/>
    </w:rPr>
  </w:style>
  <w:style w:type="paragraph" w:customStyle="1" w:styleId="2709">
    <w:name w:val="样式54"/>
    <w:basedOn w:val="1"/>
    <w:link w:val="2710"/>
    <w:autoRedefine/>
    <w:uiPriority w:val="0"/>
    <w:pPr>
      <w:widowControl/>
      <w:autoSpaceDE w:val="0"/>
      <w:autoSpaceDN w:val="0"/>
      <w:adjustRightInd w:val="0"/>
      <w:spacing w:beforeLines="50" w:afterLines="50" w:line="360" w:lineRule="auto"/>
      <w:ind w:firstLine="480"/>
      <w:jc w:val="left"/>
    </w:pPr>
    <w:rPr>
      <w:rFonts w:cstheme="majorBidi"/>
      <w:color w:val="0000FF"/>
      <w:kern w:val="0"/>
      <w:u w:val="single"/>
    </w:rPr>
  </w:style>
  <w:style w:type="character" w:customStyle="1" w:styleId="2710">
    <w:name w:val="样式54 Char"/>
    <w:link w:val="2709"/>
    <w:qFormat/>
    <w:uiPriority w:val="0"/>
    <w:rPr>
      <w:rFonts w:cstheme="majorBidi"/>
      <w:color w:val="0000FF"/>
      <w:sz w:val="24"/>
      <w:szCs w:val="24"/>
      <w:u w:val="single"/>
    </w:rPr>
  </w:style>
  <w:style w:type="paragraph" w:customStyle="1" w:styleId="2711">
    <w:name w:val="样式 标题 3a标题 3标题 13标题 3 Char1 Char Char Char标题 31ReHead 3 WS...1"/>
    <w:basedOn w:val="5"/>
    <w:link w:val="2712"/>
    <w:autoRedefine/>
    <w:qFormat/>
    <w:uiPriority w:val="0"/>
    <w:pPr>
      <w:keepNext w:val="0"/>
      <w:keepLines w:val="0"/>
      <w:widowControl/>
      <w:numPr>
        <w:ilvl w:val="0"/>
        <w:numId w:val="0"/>
      </w:numPr>
      <w:tabs>
        <w:tab w:val="left" w:pos="720"/>
      </w:tabs>
      <w:adjustRightInd w:val="0"/>
      <w:snapToGrid w:val="0"/>
      <w:spacing w:before="120" w:after="120" w:line="360" w:lineRule="auto"/>
      <w:ind w:left="720" w:hanging="720"/>
      <w:jc w:val="left"/>
    </w:pPr>
    <w:rPr>
      <w:rFonts w:ascii="宋体" w:hAnsi="宋体" w:eastAsia="宋体" w:cstheme="majorBidi"/>
      <w:bCs w:val="0"/>
      <w:iCs/>
      <w:smallCaps/>
      <w:spacing w:val="5"/>
      <w:kern w:val="0"/>
      <w:sz w:val="24"/>
      <w:szCs w:val="26"/>
      <w:lang w:val="en-GB"/>
    </w:rPr>
  </w:style>
  <w:style w:type="character" w:customStyle="1" w:styleId="2712">
    <w:name w:val="样式 标题 3a标题 3标题 13标题 3 Char1 Char Char Char标题 31ReHead 3 WS...1 Char"/>
    <w:link w:val="2711"/>
    <w:autoRedefine/>
    <w:qFormat/>
    <w:uiPriority w:val="0"/>
    <w:rPr>
      <w:rFonts w:ascii="宋体" w:hAnsi="宋体" w:cstheme="majorBidi"/>
      <w:b/>
      <w:iCs/>
      <w:smallCaps/>
      <w:spacing w:val="5"/>
      <w:sz w:val="24"/>
      <w:szCs w:val="26"/>
      <w:lang w:val="en-GB"/>
    </w:rPr>
  </w:style>
  <w:style w:type="paragraph" w:customStyle="1" w:styleId="2713">
    <w:name w:val="二级标题"/>
    <w:basedOn w:val="4"/>
    <w:link w:val="2714"/>
    <w:autoRedefine/>
    <w:qFormat/>
    <w:uiPriority w:val="0"/>
    <w:pPr>
      <w:keepNext w:val="0"/>
      <w:keepLines w:val="0"/>
      <w:widowControl/>
      <w:numPr>
        <w:ilvl w:val="0"/>
        <w:numId w:val="0"/>
      </w:numPr>
      <w:spacing w:before="260" w:beforeLines="50" w:after="260" w:afterLines="50"/>
      <w:jc w:val="left"/>
    </w:pPr>
    <w:rPr>
      <w:rFonts w:ascii="宋体" w:hAnsi="宋体" w:eastAsia="宋体"/>
      <w:b w:val="0"/>
      <w:bCs w:val="0"/>
      <w:smallCaps/>
      <w:kern w:val="0"/>
      <w:sz w:val="24"/>
      <w:szCs w:val="24"/>
    </w:rPr>
  </w:style>
  <w:style w:type="character" w:customStyle="1" w:styleId="2714">
    <w:name w:val="二级标题 Char"/>
    <w:link w:val="2713"/>
    <w:autoRedefine/>
    <w:qFormat/>
    <w:uiPriority w:val="0"/>
    <w:rPr>
      <w:rFonts w:ascii="宋体" w:hAnsi="宋体"/>
      <w:smallCaps/>
      <w:sz w:val="24"/>
      <w:szCs w:val="24"/>
    </w:rPr>
  </w:style>
  <w:style w:type="character" w:customStyle="1" w:styleId="2715">
    <w:name w:val="表文 Char"/>
    <w:link w:val="1369"/>
    <w:autoRedefine/>
    <w:qFormat/>
    <w:uiPriority w:val="0"/>
    <w:rPr>
      <w:sz w:val="21"/>
    </w:rPr>
  </w:style>
  <w:style w:type="paragraph" w:customStyle="1" w:styleId="2716">
    <w:name w:val="样式 标题 3标题 3 Char Char Char标题 3 Char Char Char Char Char Char标..."/>
    <w:basedOn w:val="5"/>
    <w:link w:val="2717"/>
    <w:autoRedefine/>
    <w:qFormat/>
    <w:uiPriority w:val="0"/>
    <w:pPr>
      <w:keepNext w:val="0"/>
      <w:keepLines w:val="0"/>
      <w:widowControl/>
      <w:numPr>
        <w:ilvl w:val="0"/>
        <w:numId w:val="0"/>
      </w:numPr>
      <w:tabs>
        <w:tab w:val="left" w:pos="720"/>
      </w:tabs>
      <w:adjustRightInd w:val="0"/>
      <w:snapToGrid w:val="0"/>
      <w:spacing w:line="360" w:lineRule="auto"/>
      <w:jc w:val="left"/>
    </w:pPr>
    <w:rPr>
      <w:rFonts w:ascii="Plotter" w:hAnsi="Plotter" w:eastAsia="宋体" w:cstheme="majorBidi"/>
      <w:iCs/>
      <w:smallCaps/>
      <w:spacing w:val="5"/>
      <w:kern w:val="0"/>
      <w:sz w:val="24"/>
      <w:szCs w:val="20"/>
    </w:rPr>
  </w:style>
  <w:style w:type="character" w:customStyle="1" w:styleId="2717">
    <w:name w:val="样式 标题 3标题 3 Char Char Char标题 3 Char Char Char Char Char Char标... Char"/>
    <w:link w:val="2716"/>
    <w:autoRedefine/>
    <w:uiPriority w:val="0"/>
    <w:rPr>
      <w:rFonts w:ascii="Plotter" w:hAnsi="Plotter" w:cstheme="majorBidi"/>
      <w:b/>
      <w:bCs/>
      <w:iCs/>
      <w:smallCaps/>
      <w:spacing w:val="5"/>
      <w:sz w:val="24"/>
    </w:rPr>
  </w:style>
  <w:style w:type="paragraph" w:customStyle="1" w:styleId="2718">
    <w:name w:val="样式61"/>
    <w:basedOn w:val="1"/>
    <w:link w:val="2719"/>
    <w:autoRedefine/>
    <w:qFormat/>
    <w:uiPriority w:val="0"/>
    <w:pPr>
      <w:widowControl/>
      <w:spacing w:line="360" w:lineRule="auto"/>
      <w:ind w:firstLine="480"/>
      <w:jc w:val="left"/>
    </w:pPr>
    <w:rPr>
      <w:rFonts w:cstheme="majorBidi"/>
      <w:color w:val="000000"/>
      <w:kern w:val="0"/>
    </w:rPr>
  </w:style>
  <w:style w:type="character" w:customStyle="1" w:styleId="2719">
    <w:name w:val="样式61 Char"/>
    <w:link w:val="2718"/>
    <w:autoRedefine/>
    <w:qFormat/>
    <w:uiPriority w:val="0"/>
    <w:rPr>
      <w:rFonts w:cstheme="majorBidi"/>
      <w:color w:val="000000"/>
      <w:sz w:val="24"/>
      <w:szCs w:val="24"/>
    </w:rPr>
  </w:style>
  <w:style w:type="paragraph" w:customStyle="1" w:styleId="2720">
    <w:name w:val="样式 标题 3 Char标题 13 Char标题 3 Char1标题 3 Char Char Char标题 3 Char..."/>
    <w:basedOn w:val="3"/>
    <w:link w:val="2721"/>
    <w:autoRedefine/>
    <w:qFormat/>
    <w:uiPriority w:val="0"/>
    <w:pPr>
      <w:keepNext w:val="0"/>
      <w:widowControl/>
      <w:numPr>
        <w:numId w:val="0"/>
      </w:numPr>
      <w:tabs>
        <w:tab w:val="clear" w:pos="0"/>
      </w:tabs>
      <w:spacing w:before="120" w:after="330" w:line="360" w:lineRule="auto"/>
      <w:contextualSpacing/>
      <w:jc w:val="left"/>
    </w:pPr>
    <w:rPr>
      <w:rFonts w:ascii="Arial" w:hAnsi="Arial" w:eastAsia="宋体" w:cs="Arial"/>
      <w:b w:val="0"/>
      <w:bCs/>
      <w:smallCaps/>
      <w:spacing w:val="5"/>
      <w:kern w:val="0"/>
      <w:sz w:val="24"/>
    </w:rPr>
  </w:style>
  <w:style w:type="character" w:customStyle="1" w:styleId="2721">
    <w:name w:val="样式 标题 3 Char标题 13 Char标题 3 Char1标题 3 Char Char Char标题 3 Char... Char"/>
    <w:link w:val="2720"/>
    <w:autoRedefine/>
    <w:qFormat/>
    <w:uiPriority w:val="0"/>
    <w:rPr>
      <w:rFonts w:ascii="Arial" w:hAnsi="Arial" w:cs="Arial"/>
      <w:bCs/>
      <w:smallCaps/>
      <w:spacing w:val="5"/>
      <w:sz w:val="24"/>
      <w:szCs w:val="36"/>
    </w:rPr>
  </w:style>
  <w:style w:type="paragraph" w:customStyle="1" w:styleId="2722">
    <w:name w:val="文章正文样式 Char1 Char"/>
    <w:basedOn w:val="1"/>
    <w:link w:val="2723"/>
    <w:autoRedefine/>
    <w:qFormat/>
    <w:uiPriority w:val="0"/>
    <w:pPr>
      <w:widowControl/>
      <w:spacing w:line="520" w:lineRule="exact"/>
      <w:jc w:val="left"/>
    </w:pPr>
    <w:rPr>
      <w:rFonts w:ascii="宋体" w:hAnsi="宋体" w:cs="宋体"/>
      <w:kern w:val="0"/>
      <w:szCs w:val="20"/>
    </w:rPr>
  </w:style>
  <w:style w:type="character" w:customStyle="1" w:styleId="2723">
    <w:name w:val="文章正文样式 Char1 Char Char"/>
    <w:link w:val="2722"/>
    <w:autoRedefine/>
    <w:uiPriority w:val="0"/>
    <w:rPr>
      <w:rFonts w:ascii="宋体" w:hAnsi="宋体" w:cs="宋体"/>
      <w:sz w:val="24"/>
    </w:rPr>
  </w:style>
  <w:style w:type="paragraph" w:customStyle="1" w:styleId="2724">
    <w:name w:val="湛江生物质发电正文"/>
    <w:basedOn w:val="1"/>
    <w:link w:val="2725"/>
    <w:autoRedefine/>
    <w:qFormat/>
    <w:uiPriority w:val="0"/>
    <w:pPr>
      <w:widowControl/>
      <w:spacing w:line="324" w:lineRule="auto"/>
      <w:ind w:firstLine="480"/>
      <w:jc w:val="left"/>
    </w:pPr>
    <w:rPr>
      <w:rFonts w:ascii="宋体" w:hAnsi="宋体" w:cs="宋体"/>
      <w:kern w:val="0"/>
      <w:szCs w:val="20"/>
    </w:rPr>
  </w:style>
  <w:style w:type="character" w:customStyle="1" w:styleId="2725">
    <w:name w:val="湛江生物质发电正文 Char Char"/>
    <w:link w:val="2724"/>
    <w:autoRedefine/>
    <w:qFormat/>
    <w:uiPriority w:val="0"/>
    <w:rPr>
      <w:rFonts w:ascii="宋体" w:hAnsi="宋体" w:cs="宋体"/>
      <w:sz w:val="24"/>
    </w:rPr>
  </w:style>
  <w:style w:type="paragraph" w:customStyle="1" w:styleId="2726">
    <w:name w:val="样式41"/>
    <w:basedOn w:val="4"/>
    <w:link w:val="2727"/>
    <w:autoRedefine/>
    <w:uiPriority w:val="0"/>
    <w:pPr>
      <w:keepNext w:val="0"/>
      <w:keepLines w:val="0"/>
      <w:widowControl/>
      <w:numPr>
        <w:ilvl w:val="0"/>
        <w:numId w:val="0"/>
      </w:numPr>
      <w:spacing w:before="260" w:after="260"/>
      <w:jc w:val="left"/>
    </w:pPr>
    <w:rPr>
      <w:rFonts w:ascii="宋体" w:hAnsi="宋体" w:eastAsia="宋体" w:cs="仿宋_GB2312"/>
      <w:bCs w:val="0"/>
      <w:smallCaps/>
      <w:color w:val="000000"/>
      <w:kern w:val="0"/>
      <w:sz w:val="28"/>
      <w:szCs w:val="28"/>
    </w:rPr>
  </w:style>
  <w:style w:type="character" w:customStyle="1" w:styleId="2727">
    <w:name w:val="样式41 Char"/>
    <w:link w:val="2726"/>
    <w:autoRedefine/>
    <w:qFormat/>
    <w:uiPriority w:val="0"/>
    <w:rPr>
      <w:rFonts w:ascii="宋体" w:hAnsi="宋体" w:cs="仿宋_GB2312"/>
      <w:b/>
      <w:smallCaps/>
      <w:color w:val="000000"/>
      <w:sz w:val="28"/>
      <w:szCs w:val="28"/>
    </w:rPr>
  </w:style>
  <w:style w:type="paragraph" w:customStyle="1" w:styleId="2728">
    <w:name w:val="报告标题1"/>
    <w:basedOn w:val="3"/>
    <w:link w:val="2729"/>
    <w:autoRedefine/>
    <w:qFormat/>
    <w:uiPriority w:val="0"/>
    <w:pPr>
      <w:keepNext w:val="0"/>
      <w:widowControl/>
      <w:numPr>
        <w:numId w:val="0"/>
      </w:numPr>
      <w:tabs>
        <w:tab w:val="left" w:pos="425"/>
      </w:tabs>
      <w:spacing w:line="360" w:lineRule="auto"/>
      <w:ind w:left="360" w:hanging="360"/>
      <w:contextualSpacing/>
      <w:jc w:val="left"/>
    </w:pPr>
    <w:rPr>
      <w:rFonts w:ascii="Arial" w:hAnsi="Arial" w:eastAsia="等线" w:cstheme="majorBidi"/>
      <w:smallCaps/>
      <w:color w:val="000000"/>
      <w:spacing w:val="5"/>
      <w:sz w:val="30"/>
      <w:szCs w:val="24"/>
    </w:rPr>
  </w:style>
  <w:style w:type="character" w:customStyle="1" w:styleId="2729">
    <w:name w:val="报告标题1 Char"/>
    <w:link w:val="2728"/>
    <w:autoRedefine/>
    <w:qFormat/>
    <w:uiPriority w:val="0"/>
    <w:rPr>
      <w:rFonts w:ascii="Arial" w:hAnsi="Arial" w:eastAsia="等线" w:cstheme="majorBidi"/>
      <w:b/>
      <w:smallCaps/>
      <w:color w:val="000000"/>
      <w:spacing w:val="5"/>
      <w:kern w:val="2"/>
      <w:sz w:val="30"/>
      <w:szCs w:val="24"/>
    </w:rPr>
  </w:style>
  <w:style w:type="paragraph" w:customStyle="1" w:styleId="2730">
    <w:name w:val="样式11111"/>
    <w:basedOn w:val="1"/>
    <w:link w:val="2731"/>
    <w:autoRedefine/>
    <w:qFormat/>
    <w:uiPriority w:val="0"/>
    <w:pPr>
      <w:widowControl/>
      <w:spacing w:beforeLines="50" w:afterLines="50" w:line="360" w:lineRule="auto"/>
      <w:ind w:firstLine="480"/>
      <w:jc w:val="left"/>
    </w:pPr>
    <w:rPr>
      <w:rFonts w:ascii="宋体" w:hAnsi="宋体" w:cs="宋体"/>
      <w:color w:val="000000"/>
      <w:kern w:val="0"/>
    </w:rPr>
  </w:style>
  <w:style w:type="character" w:customStyle="1" w:styleId="2731">
    <w:name w:val="样式11111 Char"/>
    <w:link w:val="2730"/>
    <w:autoRedefine/>
    <w:qFormat/>
    <w:uiPriority w:val="0"/>
    <w:rPr>
      <w:rFonts w:ascii="宋体" w:hAnsi="宋体" w:cs="宋体"/>
      <w:color w:val="000000"/>
      <w:sz w:val="24"/>
      <w:szCs w:val="24"/>
    </w:rPr>
  </w:style>
  <w:style w:type="paragraph" w:customStyle="1" w:styleId="2732">
    <w:name w:val="宗兴正文"/>
    <w:basedOn w:val="1"/>
    <w:link w:val="2733"/>
    <w:autoRedefine/>
    <w:qFormat/>
    <w:uiPriority w:val="0"/>
    <w:pPr>
      <w:widowControl/>
      <w:adjustRightInd w:val="0"/>
      <w:snapToGrid w:val="0"/>
      <w:spacing w:before="93" w:after="93" w:line="360" w:lineRule="auto"/>
      <w:ind w:left="228" w:leftChars="228"/>
      <w:jc w:val="left"/>
    </w:pPr>
    <w:rPr>
      <w:rFonts w:ascii="宋体" w:cstheme="majorBidi"/>
      <w:b/>
      <w:kern w:val="0"/>
      <w:szCs w:val="20"/>
      <w:lang w:val="zh-CN"/>
    </w:rPr>
  </w:style>
  <w:style w:type="character" w:customStyle="1" w:styleId="2733">
    <w:name w:val="宗兴正文 Char"/>
    <w:link w:val="2732"/>
    <w:autoRedefine/>
    <w:qFormat/>
    <w:uiPriority w:val="0"/>
    <w:rPr>
      <w:rFonts w:ascii="宋体" w:cstheme="majorBidi"/>
      <w:b/>
      <w:sz w:val="24"/>
      <w:lang w:val="zh-CN"/>
    </w:rPr>
  </w:style>
  <w:style w:type="paragraph" w:customStyle="1" w:styleId="2734">
    <w:name w:val="自定义正文 Char Char Char Char Char Char Char Char Char Char Char Char Char"/>
    <w:link w:val="2735"/>
    <w:autoRedefine/>
    <w:qFormat/>
    <w:uiPriority w:val="0"/>
    <w:pPr>
      <w:widowControl w:val="0"/>
      <w:topLinePunct/>
      <w:adjustRightInd w:val="0"/>
      <w:snapToGrid w:val="0"/>
      <w:spacing w:line="360" w:lineRule="auto"/>
      <w:ind w:firstLine="510"/>
      <w:jc w:val="both"/>
    </w:pPr>
    <w:rPr>
      <w:rFonts w:asciiTheme="majorHAnsi" w:hAnsiTheme="majorHAnsi" w:eastAsiaTheme="majorEastAsia" w:cstheme="majorBidi"/>
      <w:position w:val="-28"/>
      <w:sz w:val="28"/>
      <w:szCs w:val="28"/>
      <w:lang w:val="en-US" w:eastAsia="zh-CN" w:bidi="ar-SA"/>
    </w:rPr>
  </w:style>
  <w:style w:type="character" w:customStyle="1" w:styleId="2735">
    <w:name w:val="自定义正文 Char Char Char Char Char Char Char Char Char Char Char Char Char Char"/>
    <w:link w:val="2734"/>
    <w:uiPriority w:val="0"/>
    <w:rPr>
      <w:rFonts w:asciiTheme="majorHAnsi" w:hAnsiTheme="majorHAnsi" w:eastAsiaTheme="majorEastAsia" w:cstheme="majorBidi"/>
      <w:position w:val="-28"/>
      <w:sz w:val="28"/>
      <w:szCs w:val="28"/>
    </w:rPr>
  </w:style>
  <w:style w:type="character" w:customStyle="1" w:styleId="2736">
    <w:name w:val="正文小4 Char"/>
    <w:link w:val="2672"/>
    <w:autoRedefine/>
    <w:qFormat/>
    <w:uiPriority w:val="0"/>
    <w:rPr>
      <w:rFonts w:cstheme="majorBidi"/>
      <w:sz w:val="24"/>
      <w:szCs w:val="24"/>
    </w:rPr>
  </w:style>
  <w:style w:type="paragraph" w:customStyle="1" w:styleId="2737">
    <w:name w:val="全部文体"/>
    <w:basedOn w:val="1"/>
    <w:link w:val="2738"/>
    <w:autoRedefine/>
    <w:qFormat/>
    <w:uiPriority w:val="0"/>
    <w:pPr>
      <w:widowControl/>
      <w:autoSpaceDE w:val="0"/>
      <w:autoSpaceDN w:val="0"/>
      <w:adjustRightInd w:val="0"/>
      <w:spacing w:beforeLines="50" w:afterLines="50" w:line="360" w:lineRule="auto"/>
      <w:ind w:firstLine="480"/>
      <w:jc w:val="left"/>
    </w:pPr>
    <w:rPr>
      <w:rFonts w:cstheme="majorBidi"/>
      <w:color w:val="000000"/>
      <w:kern w:val="0"/>
    </w:rPr>
  </w:style>
  <w:style w:type="character" w:customStyle="1" w:styleId="2738">
    <w:name w:val="全部文体 Char"/>
    <w:link w:val="2737"/>
    <w:autoRedefine/>
    <w:qFormat/>
    <w:uiPriority w:val="0"/>
    <w:rPr>
      <w:rFonts w:cstheme="majorBidi"/>
      <w:color w:val="000000"/>
      <w:sz w:val="24"/>
      <w:szCs w:val="24"/>
    </w:rPr>
  </w:style>
  <w:style w:type="paragraph" w:customStyle="1" w:styleId="2739">
    <w:name w:val="正文段落"/>
    <w:basedOn w:val="1"/>
    <w:link w:val="2740"/>
    <w:autoRedefine/>
    <w:qFormat/>
    <w:uiPriority w:val="0"/>
    <w:pPr>
      <w:widowControl/>
      <w:spacing w:line="500" w:lineRule="exact"/>
      <w:jc w:val="left"/>
    </w:pPr>
    <w:rPr>
      <w:rFonts w:cstheme="majorBidi"/>
      <w:kern w:val="0"/>
    </w:rPr>
  </w:style>
  <w:style w:type="character" w:customStyle="1" w:styleId="2740">
    <w:name w:val="正文段落 Char"/>
    <w:link w:val="2739"/>
    <w:autoRedefine/>
    <w:qFormat/>
    <w:uiPriority w:val="0"/>
    <w:rPr>
      <w:rFonts w:cstheme="majorBidi"/>
      <w:sz w:val="24"/>
      <w:szCs w:val="24"/>
    </w:rPr>
  </w:style>
  <w:style w:type="paragraph" w:customStyle="1" w:styleId="2741">
    <w:name w:val="样式36"/>
    <w:basedOn w:val="450"/>
    <w:link w:val="2742"/>
    <w:autoRedefine/>
    <w:qFormat/>
    <w:uiPriority w:val="0"/>
    <w:pPr>
      <w:widowControl/>
      <w:spacing w:before="120" w:after="120"/>
      <w:ind w:firstLine="480"/>
      <w:jc w:val="left"/>
    </w:pPr>
    <w:rPr>
      <w:rFonts w:ascii="宋体" w:hAnsi="宋体"/>
      <w:color w:val="000000"/>
      <w:kern w:val="0"/>
    </w:rPr>
  </w:style>
  <w:style w:type="character" w:customStyle="1" w:styleId="2742">
    <w:name w:val="样式36 Char"/>
    <w:link w:val="2741"/>
    <w:autoRedefine/>
    <w:qFormat/>
    <w:uiPriority w:val="0"/>
    <w:rPr>
      <w:rFonts w:ascii="宋体" w:hAnsi="宋体" w:cs="宋体"/>
      <w:color w:val="000000"/>
      <w:sz w:val="24"/>
      <w:szCs w:val="24"/>
    </w:rPr>
  </w:style>
  <w:style w:type="paragraph" w:customStyle="1" w:styleId="2743">
    <w:name w:val="小四宋居中1.0"/>
    <w:basedOn w:val="1"/>
    <w:next w:val="1"/>
    <w:autoRedefine/>
    <w:qFormat/>
    <w:uiPriority w:val="0"/>
    <w:pPr>
      <w:widowControl/>
      <w:spacing w:line="360" w:lineRule="auto"/>
      <w:jc w:val="center"/>
    </w:pPr>
    <w:rPr>
      <w:rFonts w:ascii="仿宋_GB2312" w:eastAsia="仿宋_GB2312" w:cstheme="majorBidi"/>
      <w:kern w:val="0"/>
      <w:szCs w:val="20"/>
    </w:rPr>
  </w:style>
  <w:style w:type="paragraph" w:customStyle="1" w:styleId="2744">
    <w:name w:val="正文小4黑体左"/>
    <w:basedOn w:val="1"/>
    <w:link w:val="2745"/>
    <w:autoRedefine/>
    <w:qFormat/>
    <w:uiPriority w:val="0"/>
    <w:pPr>
      <w:widowControl/>
      <w:spacing w:line="360" w:lineRule="auto"/>
      <w:jc w:val="left"/>
    </w:pPr>
    <w:rPr>
      <w:rFonts w:cstheme="majorBidi"/>
      <w:b/>
      <w:kern w:val="0"/>
    </w:rPr>
  </w:style>
  <w:style w:type="character" w:customStyle="1" w:styleId="2745">
    <w:name w:val="正文小4黑体左 Char"/>
    <w:link w:val="2744"/>
    <w:autoRedefine/>
    <w:qFormat/>
    <w:uiPriority w:val="0"/>
    <w:rPr>
      <w:rFonts w:cstheme="majorBidi"/>
      <w:b/>
      <w:sz w:val="24"/>
      <w:szCs w:val="24"/>
    </w:rPr>
  </w:style>
  <w:style w:type="paragraph" w:customStyle="1" w:styleId="2746">
    <w:name w:val="表体"/>
    <w:basedOn w:val="1"/>
    <w:link w:val="2747"/>
    <w:autoRedefine/>
    <w:qFormat/>
    <w:uiPriority w:val="0"/>
    <w:pPr>
      <w:widowControl/>
      <w:spacing w:line="360" w:lineRule="auto"/>
      <w:jc w:val="center"/>
    </w:pPr>
    <w:rPr>
      <w:rFonts w:cstheme="majorBidi"/>
      <w:kern w:val="0"/>
      <w:sz w:val="20"/>
      <w:szCs w:val="21"/>
    </w:rPr>
  </w:style>
  <w:style w:type="character" w:customStyle="1" w:styleId="2747">
    <w:name w:val="表体 Char"/>
    <w:link w:val="2746"/>
    <w:autoRedefine/>
    <w:qFormat/>
    <w:uiPriority w:val="0"/>
    <w:rPr>
      <w:rFonts w:cstheme="majorBidi"/>
      <w:szCs w:val="21"/>
    </w:rPr>
  </w:style>
  <w:style w:type="paragraph" w:customStyle="1" w:styleId="2748">
    <w:name w:val="样式 样式 首行缩进:  1.01 厘米 + Times New Roman"/>
    <w:basedOn w:val="855"/>
    <w:link w:val="2749"/>
    <w:autoRedefine/>
    <w:qFormat/>
    <w:uiPriority w:val="0"/>
    <w:pPr>
      <w:widowControl/>
      <w:spacing w:line="240" w:lineRule="auto"/>
      <w:ind w:firstLine="200" w:firstLineChars="200"/>
      <w:jc w:val="left"/>
    </w:pPr>
    <w:rPr>
      <w:rFonts w:ascii="Calibri" w:hAnsi="Calibri" w:eastAsia="宋体" w:cstheme="majorBidi"/>
      <w:kern w:val="0"/>
      <w:sz w:val="24"/>
      <w:szCs w:val="24"/>
    </w:rPr>
  </w:style>
  <w:style w:type="character" w:customStyle="1" w:styleId="2749">
    <w:name w:val="样式 样式 首行缩进:  1.01 厘米 + Times New Roman Char"/>
    <w:link w:val="2748"/>
    <w:autoRedefine/>
    <w:qFormat/>
    <w:uiPriority w:val="0"/>
    <w:rPr>
      <w:rFonts w:ascii="Calibri" w:hAnsi="Calibri" w:cstheme="majorBidi"/>
      <w:color w:val="000000"/>
      <w:sz w:val="24"/>
      <w:szCs w:val="24"/>
    </w:rPr>
  </w:style>
  <w:style w:type="paragraph" w:customStyle="1" w:styleId="2750">
    <w:name w:val="样式45"/>
    <w:basedOn w:val="1"/>
    <w:link w:val="2751"/>
    <w:autoRedefine/>
    <w:qFormat/>
    <w:uiPriority w:val="0"/>
    <w:pPr>
      <w:widowControl/>
      <w:spacing w:beforeLines="50" w:afterLines="50" w:line="360" w:lineRule="auto"/>
      <w:ind w:firstLine="480"/>
      <w:jc w:val="left"/>
    </w:pPr>
    <w:rPr>
      <w:rFonts w:ascii="宋体" w:hAnsi="宋体" w:cstheme="majorBidi"/>
      <w:color w:val="000000"/>
      <w:kern w:val="0"/>
    </w:rPr>
  </w:style>
  <w:style w:type="character" w:customStyle="1" w:styleId="2751">
    <w:name w:val="样式45 Char"/>
    <w:link w:val="2750"/>
    <w:autoRedefine/>
    <w:qFormat/>
    <w:uiPriority w:val="0"/>
    <w:rPr>
      <w:rFonts w:ascii="宋体" w:hAnsi="宋体" w:cstheme="majorBidi"/>
      <w:color w:val="000000"/>
      <w:sz w:val="24"/>
      <w:szCs w:val="24"/>
    </w:rPr>
  </w:style>
  <w:style w:type="paragraph" w:customStyle="1" w:styleId="2752">
    <w:name w:val="三级条标题 Char"/>
    <w:basedOn w:val="1"/>
    <w:link w:val="2753"/>
    <w:autoRedefine/>
    <w:qFormat/>
    <w:uiPriority w:val="0"/>
    <w:pPr>
      <w:widowControl/>
      <w:spacing w:line="360" w:lineRule="auto"/>
      <w:jc w:val="left"/>
    </w:pPr>
    <w:rPr>
      <w:rFonts w:cstheme="majorBidi"/>
      <w:kern w:val="0"/>
      <w:sz w:val="20"/>
    </w:rPr>
  </w:style>
  <w:style w:type="character" w:customStyle="1" w:styleId="2753">
    <w:name w:val="三级条标题 Char Char"/>
    <w:link w:val="2752"/>
    <w:autoRedefine/>
    <w:qFormat/>
    <w:uiPriority w:val="0"/>
    <w:rPr>
      <w:rFonts w:cstheme="majorBidi"/>
      <w:szCs w:val="24"/>
    </w:rPr>
  </w:style>
  <w:style w:type="paragraph" w:customStyle="1" w:styleId="2754">
    <w:name w:val="正文0"/>
    <w:basedOn w:val="1"/>
    <w:autoRedefine/>
    <w:qFormat/>
    <w:uiPriority w:val="0"/>
    <w:pPr>
      <w:widowControl/>
      <w:tabs>
        <w:tab w:val="left" w:pos="724"/>
        <w:tab w:val="left" w:pos="920"/>
      </w:tabs>
      <w:spacing w:before="300" w:after="300" w:line="360" w:lineRule="auto"/>
      <w:ind w:left="724" w:hanging="720"/>
      <w:jc w:val="left"/>
    </w:pPr>
    <w:rPr>
      <w:rFonts w:cstheme="majorBidi"/>
      <w:b/>
      <w:kern w:val="0"/>
      <w:sz w:val="30"/>
    </w:rPr>
  </w:style>
  <w:style w:type="paragraph" w:customStyle="1" w:styleId="2755">
    <w:name w:val="正文缩二"/>
    <w:basedOn w:val="1"/>
    <w:link w:val="2756"/>
    <w:autoRedefine/>
    <w:qFormat/>
    <w:uiPriority w:val="0"/>
    <w:pPr>
      <w:widowControl/>
      <w:tabs>
        <w:tab w:val="left" w:pos="8820"/>
      </w:tabs>
      <w:spacing w:line="360" w:lineRule="auto"/>
      <w:jc w:val="left"/>
    </w:pPr>
    <w:rPr>
      <w:rFonts w:ascii="宋体" w:hAnsi="宋体" w:cstheme="majorBidi"/>
      <w:kern w:val="0"/>
      <w:szCs w:val="72"/>
    </w:rPr>
  </w:style>
  <w:style w:type="character" w:customStyle="1" w:styleId="2756">
    <w:name w:val="正文缩二 Char"/>
    <w:link w:val="2755"/>
    <w:autoRedefine/>
    <w:qFormat/>
    <w:uiPriority w:val="0"/>
    <w:rPr>
      <w:rFonts w:ascii="宋体" w:hAnsi="宋体" w:cstheme="majorBidi"/>
      <w:sz w:val="24"/>
      <w:szCs w:val="72"/>
    </w:rPr>
  </w:style>
  <w:style w:type="paragraph" w:customStyle="1" w:styleId="2757">
    <w:name w:val="东方工业区"/>
    <w:basedOn w:val="2453"/>
    <w:link w:val="2758"/>
    <w:autoRedefine/>
    <w:qFormat/>
    <w:uiPriority w:val="0"/>
    <w:rPr>
      <w:rFonts w:ascii="Calibri" w:hAnsi="Calibri" w:cs="Times New Roman"/>
      <w:sz w:val="20"/>
    </w:rPr>
  </w:style>
  <w:style w:type="character" w:customStyle="1" w:styleId="2758">
    <w:name w:val="东方工业区 Char"/>
    <w:link w:val="2757"/>
    <w:autoRedefine/>
    <w:qFormat/>
    <w:uiPriority w:val="0"/>
    <w:rPr>
      <w:rFonts w:ascii="Calibri" w:hAnsi="Calibri"/>
    </w:rPr>
  </w:style>
  <w:style w:type="paragraph" w:customStyle="1" w:styleId="2759">
    <w:name w:val="环调标题3"/>
    <w:basedOn w:val="5"/>
    <w:autoRedefine/>
    <w:qFormat/>
    <w:uiPriority w:val="0"/>
    <w:pPr>
      <w:keepNext w:val="0"/>
      <w:keepLines w:val="0"/>
      <w:widowControl/>
      <w:numPr>
        <w:ilvl w:val="0"/>
        <w:numId w:val="0"/>
      </w:numPr>
      <w:tabs>
        <w:tab w:val="left" w:pos="0"/>
      </w:tabs>
      <w:adjustRightInd w:val="0"/>
      <w:snapToGrid w:val="0"/>
      <w:spacing w:beforeLines="50" w:afterLines="50" w:line="360" w:lineRule="auto"/>
      <w:ind w:firstLine="200"/>
      <w:jc w:val="left"/>
    </w:pPr>
    <w:rPr>
      <w:rFonts w:ascii="Calibri" w:hAnsi="Calibri" w:cs="Arial"/>
      <w:b w:val="0"/>
      <w:bCs w:val="0"/>
      <w:iCs/>
      <w:smallCaps/>
      <w:spacing w:val="5"/>
      <w:kern w:val="0"/>
      <w:sz w:val="28"/>
    </w:rPr>
  </w:style>
  <w:style w:type="paragraph" w:customStyle="1" w:styleId="2760">
    <w:name w:val="样式40"/>
    <w:basedOn w:val="1"/>
    <w:link w:val="2761"/>
    <w:autoRedefine/>
    <w:qFormat/>
    <w:uiPriority w:val="0"/>
    <w:pPr>
      <w:widowControl/>
      <w:spacing w:beforeLines="50" w:afterLines="50" w:line="360" w:lineRule="auto"/>
      <w:ind w:firstLine="480"/>
      <w:jc w:val="left"/>
    </w:pPr>
    <w:rPr>
      <w:rFonts w:hAnsi="宋体" w:cstheme="majorBidi"/>
      <w:color w:val="000000"/>
      <w:kern w:val="0"/>
    </w:rPr>
  </w:style>
  <w:style w:type="character" w:customStyle="1" w:styleId="2761">
    <w:name w:val="样式40 Char"/>
    <w:link w:val="2760"/>
    <w:autoRedefine/>
    <w:qFormat/>
    <w:uiPriority w:val="0"/>
    <w:rPr>
      <w:rFonts w:hAnsi="宋体" w:cstheme="majorBidi"/>
      <w:color w:val="000000"/>
      <w:sz w:val="24"/>
      <w:szCs w:val="24"/>
    </w:rPr>
  </w:style>
  <w:style w:type="paragraph" w:customStyle="1" w:styleId="2762">
    <w:name w:val="样式77"/>
    <w:basedOn w:val="1"/>
    <w:link w:val="2763"/>
    <w:autoRedefine/>
    <w:qFormat/>
    <w:uiPriority w:val="0"/>
    <w:pPr>
      <w:keepNext/>
      <w:keepLines/>
      <w:widowControl/>
      <w:tabs>
        <w:tab w:val="left" w:pos="2175"/>
      </w:tabs>
      <w:spacing w:beforeLines="50" w:afterLines="50" w:line="360" w:lineRule="auto"/>
      <w:jc w:val="left"/>
      <w:outlineLvl w:val="3"/>
    </w:pPr>
    <w:rPr>
      <w:rFonts w:ascii="黑体" w:hAnsi="宋体" w:eastAsia="黑体" w:cs="黑体"/>
      <w:bCs/>
      <w:kern w:val="0"/>
    </w:rPr>
  </w:style>
  <w:style w:type="character" w:customStyle="1" w:styleId="2763">
    <w:name w:val="样式77 Char"/>
    <w:link w:val="2762"/>
    <w:autoRedefine/>
    <w:qFormat/>
    <w:uiPriority w:val="0"/>
    <w:rPr>
      <w:rFonts w:ascii="黑体" w:hAnsi="宋体" w:eastAsia="黑体" w:cs="黑体"/>
      <w:bCs/>
      <w:sz w:val="24"/>
      <w:szCs w:val="24"/>
    </w:rPr>
  </w:style>
  <w:style w:type="paragraph" w:customStyle="1" w:styleId="2764">
    <w:name w:val="aa正文"/>
    <w:basedOn w:val="1"/>
    <w:link w:val="2765"/>
    <w:qFormat/>
    <w:uiPriority w:val="0"/>
    <w:pPr>
      <w:widowControl/>
      <w:topLinePunct/>
      <w:spacing w:line="500" w:lineRule="exact"/>
      <w:jc w:val="left"/>
      <w:textAlignment w:val="baseline"/>
    </w:pPr>
    <w:rPr>
      <w:rFonts w:cstheme="majorBidi"/>
      <w:bCs/>
      <w:color w:val="000000"/>
      <w:kern w:val="0"/>
    </w:rPr>
  </w:style>
  <w:style w:type="character" w:customStyle="1" w:styleId="2765">
    <w:name w:val="aa正文 Char"/>
    <w:link w:val="2764"/>
    <w:autoRedefine/>
    <w:qFormat/>
    <w:uiPriority w:val="0"/>
    <w:rPr>
      <w:rFonts w:cstheme="majorBidi"/>
      <w:bCs/>
      <w:color w:val="000000"/>
      <w:sz w:val="24"/>
      <w:szCs w:val="24"/>
    </w:rPr>
  </w:style>
  <w:style w:type="paragraph" w:customStyle="1" w:styleId="2766">
    <w:name w:val="样式 标题 3 + 小四"/>
    <w:basedOn w:val="5"/>
    <w:link w:val="2767"/>
    <w:autoRedefine/>
    <w:qFormat/>
    <w:uiPriority w:val="0"/>
    <w:pPr>
      <w:keepNext w:val="0"/>
      <w:keepLines w:val="0"/>
      <w:widowControl/>
      <w:numPr>
        <w:ilvl w:val="0"/>
        <w:numId w:val="0"/>
      </w:numPr>
      <w:adjustRightInd w:val="0"/>
      <w:snapToGrid w:val="0"/>
      <w:spacing w:beforeLines="50" w:afterLines="50" w:line="360" w:lineRule="auto"/>
      <w:jc w:val="left"/>
    </w:pPr>
    <w:rPr>
      <w:rFonts w:ascii="Calibri" w:hAnsi="Calibri" w:eastAsia="宋体" w:cstheme="majorBidi"/>
      <w:bCs w:val="0"/>
      <w:iCs/>
      <w:smallCaps/>
      <w:spacing w:val="5"/>
      <w:kern w:val="0"/>
      <w:sz w:val="24"/>
      <w:szCs w:val="24"/>
    </w:rPr>
  </w:style>
  <w:style w:type="character" w:customStyle="1" w:styleId="2767">
    <w:name w:val="样式 标题 3 + 小四 Char"/>
    <w:link w:val="2766"/>
    <w:autoRedefine/>
    <w:qFormat/>
    <w:uiPriority w:val="0"/>
    <w:rPr>
      <w:rFonts w:ascii="Calibri" w:hAnsi="Calibri" w:cstheme="majorBidi"/>
      <w:b/>
      <w:iCs/>
      <w:smallCaps/>
      <w:spacing w:val="5"/>
      <w:sz w:val="24"/>
      <w:szCs w:val="24"/>
    </w:rPr>
  </w:style>
  <w:style w:type="paragraph" w:customStyle="1" w:styleId="2768">
    <w:name w:val="Char Char Char Char Char Char Char Char Char Char Char Char Char Char Char Char Char Char1 Char Char Char Char Char Char Char Char Char Char Char Char1 Char Char Char1"/>
    <w:basedOn w:val="1"/>
    <w:next w:val="1"/>
    <w:autoRedefine/>
    <w:qFormat/>
    <w:uiPriority w:val="0"/>
    <w:pPr>
      <w:widowControl/>
      <w:spacing w:line="360" w:lineRule="auto"/>
      <w:jc w:val="left"/>
    </w:pPr>
    <w:rPr>
      <w:rFonts w:ascii="宋体" w:cs="宋体"/>
      <w:kern w:val="0"/>
    </w:rPr>
  </w:style>
  <w:style w:type="paragraph" w:customStyle="1" w:styleId="2769">
    <w:name w:val="样式39"/>
    <w:basedOn w:val="2495"/>
    <w:link w:val="2770"/>
    <w:autoRedefine/>
    <w:qFormat/>
    <w:uiPriority w:val="0"/>
    <w:rPr>
      <w:sz w:val="20"/>
      <w:szCs w:val="20"/>
    </w:rPr>
  </w:style>
  <w:style w:type="character" w:customStyle="1" w:styleId="2770">
    <w:name w:val="样式39 Char"/>
    <w:link w:val="2769"/>
    <w:autoRedefine/>
    <w:qFormat/>
    <w:uiPriority w:val="0"/>
    <w:rPr>
      <w:rFonts w:cstheme="majorBidi"/>
    </w:rPr>
  </w:style>
  <w:style w:type="paragraph" w:customStyle="1" w:styleId="2771">
    <w:name w:val="环评表头"/>
    <w:link w:val="2772"/>
    <w:autoRedefine/>
    <w:qFormat/>
    <w:uiPriority w:val="0"/>
    <w:pPr>
      <w:adjustRightInd w:val="0"/>
      <w:spacing w:line="360" w:lineRule="auto"/>
      <w:jc w:val="center"/>
    </w:pPr>
    <w:rPr>
      <w:rFonts w:asciiTheme="majorHAnsi" w:hAnsiTheme="majorHAnsi" w:eastAsiaTheme="majorEastAsia" w:cstheme="majorBidi"/>
      <w:b/>
      <w:bCs/>
      <w:spacing w:val="-18"/>
      <w:kern w:val="44"/>
      <w:sz w:val="24"/>
      <w:szCs w:val="30"/>
      <w:lang w:val="en-US" w:eastAsia="zh-CN" w:bidi="ar-SA"/>
    </w:rPr>
  </w:style>
  <w:style w:type="character" w:customStyle="1" w:styleId="2772">
    <w:name w:val="环评表头 Char"/>
    <w:link w:val="2771"/>
    <w:autoRedefine/>
    <w:qFormat/>
    <w:uiPriority w:val="0"/>
    <w:rPr>
      <w:rFonts w:asciiTheme="majorHAnsi" w:hAnsiTheme="majorHAnsi" w:eastAsiaTheme="majorEastAsia" w:cstheme="majorBidi"/>
      <w:b/>
      <w:bCs/>
      <w:spacing w:val="-18"/>
      <w:kern w:val="44"/>
      <w:sz w:val="24"/>
      <w:szCs w:val="30"/>
    </w:rPr>
  </w:style>
  <w:style w:type="paragraph" w:customStyle="1" w:styleId="2773">
    <w:name w:val="正文小四"/>
    <w:link w:val="2774"/>
    <w:autoRedefine/>
    <w:qFormat/>
    <w:uiPriority w:val="0"/>
    <w:pPr>
      <w:spacing w:afterLines="50" w:line="360" w:lineRule="auto"/>
      <w:ind w:firstLine="200" w:firstLineChars="200"/>
    </w:pPr>
    <w:rPr>
      <w:rFonts w:asciiTheme="majorHAnsi" w:hAnsiTheme="majorHAnsi" w:eastAsiaTheme="majorEastAsia" w:cstheme="majorBidi"/>
      <w:sz w:val="24"/>
      <w:szCs w:val="24"/>
      <w:lang w:val="en-US" w:eastAsia="zh-CN" w:bidi="ar-SA"/>
    </w:rPr>
  </w:style>
  <w:style w:type="character" w:customStyle="1" w:styleId="2774">
    <w:name w:val="正文小四 Char"/>
    <w:link w:val="2773"/>
    <w:autoRedefine/>
    <w:qFormat/>
    <w:uiPriority w:val="0"/>
    <w:rPr>
      <w:rFonts w:asciiTheme="majorHAnsi" w:hAnsiTheme="majorHAnsi" w:eastAsiaTheme="majorEastAsia" w:cstheme="majorBidi"/>
      <w:sz w:val="24"/>
      <w:szCs w:val="24"/>
    </w:rPr>
  </w:style>
  <w:style w:type="paragraph" w:customStyle="1" w:styleId="2775">
    <w:name w:val="图标标题"/>
    <w:basedOn w:val="1"/>
    <w:link w:val="2776"/>
    <w:autoRedefine/>
    <w:qFormat/>
    <w:uiPriority w:val="0"/>
    <w:pPr>
      <w:widowControl/>
      <w:spacing w:line="360" w:lineRule="auto"/>
      <w:jc w:val="center"/>
    </w:pPr>
    <w:rPr>
      <w:rFonts w:eastAsia="黑体" w:cs="宋体"/>
      <w:kern w:val="0"/>
      <w:szCs w:val="20"/>
    </w:rPr>
  </w:style>
  <w:style w:type="character" w:customStyle="1" w:styleId="2776">
    <w:name w:val="图标标题 Char"/>
    <w:link w:val="2775"/>
    <w:autoRedefine/>
    <w:qFormat/>
    <w:uiPriority w:val="0"/>
    <w:rPr>
      <w:rFonts w:eastAsia="黑体" w:cs="宋体"/>
      <w:sz w:val="24"/>
    </w:rPr>
  </w:style>
  <w:style w:type="paragraph" w:customStyle="1" w:styleId="2777">
    <w:name w:val="Normal Char"/>
    <w:link w:val="2778"/>
    <w:autoRedefine/>
    <w:qFormat/>
    <w:uiPriority w:val="0"/>
    <w:pPr>
      <w:widowControl w:val="0"/>
      <w:adjustRightInd w:val="0"/>
      <w:spacing w:line="360" w:lineRule="atLeast"/>
      <w:textAlignment w:val="baseline"/>
    </w:pPr>
    <w:rPr>
      <w:rFonts w:ascii="宋体" w:hAnsiTheme="majorHAnsi" w:eastAsiaTheme="majorEastAsia" w:cstheme="majorBidi"/>
      <w:sz w:val="34"/>
      <w:szCs w:val="24"/>
      <w:lang w:val="en-US" w:eastAsia="zh-CN" w:bidi="ar-SA"/>
    </w:rPr>
  </w:style>
  <w:style w:type="character" w:customStyle="1" w:styleId="2778">
    <w:name w:val="Normal Char Char"/>
    <w:link w:val="2777"/>
    <w:autoRedefine/>
    <w:qFormat/>
    <w:uiPriority w:val="0"/>
    <w:rPr>
      <w:rFonts w:ascii="宋体" w:hAnsiTheme="majorHAnsi" w:eastAsiaTheme="majorEastAsia" w:cstheme="majorBidi"/>
      <w:sz w:val="34"/>
      <w:szCs w:val="24"/>
    </w:rPr>
  </w:style>
  <w:style w:type="paragraph" w:customStyle="1" w:styleId="2779">
    <w:name w:val="n标题 3"/>
    <w:next w:val="2773"/>
    <w:link w:val="2780"/>
    <w:autoRedefine/>
    <w:qFormat/>
    <w:uiPriority w:val="0"/>
    <w:pPr>
      <w:spacing w:line="360" w:lineRule="auto"/>
      <w:outlineLvl w:val="2"/>
    </w:pPr>
    <w:rPr>
      <w:rFonts w:ascii="Arial" w:hAnsi="Arial" w:eastAsiaTheme="majorEastAsia" w:cstheme="majorBidi"/>
      <w:b/>
      <w:bCs/>
      <w:sz w:val="24"/>
      <w:szCs w:val="24"/>
      <w:lang w:val="en-US" w:eastAsia="zh-CN" w:bidi="ar-SA"/>
    </w:rPr>
  </w:style>
  <w:style w:type="character" w:customStyle="1" w:styleId="2780">
    <w:name w:val="n标题 3 Char"/>
    <w:link w:val="2779"/>
    <w:autoRedefine/>
    <w:qFormat/>
    <w:uiPriority w:val="0"/>
    <w:rPr>
      <w:rFonts w:ascii="Arial" w:hAnsi="Arial" w:eastAsiaTheme="majorEastAsia" w:cstheme="majorBidi"/>
      <w:b/>
      <w:bCs/>
      <w:sz w:val="24"/>
      <w:szCs w:val="24"/>
    </w:rPr>
  </w:style>
  <w:style w:type="paragraph" w:customStyle="1" w:styleId="2781">
    <w:name w:val="段落"/>
    <w:basedOn w:val="1"/>
    <w:autoRedefine/>
    <w:qFormat/>
    <w:uiPriority w:val="0"/>
    <w:pPr>
      <w:widowControl/>
      <w:spacing w:line="360" w:lineRule="auto"/>
      <w:ind w:firstLine="560"/>
      <w:jc w:val="left"/>
    </w:pPr>
    <w:rPr>
      <w:rFonts w:ascii="宋体" w:hAnsi="宋体" w:cstheme="majorBidi"/>
      <w:color w:val="000000"/>
      <w:kern w:val="0"/>
      <w:sz w:val="28"/>
      <w:szCs w:val="20"/>
    </w:rPr>
  </w:style>
  <w:style w:type="paragraph" w:customStyle="1" w:styleId="2782">
    <w:name w:val="常用正文"/>
    <w:basedOn w:val="1"/>
    <w:link w:val="2783"/>
    <w:autoRedefine/>
    <w:qFormat/>
    <w:uiPriority w:val="0"/>
    <w:pPr>
      <w:widowControl/>
      <w:spacing w:line="360" w:lineRule="auto"/>
      <w:jc w:val="left"/>
    </w:pPr>
    <w:rPr>
      <w:rFonts w:cstheme="majorBidi"/>
      <w:kern w:val="0"/>
      <w:sz w:val="20"/>
      <w:szCs w:val="21"/>
    </w:rPr>
  </w:style>
  <w:style w:type="character" w:customStyle="1" w:styleId="2783">
    <w:name w:val="常用正文 Char"/>
    <w:link w:val="2782"/>
    <w:autoRedefine/>
    <w:qFormat/>
    <w:uiPriority w:val="0"/>
    <w:rPr>
      <w:rFonts w:cstheme="majorBidi"/>
      <w:szCs w:val="21"/>
    </w:rPr>
  </w:style>
  <w:style w:type="paragraph" w:customStyle="1" w:styleId="2784">
    <w:name w:val="明显引用1"/>
    <w:basedOn w:val="1"/>
    <w:next w:val="1"/>
    <w:autoRedefine/>
    <w:qFormat/>
    <w:uiPriority w:val="30"/>
    <w:pPr>
      <w:widowControl/>
      <w:spacing w:line="360" w:lineRule="auto"/>
      <w:ind w:left="720" w:right="720"/>
      <w:jc w:val="left"/>
    </w:pPr>
    <w:rPr>
      <w:rFonts w:cstheme="majorBidi"/>
      <w:b/>
      <w:i/>
      <w:kern w:val="0"/>
      <w:szCs w:val="20"/>
    </w:rPr>
  </w:style>
  <w:style w:type="paragraph" w:customStyle="1" w:styleId="2785">
    <w:name w:val="hb3"/>
    <w:basedOn w:val="5"/>
    <w:link w:val="2786"/>
    <w:autoRedefine/>
    <w:qFormat/>
    <w:uiPriority w:val="0"/>
    <w:pPr>
      <w:keepNext w:val="0"/>
      <w:keepLines w:val="0"/>
      <w:widowControl/>
      <w:numPr>
        <w:ilvl w:val="0"/>
        <w:numId w:val="0"/>
      </w:numPr>
      <w:adjustRightInd w:val="0"/>
      <w:snapToGrid w:val="0"/>
      <w:spacing w:line="360" w:lineRule="auto"/>
      <w:jc w:val="left"/>
      <w:textAlignment w:val="baseline"/>
    </w:pPr>
    <w:rPr>
      <w:rFonts w:ascii="宋体" w:hAnsi="宋体" w:eastAsia="宋体" w:cstheme="majorBidi"/>
      <w:bCs w:val="0"/>
      <w:iCs/>
      <w:smallCaps/>
      <w:spacing w:val="5"/>
      <w:kern w:val="0"/>
      <w:sz w:val="24"/>
      <w:szCs w:val="26"/>
    </w:rPr>
  </w:style>
  <w:style w:type="character" w:customStyle="1" w:styleId="2786">
    <w:name w:val="hb3 Char"/>
    <w:link w:val="2785"/>
    <w:autoRedefine/>
    <w:qFormat/>
    <w:uiPriority w:val="0"/>
    <w:rPr>
      <w:rFonts w:ascii="宋体" w:hAnsi="宋体" w:cstheme="majorBidi"/>
      <w:b/>
      <w:iCs/>
      <w:smallCaps/>
      <w:spacing w:val="5"/>
      <w:sz w:val="24"/>
      <w:szCs w:val="26"/>
    </w:rPr>
  </w:style>
  <w:style w:type="paragraph" w:customStyle="1" w:styleId="2787">
    <w:name w:val="君邦正文"/>
    <w:basedOn w:val="1"/>
    <w:link w:val="2788"/>
    <w:autoRedefine/>
    <w:qFormat/>
    <w:uiPriority w:val="0"/>
    <w:pPr>
      <w:widowControl/>
      <w:spacing w:after="60" w:line="360" w:lineRule="auto"/>
      <w:jc w:val="left"/>
    </w:pPr>
    <w:rPr>
      <w:rFonts w:cstheme="majorBidi"/>
      <w:kern w:val="0"/>
      <w:szCs w:val="20"/>
    </w:rPr>
  </w:style>
  <w:style w:type="character" w:customStyle="1" w:styleId="2788">
    <w:name w:val="君邦正文 Char2"/>
    <w:link w:val="2787"/>
    <w:autoRedefine/>
    <w:qFormat/>
    <w:uiPriority w:val="0"/>
    <w:rPr>
      <w:rFonts w:cstheme="majorBidi"/>
      <w:sz w:val="24"/>
    </w:rPr>
  </w:style>
  <w:style w:type="paragraph" w:customStyle="1" w:styleId="2789">
    <w:name w:val="标题3YHY"/>
    <w:basedOn w:val="5"/>
    <w:next w:val="6"/>
    <w:link w:val="2790"/>
    <w:autoRedefine/>
    <w:qFormat/>
    <w:uiPriority w:val="0"/>
    <w:pPr>
      <w:keepNext w:val="0"/>
      <w:keepLines w:val="0"/>
      <w:widowControl/>
      <w:numPr>
        <w:ilvl w:val="0"/>
        <w:numId w:val="0"/>
      </w:numPr>
      <w:adjustRightInd w:val="0"/>
      <w:snapToGrid w:val="0"/>
      <w:spacing w:beforeLines="50" w:afterLines="50" w:line="360" w:lineRule="auto"/>
      <w:jc w:val="left"/>
    </w:pPr>
    <w:rPr>
      <w:rFonts w:ascii="等线" w:hAnsi="等线" w:eastAsia="等线" w:cstheme="majorBidi"/>
      <w:b w:val="0"/>
      <w:iCs/>
      <w:smallCaps/>
      <w:spacing w:val="5"/>
      <w:kern w:val="0"/>
      <w:sz w:val="24"/>
      <w:szCs w:val="24"/>
    </w:rPr>
  </w:style>
  <w:style w:type="character" w:customStyle="1" w:styleId="2790">
    <w:name w:val="标题3YHY Char"/>
    <w:link w:val="2789"/>
    <w:autoRedefine/>
    <w:qFormat/>
    <w:uiPriority w:val="0"/>
    <w:rPr>
      <w:rFonts w:ascii="等线" w:hAnsi="等线" w:eastAsia="等线" w:cstheme="majorBidi"/>
      <w:bCs/>
      <w:iCs/>
      <w:smallCaps/>
      <w:spacing w:val="5"/>
      <w:sz w:val="24"/>
      <w:szCs w:val="24"/>
    </w:rPr>
  </w:style>
  <w:style w:type="paragraph" w:customStyle="1" w:styleId="2791">
    <w:name w:val="正文首行缩进2个字"/>
    <w:basedOn w:val="1"/>
    <w:link w:val="2792"/>
    <w:autoRedefine/>
    <w:qFormat/>
    <w:uiPriority w:val="0"/>
    <w:pPr>
      <w:widowControl/>
      <w:spacing w:line="360" w:lineRule="auto"/>
      <w:ind w:firstLine="480"/>
      <w:jc w:val="left"/>
    </w:pPr>
    <w:rPr>
      <w:rFonts w:cstheme="majorBidi"/>
      <w:kern w:val="0"/>
    </w:rPr>
  </w:style>
  <w:style w:type="character" w:customStyle="1" w:styleId="2792">
    <w:name w:val="正文首行缩进2个字 Char"/>
    <w:link w:val="2791"/>
    <w:autoRedefine/>
    <w:qFormat/>
    <w:uiPriority w:val="0"/>
    <w:rPr>
      <w:rFonts w:cstheme="majorBidi"/>
      <w:sz w:val="24"/>
      <w:szCs w:val="24"/>
    </w:rPr>
  </w:style>
  <w:style w:type="paragraph" w:customStyle="1" w:styleId="2793">
    <w:name w:val="样式 表头YHY + 五号 自动设置"/>
    <w:basedOn w:val="2545"/>
    <w:link w:val="2794"/>
    <w:autoRedefine/>
    <w:qFormat/>
    <w:uiPriority w:val="0"/>
    <w:rPr>
      <w:rFonts w:ascii="Calibri" w:eastAsia="宋体" w:cs="Times New Roman"/>
      <w:bCs/>
      <w:szCs w:val="20"/>
    </w:rPr>
  </w:style>
  <w:style w:type="character" w:customStyle="1" w:styleId="2794">
    <w:name w:val="样式 表头YHY + 五号 自动设置 Char"/>
    <w:link w:val="2793"/>
    <w:autoRedefine/>
    <w:qFormat/>
    <w:uiPriority w:val="0"/>
    <w:rPr>
      <w:rFonts w:ascii="Calibri" w:hAnsi="Calibri"/>
      <w:bCs/>
      <w:iCs/>
      <w:lang w:bidi="zh-CN"/>
    </w:rPr>
  </w:style>
  <w:style w:type="paragraph" w:customStyle="1" w:styleId="2795">
    <w:name w:val="样式 表格 + 两端对齐"/>
    <w:basedOn w:val="1"/>
    <w:link w:val="2796"/>
    <w:autoRedefine/>
    <w:semiHidden/>
    <w:qFormat/>
    <w:uiPriority w:val="0"/>
    <w:pPr>
      <w:keepNext/>
      <w:widowControl/>
      <w:tabs>
        <w:tab w:val="left" w:pos="3660"/>
      </w:tabs>
      <w:snapToGrid w:val="0"/>
      <w:spacing w:before="100" w:beforeAutospacing="1" w:after="100" w:afterAutospacing="1" w:line="360" w:lineRule="auto"/>
      <w:jc w:val="left"/>
    </w:pPr>
    <w:rPr>
      <w:rFonts w:ascii="黑体" w:hAnsi="Arial" w:cstheme="majorBidi"/>
      <w:kern w:val="0"/>
      <w:szCs w:val="28"/>
    </w:rPr>
  </w:style>
  <w:style w:type="character" w:customStyle="1" w:styleId="2796">
    <w:name w:val="样式 表格 + 两端对齐 Char"/>
    <w:link w:val="2795"/>
    <w:autoRedefine/>
    <w:semiHidden/>
    <w:qFormat/>
    <w:uiPriority w:val="0"/>
    <w:rPr>
      <w:rFonts w:ascii="黑体" w:hAnsi="Arial" w:cstheme="majorBidi"/>
      <w:sz w:val="24"/>
      <w:szCs w:val="28"/>
    </w:rPr>
  </w:style>
  <w:style w:type="paragraph" w:customStyle="1" w:styleId="2797">
    <w:name w:val="1.3行"/>
    <w:basedOn w:val="1"/>
    <w:link w:val="2798"/>
    <w:autoRedefine/>
    <w:qFormat/>
    <w:uiPriority w:val="0"/>
    <w:pPr>
      <w:widowControl/>
      <w:adjustRightInd w:val="0"/>
      <w:snapToGrid w:val="0"/>
      <w:spacing w:line="312" w:lineRule="auto"/>
      <w:jc w:val="left"/>
      <w:textAlignment w:val="center"/>
    </w:pPr>
    <w:rPr>
      <w:rFonts w:ascii="宋体" w:hAnsi="宋体" w:cstheme="majorBidi"/>
      <w:color w:val="000000"/>
      <w:kern w:val="0"/>
      <w:sz w:val="28"/>
    </w:rPr>
  </w:style>
  <w:style w:type="character" w:customStyle="1" w:styleId="2798">
    <w:name w:val="1.3行 Char"/>
    <w:link w:val="2797"/>
    <w:autoRedefine/>
    <w:qFormat/>
    <w:uiPriority w:val="0"/>
    <w:rPr>
      <w:rFonts w:ascii="宋体" w:hAnsi="宋体" w:cstheme="majorBidi"/>
      <w:color w:val="000000"/>
      <w:sz w:val="28"/>
      <w:szCs w:val="24"/>
    </w:rPr>
  </w:style>
  <w:style w:type="paragraph" w:customStyle="1" w:styleId="2799">
    <w:name w:val="样式 样式 小四 段前: 7.8 磅 段后: 7.8 磅 行距: 1.5 倍行距 + 首行缩进:  2 字符"/>
    <w:basedOn w:val="1"/>
    <w:link w:val="2800"/>
    <w:autoRedefine/>
    <w:qFormat/>
    <w:uiPriority w:val="0"/>
    <w:pPr>
      <w:widowControl/>
      <w:spacing w:line="360" w:lineRule="auto"/>
      <w:jc w:val="center"/>
    </w:pPr>
    <w:rPr>
      <w:rFonts w:cstheme="majorBidi"/>
      <w:b/>
      <w:kern w:val="0"/>
      <w:sz w:val="20"/>
      <w:szCs w:val="21"/>
    </w:rPr>
  </w:style>
  <w:style w:type="character" w:customStyle="1" w:styleId="2800">
    <w:name w:val="样式 样式 小四 段前: 7.8 磅 段后: 7.8 磅 行距: 1.5 倍行距 + 首行缩进:  2 字符 Char"/>
    <w:link w:val="2799"/>
    <w:autoRedefine/>
    <w:uiPriority w:val="0"/>
    <w:rPr>
      <w:rFonts w:cstheme="majorBidi"/>
      <w:b/>
      <w:szCs w:val="21"/>
    </w:rPr>
  </w:style>
  <w:style w:type="character" w:customStyle="1" w:styleId="2801">
    <w:name w:val="样式 样式 首行缩进:  1.01 厘米 + 首行缩进:  2 字符 Char"/>
    <w:link w:val="856"/>
    <w:autoRedefine/>
    <w:qFormat/>
    <w:uiPriority w:val="0"/>
    <w:rPr>
      <w:rFonts w:ascii="黑体" w:eastAsia="黑体" w:cs="宋体"/>
      <w:color w:val="000000"/>
      <w:kern w:val="2"/>
      <w:sz w:val="28"/>
      <w:szCs w:val="28"/>
    </w:rPr>
  </w:style>
  <w:style w:type="paragraph" w:customStyle="1" w:styleId="2802">
    <w:name w:val="正文（首行缩进）"/>
    <w:basedOn w:val="1"/>
    <w:link w:val="2803"/>
    <w:autoRedefine/>
    <w:qFormat/>
    <w:uiPriority w:val="0"/>
    <w:pPr>
      <w:widowControl/>
      <w:adjustRightInd w:val="0"/>
      <w:snapToGrid w:val="0"/>
      <w:spacing w:line="360" w:lineRule="auto"/>
      <w:jc w:val="left"/>
    </w:pPr>
    <w:rPr>
      <w:rFonts w:ascii="宋体" w:hAnsi="宋体" w:cs="宋体"/>
      <w:color w:val="000000"/>
      <w:kern w:val="0"/>
      <w:szCs w:val="20"/>
    </w:rPr>
  </w:style>
  <w:style w:type="character" w:customStyle="1" w:styleId="2803">
    <w:name w:val="正文（首行缩进） Char"/>
    <w:link w:val="2802"/>
    <w:autoRedefine/>
    <w:qFormat/>
    <w:uiPriority w:val="0"/>
    <w:rPr>
      <w:rFonts w:ascii="宋体" w:hAnsi="宋体" w:cs="宋体"/>
      <w:color w:val="000000"/>
      <w:sz w:val="24"/>
    </w:rPr>
  </w:style>
  <w:style w:type="paragraph" w:customStyle="1" w:styleId="2804">
    <w:name w:val="样式 表头YHY + 自动设置"/>
    <w:basedOn w:val="2545"/>
    <w:link w:val="2805"/>
    <w:autoRedefine/>
    <w:qFormat/>
    <w:uiPriority w:val="0"/>
    <w:rPr>
      <w:rFonts w:ascii="Calibri" w:eastAsia="宋体" w:cs="Times New Roman"/>
      <w:bCs/>
      <w:szCs w:val="20"/>
    </w:rPr>
  </w:style>
  <w:style w:type="character" w:customStyle="1" w:styleId="2805">
    <w:name w:val="样式 表头YHY + 自动设置 Char"/>
    <w:link w:val="2804"/>
    <w:autoRedefine/>
    <w:qFormat/>
    <w:uiPriority w:val="0"/>
    <w:rPr>
      <w:rFonts w:ascii="Calibri" w:hAnsi="Calibri"/>
      <w:bCs/>
      <w:iCs/>
      <w:lang w:bidi="zh-CN"/>
    </w:rPr>
  </w:style>
  <w:style w:type="paragraph" w:customStyle="1" w:styleId="2806">
    <w:name w:val="一级标题"/>
    <w:basedOn w:val="3"/>
    <w:link w:val="2807"/>
    <w:uiPriority w:val="0"/>
    <w:pPr>
      <w:keepNext w:val="0"/>
      <w:widowControl/>
      <w:numPr>
        <w:numId w:val="0"/>
      </w:numPr>
      <w:tabs>
        <w:tab w:val="left" w:pos="720"/>
        <w:tab w:val="clear" w:pos="0"/>
      </w:tabs>
      <w:spacing w:before="340" w:beforeLines="50" w:after="330" w:afterLines="50" w:line="360" w:lineRule="auto"/>
      <w:ind w:left="720" w:hanging="720"/>
      <w:contextualSpacing/>
      <w:jc w:val="left"/>
    </w:pPr>
    <w:rPr>
      <w:rFonts w:ascii="黑体" w:hAnsi="Arial Unicode MS" w:cs="Arial Unicode MS"/>
      <w:smallCaps/>
      <w:spacing w:val="5"/>
      <w:kern w:val="0"/>
      <w:sz w:val="30"/>
      <w:szCs w:val="30"/>
    </w:rPr>
  </w:style>
  <w:style w:type="character" w:customStyle="1" w:styleId="2807">
    <w:name w:val="一级标题 Char"/>
    <w:link w:val="2806"/>
    <w:autoRedefine/>
    <w:qFormat/>
    <w:uiPriority w:val="0"/>
    <w:rPr>
      <w:rFonts w:ascii="黑体" w:hAnsi="Arial Unicode MS" w:eastAsia="黑体" w:cs="Arial Unicode MS"/>
      <w:b/>
      <w:smallCaps/>
      <w:spacing w:val="5"/>
      <w:sz w:val="30"/>
      <w:szCs w:val="30"/>
    </w:rPr>
  </w:style>
  <w:style w:type="paragraph" w:customStyle="1" w:styleId="2808">
    <w:name w:val="仿宋体"/>
    <w:basedOn w:val="1"/>
    <w:autoRedefine/>
    <w:qFormat/>
    <w:uiPriority w:val="99"/>
    <w:pPr>
      <w:widowControl/>
      <w:spacing w:line="844" w:lineRule="atLeast"/>
      <w:ind w:firstLine="419"/>
      <w:jc w:val="left"/>
      <w:textAlignment w:val="baseline"/>
    </w:pPr>
    <w:rPr>
      <w:rFonts w:ascii="宋体" w:hAnsi="宋体" w:eastAsia="仿宋_GB2312" w:cs="宋体"/>
      <w:color w:val="000000"/>
      <w:kern w:val="0"/>
      <w:sz w:val="31"/>
      <w:szCs w:val="20"/>
      <w:u w:color="000000"/>
    </w:rPr>
  </w:style>
  <w:style w:type="paragraph" w:customStyle="1" w:styleId="2809">
    <w:name w:val="封面标准文稿编辑信息"/>
    <w:autoRedefine/>
    <w:qFormat/>
    <w:uiPriority w:val="0"/>
    <w:pPr>
      <w:spacing w:before="180" w:line="180" w:lineRule="exact"/>
      <w:jc w:val="center"/>
    </w:pPr>
    <w:rPr>
      <w:rFonts w:ascii="宋体" w:hAnsi="Times New Roman" w:eastAsiaTheme="majorEastAsia" w:cstheme="majorBidi"/>
      <w:sz w:val="21"/>
      <w:szCs w:val="22"/>
      <w:lang w:val="en-US" w:eastAsia="zh-CN" w:bidi="ar-SA"/>
    </w:rPr>
  </w:style>
  <w:style w:type="paragraph" w:customStyle="1" w:styleId="2810">
    <w:name w:val="标题 2YHY"/>
    <w:basedOn w:val="4"/>
    <w:link w:val="2811"/>
    <w:autoRedefine/>
    <w:qFormat/>
    <w:uiPriority w:val="0"/>
    <w:pPr>
      <w:keepNext w:val="0"/>
      <w:keepLines w:val="0"/>
      <w:widowControl/>
      <w:numPr>
        <w:ilvl w:val="0"/>
        <w:numId w:val="0"/>
      </w:numPr>
      <w:spacing w:before="260" w:beforeLines="50" w:after="260" w:afterLines="50"/>
      <w:jc w:val="left"/>
    </w:pPr>
    <w:rPr>
      <w:rFonts w:ascii="Calibri" w:hAnsi="Calibri" w:cs="Arial Unicode MS"/>
      <w:bCs w:val="0"/>
      <w:smallCaps/>
      <w:color w:val="000000"/>
      <w:kern w:val="0"/>
      <w:sz w:val="28"/>
      <w:szCs w:val="28"/>
    </w:rPr>
  </w:style>
  <w:style w:type="character" w:customStyle="1" w:styleId="2811">
    <w:name w:val="标题 2YHY Char"/>
    <w:link w:val="2810"/>
    <w:autoRedefine/>
    <w:qFormat/>
    <w:uiPriority w:val="0"/>
    <w:rPr>
      <w:rFonts w:ascii="Calibri" w:hAnsi="Calibri" w:eastAsia="黑体" w:cs="Arial Unicode MS"/>
      <w:b/>
      <w:smallCaps/>
      <w:color w:val="000000"/>
      <w:sz w:val="28"/>
      <w:szCs w:val="28"/>
    </w:rPr>
  </w:style>
  <w:style w:type="paragraph" w:customStyle="1" w:styleId="2812">
    <w:name w:val="GH1_03一、标题"/>
    <w:next w:val="1"/>
    <w:autoRedefine/>
    <w:qFormat/>
    <w:uiPriority w:val="99"/>
    <w:pPr>
      <w:keepNext/>
      <w:spacing w:line="360" w:lineRule="auto"/>
      <w:jc w:val="both"/>
      <w:outlineLvl w:val="2"/>
    </w:pPr>
    <w:rPr>
      <w:rFonts w:ascii="Times New Roman" w:hAnsi="Times New Roman" w:eastAsia="黑体" w:cstheme="majorBidi"/>
      <w:b/>
      <w:kern w:val="2"/>
      <w:sz w:val="32"/>
      <w:szCs w:val="24"/>
      <w:lang w:val="en-US" w:eastAsia="zh-CN" w:bidi="ar-SA"/>
    </w:rPr>
  </w:style>
  <w:style w:type="paragraph" w:customStyle="1" w:styleId="2813">
    <w:name w:val="样式 样式 样式 样式 正文缩进 + 首行缩进:  2 字符 + 首行缩进:  2 字符2 + 首行缩进:  2 字符 + 首行..."/>
    <w:basedOn w:val="1"/>
    <w:autoRedefine/>
    <w:qFormat/>
    <w:uiPriority w:val="0"/>
    <w:pPr>
      <w:widowControl/>
      <w:spacing w:beforeLines="25" w:afterLines="25" w:line="400" w:lineRule="exact"/>
      <w:jc w:val="left"/>
    </w:pPr>
    <w:rPr>
      <w:rFonts w:cs="宋体"/>
      <w:kern w:val="0"/>
      <w:sz w:val="28"/>
      <w:szCs w:val="20"/>
    </w:rPr>
  </w:style>
  <w:style w:type="paragraph" w:customStyle="1" w:styleId="2814">
    <w:name w:val="样式 三江正文 + 左侧:  2 字符"/>
    <w:basedOn w:val="1"/>
    <w:link w:val="2815"/>
    <w:autoRedefine/>
    <w:qFormat/>
    <w:uiPriority w:val="0"/>
    <w:pPr>
      <w:widowControl/>
      <w:spacing w:line="360" w:lineRule="auto"/>
      <w:jc w:val="left"/>
    </w:pPr>
    <w:rPr>
      <w:rFonts w:cs="宋体"/>
      <w:kern w:val="0"/>
      <w:szCs w:val="20"/>
    </w:rPr>
  </w:style>
  <w:style w:type="character" w:customStyle="1" w:styleId="2815">
    <w:name w:val="样式 三江正文 + 左侧:  2 字符 Char"/>
    <w:link w:val="2814"/>
    <w:autoRedefine/>
    <w:qFormat/>
    <w:uiPriority w:val="0"/>
    <w:rPr>
      <w:rFonts w:cs="宋体"/>
      <w:sz w:val="24"/>
    </w:rPr>
  </w:style>
  <w:style w:type="paragraph" w:customStyle="1" w:styleId="2816">
    <w:name w:val="基准标题"/>
    <w:basedOn w:val="34"/>
    <w:next w:val="34"/>
    <w:link w:val="2817"/>
    <w:autoRedefine/>
    <w:qFormat/>
    <w:uiPriority w:val="0"/>
    <w:pPr>
      <w:widowControl/>
      <w:snapToGrid w:val="0"/>
      <w:spacing w:before="80" w:after="80" w:line="360" w:lineRule="auto"/>
      <w:ind w:firstLine="200" w:firstLineChars="200"/>
    </w:pPr>
    <w:rPr>
      <w:rFonts w:cstheme="majorBidi"/>
      <w:kern w:val="0"/>
      <w:sz w:val="18"/>
    </w:rPr>
  </w:style>
  <w:style w:type="character" w:customStyle="1" w:styleId="2817">
    <w:name w:val="基准标题 Char"/>
    <w:link w:val="2816"/>
    <w:autoRedefine/>
    <w:uiPriority w:val="0"/>
    <w:rPr>
      <w:rFonts w:cstheme="majorBidi"/>
      <w:sz w:val="18"/>
      <w:szCs w:val="24"/>
    </w:rPr>
  </w:style>
  <w:style w:type="paragraph" w:customStyle="1" w:styleId="2818">
    <w:name w:val="样式85"/>
    <w:basedOn w:val="1"/>
    <w:link w:val="2819"/>
    <w:autoRedefine/>
    <w:qFormat/>
    <w:uiPriority w:val="0"/>
    <w:pPr>
      <w:widowControl/>
      <w:spacing w:before="156" w:after="156" w:line="360" w:lineRule="auto"/>
      <w:ind w:firstLine="480"/>
      <w:jc w:val="left"/>
    </w:pPr>
    <w:rPr>
      <w:rFonts w:ascii="宋体" w:cstheme="majorBidi"/>
      <w:color w:val="000000"/>
      <w:kern w:val="0"/>
    </w:rPr>
  </w:style>
  <w:style w:type="character" w:customStyle="1" w:styleId="2819">
    <w:name w:val="样式85 Char"/>
    <w:link w:val="2818"/>
    <w:autoRedefine/>
    <w:qFormat/>
    <w:uiPriority w:val="0"/>
    <w:rPr>
      <w:rFonts w:ascii="宋体" w:cstheme="majorBidi"/>
      <w:color w:val="000000"/>
      <w:sz w:val="24"/>
      <w:szCs w:val="24"/>
    </w:rPr>
  </w:style>
  <w:style w:type="paragraph" w:customStyle="1" w:styleId="2820">
    <w:name w:val="文本文字"/>
    <w:basedOn w:val="1"/>
    <w:autoRedefine/>
    <w:qFormat/>
    <w:uiPriority w:val="0"/>
    <w:pPr>
      <w:widowControl/>
      <w:overflowPunct w:val="0"/>
      <w:autoSpaceDE w:val="0"/>
      <w:autoSpaceDN w:val="0"/>
      <w:adjustRightInd w:val="0"/>
      <w:spacing w:line="240" w:lineRule="atLeast"/>
      <w:jc w:val="left"/>
      <w:textAlignment w:val="baseline"/>
    </w:pPr>
    <w:rPr>
      <w:rFonts w:eastAsia="仿宋_GB2312" w:cstheme="majorBidi"/>
      <w:kern w:val="0"/>
      <w:sz w:val="28"/>
      <w:szCs w:val="20"/>
    </w:rPr>
  </w:style>
  <w:style w:type="paragraph" w:customStyle="1" w:styleId="2821">
    <w:name w:val="48"/>
    <w:basedOn w:val="1"/>
    <w:autoRedefine/>
    <w:qFormat/>
    <w:uiPriority w:val="0"/>
    <w:pPr>
      <w:widowControl/>
      <w:snapToGrid w:val="0"/>
      <w:spacing w:before="120" w:after="120" w:line="360" w:lineRule="auto"/>
      <w:jc w:val="left"/>
    </w:pPr>
    <w:rPr>
      <w:rFonts w:hint="eastAsia" w:ascii="黑体" w:hAnsi="宋体" w:eastAsia="黑体" w:cstheme="majorBidi"/>
      <w:b/>
      <w:bCs/>
      <w:color w:val="000000"/>
      <w:kern w:val="0"/>
      <w:szCs w:val="21"/>
    </w:rPr>
  </w:style>
  <w:style w:type="paragraph" w:customStyle="1" w:styleId="2822">
    <w:name w:val="自动1"/>
    <w:basedOn w:val="1"/>
    <w:autoRedefine/>
    <w:qFormat/>
    <w:uiPriority w:val="0"/>
    <w:pPr>
      <w:keepNext/>
      <w:keepLines/>
      <w:widowControl/>
      <w:numPr>
        <w:ilvl w:val="0"/>
        <w:numId w:val="34"/>
      </w:numPr>
      <w:tabs>
        <w:tab w:val="left" w:pos="432"/>
        <w:tab w:val="clear" w:pos="632"/>
      </w:tabs>
      <w:spacing w:beforeLines="50" w:afterLines="50" w:line="360" w:lineRule="auto"/>
      <w:ind w:left="0" w:firstLine="0" w:firstLineChars="0"/>
      <w:jc w:val="left"/>
      <w:outlineLvl w:val="0"/>
    </w:pPr>
    <w:rPr>
      <w:rFonts w:ascii="黑体" w:hAnsi="Arial Unicode MS" w:eastAsia="黑体" w:cs="Arial Unicode MS"/>
      <w:b/>
      <w:bCs/>
      <w:color w:val="000000"/>
      <w:kern w:val="44"/>
      <w:sz w:val="30"/>
      <w:szCs w:val="30"/>
    </w:rPr>
  </w:style>
  <w:style w:type="paragraph" w:customStyle="1" w:styleId="2823">
    <w:name w:val="佛表"/>
    <w:basedOn w:val="66"/>
    <w:autoRedefine/>
    <w:qFormat/>
    <w:uiPriority w:val="0"/>
    <w:pPr>
      <w:widowControl/>
      <w:spacing w:line="360" w:lineRule="auto"/>
      <w:ind w:left="0" w:firstLine="0" w:firstLineChars="0"/>
      <w:jc w:val="center"/>
    </w:pPr>
    <w:rPr>
      <w:rFonts w:ascii="仿宋_GB2312" w:hAnsi="宋体" w:eastAsia="仿宋_GB2312" w:cstheme="majorBidi"/>
      <w:kern w:val="0"/>
      <w:szCs w:val="21"/>
    </w:rPr>
  </w:style>
  <w:style w:type="paragraph" w:customStyle="1" w:styleId="2824">
    <w:name w:val="样式 宋体 小四 两端对齐 首行缩进:  0.85 厘米 行距: 1.5 倍行距"/>
    <w:basedOn w:val="1"/>
    <w:autoRedefine/>
    <w:qFormat/>
    <w:uiPriority w:val="0"/>
    <w:pPr>
      <w:widowControl/>
      <w:spacing w:line="360" w:lineRule="auto"/>
      <w:ind w:firstLine="482"/>
      <w:jc w:val="left"/>
    </w:pPr>
    <w:rPr>
      <w:rFonts w:cstheme="majorBidi"/>
      <w:kern w:val="0"/>
      <w:szCs w:val="20"/>
    </w:rPr>
  </w:style>
  <w:style w:type="paragraph" w:customStyle="1" w:styleId="2825">
    <w:name w:val="四号 行距: 固定值 25 磅"/>
    <w:basedOn w:val="1"/>
    <w:autoRedefine/>
    <w:qFormat/>
    <w:uiPriority w:val="0"/>
    <w:pPr>
      <w:widowControl/>
      <w:adjustRightInd w:val="0"/>
      <w:snapToGrid w:val="0"/>
      <w:spacing w:line="340" w:lineRule="exact"/>
      <w:ind w:firstLine="422"/>
      <w:jc w:val="center"/>
    </w:pPr>
    <w:rPr>
      <w:rFonts w:ascii="宋体" w:hAnsi="宋体" w:cstheme="majorBidi"/>
      <w:b/>
      <w:kern w:val="0"/>
      <w:szCs w:val="21"/>
      <w:lang w:val="zh-CN"/>
    </w:rPr>
  </w:style>
  <w:style w:type="paragraph" w:customStyle="1" w:styleId="2826">
    <w:name w:val="样式 标题 1标题 11一、 + 小三 行距: 1.5 倍行距"/>
    <w:basedOn w:val="3"/>
    <w:autoRedefine/>
    <w:qFormat/>
    <w:uiPriority w:val="0"/>
    <w:pPr>
      <w:keepNext w:val="0"/>
      <w:widowControl/>
      <w:numPr>
        <w:numId w:val="0"/>
      </w:numPr>
      <w:tabs>
        <w:tab w:val="clear" w:pos="0"/>
      </w:tabs>
      <w:spacing w:line="360" w:lineRule="auto"/>
      <w:contextualSpacing/>
      <w:jc w:val="left"/>
    </w:pPr>
    <w:rPr>
      <w:rFonts w:ascii="黑体" w:cs="宋体"/>
      <w:smallCaps/>
      <w:spacing w:val="5"/>
      <w:kern w:val="0"/>
      <w:sz w:val="30"/>
      <w:szCs w:val="20"/>
    </w:rPr>
  </w:style>
  <w:style w:type="paragraph" w:customStyle="1" w:styleId="2827">
    <w:name w:val="地质报告正文"/>
    <w:basedOn w:val="1"/>
    <w:autoRedefine/>
    <w:uiPriority w:val="0"/>
    <w:pPr>
      <w:widowControl/>
      <w:spacing w:line="360" w:lineRule="auto"/>
      <w:jc w:val="left"/>
    </w:pPr>
    <w:rPr>
      <w:rFonts w:cstheme="majorBidi"/>
      <w:kern w:val="0"/>
      <w:sz w:val="28"/>
    </w:rPr>
  </w:style>
  <w:style w:type="paragraph" w:customStyle="1" w:styleId="2828">
    <w:name w:val="样式 样式 首行缩进:  2 字符 行距: 1.5 倍行距 + 首行缩进:  2 字符1"/>
    <w:basedOn w:val="1"/>
    <w:autoRedefine/>
    <w:qFormat/>
    <w:uiPriority w:val="0"/>
    <w:pPr>
      <w:widowControl/>
      <w:adjustRightInd w:val="0"/>
      <w:snapToGrid w:val="0"/>
      <w:spacing w:line="460" w:lineRule="exact"/>
      <w:jc w:val="left"/>
    </w:pPr>
    <w:rPr>
      <w:rFonts w:cstheme="majorBidi"/>
      <w:kern w:val="0"/>
    </w:rPr>
  </w:style>
  <w:style w:type="paragraph" w:customStyle="1" w:styleId="2829">
    <w:name w:val="xl17"/>
    <w:basedOn w:val="1"/>
    <w:autoRedefine/>
    <w:qFormat/>
    <w:uiPriority w:val="0"/>
    <w:pPr>
      <w:widowControl/>
      <w:spacing w:before="100" w:beforeAutospacing="1" w:after="100" w:afterAutospacing="1" w:line="360" w:lineRule="auto"/>
      <w:jc w:val="left"/>
    </w:pPr>
    <w:rPr>
      <w:rFonts w:eastAsia="Arial Unicode MS" w:cstheme="majorBidi"/>
      <w:kern w:val="0"/>
    </w:rPr>
  </w:style>
  <w:style w:type="paragraph" w:customStyle="1" w:styleId="2830">
    <w:name w:val="样式 样式 标题 2标题 21标题 121标题 2 Char1 Char节H2节标题 1.1节标题 1.1 Char... +"/>
    <w:basedOn w:val="2469"/>
    <w:autoRedefine/>
    <w:qFormat/>
    <w:uiPriority w:val="0"/>
    <w:pPr>
      <w:snapToGrid/>
      <w:spacing w:beforeLines="0" w:after="100" w:line="460" w:lineRule="exact"/>
    </w:pPr>
    <w:rPr>
      <w:rFonts w:cs="宋体"/>
      <w:bCs w:val="0"/>
      <w:color w:val="000000"/>
      <w:kern w:val="2"/>
    </w:rPr>
  </w:style>
  <w:style w:type="paragraph" w:customStyle="1" w:styleId="2831">
    <w:name w:val="样式 样式 左侧:  2 字符 段后: 0.5 行 + 首行缩进:  2 字符 段后: 0.5 行"/>
    <w:basedOn w:val="1"/>
    <w:autoRedefine/>
    <w:qFormat/>
    <w:uiPriority w:val="0"/>
    <w:pPr>
      <w:widowControl/>
      <w:spacing w:afterLines="50" w:line="360" w:lineRule="auto"/>
      <w:ind w:firstLine="560"/>
      <w:jc w:val="left"/>
    </w:pPr>
    <w:rPr>
      <w:rFonts w:eastAsia="仿宋_GB2312" w:cstheme="majorBidi"/>
      <w:kern w:val="0"/>
      <w:sz w:val="28"/>
      <w:szCs w:val="28"/>
    </w:rPr>
  </w:style>
  <w:style w:type="paragraph" w:customStyle="1" w:styleId="2832">
    <w:name w:val="a3"/>
    <w:basedOn w:val="1"/>
    <w:autoRedefine/>
    <w:uiPriority w:val="0"/>
    <w:pPr>
      <w:widowControl/>
      <w:spacing w:before="100" w:beforeAutospacing="1" w:after="100" w:afterAutospacing="1" w:line="360" w:lineRule="auto"/>
      <w:jc w:val="left"/>
    </w:pPr>
    <w:rPr>
      <w:rFonts w:ascii="宋体" w:hAnsi="宋体" w:cstheme="majorBidi"/>
      <w:color w:val="000000"/>
      <w:kern w:val="0"/>
    </w:rPr>
  </w:style>
  <w:style w:type="paragraph" w:customStyle="1" w:styleId="2833">
    <w:name w:val="文章正文样式"/>
    <w:basedOn w:val="1"/>
    <w:link w:val="2834"/>
    <w:autoRedefine/>
    <w:qFormat/>
    <w:uiPriority w:val="0"/>
    <w:pPr>
      <w:widowControl/>
      <w:spacing w:line="520" w:lineRule="exact"/>
      <w:ind w:firstLine="480"/>
      <w:jc w:val="left"/>
    </w:pPr>
    <w:rPr>
      <w:rFonts w:ascii="宋体" w:hAnsi="宋体" w:cs="宋体"/>
      <w:kern w:val="0"/>
      <w:szCs w:val="20"/>
    </w:rPr>
  </w:style>
  <w:style w:type="character" w:customStyle="1" w:styleId="2834">
    <w:name w:val="文章正文样式 Char"/>
    <w:link w:val="2833"/>
    <w:autoRedefine/>
    <w:qFormat/>
    <w:uiPriority w:val="0"/>
    <w:rPr>
      <w:rFonts w:ascii="宋体" w:hAnsi="宋体" w:cs="宋体"/>
      <w:sz w:val="24"/>
    </w:rPr>
  </w:style>
  <w:style w:type="paragraph" w:customStyle="1" w:styleId="2835">
    <w:name w:val="p1"/>
    <w:basedOn w:val="1"/>
    <w:autoRedefine/>
    <w:uiPriority w:val="99"/>
    <w:pPr>
      <w:widowControl/>
      <w:spacing w:before="100" w:beforeAutospacing="1" w:after="100" w:afterAutospacing="1" w:line="360" w:lineRule="auto"/>
      <w:ind w:firstLine="465"/>
      <w:jc w:val="left"/>
    </w:pPr>
    <w:rPr>
      <w:rFonts w:ascii="ˎ̥" w:hAnsi="ˎ̥" w:cstheme="majorBidi"/>
      <w:kern w:val="0"/>
      <w:szCs w:val="20"/>
    </w:rPr>
  </w:style>
  <w:style w:type="paragraph" w:customStyle="1" w:styleId="2836">
    <w:name w:val="自动3"/>
    <w:basedOn w:val="1"/>
    <w:link w:val="2837"/>
    <w:autoRedefine/>
    <w:uiPriority w:val="0"/>
    <w:pPr>
      <w:keepNext/>
      <w:keepLines/>
      <w:widowControl/>
      <w:tabs>
        <w:tab w:val="left" w:pos="1418"/>
      </w:tabs>
      <w:spacing w:beforeLines="50" w:afterLines="50" w:line="360" w:lineRule="auto"/>
      <w:ind w:left="1418" w:hanging="567"/>
      <w:jc w:val="left"/>
      <w:outlineLvl w:val="2"/>
    </w:pPr>
    <w:rPr>
      <w:rFonts w:ascii="宋体" w:hAnsi="宋体" w:cs="Arial Unicode MS"/>
      <w:b/>
      <w:color w:val="000000"/>
      <w:kern w:val="0"/>
    </w:rPr>
  </w:style>
  <w:style w:type="character" w:customStyle="1" w:styleId="2837">
    <w:name w:val="自动3 Char"/>
    <w:link w:val="2836"/>
    <w:autoRedefine/>
    <w:qFormat/>
    <w:uiPriority w:val="0"/>
    <w:rPr>
      <w:rFonts w:ascii="宋体" w:hAnsi="宋体" w:cs="Arial Unicode MS"/>
      <w:b/>
      <w:color w:val="000000"/>
      <w:sz w:val="24"/>
      <w:szCs w:val="24"/>
    </w:rPr>
  </w:style>
  <w:style w:type="paragraph" w:customStyle="1" w:styleId="2838">
    <w:name w:val="样式 样式 样式 标题 3标题 13标题 3 Char1 Char Char Char标题 31ReHead 3 WSAh3B...."/>
    <w:basedOn w:val="1"/>
    <w:autoRedefine/>
    <w:qFormat/>
    <w:uiPriority w:val="0"/>
    <w:pPr>
      <w:keepNext/>
      <w:keepLines/>
      <w:widowControl/>
      <w:spacing w:beforeLines="50" w:afterLines="50" w:line="460" w:lineRule="exact"/>
      <w:jc w:val="left"/>
      <w:outlineLvl w:val="2"/>
    </w:pPr>
    <w:rPr>
      <w:rFonts w:cs="宋体"/>
      <w:b/>
      <w:bCs/>
      <w:color w:val="000000"/>
      <w:kern w:val="0"/>
      <w:szCs w:val="20"/>
    </w:rPr>
  </w:style>
  <w:style w:type="character" w:customStyle="1" w:styleId="2839">
    <w:name w:val="表格1 Char1"/>
    <w:autoRedefine/>
    <w:qFormat/>
    <w:uiPriority w:val="0"/>
    <w:rPr>
      <w:rFonts w:ascii="宋体" w:hAnsi="宋体"/>
      <w:szCs w:val="24"/>
    </w:rPr>
  </w:style>
  <w:style w:type="paragraph" w:customStyle="1" w:styleId="2840">
    <w:name w:val="样式 行距: 固定值 28 磅"/>
    <w:basedOn w:val="1"/>
    <w:autoRedefine/>
    <w:qFormat/>
    <w:uiPriority w:val="0"/>
    <w:pPr>
      <w:widowControl/>
      <w:spacing w:line="500" w:lineRule="exact"/>
      <w:ind w:firstLine="692" w:firstLineChars="250"/>
      <w:jc w:val="left"/>
    </w:pPr>
    <w:rPr>
      <w:rFonts w:ascii="宋体" w:hAnsi="宋体" w:cs="宋体"/>
      <w:kern w:val="0"/>
      <w:sz w:val="28"/>
      <w:szCs w:val="20"/>
    </w:rPr>
  </w:style>
  <w:style w:type="paragraph" w:customStyle="1" w:styleId="2841">
    <w:name w:val="样式 标题 3物探标题3 + 字符缩放: 80%"/>
    <w:basedOn w:val="1"/>
    <w:next w:val="1"/>
    <w:autoRedefine/>
    <w:qFormat/>
    <w:uiPriority w:val="0"/>
    <w:pPr>
      <w:widowControl/>
      <w:tabs>
        <w:tab w:val="left" w:pos="328"/>
        <w:tab w:val="left" w:pos="1134"/>
      </w:tabs>
      <w:spacing w:line="440" w:lineRule="exact"/>
      <w:jc w:val="left"/>
      <w:outlineLvl w:val="2"/>
    </w:pPr>
    <w:rPr>
      <w:rFonts w:cstheme="majorBidi"/>
      <w:bCs/>
      <w:kern w:val="0"/>
    </w:rPr>
  </w:style>
  <w:style w:type="paragraph" w:customStyle="1" w:styleId="2842">
    <w:name w:val="封面文字1"/>
    <w:basedOn w:val="1"/>
    <w:qFormat/>
    <w:uiPriority w:val="0"/>
    <w:pPr>
      <w:widowControl/>
      <w:spacing w:line="300" w:lineRule="auto"/>
      <w:jc w:val="center"/>
    </w:pPr>
    <w:rPr>
      <w:rFonts w:ascii="宋体" w:cstheme="majorBidi"/>
      <w:b/>
      <w:kern w:val="0"/>
      <w:sz w:val="44"/>
    </w:rPr>
  </w:style>
  <w:style w:type="paragraph" w:customStyle="1" w:styleId="2843">
    <w:name w:val="样式 正文缩进 + 左侧:  0.37 厘米 右侧:  0.37 厘米"/>
    <w:basedOn w:val="179"/>
    <w:next w:val="179"/>
    <w:qFormat/>
    <w:uiPriority w:val="0"/>
    <w:pPr>
      <w:spacing w:line="360" w:lineRule="auto"/>
    </w:pPr>
    <w:rPr>
      <w:rFonts w:cs="Times New Roman" w:eastAsiaTheme="majorEastAsia"/>
      <w:color w:val="auto"/>
    </w:rPr>
  </w:style>
  <w:style w:type="paragraph" w:customStyle="1" w:styleId="2844">
    <w:name w:val="备注"/>
    <w:basedOn w:val="1"/>
    <w:autoRedefine/>
    <w:qFormat/>
    <w:uiPriority w:val="0"/>
    <w:pPr>
      <w:widowControl/>
      <w:tabs>
        <w:tab w:val="left" w:pos="547"/>
        <w:tab w:val="left" w:pos="1080"/>
      </w:tabs>
      <w:spacing w:line="400" w:lineRule="atLeast"/>
      <w:jc w:val="left"/>
    </w:pPr>
    <w:rPr>
      <w:rFonts w:cstheme="majorBidi"/>
      <w:kern w:val="0"/>
      <w:szCs w:val="21"/>
    </w:rPr>
  </w:style>
  <w:style w:type="paragraph" w:customStyle="1" w:styleId="2845">
    <w:name w:val="日期11"/>
    <w:basedOn w:val="1"/>
    <w:next w:val="1"/>
    <w:autoRedefine/>
    <w:qFormat/>
    <w:uiPriority w:val="0"/>
    <w:pPr>
      <w:widowControl/>
      <w:autoSpaceDE w:val="0"/>
      <w:autoSpaceDN w:val="0"/>
      <w:adjustRightInd w:val="0"/>
      <w:spacing w:line="360" w:lineRule="auto"/>
      <w:jc w:val="left"/>
      <w:textAlignment w:val="baseline"/>
    </w:pPr>
    <w:rPr>
      <w:rFonts w:cstheme="majorBidi"/>
      <w:spacing w:val="5"/>
      <w:kern w:val="0"/>
      <w:szCs w:val="20"/>
    </w:rPr>
  </w:style>
  <w:style w:type="paragraph" w:customStyle="1" w:styleId="2846">
    <w:name w:val="5正文"/>
    <w:basedOn w:val="1"/>
    <w:qFormat/>
    <w:uiPriority w:val="0"/>
    <w:pPr>
      <w:widowControl/>
      <w:tabs>
        <w:tab w:val="left" w:pos="4500"/>
      </w:tabs>
      <w:spacing w:line="360" w:lineRule="auto"/>
      <w:ind w:firstLine="480"/>
      <w:jc w:val="left"/>
    </w:pPr>
    <w:rPr>
      <w:rFonts w:ascii="宋体" w:hAnsi="宋体" w:cstheme="majorBidi"/>
      <w:bCs/>
      <w:kern w:val="0"/>
    </w:rPr>
  </w:style>
  <w:style w:type="paragraph" w:customStyle="1" w:styleId="2847">
    <w:name w:val="样式4，正文11"/>
    <w:basedOn w:val="1"/>
    <w:autoRedefine/>
    <w:uiPriority w:val="99"/>
    <w:pPr>
      <w:widowControl/>
      <w:spacing w:line="360" w:lineRule="auto"/>
      <w:ind w:right="187" w:rightChars="89" w:firstLine="480"/>
      <w:jc w:val="left"/>
    </w:pPr>
    <w:rPr>
      <w:rFonts w:ascii="宋体" w:hAnsi="宋体" w:cstheme="majorBidi"/>
      <w:color w:val="000000"/>
      <w:kern w:val="13"/>
      <w:position w:val="-12"/>
    </w:rPr>
  </w:style>
  <w:style w:type="paragraph" w:customStyle="1" w:styleId="2848">
    <w:name w:val="样式 标题1YHY + 段前: 0.5 行 段后: 0.5 行"/>
    <w:basedOn w:val="1"/>
    <w:autoRedefine/>
    <w:uiPriority w:val="0"/>
    <w:pPr>
      <w:keepNext/>
      <w:keepLines/>
      <w:widowControl/>
      <w:spacing w:beforeLines="50" w:afterLines="50" w:line="360" w:lineRule="auto"/>
      <w:jc w:val="left"/>
      <w:outlineLvl w:val="0"/>
    </w:pPr>
    <w:rPr>
      <w:rFonts w:eastAsia="黑体" w:cs="宋体"/>
      <w:b/>
      <w:bCs/>
      <w:kern w:val="44"/>
      <w:sz w:val="30"/>
      <w:szCs w:val="20"/>
    </w:rPr>
  </w:style>
  <w:style w:type="paragraph" w:customStyle="1" w:styleId="2849">
    <w:name w:val="样式 样式 自动表头 + (西文) 黑体 五号 加粗 行距: 单倍行距 + 加粗"/>
    <w:basedOn w:val="1"/>
    <w:autoRedefine/>
    <w:uiPriority w:val="0"/>
    <w:pPr>
      <w:widowControl/>
      <w:autoSpaceDE w:val="0"/>
      <w:autoSpaceDN w:val="0"/>
      <w:adjustRightInd w:val="0"/>
      <w:spacing w:beforeLines="50" w:afterLines="50" w:line="360" w:lineRule="auto"/>
      <w:ind w:firstLine="422"/>
      <w:jc w:val="left"/>
    </w:pPr>
    <w:rPr>
      <w:rFonts w:ascii="黑体" w:hAnsi="宋体" w:cs="宋体"/>
      <w:b/>
      <w:bCs/>
      <w:color w:val="000000"/>
      <w:kern w:val="0"/>
      <w:szCs w:val="20"/>
    </w:rPr>
  </w:style>
  <w:style w:type="paragraph" w:customStyle="1" w:styleId="2850">
    <w:name w:val="样式 标题 1 + 宋体"/>
    <w:basedOn w:val="3"/>
    <w:autoRedefine/>
    <w:qFormat/>
    <w:uiPriority w:val="0"/>
    <w:pPr>
      <w:keepNext w:val="0"/>
      <w:widowControl/>
      <w:numPr>
        <w:numId w:val="0"/>
      </w:numPr>
      <w:tabs>
        <w:tab w:val="clear" w:pos="0"/>
      </w:tabs>
      <w:spacing w:line="360" w:lineRule="auto"/>
      <w:contextualSpacing/>
    </w:pPr>
    <w:rPr>
      <w:rFonts w:ascii="宋体" w:hAnsi="宋体" w:eastAsia="宋体" w:cstheme="majorBidi"/>
      <w:smallCaps/>
      <w:spacing w:val="5"/>
      <w:sz w:val="32"/>
      <w:szCs w:val="32"/>
    </w:rPr>
  </w:style>
  <w:style w:type="paragraph" w:customStyle="1" w:styleId="2851">
    <w:name w:val="样式 标题 4标题 14H4 + 小四 非加粗"/>
    <w:basedOn w:val="6"/>
    <w:autoRedefine/>
    <w:qFormat/>
    <w:uiPriority w:val="0"/>
    <w:pPr>
      <w:keepNext w:val="0"/>
      <w:keepLines w:val="0"/>
      <w:widowControl/>
      <w:numPr>
        <w:ilvl w:val="0"/>
        <w:numId w:val="0"/>
      </w:numPr>
      <w:tabs>
        <w:tab w:val="left" w:pos="425"/>
        <w:tab w:val="left" w:pos="1680"/>
      </w:tabs>
      <w:spacing w:before="280" w:after="290" w:afterLines="50" w:line="377" w:lineRule="auto"/>
      <w:ind w:left="1680" w:hanging="420"/>
      <w:contextualSpacing/>
      <w:jc w:val="left"/>
    </w:pPr>
    <w:rPr>
      <w:rFonts w:ascii="宋体" w:hAnsi="宋体" w:cs="宋体"/>
      <w:bCs w:val="0"/>
      <w:color w:val="000000"/>
      <w:spacing w:val="5"/>
      <w:kern w:val="0"/>
      <w:sz w:val="24"/>
      <w:szCs w:val="24"/>
    </w:rPr>
  </w:style>
  <w:style w:type="paragraph" w:customStyle="1" w:styleId="2852">
    <w:name w:val="样式74"/>
    <w:basedOn w:val="1"/>
    <w:qFormat/>
    <w:uiPriority w:val="0"/>
    <w:pPr>
      <w:keepNext/>
      <w:keepLines/>
      <w:widowControl/>
      <w:tabs>
        <w:tab w:val="left" w:pos="360"/>
        <w:tab w:val="left" w:pos="900"/>
        <w:tab w:val="left" w:pos="1080"/>
      </w:tabs>
      <w:spacing w:line="360" w:lineRule="auto"/>
      <w:jc w:val="left"/>
      <w:outlineLvl w:val="3"/>
    </w:pPr>
    <w:rPr>
      <w:rFonts w:ascii="宋体" w:hAnsi="宋体" w:cstheme="majorBidi"/>
      <w:color w:val="000000"/>
      <w:kern w:val="0"/>
      <w:szCs w:val="28"/>
    </w:rPr>
  </w:style>
  <w:style w:type="paragraph" w:customStyle="1" w:styleId="2853">
    <w:name w:val="bg"/>
    <w:basedOn w:val="1"/>
    <w:autoRedefine/>
    <w:qFormat/>
    <w:uiPriority w:val="99"/>
    <w:pPr>
      <w:widowControl/>
      <w:spacing w:line="360" w:lineRule="auto"/>
      <w:jc w:val="left"/>
    </w:pPr>
    <w:rPr>
      <w:rFonts w:cstheme="majorBidi"/>
      <w:kern w:val="0"/>
    </w:rPr>
  </w:style>
  <w:style w:type="paragraph" w:customStyle="1" w:styleId="2854">
    <w:name w:val="目录标题"/>
    <w:basedOn w:val="1"/>
    <w:next w:val="1"/>
    <w:autoRedefine/>
    <w:qFormat/>
    <w:uiPriority w:val="0"/>
    <w:pPr>
      <w:widowControl/>
      <w:spacing w:before="566" w:after="544" w:line="566" w:lineRule="atLeast"/>
      <w:ind w:firstLine="419"/>
      <w:jc w:val="center"/>
      <w:textAlignment w:val="baseline"/>
    </w:pPr>
    <w:rPr>
      <w:rFonts w:ascii="Arial" w:eastAsia="黑体" w:cstheme="majorBidi"/>
      <w:color w:val="000000"/>
      <w:spacing w:val="566"/>
      <w:kern w:val="0"/>
      <w:sz w:val="54"/>
      <w:szCs w:val="20"/>
      <w:u w:color="000000"/>
    </w:rPr>
  </w:style>
  <w:style w:type="paragraph" w:customStyle="1" w:styleId="2855">
    <w:name w:val="样式58"/>
    <w:basedOn w:val="1"/>
    <w:qFormat/>
    <w:uiPriority w:val="0"/>
    <w:pPr>
      <w:widowControl/>
      <w:spacing w:beforeLines="50" w:afterLines="50" w:line="360" w:lineRule="auto"/>
      <w:ind w:firstLine="480"/>
      <w:jc w:val="left"/>
    </w:pPr>
    <w:rPr>
      <w:rFonts w:ascii="宋体" w:hAnsi="宋体" w:cstheme="majorBidi"/>
      <w:color w:val="0000FF"/>
      <w:kern w:val="0"/>
      <w:lang w:val="zh-CN"/>
    </w:rPr>
  </w:style>
  <w:style w:type="paragraph" w:customStyle="1" w:styleId="2856">
    <w:name w:val="标"/>
    <w:basedOn w:val="2773"/>
    <w:autoRedefine/>
    <w:semiHidden/>
    <w:qFormat/>
    <w:uiPriority w:val="99"/>
    <w:pPr>
      <w:widowControl w:val="0"/>
      <w:tabs>
        <w:tab w:val="left" w:pos="360"/>
        <w:tab w:val="left" w:pos="425"/>
        <w:tab w:val="left" w:pos="720"/>
        <w:tab w:val="left" w:pos="960"/>
      </w:tabs>
      <w:adjustRightInd w:val="0"/>
      <w:snapToGrid w:val="0"/>
      <w:spacing w:afterLines="0"/>
      <w:ind w:left="360" w:right="210" w:rightChars="100" w:hanging="360"/>
    </w:pPr>
    <w:rPr>
      <w:rFonts w:ascii="等线" w:hAnsi="等线" w:eastAsia="等线"/>
    </w:rPr>
  </w:style>
  <w:style w:type="paragraph" w:customStyle="1" w:styleId="2857">
    <w:name w:val="GB-1.1.1.1.1"/>
    <w:basedOn w:val="2858"/>
    <w:autoRedefine/>
    <w:qFormat/>
    <w:uiPriority w:val="0"/>
    <w:pPr>
      <w:outlineLvl w:val="4"/>
    </w:pPr>
    <w:rPr>
      <w:szCs w:val="21"/>
    </w:rPr>
  </w:style>
  <w:style w:type="paragraph" w:customStyle="1" w:styleId="2858">
    <w:name w:val="GB-1.1.1.1"/>
    <w:basedOn w:val="2859"/>
    <w:qFormat/>
    <w:uiPriority w:val="0"/>
    <w:pPr>
      <w:adjustRightInd/>
      <w:outlineLvl w:val="3"/>
    </w:pPr>
  </w:style>
  <w:style w:type="paragraph" w:customStyle="1" w:styleId="2859">
    <w:name w:val="GB-1.1.1"/>
    <w:basedOn w:val="2860"/>
    <w:autoRedefine/>
    <w:qFormat/>
    <w:uiPriority w:val="0"/>
    <w:pPr>
      <w:adjustRightInd w:val="0"/>
      <w:outlineLvl w:val="2"/>
    </w:pPr>
    <w:rPr>
      <w:rFonts w:ascii="宋体" w:eastAsia="宋体"/>
    </w:rPr>
  </w:style>
  <w:style w:type="paragraph" w:customStyle="1" w:styleId="2860">
    <w:name w:val="GB-1.1"/>
    <w:autoRedefine/>
    <w:qFormat/>
    <w:uiPriority w:val="0"/>
    <w:pPr>
      <w:spacing w:line="360" w:lineRule="auto"/>
      <w:outlineLvl w:val="1"/>
    </w:pPr>
    <w:rPr>
      <w:rFonts w:ascii="黑体" w:hAnsi="宋体" w:eastAsia="黑体" w:cstheme="majorBidi"/>
      <w:sz w:val="21"/>
      <w:szCs w:val="22"/>
      <w:lang w:val="en-US" w:eastAsia="zh-CN" w:bidi="ar-SA"/>
    </w:rPr>
  </w:style>
  <w:style w:type="character" w:customStyle="1" w:styleId="2861">
    <w:name w:val="样式 标题 4 + 宋体 小四 非加粗 Char"/>
    <w:link w:val="457"/>
    <w:autoRedefine/>
    <w:qFormat/>
    <w:uiPriority w:val="0"/>
    <w:rPr>
      <w:rFonts w:ascii="宋体" w:hAnsi="宋体"/>
      <w:b/>
      <w:bCs/>
      <w:kern w:val="2"/>
      <w:sz w:val="24"/>
      <w:szCs w:val="28"/>
    </w:rPr>
  </w:style>
  <w:style w:type="paragraph" w:customStyle="1" w:styleId="2862">
    <w:name w:val="样式 图表"/>
    <w:basedOn w:val="1"/>
    <w:autoRedefine/>
    <w:qFormat/>
    <w:uiPriority w:val="0"/>
    <w:pPr>
      <w:widowControl/>
      <w:adjustRightInd w:val="0"/>
      <w:spacing w:line="360" w:lineRule="auto"/>
      <w:jc w:val="center"/>
      <w:textAlignment w:val="baseline"/>
    </w:pPr>
    <w:rPr>
      <w:rFonts w:cstheme="majorBidi"/>
      <w:b/>
      <w:bCs/>
      <w:kern w:val="0"/>
    </w:rPr>
  </w:style>
  <w:style w:type="paragraph" w:customStyle="1" w:styleId="2863">
    <w:name w:val="样式 四号 行距: 固定值 25 磅 + 行距: 固定值 25 磅"/>
    <w:basedOn w:val="2825"/>
    <w:autoRedefine/>
    <w:qFormat/>
    <w:uiPriority w:val="0"/>
    <w:pPr>
      <w:spacing w:line="240" w:lineRule="auto"/>
      <w:ind w:firstLine="0"/>
      <w:jc w:val="both"/>
    </w:pPr>
    <w:rPr>
      <w:rFonts w:cs="宋体"/>
      <w:b w:val="0"/>
      <w:sz w:val="28"/>
      <w:szCs w:val="20"/>
    </w:rPr>
  </w:style>
  <w:style w:type="paragraph" w:customStyle="1" w:styleId="2864">
    <w:name w:val="图名称 Char Char Char Char Char Char Char Char Char Char"/>
    <w:basedOn w:val="1"/>
    <w:autoRedefine/>
    <w:qFormat/>
    <w:uiPriority w:val="0"/>
    <w:pPr>
      <w:widowControl/>
      <w:tabs>
        <w:tab w:val="left" w:pos="-120"/>
      </w:tabs>
      <w:spacing w:before="60" w:line="310" w:lineRule="atLeast"/>
      <w:jc w:val="center"/>
    </w:pPr>
    <w:rPr>
      <w:rFonts w:ascii="黑体" w:hAnsi="宋体" w:eastAsia="黑体" w:cs="宋体"/>
      <w:b/>
      <w:bCs/>
      <w:kern w:val="0"/>
      <w:szCs w:val="28"/>
    </w:rPr>
  </w:style>
  <w:style w:type="paragraph" w:customStyle="1" w:styleId="2865">
    <w:name w:val="样式55"/>
    <w:basedOn w:val="2726"/>
    <w:autoRedefine/>
    <w:qFormat/>
    <w:uiPriority w:val="0"/>
    <w:pPr>
      <w:tabs>
        <w:tab w:val="left" w:pos="2175"/>
      </w:tabs>
      <w:spacing w:beforeLines="50" w:afterLines="50"/>
      <w:outlineLvl w:val="3"/>
    </w:pPr>
    <w:rPr>
      <w:rFonts w:ascii="Times New Roman" w:hAnsi="Times New Roman" w:eastAsia="等线" w:cs="Times New Roman"/>
      <w:b w:val="0"/>
      <w:color w:val="auto"/>
      <w:sz w:val="24"/>
      <w:szCs w:val="24"/>
    </w:rPr>
  </w:style>
  <w:style w:type="paragraph" w:customStyle="1" w:styleId="2866">
    <w:name w:val="YHY"/>
    <w:basedOn w:val="1"/>
    <w:qFormat/>
    <w:uiPriority w:val="0"/>
    <w:pPr>
      <w:widowControl/>
      <w:spacing w:beforeLines="50" w:afterLines="50" w:line="360" w:lineRule="auto"/>
      <w:jc w:val="left"/>
    </w:pPr>
    <w:rPr>
      <w:rFonts w:cs="宋体"/>
      <w:kern w:val="0"/>
      <w:szCs w:val="20"/>
    </w:rPr>
  </w:style>
  <w:style w:type="paragraph" w:customStyle="1" w:styleId="2867">
    <w:name w:val="样式 样式 样式 样式2 + 首行缩进:  2 字符 + 首行缩进:  2 字符 + 首行缩进:  2 字符"/>
    <w:basedOn w:val="1"/>
    <w:autoRedefine/>
    <w:qFormat/>
    <w:uiPriority w:val="0"/>
    <w:pPr>
      <w:widowControl/>
      <w:autoSpaceDE w:val="0"/>
      <w:autoSpaceDN w:val="0"/>
      <w:adjustRightInd w:val="0"/>
      <w:spacing w:line="420" w:lineRule="auto"/>
      <w:ind w:firstLine="480"/>
      <w:jc w:val="left"/>
    </w:pPr>
    <w:rPr>
      <w:rFonts w:ascii="宋体" w:cstheme="majorBidi"/>
      <w:kern w:val="0"/>
    </w:rPr>
  </w:style>
  <w:style w:type="paragraph" w:customStyle="1" w:styleId="2868">
    <w:name w:val="自动标题3"/>
    <w:basedOn w:val="1"/>
    <w:autoRedefine/>
    <w:qFormat/>
    <w:uiPriority w:val="99"/>
    <w:pPr>
      <w:widowControl/>
      <w:tabs>
        <w:tab w:val="left" w:pos="720"/>
      </w:tabs>
      <w:spacing w:line="360" w:lineRule="auto"/>
      <w:ind w:left="720" w:hanging="720"/>
      <w:jc w:val="left"/>
    </w:pPr>
    <w:rPr>
      <w:rFonts w:cstheme="majorBidi"/>
      <w:kern w:val="0"/>
      <w:sz w:val="28"/>
    </w:rPr>
  </w:style>
  <w:style w:type="paragraph" w:customStyle="1" w:styleId="2869">
    <w:name w:val="样式59"/>
    <w:basedOn w:val="680"/>
    <w:link w:val="2870"/>
    <w:qFormat/>
    <w:uiPriority w:val="0"/>
    <w:pPr>
      <w:keepNext/>
      <w:keepLines/>
      <w:widowControl/>
      <w:pBdr>
        <w:top w:val="none" w:color="auto" w:sz="0" w:space="0"/>
      </w:pBdr>
      <w:tabs>
        <w:tab w:val="clear" w:pos="4153"/>
        <w:tab w:val="clear" w:pos="8306"/>
      </w:tabs>
      <w:snapToGrid/>
      <w:spacing w:before="50" w:after="50" w:line="360" w:lineRule="auto"/>
      <w:ind w:left="720" w:hanging="720" w:firstLineChars="200"/>
      <w:outlineLvl w:val="2"/>
    </w:pPr>
    <w:rPr>
      <w:rFonts w:ascii="等线" w:hAnsi="等线" w:eastAsia="等线"/>
      <w:b/>
      <w:bCs/>
      <w:kern w:val="0"/>
      <w:sz w:val="24"/>
      <w:szCs w:val="24"/>
      <w:lang w:val="en-GB"/>
    </w:rPr>
  </w:style>
  <w:style w:type="character" w:customStyle="1" w:styleId="2870">
    <w:name w:val="样式59 Char"/>
    <w:link w:val="2869"/>
    <w:autoRedefine/>
    <w:qFormat/>
    <w:uiPriority w:val="0"/>
    <w:rPr>
      <w:rFonts w:ascii="等线" w:hAnsi="等线" w:eastAsia="等线"/>
      <w:b/>
      <w:bCs/>
      <w:sz w:val="24"/>
      <w:szCs w:val="24"/>
      <w:lang w:val="en-GB"/>
    </w:rPr>
  </w:style>
  <w:style w:type="paragraph" w:customStyle="1" w:styleId="2871">
    <w:name w:val="自动标题1"/>
    <w:basedOn w:val="1"/>
    <w:autoRedefine/>
    <w:qFormat/>
    <w:uiPriority w:val="0"/>
    <w:pPr>
      <w:keepNext/>
      <w:keepLines/>
      <w:pageBreakBefore/>
      <w:widowControl/>
      <w:spacing w:after="120" w:line="200" w:lineRule="atLeast"/>
      <w:jc w:val="left"/>
      <w:outlineLvl w:val="0"/>
    </w:pPr>
    <w:rPr>
      <w:rFonts w:ascii="黑体" w:eastAsia="黑体" w:cstheme="majorBidi"/>
      <w:b/>
      <w:kern w:val="44"/>
      <w:sz w:val="32"/>
      <w:szCs w:val="20"/>
    </w:rPr>
  </w:style>
  <w:style w:type="paragraph" w:customStyle="1" w:styleId="2872">
    <w:name w:val="00 标题2"/>
    <w:basedOn w:val="5"/>
    <w:autoRedefine/>
    <w:qFormat/>
    <w:uiPriority w:val="0"/>
    <w:pPr>
      <w:keepNext w:val="0"/>
      <w:keepLines w:val="0"/>
      <w:widowControl/>
      <w:numPr>
        <w:ilvl w:val="0"/>
        <w:numId w:val="0"/>
      </w:numPr>
      <w:adjustRightInd w:val="0"/>
      <w:snapToGrid w:val="0"/>
      <w:spacing w:beforeLines="50" w:afterLines="50" w:line="300" w:lineRule="auto"/>
      <w:jc w:val="left"/>
    </w:pPr>
    <w:rPr>
      <w:rFonts w:ascii="黑体" w:cstheme="majorBidi"/>
      <w:b w:val="0"/>
      <w:bCs w:val="0"/>
      <w:iCs/>
      <w:smallCaps/>
      <w:spacing w:val="5"/>
      <w:kern w:val="0"/>
    </w:rPr>
  </w:style>
  <w:style w:type="paragraph" w:customStyle="1" w:styleId="2873">
    <w:name w:val="style1"/>
    <w:basedOn w:val="1"/>
    <w:qFormat/>
    <w:uiPriority w:val="0"/>
    <w:pPr>
      <w:widowControl/>
      <w:spacing w:before="100" w:beforeAutospacing="1" w:after="100" w:afterAutospacing="1" w:line="360" w:lineRule="atLeast"/>
      <w:jc w:val="left"/>
    </w:pPr>
    <w:rPr>
      <w:rFonts w:ascii="宋体" w:hAnsi="宋体" w:cs="宋体"/>
      <w:b/>
      <w:bCs/>
      <w:kern w:val="0"/>
      <w:szCs w:val="21"/>
    </w:rPr>
  </w:style>
  <w:style w:type="paragraph" w:customStyle="1" w:styleId="2874">
    <w:name w:val="项目名称"/>
    <w:basedOn w:val="1"/>
    <w:autoRedefine/>
    <w:qFormat/>
    <w:uiPriority w:val="99"/>
    <w:pPr>
      <w:widowControl/>
      <w:adjustRightInd w:val="0"/>
      <w:spacing w:line="100" w:lineRule="atLeast"/>
      <w:ind w:firstLine="15" w:firstLineChars="7"/>
      <w:jc w:val="center"/>
      <w:textAlignment w:val="baseline"/>
    </w:pPr>
    <w:rPr>
      <w:rFonts w:ascii="楷体_GB2312" w:hAnsi="宋体" w:eastAsia="楷体_GB2312" w:cstheme="majorBidi"/>
      <w:kern w:val="0"/>
      <w:szCs w:val="32"/>
    </w:rPr>
  </w:style>
  <w:style w:type="paragraph" w:customStyle="1" w:styleId="2875">
    <w:name w:val="样式 样式 首行缩进:  2 字符 + 首行缩进:  2 字符"/>
    <w:basedOn w:val="1"/>
    <w:autoRedefine/>
    <w:qFormat/>
    <w:uiPriority w:val="0"/>
    <w:pPr>
      <w:widowControl/>
      <w:snapToGrid w:val="0"/>
      <w:spacing w:line="360" w:lineRule="auto"/>
      <w:ind w:firstLine="502"/>
      <w:jc w:val="left"/>
    </w:pPr>
    <w:rPr>
      <w:rFonts w:cs="宋体"/>
      <w:kern w:val="0"/>
      <w:szCs w:val="20"/>
    </w:rPr>
  </w:style>
  <w:style w:type="paragraph" w:customStyle="1" w:styleId="2876">
    <w:name w:val="正式文本"/>
    <w:basedOn w:val="1"/>
    <w:qFormat/>
    <w:uiPriority w:val="0"/>
    <w:pPr>
      <w:widowControl/>
      <w:spacing w:line="360" w:lineRule="auto"/>
      <w:ind w:firstLine="71" w:firstLineChars="71"/>
      <w:jc w:val="left"/>
    </w:pPr>
    <w:rPr>
      <w:rFonts w:ascii="仿宋_GB2312" w:eastAsia="仿宋_GB2312" w:cstheme="majorBidi"/>
      <w:kern w:val="0"/>
      <w:sz w:val="28"/>
      <w:szCs w:val="21"/>
    </w:rPr>
  </w:style>
  <w:style w:type="paragraph" w:customStyle="1" w:styleId="2877">
    <w:name w:val="样式119"/>
    <w:basedOn w:val="1"/>
    <w:link w:val="2878"/>
    <w:autoRedefine/>
    <w:qFormat/>
    <w:uiPriority w:val="0"/>
    <w:pPr>
      <w:keepNext/>
      <w:keepLines/>
      <w:widowControl/>
      <w:tabs>
        <w:tab w:val="left" w:pos="851"/>
      </w:tabs>
      <w:adjustRightInd w:val="0"/>
      <w:spacing w:before="156" w:after="156" w:line="360" w:lineRule="auto"/>
      <w:ind w:left="851"/>
      <w:jc w:val="left"/>
      <w:outlineLvl w:val="2"/>
    </w:pPr>
    <w:rPr>
      <w:rFonts w:ascii="宋体" w:hAnsi="宋体" w:cstheme="majorBidi"/>
      <w:bCs/>
      <w:color w:val="000000"/>
      <w:kern w:val="0"/>
      <w:szCs w:val="32"/>
    </w:rPr>
  </w:style>
  <w:style w:type="character" w:customStyle="1" w:styleId="2878">
    <w:name w:val="样式119 Char"/>
    <w:link w:val="2877"/>
    <w:autoRedefine/>
    <w:qFormat/>
    <w:uiPriority w:val="0"/>
    <w:rPr>
      <w:rFonts w:ascii="宋体" w:hAnsi="宋体" w:cstheme="majorBidi"/>
      <w:bCs/>
      <w:color w:val="000000"/>
      <w:sz w:val="24"/>
      <w:szCs w:val="32"/>
    </w:rPr>
  </w:style>
  <w:style w:type="paragraph" w:customStyle="1" w:styleId="2879">
    <w:name w:val="cas_content"/>
    <w:basedOn w:val="1"/>
    <w:autoRedefine/>
    <w:qFormat/>
    <w:uiPriority w:val="0"/>
    <w:pPr>
      <w:widowControl/>
      <w:spacing w:before="100" w:beforeAutospacing="1" w:after="100" w:afterAutospacing="1" w:line="360" w:lineRule="auto"/>
      <w:jc w:val="left"/>
    </w:pPr>
    <w:rPr>
      <w:rFonts w:ascii="宋体" w:hAnsi="宋体" w:cs="宋体"/>
      <w:kern w:val="0"/>
    </w:rPr>
  </w:style>
  <w:style w:type="paragraph" w:customStyle="1" w:styleId="2880">
    <w:name w:val="1.1.1.1样式 标题 4"/>
    <w:basedOn w:val="6"/>
    <w:autoRedefine/>
    <w:qFormat/>
    <w:uiPriority w:val="0"/>
    <w:pPr>
      <w:keepNext w:val="0"/>
      <w:keepLines w:val="0"/>
      <w:widowControl/>
      <w:numPr>
        <w:ilvl w:val="0"/>
        <w:numId w:val="0"/>
      </w:numPr>
      <w:tabs>
        <w:tab w:val="left" w:pos="864"/>
      </w:tabs>
      <w:spacing w:before="280" w:after="290" w:afterLines="50" w:line="360" w:lineRule="auto"/>
      <w:ind w:left="864" w:hanging="864"/>
      <w:contextualSpacing/>
      <w:jc w:val="left"/>
    </w:pPr>
    <w:rPr>
      <w:rFonts w:cs="宋体"/>
      <w:b w:val="0"/>
      <w:bCs w:val="0"/>
      <w:color w:val="000000"/>
      <w:spacing w:val="5"/>
      <w:kern w:val="0"/>
      <w:sz w:val="24"/>
      <w:szCs w:val="20"/>
    </w:rPr>
  </w:style>
  <w:style w:type="paragraph" w:customStyle="1" w:styleId="2881">
    <w:name w:val="body"/>
    <w:basedOn w:val="1"/>
    <w:autoRedefine/>
    <w:qFormat/>
    <w:uiPriority w:val="0"/>
    <w:pPr>
      <w:widowControl/>
      <w:spacing w:line="360" w:lineRule="auto"/>
      <w:jc w:val="left"/>
    </w:pPr>
    <w:rPr>
      <w:rFonts w:ascii="宋体" w:hAnsi="宋体" w:cs="宋体"/>
      <w:kern w:val="0"/>
    </w:rPr>
  </w:style>
  <w:style w:type="paragraph" w:customStyle="1" w:styleId="2882">
    <w:name w:val="Char Char Char1 Char Char Char Char Char Char Char Char Char Char Char Char Char Char Char Char"/>
    <w:basedOn w:val="1"/>
    <w:autoRedefine/>
    <w:qFormat/>
    <w:uiPriority w:val="0"/>
    <w:pPr>
      <w:widowControl/>
      <w:spacing w:line="360" w:lineRule="auto"/>
      <w:jc w:val="left"/>
    </w:pPr>
    <w:rPr>
      <w:rFonts w:cstheme="majorBidi"/>
      <w:kern w:val="0"/>
      <w:szCs w:val="20"/>
    </w:rPr>
  </w:style>
  <w:style w:type="paragraph" w:customStyle="1" w:styleId="2883">
    <w:name w:val="样式 样式 表头 + 段前: 0.5 行 行距: 1.5 倍行距 + 段前: 0.5 行1"/>
    <w:basedOn w:val="2693"/>
    <w:link w:val="2884"/>
    <w:autoRedefine/>
    <w:qFormat/>
    <w:uiPriority w:val="99"/>
    <w:rPr>
      <w:sz w:val="24"/>
    </w:rPr>
  </w:style>
  <w:style w:type="character" w:customStyle="1" w:styleId="2884">
    <w:name w:val="样式 样式 表头 + 段前: 0.5 行 行距: 1.5 倍行距 + 段前: 0.5 行1 Char"/>
    <w:link w:val="2883"/>
    <w:autoRedefine/>
    <w:qFormat/>
    <w:uiPriority w:val="99"/>
    <w:rPr>
      <w:rFonts w:ascii="黑体" w:hAnsi="宋体" w:eastAsia="黑体" w:cstheme="majorBidi"/>
      <w:b/>
      <w:bCs/>
      <w:kern w:val="2"/>
      <w:sz w:val="24"/>
      <w:szCs w:val="22"/>
      <w:u w:color="000000"/>
    </w:rPr>
  </w:style>
  <w:style w:type="paragraph" w:customStyle="1" w:styleId="2885">
    <w:name w:val="sw_one"/>
    <w:basedOn w:val="1"/>
    <w:autoRedefine/>
    <w:uiPriority w:val="99"/>
    <w:pPr>
      <w:widowControl/>
      <w:spacing w:before="100" w:beforeAutospacing="1" w:after="100" w:afterAutospacing="1" w:line="360" w:lineRule="auto"/>
      <w:ind w:firstLine="573"/>
      <w:jc w:val="left"/>
    </w:pPr>
    <w:rPr>
      <w:rFonts w:ascii="Arial Unicode MS" w:hAnsi="Arial Unicode MS" w:cs="Arial Unicode MS"/>
      <w:kern w:val="0"/>
    </w:rPr>
  </w:style>
  <w:style w:type="paragraph" w:customStyle="1" w:styleId="2886">
    <w:name w:val="样式 标题四 + (中文) 宋体 首行缩进:  2 字符"/>
    <w:basedOn w:val="21"/>
    <w:autoRedefine/>
    <w:qFormat/>
    <w:uiPriority w:val="99"/>
    <w:pPr>
      <w:keepNext/>
      <w:keepLines/>
      <w:widowControl/>
      <w:tabs>
        <w:tab w:val="left" w:pos="1346"/>
      </w:tabs>
      <w:spacing w:before="280" w:after="290" w:line="500" w:lineRule="exact"/>
      <w:ind w:left="1346" w:hanging="864"/>
      <w:outlineLvl w:val="3"/>
    </w:pPr>
    <w:rPr>
      <w:rFonts w:ascii="宋体" w:hAnsi="宋体" w:eastAsia="等线" w:cs="宋体"/>
      <w:b w:val="0"/>
      <w:bCs/>
      <w:kern w:val="0"/>
      <w:szCs w:val="22"/>
    </w:rPr>
  </w:style>
  <w:style w:type="paragraph" w:customStyle="1" w:styleId="2887">
    <w:name w:val="16"/>
    <w:basedOn w:val="1"/>
    <w:autoRedefine/>
    <w:qFormat/>
    <w:uiPriority w:val="0"/>
    <w:pPr>
      <w:widowControl/>
      <w:snapToGrid w:val="0"/>
      <w:spacing w:before="100" w:beforeAutospacing="1" w:after="100" w:afterAutospacing="1" w:line="360" w:lineRule="auto"/>
      <w:jc w:val="center"/>
      <w:textAlignment w:val="bottom"/>
    </w:pPr>
    <w:rPr>
      <w:rFonts w:hint="eastAsia" w:ascii="宋体" w:hAnsi="宋体" w:cs="Arial Unicode MS"/>
      <w:kern w:val="0"/>
      <w:sz w:val="28"/>
      <w:szCs w:val="28"/>
    </w:rPr>
  </w:style>
  <w:style w:type="paragraph" w:customStyle="1" w:styleId="2888">
    <w:name w:val="样式 首行缩进:  2 字符3"/>
    <w:basedOn w:val="1"/>
    <w:autoRedefine/>
    <w:semiHidden/>
    <w:qFormat/>
    <w:uiPriority w:val="0"/>
    <w:pPr>
      <w:widowControl/>
      <w:adjustRightInd w:val="0"/>
      <w:snapToGrid w:val="0"/>
      <w:spacing w:line="360" w:lineRule="auto"/>
      <w:jc w:val="left"/>
    </w:pPr>
    <w:rPr>
      <w:rFonts w:cs="宋体"/>
      <w:kern w:val="0"/>
      <w:szCs w:val="20"/>
    </w:rPr>
  </w:style>
  <w:style w:type="paragraph" w:customStyle="1" w:styleId="2889">
    <w:name w:val="表格，内容"/>
    <w:basedOn w:val="1"/>
    <w:qFormat/>
    <w:uiPriority w:val="0"/>
    <w:pPr>
      <w:widowControl/>
      <w:spacing w:line="360" w:lineRule="auto"/>
      <w:jc w:val="center"/>
    </w:pPr>
    <w:rPr>
      <w:rFonts w:ascii="宋体" w:hAnsi="宋体" w:cs="宋体"/>
      <w:spacing w:val="10"/>
      <w:kern w:val="44"/>
    </w:rPr>
  </w:style>
  <w:style w:type="paragraph" w:customStyle="1" w:styleId="2890">
    <w:name w:val="CM106"/>
    <w:basedOn w:val="179"/>
    <w:next w:val="179"/>
    <w:autoRedefine/>
    <w:qFormat/>
    <w:uiPriority w:val="99"/>
    <w:pPr>
      <w:spacing w:after="140" w:line="360" w:lineRule="auto"/>
    </w:pPr>
    <w:rPr>
      <w:rFonts w:ascii="黑体" w:eastAsia="黑体" w:cs="黑体"/>
      <w:color w:val="auto"/>
    </w:rPr>
  </w:style>
  <w:style w:type="paragraph" w:customStyle="1" w:styleId="2891">
    <w:name w:val="样式 表格 32 + 首行缩进:  2 字符"/>
    <w:basedOn w:val="1"/>
    <w:autoRedefine/>
    <w:uiPriority w:val="0"/>
    <w:pPr>
      <w:widowControl/>
      <w:autoSpaceDE w:val="0"/>
      <w:autoSpaceDN w:val="0"/>
      <w:adjustRightInd w:val="0"/>
      <w:spacing w:line="0" w:lineRule="atLeast"/>
      <w:jc w:val="center"/>
      <w:textAlignment w:val="baseline"/>
    </w:pPr>
    <w:rPr>
      <w:rFonts w:cs="宋体"/>
      <w:kern w:val="0"/>
      <w:szCs w:val="21"/>
    </w:rPr>
  </w:style>
  <w:style w:type="paragraph" w:customStyle="1" w:styleId="2892">
    <w:name w:val="Char2 Char Char Char Char Char Char Char Char Char"/>
    <w:basedOn w:val="1"/>
    <w:qFormat/>
    <w:uiPriority w:val="0"/>
    <w:pPr>
      <w:widowControl/>
      <w:spacing w:line="360" w:lineRule="auto"/>
      <w:jc w:val="left"/>
    </w:pPr>
    <w:rPr>
      <w:rFonts w:ascii="宋体" w:hAnsi="宋体" w:cs="宋体"/>
      <w:kern w:val="0"/>
    </w:rPr>
  </w:style>
  <w:style w:type="paragraph" w:customStyle="1" w:styleId="2893">
    <w:name w:val="样式 样式 标题 4 + (西文) Times New Roman (中文) 宋体 小四 非加粗 +"/>
    <w:basedOn w:val="2588"/>
    <w:autoRedefine/>
    <w:qFormat/>
    <w:uiPriority w:val="0"/>
  </w:style>
  <w:style w:type="paragraph" w:customStyle="1" w:styleId="2894">
    <w:name w:val="目录标题1"/>
    <w:basedOn w:val="1"/>
    <w:next w:val="1"/>
    <w:autoRedefine/>
    <w:qFormat/>
    <w:uiPriority w:val="99"/>
    <w:pPr>
      <w:widowControl/>
      <w:spacing w:before="566" w:after="544" w:line="566" w:lineRule="atLeast"/>
      <w:ind w:firstLine="419"/>
      <w:jc w:val="center"/>
      <w:textAlignment w:val="baseline"/>
    </w:pPr>
    <w:rPr>
      <w:rFonts w:ascii="Arial" w:eastAsia="黑体" w:cstheme="majorBidi"/>
      <w:color w:val="000000"/>
      <w:spacing w:val="566"/>
      <w:kern w:val="0"/>
      <w:sz w:val="54"/>
      <w:szCs w:val="20"/>
      <w:u w:color="000000"/>
    </w:rPr>
  </w:style>
  <w:style w:type="paragraph" w:customStyle="1" w:styleId="2895">
    <w:name w:val="标题一"/>
    <w:basedOn w:val="1"/>
    <w:autoRedefine/>
    <w:qFormat/>
    <w:uiPriority w:val="0"/>
    <w:pPr>
      <w:widowControl/>
      <w:spacing w:beforeLines="50" w:afterLines="100" w:line="360" w:lineRule="auto"/>
      <w:jc w:val="center"/>
    </w:pPr>
    <w:rPr>
      <w:rFonts w:ascii="宋体" w:hAnsi="宋体" w:cs="宋体"/>
      <w:b/>
      <w:kern w:val="0"/>
      <w:sz w:val="36"/>
    </w:rPr>
  </w:style>
  <w:style w:type="paragraph" w:customStyle="1" w:styleId="2896">
    <w:name w:val="xl150"/>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360" w:lineRule="auto"/>
      <w:jc w:val="center"/>
      <w:textAlignment w:val="bottom"/>
    </w:pPr>
    <w:rPr>
      <w:rFonts w:ascii="宋体" w:hAnsi="宋体" w:cs="宋体"/>
      <w:kern w:val="0"/>
      <w:sz w:val="20"/>
      <w:szCs w:val="20"/>
    </w:rPr>
  </w:style>
  <w:style w:type="paragraph" w:customStyle="1" w:styleId="2897">
    <w:name w:val="样式137"/>
    <w:basedOn w:val="1"/>
    <w:autoRedefine/>
    <w:qFormat/>
    <w:uiPriority w:val="0"/>
    <w:pPr>
      <w:keepNext/>
      <w:keepLines/>
      <w:widowControl/>
      <w:tabs>
        <w:tab w:val="left" w:pos="540"/>
      </w:tabs>
      <w:spacing w:before="156" w:after="156" w:line="360" w:lineRule="auto"/>
      <w:jc w:val="left"/>
      <w:outlineLvl w:val="1"/>
    </w:pPr>
    <w:rPr>
      <w:rFonts w:ascii="黑体" w:hAnsi="黑体" w:eastAsia="黑体" w:cstheme="majorBidi"/>
      <w:b/>
      <w:bCs/>
      <w:color w:val="000000"/>
      <w:kern w:val="0"/>
      <w:sz w:val="28"/>
    </w:rPr>
  </w:style>
  <w:style w:type="paragraph" w:customStyle="1" w:styleId="2898">
    <w:name w:val="样式 段落样式 + 行距: 最小值 25 磅"/>
    <w:basedOn w:val="2459"/>
    <w:autoRedefine/>
    <w:qFormat/>
    <w:uiPriority w:val="0"/>
    <w:pPr>
      <w:spacing w:line="500" w:lineRule="atLeast"/>
      <w:ind w:firstLine="560"/>
    </w:pPr>
    <w:rPr>
      <w:rFonts w:cs="宋体"/>
      <w:color w:val="auto"/>
      <w:kern w:val="2"/>
    </w:rPr>
  </w:style>
  <w:style w:type="paragraph" w:customStyle="1" w:styleId="2899">
    <w:name w:val="样式 宋体 10 磅 居中 行距: 单倍行距"/>
    <w:basedOn w:val="1"/>
    <w:autoRedefine/>
    <w:qFormat/>
    <w:uiPriority w:val="0"/>
    <w:pPr>
      <w:widowControl/>
      <w:spacing w:line="360" w:lineRule="auto"/>
      <w:jc w:val="center"/>
    </w:pPr>
    <w:rPr>
      <w:rFonts w:ascii="宋体" w:hAnsi="宋体" w:cs="宋体"/>
      <w:kern w:val="0"/>
      <w:sz w:val="20"/>
      <w:szCs w:val="20"/>
    </w:rPr>
  </w:style>
  <w:style w:type="paragraph" w:customStyle="1" w:styleId="2900">
    <w:name w:val="14"/>
    <w:basedOn w:val="1"/>
    <w:qFormat/>
    <w:uiPriority w:val="0"/>
    <w:pPr>
      <w:widowControl/>
      <w:spacing w:after="160" w:line="240" w:lineRule="exact"/>
      <w:jc w:val="left"/>
    </w:pPr>
    <w:rPr>
      <w:rFonts w:cstheme="majorBidi"/>
      <w:kern w:val="0"/>
      <w:szCs w:val="20"/>
    </w:rPr>
  </w:style>
  <w:style w:type="paragraph" w:customStyle="1" w:styleId="2901">
    <w:name w:val="标题06"/>
    <w:basedOn w:val="1"/>
    <w:autoRedefine/>
    <w:qFormat/>
    <w:uiPriority w:val="0"/>
    <w:pPr>
      <w:widowControl/>
      <w:adjustRightInd w:val="0"/>
      <w:spacing w:before="2040" w:line="400" w:lineRule="atLeast"/>
      <w:jc w:val="left"/>
      <w:textAlignment w:val="baseline"/>
    </w:pPr>
    <w:rPr>
      <w:rFonts w:eastAsia="黑体" w:cstheme="majorBidi"/>
      <w:spacing w:val="10"/>
      <w:kern w:val="0"/>
      <w:sz w:val="28"/>
    </w:rPr>
  </w:style>
  <w:style w:type="paragraph" w:customStyle="1" w:styleId="2902">
    <w:name w:val="样式73"/>
    <w:basedOn w:val="1"/>
    <w:autoRedefine/>
    <w:qFormat/>
    <w:uiPriority w:val="0"/>
    <w:pPr>
      <w:keepNext/>
      <w:keepLines/>
      <w:widowControl/>
      <w:spacing w:beforeLines="50" w:afterLines="50" w:line="360" w:lineRule="auto"/>
      <w:jc w:val="left"/>
      <w:outlineLvl w:val="0"/>
    </w:pPr>
    <w:rPr>
      <w:rFonts w:eastAsia="黑体" w:cstheme="majorBidi"/>
      <w:bCs/>
      <w:kern w:val="44"/>
      <w:sz w:val="32"/>
      <w:szCs w:val="32"/>
    </w:rPr>
  </w:style>
  <w:style w:type="paragraph" w:customStyle="1" w:styleId="2903">
    <w:name w:val="样式 标题 2H2h2heading 2+ Indent: Left 0.25 in二级节名1.1  heading...2"/>
    <w:basedOn w:val="4"/>
    <w:autoRedefine/>
    <w:uiPriority w:val="0"/>
    <w:pPr>
      <w:keepNext w:val="0"/>
      <w:keepLines w:val="0"/>
      <w:widowControl/>
      <w:numPr>
        <w:ilvl w:val="0"/>
        <w:numId w:val="0"/>
      </w:numPr>
      <w:tabs>
        <w:tab w:val="left" w:pos="0"/>
      </w:tabs>
      <w:spacing w:before="260" w:beforeLines="100" w:line="520" w:lineRule="exact"/>
      <w:jc w:val="left"/>
    </w:pPr>
    <w:rPr>
      <w:rFonts w:ascii="宋体" w:hAnsi="宋体" w:eastAsia="宋体" w:cs="宋体"/>
      <w:bCs w:val="0"/>
      <w:smallCaps/>
      <w:kern w:val="0"/>
      <w:sz w:val="30"/>
      <w:szCs w:val="20"/>
      <w:lang w:val="zh-CN"/>
    </w:rPr>
  </w:style>
  <w:style w:type="paragraph" w:customStyle="1" w:styleId="2904">
    <w:name w:val="样式 标题 2标题 21标题 121 + Times New Roman 小三 段前: 0 磅 段后: 0 磅 行..."/>
    <w:basedOn w:val="4"/>
    <w:autoRedefine/>
    <w:qFormat/>
    <w:uiPriority w:val="99"/>
    <w:pPr>
      <w:keepNext w:val="0"/>
      <w:keepLines w:val="0"/>
      <w:widowControl/>
      <w:numPr>
        <w:ilvl w:val="0"/>
        <w:numId w:val="0"/>
      </w:numPr>
      <w:tabs>
        <w:tab w:val="left" w:pos="1058"/>
      </w:tabs>
      <w:spacing w:line="500" w:lineRule="exact"/>
      <w:ind w:left="1058" w:hanging="576"/>
      <w:jc w:val="left"/>
    </w:pPr>
    <w:rPr>
      <w:rFonts w:cs="宋体"/>
      <w:bCs w:val="0"/>
      <w:smallCaps/>
      <w:kern w:val="0"/>
      <w:sz w:val="30"/>
      <w:szCs w:val="20"/>
    </w:rPr>
  </w:style>
  <w:style w:type="paragraph" w:customStyle="1" w:styleId="2905">
    <w:name w:val="样式 段落样式 + (西文) 宋体 小四 黑色 Char"/>
    <w:basedOn w:val="2459"/>
    <w:autoRedefine/>
    <w:qFormat/>
    <w:uiPriority w:val="0"/>
    <w:pPr>
      <w:spacing w:line="480" w:lineRule="atLeast"/>
    </w:pPr>
    <w:rPr>
      <w:kern w:val="24"/>
      <w:szCs w:val="21"/>
    </w:rPr>
  </w:style>
  <w:style w:type="paragraph" w:customStyle="1" w:styleId="2906">
    <w:name w:val="Char Char Char2 Char"/>
    <w:basedOn w:val="1"/>
    <w:autoRedefine/>
    <w:uiPriority w:val="0"/>
    <w:pPr>
      <w:widowControl/>
      <w:spacing w:line="360" w:lineRule="auto"/>
      <w:jc w:val="left"/>
    </w:pPr>
    <w:rPr>
      <w:rFonts w:ascii="宋体" w:hAnsi="宋体" w:cs="宋体"/>
      <w:kern w:val="0"/>
    </w:rPr>
  </w:style>
  <w:style w:type="paragraph" w:customStyle="1" w:styleId="2907">
    <w:name w:val="正文修改样式"/>
    <w:basedOn w:val="70"/>
    <w:qFormat/>
    <w:uiPriority w:val="99"/>
    <w:pPr>
      <w:widowControl/>
      <w:spacing w:beforeLines="50" w:afterLines="50" w:line="360" w:lineRule="auto"/>
      <w:ind w:firstLine="480" w:firstLineChars="200"/>
      <w:jc w:val="left"/>
    </w:pPr>
    <w:rPr>
      <w:rFonts w:hAnsi="宋体" w:eastAsia="等线" w:cstheme="majorBidi"/>
      <w:color w:val="000000"/>
      <w:kern w:val="0"/>
      <w:szCs w:val="21"/>
    </w:rPr>
  </w:style>
  <w:style w:type="paragraph" w:customStyle="1" w:styleId="2908">
    <w:name w:val="样式 仿宋_GB2312 四号 首行缩进:  1 厘米 行距: 最小值 21 磅"/>
    <w:basedOn w:val="1"/>
    <w:autoRedefine/>
    <w:qFormat/>
    <w:uiPriority w:val="0"/>
    <w:pPr>
      <w:widowControl/>
      <w:spacing w:line="420" w:lineRule="atLeast"/>
      <w:ind w:firstLine="567"/>
      <w:jc w:val="left"/>
    </w:pPr>
    <w:rPr>
      <w:rFonts w:ascii="仿宋_GB2312" w:cs="宋体"/>
      <w:kern w:val="0"/>
      <w:sz w:val="28"/>
      <w:szCs w:val="20"/>
    </w:rPr>
  </w:style>
  <w:style w:type="paragraph" w:customStyle="1" w:styleId="2909">
    <w:name w:val="标题2+黑体+四"/>
    <w:basedOn w:val="4"/>
    <w:autoRedefine/>
    <w:qFormat/>
    <w:uiPriority w:val="0"/>
    <w:pPr>
      <w:keepNext w:val="0"/>
      <w:keepLines w:val="0"/>
      <w:widowControl/>
      <w:numPr>
        <w:ilvl w:val="0"/>
        <w:numId w:val="0"/>
      </w:numPr>
      <w:adjustRightInd w:val="0"/>
      <w:spacing w:before="100" w:after="100"/>
      <w:jc w:val="left"/>
      <w:textAlignment w:val="baseline"/>
    </w:pPr>
    <w:rPr>
      <w:rFonts w:ascii="黑体"/>
      <w:b w:val="0"/>
      <w:smallCaps/>
      <w:kern w:val="0"/>
      <w:sz w:val="28"/>
      <w:szCs w:val="28"/>
    </w:rPr>
  </w:style>
  <w:style w:type="paragraph" w:customStyle="1" w:styleId="2910">
    <w:name w:val="圆点"/>
    <w:autoRedefine/>
    <w:qFormat/>
    <w:uiPriority w:val="0"/>
    <w:pPr>
      <w:tabs>
        <w:tab w:val="left" w:pos="1242"/>
      </w:tabs>
      <w:snapToGrid w:val="0"/>
      <w:spacing w:line="360" w:lineRule="auto"/>
    </w:pPr>
    <w:rPr>
      <w:rFonts w:ascii="宋体" w:hAnsi="宋体" w:eastAsiaTheme="majorEastAsia" w:cstheme="majorBidi"/>
      <w:snapToGrid w:val="0"/>
      <w:color w:val="000000"/>
      <w:sz w:val="24"/>
      <w:szCs w:val="22"/>
      <w:lang w:val="en-US" w:eastAsia="zh-CN" w:bidi="ar-SA"/>
    </w:rPr>
  </w:style>
  <w:style w:type="paragraph" w:customStyle="1" w:styleId="2911">
    <w:name w:val="標準（日本語）"/>
    <w:basedOn w:val="1"/>
    <w:autoRedefine/>
    <w:uiPriority w:val="0"/>
    <w:pPr>
      <w:widowControl/>
      <w:overflowPunct w:val="0"/>
      <w:adjustRightInd w:val="0"/>
      <w:spacing w:afterLines="50" w:line="360" w:lineRule="auto"/>
      <w:ind w:firstLine="465"/>
      <w:jc w:val="left"/>
    </w:pPr>
    <w:rPr>
      <w:rFonts w:eastAsia="MS Mincho" w:cstheme="majorBidi"/>
      <w:kern w:val="0"/>
      <w:szCs w:val="20"/>
      <w:lang w:eastAsia="ja-JP"/>
    </w:rPr>
  </w:style>
  <w:style w:type="paragraph" w:customStyle="1" w:styleId="2912">
    <w:name w:val="a"/>
    <w:basedOn w:val="1"/>
    <w:uiPriority w:val="99"/>
    <w:pPr>
      <w:widowControl/>
      <w:spacing w:before="100" w:beforeAutospacing="1" w:after="100" w:afterAutospacing="1" w:line="360" w:lineRule="auto"/>
      <w:jc w:val="left"/>
    </w:pPr>
    <w:rPr>
      <w:rFonts w:ascii="ˎ̥" w:hAnsi="ˎ̥" w:cs="宋体"/>
      <w:kern w:val="0"/>
    </w:rPr>
  </w:style>
  <w:style w:type="paragraph" w:customStyle="1" w:styleId="2913">
    <w:name w:val="表格001"/>
    <w:basedOn w:val="1"/>
    <w:autoRedefine/>
    <w:qFormat/>
    <w:uiPriority w:val="0"/>
    <w:pPr>
      <w:widowControl/>
      <w:spacing w:line="360" w:lineRule="auto"/>
      <w:jc w:val="center"/>
    </w:pPr>
    <w:rPr>
      <w:rFonts w:cstheme="majorBidi"/>
      <w:kern w:val="0"/>
      <w:szCs w:val="20"/>
    </w:rPr>
  </w:style>
  <w:style w:type="paragraph" w:customStyle="1" w:styleId="2914">
    <w:name w:val="正文 + 居中"/>
    <w:basedOn w:val="1"/>
    <w:autoRedefine/>
    <w:qFormat/>
    <w:uiPriority w:val="0"/>
    <w:pPr>
      <w:widowControl/>
      <w:spacing w:line="320" w:lineRule="exact"/>
      <w:jc w:val="center"/>
    </w:pPr>
    <w:rPr>
      <w:rFonts w:cstheme="majorBidi"/>
      <w:kern w:val="0"/>
    </w:rPr>
  </w:style>
  <w:style w:type="paragraph" w:customStyle="1" w:styleId="2915">
    <w:name w:val="样式70"/>
    <w:basedOn w:val="55"/>
    <w:link w:val="2916"/>
    <w:qFormat/>
    <w:uiPriority w:val="0"/>
    <w:pPr>
      <w:widowControl/>
      <w:pBdr>
        <w:top w:val="single" w:color="auto" w:sz="4" w:space="1"/>
      </w:pBdr>
      <w:tabs>
        <w:tab w:val="left" w:pos="1551"/>
        <w:tab w:val="center" w:pos="4535"/>
      </w:tabs>
      <w:spacing w:line="360" w:lineRule="auto"/>
      <w:ind w:firstLine="200" w:firstLineChars="200"/>
      <w:jc w:val="distribute"/>
    </w:pPr>
    <w:rPr>
      <w:rFonts w:ascii="等线" w:hAnsi="等线" w:cstheme="majorBidi"/>
      <w:kern w:val="0"/>
      <w:szCs w:val="22"/>
    </w:rPr>
  </w:style>
  <w:style w:type="character" w:customStyle="1" w:styleId="2916">
    <w:name w:val="样式70 Char"/>
    <w:link w:val="2915"/>
    <w:qFormat/>
    <w:uiPriority w:val="0"/>
    <w:rPr>
      <w:rFonts w:ascii="等线" w:hAnsi="等线" w:cstheme="majorBidi"/>
      <w:sz w:val="18"/>
      <w:szCs w:val="22"/>
    </w:rPr>
  </w:style>
  <w:style w:type="paragraph" w:customStyle="1" w:styleId="2917">
    <w:name w:val="样式114"/>
    <w:basedOn w:val="2918"/>
    <w:autoRedefine/>
    <w:qFormat/>
    <w:uiPriority w:val="0"/>
    <w:pPr>
      <w:keepNext/>
      <w:keepLines/>
      <w:tabs>
        <w:tab w:val="left" w:pos="900"/>
        <w:tab w:val="left" w:pos="992"/>
        <w:tab w:val="left" w:pos="1080"/>
      </w:tabs>
      <w:spacing w:beforeLines="0" w:after="156"/>
      <w:ind w:left="992" w:firstLine="0"/>
      <w:outlineLvl w:val="3"/>
    </w:pPr>
    <w:rPr>
      <w:rFonts w:ascii="宋体" w:hAnsi="宋体" w:eastAsia="宋体" w:cs="MS Sans Serif"/>
      <w:b w:val="0"/>
      <w:bCs/>
      <w:szCs w:val="28"/>
    </w:rPr>
  </w:style>
  <w:style w:type="paragraph" w:customStyle="1" w:styleId="2918">
    <w:name w:val="样式19"/>
    <w:basedOn w:val="21"/>
    <w:qFormat/>
    <w:uiPriority w:val="0"/>
    <w:pPr>
      <w:widowControl/>
      <w:spacing w:beforeLines="50" w:afterLines="50" w:line="360" w:lineRule="auto"/>
      <w:ind w:firstLine="480"/>
    </w:pPr>
    <w:rPr>
      <w:rFonts w:ascii="等线" w:hAnsi="等线" w:eastAsia="等线" w:cstheme="majorBidi"/>
      <w:kern w:val="0"/>
    </w:rPr>
  </w:style>
  <w:style w:type="paragraph" w:customStyle="1" w:styleId="2919">
    <w:name w:val="acee正文"/>
    <w:basedOn w:val="1"/>
    <w:autoRedefine/>
    <w:uiPriority w:val="99"/>
    <w:pPr>
      <w:widowControl/>
      <w:adjustRightInd w:val="0"/>
      <w:snapToGrid w:val="0"/>
      <w:spacing w:line="360" w:lineRule="auto"/>
      <w:ind w:firstLine="482"/>
      <w:jc w:val="left"/>
    </w:pPr>
    <w:rPr>
      <w:rFonts w:ascii="楷体_GB2312" w:hAnsi="宋体" w:eastAsia="仿宋_GB2312" w:cstheme="majorBidi"/>
      <w:b/>
      <w:kern w:val="0"/>
    </w:rPr>
  </w:style>
  <w:style w:type="paragraph" w:customStyle="1" w:styleId="2920">
    <w:name w:val="正文文本缩进 21"/>
    <w:basedOn w:val="1"/>
    <w:autoRedefine/>
    <w:qFormat/>
    <w:uiPriority w:val="0"/>
    <w:pPr>
      <w:widowControl/>
      <w:adjustRightInd w:val="0"/>
      <w:spacing w:line="360" w:lineRule="auto"/>
      <w:ind w:firstLine="560"/>
      <w:jc w:val="left"/>
      <w:textAlignment w:val="baseline"/>
    </w:pPr>
    <w:rPr>
      <w:rFonts w:cstheme="majorBidi"/>
      <w:kern w:val="0"/>
      <w:sz w:val="28"/>
      <w:szCs w:val="20"/>
    </w:rPr>
  </w:style>
  <w:style w:type="paragraph" w:customStyle="1" w:styleId="2921">
    <w:name w:val="正文（韶关规划）"/>
    <w:basedOn w:val="87"/>
    <w:qFormat/>
    <w:uiPriority w:val="0"/>
    <w:pPr>
      <w:widowControl/>
      <w:tabs>
        <w:tab w:val="left" w:pos="7996"/>
        <w:tab w:val="clear" w:pos="964"/>
        <w:tab w:val="clear" w:pos="1172"/>
      </w:tabs>
      <w:autoSpaceDE w:val="0"/>
      <w:autoSpaceDN w:val="0"/>
      <w:adjustRightInd w:val="0"/>
      <w:snapToGrid w:val="0"/>
      <w:spacing w:beforeLines="50" w:after="120" w:line="360" w:lineRule="auto"/>
      <w:ind w:left="0" w:firstLine="480" w:firstLineChars="200"/>
      <w:jc w:val="left"/>
    </w:pPr>
    <w:rPr>
      <w:rFonts w:ascii="Times New Roman" w:hAnsi="Times New Roman" w:eastAsia="方正宋三简体" w:cstheme="majorBidi"/>
      <w:color w:val="000000"/>
      <w:kern w:val="0"/>
      <w:sz w:val="24"/>
    </w:rPr>
  </w:style>
  <w:style w:type="paragraph" w:customStyle="1" w:styleId="2922">
    <w:name w:val="标题 3，第三标题"/>
    <w:basedOn w:val="1"/>
    <w:autoRedefine/>
    <w:semiHidden/>
    <w:qFormat/>
    <w:uiPriority w:val="0"/>
    <w:pPr>
      <w:widowControl/>
      <w:tabs>
        <w:tab w:val="left" w:pos="628"/>
        <w:tab w:val="left" w:pos="1727"/>
        <w:tab w:val="left" w:pos="1820"/>
        <w:tab w:val="left" w:pos="1884"/>
        <w:tab w:val="left" w:pos="2660"/>
        <w:tab w:val="left" w:pos="5460"/>
      </w:tabs>
      <w:snapToGrid w:val="0"/>
      <w:spacing w:beforeLines="50" w:afterLines="50" w:line="440" w:lineRule="exact"/>
      <w:ind w:left="1820" w:hanging="420"/>
      <w:jc w:val="left"/>
      <w:outlineLvl w:val="2"/>
    </w:pPr>
    <w:rPr>
      <w:rFonts w:eastAsia="黑体" w:cs="宋体"/>
      <w:kern w:val="0"/>
      <w:szCs w:val="20"/>
    </w:rPr>
  </w:style>
  <w:style w:type="paragraph" w:customStyle="1" w:styleId="2923">
    <w:name w:val="样式69"/>
    <w:basedOn w:val="1"/>
    <w:link w:val="2924"/>
    <w:autoRedefine/>
    <w:uiPriority w:val="0"/>
    <w:pPr>
      <w:widowControl/>
      <w:pBdr>
        <w:top w:val="single" w:color="auto" w:sz="4" w:space="1"/>
      </w:pBdr>
      <w:spacing w:line="360" w:lineRule="auto"/>
      <w:jc w:val="left"/>
    </w:pPr>
    <w:rPr>
      <w:rFonts w:ascii="宋体" w:hAnsi="宋体" w:cstheme="majorBidi"/>
      <w:kern w:val="0"/>
      <w:sz w:val="18"/>
      <w:szCs w:val="22"/>
    </w:rPr>
  </w:style>
  <w:style w:type="character" w:customStyle="1" w:styleId="2924">
    <w:name w:val="样式69 Char"/>
    <w:link w:val="2923"/>
    <w:autoRedefine/>
    <w:uiPriority w:val="0"/>
    <w:rPr>
      <w:rFonts w:ascii="宋体" w:hAnsi="宋体" w:cstheme="majorBidi"/>
      <w:sz w:val="18"/>
      <w:szCs w:val="22"/>
    </w:rPr>
  </w:style>
  <w:style w:type="paragraph" w:customStyle="1" w:styleId="2925">
    <w:name w:val="示例"/>
    <w:next w:val="21"/>
    <w:uiPriority w:val="0"/>
    <w:pPr>
      <w:tabs>
        <w:tab w:val="left" w:pos="816"/>
        <w:tab w:val="left" w:pos="840"/>
      </w:tabs>
      <w:spacing w:line="360" w:lineRule="auto"/>
      <w:ind w:left="840" w:firstLine="419" w:firstLineChars="233"/>
      <w:jc w:val="both"/>
    </w:pPr>
    <w:rPr>
      <w:rFonts w:ascii="宋体" w:hAnsi="Times New Roman" w:eastAsiaTheme="majorEastAsia" w:cstheme="majorBidi"/>
      <w:sz w:val="18"/>
      <w:szCs w:val="22"/>
      <w:lang w:val="en-US" w:eastAsia="zh-CN" w:bidi="ar-SA"/>
    </w:rPr>
  </w:style>
  <w:style w:type="paragraph" w:customStyle="1" w:styleId="2926">
    <w:name w:val="Char1 Char Char Char Char Char Char2 Char Char Char Char Char Char"/>
    <w:basedOn w:val="1"/>
    <w:autoRedefine/>
    <w:qFormat/>
    <w:uiPriority w:val="0"/>
    <w:pPr>
      <w:widowControl/>
      <w:spacing w:line="360" w:lineRule="auto"/>
      <w:jc w:val="left"/>
    </w:pPr>
    <w:rPr>
      <w:rFonts w:cstheme="majorBidi"/>
      <w:kern w:val="0"/>
    </w:rPr>
  </w:style>
  <w:style w:type="paragraph" w:customStyle="1" w:styleId="2927">
    <w:name w:val="CM103"/>
    <w:basedOn w:val="179"/>
    <w:next w:val="179"/>
    <w:autoRedefine/>
    <w:qFormat/>
    <w:uiPriority w:val="99"/>
    <w:pPr>
      <w:spacing w:after="288" w:line="360" w:lineRule="auto"/>
    </w:pPr>
    <w:rPr>
      <w:rFonts w:ascii="黑体" w:eastAsia="黑体" w:cs="黑体"/>
      <w:color w:val="auto"/>
    </w:rPr>
  </w:style>
  <w:style w:type="paragraph" w:customStyle="1" w:styleId="2928">
    <w:name w:val="GH1文本_04段落文字 + 左侧:  6 字符 悬挂缩进: 6 字符 + 左侧:  6 字符 + 左侧..."/>
    <w:autoRedefine/>
    <w:qFormat/>
    <w:uiPriority w:val="99"/>
    <w:pPr>
      <w:widowControl w:val="0"/>
      <w:spacing w:line="360" w:lineRule="auto"/>
      <w:ind w:left="839" w:firstLine="482"/>
    </w:pPr>
    <w:rPr>
      <w:rFonts w:ascii="Times New Roman" w:hAnsi="Times New Roman" w:cs="宋体" w:eastAsiaTheme="majorEastAsia"/>
      <w:kern w:val="2"/>
      <w:sz w:val="24"/>
      <w:szCs w:val="22"/>
      <w:lang w:val="en-US" w:eastAsia="zh-CN" w:bidi="ar-SA"/>
    </w:rPr>
  </w:style>
  <w:style w:type="paragraph" w:customStyle="1" w:styleId="2929">
    <w:name w:val="正文999"/>
    <w:basedOn w:val="1"/>
    <w:qFormat/>
    <w:uiPriority w:val="0"/>
    <w:pPr>
      <w:widowControl/>
      <w:spacing w:line="360" w:lineRule="auto"/>
      <w:ind w:firstLine="480"/>
      <w:jc w:val="left"/>
    </w:pPr>
    <w:rPr>
      <w:rFonts w:ascii="宋体" w:hAnsi="宋体" w:cstheme="majorBidi"/>
      <w:kern w:val="0"/>
    </w:rPr>
  </w:style>
  <w:style w:type="paragraph" w:customStyle="1" w:styleId="2930">
    <w:name w:val="正文缩进2"/>
    <w:basedOn w:val="1"/>
    <w:next w:val="45"/>
    <w:autoRedefine/>
    <w:uiPriority w:val="0"/>
    <w:pPr>
      <w:widowControl/>
      <w:spacing w:line="360" w:lineRule="auto"/>
      <w:ind w:left="280" w:firstLine="590"/>
      <w:jc w:val="right"/>
    </w:pPr>
    <w:rPr>
      <w:rFonts w:cstheme="majorBidi"/>
      <w:kern w:val="0"/>
      <w:sz w:val="28"/>
      <w:szCs w:val="20"/>
    </w:rPr>
  </w:style>
  <w:style w:type="paragraph" w:customStyle="1" w:styleId="2931">
    <w:name w:val="List Paragraph1"/>
    <w:basedOn w:val="1"/>
    <w:autoRedefine/>
    <w:qFormat/>
    <w:uiPriority w:val="99"/>
    <w:pPr>
      <w:widowControl/>
      <w:spacing w:line="360" w:lineRule="auto"/>
      <w:ind w:firstLine="420"/>
      <w:jc w:val="left"/>
    </w:pPr>
    <w:rPr>
      <w:rFonts w:cstheme="majorBidi"/>
      <w:kern w:val="0"/>
      <w:szCs w:val="21"/>
    </w:rPr>
  </w:style>
  <w:style w:type="paragraph" w:customStyle="1" w:styleId="2932">
    <w:name w:val="环评标题3"/>
    <w:basedOn w:val="3"/>
    <w:uiPriority w:val="0"/>
    <w:pPr>
      <w:keepNext w:val="0"/>
      <w:widowControl/>
      <w:numPr>
        <w:numId w:val="0"/>
      </w:numPr>
      <w:tabs>
        <w:tab w:val="clear" w:pos="0"/>
      </w:tabs>
      <w:spacing w:line="360" w:lineRule="auto"/>
      <w:contextualSpacing/>
      <w:jc w:val="left"/>
      <w:outlineLvl w:val="2"/>
    </w:pPr>
    <w:rPr>
      <w:rFonts w:eastAsia="宋体" w:cstheme="majorBidi"/>
      <w:smallCaps/>
      <w:spacing w:val="-16"/>
      <w:kern w:val="0"/>
      <w:sz w:val="28"/>
      <w:szCs w:val="30"/>
    </w:rPr>
  </w:style>
  <w:style w:type="paragraph" w:customStyle="1" w:styleId="2933">
    <w:name w:val="aa表名"/>
    <w:basedOn w:val="2764"/>
    <w:autoRedefine/>
    <w:uiPriority w:val="0"/>
    <w:pPr>
      <w:spacing w:beforeLines="50"/>
    </w:pPr>
    <w:rPr>
      <w:rFonts w:ascii="等线" w:hAnsi="等线" w:eastAsia="等线"/>
    </w:rPr>
  </w:style>
  <w:style w:type="paragraph" w:customStyle="1" w:styleId="2934">
    <w:name w:val="样式116"/>
    <w:basedOn w:val="1"/>
    <w:autoRedefine/>
    <w:qFormat/>
    <w:uiPriority w:val="0"/>
    <w:pPr>
      <w:widowControl/>
      <w:overflowPunct w:val="0"/>
      <w:autoSpaceDE w:val="0"/>
      <w:autoSpaceDN w:val="0"/>
      <w:adjustRightInd w:val="0"/>
      <w:spacing w:beforeLines="50" w:afterLines="10" w:line="360" w:lineRule="auto"/>
      <w:jc w:val="center"/>
      <w:textAlignment w:val="bottom"/>
    </w:pPr>
    <w:rPr>
      <w:rFonts w:ascii="黑体" w:cstheme="majorBidi"/>
      <w:b/>
      <w:color w:val="000000"/>
      <w:kern w:val="0"/>
      <w:szCs w:val="21"/>
      <w:lang w:val="zh-CN"/>
    </w:rPr>
  </w:style>
  <w:style w:type="paragraph" w:customStyle="1" w:styleId="2935">
    <w:name w:val="GH1_09表格文字"/>
    <w:autoRedefine/>
    <w:qFormat/>
    <w:uiPriority w:val="99"/>
    <w:pPr>
      <w:spacing w:line="360" w:lineRule="auto"/>
      <w:outlineLvl w:val="8"/>
    </w:pPr>
    <w:rPr>
      <w:rFonts w:ascii="Times New Roman" w:hAnsi="Times New Roman" w:eastAsiaTheme="majorEastAsia" w:cstheme="majorBidi"/>
      <w:kern w:val="2"/>
      <w:sz w:val="21"/>
      <w:szCs w:val="24"/>
      <w:lang w:val="en-US" w:eastAsia="zh-CN" w:bidi="ar-SA"/>
    </w:rPr>
  </w:style>
  <w:style w:type="paragraph" w:customStyle="1" w:styleId="2936">
    <w:name w:val="二号标题样式"/>
    <w:basedOn w:val="1"/>
    <w:link w:val="2937"/>
    <w:autoRedefine/>
    <w:qFormat/>
    <w:uiPriority w:val="0"/>
    <w:pPr>
      <w:keepNext/>
      <w:keepLines/>
      <w:widowControl/>
      <w:spacing w:beforeLines="50" w:afterLines="50" w:line="520" w:lineRule="exact"/>
      <w:jc w:val="left"/>
      <w:outlineLvl w:val="2"/>
    </w:pPr>
    <w:rPr>
      <w:rFonts w:ascii="Arial" w:hAnsi="Arial" w:eastAsia="黑体" w:cs="宋体"/>
      <w:kern w:val="0"/>
      <w:sz w:val="28"/>
      <w:szCs w:val="20"/>
    </w:rPr>
  </w:style>
  <w:style w:type="character" w:customStyle="1" w:styleId="2937">
    <w:name w:val="二号标题样式 Char"/>
    <w:link w:val="2936"/>
    <w:qFormat/>
    <w:uiPriority w:val="0"/>
    <w:rPr>
      <w:rFonts w:ascii="Arial" w:hAnsi="Arial" w:eastAsia="黑体" w:cs="宋体"/>
      <w:sz w:val="28"/>
    </w:rPr>
  </w:style>
  <w:style w:type="paragraph" w:customStyle="1" w:styleId="2938">
    <w:name w:val="样式 左侧:  0 厘米 悬挂缩进: 5.96 字符 行距: 固定值 28 磅"/>
    <w:basedOn w:val="1"/>
    <w:autoRedefine/>
    <w:qFormat/>
    <w:uiPriority w:val="0"/>
    <w:pPr>
      <w:widowControl/>
      <w:spacing w:line="500" w:lineRule="exact"/>
      <w:jc w:val="left"/>
    </w:pPr>
    <w:rPr>
      <w:rFonts w:ascii="宋体" w:hAnsi="宋体" w:cs="宋体"/>
      <w:kern w:val="0"/>
      <w:sz w:val="28"/>
      <w:szCs w:val="20"/>
    </w:rPr>
  </w:style>
  <w:style w:type="paragraph" w:customStyle="1" w:styleId="2939">
    <w:name w:val="正文 + 宋体"/>
    <w:basedOn w:val="1"/>
    <w:qFormat/>
    <w:uiPriority w:val="0"/>
    <w:pPr>
      <w:widowControl/>
      <w:spacing w:line="360" w:lineRule="auto"/>
      <w:ind w:firstLine="420"/>
      <w:jc w:val="left"/>
    </w:pPr>
    <w:rPr>
      <w:rFonts w:ascii="宋体" w:hAnsi="宋体" w:cstheme="majorBidi"/>
      <w:kern w:val="0"/>
    </w:rPr>
  </w:style>
  <w:style w:type="paragraph" w:customStyle="1" w:styleId="2940">
    <w:name w:val="学校论文正文"/>
    <w:basedOn w:val="1"/>
    <w:autoRedefine/>
    <w:uiPriority w:val="0"/>
    <w:pPr>
      <w:widowControl/>
      <w:spacing w:line="400" w:lineRule="exact"/>
      <w:jc w:val="left"/>
    </w:pPr>
    <w:rPr>
      <w:rFonts w:cstheme="majorBidi"/>
      <w:bCs/>
      <w:kern w:val="0"/>
    </w:rPr>
  </w:style>
  <w:style w:type="paragraph" w:customStyle="1" w:styleId="2941">
    <w:name w:val="表内"/>
    <w:basedOn w:val="1645"/>
    <w:autoRedefine/>
    <w:qFormat/>
    <w:uiPriority w:val="0"/>
    <w:pPr>
      <w:spacing w:line="240" w:lineRule="auto"/>
      <w:ind w:firstLine="0"/>
      <w:jc w:val="center"/>
    </w:pPr>
    <w:rPr>
      <w:rFonts w:ascii="Cambria" w:hAnsi="Cambria" w:eastAsia="黑体" w:cstheme="majorBidi"/>
      <w:bCs/>
      <w:iCs/>
      <w:smallCaps/>
      <w:spacing w:val="5"/>
      <w:sz w:val="21"/>
    </w:rPr>
  </w:style>
  <w:style w:type="paragraph" w:customStyle="1" w:styleId="2942">
    <w:name w:val="附录表标题"/>
    <w:next w:val="21"/>
    <w:autoRedefine/>
    <w:uiPriority w:val="0"/>
    <w:pPr>
      <w:tabs>
        <w:tab w:val="left" w:pos="360"/>
      </w:tabs>
      <w:spacing w:line="360" w:lineRule="auto"/>
      <w:jc w:val="center"/>
      <w:textAlignment w:val="baseline"/>
    </w:pPr>
    <w:rPr>
      <w:rFonts w:ascii="黑体" w:hAnsi="Times New Roman" w:eastAsia="黑体" w:cstheme="majorBidi"/>
      <w:kern w:val="21"/>
      <w:sz w:val="21"/>
      <w:szCs w:val="22"/>
      <w:lang w:val="en-US" w:eastAsia="zh-CN" w:bidi="ar-SA"/>
    </w:rPr>
  </w:style>
  <w:style w:type="paragraph" w:customStyle="1" w:styleId="2943">
    <w:name w:val="样式 标题 3a标题 3标题 13标题 3 Char1 Char Char Char标题 31ReHead 3 WS...2"/>
    <w:basedOn w:val="5"/>
    <w:autoRedefine/>
    <w:qFormat/>
    <w:uiPriority w:val="0"/>
    <w:pPr>
      <w:keepNext w:val="0"/>
      <w:keepLines w:val="0"/>
      <w:widowControl/>
      <w:numPr>
        <w:ilvl w:val="0"/>
        <w:numId w:val="0"/>
      </w:numPr>
      <w:tabs>
        <w:tab w:val="left" w:pos="825"/>
      </w:tabs>
      <w:adjustRightInd w:val="0"/>
      <w:snapToGrid w:val="0"/>
      <w:spacing w:before="120" w:after="120" w:line="360" w:lineRule="auto"/>
      <w:ind w:left="825" w:hanging="720"/>
      <w:jc w:val="left"/>
    </w:pPr>
    <w:rPr>
      <w:rFonts w:ascii="黑体" w:hAnsi="黑体" w:cstheme="majorBidi"/>
      <w:b w:val="0"/>
      <w:iCs/>
      <w:smallCaps/>
      <w:spacing w:val="5"/>
      <w:kern w:val="0"/>
      <w:sz w:val="24"/>
    </w:rPr>
  </w:style>
  <w:style w:type="paragraph" w:customStyle="1" w:styleId="2944">
    <w:name w:val="重点句1"/>
    <w:basedOn w:val="1"/>
    <w:autoRedefine/>
    <w:qFormat/>
    <w:uiPriority w:val="0"/>
    <w:pPr>
      <w:widowControl/>
      <w:spacing w:after="240" w:line="440" w:lineRule="exact"/>
      <w:ind w:firstLine="480"/>
      <w:jc w:val="left"/>
    </w:pPr>
    <w:rPr>
      <w:rFonts w:ascii="黑体" w:hAnsi="宋体" w:eastAsia="华文中宋" w:cs="宋体"/>
      <w:b/>
      <w:bCs/>
      <w:kern w:val="0"/>
      <w:szCs w:val="20"/>
    </w:rPr>
  </w:style>
  <w:style w:type="paragraph" w:customStyle="1" w:styleId="2945">
    <w:name w:val="报告标题3"/>
    <w:basedOn w:val="5"/>
    <w:autoRedefine/>
    <w:qFormat/>
    <w:uiPriority w:val="0"/>
    <w:pPr>
      <w:keepNext w:val="0"/>
      <w:keepLines w:val="0"/>
      <w:widowControl/>
      <w:numPr>
        <w:ilvl w:val="0"/>
        <w:numId w:val="0"/>
      </w:numPr>
      <w:tabs>
        <w:tab w:val="left" w:pos="0"/>
      </w:tabs>
      <w:adjustRightInd w:val="0"/>
      <w:snapToGrid w:val="0"/>
      <w:spacing w:line="360" w:lineRule="auto"/>
      <w:jc w:val="left"/>
    </w:pPr>
    <w:rPr>
      <w:rFonts w:ascii="Arial" w:hAnsi="Arial" w:cstheme="majorBidi"/>
      <w:b w:val="0"/>
      <w:iCs/>
      <w:smallCaps/>
      <w:color w:val="000000"/>
      <w:spacing w:val="5"/>
      <w:kern w:val="0"/>
      <w:sz w:val="24"/>
    </w:rPr>
  </w:style>
  <w:style w:type="paragraph" w:customStyle="1" w:styleId="2946">
    <w:name w:val="标题 1YHY"/>
    <w:basedOn w:val="3"/>
    <w:qFormat/>
    <w:uiPriority w:val="0"/>
    <w:pPr>
      <w:keepNext w:val="0"/>
      <w:widowControl/>
      <w:numPr>
        <w:numId w:val="0"/>
      </w:numPr>
      <w:tabs>
        <w:tab w:val="clear" w:pos="0"/>
      </w:tabs>
      <w:spacing w:before="340" w:beforeLines="50" w:after="330" w:afterLines="50" w:line="360" w:lineRule="auto"/>
      <w:contextualSpacing/>
      <w:jc w:val="left"/>
    </w:pPr>
    <w:rPr>
      <w:rFonts w:cs="宋体"/>
      <w:bCs/>
      <w:smallCaps/>
      <w:color w:val="000000"/>
      <w:spacing w:val="5"/>
      <w:kern w:val="0"/>
      <w:sz w:val="30"/>
      <w:szCs w:val="30"/>
    </w:rPr>
  </w:style>
  <w:style w:type="paragraph" w:customStyle="1" w:styleId="2947">
    <w:name w:val="headlines"/>
    <w:basedOn w:val="1"/>
    <w:autoRedefine/>
    <w:qFormat/>
    <w:uiPriority w:val="99"/>
    <w:pPr>
      <w:widowControl/>
      <w:spacing w:before="100" w:beforeAutospacing="1" w:after="100" w:afterAutospacing="1" w:line="360" w:lineRule="auto"/>
      <w:jc w:val="center"/>
    </w:pPr>
    <w:rPr>
      <w:rFonts w:ascii="等线" w:hAnsi="等线" w:cstheme="majorBidi"/>
      <w:color w:val="FF0000"/>
      <w:kern w:val="0"/>
      <w:sz w:val="36"/>
      <w:szCs w:val="36"/>
    </w:rPr>
  </w:style>
  <w:style w:type="paragraph" w:customStyle="1" w:styleId="2948">
    <w:name w:val="样式118"/>
    <w:basedOn w:val="269"/>
    <w:autoRedefine/>
    <w:qFormat/>
    <w:uiPriority w:val="0"/>
    <w:pPr>
      <w:keepLines/>
      <w:widowControl/>
      <w:tabs>
        <w:tab w:val="clear" w:pos="0"/>
      </w:tabs>
      <w:spacing w:beforeLines="50" w:afterLines="50" w:line="360" w:lineRule="auto"/>
      <w:ind w:firstLine="200" w:firstLineChars="200"/>
      <w:jc w:val="both"/>
    </w:pPr>
    <w:rPr>
      <w:rFonts w:ascii="Calibri" w:hAnsi="Calibri" w:cstheme="majorBidi"/>
      <w:bCs w:val="0"/>
      <w:color w:val="000000"/>
    </w:rPr>
  </w:style>
  <w:style w:type="paragraph" w:customStyle="1" w:styleId="2949">
    <w:name w:val="标题2YHY"/>
    <w:basedOn w:val="4"/>
    <w:next w:val="5"/>
    <w:autoRedefine/>
    <w:qFormat/>
    <w:uiPriority w:val="0"/>
    <w:pPr>
      <w:keepNext w:val="0"/>
      <w:keepLines w:val="0"/>
      <w:widowControl/>
      <w:numPr>
        <w:ilvl w:val="0"/>
        <w:numId w:val="0"/>
      </w:numPr>
      <w:spacing w:before="260" w:beforeLines="50" w:after="260" w:afterLines="50"/>
      <w:jc w:val="left"/>
    </w:pPr>
    <w:rPr>
      <w:rFonts w:cs="宋体"/>
      <w:bCs w:val="0"/>
      <w:smallCaps/>
      <w:kern w:val="0"/>
      <w:sz w:val="28"/>
      <w:szCs w:val="28"/>
    </w:rPr>
  </w:style>
  <w:style w:type="paragraph" w:customStyle="1" w:styleId="2950">
    <w:name w:val="样式 标题 5 + 居中 段前: 0 磅 段后: 0 磅 行距: 1.5 倍行距"/>
    <w:basedOn w:val="7"/>
    <w:autoRedefine/>
    <w:uiPriority w:val="0"/>
    <w:pPr>
      <w:keepNext w:val="0"/>
      <w:keepLines w:val="0"/>
      <w:widowControl/>
      <w:numPr>
        <w:ilvl w:val="0"/>
        <w:numId w:val="0"/>
      </w:numPr>
      <w:tabs>
        <w:tab w:val="clear" w:pos="360"/>
      </w:tabs>
      <w:snapToGrid/>
      <w:spacing w:line="500" w:lineRule="exact"/>
    </w:pPr>
    <w:rPr>
      <w:rFonts w:cs="宋体"/>
      <w:iCs/>
      <w:kern w:val="0"/>
      <w:szCs w:val="20"/>
    </w:rPr>
  </w:style>
  <w:style w:type="paragraph" w:customStyle="1" w:styleId="2951">
    <w:name w:val="封面文字"/>
    <w:basedOn w:val="1"/>
    <w:autoRedefine/>
    <w:qFormat/>
    <w:uiPriority w:val="99"/>
    <w:pPr>
      <w:widowControl/>
      <w:spacing w:before="100" w:beforeAutospacing="1" w:line="360" w:lineRule="auto"/>
      <w:jc w:val="center"/>
    </w:pPr>
    <w:rPr>
      <w:rFonts w:ascii="仿宋_GB2312" w:eastAsia="仿宋_GB2312" w:cstheme="majorBidi"/>
      <w:b/>
      <w:kern w:val="0"/>
      <w:sz w:val="48"/>
    </w:rPr>
  </w:style>
  <w:style w:type="paragraph" w:customStyle="1" w:styleId="2952">
    <w:name w:val="acee01"/>
    <w:basedOn w:val="1"/>
    <w:qFormat/>
    <w:uiPriority w:val="0"/>
    <w:pPr>
      <w:widowControl/>
      <w:spacing w:line="480" w:lineRule="exact"/>
      <w:jc w:val="left"/>
      <w:outlineLvl w:val="0"/>
    </w:pPr>
    <w:rPr>
      <w:rFonts w:cstheme="majorBidi"/>
      <w:b/>
      <w:kern w:val="0"/>
    </w:rPr>
  </w:style>
  <w:style w:type="paragraph" w:customStyle="1" w:styleId="2953">
    <w:name w:val="CM90"/>
    <w:basedOn w:val="179"/>
    <w:next w:val="179"/>
    <w:qFormat/>
    <w:uiPriority w:val="99"/>
    <w:pPr>
      <w:spacing w:line="360" w:lineRule="auto"/>
    </w:pPr>
    <w:rPr>
      <w:rFonts w:ascii="黑体" w:eastAsia="黑体" w:cs="Times New Roman"/>
      <w:color w:val="auto"/>
    </w:rPr>
  </w:style>
  <w:style w:type="paragraph" w:customStyle="1" w:styleId="2954">
    <w:name w:val="标题附件2"/>
    <w:basedOn w:val="35"/>
    <w:autoRedefine/>
    <w:qFormat/>
    <w:uiPriority w:val="0"/>
    <w:pPr>
      <w:widowControl/>
      <w:spacing w:beforeLines="50" w:afterLines="50" w:line="240" w:lineRule="auto"/>
      <w:ind w:firstLine="171" w:firstLineChars="171"/>
      <w:jc w:val="left"/>
    </w:pPr>
    <w:rPr>
      <w:rFonts w:ascii="Times New Roman" w:hAnsi="Times New Roman" w:eastAsia="黑体" w:cstheme="majorBidi"/>
      <w:kern w:val="0"/>
      <w:sz w:val="28"/>
      <w:szCs w:val="20"/>
    </w:rPr>
  </w:style>
  <w:style w:type="paragraph" w:customStyle="1" w:styleId="2955">
    <w:name w:val="GB-条文"/>
    <w:autoRedefine/>
    <w:qFormat/>
    <w:uiPriority w:val="0"/>
    <w:pPr>
      <w:widowControl w:val="0"/>
      <w:adjustRightInd w:val="0"/>
      <w:snapToGrid w:val="0"/>
      <w:spacing w:line="360" w:lineRule="auto"/>
      <w:ind w:firstLine="420" w:firstLineChars="200"/>
      <w:jc w:val="both"/>
    </w:pPr>
    <w:rPr>
      <w:rFonts w:ascii="宋体" w:hAnsi="宋体" w:eastAsiaTheme="majorEastAsia" w:cstheme="majorBidi"/>
      <w:sz w:val="21"/>
      <w:szCs w:val="22"/>
      <w:lang w:val="en-US" w:eastAsia="zh-CN" w:bidi="ar-SA"/>
    </w:rPr>
  </w:style>
  <w:style w:type="paragraph" w:customStyle="1" w:styleId="2956">
    <w:name w:val="样式101"/>
    <w:basedOn w:val="1"/>
    <w:autoRedefine/>
    <w:semiHidden/>
    <w:uiPriority w:val="0"/>
    <w:pPr>
      <w:widowControl/>
      <w:spacing w:beforeLines="50" w:afterLines="50" w:line="480" w:lineRule="exact"/>
      <w:jc w:val="left"/>
    </w:pPr>
    <w:rPr>
      <w:rFonts w:cstheme="majorBidi"/>
      <w:b/>
      <w:kern w:val="0"/>
      <w:sz w:val="28"/>
    </w:rPr>
  </w:style>
  <w:style w:type="paragraph" w:customStyle="1" w:styleId="2957">
    <w:name w:val="特殊文字"/>
    <w:basedOn w:val="1"/>
    <w:autoRedefine/>
    <w:qFormat/>
    <w:uiPriority w:val="0"/>
    <w:pPr>
      <w:widowControl/>
      <w:overflowPunct w:val="0"/>
      <w:autoSpaceDE w:val="0"/>
      <w:autoSpaceDN w:val="0"/>
      <w:adjustRightInd w:val="0"/>
      <w:spacing w:line="360" w:lineRule="auto"/>
      <w:jc w:val="left"/>
      <w:textAlignment w:val="baseline"/>
    </w:pPr>
    <w:rPr>
      <w:rFonts w:eastAsia="仿宋_GB2312" w:cstheme="majorBidi"/>
      <w:kern w:val="0"/>
      <w:sz w:val="28"/>
      <w:szCs w:val="20"/>
    </w:rPr>
  </w:style>
  <w:style w:type="paragraph" w:customStyle="1" w:styleId="2958">
    <w:name w:val="样式 正文文字缩进 + 小四 首行缩进:  2 字符1"/>
    <w:basedOn w:val="35"/>
    <w:autoRedefine/>
    <w:qFormat/>
    <w:uiPriority w:val="0"/>
    <w:pPr>
      <w:widowControl/>
      <w:spacing w:afterLines="50" w:line="400" w:lineRule="exact"/>
      <w:ind w:firstLine="200" w:firstLineChars="200"/>
      <w:jc w:val="left"/>
    </w:pPr>
    <w:rPr>
      <w:rFonts w:ascii="Times New Roman" w:hAnsi="Times New Roman" w:eastAsia="华文楷体" w:cs="宋体"/>
      <w:kern w:val="0"/>
      <w:sz w:val="28"/>
      <w:szCs w:val="20"/>
    </w:rPr>
  </w:style>
  <w:style w:type="paragraph" w:customStyle="1" w:styleId="2959">
    <w:name w:val="环评标题1"/>
    <w:next w:val="2713"/>
    <w:autoRedefine/>
    <w:qFormat/>
    <w:uiPriority w:val="99"/>
    <w:pPr>
      <w:spacing w:beforeLines="100" w:afterLines="100" w:line="360" w:lineRule="auto"/>
      <w:outlineLvl w:val="0"/>
    </w:pPr>
    <w:rPr>
      <w:rFonts w:ascii="Times New Roman" w:hAnsi="Times New Roman" w:eastAsia="黑体" w:cstheme="majorBidi"/>
      <w:b/>
      <w:bCs/>
      <w:kern w:val="44"/>
      <w:sz w:val="32"/>
      <w:szCs w:val="30"/>
      <w:lang w:val="en-US" w:eastAsia="zh-CN" w:bidi="ar-SA"/>
    </w:rPr>
  </w:style>
  <w:style w:type="paragraph" w:customStyle="1" w:styleId="2960">
    <w:name w:val="表心"/>
    <w:basedOn w:val="1"/>
    <w:autoRedefine/>
    <w:qFormat/>
    <w:uiPriority w:val="99"/>
    <w:pPr>
      <w:widowControl/>
      <w:spacing w:line="360" w:lineRule="auto"/>
      <w:jc w:val="left"/>
    </w:pPr>
    <w:rPr>
      <w:rFonts w:cstheme="majorBidi"/>
      <w:color w:val="000000"/>
      <w:kern w:val="0"/>
      <w:szCs w:val="20"/>
    </w:rPr>
  </w:style>
  <w:style w:type="paragraph" w:customStyle="1" w:styleId="2961">
    <w:name w:val="二级无"/>
    <w:basedOn w:val="753"/>
    <w:qFormat/>
    <w:uiPriority w:val="0"/>
    <w:pPr>
      <w:numPr>
        <w:ilvl w:val="0"/>
        <w:numId w:val="0"/>
      </w:numPr>
      <w:spacing w:line="360" w:lineRule="auto"/>
      <w:ind w:left="540"/>
      <w:contextualSpacing/>
      <w:jc w:val="left"/>
    </w:pPr>
    <w:rPr>
      <w:rFonts w:ascii="宋体" w:eastAsia="宋体" w:cstheme="majorBidi"/>
      <w:bCs/>
      <w:smallCaps/>
      <w:spacing w:val="5"/>
      <w:szCs w:val="21"/>
    </w:rPr>
  </w:style>
  <w:style w:type="paragraph" w:customStyle="1" w:styleId="2962">
    <w:name w:val="样式 标题 2 + 首行缩进:  2 字符"/>
    <w:basedOn w:val="4"/>
    <w:qFormat/>
    <w:uiPriority w:val="0"/>
    <w:pPr>
      <w:keepNext w:val="0"/>
      <w:keepLines w:val="0"/>
      <w:widowControl/>
      <w:numPr>
        <w:ilvl w:val="0"/>
        <w:numId w:val="0"/>
      </w:numPr>
      <w:adjustRightInd w:val="0"/>
      <w:snapToGrid w:val="0"/>
      <w:spacing w:before="260" w:beforeLines="50" w:after="260" w:afterLines="20"/>
      <w:jc w:val="left"/>
    </w:pPr>
    <w:rPr>
      <w:rFonts w:ascii="宋体" w:hAnsi="Arial" w:eastAsia="宋体"/>
      <w:b w:val="0"/>
      <w:smallCaps/>
      <w:spacing w:val="-10"/>
      <w:kern w:val="0"/>
      <w:sz w:val="28"/>
      <w:szCs w:val="28"/>
    </w:rPr>
  </w:style>
  <w:style w:type="paragraph" w:customStyle="1" w:styleId="2963">
    <w:name w:val="样式 样式 行距: 固定值 28 磅 + 首行缩进:  2.5 字符"/>
    <w:basedOn w:val="2840"/>
    <w:autoRedefine/>
    <w:qFormat/>
    <w:uiPriority w:val="0"/>
    <w:pPr>
      <w:spacing w:line="312" w:lineRule="auto"/>
    </w:pPr>
  </w:style>
  <w:style w:type="paragraph" w:customStyle="1" w:styleId="2964">
    <w:name w:val="表内5S"/>
    <w:basedOn w:val="1"/>
    <w:qFormat/>
    <w:uiPriority w:val="0"/>
    <w:pPr>
      <w:widowControl/>
      <w:spacing w:line="300" w:lineRule="exact"/>
      <w:jc w:val="left"/>
    </w:pPr>
    <w:rPr>
      <w:rFonts w:ascii="宋体" w:hAnsi="宋体" w:eastAsia="方正宋三简体" w:cstheme="majorBidi"/>
      <w:kern w:val="0"/>
      <w:szCs w:val="20"/>
    </w:rPr>
  </w:style>
  <w:style w:type="paragraph" w:customStyle="1" w:styleId="2965">
    <w:name w:val="样式 标题 3明阳3 + 行距: 固定值 12 磅"/>
    <w:basedOn w:val="5"/>
    <w:autoRedefine/>
    <w:qFormat/>
    <w:uiPriority w:val="0"/>
    <w:pPr>
      <w:keepNext w:val="0"/>
      <w:keepLines w:val="0"/>
      <w:widowControl/>
      <w:numPr>
        <w:ilvl w:val="0"/>
        <w:numId w:val="0"/>
      </w:numPr>
      <w:adjustRightInd w:val="0"/>
      <w:snapToGrid w:val="0"/>
      <w:spacing w:line="360" w:lineRule="auto"/>
      <w:jc w:val="left"/>
    </w:pPr>
    <w:rPr>
      <w:rFonts w:ascii="黑体" w:cs="宋体"/>
      <w:b w:val="0"/>
      <w:bCs w:val="0"/>
      <w:iCs/>
      <w:smallCaps/>
      <w:spacing w:val="5"/>
      <w:kern w:val="0"/>
      <w:sz w:val="28"/>
      <w:szCs w:val="20"/>
    </w:rPr>
  </w:style>
  <w:style w:type="paragraph" w:customStyle="1" w:styleId="2966">
    <w:name w:val="样式 标题 2H2h2heading 2+ Indent: Left 0.25 in二级节名1.1  heading..."/>
    <w:basedOn w:val="4"/>
    <w:autoRedefine/>
    <w:qFormat/>
    <w:uiPriority w:val="0"/>
    <w:pPr>
      <w:keepNext w:val="0"/>
      <w:keepLines w:val="0"/>
      <w:widowControl/>
      <w:numPr>
        <w:ilvl w:val="0"/>
        <w:numId w:val="0"/>
      </w:numPr>
      <w:tabs>
        <w:tab w:val="left" w:pos="0"/>
        <w:tab w:val="left" w:pos="420"/>
      </w:tabs>
      <w:spacing w:before="260" w:beforeLines="100" w:line="520" w:lineRule="exact"/>
      <w:jc w:val="left"/>
    </w:pPr>
    <w:rPr>
      <w:rFonts w:ascii="宋体" w:hAnsi="宋体" w:eastAsia="宋体" w:cs="宋体"/>
      <w:bCs w:val="0"/>
      <w:smallCaps/>
      <w:kern w:val="0"/>
      <w:sz w:val="30"/>
      <w:szCs w:val="20"/>
      <w:lang w:val="zh-CN"/>
    </w:rPr>
  </w:style>
  <w:style w:type="paragraph" w:customStyle="1" w:styleId="2967">
    <w:name w:val="declear1"/>
    <w:basedOn w:val="1"/>
    <w:autoRedefine/>
    <w:qFormat/>
    <w:uiPriority w:val="0"/>
    <w:pPr>
      <w:widowControl/>
      <w:spacing w:after="30" w:line="240" w:lineRule="atLeast"/>
      <w:jc w:val="left"/>
    </w:pPr>
    <w:rPr>
      <w:rFonts w:ascii="宋体" w:hAnsi="宋体" w:cs="宋体"/>
      <w:vanish/>
      <w:color w:val="999999"/>
      <w:kern w:val="0"/>
      <w:sz w:val="18"/>
      <w:szCs w:val="18"/>
    </w:rPr>
  </w:style>
  <w:style w:type="paragraph" w:customStyle="1" w:styleId="2968">
    <w:name w:val="方块流程"/>
    <w:basedOn w:val="1"/>
    <w:autoRedefine/>
    <w:qFormat/>
    <w:uiPriority w:val="0"/>
    <w:pPr>
      <w:widowControl/>
      <w:tabs>
        <w:tab w:val="left" w:pos="0"/>
      </w:tabs>
      <w:topLinePunct/>
      <w:adjustRightInd w:val="0"/>
      <w:snapToGrid w:val="0"/>
      <w:spacing w:line="360" w:lineRule="auto"/>
      <w:jc w:val="center"/>
      <w:textAlignment w:val="center"/>
    </w:pPr>
    <w:rPr>
      <w:rFonts w:cstheme="majorBidi"/>
      <w:color w:val="000000"/>
      <w:kern w:val="0"/>
      <w:szCs w:val="20"/>
    </w:rPr>
  </w:style>
  <w:style w:type="paragraph" w:customStyle="1" w:styleId="2969">
    <w:name w:val="图表内文字"/>
    <w:basedOn w:val="1"/>
    <w:autoRedefine/>
    <w:uiPriority w:val="0"/>
    <w:pPr>
      <w:widowControl/>
      <w:adjustRightInd w:val="0"/>
      <w:snapToGrid w:val="0"/>
      <w:spacing w:line="360" w:lineRule="auto"/>
      <w:jc w:val="left"/>
    </w:pPr>
    <w:rPr>
      <w:rFonts w:ascii="宋体" w:cstheme="majorBidi"/>
      <w:kern w:val="0"/>
    </w:rPr>
  </w:style>
  <w:style w:type="paragraph" w:customStyle="1" w:styleId="2970">
    <w:name w:val="芳标题3（大）"/>
    <w:basedOn w:val="1"/>
    <w:uiPriority w:val="0"/>
    <w:pPr>
      <w:widowControl/>
      <w:spacing w:line="360" w:lineRule="auto"/>
      <w:jc w:val="left"/>
    </w:pPr>
    <w:rPr>
      <w:rFonts w:ascii="Arial" w:hAnsi="Arial" w:eastAsia="黑体" w:cstheme="majorBidi"/>
      <w:kern w:val="0"/>
    </w:rPr>
  </w:style>
  <w:style w:type="paragraph" w:customStyle="1" w:styleId="2971">
    <w:name w:val="xl18"/>
    <w:basedOn w:val="1"/>
    <w:autoRedefine/>
    <w:qFormat/>
    <w:uiPriority w:val="0"/>
    <w:pPr>
      <w:widowControl/>
      <w:spacing w:before="100" w:beforeAutospacing="1" w:after="100" w:afterAutospacing="1" w:line="360" w:lineRule="auto"/>
      <w:jc w:val="left"/>
    </w:pPr>
    <w:rPr>
      <w:rFonts w:eastAsia="Arial Unicode MS" w:cstheme="majorBidi"/>
      <w:kern w:val="0"/>
    </w:rPr>
  </w:style>
  <w:style w:type="paragraph" w:customStyle="1" w:styleId="2972">
    <w:name w:val="1-表内"/>
    <w:basedOn w:val="1"/>
    <w:autoRedefine/>
    <w:qFormat/>
    <w:uiPriority w:val="0"/>
    <w:pPr>
      <w:widowControl/>
      <w:spacing w:line="360" w:lineRule="auto"/>
      <w:jc w:val="left"/>
    </w:pPr>
    <w:rPr>
      <w:rFonts w:ascii="宋体" w:hAnsi="宋体" w:cs="宋体"/>
      <w:kern w:val="0"/>
      <w:szCs w:val="21"/>
    </w:rPr>
  </w:style>
  <w:style w:type="paragraph" w:customStyle="1" w:styleId="2973">
    <w:name w:val="我的标题4"/>
    <w:basedOn w:val="442"/>
    <w:autoRedefine/>
    <w:qFormat/>
    <w:uiPriority w:val="0"/>
    <w:pPr>
      <w:widowControl/>
      <w:spacing w:line="360" w:lineRule="auto"/>
      <w:ind w:firstLine="200" w:firstLineChars="200"/>
      <w:jc w:val="left"/>
    </w:pPr>
    <w:rPr>
      <w:rFonts w:ascii="等线" w:hAnsi="等线" w:eastAsia="宋体" w:cstheme="majorBidi"/>
      <w:b/>
      <w:kern w:val="0"/>
      <w:szCs w:val="20"/>
    </w:rPr>
  </w:style>
  <w:style w:type="paragraph" w:customStyle="1" w:styleId="2974">
    <w:name w:val="样式 标题 3标题3H3h33rd level第二层条3heading 3- bodyh3bh3ah3 su..."/>
    <w:basedOn w:val="5"/>
    <w:autoRedefine/>
    <w:qFormat/>
    <w:uiPriority w:val="0"/>
    <w:pPr>
      <w:keepNext w:val="0"/>
      <w:keepLines w:val="0"/>
      <w:widowControl/>
      <w:numPr>
        <w:ilvl w:val="0"/>
        <w:numId w:val="0"/>
      </w:numPr>
      <w:tabs>
        <w:tab w:val="left" w:pos="720"/>
      </w:tabs>
      <w:adjustRightInd w:val="0"/>
      <w:snapToGrid w:val="0"/>
      <w:spacing w:before="156" w:line="360" w:lineRule="auto"/>
      <w:ind w:left="720" w:hanging="720"/>
      <w:jc w:val="left"/>
    </w:pPr>
    <w:rPr>
      <w:rFonts w:ascii="黑体" w:eastAsia="仿宋_GB2312" w:cs="宋体"/>
      <w:b w:val="0"/>
      <w:bCs w:val="0"/>
      <w:iCs/>
      <w:smallCaps/>
      <w:spacing w:val="5"/>
      <w:kern w:val="0"/>
      <w:sz w:val="24"/>
      <w:szCs w:val="20"/>
    </w:rPr>
  </w:style>
  <w:style w:type="paragraph" w:customStyle="1" w:styleId="2975">
    <w:name w:val="样式 标题2YHY + 黑色 段前: 0.5 行 段后: 0.5 行"/>
    <w:basedOn w:val="1"/>
    <w:uiPriority w:val="0"/>
    <w:pPr>
      <w:keepNext/>
      <w:keepLines/>
      <w:widowControl/>
      <w:spacing w:beforeLines="50" w:afterLines="50" w:line="360" w:lineRule="auto"/>
      <w:jc w:val="left"/>
      <w:outlineLvl w:val="1"/>
    </w:pPr>
    <w:rPr>
      <w:rFonts w:ascii="Arial" w:hAnsi="Arial" w:eastAsia="黑体" w:cs="宋体"/>
      <w:b/>
      <w:bCs/>
      <w:color w:val="000000"/>
      <w:kern w:val="0"/>
      <w:sz w:val="28"/>
      <w:szCs w:val="20"/>
    </w:rPr>
  </w:style>
  <w:style w:type="paragraph" w:customStyle="1" w:styleId="2976">
    <w:name w:val="河，表后"/>
    <w:basedOn w:val="1"/>
    <w:autoRedefine/>
    <w:qFormat/>
    <w:uiPriority w:val="0"/>
    <w:pPr>
      <w:widowControl/>
      <w:spacing w:line="240" w:lineRule="exact"/>
      <w:ind w:firstLine="480"/>
      <w:jc w:val="left"/>
    </w:pPr>
    <w:rPr>
      <w:rFonts w:ascii="ˎ̥" w:hAnsi="ˎ̥" w:cstheme="majorBidi"/>
      <w:bCs/>
      <w:color w:val="000000"/>
      <w:kern w:val="0"/>
      <w:szCs w:val="20"/>
    </w:rPr>
  </w:style>
  <w:style w:type="paragraph" w:customStyle="1" w:styleId="2977">
    <w:name w:val="排版正文"/>
    <w:basedOn w:val="1"/>
    <w:next w:val="1"/>
    <w:qFormat/>
    <w:uiPriority w:val="0"/>
    <w:pPr>
      <w:widowControl/>
      <w:adjustRightInd w:val="0"/>
      <w:snapToGrid w:val="0"/>
      <w:spacing w:line="460" w:lineRule="exact"/>
      <w:ind w:firstLine="510"/>
      <w:jc w:val="left"/>
    </w:pPr>
    <w:rPr>
      <w:rFonts w:cstheme="majorBidi"/>
      <w:kern w:val="0"/>
      <w:sz w:val="26"/>
      <w:szCs w:val="20"/>
    </w:rPr>
  </w:style>
  <w:style w:type="paragraph" w:customStyle="1" w:styleId="2978">
    <w:name w:val="标题12"/>
    <w:basedOn w:val="3"/>
    <w:autoRedefine/>
    <w:qFormat/>
    <w:uiPriority w:val="0"/>
    <w:pPr>
      <w:keepNext w:val="0"/>
      <w:pageBreakBefore/>
      <w:widowControl/>
      <w:numPr>
        <w:numId w:val="0"/>
      </w:numPr>
      <w:tabs>
        <w:tab w:val="left" w:pos="1620"/>
        <w:tab w:val="clear" w:pos="0"/>
      </w:tabs>
      <w:spacing w:after="120" w:line="200" w:lineRule="atLeast"/>
      <w:ind w:firstLine="200"/>
      <w:contextualSpacing/>
      <w:jc w:val="left"/>
    </w:pPr>
    <w:rPr>
      <w:rFonts w:ascii="黑体" w:hAnsi="Cambria" w:cstheme="majorBidi"/>
      <w:bCs/>
      <w:smallCaps/>
      <w:spacing w:val="5"/>
      <w:kern w:val="32"/>
      <w:sz w:val="30"/>
      <w:szCs w:val="20"/>
    </w:rPr>
  </w:style>
  <w:style w:type="paragraph" w:customStyle="1" w:styleId="2979">
    <w:name w:val="列表2"/>
    <w:basedOn w:val="66"/>
    <w:autoRedefine/>
    <w:qFormat/>
    <w:uiPriority w:val="0"/>
    <w:pPr>
      <w:widowControl/>
      <w:adjustRightInd w:val="0"/>
      <w:snapToGrid w:val="0"/>
      <w:spacing w:line="400" w:lineRule="exact"/>
      <w:ind w:left="0" w:firstLine="0" w:firstLineChars="0"/>
      <w:jc w:val="left"/>
    </w:pPr>
    <w:rPr>
      <w:rFonts w:cstheme="majorBidi"/>
      <w:kern w:val="0"/>
      <w:szCs w:val="20"/>
    </w:rPr>
  </w:style>
  <w:style w:type="paragraph" w:customStyle="1" w:styleId="2980">
    <w:name w:val="正文7"/>
    <w:autoRedefine/>
    <w:qFormat/>
    <w:uiPriority w:val="0"/>
    <w:pPr>
      <w:widowControl w:val="0"/>
      <w:adjustRightInd w:val="0"/>
      <w:spacing w:line="315" w:lineRule="atLeast"/>
    </w:pPr>
    <w:rPr>
      <w:rFonts w:ascii="宋体" w:hAnsiTheme="majorHAnsi" w:eastAsiaTheme="majorEastAsia" w:cstheme="majorBidi"/>
      <w:sz w:val="24"/>
      <w:szCs w:val="22"/>
      <w:lang w:val="en-US" w:eastAsia="zh-CN" w:bidi="ar-SA"/>
    </w:rPr>
  </w:style>
  <w:style w:type="paragraph" w:customStyle="1" w:styleId="2981">
    <w:name w:val="样式 标题 3标题 13标题 3 Char1 Char Char Char标题 31ReHead 3 WSAh3B...1"/>
    <w:basedOn w:val="5"/>
    <w:autoRedefine/>
    <w:qFormat/>
    <w:uiPriority w:val="0"/>
    <w:pPr>
      <w:keepNext w:val="0"/>
      <w:keepLines w:val="0"/>
      <w:widowControl/>
      <w:numPr>
        <w:ilvl w:val="0"/>
        <w:numId w:val="0"/>
      </w:numPr>
      <w:adjustRightInd w:val="0"/>
      <w:snapToGrid w:val="0"/>
      <w:spacing w:beforeLines="80" w:afterLines="20" w:line="360" w:lineRule="auto"/>
      <w:jc w:val="left"/>
    </w:pPr>
    <w:rPr>
      <w:rFonts w:ascii="黑体" w:cs="宋体"/>
      <w:b w:val="0"/>
      <w:bCs w:val="0"/>
      <w:iCs/>
      <w:smallCaps/>
      <w:spacing w:val="5"/>
      <w:kern w:val="0"/>
      <w:sz w:val="24"/>
      <w:szCs w:val="20"/>
      <w:lang w:val="zh-CN"/>
    </w:rPr>
  </w:style>
  <w:style w:type="paragraph" w:customStyle="1" w:styleId="2982">
    <w:name w:val="개요 1.1"/>
    <w:autoRedefine/>
    <w:qFormat/>
    <w:uiPriority w:val="99"/>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line="333" w:lineRule="auto"/>
      <w:ind w:left="200"/>
      <w:jc w:val="both"/>
    </w:pPr>
    <w:rPr>
      <w:rFonts w:ascii="Batang" w:hAnsi="Times New Roman" w:eastAsia="Batang" w:cstheme="majorBidi"/>
      <w:b/>
      <w:bCs/>
      <w:color w:val="000000"/>
      <w:sz w:val="28"/>
      <w:szCs w:val="28"/>
      <w:lang w:val="en-US" w:eastAsia="ko-KR" w:bidi="ar-SA"/>
    </w:rPr>
  </w:style>
  <w:style w:type="paragraph" w:customStyle="1" w:styleId="2983">
    <w:name w:val="5号字行距1.0首行缩2"/>
    <w:basedOn w:val="1"/>
    <w:autoRedefine/>
    <w:qFormat/>
    <w:uiPriority w:val="0"/>
    <w:pPr>
      <w:widowControl/>
      <w:spacing w:line="360" w:lineRule="auto"/>
      <w:jc w:val="left"/>
    </w:pPr>
    <w:rPr>
      <w:rFonts w:cstheme="majorBidi"/>
      <w:kern w:val="0"/>
    </w:rPr>
  </w:style>
  <w:style w:type="paragraph" w:customStyle="1" w:styleId="2984">
    <w:name w:val="样式 样式 样式 行距: 固定值 28 磅 + 首行缩进:  2.5 字符 + 首行缩进:  2.5 字符"/>
    <w:basedOn w:val="2963"/>
    <w:autoRedefine/>
    <w:qFormat/>
    <w:uiPriority w:val="0"/>
    <w:pPr>
      <w:spacing w:line="500" w:lineRule="exact"/>
      <w:ind w:firstLine="250"/>
    </w:pPr>
  </w:style>
  <w:style w:type="paragraph" w:customStyle="1" w:styleId="2985">
    <w:name w:val="正文部分"/>
    <w:basedOn w:val="1"/>
    <w:autoRedefine/>
    <w:qFormat/>
    <w:uiPriority w:val="0"/>
    <w:pPr>
      <w:keepNext/>
      <w:keepLines/>
      <w:widowControl/>
      <w:spacing w:before="100" w:after="100" w:line="360" w:lineRule="auto"/>
      <w:jc w:val="left"/>
      <w:outlineLvl w:val="2"/>
    </w:pPr>
    <w:rPr>
      <w:rFonts w:ascii="Arial" w:hAnsi="Arial" w:cstheme="majorBidi"/>
      <w:b/>
      <w:bCs/>
      <w:kern w:val="0"/>
      <w:sz w:val="28"/>
      <w:szCs w:val="32"/>
    </w:rPr>
  </w:style>
  <w:style w:type="paragraph" w:customStyle="1" w:styleId="2986">
    <w:name w:val="样式 标题 2H2h2heading 2+ Indent: Left 0.25 in二级节名1.1  heading...3"/>
    <w:basedOn w:val="4"/>
    <w:autoRedefine/>
    <w:qFormat/>
    <w:uiPriority w:val="0"/>
    <w:pPr>
      <w:keepNext w:val="0"/>
      <w:keepLines w:val="0"/>
      <w:widowControl/>
      <w:numPr>
        <w:ilvl w:val="0"/>
        <w:numId w:val="0"/>
      </w:numPr>
      <w:tabs>
        <w:tab w:val="left" w:pos="0"/>
      </w:tabs>
      <w:spacing w:before="260" w:beforeLines="100" w:line="520" w:lineRule="exact"/>
      <w:jc w:val="left"/>
    </w:pPr>
    <w:rPr>
      <w:rFonts w:ascii="宋体" w:hAnsi="宋体" w:eastAsia="宋体" w:cs="宋体"/>
      <w:bCs w:val="0"/>
      <w:smallCaps/>
      <w:kern w:val="0"/>
      <w:sz w:val="30"/>
      <w:szCs w:val="20"/>
      <w:lang w:val="zh-CN"/>
    </w:rPr>
  </w:style>
  <w:style w:type="paragraph" w:customStyle="1" w:styleId="2987">
    <w:name w:val="样式 行距: 1.5 倍行距"/>
    <w:basedOn w:val="1"/>
    <w:autoRedefine/>
    <w:qFormat/>
    <w:uiPriority w:val="0"/>
    <w:pPr>
      <w:widowControl/>
      <w:spacing w:line="360" w:lineRule="auto"/>
      <w:ind w:firstLine="420"/>
      <w:jc w:val="left"/>
    </w:pPr>
    <w:rPr>
      <w:rFonts w:cs="宋体"/>
      <w:kern w:val="0"/>
      <w:szCs w:val="20"/>
    </w:rPr>
  </w:style>
  <w:style w:type="paragraph" w:customStyle="1" w:styleId="2988">
    <w:name w:val="湛宝标题"/>
    <w:basedOn w:val="22"/>
    <w:autoRedefine/>
    <w:qFormat/>
    <w:uiPriority w:val="0"/>
    <w:pPr>
      <w:widowControl/>
      <w:spacing w:beforeLines="50" w:after="0" w:afterLines="50" w:line="360" w:lineRule="auto"/>
    </w:pPr>
    <w:rPr>
      <w:rFonts w:ascii="Arial" w:hAnsi="Arial" w:eastAsia="宋体" w:cs="Arial"/>
      <w:b/>
      <w:bCs/>
      <w:caps/>
      <w:spacing w:val="10"/>
      <w:kern w:val="0"/>
      <w:sz w:val="24"/>
      <w:szCs w:val="18"/>
      <w:u w:color="000000"/>
      <w14:ligatures w14:val="none"/>
    </w:rPr>
  </w:style>
  <w:style w:type="paragraph" w:customStyle="1" w:styleId="2989">
    <w:name w:val="样式 样式 标题1 + 行距: 1.5 倍行距"/>
    <w:basedOn w:val="1"/>
    <w:autoRedefine/>
    <w:qFormat/>
    <w:uiPriority w:val="0"/>
    <w:pPr>
      <w:keepNext/>
      <w:keepLines/>
      <w:widowControl/>
      <w:tabs>
        <w:tab w:val="left" w:pos="432"/>
      </w:tabs>
      <w:spacing w:line="360" w:lineRule="auto"/>
      <w:ind w:left="432" w:hanging="432"/>
      <w:jc w:val="left"/>
      <w:outlineLvl w:val="0"/>
    </w:pPr>
    <w:rPr>
      <w:rFonts w:ascii="宋体" w:hAnsi="宋体" w:eastAsia="黑体" w:cs="宋体"/>
      <w:b/>
      <w:bCs/>
      <w:kern w:val="44"/>
      <w:sz w:val="30"/>
      <w:szCs w:val="20"/>
    </w:rPr>
  </w:style>
  <w:style w:type="paragraph" w:customStyle="1" w:styleId="2990">
    <w:name w:val="表题格式"/>
    <w:basedOn w:val="1"/>
    <w:autoRedefine/>
    <w:qFormat/>
    <w:uiPriority w:val="0"/>
    <w:pPr>
      <w:widowControl/>
      <w:spacing w:line="440" w:lineRule="exact"/>
      <w:ind w:firstLine="377" w:firstLineChars="377"/>
      <w:jc w:val="left"/>
    </w:pPr>
    <w:rPr>
      <w:rFonts w:eastAsia="黑体" w:cstheme="majorBidi"/>
      <w:kern w:val="0"/>
      <w:szCs w:val="20"/>
    </w:rPr>
  </w:style>
  <w:style w:type="paragraph" w:customStyle="1" w:styleId="2991">
    <w:name w:val="正文文本缩进 31"/>
    <w:basedOn w:val="1"/>
    <w:autoRedefine/>
    <w:qFormat/>
    <w:uiPriority w:val="0"/>
    <w:pPr>
      <w:widowControl/>
      <w:tabs>
        <w:tab w:val="left" w:pos="0"/>
      </w:tabs>
      <w:adjustRightInd w:val="0"/>
      <w:snapToGrid w:val="0"/>
      <w:spacing w:line="360" w:lineRule="auto"/>
      <w:ind w:right="-40" w:firstLine="420"/>
      <w:jc w:val="left"/>
      <w:textAlignment w:val="center"/>
    </w:pPr>
    <w:rPr>
      <w:rFonts w:cstheme="majorBidi"/>
      <w:kern w:val="0"/>
      <w:szCs w:val="20"/>
    </w:rPr>
  </w:style>
  <w:style w:type="paragraph" w:customStyle="1" w:styleId="2992">
    <w:name w:val="a表头"/>
    <w:basedOn w:val="1"/>
    <w:next w:val="2993"/>
    <w:autoRedefine/>
    <w:qFormat/>
    <w:uiPriority w:val="0"/>
    <w:pPr>
      <w:widowControl/>
      <w:spacing w:beforeLines="50" w:afterLines="50" w:line="360" w:lineRule="auto"/>
      <w:jc w:val="center"/>
    </w:pPr>
    <w:rPr>
      <w:rFonts w:eastAsia="黑体" w:cstheme="majorBidi"/>
      <w:b/>
      <w:kern w:val="0"/>
    </w:rPr>
  </w:style>
  <w:style w:type="paragraph" w:customStyle="1" w:styleId="2993">
    <w:name w:val="a表格"/>
    <w:basedOn w:val="1"/>
    <w:autoRedefine/>
    <w:qFormat/>
    <w:uiPriority w:val="0"/>
    <w:pPr>
      <w:widowControl/>
      <w:adjustRightInd w:val="0"/>
      <w:snapToGrid w:val="0"/>
      <w:spacing w:beforeLines="50" w:afterLines="50" w:line="360" w:lineRule="auto"/>
      <w:jc w:val="left"/>
    </w:pPr>
    <w:rPr>
      <w:rFonts w:cstheme="majorBidi"/>
      <w:kern w:val="0"/>
    </w:rPr>
  </w:style>
  <w:style w:type="paragraph" w:customStyle="1" w:styleId="2994">
    <w:name w:val="报告表格表头"/>
    <w:basedOn w:val="39"/>
    <w:autoRedefine/>
    <w:qFormat/>
    <w:uiPriority w:val="0"/>
    <w:pPr>
      <w:widowControl/>
      <w:tabs>
        <w:tab w:val="left" w:pos="0"/>
      </w:tabs>
      <w:spacing w:after="0" w:line="360" w:lineRule="auto"/>
      <w:ind w:left="0" w:leftChars="0" w:right="0" w:rightChars="0" w:firstLine="400" w:firstLineChars="400"/>
      <w:jc w:val="left"/>
    </w:pPr>
    <w:rPr>
      <w:rFonts w:cstheme="majorBidi"/>
      <w:b/>
      <w:bCs/>
      <w:color w:val="000000"/>
      <w:kern w:val="0"/>
    </w:rPr>
  </w:style>
  <w:style w:type="paragraph" w:customStyle="1" w:styleId="2995">
    <w:name w:val="样式35"/>
    <w:basedOn w:val="1"/>
    <w:autoRedefine/>
    <w:qFormat/>
    <w:uiPriority w:val="0"/>
    <w:pPr>
      <w:widowControl/>
      <w:adjustRightInd w:val="0"/>
      <w:snapToGrid w:val="0"/>
      <w:spacing w:line="360" w:lineRule="auto"/>
      <w:ind w:firstLine="1995" w:firstLineChars="950"/>
      <w:jc w:val="left"/>
    </w:pPr>
    <w:rPr>
      <w:rFonts w:ascii="黑体" w:hAnsi="宋体" w:eastAsia="黑体" w:cstheme="majorBidi"/>
      <w:kern w:val="0"/>
      <w:szCs w:val="21"/>
    </w:rPr>
  </w:style>
  <w:style w:type="paragraph" w:customStyle="1" w:styleId="2996">
    <w:name w:val="样式 列表 + 居中"/>
    <w:basedOn w:val="66"/>
    <w:autoRedefine/>
    <w:qFormat/>
    <w:uiPriority w:val="0"/>
    <w:pPr>
      <w:widowControl/>
      <w:snapToGrid w:val="0"/>
      <w:spacing w:line="360" w:lineRule="auto"/>
      <w:ind w:left="0" w:firstLine="0" w:firstLineChars="0"/>
      <w:jc w:val="center"/>
    </w:pPr>
    <w:rPr>
      <w:rFonts w:cstheme="majorBidi"/>
      <w:kern w:val="0"/>
      <w:szCs w:val="20"/>
    </w:rPr>
  </w:style>
  <w:style w:type="paragraph" w:customStyle="1" w:styleId="2997">
    <w:name w:val="_Style 49"/>
    <w:basedOn w:val="1"/>
    <w:next w:val="21"/>
    <w:autoRedefine/>
    <w:qFormat/>
    <w:uiPriority w:val="0"/>
    <w:pPr>
      <w:widowControl/>
      <w:spacing w:line="440" w:lineRule="exact"/>
      <w:ind w:firstLine="420"/>
      <w:jc w:val="left"/>
    </w:pPr>
    <w:rPr>
      <w:rFonts w:ascii="宋体" w:hAnsi="宋体" w:cs="宋体"/>
      <w:kern w:val="0"/>
      <w:szCs w:val="20"/>
    </w:rPr>
  </w:style>
  <w:style w:type="paragraph" w:customStyle="1" w:styleId="2998">
    <w:name w:val="样式 样式 标题 2H2h2heading 2+ Indent: Left 0.25 in二级节名1.1  heading......1"/>
    <w:basedOn w:val="2986"/>
    <w:autoRedefine/>
    <w:qFormat/>
    <w:uiPriority w:val="0"/>
  </w:style>
  <w:style w:type="paragraph" w:customStyle="1" w:styleId="2999">
    <w:name w:val="brdrw15brsp20 tqctx4153t"/>
    <w:autoRedefine/>
    <w:qFormat/>
    <w:uiPriority w:val="0"/>
    <w:pPr>
      <w:widowControl w:val="0"/>
      <w:pBdr>
        <w:bottom w:val="single" w:color="auto" w:sz="6" w:space="0"/>
      </w:pBdr>
      <w:adjustRightInd w:val="0"/>
      <w:spacing w:line="312" w:lineRule="atLeast"/>
      <w:jc w:val="center"/>
      <w:textAlignment w:val="baseline"/>
    </w:pPr>
    <w:rPr>
      <w:rFonts w:ascii="Times New Roman" w:hAnsi="Times New Roman" w:eastAsiaTheme="majorEastAsia" w:cstheme="majorBidi"/>
      <w:sz w:val="21"/>
      <w:szCs w:val="22"/>
      <w:lang w:val="en-US" w:eastAsia="zh-CN" w:bidi="ar-SA"/>
    </w:rPr>
  </w:style>
  <w:style w:type="paragraph" w:customStyle="1" w:styleId="3000">
    <w:name w:val="xl20"/>
    <w:basedOn w:val="1"/>
    <w:autoRedefine/>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rPr>
  </w:style>
  <w:style w:type="paragraph" w:customStyle="1" w:styleId="3001">
    <w:name w:val="样式 标题 2标题 21标题 121标题 2 Char1 CharH2SeHead wsa2标题 1.1 + 行..."/>
    <w:basedOn w:val="4"/>
    <w:autoRedefine/>
    <w:qFormat/>
    <w:uiPriority w:val="0"/>
    <w:pPr>
      <w:keepNext w:val="0"/>
      <w:keepLines w:val="0"/>
      <w:widowControl/>
      <w:numPr>
        <w:ilvl w:val="0"/>
        <w:numId w:val="0"/>
      </w:numPr>
      <w:adjustRightInd w:val="0"/>
      <w:spacing w:before="100" w:after="100" w:line="460" w:lineRule="exact"/>
      <w:jc w:val="left"/>
      <w:textAlignment w:val="baseline"/>
    </w:pPr>
    <w:rPr>
      <w:rFonts w:ascii="黑体"/>
      <w:b w:val="0"/>
      <w:bCs w:val="0"/>
      <w:smallCaps/>
      <w:color w:val="000000"/>
      <w:kern w:val="0"/>
      <w:sz w:val="30"/>
    </w:rPr>
  </w:style>
  <w:style w:type="paragraph" w:customStyle="1" w:styleId="3002">
    <w:name w:val="样式 样式 一大点 + 四号 段前: 0.5 行 段后: 0.5 行 + 段前: 0.5 行 段后: 0.5 行"/>
    <w:basedOn w:val="1"/>
    <w:autoRedefine/>
    <w:qFormat/>
    <w:uiPriority w:val="99"/>
    <w:pPr>
      <w:keepNext/>
      <w:keepLines/>
      <w:widowControl/>
      <w:overflowPunct w:val="0"/>
      <w:adjustRightInd w:val="0"/>
      <w:snapToGrid w:val="0"/>
      <w:spacing w:beforeLines="50" w:afterLines="50" w:line="360" w:lineRule="auto"/>
      <w:jc w:val="left"/>
      <w:textAlignment w:val="baseline"/>
      <w:outlineLvl w:val="5"/>
    </w:pPr>
    <w:rPr>
      <w:rFonts w:ascii="Arial" w:hAnsi="Arial" w:eastAsia="黑体" w:cs="宋体"/>
      <w:b/>
      <w:bCs/>
      <w:spacing w:val="20"/>
      <w:kern w:val="0"/>
      <w:sz w:val="28"/>
      <w:szCs w:val="20"/>
    </w:rPr>
  </w:style>
  <w:style w:type="paragraph" w:customStyle="1" w:styleId="3003">
    <w:name w:val="样式1111"/>
    <w:basedOn w:val="1"/>
    <w:autoRedefine/>
    <w:qFormat/>
    <w:uiPriority w:val="0"/>
    <w:pPr>
      <w:widowControl/>
      <w:spacing w:beforeLines="50" w:afterLines="50" w:line="360" w:lineRule="auto"/>
      <w:ind w:firstLine="480"/>
      <w:jc w:val="left"/>
    </w:pPr>
    <w:rPr>
      <w:rFonts w:eastAsia="Times New Roman" w:cstheme="majorBidi"/>
      <w:kern w:val="0"/>
    </w:rPr>
  </w:style>
  <w:style w:type="paragraph" w:customStyle="1" w:styleId="3004">
    <w:name w:val="样式 标题 3 + 首行缩进:  2 字符 段前: 8.15 磅 段后: 8.15 磅2"/>
    <w:basedOn w:val="5"/>
    <w:autoRedefine/>
    <w:qFormat/>
    <w:uiPriority w:val="99"/>
    <w:pPr>
      <w:keepNext w:val="0"/>
      <w:keepLines w:val="0"/>
      <w:widowControl/>
      <w:numPr>
        <w:ilvl w:val="0"/>
        <w:numId w:val="0"/>
      </w:numPr>
      <w:tabs>
        <w:tab w:val="left" w:pos="1260"/>
      </w:tabs>
      <w:adjustRightInd w:val="0"/>
      <w:snapToGrid w:val="0"/>
      <w:spacing w:before="163" w:after="163" w:line="240" w:lineRule="atLeast"/>
      <w:ind w:left="1260" w:firstLine="482"/>
      <w:jc w:val="left"/>
    </w:pPr>
    <w:rPr>
      <w:rFonts w:ascii="Arial Unicode MS" w:hAnsi="Arial Unicode MS" w:cstheme="majorBidi"/>
      <w:b w:val="0"/>
      <w:iCs/>
      <w:smallCaps/>
      <w:spacing w:val="5"/>
      <w:kern w:val="0"/>
      <w:sz w:val="24"/>
      <w:szCs w:val="24"/>
    </w:rPr>
  </w:style>
  <w:style w:type="paragraph" w:customStyle="1" w:styleId="3005">
    <w:name w:val="特殊标题３"/>
    <w:basedOn w:val="1"/>
    <w:autoRedefine/>
    <w:qFormat/>
    <w:uiPriority w:val="0"/>
    <w:pPr>
      <w:widowControl/>
      <w:overflowPunct w:val="0"/>
      <w:autoSpaceDE w:val="0"/>
      <w:autoSpaceDN w:val="0"/>
      <w:adjustRightInd w:val="0"/>
      <w:spacing w:line="360" w:lineRule="auto"/>
      <w:jc w:val="left"/>
      <w:textAlignment w:val="baseline"/>
    </w:pPr>
    <w:rPr>
      <w:rFonts w:eastAsia="仿宋_GB2312" w:cstheme="majorBidi"/>
      <w:kern w:val="0"/>
      <w:sz w:val="28"/>
      <w:szCs w:val="20"/>
    </w:rPr>
  </w:style>
  <w:style w:type="paragraph" w:customStyle="1" w:styleId="3006">
    <w:name w:val="居中"/>
    <w:basedOn w:val="1"/>
    <w:autoRedefine/>
    <w:qFormat/>
    <w:uiPriority w:val="99"/>
    <w:pPr>
      <w:widowControl/>
      <w:spacing w:line="360" w:lineRule="auto"/>
      <w:jc w:val="center"/>
    </w:pPr>
    <w:rPr>
      <w:rFonts w:ascii="宋体" w:hAnsi="宋体" w:cs="宋体"/>
      <w:kern w:val="0"/>
    </w:rPr>
  </w:style>
  <w:style w:type="paragraph" w:customStyle="1" w:styleId="3007">
    <w:name w:val="样式 (符号) 宋体 小四 段前: 6 磅 段后: 6 磅 行距: 1.5 倍行距1"/>
    <w:basedOn w:val="1"/>
    <w:autoRedefine/>
    <w:qFormat/>
    <w:uiPriority w:val="0"/>
    <w:pPr>
      <w:widowControl/>
      <w:spacing w:beforeLines="50" w:afterLines="50" w:line="360" w:lineRule="auto"/>
      <w:jc w:val="left"/>
    </w:pPr>
    <w:rPr>
      <w:rFonts w:hAnsi="宋体" w:cstheme="majorBidi"/>
      <w:kern w:val="0"/>
      <w:szCs w:val="20"/>
    </w:rPr>
  </w:style>
  <w:style w:type="character" w:customStyle="1" w:styleId="3008">
    <w:name w:val="xl28 Char"/>
    <w:link w:val="253"/>
    <w:autoRedefine/>
    <w:qFormat/>
    <w:locked/>
    <w:uiPriority w:val="0"/>
    <w:rPr>
      <w:rFonts w:hAnsi="宋体"/>
      <w:sz w:val="18"/>
      <w:szCs w:val="18"/>
    </w:rPr>
  </w:style>
  <w:style w:type="paragraph" w:customStyle="1" w:styleId="3009">
    <w:name w:val="样式 样式 标题 2H2h2heading 2+ Indent: Left 0.25 in二级节名1.1  heading......"/>
    <w:basedOn w:val="2966"/>
    <w:autoRedefine/>
    <w:qFormat/>
    <w:uiPriority w:val="0"/>
  </w:style>
  <w:style w:type="paragraph" w:customStyle="1" w:styleId="3010">
    <w:name w:val="msonormal style1 style3"/>
    <w:basedOn w:val="1"/>
    <w:autoRedefine/>
    <w:qFormat/>
    <w:uiPriority w:val="99"/>
    <w:pPr>
      <w:widowControl/>
      <w:spacing w:before="100" w:beforeAutospacing="1" w:after="100" w:afterAutospacing="1" w:line="360" w:lineRule="auto"/>
      <w:jc w:val="left"/>
    </w:pPr>
    <w:rPr>
      <w:rFonts w:ascii="宋体" w:hAnsi="宋体" w:cs="宋体"/>
      <w:kern w:val="0"/>
    </w:rPr>
  </w:style>
  <w:style w:type="paragraph" w:customStyle="1" w:styleId="3011">
    <w:name w:val="正文-第几条"/>
    <w:basedOn w:val="1"/>
    <w:autoRedefine/>
    <w:qFormat/>
    <w:uiPriority w:val="0"/>
    <w:pPr>
      <w:widowControl/>
      <w:numPr>
        <w:ilvl w:val="0"/>
        <w:numId w:val="35"/>
      </w:numPr>
      <w:tabs>
        <w:tab w:val="left" w:pos="900"/>
        <w:tab w:val="left" w:pos="1021"/>
      </w:tabs>
      <w:spacing w:line="360" w:lineRule="auto"/>
      <w:ind w:left="0" w:firstLine="0" w:firstLineChars="0"/>
      <w:jc w:val="left"/>
    </w:pPr>
    <w:rPr>
      <w:rFonts w:cstheme="majorBidi"/>
      <w:kern w:val="0"/>
    </w:rPr>
  </w:style>
  <w:style w:type="paragraph" w:customStyle="1" w:styleId="3012">
    <w:name w:val="样式 样式 标题 2标题 21标题 121标题 2 Char1 Char节H2节标题 1.1节标题 1.1 Char... + ..."/>
    <w:basedOn w:val="1"/>
    <w:autoRedefine/>
    <w:qFormat/>
    <w:uiPriority w:val="0"/>
    <w:pPr>
      <w:widowControl/>
      <w:adjustRightInd w:val="0"/>
      <w:spacing w:before="156" w:after="156" w:line="460" w:lineRule="exact"/>
      <w:jc w:val="left"/>
      <w:textAlignment w:val="baseline"/>
      <w:outlineLvl w:val="1"/>
    </w:pPr>
    <w:rPr>
      <w:rFonts w:eastAsia="黑体" w:cs="宋体"/>
      <w:b/>
      <w:bCs/>
      <w:color w:val="000000"/>
      <w:kern w:val="0"/>
      <w:sz w:val="28"/>
      <w:szCs w:val="20"/>
    </w:rPr>
  </w:style>
  <w:style w:type="paragraph" w:customStyle="1" w:styleId="3013">
    <w:name w:val="样式49"/>
    <w:basedOn w:val="622"/>
    <w:autoRedefine/>
    <w:qFormat/>
    <w:uiPriority w:val="0"/>
    <w:pPr>
      <w:widowControl/>
      <w:tabs>
        <w:tab w:val="left" w:pos="-480"/>
      </w:tabs>
      <w:jc w:val="left"/>
    </w:pPr>
    <w:rPr>
      <w:rFonts w:ascii="等线" w:hAnsi="宋体" w:eastAsia="宋体" w:cstheme="majorBidi"/>
    </w:rPr>
  </w:style>
  <w:style w:type="paragraph" w:customStyle="1" w:styleId="3014">
    <w:name w:val="项目符号2"/>
    <w:basedOn w:val="3015"/>
    <w:autoRedefine/>
    <w:qFormat/>
    <w:uiPriority w:val="0"/>
    <w:pPr>
      <w:tabs>
        <w:tab w:val="left" w:pos="360"/>
      </w:tabs>
      <w:spacing w:line="312" w:lineRule="auto"/>
      <w:ind w:left="850" w:hanging="425"/>
    </w:pPr>
    <w:rPr>
      <w:b/>
    </w:rPr>
  </w:style>
  <w:style w:type="paragraph" w:customStyle="1" w:styleId="3015">
    <w:name w:val="项目符号1"/>
    <w:basedOn w:val="1"/>
    <w:autoRedefine/>
    <w:qFormat/>
    <w:uiPriority w:val="0"/>
    <w:pPr>
      <w:widowControl/>
      <w:spacing w:line="336" w:lineRule="auto"/>
      <w:jc w:val="left"/>
    </w:pPr>
    <w:rPr>
      <w:rFonts w:ascii="宋体" w:hAnsi="宋体" w:cstheme="majorBidi"/>
      <w:color w:val="000000"/>
      <w:kern w:val="0"/>
      <w:szCs w:val="20"/>
    </w:rPr>
  </w:style>
  <w:style w:type="paragraph" w:customStyle="1" w:styleId="3016">
    <w:name w:val="表格内容1"/>
    <w:basedOn w:val="1"/>
    <w:autoRedefine/>
    <w:qFormat/>
    <w:uiPriority w:val="0"/>
    <w:pPr>
      <w:widowControl/>
      <w:tabs>
        <w:tab w:val="left" w:pos="1535"/>
        <w:tab w:val="left" w:pos="3105"/>
        <w:tab w:val="left" w:pos="3880"/>
        <w:tab w:val="center" w:pos="4153"/>
        <w:tab w:val="left" w:pos="4676"/>
        <w:tab w:val="left" w:pos="6247"/>
        <w:tab w:val="left" w:pos="7740"/>
        <w:tab w:val="right" w:pos="8306"/>
        <w:tab w:val="left" w:pos="9288"/>
      </w:tabs>
      <w:autoSpaceDE w:val="0"/>
      <w:autoSpaceDN w:val="0"/>
      <w:adjustRightInd w:val="0"/>
      <w:snapToGrid w:val="0"/>
      <w:spacing w:line="360" w:lineRule="auto"/>
      <w:jc w:val="center"/>
      <w:textAlignment w:val="baseline"/>
    </w:pPr>
    <w:rPr>
      <w:rFonts w:ascii="仿宋_GB2312" w:hAnsi="宋体" w:eastAsia="仿宋_GB2312" w:cstheme="majorBidi"/>
      <w:color w:val="FF0000"/>
      <w:kern w:val="0"/>
      <w:szCs w:val="21"/>
    </w:rPr>
  </w:style>
  <w:style w:type="paragraph" w:customStyle="1" w:styleId="3017">
    <w:name w:val="ALT+Z"/>
    <w:basedOn w:val="1"/>
    <w:autoRedefine/>
    <w:qFormat/>
    <w:uiPriority w:val="0"/>
    <w:pPr>
      <w:widowControl/>
      <w:spacing w:line="500" w:lineRule="exact"/>
      <w:jc w:val="left"/>
    </w:pPr>
    <w:rPr>
      <w:rFonts w:cstheme="majorBidi"/>
      <w:kern w:val="0"/>
    </w:rPr>
  </w:style>
  <w:style w:type="paragraph" w:customStyle="1" w:styleId="3018">
    <w:name w:val="标准书眉_偶数页"/>
    <w:basedOn w:val="1"/>
    <w:next w:val="1"/>
    <w:autoRedefine/>
    <w:qFormat/>
    <w:uiPriority w:val="0"/>
    <w:pPr>
      <w:widowControl/>
      <w:tabs>
        <w:tab w:val="center" w:pos="4154"/>
        <w:tab w:val="right" w:pos="8306"/>
      </w:tabs>
      <w:spacing w:after="120" w:line="360" w:lineRule="auto"/>
      <w:jc w:val="left"/>
    </w:pPr>
    <w:rPr>
      <w:rFonts w:cstheme="majorBidi"/>
      <w:kern w:val="0"/>
      <w:szCs w:val="20"/>
    </w:rPr>
  </w:style>
  <w:style w:type="paragraph" w:customStyle="1" w:styleId="3019">
    <w:name w:val="wg"/>
    <w:basedOn w:val="1"/>
    <w:autoRedefine/>
    <w:qFormat/>
    <w:uiPriority w:val="0"/>
    <w:pPr>
      <w:widowControl/>
      <w:spacing w:line="360" w:lineRule="auto"/>
      <w:jc w:val="left"/>
    </w:pPr>
    <w:rPr>
      <w:rFonts w:cstheme="majorBidi"/>
      <w:kern w:val="0"/>
      <w:sz w:val="28"/>
      <w:szCs w:val="20"/>
    </w:rPr>
  </w:style>
  <w:style w:type="paragraph" w:customStyle="1" w:styleId="3020">
    <w:name w:val="扉页"/>
    <w:basedOn w:val="1"/>
    <w:autoRedefine/>
    <w:qFormat/>
    <w:uiPriority w:val="0"/>
    <w:pPr>
      <w:widowControl/>
      <w:spacing w:line="400" w:lineRule="exact"/>
      <w:ind w:firstLine="2258" w:firstLineChars="1071"/>
      <w:jc w:val="left"/>
    </w:pPr>
    <w:rPr>
      <w:rFonts w:cs="宋体"/>
      <w:bCs/>
      <w:kern w:val="0"/>
      <w:sz w:val="30"/>
      <w:szCs w:val="20"/>
    </w:rPr>
  </w:style>
  <w:style w:type="paragraph" w:customStyle="1" w:styleId="3021">
    <w:name w:val="标题 1 + 段前: 0.5 行 段后: 0.5 行1"/>
    <w:basedOn w:val="1"/>
    <w:autoRedefine/>
    <w:semiHidden/>
    <w:qFormat/>
    <w:uiPriority w:val="0"/>
    <w:pPr>
      <w:widowControl/>
      <w:tabs>
        <w:tab w:val="left" w:pos="1340"/>
      </w:tabs>
      <w:spacing w:before="120" w:after="120" w:line="360" w:lineRule="auto"/>
      <w:ind w:left="1340" w:hanging="420"/>
      <w:jc w:val="left"/>
      <w:outlineLvl w:val="0"/>
    </w:pPr>
    <w:rPr>
      <w:rFonts w:eastAsia="黑体" w:cs="宋体"/>
      <w:kern w:val="0"/>
      <w:sz w:val="28"/>
      <w:szCs w:val="20"/>
    </w:rPr>
  </w:style>
  <w:style w:type="paragraph" w:customStyle="1" w:styleId="3022">
    <w:name w:val="样式38"/>
    <w:basedOn w:val="2728"/>
    <w:autoRedefine/>
    <w:qFormat/>
    <w:uiPriority w:val="0"/>
    <w:pPr>
      <w:ind w:left="0" w:firstLine="0"/>
    </w:pPr>
    <w:rPr>
      <w:bCs/>
      <w:szCs w:val="20"/>
    </w:rPr>
  </w:style>
  <w:style w:type="paragraph" w:customStyle="1" w:styleId="3023">
    <w:name w:val="样式 段落样式 + (西文) 宋体 小四 黑色"/>
    <w:basedOn w:val="1"/>
    <w:autoRedefine/>
    <w:qFormat/>
    <w:uiPriority w:val="0"/>
    <w:pPr>
      <w:keepNext/>
      <w:widowControl/>
      <w:suppressLineNumbers/>
      <w:suppressAutoHyphens/>
      <w:topLinePunct/>
      <w:adjustRightInd w:val="0"/>
      <w:snapToGrid w:val="0"/>
      <w:spacing w:line="480" w:lineRule="atLeast"/>
      <w:ind w:firstLine="482"/>
      <w:jc w:val="left"/>
      <w:textAlignment w:val="baseline"/>
    </w:pPr>
    <w:rPr>
      <w:rFonts w:cstheme="majorBidi"/>
      <w:color w:val="000000"/>
      <w:w w:val="90"/>
      <w:kern w:val="24"/>
      <w:szCs w:val="21"/>
    </w:rPr>
  </w:style>
  <w:style w:type="paragraph" w:customStyle="1" w:styleId="3024">
    <w:name w:val="小点"/>
    <w:autoRedefine/>
    <w:qFormat/>
    <w:uiPriority w:val="99"/>
    <w:pPr>
      <w:tabs>
        <w:tab w:val="left" w:pos="840"/>
      </w:tabs>
      <w:adjustRightInd w:val="0"/>
      <w:snapToGrid w:val="0"/>
      <w:spacing w:line="360" w:lineRule="auto"/>
      <w:ind w:left="840" w:hanging="360"/>
    </w:pPr>
    <w:rPr>
      <w:rFonts w:ascii="宋体" w:hAnsi="宋体" w:cs="宋体" w:eastAsiaTheme="majorEastAsia"/>
      <w:sz w:val="24"/>
      <w:szCs w:val="24"/>
      <w:lang w:val="en-US" w:eastAsia="zh-CN" w:bidi="ar-SA"/>
    </w:rPr>
  </w:style>
  <w:style w:type="paragraph" w:customStyle="1" w:styleId="3025">
    <w:name w:val="佛山正文"/>
    <w:basedOn w:val="1"/>
    <w:autoRedefine/>
    <w:qFormat/>
    <w:uiPriority w:val="0"/>
    <w:pPr>
      <w:widowControl/>
      <w:snapToGrid w:val="0"/>
      <w:spacing w:line="360" w:lineRule="auto"/>
      <w:ind w:firstLine="454" w:firstLineChars="216"/>
      <w:jc w:val="left"/>
    </w:pPr>
    <w:rPr>
      <w:rFonts w:ascii="仿宋_GB2312" w:hAnsi="宋体" w:eastAsia="仿宋_GB2312" w:cstheme="majorBidi"/>
      <w:kern w:val="0"/>
      <w:szCs w:val="21"/>
    </w:rPr>
  </w:style>
  <w:style w:type="paragraph" w:customStyle="1" w:styleId="3026">
    <w:name w:val="样式67"/>
    <w:basedOn w:val="1"/>
    <w:link w:val="3027"/>
    <w:autoRedefine/>
    <w:qFormat/>
    <w:uiPriority w:val="0"/>
    <w:pPr>
      <w:keepNext/>
      <w:keepLines/>
      <w:widowControl/>
      <w:spacing w:beforeLines="50" w:afterLines="50" w:line="360" w:lineRule="auto"/>
      <w:jc w:val="left"/>
      <w:outlineLvl w:val="2"/>
    </w:pPr>
    <w:rPr>
      <w:rFonts w:cstheme="majorBidi"/>
      <w:b/>
      <w:bCs/>
      <w:kern w:val="0"/>
    </w:rPr>
  </w:style>
  <w:style w:type="character" w:customStyle="1" w:styleId="3027">
    <w:name w:val="样式67 Char"/>
    <w:link w:val="3026"/>
    <w:autoRedefine/>
    <w:qFormat/>
    <w:uiPriority w:val="0"/>
    <w:rPr>
      <w:rFonts w:cstheme="majorBidi"/>
      <w:b/>
      <w:bCs/>
      <w:sz w:val="24"/>
      <w:szCs w:val="24"/>
    </w:rPr>
  </w:style>
  <w:style w:type="paragraph" w:customStyle="1" w:styleId="3028">
    <w:name w:val="样式 标题 5 + 居中"/>
    <w:basedOn w:val="7"/>
    <w:autoRedefine/>
    <w:qFormat/>
    <w:uiPriority w:val="0"/>
    <w:pPr>
      <w:keepNext w:val="0"/>
      <w:keepLines w:val="0"/>
      <w:widowControl/>
      <w:numPr>
        <w:ilvl w:val="0"/>
        <w:numId w:val="0"/>
      </w:numPr>
      <w:tabs>
        <w:tab w:val="clear" w:pos="360"/>
      </w:tabs>
      <w:snapToGrid/>
      <w:spacing w:line="500" w:lineRule="exact"/>
    </w:pPr>
    <w:rPr>
      <w:rFonts w:cs="宋体"/>
      <w:iCs/>
      <w:kern w:val="0"/>
      <w:szCs w:val="20"/>
    </w:rPr>
  </w:style>
  <w:style w:type="paragraph" w:customStyle="1" w:styleId="3029">
    <w:name w:val="文章正文文字"/>
    <w:basedOn w:val="1"/>
    <w:autoRedefine/>
    <w:qFormat/>
    <w:uiPriority w:val="0"/>
    <w:pPr>
      <w:widowControl/>
      <w:spacing w:line="520" w:lineRule="exact"/>
      <w:jc w:val="left"/>
    </w:pPr>
    <w:rPr>
      <w:rFonts w:cstheme="majorBidi"/>
      <w:kern w:val="0"/>
    </w:rPr>
  </w:style>
  <w:style w:type="paragraph" w:customStyle="1" w:styleId="3030">
    <w:name w:val="19"/>
    <w:basedOn w:val="1"/>
    <w:autoRedefine/>
    <w:qFormat/>
    <w:uiPriority w:val="0"/>
    <w:pPr>
      <w:widowControl/>
      <w:pBdr>
        <w:bottom w:val="single" w:color="000000" w:sz="4" w:space="0"/>
      </w:pBdr>
      <w:snapToGrid w:val="0"/>
      <w:spacing w:before="100" w:after="100" w:line="500" w:lineRule="atLeast"/>
      <w:jc w:val="center"/>
    </w:pPr>
    <w:rPr>
      <w:rFonts w:hint="eastAsia" w:ascii="宋体" w:hAnsi="宋体" w:cs="Arial Unicode MS"/>
      <w:kern w:val="0"/>
    </w:rPr>
  </w:style>
  <w:style w:type="paragraph" w:customStyle="1" w:styleId="3031">
    <w:name w:val="寄信人地址1"/>
    <w:basedOn w:val="1"/>
    <w:autoRedefine/>
    <w:qFormat/>
    <w:uiPriority w:val="0"/>
    <w:pPr>
      <w:widowControl/>
      <w:snapToGrid w:val="0"/>
      <w:spacing w:line="360" w:lineRule="auto"/>
      <w:jc w:val="left"/>
    </w:pPr>
    <w:rPr>
      <w:rFonts w:ascii="Arial" w:hAnsi="Arial" w:cs="Arial"/>
      <w:kern w:val="0"/>
      <w:szCs w:val="20"/>
    </w:rPr>
  </w:style>
  <w:style w:type="paragraph" w:customStyle="1" w:styleId="3032">
    <w:name w:val="小小标题"/>
    <w:basedOn w:val="1"/>
    <w:autoRedefine/>
    <w:qFormat/>
    <w:uiPriority w:val="99"/>
    <w:pPr>
      <w:widowControl/>
      <w:adjustRightInd w:val="0"/>
      <w:spacing w:line="360" w:lineRule="atLeast"/>
      <w:jc w:val="left"/>
      <w:textAlignment w:val="baseline"/>
    </w:pPr>
    <w:rPr>
      <w:rFonts w:ascii="宋体" w:cstheme="majorBidi"/>
      <w:spacing w:val="20"/>
      <w:kern w:val="0"/>
      <w:szCs w:val="20"/>
    </w:rPr>
  </w:style>
  <w:style w:type="paragraph" w:customStyle="1" w:styleId="3033">
    <w:name w:val="样式33"/>
    <w:basedOn w:val="1"/>
    <w:link w:val="3034"/>
    <w:autoRedefine/>
    <w:qFormat/>
    <w:uiPriority w:val="0"/>
    <w:pPr>
      <w:keepNext/>
      <w:keepLines/>
      <w:widowControl/>
      <w:tabs>
        <w:tab w:val="left" w:pos="720"/>
        <w:tab w:val="left" w:pos="900"/>
      </w:tabs>
      <w:spacing w:beforeLines="50" w:afterLines="50" w:line="360" w:lineRule="auto"/>
      <w:ind w:left="708" w:hanging="708"/>
      <w:jc w:val="left"/>
      <w:outlineLvl w:val="3"/>
    </w:pPr>
    <w:rPr>
      <w:rFonts w:cstheme="majorBidi"/>
      <w:kern w:val="0"/>
      <w:szCs w:val="28"/>
    </w:rPr>
  </w:style>
  <w:style w:type="character" w:customStyle="1" w:styleId="3034">
    <w:name w:val="样式33 Char"/>
    <w:link w:val="3033"/>
    <w:autoRedefine/>
    <w:qFormat/>
    <w:uiPriority w:val="0"/>
    <w:rPr>
      <w:rFonts w:cstheme="majorBidi"/>
      <w:sz w:val="24"/>
      <w:szCs w:val="28"/>
    </w:rPr>
  </w:style>
  <w:style w:type="paragraph" w:customStyle="1" w:styleId="3035">
    <w:name w:val="2-正文"/>
    <w:basedOn w:val="1"/>
    <w:autoRedefine/>
    <w:qFormat/>
    <w:uiPriority w:val="0"/>
    <w:pPr>
      <w:widowControl/>
      <w:spacing w:line="480" w:lineRule="exact"/>
      <w:ind w:firstLine="480"/>
      <w:jc w:val="left"/>
    </w:pPr>
    <w:rPr>
      <w:rFonts w:ascii="宋体" w:hAnsi="宋体" w:cstheme="majorBidi"/>
      <w:kern w:val="0"/>
      <w:szCs w:val="20"/>
    </w:rPr>
  </w:style>
  <w:style w:type="paragraph" w:customStyle="1" w:styleId="3036">
    <w:name w:val="样式 自动表头 + (西文) 黑体 五号 加粗 行距: 单倍行距"/>
    <w:basedOn w:val="2428"/>
    <w:autoRedefine/>
    <w:qFormat/>
    <w:uiPriority w:val="0"/>
    <w:pPr>
      <w:spacing w:beforeLines="50" w:afterLines="50" w:line="240" w:lineRule="auto"/>
      <w:ind w:firstLine="422" w:firstLineChars="200"/>
    </w:pPr>
    <w:rPr>
      <w:rFonts w:ascii="黑体" w:hAnsi="等线" w:eastAsia="宋体" w:cs="宋体"/>
      <w:bCs/>
      <w:szCs w:val="20"/>
    </w:rPr>
  </w:style>
  <w:style w:type="character" w:customStyle="1" w:styleId="3037">
    <w:name w:val="正文样式1 Char"/>
    <w:link w:val="1013"/>
    <w:autoRedefine/>
    <w:qFormat/>
    <w:uiPriority w:val="0"/>
    <w:rPr>
      <w:kern w:val="28"/>
      <w:sz w:val="28"/>
    </w:rPr>
  </w:style>
  <w:style w:type="character" w:customStyle="1" w:styleId="3038">
    <w:name w:val="p0 Char"/>
    <w:link w:val="1355"/>
    <w:autoRedefine/>
    <w:qFormat/>
    <w:locked/>
    <w:uiPriority w:val="0"/>
    <w:rPr>
      <w:sz w:val="21"/>
      <w:szCs w:val="21"/>
    </w:rPr>
  </w:style>
  <w:style w:type="paragraph" w:customStyle="1" w:styleId="3039">
    <w:name w:val="Char Char Char1 Char Char Char Char Char Char Char Char Char Char Char Char1 Char Char Char Char Char Char Char Char Char Char"/>
    <w:basedOn w:val="1"/>
    <w:autoRedefine/>
    <w:qFormat/>
    <w:uiPriority w:val="99"/>
    <w:pPr>
      <w:widowControl/>
      <w:spacing w:line="360" w:lineRule="auto"/>
      <w:jc w:val="left"/>
    </w:pPr>
    <w:rPr>
      <w:rFonts w:cstheme="majorBidi"/>
      <w:kern w:val="0"/>
    </w:rPr>
  </w:style>
  <w:style w:type="paragraph" w:customStyle="1" w:styleId="3040">
    <w:name w:val="样式10001"/>
    <w:basedOn w:val="1"/>
    <w:autoRedefine/>
    <w:qFormat/>
    <w:uiPriority w:val="0"/>
    <w:pPr>
      <w:widowControl/>
      <w:spacing w:beforeLines="50" w:afterLines="50" w:line="360" w:lineRule="auto"/>
      <w:ind w:firstLine="480"/>
      <w:jc w:val="left"/>
    </w:pPr>
    <w:rPr>
      <w:rFonts w:cstheme="majorBidi"/>
      <w:color w:val="000000"/>
      <w:kern w:val="0"/>
    </w:rPr>
  </w:style>
  <w:style w:type="paragraph" w:customStyle="1" w:styleId="3041">
    <w:name w:val="样式 标题 3 + 首行缩进:  2 字符 段前: 8.15 磅 段后: 8.15 磅3"/>
    <w:basedOn w:val="5"/>
    <w:autoRedefine/>
    <w:qFormat/>
    <w:uiPriority w:val="99"/>
    <w:pPr>
      <w:keepNext w:val="0"/>
      <w:keepLines w:val="0"/>
      <w:widowControl/>
      <w:numPr>
        <w:ilvl w:val="0"/>
        <w:numId w:val="0"/>
      </w:numPr>
      <w:tabs>
        <w:tab w:val="left" w:pos="1260"/>
      </w:tabs>
      <w:adjustRightInd w:val="0"/>
      <w:snapToGrid w:val="0"/>
      <w:spacing w:before="163" w:after="163" w:line="240" w:lineRule="atLeast"/>
      <w:ind w:left="1260" w:hanging="420"/>
      <w:jc w:val="left"/>
    </w:pPr>
    <w:rPr>
      <w:rFonts w:ascii="Arial Unicode MS" w:hAnsi="Arial Unicode MS" w:cstheme="majorBidi"/>
      <w:b w:val="0"/>
      <w:iCs/>
      <w:smallCaps/>
      <w:spacing w:val="5"/>
      <w:kern w:val="0"/>
      <w:sz w:val="24"/>
      <w:szCs w:val="24"/>
    </w:rPr>
  </w:style>
  <w:style w:type="paragraph" w:customStyle="1" w:styleId="3042">
    <w:name w:val="17"/>
    <w:basedOn w:val="1"/>
    <w:autoRedefine/>
    <w:qFormat/>
    <w:uiPriority w:val="0"/>
    <w:pPr>
      <w:widowControl/>
      <w:snapToGrid w:val="0"/>
      <w:spacing w:before="156" w:after="156" w:line="360" w:lineRule="auto"/>
      <w:jc w:val="left"/>
    </w:pPr>
    <w:rPr>
      <w:rFonts w:hint="eastAsia" w:ascii="黑体" w:hAnsi="Arial Unicode MS" w:eastAsia="黑体" w:cs="Arial Unicode MS"/>
      <w:b/>
      <w:bCs/>
      <w:color w:val="000000"/>
      <w:kern w:val="0"/>
      <w:szCs w:val="21"/>
    </w:rPr>
  </w:style>
  <w:style w:type="paragraph" w:customStyle="1" w:styleId="3043">
    <w:name w:val="小3黑顶"/>
    <w:basedOn w:val="4"/>
    <w:autoRedefine/>
    <w:qFormat/>
    <w:uiPriority w:val="99"/>
    <w:pPr>
      <w:keepNext w:val="0"/>
      <w:keepLines w:val="0"/>
      <w:widowControl/>
      <w:numPr>
        <w:ilvl w:val="0"/>
        <w:numId w:val="0"/>
      </w:numPr>
      <w:tabs>
        <w:tab w:val="left" w:pos="840"/>
      </w:tabs>
      <w:spacing w:before="360" w:after="240"/>
      <w:ind w:left="840" w:hanging="420"/>
      <w:jc w:val="left"/>
    </w:pPr>
    <w:rPr>
      <w:rFonts w:ascii="黑体" w:hAnsi="宋体" w:eastAsia="仿宋_GB2312"/>
      <w:smallCaps/>
      <w:color w:val="000000"/>
      <w:kern w:val="0"/>
      <w:sz w:val="30"/>
    </w:rPr>
  </w:style>
  <w:style w:type="paragraph" w:customStyle="1" w:styleId="3044">
    <w:name w:val="10.3.11"/>
    <w:basedOn w:val="1"/>
    <w:autoRedefine/>
    <w:qFormat/>
    <w:uiPriority w:val="0"/>
    <w:pPr>
      <w:widowControl/>
      <w:adjustRightInd w:val="0"/>
      <w:snapToGrid w:val="0"/>
      <w:spacing w:line="336" w:lineRule="auto"/>
      <w:jc w:val="left"/>
    </w:pPr>
    <w:rPr>
      <w:rFonts w:ascii="宋体" w:cstheme="majorBidi"/>
      <w:kern w:val="0"/>
      <w:sz w:val="28"/>
      <w:szCs w:val="28"/>
    </w:rPr>
  </w:style>
  <w:style w:type="paragraph" w:customStyle="1" w:styleId="3045">
    <w:name w:val="样式 样式 宋体 四号 行距: 固定值 25 磅1 + 首行缩进:  2 字符"/>
    <w:basedOn w:val="1"/>
    <w:autoRedefine/>
    <w:qFormat/>
    <w:uiPriority w:val="0"/>
    <w:pPr>
      <w:widowControl/>
      <w:spacing w:before="120" w:after="120" w:line="360" w:lineRule="auto"/>
      <w:jc w:val="center"/>
      <w:outlineLvl w:val="3"/>
    </w:pPr>
    <w:rPr>
      <w:rFonts w:ascii="宋体" w:hAnsi="黑体" w:eastAsia="黑体" w:cstheme="majorBidi"/>
      <w:kern w:val="0"/>
      <w:szCs w:val="21"/>
    </w:rPr>
  </w:style>
  <w:style w:type="paragraph" w:customStyle="1" w:styleId="3046">
    <w:name w:val="样式 标题 1标题 11一、 + (中文) 黑体 三号"/>
    <w:basedOn w:val="3"/>
    <w:autoRedefine/>
    <w:qFormat/>
    <w:uiPriority w:val="99"/>
    <w:pPr>
      <w:keepNext w:val="0"/>
      <w:widowControl/>
      <w:numPr>
        <w:numId w:val="0"/>
      </w:numPr>
      <w:tabs>
        <w:tab w:val="left" w:pos="914"/>
        <w:tab w:val="clear" w:pos="0"/>
      </w:tabs>
      <w:spacing w:before="340" w:after="330" w:line="578" w:lineRule="auto"/>
      <w:ind w:left="914" w:hanging="432"/>
      <w:contextualSpacing/>
      <w:jc w:val="left"/>
    </w:pPr>
    <w:rPr>
      <w:rFonts w:ascii="宋体" w:hAnsi="宋体" w:cs="宋体"/>
      <w:smallCaps/>
      <w:spacing w:val="5"/>
      <w:kern w:val="0"/>
      <w:sz w:val="32"/>
    </w:rPr>
  </w:style>
  <w:style w:type="paragraph" w:customStyle="1" w:styleId="3047">
    <w:name w:val="表列"/>
    <w:basedOn w:val="1"/>
    <w:autoRedefine/>
    <w:qFormat/>
    <w:uiPriority w:val="0"/>
    <w:pPr>
      <w:widowControl/>
      <w:adjustRightInd w:val="0"/>
      <w:spacing w:line="240" w:lineRule="atLeast"/>
      <w:jc w:val="left"/>
      <w:textAlignment w:val="baseline"/>
    </w:pPr>
    <w:rPr>
      <w:rFonts w:cstheme="majorBidi"/>
      <w:kern w:val="0"/>
      <w:szCs w:val="20"/>
    </w:rPr>
  </w:style>
  <w:style w:type="paragraph" w:customStyle="1" w:styleId="3048">
    <w:name w:val="表目"/>
    <w:basedOn w:val="1"/>
    <w:autoRedefine/>
    <w:qFormat/>
    <w:uiPriority w:val="0"/>
    <w:pPr>
      <w:widowControl/>
      <w:adjustRightInd w:val="0"/>
      <w:spacing w:line="300" w:lineRule="auto"/>
      <w:jc w:val="center"/>
      <w:textAlignment w:val="center"/>
    </w:pPr>
    <w:rPr>
      <w:rFonts w:cstheme="majorBidi"/>
      <w:b/>
      <w:kern w:val="0"/>
      <w:szCs w:val="20"/>
    </w:rPr>
  </w:style>
  <w:style w:type="paragraph" w:customStyle="1" w:styleId="3049">
    <w:name w:val="样式 标题3"/>
    <w:basedOn w:val="5"/>
    <w:autoRedefine/>
    <w:qFormat/>
    <w:uiPriority w:val="0"/>
    <w:pPr>
      <w:keepNext w:val="0"/>
      <w:keepLines w:val="0"/>
      <w:widowControl/>
      <w:numPr>
        <w:ilvl w:val="0"/>
        <w:numId w:val="0"/>
      </w:numPr>
      <w:tabs>
        <w:tab w:val="left" w:pos="720"/>
      </w:tabs>
      <w:adjustRightInd w:val="0"/>
      <w:snapToGrid w:val="0"/>
      <w:spacing w:beforeLines="50" w:afterLines="50" w:line="360" w:lineRule="auto"/>
      <w:ind w:left="1440" w:hanging="720"/>
      <w:jc w:val="left"/>
    </w:pPr>
    <w:rPr>
      <w:rFonts w:ascii="黑体" w:cstheme="majorBidi"/>
      <w:b w:val="0"/>
      <w:bCs w:val="0"/>
      <w:iCs/>
      <w:smallCaps/>
      <w:spacing w:val="5"/>
      <w:kern w:val="0"/>
      <w:sz w:val="24"/>
    </w:rPr>
  </w:style>
  <w:style w:type="paragraph" w:customStyle="1" w:styleId="3050">
    <w:name w:val="样式 样式31 + 段前: 0.5 行 段后: 0.5 行"/>
    <w:basedOn w:val="3051"/>
    <w:autoRedefine/>
    <w:qFormat/>
    <w:uiPriority w:val="0"/>
    <w:pPr>
      <w:keepLines/>
      <w:tabs>
        <w:tab w:val="left" w:pos="0"/>
        <w:tab w:val="left" w:pos="425"/>
      </w:tabs>
      <w:spacing w:before="156" w:after="156"/>
      <w:ind w:hanging="420"/>
      <w:jc w:val="both"/>
    </w:pPr>
    <w:rPr>
      <w:rFonts w:ascii="黑体" w:hAnsi="Arial Unicode MS" w:eastAsia="黑体" w:cs="宋体"/>
      <w:bCs w:val="0"/>
      <w:kern w:val="44"/>
    </w:rPr>
  </w:style>
  <w:style w:type="paragraph" w:customStyle="1" w:styleId="3051">
    <w:name w:val="样式31"/>
    <w:basedOn w:val="2728"/>
    <w:autoRedefine/>
    <w:qFormat/>
    <w:uiPriority w:val="0"/>
    <w:pPr>
      <w:ind w:left="0" w:firstLine="0"/>
    </w:pPr>
    <w:rPr>
      <w:bCs/>
      <w:szCs w:val="20"/>
    </w:rPr>
  </w:style>
  <w:style w:type="paragraph" w:customStyle="1" w:styleId="3052">
    <w:name w:val="biao2"/>
    <w:basedOn w:val="1"/>
    <w:autoRedefine/>
    <w:qFormat/>
    <w:uiPriority w:val="0"/>
    <w:pPr>
      <w:widowControl/>
      <w:spacing w:before="100" w:beforeAutospacing="1" w:after="100" w:afterAutospacing="1" w:line="360" w:lineRule="auto"/>
      <w:jc w:val="left"/>
    </w:pPr>
    <w:rPr>
      <w:rFonts w:ascii="Arial Unicode MS" w:hAnsi="Arial Unicode MS" w:cstheme="majorBidi"/>
      <w:kern w:val="0"/>
      <w:szCs w:val="20"/>
    </w:rPr>
  </w:style>
  <w:style w:type="paragraph" w:customStyle="1" w:styleId="3053">
    <w:name w:val="样式 正文缩进 + 仿宋_GB2312 四号"/>
    <w:basedOn w:val="21"/>
    <w:autoRedefine/>
    <w:qFormat/>
    <w:uiPriority w:val="0"/>
    <w:pPr>
      <w:widowControl/>
      <w:spacing w:line="360" w:lineRule="auto"/>
      <w:ind w:firstLine="200"/>
    </w:pPr>
    <w:rPr>
      <w:rFonts w:ascii="仿宋_GB2312" w:hAnsi="仿宋_GB2312" w:eastAsia="仿宋_GB2312" w:cstheme="majorBidi"/>
      <w:kern w:val="0"/>
      <w:szCs w:val="22"/>
    </w:rPr>
  </w:style>
  <w:style w:type="character" w:customStyle="1" w:styleId="3054">
    <w:name w:val="图表名称 Char"/>
    <w:link w:val="739"/>
    <w:autoRedefine/>
    <w:qFormat/>
    <w:locked/>
    <w:uiPriority w:val="99"/>
    <w:rPr>
      <w:b/>
      <w:kern w:val="2"/>
      <w:sz w:val="24"/>
      <w:szCs w:val="24"/>
      <w:lang w:val="zh-CN"/>
    </w:rPr>
  </w:style>
  <w:style w:type="paragraph" w:customStyle="1" w:styleId="3055">
    <w:name w:val="样式 纯文本 + 黑体 首行缩进:  2 字符"/>
    <w:basedOn w:val="45"/>
    <w:autoRedefine/>
    <w:qFormat/>
    <w:uiPriority w:val="0"/>
    <w:pPr>
      <w:widowControl/>
      <w:tabs>
        <w:tab w:val="left" w:pos="900"/>
        <w:tab w:val="left" w:pos="1620"/>
      </w:tabs>
      <w:adjustRightInd/>
      <w:spacing w:line="240" w:lineRule="auto"/>
      <w:ind w:left="538" w:firstLine="480" w:firstLineChars="200"/>
      <w:jc w:val="left"/>
      <w:textAlignment w:val="auto"/>
    </w:pPr>
    <w:rPr>
      <w:rFonts w:ascii="黑体" w:eastAsia="等线" w:cs="宋体"/>
      <w:b/>
      <w:bCs/>
      <w:sz w:val="24"/>
      <w:szCs w:val="20"/>
    </w:rPr>
  </w:style>
  <w:style w:type="paragraph" w:customStyle="1" w:styleId="3056">
    <w:name w:val="样式 标题 3 + 宋体 四号"/>
    <w:basedOn w:val="5"/>
    <w:autoRedefine/>
    <w:qFormat/>
    <w:uiPriority w:val="0"/>
    <w:pPr>
      <w:keepNext w:val="0"/>
      <w:keepLines w:val="0"/>
      <w:widowControl/>
      <w:numPr>
        <w:ilvl w:val="0"/>
        <w:numId w:val="0"/>
      </w:numPr>
      <w:adjustRightInd w:val="0"/>
      <w:snapToGrid w:val="0"/>
      <w:spacing w:before="140" w:after="140" w:line="360" w:lineRule="auto"/>
      <w:jc w:val="left"/>
    </w:pPr>
    <w:rPr>
      <w:rFonts w:ascii="宋体" w:hAnsi="宋体" w:cstheme="majorBidi"/>
      <w:b w:val="0"/>
      <w:bCs w:val="0"/>
      <w:iCs/>
      <w:smallCaps/>
      <w:spacing w:val="5"/>
      <w:kern w:val="0"/>
      <w:sz w:val="28"/>
    </w:rPr>
  </w:style>
  <w:style w:type="paragraph" w:customStyle="1" w:styleId="3057">
    <w:name w:val="reader-word-layer reader-word-s1-20 reader-word-s1-21"/>
    <w:basedOn w:val="1"/>
    <w:autoRedefine/>
    <w:qFormat/>
    <w:uiPriority w:val="99"/>
    <w:pPr>
      <w:widowControl/>
      <w:spacing w:before="100" w:beforeAutospacing="1" w:after="100" w:afterAutospacing="1" w:line="360" w:lineRule="auto"/>
      <w:jc w:val="left"/>
    </w:pPr>
    <w:rPr>
      <w:rFonts w:ascii="宋体" w:hAnsi="宋体" w:cs="宋体"/>
      <w:kern w:val="0"/>
    </w:rPr>
  </w:style>
  <w:style w:type="paragraph" w:customStyle="1" w:styleId="3058">
    <w:name w:val="粤东核电报告正文"/>
    <w:basedOn w:val="1"/>
    <w:autoRedefine/>
    <w:qFormat/>
    <w:uiPriority w:val="0"/>
    <w:pPr>
      <w:widowControl/>
      <w:spacing w:line="360" w:lineRule="auto"/>
      <w:ind w:right="210" w:firstLine="480"/>
      <w:jc w:val="left"/>
    </w:pPr>
    <w:rPr>
      <w:rFonts w:ascii="宋体" w:hAnsi="宋体" w:cs="宋体"/>
      <w:kern w:val="0"/>
    </w:rPr>
  </w:style>
  <w:style w:type="paragraph" w:customStyle="1" w:styleId="3059">
    <w:name w:val="Char2 Char Char Char"/>
    <w:basedOn w:val="1"/>
    <w:autoRedefine/>
    <w:qFormat/>
    <w:uiPriority w:val="0"/>
    <w:pPr>
      <w:widowControl/>
      <w:spacing w:line="360" w:lineRule="auto"/>
      <w:jc w:val="left"/>
    </w:pPr>
    <w:rPr>
      <w:rFonts w:ascii="宋体" w:hAnsi="宋体" w:cs="宋体"/>
      <w:kern w:val="0"/>
    </w:rPr>
  </w:style>
  <w:style w:type="paragraph" w:customStyle="1" w:styleId="3060">
    <w:name w:val="普通(网站)2"/>
    <w:basedOn w:val="1"/>
    <w:autoRedefine/>
    <w:qFormat/>
    <w:uiPriority w:val="0"/>
    <w:pPr>
      <w:widowControl/>
      <w:spacing w:before="100" w:beforeAutospacing="1" w:after="100" w:afterAutospacing="1" w:line="360" w:lineRule="auto"/>
      <w:jc w:val="left"/>
    </w:pPr>
    <w:rPr>
      <w:rFonts w:ascii="宋体" w:cstheme="majorBidi"/>
      <w:kern w:val="0"/>
      <w:szCs w:val="20"/>
    </w:rPr>
  </w:style>
  <w:style w:type="paragraph" w:customStyle="1" w:styleId="3061">
    <w:name w:val="小节标题"/>
    <w:basedOn w:val="1"/>
    <w:next w:val="1"/>
    <w:autoRedefine/>
    <w:qFormat/>
    <w:uiPriority w:val="0"/>
    <w:pPr>
      <w:widowControl/>
      <w:spacing w:before="175" w:after="102" w:line="351" w:lineRule="atLeast"/>
      <w:jc w:val="left"/>
      <w:textAlignment w:val="baseline"/>
    </w:pPr>
    <w:rPr>
      <w:rFonts w:eastAsia="黑体" w:cstheme="majorBidi"/>
      <w:color w:val="000000"/>
      <w:kern w:val="0"/>
      <w:szCs w:val="20"/>
      <w:u w:color="000000"/>
    </w:rPr>
  </w:style>
  <w:style w:type="paragraph" w:customStyle="1" w:styleId="3062">
    <w:name w:val="un"/>
    <w:basedOn w:val="1"/>
    <w:autoRedefine/>
    <w:qFormat/>
    <w:uiPriority w:val="99"/>
    <w:pPr>
      <w:widowControl/>
      <w:spacing w:before="100" w:beforeAutospacing="1" w:after="100" w:afterAutospacing="1" w:line="450" w:lineRule="atLeast"/>
      <w:jc w:val="left"/>
    </w:pPr>
    <w:rPr>
      <w:rFonts w:ascii="宋体" w:hAnsi="宋体" w:cstheme="majorBidi"/>
      <w:color w:val="000000"/>
      <w:kern w:val="0"/>
      <w:sz w:val="18"/>
      <w:szCs w:val="18"/>
    </w:rPr>
  </w:style>
  <w:style w:type="paragraph" w:customStyle="1" w:styleId="3063">
    <w:name w:val="样式57"/>
    <w:basedOn w:val="1"/>
    <w:autoRedefine/>
    <w:qFormat/>
    <w:uiPriority w:val="0"/>
    <w:pPr>
      <w:keepNext/>
      <w:keepLines/>
      <w:widowControl/>
      <w:spacing w:beforeLines="50" w:afterLines="50" w:line="360" w:lineRule="auto"/>
      <w:jc w:val="left"/>
      <w:outlineLvl w:val="1"/>
    </w:pPr>
    <w:rPr>
      <w:rFonts w:eastAsia="黑体" w:cstheme="majorBidi"/>
      <w:b/>
      <w:bCs/>
      <w:kern w:val="0"/>
      <w:sz w:val="28"/>
      <w:szCs w:val="28"/>
    </w:rPr>
  </w:style>
  <w:style w:type="paragraph" w:customStyle="1" w:styleId="3064">
    <w:name w:val="样式 +中文正文 行距: 1.5 倍行距 首行缩进:  2 字符"/>
    <w:basedOn w:val="1"/>
    <w:autoRedefine/>
    <w:qFormat/>
    <w:uiPriority w:val="0"/>
    <w:pPr>
      <w:widowControl/>
      <w:spacing w:line="360" w:lineRule="auto"/>
      <w:ind w:firstLine="480"/>
      <w:jc w:val="left"/>
    </w:pPr>
    <w:rPr>
      <w:rFonts w:ascii="宋体" w:hAnsi="宋体" w:cs="宋体"/>
      <w:kern w:val="0"/>
      <w:szCs w:val="20"/>
      <w:lang w:eastAsia="en-US" w:bidi="en-US"/>
    </w:rPr>
  </w:style>
  <w:style w:type="paragraph" w:customStyle="1" w:styleId="3065">
    <w:name w:val="111111111"/>
    <w:basedOn w:val="1"/>
    <w:autoRedefine/>
    <w:qFormat/>
    <w:uiPriority w:val="99"/>
    <w:pPr>
      <w:keepNext/>
      <w:keepLines/>
      <w:widowControl/>
      <w:tabs>
        <w:tab w:val="left" w:pos="840"/>
      </w:tabs>
      <w:spacing w:beforeLines="50" w:afterLines="50" w:line="360" w:lineRule="auto"/>
      <w:ind w:left="840" w:hanging="360"/>
      <w:jc w:val="left"/>
      <w:outlineLvl w:val="0"/>
    </w:pPr>
    <w:rPr>
      <w:rFonts w:ascii="黑体" w:hAnsi="Arial Unicode MS" w:eastAsia="黑体" w:cs="Arial Unicode MS"/>
      <w:b/>
      <w:bCs/>
      <w:color w:val="000000"/>
      <w:kern w:val="44"/>
      <w:sz w:val="30"/>
      <w:szCs w:val="30"/>
    </w:rPr>
  </w:style>
  <w:style w:type="paragraph" w:customStyle="1" w:styleId="3066">
    <w:name w:val="标题三"/>
    <w:basedOn w:val="1"/>
    <w:autoRedefine/>
    <w:qFormat/>
    <w:uiPriority w:val="0"/>
    <w:pPr>
      <w:widowControl/>
      <w:snapToGrid w:val="0"/>
      <w:spacing w:beforeLines="50" w:line="460" w:lineRule="exact"/>
      <w:jc w:val="left"/>
      <w:outlineLvl w:val="2"/>
    </w:pPr>
    <w:rPr>
      <w:rFonts w:eastAsia="楷体_GB2312" w:cstheme="majorBidi"/>
      <w:b/>
      <w:kern w:val="0"/>
      <w:sz w:val="28"/>
      <w:szCs w:val="28"/>
    </w:rPr>
  </w:style>
  <w:style w:type="paragraph" w:customStyle="1" w:styleId="3067">
    <w:name w:val="样式 样式 样式 标题 2H2h2heading 2+ Indent: Left 0.25 in二级节名1.1  heading..."/>
    <w:basedOn w:val="3009"/>
    <w:autoRedefine/>
    <w:qFormat/>
    <w:uiPriority w:val="0"/>
    <w:pPr>
      <w:tabs>
        <w:tab w:val="left" w:pos="3045"/>
      </w:tabs>
      <w:ind w:left="-2"/>
    </w:pPr>
  </w:style>
  <w:style w:type="paragraph" w:customStyle="1" w:styleId="3068">
    <w:name w:val="样式 正文缩进正文缩进 Char表格标题标题4正文不缩进s4正文2首行缩进两字正文缩进1 + 首行缩进:  2 ..."/>
    <w:basedOn w:val="21"/>
    <w:autoRedefine/>
    <w:qFormat/>
    <w:uiPriority w:val="0"/>
    <w:pPr>
      <w:widowControl/>
      <w:spacing w:line="360" w:lineRule="auto"/>
      <w:ind w:firstLine="480"/>
    </w:pPr>
    <w:rPr>
      <w:rFonts w:ascii="宋体" w:hAnsi="宋体" w:eastAsia="等线" w:cstheme="majorBidi"/>
      <w:kern w:val="0"/>
      <w:szCs w:val="22"/>
    </w:rPr>
  </w:style>
  <w:style w:type="paragraph" w:customStyle="1" w:styleId="3069">
    <w:name w:val="字母编号列项（一级）"/>
    <w:autoRedefine/>
    <w:qFormat/>
    <w:uiPriority w:val="0"/>
    <w:pPr>
      <w:spacing w:line="360" w:lineRule="auto"/>
      <w:ind w:left="840" w:leftChars="200" w:hanging="420" w:hangingChars="200"/>
      <w:jc w:val="both"/>
    </w:pPr>
    <w:rPr>
      <w:rFonts w:ascii="宋体" w:hAnsi="Times New Roman" w:eastAsiaTheme="majorEastAsia" w:cstheme="majorBidi"/>
      <w:sz w:val="21"/>
      <w:szCs w:val="22"/>
      <w:lang w:val="en-US" w:eastAsia="zh-CN" w:bidi="ar-SA"/>
    </w:rPr>
  </w:style>
  <w:style w:type="paragraph" w:customStyle="1" w:styleId="3070">
    <w:name w:val="In Table"/>
    <w:basedOn w:val="1"/>
    <w:autoRedefine/>
    <w:qFormat/>
    <w:uiPriority w:val="0"/>
    <w:pPr>
      <w:widowControl/>
      <w:tabs>
        <w:tab w:val="left" w:pos="2200"/>
        <w:tab w:val="left" w:pos="3960"/>
        <w:tab w:val="left" w:pos="5280"/>
      </w:tabs>
      <w:spacing w:before="96" w:after="96" w:line="0" w:lineRule="atLeast"/>
      <w:jc w:val="center"/>
    </w:pPr>
    <w:rPr>
      <w:rFonts w:ascii="Tahoma" w:hAnsi="Tahoma" w:eastAsia="华文中宋" w:cstheme="majorBidi"/>
      <w:kern w:val="0"/>
      <w:szCs w:val="20"/>
    </w:rPr>
  </w:style>
  <w:style w:type="paragraph" w:customStyle="1" w:styleId="3071">
    <w:name w:val="样式71"/>
    <w:basedOn w:val="1"/>
    <w:autoRedefine/>
    <w:qFormat/>
    <w:uiPriority w:val="0"/>
    <w:pPr>
      <w:widowControl/>
      <w:spacing w:beforeLines="50" w:afterLines="50" w:line="360" w:lineRule="auto"/>
      <w:ind w:firstLine="480"/>
      <w:jc w:val="left"/>
    </w:pPr>
    <w:rPr>
      <w:rFonts w:hAnsi="宋体" w:cstheme="majorBidi"/>
      <w:color w:val="000000"/>
      <w:kern w:val="0"/>
      <w:lang w:val="zh-CN"/>
    </w:rPr>
  </w:style>
  <w:style w:type="paragraph" w:customStyle="1" w:styleId="3072">
    <w:name w:val="样式 标题 1标题 11一、 + Times New Roman 行距: 固定值 23 磅"/>
    <w:basedOn w:val="3"/>
    <w:autoRedefine/>
    <w:qFormat/>
    <w:uiPriority w:val="0"/>
    <w:pPr>
      <w:keepNext w:val="0"/>
      <w:widowControl/>
      <w:numPr>
        <w:numId w:val="0"/>
      </w:numPr>
      <w:tabs>
        <w:tab w:val="clear" w:pos="0"/>
      </w:tabs>
      <w:spacing w:line="460" w:lineRule="exact"/>
      <w:contextualSpacing/>
      <w:jc w:val="left"/>
    </w:pPr>
    <w:rPr>
      <w:rFonts w:ascii="黑体" w:cs="宋体"/>
      <w:b w:val="0"/>
      <w:smallCaps/>
      <w:spacing w:val="5"/>
      <w:kern w:val="0"/>
      <w:sz w:val="32"/>
      <w:szCs w:val="32"/>
    </w:rPr>
  </w:style>
  <w:style w:type="paragraph" w:customStyle="1" w:styleId="3073">
    <w:name w:val="样式 标题 2标题 21标题 121标题 2 Char1 Char节H2节标题 1.1节标题 1.1 Char...1"/>
    <w:basedOn w:val="4"/>
    <w:autoRedefine/>
    <w:qFormat/>
    <w:uiPriority w:val="0"/>
    <w:pPr>
      <w:keepNext w:val="0"/>
      <w:keepLines w:val="0"/>
      <w:widowControl/>
      <w:numPr>
        <w:ilvl w:val="0"/>
        <w:numId w:val="0"/>
      </w:numPr>
      <w:adjustRightInd w:val="0"/>
      <w:spacing w:before="260" w:after="260"/>
      <w:jc w:val="left"/>
      <w:textAlignment w:val="baseline"/>
    </w:pPr>
    <w:rPr>
      <w:rFonts w:ascii="黑体" w:hAnsi="黑体"/>
      <w:smallCaps/>
      <w:color w:val="000000"/>
      <w:kern w:val="0"/>
      <w:sz w:val="28"/>
      <w:szCs w:val="20"/>
    </w:rPr>
  </w:style>
  <w:style w:type="paragraph" w:customStyle="1" w:styleId="3074">
    <w:name w:val="样式83"/>
    <w:basedOn w:val="1"/>
    <w:autoRedefine/>
    <w:qFormat/>
    <w:uiPriority w:val="0"/>
    <w:pPr>
      <w:keepNext/>
      <w:keepLines/>
      <w:widowControl/>
      <w:numPr>
        <w:ilvl w:val="2"/>
        <w:numId w:val="36"/>
      </w:numPr>
      <w:tabs>
        <w:tab w:val="left" w:pos="920"/>
        <w:tab w:val="left" w:pos="1740"/>
        <w:tab w:val="clear" w:pos="1440"/>
      </w:tabs>
      <w:spacing w:beforeLines="50" w:afterLines="50" w:line="360" w:lineRule="auto"/>
      <w:ind w:left="0" w:firstLine="0" w:firstLineChars="0"/>
      <w:jc w:val="left"/>
      <w:outlineLvl w:val="2"/>
    </w:pPr>
    <w:rPr>
      <w:rFonts w:ascii="宋体" w:hAnsi="宋体" w:cstheme="majorBidi"/>
      <w:b/>
      <w:color w:val="000000"/>
      <w:kern w:val="0"/>
      <w:szCs w:val="32"/>
    </w:rPr>
  </w:style>
  <w:style w:type="paragraph" w:customStyle="1" w:styleId="3075">
    <w:name w:val="Char Char Char Char Char Char Char Char Char Char Char Char Char Char Char Char Char Char1 Char Char Char Char Char Char Char Char Char Char Char Char1 Char Char Char"/>
    <w:basedOn w:val="1"/>
    <w:next w:val="1"/>
    <w:autoRedefine/>
    <w:qFormat/>
    <w:uiPriority w:val="0"/>
    <w:pPr>
      <w:widowControl/>
      <w:spacing w:line="360" w:lineRule="auto"/>
      <w:jc w:val="left"/>
    </w:pPr>
    <w:rPr>
      <w:rFonts w:ascii="宋体" w:hAnsi="宋体" w:cs="宋体"/>
      <w:kern w:val="0"/>
    </w:rPr>
  </w:style>
  <w:style w:type="paragraph" w:customStyle="1" w:styleId="3076">
    <w:name w:val="图注"/>
    <w:basedOn w:val="1"/>
    <w:qFormat/>
    <w:uiPriority w:val="0"/>
    <w:pPr>
      <w:widowControl/>
      <w:spacing w:before="120" w:after="120" w:line="360" w:lineRule="auto"/>
      <w:jc w:val="center"/>
    </w:pPr>
    <w:rPr>
      <w:rFonts w:eastAsia="黑体" w:cstheme="majorBidi"/>
      <w:b/>
      <w:kern w:val="0"/>
      <w:szCs w:val="20"/>
    </w:rPr>
  </w:style>
  <w:style w:type="paragraph" w:customStyle="1" w:styleId="3077">
    <w:name w:val="样式 标题 2 + 非加粗"/>
    <w:basedOn w:val="4"/>
    <w:autoRedefine/>
    <w:qFormat/>
    <w:uiPriority w:val="99"/>
    <w:pPr>
      <w:keepNext w:val="0"/>
      <w:keepLines w:val="0"/>
      <w:widowControl/>
      <w:numPr>
        <w:ilvl w:val="0"/>
        <w:numId w:val="0"/>
      </w:numPr>
      <w:tabs>
        <w:tab w:val="left" w:pos="840"/>
      </w:tabs>
      <w:spacing w:before="260" w:after="260" w:line="312" w:lineRule="auto"/>
      <w:ind w:left="840" w:hanging="420"/>
      <w:jc w:val="left"/>
    </w:pPr>
    <w:rPr>
      <w:bCs w:val="0"/>
      <w:smallCaps/>
      <w:kern w:val="0"/>
      <w:sz w:val="24"/>
      <w:szCs w:val="24"/>
    </w:rPr>
  </w:style>
  <w:style w:type="paragraph" w:customStyle="1" w:styleId="3078">
    <w:name w:val="HTML 预设格式1"/>
    <w:basedOn w:val="1"/>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50" w:line="360" w:lineRule="auto"/>
      <w:jc w:val="left"/>
    </w:pPr>
    <w:rPr>
      <w:rFonts w:ascii="Courier New" w:hAnsi="Courier New" w:cs="Courier New"/>
      <w:kern w:val="0"/>
      <w:sz w:val="20"/>
      <w:szCs w:val="20"/>
    </w:rPr>
  </w:style>
  <w:style w:type="paragraph" w:customStyle="1" w:styleId="3079">
    <w:name w:val="设计院说明书正文"/>
    <w:basedOn w:val="1"/>
    <w:autoRedefine/>
    <w:qFormat/>
    <w:uiPriority w:val="0"/>
    <w:pPr>
      <w:widowControl/>
      <w:spacing w:line="560" w:lineRule="exact"/>
      <w:jc w:val="left"/>
    </w:pPr>
    <w:rPr>
      <w:rFonts w:ascii="Arial Unicode MS" w:hAnsi="Arial Unicode MS" w:eastAsia="幼圆" w:cs="宋体"/>
      <w:kern w:val="0"/>
      <w:szCs w:val="28"/>
    </w:rPr>
  </w:style>
  <w:style w:type="paragraph" w:customStyle="1" w:styleId="3080">
    <w:name w:val="表标题1"/>
    <w:basedOn w:val="1"/>
    <w:next w:val="1"/>
    <w:autoRedefine/>
    <w:qFormat/>
    <w:uiPriority w:val="0"/>
    <w:pPr>
      <w:widowControl/>
      <w:spacing w:beforeLines="50" w:after="120" w:line="300" w:lineRule="auto"/>
      <w:jc w:val="center"/>
    </w:pPr>
    <w:rPr>
      <w:rFonts w:ascii="宋体" w:hAnsi="宋体" w:cs="宋体"/>
      <w:kern w:val="0"/>
      <w:szCs w:val="20"/>
    </w:rPr>
  </w:style>
  <w:style w:type="paragraph" w:customStyle="1" w:styleId="3081">
    <w:name w:val="样式 标题 3 + 首行缩进:  2 字符 段前: 8.15 磅 段后: 8.15 磅1"/>
    <w:basedOn w:val="5"/>
    <w:autoRedefine/>
    <w:qFormat/>
    <w:uiPriority w:val="99"/>
    <w:pPr>
      <w:keepNext w:val="0"/>
      <w:keepLines w:val="0"/>
      <w:widowControl/>
      <w:numPr>
        <w:ilvl w:val="0"/>
        <w:numId w:val="0"/>
      </w:numPr>
      <w:tabs>
        <w:tab w:val="left" w:pos="1260"/>
      </w:tabs>
      <w:adjustRightInd w:val="0"/>
      <w:snapToGrid w:val="0"/>
      <w:spacing w:before="163" w:after="163" w:line="240" w:lineRule="atLeast"/>
      <w:ind w:left="1260" w:firstLine="482"/>
      <w:jc w:val="left"/>
    </w:pPr>
    <w:rPr>
      <w:rFonts w:ascii="Arial Unicode MS" w:hAnsi="Arial Unicode MS" w:cstheme="majorBidi"/>
      <w:b w:val="0"/>
      <w:iCs/>
      <w:smallCaps/>
      <w:spacing w:val="5"/>
      <w:kern w:val="0"/>
      <w:sz w:val="24"/>
      <w:szCs w:val="24"/>
    </w:rPr>
  </w:style>
  <w:style w:type="paragraph" w:customStyle="1" w:styleId="3082">
    <w:name w:val="123456"/>
    <w:basedOn w:val="1"/>
    <w:qFormat/>
    <w:uiPriority w:val="0"/>
    <w:pPr>
      <w:widowControl/>
      <w:spacing w:before="120" w:after="120" w:line="360" w:lineRule="auto"/>
      <w:jc w:val="left"/>
    </w:pPr>
    <w:rPr>
      <w:rFonts w:cstheme="majorBidi"/>
      <w:kern w:val="0"/>
    </w:rPr>
  </w:style>
  <w:style w:type="paragraph" w:customStyle="1" w:styleId="3083">
    <w:name w:val="粤东核电报告正文 Char"/>
    <w:basedOn w:val="1"/>
    <w:autoRedefine/>
    <w:qFormat/>
    <w:uiPriority w:val="0"/>
    <w:pPr>
      <w:widowControl/>
      <w:spacing w:line="360" w:lineRule="auto"/>
      <w:ind w:right="210" w:firstLine="480"/>
      <w:jc w:val="left"/>
    </w:pPr>
    <w:rPr>
      <w:rFonts w:ascii="宋体" w:hAnsi="宋体" w:cs="宋体"/>
      <w:b/>
      <w:kern w:val="0"/>
    </w:rPr>
  </w:style>
  <w:style w:type="paragraph" w:customStyle="1" w:styleId="3084">
    <w:name w:val="样式 标题 2Se标题 21标题 121标题 2 Char1 Char节H2节标题 1.1节标题 1.1 Ch...2"/>
    <w:basedOn w:val="4"/>
    <w:autoRedefine/>
    <w:qFormat/>
    <w:uiPriority w:val="0"/>
    <w:pPr>
      <w:keepNext w:val="0"/>
      <w:keepLines w:val="0"/>
      <w:widowControl/>
      <w:numPr>
        <w:ilvl w:val="0"/>
        <w:numId w:val="0"/>
      </w:numPr>
      <w:spacing w:before="156" w:after="156"/>
      <w:ind w:left="50" w:leftChars="50" w:right="50" w:rightChars="50"/>
      <w:jc w:val="left"/>
    </w:pPr>
    <w:rPr>
      <w:rFonts w:eastAsia="宋体" w:cs="宋体"/>
      <w:bCs w:val="0"/>
      <w:smallCaps/>
      <w:kern w:val="0"/>
      <w:sz w:val="28"/>
      <w:szCs w:val="28"/>
    </w:rPr>
  </w:style>
  <w:style w:type="paragraph" w:customStyle="1" w:styleId="3085">
    <w:name w:val="样式 正文 + 四号 加粗 首行缩进:  0 厘米"/>
    <w:basedOn w:val="2782"/>
    <w:autoRedefine/>
    <w:qFormat/>
    <w:uiPriority w:val="0"/>
    <w:pPr>
      <w:jc w:val="center"/>
    </w:pPr>
    <w:rPr>
      <w:rFonts w:ascii="等线" w:hAnsi="等线" w:eastAsia="等线"/>
      <w:b/>
      <w:bCs/>
      <w:sz w:val="28"/>
    </w:rPr>
  </w:style>
  <w:style w:type="paragraph" w:customStyle="1" w:styleId="3086">
    <w:name w:val="样式 样式 四号 行距: 1.5 倍行距 首行缩进:  2 字符1 + 首行缩进:  2 字符"/>
    <w:basedOn w:val="1"/>
    <w:qFormat/>
    <w:uiPriority w:val="99"/>
    <w:pPr>
      <w:widowControl/>
      <w:spacing w:line="360" w:lineRule="auto"/>
      <w:jc w:val="left"/>
    </w:pPr>
    <w:rPr>
      <w:rFonts w:cs="宋体"/>
      <w:kern w:val="0"/>
      <w:sz w:val="28"/>
      <w:szCs w:val="20"/>
    </w:rPr>
  </w:style>
  <w:style w:type="paragraph" w:customStyle="1" w:styleId="3087">
    <w:name w:val="一级"/>
    <w:basedOn w:val="3"/>
    <w:autoRedefine/>
    <w:qFormat/>
    <w:uiPriority w:val="0"/>
    <w:pPr>
      <w:keepNext w:val="0"/>
      <w:widowControl/>
      <w:numPr>
        <w:numId w:val="0"/>
      </w:numPr>
      <w:tabs>
        <w:tab w:val="clear" w:pos="0"/>
      </w:tabs>
      <w:adjustRightInd w:val="0"/>
      <w:snapToGrid w:val="0"/>
      <w:spacing w:line="360" w:lineRule="auto"/>
      <w:contextualSpacing/>
    </w:pPr>
    <w:rPr>
      <w:rFonts w:ascii="黑体" w:cstheme="majorBidi"/>
      <w:b w:val="0"/>
      <w:bCs/>
      <w:smallCaps/>
      <w:spacing w:val="5"/>
      <w:kern w:val="0"/>
      <w:szCs w:val="30"/>
    </w:rPr>
  </w:style>
  <w:style w:type="paragraph" w:customStyle="1" w:styleId="3088">
    <w:name w:val="Char Char Char Char Char Char Char Char Char Char Char Char"/>
    <w:basedOn w:val="1"/>
    <w:autoRedefine/>
    <w:qFormat/>
    <w:uiPriority w:val="0"/>
    <w:pPr>
      <w:widowControl/>
      <w:spacing w:after="160" w:line="240" w:lineRule="exact"/>
      <w:jc w:val="left"/>
    </w:pPr>
    <w:rPr>
      <w:rFonts w:ascii="Verdana" w:hAnsi="Verdana" w:cstheme="majorBidi"/>
      <w:kern w:val="0"/>
      <w:sz w:val="20"/>
      <w:szCs w:val="20"/>
      <w:lang w:eastAsia="en-US"/>
    </w:rPr>
  </w:style>
  <w:style w:type="paragraph" w:customStyle="1" w:styleId="3089">
    <w:name w:val="正文1 Char Char Char"/>
    <w:basedOn w:val="1"/>
    <w:autoRedefine/>
    <w:qFormat/>
    <w:uiPriority w:val="0"/>
    <w:pPr>
      <w:widowControl/>
      <w:adjustRightInd w:val="0"/>
      <w:snapToGrid w:val="0"/>
      <w:spacing w:line="360" w:lineRule="auto"/>
      <w:jc w:val="left"/>
    </w:pPr>
    <w:rPr>
      <w:rFonts w:cstheme="majorBidi"/>
      <w:kern w:val="0"/>
      <w:szCs w:val="20"/>
    </w:rPr>
  </w:style>
  <w:style w:type="paragraph" w:customStyle="1" w:styleId="3090">
    <w:name w:val="2222222"/>
    <w:basedOn w:val="1"/>
    <w:autoRedefine/>
    <w:qFormat/>
    <w:uiPriority w:val="99"/>
    <w:pPr>
      <w:keepNext/>
      <w:keepLines/>
      <w:widowControl/>
      <w:numPr>
        <w:ilvl w:val="1"/>
        <w:numId w:val="37"/>
      </w:numPr>
      <w:tabs>
        <w:tab w:val="left" w:pos="720"/>
        <w:tab w:val="clear" w:pos="576"/>
      </w:tabs>
      <w:spacing w:before="50" w:after="50" w:line="360" w:lineRule="auto"/>
      <w:ind w:left="0" w:firstLine="0" w:firstLineChars="0"/>
      <w:jc w:val="left"/>
      <w:outlineLvl w:val="1"/>
    </w:pPr>
    <w:rPr>
      <w:rFonts w:ascii="黑体" w:hAnsi="Arial" w:eastAsia="黑体" w:cstheme="majorBidi"/>
      <w:b/>
      <w:bCs/>
      <w:color w:val="000000"/>
      <w:kern w:val="0"/>
      <w:sz w:val="28"/>
      <w:szCs w:val="28"/>
    </w:rPr>
  </w:style>
  <w:style w:type="paragraph" w:customStyle="1" w:styleId="3091">
    <w:name w:val="样式 标题 1标题 11一、标题 1 Char章 + Times New Roman 小三 非加粗 黑色 行距:..."/>
    <w:basedOn w:val="3"/>
    <w:autoRedefine/>
    <w:qFormat/>
    <w:uiPriority w:val="0"/>
    <w:pPr>
      <w:keepNext w:val="0"/>
      <w:widowControl/>
      <w:numPr>
        <w:numId w:val="0"/>
      </w:numPr>
      <w:tabs>
        <w:tab w:val="clear" w:pos="0"/>
      </w:tabs>
      <w:spacing w:line="460" w:lineRule="exact"/>
      <w:contextualSpacing/>
      <w:jc w:val="left"/>
    </w:pPr>
    <w:rPr>
      <w:rFonts w:cs="宋体"/>
      <w:b w:val="0"/>
      <w:bCs/>
      <w:smallCaps/>
      <w:color w:val="000000"/>
      <w:spacing w:val="5"/>
      <w:kern w:val="0"/>
      <w:sz w:val="30"/>
      <w:szCs w:val="20"/>
    </w:rPr>
  </w:style>
  <w:style w:type="paragraph" w:customStyle="1" w:styleId="3092">
    <w:name w:val="填表内容"/>
    <w:basedOn w:val="1"/>
    <w:autoRedefine/>
    <w:qFormat/>
    <w:uiPriority w:val="99"/>
    <w:pPr>
      <w:widowControl/>
      <w:adjustRightInd w:val="0"/>
      <w:spacing w:line="480" w:lineRule="exact"/>
      <w:ind w:firstLine="560"/>
      <w:jc w:val="left"/>
      <w:textAlignment w:val="baseline"/>
    </w:pPr>
    <w:rPr>
      <w:rFonts w:ascii="楷体_GB2312" w:eastAsia="楷体_GB2312" w:cstheme="majorBidi"/>
      <w:kern w:val="0"/>
      <w:sz w:val="28"/>
      <w:szCs w:val="20"/>
    </w:rPr>
  </w:style>
  <w:style w:type="paragraph" w:customStyle="1" w:styleId="3093">
    <w:name w:val="正文 宋体 小四 行距: 1.5 倍行距"/>
    <w:basedOn w:val="1"/>
    <w:autoRedefine/>
    <w:qFormat/>
    <w:uiPriority w:val="0"/>
    <w:pPr>
      <w:widowControl/>
      <w:spacing w:line="360" w:lineRule="auto"/>
      <w:ind w:firstLine="480"/>
      <w:jc w:val="left"/>
    </w:pPr>
    <w:rPr>
      <w:rFonts w:ascii="宋体" w:cs="宋体"/>
      <w:kern w:val="0"/>
      <w:szCs w:val="20"/>
    </w:rPr>
  </w:style>
  <w:style w:type="paragraph" w:customStyle="1" w:styleId="3094">
    <w:name w:val="表格头"/>
    <w:basedOn w:val="1"/>
    <w:link w:val="3095"/>
    <w:autoRedefine/>
    <w:qFormat/>
    <w:uiPriority w:val="0"/>
    <w:pPr>
      <w:widowControl/>
      <w:adjustRightInd w:val="0"/>
      <w:snapToGrid w:val="0"/>
      <w:spacing w:line="460" w:lineRule="exact"/>
      <w:jc w:val="left"/>
    </w:pPr>
    <w:rPr>
      <w:rFonts w:cstheme="majorBidi"/>
      <w:b/>
      <w:kern w:val="0"/>
    </w:rPr>
  </w:style>
  <w:style w:type="character" w:customStyle="1" w:styleId="3095">
    <w:name w:val="表格头 Char"/>
    <w:link w:val="3094"/>
    <w:autoRedefine/>
    <w:qFormat/>
    <w:uiPriority w:val="0"/>
    <w:rPr>
      <w:rFonts w:cstheme="majorBidi"/>
      <w:b/>
      <w:sz w:val="24"/>
      <w:szCs w:val="24"/>
    </w:rPr>
  </w:style>
  <w:style w:type="paragraph" w:customStyle="1" w:styleId="3096">
    <w:name w:val="样式 标题 3标题 3 Char标题 3 Char Char条标题1.1.1H31.1.1标题 31.1标题 3 +..."/>
    <w:basedOn w:val="5"/>
    <w:autoRedefine/>
    <w:qFormat/>
    <w:uiPriority w:val="0"/>
    <w:pPr>
      <w:keepNext w:val="0"/>
      <w:keepLines w:val="0"/>
      <w:widowControl/>
      <w:numPr>
        <w:ilvl w:val="0"/>
        <w:numId w:val="0"/>
      </w:numPr>
      <w:tabs>
        <w:tab w:val="left" w:pos="0"/>
        <w:tab w:val="left" w:pos="630"/>
      </w:tabs>
      <w:adjustRightInd w:val="0"/>
      <w:snapToGrid w:val="0"/>
      <w:spacing w:line="500" w:lineRule="exact"/>
      <w:jc w:val="left"/>
    </w:pPr>
    <w:rPr>
      <w:rFonts w:ascii="宋体" w:hAnsi="宋体" w:cs="宋体"/>
      <w:iCs/>
      <w:smallCaps/>
      <w:spacing w:val="5"/>
      <w:kern w:val="0"/>
      <w:sz w:val="28"/>
      <w:szCs w:val="20"/>
    </w:rPr>
  </w:style>
  <w:style w:type="paragraph" w:customStyle="1" w:styleId="3097">
    <w:name w:val="xl21"/>
    <w:basedOn w:val="1"/>
    <w:autoRedefine/>
    <w:qFormat/>
    <w:uiPriority w:val="0"/>
    <w:pPr>
      <w:widowControl/>
      <w:spacing w:before="100" w:beforeAutospacing="1" w:after="100" w:afterAutospacing="1" w:line="360" w:lineRule="auto"/>
      <w:jc w:val="center"/>
    </w:pPr>
    <w:rPr>
      <w:rFonts w:ascii="宋体" w:hAnsi="宋体" w:cs="宋体"/>
      <w:kern w:val="0"/>
    </w:rPr>
  </w:style>
  <w:style w:type="paragraph" w:customStyle="1" w:styleId="3098">
    <w:name w:val="Char Char1 Char Char Char Char Char Char Char"/>
    <w:basedOn w:val="1"/>
    <w:autoRedefine/>
    <w:qFormat/>
    <w:uiPriority w:val="0"/>
    <w:pPr>
      <w:widowControl/>
      <w:spacing w:line="360" w:lineRule="auto"/>
      <w:jc w:val="left"/>
    </w:pPr>
    <w:rPr>
      <w:rFonts w:cstheme="majorBidi"/>
      <w:kern w:val="0"/>
    </w:rPr>
  </w:style>
  <w:style w:type="paragraph" w:customStyle="1" w:styleId="3099">
    <w:name w:val="1标题3级"/>
    <w:basedOn w:val="1"/>
    <w:autoRedefine/>
    <w:qFormat/>
    <w:uiPriority w:val="0"/>
    <w:pPr>
      <w:widowControl/>
      <w:snapToGrid w:val="0"/>
      <w:spacing w:line="360" w:lineRule="auto"/>
      <w:jc w:val="left"/>
    </w:pPr>
    <w:rPr>
      <w:rFonts w:eastAsia="仿宋_GB2312" w:cstheme="majorBidi"/>
      <w:kern w:val="0"/>
      <w:sz w:val="28"/>
      <w:szCs w:val="20"/>
    </w:rPr>
  </w:style>
  <w:style w:type="paragraph" w:customStyle="1" w:styleId="3100">
    <w:name w:val="TOC 标题21"/>
    <w:basedOn w:val="3"/>
    <w:next w:val="1"/>
    <w:autoRedefine/>
    <w:unhideWhenUsed/>
    <w:qFormat/>
    <w:uiPriority w:val="0"/>
    <w:pPr>
      <w:keepNext w:val="0"/>
      <w:widowControl/>
      <w:numPr>
        <w:numId w:val="0"/>
      </w:numPr>
      <w:tabs>
        <w:tab w:val="clear" w:pos="0"/>
      </w:tabs>
      <w:spacing w:before="480" w:line="276" w:lineRule="auto"/>
      <w:contextualSpacing/>
      <w:jc w:val="left"/>
      <w:outlineLvl w:val="9"/>
    </w:pPr>
    <w:rPr>
      <w:rFonts w:ascii="等线 Light" w:hAnsi="等线 Light" w:eastAsia="等线 Light" w:cstheme="majorBidi"/>
      <w:smallCaps/>
      <w:color w:val="2E74B5"/>
      <w:spacing w:val="5"/>
      <w:kern w:val="0"/>
      <w:sz w:val="28"/>
      <w:szCs w:val="28"/>
    </w:rPr>
  </w:style>
  <w:style w:type="paragraph" w:customStyle="1" w:styleId="3101">
    <w:name w:val="reader-word-layer reader-word-s1-17"/>
    <w:basedOn w:val="1"/>
    <w:autoRedefine/>
    <w:qFormat/>
    <w:uiPriority w:val="99"/>
    <w:pPr>
      <w:widowControl/>
      <w:spacing w:before="100" w:beforeAutospacing="1" w:after="100" w:afterAutospacing="1" w:line="360" w:lineRule="auto"/>
      <w:jc w:val="left"/>
    </w:pPr>
    <w:rPr>
      <w:rFonts w:ascii="宋体" w:hAnsi="宋体" w:cs="宋体"/>
      <w:kern w:val="0"/>
    </w:rPr>
  </w:style>
  <w:style w:type="paragraph" w:customStyle="1" w:styleId="3102">
    <w:name w:val="样式 标题 3"/>
    <w:basedOn w:val="5"/>
    <w:autoRedefine/>
    <w:uiPriority w:val="0"/>
    <w:pPr>
      <w:keepNext w:val="0"/>
      <w:keepLines w:val="0"/>
      <w:widowControl/>
      <w:numPr>
        <w:ilvl w:val="0"/>
        <w:numId w:val="0"/>
      </w:numPr>
      <w:adjustRightInd w:val="0"/>
      <w:snapToGrid w:val="0"/>
      <w:spacing w:line="360" w:lineRule="auto"/>
      <w:jc w:val="left"/>
    </w:pPr>
    <w:rPr>
      <w:rFonts w:ascii="宋体" w:hAnsi="宋体" w:cstheme="majorBidi"/>
      <w:b w:val="0"/>
      <w:bCs w:val="0"/>
      <w:iCs/>
      <w:smallCaps/>
      <w:spacing w:val="20"/>
      <w:kern w:val="11"/>
      <w:sz w:val="28"/>
      <w:szCs w:val="20"/>
      <w:lang w:val="zh-CN"/>
    </w:rPr>
  </w:style>
  <w:style w:type="paragraph" w:customStyle="1" w:styleId="3103">
    <w:name w:val="1111111"/>
    <w:basedOn w:val="1"/>
    <w:autoRedefine/>
    <w:qFormat/>
    <w:uiPriority w:val="0"/>
    <w:pPr>
      <w:widowControl/>
      <w:autoSpaceDE w:val="0"/>
      <w:autoSpaceDN w:val="0"/>
      <w:adjustRightInd w:val="0"/>
      <w:spacing w:line="360" w:lineRule="auto"/>
      <w:jc w:val="left"/>
    </w:pPr>
    <w:rPr>
      <w:rFonts w:ascii="宋体" w:hAnsi="宋体" w:eastAsia="黑体" w:cs="宋体"/>
      <w:b/>
      <w:bCs/>
      <w:kern w:val="0"/>
      <w:sz w:val="28"/>
      <w:szCs w:val="32"/>
    </w:rPr>
  </w:style>
  <w:style w:type="paragraph" w:customStyle="1" w:styleId="3104">
    <w:name w:val="质表单位"/>
    <w:basedOn w:val="1"/>
    <w:autoRedefine/>
    <w:qFormat/>
    <w:uiPriority w:val="0"/>
    <w:pPr>
      <w:widowControl/>
      <w:spacing w:line="360" w:lineRule="auto"/>
      <w:jc w:val="center"/>
    </w:pPr>
    <w:rPr>
      <w:rFonts w:ascii="宋体" w:hAnsi="宋体" w:cstheme="majorBidi"/>
      <w:kern w:val="0"/>
    </w:rPr>
  </w:style>
  <w:style w:type="paragraph" w:customStyle="1" w:styleId="3105">
    <w:name w:val="Definition Term"/>
    <w:basedOn w:val="1"/>
    <w:next w:val="1"/>
    <w:autoRedefine/>
    <w:qFormat/>
    <w:uiPriority w:val="0"/>
    <w:pPr>
      <w:widowControl/>
      <w:autoSpaceDE w:val="0"/>
      <w:autoSpaceDN w:val="0"/>
      <w:adjustRightInd w:val="0"/>
      <w:spacing w:line="360" w:lineRule="auto"/>
      <w:jc w:val="left"/>
    </w:pPr>
    <w:rPr>
      <w:rFonts w:cstheme="majorBidi"/>
      <w:kern w:val="0"/>
      <w:szCs w:val="20"/>
    </w:rPr>
  </w:style>
  <w:style w:type="paragraph" w:customStyle="1" w:styleId="3106">
    <w:name w:val="Heading Base"/>
    <w:basedOn w:val="34"/>
    <w:next w:val="34"/>
    <w:autoRedefine/>
    <w:qFormat/>
    <w:uiPriority w:val="0"/>
    <w:pPr>
      <w:widowControl/>
      <w:spacing w:line="360" w:lineRule="auto"/>
      <w:ind w:firstLine="200" w:firstLineChars="200"/>
      <w:jc w:val="left"/>
    </w:pPr>
    <w:rPr>
      <w:rFonts w:cstheme="majorBidi"/>
      <w:kern w:val="0"/>
      <w:sz w:val="18"/>
      <w:szCs w:val="20"/>
    </w:rPr>
  </w:style>
  <w:style w:type="paragraph" w:customStyle="1" w:styleId="3107">
    <w:name w:val="样式 标题 4标题 a标题 4 Char + 行距: 固定值 25 磅"/>
    <w:basedOn w:val="6"/>
    <w:autoRedefine/>
    <w:qFormat/>
    <w:uiPriority w:val="0"/>
    <w:pPr>
      <w:keepNext w:val="0"/>
      <w:keepLines w:val="0"/>
      <w:widowControl/>
      <w:numPr>
        <w:ilvl w:val="0"/>
        <w:numId w:val="0"/>
      </w:numPr>
      <w:tabs>
        <w:tab w:val="left" w:pos="0"/>
      </w:tabs>
      <w:spacing w:before="280" w:after="290" w:afterLines="50" w:line="360" w:lineRule="auto"/>
      <w:jc w:val="left"/>
    </w:pPr>
    <w:rPr>
      <w:rFonts w:ascii="宋体" w:hAnsi="宋体" w:cs="宋体"/>
      <w:bCs w:val="0"/>
      <w:color w:val="000000"/>
      <w:spacing w:val="5"/>
      <w:kern w:val="0"/>
      <w:sz w:val="24"/>
      <w:szCs w:val="24"/>
      <w:lang w:val="zh-CN"/>
    </w:rPr>
  </w:style>
  <w:style w:type="paragraph" w:customStyle="1" w:styleId="3108">
    <w:name w:val="样式66"/>
    <w:basedOn w:val="1"/>
    <w:autoRedefine/>
    <w:qFormat/>
    <w:uiPriority w:val="0"/>
    <w:pPr>
      <w:widowControl/>
      <w:spacing w:line="360" w:lineRule="auto"/>
      <w:ind w:firstLine="480"/>
      <w:jc w:val="left"/>
    </w:pPr>
    <w:rPr>
      <w:rFonts w:cstheme="majorBidi"/>
      <w:kern w:val="0"/>
    </w:rPr>
  </w:style>
  <w:style w:type="paragraph" w:customStyle="1" w:styleId="3109">
    <w:name w:val="标准条文"/>
    <w:basedOn w:val="179"/>
    <w:next w:val="179"/>
    <w:autoRedefine/>
    <w:qFormat/>
    <w:uiPriority w:val="0"/>
    <w:pPr>
      <w:spacing w:line="360" w:lineRule="auto"/>
    </w:pPr>
    <w:rPr>
      <w:rFonts w:ascii="Times New Roman" w:cs="Times New Roman" w:eastAsiaTheme="majorEastAsia"/>
      <w:color w:val="auto"/>
    </w:rPr>
  </w:style>
  <w:style w:type="paragraph" w:customStyle="1" w:styleId="3110">
    <w:name w:val="样式 标题 3标题 13 + (中文) 宋体 小四 行距: 1.5 倍行距"/>
    <w:basedOn w:val="5"/>
    <w:autoRedefine/>
    <w:qFormat/>
    <w:uiPriority w:val="0"/>
    <w:pPr>
      <w:keepNext w:val="0"/>
      <w:keepLines w:val="0"/>
      <w:widowControl/>
      <w:numPr>
        <w:ilvl w:val="0"/>
        <w:numId w:val="0"/>
      </w:numPr>
      <w:adjustRightInd w:val="0"/>
      <w:snapToGrid w:val="0"/>
      <w:spacing w:line="360" w:lineRule="auto"/>
      <w:jc w:val="left"/>
    </w:pPr>
    <w:rPr>
      <w:rFonts w:ascii="黑体" w:cs="宋体"/>
      <w:b w:val="0"/>
      <w:bCs w:val="0"/>
      <w:iCs/>
      <w:smallCaps/>
      <w:spacing w:val="5"/>
      <w:kern w:val="0"/>
      <w:sz w:val="24"/>
    </w:rPr>
  </w:style>
  <w:style w:type="paragraph" w:customStyle="1" w:styleId="3111">
    <w:name w:val="T正文"/>
    <w:basedOn w:val="1"/>
    <w:next w:val="1"/>
    <w:autoRedefine/>
    <w:qFormat/>
    <w:uiPriority w:val="0"/>
    <w:pPr>
      <w:widowControl/>
      <w:autoSpaceDE w:val="0"/>
      <w:autoSpaceDN w:val="0"/>
      <w:adjustRightInd w:val="0"/>
      <w:spacing w:line="360" w:lineRule="auto"/>
      <w:jc w:val="left"/>
    </w:pPr>
    <w:rPr>
      <w:rFonts w:ascii="楷体_GB2312" w:hAnsi="宋体" w:eastAsia="楷体_GB2312" w:cs="宋体"/>
      <w:kern w:val="0"/>
    </w:rPr>
  </w:style>
  <w:style w:type="paragraph" w:customStyle="1" w:styleId="3112">
    <w:name w:val="样式42"/>
    <w:basedOn w:val="6"/>
    <w:autoRedefine/>
    <w:qFormat/>
    <w:uiPriority w:val="0"/>
    <w:pPr>
      <w:keepNext w:val="0"/>
      <w:keepLines w:val="0"/>
      <w:widowControl/>
      <w:numPr>
        <w:ilvl w:val="0"/>
        <w:numId w:val="0"/>
      </w:numPr>
      <w:spacing w:before="120" w:after="120" w:line="377" w:lineRule="auto"/>
      <w:jc w:val="left"/>
    </w:pPr>
    <w:rPr>
      <w:rFonts w:ascii="宋体" w:hAnsi="宋体" w:cs="仿宋_GB2312"/>
      <w:bCs w:val="0"/>
      <w:color w:val="000000"/>
      <w:spacing w:val="5"/>
      <w:kern w:val="0"/>
      <w:sz w:val="24"/>
      <w:szCs w:val="24"/>
    </w:rPr>
  </w:style>
  <w:style w:type="paragraph" w:customStyle="1" w:styleId="3113">
    <w:name w:val="环正文"/>
    <w:basedOn w:val="1"/>
    <w:autoRedefine/>
    <w:qFormat/>
    <w:uiPriority w:val="0"/>
    <w:pPr>
      <w:widowControl/>
      <w:suppressAutoHyphens/>
      <w:adjustRightInd w:val="0"/>
      <w:snapToGrid w:val="0"/>
      <w:spacing w:line="460" w:lineRule="atLeast"/>
      <w:ind w:firstLine="549"/>
      <w:jc w:val="left"/>
      <w:textAlignment w:val="baseline"/>
    </w:pPr>
    <w:rPr>
      <w:rFonts w:ascii="宋体" w:hAnsi="宋体" w:cstheme="majorBidi"/>
      <w:kern w:val="0"/>
      <w:szCs w:val="20"/>
    </w:rPr>
  </w:style>
  <w:style w:type="paragraph" w:customStyle="1" w:styleId="3114">
    <w:name w:val="小3楷顶"/>
    <w:basedOn w:val="3043"/>
    <w:autoRedefine/>
    <w:qFormat/>
    <w:uiPriority w:val="99"/>
    <w:pPr>
      <w:spacing w:before="240"/>
    </w:pPr>
    <w:rPr>
      <w:rFonts w:eastAsia="楷体_GB2312"/>
    </w:rPr>
  </w:style>
  <w:style w:type="paragraph" w:customStyle="1" w:styleId="3115">
    <w:name w:val="样式65"/>
    <w:basedOn w:val="1"/>
    <w:autoRedefine/>
    <w:qFormat/>
    <w:uiPriority w:val="0"/>
    <w:pPr>
      <w:widowControl/>
      <w:spacing w:beforeLines="50" w:afterLines="50" w:line="360" w:lineRule="auto"/>
      <w:ind w:firstLine="480"/>
      <w:jc w:val="left"/>
    </w:pPr>
    <w:rPr>
      <w:rFonts w:cstheme="majorBidi"/>
      <w:kern w:val="0"/>
    </w:rPr>
  </w:style>
  <w:style w:type="paragraph" w:customStyle="1" w:styleId="3116">
    <w:name w:val="样式 标题 3 + 加粗"/>
    <w:basedOn w:val="5"/>
    <w:autoRedefine/>
    <w:qFormat/>
    <w:uiPriority w:val="0"/>
    <w:pPr>
      <w:keepNext w:val="0"/>
      <w:keepLines w:val="0"/>
      <w:widowControl/>
      <w:numPr>
        <w:ilvl w:val="0"/>
        <w:numId w:val="0"/>
      </w:numPr>
      <w:adjustRightInd w:val="0"/>
      <w:snapToGrid w:val="0"/>
      <w:spacing w:line="360" w:lineRule="auto"/>
      <w:jc w:val="left"/>
    </w:pPr>
    <w:rPr>
      <w:rFonts w:ascii="黑体" w:cstheme="majorBidi"/>
      <w:b w:val="0"/>
      <w:bCs w:val="0"/>
      <w:iCs/>
      <w:smallCaps/>
      <w:spacing w:val="5"/>
      <w:kern w:val="0"/>
      <w:sz w:val="24"/>
      <w:szCs w:val="24"/>
    </w:rPr>
  </w:style>
  <w:style w:type="paragraph" w:customStyle="1" w:styleId="3117">
    <w:name w:val="样式84"/>
    <w:basedOn w:val="551"/>
    <w:autoRedefine/>
    <w:qFormat/>
    <w:uiPriority w:val="0"/>
    <w:pPr>
      <w:widowControl/>
      <w:overflowPunct w:val="0"/>
      <w:autoSpaceDE w:val="0"/>
      <w:autoSpaceDN w:val="0"/>
      <w:adjustRightInd w:val="0"/>
      <w:spacing w:afterLines="10"/>
      <w:ind w:firstLine="200"/>
      <w:jc w:val="center"/>
      <w:textAlignment w:val="bottom"/>
      <w:outlineLvl w:val="9"/>
    </w:pPr>
    <w:rPr>
      <w:rFonts w:ascii="黑体" w:hAnsi="等线" w:eastAsia="黑体" w:cstheme="majorBidi"/>
      <w:bCs w:val="0"/>
      <w:color w:val="000000"/>
      <w:kern w:val="0"/>
      <w:sz w:val="20"/>
      <w:szCs w:val="21"/>
      <w:lang w:val="zh-CN"/>
    </w:rPr>
  </w:style>
  <w:style w:type="paragraph" w:customStyle="1" w:styleId="3118">
    <w:name w:val="Plain Text1"/>
    <w:basedOn w:val="1"/>
    <w:autoRedefine/>
    <w:qFormat/>
    <w:uiPriority w:val="0"/>
    <w:pPr>
      <w:widowControl/>
      <w:adjustRightInd w:val="0"/>
      <w:spacing w:line="360" w:lineRule="auto"/>
      <w:ind w:firstLine="465"/>
      <w:jc w:val="left"/>
      <w:textAlignment w:val="baseline"/>
    </w:pPr>
    <w:rPr>
      <w:rFonts w:ascii="宋体" w:hAnsi="Courier New" w:cstheme="majorBidi"/>
      <w:kern w:val="0"/>
      <w:szCs w:val="20"/>
    </w:rPr>
  </w:style>
  <w:style w:type="character" w:customStyle="1" w:styleId="3119">
    <w:name w:val="正文001 Char"/>
    <w:link w:val="749"/>
    <w:autoRedefine/>
    <w:qFormat/>
    <w:uiPriority w:val="0"/>
    <w:rPr>
      <w:kern w:val="2"/>
      <w:sz w:val="24"/>
    </w:rPr>
  </w:style>
  <w:style w:type="paragraph" w:customStyle="1" w:styleId="3120">
    <w:name w:val="스타일"/>
    <w:autoRedefine/>
    <w:qFormat/>
    <w:uiPriority w:val="99"/>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line="370" w:lineRule="auto"/>
      <w:jc w:val="both"/>
    </w:pPr>
    <w:rPr>
      <w:rFonts w:ascii="Batang" w:hAnsi="Times New Roman" w:eastAsia="Batang" w:cstheme="majorBidi"/>
      <w:b/>
      <w:bCs/>
      <w:color w:val="000000"/>
      <w:sz w:val="32"/>
      <w:szCs w:val="32"/>
      <w:lang w:val="en-US" w:eastAsia="ko-KR" w:bidi="ar-SA"/>
    </w:rPr>
  </w:style>
  <w:style w:type="paragraph" w:customStyle="1" w:styleId="3121">
    <w:name w:val="正文 + (西文) 宋体"/>
    <w:basedOn w:val="1"/>
    <w:autoRedefine/>
    <w:qFormat/>
    <w:uiPriority w:val="99"/>
    <w:pPr>
      <w:widowControl/>
      <w:tabs>
        <w:tab w:val="left" w:pos="360"/>
      </w:tabs>
      <w:spacing w:line="360" w:lineRule="auto"/>
      <w:ind w:left="360" w:firstLine="510"/>
      <w:jc w:val="left"/>
    </w:pPr>
    <w:rPr>
      <w:rFonts w:ascii="宋体" w:hAnsi="宋体" w:eastAsia="仿宋_GB2312" w:cstheme="majorBidi"/>
      <w:kern w:val="0"/>
    </w:rPr>
  </w:style>
  <w:style w:type="paragraph" w:customStyle="1" w:styleId="3122">
    <w:name w:val="自动标题33333"/>
    <w:basedOn w:val="922"/>
    <w:autoRedefine/>
    <w:qFormat/>
    <w:uiPriority w:val="99"/>
    <w:pPr>
      <w:keepNext w:val="0"/>
      <w:keepLines w:val="0"/>
      <w:widowControl/>
      <w:numPr>
        <w:ilvl w:val="0"/>
      </w:numPr>
      <w:adjustRightInd w:val="0"/>
      <w:snapToGrid w:val="0"/>
      <w:spacing w:before="120" w:after="120"/>
      <w:jc w:val="left"/>
    </w:pPr>
    <w:rPr>
      <w:rFonts w:eastAsia="黑体"/>
      <w:b w:val="0"/>
      <w:bCs/>
      <w:iCs/>
      <w:smallCaps/>
      <w:color w:val="000000"/>
      <w:spacing w:val="5"/>
      <w:kern w:val="0"/>
    </w:rPr>
  </w:style>
  <w:style w:type="paragraph" w:customStyle="1" w:styleId="3123">
    <w:name w:val="样式 标题 3 + 首行缩进:  2 字符 段前: 8.15 磅 段后: 8.15 磅"/>
    <w:basedOn w:val="5"/>
    <w:autoRedefine/>
    <w:qFormat/>
    <w:uiPriority w:val="99"/>
    <w:pPr>
      <w:keepNext w:val="0"/>
      <w:keepLines w:val="0"/>
      <w:widowControl/>
      <w:numPr>
        <w:ilvl w:val="0"/>
        <w:numId w:val="0"/>
      </w:numPr>
      <w:tabs>
        <w:tab w:val="left" w:pos="1260"/>
      </w:tabs>
      <w:adjustRightInd w:val="0"/>
      <w:snapToGrid w:val="0"/>
      <w:spacing w:before="163" w:after="163" w:line="240" w:lineRule="atLeast"/>
      <w:ind w:left="1260" w:firstLine="482"/>
      <w:jc w:val="left"/>
    </w:pPr>
    <w:rPr>
      <w:rFonts w:ascii="Arial Unicode MS" w:hAnsi="Arial Unicode MS" w:cstheme="majorBidi"/>
      <w:b w:val="0"/>
      <w:iCs/>
      <w:smallCaps/>
      <w:spacing w:val="5"/>
      <w:kern w:val="0"/>
      <w:sz w:val="24"/>
      <w:szCs w:val="24"/>
    </w:rPr>
  </w:style>
  <w:style w:type="paragraph" w:customStyle="1" w:styleId="3124">
    <w:name w:val="表格内文字"/>
    <w:basedOn w:val="1"/>
    <w:autoRedefine/>
    <w:qFormat/>
    <w:uiPriority w:val="0"/>
    <w:pPr>
      <w:widowControl/>
      <w:kinsoku w:val="0"/>
      <w:wordWrap w:val="0"/>
      <w:overflowPunct w:val="0"/>
      <w:spacing w:line="425" w:lineRule="atLeast"/>
      <w:jc w:val="center"/>
      <w:textAlignment w:val="baseline"/>
    </w:pPr>
    <w:rPr>
      <w:rFonts w:cstheme="majorBidi"/>
      <w:color w:val="000000"/>
      <w:kern w:val="0"/>
      <w:szCs w:val="20"/>
      <w:u w:color="000000"/>
    </w:rPr>
  </w:style>
  <w:style w:type="paragraph" w:customStyle="1" w:styleId="3125">
    <w:name w:val="Char Char Char Char Char Char Char Char Char Char Char Char Char Char Char Char Char Char Char Char Char Char2"/>
    <w:basedOn w:val="1"/>
    <w:next w:val="1"/>
    <w:autoRedefine/>
    <w:qFormat/>
    <w:uiPriority w:val="0"/>
    <w:pPr>
      <w:widowControl/>
      <w:spacing w:line="360" w:lineRule="auto"/>
      <w:jc w:val="left"/>
    </w:pPr>
    <w:rPr>
      <w:rFonts w:cs="宋体"/>
      <w:kern w:val="0"/>
    </w:rPr>
  </w:style>
  <w:style w:type="paragraph" w:customStyle="1" w:styleId="3126">
    <w:name w:val="正文（模板）"/>
    <w:basedOn w:val="1"/>
    <w:link w:val="3127"/>
    <w:qFormat/>
    <w:uiPriority w:val="0"/>
    <w:pPr>
      <w:widowControl/>
      <w:spacing w:line="360" w:lineRule="auto"/>
      <w:ind w:firstLine="480"/>
      <w:jc w:val="left"/>
    </w:pPr>
    <w:rPr>
      <w:rFonts w:cstheme="majorBidi"/>
      <w:color w:val="000000"/>
      <w:kern w:val="0"/>
      <w:szCs w:val="22"/>
    </w:rPr>
  </w:style>
  <w:style w:type="character" w:customStyle="1" w:styleId="3127">
    <w:name w:val="正文（模板） Char"/>
    <w:link w:val="3126"/>
    <w:autoRedefine/>
    <w:qFormat/>
    <w:uiPriority w:val="0"/>
    <w:rPr>
      <w:rFonts w:cstheme="majorBidi"/>
      <w:color w:val="000000"/>
      <w:sz w:val="24"/>
      <w:szCs w:val="22"/>
    </w:rPr>
  </w:style>
  <w:style w:type="paragraph" w:customStyle="1" w:styleId="3128">
    <w:name w:val="333333333"/>
    <w:basedOn w:val="1"/>
    <w:autoRedefine/>
    <w:qFormat/>
    <w:uiPriority w:val="0"/>
    <w:pPr>
      <w:keepNext/>
      <w:keepLines/>
      <w:widowControl/>
      <w:tabs>
        <w:tab w:val="left" w:pos="680"/>
      </w:tabs>
      <w:spacing w:before="50" w:after="50" w:line="360" w:lineRule="auto"/>
      <w:ind w:left="720" w:hanging="720"/>
      <w:jc w:val="left"/>
      <w:outlineLvl w:val="2"/>
    </w:pPr>
    <w:rPr>
      <w:rFonts w:ascii="宋体" w:hAnsi="宋体" w:cs="Arial Unicode MS"/>
      <w:b/>
      <w:color w:val="000000"/>
      <w:kern w:val="0"/>
    </w:rPr>
  </w:style>
  <w:style w:type="paragraph" w:customStyle="1" w:styleId="3129">
    <w:name w:val="自动标题4"/>
    <w:basedOn w:val="1"/>
    <w:autoRedefine/>
    <w:qFormat/>
    <w:uiPriority w:val="0"/>
    <w:pPr>
      <w:keepNext/>
      <w:keepLines/>
      <w:widowControl/>
      <w:numPr>
        <w:ilvl w:val="3"/>
        <w:numId w:val="38"/>
      </w:numPr>
      <w:tabs>
        <w:tab w:val="left" w:pos="1680"/>
        <w:tab w:val="clear" w:pos="2100"/>
      </w:tabs>
      <w:spacing w:beforeLines="50" w:afterLines="50" w:line="360" w:lineRule="auto"/>
      <w:ind w:left="0" w:firstLine="0" w:firstLineChars="0"/>
      <w:jc w:val="left"/>
      <w:outlineLvl w:val="3"/>
    </w:pPr>
    <w:rPr>
      <w:rFonts w:ascii="宋体" w:hAnsi="宋体" w:cstheme="majorBidi"/>
      <w:bCs/>
      <w:color w:val="000000"/>
      <w:kern w:val="0"/>
    </w:rPr>
  </w:style>
  <w:style w:type="paragraph" w:customStyle="1" w:styleId="3130">
    <w:name w:val="Char Char1 Char Char Char Char Char Char Char Char Char Char Char Char Char Char"/>
    <w:basedOn w:val="1"/>
    <w:autoRedefine/>
    <w:qFormat/>
    <w:uiPriority w:val="0"/>
    <w:pPr>
      <w:widowControl/>
      <w:spacing w:after="160" w:line="240" w:lineRule="exact"/>
      <w:jc w:val="left"/>
    </w:pPr>
    <w:rPr>
      <w:rFonts w:ascii="Verdana" w:hAnsi="Verdana" w:cstheme="majorBidi"/>
      <w:kern w:val="0"/>
      <w:sz w:val="20"/>
      <w:szCs w:val="20"/>
      <w:lang w:eastAsia="en-US"/>
    </w:rPr>
  </w:style>
  <w:style w:type="paragraph" w:customStyle="1" w:styleId="3131">
    <w:name w:val="其他标准称谓"/>
    <w:autoRedefine/>
    <w:qFormat/>
    <w:uiPriority w:val="0"/>
    <w:pPr>
      <w:spacing w:line="0" w:lineRule="atLeast"/>
      <w:jc w:val="distribute"/>
    </w:pPr>
    <w:rPr>
      <w:rFonts w:ascii="黑体" w:hAnsi="宋体" w:eastAsia="黑体" w:cstheme="majorBidi"/>
      <w:sz w:val="52"/>
      <w:szCs w:val="22"/>
      <w:lang w:val="en-US" w:eastAsia="zh-CN" w:bidi="ar-SA"/>
    </w:rPr>
  </w:style>
  <w:style w:type="paragraph" w:customStyle="1" w:styleId="3132">
    <w:name w:val="000 正文"/>
    <w:basedOn w:val="1"/>
    <w:qFormat/>
    <w:uiPriority w:val="0"/>
    <w:pPr>
      <w:widowControl/>
      <w:spacing w:beforeLines="50" w:afterLines="50" w:line="324" w:lineRule="auto"/>
      <w:jc w:val="left"/>
    </w:pPr>
    <w:rPr>
      <w:rFonts w:cstheme="majorBidi"/>
      <w:kern w:val="0"/>
    </w:rPr>
  </w:style>
  <w:style w:type="paragraph" w:customStyle="1" w:styleId="3133">
    <w:name w:val="图目"/>
    <w:basedOn w:val="1"/>
    <w:autoRedefine/>
    <w:qFormat/>
    <w:uiPriority w:val="0"/>
    <w:pPr>
      <w:widowControl/>
      <w:adjustRightInd w:val="0"/>
      <w:snapToGrid w:val="0"/>
      <w:spacing w:beforeLines="50" w:line="440" w:lineRule="atLeast"/>
      <w:jc w:val="center"/>
      <w:textAlignment w:val="baseline"/>
    </w:pPr>
    <w:rPr>
      <w:rFonts w:ascii="仿宋_GB2312" w:hAnsi="Arial" w:eastAsia="仿宋_GB2312" w:cs="Arial"/>
      <w:spacing w:val="10"/>
      <w:kern w:val="0"/>
      <w:position w:val="12"/>
      <w:sz w:val="28"/>
      <w:szCs w:val="20"/>
    </w:rPr>
  </w:style>
  <w:style w:type="paragraph" w:customStyle="1" w:styleId="3134">
    <w:name w:val="样式 标题 5 + 行距: 固定值 25 磅"/>
    <w:basedOn w:val="7"/>
    <w:autoRedefine/>
    <w:qFormat/>
    <w:uiPriority w:val="0"/>
    <w:pPr>
      <w:keepNext w:val="0"/>
      <w:keepLines w:val="0"/>
      <w:widowControl/>
      <w:numPr>
        <w:ilvl w:val="0"/>
        <w:numId w:val="0"/>
      </w:numPr>
      <w:tabs>
        <w:tab w:val="left" w:pos="0"/>
        <w:tab w:val="clear" w:pos="360"/>
      </w:tabs>
      <w:snapToGrid/>
      <w:spacing w:line="500" w:lineRule="exact"/>
      <w:jc w:val="left"/>
    </w:pPr>
    <w:rPr>
      <w:rFonts w:ascii="仿宋" w:hAnsi="仿宋" w:cs="宋体"/>
      <w:b w:val="0"/>
      <w:bCs/>
      <w:iCs/>
      <w:kern w:val="0"/>
      <w:szCs w:val="20"/>
      <w:lang w:val="zh-CN"/>
    </w:rPr>
  </w:style>
  <w:style w:type="paragraph" w:customStyle="1" w:styleId="3135">
    <w:name w:val="表 头"/>
    <w:basedOn w:val="1"/>
    <w:autoRedefine/>
    <w:qFormat/>
    <w:uiPriority w:val="0"/>
    <w:pPr>
      <w:widowControl/>
      <w:adjustRightInd w:val="0"/>
      <w:spacing w:before="120" w:after="120" w:line="360" w:lineRule="atLeast"/>
      <w:jc w:val="center"/>
    </w:pPr>
    <w:rPr>
      <w:rFonts w:eastAsia="黑体" w:cstheme="majorBidi"/>
      <w:spacing w:val="10"/>
      <w:kern w:val="0"/>
      <w:szCs w:val="20"/>
    </w:rPr>
  </w:style>
  <w:style w:type="paragraph" w:customStyle="1" w:styleId="3136">
    <w:name w:val="学校规范标题4"/>
    <w:basedOn w:val="6"/>
    <w:autoRedefine/>
    <w:qFormat/>
    <w:uiPriority w:val="0"/>
    <w:pPr>
      <w:keepNext w:val="0"/>
      <w:keepLines w:val="0"/>
      <w:widowControl/>
      <w:numPr>
        <w:ilvl w:val="0"/>
        <w:numId w:val="0"/>
      </w:numPr>
      <w:spacing w:before="240" w:after="120" w:line="360" w:lineRule="auto"/>
      <w:jc w:val="left"/>
    </w:pPr>
    <w:rPr>
      <w:rFonts w:ascii="宋体" w:hAnsi="宋体" w:eastAsia="黑体"/>
      <w:color w:val="000000"/>
      <w:spacing w:val="5"/>
      <w:kern w:val="0"/>
      <w:sz w:val="24"/>
      <w:szCs w:val="24"/>
    </w:rPr>
  </w:style>
  <w:style w:type="paragraph" w:customStyle="1" w:styleId="3137">
    <w:name w:val="小2黑"/>
    <w:basedOn w:val="4"/>
    <w:autoRedefine/>
    <w:qFormat/>
    <w:uiPriority w:val="99"/>
    <w:pPr>
      <w:keepNext w:val="0"/>
      <w:keepLines w:val="0"/>
      <w:widowControl/>
      <w:numPr>
        <w:ilvl w:val="0"/>
        <w:numId w:val="0"/>
      </w:numPr>
      <w:tabs>
        <w:tab w:val="left" w:pos="840"/>
      </w:tabs>
      <w:spacing w:before="260" w:after="260" w:line="540" w:lineRule="exact"/>
      <w:ind w:left="840" w:hanging="420"/>
      <w:jc w:val="left"/>
    </w:pPr>
    <w:rPr>
      <w:rFonts w:ascii="黑体" w:hAnsi="Arial" w:eastAsia="仿宋_GB2312"/>
      <w:smallCaps/>
      <w:color w:val="000000"/>
      <w:kern w:val="0"/>
      <w:sz w:val="36"/>
      <w:szCs w:val="28"/>
    </w:rPr>
  </w:style>
  <w:style w:type="paragraph" w:customStyle="1" w:styleId="3138">
    <w:name w:val="ENFI表体"/>
    <w:basedOn w:val="1"/>
    <w:autoRedefine/>
    <w:qFormat/>
    <w:uiPriority w:val="0"/>
    <w:pPr>
      <w:widowControl/>
      <w:adjustRightInd w:val="0"/>
      <w:snapToGrid w:val="0"/>
      <w:spacing w:line="240" w:lineRule="atLeast"/>
      <w:jc w:val="center"/>
    </w:pPr>
    <w:rPr>
      <w:rFonts w:eastAsia="仿宋_GB2312" w:cstheme="majorBidi"/>
      <w:kern w:val="0"/>
      <w:szCs w:val="20"/>
    </w:rPr>
  </w:style>
  <w:style w:type="paragraph" w:customStyle="1" w:styleId="3139">
    <w:name w:val="四号 1.5倍行距 宋体 Timenewrome"/>
    <w:basedOn w:val="1"/>
    <w:next w:val="1"/>
    <w:qFormat/>
    <w:uiPriority w:val="99"/>
    <w:pPr>
      <w:widowControl/>
      <w:spacing w:line="360" w:lineRule="auto"/>
      <w:jc w:val="left"/>
    </w:pPr>
    <w:rPr>
      <w:rFonts w:cstheme="majorBidi"/>
      <w:kern w:val="0"/>
      <w:szCs w:val="21"/>
    </w:rPr>
  </w:style>
  <w:style w:type="paragraph" w:customStyle="1" w:styleId="3140">
    <w:name w:val="样式 (中文) 楷体_GB2312 小四 黑色 居中 首行缩进:  0.85 厘米 段前: 18 磅 段后: 6 磅..."/>
    <w:basedOn w:val="1"/>
    <w:autoRedefine/>
    <w:qFormat/>
    <w:uiPriority w:val="99"/>
    <w:pPr>
      <w:widowControl/>
      <w:spacing w:line="360" w:lineRule="auto"/>
      <w:jc w:val="center"/>
    </w:pPr>
    <w:rPr>
      <w:rFonts w:cs="宋体"/>
      <w:color w:val="000000"/>
      <w:kern w:val="0"/>
      <w:szCs w:val="20"/>
    </w:rPr>
  </w:style>
  <w:style w:type="paragraph" w:customStyle="1" w:styleId="3141">
    <w:name w:val="1四级标题"/>
    <w:basedOn w:val="1849"/>
    <w:autoRedefine/>
    <w:qFormat/>
    <w:uiPriority w:val="99"/>
    <w:pPr>
      <w:tabs>
        <w:tab w:val="left" w:pos="360"/>
        <w:tab w:val="clear" w:pos="425"/>
        <w:tab w:val="clear" w:pos="709"/>
        <w:tab w:val="clear" w:pos="1440"/>
      </w:tabs>
      <w:spacing w:beforeLines="50" w:afterLines="50" w:line="360" w:lineRule="auto"/>
      <w:ind w:left="0" w:firstLine="0"/>
      <w:contextualSpacing/>
      <w:jc w:val="center"/>
    </w:pPr>
    <w:rPr>
      <w:rFonts w:eastAsia="宋体" w:cs="宋体"/>
      <w:bCs/>
      <w:smallCaps/>
      <w:spacing w:val="5"/>
      <w:sz w:val="24"/>
    </w:rPr>
  </w:style>
  <w:style w:type="paragraph" w:customStyle="1" w:styleId="3142">
    <w:name w:val="标题 2，节"/>
    <w:basedOn w:val="4"/>
    <w:autoRedefine/>
    <w:qFormat/>
    <w:uiPriority w:val="0"/>
    <w:pPr>
      <w:keepNext w:val="0"/>
      <w:keepLines w:val="0"/>
      <w:widowControl/>
      <w:numPr>
        <w:ilvl w:val="0"/>
        <w:numId w:val="0"/>
      </w:numPr>
      <w:spacing w:before="260" w:beforeLines="50" w:after="260" w:line="416" w:lineRule="auto"/>
      <w:jc w:val="left"/>
    </w:pPr>
    <w:rPr>
      <w:rFonts w:ascii="宋体" w:hAnsi="宋体" w:eastAsia="宋体"/>
      <w:bCs w:val="0"/>
      <w:smallCaps/>
      <w:kern w:val="0"/>
      <w:sz w:val="24"/>
      <w:szCs w:val="28"/>
    </w:rPr>
  </w:style>
  <w:style w:type="paragraph" w:customStyle="1" w:styleId="3143">
    <w:name w:val="小标题2"/>
    <w:basedOn w:val="1"/>
    <w:autoRedefine/>
    <w:qFormat/>
    <w:uiPriority w:val="0"/>
    <w:pPr>
      <w:widowControl/>
      <w:tabs>
        <w:tab w:val="left" w:pos="5400"/>
      </w:tabs>
      <w:overflowPunct w:val="0"/>
      <w:spacing w:line="336" w:lineRule="auto"/>
      <w:ind w:firstLine="480"/>
      <w:jc w:val="left"/>
    </w:pPr>
    <w:rPr>
      <w:rFonts w:cstheme="majorBidi"/>
      <w:kern w:val="0"/>
    </w:rPr>
  </w:style>
  <w:style w:type="paragraph" w:customStyle="1" w:styleId="3144">
    <w:name w:val="文本块1"/>
    <w:basedOn w:val="1"/>
    <w:autoRedefine/>
    <w:qFormat/>
    <w:uiPriority w:val="0"/>
    <w:pPr>
      <w:widowControl/>
      <w:spacing w:afterLines="50" w:line="360" w:lineRule="auto"/>
      <w:ind w:left="700" w:leftChars="700" w:right="700" w:rightChars="700"/>
      <w:jc w:val="left"/>
    </w:pPr>
    <w:rPr>
      <w:rFonts w:cstheme="majorBidi"/>
      <w:kern w:val="0"/>
      <w:szCs w:val="21"/>
    </w:rPr>
  </w:style>
  <w:style w:type="paragraph" w:customStyle="1" w:styleId="3145">
    <w:name w:val="样式 宋体 四号"/>
    <w:basedOn w:val="1"/>
    <w:next w:val="44"/>
    <w:autoRedefine/>
    <w:qFormat/>
    <w:uiPriority w:val="0"/>
    <w:pPr>
      <w:widowControl/>
      <w:spacing w:line="360" w:lineRule="auto"/>
      <w:ind w:firstLine="560"/>
      <w:jc w:val="left"/>
    </w:pPr>
    <w:rPr>
      <w:rFonts w:ascii="宋体" w:hAnsi="宋体" w:cs="宋体"/>
      <w:kern w:val="0"/>
      <w:sz w:val="28"/>
      <w:szCs w:val="20"/>
    </w:rPr>
  </w:style>
  <w:style w:type="paragraph" w:customStyle="1" w:styleId="3146">
    <w:name w:val="文档结构图2"/>
    <w:basedOn w:val="1"/>
    <w:autoRedefine/>
    <w:qFormat/>
    <w:uiPriority w:val="99"/>
    <w:pPr>
      <w:widowControl/>
      <w:spacing w:line="360" w:lineRule="auto"/>
      <w:jc w:val="left"/>
    </w:pPr>
    <w:rPr>
      <w:rFonts w:ascii="宋体" w:cstheme="majorBidi"/>
      <w:kern w:val="0"/>
      <w:sz w:val="18"/>
      <w:szCs w:val="18"/>
    </w:rPr>
  </w:style>
  <w:style w:type="paragraph" w:customStyle="1" w:styleId="3147">
    <w:name w:val="样式 标题 1第一标题 + 段前: 0.3 行 段后: 0.3 行"/>
    <w:basedOn w:val="3"/>
    <w:autoRedefine/>
    <w:semiHidden/>
    <w:qFormat/>
    <w:uiPriority w:val="0"/>
    <w:pPr>
      <w:keepNext w:val="0"/>
      <w:widowControl/>
      <w:numPr>
        <w:ilvl w:val="0"/>
        <w:numId w:val="0"/>
      </w:numPr>
      <w:tabs>
        <w:tab w:val="left" w:pos="1340"/>
        <w:tab w:val="clear" w:pos="0"/>
      </w:tabs>
      <w:autoSpaceDE w:val="0"/>
      <w:autoSpaceDN w:val="0"/>
      <w:adjustRightInd w:val="0"/>
      <w:spacing w:before="340" w:beforeLines="50" w:after="330" w:afterLines="30" w:line="360" w:lineRule="auto"/>
      <w:ind w:left="1340" w:hanging="420"/>
      <w:contextualSpacing/>
      <w:jc w:val="left"/>
    </w:pPr>
    <w:rPr>
      <w:rFonts w:cs="宋体"/>
      <w:b w:val="0"/>
      <w:bCs/>
      <w:smallCaps/>
      <w:spacing w:val="5"/>
      <w:kern w:val="0"/>
      <w:sz w:val="32"/>
      <w:szCs w:val="20"/>
      <w:lang w:val="zh-CN"/>
    </w:rPr>
  </w:style>
  <w:style w:type="paragraph" w:customStyle="1" w:styleId="3148">
    <w:name w:val="3级标题 + 黑体"/>
    <w:basedOn w:val="1"/>
    <w:link w:val="3149"/>
    <w:autoRedefine/>
    <w:qFormat/>
    <w:uiPriority w:val="0"/>
    <w:pPr>
      <w:widowControl/>
      <w:overflowPunct w:val="0"/>
      <w:autoSpaceDE w:val="0"/>
      <w:autoSpaceDN w:val="0"/>
      <w:adjustRightInd w:val="0"/>
      <w:spacing w:before="20" w:after="20" w:line="360" w:lineRule="auto"/>
      <w:jc w:val="left"/>
      <w:textAlignment w:val="baseline"/>
      <w:outlineLvl w:val="2"/>
    </w:pPr>
    <w:rPr>
      <w:rFonts w:ascii="黑体" w:hAnsi="黑体" w:eastAsia="黑体" w:cstheme="majorBidi"/>
      <w:kern w:val="20"/>
      <w:szCs w:val="20"/>
    </w:rPr>
  </w:style>
  <w:style w:type="character" w:customStyle="1" w:styleId="3149">
    <w:name w:val="3级标题 + 黑体 Char"/>
    <w:link w:val="3148"/>
    <w:autoRedefine/>
    <w:qFormat/>
    <w:uiPriority w:val="0"/>
    <w:rPr>
      <w:rFonts w:ascii="黑体" w:hAnsi="黑体" w:eastAsia="黑体" w:cstheme="majorBidi"/>
      <w:kern w:val="20"/>
      <w:sz w:val="24"/>
    </w:rPr>
  </w:style>
  <w:style w:type="paragraph" w:customStyle="1" w:styleId="3150">
    <w:name w:val="dc"/>
    <w:basedOn w:val="1"/>
    <w:autoRedefine/>
    <w:qFormat/>
    <w:uiPriority w:val="0"/>
    <w:pPr>
      <w:widowControl/>
      <w:spacing w:before="100" w:beforeAutospacing="1" w:after="100" w:afterAutospacing="1" w:line="270" w:lineRule="atLeast"/>
      <w:jc w:val="left"/>
    </w:pPr>
    <w:rPr>
      <w:rFonts w:ascii="宋体" w:hAnsi="宋体" w:cstheme="majorBidi"/>
      <w:kern w:val="0"/>
      <w:sz w:val="18"/>
      <w:szCs w:val="20"/>
    </w:rPr>
  </w:style>
  <w:style w:type="paragraph" w:customStyle="1" w:styleId="3151">
    <w:name w:val="样式 样式 段前: 4.65 磅 行距: 多倍行距 1.15 字行 + 首行缩进:  2 字符"/>
    <w:basedOn w:val="1"/>
    <w:autoRedefine/>
    <w:qFormat/>
    <w:uiPriority w:val="0"/>
    <w:pPr>
      <w:widowControl/>
      <w:tabs>
        <w:tab w:val="left" w:pos="720"/>
      </w:tabs>
      <w:spacing w:before="93" w:line="312" w:lineRule="auto"/>
      <w:ind w:left="720" w:hanging="720"/>
      <w:jc w:val="left"/>
    </w:pPr>
    <w:rPr>
      <w:rFonts w:cs="宋体"/>
      <w:kern w:val="0"/>
      <w:szCs w:val="20"/>
    </w:rPr>
  </w:style>
  <w:style w:type="paragraph" w:customStyle="1" w:styleId="3152">
    <w:name w:val="样式 标题 1标题 1环评标题 11一、标题 1 Char章 + Times New Roman 加粗 黑色 两..."/>
    <w:next w:val="84"/>
    <w:autoRedefine/>
    <w:semiHidden/>
    <w:qFormat/>
    <w:uiPriority w:val="99"/>
    <w:pPr>
      <w:spacing w:before="156" w:after="156" w:line="360" w:lineRule="auto"/>
      <w:jc w:val="both"/>
    </w:pPr>
    <w:rPr>
      <w:rFonts w:ascii="Times New Roman" w:hAnsi="Times New Roman" w:eastAsia="黑体" w:cs="宋体"/>
      <w:b/>
      <w:bCs/>
      <w:color w:val="000000"/>
      <w:kern w:val="44"/>
      <w:sz w:val="30"/>
      <w:szCs w:val="22"/>
      <w:lang w:val="en-US" w:eastAsia="zh-CN" w:bidi="ar-SA"/>
    </w:rPr>
  </w:style>
  <w:style w:type="paragraph" w:customStyle="1" w:styleId="3153">
    <w:name w:val="正文文本 31"/>
    <w:basedOn w:val="1"/>
    <w:autoRedefine/>
    <w:qFormat/>
    <w:uiPriority w:val="0"/>
    <w:pPr>
      <w:widowControl/>
      <w:suppressAutoHyphens/>
      <w:spacing w:line="360" w:lineRule="auto"/>
      <w:jc w:val="left"/>
    </w:pPr>
    <w:rPr>
      <w:rFonts w:cstheme="majorBidi"/>
      <w:kern w:val="1"/>
      <w:lang w:eastAsia="ar-SA"/>
    </w:rPr>
  </w:style>
  <w:style w:type="paragraph" w:customStyle="1" w:styleId="3154">
    <w:name w:val="样式 样式 样式 标题 2H2h2heading 2+ Indent: Left 0.25 in二级节名1.1  heading...1"/>
    <w:basedOn w:val="2998"/>
    <w:autoRedefine/>
    <w:qFormat/>
    <w:uiPriority w:val="0"/>
    <w:pPr>
      <w:spacing w:before="240"/>
    </w:pPr>
  </w:style>
  <w:style w:type="paragraph" w:customStyle="1" w:styleId="3155">
    <w:name w:val="样式63"/>
    <w:basedOn w:val="1"/>
    <w:autoRedefine/>
    <w:qFormat/>
    <w:uiPriority w:val="0"/>
    <w:pPr>
      <w:widowControl/>
      <w:spacing w:beforeLines="50" w:afterLines="50" w:line="360" w:lineRule="auto"/>
      <w:ind w:firstLine="480"/>
      <w:jc w:val="left"/>
    </w:pPr>
    <w:rPr>
      <w:rFonts w:cstheme="majorBidi"/>
      <w:kern w:val="0"/>
    </w:rPr>
  </w:style>
  <w:style w:type="paragraph" w:customStyle="1" w:styleId="3156">
    <w:name w:val="左侧"/>
    <w:autoRedefine/>
    <w:semiHidden/>
    <w:qFormat/>
    <w:uiPriority w:val="0"/>
    <w:pPr>
      <w:spacing w:line="280" w:lineRule="exact"/>
      <w:jc w:val="center"/>
    </w:pPr>
    <w:rPr>
      <w:rFonts w:ascii="Batang" w:hAnsi="Batang" w:eastAsiaTheme="majorEastAsia" w:cstheme="majorBidi"/>
      <w:color w:val="000000"/>
      <w:sz w:val="21"/>
      <w:szCs w:val="22"/>
      <w:lang w:val="en-US" w:eastAsia="zh-CN" w:bidi="ar-SA"/>
    </w:rPr>
  </w:style>
  <w:style w:type="paragraph" w:customStyle="1" w:styleId="3157">
    <w:name w:val="正文图标题"/>
    <w:next w:val="21"/>
    <w:autoRedefine/>
    <w:qFormat/>
    <w:uiPriority w:val="0"/>
    <w:pPr>
      <w:tabs>
        <w:tab w:val="left" w:pos="420"/>
        <w:tab w:val="left" w:pos="1080"/>
      </w:tabs>
      <w:spacing w:line="360" w:lineRule="auto"/>
      <w:ind w:left="1080" w:hanging="420"/>
      <w:jc w:val="center"/>
    </w:pPr>
    <w:rPr>
      <w:rFonts w:ascii="黑体" w:hAnsi="Times New Roman" w:eastAsia="黑体" w:cstheme="majorBidi"/>
      <w:sz w:val="21"/>
      <w:szCs w:val="22"/>
      <w:lang w:val="en-US" w:eastAsia="zh-CN" w:bidi="ar-SA"/>
    </w:rPr>
  </w:style>
  <w:style w:type="paragraph" w:customStyle="1" w:styleId="3158">
    <w:name w:val="样式 纯文本 + 黑体"/>
    <w:basedOn w:val="45"/>
    <w:autoRedefine/>
    <w:qFormat/>
    <w:uiPriority w:val="0"/>
    <w:pPr>
      <w:widowControl/>
      <w:tabs>
        <w:tab w:val="left" w:pos="1620"/>
      </w:tabs>
      <w:adjustRightInd/>
      <w:spacing w:line="240" w:lineRule="auto"/>
      <w:ind w:firstLine="200" w:firstLineChars="200"/>
      <w:jc w:val="left"/>
      <w:textAlignment w:val="auto"/>
    </w:pPr>
    <w:rPr>
      <w:rFonts w:ascii="黑体" w:hAnsi="黑体" w:eastAsia="等线"/>
      <w:bCs/>
      <w:sz w:val="24"/>
      <w:szCs w:val="20"/>
    </w:rPr>
  </w:style>
  <w:style w:type="paragraph" w:customStyle="1" w:styleId="3159">
    <w:name w:val="Char Char Char Char Char Char Char1 Char Char Char"/>
    <w:basedOn w:val="1"/>
    <w:autoRedefine/>
    <w:qFormat/>
    <w:uiPriority w:val="0"/>
    <w:pPr>
      <w:widowControl/>
      <w:tabs>
        <w:tab w:val="left" w:pos="1404"/>
      </w:tabs>
      <w:spacing w:before="100" w:beforeAutospacing="1" w:after="100" w:afterAutospacing="1" w:line="360" w:lineRule="auto"/>
      <w:ind w:left="1404" w:hanging="420"/>
      <w:jc w:val="left"/>
    </w:pPr>
    <w:rPr>
      <w:rFonts w:ascii="ˎ̥" w:hAnsi="ˎ̥" w:eastAsia="仿宋_GB2312" w:cs="宋体"/>
      <w:color w:val="51585D"/>
      <w:kern w:val="0"/>
      <w:sz w:val="32"/>
      <w:szCs w:val="18"/>
    </w:rPr>
  </w:style>
  <w:style w:type="paragraph" w:customStyle="1" w:styleId="3160">
    <w:name w:val="样式 小五 居中 段前: 0.2 行 段后: 0.2 行 行距: 最小值 12 磅"/>
    <w:basedOn w:val="1"/>
    <w:autoRedefine/>
    <w:qFormat/>
    <w:uiPriority w:val="99"/>
    <w:pPr>
      <w:widowControl/>
      <w:snapToGrid w:val="0"/>
      <w:spacing w:line="240" w:lineRule="atLeast"/>
      <w:jc w:val="center"/>
    </w:pPr>
    <w:rPr>
      <w:rFonts w:cs="宋体"/>
      <w:kern w:val="0"/>
      <w:sz w:val="18"/>
      <w:szCs w:val="20"/>
    </w:rPr>
  </w:style>
  <w:style w:type="paragraph" w:customStyle="1" w:styleId="3161">
    <w:name w:val="样式 标题 4 + 左"/>
    <w:basedOn w:val="6"/>
    <w:autoRedefine/>
    <w:qFormat/>
    <w:uiPriority w:val="0"/>
    <w:pPr>
      <w:keepNext w:val="0"/>
      <w:keepLines w:val="0"/>
      <w:widowControl/>
      <w:numPr>
        <w:ilvl w:val="0"/>
        <w:numId w:val="0"/>
      </w:numPr>
      <w:tabs>
        <w:tab w:val="left" w:pos="360"/>
      </w:tabs>
      <w:spacing w:line="440" w:lineRule="exact"/>
      <w:ind w:left="864" w:hanging="864"/>
      <w:jc w:val="left"/>
    </w:pPr>
    <w:rPr>
      <w:color w:val="000000"/>
      <w:spacing w:val="5"/>
      <w:kern w:val="24"/>
      <w:sz w:val="24"/>
      <w:szCs w:val="24"/>
    </w:rPr>
  </w:style>
  <w:style w:type="paragraph" w:customStyle="1" w:styleId="3162">
    <w:name w:val="普通表格1"/>
    <w:basedOn w:val="45"/>
    <w:autoRedefine/>
    <w:qFormat/>
    <w:uiPriority w:val="0"/>
    <w:pPr>
      <w:widowControl/>
      <w:adjustRightInd/>
      <w:snapToGrid w:val="0"/>
      <w:spacing w:beforeLines="50" w:afterLines="50" w:line="380" w:lineRule="exact"/>
      <w:ind w:firstLine="200" w:firstLineChars="200"/>
      <w:jc w:val="left"/>
      <w:textAlignment w:val="auto"/>
    </w:pPr>
    <w:rPr>
      <w:rFonts w:ascii="Times New Roman" w:hAnsi="Times New Roman"/>
      <w:sz w:val="20"/>
    </w:rPr>
  </w:style>
  <w:style w:type="paragraph" w:customStyle="1" w:styleId="3163">
    <w:name w:val="环评标题2"/>
    <w:basedOn w:val="3"/>
    <w:qFormat/>
    <w:uiPriority w:val="0"/>
    <w:pPr>
      <w:keepNext w:val="0"/>
      <w:widowControl/>
      <w:numPr>
        <w:numId w:val="0"/>
      </w:numPr>
      <w:tabs>
        <w:tab w:val="clear" w:pos="0"/>
      </w:tabs>
      <w:spacing w:before="120" w:after="156" w:line="360" w:lineRule="auto"/>
      <w:contextualSpacing/>
      <w:jc w:val="left"/>
    </w:pPr>
    <w:rPr>
      <w:rFonts w:cs="宋体"/>
      <w:b w:val="0"/>
      <w:bCs/>
      <w:smallCaps/>
      <w:color w:val="000000"/>
      <w:spacing w:val="5"/>
      <w:kern w:val="0"/>
      <w:sz w:val="30"/>
      <w:szCs w:val="20"/>
    </w:rPr>
  </w:style>
  <w:style w:type="paragraph" w:customStyle="1" w:styleId="3164">
    <w:name w:val="CM3"/>
    <w:basedOn w:val="1"/>
    <w:next w:val="1"/>
    <w:autoRedefine/>
    <w:qFormat/>
    <w:uiPriority w:val="0"/>
    <w:pPr>
      <w:widowControl/>
      <w:autoSpaceDE w:val="0"/>
      <w:autoSpaceDN w:val="0"/>
      <w:adjustRightInd w:val="0"/>
      <w:spacing w:line="480" w:lineRule="atLeast"/>
      <w:jc w:val="left"/>
    </w:pPr>
    <w:rPr>
      <w:rFonts w:ascii="TTE1CFADF8t00" w:eastAsia="TTE1CFADF8t00" w:cstheme="majorBidi"/>
      <w:kern w:val="0"/>
    </w:rPr>
  </w:style>
  <w:style w:type="paragraph" w:customStyle="1" w:styleId="3165">
    <w:name w:val="标题1YHY"/>
    <w:basedOn w:val="1"/>
    <w:next w:val="1"/>
    <w:autoRedefine/>
    <w:qFormat/>
    <w:uiPriority w:val="0"/>
    <w:pPr>
      <w:keepNext/>
      <w:keepLines/>
      <w:widowControl/>
      <w:tabs>
        <w:tab w:val="left" w:pos="567"/>
      </w:tabs>
      <w:spacing w:beforeLines="50" w:afterLines="50" w:line="360" w:lineRule="auto"/>
      <w:jc w:val="left"/>
      <w:outlineLvl w:val="0"/>
    </w:pPr>
    <w:rPr>
      <w:rFonts w:ascii="黑体" w:eastAsia="黑体" w:cs="宋体"/>
      <w:b/>
      <w:kern w:val="44"/>
      <w:sz w:val="30"/>
      <w:szCs w:val="30"/>
    </w:rPr>
  </w:style>
  <w:style w:type="paragraph" w:customStyle="1" w:styleId="3166">
    <w:name w:val="BG1"/>
    <w:basedOn w:val="1"/>
    <w:autoRedefine/>
    <w:qFormat/>
    <w:uiPriority w:val="0"/>
    <w:pPr>
      <w:widowControl/>
      <w:autoSpaceDE w:val="0"/>
      <w:autoSpaceDN w:val="0"/>
      <w:spacing w:line="336" w:lineRule="auto"/>
      <w:jc w:val="center"/>
    </w:pPr>
    <w:rPr>
      <w:rFonts w:cstheme="majorBidi"/>
      <w:kern w:val="0"/>
    </w:rPr>
  </w:style>
  <w:style w:type="character" w:customStyle="1" w:styleId="3167">
    <w:name w:val="文字 Char"/>
    <w:link w:val="1654"/>
    <w:autoRedefine/>
    <w:qFormat/>
    <w:uiPriority w:val="99"/>
    <w:rPr>
      <w:rFonts w:ascii="宋体" w:hAnsi="宋体" w:cs="宋体"/>
      <w:color w:val="000000"/>
      <w:spacing w:val="6"/>
      <w:sz w:val="28"/>
    </w:rPr>
  </w:style>
  <w:style w:type="paragraph" w:customStyle="1" w:styleId="3168">
    <w:name w:val="样式60"/>
    <w:basedOn w:val="1"/>
    <w:autoRedefine/>
    <w:qFormat/>
    <w:uiPriority w:val="0"/>
    <w:pPr>
      <w:keepNext/>
      <w:keepLines/>
      <w:widowControl/>
      <w:tabs>
        <w:tab w:val="left" w:pos="2175"/>
      </w:tabs>
      <w:spacing w:beforeLines="50" w:afterLines="50" w:line="360" w:lineRule="auto"/>
      <w:jc w:val="left"/>
      <w:outlineLvl w:val="3"/>
    </w:pPr>
    <w:rPr>
      <w:rFonts w:cstheme="majorBidi"/>
      <w:bCs/>
      <w:kern w:val="0"/>
    </w:rPr>
  </w:style>
  <w:style w:type="paragraph" w:customStyle="1" w:styleId="3169">
    <w:name w:val="湛江沥青正文"/>
    <w:basedOn w:val="1"/>
    <w:qFormat/>
    <w:uiPriority w:val="0"/>
    <w:pPr>
      <w:widowControl/>
      <w:spacing w:line="360" w:lineRule="auto"/>
      <w:ind w:firstLine="480"/>
      <w:jc w:val="left"/>
    </w:pPr>
    <w:rPr>
      <w:rFonts w:ascii="宋体" w:hAnsi="宋体" w:cstheme="majorBidi"/>
      <w:kern w:val="0"/>
    </w:rPr>
  </w:style>
  <w:style w:type="paragraph" w:customStyle="1" w:styleId="3170">
    <w:name w:val="结束语1"/>
    <w:basedOn w:val="1"/>
    <w:autoRedefine/>
    <w:qFormat/>
    <w:uiPriority w:val="0"/>
    <w:pPr>
      <w:widowControl/>
      <w:spacing w:afterLines="50" w:line="360" w:lineRule="auto"/>
      <w:ind w:left="4252"/>
      <w:jc w:val="left"/>
    </w:pPr>
    <w:rPr>
      <w:rFonts w:ascii="Arial" w:hAnsi="Arial" w:eastAsia="MS Gothic" w:cstheme="majorBidi"/>
      <w:spacing w:val="-5"/>
      <w:kern w:val="0"/>
      <w:sz w:val="20"/>
      <w:szCs w:val="21"/>
      <w:lang w:eastAsia="ja-JP"/>
    </w:rPr>
  </w:style>
  <w:style w:type="paragraph" w:customStyle="1" w:styleId="3171">
    <w:name w:val="Normal1"/>
    <w:autoRedefine/>
    <w:qFormat/>
    <w:uiPriority w:val="0"/>
    <w:pPr>
      <w:widowControl w:val="0"/>
      <w:adjustRightInd w:val="0"/>
      <w:spacing w:line="360" w:lineRule="atLeast"/>
      <w:textAlignment w:val="baseline"/>
    </w:pPr>
    <w:rPr>
      <w:rFonts w:ascii="宋体" w:hAnsi="Times New Roman" w:eastAsiaTheme="majorEastAsia" w:cstheme="majorBidi"/>
      <w:sz w:val="34"/>
      <w:szCs w:val="22"/>
      <w:lang w:val="en-US" w:eastAsia="zh-CN" w:bidi="ar-SA"/>
    </w:rPr>
  </w:style>
  <w:style w:type="paragraph" w:customStyle="1" w:styleId="3172">
    <w:name w:val="样式 标题 3标题 13 + 四号"/>
    <w:basedOn w:val="5"/>
    <w:autoRedefine/>
    <w:qFormat/>
    <w:uiPriority w:val="99"/>
    <w:pPr>
      <w:keepNext w:val="0"/>
      <w:keepLines w:val="0"/>
      <w:widowControl/>
      <w:numPr>
        <w:ilvl w:val="0"/>
        <w:numId w:val="0"/>
      </w:numPr>
      <w:tabs>
        <w:tab w:val="left" w:pos="1202"/>
      </w:tabs>
      <w:adjustRightInd w:val="0"/>
      <w:snapToGrid w:val="0"/>
      <w:spacing w:line="360" w:lineRule="auto"/>
      <w:ind w:left="1202" w:hanging="720"/>
      <w:jc w:val="left"/>
    </w:pPr>
    <w:rPr>
      <w:rFonts w:ascii="黑体" w:cstheme="majorBidi"/>
      <w:b w:val="0"/>
      <w:bCs w:val="0"/>
      <w:iCs/>
      <w:smallCaps/>
      <w:spacing w:val="5"/>
      <w:kern w:val="0"/>
      <w:sz w:val="28"/>
    </w:rPr>
  </w:style>
  <w:style w:type="paragraph" w:customStyle="1" w:styleId="3173">
    <w:name w:val="质标4"/>
    <w:basedOn w:val="1"/>
    <w:autoRedefine/>
    <w:qFormat/>
    <w:uiPriority w:val="0"/>
    <w:pPr>
      <w:widowControl/>
      <w:adjustRightInd w:val="0"/>
      <w:snapToGrid w:val="0"/>
      <w:spacing w:line="360" w:lineRule="auto"/>
      <w:jc w:val="left"/>
    </w:pPr>
    <w:rPr>
      <w:rFonts w:ascii="楷体_GB2312" w:eastAsia="楷体_GB2312" w:cstheme="majorBidi"/>
      <w:kern w:val="0"/>
      <w:sz w:val="28"/>
    </w:rPr>
  </w:style>
  <w:style w:type="paragraph" w:customStyle="1" w:styleId="3174">
    <w:name w:val="样式 正文缩进正文缩进 Char首行缩进两字s4文本条款 + 宋体"/>
    <w:basedOn w:val="21"/>
    <w:autoRedefine/>
    <w:qFormat/>
    <w:uiPriority w:val="0"/>
    <w:pPr>
      <w:widowControl/>
      <w:adjustRightInd w:val="0"/>
      <w:snapToGrid w:val="0"/>
      <w:spacing w:beforeLines="50" w:afterLines="50" w:line="360" w:lineRule="auto"/>
    </w:pPr>
    <w:rPr>
      <w:rFonts w:ascii="宋体" w:hAnsi="宋体" w:eastAsia="等线" w:cstheme="majorBidi"/>
      <w:kern w:val="0"/>
      <w:szCs w:val="22"/>
    </w:rPr>
  </w:style>
  <w:style w:type="paragraph" w:customStyle="1" w:styleId="3175">
    <w:name w:val="样式 (西文) 宋体 小四 行距: 1.5 倍行距"/>
    <w:basedOn w:val="1"/>
    <w:autoRedefine/>
    <w:qFormat/>
    <w:uiPriority w:val="0"/>
    <w:pPr>
      <w:widowControl/>
      <w:spacing w:line="360" w:lineRule="auto"/>
      <w:ind w:firstLine="480"/>
      <w:jc w:val="left"/>
    </w:pPr>
    <w:rPr>
      <w:rFonts w:ascii="宋体" w:hAnsi="宋体" w:cs="宋体"/>
      <w:kern w:val="0"/>
      <w:szCs w:val="20"/>
    </w:rPr>
  </w:style>
  <w:style w:type="paragraph" w:customStyle="1" w:styleId="3176">
    <w:name w:val="CM8"/>
    <w:basedOn w:val="1"/>
    <w:next w:val="1"/>
    <w:autoRedefine/>
    <w:qFormat/>
    <w:uiPriority w:val="0"/>
    <w:pPr>
      <w:widowControl/>
      <w:autoSpaceDE w:val="0"/>
      <w:autoSpaceDN w:val="0"/>
      <w:adjustRightInd w:val="0"/>
      <w:spacing w:after="320" w:line="360" w:lineRule="auto"/>
      <w:jc w:val="left"/>
    </w:pPr>
    <w:rPr>
      <w:rFonts w:ascii="TTE1CFADF8t00" w:eastAsia="TTE1CFADF8t00" w:cstheme="majorBidi"/>
      <w:kern w:val="0"/>
    </w:rPr>
  </w:style>
  <w:style w:type="paragraph" w:customStyle="1" w:styleId="3177">
    <w:name w:val="Char1 Char Char Char Char Char Char"/>
    <w:basedOn w:val="1"/>
    <w:autoRedefine/>
    <w:qFormat/>
    <w:uiPriority w:val="0"/>
    <w:pPr>
      <w:widowControl/>
      <w:spacing w:line="360" w:lineRule="auto"/>
      <w:ind w:left="-48"/>
      <w:jc w:val="left"/>
    </w:pPr>
    <w:rPr>
      <w:rFonts w:cstheme="majorBidi"/>
      <w:kern w:val="0"/>
    </w:rPr>
  </w:style>
  <w:style w:type="paragraph" w:customStyle="1" w:styleId="3178">
    <w:name w:val="黄埔正文"/>
    <w:autoRedefine/>
    <w:qFormat/>
    <w:uiPriority w:val="0"/>
    <w:pPr>
      <w:spacing w:beforeLines="50" w:line="440" w:lineRule="exact"/>
      <w:ind w:firstLine="480"/>
      <w:jc w:val="both"/>
    </w:pPr>
    <w:rPr>
      <w:rFonts w:ascii="宋体" w:hAnsi="Times New Roman" w:eastAsiaTheme="majorEastAsia" w:cstheme="majorBidi"/>
      <w:color w:val="000000"/>
      <w:kern w:val="2"/>
      <w:sz w:val="24"/>
      <w:szCs w:val="22"/>
      <w:lang w:val="en-US" w:eastAsia="zh-CN" w:bidi="ar-SA"/>
    </w:rPr>
  </w:style>
  <w:style w:type="paragraph" w:customStyle="1" w:styleId="3179">
    <w:name w:val="GB-段"/>
    <w:autoRedefine/>
    <w:uiPriority w:val="0"/>
    <w:pPr>
      <w:widowControl w:val="0"/>
      <w:spacing w:line="360" w:lineRule="auto"/>
      <w:ind w:firstLine="200" w:firstLineChars="200"/>
      <w:jc w:val="both"/>
    </w:pPr>
    <w:rPr>
      <w:rFonts w:ascii="宋体" w:hAnsi="宋体" w:eastAsiaTheme="majorEastAsia" w:cstheme="majorBidi"/>
      <w:sz w:val="21"/>
      <w:szCs w:val="22"/>
      <w:lang w:val="en-US" w:eastAsia="zh-CN" w:bidi="ar-SA"/>
    </w:rPr>
  </w:style>
  <w:style w:type="paragraph" w:customStyle="1" w:styleId="3180">
    <w:name w:val="其他表格"/>
    <w:basedOn w:val="1"/>
    <w:autoRedefine/>
    <w:qFormat/>
    <w:uiPriority w:val="0"/>
    <w:pPr>
      <w:widowControl/>
      <w:spacing w:line="360" w:lineRule="exact"/>
      <w:ind w:firstLine="630" w:firstLineChars="300"/>
      <w:jc w:val="left"/>
    </w:pPr>
    <w:rPr>
      <w:rFonts w:ascii="宋体" w:hAnsi="宋体" w:cstheme="majorBidi"/>
      <w:color w:val="FF0000"/>
      <w:kern w:val="0"/>
      <w:szCs w:val="21"/>
    </w:rPr>
  </w:style>
  <w:style w:type="paragraph" w:customStyle="1" w:styleId="3181">
    <w:name w:val="1文章"/>
    <w:basedOn w:val="1"/>
    <w:link w:val="3182"/>
    <w:autoRedefine/>
    <w:qFormat/>
    <w:uiPriority w:val="99"/>
    <w:pPr>
      <w:widowControl/>
      <w:snapToGrid w:val="0"/>
      <w:spacing w:line="360" w:lineRule="auto"/>
      <w:ind w:firstLine="573"/>
      <w:jc w:val="left"/>
      <w:outlineLvl w:val="4"/>
    </w:pPr>
    <w:rPr>
      <w:rFonts w:eastAsia="仿宋_GB2312" w:cstheme="majorBidi"/>
      <w:kern w:val="0"/>
      <w:sz w:val="28"/>
    </w:rPr>
  </w:style>
  <w:style w:type="character" w:customStyle="1" w:styleId="3182">
    <w:name w:val="1文章 Char"/>
    <w:link w:val="3181"/>
    <w:autoRedefine/>
    <w:qFormat/>
    <w:uiPriority w:val="99"/>
    <w:rPr>
      <w:rFonts w:eastAsia="仿宋_GB2312" w:cstheme="majorBidi"/>
      <w:sz w:val="28"/>
      <w:szCs w:val="24"/>
    </w:rPr>
  </w:style>
  <w:style w:type="paragraph" w:customStyle="1" w:styleId="3183">
    <w:name w:val="样式 段落1 + 自动设置"/>
    <w:basedOn w:val="704"/>
    <w:autoRedefine/>
    <w:qFormat/>
    <w:uiPriority w:val="0"/>
    <w:pPr>
      <w:widowControl/>
      <w:ind w:firstLine="420"/>
      <w:jc w:val="center"/>
      <w:textAlignment w:val="auto"/>
    </w:pPr>
    <w:rPr>
      <w:rFonts w:ascii="黑体" w:eastAsia="黑体" w:cs="宋体"/>
      <w:bCs w:val="0"/>
      <w:spacing w:val="0"/>
      <w:kern w:val="0"/>
      <w:sz w:val="20"/>
      <w:szCs w:val="21"/>
    </w:rPr>
  </w:style>
  <w:style w:type="paragraph" w:customStyle="1" w:styleId="3184">
    <w:name w:val="样式 样式 仿宋_GB2312 段前: 0.5 行 段后: 6 磅 行距: 1.5 倍行距 + 首行缩进:  2 字符 段后:...2"/>
    <w:basedOn w:val="1"/>
    <w:autoRedefine/>
    <w:qFormat/>
    <w:uiPriority w:val="0"/>
    <w:pPr>
      <w:widowControl/>
      <w:adjustRightInd w:val="0"/>
      <w:snapToGrid w:val="0"/>
      <w:spacing w:afterLines="100" w:line="300" w:lineRule="auto"/>
      <w:jc w:val="left"/>
    </w:pPr>
    <w:rPr>
      <w:rFonts w:ascii="仿宋_GB2312" w:eastAsia="仿宋_GB2312" w:cs="宋体"/>
      <w:kern w:val="0"/>
      <w:sz w:val="28"/>
      <w:szCs w:val="20"/>
    </w:rPr>
  </w:style>
  <w:style w:type="paragraph" w:customStyle="1" w:styleId="3185">
    <w:name w:val="小标题（3黑）"/>
    <w:basedOn w:val="3"/>
    <w:autoRedefine/>
    <w:qFormat/>
    <w:uiPriority w:val="99"/>
    <w:pPr>
      <w:keepNext w:val="0"/>
      <w:widowControl/>
      <w:numPr>
        <w:numId w:val="0"/>
      </w:numPr>
      <w:suppressLineNumbers/>
      <w:tabs>
        <w:tab w:val="left" w:pos="1260"/>
        <w:tab w:val="clear" w:pos="0"/>
      </w:tabs>
      <w:adjustRightInd w:val="0"/>
      <w:snapToGrid w:val="0"/>
      <w:spacing w:line="500" w:lineRule="exact"/>
      <w:ind w:left="1260" w:firstLine="567"/>
      <w:contextualSpacing/>
      <w:jc w:val="left"/>
    </w:pPr>
    <w:rPr>
      <w:rFonts w:ascii="仿宋_GB2312" w:cstheme="majorBidi"/>
      <w:bCs/>
      <w:smallCaps/>
      <w:spacing w:val="5"/>
      <w:kern w:val="0"/>
      <w:sz w:val="32"/>
      <w:szCs w:val="20"/>
    </w:rPr>
  </w:style>
  <w:style w:type="paragraph" w:customStyle="1" w:styleId="3186">
    <w:name w:val="105v"/>
    <w:basedOn w:val="1"/>
    <w:autoRedefine/>
    <w:qFormat/>
    <w:uiPriority w:val="99"/>
    <w:pPr>
      <w:widowControl/>
      <w:spacing w:before="100" w:beforeAutospacing="1" w:after="100" w:afterAutospacing="1" w:line="360" w:lineRule="auto"/>
      <w:jc w:val="left"/>
    </w:pPr>
    <w:rPr>
      <w:rFonts w:ascii="宋体" w:hAnsi="宋体" w:cstheme="majorBidi"/>
      <w:kern w:val="0"/>
      <w:szCs w:val="21"/>
    </w:rPr>
  </w:style>
  <w:style w:type="paragraph" w:customStyle="1" w:styleId="3187">
    <w:name w:val="样式103"/>
    <w:basedOn w:val="5"/>
    <w:autoRedefine/>
    <w:qFormat/>
    <w:uiPriority w:val="0"/>
    <w:pPr>
      <w:keepNext w:val="0"/>
      <w:keepLines w:val="0"/>
      <w:widowControl/>
      <w:numPr>
        <w:ilvl w:val="0"/>
        <w:numId w:val="0"/>
      </w:numPr>
      <w:tabs>
        <w:tab w:val="left" w:pos="1140"/>
      </w:tabs>
      <w:adjustRightInd w:val="0"/>
      <w:snapToGrid w:val="0"/>
      <w:spacing w:afterLines="50" w:line="480" w:lineRule="exact"/>
      <w:ind w:left="1140" w:hanging="420"/>
      <w:jc w:val="left"/>
    </w:pPr>
    <w:rPr>
      <w:rFonts w:ascii="黑体" w:cstheme="majorBidi"/>
      <w:b w:val="0"/>
      <w:bCs w:val="0"/>
      <w:iCs/>
      <w:smallCaps/>
      <w:spacing w:val="5"/>
      <w:kern w:val="0"/>
      <w:sz w:val="24"/>
      <w:szCs w:val="24"/>
    </w:rPr>
  </w:style>
  <w:style w:type="paragraph" w:customStyle="1" w:styleId="3188">
    <w:name w:val="标题002"/>
    <w:basedOn w:val="1"/>
    <w:autoRedefine/>
    <w:semiHidden/>
    <w:qFormat/>
    <w:uiPriority w:val="0"/>
    <w:pPr>
      <w:widowControl/>
      <w:spacing w:before="160" w:line="480" w:lineRule="exact"/>
      <w:jc w:val="left"/>
      <w:outlineLvl w:val="1"/>
    </w:pPr>
    <w:rPr>
      <w:rFonts w:cstheme="majorBidi"/>
      <w:b/>
      <w:kern w:val="0"/>
      <w:sz w:val="28"/>
      <w:szCs w:val="20"/>
    </w:rPr>
  </w:style>
  <w:style w:type="paragraph" w:customStyle="1" w:styleId="3189">
    <w:name w:val="文本框文字1"/>
    <w:autoRedefine/>
    <w:qFormat/>
    <w:uiPriority w:val="0"/>
    <w:pPr>
      <w:spacing w:line="360" w:lineRule="auto"/>
      <w:jc w:val="center"/>
    </w:pPr>
    <w:rPr>
      <w:rFonts w:ascii="Times New Roman" w:hAnsi="Times New Roman" w:eastAsiaTheme="majorEastAsia" w:cstheme="majorBidi"/>
      <w:sz w:val="24"/>
      <w:szCs w:val="22"/>
      <w:lang w:val="en-US" w:eastAsia="zh-CN" w:bidi="ar-SA"/>
    </w:rPr>
  </w:style>
  <w:style w:type="paragraph" w:customStyle="1" w:styleId="3190">
    <w:name w:val="8.7表头"/>
    <w:basedOn w:val="1"/>
    <w:autoRedefine/>
    <w:qFormat/>
    <w:uiPriority w:val="0"/>
    <w:pPr>
      <w:widowControl/>
      <w:spacing w:line="460" w:lineRule="exact"/>
      <w:jc w:val="center"/>
    </w:pPr>
    <w:rPr>
      <w:rFonts w:cs="宋体"/>
      <w:b/>
      <w:bCs/>
      <w:kern w:val="0"/>
      <w:sz w:val="28"/>
      <w:szCs w:val="20"/>
    </w:rPr>
  </w:style>
  <w:style w:type="paragraph" w:customStyle="1" w:styleId="3191">
    <w:name w:val="page-current"/>
    <w:basedOn w:val="1"/>
    <w:autoRedefine/>
    <w:qFormat/>
    <w:uiPriority w:val="0"/>
    <w:pPr>
      <w:widowControl/>
      <w:spacing w:before="100" w:beforeAutospacing="1" w:after="100" w:afterAutospacing="1" w:line="360" w:lineRule="auto"/>
      <w:jc w:val="left"/>
    </w:pPr>
    <w:rPr>
      <w:rFonts w:ascii="宋体" w:cs="宋体"/>
      <w:kern w:val="0"/>
      <w:szCs w:val="21"/>
    </w:rPr>
  </w:style>
  <w:style w:type="paragraph" w:customStyle="1" w:styleId="3192">
    <w:name w:val="框图文字1"/>
    <w:basedOn w:val="1"/>
    <w:autoRedefine/>
    <w:qFormat/>
    <w:uiPriority w:val="0"/>
    <w:pPr>
      <w:widowControl/>
      <w:adjustRightInd w:val="0"/>
      <w:snapToGrid w:val="0"/>
      <w:spacing w:beforeLines="25" w:line="360" w:lineRule="auto"/>
      <w:jc w:val="center"/>
    </w:pPr>
    <w:rPr>
      <w:rFonts w:cstheme="majorBidi"/>
      <w:kern w:val="0"/>
      <w:sz w:val="18"/>
    </w:rPr>
  </w:style>
  <w:style w:type="paragraph" w:customStyle="1" w:styleId="3193">
    <w:name w:val="point"/>
    <w:basedOn w:val="1"/>
    <w:autoRedefine/>
    <w:qFormat/>
    <w:uiPriority w:val="0"/>
    <w:pPr>
      <w:widowControl/>
      <w:tabs>
        <w:tab w:val="left" w:pos="840"/>
      </w:tabs>
      <w:spacing w:line="360" w:lineRule="auto"/>
      <w:ind w:left="992" w:hanging="677"/>
      <w:jc w:val="left"/>
    </w:pPr>
    <w:rPr>
      <w:rFonts w:cstheme="majorBidi"/>
      <w:kern w:val="0"/>
      <w:sz w:val="28"/>
      <w:szCs w:val="20"/>
    </w:rPr>
  </w:style>
  <w:style w:type="paragraph" w:customStyle="1" w:styleId="3194">
    <w:name w:val="Lux 正文"/>
    <w:basedOn w:val="1"/>
    <w:autoRedefine/>
    <w:qFormat/>
    <w:uiPriority w:val="0"/>
    <w:pPr>
      <w:widowControl/>
      <w:spacing w:before="80" w:after="80" w:line="500" w:lineRule="exact"/>
      <w:jc w:val="left"/>
    </w:pPr>
    <w:rPr>
      <w:rFonts w:cstheme="majorBidi"/>
      <w:kern w:val="0"/>
      <w:szCs w:val="20"/>
    </w:rPr>
  </w:style>
  <w:style w:type="paragraph" w:customStyle="1" w:styleId="3195">
    <w:name w:val="样式32"/>
    <w:basedOn w:val="271"/>
    <w:autoRedefine/>
    <w:qFormat/>
    <w:uiPriority w:val="0"/>
    <w:pPr>
      <w:widowControl/>
      <w:numPr>
        <w:ilvl w:val="0"/>
        <w:numId w:val="0"/>
      </w:numPr>
      <w:tabs>
        <w:tab w:val="left" w:pos="360"/>
        <w:tab w:val="left" w:pos="540"/>
      </w:tabs>
      <w:spacing w:beforeLines="50" w:afterLines="50"/>
      <w:ind w:hanging="1107" w:firstLineChars="200"/>
      <w:jc w:val="left"/>
    </w:pPr>
    <w:rPr>
      <w:rFonts w:ascii="等线" w:hAnsi="等线" w:cstheme="majorBidi"/>
      <w:b w:val="0"/>
      <w:bCs w:val="0"/>
      <w:kern w:val="0"/>
      <w:sz w:val="28"/>
      <w:szCs w:val="28"/>
    </w:rPr>
  </w:style>
  <w:style w:type="paragraph" w:customStyle="1" w:styleId="3196">
    <w:name w:val="样式 样式1 + 居中"/>
    <w:basedOn w:val="1"/>
    <w:autoRedefine/>
    <w:qFormat/>
    <w:uiPriority w:val="0"/>
    <w:pPr>
      <w:widowControl/>
      <w:spacing w:line="360" w:lineRule="auto"/>
      <w:jc w:val="center"/>
    </w:pPr>
    <w:rPr>
      <w:rFonts w:cstheme="majorBidi"/>
      <w:kern w:val="0"/>
      <w:szCs w:val="20"/>
    </w:rPr>
  </w:style>
  <w:style w:type="paragraph" w:customStyle="1" w:styleId="3197">
    <w:name w:val="样式48"/>
    <w:basedOn w:val="1"/>
    <w:autoRedefine/>
    <w:qFormat/>
    <w:uiPriority w:val="0"/>
    <w:pPr>
      <w:widowControl/>
      <w:adjustRightInd w:val="0"/>
      <w:snapToGrid w:val="0"/>
      <w:spacing w:before="50" w:after="50" w:line="360" w:lineRule="auto"/>
      <w:ind w:firstLine="480"/>
      <w:jc w:val="left"/>
    </w:pPr>
    <w:rPr>
      <w:rFonts w:cstheme="majorBidi"/>
      <w:color w:val="000000"/>
      <w:kern w:val="0"/>
    </w:rPr>
  </w:style>
  <w:style w:type="paragraph" w:customStyle="1" w:styleId="3198">
    <w:name w:val="样式 行距: 固定值 23 磅"/>
    <w:basedOn w:val="1"/>
    <w:autoRedefine/>
    <w:qFormat/>
    <w:uiPriority w:val="0"/>
    <w:pPr>
      <w:widowControl/>
      <w:spacing w:line="360" w:lineRule="auto"/>
      <w:ind w:firstLine="2168" w:firstLineChars="900"/>
      <w:jc w:val="left"/>
    </w:pPr>
    <w:rPr>
      <w:rFonts w:cstheme="majorBidi"/>
      <w:b/>
      <w:color w:val="000000"/>
      <w:kern w:val="0"/>
    </w:rPr>
  </w:style>
  <w:style w:type="paragraph" w:customStyle="1" w:styleId="3199">
    <w:name w:val="基准页眉样式"/>
    <w:basedOn w:val="34"/>
    <w:autoRedefine/>
    <w:qFormat/>
    <w:uiPriority w:val="0"/>
    <w:pPr>
      <w:keepLines/>
      <w:widowControl/>
      <w:tabs>
        <w:tab w:val="center" w:pos="-18551"/>
        <w:tab w:val="right" w:pos="4320"/>
      </w:tabs>
      <w:spacing w:line="240" w:lineRule="atLeast"/>
      <w:ind w:firstLine="200" w:firstLineChars="200"/>
    </w:pPr>
    <w:rPr>
      <w:rFonts w:ascii="Garamond" w:hAnsi="Garamond" w:cstheme="majorBidi"/>
      <w:smallCaps/>
      <w:spacing w:val="15"/>
      <w:kern w:val="0"/>
      <w:sz w:val="24"/>
      <w:szCs w:val="20"/>
    </w:rPr>
  </w:style>
  <w:style w:type="paragraph" w:customStyle="1" w:styleId="3200">
    <w:name w:val="表格文字（韶关规划）"/>
    <w:basedOn w:val="1"/>
    <w:autoRedefine/>
    <w:qFormat/>
    <w:uiPriority w:val="0"/>
    <w:pPr>
      <w:widowControl/>
      <w:tabs>
        <w:tab w:val="left" w:pos="7996"/>
      </w:tabs>
      <w:autoSpaceDE w:val="0"/>
      <w:autoSpaceDN w:val="0"/>
      <w:adjustRightInd w:val="0"/>
      <w:snapToGrid w:val="0"/>
      <w:spacing w:line="264" w:lineRule="auto"/>
      <w:jc w:val="center"/>
    </w:pPr>
    <w:rPr>
      <w:rFonts w:cstheme="majorBidi"/>
      <w:bCs/>
      <w:kern w:val="0"/>
      <w:szCs w:val="21"/>
      <w:lang w:val="zh-CN"/>
    </w:rPr>
  </w:style>
  <w:style w:type="paragraph" w:customStyle="1" w:styleId="3201">
    <w:name w:val="样式 正文缩进正文（首行缩进两字）正文（首行缩进两字） Char Char Char Char Char Char Char..."/>
    <w:basedOn w:val="21"/>
    <w:autoRedefine/>
    <w:qFormat/>
    <w:uiPriority w:val="0"/>
    <w:pPr>
      <w:widowControl/>
      <w:spacing w:line="312" w:lineRule="auto"/>
      <w:ind w:firstLine="539"/>
    </w:pPr>
    <w:rPr>
      <w:rFonts w:ascii="Calibri" w:hAnsi="Calibri" w:cstheme="majorBidi"/>
      <w:kern w:val="0"/>
      <w:sz w:val="28"/>
      <w:szCs w:val="20"/>
    </w:rPr>
  </w:style>
  <w:style w:type="paragraph" w:customStyle="1" w:styleId="3202">
    <w:name w:val="Char Char Char Char22"/>
    <w:basedOn w:val="1"/>
    <w:autoRedefine/>
    <w:qFormat/>
    <w:uiPriority w:val="99"/>
    <w:pPr>
      <w:widowControl/>
      <w:spacing w:line="360" w:lineRule="auto"/>
      <w:jc w:val="left"/>
    </w:pPr>
    <w:rPr>
      <w:rFonts w:ascii="宋体" w:hAnsi="宋体" w:cs="宋体"/>
      <w:kern w:val="0"/>
    </w:rPr>
  </w:style>
  <w:style w:type="paragraph" w:customStyle="1" w:styleId="3203">
    <w:name w:val="Char Char Char Char31"/>
    <w:basedOn w:val="1"/>
    <w:autoRedefine/>
    <w:qFormat/>
    <w:uiPriority w:val="99"/>
    <w:pPr>
      <w:widowControl/>
      <w:snapToGrid w:val="0"/>
      <w:spacing w:line="360" w:lineRule="auto"/>
      <w:jc w:val="left"/>
    </w:pPr>
    <w:rPr>
      <w:rFonts w:eastAsia="仿宋_GB2312" w:cstheme="majorBidi"/>
      <w:kern w:val="0"/>
    </w:rPr>
  </w:style>
  <w:style w:type="paragraph" w:customStyle="1" w:styleId="3204">
    <w:name w:val="_Style 176"/>
    <w:autoRedefine/>
    <w:qFormat/>
    <w:uiPriority w:val="99"/>
    <w:pPr>
      <w:spacing w:line="360" w:lineRule="auto"/>
    </w:pPr>
    <w:rPr>
      <w:rFonts w:ascii="等线" w:hAnsi="等线" w:eastAsia="等线" w:cstheme="majorBidi"/>
      <w:kern w:val="2"/>
      <w:sz w:val="21"/>
      <w:szCs w:val="22"/>
      <w:lang w:val="en-US" w:eastAsia="zh-CN" w:bidi="ar-SA"/>
    </w:rPr>
  </w:style>
  <w:style w:type="paragraph" w:customStyle="1" w:styleId="3205">
    <w:name w:val="Char Char Char Char Char Char1 Char1"/>
    <w:basedOn w:val="1"/>
    <w:autoRedefine/>
    <w:qFormat/>
    <w:uiPriority w:val="0"/>
    <w:pPr>
      <w:widowControl/>
      <w:spacing w:after="160" w:line="240" w:lineRule="exact"/>
      <w:jc w:val="left"/>
    </w:pPr>
    <w:rPr>
      <w:rFonts w:ascii="Arial" w:hAnsi="Arial" w:eastAsia="Times New Roman" w:cs="Verdana"/>
      <w:b/>
      <w:kern w:val="0"/>
      <w:szCs w:val="20"/>
      <w:lang w:eastAsia="en-US"/>
    </w:rPr>
  </w:style>
  <w:style w:type="paragraph" w:customStyle="1" w:styleId="3206">
    <w:name w:val="样式127"/>
    <w:basedOn w:val="2669"/>
    <w:link w:val="3207"/>
    <w:autoRedefine/>
    <w:qFormat/>
    <w:uiPriority w:val="0"/>
    <w:pPr>
      <w:spacing w:before="120" w:after="120"/>
    </w:pPr>
    <w:rPr>
      <w:color w:val="0000FF"/>
      <w:u w:val="single"/>
    </w:rPr>
  </w:style>
  <w:style w:type="character" w:customStyle="1" w:styleId="3207">
    <w:name w:val="样式127 Char"/>
    <w:link w:val="3206"/>
    <w:autoRedefine/>
    <w:qFormat/>
    <w:uiPriority w:val="0"/>
    <w:rPr>
      <w:rFonts w:cstheme="majorBidi"/>
      <w:color w:val="0000FF"/>
      <w:sz w:val="24"/>
      <w:szCs w:val="24"/>
      <w:u w:val="single"/>
    </w:rPr>
  </w:style>
  <w:style w:type="paragraph" w:customStyle="1" w:styleId="3208">
    <w:name w:val="二号标题样式 Char Char Char Char Char"/>
    <w:basedOn w:val="1"/>
    <w:link w:val="3209"/>
    <w:autoRedefine/>
    <w:qFormat/>
    <w:uiPriority w:val="0"/>
    <w:pPr>
      <w:keepNext/>
      <w:keepLines/>
      <w:widowControl/>
      <w:spacing w:beforeLines="50" w:afterLines="50" w:line="520" w:lineRule="exact"/>
      <w:jc w:val="left"/>
      <w:outlineLvl w:val="2"/>
    </w:pPr>
    <w:rPr>
      <w:rFonts w:ascii="Arial" w:hAnsi="Arial" w:eastAsia="黑体" w:cs="宋体"/>
      <w:kern w:val="0"/>
      <w:sz w:val="28"/>
      <w:szCs w:val="20"/>
    </w:rPr>
  </w:style>
  <w:style w:type="character" w:customStyle="1" w:styleId="3209">
    <w:name w:val="二号标题样式 Char Char Char Char Char Char"/>
    <w:link w:val="3208"/>
    <w:autoRedefine/>
    <w:qFormat/>
    <w:uiPriority w:val="0"/>
    <w:rPr>
      <w:rFonts w:ascii="Arial" w:hAnsi="Arial" w:eastAsia="黑体" w:cs="宋体"/>
      <w:sz w:val="28"/>
    </w:rPr>
  </w:style>
  <w:style w:type="paragraph" w:customStyle="1" w:styleId="3210">
    <w:name w:val="表格文字 Char Char Char Char"/>
    <w:basedOn w:val="1"/>
    <w:link w:val="3211"/>
    <w:autoRedefine/>
    <w:qFormat/>
    <w:uiPriority w:val="0"/>
    <w:pPr>
      <w:widowControl/>
      <w:spacing w:line="360" w:lineRule="exact"/>
      <w:jc w:val="center"/>
    </w:pPr>
    <w:rPr>
      <w:rFonts w:cstheme="majorBidi"/>
      <w:kern w:val="0"/>
      <w:sz w:val="20"/>
      <w:szCs w:val="20"/>
    </w:rPr>
  </w:style>
  <w:style w:type="character" w:customStyle="1" w:styleId="3211">
    <w:name w:val="表格文字 Char Char Char Char Char"/>
    <w:link w:val="3210"/>
    <w:autoRedefine/>
    <w:qFormat/>
    <w:uiPriority w:val="0"/>
    <w:rPr>
      <w:rFonts w:cstheme="majorBidi"/>
    </w:rPr>
  </w:style>
  <w:style w:type="paragraph" w:customStyle="1" w:styleId="3212">
    <w:name w:val="cucd-0"/>
    <w:link w:val="3213"/>
    <w:autoRedefine/>
    <w:qFormat/>
    <w:uiPriority w:val="0"/>
    <w:pPr>
      <w:spacing w:line="360" w:lineRule="auto"/>
      <w:ind w:firstLine="480" w:firstLineChars="200"/>
    </w:pPr>
    <w:rPr>
      <w:rFonts w:asciiTheme="majorHAnsi" w:hAnsiTheme="majorHAnsi" w:eastAsiaTheme="majorEastAsia" w:cstheme="majorBidi"/>
      <w:kern w:val="2"/>
      <w:sz w:val="24"/>
      <w:szCs w:val="24"/>
      <w:lang w:val="en-US" w:eastAsia="zh-CN" w:bidi="ar-SA"/>
    </w:rPr>
  </w:style>
  <w:style w:type="character" w:customStyle="1" w:styleId="3213">
    <w:name w:val="cucd-0 Char"/>
    <w:link w:val="3212"/>
    <w:autoRedefine/>
    <w:qFormat/>
    <w:uiPriority w:val="0"/>
    <w:rPr>
      <w:rFonts w:asciiTheme="majorHAnsi" w:hAnsiTheme="majorHAnsi" w:eastAsiaTheme="majorEastAsia" w:cstheme="majorBidi"/>
      <w:kern w:val="2"/>
      <w:sz w:val="24"/>
      <w:szCs w:val="24"/>
    </w:rPr>
  </w:style>
  <w:style w:type="paragraph" w:customStyle="1" w:styleId="3214">
    <w:name w:val="CUCD-0"/>
    <w:basedOn w:val="1"/>
    <w:autoRedefine/>
    <w:qFormat/>
    <w:uiPriority w:val="0"/>
    <w:pPr>
      <w:widowControl/>
      <w:spacing w:line="360" w:lineRule="auto"/>
      <w:jc w:val="left"/>
    </w:pPr>
    <w:rPr>
      <w:rFonts w:ascii="Arial" w:hAnsi="Arial" w:cstheme="majorBidi"/>
      <w:kern w:val="0"/>
      <w:szCs w:val="22"/>
    </w:rPr>
  </w:style>
  <w:style w:type="paragraph" w:customStyle="1" w:styleId="3215">
    <w:name w:val="8 Char"/>
    <w:basedOn w:val="1"/>
    <w:autoRedefine/>
    <w:qFormat/>
    <w:uiPriority w:val="0"/>
    <w:pPr>
      <w:widowControl/>
      <w:spacing w:line="360" w:lineRule="auto"/>
      <w:ind w:firstLine="480"/>
      <w:jc w:val="left"/>
    </w:pPr>
    <w:rPr>
      <w:rFonts w:cstheme="majorBidi"/>
      <w:kern w:val="10"/>
      <w:szCs w:val="20"/>
    </w:rPr>
  </w:style>
  <w:style w:type="paragraph" w:customStyle="1" w:styleId="3216">
    <w:name w:val="样式1 Char Char Char Char"/>
    <w:basedOn w:val="80"/>
    <w:link w:val="3217"/>
    <w:autoRedefine/>
    <w:qFormat/>
    <w:uiPriority w:val="0"/>
    <w:pPr>
      <w:widowControl w:val="0"/>
      <w:tabs>
        <w:tab w:val="left" w:pos="425"/>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djustRightInd w:val="0"/>
      <w:spacing w:line="312" w:lineRule="atLeast"/>
      <w:ind w:firstLine="200" w:firstLineChars="200"/>
      <w:jc w:val="both"/>
      <w:textAlignment w:val="baseline"/>
    </w:pPr>
    <w:rPr>
      <w:rFonts w:cs="Times New Roman"/>
    </w:rPr>
  </w:style>
  <w:style w:type="character" w:customStyle="1" w:styleId="3217">
    <w:name w:val="样式1 Char Char Char Char Char"/>
    <w:link w:val="3216"/>
    <w:autoRedefine/>
    <w:qFormat/>
    <w:uiPriority w:val="0"/>
    <w:rPr>
      <w:rFonts w:ascii="宋体" w:hAnsi="宋体"/>
      <w:sz w:val="24"/>
      <w:szCs w:val="24"/>
    </w:rPr>
  </w:style>
  <w:style w:type="paragraph" w:customStyle="1" w:styleId="3218">
    <w:name w:val="一级序号"/>
    <w:basedOn w:val="86"/>
    <w:link w:val="3219"/>
    <w:autoRedefine/>
    <w:qFormat/>
    <w:uiPriority w:val="0"/>
    <w:pPr>
      <w:widowControl/>
      <w:tabs>
        <w:tab w:val="left" w:pos="425"/>
      </w:tabs>
      <w:adjustRightInd/>
      <w:snapToGrid/>
      <w:spacing w:line="360" w:lineRule="auto"/>
      <w:ind w:left="436" w:firstLine="560" w:firstLineChars="0"/>
      <w:jc w:val="left"/>
    </w:pPr>
    <w:rPr>
      <w:rFonts w:ascii="宋体" w:hAnsi="宋体" w:cstheme="majorBidi"/>
      <w:spacing w:val="20"/>
      <w:kern w:val="0"/>
      <w:sz w:val="24"/>
      <w:lang w:bidi="he-IL"/>
    </w:rPr>
  </w:style>
  <w:style w:type="character" w:customStyle="1" w:styleId="3219">
    <w:name w:val="一级序号 Char"/>
    <w:link w:val="3218"/>
    <w:autoRedefine/>
    <w:qFormat/>
    <w:uiPriority w:val="0"/>
    <w:rPr>
      <w:rFonts w:ascii="宋体" w:hAnsi="宋体" w:cstheme="majorBidi"/>
      <w:spacing w:val="20"/>
      <w:sz w:val="24"/>
      <w:szCs w:val="24"/>
      <w:lang w:bidi="he-IL"/>
    </w:rPr>
  </w:style>
  <w:style w:type="paragraph" w:customStyle="1" w:styleId="3220">
    <w:name w:val="二级 序号"/>
    <w:basedOn w:val="1"/>
    <w:link w:val="3221"/>
    <w:autoRedefine/>
    <w:qFormat/>
    <w:uiPriority w:val="0"/>
    <w:pPr>
      <w:widowControl/>
      <w:tabs>
        <w:tab w:val="left" w:pos="425"/>
      </w:tabs>
      <w:spacing w:line="360" w:lineRule="auto"/>
      <w:ind w:left="425" w:firstLine="560"/>
      <w:jc w:val="left"/>
    </w:pPr>
    <w:rPr>
      <w:rFonts w:cstheme="majorBidi"/>
      <w:spacing w:val="20"/>
      <w:kern w:val="0"/>
    </w:rPr>
  </w:style>
  <w:style w:type="character" w:customStyle="1" w:styleId="3221">
    <w:name w:val="二级 序号 Char"/>
    <w:link w:val="3220"/>
    <w:autoRedefine/>
    <w:qFormat/>
    <w:uiPriority w:val="0"/>
    <w:rPr>
      <w:rFonts w:cstheme="majorBidi"/>
      <w:spacing w:val="20"/>
      <w:sz w:val="24"/>
      <w:szCs w:val="24"/>
    </w:rPr>
  </w:style>
  <w:style w:type="paragraph" w:customStyle="1" w:styleId="3222">
    <w:name w:val="cucd-2"/>
    <w:next w:val="3223"/>
    <w:link w:val="3225"/>
    <w:autoRedefine/>
    <w:qFormat/>
    <w:uiPriority w:val="0"/>
    <w:pPr>
      <w:tabs>
        <w:tab w:val="left" w:pos="567"/>
      </w:tabs>
      <w:spacing w:line="360" w:lineRule="auto"/>
      <w:ind w:left="567" w:hanging="567"/>
      <w:outlineLvl w:val="1"/>
    </w:pPr>
    <w:rPr>
      <w:rFonts w:eastAsia="黑体" w:asciiTheme="majorHAnsi" w:hAnsiTheme="majorHAnsi" w:cstheme="majorBidi"/>
      <w:b/>
      <w:sz w:val="30"/>
      <w:szCs w:val="24"/>
      <w:lang w:val="en-US" w:eastAsia="zh-CN" w:bidi="ar-SA"/>
    </w:rPr>
  </w:style>
  <w:style w:type="paragraph" w:customStyle="1" w:styleId="3223">
    <w:name w:val="cucd-3"/>
    <w:next w:val="3224"/>
    <w:link w:val="3226"/>
    <w:autoRedefine/>
    <w:qFormat/>
    <w:uiPriority w:val="0"/>
    <w:pPr>
      <w:spacing w:line="360" w:lineRule="auto"/>
      <w:outlineLvl w:val="3"/>
    </w:pPr>
    <w:rPr>
      <w:rFonts w:ascii="黑体" w:hAnsi="黑体" w:eastAsia="黑体" w:cstheme="majorBidi"/>
      <w:kern w:val="2"/>
      <w:sz w:val="24"/>
      <w:szCs w:val="24"/>
      <w:lang w:val="en-US" w:eastAsia="zh-CN" w:bidi="ar-SA"/>
    </w:rPr>
  </w:style>
  <w:style w:type="paragraph" w:customStyle="1" w:styleId="3224">
    <w:name w:val="cucd-4"/>
    <w:next w:val="3212"/>
    <w:link w:val="3227"/>
    <w:autoRedefine/>
    <w:qFormat/>
    <w:uiPriority w:val="0"/>
    <w:pPr>
      <w:adjustRightInd w:val="0"/>
      <w:snapToGrid w:val="0"/>
      <w:spacing w:line="360" w:lineRule="auto"/>
      <w:outlineLvl w:val="3"/>
    </w:pPr>
    <w:rPr>
      <w:rFonts w:ascii="黑体" w:hAnsi="黑体" w:eastAsia="黑体" w:cstheme="majorBidi"/>
      <w:kern w:val="2"/>
      <w:sz w:val="24"/>
      <w:szCs w:val="24"/>
      <w:lang w:val="en-US" w:eastAsia="zh-CN" w:bidi="ar-SA"/>
    </w:rPr>
  </w:style>
  <w:style w:type="character" w:customStyle="1" w:styleId="3225">
    <w:name w:val="cucd-2 Char1"/>
    <w:link w:val="3222"/>
    <w:autoRedefine/>
    <w:qFormat/>
    <w:uiPriority w:val="0"/>
    <w:rPr>
      <w:rFonts w:eastAsia="黑体" w:asciiTheme="majorHAnsi" w:hAnsiTheme="majorHAnsi" w:cstheme="majorBidi"/>
      <w:b/>
      <w:sz w:val="30"/>
      <w:szCs w:val="24"/>
    </w:rPr>
  </w:style>
  <w:style w:type="character" w:customStyle="1" w:styleId="3226">
    <w:name w:val="cucd-3 Char1"/>
    <w:link w:val="3223"/>
    <w:autoRedefine/>
    <w:qFormat/>
    <w:uiPriority w:val="0"/>
    <w:rPr>
      <w:rFonts w:ascii="黑体" w:hAnsi="黑体" w:eastAsia="黑体" w:cstheme="majorBidi"/>
      <w:kern w:val="2"/>
      <w:sz w:val="24"/>
      <w:szCs w:val="24"/>
    </w:rPr>
  </w:style>
  <w:style w:type="character" w:customStyle="1" w:styleId="3227">
    <w:name w:val="cucd-4 Char"/>
    <w:link w:val="3224"/>
    <w:autoRedefine/>
    <w:qFormat/>
    <w:uiPriority w:val="0"/>
    <w:rPr>
      <w:rFonts w:ascii="黑体" w:hAnsi="黑体" w:eastAsia="黑体" w:cstheme="majorBidi"/>
      <w:kern w:val="2"/>
      <w:sz w:val="24"/>
      <w:szCs w:val="24"/>
    </w:rPr>
  </w:style>
  <w:style w:type="paragraph" w:customStyle="1" w:styleId="3228">
    <w:name w:val="电子邮件签名1"/>
    <w:basedOn w:val="1"/>
    <w:next w:val="1"/>
    <w:link w:val="3229"/>
    <w:autoRedefine/>
    <w:qFormat/>
    <w:uiPriority w:val="0"/>
    <w:pPr>
      <w:widowControl/>
      <w:spacing w:beforeLines="50" w:afterLines="50" w:line="360" w:lineRule="auto"/>
      <w:jc w:val="left"/>
    </w:pPr>
    <w:rPr>
      <w:rFonts w:cstheme="majorBidi"/>
      <w:kern w:val="0"/>
    </w:rPr>
  </w:style>
  <w:style w:type="character" w:customStyle="1" w:styleId="3229">
    <w:name w:val="电子邮件签名 Char"/>
    <w:link w:val="3228"/>
    <w:autoRedefine/>
    <w:qFormat/>
    <w:uiPriority w:val="0"/>
    <w:rPr>
      <w:rFonts w:cstheme="majorBidi"/>
      <w:sz w:val="24"/>
      <w:szCs w:val="24"/>
    </w:rPr>
  </w:style>
  <w:style w:type="paragraph" w:customStyle="1" w:styleId="3230">
    <w:name w:val="新正文"/>
    <w:basedOn w:val="1"/>
    <w:link w:val="3231"/>
    <w:autoRedefine/>
    <w:qFormat/>
    <w:uiPriority w:val="0"/>
    <w:pPr>
      <w:widowControl/>
      <w:spacing w:line="480" w:lineRule="exact"/>
      <w:ind w:firstLine="482"/>
      <w:jc w:val="left"/>
    </w:pPr>
    <w:rPr>
      <w:rFonts w:ascii="仿宋_GB2312" w:eastAsia="仿宋_GB2312" w:cstheme="majorBidi"/>
      <w:bCs/>
      <w:kern w:val="0"/>
      <w:sz w:val="28"/>
      <w:szCs w:val="20"/>
    </w:rPr>
  </w:style>
  <w:style w:type="character" w:customStyle="1" w:styleId="3231">
    <w:name w:val="新正文 Char"/>
    <w:link w:val="3230"/>
    <w:autoRedefine/>
    <w:qFormat/>
    <w:uiPriority w:val="0"/>
    <w:rPr>
      <w:rFonts w:ascii="仿宋_GB2312" w:eastAsia="仿宋_GB2312" w:cstheme="majorBidi"/>
      <w:bCs/>
      <w:sz w:val="28"/>
    </w:rPr>
  </w:style>
  <w:style w:type="paragraph" w:customStyle="1" w:styleId="3232">
    <w:name w:val="样式93"/>
    <w:basedOn w:val="1"/>
    <w:link w:val="3233"/>
    <w:autoRedefine/>
    <w:qFormat/>
    <w:uiPriority w:val="0"/>
    <w:pPr>
      <w:widowControl/>
      <w:spacing w:line="520" w:lineRule="exact"/>
      <w:jc w:val="left"/>
    </w:pPr>
    <w:rPr>
      <w:rFonts w:ascii="宋体" w:hAnsi="宋体" w:eastAsia="仿宋_GB2312" w:cstheme="majorBidi"/>
      <w:kern w:val="11"/>
      <w:szCs w:val="20"/>
    </w:rPr>
  </w:style>
  <w:style w:type="character" w:customStyle="1" w:styleId="3233">
    <w:name w:val="样式93 Char"/>
    <w:link w:val="3232"/>
    <w:autoRedefine/>
    <w:qFormat/>
    <w:uiPriority w:val="0"/>
    <w:rPr>
      <w:rFonts w:ascii="宋体" w:hAnsi="宋体" w:eastAsia="仿宋_GB2312" w:cstheme="majorBidi"/>
      <w:kern w:val="11"/>
      <w:sz w:val="24"/>
    </w:rPr>
  </w:style>
  <w:style w:type="paragraph" w:customStyle="1" w:styleId="3234">
    <w:name w:val="表格名称1"/>
    <w:basedOn w:val="1"/>
    <w:link w:val="3235"/>
    <w:autoRedefine/>
    <w:qFormat/>
    <w:uiPriority w:val="0"/>
    <w:pPr>
      <w:widowControl/>
      <w:spacing w:line="500" w:lineRule="exact"/>
      <w:ind w:firstLine="482"/>
      <w:jc w:val="center"/>
    </w:pPr>
    <w:rPr>
      <w:rFonts w:cstheme="majorBidi"/>
      <w:b/>
      <w:kern w:val="0"/>
      <w:u w:val="single"/>
    </w:rPr>
  </w:style>
  <w:style w:type="character" w:customStyle="1" w:styleId="3235">
    <w:name w:val="表格名称1 Char"/>
    <w:link w:val="3234"/>
    <w:autoRedefine/>
    <w:qFormat/>
    <w:uiPriority w:val="0"/>
    <w:rPr>
      <w:rFonts w:cstheme="majorBidi"/>
      <w:b/>
      <w:sz w:val="24"/>
      <w:szCs w:val="24"/>
      <w:u w:val="single"/>
    </w:rPr>
  </w:style>
  <w:style w:type="paragraph" w:customStyle="1" w:styleId="3236">
    <w:name w:val="8说明(治)"/>
    <w:basedOn w:val="1"/>
    <w:next w:val="1"/>
    <w:link w:val="3237"/>
    <w:autoRedefine/>
    <w:qFormat/>
    <w:uiPriority w:val="0"/>
    <w:pPr>
      <w:widowControl/>
      <w:spacing w:line="360" w:lineRule="auto"/>
      <w:ind w:firstLine="435"/>
      <w:jc w:val="left"/>
    </w:pPr>
    <w:rPr>
      <w:rFonts w:eastAsia="仿宋_GB2312" w:cstheme="majorBidi"/>
      <w:kern w:val="0"/>
      <w:sz w:val="20"/>
    </w:rPr>
  </w:style>
  <w:style w:type="character" w:customStyle="1" w:styleId="3237">
    <w:name w:val="8说明(治) Char"/>
    <w:link w:val="3236"/>
    <w:autoRedefine/>
    <w:qFormat/>
    <w:uiPriority w:val="0"/>
    <w:rPr>
      <w:rFonts w:eastAsia="仿宋_GB2312" w:cstheme="majorBidi"/>
      <w:szCs w:val="24"/>
    </w:rPr>
  </w:style>
  <w:style w:type="paragraph" w:customStyle="1" w:styleId="3238">
    <w:name w:val="易三级标题"/>
    <w:basedOn w:val="1"/>
    <w:link w:val="3239"/>
    <w:autoRedefine/>
    <w:qFormat/>
    <w:uiPriority w:val="0"/>
    <w:pPr>
      <w:keepNext/>
      <w:keepLines/>
      <w:widowControl/>
      <w:spacing w:beforeLines="50" w:afterLines="50" w:line="360" w:lineRule="auto"/>
      <w:jc w:val="left"/>
      <w:outlineLvl w:val="2"/>
    </w:pPr>
    <w:rPr>
      <w:rFonts w:eastAsia="黑体" w:cstheme="majorBidi"/>
      <w:bCs/>
      <w:kern w:val="0"/>
      <w:sz w:val="28"/>
      <w:szCs w:val="28"/>
    </w:rPr>
  </w:style>
  <w:style w:type="character" w:customStyle="1" w:styleId="3239">
    <w:name w:val="易三级标题 Char"/>
    <w:link w:val="3238"/>
    <w:autoRedefine/>
    <w:qFormat/>
    <w:uiPriority w:val="0"/>
    <w:rPr>
      <w:rFonts w:eastAsia="黑体" w:cstheme="majorBidi"/>
      <w:bCs/>
      <w:sz w:val="28"/>
      <w:szCs w:val="28"/>
    </w:rPr>
  </w:style>
  <w:style w:type="paragraph" w:customStyle="1" w:styleId="3240">
    <w:name w:val="签名1"/>
    <w:basedOn w:val="1"/>
    <w:next w:val="1"/>
    <w:link w:val="3241"/>
    <w:autoRedefine/>
    <w:qFormat/>
    <w:uiPriority w:val="0"/>
    <w:pPr>
      <w:widowControl/>
      <w:spacing w:beforeLines="50" w:afterLines="50" w:line="360" w:lineRule="auto"/>
      <w:ind w:left="100" w:leftChars="2100"/>
      <w:jc w:val="left"/>
    </w:pPr>
    <w:rPr>
      <w:rFonts w:cstheme="majorBidi"/>
      <w:kern w:val="0"/>
    </w:rPr>
  </w:style>
  <w:style w:type="character" w:customStyle="1" w:styleId="3241">
    <w:name w:val="签名 Char"/>
    <w:link w:val="3240"/>
    <w:autoRedefine/>
    <w:qFormat/>
    <w:uiPriority w:val="0"/>
    <w:rPr>
      <w:rFonts w:cstheme="majorBidi"/>
      <w:sz w:val="24"/>
      <w:szCs w:val="24"/>
    </w:rPr>
  </w:style>
  <w:style w:type="paragraph" w:customStyle="1" w:styleId="3242">
    <w:name w:val="cucd-1"/>
    <w:next w:val="3222"/>
    <w:link w:val="3243"/>
    <w:autoRedefine/>
    <w:qFormat/>
    <w:uiPriority w:val="0"/>
    <w:pPr>
      <w:pageBreakBefore/>
      <w:tabs>
        <w:tab w:val="left" w:pos="425"/>
      </w:tabs>
      <w:spacing w:beforeLines="100" w:afterLines="50" w:line="360" w:lineRule="auto"/>
      <w:ind w:left="425" w:hanging="425"/>
      <w:jc w:val="center"/>
      <w:outlineLvl w:val="0"/>
    </w:pPr>
    <w:rPr>
      <w:rFonts w:eastAsia="黑体" w:asciiTheme="majorHAnsi" w:hAnsiTheme="majorHAnsi" w:cstheme="majorBidi"/>
      <w:b/>
      <w:sz w:val="36"/>
      <w:szCs w:val="24"/>
      <w:lang w:val="en-US" w:eastAsia="zh-CN" w:bidi="ar-SA"/>
    </w:rPr>
  </w:style>
  <w:style w:type="character" w:customStyle="1" w:styleId="3243">
    <w:name w:val="cucd-1 Char"/>
    <w:link w:val="3242"/>
    <w:autoRedefine/>
    <w:qFormat/>
    <w:uiPriority w:val="0"/>
    <w:rPr>
      <w:rFonts w:eastAsia="黑体" w:asciiTheme="majorHAnsi" w:hAnsiTheme="majorHAnsi" w:cstheme="majorBidi"/>
      <w:b/>
      <w:sz w:val="36"/>
      <w:szCs w:val="24"/>
    </w:rPr>
  </w:style>
  <w:style w:type="paragraph" w:customStyle="1" w:styleId="3244">
    <w:name w:val="样式 表格文字 Char + 段前: 0.5 行"/>
    <w:basedOn w:val="1"/>
    <w:link w:val="3245"/>
    <w:autoRedefine/>
    <w:qFormat/>
    <w:uiPriority w:val="0"/>
    <w:pPr>
      <w:widowControl/>
      <w:spacing w:beforeLines="50" w:line="360" w:lineRule="auto"/>
      <w:jc w:val="center"/>
    </w:pPr>
    <w:rPr>
      <w:rFonts w:cs="宋体"/>
      <w:kern w:val="0"/>
      <w:szCs w:val="20"/>
    </w:rPr>
  </w:style>
  <w:style w:type="character" w:customStyle="1" w:styleId="3245">
    <w:name w:val="样式 表格文字 Char + 段前: 0.5 行 Char"/>
    <w:link w:val="3244"/>
    <w:qFormat/>
    <w:uiPriority w:val="0"/>
    <w:rPr>
      <w:rFonts w:cs="宋体"/>
      <w:sz w:val="24"/>
    </w:rPr>
  </w:style>
  <w:style w:type="paragraph" w:customStyle="1" w:styleId="3246">
    <w:name w:val="HTML 地址1"/>
    <w:basedOn w:val="1"/>
    <w:next w:val="1"/>
    <w:link w:val="3247"/>
    <w:autoRedefine/>
    <w:qFormat/>
    <w:uiPriority w:val="0"/>
    <w:pPr>
      <w:widowControl/>
      <w:spacing w:beforeLines="50" w:afterLines="50" w:line="360" w:lineRule="auto"/>
      <w:jc w:val="left"/>
    </w:pPr>
    <w:rPr>
      <w:rFonts w:cstheme="majorBidi"/>
      <w:i/>
      <w:iCs/>
      <w:kern w:val="0"/>
    </w:rPr>
  </w:style>
  <w:style w:type="character" w:customStyle="1" w:styleId="3247">
    <w:name w:val="HTML 地址 Char"/>
    <w:link w:val="3246"/>
    <w:qFormat/>
    <w:uiPriority w:val="0"/>
    <w:rPr>
      <w:rFonts w:cstheme="majorBidi"/>
      <w:i/>
      <w:iCs/>
      <w:sz w:val="24"/>
      <w:szCs w:val="24"/>
    </w:rPr>
  </w:style>
  <w:style w:type="paragraph" w:customStyle="1" w:styleId="3248">
    <w:name w:val="样式 标题 3 + 首行缩进:  2 字符"/>
    <w:basedOn w:val="5"/>
    <w:autoRedefine/>
    <w:qFormat/>
    <w:uiPriority w:val="0"/>
    <w:pPr>
      <w:keepNext w:val="0"/>
      <w:keepLines w:val="0"/>
      <w:widowControl/>
      <w:numPr>
        <w:ilvl w:val="0"/>
        <w:numId w:val="0"/>
      </w:numPr>
      <w:tabs>
        <w:tab w:val="left" w:pos="952"/>
      </w:tabs>
      <w:adjustRightInd w:val="0"/>
      <w:snapToGrid w:val="0"/>
      <w:spacing w:line="300" w:lineRule="auto"/>
      <w:ind w:left="952" w:hanging="680"/>
      <w:jc w:val="left"/>
    </w:pPr>
    <w:rPr>
      <w:rFonts w:ascii="Cambria" w:hAnsi="Cambria" w:cs="宋体"/>
      <w:bCs w:val="0"/>
      <w:iCs/>
      <w:smallCaps/>
      <w:spacing w:val="5"/>
      <w:kern w:val="0"/>
      <w:sz w:val="28"/>
      <w:szCs w:val="20"/>
    </w:rPr>
  </w:style>
  <w:style w:type="paragraph" w:customStyle="1" w:styleId="3249">
    <w:name w:val="正文标准格式1"/>
    <w:basedOn w:val="1"/>
    <w:link w:val="3250"/>
    <w:autoRedefine/>
    <w:qFormat/>
    <w:uiPriority w:val="0"/>
    <w:pPr>
      <w:widowControl/>
      <w:spacing w:line="360" w:lineRule="auto"/>
      <w:ind w:firstLine="600"/>
      <w:jc w:val="left"/>
    </w:pPr>
    <w:rPr>
      <w:rFonts w:ascii="仿宋_GB2312" w:hAnsi="宋体" w:eastAsia="仿宋_GB2312" w:cstheme="majorBidi"/>
      <w:kern w:val="0"/>
      <w:sz w:val="30"/>
    </w:rPr>
  </w:style>
  <w:style w:type="character" w:customStyle="1" w:styleId="3250">
    <w:name w:val="正文标准格式1 Char"/>
    <w:link w:val="3249"/>
    <w:autoRedefine/>
    <w:qFormat/>
    <w:uiPriority w:val="0"/>
    <w:rPr>
      <w:rFonts w:ascii="仿宋_GB2312" w:hAnsi="宋体" w:eastAsia="仿宋_GB2312" w:cstheme="majorBidi"/>
      <w:sz w:val="30"/>
      <w:szCs w:val="24"/>
    </w:rPr>
  </w:style>
  <w:style w:type="paragraph" w:customStyle="1" w:styleId="3251">
    <w:name w:val="自动编号"/>
    <w:next w:val="1"/>
    <w:link w:val="3252"/>
    <w:autoRedefine/>
    <w:qFormat/>
    <w:uiPriority w:val="0"/>
    <w:pPr>
      <w:tabs>
        <w:tab w:val="left" w:pos="-480"/>
      </w:tabs>
      <w:spacing w:line="360" w:lineRule="auto"/>
      <w:ind w:left="360" w:hanging="360"/>
    </w:pPr>
    <w:rPr>
      <w:rFonts w:ascii="宋体" w:hAnsi="宋体" w:eastAsiaTheme="majorEastAsia" w:cstheme="majorBidi"/>
      <w:spacing w:val="20"/>
      <w:sz w:val="24"/>
      <w:szCs w:val="24"/>
      <w:lang w:val="en-US" w:eastAsia="zh-CN" w:bidi="he-IL"/>
    </w:rPr>
  </w:style>
  <w:style w:type="character" w:customStyle="1" w:styleId="3252">
    <w:name w:val="自动编号 Char"/>
    <w:link w:val="3251"/>
    <w:autoRedefine/>
    <w:qFormat/>
    <w:uiPriority w:val="0"/>
    <w:rPr>
      <w:rFonts w:ascii="宋体" w:hAnsi="宋体" w:eastAsiaTheme="majorEastAsia" w:cstheme="majorBidi"/>
      <w:spacing w:val="20"/>
      <w:sz w:val="24"/>
      <w:szCs w:val="24"/>
      <w:lang w:bidi="he-IL"/>
    </w:rPr>
  </w:style>
  <w:style w:type="paragraph" w:customStyle="1" w:styleId="3253">
    <w:name w:val="样式 表头"/>
    <w:link w:val="3254"/>
    <w:autoRedefine/>
    <w:qFormat/>
    <w:uiPriority w:val="0"/>
    <w:pPr>
      <w:spacing w:beforeLines="50" w:line="360" w:lineRule="auto"/>
      <w:jc w:val="center"/>
    </w:pPr>
    <w:rPr>
      <w:rFonts w:eastAsia="黑体" w:asciiTheme="majorHAnsi" w:hAnsiTheme="majorHAnsi" w:cstheme="majorBidi"/>
      <w:b/>
      <w:bCs/>
      <w:sz w:val="24"/>
      <w:szCs w:val="24"/>
      <w:lang w:val="en-US" w:eastAsia="zh-CN" w:bidi="ar-SA"/>
    </w:rPr>
  </w:style>
  <w:style w:type="character" w:customStyle="1" w:styleId="3254">
    <w:name w:val="样式 表头 Char"/>
    <w:link w:val="3253"/>
    <w:autoRedefine/>
    <w:qFormat/>
    <w:uiPriority w:val="0"/>
    <w:rPr>
      <w:rFonts w:eastAsia="黑体" w:asciiTheme="majorHAnsi" w:hAnsiTheme="majorHAnsi" w:cstheme="majorBidi"/>
      <w:b/>
      <w:bCs/>
      <w:sz w:val="24"/>
      <w:szCs w:val="24"/>
    </w:rPr>
  </w:style>
  <w:style w:type="paragraph" w:customStyle="1" w:styleId="3255">
    <w:name w:val="表格字体"/>
    <w:basedOn w:val="1"/>
    <w:link w:val="3256"/>
    <w:autoRedefine/>
    <w:qFormat/>
    <w:uiPriority w:val="0"/>
    <w:pPr>
      <w:widowControl/>
      <w:adjustRightInd w:val="0"/>
      <w:spacing w:beforeLines="20" w:line="360" w:lineRule="auto"/>
      <w:jc w:val="center"/>
    </w:pPr>
    <w:rPr>
      <w:rFonts w:cstheme="majorBidi"/>
      <w:kern w:val="0"/>
      <w:sz w:val="20"/>
      <w:szCs w:val="21"/>
    </w:rPr>
  </w:style>
  <w:style w:type="character" w:customStyle="1" w:styleId="3256">
    <w:name w:val="表格字体 Char"/>
    <w:link w:val="3255"/>
    <w:autoRedefine/>
    <w:qFormat/>
    <w:uiPriority w:val="0"/>
    <w:rPr>
      <w:rFonts w:cstheme="majorBidi"/>
      <w:szCs w:val="21"/>
    </w:rPr>
  </w:style>
  <w:style w:type="paragraph" w:customStyle="1" w:styleId="3257">
    <w:name w:val="4标题(治)"/>
    <w:basedOn w:val="1"/>
    <w:next w:val="1"/>
    <w:link w:val="3258"/>
    <w:autoRedefine/>
    <w:qFormat/>
    <w:uiPriority w:val="0"/>
    <w:pPr>
      <w:widowControl/>
      <w:adjustRightInd w:val="0"/>
      <w:snapToGrid w:val="0"/>
      <w:spacing w:line="360" w:lineRule="auto"/>
      <w:jc w:val="left"/>
      <w:textAlignment w:val="baseline"/>
      <w:outlineLvl w:val="3"/>
    </w:pPr>
    <w:rPr>
      <w:rFonts w:eastAsia="黑体" w:cstheme="majorBidi"/>
      <w:kern w:val="0"/>
      <w:sz w:val="28"/>
      <w:szCs w:val="20"/>
    </w:rPr>
  </w:style>
  <w:style w:type="character" w:customStyle="1" w:styleId="3258">
    <w:name w:val="4标题(治) Char"/>
    <w:link w:val="3257"/>
    <w:autoRedefine/>
    <w:qFormat/>
    <w:uiPriority w:val="0"/>
    <w:rPr>
      <w:rFonts w:eastAsia="黑体" w:cstheme="majorBidi"/>
      <w:sz w:val="28"/>
    </w:rPr>
  </w:style>
  <w:style w:type="character" w:customStyle="1" w:styleId="3259">
    <w:name w:val="cucd-TB-Head Char"/>
    <w:autoRedefine/>
    <w:qFormat/>
    <w:uiPriority w:val="0"/>
    <w:rPr>
      <w:rFonts w:eastAsia="黑体"/>
      <w:sz w:val="24"/>
      <w:szCs w:val="24"/>
    </w:rPr>
  </w:style>
  <w:style w:type="paragraph" w:customStyle="1" w:styleId="3260">
    <w:name w:val="样式 标题 4款标题1.1.1.1标题 4 Char Char标题 4 Char四表格1目H4H41L4Mi...1"/>
    <w:basedOn w:val="6"/>
    <w:link w:val="3261"/>
    <w:autoRedefine/>
    <w:qFormat/>
    <w:uiPriority w:val="0"/>
    <w:pPr>
      <w:keepNext w:val="0"/>
      <w:keepLines w:val="0"/>
      <w:widowControl/>
      <w:numPr>
        <w:ilvl w:val="0"/>
        <w:numId w:val="0"/>
      </w:numPr>
      <w:adjustRightInd w:val="0"/>
      <w:snapToGrid w:val="0"/>
      <w:spacing w:line="360" w:lineRule="auto"/>
      <w:ind w:left="1134" w:hanging="1134"/>
      <w:jc w:val="center"/>
      <w:textAlignment w:val="baseline"/>
    </w:pPr>
    <w:rPr>
      <w:rFonts w:ascii="仿宋_GB2312" w:hAnsi="仿宋_GB2312" w:eastAsia="仿宋_GB2312"/>
      <w:b w:val="0"/>
      <w:spacing w:val="5"/>
      <w:kern w:val="0"/>
      <w:sz w:val="24"/>
      <w:szCs w:val="20"/>
    </w:rPr>
  </w:style>
  <w:style w:type="character" w:customStyle="1" w:styleId="3261">
    <w:name w:val="样式 标题 4款标题1.1.1.1标题 4 Char Char标题 4 Char四表格1目H4H41L4Mi...1 Char"/>
    <w:link w:val="3260"/>
    <w:autoRedefine/>
    <w:qFormat/>
    <w:uiPriority w:val="0"/>
    <w:rPr>
      <w:rFonts w:ascii="仿宋_GB2312" w:hAnsi="仿宋_GB2312" w:eastAsia="仿宋_GB2312"/>
      <w:bCs/>
      <w:spacing w:val="5"/>
      <w:sz w:val="24"/>
    </w:rPr>
  </w:style>
  <w:style w:type="paragraph" w:customStyle="1" w:styleId="3262">
    <w:name w:val="2标题(治)"/>
    <w:basedOn w:val="4"/>
    <w:link w:val="3263"/>
    <w:autoRedefine/>
    <w:qFormat/>
    <w:uiPriority w:val="0"/>
    <w:pPr>
      <w:keepNext w:val="0"/>
      <w:keepLines w:val="0"/>
      <w:widowControl/>
      <w:numPr>
        <w:ilvl w:val="0"/>
        <w:numId w:val="0"/>
      </w:numPr>
      <w:tabs>
        <w:tab w:val="center" w:pos="567"/>
      </w:tabs>
      <w:adjustRightInd w:val="0"/>
      <w:snapToGrid w:val="0"/>
      <w:ind w:firstLine="200"/>
      <w:jc w:val="left"/>
    </w:pPr>
    <w:rPr>
      <w:rFonts w:ascii="Calibri" w:hAnsi="Calibri"/>
      <w:smallCaps/>
      <w:kern w:val="0"/>
      <w:szCs w:val="20"/>
    </w:rPr>
  </w:style>
  <w:style w:type="character" w:customStyle="1" w:styleId="3263">
    <w:name w:val="2标题(治) Char"/>
    <w:link w:val="3262"/>
    <w:autoRedefine/>
    <w:qFormat/>
    <w:uiPriority w:val="0"/>
    <w:rPr>
      <w:rFonts w:ascii="Calibri" w:hAnsi="Calibri" w:eastAsia="黑体"/>
      <w:b/>
      <w:bCs/>
      <w:smallCaps/>
      <w:sz w:val="32"/>
    </w:rPr>
  </w:style>
  <w:style w:type="paragraph" w:customStyle="1" w:styleId="3264">
    <w:name w:val="样式 四号 首行缩进:  0.85 厘米 段前: 1.25 磅 段后: 1.25 磅 行距: 多倍行距 1.25 字行"/>
    <w:basedOn w:val="1"/>
    <w:link w:val="3265"/>
    <w:autoRedefine/>
    <w:qFormat/>
    <w:uiPriority w:val="0"/>
    <w:pPr>
      <w:widowControl/>
      <w:spacing w:before="60" w:after="60" w:line="300" w:lineRule="auto"/>
      <w:ind w:firstLine="482"/>
      <w:jc w:val="left"/>
    </w:pPr>
    <w:rPr>
      <w:rFonts w:cs="宋体"/>
      <w:kern w:val="0"/>
      <w:sz w:val="28"/>
      <w:szCs w:val="20"/>
    </w:rPr>
  </w:style>
  <w:style w:type="character" w:customStyle="1" w:styleId="3265">
    <w:name w:val="样式 四号 首行缩进:  0.85 厘米 段前: 1.25 磅 段后: 1.25 磅 行距: 多倍行距 1.25 字行 Char"/>
    <w:link w:val="3264"/>
    <w:autoRedefine/>
    <w:qFormat/>
    <w:uiPriority w:val="0"/>
    <w:rPr>
      <w:rFonts w:cs="宋体"/>
      <w:sz w:val="28"/>
    </w:rPr>
  </w:style>
  <w:style w:type="paragraph" w:customStyle="1" w:styleId="3266">
    <w:name w:val="样式78"/>
    <w:basedOn w:val="1"/>
    <w:link w:val="3267"/>
    <w:autoRedefine/>
    <w:qFormat/>
    <w:uiPriority w:val="0"/>
    <w:pPr>
      <w:widowControl/>
      <w:spacing w:beforeLines="50" w:afterLines="50" w:line="360" w:lineRule="auto"/>
      <w:ind w:firstLine="480"/>
      <w:jc w:val="left"/>
    </w:pPr>
    <w:rPr>
      <w:rFonts w:cstheme="majorBidi"/>
      <w:kern w:val="0"/>
    </w:rPr>
  </w:style>
  <w:style w:type="character" w:customStyle="1" w:styleId="3267">
    <w:name w:val="样式78 Char"/>
    <w:link w:val="3266"/>
    <w:autoRedefine/>
    <w:qFormat/>
    <w:uiPriority w:val="0"/>
    <w:rPr>
      <w:rFonts w:cstheme="majorBidi"/>
      <w:sz w:val="24"/>
      <w:szCs w:val="24"/>
    </w:rPr>
  </w:style>
  <w:style w:type="paragraph" w:customStyle="1" w:styleId="3268">
    <w:name w:val="样式 样式 样式 样式 样式 样式 宋体 首行缩进:  1.06 厘米 + 首行缩进:  2 字符 + 首行缩进:  2 字符 ...3"/>
    <w:basedOn w:val="1"/>
    <w:link w:val="3269"/>
    <w:autoRedefine/>
    <w:qFormat/>
    <w:uiPriority w:val="0"/>
    <w:pPr>
      <w:widowControl/>
      <w:adjustRightInd w:val="0"/>
      <w:spacing w:line="360" w:lineRule="auto"/>
      <w:ind w:firstLine="480"/>
      <w:jc w:val="left"/>
    </w:pPr>
    <w:rPr>
      <w:rFonts w:ascii="宋体" w:hAnsi="宋体" w:cs="宋体"/>
      <w:kern w:val="0"/>
    </w:rPr>
  </w:style>
  <w:style w:type="character" w:customStyle="1" w:styleId="3269">
    <w:name w:val="样式 样式 样式 样式 样式 样式 宋体 首行缩进:  1.06 厘米 + 首行缩进:  2 字符 + 首行缩进:  2 字符 ...3 Char"/>
    <w:link w:val="3268"/>
    <w:autoRedefine/>
    <w:qFormat/>
    <w:uiPriority w:val="0"/>
    <w:rPr>
      <w:rFonts w:ascii="宋体" w:hAnsi="宋体" w:cs="宋体"/>
      <w:sz w:val="24"/>
      <w:szCs w:val="24"/>
    </w:rPr>
  </w:style>
  <w:style w:type="paragraph" w:customStyle="1" w:styleId="3270">
    <w:name w:val="列表 21"/>
    <w:basedOn w:val="1"/>
    <w:autoRedefine/>
    <w:qFormat/>
    <w:uiPriority w:val="0"/>
    <w:pPr>
      <w:widowControl/>
      <w:spacing w:afterLines="50" w:line="360" w:lineRule="auto"/>
      <w:ind w:left="840" w:hanging="420"/>
      <w:jc w:val="left"/>
    </w:pPr>
    <w:rPr>
      <w:rFonts w:cstheme="majorBidi"/>
      <w:kern w:val="0"/>
      <w:szCs w:val="21"/>
    </w:rPr>
  </w:style>
  <w:style w:type="paragraph" w:customStyle="1" w:styleId="3271">
    <w:name w:val="称呼1"/>
    <w:basedOn w:val="1"/>
    <w:next w:val="1"/>
    <w:link w:val="3272"/>
    <w:autoRedefine/>
    <w:qFormat/>
    <w:uiPriority w:val="0"/>
    <w:pPr>
      <w:widowControl/>
      <w:spacing w:beforeLines="50" w:afterLines="50" w:line="360" w:lineRule="auto"/>
      <w:jc w:val="left"/>
    </w:pPr>
    <w:rPr>
      <w:rFonts w:cstheme="majorBidi"/>
      <w:kern w:val="0"/>
    </w:rPr>
  </w:style>
  <w:style w:type="character" w:customStyle="1" w:styleId="3272">
    <w:name w:val="称呼 Char"/>
    <w:link w:val="3271"/>
    <w:autoRedefine/>
    <w:qFormat/>
    <w:uiPriority w:val="0"/>
    <w:rPr>
      <w:rFonts w:cstheme="majorBidi"/>
      <w:sz w:val="24"/>
      <w:szCs w:val="24"/>
    </w:rPr>
  </w:style>
  <w:style w:type="paragraph" w:customStyle="1" w:styleId="3273">
    <w:name w:val="样式 标题 4款标题1.1.1.1标题 4 Char Char标题 4 Char四表格1目H4H41L4Mi...3"/>
    <w:basedOn w:val="6"/>
    <w:link w:val="3274"/>
    <w:autoRedefine/>
    <w:qFormat/>
    <w:uiPriority w:val="0"/>
    <w:pPr>
      <w:keepNext w:val="0"/>
      <w:keepLines w:val="0"/>
      <w:widowControl/>
      <w:numPr>
        <w:ilvl w:val="0"/>
        <w:numId w:val="0"/>
      </w:numPr>
      <w:adjustRightInd w:val="0"/>
      <w:snapToGrid w:val="0"/>
      <w:spacing w:line="360" w:lineRule="auto"/>
      <w:ind w:left="1334" w:leftChars="200" w:hanging="1134"/>
      <w:jc w:val="center"/>
      <w:textAlignment w:val="baseline"/>
    </w:pPr>
    <w:rPr>
      <w:rFonts w:ascii="宋体" w:hAnsi="宋体"/>
      <w:b w:val="0"/>
      <w:color w:val="000000"/>
      <w:spacing w:val="5"/>
      <w:kern w:val="0"/>
      <w:sz w:val="24"/>
      <w:szCs w:val="20"/>
    </w:rPr>
  </w:style>
  <w:style w:type="character" w:customStyle="1" w:styleId="3274">
    <w:name w:val="样式 标题 4款标题1.1.1.1标题 4 Char Char标题 4 Char四表格1目H4H41L4Mi...3 Char"/>
    <w:link w:val="3273"/>
    <w:autoRedefine/>
    <w:qFormat/>
    <w:uiPriority w:val="0"/>
    <w:rPr>
      <w:rFonts w:ascii="宋体" w:hAnsi="宋体"/>
      <w:bCs/>
      <w:color w:val="000000"/>
      <w:spacing w:val="5"/>
      <w:sz w:val="24"/>
    </w:rPr>
  </w:style>
  <w:style w:type="paragraph" w:customStyle="1" w:styleId="3275">
    <w:name w:val="cucd-TB"/>
    <w:link w:val="3276"/>
    <w:autoRedefine/>
    <w:qFormat/>
    <w:uiPriority w:val="0"/>
    <w:pPr>
      <w:spacing w:line="360" w:lineRule="auto"/>
      <w:jc w:val="center"/>
    </w:pPr>
    <w:rPr>
      <w:rFonts w:asciiTheme="majorHAnsi" w:hAnsiTheme="majorHAnsi" w:eastAsiaTheme="majorEastAsia" w:cstheme="majorBidi"/>
      <w:sz w:val="22"/>
      <w:szCs w:val="24"/>
      <w:lang w:val="en-US" w:eastAsia="zh-CN" w:bidi="ar-SA"/>
    </w:rPr>
  </w:style>
  <w:style w:type="character" w:customStyle="1" w:styleId="3276">
    <w:name w:val="cucd-TB Char"/>
    <w:link w:val="3275"/>
    <w:autoRedefine/>
    <w:qFormat/>
    <w:uiPriority w:val="0"/>
    <w:rPr>
      <w:rFonts w:asciiTheme="majorHAnsi" w:hAnsiTheme="majorHAnsi" w:eastAsiaTheme="majorEastAsia" w:cstheme="majorBidi"/>
      <w:sz w:val="22"/>
      <w:szCs w:val="24"/>
    </w:rPr>
  </w:style>
  <w:style w:type="paragraph" w:customStyle="1" w:styleId="3277">
    <w:name w:val="样式76"/>
    <w:basedOn w:val="1"/>
    <w:link w:val="3278"/>
    <w:autoRedefine/>
    <w:qFormat/>
    <w:uiPriority w:val="0"/>
    <w:pPr>
      <w:keepNext/>
      <w:keepLines/>
      <w:widowControl/>
      <w:tabs>
        <w:tab w:val="left" w:pos="2175"/>
      </w:tabs>
      <w:spacing w:beforeLines="50" w:afterLines="50" w:line="360" w:lineRule="auto"/>
      <w:jc w:val="left"/>
      <w:outlineLvl w:val="2"/>
    </w:pPr>
    <w:rPr>
      <w:rFonts w:ascii="黑体" w:hAnsi="宋体" w:eastAsia="黑体" w:cs="黑体"/>
      <w:bCs/>
      <w:kern w:val="0"/>
      <w:sz w:val="28"/>
      <w:szCs w:val="28"/>
    </w:rPr>
  </w:style>
  <w:style w:type="character" w:customStyle="1" w:styleId="3278">
    <w:name w:val="样式76 Char"/>
    <w:link w:val="3277"/>
    <w:autoRedefine/>
    <w:qFormat/>
    <w:uiPriority w:val="0"/>
    <w:rPr>
      <w:rFonts w:ascii="黑体" w:hAnsi="宋体" w:eastAsia="黑体" w:cs="黑体"/>
      <w:bCs/>
      <w:sz w:val="28"/>
      <w:szCs w:val="28"/>
    </w:rPr>
  </w:style>
  <w:style w:type="paragraph" w:customStyle="1" w:styleId="3279">
    <w:name w:val="报告书正文 Char Char Char Char Char Char Char Char Char Char Char Char Char"/>
    <w:basedOn w:val="1"/>
    <w:link w:val="3280"/>
    <w:autoRedefine/>
    <w:qFormat/>
    <w:uiPriority w:val="0"/>
    <w:pPr>
      <w:widowControl/>
      <w:spacing w:line="300" w:lineRule="auto"/>
      <w:ind w:firstLine="480"/>
      <w:jc w:val="left"/>
    </w:pPr>
    <w:rPr>
      <w:rFonts w:cstheme="majorBidi"/>
      <w:color w:val="000000"/>
      <w:kern w:val="0"/>
    </w:rPr>
  </w:style>
  <w:style w:type="character" w:customStyle="1" w:styleId="3280">
    <w:name w:val="报告书正文 Char Char Char Char Char Char Char Char Char Char Char Char Char Char"/>
    <w:link w:val="3279"/>
    <w:autoRedefine/>
    <w:qFormat/>
    <w:uiPriority w:val="0"/>
    <w:rPr>
      <w:rFonts w:cstheme="majorBidi"/>
      <w:color w:val="000000"/>
      <w:sz w:val="24"/>
      <w:szCs w:val="24"/>
    </w:rPr>
  </w:style>
  <w:style w:type="paragraph" w:customStyle="1" w:styleId="3281">
    <w:name w:val="jb仿宋_GB2312"/>
    <w:basedOn w:val="1"/>
    <w:link w:val="3282"/>
    <w:autoRedefine/>
    <w:qFormat/>
    <w:uiPriority w:val="0"/>
    <w:pPr>
      <w:widowControl/>
      <w:snapToGrid w:val="0"/>
      <w:spacing w:line="560" w:lineRule="exact"/>
      <w:ind w:firstLine="560"/>
      <w:jc w:val="left"/>
    </w:pPr>
    <w:rPr>
      <w:rFonts w:hAnsi="仿宋_GB2312" w:cstheme="majorBidi"/>
      <w:kern w:val="0"/>
      <w:szCs w:val="20"/>
    </w:rPr>
  </w:style>
  <w:style w:type="character" w:customStyle="1" w:styleId="3282">
    <w:name w:val="jb仿宋_GB2312 Char"/>
    <w:link w:val="3281"/>
    <w:autoRedefine/>
    <w:qFormat/>
    <w:uiPriority w:val="0"/>
    <w:rPr>
      <w:rFonts w:hAnsi="仿宋_GB2312" w:cstheme="majorBidi"/>
      <w:sz w:val="24"/>
    </w:rPr>
  </w:style>
  <w:style w:type="paragraph" w:customStyle="1" w:styleId="3283">
    <w:name w:val="Lux 表格标题"/>
    <w:basedOn w:val="1"/>
    <w:link w:val="3284"/>
    <w:autoRedefine/>
    <w:uiPriority w:val="0"/>
    <w:pPr>
      <w:widowControl/>
      <w:spacing w:line="360" w:lineRule="auto"/>
      <w:ind w:left="420"/>
      <w:jc w:val="center"/>
    </w:pPr>
    <w:rPr>
      <w:rFonts w:ascii="宋体" w:hAnsi="宋体" w:cstheme="majorBidi"/>
      <w:kern w:val="0"/>
      <w:szCs w:val="20"/>
    </w:rPr>
  </w:style>
  <w:style w:type="character" w:customStyle="1" w:styleId="3284">
    <w:name w:val="Lux 表格标题 Char"/>
    <w:link w:val="3283"/>
    <w:autoRedefine/>
    <w:qFormat/>
    <w:uiPriority w:val="0"/>
    <w:rPr>
      <w:rFonts w:ascii="宋体" w:hAnsi="宋体" w:cstheme="majorBidi"/>
      <w:sz w:val="24"/>
    </w:rPr>
  </w:style>
  <w:style w:type="character" w:customStyle="1" w:styleId="3285">
    <w:name w:val="+正文 Char"/>
    <w:link w:val="368"/>
    <w:autoRedefine/>
    <w:qFormat/>
    <w:uiPriority w:val="0"/>
    <w:rPr>
      <w:kern w:val="2"/>
      <w:sz w:val="28"/>
      <w:szCs w:val="28"/>
    </w:rPr>
  </w:style>
  <w:style w:type="paragraph" w:customStyle="1" w:styleId="3286">
    <w:name w:val="样式 7表格(治) + (西文) 宋体 (中文) 黑体 加粗 黑色"/>
    <w:basedOn w:val="2410"/>
    <w:link w:val="3287"/>
    <w:autoRedefine/>
    <w:qFormat/>
    <w:uiPriority w:val="0"/>
    <w:rPr>
      <w:rFonts w:hAnsi="Calibri"/>
      <w:b w:val="0"/>
      <w:bCs/>
      <w:szCs w:val="20"/>
    </w:rPr>
  </w:style>
  <w:style w:type="character" w:customStyle="1" w:styleId="3287">
    <w:name w:val="样式 7表格(治) + (西文) 宋体 (中文) 黑体 加粗 黑色 Char"/>
    <w:link w:val="3286"/>
    <w:autoRedefine/>
    <w:qFormat/>
    <w:uiPriority w:val="0"/>
    <w:rPr>
      <w:rFonts w:hAnsi="Calibri"/>
      <w:bCs/>
      <w:color w:val="000000"/>
      <w:sz w:val="18"/>
    </w:rPr>
  </w:style>
  <w:style w:type="paragraph" w:customStyle="1" w:styleId="3288">
    <w:name w:val="样式 自动A +"/>
    <w:basedOn w:val="2629"/>
    <w:link w:val="3289"/>
    <w:autoRedefine/>
    <w:qFormat/>
    <w:uiPriority w:val="0"/>
    <w:pPr>
      <w:widowControl w:val="0"/>
      <w:jc w:val="both"/>
    </w:pPr>
    <w:rPr>
      <w:rFonts w:ascii="Calibri" w:hAnsi="Calibri" w:cs="黑体"/>
    </w:rPr>
  </w:style>
  <w:style w:type="character" w:customStyle="1" w:styleId="3289">
    <w:name w:val="样式 自动A + Char"/>
    <w:link w:val="3288"/>
    <w:autoRedefine/>
    <w:qFormat/>
    <w:uiPriority w:val="0"/>
    <w:rPr>
      <w:rFonts w:ascii="Calibri" w:hAnsi="Calibri" w:cs="黑体"/>
      <w:color w:val="000000"/>
      <w:sz w:val="24"/>
    </w:rPr>
  </w:style>
  <w:style w:type="paragraph" w:customStyle="1" w:styleId="3290">
    <w:name w:val="正文ABC"/>
    <w:basedOn w:val="1"/>
    <w:link w:val="3291"/>
    <w:autoRedefine/>
    <w:qFormat/>
    <w:uiPriority w:val="0"/>
    <w:pPr>
      <w:widowControl/>
      <w:snapToGrid w:val="0"/>
      <w:spacing w:line="360" w:lineRule="auto"/>
      <w:ind w:firstLine="560"/>
      <w:jc w:val="left"/>
      <w:textAlignment w:val="center"/>
    </w:pPr>
    <w:rPr>
      <w:rFonts w:ascii="宋体" w:cstheme="majorBidi"/>
      <w:spacing w:val="20"/>
      <w:kern w:val="0"/>
    </w:rPr>
  </w:style>
  <w:style w:type="character" w:customStyle="1" w:styleId="3291">
    <w:name w:val="正文ABC Char"/>
    <w:link w:val="3290"/>
    <w:autoRedefine/>
    <w:qFormat/>
    <w:uiPriority w:val="0"/>
    <w:rPr>
      <w:rFonts w:ascii="宋体" w:cstheme="majorBidi"/>
      <w:spacing w:val="20"/>
      <w:sz w:val="24"/>
      <w:szCs w:val="24"/>
    </w:rPr>
  </w:style>
  <w:style w:type="paragraph" w:customStyle="1" w:styleId="3292">
    <w:name w:val="样式81"/>
    <w:basedOn w:val="3277"/>
    <w:autoRedefine/>
    <w:qFormat/>
    <w:uiPriority w:val="0"/>
    <w:rPr>
      <w:rFonts w:ascii="Times New Roman"/>
    </w:rPr>
  </w:style>
  <w:style w:type="paragraph" w:customStyle="1" w:styleId="3293">
    <w:name w:val="修改后"/>
    <w:basedOn w:val="2629"/>
    <w:link w:val="3294"/>
    <w:autoRedefine/>
    <w:qFormat/>
    <w:uiPriority w:val="0"/>
    <w:pPr>
      <w:widowControl w:val="0"/>
      <w:jc w:val="both"/>
    </w:pPr>
    <w:rPr>
      <w:rFonts w:ascii="Calibri" w:hAnsi="Calibri" w:cs="黑体"/>
      <w:shd w:val="clear" w:color="auto" w:fill="00FFFF"/>
    </w:rPr>
  </w:style>
  <w:style w:type="character" w:customStyle="1" w:styleId="3294">
    <w:name w:val="修改后 Char"/>
    <w:link w:val="3293"/>
    <w:autoRedefine/>
    <w:qFormat/>
    <w:uiPriority w:val="0"/>
    <w:rPr>
      <w:rFonts w:ascii="Calibri" w:hAnsi="Calibri" w:cs="黑体"/>
      <w:color w:val="000000"/>
      <w:sz w:val="24"/>
    </w:rPr>
  </w:style>
  <w:style w:type="character" w:customStyle="1" w:styleId="3295">
    <w:name w:val="正文首行缩进 Char2"/>
    <w:link w:val="399"/>
    <w:autoRedefine/>
    <w:qFormat/>
    <w:uiPriority w:val="0"/>
    <w:rPr>
      <w:rFonts w:ascii="宋体"/>
      <w:sz w:val="24"/>
      <w:szCs w:val="24"/>
    </w:rPr>
  </w:style>
  <w:style w:type="paragraph" w:customStyle="1" w:styleId="3296">
    <w:name w:val="lux 表格 标题"/>
    <w:next w:val="1"/>
    <w:link w:val="3297"/>
    <w:autoRedefine/>
    <w:qFormat/>
    <w:uiPriority w:val="0"/>
    <w:pPr>
      <w:spacing w:beforeLines="50" w:afterLines="50" w:line="360" w:lineRule="auto"/>
      <w:ind w:firstLine="482"/>
      <w:jc w:val="center"/>
    </w:pPr>
    <w:rPr>
      <w:rFonts w:eastAsia="黑体" w:asciiTheme="majorHAnsi" w:hAnsiTheme="majorHAnsi" w:cstheme="majorBidi"/>
      <w:bCs/>
      <w:sz w:val="24"/>
      <w:szCs w:val="21"/>
      <w:lang w:val="en-US" w:eastAsia="zh-CN" w:bidi="ar-SA"/>
    </w:rPr>
  </w:style>
  <w:style w:type="character" w:customStyle="1" w:styleId="3297">
    <w:name w:val="lux 表格 标题 Char Char"/>
    <w:link w:val="3296"/>
    <w:autoRedefine/>
    <w:qFormat/>
    <w:uiPriority w:val="0"/>
    <w:rPr>
      <w:rFonts w:eastAsia="黑体" w:asciiTheme="majorHAnsi" w:hAnsiTheme="majorHAnsi" w:cstheme="majorBidi"/>
      <w:bCs/>
      <w:sz w:val="24"/>
      <w:szCs w:val="21"/>
    </w:rPr>
  </w:style>
  <w:style w:type="paragraph" w:customStyle="1" w:styleId="3298">
    <w:name w:val="3标题(治)"/>
    <w:basedOn w:val="5"/>
    <w:link w:val="3299"/>
    <w:autoRedefine/>
    <w:qFormat/>
    <w:uiPriority w:val="0"/>
    <w:pPr>
      <w:keepNext w:val="0"/>
      <w:keepLines w:val="0"/>
      <w:widowControl/>
      <w:numPr>
        <w:ilvl w:val="0"/>
        <w:numId w:val="0"/>
      </w:numPr>
      <w:adjustRightInd w:val="0"/>
      <w:snapToGrid w:val="0"/>
      <w:spacing w:after="60" w:line="360" w:lineRule="auto"/>
      <w:ind w:firstLine="200"/>
      <w:jc w:val="left"/>
    </w:pPr>
    <w:rPr>
      <w:rFonts w:ascii="Calibri" w:hAnsi="Calibri" w:eastAsia="宋体" w:cstheme="majorBidi"/>
      <w:b w:val="0"/>
      <w:bCs w:val="0"/>
      <w:iCs/>
      <w:smallCaps/>
      <w:spacing w:val="5"/>
      <w:kern w:val="0"/>
      <w:sz w:val="28"/>
      <w:szCs w:val="26"/>
    </w:rPr>
  </w:style>
  <w:style w:type="character" w:customStyle="1" w:styleId="3299">
    <w:name w:val="3标题(治) Char"/>
    <w:link w:val="3298"/>
    <w:autoRedefine/>
    <w:qFormat/>
    <w:uiPriority w:val="0"/>
    <w:rPr>
      <w:rFonts w:ascii="Calibri" w:hAnsi="Calibri" w:cstheme="majorBidi"/>
      <w:iCs/>
      <w:smallCaps/>
      <w:spacing w:val="5"/>
      <w:sz w:val="28"/>
      <w:szCs w:val="26"/>
    </w:rPr>
  </w:style>
  <w:style w:type="paragraph" w:customStyle="1" w:styleId="3300">
    <w:name w:val="样式80"/>
    <w:basedOn w:val="2419"/>
    <w:link w:val="3301"/>
    <w:autoRedefine/>
    <w:qFormat/>
    <w:uiPriority w:val="0"/>
    <w:pPr>
      <w:tabs>
        <w:tab w:val="left" w:pos="1022"/>
      </w:tabs>
      <w:autoSpaceDE/>
      <w:autoSpaceDN/>
      <w:adjustRightInd/>
      <w:jc w:val="both"/>
    </w:pPr>
    <w:rPr>
      <w:rFonts w:ascii="Calibri" w:hAnsi="Calibri" w:cs="Times New Roman"/>
      <w:b w:val="0"/>
      <w:szCs w:val="28"/>
    </w:rPr>
  </w:style>
  <w:style w:type="character" w:customStyle="1" w:styleId="3301">
    <w:name w:val="样式80 Char"/>
    <w:link w:val="3300"/>
    <w:autoRedefine/>
    <w:qFormat/>
    <w:uiPriority w:val="0"/>
    <w:rPr>
      <w:rFonts w:ascii="Calibri" w:hAnsi="Calibri"/>
      <w:color w:val="000000"/>
      <w:sz w:val="24"/>
      <w:szCs w:val="28"/>
    </w:rPr>
  </w:style>
  <w:style w:type="paragraph" w:customStyle="1" w:styleId="3302">
    <w:name w:val="标4 Char Char Char"/>
    <w:basedOn w:val="267"/>
    <w:link w:val="3303"/>
    <w:autoRedefine/>
    <w:qFormat/>
    <w:uiPriority w:val="0"/>
    <w:pPr>
      <w:keepNext w:val="0"/>
      <w:widowControl/>
      <w:tabs>
        <w:tab w:val="clear" w:pos="0"/>
      </w:tabs>
      <w:spacing w:line="560" w:lineRule="atLeast"/>
      <w:ind w:firstLine="200" w:firstLineChars="200"/>
      <w:jc w:val="left"/>
      <w:outlineLvl w:val="3"/>
    </w:pPr>
    <w:rPr>
      <w:rFonts w:ascii="宋体" w:hAnsi="宋体" w:eastAsia="宋体"/>
      <w:bCs w:val="0"/>
      <w:kern w:val="0"/>
      <w:sz w:val="24"/>
      <w:szCs w:val="30"/>
    </w:rPr>
  </w:style>
  <w:style w:type="character" w:customStyle="1" w:styleId="3303">
    <w:name w:val="标4 Char Char Char Char"/>
    <w:link w:val="3302"/>
    <w:autoRedefine/>
    <w:qFormat/>
    <w:uiPriority w:val="0"/>
    <w:rPr>
      <w:rFonts w:ascii="宋体" w:hAnsi="宋体" w:cs="宋体"/>
      <w:sz w:val="24"/>
      <w:szCs w:val="30"/>
    </w:rPr>
  </w:style>
  <w:style w:type="paragraph" w:customStyle="1" w:styleId="3304">
    <w:name w:val="表蕊"/>
    <w:basedOn w:val="1"/>
    <w:link w:val="3305"/>
    <w:autoRedefine/>
    <w:qFormat/>
    <w:uiPriority w:val="0"/>
    <w:pPr>
      <w:widowControl/>
      <w:adjustRightInd w:val="0"/>
      <w:spacing w:line="320" w:lineRule="atLeast"/>
      <w:jc w:val="left"/>
      <w:textAlignment w:val="baseline"/>
    </w:pPr>
    <w:rPr>
      <w:rFonts w:eastAsia="楷体_GB2312" w:cstheme="majorBidi"/>
      <w:spacing w:val="-10"/>
      <w:kern w:val="0"/>
      <w:sz w:val="20"/>
      <w:szCs w:val="21"/>
    </w:rPr>
  </w:style>
  <w:style w:type="character" w:customStyle="1" w:styleId="3305">
    <w:name w:val="表蕊 Char1"/>
    <w:link w:val="3304"/>
    <w:autoRedefine/>
    <w:qFormat/>
    <w:uiPriority w:val="0"/>
    <w:rPr>
      <w:rFonts w:eastAsia="楷体_GB2312" w:cstheme="majorBidi"/>
      <w:spacing w:val="-10"/>
      <w:szCs w:val="21"/>
    </w:rPr>
  </w:style>
  <w:style w:type="paragraph" w:customStyle="1" w:styleId="3306">
    <w:name w:val="ch中文正文"/>
    <w:link w:val="3307"/>
    <w:autoRedefine/>
    <w:qFormat/>
    <w:uiPriority w:val="0"/>
    <w:pPr>
      <w:spacing w:beforeLines="50" w:afterLines="50" w:line="360" w:lineRule="auto"/>
      <w:ind w:firstLine="200" w:firstLineChars="200"/>
    </w:pPr>
    <w:rPr>
      <w:rFonts w:asciiTheme="majorHAnsi" w:hAnsiTheme="majorHAnsi" w:eastAsiaTheme="majorEastAsia" w:cstheme="majorBidi"/>
      <w:sz w:val="24"/>
      <w:szCs w:val="22"/>
      <w:lang w:val="en-US" w:eastAsia="zh-CN" w:bidi="ar-SA"/>
    </w:rPr>
  </w:style>
  <w:style w:type="character" w:customStyle="1" w:styleId="3307">
    <w:name w:val="ch中文正文 Char"/>
    <w:link w:val="3306"/>
    <w:autoRedefine/>
    <w:qFormat/>
    <w:uiPriority w:val="0"/>
    <w:rPr>
      <w:rFonts w:asciiTheme="majorHAnsi" w:hAnsiTheme="majorHAnsi" w:eastAsiaTheme="majorEastAsia" w:cstheme="majorBidi"/>
      <w:sz w:val="24"/>
      <w:szCs w:val="22"/>
    </w:rPr>
  </w:style>
  <w:style w:type="paragraph" w:customStyle="1" w:styleId="3308">
    <w:name w:val="1级标题"/>
    <w:basedOn w:val="2624"/>
    <w:link w:val="3309"/>
    <w:autoRedefine/>
    <w:qFormat/>
    <w:uiPriority w:val="0"/>
    <w:pPr>
      <w:tabs>
        <w:tab w:val="left" w:pos="432"/>
      </w:tabs>
    </w:pPr>
  </w:style>
  <w:style w:type="character" w:customStyle="1" w:styleId="3309">
    <w:name w:val="1级标题 Char"/>
    <w:link w:val="3308"/>
    <w:autoRedefine/>
    <w:qFormat/>
    <w:uiPriority w:val="0"/>
    <w:rPr>
      <w:rFonts w:ascii="黑体" w:eastAsia="黑体" w:cs="宋体"/>
      <w:bCs/>
      <w:smallCaps/>
      <w:spacing w:val="5"/>
      <w:sz w:val="32"/>
    </w:rPr>
  </w:style>
  <w:style w:type="paragraph" w:customStyle="1" w:styleId="3310">
    <w:name w:val="cauc-0"/>
    <w:link w:val="3311"/>
    <w:autoRedefine/>
    <w:qFormat/>
    <w:uiPriority w:val="0"/>
    <w:pPr>
      <w:spacing w:line="360" w:lineRule="auto"/>
      <w:ind w:firstLine="480" w:firstLineChars="200"/>
    </w:pPr>
    <w:rPr>
      <w:rFonts w:asciiTheme="majorHAnsi" w:hAnsiTheme="majorHAnsi" w:eastAsiaTheme="majorEastAsia" w:cstheme="majorBidi"/>
      <w:sz w:val="24"/>
      <w:szCs w:val="24"/>
      <w:lang w:val="en-US" w:eastAsia="zh-CN" w:bidi="ar-SA"/>
    </w:rPr>
  </w:style>
  <w:style w:type="character" w:customStyle="1" w:styleId="3311">
    <w:name w:val="cauc-0 Char1"/>
    <w:link w:val="3310"/>
    <w:autoRedefine/>
    <w:qFormat/>
    <w:uiPriority w:val="0"/>
    <w:rPr>
      <w:rFonts w:asciiTheme="majorHAnsi" w:hAnsiTheme="majorHAnsi" w:eastAsiaTheme="majorEastAsia" w:cstheme="majorBidi"/>
      <w:sz w:val="24"/>
      <w:szCs w:val="24"/>
    </w:rPr>
  </w:style>
  <w:style w:type="paragraph" w:customStyle="1" w:styleId="3312">
    <w:name w:val="样式 黑色 首行缩进:  2 字符"/>
    <w:basedOn w:val="1"/>
    <w:autoRedefine/>
    <w:qFormat/>
    <w:uiPriority w:val="0"/>
    <w:pPr>
      <w:widowControl/>
      <w:snapToGrid w:val="0"/>
      <w:spacing w:line="360" w:lineRule="auto"/>
      <w:jc w:val="left"/>
    </w:pPr>
    <w:rPr>
      <w:rFonts w:cs="宋体"/>
      <w:color w:val="000000"/>
      <w:kern w:val="0"/>
      <w:szCs w:val="20"/>
    </w:rPr>
  </w:style>
  <w:style w:type="paragraph" w:customStyle="1" w:styleId="3313">
    <w:name w:val="正文楷体"/>
    <w:basedOn w:val="1"/>
    <w:autoRedefine/>
    <w:qFormat/>
    <w:uiPriority w:val="0"/>
    <w:pPr>
      <w:widowControl/>
      <w:spacing w:line="360" w:lineRule="auto"/>
      <w:jc w:val="left"/>
    </w:pPr>
    <w:rPr>
      <w:rFonts w:eastAsia="楷体_GB2312" w:cstheme="majorBidi"/>
      <w:bCs/>
      <w:kern w:val="0"/>
      <w:szCs w:val="20"/>
    </w:rPr>
  </w:style>
  <w:style w:type="paragraph" w:customStyle="1" w:styleId="3314">
    <w:name w:val="样式 电镀正文 + 首行缩进:  2 字符"/>
    <w:basedOn w:val="2420"/>
    <w:autoRedefine/>
    <w:qFormat/>
    <w:uiPriority w:val="0"/>
    <w:pPr>
      <w:spacing w:line="324" w:lineRule="auto"/>
    </w:pPr>
    <w:rPr>
      <w:rFonts w:hAnsi="Calibri" w:cs="Arial"/>
      <w:sz w:val="28"/>
      <w:szCs w:val="20"/>
    </w:rPr>
  </w:style>
  <w:style w:type="paragraph" w:customStyle="1" w:styleId="3315">
    <w:name w:val="xl13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b/>
      <w:bCs/>
      <w:kern w:val="0"/>
      <w:sz w:val="20"/>
      <w:szCs w:val="20"/>
    </w:rPr>
  </w:style>
  <w:style w:type="paragraph" w:customStyle="1" w:styleId="3316">
    <w:name w:val="文档结构图11"/>
    <w:basedOn w:val="1"/>
    <w:autoRedefine/>
    <w:qFormat/>
    <w:uiPriority w:val="0"/>
    <w:pPr>
      <w:widowControl/>
      <w:shd w:val="clear" w:color="auto" w:fill="000080"/>
      <w:tabs>
        <w:tab w:val="left" w:pos="0"/>
      </w:tabs>
      <w:adjustRightInd w:val="0"/>
      <w:snapToGrid w:val="0"/>
      <w:spacing w:line="360" w:lineRule="auto"/>
      <w:ind w:right="-40" w:firstLine="595"/>
      <w:jc w:val="left"/>
      <w:textAlignment w:val="center"/>
    </w:pPr>
    <w:rPr>
      <w:rFonts w:cstheme="majorBidi"/>
      <w:kern w:val="0"/>
      <w:szCs w:val="20"/>
    </w:rPr>
  </w:style>
  <w:style w:type="paragraph" w:customStyle="1" w:styleId="3317">
    <w:name w:val="表底说明"/>
    <w:basedOn w:val="1"/>
    <w:autoRedefine/>
    <w:qFormat/>
    <w:uiPriority w:val="0"/>
    <w:pPr>
      <w:widowControl/>
      <w:spacing w:line="360" w:lineRule="auto"/>
      <w:jc w:val="left"/>
    </w:pPr>
    <w:rPr>
      <w:rFonts w:cs="Arial"/>
      <w:kern w:val="0"/>
      <w:sz w:val="18"/>
      <w:szCs w:val="22"/>
    </w:rPr>
  </w:style>
  <w:style w:type="paragraph" w:customStyle="1" w:styleId="3318">
    <w:name w:val="横页眉"/>
    <w:basedOn w:val="1"/>
    <w:next w:val="57"/>
    <w:autoRedefine/>
    <w:qFormat/>
    <w:uiPriority w:val="0"/>
    <w:pPr>
      <w:widowControl/>
      <w:pBdr>
        <w:bottom w:val="double" w:color="auto" w:sz="6" w:space="1"/>
      </w:pBdr>
      <w:tabs>
        <w:tab w:val="center" w:pos="6623"/>
        <w:tab w:val="right" w:pos="13245"/>
      </w:tabs>
      <w:adjustRightInd w:val="0"/>
      <w:spacing w:line="324" w:lineRule="auto"/>
      <w:ind w:firstLine="510"/>
      <w:jc w:val="left"/>
    </w:pPr>
    <w:rPr>
      <w:rFonts w:cstheme="majorBidi"/>
      <w:kern w:val="0"/>
      <w:szCs w:val="20"/>
    </w:rPr>
  </w:style>
  <w:style w:type="paragraph" w:customStyle="1" w:styleId="3319">
    <w:name w:val="xl154"/>
    <w:basedOn w:val="1"/>
    <w:autoRedefine/>
    <w:qFormat/>
    <w:uiPriority w:val="0"/>
    <w:pPr>
      <w:widowControl/>
      <w:pBdr>
        <w:left w:val="single" w:color="auto" w:sz="4" w:space="0"/>
        <w:bottom w:val="single" w:color="auto" w:sz="4" w:space="0"/>
        <w:right w:val="single" w:color="auto" w:sz="4" w:space="0"/>
      </w:pBdr>
      <w:shd w:val="clear" w:color="000000" w:fill="FFFFFF"/>
      <w:spacing w:before="100" w:beforeAutospacing="1" w:after="100" w:afterAutospacing="1" w:line="360" w:lineRule="auto"/>
      <w:jc w:val="center"/>
    </w:pPr>
    <w:rPr>
      <w:rFonts w:ascii="宋体" w:hAnsi="宋体" w:cs="宋体"/>
      <w:b/>
      <w:bCs/>
      <w:color w:val="000000"/>
      <w:kern w:val="0"/>
      <w:sz w:val="20"/>
      <w:szCs w:val="20"/>
    </w:rPr>
  </w:style>
  <w:style w:type="paragraph" w:customStyle="1" w:styleId="3320">
    <w:name w:val="正文段"/>
    <w:basedOn w:val="1"/>
    <w:autoRedefine/>
    <w:qFormat/>
    <w:uiPriority w:val="0"/>
    <w:pPr>
      <w:widowControl/>
      <w:spacing w:line="360" w:lineRule="auto"/>
      <w:ind w:firstLine="420"/>
      <w:jc w:val="left"/>
    </w:pPr>
    <w:rPr>
      <w:rFonts w:cstheme="majorBidi"/>
      <w:kern w:val="0"/>
      <w:szCs w:val="20"/>
    </w:rPr>
  </w:style>
  <w:style w:type="paragraph" w:customStyle="1" w:styleId="3321">
    <w:name w:val="样式 标题 3 + 华文中宋 小三 段前: 6 磅 段后: 6 磅 行距: 多倍行距 1.4 字行"/>
    <w:basedOn w:val="5"/>
    <w:autoRedefine/>
    <w:qFormat/>
    <w:uiPriority w:val="0"/>
    <w:pPr>
      <w:keepNext w:val="0"/>
      <w:keepLines w:val="0"/>
      <w:widowControl/>
      <w:numPr>
        <w:ilvl w:val="0"/>
        <w:numId w:val="0"/>
      </w:numPr>
      <w:tabs>
        <w:tab w:val="left" w:pos="42"/>
        <w:tab w:val="left" w:pos="720"/>
        <w:tab w:val="left" w:pos="861"/>
      </w:tabs>
      <w:adjustRightInd w:val="0"/>
      <w:snapToGrid w:val="0"/>
      <w:spacing w:beforeLines="50" w:afterLines="50" w:line="360" w:lineRule="auto"/>
      <w:ind w:left="694" w:hanging="720"/>
      <w:jc w:val="left"/>
    </w:pPr>
    <w:rPr>
      <w:rFonts w:ascii="华文中宋" w:hAnsi="Arial Unicode MS" w:eastAsia="华文中宋" w:cs="Arial"/>
      <w:b w:val="0"/>
      <w:bCs w:val="0"/>
      <w:iCs/>
      <w:smallCaps/>
      <w:color w:val="000000"/>
      <w:spacing w:val="5"/>
      <w:kern w:val="0"/>
      <w:szCs w:val="30"/>
    </w:rPr>
  </w:style>
  <w:style w:type="paragraph" w:customStyle="1" w:styleId="3322">
    <w:name w:val="图标"/>
    <w:basedOn w:val="1"/>
    <w:autoRedefine/>
    <w:qFormat/>
    <w:uiPriority w:val="0"/>
    <w:pPr>
      <w:widowControl/>
      <w:tabs>
        <w:tab w:val="left" w:pos="1920"/>
      </w:tabs>
      <w:spacing w:line="400" w:lineRule="atLeast"/>
      <w:jc w:val="center"/>
    </w:pPr>
    <w:rPr>
      <w:rFonts w:cstheme="majorBidi"/>
      <w:bCs/>
      <w:color w:val="000000"/>
      <w:kern w:val="0"/>
      <w:szCs w:val="21"/>
    </w:rPr>
  </w:style>
  <w:style w:type="paragraph" w:customStyle="1" w:styleId="3323">
    <w:name w:val="编号正文"/>
    <w:basedOn w:val="21"/>
    <w:autoRedefine/>
    <w:qFormat/>
    <w:uiPriority w:val="0"/>
    <w:pPr>
      <w:widowControl/>
      <w:snapToGrid w:val="0"/>
      <w:spacing w:line="360" w:lineRule="auto"/>
      <w:ind w:firstLine="200"/>
    </w:pPr>
    <w:rPr>
      <w:rFonts w:ascii="Calibri" w:hAnsi="Calibri" w:cs="Arial"/>
      <w:color w:val="000000"/>
      <w:kern w:val="0"/>
      <w:sz w:val="28"/>
      <w:szCs w:val="18"/>
    </w:rPr>
  </w:style>
  <w:style w:type="paragraph" w:customStyle="1" w:styleId="3324">
    <w:name w:val="xl136"/>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center"/>
    </w:pPr>
    <w:rPr>
      <w:rFonts w:ascii="宋体" w:hAnsi="宋体" w:cs="宋体"/>
      <w:b/>
      <w:bCs/>
      <w:kern w:val="0"/>
      <w:sz w:val="20"/>
      <w:szCs w:val="20"/>
    </w:rPr>
  </w:style>
  <w:style w:type="paragraph" w:customStyle="1" w:styleId="3325">
    <w:name w:val="xl13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left"/>
    </w:pPr>
    <w:rPr>
      <w:rFonts w:ascii="宋体" w:hAnsi="宋体" w:cs="宋体"/>
      <w:kern w:val="0"/>
      <w:sz w:val="20"/>
      <w:szCs w:val="20"/>
    </w:rPr>
  </w:style>
  <w:style w:type="paragraph" w:customStyle="1" w:styleId="3326">
    <w:name w:val="正文仿宋"/>
    <w:basedOn w:val="1"/>
    <w:autoRedefine/>
    <w:qFormat/>
    <w:uiPriority w:val="0"/>
    <w:pPr>
      <w:widowControl/>
      <w:adjustRightInd w:val="0"/>
      <w:snapToGrid w:val="0"/>
      <w:spacing w:line="360" w:lineRule="auto"/>
      <w:ind w:firstLine="567"/>
      <w:jc w:val="left"/>
    </w:pPr>
    <w:rPr>
      <w:rFonts w:eastAsia="仿宋_GB2312" w:cstheme="majorBidi"/>
      <w:kern w:val="0"/>
      <w:szCs w:val="20"/>
    </w:rPr>
  </w:style>
  <w:style w:type="paragraph" w:customStyle="1" w:styleId="3327">
    <w:name w:val="Normal (Web)1"/>
    <w:basedOn w:val="1"/>
    <w:autoRedefine/>
    <w:qFormat/>
    <w:uiPriority w:val="0"/>
    <w:pPr>
      <w:widowControl/>
      <w:spacing w:before="100" w:beforeAutospacing="1" w:after="100" w:afterAutospacing="1" w:line="360" w:lineRule="auto"/>
      <w:jc w:val="left"/>
    </w:pPr>
    <w:rPr>
      <w:rFonts w:ascii="宋体" w:cstheme="majorBidi"/>
      <w:kern w:val="0"/>
      <w:szCs w:val="20"/>
    </w:rPr>
  </w:style>
  <w:style w:type="paragraph" w:customStyle="1" w:styleId="3328">
    <w:name w:val="正文31"/>
    <w:autoRedefine/>
    <w:qFormat/>
    <w:uiPriority w:val="0"/>
    <w:pPr>
      <w:widowControl w:val="0"/>
      <w:adjustRightInd w:val="0"/>
      <w:spacing w:line="315" w:lineRule="atLeast"/>
      <w:textAlignment w:val="baseline"/>
    </w:pPr>
    <w:rPr>
      <w:rFonts w:ascii="宋体" w:hAnsiTheme="majorHAnsi" w:eastAsiaTheme="majorEastAsia" w:cstheme="majorBidi"/>
      <w:sz w:val="24"/>
      <w:szCs w:val="22"/>
      <w:lang w:val="en-US" w:eastAsia="zh-CN" w:bidi="ar-SA"/>
    </w:rPr>
  </w:style>
  <w:style w:type="paragraph" w:customStyle="1" w:styleId="3329">
    <w:name w:val="样式 标题 1 + 居中"/>
    <w:basedOn w:val="3"/>
    <w:autoRedefine/>
    <w:qFormat/>
    <w:uiPriority w:val="0"/>
    <w:pPr>
      <w:keepNext w:val="0"/>
      <w:widowControl/>
      <w:numPr>
        <w:numId w:val="0"/>
      </w:numPr>
      <w:tabs>
        <w:tab w:val="clear" w:pos="0"/>
      </w:tabs>
      <w:autoSpaceDE w:val="0"/>
      <w:spacing w:line="600" w:lineRule="auto"/>
      <w:ind w:firstLine="200"/>
      <w:contextualSpacing/>
    </w:pPr>
    <w:rPr>
      <w:rFonts w:ascii="Cambria" w:hAnsi="Cambria" w:eastAsia="宋体" w:cs="宋体"/>
      <w:smallCaps/>
      <w:spacing w:val="5"/>
      <w:kern w:val="32"/>
      <w:sz w:val="32"/>
      <w:szCs w:val="32"/>
    </w:rPr>
  </w:style>
  <w:style w:type="paragraph" w:customStyle="1" w:styleId="3330">
    <w:name w:val="项目"/>
    <w:basedOn w:val="1"/>
    <w:autoRedefine/>
    <w:qFormat/>
    <w:uiPriority w:val="0"/>
    <w:pPr>
      <w:widowControl/>
      <w:adjustRightInd w:val="0"/>
      <w:spacing w:before="60" w:line="320" w:lineRule="atLeast"/>
      <w:ind w:left="400" w:leftChars="400"/>
      <w:jc w:val="left"/>
    </w:pPr>
    <w:rPr>
      <w:rFonts w:cstheme="majorBidi"/>
      <w:kern w:val="0"/>
      <w:szCs w:val="20"/>
    </w:rPr>
  </w:style>
  <w:style w:type="paragraph" w:customStyle="1" w:styleId="3331">
    <w:name w:val="myformat_content Char"/>
    <w:basedOn w:val="1"/>
    <w:autoRedefine/>
    <w:qFormat/>
    <w:uiPriority w:val="0"/>
    <w:pPr>
      <w:widowControl/>
      <w:spacing w:beforeLines="50" w:afterLines="50" w:line="360" w:lineRule="exact"/>
      <w:jc w:val="left"/>
    </w:pPr>
    <w:rPr>
      <w:rFonts w:cstheme="majorBidi"/>
      <w:kern w:val="0"/>
      <w:szCs w:val="20"/>
    </w:rPr>
  </w:style>
  <w:style w:type="paragraph" w:customStyle="1" w:styleId="3332">
    <w:name w:val="Char Char Char1 Char Char Char1"/>
    <w:basedOn w:val="1"/>
    <w:autoRedefine/>
    <w:qFormat/>
    <w:uiPriority w:val="0"/>
    <w:pPr>
      <w:widowControl/>
      <w:spacing w:line="360" w:lineRule="auto"/>
      <w:jc w:val="left"/>
    </w:pPr>
    <w:rPr>
      <w:rFonts w:ascii="宋体" w:cs="宋体"/>
      <w:kern w:val="0"/>
      <w:szCs w:val="20"/>
    </w:rPr>
  </w:style>
  <w:style w:type="paragraph" w:customStyle="1" w:styleId="3333">
    <w:name w:val="样式96"/>
    <w:basedOn w:val="3232"/>
    <w:autoRedefine/>
    <w:qFormat/>
    <w:uiPriority w:val="0"/>
    <w:pPr>
      <w:spacing w:beforeLines="50" w:afterLines="50" w:line="360" w:lineRule="auto"/>
      <w:ind w:firstLine="480"/>
    </w:pPr>
    <w:rPr>
      <w:rFonts w:hAnsi="Courier New" w:eastAsia="宋体" w:cs="Courier New"/>
      <w:kern w:val="2"/>
      <w:szCs w:val="24"/>
    </w:rPr>
  </w:style>
  <w:style w:type="paragraph" w:customStyle="1" w:styleId="3334">
    <w:name w:val="xl14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sz w:val="20"/>
      <w:szCs w:val="20"/>
    </w:rPr>
  </w:style>
  <w:style w:type="paragraph" w:customStyle="1" w:styleId="3335">
    <w:name w:val="样式 四号 行距: 1.5 倍行距 首行缩进:  2 字符"/>
    <w:basedOn w:val="1"/>
    <w:autoRedefine/>
    <w:qFormat/>
    <w:uiPriority w:val="0"/>
    <w:pPr>
      <w:widowControl/>
      <w:spacing w:line="360" w:lineRule="auto"/>
      <w:jc w:val="left"/>
    </w:pPr>
    <w:rPr>
      <w:rFonts w:cs="宋体"/>
      <w:kern w:val="0"/>
      <w:sz w:val="28"/>
      <w:szCs w:val="20"/>
    </w:rPr>
  </w:style>
  <w:style w:type="paragraph" w:customStyle="1" w:styleId="3336">
    <w:name w:val="样式 正文缩进正文缩进 Char正文缩进1 Char正文缩进1正文（首行缩进两字） Char正文缩进 Char Cha..."/>
    <w:basedOn w:val="21"/>
    <w:autoRedefine/>
    <w:qFormat/>
    <w:uiPriority w:val="0"/>
    <w:pPr>
      <w:widowControl/>
      <w:spacing w:beforeLines="50" w:line="360" w:lineRule="auto"/>
      <w:ind w:firstLine="567"/>
    </w:pPr>
    <w:rPr>
      <w:rFonts w:ascii="Calibri" w:hAnsi="Calibri" w:cs="宋体"/>
      <w:kern w:val="0"/>
      <w:szCs w:val="20"/>
    </w:rPr>
  </w:style>
  <w:style w:type="paragraph" w:customStyle="1" w:styleId="3337">
    <w:name w:val="样式 hh5-图名与表名 + 加粗 Char"/>
    <w:basedOn w:val="1"/>
    <w:autoRedefine/>
    <w:qFormat/>
    <w:uiPriority w:val="0"/>
    <w:pPr>
      <w:widowControl/>
      <w:spacing w:line="300" w:lineRule="exact"/>
      <w:jc w:val="center"/>
    </w:pPr>
    <w:rPr>
      <w:rFonts w:ascii="黑体" w:eastAsia="黑体" w:cs="Arial"/>
      <w:b/>
      <w:bCs/>
      <w:kern w:val="0"/>
      <w:szCs w:val="22"/>
    </w:rPr>
  </w:style>
  <w:style w:type="paragraph" w:customStyle="1" w:styleId="3338">
    <w:name w:val="T表格"/>
    <w:autoRedefine/>
    <w:qFormat/>
    <w:uiPriority w:val="0"/>
    <w:pPr>
      <w:spacing w:line="360" w:lineRule="auto"/>
      <w:jc w:val="center"/>
    </w:pPr>
    <w:rPr>
      <w:rFonts w:asciiTheme="majorHAnsi" w:hAnsiTheme="majorHAnsi" w:eastAsiaTheme="majorEastAsia" w:cstheme="majorBidi"/>
      <w:sz w:val="22"/>
      <w:szCs w:val="22"/>
      <w:lang w:val="en-US" w:eastAsia="zh-CN" w:bidi="ar-SA"/>
    </w:rPr>
  </w:style>
  <w:style w:type="paragraph" w:customStyle="1" w:styleId="3339">
    <w:name w:val="表内文"/>
    <w:basedOn w:val="21"/>
    <w:autoRedefine/>
    <w:qFormat/>
    <w:uiPriority w:val="0"/>
    <w:pPr>
      <w:widowControl/>
      <w:spacing w:beforeLines="10" w:afterLines="10"/>
      <w:ind w:firstLine="200"/>
    </w:pPr>
    <w:rPr>
      <w:rFonts w:ascii="新宋体" w:hAnsi="Calibri" w:eastAsia="新宋体" w:cs="Arial"/>
      <w:spacing w:val="1"/>
      <w:w w:val="90"/>
      <w:kern w:val="0"/>
      <w:sz w:val="22"/>
      <w:szCs w:val="16"/>
    </w:rPr>
  </w:style>
  <w:style w:type="paragraph" w:customStyle="1" w:styleId="3340">
    <w:name w:val="ST20_1"/>
    <w:basedOn w:val="1"/>
    <w:autoRedefine/>
    <w:qFormat/>
    <w:uiPriority w:val="0"/>
    <w:pPr>
      <w:widowControl/>
      <w:autoSpaceDE w:val="0"/>
      <w:autoSpaceDN w:val="0"/>
      <w:adjustRightInd w:val="0"/>
      <w:spacing w:line="312" w:lineRule="atLeast"/>
      <w:jc w:val="center"/>
    </w:pPr>
    <w:rPr>
      <w:rFonts w:ascii="宋体" w:cstheme="majorBidi"/>
      <w:kern w:val="0"/>
      <w:szCs w:val="20"/>
    </w:rPr>
  </w:style>
  <w:style w:type="paragraph" w:customStyle="1" w:styleId="3341">
    <w:name w:val="样式 小四 行距: 1.5 倍行距 首行缩进:  2 字符"/>
    <w:basedOn w:val="1"/>
    <w:autoRedefine/>
    <w:qFormat/>
    <w:uiPriority w:val="0"/>
    <w:pPr>
      <w:widowControl/>
      <w:spacing w:line="360" w:lineRule="auto"/>
      <w:jc w:val="left"/>
    </w:pPr>
    <w:rPr>
      <w:rFonts w:cs="宋体"/>
      <w:kern w:val="0"/>
      <w:szCs w:val="20"/>
    </w:rPr>
  </w:style>
  <w:style w:type="paragraph" w:customStyle="1" w:styleId="3342">
    <w:name w:val="样式 标题 1 + (中文) 楷体_GB2312 段前: 15.6 磅 段后: 7.8 磅 行距: 固定值 25 磅"/>
    <w:basedOn w:val="3"/>
    <w:autoRedefine/>
    <w:qFormat/>
    <w:uiPriority w:val="0"/>
    <w:pPr>
      <w:keepNext w:val="0"/>
      <w:widowControl/>
      <w:numPr>
        <w:numId w:val="0"/>
      </w:numPr>
      <w:tabs>
        <w:tab w:val="left" w:pos="5760"/>
        <w:tab w:val="clear" w:pos="0"/>
      </w:tabs>
      <w:spacing w:before="100" w:beforeAutospacing="1" w:after="100" w:afterAutospacing="1" w:line="640" w:lineRule="exact"/>
      <w:ind w:firstLine="200"/>
      <w:contextualSpacing/>
    </w:pPr>
    <w:rPr>
      <w:rFonts w:ascii="Cambria" w:hAnsi="Cambria" w:eastAsia="楷体_GB2312" w:cs="宋体"/>
      <w:smallCaps/>
      <w:spacing w:val="5"/>
      <w:kern w:val="32"/>
      <w:sz w:val="32"/>
      <w:szCs w:val="20"/>
    </w:rPr>
  </w:style>
  <w:style w:type="paragraph" w:customStyle="1" w:styleId="3343">
    <w:name w:val="hao01-0"/>
    <w:autoRedefine/>
    <w:qFormat/>
    <w:uiPriority w:val="0"/>
    <w:pPr>
      <w:spacing w:line="360" w:lineRule="auto"/>
      <w:ind w:firstLine="200" w:firstLineChars="200"/>
    </w:pPr>
    <w:rPr>
      <w:rFonts w:asciiTheme="majorHAnsi" w:hAnsiTheme="majorHAnsi" w:eastAsiaTheme="majorEastAsia" w:cstheme="majorBidi"/>
      <w:kern w:val="2"/>
      <w:sz w:val="24"/>
      <w:szCs w:val="24"/>
      <w:lang w:val="en-US" w:eastAsia="zh-CN" w:bidi="ar-SA"/>
    </w:rPr>
  </w:style>
  <w:style w:type="paragraph" w:customStyle="1" w:styleId="3344">
    <w:name w:val="Char4 Char Char Char Char Char Char"/>
    <w:basedOn w:val="1"/>
    <w:autoRedefine/>
    <w:qFormat/>
    <w:uiPriority w:val="0"/>
    <w:pPr>
      <w:widowControl/>
      <w:spacing w:line="360" w:lineRule="auto"/>
      <w:jc w:val="left"/>
    </w:pPr>
    <w:rPr>
      <w:rFonts w:cstheme="majorBidi"/>
      <w:kern w:val="0"/>
      <w:szCs w:val="20"/>
    </w:rPr>
  </w:style>
  <w:style w:type="paragraph" w:customStyle="1" w:styleId="3345">
    <w:name w:val="注释"/>
    <w:basedOn w:val="1"/>
    <w:autoRedefine/>
    <w:qFormat/>
    <w:uiPriority w:val="0"/>
    <w:pPr>
      <w:widowControl/>
      <w:spacing w:line="360" w:lineRule="exact"/>
      <w:jc w:val="left"/>
    </w:pPr>
    <w:rPr>
      <w:rFonts w:cstheme="majorBidi"/>
      <w:kern w:val="0"/>
      <w:szCs w:val="22"/>
    </w:rPr>
  </w:style>
  <w:style w:type="paragraph" w:customStyle="1" w:styleId="3346">
    <w:name w:val="环调标题1"/>
    <w:basedOn w:val="3"/>
    <w:autoRedefine/>
    <w:qFormat/>
    <w:uiPriority w:val="0"/>
    <w:pPr>
      <w:keepNext w:val="0"/>
      <w:widowControl/>
      <w:numPr>
        <w:numId w:val="0"/>
      </w:numPr>
      <w:tabs>
        <w:tab w:val="clear" w:pos="0"/>
      </w:tabs>
      <w:snapToGrid w:val="0"/>
      <w:spacing w:before="340" w:beforeLines="100" w:after="330" w:afterLines="100" w:line="360" w:lineRule="auto"/>
      <w:ind w:firstLine="200"/>
      <w:contextualSpacing/>
      <w:jc w:val="left"/>
    </w:pPr>
    <w:rPr>
      <w:rFonts w:ascii="Calibri" w:hAnsi="Calibri" w:eastAsia="宋体" w:cs="Arial"/>
      <w:smallCaps/>
      <w:spacing w:val="5"/>
      <w:kern w:val="32"/>
      <w:sz w:val="32"/>
      <w:szCs w:val="32"/>
    </w:rPr>
  </w:style>
  <w:style w:type="paragraph" w:customStyle="1" w:styleId="3347">
    <w:name w:val="正文王"/>
    <w:basedOn w:val="45"/>
    <w:autoRedefine/>
    <w:qFormat/>
    <w:uiPriority w:val="0"/>
    <w:pPr>
      <w:widowControl/>
      <w:adjustRightInd/>
      <w:snapToGrid w:val="0"/>
      <w:spacing w:line="440" w:lineRule="exact"/>
      <w:ind w:firstLine="200" w:firstLineChars="200"/>
      <w:jc w:val="left"/>
      <w:textAlignment w:val="auto"/>
    </w:pPr>
    <w:rPr>
      <w:rFonts w:ascii="Arial" w:hAnsi="Arial"/>
      <w:sz w:val="20"/>
      <w:szCs w:val="20"/>
    </w:rPr>
  </w:style>
  <w:style w:type="paragraph" w:customStyle="1" w:styleId="3348">
    <w:name w:val="表头及表尾"/>
    <w:autoRedefine/>
    <w:qFormat/>
    <w:uiPriority w:val="0"/>
    <w:pPr>
      <w:tabs>
        <w:tab w:val="center" w:pos="4200"/>
        <w:tab w:val="right" w:pos="8400"/>
      </w:tabs>
      <w:adjustRightInd w:val="0"/>
      <w:snapToGrid w:val="0"/>
      <w:spacing w:line="360" w:lineRule="auto"/>
    </w:pPr>
    <w:rPr>
      <w:rFonts w:asciiTheme="majorHAnsi" w:hAnsiTheme="majorHAnsi" w:eastAsiaTheme="majorEastAsia" w:cstheme="majorBidi"/>
      <w:b/>
      <w:sz w:val="22"/>
      <w:szCs w:val="21"/>
      <w:lang w:val="en-US" w:eastAsia="zh-CN" w:bidi="ar-SA"/>
    </w:rPr>
  </w:style>
  <w:style w:type="paragraph" w:customStyle="1" w:styleId="3349">
    <w:name w:val="纯文本3"/>
    <w:basedOn w:val="1"/>
    <w:autoRedefine/>
    <w:qFormat/>
    <w:uiPriority w:val="0"/>
    <w:pPr>
      <w:widowControl/>
      <w:spacing w:line="360" w:lineRule="auto"/>
      <w:jc w:val="left"/>
    </w:pPr>
    <w:rPr>
      <w:rFonts w:ascii="宋体" w:cs="宋体"/>
      <w:kern w:val="0"/>
      <w:szCs w:val="21"/>
    </w:rPr>
  </w:style>
  <w:style w:type="paragraph" w:customStyle="1" w:styleId="3350">
    <w:name w:val="表的内容"/>
    <w:basedOn w:val="1"/>
    <w:next w:val="1"/>
    <w:autoRedefine/>
    <w:qFormat/>
    <w:uiPriority w:val="0"/>
    <w:pPr>
      <w:widowControl/>
      <w:spacing w:line="360" w:lineRule="auto"/>
      <w:jc w:val="left"/>
    </w:pPr>
    <w:rPr>
      <w:rFonts w:cstheme="majorBidi"/>
      <w:kern w:val="0"/>
      <w:position w:val="-20"/>
      <w:szCs w:val="20"/>
    </w:rPr>
  </w:style>
  <w:style w:type="paragraph" w:customStyle="1" w:styleId="3351">
    <w:name w:val="表格文字（居中）"/>
    <w:basedOn w:val="1"/>
    <w:autoRedefine/>
    <w:qFormat/>
    <w:uiPriority w:val="0"/>
    <w:pPr>
      <w:widowControl/>
      <w:spacing w:line="360" w:lineRule="auto"/>
      <w:jc w:val="center"/>
    </w:pPr>
    <w:rPr>
      <w:rFonts w:cstheme="majorBidi"/>
      <w:kern w:val="0"/>
      <w:szCs w:val="20"/>
    </w:rPr>
  </w:style>
  <w:style w:type="paragraph" w:customStyle="1" w:styleId="3352">
    <w:name w:val="hao01-T"/>
    <w:next w:val="3343"/>
    <w:autoRedefine/>
    <w:qFormat/>
    <w:uiPriority w:val="0"/>
    <w:pPr>
      <w:spacing w:line="360" w:lineRule="auto"/>
      <w:jc w:val="center"/>
    </w:pPr>
    <w:rPr>
      <w:rFonts w:asciiTheme="majorHAnsi" w:hAnsiTheme="majorHAnsi" w:eastAsiaTheme="majorEastAsia" w:cstheme="majorBidi"/>
      <w:kern w:val="2"/>
      <w:sz w:val="24"/>
      <w:szCs w:val="22"/>
      <w:lang w:val="en-US" w:eastAsia="zh-CN" w:bidi="ar-SA"/>
    </w:rPr>
  </w:style>
  <w:style w:type="paragraph" w:customStyle="1" w:styleId="3353">
    <w:name w:val="样式86"/>
    <w:basedOn w:val="2762"/>
    <w:autoRedefine/>
    <w:qFormat/>
    <w:uiPriority w:val="0"/>
    <w:rPr>
      <w:rFonts w:hAnsi="Calibri" w:cs="Arial"/>
      <w:bCs w:val="0"/>
    </w:rPr>
  </w:style>
  <w:style w:type="paragraph" w:customStyle="1" w:styleId="3354">
    <w:name w:val="xl153"/>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left"/>
    </w:pPr>
    <w:rPr>
      <w:rFonts w:ascii="宋体" w:hAnsi="宋体" w:cs="宋体"/>
      <w:b/>
      <w:bCs/>
      <w:kern w:val="0"/>
      <w:sz w:val="20"/>
      <w:szCs w:val="20"/>
    </w:rPr>
  </w:style>
  <w:style w:type="paragraph" w:customStyle="1" w:styleId="3355">
    <w:name w:val="样式 首行缩进:  2 字符 行距: 1.5 倍行距"/>
    <w:basedOn w:val="1"/>
    <w:autoRedefine/>
    <w:qFormat/>
    <w:uiPriority w:val="0"/>
    <w:pPr>
      <w:widowControl/>
      <w:spacing w:line="400" w:lineRule="exact"/>
      <w:jc w:val="left"/>
    </w:pPr>
    <w:rPr>
      <w:rFonts w:cstheme="majorBidi"/>
      <w:kern w:val="0"/>
      <w:szCs w:val="20"/>
    </w:rPr>
  </w:style>
  <w:style w:type="paragraph" w:customStyle="1" w:styleId="3356">
    <w:name w:val="样式 标题 1 + 段前: 0.5 行 段后: 0.5 行"/>
    <w:basedOn w:val="3"/>
    <w:autoRedefine/>
    <w:qFormat/>
    <w:uiPriority w:val="0"/>
    <w:pPr>
      <w:keepNext w:val="0"/>
      <w:widowControl/>
      <w:numPr>
        <w:ilvl w:val="0"/>
        <w:numId w:val="0"/>
      </w:numPr>
      <w:tabs>
        <w:tab w:val="left" w:pos="425"/>
        <w:tab w:val="clear" w:pos="0"/>
      </w:tabs>
      <w:spacing w:before="340" w:beforeLines="50" w:after="330" w:afterLines="50" w:line="360" w:lineRule="auto"/>
      <w:ind w:firstLine="200"/>
      <w:contextualSpacing/>
      <w:jc w:val="left"/>
    </w:pPr>
    <w:rPr>
      <w:rFonts w:ascii="Cambria" w:hAnsi="Cambria" w:cs="宋体"/>
      <w:b w:val="0"/>
      <w:bCs/>
      <w:smallCaps/>
      <w:spacing w:val="5"/>
      <w:kern w:val="32"/>
      <w:sz w:val="30"/>
      <w:szCs w:val="20"/>
    </w:rPr>
  </w:style>
  <w:style w:type="paragraph" w:customStyle="1" w:styleId="3357">
    <w:name w:val="样式 正文首行缩进:  2 字符 + 首行缩进:  2 字符"/>
    <w:basedOn w:val="1"/>
    <w:autoRedefine/>
    <w:qFormat/>
    <w:uiPriority w:val="0"/>
    <w:pPr>
      <w:widowControl/>
      <w:spacing w:line="360" w:lineRule="auto"/>
      <w:ind w:firstLine="480"/>
      <w:jc w:val="left"/>
    </w:pPr>
    <w:rPr>
      <w:rFonts w:cstheme="majorBidi"/>
      <w:kern w:val="0"/>
      <w:szCs w:val="20"/>
    </w:rPr>
  </w:style>
  <w:style w:type="paragraph" w:customStyle="1" w:styleId="3358">
    <w:name w:val="1安宁正文"/>
    <w:basedOn w:val="1"/>
    <w:autoRedefine/>
    <w:qFormat/>
    <w:uiPriority w:val="0"/>
    <w:pPr>
      <w:widowControl/>
      <w:spacing w:line="360" w:lineRule="auto"/>
      <w:ind w:firstLine="560"/>
      <w:jc w:val="left"/>
    </w:pPr>
    <w:rPr>
      <w:rFonts w:cs="宋体"/>
      <w:kern w:val="0"/>
      <w:sz w:val="28"/>
      <w:szCs w:val="20"/>
    </w:rPr>
  </w:style>
  <w:style w:type="paragraph" w:customStyle="1" w:styleId="3359">
    <w:name w:val="环小四文中说明"/>
    <w:autoRedefine/>
    <w:qFormat/>
    <w:uiPriority w:val="0"/>
    <w:pPr>
      <w:widowControl w:val="0"/>
      <w:spacing w:beforeLines="50" w:afterLines="50" w:line="500" w:lineRule="exact"/>
      <w:ind w:firstLine="200" w:firstLineChars="200"/>
      <w:jc w:val="both"/>
    </w:pPr>
    <w:rPr>
      <w:rFonts w:ascii="宋体" w:cs="Arial" w:hAnsiTheme="majorHAnsi" w:eastAsiaTheme="majorEastAsia"/>
      <w:kern w:val="2"/>
      <w:sz w:val="24"/>
      <w:szCs w:val="24"/>
      <w:lang w:val="en-US" w:eastAsia="zh-CN" w:bidi="ar-SA"/>
    </w:rPr>
  </w:style>
  <w:style w:type="paragraph" w:customStyle="1" w:styleId="3360">
    <w:name w:val="正文文本 23"/>
    <w:basedOn w:val="1"/>
    <w:autoRedefine/>
    <w:uiPriority w:val="0"/>
    <w:pPr>
      <w:widowControl/>
      <w:overflowPunct w:val="0"/>
      <w:autoSpaceDE w:val="0"/>
      <w:autoSpaceDN w:val="0"/>
      <w:spacing w:line="360" w:lineRule="auto"/>
      <w:ind w:left="991" w:hanging="567"/>
      <w:jc w:val="left"/>
    </w:pPr>
    <w:rPr>
      <w:rFonts w:cstheme="majorBidi"/>
      <w:kern w:val="0"/>
      <w:sz w:val="28"/>
      <w:szCs w:val="20"/>
    </w:rPr>
  </w:style>
  <w:style w:type="paragraph" w:customStyle="1" w:styleId="3361">
    <w:name w:val="环调标题2"/>
    <w:basedOn w:val="4"/>
    <w:autoRedefine/>
    <w:qFormat/>
    <w:uiPriority w:val="0"/>
    <w:pPr>
      <w:keepNext w:val="0"/>
      <w:keepLines w:val="0"/>
      <w:widowControl/>
      <w:numPr>
        <w:ilvl w:val="0"/>
        <w:numId w:val="0"/>
      </w:numPr>
      <w:snapToGrid w:val="0"/>
      <w:spacing w:before="260" w:beforeLines="50" w:after="260" w:afterLines="50"/>
      <w:ind w:left="100" w:leftChars="100" w:right="100" w:rightChars="100" w:firstLine="200"/>
      <w:jc w:val="left"/>
    </w:pPr>
    <w:rPr>
      <w:rFonts w:ascii="Calibri" w:hAnsi="Calibri" w:eastAsia="宋体" w:cs="Arial"/>
      <w:i/>
      <w:iCs/>
      <w:smallCaps/>
      <w:kern w:val="0"/>
      <w:sz w:val="30"/>
      <w:szCs w:val="28"/>
    </w:rPr>
  </w:style>
  <w:style w:type="paragraph" w:customStyle="1" w:styleId="3362">
    <w:name w:val="样式87"/>
    <w:basedOn w:val="2762"/>
    <w:qFormat/>
    <w:uiPriority w:val="0"/>
    <w:rPr>
      <w:rFonts w:ascii="Times New Roman" w:cs="Arial"/>
    </w:rPr>
  </w:style>
  <w:style w:type="paragraph" w:customStyle="1" w:styleId="3363">
    <w:name w:val="5文章(治)"/>
    <w:basedOn w:val="1"/>
    <w:autoRedefine/>
    <w:qFormat/>
    <w:uiPriority w:val="0"/>
    <w:pPr>
      <w:widowControl/>
      <w:spacing w:line="360" w:lineRule="auto"/>
      <w:ind w:firstLine="560"/>
      <w:jc w:val="left"/>
    </w:pPr>
    <w:rPr>
      <w:rFonts w:eastAsia="楷体_GB2312" w:cstheme="majorBidi"/>
      <w:kern w:val="0"/>
      <w:sz w:val="28"/>
      <w:szCs w:val="20"/>
    </w:rPr>
  </w:style>
  <w:style w:type="paragraph" w:customStyle="1" w:styleId="3364">
    <w:name w:val="第二标题"/>
    <w:basedOn w:val="4"/>
    <w:autoRedefine/>
    <w:qFormat/>
    <w:uiPriority w:val="0"/>
    <w:pPr>
      <w:keepNext w:val="0"/>
      <w:keepLines w:val="0"/>
      <w:widowControl/>
      <w:numPr>
        <w:ilvl w:val="0"/>
        <w:numId w:val="0"/>
      </w:numPr>
      <w:tabs>
        <w:tab w:val="left" w:pos="0"/>
      </w:tabs>
      <w:adjustRightInd w:val="0"/>
      <w:snapToGrid w:val="0"/>
      <w:spacing w:before="260" w:beforeLines="50" w:after="260" w:afterLines="50"/>
      <w:ind w:firstLine="200"/>
      <w:jc w:val="left"/>
    </w:pPr>
    <w:rPr>
      <w:rFonts w:ascii="Calibri" w:hAnsi="Calibri" w:eastAsia="宋体" w:cs="Arial"/>
      <w:i/>
      <w:iCs/>
      <w:smallCaps/>
      <w:kern w:val="0"/>
      <w:sz w:val="30"/>
      <w:szCs w:val="22"/>
    </w:rPr>
  </w:style>
  <w:style w:type="paragraph" w:customStyle="1" w:styleId="3365">
    <w:name w:val="样式129"/>
    <w:basedOn w:val="1"/>
    <w:autoRedefine/>
    <w:qFormat/>
    <w:uiPriority w:val="0"/>
    <w:pPr>
      <w:widowControl/>
      <w:adjustRightInd w:val="0"/>
      <w:spacing w:line="260" w:lineRule="exact"/>
      <w:jc w:val="center"/>
    </w:pPr>
    <w:rPr>
      <w:rFonts w:cstheme="majorBidi"/>
      <w:bCs/>
      <w:color w:val="000000"/>
      <w:kern w:val="0"/>
      <w:sz w:val="20"/>
      <w:szCs w:val="13"/>
    </w:rPr>
  </w:style>
  <w:style w:type="paragraph" w:customStyle="1" w:styleId="3366">
    <w:name w:val="5 Char"/>
    <w:basedOn w:val="1"/>
    <w:autoRedefine/>
    <w:qFormat/>
    <w:uiPriority w:val="0"/>
    <w:pPr>
      <w:widowControl/>
      <w:spacing w:line="360" w:lineRule="auto"/>
      <w:jc w:val="left"/>
    </w:pPr>
    <w:rPr>
      <w:rFonts w:cstheme="majorBidi"/>
      <w:kern w:val="0"/>
      <w:szCs w:val="20"/>
    </w:rPr>
  </w:style>
  <w:style w:type="paragraph" w:customStyle="1" w:styleId="3367">
    <w:name w:val="封面2"/>
    <w:basedOn w:val="1"/>
    <w:autoRedefine/>
    <w:qFormat/>
    <w:uiPriority w:val="0"/>
    <w:pPr>
      <w:widowControl/>
      <w:spacing w:line="360" w:lineRule="auto"/>
      <w:jc w:val="center"/>
    </w:pPr>
    <w:rPr>
      <w:rFonts w:cstheme="majorBidi"/>
      <w:b/>
      <w:kern w:val="0"/>
      <w:sz w:val="44"/>
      <w:szCs w:val="20"/>
    </w:rPr>
  </w:style>
  <w:style w:type="paragraph" w:customStyle="1" w:styleId="3368">
    <w:name w:val="正文样式一"/>
    <w:basedOn w:val="1"/>
    <w:qFormat/>
    <w:uiPriority w:val="0"/>
    <w:pPr>
      <w:widowControl/>
      <w:spacing w:line="400" w:lineRule="atLeast"/>
      <w:ind w:firstLine="510"/>
      <w:jc w:val="left"/>
    </w:pPr>
    <w:rPr>
      <w:rFonts w:cstheme="majorBidi"/>
      <w:kern w:val="0"/>
      <w:szCs w:val="20"/>
    </w:rPr>
  </w:style>
  <w:style w:type="paragraph" w:customStyle="1" w:styleId="3369">
    <w:name w:val="样式 四号 首行缩进:  2 字符"/>
    <w:basedOn w:val="1"/>
    <w:qFormat/>
    <w:uiPriority w:val="0"/>
    <w:pPr>
      <w:widowControl/>
      <w:spacing w:line="360" w:lineRule="auto"/>
      <w:jc w:val="left"/>
    </w:pPr>
    <w:rPr>
      <w:rFonts w:cs="宋体"/>
      <w:kern w:val="0"/>
      <w:sz w:val="28"/>
      <w:szCs w:val="20"/>
    </w:rPr>
  </w:style>
  <w:style w:type="paragraph" w:customStyle="1" w:styleId="3370">
    <w:name w:val="沥青表"/>
    <w:basedOn w:val="1"/>
    <w:autoRedefine/>
    <w:qFormat/>
    <w:uiPriority w:val="0"/>
    <w:pPr>
      <w:widowControl/>
      <w:adjustRightInd w:val="0"/>
      <w:spacing w:line="0" w:lineRule="atLeast"/>
      <w:jc w:val="center"/>
    </w:pPr>
    <w:rPr>
      <w:rFonts w:cstheme="majorBidi"/>
      <w:spacing w:val="10"/>
      <w:kern w:val="0"/>
      <w:szCs w:val="20"/>
    </w:rPr>
  </w:style>
  <w:style w:type="paragraph" w:customStyle="1" w:styleId="3371">
    <w:name w:val="Char1 Char Char Char Char Char Char1"/>
    <w:basedOn w:val="1"/>
    <w:autoRedefine/>
    <w:uiPriority w:val="0"/>
    <w:pPr>
      <w:widowControl/>
      <w:spacing w:line="360" w:lineRule="auto"/>
      <w:ind w:left="-48"/>
      <w:jc w:val="left"/>
    </w:pPr>
    <w:rPr>
      <w:rFonts w:cstheme="majorBidi"/>
      <w:kern w:val="0"/>
    </w:rPr>
  </w:style>
  <w:style w:type="paragraph" w:customStyle="1" w:styleId="3372">
    <w:name w:val="中气附件"/>
    <w:basedOn w:val="3"/>
    <w:autoRedefine/>
    <w:qFormat/>
    <w:uiPriority w:val="0"/>
    <w:pPr>
      <w:keepNext w:val="0"/>
      <w:widowControl/>
      <w:numPr>
        <w:numId w:val="0"/>
      </w:numPr>
      <w:tabs>
        <w:tab w:val="clear" w:pos="0"/>
      </w:tabs>
      <w:spacing w:before="240" w:after="240" w:line="360" w:lineRule="auto"/>
      <w:ind w:firstLine="200"/>
      <w:contextualSpacing/>
      <w:jc w:val="right"/>
    </w:pPr>
    <w:rPr>
      <w:rFonts w:ascii="黑体" w:hAnsi="Cambria" w:cs="Arial"/>
      <w:b w:val="0"/>
      <w:smallCaps/>
      <w:spacing w:val="5"/>
      <w:kern w:val="32"/>
      <w:sz w:val="32"/>
      <w:szCs w:val="32"/>
    </w:rPr>
  </w:style>
  <w:style w:type="paragraph" w:customStyle="1" w:styleId="3373">
    <w:name w:val="表目录"/>
    <w:basedOn w:val="1"/>
    <w:qFormat/>
    <w:uiPriority w:val="0"/>
    <w:pPr>
      <w:widowControl/>
      <w:adjustRightInd w:val="0"/>
      <w:snapToGrid w:val="0"/>
      <w:spacing w:line="360" w:lineRule="auto"/>
      <w:jc w:val="left"/>
    </w:pPr>
    <w:rPr>
      <w:rFonts w:ascii="黑体" w:eastAsia="黑体" w:cstheme="majorBidi"/>
      <w:kern w:val="0"/>
      <w:szCs w:val="20"/>
    </w:rPr>
  </w:style>
  <w:style w:type="paragraph" w:customStyle="1" w:styleId="3374">
    <w:name w:val="xl14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sz w:val="20"/>
      <w:szCs w:val="20"/>
    </w:rPr>
  </w:style>
  <w:style w:type="paragraph" w:customStyle="1" w:styleId="3375">
    <w:name w:val="文本框文字"/>
    <w:basedOn w:val="1"/>
    <w:autoRedefine/>
    <w:qFormat/>
    <w:uiPriority w:val="0"/>
    <w:pPr>
      <w:widowControl/>
      <w:spacing w:line="360" w:lineRule="auto"/>
      <w:jc w:val="center"/>
    </w:pPr>
    <w:rPr>
      <w:rFonts w:cstheme="majorBidi"/>
      <w:kern w:val="0"/>
    </w:rPr>
  </w:style>
  <w:style w:type="paragraph" w:customStyle="1" w:styleId="3376">
    <w:name w:val="xl14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sz w:val="20"/>
      <w:szCs w:val="20"/>
    </w:rPr>
  </w:style>
  <w:style w:type="paragraph" w:customStyle="1" w:styleId="3377">
    <w:name w:val="图表目录1"/>
    <w:basedOn w:val="1"/>
    <w:next w:val="1"/>
    <w:autoRedefine/>
    <w:qFormat/>
    <w:uiPriority w:val="0"/>
    <w:pPr>
      <w:widowControl/>
      <w:spacing w:afterLines="50" w:line="360" w:lineRule="auto"/>
      <w:ind w:left="400" w:leftChars="200" w:hanging="200" w:hangingChars="200"/>
      <w:jc w:val="left"/>
    </w:pPr>
    <w:rPr>
      <w:rFonts w:cstheme="majorBidi"/>
      <w:kern w:val="0"/>
      <w:szCs w:val="21"/>
    </w:rPr>
  </w:style>
  <w:style w:type="paragraph" w:customStyle="1" w:styleId="3378">
    <w:name w:val="三级"/>
    <w:basedOn w:val="5"/>
    <w:autoRedefine/>
    <w:qFormat/>
    <w:uiPriority w:val="0"/>
    <w:pPr>
      <w:keepNext w:val="0"/>
      <w:keepLines w:val="0"/>
      <w:widowControl/>
      <w:numPr>
        <w:ilvl w:val="0"/>
        <w:numId w:val="0"/>
      </w:numPr>
      <w:adjustRightInd w:val="0"/>
      <w:snapToGrid w:val="0"/>
      <w:spacing w:beforeLines="50" w:afterLines="50" w:line="360" w:lineRule="auto"/>
      <w:ind w:firstLine="200"/>
      <w:jc w:val="left"/>
    </w:pPr>
    <w:rPr>
      <w:rFonts w:ascii="黑体" w:hAnsi="宋体" w:cstheme="majorBidi"/>
      <w:bCs w:val="0"/>
      <w:iCs/>
      <w:smallCaps/>
      <w:spacing w:val="5"/>
      <w:kern w:val="0"/>
      <w:sz w:val="24"/>
      <w:szCs w:val="26"/>
    </w:rPr>
  </w:style>
  <w:style w:type="paragraph" w:customStyle="1" w:styleId="3379">
    <w:name w:val="封面1"/>
    <w:basedOn w:val="1"/>
    <w:autoRedefine/>
    <w:qFormat/>
    <w:uiPriority w:val="0"/>
    <w:pPr>
      <w:widowControl/>
      <w:pBdr>
        <w:top w:val="single" w:color="auto" w:sz="4" w:space="0"/>
        <w:left w:val="single" w:color="auto" w:sz="4" w:space="0"/>
        <w:bottom w:val="single" w:color="auto" w:sz="4" w:space="0"/>
        <w:right w:val="single" w:color="auto" w:sz="4" w:space="0"/>
      </w:pBdr>
      <w:spacing w:line="300" w:lineRule="auto"/>
      <w:jc w:val="left"/>
    </w:pPr>
    <w:rPr>
      <w:rFonts w:cstheme="majorBidi"/>
      <w:b/>
      <w:bCs/>
      <w:color w:val="000000"/>
      <w:kern w:val="0"/>
      <w:sz w:val="32"/>
      <w:szCs w:val="20"/>
    </w:rPr>
  </w:style>
  <w:style w:type="paragraph" w:customStyle="1" w:styleId="3380">
    <w:name w:val="样式 标题 3 + 段前: 0.5 行 段后: 0.5 行"/>
    <w:basedOn w:val="6"/>
    <w:autoRedefine/>
    <w:qFormat/>
    <w:uiPriority w:val="0"/>
    <w:pPr>
      <w:keepNext w:val="0"/>
      <w:keepLines w:val="0"/>
      <w:widowControl/>
      <w:numPr>
        <w:ilvl w:val="0"/>
        <w:numId w:val="0"/>
      </w:numPr>
      <w:tabs>
        <w:tab w:val="left" w:pos="2132"/>
      </w:tabs>
      <w:spacing w:before="280" w:after="290" w:afterLines="50" w:line="360" w:lineRule="auto"/>
      <w:ind w:left="864" w:hanging="864"/>
      <w:jc w:val="left"/>
    </w:pPr>
    <w:rPr>
      <w:rFonts w:ascii="Calibri" w:hAnsi="Calibri" w:cs="宋体"/>
      <w:b w:val="0"/>
      <w:bCs w:val="0"/>
      <w:spacing w:val="5"/>
      <w:kern w:val="0"/>
      <w:sz w:val="24"/>
      <w:szCs w:val="20"/>
    </w:rPr>
  </w:style>
  <w:style w:type="paragraph" w:customStyle="1" w:styleId="3381">
    <w:name w:val="little"/>
    <w:basedOn w:val="1"/>
    <w:autoRedefine/>
    <w:qFormat/>
    <w:uiPriority w:val="0"/>
    <w:pPr>
      <w:widowControl/>
      <w:spacing w:before="100" w:beforeAutospacing="1" w:after="100" w:afterAutospacing="1" w:line="360" w:lineRule="auto"/>
      <w:jc w:val="left"/>
    </w:pPr>
    <w:rPr>
      <w:rFonts w:ascii="宋体" w:cs="宋体"/>
      <w:kern w:val="0"/>
      <w:szCs w:val="20"/>
    </w:rPr>
  </w:style>
  <w:style w:type="paragraph" w:customStyle="1" w:styleId="3382">
    <w:name w:val="表格文字（小五）"/>
    <w:basedOn w:val="76"/>
    <w:next w:val="21"/>
    <w:qFormat/>
    <w:uiPriority w:val="0"/>
    <w:pPr>
      <w:widowControl/>
      <w:tabs>
        <w:tab w:val="left" w:pos="3720"/>
      </w:tabs>
      <w:autoSpaceDE w:val="0"/>
      <w:autoSpaceDN w:val="0"/>
      <w:spacing w:line="300" w:lineRule="exact"/>
      <w:ind w:firstLine="200" w:firstLineChars="200"/>
      <w:jc w:val="center"/>
      <w:textAlignment w:val="bottom"/>
    </w:pPr>
    <w:rPr>
      <w:rFonts w:ascii="宋体" w:hAnsi="宋体" w:cstheme="majorBidi"/>
      <w:kern w:val="0"/>
      <w:sz w:val="18"/>
    </w:rPr>
  </w:style>
  <w:style w:type="paragraph" w:customStyle="1" w:styleId="3383">
    <w:name w:val="索引 11"/>
    <w:basedOn w:val="1"/>
    <w:next w:val="1"/>
    <w:autoRedefine/>
    <w:qFormat/>
    <w:uiPriority w:val="0"/>
    <w:pPr>
      <w:widowControl/>
      <w:adjustRightInd w:val="0"/>
      <w:snapToGrid w:val="0"/>
      <w:spacing w:before="56" w:afterLines="50" w:line="240" w:lineRule="exact"/>
      <w:jc w:val="center"/>
    </w:pPr>
    <w:rPr>
      <w:rFonts w:cstheme="majorBidi"/>
      <w:spacing w:val="-10"/>
      <w:kern w:val="0"/>
      <w:szCs w:val="21"/>
    </w:rPr>
  </w:style>
  <w:style w:type="paragraph" w:customStyle="1" w:styleId="3384">
    <w:name w:val="纯文本4"/>
    <w:basedOn w:val="1"/>
    <w:autoRedefine/>
    <w:qFormat/>
    <w:uiPriority w:val="0"/>
    <w:pPr>
      <w:widowControl/>
      <w:adjustRightInd w:val="0"/>
      <w:spacing w:line="360" w:lineRule="auto"/>
      <w:ind w:firstLine="465"/>
      <w:jc w:val="left"/>
      <w:textAlignment w:val="baseline"/>
    </w:pPr>
    <w:rPr>
      <w:rFonts w:ascii="宋体" w:cstheme="majorBidi"/>
      <w:kern w:val="0"/>
      <w:szCs w:val="20"/>
    </w:rPr>
  </w:style>
  <w:style w:type="paragraph" w:customStyle="1" w:styleId="3385">
    <w:name w:val="文档结构图12"/>
    <w:basedOn w:val="1"/>
    <w:autoRedefine/>
    <w:qFormat/>
    <w:uiPriority w:val="0"/>
    <w:pPr>
      <w:widowControl/>
      <w:shd w:val="clear" w:color="auto" w:fill="000080"/>
      <w:tabs>
        <w:tab w:val="left" w:pos="0"/>
      </w:tabs>
      <w:adjustRightInd w:val="0"/>
      <w:snapToGrid w:val="0"/>
      <w:spacing w:line="360" w:lineRule="auto"/>
      <w:ind w:right="-40" w:firstLine="595"/>
      <w:jc w:val="left"/>
      <w:textAlignment w:val="center"/>
    </w:pPr>
    <w:rPr>
      <w:rFonts w:cstheme="majorBidi"/>
      <w:kern w:val="0"/>
      <w:szCs w:val="20"/>
    </w:rPr>
  </w:style>
  <w:style w:type="paragraph" w:customStyle="1" w:styleId="3386">
    <w:name w:val="批注框文本 Char Char"/>
    <w:basedOn w:val="1"/>
    <w:autoRedefine/>
    <w:qFormat/>
    <w:uiPriority w:val="0"/>
    <w:pPr>
      <w:widowControl/>
      <w:spacing w:line="360" w:lineRule="auto"/>
      <w:jc w:val="left"/>
    </w:pPr>
    <w:rPr>
      <w:rFonts w:cstheme="majorBidi"/>
      <w:kern w:val="0"/>
      <w:sz w:val="18"/>
      <w:szCs w:val="20"/>
    </w:rPr>
  </w:style>
  <w:style w:type="paragraph" w:customStyle="1" w:styleId="3387">
    <w:name w:val="xl14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sz w:val="20"/>
      <w:szCs w:val="20"/>
    </w:rPr>
  </w:style>
  <w:style w:type="paragraph" w:customStyle="1" w:styleId="3388">
    <w:name w:val="xl152"/>
    <w:basedOn w:val="1"/>
    <w:uiPriority w:val="0"/>
    <w:pPr>
      <w:widowControl/>
      <w:pBdr>
        <w:top w:val="single" w:color="auto" w:sz="4" w:space="0"/>
        <w:left w:val="single" w:color="auto" w:sz="4" w:space="0"/>
        <w:bottom w:val="single" w:color="auto" w:sz="4" w:space="0"/>
      </w:pBdr>
      <w:shd w:val="clear" w:color="000000" w:fill="FFFFFF"/>
      <w:spacing w:before="100" w:beforeAutospacing="1" w:after="100" w:afterAutospacing="1" w:line="360" w:lineRule="auto"/>
      <w:jc w:val="center"/>
    </w:pPr>
    <w:rPr>
      <w:rFonts w:ascii="宋体" w:hAnsi="宋体" w:cs="宋体"/>
      <w:b/>
      <w:bCs/>
      <w:kern w:val="0"/>
      <w:szCs w:val="22"/>
    </w:rPr>
  </w:style>
  <w:style w:type="paragraph" w:customStyle="1" w:styleId="3389">
    <w:name w:val="xl146"/>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center"/>
    </w:pPr>
    <w:rPr>
      <w:rFonts w:ascii="宋体" w:hAnsi="宋体" w:cs="宋体"/>
      <w:kern w:val="0"/>
      <w:sz w:val="20"/>
      <w:szCs w:val="20"/>
    </w:rPr>
  </w:style>
  <w:style w:type="paragraph" w:customStyle="1" w:styleId="3390">
    <w:name w:val="缺省文本"/>
    <w:autoRedefine/>
    <w:qFormat/>
    <w:uiPriority w:val="0"/>
    <w:pPr>
      <w:widowControl w:val="0"/>
      <w:autoSpaceDE w:val="0"/>
      <w:autoSpaceDN w:val="0"/>
      <w:adjustRightInd w:val="0"/>
      <w:spacing w:line="360" w:lineRule="auto"/>
    </w:pPr>
    <w:rPr>
      <w:rFonts w:asciiTheme="majorHAnsi" w:hAnsiTheme="majorHAnsi" w:eastAsiaTheme="majorEastAsia" w:cstheme="majorBidi"/>
      <w:color w:val="000000"/>
      <w:sz w:val="22"/>
      <w:szCs w:val="24"/>
      <w:lang w:val="en-US" w:eastAsia="zh-CN" w:bidi="ar-SA"/>
    </w:rPr>
  </w:style>
  <w:style w:type="paragraph" w:customStyle="1" w:styleId="3391">
    <w:name w:val="样式98"/>
    <w:basedOn w:val="1"/>
    <w:autoRedefine/>
    <w:qFormat/>
    <w:uiPriority w:val="0"/>
    <w:pPr>
      <w:widowControl/>
      <w:adjustRightInd w:val="0"/>
      <w:spacing w:afterLines="50" w:line="315" w:lineRule="atLeast"/>
      <w:jc w:val="left"/>
    </w:pPr>
    <w:rPr>
      <w:rFonts w:cstheme="majorBidi"/>
      <w:kern w:val="0"/>
      <w:szCs w:val="20"/>
    </w:rPr>
  </w:style>
  <w:style w:type="paragraph" w:customStyle="1" w:styleId="3392">
    <w:name w:val="中气表头"/>
    <w:basedOn w:val="1"/>
    <w:autoRedefine/>
    <w:qFormat/>
    <w:uiPriority w:val="0"/>
    <w:pPr>
      <w:widowControl/>
      <w:spacing w:line="360" w:lineRule="auto"/>
      <w:jc w:val="center"/>
    </w:pPr>
    <w:rPr>
      <w:rFonts w:ascii="黑体" w:eastAsia="黑体" w:cs="Arial"/>
      <w:b/>
      <w:kern w:val="0"/>
      <w:szCs w:val="21"/>
    </w:rPr>
  </w:style>
  <w:style w:type="paragraph" w:customStyle="1" w:styleId="3393">
    <w:name w:val="MFS正文 Char Char"/>
    <w:basedOn w:val="86"/>
    <w:autoRedefine/>
    <w:qFormat/>
    <w:uiPriority w:val="0"/>
    <w:pPr>
      <w:widowControl/>
      <w:spacing w:before="93" w:after="120" w:line="360" w:lineRule="auto"/>
      <w:jc w:val="left"/>
    </w:pPr>
    <w:rPr>
      <w:rFonts w:eastAsia="楷体_GB2312" w:cstheme="majorBidi"/>
      <w:kern w:val="0"/>
      <w:sz w:val="24"/>
      <w:szCs w:val="20"/>
    </w:rPr>
  </w:style>
  <w:style w:type="paragraph" w:customStyle="1" w:styleId="3394">
    <w:name w:val="样式 报告 + 首行缩进:  2 字符 段前: 3 磅 段后: 3 磅"/>
    <w:basedOn w:val="1"/>
    <w:autoRedefine/>
    <w:qFormat/>
    <w:uiPriority w:val="0"/>
    <w:pPr>
      <w:widowControl/>
      <w:overflowPunct w:val="0"/>
      <w:autoSpaceDE w:val="0"/>
      <w:autoSpaceDN w:val="0"/>
      <w:adjustRightInd w:val="0"/>
      <w:spacing w:before="60" w:after="60" w:line="400" w:lineRule="atLeast"/>
      <w:jc w:val="left"/>
    </w:pPr>
    <w:rPr>
      <w:rFonts w:cs="宋体"/>
      <w:kern w:val="0"/>
      <w:szCs w:val="20"/>
    </w:rPr>
  </w:style>
  <w:style w:type="paragraph" w:customStyle="1" w:styleId="3395">
    <w:name w:val="xl13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sz w:val="20"/>
      <w:szCs w:val="20"/>
    </w:rPr>
  </w:style>
  <w:style w:type="paragraph" w:customStyle="1" w:styleId="3396">
    <w:name w:val="xl14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left"/>
    </w:pPr>
    <w:rPr>
      <w:rFonts w:ascii="宋体" w:hAnsi="宋体" w:cs="宋体"/>
      <w:kern w:val="0"/>
      <w:sz w:val="20"/>
      <w:szCs w:val="20"/>
    </w:rPr>
  </w:style>
  <w:style w:type="paragraph" w:customStyle="1" w:styleId="3397">
    <w:name w:val="段落1 Char"/>
    <w:basedOn w:val="1"/>
    <w:autoRedefine/>
    <w:qFormat/>
    <w:uiPriority w:val="0"/>
    <w:pPr>
      <w:widowControl/>
      <w:adjustRightInd w:val="0"/>
      <w:spacing w:line="440" w:lineRule="exact"/>
      <w:jc w:val="left"/>
    </w:pPr>
    <w:rPr>
      <w:rFonts w:cstheme="majorBidi"/>
      <w:spacing w:val="8"/>
      <w:kern w:val="0"/>
      <w:szCs w:val="20"/>
    </w:rPr>
  </w:style>
  <w:style w:type="paragraph" w:customStyle="1" w:styleId="3398">
    <w:name w:val="样式 标题 2 + 宋体"/>
    <w:basedOn w:val="4"/>
    <w:autoRedefine/>
    <w:qFormat/>
    <w:uiPriority w:val="0"/>
    <w:pPr>
      <w:keepNext w:val="0"/>
      <w:keepLines w:val="0"/>
      <w:widowControl/>
      <w:numPr>
        <w:ilvl w:val="0"/>
        <w:numId w:val="0"/>
      </w:numPr>
      <w:tabs>
        <w:tab w:val="left" w:pos="992"/>
        <w:tab w:val="right" w:pos="8640"/>
      </w:tabs>
      <w:overflowPunct w:val="0"/>
      <w:autoSpaceDE w:val="0"/>
      <w:autoSpaceDN w:val="0"/>
      <w:adjustRightInd w:val="0"/>
      <w:spacing w:before="260" w:beforeLines="50"/>
      <w:ind w:left="991" w:right="482" w:hanging="567"/>
      <w:jc w:val="left"/>
    </w:pPr>
    <w:rPr>
      <w:rFonts w:ascii="宋体" w:hAnsi="Arial Unicode MS" w:eastAsia="宋体"/>
      <w:b w:val="0"/>
      <w:bCs w:val="0"/>
      <w:i/>
      <w:iCs/>
      <w:smallCaps/>
      <w:kern w:val="28"/>
      <w:sz w:val="28"/>
    </w:rPr>
  </w:style>
  <w:style w:type="paragraph" w:customStyle="1" w:styleId="3399">
    <w:name w:val="1图名"/>
    <w:basedOn w:val="1"/>
    <w:autoRedefine/>
    <w:qFormat/>
    <w:uiPriority w:val="0"/>
    <w:pPr>
      <w:widowControl/>
      <w:spacing w:line="360" w:lineRule="auto"/>
      <w:ind w:firstLine="560"/>
      <w:jc w:val="center"/>
    </w:pPr>
    <w:rPr>
      <w:rFonts w:cs="宋体"/>
      <w:kern w:val="0"/>
      <w:sz w:val="28"/>
      <w:szCs w:val="20"/>
    </w:rPr>
  </w:style>
  <w:style w:type="paragraph" w:customStyle="1" w:styleId="3400">
    <w:name w:val="正文zz"/>
    <w:autoRedefine/>
    <w:qFormat/>
    <w:uiPriority w:val="0"/>
    <w:pPr>
      <w:spacing w:line="360" w:lineRule="auto"/>
      <w:ind w:firstLine="200" w:firstLineChars="200"/>
    </w:pPr>
    <w:rPr>
      <w:rFonts w:cs="Arial" w:asciiTheme="majorHAnsi" w:hAnsiTheme="majorHAnsi" w:eastAsiaTheme="majorEastAsia"/>
      <w:kern w:val="2"/>
      <w:sz w:val="24"/>
      <w:szCs w:val="24"/>
      <w:lang w:val="en-US" w:eastAsia="zh-CN" w:bidi="ar-SA"/>
    </w:rPr>
  </w:style>
  <w:style w:type="paragraph" w:customStyle="1" w:styleId="3401">
    <w:name w:val="自定义正文 Char Char Char Char"/>
    <w:autoRedefine/>
    <w:qFormat/>
    <w:uiPriority w:val="0"/>
    <w:pPr>
      <w:widowControl w:val="0"/>
      <w:topLinePunct/>
      <w:adjustRightInd w:val="0"/>
      <w:snapToGrid w:val="0"/>
      <w:spacing w:line="360" w:lineRule="auto"/>
      <w:ind w:firstLine="510"/>
      <w:jc w:val="both"/>
    </w:pPr>
    <w:rPr>
      <w:rFonts w:asciiTheme="majorHAnsi" w:hAnsiTheme="majorHAnsi" w:eastAsiaTheme="majorEastAsia" w:cstheme="majorBidi"/>
      <w:kern w:val="2"/>
      <w:position w:val="-28"/>
      <w:sz w:val="28"/>
      <w:szCs w:val="28"/>
      <w:lang w:val="en-US" w:eastAsia="zh-CN" w:bidi="ar-SA"/>
    </w:rPr>
  </w:style>
  <w:style w:type="paragraph" w:customStyle="1" w:styleId="3402">
    <w:name w:val="编号"/>
    <w:basedOn w:val="2657"/>
    <w:autoRedefine/>
    <w:qFormat/>
    <w:uiPriority w:val="0"/>
    <w:pPr>
      <w:tabs>
        <w:tab w:val="left" w:pos="1140"/>
        <w:tab w:val="left" w:pos="2585"/>
      </w:tabs>
      <w:ind w:left="1140" w:hanging="720"/>
    </w:pPr>
  </w:style>
  <w:style w:type="paragraph" w:customStyle="1" w:styleId="3403">
    <w:name w:val="Char Char1 Char Char Char Char Char Char Char Char Char Char Char Char Char Char Char Char Char Char Char Char1 Char1"/>
    <w:basedOn w:val="1"/>
    <w:autoRedefine/>
    <w:qFormat/>
    <w:uiPriority w:val="0"/>
    <w:pPr>
      <w:widowControl/>
      <w:spacing w:line="360" w:lineRule="auto"/>
      <w:jc w:val="left"/>
    </w:pPr>
    <w:rPr>
      <w:rFonts w:ascii="宋体" w:cs="宋体"/>
      <w:kern w:val="0"/>
    </w:rPr>
  </w:style>
  <w:style w:type="paragraph" w:customStyle="1" w:styleId="3404">
    <w:name w:val="目录1"/>
    <w:basedOn w:val="1"/>
    <w:next w:val="1"/>
    <w:autoRedefine/>
    <w:qFormat/>
    <w:uiPriority w:val="0"/>
    <w:pPr>
      <w:widowControl/>
      <w:spacing w:beforeLines="30" w:afterLines="30" w:line="400" w:lineRule="exact"/>
      <w:jc w:val="left"/>
    </w:pPr>
    <w:rPr>
      <w:rFonts w:ascii="Arial" w:hAnsi="Arial" w:eastAsia="黑体" w:cstheme="majorBidi"/>
      <w:spacing w:val="10"/>
      <w:w w:val="90"/>
      <w:kern w:val="21"/>
      <w:szCs w:val="20"/>
    </w:rPr>
  </w:style>
  <w:style w:type="paragraph" w:customStyle="1" w:styleId="3405">
    <w:name w:val="我的样式"/>
    <w:basedOn w:val="1"/>
    <w:autoRedefine/>
    <w:qFormat/>
    <w:uiPriority w:val="0"/>
    <w:pPr>
      <w:widowControl/>
      <w:spacing w:line="360" w:lineRule="auto"/>
      <w:ind w:firstLine="230" w:firstLineChars="230"/>
      <w:jc w:val="left"/>
    </w:pPr>
    <w:rPr>
      <w:rFonts w:cstheme="majorBidi"/>
      <w:kern w:val="0"/>
      <w:szCs w:val="20"/>
    </w:rPr>
  </w:style>
  <w:style w:type="paragraph" w:customStyle="1" w:styleId="3406">
    <w:name w:val="目录4"/>
    <w:basedOn w:val="44"/>
    <w:next w:val="1"/>
    <w:autoRedefine/>
    <w:qFormat/>
    <w:uiPriority w:val="0"/>
    <w:pPr>
      <w:widowControl/>
      <w:tabs>
        <w:tab w:val="right" w:leader="dot" w:pos="8313"/>
      </w:tabs>
      <w:autoSpaceDE w:val="0"/>
      <w:autoSpaceDN w:val="0"/>
      <w:spacing w:line="360" w:lineRule="auto"/>
      <w:ind w:firstLine="1531" w:firstLineChars="200"/>
    </w:pPr>
    <w:rPr>
      <w:rFonts w:hAnsi="Times New Roman" w:eastAsia="仿宋体" w:cstheme="majorBidi"/>
      <w:b/>
      <w:bCs/>
      <w:i w:val="0"/>
      <w:kern w:val="0"/>
      <w:sz w:val="28"/>
    </w:rPr>
  </w:style>
  <w:style w:type="paragraph" w:customStyle="1" w:styleId="3407">
    <w:name w:val="xl145"/>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center"/>
    </w:pPr>
    <w:rPr>
      <w:rFonts w:ascii="宋体" w:hAnsi="宋体" w:cs="宋体"/>
      <w:kern w:val="0"/>
      <w:sz w:val="20"/>
      <w:szCs w:val="20"/>
    </w:rPr>
  </w:style>
  <w:style w:type="paragraph" w:customStyle="1" w:styleId="3408">
    <w:name w:val="正文样式3"/>
    <w:basedOn w:val="1"/>
    <w:autoRedefine/>
    <w:uiPriority w:val="0"/>
    <w:pPr>
      <w:widowControl/>
      <w:adjustRightInd w:val="0"/>
      <w:spacing w:line="20" w:lineRule="atLeast"/>
      <w:jc w:val="center"/>
    </w:pPr>
    <w:rPr>
      <w:rFonts w:cstheme="majorBidi"/>
      <w:kern w:val="0"/>
      <w:szCs w:val="20"/>
    </w:rPr>
  </w:style>
  <w:style w:type="paragraph" w:customStyle="1" w:styleId="3409">
    <w:name w:val="Char1 Char Char Char1"/>
    <w:basedOn w:val="1"/>
    <w:autoRedefine/>
    <w:qFormat/>
    <w:uiPriority w:val="0"/>
    <w:pPr>
      <w:widowControl/>
      <w:spacing w:line="360" w:lineRule="auto"/>
      <w:jc w:val="left"/>
    </w:pPr>
    <w:rPr>
      <w:rFonts w:cstheme="majorBidi"/>
      <w:kern w:val="0"/>
    </w:rPr>
  </w:style>
  <w:style w:type="paragraph" w:customStyle="1" w:styleId="3410">
    <w:name w:val="Char Char Char Char Char Char1 Char Char Char Char"/>
    <w:basedOn w:val="1"/>
    <w:qFormat/>
    <w:uiPriority w:val="0"/>
    <w:pPr>
      <w:widowControl/>
      <w:spacing w:after="160" w:line="240" w:lineRule="exact"/>
      <w:jc w:val="left"/>
    </w:pPr>
    <w:rPr>
      <w:rFonts w:ascii="Verdana" w:hAnsi="Verdana" w:eastAsia="仿宋_GB2312" w:cstheme="majorBidi"/>
      <w:kern w:val="0"/>
      <w:sz w:val="30"/>
      <w:szCs w:val="30"/>
      <w:lang w:eastAsia="en-US"/>
    </w:rPr>
  </w:style>
  <w:style w:type="paragraph" w:customStyle="1" w:styleId="3411">
    <w:name w:val="xl13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textAlignment w:val="bottom"/>
    </w:pPr>
    <w:rPr>
      <w:rFonts w:ascii="宋体" w:hAnsi="宋体" w:cs="宋体"/>
      <w:kern w:val="0"/>
      <w:sz w:val="20"/>
      <w:szCs w:val="20"/>
    </w:rPr>
  </w:style>
  <w:style w:type="paragraph" w:customStyle="1" w:styleId="3412">
    <w:name w:val="xl149"/>
    <w:basedOn w:val="1"/>
    <w:autoRedefine/>
    <w:uiPriority w:val="0"/>
    <w:pPr>
      <w:widowControl/>
      <w:pBdr>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sz w:val="20"/>
      <w:szCs w:val="20"/>
    </w:rPr>
  </w:style>
  <w:style w:type="paragraph" w:customStyle="1" w:styleId="3413">
    <w:name w:val="xl14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left"/>
    </w:pPr>
    <w:rPr>
      <w:rFonts w:ascii="宋体" w:hAnsi="宋体" w:cs="宋体"/>
      <w:kern w:val="0"/>
      <w:sz w:val="20"/>
      <w:szCs w:val="20"/>
    </w:rPr>
  </w:style>
  <w:style w:type="paragraph" w:customStyle="1" w:styleId="3414">
    <w:name w:val="Char Char Char1 Char Char Char Char Char Char"/>
    <w:basedOn w:val="26"/>
    <w:autoRedefine/>
    <w:qFormat/>
    <w:uiPriority w:val="0"/>
    <w:pPr>
      <w:widowControl/>
      <w:adjustRightInd w:val="0"/>
      <w:spacing w:line="436" w:lineRule="exact"/>
      <w:ind w:left="357" w:firstLine="200" w:firstLineChars="200"/>
      <w:jc w:val="left"/>
      <w:outlineLvl w:val="3"/>
    </w:pPr>
    <w:rPr>
      <w:rFonts w:ascii="Tahoma" w:hAnsi="Tahoma" w:cstheme="majorBidi"/>
      <w:b/>
      <w:kern w:val="0"/>
      <w:sz w:val="21"/>
      <w:szCs w:val="20"/>
    </w:rPr>
  </w:style>
  <w:style w:type="paragraph" w:customStyle="1" w:styleId="3415">
    <w:name w:val="正文（使用）"/>
    <w:basedOn w:val="21"/>
    <w:qFormat/>
    <w:uiPriority w:val="0"/>
    <w:pPr>
      <w:widowControl/>
      <w:spacing w:line="180" w:lineRule="auto"/>
      <w:ind w:firstLine="520"/>
    </w:pPr>
    <w:rPr>
      <w:rFonts w:ascii="宋体" w:hAnsi="宋体" w:cstheme="majorBidi"/>
      <w:spacing w:val="8"/>
      <w:kern w:val="0"/>
    </w:rPr>
  </w:style>
  <w:style w:type="paragraph" w:customStyle="1" w:styleId="3416">
    <w:name w:val="xl15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szCs w:val="21"/>
    </w:rPr>
  </w:style>
  <w:style w:type="paragraph" w:customStyle="1" w:styleId="3417">
    <w:name w:val="Char Char Char1 Char Char Char"/>
    <w:basedOn w:val="1"/>
    <w:autoRedefine/>
    <w:qFormat/>
    <w:uiPriority w:val="0"/>
    <w:pPr>
      <w:widowControl/>
      <w:spacing w:line="360" w:lineRule="auto"/>
      <w:jc w:val="left"/>
    </w:pPr>
    <w:rPr>
      <w:rFonts w:ascii="宋体" w:cs="宋体"/>
      <w:kern w:val="0"/>
      <w:szCs w:val="20"/>
    </w:rPr>
  </w:style>
  <w:style w:type="paragraph" w:customStyle="1" w:styleId="3418">
    <w:name w:val="环调标题"/>
    <w:basedOn w:val="3"/>
    <w:autoRedefine/>
    <w:qFormat/>
    <w:uiPriority w:val="0"/>
    <w:pPr>
      <w:keepNext w:val="0"/>
      <w:widowControl/>
      <w:numPr>
        <w:numId w:val="0"/>
      </w:numPr>
      <w:tabs>
        <w:tab w:val="clear" w:pos="0"/>
      </w:tabs>
      <w:snapToGrid w:val="0"/>
      <w:spacing w:before="340" w:beforeLines="100" w:after="330" w:afterLines="100" w:line="360" w:lineRule="auto"/>
      <w:ind w:firstLine="200"/>
      <w:contextualSpacing/>
    </w:pPr>
    <w:rPr>
      <w:rFonts w:ascii="Calibri" w:hAnsi="Calibri" w:eastAsia="宋体" w:cs="Arial"/>
      <w:smallCaps/>
      <w:spacing w:val="5"/>
      <w:kern w:val="32"/>
    </w:rPr>
  </w:style>
  <w:style w:type="paragraph" w:customStyle="1" w:styleId="3419">
    <w:name w:val="Char Char2 Char Char Char Char Char Char Char"/>
    <w:basedOn w:val="1"/>
    <w:autoRedefine/>
    <w:qFormat/>
    <w:uiPriority w:val="0"/>
    <w:pPr>
      <w:widowControl/>
      <w:spacing w:line="360" w:lineRule="auto"/>
      <w:jc w:val="left"/>
    </w:pPr>
    <w:rPr>
      <w:rFonts w:ascii="宋体" w:cs="宋体"/>
      <w:kern w:val="0"/>
      <w:szCs w:val="20"/>
    </w:rPr>
  </w:style>
  <w:style w:type="paragraph" w:customStyle="1" w:styleId="3420">
    <w:name w:val="a0"/>
    <w:basedOn w:val="1"/>
    <w:autoRedefine/>
    <w:qFormat/>
    <w:uiPriority w:val="0"/>
    <w:pPr>
      <w:widowControl/>
      <w:spacing w:before="100" w:beforeAutospacing="1" w:after="100" w:afterAutospacing="1" w:line="360" w:lineRule="auto"/>
      <w:jc w:val="left"/>
    </w:pPr>
    <w:rPr>
      <w:rFonts w:ascii="宋体" w:cs="宋体"/>
      <w:color w:val="000000"/>
      <w:kern w:val="0"/>
      <w:szCs w:val="20"/>
    </w:rPr>
  </w:style>
  <w:style w:type="paragraph" w:customStyle="1" w:styleId="3421">
    <w:name w:val="样式128"/>
    <w:basedOn w:val="3206"/>
    <w:autoRedefine/>
    <w:qFormat/>
    <w:uiPriority w:val="0"/>
    <w:pPr>
      <w:snapToGrid w:val="0"/>
      <w:spacing w:beforeLines="0" w:afterLines="0" w:line="240" w:lineRule="atLeast"/>
      <w:ind w:firstLine="0"/>
      <w:jc w:val="center"/>
    </w:pPr>
    <w:rPr>
      <w:color w:val="000000"/>
      <w:szCs w:val="28"/>
      <w:u w:val="none"/>
    </w:rPr>
  </w:style>
  <w:style w:type="paragraph" w:customStyle="1" w:styleId="3422">
    <w:name w:val="p9"/>
    <w:basedOn w:val="1"/>
    <w:autoRedefine/>
    <w:uiPriority w:val="0"/>
    <w:pPr>
      <w:widowControl/>
      <w:spacing w:before="100" w:beforeAutospacing="1" w:after="100" w:afterAutospacing="1" w:line="320" w:lineRule="atLeast"/>
      <w:jc w:val="left"/>
    </w:pPr>
    <w:rPr>
      <w:rFonts w:ascii="Arial Unicode MS" w:hAnsi="Arial Unicode MS" w:eastAsia="Arial Unicode MS" w:cstheme="majorBidi"/>
      <w:kern w:val="0"/>
      <w:sz w:val="18"/>
      <w:szCs w:val="20"/>
    </w:rPr>
  </w:style>
  <w:style w:type="paragraph" w:customStyle="1" w:styleId="3423">
    <w:name w:val="Char4 Char Char Char Char Char Char1"/>
    <w:basedOn w:val="1"/>
    <w:autoRedefine/>
    <w:uiPriority w:val="0"/>
    <w:pPr>
      <w:widowControl/>
      <w:spacing w:line="360" w:lineRule="auto"/>
      <w:jc w:val="left"/>
    </w:pPr>
    <w:rPr>
      <w:rFonts w:ascii="宋体" w:hAnsi="宋体" w:cs="宋体"/>
      <w:kern w:val="0"/>
    </w:rPr>
  </w:style>
  <w:style w:type="paragraph" w:customStyle="1" w:styleId="3424">
    <w:name w:val="图表文字"/>
    <w:basedOn w:val="21"/>
    <w:autoRedefine/>
    <w:qFormat/>
    <w:uiPriority w:val="0"/>
    <w:pPr>
      <w:widowControl/>
      <w:ind w:firstLine="200"/>
    </w:pPr>
    <w:rPr>
      <w:rFonts w:ascii="Calibri" w:hAnsi="Calibri" w:cstheme="majorBidi"/>
      <w:kern w:val="0"/>
      <w:sz w:val="21"/>
      <w:szCs w:val="21"/>
    </w:rPr>
  </w:style>
  <w:style w:type="paragraph" w:customStyle="1" w:styleId="3425">
    <w:name w:val="13"/>
    <w:basedOn w:val="1"/>
    <w:next w:val="45"/>
    <w:autoRedefine/>
    <w:qFormat/>
    <w:uiPriority w:val="0"/>
    <w:pPr>
      <w:widowControl/>
      <w:spacing w:line="312" w:lineRule="auto"/>
      <w:ind w:firstLine="624"/>
      <w:jc w:val="left"/>
    </w:pPr>
    <w:rPr>
      <w:rFonts w:hint="eastAsia" w:ascii="宋体" w:hAnsi="Courier New" w:cstheme="majorBidi"/>
      <w:w w:val="110"/>
      <w:kern w:val="0"/>
    </w:rPr>
  </w:style>
  <w:style w:type="paragraph" w:customStyle="1" w:styleId="3426">
    <w:name w:val="表标头"/>
    <w:basedOn w:val="1"/>
    <w:autoRedefine/>
    <w:qFormat/>
    <w:uiPriority w:val="0"/>
    <w:pPr>
      <w:widowControl/>
      <w:spacing w:before="60" w:after="60" w:line="240" w:lineRule="atLeast"/>
      <w:jc w:val="center"/>
    </w:pPr>
    <w:rPr>
      <w:rFonts w:cs="Arial"/>
      <w:b/>
      <w:bCs/>
      <w:kern w:val="0"/>
      <w:szCs w:val="22"/>
    </w:rPr>
  </w:style>
  <w:style w:type="character" w:customStyle="1" w:styleId="3427">
    <w:name w:val="列表项目符号 字符"/>
    <w:link w:val="24"/>
    <w:autoRedefine/>
    <w:uiPriority w:val="0"/>
    <w:rPr>
      <w:rFonts w:ascii="宋体"/>
      <w:kern w:val="2"/>
      <w:sz w:val="24"/>
      <w:szCs w:val="24"/>
    </w:rPr>
  </w:style>
  <w:style w:type="character" w:customStyle="1" w:styleId="3428">
    <w:name w:val="引用 Char2"/>
    <w:basedOn w:val="133"/>
    <w:autoRedefine/>
    <w:qFormat/>
    <w:uiPriority w:val="99"/>
    <w:rPr>
      <w:i/>
      <w:iCs/>
      <w:color w:val="000000" w:themeColor="text1"/>
      <w14:textFill>
        <w14:solidFill>
          <w14:schemeClr w14:val="tx1"/>
        </w14:solidFill>
      </w14:textFill>
    </w:rPr>
  </w:style>
  <w:style w:type="character" w:customStyle="1" w:styleId="3429">
    <w:name w:val="明显引用 Char2"/>
    <w:basedOn w:val="133"/>
    <w:autoRedefine/>
    <w:qFormat/>
    <w:uiPriority w:val="99"/>
    <w:rPr>
      <w:b/>
      <w:bCs/>
      <w:i/>
      <w:iCs/>
      <w:color w:val="5B9BD5" w:themeColor="accent1"/>
      <w14:textFill>
        <w14:solidFill>
          <w14:schemeClr w14:val="accent1"/>
        </w14:solidFill>
      </w14:textFill>
    </w:rPr>
  </w:style>
  <w:style w:type="paragraph" w:customStyle="1" w:styleId="3430">
    <w:name w:val="格式-表格"/>
    <w:basedOn w:val="1"/>
    <w:link w:val="3431"/>
    <w:autoRedefine/>
    <w:qFormat/>
    <w:uiPriority w:val="0"/>
    <w:pPr>
      <w:widowControl/>
      <w:jc w:val="center"/>
    </w:pPr>
    <w:rPr>
      <w:kern w:val="0"/>
      <w:sz w:val="20"/>
      <w:szCs w:val="21"/>
    </w:rPr>
  </w:style>
  <w:style w:type="character" w:customStyle="1" w:styleId="3431">
    <w:name w:val="格式-表格 Char"/>
    <w:link w:val="3430"/>
    <w:autoRedefine/>
    <w:qFormat/>
    <w:uiPriority w:val="0"/>
    <w:rPr>
      <w:szCs w:val="21"/>
    </w:rPr>
  </w:style>
  <w:style w:type="paragraph" w:customStyle="1" w:styleId="3432">
    <w:name w:val="2  级标题"/>
    <w:basedOn w:val="64"/>
    <w:autoRedefine/>
    <w:qFormat/>
    <w:uiPriority w:val="0"/>
    <w:pPr>
      <w:keepNext/>
      <w:widowControl/>
      <w:numPr>
        <w:ilvl w:val="1"/>
        <w:numId w:val="39"/>
      </w:numPr>
      <w:adjustRightInd w:val="0"/>
      <w:snapToGrid w:val="0"/>
      <w:spacing w:before="260" w:beforeLines="150" w:afterLines="50" w:line="360" w:lineRule="auto"/>
      <w:ind w:left="0" w:firstLine="0" w:firstLineChars="200"/>
      <w:jc w:val="both"/>
    </w:pPr>
    <w:rPr>
      <w:rFonts w:ascii="Times New Roman" w:hAnsi="Times New Roman" w:eastAsia="黑体" w:cs="Times New Roman"/>
      <w:b w:val="0"/>
      <w:iCs/>
      <w:kern w:val="0"/>
      <w:sz w:val="28"/>
      <w:szCs w:val="24"/>
      <w:lang w:val="zh-CN"/>
    </w:rPr>
  </w:style>
  <w:style w:type="paragraph" w:customStyle="1" w:styleId="3433">
    <w:name w:val="1  级标题"/>
    <w:basedOn w:val="84"/>
    <w:autoRedefine/>
    <w:qFormat/>
    <w:uiPriority w:val="0"/>
    <w:pPr>
      <w:numPr>
        <w:ilvl w:val="0"/>
        <w:numId w:val="39"/>
      </w:numPr>
      <w:adjustRightInd w:val="0"/>
      <w:snapToGrid w:val="0"/>
      <w:spacing w:before="340" w:after="330"/>
      <w:ind w:left="0" w:firstLine="0" w:firstLineChars="0"/>
    </w:pPr>
    <w:rPr>
      <w:rFonts w:ascii="Calibri" w:hAnsi="Calibri" w:eastAsia="黑体" w:cs="Calibri"/>
      <w:b w:val="0"/>
      <w:bCs w:val="0"/>
      <w:sz w:val="30"/>
      <w:szCs w:val="20"/>
      <w:lang w:val="zh-CN"/>
    </w:rPr>
  </w:style>
  <w:style w:type="character" w:customStyle="1" w:styleId="3434">
    <w:name w:val="报告书正文-宇宏 Char Char"/>
    <w:link w:val="3435"/>
    <w:autoRedefine/>
    <w:qFormat/>
    <w:uiPriority w:val="0"/>
    <w:rPr>
      <w:kern w:val="2"/>
      <w:sz w:val="24"/>
      <w:szCs w:val="24"/>
    </w:rPr>
  </w:style>
  <w:style w:type="paragraph" w:customStyle="1" w:styleId="3435">
    <w:name w:val="报告书正文-宇宏"/>
    <w:basedOn w:val="1"/>
    <w:link w:val="3434"/>
    <w:qFormat/>
    <w:uiPriority w:val="0"/>
    <w:pPr>
      <w:spacing w:line="480" w:lineRule="exact"/>
    </w:pPr>
  </w:style>
  <w:style w:type="character" w:customStyle="1" w:styleId="3436">
    <w:name w:val="正文（环） Char"/>
    <w:basedOn w:val="133"/>
    <w:link w:val="3437"/>
    <w:autoRedefine/>
    <w:qFormat/>
    <w:locked/>
    <w:uiPriority w:val="0"/>
    <w:rPr>
      <w:rFonts w:cstheme="minorBidi"/>
      <w:kern w:val="2"/>
      <w:sz w:val="24"/>
      <w:szCs w:val="24"/>
    </w:rPr>
  </w:style>
  <w:style w:type="paragraph" w:customStyle="1" w:styleId="3437">
    <w:name w:val="正文（环）"/>
    <w:basedOn w:val="1"/>
    <w:link w:val="3436"/>
    <w:autoRedefine/>
    <w:qFormat/>
    <w:uiPriority w:val="0"/>
    <w:pPr>
      <w:spacing w:line="360" w:lineRule="auto"/>
    </w:pPr>
    <w:rPr>
      <w:rFonts w:cstheme="minorBidi"/>
    </w:rPr>
  </w:style>
  <w:style w:type="character" w:customStyle="1" w:styleId="3438">
    <w:name w:val="fontstyle01"/>
    <w:basedOn w:val="133"/>
    <w:autoRedefine/>
    <w:qFormat/>
    <w:uiPriority w:val="0"/>
    <w:rPr>
      <w:rFonts w:hint="eastAsia" w:ascii="宋体" w:hAnsi="宋体" w:eastAsia="宋体"/>
      <w:color w:val="000000"/>
      <w:sz w:val="24"/>
      <w:szCs w:val="24"/>
    </w:rPr>
  </w:style>
  <w:style w:type="character" w:customStyle="1" w:styleId="3439">
    <w:name w:val="fontstyle21"/>
    <w:basedOn w:val="133"/>
    <w:autoRedefine/>
    <w:qFormat/>
    <w:uiPriority w:val="0"/>
    <w:rPr>
      <w:rFonts w:hint="default" w:ascii="TimesNewRomanPSMT" w:hAnsi="TimesNewRomanPSMT"/>
      <w:color w:val="000000"/>
      <w:sz w:val="24"/>
      <w:szCs w:val="24"/>
    </w:rPr>
  </w:style>
  <w:style w:type="paragraph" w:customStyle="1" w:styleId="3440">
    <w:name w:val="报告正文格式"/>
    <w:basedOn w:val="1"/>
    <w:autoRedefine/>
    <w:qFormat/>
    <w:uiPriority w:val="0"/>
    <w:pPr>
      <w:spacing w:line="360" w:lineRule="auto"/>
      <w:ind w:firstLine="480"/>
    </w:pPr>
    <w:rPr>
      <w:szCs w:val="20"/>
    </w:rPr>
  </w:style>
  <w:style w:type="paragraph" w:customStyle="1" w:styleId="3441">
    <w:name w:val="编号-正文章条4级标题和3级条(不进目录)"/>
    <w:basedOn w:val="1"/>
    <w:autoRedefine/>
    <w:qFormat/>
    <w:uiPriority w:val="0"/>
    <w:pPr>
      <w:outlineLvl w:val="3"/>
    </w:pPr>
    <w:rPr>
      <w:rFonts w:ascii="Arial" w:hAnsi="Arial"/>
    </w:rPr>
  </w:style>
  <w:style w:type="character" w:customStyle="1" w:styleId="3442">
    <w:name w:val="fontstyle11"/>
    <w:basedOn w:val="133"/>
    <w:autoRedefine/>
    <w:qFormat/>
    <w:uiPriority w:val="0"/>
    <w:rPr>
      <w:rFonts w:hint="default" w:ascii="Arial" w:hAnsi="Arial" w:cs="Arial"/>
      <w:color w:val="000000"/>
      <w:sz w:val="22"/>
      <w:szCs w:val="22"/>
    </w:rPr>
  </w:style>
  <w:style w:type="character" w:customStyle="1" w:styleId="3443">
    <w:name w:val="fontstyle31"/>
    <w:basedOn w:val="133"/>
    <w:autoRedefine/>
    <w:qFormat/>
    <w:uiPriority w:val="0"/>
    <w:rPr>
      <w:rFonts w:hint="default" w:ascii="TimesNewRoman" w:hAnsi="TimesNewRoman"/>
      <w:color w:val="000000"/>
      <w:sz w:val="24"/>
      <w:szCs w:val="24"/>
    </w:rPr>
  </w:style>
  <w:style w:type="paragraph" w:customStyle="1" w:styleId="3444">
    <w:name w:val="标准文字"/>
    <w:basedOn w:val="1"/>
    <w:link w:val="3445"/>
    <w:autoRedefine/>
    <w:uiPriority w:val="0"/>
    <w:pPr>
      <w:spacing w:line="360" w:lineRule="auto"/>
      <w:ind w:firstLine="560"/>
    </w:pPr>
    <w:rPr>
      <w:rFonts w:eastAsia="仿宋_GB2312"/>
      <w:kern w:val="0"/>
      <w:sz w:val="28"/>
      <w:szCs w:val="28"/>
    </w:rPr>
  </w:style>
  <w:style w:type="character" w:customStyle="1" w:styleId="3445">
    <w:name w:val="标准文字 Char"/>
    <w:link w:val="3444"/>
    <w:autoRedefine/>
    <w:qFormat/>
    <w:locked/>
    <w:uiPriority w:val="0"/>
    <w:rPr>
      <w:rFonts w:eastAsia="仿宋_GB2312"/>
      <w:sz w:val="28"/>
      <w:szCs w:val="28"/>
    </w:rPr>
  </w:style>
  <w:style w:type="character" w:customStyle="1" w:styleId="3446">
    <w:name w:val="Display Equation (Aurora) Char"/>
    <w:link w:val="3447"/>
    <w:autoRedefine/>
    <w:qFormat/>
    <w:uiPriority w:val="0"/>
    <w:rPr>
      <w:rFonts w:eastAsia="仿宋_GB2312"/>
      <w:color w:val="FF0000"/>
      <w:lang w:bidi="en-US"/>
    </w:rPr>
  </w:style>
  <w:style w:type="paragraph" w:customStyle="1" w:styleId="3447">
    <w:name w:val="Display Equation (Aurora)"/>
    <w:basedOn w:val="1"/>
    <w:link w:val="3446"/>
    <w:autoRedefine/>
    <w:qFormat/>
    <w:uiPriority w:val="0"/>
    <w:pPr>
      <w:tabs>
        <w:tab w:val="center" w:pos="4252"/>
        <w:tab w:val="right" w:pos="8504"/>
      </w:tabs>
      <w:adjustRightInd w:val="0"/>
      <w:ind w:firstLine="480"/>
      <w:textAlignment w:val="baseline"/>
    </w:pPr>
    <w:rPr>
      <w:rFonts w:eastAsia="仿宋_GB2312"/>
      <w:color w:val="FF0000"/>
      <w:kern w:val="0"/>
      <w:sz w:val="20"/>
      <w:szCs w:val="20"/>
      <w:lang w:bidi="en-US"/>
    </w:rPr>
  </w:style>
  <w:style w:type="character" w:customStyle="1" w:styleId="3448">
    <w:name w:val="EIA-正文 Char"/>
    <w:link w:val="3449"/>
    <w:autoRedefine/>
    <w:qFormat/>
    <w:uiPriority w:val="0"/>
    <w:rPr>
      <w:rFonts w:eastAsia="仿宋_GB2312"/>
      <w:lang w:bidi="en-US"/>
    </w:rPr>
  </w:style>
  <w:style w:type="paragraph" w:customStyle="1" w:styleId="3449">
    <w:name w:val="EIA-正文"/>
    <w:basedOn w:val="1"/>
    <w:link w:val="3448"/>
    <w:autoRedefine/>
    <w:qFormat/>
    <w:uiPriority w:val="0"/>
    <w:pPr>
      <w:widowControl/>
      <w:spacing w:line="360" w:lineRule="auto"/>
      <w:jc w:val="left"/>
    </w:pPr>
    <w:rPr>
      <w:rFonts w:eastAsia="仿宋_GB2312"/>
      <w:kern w:val="0"/>
      <w:sz w:val="20"/>
      <w:szCs w:val="20"/>
      <w:lang w:bidi="en-US"/>
    </w:rPr>
  </w:style>
  <w:style w:type="character" w:customStyle="1" w:styleId="3450">
    <w:name w:val="表格正文（环） Char"/>
    <w:link w:val="3451"/>
    <w:autoRedefine/>
    <w:locked/>
    <w:uiPriority w:val="0"/>
    <w:rPr>
      <w:kern w:val="2"/>
      <w:sz w:val="21"/>
      <w:szCs w:val="24"/>
    </w:rPr>
  </w:style>
  <w:style w:type="paragraph" w:customStyle="1" w:styleId="3451">
    <w:name w:val="表格正文（环）"/>
    <w:basedOn w:val="1"/>
    <w:link w:val="3450"/>
    <w:autoRedefine/>
    <w:qFormat/>
    <w:uiPriority w:val="0"/>
    <w:pPr>
      <w:jc w:val="center"/>
    </w:pPr>
    <w:rPr>
      <w:sz w:val="21"/>
    </w:rPr>
  </w:style>
  <w:style w:type="character" w:customStyle="1" w:styleId="3452">
    <w:name w:val="fontstyle41"/>
    <w:basedOn w:val="133"/>
    <w:autoRedefine/>
    <w:uiPriority w:val="0"/>
    <w:rPr>
      <w:rFonts w:hint="default" w:ascii="TT216o01" w:hAnsi="TT216o01"/>
      <w:color w:val="000000"/>
      <w:sz w:val="24"/>
      <w:szCs w:val="24"/>
    </w:rPr>
  </w:style>
  <w:style w:type="character" w:customStyle="1" w:styleId="3453">
    <w:name w:val="表格正文 Char1"/>
    <w:basedOn w:val="133"/>
    <w:qFormat/>
    <w:uiPriority w:val="0"/>
    <w:rPr>
      <w:rFonts w:ascii="Times New Roman" w:hAnsi="Times New Roman" w:eastAsia="宋体" w:cs="Times New Roman"/>
      <w:color w:val="000000"/>
      <w:kern w:val="0"/>
      <w:sz w:val="20"/>
      <w:szCs w:val="20"/>
    </w:rPr>
  </w:style>
  <w:style w:type="paragraph" w:customStyle="1" w:styleId="3454">
    <w:name w:val="【表格】"/>
    <w:next w:val="86"/>
    <w:autoRedefine/>
    <w:qFormat/>
    <w:uiPriority w:val="0"/>
    <w:pPr>
      <w:jc w:val="center"/>
    </w:pPr>
    <w:rPr>
      <w:rFonts w:ascii="Times New Roman" w:hAnsi="Times New Roman" w:eastAsia="宋体" w:cs="Times New Roman"/>
      <w:sz w:val="21"/>
      <w:szCs w:val="24"/>
      <w:lang w:val="en-US" w:eastAsia="zh-CN" w:bidi="ar-SA"/>
    </w:rPr>
  </w:style>
  <w:style w:type="paragraph" w:customStyle="1" w:styleId="3455">
    <w:name w:val="??"/>
    <w:autoRedefine/>
    <w:qFormat/>
    <w:uiPriority w:val="0"/>
    <w:pPr>
      <w:widowControl w:val="0"/>
      <w:autoSpaceDE w:val="0"/>
      <w:autoSpaceDN w:val="0"/>
      <w:adjustRightInd w:val="0"/>
      <w:spacing w:line="460" w:lineRule="exact"/>
      <w:ind w:firstLine="510"/>
      <w:textAlignment w:val="baseline"/>
    </w:pPr>
    <w:rPr>
      <w:rFonts w:ascii="Times New Roman" w:hAnsi="Times New Roman" w:eastAsia="宋体" w:cs="Times New Roman"/>
      <w:sz w:val="24"/>
      <w:lang w:val="en-US" w:eastAsia="zh-CN" w:bidi="ar-SA"/>
    </w:rPr>
  </w:style>
  <w:style w:type="character" w:customStyle="1" w:styleId="3456">
    <w:name w:val="正文01 Char2"/>
    <w:basedOn w:val="133"/>
    <w:autoRedefine/>
    <w:qFormat/>
    <w:uiPriority w:val="0"/>
    <w:rPr>
      <w:rFonts w:ascii="Times New Roman" w:hAnsi="Times New Roman" w:eastAsia="宋体" w:cs="Times New Roman"/>
      <w:color w:val="000000"/>
      <w:kern w:val="0"/>
      <w:szCs w:val="21"/>
    </w:rPr>
  </w:style>
  <w:style w:type="paragraph" w:customStyle="1" w:styleId="3457">
    <w:name w:val="正文2020"/>
    <w:basedOn w:val="1"/>
    <w:autoRedefine/>
    <w:qFormat/>
    <w:uiPriority w:val="0"/>
    <w:pPr>
      <w:spacing w:line="360" w:lineRule="auto"/>
    </w:pPr>
    <w:rPr>
      <w:szCs w:val="22"/>
      <w:lang w:bidi="en-US"/>
    </w:rPr>
  </w:style>
  <w:style w:type="character" w:customStyle="1" w:styleId="3458">
    <w:name w:val="未处理的提及1"/>
    <w:basedOn w:val="133"/>
    <w:autoRedefine/>
    <w:unhideWhenUsed/>
    <w:qFormat/>
    <w:uiPriority w:val="99"/>
    <w:rPr>
      <w:color w:val="605E5C"/>
      <w:shd w:val="clear" w:color="auto" w:fill="E1DFDD"/>
    </w:rPr>
  </w:style>
  <w:style w:type="paragraph" w:customStyle="1" w:styleId="3459">
    <w:name w:val="1图标题"/>
    <w:basedOn w:val="1"/>
    <w:next w:val="1"/>
    <w:autoRedefine/>
    <w:qFormat/>
    <w:uiPriority w:val="0"/>
    <w:pPr>
      <w:widowControl/>
      <w:spacing w:afterLines="50" w:line="360" w:lineRule="auto"/>
      <w:ind w:firstLine="0" w:firstLineChars="0"/>
      <w:jc w:val="center"/>
    </w:pPr>
    <w:rPr>
      <w:rFonts w:eastAsia="黑体"/>
      <w:kern w:val="0"/>
      <w:sz w:val="21"/>
    </w:rPr>
  </w:style>
  <w:style w:type="character" w:customStyle="1" w:styleId="3460">
    <w:name w:val="未处理的提及2"/>
    <w:basedOn w:val="133"/>
    <w:autoRedefine/>
    <w:unhideWhenUsed/>
    <w:qFormat/>
    <w:uiPriority w:val="99"/>
    <w:rPr>
      <w:color w:val="605E5C"/>
      <w:shd w:val="clear" w:color="auto" w:fill="E1DFDD"/>
    </w:rPr>
  </w:style>
  <w:style w:type="character" w:customStyle="1" w:styleId="3461">
    <w:name w:val="不明显参考11"/>
    <w:autoRedefine/>
    <w:qFormat/>
    <w:uiPriority w:val="31"/>
    <w:rPr>
      <w:smallCaps/>
      <w:color w:val="5A5A5A"/>
    </w:rPr>
  </w:style>
  <w:style w:type="character" w:customStyle="1" w:styleId="3462">
    <w:name w:val="明显强调31"/>
    <w:autoRedefine/>
    <w:qFormat/>
    <w:uiPriority w:val="21"/>
    <w:rPr>
      <w:i/>
      <w:iCs/>
      <w:caps/>
      <w:spacing w:val="10"/>
      <w:sz w:val="20"/>
      <w:szCs w:val="20"/>
    </w:rPr>
  </w:style>
  <w:style w:type="paragraph" w:customStyle="1" w:styleId="3463">
    <w:name w:val="z-窗体顶端21"/>
    <w:basedOn w:val="1"/>
    <w:next w:val="1"/>
    <w:autoRedefine/>
    <w:semiHidden/>
    <w:unhideWhenUsed/>
    <w:qFormat/>
    <w:uiPriority w:val="0"/>
    <w:pPr>
      <w:pBdr>
        <w:bottom w:val="single" w:color="auto" w:sz="6" w:space="1"/>
      </w:pBdr>
      <w:adjustRightInd w:val="0"/>
      <w:snapToGrid w:val="0"/>
      <w:spacing w:line="360" w:lineRule="auto"/>
      <w:ind w:firstLine="210" w:firstLineChars="210"/>
      <w:jc w:val="center"/>
    </w:pPr>
    <w:rPr>
      <w:rFonts w:ascii="Arial" w:hAnsi="Arial" w:cs="Arial"/>
      <w:vanish/>
      <w:sz w:val="16"/>
      <w:szCs w:val="16"/>
    </w:rPr>
  </w:style>
  <w:style w:type="character" w:customStyle="1" w:styleId="3464">
    <w:name w:val="未处理的提及22"/>
    <w:basedOn w:val="133"/>
    <w:autoRedefine/>
    <w:semiHidden/>
    <w:unhideWhenUsed/>
    <w:qFormat/>
    <w:uiPriority w:val="99"/>
    <w:rPr>
      <w:color w:val="605E5C"/>
      <w:shd w:val="clear" w:color="auto" w:fill="E1DFDD"/>
    </w:rPr>
  </w:style>
  <w:style w:type="paragraph" w:customStyle="1" w:styleId="3465">
    <w:name w:val="正正文"/>
    <w:basedOn w:val="1"/>
    <w:link w:val="3466"/>
    <w:autoRedefine/>
    <w:qFormat/>
    <w:uiPriority w:val="0"/>
    <w:pPr>
      <w:widowControl/>
      <w:spacing w:line="360" w:lineRule="exact"/>
      <w:jc w:val="left"/>
    </w:pPr>
    <w:rPr>
      <w:kern w:val="0"/>
      <w:sz w:val="21"/>
      <w:szCs w:val="21"/>
    </w:rPr>
  </w:style>
  <w:style w:type="character" w:customStyle="1" w:styleId="3466">
    <w:name w:val="正正文 字符"/>
    <w:link w:val="3465"/>
    <w:autoRedefine/>
    <w:qFormat/>
    <w:uiPriority w:val="0"/>
    <w:rPr>
      <w:sz w:val="21"/>
      <w:szCs w:val="21"/>
    </w:rPr>
  </w:style>
  <w:style w:type="character" w:customStyle="1" w:styleId="3467">
    <w:name w:val="表中文字 字符"/>
    <w:link w:val="1940"/>
    <w:autoRedefine/>
    <w:qFormat/>
    <w:uiPriority w:val="0"/>
    <w:rPr>
      <w:sz w:val="21"/>
      <w:szCs w:val="21"/>
      <w:lang w:eastAsia="zh-TW"/>
    </w:rPr>
  </w:style>
  <w:style w:type="paragraph" w:customStyle="1" w:styleId="3468">
    <w:name w:val="小表格中内容"/>
    <w:basedOn w:val="1"/>
    <w:autoRedefine/>
    <w:qFormat/>
    <w:uiPriority w:val="0"/>
    <w:pPr>
      <w:shd w:val="solid" w:color="FFFFFF" w:fill="auto"/>
      <w:tabs>
        <w:tab w:val="left" w:pos="960"/>
      </w:tabs>
      <w:autoSpaceDN w:val="0"/>
      <w:ind w:firstLine="0" w:firstLineChars="0"/>
      <w:jc w:val="center"/>
    </w:pPr>
    <w:rPr>
      <w:rFonts w:ascii="宋体" w:hAnsi="宋体"/>
      <w:kern w:val="0"/>
      <w:sz w:val="21"/>
      <w:szCs w:val="21"/>
      <w:lang w:eastAsia="en-US"/>
    </w:rPr>
  </w:style>
  <w:style w:type="table" w:customStyle="1" w:styleId="3469">
    <w:name w:val="网格型7"/>
    <w:basedOn w:val="88"/>
    <w:autoRedefine/>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0">
    <w:name w:val="TableGrid1"/>
    <w:autoRedefine/>
    <w:qFormat/>
    <w:uiPriority w:val="0"/>
    <w:rPr>
      <w:rFonts w:ascii="等线" w:hAnsi="等线" w:eastAsia="等线"/>
      <w:kern w:val="2"/>
      <w:sz w:val="21"/>
      <w:szCs w:val="22"/>
    </w:rPr>
    <w:tblPr>
      <w:tblCellMar>
        <w:top w:w="0" w:type="dxa"/>
        <w:left w:w="0" w:type="dxa"/>
        <w:bottom w:w="0" w:type="dxa"/>
        <w:right w:w="0" w:type="dxa"/>
      </w:tblCellMar>
    </w:tblPr>
  </w:style>
  <w:style w:type="character" w:customStyle="1" w:styleId="3471">
    <w:name w:val="未处理的提及21"/>
    <w:basedOn w:val="133"/>
    <w:autoRedefine/>
    <w:unhideWhenUsed/>
    <w:qFormat/>
    <w:uiPriority w:val="99"/>
    <w:rPr>
      <w:color w:val="605E5C"/>
      <w:shd w:val="clear" w:color="auto" w:fill="E1DFDD"/>
    </w:rPr>
  </w:style>
  <w:style w:type="table" w:customStyle="1" w:styleId="3472">
    <w:name w:val="111"/>
    <w:basedOn w:val="89"/>
    <w:autoRedefine/>
    <w:qFormat/>
    <w:uiPriority w:val="0"/>
    <w:pPr>
      <w:jc w:val="center"/>
    </w:pPr>
    <w:rPr>
      <w:rFonts w:ascii="Times New Roman" w:hAnsi="Times New Roman" w:eastAsia="Times New Roman" w:cs="Times New Roman"/>
      <w:sz w:val="21"/>
      <w:szCs w:val="21"/>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cPr>
      <w:vAlign w:val="center"/>
    </w:tcPr>
  </w:style>
  <w:style w:type="character" w:customStyle="1" w:styleId="3473">
    <w:name w:val="15"/>
    <w:basedOn w:val="133"/>
    <w:autoRedefine/>
    <w:qFormat/>
    <w:uiPriority w:val="0"/>
    <w:rPr>
      <w:rFonts w:hint="default" w:ascii="Times New Roman" w:hAnsi="Times New Roman" w:cs="Times New Roman"/>
      <w:sz w:val="24"/>
      <w:szCs w:val="24"/>
    </w:rPr>
  </w:style>
  <w:style w:type="paragraph" w:customStyle="1" w:styleId="3474">
    <w:name w:val="默认段落"/>
    <w:basedOn w:val="1"/>
    <w:autoRedefine/>
    <w:qFormat/>
    <w:uiPriority w:val="0"/>
    <w:pPr>
      <w:topLinePunct/>
      <w:adjustRightInd w:val="0"/>
      <w:snapToGrid w:val="0"/>
      <w:spacing w:line="360" w:lineRule="auto"/>
    </w:pPr>
    <w:rPr>
      <w:rFonts w:ascii="Calibri" w:hAnsi="Calibri"/>
      <w:kern w:val="0"/>
    </w:rPr>
  </w:style>
  <w:style w:type="character" w:customStyle="1" w:styleId="3475">
    <w:name w:val="表格文字112 Char"/>
    <w:link w:val="3476"/>
    <w:autoRedefine/>
    <w:qFormat/>
    <w:locked/>
    <w:uiPriority w:val="0"/>
    <w:rPr>
      <w:sz w:val="21"/>
      <w:szCs w:val="24"/>
    </w:rPr>
  </w:style>
  <w:style w:type="paragraph" w:customStyle="1" w:styleId="3476">
    <w:name w:val="表格文字112"/>
    <w:basedOn w:val="1"/>
    <w:link w:val="3475"/>
    <w:autoRedefine/>
    <w:qFormat/>
    <w:uiPriority w:val="0"/>
    <w:pPr>
      <w:wordWrap w:val="0"/>
      <w:autoSpaceDE w:val="0"/>
      <w:autoSpaceDN w:val="0"/>
      <w:adjustRightInd w:val="0"/>
      <w:ind w:firstLine="0" w:firstLineChars="0"/>
      <w:jc w:val="center"/>
    </w:pPr>
    <w:rPr>
      <w:kern w:val="0"/>
      <w:sz w:val="21"/>
    </w:rPr>
  </w:style>
  <w:style w:type="paragraph" w:customStyle="1" w:styleId="3477">
    <w:name w:val="Char Char1 Char Char"/>
    <w:basedOn w:val="1"/>
    <w:uiPriority w:val="0"/>
    <w:pPr>
      <w:ind w:firstLine="0" w:firstLineChars="0"/>
    </w:pPr>
    <w:rPr>
      <w:sz w:val="28"/>
      <w:szCs w:val="28"/>
    </w:rPr>
  </w:style>
  <w:style w:type="character" w:customStyle="1" w:styleId="3478">
    <w:name w:val="f14"/>
    <w:uiPriority w:val="0"/>
  </w:style>
  <w:style w:type="character" w:customStyle="1" w:styleId="3479">
    <w:name w:val="报告书正文 Char Char Char Char"/>
    <w:qFormat/>
    <w:uiPriority w:val="0"/>
    <w:rPr>
      <w:rFonts w:ascii="宋体" w:hAnsi="宋体" w:eastAsia="宋体"/>
      <w:kern w:val="2"/>
      <w:sz w:val="24"/>
      <w:szCs w:val="24"/>
      <w:lang w:val="en-US" w:eastAsia="zh-CN" w:bidi="ar-SA"/>
    </w:rPr>
  </w:style>
  <w:style w:type="paragraph" w:customStyle="1" w:styleId="3480">
    <w:name w:val="GH1文本04"/>
    <w:uiPriority w:val="0"/>
    <w:pPr>
      <w:spacing w:line="360" w:lineRule="auto"/>
    </w:pPr>
    <w:rPr>
      <w:rFonts w:ascii="Times New Roman" w:hAnsi="Times New Roman" w:eastAsia="宋体" w:cs="Times New Roman"/>
      <w:lang w:val="en-US" w:eastAsia="zh-CN" w:bidi="ar-SA"/>
    </w:rPr>
  </w:style>
  <w:style w:type="character" w:customStyle="1" w:styleId="3481">
    <w:name w:val="style4"/>
    <w:uiPriority w:val="0"/>
  </w:style>
  <w:style w:type="paragraph" w:customStyle="1" w:styleId="3482">
    <w:name w:val="表哥哥"/>
    <w:basedOn w:val="1"/>
    <w:link w:val="3483"/>
    <w:uiPriority w:val="0"/>
    <w:pPr>
      <w:adjustRightInd w:val="0"/>
      <w:snapToGrid w:val="0"/>
      <w:spacing w:line="120" w:lineRule="atLeast"/>
      <w:ind w:firstLine="0" w:firstLineChars="0"/>
      <w:jc w:val="center"/>
    </w:pPr>
    <w:rPr>
      <w:sz w:val="21"/>
      <w:szCs w:val="21"/>
    </w:rPr>
  </w:style>
  <w:style w:type="character" w:customStyle="1" w:styleId="3483">
    <w:name w:val="表哥哥 Char"/>
    <w:link w:val="3482"/>
    <w:qFormat/>
    <w:uiPriority w:val="0"/>
    <w:rPr>
      <w:kern w:val="2"/>
      <w:sz w:val="21"/>
      <w:szCs w:val="21"/>
    </w:rPr>
  </w:style>
  <w:style w:type="paragraph" w:customStyle="1" w:styleId="3484">
    <w:name w:val="样式 三级标题 + 四号 非加粗"/>
    <w:basedOn w:val="1"/>
    <w:uiPriority w:val="0"/>
    <w:pPr>
      <w:keepNext/>
      <w:keepLines/>
      <w:spacing w:before="62" w:after="62" w:line="360" w:lineRule="auto"/>
      <w:ind w:firstLine="0" w:firstLineChars="0"/>
      <w:jc w:val="left"/>
      <w:outlineLvl w:val="2"/>
    </w:pPr>
    <w:rPr>
      <w:rFonts w:cs="宋体"/>
      <w:b/>
      <w:sz w:val="28"/>
      <w:szCs w:val="20"/>
    </w:rPr>
  </w:style>
  <w:style w:type="paragraph" w:customStyle="1" w:styleId="3485">
    <w:name w:val="正正正"/>
    <w:basedOn w:val="86"/>
    <w:link w:val="3486"/>
    <w:qFormat/>
    <w:uiPriority w:val="0"/>
    <w:pPr>
      <w:widowControl/>
      <w:adjustRightInd/>
      <w:snapToGrid/>
      <w:spacing w:line="360" w:lineRule="auto"/>
    </w:pPr>
    <w:rPr>
      <w:color w:val="000000"/>
      <w:kern w:val="0"/>
      <w:sz w:val="24"/>
    </w:rPr>
  </w:style>
  <w:style w:type="character" w:customStyle="1" w:styleId="3486">
    <w:name w:val="正正正 Char"/>
    <w:link w:val="3485"/>
    <w:qFormat/>
    <w:uiPriority w:val="0"/>
    <w:rPr>
      <w:color w:val="000000"/>
      <w:sz w:val="24"/>
      <w:szCs w:val="24"/>
    </w:rPr>
  </w:style>
  <w:style w:type="paragraph" w:customStyle="1" w:styleId="3487">
    <w:name w:val="超伦表头"/>
    <w:basedOn w:val="22"/>
    <w:uiPriority w:val="0"/>
    <w:pPr>
      <w:adjustRightInd w:val="0"/>
      <w:spacing w:after="0" w:line="240" w:lineRule="auto"/>
      <w:ind w:firstLine="0" w:firstLineChars="0"/>
    </w:pPr>
    <w:rPr>
      <w:rFonts w:eastAsia="宋体"/>
      <w:b/>
      <w:sz w:val="21"/>
      <w:szCs w:val="24"/>
      <w14:ligatures w14:val="none"/>
    </w:rPr>
  </w:style>
  <w:style w:type="table" w:customStyle="1" w:styleId="3488">
    <w:name w:val="网格型11"/>
    <w:basedOn w:val="8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489">
    <w:name w:val="【正文】"/>
    <w:basedOn w:val="1"/>
    <w:link w:val="3490"/>
    <w:uiPriority w:val="0"/>
    <w:pPr>
      <w:spacing w:before="120" w:after="120" w:line="312" w:lineRule="auto"/>
    </w:pPr>
    <w:rPr>
      <w:kern w:val="0"/>
      <w:szCs w:val="20"/>
      <w:lang w:val="zh-CN"/>
    </w:rPr>
  </w:style>
  <w:style w:type="character" w:customStyle="1" w:styleId="3490">
    <w:name w:val="【正文】 Char"/>
    <w:link w:val="3489"/>
    <w:uiPriority w:val="0"/>
    <w:rPr>
      <w:sz w:val="24"/>
      <w:lang w:val="zh-CN"/>
    </w:rPr>
  </w:style>
  <w:style w:type="paragraph" w:customStyle="1" w:styleId="3491">
    <w:name w:val="_Style 5"/>
    <w:basedOn w:val="1"/>
    <w:uiPriority w:val="0"/>
    <w:pPr>
      <w:widowControl/>
      <w:spacing w:line="360" w:lineRule="auto"/>
      <w:jc w:val="left"/>
    </w:pPr>
    <w:rPr>
      <w:rFonts w:ascii="宋体" w:hAnsi="宋体" w:cs="宋体"/>
      <w:kern w:val="0"/>
    </w:rPr>
  </w:style>
  <w:style w:type="paragraph" w:customStyle="1" w:styleId="3492">
    <w:name w:val="图表标题"/>
    <w:basedOn w:val="1060"/>
    <w:qFormat/>
    <w:uiPriority w:val="0"/>
    <w:pPr>
      <w:keepNext/>
      <w:widowControl/>
      <w:autoSpaceDE/>
      <w:autoSpaceDN/>
      <w:snapToGrid/>
      <w:spacing w:line="312" w:lineRule="atLeast"/>
      <w:ind w:firstLine="200" w:firstLineChars="200"/>
    </w:pPr>
    <w:rPr>
      <w:rFonts w:ascii="宋体" w:hAnsi="宋体" w:cs="宋体"/>
      <w:b/>
      <w:lang w:bidi="en-US"/>
    </w:rPr>
  </w:style>
  <w:style w:type="character" w:customStyle="1" w:styleId="3493">
    <w:name w:val="表头样式 字符"/>
    <w:qFormat/>
    <w:uiPriority w:val="0"/>
    <w:rPr>
      <w:b/>
      <w:kern w:val="28"/>
      <w:sz w:val="21"/>
      <w:szCs w:val="21"/>
      <w:lang w:val="zh-CN"/>
    </w:rPr>
  </w:style>
  <w:style w:type="paragraph" w:customStyle="1" w:styleId="3494">
    <w:name w:val="Char Char3 Char Char"/>
    <w:basedOn w:val="1"/>
    <w:uiPriority w:val="0"/>
    <w:pPr>
      <w:spacing w:line="360" w:lineRule="auto"/>
    </w:pPr>
    <w:rPr>
      <w:rFonts w:ascii="宋体" w:hAnsi="宋体" w:cs="宋体"/>
    </w:rPr>
  </w:style>
  <w:style w:type="paragraph" w:customStyle="1" w:styleId="3495">
    <w:name w:val="Char Char Char Char Char Char1 Char Char Char1 Char Char Char Char Char Char Char Char Char Char Char Char Char Char Char1 Char Char Char1 Char Char Char Char Char Char1 Char Char Char Char Char Char Char"/>
    <w:basedOn w:val="1"/>
    <w:uiPriority w:val="0"/>
    <w:pPr>
      <w:spacing w:line="360" w:lineRule="auto"/>
    </w:pPr>
    <w:rPr>
      <w:rFonts w:ascii="宋体" w:hAnsi="宋体" w:cs="宋体"/>
    </w:rPr>
  </w:style>
  <w:style w:type="character" w:customStyle="1" w:styleId="3496">
    <w:name w:val="NormalCharacter"/>
    <w:uiPriority w:val="0"/>
  </w:style>
  <w:style w:type="character" w:customStyle="1" w:styleId="3497">
    <w:name w:val="纯文本 字符1"/>
    <w:uiPriority w:val="0"/>
    <w:rPr>
      <w:rFonts w:ascii="宋体" w:hAnsi="Courier New" w:eastAsia="宋体"/>
      <w:kern w:val="2"/>
      <w:sz w:val="21"/>
      <w:lang w:val="en-US" w:eastAsia="zh-CN" w:bidi="ar-SA"/>
    </w:rPr>
  </w:style>
  <w:style w:type="paragraph" w:customStyle="1" w:styleId="3498">
    <w:name w:val="修订2"/>
    <w:unhideWhenUsed/>
    <w:uiPriority w:val="99"/>
    <w:rPr>
      <w:rFonts w:ascii="Times New Roman" w:hAnsi="Times New Roman" w:eastAsia="宋体" w:cs="Times New Roman"/>
      <w:kern w:val="2"/>
      <w:sz w:val="21"/>
      <w:szCs w:val="24"/>
      <w:lang w:val="en-US" w:eastAsia="zh-CN" w:bidi="ar-SA"/>
    </w:rPr>
  </w:style>
  <w:style w:type="character" w:customStyle="1" w:styleId="3499">
    <w:name w:val="标题 7 Char2"/>
    <w:qFormat/>
    <w:uiPriority w:val="9"/>
    <w:rPr>
      <w:rFonts w:ascii="Times New Roman" w:hAnsi="Times New Roman" w:eastAsia="宋体"/>
      <w:b/>
      <w:bCs/>
      <w:kern w:val="2"/>
      <w:sz w:val="24"/>
      <w:szCs w:val="24"/>
    </w:rPr>
  </w:style>
  <w:style w:type="character" w:customStyle="1" w:styleId="3500">
    <w:name w:val="批注文字 Char5"/>
    <w:qFormat/>
    <w:uiPriority w:val="99"/>
    <w:rPr>
      <w:rFonts w:ascii="Calibri" w:hAnsi="Calibri" w:eastAsia="宋体" w:cs="Times New Roman"/>
      <w:kern w:val="0"/>
      <w:sz w:val="24"/>
      <w:lang w:eastAsia="en-US"/>
    </w:rPr>
  </w:style>
  <w:style w:type="character" w:customStyle="1" w:styleId="3501">
    <w:name w:val="纯文本 Char3"/>
    <w:qFormat/>
    <w:uiPriority w:val="0"/>
    <w:rPr>
      <w:rFonts w:ascii="宋体" w:hAnsi="Courier New" w:eastAsia="宋体"/>
      <w:sz w:val="21"/>
      <w:szCs w:val="24"/>
    </w:rPr>
  </w:style>
  <w:style w:type="character" w:customStyle="1" w:styleId="3502">
    <w:name w:val="正文首行缩进 Char4"/>
    <w:qFormat/>
    <w:uiPriority w:val="0"/>
    <w:rPr>
      <w:rFonts w:ascii="Times New Roman" w:hAnsi="Times New Roman" w:eastAsia="宋体"/>
      <w:sz w:val="24"/>
    </w:rPr>
  </w:style>
  <w:style w:type="paragraph" w:customStyle="1" w:styleId="3503">
    <w:name w:val="正文罗"/>
    <w:basedOn w:val="1"/>
    <w:uiPriority w:val="0"/>
    <w:pPr>
      <w:ind w:firstLine="0" w:firstLineChars="0"/>
      <w:jc w:val="left"/>
    </w:pPr>
    <w:rPr>
      <w:rFonts w:ascii="Calibri" w:hAnsi="Calibri" w:cs="宋体"/>
      <w:color w:val="000000"/>
      <w:szCs w:val="22"/>
      <w:lang w:eastAsia="en-US"/>
    </w:rPr>
  </w:style>
  <w:style w:type="paragraph" w:customStyle="1" w:styleId="3504">
    <w:name w:val="21"/>
    <w:basedOn w:val="35"/>
    <w:next w:val="87"/>
    <w:unhideWhenUsed/>
    <w:uiPriority w:val="99"/>
    <w:pPr>
      <w:spacing w:before="120" w:after="120" w:line="240" w:lineRule="auto"/>
      <w:ind w:left="420" w:leftChars="200" w:firstLine="420"/>
      <w:jc w:val="left"/>
    </w:pPr>
    <w:rPr>
      <w:rFonts w:ascii="Times New Roman" w:hAnsi="Times New Roman"/>
      <w:kern w:val="0"/>
      <w:szCs w:val="22"/>
      <w:lang w:eastAsia="en-US"/>
    </w:rPr>
  </w:style>
  <w:style w:type="paragraph" w:customStyle="1" w:styleId="3505">
    <w:name w:val="列表段落1"/>
    <w:basedOn w:val="1"/>
    <w:uiPriority w:val="0"/>
    <w:pPr>
      <w:adjustRightInd w:val="0"/>
      <w:spacing w:line="360" w:lineRule="auto"/>
      <w:ind w:firstLine="420"/>
    </w:pPr>
  </w:style>
  <w:style w:type="paragraph" w:customStyle="1" w:styleId="3506">
    <w:name w:val="TOC 标题4"/>
    <w:basedOn w:val="3"/>
    <w:next w:val="1"/>
    <w:qFormat/>
    <w:uiPriority w:val="39"/>
    <w:pPr>
      <w:keepLines/>
      <w:numPr>
        <w:numId w:val="0"/>
      </w:numPr>
      <w:tabs>
        <w:tab w:val="clear" w:pos="0"/>
      </w:tabs>
      <w:spacing w:before="480" w:line="276" w:lineRule="auto"/>
      <w:jc w:val="left"/>
      <w:outlineLvl w:val="9"/>
    </w:pPr>
    <w:rPr>
      <w:rFonts w:ascii="Cambria" w:hAnsi="Cambria" w:eastAsia="宋体"/>
      <w:bCs/>
      <w:color w:val="365F91"/>
      <w:kern w:val="0"/>
      <w:sz w:val="28"/>
      <w:szCs w:val="28"/>
    </w:rPr>
  </w:style>
  <w:style w:type="character" w:customStyle="1" w:styleId="3507">
    <w:name w:val="文本条款 Char1"/>
    <w:uiPriority w:val="0"/>
    <w:rPr>
      <w:rFonts w:eastAsia="宋体" w:cs="宋体"/>
      <w:b/>
      <w:bCs/>
      <w:color w:val="000000"/>
      <w:kern w:val="2"/>
      <w:sz w:val="28"/>
      <w:szCs w:val="24"/>
      <w:lang w:val="en-US" w:eastAsia="zh-CN" w:bidi="ar-SA"/>
    </w:rPr>
  </w:style>
  <w:style w:type="paragraph" w:customStyle="1" w:styleId="3508">
    <w:name w:val="列出段落3"/>
    <w:basedOn w:val="1"/>
    <w:uiPriority w:val="0"/>
    <w:pPr>
      <w:ind w:firstLine="420"/>
    </w:pPr>
    <w:rPr>
      <w:rFonts w:ascii="Calibri" w:hAnsi="Calibri" w:cs="宋体"/>
      <w:kern w:val="0"/>
      <w:sz w:val="21"/>
    </w:rPr>
  </w:style>
  <w:style w:type="character" w:customStyle="1" w:styleId="3509">
    <w:name w:val="不明显强调3"/>
    <w:qFormat/>
    <w:uiPriority w:val="19"/>
    <w:rPr>
      <w:i/>
      <w:iCs/>
    </w:rPr>
  </w:style>
  <w:style w:type="character" w:customStyle="1" w:styleId="3510">
    <w:name w:val="明显强调4"/>
    <w:qFormat/>
    <w:uiPriority w:val="21"/>
    <w:rPr>
      <w:i/>
      <w:iCs/>
      <w:caps/>
      <w:spacing w:val="10"/>
      <w:sz w:val="20"/>
      <w:szCs w:val="20"/>
    </w:rPr>
  </w:style>
  <w:style w:type="character" w:customStyle="1" w:styleId="3511">
    <w:name w:val="不明显参考3"/>
    <w:qFormat/>
    <w:uiPriority w:val="31"/>
    <w:rPr>
      <w:smallCaps/>
      <w:color w:val="C0504D"/>
      <w:u w:val="single"/>
    </w:rPr>
  </w:style>
  <w:style w:type="character" w:customStyle="1" w:styleId="3512">
    <w:name w:val="明显参考2"/>
    <w:qFormat/>
    <w:uiPriority w:val="32"/>
    <w:rPr>
      <w:rFonts w:hint="default" w:ascii="Calibri" w:hAnsi="Calibri" w:eastAsia="宋体" w:cs="Times New Roman"/>
      <w:b/>
      <w:bCs/>
      <w:i/>
      <w:iCs/>
      <w:color w:val="622423"/>
    </w:rPr>
  </w:style>
  <w:style w:type="character" w:customStyle="1" w:styleId="3513">
    <w:name w:val="书籍标题2"/>
    <w:qFormat/>
    <w:uiPriority w:val="33"/>
    <w:rPr>
      <w:caps/>
      <w:color w:val="622423"/>
      <w:spacing w:val="5"/>
      <w:u w:color="622423"/>
    </w:rPr>
  </w:style>
  <w:style w:type="character" w:customStyle="1" w:styleId="3514">
    <w:name w:val="纯文本 字符2"/>
    <w:locked/>
    <w:uiPriority w:val="0"/>
    <w:rPr>
      <w:rFonts w:hint="eastAsia" w:ascii="宋体" w:hAnsi="Courier New" w:eastAsia="宋体" w:cs="宋体"/>
      <w:spacing w:val="-2"/>
      <w:kern w:val="0"/>
      <w:sz w:val="21"/>
      <w:szCs w:val="21"/>
    </w:rPr>
  </w:style>
  <w:style w:type="character" w:customStyle="1" w:styleId="3515">
    <w:name w:val="列表段落 字符"/>
    <w:locked/>
    <w:uiPriority w:val="34"/>
    <w:rPr>
      <w:rFonts w:ascii="Times New Roman" w:hAnsi="Times New Roman"/>
      <w:kern w:val="2"/>
      <w:sz w:val="24"/>
      <w:szCs w:val="21"/>
    </w:rPr>
  </w:style>
  <w:style w:type="character" w:customStyle="1" w:styleId="3516">
    <w:name w:val="题注 字符"/>
    <w:qFormat/>
    <w:uiPriority w:val="35"/>
    <w:rPr>
      <w:rFonts w:ascii="Times New Roman" w:hAnsi="Times New Roman"/>
      <w:b/>
      <w:kern w:val="2"/>
      <w:sz w:val="21"/>
    </w:rPr>
  </w:style>
  <w:style w:type="character" w:customStyle="1" w:styleId="3517">
    <w:name w:val="未处理的提及3"/>
    <w:unhideWhenUsed/>
    <w:uiPriority w:val="99"/>
    <w:rPr>
      <w:color w:val="605E5C"/>
      <w:shd w:val="clear" w:color="auto" w:fill="E1DFDD"/>
    </w:rPr>
  </w:style>
  <w:style w:type="paragraph" w:customStyle="1" w:styleId="3518">
    <w:name w:val="列出段落5"/>
    <w:basedOn w:val="1"/>
    <w:uiPriority w:val="34"/>
    <w:pPr>
      <w:ind w:firstLine="420"/>
      <w:jc w:val="left"/>
    </w:pPr>
    <w:rPr>
      <w:rFonts w:ascii="Calibri" w:hAnsi="Calibri"/>
      <w:kern w:val="0"/>
      <w:szCs w:val="22"/>
      <w:lang w:eastAsia="en-US"/>
    </w:rPr>
  </w:style>
  <w:style w:type="paragraph" w:customStyle="1" w:styleId="3519">
    <w:name w:val="_Style 2"/>
    <w:basedOn w:val="1"/>
    <w:uiPriority w:val="34"/>
    <w:pPr>
      <w:ind w:firstLine="420"/>
      <w:jc w:val="left"/>
    </w:pPr>
    <w:rPr>
      <w:rFonts w:ascii="Calibri" w:hAnsi="Calibri"/>
      <w:kern w:val="0"/>
      <w:lang w:eastAsia="en-US"/>
    </w:rPr>
  </w:style>
  <w:style w:type="paragraph" w:customStyle="1" w:styleId="3520">
    <w:name w:val="样式 宋体 居中"/>
    <w:basedOn w:val="1"/>
    <w:uiPriority w:val="0"/>
    <w:pPr>
      <w:ind w:firstLine="0" w:firstLineChars="0"/>
      <w:jc w:val="left"/>
    </w:pPr>
    <w:rPr>
      <w:rFonts w:ascii="宋体" w:hAnsi="宋体" w:cs="宋体"/>
      <w:kern w:val="28"/>
      <w:szCs w:val="20"/>
      <w:lang w:eastAsia="en-US"/>
    </w:rPr>
  </w:style>
  <w:style w:type="table" w:customStyle="1" w:styleId="3521">
    <w:name w:val="网格型9"/>
    <w:basedOn w:val="88"/>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2">
    <w:name w:val="网格型91"/>
    <w:basedOn w:val="88"/>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523">
    <w:name w:val="页眉 字符1"/>
    <w:uiPriority w:val="99"/>
    <w:rPr>
      <w:sz w:val="18"/>
      <w:szCs w:val="18"/>
    </w:rPr>
  </w:style>
  <w:style w:type="character" w:customStyle="1" w:styleId="3524">
    <w:name w:val="页脚 字符1"/>
    <w:uiPriority w:val="99"/>
    <w:rPr>
      <w:sz w:val="18"/>
      <w:szCs w:val="18"/>
    </w:rPr>
  </w:style>
  <w:style w:type="character" w:customStyle="1" w:styleId="3525">
    <w:name w:val="标题 3 Char Char2"/>
    <w:uiPriority w:val="0"/>
    <w:rPr>
      <w:rFonts w:ascii="宋体" w:eastAsia="宋体"/>
      <w:b/>
      <w:snapToGrid w:val="0"/>
      <w:spacing w:val="4"/>
      <w:sz w:val="28"/>
      <w:szCs w:val="28"/>
      <w:lang w:val="en-US" w:eastAsia="zh-CN" w:bidi="ar-SA"/>
    </w:rPr>
  </w:style>
  <w:style w:type="character" w:customStyle="1" w:styleId="3526">
    <w:name w:val="访问过的超链接1"/>
    <w:unhideWhenUsed/>
    <w:uiPriority w:val="99"/>
    <w:rPr>
      <w:color w:val="954F72"/>
      <w:u w:val="single"/>
    </w:rPr>
  </w:style>
  <w:style w:type="character" w:customStyle="1" w:styleId="3527">
    <w:name w:val="普通文字 Char2"/>
    <w:uiPriority w:val="0"/>
    <w:rPr>
      <w:rFonts w:ascii="宋体" w:hAnsi="Courier New" w:eastAsia="宋体" w:cs="Times New Roman"/>
      <w:szCs w:val="20"/>
    </w:rPr>
  </w:style>
  <w:style w:type="character" w:customStyle="1" w:styleId="3528">
    <w:name w:val="段 Char"/>
    <w:uiPriority w:val="0"/>
    <w:rPr>
      <w:rFonts w:ascii="宋体"/>
    </w:rPr>
  </w:style>
  <w:style w:type="character" w:customStyle="1" w:styleId="3529">
    <w:name w:val="正文文本缩进 3 字符1"/>
    <w:uiPriority w:val="0"/>
    <w:rPr>
      <w:rFonts w:ascii="宋体" w:hAnsi="Times New Roman" w:eastAsia="宋体"/>
      <w:bCs/>
      <w:color w:val="FF0000"/>
      <w:sz w:val="24"/>
      <w:szCs w:val="24"/>
    </w:rPr>
  </w:style>
  <w:style w:type="paragraph" w:customStyle="1" w:styleId="3530">
    <w:name w:val="Char Char Char Char Char Char1 Char"/>
    <w:basedOn w:val="1"/>
    <w:uiPriority w:val="0"/>
    <w:pPr>
      <w:snapToGrid w:val="0"/>
      <w:spacing w:line="440" w:lineRule="atLeast"/>
      <w:jc w:val="left"/>
    </w:pPr>
    <w:rPr>
      <w:rFonts w:ascii="宋体" w:eastAsia="Times New Roman"/>
      <w:b/>
      <w:kern w:val="0"/>
      <w:sz w:val="36"/>
    </w:rPr>
  </w:style>
  <w:style w:type="paragraph" w:customStyle="1" w:styleId="3531">
    <w:name w:val="正文首行缩进 21"/>
    <w:basedOn w:val="35"/>
    <w:uiPriority w:val="0"/>
    <w:pPr>
      <w:spacing w:after="120" w:line="240" w:lineRule="auto"/>
      <w:ind w:firstLine="210" w:firstLineChars="200"/>
      <w:jc w:val="left"/>
    </w:pPr>
    <w:rPr>
      <w:rFonts w:ascii="Times New Roman" w:hAnsi="Times New Roman"/>
      <w:kern w:val="0"/>
      <w:sz w:val="21"/>
    </w:rPr>
  </w:style>
  <w:style w:type="paragraph" w:customStyle="1" w:styleId="3532">
    <w:name w:val="索引 21"/>
    <w:basedOn w:val="1"/>
    <w:next w:val="1"/>
    <w:uiPriority w:val="0"/>
    <w:pPr>
      <w:spacing w:line="360" w:lineRule="auto"/>
      <w:ind w:left="200" w:leftChars="200"/>
      <w:jc w:val="left"/>
    </w:pPr>
    <w:rPr>
      <w:kern w:val="0"/>
      <w:sz w:val="28"/>
      <w:szCs w:val="20"/>
    </w:rPr>
  </w:style>
  <w:style w:type="paragraph" w:customStyle="1" w:styleId="3533">
    <w:name w:val="索引 31"/>
    <w:basedOn w:val="1"/>
    <w:next w:val="1"/>
    <w:uiPriority w:val="0"/>
    <w:pPr>
      <w:spacing w:line="360" w:lineRule="auto"/>
      <w:ind w:left="400" w:leftChars="400"/>
      <w:jc w:val="left"/>
    </w:pPr>
    <w:rPr>
      <w:kern w:val="0"/>
      <w:sz w:val="28"/>
      <w:szCs w:val="20"/>
    </w:rPr>
  </w:style>
  <w:style w:type="paragraph" w:customStyle="1" w:styleId="3534">
    <w:name w:val="索引 41"/>
    <w:basedOn w:val="1"/>
    <w:next w:val="1"/>
    <w:uiPriority w:val="0"/>
    <w:pPr>
      <w:spacing w:line="140" w:lineRule="atLeast"/>
      <w:ind w:left="600" w:leftChars="600"/>
      <w:jc w:val="left"/>
    </w:pPr>
    <w:rPr>
      <w:kern w:val="0"/>
      <w:sz w:val="28"/>
      <w:szCs w:val="20"/>
    </w:rPr>
  </w:style>
  <w:style w:type="paragraph" w:customStyle="1" w:styleId="3535">
    <w:name w:val="索引 91"/>
    <w:basedOn w:val="1"/>
    <w:next w:val="1"/>
    <w:uiPriority w:val="0"/>
    <w:pPr>
      <w:spacing w:line="360" w:lineRule="auto"/>
      <w:ind w:left="1890" w:hanging="210"/>
      <w:jc w:val="left"/>
    </w:pPr>
    <w:rPr>
      <w:kern w:val="0"/>
    </w:rPr>
  </w:style>
  <w:style w:type="paragraph" w:customStyle="1" w:styleId="3536">
    <w:name w:val="引文目录1"/>
    <w:basedOn w:val="1"/>
    <w:next w:val="1"/>
    <w:uiPriority w:val="0"/>
    <w:pPr>
      <w:spacing w:line="360" w:lineRule="auto"/>
      <w:ind w:left="420" w:leftChars="200"/>
      <w:jc w:val="left"/>
    </w:pPr>
    <w:rPr>
      <w:kern w:val="0"/>
    </w:rPr>
  </w:style>
  <w:style w:type="character" w:customStyle="1" w:styleId="3537">
    <w:name w:val="批注框文本 字符1"/>
    <w:uiPriority w:val="99"/>
    <w:rPr>
      <w:rFonts w:ascii="Times New Roman" w:hAnsi="Times New Roman" w:eastAsia="宋体"/>
      <w:sz w:val="18"/>
      <w:szCs w:val="18"/>
    </w:rPr>
  </w:style>
  <w:style w:type="character" w:customStyle="1" w:styleId="3538">
    <w:name w:val="明显引用 字符1"/>
    <w:uiPriority w:val="30"/>
    <w:rPr>
      <w:rFonts w:ascii="Times New Roman" w:hAnsi="Times New Roman" w:eastAsia="宋体"/>
      <w:i/>
      <w:iCs/>
      <w:color w:val="4F81BD"/>
      <w:sz w:val="24"/>
    </w:rPr>
  </w:style>
  <w:style w:type="table" w:customStyle="1" w:styleId="3539">
    <w:name w:val="灰度表格1121"/>
    <w:basedOn w:val="88"/>
    <w:qFormat/>
    <w:uiPriority w:val="59"/>
    <w:rPr>
      <w:rFonts w:ascii="Cambria" w:hAnsi="Cambri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0">
    <w:name w:val="Table Normal2"/>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3541">
    <w:name w:val="索引 22"/>
    <w:basedOn w:val="1"/>
    <w:next w:val="1"/>
    <w:uiPriority w:val="0"/>
    <w:pPr>
      <w:spacing w:line="360" w:lineRule="auto"/>
      <w:ind w:left="200" w:leftChars="200"/>
      <w:jc w:val="left"/>
    </w:pPr>
    <w:rPr>
      <w:kern w:val="0"/>
      <w:sz w:val="28"/>
      <w:szCs w:val="20"/>
    </w:rPr>
  </w:style>
  <w:style w:type="paragraph" w:customStyle="1" w:styleId="3542">
    <w:name w:val="索引 32"/>
    <w:basedOn w:val="1"/>
    <w:next w:val="1"/>
    <w:uiPriority w:val="0"/>
    <w:pPr>
      <w:spacing w:line="360" w:lineRule="auto"/>
      <w:ind w:left="400" w:leftChars="400"/>
      <w:jc w:val="left"/>
    </w:pPr>
    <w:rPr>
      <w:kern w:val="0"/>
      <w:sz w:val="28"/>
      <w:szCs w:val="20"/>
    </w:rPr>
  </w:style>
  <w:style w:type="paragraph" w:customStyle="1" w:styleId="3543">
    <w:name w:val="索引 42"/>
    <w:basedOn w:val="1"/>
    <w:next w:val="1"/>
    <w:uiPriority w:val="0"/>
    <w:pPr>
      <w:spacing w:line="140" w:lineRule="atLeast"/>
      <w:ind w:left="600" w:leftChars="600"/>
      <w:jc w:val="left"/>
    </w:pPr>
    <w:rPr>
      <w:kern w:val="0"/>
      <w:sz w:val="28"/>
      <w:szCs w:val="20"/>
    </w:rPr>
  </w:style>
  <w:style w:type="paragraph" w:customStyle="1" w:styleId="3544">
    <w:name w:val="索引 92"/>
    <w:basedOn w:val="1"/>
    <w:next w:val="1"/>
    <w:uiPriority w:val="0"/>
    <w:pPr>
      <w:spacing w:line="360" w:lineRule="auto"/>
      <w:ind w:left="1890" w:hanging="210"/>
      <w:jc w:val="left"/>
    </w:pPr>
    <w:rPr>
      <w:kern w:val="0"/>
    </w:rPr>
  </w:style>
  <w:style w:type="paragraph" w:customStyle="1" w:styleId="3545">
    <w:name w:val="引文目录2"/>
    <w:basedOn w:val="1"/>
    <w:next w:val="1"/>
    <w:uiPriority w:val="0"/>
    <w:pPr>
      <w:spacing w:line="360" w:lineRule="auto"/>
      <w:ind w:left="420" w:leftChars="200"/>
      <w:jc w:val="left"/>
    </w:pPr>
    <w:rPr>
      <w:kern w:val="0"/>
    </w:rPr>
  </w:style>
  <w:style w:type="table" w:customStyle="1" w:styleId="3546">
    <w:name w:val="灰度表格1122"/>
    <w:basedOn w:val="88"/>
    <w:qFormat/>
    <w:uiPriority w:val="59"/>
    <w:rPr>
      <w:rFonts w:ascii="Cambria" w:hAnsi="Cambri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7">
    <w:name w:val="Table Normal3"/>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548">
    <w:name w:val="网格型（OPCC）1"/>
    <w:basedOn w:val="88"/>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549">
    <w:name w:val="Char Char1 Char Char1"/>
    <w:basedOn w:val="1"/>
    <w:uiPriority w:val="0"/>
    <w:pPr>
      <w:ind w:firstLine="0" w:firstLineChars="0"/>
    </w:pPr>
    <w:rPr>
      <w:sz w:val="28"/>
      <w:szCs w:val="28"/>
    </w:rPr>
  </w:style>
  <w:style w:type="paragraph" w:customStyle="1" w:styleId="3550">
    <w:name w:val="表头罗"/>
    <w:uiPriority w:val="0"/>
    <w:pPr>
      <w:spacing w:line="360" w:lineRule="auto"/>
      <w:ind w:firstLine="11"/>
      <w:jc w:val="center"/>
    </w:pPr>
    <w:rPr>
      <w:rFonts w:ascii="Times New Roman" w:hAnsi="Times New Roman" w:eastAsia="宋体" w:cs="Times New Roman"/>
      <w:b/>
      <w:iCs/>
      <w:kern w:val="2"/>
      <w:sz w:val="21"/>
      <w:szCs w:val="21"/>
      <w:lang w:val="en-US" w:eastAsia="zh-CN" w:bidi="ar-SA"/>
    </w:rPr>
  </w:style>
  <w:style w:type="character" w:customStyle="1" w:styleId="3551">
    <w:name w:val="标题 1 字符1"/>
    <w:uiPriority w:val="9"/>
    <w:rPr>
      <w:rFonts w:eastAsia="黑体"/>
      <w:b/>
      <w:kern w:val="2"/>
      <w:sz w:val="36"/>
      <w:szCs w:val="36"/>
    </w:rPr>
  </w:style>
  <w:style w:type="character" w:customStyle="1" w:styleId="3552">
    <w:name w:val="标题 2 字符1"/>
    <w:uiPriority w:val="9"/>
    <w:rPr>
      <w:rFonts w:eastAsia="黑体"/>
      <w:b/>
      <w:bCs/>
      <w:kern w:val="2"/>
      <w:sz w:val="32"/>
      <w:szCs w:val="30"/>
    </w:rPr>
  </w:style>
  <w:style w:type="character" w:customStyle="1" w:styleId="3553">
    <w:name w:val="标题 3 字符2"/>
    <w:locked/>
    <w:uiPriority w:val="9"/>
    <w:rPr>
      <w:rFonts w:eastAsia="黑体"/>
      <w:b/>
      <w:bCs/>
      <w:kern w:val="2"/>
      <w:sz w:val="30"/>
      <w:szCs w:val="28"/>
    </w:rPr>
  </w:style>
  <w:style w:type="character" w:customStyle="1" w:styleId="3554">
    <w:name w:val="标题 4 字符2"/>
    <w:locked/>
    <w:uiPriority w:val="9"/>
    <w:rPr>
      <w:b/>
      <w:bCs/>
      <w:kern w:val="2"/>
      <w:sz w:val="28"/>
      <w:szCs w:val="28"/>
    </w:rPr>
  </w:style>
  <w:style w:type="character" w:customStyle="1" w:styleId="3555">
    <w:name w:val="标题 5 字符1"/>
    <w:locked/>
    <w:uiPriority w:val="0"/>
    <w:rPr>
      <w:rFonts w:eastAsia="宋体" w:cs="宋体"/>
      <w:b/>
      <w:bCs/>
      <w:color w:val="000000"/>
      <w:kern w:val="2"/>
      <w:sz w:val="28"/>
      <w:szCs w:val="24"/>
      <w:lang w:val="en-US" w:eastAsia="zh-CN" w:bidi="ar-SA"/>
    </w:rPr>
  </w:style>
  <w:style w:type="character" w:customStyle="1" w:styleId="3556">
    <w:name w:val="标题 6 字符1"/>
    <w:locked/>
    <w:uiPriority w:val="0"/>
    <w:rPr>
      <w:rFonts w:ascii="Arial" w:hAnsi="Arial" w:eastAsia="黑体" w:cs="宋体"/>
      <w:b/>
      <w:bCs/>
      <w:color w:val="000000"/>
      <w:kern w:val="2"/>
      <w:sz w:val="24"/>
      <w:szCs w:val="24"/>
      <w:lang w:val="en-US" w:eastAsia="zh-CN" w:bidi="ar-SA"/>
    </w:rPr>
  </w:style>
  <w:style w:type="character" w:customStyle="1" w:styleId="3557">
    <w:name w:val="正文文本缩进 字符1"/>
    <w:locked/>
    <w:uiPriority w:val="0"/>
    <w:rPr>
      <w:rFonts w:ascii="宋体" w:hAnsi="宋体" w:eastAsia="宋体" w:cs="宋体"/>
      <w:b/>
      <w:bCs/>
      <w:color w:val="000000"/>
      <w:kern w:val="2"/>
      <w:sz w:val="24"/>
      <w:szCs w:val="24"/>
      <w:lang w:val="en-US" w:eastAsia="zh-CN" w:bidi="ar-SA"/>
    </w:rPr>
  </w:style>
  <w:style w:type="character" w:customStyle="1" w:styleId="3558">
    <w:name w:val="正文文本缩进 2 字符1"/>
    <w:uiPriority w:val="0"/>
    <w:rPr>
      <w:rFonts w:ascii="宋体" w:hAnsi="宋体" w:eastAsia="宋体" w:cs="宋体"/>
      <w:b/>
      <w:bCs/>
      <w:color w:val="000000"/>
      <w:kern w:val="2"/>
      <w:sz w:val="24"/>
      <w:szCs w:val="24"/>
      <w:lang w:val="en-US" w:eastAsia="zh-CN" w:bidi="ar-SA"/>
    </w:rPr>
  </w:style>
  <w:style w:type="character" w:customStyle="1" w:styleId="3559">
    <w:name w:val="正文文本 字符1"/>
    <w:locked/>
    <w:uiPriority w:val="0"/>
    <w:rPr>
      <w:rFonts w:eastAsia="宋体" w:cs="宋体"/>
      <w:b/>
      <w:bCs/>
      <w:color w:val="000000"/>
      <w:kern w:val="2"/>
      <w:sz w:val="18"/>
      <w:szCs w:val="24"/>
      <w:lang w:val="en-US" w:eastAsia="zh-CN" w:bidi="ar-SA"/>
    </w:rPr>
  </w:style>
  <w:style w:type="character" w:customStyle="1" w:styleId="3560">
    <w:name w:val="正文文本 2 字符1"/>
    <w:qFormat/>
    <w:locked/>
    <w:uiPriority w:val="0"/>
    <w:rPr>
      <w:rFonts w:eastAsia="宋体" w:cs="宋体"/>
      <w:b/>
      <w:bCs/>
      <w:color w:val="000000"/>
      <w:kern w:val="2"/>
      <w:sz w:val="21"/>
      <w:szCs w:val="24"/>
      <w:lang w:val="en-US" w:eastAsia="zh-CN" w:bidi="ar-SA"/>
    </w:rPr>
  </w:style>
  <w:style w:type="character" w:customStyle="1" w:styleId="3561">
    <w:name w:val="普通(网站) 字符1"/>
    <w:locked/>
    <w:uiPriority w:val="0"/>
    <w:rPr>
      <w:rFonts w:ascii="宋体" w:hAnsi="宋体" w:eastAsia="宋体" w:cs="宋体"/>
      <w:b/>
      <w:bCs/>
      <w:color w:val="000000"/>
      <w:kern w:val="2"/>
      <w:sz w:val="24"/>
      <w:szCs w:val="24"/>
      <w:lang w:val="en-US" w:eastAsia="zh-CN" w:bidi="ar-SA"/>
    </w:rPr>
  </w:style>
  <w:style w:type="character" w:customStyle="1" w:styleId="3562">
    <w:name w:val="日期 字符1"/>
    <w:locked/>
    <w:uiPriority w:val="0"/>
    <w:rPr>
      <w:rFonts w:eastAsia="宋体" w:cs="宋体"/>
      <w:b/>
      <w:bCs/>
      <w:color w:val="000000"/>
      <w:kern w:val="2"/>
      <w:sz w:val="21"/>
      <w:szCs w:val="24"/>
      <w:lang w:val="en-US" w:eastAsia="zh-CN" w:bidi="ar-SA"/>
    </w:rPr>
  </w:style>
  <w:style w:type="character" w:customStyle="1" w:styleId="3563">
    <w:name w:val="标题 字符1"/>
    <w:locked/>
    <w:uiPriority w:val="0"/>
    <w:rPr>
      <w:rFonts w:ascii="Arial" w:hAnsi="Arial" w:eastAsia="宋体" w:cs="Arial"/>
      <w:b/>
      <w:bCs/>
      <w:color w:val="000000"/>
      <w:kern w:val="2"/>
      <w:sz w:val="32"/>
      <w:szCs w:val="32"/>
      <w:lang w:val="en-US" w:eastAsia="zh-CN" w:bidi="ar-SA"/>
    </w:rPr>
  </w:style>
  <w:style w:type="character" w:customStyle="1" w:styleId="3564">
    <w:name w:val="批注文字 字符1"/>
    <w:uiPriority w:val="0"/>
    <w:rPr>
      <w:rFonts w:eastAsia="黑体" w:cs="宋体"/>
      <w:color w:val="000000"/>
      <w:kern w:val="2"/>
      <w:sz w:val="21"/>
      <w:szCs w:val="24"/>
      <w:lang w:val="zh-CN" w:eastAsia="zh-CN" w:bidi="ar-SA"/>
    </w:rPr>
  </w:style>
  <w:style w:type="character" w:customStyle="1" w:styleId="3565">
    <w:name w:val="批注主题 字符1"/>
    <w:uiPriority w:val="0"/>
    <w:rPr>
      <w:rFonts w:eastAsia="黑体" w:cs="宋体"/>
      <w:b/>
      <w:bCs/>
      <w:color w:val="000000"/>
      <w:kern w:val="2"/>
      <w:sz w:val="24"/>
      <w:szCs w:val="24"/>
      <w:lang w:val="zh-CN" w:eastAsia="zh-CN" w:bidi="ar-SA"/>
    </w:rPr>
  </w:style>
  <w:style w:type="character" w:customStyle="1" w:styleId="3566">
    <w:name w:val="注释标题 字符1"/>
    <w:uiPriority w:val="0"/>
    <w:rPr>
      <w:rFonts w:ascii="宋体"/>
      <w:kern w:val="2"/>
      <w:sz w:val="28"/>
      <w:szCs w:val="24"/>
    </w:rPr>
  </w:style>
  <w:style w:type="character" w:customStyle="1" w:styleId="3567">
    <w:name w:val="HTML 预设格式 字符1"/>
    <w:uiPriority w:val="0"/>
    <w:rPr>
      <w:rFonts w:ascii="宋体" w:hAnsi="宋体" w:cs="宋体"/>
      <w:sz w:val="24"/>
      <w:szCs w:val="24"/>
    </w:rPr>
  </w:style>
  <w:style w:type="character" w:customStyle="1" w:styleId="3568">
    <w:name w:val="文档结构图 字符1"/>
    <w:semiHidden/>
    <w:uiPriority w:val="99"/>
    <w:rPr>
      <w:kern w:val="2"/>
      <w:sz w:val="24"/>
      <w:szCs w:val="24"/>
      <w:shd w:val="clear" w:color="auto" w:fill="000080"/>
    </w:rPr>
  </w:style>
  <w:style w:type="character" w:customStyle="1" w:styleId="3569">
    <w:name w:val="标题 9 字符1"/>
    <w:uiPriority w:val="0"/>
    <w:rPr>
      <w:rFonts w:ascii="Arial" w:hAnsi="Arial" w:eastAsia="黑体"/>
      <w:kern w:val="2"/>
      <w:sz w:val="24"/>
      <w:szCs w:val="24"/>
    </w:rPr>
  </w:style>
  <w:style w:type="character" w:customStyle="1" w:styleId="3570">
    <w:name w:val="标题 8 字符1"/>
    <w:uiPriority w:val="0"/>
    <w:rPr>
      <w:rFonts w:ascii="Arial" w:hAnsi="Arial" w:eastAsia="黑体"/>
      <w:kern w:val="2"/>
      <w:sz w:val="24"/>
      <w:szCs w:val="24"/>
    </w:rPr>
  </w:style>
  <w:style w:type="character" w:customStyle="1" w:styleId="3571">
    <w:name w:val="标题 7 字符1"/>
    <w:uiPriority w:val="0"/>
    <w:rPr>
      <w:b/>
      <w:kern w:val="2"/>
      <w:sz w:val="24"/>
      <w:szCs w:val="24"/>
    </w:rPr>
  </w:style>
  <w:style w:type="character" w:customStyle="1" w:styleId="3572">
    <w:name w:val="称呼 字符1"/>
    <w:uiPriority w:val="0"/>
    <w:rPr>
      <w:rFonts w:eastAsia="黑体" w:cs="宋体"/>
      <w:color w:val="000000"/>
      <w:kern w:val="2"/>
      <w:sz w:val="24"/>
      <w:szCs w:val="24"/>
      <w:lang w:val="en-US" w:eastAsia="zh-CN" w:bidi="ar-SA"/>
    </w:rPr>
  </w:style>
  <w:style w:type="character" w:customStyle="1" w:styleId="3573">
    <w:name w:val="脚注文本 字符1"/>
    <w:uiPriority w:val="0"/>
    <w:rPr>
      <w:rFonts w:eastAsia="黑体" w:cs="宋体"/>
      <w:color w:val="000000"/>
      <w:kern w:val="2"/>
      <w:sz w:val="18"/>
      <w:szCs w:val="18"/>
      <w:lang w:val="en-US" w:eastAsia="zh-CN" w:bidi="ar-SA"/>
    </w:rPr>
  </w:style>
  <w:style w:type="character" w:customStyle="1" w:styleId="3574">
    <w:name w:val="正文文本 3 字符1"/>
    <w:uiPriority w:val="0"/>
    <w:rPr>
      <w:kern w:val="2"/>
      <w:sz w:val="24"/>
      <w:szCs w:val="24"/>
    </w:rPr>
  </w:style>
  <w:style w:type="character" w:customStyle="1" w:styleId="3575">
    <w:name w:val="z-窗体底端 字符1"/>
    <w:uiPriority w:val="0"/>
    <w:rPr>
      <w:rFonts w:ascii="Arial" w:hAnsi="Arial" w:cs="Arial"/>
      <w:vanish/>
      <w:kern w:val="2"/>
      <w:sz w:val="16"/>
      <w:szCs w:val="16"/>
    </w:rPr>
  </w:style>
  <w:style w:type="character" w:customStyle="1" w:styleId="3576">
    <w:name w:val="z-窗体顶端 字符"/>
    <w:semiHidden/>
    <w:uiPriority w:val="0"/>
    <w:rPr>
      <w:rFonts w:ascii="Arial" w:hAnsi="Arial" w:eastAsia="宋体" w:cs="Arial"/>
      <w:vanish/>
      <w:kern w:val="2"/>
      <w:sz w:val="16"/>
      <w:szCs w:val="16"/>
    </w:rPr>
  </w:style>
  <w:style w:type="table" w:customStyle="1" w:styleId="3577">
    <w:name w:val="网格型8"/>
    <w:basedOn w:val="88"/>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8">
    <w:name w:val="典雅型2"/>
    <w:basedOn w:val="88"/>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79">
    <w:name w:val="简明型 11"/>
    <w:basedOn w:val="88"/>
    <w:uiPriority w:val="0"/>
    <w:pPr>
      <w:widowControl w:val="0"/>
      <w:jc w:val="both"/>
    </w:pPr>
    <w:rPr>
      <w:rFonts w:ascii="Calibri" w:hAnsi="Calibri"/>
    </w:rPr>
    <w:tblPr>
      <w:tblBorders>
        <w:top w:val="single" w:color="008000" w:sz="12" w:space="0"/>
        <w:bottom w:val="single" w:color="008000" w:sz="12" w:space="0"/>
      </w:tblBorders>
    </w:tblPr>
    <w:tcPr>
      <w:shd w:val="clear" w:color="auto" w:fill="auto"/>
    </w:tcPr>
    <w:tblStylePr w:type="firstRow">
      <w:tcPr>
        <w:tcBorders>
          <w:top w:val="nil"/>
          <w:left w:val="nil"/>
          <w:bottom w:val="single" w:color="008000" w:sz="6" w:space="0"/>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3580">
    <w:name w:val="网格型 12"/>
    <w:basedOn w:val="88"/>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581">
    <w:name w:val="网格型 52"/>
    <w:basedOn w:val="88"/>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cPr>
        <w:tcBorders>
          <w:top w:val="nil"/>
          <w:left w:val="nil"/>
          <w:bottom w:val="single" w:color="000000" w:sz="12" w:space="0"/>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582">
    <w:name w:val="网格型 73"/>
    <w:basedOn w:val="88"/>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rPr>
        <w:b w:val="0"/>
        <w:bCs w:val="0"/>
      </w:rPr>
      <w:tcPr>
        <w:tcBorders>
          <w:top w:val="nil"/>
          <w:left w:val="nil"/>
          <w:bottom w:val="single" w:color="000000" w:sz="12" w:space="0"/>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583">
    <w:name w:val="网格型21"/>
    <w:basedOn w:val="88"/>
    <w:qFormat/>
    <w:uiPriority w:val="3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4">
    <w:name w:val="Table Normal4"/>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3585">
    <w:name w:val="Table Normal11"/>
    <w:semiHidden/>
    <w:qFormat/>
    <w:uiPriority w:val="2"/>
    <w:pPr>
      <w:widowControl w:val="0"/>
    </w:pPr>
    <w:rPr>
      <w:rFonts w:ascii="Calibri" w:hAnsi="Calibri" w:eastAsia="Times New Roman"/>
      <w:sz w:val="22"/>
      <w:szCs w:val="22"/>
      <w:lang w:eastAsia="en-US"/>
    </w:rPr>
    <w:tblPr>
      <w:tblCellMar>
        <w:top w:w="0" w:type="dxa"/>
        <w:left w:w="0" w:type="dxa"/>
        <w:bottom w:w="0" w:type="dxa"/>
        <w:right w:w="0" w:type="dxa"/>
      </w:tblCellMar>
    </w:tblPr>
  </w:style>
  <w:style w:type="table" w:customStyle="1" w:styleId="3586">
    <w:name w:val="毛的表格11"/>
    <w:basedOn w:val="88"/>
    <w:semiHidden/>
    <w:uiPriority w:val="0"/>
    <w:pPr>
      <w:jc w:val="center"/>
    </w:p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587">
    <w:name w:val="浅色底纹 - 强调文字颜色 111"/>
    <w:basedOn w:val="88"/>
    <w:uiPriority w:val="60"/>
    <w:rPr>
      <w:rFonts w:ascii="Calibri" w:hAnsi="Calibri"/>
      <w:color w:val="365F91"/>
      <w:sz w:val="22"/>
    </w:rPr>
    <w:tblPr>
      <w:tblBorders>
        <w:top w:val="single" w:color="4F81BD" w:sz="8" w:space="0"/>
        <w:bottom w:val="single" w:color="4F81BD" w:sz="8" w:space="0"/>
      </w:tblBorders>
    </w:tblPr>
    <w:tblStylePr w:type="firstRow">
      <w:pPr>
        <w:spacing w:before="0" w:beforeLines="0" w:beforeAutospacing="0" w:after="0" w:afterLines="0" w:afterAutospacing="0" w:line="240" w:lineRule="auto"/>
      </w:pPr>
      <w:rPr>
        <w:b/>
        <w:bCs/>
      </w:rPr>
      <w:tcPr>
        <w:tcBorders>
          <w:top w:val="single" w:color="4F81BD" w:sz="8" w:space="0"/>
          <w:left w:val="nil"/>
          <w:bottom w:val="single" w:color="4F81BD" w:sz="8" w:space="0"/>
          <w:right w:val="nil"/>
          <w:insideH w:val="nil"/>
          <w:insideV w:val="nil"/>
          <w:tl2br w:val="nil"/>
          <w:tr2bl w:val="nil"/>
        </w:tcBorders>
      </w:tcPr>
    </w:tblStylePr>
    <w:tblStylePr w:type="lastRow">
      <w:pPr>
        <w:spacing w:before="0" w:beforeLines="0" w:beforeAutospacing="0" w:after="0" w:afterLines="0" w:afterAutospacing="0" w:line="240" w:lineRule="auto"/>
      </w:pPr>
      <w:rPr>
        <w:b/>
        <w:bCs/>
      </w:rPr>
      <w:tcPr>
        <w:tcBorders>
          <w:top w:val="single" w:color="4F81BD" w:sz="8" w:space="0"/>
          <w:left w:val="nil"/>
          <w:bottom w:val="single" w:color="4F81BD"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D3DFEE"/>
      </w:tcPr>
    </w:tblStylePr>
    <w:tblStylePr w:type="band1Horz">
      <w:tcPr>
        <w:tcBorders>
          <w:top w:val="nil"/>
          <w:left w:val="nil"/>
          <w:bottom w:val="nil"/>
          <w:right w:val="nil"/>
          <w:insideH w:val="nil"/>
          <w:insideV w:val="nil"/>
          <w:tl2br w:val="nil"/>
          <w:tr2bl w:val="nil"/>
        </w:tcBorders>
        <w:shd w:val="clear" w:color="auto" w:fill="D3DFEE"/>
      </w:tcPr>
    </w:tblStylePr>
  </w:style>
  <w:style w:type="table" w:customStyle="1" w:styleId="3588">
    <w:name w:val="典雅型211"/>
    <w:basedOn w:val="88"/>
    <w:uiPriority w:val="0"/>
    <w:pPr>
      <w:widowControl w:val="0"/>
      <w:jc w:val="center"/>
    </w:pPr>
    <w:tblPr>
      <w:tblBorders>
        <w:top w:val="single" w:color="000000" w:sz="12" w:space="0"/>
        <w:bottom w:val="single" w:color="000000" w:sz="12" w:space="0"/>
        <w:insideH w:val="single" w:color="000000" w:sz="6" w:space="0"/>
        <w:insideV w:val="single" w:color="000000" w:sz="6" w:space="0"/>
      </w:tblBorders>
    </w:tblPr>
    <w:tcPr>
      <w:vAlign w:val="center"/>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89">
    <w:name w:val="1111"/>
    <w:basedOn w:val="89"/>
    <w:qFormat/>
    <w:uiPriority w:val="0"/>
    <w:pPr>
      <w:jc w:val="center"/>
    </w:pPr>
    <w:rPr>
      <w:rFonts w:ascii="Times New Roman" w:hAnsi="Times New Roman" w:eastAsia="Times New Roman" w:cs="Times New Roman"/>
      <w:sz w:val="21"/>
      <w:szCs w:val="21"/>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cPr>
      <w:vAlign w:val="center"/>
    </w:tcPr>
  </w:style>
  <w:style w:type="table" w:customStyle="1" w:styleId="3590">
    <w:name w:val="专业网格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1">
    <w:name w:val="专业网格2"/>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2">
    <w:name w:val="Table Normal5"/>
    <w:unhideWhenUsed/>
    <w:qFormat/>
    <w:uiPriority w:val="2"/>
    <w:pPr>
      <w:widowControl w:val="0"/>
    </w:pPr>
    <w:rPr>
      <w:sz w:val="22"/>
      <w:szCs w:val="22"/>
      <w:lang w:eastAsia="en-US"/>
    </w:rPr>
    <w:tblPr>
      <w:tblCellMar>
        <w:top w:w="0" w:type="dxa"/>
        <w:left w:w="0" w:type="dxa"/>
        <w:bottom w:w="0" w:type="dxa"/>
        <w:right w:w="0" w:type="dxa"/>
      </w:tblCellMar>
    </w:tblPr>
  </w:style>
  <w:style w:type="paragraph" w:customStyle="1" w:styleId="3593">
    <w:name w:val="s-5"/>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宋体" w:hAnsi="宋体" w:cs="宋体"/>
      <w:color w:val="000000"/>
      <w:kern w:val="0"/>
      <w:sz w:val="22"/>
      <w:szCs w:val="22"/>
    </w:rPr>
  </w:style>
  <w:style w:type="paragraph" w:customStyle="1" w:styleId="3594">
    <w:name w:val="s-2"/>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宋体" w:hAnsi="宋体" w:cs="宋体"/>
      <w:color w:val="000000"/>
      <w:kern w:val="0"/>
      <w:sz w:val="22"/>
      <w:szCs w:val="22"/>
    </w:rPr>
  </w:style>
  <w:style w:type="paragraph" w:customStyle="1" w:styleId="3595">
    <w:name w:val="s-4"/>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宋体" w:hAnsi="宋体" w:cs="宋体"/>
      <w:color w:val="000000"/>
      <w:kern w:val="0"/>
      <w:sz w:val="22"/>
      <w:szCs w:val="22"/>
    </w:rPr>
  </w:style>
  <w:style w:type="table" w:customStyle="1" w:styleId="3596">
    <w:name w:val="专业网格3"/>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7">
    <w:name w:val="专业网格4"/>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8">
    <w:name w:val="专业网格5"/>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9">
    <w:name w:val="专业网格6"/>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0">
    <w:name w:val="专业网格7"/>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1">
    <w:name w:val="专业网格8"/>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2">
    <w:name w:val="专业网格9"/>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3">
    <w:name w:val="专业网格10"/>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4">
    <w:name w:val="专业网格1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605">
    <w:name w:val="Table Text"/>
    <w:basedOn w:val="1"/>
    <w:semiHidden/>
    <w:qFormat/>
    <w:uiPriority w:val="0"/>
    <w:pPr>
      <w:widowControl/>
      <w:kinsoku w:val="0"/>
      <w:autoSpaceDE w:val="0"/>
      <w:autoSpaceDN w:val="0"/>
      <w:adjustRightInd w:val="0"/>
      <w:snapToGrid w:val="0"/>
      <w:ind w:firstLine="0" w:firstLineChars="0"/>
      <w:jc w:val="left"/>
    </w:pPr>
    <w:rPr>
      <w:rFonts w:ascii="微软雅黑" w:hAnsi="微软雅黑" w:eastAsia="微软雅黑" w:cs="微软雅黑"/>
      <w:color w:val="000000"/>
      <w:kern w:val="0"/>
      <w:sz w:val="16"/>
      <w:szCs w:val="16"/>
      <w:lang w:eastAsia="en-US"/>
    </w:rPr>
  </w:style>
  <w:style w:type="table" w:customStyle="1" w:styleId="3606">
    <w:name w:val="网格型10"/>
    <w:basedOn w:val="88"/>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7">
    <w:name w:val="网格型13"/>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8">
    <w:name w:val="网格型14"/>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9">
    <w:name w:val="网格型15"/>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0">
    <w:name w:val="网格型16"/>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1">
    <w:name w:val="网格型17"/>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2">
    <w:name w:val="网格型18"/>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3">
    <w:name w:val="网格型19"/>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4">
    <w:name w:val="网格型20"/>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5">
    <w:name w:val="网格型22"/>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6">
    <w:name w:val="网格型24"/>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7">
    <w:name w:val="网格型25"/>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8">
    <w:name w:val="网格型26"/>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9">
    <w:name w:val="表格类型2"/>
    <w:basedOn w:val="88"/>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0">
    <w:name w:val="表格类型3"/>
    <w:basedOn w:val="88"/>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1">
    <w:name w:val="网格型27"/>
    <w:basedOn w:val="88"/>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622">
    <w:name w:val="Char Char Char Char Char Char Char Char Char Char Char Char Char Char Char Char Char Char1 Char Char Char Char Char Char Char Char Char2 Char"/>
    <w:basedOn w:val="1"/>
    <w:uiPriority w:val="0"/>
    <w:pPr>
      <w:widowControl/>
      <w:spacing w:after="160" w:line="240" w:lineRule="exact"/>
      <w:ind w:firstLine="0" w:firstLineChars="0"/>
      <w:jc w:val="left"/>
    </w:pPr>
    <w:rPr>
      <w:rFonts w:ascii="Arial" w:hAnsi="Arial" w:eastAsia="Times New Roman" w:cs="Verdana"/>
      <w:b/>
      <w:kern w:val="0"/>
      <w:lang w:eastAsia="en-US"/>
    </w:rPr>
  </w:style>
</w:styles>
</file>

<file path=word/_rels/document.xml.rels><?xml version="1.0" encoding="UTF-8" standalone="yes"?>
<Relationships xmlns="http://schemas.openxmlformats.org/package/2006/relationships"><Relationship Id="rId99" Type="http://schemas.openxmlformats.org/officeDocument/2006/relationships/image" Target="media/image56.wmf"/><Relationship Id="rId98" Type="http://schemas.openxmlformats.org/officeDocument/2006/relationships/oleObject" Target="embeddings/oleObject8.bin"/><Relationship Id="rId97" Type="http://schemas.openxmlformats.org/officeDocument/2006/relationships/image" Target="media/image55.wmf"/><Relationship Id="rId96" Type="http://schemas.openxmlformats.org/officeDocument/2006/relationships/oleObject" Target="embeddings/oleObject7.bin"/><Relationship Id="rId95" Type="http://schemas.openxmlformats.org/officeDocument/2006/relationships/image" Target="media/image54.wmf"/><Relationship Id="rId94" Type="http://schemas.openxmlformats.org/officeDocument/2006/relationships/oleObject" Target="embeddings/oleObject6.bin"/><Relationship Id="rId93" Type="http://schemas.openxmlformats.org/officeDocument/2006/relationships/image" Target="media/image53.wmf"/><Relationship Id="rId92" Type="http://schemas.openxmlformats.org/officeDocument/2006/relationships/oleObject" Target="embeddings/oleObject5.bin"/><Relationship Id="rId91" Type="http://schemas.openxmlformats.org/officeDocument/2006/relationships/image" Target="media/image52.png"/><Relationship Id="rId90" Type="http://schemas.openxmlformats.org/officeDocument/2006/relationships/image" Target="media/image51.wmf"/><Relationship Id="rId9" Type="http://schemas.openxmlformats.org/officeDocument/2006/relationships/footer" Target="footer2.xml"/><Relationship Id="rId89" Type="http://schemas.openxmlformats.org/officeDocument/2006/relationships/image" Target="media/image50.wmf"/><Relationship Id="rId88" Type="http://schemas.openxmlformats.org/officeDocument/2006/relationships/image" Target="media/image49.wmf"/><Relationship Id="rId87" Type="http://schemas.openxmlformats.org/officeDocument/2006/relationships/image" Target="media/image48.wmf"/><Relationship Id="rId86" Type="http://schemas.openxmlformats.org/officeDocument/2006/relationships/image" Target="media/image47.png"/><Relationship Id="rId85" Type="http://schemas.openxmlformats.org/officeDocument/2006/relationships/image" Target="media/image46.png"/><Relationship Id="rId84" Type="http://schemas.openxmlformats.org/officeDocument/2006/relationships/image" Target="media/image45.png"/><Relationship Id="rId83" Type="http://schemas.openxmlformats.org/officeDocument/2006/relationships/image" Target="media/image44.png"/><Relationship Id="rId82" Type="http://schemas.openxmlformats.org/officeDocument/2006/relationships/image" Target="media/image43.png"/><Relationship Id="rId81" Type="http://schemas.openxmlformats.org/officeDocument/2006/relationships/image" Target="media/image42.png"/><Relationship Id="rId80" Type="http://schemas.openxmlformats.org/officeDocument/2006/relationships/image" Target="media/image41.png"/><Relationship Id="rId8" Type="http://schemas.openxmlformats.org/officeDocument/2006/relationships/footer" Target="footer1.xml"/><Relationship Id="rId79" Type="http://schemas.openxmlformats.org/officeDocument/2006/relationships/image" Target="media/image40.png"/><Relationship Id="rId78" Type="http://schemas.openxmlformats.org/officeDocument/2006/relationships/image" Target="media/image39.png"/><Relationship Id="rId77" Type="http://schemas.openxmlformats.org/officeDocument/2006/relationships/image" Target="media/image38.png"/><Relationship Id="rId76" Type="http://schemas.openxmlformats.org/officeDocument/2006/relationships/image" Target="media/image37.png"/><Relationship Id="rId75" Type="http://schemas.openxmlformats.org/officeDocument/2006/relationships/image" Target="media/image36.jpeg"/><Relationship Id="rId74" Type="http://schemas.openxmlformats.org/officeDocument/2006/relationships/image" Target="media/image35.jpeg"/><Relationship Id="rId73" Type="http://schemas.openxmlformats.org/officeDocument/2006/relationships/image" Target="media/image34.jpeg"/><Relationship Id="rId72" Type="http://schemas.openxmlformats.org/officeDocument/2006/relationships/image" Target="media/image33.png"/><Relationship Id="rId71" Type="http://schemas.openxmlformats.org/officeDocument/2006/relationships/image" Target="media/image32.png"/><Relationship Id="rId70" Type="http://schemas.openxmlformats.org/officeDocument/2006/relationships/image" Target="media/image31.wmf"/><Relationship Id="rId7" Type="http://schemas.openxmlformats.org/officeDocument/2006/relationships/header" Target="header3.xml"/><Relationship Id="rId69" Type="http://schemas.openxmlformats.org/officeDocument/2006/relationships/oleObject" Target="embeddings/oleObject4.bin"/><Relationship Id="rId68" Type="http://schemas.openxmlformats.org/officeDocument/2006/relationships/image" Target="media/image30.emf"/><Relationship Id="rId67" Type="http://schemas.openxmlformats.org/officeDocument/2006/relationships/oleObject" Target="embeddings/oleObject3.bin"/><Relationship Id="rId66" Type="http://schemas.openxmlformats.org/officeDocument/2006/relationships/image" Target="media/image29.png"/><Relationship Id="rId65" Type="http://schemas.openxmlformats.org/officeDocument/2006/relationships/image" Target="media/image28.png"/><Relationship Id="rId64" Type="http://schemas.openxmlformats.org/officeDocument/2006/relationships/image" Target="media/image27.jpeg"/><Relationship Id="rId63" Type="http://schemas.openxmlformats.org/officeDocument/2006/relationships/image" Target="media/image26.jpeg"/><Relationship Id="rId62" Type="http://schemas.openxmlformats.org/officeDocument/2006/relationships/image" Target="media/image25.png"/><Relationship Id="rId61" Type="http://schemas.openxmlformats.org/officeDocument/2006/relationships/image" Target="media/image24.jpeg"/><Relationship Id="rId60" Type="http://schemas.openxmlformats.org/officeDocument/2006/relationships/image" Target="media/image23.png"/><Relationship Id="rId6" Type="http://schemas.openxmlformats.org/officeDocument/2006/relationships/header" Target="header2.xml"/><Relationship Id="rId59" Type="http://schemas.openxmlformats.org/officeDocument/2006/relationships/image" Target="media/image22.jpeg"/><Relationship Id="rId58" Type="http://schemas.openxmlformats.org/officeDocument/2006/relationships/image" Target="media/image21.png"/><Relationship Id="rId57" Type="http://schemas.openxmlformats.org/officeDocument/2006/relationships/image" Target="media/image20.png"/><Relationship Id="rId56" Type="http://schemas.openxmlformats.org/officeDocument/2006/relationships/image" Target="media/image19.png"/><Relationship Id="rId55" Type="http://schemas.openxmlformats.org/officeDocument/2006/relationships/image" Target="media/image18.png"/><Relationship Id="rId54" Type="http://schemas.openxmlformats.org/officeDocument/2006/relationships/image" Target="media/image17.png"/><Relationship Id="rId53" Type="http://schemas.openxmlformats.org/officeDocument/2006/relationships/image" Target="media/image16.png"/><Relationship Id="rId52" Type="http://schemas.openxmlformats.org/officeDocument/2006/relationships/image" Target="media/image15.emf"/><Relationship Id="rId51" Type="http://schemas.openxmlformats.org/officeDocument/2006/relationships/oleObject" Target="embeddings/oleObject2.bin"/><Relationship Id="rId50" Type="http://schemas.openxmlformats.org/officeDocument/2006/relationships/image" Target="media/image14.emf"/><Relationship Id="rId5" Type="http://schemas.openxmlformats.org/officeDocument/2006/relationships/header" Target="header1.xml"/><Relationship Id="rId49" Type="http://schemas.openxmlformats.org/officeDocument/2006/relationships/oleObject" Target="embeddings/oleObject1.bin"/><Relationship Id="rId48" Type="http://schemas.openxmlformats.org/officeDocument/2006/relationships/image" Target="media/image13.png"/><Relationship Id="rId47" Type="http://schemas.openxmlformats.org/officeDocument/2006/relationships/image" Target="media/image12.png"/><Relationship Id="rId46" Type="http://schemas.openxmlformats.org/officeDocument/2006/relationships/image" Target="media/image11.png"/><Relationship Id="rId45" Type="http://schemas.openxmlformats.org/officeDocument/2006/relationships/image" Target="media/image10.png"/><Relationship Id="rId44" Type="http://schemas.openxmlformats.org/officeDocument/2006/relationships/image" Target="media/image9.png"/><Relationship Id="rId43" Type="http://schemas.openxmlformats.org/officeDocument/2006/relationships/image" Target="media/image8.png"/><Relationship Id="rId42" Type="http://schemas.openxmlformats.org/officeDocument/2006/relationships/image" Target="media/image7.png"/><Relationship Id="rId41" Type="http://schemas.openxmlformats.org/officeDocument/2006/relationships/image" Target="media/image6.png"/><Relationship Id="rId40" Type="http://schemas.openxmlformats.org/officeDocument/2006/relationships/image" Target="media/image5.png"/><Relationship Id="rId4" Type="http://schemas.openxmlformats.org/officeDocument/2006/relationships/endnotes" Target="endnotes.xml"/><Relationship Id="rId39" Type="http://schemas.openxmlformats.org/officeDocument/2006/relationships/image" Target="media/image4.emf"/><Relationship Id="rId38" Type="http://schemas.openxmlformats.org/officeDocument/2006/relationships/image" Target="media/image3.jpeg"/><Relationship Id="rId37" Type="http://schemas.openxmlformats.org/officeDocument/2006/relationships/image" Target="media/image2.jpeg"/><Relationship Id="rId36" Type="http://schemas.openxmlformats.org/officeDocument/2006/relationships/image" Target="media/image1.wmf"/><Relationship Id="rId35" Type="http://schemas.openxmlformats.org/officeDocument/2006/relationships/theme" Target="theme/theme1.xml"/><Relationship Id="rId34" Type="http://schemas.openxmlformats.org/officeDocument/2006/relationships/footer" Target="footer10.xml"/><Relationship Id="rId33" Type="http://schemas.openxmlformats.org/officeDocument/2006/relationships/header" Target="header20.xml"/><Relationship Id="rId32" Type="http://schemas.openxmlformats.org/officeDocument/2006/relationships/header" Target="header19.xml"/><Relationship Id="rId31" Type="http://schemas.openxmlformats.org/officeDocument/2006/relationships/header" Target="header18.xml"/><Relationship Id="rId30" Type="http://schemas.openxmlformats.org/officeDocument/2006/relationships/header" Target="header17.xml"/><Relationship Id="rId3" Type="http://schemas.openxmlformats.org/officeDocument/2006/relationships/footnotes" Target="footnotes.xml"/><Relationship Id="rId29" Type="http://schemas.openxmlformats.org/officeDocument/2006/relationships/header" Target="header16.xml"/><Relationship Id="rId28" Type="http://schemas.openxmlformats.org/officeDocument/2006/relationships/header" Target="header15.xml"/><Relationship Id="rId27" Type="http://schemas.openxmlformats.org/officeDocument/2006/relationships/footer" Target="footer9.xml"/><Relationship Id="rId26" Type="http://schemas.openxmlformats.org/officeDocument/2006/relationships/header" Target="header14.xml"/><Relationship Id="rId25" Type="http://schemas.openxmlformats.org/officeDocument/2006/relationships/header" Target="header13.xml"/><Relationship Id="rId24" Type="http://schemas.openxmlformats.org/officeDocument/2006/relationships/header" Target="header12.xml"/><Relationship Id="rId23" Type="http://schemas.openxmlformats.org/officeDocument/2006/relationships/header" Target="header11.xml"/><Relationship Id="rId225" Type="http://schemas.openxmlformats.org/officeDocument/2006/relationships/fontTable" Target="fontTable.xml"/><Relationship Id="rId224" Type="http://schemas.openxmlformats.org/officeDocument/2006/relationships/customXml" Target="../customXml/item3.xml"/><Relationship Id="rId223" Type="http://schemas.openxmlformats.org/officeDocument/2006/relationships/customXml" Target="../customXml/item2.xml"/><Relationship Id="rId222" Type="http://schemas.openxmlformats.org/officeDocument/2006/relationships/numbering" Target="numbering.xml"/><Relationship Id="rId221" Type="http://schemas.openxmlformats.org/officeDocument/2006/relationships/customXml" Target="../customXml/item1.xml"/><Relationship Id="rId220" Type="http://schemas.openxmlformats.org/officeDocument/2006/relationships/image" Target="media/image150.jpeg"/><Relationship Id="rId22" Type="http://schemas.openxmlformats.org/officeDocument/2006/relationships/header" Target="header10.xml"/><Relationship Id="rId219" Type="http://schemas.openxmlformats.org/officeDocument/2006/relationships/image" Target="media/image149.wmf"/><Relationship Id="rId218" Type="http://schemas.openxmlformats.org/officeDocument/2006/relationships/oleObject" Target="embeddings/oleObject35.bin"/><Relationship Id="rId217" Type="http://schemas.openxmlformats.org/officeDocument/2006/relationships/image" Target="media/image148.wmf"/><Relationship Id="rId216" Type="http://schemas.openxmlformats.org/officeDocument/2006/relationships/oleObject" Target="embeddings/oleObject34.bin"/><Relationship Id="rId215" Type="http://schemas.openxmlformats.org/officeDocument/2006/relationships/image" Target="media/image147.wmf"/><Relationship Id="rId214" Type="http://schemas.openxmlformats.org/officeDocument/2006/relationships/oleObject" Target="embeddings/oleObject33.bin"/><Relationship Id="rId213" Type="http://schemas.openxmlformats.org/officeDocument/2006/relationships/image" Target="media/image146.wmf"/><Relationship Id="rId212" Type="http://schemas.openxmlformats.org/officeDocument/2006/relationships/oleObject" Target="embeddings/oleObject32.bin"/><Relationship Id="rId211" Type="http://schemas.openxmlformats.org/officeDocument/2006/relationships/image" Target="media/image145.wmf"/><Relationship Id="rId210" Type="http://schemas.openxmlformats.org/officeDocument/2006/relationships/oleObject" Target="embeddings/oleObject31.bin"/><Relationship Id="rId21" Type="http://schemas.openxmlformats.org/officeDocument/2006/relationships/footer" Target="footer8.xml"/><Relationship Id="rId209" Type="http://schemas.openxmlformats.org/officeDocument/2006/relationships/image" Target="media/image144.wmf"/><Relationship Id="rId208" Type="http://schemas.openxmlformats.org/officeDocument/2006/relationships/oleObject" Target="embeddings/oleObject30.bin"/><Relationship Id="rId207" Type="http://schemas.openxmlformats.org/officeDocument/2006/relationships/image" Target="media/image143.wmf"/><Relationship Id="rId206" Type="http://schemas.openxmlformats.org/officeDocument/2006/relationships/oleObject" Target="embeddings/oleObject29.bin"/><Relationship Id="rId205" Type="http://schemas.openxmlformats.org/officeDocument/2006/relationships/image" Target="media/image142.wmf"/><Relationship Id="rId204" Type="http://schemas.openxmlformats.org/officeDocument/2006/relationships/oleObject" Target="embeddings/oleObject28.bin"/><Relationship Id="rId203" Type="http://schemas.openxmlformats.org/officeDocument/2006/relationships/image" Target="media/image141.wmf"/><Relationship Id="rId202" Type="http://schemas.openxmlformats.org/officeDocument/2006/relationships/oleObject" Target="embeddings/oleObject27.bin"/><Relationship Id="rId201" Type="http://schemas.openxmlformats.org/officeDocument/2006/relationships/image" Target="media/image140.wmf"/><Relationship Id="rId200" Type="http://schemas.openxmlformats.org/officeDocument/2006/relationships/oleObject" Target="embeddings/oleObject26.bin"/><Relationship Id="rId20" Type="http://schemas.openxmlformats.org/officeDocument/2006/relationships/footer" Target="footer7.xml"/><Relationship Id="rId2" Type="http://schemas.openxmlformats.org/officeDocument/2006/relationships/settings" Target="settings.xml"/><Relationship Id="rId199" Type="http://schemas.openxmlformats.org/officeDocument/2006/relationships/image" Target="media/image139.wmf"/><Relationship Id="rId198" Type="http://schemas.openxmlformats.org/officeDocument/2006/relationships/oleObject" Target="embeddings/oleObject25.bin"/><Relationship Id="rId197" Type="http://schemas.openxmlformats.org/officeDocument/2006/relationships/image" Target="media/image138.wmf"/><Relationship Id="rId196" Type="http://schemas.openxmlformats.org/officeDocument/2006/relationships/oleObject" Target="embeddings/oleObject24.bin"/><Relationship Id="rId195" Type="http://schemas.openxmlformats.org/officeDocument/2006/relationships/image" Target="media/image137.jpeg"/><Relationship Id="rId194" Type="http://schemas.openxmlformats.org/officeDocument/2006/relationships/image" Target="media/image136.jpeg"/><Relationship Id="rId193" Type="http://schemas.openxmlformats.org/officeDocument/2006/relationships/image" Target="media/image135.jpeg"/><Relationship Id="rId192" Type="http://schemas.openxmlformats.org/officeDocument/2006/relationships/image" Target="media/image134.jpeg"/><Relationship Id="rId191" Type="http://schemas.openxmlformats.org/officeDocument/2006/relationships/image" Target="media/image133.jpeg"/><Relationship Id="rId190" Type="http://schemas.openxmlformats.org/officeDocument/2006/relationships/image" Target="media/image132.jpeg"/><Relationship Id="rId19" Type="http://schemas.openxmlformats.org/officeDocument/2006/relationships/header" Target="header9.xml"/><Relationship Id="rId189" Type="http://schemas.openxmlformats.org/officeDocument/2006/relationships/image" Target="media/image131.jpeg"/><Relationship Id="rId188" Type="http://schemas.openxmlformats.org/officeDocument/2006/relationships/image" Target="media/image130.jpeg"/><Relationship Id="rId187" Type="http://schemas.openxmlformats.org/officeDocument/2006/relationships/image" Target="media/image129.wmf"/><Relationship Id="rId186" Type="http://schemas.openxmlformats.org/officeDocument/2006/relationships/image" Target="media/image128.wmf"/><Relationship Id="rId185" Type="http://schemas.openxmlformats.org/officeDocument/2006/relationships/image" Target="media/image127.wmf"/><Relationship Id="rId184" Type="http://schemas.openxmlformats.org/officeDocument/2006/relationships/image" Target="media/image126.wmf"/><Relationship Id="rId183" Type="http://schemas.openxmlformats.org/officeDocument/2006/relationships/image" Target="media/image125.wmf"/><Relationship Id="rId182" Type="http://schemas.openxmlformats.org/officeDocument/2006/relationships/image" Target="media/image124.wmf"/><Relationship Id="rId181" Type="http://schemas.openxmlformats.org/officeDocument/2006/relationships/image" Target="media/image123.wmf"/><Relationship Id="rId180" Type="http://schemas.openxmlformats.org/officeDocument/2006/relationships/image" Target="media/image122.wmf"/><Relationship Id="rId18" Type="http://schemas.openxmlformats.org/officeDocument/2006/relationships/header" Target="header8.xml"/><Relationship Id="rId179" Type="http://schemas.openxmlformats.org/officeDocument/2006/relationships/image" Target="media/image121.wmf"/><Relationship Id="rId178" Type="http://schemas.openxmlformats.org/officeDocument/2006/relationships/image" Target="media/image120.wmf"/><Relationship Id="rId177" Type="http://schemas.openxmlformats.org/officeDocument/2006/relationships/image" Target="media/image119.wmf"/><Relationship Id="rId176" Type="http://schemas.openxmlformats.org/officeDocument/2006/relationships/image" Target="media/image118.wmf"/><Relationship Id="rId175" Type="http://schemas.openxmlformats.org/officeDocument/2006/relationships/image" Target="media/image117.wmf"/><Relationship Id="rId174" Type="http://schemas.openxmlformats.org/officeDocument/2006/relationships/image" Target="media/image116.wmf"/><Relationship Id="rId173" Type="http://schemas.openxmlformats.org/officeDocument/2006/relationships/image" Target="media/image115.wmf"/><Relationship Id="rId172" Type="http://schemas.openxmlformats.org/officeDocument/2006/relationships/image" Target="media/image114.wmf"/><Relationship Id="rId171" Type="http://schemas.openxmlformats.org/officeDocument/2006/relationships/image" Target="media/image113.wmf"/><Relationship Id="rId170" Type="http://schemas.openxmlformats.org/officeDocument/2006/relationships/image" Target="media/image112.wmf"/><Relationship Id="rId17" Type="http://schemas.openxmlformats.org/officeDocument/2006/relationships/footer" Target="footer6.xml"/><Relationship Id="rId169" Type="http://schemas.openxmlformats.org/officeDocument/2006/relationships/image" Target="media/image111.wmf"/><Relationship Id="rId168" Type="http://schemas.openxmlformats.org/officeDocument/2006/relationships/image" Target="media/image110.wmf"/><Relationship Id="rId167" Type="http://schemas.openxmlformats.org/officeDocument/2006/relationships/image" Target="media/image109.wmf"/><Relationship Id="rId166" Type="http://schemas.openxmlformats.org/officeDocument/2006/relationships/image" Target="media/image108.wmf"/><Relationship Id="rId165" Type="http://schemas.openxmlformats.org/officeDocument/2006/relationships/image" Target="media/image107.wmf"/><Relationship Id="rId164" Type="http://schemas.openxmlformats.org/officeDocument/2006/relationships/image" Target="media/image106.wmf"/><Relationship Id="rId163" Type="http://schemas.openxmlformats.org/officeDocument/2006/relationships/image" Target="media/image105.wmf"/><Relationship Id="rId162" Type="http://schemas.openxmlformats.org/officeDocument/2006/relationships/image" Target="media/image104.wmf"/><Relationship Id="rId161" Type="http://schemas.openxmlformats.org/officeDocument/2006/relationships/image" Target="media/image103.wmf"/><Relationship Id="rId160" Type="http://schemas.openxmlformats.org/officeDocument/2006/relationships/image" Target="media/image102.wmf"/><Relationship Id="rId16" Type="http://schemas.openxmlformats.org/officeDocument/2006/relationships/footer" Target="footer5.xml"/><Relationship Id="rId159" Type="http://schemas.openxmlformats.org/officeDocument/2006/relationships/image" Target="media/image101.wmf"/><Relationship Id="rId158" Type="http://schemas.openxmlformats.org/officeDocument/2006/relationships/image" Target="media/image100.wmf"/><Relationship Id="rId157" Type="http://schemas.openxmlformats.org/officeDocument/2006/relationships/image" Target="media/image99.wmf"/><Relationship Id="rId156" Type="http://schemas.openxmlformats.org/officeDocument/2006/relationships/image" Target="media/image98.wmf"/><Relationship Id="rId155" Type="http://schemas.openxmlformats.org/officeDocument/2006/relationships/image" Target="media/image97.wmf"/><Relationship Id="rId154" Type="http://schemas.openxmlformats.org/officeDocument/2006/relationships/image" Target="media/image96.wmf"/><Relationship Id="rId153" Type="http://schemas.openxmlformats.org/officeDocument/2006/relationships/image" Target="media/image95.wmf"/><Relationship Id="rId152" Type="http://schemas.openxmlformats.org/officeDocument/2006/relationships/image" Target="media/image94.wmf"/><Relationship Id="rId151" Type="http://schemas.openxmlformats.org/officeDocument/2006/relationships/image" Target="media/image93.wmf"/><Relationship Id="rId150" Type="http://schemas.openxmlformats.org/officeDocument/2006/relationships/image" Target="media/image92.wmf"/><Relationship Id="rId15" Type="http://schemas.openxmlformats.org/officeDocument/2006/relationships/footer" Target="footer4.xml"/><Relationship Id="rId149" Type="http://schemas.openxmlformats.org/officeDocument/2006/relationships/image" Target="media/image91.png"/><Relationship Id="rId148" Type="http://schemas.openxmlformats.org/officeDocument/2006/relationships/image" Target="media/image90.png"/><Relationship Id="rId147" Type="http://schemas.openxmlformats.org/officeDocument/2006/relationships/image" Target="media/image89.png"/><Relationship Id="rId146" Type="http://schemas.openxmlformats.org/officeDocument/2006/relationships/image" Target="media/image88.png"/><Relationship Id="rId145" Type="http://schemas.openxmlformats.org/officeDocument/2006/relationships/image" Target="media/image87.jpeg"/><Relationship Id="rId144" Type="http://schemas.openxmlformats.org/officeDocument/2006/relationships/image" Target="media/image86.jpeg"/><Relationship Id="rId143" Type="http://schemas.openxmlformats.org/officeDocument/2006/relationships/image" Target="media/image85.jpeg"/><Relationship Id="rId142" Type="http://schemas.openxmlformats.org/officeDocument/2006/relationships/image" Target="media/image84.jpeg"/><Relationship Id="rId141" Type="http://schemas.openxmlformats.org/officeDocument/2006/relationships/image" Target="media/image83.png"/><Relationship Id="rId140" Type="http://schemas.openxmlformats.org/officeDocument/2006/relationships/image" Target="media/image82.png"/><Relationship Id="rId14" Type="http://schemas.openxmlformats.org/officeDocument/2006/relationships/header" Target="header7.xml"/><Relationship Id="rId139" Type="http://schemas.openxmlformats.org/officeDocument/2006/relationships/image" Target="media/image81.png"/><Relationship Id="rId138" Type="http://schemas.openxmlformats.org/officeDocument/2006/relationships/image" Target="media/image80.wmf"/><Relationship Id="rId137" Type="http://schemas.openxmlformats.org/officeDocument/2006/relationships/image" Target="media/image79.png"/><Relationship Id="rId136" Type="http://schemas.openxmlformats.org/officeDocument/2006/relationships/image" Target="media/image78.png"/><Relationship Id="rId135" Type="http://schemas.openxmlformats.org/officeDocument/2006/relationships/image" Target="media/image77.png"/><Relationship Id="rId134" Type="http://schemas.openxmlformats.org/officeDocument/2006/relationships/image" Target="media/image76.png"/><Relationship Id="rId133" Type="http://schemas.openxmlformats.org/officeDocument/2006/relationships/image" Target="media/image75.png"/><Relationship Id="rId132" Type="http://schemas.openxmlformats.org/officeDocument/2006/relationships/image" Target="media/image74.png"/><Relationship Id="rId131" Type="http://schemas.openxmlformats.org/officeDocument/2006/relationships/image" Target="media/image73.png"/><Relationship Id="rId130" Type="http://schemas.openxmlformats.org/officeDocument/2006/relationships/image" Target="media/image72.png"/><Relationship Id="rId13" Type="http://schemas.openxmlformats.org/officeDocument/2006/relationships/header" Target="header6.xml"/><Relationship Id="rId129" Type="http://schemas.openxmlformats.org/officeDocument/2006/relationships/image" Target="media/image71.wmf"/><Relationship Id="rId128" Type="http://schemas.openxmlformats.org/officeDocument/2006/relationships/oleObject" Target="embeddings/oleObject23.bin"/><Relationship Id="rId127" Type="http://schemas.openxmlformats.org/officeDocument/2006/relationships/image" Target="media/image70.wmf"/><Relationship Id="rId126" Type="http://schemas.openxmlformats.org/officeDocument/2006/relationships/oleObject" Target="embeddings/oleObject22.bin"/><Relationship Id="rId125" Type="http://schemas.openxmlformats.org/officeDocument/2006/relationships/image" Target="media/image69.wmf"/><Relationship Id="rId124" Type="http://schemas.openxmlformats.org/officeDocument/2006/relationships/oleObject" Target="embeddings/oleObject21.bin"/><Relationship Id="rId123" Type="http://schemas.openxmlformats.org/officeDocument/2006/relationships/image" Target="media/image68.wmf"/><Relationship Id="rId122" Type="http://schemas.openxmlformats.org/officeDocument/2006/relationships/oleObject" Target="embeddings/oleObject20.bin"/><Relationship Id="rId121" Type="http://schemas.openxmlformats.org/officeDocument/2006/relationships/image" Target="media/image67.wmf"/><Relationship Id="rId120" Type="http://schemas.openxmlformats.org/officeDocument/2006/relationships/oleObject" Target="embeddings/oleObject19.bin"/><Relationship Id="rId12" Type="http://schemas.openxmlformats.org/officeDocument/2006/relationships/header" Target="header5.xml"/><Relationship Id="rId119" Type="http://schemas.openxmlformats.org/officeDocument/2006/relationships/image" Target="media/image66.wmf"/><Relationship Id="rId118" Type="http://schemas.openxmlformats.org/officeDocument/2006/relationships/oleObject" Target="embeddings/oleObject18.bin"/><Relationship Id="rId117" Type="http://schemas.openxmlformats.org/officeDocument/2006/relationships/image" Target="media/image65.wmf"/><Relationship Id="rId116" Type="http://schemas.openxmlformats.org/officeDocument/2006/relationships/oleObject" Target="embeddings/oleObject17.bin"/><Relationship Id="rId115" Type="http://schemas.openxmlformats.org/officeDocument/2006/relationships/image" Target="media/image64.wmf"/><Relationship Id="rId114" Type="http://schemas.openxmlformats.org/officeDocument/2006/relationships/oleObject" Target="embeddings/oleObject16.bin"/><Relationship Id="rId113" Type="http://schemas.openxmlformats.org/officeDocument/2006/relationships/image" Target="media/image63.wmf"/><Relationship Id="rId112" Type="http://schemas.openxmlformats.org/officeDocument/2006/relationships/oleObject" Target="embeddings/oleObject15.bin"/><Relationship Id="rId111" Type="http://schemas.openxmlformats.org/officeDocument/2006/relationships/image" Target="media/image62.wmf"/><Relationship Id="rId110" Type="http://schemas.openxmlformats.org/officeDocument/2006/relationships/oleObject" Target="embeddings/oleObject14.bin"/><Relationship Id="rId11" Type="http://schemas.openxmlformats.org/officeDocument/2006/relationships/header" Target="header4.xml"/><Relationship Id="rId109" Type="http://schemas.openxmlformats.org/officeDocument/2006/relationships/image" Target="media/image61.wmf"/><Relationship Id="rId108" Type="http://schemas.openxmlformats.org/officeDocument/2006/relationships/oleObject" Target="embeddings/oleObject13.bin"/><Relationship Id="rId107" Type="http://schemas.openxmlformats.org/officeDocument/2006/relationships/image" Target="media/image60.wmf"/><Relationship Id="rId106" Type="http://schemas.openxmlformats.org/officeDocument/2006/relationships/oleObject" Target="embeddings/oleObject12.bin"/><Relationship Id="rId105" Type="http://schemas.openxmlformats.org/officeDocument/2006/relationships/image" Target="media/image59.wmf"/><Relationship Id="rId104" Type="http://schemas.openxmlformats.org/officeDocument/2006/relationships/oleObject" Target="embeddings/oleObject11.bin"/><Relationship Id="rId103" Type="http://schemas.openxmlformats.org/officeDocument/2006/relationships/image" Target="media/image58.wmf"/><Relationship Id="rId102" Type="http://schemas.openxmlformats.org/officeDocument/2006/relationships/oleObject" Target="embeddings/oleObject10.bin"/><Relationship Id="rId101" Type="http://schemas.openxmlformats.org/officeDocument/2006/relationships/image" Target="media/image57.wmf"/><Relationship Id="rId100" Type="http://schemas.openxmlformats.org/officeDocument/2006/relationships/oleObject" Target="embeddings/oleObject9.bin"/><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556a42cd-43de-45fd-af26-9a24aaf323db</errorID>
      <errorWord>相关</errorWord>
      <group>L1_AI</group>
      <groupName>深度校对</groupName>
      <ability>L2_AI_Grammar</ability>
      <abilityName>语法纠错</abilityName>
      <candidateList>
        <item>相关内容</item>
      </candidateList>
      <explain/>
      <paraID> A30D105</paraID>
      <start>15</start>
      <end>17</end>
      <status>unmodified</status>
      <modifiedWord/>
      <trackRevisions>false</trackRevisions>
    </reviewItem>
    <reviewItem>
      <errorID>1f7d0a46-cc32-4ecd-9f01-6a313b6e226d</errorID>
      <errorWord>(</errorWord>
      <group>L1_Format</group>
      <groupName>格式问题</groupName>
      <ability>L2_HalfPunc</ability>
      <abilityName>全半角检查</abilityName>
      <candidateList>
        <item>（</item>
      </candidateList>
      <explain>文本全半角错误。</explain>
      <paraID>71D1AB4A</paraID>
      <start>18</start>
      <end>19</end>
      <status>unmodified</status>
      <modifiedWord/>
      <trackRevisions>false</trackRevisions>
    </reviewItem>
    <reviewItem>
      <errorID>d59be30d-f1d9-414e-b9d3-415dc8f6bbcd</errorID>
      <errorWord>)</errorWord>
      <group>L1_Format</group>
      <groupName>格式问题</groupName>
      <ability>L2_HalfPunc</ability>
      <abilityName>全半角检查</abilityName>
      <candidateList>
        <item>）</item>
      </candidateList>
      <explain>文本全半角错误。</explain>
      <paraID>71D1AB4A</paraID>
      <start>29</start>
      <end>30</end>
      <status>unmodified</status>
      <modifiedWord/>
      <trackRevisions>false</trackRevisions>
    </reviewItem>
    <reviewItem>
      <errorID>fc98957b-9abd-4015-b271-6364d0091534</errorID>
      <errorWord>48h</errorWord>
      <group>L1_AI</group>
      <groupName>深度校对</groupName>
      <ability>L2_AI_Word</ability>
      <abilityName>字词纠错</abilityName>
      <candidateList>
        <item>48小时</item>
      </candidateList>
      <explain/>
      <paraID>1897FBA8</paraID>
      <start>13</start>
      <end>17</end>
      <status>modified</status>
      <modifiedWord>48小时</modifiedWord>
      <trackRevisions>false</trackRevisions>
    </reviewItem>
    <reviewItem>
      <errorID>a497e3a8-2610-4a5e-be99-026ed14b108e</errorID>
      <errorWord>330d</errorWord>
      <group>L1_AI</group>
      <groupName>深度校对</groupName>
      <ability>L2_AI_Word</ability>
      <abilityName>字词纠错</abilityName>
      <candidateList>
        <item>330天</item>
      </candidateList>
      <explain/>
      <paraID> 4B1FEF1</paraID>
      <start>18</start>
      <end>22</end>
      <status>modified</status>
      <modifiedWord>330天</modifiedWord>
      <trackRevisions>false</trackRevisions>
    </reviewItem>
    <reviewItem>
      <errorID>3b2a9dc3-c773-47fb-8608-1e06fd0bb5b6</errorID>
      <errorWord>泄露</errorWord>
      <group>L1_Word</group>
      <groupName>字词问题</groupName>
      <ability>L2_Typo</ability>
      <abilityName>字词错误</abilityName>
      <candidateList>
        <item>泄漏</item>
      </candidateList>
      <explain/>
      <paraID> A7E0DF2</paraID>
      <start>20</start>
      <end>22</end>
      <status>unmodified</status>
      <modifiedWord/>
      <trackRevisions>false</trackRevisions>
    </reviewItem>
    <reviewItem>
      <errorID>6bd13086-b837-48f9-b979-4952acc8aba1</errorID>
      <errorWord>底</errorWord>
      <group>L1_AI</group>
      <groupName>深度校对</groupName>
      <ability>L2_AI_Word</ability>
      <abilityName>字词纠错</abilityName>
      <candidateList>
        <item>年底</item>
      </candidateList>
      <explain/>
      <paraID>58E67BFC</paraID>
      <start>30</start>
      <end>31</end>
      <status>unmodified</status>
      <modifiedWord/>
      <trackRevisions>false</trackRevisions>
    </reviewItem>
    <reviewItem>
      <errorID>38cb2723-77cf-4be6-aff4-6ead796152a8</errorID>
      <errorWord>号泊位</errorWord>
      <group>L1_AI</group>
      <groupName>深度校对</groupName>
      <ability>L2_AI_Grammar</ability>
      <abilityName>语法纠错</abilityName>
      <candidateList>
        <item>号</item>
      </candidateList>
      <explain/>
      <paraID>39448034</paraID>
      <start>88</start>
      <end>91</end>
      <status>unmodified</status>
      <modifiedWord/>
      <trackRevisions>false</trackRevisions>
    </reviewItem>
    <reviewItem>
      <errorID>67605fba-d602-4573-b1fe-67db2973370b</errorID>
      <errorWord>。</errorWord>
      <group>L1_AI</group>
      <groupName>深度校对</groupName>
      <ability>L2_AI_Grammar</ability>
      <abilityName>语法纠错</abilityName>
      <candidateList>
        <item>的作用。</item>
      </candidateList>
      <explain/>
      <paraID>39448034</paraID>
      <start>146</start>
      <end>147</end>
      <status>unmodified</status>
      <modifiedWord/>
      <trackRevisions>false</trackRevisions>
    </reviewItem>
    <reviewItem>
      <errorID>997560ac-f654-4ae0-800b-55ec880d3b23</errorID>
      <errorWord> </errorWord>
      <group>L1_AI</group>
      <groupName>深度校对</groupName>
      <ability>L2_AI_Punc</ability>
      <abilityName>标点纠错</abilityName>
      <candidateList>
        <item/>
      </candidateList>
      <explain>此处空格冗余，建议删除。</explain>
      <paraID> 4935EAB</paraID>
      <start>108</start>
      <end>109</end>
      <status>unmodified</status>
      <modifiedWord/>
      <trackRevisions>false</trackRevisions>
    </reviewItem>
    <reviewItem>
      <errorID>09c925be-56ee-41ac-8af8-5cadd2f523be</errorID>
      <errorWord> </errorWord>
      <group>L1_AI</group>
      <groupName>深度校对</groupName>
      <ability>L2_AI_Punc</ability>
      <abilityName>标点纠错</abilityName>
      <candidateList>
        <item/>
      </candidateList>
      <explain>此处空格冗余，建议删除。</explain>
      <paraID> 4935EAB</paraID>
      <start>110</start>
      <end>111</end>
      <status>unmodified</status>
      <modifiedWord/>
      <trackRevisions>false</trackRevisions>
    </reviewItem>
    <reviewItem>
      <errorID>0ca1b646-cb96-4e21-9a38-6f24d86414b6</errorID>
      <errorWord> </errorWord>
      <group>L1_AI</group>
      <groupName>深度校对</groupName>
      <ability>L2_AI_Punc</ability>
      <abilityName>标点纠错</abilityName>
      <candidateList>
        <item>、</item>
      </candidateList>
      <explain/>
      <paraID> 4935EAB</paraID>
      <start>112</start>
      <end>113</end>
      <status>unmodified</status>
      <modifiedWord/>
      <trackRevisions>false</trackRevisions>
    </reviewItem>
    <reviewItem>
      <errorID>19a666b7-996c-4c90-8201-34d30ed5af87</errorID>
      <errorWord> </errorWord>
      <group>L1_AI</group>
      <groupName>深度校对</groupName>
      <ability>L2_AI_Punc</ability>
      <abilityName>标点纠错</abilityName>
      <candidateList>
        <item/>
      </candidateList>
      <explain>此处空格冗余，建议删除。</explain>
      <paraID> 4935EAB</paraID>
      <start>115</start>
      <end>116</end>
      <status>unmodified</status>
      <modifiedWord/>
      <trackRevisions>false</trackRevisions>
    </reviewItem>
    <reviewItem>
      <errorID>7dd59051-c771-48f6-b773-1a694f60a9ea</errorID>
      <errorWord>建设</errorWord>
      <group>L1_AI</group>
      <groupName>深度校对</groupName>
      <ability>L2_AI_Word</ability>
      <abilityName>字词纠错</abilityName>
      <candidateList>
        <item>已建设</item>
      </candidateList>
      <explain/>
      <paraID> 4935EAB</paraID>
      <start>125</start>
      <end>127</end>
      <status>unmodified</status>
      <modifiedWord/>
      <trackRevisions>false</trackRevisions>
    </reviewItem>
    <reviewItem>
      <errorID>ef3a5701-377d-40a7-af4c-b35fa40f8f3e</errorID>
      <errorWord>护岸建设</errorWord>
      <group>L1_AI</group>
      <groupName>深度校对</groupName>
      <ability>L2_AI_Grammar</ability>
      <abilityName>语法纠错</abilityName>
      <candidateList>
        <item>护岸</item>
      </candidateList>
      <explain/>
      <paraID> 4935EAB</paraID>
      <start>133</start>
      <end>137</end>
      <status>unmodified</status>
      <modifiedWord/>
      <trackRevisions>false</trackRevisions>
    </reviewItem>
    <reviewItem>
      <errorID>d22563f5-2f34-4984-90cc-d59379f10fc7</errorID>
      <errorWord>影响影响</errorWord>
      <group>L1_Word</group>
      <groupName>字词问题</groupName>
      <ability>L2_Typo</ability>
      <abilityName>字词错误</abilityName>
      <candidateList>
        <item>影响</item>
      </candidateList>
      <explain>❶〈动〉对别人的思想或行动起作用（如影之随形，响之应声）：父母应该用自己的模范行动去～孩子。❷〈名〉对人或事物所起的作用：这件事造成很大的～。❸〈书〉〈形〉传闻的；无根据的：模糊～之谈。</explain>
      <paraID>58912E7D</paraID>
      <start>325</start>
      <end>327</end>
      <status>modified</status>
      <modifiedWord>影响</modifiedWord>
      <trackRevisions>false</trackRevisions>
    </reviewItem>
    <reviewItem>
      <errorID>21aaf848-cd16-4329-9fb5-9e7d3a609690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3210975F</paraID>
      <start>0</start>
      <end>2</end>
      <status>unmodified</status>
      <modifiedWord/>
      <trackRevisions>false</trackRevisions>
    </reviewItem>
    <reviewItem>
      <errorID>fe116269-901c-4d8d-a91f-50fd0b8e51c2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2C55CDCE</paraID>
      <start>0</start>
      <end>2</end>
      <status>unmodified</status>
      <modifiedWord/>
      <trackRevisions>false</trackRevisions>
    </reviewItem>
    <reviewItem>
      <errorID>bbe83fe9-0f53-49a2-999e-8e418ef91b17</errorID>
      <errorWord>《</errorWord>
      <group>L1_Punc</group>
      <groupName>标点问题</groupName>
      <ability>L2_Punc</ability>
      <abilityName>标点符号检查</abilityName>
      <candidateList/>
      <explain>同一形式括号套用。</explain>
      <paraID>72C52D2D</paraID>
      <start>17</start>
      <end>18</end>
      <status>unmodified</status>
      <modifiedWord/>
      <trackRevisions>false</trackRevisions>
    </reviewItem>
    <reviewItem>
      <errorID>2580275f-7401-42ea-ae2d-7ea5858c3800</errorID>
      <errorWord>》</errorWord>
      <group>L1_Punc</group>
      <groupName>标点问题</groupName>
      <ability>L2_Punc</ability>
      <abilityName>标点符号检查</abilityName>
      <candidateList/>
      <explain>同一形式括号套用。</explain>
      <paraID>72C52D2D</paraID>
      <start>42</start>
      <end>43</end>
      <status>unmodified</status>
      <modifiedWord/>
      <trackRevisions>false</trackRevisions>
    </reviewItem>
    <reviewItem>
      <errorID>3dbe45b9-46be-4510-a402-44a06bae28dc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11631348</paraID>
      <start>0</start>
      <end>2</end>
      <status>unmodified</status>
      <modifiedWord/>
      <trackRevisions>false</trackRevisions>
    </reviewItem>
    <reviewItem>
      <errorID>eb4bedcf-819e-4a4c-92f7-6fb70b71b9f4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6A904F8D</paraID>
      <start>0</start>
      <end>2</end>
      <status>unmodified</status>
      <modifiedWord/>
      <trackRevisions>false</trackRevisions>
    </reviewItem>
    <reviewItem>
      <errorID>5b2f453c-095b-4131-a53e-5586a659912e</errorID>
      <errorWord>泄露</errorWord>
      <group>L1_Word</group>
      <groupName>字词问题</groupName>
      <ability>L2_Typo</ability>
      <abilityName>字词错误</abilityName>
      <candidateList>
        <item>泄漏</item>
      </candidateList>
      <explain/>
      <paraID>2311A207</paraID>
      <start>140</start>
      <end>142</end>
      <status>unmodified</status>
      <modifiedWord/>
      <trackRevisions>false</trackRevisions>
    </reviewItem>
    <reviewItem>
      <errorID>8221d720-8b91-4b75-91f0-be28c0b13250</errorID>
      <errorWord>农业部</errorWord>
      <group>L1_Knowledge</group>
      <groupName>知识性问题</groupName>
      <ability>L2_Knowledge</ability>
      <abilityName>其他知识</abilityName>
      <candidateList>
        <item>农业农村部</item>
      </candidateList>
      <explain/>
      <paraID>45BAB65F</paraID>
      <start>7</start>
      <end>12</end>
      <status>modified</status>
      <modifiedWord>农业农村部</modifiedWord>
      <trackRevisions>false</trackRevisions>
    </reviewItem>
    <reviewItem>
      <errorID>cabf6fa4-b1f3-42fb-9fa4-74922cae9d5b</errorID>
      <errorWord>&lt;</errorWord>
      <group>L1_Format</group>
      <groupName>格式问题</groupName>
      <ability>L2_HalfPunc</ability>
      <abilityName>全半角检查</abilityName>
      <candidateList>
        <item>〈</item>
      </candidateList>
      <explain>文本全半角错误。</explain>
      <paraID>26F33819</paraID>
      <start>8</start>
      <end>9</end>
      <status>unmodified</status>
      <modifiedWord/>
      <trackRevisions>false</trackRevisions>
    </reviewItem>
    <reviewItem>
      <errorID>4aef2de2-4df6-43eb-b327-66e833220ecf</errorID>
      <errorWord>&gt;的通知》</errorWord>
      <group>L1_Punc</group>
      <groupName>标点问题</groupName>
      <ability>L2_Punc</ability>
      <abilityName>标点符号检查</abilityName>
      <candidateList>
        <item>〉的通知》</item>
      </candidateList>
      <explain/>
      <paraID>26F33819</paraID>
      <start>21</start>
      <end>26</end>
      <status>unmodified</status>
      <modifiedWord/>
      <trackRevisions>false</trackRevisions>
    </reviewItem>
    <reviewItem>
      <errorID>358ab1ea-fcd0-4f5c-8892-a259c7ff1282</errorID>
      <errorWord>&lt;</errorWord>
      <group>L1_Format</group>
      <groupName>格式问题</groupName>
      <ability>L2_HalfPunc</ability>
      <abilityName>全半角检查</abilityName>
      <candidateList>
        <item>〈</item>
      </candidateList>
      <explain>文本全半角错误。</explain>
      <paraID>1CE93B80</paraID>
      <start>5</start>
      <end>6</end>
      <status>unmodified</status>
      <modifiedWord/>
      <trackRevisions>false</trackRevisions>
    </reviewItem>
    <reviewItem>
      <errorID>d34fdbbf-7e11-4d33-bf2c-0e3fe3e15357</errorID>
      <errorWord>&gt;的通知》</errorWord>
      <group>L1_Punc</group>
      <groupName>标点问题</groupName>
      <ability>L2_Punc</ability>
      <abilityName>标点符号检查</abilityName>
      <candidateList>
        <item>〉的通知》</item>
      </candidateList>
      <explain/>
      <paraID>1CE93B80</paraID>
      <start>18</start>
      <end>23</end>
      <status>unmodified</status>
      <modifiedWord/>
      <trackRevisions>false</trackRevisions>
    </reviewItem>
    <reviewItem>
      <errorID>8a5782f2-f96c-473b-a6f0-555a637c76cd</errorID>
      <errorWord>(</errorWord>
      <group>L1_Format</group>
      <groupName>格式问题</groupName>
      <ability>L2_HalfPunc</ability>
      <abilityName>全半角检查</abilityName>
      <candidateList>
        <item>（</item>
      </candidateList>
      <explain>文本全半角错误。</explain>
      <paraID>5DD9DC8F</paraID>
      <start>31</start>
      <end>32</end>
      <status>unmodified</status>
      <modifiedWord/>
      <trackRevisions>false</trackRevisions>
    </reviewItem>
    <reviewItem>
      <errorID>40f82c79-3471-4175-aa83-c866a429fee8</errorID>
      <errorWord>)</errorWord>
      <group>L1_Format</group>
      <groupName>格式问题</groupName>
      <ability>L2_HalfPunc</ability>
      <abilityName>全半角检查</abilityName>
      <candidateList>
        <item>）</item>
      </candidateList>
      <explain>文本全半角错误。</explain>
      <paraID>5DD9DC8F</paraID>
      <start>41</start>
      <end>42</end>
      <status>unmodified</status>
      <modifiedWord/>
      <trackRevisions>false</trackRevisions>
    </reviewItem>
    <reviewItem>
      <errorID>f746cb89-7f1a-4662-9e12-2454c3fbc344</errorID>
      <errorWord>十四五规划</errorWord>
      <group>L1_Political</group>
      <groupName>政治性问题</groupName>
      <ability>L2_Keyword</ability>
      <abilityName>固定表述</abilityName>
      <candidateList>
        <item>“十四五”规划</item>
      </candidateList>
      <explain>注意检查当前固定表述标点是否使用规范。</explain>
      <paraID>72F59231</paraID>
      <start>21</start>
      <end>28</end>
      <status>modified</status>
      <modifiedWord>“十四五”规划</modifiedWord>
      <trackRevisions>false</trackRevisions>
    </reviewItem>
    <reviewItem>
      <errorID>7a4b2693-126e-48bf-9019-9ea8ca5a0f18</errorID>
      <errorWord>IV</errorWord>
      <group>L1_Knowledge</group>
      <groupName>知识性问题</groupName>
      <ability>L2_Knowledge</ability>
      <abilityName>其他知识</abilityName>
      <candidateList>
        <item>Ⅳ</item>
      </candidateList>
      <explain/>
      <paraID>62BA95C2</paraID>
      <start>2</start>
      <end>4</end>
      <status>unmodified</status>
      <modifiedWord/>
      <trackRevisions>false</trackRevisions>
    </reviewItem>
    <reviewItem>
      <errorID>711ae4d3-a3c2-446b-b2cb-2bed0a0f9ec3</errorID>
      <errorWord>(</errorWord>
      <group>L1_Format</group>
      <groupName>格式问题</groupName>
      <ability>L2_HalfPunc</ability>
      <abilityName>全半角检查</abilityName>
      <candidateList>
        <item>（</item>
      </candidateList>
      <explain>文本全半角错误。</explain>
      <paraID>39DB728C</paraID>
      <start>7</start>
      <end>8</end>
      <status>unmodified</status>
      <modifiedWord/>
      <trackRevisions>false</trackRevisions>
    </reviewItem>
    <reviewItem>
      <errorID>a1c9c5de-64a9-47ec-9247-b02fb115f0c3</errorID>
      <errorWord>)</errorWord>
      <group>L1_Format</group>
      <groupName>格式问题</groupName>
      <ability>L2_HalfPunc</ability>
      <abilityName>全半角检查</abilityName>
      <candidateList>
        <item>）</item>
      </candidateList>
      <explain>文本全半角错误。</explain>
      <paraID>39DB728C</paraID>
      <start>18</start>
      <end>19</end>
      <status>unmodified</status>
      <modifiedWord/>
      <trackRevisions>false</trackRevisions>
    </reviewItem>
    <reviewItem>
      <errorID>25085679-0f6f-42df-b672-cff7941fcf27</errorID>
      <errorWord>(</errorWord>
      <group>L1_Format</group>
      <groupName>格式问题</groupName>
      <ability>L2_HalfPunc</ability>
      <abilityName>全半角检查</abilityName>
      <candidateList>
        <item>（</item>
      </candidateList>
      <explain>文本全半角错误。</explain>
      <paraID>32C62932</paraID>
      <start>79</start>
      <end>80</end>
      <status>unmodified</status>
      <modifiedWord/>
      <trackRevisions>false</trackRevisions>
    </reviewItem>
    <reviewItem>
      <errorID>dc2ee235-e01a-4b04-8d01-4d2197df08a7</errorID>
      <errorWord>)</errorWord>
      <group>L1_Format</group>
      <groupName>格式问题</groupName>
      <ability>L2_HalfPunc</ability>
      <abilityName>全半角检查</abilityName>
      <candidateList>
        <item>）</item>
      </candidateList>
      <explain>文本全半角错误。</explain>
      <paraID>32C62932</paraID>
      <start>82</start>
      <end>83</end>
      <status>unmodified</status>
      <modifiedWord/>
      <trackRevisions>false</trackRevisions>
    </reviewItem>
    <reviewItem>
      <errorID>1df2bfaa-17d9-4545-a390-bd318af28ad3</errorID>
      <errorWord>(</errorWord>
      <group>L1_Format</group>
      <groupName>格式问题</groupName>
      <ability>L2_HalfPunc</ability>
      <abilityName>全半角检查</abilityName>
      <candidateList>
        <item>（</item>
      </candidateList>
      <explain>文本全半角错误。</explain>
      <paraID>32C62932</paraID>
      <start>96</start>
      <end>97</end>
      <status>unmodified</status>
      <modifiedWord/>
      <trackRevisions>false</trackRevisions>
    </reviewItem>
    <reviewItem>
      <errorID>68d5a4e1-abbf-4d2b-8cc2-e38c898a9706</errorID>
      <errorWord>)</errorWord>
      <group>L1_Format</group>
      <groupName>格式问题</groupName>
      <ability>L2_HalfPunc</ability>
      <abilityName>全半角检查</abilityName>
      <candidateList>
        <item>）</item>
      </candidateList>
      <explain>文本全半角错误。</explain>
      <paraID>32C62932</paraID>
      <start>98</start>
      <end>99</end>
      <status>unmodified</status>
      <modifiedWord/>
      <trackRevisions>false</trackRevisions>
    </reviewItem>
    <reviewItem>
      <errorID>e6bef758-d0ff-4780-afd0-76f49f554079</errorID>
      <errorWord>(</errorWord>
      <group>L1_Format</group>
      <groupName>格式问题</groupName>
      <ability>L2_HalfPunc</ability>
      <abilityName>全半角检查</abilityName>
      <candidateList>
        <item>（</item>
      </candidateList>
      <explain>文本全半角错误。</explain>
      <paraID>60FBD0AC</paraID>
      <start>2</start>
      <end>3</end>
      <status>unmodified</status>
      <modifiedWord/>
      <trackRevisions>false</trackRevisions>
    </reviewItem>
    <reviewItem>
      <errorID>f8c4f558-8a63-4b11-9f9e-0af1ea21fef5</errorID>
      <errorWord>)</errorWord>
      <group>L1_Format</group>
      <groupName>格式问题</groupName>
      <ability>L2_HalfPunc</ability>
      <abilityName>全半角检查</abilityName>
      <candidateList>
        <item>）</item>
      </candidateList>
      <explain>文本全半角错误。</explain>
      <paraID>60FBD0AC</paraID>
      <start>5</start>
      <end>6</end>
      <status>unmodified</status>
      <modifiedWord/>
      <trackRevisions>false</trackRevisions>
    </reviewItem>
    <reviewItem>
      <errorID>a8c1ae91-5dcb-466b-9c4b-2933cc80c9fb</errorID>
      <errorWord>(</errorWord>
      <group>L1_Format</group>
      <groupName>格式问题</groupName>
      <ability>L2_HalfPunc</ability>
      <abilityName>全半角检查</abilityName>
      <candidateList>
        <item>（</item>
      </candidateList>
      <explain>文本全半角错误。</explain>
      <paraID>60FBD0AC</paraID>
      <start>10</start>
      <end>11</end>
      <status>unmodified</status>
      <modifiedWord/>
      <trackRevisions>false</trackRevisions>
    </reviewItem>
    <reviewItem>
      <errorID>bb604b28-2ee9-45bf-9782-579c3ff03f0e</errorID>
      <errorWord>)</errorWord>
      <group>L1_Format</group>
      <groupName>格式问题</groupName>
      <ability>L2_HalfPunc</ability>
      <abilityName>全半角检查</abilityName>
      <candidateList>
        <item>）</item>
      </candidateList>
      <explain>文本全半角错误。</explain>
      <paraID>60FBD0AC</paraID>
      <start>17</start>
      <end>18</end>
      <status>unmodified</status>
      <modifiedWord/>
      <trackRevisions>false</trackRevisions>
    </reviewItem>
    <reviewItem>
      <errorID>5cca2f8a-7218-45d1-a758-d4bcdc6d9bae</errorID>
      <errorWord>(</errorWord>
      <group>L1_Format</group>
      <groupName>格式问题</groupName>
      <ability>L2_HalfPunc</ability>
      <abilityName>全半角检查</abilityName>
      <candidateList>
        <item>（</item>
      </candidateList>
      <explain>文本全半角错误。</explain>
      <paraID>60FBD0AC</paraID>
      <start>36</start>
      <end>37</end>
      <status>unmodified</status>
      <modifiedWord/>
      <trackRevisions>false</trackRevisions>
    </reviewItem>
    <reviewItem>
      <errorID>1b6d48f4-f55d-4c7d-ba84-fc406174c3ac</errorID>
      <errorWord>)</errorWord>
      <group>L1_Format</group>
      <groupName>格式问题</groupName>
      <ability>L2_HalfPunc</ability>
      <abilityName>全半角检查</abilityName>
      <candidateList>
        <item>）</item>
      </candidateList>
      <explain>文本全半角错误。</explain>
      <paraID>60FBD0AC</paraID>
      <start>38</start>
      <end>39</end>
      <status>unmodified</status>
      <modifiedWord/>
      <trackRevisions>false</trackRevisions>
    </reviewItem>
    <reviewItem>
      <errorID>6bdb6d38-0382-4515-8df3-a188557556f5</errorID>
      <errorWord>(</errorWord>
      <group>L1_Format</group>
      <groupName>格式问题</groupName>
      <ability>L2_HalfPunc</ability>
      <abilityName>全半角检查</abilityName>
      <candidateList>
        <item>（</item>
      </candidateList>
      <explain>文本全半角错误。</explain>
      <paraID>60FBD0AC</paraID>
      <start>54</start>
      <end>55</end>
      <status>unmodified</status>
      <modifiedWord/>
      <trackRevisions>false</trackRevisions>
    </reviewItem>
    <reviewItem>
      <errorID>c023d434-222a-47b1-a5f4-e4b0b116dbec</errorID>
      <errorWord>)</errorWord>
      <group>L1_Format</group>
      <groupName>格式问题</groupName>
      <ability>L2_HalfPunc</ability>
      <abilityName>全半角检查</abilityName>
      <candidateList>
        <item>）</item>
      </candidateList>
      <explain>文本全半角错误。</explain>
      <paraID>60FBD0AC</paraID>
      <start>57</start>
      <end>58</end>
      <status>unmodified</status>
      <modifiedWord/>
      <trackRevisions>false</trackRevisions>
    </reviewItem>
    <reviewItem>
      <errorID>1e029c3f-5185-48be-af77-2f47c59ab7af</errorID>
      <errorWord>(</errorWord>
      <group>L1_Format</group>
      <groupName>格式问题</groupName>
      <ability>L2_HalfPunc</ability>
      <abilityName>全半角检查</abilityName>
      <candidateList>
        <item>（</item>
      </candidateList>
      <explain>文本全半角错误。</explain>
      <paraID>5B8120E8</paraID>
      <start>6</start>
      <end>7</end>
      <status>unmodified</status>
      <modifiedWord/>
      <trackRevisions>false</trackRevisions>
    </reviewItem>
    <reviewItem>
      <errorID>a516a03f-676a-4a7e-b6e6-3805c06fdcd0</errorID>
      <errorWord>)</errorWord>
      <group>L1_Format</group>
      <groupName>格式问题</groupName>
      <ability>L2_HalfPunc</ability>
      <abilityName>全半角检查</abilityName>
      <candidateList>
        <item>）</item>
      </candidateList>
      <explain>文本全半角错误。</explain>
      <paraID>5B8120E8</paraID>
      <start>8</start>
      <end>9</end>
      <status>unmodified</status>
      <modifiedWord/>
      <trackRevisions>false</trackRevisions>
    </reviewItem>
    <reviewItem>
      <errorID>80ad96e3-431e-4402-b9e1-b5718eb0319f</errorID>
      <errorWord>(</errorWord>
      <group>L1_Format</group>
      <groupName>格式问题</groupName>
      <ability>L2_HalfPunc</ability>
      <abilityName>全半角检查</abilityName>
      <candidateList>
        <item>（</item>
      </candidateList>
      <explain>文本全半角错误。</explain>
      <paraID>74942FF9</paraID>
      <start>4</start>
      <end>5</end>
      <status>unmodified</status>
      <modifiedWord/>
      <trackRevisions>false</trackRevisions>
    </reviewItem>
    <reviewItem>
      <errorID>90d07d3a-c44d-4f6b-8bfe-3b554392981c</errorID>
      <errorWord>)</errorWord>
      <group>L1_Format</group>
      <groupName>格式问题</groupName>
      <ability>L2_HalfPunc</ability>
      <abilityName>全半角检查</abilityName>
      <candidateList>
        <item>）</item>
      </candidateList>
      <explain>文本全半角错误。</explain>
      <paraID>74942FF9</paraID>
      <start>6</start>
      <end>7</end>
      <status>unmodified</status>
      <modifiedWord/>
      <trackRevisions>false</trackRevisions>
    </reviewItem>
    <reviewItem>
      <errorID>5ec778a6-cdb8-4bc5-84eb-02f57bff80c9</errorID>
      <errorWord>(</errorWord>
      <group>L1_Format</group>
      <groupName>格式问题</groupName>
      <ability>L2_HalfPunc</ability>
      <abilityName>全半角检查</abilityName>
      <candidateList>
        <item>（</item>
      </candidateList>
      <explain>文本全半角错误。</explain>
      <paraID>4FCF4526</paraID>
      <start>11</start>
      <end>12</end>
      <status>unmodified</status>
      <modifiedWord/>
      <trackRevisions>false</trackRevisions>
    </reviewItem>
    <reviewItem>
      <errorID>cccdc990-5fe9-4e1d-8521-ceb2e6751e8f</errorID>
      <errorWord>)</errorWord>
      <group>L1_Format</group>
      <groupName>格式问题</groupName>
      <ability>L2_HalfPunc</ability>
      <abilityName>全半角检查</abilityName>
      <candidateList>
        <item>）</item>
      </candidateList>
      <explain>文本全半角错误。</explain>
      <paraID>4FCF4526</paraID>
      <start>14</start>
      <end>15</end>
      <status>unmodified</status>
      <modifiedWord/>
      <trackRevisions>false</trackRevisions>
    </reviewItem>
    <reviewItem>
      <errorID>37f2063d-5bab-434c-ae91-472407cf6cde</errorID>
      <errorWord>(</errorWord>
      <group>L1_Format</group>
      <groupName>格式问题</groupName>
      <ability>L2_HalfPunc</ability>
      <abilityName>全半角检查</abilityName>
      <candidateList>
        <item>（</item>
      </candidateList>
      <explain>文本全半角错误。</explain>
      <paraID>1F45F189</paraID>
      <start>4</start>
      <end>5</end>
      <status>unmodified</status>
      <modifiedWord/>
      <trackRevisions>false</trackRevisions>
    </reviewItem>
    <reviewItem>
      <errorID>8c906bfa-87dc-4adc-910a-8b75878c420d</errorID>
      <errorWord>)</errorWord>
      <group>L1_Format</group>
      <groupName>格式问题</groupName>
      <ability>L2_HalfPunc</ability>
      <abilityName>全半角检查</abilityName>
      <candidateList>
        <item>）</item>
      </candidateList>
      <explain>文本全半角错误。</explain>
      <paraID>1F45F189</paraID>
      <start>7</start>
      <end>8</end>
      <status>unmodified</status>
      <modifiedWord/>
      <trackRevisions>false</trackRevisions>
    </reviewItem>
    <reviewItem>
      <errorID>85a5882d-c0c1-4405-912b-f91eb7dea2e0</errorID>
      <errorWord>人工鱼礁</errorWord>
      <group>L1_Knowledge</group>
      <groupName>知识性问题</groupName>
      <ability>L2_Term</ability>
      <abilityName>专业术语</abilityName>
      <candidateList>
        <item>人工渔礁</item>
      </candidateList>
      <explain/>
      <paraID>6863D759</paraID>
      <start>0</start>
      <end>4</end>
      <status>modified</status>
      <modifiedWord>人工渔礁</modifiedWord>
      <trackRevisions>false</trackRevisions>
    </reviewItem>
    <reviewItem>
      <errorID>af5c165a-0de9-4d54-8bc5-9400d8cbb8b2</errorID>
      <errorWord>(</errorWord>
      <group>L1_Format</group>
      <groupName>格式问题</groupName>
      <ability>L2_HalfPunc</ability>
      <abilityName>全半角检查</abilityName>
      <candidateList>
        <item>（</item>
      </candidateList>
      <explain>文本全半角错误。</explain>
      <paraID>6863D759</paraID>
      <start>10</start>
      <end>11</end>
      <status>unmodified</status>
      <modifiedWord/>
      <trackRevisions>false</trackRevisions>
    </reviewItem>
    <reviewItem>
      <errorID>9a3e5fcd-52e8-48b9-b2f4-21df7179d28c</errorID>
      <errorWord>)</errorWord>
      <group>L1_Format</group>
      <groupName>格式问题</groupName>
      <ability>L2_HalfPunc</ability>
      <abilityName>全半角检查</abilityName>
      <candidateList>
        <item>）</item>
      </candidateList>
      <explain>文本全半角错误。</explain>
      <paraID>6863D759</paraID>
      <start>16</start>
      <end>17</end>
      <status>unmodified</status>
      <modifiedWord/>
      <trackRevisions>false</trackRevisions>
    </reviewItem>
    <reviewItem>
      <errorID>f1d96069-1a71-4b5d-9eb1-91ab9aa87944</errorID>
      <errorWord>:</errorWord>
      <group>L1_Format</group>
      <groupName>格式问题</groupName>
      <ability>L2_HalfPunc</ability>
      <abilityName>全半角检查</abilityName>
      <candidateList>
        <item>：</item>
      </candidateList>
      <explain>文本全半角错误。</explain>
      <paraID> 9CFCD11</paraID>
      <start>2</start>
      <end>3</end>
      <status>unmodified</status>
      <modifiedWord/>
      <trackRevisions>false</trackRevisions>
    </reviewItem>
    <reviewItem>
      <errorID>666d4062-907a-4e30-ba2b-985c1b931474</errorID>
      <errorWord>:</errorWord>
      <group>L1_Format</group>
      <groupName>格式问题</groupName>
      <ability>L2_HalfPunc</ability>
      <abilityName>全半角检查</abilityName>
      <candidateList>
        <item>：</item>
      </candidateList>
      <explain>文本全半角错误。</explain>
      <paraID> 3FAC492</paraID>
      <start>2</start>
      <end>3</end>
      <status>unmodified</status>
      <modifiedWord/>
      <trackRevisions>false</trackRevisions>
    </reviewItem>
    <reviewItem>
      <errorID>2a73f247-1c47-4da4-b537-724e6d800644</errorID>
      <errorWord>:</errorWord>
      <group>L1_Format</group>
      <groupName>格式问题</groupName>
      <ability>L2_HalfPunc</ability>
      <abilityName>全半角检查</abilityName>
      <candidateList>
        <item>：</item>
      </candidateList>
      <explain>文本全半角错误。</explain>
      <paraID>4653BBC7</paraID>
      <start>2</start>
      <end>3</end>
      <status>unmodified</status>
      <modifiedWord/>
      <trackRevisions>false</trackRevisions>
    </reviewItem>
    <reviewItem>
      <errorID>bbfed4ce-cee8-43a8-a8b4-42ba645367e2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1041ED2C</paraID>
      <start>0</start>
      <end>2</end>
      <status>unmodified</status>
      <modifiedWord/>
      <trackRevisions>false</trackRevisions>
    </reviewItem>
    <reviewItem>
      <errorID>8b7ad65d-d95d-4133-849d-e5ccbb4f4cc0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F2A499F</paraID>
      <start>0</start>
      <end>2</end>
      <status>unmodified</status>
      <modifiedWord/>
      <trackRevisions>false</trackRevisions>
    </reviewItem>
    <reviewItem>
      <errorID>e874fc93-bb9a-4e91-b53f-19244c85deb9</errorID>
      <errorWord>＞</errorWord>
      <group>L1_Format</group>
      <groupName>格式问题</groupName>
      <ability>L2_HalfPunc</ability>
      <abilityName>全半角检查</abilityName>
      <candidateList>
        <item>&gt;</item>
      </candidateList>
      <explain>文本全半角错误。</explain>
      <paraID>5C661FBF</paraID>
      <start>2</start>
      <end>3</end>
      <status>unmodified</status>
      <modifiedWord/>
      <trackRevisions>false</trackRevisions>
    </reviewItem>
    <reviewItem>
      <errorID>fd8166ee-ca6c-46fb-bf1c-27619b118e40</errorID>
      <errorWord>＞</errorWord>
      <group>L1_Format</group>
      <groupName>格式问题</groupName>
      <ability>L2_HalfPunc</ability>
      <abilityName>全半角检查</abilityName>
      <candidateList>
        <item>&gt;</item>
      </candidateList>
      <explain>文本全半角错误。</explain>
      <paraID>5C661FBF</paraID>
      <start>4</start>
      <end>5</end>
      <status>unmodified</status>
      <modifiedWord/>
      <trackRevisions>false</trackRevisions>
    </reviewItem>
    <reviewItem>
      <errorID>5f44fab3-85d4-41ee-aa44-257d022c2b61</errorID>
      <errorWord>；</errorWord>
      <group>L1_Format</group>
      <groupName>格式问题</groupName>
      <ability>L2_HalfPunc</ability>
      <abilityName>全半角检查</abilityName>
      <candidateList>
        <item>; </item>
      </candidateList>
      <explain>文本全半角错误。</explain>
      <paraID>1A4E4A4A</paraID>
      <start>7</start>
      <end>8</end>
      <status>unmodified</status>
      <modifiedWord/>
      <trackRevisions>false</trackRevisions>
    </reviewItem>
    <reviewItem>
      <errorID>3ee75188-22dc-4f32-bc3f-a7a0e3cbd021</errorID>
      <errorWord>相关的其它</errorWord>
      <group>L1_Word</group>
      <groupName>字词问题</groupName>
      <ability>L2_Alias</ability>
      <abilityName>也作/曾用词</abilityName>
      <candidateList>
        <item>相关的其他</item>
      </candidateList>
      <explain>词汇[相关的其它]为不规范表述或旧称，其规范书面表述为[相关的其他]。</explain>
      <paraID>728BCB3A</paraID>
      <start>131</start>
      <end>136</end>
      <status>modified</status>
      <modifiedWord>相关的其他</modifiedWord>
      <trackRevisions>false</trackRevisions>
    </reviewItem>
    <reviewItem>
      <errorID>84323c37-f94c-4aab-97d0-a28ee7c791d5</errorID>
      <errorWord>IV类</errorWord>
      <group>L1_Knowledge</group>
      <groupName>知识性问题</groupName>
      <ability>L2_Knowledge</ability>
      <abilityName>其他知识</abilityName>
      <candidateList>
        <item>Ⅳ类</item>
      </candidateList>
      <explain/>
      <paraID>607FEC6D</paraID>
      <start>69</start>
      <end>72</end>
      <status>unmodified</status>
      <modifiedWord/>
      <trackRevisions>false</trackRevisions>
    </reviewItem>
    <reviewItem>
      <errorID>87d225d0-e9fa-44c8-a2f9-4518b59e3f6e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1FDE5CD2</paraID>
      <start>0</start>
      <end>2</end>
      <status>unmodified</status>
      <modifiedWord/>
      <trackRevisions>false</trackRevisions>
    </reviewItem>
    <reviewItem>
      <errorID>b71de535-367c-45ec-8741-b480f939aa39</errorID>
      <errorWord>，....</errorWord>
      <group>L1_Punc</group>
      <groupName>标点问题</groupName>
      <ability>L2_Punc</ability>
      <abilityName>标点符号检查</abilityName>
      <candidateList>
        <item>，</item>
      </candidateList>
      <explain/>
      <paraID>7BB5C351</paraID>
      <start>8</start>
      <end>13</end>
      <status>unmodified</status>
      <modifiedWord/>
      <trackRevisions>false</trackRevisions>
    </reviewItem>
    <reviewItem>
      <errorID>df8f79c9-a11f-4a5e-b83f-83a862a5a618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3729A7CD</paraID>
      <start>0</start>
      <end>2</end>
      <status>unmodified</status>
      <modifiedWord/>
      <trackRevisions>false</trackRevisions>
    </reviewItem>
    <reviewItem>
      <errorID>3c449b0b-2466-417b-ab43-18a338043612</errorID>
      <errorWord>属</errorWord>
      <group>L1_Word</group>
      <groupName>字词问题</groupName>
      <ability>L2_Typo</ability>
      <abilityName>字词错误</abilityName>
      <candidateList>
        <item>属于</item>
      </candidateList>
      <explain/>
      <paraID>54173239</paraID>
      <start>124</start>
      <end>125</end>
      <status>unmodified</status>
      <modifiedWord/>
      <trackRevisions>false</trackRevisions>
    </reviewItem>
    <reviewItem>
      <errorID>dda6a7ca-3c81-4f1f-b5af-6eaffabcd8bd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18EE8AE1</paraID>
      <start>0</start>
      <end>2</end>
      <status>unmodified</status>
      <modifiedWord/>
      <trackRevisions>false</trackRevisions>
    </reviewItem>
    <reviewItem>
      <errorID>c5f34bf0-4d4a-47d6-82dc-6509c8c12092</errorID>
      <errorWord>(</errorWord>
      <group>L1_Format</group>
      <groupName>格式问题</groupName>
      <ability>L2_HalfPunc</ability>
      <abilityName>全半角检查</abilityName>
      <candidateList>
        <item>（</item>
      </candidateList>
      <explain>文本全半角错误。</explain>
      <paraID>18EE8AE1</paraID>
      <start>14</start>
      <end>15</end>
      <status>unmodified</status>
      <modifiedWord/>
      <trackRevisions>false</trackRevisions>
    </reviewItem>
    <reviewItem>
      <errorID>a1e0547e-3286-48e1-9556-034461a858e5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316C0661</paraID>
      <start>0</start>
      <end>2</end>
      <status>unmodified</status>
      <modifiedWord/>
      <trackRevisions>false</trackRevisions>
    </reviewItem>
    <reviewItem>
      <errorID>7848f3bd-e84c-4572-8ce6-fa8fdee9e782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2E726B73</paraID>
      <start>0</start>
      <end>2</end>
      <status>unmodified</status>
      <modifiedWord/>
      <trackRevisions>false</trackRevisions>
    </reviewItem>
    <reviewItem>
      <errorID>b5234c8e-908d-427f-94f6-d3d39f2d251b</errorID>
      <errorWord>~</errorWord>
      <group>L1_Format</group>
      <groupName>格式问题</groupName>
      <ability>L2_HalfPunc</ability>
      <abilityName>全半角检查</abilityName>
      <candidateList>
        <item>～</item>
      </candidateList>
      <explain>文本全半角错误。</explain>
      <paraID>40B826F9</paraID>
      <start>126</start>
      <end>127</end>
      <status>unmodified</status>
      <modifiedWord/>
      <trackRevisions>false</trackRevisions>
    </reviewItem>
    <reviewItem>
      <errorID>fb49de84-2321-4f58-9304-8266453aa332</errorID>
      <errorWord>类</errorWord>
      <group>L1_Word</group>
      <groupName>字词问题</groupName>
      <ability>L2_Typo</ability>
      <abilityName>字词错误</abilityName>
      <candidateList>
        <item>类为</item>
      </candidateList>
      <explain/>
      <paraID>494A6D5E</paraID>
      <start>24</start>
      <end>25</end>
      <status>unmodified</status>
      <modifiedWord/>
      <trackRevisions>false</trackRevisions>
    </reviewItem>
    <reviewItem>
      <errorID>4db079eb-ea27-4c5d-b2f0-10eee0d41a55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628113FD</paraID>
      <start>0</start>
      <end>2</end>
      <status>unmodified</status>
      <modifiedWord/>
      <trackRevisions>false</trackRevisions>
    </reviewItem>
    <reviewItem>
      <errorID>c6af8edc-06e2-4644-8bcb-a1aaa67bc623</errorID>
      <errorWord>~</errorWord>
      <group>L1_Format</group>
      <groupName>格式问题</groupName>
      <ability>L2_HalfPunc</ability>
      <abilityName>全半角检查</abilityName>
      <candidateList>
        <item>～</item>
      </candidateList>
      <explain>文本全半角错误。</explain>
      <paraID> CE8BFBC</paraID>
      <start>131</start>
      <end>132</end>
      <status>unmodified</status>
      <modifiedWord/>
      <trackRevisions>false</trackRevisions>
    </reviewItem>
    <reviewItem>
      <errorID>da31a666-d3f5-4ba2-ac4e-8dfa64dedc37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261EAD58</paraID>
      <start>0</start>
      <end>2</end>
      <status>unmodified</status>
      <modifiedWord/>
      <trackRevisions>false</trackRevisions>
    </reviewItem>
    <reviewItem>
      <errorID>746c95e6-115a-4553-961a-84864091ad7c</errorID>
      <errorWord>0.2~6万</errorWord>
      <group>L1_Knowledge</group>
      <groupName>知识性问题</groupName>
      <ability>L2_Knowledge</ability>
      <abilityName>其他知识</abilityName>
      <candidateList>
        <item>0.2万～6万</item>
      </candidateList>
      <explain>1. “0.2~6万”中的单位“万”仅出现在后一个数字上，容易引起歧义；根据《现代汉语标点符号数字用法规范手册》，数字表示范围两边需要使用统一的格式。2.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169365AA</paraID>
      <start>64</start>
      <end>70</end>
      <status>unmodified</status>
      <modifiedWord/>
      <trackRevisions>false</trackRevisions>
    </reviewItem>
    <reviewItem>
      <errorID>4f146847-d7d2-4575-96d9-11717afe904a</errorID>
      <errorWord>（</errorWord>
      <group>L1_Format</group>
      <groupName>格式问题</groupName>
      <ability>L2_HalfPunc</ability>
      <abilityName>全半角检查</abilityName>
      <candidateList>
        <item>(</item>
      </candidateList>
      <explain>文本全半角错误。</explain>
      <paraID>7D218E94</paraID>
      <start>0</start>
      <end>1</end>
      <status>unmodified</status>
      <modifiedWord/>
      <trackRevisions>false</trackRevisions>
    </reviewItem>
    <reviewItem>
      <errorID>ad914479-0b6f-4415-827e-4983bdf6e628</errorID>
      <errorWord>）</errorWord>
      <group>L1_Format</group>
      <groupName>格式问题</groupName>
      <ability>L2_HalfPunc</ability>
      <abilityName>全半角检查</abilityName>
      <candidateList>
        <item>)</item>
      </candidateList>
      <explain>文本全半角错误。</explain>
      <paraID>7D218E94</paraID>
      <start>11</start>
      <end>12</end>
      <status>unmodified</status>
      <modifiedWord/>
      <trackRevisions>false</trackRevisions>
    </reviewItem>
    <reviewItem>
      <errorID>dbdb5eae-15df-4e7f-ac5f-83ad412f55b6</errorID>
      <errorWord>II类</errorWord>
      <group>L1_Knowledge</group>
      <groupName>知识性问题</groupName>
      <ability>L2_Knowledge</ability>
      <abilityName>其他知识</abilityName>
      <candidateList>
        <item>Ⅱ类</item>
      </candidateList>
      <explain/>
      <paraID> B67C59F</paraID>
      <start>5</start>
      <end>8</end>
      <status>unmodified</status>
      <modifiedWord/>
      <trackRevisions>false</trackRevisions>
    </reviewItem>
    <reviewItem>
      <errorID>9b8e4610-4965-465f-a42c-a017f9f63a62</errorID>
      <errorWord>（</errorWord>
      <group>L1_Format</group>
      <groupName>格式问题</groupName>
      <ability>L2_HalfPunc</ability>
      <abilityName>全半角检查</abilityName>
      <candidateList>
        <item>(</item>
      </candidateList>
      <explain>文本全半角错误。</explain>
      <paraID>5558136D</paraID>
      <start>0</start>
      <end>1</end>
      <status>unmodified</status>
      <modifiedWord/>
      <trackRevisions>false</trackRevisions>
    </reviewItem>
    <reviewItem>
      <errorID>4303c255-d5a6-4018-bdf5-c5a5f27a1957</errorID>
      <errorWord>）</errorWord>
      <group>L1_Format</group>
      <groupName>格式问题</groupName>
      <ability>L2_HalfPunc</ability>
      <abilityName>全半角检查</abilityName>
      <candidateList>
        <item>)</item>
      </candidateList>
      <explain>文本全半角错误。</explain>
      <paraID>5558136D</paraID>
      <start>11</start>
      <end>12</end>
      <status>unmodified</status>
      <modifiedWord/>
      <trackRevisions>false</trackRevisions>
    </reviewItem>
    <reviewItem>
      <errorID>d866d102-bfdb-4959-ad65-4ab2288e851a</errorID>
      <errorWord>IV类</errorWord>
      <group>L1_Knowledge</group>
      <groupName>知识性问题</groupName>
      <ability>L2_Knowledge</ability>
      <abilityName>其他知识</abilityName>
      <candidateList>
        <item>Ⅳ类</item>
      </candidateList>
      <explain/>
      <paraID> 5F9C7F9</paraID>
      <start>36</start>
      <end>39</end>
      <status>unmodified</status>
      <modifiedWord/>
      <trackRevisions>false</trackRevisions>
    </reviewItem>
    <reviewItem>
      <errorID>65c19989-c569-4ee7-a3d3-2831d357f42a</errorID>
      <errorWord>III</errorWord>
      <group>L1_Knowledge</group>
      <groupName>知识性问题</groupName>
      <ability>L2_Knowledge</ability>
      <abilityName>其他知识</abilityName>
      <candidateList>
        <item>Ⅲ</item>
      </candidateList>
      <explain/>
      <paraID>  A66530</paraID>
      <start>118</start>
      <end>121</end>
      <status>unmodified</status>
      <modifiedWord/>
      <trackRevisions>false</trackRevisions>
    </reviewItem>
    <reviewItem>
      <errorID>a5199531-06cb-447d-9d85-9e9beb606018</errorID>
      <errorWord>评价评价</errorWord>
      <group>L1_Word</group>
      <groupName>字词问题</groupName>
      <ability>L2_Typo</ability>
      <abilityName>字词错误</abilityName>
      <candidateList>
        <item>评价</item>
      </candidateList>
      <explain/>
      <paraID>178E7992</paraID>
      <start>12</start>
      <end>14</end>
      <status>modified</status>
      <modifiedWord>评价</modifiedWord>
      <trackRevisions>false</trackRevisions>
    </reviewItem>
    <reviewItem>
      <errorID>5801a074-637d-4f85-99b6-f1930564b71f</errorID>
      <errorWord>~</errorWord>
      <group>L1_Format</group>
      <groupName>格式问题</groupName>
      <ability>L2_HalfPunc</ability>
      <abilityName>全半角检查</abilityName>
      <candidateList>
        <item>～</item>
      </candidateList>
      <explain>文本全半角错误。</explain>
      <paraID>178E7992</paraID>
      <start>30</start>
      <end>31</end>
      <status>unmodified</status>
      <modifiedWord/>
      <trackRevisions>false</trackRevisions>
    </reviewItem>
    <reviewItem>
      <errorID>2d13d18e-e22e-419e-95ef-593b40da517c</errorID>
      <errorWord>越</errorWord>
      <group>L1_Word</group>
      <groupName>字词问题</groupName>
      <ability>L2_Typo</ability>
      <abilityName>字词错误</abilityName>
      <candidateList>
        <item>约</item>
      </candidateList>
      <explain/>
      <paraID>178E7992</paraID>
      <start>66</start>
      <end>67</end>
      <status>unmodified</status>
      <modifiedWord/>
      <trackRevisions>false</trackRevisions>
    </reviewItem>
    <reviewItem>
      <errorID>059cd4cb-c379-4a7f-8596-ec28cccc3405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3EE05CCD</paraID>
      <start>0</start>
      <end>2</end>
      <status>unmodified</status>
      <modifiedWord/>
      <trackRevisions>false</trackRevisions>
    </reviewItem>
    <reviewItem>
      <errorID>b616f290-98bf-4b35-af86-5ecd88959ecd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19E63B21</paraID>
      <start>0</start>
      <end>2</end>
      <status>unmodified</status>
      <modifiedWord/>
      <trackRevisions>false</trackRevisions>
    </reviewItem>
    <reviewItem>
      <errorID>8bd07d59-a7f9-4ef3-af31-0118a6c2b115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677ABB4F</paraID>
      <start>0</start>
      <end>2</end>
      <status>unmodified</status>
      <modifiedWord/>
      <trackRevisions>false</trackRevisions>
    </reviewItem>
    <reviewItem>
      <errorID>f67f4e31-5167-4270-920e-b3ce15313f13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45E48C</paraID>
      <start>0</start>
      <end>2</end>
      <status>unmodified</status>
      <modifiedWord/>
      <trackRevisions>false</trackRevisions>
    </reviewItem>
    <reviewItem>
      <errorID>f68a06a5-f1bf-4135-8703-9f1ec0e27744</errorID>
      <errorWord>临近</errorWord>
      <group>L1_Word</group>
      <groupName>字词问题</groupName>
      <ability>L2_Typo</ability>
      <abilityName>字词错误</abilityName>
      <candidateList>
        <item>邻近</item>
      </candidateList>
      <explain>存在发音相同字词的误用。</explain>
      <paraID> B344E54</paraID>
      <start>123</start>
      <end>125</end>
      <status>modified</status>
      <modifiedWord>邻近</modifiedWord>
      <trackRevisions>false</trackRevisions>
    </reviewItem>
    <reviewItem>
      <errorID>0dfe9ece-682e-41c1-b49b-21228433957d</errorID>
      <errorWord>铬</errorWord>
      <group>L1_Word</group>
      <groupName>字词问题</groupName>
      <ability>L2_Typo</ability>
      <abilityName>字词错误</abilityName>
      <candidateList>
        <item>可</item>
      </candidateList>
      <explain>〈动〉适合：～人意｜这回倒～了他的心了。</explain>
      <paraID>10697F60</paraID>
      <start>115</start>
      <end>116</end>
      <status>unmodified</status>
      <modifiedWord/>
      <trackRevisions>false</trackRevisions>
    </reviewItem>
    <reviewItem>
      <errorID>86c4d03b-2a16-4df4-8708-cefd2a46ae3c</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3C62BDF8</paraID>
      <start>3</start>
      <end>4</end>
      <status>unmodified</status>
      <modifiedWord/>
      <trackRevisions>false</trackRevisions>
    </reviewItem>
    <reviewItem>
      <errorID>caea141f-ad90-4047-a219-f759ca085d78</errorID>
      <errorWord>达</errorWord>
      <group>L1_Word</group>
      <groupName>字词问题</groupName>
      <ability>L2_Typo</ability>
      <abilityName>字词错误</abilityName>
      <candidateList>
        <item>达到</item>
      </candidateList>
      <explain>〈动〉到（多指抽象事物或程度）：达得到｜达不到｜目的没有～｜～国际水平。</explain>
      <paraID>780EE38C</paraID>
      <start>100</start>
      <end>101</end>
      <status>unmodified</status>
      <modifiedWord/>
      <trackRevisions>false</trackRevisions>
    </reviewItem>
    <reviewItem>
      <errorID>8e46b34d-9fae-4034-8795-994e7091f9dc</errorID>
      <errorWord>其它</errorWord>
      <group>L1_Word</group>
      <groupName>字词问题</groupName>
      <ability>L2_Alias</ability>
      <abilityName>也作/曾用词</abilityName>
      <candidateList>
        <item>其他</item>
      </candidateList>
      <explain>词汇[其它]为不规范表述或旧称，其规范书面表述为[其他]。</explain>
      <paraID>40B6EE62</paraID>
      <start>0</start>
      <end>2</end>
      <status>modified</status>
      <modifiedWord>其他</modifiedWord>
      <trackRevisions>false</trackRevisions>
    </reviewItem>
    <reviewItem>
      <errorID>6439e55f-aa63-499f-804d-210dd348ebf7</errorID>
      <errorWord>其它</errorWord>
      <group>L1_Word</group>
      <groupName>字词问题</groupName>
      <ability>L2_Alias</ability>
      <abilityName>也作/曾用词</abilityName>
      <candidateList>
        <item>其他</item>
      </candidateList>
      <explain>词汇[其它]为不规范表述或旧称，其规范书面表述为[其他]。</explain>
      <paraID>7B804EA1</paraID>
      <start>0</start>
      <end>2</end>
      <status>modified</status>
      <modifiedWord>其他</modifiedWord>
      <trackRevisions>false</trackRevisions>
    </reviewItem>
    <reviewItem>
      <errorID>51c13849-b926-4afe-8a15-2228ff7f2906</errorID>
      <errorWord>其它</errorWord>
      <group>L1_Word</group>
      <groupName>字词问题</groupName>
      <ability>L2_Alias</ability>
      <abilityName>也作/曾用词</abilityName>
      <candidateList>
        <item>其他</item>
      </candidateList>
      <explain>词汇[其它]为不规范表述或旧称，其规范书面表述为[其他]。</explain>
      <paraID>2DA2E0BF</paraID>
      <start>0</start>
      <end>2</end>
      <status>modified</status>
      <modifiedWord>其他</modifiedWord>
      <trackRevisions>false</trackRevisions>
    </reviewItem>
    <reviewItem>
      <errorID>4c3a0d29-1f62-445f-a849-0698661bbc5b</errorID>
      <errorWord>其它</errorWord>
      <group>L1_Word</group>
      <groupName>字词问题</groupName>
      <ability>L2_Alias</ability>
      <abilityName>也作/曾用词</abilityName>
      <candidateList>
        <item>其他</item>
      </candidateList>
      <explain>词汇[其它]为不规范表述或旧称，其规范书面表述为[其他]。</explain>
      <paraID>2BA0613D</paraID>
      <start>0</start>
      <end>2</end>
      <status>modified</status>
      <modifiedWord>其他</modifiedWord>
      <trackRevisions>false</trackRevisions>
    </reviewItem>
    <reviewItem>
      <errorID>e8363444-08c3-45a7-b67d-4fbe2ff75a1e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51E4EA7E</paraID>
      <start>9</start>
      <end>10</end>
      <status>unmodified</status>
      <modifiedWord/>
      <trackRevisions>false</trackRevisions>
    </reviewItem>
    <reviewItem>
      <errorID>beed0444-7353-4f7a-861b-9d7c8e673fb7</errorID>
      <errorWord>～</errorWord>
      <group>L1_Format</group>
      <groupName>格式问题</groupName>
      <ability>L2_HalfPunc</ability>
      <abilityName>全半角检查</abilityName>
      <candidateList>
        <item>~</item>
      </candidateList>
      <explain>文本全半角错误。</explain>
      <paraID> 134EBE0</paraID>
      <start>3</start>
      <end>4</end>
      <status>unmodified</status>
      <modifiedWord/>
      <trackRevisions>false</trackRevisions>
    </reviewItem>
    <reviewItem>
      <errorID>33fcb1bc-8885-471e-8ff7-ba12866a27ae</errorID>
      <errorWord>是对</errorWord>
      <group>L1_Word</group>
      <groupName>字词问题</groupName>
      <ability>L2_Typo</ability>
      <abilityName>字词错误</abilityName>
      <candidateList>
        <item>面对</item>
      </candidateList>
      <explain/>
      <paraID>52B61730</paraID>
      <start>37</start>
      <end>39</end>
      <status>unmodified</status>
      <modifiedWord/>
      <trackRevisions>false</trackRevisions>
    </reviewItem>
    <reviewItem>
      <errorID>aba5ab8c-3e74-4136-83c2-7ef3ed61ecea</errorID>
      <errorWord>，</errorWord>
      <group>L1_Format</group>
      <groupName>格式问题</groupName>
      <ability>L2_HalfPunc</ability>
      <abilityName>全半角检查</abilityName>
      <candidateList>
        <item>,</item>
      </candidateList>
      <explain>文本全半角错误。</explain>
      <paraID>  172EB2</paraID>
      <start>3</start>
      <end>4</end>
      <status>unmodified</status>
      <modifiedWord/>
      <trackRevisions>false</trackRevisions>
    </reviewItem>
    <reviewItem>
      <errorID>f1ffd495-efcb-441e-aa59-c948ccf2a7a2</errorID>
      <errorWord>，</errorWord>
      <group>L1_Format</group>
      <groupName>格式问题</groupName>
      <ability>L2_HalfPunc</ability>
      <abilityName>全半角检查</abilityName>
      <candidateList>
        <item>,</item>
      </candidateList>
      <explain>文本全半角错误。</explain>
      <paraID>7A256A98</paraID>
      <start>3</start>
      <end>4</end>
      <status>unmodified</status>
      <modifiedWord/>
      <trackRevisions>false</trackRevisions>
    </reviewItem>
    <reviewItem>
      <errorID>63c65af2-78a3-4c56-a173-c9e0208dc048</errorID>
      <errorWord>，</errorWord>
      <group>L1_Format</group>
      <groupName>格式问题</groupName>
      <ability>L2_HalfPunc</ability>
      <abilityName>全半角检查</abilityName>
      <candidateList>
        <item>,</item>
      </candidateList>
      <explain>文本全半角错误。</explain>
      <paraID> 1693A2F</paraID>
      <start>1</start>
      <end>2</end>
      <status>unmodified</status>
      <modifiedWord/>
      <trackRevisions>false</trackRevisions>
    </reviewItem>
    <reviewItem>
      <errorID>a7d1f7d1-b9a2-443a-b3e0-a3fb26f679d0</errorID>
      <errorWord>，</errorWord>
      <group>L1_Format</group>
      <groupName>格式问题</groupName>
      <ability>L2_HalfPunc</ability>
      <abilityName>全半角检查</abilityName>
      <candidateList>
        <item>,</item>
      </candidateList>
      <explain>文本全半角错误。</explain>
      <paraID>74186797</paraID>
      <start>2</start>
      <end>3</end>
      <status>unmodified</status>
      <modifiedWord/>
      <trackRevisions>false</trackRevisions>
    </reviewItem>
    <reviewItem>
      <errorID>18e82c90-4694-4766-a058-5a2b822de122</errorID>
      <errorWord>，</errorWord>
      <group>L1_Format</group>
      <groupName>格式问题</groupName>
      <ability>L2_HalfPunc</ability>
      <abilityName>全半角检查</abilityName>
      <candidateList>
        <item>,</item>
      </candidateList>
      <explain>文本全半角错误。</explain>
      <paraID> 1D10E34</paraID>
      <start>3</start>
      <end>4</end>
      <status>unmodified</status>
      <modifiedWord/>
      <trackRevisions>false</trackRevisions>
    </reviewItem>
    <reviewItem>
      <errorID>f04cae90-f5dd-41b9-9448-e3fdbe5d0cb2</errorID>
      <errorWord>，</errorWord>
      <group>L1_Format</group>
      <groupName>格式问题</groupName>
      <ability>L2_HalfPunc</ability>
      <abilityName>全半角检查</abilityName>
      <candidateList>
        <item>,</item>
      </candidateList>
      <explain>文本全半角错误。</explain>
      <paraID>1996735D</paraID>
      <start>1</start>
      <end>2</end>
      <status>unmodified</status>
      <modifiedWord/>
      <trackRevisions>false</trackRevisions>
    </reviewItem>
    <reviewItem>
      <errorID>0895d3f1-4b46-434c-a06d-e4ef119c23c7</errorID>
      <errorWord>，</errorWord>
      <group>L1_Format</group>
      <groupName>格式问题</groupName>
      <ability>L2_HalfPunc</ability>
      <abilityName>全半角检查</abilityName>
      <candidateList>
        <item>,</item>
      </candidateList>
      <explain>文本全半角错误。</explain>
      <paraID>72A92DC8</paraID>
      <start>2</start>
      <end>3</end>
      <status>unmodified</status>
      <modifiedWord/>
      <trackRevisions>false</trackRevisions>
    </reviewItem>
    <reviewItem>
      <errorID>54eb518a-027d-4654-8da6-a385a6da42d0</errorID>
      <errorWord>，</errorWord>
      <group>L1_Format</group>
      <groupName>格式问题</groupName>
      <ability>L2_HalfPunc</ability>
      <abilityName>全半角检查</abilityName>
      <candidateList>
        <item>,</item>
      </candidateList>
      <explain>文本全半角错误。</explain>
      <paraID> 9236C44</paraID>
      <start>3</start>
      <end>4</end>
      <status>unmodified</status>
      <modifiedWord/>
      <trackRevisions>false</trackRevisions>
    </reviewItem>
    <reviewItem>
      <errorID>f1b7a15f-c86a-48b1-9d19-cdf55a40275f</errorID>
      <errorWord>，</errorWord>
      <group>L1_Format</group>
      <groupName>格式问题</groupName>
      <ability>L2_HalfPunc</ability>
      <abilityName>全半角检查</abilityName>
      <candidateList>
        <item>,</item>
      </candidateList>
      <explain>文本全半角错误。</explain>
      <paraID>69E5E3A6</paraID>
      <start>1</start>
      <end>2</end>
      <status>unmodified</status>
      <modifiedWord/>
      <trackRevisions>false</trackRevisions>
    </reviewItem>
    <reviewItem>
      <errorID>0b9074f3-bbc2-4e6f-a38e-5d3e86592956</errorID>
      <errorWord>，</errorWord>
      <group>L1_Format</group>
      <groupName>格式问题</groupName>
      <ability>L2_HalfPunc</ability>
      <abilityName>全半角检查</abilityName>
      <candidateList>
        <item>,</item>
      </candidateList>
      <explain>文本全半角错误。</explain>
      <paraID>7FD751C0</paraID>
      <start>1</start>
      <end>2</end>
      <status>unmodified</status>
      <modifiedWord/>
      <trackRevisions>false</trackRevisions>
    </reviewItem>
    <reviewItem>
      <errorID>9276931e-692a-4e71-a4bf-658dbbf8e0b6</errorID>
      <errorWord>，</errorWord>
      <group>L1_Format</group>
      <groupName>格式问题</groupName>
      <ability>L2_HalfPunc</ability>
      <abilityName>全半角检查</abilityName>
      <candidateList>
        <item>,</item>
      </candidateList>
      <explain>文本全半角错误。</explain>
      <paraID>41677BB4</paraID>
      <start>3</start>
      <end>4</end>
      <status>unmodified</status>
      <modifiedWord/>
      <trackRevisions>false</trackRevisions>
    </reviewItem>
    <reviewItem>
      <errorID>a4fbbd2f-a10c-4028-a033-92c4a0648375</errorID>
      <errorWord>，</errorWord>
      <group>L1_Format</group>
      <groupName>格式问题</groupName>
      <ability>L2_HalfPunc</ability>
      <abilityName>全半角检查</abilityName>
      <candidateList>
        <item>,</item>
      </candidateList>
      <explain>文本全半角错误。</explain>
      <paraID>33BC5559</paraID>
      <start>3</start>
      <end>4</end>
      <status>unmodified</status>
      <modifiedWord/>
      <trackRevisions>false</trackRevisions>
    </reviewItem>
    <reviewItem>
      <errorID>5e8677ce-58da-48ac-a481-2a0ff723420c</errorID>
      <errorWord>含含</errorWord>
      <group>L1_Word</group>
      <groupName>字词问题</groupName>
      <ability>L2_Typo</ability>
      <abilityName>字词错误</abilityName>
      <candidateList>
        <item>含</item>
      </candidateList>
      <explain/>
      <paraID>5EC769F1</paraID>
      <start>10</start>
      <end>12</end>
      <status>unmodified</status>
      <modifiedWord/>
      <trackRevisions>false</trackRevisions>
    </reviewItem>
    <reviewItem>
      <errorID>cd6c1c2e-d974-4abb-b76d-4eb8ef320173</errorID>
      <errorWord>～</errorWord>
      <group>L1_Format</group>
      <groupName>格式问题</groupName>
      <ability>L2_HalfPunc</ability>
      <abilityName>全半角检查</abilityName>
      <candidateList>
        <item>~</item>
      </candidateList>
      <explain>文本全半角错误。</explain>
      <paraID>698C323A</paraID>
      <start>4</start>
      <end>5</end>
      <status>unmodified</status>
      <modifiedWord/>
      <trackRevisions>false</trackRevisions>
    </reviewItem>
    <reviewItem>
      <errorID>b5618054-afef-4236-9c70-552450ce3f74</errorID>
      <errorWord>～</errorWord>
      <group>L1_Format</group>
      <groupName>格式问题</groupName>
      <ability>L2_HalfPunc</ability>
      <abilityName>全半角检查</abilityName>
      <candidateList>
        <item>~</item>
      </candidateList>
      <explain>文本全半角错误。</explain>
      <paraID>426FD13B</paraID>
      <start>4</start>
      <end>5</end>
      <status>unmodified</status>
      <modifiedWord/>
      <trackRevisions>false</trackRevisions>
    </reviewItem>
    <reviewItem>
      <errorID>818ee48f-7f2c-4d98-8630-9d33e7c6158e</errorID>
      <errorWord>～</errorWord>
      <group>L1_Format</group>
      <groupName>格式问题</groupName>
      <ability>L2_HalfPunc</ability>
      <abilityName>全半角检查</abilityName>
      <candidateList>
        <item>~</item>
      </candidateList>
      <explain>文本全半角错误。</explain>
      <paraID>52E8F77C</paraID>
      <start>3</start>
      <end>4</end>
      <status>unmodified</status>
      <modifiedWord/>
      <trackRevisions>false</trackRevisions>
    </reviewItem>
    <reviewItem>
      <errorID>654dac2f-d5dc-4419-b7fb-7abb7066d608</errorID>
      <errorWord>～</errorWord>
      <group>L1_Format</group>
      <groupName>格式问题</groupName>
      <ability>L2_HalfPunc</ability>
      <abilityName>全半角检查</abilityName>
      <candidateList>
        <item>~</item>
      </candidateList>
      <explain>文本全半角错误。</explain>
      <paraID>5169BD63</paraID>
      <start>4</start>
      <end>5</end>
      <status>unmodified</status>
      <modifiedWord/>
      <trackRevisions>false</trackRevisions>
    </reviewItem>
    <reviewItem>
      <errorID>ddb4c712-c82d-4e32-8a01-f846f37dfa90</errorID>
      <errorWord>～</errorWord>
      <group>L1_Format</group>
      <groupName>格式问题</groupName>
      <ability>L2_HalfPunc</ability>
      <abilityName>全半角检查</abilityName>
      <candidateList>
        <item>~</item>
      </candidateList>
      <explain>文本全半角错误。</explain>
      <paraID>60935774</paraID>
      <start>4</start>
      <end>5</end>
      <status>unmodified</status>
      <modifiedWord/>
      <trackRevisions>false</trackRevisions>
    </reviewItem>
    <reviewItem>
      <errorID>34ecfb8e-80bd-4b0e-8583-71c5d6e5c863</errorID>
      <errorWord>～</errorWord>
      <group>L1_Format</group>
      <groupName>格式问题</groupName>
      <ability>L2_HalfPunc</ability>
      <abilityName>全半角检查</abilityName>
      <candidateList>
        <item>~</item>
      </candidateList>
      <explain>文本全半角错误。</explain>
      <paraID>78D3EA95</paraID>
      <start>3</start>
      <end>4</end>
      <status>unmodified</status>
      <modifiedWord/>
      <trackRevisions>false</trackRevisions>
    </reviewItem>
    <reviewItem>
      <errorID>e105060e-9ec3-4d2a-a482-850e6e2e4066</errorID>
      <errorWord>～</errorWord>
      <group>L1_Format</group>
      <groupName>格式问题</groupName>
      <ability>L2_HalfPunc</ability>
      <abilityName>全半角检查</abilityName>
      <candidateList>
        <item>~</item>
      </candidateList>
      <explain>文本全半角错误。</explain>
      <paraID>527E453C</paraID>
      <start>4</start>
      <end>5</end>
      <status>unmodified</status>
      <modifiedWord/>
      <trackRevisions>false</trackRevisions>
    </reviewItem>
    <reviewItem>
      <errorID>211db09d-bc76-4962-a285-61a9a6c967d1</errorID>
      <errorWord>～</errorWord>
      <group>L1_Format</group>
      <groupName>格式问题</groupName>
      <ability>L2_HalfPunc</ability>
      <abilityName>全半角检查</abilityName>
      <candidateList>
        <item>~</item>
      </candidateList>
      <explain>文本全半角错误。</explain>
      <paraID>5132E9FC</paraID>
      <start>4</start>
      <end>5</end>
      <status>unmodified</status>
      <modifiedWord/>
      <trackRevisions>false</trackRevisions>
    </reviewItem>
    <reviewItem>
      <errorID>8b0e76aa-5022-4c05-9a09-8fd7174baac0</errorID>
      <errorWord>～</errorWord>
      <group>L1_Format</group>
      <groupName>格式问题</groupName>
      <ability>L2_HalfPunc</ability>
      <abilityName>全半角检查</abilityName>
      <candidateList>
        <item>~</item>
      </candidateList>
      <explain>文本全半角错误。</explain>
      <paraID>2E1DFDE3</paraID>
      <start>3</start>
      <end>4</end>
      <status>unmodified</status>
      <modifiedWord/>
      <trackRevisions>false</trackRevisions>
    </reviewItem>
    <reviewItem>
      <errorID>62bd87ac-3b0b-44f1-9fba-ae0beb9f715b</errorID>
      <errorWord>～</errorWord>
      <group>L1_Format</group>
      <groupName>格式问题</groupName>
      <ability>L2_HalfPunc</ability>
      <abilityName>全半角检查</abilityName>
      <candidateList>
        <item>~</item>
      </candidateList>
      <explain>文本全半角错误。</explain>
      <paraID>5EF4B2F1</paraID>
      <start>4</start>
      <end>5</end>
      <status>unmodified</status>
      <modifiedWord/>
      <trackRevisions>false</trackRevisions>
    </reviewItem>
    <reviewItem>
      <errorID>f31a2ca7-cfb1-4326-a0be-ebf71027bd7d</errorID>
      <errorWord>～</errorWord>
      <group>L1_Format</group>
      <groupName>格式问题</groupName>
      <ability>L2_HalfPunc</ability>
      <abilityName>全半角检查</abilityName>
      <candidateList>
        <item>~</item>
      </candidateList>
      <explain>文本全半角错误。</explain>
      <paraID>6C81B864</paraID>
      <start>4</start>
      <end>5</end>
      <status>unmodified</status>
      <modifiedWord/>
      <trackRevisions>false</trackRevisions>
    </reviewItem>
    <reviewItem>
      <errorID>5623bccc-775d-4509-8853-c5d4e4528de5</errorID>
      <errorWord>～</errorWord>
      <group>L1_Format</group>
      <groupName>格式问题</groupName>
      <ability>L2_HalfPunc</ability>
      <abilityName>全半角检查</abilityName>
      <candidateList>
        <item>~</item>
      </candidateList>
      <explain>文本全半角错误。</explain>
      <paraID>57D014E6</paraID>
      <start>3</start>
      <end>4</end>
      <status>unmodified</status>
      <modifiedWord/>
      <trackRevisions>false</trackRevisions>
    </reviewItem>
    <reviewItem>
      <errorID>7287e67f-5ec8-4593-83a5-cf5cbb6a175e</errorID>
      <errorWord>~</errorWord>
      <group>L1_Format</group>
      <groupName>格式问题</groupName>
      <ability>L2_HalfPunc</ability>
      <abilityName>全半角检查</abilityName>
      <candidateList>
        <item>～</item>
      </candidateList>
      <explain>文本全半角错误。</explain>
      <paraID>31294229</paraID>
      <start>7</start>
      <end>8</end>
      <status>unmodified</status>
      <modifiedWord/>
      <trackRevisions>false</trackRevisions>
    </reviewItem>
    <reviewItem>
      <errorID>7ea63b69-80e5-4366-8d39-cf5354fb0da7</errorID>
      <errorWord>：</errorWord>
      <group>L1_Format</group>
      <groupName>格式问题</groupName>
      <ability>L2_HalfPunc</ability>
      <abilityName>全半角检查</abilityName>
      <candidateList>
        <item>:</item>
      </candidateList>
      <explain>文本全半角错误。</explain>
      <paraID>5BECD499</paraID>
      <start>77</start>
      <end>78</end>
      <status>unmodified</status>
      <modifiedWord/>
      <trackRevisions>false</trackRevisions>
    </reviewItem>
    <reviewItem>
      <errorID>852c5b45-e374-48c6-a8e7-ae13d364144b</errorID>
      <errorWord>5千</errorWord>
      <group>L1_Knowledge</group>
      <groupName>知识性问题</groupName>
      <ability>L2_Knowledge</ability>
      <abilityName>其他知识</abilityName>
      <candidateList>
        <item>5000</item>
      </candidateList>
      <explain/>
      <paraID>5282D847</paraID>
      <start>0</start>
      <end>2</end>
      <status>unmodified</status>
      <modifiedWord/>
      <trackRevisions>false</trackRevisions>
    </reviewItem>
    <reviewItem>
      <errorID>4c5c189b-aecf-4d3e-a29d-aab70d55e23a</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C0821C3</paraID>
      <start>2</start>
      <end>3</end>
      <status>unmodified</status>
      <modifiedWord/>
      <trackRevisions>false</trackRevisions>
    </reviewItem>
    <reviewItem>
      <errorID>9798735b-f04d-4879-8e16-3cacd7e17b1f</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3015FB21</paraID>
      <start>2</start>
      <end>3</end>
      <status>unmodified</status>
      <modifiedWord/>
      <trackRevisions>false</trackRevisions>
    </reviewItem>
    <reviewItem>
      <errorID>734148aa-7587-4fb9-b37b-21ed74eaf82b</errorID>
      <errorWord>“U”型</errorWord>
      <group>L1_Word</group>
      <groupName>字词问题</groupName>
      <ability>L2_Typo</ability>
      <abilityName>字词错误</abilityName>
      <candidateList>
        <item>“U”形</item>
      </candidateList>
      <explain/>
      <paraID>2E237EC9</paraID>
      <start>48</start>
      <end>52</end>
      <status>unmodified</status>
      <modifiedWord/>
      <trackRevisions>false</trackRevisions>
    </reviewItem>
    <reviewItem>
      <errorID>41a27aba-16e5-455b-adc9-6af9058d99d4</errorID>
      <errorWord>时</errorWord>
      <group>L1_Word</group>
      <groupName>字词问题</groupName>
      <ability>L2_Typo</ability>
      <abilityName>字词错误</abilityName>
      <candidateList>
        <item>时将</item>
      </candidateList>
      <explain/>
      <paraID>7C195203</paraID>
      <start>50</start>
      <end>51</end>
      <status>unmodified</status>
      <modifiedWord/>
      <trackRevisions>false</trackRevisions>
    </reviewItem>
    <reviewItem>
      <errorID>1449ac52-b683-4820-bad8-439aef9c6ae9</errorID>
      <errorWord>{</errorWord>
      <group>L1_Format</group>
      <groupName>格式问题</groupName>
      <ability>L2_HalfPunc</ability>
      <abilityName>全半角检查</abilityName>
      <candidateList>
        <item>｛</item>
      </candidateList>
      <explain>文本全半角错误。</explain>
      <paraID> 8C3F653</paraID>
      <start>26</start>
      <end>27</end>
      <status>unmodified</status>
      <modifiedWord/>
      <trackRevisions>false</trackRevisions>
    </reviewItem>
    <reviewItem>
      <errorID>efa021b5-3302-407d-b961-008b1ffe5493</errorID>
      <errorWord>}</errorWord>
      <group>L1_Format</group>
      <groupName>格式问题</groupName>
      <ability>L2_HalfPunc</ability>
      <abilityName>全半角检查</abilityName>
      <candidateList>
        <item>｝</item>
      </candidateList>
      <explain>文本全半角错误。</explain>
      <paraID> 8C3F653</paraID>
      <start>40</start>
      <end>41</end>
      <status>unmodified</status>
      <modifiedWord/>
      <trackRevisions>false</trackRevisions>
    </reviewItem>
    <reviewItem>
      <errorID>f00810bc-15bc-42fd-a57e-52f6d16d002b</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D7E2558</paraID>
      <start>72</start>
      <end>73</end>
      <status>unmodified</status>
      <modifiedWord/>
      <trackRevisions>false</trackRevisions>
    </reviewItem>
    <reviewItem>
      <errorID>954a2c69-a554-4b75-8c27-a1dad9c0907d</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66EFEC6B</paraID>
      <start>28</start>
      <end>29</end>
      <status>unmodified</status>
      <modifiedWord/>
      <trackRevisions>false</trackRevisions>
    </reviewItem>
    <reviewItem>
      <errorID>3789e2d8-66fd-4cf0-b84b-6c3dc196f50f</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66EFEC6B</paraID>
      <start>32</start>
      <end>33</end>
      <status>unmodified</status>
      <modifiedWord/>
      <trackRevisions>false</trackRevisions>
    </reviewItem>
    <reviewItem>
      <errorID>42f1fad0-dab9-459c-abdb-bf2cc2dab4ce</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66EFEC6B</paraID>
      <start>38</start>
      <end>39</end>
      <status>unmodified</status>
      <modifiedWord/>
      <trackRevisions>false</trackRevisions>
    </reviewItem>
    <reviewItem>
      <errorID>3119ed68-7628-4df4-b9be-62850760de9b</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3162A357</paraID>
      <start>6</start>
      <end>7</end>
      <status>unmodified</status>
      <modifiedWord/>
      <trackRevisions>false</trackRevisions>
    </reviewItem>
    <reviewItem>
      <errorID>2a21a89e-7072-4c7d-ad62-48bb2038122b</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3162A357</paraID>
      <start>10</start>
      <end>11</end>
      <status>unmodified</status>
      <modifiedWord/>
      <trackRevisions>false</trackRevisions>
    </reviewItem>
    <reviewItem>
      <errorID>118881f0-80df-4d4c-b1d0-f4d4a4fb9cfd</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3162A357</paraID>
      <start>17</start>
      <end>18</end>
      <status>unmodified</status>
      <modifiedWord/>
      <trackRevisions>false</trackRevisions>
    </reviewItem>
    <reviewItem>
      <errorID>e8a3adb9-da18-4eb7-b92a-d3532d4ca8a1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414E6877</paraID>
      <start>0</start>
      <end>2</end>
      <status>unmodified</status>
      <modifiedWord/>
      <trackRevisions>false</trackRevisions>
    </reviewItem>
    <reviewItem>
      <errorID>a633cf73-0c69-4319-9df1-b242a6f345f5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4510C764</paraID>
      <start>0</start>
      <end>2</end>
      <status>unmodified</status>
      <modifiedWord/>
      <trackRevisions>false</trackRevisions>
    </reviewItem>
    <reviewItem>
      <errorID>b4db54ed-4e5b-4d5b-aa7b-142e84d10e9f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496B6DBD</paraID>
      <start>0</start>
      <end>2</end>
      <status>unmodified</status>
      <modifiedWord/>
      <trackRevisions>false</trackRevisions>
    </reviewItem>
    <reviewItem>
      <errorID>529568c1-6e59-4e77-af1f-57823dff4a51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132CD179</paraID>
      <start>0</start>
      <end>2</end>
      <status>unmodified</status>
      <modifiedWord/>
      <trackRevisions>false</trackRevisions>
    </reviewItem>
    <reviewItem>
      <errorID>13abcb6d-b553-41ff-99c3-12894e645d61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64CD7308</paraID>
      <start>0</start>
      <end>2</end>
      <status>unmodified</status>
      <modifiedWord/>
      <trackRevisions>false</trackRevisions>
    </reviewItem>
    <reviewItem>
      <errorID>543dabe4-11cf-4da0-ae96-a14dfac244ca</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5EE8A90A</paraID>
      <start>0</start>
      <end>2</end>
      <status>unmodified</status>
      <modifiedWord/>
      <trackRevisions>false</trackRevisions>
    </reviewItem>
    <reviewItem>
      <errorID>62f80364-efce-4372-8dc8-3ef62864ed2c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BCECFE5</paraID>
      <start>0</start>
      <end>2</end>
      <status>unmodified</status>
      <modifiedWord/>
      <trackRevisions>false</trackRevisions>
    </reviewItem>
    <reviewItem>
      <errorID>c41d82a7-3493-4137-b3df-0bcb1f3cc2bf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415ED224</paraID>
      <start>0</start>
      <end>2</end>
      <status>unmodified</status>
      <modifiedWord/>
      <trackRevisions>false</trackRevisions>
    </reviewItem>
    <reviewItem>
      <errorID>fb5089df-0882-490d-a3d3-b1f9d64d6292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6E8874E7</paraID>
      <start>0</start>
      <end>2</end>
      <status>unmodified</status>
      <modifiedWord/>
      <trackRevisions>false</trackRevisions>
    </reviewItem>
    <reviewItem>
      <errorID>8805bc19-915a-4b8a-994a-2e7e4fd717a5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48BC591F</paraID>
      <start>0</start>
      <end>2</end>
      <status>unmodified</status>
      <modifiedWord/>
      <trackRevisions>false</trackRevisions>
    </reviewItem>
    <reviewItem>
      <errorID>ad3a0d4e-a962-4683-abe5-9fc086b61d91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7FC14083</paraID>
      <start>0</start>
      <end>2</end>
      <status>unmodified</status>
      <modifiedWord/>
      <trackRevisions>false</trackRevisions>
    </reviewItem>
    <reviewItem>
      <errorID>f75cbe44-244e-4095-9203-ac29463b6ae8</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482AD737</paraID>
      <start>0</start>
      <end>2</end>
      <status>unmodified</status>
      <modifiedWord/>
      <trackRevisions>false</trackRevisions>
    </reviewItem>
    <reviewItem>
      <errorID>1fa8c90c-b1ae-44b5-bb88-8e098fc6d2a4</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5FAAB14A</paraID>
      <start>0</start>
      <end>2</end>
      <status>unmodified</status>
      <modifiedWord/>
      <trackRevisions>false</trackRevisions>
    </reviewItem>
    <reviewItem>
      <errorID>97e36b98-31b2-4081-b160-73f35a5a5dc8</errorID>
      <errorWord>达</errorWord>
      <group>L1_Word</group>
      <groupName>字词问题</groupName>
      <ability>L2_Typo</ability>
      <abilityName>字词错误</abilityName>
      <candidateList>
        <item>达到</item>
      </candidateList>
      <explain>〈动〉到（多指抽象事物或程度）：达得到｜达不到｜目的没有～｜～国际水平。</explain>
      <paraID>226CB264</paraID>
      <start>49</start>
      <end>50</end>
      <status>unmodified</status>
      <modifiedWord/>
      <trackRevisions>false</trackRevisions>
    </reviewItem>
    <reviewItem>
      <errorID>e9a0cce3-ef79-4f27-9ef4-b3b95aff8916</errorID>
      <errorWord>~</errorWord>
      <group>L1_Format</group>
      <groupName>格式问题</groupName>
      <ability>L2_HalfPunc</ability>
      <abilityName>全半角检查</abilityName>
      <candidateList>
        <item>～</item>
      </candidateList>
      <explain>文本全半角错误。</explain>
      <paraID>60CBF374</paraID>
      <start>34</start>
      <end>35</end>
      <status>unmodified</status>
      <modifiedWord/>
      <trackRevisions>false</trackRevisions>
    </reviewItem>
    <reviewItem>
      <errorID>6da9dbe7-57ad-47bf-a805-85aaadafc58a</errorID>
      <errorWord>泄露</errorWord>
      <group>L1_Word</group>
      <groupName>字词问题</groupName>
      <ability>L2_Typo</ability>
      <abilityName>字词错误</abilityName>
      <candidateList>
        <item>泄漏</item>
      </candidateList>
      <explain>存在发音相同字词的误用。</explain>
      <paraID> 5AEFF7B</paraID>
      <start>57</start>
      <end>59</end>
      <status>unmodified</status>
      <modifiedWord/>
      <trackRevisions>false</trackRevisions>
    </reviewItem>
    <reviewItem>
      <errorID>368fbd0e-61b8-43fb-bd73-1e9fc76f3648</errorID>
      <errorWord>泄露</errorWord>
      <group>L1_Word</group>
      <groupName>字词问题</groupName>
      <ability>L2_Typo</ability>
      <abilityName>字词错误</abilityName>
      <candidateList>
        <item>泄漏</item>
      </candidateList>
      <explain>存在发音相同字词的误用。</explain>
      <paraID> 5AEFF7B</paraID>
      <start>117</start>
      <end>119</end>
      <status>unmodified</status>
      <modifiedWord/>
      <trackRevisions>false</trackRevisions>
    </reviewItem>
    <reviewItem>
      <errorID>af07df7d-a538-49cb-97e0-9e46ae34a3bf</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 5AEFF7B</paraID>
      <start>119</start>
      <end>121</end>
      <status>unmodified</status>
      <modifiedWord/>
      <trackRevisions>false</trackRevisions>
    </reviewItem>
    <reviewItem>
      <errorID>e1fadc78-d1c1-4dc1-9755-686ee217119a</errorID>
      <errorWord>进入到</errorWord>
      <group>L1_Word</group>
      <groupName>字词问题</groupName>
      <ability>L2_Typo</ability>
      <abilityName>字词错误</abilityName>
      <candidateList>
        <item>进入</item>
      </candidateList>
      <explain>〈动〉支进到某个范围或某个时期里：～学校｜～新阶段◇～角色。</explain>
      <paraID> 5AEFF7B</paraID>
      <start>134</start>
      <end>137</end>
      <status>unmodified</status>
      <modifiedWord/>
      <trackRevisions>false</trackRevisions>
    </reviewItem>
    <reviewItem>
      <errorID>37abb29f-ea16-411a-af50-be06a853c19c</errorID>
      <errorWord>委托由</errorWord>
      <group>L1_Word</group>
      <groupName>字词问题</groupName>
      <ability>L2_Typo</ability>
      <abilityName>字词错误</abilityName>
      <candidateList>
        <item>委托</item>
      </candidateList>
      <explain/>
      <paraID> 5AEFF7B</paraID>
      <start>152</start>
      <end>155</end>
      <status>unmodified</status>
      <modifiedWord/>
      <trackRevisions>false</trackRevisions>
    </reviewItem>
    <reviewItem>
      <errorID>018e2106-24c1-4000-ba2a-9b8a0b1d9ab3</errorID>
      <errorWord>泄露</errorWord>
      <group>L1_Word</group>
      <groupName>字词问题</groupName>
      <ability>L2_Typo</ability>
      <abilityName>字词错误</abilityName>
      <candidateList>
        <item>泄漏</item>
      </candidateList>
      <explain>存在发音相同字词的误用。</explain>
      <paraID>22F4FB3D</paraID>
      <start>70</start>
      <end>72</end>
      <status>unmodified</status>
      <modifiedWord/>
      <trackRevisions>false</trackRevisions>
    </reviewItem>
    <reviewItem>
      <errorID>5ec716a0-67be-4528-bdb9-101b7aa11b66</errorID>
      <errorWord>~</errorWord>
      <group>L1_Format</group>
      <groupName>格式问题</groupName>
      <ability>L2_HalfPunc</ability>
      <abilityName>全半角检查</abilityName>
      <candidateList>
        <item>～</item>
      </candidateList>
      <explain>文本全半角错误。</explain>
      <paraID>7AD7BFBB</paraID>
      <start>68</start>
      <end>69</end>
      <status>unmodified</status>
      <modifiedWord/>
      <trackRevisions>false</trackRevisions>
    </reviewItem>
    <reviewItem>
      <errorID>2e4e6981-1a92-47fc-ac2e-b2686522a7ee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2BEA27C7</paraID>
      <start>0</start>
      <end>2</end>
      <status>unmodified</status>
      <modifiedWord/>
      <trackRevisions>false</trackRevisions>
    </reviewItem>
    <reviewItem>
      <errorID>03866d4f-e708-471b-bde6-dbccfffdec14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3DDE1E46</paraID>
      <start>0</start>
      <end>2</end>
      <status>unmodified</status>
      <modifiedWord/>
      <trackRevisions>false</trackRevisions>
    </reviewItem>
    <reviewItem>
      <errorID>ac8b3961-5e50-4ed2-b5a9-39f568f97116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59E4FECD</paraID>
      <start>31</start>
      <end>32</end>
      <status>unmodified</status>
      <modifiedWord/>
      <trackRevisions>false</trackRevisions>
    </reviewItem>
    <reviewItem>
      <errorID>eefdc477-ba12-4bd4-8a6b-656b13cfbe9a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191A45D6</paraID>
      <start>0</start>
      <end>2</end>
      <status>unmodified</status>
      <modifiedWord/>
      <trackRevisions>false</trackRevisions>
    </reviewItem>
    <reviewItem>
      <errorID>6266cea4-80c1-432b-9549-7bf811acb438</errorID>
      <errorWord>)</errorWord>
      <group>L1_Format</group>
      <groupName>格式问题</groupName>
      <ability>L2_HalfPunc</ability>
      <abilityName>全半角检查</abilityName>
      <candidateList>
        <item>）</item>
      </candidateList>
      <explain>文本全半角错误。</explain>
      <paraID>1EFA27CF</paraID>
      <start>4</start>
      <end>5</end>
      <status>unmodified</status>
      <modifiedWord/>
      <trackRevisions>false</trackRevisions>
    </reviewItem>
    <reviewItem>
      <errorID>f05db721-05d3-4093-bfbb-bf6e078953f0</errorID>
      <errorWord>)</errorWord>
      <group>L1_Format</group>
      <groupName>格式问题</groupName>
      <ability>L2_HalfPunc</ability>
      <abilityName>全半角检查</abilityName>
      <candidateList>
        <item>）</item>
      </candidateList>
      <explain>文本全半角错误。</explain>
      <paraID>1BE59028</paraID>
      <start>10</start>
      <end>11</end>
      <status>unmodified</status>
      <modifiedWord/>
      <trackRevisions>false</trackRevisions>
    </reviewItem>
    <reviewItem>
      <errorID>7e9c97b7-d29d-4e11-b6d5-2f10d199f117</errorID>
      <errorWord>)</errorWord>
      <group>L1_Format</group>
      <groupName>格式问题</groupName>
      <ability>L2_HalfPunc</ability>
      <abilityName>全半角检查</abilityName>
      <candidateList>
        <item>）</item>
      </candidateList>
      <explain>文本全半角错误。</explain>
      <paraID>7BACB94E</paraID>
      <start>12</start>
      <end>13</end>
      <status>unmodified</status>
      <modifiedWord/>
      <trackRevisions>false</trackRevisions>
    </reviewItem>
    <reviewItem>
      <errorID>b2088a15-c5fd-47ab-b442-e5395f93a02f</errorID>
      <errorWord>)</errorWord>
      <group>L1_Format</group>
      <groupName>格式问题</groupName>
      <ability>L2_HalfPunc</ability>
      <abilityName>全半角检查</abilityName>
      <candidateList>
        <item>）</item>
      </candidateList>
      <explain>文本全半角错误。</explain>
      <paraID>31914D92</paraID>
      <start>8</start>
      <end>9</end>
      <status>unmodified</status>
      <modifiedWord/>
      <trackRevisions>false</trackRevisions>
    </reviewItem>
    <reviewItem>
      <errorID>8932fd42-e1c3-4e6a-885a-a2bd45ba62c9</errorID>
      <errorWord>)</errorWord>
      <group>L1_Format</group>
      <groupName>格式问题</groupName>
      <ability>L2_HalfPunc</ability>
      <abilityName>全半角检查</abilityName>
      <candidateList>
        <item>）</item>
      </candidateList>
      <explain>文本全半角错误。</explain>
      <paraID>7CFF011B</paraID>
      <start>7</start>
      <end>8</end>
      <status>unmodified</status>
      <modifiedWord/>
      <trackRevisions>false</trackRevisions>
    </reviewItem>
    <reviewItem>
      <errorID>f120b11c-69a5-41d2-8b9d-670d18610090</errorID>
      <errorWord>)</errorWord>
      <group>L1_Format</group>
      <groupName>格式问题</groupName>
      <ability>L2_HalfPunc</ability>
      <abilityName>全半角检查</abilityName>
      <candidateList>
        <item>）</item>
      </candidateList>
      <explain>文本全半角错误。</explain>
      <paraID>4DC2D0E2</paraID>
      <start>7</start>
      <end>8</end>
      <status>unmodified</status>
      <modifiedWord/>
      <trackRevisions>false</trackRevisions>
    </reviewItem>
    <reviewItem>
      <errorID>4ab1d517-040f-4a49-8b46-d37c2a58a407</errorID>
      <errorWord>)</errorWord>
      <group>L1_Format</group>
      <groupName>格式问题</groupName>
      <ability>L2_HalfPunc</ability>
      <abilityName>全半角检查</abilityName>
      <candidateList>
        <item>）</item>
      </candidateList>
      <explain>文本全半角错误。</explain>
      <paraID>11AD7B27</paraID>
      <start>8</start>
      <end>9</end>
      <status>unmodified</status>
      <modifiedWord/>
      <trackRevisions>false</trackRevisions>
    </reviewItem>
    <reviewItem>
      <errorID>0c5a5f47-b609-4431-9e49-3d57e1350774</errorID>
      <errorWord>)</errorWord>
      <group>L1_Format</group>
      <groupName>格式问题</groupName>
      <ability>L2_HalfPunc</ability>
      <abilityName>全半角检查</abilityName>
      <candidateList>
        <item>）</item>
      </candidateList>
      <explain>文本全半角错误。</explain>
      <paraID>47A8BE48</paraID>
      <start>8</start>
      <end>9</end>
      <status>unmodified</status>
      <modifiedWord/>
      <trackRevisions>false</trackRevisions>
    </reviewItem>
    <reviewItem>
      <errorID>0ee4a8b1-abaf-423d-a106-6260bd1ebaf3</errorID>
      <errorWord>)</errorWord>
      <group>L1_Format</group>
      <groupName>格式问题</groupName>
      <ability>L2_HalfPunc</ability>
      <abilityName>全半角检查</abilityName>
      <candidateList>
        <item>）</item>
      </candidateList>
      <explain>文本全半角错误。</explain>
      <paraID>68958CA1</paraID>
      <start>9</start>
      <end>10</end>
      <status>unmodified</status>
      <modifiedWord/>
      <trackRevisions>false</trackRevisions>
    </reviewItem>
    <reviewItem>
      <errorID>f7c24739-57f6-4eaf-82f9-33b58e7b08c0</errorID>
      <errorWord>)</errorWord>
      <group>L1_Format</group>
      <groupName>格式问题</groupName>
      <ability>L2_HalfPunc</ability>
      <abilityName>全半角检查</abilityName>
      <candidateList>
        <item>）</item>
      </candidateList>
      <explain>文本全半角错误。</explain>
      <paraID>7479EF84</paraID>
      <start>8</start>
      <end>9</end>
      <status>unmodified</status>
      <modifiedWord/>
      <trackRevisions>false</trackRevisions>
    </reviewItem>
    <reviewItem>
      <errorID>82e828f3-11ec-4611-ba18-78b6fc3d8f95</errorID>
      <errorWord>)</errorWord>
      <group>L1_Format</group>
      <groupName>格式问题</groupName>
      <ability>L2_HalfPunc</ability>
      <abilityName>全半角检查</abilityName>
      <candidateList>
        <item>）</item>
      </candidateList>
      <explain>文本全半角错误。</explain>
      <paraID>75A757ED</paraID>
      <start>8</start>
      <end>9</end>
      <status>unmodified</status>
      <modifiedWord/>
      <trackRevisions>false</trackRevisions>
    </reviewItem>
    <reviewItem>
      <errorID>a9c08cbd-2a17-4e95-aa85-412842fd41e2</errorID>
      <errorWord>)</errorWord>
      <group>L1_Format</group>
      <groupName>格式问题</groupName>
      <ability>L2_HalfPunc</ability>
      <abilityName>全半角检查</abilityName>
      <candidateList>
        <item>）</item>
      </candidateList>
      <explain>文本全半角错误。</explain>
      <paraID>725D1490</paraID>
      <start>4</start>
      <end>5</end>
      <status>unmodified</status>
      <modifiedWord/>
      <trackRevisions>false</trackRevisions>
    </reviewItem>
    <reviewItem>
      <errorID>a5351c00-b393-4b60-87d2-a8d36f2b21e9</errorID>
      <errorWord>)</errorWord>
      <group>L1_Format</group>
      <groupName>格式问题</groupName>
      <ability>L2_HalfPunc</ability>
      <abilityName>全半角检查</abilityName>
      <candidateList>
        <item>）</item>
      </candidateList>
      <explain>文本全半角错误。</explain>
      <paraID>74F598B5</paraID>
      <start>10</start>
      <end>11</end>
      <status>unmodified</status>
      <modifiedWord/>
      <trackRevisions>false</trackRevisions>
    </reviewItem>
    <reviewItem>
      <errorID>cb8b61f6-1da5-467c-b7ca-ff27cf3598ca</errorID>
      <errorWord>)</errorWord>
      <group>L1_Format</group>
      <groupName>格式问题</groupName>
      <ability>L2_HalfPunc</ability>
      <abilityName>全半角检查</abilityName>
      <candidateList>
        <item>）</item>
      </candidateList>
      <explain>文本全半角错误。</explain>
      <paraID>429A99D7</paraID>
      <start>10</start>
      <end>11</end>
      <status>unmodified</status>
      <modifiedWord/>
      <trackRevisions>false</trackRevisions>
    </reviewItem>
    <reviewItem>
      <errorID>a55a51dd-0854-4dc6-b069-b9fa4f709335</errorID>
      <errorWord>)</errorWord>
      <group>L1_Format</group>
      <groupName>格式问题</groupName>
      <ability>L2_HalfPunc</ability>
      <abilityName>全半角检查</abilityName>
      <candidateList>
        <item>）</item>
      </candidateList>
      <explain>文本全半角错误。</explain>
      <paraID>20260AFE</paraID>
      <start>8</start>
      <end>9</end>
      <status>unmodified</status>
      <modifiedWord/>
      <trackRevisions>false</trackRevisions>
    </reviewItem>
    <reviewItem>
      <errorID>c963dbd7-49b8-4da5-837c-d7000c6b01b3</errorID>
      <errorWord>)</errorWord>
      <group>L1_Format</group>
      <groupName>格式问题</groupName>
      <ability>L2_HalfPunc</ability>
      <abilityName>全半角检查</abilityName>
      <candidateList>
        <item>）</item>
      </candidateList>
      <explain>文本全半角错误。</explain>
      <paraID>7877B32F</paraID>
      <start>7</start>
      <end>8</end>
      <status>unmodified</status>
      <modifiedWord/>
      <trackRevisions>false</trackRevisions>
    </reviewItem>
    <reviewItem>
      <errorID>3c676101-f8b8-44e7-87e0-9fe61b55234a</errorID>
      <errorWord>)</errorWord>
      <group>L1_Format</group>
      <groupName>格式问题</groupName>
      <ability>L2_HalfPunc</ability>
      <abilityName>全半角检查</abilityName>
      <candidateList>
        <item>）</item>
      </candidateList>
      <explain>文本全半角错误。</explain>
      <paraID>2385B703</paraID>
      <start>7</start>
      <end>8</end>
      <status>unmodified</status>
      <modifiedWord/>
      <trackRevisions>false</trackRevisions>
    </reviewItem>
    <reviewItem>
      <errorID>f73bfabd-2f2f-4f05-b265-d52ec38bec20</errorID>
      <errorWord>)</errorWord>
      <group>L1_Format</group>
      <groupName>格式问题</groupName>
      <ability>L2_HalfPunc</ability>
      <abilityName>全半角检查</abilityName>
      <candidateList>
        <item>）</item>
      </candidateList>
      <explain>文本全半角错误。</explain>
      <paraID>48A6B46C</paraID>
      <start>7</start>
      <end>8</end>
      <status>unmodified</status>
      <modifiedWord/>
      <trackRevisions>false</trackRevisions>
    </reviewItem>
    <reviewItem>
      <errorID>35b36aba-bff1-41e8-a8af-65e985a258ac</errorID>
      <errorWord>)</errorWord>
      <group>L1_Format</group>
      <groupName>格式问题</groupName>
      <ability>L2_HalfPunc</ability>
      <abilityName>全半角检查</abilityName>
      <candidateList>
        <item>）</item>
      </candidateList>
      <explain>文本全半角错误。</explain>
      <paraID>6D186BE2</paraID>
      <start>8</start>
      <end>9</end>
      <status>unmodified</status>
      <modifiedWord/>
      <trackRevisions>false</trackRevisions>
    </reviewItem>
    <reviewItem>
      <errorID>3570c04b-0f30-460c-b496-cd315eac053a</errorID>
      <errorWord>)</errorWord>
      <group>L1_Format</group>
      <groupName>格式问题</groupName>
      <ability>L2_HalfPunc</ability>
      <abilityName>全半角检查</abilityName>
      <candidateList>
        <item>）</item>
      </candidateList>
      <explain>文本全半角错误。</explain>
      <paraID>339AF517</paraID>
      <start>8</start>
      <end>9</end>
      <status>unmodified</status>
      <modifiedWord/>
      <trackRevisions>false</trackRevisions>
    </reviewItem>
    <reviewItem>
      <errorID>2299b6c4-c6b5-4b78-a325-137545ec2243</errorID>
      <errorWord>)</errorWord>
      <group>L1_Format</group>
      <groupName>格式问题</groupName>
      <ability>L2_HalfPunc</ability>
      <abilityName>全半角检查</abilityName>
      <candidateList>
        <item>）</item>
      </candidateList>
      <explain>文本全半角错误。</explain>
      <paraID>57F1C03A</paraID>
      <start>8</start>
      <end>9</end>
      <status>unmodified</status>
      <modifiedWord/>
      <trackRevisions>false</trackRevisions>
    </reviewItem>
    <reviewItem>
      <errorID>37e34694-8bf2-414c-b996-2feb54fc01c1</errorID>
      <errorWord>达</errorWord>
      <group>L1_Word</group>
      <groupName>字词问题</groupName>
      <ability>L2_Typo</ability>
      <abilityName>字词错误</abilityName>
      <candidateList>
        <item>达到</item>
      </candidateList>
      <explain>〈动〉到（多指抽象事物或程度）：达得到｜达不到｜目的没有～｜～国际水平。</explain>
      <paraID>1DAC3202</paraID>
      <start>49</start>
      <end>50</end>
      <status>unmodified</status>
      <modifiedWord/>
      <trackRevisions>false</trackRevisions>
    </reviewItem>
    <reviewItem>
      <errorID>758dc322-5e45-4fc4-b188-b39582b7cfee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701E9CF0</paraID>
      <start>0</start>
      <end>2</end>
      <status>unmodified</status>
      <modifiedWord/>
      <trackRevisions>false</trackRevisions>
    </reviewItem>
    <reviewItem>
      <errorID>69eb8383-176f-4e9f-b940-e2d9558103f7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76CE5E4D</paraID>
      <start>0</start>
      <end>2</end>
      <status>unmodified</status>
      <modifiedWord/>
      <trackRevisions>false</trackRevisions>
    </reviewItem>
    <reviewItem>
      <errorID>87c94571-1e0a-4b4a-b468-68464445a58b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1330C21D</paraID>
      <start>0</start>
      <end>2</end>
      <status>unmodified</status>
      <modifiedWord/>
      <trackRevisions>false</trackRevisions>
    </reviewItem>
    <reviewItem>
      <errorID>901edd59-3b92-4f0a-9ea6-89360a46ea27</errorID>
      <errorWord>(</errorWord>
      <group>L1_Format</group>
      <groupName>格式问题</groupName>
      <ability>L2_HalfPunc</ability>
      <abilityName>全半角检查</abilityName>
      <candidateList>
        <item>（</item>
      </candidateList>
      <explain>文本全半角错误。</explain>
      <paraID>4496E7E4</paraID>
      <start>2</start>
      <end>3</end>
      <status>unmodified</status>
      <modifiedWord/>
      <trackRevisions>false</trackRevisions>
    </reviewItem>
    <reviewItem>
      <errorID>1f59cd72-68e6-4c9b-9c04-afcb4f9414e4</errorID>
      <errorWord>)</errorWord>
      <group>L1_Format</group>
      <groupName>格式问题</groupName>
      <ability>L2_HalfPunc</ability>
      <abilityName>全半角检查</abilityName>
      <candidateList>
        <item>）</item>
      </candidateList>
      <explain>文本全半角错误。</explain>
      <paraID>4496E7E4</paraID>
      <start>4</start>
      <end>5</end>
      <status>unmodified</status>
      <modifiedWord/>
      <trackRevisions>false</trackRevisions>
    </reviewItem>
    <reviewItem>
      <errorID>e0bd0907-6b6a-49dc-b7f9-e7094ac72891</errorID>
      <errorWord>(</errorWord>
      <group>L1_Format</group>
      <groupName>格式问题</groupName>
      <ability>L2_HalfPunc</ability>
      <abilityName>全半角检查</abilityName>
      <candidateList>
        <item>（</item>
      </candidateList>
      <explain>文本全半角错误。</explain>
      <paraID> A0BBB56</paraID>
      <start>4</start>
      <end>5</end>
      <status>unmodified</status>
      <modifiedWord/>
      <trackRevisions>false</trackRevisions>
    </reviewItem>
    <reviewItem>
      <errorID>94c6afde-4d6e-47b2-bea0-df31f308e2f0</errorID>
      <errorWord>)</errorWord>
      <group>L1_Format</group>
      <groupName>格式问题</groupName>
      <ability>L2_HalfPunc</ability>
      <abilityName>全半角检查</abilityName>
      <candidateList>
        <item>）</item>
      </candidateList>
      <explain>文本全半角错误。</explain>
      <paraID> A0BBB56</paraID>
      <start>8</start>
      <end>9</end>
      <status>unmodified</status>
      <modifiedWord/>
      <trackRevisions>false</trackRevisions>
    </reviewItem>
    <reviewItem>
      <errorID>9ddcda9d-613a-422c-9b5e-4fe3a808e610</errorID>
      <errorWord>(</errorWord>
      <group>L1_Format</group>
      <groupName>格式问题</groupName>
      <ability>L2_HalfPunc</ability>
      <abilityName>全半角检查</abilityName>
      <candidateList>
        <item>（</item>
      </candidateList>
      <explain>文本全半角错误。</explain>
      <paraID>62381D95</paraID>
      <start>5</start>
      <end>6</end>
      <status>unmodified</status>
      <modifiedWord/>
      <trackRevisions>false</trackRevisions>
    </reviewItem>
    <reviewItem>
      <errorID>bfc2d9b7-9ed9-4079-a5b0-3a4591e3f667</errorID>
      <errorWord>)</errorWord>
      <group>L1_Format</group>
      <groupName>格式问题</groupName>
      <ability>L2_HalfPunc</ability>
      <abilityName>全半角检查</abilityName>
      <candidateList>
        <item>）</item>
      </candidateList>
      <explain>文本全半角错误。</explain>
      <paraID>62381D95</paraID>
      <start>10</start>
      <end>11</end>
      <status>unmodified</status>
      <modifiedWord/>
      <trackRevisions>false</trackRevisions>
    </reviewItem>
    <reviewItem>
      <errorID>98a52f8a-3a4f-4d05-8e8c-e5f52d835122</errorID>
      <errorWord>(</errorWord>
      <group>L1_Format</group>
      <groupName>格式问题</groupName>
      <ability>L2_HalfPunc</ability>
      <abilityName>全半角检查</abilityName>
      <candidateList>
        <item>（</item>
      </candidateList>
      <explain>文本全半角错误。</explain>
      <paraID> 2036B85</paraID>
      <start>7</start>
      <end>8</end>
      <status>unmodified</status>
      <modifiedWord/>
      <trackRevisions>false</trackRevisions>
    </reviewItem>
    <reviewItem>
      <errorID>fbbfb203-1f7c-4f9d-8118-cc74b4a6e16d</errorID>
      <errorWord>)</errorWord>
      <group>L1_Format</group>
      <groupName>格式问题</groupName>
      <ability>L2_HalfPunc</ability>
      <abilityName>全半角检查</abilityName>
      <candidateList>
        <item>）</item>
      </candidateList>
      <explain>文本全半角错误。</explain>
      <paraID> 2036B85</paraID>
      <start>12</start>
      <end>13</end>
      <status>unmodified</status>
      <modifiedWord/>
      <trackRevisions>false</trackRevisions>
    </reviewItem>
    <reviewItem>
      <errorID>fde52f3f-94da-4294-a9ba-048aacd25593</errorID>
      <errorWord>(</errorWord>
      <group>L1_Format</group>
      <groupName>格式问题</groupName>
      <ability>L2_HalfPunc</ability>
      <abilityName>全半角检查</abilityName>
      <candidateList>
        <item>（</item>
      </candidateList>
      <explain>文本全半角错误。</explain>
      <paraID>4774C757</paraID>
      <start>3</start>
      <end>4</end>
      <status>unmodified</status>
      <modifiedWord/>
      <trackRevisions>false</trackRevisions>
    </reviewItem>
    <reviewItem>
      <errorID>aed7526a-0d10-4556-b72d-33a958921d41</errorID>
      <errorWord>)</errorWord>
      <group>L1_Format</group>
      <groupName>格式问题</groupName>
      <ability>L2_HalfPunc</ability>
      <abilityName>全半角检查</abilityName>
      <candidateList>
        <item>）</item>
      </candidateList>
      <explain>文本全半角错误。</explain>
      <paraID>4774C757</paraID>
      <start>8</start>
      <end>9</end>
      <status>unmodified</status>
      <modifiedWord/>
      <trackRevisions>false</trackRevisions>
    </reviewItem>
    <reviewItem>
      <errorID>1e9f5063-25a7-47ee-8bb5-d041c2c8be41</errorID>
      <errorWord>(</errorWord>
      <group>L1_Format</group>
      <groupName>格式问题</groupName>
      <ability>L2_HalfPunc</ability>
      <abilityName>全半角检查</abilityName>
      <candidateList>
        <item>（</item>
      </candidateList>
      <explain>文本全半角错误。</explain>
      <paraID>2DDA4AE2</paraID>
      <start>2</start>
      <end>3</end>
      <status>unmodified</status>
      <modifiedWord/>
      <trackRevisions>false</trackRevisions>
    </reviewItem>
    <reviewItem>
      <errorID>ff24c47d-b737-41a2-8c02-b32f4b48f607</errorID>
      <errorWord>)</errorWord>
      <group>L1_Format</group>
      <groupName>格式问题</groupName>
      <ability>L2_HalfPunc</ability>
      <abilityName>全半角检查</abilityName>
      <candidateList>
        <item>）</item>
      </candidateList>
      <explain>文本全半角错误。</explain>
      <paraID>2DDA4AE2</paraID>
      <start>7</start>
      <end>8</end>
      <status>unmodified</status>
      <modifiedWord/>
      <trackRevisions>false</trackRevisions>
    </reviewItem>
    <reviewItem>
      <errorID>3fb908c7-d673-4a7e-b9f2-4545b007371c</errorID>
      <errorWord>(</errorWord>
      <group>L1_Format</group>
      <groupName>格式问题</groupName>
      <ability>L2_HalfPunc</ability>
      <abilityName>全半角检查</abilityName>
      <candidateList>
        <item>（</item>
      </candidateList>
      <explain>文本全半角错误。</explain>
      <paraID>3921C437</paraID>
      <start>2</start>
      <end>3</end>
      <status>unmodified</status>
      <modifiedWord/>
      <trackRevisions>false</trackRevisions>
    </reviewItem>
    <reviewItem>
      <errorID>85238fe9-6a81-4ca6-ae60-8039d218420b</errorID>
      <errorWord>)</errorWord>
      <group>L1_Format</group>
      <groupName>格式问题</groupName>
      <ability>L2_HalfPunc</ability>
      <abilityName>全半角检查</abilityName>
      <candidateList>
        <item>）</item>
      </candidateList>
      <explain>文本全半角错误。</explain>
      <paraID>3921C437</paraID>
      <start>7</start>
      <end>8</end>
      <status>unmodified</status>
      <modifiedWord/>
      <trackRevisions>false</trackRevisions>
    </reviewItem>
    <reviewItem>
      <errorID>4f232c05-5ee1-4dc9-a9fc-ca29d15b3835</errorID>
      <errorWord>(</errorWord>
      <group>L1_Format</group>
      <groupName>格式问题</groupName>
      <ability>L2_HalfPunc</ability>
      <abilityName>全半角检查</abilityName>
      <candidateList>
        <item>（</item>
      </candidateList>
      <explain>文本全半角错误。</explain>
      <paraID>54D007F0</paraID>
      <start>3</start>
      <end>4</end>
      <status>unmodified</status>
      <modifiedWord/>
      <trackRevisions>false</trackRevisions>
    </reviewItem>
    <reviewItem>
      <errorID>0e55d015-dccc-4380-8541-c09280f111c0</errorID>
      <errorWord>)</errorWord>
      <group>L1_Format</group>
      <groupName>格式问题</groupName>
      <ability>L2_HalfPunc</ability>
      <abilityName>全半角检查</abilityName>
      <candidateList>
        <item>）</item>
      </candidateList>
      <explain>文本全半角错误。</explain>
      <paraID>54D007F0</paraID>
      <start>8</start>
      <end>9</end>
      <status>unmodified</status>
      <modifiedWord/>
      <trackRevisions>false</trackRevisions>
    </reviewItem>
    <reviewItem>
      <errorID>650d5b89-6d30-45d8-91e4-d1aa335315c8</errorID>
      <errorWord>(</errorWord>
      <group>L1_Format</group>
      <groupName>格式问题</groupName>
      <ability>L2_HalfPunc</ability>
      <abilityName>全半角检查</abilityName>
      <candidateList>
        <item>（</item>
      </candidateList>
      <explain>文本全半角错误。</explain>
      <paraID>2057F0F5</paraID>
      <start>3</start>
      <end>4</end>
      <status>unmodified</status>
      <modifiedWord/>
      <trackRevisions>false</trackRevisions>
    </reviewItem>
    <reviewItem>
      <errorID>d5bb31e5-43f3-424d-a106-8f8fb5475d6e</errorID>
      <errorWord>)</errorWord>
      <group>L1_Format</group>
      <groupName>格式问题</groupName>
      <ability>L2_HalfPunc</ability>
      <abilityName>全半角检查</abilityName>
      <candidateList>
        <item>）</item>
      </candidateList>
      <explain>文本全半角错误。</explain>
      <paraID>2057F0F5</paraID>
      <start>8</start>
      <end>9</end>
      <status>unmodified</status>
      <modifiedWord/>
      <trackRevisions>false</trackRevisions>
    </reviewItem>
    <reviewItem>
      <errorID>d20722fa-7ed8-4fe1-89c7-5d8fa471e423</errorID>
      <errorWord>(</errorWord>
      <group>L1_Format</group>
      <groupName>格式问题</groupName>
      <ability>L2_HalfPunc</ability>
      <abilityName>全半角检查</abilityName>
      <candidateList>
        <item>（</item>
      </candidateList>
      <explain>文本全半角错误。</explain>
      <paraID>3732657C</paraID>
      <start>2</start>
      <end>3</end>
      <status>unmodified</status>
      <modifiedWord/>
      <trackRevisions>false</trackRevisions>
    </reviewItem>
    <reviewItem>
      <errorID>cb82ec4e-03a1-44c7-b6e4-108e18d89026</errorID>
      <errorWord>)</errorWord>
      <group>L1_Format</group>
      <groupName>格式问题</groupName>
      <ability>L2_HalfPunc</ability>
      <abilityName>全半角检查</abilityName>
      <candidateList>
        <item>）</item>
      </candidateList>
      <explain>文本全半角错误。</explain>
      <paraID>3732657C</paraID>
      <start>4</start>
      <end>5</end>
      <status>unmodified</status>
      <modifiedWord/>
      <trackRevisions>false</trackRevisions>
    </reviewItem>
    <reviewItem>
      <errorID>e26f3a73-1b83-4edb-8932-0c12d9c074d3</errorID>
      <errorWord>(</errorWord>
      <group>L1_Format</group>
      <groupName>格式问题</groupName>
      <ability>L2_HalfPunc</ability>
      <abilityName>全半角检查</abilityName>
      <candidateList>
        <item>（</item>
      </candidateList>
      <explain>文本全半角错误。</explain>
      <paraID>4A72E6C0</paraID>
      <start>4</start>
      <end>5</end>
      <status>unmodified</status>
      <modifiedWord/>
      <trackRevisions>false</trackRevisions>
    </reviewItem>
    <reviewItem>
      <errorID>53d84eb6-1b75-4319-b782-29542adbbcef</errorID>
      <errorWord>)</errorWord>
      <group>L1_Format</group>
      <groupName>格式问题</groupName>
      <ability>L2_HalfPunc</ability>
      <abilityName>全半角检查</abilityName>
      <candidateList>
        <item>）</item>
      </candidateList>
      <explain>文本全半角错误。</explain>
      <paraID>4A72E6C0</paraID>
      <start>8</start>
      <end>9</end>
      <status>unmodified</status>
      <modifiedWord/>
      <trackRevisions>false</trackRevisions>
    </reviewItem>
    <reviewItem>
      <errorID>f018cbca-4552-4e6d-8c81-964684da8ae9</errorID>
      <errorWord>(</errorWord>
      <group>L1_Format</group>
      <groupName>格式问题</groupName>
      <ability>L2_HalfPunc</ability>
      <abilityName>全半角检查</abilityName>
      <candidateList>
        <item>（</item>
      </candidateList>
      <explain>文本全半角错误。</explain>
      <paraID>7A987017</paraID>
      <start>5</start>
      <end>6</end>
      <status>unmodified</status>
      <modifiedWord/>
      <trackRevisions>false</trackRevisions>
    </reviewItem>
    <reviewItem>
      <errorID>89e94f61-0a06-4827-a9ed-88b07c1fc17d</errorID>
      <errorWord>)</errorWord>
      <group>L1_Format</group>
      <groupName>格式问题</groupName>
      <ability>L2_HalfPunc</ability>
      <abilityName>全半角检查</abilityName>
      <candidateList>
        <item>）</item>
      </candidateList>
      <explain>文本全半角错误。</explain>
      <paraID>7A987017</paraID>
      <start>10</start>
      <end>11</end>
      <status>unmodified</status>
      <modifiedWord/>
      <trackRevisions>false</trackRevisions>
    </reviewItem>
    <reviewItem>
      <errorID>21973237-4013-4729-ada7-0d6721de665a</errorID>
      <errorWord>(</errorWord>
      <group>L1_Format</group>
      <groupName>格式问题</groupName>
      <ability>L2_HalfPunc</ability>
      <abilityName>全半角检查</abilityName>
      <candidateList>
        <item>（</item>
      </candidateList>
      <explain>文本全半角错误。</explain>
      <paraID>493A0D40</paraID>
      <start>7</start>
      <end>8</end>
      <status>unmodified</status>
      <modifiedWord/>
      <trackRevisions>false</trackRevisions>
    </reviewItem>
    <reviewItem>
      <errorID>2a1555e0-6722-4fd9-a35a-18d21615b702</errorID>
      <errorWord>)</errorWord>
      <group>L1_Format</group>
      <groupName>格式问题</groupName>
      <ability>L2_HalfPunc</ability>
      <abilityName>全半角检查</abilityName>
      <candidateList>
        <item>）</item>
      </candidateList>
      <explain>文本全半角错误。</explain>
      <paraID>493A0D40</paraID>
      <start>10</start>
      <end>11</end>
      <status>unmodified</status>
      <modifiedWord/>
      <trackRevisions>false</trackRevisions>
    </reviewItem>
    <reviewItem>
      <errorID>e790a18e-17a1-48db-b3c1-c694abf7d7b9</errorID>
      <errorWord>(</errorWord>
      <group>L1_Format</group>
      <groupName>格式问题</groupName>
      <ability>L2_HalfPunc</ability>
      <abilityName>全半角检查</abilityName>
      <candidateList>
        <item>（</item>
      </candidateList>
      <explain>文本全半角错误。</explain>
      <paraID> E580260</paraID>
      <start>3</start>
      <end>4</end>
      <status>unmodified</status>
      <modifiedWord/>
      <trackRevisions>false</trackRevisions>
    </reviewItem>
    <reviewItem>
      <errorID>7137c3fc-d3c1-4598-8bdf-e4564af9d99e</errorID>
      <errorWord>)</errorWord>
      <group>L1_Format</group>
      <groupName>格式问题</groupName>
      <ability>L2_HalfPunc</ability>
      <abilityName>全半角检查</abilityName>
      <candidateList>
        <item>）</item>
      </candidateList>
      <explain>文本全半角错误。</explain>
      <paraID> E580260</paraID>
      <start>8</start>
      <end>9</end>
      <status>unmodified</status>
      <modifiedWord/>
      <trackRevisions>false</trackRevisions>
    </reviewItem>
    <reviewItem>
      <errorID>0e2a1234-2cef-432e-b9ca-abac30b4f9a9</errorID>
      <errorWord>(</errorWord>
      <group>L1_Format</group>
      <groupName>格式问题</groupName>
      <ability>L2_HalfPunc</ability>
      <abilityName>全半角检查</abilityName>
      <candidateList>
        <item>（</item>
      </candidateList>
      <explain>文本全半角错误。</explain>
      <paraID>6B9FE335</paraID>
      <start>2</start>
      <end>3</end>
      <status>unmodified</status>
      <modifiedWord/>
      <trackRevisions>false</trackRevisions>
    </reviewItem>
    <reviewItem>
      <errorID>6e7b5f7f-38be-4b13-80b5-021e4d3dcd9f</errorID>
      <errorWord>)</errorWord>
      <group>L1_Format</group>
      <groupName>格式问题</groupName>
      <ability>L2_HalfPunc</ability>
      <abilityName>全半角检查</abilityName>
      <candidateList>
        <item>）</item>
      </candidateList>
      <explain>文本全半角错误。</explain>
      <paraID>6B9FE335</paraID>
      <start>7</start>
      <end>8</end>
      <status>unmodified</status>
      <modifiedWord/>
      <trackRevisions>false</trackRevisions>
    </reviewItem>
    <reviewItem>
      <errorID>836600cc-5ce2-4066-af6f-e422ece8ea42</errorID>
      <errorWord>(</errorWord>
      <group>L1_Format</group>
      <groupName>格式问题</groupName>
      <ability>L2_HalfPunc</ability>
      <abilityName>全半角检查</abilityName>
      <candidateList>
        <item>（</item>
      </candidateList>
      <explain>文本全半角错误。</explain>
      <paraID>69F72830</paraID>
      <start>2</start>
      <end>3</end>
      <status>unmodified</status>
      <modifiedWord/>
      <trackRevisions>false</trackRevisions>
    </reviewItem>
    <reviewItem>
      <errorID>fb90adba-51f0-42af-a7ce-299eafd04f9b</errorID>
      <errorWord>)</errorWord>
      <group>L1_Format</group>
      <groupName>格式问题</groupName>
      <ability>L2_HalfPunc</ability>
      <abilityName>全半角检查</abilityName>
      <candidateList>
        <item>）</item>
      </candidateList>
      <explain>文本全半角错误。</explain>
      <paraID>69F72830</paraID>
      <start>7</start>
      <end>8</end>
      <status>unmodified</status>
      <modifiedWord/>
      <trackRevisions>false</trackRevisions>
    </reviewItem>
    <reviewItem>
      <errorID>5b459498-43ab-48f0-b3b9-55b2a498ab38</errorID>
      <errorWord>(</errorWord>
      <group>L1_Format</group>
      <groupName>格式问题</groupName>
      <ability>L2_HalfPunc</ability>
      <abilityName>全半角检查</abilityName>
      <candidateList>
        <item>（</item>
      </candidateList>
      <explain>文本全半角错误。</explain>
      <paraID>70F290BF</paraID>
      <start>2</start>
      <end>3</end>
      <status>unmodified</status>
      <modifiedWord/>
      <trackRevisions>false</trackRevisions>
    </reviewItem>
    <reviewItem>
      <errorID>c0870e94-c294-439a-a918-e0128a9887f3</errorID>
      <errorWord>)</errorWord>
      <group>L1_Format</group>
      <groupName>格式问题</groupName>
      <ability>L2_HalfPunc</ability>
      <abilityName>全半角检查</abilityName>
      <candidateList>
        <item>）</item>
      </candidateList>
      <explain>文本全半角错误。</explain>
      <paraID>70F290BF</paraID>
      <start>7</start>
      <end>8</end>
      <status>unmodified</status>
      <modifiedWord/>
      <trackRevisions>false</trackRevisions>
    </reviewItem>
    <reviewItem>
      <errorID>a1bc3b70-9de1-4ae1-a0ef-be1486f0b6f8</errorID>
      <errorWord>(</errorWord>
      <group>L1_Format</group>
      <groupName>格式问题</groupName>
      <ability>L2_HalfPunc</ability>
      <abilityName>全半角检查</abilityName>
      <candidateList>
        <item>（</item>
      </candidateList>
      <explain>文本全半角错误。</explain>
      <paraID>49643BCD</paraID>
      <start>3</start>
      <end>4</end>
      <status>unmodified</status>
      <modifiedWord/>
      <trackRevisions>false</trackRevisions>
    </reviewItem>
    <reviewItem>
      <errorID>8269088f-c53a-40e4-a4cf-9ff6971750c8</errorID>
      <errorWord>)</errorWord>
      <group>L1_Format</group>
      <groupName>格式问题</groupName>
      <ability>L2_HalfPunc</ability>
      <abilityName>全半角检查</abilityName>
      <candidateList>
        <item>）</item>
      </candidateList>
      <explain>文本全半角错误。</explain>
      <paraID>49643BCD</paraID>
      <start>8</start>
      <end>9</end>
      <status>unmodified</status>
      <modifiedWord/>
      <trackRevisions>false</trackRevisions>
    </reviewItem>
    <reviewItem>
      <errorID>8bee84d6-49a5-4923-885a-6351b669719d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15767137</paraID>
      <start>0</start>
      <end>2</end>
      <status>unmodified</status>
      <modifiedWord/>
      <trackRevisions>false</trackRevisions>
    </reviewItem>
    <reviewItem>
      <errorID>e23b785c-af95-4777-9e89-6618e3e5632b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7E2CA391</paraID>
      <start>0</start>
      <end>2</end>
      <status>unmodified</status>
      <modifiedWord/>
      <trackRevisions>false</trackRevisions>
    </reviewItem>
    <reviewItem>
      <errorID>cbe90199-14e0-490f-a6a7-d492bd320cf3</errorID>
      <errorWord>(</errorWord>
      <group>L1_Format</group>
      <groupName>格式问题</groupName>
      <ability>L2_HalfPunc</ability>
      <abilityName>全半角检查</abilityName>
      <candidateList>
        <item>（</item>
      </candidateList>
      <explain>文本全半角错误。</explain>
      <paraID>42046850</paraID>
      <start>53</start>
      <end>54</end>
      <status>unmodified</status>
      <modifiedWord/>
      <trackRevisions>false</trackRevisions>
    </reviewItem>
    <reviewItem>
      <errorID>859dd6c1-474e-489e-8ada-75a7983fb288</errorID>
      <errorWord>)</errorWord>
      <group>L1_Format</group>
      <groupName>格式问题</groupName>
      <ability>L2_HalfPunc</ability>
      <abilityName>全半角检查</abilityName>
      <candidateList>
        <item>）</item>
      </candidateList>
      <explain>文本全半角错误。</explain>
      <paraID>42046850</paraID>
      <start>56</start>
      <end>57</end>
      <status>unmodified</status>
      <modifiedWord/>
      <trackRevisions>false</trackRevisions>
    </reviewItem>
    <reviewItem>
      <errorID>db30df26-ca78-429f-9b0a-063238f4c59a</errorID>
      <errorWord>〕年</errorWord>
      <group>L1_Word</group>
      <groupName>字词问题</groupName>
      <ability>L2_Typo</ability>
      <abilityName>字词错误</abilityName>
      <candidateList>
        <item>〕</item>
      </candidateList>
      <explain/>
      <paraID>765558A6</paraID>
      <start>330</start>
      <end>332</end>
      <status>unmodified</status>
      <modifiedWord/>
      <trackRevisions>false</trackRevisions>
    </reviewItem>
    <reviewItem>
      <errorID>24c9ded9-b31e-41e8-b48a-921e090cde98</errorID>
      <errorWord>~</errorWord>
      <group>L1_Format</group>
      <groupName>格式问题</groupName>
      <ability>L2_HalfPunc</ability>
      <abilityName>全半角检查</abilityName>
      <candidateList>
        <item>～</item>
      </candidateList>
      <explain>文本全半角错误。</explain>
      <paraID>3D049B1C</paraID>
      <start>24</start>
      <end>25</end>
      <status>unmodified</status>
      <modifiedWord/>
      <trackRevisions>false</trackRevisions>
    </reviewItem>
    <reviewItem>
      <errorID>1ea05b73-a910-4547-8abb-1f4e487c8650</errorID>
      <errorWord>：</errorWord>
      <group>L1_Format</group>
      <groupName>格式问题</groupName>
      <ability>L2_HalfPunc</ability>
      <abilityName>全半角检查</abilityName>
      <candidateList>
        <item>:</item>
      </candidateList>
      <explain>文本全半角错误。</explain>
      <paraID>5D800EEC</paraID>
      <start>61</start>
      <end>62</end>
      <status>unmodified</status>
      <modifiedWord/>
      <trackRevisions>false</trackRevisions>
    </reviewItem>
    <reviewItem>
      <errorID>e6fcd8de-ff8b-4abe-b323-de2eabc11208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14C94F3A</paraID>
      <start>0</start>
      <end>2</end>
      <status>unmodified</status>
      <modifiedWord/>
      <trackRevisions>false</trackRevisions>
    </reviewItem>
    <reviewItem>
      <errorID>ee65055e-766c-498c-b2af-feca3c56305c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3548E30</paraID>
      <start>0</start>
      <end>2</end>
      <status>unmodified</status>
      <modifiedWord/>
      <trackRevisions>false</trackRevisions>
    </reviewItem>
    <reviewItem>
      <errorID>c719cef8-bbe6-4629-be38-1de12290a1f5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61197914</paraID>
      <start>0</start>
      <end>2</end>
      <status>unmodified</status>
      <modifiedWord/>
      <trackRevisions>false</trackRevisions>
    </reviewItem>
    <reviewItem>
      <errorID>d7c6dcad-1f81-4dea-8b78-e2fe4b3f18f3</errorID>
      <errorWord>为后</errorWord>
      <group>L1_Word</group>
      <groupName>字词问题</groupName>
      <ability>L2_Typo</ability>
      <abilityName>字词错误</abilityName>
      <candidateList>
        <item>为</item>
      </candidateList>
      <explain>（爲、為）wèi❶〈书〉帮助；卫护：～吕氏者右袒，～刘氏者左袒。❷〈介〉表示行为的对象；替：～你庆幸｜～人民服务｜～这本书写一篇序。❸〈介〉表示原因、目的：大家都～这件事高兴｜～建设伟大祖国而奋斗。❹〈书〉〈介〉对；向：不足～外人道。</explain>
      <paraID>229C2568</paraID>
      <start>54</start>
      <end>56</end>
      <status>unmodified</status>
      <modifiedWord/>
      <trackRevisions>false</trackRevisions>
    </reviewItem>
    <reviewItem>
      <errorID>df0729ed-ceb3-45b5-814d-f4212372a197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76326BE1</paraID>
      <start>0</start>
      <end>2</end>
      <status>unmodified</status>
      <modifiedWord/>
      <trackRevisions>false</trackRevisions>
    </reviewItem>
    <reviewItem>
      <errorID>8e1960e9-0d65-49f3-bddc-fc0ed8b9c554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52C9829E</paraID>
      <start>0</start>
      <end>2</end>
      <status>unmodified</status>
      <modifiedWord/>
      <trackRevisions>false</trackRevisions>
    </reviewItem>
    <reviewItem>
      <errorID>b366c8ab-318a-4314-91ac-2147ac72188c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4AD98E62</paraID>
      <start>0</start>
      <end>2</end>
      <status>unmodified</status>
      <modifiedWord/>
      <trackRevisions>false</trackRevisions>
    </reviewItem>
    <reviewItem>
      <errorID>eaba25aa-ee6b-4454-b586-064ba2ed0268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427E949D</paraID>
      <start>0</start>
      <end>2</end>
      <status>unmodified</status>
      <modifiedWord/>
      <trackRevisions>false</trackRevisions>
    </reviewItem>
    <reviewItem>
      <errorID>7a9b151f-776a-40e4-8034-bef6cfd0ab3a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2B921935</paraID>
      <start>0</start>
      <end>2</end>
      <status>unmodified</status>
      <modifiedWord/>
      <trackRevisions>false</trackRevisions>
    </reviewItem>
    <reviewItem>
      <errorID>ade32e47-ca31-4af3-8e3d-f0536e0dded4</errorID>
      <errorWord>混凝土浇注</errorWord>
      <group>L1_Knowledge</group>
      <groupName>知识性问题</groupName>
      <ability>L2_Term</ability>
      <abilityName>专业术语</abilityName>
      <candidateList>
        <item>混凝土浇筑</item>
      </candidateList>
      <explain/>
      <paraID>7C803593</paraID>
      <start>61</start>
      <end>66</end>
      <status>modified</status>
      <modifiedWord>混凝土浇筑</modifiedWord>
      <trackRevisions>false</trackRevisions>
    </reviewItem>
    <reviewItem>
      <errorID>0bb567aa-a075-4fff-9939-2499b5b2048c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9DEE013</paraID>
      <start>0</start>
      <end>2</end>
      <status>unmodified</status>
      <modifiedWord/>
      <trackRevisions>false</trackRevisions>
    </reviewItem>
    <reviewItem>
      <errorID>26183344-5c17-41a5-bb00-de7e9a1ad1b1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28CA83B7</paraID>
      <start>42</start>
      <end>43</end>
      <status>unmodified</status>
      <modifiedWord/>
      <trackRevisions>false</trackRevisions>
    </reviewItem>
    <reviewItem>
      <errorID>6e0379ab-b502-43ba-a81d-c1698f680de4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5F529AE2</paraID>
      <start>61</start>
      <end>62</end>
      <status>unmodified</status>
      <modifiedWord/>
      <trackRevisions>false</trackRevisions>
    </reviewItem>
    <reviewItem>
      <errorID>482fd669-4a22-46a9-8eb2-47eb875570a3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7D9A5EC1</paraID>
      <start>157</start>
      <end>158</end>
      <status>unmodified</status>
      <modifiedWord/>
      <trackRevisions>false</trackRevisions>
    </reviewItem>
    <reviewItem>
      <errorID>e250e379-72b4-497d-ab58-0c473be74c60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7C71E771</paraID>
      <start>0</start>
      <end>2</end>
      <status>unmodified</status>
      <modifiedWord/>
      <trackRevisions>false</trackRevisions>
    </reviewItem>
    <reviewItem>
      <errorID>7639c729-97cc-4ddf-aff3-1dc8d6cd3067</errorID>
      <errorWord>（</errorWord>
      <group>L1_Format</group>
      <groupName>格式问题</groupName>
      <ability>L2_HalfPunc</ability>
      <abilityName>全半角检查</abilityName>
      <candidateList>
        <item>(</item>
      </candidateList>
      <explain>文本全半角错误。</explain>
      <paraID>3FE2CA91</paraID>
      <start>0</start>
      <end>1</end>
      <status>unmodified</status>
      <modifiedWord/>
      <trackRevisions>false</trackRevisions>
    </reviewItem>
    <reviewItem>
      <errorID>c5c8d826-418c-4353-aa6f-970d897adf25</errorID>
      <errorWord>）</errorWord>
      <group>L1_Format</group>
      <groupName>格式问题</groupName>
      <ability>L2_HalfPunc</ability>
      <abilityName>全半角检查</abilityName>
      <candidateList>
        <item>)</item>
      </candidateList>
      <explain>文本全半角错误。</explain>
      <paraID>3FE2CA91</paraID>
      <start>2</start>
      <end>3</end>
      <status>unmodified</status>
      <modifiedWord/>
      <trackRevisions>false</trackRevisions>
    </reviewItem>
    <reviewItem>
      <errorID>59af6cf6-d3a1-4331-bdd5-1cb878916b65</errorID>
      <errorWord>（</errorWord>
      <group>L1_Format</group>
      <groupName>格式问题</groupName>
      <ability>L2_HalfPunc</ability>
      <abilityName>全半角检查</abilityName>
      <candidateList>
        <item>(</item>
      </candidateList>
      <explain>文本全半角错误。</explain>
      <paraID> 7458B30</paraID>
      <start>0</start>
      <end>1</end>
      <status>unmodified</status>
      <modifiedWord/>
      <trackRevisions>false</trackRevisions>
    </reviewItem>
    <reviewItem>
      <errorID>aca41b3f-f579-46a9-b8ca-fd7186af4705</errorID>
      <errorWord>）</errorWord>
      <group>L1_Format</group>
      <groupName>格式问题</groupName>
      <ability>L2_HalfPunc</ability>
      <abilityName>全半角检查</abilityName>
      <candidateList>
        <item>)</item>
      </candidateList>
      <explain>文本全半角错误。</explain>
      <paraID> 7458B30</paraID>
      <start>2</start>
      <end>3</end>
      <status>unmodified</status>
      <modifiedWord/>
      <trackRevisions>false</trackRevisions>
    </reviewItem>
    <reviewItem>
      <errorID>3318c02c-612c-4826-8873-78df5eeecad5</errorID>
      <errorWord>（</errorWord>
      <group>L1_Format</group>
      <groupName>格式问题</groupName>
      <ability>L2_HalfPunc</ability>
      <abilityName>全半角检查</abilityName>
      <candidateList>
        <item>(</item>
      </candidateList>
      <explain>文本全半角错误。</explain>
      <paraID>4FB1DE82</paraID>
      <start>3</start>
      <end>4</end>
      <status>unmodified</status>
      <modifiedWord/>
      <trackRevisions>false</trackRevisions>
    </reviewItem>
    <reviewItem>
      <errorID>848ebcff-3d83-4b5a-828d-0510bda7e514</errorID>
      <errorWord>，</errorWord>
      <group>L1_Format</group>
      <groupName>格式问题</groupName>
      <ability>L2_HalfPunc</ability>
      <abilityName>全半角检查</abilityName>
      <candidateList>
        <item>,</item>
      </candidateList>
      <explain>文本全半角错误。</explain>
      <paraID>4FB1DE82</paraID>
      <start>11</start>
      <end>12</end>
      <status>unmodified</status>
      <modifiedWord/>
      <trackRevisions>false</trackRevisions>
    </reviewItem>
    <reviewItem>
      <errorID>cce82592-5a69-4aa1-b946-dd4ecb75e472</errorID>
      <errorWord>（</errorWord>
      <group>L1_Format</group>
      <groupName>格式问题</groupName>
      <ability>L2_HalfPunc</ability>
      <abilityName>全半角检查</abilityName>
      <candidateList>
        <item>(</item>
      </candidateList>
      <explain>文本全半角错误。</explain>
      <paraID>49A5D994</paraID>
      <start>4</start>
      <end>5</end>
      <status>unmodified</status>
      <modifiedWord/>
      <trackRevisions>false</trackRevisions>
    </reviewItem>
    <reviewItem>
      <errorID>3c3644f5-c4f1-4e83-8f59-ab3f07514315</errorID>
      <errorWord>，</errorWord>
      <group>L1_Format</group>
      <groupName>格式问题</groupName>
      <ability>L2_HalfPunc</ability>
      <abilityName>全半角检查</abilityName>
      <candidateList>
        <item>,</item>
      </candidateList>
      <explain>文本全半角错误。</explain>
      <paraID>49A5D994</paraID>
      <start>12</start>
      <end>13</end>
      <status>unmodified</status>
      <modifiedWord/>
      <trackRevisions>false</trackRevisions>
    </reviewItem>
    <reviewItem>
      <errorID>d93eca1b-ae08-46e0-a823-13b3c2847077</errorID>
      <errorWord>（</errorWord>
      <group>L1_Format</group>
      <groupName>格式问题</groupName>
      <ability>L2_HalfPunc</ability>
      <abilityName>全半角检查</abilityName>
      <candidateList>
        <item>(</item>
      </candidateList>
      <explain>文本全半角错误。</explain>
      <paraID>553CF904</paraID>
      <start>2</start>
      <end>3</end>
      <status>unmodified</status>
      <modifiedWord/>
      <trackRevisions>false</trackRevisions>
    </reviewItem>
    <reviewItem>
      <errorID>1443039d-e2ba-4e2d-9424-f0cf7f898df2</errorID>
      <errorWord>，</errorWord>
      <group>L1_Format</group>
      <groupName>格式问题</groupName>
      <ability>L2_HalfPunc</ability>
      <abilityName>全半角检查</abilityName>
      <candidateList>
        <item>,</item>
      </candidateList>
      <explain>文本全半角错误。</explain>
      <paraID>553CF904</paraID>
      <start>11</start>
      <end>12</end>
      <status>unmodified</status>
      <modifiedWord/>
      <trackRevisions>false</trackRevisions>
    </reviewItem>
    <reviewItem>
      <errorID>dca17b96-6a0b-4e08-907f-44956ad1ea10</errorID>
      <errorWord>（</errorWord>
      <group>L1_Format</group>
      <groupName>格式问题</groupName>
      <ability>L2_HalfPunc</ability>
      <abilityName>全半角检查</abilityName>
      <candidateList>
        <item>(</item>
      </candidateList>
      <explain>文本全半角错误。</explain>
      <paraID>2EA28DA8</paraID>
      <start>0</start>
      <end>1</end>
      <status>unmodified</status>
      <modifiedWord/>
      <trackRevisions>false</trackRevisions>
    </reviewItem>
    <reviewItem>
      <errorID>42468a57-e05b-4e15-b2b5-4e34ccffae53</errorID>
      <errorWord>，</errorWord>
      <group>L1_Format</group>
      <groupName>格式问题</groupName>
      <ability>L2_HalfPunc</ability>
      <abilityName>全半角检查</abilityName>
      <candidateList>
        <item>,</item>
      </candidateList>
      <explain>文本全半角错误。</explain>
      <paraID>2EA28DA8</paraID>
      <start>9</start>
      <end>10</end>
      <status>unmodified</status>
      <modifiedWord/>
      <trackRevisions>false</trackRevisions>
    </reviewItem>
    <reviewItem>
      <errorID>7172a3bc-cf40-4fd8-a9ef-dd9bacb15bca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2C759BD5</paraID>
      <start>0</start>
      <end>2</end>
      <status>unmodified</status>
      <modifiedWord/>
      <trackRevisions>false</trackRevisions>
    </reviewItem>
    <reviewItem>
      <errorID>4ce0689a-f990-4f54-aace-4ddac446fb30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2B0BA7BB</paraID>
      <start>0</start>
      <end>2</end>
      <status>unmodified</status>
      <modifiedWord/>
      <trackRevisions>false</trackRevisions>
    </reviewItem>
    <reviewItem>
      <errorID>2d6c9e20-3d57-4c1d-a5b1-0621b94781bb</errorID>
      <errorWord>（</errorWord>
      <group>L1_Format</group>
      <groupName>格式问题</groupName>
      <ability>L2_HalfPunc</ability>
      <abilityName>全半角检查</abilityName>
      <candidateList>
        <item>(</item>
      </candidateList>
      <explain>文本全半角错误。</explain>
      <paraID>6B6D5BA7</paraID>
      <start>3</start>
      <end>4</end>
      <status>unmodified</status>
      <modifiedWord/>
      <trackRevisions>false</trackRevisions>
    </reviewItem>
    <reviewItem>
      <errorID>c424683d-07bb-472f-8525-b7efec046813</errorID>
      <errorWord>）</errorWord>
      <group>L1_Format</group>
      <groupName>格式问题</groupName>
      <ability>L2_HalfPunc</ability>
      <abilityName>全半角检查</abilityName>
      <candidateList>
        <item>)</item>
      </candidateList>
      <explain>文本全半角错误。</explain>
      <paraID>6B6D5BA7</paraID>
      <start>9</start>
      <end>10</end>
      <status>unmodified</status>
      <modifiedWord/>
      <trackRevisions>false</trackRevisions>
    </reviewItem>
    <reviewItem>
      <errorID>f59a224a-f077-43d3-847e-afe40f61aa4f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BAF05C8</paraID>
      <start>0</start>
      <end>2</end>
      <status>unmodified</status>
      <modifiedWord/>
      <trackRevisions>false</trackRevisions>
    </reviewItem>
    <reviewItem>
      <errorID>84ea8a00-e01b-4a03-9839-e6b5be9d5c90</errorID>
      <errorWord>式</errorWord>
      <group>L1_Word</group>
      <groupName>字词问题</groupName>
      <ability>L2_Typo</ability>
      <abilityName>字词错误</abilityName>
      <candidateList>
        <item>氏</item>
      </candidateList>
      <explain>存在发音相同字词的误用。</explain>
      <paraID>547D7530</paraID>
      <start>16</start>
      <end>17</end>
      <status>unmodified</status>
      <modifiedWord/>
      <trackRevisions>false</trackRevisions>
    </reviewItem>
    <reviewItem>
      <errorID>848f66b0-0d4d-4786-9bbc-735214fc0fd3</errorID>
      <errorWord>（</errorWord>
      <group>L1_Punc</group>
      <groupName>标点问题</groupName>
      <ability>L2_Punc</ability>
      <abilityName>标点符号检查</abilityName>
      <candidateList/>
      <explain>同一形式括号套用。</explain>
      <paraID> 71D9F72</paraID>
      <start>9</start>
      <end>10</end>
      <status>unmodified</status>
      <modifiedWord/>
      <trackRevisions>false</trackRevisions>
    </reviewItem>
    <reviewItem>
      <errorID>82561070-81e5-42d0-b47c-3b424a5f5bec</errorID>
      <errorWord>）</errorWord>
      <group>L1_Punc</group>
      <groupName>标点问题</groupName>
      <ability>L2_Punc</ability>
      <abilityName>标点符号检查</abilityName>
      <candidateList/>
      <explain>同一形式括号套用。</explain>
      <paraID> 71D9F72</paraID>
      <start>11</start>
      <end>12</end>
      <status>unmodified</status>
      <modifiedWord/>
      <trackRevisions>false</trackRevisions>
    </reviewItem>
    <reviewItem>
      <errorID>f917d1b3-fba8-40f2-a80b-7fbc2efba28a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5A651417</paraID>
      <start>0</start>
      <end>2</end>
      <status>unmodified</status>
      <modifiedWord/>
      <trackRevisions>false</trackRevisions>
    </reviewItem>
    <reviewItem>
      <errorID>c7f2f265-4d74-4979-8033-a8ab8249dad4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276D0274</paraID>
      <start>0</start>
      <end>2</end>
      <status>unmodified</status>
      <modifiedWord/>
      <trackRevisions>false</trackRevisions>
    </reviewItem>
    <reviewItem>
      <errorID>c91713cb-e6e6-411a-b719-3f1c726b95c1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54455FD3</paraID>
      <start>0</start>
      <end>2</end>
      <status>unmodified</status>
      <modifiedWord/>
      <trackRevisions>false</trackRevisions>
    </reviewItem>
    <reviewItem>
      <errorID>9d5919bc-7b55-4a1d-ac09-3dbead0c2b28</errorID>
      <errorWord>生态生境</errorWord>
      <group>L1_Word</group>
      <groupName>字词问题</groupName>
      <ability>L2_Typo</ability>
      <abilityName>字词错误</abilityName>
      <candidateList>
        <item>生态环境</item>
      </candidateList>
      <explain>生物和影响生物生存与发展的一切外界条件的总和。由许多生态因素综合而成，其中非生物因素有光、温度、水分、大气、土壤和无机盐类等，生物因素有植物、动物、微生物等。在自然界，生态因素相互联系，相互影响，共同对生物发生作用。</explain>
      <paraID> 984DC74</paraID>
      <start>105</start>
      <end>109</end>
      <status>unmodified</status>
      <modifiedWord/>
      <trackRevisions>false</trackRevisions>
    </reviewItem>
    <reviewItem>
      <errorID>28dbcc3e-e17b-4354-9057-189de89d7f25</errorID>
      <errorWord>’</errorWord>
      <group>L1_Punc</group>
      <groupName>标点问题</groupName>
      <ability>L2_Punc</ability>
      <abilityName>标点符号检查</abilityName>
      <candidateList/>
      <explain>此处标点可能未正确匹配，请检查句子中是否存在标点冗余、缺失或使用错误的情况。</explain>
      <paraID>55C8C7C2</paraID>
      <start>39</start>
      <end>40</end>
      <status>unmodified</status>
      <modifiedWord/>
      <trackRevisions>false</trackRevisions>
    </reviewItem>
    <reviewItem>
      <errorID>24221d99-8588-452e-9b2c-92656d8a829d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48E535D2</paraID>
      <start>0</start>
      <end>2</end>
      <status>unmodified</status>
      <modifiedWord/>
      <trackRevisions>false</trackRevisions>
    </reviewItem>
    <reviewItem>
      <errorID>88c9396d-7ce7-428b-909f-44ba8abffb4c</errorID>
      <errorWord>~</errorWord>
      <group>L1_Format</group>
      <groupName>格式问题</groupName>
      <ability>L2_HalfPunc</ability>
      <abilityName>全半角检查</abilityName>
      <candidateList>
        <item>～</item>
      </candidateList>
      <explain>文本全半角错误。</explain>
      <paraID>1C4E935B</paraID>
      <start>53</start>
      <end>54</end>
      <status>unmodified</status>
      <modifiedWord/>
      <trackRevisions>false</trackRevisions>
    </reviewItem>
    <reviewItem>
      <errorID>b46ee925-5ff9-4462-8a58-3323fa150786</errorID>
      <errorWord>~</errorWord>
      <group>L1_Format</group>
      <groupName>格式问题</groupName>
      <ability>L2_HalfPunc</ability>
      <abilityName>全半角检查</abilityName>
      <candidateList>
        <item>～</item>
      </candidateList>
      <explain>文本全半角错误。</explain>
      <paraID>1C4E935B</paraID>
      <start>71</start>
      <end>72</end>
      <status>unmodified</status>
      <modifiedWord/>
      <trackRevisions>false</trackRevisions>
    </reviewItem>
    <reviewItem>
      <errorID>2f058002-2053-4f4f-a9fa-5d3641130eca</errorID>
      <errorWord>~</errorWord>
      <group>L1_Format</group>
      <groupName>格式问题</groupName>
      <ability>L2_HalfPunc</ability>
      <abilityName>全半角检查</abilityName>
      <candidateList>
        <item>～</item>
      </candidateList>
      <explain>文本全半角错误。</explain>
      <paraID>576BC068</paraID>
      <start>68</start>
      <end>69</end>
      <status>unmodified</status>
      <modifiedWord/>
      <trackRevisions>false</trackRevisions>
    </reviewItem>
    <reviewItem>
      <errorID>bb5a0e18-ebe7-4370-8437-48f06223b04a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4797AC75</paraID>
      <start>0</start>
      <end>2</end>
      <status>unmodified</status>
      <modifiedWord/>
      <trackRevisions>false</trackRevisions>
    </reviewItem>
    <reviewItem>
      <errorID>6c668037-5f96-482c-89cc-c2741c4e33c7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6FFB74D6</paraID>
      <start>0</start>
      <end>2</end>
      <status>unmodified</status>
      <modifiedWord/>
      <trackRevisions>false</trackRevisions>
    </reviewItem>
    <reviewItem>
      <errorID>ce531124-692e-4971-9992-ab2e3edc8df1</errorID>
      <errorWord>达</errorWord>
      <group>L1_Word</group>
      <groupName>字词问题</groupName>
      <ability>L2_Typo</ability>
      <abilityName>字词错误</abilityName>
      <candidateList>
        <item>达到</item>
      </candidateList>
      <explain>〈动〉到（多指抽象事物或程度）：达得到｜达不到｜目的没有～｜～国际水平。</explain>
      <paraID>7433330D</paraID>
      <start>219</start>
      <end>220</end>
      <status>unmodified</status>
      <modifiedWord/>
      <trackRevisions>false</trackRevisions>
    </reviewItem>
    <reviewItem>
      <errorID>de10e7b7-a181-4f5d-adef-3c85a444af20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72F66EF0</paraID>
      <start>0</start>
      <end>2</end>
      <status>unmodified</status>
      <modifiedWord/>
      <trackRevisions>false</trackRevisions>
    </reviewItem>
    <reviewItem>
      <errorID>d1875867-a093-4578-8245-3ed87050f5d5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43C52C6</paraID>
      <start>0</start>
      <end>2</end>
      <status>unmodified</status>
      <modifiedWord/>
      <trackRevisions>false</trackRevisions>
    </reviewItem>
    <reviewItem>
      <errorID>052e9bb7-167a-44ae-903b-73af7495e267</errorID>
      <errorWord>水生生境</errorWord>
      <group>L1_Word</group>
      <groupName>字词问题</groupName>
      <ability>L2_Typo</ability>
      <abilityName>字词错误</abilityName>
      <candidateList>
        <item>水生环境</item>
      </candidateList>
      <explain/>
      <paraID>29B2AB15</paraID>
      <start>21</start>
      <end>25</end>
      <status>unmodified</status>
      <modifiedWord/>
      <trackRevisions>false</trackRevisions>
    </reviewItem>
    <reviewItem>
      <errorID>191dd589-f936-452b-b3aa-5f11e9a3720a</errorID>
      <errorWord>受</errorWord>
      <group>L1_Word</group>
      <groupName>字词问题</groupName>
      <ability>L2_Typo</ability>
      <abilityName>字词错误</abilityName>
      <candidateList>
        <item>受到</item>
      </candidateList>
      <explain/>
      <paraID>29B2AB15</paraID>
      <start>181</start>
      <end>182</end>
      <status>unmodified</status>
      <modifiedWord/>
      <trackRevisions>false</trackRevisions>
    </reviewItem>
    <reviewItem>
      <errorID>edcf39e5-5e52-4a52-b071-cf2c876117dc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36F3784</paraID>
      <start>0</start>
      <end>2</end>
      <status>unmodified</status>
      <modifiedWord/>
      <trackRevisions>false</trackRevisions>
    </reviewItem>
    <reviewItem>
      <errorID>28e6b561-5842-4a8e-ab7c-eddac25c7465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1EC8AF42</paraID>
      <start>0</start>
      <end>2</end>
      <status>unmodified</status>
      <modifiedWord/>
      <trackRevisions>false</trackRevisions>
    </reviewItem>
    <reviewItem>
      <errorID>5f50bd2f-4409-43b5-9818-bd6b99d521a2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263DFAB2</paraID>
      <start>0</start>
      <end>2</end>
      <status>unmodified</status>
      <modifiedWord/>
      <trackRevisions>false</trackRevisions>
    </reviewItem>
    <reviewItem>
      <errorID>e3a1a766-b664-4388-a397-89caadd5dcc4</errorID>
      <errorWord>(</errorWord>
      <group>L1_Format</group>
      <groupName>格式问题</groupName>
      <ability>L2_HalfPunc</ability>
      <abilityName>全半角检查</abilityName>
      <candidateList>
        <item>（</item>
      </candidateList>
      <explain>文本全半角错误。</explain>
      <paraID>1757A164</paraID>
      <start>3</start>
      <end>4</end>
      <status>unmodified</status>
      <modifiedWord/>
      <trackRevisions>false</trackRevisions>
    </reviewItem>
    <reviewItem>
      <errorID>32c3ebd6-06c0-42d8-9d2a-30525a5b9197</errorID>
      <errorWord>)</errorWord>
      <group>L1_Format</group>
      <groupName>格式问题</groupName>
      <ability>L2_HalfPunc</ability>
      <abilityName>全半角检查</abilityName>
      <candidateList>
        <item>）</item>
      </candidateList>
      <explain>文本全半角错误。</explain>
      <paraID>1757A164</paraID>
      <start>7</start>
      <end>8</end>
      <status>unmodified</status>
      <modifiedWord/>
      <trackRevisions>false</trackRevisions>
    </reviewItem>
    <reviewItem>
      <errorID>084ed454-7bf8-48c7-b424-4bdc2dd11f21</errorID>
      <errorWord>，</errorWord>
      <group>L1_Format</group>
      <groupName>格式问题</groupName>
      <ability>L2_HalfPunc</ability>
      <abilityName>全半角检查</abilityName>
      <candidateList>
        <item>, </item>
      </candidateList>
      <explain>文本全半角错误。</explain>
      <paraID>3F5CDEA5</paraID>
      <start>1</start>
      <end>2</end>
      <status>unmodified</status>
      <modifiedWord/>
      <trackRevisions>false</trackRevisions>
    </reviewItem>
    <reviewItem>
      <errorID>e7a2d6bc-78c7-41c8-9a98-7fdd8498fa88</errorID>
      <errorWord>，</errorWord>
      <group>L1_Format</group>
      <groupName>格式问题</groupName>
      <ability>L2_HalfPunc</ability>
      <abilityName>全半角检查</abilityName>
      <candidateList>
        <item>, </item>
      </candidateList>
      <explain>文本全半角错误。</explain>
      <paraID>66724F2F</paraID>
      <start>1</start>
      <end>2</end>
      <status>unmodified</status>
      <modifiedWord/>
      <trackRevisions>false</trackRevisions>
    </reviewItem>
    <reviewItem>
      <errorID>e4169896-c74a-4318-9139-68a36a75350a</errorID>
      <errorWord>，</errorWord>
      <group>L1_Format</group>
      <groupName>格式问题</groupName>
      <ability>L2_HalfPunc</ability>
      <abilityName>全半角检查</abilityName>
      <candidateList>
        <item>, </item>
      </candidateList>
      <explain>文本全半角错误。</explain>
      <paraID>532F356E</paraID>
      <start>1</start>
      <end>2</end>
      <status>unmodified</status>
      <modifiedWord/>
      <trackRevisions>false</trackRevisions>
    </reviewItem>
    <reviewItem>
      <errorID>6bc7def9-2862-454d-9096-50b34df1724c</errorID>
      <errorWord>造成的</errorWord>
      <group>L1_Word</group>
      <groupName>字词问题</groupName>
      <ability>L2_Typo</ability>
      <abilityName>字词错误</abilityName>
      <candidateList>
        <item>造成</item>
      </candidateList>
      <explain/>
      <paraID> 2340F77</paraID>
      <start>66</start>
      <end>69</end>
      <status>unmodified</status>
      <modifiedWord/>
      <trackRevisions>false</trackRevisions>
    </reviewItem>
    <reviewItem>
      <errorID>95272e33-132d-4fac-a212-9f0d50221698</errorID>
      <errorWord>见</errorWord>
      <group>L1_Word</group>
      <groupName>字词问题</groupName>
      <ability>L2_Typo</ability>
      <abilityName>字词错误</abilityName>
      <candidateList>
        <item>见下</item>
      </candidateList>
      <explain/>
      <paraID>5753EC95</paraID>
      <start>36</start>
      <end>37</end>
      <status>unmodified</status>
      <modifiedWord/>
      <trackRevisions>false</trackRevisions>
    </reviewItem>
    <reviewItem>
      <errorID>4f3680fe-0516-4c12-b01b-cdea9d9c0dea</errorID>
      <errorWord>（</errorWord>
      <group>L1_Format</group>
      <groupName>格式问题</groupName>
      <ability>L2_HalfPunc</ability>
      <abilityName>全半角检查</abilityName>
      <candidateList>
        <item>(</item>
      </candidateList>
      <explain>文本全半角错误。</explain>
      <paraID> 76B214E</paraID>
      <start>3</start>
      <end>4</end>
      <status>unmodified</status>
      <modifiedWord/>
      <trackRevisions>false</trackRevisions>
    </reviewItem>
    <reviewItem>
      <errorID>6533e52e-0b58-41dc-9d34-3ad60a018f90</errorID>
      <errorWord>）</errorWord>
      <group>L1_Format</group>
      <groupName>格式问题</groupName>
      <ability>L2_HalfPunc</ability>
      <abilityName>全半角检查</abilityName>
      <candidateList>
        <item>)</item>
      </candidateList>
      <explain>文本全半角错误。</explain>
      <paraID> 76B214E</paraID>
      <start>9</start>
      <end>10</end>
      <status>unmodified</status>
      <modifiedWord/>
      <trackRevisions>false</trackRevisions>
    </reviewItem>
    <reviewItem>
      <errorID>a5e367db-692c-4054-9211-76eedd067fc3</errorID>
      <errorWord>（</errorWord>
      <group>L1_Format</group>
      <groupName>格式问题</groupName>
      <ability>L2_HalfPunc</ability>
      <abilityName>全半角检查</abilityName>
      <candidateList>
        <item>(</item>
      </candidateList>
      <explain>文本全半角错误。</explain>
      <paraID>33E96C20</paraID>
      <start>4</start>
      <end>5</end>
      <status>unmodified</status>
      <modifiedWord/>
      <trackRevisions>false</trackRevisions>
    </reviewItem>
    <reviewItem>
      <errorID>899827b1-2e37-4a98-997a-7963348cb58f</errorID>
      <errorWord>）</errorWord>
      <group>L1_Format</group>
      <groupName>格式问题</groupName>
      <ability>L2_HalfPunc</ability>
      <abilityName>全半角检查</abilityName>
      <candidateList>
        <item>)</item>
      </candidateList>
      <explain>文本全半角错误。</explain>
      <paraID>33E96C20</paraID>
      <start>9</start>
      <end>10</end>
      <status>unmodified</status>
      <modifiedWord/>
      <trackRevisions>false</trackRevisions>
    </reviewItem>
    <reviewItem>
      <errorID>1854e425-e19c-48bd-8b09-4eadc8af1ba1</errorID>
      <errorWord>（</errorWord>
      <group>L1_Format</group>
      <groupName>格式问题</groupName>
      <ability>L2_HalfPunc</ability>
      <abilityName>全半角检查</abilityName>
      <candidateList>
        <item>(</item>
      </candidateList>
      <explain>文本全半角错误。</explain>
      <paraID>1CE5E9B5</paraID>
      <start>2</start>
      <end>3</end>
      <status>unmodified</status>
      <modifiedWord/>
      <trackRevisions>false</trackRevisions>
    </reviewItem>
    <reviewItem>
      <errorID>19d2030b-2cab-4d48-a9c1-85b922f72c7d</errorID>
      <errorWord>）</errorWord>
      <group>L1_Format</group>
      <groupName>格式问题</groupName>
      <ability>L2_HalfPunc</ability>
      <abilityName>全半角检查</abilityName>
      <candidateList>
        <item>)</item>
      </candidateList>
      <explain>文本全半角错误。</explain>
      <paraID>1CE5E9B5</paraID>
      <start>8</start>
      <end>9</end>
      <status>unmodified</status>
      <modifiedWord/>
      <trackRevisions>false</trackRevisions>
    </reviewItem>
    <reviewItem>
      <errorID>29867c0b-2431-42c6-83a8-d592ad37ea9a</errorID>
      <errorWord>（</errorWord>
      <group>L1_Format</group>
      <groupName>格式问题</groupName>
      <ability>L2_HalfPunc</ability>
      <abilityName>全半角检查</abilityName>
      <candidateList>
        <item>(</item>
      </candidateList>
      <explain>文本全半角错误。</explain>
      <paraID>481BE8C3</paraID>
      <start>3</start>
      <end>4</end>
      <status>unmodified</status>
      <modifiedWord/>
      <trackRevisions>false</trackRevisions>
    </reviewItem>
    <reviewItem>
      <errorID>515642fe-683a-49c5-93c8-b67f9c58990a</errorID>
      <errorWord>）</errorWord>
      <group>L1_Format</group>
      <groupName>格式问题</groupName>
      <ability>L2_HalfPunc</ability>
      <abilityName>全半角检查</abilityName>
      <candidateList>
        <item>)</item>
      </candidateList>
      <explain>文本全半角错误。</explain>
      <paraID>481BE8C3</paraID>
      <start>9</start>
      <end>10</end>
      <status>unmodified</status>
      <modifiedWord/>
      <trackRevisions>false</trackRevisions>
    </reviewItem>
    <reviewItem>
      <errorID>cc92bada-2767-482f-8449-a48eeda527ff</errorID>
      <errorWord>（</errorWord>
      <group>L1_Format</group>
      <groupName>格式问题</groupName>
      <ability>L2_HalfPunc</ability>
      <abilityName>全半角检查</abilityName>
      <candidateList>
        <item>(</item>
      </candidateList>
      <explain>文本全半角错误。</explain>
      <paraID>71BD49BE</paraID>
      <start>4</start>
      <end>5</end>
      <status>unmodified</status>
      <modifiedWord/>
      <trackRevisions>false</trackRevisions>
    </reviewItem>
    <reviewItem>
      <errorID>c1f6daf8-dc63-4efe-859e-191a1adabb07</errorID>
      <errorWord>）</errorWord>
      <group>L1_Format</group>
      <groupName>格式问题</groupName>
      <ability>L2_HalfPunc</ability>
      <abilityName>全半角检查</abilityName>
      <candidateList>
        <item>)</item>
      </candidateList>
      <explain>文本全半角错误。</explain>
      <paraID>71BD49BE</paraID>
      <start>10</start>
      <end>11</end>
      <status>unmodified</status>
      <modifiedWord/>
      <trackRevisions>false</trackRevisions>
    </reviewItem>
    <reviewItem>
      <errorID>aecf2959-f80a-4bbd-be13-d2b51fd719a0</errorID>
      <errorWord>（</errorWord>
      <group>L1_Format</group>
      <groupName>格式问题</groupName>
      <ability>L2_HalfPunc</ability>
      <abilityName>全半角检查</abilityName>
      <candidateList>
        <item>(</item>
      </candidateList>
      <explain>文本全半角错误。</explain>
      <paraID> 5C2F41D</paraID>
      <start>5</start>
      <end>6</end>
      <status>unmodified</status>
      <modifiedWord/>
      <trackRevisions>false</trackRevisions>
    </reviewItem>
    <reviewItem>
      <errorID>0f69161d-49b1-484d-a819-8ac83649a5a9</errorID>
      <errorWord>）</errorWord>
      <group>L1_Format</group>
      <groupName>格式问题</groupName>
      <ability>L2_HalfPunc</ability>
      <abilityName>全半角检查</abilityName>
      <candidateList>
        <item>)</item>
      </candidateList>
      <explain>文本全半角错误。</explain>
      <paraID> 5C2F41D</paraID>
      <start>13</start>
      <end>14</end>
      <status>unmodified</status>
      <modifiedWord/>
      <trackRevisions>false</trackRevisions>
    </reviewItem>
    <reviewItem>
      <errorID>0c463171-71ac-4023-acf6-da4c75bc17df</errorID>
      <errorWord>（</errorWord>
      <group>L1_Format</group>
      <groupName>格式问题</groupName>
      <ability>L2_HalfPunc</ability>
      <abilityName>全半角检查</abilityName>
      <candidateList>
        <item>(</item>
      </candidateList>
      <explain>文本全半角错误。</explain>
      <paraID>74F51477</paraID>
      <start>3</start>
      <end>4</end>
      <status>unmodified</status>
      <modifiedWord/>
      <trackRevisions>false</trackRevisions>
    </reviewItem>
    <reviewItem>
      <errorID>e888a6d0-aeba-4444-b0aa-bea574281c69</errorID>
      <errorWord>）</errorWord>
      <group>L1_Format</group>
      <groupName>格式问题</groupName>
      <ability>L2_HalfPunc</ability>
      <abilityName>全半角检查</abilityName>
      <candidateList>
        <item>)</item>
      </candidateList>
      <explain>文本全半角错误。</explain>
      <paraID>74F51477</paraID>
      <start>9</start>
      <end>10</end>
      <status>unmodified</status>
      <modifiedWord/>
      <trackRevisions>false</trackRevisions>
    </reviewItem>
    <reviewItem>
      <errorID>ed3de71e-72f5-491b-88be-ecb0f549d6dd</errorID>
      <errorWord>（</errorWord>
      <group>L1_Format</group>
      <groupName>格式问题</groupName>
      <ability>L2_HalfPunc</ability>
      <abilityName>全半角检查</abilityName>
      <candidateList>
        <item>(</item>
      </candidateList>
      <explain>文本全半角错误。</explain>
      <paraID>791F17DB</paraID>
      <start>3</start>
      <end>4</end>
      <status>unmodified</status>
      <modifiedWord/>
      <trackRevisions>false</trackRevisions>
    </reviewItem>
    <reviewItem>
      <errorID>004b3064-139f-4d4b-935c-1272fd8ca69f</errorID>
      <errorWord>）</errorWord>
      <group>L1_Format</group>
      <groupName>格式问题</groupName>
      <ability>L2_HalfPunc</ability>
      <abilityName>全半角检查</abilityName>
      <candidateList>
        <item>)</item>
      </candidateList>
      <explain>文本全半角错误。</explain>
      <paraID>791F17DB</paraID>
      <start>9</start>
      <end>10</end>
      <status>unmodified</status>
      <modifiedWord/>
      <trackRevisions>false</trackRevisions>
    </reviewItem>
    <reviewItem>
      <errorID>c3906d75-881f-4655-8233-56bc3df0ab97</errorID>
      <errorWord>（</errorWord>
      <group>L1_Format</group>
      <groupName>格式问题</groupName>
      <ability>L2_HalfPunc</ability>
      <abilityName>全半角检查</abilityName>
      <candidateList>
        <item>(</item>
      </candidateList>
      <explain>文本全半角错误。</explain>
      <paraID>1F663E0B</paraID>
      <start>0</start>
      <end>1</end>
      <status>unmodified</status>
      <modifiedWord/>
      <trackRevisions>false</trackRevisions>
    </reviewItem>
    <reviewItem>
      <errorID>ad01cc30-51a3-4b00-b32a-02082a848154</errorID>
      <errorWord>）</errorWord>
      <group>L1_Format</group>
      <groupName>格式问题</groupName>
      <ability>L2_HalfPunc</ability>
      <abilityName>全半角检查</abilityName>
      <candidateList>
        <item>)</item>
      </candidateList>
      <explain>文本全半角错误。</explain>
      <paraID>1F663E0B</paraID>
      <start>5</start>
      <end>6</end>
      <status>unmodified</status>
      <modifiedWord/>
      <trackRevisions>false</trackRevisions>
    </reviewItem>
    <reviewItem>
      <errorID>f02fa5d1-ef64-41ba-8ef7-039630cc6f80</errorID>
      <errorWord>（</errorWord>
      <group>L1_Format</group>
      <groupName>格式问题</groupName>
      <ability>L2_HalfPunc</ability>
      <abilityName>全半角检查</abilityName>
      <candidateList>
        <item>(</item>
      </candidateList>
      <explain>文本全半角错误。</explain>
      <paraID>768C4BA2</paraID>
      <start>0</start>
      <end>1</end>
      <status>unmodified</status>
      <modifiedWord/>
      <trackRevisions>false</trackRevisions>
    </reviewItem>
    <reviewItem>
      <errorID>4bd202b9-eede-4824-9d78-a34f6ed5176c</errorID>
      <errorWord>）</errorWord>
      <group>L1_Format</group>
      <groupName>格式问题</groupName>
      <ability>L2_HalfPunc</ability>
      <abilityName>全半角检查</abilityName>
      <candidateList>
        <item>)</item>
      </candidateList>
      <explain>文本全半角错误。</explain>
      <paraID>768C4BA2</paraID>
      <start>5</start>
      <end>6</end>
      <status>unmodified</status>
      <modifiedWord/>
      <trackRevisions>false</trackRevisions>
    </reviewItem>
    <reviewItem>
      <errorID>f6f8dd01-1743-41fc-b360-263237308a5a</errorID>
      <errorWord>～</errorWord>
      <group>L1_Format</group>
      <groupName>格式问题</groupName>
      <ability>L2_HalfPunc</ability>
      <abilityName>全半角检查</abilityName>
      <candidateList>
        <item>~</item>
      </candidateList>
      <explain>文本全半角错误。</explain>
      <paraID>28D9C9A9</paraID>
      <start>2</start>
      <end>3</end>
      <status>unmodified</status>
      <modifiedWord/>
      <trackRevisions>false</trackRevisions>
    </reviewItem>
    <reviewItem>
      <errorID>7144761a-bd5c-4544-a208-904acacb422d</errorID>
      <errorWord>调</errorWord>
      <group>L1_Word</group>
      <groupName>字词问题</groupName>
      <ability>L2_Typo</ability>
      <abilityName>字词错误</abilityName>
      <candidateList>
        <item>条</item>
      </candidateList>
      <explain>存在发音相同字词的误用。</explain>
      <paraID>68DF83CE</paraID>
      <start>244</start>
      <end>245</end>
      <status>unmodified</status>
      <modifiedWord/>
      <trackRevisions>false</trackRevisions>
    </reviewItem>
    <reviewItem>
      <errorID>79008625-858a-41e7-9b3c-a8961ca91517</errorID>
      <errorWord>依</errorWord>
      <group>L1_Word</group>
      <groupName>字词问题</groupName>
      <ability>L2_Typo</ability>
      <abilityName>字词错误</abilityName>
      <candidateList>
        <item>依据</item>
      </candidateList>
      <explain/>
      <paraID>68DF83CE</paraID>
      <start>295</start>
      <end>296</end>
      <status>unmodified</status>
      <modifiedWord/>
      <trackRevisions>false</trackRevisions>
    </reviewItem>
    <reviewItem>
      <errorID>4e07cedc-2dae-4861-8a60-fb62cbee615d</errorID>
      <errorWord>1～6%</errorWord>
      <group>L1_Knowledge</group>
      <groupName>知识性问题</groupName>
      <ability>L2_Knowledge</ability>
      <abilityName>其他知识</abilityName>
      <candidateList>
        <item>1%～6%</item>
      </candidateList>
      <explain>1. “1～6%”中的单位“%”仅出现在后一个数字上，容易引起歧义；根据《现代汉语标点符号数字用法规范手册》，数字表示范围两边需要使用统一的格式。2. 根据标点国标 4.13 中的规则，数字、时间或地域连接符应使用（视觉上更长的）“—”或“～”。</explain>
      <paraID>61D062C8</paraID>
      <start>89</start>
      <end>93</end>
      <status>unmodified</status>
      <modifiedWord/>
      <trackRevisions>false</trackRevisions>
    </reviewItem>
    <reviewItem>
      <errorID>eeff150f-db05-48a6-a111-39d0c6ab1200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63154277</paraID>
      <start>0</start>
      <end>2</end>
      <status>unmodified</status>
      <modifiedWord/>
      <trackRevisions>false</trackRevisions>
    </reviewItem>
    <reviewItem>
      <errorID>edc73907-20f2-4393-bb8a-3641f10104c0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19C8FC63</paraID>
      <start>0</start>
      <end>2</end>
      <status>unmodified</status>
      <modifiedWord/>
      <trackRevisions>false</trackRevisions>
    </reviewItem>
    <reviewItem>
      <errorID>03800d51-f206-4e08-a246-00946f084a97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4E872ACB</paraID>
      <start>186</start>
      <end>187</end>
      <status>unmodified</status>
      <modifiedWord/>
      <trackRevisions>false</trackRevisions>
    </reviewItem>
    <reviewItem>
      <errorID>a71ef135-0752-4d86-bbcd-77d4fbd7afaf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32819CDE</paraID>
      <start>0</start>
      <end>2</end>
      <status>unmodified</status>
      <modifiedWord/>
      <trackRevisions>false</trackRevisions>
    </reviewItem>
    <reviewItem>
      <errorID>f18a26b5-f15c-4d9d-8139-c7b8cf462de3</errorID>
      <errorWord>......</errorWord>
      <group>L1_Punc</group>
      <groupName>标点问题</groupName>
      <ability>L2_Punc</ability>
      <abilityName>标点符号检查</abilityName>
      <candidateList>
        <item>……</item>
      </candidateList>
      <explain>省略号错误。</explain>
      <paraID> 7E44A04</paraID>
      <start>4</start>
      <end>10</end>
      <status>unmodified</status>
      <modifiedWord/>
      <trackRevisions>false</trackRevisions>
    </reviewItem>
    <reviewItem>
      <errorID>3d8fcf73-bc0a-4800-9337-779f79452ead</errorID>
      <errorWord>(</errorWord>
      <group>L1_Format</group>
      <groupName>格式问题</groupName>
      <ability>L2_HalfPunc</ability>
      <abilityName>全半角检查</abilityName>
      <candidateList>
        <item>（</item>
      </candidateList>
      <explain>文本全半角错误。</explain>
      <paraID>6C24E669</paraID>
      <start>14</start>
      <end>15</end>
      <status>unmodified</status>
      <modifiedWord/>
      <trackRevisions>false</trackRevisions>
    </reviewItem>
    <reviewItem>
      <errorID>08211194-e615-4e9a-9492-476f9a16a831</errorID>
      <errorWord>)</errorWord>
      <group>L1_Format</group>
      <groupName>格式问题</groupName>
      <ability>L2_HalfPunc</ability>
      <abilityName>全半角检查</abilityName>
      <candidateList>
        <item>）</item>
      </candidateList>
      <explain>文本全半角错误。</explain>
      <paraID>6C24E669</paraID>
      <start>25</start>
      <end>26</end>
      <status>unmodified</status>
      <modifiedWord/>
      <trackRevisions>false</trackRevisions>
    </reviewItem>
    <reviewItem>
      <errorID>22d7a317-2e04-45cc-bb18-fabe5f601c7e</errorID>
      <errorWord>《</errorWord>
      <group>L1_Punc</group>
      <groupName>标点问题</groupName>
      <ability>L2_Punc</ability>
      <abilityName>标点符号检查</abilityName>
      <candidateList/>
      <explain>同一形式括号套用。</explain>
      <paraID>74E93BBD</paraID>
      <start>15</start>
      <end>16</end>
      <status>unmodified</status>
      <modifiedWord/>
      <trackRevisions>false</trackRevisions>
    </reviewItem>
    <reviewItem>
      <errorID>8aa422c7-7426-4d2b-9e9e-f23ff7b0b002</errorID>
      <errorWord>》</errorWord>
      <group>L1_Punc</group>
      <groupName>标点问题</groupName>
      <ability>L2_Punc</ability>
      <abilityName>标点符号检查</abilityName>
      <candidateList/>
      <explain>同一形式括号套用。</explain>
      <paraID>74E93BBD</paraID>
      <start>40</start>
      <end>41</end>
      <status>unmodified</status>
      <modifiedWord/>
      <trackRevisions>false</trackRevisions>
    </reviewItem>
    <reviewItem>
      <errorID>754b7db8-f401-48e9-a107-2c13620de958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6068BBF6</paraID>
      <start>0</start>
      <end>2</end>
      <status>unmodified</status>
      <modifiedWord/>
      <trackRevisions>false</trackRevisions>
    </reviewItem>
    <reviewItem>
      <errorID>eb3b6c8e-8e7a-4859-be50-2dea6134c9e3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2CFFB977</paraID>
      <start>0</start>
      <end>2</end>
      <status>unmodified</status>
      <modifiedWord/>
      <trackRevisions>false</trackRevisions>
    </reviewItem>
    <reviewItem>
      <errorID>1de44dba-3f03-4627-a42b-78c46d1af164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616FC3FD</paraID>
      <start>0</start>
      <end>2</end>
      <status>unmodified</status>
      <modifiedWord/>
      <trackRevisions>false</trackRevisions>
    </reviewItem>
    <reviewItem>
      <errorID>8e4538cf-adf1-4770-83ce-cbada2e1a3a6</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616FC3FD</paraID>
      <start>428</start>
      <end>430</end>
      <status>unmodified</status>
      <modifiedWord/>
      <trackRevisions>false</trackRevisions>
    </reviewItem>
    <reviewItem>
      <errorID>31b2a7f6-f0ac-4fac-81cc-131cf49590ad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17BEB5E0</paraID>
      <start>0</start>
      <end>2</end>
      <status>unmodified</status>
      <modifiedWord/>
      <trackRevisions>false</trackRevisions>
    </reviewItem>
    <reviewItem>
      <errorID>afeb5765-9f01-42d6-b436-5513fed5d01e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1CDDFB8A</paraID>
      <start>0</start>
      <end>2</end>
      <status>unmodified</status>
      <modifiedWord/>
      <trackRevisions>false</trackRevisions>
    </reviewItem>
    <reviewItem>
      <errorID>6a81a2fb-ff28-4af5-b381-e3ebc292055b</errorID>
      <errorWord>防治陆源污染物污染损害海洋环境管理条例</errorWord>
      <group>L1_Knowledge</group>
      <groupName>知识性问题</groupName>
      <ability>L2_Knowledge</ability>
      <abilityName>其他知识</abilityName>
      <candidateList>
        <item>中华人民共和国防治陆源污染物污染损害海洋环境管理条例</item>
      </candidateList>
      <explain>当前法律法规名称使用简称，请注意是否应当使用全称。</explain>
      <paraID>1CDDFB8A</paraID>
      <start>416</start>
      <end>442</end>
      <status>modified</status>
      <modifiedWord>中华人民共和国防治陆源污染物污染损害海洋环境管理条例</modifiedWord>
      <trackRevisions>false</trackRevisions>
    </reviewItem>
    <reviewItem>
      <errorID>19f36cd1-a9af-44ee-ad88-cbf38e92cfa5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B07AFB5</paraID>
      <start>0</start>
      <end>2</end>
      <status>unmodified</status>
      <modifiedWord/>
      <trackRevisions>false</trackRevisions>
    </reviewItem>
    <reviewItem>
      <errorID>8f722aa2-f3c1-459c-9f39-d9859d86e090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40EC6CAC</paraID>
      <start>0</start>
      <end>2</end>
      <status>unmodified</status>
      <modifiedWord/>
      <trackRevisions>false</trackRevisions>
    </reviewItem>
    <reviewItem>
      <errorID>bfb1cfd4-e902-4f11-ab5a-2728340c01b8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5CBE67A7</paraID>
      <start>0</start>
      <end>2</end>
      <status>unmodified</status>
      <modifiedWord/>
      <trackRevisions>false</trackRevisions>
    </reviewItem>
    <reviewItem>
      <errorID>2b2b4771-f472-4e8c-920b-3ec8d21f64f8</errorID>
      <errorWord>重大</errorWord>
      <group>L1_Word</group>
      <groupName>字词问题</groupName>
      <ability>L2_Typo</ability>
      <abilityName>字词错误</abilityName>
      <candidateList>
        <item>重点</item>
      </candidateList>
      <explain/>
      <paraID>5CBE67A7</paraID>
      <start>11</start>
      <end>13</end>
      <status>unmodified</status>
      <modifiedWord/>
      <trackRevisions>false</trackRevisions>
    </reviewItem>
    <reviewItem>
      <errorID>74ceec16-ba8b-4a00-88ee-8baa08a73f5d</errorID>
      <errorWord>施行</errorWord>
      <group>L1_Word</group>
      <groupName>字词问题</groupName>
      <ability>L2_Typo</ability>
      <abilityName>字词错误</abilityName>
      <candidateList>
        <item>实行</item>
      </candidateList>
      <explain>存在发音相同字词的误用。</explain>
      <paraID>5CBE67A7</paraID>
      <start>88</start>
      <end>90</end>
      <status>unmodified</status>
      <modifiedWord/>
      <trackRevisions>false</trackRevisions>
    </reviewItem>
    <reviewItem>
      <errorID>114af75d-d138-4a80-9248-b3fce0103703</errorID>
      <errorWord>沙</errorWord>
      <group>L1_Word</group>
      <groupName>字词问题</groupName>
      <ability>L2_Typo</ability>
      <abilityName>字词错误</abilityName>
      <candidateList>
        <item>砂</item>
      </candidateList>
      <explain>存在发音相同字词的误用。</explain>
      <paraID>5CBE67A7</paraID>
      <start>180</start>
      <end>181</end>
      <status>unmodified</status>
      <modifiedWord/>
      <trackRevisions>false</trackRevisions>
    </reviewItem>
    <reviewItem>
      <errorID>78e357b9-9dc8-4a9c-8c9f-2637fc47b2d4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F9B612A</paraID>
      <start>0</start>
      <end>2</end>
      <status>unmodified</status>
      <modifiedWord/>
      <trackRevisions>false</trackRevisions>
    </reviewItem>
    <reviewItem>
      <errorID>adf97819-20e3-4cab-a72a-6648f39c4063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6B61DC51</paraID>
      <start>0</start>
      <end>2</end>
      <status>unmodified</status>
      <modifiedWord/>
      <trackRevisions>false</trackRevisions>
    </reviewItem>
    <reviewItem>
      <errorID>e4234978-83e6-4e37-b78d-e5d0ff4477fb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4295FE92</paraID>
      <start>0</start>
      <end>2</end>
      <status>unmodified</status>
      <modifiedWord/>
      <trackRevisions>false</trackRevisions>
    </reviewItem>
    <reviewItem>
      <errorID>8e73b1fd-4ec1-48cc-bbfe-bb446ccf9fdb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4D491019</paraID>
      <start>0</start>
      <end>2</end>
      <status>unmodified</status>
      <modifiedWord/>
      <trackRevisions>false</trackRevisions>
    </reviewItem>
    <reviewItem>
      <errorID>88e148c1-06c5-4b25-a79c-3b31366979fc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17A74A5A</paraID>
      <start>0</start>
      <end>2</end>
      <status>unmodified</status>
      <modifiedWord/>
      <trackRevisions>false</trackRevisions>
    </reviewItem>
    <reviewItem>
      <errorID>14d2ed5a-8fee-4a4c-b17d-9ec7e3e4357e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4625B946</paraID>
      <start>0</start>
      <end>2</end>
      <status>unmodified</status>
      <modifiedWord/>
      <trackRevisions>false</trackRevisions>
    </reviewItem>
    <reviewItem>
      <errorID>038d5a43-d862-4617-bc81-195c95eff8a7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7D7933D</paraID>
      <start>0</start>
      <end>2</end>
      <status>unmodified</status>
      <modifiedWord/>
      <trackRevisions>false</trackRevisions>
    </reviewItem>
    <reviewItem>
      <errorID>6837cf0e-fef8-4788-9515-536e5751fd8a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724F8CE0</paraID>
      <start>0</start>
      <end>2</end>
      <status>unmodified</status>
      <modifiedWord/>
      <trackRevisions>false</trackRevisions>
    </reviewItem>
    <reviewItem>
      <errorID>85cc724e-571d-4b1c-a37d-dc32029c51c6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5B8ED79E</paraID>
      <start>0</start>
      <end>2</end>
      <status>unmodified</status>
      <modifiedWord/>
      <trackRevisions>false</trackRevisions>
    </reviewItem>
    <reviewItem>
      <errorID>c83f3333-53ad-4552-8ca7-d223842da2e1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121AFA91</paraID>
      <start>0</start>
      <end>2</end>
      <status>unmodified</status>
      <modifiedWord/>
      <trackRevisions>false</trackRevisions>
    </reviewItem>
    <reviewItem>
      <errorID>d3265ff8-947d-482f-8d0b-e4c3cc43a862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300B5941</paraID>
      <start>0</start>
      <end>2</end>
      <status>unmodified</status>
      <modifiedWord/>
      <trackRevisions>false</trackRevisions>
    </reviewItem>
    <reviewItem>
      <errorID>8553b239-cd51-4b45-8cca-91c3cb91dca1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643DB800</paraID>
      <start>0</start>
      <end>2</end>
      <status>unmodified</status>
      <modifiedWord/>
      <trackRevisions>false</trackRevisions>
    </reviewItem>
    <reviewItem>
      <errorID>561374e7-1290-4c76-9b70-932e0d8b9f22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645E36A5</paraID>
      <start>0</start>
      <end>2</end>
      <status>unmodified</status>
      <modifiedWord/>
      <trackRevisions>false</trackRevisions>
    </reviewItem>
    <reviewItem>
      <errorID>8a00163c-2fd6-4875-ad33-fc1b122d001f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554E69AE</paraID>
      <start>0</start>
      <end>2</end>
      <status>unmodified</status>
      <modifiedWord/>
      <trackRevisions>false</trackRevisions>
    </reviewItem>
    <reviewItem>
      <errorID>c7fc345d-af90-4e5f-b700-951e35eaa4db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78338353</paraID>
      <start>0</start>
      <end>2</end>
      <status>unmodified</status>
      <modifiedWord/>
      <trackRevisions>false</trackRevisions>
    </reviewItem>
    <reviewItem>
      <errorID>e7466a62-cae7-49cf-9ce0-cd536a065cbf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608D2C00</paraID>
      <start>0</start>
      <end>2</end>
      <status>unmodified</status>
      <modifiedWord/>
      <trackRevisions>false</trackRevisions>
    </reviewItem>
    <reviewItem>
      <errorID>997f03b1-74b0-403e-86b5-97ca2b384b53</errorID>
      <errorWord>，</errorWord>
      <group>L1_Word</group>
      <groupName>字词问题</groupName>
      <ability>L2_Typo</ability>
      <abilityName>字词错误</abilityName>
      <candidateList>
        <item>，在</item>
      </candidateList>
      <explain/>
      <paraID>608D2C00</paraID>
      <start>19</start>
      <end>20</end>
      <status>unmodified</status>
      <modifiedWord/>
      <trackRevisions>false</trackRevisions>
    </reviewItem>
    <reviewItem>
      <errorID>19481d5d-a63b-4834-a8a6-32168201cf50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4137077A</paraID>
      <start>0</start>
      <end>2</end>
      <status>unmodified</status>
      <modifiedWord/>
      <trackRevisions>false</trackRevisions>
    </reviewItem>
    <reviewItem>
      <errorID>270a3db2-cd88-4f89-81ef-df50787814e0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77269E78</paraID>
      <start>0</start>
      <end>2</end>
      <status>unmodified</status>
      <modifiedWord/>
      <trackRevisions>false</trackRevisions>
    </reviewItem>
    <reviewItem>
      <errorID>c2d60b53-49b0-4c8e-9ddb-46fb79ade336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321720C8</paraID>
      <start>0</start>
      <end>2</end>
      <status>unmodified</status>
      <modifiedWord/>
      <trackRevisions>false</trackRevisions>
    </reviewItem>
    <reviewItem>
      <errorID>a9b66ec8-5a34-4c6e-acc9-310f185a46dd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181477B3</paraID>
      <start>0</start>
      <end>2</end>
      <status>unmodified</status>
      <modifiedWord/>
      <trackRevisions>false</trackRevisions>
    </reviewItem>
    <reviewItem>
      <errorID>75917228-fde6-4497-a152-c5e38a107136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6D470164</paraID>
      <start>0</start>
      <end>2</end>
      <status>unmodified</status>
      <modifiedWord/>
      <trackRevisions>false</trackRevisions>
    </reviewItem>
    <reviewItem>
      <errorID>93c4c2f0-61ed-438d-8dea-6a06698f7dd4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580D4CA4</paraID>
      <start>0</start>
      <end>2</end>
      <status>unmodified</status>
      <modifiedWord/>
      <trackRevisions>false</trackRevisions>
    </reviewItem>
    <reviewItem>
      <errorID>653dd809-2be1-4702-ac1d-4c8349487e2a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4BDFABBF</paraID>
      <start>0</start>
      <end>2</end>
      <status>unmodified</status>
      <modifiedWord/>
      <trackRevisions>false</trackRevisions>
    </reviewItem>
    <reviewItem>
      <errorID>26906cf2-9763-4cf2-b45b-72ed7032bf1e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C3D92A6</paraID>
      <start>0</start>
      <end>2</end>
      <status>unmodified</status>
      <modifiedWord/>
      <trackRevisions>false</trackRevisions>
    </reviewItem>
    <reviewItem>
      <errorID>0e895a64-e4a0-489a-8754-f94f8b0d6edf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DA4B239</paraID>
      <start>0</start>
      <end>2</end>
      <status>unmodified</status>
      <modifiedWord/>
      <trackRevisions>false</trackRevisions>
    </reviewItem>
    <reviewItem>
      <errorID>7eb1d2ad-8cc2-42e4-a36f-0df3cb06da52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3787C46A</paraID>
      <start>0</start>
      <end>2</end>
      <status>unmodified</status>
      <modifiedWord/>
      <trackRevisions>false</trackRevisions>
    </reviewItem>
    <reviewItem>
      <errorID>cb1b395d-23ca-438e-a160-8d123e60b149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EE38427</paraID>
      <start>0</start>
      <end>2</end>
      <status>unmodified</status>
      <modifiedWord/>
      <trackRevisions>false</trackRevisions>
    </reviewItem>
    <reviewItem>
      <errorID>be25a421-0547-46a4-87c9-a55940a9a192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6FD8F8B</paraID>
      <start>0</start>
      <end>2</end>
      <status>unmodified</status>
      <modifiedWord/>
      <trackRevisions>false</trackRevisions>
    </reviewItem>
    <reviewItem>
      <errorID>f711bf3e-aa43-4e3e-bab7-af2015c1a580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52DB61B9</paraID>
      <start>0</start>
      <end>2</end>
      <status>unmodified</status>
      <modifiedWord/>
      <trackRevisions>false</trackRevisions>
    </reviewItem>
    <reviewItem>
      <errorID>e7cfbbcb-8106-474b-adf9-90e6a1a73ecf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33A66ACA</paraID>
      <start>0</start>
      <end>2</end>
      <status>unmodified</status>
      <modifiedWord/>
      <trackRevisions>false</trackRevisions>
    </reviewItem>
    <reviewItem>
      <errorID>6873b798-66b0-427f-9b10-e92e0f4cd494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72FECB37</paraID>
      <start>0</start>
      <end>2</end>
      <status>unmodified</status>
      <modifiedWord/>
      <trackRevisions>false</trackRevisions>
    </reviewItem>
    <reviewItem>
      <errorID>209ab8f2-ce58-4844-b039-01e7ac72fa38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7519982A</paraID>
      <start>0</start>
      <end>2</end>
      <status>unmodified</status>
      <modifiedWord/>
      <trackRevisions>false</trackRevisions>
    </reviewItem>
    <reviewItem>
      <errorID>ab4764f8-6ab2-47ab-a1dc-fe3137224ece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A5ACB</paraID>
      <start>0</start>
      <end>2</end>
      <status>unmodified</status>
      <modifiedWord/>
      <trackRevisions>false</trackRevisions>
    </reviewItem>
    <reviewItem>
      <errorID>197c3a08-ce4c-4909-8dfe-50451a5e942f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7BC2D24C</paraID>
      <start>0</start>
      <end>2</end>
      <status>unmodified</status>
      <modifiedWord/>
      <trackRevisions>false</trackRevisions>
    </reviewItem>
    <reviewItem>
      <errorID>61d7a037-f590-4902-b128-b7b4a2c29c9d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E8B5E7</paraID>
      <start>0</start>
      <end>2</end>
      <status>unmodified</status>
      <modifiedWord/>
      <trackRevisions>false</trackRevisions>
    </reviewItem>
    <reviewItem>
      <errorID>31d84e56-3983-4446-b2d4-da34e449e0ee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109B72AE</paraID>
      <start>0</start>
      <end>2</end>
      <status>unmodified</status>
      <modifiedWord/>
      <trackRevisions>false</trackRevisions>
    </reviewItem>
    <reviewItem>
      <errorID>99888d45-e5b4-48b6-92a7-9d8be73e2544</errorID>
      <errorWord>有</errorWord>
      <group>L1_Word</group>
      <groupName>字词问题</groupName>
      <ability>L2_Typo</ability>
      <abilityName>字词错误</abilityName>
      <candidateList>
        <item>由</item>
      </candidateList>
      <explain>❶缘由：因～｜事～｜理～。❷〈介〉由于▲：咎～自取｜～感冒引起了肺炎。❸经过：必～之路。❹〈介〉表示经由：～南门入场。❺〈动〉顺随；听从：事不～己｜～着性子。❻〈介〉归（某人去做）：准备工作～我负责｜队长～你担任。❼〈介〉表示凭借：～此可知｜人体是～各种细胞组成的。❽〈介〉表示起点：～表及里｜～北京出发。</explain>
      <paraID> EBD78D7</paraID>
      <start>394</start>
      <end>395</end>
      <status>unmodified</status>
      <modifiedWord/>
      <trackRevisions>false</trackRevisions>
    </reviewItem>
    <reviewItem>
      <errorID>a994a7ad-09ff-424c-b4c4-9c95972f140c</errorID>
      <errorWord>.</errorWord>
      <group>L1_Format</group>
      <groupName>格式问题</groupName>
      <ability>L2_HalfPunc</ability>
      <abilityName>全半角检查</abilityName>
      <candidateList>
        <item>。</item>
      </candidateList>
      <explain>文本全半角错误。</explain>
      <paraID>15D18A07</paraID>
      <start>130</start>
      <end>131</end>
      <status>unmodified</status>
      <modifiedWord/>
      <trackRevisions>false</trackRevisions>
    </reviewItem>
    <reviewItem>
      <errorID>6e1eb857-3d79-4636-b42d-c97f7a8a173e</errorID>
      <errorWord>有</errorWord>
      <group>L1_Word</group>
      <groupName>字词问题</groupName>
      <ability>L2_Typo</ability>
      <abilityName>字词错误</abilityName>
      <candidateList>
        <item>由</item>
      </candidateList>
      <explain>存在发音相同字词的误用。</explain>
      <paraID>7D8326F2</paraID>
      <start>81</start>
      <end>82</end>
      <status>unmodified</status>
      <modifiedWord/>
      <trackRevisions>false</trackRevisions>
    </reviewItem>
    <reviewItem>
      <errorID>d9d5a905-0f57-43bf-82eb-605f4399eda8</errorID>
      <errorWord>之</errorWord>
      <group>L1_Word</group>
      <groupName>字词问题</groupName>
      <ability>L2_Typo</ability>
      <abilityName>字词错误</abilityName>
      <candidateList>
        <item>之为</item>
      </candidateList>
      <explain/>
      <paraID>522D748E</paraID>
      <start>61</start>
      <end>62</end>
      <status>unmodified</status>
      <modifiedWord/>
      <trackRevisions>false</trackRevisions>
    </reviewItem>
    <reviewItem>
      <errorID>267d7256-09df-4473-a69b-23b5d128991b</errorID>
      <errorWord>航船是</errorWord>
      <group>L1_Word</group>
      <groupName>字词问题</groupName>
      <ability>L2_Typo</ability>
      <abilityName>字词错误</abilityName>
      <candidateList>
        <item>航船</item>
      </candidateList>
      <explain/>
      <paraID>522D748E</paraID>
      <start>99</start>
      <end>102</end>
      <status>unmodified</status>
      <modifiedWord/>
      <trackRevisions>false</trackRevisions>
    </reviewItem>
    <reviewItem>
      <errorID>0397807d-844a-48a9-863f-ddf88e7c64ac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4497B4AD</paraID>
      <start>0</start>
      <end>2</end>
      <status>unmodified</status>
      <modifiedWord/>
      <trackRevisions>false</trackRevisions>
    </reviewItem>
    <reviewItem>
      <errorID>089bccf2-7b54-44f6-bf6d-6457a11ea75d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5EC728F2</paraID>
      <start>0</start>
      <end>2</end>
      <status>unmodified</status>
      <modifiedWord/>
      <trackRevisions>false</trackRevisions>
    </reviewItem>
    <reviewItem>
      <errorID>21e46376-a696-49c9-9dda-b066c4a5e992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154EDF96</paraID>
      <start>0</start>
      <end>2</end>
      <status>unmodified</status>
      <modifiedWord/>
      <trackRevisions>false</trackRevisions>
    </reviewItem>
    <reviewItem>
      <errorID>acc8c370-63e9-4b13-b1f3-32a67605b7d1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4F29A62</paraID>
      <start>0</start>
      <end>2</end>
      <status>unmodified</status>
      <modifiedWord/>
      <trackRevisions>false</trackRevisions>
    </reviewItem>
    <reviewItem>
      <errorID>c7072e93-987b-4351-8b56-f8c3d4fe3a7f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699C8987</paraID>
      <start>0</start>
      <end>2</end>
      <status>unmodified</status>
      <modifiedWord/>
      <trackRevisions>false</trackRevisions>
    </reviewItem>
    <reviewItem>
      <errorID>efd92d61-b845-42b8-9669-6930d88fcb05</errorID>
      <errorWord>原因是由于</errorWord>
      <group>L1_Word</group>
      <groupName>字词问题</groupName>
      <ability>L2_Typo</ability>
      <abilityName>字词错误</abilityName>
      <candidateList>
        <item>原因是</item>
      </candidateList>
      <explain/>
      <paraID>7AD96570</paraID>
      <start>86</start>
      <end>91</end>
      <status>unmodified</status>
      <modifiedWord/>
      <trackRevisions>false</trackRevisions>
    </reviewItem>
    <reviewItem>
      <errorID>f11aa447-da7a-4c38-9fb3-e0a0426260ab</errorID>
      <errorWord>-</errorWord>
      <group>L1_Format</group>
      <groupName>格式问题</groupName>
      <ability>L2_HalfPunc</ability>
      <abilityName>全半角检查</abilityName>
      <candidateList>
        <item>－</item>
      </candidateList>
      <explain>文本全半角错误。</explain>
      <paraID> 115613E</paraID>
      <start>96</start>
      <end>97</end>
      <status>unmodified</status>
      <modifiedWord/>
      <trackRevisions>false</trackRevisions>
    </reviewItem>
    <reviewItem>
      <errorID>fcb3fe0d-a508-4832-90ed-2cbeed41e05c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693889A0</paraID>
      <start>136</start>
      <end>137</end>
      <status>unmodified</status>
      <modifiedWord/>
      <trackRevisions>false</trackRevisions>
    </reviewItem>
    <reviewItem>
      <errorID>3dd22183-55bf-4ca5-a5ac-9ab3080f1be2</errorID>
      <errorWord>虽</errorWord>
      <group>L1_Word</group>
      <groupName>字词问题</groupName>
      <ability>L2_Typo</ability>
      <abilityName>字词错误</abilityName>
      <candidateList>
        <item>虽然</item>
      </candidateList>
      <explain/>
      <paraID>3904A208</paraID>
      <start>24</start>
      <end>25</end>
      <status>unmodified</status>
      <modifiedWord/>
      <trackRevisions>false</trackRevisions>
    </reviewItem>
    <reviewItem>
      <errorID>d919f362-d390-47fa-a13c-3c520c20a4f8</errorID>
      <errorWord>较高</errorWord>
      <group>L1_Word</group>
      <groupName>字词问题</groupName>
      <ability>L2_Typo</ability>
      <abilityName>字词错误</abilityName>
      <candidateList>
        <item>标高</item>
      </candidateList>
      <explain/>
      <paraID>673F1A56</paraID>
      <start>69</start>
      <end>71</end>
      <status>unmodified</status>
      <modifiedWord/>
      <trackRevisions>false</trackRevisions>
    </reviewItem>
    <reviewItem>
      <errorID>50d7b552-3774-4ecb-a1ae-1f53c7fe11cb</errorID>
      <errorWord>其它</errorWord>
      <group>L1_Word</group>
      <groupName>字词问题</groupName>
      <ability>L2_Alias</ability>
      <abilityName>也作/曾用词</abilityName>
      <candidateList>
        <item>其他</item>
      </candidateList>
      <explain>词汇[其它]为不规范表述或旧称，其规范书面表述为[其他]。</explain>
      <paraID>673F1A56</paraID>
      <start>100</start>
      <end>102</end>
      <status>modified</status>
      <modifiedWord>其他</modifiedWord>
      <trackRevisions>false</trackRevisions>
    </reviewItem>
    <reviewItem>
      <errorID>71be0317-2b10-4c0a-8b27-d74e2cff12ec</errorID>
      <errorWord>：</errorWord>
      <group>L1_Format</group>
      <groupName>格式问题</groupName>
      <ability>L2_HalfPunc</ability>
      <abilityName>全半角检查</abilityName>
      <candidateList>
        <item>:</item>
      </candidateList>
      <explain>文本全半角错误。</explain>
      <paraID>1F1569DA</paraID>
      <start>28</start>
      <end>29</end>
      <status>unmodified</status>
      <modifiedWord/>
      <trackRevisions>false</trackRevisions>
    </reviewItem>
    <reviewItem>
      <errorID>283a697c-4bfb-43e9-98c5-8dbea98bbf4c</errorID>
      <errorWord>：</errorWord>
      <group>L1_Format</group>
      <groupName>格式问题</groupName>
      <ability>L2_HalfPunc</ability>
      <abilityName>全半角检查</abilityName>
      <candidateList>
        <item>:</item>
      </candidateList>
      <explain>文本全半角错误。</explain>
      <paraID>1F1569DA</paraID>
      <start>34</start>
      <end>35</end>
      <status>unmodified</status>
      <modifiedWord/>
      <trackRevisions>false</trackRevisions>
    </reviewItem>
    <reviewItem>
      <errorID>90f09afc-1cc3-4ae9-99a5-9230d2fd960c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65EF847</paraID>
      <start>16</start>
      <end>17</end>
      <status>unmodified</status>
      <modifiedWord/>
      <trackRevisions>false</trackRevisions>
    </reviewItem>
    <reviewItem>
      <errorID>711291b6-b7eb-49db-a302-ff428bbf4e95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7D4211C3</paraID>
      <start>0</start>
      <end>2</end>
      <status>unmodified</status>
      <modifiedWord/>
      <trackRevisions>false</trackRevisions>
    </reviewItem>
    <reviewItem>
      <errorID>88de9f56-b5b5-4836-9b2a-64f5c59dbcac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ACEF69D</paraID>
      <start>12</start>
      <end>13</end>
      <status>unmodified</status>
      <modifiedWord/>
      <trackRevisions>false</trackRevisions>
    </reviewItem>
    <reviewItem>
      <errorID>f61889ab-6cb6-4e1b-a896-aa7c3b22bb76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741B0A8A</paraID>
      <start>0</start>
      <end>2</end>
      <status>unmodified</status>
      <modifiedWord/>
      <trackRevisions>false</trackRevisions>
    </reviewItem>
    <reviewItem>
      <errorID>8a6fa8a4-472e-4c85-95a3-70ea8aae0891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764FDA3A</paraID>
      <start>0</start>
      <end>2</end>
      <status>unmodified</status>
      <modifiedWord/>
      <trackRevisions>false</trackRevisions>
    </reviewItem>
    <reviewItem>
      <errorID>739aab01-a5df-4e30-bbca-899249762b75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28F6E559</paraID>
      <start>0</start>
      <end>2</end>
      <status>unmodified</status>
      <modifiedWord/>
      <trackRevisions>false</trackRevisions>
    </reviewItem>
    <reviewItem>
      <errorID>c6d3b32a-dff8-4ae3-a617-ca8704c8ba50</errorID>
      <errorWord>)</errorWord>
      <group>L1_Format</group>
      <groupName>格式问题</groupName>
      <ability>L2_HalfPunc</ability>
      <abilityName>全半角检查</abilityName>
      <candidateList>
        <item>）</item>
      </candidateList>
      <explain>文本全半角错误。</explain>
      <paraID>2029B859</paraID>
      <start>5</start>
      <end>6</end>
      <status>unmodified</status>
      <modifiedWord/>
      <trackRevisions>false</trackRevisions>
    </reviewItem>
    <reviewItem>
      <errorID>7055b83e-c9a9-48b1-8bce-dcdb145ee6be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13862C7B</paraID>
      <start>0</start>
      <end>2</end>
      <status>unmodified</status>
      <modifiedWord/>
      <trackRevisions>false</trackRevisions>
    </reviewItem>
    <reviewItem>
      <errorID>bcb64663-d546-4b96-995a-0e9a8f52f929</errorID>
      <errorWord>虽</errorWord>
      <group>L1_Word</group>
      <groupName>字词问题</groupName>
      <ability>L2_Typo</ability>
      <abilityName>字词错误</abilityName>
      <candidateList>
        <item>虽然</item>
      </candidateList>
      <explain/>
      <paraID>1D652D99</paraID>
      <start>227</start>
      <end>228</end>
      <status>unmodified</status>
      <modifiedWord/>
      <trackRevisions>false</trackRevisions>
    </reviewItem>
    <reviewItem>
      <errorID>264f3c0a-f0fd-49f5-bacb-69cf37ad24ab</errorID>
      <errorWord>分</errorWord>
      <group>L1_Word</group>
      <groupName>字词问题</groupName>
      <ability>L2_Typo</ability>
      <abilityName>字词错误</abilityName>
      <candidateList>
        <item>分为</item>
      </candidateList>
      <explain/>
      <paraID>4D9301ED</paraID>
      <start>51</start>
      <end>52</end>
      <status>unmodified</status>
      <modifiedWord/>
      <trackRevisions>false</trackRevisions>
    </reviewItem>
    <reviewItem>
      <errorID>e3f034a9-d3d3-4886-ab45-e249a489dabb</errorID>
      <errorWord>来沙</errorWord>
      <group>L1_Word</group>
      <groupName>字词问题</groupName>
      <ability>L2_Typo</ability>
      <abilityName>字词错误</abilityName>
      <candidateList>
        <item>泥沙</item>
      </candidateList>
      <explain/>
      <paraID>4D9301ED</paraID>
      <start>69</start>
      <end>71</end>
      <status>modified</status>
      <modifiedWord>泥沙</modifiedWord>
      <trackRevisions>false</trackRevisions>
    </reviewItem>
    <reviewItem>
      <errorID>8aa848ba-972b-45b1-9b67-e0d52fa5f70c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1BBDB58B</paraID>
      <start>0</start>
      <end>2</end>
      <status>unmodified</status>
      <modifiedWord/>
      <trackRevisions>false</trackRevisions>
    </reviewItem>
    <reviewItem>
      <errorID>7d5d4ac9-9a20-42fe-8d98-7ff65709c5b0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3A773EF</paraID>
      <start>0</start>
      <end>2</end>
      <status>unmodified</status>
      <modifiedWord/>
      <trackRevisions>false</trackRevisions>
    </reviewItem>
    <reviewItem>
      <errorID>6bb9e3f9-d300-4e9a-819c-d3caaf4398dd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7A812CC6</paraID>
      <start>0</start>
      <end>2</end>
      <status>unmodified</status>
      <modifiedWord/>
      <trackRevisions>false</trackRevisions>
    </reviewItem>
    <reviewItem>
      <errorID>72929bee-7927-4b8f-ae62-ac53c75f965c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318040D3</paraID>
      <start>0</start>
      <end>2</end>
      <status>unmodified</status>
      <modifiedWord/>
      <trackRevisions>false</trackRevisions>
    </reviewItem>
    <reviewItem>
      <errorID>6168592b-8eae-4736-b546-22d783b48c6d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2043AD08</paraID>
      <start>72</start>
      <end>73</end>
      <status>unmodified</status>
      <modifiedWord/>
      <trackRevisions>false</trackRevisions>
    </reviewItem>
    <reviewItem>
      <errorID>011049f0-1d94-4e24-a87e-cce09e88d745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5F51BF3B</paraID>
      <start>0</start>
      <end>2</end>
      <status>unmodified</status>
      <modifiedWord/>
      <trackRevisions>false</trackRevisions>
    </reviewItem>
    <reviewItem>
      <errorID>b2e30fa4-de88-4474-beed-302c9491187c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5EE05709</paraID>
      <start>0</start>
      <end>2</end>
      <status>unmodified</status>
      <modifiedWord/>
      <trackRevisions>false</trackRevisions>
    </reviewItem>
    <reviewItem>
      <errorID>51e5858f-a2e9-4716-87c5-0dd8b26a1790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E193320</paraID>
      <start>0</start>
      <end>2</end>
      <status>unmodified</status>
      <modifiedWord/>
      <trackRevisions>false</trackRevisions>
    </reviewItem>
    <reviewItem>
      <errorID>8a56e365-01f1-454c-aaee-314ccdac0467</errorID>
      <errorWord>农业部</errorWord>
      <group>L1_Knowledge</group>
      <groupName>知识性问题</groupName>
      <ability>L2_Knowledge</ability>
      <abilityName>其他知识</abilityName>
      <candidateList>
        <item>农业农村部</item>
      </candidateList>
      <explain/>
      <paraID>77CB19CE</paraID>
      <start>23</start>
      <end>28</end>
      <status>modified</status>
      <modifiedWord>农业农村部</modifiedWord>
      <trackRevisions>false</trackRevisions>
    </reviewItem>
    <reviewItem>
      <errorID>396e9de9-e72f-4174-90e3-c72a07517586</errorID>
      <errorWord>（</errorWord>
      <group>L1_Punc</group>
      <groupName>标点问题</groupName>
      <ability>L2_Punc</ability>
      <abilityName>标点符号检查</abilityName>
      <candidateList>
        <item/>
      </candidateList>
      <explain>同一形式括号套用。</explain>
      <paraID>6CBFEF4E</paraID>
      <start>106</start>
      <end>107</end>
      <status>unmodified</status>
      <modifiedWord/>
      <trackRevisions>false</trackRevisions>
    </reviewItem>
    <reviewItem>
      <errorID>01c9db63-0a7f-4e86-be1d-5cc30570b7c6</errorID>
      <errorWord>(</errorWord>
      <group>L1_Punc</group>
      <groupName>标点问题</groupName>
      <ability>L2_Punc</ability>
      <abilityName>标点符号检查</abilityName>
      <candidateList/>
      <explain>同一形式括号套用。</explain>
      <paraID>6CBFEF4E</paraID>
      <start>118</start>
      <end>119</end>
      <status>unmodified</status>
      <modifiedWord/>
      <trackRevisions>false</trackRevisions>
    </reviewItem>
    <reviewItem>
      <errorID>e8d29ee1-a455-4114-ba9a-7023b86e02ac</errorID>
      <errorWord>)</errorWord>
      <group>L1_Punc</group>
      <groupName>标点问题</groupName>
      <ability>L2_Punc</ability>
      <abilityName>标点符号检查</abilityName>
      <candidateList/>
      <explain>同一形式括号套用。</explain>
      <paraID>6CBFEF4E</paraID>
      <start>123</start>
      <end>124</end>
      <status>unmodified</status>
      <modifiedWord/>
      <trackRevisions>false</trackRevisions>
    </reviewItem>
    <reviewItem>
      <errorID>fe0b1d62-0f27-4248-8056-d22ea58d0877</errorID>
      <errorWord>）</errorWord>
      <group>L1_Punc</group>
      <groupName>标点问题</groupName>
      <ability>L2_Punc</ability>
      <abilityName>标点符号检查</abilityName>
      <candidateList/>
      <explain>同一形式括号套用。</explain>
      <paraID>6CBFEF4E</paraID>
      <start>124</start>
      <end>125</end>
      <status>unmodified</status>
      <modifiedWord/>
      <trackRevisions>false</trackRevisions>
    </reviewItem>
    <reviewItem>
      <errorID>951c0166-1024-4928-a6a3-0830919360d8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5CBABB76</paraID>
      <start>174</start>
      <end>175</end>
      <status>unmodified</status>
      <modifiedWord/>
      <trackRevisions>false</trackRevisions>
    </reviewItem>
    <reviewItem>
      <errorID>bbe4620a-6ae0-495f-8421-bf21282dad3a</errorID>
      <errorWord>)</errorWord>
      <group>L1_Format</group>
      <groupName>格式问题</groupName>
      <ability>L2_HalfPunc</ability>
      <abilityName>全半角检查</abilityName>
      <candidateList>
        <item>）</item>
      </candidateList>
      <explain>文本全半角错误。</explain>
      <paraID>30DE211A</paraID>
      <start>30</start>
      <end>31</end>
      <status>unmodified</status>
      <modifiedWord/>
      <trackRevisions>false</trackRevisions>
    </reviewItem>
    <reviewItem>
      <errorID>b51be969-d42a-4245-b166-866f0d0fece2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54A8BC5C</paraID>
      <start>0</start>
      <end>2</end>
      <status>unmodified</status>
      <modifiedWord/>
      <trackRevisions>false</trackRevisions>
    </reviewItem>
    <reviewItem>
      <errorID>452d9f93-c9c7-4469-b6af-a67949841aba</errorID>
      <errorWord>年</errorWord>
      <group>L1_Word</group>
      <groupName>字词问题</groupName>
      <ability>L2_Typo</ability>
      <abilityName>字词错误</abilityName>
      <candidateList>
        <item>年来</item>
      </candidateList>
      <explain/>
      <paraID>684F0510</paraID>
      <start>1</start>
      <end>2</end>
      <status>unmodified</status>
      <modifiedWord/>
      <trackRevisions>false</trackRevisions>
    </reviewItem>
    <reviewItem>
      <errorID>99d96c8c-b696-445a-808c-64ec4378f1fe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3A822961</paraID>
      <start>0</start>
      <end>2</end>
      <status>unmodified</status>
      <modifiedWord/>
      <trackRevisions>false</trackRevisions>
    </reviewItem>
    <reviewItem>
      <errorID>3d9b3e04-5f3c-4855-b01d-ce1520088125</errorID>
      <errorWord>年</errorWord>
      <group>L1_Word</group>
      <groupName>字词问题</groupName>
      <ability>L2_Typo</ability>
      <abilityName>字词错误</abilityName>
      <candidateList>
        <item>年来</item>
      </candidateList>
      <explain/>
      <paraID>229C6AEA</paraID>
      <start>111</start>
      <end>112</end>
      <status>unmodified</status>
      <modifiedWord/>
      <trackRevisions>false</trackRevisions>
    </reviewItem>
    <reviewItem>
      <errorID>9547ab4f-ba77-4f66-b487-b015328bd6b6</errorID>
      <errorWord>2020年02月</errorWord>
      <group>L1_Knowledge</group>
      <groupName>知识性问题</groupName>
      <ability>L2_Time</ability>
      <abilityName>日期时间</abilityName>
      <candidateList>
        <item>2020年2月</item>
      </candidateList>
      <explain>根据日常书写习惯，月份一般会省略前导零。</explain>
      <paraID>73910B86</paraID>
      <start>0</start>
      <end>8</end>
      <status>unmodified</status>
      <modifiedWord/>
      <trackRevisions>false</trackRevisions>
    </reviewItem>
    <reviewItem>
      <errorID>9c323030-8870-4d95-87b2-9bc0b1429d42</errorID>
      <errorWord>国家海洋局</errorWord>
      <group>L1_Word</group>
      <groupName>字词问题</groupName>
      <ability>L2_Typo</ability>
      <abilityName>字词错误</abilityName>
      <candidateList>
        <item>自然资源部</item>
      </candidateList>
      <explain/>
      <paraID>5C0C22A9</paraID>
      <start>2</start>
      <end>7</end>
      <status>unmodified</status>
      <modifiedWord/>
      <trackRevisions>false</trackRevisions>
    </reviewItem>
    <reviewItem>
      <errorID>8aed2202-213b-46f8-b161-1b968ba0b95e</errorID>
      <errorWord>农业部</errorWord>
      <group>L1_Knowledge</group>
      <groupName>知识性问题</groupName>
      <ability>L2_Knowledge</ability>
      <abilityName>其他知识</abilityName>
      <candidateList>
        <item>农业农村部</item>
      </candidateList>
      <explain/>
      <paraID>4B6604B2</paraID>
      <start>29</start>
      <end>34</end>
      <status>modified</status>
      <modifiedWord>农业农村部</modifiedWord>
      <trackRevisions>false</trackRevisions>
    </reviewItem>
    <reviewItem>
      <errorID>0b1fcd24-efd7-4524-8e38-cdcbdec10159</errorID>
      <errorWord>农业部</errorWord>
      <group>L1_Knowledge</group>
      <groupName>知识性问题</groupName>
      <ability>L2_Knowledge</ability>
      <abilityName>其他知识</abilityName>
      <candidateList>
        <item>农业农村部</item>
      </candidateList>
      <explain/>
      <paraID>56085D0F</paraID>
      <start>2</start>
      <end>7</end>
      <status>modified</status>
      <modifiedWord>农业农村部</modifiedWord>
      <trackRevisions>false</trackRevisions>
    </reviewItem>
    <reviewItem>
      <errorID>0d3b0d7d-23b1-4060-9102-29ea03e23d3b</errorID>
      <errorWord>海路</errorWord>
      <group>L1_Word</group>
      <groupName>字词问题</groupName>
      <ability>L2_Typo</ability>
      <abilityName>字词错误</abilityName>
      <candidateList>
        <item>海陆</item>
      </candidateList>
      <explain>存在发音相同字词的误用。</explain>
      <paraID>4F93E4AE</paraID>
      <start>12</start>
      <end>14</end>
      <status>unmodified</status>
      <modifiedWord/>
      <trackRevisions>false</trackRevisions>
    </reviewItem>
    <reviewItem>
      <errorID>3335ed6f-fbfc-4eed-9170-4798855c0f32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77B8BCB3</paraID>
      <start>0</start>
      <end>2</end>
      <status>unmodified</status>
      <modifiedWord/>
      <trackRevisions>false</trackRevisions>
    </reviewItem>
    <reviewItem>
      <errorID>f3f90602-0d28-46e3-b0f9-4492031bf0fd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12F4EEBB</paraID>
      <start>0</start>
      <end>2</end>
      <status>unmodified</status>
      <modifiedWord/>
      <trackRevisions>false</trackRevisions>
    </reviewItem>
    <reviewItem>
      <errorID>55446974-e85a-4c3e-abc0-7d44e1df3f7a</errorID>
      <errorWord>苦郎</errorWord>
      <group>L1_Word</group>
      <groupName>字词问题</groupName>
      <ability>L2_Typo</ability>
      <abilityName>字词错误</abilityName>
      <candidateList>
        <item>苦楝</item>
      </candidateList>
      <explain/>
      <paraID>1361CD2D</paraID>
      <start>3</start>
      <end>5</end>
      <status>unmodified</status>
      <modifiedWord/>
      <trackRevisions>false</trackRevisions>
    </reviewItem>
    <reviewItem>
      <errorID>a4098b15-c6fe-49e5-8c55-4a295bb693a7</errorID>
      <errorWord>苦郎树</errorWord>
      <group>L1_Word</group>
      <groupName>字词问题</groupName>
      <ability>L2_Typo</ability>
      <abilityName>字词错误</abilityName>
      <candidateList>
        <item>苦楝树</item>
      </candidateList>
      <explain/>
      <paraID>1361CD2D</paraID>
      <start>45</start>
      <end>48</end>
      <status>unmodified</status>
      <modifiedWord/>
      <trackRevisions>false</trackRevisions>
    </reviewItem>
    <reviewItem>
      <errorID>283f5b51-5254-49ca-b9b2-da6377095a80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3233FD30</paraID>
      <start>0</start>
      <end>2</end>
      <status>unmodified</status>
      <modifiedWord/>
      <trackRevisions>false</trackRevisions>
    </reviewItem>
    <reviewItem>
      <errorID>1526ad45-b8db-454b-9d20-c501148d05bb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6D312990</paraID>
      <start>0</start>
      <end>2</end>
      <status>unmodified</status>
      <modifiedWord/>
      <trackRevisions>false</trackRevisions>
    </reviewItem>
    <reviewItem>
      <errorID>2ec1c5d5-edd0-496a-a0e6-9a63d0490f52</errorID>
      <errorWord>，</errorWord>
      <group>L1_Format</group>
      <groupName>格式问题</groupName>
      <ability>L2_HalfPunc</ability>
      <abilityName>全半角检查</abilityName>
      <candidateList>
        <item>,</item>
      </candidateList>
      <explain>文本全半角错误。</explain>
      <paraID>2FEFC0CB</paraID>
      <start>2</start>
      <end>3</end>
      <status>unmodified</status>
      <modifiedWord/>
      <trackRevisions>false</trackRevisions>
    </reviewItem>
    <reviewItem>
      <errorID>d4e8ffdd-77ef-4f4c-806c-182ac95499ea</errorID>
      <errorWord>，</errorWord>
      <group>L1_Format</group>
      <groupName>格式问题</groupName>
      <ability>L2_HalfPunc</ability>
      <abilityName>全半角检查</abilityName>
      <candidateList>
        <item>,</item>
      </candidateList>
      <explain>文本全半角错误。</explain>
      <paraID> AB349BA</paraID>
      <start>3</start>
      <end>4</end>
      <status>unmodified</status>
      <modifiedWord/>
      <trackRevisions>false</trackRevisions>
    </reviewItem>
    <reviewItem>
      <errorID>c682ee72-5b27-4614-aa63-90a213731564</errorID>
      <errorWord>，</errorWord>
      <group>L1_Format</group>
      <groupName>格式问题</groupName>
      <ability>L2_HalfPunc</ability>
      <abilityName>全半角检查</abilityName>
      <candidateList>
        <item>,</item>
      </candidateList>
      <explain>文本全半角错误。</explain>
      <paraID>57C279FA</paraID>
      <start>1</start>
      <end>2</end>
      <status>unmodified</status>
      <modifiedWord/>
      <trackRevisions>false</trackRevisions>
    </reviewItem>
    <reviewItem>
      <errorID>2af8316d-b64d-43a2-99cc-5ede4ef45bf3</errorID>
      <errorWord>架式</errorWord>
      <group>L1_Word</group>
      <groupName>字词问题</groupName>
      <ability>L2_Variant</ability>
      <abilityName>异形词</abilityName>
      <candidateList>
        <item>架势</item>
      </candidateList>
      <explain>词汇[架式]的规范词形写作[架势]。</explain>
      <paraID>18952E94</paraID>
      <start>83</start>
      <end>85</end>
      <status>unmodified</status>
      <modifiedWord/>
      <trackRevisions>false</trackRevisions>
    </reviewItem>
    <reviewItem>
      <errorID>0de1c731-c235-4840-9ef1-950af826e22f</errorID>
      <errorWord>；</errorWord>
      <group>L1_Format</group>
      <groupName>格式问题</groupName>
      <ability>L2_HalfPunc</ability>
      <abilityName>全半角检查</abilityName>
      <candidateList>
        <item>;</item>
      </candidateList>
      <explain>文本全半角错误。</explain>
      <paraID>18952E94</paraID>
      <start>135</start>
      <end>136</end>
      <status>unmodified</status>
      <modifiedWord/>
      <trackRevisions>false</trackRevisions>
    </reviewItem>
    <reviewItem>
      <errorID>2a97babb-3cfc-44fa-9d0e-6f3ca4ce2812</errorID>
      <errorWord>；</errorWord>
      <group>L1_Format</group>
      <groupName>格式问题</groupName>
      <ability>L2_HalfPunc</ability>
      <abilityName>全半角检查</abilityName>
      <candidateList>
        <item>;</item>
      </candidateList>
      <explain>文本全半角错误。</explain>
      <paraID>18952E94</paraID>
      <start>146</start>
      <end>147</end>
      <status>unmodified</status>
      <modifiedWord/>
      <trackRevisions>false</trackRevisions>
    </reviewItem>
    <reviewItem>
      <errorID>51ecb5fd-2c4b-4dc5-a4a0-1c5410a1c543</errorID>
      <errorWord>；</errorWord>
      <group>L1_Format</group>
      <groupName>格式问题</groupName>
      <ability>L2_HalfPunc</ability>
      <abilityName>全半角检查</abilityName>
      <candidateList>
        <item>;</item>
      </candidateList>
      <explain>文本全半角错误。</explain>
      <paraID>18952E94</paraID>
      <start>156</start>
      <end>157</end>
      <status>unmodified</status>
      <modifiedWord/>
      <trackRevisions>false</trackRevisions>
    </reviewItem>
    <reviewItem>
      <errorID>58388668-b1ba-47f4-988d-2fa8ad92b343</errorID>
      <errorWord>筏吊</errorWord>
      <group>L1_Word</group>
      <groupName>字词问题</groupName>
      <ability>L2_Typo</ability>
      <abilityName>字词错误</abilityName>
      <candidateList>
        <item>筏</item>
      </candidateList>
      <explain/>
      <paraID>6655F629</paraID>
      <start>12</start>
      <end>14</end>
      <status>unmodified</status>
      <modifiedWord/>
      <trackRevisions>false</trackRevisions>
    </reviewItem>
    <reviewItem>
      <errorID>387934f5-ebe2-4ca9-9473-72db8d8cf2a5</errorID>
      <errorWord>，</errorWord>
      <group>L1_Format</group>
      <groupName>格式问题</groupName>
      <ability>L2_HalfPunc</ability>
      <abilityName>全半角检查</abilityName>
      <candidateList>
        <item>,</item>
      </candidateList>
      <explain>文本全半角错误。</explain>
      <paraID> AD161AF</paraID>
      <start>2</start>
      <end>3</end>
      <status>unmodified</status>
      <modifiedWord/>
      <trackRevisions>false</trackRevisions>
    </reviewItem>
    <reviewItem>
      <errorID>a9fa3c27-9b6d-4e91-a21b-3f03287115c4</errorID>
      <errorWord>)</errorWord>
      <group>L1_Format</group>
      <groupName>格式问题</groupName>
      <ability>L2_HalfPunc</ability>
      <abilityName>全半角检查</abilityName>
      <candidateList>
        <item>）</item>
      </candidateList>
      <explain>文本全半角错误。</explain>
      <paraID>6A8677E9</paraID>
      <start>97</start>
      <end>98</end>
      <status>unmodified</status>
      <modifiedWord/>
      <trackRevisions>false</trackRevisions>
    </reviewItem>
    <reviewItem>
      <errorID>18fadcea-381e-41af-8c4a-651630bc3206</errorID>
      <errorWord>II类</errorWord>
      <group>L1_Knowledge</group>
      <groupName>知识性问题</groupName>
      <ability>L2_Knowledge</ability>
      <abilityName>其他知识</abilityName>
      <candidateList>
        <item>Ⅱ类</item>
      </candidateList>
      <explain/>
      <paraID>5F9AFFF6</paraID>
      <start>25</start>
      <end>28</end>
      <status>unmodified</status>
      <modifiedWord/>
      <trackRevisions>false</trackRevisions>
    </reviewItem>
    <reviewItem>
      <errorID>ef2ebd63-e8d4-4956-8882-99ccacef1167</errorID>
      <errorWord>~</errorWord>
      <group>L1_Format</group>
      <groupName>格式问题</groupName>
      <ability>L2_HalfPunc</ability>
      <abilityName>全半角检查</abilityName>
      <candidateList>
        <item>～</item>
      </candidateList>
      <explain>文本全半角错误。</explain>
      <paraID>7ED8E50E</paraID>
      <start>97</start>
      <end>98</end>
      <status>unmodified</status>
      <modifiedWord/>
      <trackRevisions>false</trackRevisions>
    </reviewItem>
    <reviewItem>
      <errorID>5c0662cc-c302-412d-abf1-d27f6f4f687c</errorID>
      <errorWord>-</errorWord>
      <group>L1_Format</group>
      <groupName>格式问题</groupName>
      <ability>L2_HalfPunc</ability>
      <abilityName>全半角检查</abilityName>
      <candidateList>
        <item>－</item>
      </candidateList>
      <explain>文本全半角错误。</explain>
      <paraID>77A1C28F</paraID>
      <start>116</start>
      <end>117</end>
      <status>unmodified</status>
      <modifiedWord/>
      <trackRevisions>false</trackRevisions>
    </reviewItem>
    <reviewItem>
      <errorID>dc9f45de-0fd6-45f2-b7ad-585ae83f941d</errorID>
      <errorWord>)</errorWord>
      <group>L1_Format</group>
      <groupName>格式问题</groupName>
      <ability>L2_HalfPunc</ability>
      <abilityName>全半角检查</abilityName>
      <candidateList>
        <item>）</item>
      </candidateList>
      <explain>文本全半角错误。</explain>
      <paraID>77A1C28F</paraID>
      <start>131</start>
      <end>132</end>
      <status>unmodified</status>
      <modifiedWord/>
      <trackRevisions>false</trackRevisions>
    </reviewItem>
    <reviewItem>
      <errorID>7fb0da87-bac7-4dd8-b509-165a5701ca93</errorID>
      <errorWord>)</errorWord>
      <group>L1_Format</group>
      <groupName>格式问题</groupName>
      <ability>L2_HalfPunc</ability>
      <abilityName>全半角检查</abilityName>
      <candidateList>
        <item>）</item>
      </candidateList>
      <explain>文本全半角错误。</explain>
      <paraID>  801519</paraID>
      <start>66</start>
      <end>67</end>
      <status>unmodified</status>
      <modifiedWord/>
      <trackRevisions>false</trackRevisions>
    </reviewItem>
    <reviewItem>
      <errorID>507a6d95-c3c3-467f-832e-d428753fdff8</errorID>
      <errorWord>)</errorWord>
      <group>L1_Format</group>
      <groupName>格式问题</groupName>
      <ability>L2_HalfPunc</ability>
      <abilityName>全半角检查</abilityName>
      <candidateList>
        <item>）</item>
      </candidateList>
      <explain>文本全半角错误。</explain>
      <paraID>  801519</paraID>
      <start>120</start>
      <end>121</end>
      <status>unmodified</status>
      <modifiedWord/>
      <trackRevisions>false</trackRevisions>
    </reviewItem>
    <reviewItem>
      <errorID>4a8389f3-3c4e-42c5-ba58-b91c6ce38f2d</errorID>
      <errorWord>)</errorWord>
      <group>L1_Format</group>
      <groupName>格式问题</groupName>
      <ability>L2_HalfPunc</ability>
      <abilityName>全半角检查</abilityName>
      <candidateList>
        <item>）</item>
      </candidateList>
      <explain>文本全半角错误。</explain>
      <paraID>  801519</paraID>
      <start>144</start>
      <end>145</end>
      <status>unmodified</status>
      <modifiedWord/>
      <trackRevisions>false</trackRevisions>
    </reviewItem>
    <reviewItem>
      <errorID>ee9db699-3cf7-4226-812c-f30b74fcaa8c</errorID>
      <errorWord>值</errorWord>
      <group>L1_Word</group>
      <groupName>字词问题</groupName>
      <ability>L2_Typo</ability>
      <abilityName>字词错误</abilityName>
      <candidateList>
        <item>值为</item>
      </candidateList>
      <explain/>
      <paraID>4D21B1DB</paraID>
      <start>49</start>
      <end>50</end>
      <status>unmodified</status>
      <modifiedWord/>
      <trackRevisions>false</trackRevisions>
    </reviewItem>
    <reviewItem>
      <errorID>909e7e9d-ee24-4df6-a393-850f6fe15345</errorID>
      <errorWord>)</errorWord>
      <group>L1_Format</group>
      <groupName>格式问题</groupName>
      <ability>L2_HalfPunc</ability>
      <abilityName>全半角检查</abilityName>
      <candidateList>
        <item>）</item>
      </candidateList>
      <explain>文本全半角错误。</explain>
      <paraID>5DE58571</paraID>
      <start>122</start>
      <end>123</end>
      <status>unmodified</status>
      <modifiedWord/>
      <trackRevisions>false</trackRevisions>
    </reviewItem>
    <reviewItem>
      <errorID>f47a41a3-3b64-452b-bcf5-0ca88fcc41d1</errorID>
      <errorWord>)</errorWord>
      <group>L1_Format</group>
      <groupName>格式问题</groupName>
      <ability>L2_HalfPunc</ability>
      <abilityName>全半角检查</abilityName>
      <candidateList>
        <item>）</item>
      </candidateList>
      <explain>文本全半角错误。</explain>
      <paraID>5DE58571</paraID>
      <start>144</start>
      <end>145</end>
      <status>unmodified</status>
      <modifiedWord/>
      <trackRevisions>false</trackRevisions>
    </reviewItem>
    <reviewItem>
      <errorID>9b49b3cf-9906-4d0a-98f7-7e1954f6f23f</errorID>
      <errorWord>值</errorWord>
      <group>L1_Word</group>
      <groupName>字词问题</groupName>
      <ability>L2_Typo</ability>
      <abilityName>字词错误</abilityName>
      <candidateList>
        <item>值为</item>
      </candidateList>
      <explain/>
      <paraID>12C17DB0</paraID>
      <start>49</start>
      <end>50</end>
      <status>unmodified</status>
      <modifiedWord/>
      <trackRevisions>false</trackRevisions>
    </reviewItem>
    <reviewItem>
      <errorID>332e25c2-9d58-479c-a4a7-4e032302ce61</errorID>
      <errorWord>，其</errorWord>
      <group>L1_Word</group>
      <groupName>字词问题</groupName>
      <ability>L2_Typo</ability>
      <abilityName>字词错误</abilityName>
      <candidateList>
        <item>，</item>
      </candidateList>
      <explain/>
      <paraID>3D1F0F41</paraID>
      <start>21</start>
      <end>23</end>
      <status>unmodified</status>
      <modifiedWord/>
      <trackRevisions>false</trackRevisions>
    </reviewItem>
    <reviewItem>
      <errorID>ca086a70-3368-4900-b4a3-97aaefba383a</errorID>
      <errorWord>值</errorWord>
      <group>L1_Word</group>
      <groupName>字词问题</groupName>
      <ability>L2_Typo</ability>
      <abilityName>字词错误</abilityName>
      <candidateList>
        <item>值为</item>
      </candidateList>
      <explain/>
      <paraID>56CE94C3</paraID>
      <start>50</start>
      <end>51</end>
      <status>unmodified</status>
      <modifiedWord/>
      <trackRevisions>false</trackRevisions>
    </reviewItem>
    <reviewItem>
      <errorID>2435dae1-eeb5-4e6e-a0f8-3db4a2f8d509</errorID>
      <errorWord>铬</errorWord>
      <group>L1_Word</group>
      <groupName>字词问题</groupName>
      <ability>L2_Typo</ability>
      <abilityName>字词错误</abilityName>
      <candidateList>
        <item>可</item>
      </candidateList>
      <explain>〈动〉适合：～人意｜这回倒～了他的心了。</explain>
      <paraID>25A87EEA</paraID>
      <start>103</start>
      <end>104</end>
      <status>unmodified</status>
      <modifiedWord/>
      <trackRevisions>false</trackRevisions>
    </reviewItem>
    <reviewItem>
      <errorID>0a82531b-5245-4ae8-b258-7a305c7e1660</errorID>
      <errorWord>临近</errorWord>
      <group>L1_Word</group>
      <groupName>字词问题</groupName>
      <ability>L2_Typo</ability>
      <abilityName>字词错误</abilityName>
      <candidateList>
        <item>邻近</item>
      </candidateList>
      <explain>❶〈动〉位置接近：～边界｜我国东部跟朝鲜接壤，跟日本～。❷〈名〉附近：学校～有文化馆｜～的一家姓赵的搬走了。</explain>
      <paraID> A776406</paraID>
      <start>139</start>
      <end>141</end>
      <status>modified</status>
      <modifiedWord>邻近</modifiedWord>
      <trackRevisions>false</trackRevisions>
    </reviewItem>
    <reviewItem>
      <errorID>34e5095c-a89c-47ea-ae74-5dcb52cf0599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3B505A48</paraID>
      <start>12</start>
      <end>13</end>
      <status>unmodified</status>
      <modifiedWord/>
      <trackRevisions>false</trackRevisions>
    </reviewItem>
    <reviewItem>
      <errorID>ffc3366c-91ea-48d9-af98-52f8d5685b4c</errorID>
      <errorWord>(</errorWord>
      <group>L1_Format</group>
      <groupName>格式问题</groupName>
      <ability>L2_HalfPunc</ability>
      <abilityName>全半角检查</abilityName>
      <candidateList>
        <item>（</item>
      </candidateList>
      <explain>文本全半角错误。</explain>
      <paraID>42477A8F</paraID>
      <start>10</start>
      <end>11</end>
      <status>unmodified</status>
      <modifiedWord/>
      <trackRevisions>false</trackRevisions>
    </reviewItem>
    <reviewItem>
      <errorID>2f070c67-203d-4ef0-a214-13e26d3effce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6DE5A180</paraID>
      <start>21</start>
      <end>22</end>
      <status>unmodified</status>
      <modifiedWord/>
      <trackRevisions>false</trackRevisions>
    </reviewItem>
    <reviewItem>
      <errorID>24b47523-ae39-45ad-98c8-98470de0f9ef</errorID>
      <errorWord>(</errorWord>
      <group>L1_Format</group>
      <groupName>格式问题</groupName>
      <ability>L2_HalfPunc</ability>
      <abilityName>全半角检查</abilityName>
      <candidateList>
        <item>（</item>
      </candidateList>
      <explain>文本全半角错误。</explain>
      <paraID>744CC19B</paraID>
      <start>44</start>
      <end>45</end>
      <status>unmodified</status>
      <modifiedWord/>
      <trackRevisions>false</trackRevisions>
    </reviewItem>
    <reviewItem>
      <errorID>a01b5bd9-af6b-4030-a340-208f61f3f3bb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43DFEDA9</paraID>
      <start>14</start>
      <end>15</end>
      <status>unmodified</status>
      <modifiedWord/>
      <trackRevisions>false</trackRevisions>
    </reviewItem>
    <reviewItem>
      <errorID>0043bf73-e1bf-445e-9dd8-51f031d0d222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CE76287</paraID>
      <start>0</start>
      <end>2</end>
      <status>unmodified</status>
      <modifiedWord/>
      <trackRevisions>false</trackRevisions>
    </reviewItem>
    <reviewItem>
      <errorID>99a59877-925b-430f-842c-9527214efb3b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23BB8539</paraID>
      <start>120</start>
      <end>121</end>
      <status>unmodified</status>
      <modifiedWord/>
      <trackRevisions>false</trackRevisions>
    </reviewItem>
    <reviewItem>
      <errorID>8efb37f5-81d9-4c72-b99f-dbc2166380c8</errorID>
      <errorWord>侏罗统</errorWord>
      <group>L1_Word</group>
      <groupName>字词问题</groupName>
      <ability>L2_Typo</ability>
      <abilityName>字词错误</abilityName>
      <candidateList>
        <item>侏罗纪</item>
      </candidateList>
      <explain/>
      <paraID>6BF2ADAD</paraID>
      <start>180</start>
      <end>183</end>
      <status>unmodified</status>
      <modifiedWord/>
      <trackRevisions>false</trackRevisions>
    </reviewItem>
    <reviewItem>
      <errorID>29e3c063-4361-47aa-85e1-8e7f46c608f1</errorID>
      <errorWord>水文地质单位</errorWord>
      <group>L1_Knowledge</group>
      <groupName>知识性问题</groupName>
      <ability>L2_Term</ability>
      <abilityName>专业术语</abilityName>
      <candidateList>
        <item>水文地质单元</item>
      </candidateList>
      <explain/>
      <paraID>6C722393</paraID>
      <start>4</start>
      <end>10</end>
      <status>unmodified</status>
      <modifiedWord/>
      <trackRevisions>false</trackRevisions>
    </reviewItem>
    <reviewItem>
      <errorID>47086805-32dd-4309-8ec7-377f6a7c46ba</errorID>
      <errorWord>水文地质单位</errorWord>
      <group>L1_Knowledge</group>
      <groupName>知识性问题</groupName>
      <ability>L2_Term</ability>
      <abilityName>专业术语</abilityName>
      <candidateList>
        <item>水文地质单元</item>
      </candidateList>
      <explain/>
      <paraID>491179D1</paraID>
      <start>4</start>
      <end>10</end>
      <status>unmodified</status>
      <modifiedWord/>
      <trackRevisions>false</trackRevisions>
    </reviewItem>
    <reviewItem>
      <errorID>725f9c00-23ff-4213-9857-271edcb9bd63</errorID>
      <errorWord>硫磺</errorWord>
      <group>L1_Word</group>
      <groupName>字词问题</groupName>
      <ability>L2_Typo</ability>
      <abilityName>字词错误</abilityName>
      <candidateList>
        <item>硫黄</item>
      </candidateList>
      <explain/>
      <paraID>27563BE5</paraID>
      <start>0</start>
      <end>2</end>
      <status>unmodified</status>
      <modifiedWord/>
      <trackRevisions>false</trackRevisions>
    </reviewItem>
    <reviewItem>
      <errorID>36c26c96-d792-481e-9f9f-ac59f68671ef</errorID>
      <errorWord>水文地质单位</errorWord>
      <group>L1_Knowledge</group>
      <groupName>知识性问题</groupName>
      <ability>L2_Term</ability>
      <abilityName>专业术语</abilityName>
      <candidateList>
        <item>水文地质单元</item>
      </candidateList>
      <explain/>
      <paraID>1F7A3707</paraID>
      <start>4</start>
      <end>10</end>
      <status>unmodified</status>
      <modifiedWord/>
      <trackRevisions>false</trackRevisions>
    </reviewItem>
    <reviewItem>
      <errorID>5d4d1711-1665-4dd1-b9dc-44d08d812c21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77E25508</paraID>
      <start>0</start>
      <end>2</end>
      <status>unmodified</status>
      <modifiedWord/>
      <trackRevisions>false</trackRevisions>
    </reviewItem>
    <reviewItem>
      <errorID>566a68ac-a785-4b8a-9137-49a0fb8a9340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33968CA2</paraID>
      <start>0</start>
      <end>2</end>
      <status>unmodified</status>
      <modifiedWord/>
      <trackRevisions>false</trackRevisions>
    </reviewItem>
    <reviewItem>
      <errorID>33f63b44-06fb-4fae-90c2-ab57722ebbe8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154FDFD6</paraID>
      <start>0</start>
      <end>2</end>
      <status>unmodified</status>
      <modifiedWord/>
      <trackRevisions>false</trackRevisions>
    </reviewItem>
    <reviewItem>
      <errorID>e178105a-02fc-42fa-b0cc-11dc3741cdc1</errorID>
      <errorWord>IV类</errorWord>
      <group>L1_Knowledge</group>
      <groupName>知识性问题</groupName>
      <ability>L2_Knowledge</ability>
      <abilityName>其他知识</abilityName>
      <candidateList>
        <item>Ⅳ类</item>
      </candidateList>
      <explain/>
      <paraID>22078C78</paraID>
      <start>52</start>
      <end>55</end>
      <status>unmodified</status>
      <modifiedWord/>
      <trackRevisions>false</trackRevisions>
    </reviewItem>
    <reviewItem>
      <errorID>7364194c-9c26-4463-a042-d0fa6132dcc9</errorID>
      <errorWord>源</errorWord>
      <group>L1_Word</group>
      <groupName>字词问题</groupName>
      <ability>L2_Typo</ability>
      <abilityName>字词错误</abilityName>
      <candidateList>
        <item>源于</item>
      </candidateList>
      <explain/>
      <paraID>32302C74</paraID>
      <start>92</start>
      <end>93</end>
      <status>unmodified</status>
      <modifiedWord/>
      <trackRevisions>false</trackRevisions>
    </reviewItem>
    <reviewItem>
      <errorID>97c2bae0-8a86-4847-94df-8d082e0bc8e0</errorID>
      <errorWord>、以及</errorWord>
      <group>L1_Punc</group>
      <groupName>标点问题</groupName>
      <ability>L2_Punc</ability>
      <abilityName>标点符号检查</abilityName>
      <candidateList>
        <item>，以及</item>
      </candidateList>
      <explain>连接词前后不宜使用顿号，建议使用逗号。</explain>
      <paraID>32302C74</paraID>
      <start>134</start>
      <end>137</end>
      <status>unmodified</status>
      <modifiedWord/>
      <trackRevisions>false</trackRevisions>
    </reviewItem>
    <reviewItem>
      <errorID>b2e75039-6a09-4beb-acd5-6d8b5e9d838e</errorID>
      <errorWord>任意地</errorWord>
      <group>L1_Word</group>
      <groupName>字词问题</groupName>
      <ability>L2_Typo</ability>
      <abilityName>字词错误</abilityName>
      <candidateList>
        <item>任意</item>
      </candidateList>
      <explain/>
      <paraID> 371F18D</paraID>
      <start>100</start>
      <end>103</end>
      <status>unmodified</status>
      <modifiedWord/>
      <trackRevisions>false</trackRevisions>
    </reviewItem>
    <reviewItem>
      <errorID>2b2ee321-387f-4253-a8b8-939c1b403e9a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29A3C314</paraID>
      <start>0</start>
      <end>2</end>
      <status>unmodified</status>
      <modifiedWord/>
      <trackRevisions>false</trackRevisions>
    </reviewItem>
    <reviewItem>
      <errorID>cd175dd9-411b-4150-b5ca-c0ac57d61d96</errorID>
      <errorWord>u、</errorWord>
      <group>L1_Format</group>
      <groupName>格式问题</groupName>
      <ability>L2_Ordinal</ability>
      <abilityName>序号格式</abilityName>
      <candidateList>
        <item>u.</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6F78542A</paraID>
      <start>0</start>
      <end>2</end>
      <status>unmodified</status>
      <modifiedWord/>
      <trackRevisions>false</trackRevisions>
    </reviewItem>
    <reviewItem>
      <errorID>fcf68a41-e916-47bc-aa49-582855118353</errorID>
      <errorWord>x、</errorWord>
      <group>L1_Format</group>
      <groupName>格式问题</groupName>
      <ability>L2_Ordinal</ability>
      <abilityName>序号格式</abilityName>
      <candidateList>
        <item>x.</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7641D514</paraID>
      <start>0</start>
      <end>2</end>
      <status>unmodified</status>
      <modifiedWord/>
      <trackRevisions>false</trackRevisions>
    </reviewItem>
    <reviewItem>
      <errorID>29358fb2-9364-4e86-b329-50a0f6ac55cb</errorID>
      <errorWord>，</errorWord>
      <group>L1_Format</group>
      <groupName>格式问题</groupName>
      <ability>L2_HalfPunc</ability>
      <abilityName>全半角检查</abilityName>
      <candidateList>
        <item>, </item>
      </candidateList>
      <explain>文本全半角错误。</explain>
      <paraID>6920C52E</paraID>
      <start>4</start>
      <end>5</end>
      <status>unmodified</status>
      <modifiedWord/>
      <trackRevisions>false</trackRevisions>
    </reviewItem>
    <reviewItem>
      <errorID>6dae32fc-1f9c-4913-9b4c-fc80d365c0af</errorID>
      <errorWord>，</errorWord>
      <group>L1_Format</group>
      <groupName>格式问题</groupName>
      <ability>L2_HalfPunc</ability>
      <abilityName>全半角检查</abilityName>
      <candidateList>
        <item>, </item>
      </candidateList>
      <explain>文本全半角错误。</explain>
      <paraID>6920C52E</paraID>
      <start>16</start>
      <end>17</end>
      <status>unmodified</status>
      <modifiedWord/>
      <trackRevisions>false</trackRevisions>
    </reviewItem>
    <reviewItem>
      <errorID>ee1fe32a-e0ac-4388-8fd8-6af632bab984</errorID>
      <errorWord>，</errorWord>
      <group>L1_Format</group>
      <groupName>格式问题</groupName>
      <ability>L2_HalfPunc</ability>
      <abilityName>全半角检查</abilityName>
      <candidateList>
        <item>, </item>
      </candidateList>
      <explain>文本全半角错误。</explain>
      <paraID>29396F2C</paraID>
      <start>4</start>
      <end>5</end>
      <status>unmodified</status>
      <modifiedWord/>
      <trackRevisions>false</trackRevisions>
    </reviewItem>
    <reviewItem>
      <errorID>06d004e2-a1ad-49e2-acd3-777b466189fb</errorID>
      <errorWord>，</errorWord>
      <group>L1_Format</group>
      <groupName>格式问题</groupName>
      <ability>L2_HalfPunc</ability>
      <abilityName>全半角检查</abilityName>
      <candidateList>
        <item>, </item>
      </candidateList>
      <explain>文本全半角错误。</explain>
      <paraID>29396F2C</paraID>
      <start>16</start>
      <end>17</end>
      <status>unmodified</status>
      <modifiedWord/>
      <trackRevisions>false</trackRevisions>
    </reviewItem>
    <reviewItem>
      <errorID>c9df9b41-9b94-4d08-99ff-d868128309f3</errorID>
      <errorWord>，</errorWord>
      <group>L1_Format</group>
      <groupName>格式问题</groupName>
      <ability>L2_HalfPunc</ability>
      <abilityName>全半角检查</abilityName>
      <candidateList>
        <item>, </item>
      </candidateList>
      <explain>文本全半角错误。</explain>
      <paraID>1B6AAF52</paraID>
      <start>4</start>
      <end>5</end>
      <status>unmodified</status>
      <modifiedWord/>
      <trackRevisions>false</trackRevisions>
    </reviewItem>
    <reviewItem>
      <errorID>f7b8cd89-dca3-465d-8c99-410f94009833</errorID>
      <errorWord>，</errorWord>
      <group>L1_Format</group>
      <groupName>格式问题</groupName>
      <ability>L2_HalfPunc</ability>
      <abilityName>全半角检查</abilityName>
      <candidateList>
        <item>, </item>
      </candidateList>
      <explain>文本全半角错误。</explain>
      <paraID>1B6AAF52</paraID>
      <start>16</start>
      <end>17</end>
      <status>unmodified</status>
      <modifiedWord/>
      <trackRevisions>false</trackRevisions>
    </reviewItem>
    <reviewItem>
      <errorID>a2076e05-2df3-490c-a85a-62695b5888ff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5CBD0570</paraID>
      <start>0</start>
      <end>2</end>
      <status>unmodified</status>
      <modifiedWord/>
      <trackRevisions>false</trackRevisions>
    </reviewItem>
    <reviewItem>
      <errorID>42bc2297-9d5f-431a-ad3a-e09abd0e7c90</errorID>
      <errorWord>至至</errorWord>
      <group>L1_Word</group>
      <groupName>字词问题</groupName>
      <ability>L2_Typo</ability>
      <abilityName>字词错误</abilityName>
      <candidateList>
        <item>至</item>
      </candidateList>
      <explain>❶〈动〉到：～今｜自始～终｜～死不屈。❷至于：甚～。❸〈副〉极；最：为感谢～｜你要早来，～迟下星期内一定赶到。</explain>
      <paraID>744CC53A</paraID>
      <start>22</start>
      <end>23</end>
      <status>modified</status>
      <modifiedWord>至</modifiedWord>
      <trackRevisions>false</trackRevisions>
    </reviewItem>
    <reviewItem>
      <errorID>60554f7b-e34f-48a6-af64-a3f57cf9709c</errorID>
      <errorWord>)</errorWord>
      <group>L1_Format</group>
      <groupName>格式问题</groupName>
      <ability>L2_HalfPunc</ability>
      <abilityName>全半角检查</abilityName>
      <candidateList>
        <item>）</item>
      </candidateList>
      <explain>文本全半角错误。</explain>
      <paraID>6F01A4EC</paraID>
      <start>51</start>
      <end>52</end>
      <status>unmodified</status>
      <modifiedWord/>
      <trackRevisions>false</trackRevisions>
    </reviewItem>
    <reviewItem>
      <errorID>f7ba88cf-fcb7-49b0-9bed-a5bd02f13059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B81C5A</paraID>
      <start>0</start>
      <end>2</end>
      <status>unmodified</status>
      <modifiedWord/>
      <trackRevisions>false</trackRevisions>
    </reviewItem>
    <reviewItem>
      <errorID>f3ec3665-457f-4bda-981c-b71f6e898316</errorID>
      <errorWord>：</errorWord>
      <group>L1_Format</group>
      <groupName>格式问题</groupName>
      <ability>L2_HalfPunc</ability>
      <abilityName>全半角检查</abilityName>
      <candidateList>
        <item>:</item>
      </candidateList>
      <explain>文本全半角错误。</explain>
      <paraID>35085727</paraID>
      <start>37</start>
      <end>38</end>
      <status>unmodified</status>
      <modifiedWord/>
      <trackRevisions>false</trackRevisions>
    </reviewItem>
    <reviewItem>
      <errorID>9b68e8e9-fceb-4cdb-8cde-18be182b13b8</errorID>
      <errorWord>：</errorWord>
      <group>L1_Format</group>
      <groupName>格式问题</groupName>
      <ability>L2_HalfPunc</ability>
      <abilityName>全半角检查</abilityName>
      <candidateList>
        <item>:</item>
      </candidateList>
      <explain>文本全半角错误。</explain>
      <paraID>35085727</paraID>
      <start>48</start>
      <end>49</end>
      <status>unmodified</status>
      <modifiedWord/>
      <trackRevisions>false</trackRevisions>
    </reviewItem>
    <reviewItem>
      <errorID>ba7e93e6-f2a7-42d7-9fce-17f3ada16ab4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2E69B3D</paraID>
      <start>0</start>
      <end>2</end>
      <status>unmodified</status>
      <modifiedWord/>
      <trackRevisions>false</trackRevisions>
    </reviewItem>
    <reviewItem>
      <errorID>bac5dc59-1d3e-4ec9-956c-c0545f67b995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774D4DEF</paraID>
      <start>0</start>
      <end>2</end>
      <status>unmodified</status>
      <modifiedWord/>
      <trackRevisions>false</trackRevisions>
    </reviewItem>
    <reviewItem>
      <errorID>d96591c2-f328-4559-aceb-c3d6e228d2fe</errorID>
      <errorWord>，</errorWord>
      <group>L1_Word</group>
      <groupName>字词问题</groupName>
      <ability>L2_Typo</ability>
      <abilityName>字词错误</abilityName>
      <candidateList>
        <item>，距</item>
      </candidateList>
      <explain/>
      <paraID>6AC1E737</paraID>
      <start>227</start>
      <end>228</end>
      <status>unmodified</status>
      <modifiedWord/>
      <trackRevisions>false</trackRevisions>
    </reviewItem>
    <reviewItem>
      <errorID>e14d494a-dd03-4a2a-8596-99a14c60666e</errorID>
      <errorWord>，</errorWord>
      <group>L1_Word</group>
      <groupName>字词问题</groupName>
      <ability>L2_Typo</ability>
      <abilityName>字词错误</abilityName>
      <candidateList>
        <item>，距</item>
      </candidateList>
      <explain/>
      <paraID>2BD02AFC</paraID>
      <start>254</start>
      <end>255</end>
      <status>unmodified</status>
      <modifiedWord/>
      <trackRevisions>false</trackRevisions>
    </reviewItem>
    <reviewItem>
      <errorID>4bcce9c9-4b8e-4958-b38f-ce11b7abd965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43D0F443</paraID>
      <start>0</start>
      <end>2</end>
      <status>unmodified</status>
      <modifiedWord/>
      <trackRevisions>false</trackRevisions>
    </reviewItem>
    <reviewItem>
      <errorID>686f9124-563f-45c6-9b0f-33550267f7eb</errorID>
      <errorWord>。</errorWord>
      <group>L1_Punc</group>
      <groupName>标点问题</groupName>
      <ability>L2_Punc</ability>
      <abilityName>标点符号检查</abilityName>
      <candidateList/>
      <explain/>
      <paraID>45190F60</paraID>
      <start>1</start>
      <end>2</end>
      <status>unmodified</status>
      <modifiedWord/>
      <trackRevisions>false</trackRevisions>
    </reviewItem>
    <reviewItem>
      <errorID>95077067-bf56-4a85-9ff5-e7db9a5735f9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6D6FAB4A</paraID>
      <start>0</start>
      <end>2</end>
      <status>unmodified</status>
      <modifiedWord/>
      <trackRevisions>false</trackRevisions>
    </reviewItem>
    <reviewItem>
      <errorID>36359771-eed4-457e-a97a-516b9c47ce04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BB6F08B</paraID>
      <start>0</start>
      <end>2</end>
      <status>unmodified</status>
      <modifiedWord/>
      <trackRevisions>false</trackRevisions>
    </reviewItem>
    <reviewItem>
      <errorID>afa6d16d-0f61-4c03-a4a6-433d79e1c4c7</errorID>
      <errorWord>混浊</errorWord>
      <group>L1_Word</group>
      <groupName>字词问题</groupName>
      <ability>L2_Typo</ability>
      <abilityName>字词错误</abilityName>
      <candidateList>
        <item>浑浊</item>
      </candidateList>
      <explain>存在发音相同字词的误用。</explain>
      <paraID> 436C8D6</paraID>
      <start>36</start>
      <end>38</end>
      <status>modified</status>
      <modifiedWord>浑浊</modifiedWord>
      <trackRevisions>false</trackRevisions>
    </reviewItem>
    <reviewItem>
      <errorID>89563c44-fd90-4b49-a7b8-21c198fb01de</errorID>
      <errorWord>(</errorWord>
      <group>L1_Format</group>
      <groupName>格式问题</groupName>
      <ability>L2_HalfPunc</ability>
      <abilityName>全半角检查</abilityName>
      <candidateList>
        <item>（</item>
      </candidateList>
      <explain>文本全半角错误。</explain>
      <paraID>44C36008</paraID>
      <start>58</start>
      <end>59</end>
      <status>unmodified</status>
      <modifiedWord/>
      <trackRevisions>false</trackRevisions>
    </reviewItem>
    <reviewItem>
      <errorID>0b5863af-75e8-4946-9879-cb10baacf950</errorID>
      <errorWord>)</errorWord>
      <group>L1_Format</group>
      <groupName>格式问题</groupName>
      <ability>L2_HalfPunc</ability>
      <abilityName>全半角检查</abilityName>
      <candidateList>
        <item>）</item>
      </candidateList>
      <explain>文本全半角错误。</explain>
      <paraID>44C36008</paraID>
      <start>70</start>
      <end>71</end>
      <status>unmodified</status>
      <modifiedWord/>
      <trackRevisions>false</trackRevisions>
    </reviewItem>
    <reviewItem>
      <errorID>44d2acf9-9c2d-4e63-8868-63be46895731</errorID>
      <errorWord>(</errorWord>
      <group>L1_Format</group>
      <groupName>格式问题</groupName>
      <ability>L2_HalfPunc</ability>
      <abilityName>全半角检查</abilityName>
      <candidateList>
        <item>（</item>
      </candidateList>
      <explain>文本全半角错误。</explain>
      <paraID>5F46D916</paraID>
      <start>55</start>
      <end>56</end>
      <status>unmodified</status>
      <modifiedWord/>
      <trackRevisions>false</trackRevisions>
    </reviewItem>
    <reviewItem>
      <errorID>08d379ec-4272-41d7-9935-e2ff6b68f202</errorID>
      <errorWord>)</errorWord>
      <group>L1_Format</group>
      <groupName>格式问题</groupName>
      <ability>L2_HalfPunc</ability>
      <abilityName>全半角检查</abilityName>
      <candidateList>
        <item>）</item>
      </candidateList>
      <explain>文本全半角错误。</explain>
      <paraID>5F46D916</paraID>
      <start>69</start>
      <end>70</end>
      <status>unmodified</status>
      <modifiedWord/>
      <trackRevisions>false</trackRevisions>
    </reviewItem>
    <reviewItem>
      <errorID>d356e2ed-0900-4b72-a8db-c9c942d2ae79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16F8639A</paraID>
      <start>0</start>
      <end>2</end>
      <status>unmodified</status>
      <modifiedWord/>
      <trackRevisions>false</trackRevisions>
    </reviewItem>
    <reviewItem>
      <errorID>03ecfb15-5ffa-4cab-a13c-ad5191abf4fb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3409C2B6</paraID>
      <start>0</start>
      <end>2</end>
      <status>unmodified</status>
      <modifiedWord/>
      <trackRevisions>false</trackRevisions>
    </reviewItem>
    <reviewItem>
      <errorID>b4ffbde4-a95b-4b1f-8ee3-2c3f1fe2e0c6</errorID>
      <errorWord>（</errorWord>
      <group>L1_Punc</group>
      <groupName>标点问题</groupName>
      <ability>L2_Punc</ability>
      <abilityName>标点符号检查</abilityName>
      <candidateList/>
      <explain>同一形式括号套用。</explain>
      <paraID>1D22E3E4</paraID>
      <start>58</start>
      <end>59</end>
      <status>unmodified</status>
      <modifiedWord/>
      <trackRevisions>false</trackRevisions>
    </reviewItem>
    <reviewItem>
      <errorID>c571df1b-c03b-41e4-9809-ba8c92d4a186</errorID>
      <errorWord>）</errorWord>
      <group>L1_Punc</group>
      <groupName>标点问题</groupName>
      <ability>L2_Punc</ability>
      <abilityName>标点符号检查</abilityName>
      <candidateList/>
      <explain>同一形式括号套用。</explain>
      <paraID>1D22E3E4</paraID>
      <start>63</start>
      <end>64</end>
      <status>unmodified</status>
      <modifiedWord/>
      <trackRevisions>false</trackRevisions>
    </reviewItem>
    <reviewItem>
      <errorID>c8dc6aed-0f98-4e20-8e61-7687887d632b</errorID>
      <errorWord>（</errorWord>
      <group>L1_Punc</group>
      <groupName>标点问题</groupName>
      <ability>L2_Punc</ability>
      <abilityName>标点符号检查</abilityName>
      <candidateList/>
      <explain>同一形式括号套用。</explain>
      <paraID>5E8D5B12</paraID>
      <start>58</start>
      <end>59</end>
      <status>unmodified</status>
      <modifiedWord/>
      <trackRevisions>false</trackRevisions>
    </reviewItem>
    <reviewItem>
      <errorID>8c440bc0-24a3-4c62-b347-9f89957e1eec</errorID>
      <errorWord>）</errorWord>
      <group>L1_Punc</group>
      <groupName>标点问题</groupName>
      <ability>L2_Punc</ability>
      <abilityName>标点符号检查</abilityName>
      <candidateList/>
      <explain>同一形式括号套用。</explain>
      <paraID>5E8D5B12</paraID>
      <start>63</start>
      <end>64</end>
      <status>unmodified</status>
      <modifiedWord/>
      <trackRevisions>false</trackRevisions>
    </reviewItem>
    <reviewItem>
      <errorID>29cc79b3-a5d8-463d-82ed-bbb3a3598493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59CCECB</paraID>
      <start>0</start>
      <end>2</end>
      <status>unmodified</status>
      <modifiedWord/>
      <trackRevisions>false</trackRevisions>
    </reviewItem>
    <reviewItem>
      <errorID>cde7ae20-64bb-4cd0-bdb5-6f2be7549f04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92AA2DD</paraID>
      <start>0</start>
      <end>2</end>
      <status>unmodified</status>
      <modifiedWord/>
      <trackRevisions>false</trackRevisions>
    </reviewItem>
    <reviewItem>
      <errorID>784bc647-8fe1-4754-afcd-3e167eebd152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509D9862</paraID>
      <start>0</start>
      <end>2</end>
      <status>unmodified</status>
      <modifiedWord/>
      <trackRevisions>false</trackRevisions>
    </reviewItem>
    <reviewItem>
      <errorID>d037eee1-55d1-4061-aeeb-94977609c76f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A34EC88</paraID>
      <start>0</start>
      <end>2</end>
      <status>unmodified</status>
      <modifiedWord/>
      <trackRevisions>false</trackRevisions>
    </reviewItem>
    <reviewItem>
      <errorID>4aa6c039-1415-408a-a469-27cdc3ece23c</errorID>
      <errorWord>的</errorWord>
      <group>L1_Word</group>
      <groupName>字词问题</groupName>
      <ability>L2_Typo</ability>
      <abilityName>字词错误</abilityName>
      <candidateList>
        <item>的产</item>
      </candidateList>
      <explain/>
      <paraID>2B62C365</paraID>
      <start>35</start>
      <end>36</end>
      <status>unmodified</status>
      <modifiedWord/>
      <trackRevisions>false</trackRevisions>
    </reviewItem>
    <reviewItem>
      <errorID>acd70412-c9cb-4049-83b4-13c0b6e7b477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6EED70E</paraID>
      <start>0</start>
      <end>2</end>
      <status>unmodified</status>
      <modifiedWord/>
      <trackRevisions>false</trackRevisions>
    </reviewItem>
    <reviewItem>
      <errorID>e4bd6cbc-7033-4be3-af18-1e1394a75c15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CF24313</paraID>
      <start>0</start>
      <end>2</end>
      <status>unmodified</status>
      <modifiedWord/>
      <trackRevisions>false</trackRevisions>
    </reviewItem>
    <reviewItem>
      <errorID>843b4c40-6e8e-4a68-b1c4-059b44ac81e9</errorID>
      <errorWord>会议纪</errorWord>
      <group>L1_Word</group>
      <groupName>字词问题</groupName>
      <ability>L2_Typo</ability>
      <abilityName>字词错误</abilityName>
      <candidateList>
        <item>会议纪要</item>
      </candidateList>
      <explain/>
      <paraID>6D38B61E</paraID>
      <start>174</start>
      <end>177</end>
      <status>unmodified</status>
      <modifiedWord/>
      <trackRevisions>false</trackRevisions>
    </reviewItem>
    <reviewItem>
      <errorID>05f76d75-b0b3-42a0-a3c3-7f218533d5c8</errorID>
      <errorWord>广西自治区</errorWord>
      <group>L1_Knowledge</group>
      <groupName>知识性问题</groupName>
      <ability>L2_Knowledge</ability>
      <abilityName>其他知识</abilityName>
      <candidateList>
        <item>广西壮族自治区</item>
      </candidateList>
      <explain/>
      <paraID>7F08CFF2</paraID>
      <start>132</start>
      <end>137</end>
      <status>unmodified</status>
      <modifiedWord/>
      <trackRevisions>false</trackRevisions>
    </reviewItem>
    <reviewItem>
      <errorID>b72428d3-9a7c-4fb1-b10d-891a7dbfd940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6B38B28C</paraID>
      <start>0</start>
      <end>2</end>
      <status>unmodified</status>
      <modifiedWord/>
      <trackRevisions>false</trackRevisions>
    </reviewItem>
    <reviewItem>
      <errorID>9d7d4954-9d9a-4ac5-ae3c-bb2b4965f5f1</errorID>
      <errorWord>在在</errorWord>
      <group>L1_Word</group>
      <groupName>字词问题</groupName>
      <ability>L2_Typo</ability>
      <abilityName>字词错误</abilityName>
      <candidateList>
        <item>在</item>
      </candidateList>
      <explain>❶〈动〉存在；生存：精神永～｜留得青山～，不怕没柴烧｜父母都～。❷〈动〉表示人或事物的位置：我今天晚上不～厂里｜你的钢笔～桌子上呢。❸〈动〉留在：～职｜～位。❹〈动〉参加（某团体）；属于（某团体）：～党｜～组织。❺〈动〉在于；决定于：事～人为｜学习好，主要～自己努力。❻“在”和“所”连用，表示强调，下面多连“不”：～所不辞｜～所不惜｜～所不计｜～所难免。</explain>
      <paraID>4FA0665B</paraID>
      <start>16</start>
      <end>18</end>
      <status>unmodified</status>
      <modifiedWord/>
      <trackRevisions>false</trackRevisions>
    </reviewItem>
    <reviewItem>
      <errorID>cc92859b-4707-4ac8-8b78-dc12b71c8e9e</errorID>
      <errorWord>：</errorWord>
      <group>L1_Format</group>
      <groupName>格式问题</groupName>
      <ability>L2_HalfPunc</ability>
      <abilityName>全半角检查</abilityName>
      <candidateList>
        <item>:</item>
      </candidateList>
      <explain>文本全半角错误。</explain>
      <paraID>76AB1EDC</paraID>
      <start>3</start>
      <end>4</end>
      <status>unmodified</status>
      <modifiedWord/>
      <trackRevisions>false</trackRevisions>
    </reviewItem>
    <reviewItem>
      <errorID>2a4ead9e-3236-4394-bc36-c0dc9adb3c68</errorID>
      <errorWord>在在</errorWord>
      <group>L1_Word</group>
      <groupName>字词问题</groupName>
      <ability>L2_Typo</ability>
      <abilityName>字词错误</abilityName>
      <candidateList>
        <item>在</item>
      </candidateList>
      <explain>❶〈动〉存在；生存：精神永～｜留得青山～，不怕没柴烧｜父母都～。❷〈动〉表示人或事物的位置：我今天晚上不～厂里｜你的钢笔～桌子上呢。❸〈动〉留在：～职｜～位。❹〈动〉参加（某团体）；属于（某团体）：～党｜～组织。❺〈动〉在于；决定于：事～人为｜学习好，主要～自己努力。❻“在”和“所”连用，表示强调，下面多连“不”：～所不辞｜～所不惜｜～所不计｜～所难免。</explain>
      <paraID>57839BAE</paraID>
      <start>16</start>
      <end>18</end>
      <status>unmodified</status>
      <modifiedWord/>
      <trackRevisions>false</trackRevisions>
    </reviewItem>
    <reviewItem>
      <errorID>651a4198-2cdc-4c9a-8a6b-076056fd62e9</errorID>
      <errorWord>同行</errorWord>
      <group>L1_Word</group>
      <groupName>字词问题</groupName>
      <ability>L2_Typo</ability>
      <abilityName>字词错误</abilityName>
      <candidateList>
        <item>通行</item>
      </candidateList>
      <explain/>
      <paraID>1FC99B8E</paraID>
      <start>108</start>
      <end>110</end>
      <status>unmodified</status>
      <modifiedWord/>
      <trackRevisions>false</trackRevisions>
    </reviewItem>
    <reviewItem>
      <errorID>882c04f2-328d-4977-ba7d-4dfd70f8f1ae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428586CD</paraID>
      <start>0</start>
      <end>2</end>
      <status>unmodified</status>
      <modifiedWord/>
      <trackRevisions>false</trackRevisions>
    </reviewItem>
    <reviewItem>
      <errorID>2612c252-bb07-4327-b685-71efd6a4684d</errorID>
      <errorWord>)</errorWord>
      <group>L1_Format</group>
      <groupName>格式问题</groupName>
      <ability>L2_HalfPunc</ability>
      <abilityName>全半角检查</abilityName>
      <candidateList>
        <item>）</item>
      </candidateList>
      <explain>文本全半角错误。</explain>
      <paraID>76832A5E</paraID>
      <start>19</start>
      <end>20</end>
      <status>unmodified</status>
      <modifiedWord/>
      <trackRevisions>false</trackRevisions>
    </reviewItem>
    <reviewItem>
      <errorID>d9e0d17f-7fa8-4c83-a15a-6dff705d96cd</errorID>
      <errorWord>(</errorWord>
      <group>L1_Format</group>
      <groupName>格式问题</groupName>
      <ability>L2_HalfPunc</ability>
      <abilityName>全半角检查</abilityName>
      <candidateList>
        <item>（</item>
      </candidateList>
      <explain>文本全半角错误。</explain>
      <paraID>44A6EAA8</paraID>
      <start>0</start>
      <end>1</end>
      <status>unmodified</status>
      <modifiedWord/>
      <trackRevisions>false</trackRevisions>
    </reviewItem>
    <reviewItem>
      <errorID>79c77297-a870-43c5-8e01-4ad2ccee99eb</errorID>
      <errorWord>)</errorWord>
      <group>L1_Format</group>
      <groupName>格式问题</groupName>
      <ability>L2_HalfPunc</ability>
      <abilityName>全半角检查</abilityName>
      <candidateList>
        <item>）</item>
      </candidateList>
      <explain>文本全半角错误。</explain>
      <paraID>44A6EAA8</paraID>
      <start>9</start>
      <end>10</end>
      <status>unmodified</status>
      <modifiedWord/>
      <trackRevisions>false</trackRevisions>
    </reviewItem>
    <reviewItem>
      <errorID>8b50b24c-9ed5-4070-baca-8bbbf7778f59</errorID>
      <errorWord>(</errorWord>
      <group>L1_Format</group>
      <groupName>格式问题</groupName>
      <ability>L2_HalfPunc</ability>
      <abilityName>全半角检查</abilityName>
      <candidateList>
        <item>（</item>
      </candidateList>
      <explain>文本全半角错误。</explain>
      <paraID>553C1E7A</paraID>
      <start>0</start>
      <end>1</end>
      <status>unmodified</status>
      <modifiedWord/>
      <trackRevisions>false</trackRevisions>
    </reviewItem>
    <reviewItem>
      <errorID>055a547f-5118-42a8-9a02-a1ec691579ae</errorID>
      <errorWord>)</errorWord>
      <group>L1_Format</group>
      <groupName>格式问题</groupName>
      <ability>L2_HalfPunc</ability>
      <abilityName>全半角检查</abilityName>
      <candidateList>
        <item>）</item>
      </candidateList>
      <explain>文本全半角错误。</explain>
      <paraID>553C1E7A</paraID>
      <start>15</start>
      <end>16</end>
      <status>unmodified</status>
      <modifiedWord/>
      <trackRevisions>false</trackRevisions>
    </reviewItem>
    <reviewItem>
      <errorID>b2739960-00f1-44f6-beb5-8e80721677c4</errorID>
      <errorWord>(</errorWord>
      <group>L1_Format</group>
      <groupName>格式问题</groupName>
      <ability>L2_HalfPunc</ability>
      <abilityName>全半角检查</abilityName>
      <candidateList>
        <item>（</item>
      </candidateList>
      <explain>文本全半角错误。</explain>
      <paraID>35C51D70</paraID>
      <start>0</start>
      <end>1</end>
      <status>unmodified</status>
      <modifiedWord/>
      <trackRevisions>false</trackRevisions>
    </reviewItem>
    <reviewItem>
      <errorID>bb629bbb-8828-4421-9d81-71c0a9978618</errorID>
      <errorWord>)</errorWord>
      <group>L1_Format</group>
      <groupName>格式问题</groupName>
      <ability>L2_HalfPunc</ability>
      <abilityName>全半角检查</abilityName>
      <candidateList>
        <item>）</item>
      </candidateList>
      <explain>文本全半角错误。</explain>
      <paraID>35C51D70</paraID>
      <start>14</start>
      <end>15</end>
      <status>unmodified</status>
      <modifiedWord/>
      <trackRevisions>false</trackRevisions>
    </reviewItem>
    <reviewItem>
      <errorID>dbb4d344-ecd6-4879-a279-df13ba16a005</errorID>
      <errorWord>(</errorWord>
      <group>L1_Format</group>
      <groupName>格式问题</groupName>
      <ability>L2_HalfPunc</ability>
      <abilityName>全半角检查</abilityName>
      <candidateList>
        <item>（</item>
      </candidateList>
      <explain>文本全半角错误。</explain>
      <paraID>67D3D543</paraID>
      <start>2</start>
      <end>3</end>
      <status>unmodified</status>
      <modifiedWord/>
      <trackRevisions>false</trackRevisions>
    </reviewItem>
    <reviewItem>
      <errorID>5acb7056-b8fd-46a3-8aa6-ce3be543ec50</errorID>
      <errorWord>)</errorWord>
      <group>L1_Format</group>
      <groupName>格式问题</groupName>
      <ability>L2_HalfPunc</ability>
      <abilityName>全半角检查</abilityName>
      <candidateList>
        <item>）</item>
      </candidateList>
      <explain>文本全半角错误。</explain>
      <paraID>67D3D543</paraID>
      <start>8</start>
      <end>9</end>
      <status>unmodified</status>
      <modifiedWord/>
      <trackRevisions>false</trackRevisions>
    </reviewItem>
    <reviewItem>
      <errorID>8cb055a9-b3b3-4632-9904-c4be49a2fd01</errorID>
      <errorWord>(</errorWord>
      <group>L1_Format</group>
      <groupName>格式问题</groupName>
      <ability>L2_HalfPunc</ability>
      <abilityName>全半角检查</abilityName>
      <candidateList>
        <item>（</item>
      </candidateList>
      <explain>文本全半角错误。</explain>
      <paraID>6A27C2D7</paraID>
      <start>2</start>
      <end>3</end>
      <status>unmodified</status>
      <modifiedWord/>
      <trackRevisions>false</trackRevisions>
    </reviewItem>
    <reviewItem>
      <errorID>132493d3-25af-473f-9396-a4b9d460957d</errorID>
      <errorWord>)</errorWord>
      <group>L1_Format</group>
      <groupName>格式问题</groupName>
      <ability>L2_HalfPunc</ability>
      <abilityName>全半角检查</abilityName>
      <candidateList>
        <item>）</item>
      </candidateList>
      <explain>文本全半角错误。</explain>
      <paraID>6A27C2D7</paraID>
      <start>6</start>
      <end>7</end>
      <status>unmodified</status>
      <modifiedWord/>
      <trackRevisions>false</trackRevisions>
    </reviewItem>
    <reviewItem>
      <errorID>15385c97-1050-46f3-903d-95a3c5ae303b</errorID>
      <errorWord>(</errorWord>
      <group>L1_Format</group>
      <groupName>格式问题</groupName>
      <ability>L2_HalfPunc</ability>
      <abilityName>全半角检查</abilityName>
      <candidateList>
        <item>（</item>
      </candidateList>
      <explain>文本全半角错误。</explain>
      <paraID> 8536FC8</paraID>
      <start>3</start>
      <end>4</end>
      <status>unmodified</status>
      <modifiedWord/>
      <trackRevisions>false</trackRevisions>
    </reviewItem>
    <reviewItem>
      <errorID>593cd4fb-8716-4349-8c6a-42d8f29f4b6d</errorID>
      <errorWord>)</errorWord>
      <group>L1_Format</group>
      <groupName>格式问题</groupName>
      <ability>L2_HalfPunc</ability>
      <abilityName>全半角检查</abilityName>
      <candidateList>
        <item>）</item>
      </candidateList>
      <explain>文本全半角错误。</explain>
      <paraID> 8536FC8</paraID>
      <start>7</start>
      <end>8</end>
      <status>unmodified</status>
      <modifiedWord/>
      <trackRevisions>false</trackRevisions>
    </reviewItem>
    <reviewItem>
      <errorID>958131d6-2641-445b-8859-4c178d54db6a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CC41AEF</paraID>
      <start>0</start>
      <end>2</end>
      <status>unmodified</status>
      <modifiedWord/>
      <trackRevisions>false</trackRevisions>
    </reviewItem>
    <reviewItem>
      <errorID>84343792-2524-499c-bd06-3b7a16c608af</errorID>
      <errorWord>(</errorWord>
      <group>L1_Format</group>
      <groupName>格式问题</groupName>
      <ability>L2_HalfPunc</ability>
      <abilityName>全半角检查</abilityName>
      <candidateList>
        <item>（</item>
      </candidateList>
      <explain>文本全半角错误。</explain>
      <paraID> 6EB0BA2</paraID>
      <start>190</start>
      <end>191</end>
      <status>unmodified</status>
      <modifiedWord/>
      <trackRevisions>false</trackRevisions>
    </reviewItem>
    <reviewItem>
      <errorID>351eadfa-178f-4179-b217-56441ad7fa8d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3C15F877</paraID>
      <start>0</start>
      <end>2</end>
      <status>unmodified</status>
      <modifiedWord/>
      <trackRevisions>false</trackRevisions>
    </reviewItem>
    <reviewItem>
      <errorID>688472f4-a236-419e-805a-60cb84b7fa13</errorID>
      <errorWord>(</errorWord>
      <group>L1_Format</group>
      <groupName>格式问题</groupName>
      <ability>L2_HalfPunc</ability>
      <abilityName>全半角检查</abilityName>
      <candidateList>
        <item>（</item>
      </candidateList>
      <explain>文本全半角错误。</explain>
      <paraID>10D746E8</paraID>
      <start>186</start>
      <end>187</end>
      <status>unmodified</status>
      <modifiedWord/>
      <trackRevisions>false</trackRevisions>
    </reviewItem>
    <reviewItem>
      <errorID>b11b8bd7-74b1-420d-82dc-75533f5a875b</errorID>
      <errorWord>(</errorWord>
      <group>L1_Format</group>
      <groupName>格式问题</groupName>
      <ability>L2_HalfPunc</ability>
      <abilityName>全半角检查</abilityName>
      <candidateList>
        <item>（</item>
      </candidateList>
      <explain>文本全半角错误。</explain>
      <paraID>3894F717</paraID>
      <start>22</start>
      <end>23</end>
      <status>unmodified</status>
      <modifiedWord/>
      <trackRevisions>false</trackRevisions>
    </reviewItem>
    <reviewItem>
      <errorID>928533df-55e0-41da-baff-251dbf5246ae</errorID>
      <errorWord>)</errorWord>
      <group>L1_Format</group>
      <groupName>格式问题</groupName>
      <ability>L2_HalfPunc</ability>
      <abilityName>全半角检查</abilityName>
      <candidateList>
        <item>）</item>
      </candidateList>
      <explain>文本全半角错误。</explain>
      <paraID>3894F717</paraID>
      <start>35</start>
      <end>36</end>
      <status>unmodified</status>
      <modifiedWord/>
      <trackRevisions>false</trackRevisions>
    </reviewItem>
    <reviewItem>
      <errorID>7411f937-c98d-49de-ba97-7f66ae9ef77c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56C3346F</paraID>
      <start>0</start>
      <end>2</end>
      <status>unmodified</status>
      <modifiedWord/>
      <trackRevisions>false</trackRevisions>
    </reviewItem>
    <reviewItem>
      <errorID>41b31965-8b9d-43d2-9caf-6b0236ad4386</errorID>
      <errorWord>第十四</errorWord>
      <group>L1_Word</group>
      <groupName>字词问题</groupName>
      <ability>L2_Typo</ability>
      <abilityName>字词错误</abilityName>
      <candidateList>
        <item>第十</item>
      </candidateList>
      <explain/>
      <paraID>25008499</paraID>
      <start>0</start>
      <end>3</end>
      <status>unmodified</status>
      <modifiedWord/>
      <trackRevisions>false</trackRevisions>
    </reviewItem>
    <reviewItem>
      <errorID>2c9c9f39-ee3b-4885-92ea-f15595731c1f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454380DC</paraID>
      <start>0</start>
      <end>2</end>
      <status>unmodified</status>
      <modifiedWord/>
      <trackRevisions>false</trackRevisions>
    </reviewItem>
    <reviewItem>
      <errorID>da939035-7685-49df-89f9-dbfe5d19f822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75B87DD</paraID>
      <start>0</start>
      <end>2</end>
      <status>unmodified</status>
      <modifiedWord/>
      <trackRevisions>false</trackRevisions>
    </reviewItem>
    <reviewItem>
      <errorID>c4b696f1-be00-43ee-934d-48874a64d444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360767B2</paraID>
      <start>0</start>
      <end>2</end>
      <status>unmodified</status>
      <modifiedWord/>
      <trackRevisions>false</trackRevisions>
    </reviewItem>
    <reviewItem>
      <errorID>0ba42af0-2ea5-400f-bf9b-01e22d3ebfb0</errorID>
      <errorWord>收到</errorWord>
      <group>L1_Word</group>
      <groupName>字词问题</groupName>
      <ability>L2_Typo</ability>
      <abilityName>字词错误</abilityName>
      <candidateList>
        <item>受到</item>
      </candidateList>
      <explain/>
      <paraID>61714D86</paraID>
      <start>48</start>
      <end>50</end>
      <status>modified</status>
      <modifiedWord>受到</modifiedWord>
      <trackRevisions>false</trackRevisions>
    </reviewItem>
    <reviewItem>
      <errorID>6402d2f3-6cd3-45d1-a67c-d776299c4d90</errorID>
      <errorWord>(</errorWord>
      <group>L1_Format</group>
      <groupName>格式问题</groupName>
      <ability>L2_HalfPunc</ability>
      <abilityName>全半角检查</abilityName>
      <candidateList>
        <item>（</item>
      </candidateList>
      <explain>文本全半角错误。</explain>
      <paraID> 6C74F83</paraID>
      <start>49</start>
      <end>50</end>
      <status>unmodified</status>
      <modifiedWord/>
      <trackRevisions>false</trackRevisions>
    </reviewItem>
    <reviewItem>
      <errorID>05902ac9-1fe9-45c4-97a9-bdd4fba8914b</errorID>
      <errorWord>)</errorWord>
      <group>L1_Format</group>
      <groupName>格式问题</groupName>
      <ability>L2_HalfPunc</ability>
      <abilityName>全半角检查</abilityName>
      <candidateList>
        <item>）</item>
      </candidateList>
      <explain>文本全半角错误。</explain>
      <paraID> 6C74F83</paraID>
      <start>62</start>
      <end>63</end>
      <status>unmodified</status>
      <modifiedWord/>
      <trackRevisions>false</trackRevisions>
    </reviewItem>
    <reviewItem>
      <errorID>d90f0bcd-daf5-40f7-8cce-7fe36a0bdac8</errorID>
      <errorWord>(</errorWord>
      <group>L1_Format</group>
      <groupName>格式问题</groupName>
      <ability>L2_HalfPunc</ability>
      <abilityName>全半角检查</abilityName>
      <candidateList>
        <item>（</item>
      </candidateList>
      <explain>文本全半角错误。</explain>
      <paraID> 6C74F83</paraID>
      <start>167</start>
      <end>168</end>
      <status>unmodified</status>
      <modifiedWord/>
      <trackRevisions>false</trackRevisions>
    </reviewItem>
    <reviewItem>
      <errorID>c6d35702-2bfe-44c9-a0a0-ad01abe4ba59</errorID>
      <errorWord>)</errorWord>
      <group>L1_Format</group>
      <groupName>格式问题</groupName>
      <ability>L2_HalfPunc</ability>
      <abilityName>全半角检查</abilityName>
      <candidateList>
        <item>）</item>
      </candidateList>
      <explain>文本全半角错误。</explain>
      <paraID> 6C74F83</paraID>
      <start>180</start>
      <end>181</end>
      <status>unmodified</status>
      <modifiedWord/>
      <trackRevisions>false</trackRevisions>
    </reviewItem>
    <reviewItem>
      <errorID>3631261f-3d5b-4447-a3f4-a542631a3d21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5DF865B9</paraID>
      <start>0</start>
      <end>2</end>
      <status>unmodified</status>
      <modifiedWord/>
      <trackRevisions>false</trackRevisions>
    </reviewItem>
    <reviewItem>
      <errorID>666bd767-8fde-4b2c-a665-39c8b057c81a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1CB3C96B</paraID>
      <start>0</start>
      <end>2</end>
      <status>unmodified</status>
      <modifiedWord/>
      <trackRevisions>false</trackRevisions>
    </reviewItem>
    <reviewItem>
      <errorID>c4d9e593-9445-4cd6-b63e-d676b831f7e5</errorID>
      <errorWord>但却</errorWord>
      <group>L1_Word</group>
      <groupName>字词问题</groupName>
      <ability>L2_Typo</ability>
      <abilityName>字词错误</abilityName>
      <candidateList>
        <item>但</item>
      </candidateList>
      <explain>❶〈副〉只；仅仅：～愿如此｜不求有功，～求无过｜辽阔的原野上，～见麦浪随风起伏。❷〈连〉但是：屋子小，～挺干净｜工作虽然忙，～一点也没放松学习。❸（Dàn）〈名〉姓。</explain>
      <paraID>3842E085</paraID>
      <start>212</start>
      <end>214</end>
      <status>unmodified</status>
      <modifiedWord/>
      <trackRevisions>false</trackRevisions>
    </reviewItem>
    <reviewItem>
      <errorID>934c5b68-a08b-43dc-b010-3f7022561d7f</errorID>
      <errorWord>8-13％</errorWord>
      <group>L1_Knowledge</group>
      <groupName>知识性问题</groupName>
      <ability>L2_Knowledge</ability>
      <abilityName>其他知识</abilityName>
      <candidateList>
        <item>8％—13％</item>
      </candidateList>
      <explain>1. “8-13％”中的单位“％”仅出现在后一个数字上，容易引起歧义；根据《现代汉语标点符号数字用法规范手册》，数字表示范围两边需要使用统一的格式。2. 根据标点国标 4.13 中的规则，数字、时间或地域连接符应使用（视觉上更长的）“—”或“～”。</explain>
      <paraID>3842E085</paraID>
      <start>313</start>
      <end>318</end>
      <status>unmodified</status>
      <modifiedWord/>
      <trackRevisions>false</trackRevisions>
    </reviewItem>
    <reviewItem>
      <errorID>a03ce098-6a80-4a57-bc92-1cda8cd6217b</errorID>
      <errorWord>浮游植物会</errorWord>
      <group>L1_Word</group>
      <groupName>字词问题</groupName>
      <ability>L2_Typo</ability>
      <abilityName>字词错误</abilityName>
      <candidateList>
        <item>浮游植物</item>
      </candidateList>
      <explain/>
      <paraID>3842E085</paraID>
      <start>386</start>
      <end>391</end>
      <status>unmodified</status>
      <modifiedWord/>
      <trackRevisions>false</trackRevisions>
    </reviewItem>
    <reviewItem>
      <errorID>d59c5ef0-147e-4515-adb7-018c4a0d2d56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78AC0F34</paraID>
      <start>0</start>
      <end>2</end>
      <status>unmodified</status>
      <modifiedWord/>
      <trackRevisions>false</trackRevisions>
    </reviewItem>
    <reviewItem>
      <errorID>d4c9db14-5d76-49e0-b637-8362edc40ef4</errorID>
      <errorWord>造成体</errorWord>
      <group>L1_Word</group>
      <groupName>字词问题</groupName>
      <ability>L2_Typo</ability>
      <abilityName>字词错误</abilityName>
      <candidateList>
        <item>造成</item>
      </candidateList>
      <explain/>
      <paraID>7BD02344</paraID>
      <start>183</start>
      <end>186</end>
      <status>unmodified</status>
      <modifiedWord/>
      <trackRevisions>false</trackRevisions>
    </reviewItem>
    <reviewItem>
      <errorID>9ca18729-0245-4366-abec-7b41e97483b5</errorID>
      <errorWord>影响使</errorWord>
      <group>L1_Word</group>
      <groupName>字词问题</groupName>
      <ability>L2_Typo</ability>
      <abilityName>字词错误</abilityName>
      <candidateList>
        <item>影响</item>
      </candidateList>
      <explain>❶〈动〉对别人的思想或行动起作用（如影之随形，响之应声）：父母应该用自己的模范行动去～孩子。❷〈名〉对人或事物所起的作用：这件事造成很大的～。❸〈书〉〈形〉传闻的；无根据的：模糊～之谈。</explain>
      <paraID>7BD02344</paraID>
      <start>240</start>
      <end>243</end>
      <status>unmodified</status>
      <modifiedWord/>
      <trackRevisions>false</trackRevisions>
    </reviewItem>
    <reviewItem>
      <errorID>20b4706d-48c9-4935-894c-4cb03db8f5b7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7AE5DEC3</paraID>
      <start>0</start>
      <end>2</end>
      <status>unmodified</status>
      <modifiedWord/>
      <trackRevisions>false</trackRevisions>
    </reviewItem>
    <reviewItem>
      <errorID>9fb2ceaa-3f1c-472c-8227-3f1b67992b67</errorID>
      <errorWord>粘附</errorWord>
      <group>L1_Word</group>
      <groupName>字词问题</groupName>
      <ability>L2_Alias</ability>
      <abilityName>也作/曾用词</abilityName>
      <candidateList>
        <item>黏附</item>
      </candidateList>
      <explain>词汇[粘附]为不规范表述或旧称，其规范书面表述为[黏附]。</explain>
      <paraID>111A5351</paraID>
      <start>114</start>
      <end>116</end>
      <status>unmodified</status>
      <modifiedWord/>
      <trackRevisions>false</trackRevisions>
    </reviewItem>
    <reviewItem>
      <errorID>5a7652f0-41c0-407e-b443-bc7aaeb6adbc</errorID>
      <errorWord>泥砂</errorWord>
      <group>L1_Word</group>
      <groupName>字词问题</groupName>
      <ability>L2_Typo</ability>
      <abilityName>字词错误</abilityName>
      <candidateList>
        <item>泥沙</item>
      </candidateList>
      <explain>存在发音相同字词的误用。</explain>
      <paraID>5031B02E</paraID>
      <start>97</start>
      <end>99</end>
      <status>unmodified</status>
      <modifiedWord/>
      <trackRevisions>false</trackRevisions>
    </reviewItem>
    <reviewItem>
      <errorID>654aad51-b481-4a22-9907-86ebfe79749e</errorID>
      <errorWord>网路</errorWord>
      <group>L1_Word</group>
      <groupName>字词问题</groupName>
      <ability>L2_Alias</ability>
      <abilityName>也作/曾用词</abilityName>
      <candidateList>
        <item>网络</item>
      </candidateList>
      <explain>词汇[网路]为不规范表述或旧称，其规范书面表述为[网络]。</explain>
      <paraID>5031B02E</paraID>
      <start>189</start>
      <end>191</end>
      <status>modified</status>
      <modifiedWord>网络</modifiedWord>
      <trackRevisions>false</trackRevisions>
    </reviewItem>
    <reviewItem>
      <errorID>b1f3f737-d8fc-409b-842f-9207744909b0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5777B1BE</paraID>
      <start>0</start>
      <end>2</end>
      <status>unmodified</status>
      <modifiedWord/>
      <trackRevisions>false</trackRevisions>
    </reviewItem>
    <reviewItem>
      <errorID>cd26ddcb-41bf-4ca0-9801-4f6db704842c</errorID>
      <errorWord>（</errorWord>
      <group>L1_Format</group>
      <groupName>格式问题</groupName>
      <ability>L2_HalfPunc</ability>
      <abilityName>全半角检查</abilityName>
      <candidateList>
        <item>(</item>
      </candidateList>
      <explain>文本全半角错误。</explain>
      <paraID> 4D2E94F</paraID>
      <start>1</start>
      <end>2</end>
      <status>unmodified</status>
      <modifiedWord/>
      <trackRevisions>false</trackRevisions>
    </reviewItem>
    <reviewItem>
      <errorID>a464a030-ea99-4dc3-8481-ca894938a0ed</errorID>
      <errorWord>）</errorWord>
      <group>L1_Format</group>
      <groupName>格式问题</groupName>
      <ability>L2_HalfPunc</ability>
      <abilityName>全半角检查</abilityName>
      <candidateList>
        <item>)</item>
      </candidateList>
      <explain>文本全半角错误。</explain>
      <paraID> 4D2E94F</paraID>
      <start>6</start>
      <end>7</end>
      <status>unmodified</status>
      <modifiedWord/>
      <trackRevisions>false</trackRevisions>
    </reviewItem>
    <reviewItem>
      <errorID>56be7850-6f3f-4bce-ba15-477adb334d4c</errorID>
      <errorWord>（</errorWord>
      <group>L1_Format</group>
      <groupName>格式问题</groupName>
      <ability>L2_HalfPunc</ability>
      <abilityName>全半角检查</abilityName>
      <candidateList>
        <item>(</item>
      </candidateList>
      <explain>文本全半角错误。</explain>
      <paraID>2A4D3EE9</paraID>
      <start>1</start>
      <end>2</end>
      <status>unmodified</status>
      <modifiedWord/>
      <trackRevisions>false</trackRevisions>
    </reviewItem>
    <reviewItem>
      <errorID>f3d4e98d-0657-49ff-8c73-b4bb952f2bb8</errorID>
      <errorWord>）</errorWord>
      <group>L1_Format</group>
      <groupName>格式问题</groupName>
      <ability>L2_HalfPunc</ability>
      <abilityName>全半角检查</abilityName>
      <candidateList>
        <item>)</item>
      </candidateList>
      <explain>文本全半角错误。</explain>
      <paraID>2A4D3EE9</paraID>
      <start>3</start>
      <end>4</end>
      <status>unmodified</status>
      <modifiedWord/>
      <trackRevisions>false</trackRevisions>
    </reviewItem>
    <reviewItem>
      <errorID>7706bc10-8ffc-41f8-b1fa-6fe63b6bcce3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59C907B0</paraID>
      <start>0</start>
      <end>2</end>
      <status>unmodified</status>
      <modifiedWord/>
      <trackRevisions>false</trackRevisions>
    </reviewItem>
    <reviewItem>
      <errorID>20e0c6a1-0ad0-4f34-a53f-c27bdcbb0001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3332FA76</paraID>
      <start>0</start>
      <end>2</end>
      <status>unmodified</status>
      <modifiedWord/>
      <trackRevisions>false</trackRevisions>
    </reviewItem>
    <reviewItem>
      <errorID>f6ead073-272e-4185-a17c-cfec35a497d5</errorID>
      <errorWord>湄州湾</errorWord>
      <group>L1_Word</group>
      <groupName>字词问题</groupName>
      <ability>L2_Typo</ability>
      <abilityName>字词错误</abilityName>
      <candidateList>
        <item>湄洲湾</item>
      </candidateList>
      <explain>存在发音相同字词的误用。</explain>
      <paraID>59CB1AA1</paraID>
      <start>107</start>
      <end>110</end>
      <status>unmodified</status>
      <modifiedWord/>
      <trackRevisions>false</trackRevisions>
    </reviewItem>
    <reviewItem>
      <errorID>4dc23ccf-3523-42c7-83af-24322a5a9e58</errorID>
      <errorWord>交通部</errorWord>
      <group>L1_Knowledge</group>
      <groupName>知识性问题</groupName>
      <ability>L2_Knowledge</ability>
      <abilityName>其他知识</abilityName>
      <candidateList>
        <item>交通运输部</item>
      </candidateList>
      <explain/>
      <paraID>59CB1AA1</paraID>
      <start>306</start>
      <end>311</end>
      <status>modified</status>
      <modifiedWord>交通运输部</modifiedWord>
      <trackRevisions>false</trackRevisions>
    </reviewItem>
    <reviewItem>
      <errorID>eb3dbe56-d711-4af3-921f-635936ebb4eb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79B71512</paraID>
      <start>0</start>
      <end>2</end>
      <status>unmodified</status>
      <modifiedWord/>
      <trackRevisions>false</trackRevisions>
    </reviewItem>
    <reviewItem>
      <errorID>d5ac9ccc-32d1-474a-a481-7d4e93bf5e66</errorID>
      <errorWord>噪音</errorWord>
      <group>L1_Word</group>
      <groupName>字词问题</groupName>
      <ability>L2_Alias</ability>
      <abilityName>也作/曾用词</abilityName>
      <candidateList>
        <item>噪声</item>
      </candidateList>
      <explain>词汇[噪音]为不规范表述或旧称，其规范书面表述为[噪声]。</explain>
      <paraID>27CC1154</paraID>
      <start>89</start>
      <end>91</end>
      <status>unmodified</status>
      <modifiedWord/>
      <trackRevisions>false</trackRevisions>
    </reviewItem>
    <reviewItem>
      <errorID>f04ff183-fa4d-4130-94d7-acf452006fbd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6C15423E</paraID>
      <start>0</start>
      <end>2</end>
      <status>unmodified</status>
      <modifiedWord/>
      <trackRevisions>false</trackRevisions>
    </reviewItem>
    <reviewItem>
      <errorID>2093b0d6-9dea-4a3a-883d-394b9731a1e7</errorID>
      <errorWord>～</errorWord>
      <group>L1_Format</group>
      <groupName>格式问题</groupName>
      <ability>L2_HalfPunc</ability>
      <abilityName>全半角检查</abilityName>
      <candidateList>
        <item>~</item>
      </candidateList>
      <explain>文本全半角错误。</explain>
      <paraID>3B3682BD</paraID>
      <start>1</start>
      <end>2</end>
      <status>unmodified</status>
      <modifiedWord/>
      <trackRevisions>false</trackRevisions>
    </reviewItem>
    <reviewItem>
      <errorID>1050b541-3017-4095-9868-956b9f994b1d</errorID>
      <errorWord>～</errorWord>
      <group>L1_Format</group>
      <groupName>格式问题</groupName>
      <ability>L2_HalfPunc</ability>
      <abilityName>全半角检查</abilityName>
      <candidateList>
        <item>~</item>
      </candidateList>
      <explain>文本全半角错误。</explain>
      <paraID>35425352</paraID>
      <start>1</start>
      <end>2</end>
      <status>unmodified</status>
      <modifiedWord/>
      <trackRevisions>false</trackRevisions>
    </reviewItem>
    <reviewItem>
      <errorID>6bdf0fcb-bee1-404a-8c9a-51a5f030b217</errorID>
      <errorWord>～</errorWord>
      <group>L1_Format</group>
      <groupName>格式问题</groupName>
      <ability>L2_HalfPunc</ability>
      <abilityName>全半角检查</abilityName>
      <candidateList>
        <item>~</item>
      </candidateList>
      <explain>文本全半角错误。</explain>
      <paraID>4C832F47</paraID>
      <start>2</start>
      <end>3</end>
      <status>unmodified</status>
      <modifiedWord/>
      <trackRevisions>false</trackRevisions>
    </reviewItem>
    <reviewItem>
      <errorID>ebef538b-e6a1-4034-99b3-5f5a75954f4a</errorID>
      <errorWord>～</errorWord>
      <group>L1_Format</group>
      <groupName>格式问题</groupName>
      <ability>L2_HalfPunc</ability>
      <abilityName>全半角检查</abilityName>
      <candidateList>
        <item>~</item>
      </candidateList>
      <explain>文本全半角错误。</explain>
      <paraID>5FB9A35D</paraID>
      <start>2</start>
      <end>3</end>
      <status>unmodified</status>
      <modifiedWord/>
      <trackRevisions>false</trackRevisions>
    </reviewItem>
    <reviewItem>
      <errorID>5945f437-2380-4004-8377-23ec30acba23</errorID>
      <errorWord>～</errorWord>
      <group>L1_Format</group>
      <groupName>格式问题</groupName>
      <ability>L2_HalfPunc</ability>
      <abilityName>全半角检查</abilityName>
      <candidateList>
        <item>~</item>
      </candidateList>
      <explain>文本全半角错误。</explain>
      <paraID>33D7F188</paraID>
      <start>2</start>
      <end>3</end>
      <status>unmodified</status>
      <modifiedWord/>
      <trackRevisions>false</trackRevisions>
    </reviewItem>
    <reviewItem>
      <errorID>28de137e-5a62-44cc-93b0-f72475bc5055</errorID>
      <errorWord>～</errorWord>
      <group>L1_Format</group>
      <groupName>格式问题</groupName>
      <ability>L2_HalfPunc</ability>
      <abilityName>全半角检查</abilityName>
      <candidateList>
        <item>~</item>
      </candidateList>
      <explain>文本全半角错误。</explain>
      <paraID>7E59C312</paraID>
      <start>2</start>
      <end>3</end>
      <status>unmodified</status>
      <modifiedWord/>
      <trackRevisions>false</trackRevisions>
    </reviewItem>
    <reviewItem>
      <errorID>eec91b3c-2095-4f90-9e2a-7b0c9683124f</errorID>
      <errorWord>～</errorWord>
      <group>L1_Format</group>
      <groupName>格式问题</groupName>
      <ability>L2_HalfPunc</ability>
      <abilityName>全半角检查</abilityName>
      <candidateList>
        <item>~</item>
      </candidateList>
      <explain>文本全半角错误。</explain>
      <paraID>549D937B</paraID>
      <start>2</start>
      <end>3</end>
      <status>unmodified</status>
      <modifiedWord/>
      <trackRevisions>false</trackRevisions>
    </reviewItem>
    <reviewItem>
      <errorID>e16f141e-fde3-4a67-9f9f-dc4a358aa03e</errorID>
      <errorWord>～</errorWord>
      <group>L1_Format</group>
      <groupName>格式问题</groupName>
      <ability>L2_HalfPunc</ability>
      <abilityName>全半角检查</abilityName>
      <candidateList>
        <item>~</item>
      </candidateList>
      <explain>文本全半角错误。</explain>
      <paraID>3C2FBEF5</paraID>
      <start>2</start>
      <end>3</end>
      <status>unmodified</status>
      <modifiedWord/>
      <trackRevisions>false</trackRevisions>
    </reviewItem>
    <reviewItem>
      <errorID>3e9cb05a-0ba1-4166-91e6-3185776d9264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5E78220D</paraID>
      <start>0</start>
      <end>2</end>
      <status>unmodified</status>
      <modifiedWord/>
      <trackRevisions>false</trackRevisions>
    </reviewItem>
    <reviewItem>
      <errorID>ceac355f-0131-4b42-ba1e-1bf4c2514688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39090AFE</paraID>
      <start>0</start>
      <end>2</end>
      <status>unmodified</status>
      <modifiedWord/>
      <trackRevisions>false</trackRevisions>
    </reviewItem>
    <reviewItem>
      <errorID>6113dee5-e9d8-402a-8f64-d74d2c3fe519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3E62E741</paraID>
      <start>0</start>
      <end>2</end>
      <status>unmodified</status>
      <modifiedWord/>
      <trackRevisions>false</trackRevisions>
    </reviewItem>
    <reviewItem>
      <errorID>0d838c9b-18ac-4c84-b62d-3bd0f00cc008</errorID>
      <errorWord>如</errorWord>
      <group>L1_Word</group>
      <groupName>字词问题</groupName>
      <ability>L2_Typo</ability>
      <abilityName>字词错误</abilityName>
      <candidateList>
        <item>如下</item>
      </candidateList>
      <explain>〈动〉如同下面所叙述或列举的：列举～｜现将应注意的事情说明～。</explain>
      <paraID>4433BE85</paraID>
      <start>61</start>
      <end>62</end>
      <status>unmodified</status>
      <modifiedWord/>
      <trackRevisions>false</trackRevisions>
    </reviewItem>
    <reviewItem>
      <errorID>0a9f8686-6487-42e2-a8c9-803d3fbf51ff</errorID>
      <errorWord>II</errorWord>
      <group>L1_Knowledge</group>
      <groupName>知识性问题</groupName>
      <ability>L2_Knowledge</ability>
      <abilityName>其他知识</abilityName>
      <candidateList>
        <item>Ⅱ</item>
      </candidateList>
      <explain/>
      <paraID> 81139EC</paraID>
      <start>0</start>
      <end>2</end>
      <status>unmodified</status>
      <modifiedWord/>
      <trackRevisions>false</trackRevisions>
    </reviewItem>
    <reviewItem>
      <errorID>8b1b6327-37b0-4169-a7ef-713da5fbe222</errorID>
      <errorWord>～</errorWord>
      <group>L1_Format</group>
      <groupName>格式问题</groupName>
      <ability>L2_HalfPunc</ability>
      <abilityName>全半角检查</abilityName>
      <candidateList>
        <item>~</item>
      </candidateList>
      <explain>文本全半角错误。</explain>
      <paraID>17E7C23E</paraID>
      <start>2</start>
      <end>3</end>
      <status>unmodified</status>
      <modifiedWord/>
      <trackRevisions>false</trackRevisions>
    </reviewItem>
    <reviewItem>
      <errorID>f376799a-0df3-4bfd-945e-cc5a4e24b57d</errorID>
      <errorWord>III</errorWord>
      <group>L1_Knowledge</group>
      <groupName>知识性问题</groupName>
      <ability>L2_Knowledge</ability>
      <abilityName>其他知识</abilityName>
      <candidateList>
        <item>Ⅲ</item>
      </candidateList>
      <explain/>
      <paraID>5BDCD2FD</paraID>
      <start>0</start>
      <end>3</end>
      <status>unmodified</status>
      <modifiedWord/>
      <trackRevisions>false</trackRevisions>
    </reviewItem>
    <reviewItem>
      <errorID>f102a1f1-1010-4423-b09e-7dcec2ae2c34</errorID>
      <errorWord>IV</errorWord>
      <group>L1_Knowledge</group>
      <groupName>知识性问题</groupName>
      <ability>L2_Knowledge</ability>
      <abilityName>其他知识</abilityName>
      <candidateList>
        <item>Ⅳ</item>
      </candidateList>
      <explain/>
      <paraID>175C1D9F</paraID>
      <start>0</start>
      <end>2</end>
      <status>unmodified</status>
      <modifiedWord/>
      <trackRevisions>false</trackRevisions>
    </reviewItem>
    <reviewItem>
      <errorID>0ba1b059-68b3-4f53-af3b-7c6e944d3f50</errorID>
      <errorWord>见</errorWord>
      <group>L1_Word</group>
      <groupName>字词问题</groupName>
      <ability>L2_Typo</ability>
      <abilityName>字词错误</abilityName>
      <candidateList>
        <item>见下</item>
      </candidateList>
      <explain/>
      <paraID>68BFE5D9</paraID>
      <start>21</start>
      <end>22</end>
      <status>unmodified</status>
      <modifiedWord/>
      <trackRevisions>false</trackRevisions>
    </reviewItem>
    <reviewItem>
      <errorID>c652fbc3-1b69-44e8-aa15-a27e1a32fc2c</errorID>
      <errorWord>（</errorWord>
      <group>L1_Format</group>
      <groupName>格式问题</groupName>
      <ability>L2_HalfPunc</ability>
      <abilityName>全半角检查</abilityName>
      <candidateList>
        <item>(</item>
      </candidateList>
      <explain>文本全半角错误。</explain>
      <paraID>7A671986</paraID>
      <start>0</start>
      <end>1</end>
      <status>unmodified</status>
      <modifiedWord/>
      <trackRevisions>false</trackRevisions>
    </reviewItem>
    <reviewItem>
      <errorID>8bf09bf0-a8b3-475a-8e01-1dfa0128abba</errorID>
      <errorWord>）</errorWord>
      <group>L1_Format</group>
      <groupName>格式问题</groupName>
      <ability>L2_HalfPunc</ability>
      <abilityName>全半角检查</abilityName>
      <candidateList>
        <item>)</item>
      </candidateList>
      <explain>文本全半角错误。</explain>
      <paraID>7A671986</paraID>
      <start>4</start>
      <end>5</end>
      <status>unmodified</status>
      <modifiedWord/>
      <trackRevisions>false</trackRevisions>
    </reviewItem>
    <reviewItem>
      <errorID>21b5c53c-2de4-4a63-a922-ed5d8f16be9b</errorID>
      <errorWord>（</errorWord>
      <group>L1_Format</group>
      <groupName>格式问题</groupName>
      <ability>L2_HalfPunc</ability>
      <abilityName>全半角检查</abilityName>
      <candidateList>
        <item>(</item>
      </candidateList>
      <explain>文本全半角错误。</explain>
      <paraID>3FFFA480</paraID>
      <start>0</start>
      <end>1</end>
      <status>unmodified</status>
      <modifiedWord/>
      <trackRevisions>false</trackRevisions>
    </reviewItem>
    <reviewItem>
      <errorID>c9435b67-b3b5-4fba-a443-28dfaf369172</errorID>
      <errorWord>）</errorWord>
      <group>L1_Format</group>
      <groupName>格式问题</groupName>
      <ability>L2_HalfPunc</ability>
      <abilityName>全半角检查</abilityName>
      <candidateList>
        <item>)</item>
      </candidateList>
      <explain>文本全半角错误。</explain>
      <paraID>3FFFA480</paraID>
      <start>2</start>
      <end>3</end>
      <status>unmodified</status>
      <modifiedWord/>
      <trackRevisions>false</trackRevisions>
    </reviewItem>
    <reviewItem>
      <errorID>56710998-f6ef-4015-85aa-4149a2acf081</errorID>
      <errorWord>（</errorWord>
      <group>L1_Format</group>
      <groupName>格式问题</groupName>
      <ability>L2_HalfPunc</ability>
      <abilityName>全半角检查</abilityName>
      <candidateList>
        <item>(</item>
      </candidateList>
      <explain>文本全半角错误。</explain>
      <paraID>6F5FF0B7</paraID>
      <start>0</start>
      <end>1</end>
      <status>unmodified</status>
      <modifiedWord/>
      <trackRevisions>false</trackRevisions>
    </reviewItem>
    <reviewItem>
      <errorID>ef02d82e-7eee-4fbd-bbbd-554fcccdded9</errorID>
      <errorWord>）</errorWord>
      <group>L1_Format</group>
      <groupName>格式问题</groupName>
      <ability>L2_HalfPunc</ability>
      <abilityName>全半角检查</abilityName>
      <candidateList>
        <item>)</item>
      </candidateList>
      <explain>文本全半角错误。</explain>
      <paraID>6F5FF0B7</paraID>
      <start>4</start>
      <end>5</end>
      <status>unmodified</status>
      <modifiedWord/>
      <trackRevisions>false</trackRevisions>
    </reviewItem>
    <reviewItem>
      <errorID>c23f83ff-b778-4590-90da-a9ee9d6f07ab</errorID>
      <errorWord>（</errorWord>
      <group>L1_Format</group>
      <groupName>格式问题</groupName>
      <ability>L2_HalfPunc</ability>
      <abilityName>全半角检查</abilityName>
      <candidateList>
        <item>(</item>
      </candidateList>
      <explain>文本全半角错误。</explain>
      <paraID>4FDD51D6</paraID>
      <start>0</start>
      <end>1</end>
      <status>unmodified</status>
      <modifiedWord/>
      <trackRevisions>false</trackRevisions>
    </reviewItem>
    <reviewItem>
      <errorID>730bc7c1-b4e7-41da-b29b-bcb792b90aba</errorID>
      <errorWord>）</errorWord>
      <group>L1_Format</group>
      <groupName>格式问题</groupName>
      <ability>L2_HalfPunc</ability>
      <abilityName>全半角检查</abilityName>
      <candidateList>
        <item>)</item>
      </candidateList>
      <explain>文本全半角错误。</explain>
      <paraID>4FDD51D6</paraID>
      <start>2</start>
      <end>3</end>
      <status>unmodified</status>
      <modifiedWord/>
      <trackRevisions>false</trackRevisions>
    </reviewItem>
    <reviewItem>
      <errorID>cd586299-a362-471a-8734-14201efdab7f</errorID>
      <errorWord>（</errorWord>
      <group>L1_Format</group>
      <groupName>格式问题</groupName>
      <ability>L2_HalfPunc</ability>
      <abilityName>全半角检查</abilityName>
      <candidateList>
        <item>(</item>
      </candidateList>
      <explain>文本全半角错误。</explain>
      <paraID>33DEC800</paraID>
      <start>0</start>
      <end>1</end>
      <status>unmodified</status>
      <modifiedWord/>
      <trackRevisions>false</trackRevisions>
    </reviewItem>
    <reviewItem>
      <errorID>4c887098-2706-4a9a-84af-9fb15dc89ed4</errorID>
      <errorWord>）</errorWord>
      <group>L1_Format</group>
      <groupName>格式问题</groupName>
      <ability>L2_HalfPunc</ability>
      <abilityName>全半角检查</abilityName>
      <candidateList>
        <item>)</item>
      </candidateList>
      <explain>文本全半角错误。</explain>
      <paraID>33DEC800</paraID>
      <start>4</start>
      <end>5</end>
      <status>unmodified</status>
      <modifiedWord/>
      <trackRevisions>false</trackRevisions>
    </reviewItem>
    <reviewItem>
      <errorID>2d832860-ac15-4187-bfe6-87732b8a924a</errorID>
      <errorWord>（</errorWord>
      <group>L1_Format</group>
      <groupName>格式问题</groupName>
      <ability>L2_HalfPunc</ability>
      <abilityName>全半角检查</abilityName>
      <candidateList>
        <item>(</item>
      </candidateList>
      <explain>文本全半角错误。</explain>
      <paraID>3FD2471C</paraID>
      <start>0</start>
      <end>1</end>
      <status>unmodified</status>
      <modifiedWord/>
      <trackRevisions>false</trackRevisions>
    </reviewItem>
    <reviewItem>
      <errorID>2ded466e-7c20-43c7-ad88-9422c57a136e</errorID>
      <errorWord>）</errorWord>
      <group>L1_Format</group>
      <groupName>格式问题</groupName>
      <ability>L2_HalfPunc</ability>
      <abilityName>全半角检查</abilityName>
      <candidateList>
        <item>)</item>
      </candidateList>
      <explain>文本全半角错误。</explain>
      <paraID>3FD2471C</paraID>
      <start>2</start>
      <end>3</end>
      <status>unmodified</status>
      <modifiedWord/>
      <trackRevisions>false</trackRevisions>
    </reviewItem>
    <reviewItem>
      <errorID>82b1160d-0255-4764-a401-023f6066c70a</errorID>
      <errorWord>（</errorWord>
      <group>L1_Format</group>
      <groupName>格式问题</groupName>
      <ability>L2_HalfPunc</ability>
      <abilityName>全半角检查</abilityName>
      <candidateList>
        <item>(</item>
      </candidateList>
      <explain>文本全半角错误。</explain>
      <paraID>46C1C1E7</paraID>
      <start>0</start>
      <end>1</end>
      <status>unmodified</status>
      <modifiedWord/>
      <trackRevisions>false</trackRevisions>
    </reviewItem>
    <reviewItem>
      <errorID>d9ae2cc2-9a49-4570-95a9-9148d397d1e5</errorID>
      <errorWord>）</errorWord>
      <group>L1_Format</group>
      <groupName>格式问题</groupName>
      <ability>L2_HalfPunc</ability>
      <abilityName>全半角检查</abilityName>
      <candidateList>
        <item>)</item>
      </candidateList>
      <explain>文本全半角错误。</explain>
      <paraID>46C1C1E7</paraID>
      <start>2</start>
      <end>3</end>
      <status>unmodified</status>
      <modifiedWord/>
      <trackRevisions>false</trackRevisions>
    </reviewItem>
    <reviewItem>
      <errorID>c27c80d8-2c51-4c55-9695-f9e616fd8f09</errorID>
      <errorWord>（</errorWord>
      <group>L1_Format</group>
      <groupName>格式问题</groupName>
      <ability>L2_HalfPunc</ability>
      <abilityName>全半角检查</abilityName>
      <candidateList>
        <item>(</item>
      </candidateList>
      <explain>文本全半角错误。</explain>
      <paraID>7DA76C4B</paraID>
      <start>0</start>
      <end>1</end>
      <status>unmodified</status>
      <modifiedWord/>
      <trackRevisions>false</trackRevisions>
    </reviewItem>
    <reviewItem>
      <errorID>83f8f733-c7af-4db3-89b1-86bddc0e9da5</errorID>
      <errorWord>）</errorWord>
      <group>L1_Format</group>
      <groupName>格式问题</groupName>
      <ability>L2_HalfPunc</ability>
      <abilityName>全半角检查</abilityName>
      <candidateList>
        <item>)</item>
      </candidateList>
      <explain>文本全半角错误。</explain>
      <paraID>7DA76C4B</paraID>
      <start>4</start>
      <end>5</end>
      <status>unmodified</status>
      <modifiedWord/>
      <trackRevisions>false</trackRevisions>
    </reviewItem>
    <reviewItem>
      <errorID>87dfb06b-d5aa-48eb-b96c-1575abc54fab</errorID>
      <errorWord>（</errorWord>
      <group>L1_Format</group>
      <groupName>格式问题</groupName>
      <ability>L2_HalfPunc</ability>
      <abilityName>全半角检查</abilityName>
      <candidateList>
        <item>(</item>
      </candidateList>
      <explain>文本全半角错误。</explain>
      <paraID>6218EEBC</paraID>
      <start>0</start>
      <end>1</end>
      <status>unmodified</status>
      <modifiedWord/>
      <trackRevisions>false</trackRevisions>
    </reviewItem>
    <reviewItem>
      <errorID>3ee04e41-d9e9-45d7-908a-bec43e12e804</errorID>
      <errorWord>）</errorWord>
      <group>L1_Format</group>
      <groupName>格式问题</groupName>
      <ability>L2_HalfPunc</ability>
      <abilityName>全半角检查</abilityName>
      <candidateList>
        <item>)</item>
      </candidateList>
      <explain>文本全半角错误。</explain>
      <paraID>6218EEBC</paraID>
      <start>2</start>
      <end>3</end>
      <status>unmodified</status>
      <modifiedWord/>
      <trackRevisions>false</trackRevisions>
    </reviewItem>
    <reviewItem>
      <errorID>3db91bd5-37f7-4a43-9203-cf0f566cee01</errorID>
      <errorWord>（</errorWord>
      <group>L1_Format</group>
      <groupName>格式问题</groupName>
      <ability>L2_HalfPunc</ability>
      <abilityName>全半角检查</abilityName>
      <candidateList>
        <item>(</item>
      </candidateList>
      <explain>文本全半角错误。</explain>
      <paraID>4240E43A</paraID>
      <start>0</start>
      <end>1</end>
      <status>unmodified</status>
      <modifiedWord/>
      <trackRevisions>false</trackRevisions>
    </reviewItem>
    <reviewItem>
      <errorID>d0841602-5c30-4b1c-a291-231f1eba0362</errorID>
      <errorWord>）</errorWord>
      <group>L1_Format</group>
      <groupName>格式问题</groupName>
      <ability>L2_HalfPunc</ability>
      <abilityName>全半角检查</abilityName>
      <candidateList>
        <item>)</item>
      </candidateList>
      <explain>文本全半角错误。</explain>
      <paraID>4240E43A</paraID>
      <start>2</start>
      <end>3</end>
      <status>unmodified</status>
      <modifiedWord/>
      <trackRevisions>false</trackRevisions>
    </reviewItem>
    <reviewItem>
      <errorID>748d129c-bfad-4092-be78-ee4c8686716d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76D514BC</paraID>
      <start>0</start>
      <end>2</end>
      <status>unmodified</status>
      <modifiedWord/>
      <trackRevisions>false</trackRevisions>
    </reviewItem>
    <reviewItem>
      <errorID>4f16b3a5-3d1c-4531-8713-e552932ed47f</errorID>
      <errorWord>t/</errorWord>
      <group>L1_Format</group>
      <groupName>格式问题</groupName>
      <ability>L2_Ordinal</ability>
      <abilityName>序号格式</abilityName>
      <candidateList>
        <item>t.</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582D3BE3</paraID>
      <start>0</start>
      <end>2</end>
      <status>unmodified</status>
      <modifiedWord/>
      <trackRevisions>false</trackRevisions>
    </reviewItem>
    <reviewItem>
      <errorID>baad83c1-acdb-4b5a-9f21-3dbe88fdacf4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26384C6</paraID>
      <start>0</start>
      <end>2</end>
      <status>unmodified</status>
      <modifiedWord/>
      <trackRevisions>false</trackRevisions>
    </reviewItem>
    <reviewItem>
      <errorID>8cafc819-6ffc-4e18-9b15-bfa5034d98bd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7307FD9B</paraID>
      <start>0</start>
      <end>2</end>
      <status>unmodified</status>
      <modifiedWord/>
      <trackRevisions>false</trackRevisions>
    </reviewItem>
    <reviewItem>
      <errorID>fa4c2320-4941-4f96-8082-86be5194986f</errorID>
      <errorWord>n：</errorWord>
      <group>L1_Format</group>
      <groupName>格式问题</groupName>
      <ability>L2_Ordinal</ability>
      <abilityName>序号格式</abilityName>
      <candidateList>
        <item>n.</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6C405107</paraID>
      <start>0</start>
      <end>2</end>
      <status>unmodified</status>
      <modifiedWord/>
      <trackRevisions>false</trackRevisions>
    </reviewItem>
    <reviewItem>
      <errorID>cab49a78-beba-45fe-a2f7-6e7c537d5f2e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53240849</paraID>
      <start>0</start>
      <end>2</end>
      <status>unmodified</status>
      <modifiedWord/>
      <trackRevisions>false</trackRevisions>
    </reviewItem>
    <reviewItem>
      <errorID>2b1cc5b9-e94d-4ac6-b067-a65c57220a8f</errorID>
      <errorWord>水生生境</errorWord>
      <group>L1_Word</group>
      <groupName>字词问题</groupName>
      <ability>L2_Typo</ability>
      <abilityName>字词错误</abilityName>
      <candidateList>
        <item>水生环境</item>
      </candidateList>
      <explain/>
      <paraID>28962CF5</paraID>
      <start>55</start>
      <end>59</end>
      <status>unmodified</status>
      <modifiedWord/>
      <trackRevisions>false</trackRevisions>
    </reviewItem>
    <reviewItem>
      <errorID>6bfacb57-e1bc-465e-8639-ba919cea343e</errorID>
      <errorWord>，</errorWord>
      <group>L1_Word</group>
      <groupName>字词问题</groupName>
      <ability>L2_Typo</ability>
      <abilityName>字词错误</abilityName>
      <candidateList>
        <item>，在</item>
      </candidateList>
      <explain/>
      <paraID>28962CF5</paraID>
      <start>157</start>
      <end>158</end>
      <status>unmodified</status>
      <modifiedWord/>
      <trackRevisions>false</trackRevisions>
    </reviewItem>
    <reviewItem>
      <errorID>f3ebf779-02a9-4481-b418-e82344e48f11</errorID>
      <errorWord>有效地</errorWord>
      <group>L1_Word</group>
      <groupName>字词问题</groupName>
      <ability>L2_Typo</ability>
      <abilityName>字词错误</abilityName>
      <candidateList>
        <item>有效</item>
      </candidateList>
      <explain/>
      <paraID>28962CF5</paraID>
      <start>388</start>
      <end>391</end>
      <status>unmodified</status>
      <modifiedWord/>
      <trackRevisions>false</trackRevisions>
    </reviewItem>
    <reviewItem>
      <errorID>2872d5bb-25da-4640-b3c5-a1588d7ab9c6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AC05A92</paraID>
      <start>0</start>
      <end>2</end>
      <status>unmodified</status>
      <modifiedWord/>
      <trackRevisions>false</trackRevisions>
    </reviewItem>
    <reviewItem>
      <errorID>d6a605a5-3467-47cb-8705-e3ce750d5daf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4C2C3002</paraID>
      <start>0</start>
      <end>2</end>
      <status>unmodified</status>
      <modifiedWord/>
      <trackRevisions>false</trackRevisions>
    </reviewItem>
    <reviewItem>
      <errorID>c1f5ddbb-594a-4254-9f18-7cf5350734e7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6349DDC9</paraID>
      <start>0</start>
      <end>2</end>
      <status>unmodified</status>
      <modifiedWord/>
      <trackRevisions>false</trackRevisions>
    </reviewItem>
    <reviewItem>
      <errorID>57d8df88-26c3-49c1-9a56-82922d9294ab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7585ACBB</paraID>
      <start>0</start>
      <end>2</end>
      <status>unmodified</status>
      <modifiedWord/>
      <trackRevisions>false</trackRevisions>
    </reviewItem>
    <reviewItem>
      <errorID>47afb19f-b789-41be-8e48-d58a904c2721</errorID>
      <errorWord>交通部</errorWord>
      <group>L1_Knowledge</group>
      <groupName>知识性问题</groupName>
      <ability>L2_Knowledge</ability>
      <abilityName>其他知识</abilityName>
      <candidateList>
        <item>交通运输部</item>
      </candidateList>
      <explain/>
      <paraID>24407434</paraID>
      <start>4</start>
      <end>9</end>
      <status>modified</status>
      <modifiedWord>交通运输部</modifiedWord>
      <trackRevisions>false</trackRevisions>
    </reviewItem>
    <reviewItem>
      <errorID>90c8d262-7bb5-4829-b8e5-ac523d762864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7DAA77D7</paraID>
      <start>0</start>
      <end>2</end>
      <status>unmodified</status>
      <modifiedWord/>
      <trackRevisions>false</trackRevisions>
    </reviewItem>
    <reviewItem>
      <errorID>6d6191bb-5f17-44f2-85d1-6dc4b9aa1d40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7B5DD3EA</paraID>
      <start>0</start>
      <end>2</end>
      <status>unmodified</status>
      <modifiedWord/>
      <trackRevisions>false</trackRevisions>
    </reviewItem>
    <reviewItem>
      <errorID>bc1f5020-b5fb-4ba4-931a-8c19379f6334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68D1A74C</paraID>
      <start>0</start>
      <end>2</end>
      <status>unmodified</status>
      <modifiedWord/>
      <trackRevisions>false</trackRevisions>
    </reviewItem>
    <reviewItem>
      <errorID>df52a058-b50e-4f42-b951-ea62d63711f5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47616001</paraID>
      <start>0</start>
      <end>2</end>
      <status>unmodified</status>
      <modifiedWord/>
      <trackRevisions>false</trackRevisions>
    </reviewItem>
    <reviewItem>
      <errorID>1f67704a-4dd8-4287-ab4a-00e06287b6d6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25E47C4A</paraID>
      <start>0</start>
      <end>2</end>
      <status>unmodified</status>
      <modifiedWord/>
      <trackRevisions>false</trackRevisions>
    </reviewItem>
    <reviewItem>
      <errorID>01398c6d-e967-49d9-83b6-ddd10f2a9426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1CCED446</paraID>
      <start>0</start>
      <end>2</end>
      <status>unmodified</status>
      <modifiedWord/>
      <trackRevisions>false</trackRevisions>
    </reviewItem>
    <reviewItem>
      <errorID>dd6bb60a-0464-448a-881c-65e08d52467a</errorID>
      <errorWord>场</errorWord>
      <group>L1_Word</group>
      <groupName>字词问题</groupName>
      <ability>L2_Typo</ability>
      <abilityName>字词错误</abilityName>
      <candidateList>
        <item>厂</item>
      </candidateList>
      <explain>存在发音相同字词的误用。</explain>
      <paraID>65932379</paraID>
      <start>2</start>
      <end>3</end>
      <status>unmodified</status>
      <modifiedWord/>
      <trackRevisions>false</trackRevisions>
    </reviewItem>
    <reviewItem>
      <errorID>05024a98-f10f-4b72-b20b-689ace0af740</errorID>
      <errorWord>相关的其它</errorWord>
      <group>L1_Word</group>
      <groupName>字词问题</groupName>
      <ability>L2_Alias</ability>
      <abilityName>也作/曾用词</abilityName>
      <candidateList>
        <item>相关的其他</item>
      </candidateList>
      <explain>词汇[相关的其它]为不规范表述或旧称，其规范书面表述为[相关的其他]。</explain>
      <paraID>48365801</paraID>
      <start>123</start>
      <end>128</end>
      <status>modified</status>
      <modifiedWord>相关的其他</modifiedWord>
      <trackRevisions>false</trackRevisions>
    </reviewItem>
    <reviewItem>
      <errorID>b5b5b5b4-242a-4aa1-9589-a4478346c3a0</errorID>
      <errorWord>泄露</errorWord>
      <group>L1_Word</group>
      <groupName>字词问题</groupName>
      <ability>L2_Typo</ability>
      <abilityName>字词错误</abilityName>
      <candidateList>
        <item>泄漏</item>
      </candidateList>
      <explain/>
      <paraID>4FD1EA1C</paraID>
      <start>103</start>
      <end>105</end>
      <status>unmodified</status>
      <modifiedWord/>
      <trackRevisions>false</trackRevisions>
    </reviewItem>
    <reviewItem>
      <errorID>af5a1165-3c50-4c48-a839-a79569eb215a</errorID>
      <errorWord>泄露</errorWord>
      <group>L1_Word</group>
      <groupName>字词问题</groupName>
      <ability>L2_Typo</ability>
      <abilityName>字词错误</abilityName>
      <candidateList>
        <item>泄漏</item>
      </candidateList>
      <explain/>
      <paraID>4FD1EA1C</paraID>
      <start>118</start>
      <end>120</end>
      <status>unmodified</status>
      <modifiedWord/>
      <trackRevisions>false</trackRevisions>
    </reviewItem>
    <reviewItem>
      <errorID>f48aa6ec-a975-4fd8-8139-94fe1de01707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430F0A44</paraID>
      <start>0</start>
      <end>2</end>
      <status>unmodified</status>
      <modifiedWord/>
      <trackRevisions>false</trackRevisions>
    </reviewItem>
    <reviewItem>
      <errorID>237755ff-5ca3-4fcc-ad3e-0e152b068fa9</errorID>
      <errorWord>粘土</errorWord>
      <group>L1_Word</group>
      <groupName>字词问题</groupName>
      <ability>L2_Typo</ability>
      <abilityName>字词错误</abilityName>
      <candidateList>
        <item>黏土</item>
      </candidateList>
      <explain>存在发音相同字词的误用。</explain>
      <paraID>7361F54E</paraID>
      <start>93</start>
      <end>95</end>
      <status>unmodified</status>
      <modifiedWord/>
      <trackRevisions>false</trackRevisions>
    </reviewItem>
    <reviewItem>
      <errorID>5646a53c-d72e-48bb-95d6-a26999b3fdf4</errorID>
      <errorWord>泄露</errorWord>
      <group>L1_Word</group>
      <groupName>字词问题</groupName>
      <ability>L2_Typo</ability>
      <abilityName>字词错误</abilityName>
      <candidateList>
        <item>泄漏</item>
      </candidateList>
      <explain>存在发音相同字词的误用。</explain>
      <paraID>3309A13B</paraID>
      <start>34</start>
      <end>36</end>
      <status>unmodified</status>
      <modifiedWord/>
      <trackRevisions>false</trackRevisions>
    </reviewItem>
    <reviewItem>
      <errorID>a68bffb3-45d4-4dd2-992f-ff1058d459ff</errorID>
      <errorWord>为向</errorWord>
      <group>L1_Word</group>
      <groupName>字词问题</groupName>
      <ability>L2_Typo</ability>
      <abilityName>字词错误</abilityName>
      <candidateList>
        <item>为</item>
      </candidateList>
      <explain>（爲、為）wèi❶〈书〉帮助；卫护：～吕氏者右袒，～刘氏者左袒。❷〈介〉表示行为的对象；替：～你庆幸｜～人民服务｜～这本书写一篇序。❸〈介〉表示原因、目的：大家都～这件事高兴｜～建设伟大祖国而奋斗。❹〈书〉〈介〉对；向：不足～外人道。</explain>
      <paraID>3309A13B</paraID>
      <start>123</start>
      <end>125</end>
      <status>unmodified</status>
      <modifiedWord/>
      <trackRevisions>false</trackRevisions>
    </reviewItem>
    <reviewItem>
      <errorID>7563a417-3066-4bf3-9927-7b64dee9c1d5</errorID>
      <errorWord>场区</errorWord>
      <group>L1_Word</group>
      <groupName>字词问题</groupName>
      <ability>L2_Typo</ability>
      <abilityName>字词错误</abilityName>
      <candidateList>
        <item>厂区</item>
      </candidateList>
      <explain>存在发音相同字词的误用。</explain>
      <paraID>3309A13B</paraID>
      <start>156</start>
      <end>158</end>
      <status>unmodified</status>
      <modifiedWord/>
      <trackRevisions>false</trackRevisions>
    </reviewItem>
    <reviewItem>
      <errorID>0381c403-ade6-4cb0-94f1-7f4fc5dc34b5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137B15B3</paraID>
      <start>0</start>
      <end>2</end>
      <status>unmodified</status>
      <modifiedWord/>
      <trackRevisions>false</trackRevisions>
    </reviewItem>
    <reviewItem>
      <errorID>0238553e-f82e-4ea8-81f1-182260645993</errorID>
      <errorWord>泄露</errorWord>
      <group>L1_Word</group>
      <groupName>字词问题</groupName>
      <ability>L2_Typo</ability>
      <abilityName>字词错误</abilityName>
      <candidateList>
        <item>泄漏</item>
      </candidateList>
      <explain/>
      <paraID>731C54B4</paraID>
      <start>5</start>
      <end>7</end>
      <status>unmodified</status>
      <modifiedWord/>
      <trackRevisions>false</trackRevisions>
    </reviewItem>
    <reviewItem>
      <errorID>edfeb1ef-4a4c-4b49-b74d-dddfc6260875</errorID>
      <errorWord>泄露</errorWord>
      <group>L1_Word</group>
      <groupName>字词问题</groupName>
      <ability>L2_Typo</ability>
      <abilityName>字词错误</abilityName>
      <candidateList>
        <item>泄漏</item>
      </candidateList>
      <explain/>
      <paraID>73FC2F84</paraID>
      <start>84</start>
      <end>86</end>
      <status>unmodified</status>
      <modifiedWord/>
      <trackRevisions>false</trackRevisions>
    </reviewItem>
    <reviewItem>
      <errorID>3b66c5d1-a9ba-4c8e-b50e-83dd024f4070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2CB7E3B3</paraID>
      <start>0</start>
      <end>2</end>
      <status>unmodified</status>
      <modifiedWord/>
      <trackRevisions>false</trackRevisions>
    </reviewItem>
    <reviewItem>
      <errorID>d501b7b2-0b6d-4273-b71d-16b71c96e8e1</errorID>
      <errorWord>x,</errorWord>
      <group>L1_Format</group>
      <groupName>格式问题</groupName>
      <ability>L2_Ordinal</ability>
      <abilityName>序号格式</abilityName>
      <candidateList>
        <item>x.</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3F43C3AB</paraID>
      <start>4</start>
      <end>6</end>
      <status>unmodified</status>
      <modifiedWord/>
      <trackRevisions>false</trackRevisions>
    </reviewItem>
    <reviewItem>
      <errorID>7569f323-010f-4a45-be52-7c162cac192b</errorID>
      <errorWord>(</errorWord>
      <group>L1_Format</group>
      <groupName>格式问题</groupName>
      <ability>L2_HalfPunc</ability>
      <abilityName>全半角检查</abilityName>
      <candidateList>
        <item>（</item>
      </candidateList>
      <explain>文本全半角错误。</explain>
      <paraID>78966E5D</paraID>
      <start>2</start>
      <end>3</end>
      <status>unmodified</status>
      <modifiedWord/>
      <trackRevisions>false</trackRevisions>
    </reviewItem>
    <reviewItem>
      <errorID>ae9176df-a9c8-4f57-8af5-c567834176a7</errorID>
      <errorWord>)</errorWord>
      <group>L1_Format</group>
      <groupName>格式问题</groupName>
      <ability>L2_HalfPunc</ability>
      <abilityName>全半角检查</abilityName>
      <candidateList>
        <item>）</item>
      </candidateList>
      <explain>文本全半角错误。</explain>
      <paraID>78966E5D</paraID>
      <start>16</start>
      <end>17</end>
      <status>unmodified</status>
      <modifiedWord/>
      <trackRevisions>false</trackRevisions>
    </reviewItem>
    <reviewItem>
      <errorID>3e1ad398-6dd0-4502-be4b-40009022378b</errorID>
      <errorWord>（</errorWord>
      <group>L1_Format</group>
      <groupName>格式问题</groupName>
      <ability>L2_HalfPunc</ability>
      <abilityName>全半角检查</abilityName>
      <candidateList>
        <item>(</item>
      </candidateList>
      <explain>文本全半角错误。</explain>
      <paraID>46E2F71D</paraID>
      <start>0</start>
      <end>1</end>
      <status>unmodified</status>
      <modifiedWord/>
      <trackRevisions>false</trackRevisions>
    </reviewItem>
    <reviewItem>
      <errorID>703bcefb-b700-4d7b-bf40-355475a857a9</errorID>
      <errorWord>）</errorWord>
      <group>L1_Format</group>
      <groupName>格式问题</groupName>
      <ability>L2_HalfPunc</ability>
      <abilityName>全半角检查</abilityName>
      <candidateList>
        <item>)</item>
      </candidateList>
      <explain>文本全半角错误。</explain>
      <paraID>46E2F71D</paraID>
      <start>5</start>
      <end>6</end>
      <status>unmodified</status>
      <modifiedWord/>
      <trackRevisions>false</trackRevisions>
    </reviewItem>
    <reviewItem>
      <errorID>b021ab40-5f49-4e76-b38e-95f0aa4c8780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50ACA322</paraID>
      <start>0</start>
      <end>2</end>
      <status>unmodified</status>
      <modifiedWord/>
      <trackRevisions>false</trackRevisions>
    </reviewItem>
    <reviewItem>
      <errorID>615ce420-592a-425c-858c-c20648a0ad36</errorID>
      <errorWord>泄露</errorWord>
      <group>L1_Word</group>
      <groupName>字词问题</groupName>
      <ability>L2_Typo</ability>
      <abilityName>字词错误</abilityName>
      <candidateList>
        <item>泄漏</item>
      </candidateList>
      <explain>存在发音相同字词的误用。</explain>
      <paraID>46C3F734</paraID>
      <start>9</start>
      <end>11</end>
      <status>unmodified</status>
      <modifiedWord/>
      <trackRevisions>false</trackRevisions>
    </reviewItem>
    <reviewItem>
      <errorID>8be49bf7-e9b2-4aa3-864f-b34a621a0a4d</errorID>
      <errorWord>仅少数</errorWord>
      <group>L1_Word</group>
      <groupName>字词问题</groupName>
      <ability>L2_Typo</ability>
      <abilityName>字词错误</abilityName>
      <candidateList>
        <item>除少数</item>
      </candidateList>
      <explain/>
      <paraID>4CBE7B83</paraID>
      <start>115</start>
      <end>118</end>
      <status>unmodified</status>
      <modifiedWord/>
      <trackRevisions>false</trackRevisions>
    </reviewItem>
    <reviewItem>
      <errorID>4d689128-0e35-4ce8-b5e8-9992c3047936</errorID>
      <errorWord>多</errorWord>
      <group>L1_Word</group>
      <groupName>字词问题</groupName>
      <ability>L2_Typo</ability>
      <abilityName>字词错误</abilityName>
      <candidateList>
        <item>多数</item>
      </candidateList>
      <explain/>
      <paraID>4CBE7B83</paraID>
      <start>134</start>
      <end>135</end>
      <status>unmodified</status>
      <modifiedWord/>
      <trackRevisions>false</trackRevisions>
    </reviewItem>
    <reviewItem>
      <errorID>4dd6995c-2794-451d-8cee-f6f03ae5dab5</errorID>
      <errorWord>~</errorWord>
      <group>L1_Format</group>
      <groupName>格式问题</groupName>
      <ability>L2_HalfPunc</ability>
      <abilityName>全半角检查</abilityName>
      <candidateList>
        <item>～</item>
      </candidateList>
      <explain>文本全半角错误。</explain>
      <paraID>4CBE7B83</paraID>
      <start>176</start>
      <end>177</end>
      <status>unmodified</status>
      <modifiedWord/>
      <trackRevisions>false</trackRevisions>
    </reviewItem>
    <reviewItem>
      <errorID>a27533fc-a24b-4cc9-a8a9-a407094cc6e5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270D999</paraID>
      <start>0</start>
      <end>2</end>
      <status>unmodified</status>
      <modifiedWord/>
      <trackRevisions>false</trackRevisions>
    </reviewItem>
    <reviewItem>
      <errorID>dcabdebf-d224-40dc-99af-a28e064b5f27</errorID>
      <errorWord>(</errorWord>
      <group>L1_Format</group>
      <groupName>格式问题</groupName>
      <ability>L2_HalfPunc</ability>
      <abilityName>全半角检查</abilityName>
      <candidateList>
        <item>（</item>
      </candidateList>
      <explain>文本全半角错误。</explain>
      <paraID>63F4DEC3</paraID>
      <start>58</start>
      <end>59</end>
      <status>unmodified</status>
      <modifiedWord/>
      <trackRevisions>false</trackRevisions>
    </reviewItem>
    <reviewItem>
      <errorID>2b30acfe-b035-470d-8dfd-70e8aafb8414</errorID>
      <errorWord>~</errorWord>
      <group>L1_Format</group>
      <groupName>格式问题</groupName>
      <ability>L2_HalfPunc</ability>
      <abilityName>全半角检查</abilityName>
      <candidateList>
        <item>～</item>
      </candidateList>
      <explain>文本全半角错误。</explain>
      <paraID>63F4DEC3</paraID>
      <start>72</start>
      <end>73</end>
      <status>unmodified</status>
      <modifiedWord/>
      <trackRevisions>false</trackRevisions>
    </reviewItem>
    <reviewItem>
      <errorID>77116ee8-6e1e-46c6-92fa-035b15417b1d</errorID>
      <errorWord>)</errorWord>
      <group>L1_Format</group>
      <groupName>格式问题</groupName>
      <ability>L2_HalfPunc</ability>
      <abilityName>全半角检查</abilityName>
      <candidateList>
        <item>）</item>
      </candidateList>
      <explain>文本全半角错误。</explain>
      <paraID>63F4DEC3</paraID>
      <start>78</start>
      <end>79</end>
      <status>unmodified</status>
      <modifiedWord/>
      <trackRevisions>false</trackRevisions>
    </reviewItem>
    <reviewItem>
      <errorID>d63e208c-f67b-420e-95ac-29b76b94c8d1</errorID>
      <errorWord>防治</errorWord>
      <group>L1_Word</group>
      <groupName>字词问题</groupName>
      <ability>L2_Typo</ability>
      <abilityName>字词错误</abilityName>
      <candidateList>
        <item>防止</item>
      </candidateList>
      <explain>〈动〉预先设法制止（坏事发生）：～煤气中毒｜～交通事故。</explain>
      <paraID>63F4DEC3</paraID>
      <start>83</start>
      <end>85</end>
      <status>unmodified</status>
      <modifiedWord/>
      <trackRevisions>false</trackRevisions>
    </reviewItem>
    <reviewItem>
      <errorID>011e84a5-a6ee-43ec-8144-dcb432ef26bf</errorID>
      <errorWord>、且</errorWord>
      <group>L1_Word</group>
      <groupName>字词问题</groupName>
      <ability>L2_Typo</ability>
      <abilityName>字词错误</abilityName>
      <candidateList>
        <item>且</item>
      </candidateList>
      <explain>〈书〉〈连〉❶尚且：死～不怕，困难又算什么？｜君～如此，况他人乎？❷并且；而且：既高～大｜他很聪明，～十分努力，因此成绩优异。</explain>
      <paraID>63F4DEC3</paraID>
      <start>178</start>
      <end>180</end>
      <status>unmodified</status>
      <modifiedWord/>
      <trackRevisions>false</trackRevisions>
    </reviewItem>
    <reviewItem>
      <errorID>18a026f1-4315-4215-bf0b-2e397a5b6537</errorID>
      <errorWord>泄露</errorWord>
      <group>L1_Word</group>
      <groupName>字词问题</groupName>
      <ability>L2_Typo</ability>
      <abilityName>字词错误</abilityName>
      <candidateList>
        <item>泄漏</item>
      </candidateList>
      <explain>存在发音相同字词的误用。</explain>
      <paraID>1D212781</paraID>
      <start>120</start>
      <end>122</end>
      <status>unmodified</status>
      <modifiedWord/>
      <trackRevisions>false</trackRevisions>
    </reviewItem>
    <reviewItem>
      <errorID>f9600e9e-6370-44c2-b6f4-cd4ed1d51ce9</errorID>
      <errorWord>泄露</errorWord>
      <group>L1_Word</group>
      <groupName>字词问题</groupName>
      <ability>L2_Typo</ability>
      <abilityName>字词错误</abilityName>
      <candidateList>
        <item>泄漏</item>
      </candidateList>
      <explain/>
      <paraID>1D212781</paraID>
      <start>147</start>
      <end>149</end>
      <status>unmodified</status>
      <modifiedWord/>
      <trackRevisions>false</trackRevisions>
    </reviewItem>
    <reviewItem>
      <errorID>c93821f4-d472-4cd2-bd6a-27cc991086d0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7A07B936</paraID>
      <start>0</start>
      <end>2</end>
      <status>unmodified</status>
      <modifiedWord/>
      <trackRevisions>false</trackRevisions>
    </reviewItem>
    <reviewItem>
      <errorID>0fe33208-e968-4b08-a733-89cbdcea309d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1CD3D240</paraID>
      <start>0</start>
      <end>2</end>
      <status>unmodified</status>
      <modifiedWord/>
      <trackRevisions>false</trackRevisions>
    </reviewItem>
    <reviewItem>
      <errorID>2f316848-fa46-40f6-b7bd-6b350aa8421b</errorID>
      <errorWord>）</errorWord>
      <group>L1_Word</group>
      <groupName>字词问题</groupName>
      <ability>L2_Typo</ability>
      <abilityName>字词错误</abilityName>
      <candidateList>
        <item>）等</item>
      </candidateList>
      <explain/>
      <paraID>2D229567</paraID>
      <start>118</start>
      <end>119</end>
      <status>unmodified</status>
      <modifiedWord/>
      <trackRevisions>false</trackRevisions>
    </reviewItem>
    <reviewItem>
      <errorID>1a1d6ad8-790f-4104-973a-fda8367dcb99</errorID>
      <errorWord>）</errorWord>
      <group>L1_Word</group>
      <groupName>字词问题</groupName>
      <ability>L2_Typo</ability>
      <abilityName>字词错误</abilityName>
      <candidateList>
        <item>）等</item>
      </candidateList>
      <explain/>
      <paraID>2F141C83</paraID>
      <start>125</start>
      <end>126</end>
      <status>unmodified</status>
      <modifiedWord/>
      <trackRevisions>false</trackRevisions>
    </reviewItem>
    <reviewItem>
      <errorID>13ad2888-2b4f-488e-bb0a-f3238efed1eb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696D948A</paraID>
      <start>0</start>
      <end>2</end>
      <status>unmodified</status>
      <modifiedWord/>
      <trackRevisions>false</trackRevisions>
    </reviewItem>
    <reviewItem>
      <errorID>b8ddc451-af17-4e53-8a55-dc4b0f8d3c98</errorID>
      <errorWord>临近</errorWord>
      <group>L1_Word</group>
      <groupName>字词问题</groupName>
      <ability>L2_Typo</ability>
      <abilityName>字词错误</abilityName>
      <candidateList>
        <item>邻近</item>
      </candidateList>
      <explain>存在发音相同字词的误用。</explain>
      <paraID>564FA4D4</paraID>
      <start>32</start>
      <end>34</end>
      <status>modified</status>
      <modifiedWord>邻近</modifiedWord>
      <trackRevisions>false</trackRevisions>
    </reviewItem>
    <reviewItem>
      <errorID>5a83163c-0794-4b3b-acea-8525600a29a8</errorID>
      <errorWord>临近</errorWord>
      <group>L1_Word</group>
      <groupName>字词问题</groupName>
      <ability>L2_Typo</ability>
      <abilityName>字词错误</abilityName>
      <candidateList>
        <item>邻近</item>
      </candidateList>
      <explain>存在发音相同字词的误用。</explain>
      <paraID>564FA4D4</paraID>
      <start>212</start>
      <end>214</end>
      <status>modified</status>
      <modifiedWord>邻近</modifiedWord>
      <trackRevisions>false</trackRevisions>
    </reviewItem>
    <reviewItem>
      <errorID>21af6cd2-0397-4cc7-a2a6-650883d1a356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281F2064</paraID>
      <start>0</start>
      <end>2</end>
      <status>unmodified</status>
      <modifiedWord/>
      <trackRevisions>false</trackRevisions>
    </reviewItem>
    <reviewItem>
      <errorID>1d53fd6d-bd96-4e34-8897-8704956f4d5e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6E0A6390</paraID>
      <start>0</start>
      <end>2</end>
      <status>unmodified</status>
      <modifiedWord/>
      <trackRevisions>false</trackRevisions>
    </reviewItem>
    <reviewItem>
      <errorID>f834d64e-b663-4fca-b24a-d70427edf1b1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67818B53</paraID>
      <start>0</start>
      <end>2</end>
      <status>unmodified</status>
      <modifiedWord/>
      <trackRevisions>false</trackRevisions>
    </reviewItem>
    <reviewItem>
      <errorID>802381e7-dd3d-4368-83e7-be51e9b2d85f</errorID>
      <errorWord>堆场堆场</errorWord>
      <group>L1_Word</group>
      <groupName>字词问题</groupName>
      <ability>L2_Typo</ability>
      <abilityName>字词错误</abilityName>
      <candidateList>
        <item>堆场</item>
      </candidateList>
      <explain/>
      <paraID> E292350</paraID>
      <start>118</start>
      <end>120</end>
      <status>modified</status>
      <modifiedWord>堆场</modifiedWord>
      <trackRevisions>false</trackRevisions>
    </reviewItem>
    <reviewItem>
      <errorID>72b62d98-f4ab-45ec-96d3-de2b02e3a2ef</errorID>
      <errorWord>使</errorWord>
      <group>L1_Word</group>
      <groupName>字词问题</groupName>
      <ability>L2_Typo</ability>
      <abilityName>字词错误</abilityName>
      <candidateList>
        <item>时</item>
      </candidateList>
      <explain>存在发音相同字词的误用。</explain>
      <paraID> E292350</paraID>
      <start>170</start>
      <end>171</end>
      <status>unmodified</status>
      <modifiedWord/>
      <trackRevisions>false</trackRevisions>
    </reviewItem>
    <reviewItem>
      <errorID>575b4608-4a9d-4676-ba3f-2aa1dfe7e133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E084774</paraID>
      <start>0</start>
      <end>2</end>
      <status>unmodified</status>
      <modifiedWord/>
      <trackRevisions>false</trackRevisions>
    </reviewItem>
    <reviewItem>
      <errorID>9a8722e0-2001-4735-bff3-299dda3586d6</errorID>
      <errorWord>曝晒</errorWord>
      <group>L1_Word</group>
      <groupName>字词问题</groupName>
      <ability>L2_Typo</ability>
      <abilityName>字词错误</abilityName>
      <candidateList>
        <item>暴晒</item>
      </candidateList>
      <explain>〈动〉在强烈的阳光下久晒：烈日～｜洗好的丝绸衣服不宜～。</explain>
      <paraID>6EA9D320</paraID>
      <start>296</start>
      <end>298</end>
      <status>modified</status>
      <modifiedWord>暴晒</modifiedWord>
      <trackRevisions>false</trackRevisions>
    </reviewItem>
    <reviewItem>
      <errorID>f50c25de-5665-4d75-a27b-716b1e5afde4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415765A</paraID>
      <start>0</start>
      <end>2</end>
      <status>unmodified</status>
      <modifiedWord/>
      <trackRevisions>false</trackRevisions>
    </reviewItem>
    <reviewItem>
      <errorID>4fe37f4e-723e-44b5-8533-65127e2cbea6</errorID>
      <errorWord>其它</errorWord>
      <group>L1_Word</group>
      <groupName>字词问题</groupName>
      <ability>L2_Alias</ability>
      <abilityName>也作/曾用词</abilityName>
      <candidateList>
        <item>其他</item>
      </candidateList>
      <explain>词汇[其它]为不规范表述或旧称，其规范书面表述为[其他]。</explain>
      <paraID>466A1AC2</paraID>
      <start>295</start>
      <end>297</end>
      <status>modified</status>
      <modifiedWord>其他</modifiedWord>
      <trackRevisions>false</trackRevisions>
    </reviewItem>
    <reviewItem>
      <errorID>5cbb91b5-0fb2-413d-92b7-b000b4ec0b17</errorID>
      <errorWord>的粘度</errorWord>
      <group>L1_Word</group>
      <groupName>字词问题</groupName>
      <ability>L2_Alias</ability>
      <abilityName>也作/曾用词</abilityName>
      <candidateList>
        <item>的黏度</item>
      </candidateList>
      <explain>词汇[的粘度]为不规范表述或旧称，其规范书面表述为[的黏度]。</explain>
      <paraID>466A1AC2</paraID>
      <start>423</start>
      <end>426</end>
      <status>unmodified</status>
      <modifiedWord/>
      <trackRevisions>false</trackRevisions>
    </reviewItem>
    <reviewItem>
      <errorID>e5ee40c8-c330-45ad-8c4f-23888a95de64</errorID>
      <errorWord>不饱合</errorWord>
      <group>L1_Word</group>
      <groupName>字词问题</groupName>
      <ability>L2_Typo</ability>
      <abilityName>字词错误</abilityName>
      <candidateList>
        <item>不饱和</item>
      </candidateList>
      <explain/>
      <paraID>466A1AC2</paraID>
      <start>691</start>
      <end>694</end>
      <status>unmodified</status>
      <modifiedWord/>
      <trackRevisions>false</trackRevisions>
    </reviewItem>
    <reviewItem>
      <errorID>69827d5e-5d97-4178-87df-5c1cf0a6e6b6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6F9169ED</paraID>
      <start>0</start>
      <end>2</end>
      <status>unmodified</status>
      <modifiedWord/>
      <trackRevisions>false</trackRevisions>
    </reviewItem>
    <reviewItem>
      <errorID>fe9206bc-b020-4afd-b35c-330bea4c369b</errorID>
      <errorWord>磨擦</errorWord>
      <group>L1_Word</group>
      <groupName>字词问题</groupName>
      <ability>L2_Variant</ability>
      <abilityName>异形词</abilityName>
      <candidateList>
        <item>摩擦</item>
      </candidateList>
      <explain>词汇[磨擦]的规范词形写作[摩擦]。</explain>
      <paraID>3899A70E</paraID>
      <start>64</start>
      <end>66</end>
      <status>unmodified</status>
      <modifiedWord/>
      <trackRevisions>false</trackRevisions>
    </reviewItem>
    <reviewItem>
      <errorID>adb1f0d2-2b36-4483-9e4c-686ad3c98fe3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79AA8499</paraID>
      <start>0</start>
      <end>2</end>
      <status>unmodified</status>
      <modifiedWord/>
      <trackRevisions>false</trackRevisions>
    </reviewItem>
    <reviewItem>
      <errorID>a4d71954-2f07-40ae-851d-01c456198a34</errorID>
      <errorWord>磨擦</errorWord>
      <group>L1_Word</group>
      <groupName>字词问题</groupName>
      <ability>L2_Variant</ability>
      <abilityName>异形词</abilityName>
      <candidateList>
        <item>摩擦</item>
      </candidateList>
      <explain>词汇[磨擦]的规范词形写作[摩擦]。</explain>
      <paraID>1DADCA7C</paraID>
      <start>100</start>
      <end>102</end>
      <status>unmodified</status>
      <modifiedWord/>
      <trackRevisions>false</trackRevisions>
    </reviewItem>
    <reviewItem>
      <errorID>eb4ca0f8-8b96-4845-8866-2970d5857a90</errorID>
      <errorWord>磨擦</errorWord>
      <group>L1_Word</group>
      <groupName>字词问题</groupName>
      <ability>L2_Variant</ability>
      <abilityName>异形词</abilityName>
      <candidateList>
        <item>摩擦</item>
      </candidateList>
      <explain>词汇[磨擦]的规范词形写作[摩擦]。</explain>
      <paraID>1DADCA7C</paraID>
      <start>250</start>
      <end>252</end>
      <status>unmodified</status>
      <modifiedWord/>
      <trackRevisions>false</trackRevisions>
    </reviewItem>
    <reviewItem>
      <errorID>abd2226e-e47d-40bd-a0dc-480585584bf8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2F3DB5EA</paraID>
      <start>0</start>
      <end>2</end>
      <status>unmodified</status>
      <modifiedWord/>
      <trackRevisions>false</trackRevisions>
    </reviewItem>
    <reviewItem>
      <errorID>a09c5011-bc11-4195-b908-3da7e181b111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45ED3D77</paraID>
      <start>0</start>
      <end>2</end>
      <status>unmodified</status>
      <modifiedWord/>
      <trackRevisions>false</trackRevisions>
    </reviewItem>
    <reviewItem>
      <errorID>7622301d-b9f1-4006-a6ef-a2816d5ee5c5</errorID>
      <errorWord>与如</errorWord>
      <group>L1_Word</group>
      <groupName>字词问题</groupName>
      <ability>L2_Typo</ability>
      <abilityName>字词错误</abilityName>
      <candidateList>
        <item>与</item>
      </candidateList>
      <explain>（舆）yù参与：～会。</explain>
      <paraID>395BDF1D</paraID>
      <start>254</start>
      <end>256</end>
      <status>unmodified</status>
      <modifiedWord/>
      <trackRevisions>false</trackRevisions>
    </reviewItem>
    <reviewItem>
      <errorID>a4d522bf-657f-46be-9ae9-5f9ab0b52013</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148B300F</paraID>
      <start>0</start>
      <end>2</end>
      <status>unmodified</status>
      <modifiedWord/>
      <trackRevisions>false</trackRevisions>
    </reviewItem>
    <reviewItem>
      <errorID>bf6e36ec-b999-4784-a7ed-9990324fa5b3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2EFEC323</paraID>
      <start>0</start>
      <end>2</end>
      <status>unmodified</status>
      <modifiedWord/>
      <trackRevisions>false</trackRevisions>
    </reviewItem>
    <reviewItem>
      <errorID>b01cf491-516d-4460-b143-d73bf8d2e539</errorID>
      <errorWord>堆场堆场</errorWord>
      <group>L1_Word</group>
      <groupName>字词问题</groupName>
      <ability>L2_Typo</ability>
      <abilityName>字词错误</abilityName>
      <candidateList>
        <item>堆场</item>
      </candidateList>
      <explain/>
      <paraID>58450407</paraID>
      <start>110</start>
      <end>112</end>
      <status>modified</status>
      <modifiedWord>堆场</modifiedWord>
      <trackRevisions>false</trackRevisions>
    </reviewItem>
    <reviewItem>
      <errorID>0964419d-b98a-409a-a155-2ab2f94b7cc4</errorID>
      <errorWord>&lt;</errorWord>
      <group>L1_Format</group>
      <groupName>格式问题</groupName>
      <ability>L2_HalfPunc</ability>
      <abilityName>全半角检查</abilityName>
      <candidateList>
        <item>〈</item>
      </candidateList>
      <explain>文本全半角错误。</explain>
      <paraID>3FA399ED</paraID>
      <start>7</start>
      <end>8</end>
      <status>unmodified</status>
      <modifiedWord/>
      <trackRevisions>false</trackRevisions>
    </reviewItem>
    <reviewItem>
      <errorID>6483747a-d4d2-4d39-8c6f-00216975a799</errorID>
      <errorWord>&gt;</errorWord>
      <group>L1_Format</group>
      <groupName>格式问题</groupName>
      <ability>L2_HalfPunc</ability>
      <abilityName>全半角检查</abilityName>
      <candidateList>
        <item>〉</item>
      </candidateList>
      <explain>文本全半角错误。</explain>
      <paraID>3FA399ED</paraID>
      <start>22</start>
      <end>23</end>
      <status>unmodified</status>
      <modifiedWord/>
      <trackRevisions>false</trackRevisions>
    </reviewItem>
    <reviewItem>
      <errorID>5074be03-906e-4829-8648-35aeb0ba3400</errorID>
      <errorWord>环已烷</errorWord>
      <group>L1_Word</group>
      <groupName>字词问题</groupName>
      <ability>L2_Typo</ability>
      <abilityName>字词错误</abilityName>
      <candidateList>
        <item>环己烷</item>
      </candidateList>
      <explain>存在字形相近字词的误用。</explain>
      <paraID>3FA399ED</paraID>
      <start>110</start>
      <end>113</end>
      <status>modified</status>
      <modifiedWord>环己烷</modifiedWord>
      <trackRevisions>false</trackRevisions>
    </reviewItem>
    <reviewItem>
      <errorID>ae111e8c-1065-4386-921a-10b7893d9545</errorID>
      <errorWord>环已烷</errorWord>
      <group>L1_Word</group>
      <groupName>字词问题</groupName>
      <ability>L2_Typo</ability>
      <abilityName>字词错误</abilityName>
      <candidateList>
        <item>环己烷</item>
      </candidateList>
      <explain>存在字形相近字词的误用。</explain>
      <paraID>3FA399ED</paraID>
      <start>118</start>
      <end>121</end>
      <status>modified</status>
      <modifiedWord>环己烷</modifiedWord>
      <trackRevisions>false</trackRevisions>
    </reviewItem>
    <reviewItem>
      <errorID>c1f29651-ed00-426a-a1ec-359a62f736ed</errorID>
      <errorWord>(</errorWord>
      <group>L1_Format</group>
      <groupName>格式问题</groupName>
      <ability>L2_HalfPunc</ability>
      <abilityName>全半角检查</abilityName>
      <candidateList>
        <item>（</item>
      </candidateList>
      <explain>文本全半角错误。</explain>
      <paraID>3FA399ED</paraID>
      <start>158</start>
      <end>159</end>
      <status>unmodified</status>
      <modifiedWord/>
      <trackRevisions>false</trackRevisions>
    </reviewItem>
    <reviewItem>
      <errorID>85a8c8f1-f832-455d-8e26-501e28b64023</errorID>
      <errorWord>)</errorWord>
      <group>L1_Format</group>
      <groupName>格式问题</groupName>
      <ability>L2_HalfPunc</ability>
      <abilityName>全半角检查</abilityName>
      <candidateList>
        <item>）</item>
      </candidateList>
      <explain>文本全半角错误。</explain>
      <paraID>3FA399ED</paraID>
      <start>163</start>
      <end>164</end>
      <status>unmodified</status>
      <modifiedWord/>
      <trackRevisions>false</trackRevisions>
    </reviewItem>
    <reviewItem>
      <errorID>1d55d13a-fd4a-4655-9743-f5adc16366fd</errorID>
      <errorWord>(</errorWord>
      <group>L1_Format</group>
      <groupName>格式问题</groupName>
      <ability>L2_HalfPunc</ability>
      <abilityName>全半角检查</abilityName>
      <candidateList>
        <item>（</item>
      </candidateList>
      <explain>文本全半角错误。</explain>
      <paraID>3FA399ED</paraID>
      <start>195</start>
      <end>196</end>
      <status>unmodified</status>
      <modifiedWord/>
      <trackRevisions>false</trackRevisions>
    </reviewItem>
    <reviewItem>
      <errorID>c7a0ae97-873a-455a-b55b-5350046d6871</errorID>
      <errorWord>)</errorWord>
      <group>L1_Format</group>
      <groupName>格式问题</groupName>
      <ability>L2_HalfPunc</ability>
      <abilityName>全半角检查</abilityName>
      <candidateList>
        <item>）</item>
      </candidateList>
      <explain>文本全半角错误。</explain>
      <paraID>3FA399ED</paraID>
      <start>206</start>
      <end>207</end>
      <status>unmodified</status>
      <modifiedWord/>
      <trackRevisions>false</trackRevisions>
    </reviewItem>
    <reviewItem>
      <errorID>222d7cca-69be-4135-b5fb-590f54b2ed1b</errorID>
      <errorWord>二恶英</errorWord>
      <group>L1_Word</group>
      <groupName>字词问题</groupName>
      <ability>L2_Typo</ability>
      <abilityName>字词错误</abilityName>
      <candidateList>
        <item>二噁英</item>
      </candidateList>
      <explain/>
      <paraID>3FA399ED</paraID>
      <start>227</start>
      <end>230</end>
      <status>unmodified</status>
      <modifiedWord/>
      <trackRevisions>false</trackRevisions>
    </reviewItem>
    <reviewItem>
      <errorID>639f8428-688b-4033-b5b9-51339e843372</errorID>
      <errorWord>(</errorWord>
      <group>L1_Format</group>
      <groupName>格式问题</groupName>
      <ability>L2_HalfPunc</ability>
      <abilityName>全半角检查</abilityName>
      <candidateList>
        <item>（</item>
      </candidateList>
      <explain>文本全半角错误。</explain>
      <paraID>3FA399ED</paraID>
      <start>238</start>
      <end>239</end>
      <status>unmodified</status>
      <modifiedWord/>
      <trackRevisions>false</trackRevisions>
    </reviewItem>
    <reviewItem>
      <errorID>7710a86c-0e89-4b86-8d90-306a97edaffa</errorID>
      <errorWord>二恶英</errorWord>
      <group>L1_Word</group>
      <groupName>字词问题</groupName>
      <ability>L2_Typo</ability>
      <abilityName>字词错误</abilityName>
      <candidateList>
        <item>二噁英</item>
      </candidateList>
      <explain/>
      <paraID>3FA399ED</paraID>
      <start>245</start>
      <end>248</end>
      <status>unmodified</status>
      <modifiedWord/>
      <trackRevisions>false</trackRevisions>
    </reviewItem>
    <reviewItem>
      <errorID>a5e1692a-5634-412c-a42a-2080dddebd4b</errorID>
      <errorWord>)</errorWord>
      <group>L1_Format</group>
      <groupName>格式问题</groupName>
      <ability>L2_HalfPunc</ability>
      <abilityName>全半角检查</abilityName>
      <candidateList>
        <item>）</item>
      </candidateList>
      <explain>文本全半角错误。</explain>
      <paraID>3FA399ED</paraID>
      <start>248</start>
      <end>249</end>
      <status>unmodified</status>
      <modifiedWord/>
      <trackRevisions>false</trackRevisions>
    </reviewItem>
    <reviewItem>
      <errorID>4cd62b76-90a1-4055-93e3-56f81f2a94fe</errorID>
      <errorWord>马钱子碱</errorWord>
      <group>L1_Knowledge</group>
      <groupName>知识性问题</groupName>
      <ability>L2_Term</ability>
      <abilityName>专业术语</abilityName>
      <candidateList>
        <item>士的宁</item>
      </candidateList>
      <explain>医学名词[马钱子碱]为不规范表述或旧称，其规范书面表述为[士的宁]。</explain>
      <paraID>415F702E</paraID>
      <start>4</start>
      <end>8</end>
      <status>unmodified</status>
      <modifiedWord/>
      <trackRevisions>false</trackRevisions>
    </reviewItem>
    <reviewItem>
      <errorID>a2049474-592d-40fe-b402-5d6e770185f7</errorID>
      <errorWord>)</errorWord>
      <group>L1_Format</group>
      <groupName>格式问题</groupName>
      <ability>L2_HalfPunc</ability>
      <abilityName>全半角检查</abilityName>
      <candidateList>
        <item>）</item>
      </candidateList>
      <explain>文本全半角错误。</explain>
      <paraID>383043D5</paraID>
      <start>18</start>
      <end>19</end>
      <status>unmodified</status>
      <modifiedWord/>
      <trackRevisions>false</trackRevisions>
    </reviewItem>
    <reviewItem>
      <errorID>14e41f34-db04-44ff-b123-808c8eb7a4f0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3F528D6B</paraID>
      <start>0</start>
      <end>2</end>
      <status>unmodified</status>
      <modifiedWord/>
      <trackRevisions>false</trackRevisions>
    </reviewItem>
    <reviewItem>
      <errorID>d57fc9ff-5912-494d-b400-ccc81f764b68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236F6152</paraID>
      <start>214</start>
      <end>217</end>
      <status>unmodified</status>
      <modifiedWord/>
      <trackRevisions>false</trackRevisions>
    </reviewItem>
    <reviewItem>
      <errorID>f3b01fe5-3028-42da-9517-884ee4ceb677</errorID>
      <errorWord>涉及涉及</errorWord>
      <group>L1_Word</group>
      <groupName>字词问题</groupName>
      <ability>L2_Typo</ability>
      <abilityName>字词错误</abilityName>
      <candidateList>
        <item>涉及</item>
      </candidateList>
      <explain>〈动〉牵涉到；关联到：案子～好几个人｜这个问题～面很广。</explain>
      <paraID> E8B6198</paraID>
      <start>6</start>
      <end>10</end>
      <status>unmodified</status>
      <modifiedWord/>
      <trackRevisions>false</trackRevisions>
    </reviewItem>
    <reviewItem>
      <errorID>75bfeb49-cc6a-473c-a375-d501e06363ae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1ED2AFE0</paraID>
      <start>0</start>
      <end>2</end>
      <status>unmodified</status>
      <modifiedWord/>
      <trackRevisions>false</trackRevisions>
    </reviewItem>
    <reviewItem>
      <errorID>a4a210c6-95f4-4c3f-9c8e-c08d99dc817b</errorID>
      <errorWord>(</errorWord>
      <group>L1_Format</group>
      <groupName>格式问题</groupName>
      <ability>L2_HalfPunc</ability>
      <abilityName>全半角检查</abilityName>
      <candidateList>
        <item>（</item>
      </candidateList>
      <explain>文本全半角错误。</explain>
      <paraID>2A4B72B1</paraID>
      <start>5</start>
      <end>6</end>
      <status>unmodified</status>
      <modifiedWord/>
      <trackRevisions>false</trackRevisions>
    </reviewItem>
    <reviewItem>
      <errorID>0dc80e35-02b5-44f9-8060-786958da2543</errorID>
      <errorWord>)</errorWord>
      <group>L1_Format</group>
      <groupName>格式问题</groupName>
      <ability>L2_HalfPunc</ability>
      <abilityName>全半角检查</abilityName>
      <candidateList>
        <item>）</item>
      </candidateList>
      <explain>文本全半角错误。</explain>
      <paraID>2A4B72B1</paraID>
      <start>13</start>
      <end>14</end>
      <status>unmodified</status>
      <modifiedWord/>
      <trackRevisions>false</trackRevisions>
    </reviewItem>
    <reviewItem>
      <errorID>740057e0-47cf-4913-8c1b-6035288ed0e8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1A27ED7C</paraID>
      <start>17</start>
      <end>20</end>
      <status>unmodified</status>
      <modifiedWord/>
      <trackRevisions>false</trackRevisions>
    </reviewItem>
    <reviewItem>
      <errorID>5752c642-31b7-4992-a078-c4f09287ad2f</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FB9EB1E</paraID>
      <start>19</start>
      <end>22</end>
      <status>unmodified</status>
      <modifiedWord/>
      <trackRevisions>false</trackRevisions>
    </reviewItem>
    <reviewItem>
      <errorID>9b90ecd3-a8cd-454a-99aa-4672229c1f07</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6E182242</paraID>
      <start>19</start>
      <end>22</end>
      <status>unmodified</status>
      <modifiedWord/>
      <trackRevisions>false</trackRevisions>
    </reviewItem>
    <reviewItem>
      <errorID>3c6f022c-3ac6-4fd6-8ca4-d0a85819e1f0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3BC2C6C0</paraID>
      <start>0</start>
      <end>2</end>
      <status>unmodified</status>
      <modifiedWord/>
      <trackRevisions>false</trackRevisions>
    </reviewItem>
    <reviewItem>
      <errorID>cad3de3f-1fae-4a7b-95e3-cddedba87524</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2577915F</paraID>
      <start>16</start>
      <end>19</end>
      <status>unmodified</status>
      <modifiedWord/>
      <trackRevisions>false</trackRevisions>
    </reviewItem>
    <reviewItem>
      <errorID>54d0c35b-5d3d-4176-93d3-4972d18e2792</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2577915F</paraID>
      <start>37</start>
      <end>40</end>
      <status>unmodified</status>
      <modifiedWord/>
      <trackRevisions>false</trackRevisions>
    </reviewItem>
    <reviewItem>
      <errorID>a0b9351f-6caf-439c-8c6d-d56a7d4c4bed</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753C053B</paraID>
      <start>19</start>
      <end>22</end>
      <status>unmodified</status>
      <modifiedWord/>
      <trackRevisions>false</trackRevisions>
    </reviewItem>
    <reviewItem>
      <errorID>6a9a805d-acb5-4972-b4e9-d3f7fc691be3</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36BC2A55</paraID>
      <start>19</start>
      <end>22</end>
      <status>unmodified</status>
      <modifiedWord/>
      <trackRevisions>false</trackRevisions>
    </reviewItem>
    <reviewItem>
      <errorID>10e2c3c9-f120-4c29-a4e4-c7ac4236a583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3FBF0C7B</paraID>
      <start>0</start>
      <end>2</end>
      <status>unmodified</status>
      <modifiedWord/>
      <trackRevisions>false</trackRevisions>
    </reviewItem>
    <reviewItem>
      <errorID>2471dc3b-3039-401a-a938-3282e3a60ef8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7E37D86E</paraID>
      <start>0</start>
      <end>2</end>
      <status>unmodified</status>
      <modifiedWord/>
      <trackRevisions>false</trackRevisions>
    </reviewItem>
    <reviewItem>
      <errorID>8bd24499-cf59-4948-a0ab-e1dbdee403a0</errorID>
      <errorWord>橄苦岩</errorWord>
      <group>L1_Word</group>
      <groupName>字词问题</groupName>
      <ability>L2_Typo</ability>
      <abilityName>字词错误</abilityName>
      <candidateList>
        <item>橄榄岩</item>
      </candidateList>
      <explain/>
      <paraID>3EA1090E</paraID>
      <start>4</start>
      <end>7</end>
      <status>unmodified</status>
      <modifiedWord/>
      <trackRevisions>false</trackRevisions>
    </reviewItem>
    <reviewItem>
      <errorID>105395c2-db8a-4216-8252-3f90a6d3a429</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631ACC9E</paraID>
      <start>19</start>
      <end>22</end>
      <status>unmodified</status>
      <modifiedWord/>
      <trackRevisions>false</trackRevisions>
    </reviewItem>
    <reviewItem>
      <errorID>674e6c26-4032-4b3e-a5c9-9b1ecb9f0a12</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57F51FF</paraID>
      <start>19</start>
      <end>22</end>
      <status>unmodified</status>
      <modifiedWord/>
      <trackRevisions>false</trackRevisions>
    </reviewItem>
    <reviewItem>
      <errorID>72491e5f-53e3-4fc4-bae8-8a1a437443a0</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57F51FF</paraID>
      <start>37</start>
      <end>40</end>
      <status>unmodified</status>
      <modifiedWord/>
      <trackRevisions>false</trackRevisions>
    </reviewItem>
    <reviewItem>
      <errorID>507d18ad-70ee-4db7-94db-bac2ca74ea57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11BF2C31</paraID>
      <start>0</start>
      <end>2</end>
      <status>unmodified</status>
      <modifiedWord/>
      <trackRevisions>false</trackRevisions>
    </reviewItem>
    <reviewItem>
      <errorID>874bf37f-bbd7-4974-9c46-eabd96d1592e</errorID>
      <errorWord>(</errorWord>
      <group>L1_Format</group>
      <groupName>格式问题</groupName>
      <ability>L2_HalfPunc</ability>
      <abilityName>全半角检查</abilityName>
      <candidateList>
        <item>（</item>
      </candidateList>
      <explain>文本全半角错误。</explain>
      <paraID>1AB23889</paraID>
      <start>0</start>
      <end>1</end>
      <status>unmodified</status>
      <modifiedWord/>
      <trackRevisions>false</trackRevisions>
    </reviewItem>
    <reviewItem>
      <errorID>98dd2633-ad0f-4e64-99fc-28590407b6b6</errorID>
      <errorWord>)</errorWord>
      <group>L1_Format</group>
      <groupName>格式问题</groupName>
      <ability>L2_HalfPunc</ability>
      <abilityName>全半角检查</abilityName>
      <candidateList>
        <item>）</item>
      </candidateList>
      <explain>文本全半角错误。</explain>
      <paraID>1AB23889</paraID>
      <start>8</start>
      <end>9</end>
      <status>unmodified</status>
      <modifiedWord/>
      <trackRevisions>false</trackRevisions>
    </reviewItem>
    <reviewItem>
      <errorID>eb0920b8-7dbd-4032-b3db-9d9306ca3117</errorID>
      <errorWord>～</errorWord>
      <group>L1_Format</group>
      <groupName>格式问题</groupName>
      <ability>L2_HalfPunc</ability>
      <abilityName>全半角检查</abilityName>
      <candidateList>
        <item>~</item>
      </candidateList>
      <explain>文本全半角错误。</explain>
      <paraID> D75BF65</paraID>
      <start>3</start>
      <end>4</end>
      <status>unmodified</status>
      <modifiedWord/>
      <trackRevisions>false</trackRevisions>
    </reviewItem>
    <reviewItem>
      <errorID>78fe7916-4a42-4c5b-b252-334fa5075e8d</errorID>
      <errorWord>粘稠</errorWord>
      <group>L1_Word</group>
      <groupName>字词问题</groupName>
      <ability>L2_Typo</ability>
      <abilityName>字词错误</abilityName>
      <candidateList>
        <item>黏稠</item>
      </candidateList>
      <explain>存在发音相同字词的误用。</explain>
      <paraID> A8063BA</paraID>
      <start>2</start>
      <end>4</end>
      <status>unmodified</status>
      <modifiedWord/>
      <trackRevisions>false</trackRevisions>
    </reviewItem>
    <reviewItem>
      <errorID>e5667395-6aab-452f-a378-31b5befccf37</errorID>
      <errorWord>＜</errorWord>
      <group>L1_Format</group>
      <groupName>格式问题</groupName>
      <ability>L2_HalfPunc</ability>
      <abilityName>全半角检查</abilityName>
      <candidateList>
        <item>&lt;</item>
      </candidateList>
      <explain>文本全半角错误。</explain>
      <paraID>6E1F717D</paraID>
      <start>0</start>
      <end>1</end>
      <status>unmodified</status>
      <modifiedWord/>
      <trackRevisions>false</trackRevisions>
    </reviewItem>
    <reviewItem>
      <errorID>fa5acdc8-d71f-4a58-9ca1-8ab3b188f27c</errorID>
      <errorWord>橄苦岩</errorWord>
      <group>L1_Word</group>
      <groupName>字词问题</groupName>
      <ability>L2_Typo</ability>
      <abilityName>字词错误</abilityName>
      <candidateList>
        <item>橄榄岩</item>
      </candidateList>
      <explain/>
      <paraID>32C42954</paraID>
      <start>4</start>
      <end>7</end>
      <status>unmodified</status>
      <modifiedWord/>
      <trackRevisions>false</trackRevisions>
    </reviewItem>
    <reviewItem>
      <errorID>ad6b83f4-7aa3-472c-a056-32b5dbd4ca18</errorID>
      <errorWord>～</errorWord>
      <group>L1_Format</group>
      <groupName>格式问题</groupName>
      <ability>L2_HalfPunc</ability>
      <abilityName>全半角检查</abilityName>
      <candidateList>
        <item>~</item>
      </candidateList>
      <explain>文本全半角错误。</explain>
      <paraID>413483B3</paraID>
      <start>3</start>
      <end>4</end>
      <status>unmodified</status>
      <modifiedWord/>
      <trackRevisions>false</trackRevisions>
    </reviewItem>
    <reviewItem>
      <errorID>ee74ed07-ce0f-40ab-a02f-0864f9bef6a5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24E54C67</paraID>
      <start>0</start>
      <end>2</end>
      <status>unmodified</status>
      <modifiedWord/>
      <trackRevisions>false</trackRevisions>
    </reviewItem>
    <reviewItem>
      <errorID>81945918-638b-4f3a-91d3-bf64b1b082cf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382ACE7E</paraID>
      <start>0</start>
      <end>2</end>
      <status>unmodified</status>
      <modifiedWord/>
      <trackRevisions>false</trackRevisions>
    </reviewItem>
    <reviewItem>
      <errorID>2e7d1db0-9829-4a4b-9cdb-1a9f254f84ef</errorID>
      <errorWord>粘稠</errorWord>
      <group>L1_Word</group>
      <groupName>字词问题</groupName>
      <ability>L2_Typo</ability>
      <abilityName>字词错误</abilityName>
      <candidateList>
        <item>黏稠</item>
      </candidateList>
      <explain>存在发音相同字词的误用。</explain>
      <paraID>618C6772</paraID>
      <start>6</start>
      <end>8</end>
      <status>unmodified</status>
      <modifiedWord/>
      <trackRevisions>false</trackRevisions>
    </reviewItem>
    <reviewItem>
      <errorID>63a29277-46f2-46ee-8e24-ed2b0a5be13f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751EEFA3</paraID>
      <start>0</start>
      <end>2</end>
      <status>unmodified</status>
      <modifiedWord/>
      <trackRevisions>false</trackRevisions>
    </reviewItem>
    <reviewItem>
      <errorID>f7864d97-3a2b-4515-a7c0-b64409611e6d</errorID>
      <errorWord>与</errorWord>
      <group>L1_Word</group>
      <groupName>字词问题</groupName>
      <ability>L2_Typo</ability>
      <abilityName>字词错误</abilityName>
      <candidateList>
        <item>遇</item>
      </candidateList>
      <explain>存在发音相同字词的误用。</explain>
      <paraID> 4AD2C8B</paraID>
      <start>75</start>
      <end>76</end>
      <status>unmodified</status>
      <modifiedWord/>
      <trackRevisions>false</trackRevisions>
    </reviewItem>
    <reviewItem>
      <errorID>492afa75-aeaa-4e73-8fd1-6c370d347872</errorID>
      <errorWord>：</errorWord>
      <group>L1_Format</group>
      <groupName>格式问题</groupName>
      <ability>L2_HalfPunc</ability>
      <abilityName>全半角检查</abilityName>
      <candidateList>
        <item>:</item>
      </candidateList>
      <explain>文本全半角错误。</explain>
      <paraID>4B33C9BD</paraID>
      <start>11</start>
      <end>12</end>
      <status>unmodified</status>
      <modifiedWord/>
      <trackRevisions>false</trackRevisions>
    </reviewItem>
    <reviewItem>
      <errorID>a6ebc384-a6b8-43c0-b3ed-a12782cde01a</errorID>
      <errorWord>：</errorWord>
      <group>L1_Format</group>
      <groupName>格式问题</groupName>
      <ability>L2_HalfPunc</ability>
      <abilityName>全半角检查</abilityName>
      <candidateList>
        <item>:</item>
      </candidateList>
      <explain>文本全半角错误。</explain>
      <paraID>1CCF395F</paraID>
      <start>4</start>
      <end>5</end>
      <status>unmodified</status>
      <modifiedWord/>
      <trackRevisions>false</trackRevisions>
    </reviewItem>
    <reviewItem>
      <errorID>bd67d6c3-aacb-4cf6-a882-0b08319153f0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79C04D70</paraID>
      <start>0</start>
      <end>2</end>
      <status>unmodified</status>
      <modifiedWord/>
      <trackRevisions>false</trackRevisions>
    </reviewItem>
    <reviewItem>
      <errorID>87f044c0-e5cd-4031-a0f2-7342da45d7ed</errorID>
      <errorWord>：</errorWord>
      <group>L1_Format</group>
      <groupName>格式问题</groupName>
      <ability>L2_HalfPunc</ability>
      <abilityName>全半角检查</abilityName>
      <candidateList>
        <item>:</item>
      </candidateList>
      <explain>文本全半角错误。</explain>
      <paraID>61A91A7A</paraID>
      <start>9</start>
      <end>10</end>
      <status>unmodified</status>
      <modifiedWord/>
      <trackRevisions>false</trackRevisions>
    </reviewItem>
    <reviewItem>
      <errorID>e375ee16-0afc-4274-8dd4-b8f81abe827a</errorID>
      <errorWord>(</errorWord>
      <group>L1_Format</group>
      <groupName>格式问题</groupName>
      <ability>L2_HalfPunc</ability>
      <abilityName>全半角检查</abilityName>
      <candidateList>
        <item>（</item>
      </candidateList>
      <explain>文本全半角错误。</explain>
      <paraID>61A91A7A</paraID>
      <start>19</start>
      <end>20</end>
      <status>unmodified</status>
      <modifiedWord/>
      <trackRevisions>false</trackRevisions>
    </reviewItem>
    <reviewItem>
      <errorID>65511e0d-7c9b-4c6e-802f-4dc355580836</errorID>
      <errorWord>)</errorWord>
      <group>L1_Format</group>
      <groupName>格式问题</groupName>
      <ability>L2_HalfPunc</ability>
      <abilityName>全半角检查</abilityName>
      <candidateList>
        <item>）</item>
      </candidateList>
      <explain>文本全半角错误。</explain>
      <paraID>61A91A7A</paraID>
      <start>24</start>
      <end>25</end>
      <status>unmodified</status>
      <modifiedWord/>
      <trackRevisions>false</trackRevisions>
    </reviewItem>
    <reviewItem>
      <errorID>9390658e-46ae-46d1-b903-c9d398703e57</errorID>
      <errorWord>：</errorWord>
      <group>L1_Format</group>
      <groupName>格式问题</groupName>
      <ability>L2_HalfPunc</ability>
      <abilityName>全半角检查</abilityName>
      <candidateList>
        <item>:</item>
      </candidateList>
      <explain>文本全半角错误。</explain>
      <paraID>61A91A7A</paraID>
      <start>30</start>
      <end>31</end>
      <status>unmodified</status>
      <modifiedWord/>
      <trackRevisions>false</trackRevisions>
    </reviewItem>
    <reviewItem>
      <errorID>2c630217-e7f2-47ce-9a7b-bf91408133cc</errorID>
      <errorWord>(</errorWord>
      <group>L1_Format</group>
      <groupName>格式问题</groupName>
      <ability>L2_HalfPunc</ability>
      <abilityName>全半角检查</abilityName>
      <candidateList>
        <item>（</item>
      </candidateList>
      <explain>文本全半角错误。</explain>
      <paraID>61A91A7A</paraID>
      <start>43</start>
      <end>44</end>
      <status>unmodified</status>
      <modifiedWord/>
      <trackRevisions>false</trackRevisions>
    </reviewItem>
    <reviewItem>
      <errorID>aac707f2-9d22-4b5e-b277-a96fa0b50eb2</errorID>
      <errorWord>)</errorWord>
      <group>L1_Format</group>
      <groupName>格式问题</groupName>
      <ability>L2_HalfPunc</ability>
      <abilityName>全半角检查</abilityName>
      <candidateList>
        <item>）</item>
      </candidateList>
      <explain>文本全半角错误。</explain>
      <paraID>61A91A7A</paraID>
      <start>51</start>
      <end>52</end>
      <status>unmodified</status>
      <modifiedWord/>
      <trackRevisions>false</trackRevisions>
    </reviewItem>
    <reviewItem>
      <errorID>51f00d1a-9f15-4fc4-92e8-01ac84c0853a</errorID>
      <errorWord>啫睡</errorWord>
      <group>L1_Word</group>
      <groupName>字词问题</groupName>
      <ability>L2_Typo</ability>
      <abilityName>字词错误</abilityName>
      <candidateList>
        <item>嗜睡</item>
      </candidateList>
      <explain>存在字形相近字词的误用。</explain>
      <paraID> 296415A</paraID>
      <start>38</start>
      <end>40</end>
      <status>unmodified</status>
      <modifiedWord/>
      <trackRevisions>false</trackRevisions>
    </reviewItem>
    <reviewItem>
      <errorID>ccda19d8-1cb0-4a75-8695-7a2376d78f1c</errorID>
      <errorWord>:</errorWord>
      <group>L1_Format</group>
      <groupName>格式问题</groupName>
      <ability>L2_HalfPunc</ability>
      <abilityName>全半角检查</abilityName>
      <candidateList>
        <item>：</item>
      </candidateList>
      <explain>文本全半角错误。</explain>
      <paraID> 296415A</paraID>
      <start>138</start>
      <end>139</end>
      <status>unmodified</status>
      <modifiedWord/>
      <trackRevisions>false</trackRevisions>
    </reviewItem>
    <reviewItem>
      <errorID>14d2b077-c887-4e7f-a250-da69e5035672</errorID>
      <errorWord>：</errorWord>
      <group>L1_Format</group>
      <groupName>格式问题</groupName>
      <ability>L2_HalfPunc</ability>
      <abilityName>全半角检查</abilityName>
      <candidateList>
        <item>:</item>
      </candidateList>
      <explain>文本全半角错误。</explain>
      <paraID>5D375F70</paraID>
      <start>4</start>
      <end>5</end>
      <status>unmodified</status>
      <modifiedWord/>
      <trackRevisions>false</trackRevisions>
    </reviewItem>
    <reviewItem>
      <errorID>826d99a8-3da8-4b59-b763-5f9494e14b8a</errorID>
      <errorWord>液态</errorWord>
      <group>L1_Word</group>
      <groupName>字词问题</groupName>
      <ability>L2_Typo</ability>
      <abilityName>字词错误</abilityName>
      <candidateList>
        <item>液体</item>
      </candidateList>
      <explain/>
      <paraID>305523BB</paraID>
      <start>47</start>
      <end>49</end>
      <status>unmodified</status>
      <modifiedWord/>
      <trackRevisions>false</trackRevisions>
    </reviewItem>
    <reviewItem>
      <errorID>19eff400-f98a-4662-8b4b-d886c33666e3</errorID>
      <errorWord>：</errorWord>
      <group>L1_Format</group>
      <groupName>格式问题</groupName>
      <ability>L2_HalfPunc</ability>
      <abilityName>全半角检查</abilityName>
      <candidateList>
        <item>:</item>
      </candidateList>
      <explain>文本全半角错误。</explain>
      <paraID>477ABB2E</paraID>
      <start>4</start>
      <end>5</end>
      <status>unmodified</status>
      <modifiedWord/>
      <trackRevisions>false</trackRevisions>
    </reviewItem>
    <reviewItem>
      <errorID>08b83408-3d05-4235-bcb9-71262475c6b0</errorID>
      <errorWord>较大浓度</errorWord>
      <group>L1_Word</group>
      <groupName>字词问题</groupName>
      <ability>L2_Typo</ability>
      <abilityName>字词错误</abilityName>
      <candidateList>
        <item>较高浓度</item>
      </candidateList>
      <explain/>
      <paraID>1E895BEF</paraID>
      <start>57</start>
      <end>61</end>
      <status>unmodified</status>
      <modifiedWord/>
      <trackRevisions>false</trackRevisions>
    </reviewItem>
    <reviewItem>
      <errorID>28e8d605-197c-4254-a453-1b07d9642dc8</errorID>
      <errorWord>(</errorWord>
      <group>L1_Format</group>
      <groupName>格式问题</groupName>
      <ability>L2_HalfPunc</ability>
      <abilityName>全半角检查</abilityName>
      <candidateList>
        <item>（</item>
      </candidateList>
      <explain>文本全半角错误。</explain>
      <paraID>559057BB</paraID>
      <start>5</start>
      <end>6</end>
      <status>unmodified</status>
      <modifiedWord/>
      <trackRevisions>false</trackRevisions>
    </reviewItem>
    <reviewItem>
      <errorID>65d46f46-d275-4124-8717-4e1c765f6675</errorID>
      <errorWord>)</errorWord>
      <group>L1_Format</group>
      <groupName>格式问题</groupName>
      <ability>L2_HalfPunc</ability>
      <abilityName>全半角检查</abilityName>
      <candidateList>
        <item>）</item>
      </candidateList>
      <explain>文本全半角错误。</explain>
      <paraID>559057BB</paraID>
      <start>13</start>
      <end>14</end>
      <status>unmodified</status>
      <modifiedWord/>
      <trackRevisions>false</trackRevisions>
    </reviewItem>
    <reviewItem>
      <errorID>567567f8-c49c-4858-9cf1-3ee97a3c40f2</errorID>
      <errorWord>:</errorWord>
      <group>L1_Format</group>
      <groupName>格式问题</groupName>
      <ability>L2_HalfPunc</ability>
      <abilityName>全半角检查</abilityName>
      <candidateList>
        <item>：</item>
      </candidateList>
      <explain>文本全半角错误。</explain>
      <paraID>1FB696F2</paraID>
      <start>4</start>
      <end>5</end>
      <status>unmodified</status>
      <modifiedWord/>
      <trackRevisions>false</trackRevisions>
    </reviewItem>
    <reviewItem>
      <errorID>198e8b79-b389-45a5-a8a0-cbbf619f234d</errorID>
      <errorWord>：</errorWord>
      <group>L1_Format</group>
      <groupName>格式问题</groupName>
      <ability>L2_HalfPunc</ability>
      <abilityName>全半角检查</abilityName>
      <candidateList>
        <item>:</item>
      </candidateList>
      <explain>文本全半角错误。</explain>
      <paraID>1FB696F2</paraID>
      <start>9</start>
      <end>10</end>
      <status>unmodified</status>
      <modifiedWord/>
      <trackRevisions>false</trackRevisions>
    </reviewItem>
    <reviewItem>
      <errorID>ceeaddec-f014-47d1-ae59-3ee835d2ef4e</errorID>
      <errorWord>(</errorWord>
      <group>L1_Format</group>
      <groupName>格式问题</groupName>
      <ability>L2_HalfPunc</ability>
      <abilityName>全半角检查</abilityName>
      <candidateList>
        <item>（</item>
      </candidateList>
      <explain>文本全半角错误。</explain>
      <paraID>1FB696F2</paraID>
      <start>23</start>
      <end>24</end>
      <status>unmodified</status>
      <modifiedWord/>
      <trackRevisions>false</trackRevisions>
    </reviewItem>
    <reviewItem>
      <errorID>ea1249c1-1847-4a01-8ff6-c2ec5db8578a</errorID>
      <errorWord>)</errorWord>
      <group>L1_Format</group>
      <groupName>格式问题</groupName>
      <ability>L2_HalfPunc</ability>
      <abilityName>全半角检查</abilityName>
      <candidateList>
        <item>）</item>
      </candidateList>
      <explain>文本全半角错误。</explain>
      <paraID>1FB696F2</paraID>
      <start>31</start>
      <end>32</end>
      <status>unmodified</status>
      <modifiedWord/>
      <trackRevisions>false</trackRevisions>
    </reviewItem>
    <reviewItem>
      <errorID>d1e10724-259b-4bb5-8d2c-a4e717c63c85</errorID>
      <errorWord>:</errorWord>
      <group>L1_Format</group>
      <groupName>格式问题</groupName>
      <ability>L2_HalfPunc</ability>
      <abilityName>全半角检查</abilityName>
      <candidateList>
        <item>：</item>
      </candidateList>
      <explain>文本全半角错误。</explain>
      <paraID>1FB696F2</paraID>
      <start>41</start>
      <end>42</end>
      <status>unmodified</status>
      <modifiedWord/>
      <trackRevisions>false</trackRevisions>
    </reviewItem>
    <reviewItem>
      <errorID>61536246-6d97-4c51-8077-1021ca3b595b</errorID>
      <errorWord>:</errorWord>
      <group>L1_Format</group>
      <groupName>格式问题</groupName>
      <ability>L2_HalfPunc</ability>
      <abilityName>全半角检查</abilityName>
      <candidateList>
        <item>：</item>
      </candidateList>
      <explain>文本全半角错误。</explain>
      <paraID>1FB696F2</paraID>
      <start>75</start>
      <end>76</end>
      <status>unmodified</status>
      <modifiedWord/>
      <trackRevisions>false</trackRevisions>
    </reviewItem>
    <reviewItem>
      <errorID>ac47d927-fd3d-4663-a3af-e62e74dff656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3AC976D0</paraID>
      <start>65</start>
      <end>66</end>
      <status>unmodified</status>
      <modifiedWord/>
      <trackRevisions>false</trackRevisions>
    </reviewItem>
    <reviewItem>
      <errorID>2e17017c-d493-4cf4-86bb-86ca1a73183a</errorID>
      <errorWord>：</errorWord>
      <group>L1_Format</group>
      <groupName>格式问题</groupName>
      <ability>L2_HalfPunc</ability>
      <abilityName>全半角检查</abilityName>
      <candidateList>
        <item>:</item>
      </candidateList>
      <explain>文本全半角错误。</explain>
      <paraID>2313DDD8</paraID>
      <start>4</start>
      <end>5</end>
      <status>unmodified</status>
      <modifiedWord/>
      <trackRevisions>false</trackRevisions>
    </reviewItem>
    <reviewItem>
      <errorID>4cf7a5fa-b16e-4d06-abc2-26880285757b</errorID>
      <errorWord>和粘膜</errorWord>
      <group>L1_Word</group>
      <groupName>字词问题</groupName>
      <ability>L2_Alias</ability>
      <abilityName>也作/曾用词</abilityName>
      <candidateList>
        <item>和黏膜</item>
      </candidateList>
      <explain>词汇[和粘膜]为不规范表述或旧称，其规范书面表述为[和黏膜]。</explain>
      <paraID>5267ECE2</paraID>
      <start>17</start>
      <end>20</end>
      <status>unmodified</status>
      <modifiedWord/>
      <trackRevisions>false</trackRevisions>
    </reviewItem>
    <reviewItem>
      <errorID>aff97c36-e836-41cf-92a9-e3e377097469</errorID>
      <errorWord>具</errorWord>
      <group>L1_Word</group>
      <groupName>字词问题</groupName>
      <ability>L2_Typo</ability>
      <abilityName>字词错误</abilityName>
      <candidateList>
        <item>具有</item>
      </candidateList>
      <explain>〈动〉有（多用于抽象事物）：～信心｜～伟大的意义。</explain>
      <paraID>42B8A91A</paraID>
      <start>6</start>
      <end>7</end>
      <status>unmodified</status>
      <modifiedWord/>
      <trackRevisions>false</trackRevisions>
    </reviewItem>
    <reviewItem>
      <errorID>2958264b-4924-46b9-8ffc-a2bd9802cdef</errorID>
      <errorWord>：</errorWord>
      <group>L1_Format</group>
      <groupName>格式问题</groupName>
      <ability>L2_HalfPunc</ability>
      <abilityName>全半角检查</abilityName>
      <candidateList>
        <item>:</item>
      </candidateList>
      <explain>文本全半角错误。</explain>
      <paraID>413C2809</paraID>
      <start>4</start>
      <end>5</end>
      <status>unmodified</status>
      <modifiedWord/>
      <trackRevisions>false</trackRevisions>
    </reviewItem>
    <reviewItem>
      <errorID>c889c0af-2521-489d-83cc-ff84cbd2f0eb</errorID>
      <errorWord>(</errorWord>
      <group>L1_Format</group>
      <groupName>格式问题</groupName>
      <ability>L2_HalfPunc</ability>
      <abilityName>全半角检查</abilityName>
      <candidateList>
        <item>（</item>
      </candidateList>
      <explain>文本全半角错误。</explain>
      <paraID>413C2809</paraID>
      <start>15</start>
      <end>16</end>
      <status>unmodified</status>
      <modifiedWord/>
      <trackRevisions>false</trackRevisions>
    </reviewItem>
    <reviewItem>
      <errorID>25ebe357-bbf4-4df2-a84f-1a7d7576c2b2</errorID>
      <errorWord>)</errorWord>
      <group>L1_Format</group>
      <groupName>格式问题</groupName>
      <ability>L2_HalfPunc</ability>
      <abilityName>全半角检查</abilityName>
      <candidateList>
        <item>）</item>
      </candidateList>
      <explain>文本全半角错误。</explain>
      <paraID>413C2809</paraID>
      <start>24</start>
      <end>25</end>
      <status>unmodified</status>
      <modifiedWord/>
      <trackRevisions>false</trackRevisions>
    </reviewItem>
    <reviewItem>
      <errorID>85a47e78-a22c-4f74-bf2b-fa3a95af807c</errorID>
      <errorWord>粘膜</errorWord>
      <group>L1_Word</group>
      <groupName>字词问题</groupName>
      <ability>L2_Typo</ability>
      <abilityName>字词错误</abilityName>
      <candidateList>
        <item>黏膜</item>
      </candidateList>
      <explain>〈名〉口腔、气管、胃、肠、尿道等器官里面的一层薄膜，内有血管和神经，能分泌黏液。</explain>
      <paraID>3BD8A6BB</paraID>
      <start>4</start>
      <end>6</end>
      <status>unmodified</status>
      <modifiedWord/>
      <trackRevisions>false</trackRevisions>
    </reviewItem>
    <reviewItem>
      <errorID>adf01ec0-f85d-44e5-a3fb-1405fc84a8cf</errorID>
      <errorWord>:</errorWord>
      <group>L1_Format</group>
      <groupName>格式问题</groupName>
      <ability>L2_HalfPunc</ability>
      <abilityName>全半角检查</abilityName>
      <candidateList>
        <item>：</item>
      </candidateList>
      <explain>文本全半角错误。</explain>
      <paraID>3BD8A6BB</paraID>
      <start>25</start>
      <end>26</end>
      <status>unmodified</status>
      <modifiedWord/>
      <trackRevisions>false</trackRevisions>
    </reviewItem>
    <reviewItem>
      <errorID>f01d8eb9-9c88-45cb-9366-f3317a53c562</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3BD8A6BB</paraID>
      <start>46</start>
      <end>49</end>
      <status>modified</status>
      <modifiedWord>刺激征</modifiedWord>
      <trackRevisions>false</trackRevisions>
    </reviewItem>
    <reviewItem>
      <errorID>b109927b-df17-44ba-b636-5c5abac5d06c</errorID>
      <errorWord>室息</errorWord>
      <group>L1_Word</group>
      <groupName>字词问题</groupName>
      <ability>L2_Typo</ability>
      <abilityName>字词错误</abilityName>
      <candidateList>
        <item>窒息</item>
      </candidateList>
      <explain>〈动〉因外界氧气不足或呼吸系统发生障碍而呼吸困难甚至停止呼吸。</explain>
      <paraID>3BD8A6BB</paraID>
      <start>75</start>
      <end>77</end>
      <status>unmodified</status>
      <modifiedWord/>
      <trackRevisions>false</trackRevisions>
    </reviewItem>
    <reviewItem>
      <errorID>0f2ad13d-4d6c-43b8-b504-2ecd094c41dd</errorID>
      <errorWord>煎合</errorWord>
      <group>L1_Word</group>
      <groupName>字词问题</groupName>
      <ability>L2_Typo</ability>
      <abilityName>字词错误</abilityName>
      <candidateList>
        <item>愈合</item>
      </candidateList>
      <explain>存在字形相近字词的误用。</explain>
      <paraID>3BD8A6BB</paraID>
      <start>154</start>
      <end>156</end>
      <status>unmodified</status>
      <modifiedWord/>
      <trackRevisions>false</trackRevisions>
    </reviewItem>
    <reviewItem>
      <errorID>21f10b78-791f-4bf4-b371-df8be34a25b0</errorID>
      <errorWord>:</errorWord>
      <group>L1_Format</group>
      <groupName>格式问题</groupName>
      <ability>L2_HalfPunc</ability>
      <abilityName>全半角检查</abilityName>
      <candidateList>
        <item>：</item>
      </candidateList>
      <explain>文本全半角错误。</explain>
      <paraID>3BD8A6BB</paraID>
      <start>182</start>
      <end>183</end>
      <status>unmodified</status>
      <modifiedWord/>
      <trackRevisions>false</trackRevisions>
    </reviewItem>
    <reviewItem>
      <errorID>cad13013-42f5-4e10-8dea-d0386b7609e4</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3BD8A6BB</paraID>
      <start>189</start>
      <end>192</end>
      <status>modified</status>
      <modifiedWord>刺激征</modifiedWord>
      <trackRevisions>false</trackRevisions>
    </reviewItem>
    <reviewItem>
      <errorID>1387786b-9114-4768-ad80-e26411eb600a</errorID>
      <errorWord>(</errorWord>
      <group>L1_Format</group>
      <groupName>格式问题</groupName>
      <ability>L2_HalfPunc</ability>
      <abilityName>全半角检查</abilityName>
      <candidateList>
        <item>（</item>
      </candidateList>
      <explain>文本全半角错误。</explain>
      <paraID>5CD30CB8</paraID>
      <start>4</start>
      <end>5</end>
      <status>unmodified</status>
      <modifiedWord/>
      <trackRevisions>false</trackRevisions>
    </reviewItem>
    <reviewItem>
      <errorID>57104e03-6809-4bb8-bb0c-06b561ad5978</errorID>
      <errorWord>)</errorWord>
      <group>L1_Format</group>
      <groupName>格式问题</groupName>
      <ability>L2_HalfPunc</ability>
      <abilityName>全半角检查</abilityName>
      <candidateList>
        <item>）</item>
      </candidateList>
      <explain>文本全半角错误。</explain>
      <paraID>5CD30CB8</paraID>
      <start>7</start>
      <end>8</end>
      <status>unmodified</status>
      <modifiedWord/>
      <trackRevisions>false</trackRevisions>
    </reviewItem>
    <reviewItem>
      <errorID>a6b1bab6-6c1e-4f94-ac48-1e7856637a5a</errorID>
      <errorWord>(</errorWord>
      <group>L1_Format</group>
      <groupName>格式问题</groupName>
      <ability>L2_HalfPunc</ability>
      <abilityName>全半角检查</abilityName>
      <candidateList>
        <item>（</item>
      </candidateList>
      <explain>文本全半角错误。</explain>
      <paraID>5CD30CB8</paraID>
      <start>12</start>
      <end>13</end>
      <status>unmodified</status>
      <modifiedWord/>
      <trackRevisions>false</trackRevisions>
    </reviewItem>
    <reviewItem>
      <errorID>4fb8a8de-883c-4c41-a27e-5154911765cc</errorID>
      <errorWord>)</errorWord>
      <group>L1_Format</group>
      <groupName>格式问题</groupName>
      <ability>L2_HalfPunc</ability>
      <abilityName>全半角检查</abilityName>
      <candidateList>
        <item>）</item>
      </candidateList>
      <explain>文本全半角错误。</explain>
      <paraID>5CD30CB8</paraID>
      <start>20</start>
      <end>21</end>
      <status>unmodified</status>
      <modifiedWord/>
      <trackRevisions>false</trackRevisions>
    </reviewItem>
    <reviewItem>
      <errorID>a26da718-1f27-41e5-afe2-785fcd16d8ba</errorID>
      <errorWord>：</errorWord>
      <group>L1_Format</group>
      <groupName>格式问题</groupName>
      <ability>L2_HalfPunc</ability>
      <abilityName>全半角检查</abilityName>
      <candidateList>
        <item>:</item>
      </candidateList>
      <explain>文本全半角错误。</explain>
      <paraID>279BE35C</paraID>
      <start>4</start>
      <end>5</end>
      <status>unmodified</status>
      <modifiedWord/>
      <trackRevisions>false</trackRevisions>
    </reviewItem>
    <reviewItem>
      <errorID>97cd6c20-d290-4c12-a5b8-3866a2830dd9</errorID>
      <errorWord>(</errorWord>
      <group>L1_Format</group>
      <groupName>格式问题</groupName>
      <ability>L2_HalfPunc</ability>
      <abilityName>全半角检查</abilityName>
      <candidateList>
        <item>（</item>
      </candidateList>
      <explain>文本全半角错误。</explain>
      <paraID>279BE35C</paraID>
      <start>14</start>
      <end>15</end>
      <status>unmodified</status>
      <modifiedWord/>
      <trackRevisions>false</trackRevisions>
    </reviewItem>
    <reviewItem>
      <errorID>6835aa69-86fa-4416-bcdd-2296b4e102cb</errorID>
      <errorWord>)</errorWord>
      <group>L1_Format</group>
      <groupName>格式问题</groupName>
      <ability>L2_HalfPunc</ability>
      <abilityName>全半角检查</abilityName>
      <candidateList>
        <item>）</item>
      </candidateList>
      <explain>文本全半角错误。</explain>
      <paraID>279BE35C</paraID>
      <start>19</start>
      <end>20</end>
      <status>unmodified</status>
      <modifiedWord/>
      <trackRevisions>false</trackRevisions>
    </reviewItem>
    <reviewItem>
      <errorID>64c01194-4ee2-40ce-992d-28eefd178a6d</errorID>
      <errorWord>：</errorWord>
      <group>L1_Format</group>
      <groupName>格式问题</groupName>
      <ability>L2_HalfPunc</ability>
      <abilityName>全半角检查</abilityName>
      <candidateList>
        <item>:</item>
      </candidateList>
      <explain>文本全半角错误。</explain>
      <paraID>226E0535</paraID>
      <start>4</start>
      <end>5</end>
      <status>unmodified</status>
      <modifiedWord/>
      <trackRevisions>false</trackRevisions>
    </reviewItem>
    <reviewItem>
      <errorID>aedd26df-f394-4fb2-b49a-6f75e00e17e5</errorID>
      <errorWord>(</errorWord>
      <group>L1_Format</group>
      <groupName>格式问题</groupName>
      <ability>L2_HalfPunc</ability>
      <abilityName>全半角检查</abilityName>
      <candidateList>
        <item>（</item>
      </candidateList>
      <explain>文本全半角错误。</explain>
      <paraID>226E0535</paraID>
      <start>17</start>
      <end>18</end>
      <status>unmodified</status>
      <modifiedWord/>
      <trackRevisions>false</trackRevisions>
    </reviewItem>
    <reviewItem>
      <errorID>447d2533-30a4-4908-86ec-7fdde9dd116f</errorID>
      <errorWord>)</errorWord>
      <group>L1_Format</group>
      <groupName>格式问题</groupName>
      <ability>L2_HalfPunc</ability>
      <abilityName>全半角检查</abilityName>
      <candidateList>
        <item>）</item>
      </candidateList>
      <explain>文本全半角错误。</explain>
      <paraID>226E0535</paraID>
      <start>22</start>
      <end>23</end>
      <status>unmodified</status>
      <modifiedWord/>
      <trackRevisions>false</trackRevisions>
    </reviewItem>
    <reviewItem>
      <errorID>4e537479-ca41-4d60-89b1-15740b9bbb05</errorID>
      <errorWord>(</errorWord>
      <group>L1_Format</group>
      <groupName>格式问题</groupName>
      <ability>L2_HalfPunc</ability>
      <abilityName>全半角检查</abilityName>
      <candidateList>
        <item>（</item>
      </candidateList>
      <explain>文本全半角错误。</explain>
      <paraID>226E0535</paraID>
      <start>36</start>
      <end>37</end>
      <status>unmodified</status>
      <modifiedWord/>
      <trackRevisions>false</trackRevisions>
    </reviewItem>
    <reviewItem>
      <errorID>8fd9ae60-6c0b-4c69-8b5b-acbf7ec04a93</errorID>
      <errorWord>)</errorWord>
      <group>L1_Format</group>
      <groupName>格式问题</groupName>
      <ability>L2_HalfPunc</ability>
      <abilityName>全半角检查</abilityName>
      <candidateList>
        <item>）</item>
      </candidateList>
      <explain>文本全半角错误。</explain>
      <paraID>226E0535</paraID>
      <start>41</start>
      <end>42</end>
      <status>unmodified</status>
      <modifiedWord/>
      <trackRevisions>false</trackRevisions>
    </reviewItem>
    <reviewItem>
      <errorID>a9565662-7a13-4762-9ce1-0a2e67149e64</errorID>
      <errorWord>;</errorWord>
      <group>L1_Format</group>
      <groupName>格式问题</groupName>
      <ability>L2_HalfPunc</ability>
      <abilityName>全半角检查</abilityName>
      <candidateList>
        <item>；</item>
      </candidateList>
      <explain>文本全半角错误。</explain>
      <paraID>71CA9259</paraID>
      <start>42</start>
      <end>43</end>
      <status>unmodified</status>
      <modifiedWord/>
      <trackRevisions>false</trackRevisions>
    </reviewItem>
    <reviewItem>
      <errorID>c46fd5f5-4add-44ea-9847-605b24fa6f8b</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71CA9259</paraID>
      <start>48</start>
      <end>51</end>
      <status>modified</status>
      <modifiedWord>刺激征</modifiedWord>
      <trackRevisions>false</trackRevisions>
    </reviewItem>
    <reviewItem>
      <errorID>3ed7befa-5f1e-40a4-b274-e08b0c5bae9d</errorID>
      <errorWord>;</errorWord>
      <group>L1_Format</group>
      <groupName>格式问题</groupName>
      <ability>L2_HalfPunc</ability>
      <abilityName>全半角检查</abilityName>
      <candidateList>
        <item>；</item>
      </candidateList>
      <explain>文本全半角错误。</explain>
      <paraID>71CA9259</paraID>
      <start>65</start>
      <end>66</end>
      <status>unmodified</status>
      <modifiedWord/>
      <trackRevisions>false</trackRevisions>
    </reviewItem>
    <reviewItem>
      <errorID>1f768f48-0dea-4ef8-89c1-cd0b3d76df3b</errorID>
      <errorWord>,</errorWord>
      <group>L1_Format</group>
      <groupName>格式问题</groupName>
      <ability>L2_HalfPunc</ability>
      <abilityName>全半角检查</abilityName>
      <candidateList>
        <item>，</item>
      </candidateList>
      <explain>文本全半角错误。</explain>
      <paraID>71CA9259</paraID>
      <start>113</start>
      <end>114</end>
      <status>unmodified</status>
      <modifiedWord/>
      <trackRevisions>false</trackRevisions>
    </reviewItem>
    <reviewItem>
      <errorID>a2a0368f-cf41-47b1-8078-5456b682abb5</errorID>
      <errorWord>癍痕</errorWord>
      <group>L1_Word</group>
      <groupName>字词问题</groupName>
      <ability>L2_Typo</ability>
      <abilityName>字词错误</abilityName>
      <candidateList>
        <item>瘢痕</item>
      </candidateList>
      <explain/>
      <paraID>71CA9259</paraID>
      <start>151</start>
      <end>153</end>
      <status>unmodified</status>
      <modifiedWord/>
      <trackRevisions>false</trackRevisions>
    </reviewItem>
    <reviewItem>
      <errorID>8d45654f-2384-40cc-b54a-bf612adc3900</errorID>
      <errorWord>:</errorWord>
      <group>L1_Format</group>
      <groupName>格式问题</groupName>
      <ability>L2_HalfPunc</ability>
      <abilityName>全半角检查</abilityName>
      <candidateList>
        <item>：</item>
      </candidateList>
      <explain>文本全半角错误。</explain>
      <paraID>71CA9259</paraID>
      <start>189</start>
      <end>190</end>
      <status>unmodified</status>
      <modifiedWord/>
      <trackRevisions>false</trackRevisions>
    </reviewItem>
    <reviewItem>
      <errorID>381a8724-bb30-4ff0-8dfa-a565aa15da7b</errorID>
      <errorWord>：</errorWord>
      <group>L1_Format</group>
      <groupName>格式问题</groupName>
      <ability>L2_HalfPunc</ability>
      <abilityName>全半角检查</abilityName>
      <candidateList>
        <item>:</item>
      </candidateList>
      <explain>文本全半角错误。</explain>
      <paraID>1B68505D</paraID>
      <start>4</start>
      <end>5</end>
      <status>unmodified</status>
      <modifiedWord/>
      <trackRevisions>false</trackRevisions>
    </reviewItem>
    <reviewItem>
      <errorID>73eb7551-76de-4ac9-8a07-eeada06125bd</errorID>
      <errorWord>(</errorWord>
      <group>L1_Format</group>
      <groupName>格式问题</groupName>
      <ability>L2_HalfPunc</ability>
      <abilityName>全半角检查</abilityName>
      <candidateList>
        <item>（</item>
      </candidateList>
      <explain>文本全半角错误。</explain>
      <paraID>1B68505D</paraID>
      <start>14</start>
      <end>15</end>
      <status>unmodified</status>
      <modifiedWord/>
      <trackRevisions>false</trackRevisions>
    </reviewItem>
    <reviewItem>
      <errorID>256c712a-fee8-45f0-b63e-b5c56061bfb4</errorID>
      <errorWord>)</errorWord>
      <group>L1_Format</group>
      <groupName>格式问题</groupName>
      <ability>L2_HalfPunc</ability>
      <abilityName>全半角检查</abilityName>
      <candidateList>
        <item>）</item>
      </candidateList>
      <explain>文本全半角错误。</explain>
      <paraID>1B68505D</paraID>
      <start>19</start>
      <end>20</end>
      <status>unmodified</status>
      <modifiedWord/>
      <trackRevisions>false</trackRevisions>
    </reviewItem>
    <reviewItem>
      <errorID>490e45ca-d688-4888-9a5d-3aef22bc077c</errorID>
      <errorWord>(</errorWord>
      <group>L1_Format</group>
      <groupName>格式问题</groupName>
      <ability>L2_HalfPunc</ability>
      <abilityName>全半角检查</abilityName>
      <candidateList>
        <item>（</item>
      </candidateList>
      <explain>文本全半角错误。</explain>
      <paraID>1B68505D</paraID>
      <start>30</start>
      <end>31</end>
      <status>unmodified</status>
      <modifiedWord/>
      <trackRevisions>false</trackRevisions>
    </reviewItem>
    <reviewItem>
      <errorID>e6a6c5c8-e113-4f8d-8a99-716d5023a1e4</errorID>
      <errorWord>)</errorWord>
      <group>L1_Format</group>
      <groupName>格式问题</groupName>
      <ability>L2_HalfPunc</ability>
      <abilityName>全半角检查</abilityName>
      <candidateList>
        <item>）</item>
      </candidateList>
      <explain>文本全半角错误。</explain>
      <paraID>1B68505D</paraID>
      <start>34</start>
      <end>35</end>
      <status>unmodified</status>
      <modifiedWord/>
      <trackRevisions>false</trackRevisions>
    </reviewItem>
    <reviewItem>
      <errorID>f65874ed-92ef-4ea1-8bfe-996cd249c687</errorID>
      <errorWord>鼻粘膜</errorWord>
      <group>L1_Word</group>
      <groupName>字词问题</groupName>
      <ability>L2_Alias</ability>
      <abilityName>也作/曾用词</abilityName>
      <candidateList>
        <item>鼻黏膜</item>
      </candidateList>
      <explain>词汇[鼻粘膜]为不规范表述或旧称，其规范书面表述为[鼻黏膜]。</explain>
      <paraID> BDFBA28</paraID>
      <start>31</start>
      <end>34</end>
      <status>unmodified</status>
      <modifiedWord/>
      <trackRevisions>false</trackRevisions>
    </reviewItem>
    <reviewItem>
      <errorID>8a7595d4-c2fa-4d28-98bd-b3285899d5e8</errorID>
      <errorWord>离蚀</errorWord>
      <group>L1_Word</group>
      <groupName>字词问题</groupName>
      <ability>L2_Typo</ability>
      <abilityName>字词错误</abilityName>
      <candidateList>
        <item>腐蚀</item>
      </candidateList>
      <explain>存在字形相近字词的误用。</explain>
      <paraID>4459986D</paraID>
      <start>42</start>
      <end>44</end>
      <status>unmodified</status>
      <modifiedWord/>
      <trackRevisions>false</trackRevisions>
    </reviewItem>
    <reviewItem>
      <errorID>5037b987-d147-4bc4-b6b3-87759f013f86</errorID>
      <errorWord>(</errorWord>
      <group>L1_Format</group>
      <groupName>格式问题</groupName>
      <ability>L2_HalfPunc</ability>
      <abilityName>全半角检查</abilityName>
      <candidateList>
        <item>（</item>
      </candidateList>
      <explain>文本全半角错误。</explain>
      <paraID>4459986D</paraID>
      <start>62</start>
      <end>63</end>
      <status>unmodified</status>
      <modifiedWord/>
      <trackRevisions>false</trackRevisions>
    </reviewItem>
    <reviewItem>
      <errorID>eba86aef-9e17-4980-89d6-ffcedb73ae28</errorID>
      <errorWord>)</errorWord>
      <group>L1_Format</group>
      <groupName>格式问题</groupName>
      <ability>L2_HalfPunc</ability>
      <abilityName>全半角检查</abilityName>
      <candidateList>
        <item>）</item>
      </candidateList>
      <explain>文本全半角错误。</explain>
      <paraID>4459986D</paraID>
      <start>65</start>
      <end>66</end>
      <status>unmodified</status>
      <modifiedWord/>
      <trackRevisions>false</trackRevisions>
    </reviewItem>
    <reviewItem>
      <errorID>a2adf4d1-304d-4885-a729-56df55ce9f48</errorID>
      <errorWord>(</errorWord>
      <group>L1_Format</group>
      <groupName>格式问题</groupName>
      <ability>L2_HalfPunc</ability>
      <abilityName>全半角检查</abilityName>
      <candidateList>
        <item>（</item>
      </candidateList>
      <explain>文本全半角错误。</explain>
      <paraID>4459986D</paraID>
      <start>70</start>
      <end>71</end>
      <status>unmodified</status>
      <modifiedWord/>
      <trackRevisions>false</trackRevisions>
    </reviewItem>
    <reviewItem>
      <errorID>ed428e3a-1bf5-465a-8d2f-e4372373c848</errorID>
      <errorWord>)</errorWord>
      <group>L1_Format</group>
      <groupName>格式问题</groupName>
      <ability>L2_HalfPunc</ability>
      <abilityName>全半角检查</abilityName>
      <candidateList>
        <item>）</item>
      </candidateList>
      <explain>文本全半角错误。</explain>
      <paraID>4459986D</paraID>
      <start>78</start>
      <end>79</end>
      <status>unmodified</status>
      <modifiedWord/>
      <trackRevisions>false</trackRevisions>
    </reviewItem>
    <reviewItem>
      <errorID>3cf81323-7feb-4ca3-98a8-4d0a09124968</errorID>
      <errorWord>：</errorWord>
      <group>L1_Format</group>
      <groupName>格式问题</groupName>
      <ability>L2_HalfPunc</ability>
      <abilityName>全半角检查</abilityName>
      <candidateList>
        <item>:</item>
      </candidateList>
      <explain>文本全半角错误。</explain>
      <paraID>3C396351</paraID>
      <start>4</start>
      <end>5</end>
      <status>unmodified</status>
      <modifiedWord/>
      <trackRevisions>false</trackRevisions>
    </reviewItem>
    <reviewItem>
      <errorID>3207ec03-7fbe-4512-9098-e1afb34d59f5</errorID>
      <errorWord>(</errorWord>
      <group>L1_Format</group>
      <groupName>格式问题</groupName>
      <ability>L2_HalfPunc</ability>
      <abilityName>全半角检查</abilityName>
      <candidateList>
        <item>（</item>
      </candidateList>
      <explain>文本全半角错误。</explain>
      <paraID>3C396351</paraID>
      <start>12</start>
      <end>13</end>
      <status>unmodified</status>
      <modifiedWord/>
      <trackRevisions>false</trackRevisions>
    </reviewItem>
    <reviewItem>
      <errorID>331df4df-46cc-4aac-ae78-11aa7eeba12e</errorID>
      <errorWord>)</errorWord>
      <group>L1_Format</group>
      <groupName>格式问题</groupName>
      <ability>L2_HalfPunc</ability>
      <abilityName>全半角检查</abilityName>
      <candidateList>
        <item>）</item>
      </candidateList>
      <explain>文本全半角错误。</explain>
      <paraID>3C396351</paraID>
      <start>17</start>
      <end>18</end>
      <status>unmodified</status>
      <modifiedWord/>
      <trackRevisions>false</trackRevisions>
    </reviewItem>
    <reviewItem>
      <errorID>fa9b0bc6-9c1e-4049-bfd1-3a952a4dc87a</errorID>
      <errorWord>：</errorWord>
      <group>L1_Format</group>
      <groupName>格式问题</groupName>
      <ability>L2_HalfPunc</ability>
      <abilityName>全半角检查</abilityName>
      <candidateList>
        <item>:</item>
      </candidateList>
      <explain>文本全半角错误。</explain>
      <paraID>  A3EC7A</paraID>
      <start>4</start>
      <end>5</end>
      <status>unmodified</status>
      <modifiedWord/>
      <trackRevisions>false</trackRevisions>
    </reviewItem>
    <reviewItem>
      <errorID>35da2178-cd2a-4369-9380-735eb2f66941</errorID>
      <errorWord>(</errorWord>
      <group>L1_Format</group>
      <groupName>格式问题</groupName>
      <ability>L2_HalfPunc</ability>
      <abilityName>全半角检查</abilityName>
      <candidateList>
        <item>（</item>
      </candidateList>
      <explain>文本全半角错误。</explain>
      <paraID>  A3EC7A</paraID>
      <start>15</start>
      <end>16</end>
      <status>unmodified</status>
      <modifiedWord/>
      <trackRevisions>false</trackRevisions>
    </reviewItem>
    <reviewItem>
      <errorID>7e413d9d-d4df-485e-a75f-c322381e0025</errorID>
      <errorWord>)</errorWord>
      <group>L1_Format</group>
      <groupName>格式问题</groupName>
      <ability>L2_HalfPunc</ability>
      <abilityName>全半角检查</abilityName>
      <candidateList>
        <item>）</item>
      </candidateList>
      <explain>文本全半角错误。</explain>
      <paraID>  A3EC7A</paraID>
      <start>24</start>
      <end>25</end>
      <status>unmodified</status>
      <modifiedWord/>
      <trackRevisions>false</trackRevisions>
    </reviewItem>
    <reviewItem>
      <errorID>d2c9e4fe-898f-4f04-894b-d014736f9e50</errorID>
      <errorWord>(</errorWord>
      <group>L1_Format</group>
      <groupName>格式问题</groupName>
      <ability>L2_HalfPunc</ability>
      <abilityName>全半角检查</abilityName>
      <candidateList>
        <item>（</item>
      </candidateList>
      <explain>文本全半角错误。</explain>
      <paraID>  A3EC7A</paraID>
      <start>37</start>
      <end>38</end>
      <status>unmodified</status>
      <modifiedWord/>
      <trackRevisions>false</trackRevisions>
    </reviewItem>
    <reviewItem>
      <errorID>520d2534-9c09-4d70-95e5-0cd1bb5221a4</errorID>
      <errorWord>)</errorWord>
      <group>L1_Format</group>
      <groupName>格式问题</groupName>
      <ability>L2_HalfPunc</ability>
      <abilityName>全半角检查</abilityName>
      <candidateList>
        <item>）</item>
      </candidateList>
      <explain>文本全半角错误。</explain>
      <paraID>  A3EC7A</paraID>
      <start>46</start>
      <end>47</end>
      <status>unmodified</status>
      <modifiedWord/>
      <trackRevisions>false</trackRevisions>
    </reviewItem>
    <reviewItem>
      <errorID>b34726b7-ecc8-4a1b-9d71-20df4e21adce</errorID>
      <errorWord>(</errorWord>
      <group>L1_Format</group>
      <groupName>格式问题</groupName>
      <ability>L2_HalfPunc</ability>
      <abilityName>全半角检查</abilityName>
      <candidateList>
        <item>（</item>
      </candidateList>
      <explain>文本全半角错误。</explain>
      <paraID>79EF0BC0</paraID>
      <start>16</start>
      <end>17</end>
      <status>unmodified</status>
      <modifiedWord/>
      <trackRevisions>false</trackRevisions>
    </reviewItem>
    <reviewItem>
      <errorID>115ea2f3-f4dc-4511-9c86-a630d9924634</errorID>
      <errorWord>)</errorWord>
      <group>L1_Format</group>
      <groupName>格式问题</groupName>
      <ability>L2_HalfPunc</ability>
      <abilityName>全半角检查</abilityName>
      <candidateList>
        <item>）</item>
      </candidateList>
      <explain>文本全半角错误。</explain>
      <paraID>79EF0BC0</paraID>
      <start>21</start>
      <end>22</end>
      <status>unmodified</status>
      <modifiedWord/>
      <trackRevisions>false</trackRevisions>
    </reviewItem>
    <reviewItem>
      <errorID>2f948d03-84fd-4fa5-9d8b-54ff32a6503d</errorID>
      <errorWord>(</errorWord>
      <group>L1_Format</group>
      <groupName>格式问题</groupName>
      <ability>L2_HalfPunc</ability>
      <abilityName>全半角检查</abilityName>
      <candidateList>
        <item>（</item>
      </candidateList>
      <explain>文本全半角错误。</explain>
      <paraID>79EF0BC0</paraID>
      <start>34</start>
      <end>35</end>
      <status>unmodified</status>
      <modifiedWord/>
      <trackRevisions>false</trackRevisions>
    </reviewItem>
    <reviewItem>
      <errorID>77768621-d640-4b21-b217-24cce4eaa5d9</errorID>
      <errorWord>)</errorWord>
      <group>L1_Format</group>
      <groupName>格式问题</groupName>
      <ability>L2_HalfPunc</ability>
      <abilityName>全半角检查</abilityName>
      <candidateList>
        <item>）</item>
      </candidateList>
      <explain>文本全半角错误。</explain>
      <paraID>79EF0BC0</paraID>
      <start>39</start>
      <end>40</end>
      <status>unmodified</status>
      <modifiedWord/>
      <trackRevisions>false</trackRevisions>
    </reviewItem>
    <reviewItem>
      <errorID>8504f322-44d3-40fd-a831-fa55bd1970c2</errorID>
      <errorWord>泗游</errorWord>
      <group>L1_Word</group>
      <groupName>字词问题</groupName>
      <ability>L2_Typo</ability>
      <abilityName>字词错误</abilityName>
      <candidateList>
        <item>洄游</item>
      </candidateList>
      <explain/>
      <paraID>1590A2AD</paraID>
      <start>39</start>
      <end>41</end>
      <status>modified</status>
      <modifiedWord>洄游</modifiedWord>
      <trackRevisions>false</trackRevisions>
    </reviewItem>
    <reviewItem>
      <errorID>4537e1ad-8c1f-490f-bd61-d182a709c8a9</errorID>
      <errorWord>：</errorWord>
      <group>L1_Format</group>
      <groupName>格式问题</groupName>
      <ability>L2_HalfPunc</ability>
      <abilityName>全半角检查</abilityName>
      <candidateList>
        <item>:</item>
      </candidateList>
      <explain>文本全半角错误。</explain>
      <paraID>296D6DCF</paraID>
      <start>13</start>
      <end>14</end>
      <status>unmodified</status>
      <modifiedWord/>
      <trackRevisions>false</trackRevisions>
    </reviewItem>
    <reviewItem>
      <errorID>db46e984-65ab-4ca8-9394-144ad0391f05</errorID>
      <errorWord>免</errorWord>
      <group>L1_Word</group>
      <groupName>字词问题</groupName>
      <ability>L2_Typo</ability>
      <abilityName>字词错误</abilityName>
      <candidateList>
        <item>兔</item>
      </candidateList>
      <explain>存在字形相近字词的误用。</explain>
      <paraID>296D6DCF</paraID>
      <start>23</start>
      <end>24</end>
      <status>unmodified</status>
      <modifiedWord/>
      <trackRevisions>false</trackRevisions>
    </reviewItem>
    <reviewItem>
      <errorID>e284eb08-f08a-42a2-a31a-39d7048bdc7d</errorID>
      <errorWord>：</errorWord>
      <group>L1_Format</group>
      <groupName>格式问题</groupName>
      <ability>L2_HalfPunc</ability>
      <abilityName>全半角检查</abilityName>
      <candidateList>
        <item>:</item>
      </candidateList>
      <explain>文本全半角错误。</explain>
      <paraID>296D6DCF</paraID>
      <start>30</start>
      <end>31</end>
      <status>unmodified</status>
      <modifiedWord/>
      <trackRevisions>false</trackRevisions>
    </reviewItem>
    <reviewItem>
      <errorID>532b4442-62f7-4525-b633-0ac6fe8bf146</errorID>
      <errorWord>;</errorWord>
      <group>L1_Format</group>
      <groupName>格式问题</groupName>
      <ability>L2_HalfPunc</ability>
      <abilityName>全半角检查</abilityName>
      <candidateList>
        <item>；</item>
      </candidateList>
      <explain>文本全半角错误。</explain>
      <paraID>296D6DCF</paraID>
      <start>39</start>
      <end>40</end>
      <status>unmodified</status>
      <modifiedWord/>
      <trackRevisions>false</trackRevisions>
    </reviewItem>
    <reviewItem>
      <errorID>4a4aa8de-d6d9-4485-9fdb-5f8fef698e64</errorID>
      <errorWord>吸人</errorWord>
      <group>L1_Word</group>
      <groupName>字词问题</groupName>
      <ability>L2_Typo</ability>
      <abilityName>字词错误</abilityName>
      <candidateList>
        <item>吸入</item>
      </candidateList>
      <explain/>
      <paraID>296D6DCF</paraID>
      <start>42</start>
      <end>44</end>
      <status>modified</status>
      <modifiedWord>吸入</modifiedWord>
      <trackRevisions>false</trackRevisions>
    </reviewItem>
    <reviewItem>
      <errorID>bfc13067-a200-499b-8444-7c1693c942c5</errorID>
      <errorWord>：</errorWord>
      <group>L1_Format</group>
      <groupName>格式问题</groupName>
      <ability>L2_HalfPunc</ability>
      <abilityName>全半角检查</abilityName>
      <candidateList>
        <item>:</item>
      </candidateList>
      <explain>文本全半角错误。</explain>
      <paraID>296D6DCF</paraID>
      <start>48</start>
      <end>49</end>
      <status>unmodified</status>
      <modifiedWord/>
      <trackRevisions>false</trackRevisions>
    </reviewItem>
    <reviewItem>
      <errorID>2546fe9e-d79e-4d35-b1e2-cd6ded2995e4</errorID>
      <errorWord>,</errorWord>
      <group>L1_Format</group>
      <groupName>格式问题</groupName>
      <ability>L2_HalfPunc</ability>
      <abilityName>全半角检查</abilityName>
      <candidateList>
        <item>，</item>
      </candidateList>
      <explain>文本全半角错误。</explain>
      <paraID>44AE1E84</paraID>
      <start>2</start>
      <end>3</end>
      <status>unmodified</status>
      <modifiedWord/>
      <trackRevisions>false</trackRevisions>
    </reviewItem>
    <reviewItem>
      <errorID>79ec2d01-1555-45e1-bd5c-44c9ed5f90b3</errorID>
      <errorWord>,</errorWord>
      <group>L1_Format</group>
      <groupName>格式问题</groupName>
      <ability>L2_HalfPunc</ability>
      <abilityName>全半角检查</abilityName>
      <candidateList>
        <item>，</item>
      </candidateList>
      <explain>文本全半角错误。</explain>
      <paraID>44AE1E84</paraID>
      <start>11</start>
      <end>12</end>
      <status>unmodified</status>
      <modifiedWord/>
      <trackRevisions>false</trackRevisions>
    </reviewItem>
    <reviewItem>
      <errorID>1e187fed-4aec-4388-bd6c-d084736270d3</errorID>
      <errorWord>(</errorWord>
      <group>L1_Format</group>
      <groupName>格式问题</groupName>
      <ability>L2_HalfPunc</ability>
      <abilityName>全半角检查</abilityName>
      <candidateList>
        <item>（</item>
      </candidateList>
      <explain>文本全半角错误。</explain>
      <paraID>66D583BE</paraID>
      <start>25</start>
      <end>26</end>
      <status>unmodified</status>
      <modifiedWord/>
      <trackRevisions>false</trackRevisions>
    </reviewItem>
    <reviewItem>
      <errorID>d925035b-8c92-44f9-adbb-22570d7beed6</errorID>
      <errorWord>)</errorWord>
      <group>L1_Format</group>
      <groupName>格式问题</groupName>
      <ability>L2_HalfPunc</ability>
      <abilityName>全半角检查</abilityName>
      <candidateList>
        <item>）</item>
      </candidateList>
      <explain>文本全半角错误。</explain>
      <paraID>66D583BE</paraID>
      <start>30</start>
      <end>31</end>
      <status>unmodified</status>
      <modifiedWord/>
      <trackRevisions>false</trackRevisions>
    </reviewItem>
    <reviewItem>
      <errorID>5ccb50ad-af9e-4e70-ae6c-4bd1b9de222f</errorID>
      <errorWord>(</errorWord>
      <group>L1_Format</group>
      <groupName>格式问题</groupName>
      <ability>L2_HalfPunc</ability>
      <abilityName>全半角检查</abilityName>
      <candidateList>
        <item>（</item>
      </candidateList>
      <explain>文本全半角错误。</explain>
      <paraID>66D583BE</paraID>
      <start>51</start>
      <end>52</end>
      <status>unmodified</status>
      <modifiedWord/>
      <trackRevisions>false</trackRevisions>
    </reviewItem>
    <reviewItem>
      <errorID>c2c1091c-4567-47d8-be56-836fef2f582a</errorID>
      <errorWord>)</errorWord>
      <group>L1_Format</group>
      <groupName>格式问题</groupName>
      <ability>L2_HalfPunc</ability>
      <abilityName>全半角检查</abilityName>
      <candidateList>
        <item>）</item>
      </candidateList>
      <explain>文本全半角错误。</explain>
      <paraID>66D583BE</paraID>
      <start>56</start>
      <end>57</end>
      <status>unmodified</status>
      <modifiedWord/>
      <trackRevisions>false</trackRevisions>
    </reviewItem>
    <reviewItem>
      <errorID>c617173f-c540-40c6-970c-41174f763847</errorID>
      <errorWord>：</errorWord>
      <group>L1_Format</group>
      <groupName>格式问题</groupName>
      <ability>L2_HalfPunc</ability>
      <abilityName>全半角检查</abilityName>
      <candidateList>
        <item>:</item>
      </candidateList>
      <explain>文本全半角错误。</explain>
      <paraID>66D583BE</paraID>
      <start>62</start>
      <end>63</end>
      <status>unmodified</status>
      <modifiedWord/>
      <trackRevisions>false</trackRevisions>
    </reviewItem>
    <reviewItem>
      <errorID>cd23bb3a-933f-4b90-a66c-7b2bdcb58618</errorID>
      <errorWord>(</errorWord>
      <group>L1_Format</group>
      <groupName>格式问题</groupName>
      <ability>L2_HalfPunc</ability>
      <abilityName>全半角检查</abilityName>
      <candidateList>
        <item>（</item>
      </candidateList>
      <explain>文本全半角错误。</explain>
      <paraID>66D583BE</paraID>
      <start>69</start>
      <end>70</end>
      <status>unmodified</status>
      <modifiedWord/>
      <trackRevisions>false</trackRevisions>
    </reviewItem>
    <reviewItem>
      <errorID>0713dbe3-4bfb-47e1-bfe6-49f40545588a</errorID>
      <errorWord>)</errorWord>
      <group>L1_Format</group>
      <groupName>格式问题</groupName>
      <ability>L2_HalfPunc</ability>
      <abilityName>全半角检查</abilityName>
      <candidateList>
        <item>）</item>
      </candidateList>
      <explain>文本全半角错误。</explain>
      <paraID>66D583BE</paraID>
      <start>77</start>
      <end>78</end>
      <status>unmodified</status>
      <modifiedWord/>
      <trackRevisions>false</trackRevisions>
    </reviewItem>
    <reviewItem>
      <errorID>7cf740de-a741-4e3f-8df1-a677a32253f0</errorID>
      <errorWord>咳</errorWord>
      <group>L1_Word</group>
      <groupName>字词问题</groupName>
      <ability>L2_Typo</ability>
      <abilityName>字词错误</abilityName>
      <candidateList>
        <item>咳嗽</item>
      </candidateList>
      <explain/>
      <paraID>282C0F67</paraID>
      <start>24</start>
      <end>26</end>
      <status>modified</status>
      <modifiedWord>咳嗽</modifiedWord>
      <trackRevisions>false</trackRevisions>
    </reviewItem>
    <reviewItem>
      <errorID>a243648f-8bb6-4414-a922-fdfd9081ff28</errorID>
      <errorWord>：</errorWord>
      <group>L1_Format</group>
      <groupName>格式问题</groupName>
      <ability>L2_HalfPunc</ability>
      <abilityName>全半角检查</abilityName>
      <candidateList>
        <item>:</item>
      </candidateList>
      <explain>文本全半角错误。</explain>
      <paraID>19FBE4E0</paraID>
      <start>4</start>
      <end>5</end>
      <status>unmodified</status>
      <modifiedWord/>
      <trackRevisions>false</trackRevisions>
    </reviewItem>
    <reviewItem>
      <errorID>8e1e7a18-5529-4d7d-8978-07c1316cc5fe</errorID>
      <errorWord>(</errorWord>
      <group>L1_Format</group>
      <groupName>格式问题</groupName>
      <ability>L2_HalfPunc</ability>
      <abilityName>全半角检查</abilityName>
      <candidateList>
        <item>（</item>
      </candidateList>
      <explain>文本全半角错误。</explain>
      <paraID>19FBE4E0</paraID>
      <start>14</start>
      <end>15</end>
      <status>unmodified</status>
      <modifiedWord/>
      <trackRevisions>false</trackRevisions>
    </reviewItem>
    <reviewItem>
      <errorID>f2672b44-8798-4962-a27d-8a860a13ecee</errorID>
      <errorWord>)</errorWord>
      <group>L1_Format</group>
      <groupName>格式问题</groupName>
      <ability>L2_HalfPunc</ability>
      <abilityName>全半角检查</abilityName>
      <candidateList>
        <item>）</item>
      </candidateList>
      <explain>文本全半角错误。</explain>
      <paraID>19FBE4E0</paraID>
      <start>19</start>
      <end>20</end>
      <status>unmodified</status>
      <modifiedWord/>
      <trackRevisions>false</trackRevisions>
    </reviewItem>
    <reviewItem>
      <errorID>e5808027-d6b0-445a-8098-6513f2a4b288</errorID>
      <errorWord>：</errorWord>
      <group>L1_Format</group>
      <groupName>格式问题</groupName>
      <ability>L2_HalfPunc</ability>
      <abilityName>全半角检查</abilityName>
      <candidateList>
        <item>:</item>
      </candidateList>
      <explain>文本全半角错误。</explain>
      <paraID>6F8827E9</paraID>
      <start>4</start>
      <end>5</end>
      <status>unmodified</status>
      <modifiedWord/>
      <trackRevisions>false</trackRevisions>
    </reviewItem>
    <reviewItem>
      <errorID>ac755fa2-b4da-49f7-b377-9b38147bdfa4</errorID>
      <errorWord>(</errorWord>
      <group>L1_Format</group>
      <groupName>格式问题</groupName>
      <ability>L2_HalfPunc</ability>
      <abilityName>全半角检查</abilityName>
      <candidateList>
        <item>（</item>
      </candidateList>
      <explain>文本全半角错误。</explain>
      <paraID>6F8827E9</paraID>
      <start>16</start>
      <end>17</end>
      <status>unmodified</status>
      <modifiedWord/>
      <trackRevisions>false</trackRevisions>
    </reviewItem>
    <reviewItem>
      <errorID>52cb7248-3f55-4e4b-bca9-00e3e1d8dbda</errorID>
      <errorWord>)</errorWord>
      <group>L1_Format</group>
      <groupName>格式问题</groupName>
      <ability>L2_HalfPunc</ability>
      <abilityName>全半角检查</abilityName>
      <candidateList>
        <item>）</item>
      </candidateList>
      <explain>文本全半角错误。</explain>
      <paraID>6F8827E9</paraID>
      <start>27</start>
      <end>28</end>
      <status>unmodified</status>
      <modifiedWord/>
      <trackRevisions>false</trackRevisions>
    </reviewItem>
    <reviewItem>
      <errorID>172854dd-4a20-417e-af6d-1f191a6494aa</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556FFADF</paraID>
      <start>13</start>
      <end>16</end>
      <status>modified</status>
      <modifiedWord>刺激征</modifiedWord>
      <trackRevisions>false</trackRevisions>
    </reviewItem>
    <reviewItem>
      <errorID>d566561d-cb04-4658-a193-1b31b98ef031</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556FFADF</paraID>
      <start>79</start>
      <end>82</end>
      <status>modified</status>
      <modifiedWord>刺激征</modifiedWord>
      <trackRevisions>false</trackRevisions>
    </reviewItem>
    <reviewItem>
      <errorID>4f7cd01f-4d4c-44f2-945d-2d742ac89ae1</errorID>
      <errorWord>，这</errorWord>
      <group>L1_Word</group>
      <groupName>字词问题</groupName>
      <ability>L2_Typo</ability>
      <abilityName>字词错误</abilityName>
      <candidateList>
        <item>，</item>
      </candidateList>
      <explain/>
      <paraID>1EB70611</paraID>
      <start>52</start>
      <end>54</end>
      <status>unmodified</status>
      <modifiedWord/>
      <trackRevisions>false</trackRevisions>
    </reviewItem>
    <reviewItem>
      <errorID>ca4b6555-9af5-441b-b300-607b2fccd378</errorID>
      <errorWord>：</errorWord>
      <group>L1_Format</group>
      <groupName>格式问题</groupName>
      <ability>L2_HalfPunc</ability>
      <abilityName>全半角检查</abilityName>
      <candidateList>
        <item>:</item>
      </candidateList>
      <explain>文本全半角错误。</explain>
      <paraID>6E707E82</paraID>
      <start>4</start>
      <end>5</end>
      <status>unmodified</status>
      <modifiedWord/>
      <trackRevisions>false</trackRevisions>
    </reviewItem>
    <reviewItem>
      <errorID>c9a7d25a-3fe7-42a6-bb50-96c33d7b437e</errorID>
      <errorWord>：</errorWord>
      <group>L1_Format</group>
      <groupName>格式问题</groupName>
      <ability>L2_HalfPunc</ability>
      <abilityName>全半角检查</abilityName>
      <candidateList>
        <item>:</item>
      </candidateList>
      <explain>文本全半角错误。</explain>
      <paraID>6E707E82</paraID>
      <start>25</start>
      <end>26</end>
      <status>unmodified</status>
      <modifiedWord/>
      <trackRevisions>false</trackRevisions>
    </reviewItem>
    <reviewItem>
      <errorID>a354d11f-3610-46e3-a497-8b8b4543dab8</errorID>
      <errorWord>：</errorWord>
      <group>L1_Format</group>
      <groupName>格式问题</groupName>
      <ability>L2_HalfPunc</ability>
      <abilityName>全半角检查</abilityName>
      <candidateList>
        <item>:</item>
      </candidateList>
      <explain>文本全半角错误。</explain>
      <paraID>6E707E82</paraID>
      <start>47</start>
      <end>48</end>
      <status>unmodified</status>
      <modifiedWord/>
      <trackRevisions>false</trackRevisions>
    </reviewItem>
    <reviewItem>
      <errorID>1a91e600-ef92-43f4-95e2-899d06b84edc</errorID>
      <errorWord>(</errorWord>
      <group>L1_Format</group>
      <groupName>格式问题</groupName>
      <ability>L2_HalfPunc</ability>
      <abilityName>全半角检查</abilityName>
      <candidateList>
        <item>（</item>
      </candidateList>
      <explain>文本全半角错误。</explain>
      <paraID>6E707E82</paraID>
      <start>57</start>
      <end>58</end>
      <status>unmodified</status>
      <modifiedWord/>
      <trackRevisions>false</trackRevisions>
    </reviewItem>
    <reviewItem>
      <errorID>fca50edd-5de8-45d2-876b-60387c0728bc</errorID>
      <errorWord>)</errorWord>
      <group>L1_Format</group>
      <groupName>格式问题</groupName>
      <ability>L2_HalfPunc</ability>
      <abilityName>全半角检查</abilityName>
      <candidateList>
        <item>）</item>
      </candidateList>
      <explain>文本全半角错误。</explain>
      <paraID>6E707E82</paraID>
      <start>64</start>
      <end>65</end>
      <status>unmodified</status>
      <modifiedWord/>
      <trackRevisions>false</trackRevisions>
    </reviewItem>
    <reviewItem>
      <errorID>22f2e9cf-bffd-488b-a383-306d7b0bbc67</errorID>
      <errorWord>,</errorWord>
      <group>L1_Format</group>
      <groupName>格式问题</groupName>
      <ability>L2_HalfPunc</ability>
      <abilityName>全半角检查</abilityName>
      <candidateList>
        <item>，</item>
      </candidateList>
      <explain>文本全半角错误。</explain>
      <paraID> B8B0179</paraID>
      <start>19</start>
      <end>20</end>
      <status>unmodified</status>
      <modifiedWord/>
      <trackRevisions>false</trackRevisions>
    </reviewItem>
    <reviewItem>
      <errorID>5e74b3f1-5ba1-4a6f-85a0-3a96a2623ab2</errorID>
      <errorWord>粘液</errorWord>
      <group>L1_Word</group>
      <groupName>字词问题</groupName>
      <ability>L2_Typo</ability>
      <abilityName>字词错误</abilityName>
      <candidateList>
        <item>黏液</item>
      </candidateList>
      <explain>存在发音相同字词的误用。</explain>
      <paraID> B8B0179</paraID>
      <start>52</start>
      <end>54</end>
      <status>unmodified</status>
      <modifiedWord/>
      <trackRevisions>false</trackRevisions>
    </reviewItem>
    <reviewItem>
      <errorID>e2eece31-e36f-4c62-8f75-c7b7f9996938</errorID>
      <errorWord>,</errorWord>
      <group>L1_Format</group>
      <groupName>格式问题</groupName>
      <ability>L2_HalfPunc</ability>
      <abilityName>全半角检查</abilityName>
      <candidateList>
        <item>，</item>
      </candidateList>
      <explain>文本全半角错误。</explain>
      <paraID> B8B0179</paraID>
      <start>76</start>
      <end>77</end>
      <status>unmodified</status>
      <modifiedWord/>
      <trackRevisions>false</trackRevisions>
    </reviewItem>
    <reviewItem>
      <errorID>99b20baf-e1bf-400d-9c10-c2d0405725aa</errorID>
      <errorWord>：</errorWord>
      <group>L1_Format</group>
      <groupName>格式问题</groupName>
      <ability>L2_HalfPunc</ability>
      <abilityName>全半角检查</abilityName>
      <candidateList>
        <item>:</item>
      </candidateList>
      <explain>文本全半角错误。</explain>
      <paraID>226DE9E5</paraID>
      <start>4</start>
      <end>5</end>
      <status>unmodified</status>
      <modifiedWord/>
      <trackRevisions>false</trackRevisions>
    </reviewItem>
    <reviewItem>
      <errorID>507c2e97-ebc3-4ecc-b630-311b92db5de1</errorID>
      <errorWord>(</errorWord>
      <group>L1_Format</group>
      <groupName>格式问题</groupName>
      <ability>L2_HalfPunc</ability>
      <abilityName>全半角检查</abilityName>
      <candidateList>
        <item>（</item>
      </candidateList>
      <explain>文本全半角错误。</explain>
      <paraID>226DE9E5</paraID>
      <start>14</start>
      <end>15</end>
      <status>unmodified</status>
      <modifiedWord/>
      <trackRevisions>false</trackRevisions>
    </reviewItem>
    <reviewItem>
      <errorID>215c4e5d-025a-49db-a129-c258e0d8f809</errorID>
      <errorWord>)</errorWord>
      <group>L1_Format</group>
      <groupName>格式问题</groupName>
      <ability>L2_HalfPunc</ability>
      <abilityName>全半角检查</abilityName>
      <candidateList>
        <item>）</item>
      </candidateList>
      <explain>文本全半角错误。</explain>
      <paraID>226DE9E5</paraID>
      <start>19</start>
      <end>20</end>
      <status>unmodified</status>
      <modifiedWord/>
      <trackRevisions>false</trackRevisions>
    </reviewItem>
    <reviewItem>
      <errorID>b669cd41-bd71-494a-8de0-892e709a010c</errorID>
      <errorWord>：</errorWord>
      <group>L1_Format</group>
      <groupName>格式问题</groupName>
      <ability>L2_HalfPunc</ability>
      <abilityName>全半角检查</abilityName>
      <candidateList>
        <item>:</item>
      </candidateList>
      <explain>文本全半角错误。</explain>
      <paraID>6DB2B820</paraID>
      <start>4</start>
      <end>5</end>
      <status>unmodified</status>
      <modifiedWord/>
      <trackRevisions>false</trackRevisions>
    </reviewItem>
    <reviewItem>
      <errorID>ff044d4b-7502-4558-84d9-1cef3808c3b9</errorID>
      <errorWord>(</errorWord>
      <group>L1_Format</group>
      <groupName>格式问题</groupName>
      <ability>L2_HalfPunc</ability>
      <abilityName>全半角检查</abilityName>
      <candidateList>
        <item>（</item>
      </candidateList>
      <explain>文本全半角错误。</explain>
      <paraID>6DB2B820</paraID>
      <start>15</start>
      <end>16</end>
      <status>unmodified</status>
      <modifiedWord/>
      <trackRevisions>false</trackRevisions>
    </reviewItem>
    <reviewItem>
      <errorID>ea43ca9f-d03a-4e74-aabc-2329d3641176</errorID>
      <errorWord>)</errorWord>
      <group>L1_Format</group>
      <groupName>格式问题</groupName>
      <ability>L2_HalfPunc</ability>
      <abilityName>全半角检查</abilityName>
      <candidateList>
        <item>）</item>
      </candidateList>
      <explain>文本全半角错误。</explain>
      <paraID>6DB2B820</paraID>
      <start>23</start>
      <end>24</end>
      <status>unmodified</status>
      <modifiedWord/>
      <trackRevisions>false</trackRevisions>
    </reviewItem>
    <reviewItem>
      <errorID>c0d80680-1230-4424-80cd-6e01deeba8f2</errorID>
      <errorWord>：</errorWord>
      <group>L1_Format</group>
      <groupName>格式问题</groupName>
      <ability>L2_HalfPunc</ability>
      <abilityName>全半角检查</abilityName>
      <candidateList>
        <item>:</item>
      </candidateList>
      <explain>文本全半角错误。</explain>
      <paraID>1783477F</paraID>
      <start>4</start>
      <end>5</end>
      <status>unmodified</status>
      <modifiedWord/>
      <trackRevisions>false</trackRevisions>
    </reviewItem>
    <reviewItem>
      <errorID>90d845b9-cc18-48de-8ad1-d97110e07c78</errorID>
      <errorWord>(</errorWord>
      <group>L1_Format</group>
      <groupName>格式问题</groupName>
      <ability>L2_HalfPunc</ability>
      <abilityName>全半角检查</abilityName>
      <candidateList>
        <item>（</item>
      </candidateList>
      <explain>文本全半角错误。</explain>
      <paraID>1783477F</paraID>
      <start>14</start>
      <end>15</end>
      <status>unmodified</status>
      <modifiedWord/>
      <trackRevisions>false</trackRevisions>
    </reviewItem>
    <reviewItem>
      <errorID>766bcf4a-aacd-4517-a2ed-936400417507</errorID>
      <errorWord>)</errorWord>
      <group>L1_Format</group>
      <groupName>格式问题</groupName>
      <ability>L2_HalfPunc</ability>
      <abilityName>全半角检查</abilityName>
      <candidateList>
        <item>）</item>
      </candidateList>
      <explain>文本全半角错误。</explain>
      <paraID>1783477F</paraID>
      <start>19</start>
      <end>20</end>
      <status>unmodified</status>
      <modifiedWord/>
      <trackRevisions>false</trackRevisions>
    </reviewItem>
    <reviewItem>
      <errorID>bdd492ae-4ffa-42d0-a6cf-f4871583108e</errorID>
      <errorWord>(</errorWord>
      <group>L1_Format</group>
      <groupName>格式问题</groupName>
      <ability>L2_HalfPunc</ability>
      <abilityName>全半角检查</abilityName>
      <candidateList>
        <item>（</item>
      </candidateList>
      <explain>文本全半角错误。</explain>
      <paraID>1783477F</paraID>
      <start>31</start>
      <end>32</end>
      <status>unmodified</status>
      <modifiedWord/>
      <trackRevisions>false</trackRevisions>
    </reviewItem>
    <reviewItem>
      <errorID>b533277a-40bf-4a57-9cf6-345cbfc9ae76</errorID>
      <errorWord>)</errorWord>
      <group>L1_Format</group>
      <groupName>格式问题</groupName>
      <ability>L2_HalfPunc</ability>
      <abilityName>全半角检查</abilityName>
      <candidateList>
        <item>）</item>
      </candidateList>
      <explain>文本全半角错误。</explain>
      <paraID>1783477F</paraID>
      <start>35</start>
      <end>36</end>
      <status>unmodified</status>
      <modifiedWord/>
      <trackRevisions>false</trackRevisions>
    </reviewItem>
    <reviewItem>
      <errorID>e0828c41-fb3f-4881-9055-0c31c926ee20</errorID>
      <errorWord>生</errorWord>
      <group>L1_Word</group>
      <groupName>字词问题</groupName>
      <ability>L2_Typo</ability>
      <abilityName>字词错误</abilityName>
      <candidateList>
        <item>生物</item>
      </candidateList>
      <explain/>
      <paraID> 98E5CCF</paraID>
      <start>40</start>
      <end>41</end>
      <status>unmodified</status>
      <modifiedWord/>
      <trackRevisions>false</trackRevisions>
    </reviewItem>
    <reviewItem>
      <errorID>2b1a4fc5-eae7-4aeb-8136-8bd077081b44</errorID>
      <errorWord>：</errorWord>
      <group>L1_Format</group>
      <groupName>格式问题</groupName>
      <ability>L2_HalfPunc</ability>
      <abilityName>全半角检查</abilityName>
      <candidateList>
        <item>:</item>
      </candidateList>
      <explain>文本全半角错误。</explain>
      <paraID>26C02E39</paraID>
      <start>4</start>
      <end>5</end>
      <status>unmodified</status>
      <modifiedWord/>
      <trackRevisions>false</trackRevisions>
    </reviewItem>
    <reviewItem>
      <errorID>493f23e5-300e-4008-a2eb-5c78e6cf0eeb</errorID>
      <errorWord>(</errorWord>
      <group>L1_Format</group>
      <groupName>格式问题</groupName>
      <ability>L2_HalfPunc</ability>
      <abilityName>全半角检查</abilityName>
      <candidateList>
        <item>（</item>
      </candidateList>
      <explain>文本全半角错误。</explain>
      <paraID>26C02E39</paraID>
      <start>14</start>
      <end>15</end>
      <status>unmodified</status>
      <modifiedWord/>
      <trackRevisions>false</trackRevisions>
    </reviewItem>
    <reviewItem>
      <errorID>5d76ce24-91cc-4a71-9ed3-e6ac1e5f3afd</errorID>
      <errorWord>)</errorWord>
      <group>L1_Format</group>
      <groupName>格式问题</groupName>
      <ability>L2_HalfPunc</ability>
      <abilityName>全半角检查</abilityName>
      <candidateList>
        <item>）</item>
      </candidateList>
      <explain>文本全半角错误。</explain>
      <paraID>26C02E39</paraID>
      <start>18</start>
      <end>19</end>
      <status>unmodified</status>
      <modifiedWord/>
      <trackRevisions>false</trackRevisions>
    </reviewItem>
    <reviewItem>
      <errorID>bf51e3e6-8328-450b-b974-c1a199035d06</errorID>
      <errorWord>(</errorWord>
      <group>L1_Format</group>
      <groupName>格式问题</groupName>
      <ability>L2_HalfPunc</ability>
      <abilityName>全半角检查</abilityName>
      <candidateList>
        <item>（</item>
      </candidateList>
      <explain>文本全半角错误。</explain>
      <paraID>26C02E39</paraID>
      <start>30</start>
      <end>31</end>
      <status>unmodified</status>
      <modifiedWord/>
      <trackRevisions>false</trackRevisions>
    </reviewItem>
    <reviewItem>
      <errorID>db07cb10-b8ba-4c57-a72a-addb2888766e</errorID>
      <errorWord>)</errorWord>
      <group>L1_Format</group>
      <groupName>格式问题</groupName>
      <ability>L2_HalfPunc</ability>
      <abilityName>全半角检查</abilityName>
      <candidateList>
        <item>）</item>
      </candidateList>
      <explain>文本全半角错误。</explain>
      <paraID>26C02E39</paraID>
      <start>34</start>
      <end>35</end>
      <status>unmodified</status>
      <modifiedWord/>
      <trackRevisions>false</trackRevisions>
    </reviewItem>
    <reviewItem>
      <errorID>a6937aff-b3c3-481f-9c45-a7efc4b85398</errorID>
      <errorWord>：</errorWord>
      <group>L1_Format</group>
      <groupName>格式问题</groupName>
      <ability>L2_HalfPunc</ability>
      <abilityName>全半角检查</abilityName>
      <candidateList>
        <item>:</item>
      </candidateList>
      <explain>文本全半角错误。</explain>
      <paraID>35BA09D7</paraID>
      <start>4</start>
      <end>5</end>
      <status>unmodified</status>
      <modifiedWord/>
      <trackRevisions>false</trackRevisions>
    </reviewItem>
    <reviewItem>
      <errorID>d334e3d2-1a4a-4a9f-82d9-d14c03d1bf95</errorID>
      <errorWord>(</errorWord>
      <group>L1_Format</group>
      <groupName>格式问题</groupName>
      <ability>L2_HalfPunc</ability>
      <abilityName>全半角检查</abilityName>
      <candidateList>
        <item>（</item>
      </candidateList>
      <explain>文本全半角错误。</explain>
      <paraID>35BA09D7</paraID>
      <start>18</start>
      <end>19</end>
      <status>unmodified</status>
      <modifiedWord/>
      <trackRevisions>false</trackRevisions>
    </reviewItem>
    <reviewItem>
      <errorID>2b8b7512-322b-4c5d-b9c1-4793042d16c2</errorID>
      <errorWord>)</errorWord>
      <group>L1_Format</group>
      <groupName>格式问题</groupName>
      <ability>L2_HalfPunc</ability>
      <abilityName>全半角检查</abilityName>
      <candidateList>
        <item>）</item>
      </candidateList>
      <explain>文本全半角错误。</explain>
      <paraID>35BA09D7</paraID>
      <start>23</start>
      <end>24</end>
      <status>unmodified</status>
      <modifiedWord/>
      <trackRevisions>false</trackRevisions>
    </reviewItem>
    <reviewItem>
      <errorID>85e113c0-63ee-4339-9e41-64329c846236</errorID>
      <errorWord>：</errorWord>
      <group>L1_Format</group>
      <groupName>格式问题</groupName>
      <ability>L2_HalfPunc</ability>
      <abilityName>全半角检查</abilityName>
      <candidateList>
        <item>:</item>
      </candidateList>
      <explain>文本全半角错误。</explain>
      <paraID>4A06B7D5</paraID>
      <start>4</start>
      <end>5</end>
      <status>unmodified</status>
      <modifiedWord/>
      <trackRevisions>false</trackRevisions>
    </reviewItem>
    <reviewItem>
      <errorID>c4c85dd9-9d10-4de4-8c0f-4a03c02b8eba</errorID>
      <errorWord>(</errorWord>
      <group>L1_Format</group>
      <groupName>格式问题</groupName>
      <ability>L2_HalfPunc</ability>
      <abilityName>全半角检查</abilityName>
      <candidateList>
        <item>（</item>
      </candidateList>
      <explain>文本全半角错误。</explain>
      <paraID>4A06B7D5</paraID>
      <start>14</start>
      <end>15</end>
      <status>unmodified</status>
      <modifiedWord/>
      <trackRevisions>false</trackRevisions>
    </reviewItem>
    <reviewItem>
      <errorID>c0287920-b131-4cc5-ac6e-dbad009512d3</errorID>
      <errorWord>)</errorWord>
      <group>L1_Format</group>
      <groupName>格式问题</groupName>
      <ability>L2_HalfPunc</ability>
      <abilityName>全半角检查</abilityName>
      <candidateList>
        <item>）</item>
      </candidateList>
      <explain>文本全半角错误。</explain>
      <paraID>4A06B7D5</paraID>
      <start>19</start>
      <end>20</end>
      <status>unmodified</status>
      <modifiedWord/>
      <trackRevisions>false</trackRevisions>
    </reviewItem>
    <reviewItem>
      <errorID>115010f7-325a-4feb-b1d8-f54cf5f76538</errorID>
      <errorWord>(</errorWord>
      <group>L1_Format</group>
      <groupName>格式问题</groupName>
      <ability>L2_HalfPunc</ability>
      <abilityName>全半角检查</abilityName>
      <candidateList>
        <item>（</item>
      </candidateList>
      <explain>文本全半角错误。</explain>
      <paraID>4A06B7D5</paraID>
      <start>29</start>
      <end>30</end>
      <status>unmodified</status>
      <modifiedWord/>
      <trackRevisions>false</trackRevisions>
    </reviewItem>
    <reviewItem>
      <errorID>75304ef3-8265-4961-b906-d8ec7112b66f</errorID>
      <errorWord>)</errorWord>
      <group>L1_Format</group>
      <groupName>格式问题</groupName>
      <ability>L2_HalfPunc</ability>
      <abilityName>全半角检查</abilityName>
      <candidateList>
        <item>）</item>
      </candidateList>
      <explain>文本全半角错误。</explain>
      <paraID>4A06B7D5</paraID>
      <start>33</start>
      <end>34</end>
      <status>unmodified</status>
      <modifiedWord/>
      <trackRevisions>false</trackRevisions>
    </reviewItem>
    <reviewItem>
      <errorID>5112a6bb-699c-42ad-afb2-836edecfc89f</errorID>
      <errorWord>:</errorWord>
      <group>L1_Format</group>
      <groupName>格式问题</groupName>
      <ability>L2_HalfPunc</ability>
      <abilityName>全半角检查</abilityName>
      <candidateList>
        <item>：</item>
      </candidateList>
      <explain>文本全半角错误。</explain>
      <paraID>7EBA002C</paraID>
      <start>62</start>
      <end>63</end>
      <status>unmodified</status>
      <modifiedWord/>
      <trackRevisions>false</trackRevisions>
    </reviewItem>
    <reviewItem>
      <errorID>312291da-21a2-4275-bb63-6c4b1e3d9d87</errorID>
      <errorWord>：</errorWord>
      <group>L1_Format</group>
      <groupName>格式问题</groupName>
      <ability>L2_HalfPunc</ability>
      <abilityName>全半角检查</abilityName>
      <candidateList>
        <item>:</item>
      </candidateList>
      <explain>文本全半角错误。</explain>
      <paraID>2C1CB791</paraID>
      <start>4</start>
      <end>5</end>
      <status>unmodified</status>
      <modifiedWord/>
      <trackRevisions>false</trackRevisions>
    </reviewItem>
    <reviewItem>
      <errorID>065e6240-ab20-4cc2-a076-8f7bd20ee931</errorID>
      <errorWord>(</errorWord>
      <group>L1_Format</group>
      <groupName>格式问题</groupName>
      <ability>L2_HalfPunc</ability>
      <abilityName>全半角检查</abilityName>
      <candidateList>
        <item>（</item>
      </candidateList>
      <explain>文本全半角错误。</explain>
      <paraID>2C1CB791</paraID>
      <start>14</start>
      <end>15</end>
      <status>unmodified</status>
      <modifiedWord/>
      <trackRevisions>false</trackRevisions>
    </reviewItem>
    <reviewItem>
      <errorID>2b435fed-dfb6-4475-aafc-0e45da3646f4</errorID>
      <errorWord>)</errorWord>
      <group>L1_Format</group>
      <groupName>格式问题</groupName>
      <ability>L2_HalfPunc</ability>
      <abilityName>全半角检查</abilityName>
      <candidateList>
        <item>）</item>
      </candidateList>
      <explain>文本全半角错误。</explain>
      <paraID>2C1CB791</paraID>
      <start>19</start>
      <end>20</end>
      <status>unmodified</status>
      <modifiedWord/>
      <trackRevisions>false</trackRevisions>
    </reviewItem>
    <reviewItem>
      <errorID>7698d23b-6ff7-4b0e-9cd9-1318df88ba69</errorID>
      <errorWord>：</errorWord>
      <group>L1_Format</group>
      <groupName>格式问题</groupName>
      <ability>L2_HalfPunc</ability>
      <abilityName>全半角检查</abilityName>
      <candidateList>
        <item>:</item>
      </candidateList>
      <explain>文本全半角错误。</explain>
      <paraID>2C1CB791</paraID>
      <start>25</start>
      <end>26</end>
      <status>unmodified</status>
      <modifiedWord/>
      <trackRevisions>false</trackRevisions>
    </reviewItem>
    <reviewItem>
      <errorID>1f1e9126-e935-41cd-806a-e12af75e55ea</errorID>
      <errorWord>(</errorWord>
      <group>L1_Format</group>
      <groupName>格式问题</groupName>
      <ability>L2_HalfPunc</ability>
      <abilityName>全半角检查</abilityName>
      <candidateList>
        <item>（</item>
      </candidateList>
      <explain>文本全半角错误。</explain>
      <paraID>2C1CB791</paraID>
      <start>35</start>
      <end>36</end>
      <status>unmodified</status>
      <modifiedWord/>
      <trackRevisions>false</trackRevisions>
    </reviewItem>
    <reviewItem>
      <errorID>59f6dccc-528d-49fe-902d-187eece5a416</errorID>
      <errorWord>)</errorWord>
      <group>L1_Format</group>
      <groupName>格式问题</groupName>
      <ability>L2_HalfPunc</ability>
      <abilityName>全半角检查</abilityName>
      <candidateList>
        <item>）</item>
      </candidateList>
      <explain>文本全半角错误。</explain>
      <paraID>2C1CB791</paraID>
      <start>44</start>
      <end>45</end>
      <status>unmodified</status>
      <modifiedWord/>
      <trackRevisions>false</trackRevisions>
    </reviewItem>
    <reviewItem>
      <errorID>25169f3a-3fe4-4de0-b981-fb561328513f</errorID>
      <errorWord>(</errorWord>
      <group>L1_Format</group>
      <groupName>格式问题</groupName>
      <ability>L2_HalfPunc</ability>
      <abilityName>全半角检查</abilityName>
      <candidateList>
        <item>（</item>
      </candidateList>
      <explain>文本全半角错误。</explain>
      <paraID>73C0D269</paraID>
      <start>14</start>
      <end>15</end>
      <status>unmodified</status>
      <modifiedWord/>
      <trackRevisions>false</trackRevisions>
    </reviewItem>
    <reviewItem>
      <errorID>9bd45182-876e-4d08-aeb3-1e76c7b85333</errorID>
      <errorWord>)</errorWord>
      <group>L1_Format</group>
      <groupName>格式问题</groupName>
      <ability>L2_HalfPunc</ability>
      <abilityName>全半角检查</abilityName>
      <candidateList>
        <item>）</item>
      </candidateList>
      <explain>文本全半角错误。</explain>
      <paraID>73C0D269</paraID>
      <start>19</start>
      <end>20</end>
      <status>unmodified</status>
      <modifiedWord/>
      <trackRevisions>false</trackRevisions>
    </reviewItem>
    <reviewItem>
      <errorID>fbcd4e6f-01b2-4d52-8ee9-5c2dd4cc5a05</errorID>
      <errorWord>(</errorWord>
      <group>L1_Format</group>
      <groupName>格式问题</groupName>
      <ability>L2_HalfPunc</ability>
      <abilityName>全半角检查</abilityName>
      <candidateList>
        <item>（</item>
      </candidateList>
      <explain>文本全半角错误。</explain>
      <paraID>73C0D269</paraID>
      <start>39</start>
      <end>40</end>
      <status>unmodified</status>
      <modifiedWord/>
      <trackRevisions>false</trackRevisions>
    </reviewItem>
    <reviewItem>
      <errorID>2d062bfd-94a3-4fc6-b46c-73b77abc66a9</errorID>
      <errorWord>)</errorWord>
      <group>L1_Format</group>
      <groupName>格式问题</groupName>
      <ability>L2_HalfPunc</ability>
      <abilityName>全半角检查</abilityName>
      <candidateList>
        <item>）</item>
      </candidateList>
      <explain>文本全半角错误。</explain>
      <paraID>73C0D269</paraID>
      <start>44</start>
      <end>45</end>
      <status>unmodified</status>
      <modifiedWord/>
      <trackRevisions>false</trackRevisions>
    </reviewItem>
    <reviewItem>
      <errorID>b483e5b4-dba5-4df6-ba62-2e00c5bfdb1d</errorID>
      <errorWord>混浊</errorWord>
      <group>L1_Word</group>
      <groupName>字词问题</groupName>
      <ability>L2_Typo</ability>
      <abilityName>字词错误</abilityName>
      <candidateList>
        <item>浑浊</item>
      </candidateList>
      <explain/>
      <paraID>475506B9</paraID>
      <start>25</start>
      <end>27</end>
      <status>modified</status>
      <modifiedWord>浑浊</modifiedWord>
      <trackRevisions>false</trackRevisions>
    </reviewItem>
    <reviewItem>
      <errorID>c79fad7e-b24b-465d-b371-8d54544064f5</errorID>
      <errorWord>甚至月</errorWord>
      <group>L1_Word</group>
      <groupName>字词问题</groupName>
      <ability>L2_Typo</ability>
      <abilityName>字词错误</abilityName>
      <candidateList>
        <item>甚至</item>
      </candidateList>
      <explain/>
      <paraID>475506B9</paraID>
      <start>34</start>
      <end>36</end>
      <status>modified</status>
      <modifiedWord>甚至</modifiedWord>
      <trackRevisions>false</trackRevisions>
    </reviewItem>
    <reviewItem>
      <errorID>fabe5cdf-48e9-4603-b012-86e4f400047c</errorID>
      <errorWord>：</errorWord>
      <group>L1_Format</group>
      <groupName>格式问题</groupName>
      <ability>L2_HalfPunc</ability>
      <abilityName>全半角检查</abilityName>
      <candidateList>
        <item>:</item>
      </candidateList>
      <explain>文本全半角错误。</explain>
      <paraID>6FE64B9E</paraID>
      <start>4</start>
      <end>5</end>
      <status>unmodified</status>
      <modifiedWord/>
      <trackRevisions>false</trackRevisions>
    </reviewItem>
    <reviewItem>
      <errorID>a8d4fb10-0879-40ac-9868-21637a3f8a7d</errorID>
      <errorWord>(</errorWord>
      <group>L1_Format</group>
      <groupName>格式问题</groupName>
      <ability>L2_HalfPunc</ability>
      <abilityName>全半角检查</abilityName>
      <candidateList>
        <item>（</item>
      </candidateList>
      <explain>文本全半角错误。</explain>
      <paraID>6FE64B9E</paraID>
      <start>12</start>
      <end>13</end>
      <status>unmodified</status>
      <modifiedWord/>
      <trackRevisions>false</trackRevisions>
    </reviewItem>
    <reviewItem>
      <errorID>7eaa74ee-a02a-461a-9eb6-09f36357dd2e</errorID>
      <errorWord>)</errorWord>
      <group>L1_Format</group>
      <groupName>格式问题</groupName>
      <ability>L2_HalfPunc</ability>
      <abilityName>全半角检查</abilityName>
      <candidateList>
        <item>）</item>
      </candidateList>
      <explain>文本全半角错误。</explain>
      <paraID>6FE64B9E</paraID>
      <start>17</start>
      <end>18</end>
      <status>unmodified</status>
      <modifiedWord/>
      <trackRevisions>false</trackRevisions>
    </reviewItem>
    <reviewItem>
      <errorID>eb484964-6fd4-4f3d-80e2-b00b55e17553</errorID>
      <errorWord>(</errorWord>
      <group>L1_Format</group>
      <groupName>格式问题</groupName>
      <ability>L2_HalfPunc</ability>
      <abilityName>全半角检查</abilityName>
      <candidateList>
        <item>（</item>
      </candidateList>
      <explain>文本全半角错误。</explain>
      <paraID>6FE64B9E</paraID>
      <start>27</start>
      <end>28</end>
      <status>unmodified</status>
      <modifiedWord/>
      <trackRevisions>false</trackRevisions>
    </reviewItem>
    <reviewItem>
      <errorID>3baf12e3-6ca7-4d55-ad6f-154721fedd2e</errorID>
      <errorWord>)</errorWord>
      <group>L1_Format</group>
      <groupName>格式问题</groupName>
      <ability>L2_HalfPunc</ability>
      <abilityName>全半角检查</abilityName>
      <candidateList>
        <item>）</item>
      </candidateList>
      <explain>文本全半角错误。</explain>
      <paraID>6FE64B9E</paraID>
      <start>31</start>
      <end>32</end>
      <status>unmodified</status>
      <modifiedWord/>
      <trackRevisions>false</trackRevisions>
    </reviewItem>
    <reviewItem>
      <errorID>0b173621-896f-410c-b38c-19c88127639a</errorID>
      <errorWord>：</errorWord>
      <group>L1_Format</group>
      <groupName>格式问题</groupName>
      <ability>L2_HalfPunc</ability>
      <abilityName>全半角检查</abilityName>
      <candidateList>
        <item>:</item>
      </candidateList>
      <explain>文本全半角错误。</explain>
      <paraID>70EFF18B</paraID>
      <start>4</start>
      <end>5</end>
      <status>unmodified</status>
      <modifiedWord/>
      <trackRevisions>false</trackRevisions>
    </reviewItem>
    <reviewItem>
      <errorID>44ac73e6-b58e-4493-b44b-099dbb7642b7</errorID>
      <errorWord>(</errorWord>
      <group>L1_Format</group>
      <groupName>格式问题</groupName>
      <ability>L2_HalfPunc</ability>
      <abilityName>全半角检查</abilityName>
      <candidateList>
        <item>（</item>
      </candidateList>
      <explain>文本全半角错误。</explain>
      <paraID>70EFF18B</paraID>
      <start>18</start>
      <end>19</end>
      <status>unmodified</status>
      <modifiedWord/>
      <trackRevisions>false</trackRevisions>
    </reviewItem>
    <reviewItem>
      <errorID>0d19f51a-3b1d-421c-b2e8-cb1867fd8e8e</errorID>
      <errorWord>)</errorWord>
      <group>L1_Format</group>
      <groupName>格式问题</groupName>
      <ability>L2_HalfPunc</ability>
      <abilityName>全半角检查</abilityName>
      <candidateList>
        <item>）</item>
      </candidateList>
      <explain>文本全半角错误。</explain>
      <paraID>70EFF18B</paraID>
      <start>23</start>
      <end>24</end>
      <status>unmodified</status>
      <modifiedWord/>
      <trackRevisions>false</trackRevisions>
    </reviewItem>
    <reviewItem>
      <errorID>8e5bf12f-3d05-4862-8814-1d3bc62b5a30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58966D56</paraID>
      <start>0</start>
      <end>2</end>
      <status>unmodified</status>
      <modifiedWord/>
      <trackRevisions>false</trackRevisions>
    </reviewItem>
    <reviewItem>
      <errorID>d7a90a16-1955-4f22-a3fb-5822bd205e40</errorID>
      <errorWord>台金</errorWord>
      <group>L1_Word</group>
      <groupName>字词问题</groupName>
      <ability>L2_Typo</ability>
      <abilityName>字词错误</abilityName>
      <candidateList>
        <item>合金</item>
      </candidateList>
      <explain>存在字形相近字词的误用。</explain>
      <paraID>1DED6B97</paraID>
      <start>71</start>
      <end>73</end>
      <status>unmodified</status>
      <modifiedWord/>
      <trackRevisions>false</trackRevisions>
    </reviewItem>
    <reviewItem>
      <errorID>bac93f3f-84bc-4f85-ab84-d437e1bb6b1a</errorID>
      <errorWord>：</errorWord>
      <group>L1_Format</group>
      <groupName>格式问题</groupName>
      <ability>L2_HalfPunc</ability>
      <abilityName>全半角检查</abilityName>
      <candidateList>
        <item>:</item>
      </candidateList>
      <explain>文本全半角错误。</explain>
      <paraID>51565AFB</paraID>
      <start>4</start>
      <end>5</end>
      <status>unmodified</status>
      <modifiedWord/>
      <trackRevisions>false</trackRevisions>
    </reviewItem>
    <reviewItem>
      <errorID>5405c0e7-f876-4dda-af47-a17850879507</errorID>
      <errorWord>(</errorWord>
      <group>L1_Format</group>
      <groupName>格式问题</groupName>
      <ability>L2_HalfPunc</ability>
      <abilityName>全半角检查</abilityName>
      <candidateList>
        <item>（</item>
      </candidateList>
      <explain>文本全半角错误。</explain>
      <paraID>51565AFB</paraID>
      <start>12</start>
      <end>13</end>
      <status>unmodified</status>
      <modifiedWord/>
      <trackRevisions>false</trackRevisions>
    </reviewItem>
    <reviewItem>
      <errorID>d9d5279d-e0dd-4cde-ad38-3916a64a584b</errorID>
      <errorWord>)</errorWord>
      <group>L1_Format</group>
      <groupName>格式问题</groupName>
      <ability>L2_HalfPunc</ability>
      <abilityName>全半角检查</abilityName>
      <candidateList>
        <item>）</item>
      </candidateList>
      <explain>文本全半角错误。</explain>
      <paraID>51565AFB</paraID>
      <start>17</start>
      <end>18</end>
      <status>unmodified</status>
      <modifiedWord/>
      <trackRevisions>false</trackRevisions>
    </reviewItem>
    <reviewItem>
      <errorID>1f1b2617-4f77-4295-8ba8-b37b92a51c4e</errorID>
      <errorWord>(</errorWord>
      <group>L1_Format</group>
      <groupName>格式问题</groupName>
      <ability>L2_HalfPunc</ability>
      <abilityName>全半角检查</abilityName>
      <candidateList>
        <item>（</item>
      </candidateList>
      <explain>文本全半角错误。</explain>
      <paraID>51565AFB</paraID>
      <start>27</start>
      <end>28</end>
      <status>unmodified</status>
      <modifiedWord/>
      <trackRevisions>false</trackRevisions>
    </reviewItem>
    <reviewItem>
      <errorID>2c597ce5-82a9-4bcc-b350-daa4895bd29b</errorID>
      <errorWord>)</errorWord>
      <group>L1_Format</group>
      <groupName>格式问题</groupName>
      <ability>L2_HalfPunc</ability>
      <abilityName>全半角检查</abilityName>
      <candidateList>
        <item>）</item>
      </candidateList>
      <explain>文本全半角错误。</explain>
      <paraID>51565AFB</paraID>
      <start>31</start>
      <end>32</end>
      <status>unmodified</status>
      <modifiedWord/>
      <trackRevisions>false</trackRevisions>
    </reviewItem>
    <reviewItem>
      <errorID>6c78a7b2-70a6-4d5f-b7b8-4d779805d7c9</errorID>
      <errorWord>：</errorWord>
      <group>L1_Format</group>
      <groupName>格式问题</groupName>
      <ability>L2_HalfPunc</ability>
      <abilityName>全半角检查</abilityName>
      <candidateList>
        <item>:</item>
      </candidateList>
      <explain>文本全半角错误。</explain>
      <paraID>78ED3C33</paraID>
      <start>4</start>
      <end>5</end>
      <status>unmodified</status>
      <modifiedWord/>
      <trackRevisions>false</trackRevisions>
    </reviewItem>
    <reviewItem>
      <errorID>31d7e5dd-6ec1-433c-b2a3-70def5e61de0</errorID>
      <errorWord>(</errorWord>
      <group>L1_Format</group>
      <groupName>格式问题</groupName>
      <ability>L2_HalfPunc</ability>
      <abilityName>全半角检查</abilityName>
      <candidateList>
        <item>（</item>
      </candidateList>
      <explain>文本全半角错误。</explain>
      <paraID>78ED3C33</paraID>
      <start>18</start>
      <end>19</end>
      <status>unmodified</status>
      <modifiedWord/>
      <trackRevisions>false</trackRevisions>
    </reviewItem>
    <reviewItem>
      <errorID>eb39ec40-09c6-48ec-aadd-754651c1729c</errorID>
      <errorWord>)</errorWord>
      <group>L1_Format</group>
      <groupName>格式问题</groupName>
      <ability>L2_HalfPunc</ability>
      <abilityName>全半角检查</abilityName>
      <candidateList>
        <item>）</item>
      </candidateList>
      <explain>文本全半角错误。</explain>
      <paraID>78ED3C33</paraID>
      <start>23</start>
      <end>24</end>
      <status>unmodified</status>
      <modifiedWord/>
      <trackRevisions>false</trackRevisions>
    </reviewItem>
    <reviewItem>
      <errorID>4f789be2-caa5-4318-8971-076d15fc871a</errorID>
      <errorWord>:</errorWord>
      <group>L1_Format</group>
      <groupName>格式问题</groupName>
      <ability>L2_HalfPunc</ability>
      <abilityName>全半角检查</abilityName>
      <candidateList>
        <item>：</item>
      </candidateList>
      <explain>文本全半角错误。</explain>
      <paraID>4DBB7307</paraID>
      <start>4</start>
      <end>5</end>
      <status>unmodified</status>
      <modifiedWord/>
      <trackRevisions>false</trackRevisions>
    </reviewItem>
    <reviewItem>
      <errorID>52dab513-3a7f-4276-9ce2-c71d450b89c4</errorID>
      <errorWord>紫绀</errorWord>
      <group>L1_Knowledge</group>
      <groupName>知识性问题</groupName>
      <ability>L2_Term</ability>
      <abilityName>专业术语</abilityName>
      <candidateList>
        <item>发绀</item>
      </candidateList>
      <explain>医学名词[紫绀]为不规范表述或旧称，其规范书面表述为[发绀]。</explain>
      <paraID>2B38BB3F</paraID>
      <start>21</start>
      <end>23</end>
      <status>unmodified</status>
      <modifiedWord/>
      <trackRevisions>false</trackRevisions>
    </reviewItem>
    <reviewItem>
      <errorID>470f1e98-f4e8-48ec-9a69-e4748bb5de7e</errorID>
      <errorWord>,</errorWord>
      <group>L1_Format</group>
      <groupName>格式问题</groupName>
      <ability>L2_HalfPunc</ability>
      <abilityName>全半角检查</abilityName>
      <candidateList>
        <item>，</item>
      </candidateList>
      <explain>文本全半角错误。</explain>
      <paraID>3A742259</paraID>
      <start>10</start>
      <end>11</end>
      <status>unmodified</status>
      <modifiedWord/>
      <trackRevisions>false</trackRevisions>
    </reviewItem>
    <reviewItem>
      <errorID>7a20548a-9a68-45f4-a02a-883630814769</errorID>
      <errorWord>.</errorWord>
      <group>L1_Format</group>
      <groupName>格式问题</groupName>
      <ability>L2_HalfPunc</ability>
      <abilityName>全半角检查</abilityName>
      <candidateList>
        <item>。</item>
      </candidateList>
      <explain>文本全半角错误。</explain>
      <paraID>3A742259</paraID>
      <start>26</start>
      <end>27</end>
      <status>unmodified</status>
      <modifiedWord/>
      <trackRevisions>false</trackRevisions>
    </reviewItem>
    <reviewItem>
      <errorID>8b5f4719-d7ca-4c36-8f6b-c778f02d275b</errorID>
      <errorWord>：</errorWord>
      <group>L1_Format</group>
      <groupName>格式问题</groupName>
      <ability>L2_HalfPunc</ability>
      <abilityName>全半角检查</abilityName>
      <candidateList>
        <item>:</item>
      </candidateList>
      <explain>文本全半角错误。</explain>
      <paraID>1EF60C36</paraID>
      <start>4</start>
      <end>5</end>
      <status>unmodified</status>
      <modifiedWord/>
      <trackRevisions>false</trackRevisions>
    </reviewItem>
    <reviewItem>
      <errorID>056a62bb-50e9-42e5-8b75-efe71d05331c</errorID>
      <errorWord>(</errorWord>
      <group>L1_Format</group>
      <groupName>格式问题</groupName>
      <ability>L2_HalfPunc</ability>
      <abilityName>全半角检查</abilityName>
      <candidateList>
        <item>（</item>
      </candidateList>
      <explain>文本全半角错误。</explain>
      <paraID>1EF60C36</paraID>
      <start>15</start>
      <end>16</end>
      <status>unmodified</status>
      <modifiedWord/>
      <trackRevisions>false</trackRevisions>
    </reviewItem>
    <reviewItem>
      <errorID>2c10310a-32ba-4372-9c16-2257421259b2</errorID>
      <errorWord>)</errorWord>
      <group>L1_Format</group>
      <groupName>格式问题</groupName>
      <ability>L2_HalfPunc</ability>
      <abilityName>全半角检查</abilityName>
      <candidateList>
        <item>）</item>
      </candidateList>
      <explain>文本全半角错误。</explain>
      <paraID>1EF60C36</paraID>
      <start>20</start>
      <end>21</end>
      <status>unmodified</status>
      <modifiedWord/>
      <trackRevisions>false</trackRevisions>
    </reviewItem>
    <reviewItem>
      <errorID>bf3c4d30-3366-48fb-8a2c-a39323411057</errorID>
      <errorWord>(</errorWord>
      <group>L1_Format</group>
      <groupName>格式问题</groupName>
      <ability>L2_HalfPunc</ability>
      <abilityName>全半角检查</abilityName>
      <candidateList>
        <item>（</item>
      </candidateList>
      <explain>文本全半角错误。</explain>
      <paraID>1EF60C36</paraID>
      <start>32</start>
      <end>33</end>
      <status>unmodified</status>
      <modifiedWord/>
      <trackRevisions>false</trackRevisions>
    </reviewItem>
    <reviewItem>
      <errorID>48590e04-ec12-47b1-99fc-fc0470499443</errorID>
      <errorWord>免</errorWord>
      <group>L1_Word</group>
      <groupName>字词问题</groupName>
      <ability>L2_Typo</ability>
      <abilityName>字词错误</abilityName>
      <candidateList>
        <item>兔</item>
      </candidateList>
      <explain/>
      <paraID>1EF60C36</paraID>
      <start>33</start>
      <end>34</end>
      <status>unmodified</status>
      <modifiedWord/>
      <trackRevisions>false</trackRevisions>
    </reviewItem>
    <reviewItem>
      <errorID>3652a22e-3446-4da5-962e-7f9b7a6efc77</errorID>
      <errorWord>)</errorWord>
      <group>L1_Format</group>
      <groupName>格式问题</groupName>
      <ability>L2_HalfPunc</ability>
      <abilityName>全半角检查</abilityName>
      <candidateList>
        <item>）</item>
      </candidateList>
      <explain>文本全半角错误。</explain>
      <paraID>1EF60C36</paraID>
      <start>36</start>
      <end>37</end>
      <status>unmodified</status>
      <modifiedWord/>
      <trackRevisions>false</trackRevisions>
    </reviewItem>
    <reviewItem>
      <errorID>7f4ab628-c8fd-4821-8526-2aff5f95a51f</errorID>
      <errorWord>头量</errorWord>
      <group>L1_Word</group>
      <groupName>字词问题</groupName>
      <ability>L2_Typo</ability>
      <abilityName>字词错误</abilityName>
      <candidateList>
        <item>头晕</item>
      </candidateList>
      <explain>存在字形相近字词的误用。</explain>
      <paraID>603F3E3E</paraID>
      <start>36</start>
      <end>38</end>
      <status>modified</status>
      <modifiedWord>头晕</modifiedWord>
      <trackRevisions>false</trackRevisions>
    </reviewItem>
    <reviewItem>
      <errorID>3d1c7343-25f0-4a73-84e8-f90132361c5a</errorID>
      <errorWord>：</errorWord>
      <group>L1_Format</group>
      <groupName>格式问题</groupName>
      <ability>L2_HalfPunc</ability>
      <abilityName>全半角检查</abilityName>
      <candidateList>
        <item>:</item>
      </candidateList>
      <explain>文本全半角错误。</explain>
      <paraID>4CB0CB39</paraID>
      <start>13</start>
      <end>14</end>
      <status>unmodified</status>
      <modifiedWord/>
      <trackRevisions>false</trackRevisions>
    </reviewItem>
    <reviewItem>
      <errorID>fdb4de58-a5d6-4f74-9493-04bdf5177f8c</errorID>
      <errorWord>：</errorWord>
      <group>L1_Format</group>
      <groupName>格式问题</groupName>
      <ability>L2_HalfPunc</ability>
      <abilityName>全半角检查</abilityName>
      <candidateList>
        <item>:</item>
      </candidateList>
      <explain>文本全半角错误。</explain>
      <paraID>4CB0CB39</paraID>
      <start>30</start>
      <end>31</end>
      <status>unmodified</status>
      <modifiedWord/>
      <trackRevisions>false</trackRevisions>
    </reviewItem>
    <reviewItem>
      <errorID>5be43785-452e-43dd-9e7d-933b4fd562b5</errorID>
      <errorWord>吸人</errorWord>
      <group>L1_Word</group>
      <groupName>字词问题</groupName>
      <ability>L2_Typo</ability>
      <abilityName>字词错误</abilityName>
      <candidateList>
        <item>吸入</item>
      </candidateList>
      <explain/>
      <paraID>4CB0CB39</paraID>
      <start>42</start>
      <end>44</end>
      <status>modified</status>
      <modifiedWord>吸入</modifiedWord>
      <trackRevisions>false</trackRevisions>
    </reviewItem>
    <reviewItem>
      <errorID>9610f5e8-ec75-4dc9-8d69-408f3369eb83</errorID>
      <errorWord>：</errorWord>
      <group>L1_Format</group>
      <groupName>格式问题</groupName>
      <ability>L2_HalfPunc</ability>
      <abilityName>全半角检查</abilityName>
      <candidateList>
        <item>:</item>
      </candidateList>
      <explain>文本全半角错误。</explain>
      <paraID>4CB0CB39</paraID>
      <start>49</start>
      <end>50</end>
      <status>unmodified</status>
      <modifiedWord/>
      <trackRevisions>false</trackRevisions>
    </reviewItem>
    <reviewItem>
      <errorID>ce553248-df69-4bc7-bd6e-b740ac7a3704</errorID>
      <errorWord>,</errorWord>
      <group>L1_Format</group>
      <groupName>格式问题</groupName>
      <ability>L2_HalfPunc</ability>
      <abilityName>全半角检查</abilityName>
      <candidateList>
        <item>，</item>
      </candidateList>
      <explain>文本全半角错误。</explain>
      <paraID>35431B16</paraID>
      <start>2</start>
      <end>3</end>
      <status>unmodified</status>
      <modifiedWord/>
      <trackRevisions>false</trackRevisions>
    </reviewItem>
    <reviewItem>
      <errorID>7851c269-53ec-4665-9852-1183958e3990</errorID>
      <errorWord>,</errorWord>
      <group>L1_Format</group>
      <groupName>格式问题</groupName>
      <ability>L2_HalfPunc</ability>
      <abilityName>全半角检查</abilityName>
      <candidateList>
        <item>，</item>
      </candidateList>
      <explain>文本全半角错误。</explain>
      <paraID>35431B16</paraID>
      <start>18</start>
      <end>19</end>
      <status>unmodified</status>
      <modifiedWord/>
      <trackRevisions>false</trackRevisions>
    </reviewItem>
    <reviewItem>
      <errorID>08aab80a-7323-48e8-a0b5-6a6be70efbc8</errorID>
      <errorWord>,</errorWord>
      <group>L1_Format</group>
      <groupName>格式问题</groupName>
      <ability>L2_HalfPunc</ability>
      <abilityName>全半角检查</abilityName>
      <candidateList>
        <item>，</item>
      </candidateList>
      <explain>文本全半角错误。</explain>
      <paraID>35431B16</paraID>
      <start>48</start>
      <end>49</end>
      <status>unmodified</status>
      <modifiedWord/>
      <trackRevisions>false</trackRevisions>
    </reviewItem>
    <reviewItem>
      <errorID>8c9a922d-f2ee-4bf2-a6f0-c7a927edb1b4</errorID>
      <errorWord>(</errorWord>
      <group>L1_Format</group>
      <groupName>格式问题</groupName>
      <ability>L2_HalfPunc</ability>
      <abilityName>全半角检查</abilityName>
      <candidateList>
        <item>（</item>
      </candidateList>
      <explain>文本全半角错误。</explain>
      <paraID>6A72E6BE</paraID>
      <start>15</start>
      <end>16</end>
      <status>unmodified</status>
      <modifiedWord/>
      <trackRevisions>false</trackRevisions>
    </reviewItem>
    <reviewItem>
      <errorID>13b32105-5fb9-46ec-8649-033070875c76</errorID>
      <errorWord>)</errorWord>
      <group>L1_Format</group>
      <groupName>格式问题</groupName>
      <ability>L2_HalfPunc</ability>
      <abilityName>全半角检查</abilityName>
      <candidateList>
        <item>）</item>
      </candidateList>
      <explain>文本全半角错误。</explain>
      <paraID>6A72E6BE</paraID>
      <start>20</start>
      <end>21</end>
      <status>unmodified</status>
      <modifiedWord/>
      <trackRevisions>false</trackRevisions>
    </reviewItem>
    <reviewItem>
      <errorID>aef8fd02-8b73-4e2c-aba5-cd724f9b6fe7</errorID>
      <errorWord>：为</errorWord>
      <group>L1_Word</group>
      <groupName>字词问题</groupName>
      <ability>L2_Typo</ability>
      <abilityName>字词错误</abilityName>
      <candidateList>
        <item>：</item>
      </candidateList>
      <explain/>
      <paraID>6A72E6BE</paraID>
      <start>41</start>
      <end>43</end>
      <status>unmodified</status>
      <modifiedWord/>
      <trackRevisions>false</trackRevisions>
    </reviewItem>
    <reviewItem>
      <errorID>3c6ff28b-af43-4823-af4c-5b3827dc58e6</errorID>
      <errorWord>,</errorWord>
      <group>L1_Format</group>
      <groupName>格式问题</groupName>
      <ability>L2_HalfPunc</ability>
      <abilityName>全半角检查</abilityName>
      <candidateList>
        <item>，</item>
      </candidateList>
      <explain>文本全半角错误。</explain>
      <paraID>550AF95D</paraID>
      <start>22</start>
      <end>23</end>
      <status>unmodified</status>
      <modifiedWord/>
      <trackRevisions>false</trackRevisions>
    </reviewItem>
    <reviewItem>
      <errorID>ba4e2810-afaf-42df-a4c8-f6cbcc7e7997</errorID>
      <errorWord>,</errorWord>
      <group>L1_Format</group>
      <groupName>格式问题</groupName>
      <ability>L2_HalfPunc</ability>
      <abilityName>全半角检查</abilityName>
      <candidateList>
        <item>，</item>
      </candidateList>
      <explain>文本全半角错误。</explain>
      <paraID>210D45AB</paraID>
      <start>27</start>
      <end>28</end>
      <status>unmodified</status>
      <modifiedWord/>
      <trackRevisions>false</trackRevisions>
    </reviewItem>
    <reviewItem>
      <errorID>37afef5a-57be-4f77-9b29-168206ebc167</errorID>
      <errorWord>：</errorWord>
      <group>L1_Format</group>
      <groupName>格式问题</groupName>
      <ability>L2_HalfPunc</ability>
      <abilityName>全半角检查</abilityName>
      <candidateList>
        <item>:</item>
      </candidateList>
      <explain>文本全半角错误。</explain>
      <paraID>10A06762</paraID>
      <start>4</start>
      <end>5</end>
      <status>unmodified</status>
      <modifiedWord/>
      <trackRevisions>false</trackRevisions>
    </reviewItem>
    <reviewItem>
      <errorID>746a4cf7-454d-4aa1-8d0b-fab608b6bad5</errorID>
      <errorWord>(</errorWord>
      <group>L1_Format</group>
      <groupName>格式问题</groupName>
      <ability>L2_HalfPunc</ability>
      <abilityName>全半角检查</abilityName>
      <candidateList>
        <item>（</item>
      </candidateList>
      <explain>文本全半角错误。</explain>
      <paraID>10A06762</paraID>
      <start>14</start>
      <end>15</end>
      <status>unmodified</status>
      <modifiedWord/>
      <trackRevisions>false</trackRevisions>
    </reviewItem>
    <reviewItem>
      <errorID>183801a8-a990-4da1-8426-6e5846cfe403</errorID>
      <errorWord>)</errorWord>
      <group>L1_Format</group>
      <groupName>格式问题</groupName>
      <ability>L2_HalfPunc</ability>
      <abilityName>全半角检查</abilityName>
      <candidateList>
        <item>）</item>
      </candidateList>
      <explain>文本全半角错误。</explain>
      <paraID>10A06762</paraID>
      <start>19</start>
      <end>20</end>
      <status>unmodified</status>
      <modifiedWord/>
      <trackRevisions>false</trackRevisions>
    </reviewItem>
    <reviewItem>
      <errorID>aa469482-3936-4517-863f-5e457bf5788a</errorID>
      <errorWord>(</errorWord>
      <group>L1_Format</group>
      <groupName>格式问题</groupName>
      <ability>L2_HalfPunc</ability>
      <abilityName>全半角检查</abilityName>
      <candidateList>
        <item>（</item>
      </candidateList>
      <explain>文本全半角错误。</explain>
      <paraID>10A06762</paraID>
      <start>30</start>
      <end>31</end>
      <status>unmodified</status>
      <modifiedWord/>
      <trackRevisions>false</trackRevisions>
    </reviewItem>
    <reviewItem>
      <errorID>28c09805-cf17-46bb-8d08-86ebff6c28da</errorID>
      <errorWord>)</errorWord>
      <group>L1_Format</group>
      <groupName>格式问题</groupName>
      <ability>L2_HalfPunc</ability>
      <abilityName>全半角检查</abilityName>
      <candidateList>
        <item>）</item>
      </candidateList>
      <explain>文本全半角错误。</explain>
      <paraID>10A06762</paraID>
      <start>34</start>
      <end>35</end>
      <status>unmodified</status>
      <modifiedWord/>
      <trackRevisions>false</trackRevisions>
    </reviewItem>
    <reviewItem>
      <errorID>e53da9ff-5578-41d1-81a6-2475b2a33ff0</errorID>
      <errorWord>：</errorWord>
      <group>L1_Format</group>
      <groupName>格式问题</groupName>
      <ability>L2_HalfPunc</ability>
      <abilityName>全半角检查</abilityName>
      <candidateList>
        <item>:</item>
      </candidateList>
      <explain>文本全半角错误。</explain>
      <paraID>74AAD950</paraID>
      <start>4</start>
      <end>5</end>
      <status>unmodified</status>
      <modifiedWord/>
      <trackRevisions>false</trackRevisions>
    </reviewItem>
    <reviewItem>
      <errorID>ee5625e4-31d6-4bf9-92e1-f005aad92273</errorID>
      <errorWord>(</errorWord>
      <group>L1_Format</group>
      <groupName>格式问题</groupName>
      <ability>L2_HalfPunc</ability>
      <abilityName>全半角检查</abilityName>
      <candidateList>
        <item>（</item>
      </candidateList>
      <explain>文本全半角错误。</explain>
      <paraID>74AAD950</paraID>
      <start>16</start>
      <end>17</end>
      <status>unmodified</status>
      <modifiedWord/>
      <trackRevisions>false</trackRevisions>
    </reviewItem>
    <reviewItem>
      <errorID>2fe5e033-7e99-4576-9650-c9b503e67f8e</errorID>
      <errorWord>)</errorWord>
      <group>L1_Format</group>
      <groupName>格式问题</groupName>
      <ability>L2_HalfPunc</ability>
      <abilityName>全半角检查</abilityName>
      <candidateList>
        <item>）</item>
      </candidateList>
      <explain>文本全半角错误。</explain>
      <paraID>74AAD950</paraID>
      <start>21</start>
      <end>22</end>
      <status>unmodified</status>
      <modifiedWord/>
      <trackRevisions>false</trackRevisions>
    </reviewItem>
    <reviewItem>
      <errorID>3217a89c-ebe5-4642-9819-a733be85280d</errorID>
      <errorWord>牙龈路</errorWord>
      <group>L1_Word</group>
      <groupName>字词问题</groupName>
      <ability>L2_Typo</ability>
      <abilityName>字词错误</abilityName>
      <candidateList>
        <item>牙龈</item>
      </candidateList>
      <explain/>
      <paraID>595FD38A</paraID>
      <start>61</start>
      <end>64</end>
      <status>unmodified</status>
      <modifiedWord/>
      <trackRevisions>false</trackRevisions>
    </reviewItem>
    <reviewItem>
      <errorID>d829b0a9-5bf9-4185-a9af-bd5cf88e5668</errorID>
      <errorWord>：</errorWord>
      <group>L1_Format</group>
      <groupName>格式问题</groupName>
      <ability>L2_HalfPunc</ability>
      <abilityName>全半角检查</abilityName>
      <candidateList>
        <item>:</item>
      </candidateList>
      <explain>文本全半角错误。</explain>
      <paraID> EE89E51</paraID>
      <start>4</start>
      <end>5</end>
      <status>unmodified</status>
      <modifiedWord/>
      <trackRevisions>false</trackRevisions>
    </reviewItem>
    <reviewItem>
      <errorID>e3f95ac9-42a2-4f22-88d7-68c69e7a96c7</errorID>
      <errorWord>(</errorWord>
      <group>L1_Format</group>
      <groupName>格式问题</groupName>
      <ability>L2_HalfPunc</ability>
      <abilityName>全半角检查</abilityName>
      <candidateList>
        <item>（</item>
      </candidateList>
      <explain>文本全半角错误。</explain>
      <paraID> EE89E51</paraID>
      <start>14</start>
      <end>15</end>
      <status>unmodified</status>
      <modifiedWord/>
      <trackRevisions>false</trackRevisions>
    </reviewItem>
    <reviewItem>
      <errorID>fd0a3848-940b-47dd-930e-fb04f1b5773b</errorID>
      <errorWord>)</errorWord>
      <group>L1_Format</group>
      <groupName>格式问题</groupName>
      <ability>L2_HalfPunc</ability>
      <abilityName>全半角检查</abilityName>
      <candidateList>
        <item>）</item>
      </candidateList>
      <explain>文本全半角错误。</explain>
      <paraID> EE89E51</paraID>
      <start>19</start>
      <end>20</end>
      <status>unmodified</status>
      <modifiedWord/>
      <trackRevisions>false</trackRevisions>
    </reviewItem>
    <reviewItem>
      <errorID>32f42a24-6e19-4638-a540-680bd18547bc</errorID>
      <errorWord>：</errorWord>
      <group>L1_Format</group>
      <groupName>格式问题</groupName>
      <ability>L2_HalfPunc</ability>
      <abilityName>全半角检查</abilityName>
      <candidateList>
        <item>:</item>
      </candidateList>
      <explain>文本全半角错误。</explain>
      <paraID> EE89E51</paraID>
      <start>25</start>
      <end>26</end>
      <status>unmodified</status>
      <modifiedWord/>
      <trackRevisions>false</trackRevisions>
    </reviewItem>
    <reviewItem>
      <errorID>68246d75-914c-4bfa-bbcc-4eb2ed40f1d9</errorID>
      <errorWord>(</errorWord>
      <group>L1_Format</group>
      <groupName>格式问题</groupName>
      <ability>L2_HalfPunc</ability>
      <abilityName>全半角检查</abilityName>
      <candidateList>
        <item>（</item>
      </candidateList>
      <explain>文本全半角错误。</explain>
      <paraID> EE89E51</paraID>
      <start>33</start>
      <end>34</end>
      <status>unmodified</status>
      <modifiedWord/>
      <trackRevisions>false</trackRevisions>
    </reviewItem>
    <reviewItem>
      <errorID>816e2719-9f30-4ca5-90d5-a6ae6f9b748c</errorID>
      <errorWord>)</errorWord>
      <group>L1_Format</group>
      <groupName>格式问题</groupName>
      <ability>L2_HalfPunc</ability>
      <abilityName>全半角检查</abilityName>
      <candidateList>
        <item>）</item>
      </candidateList>
      <explain>文本全半角错误。</explain>
      <paraID> EE89E51</paraID>
      <start>38</start>
      <end>39</end>
      <status>unmodified</status>
      <modifiedWord/>
      <trackRevisions>false</trackRevisions>
    </reviewItem>
    <reviewItem>
      <errorID>567dcfeb-cde5-4c00-b7ca-09b6f4695b70</errorID>
      <errorWord>(</errorWord>
      <group>L1_Format</group>
      <groupName>格式问题</groupName>
      <ability>L2_HalfPunc</ability>
      <abilityName>全半角检查</abilityName>
      <candidateList>
        <item>（</item>
      </candidateList>
      <explain>文本全半角错误。</explain>
      <paraID> D0E382F</paraID>
      <start>27</start>
      <end>28</end>
      <status>unmodified</status>
      <modifiedWord/>
      <trackRevisions>false</trackRevisions>
    </reviewItem>
    <reviewItem>
      <errorID>53a49986-0c22-441f-94ef-d0c95e3e3a6b</errorID>
      <errorWord>)</errorWord>
      <group>L1_Format</group>
      <groupName>格式问题</groupName>
      <ability>L2_HalfPunc</ability>
      <abilityName>全半角检查</abilityName>
      <candidateList>
        <item>）</item>
      </candidateList>
      <explain>文本全半角错误。</explain>
      <paraID> D0E382F</paraID>
      <start>33</start>
      <end>34</end>
      <status>unmodified</status>
      <modifiedWord/>
      <trackRevisions>false</trackRevisions>
    </reviewItem>
    <reviewItem>
      <errorID>f0c339ae-119a-41da-94ec-4b2a98af71e7</errorID>
      <errorWord>中性白细胞</errorWord>
      <group>L1_Knowledge</group>
      <groupName>知识性问题</groupName>
      <ability>L2_Term</ability>
      <abilityName>专业术语</abilityName>
      <candidateList>
        <item>中性粒细胞</item>
      </candidateList>
      <explain>医学名词[中性白细胞]为不规范表述或旧称，其规范书面表述为[中性粒细胞]。</explain>
      <paraID> D0E382F</paraID>
      <start>79</start>
      <end>84</end>
      <status>unmodified</status>
      <modifiedWord/>
      <trackRevisions>false</trackRevisions>
    </reviewItem>
    <reviewItem>
      <errorID>bf8016ea-b417-43a6-83d2-df9e119b1b66</errorID>
      <errorWord>(</errorWord>
      <group>L1_Format</group>
      <groupName>格式问题</groupName>
      <ability>L2_HalfPunc</ability>
      <abilityName>全半角检查</abilityName>
      <candidateList>
        <item>（</item>
      </candidateList>
      <explain>文本全半角错误。</explain>
      <paraID>50E9F48C</paraID>
      <start>13</start>
      <end>14</end>
      <status>unmodified</status>
      <modifiedWord/>
      <trackRevisions>false</trackRevisions>
    </reviewItem>
    <reviewItem>
      <errorID>3d75c927-b7a9-4f99-b795-be6e4f59d7d9</errorID>
      <errorWord>)</errorWord>
      <group>L1_Format</group>
      <groupName>格式问题</groupName>
      <ability>L2_HalfPunc</ability>
      <abilityName>全半角检查</abilityName>
      <candidateList>
        <item>）</item>
      </candidateList>
      <explain>文本全半角错误。</explain>
      <paraID>50E9F48C</paraID>
      <start>18</start>
      <end>19</end>
      <status>unmodified</status>
      <modifiedWord/>
      <trackRevisions>false</trackRevisions>
    </reviewItem>
    <reviewItem>
      <errorID>4d1352b1-10f2-48cd-8674-2a50e37f1c97</errorID>
      <errorWord>：</errorWord>
      <group>L1_Format</group>
      <groupName>格式问题</groupName>
      <ability>L2_HalfPunc</ability>
      <abilityName>全半角检查</abilityName>
      <candidateList>
        <item>:</item>
      </candidateList>
      <explain>文本全半角错误。</explain>
      <paraID>3A578104</paraID>
      <start>4</start>
      <end>5</end>
      <status>unmodified</status>
      <modifiedWord/>
      <trackRevisions>false</trackRevisions>
    </reviewItem>
    <reviewItem>
      <errorID>682e5594-924c-4260-a933-a507b3e1e5bc</errorID>
      <errorWord>(</errorWord>
      <group>L1_Format</group>
      <groupName>格式问题</groupName>
      <ability>L2_HalfPunc</ability>
      <abilityName>全半角检查</abilityName>
      <candidateList>
        <item>（</item>
      </candidateList>
      <explain>文本全半角错误。</explain>
      <paraID>3A578104</paraID>
      <start>12</start>
      <end>13</end>
      <status>unmodified</status>
      <modifiedWord/>
      <trackRevisions>false</trackRevisions>
    </reviewItem>
    <reviewItem>
      <errorID>961a6849-1acc-4a29-bcfb-185b5db95210</errorID>
      <errorWord>)</errorWord>
      <group>L1_Format</group>
      <groupName>格式问题</groupName>
      <ability>L2_HalfPunc</ability>
      <abilityName>全半角检查</abilityName>
      <candidateList>
        <item>）</item>
      </candidateList>
      <explain>文本全半角错误。</explain>
      <paraID>3A578104</paraID>
      <start>21</start>
      <end>22</end>
      <status>unmodified</status>
      <modifiedWord/>
      <trackRevisions>false</trackRevisions>
    </reviewItem>
    <reviewItem>
      <errorID>a40deb97-08d8-4a4c-b085-d18fd3cd3d82</errorID>
      <errorWord>:</errorWord>
      <group>L1_Format</group>
      <groupName>格式问题</groupName>
      <ability>L2_HalfPunc</ability>
      <abilityName>全半角检查</abilityName>
      <candidateList>
        <item>：</item>
      </candidateList>
      <explain>文本全半角错误。</explain>
      <paraID>49FD4E58</paraID>
      <start>19</start>
      <end>20</end>
      <status>unmodified</status>
      <modifiedWord/>
      <trackRevisions>false</trackRevisions>
    </reviewItem>
    <reviewItem>
      <errorID>0b241c53-c239-4d27-9a88-f9a3c198ab51</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49FD4E58</paraID>
      <start>38</start>
      <end>41</end>
      <status>modified</status>
      <modifiedWord>刺激征</modifiedWord>
      <trackRevisions>false</trackRevisions>
    </reviewItem>
    <reviewItem>
      <errorID>301157ec-8e38-4ae7-8f90-ac21155d7137</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49FD4E58</paraID>
      <start>53</start>
      <end>56</end>
      <status>modified</status>
      <modifiedWord>刺激征</modifiedWord>
      <trackRevisions>false</trackRevisions>
    </reviewItem>
    <reviewItem>
      <errorID>b7b66d0c-e752-4d26-8811-34dd321d9080</errorID>
      <errorWord>窘迫征</errorWord>
      <group>L1_Word</group>
      <groupName>字词问题</groupName>
      <ability>L2_Typo</ability>
      <abilityName>字词错误</abilityName>
      <candidateList>
        <item>窘迫症</item>
      </candidateList>
      <explain/>
      <paraID>49FD4E58</paraID>
      <start>113</start>
      <end>116</end>
      <status>unmodified</status>
      <modifiedWord/>
      <trackRevisions>false</trackRevisions>
    </reviewItem>
    <reviewItem>
      <errorID>a5f9a1a4-5027-43e3-8f10-00b0a5c64249</errorID>
      <errorWord>;</errorWord>
      <group>L1_Format</group>
      <groupName>格式问题</groupName>
      <ability>L2_HalfPunc</ability>
      <abilityName>全半角检查</abilityName>
      <candidateList>
        <item>；</item>
      </candidateList>
      <explain>文本全半角错误。</explain>
      <paraID>49FD4E58</paraID>
      <start>116</start>
      <end>117</end>
      <status>unmodified</status>
      <modifiedWord/>
      <trackRevisions>false</trackRevisions>
    </reviewItem>
    <reviewItem>
      <errorID>eeb11282-1bc7-459c-85b4-9b711a55ce7f</errorID>
      <errorWord>;</errorWord>
      <group>L1_Format</group>
      <groupName>格式问题</groupName>
      <ability>L2_HalfPunc</ability>
      <abilityName>全半角检查</abilityName>
      <candidateList>
        <item>；</item>
      </candidateList>
      <explain>文本全半角错误。</explain>
      <paraID>49FD4E58</paraID>
      <start>140</start>
      <end>141</end>
      <status>unmodified</status>
      <modifiedWord/>
      <trackRevisions>false</trackRevisions>
    </reviewItem>
    <reviewItem>
      <errorID>ac6ac113-362c-40b1-bfd2-9c7e9ffcbcab</errorID>
      <errorWord>:</errorWord>
      <group>L1_Format</group>
      <groupName>格式问题</groupName>
      <ability>L2_HalfPunc</ability>
      <abilityName>全半角检查</abilityName>
      <candidateList>
        <item>：</item>
      </candidateList>
      <explain>文本全半角错误。</explain>
      <paraID>49FD4E58</paraID>
      <start>154</start>
      <end>155</end>
      <status>unmodified</status>
      <modifiedWord/>
      <trackRevisions>false</trackRevisions>
    </reviewItem>
    <reviewItem>
      <errorID>821d2711-78f4-42e4-8db0-0c530564f421</errorID>
      <errorWord>(</errorWord>
      <group>L1_Format</group>
      <groupName>格式问题</groupName>
      <ability>L2_HalfPunc</ability>
      <abilityName>全半角检查</abilityName>
      <candidateList>
        <item>（</item>
      </candidateList>
      <explain>文本全半角错误。</explain>
      <paraID>7711606F</paraID>
      <start>14</start>
      <end>15</end>
      <status>unmodified</status>
      <modifiedWord/>
      <trackRevisions>false</trackRevisions>
    </reviewItem>
    <reviewItem>
      <errorID>09669309-6790-49bd-9c76-20168e36a11c</errorID>
      <errorWord>)</errorWord>
      <group>L1_Format</group>
      <groupName>格式问题</groupName>
      <ability>L2_HalfPunc</ability>
      <abilityName>全半角检查</abilityName>
      <candidateList>
        <item>）</item>
      </candidateList>
      <explain>文本全半角错误。</explain>
      <paraID>7711606F</paraID>
      <start>19</start>
      <end>20</end>
      <status>unmodified</status>
      <modifiedWord/>
      <trackRevisions>false</trackRevisions>
    </reviewItem>
    <reviewItem>
      <errorID>82525b9a-9657-4687-a723-defec9fe98d2</errorID>
      <errorWord>(</errorWord>
      <group>L1_Format</group>
      <groupName>格式问题</groupName>
      <ability>L2_HalfPunc</ability>
      <abilityName>全半角检查</abilityName>
      <candidateList>
        <item>（</item>
      </candidateList>
      <explain>文本全半角错误。</explain>
      <paraID>70AD8D04</paraID>
      <start>15</start>
      <end>16</end>
      <status>unmodified</status>
      <modifiedWord/>
      <trackRevisions>false</trackRevisions>
    </reviewItem>
    <reviewItem>
      <errorID>6abe2991-82c6-4c48-87c6-10bc9059481e</errorID>
      <errorWord>)</errorWord>
      <group>L1_Format</group>
      <groupName>格式问题</groupName>
      <ability>L2_HalfPunc</ability>
      <abilityName>全半角检查</abilityName>
      <candidateList>
        <item>）</item>
      </candidateList>
      <explain>文本全半角错误。</explain>
      <paraID>70AD8D04</paraID>
      <start>19</start>
      <end>20</end>
      <status>unmodified</status>
      <modifiedWord/>
      <trackRevisions>false</trackRevisions>
    </reviewItem>
    <reviewItem>
      <errorID>8c04aea0-aff6-4285-ac08-bec41a760ffc</errorID>
      <errorWord>(</errorWord>
      <group>L1_Format</group>
      <groupName>格式问题</groupName>
      <ability>L2_HalfPunc</ability>
      <abilityName>全半角检查</abilityName>
      <candidateList>
        <item>（</item>
      </candidateList>
      <explain>文本全半角错误。</explain>
      <paraID>4D07B4AF</paraID>
      <start>14</start>
      <end>15</end>
      <status>unmodified</status>
      <modifiedWord/>
      <trackRevisions>false</trackRevisions>
    </reviewItem>
    <reviewItem>
      <errorID>988953cf-39fd-4a4a-a310-c85897e3355a</errorID>
      <errorWord>)</errorWord>
      <group>L1_Format</group>
      <groupName>格式问题</groupName>
      <ability>L2_HalfPunc</ability>
      <abilityName>全半角检查</abilityName>
      <candidateList>
        <item>）</item>
      </candidateList>
      <explain>文本全半角错误。</explain>
      <paraID>4D07B4AF</paraID>
      <start>19</start>
      <end>20</end>
      <status>unmodified</status>
      <modifiedWord/>
      <trackRevisions>false</trackRevisions>
    </reviewItem>
    <reviewItem>
      <errorID>c684a0fd-5591-4301-a8ce-96fd7a985b09</errorID>
      <errorWord>~</errorWord>
      <group>L1_Format</group>
      <groupName>格式问题</groupName>
      <ability>L2_HalfPunc</ability>
      <abilityName>全半角检查</abilityName>
      <candidateList>
        <item>～</item>
      </candidateList>
      <explain>文本全半角错误。</explain>
      <paraID>3BAB7C82</paraID>
      <start>39</start>
      <end>40</end>
      <status>unmodified</status>
      <modifiedWord/>
      <trackRevisions>false</trackRevisions>
    </reviewItem>
    <reviewItem>
      <errorID>d4b7669c-d298-4309-8f80-a7103cd88d4b</errorID>
      <errorWord>(</errorWord>
      <group>L1_Format</group>
      <groupName>格式问题</groupName>
      <ability>L2_HalfPunc</ability>
      <abilityName>全半角检查</abilityName>
      <candidateList>
        <item>（</item>
      </candidateList>
      <explain>文本全半角错误。</explain>
      <paraID>2EE487E2</paraID>
      <start>14</start>
      <end>15</end>
      <status>unmodified</status>
      <modifiedWord/>
      <trackRevisions>false</trackRevisions>
    </reviewItem>
    <reviewItem>
      <errorID>d6e3c782-3f47-4bff-86f6-e877147dfcb0</errorID>
      <errorWord>)</errorWord>
      <group>L1_Format</group>
      <groupName>格式问题</groupName>
      <ability>L2_HalfPunc</ability>
      <abilityName>全半角检查</abilityName>
      <candidateList>
        <item>）</item>
      </candidateList>
      <explain>文本全半角错误。</explain>
      <paraID>2EE487E2</paraID>
      <start>19</start>
      <end>20</end>
      <status>unmodified</status>
      <modifiedWord/>
      <trackRevisions>false</trackRevisions>
    </reviewItem>
    <reviewItem>
      <errorID>a278530b-62ba-407d-9a93-deea60b9dd37</errorID>
      <errorWord>(</errorWord>
      <group>L1_Format</group>
      <groupName>格式问题</groupName>
      <ability>L2_HalfPunc</ability>
      <abilityName>全半角检查</abilityName>
      <candidateList>
        <item>（</item>
      </candidateList>
      <explain>文本全半角错误。</explain>
      <paraID>2EE487E2</paraID>
      <start>37</start>
      <end>38</end>
      <status>unmodified</status>
      <modifiedWord/>
      <trackRevisions>false</trackRevisions>
    </reviewItem>
    <reviewItem>
      <errorID>f6724f80-241d-4147-84a9-3ecf686fe134</errorID>
      <errorWord>)</errorWord>
      <group>L1_Format</group>
      <groupName>格式问题</groupName>
      <ability>L2_HalfPunc</ability>
      <abilityName>全半角检查</abilityName>
      <candidateList>
        <item>）</item>
      </candidateList>
      <explain>文本全半角错误。</explain>
      <paraID>2EE487E2</paraID>
      <start>46</start>
      <end>47</end>
      <status>unmodified</status>
      <modifiedWord/>
      <trackRevisions>false</trackRevisions>
    </reviewItem>
    <reviewItem>
      <errorID>cf36307c-3af3-41bb-b0d7-75a40eb87e65</errorID>
      <errorWord>(</errorWord>
      <group>L1_Format</group>
      <groupName>格式问题</groupName>
      <ability>L2_HalfPunc</ability>
      <abilityName>全半角检查</abilityName>
      <candidateList>
        <item>（</item>
      </candidateList>
      <explain>文本全半角错误。</explain>
      <paraID>2EE487E2</paraID>
      <start>60</start>
      <end>61</end>
      <status>unmodified</status>
      <modifiedWord/>
      <trackRevisions>false</trackRevisions>
    </reviewItem>
    <reviewItem>
      <errorID>e44e7615-ea8b-4322-9194-b8e76eb60e8c</errorID>
      <errorWord>)</errorWord>
      <group>L1_Format</group>
      <groupName>格式问题</groupName>
      <ability>L2_HalfPunc</ability>
      <abilityName>全半角检查</abilityName>
      <candidateList>
        <item>）</item>
      </candidateList>
      <explain>文本全半角错误。</explain>
      <paraID>2EE487E2</paraID>
      <start>69</start>
      <end>70</end>
      <status>unmodified</status>
      <modifiedWord/>
      <trackRevisions>false</trackRevisions>
    </reviewItem>
    <reviewItem>
      <errorID>5ec720cb-41ba-42b2-9df2-365f77e88c74</errorID>
      <errorWord>:</errorWord>
      <group>L1_Format</group>
      <groupName>格式问题</groupName>
      <ability>L2_HalfPunc</ability>
      <abilityName>全半角检查</abilityName>
      <candidateList>
        <item>：</item>
      </candidateList>
      <explain>文本全半角错误。</explain>
      <paraID>103DAD11</paraID>
      <start>37</start>
      <end>38</end>
      <status>unmodified</status>
      <modifiedWord/>
      <trackRevisions>false</trackRevisions>
    </reviewItem>
    <reviewItem>
      <errorID>f65cad7e-ac38-47fc-afe6-604ed3ecee39</errorID>
      <errorWord>时</errorWord>
      <group>L1_Word</group>
      <groupName>字词问题</groupName>
      <ability>L2_Typo</ability>
      <abilityName>字词错误</abilityName>
      <candidateList>
        <item>时间</item>
      </candidateList>
      <explain>〈名〉❶物质动动中的一种存在方式，由过去、现在、将来构成的连绵不断的系统。是物质的运动、变化的持续性、顺序性的表现。❷有起点和终点的一段时间：地球自转一周的～是二十四小时｜盖这么一所房子要多少～？❸时间里的某一点：现在的～是三点十五分。</explain>
      <paraID>103DAD11</paraID>
      <start>39</start>
      <end>40</end>
      <status>unmodified</status>
      <modifiedWord/>
      <trackRevisions>false</trackRevisions>
    </reviewItem>
    <reviewItem>
      <errorID>2f93cc88-77db-443f-a1fa-67f7c966b53a</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103DAD11</paraID>
      <start>81</start>
      <end>84</end>
      <status>modified</status>
      <modifiedWord>刺激征</modifiedWord>
      <trackRevisions>false</trackRevisions>
    </reviewItem>
    <reviewItem>
      <errorID>02a5384a-e092-4716-a57f-1a0272aeb150</errorID>
      <errorWord>颅神经</errorWord>
      <group>L1_Word</group>
      <groupName>字词问题</groupName>
      <ability>L2_Typo</ability>
      <abilityName>字词错误</abilityName>
      <candidateList>
        <item>脑神经</item>
      </candidateList>
      <explain/>
      <paraID>103DAD11</paraID>
      <start>141</start>
      <end>144</end>
      <status>unmodified</status>
      <modifiedWord/>
      <trackRevisions>false</trackRevisions>
    </reviewItem>
    <reviewItem>
      <errorID>6eb0e62e-1cf2-4766-bb8c-700bb6458f1a</errorID>
      <errorWord>:</errorWord>
      <group>L1_Format</group>
      <groupName>格式问题</groupName>
      <ability>L2_HalfPunc</ability>
      <abilityName>全半角检查</abilityName>
      <candidateList>
        <item>：</item>
      </candidateList>
      <explain>文本全半角错误。</explain>
      <paraID>103DAD11</paraID>
      <start>187</start>
      <end>188</end>
      <status>unmodified</status>
      <modifiedWord/>
      <trackRevisions>false</trackRevisions>
    </reviewItem>
    <reviewItem>
      <errorID>68e5c14e-338c-4b2c-b63b-01514a4918c2</errorID>
      <errorWord>絮乱</errorWord>
      <group>L1_Word</group>
      <groupName>字词问题</groupName>
      <ability>L2_Typo</ability>
      <abilityName>字词错误</abilityName>
      <candidateList>
        <item>紊乱</item>
      </candidateList>
      <explain>〈形〉杂乱；纷乱：秩序～｜思路～。</explain>
      <paraID>103DAD11</paraID>
      <start>208</start>
      <end>210</end>
      <status>unmodified</status>
      <modifiedWord/>
      <trackRevisions>false</trackRevisions>
    </reviewItem>
    <reviewItem>
      <errorID>b2b4cedb-4ff2-4510-9a71-f66b0c8f7e56</errorID>
      <errorWord>(</errorWord>
      <group>L1_Format</group>
      <groupName>格式问题</groupName>
      <ability>L2_HalfPunc</ability>
      <abilityName>全半角检查</abilityName>
      <candidateList>
        <item>（</item>
      </candidateList>
      <explain>文本全半角错误。</explain>
      <paraID>75897D0A</paraID>
      <start>16</start>
      <end>17</end>
      <status>unmodified</status>
      <modifiedWord/>
      <trackRevisions>false</trackRevisions>
    </reviewItem>
    <reviewItem>
      <errorID>b6bb8caa-8dbc-4073-954b-4e807d3b591f</errorID>
      <errorWord>)</errorWord>
      <group>L1_Format</group>
      <groupName>格式问题</groupName>
      <ability>L2_HalfPunc</ability>
      <abilityName>全半角检查</abilityName>
      <candidateList>
        <item>）</item>
      </candidateList>
      <explain>文本全半角错误。</explain>
      <paraID>75897D0A</paraID>
      <start>21</start>
      <end>22</end>
      <status>unmodified</status>
      <modifiedWord/>
      <trackRevisions>false</trackRevisions>
    </reviewItem>
    <reviewItem>
      <errorID>0d2f233a-20b9-495a-a466-b69cff9fd593</errorID>
      <errorWord>迭氮化物</errorWord>
      <group>L1_Word</group>
      <groupName>字词问题</groupName>
      <ability>L2_Typo</ability>
      <abilityName>字词错误</abilityName>
      <candidateList>
        <item>叠氮化物</item>
      </candidateList>
      <explain/>
      <paraID>4D74E025</paraID>
      <start>70</start>
      <end>74</end>
      <status>unmodified</status>
      <modifiedWord/>
      <trackRevisions>false</trackRevisions>
    </reviewItem>
    <reviewItem>
      <errorID>28a9e28c-5f21-41b3-8dfc-4da28e4c7805</errorID>
      <errorWord>：</errorWord>
      <group>L1_Format</group>
      <groupName>格式问题</groupName>
      <ability>L2_HalfPunc</ability>
      <abilityName>全半角检查</abilityName>
      <candidateList>
        <item>:</item>
      </candidateList>
      <explain>文本全半角错误。</explain>
      <paraID>641681C7</paraID>
      <start>4</start>
      <end>5</end>
      <status>unmodified</status>
      <modifiedWord/>
      <trackRevisions>false</trackRevisions>
    </reviewItem>
    <reviewItem>
      <errorID>a0976ec1-a894-4488-bf09-8af176ca67b5</errorID>
      <errorWord>(</errorWord>
      <group>L1_Format</group>
      <groupName>格式问题</groupName>
      <ability>L2_HalfPunc</ability>
      <abilityName>全半角检查</abilityName>
      <candidateList>
        <item>（</item>
      </candidateList>
      <explain>文本全半角错误。</explain>
      <paraID>641681C7</paraID>
      <start>14</start>
      <end>15</end>
      <status>unmodified</status>
      <modifiedWord/>
      <trackRevisions>false</trackRevisions>
    </reviewItem>
    <reviewItem>
      <errorID>0a121dce-feb9-4f93-8f09-99bca406fdd0</errorID>
      <errorWord>)</errorWord>
      <group>L1_Format</group>
      <groupName>格式问题</groupName>
      <ability>L2_HalfPunc</ability>
      <abilityName>全半角检查</abilityName>
      <candidateList>
        <item>）</item>
      </candidateList>
      <explain>文本全半角错误。</explain>
      <paraID>641681C7</paraID>
      <start>19</start>
      <end>20</end>
      <status>unmodified</status>
      <modifiedWord/>
      <trackRevisions>false</trackRevisions>
    </reviewItem>
    <reviewItem>
      <errorID>92733328-c736-4e87-abfe-5f7fc671647f</errorID>
      <errorWord>~</errorWord>
      <group>L1_Format</group>
      <groupName>格式问题</groupName>
      <ability>L2_HalfPunc</ability>
      <abilityName>全半角检查</abilityName>
      <candidateList>
        <item>～</item>
      </candidateList>
      <explain>文本全半角错误。</explain>
      <paraID>4E7D981E</paraID>
      <start>43</start>
      <end>44</end>
      <status>unmodified</status>
      <modifiedWord/>
      <trackRevisions>false</trackRevisions>
    </reviewItem>
    <reviewItem>
      <errorID>7f91d95d-97e5-434d-9e6d-dfc15e1a705a</errorID>
      <errorWord>综合症</errorWord>
      <group>L1_Word</group>
      <groupName>字词问题</groupName>
      <ability>L2_Typo</ability>
      <abilityName>字词错误</abilityName>
      <candidateList>
        <item>综合征</item>
      </candidateList>
      <explain>存在发音相同字词的误用。</explain>
      <paraID>4E7D981E</paraID>
      <start>95</start>
      <end>98</end>
      <status>unmodified</status>
      <modifiedWord/>
      <trackRevisions>false</trackRevisions>
    </reviewItem>
    <reviewItem>
      <errorID>a7c8a309-6e85-4d0b-9fcd-1f31f8ff653e</errorID>
      <errorWord>鼻粘膜</errorWord>
      <group>L1_Word</group>
      <groupName>字词问题</groupName>
      <ability>L2_Alias</ability>
      <abilityName>也作/曾用词</abilityName>
      <candidateList>
        <item>鼻黏膜</item>
      </candidateList>
      <explain>词汇[鼻粘膜]为不规范表述或旧称，其规范书面表述为[鼻黏膜]。</explain>
      <paraID>43419529</paraID>
      <start>34</start>
      <end>37</end>
      <status>unmodified</status>
      <modifiedWord/>
      <trackRevisions>false</trackRevisions>
    </reviewItem>
    <reviewItem>
      <errorID>8090d937-8742-4457-9b92-936f84d2995b</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43419529</paraID>
      <start>37</start>
      <end>40</end>
      <status>modified</status>
      <modifiedWord>刺激征</modifiedWord>
      <trackRevisions>false</trackRevisions>
    </reviewItem>
    <reviewItem>
      <errorID>c6635ad2-630c-491b-9dd1-6883ef4a036a</errorID>
      <errorWord>;</errorWord>
      <group>L1_Format</group>
      <groupName>格式问题</groupName>
      <ability>L2_HalfPunc</ability>
      <abilityName>全半角检查</abilityName>
      <candidateList>
        <item>；</item>
      </candidateList>
      <explain>文本全半角错误。</explain>
      <paraID>43419529</paraID>
      <start>41</start>
      <end>42</end>
      <status>unmodified</status>
      <modifiedWord/>
      <trackRevisions>false</trackRevisions>
    </reviewItem>
    <reviewItem>
      <errorID>72cd8c26-24c1-4fe8-873b-5c9df9e40b85</errorID>
      <errorWord>;</errorWord>
      <group>L1_Format</group>
      <groupName>格式问题</groupName>
      <ability>L2_HalfPunc</ability>
      <abilityName>全半角检查</abilityName>
      <candidateList>
        <item>；</item>
      </candidateList>
      <explain>文本全半角错误。</explain>
      <paraID>43419529</paraID>
      <start>52</start>
      <end>53</end>
      <status>unmodified</status>
      <modifiedWord/>
      <trackRevisions>false</trackRevisions>
    </reviewItem>
    <reviewItem>
      <errorID>03944c48-6f41-41e8-b673-cb42a69551e3</errorID>
      <errorWord>植物神经</errorWord>
      <group>L1_Knowledge</group>
      <groupName>知识性问题</groupName>
      <ability>L2_Term</ability>
      <abilityName>专业术语</abilityName>
      <candidateList>
        <item>自主神经</item>
      </candidateList>
      <explain>医学名词[植物神经]为不规范表述或旧称，其规范书面表述为[自主神经]。</explain>
      <paraID>43419529</paraID>
      <start>148</start>
      <end>152</end>
      <status>unmodified</status>
      <modifiedWord/>
      <trackRevisions>false</trackRevisions>
    </reviewItem>
    <reviewItem>
      <errorID>212ddd0b-0676-474f-b354-a3dd44540fed</errorID>
      <errorWord>(</errorWord>
      <group>L1_Format</group>
      <groupName>格式问题</groupName>
      <ability>L2_HalfPunc</ability>
      <abilityName>全半角检查</abilityName>
      <candidateList>
        <item>（</item>
      </candidateList>
      <explain>文本全半角错误。</explain>
      <paraID>42F892B8</paraID>
      <start>15</start>
      <end>16</end>
      <status>unmodified</status>
      <modifiedWord/>
      <trackRevisions>false</trackRevisions>
    </reviewItem>
    <reviewItem>
      <errorID>86603e63-ca4d-461a-b36f-f6c8a3ee92d3</errorID>
      <errorWord>)</errorWord>
      <group>L1_Format</group>
      <groupName>格式问题</groupName>
      <ability>L2_HalfPunc</ability>
      <abilityName>全半角检查</abilityName>
      <candidateList>
        <item>）</item>
      </candidateList>
      <explain>文本全半角错误。</explain>
      <paraID>42F892B8</paraID>
      <start>20</start>
      <end>21</end>
      <status>unmodified</status>
      <modifiedWord/>
      <trackRevisions>false</trackRevisions>
    </reviewItem>
    <reviewItem>
      <errorID>cc79050a-20ee-40a5-89c3-2c59d5c287f3</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55217363</paraID>
      <start>17</start>
      <end>20</end>
      <status>modified</status>
      <modifiedWord>刺激征</modifiedWord>
      <trackRevisions>false</trackRevisions>
    </reviewItem>
    <reviewItem>
      <errorID>ba8a68ac-f1b0-4465-b531-c2943081b559</errorID>
      <errorWord>;</errorWord>
      <group>L1_Format</group>
      <groupName>格式问题</groupName>
      <ability>L2_HalfPunc</ability>
      <abilityName>全半角检查</abilityName>
      <candidateList>
        <item>；</item>
      </candidateList>
      <explain>文本全半角错误。</explain>
      <paraID>55217363</paraID>
      <start>36</start>
      <end>37</end>
      <status>unmodified</status>
      <modifiedWord/>
      <trackRevisions>false</trackRevisions>
    </reviewItem>
    <reviewItem>
      <errorID>be8ecc62-683f-4bba-8caf-d3e6672650d3</errorID>
      <errorWord>：</errorWord>
      <group>L1_Format</group>
      <groupName>格式问题</groupName>
      <ability>L2_HalfPunc</ability>
      <abilityName>全半角检查</abilityName>
      <candidateList>
        <item>:</item>
      </candidateList>
      <explain>文本全半角错误。</explain>
      <paraID>2A297645</paraID>
      <start>4</start>
      <end>5</end>
      <status>unmodified</status>
      <modifiedWord/>
      <trackRevisions>false</trackRevisions>
    </reviewItem>
    <reviewItem>
      <errorID>307a966f-c22d-4b97-bca3-5ed15fe8aad5</errorID>
      <errorWord>(</errorWord>
      <group>L1_Format</group>
      <groupName>格式问题</groupName>
      <ability>L2_HalfPunc</ability>
      <abilityName>全半角检查</abilityName>
      <candidateList>
        <item>（</item>
      </candidateList>
      <explain>文本全半角错误。</explain>
      <paraID>2A297645</paraID>
      <start>13</start>
      <end>14</end>
      <status>unmodified</status>
      <modifiedWord/>
      <trackRevisions>false</trackRevisions>
    </reviewItem>
    <reviewItem>
      <errorID>421b7756-ff39-4c82-882e-891d1628d93b</errorID>
      <errorWord>)</errorWord>
      <group>L1_Format</group>
      <groupName>格式问题</groupName>
      <ability>L2_HalfPunc</ability>
      <abilityName>全半角检查</abilityName>
      <candidateList>
        <item>）</item>
      </candidateList>
      <explain>文本全半角错误。</explain>
      <paraID>2A297645</paraID>
      <start>18</start>
      <end>19</end>
      <status>unmodified</status>
      <modifiedWord/>
      <trackRevisions>false</trackRevisions>
    </reviewItem>
    <reviewItem>
      <errorID>b5826d87-8f10-4ac2-a9a9-c6b46ac62a50</errorID>
      <errorWord>(</errorWord>
      <group>L1_Format</group>
      <groupName>格式问题</groupName>
      <ability>L2_HalfPunc</ability>
      <abilityName>全半角检查</abilityName>
      <candidateList>
        <item>（</item>
      </candidateList>
      <explain>文本全半角错误。</explain>
      <paraID>2A297645</paraID>
      <start>28</start>
      <end>29</end>
      <status>unmodified</status>
      <modifiedWord/>
      <trackRevisions>false</trackRevisions>
    </reviewItem>
    <reviewItem>
      <errorID>9b286d92-a5f0-45b0-91a0-c366cf1deaed</errorID>
      <errorWord>)</errorWord>
      <group>L1_Format</group>
      <groupName>格式问题</groupName>
      <ability>L2_HalfPunc</ability>
      <abilityName>全半角检查</abilityName>
      <candidateList>
        <item>）</item>
      </candidateList>
      <explain>文本全半角错误。</explain>
      <paraID>2A297645</paraID>
      <start>33</start>
      <end>34</end>
      <status>unmodified</status>
      <modifiedWord/>
      <trackRevisions>false</trackRevisions>
    </reviewItem>
    <reviewItem>
      <errorID>dcc20886-ffda-4758-8fb5-bc9b45025688</errorID>
      <errorWord>：</errorWord>
      <group>L1_Format</group>
      <groupName>格式问题</groupName>
      <ability>L2_HalfPunc</ability>
      <abilityName>全半角检查</abilityName>
      <candidateList>
        <item>:</item>
      </candidateList>
      <explain>文本全半角错误。</explain>
      <paraID>13AAF37D</paraID>
      <start>4</start>
      <end>5</end>
      <status>unmodified</status>
      <modifiedWord/>
      <trackRevisions>false</trackRevisions>
    </reviewItem>
    <reviewItem>
      <errorID>48f4c4e8-b186-443b-83c1-dc29403def57</errorID>
      <errorWord>(</errorWord>
      <group>L1_Format</group>
      <groupName>格式问题</groupName>
      <ability>L2_HalfPunc</ability>
      <abilityName>全半角检查</abilityName>
      <candidateList>
        <item>（</item>
      </candidateList>
      <explain>文本全半角错误。</explain>
      <paraID>13AAF37D</paraID>
      <start>15</start>
      <end>16</end>
      <status>unmodified</status>
      <modifiedWord/>
      <trackRevisions>false</trackRevisions>
    </reviewItem>
    <reviewItem>
      <errorID>696b26fd-764c-4de7-b0b0-18eb387506ad</errorID>
      <errorWord>)</errorWord>
      <group>L1_Format</group>
      <groupName>格式问题</groupName>
      <ability>L2_HalfPunc</ability>
      <abilityName>全半角检查</abilityName>
      <candidateList>
        <item>）</item>
      </candidateList>
      <explain>文本全半角错误。</explain>
      <paraID>13AAF37D</paraID>
      <start>24</start>
      <end>25</end>
      <status>unmodified</status>
      <modifiedWord/>
      <trackRevisions>false</trackRevisions>
    </reviewItem>
    <reviewItem>
      <errorID>829217d0-ab13-4086-8ebf-407c5304da8f</errorID>
      <errorWord>(</errorWord>
      <group>L1_Format</group>
      <groupName>格式问题</groupName>
      <ability>L2_HalfPunc</ability>
      <abilityName>全半角检查</abilityName>
      <candidateList>
        <item>（</item>
      </candidateList>
      <explain>文本全半角错误。</explain>
      <paraID>13AAF37D</paraID>
      <start>37</start>
      <end>38</end>
      <status>unmodified</status>
      <modifiedWord/>
      <trackRevisions>false</trackRevisions>
    </reviewItem>
    <reviewItem>
      <errorID>0d99a0c3-6d26-4f12-ae79-cc815c1a931c</errorID>
      <errorWord>)</errorWord>
      <group>L1_Format</group>
      <groupName>格式问题</groupName>
      <ability>L2_HalfPunc</ability>
      <abilityName>全半角检查</abilityName>
      <candidateList>
        <item>）</item>
      </candidateList>
      <explain>文本全半角错误。</explain>
      <paraID>13AAF37D</paraID>
      <start>46</start>
      <end>47</end>
      <status>unmodified</status>
      <modifiedWord/>
      <trackRevisions>false</trackRevisions>
    </reviewItem>
    <reviewItem>
      <errorID>05c6c2b5-ca6a-42db-a8d2-ee9608cf33a3</errorID>
      <errorWord>食欲不振</errorWord>
      <group>L1_Knowledge</group>
      <groupName>知识性问题</groupName>
      <ability>L2_Term</ability>
      <abilityName>专业术语</abilityName>
      <candidateList>
        <item>食欲缺乏</item>
      </candidateList>
      <explain>医学名词[食欲不振]为不规范表述或旧称，其规范书面表述为[食欲缺乏]。</explain>
      <paraID>204BB24B</paraID>
      <start>67</start>
      <end>71</end>
      <status>unmodified</status>
      <modifiedWord/>
      <trackRevisions>false</trackRevisions>
    </reviewItem>
    <reviewItem>
      <errorID>f85027a5-bd30-4d48-b2a2-8a5e72ab1924</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204BB24B</paraID>
      <start>99</start>
      <end>102</end>
      <status>modified</status>
      <modifiedWord>刺激征</modifiedWord>
      <trackRevisions>false</trackRevisions>
    </reviewItem>
    <reviewItem>
      <errorID>fcc0043b-640b-49e6-831a-cdfa1258c50c</errorID>
      <errorWord>肾功能衰竭</errorWord>
      <group>L1_Word</group>
      <groupName>字词问题</groupName>
      <ability>L2_Typo</ability>
      <abilityName>字词错误</abilityName>
      <candidateList>
        <item>肾衰竭</item>
      </candidateList>
      <explain/>
      <paraID>204BB24B</paraID>
      <start>168</start>
      <end>173</end>
      <status>unmodified</status>
      <modifiedWord/>
      <trackRevisions>false</trackRevisions>
    </reviewItem>
    <reviewItem>
      <errorID>6b8da0e0-166a-4bc9-9dc8-8a43e09e5e27</errorID>
      <errorWord>:</errorWord>
      <group>L1_Format</group>
      <groupName>格式问题</groupName>
      <ability>L2_HalfPunc</ability>
      <abilityName>全半角检查</abilityName>
      <candidateList>
        <item>：</item>
      </candidateList>
      <explain>文本全半角错误。</explain>
      <paraID>204BB24B</paraID>
      <start>178</start>
      <end>179</end>
      <status>unmodified</status>
      <modifiedWord/>
      <trackRevisions>false</trackRevisions>
    </reviewItem>
    <reviewItem>
      <errorID>19a5fe1b-63ef-46c6-b151-31e9d577daa3</errorID>
      <errorWord>发上</errorWord>
      <group>L1_Word</group>
      <groupName>字词问题</groupName>
      <ability>L2_Typo</ability>
      <abilityName>字词错误</abilityName>
      <candidateList>
        <item>发生</item>
      </candidateList>
      <explain>〈动〉❶原来没有的事出现了；产生：～变化｜～事故｜～关系。❷卵子受精后逐渐生长。</explain>
      <paraID>13039D59</paraID>
      <start>67</start>
      <end>69</end>
      <status>modified</status>
      <modifiedWord>发生</modifiedWord>
      <trackRevisions>false</trackRevisions>
    </reviewItem>
    <reviewItem>
      <errorID>3293260a-1b30-4b2c-912d-5dd1f135570f</errorID>
      <errorWord>地地</errorWord>
      <group>L1_Word</group>
      <groupName>字词问题</groupName>
      <ability>L2_Typo</ability>
      <abilityName>字词错误</abilityName>
      <candidateList>
        <item>地</item>
      </candidateList>
      <explain>“地”常用于连接修饰语与动词性中心语，表示动作的方式、状态或程度。</explain>
      <paraID> DD88702</paraID>
      <start>90</start>
      <end>91</end>
      <status>modified</status>
      <modifiedWord>地</modifiedWord>
      <trackRevisions>false</trackRevisions>
    </reviewItem>
    <reviewItem>
      <errorID>17487d28-0d42-44a2-ad34-091e3b2d40d2</errorID>
      <errorWord>：</errorWord>
      <group>L1_Format</group>
      <groupName>格式问题</groupName>
      <ability>L2_HalfPunc</ability>
      <abilityName>全半角检查</abilityName>
      <candidateList>
        <item>:</item>
      </candidateList>
      <explain>文本全半角错误。</explain>
      <paraID>46C01910</paraID>
      <start>8</start>
      <end>9</end>
      <status>unmodified</status>
      <modifiedWord/>
      <trackRevisions>false</trackRevisions>
    </reviewItem>
    <reviewItem>
      <errorID>d2785d9e-067f-4b51-abb3-88f8d76101c9</errorID>
      <errorWord>:</errorWord>
      <group>L1_Format</group>
      <groupName>格式问题</groupName>
      <ability>L2_HalfPunc</ability>
      <abilityName>全半角检查</abilityName>
      <candidateList>
        <item>：</item>
      </candidateList>
      <explain>文本全半角错误。</explain>
      <paraID>4EB00921</paraID>
      <start>26</start>
      <end>27</end>
      <status>unmodified</status>
      <modifiedWord/>
      <trackRevisions>false</trackRevisions>
    </reviewItem>
    <reviewItem>
      <errorID>1d86294b-3cd8-48d8-92b4-234f452393b9</errorID>
      <errorWord>步态躏跚</errorWord>
      <group>L1_Knowledge</group>
      <groupName>知识性问题</groupName>
      <ability>L2_Idiom</ability>
      <abilityName>成语和诗歌</abilityName>
      <candidateList>
        <item>步态蹒跚</item>
      </candidateList>
      <explain/>
      <paraID>4EB00921</paraID>
      <start>44</start>
      <end>48</end>
      <status>modified</status>
      <modifiedWord>步态蹒跚</modifiedWord>
      <trackRevisions>false</trackRevisions>
    </reviewItem>
    <reviewItem>
      <errorID>1515a2dd-60e3-4384-8cde-320f061801a3</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4EB00921</paraID>
      <start>62</start>
      <end>65</end>
      <status>modified</status>
      <modifiedWord>刺激征</modifiedWord>
      <trackRevisions>false</trackRevisions>
    </reviewItem>
    <reviewItem>
      <errorID>f07a45a2-9b2b-4a17-9c43-9e0017a456a4</errorID>
      <errorWord>直按</errorWord>
      <group>L1_Word</group>
      <groupName>字词问题</groupName>
      <ability>L2_Typo</ability>
      <abilityName>字词错误</abilityName>
      <candidateList>
        <item>直接</item>
      </candidateList>
      <explain>〈形〉不经过中间事物的（跟“间接”相对）：～关系｜～领导｜～阅读外文书籍。</explain>
      <paraID>4EB00921</paraID>
      <start>95</start>
      <end>97</end>
      <status>unmodified</status>
      <modifiedWord/>
      <trackRevisions>false</trackRevisions>
    </reviewItem>
    <reviewItem>
      <errorID>e7b71ff1-d985-44b7-9741-7ded1dca6ab7</errorID>
      <errorWord>:</errorWord>
      <group>L1_Format</group>
      <groupName>格式问题</groupName>
      <ability>L2_HalfPunc</ability>
      <abilityName>全半角检查</abilityName>
      <candidateList>
        <item>：</item>
      </candidateList>
      <explain>文本全半角错误。</explain>
      <paraID>4EB00921</paraID>
      <start>120</start>
      <end>121</end>
      <status>unmodified</status>
      <modifiedWord/>
      <trackRevisions>false</trackRevisions>
    </reviewItem>
    <reviewItem>
      <errorID>608e4c7c-2abf-47f8-b9de-324f0e8f272e</errorID>
      <errorWord>刺激行</errorWord>
      <group>L1_Word</group>
      <groupName>字词问题</groupName>
      <ability>L2_Typo</ability>
      <abilityName>字词错误</abilityName>
      <candidateList>
        <item>刺激性</item>
      </candidateList>
      <explain>存在发音相同字词的误用。</explain>
      <paraID>4EB00921</paraID>
      <start>127</start>
      <end>130</end>
      <status>unmodified</status>
      <modifiedWord/>
      <trackRevisions>false</trackRevisions>
    </reviewItem>
    <reviewItem>
      <errorID>f22bc2a2-614e-4ed3-b3d9-4477facc2210</errorID>
      <errorWord>：</errorWord>
      <group>L1_Format</group>
      <groupName>格式问题</groupName>
      <ability>L2_HalfPunc</ability>
      <abilityName>全半角检查</abilityName>
      <candidateList>
        <item>:</item>
      </candidateList>
      <explain>文本全半角错误。</explain>
      <paraID>6FFF7317</paraID>
      <start>4</start>
      <end>5</end>
      <status>unmodified</status>
      <modifiedWord/>
      <trackRevisions>false</trackRevisions>
    </reviewItem>
    <reviewItem>
      <errorID>8cb8ade4-6a79-4fef-bca3-fea8ab987d3a</errorID>
      <errorWord>(</errorWord>
      <group>L1_Format</group>
      <groupName>格式问题</groupName>
      <ability>L2_HalfPunc</ability>
      <abilityName>全半角检查</abilityName>
      <candidateList>
        <item>（</item>
      </candidateList>
      <explain>文本全半角错误。</explain>
      <paraID>6FFF7317</paraID>
      <start>13</start>
      <end>14</end>
      <status>unmodified</status>
      <modifiedWord/>
      <trackRevisions>false</trackRevisions>
    </reviewItem>
    <reviewItem>
      <errorID>3080557f-54ce-4735-b6c0-1e684b383610</errorID>
      <errorWord>)</errorWord>
      <group>L1_Format</group>
      <groupName>格式问题</groupName>
      <ability>L2_HalfPunc</ability>
      <abilityName>全半角检查</abilityName>
      <candidateList>
        <item>）</item>
      </candidateList>
      <explain>文本全半角错误。</explain>
      <paraID>6FFF7317</paraID>
      <start>18</start>
      <end>19</end>
      <status>unmodified</status>
      <modifiedWord/>
      <trackRevisions>false</trackRevisions>
    </reviewItem>
    <reviewItem>
      <errorID>36746dbe-0864-4a1c-9a36-13c145158304</errorID>
      <errorWord>(</errorWord>
      <group>L1_Format</group>
      <groupName>格式问题</groupName>
      <ability>L2_HalfPunc</ability>
      <abilityName>全半角检查</abilityName>
      <candidateList>
        <item>（</item>
      </candidateList>
      <explain>文本全半角错误。</explain>
      <paraID>6FFF7317</paraID>
      <start>29</start>
      <end>30</end>
      <status>unmodified</status>
      <modifiedWord/>
      <trackRevisions>false</trackRevisions>
    </reviewItem>
    <reviewItem>
      <errorID>f3bb4a5d-4e79-45d5-8c93-ca89be86875d</errorID>
      <errorWord>)</errorWord>
      <group>L1_Format</group>
      <groupName>格式问题</groupName>
      <ability>L2_HalfPunc</ability>
      <abilityName>全半角检查</abilityName>
      <candidateList>
        <item>）</item>
      </candidateList>
      <explain>文本全半角错误。</explain>
      <paraID>6FFF7317</paraID>
      <start>33</start>
      <end>34</end>
      <status>unmodified</status>
      <modifiedWord/>
      <trackRevisions>false</trackRevisions>
    </reviewItem>
    <reviewItem>
      <errorID>b9f35cd5-3c57-4d9f-b654-e9fb07e5db40</errorID>
      <errorWord>：</errorWord>
      <group>L1_Format</group>
      <groupName>格式问题</groupName>
      <ability>L2_HalfPunc</ability>
      <abilityName>全半角检查</abilityName>
      <candidateList>
        <item>:</item>
      </candidateList>
      <explain>文本全半角错误。</explain>
      <paraID>6FFF7317</paraID>
      <start>39</start>
      <end>40</end>
      <status>unmodified</status>
      <modifiedWord/>
      <trackRevisions>false</trackRevisions>
    </reviewItem>
    <reviewItem>
      <errorID>26156428-8321-414c-a885-95e07113961d</errorID>
      <errorWord>(</errorWord>
      <group>L1_Format</group>
      <groupName>格式问题</groupName>
      <ability>L2_HalfPunc</ability>
      <abilityName>全半角检查</abilityName>
      <candidateList>
        <item>（</item>
      </candidateList>
      <explain>文本全半角错误。</explain>
      <paraID>6FFF7317</paraID>
      <start>51</start>
      <end>52</end>
      <status>unmodified</status>
      <modifiedWord/>
      <trackRevisions>false</trackRevisions>
    </reviewItem>
    <reviewItem>
      <errorID>b93d4204-8cbd-43ca-95c9-ee2740548246</errorID>
      <errorWord>)</errorWord>
      <group>L1_Format</group>
      <groupName>格式问题</groupName>
      <ability>L2_HalfPunc</ability>
      <abilityName>全半角检查</abilityName>
      <candidateList>
        <item>）</item>
      </candidateList>
      <explain>文本全半角错误。</explain>
      <paraID>6FFF7317</paraID>
      <start>56</start>
      <end>57</end>
      <status>unmodified</status>
      <modifiedWord/>
      <trackRevisions>false</trackRevisions>
    </reviewItem>
    <reviewItem>
      <errorID>b55cfb4b-ac00-4faf-bcdb-080453054c23</errorID>
      <errorWord>粘附</errorWord>
      <group>L1_Word</group>
      <groupName>字词问题</groupName>
      <ability>L2_Alias</ability>
      <abilityName>也作/曾用词</abilityName>
      <candidateList>
        <item>黏附</item>
      </candidateList>
      <explain>词汇[粘附]为不规范表述或旧称，其规范书面表述为[黏附]。</explain>
      <paraID>3452225A</paraID>
      <start>32</start>
      <end>34</end>
      <status>unmodified</status>
      <modifiedWord/>
      <trackRevisions>false</trackRevisions>
    </reviewItem>
    <reviewItem>
      <errorID>9bf93c6b-85da-4457-975f-141b3a14d6fd</errorID>
      <errorWord>粘附</errorWord>
      <group>L1_Word</group>
      <groupName>字词问题</groupName>
      <ability>L2_Alias</ability>
      <abilityName>也作/曾用词</abilityName>
      <candidateList>
        <item>黏附</item>
      </candidateList>
      <explain>词汇[粘附]为不规范表述或旧称，其规范书面表述为[黏附]。</explain>
      <paraID>3452225A</paraID>
      <start>59</start>
      <end>61</end>
      <status>unmodified</status>
      <modifiedWord/>
      <trackRevisions>false</trackRevisions>
    </reviewItem>
    <reviewItem>
      <errorID>198b332d-86dd-4611-b865-d2b297ab8964</errorID>
      <errorWord>：</errorWord>
      <group>L1_Format</group>
      <groupName>格式问题</groupName>
      <ability>L2_HalfPunc</ability>
      <abilityName>全半角检查</abilityName>
      <candidateList>
        <item>:</item>
      </candidateList>
      <explain>文本全半角错误。</explain>
      <paraID>28F4BACC</paraID>
      <start>4</start>
      <end>5</end>
      <status>unmodified</status>
      <modifiedWord/>
      <trackRevisions>false</trackRevisions>
    </reviewItem>
    <reviewItem>
      <errorID>c51d1766-a83d-4688-b55c-d338e2ff4c6f</errorID>
      <errorWord>(</errorWord>
      <group>L1_Format</group>
      <groupName>格式问题</groupName>
      <ability>L2_HalfPunc</ability>
      <abilityName>全半角检查</abilityName>
      <candidateList>
        <item>（</item>
      </candidateList>
      <explain>文本全半角错误。</explain>
      <paraID>28F4BACC</paraID>
      <start>12</start>
      <end>13</end>
      <status>unmodified</status>
      <modifiedWord/>
      <trackRevisions>false</trackRevisions>
    </reviewItem>
    <reviewItem>
      <errorID>3fcbccb7-7f9a-4c08-b15b-8b762212bd9f</errorID>
      <errorWord>)</errorWord>
      <group>L1_Format</group>
      <groupName>格式问题</groupName>
      <ability>L2_HalfPunc</ability>
      <abilityName>全半角检查</abilityName>
      <candidateList>
        <item>）</item>
      </candidateList>
      <explain>文本全半角错误。</explain>
      <paraID>28F4BACC</paraID>
      <start>20</start>
      <end>21</end>
      <status>unmodified</status>
      <modifiedWord/>
      <trackRevisions>false</trackRevisions>
    </reviewItem>
    <reviewItem>
      <errorID>0a919283-5967-4ce5-abe2-36ff7820711d</errorID>
      <errorWord>：</errorWord>
      <group>L1_Format</group>
      <groupName>格式问题</groupName>
      <ability>L2_HalfPunc</ability>
      <abilityName>全半角检查</abilityName>
      <candidateList>
        <item>:</item>
      </candidateList>
      <explain>文本全半角错误。</explain>
      <paraID>4FAEE9B8</paraID>
      <start>4</start>
      <end>5</end>
      <status>unmodified</status>
      <modifiedWord/>
      <trackRevisions>false</trackRevisions>
    </reviewItem>
    <reviewItem>
      <errorID>15c3687c-0d0b-4ba4-8186-edd7e276d848</errorID>
      <errorWord>(</errorWord>
      <group>L1_Format</group>
      <groupName>格式问题</groupName>
      <ability>L2_HalfPunc</ability>
      <abilityName>全半角检查</abilityName>
      <candidateList>
        <item>（</item>
      </candidateList>
      <explain>文本全半角错误。</explain>
      <paraID>4FAEE9B8</paraID>
      <start>14</start>
      <end>15</end>
      <status>unmodified</status>
      <modifiedWord/>
      <trackRevisions>false</trackRevisions>
    </reviewItem>
    <reviewItem>
      <errorID>d66429f7-fc0d-4128-90df-0e2d2bc13c58</errorID>
      <errorWord>)</errorWord>
      <group>L1_Format</group>
      <groupName>格式问题</groupName>
      <ability>L2_HalfPunc</ability>
      <abilityName>全半角检查</abilityName>
      <candidateList>
        <item>）</item>
      </candidateList>
      <explain>文本全半角错误。</explain>
      <paraID>4FAEE9B8</paraID>
      <start>22</start>
      <end>23</end>
      <status>unmodified</status>
      <modifiedWord/>
      <trackRevisions>false</trackRevisions>
    </reviewItem>
    <reviewItem>
      <errorID>391c644b-adb8-4c1b-8608-34afd596efcb</errorID>
      <errorWord>,</errorWord>
      <group>L1_Format</group>
      <groupName>格式问题</groupName>
      <ability>L2_HalfPunc</ability>
      <abilityName>全半角检查</abilityName>
      <candidateList>
        <item>，</item>
      </candidateList>
      <explain>文本全半角错误。</explain>
      <paraID>10B53989</paraID>
      <start>49</start>
      <end>50</end>
      <status>unmodified</status>
      <modifiedWord/>
      <trackRevisions>false</trackRevisions>
    </reviewItem>
    <reviewItem>
      <errorID>b18b0fc3-3a12-41f1-ae84-e44bc6876f57</errorID>
      <errorWord>:</errorWord>
      <group>L1_Format</group>
      <groupName>格式问题</groupName>
      <ability>L2_HalfPunc</ability>
      <abilityName>全半角检查</abilityName>
      <candidateList>
        <item>：</item>
      </candidateList>
      <explain>文本全半角错误。</explain>
      <paraID>136CF472</paraID>
      <start>4</start>
      <end>5</end>
      <status>unmodified</status>
      <modifiedWord/>
      <trackRevisions>false</trackRevisions>
    </reviewItem>
    <reviewItem>
      <errorID>e2b67327-cd20-44e7-a80c-f80a8b180706</errorID>
      <errorWord>(</errorWord>
      <group>L1_Format</group>
      <groupName>格式问题</groupName>
      <ability>L2_HalfPunc</ability>
      <abilityName>全半角检查</abilityName>
      <candidateList>
        <item>（</item>
      </candidateList>
      <explain>文本全半角错误。</explain>
      <paraID>55EA6B51</paraID>
      <start>59</start>
      <end>60</end>
      <status>unmodified</status>
      <modifiedWord/>
      <trackRevisions>false</trackRevisions>
    </reviewItem>
    <reviewItem>
      <errorID>a1ab64f6-a133-4cb1-a56a-a253cfa981a2</errorID>
      <errorWord>)</errorWord>
      <group>L1_Format</group>
      <groupName>格式问题</groupName>
      <ability>L2_HalfPunc</ability>
      <abilityName>全半角检查</abilityName>
      <candidateList>
        <item>）</item>
      </candidateList>
      <explain>文本全半角错误。</explain>
      <paraID>55EA6B51</paraID>
      <start>64</start>
      <end>65</end>
      <status>unmodified</status>
      <modifiedWord/>
      <trackRevisions>false</trackRevisions>
    </reviewItem>
    <reviewItem>
      <errorID>a66c2087-66ec-4f65-a80f-d901e01a9fc9</errorID>
      <errorWord>:&gt;</errorWord>
      <group>L1_Punc</group>
      <groupName>标点问题</groupName>
      <ability>L2_Punc</ability>
      <abilityName>标点符号检查</abilityName>
      <candidateList>
        <item>:</item>
      </candidateList>
      <explain/>
      <paraID>55EA6B51</paraID>
      <start>70</start>
      <end>72</end>
      <status>unmodified</status>
      <modifiedWord/>
      <trackRevisions>false</trackRevisions>
    </reviewItem>
    <reviewItem>
      <errorID>1e9d984d-411d-49cc-9fb0-2dee4e6451db</errorID>
      <errorWord>,</errorWord>
      <group>L1_Format</group>
      <groupName>格式问题</groupName>
      <ability>L2_HalfPunc</ability>
      <abilityName>全半角检查</abilityName>
      <candidateList>
        <item>，</item>
      </candidateList>
      <explain>文本全半角错误。</explain>
      <paraID>1D23DB38</paraID>
      <start>15</start>
      <end>16</end>
      <status>unmodified</status>
      <modifiedWord/>
      <trackRevisions>false</trackRevisions>
    </reviewItem>
    <reviewItem>
      <errorID>04a6c070-8a68-4660-b47c-9adccd0d9189</errorID>
      <errorWord>,</errorWord>
      <group>L1_Format</group>
      <groupName>格式问题</groupName>
      <ability>L2_HalfPunc</ability>
      <abilityName>全半角检查</abilityName>
      <candidateList>
        <item>，</item>
      </candidateList>
      <explain>文本全半角错误。</explain>
      <paraID>1D23DB38</paraID>
      <start>47</start>
      <end>48</end>
      <status>unmodified</status>
      <modifiedWord/>
      <trackRevisions>false</trackRevisions>
    </reviewItem>
    <reviewItem>
      <errorID>6e391312-daa0-4d14-8da8-488ec62fa43f</errorID>
      <errorWord>,</errorWord>
      <group>L1_Format</group>
      <groupName>格式问题</groupName>
      <ability>L2_HalfPunc</ability>
      <abilityName>全半角检查</abilityName>
      <candidateList>
        <item>，</item>
      </candidateList>
      <explain>文本全半角错误。</explain>
      <paraID>1D23DB38</paraID>
      <start>86</start>
      <end>87</end>
      <status>unmodified</status>
      <modifiedWord/>
      <trackRevisions>false</trackRevisions>
    </reviewItem>
    <reviewItem>
      <errorID>d68e37a5-d754-4e8b-97ed-debd50f50aa5</errorID>
      <errorWord>,</errorWord>
      <group>L1_Format</group>
      <groupName>格式问题</groupName>
      <ability>L2_HalfPunc</ability>
      <abilityName>全半角检查</abilityName>
      <candidateList>
        <item>，</item>
      </candidateList>
      <explain>文本全半角错误。</explain>
      <paraID>1D23DB38</paraID>
      <start>96</start>
      <end>97</end>
      <status>unmodified</status>
      <modifiedWord/>
      <trackRevisions>false</trackRevisions>
    </reviewItem>
    <reviewItem>
      <errorID>79987523-3917-4efa-bdf4-7ed4d981bfc2</errorID>
      <errorWord>,</errorWord>
      <group>L1_Format</group>
      <groupName>格式问题</groupName>
      <ability>L2_HalfPunc</ability>
      <abilityName>全半角检查</abilityName>
      <candidateList>
        <item>，</item>
      </candidateList>
      <explain>文本全半角错误。</explain>
      <paraID>1D23DB38</paraID>
      <start>112</start>
      <end>113</end>
      <status>unmodified</status>
      <modifiedWord/>
      <trackRevisions>false</trackRevisions>
    </reviewItem>
    <reviewItem>
      <errorID>073ad461-fa6e-42bc-9112-018ff52201f1</errorID>
      <errorWord>葡萄糖醛酸</errorWord>
      <group>L1_Knowledge</group>
      <groupName>知识性问题</groupName>
      <ability>L2_Term</ability>
      <abilityName>专业术语</abilityName>
      <candidateList>
        <item>葡糖醛酸</item>
      </candidateList>
      <explain>医学名词[葡萄糖醛酸]为不规范表述或旧称，其规范书面表述为[葡糖醛酸]。</explain>
      <paraID>1D23DB38</paraID>
      <start>117</start>
      <end>122</end>
      <status>unmodified</status>
      <modifiedWord/>
      <trackRevisions>false</trackRevisions>
    </reviewItem>
    <reviewItem>
      <errorID>7ee52ef0-8865-4880-bfca-3f2b03733adf</errorID>
      <errorWord>：</errorWord>
      <group>L1_Format</group>
      <groupName>格式问题</groupName>
      <ability>L2_HalfPunc</ability>
      <abilityName>全半角检查</abilityName>
      <candidateList>
        <item>:</item>
      </candidateList>
      <explain>文本全半角错误。</explain>
      <paraID>6264938C</paraID>
      <start>4</start>
      <end>5</end>
      <status>unmodified</status>
      <modifiedWord/>
      <trackRevisions>false</trackRevisions>
    </reviewItem>
    <reviewItem>
      <errorID>4e93fde4-1aa2-4d04-a0dc-1aa4737fe5da</errorID>
      <errorWord>(</errorWord>
      <group>L1_Format</group>
      <groupName>格式问题</groupName>
      <ability>L2_HalfPunc</ability>
      <abilityName>全半角检查</abilityName>
      <candidateList>
        <item>（</item>
      </candidateList>
      <explain>文本全半角错误。</explain>
      <paraID>6264938C</paraID>
      <start>14</start>
      <end>15</end>
      <status>unmodified</status>
      <modifiedWord/>
      <trackRevisions>false</trackRevisions>
    </reviewItem>
    <reviewItem>
      <errorID>d104f3ab-d8f4-40cd-80c4-9857896bd0d5</errorID>
      <errorWord>)</errorWord>
      <group>L1_Format</group>
      <groupName>格式问题</groupName>
      <ability>L2_HalfPunc</ability>
      <abilityName>全半角检查</abilityName>
      <candidateList>
        <item>）</item>
      </candidateList>
      <explain>文本全半角错误。</explain>
      <paraID>6264938C</paraID>
      <start>19</start>
      <end>20</end>
      <status>unmodified</status>
      <modifiedWord/>
      <trackRevisions>false</trackRevisions>
    </reviewItem>
    <reviewItem>
      <errorID>c6272b49-0ddf-48f9-bfb0-a2fe0f2e8bf6</errorID>
      <errorWord>：</errorWord>
      <group>L1_Format</group>
      <groupName>格式问题</groupName>
      <ability>L2_HalfPunc</ability>
      <abilityName>全半角检查</abilityName>
      <candidateList>
        <item>:</item>
      </candidateList>
      <explain>文本全半角错误。</explain>
      <paraID>477D4E65</paraID>
      <start>4</start>
      <end>5</end>
      <status>unmodified</status>
      <modifiedWord/>
      <trackRevisions>false</trackRevisions>
    </reviewItem>
    <reviewItem>
      <errorID>b0916fcb-375d-4833-a25e-48563e40056a</errorID>
      <errorWord>(</errorWord>
      <group>L1_Format</group>
      <groupName>格式问题</groupName>
      <ability>L2_HalfPunc</ability>
      <abilityName>全半角检查</abilityName>
      <candidateList>
        <item>（</item>
      </candidateList>
      <explain>文本全半角错误。</explain>
      <paraID>477D4E65</paraID>
      <start>19</start>
      <end>20</end>
      <status>unmodified</status>
      <modifiedWord/>
      <trackRevisions>false</trackRevisions>
    </reviewItem>
    <reviewItem>
      <errorID>61657ccf-dc8d-467d-8228-c0dc393383fd</errorID>
      <errorWord>)</errorWord>
      <group>L1_Format</group>
      <groupName>格式问题</groupName>
      <ability>L2_HalfPunc</ability>
      <abilityName>全半角检查</abilityName>
      <candidateList>
        <item>）</item>
      </candidateList>
      <explain>文本全半角错误。</explain>
      <paraID>477D4E65</paraID>
      <start>24</start>
      <end>25</end>
      <status>unmodified</status>
      <modifiedWord/>
      <trackRevisions>false</trackRevisions>
    </reviewItem>
    <reviewItem>
      <errorID>58c188ae-b1d2-45c8-ba88-83c0b06590bb</errorID>
      <errorWord>(</errorWord>
      <group>L1_Format</group>
      <groupName>格式问题</groupName>
      <ability>L2_HalfPunc</ability>
      <abilityName>全半角检查</abilityName>
      <candidateList>
        <item>（</item>
      </candidateList>
      <explain>文本全半角错误。</explain>
      <paraID>477D4E65</paraID>
      <start>40</start>
      <end>41</end>
      <status>unmodified</status>
      <modifiedWord/>
      <trackRevisions>false</trackRevisions>
    </reviewItem>
    <reviewItem>
      <errorID>319b95eb-114d-44a6-9564-f41cc12ae080</errorID>
      <errorWord>)</errorWord>
      <group>L1_Format</group>
      <groupName>格式问题</groupName>
      <ability>L2_HalfPunc</ability>
      <abilityName>全半角检查</abilityName>
      <candidateList>
        <item>）</item>
      </candidateList>
      <explain>文本全半角错误。</explain>
      <paraID>477D4E65</paraID>
      <start>45</start>
      <end>46</end>
      <status>unmodified</status>
      <modifiedWord/>
      <trackRevisions>false</trackRevisions>
    </reviewItem>
    <reviewItem>
      <errorID>f734ac46-fd1d-4533-af18-fbdbf2196ba1</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6F6A3712</paraID>
      <start>15</start>
      <end>18</end>
      <status>modified</status>
      <modifiedWord>刺激征</modifiedWord>
      <trackRevisions>false</trackRevisions>
    </reviewItem>
    <reviewItem>
      <errorID>5772035b-de47-4af7-9e80-ba50f3d71b86</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58CF9DA1</paraID>
      <start>15</start>
      <end>18</end>
      <status>modified</status>
      <modifiedWord>刺激征</modifiedWord>
      <trackRevisions>false</trackRevisions>
    </reviewItem>
    <reviewItem>
      <errorID>c62179bd-b8ce-4445-8fd4-3c87813a0938</errorID>
      <errorWord>粘附</errorWord>
      <group>L1_Word</group>
      <groupName>字词问题</groupName>
      <ability>L2_Alias</ability>
      <abilityName>也作/曾用词</abilityName>
      <candidateList>
        <item>黏附</item>
      </candidateList>
      <explain>词汇[粘附]为不规范表述或旧称，其规范书面表述为[黏附]。</explain>
      <paraID>2FDF1F80</paraID>
      <start>32</start>
      <end>34</end>
      <status>unmodified</status>
      <modifiedWord/>
      <trackRevisions>false</trackRevisions>
    </reviewItem>
    <reviewItem>
      <errorID>c90c5f0c-611b-4818-9f3c-be2daa344ea0</errorID>
      <errorWord>粘附</errorWord>
      <group>L1_Word</group>
      <groupName>字词问题</groupName>
      <ability>L2_Alias</ability>
      <abilityName>也作/曾用词</abilityName>
      <candidateList>
        <item>黏附</item>
      </candidateList>
      <explain>词汇[粘附]为不规范表述或旧称，其规范书面表述为[黏附]。</explain>
      <paraID>2FDF1F80</paraID>
      <start>59</start>
      <end>61</end>
      <status>unmodified</status>
      <modifiedWord/>
      <trackRevisions>false</trackRevisions>
    </reviewItem>
    <reviewItem>
      <errorID>311c594c-1650-48e1-a7d0-226568050470</errorID>
      <errorWord>(</errorWord>
      <group>L1_Format</group>
      <groupName>格式问题</groupName>
      <ability>L2_HalfPunc</ability>
      <abilityName>全半角检查</abilityName>
      <candidateList>
        <item>（</item>
      </candidateList>
      <explain>文本全半角错误。</explain>
      <paraID>4891FE78</paraID>
      <start>54</start>
      <end>55</end>
      <status>unmodified</status>
      <modifiedWord/>
      <trackRevisions>false</trackRevisions>
    </reviewItem>
    <reviewItem>
      <errorID>c5836b6b-e5e5-4ced-94fc-c19d974e0439</errorID>
      <errorWord>)</errorWord>
      <group>L1_Format</group>
      <groupName>格式问题</groupName>
      <ability>L2_HalfPunc</ability>
      <abilityName>全半角检查</abilityName>
      <candidateList>
        <item>）</item>
      </candidateList>
      <explain>文本全半角错误。</explain>
      <paraID>4891FE78</paraID>
      <start>59</start>
      <end>60</end>
      <status>unmodified</status>
      <modifiedWord/>
      <trackRevisions>false</trackRevisions>
    </reviewItem>
    <reviewItem>
      <errorID>c6bcfc67-746c-4173-8a98-e42b00360b5d</errorID>
      <errorWord>：</errorWord>
      <group>L1_Format</group>
      <groupName>格式问题</groupName>
      <ability>L2_HalfPunc</ability>
      <abilityName>全半角检查</abilityName>
      <candidateList>
        <item>:</item>
      </candidateList>
      <explain>文本全半角错误。</explain>
      <paraID>4953D90D</paraID>
      <start>4</start>
      <end>5</end>
      <status>unmodified</status>
      <modifiedWord/>
      <trackRevisions>false</trackRevisions>
    </reviewItem>
    <reviewItem>
      <errorID>4bb5a4dc-ad66-4791-9c7c-d7b11e9a8793</errorID>
      <errorWord>(</errorWord>
      <group>L1_Format</group>
      <groupName>格式问题</groupName>
      <ability>L2_HalfPunc</ability>
      <abilityName>全半角检查</abilityName>
      <candidateList>
        <item>（</item>
      </candidateList>
      <explain>文本全半角错误。</explain>
      <paraID>4953D90D</paraID>
      <start>14</start>
      <end>15</end>
      <status>unmodified</status>
      <modifiedWord/>
      <trackRevisions>false</trackRevisions>
    </reviewItem>
    <reviewItem>
      <errorID>03a13d4c-ab36-4934-b9bd-69805bec9556</errorID>
      <errorWord>)</errorWord>
      <group>L1_Format</group>
      <groupName>格式问题</groupName>
      <ability>L2_HalfPunc</ability>
      <abilityName>全半角检查</abilityName>
      <candidateList>
        <item>）</item>
      </candidateList>
      <explain>文本全半角错误。</explain>
      <paraID>4953D90D</paraID>
      <start>19</start>
      <end>20</end>
      <status>unmodified</status>
      <modifiedWord/>
      <trackRevisions>false</trackRevisions>
    </reviewItem>
    <reviewItem>
      <errorID>6fb510a7-f97a-45f2-a8d5-8fe124d8b670</errorID>
      <errorWord>：</errorWord>
      <group>L1_Format</group>
      <groupName>格式问题</groupName>
      <ability>L2_HalfPunc</ability>
      <abilityName>全半角检查</abilityName>
      <candidateList>
        <item>:</item>
      </candidateList>
      <explain>文本全半角错误。</explain>
      <paraID>30BAAAEE</paraID>
      <start>4</start>
      <end>5</end>
      <status>unmodified</status>
      <modifiedWord/>
      <trackRevisions>false</trackRevisions>
    </reviewItem>
    <reviewItem>
      <errorID>61ba779b-9afd-4dab-a33d-1ad570755f2c</errorID>
      <errorWord>(</errorWord>
      <group>L1_Format</group>
      <groupName>格式问题</groupName>
      <ability>L2_HalfPunc</ability>
      <abilityName>全半角检查</abilityName>
      <candidateList>
        <item>（</item>
      </candidateList>
      <explain>文本全半角错误。</explain>
      <paraID>30BAAAEE</paraID>
      <start>20</start>
      <end>21</end>
      <status>unmodified</status>
      <modifiedWord/>
      <trackRevisions>false</trackRevisions>
    </reviewItem>
    <reviewItem>
      <errorID>bd5a96db-d32c-4eec-8365-c010fb06535b</errorID>
      <errorWord>)</errorWord>
      <group>L1_Format</group>
      <groupName>格式问题</groupName>
      <ability>L2_HalfPunc</ability>
      <abilityName>全半角检查</abilityName>
      <candidateList>
        <item>）</item>
      </candidateList>
      <explain>文本全半角错误。</explain>
      <paraID>30BAAAEE</paraID>
      <start>25</start>
      <end>26</end>
      <status>unmodified</status>
      <modifiedWord/>
      <trackRevisions>false</trackRevisions>
    </reviewItem>
    <reviewItem>
      <errorID>722c81e3-e75e-4a93-b4be-aea02f2449cd</errorID>
      <errorWord>粘附</errorWord>
      <group>L1_Word</group>
      <groupName>字词问题</groupName>
      <ability>L2_Alias</ability>
      <abilityName>也作/曾用词</abilityName>
      <candidateList>
        <item>黏附</item>
      </candidateList>
      <explain>词汇[粘附]为不规范表述或旧称，其规范书面表述为[黏附]。</explain>
      <paraID>14766B46</paraID>
      <start>32</start>
      <end>34</end>
      <status>unmodified</status>
      <modifiedWord/>
      <trackRevisions>false</trackRevisions>
    </reviewItem>
    <reviewItem>
      <errorID>7785501e-0bd9-426e-a9ae-0654292af24e</errorID>
      <errorWord>粘附</errorWord>
      <group>L1_Word</group>
      <groupName>字词问题</groupName>
      <ability>L2_Alias</ability>
      <abilityName>也作/曾用词</abilityName>
      <candidateList>
        <item>黏附</item>
      </candidateList>
      <explain>词汇[粘附]为不规范表述或旧称，其规范书面表述为[黏附]。</explain>
      <paraID>14766B46</paraID>
      <start>59</start>
      <end>61</end>
      <status>unmodified</status>
      <modifiedWord/>
      <trackRevisions>false</trackRevisions>
    </reviewItem>
    <reviewItem>
      <errorID>6771e4b8-a3ed-4aef-8282-2841537a5358</errorID>
      <errorWord>(</errorWord>
      <group>L1_Format</group>
      <groupName>格式问题</groupName>
      <ability>L2_HalfPunc</ability>
      <abilityName>全半角检查</abilityName>
      <candidateList>
        <item>（</item>
      </candidateList>
      <explain>文本全半角错误。</explain>
      <paraID>48A8D1F9</paraID>
      <start>14</start>
      <end>15</end>
      <status>unmodified</status>
      <modifiedWord/>
      <trackRevisions>false</trackRevisions>
    </reviewItem>
    <reviewItem>
      <errorID>1dbfe915-b038-4c78-b8a4-a2a6ce598af7</errorID>
      <errorWord>)</errorWord>
      <group>L1_Format</group>
      <groupName>格式问题</groupName>
      <ability>L2_HalfPunc</ability>
      <abilityName>全半角检查</abilityName>
      <candidateList>
        <item>）</item>
      </candidateList>
      <explain>文本全半角错误。</explain>
      <paraID>48A8D1F9</paraID>
      <start>19</start>
      <end>20</end>
      <status>unmodified</status>
      <modifiedWord/>
      <trackRevisions>false</trackRevisions>
    </reviewItem>
    <reviewItem>
      <errorID>09701ec9-5652-43fc-966a-5a1b2e7cf399</errorID>
      <errorWord>;</errorWord>
      <group>L1_Format</group>
      <groupName>格式问题</groupName>
      <ability>L2_HalfPunc</ability>
      <abilityName>全半角检查</abilityName>
      <candidateList>
        <item>；</item>
      </candidateList>
      <explain>文本全半角错误。</explain>
      <paraID>7DFE741F</paraID>
      <start>15</start>
      <end>16</end>
      <status>unmodified</status>
      <modifiedWord/>
      <trackRevisions>false</trackRevisions>
    </reviewItem>
    <reviewItem>
      <errorID>1d6da34d-8123-4ce3-b9c9-49d92f77931d</errorID>
      <errorWord>和粘膜</errorWord>
      <group>L1_Word</group>
      <groupName>字词问题</groupName>
      <ability>L2_Alias</ability>
      <abilityName>也作/曾用词</abilityName>
      <candidateList>
        <item>和黏膜</item>
      </candidateList>
      <explain>词汇[和粘膜]为不规范表述或旧称，其规范书面表述为[和黏膜]。</explain>
      <paraID>7DFE741F</paraID>
      <start>19</start>
      <end>22</end>
      <status>unmodified</status>
      <modifiedWord/>
      <trackRevisions>false</trackRevisions>
    </reviewItem>
    <reviewItem>
      <errorID>28090448-9bf3-4245-855f-5da2dd080283</errorID>
      <errorWord>:</errorWord>
      <group>L1_Format</group>
      <groupName>格式问题</groupName>
      <ability>L2_HalfPunc</ability>
      <abilityName>全半角检查</abilityName>
      <candidateList>
        <item>：</item>
      </candidateList>
      <explain>文本全半角错误。</explain>
      <paraID>7DFE741F</paraID>
      <start>31</start>
      <end>32</end>
      <status>unmodified</status>
      <modifiedWord/>
      <trackRevisions>false</trackRevisions>
    </reviewItem>
    <reviewItem>
      <errorID>35e25f50-199e-4212-8ded-6f80fe3203b4</errorID>
      <errorWord>:</errorWord>
      <group>L1_Format</group>
      <groupName>格式问题</groupName>
      <ability>L2_HalfPunc</ability>
      <abilityName>全半角检查</abilityName>
      <candidateList>
        <item>：</item>
      </candidateList>
      <explain>文本全半角错误。</explain>
      <paraID>7DFE741F</paraID>
      <start>126</start>
      <end>127</end>
      <status>unmodified</status>
      <modifiedWord/>
      <trackRevisions>false</trackRevisions>
    </reviewItem>
    <reviewItem>
      <errorID>ebba176e-9d7a-4be5-a1c6-e0af8e11fb62</errorID>
      <errorWord>:</errorWord>
      <group>L1_Format</group>
      <groupName>格式问题</groupName>
      <ability>L2_HalfPunc</ability>
      <abilityName>全半角检查</abilityName>
      <candidateList>
        <item>：</item>
      </candidateList>
      <explain>文本全半角错误。</explain>
      <paraID>7DFE741F</paraID>
      <start>139</start>
      <end>140</end>
      <status>unmodified</status>
      <modifiedWord/>
      <trackRevisions>false</trackRevisions>
    </reviewItem>
    <reviewItem>
      <errorID>80247fe0-afe7-41e9-8dee-b30e5d979a5a</errorID>
      <errorWord>;</errorWord>
      <group>L1_Format</group>
      <groupName>格式问题</groupName>
      <ability>L2_HalfPunc</ability>
      <abilityName>全半角检查</abilityName>
      <candidateList>
        <item>；</item>
      </candidateList>
      <explain>文本全半角错误。</explain>
      <paraID>7DFE741F</paraID>
      <start>161</start>
      <end>162</end>
      <status>unmodified</status>
      <modifiedWord/>
      <trackRevisions>false</trackRevisions>
    </reviewItem>
    <reviewItem>
      <errorID>cafe2c7a-8e14-4f2b-991e-ef545d01fe37</errorID>
      <errorWord>(</errorWord>
      <group>L1_Format</group>
      <groupName>格式问题</groupName>
      <ability>L2_HalfPunc</ability>
      <abilityName>全半角检查</abilityName>
      <candidateList>
        <item>（</item>
      </candidateList>
      <explain>文本全半角错误。</explain>
      <paraID>546742CB</paraID>
      <start>13</start>
      <end>14</end>
      <status>unmodified</status>
      <modifiedWord/>
      <trackRevisions>false</trackRevisions>
    </reviewItem>
    <reviewItem>
      <errorID>f1f7bab0-7bfc-4966-81a4-0e262cb7b5e1</errorID>
      <errorWord>)</errorWord>
      <group>L1_Format</group>
      <groupName>格式问题</groupName>
      <ability>L2_HalfPunc</ability>
      <abilityName>全半角检查</abilityName>
      <candidateList>
        <item>）</item>
      </candidateList>
      <explain>文本全半角错误。</explain>
      <paraID>546742CB</paraID>
      <start>18</start>
      <end>19</end>
      <status>unmodified</status>
      <modifiedWord/>
      <trackRevisions>false</trackRevisions>
    </reviewItem>
    <reviewItem>
      <errorID>cdd4c685-5267-4dc3-84a2-85a2a9b273e2</errorID>
      <errorWord>：</errorWord>
      <group>L1_Format</group>
      <groupName>格式问题</groupName>
      <ability>L2_HalfPunc</ability>
      <abilityName>全半角检查</abilityName>
      <candidateList>
        <item>:</item>
      </candidateList>
      <explain>文本全半角错误。</explain>
      <paraID>187A3912</paraID>
      <start>4</start>
      <end>5</end>
      <status>unmodified</status>
      <modifiedWord/>
      <trackRevisions>false</trackRevisions>
    </reviewItem>
    <reviewItem>
      <errorID>af182beb-565f-45e1-9c85-de9da59784b3</errorID>
      <errorWord>(</errorWord>
      <group>L1_Format</group>
      <groupName>格式问题</groupName>
      <ability>L2_HalfPunc</ability>
      <abilityName>全半角检查</abilityName>
      <candidateList>
        <item>（</item>
      </candidateList>
      <explain>文本全半角错误。</explain>
      <paraID>187A3912</paraID>
      <start>15</start>
      <end>16</end>
      <status>unmodified</status>
      <modifiedWord/>
      <trackRevisions>false</trackRevisions>
    </reviewItem>
    <reviewItem>
      <errorID>3eef4b31-2cfb-4927-891c-be287a135c04</errorID>
      <errorWord>)</errorWord>
      <group>L1_Format</group>
      <groupName>格式问题</groupName>
      <ability>L2_HalfPunc</ability>
      <abilityName>全半角检查</abilityName>
      <candidateList>
        <item>）</item>
      </candidateList>
      <explain>文本全半角错误。</explain>
      <paraID>187A3912</paraID>
      <start>24</start>
      <end>25</end>
      <status>unmodified</status>
      <modifiedWord/>
      <trackRevisions>false</trackRevisions>
    </reviewItem>
    <reviewItem>
      <errorID>9f021526-ccce-4443-a0a7-f456650038a0</errorID>
      <errorWord>:</errorWord>
      <group>L1_Format</group>
      <groupName>格式问题</groupName>
      <ability>L2_HalfPunc</ability>
      <abilityName>全半角检查</abilityName>
      <candidateList>
        <item>：</item>
      </candidateList>
      <explain>文本全半角错误。</explain>
      <paraID>23EC1A6B</paraID>
      <start>33</start>
      <end>34</end>
      <status>unmodified</status>
      <modifiedWord/>
      <trackRevisions>false</trackRevisions>
    </reviewItem>
    <reviewItem>
      <errorID>68e0b859-823f-4e9b-82b4-48504293fe4f</errorID>
      <errorWord>和粘膜</errorWord>
      <group>L1_Word</group>
      <groupName>字词问题</groupName>
      <ability>L2_Alias</ability>
      <abilityName>也作/曾用词</abilityName>
      <candidateList>
        <item>和黏膜</item>
      </candidateList>
      <explain>词汇[和粘膜]为不规范表述或旧称，其规范书面表述为[和黏膜]。</explain>
      <paraID>23EC1A6B</paraID>
      <start>71</start>
      <end>74</end>
      <status>unmodified</status>
      <modifiedWord/>
      <trackRevisions>false</trackRevisions>
    </reviewItem>
    <reviewItem>
      <errorID>f34dc725-9ad1-428b-8927-6264a3c61de7</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23EC1A6B</paraID>
      <start>74</start>
      <end>77</end>
      <status>modified</status>
      <modifiedWord>刺激征</modifiedWord>
      <trackRevisions>false</trackRevisions>
    </reviewItem>
    <reviewItem>
      <errorID>66d72b6d-3b25-4bf9-b4a8-32110234452d</errorID>
      <errorWord>:</errorWord>
      <group>L1_Format</group>
      <groupName>格式问题</groupName>
      <ability>L2_HalfPunc</ability>
      <abilityName>全半角检查</abilityName>
      <candidateList>
        <item>：</item>
      </candidateList>
      <explain>文本全半角错误。</explain>
      <paraID>23EC1A6B</paraID>
      <start>185</start>
      <end>186</end>
      <status>unmodified</status>
      <modifiedWord/>
      <trackRevisions>false</trackRevisions>
    </reviewItem>
    <reviewItem>
      <errorID>90ba574f-fe79-45e3-acb3-88f3f33458e4</errorID>
      <errorWord>(</errorWord>
      <group>L1_Format</group>
      <groupName>格式问题</groupName>
      <ability>L2_HalfPunc</ability>
      <abilityName>全半角检查</abilityName>
      <candidateList>
        <item>（</item>
      </candidateList>
      <explain>文本全半角错误。</explain>
      <paraID>66090559</paraID>
      <start>14</start>
      <end>15</end>
      <status>unmodified</status>
      <modifiedWord/>
      <trackRevisions>false</trackRevisions>
    </reviewItem>
    <reviewItem>
      <errorID>86228682-ed1c-4b08-bab0-50b11911bf53</errorID>
      <errorWord>)</errorWord>
      <group>L1_Format</group>
      <groupName>格式问题</groupName>
      <ability>L2_HalfPunc</ability>
      <abilityName>全半角检查</abilityName>
      <candidateList>
        <item>）</item>
      </candidateList>
      <explain>文本全半角错误。</explain>
      <paraID>66090559</paraID>
      <start>19</start>
      <end>20</end>
      <status>unmodified</status>
      <modifiedWord/>
      <trackRevisions>false</trackRevisions>
    </reviewItem>
    <reviewItem>
      <errorID>981f1e51-ce95-406a-9750-3159f8061fe2</errorID>
      <errorWord>：</errorWord>
      <group>L1_Format</group>
      <groupName>格式问题</groupName>
      <ability>L2_HalfPunc</ability>
      <abilityName>全半角检查</abilityName>
      <candidateList>
        <item>:</item>
      </candidateList>
      <explain>文本全半角错误。</explain>
      <paraID> 31F0B37</paraID>
      <start>4</start>
      <end>5</end>
      <status>unmodified</status>
      <modifiedWord/>
      <trackRevisions>false</trackRevisions>
    </reviewItem>
    <reviewItem>
      <errorID>f3001cb5-3e82-4208-afa9-53e3aee28722</errorID>
      <errorWord>(</errorWord>
      <group>L1_Format</group>
      <groupName>格式问题</groupName>
      <ability>L2_HalfPunc</ability>
      <abilityName>全半角检查</abilityName>
      <candidateList>
        <item>（</item>
      </candidateList>
      <explain>文本全半角错误。</explain>
      <paraID> 31F0B37</paraID>
      <start>15</start>
      <end>16</end>
      <status>unmodified</status>
      <modifiedWord/>
      <trackRevisions>false</trackRevisions>
    </reviewItem>
    <reviewItem>
      <errorID>aa2157bf-ea31-4488-8f69-147ccb2128fa</errorID>
      <errorWord>)</errorWord>
      <group>L1_Format</group>
      <groupName>格式问题</groupName>
      <ability>L2_HalfPunc</ability>
      <abilityName>全半角检查</abilityName>
      <candidateList>
        <item>）</item>
      </candidateList>
      <explain>文本全半角错误。</explain>
      <paraID> 31F0B37</paraID>
      <start>24</start>
      <end>25</end>
      <status>unmodified</status>
      <modifiedWord/>
      <trackRevisions>false</trackRevisions>
    </reviewItem>
    <reviewItem>
      <errorID>e3dea4b6-ce90-48bb-87ef-1c438de0c357</errorID>
      <errorWord>:</errorWord>
      <group>L1_Format</group>
      <groupName>格式问题</groupName>
      <ability>L2_HalfPunc</ability>
      <abilityName>全半角检查</abilityName>
      <candidateList>
        <item>：</item>
      </candidateList>
      <explain>文本全半角错误。</explain>
      <paraID>58FDF553</paraID>
      <start>41</start>
      <end>42</end>
      <status>unmodified</status>
      <modifiedWord/>
      <trackRevisions>false</trackRevisions>
    </reviewItem>
    <reviewItem>
      <errorID>3f48636d-28d8-4a71-bfc4-d75feebc4186</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58FDF553</paraID>
      <start>62</start>
      <end>65</end>
      <status>modified</status>
      <modifiedWord>刺激征</modifiedWord>
      <trackRevisions>false</trackRevisions>
    </reviewItem>
    <reviewItem>
      <errorID>0725a6cc-db4c-4319-aa1d-647671864255</errorID>
      <errorWord>肾功能衰竭</errorWord>
      <group>L1_Word</group>
      <groupName>字词问题</groupName>
      <ability>L2_Typo</ability>
      <abilityName>字词错误</abilityName>
      <candidateList>
        <item>肾衰竭</item>
      </candidateList>
      <explain/>
      <paraID>58FDF553</paraID>
      <start>153</start>
      <end>158</end>
      <status>unmodified</status>
      <modifiedWord/>
      <trackRevisions>false</trackRevisions>
    </reviewItem>
    <reviewItem>
      <errorID>d15e4acb-f0e7-44bf-b5ab-c13dcdc1b7e0</errorID>
      <errorWord>:</errorWord>
      <group>L1_Format</group>
      <groupName>格式问题</groupName>
      <ability>L2_HalfPunc</ability>
      <abilityName>全半角检查</abilityName>
      <candidateList>
        <item>：</item>
      </candidateList>
      <explain>文本全半角错误。</explain>
      <paraID>58FDF553</paraID>
      <start>236</start>
      <end>237</end>
      <status>unmodified</status>
      <modifiedWord/>
      <trackRevisions>false</trackRevisions>
    </reviewItem>
    <reviewItem>
      <errorID>f4f5decb-62b0-4ada-b8fd-fbd048f7daaa</errorID>
      <errorWord>：</errorWord>
      <group>L1_Format</group>
      <groupName>格式问题</groupName>
      <ability>L2_HalfPunc</ability>
      <abilityName>全半角检查</abilityName>
      <candidateList>
        <item>:</item>
      </candidateList>
      <explain>文本全半角错误。</explain>
      <paraID>44596A10</paraID>
      <start>4</start>
      <end>5</end>
      <status>unmodified</status>
      <modifiedWord/>
      <trackRevisions>false</trackRevisions>
    </reviewItem>
    <reviewItem>
      <errorID>72084832-c99d-4ece-a787-33d4d1aa0525</errorID>
      <errorWord>(</errorWord>
      <group>L1_Format</group>
      <groupName>格式问题</groupName>
      <ability>L2_HalfPunc</ability>
      <abilityName>全半角检查</abilityName>
      <candidateList>
        <item>（</item>
      </candidateList>
      <explain>文本全半角错误。</explain>
      <paraID>44596A10</paraID>
      <start>15</start>
      <end>16</end>
      <status>unmodified</status>
      <modifiedWord/>
      <trackRevisions>false</trackRevisions>
    </reviewItem>
    <reviewItem>
      <errorID>901d97d9-279d-4918-8132-86f25b66af19</errorID>
      <errorWord>)</errorWord>
      <group>L1_Format</group>
      <groupName>格式问题</groupName>
      <ability>L2_HalfPunc</ability>
      <abilityName>全半角检查</abilityName>
      <candidateList>
        <item>）</item>
      </candidateList>
      <explain>文本全半角错误。</explain>
      <paraID>44596A10</paraID>
      <start>20</start>
      <end>21</end>
      <status>unmodified</status>
      <modifiedWord/>
      <trackRevisions>false</trackRevisions>
    </reviewItem>
    <reviewItem>
      <errorID>37b3ca20-7e92-4bde-9640-a32988c2bc20</errorID>
      <errorWord>(</errorWord>
      <group>L1_Format</group>
      <groupName>格式问题</groupName>
      <ability>L2_HalfPunc</ability>
      <abilityName>全半角检查</abilityName>
      <candidateList>
        <item>（</item>
      </candidateList>
      <explain>文本全半角错误。</explain>
      <paraID>44596A10</paraID>
      <start>30</start>
      <end>31</end>
      <status>unmodified</status>
      <modifiedWord/>
      <trackRevisions>false</trackRevisions>
    </reviewItem>
    <reviewItem>
      <errorID>e1a5f820-18bf-4b71-82ec-968d793d287c</errorID>
      <errorWord>)</errorWord>
      <group>L1_Format</group>
      <groupName>格式问题</groupName>
      <ability>L2_HalfPunc</ability>
      <abilityName>全半角检查</abilityName>
      <candidateList>
        <item>）</item>
      </candidateList>
      <explain>文本全半角错误。</explain>
      <paraID>44596A10</paraID>
      <start>35</start>
      <end>36</end>
      <status>unmodified</status>
      <modifiedWord/>
      <trackRevisions>false</trackRevisions>
    </reviewItem>
    <reviewItem>
      <errorID>3b077f76-d380-4821-a9fe-e91981814e1a</errorID>
      <errorWord>：</errorWord>
      <group>L1_Format</group>
      <groupName>格式问题</groupName>
      <ability>L2_HalfPunc</ability>
      <abilityName>全半角检查</abilityName>
      <candidateList>
        <item>:</item>
      </candidateList>
      <explain>文本全半角错误。</explain>
      <paraID>3546CEFD</paraID>
      <start>4</start>
      <end>5</end>
      <status>unmodified</status>
      <modifiedWord/>
      <trackRevisions>false</trackRevisions>
    </reviewItem>
    <reviewItem>
      <errorID>86caf5ad-4cdf-4987-9b6f-f6f84611c307</errorID>
      <errorWord>／</errorWord>
      <group>L1_Format</group>
      <groupName>格式问题</groupName>
      <ability>L2_HalfPunc</ability>
      <abilityName>全半角检查</abilityName>
      <candidateList>
        <item>/</item>
      </candidateList>
      <explain>文本全半角错误。</explain>
      <paraID>3546CEFD</paraID>
      <start>8</start>
      <end>9</end>
      <status>unmodified</status>
      <modifiedWord/>
      <trackRevisions>false</trackRevisions>
    </reviewItem>
    <reviewItem>
      <errorID>215f0c4f-81fc-456c-9db6-89987dadda8b</errorID>
      <errorWord>(</errorWord>
      <group>L1_Format</group>
      <groupName>格式问题</groupName>
      <ability>L2_HalfPunc</ability>
      <abilityName>全半角检查</abilityName>
      <candidateList>
        <item>（</item>
      </candidateList>
      <explain>文本全半角错误。</explain>
      <paraID>787F9E51</paraID>
      <start>3</start>
      <end>4</end>
      <status>unmodified</status>
      <modifiedWord/>
      <trackRevisions>false</trackRevisions>
    </reviewItem>
    <reviewItem>
      <errorID>cec73767-73f9-419b-bc39-052aff266bf0</errorID>
      <errorWord>)</errorWord>
      <group>L1_Format</group>
      <groupName>格式问题</groupName>
      <ability>L2_HalfPunc</ability>
      <abilityName>全半角检查</abilityName>
      <candidateList>
        <item>）</item>
      </candidateList>
      <explain>文本全半角错误。</explain>
      <paraID>787F9E51</paraID>
      <start>8</start>
      <end>9</end>
      <status>unmodified</status>
      <modifiedWord/>
      <trackRevisions>false</trackRevisions>
    </reviewItem>
    <reviewItem>
      <errorID>8fe5622d-e029-4737-9097-2ca7bfd11f77</errorID>
      <errorWord>对于</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71F6CFD8</paraID>
      <start>22</start>
      <end>24</end>
      <status>unmodified</status>
      <modifiedWord/>
      <trackRevisions>false</trackRevisions>
    </reviewItem>
    <reviewItem>
      <errorID>1ec9835e-e679-48d4-913c-d9bd21e67e76</errorID>
      <errorWord>(</errorWord>
      <group>L1_Format</group>
      <groupName>格式问题</groupName>
      <ability>L2_HalfPunc</ability>
      <abilityName>全半角检查</abilityName>
      <candidateList>
        <item>（</item>
      </candidateList>
      <explain>文本全半角错误。</explain>
      <paraID>24908D41</paraID>
      <start>3</start>
      <end>4</end>
      <status>unmodified</status>
      <modifiedWord/>
      <trackRevisions>false</trackRevisions>
    </reviewItem>
    <reviewItem>
      <errorID>a168dd22-deeb-4c3e-8745-abbe0cc45a94</errorID>
      <errorWord>)</errorWord>
      <group>L1_Format</group>
      <groupName>格式问题</groupName>
      <ability>L2_HalfPunc</ability>
      <abilityName>全半角检查</abilityName>
      <candidateList>
        <item>）</item>
      </candidateList>
      <explain>文本全半角错误。</explain>
      <paraID>24908D41</paraID>
      <start>5</start>
      <end>6</end>
      <status>unmodified</status>
      <modifiedWord/>
      <trackRevisions>false</trackRevisions>
    </reviewItem>
    <reviewItem>
      <errorID>95fb5ea7-98b6-4860-a43e-fcdc72045f0e</errorID>
      <errorWord>具</errorWord>
      <group>L1_Word</group>
      <groupName>字词问题</groupName>
      <ability>L2_Typo</ability>
      <abilityName>字词错误</abilityName>
      <candidateList>
        <item>具有</item>
      </candidateList>
      <explain>〈动〉有（多用于抽象事物）：～信心｜～伟大的意义。</explain>
      <paraID> C235A0E</paraID>
      <start>6</start>
      <end>7</end>
      <status>unmodified</status>
      <modifiedWord/>
      <trackRevisions>false</trackRevisions>
    </reviewItem>
    <reviewItem>
      <errorID>6a40ca19-dbbf-4a2b-a699-a03f7f67cd43</errorID>
      <errorWord>：</errorWord>
      <group>L1_Format</group>
      <groupName>格式问题</groupName>
      <ability>L2_HalfPunc</ability>
      <abilityName>全半角检查</abilityName>
      <candidateList>
        <item>:</item>
      </candidateList>
      <explain>文本全半角错误。</explain>
      <paraID>6AEF759C</paraID>
      <start>4</start>
      <end>5</end>
      <status>unmodified</status>
      <modifiedWord/>
      <trackRevisions>false</trackRevisions>
    </reviewItem>
    <reviewItem>
      <errorID>d37231b9-c302-46de-83f2-a9991809a2ef</errorID>
      <errorWord>(</errorWord>
      <group>L1_Format</group>
      <groupName>格式问题</groupName>
      <ability>L2_HalfPunc</ability>
      <abilityName>全半角检查</abilityName>
      <candidateList>
        <item>（</item>
      </candidateList>
      <explain>文本全半角错误。</explain>
      <paraID>6AEF759C</paraID>
      <start>15</start>
      <end>16</end>
      <status>unmodified</status>
      <modifiedWord/>
      <trackRevisions>false</trackRevisions>
    </reviewItem>
    <reviewItem>
      <errorID>52c284c5-9bf7-4512-a276-acfa68d80434</errorID>
      <errorWord>)</errorWord>
      <group>L1_Format</group>
      <groupName>格式问题</groupName>
      <ability>L2_HalfPunc</ability>
      <abilityName>全半角检查</abilityName>
      <candidateList>
        <item>）</item>
      </candidateList>
      <explain>文本全半角错误。</explain>
      <paraID>6AEF759C</paraID>
      <start>20</start>
      <end>21</end>
      <status>unmodified</status>
      <modifiedWord/>
      <trackRevisions>false</trackRevisions>
    </reviewItem>
    <reviewItem>
      <errorID>a18428b9-fcdd-4f3f-8027-f5ba8d04e667</errorID>
      <errorWord>：</errorWord>
      <group>L1_Format</group>
      <groupName>格式问题</groupName>
      <ability>L2_HalfPunc</ability>
      <abilityName>全半角检查</abilityName>
      <candidateList>
        <item>:</item>
      </candidateList>
      <explain>文本全半角错误。</explain>
      <paraID>7F7FCB04</paraID>
      <start>4</start>
      <end>5</end>
      <status>unmodified</status>
      <modifiedWord/>
      <trackRevisions>false</trackRevisions>
    </reviewItem>
    <reviewItem>
      <errorID>6e52ed02-b93e-427e-b8ba-fef5bbfc455a</errorID>
      <errorWord>(</errorWord>
      <group>L1_Format</group>
      <groupName>格式问题</groupName>
      <ability>L2_HalfPunc</ability>
      <abilityName>全半角检查</abilityName>
      <candidateList>
        <item>（</item>
      </candidateList>
      <explain>文本全半角错误。</explain>
      <paraID>7F7FCB04</paraID>
      <start>16</start>
      <end>17</end>
      <status>unmodified</status>
      <modifiedWord/>
      <trackRevisions>false</trackRevisions>
    </reviewItem>
    <reviewItem>
      <errorID>7b0b39a7-2295-4999-a7ec-f5e1f0bbcad4</errorID>
      <errorWord>)</errorWord>
      <group>L1_Format</group>
      <groupName>格式问题</groupName>
      <ability>L2_HalfPunc</ability>
      <abilityName>全半角检查</abilityName>
      <candidateList>
        <item>）</item>
      </candidateList>
      <explain>文本全半角错误。</explain>
      <paraID>7F7FCB04</paraID>
      <start>25</start>
      <end>26</end>
      <status>unmodified</status>
      <modifiedWord/>
      <trackRevisions>false</trackRevisions>
    </reviewItem>
    <reviewItem>
      <errorID>a65880a0-393a-4d69-bc00-5aefd65843fd</errorID>
      <errorWord>:</errorWord>
      <group>L1_Format</group>
      <groupName>格式问题</groupName>
      <ability>L2_HalfPunc</ability>
      <abilityName>全半角检查</abilityName>
      <candidateList>
        <item>：</item>
      </candidateList>
      <explain>文本全半角错误。</explain>
      <paraID>649C67A4</paraID>
      <start>8</start>
      <end>9</end>
      <status>unmodified</status>
      <modifiedWord/>
      <trackRevisions>false</trackRevisions>
    </reviewItem>
    <reviewItem>
      <errorID>68aff61f-cd6d-4128-a358-3d9adad11d64</errorID>
      <errorWord>:</errorWord>
      <group>L1_Format</group>
      <groupName>格式问题</groupName>
      <ability>L2_HalfPunc</ability>
      <abilityName>全半角检查</abilityName>
      <candidateList>
        <item>：</item>
      </candidateList>
      <explain>文本全半角错误。</explain>
      <paraID>649C67A4</paraID>
      <start>24</start>
      <end>25</end>
      <status>unmodified</status>
      <modifiedWord/>
      <trackRevisions>false</trackRevisions>
    </reviewItem>
    <reviewItem>
      <errorID>c815caf2-4244-48a0-bf3b-4843633fc52d</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5F40DCE9</paraID>
      <start>21</start>
      <end>24</end>
      <status>modified</status>
      <modifiedWord>刺激征</modifiedWord>
      <trackRevisions>false</trackRevisions>
    </reviewItem>
    <reviewItem>
      <errorID>694911f3-f21e-492c-abbf-c4d44d78d478</errorID>
      <errorWord>.</errorWord>
      <group>L1_Format</group>
      <groupName>格式问题</groupName>
      <ability>L2_HalfPunc</ability>
      <abilityName>全半角检查</abilityName>
      <candidateList>
        <item>。</item>
      </candidateList>
      <explain>文本全半角错误。</explain>
      <paraID>5F40DCE9</paraID>
      <start>41</start>
      <end>42</end>
      <status>unmodified</status>
      <modifiedWord/>
      <trackRevisions>false</trackRevisions>
    </reviewItem>
    <reviewItem>
      <errorID>bdf4cd90-21dd-47b2-b43e-5162b3b31d93</errorID>
      <errorWord>倦睡</errorWord>
      <group>L1_Knowledge</group>
      <groupName>知识性问题</groupName>
      <ability>L2_Term</ability>
      <abilityName>专业术语</abilityName>
      <candidateList>
        <item>嗜睡</item>
      </candidateList>
      <explain>医学名词[倦睡]为不规范表述或旧称，其规范书面表述为[嗜睡]。</explain>
      <paraID>5F40DCE9</paraID>
      <start>67</start>
      <end>69</end>
      <status>unmodified</status>
      <modifiedWord/>
      <trackRevisions>false</trackRevisions>
    </reviewItem>
    <reviewItem>
      <errorID>5c7043bc-5fb1-4c4e-9211-f240a0e3d53e</errorID>
      <errorWord>皆迷</errorWord>
      <group>L1_Word</group>
      <groupName>字词问题</groupName>
      <ability>L2_Typo</ability>
      <abilityName>字词错误</abilityName>
      <candidateList>
        <item>昏迷</item>
      </candidateList>
      <explain>存在字形相近字词的误用。</explain>
      <paraID>5F40DCE9</paraID>
      <start>102</start>
      <end>104</end>
      <status>unmodified</status>
      <modifiedWord/>
      <trackRevisions>false</trackRevisions>
    </reviewItem>
    <reviewItem>
      <errorID>b3494ff0-b9d4-4d80-b8f9-fdd911c07d8a</errorID>
      <errorWord>:</errorWord>
      <group>L1_Format</group>
      <groupName>格式问题</groupName>
      <ability>L2_HalfPunc</ability>
      <abilityName>全半角检查</abilityName>
      <candidateList>
        <item>：</item>
      </candidateList>
      <explain>文本全半角错误。</explain>
      <paraID>5F40DCE9</paraID>
      <start>113</start>
      <end>114</end>
      <status>unmodified</status>
      <modifiedWord/>
      <trackRevisions>false</trackRevisions>
    </reviewItem>
    <reviewItem>
      <errorID>aa2eb2c7-a91e-4fb6-bb2b-f1658e9a94dd</errorID>
      <errorWord>(</errorWord>
      <group>L1_Format</group>
      <groupName>格式问题</groupName>
      <ability>L2_HalfPunc</ability>
      <abilityName>全半角检查</abilityName>
      <candidateList>
        <item>（</item>
      </candidateList>
      <explain>文本全半角错误。</explain>
      <paraID>5667CAC8</paraID>
      <start>18</start>
      <end>19</end>
      <status>unmodified</status>
      <modifiedWord/>
      <trackRevisions>false</trackRevisions>
    </reviewItem>
    <reviewItem>
      <errorID>26f84d4e-2ff6-4373-bb92-eac8b7e6cde0</errorID>
      <errorWord>)</errorWord>
      <group>L1_Format</group>
      <groupName>格式问题</groupName>
      <ability>L2_HalfPunc</ability>
      <abilityName>全半角检查</abilityName>
      <candidateList>
        <item>）</item>
      </candidateList>
      <explain>文本全半角错误。</explain>
      <paraID>5667CAC8</paraID>
      <start>24</start>
      <end>25</end>
      <status>unmodified</status>
      <modifiedWord/>
      <trackRevisions>false</trackRevisions>
    </reviewItem>
    <reviewItem>
      <errorID>d8175ef9-b2ed-4014-9731-be82b0d1ad10</errorID>
      <errorWord>时放</errorWord>
      <group>L1_Word</group>
      <groupName>字词问题</groupName>
      <ability>L2_Typo</ability>
      <abilityName>字词错误</abilityName>
      <candidateList>
        <item>释放</item>
      </candidateList>
      <explain/>
      <paraID> 8A47573</paraID>
      <start>41</start>
      <end>43</end>
      <status>modified</status>
      <modifiedWord>释放</modifiedWord>
      <trackRevisions>false</trackRevisions>
    </reviewItem>
    <reviewItem>
      <errorID>76de8057-f9b7-4fb9-882e-c4b0ada9fd0d</errorID>
      <errorWord>：</errorWord>
      <group>L1_Format</group>
      <groupName>格式问题</groupName>
      <ability>L2_HalfPunc</ability>
      <abilityName>全半角检查</abilityName>
      <candidateList>
        <item>:</item>
      </candidateList>
      <explain>文本全半角错误。</explain>
      <paraID>283A7C3E</paraID>
      <start>4</start>
      <end>5</end>
      <status>unmodified</status>
      <modifiedWord/>
      <trackRevisions>false</trackRevisions>
    </reviewItem>
    <reviewItem>
      <errorID>9adb5836-00f8-4a16-9201-575bce40c877</errorID>
      <errorWord>(</errorWord>
      <group>L1_Format</group>
      <groupName>格式问题</groupName>
      <ability>L2_HalfPunc</ability>
      <abilityName>全半角检查</abilityName>
      <candidateList>
        <item>（</item>
      </candidateList>
      <explain>文本全半角错误。</explain>
      <paraID>283A7C3E</paraID>
      <start>13</start>
      <end>14</end>
      <status>unmodified</status>
      <modifiedWord/>
      <trackRevisions>false</trackRevisions>
    </reviewItem>
    <reviewItem>
      <errorID>e32bf449-0c3b-4664-830c-880961e1b4a4</errorID>
      <errorWord>)</errorWord>
      <group>L1_Format</group>
      <groupName>格式问题</groupName>
      <ability>L2_HalfPunc</ability>
      <abilityName>全半角检查</abilityName>
      <candidateList>
        <item>）</item>
      </candidateList>
      <explain>文本全半角错误。</explain>
      <paraID>283A7C3E</paraID>
      <start>18</start>
      <end>19</end>
      <status>unmodified</status>
      <modifiedWord/>
      <trackRevisions>false</trackRevisions>
    </reviewItem>
    <reviewItem>
      <errorID>918f504b-e6d6-4ec6-83c5-d01be7848ee0</errorID>
      <errorWord>,</errorWord>
      <group>L1_Format</group>
      <groupName>格式问题</groupName>
      <ability>L2_HalfPunc</ability>
      <abilityName>全半角检查</abilityName>
      <candidateList>
        <item>，</item>
      </candidateList>
      <explain>文本全半角错误。</explain>
      <paraID>457AE5C2</paraID>
      <start>49</start>
      <end>50</end>
      <status>unmodified</status>
      <modifiedWord/>
      <trackRevisions>false</trackRevisions>
    </reviewItem>
    <reviewItem>
      <errorID>88048130-27f8-42e9-aa3c-3ff239099ce8</errorID>
      <errorWord>：</errorWord>
      <group>L1_Format</group>
      <groupName>格式问题</groupName>
      <ability>L2_HalfPunc</ability>
      <abilityName>全半角检查</abilityName>
      <candidateList>
        <item>:</item>
      </candidateList>
      <explain>文本全半角错误。</explain>
      <paraID>543591C1</paraID>
      <start>4</start>
      <end>5</end>
      <status>unmodified</status>
      <modifiedWord/>
      <trackRevisions>false</trackRevisions>
    </reviewItem>
    <reviewItem>
      <errorID>aef44ad7-f3d6-42dd-8c36-4ca7d4b6917c</errorID>
      <errorWord>(</errorWord>
      <group>L1_Format</group>
      <groupName>格式问题</groupName>
      <ability>L2_HalfPunc</ability>
      <abilityName>全半角检查</abilityName>
      <candidateList>
        <item>（</item>
      </candidateList>
      <explain>文本全半角错误。</explain>
      <paraID>543591C1</paraID>
      <start>14</start>
      <end>15</end>
      <status>unmodified</status>
      <modifiedWord/>
      <trackRevisions>false</trackRevisions>
    </reviewItem>
    <reviewItem>
      <errorID>bd68b5b7-235b-4678-b5f3-1687f25e792b</errorID>
      <errorWord>)</errorWord>
      <group>L1_Format</group>
      <groupName>格式问题</groupName>
      <ability>L2_HalfPunc</ability>
      <abilityName>全半角检查</abilityName>
      <candidateList>
        <item>）</item>
      </candidateList>
      <explain>文本全半角错误。</explain>
      <paraID>543591C1</paraID>
      <start>19</start>
      <end>20</end>
      <status>unmodified</status>
      <modifiedWord/>
      <trackRevisions>false</trackRevisions>
    </reviewItem>
    <reviewItem>
      <errorID>28e2ef9c-57a4-4dd4-9736-54b74a5c6288</errorID>
      <errorWord>：</errorWord>
      <group>L1_Format</group>
      <groupName>格式问题</groupName>
      <ability>L2_HalfPunc</ability>
      <abilityName>全半角检查</abilityName>
      <candidateList>
        <item>:</item>
      </candidateList>
      <explain>文本全半角错误。</explain>
      <paraID>26257F18</paraID>
      <start>4</start>
      <end>5</end>
      <status>unmodified</status>
      <modifiedWord/>
      <trackRevisions>false</trackRevisions>
    </reviewItem>
    <reviewItem>
      <errorID>fd1e762b-30ac-4ee0-aba1-2fc64e25ccbb</errorID>
      <errorWord>(</errorWord>
      <group>L1_Format</group>
      <groupName>格式问题</groupName>
      <ability>L2_HalfPunc</ability>
      <abilityName>全半角检查</abilityName>
      <candidateList>
        <item>（</item>
      </candidateList>
      <explain>文本全半角错误。</explain>
      <paraID>26257F18</paraID>
      <start>14</start>
      <end>15</end>
      <status>unmodified</status>
      <modifiedWord/>
      <trackRevisions>false</trackRevisions>
    </reviewItem>
    <reviewItem>
      <errorID>17e7ab6b-e73f-44c9-959e-c63bf4810155</errorID>
      <errorWord>)</errorWord>
      <group>L1_Format</group>
      <groupName>格式问题</groupName>
      <ability>L2_HalfPunc</ability>
      <abilityName>全半角检查</abilityName>
      <candidateList>
        <item>）</item>
      </candidateList>
      <explain>文本全半角错误。</explain>
      <paraID>26257F18</paraID>
      <start>23</start>
      <end>24</end>
      <status>unmodified</status>
      <modifiedWord/>
      <trackRevisions>false</trackRevisions>
    </reviewItem>
    <reviewItem>
      <errorID>f808436b-e204-4203-b5f0-04c4a66ce89d</errorID>
      <errorWord>心律紊乱</errorWord>
      <group>L1_Knowledge</group>
      <groupName>知识性问题</groupName>
      <ability>L2_Term</ability>
      <abilityName>专业术语</abilityName>
      <candidateList>
        <item>心律失常</item>
      </candidateList>
      <explain>医学名词[心律紊乱]为不规范表述或旧称，其规范书面表述为[心律失常]。</explain>
      <paraID> 789775E</paraID>
      <start>65</start>
      <end>69</end>
      <status>unmodified</status>
      <modifiedWord/>
      <trackRevisions>false</trackRevisions>
    </reviewItem>
    <reviewItem>
      <errorID>3ac109f9-c649-4dd6-a34b-5142020c2e4e</errorID>
      <errorWord>会放</errorWord>
      <group>L1_Word</group>
      <groupName>字词问题</groupName>
      <ability>L2_Typo</ability>
      <abilityName>字词错误</abilityName>
      <candidateList>
        <item>释放</item>
      </candidateList>
      <explain/>
      <paraID>79C05B28</paraID>
      <start>8</start>
      <end>10</end>
      <status>unmodified</status>
      <modifiedWord/>
      <trackRevisions>false</trackRevisions>
    </reviewItem>
    <reviewItem>
      <errorID>cc765b8e-d4a1-4064-87e4-beef7fca315e</errorID>
      <errorWord>会放</errorWord>
      <group>L1_Word</group>
      <groupName>字词问题</groupName>
      <ability>L2_Typo</ability>
      <abilityName>字词错误</abilityName>
      <candidateList>
        <item>释放</item>
      </candidateList>
      <explain/>
      <paraID>63760737</paraID>
      <start>2</start>
      <end>4</end>
      <status>unmodified</status>
      <modifiedWord/>
      <trackRevisions>false</trackRevisions>
    </reviewItem>
    <reviewItem>
      <errorID>8ff95c30-5fe8-4650-8f1d-8716086738cf</errorID>
      <errorWord>：</errorWord>
      <group>L1_Format</group>
      <groupName>格式问题</groupName>
      <ability>L2_HalfPunc</ability>
      <abilityName>全半角检查</abilityName>
      <candidateList>
        <item>:</item>
      </candidateList>
      <explain>文本全半角错误。</explain>
      <paraID>674F0BFB</paraID>
      <start>4</start>
      <end>5</end>
      <status>unmodified</status>
      <modifiedWord/>
      <trackRevisions>false</trackRevisions>
    </reviewItem>
    <reviewItem>
      <errorID>ca44b74b-400d-4d78-8f54-e4f26fbaace2</errorID>
      <errorWord>(</errorWord>
      <group>L1_Format</group>
      <groupName>格式问题</groupName>
      <ability>L2_HalfPunc</ability>
      <abilityName>全半角检查</abilityName>
      <candidateList>
        <item>（</item>
      </candidateList>
      <explain>文本全半角错误。</explain>
      <paraID>674F0BFB</paraID>
      <start>14</start>
      <end>15</end>
      <status>unmodified</status>
      <modifiedWord/>
      <trackRevisions>false</trackRevisions>
    </reviewItem>
    <reviewItem>
      <errorID>a1e3a476-d9ea-49e2-8149-05adc0723c34</errorID>
      <errorWord>)</errorWord>
      <group>L1_Format</group>
      <groupName>格式问题</groupName>
      <ability>L2_HalfPunc</ability>
      <abilityName>全半角检查</abilityName>
      <candidateList>
        <item>）</item>
      </candidateList>
      <explain>文本全半角错误。</explain>
      <paraID>674F0BFB</paraID>
      <start>19</start>
      <end>20</end>
      <status>unmodified</status>
      <modifiedWord/>
      <trackRevisions>false</trackRevisions>
    </reviewItem>
    <reviewItem>
      <errorID>6083b126-1a9b-4e09-825a-cb902082f34a</errorID>
      <errorWord>：</errorWord>
      <group>L1_Format</group>
      <groupName>格式问题</groupName>
      <ability>L2_HalfPunc</ability>
      <abilityName>全半角检查</abilityName>
      <candidateList>
        <item>:</item>
      </candidateList>
      <explain>文本全半角错误。</explain>
      <paraID>5F65230A</paraID>
      <start>4</start>
      <end>5</end>
      <status>unmodified</status>
      <modifiedWord/>
      <trackRevisions>false</trackRevisions>
    </reviewItem>
    <reviewItem>
      <errorID>48a48d36-0250-4844-9d65-30764cc04f92</errorID>
      <errorWord>(</errorWord>
      <group>L1_Format</group>
      <groupName>格式问题</groupName>
      <ability>L2_HalfPunc</ability>
      <abilityName>全半角检查</abilityName>
      <candidateList>
        <item>（</item>
      </candidateList>
      <explain>文本全半角错误。</explain>
      <paraID>5F65230A</paraID>
      <start>14</start>
      <end>15</end>
      <status>unmodified</status>
      <modifiedWord/>
      <trackRevisions>false</trackRevisions>
    </reviewItem>
    <reviewItem>
      <errorID>204003b4-ec27-4f1b-ae30-1d0e65f90f31</errorID>
      <errorWord>)</errorWord>
      <group>L1_Format</group>
      <groupName>格式问题</groupName>
      <ability>L2_HalfPunc</ability>
      <abilityName>全半角检查</abilityName>
      <candidateList>
        <item>）</item>
      </candidateList>
      <explain>文本全半角错误。</explain>
      <paraID>5F65230A</paraID>
      <start>19</start>
      <end>20</end>
      <status>unmodified</status>
      <modifiedWord/>
      <trackRevisions>false</trackRevisions>
    </reviewItem>
    <reviewItem>
      <errorID>f0aa1b6f-a3dd-4581-9a66-017a130bf893</errorID>
      <errorWord>紫绀</errorWord>
      <group>L1_Knowledge</group>
      <groupName>知识性问题</groupName>
      <ability>L2_Term</ability>
      <abilityName>专业术语</abilityName>
      <candidateList>
        <item>发绀</item>
      </candidateList>
      <explain>医学名词[紫绀]为不规范表述或旧称，其规范书面表述为[发绀]。</explain>
      <paraID>45FE2A52</paraID>
      <start>66</start>
      <end>68</end>
      <status>unmodified</status>
      <modifiedWord/>
      <trackRevisions>false</trackRevisions>
    </reviewItem>
    <reviewItem>
      <errorID>5fc5f83f-9795-4a57-99c1-df496f7b85a5</errorID>
      <errorWord>(</errorWord>
      <group>L1_Format</group>
      <groupName>格式问题</groupName>
      <ability>L2_HalfPunc</ability>
      <abilityName>全半角检查</abilityName>
      <candidateList>
        <item>（</item>
      </candidateList>
      <explain>文本全半角错误。</explain>
      <paraID> 91DC7C7</paraID>
      <start>11</start>
      <end>12</end>
      <status>unmodified</status>
      <modifiedWord/>
      <trackRevisions>false</trackRevisions>
    </reviewItem>
    <reviewItem>
      <errorID>09646889-7e17-4f59-9056-63dfc894cbb3</errorID>
      <errorWord>)</errorWord>
      <group>L1_Format</group>
      <groupName>格式问题</groupName>
      <ability>L2_HalfPunc</ability>
      <abilityName>全半角检查</abilityName>
      <candidateList>
        <item>）</item>
      </candidateList>
      <explain>文本全半角错误。</explain>
      <paraID> 91DC7C7</paraID>
      <start>14</start>
      <end>15</end>
      <status>unmodified</status>
      <modifiedWord/>
      <trackRevisions>false</trackRevisions>
    </reviewItem>
    <reviewItem>
      <errorID>72b99a64-3723-4c0a-82a9-1fd7893442b3</errorID>
      <errorWord>(</errorWord>
      <group>L1_Format</group>
      <groupName>格式问题</groupName>
      <ability>L2_HalfPunc</ability>
      <abilityName>全半角检查</abilityName>
      <candidateList>
        <item>（</item>
      </candidateList>
      <explain>文本全半角错误。</explain>
      <paraID> 91DC7C7</paraID>
      <start>19</start>
      <end>20</end>
      <status>unmodified</status>
      <modifiedWord/>
      <trackRevisions>false</trackRevisions>
    </reviewItem>
    <reviewItem>
      <errorID>59bcfe6f-caba-44a4-a246-9cbbd146aa55</errorID>
      <errorWord>)</errorWord>
      <group>L1_Format</group>
      <groupName>格式问题</groupName>
      <ability>L2_HalfPunc</ability>
      <abilityName>全半角检查</abilityName>
      <candidateList>
        <item>）</item>
      </candidateList>
      <explain>文本全半角错误。</explain>
      <paraID> 91DC7C7</paraID>
      <start>27</start>
      <end>28</end>
      <status>unmodified</status>
      <modifiedWord/>
      <trackRevisions>false</trackRevisions>
    </reviewItem>
    <reviewItem>
      <errorID>55378f34-4f4e-46f5-9ecb-eb581943f5ff</errorID>
      <errorWord>：</errorWord>
      <group>L1_Format</group>
      <groupName>格式问题</groupName>
      <ability>L2_HalfPunc</ability>
      <abilityName>全半角检查</abilityName>
      <candidateList>
        <item>:</item>
      </candidateList>
      <explain>文本全半角错误。</explain>
      <paraID>5685DA95</paraID>
      <start>4</start>
      <end>5</end>
      <status>unmodified</status>
      <modifiedWord/>
      <trackRevisions>false</trackRevisions>
    </reviewItem>
    <reviewItem>
      <errorID>989a2648-4bff-47b8-a496-c994ed7758f4</errorID>
      <errorWord>(</errorWord>
      <group>L1_Format</group>
      <groupName>格式问题</groupName>
      <ability>L2_HalfPunc</ability>
      <abilityName>全半角检查</abilityName>
      <candidateList>
        <item>（</item>
      </candidateList>
      <explain>文本全半角错误。</explain>
      <paraID>5685DA95</paraID>
      <start>12</start>
      <end>13</end>
      <status>unmodified</status>
      <modifiedWord/>
      <trackRevisions>false</trackRevisions>
    </reviewItem>
    <reviewItem>
      <errorID>e721625d-deb4-4f61-986a-a51ff1035589</errorID>
      <errorWord>)</errorWord>
      <group>L1_Format</group>
      <groupName>格式问题</groupName>
      <ability>L2_HalfPunc</ability>
      <abilityName>全半角检查</abilityName>
      <candidateList>
        <item>）</item>
      </candidateList>
      <explain>文本全半角错误。</explain>
      <paraID>5685DA95</paraID>
      <start>17</start>
      <end>18</end>
      <status>unmodified</status>
      <modifiedWord/>
      <trackRevisions>false</trackRevisions>
    </reviewItem>
    <reviewItem>
      <errorID>97793726-8c5b-4834-b79b-2f7957768104</errorID>
      <errorWord>紫绀</errorWord>
      <group>L1_Knowledge</group>
      <groupName>知识性问题</groupName>
      <ability>L2_Term</ability>
      <abilityName>专业术语</abilityName>
      <candidateList>
        <item>发绀</item>
      </candidateList>
      <explain>医学名词[紫绀]为不规范表述或旧称，其规范书面表述为[发绀]。</explain>
      <paraID>681F764B</paraID>
      <start>55</start>
      <end>57</end>
      <status>unmodified</status>
      <modifiedWord/>
      <trackRevisions>false</trackRevisions>
    </reviewItem>
    <reviewItem>
      <errorID>64f0bbae-afe3-4b8e-8811-9d8ebcf54e7e</errorID>
      <errorWord>肾功能衰竭</errorWord>
      <group>L1_Word</group>
      <groupName>字词问题</groupName>
      <ability>L2_Typo</ability>
      <abilityName>字词错误</abilityName>
      <candidateList>
        <item>肾衰竭</item>
      </candidateList>
      <explain/>
      <paraID>681F764B</paraID>
      <start>67</start>
      <end>72</end>
      <status>unmodified</status>
      <modifiedWord/>
      <trackRevisions>false</trackRevisions>
    </reviewItem>
    <reviewItem>
      <errorID>7d7413c7-f045-4f0b-9ea5-dea6f2c70cb5</errorID>
      <errorWord>导则</errorWord>
      <group>L1_Word</group>
      <groupName>字词问题</groupName>
      <ability>L2_Typo</ability>
      <abilityName>字词错误</abilityName>
      <candidateList>
        <item>导致</item>
      </candidateList>
      <explain>〈动〉引起：由一些小的矛盾～双方关系破裂。</explain>
      <paraID>1A0A183B</paraID>
      <start>81</start>
      <end>83</end>
      <status>unmodified</status>
      <modifiedWord/>
      <trackRevisions>false</trackRevisions>
    </reviewItem>
    <reviewItem>
      <errorID>7c221c1e-e6a4-4115-8c16-d98588557b6d</errorID>
      <errorWord>生物发育</errorWord>
      <group>L1_Knowledge</group>
      <groupName>知识性问题</groupName>
      <ability>L2_Term</ability>
      <abilityName>专业术语</abilityName>
      <candidateList>
        <item>生长发育</item>
      </candidateList>
      <explain/>
      <paraID>1A0A183B</paraID>
      <start>83</start>
      <end>87</end>
      <status>unmodified</status>
      <modifiedWord/>
      <trackRevisions>false</trackRevisions>
    </reviewItem>
    <reviewItem>
      <errorID>428c7b7c-ec9b-42f8-9229-7e53f9fd2925</errorID>
      <errorWord>：</errorWord>
      <group>L1_Format</group>
      <groupName>格式问题</groupName>
      <ability>L2_HalfPunc</ability>
      <abilityName>全半角检查</abilityName>
      <candidateList>
        <item>:</item>
      </candidateList>
      <explain>文本全半角错误。</explain>
      <paraID>5E32D099</paraID>
      <start>4</start>
      <end>5</end>
      <status>unmodified</status>
      <modifiedWord/>
      <trackRevisions>false</trackRevisions>
    </reviewItem>
    <reviewItem>
      <errorID>d91e9e0e-e336-4d12-a836-63de576a0c78</errorID>
      <errorWord>(</errorWord>
      <group>L1_Format</group>
      <groupName>格式问题</groupName>
      <ability>L2_HalfPunc</ability>
      <abilityName>全半角检查</abilityName>
      <candidateList>
        <item>（</item>
      </candidateList>
      <explain>文本全半角错误。</explain>
      <paraID>5E32D099</paraID>
      <start>15</start>
      <end>16</end>
      <status>unmodified</status>
      <modifiedWord/>
      <trackRevisions>false</trackRevisions>
    </reviewItem>
    <reviewItem>
      <errorID>6737a08e-fd01-43fb-baf8-80695c13ccbe</errorID>
      <errorWord>)</errorWord>
      <group>L1_Format</group>
      <groupName>格式问题</groupName>
      <ability>L2_HalfPunc</ability>
      <abilityName>全半角检查</abilityName>
      <candidateList>
        <item>）</item>
      </candidateList>
      <explain>文本全半角错误。</explain>
      <paraID>5E32D099</paraID>
      <start>24</start>
      <end>25</end>
      <status>unmodified</status>
      <modifiedWord/>
      <trackRevisions>false</trackRevisions>
    </reviewItem>
    <reviewItem>
      <errorID>cb076d75-8c18-4b64-a5e0-18e565d60a0a</errorID>
      <errorWord>;</errorWord>
      <group>L1_Format</group>
      <groupName>格式问题</groupName>
      <ability>L2_HalfPunc</ability>
      <abilityName>全半角检查</abilityName>
      <candidateList>
        <item>；</item>
      </candidateList>
      <explain>文本全半角错误。</explain>
      <paraID>5E796774</paraID>
      <start>6</start>
      <end>7</end>
      <status>unmodified</status>
      <modifiedWord/>
      <trackRevisions>false</trackRevisions>
    </reviewItem>
    <reviewItem>
      <errorID>72b4b902-29a5-4e0b-a545-01a90b38f720</errorID>
      <errorWord>:</errorWord>
      <group>L1_Format</group>
      <groupName>格式问题</groupName>
      <ability>L2_HalfPunc</ability>
      <abilityName>全半角检查</abilityName>
      <candidateList>
        <item>：</item>
      </candidateList>
      <explain>文本全半角错误。</explain>
      <paraID>5E796774</paraID>
      <start>24</start>
      <end>25</end>
      <status>unmodified</status>
      <modifiedWord/>
      <trackRevisions>false</trackRevisions>
    </reviewItem>
    <reviewItem>
      <errorID>2678a049-4f48-40e6-8ef7-dad23de260e3</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5E796774</paraID>
      <start>39</start>
      <end>42</end>
      <status>modified</status>
      <modifiedWord>刺激征</modifiedWord>
      <trackRevisions>false</trackRevisions>
    </reviewItem>
    <reviewItem>
      <errorID>d619a54e-8af1-4c24-91bc-d3756010a8f5</errorID>
      <errorWord>室息</errorWord>
      <group>L1_Word</group>
      <groupName>字词问题</groupName>
      <ability>L2_Typo</ability>
      <abilityName>字词错误</abilityName>
      <candidateList>
        <item>窒息</item>
      </candidateList>
      <explain>〈动〉因外界氧气不足或呼吸系统发生障碍而呼吸困难甚至停止呼吸。</explain>
      <paraID>5E796774</paraID>
      <start>65</start>
      <end>67</end>
      <status>unmodified</status>
      <modifiedWord/>
      <trackRevisions>false</trackRevisions>
    </reviewItem>
    <reviewItem>
      <errorID>7358bc16-240f-4178-8c8c-66b9eb34e9bb</errorID>
      <errorWord>;</errorWord>
      <group>L1_Format</group>
      <groupName>格式问题</groupName>
      <ability>L2_HalfPunc</ability>
      <abilityName>全半角检查</abilityName>
      <candidateList>
        <item>；</item>
      </candidateList>
      <explain>文本全半角错误。</explain>
      <paraID>5E796774</paraID>
      <start>92</start>
      <end>93</end>
      <status>unmodified</status>
      <modifiedWord/>
      <trackRevisions>false</trackRevisions>
    </reviewItem>
    <reviewItem>
      <errorID>75f67152-3f79-463d-bfbf-c57abe6aa192</errorID>
      <errorWord>肝肿大</errorWord>
      <group>L1_Knowledge</group>
      <groupName>知识性问题</groupName>
      <ability>L2_Term</ability>
      <abilityName>专业术语</abilityName>
      <candidateList>
        <item>肝大</item>
      </candidateList>
      <explain>医学名词[肝肿大]为不规范表述或旧称，其规范书面表述为[肝大]。</explain>
      <paraID>5E796774</paraID>
      <start>101</start>
      <end>104</end>
      <status>unmodified</status>
      <modifiedWord/>
      <trackRevisions>false</trackRevisions>
    </reviewItem>
    <reviewItem>
      <errorID>67a8b5e0-2478-4b35-a15e-2d6a1c922039</errorID>
      <errorWord>急性肝坏死</errorWord>
      <group>L1_Knowledge</group>
      <groupName>知识性问题</groupName>
      <ability>L2_Term</ability>
      <abilityName>专业术语</abilityName>
      <candidateList>
        <item>急性重型肝炎</item>
      </candidateList>
      <explain>医学名词[急性肝坏死]为不规范表述或旧称，其规范书面表述为[急性重型肝炎]。</explain>
      <paraID>5E796774</paraID>
      <start>108</start>
      <end>113</end>
      <status>unmodified</status>
      <modifiedWord/>
      <trackRevisions>false</trackRevisions>
    </reviewItem>
    <reviewItem>
      <errorID>9e308834-452b-4692-b4c7-ce11dde54d42</errorID>
      <errorWord>;</errorWord>
      <group>L1_Format</group>
      <groupName>格式问题</groupName>
      <ability>L2_HalfPunc</ability>
      <abilityName>全半角检查</abilityName>
      <candidateList>
        <item>；</item>
      </candidateList>
      <explain>文本全半角错误。</explain>
      <paraID>5E796774</paraID>
      <start>113</start>
      <end>114</end>
      <status>unmodified</status>
      <modifiedWord/>
      <trackRevisions>false</trackRevisions>
    </reviewItem>
    <reviewItem>
      <errorID>6626fd12-5499-4385-a220-ed865ea207ab</errorID>
      <errorWord>:</errorWord>
      <group>L1_Format</group>
      <groupName>格式问题</groupName>
      <ability>L2_HalfPunc</ability>
      <abilityName>全半角检查</abilityName>
      <candidateList>
        <item>：</item>
      </candidateList>
      <explain>文本全半角错误。</explain>
      <paraID>5E796774</paraID>
      <start>170</start>
      <end>171</end>
      <status>unmodified</status>
      <modifiedWord/>
      <trackRevisions>false</trackRevisions>
    </reviewItem>
    <reviewItem>
      <errorID>a8be7608-3251-4b7a-891f-f6a715ad863b</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5E796774</paraID>
      <start>175</start>
      <end>178</end>
      <status>modified</status>
      <modifiedWord>刺激征</modifiedWord>
      <trackRevisions>false</trackRevisions>
    </reviewItem>
    <reviewItem>
      <errorID>6716c92f-c27d-45a7-b999-7b73fe099421</errorID>
      <errorWord>破烈</errorWord>
      <group>L1_Word</group>
      <groupName>字词问题</groupName>
      <ability>L2_Typo</ability>
      <abilityName>字词错误</abilityName>
      <candidateList>
        <item>破裂</item>
      </candidateList>
      <explain/>
      <paraID>2EBBD24E</paraID>
      <start>47</start>
      <end>49</end>
      <status>modified</status>
      <modifiedWord>破裂</modifiedWord>
      <trackRevisions>false</trackRevisions>
    </reviewItem>
    <reviewItem>
      <errorID>2c4c15ff-69a8-4082-bcd2-e2435f511a6e</errorID>
      <errorWord>或</errorWord>
      <group>L1_Word</group>
      <groupName>字词问题</groupName>
      <ability>L2_Typo</ability>
      <abilityName>字词错误</abilityName>
      <candidateList>
        <item>或爆</item>
      </candidateList>
      <explain/>
      <paraID>2EBBD24E</paraID>
      <start>88</start>
      <end>89</end>
      <status>unmodified</status>
      <modifiedWord/>
      <trackRevisions>false</trackRevisions>
    </reviewItem>
    <reviewItem>
      <errorID>1fc719d9-fb3a-4cfd-b57a-cd2276a8ba55</errorID>
      <errorWord>,</errorWord>
      <group>L1_Format</group>
      <groupName>格式问题</groupName>
      <ability>L2_HalfPunc</ability>
      <abilityName>全半角检查</abilityName>
      <candidateList>
        <item>，</item>
      </candidateList>
      <explain>文本全半角错误。</explain>
      <paraID>2EBBD24E</paraID>
      <start>99</start>
      <end>100</end>
      <status>unmodified</status>
      <modifiedWord/>
      <trackRevisions>false</trackRevisions>
    </reviewItem>
    <reviewItem>
      <errorID>da01258a-f800-4df4-a03e-b6993d6fefcb</errorID>
      <errorWord>(</errorWord>
      <group>L1_Format</group>
      <groupName>格式问题</groupName>
      <ability>L2_HalfPunc</ability>
      <abilityName>全半角检查</abilityName>
      <candidateList>
        <item>（</item>
      </candidateList>
      <explain>文本全半角错误。</explain>
      <paraID>1DB719A8</paraID>
      <start>14</start>
      <end>15</end>
      <status>unmodified</status>
      <modifiedWord/>
      <trackRevisions>false</trackRevisions>
    </reviewItem>
    <reviewItem>
      <errorID>14fa349a-d2e7-43b0-84aa-81ac286190af</errorID>
      <errorWord>)</errorWord>
      <group>L1_Format</group>
      <groupName>格式问题</groupName>
      <ability>L2_HalfPunc</ability>
      <abilityName>全半角检查</abilityName>
      <candidateList>
        <item>）</item>
      </candidateList>
      <explain>文本全半角错误。</explain>
      <paraID>1DB719A8</paraID>
      <start>19</start>
      <end>20</end>
      <status>unmodified</status>
      <modifiedWord/>
      <trackRevisions>false</trackRevisions>
    </reviewItem>
    <reviewItem>
      <errorID>03e8472e-6d70-4efa-aa78-646e9f5b3be9</errorID>
      <errorWord>：</errorWord>
      <group>L1_Format</group>
      <groupName>格式问题</groupName>
      <ability>L2_HalfPunc</ability>
      <abilityName>全半角检查</abilityName>
      <candidateList>
        <item>:</item>
      </candidateList>
      <explain>文本全半角错误。</explain>
      <paraID>145FFF1A</paraID>
      <start>4</start>
      <end>5</end>
      <status>unmodified</status>
      <modifiedWord/>
      <trackRevisions>false</trackRevisions>
    </reviewItem>
    <reviewItem>
      <errorID>a5d4057c-44dc-43b9-9c51-bcd336a4cf38</errorID>
      <errorWord>(</errorWord>
      <group>L1_Format</group>
      <groupName>格式问题</groupName>
      <ability>L2_HalfPunc</ability>
      <abilityName>全半角检查</abilityName>
      <candidateList>
        <item>（</item>
      </candidateList>
      <explain>文本全半角错误。</explain>
      <paraID>145FFF1A</paraID>
      <start>12</start>
      <end>13</end>
      <status>unmodified</status>
      <modifiedWord/>
      <trackRevisions>false</trackRevisions>
    </reviewItem>
    <reviewItem>
      <errorID>4c02de3b-c214-4d30-943a-9fbc1242e02b</errorID>
      <errorWord>)</errorWord>
      <group>L1_Format</group>
      <groupName>格式问题</groupName>
      <ability>L2_HalfPunc</ability>
      <abilityName>全半角检查</abilityName>
      <candidateList>
        <item>）</item>
      </candidateList>
      <explain>文本全半角错误。</explain>
      <paraID>145FFF1A</paraID>
      <start>21</start>
      <end>22</end>
      <status>unmodified</status>
      <modifiedWord/>
      <trackRevisions>false</trackRevisions>
    </reviewItem>
    <reviewItem>
      <errorID>d1a44a57-60f7-4397-a531-686e4f5d5038</errorID>
      <errorWord>和粘膜</errorWord>
      <group>L1_Word</group>
      <groupName>字词问题</groupName>
      <ability>L2_Alias</ability>
      <abilityName>也作/曾用词</abilityName>
      <candidateList>
        <item>和黏膜</item>
      </candidateList>
      <explain>词汇[和粘膜]为不规范表述或旧称，其规范书面表述为[和黏膜]。</explain>
      <paraID>41CA3D58</paraID>
      <start>82</start>
      <end>85</end>
      <status>unmodified</status>
      <modifiedWord/>
      <trackRevisions>false</trackRevisions>
    </reviewItem>
    <reviewItem>
      <errorID>da25510e-f2ad-47ba-98d0-7006f243ee40</errorID>
      <errorWord>引走</errorWord>
      <group>L1_Word</group>
      <groupName>字词问题</groupName>
      <ability>L2_Typo</ability>
      <abilityName>字词错误</abilityName>
      <candidateList>
        <item>引起</item>
      </candidateList>
      <explain/>
      <paraID>41CA3D58</paraID>
      <start>108</start>
      <end>110</end>
      <status>modified</status>
      <modifiedWord>引起</modifiedWord>
      <trackRevisions>false</trackRevisions>
    </reviewItem>
    <reviewItem>
      <errorID>203333ad-72a1-491b-823b-1164e530545f</errorID>
      <errorWord>(</errorWord>
      <group>L1_Format</group>
      <groupName>格式问题</groupName>
      <ability>L2_HalfPunc</ability>
      <abilityName>全半角检查</abilityName>
      <candidateList>
        <item>（</item>
      </candidateList>
      <explain>文本全半角错误。</explain>
      <paraID>1AE5E418</paraID>
      <start>27</start>
      <end>28</end>
      <status>unmodified</status>
      <modifiedWord/>
      <trackRevisions>false</trackRevisions>
    </reviewItem>
    <reviewItem>
      <errorID>50ac40db-457b-42e4-8e76-fc323b575450</errorID>
      <errorWord>)</errorWord>
      <group>L1_Format</group>
      <groupName>格式问题</groupName>
      <ability>L2_HalfPunc</ability>
      <abilityName>全半角检查</abilityName>
      <candidateList>
        <item>）</item>
      </candidateList>
      <explain>文本全半角错误。</explain>
      <paraID>1AE5E418</paraID>
      <start>34</start>
      <end>35</end>
      <status>unmodified</status>
      <modifiedWord/>
      <trackRevisions>false</trackRevisions>
    </reviewItem>
    <reviewItem>
      <errorID>eb9efc7b-dce1-46be-b96e-11c3ed28d60d</errorID>
      <errorWord>：</errorWord>
      <group>L1_Format</group>
      <groupName>格式问题</groupName>
      <ability>L2_HalfPunc</ability>
      <abilityName>全半角检查</abilityName>
      <candidateList>
        <item>:</item>
      </candidateList>
      <explain>文本全半角错误。</explain>
      <paraID>  6C3D7F</paraID>
      <start>4</start>
      <end>5</end>
      <status>unmodified</status>
      <modifiedWord/>
      <trackRevisions>false</trackRevisions>
    </reviewItem>
    <reviewItem>
      <errorID>8dffa661-a551-4b2f-a55d-43484d13d6d9</errorID>
      <errorWord>(</errorWord>
      <group>L1_Format</group>
      <groupName>格式问题</groupName>
      <ability>L2_HalfPunc</ability>
      <abilityName>全半角检查</abilityName>
      <candidateList>
        <item>（</item>
      </candidateList>
      <explain>文本全半角错误。</explain>
      <paraID>  6C3D7F</paraID>
      <start>14</start>
      <end>15</end>
      <status>unmodified</status>
      <modifiedWord/>
      <trackRevisions>false</trackRevisions>
    </reviewItem>
    <reviewItem>
      <errorID>55821b4f-06f8-4867-b96c-8bbfff55b1dd</errorID>
      <errorWord>)</errorWord>
      <group>L1_Format</group>
      <groupName>格式问题</groupName>
      <ability>L2_HalfPunc</ability>
      <abilityName>全半角检查</abilityName>
      <candidateList>
        <item>）</item>
      </candidateList>
      <explain>文本全半角错误。</explain>
      <paraID>  6C3D7F</paraID>
      <start>19</start>
      <end>20</end>
      <status>unmodified</status>
      <modifiedWord/>
      <trackRevisions>false</trackRevisions>
    </reviewItem>
    <reviewItem>
      <errorID>af6075e7-810d-4e1e-9fed-d2c4abe85b2a</errorID>
      <errorWord>：</errorWord>
      <group>L1_Format</group>
      <groupName>格式问题</groupName>
      <ability>L2_HalfPunc</ability>
      <abilityName>全半角检查</abilityName>
      <candidateList>
        <item>:</item>
      </candidateList>
      <explain>文本全半角错误。</explain>
      <paraID>78A698E3</paraID>
      <start>4</start>
      <end>5</end>
      <status>unmodified</status>
      <modifiedWord/>
      <trackRevisions>false</trackRevisions>
    </reviewItem>
    <reviewItem>
      <errorID>916d38ed-b804-4bf8-aa20-72bdaff1d79a</errorID>
      <errorWord>(</errorWord>
      <group>L1_Format</group>
      <groupName>格式问题</groupName>
      <ability>L2_HalfPunc</ability>
      <abilityName>全半角检查</abilityName>
      <candidateList>
        <item>（</item>
      </candidateList>
      <explain>文本全半角错误。</explain>
      <paraID>78A698E3</paraID>
      <start>14</start>
      <end>15</end>
      <status>unmodified</status>
      <modifiedWord/>
      <trackRevisions>false</trackRevisions>
    </reviewItem>
    <reviewItem>
      <errorID>fc893d9f-cc39-4f5b-84ee-093b2cdc5052</errorID>
      <errorWord>)</errorWord>
      <group>L1_Format</group>
      <groupName>格式问题</groupName>
      <ability>L2_HalfPunc</ability>
      <abilityName>全半角检查</abilityName>
      <candidateList>
        <item>）</item>
      </candidateList>
      <explain>文本全半角错误。</explain>
      <paraID>78A698E3</paraID>
      <start>19</start>
      <end>20</end>
      <status>unmodified</status>
      <modifiedWord/>
      <trackRevisions>false</trackRevisions>
    </reviewItem>
    <reviewItem>
      <errorID>db5d6be1-500b-4157-9071-c21e0a19c6da</errorID>
      <errorWord>肝肿大</errorWord>
      <group>L1_Knowledge</group>
      <groupName>知识性问题</groupName>
      <ability>L2_Term</ability>
      <abilityName>专业术语</abilityName>
      <candidateList>
        <item>肝大</item>
      </candidateList>
      <explain>医学名词[肝肿大]为不规范表述或旧称，其规范书面表述为[肝大]。</explain>
      <paraID>2A4439F9</paraID>
      <start>36</start>
      <end>39</end>
      <status>unmodified</status>
      <modifiedWord/>
      <trackRevisions>false</trackRevisions>
    </reviewItem>
    <reviewItem>
      <errorID>76183a0e-6303-4b08-aef0-ce3d0c3cf45c</errorID>
      <errorWord>急性肝坏死</errorWord>
      <group>L1_Knowledge</group>
      <groupName>知识性问题</groupName>
      <ability>L2_Term</ability>
      <abilityName>专业术语</abilityName>
      <candidateList>
        <item>急性重型肝炎</item>
      </candidateList>
      <explain>医学名词[急性肝坏死]为不规范表述或旧称，其规范书面表述为[急性重型肝炎]。</explain>
      <paraID>2A4439F9</paraID>
      <start>44</start>
      <end>49</end>
      <status>unmodified</status>
      <modifiedWord/>
      <trackRevisions>false</trackRevisions>
    </reviewItem>
    <reviewItem>
      <errorID>e600c6e6-217e-4c64-ac9a-2e536dba1272</errorID>
      <errorWord>：</errorWord>
      <group>L1_Format</group>
      <groupName>格式问题</groupName>
      <ability>L2_HalfPunc</ability>
      <abilityName>全半角检查</abilityName>
      <candidateList>
        <item>:</item>
      </candidateList>
      <explain>文本全半角错误。</explain>
      <paraID> D26130E</paraID>
      <start>4</start>
      <end>5</end>
      <status>unmodified</status>
      <modifiedWord/>
      <trackRevisions>false</trackRevisions>
    </reviewItem>
    <reviewItem>
      <errorID>1307b688-0d48-4f4e-8651-13e2867cc8f2</errorID>
      <errorWord>(</errorWord>
      <group>L1_Format</group>
      <groupName>格式问题</groupName>
      <ability>L2_HalfPunc</ability>
      <abilityName>全半角检查</abilityName>
      <candidateList>
        <item>（</item>
      </candidateList>
      <explain>文本全半角错误。</explain>
      <paraID> D26130E</paraID>
      <start>17</start>
      <end>18</end>
      <status>unmodified</status>
      <modifiedWord/>
      <trackRevisions>false</trackRevisions>
    </reviewItem>
    <reviewItem>
      <errorID>e518050a-972d-40e9-ab13-5b1303446c6f</errorID>
      <errorWord>)</errorWord>
      <group>L1_Format</group>
      <groupName>格式问题</groupName>
      <ability>L2_HalfPunc</ability>
      <abilityName>全半角检查</abilityName>
      <candidateList>
        <item>）</item>
      </candidateList>
      <explain>文本全半角错误。</explain>
      <paraID> D26130E</paraID>
      <start>22</start>
      <end>23</end>
      <status>unmodified</status>
      <modifiedWord/>
      <trackRevisions>false</trackRevisions>
    </reviewItem>
    <reviewItem>
      <errorID>8c843c5b-0bd6-4390-b259-d479f9b37d96</errorID>
      <errorWord>藻内</errorWord>
      <group>L1_Word</group>
      <groupName>字词问题</groupName>
      <ability>L2_Typo</ability>
      <abilityName>字词错误</abilityName>
      <candidateList>
        <item>藻类</item>
      </candidateList>
      <explain>存在发音相近字词的误用。</explain>
      <paraID>3C40BDCC</paraID>
      <start>28</start>
      <end>30</end>
      <status>modified</status>
      <modifiedWord>藻类</modifiedWord>
      <trackRevisions>false</trackRevisions>
    </reviewItem>
    <reviewItem>
      <errorID>70a4fa54-8d00-4de4-b6bd-29f86fc04333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35B58045</paraID>
      <start>0</start>
      <end>2</end>
      <status>unmodified</status>
      <modifiedWord/>
      <trackRevisions>false</trackRevisions>
    </reviewItem>
    <reviewItem>
      <errorID>64b02ef7-092b-4ef5-a98f-459412a8ce3b</errorID>
      <errorWord>(</errorWord>
      <group>L1_Format</group>
      <groupName>格式问题</groupName>
      <ability>L2_HalfPunc</ability>
      <abilityName>全半角检查</abilityName>
      <candidateList>
        <item>（</item>
      </candidateList>
      <explain>文本全半角错误。</explain>
      <paraID>7474ABEA</paraID>
      <start>12</start>
      <end>13</end>
      <status>unmodified</status>
      <modifiedWord/>
      <trackRevisions>false</trackRevisions>
    </reviewItem>
    <reviewItem>
      <errorID>d73d0a56-f1ff-4ad4-8282-c6da28600eaf</errorID>
      <errorWord>)</errorWord>
      <group>L1_Format</group>
      <groupName>格式问题</groupName>
      <ability>L2_HalfPunc</ability>
      <abilityName>全半角检查</abilityName>
      <candidateList>
        <item>）</item>
      </candidateList>
      <explain>文本全半角错误。</explain>
      <paraID>7474ABEA</paraID>
      <start>17</start>
      <end>18</end>
      <status>unmodified</status>
      <modifiedWord/>
      <trackRevisions>false</trackRevisions>
    </reviewItem>
    <reviewItem>
      <errorID>e3ae5083-e5d1-489d-8713-0ce769947de0</errorID>
      <errorWord>(</errorWord>
      <group>L1_Format</group>
      <groupName>格式问题</groupName>
      <ability>L2_HalfPunc</ability>
      <abilityName>全半角检查</abilityName>
      <candidateList>
        <item>（</item>
      </candidateList>
      <explain>文本全半角错误。</explain>
      <paraID>7474ABEA</paraID>
      <start>26</start>
      <end>27</end>
      <status>unmodified</status>
      <modifiedWord/>
      <trackRevisions>false</trackRevisions>
    </reviewItem>
    <reviewItem>
      <errorID>49ffadc9-16c6-4af6-8daa-80819db6b5a7</errorID>
      <errorWord>);</errorWord>
      <group>L1_Format</group>
      <groupName>格式问题</groupName>
      <ability>L2_HalfPunc</ability>
      <abilityName>全半角检查</abilityName>
      <candidateList>
        <item>）；</item>
      </candidateList>
      <explain>文本全半角错误。</explain>
      <paraID>7474ABEA</paraID>
      <start>30</start>
      <end>32</end>
      <status>unmodified</status>
      <modifiedWord/>
      <trackRevisions>false</trackRevisions>
    </reviewItem>
    <reviewItem>
      <errorID>936b6ad5-7845-4f29-b58d-588ca6fab33d</errorID>
      <errorWord>(</errorWord>
      <group>L1_Format</group>
      <groupName>格式问题</groupName>
      <ability>L2_HalfPunc</ability>
      <abilityName>全半角检查</abilityName>
      <candidateList>
        <item>（</item>
      </candidateList>
      <explain>文本全半角错误。</explain>
      <paraID>7474ABEA</paraID>
      <start>45</start>
      <end>46</end>
      <status>unmodified</status>
      <modifiedWord/>
      <trackRevisions>false</trackRevisions>
    </reviewItem>
    <reviewItem>
      <errorID>132323aa-9582-45ed-9716-25baaba219aa</errorID>
      <errorWord>)</errorWord>
      <group>L1_Format</group>
      <groupName>格式问题</groupName>
      <ability>L2_HalfPunc</ability>
      <abilityName>全半角检查</abilityName>
      <candidateList>
        <item>）</item>
      </candidateList>
      <explain>文本全半角错误。</explain>
      <paraID>7474ABEA</paraID>
      <start>48</start>
      <end>49</end>
      <status>unmodified</status>
      <modifiedWord/>
      <trackRevisions>false</trackRevisions>
    </reviewItem>
    <reviewItem>
      <errorID>9f41a39c-d943-4247-a4f5-6e76301b965e</errorID>
      <errorWord>(</errorWord>
      <group>L1_Format</group>
      <groupName>格式问题</groupName>
      <ability>L2_HalfPunc</ability>
      <abilityName>全半角检查</abilityName>
      <candidateList>
        <item>（</item>
      </candidateList>
      <explain>文本全半角错误。</explain>
      <paraID>7474ABEA</paraID>
      <start>55</start>
      <end>56</end>
      <status>unmodified</status>
      <modifiedWord/>
      <trackRevisions>false</trackRevisions>
    </reviewItem>
    <reviewItem>
      <errorID>2eb58c95-8026-43e8-a704-24ce91baf01f</errorID>
      <errorWord>)</errorWord>
      <group>L1_Format</group>
      <groupName>格式问题</groupName>
      <ability>L2_HalfPunc</ability>
      <abilityName>全半角检查</abilityName>
      <candidateList>
        <item>）</item>
      </candidateList>
      <explain>文本全半角错误。</explain>
      <paraID>7474ABEA</paraID>
      <start>60</start>
      <end>61</end>
      <status>unmodified</status>
      <modifiedWord/>
      <trackRevisions>false</trackRevisions>
    </reviewItem>
    <reviewItem>
      <errorID>18993781-c0e2-4538-ac12-0e5520c1567b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27F6A739</paraID>
      <start>0</start>
      <end>2</end>
      <status>unmodified</status>
      <modifiedWord/>
      <trackRevisions>false</trackRevisions>
    </reviewItem>
    <reviewItem>
      <errorID>2286e65e-6d20-4d14-9967-6f3f9a67ee53</errorID>
      <errorWord>(</errorWord>
      <group>L1_Format</group>
      <groupName>格式问题</groupName>
      <ability>L2_HalfPunc</ability>
      <abilityName>全半角检查</abilityName>
      <candidateList>
        <item>（</item>
      </candidateList>
      <explain>文本全半角错误。</explain>
      <paraID>44991DCC</paraID>
      <start>13</start>
      <end>14</end>
      <status>unmodified</status>
      <modifiedWord/>
      <trackRevisions>false</trackRevisions>
    </reviewItem>
    <reviewItem>
      <errorID>508c6ea9-c6f0-47e2-bcd2-e04b7dbf6c4e</errorID>
      <errorWord>)</errorWord>
      <group>L1_Format</group>
      <groupName>格式问题</groupName>
      <ability>L2_HalfPunc</ability>
      <abilityName>全半角检查</abilityName>
      <candidateList>
        <item>）</item>
      </candidateList>
      <explain>文本全半角错误。</explain>
      <paraID>44991DCC</paraID>
      <start>18</start>
      <end>19</end>
      <status>unmodified</status>
      <modifiedWord/>
      <trackRevisions>false</trackRevisions>
    </reviewItem>
    <reviewItem>
      <errorID>5e17e31e-d6fc-46e5-a90f-657dd90d171a</errorID>
      <errorWord>和粘膜</errorWord>
      <group>L1_Word</group>
      <groupName>字词问题</groupName>
      <ability>L2_Alias</ability>
      <abilityName>也作/曾用词</abilityName>
      <candidateList>
        <item>和黏膜</item>
      </candidateList>
      <explain>词汇[和粘膜]为不规范表述或旧称，其规范书面表述为[和黏膜]。</explain>
      <paraID>4C7DE2E4</paraID>
      <start>22</start>
      <end>25</end>
      <status>unmodified</status>
      <modifiedWord/>
      <trackRevisions>false</trackRevisions>
    </reviewItem>
    <reviewItem>
      <errorID>7a7675d3-0d10-44ce-9456-5c93756a852c</errorID>
      <errorWord>(</errorWord>
      <group>L1_Format</group>
      <groupName>格式问题</groupName>
      <ability>L2_HalfPunc</ability>
      <abilityName>全半角检查</abilityName>
      <candidateList>
        <item>（</item>
      </candidateList>
      <explain>文本全半角错误。</explain>
      <paraID>317513CE</paraID>
      <start>16</start>
      <end>17</end>
      <status>unmodified</status>
      <modifiedWord/>
      <trackRevisions>false</trackRevisions>
    </reviewItem>
    <reviewItem>
      <errorID>42a94a2b-fee4-4c58-989e-4c9241c58ea0</errorID>
      <errorWord>)</errorWord>
      <group>L1_Format</group>
      <groupName>格式问题</groupName>
      <ability>L2_HalfPunc</ability>
      <abilityName>全半角检查</abilityName>
      <candidateList>
        <item>）</item>
      </candidateList>
      <explain>文本全半角错误。</explain>
      <paraID>317513CE</paraID>
      <start>21</start>
      <end>22</end>
      <status>unmodified</status>
      <modifiedWord/>
      <trackRevisions>false</trackRevisions>
    </reviewItem>
    <reviewItem>
      <errorID>764082ef-79ee-47ef-b561-12e71deea909</errorID>
      <errorWord>(</errorWord>
      <group>L1_Format</group>
      <groupName>格式问题</groupName>
      <ability>L2_HalfPunc</ability>
      <abilityName>全半角检查</abilityName>
      <candidateList>
        <item>（</item>
      </candidateList>
      <explain>文本全半角错误。</explain>
      <paraID>317513CE</paraID>
      <start>34</start>
      <end>35</end>
      <status>unmodified</status>
      <modifiedWord/>
      <trackRevisions>false</trackRevisions>
    </reviewItem>
    <reviewItem>
      <errorID>5aa623fb-7a5d-484f-a2c3-7ad2564204b3</errorID>
      <errorWord>)</errorWord>
      <group>L1_Format</group>
      <groupName>格式问题</groupName>
      <ability>L2_HalfPunc</ability>
      <abilityName>全半角检查</abilityName>
      <candidateList>
        <item>）</item>
      </candidateList>
      <explain>文本全半角错误。</explain>
      <paraID>317513CE</paraID>
      <start>39</start>
      <end>40</end>
      <status>unmodified</status>
      <modifiedWord/>
      <trackRevisions>false</trackRevisions>
    </reviewItem>
    <reviewItem>
      <errorID>2e25f9f3-86e3-4611-a462-16f7edb58b4a</errorID>
      <errorWord>紫绀</errorWord>
      <group>L1_Knowledge</group>
      <groupName>知识性问题</groupName>
      <ability>L2_Term</ability>
      <abilityName>专业术语</abilityName>
      <candidateList>
        <item>发绀</item>
      </candidateList>
      <explain>医学名词[紫绀]为不规范表述或旧称，其规范书面表述为[发绀]。</explain>
      <paraID>7385A392</paraID>
      <start>27</start>
      <end>29</end>
      <status>unmodified</status>
      <modifiedWord/>
      <trackRevisions>false</trackRevisions>
    </reviewItem>
    <reviewItem>
      <errorID>3b03a7ae-159f-4bb4-9f93-299eba74eb2a</errorID>
      <errorWord>橄苦岩</errorWord>
      <group>L1_Word</group>
      <groupName>字词问题</groupName>
      <ability>L2_Typo</ability>
      <abilityName>字词错误</abilityName>
      <candidateList>
        <item>橄榄岩</item>
      </candidateList>
      <explain/>
      <paraID>32FB5606</paraID>
      <start>4</start>
      <end>7</end>
      <status>unmodified</status>
      <modifiedWord/>
      <trackRevisions>false</trackRevisions>
    </reviewItem>
    <reviewItem>
      <errorID>07b448dd-c932-45e9-bbac-a994cf18e738</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6F1FE6CA</paraID>
      <start>7</start>
      <end>9</end>
      <status>unmodified</status>
      <modifiedWord/>
      <trackRevisions>false</trackRevisions>
    </reviewItem>
    <reviewItem>
      <errorID>cb9cbde2-b7a8-4ac5-8538-8335effeeb03</errorID>
      <errorWord>释</errorWord>
      <group>L1_Word</group>
      <groupName>字词问题</groupName>
      <ability>L2_Typo</ability>
      <abilityName>字词错误</abilityName>
      <candidateList>
        <item>释放</item>
      </candidateList>
      <explain/>
      <paraID>49F375B2</paraID>
      <start>39</start>
      <end>40</end>
      <status>unmodified</status>
      <modifiedWord/>
      <trackRevisions>false</trackRevisions>
    </reviewItem>
    <reviewItem>
      <errorID>150c4b94-b1ff-4378-82b7-2af8bbd5c906</errorID>
      <errorWord>泄露</errorWord>
      <group>L1_Word</group>
      <groupName>字词问题</groupName>
      <ability>L2_Typo</ability>
      <abilityName>字词错误</abilityName>
      <candidateList>
        <item>泄漏</item>
      </candidateList>
      <explain>存在发音相同字词的误用。</explain>
      <paraID>1BF6FAD8</paraID>
      <start>6</start>
      <end>8</end>
      <status>unmodified</status>
      <modifiedWord/>
      <trackRevisions>false</trackRevisions>
    </reviewItem>
    <reviewItem>
      <errorID>b0b15fa9-d893-4947-91b6-14b263c34e38</errorID>
      <errorWord>硫磺</errorWord>
      <group>L1_Word</group>
      <groupName>字词问题</groupName>
      <ability>L2_Typo</ability>
      <abilityName>字词错误</abilityName>
      <candidateList>
        <item>硫黄</item>
      </candidateList>
      <explain/>
      <paraID>222DC85E</paraID>
      <start>9</start>
      <end>11</end>
      <status>unmodified</status>
      <modifiedWord/>
      <trackRevisions>false</trackRevisions>
    </reviewItem>
    <reviewItem>
      <errorID>ceb588ad-1168-40c5-8b04-d0cca9e6d67f</errorID>
      <errorWord>(</errorWord>
      <group>L1_Format</group>
      <groupName>格式问题</groupName>
      <ability>L2_HalfPunc</ability>
      <abilityName>全半角检查</abilityName>
      <candidateList>
        <item>（</item>
      </candidateList>
      <explain>文本全半角错误。</explain>
      <paraID>222DC85E</paraID>
      <start>95</start>
      <end>96</end>
      <status>unmodified</status>
      <modifiedWord/>
      <trackRevisions>false</trackRevisions>
    </reviewItem>
    <reviewItem>
      <errorID>d6bbc96b-702c-4bf9-86f9-4d88f66fbdd4</errorID>
      <errorWord>)</errorWord>
      <group>L1_Format</group>
      <groupName>格式问题</groupName>
      <ability>L2_HalfPunc</ability>
      <abilityName>全半角检查</abilityName>
      <candidateList>
        <item>）</item>
      </candidateList>
      <explain>文本全半角错误。</explain>
      <paraID>222DC85E</paraID>
      <start>101</start>
      <end>102</end>
      <status>unmodified</status>
      <modifiedWord/>
      <trackRevisions>false</trackRevisions>
    </reviewItem>
    <reviewItem>
      <errorID>59798f2a-a2c3-477e-ada5-ccb3f57efaf1</errorID>
      <errorWord>：</errorWord>
      <group>L1_Format</group>
      <groupName>格式问题</groupName>
      <ability>L2_HalfPunc</ability>
      <abilityName>全半角检查</abilityName>
      <candidateList>
        <item>:</item>
      </candidateList>
      <explain>文本全半角错误。</explain>
      <paraID>5B3F0F34</paraID>
      <start>4</start>
      <end>5</end>
      <status>unmodified</status>
      <modifiedWord/>
      <trackRevisions>false</trackRevisions>
    </reviewItem>
    <reviewItem>
      <errorID>82a9dc37-8dd1-4f82-a8d8-9d589d599fcd</errorID>
      <errorWord>(</errorWord>
      <group>L1_Format</group>
      <groupName>格式问题</groupName>
      <ability>L2_HalfPunc</ability>
      <abilityName>全半角检查</abilityName>
      <candidateList>
        <item>（</item>
      </candidateList>
      <explain>文本全半角错误。</explain>
      <paraID>5B3F0F34</paraID>
      <start>14</start>
      <end>15</end>
      <status>unmodified</status>
      <modifiedWord/>
      <trackRevisions>false</trackRevisions>
    </reviewItem>
    <reviewItem>
      <errorID>bbce6ca0-1cfb-430d-b94e-56b9ac3d8dcb</errorID>
      <errorWord>)</errorWord>
      <group>L1_Format</group>
      <groupName>格式问题</groupName>
      <ability>L2_HalfPunc</ability>
      <abilityName>全半角检查</abilityName>
      <candidateList>
        <item>）</item>
      </candidateList>
      <explain>文本全半角错误。</explain>
      <paraID>5B3F0F34</paraID>
      <start>19</start>
      <end>20</end>
      <status>unmodified</status>
      <modifiedWord/>
      <trackRevisions>false</trackRevisions>
    </reviewItem>
    <reviewItem>
      <errorID>291dac9c-7445-4c24-a6c8-54519b01180e</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1D371569</paraID>
      <start>12</start>
      <end>15</end>
      <status>modified</status>
      <modifiedWord>刺激征</modifiedWord>
      <trackRevisions>false</trackRevisions>
    </reviewItem>
    <reviewItem>
      <errorID>49096004-cd1b-480c-b04a-2f3cfd73d273</errorID>
      <errorWord>肝肿大</errorWord>
      <group>L1_Knowledge</group>
      <groupName>知识性问题</groupName>
      <ability>L2_Term</ability>
      <abilityName>专业术语</abilityName>
      <candidateList>
        <item>肝大</item>
      </candidateList>
      <explain>医学名词[肝肿大]为不规范表述或旧称，其规范书面表述为[肝大]。</explain>
      <paraID>1D371569</paraID>
      <start>44</start>
      <end>47</end>
      <status>unmodified</status>
      <modifiedWord/>
      <trackRevisions>false</trackRevisions>
    </reviewItem>
    <reviewItem>
      <errorID>491aa789-06bc-49c8-9d0f-7283abfb8352</errorID>
      <errorWord>急性肝坏死</errorWord>
      <group>L1_Knowledge</group>
      <groupName>知识性问题</groupName>
      <ability>L2_Term</ability>
      <abilityName>专业术语</abilityName>
      <candidateList>
        <item>急性重型肝炎</item>
      </candidateList>
      <explain>医学名词[急性肝坏死]为不规范表述或旧称，其规范书面表述为[急性重型肝炎]。</explain>
      <paraID>1D371569</paraID>
      <start>52</start>
      <end>57</end>
      <status>unmodified</status>
      <modifiedWord/>
      <trackRevisions>false</trackRevisions>
    </reviewItem>
    <reviewItem>
      <errorID>1bcd523b-f989-4042-8c51-ed75cdf470eb</errorID>
      <errorWord>靡烂</errorWord>
      <group>L1_Word</group>
      <groupName>字词问题</groupName>
      <ability>L2_Typo</ability>
      <abilityName>字词错误</abilityName>
      <candidateList>
        <item>糜烂</item>
      </candidateList>
      <explain/>
      <paraID>1D371569</paraID>
      <start>74</start>
      <end>76</end>
      <status>unmodified</status>
      <modifiedWord/>
      <trackRevisions>false</trackRevisions>
    </reviewItem>
    <reviewItem>
      <errorID>5c0b1115-c39d-4b95-9474-b0dd42c40fc1</errorID>
      <errorWord>肾功能衰竭</errorWord>
      <group>L1_Word</group>
      <groupName>字词问题</groupName>
      <ability>L2_Typo</ability>
      <abilityName>字词错误</abilityName>
      <candidateList>
        <item>肾衰竭</item>
      </candidateList>
      <explain/>
      <paraID>1D371569</paraID>
      <start>111</start>
      <end>116</end>
      <status>unmodified</status>
      <modifiedWord/>
      <trackRevisions>false</trackRevisions>
    </reviewItem>
    <reviewItem>
      <errorID>f7c1e2f2-d05b-45b5-ab79-567542c0d48f</errorID>
      <errorWord>:</errorWord>
      <group>L1_Format</group>
      <groupName>格式问题</groupName>
      <ability>L2_HalfPunc</ability>
      <abilityName>全半角检查</abilityName>
      <candidateList>
        <item>：</item>
      </candidateList>
      <explain>文本全半角错误。</explain>
      <paraID>1D371569</paraID>
      <start>169</start>
      <end>170</end>
      <status>unmodified</status>
      <modifiedWord/>
      <trackRevisions>false</trackRevisions>
    </reviewItem>
    <reviewItem>
      <errorID>26536f4e-b92d-42d9-b08a-78246126a71a</errorID>
      <errorWord>装缩</errorWord>
      <group>L1_Word</group>
      <groupName>字词问题</groupName>
      <ability>L2_Typo</ability>
      <abilityName>字词错误</abilityName>
      <candidateList>
        <item>收缩</item>
      </candidateList>
      <explain/>
      <paraID>1D371569</paraID>
      <start>218</start>
      <end>220</end>
      <status>unmodified</status>
      <modifiedWord/>
      <trackRevisions>false</trackRevisions>
    </reviewItem>
    <reviewItem>
      <errorID>6cb80ad0-5d84-4fa3-ad24-d6c72468db04</errorID>
      <errorWord>致铝</errorWord>
      <group>L1_Word</group>
      <groupName>字词问题</groupName>
      <ability>L2_Typo</ability>
      <abilityName>字词错误</abilityName>
      <candidateList>
        <item>致</item>
      </candidateList>
      <explain>（緻）zhì精密；精细：细～｜精～｜工～。</explain>
      <paraID>61F4B6B6</paraID>
      <start>5</start>
      <end>7</end>
      <status>unmodified</status>
      <modifiedWord/>
      <trackRevisions>false</trackRevisions>
    </reviewItem>
    <reviewItem>
      <errorID>3fb01a5d-ae2c-4a70-9e29-fb393aa9c7a0</errorID>
      <errorWord>(</errorWord>
      <group>L1_Format</group>
      <groupName>格式问题</groupName>
      <ability>L2_HalfPunc</ability>
      <abilityName>全半角检查</abilityName>
      <candidateList>
        <item>（</item>
      </candidateList>
      <explain>文本全半角错误。</explain>
      <paraID>6BF312FA</paraID>
      <start>13</start>
      <end>14</end>
      <status>unmodified</status>
      <modifiedWord/>
      <trackRevisions>false</trackRevisions>
    </reviewItem>
    <reviewItem>
      <errorID>a9f8b4a7-9fd6-4e63-b8e9-08d3165661e2</errorID>
      <errorWord>)</errorWord>
      <group>L1_Format</group>
      <groupName>格式问题</groupName>
      <ability>L2_HalfPunc</ability>
      <abilityName>全半角检查</abilityName>
      <candidateList>
        <item>）</item>
      </candidateList>
      <explain>文本全半角错误。</explain>
      <paraID>6BF312FA</paraID>
      <start>18</start>
      <end>19</end>
      <status>unmodified</status>
      <modifiedWord/>
      <trackRevisions>false</trackRevisions>
    </reviewItem>
    <reviewItem>
      <errorID>49440cc1-e84a-4e18-8d74-7d1d5a299dc0</errorID>
      <errorWord>:</errorWord>
      <group>L1_Format</group>
      <groupName>格式问题</groupName>
      <ability>L2_HalfPunc</ability>
      <abilityName>全半角检查</abilityName>
      <candidateList>
        <item>：</item>
      </candidateList>
      <explain>文本全半角错误。</explain>
      <paraID>672BDF27</paraID>
      <start>4</start>
      <end>5</end>
      <status>unmodified</status>
      <modifiedWord/>
      <trackRevisions>false</trackRevisions>
    </reviewItem>
    <reviewItem>
      <errorID>e1fb6b8c-f6a1-4626-9b7e-7abf7ba14596</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672BDF27</paraID>
      <start>13</start>
      <end>16</end>
      <status>modified</status>
      <modifiedWord>刺激征</modifiedWord>
      <trackRevisions>false</trackRevisions>
    </reviewItem>
    <reviewItem>
      <errorID>5a60af33-30ac-4d06-86b3-c2a3fc7f6841</errorID>
      <errorWord>;</errorWord>
      <group>L1_Format</group>
      <groupName>格式问题</groupName>
      <ability>L2_HalfPunc</ability>
      <abilityName>全半角检查</abilityName>
      <candidateList>
        <item>；</item>
      </candidateList>
      <explain>文本全半角错误。</explain>
      <paraID>672BDF27</paraID>
      <start>30</start>
      <end>31</end>
      <status>unmodified</status>
      <modifiedWord/>
      <trackRevisions>false</trackRevisions>
    </reviewItem>
    <reviewItem>
      <errorID>e8f56a04-cd3a-43f8-a9c3-7a055127d88b</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672BDF27</paraID>
      <start>43</start>
      <end>46</end>
      <status>modified</status>
      <modifiedWord>刺激征</modifiedWord>
      <trackRevisions>false</trackRevisions>
    </reviewItem>
    <reviewItem>
      <errorID>463ed477-6493-49bd-adc7-8d1349a0ad82</errorID>
      <errorWord>肌肉痛疼</errorWord>
      <group>L1_Word</group>
      <groupName>字词问题</groupName>
      <ability>L2_Typo</ability>
      <abilityName>字词错误</abilityName>
      <candidateList>
        <item>肌肉疼痛</item>
      </candidateList>
      <explain/>
      <paraID>672BDF27</paraID>
      <start>71</start>
      <end>75</end>
      <status>modified</status>
      <modifiedWord>肌肉疼痛</modifiedWord>
      <trackRevisions>false</trackRevisions>
    </reviewItem>
    <reviewItem>
      <errorID>bdba6f17-28e0-4673-9d57-8018a054fd96</errorID>
      <errorWord>:</errorWord>
      <group>L1_Format</group>
      <groupName>格式问题</groupName>
      <ability>L2_HalfPunc</ability>
      <abilityName>全半角检查</abilityName>
      <candidateList>
        <item>：</item>
      </candidateList>
      <explain>文本全半角错误。</explain>
      <paraID>672BDF27</paraID>
      <start>84</start>
      <end>85</end>
      <status>unmodified</status>
      <modifiedWord/>
      <trackRevisions>false</trackRevisions>
    </reviewItem>
    <reviewItem>
      <errorID>e176a6fb-a25e-4c8f-8d74-6af380e7d97b</errorID>
      <errorWord>(</errorWord>
      <group>L1_Format</group>
      <groupName>格式问题</groupName>
      <ability>L2_HalfPunc</ability>
      <abilityName>全半角检查</abilityName>
      <candidateList>
        <item>（</item>
      </candidateList>
      <explain>文本全半角错误。</explain>
      <paraID>672BDF27</paraID>
      <start>99</start>
      <end>100</end>
      <status>unmodified</status>
      <modifiedWord/>
      <trackRevisions>false</trackRevisions>
    </reviewItem>
    <reviewItem>
      <errorID>c067f085-fa6b-444c-a0f3-6dde6c81d751</errorID>
      <errorWord>)</errorWord>
      <group>L1_Format</group>
      <groupName>格式问题</groupName>
      <ability>L2_HalfPunc</ability>
      <abilityName>全半角检查</abilityName>
      <candidateList>
        <item>）</item>
      </candidateList>
      <explain>文本全半角错误。</explain>
      <paraID>672BDF27</paraID>
      <start>103</start>
      <end>104</end>
      <status>unmodified</status>
      <modifiedWord/>
      <trackRevisions>false</trackRevisions>
    </reviewItem>
    <reviewItem>
      <errorID>f3978c0d-f9eb-4670-a16b-98452edefd16</errorID>
      <errorWord>(</errorWord>
      <group>L1_Format</group>
      <groupName>格式问题</groupName>
      <ability>L2_HalfPunc</ability>
      <abilityName>全半角检查</abilityName>
      <candidateList>
        <item>（</item>
      </candidateList>
      <explain>文本全半角错误。</explain>
      <paraID>52EF4D97</paraID>
      <start>13</start>
      <end>14</end>
      <status>unmodified</status>
      <modifiedWord/>
      <trackRevisions>false</trackRevisions>
    </reviewItem>
    <reviewItem>
      <errorID>aa178fb4-ab5a-4b31-b88a-44bb044c0a80</errorID>
      <errorWord>)</errorWord>
      <group>L1_Format</group>
      <groupName>格式问题</groupName>
      <ability>L2_HalfPunc</ability>
      <abilityName>全半角检查</abilityName>
      <candidateList>
        <item>）</item>
      </candidateList>
      <explain>文本全半角错误。</explain>
      <paraID>52EF4D97</paraID>
      <start>18</start>
      <end>19</end>
      <status>unmodified</status>
      <modifiedWord/>
      <trackRevisions>false</trackRevisions>
    </reviewItem>
    <reviewItem>
      <errorID>4f91382b-6432-4d88-81b9-9680930d9211</errorID>
      <errorWord>:</errorWord>
      <group>L1_Format</group>
      <groupName>格式问题</groupName>
      <ability>L2_HalfPunc</ability>
      <abilityName>全半角检查</abilityName>
      <candidateList>
        <item>：</item>
      </candidateList>
      <explain>文本全半角错误。</explain>
      <paraID>4180689B</paraID>
      <start>83</start>
      <end>84</end>
      <status>unmodified</status>
      <modifiedWord/>
      <trackRevisions>false</trackRevisions>
    </reviewItem>
    <reviewItem>
      <errorID>1567e931-d7f3-45d1-8949-372c72646f95</errorID>
      <errorWord>市</errorWord>
      <group>L1_Word</group>
      <groupName>字词问题</groupName>
      <ability>L2_Typo</ability>
      <abilityName>字词错误</abilityName>
      <candidateList>
        <item>可</item>
      </candidateList>
      <explain>〈动〉适合：～人意｜这回倒～了他的心了。</explain>
      <paraID>4180689B</paraID>
      <start>145</start>
      <end>146</end>
      <status>unmodified</status>
      <modifiedWord/>
      <trackRevisions>false</trackRevisions>
    </reviewItem>
    <reviewItem>
      <errorID>8100e456-6254-4414-ae99-1a0716785867</errorID>
      <errorWord>(</errorWord>
      <group>L1_Format</group>
      <groupName>格式问题</groupName>
      <ability>L2_HalfPunc</ability>
      <abilityName>全半角检查</abilityName>
      <candidateList>
        <item>（</item>
      </candidateList>
      <explain>文本全半角错误。</explain>
      <paraID>3FD5C43A</paraID>
      <start>13</start>
      <end>14</end>
      <status>unmodified</status>
      <modifiedWord/>
      <trackRevisions>false</trackRevisions>
    </reviewItem>
    <reviewItem>
      <errorID>a513dd08-39a2-4822-9997-9928189a9952</errorID>
      <errorWord>)</errorWord>
      <group>L1_Format</group>
      <groupName>格式问题</groupName>
      <ability>L2_HalfPunc</ability>
      <abilityName>全半角检查</abilityName>
      <candidateList>
        <item>）</item>
      </candidateList>
      <explain>文本全半角错误。</explain>
      <paraID>3FD5C43A</paraID>
      <start>18</start>
      <end>19</end>
      <status>unmodified</status>
      <modifiedWord/>
      <trackRevisions>false</trackRevisions>
    </reviewItem>
    <reviewItem>
      <errorID>aed41c0f-f086-4569-8a07-dd33f0920753</errorID>
      <errorWord>腹</errorWord>
      <group>L1_Word</group>
      <groupName>字词问题</groupName>
      <ability>L2_Typo</ability>
      <abilityName>字词错误</abilityName>
      <candidateList>
        <item>腹痛</item>
      </candidateList>
      <explain/>
      <paraID> 6D5C7D4</paraID>
      <start>34</start>
      <end>35</end>
      <status>unmodified</status>
      <modifiedWord/>
      <trackRevisions>false</trackRevisions>
    </reviewItem>
    <reviewItem>
      <errorID>057f6418-48b7-4e82-9119-a9f05e49f1c7</errorID>
      <errorWord>心律紊乱</errorWord>
      <group>L1_Knowledge</group>
      <groupName>知识性问题</groupName>
      <ability>L2_Term</ability>
      <abilityName>专业术语</abilityName>
      <candidateList>
        <item>心律失常</item>
      </candidateList>
      <explain>医学名词[心律紊乱]为不规范表述或旧称，其规范书面表述为[心律失常]。</explain>
      <paraID> 6D5C7D4</paraID>
      <start>49</start>
      <end>53</end>
      <status>unmodified</status>
      <modifiedWord/>
      <trackRevisions>false</trackRevisions>
    </reviewItem>
    <reviewItem>
      <errorID>c55d29fa-7f2a-42c6-9f06-e0142a858039</errorID>
      <errorWord>心律紊乱</errorWord>
      <group>L1_Knowledge</group>
      <groupName>知识性问题</groupName>
      <ability>L2_Term</ability>
      <abilityName>专业术语</abilityName>
      <candidateList>
        <item>心律失常</item>
      </candidateList>
      <explain>医学名词[心律紊乱]为不规范表述或旧称，其规范书面表述为[心律失常]。</explain>
      <paraID> 6D5C7D4</paraID>
      <start>64</start>
      <end>68</end>
      <status>unmodified</status>
      <modifiedWord/>
      <trackRevisions>false</trackRevisions>
    </reviewItem>
    <reviewItem>
      <errorID>e7ab3f42-fbfd-4721-97d1-03db645319e6</errorID>
      <errorWord>肾功能衰竭</errorWord>
      <group>L1_Word</group>
      <groupName>字词问题</groupName>
      <ability>L2_Typo</ability>
      <abilityName>字词错误</abilityName>
      <candidateList>
        <item>肾衰竭</item>
      </candidateList>
      <explain/>
      <paraID> 6D5C7D4</paraID>
      <start>85</start>
      <end>90</end>
      <status>unmodified</status>
      <modifiedWord/>
      <trackRevisions>false</trackRevisions>
    </reviewItem>
    <reviewItem>
      <errorID>d365b439-aadd-45c7-a970-0070fa0f00d6</errorID>
      <errorWord>:</errorWord>
      <group>L1_Format</group>
      <groupName>格式问题</groupName>
      <ability>L2_HalfPunc</ability>
      <abilityName>全半角检查</abilityName>
      <candidateList>
        <item>：</item>
      </candidateList>
      <explain>文本全半角错误。</explain>
      <paraID> 6D5C7D4</paraID>
      <start>123</start>
      <end>124</end>
      <status>unmodified</status>
      <modifiedWord/>
      <trackRevisions>false</trackRevisions>
    </reviewItem>
    <reviewItem>
      <errorID>224ead85-850b-4452-a6d7-8fa711e8cc6a</errorID>
      <errorWord>：</errorWord>
      <group>L1_Format</group>
      <groupName>格式问题</groupName>
      <ability>L2_HalfPunc</ability>
      <abilityName>全半角检查</abilityName>
      <candidateList>
        <item>:</item>
      </candidateList>
      <explain>文本全半角错误。</explain>
      <paraID>   1283A</paraID>
      <start>4</start>
      <end>5</end>
      <status>unmodified</status>
      <modifiedWord/>
      <trackRevisions>false</trackRevisions>
    </reviewItem>
    <reviewItem>
      <errorID>c29e2310-3c33-4d04-b6dd-71eb41383bfa</errorID>
      <errorWord>(</errorWord>
      <group>L1_Format</group>
      <groupName>格式问题</groupName>
      <ability>L2_HalfPunc</ability>
      <abilityName>全半角检查</abilityName>
      <candidateList>
        <item>（</item>
      </candidateList>
      <explain>文本全半角错误。</explain>
      <paraID>   1283A</paraID>
      <start>12</start>
      <end>13</end>
      <status>unmodified</status>
      <modifiedWord/>
      <trackRevisions>false</trackRevisions>
    </reviewItem>
    <reviewItem>
      <errorID>70abd428-16c9-4792-ac48-a7cc3cce3233</errorID>
      <errorWord>)</errorWord>
      <group>L1_Format</group>
      <groupName>格式问题</groupName>
      <ability>L2_HalfPunc</ability>
      <abilityName>全半角检查</abilityName>
      <candidateList>
        <item>）</item>
      </candidateList>
      <explain>文本全半角错误。</explain>
      <paraID>   1283A</paraID>
      <start>17</start>
      <end>18</end>
      <status>unmodified</status>
      <modifiedWord/>
      <trackRevisions>false</trackRevisions>
    </reviewItem>
    <reviewItem>
      <errorID>35439722-2973-488d-a3cd-3a9bf09e6471</errorID>
      <errorWord>：</errorWord>
      <group>L1_Format</group>
      <groupName>格式问题</groupName>
      <ability>L2_HalfPunc</ability>
      <abilityName>全半角检查</abilityName>
      <candidateList>
        <item>:</item>
      </candidateList>
      <explain>文本全半角错误。</explain>
      <paraID> F9B8769</paraID>
      <start>4</start>
      <end>5</end>
      <status>unmodified</status>
      <modifiedWord/>
      <trackRevisions>false</trackRevisions>
    </reviewItem>
    <reviewItem>
      <errorID>1143e8e7-644e-4d77-8121-49a2ae24e8c4</errorID>
      <errorWord>(</errorWord>
      <group>L1_Format</group>
      <groupName>格式问题</groupName>
      <ability>L2_HalfPunc</ability>
      <abilityName>全半角检查</abilityName>
      <candidateList>
        <item>（</item>
      </candidateList>
      <explain>文本全半角错误。</explain>
      <paraID> F9B8769</paraID>
      <start>12</start>
      <end>13</end>
      <status>unmodified</status>
      <modifiedWord/>
      <trackRevisions>false</trackRevisions>
    </reviewItem>
    <reviewItem>
      <errorID>5cc35acd-87fb-4e32-ae98-69b2be2e411f</errorID>
      <errorWord>)</errorWord>
      <group>L1_Format</group>
      <groupName>格式问题</groupName>
      <ability>L2_HalfPunc</ability>
      <abilityName>全半角检查</abilityName>
      <candidateList>
        <item>）</item>
      </candidateList>
      <explain>文本全半角错误。</explain>
      <paraID> F9B8769</paraID>
      <start>17</start>
      <end>18</end>
      <status>unmodified</status>
      <modifiedWord/>
      <trackRevisions>false</trackRevisions>
    </reviewItem>
    <reviewItem>
      <errorID>3fa230fa-5375-41d5-bbd0-1f837ebd57d2</errorID>
      <errorWord>(</errorWord>
      <group>L1_Format</group>
      <groupName>格式问题</groupName>
      <ability>L2_HalfPunc</ability>
      <abilityName>全半角检查</abilityName>
      <candidateList>
        <item>（</item>
      </candidateList>
      <explain>文本全半角错误。</explain>
      <paraID>72BC4F97</paraID>
      <start>14</start>
      <end>15</end>
      <status>unmodified</status>
      <modifiedWord/>
      <trackRevisions>false</trackRevisions>
    </reviewItem>
    <reviewItem>
      <errorID>191fbb48-e406-495a-bcca-2e77392db6a9</errorID>
      <errorWord>)</errorWord>
      <group>L1_Format</group>
      <groupName>格式问题</groupName>
      <ability>L2_HalfPunc</ability>
      <abilityName>全半角检查</abilityName>
      <candidateList>
        <item>）</item>
      </candidateList>
      <explain>文本全半角错误。</explain>
      <paraID>72BC4F97</paraID>
      <start>19</start>
      <end>20</end>
      <status>unmodified</status>
      <modifiedWord/>
      <trackRevisions>false</trackRevisions>
    </reviewItem>
    <reviewItem>
      <errorID>93e3b3bb-855c-49ab-9bef-7aedd9772318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761C5B3B</paraID>
      <start>0</start>
      <end>2</end>
      <status>unmodified</status>
      <modifiedWord/>
      <trackRevisions>false</trackRevisions>
    </reviewItem>
    <reviewItem>
      <errorID>f332cc35-8753-4745-8ce3-d8add2eed716</errorID>
      <errorWord>(</errorWord>
      <group>L1_Format</group>
      <groupName>格式问题</groupName>
      <ability>L2_HalfPunc</ability>
      <abilityName>全半角检查</abilityName>
      <candidateList>
        <item>（</item>
      </candidateList>
      <explain>文本全半角错误。</explain>
      <paraID>4DCD445A</paraID>
      <start>13</start>
      <end>14</end>
      <status>unmodified</status>
      <modifiedWord/>
      <trackRevisions>false</trackRevisions>
    </reviewItem>
    <reviewItem>
      <errorID>0c01f88b-2663-4f96-a222-9729197ae4ed</errorID>
      <errorWord>)</errorWord>
      <group>L1_Format</group>
      <groupName>格式问题</groupName>
      <ability>L2_HalfPunc</ability>
      <abilityName>全半角检查</abilityName>
      <candidateList>
        <item>）</item>
      </candidateList>
      <explain>文本全半角错误。</explain>
      <paraID>4DCD445A</paraID>
      <start>18</start>
      <end>19</end>
      <status>unmodified</status>
      <modifiedWord/>
      <trackRevisions>false</trackRevisions>
    </reviewItem>
    <reviewItem>
      <errorID>6f1aef9b-f5f4-49fa-9e1d-21e3ae86f0b9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5CB42557</paraID>
      <start>0</start>
      <end>2</end>
      <status>unmodified</status>
      <modifiedWord/>
      <trackRevisions>false</trackRevisions>
    </reviewItem>
    <reviewItem>
      <errorID>a92f85c4-1731-48da-96b0-f0b8e65e1291</errorID>
      <errorWord>(</errorWord>
      <group>L1_Format</group>
      <groupName>格式问题</groupName>
      <ability>L2_HalfPunc</ability>
      <abilityName>全半角检查</abilityName>
      <candidateList>
        <item>（</item>
      </candidateList>
      <explain>文本全半角错误。</explain>
      <paraID>63CF8541</paraID>
      <start>13</start>
      <end>14</end>
      <status>unmodified</status>
      <modifiedWord/>
      <trackRevisions>false</trackRevisions>
    </reviewItem>
    <reviewItem>
      <errorID>28e2f226-0498-4449-b079-4efe50b4b21b</errorID>
      <errorWord>)</errorWord>
      <group>L1_Format</group>
      <groupName>格式问题</groupName>
      <ability>L2_HalfPunc</ability>
      <abilityName>全半角检查</abilityName>
      <candidateList>
        <item>）</item>
      </candidateList>
      <explain>文本全半角错误。</explain>
      <paraID>63CF8541</paraID>
      <start>18</start>
      <end>19</end>
      <status>unmodified</status>
      <modifiedWord/>
      <trackRevisions>false</trackRevisions>
    </reviewItem>
    <reviewItem>
      <errorID>fac6825c-f916-4fe9-bd1e-cb9057ddb0e2</errorID>
      <errorWord>：</errorWord>
      <group>L1_Format</group>
      <groupName>格式问题</groupName>
      <ability>L2_HalfPunc</ability>
      <abilityName>全半角检查</abilityName>
      <candidateList>
        <item>:</item>
      </candidateList>
      <explain>文本全半角错误。</explain>
      <paraID>698D1764</paraID>
      <start>4</start>
      <end>5</end>
      <status>unmodified</status>
      <modifiedWord/>
      <trackRevisions>false</trackRevisions>
    </reviewItem>
    <reviewItem>
      <errorID>af64d4f6-0157-4f6a-926a-a98d7254cc39</errorID>
      <errorWord>～</errorWord>
      <group>L1_Format</group>
      <groupName>格式问题</groupName>
      <ability>L2_HalfPunc</ability>
      <abilityName>全半角检查</abilityName>
      <candidateList>
        <item>~</item>
      </candidateList>
      <explain>文本全半角错误。</explain>
      <paraID>60DDC89E</paraID>
      <start>2</start>
      <end>3</end>
      <status>unmodified</status>
      <modifiedWord/>
      <trackRevisions>false</trackRevisions>
    </reviewItem>
    <reviewItem>
      <errorID>b1448f41-4146-4d56-b4cf-69358e1781ed</errorID>
      <errorWord>（</errorWord>
      <group>L1_Format</group>
      <groupName>格式问题</groupName>
      <ability>L2_HalfPunc</ability>
      <abilityName>全半角检查</abilityName>
      <candidateList>
        <item>(</item>
      </candidateList>
      <explain>文本全半角错误。</explain>
      <paraID>37663515</paraID>
      <start>0</start>
      <end>1</end>
      <status>unmodified</status>
      <modifiedWord/>
      <trackRevisions>false</trackRevisions>
    </reviewItem>
    <reviewItem>
      <errorID>3b7e552b-03f2-49f4-96ee-f8f459ced017</errorID>
      <errorWord>～</errorWord>
      <group>L1_Format</group>
      <groupName>格式问题</groupName>
      <ability>L2_HalfPunc</ability>
      <abilityName>全半角检查</abilityName>
      <candidateList>
        <item>~</item>
      </candidateList>
      <explain>文本全半角错误。</explain>
      <paraID>37663515</paraID>
      <start>3</start>
      <end>4</end>
      <status>unmodified</status>
      <modifiedWord/>
      <trackRevisions>false</trackRevisions>
    </reviewItem>
    <reviewItem>
      <errorID>2bbda9e6-5715-4e5e-979e-702278895e10</errorID>
      <errorWord>）</errorWord>
      <group>L1_Format</group>
      <groupName>格式问题</groupName>
      <ability>L2_HalfPunc</ability>
      <abilityName>全半角检查</abilityName>
      <candidateList>
        <item>)</item>
      </candidateList>
      <explain>文本全半角错误。</explain>
      <paraID>37663515</paraID>
      <start>9</start>
      <end>10</end>
      <status>unmodified</status>
      <modifiedWord/>
      <trackRevisions>false</trackRevisions>
    </reviewItem>
    <reviewItem>
      <errorID>5215c9c9-eb84-4194-a3a1-0f1e60226026</errorID>
      <errorWord>：</errorWord>
      <group>L1_Format</group>
      <groupName>格式问题</groupName>
      <ability>L2_HalfPunc</ability>
      <abilityName>全半角检查</abilityName>
      <candidateList>
        <item>:</item>
      </candidateList>
      <explain>文本全半角错误。</explain>
      <paraID>25B9A4EA</paraID>
      <start>4</start>
      <end>5</end>
      <status>unmodified</status>
      <modifiedWord/>
      <trackRevisions>false</trackRevisions>
    </reviewItem>
    <reviewItem>
      <errorID>2c16a57d-2073-480d-b4de-ddd406b9033b</errorID>
      <errorWord>(</errorWord>
      <group>L1_Format</group>
      <groupName>格式问题</groupName>
      <ability>L2_HalfPunc</ability>
      <abilityName>全半角检查</abilityName>
      <candidateList>
        <item>（</item>
      </candidateList>
      <explain>文本全半角错误。</explain>
      <paraID>25B9A4EA</paraID>
      <start>14</start>
      <end>15</end>
      <status>unmodified</status>
      <modifiedWord/>
      <trackRevisions>false</trackRevisions>
    </reviewItem>
    <reviewItem>
      <errorID>85a334cc-99d2-46e2-8551-478025a08b10</errorID>
      <errorWord>)</errorWord>
      <group>L1_Format</group>
      <groupName>格式问题</groupName>
      <ability>L2_HalfPunc</ability>
      <abilityName>全半角检查</abilityName>
      <candidateList>
        <item>）</item>
      </candidateList>
      <explain>文本全半角错误。</explain>
      <paraID>25B9A4EA</paraID>
      <start>19</start>
      <end>20</end>
      <status>unmodified</status>
      <modifiedWord/>
      <trackRevisions>false</trackRevisions>
    </reviewItem>
    <reviewItem>
      <errorID>32da3769-37e9-41b7-b51b-b0dc282b7319</errorID>
      <errorWord>：</errorWord>
      <group>L1_Format</group>
      <groupName>格式问题</groupName>
      <ability>L2_HalfPunc</ability>
      <abilityName>全半角检查</abilityName>
      <candidateList>
        <item>:</item>
      </candidateList>
      <explain>文本全半角错误。</explain>
      <paraID>4B1820A5</paraID>
      <start>4</start>
      <end>5</end>
      <status>unmodified</status>
      <modifiedWord/>
      <trackRevisions>false</trackRevisions>
    </reviewItem>
    <reviewItem>
      <errorID>9c003d85-1f18-4b32-b001-d497eb7a70d2</errorID>
      <errorWord>(</errorWord>
      <group>L1_Format</group>
      <groupName>格式问题</groupName>
      <ability>L2_HalfPunc</ability>
      <abilityName>全半角检查</abilityName>
      <candidateList>
        <item>（</item>
      </candidateList>
      <explain>文本全半角错误。</explain>
      <paraID>4B1820A5</paraID>
      <start>14</start>
      <end>15</end>
      <status>unmodified</status>
      <modifiedWord/>
      <trackRevisions>false</trackRevisions>
    </reviewItem>
    <reviewItem>
      <errorID>27129a3e-822d-44b4-99c9-91c9cb9be680</errorID>
      <errorWord>)</errorWord>
      <group>L1_Format</group>
      <groupName>格式问题</groupName>
      <ability>L2_HalfPunc</ability>
      <abilityName>全半角检查</abilityName>
      <candidateList>
        <item>）</item>
      </candidateList>
      <explain>文本全半角错误。</explain>
      <paraID>4B1820A5</paraID>
      <start>19</start>
      <end>20</end>
      <status>unmodified</status>
      <modifiedWord/>
      <trackRevisions>false</trackRevisions>
    </reviewItem>
    <reviewItem>
      <errorID>9c7e617e-fd64-43bc-9683-a8b5f239c03f</errorID>
      <errorWord>：</errorWord>
      <group>L1_Format</group>
      <groupName>格式问题</groupName>
      <ability>L2_HalfPunc</ability>
      <abilityName>全半角检查</abilityName>
      <candidateList>
        <item>:</item>
      </candidateList>
      <explain>文本全半角错误。</explain>
      <paraID>32522927</paraID>
      <start>4</start>
      <end>5</end>
      <status>unmodified</status>
      <modifiedWord/>
      <trackRevisions>false</trackRevisions>
    </reviewItem>
    <reviewItem>
      <errorID>f2041673-87e6-4db9-aa75-afb4226b4b76</errorID>
      <errorWord>(</errorWord>
      <group>L1_Format</group>
      <groupName>格式问题</groupName>
      <ability>L2_HalfPunc</ability>
      <abilityName>全半角检查</abilityName>
      <candidateList>
        <item>（</item>
      </candidateList>
      <explain>文本全半角错误。</explain>
      <paraID>32522927</paraID>
      <start>14</start>
      <end>15</end>
      <status>unmodified</status>
      <modifiedWord/>
      <trackRevisions>false</trackRevisions>
    </reviewItem>
    <reviewItem>
      <errorID>4d104dc4-f559-43fd-91cf-a81dbcd020cf</errorID>
      <errorWord>)</errorWord>
      <group>L1_Format</group>
      <groupName>格式问题</groupName>
      <ability>L2_HalfPunc</ability>
      <abilityName>全半角检查</abilityName>
      <candidateList>
        <item>）</item>
      </candidateList>
      <explain>文本全半角错误。</explain>
      <paraID>32522927</paraID>
      <start>19</start>
      <end>20</end>
      <status>unmodified</status>
      <modifiedWord/>
      <trackRevisions>false</trackRevisions>
    </reviewItem>
    <reviewItem>
      <errorID>437d0b9f-5ccf-4632-bed7-fa9d7fae0420</errorID>
      <errorWord>(</errorWord>
      <group>L1_Format</group>
      <groupName>格式问题</groupName>
      <ability>L2_HalfPunc</ability>
      <abilityName>全半角检查</abilityName>
      <candidateList>
        <item>（</item>
      </candidateList>
      <explain>文本全半角错误。</explain>
      <paraID>6872DD38</paraID>
      <start>13</start>
      <end>14</end>
      <status>unmodified</status>
      <modifiedWord/>
      <trackRevisions>false</trackRevisions>
    </reviewItem>
    <reviewItem>
      <errorID>9c3a0ae0-2711-4a5b-975a-b9d3869a85a1</errorID>
      <errorWord>)</errorWord>
      <group>L1_Format</group>
      <groupName>格式问题</groupName>
      <ability>L2_HalfPunc</ability>
      <abilityName>全半角检查</abilityName>
      <candidateList>
        <item>）</item>
      </candidateList>
      <explain>文本全半角错误。</explain>
      <paraID>6872DD38</paraID>
      <start>18</start>
      <end>19</end>
      <status>unmodified</status>
      <modifiedWord/>
      <trackRevisions>false</trackRevisions>
    </reviewItem>
    <reviewItem>
      <errorID>93534230-502d-4350-bb0c-e3cc4f15fe0e</errorID>
      <errorWord>：</errorWord>
      <group>L1_Format</group>
      <groupName>格式问题</groupName>
      <ability>L2_HalfPunc</ability>
      <abilityName>全半角检查</abilityName>
      <candidateList>
        <item>:</item>
      </candidateList>
      <explain>文本全半角错误。</explain>
      <paraID>7F7BE859</paraID>
      <start>4</start>
      <end>5</end>
      <status>unmodified</status>
      <modifiedWord/>
      <trackRevisions>false</trackRevisions>
    </reviewItem>
    <reviewItem>
      <errorID>35c7774f-93d6-46fe-a32e-dfe1c985dc68</errorID>
      <errorWord>(</errorWord>
      <group>L1_Format</group>
      <groupName>格式问题</groupName>
      <ability>L2_HalfPunc</ability>
      <abilityName>全半角检查</abilityName>
      <candidateList>
        <item>（</item>
      </candidateList>
      <explain>文本全半角错误。</explain>
      <paraID>7F7BE859</paraID>
      <start>13</start>
      <end>14</end>
      <status>unmodified</status>
      <modifiedWord/>
      <trackRevisions>false</trackRevisions>
    </reviewItem>
    <reviewItem>
      <errorID>98b07e1b-67d7-40f4-b201-24ef5bc7acc9</errorID>
      <errorWord>)</errorWord>
      <group>L1_Format</group>
      <groupName>格式问题</groupName>
      <ability>L2_HalfPunc</ability>
      <abilityName>全半角检查</abilityName>
      <candidateList>
        <item>）</item>
      </candidateList>
      <explain>文本全半角错误。</explain>
      <paraID>7F7BE859</paraID>
      <start>18</start>
      <end>19</end>
      <status>unmodified</status>
      <modifiedWord/>
      <trackRevisions>false</trackRevisions>
    </reviewItem>
    <reviewItem>
      <errorID>3bc36d43-9cb8-4987-adb3-d756bd155937</errorID>
      <errorWord>：</errorWord>
      <group>L1_Format</group>
      <groupName>格式问题</groupName>
      <ability>L2_HalfPunc</ability>
      <abilityName>全半角检查</abilityName>
      <candidateList>
        <item>:</item>
      </candidateList>
      <explain>文本全半角错误。</explain>
      <paraID>32D6DCCD</paraID>
      <start>4</start>
      <end>5</end>
      <status>unmodified</status>
      <modifiedWord/>
      <trackRevisions>false</trackRevisions>
    </reviewItem>
    <reviewItem>
      <errorID>801b4d19-2112-459f-85c4-e850ed501d65</errorID>
      <errorWord>(</errorWord>
      <group>L1_Format</group>
      <groupName>格式问题</groupName>
      <ability>L2_HalfPunc</ability>
      <abilityName>全半角检查</abilityName>
      <candidateList>
        <item>（</item>
      </candidateList>
      <explain>文本全半角错误。</explain>
      <paraID>32D6DCCD</paraID>
      <start>12</start>
      <end>13</end>
      <status>unmodified</status>
      <modifiedWord/>
      <trackRevisions>false</trackRevisions>
    </reviewItem>
    <reviewItem>
      <errorID>3af58cfd-9c23-407f-9a9e-d2f7c33322d8</errorID>
      <errorWord>)</errorWord>
      <group>L1_Format</group>
      <groupName>格式问题</groupName>
      <ability>L2_HalfPunc</ability>
      <abilityName>全半角检查</abilityName>
      <candidateList>
        <item>）</item>
      </candidateList>
      <explain>文本全半角错误。</explain>
      <paraID>32D6DCCD</paraID>
      <start>17</start>
      <end>18</end>
      <status>unmodified</status>
      <modifiedWord/>
      <trackRevisions>false</trackRevisions>
    </reviewItem>
    <reviewItem>
      <errorID>6630d1a4-62d0-46eb-9f97-6bd8b6a4e1ff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1D845998</paraID>
      <start>0</start>
      <end>2</end>
      <status>unmodified</status>
      <modifiedWord/>
      <trackRevisions>false</trackRevisions>
    </reviewItem>
    <reviewItem>
      <errorID>4622843a-786a-4be7-bb39-564c2e0c693e</errorID>
      <errorWord>：</errorWord>
      <group>L1_Format</group>
      <groupName>格式问题</groupName>
      <ability>L2_HalfPunc</ability>
      <abilityName>全半角检查</abilityName>
      <candidateList>
        <item>:</item>
      </candidateList>
      <explain>文本全半角错误。</explain>
      <paraID>387543BD</paraID>
      <start>4</start>
      <end>5</end>
      <status>unmodified</status>
      <modifiedWord/>
      <trackRevisions>false</trackRevisions>
    </reviewItem>
    <reviewItem>
      <errorID>58d37409-eb67-4db8-9dea-d6f0c5dc1233</errorID>
      <errorWord>(</errorWord>
      <group>L1_Format</group>
      <groupName>格式问题</groupName>
      <ability>L2_HalfPunc</ability>
      <abilityName>全半角检查</abilityName>
      <candidateList>
        <item>（</item>
      </candidateList>
      <explain>文本全半角错误。</explain>
      <paraID>387543BD</paraID>
      <start>12</start>
      <end>13</end>
      <status>unmodified</status>
      <modifiedWord/>
      <trackRevisions>false</trackRevisions>
    </reviewItem>
    <reviewItem>
      <errorID>a17f500b-79f9-4c20-b6da-1b7d3fade4b7</errorID>
      <errorWord>)</errorWord>
      <group>L1_Format</group>
      <groupName>格式问题</groupName>
      <ability>L2_HalfPunc</ability>
      <abilityName>全半角检查</abilityName>
      <candidateList>
        <item>）</item>
      </candidateList>
      <explain>文本全半角错误。</explain>
      <paraID>387543BD</paraID>
      <start>17</start>
      <end>18</end>
      <status>unmodified</status>
      <modifiedWord/>
      <trackRevisions>false</trackRevisions>
    </reviewItem>
    <reviewItem>
      <errorID>21a4ad71-7596-458d-965e-514496e983b0</errorID>
      <errorWord>(</errorWord>
      <group>L1_Format</group>
      <groupName>格式问题</groupName>
      <ability>L2_HalfPunc</ability>
      <abilityName>全半角检查</abilityName>
      <candidateList>
        <item>（</item>
      </candidateList>
      <explain>文本全半角错误。</explain>
      <paraID>2566FF96</paraID>
      <start>13</start>
      <end>14</end>
      <status>unmodified</status>
      <modifiedWord/>
      <trackRevisions>false</trackRevisions>
    </reviewItem>
    <reviewItem>
      <errorID>e0aa2193-be26-4ec0-b51c-2b6743c8850a</errorID>
      <errorWord>)</errorWord>
      <group>L1_Format</group>
      <groupName>格式问题</groupName>
      <ability>L2_HalfPunc</ability>
      <abilityName>全半角检查</abilityName>
      <candidateList>
        <item>）</item>
      </candidateList>
      <explain>文本全半角错误。</explain>
      <paraID>2566FF96</paraID>
      <start>18</start>
      <end>19</end>
      <status>unmodified</status>
      <modifiedWord/>
      <trackRevisions>false</trackRevisions>
    </reviewItem>
    <reviewItem>
      <errorID>c525809c-3980-4c22-a72c-4902aaa63adb</errorID>
      <errorWord>由</errorWord>
      <group>L1_Word</group>
      <groupName>字词问题</groupName>
      <ability>L2_Typo</ability>
      <abilityName>字词错误</abilityName>
      <candidateList>
        <item>由于</item>
      </candidateList>
      <explain>❶〈介〉表示原因或理由：～老师傅的耐心教导，他很快就掌握了这门技术。❷〈连〉表示原因，多与“所以”、“因此”等配合：～他工作成绩显著，因此受到了领导的表扬。</explain>
      <paraID>53799F92</paraID>
      <start>16</start>
      <end>17</end>
      <status>unmodified</status>
      <modifiedWord/>
      <trackRevisions>false</trackRevisions>
    </reviewItem>
    <reviewItem>
      <errorID>118b397f-d65e-4e9a-9018-406cedcb3404</errorID>
      <errorWord>泄露</errorWord>
      <group>L1_Word</group>
      <groupName>字词问题</groupName>
      <ability>L2_Typo</ability>
      <abilityName>字词错误</abilityName>
      <candidateList>
        <item>泄漏</item>
      </candidateList>
      <explain>存在发音相同字词的误用。</explain>
      <paraID>6A31A148</paraID>
      <start>62</start>
      <end>64</end>
      <status>unmodified</status>
      <modifiedWord/>
      <trackRevisions>false</trackRevisions>
    </reviewItem>
    <reviewItem>
      <errorID>dd75711d-2ab0-4810-90aa-ee9ef0008cd0</errorID>
      <errorWord>泄露</errorWord>
      <group>L1_Word</group>
      <groupName>字词问题</groupName>
      <ability>L2_Typo</ability>
      <abilityName>字词错误</abilityName>
      <candidateList>
        <item>泄漏</item>
      </candidateList>
      <explain/>
      <paraID>6A31A148</paraID>
      <start>98</start>
      <end>100</end>
      <status>unmodified</status>
      <modifiedWord/>
      <trackRevisions>false</trackRevisions>
    </reviewItem>
    <reviewItem>
      <errorID>b019eeb8-ee06-47d9-9e36-32280340ba57</errorID>
      <errorWord>产</errorWord>
      <group>L1_Word</group>
      <groupName>字词问题</groupName>
      <ability>L2_Typo</ability>
      <abilityName>字词错误</abilityName>
      <candidateList>
        <item>产生</item>
      </candidateList>
      <explain/>
      <paraID>40DB736A</paraID>
      <start>130</start>
      <end>131</end>
      <status>unmodified</status>
      <modifiedWord/>
      <trackRevisions>false</trackRevisions>
    </reviewItem>
    <reviewItem>
      <errorID>d0b74ca2-90eb-47ef-bdc5-0b8f345b48f1</errorID>
      <errorWord>固废物</errorWord>
      <group>L1_Word</group>
      <groupName>字词问题</groupName>
      <ability>L2_Typo</ability>
      <abilityName>字词错误</abilityName>
      <candidateList>
        <item>固体废物</item>
      </candidateList>
      <explain/>
      <paraID>5B4E482A</paraID>
      <start>2</start>
      <end>5</end>
      <status>unmodified</status>
      <modifiedWord/>
      <trackRevisions>false</trackRevisions>
    </reviewItem>
    <reviewItem>
      <errorID>78ddd11b-87a2-4ee9-8edf-b90da31094fb</errorID>
      <errorWord>包括了</errorWord>
      <group>L1_Word</group>
      <groupName>字词问题</groupName>
      <ability>L2_Typo</ability>
      <abilityName>字词错误</abilityName>
      <candidateList>
        <item>包括</item>
      </candidateList>
      <explain/>
      <paraID>41E8D99B</paraID>
      <start>24</start>
      <end>27</end>
      <status>unmodified</status>
      <modifiedWord/>
      <trackRevisions>false</trackRevisions>
    </reviewItem>
    <reviewItem>
      <errorID>f42bc0d4-a6a0-41f9-bd11-e24417ec47f0</errorID>
      <errorWord>水</errorWord>
      <group>L1_Word</group>
      <groupName>字词问题</groupName>
      <ability>L2_Typo</ability>
      <abilityName>字词错误</abilityName>
      <candidateList>
        <item>水环</item>
      </candidateList>
      <explain/>
      <paraID>10CF171E</paraID>
      <start>27</start>
      <end>28</end>
      <status>unmodified</status>
      <modifiedWord/>
      <trackRevisions>false</trackRevisions>
    </reviewItem>
    <reviewItem>
      <errorID>cc71455f-a160-4081-a52a-fee2901c1883</errorID>
      <errorWord>~</errorWord>
      <group>L1_Format</group>
      <groupName>格式问题</groupName>
      <ability>L2_HalfPunc</ability>
      <abilityName>全半角检查</abilityName>
      <candidateList>
        <item>～</item>
      </candidateList>
      <explain>文本全半角错误。</explain>
      <paraID> 7E904BD</paraID>
      <start>1</start>
      <end>2</end>
      <status>unmodified</status>
      <modifiedWord/>
      <trackRevisions>false</trackRevisions>
    </reviewItem>
    <reviewItem>
      <errorID>e577c1a7-17d1-4372-a448-f09cc88b1bc9</errorID>
      <errorWord>~</errorWord>
      <group>L1_Format</group>
      <groupName>格式问题</groupName>
      <ability>L2_HalfPunc</ability>
      <abilityName>全半角检查</abilityName>
      <candidateList>
        <item>～</item>
      </candidateList>
      <explain>文本全半角错误。</explain>
      <paraID>11678621</paraID>
      <start>1</start>
      <end>2</end>
      <status>unmodified</status>
      <modifiedWord/>
      <trackRevisions>false</trackRevisions>
    </reviewItem>
    <reviewItem>
      <errorID>59646915-1b25-4a63-a66b-44eff351b5c8</errorID>
      <errorWord>~</errorWord>
      <group>L1_Format</group>
      <groupName>格式问题</groupName>
      <ability>L2_HalfPunc</ability>
      <abilityName>全半角检查</abilityName>
      <candidateList>
        <item>～</item>
      </candidateList>
      <explain>文本全半角错误。</explain>
      <paraID>1E8D8C71</paraID>
      <start>1</start>
      <end>2</end>
      <status>unmodified</status>
      <modifiedWord/>
      <trackRevisions>false</trackRevisions>
    </reviewItem>
    <reviewItem>
      <errorID>c7cc12b3-0319-467a-be4b-f5c9fceba678</errorID>
      <errorWord>~</errorWord>
      <group>L1_Format</group>
      <groupName>格式问题</groupName>
      <ability>L2_HalfPunc</ability>
      <abilityName>全半角检查</abilityName>
      <candidateList>
        <item>～</item>
      </candidateList>
      <explain>文本全半角错误。</explain>
      <paraID>37517E61</paraID>
      <start>1</start>
      <end>2</end>
      <status>unmodified</status>
      <modifiedWord/>
      <trackRevisions>false</trackRevisions>
    </reviewItem>
    <reviewItem>
      <errorID>6daee99d-8241-4540-bbb2-d8b2ccbe4a99</errorID>
      <errorWord>~</errorWord>
      <group>L1_Format</group>
      <groupName>格式问题</groupName>
      <ability>L2_HalfPunc</ability>
      <abilityName>全半角检查</abilityName>
      <candidateList>
        <item>～</item>
      </candidateList>
      <explain>文本全半角错误。</explain>
      <paraID>238F931F</paraID>
      <start>1</start>
      <end>2</end>
      <status>unmodified</status>
      <modifiedWord/>
      <trackRevisions>false</trackRevisions>
    </reviewItem>
    <reviewItem>
      <errorID>3ce517ec-e024-429f-b2c2-3c11dfe45198</errorID>
      <errorWord>~</errorWord>
      <group>L1_Format</group>
      <groupName>格式问题</groupName>
      <ability>L2_HalfPunc</ability>
      <abilityName>全半角检查</abilityName>
      <candidateList>
        <item>～</item>
      </candidateList>
      <explain>文本全半角错误。</explain>
      <paraID>7CE08F39</paraID>
      <start>1</start>
      <end>2</end>
      <status>unmodified</status>
      <modifiedWord/>
      <trackRevisions>false</trackRevisions>
    </reviewItem>
    <reviewItem>
      <errorID>830cc08c-6065-4447-9038-ad07cd35c7b3</errorID>
      <errorWord>~</errorWord>
      <group>L1_Format</group>
      <groupName>格式问题</groupName>
      <ability>L2_HalfPunc</ability>
      <abilityName>全半角检查</abilityName>
      <candidateList>
        <item>～</item>
      </candidateList>
      <explain>文本全半角错误。</explain>
      <paraID>4DE38AA6</paraID>
      <start>1</start>
      <end>2</end>
      <status>unmodified</status>
      <modifiedWord/>
      <trackRevisions>false</trackRevisions>
    </reviewItem>
    <reviewItem>
      <errorID>0a20ae4f-a0f6-45de-973b-9c929270e14b</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3792812A</paraID>
      <start>31</start>
      <end>33</end>
      <status>unmodified</status>
      <modifiedWord/>
      <trackRevisions>false</trackRevisions>
    </reviewItem>
    <reviewItem>
      <errorID>a98d2b36-6913-459f-be3d-32fd9df81915</errorID>
      <errorWord>突于</errorWord>
      <group>L1_Word</group>
      <groupName>字词问题</groupName>
      <ability>L2_Typo</ability>
      <abilityName>字词错误</abilityName>
      <candidateList>
        <item>突遇</item>
      </candidateList>
      <explain/>
      <paraID>3792812A</paraID>
      <start>53</start>
      <end>55</end>
      <status>unmodified</status>
      <modifiedWord/>
      <trackRevisions>false</trackRevisions>
    </reviewItem>
    <reviewItem>
      <errorID>13eb7850-c320-484b-8bf9-37fd35745c3d</errorID>
      <errorWord>，总</errorWord>
      <group>L1_Word</group>
      <groupName>字词问题</groupName>
      <ability>L2_Typo</ability>
      <abilityName>字词错误</abilityName>
      <candidateList>
        <item>，</item>
      </candidateList>
      <explain/>
      <paraID>3792812A</paraID>
      <start>303</start>
      <end>305</end>
      <status>unmodified</status>
      <modifiedWord/>
      <trackRevisions>false</trackRevisions>
    </reviewItem>
    <reviewItem>
      <errorID>6f0cda04-7c6e-43d0-b357-40a1979ec79e</errorID>
      <errorWord>其它</errorWord>
      <group>L1_Word</group>
      <groupName>字词问题</groupName>
      <ability>L2_Alias</ability>
      <abilityName>也作/曾用词</abilityName>
      <candidateList>
        <item>其他</item>
      </candidateList>
      <explain>词汇[其它]为不规范表述或旧称，其规范书面表述为[其他]。</explain>
      <paraID>2B88A84D</paraID>
      <start>142</start>
      <end>144</end>
      <status>modified</status>
      <modifiedWord>其他</modifiedWord>
      <trackRevisions>false</trackRevisions>
    </reviewItem>
    <reviewItem>
      <errorID>67a9251d-81cb-4076-85dc-3fb3f0b3dfab</errorID>
      <errorWord>了望</errorWord>
      <group>L1_Word</group>
      <groupName>字词问题</groupName>
      <ability>L2_Typo</ability>
      <abilityName>字词错误</abilityName>
      <candidateList>
        <item>瞭望</item>
      </candidateList>
      <explain>〈动〉❶登高远望：极目～，海天茫茫。❷特指从高处或远处监视敌情：～哨｜海防战士～着广阔的海面。</explain>
      <paraID>2B88A84D</paraID>
      <start>175</start>
      <end>177</end>
      <status>modified</status>
      <modifiedWord>瞭望</modifiedWord>
      <trackRevisions>false</trackRevisions>
    </reviewItem>
    <reviewItem>
      <errorID>fe3bd6eb-1df7-4e8d-a694-c18b6a9c7d31</errorID>
      <errorWord>了望</errorWord>
      <group>L1_Word</group>
      <groupName>字词问题</groupName>
      <ability>L2_Typo</ability>
      <abilityName>字词错误</abilityName>
      <candidateList>
        <item>瞭望</item>
      </candidateList>
      <explain>〈动〉❶登高远望：极目～，海天茫茫。❷特指从高处或远处监视敌情：～哨｜海防战士～着广阔的海面。</explain>
      <paraID>2B88A84D</paraID>
      <start>278</start>
      <end>280</end>
      <status>modified</status>
      <modifiedWord>瞭望</modifiedWord>
      <trackRevisions>false</trackRevisions>
    </reviewItem>
    <reviewItem>
      <errorID>1efc2e21-dbd4-4f52-bad8-c133fc60dccc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34AD68F7</paraID>
      <start>4</start>
      <end>5</end>
      <status>unmodified</status>
      <modifiedWord/>
      <trackRevisions>false</trackRevisions>
    </reviewItem>
    <reviewItem>
      <errorID>92bc7aec-f3dc-4469-bc1d-78ac6a48bc81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4A9F9CE9</paraID>
      <start>11</start>
      <end>12</end>
      <status>unmodified</status>
      <modifiedWord/>
      <trackRevisions>false</trackRevisions>
    </reviewItem>
    <reviewItem>
      <errorID>93367a89-3adc-4d49-bee1-0a7f12cf3e7c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68536983</paraID>
      <start>4</start>
      <end>5</end>
      <status>unmodified</status>
      <modifiedWord/>
      <trackRevisions>false</trackRevisions>
    </reviewItem>
    <reviewItem>
      <errorID>d8621a9b-fc83-43bc-8c09-8d10e688aa57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6DA85DBA</paraID>
      <start>6</start>
      <end>7</end>
      <status>unmodified</status>
      <modifiedWord/>
      <trackRevisions>false</trackRevisions>
    </reviewItem>
    <reviewItem>
      <errorID>2d3af2bf-1d81-42d0-a792-8bccf44db20c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6DA85DBA</paraID>
      <start>53</start>
      <end>54</end>
      <status>unmodified</status>
      <modifiedWord/>
      <trackRevisions>false</trackRevisions>
    </reviewItem>
    <reviewItem>
      <errorID>0b3edc16-0aaa-449d-9649-96a33f7ad41a</errorID>
      <errorWord>程</errorWord>
      <group>L1_Word</group>
      <groupName>字词问题</groupName>
      <ability>L2_Typo</ability>
      <abilityName>字词错误</abilityName>
      <candidateList>
        <item>程中</item>
      </candidateList>
      <explain/>
      <paraID>51007C3C</paraID>
      <start>105</start>
      <end>106</end>
      <status>unmodified</status>
      <modifiedWord/>
      <trackRevisions>false</trackRevisions>
    </reviewItem>
    <reviewItem>
      <errorID>f1df511e-79d2-44b5-b15d-c32e7780d961</errorID>
      <errorWord>概况</errorWord>
      <group>L1_Word</group>
      <groupName>字词问题</groupName>
      <ability>L2_Typo</ability>
      <abilityName>字词错误</abilityName>
      <candidateList>
        <item>概率</item>
      </candidateList>
      <explain/>
      <paraID>51007C3C</paraID>
      <start>170</start>
      <end>172</end>
      <status>unmodified</status>
      <modifiedWord/>
      <trackRevisions>false</trackRevisions>
    </reviewItem>
    <reviewItem>
      <errorID>252dc142-2192-4b44-b445-b1cb5e38ffd2</errorID>
      <errorWord>硫磺</errorWord>
      <group>L1_Word</group>
      <groupName>字词问题</groupName>
      <ability>L2_Typo</ability>
      <abilityName>字词错误</abilityName>
      <candidateList>
        <item>硫黄</item>
      </candidateList>
      <explain/>
      <paraID>196C3950</paraID>
      <start>38</start>
      <end>40</end>
      <status>unmodified</status>
      <modifiedWord/>
      <trackRevisions>false</trackRevisions>
    </reviewItem>
    <reviewItem>
      <errorID>40a4e740-8a4d-4c2e-b1f7-010931647dfb</errorID>
      <errorWord>溶与</errorWord>
      <group>L1_Word</group>
      <groupName>字词问题</groupName>
      <ability>L2_Typo</ability>
      <abilityName>字词错误</abilityName>
      <candidateList>
        <item>溶于</item>
      </candidateList>
      <explain/>
      <paraID>196C3950</paraID>
      <start>118</start>
      <end>120</end>
      <status>unmodified</status>
      <modifiedWord/>
      <trackRevisions>false</trackRevisions>
    </reviewItem>
    <reviewItem>
      <errorID>697d6063-e6e1-4197-8f0e-202b83efac37</errorID>
      <errorWord>泄露</errorWord>
      <group>L1_Word</group>
      <groupName>字词问题</groupName>
      <ability>L2_Typo</ability>
      <abilityName>字词错误</abilityName>
      <candidateList>
        <item>泄漏</item>
      </candidateList>
      <explain/>
      <paraID>3E10238B</paraID>
      <start>127</start>
      <end>129</end>
      <status>unmodified</status>
      <modifiedWord/>
      <trackRevisions>false</trackRevisions>
    </reviewItem>
    <reviewItem>
      <errorID>e081b4e6-b7fd-47da-b66a-4e647381e06c</errorID>
      <errorWord>，</errorWord>
      <group>L1_Word</group>
      <groupName>字词问题</groupName>
      <ability>L2_Typo</ability>
      <abilityName>字词错误</abilityName>
      <candidateList>
        <item>，在</item>
      </candidateList>
      <explain/>
      <paraID>39526DE9</paraID>
      <start>35</start>
      <end>36</end>
      <status>unmodified</status>
      <modifiedWord/>
      <trackRevisions>false</trackRevisions>
    </reviewItem>
    <reviewItem>
      <errorID>514d43ee-b18c-4c5d-8381-6937a0e93e44</errorID>
      <errorWord>,</errorWord>
      <group>L1_Format</group>
      <groupName>格式问题</groupName>
      <ability>L2_HalfPunc</ability>
      <abilityName>全半角检查</abilityName>
      <candidateList>
        <item>，</item>
      </candidateList>
      <explain>文本全半角错误。</explain>
      <paraID>34EEFF13</paraID>
      <start>178</start>
      <end>179</end>
      <status>unmodified</status>
      <modifiedWord/>
      <trackRevisions>false</trackRevisions>
    </reviewItem>
    <reviewItem>
      <errorID>359f2ca0-6312-4619-82cd-9522f9cb68f1</errorID>
      <errorWord>泄露</errorWord>
      <group>L1_Word</group>
      <groupName>字词问题</groupName>
      <ability>L2_Typo</ability>
      <abilityName>字词错误</abilityName>
      <candidateList>
        <item>泄漏</item>
      </candidateList>
      <explain>存在发音相同字词的误用。</explain>
      <paraID>37FDA021</paraID>
      <start>50</start>
      <end>52</end>
      <status>unmodified</status>
      <modifiedWord/>
      <trackRevisions>false</trackRevisions>
    </reviewItem>
    <reviewItem>
      <errorID>04b3cc0d-c9f1-489b-9f63-baf758f24ee6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4F0AE66B</paraID>
      <start>0</start>
      <end>2</end>
      <status>unmodified</status>
      <modifiedWord/>
      <trackRevisions>false</trackRevisions>
    </reviewItem>
    <reviewItem>
      <errorID>1bb267b6-4b37-46c3-8f82-9439637939a5</errorID>
      <errorWord>5千</errorWord>
      <group>L1_Knowledge</group>
      <groupName>知识性问题</groupName>
      <ability>L2_Knowledge</ability>
      <abilityName>其他知识</abilityName>
      <candidateList>
        <item>5000</item>
      </candidateList>
      <explain/>
      <paraID>730D6D9B</paraID>
      <start>148</start>
      <end>150</end>
      <status>unmodified</status>
      <modifiedWord/>
      <trackRevisions>false</trackRevisions>
    </reviewItem>
    <reviewItem>
      <errorID>ad84e203-f113-449e-94a3-c3f11b665885</errorID>
      <errorWord>）则</errorWord>
      <group>L1_Word</group>
      <groupName>字词问题</groupName>
      <ability>L2_Typo</ability>
      <abilityName>字词错误</abilityName>
      <candidateList>
        <item>）</item>
      </candidateList>
      <explain/>
      <paraID>730D6D9B</paraID>
      <start>178</start>
      <end>180</end>
      <status>unmodified</status>
      <modifiedWord/>
      <trackRevisions>false</trackRevisions>
    </reviewItem>
    <reviewItem>
      <errorID>741b815c-7430-4cae-bbf0-52c1036a7c7c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43D4ECCD</paraID>
      <start>0</start>
      <end>2</end>
      <status>unmodified</status>
      <modifiedWord/>
      <trackRevisions>false</trackRevisions>
    </reviewItem>
    <reviewItem>
      <errorID>b58698f6-49f1-429d-bade-9fbb1156c973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23CDD50C</paraID>
      <start>0</start>
      <end>2</end>
      <status>unmodified</status>
      <modifiedWord/>
      <trackRevisions>false</trackRevisions>
    </reviewItem>
    <reviewItem>
      <errorID>3684f1dd-f195-4cb9-ada4-9c47e43f8139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18AF1269</paraID>
      <start>0</start>
      <end>2</end>
      <status>unmodified</status>
      <modifiedWord/>
      <trackRevisions>false</trackRevisions>
    </reviewItem>
    <reviewItem>
      <errorID>9e431ea8-74af-475a-b8d5-a4fec4198786</errorID>
      <errorWord>泄露</errorWord>
      <group>L1_Word</group>
      <groupName>字词问题</groupName>
      <ability>L2_Typo</ability>
      <abilityName>字词错误</abilityName>
      <candidateList>
        <item>泄漏</item>
      </candidateList>
      <explain/>
      <paraID> F61F3DB</paraID>
      <start>116</start>
      <end>118</end>
      <status>unmodified</status>
      <modifiedWord/>
      <trackRevisions>false</trackRevisions>
    </reviewItem>
    <reviewItem>
      <errorID>3d14e2bf-575b-44fe-8d7c-ae1cf42f2010</errorID>
      <errorWord>计</errorWord>
      <group>L1_Word</group>
      <groupName>字词问题</groupName>
      <ability>L2_Typo</ability>
      <abilityName>字词错误</abilityName>
      <candidateList>
        <item>计算</item>
      </candidateList>
      <explain/>
      <paraID> F61F3DB</paraID>
      <start>169</start>
      <end>170</end>
      <status>unmodified</status>
      <modifiedWord/>
      <trackRevisions>false</trackRevisions>
    </reviewItem>
    <reviewItem>
      <errorID>e39d2604-83c9-4da2-a486-5a7e4bd2e4f5</errorID>
      <errorWord>泄露</errorWord>
      <group>L1_Word</group>
      <groupName>字词问题</groupName>
      <ability>L2_Typo</ability>
      <abilityName>字词错误</abilityName>
      <candidateList>
        <item>泄漏</item>
      </candidateList>
      <explain>存在发音相同字词的误用。</explain>
      <paraID>3BD4C464</paraID>
      <start>4</start>
      <end>6</end>
      <status>unmodified</status>
      <modifiedWord/>
      <trackRevisions>false</trackRevisions>
    </reviewItem>
    <reviewItem>
      <errorID>82ea7e00-aab7-4242-838e-66642958877b</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13D936C6</paraID>
      <start>0</start>
      <end>2</end>
      <status>unmodified</status>
      <modifiedWord/>
      <trackRevisions>false</trackRevisions>
    </reviewItem>
    <reviewItem>
      <errorID>fa671903-6b6f-4658-9b67-d1f8655a7721</errorID>
      <errorWord>泄露</errorWord>
      <group>L1_Word</group>
      <groupName>字词问题</groupName>
      <ability>L2_Typo</ability>
      <abilityName>字词错误</abilityName>
      <candidateList>
        <item>泄漏</item>
      </candidateList>
      <explain>存在发音相同字词的误用。</explain>
      <paraID>19D0B5D6</paraID>
      <start>4</start>
      <end>6</end>
      <status>unmodified</status>
      <modifiedWord/>
      <trackRevisions>false</trackRevisions>
    </reviewItem>
    <reviewItem>
      <errorID>f689c181-1129-4fb2-9260-994f8cea7c4a</errorID>
      <errorWord>泄露</errorWord>
      <group>L1_Word</group>
      <groupName>字词问题</groupName>
      <ability>L2_Typo</ability>
      <abilityName>字词错误</abilityName>
      <candidateList>
        <item>泄漏</item>
      </candidateList>
      <explain>存在发音相同字词的误用。</explain>
      <paraID>1121160A</paraID>
      <start>4</start>
      <end>6</end>
      <status>unmodified</status>
      <modifiedWord/>
      <trackRevisions>false</trackRevisions>
    </reviewItem>
    <reviewItem>
      <errorID>bf1efe67-d64a-45ce-a322-0320425793ab</errorID>
      <errorWord>公示</errorWord>
      <group>L1_Word</group>
      <groupName>字词问题</groupName>
      <ability>L2_Typo</ability>
      <abilityName>字词错误</abilityName>
      <candidateList>
        <item>公式</item>
      </candidateList>
      <explain/>
      <paraID>549C5580</paraID>
      <start>29</start>
      <end>31</end>
      <status>unmodified</status>
      <modifiedWord/>
      <trackRevisions>false</trackRevisions>
    </reviewItem>
    <reviewItem>
      <errorID>a7c1555e-8da4-4a5c-9c1e-68e1a5500f60</errorID>
      <errorWord>)</errorWord>
      <group>L1_Format</group>
      <groupName>格式问题</groupName>
      <ability>L2_HalfPunc</ability>
      <abilityName>全半角检查</abilityName>
      <candidateList>
        <item>）</item>
      </candidateList>
      <explain>文本全半角错误。</explain>
      <paraID>204E0642</paraID>
      <start>29</start>
      <end>30</end>
      <status>unmodified</status>
      <modifiedWord/>
      <trackRevisions>false</trackRevisions>
    </reviewItem>
    <reviewItem>
      <errorID>e698938d-3623-4279-9eec-0deb414dee81</errorID>
      <errorWord>泄露</errorWord>
      <group>L1_Word</group>
      <groupName>字词问题</groupName>
      <ability>L2_Typo</ability>
      <abilityName>字词错误</abilityName>
      <candidateList>
        <item>泄漏</item>
      </candidateList>
      <explain>存在发音相同字词的误用。</explain>
      <paraID>416A6269</paraID>
      <start>17</start>
      <end>19</end>
      <status>unmodified</status>
      <modifiedWord/>
      <trackRevisions>false</trackRevisions>
    </reviewItem>
    <reviewItem>
      <errorID>50be4210-3f44-495b-8539-3fc4d89487b4</errorID>
      <errorWord>泄露</errorWord>
      <group>L1_Word</group>
      <groupName>字词问题</groupName>
      <ability>L2_Typo</ability>
      <abilityName>字词错误</abilityName>
      <candidateList>
        <item>泄漏</item>
      </candidateList>
      <explain/>
      <paraID>416A6269</paraID>
      <start>26</start>
      <end>28</end>
      <status>unmodified</status>
      <modifiedWord/>
      <trackRevisions>false</trackRevisions>
    </reviewItem>
    <reviewItem>
      <errorID>fba02714-4211-40ec-b24d-6167abc122a9</errorID>
      <errorWord>泄露</errorWord>
      <group>L1_Word</group>
      <groupName>字词问题</groupName>
      <ability>L2_Typo</ability>
      <abilityName>字词错误</abilityName>
      <candidateList>
        <item>泄漏</item>
      </candidateList>
      <explain>存在发音相同字词的误用。</explain>
      <paraID>294E3FDF</paraID>
      <start>4</start>
      <end>6</end>
      <status>unmodified</status>
      <modifiedWord/>
      <trackRevisions>false</trackRevisions>
    </reviewItem>
    <reviewItem>
      <errorID>83dbb27b-7770-49e4-924b-b1346cbaa263</errorID>
      <errorWord>公示</errorWord>
      <group>L1_Word</group>
      <groupName>字词问题</groupName>
      <ability>L2_Typo</ability>
      <abilityName>字词错误</abilityName>
      <candidateList>
        <item>公式</item>
      </candidateList>
      <explain/>
      <paraID>39F50CCD</paraID>
      <start>7</start>
      <end>9</end>
      <status>unmodified</status>
      <modifiedWord/>
      <trackRevisions>false</trackRevisions>
    </reviewItem>
    <reviewItem>
      <errorID>e5736d7e-ec62-46db-b26a-60f43334b3f0</errorID>
      <errorWord>)</errorWord>
      <group>L1_Format</group>
      <groupName>格式问题</groupName>
      <ability>L2_HalfPunc</ability>
      <abilityName>全半角检查</abilityName>
      <candidateList>
        <item>）</item>
      </candidateList>
      <explain>文本全半角错误。</explain>
      <paraID>403DDF0C</paraID>
      <start>16</start>
      <end>17</end>
      <status>unmodified</status>
      <modifiedWord/>
      <trackRevisions>false</trackRevisions>
    </reviewItem>
    <reviewItem>
      <errorID>07af6b37-c4cd-450d-a093-13bb8f964327</errorID>
      <errorWord>泄露</errorWord>
      <group>L1_Word</group>
      <groupName>字词问题</groupName>
      <ability>L2_Typo</ability>
      <abilityName>字词错误</abilityName>
      <candidateList>
        <item>泄漏</item>
      </candidateList>
      <explain>存在发音相同字词的误用。</explain>
      <paraID> F0C0E09</paraID>
      <start>4</start>
      <end>6</end>
      <status>unmodified</status>
      <modifiedWord/>
      <trackRevisions>false</trackRevisions>
    </reviewItem>
    <reviewItem>
      <errorID>e04c7392-8af4-43e9-9989-6773870507f2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4314AA80</paraID>
      <start>0</start>
      <end>2</end>
      <status>unmodified</status>
      <modifiedWord/>
      <trackRevisions>false</trackRevisions>
    </reviewItem>
    <reviewItem>
      <errorID>6a0ad424-4be3-4161-ad48-21ac868f7d70</errorID>
      <errorWord>泄露</errorWord>
      <group>L1_Word</group>
      <groupName>字词问题</groupName>
      <ability>L2_Typo</ability>
      <abilityName>字词错误</abilityName>
      <candidateList>
        <item>泄漏</item>
      </candidateList>
      <explain/>
      <paraID>7B490A86</paraID>
      <start>41</start>
      <end>43</end>
      <status>unmodified</status>
      <modifiedWord/>
      <trackRevisions>false</trackRevisions>
    </reviewItem>
    <reviewItem>
      <errorID>ff11604b-7cc7-43d2-92cb-49d43f097a4e</errorID>
      <errorWord>1.5%~6.0%</errorWord>
      <group>L1_Knowledge</group>
      <groupName>知识性问题</groupName>
      <ability>L2_Knowledge</ability>
      <abilityName>其他知识</abilityName>
      <candidateList>
        <item>1.5%～6.0%</item>
      </candidateList>
      <explain>1. “1.5%~6.0%”中的单位“%”仅出现在后一个数字上，容易引起歧义；根据《现代汉语标点符号数字用法规范手册》，数字表示范围两边需要使用统一的格式。2. 根据标点国标 4.13 中的规则，数字、时间或地域连接符应使用（视觉上更长的）“—”或“～”。</explain>
      <paraID>49E2E4C3</paraID>
      <start>25</start>
      <end>34</end>
      <status>unmodified</status>
      <modifiedWord/>
      <trackRevisions>false</trackRevisions>
    </reviewItem>
    <reviewItem>
      <errorID>a9936838-2dcc-45a1-b351-9a4deebe48c4</errorID>
      <errorWord>泄露</errorWord>
      <group>L1_Word</group>
      <groupName>字词问题</groupName>
      <ability>L2_Typo</ability>
      <abilityName>字词错误</abilityName>
      <candidateList>
        <item>泄漏</item>
      </candidateList>
      <explain>存在发音相同字词的误用。</explain>
      <paraID>206EF18C</paraID>
      <start>30</start>
      <end>32</end>
      <status>unmodified</status>
      <modifiedWord/>
      <trackRevisions>false</trackRevisions>
    </reviewItem>
    <reviewItem>
      <errorID>2727e40a-edcc-42cd-806c-032052b17389</errorID>
      <errorWord>，按</errorWord>
      <group>L1_Word</group>
      <groupName>字词问题</groupName>
      <ability>L2_Typo</ability>
      <abilityName>字词错误</abilityName>
      <candidateList>
        <item>，</item>
      </candidateList>
      <explain/>
      <paraID>5B354021</paraID>
      <start>16</start>
      <end>18</end>
      <status>unmodified</status>
      <modifiedWord/>
      <trackRevisions>false</trackRevisions>
    </reviewItem>
    <reviewItem>
      <errorID>9d5f4c68-d6d2-4e8e-824c-60c7dd312b3a</errorID>
      <errorWord>泄露</errorWord>
      <group>L1_Word</group>
      <groupName>字词问题</groupName>
      <ability>L2_Typo</ability>
      <abilityName>字词错误</abilityName>
      <candidateList>
        <item>泄漏</item>
      </candidateList>
      <explain/>
      <paraID>7788A141</paraID>
      <start>29</start>
      <end>31</end>
      <status>unmodified</status>
      <modifiedWord/>
      <trackRevisions>false</trackRevisions>
    </reviewItem>
    <reviewItem>
      <errorID>208118de-9304-4355-b3f7-f892fe7668f2</errorID>
      <errorWord>，按</errorWord>
      <group>L1_Word</group>
      <groupName>字词问题</groupName>
      <ability>L2_Typo</ability>
      <abilityName>字词错误</abilityName>
      <candidateList>
        <item>，</item>
      </candidateList>
      <explain/>
      <paraID>293BC5B6</paraID>
      <start>17</start>
      <end>19</end>
      <status>unmodified</status>
      <modifiedWord/>
      <trackRevisions>false</trackRevisions>
    </reviewItem>
    <reviewItem>
      <errorID>57a3a97c-e2e3-43d2-9b75-7f139100c4e7</errorID>
      <errorWord>泄露</errorWord>
      <group>L1_Word</group>
      <groupName>字词问题</groupName>
      <ability>L2_Typo</ability>
      <abilityName>字词错误</abilityName>
      <candidateList>
        <item>泄漏</item>
      </candidateList>
      <explain/>
      <paraID>65CF3A6E</paraID>
      <start>55</start>
      <end>57</end>
      <status>unmodified</status>
      <modifiedWord/>
      <trackRevisions>false</trackRevisions>
    </reviewItem>
    <reviewItem>
      <errorID>2ed4e354-2c90-496c-a3ba-c6eb1d2a18d9</errorID>
      <errorWord>1.5%~6.0%</errorWord>
      <group>L1_Knowledge</group>
      <groupName>知识性问题</groupName>
      <ability>L2_Knowledge</ability>
      <abilityName>其他知识</abilityName>
      <candidateList>
        <item>1.5%～6.0%</item>
      </candidateList>
      <explain>1. “1.5%~6.0%”中的单位“%”仅出现在后一个数字上，容易引起歧义；根据《现代汉语标点符号数字用法规范手册》，数字表示范围两边需要使用统一的格式。2. 根据标点国标 4.13 中的规则，数字、时间或地域连接符应使用（视觉上更长的）“—”或“～”。</explain>
      <paraID> 55E304E</paraID>
      <start>25</start>
      <end>34</end>
      <status>unmodified</status>
      <modifiedWord/>
      <trackRevisions>false</trackRevisions>
    </reviewItem>
    <reviewItem>
      <errorID>658a3b07-3349-4f87-b616-cbad99971bbd</errorID>
      <errorWord>泄露</errorWord>
      <group>L1_Word</group>
      <groupName>字词问题</groupName>
      <ability>L2_Typo</ability>
      <abilityName>字词错误</abilityName>
      <candidateList>
        <item>泄漏</item>
      </candidateList>
      <explain>存在发音相同字词的误用。</explain>
      <paraID> 96FCD73</paraID>
      <start>30</start>
      <end>32</end>
      <status>unmodified</status>
      <modifiedWord/>
      <trackRevisions>false</trackRevisions>
    </reviewItem>
    <reviewItem>
      <errorID>2cac460e-843b-4780-9c88-994637807ef3</errorID>
      <errorWord>，按</errorWord>
      <group>L1_Word</group>
      <groupName>字词问题</groupName>
      <ability>L2_Typo</ability>
      <abilityName>字词错误</abilityName>
      <candidateList>
        <item>，</item>
      </candidateList>
      <explain/>
      <paraID>21296639</paraID>
      <start>19</start>
      <end>21</end>
      <status>unmodified</status>
      <modifiedWord/>
      <trackRevisions>false</trackRevisions>
    </reviewItem>
    <reviewItem>
      <errorID>9123be49-935d-40df-ba0f-e8a159849bb9</errorID>
      <errorWord>在</errorWord>
      <group>L1_Word</group>
      <groupName>字词问题</groupName>
      <ability>L2_Typo</ability>
      <abilityName>字词错误</abilityName>
      <candidateList>
        <item>再</item>
      </candidateList>
      <explain>存在发音相同字词的误用。</explain>
      <paraID>4F986CA2</paraID>
      <start>39</start>
      <end>40</end>
      <status>unmodified</status>
      <modifiedWord/>
      <trackRevisions>false</trackRevisions>
    </reviewItem>
    <reviewItem>
      <errorID>d76348f5-432f-4308-be14-1d64d7ae577e</errorID>
      <errorWord>泄露</errorWord>
      <group>L1_Word</group>
      <groupName>字词问题</groupName>
      <ability>L2_Typo</ability>
      <abilityName>字词错误</abilityName>
      <candidateList>
        <item>泄漏</item>
      </candidateList>
      <explain>存在发音相同字词的误用。</explain>
      <paraID>16B28E1F</paraID>
      <start>2</start>
      <end>4</end>
      <status>unmodified</status>
      <modifiedWord/>
      <trackRevisions>false</trackRevisions>
    </reviewItem>
    <reviewItem>
      <errorID>e7664f55-1310-43c9-a795-3b10b176a910</errorID>
      <errorWord>途径</errorWord>
      <group>L1_Word</group>
      <groupName>字词问题</groupName>
      <ability>L2_Typo</ability>
      <abilityName>字词错误</abilityName>
      <candidateList>
        <item>途经</item>
      </candidateList>
      <explain>存在发音相同字词的误用。</explain>
      <paraID>6FE7B8D2</paraID>
      <start>0</start>
      <end>2</end>
      <status>unmodified</status>
      <modifiedWord/>
      <trackRevisions>false</trackRevisions>
    </reviewItem>
    <reviewItem>
      <errorID>33230a06-552f-424d-a7b1-e2938979339a</errorID>
      <errorWord>泄露</errorWord>
      <group>L1_Word</group>
      <groupName>字词问题</groupName>
      <ability>L2_Typo</ability>
      <abilityName>字词错误</abilityName>
      <candidateList>
        <item>泄漏</item>
      </candidateList>
      <explain>存在发音相同字词的误用。</explain>
      <paraID>48E91A39</paraID>
      <start>2</start>
      <end>4</end>
      <status>unmodified</status>
      <modifiedWord/>
      <trackRevisions>false</trackRevisions>
    </reviewItem>
    <reviewItem>
      <errorID>bb4fc433-a0be-423f-90d7-652cfdc3e76e</errorID>
      <errorWord>分</errorWord>
      <group>L1_Word</group>
      <groupName>字词问题</groupName>
      <ability>L2_Typo</ability>
      <abilityName>字词错误</abilityName>
      <candidateList>
        <item>分为</item>
      </candidateList>
      <explain/>
      <paraID>1AC88926</paraID>
      <start>27</start>
      <end>28</end>
      <status>unmodified</status>
      <modifiedWord/>
      <trackRevisions>false</trackRevisions>
    </reviewItem>
    <reviewItem>
      <errorID>d188abaf-c96d-4f5b-b310-f202d0f80804</errorID>
      <errorWord>泄露</errorWord>
      <group>L1_Word</group>
      <groupName>字词问题</groupName>
      <ability>L2_Typo</ability>
      <abilityName>字词错误</abilityName>
      <candidateList>
        <item>泄漏</item>
      </candidateList>
      <explain>存在发音相同字词的误用。</explain>
      <paraID>3F2FAE35</paraID>
      <start>10</start>
      <end>12</end>
      <status>unmodified</status>
      <modifiedWord/>
      <trackRevisions>false</trackRevisions>
    </reviewItem>
    <reviewItem>
      <errorID>de3f469f-c75b-413c-911b-23648ef7d280</errorID>
      <errorWord>~</errorWord>
      <group>L1_Format</group>
      <groupName>格式问题</groupName>
      <ability>L2_HalfPunc</ability>
      <abilityName>全半角检查</abilityName>
      <candidateList>
        <item>～</item>
      </candidateList>
      <explain>文本全半角错误。</explain>
      <paraID>3F2FAE35</paraID>
      <start>85</start>
      <end>86</end>
      <status>unmodified</status>
      <modifiedWord/>
      <trackRevisions>false</trackRevisions>
    </reviewItem>
    <reviewItem>
      <errorID>34b72e0b-8a8d-4d8c-9203-b4fde154d73c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59C604C8</paraID>
      <start>0</start>
      <end>2</end>
      <status>unmodified</status>
      <modifiedWord/>
      <trackRevisions>false</trackRevisions>
    </reviewItem>
    <reviewItem>
      <errorID>addfd86e-7bcf-4da2-bad9-837218ce6281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7E8F2492</paraID>
      <start>0</start>
      <end>2</end>
      <status>unmodified</status>
      <modifiedWord/>
      <trackRevisions>false</trackRevisions>
    </reviewItem>
    <reviewItem>
      <errorID>4893fe2c-abc0-4a7d-850e-ee9dac916dec</errorID>
      <errorWord>(</errorWord>
      <group>L1_Format</group>
      <groupName>格式问题</groupName>
      <ability>L2_HalfPunc</ability>
      <abilityName>全半角检查</abilityName>
      <candidateList>
        <item>（</item>
      </candidateList>
      <explain>文本全半角错误。</explain>
      <paraID>31D726FD</paraID>
      <start>7</start>
      <end>8</end>
      <status>unmodified</status>
      <modifiedWord/>
      <trackRevisions>false</trackRevisions>
    </reviewItem>
    <reviewItem>
      <errorID>02d36caf-959b-4d79-b165-8bbdeeb80bcd</errorID>
      <errorWord>)</errorWord>
      <group>L1_Format</group>
      <groupName>格式问题</groupName>
      <ability>L2_HalfPunc</ability>
      <abilityName>全半角检查</abilityName>
      <candidateList>
        <item>）</item>
      </candidateList>
      <explain>文本全半角错误。</explain>
      <paraID>31D726FD</paraID>
      <start>11</start>
      <end>12</end>
      <status>unmodified</status>
      <modifiedWord/>
      <trackRevisions>false</trackRevisions>
    </reviewItem>
    <reviewItem>
      <errorID>58695cfc-f9e0-4d63-bb2e-ec9d0a14cbef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1DE31E46</paraID>
      <start>0</start>
      <end>2</end>
      <status>unmodified</status>
      <modifiedWord/>
      <trackRevisions>false</trackRevisions>
    </reviewItem>
    <reviewItem>
      <errorID>309e6ac3-f414-415f-9c5e-2b6af59f1203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6C457C28</paraID>
      <start>0</start>
      <end>2</end>
      <status>unmodified</status>
      <modifiedWord/>
      <trackRevisions>false</trackRevisions>
    </reviewItem>
    <reviewItem>
      <errorID>9630026d-0c59-4352-aac0-04a6724ef654</errorID>
      <errorWord>(</errorWord>
      <group>L1_Format</group>
      <groupName>格式问题</groupName>
      <ability>L2_HalfPunc</ability>
      <abilityName>全半角检查</abilityName>
      <candidateList>
        <item>（</item>
      </candidateList>
      <explain>文本全半角错误。</explain>
      <paraID>5538BBD2</paraID>
      <start>7</start>
      <end>8</end>
      <status>unmodified</status>
      <modifiedWord/>
      <trackRevisions>false</trackRevisions>
    </reviewItem>
    <reviewItem>
      <errorID>28741d14-c442-4fb2-8de8-93e2898a7f25</errorID>
      <errorWord>)</errorWord>
      <group>L1_Format</group>
      <groupName>格式问题</groupName>
      <ability>L2_HalfPunc</ability>
      <abilityName>全半角检查</abilityName>
      <candidateList>
        <item>）</item>
      </candidateList>
      <explain>文本全半角错误。</explain>
      <paraID>5538BBD2</paraID>
      <start>11</start>
      <end>12</end>
      <status>unmodified</status>
      <modifiedWord/>
      <trackRevisions>false</trackRevisions>
    </reviewItem>
    <reviewItem>
      <errorID>e772c4b5-60ec-4a4b-8d1d-d44e3e3bdfcd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51869350</paraID>
      <start>0</start>
      <end>2</end>
      <status>unmodified</status>
      <modifiedWord/>
      <trackRevisions>false</trackRevisions>
    </reviewItem>
    <reviewItem>
      <errorID>3e9a039f-328c-4410-a11b-865980f95ddd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2C7A407B</paraID>
      <start>0</start>
      <end>2</end>
      <status>unmodified</status>
      <modifiedWord/>
      <trackRevisions>false</trackRevisions>
    </reviewItem>
    <reviewItem>
      <errorID>d7736603-24cf-409c-9ccd-30868361345a</errorID>
      <errorWord>(</errorWord>
      <group>L1_Format</group>
      <groupName>格式问题</groupName>
      <ability>L2_HalfPunc</ability>
      <abilityName>全半角检查</abilityName>
      <candidateList>
        <item>（</item>
      </candidateList>
      <explain>文本全半角错误。</explain>
      <paraID>17B525A3</paraID>
      <start>7</start>
      <end>8</end>
      <status>unmodified</status>
      <modifiedWord/>
      <trackRevisions>false</trackRevisions>
    </reviewItem>
    <reviewItem>
      <errorID>d40959b0-9b64-40b0-9e5a-af6a74cd27f7</errorID>
      <errorWord>)</errorWord>
      <group>L1_Format</group>
      <groupName>格式问题</groupName>
      <ability>L2_HalfPunc</ability>
      <abilityName>全半角检查</abilityName>
      <candidateList>
        <item>）</item>
      </candidateList>
      <explain>文本全半角错误。</explain>
      <paraID>17B525A3</paraID>
      <start>11</start>
      <end>12</end>
      <status>unmodified</status>
      <modifiedWord/>
      <trackRevisions>false</trackRevisions>
    </reviewItem>
    <reviewItem>
      <errorID>8a70be35-fb83-443c-bd8a-8a513e5c3fad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53F90584</paraID>
      <start>0</start>
      <end>2</end>
      <status>unmodified</status>
      <modifiedWord/>
      <trackRevisions>false</trackRevisions>
    </reviewItem>
    <reviewItem>
      <errorID>b64123ac-d53d-4798-8dc0-5155b44b1b79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50CB3FC9</paraID>
      <start>0</start>
      <end>2</end>
      <status>unmodified</status>
      <modifiedWord/>
      <trackRevisions>false</trackRevisions>
    </reviewItem>
    <reviewItem>
      <errorID>2ba247fa-8e12-4168-a420-e0d65de78d29</errorID>
      <errorWord>(</errorWord>
      <group>L1_Format</group>
      <groupName>格式问题</groupName>
      <ability>L2_HalfPunc</ability>
      <abilityName>全半角检查</abilityName>
      <candidateList>
        <item>（</item>
      </candidateList>
      <explain>文本全半角错误。</explain>
      <paraID> 5044867</paraID>
      <start>2</start>
      <end>3</end>
      <status>unmodified</status>
      <modifiedWord/>
      <trackRevisions>false</trackRevisions>
    </reviewItem>
    <reviewItem>
      <errorID>574c48cb-6168-45c4-8218-c2344fa73d8e</errorID>
      <errorWord>)</errorWord>
      <group>L1_Format</group>
      <groupName>格式问题</groupName>
      <ability>L2_HalfPunc</ability>
      <abilityName>全半角检查</abilityName>
      <candidateList>
        <item>）</item>
      </candidateList>
      <explain>文本全半角错误。</explain>
      <paraID> 5044867</paraID>
      <start>6</start>
      <end>7</end>
      <status>unmodified</status>
      <modifiedWord/>
      <trackRevisions>false</trackRevisions>
    </reviewItem>
    <reviewItem>
      <errorID>cb05b5a6-1c27-41da-82b6-1e99b8c88507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4620205A</paraID>
      <start>0</start>
      <end>2</end>
      <status>unmodified</status>
      <modifiedWord/>
      <trackRevisions>false</trackRevisions>
    </reviewItem>
    <reviewItem>
      <errorID>3760f577-7488-401f-a137-c58fcc3a57ce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2BFFDE9</paraID>
      <start>0</start>
      <end>2</end>
      <status>unmodified</status>
      <modifiedWord/>
      <trackRevisions>false</trackRevisions>
    </reviewItem>
    <reviewItem>
      <errorID>b6be8640-e587-4eff-8a88-e573011f57a4</errorID>
      <errorWord>(</errorWord>
      <group>L1_Format</group>
      <groupName>格式问题</groupName>
      <ability>L2_HalfPunc</ability>
      <abilityName>全半角检查</abilityName>
      <candidateList>
        <item>（</item>
      </candidateList>
      <explain>文本全半角错误。</explain>
      <paraID> 98B5671</paraID>
      <start>7</start>
      <end>8</end>
      <status>unmodified</status>
      <modifiedWord/>
      <trackRevisions>false</trackRevisions>
    </reviewItem>
    <reviewItem>
      <errorID>727788f4-43b2-42df-a10f-f87518961740</errorID>
      <errorWord>)</errorWord>
      <group>L1_Format</group>
      <groupName>格式问题</groupName>
      <ability>L2_HalfPunc</ability>
      <abilityName>全半角检查</abilityName>
      <candidateList>
        <item>）</item>
      </candidateList>
      <explain>文本全半角错误。</explain>
      <paraID> 98B5671</paraID>
      <start>11</start>
      <end>12</end>
      <status>unmodified</status>
      <modifiedWord/>
      <trackRevisions>false</trackRevisions>
    </reviewItem>
    <reviewItem>
      <errorID>489b9d56-33b6-4b7d-9cba-4ff4b4703749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1624E2DF</paraID>
      <start>0</start>
      <end>2</end>
      <status>unmodified</status>
      <modifiedWord/>
      <trackRevisions>false</trackRevisions>
    </reviewItem>
    <reviewItem>
      <errorID>979809ff-79ee-4e1a-94fc-fe111482500f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11518BFF</paraID>
      <start>0</start>
      <end>2</end>
      <status>unmodified</status>
      <modifiedWord/>
      <trackRevisions>false</trackRevisions>
    </reviewItem>
    <reviewItem>
      <errorID>60154e26-68cf-482a-87e4-ce586107cf90</errorID>
      <errorWord>(</errorWord>
      <group>L1_Format</group>
      <groupName>格式问题</groupName>
      <ability>L2_HalfPunc</ability>
      <abilityName>全半角检查</abilityName>
      <candidateList>
        <item>（</item>
      </candidateList>
      <explain>文本全半角错误。</explain>
      <paraID>7891E155</paraID>
      <start>7</start>
      <end>8</end>
      <status>unmodified</status>
      <modifiedWord/>
      <trackRevisions>false</trackRevisions>
    </reviewItem>
    <reviewItem>
      <errorID>894d27cb-9343-47f4-abf6-f86e362b7433</errorID>
      <errorWord>)</errorWord>
      <group>L1_Format</group>
      <groupName>格式问题</groupName>
      <ability>L2_HalfPunc</ability>
      <abilityName>全半角检查</abilityName>
      <candidateList>
        <item>）</item>
      </candidateList>
      <explain>文本全半角错误。</explain>
      <paraID>7891E155</paraID>
      <start>11</start>
      <end>12</end>
      <status>unmodified</status>
      <modifiedWord/>
      <trackRevisions>false</trackRevisions>
    </reviewItem>
    <reviewItem>
      <errorID>1bc73224-4bc3-41c4-acab-2cb413b49e7d</errorID>
      <errorWord>(</errorWord>
      <group>L1_Format</group>
      <groupName>格式问题</groupName>
      <ability>L2_HalfPunc</ability>
      <abilityName>全半角检查</abilityName>
      <candidateList>
        <item>（</item>
      </candidateList>
      <explain>文本全半角错误。</explain>
      <paraID>6CFA2127</paraID>
      <start>122</start>
      <end>123</end>
      <status>unmodified</status>
      <modifiedWord/>
      <trackRevisions>false</trackRevisions>
    </reviewItem>
    <reviewItem>
      <errorID>3b9bf9b6-92f1-42b4-893e-c8727e6d80fd</errorID>
      <errorWord>)</errorWord>
      <group>L1_Format</group>
      <groupName>格式问题</groupName>
      <ability>L2_HalfPunc</ability>
      <abilityName>全半角检查</abilityName>
      <candidateList>
        <item>）</item>
      </candidateList>
      <explain>文本全半角错误。</explain>
      <paraID>6CFA2127</paraID>
      <start>126</start>
      <end>127</end>
      <status>unmodified</status>
      <modifiedWord/>
      <trackRevisions>false</trackRevisions>
    </reviewItem>
    <reviewItem>
      <errorID>4456b8a0-6070-403b-8e88-048e711b1024</errorID>
      <errorWord>)</errorWord>
      <group>L1_Format</group>
      <groupName>格式问题</groupName>
      <ability>L2_HalfPunc</ability>
      <abilityName>全半角检查</abilityName>
      <candidateList>
        <item>）</item>
      </candidateList>
      <explain>文本全半角错误。</explain>
      <paraID>6CFA2127</paraID>
      <start>149</start>
      <end>150</end>
      <status>unmodified</status>
      <modifiedWord/>
      <trackRevisions>false</trackRevisions>
    </reviewItem>
    <reviewItem>
      <errorID>7969fa12-46f6-44ae-913b-1a0359dae5aa</errorID>
      <errorWord>)</errorWord>
      <group>L1_Format</group>
      <groupName>格式问题</groupName>
      <ability>L2_HalfPunc</ability>
      <abilityName>全半角检查</abilityName>
      <candidateList>
        <item>）</item>
      </candidateList>
      <explain>文本全半角错误。</explain>
      <paraID>6CFA2127</paraID>
      <start>164</start>
      <end>165</end>
      <status>unmodified</status>
      <modifiedWord/>
      <trackRevisions>false</trackRevisions>
    </reviewItem>
    <reviewItem>
      <errorID>8b2db469-70c2-4ea0-8293-9eb9dff3eec7</errorID>
      <errorWord>决</errorWord>
      <group>L1_Word</group>
      <groupName>字词问题</groupName>
      <ability>L2_Typo</ability>
      <abilityName>字词错误</abilityName>
      <candidateList>
        <item>决于</item>
      </candidateList>
      <explain/>
      <paraID> 75C2965</paraID>
      <start>33</start>
      <end>34</end>
      <status>unmodified</status>
      <modifiedWord/>
      <trackRevisions>false</trackRevisions>
    </reviewItem>
    <reviewItem>
      <errorID>379bb405-44e9-455b-a928-78ee500ab980</errorID>
      <errorWord>受到</errorWord>
      <group>L1_Word</group>
      <groupName>字词问题</groupName>
      <ability>L2_Typo</ability>
      <abilityName>字词错误</abilityName>
      <candidateList>
        <item>受</item>
      </candidateList>
      <explain>〈动〉❶接受：～贿｜～教育｜～到帮助。❷遭受：～灾｜～批评｜～委屈。❸忍受；禁受：～不了｜～得住。❹适合：～吃（吃着有味）｜～看（看着舒服）｜～听（听着入耳）。</explain>
      <paraID> 75C2965</paraID>
      <start>39</start>
      <end>41</end>
      <status>unmodified</status>
      <modifiedWord/>
      <trackRevisions>false</trackRevisions>
    </reviewItem>
    <reviewItem>
      <errorID>d56ec3ef-b43b-4cce-bd76-70b206fb8c76</errorID>
      <errorWord>(</errorWord>
      <group>L1_Format</group>
      <groupName>格式问题</groupName>
      <ability>L2_HalfPunc</ability>
      <abilityName>全半角检查</abilityName>
      <candidateList>
        <item>（</item>
      </candidateList>
      <explain>文本全半角错误。</explain>
      <paraID> 75C2965</paraID>
      <start>63</start>
      <end>64</end>
      <status>unmodified</status>
      <modifiedWord/>
      <trackRevisions>false</trackRevisions>
    </reviewItem>
    <reviewItem>
      <errorID>93d72f96-2590-4801-9543-38d35f5b6915</errorID>
      <errorWord>粘度</errorWord>
      <group>L1_Word</group>
      <groupName>字词问题</groupName>
      <ability>L2_Alias</ability>
      <abilityName>也作/曾用词</abilityName>
      <candidateList>
        <item>黏度</item>
      </candidateList>
      <explain>词汇[粘度]为不规范表述或旧称，其规范书面表述为[黏度]。</explain>
      <paraID> 75C2965</paraID>
      <start>72</start>
      <end>74</end>
      <status>unmodified</status>
      <modifiedWord/>
      <trackRevisions>false</trackRevisions>
    </reviewItem>
    <reviewItem>
      <errorID>ff11c617-6f48-44d6-854e-68a90832c8b5</errorID>
      <errorWord>)</errorWord>
      <group>L1_Format</group>
      <groupName>格式问题</groupName>
      <ability>L2_HalfPunc</ability>
      <abilityName>全半角检查</abilityName>
      <candidateList>
        <item>）</item>
      </candidateList>
      <explain>文本全半角错误。</explain>
      <paraID> 75C2965</paraID>
      <start>75</start>
      <end>76</end>
      <status>unmodified</status>
      <modifiedWord/>
      <trackRevisions>false</trackRevisions>
    </reviewItem>
    <reviewItem>
      <errorID>0c13d2bd-8478-47cc-b165-d61d08991eca</errorID>
      <errorWord>粘度</errorWord>
      <group>L1_Word</group>
      <groupName>字词问题</groupName>
      <ability>L2_Alias</ability>
      <abilityName>也作/曾用词</abilityName>
      <candidateList>
        <item>黏度</item>
      </candidateList>
      <explain>词汇[粘度]为不规范表述或旧称，其规范书面表述为[黏度]。</explain>
      <paraID> 75C2965</paraID>
      <start>102</start>
      <end>104</end>
      <status>unmodified</status>
      <modifiedWord/>
      <trackRevisions>false</trackRevisions>
    </reviewItem>
    <reviewItem>
      <errorID>ae44e4c2-12b5-410c-b445-fafb0270af0f</errorID>
      <errorWord>的粘性</errorWord>
      <group>L1_Word</group>
      <groupName>字词问题</groupName>
      <ability>L2_Typo</ability>
      <abilityName>字词错误</abilityName>
      <candidateList>
        <item>的黏性</item>
      </candidateList>
      <explain/>
      <paraID>7C9E28EC</paraID>
      <start>8</start>
      <end>11</end>
      <status>unmodified</status>
      <modifiedWord/>
      <trackRevisions>false</trackRevisions>
    </reviewItem>
    <reviewItem>
      <errorID>17322f53-2859-45f5-bf2b-0bb3813ebef3</errorID>
      <errorWord>(</errorWord>
      <group>L1_Format</group>
      <groupName>格式问题</groupName>
      <ability>L2_HalfPunc</ability>
      <abilityName>全半角检查</abilityName>
      <candidateList>
        <item>（</item>
      </candidateList>
      <explain>文本全半角错误。</explain>
      <paraID>7C9E28EC</paraID>
      <start>54</start>
      <end>55</end>
      <status>unmodified</status>
      <modifiedWord/>
      <trackRevisions>false</trackRevisions>
    </reviewItem>
    <reviewItem>
      <errorID>c2fa50ab-d073-4dbe-9fde-d74b0088e2aa</errorID>
      <errorWord>)</errorWord>
      <group>L1_Format</group>
      <groupName>格式问题</groupName>
      <ability>L2_HalfPunc</ability>
      <abilityName>全半角检查</abilityName>
      <candidateList>
        <item>）</item>
      </candidateList>
      <explain>文本全半角错误。</explain>
      <paraID>7C9E28EC</paraID>
      <start>58</start>
      <end>59</end>
      <status>unmodified</status>
      <modifiedWord/>
      <trackRevisions>false</trackRevisions>
    </reviewItem>
    <reviewItem>
      <errorID>f301e727-30e1-4df1-8611-8eaf9fae1e71</errorID>
      <errorWord>粘度</errorWord>
      <group>L1_Word</group>
      <groupName>字词问题</groupName>
      <ability>L2_Alias</ability>
      <abilityName>也作/曾用词</abilityName>
      <candidateList>
        <item>黏度</item>
      </candidateList>
      <explain>词汇[粘度]为不规范表述或旧称，其规范书面表述为[黏度]。</explain>
      <paraID>7C9E28EC</paraID>
      <start>91</start>
      <end>93</end>
      <status>unmodified</status>
      <modifiedWord/>
      <trackRevisions>false</trackRevisions>
    </reviewItem>
    <reviewItem>
      <errorID>19710646-fae8-479f-8268-3af8d83201d3</errorID>
      <errorWord>)</errorWord>
      <group>L1_Format</group>
      <groupName>格式问题</groupName>
      <ability>L2_HalfPunc</ability>
      <abilityName>全半角检查</abilityName>
      <candidateList>
        <item>）</item>
      </candidateList>
      <explain>文本全半角错误。</explain>
      <paraID>7C9E28EC</paraID>
      <start>229</start>
      <end>230</end>
      <status>unmodified</status>
      <modifiedWord/>
      <trackRevisions>false</trackRevisions>
    </reviewItem>
    <reviewItem>
      <errorID>04c1ffa8-a777-4e91-9e44-e1cc2d0ad5fc</errorID>
      <errorWord>)</errorWord>
      <group>L1_Format</group>
      <groupName>格式问题</groupName>
      <ability>L2_HalfPunc</ability>
      <abilityName>全半角检查</abilityName>
      <candidateList>
        <item>）</item>
      </candidateList>
      <explain>文本全半角错误。</explain>
      <paraID>1ADD79FE</paraID>
      <start>53</start>
      <end>54</end>
      <status>unmodified</status>
      <modifiedWord/>
      <trackRevisions>false</trackRevisions>
    </reviewItem>
    <reviewItem>
      <errorID>761eb227-5cb6-4bae-9110-6340da94d4ed</errorID>
      <errorWord>粘结</errorWord>
      <group>L1_Word</group>
      <groupName>字词问题</groupName>
      <ability>L2_Typo</ability>
      <abilityName>字词错误</abilityName>
      <candidateList>
        <item>黏结</item>
      </candidateList>
      <explain>存在发音相同字词的误用。</explain>
      <paraID>1085AEE9</paraID>
      <start>23</start>
      <end>25</end>
      <status>unmodified</status>
      <modifiedWord/>
      <trackRevisions>false</trackRevisions>
    </reviewItem>
    <reviewItem>
      <errorID>42cfe2b0-1400-4320-a6a8-eb552f04e94c</errorID>
      <errorWord>其它的变化</errorWord>
      <group>L1_Word</group>
      <groupName>字词问题</groupName>
      <ability>L2_Alias</ability>
      <abilityName>也作/曾用词</abilityName>
      <candidateList>
        <item>其他的变化</item>
      </candidateList>
      <explain>词汇[其它的变化]为不规范表述或旧称，其规范书面表述为[其他的变化]。</explain>
      <paraID>7393E68D</paraID>
      <start>35</start>
      <end>40</end>
      <status>unmodified</status>
      <modifiedWord/>
      <trackRevisions>false</trackRevisions>
    </reviewItem>
    <reviewItem>
      <errorID>c2264b64-c5e3-48ba-840c-512e8e1cebf8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E4BBD52</paraID>
      <start>0</start>
      <end>2</end>
      <status>unmodified</status>
      <modifiedWord/>
      <trackRevisions>false</trackRevisions>
    </reviewItem>
    <reviewItem>
      <errorID>65971327-c2bb-459a-8d60-0f54ee7f6eba</errorID>
      <errorWord>(</errorWord>
      <group>L1_Format</group>
      <groupName>格式问题</groupName>
      <ability>L2_HalfPunc</ability>
      <abilityName>全半角检查</abilityName>
      <candidateList>
        <item>（</item>
      </candidateList>
      <explain>文本全半角错误。</explain>
      <paraID>740ACCC3</paraID>
      <start>35</start>
      <end>36</end>
      <status>unmodified</status>
      <modifiedWord/>
      <trackRevisions>false</trackRevisions>
    </reviewItem>
    <reviewItem>
      <errorID>e36c4993-d9ce-4388-8a64-542752bfecba</errorID>
      <errorWord>)</errorWord>
      <group>L1_Format</group>
      <groupName>格式问题</groupName>
      <ability>L2_HalfPunc</ability>
      <abilityName>全半角检查</abilityName>
      <candidateList>
        <item>）</item>
      </candidateList>
      <explain>文本全半角错误。</explain>
      <paraID>740ACCC3</paraID>
      <start>49</start>
      <end>50</end>
      <status>unmodified</status>
      <modifiedWord/>
      <trackRevisions>false</trackRevisions>
    </reviewItem>
    <reviewItem>
      <errorID>5b896bd1-6be9-4042-a05a-e1c7b051080b</errorID>
      <errorWord>石油类</errorWord>
      <group>L1_Word</group>
      <groupName>字词问题</groupName>
      <ability>L2_Typo</ability>
      <abilityName>字词错误</abilityName>
      <candidateList>
        <item>石油</item>
      </candidateList>
      <explain/>
      <paraID>5248101A</paraID>
      <start>19</start>
      <end>22</end>
      <status>unmodified</status>
      <modifiedWord/>
      <trackRevisions>false</trackRevisions>
    </reviewItem>
    <reviewItem>
      <errorID>cfc26ece-f289-458f-8bc6-be5a02336a55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2CD1CA9A</paraID>
      <start>0</start>
      <end>2</end>
      <status>unmodified</status>
      <modifiedWord/>
      <trackRevisions>false</trackRevisions>
    </reviewItem>
    <reviewItem>
      <errorID>d6d0baed-7c7e-4eb8-8094-2df675138fa5</errorID>
      <errorWord>(</errorWord>
      <group>L1_Format</group>
      <groupName>格式问题</groupName>
      <ability>L2_HalfPunc</ability>
      <abilityName>全半角检查</abilityName>
      <candidateList>
        <item>（</item>
      </candidateList>
      <explain>文本全半角错误。</explain>
      <paraID>3185FB5A</paraID>
      <start>13</start>
      <end>14</end>
      <status>unmodified</status>
      <modifiedWord/>
      <trackRevisions>false</trackRevisions>
    </reviewItem>
    <reviewItem>
      <errorID>f72cb89b-41c5-4b63-a6c5-006ca8ec77da</errorID>
      <errorWord>)</errorWord>
      <group>L1_Format</group>
      <groupName>格式问题</groupName>
      <ability>L2_HalfPunc</ability>
      <abilityName>全半角检查</abilityName>
      <candidateList>
        <item>）</item>
      </candidateList>
      <explain>文本全半角错误。</explain>
      <paraID>3185FB5A</paraID>
      <start>16</start>
      <end>17</end>
      <status>unmodified</status>
      <modifiedWord/>
      <trackRevisions>false</trackRevisions>
    </reviewItem>
    <reviewItem>
      <errorID>764830cd-6e3f-43b5-a882-f75f07385851</errorID>
      <errorWord>(</errorWord>
      <group>L1_Format</group>
      <groupName>格式问题</groupName>
      <ability>L2_HalfPunc</ability>
      <abilityName>全半角检查</abilityName>
      <candidateList>
        <item>（</item>
      </candidateList>
      <explain>文本全半角错误。</explain>
      <paraID>3185FB5A</paraID>
      <start>24</start>
      <end>25</end>
      <status>unmodified</status>
      <modifiedWord/>
      <trackRevisions>false</trackRevisions>
    </reviewItem>
    <reviewItem>
      <errorID>0a5094c1-f580-4c7b-b539-f8b70c1096d8</errorID>
      <errorWord>)</errorWord>
      <group>L1_Format</group>
      <groupName>格式问题</groupName>
      <ability>L2_HalfPunc</ability>
      <abilityName>全半角检查</abilityName>
      <candidateList>
        <item>）</item>
      </candidateList>
      <explain>文本全半角错误。</explain>
      <paraID>3185FB5A</paraID>
      <start>27</start>
      <end>28</end>
      <status>unmodified</status>
      <modifiedWord/>
      <trackRevisions>false</trackRevisions>
    </reviewItem>
    <reviewItem>
      <errorID>36232069-ac92-4873-a246-6bd61dc7d223</errorID>
      <errorWord>2%~6%</errorWord>
      <group>L1_Knowledge</group>
      <groupName>知识性问题</groupName>
      <ability>L2_Knowledge</ability>
      <abilityName>其他知识</abilityName>
      <candidateList>
        <item>2%～6%</item>
      </candidateList>
      <explain>1. “2%~6%”中的单位“%”仅出现在后一个数字上，容易引起歧义；根据《现代汉语标点符号数字用法规范手册》，数字表示范围两边需要使用统一的格式。2. 根据标点国标 4.13 中的规则，数字、时间或地域连接符应使用（视觉上更长的）“—”或“～”。</explain>
      <paraID>1EFC4B97</paraID>
      <start>69</start>
      <end>74</end>
      <status>unmodified</status>
      <modifiedWord/>
      <trackRevisions>false</trackRevisions>
    </reviewItem>
    <reviewItem>
      <errorID>9c247828-a671-48a4-8aa9-6f5246cbc812</errorID>
      <errorWord>(</errorWord>
      <group>L1_Format</group>
      <groupName>格式问题</groupName>
      <ability>L2_HalfPunc</ability>
      <abilityName>全半角检查</abilityName>
      <candidateList>
        <item>（</item>
      </candidateList>
      <explain>文本全半角错误。</explain>
      <paraID>3CC7A620</paraID>
      <start>62</start>
      <end>63</end>
      <status>unmodified</status>
      <modifiedWord/>
      <trackRevisions>false</trackRevisions>
    </reviewItem>
    <reviewItem>
      <errorID>1ecbe51f-40ab-4f23-bb71-40fb1e1cc3d4</errorID>
      <errorWord>)</errorWord>
      <group>L1_Format</group>
      <groupName>格式问题</groupName>
      <ability>L2_HalfPunc</ability>
      <abilityName>全半角检查</abilityName>
      <candidateList>
        <item>）</item>
      </candidateList>
      <explain>文本全半角错误。</explain>
      <paraID>3CC7A620</paraID>
      <start>68</start>
      <end>69</end>
      <status>unmodified</status>
      <modifiedWord/>
      <trackRevisions>false</trackRevisions>
    </reviewItem>
    <reviewItem>
      <errorID>fd235183-f915-4346-af78-a5f98baa4935</errorID>
      <errorWord>(</errorWord>
      <group>L1_Format</group>
      <groupName>格式问题</groupName>
      <ability>L2_HalfPunc</ability>
      <abilityName>全半角检查</abilityName>
      <candidateList>
        <item>（</item>
      </candidateList>
      <explain>文本全半角错误。</explain>
      <paraID>3CC7A620</paraID>
      <start>71</start>
      <end>72</end>
      <status>unmodified</status>
      <modifiedWord/>
      <trackRevisions>false</trackRevisions>
    </reviewItem>
    <reviewItem>
      <errorID>cb0e6ba2-d367-4662-8c3c-daa295dbba4d</errorID>
      <errorWord>)</errorWord>
      <group>L1_Format</group>
      <groupName>格式问题</groupName>
      <ability>L2_HalfPunc</ability>
      <abilityName>全半角检查</abilityName>
      <candidateList>
        <item>）</item>
      </candidateList>
      <explain>文本全半角错误。</explain>
      <paraID>3CC7A620</paraID>
      <start>77</start>
      <end>78</end>
      <status>unmodified</status>
      <modifiedWord/>
      <trackRevisions>false</trackRevisions>
    </reviewItem>
    <reviewItem>
      <errorID>66f3f986-d1cc-4249-9ef9-e633afb0b57c</errorID>
      <errorWord>(</errorWord>
      <group>L1_Format</group>
      <groupName>格式问题</groupName>
      <ability>L2_HalfPunc</ability>
      <abilityName>全半角检查</abilityName>
      <candidateList>
        <item>（</item>
      </candidateList>
      <explain>文本全半角错误。</explain>
      <paraID>3CC7A620</paraID>
      <start>81</start>
      <end>82</end>
      <status>unmodified</status>
      <modifiedWord/>
      <trackRevisions>false</trackRevisions>
    </reviewItem>
    <reviewItem>
      <errorID>d5d2960f-ab17-4015-a9c1-69ed528b7f38</errorID>
      <errorWord>)</errorWord>
      <group>L1_Format</group>
      <groupName>格式问题</groupName>
      <ability>L2_HalfPunc</ability>
      <abilityName>全半角检查</abilityName>
      <candidateList>
        <item>）</item>
      </candidateList>
      <explain>文本全半角错误。</explain>
      <paraID>3CC7A620</paraID>
      <start>85</start>
      <end>86</end>
      <status>unmodified</status>
      <modifiedWord/>
      <trackRevisions>false</trackRevisions>
    </reviewItem>
    <reviewItem>
      <errorID>065b540f-4d21-462f-8ad4-a7ecb366961c</errorID>
      <errorWord>(</errorWord>
      <group>L1_Format</group>
      <groupName>格式问题</groupName>
      <ability>L2_HalfPunc</ability>
      <abilityName>全半角检查</abilityName>
      <candidateList>
        <item>（</item>
      </candidateList>
      <explain>文本全半角错误。</explain>
      <paraID>3CC7A620</paraID>
      <start>90</start>
      <end>91</end>
      <status>unmodified</status>
      <modifiedWord/>
      <trackRevisions>false</trackRevisions>
    </reviewItem>
    <reviewItem>
      <errorID>c49133f8-9fe3-4a17-a412-2e581f77cd79</errorID>
      <errorWord>)</errorWord>
      <group>L1_Format</group>
      <groupName>格式问题</groupName>
      <ability>L2_HalfPunc</ability>
      <abilityName>全半角检查</abilityName>
      <candidateList>
        <item>）</item>
      </candidateList>
      <explain>文本全半角错误。</explain>
      <paraID>3CC7A620</paraID>
      <start>94</start>
      <end>95</end>
      <status>unmodified</status>
      <modifiedWord/>
      <trackRevisions>false</trackRevisions>
    </reviewItem>
    <reviewItem>
      <errorID>bd78f367-10cf-48e5-9a07-f7df1c5bc34e</errorID>
      <errorWord>,</errorWord>
      <group>L1_Format</group>
      <groupName>格式问题</groupName>
      <ability>L2_HalfPunc</ability>
      <abilityName>全半角检查</abilityName>
      <candidateList>
        <item>，</item>
      </candidateList>
      <explain>文本全半角错误。</explain>
      <paraID>3CC7A620</paraID>
      <start>153</start>
      <end>154</end>
      <status>unmodified</status>
      <modifiedWord/>
      <trackRevisions>false</trackRevisions>
    </reviewItem>
    <reviewItem>
      <errorID>58058cc2-7504-42e5-8378-12ae2d9f03bf</errorID>
      <errorWord>(</errorWord>
      <group>L1_Format</group>
      <groupName>格式问题</groupName>
      <ability>L2_HalfPunc</ability>
      <abilityName>全半角检查</abilityName>
      <candidateList>
        <item>（</item>
      </candidateList>
      <explain>文本全半角错误。</explain>
      <paraID>11277D20</paraID>
      <start>2</start>
      <end>3</end>
      <status>unmodified</status>
      <modifiedWord/>
      <trackRevisions>false</trackRevisions>
    </reviewItem>
    <reviewItem>
      <errorID>29e72558-73cb-402f-b0f1-477a5e97c4c7</errorID>
      <errorWord>)</errorWord>
      <group>L1_Format</group>
      <groupName>格式问题</groupName>
      <ability>L2_HalfPunc</ability>
      <abilityName>全半角检查</abilityName>
      <candidateList>
        <item>）</item>
      </candidateList>
      <explain>文本全半角错误。</explain>
      <paraID>11277D20</paraID>
      <start>7</start>
      <end>8</end>
      <status>unmodified</status>
      <modifiedWord/>
      <trackRevisions>false</trackRevisions>
    </reviewItem>
    <reviewItem>
      <errorID>74acadc7-b05e-4293-9d4e-e987cf191c59</errorID>
      <errorWord>(</errorWord>
      <group>L1_Format</group>
      <groupName>格式问题</groupName>
      <ability>L2_HalfPunc</ability>
      <abilityName>全半角检查</abilityName>
      <candidateList>
        <item>（</item>
      </candidateList>
      <explain>文本全半角错误。</explain>
      <paraID>32F7E09C</paraID>
      <start>2</start>
      <end>3</end>
      <status>unmodified</status>
      <modifiedWord/>
      <trackRevisions>false</trackRevisions>
    </reviewItem>
    <reviewItem>
      <errorID>0e40946b-1817-4252-b2b8-8b72e453d530</errorID>
      <errorWord>)</errorWord>
      <group>L1_Format</group>
      <groupName>格式问题</groupName>
      <ability>L2_HalfPunc</ability>
      <abilityName>全半角检查</abilityName>
      <candidateList>
        <item>）</item>
      </candidateList>
      <explain>文本全半角错误。</explain>
      <paraID>32F7E09C</paraID>
      <start>7</start>
      <end>8</end>
      <status>unmodified</status>
      <modifiedWord/>
      <trackRevisions>false</trackRevisions>
    </reviewItem>
    <reviewItem>
      <errorID>679161e7-8aa9-4d63-81d7-1f67c9b4ac7c</errorID>
      <errorWord>(</errorWord>
      <group>L1_Format</group>
      <groupName>格式问题</groupName>
      <ability>L2_HalfPunc</ability>
      <abilityName>全半角检查</abilityName>
      <candidateList>
        <item>（</item>
      </candidateList>
      <explain>文本全半角错误。</explain>
      <paraID>17BC39E8</paraID>
      <start>1</start>
      <end>2</end>
      <status>unmodified</status>
      <modifiedWord/>
      <trackRevisions>false</trackRevisions>
    </reviewItem>
    <reviewItem>
      <errorID>8d9f8129-ce8d-400d-bb2f-76bdafa640e9</errorID>
      <errorWord>)</errorWord>
      <group>L1_Format</group>
      <groupName>格式问题</groupName>
      <ability>L2_HalfPunc</ability>
      <abilityName>全半角检查</abilityName>
      <candidateList>
        <item>）</item>
      </candidateList>
      <explain>文本全半角错误。</explain>
      <paraID>17BC39E8</paraID>
      <start>7</start>
      <end>8</end>
      <status>unmodified</status>
      <modifiedWord/>
      <trackRevisions>false</trackRevisions>
    </reviewItem>
    <reviewItem>
      <errorID>62c3b228-cb3b-4cbb-8f15-a421349f41d3</errorID>
      <errorWord>(</errorWord>
      <group>L1_Format</group>
      <groupName>格式问题</groupName>
      <ability>L2_HalfPunc</ability>
      <abilityName>全半角检查</abilityName>
      <candidateList>
        <item>（</item>
      </candidateList>
      <explain>文本全半角错误。</explain>
      <paraID>2B0646D5</paraID>
      <start>1</start>
      <end>2</end>
      <status>unmodified</status>
      <modifiedWord/>
      <trackRevisions>false</trackRevisions>
    </reviewItem>
    <reviewItem>
      <errorID>70b6b5fb-0c97-4238-a727-441f6809598c</errorID>
      <errorWord>)</errorWord>
      <group>L1_Format</group>
      <groupName>格式问题</groupName>
      <ability>L2_HalfPunc</ability>
      <abilityName>全半角检查</abilityName>
      <candidateList>
        <item>）</item>
      </candidateList>
      <explain>文本全半角错误。</explain>
      <paraID>2B0646D5</paraID>
      <start>7</start>
      <end>8</end>
      <status>unmodified</status>
      <modifiedWord/>
      <trackRevisions>false</trackRevisions>
    </reviewItem>
    <reviewItem>
      <errorID>52fa9dc5-f611-4de6-966d-496a89d88b3e</errorID>
      <errorWord>，数</errorWord>
      <group>L1_Word</group>
      <groupName>字词问题</groupName>
      <ability>L2_Typo</ability>
      <abilityName>字词错误</abilityName>
      <candidateList>
        <item>，</item>
      </candidateList>
      <explain/>
      <paraID>517FEC53</paraID>
      <start>35</start>
      <end>37</end>
      <status>unmodified</status>
      <modifiedWord/>
      <trackRevisions>false</trackRevisions>
    </reviewItem>
    <reviewItem>
      <errorID>94fe0465-41d4-40bc-91e0-054ba184a061</errorID>
      <errorWord>(</errorWord>
      <group>L1_Format</group>
      <groupName>格式问题</groupName>
      <ability>L2_HalfPunc</ability>
      <abilityName>全半角检查</abilityName>
      <candidateList>
        <item>（</item>
      </candidateList>
      <explain>文本全半角错误。</explain>
      <paraID>1103CDC6</paraID>
      <start>94</start>
      <end>95</end>
      <status>unmodified</status>
      <modifiedWord/>
      <trackRevisions>false</trackRevisions>
    </reviewItem>
    <reviewItem>
      <errorID>7a7a5162-d380-443c-9697-60c5e96ac161</errorID>
      <errorWord>)</errorWord>
      <group>L1_Format</group>
      <groupName>格式问题</groupName>
      <ability>L2_HalfPunc</ability>
      <abilityName>全半角检查</abilityName>
      <candidateList>
        <item>）</item>
      </candidateList>
      <explain>文本全半角错误。</explain>
      <paraID>1103CDC6</paraID>
      <start>98</start>
      <end>99</end>
      <status>unmodified</status>
      <modifiedWord/>
      <trackRevisions>false</trackRevisions>
    </reviewItem>
    <reviewItem>
      <errorID>e5b17385-af83-4140-9bfd-0cd023118306</errorID>
      <errorWord>小时时</errorWord>
      <group>L1_Word</group>
      <groupName>字词问题</groupName>
      <ability>L2_Typo</ability>
      <abilityName>字词错误</abilityName>
      <candidateList>
        <item>小时</item>
      </candidateList>
      <explain/>
      <paraID>5FA26E74</paraID>
      <start>23</start>
      <end>25</end>
      <status>modified</status>
      <modifiedWord>小时</modifiedWord>
      <trackRevisions>false</trackRevisions>
    </reviewItem>
    <reviewItem>
      <errorID>3ec328e9-9016-4628-b3cd-94563e7475f2</errorID>
      <errorWord>减小</errorWord>
      <group>L1_Word</group>
      <groupName>字词问题</groupName>
      <ability>L2_Typo</ability>
      <abilityName>字词错误</abilityName>
      <candidateList>
        <item>减少</item>
      </candidateList>
      <explain>存在字形相近字词的误用。</explain>
      <paraID>1C0A9425</paraID>
      <start>167</start>
      <end>169</end>
      <status>unmodified</status>
      <modifiedWord/>
      <trackRevisions>false</trackRevisions>
    </reviewItem>
    <reviewItem>
      <errorID>d218fe9d-6ba3-4c7b-8947-4b4a8332bb24</errorID>
      <errorWord>小时时</errorWord>
      <group>L1_Word</group>
      <groupName>字词问题</groupName>
      <ability>L2_Typo</ability>
      <abilityName>字词错误</abilityName>
      <candidateList>
        <item>小时</item>
      </candidateList>
      <explain/>
      <paraID> C93468D</paraID>
      <start>31</start>
      <end>33</end>
      <status>modified</status>
      <modifiedWord>小时</modifiedWord>
      <trackRevisions>false</trackRevisions>
    </reviewItem>
    <reviewItem>
      <errorID>998af15a-22e8-441d-8b2d-32d648852c67</errorID>
      <errorWord>内内</errorWord>
      <group>L1_Word</group>
      <groupName>字词问题</groupName>
      <ability>L2_Typo</ability>
      <abilityName>字词错误</abilityName>
      <candidateList>
        <item>内</item>
      </candidateList>
      <explain>❶〈名〉方位词。里头（跟“外”相对）：～衣｜～部｜室～｜国～｜年～。❷指妻或妻的亲属：～人｜～侄｜～弟。❸指内心或内脏：～省｜～疚｜五～俱焚。❹〈书〉指皇宫：大～。</explain>
      <paraID>6F9BF2D1</paraID>
      <start>30</start>
      <end>32</end>
      <status>unmodified</status>
      <modifiedWord/>
      <trackRevisions>false</trackRevisions>
    </reviewItem>
    <reviewItem>
      <errorID>22b801d0-28ad-433c-9c9a-c692f3c01eab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4CBF33D0</paraID>
      <start>0</start>
      <end>3</end>
      <status>unmodified</status>
      <modifiedWord/>
      <trackRevisions>false</trackRevisions>
    </reviewItem>
    <reviewItem>
      <errorID>6d306fbd-daae-4fe5-b295-90e10bd067e3</errorID>
      <errorWord>-</errorWord>
      <group>L1_Format</group>
      <groupName>格式问题</groupName>
      <ability>L2_HalfPunc</ability>
      <abilityName>全半角检查</abilityName>
      <candidateList>
        <item>－</item>
      </candidateList>
      <explain>文本全半角错误。</explain>
      <paraID>5E337E04</paraID>
      <start>123</start>
      <end>124</end>
      <status>unmodified</status>
      <modifiedWord/>
      <trackRevisions>false</trackRevisions>
    </reviewItem>
    <reviewItem>
      <errorID>1d3a8697-9f76-4563-8111-4fd04def8da4</errorID>
      <errorWord>粘度</errorWord>
      <group>L1_Word</group>
      <groupName>字词问题</groupName>
      <ability>L2_Alias</ability>
      <abilityName>也作/曾用词</abilityName>
      <candidateList>
        <item>黏度</item>
      </candidateList>
      <explain>词汇[粘度]为不规范表述或旧称，其规范书面表述为[黏度]。</explain>
      <paraID>69FF69BC</paraID>
      <start>88</start>
      <end>90</end>
      <status>unmodified</status>
      <modifiedWord/>
      <trackRevisions>false</trackRevisions>
    </reviewItem>
    <reviewItem>
      <errorID>932d7683-7d03-4709-b949-2ac6ab5bfa22</errorID>
      <errorWord>(</errorWord>
      <group>L1_Format</group>
      <groupName>格式问题</groupName>
      <ability>L2_HalfPunc</ability>
      <abilityName>全半角检查</abilityName>
      <candidateList>
        <item>（</item>
      </candidateList>
      <explain>文本全半角错误。</explain>
      <paraID>24C6D037</paraID>
      <start>32</start>
      <end>33</end>
      <status>unmodified</status>
      <modifiedWord/>
      <trackRevisions>false</trackRevisions>
    </reviewItem>
    <reviewItem>
      <errorID>f4d5b220-b140-430d-96f1-58efc8278220</errorID>
      <errorWord>)</errorWord>
      <group>L1_Format</group>
      <groupName>格式问题</groupName>
      <ability>L2_HalfPunc</ability>
      <abilityName>全半角检查</abilityName>
      <candidateList>
        <item>）</item>
      </candidateList>
      <explain>文本全半角错误。</explain>
      <paraID>24C6D037</paraID>
      <start>42</start>
      <end>43</end>
      <status>unmodified</status>
      <modifiedWord/>
      <trackRevisions>false</trackRevisions>
    </reviewItem>
    <reviewItem>
      <errorID>96c909b8-e6b5-4fef-9bfe-9506a870d5f3</errorID>
      <errorWord>(</errorWord>
      <group>L1_Format</group>
      <groupName>格式问题</groupName>
      <ability>L2_HalfPunc</ability>
      <abilityName>全半角检查</abilityName>
      <candidateList>
        <item>（</item>
      </candidateList>
      <explain>文本全半角错误。</explain>
      <paraID>5B732A1F</paraID>
      <start>2</start>
      <end>3</end>
      <status>unmodified</status>
      <modifiedWord/>
      <trackRevisions>false</trackRevisions>
    </reviewItem>
    <reviewItem>
      <errorID>9fda6f1c-e09b-4f96-a6a5-de4487c7ef78</errorID>
      <errorWord>)</errorWord>
      <group>L1_Format</group>
      <groupName>格式问题</groupName>
      <ability>L2_HalfPunc</ability>
      <abilityName>全半角检查</abilityName>
      <candidateList>
        <item>）</item>
      </candidateList>
      <explain>文本全半角错误。</explain>
      <paraID>5B732A1F</paraID>
      <start>4</start>
      <end>5</end>
      <status>unmodified</status>
      <modifiedWord/>
      <trackRevisions>false</trackRevisions>
    </reviewItem>
    <reviewItem>
      <errorID>451bb32c-073a-44d0-ae8d-cf6fcef8343b</errorID>
      <errorWord>(</errorWord>
      <group>L1_Format</group>
      <groupName>格式问题</groupName>
      <ability>L2_HalfPunc</ability>
      <abilityName>全半角检查</abilityName>
      <candidateList>
        <item>（</item>
      </candidateList>
      <explain>文本全半角错误。</explain>
      <paraID>37AAB859</paraID>
      <start>3</start>
      <end>4</end>
      <status>unmodified</status>
      <modifiedWord/>
      <trackRevisions>false</trackRevisions>
    </reviewItem>
    <reviewItem>
      <errorID>c7802e4f-be88-4e06-8771-e7b34df9ecaf</errorID>
      <errorWord>)</errorWord>
      <group>L1_Format</group>
      <groupName>格式问题</groupName>
      <ability>L2_HalfPunc</ability>
      <abilityName>全半角检查</abilityName>
      <candidateList>
        <item>）</item>
      </candidateList>
      <explain>文本全半角错误。</explain>
      <paraID>37AAB859</paraID>
      <start>5</start>
      <end>6</end>
      <status>unmodified</status>
      <modifiedWord/>
      <trackRevisions>false</trackRevisions>
    </reviewItem>
    <reviewItem>
      <errorID>52b76154-847f-44f4-9176-0b9284b5f78e</errorID>
      <errorWord>(</errorWord>
      <group>L1_Format</group>
      <groupName>格式问题</groupName>
      <ability>L2_HalfPunc</ability>
      <abilityName>全半角检查</abilityName>
      <candidateList>
        <item>（</item>
      </candidateList>
      <explain>文本全半角错误。</explain>
      <paraID>2B6EF7EA</paraID>
      <start>4</start>
      <end>5</end>
      <status>unmodified</status>
      <modifiedWord/>
      <trackRevisions>false</trackRevisions>
    </reviewItem>
    <reviewItem>
      <errorID>9a7b84a5-3fa9-4b9a-9d4d-58cda5fb1bc0</errorID>
      <errorWord>)</errorWord>
      <group>L1_Format</group>
      <groupName>格式问题</groupName>
      <ability>L2_HalfPunc</ability>
      <abilityName>全半角检查</abilityName>
      <candidateList>
        <item>）</item>
      </candidateList>
      <explain>文本全半角错误。</explain>
      <paraID>2B6EF7EA</paraID>
      <start>8</start>
      <end>9</end>
      <status>unmodified</status>
      <modifiedWord/>
      <trackRevisions>false</trackRevisions>
    </reviewItem>
    <reviewItem>
      <errorID>80ddc1c0-8d10-4951-8faf-8032a0570a20</errorID>
      <errorWord>(</errorWord>
      <group>L1_Format</group>
      <groupName>格式问题</groupName>
      <ability>L2_HalfPunc</ability>
      <abilityName>全半角检查</abilityName>
      <candidateList>
        <item>（</item>
      </candidateList>
      <explain>文本全半角错误。</explain>
      <paraID>5B298DB8</paraID>
      <start>4</start>
      <end>5</end>
      <status>unmodified</status>
      <modifiedWord/>
      <trackRevisions>false</trackRevisions>
    </reviewItem>
    <reviewItem>
      <errorID>f2453c8c-792f-4c00-aa38-3f32ee6eeec1</errorID>
      <errorWord>)</errorWord>
      <group>L1_Format</group>
      <groupName>格式问题</groupName>
      <ability>L2_HalfPunc</ability>
      <abilityName>全半角检查</abilityName>
      <candidateList>
        <item>）</item>
      </candidateList>
      <explain>文本全半角错误。</explain>
      <paraID>5B298DB8</paraID>
      <start>7</start>
      <end>8</end>
      <status>unmodified</status>
      <modifiedWord/>
      <trackRevisions>false</trackRevisions>
    </reviewItem>
    <reviewItem>
      <errorID>eda54a92-3b63-481d-a6df-0368d49259dc</errorID>
      <errorWord>(</errorWord>
      <group>L1_Format</group>
      <groupName>格式问题</groupName>
      <ability>L2_HalfPunc</ability>
      <abilityName>全半角检查</abilityName>
      <candidateList>
        <item>（</item>
      </candidateList>
      <explain>文本全半角错误。</explain>
      <paraID>642EB125</paraID>
      <start>3</start>
      <end>4</end>
      <status>unmodified</status>
      <modifiedWord/>
      <trackRevisions>false</trackRevisions>
    </reviewItem>
    <reviewItem>
      <errorID>0496a3f0-b3a6-4ae1-9c5c-7259d0fc4284</errorID>
      <errorWord>)</errorWord>
      <group>L1_Format</group>
      <groupName>格式问题</groupName>
      <ability>L2_HalfPunc</ability>
      <abilityName>全半角检查</abilityName>
      <candidateList>
        <item>）</item>
      </candidateList>
      <explain>文本全半角错误。</explain>
      <paraID>642EB125</paraID>
      <start>5</start>
      <end>6</end>
      <status>unmodified</status>
      <modifiedWord/>
      <trackRevisions>false</trackRevisions>
    </reviewItem>
    <reviewItem>
      <errorID>3ae21faa-0010-4286-add5-928fb4adcf5a</errorID>
      <errorWord>(</errorWord>
      <group>L1_Format</group>
      <groupName>格式问题</groupName>
      <ability>L2_HalfPunc</ability>
      <abilityName>全半角检查</abilityName>
      <candidateList>
        <item>（</item>
      </candidateList>
      <explain>文本全半角错误。</explain>
      <paraID>6E4EC875</paraID>
      <start>4</start>
      <end>5</end>
      <status>unmodified</status>
      <modifiedWord/>
      <trackRevisions>false</trackRevisions>
    </reviewItem>
    <reviewItem>
      <errorID>c48a8f01-eaee-4839-acf6-3b505b594f0d</errorID>
      <errorWord>)</errorWord>
      <group>L1_Format</group>
      <groupName>格式问题</groupName>
      <ability>L2_HalfPunc</ability>
      <abilityName>全半角检查</abilityName>
      <candidateList>
        <item>）</item>
      </candidateList>
      <explain>文本全半角错误。</explain>
      <paraID>6E4EC875</paraID>
      <start>8</start>
      <end>9</end>
      <status>unmodified</status>
      <modifiedWord/>
      <trackRevisions>false</trackRevisions>
    </reviewItem>
    <reviewItem>
      <errorID>ff4a6036-b586-4a6c-b23c-434e1a6a07e0</errorID>
      <errorWord>(</errorWord>
      <group>L1_Format</group>
      <groupName>格式问题</groupName>
      <ability>L2_HalfPunc</ability>
      <abilityName>全半角检查</abilityName>
      <candidateList>
        <item>（</item>
      </candidateList>
      <explain>文本全半角错误。</explain>
      <paraID>1A9972C5</paraID>
      <start>3</start>
      <end>4</end>
      <status>unmodified</status>
      <modifiedWord/>
      <trackRevisions>false</trackRevisions>
    </reviewItem>
    <reviewItem>
      <errorID>ffde5df0-9fbe-45c7-9fb6-ec166ddbddea</errorID>
      <errorWord>)</errorWord>
      <group>L1_Format</group>
      <groupName>格式问题</groupName>
      <ability>L2_HalfPunc</ability>
      <abilityName>全半角检查</abilityName>
      <candidateList>
        <item>）</item>
      </candidateList>
      <explain>文本全半角错误。</explain>
      <paraID>1A9972C5</paraID>
      <start>5</start>
      <end>6</end>
      <status>unmodified</status>
      <modifiedWord/>
      <trackRevisions>false</trackRevisions>
    </reviewItem>
    <reviewItem>
      <errorID>eee45d6c-85b0-4afb-805f-b7c3e3823d2a</errorID>
      <errorWord>(</errorWord>
      <group>L1_Format</group>
      <groupName>格式问题</groupName>
      <ability>L2_HalfPunc</ability>
      <abilityName>全半角检查</abilityName>
      <candidateList>
        <item>（</item>
      </candidateList>
      <explain>文本全半角错误。</explain>
      <paraID> BD4ACA3</paraID>
      <start>4</start>
      <end>5</end>
      <status>unmodified</status>
      <modifiedWord/>
      <trackRevisions>false</trackRevisions>
    </reviewItem>
    <reviewItem>
      <errorID>240c1a3c-4c28-47a8-ad09-23043097ee28</errorID>
      <errorWord>)</errorWord>
      <group>L1_Format</group>
      <groupName>格式问题</groupName>
      <ability>L2_HalfPunc</ability>
      <abilityName>全半角检查</abilityName>
      <candidateList>
        <item>）</item>
      </candidateList>
      <explain>文本全半角错误。</explain>
      <paraID> BD4ACA3</paraID>
      <start>8</start>
      <end>9</end>
      <status>unmodified</status>
      <modifiedWord/>
      <trackRevisions>false</trackRevisions>
    </reviewItem>
    <reviewItem>
      <errorID>c87dd467-2ebf-4048-aa1d-8c71b459b3dd</errorID>
      <errorWord>(</errorWord>
      <group>L1_Format</group>
      <groupName>格式问题</groupName>
      <ability>L2_HalfPunc</ability>
      <abilityName>全半角检查</abilityName>
      <candidateList>
        <item>（</item>
      </candidateList>
      <explain>文本全半角错误。</explain>
      <paraID>3CEE1CD8</paraID>
      <start>3</start>
      <end>4</end>
      <status>unmodified</status>
      <modifiedWord/>
      <trackRevisions>false</trackRevisions>
    </reviewItem>
    <reviewItem>
      <errorID>1d11d7c7-93b8-4355-b795-575495b628c6</errorID>
      <errorWord>)</errorWord>
      <group>L1_Format</group>
      <groupName>格式问题</groupName>
      <ability>L2_HalfPunc</ability>
      <abilityName>全半角检查</abilityName>
      <candidateList>
        <item>）</item>
      </candidateList>
      <explain>文本全半角错误。</explain>
      <paraID>3CEE1CD8</paraID>
      <start>5</start>
      <end>6</end>
      <status>unmodified</status>
      <modifiedWord/>
      <trackRevisions>false</trackRevisions>
    </reviewItem>
    <reviewItem>
      <errorID>feda83ca-df4c-4cb0-9a55-0f54d4c85d9b</errorID>
      <errorWord>(</errorWord>
      <group>L1_Format</group>
      <groupName>格式问题</groupName>
      <ability>L2_HalfPunc</ability>
      <abilityName>全半角检查</abilityName>
      <candidateList>
        <item>（</item>
      </candidateList>
      <explain>文本全半角错误。</explain>
      <paraID>15D566C9</paraID>
      <start>4</start>
      <end>5</end>
      <status>unmodified</status>
      <modifiedWord/>
      <trackRevisions>false</trackRevisions>
    </reviewItem>
    <reviewItem>
      <errorID>af7edccd-01b3-473a-9a17-316b17f23868</errorID>
      <errorWord>)</errorWord>
      <group>L1_Format</group>
      <groupName>格式问题</groupName>
      <ability>L2_HalfPunc</ability>
      <abilityName>全半角检查</abilityName>
      <candidateList>
        <item>）</item>
      </candidateList>
      <explain>文本全半角错误。</explain>
      <paraID>15D566C9</paraID>
      <start>8</start>
      <end>9</end>
      <status>unmodified</status>
      <modifiedWord/>
      <trackRevisions>false</trackRevisions>
    </reviewItem>
    <reviewItem>
      <errorID>8ca8c0c4-585c-4e16-8665-3edd33a5d8e8</errorID>
      <errorWord>(</errorWord>
      <group>L1_Format</group>
      <groupName>格式问题</groupName>
      <ability>L2_HalfPunc</ability>
      <abilityName>全半角检查</abilityName>
      <candidateList>
        <item>（</item>
      </candidateList>
      <explain>文本全半角错误。</explain>
      <paraID>36D4D81B</paraID>
      <start>4</start>
      <end>5</end>
      <status>unmodified</status>
      <modifiedWord/>
      <trackRevisions>false</trackRevisions>
    </reviewItem>
    <reviewItem>
      <errorID>23ce0bd4-e4d2-4c46-a8b5-f3b6997320a7</errorID>
      <errorWord>)</errorWord>
      <group>L1_Format</group>
      <groupName>格式问题</groupName>
      <ability>L2_HalfPunc</ability>
      <abilityName>全半角检查</abilityName>
      <candidateList>
        <item>）</item>
      </candidateList>
      <explain>文本全半角错误。</explain>
      <paraID>36D4D81B</paraID>
      <start>7</start>
      <end>8</end>
      <status>unmodified</status>
      <modifiedWord/>
      <trackRevisions>false</trackRevisions>
    </reviewItem>
    <reviewItem>
      <errorID>9cc0140c-4b09-4757-a70a-fc34b34373ef</errorID>
      <errorWord>(</errorWord>
      <group>L1_Format</group>
      <groupName>格式问题</groupName>
      <ability>L2_HalfPunc</ability>
      <abilityName>全半角检查</abilityName>
      <candidateList>
        <item>（</item>
      </candidateList>
      <explain>文本全半角错误。</explain>
      <paraID> 850BDED</paraID>
      <start>2</start>
      <end>3</end>
      <status>unmodified</status>
      <modifiedWord/>
      <trackRevisions>false</trackRevisions>
    </reviewItem>
    <reviewItem>
      <errorID>fda66e44-d93b-485a-a03d-08ceeac0a475</errorID>
      <errorWord>)</errorWord>
      <group>L1_Format</group>
      <groupName>格式问题</groupName>
      <ability>L2_HalfPunc</ability>
      <abilityName>全半角检查</abilityName>
      <candidateList>
        <item>）</item>
      </candidateList>
      <explain>文本全半角错误。</explain>
      <paraID> 850BDED</paraID>
      <start>4</start>
      <end>5</end>
      <status>unmodified</status>
      <modifiedWord/>
      <trackRevisions>false</trackRevisions>
    </reviewItem>
    <reviewItem>
      <errorID>409384af-5587-4da2-8938-11494a52074f</errorID>
      <errorWord>(</errorWord>
      <group>L1_Format</group>
      <groupName>格式问题</groupName>
      <ability>L2_HalfPunc</ability>
      <abilityName>全半角检查</abilityName>
      <candidateList>
        <item>（</item>
      </candidateList>
      <explain>文本全半角错误。</explain>
      <paraID>34F48DBC</paraID>
      <start>3</start>
      <end>4</end>
      <status>unmodified</status>
      <modifiedWord/>
      <trackRevisions>false</trackRevisions>
    </reviewItem>
    <reviewItem>
      <errorID>d87fe984-ed22-4754-9390-e3ddbf6def1e</errorID>
      <errorWord>)</errorWord>
      <group>L1_Format</group>
      <groupName>格式问题</groupName>
      <ability>L2_HalfPunc</ability>
      <abilityName>全半角检查</abilityName>
      <candidateList>
        <item>）</item>
      </candidateList>
      <explain>文本全半角错误。</explain>
      <paraID>34F48DBC</paraID>
      <start>5</start>
      <end>6</end>
      <status>unmodified</status>
      <modifiedWord/>
      <trackRevisions>false</trackRevisions>
    </reviewItem>
    <reviewItem>
      <errorID>8346191d-2f73-403b-af8d-1e8f7e4853d8</errorID>
      <errorWord>(</errorWord>
      <group>L1_Format</group>
      <groupName>格式问题</groupName>
      <ability>L2_HalfPunc</ability>
      <abilityName>全半角检查</abilityName>
      <candidateList>
        <item>（</item>
      </candidateList>
      <explain>文本全半角错误。</explain>
      <paraID>24EE35D9</paraID>
      <start>4</start>
      <end>5</end>
      <status>unmodified</status>
      <modifiedWord/>
      <trackRevisions>false</trackRevisions>
    </reviewItem>
    <reviewItem>
      <errorID>d4df72b5-530f-43dc-b9d8-1cf1fc02b837</errorID>
      <errorWord>)</errorWord>
      <group>L1_Format</group>
      <groupName>格式问题</groupName>
      <ability>L2_HalfPunc</ability>
      <abilityName>全半角检查</abilityName>
      <candidateList>
        <item>）</item>
      </candidateList>
      <explain>文本全半角错误。</explain>
      <paraID>24EE35D9</paraID>
      <start>8</start>
      <end>9</end>
      <status>unmodified</status>
      <modifiedWord/>
      <trackRevisions>false</trackRevisions>
    </reviewItem>
    <reviewItem>
      <errorID>ec0343b8-3e72-43c7-ab34-2b6f994a4398</errorID>
      <errorWord>(</errorWord>
      <group>L1_Format</group>
      <groupName>格式问题</groupName>
      <ability>L2_HalfPunc</ability>
      <abilityName>全半角检查</abilityName>
      <candidateList>
        <item>（</item>
      </candidateList>
      <explain>文本全半角错误。</explain>
      <paraID>6194836C</paraID>
      <start>4</start>
      <end>5</end>
      <status>unmodified</status>
      <modifiedWord/>
      <trackRevisions>false</trackRevisions>
    </reviewItem>
    <reviewItem>
      <errorID>60edda59-e122-42af-8d7a-298a15147851</errorID>
      <errorWord>)</errorWord>
      <group>L1_Format</group>
      <groupName>格式问题</groupName>
      <ability>L2_HalfPunc</ability>
      <abilityName>全半角检查</abilityName>
      <candidateList>
        <item>）</item>
      </candidateList>
      <explain>文本全半角错误。</explain>
      <paraID>6194836C</paraID>
      <start>7</start>
      <end>8</end>
      <status>unmodified</status>
      <modifiedWord/>
      <trackRevisions>false</trackRevisions>
    </reviewItem>
    <reviewItem>
      <errorID>740cefa9-e41b-4a19-8959-10dc3c739b9d</errorID>
      <errorWord>(</errorWord>
      <group>L1_Format</group>
      <groupName>格式问题</groupName>
      <ability>L2_HalfPunc</ability>
      <abilityName>全半角检查</abilityName>
      <candidateList>
        <item>（</item>
      </candidateList>
      <explain>文本全半角错误。</explain>
      <paraID>1982ABEA</paraID>
      <start>3</start>
      <end>4</end>
      <status>unmodified</status>
      <modifiedWord/>
      <trackRevisions>false</trackRevisions>
    </reviewItem>
    <reviewItem>
      <errorID>36afbaee-b898-4223-b24e-a2ac8d8df5a9</errorID>
      <errorWord>)</errorWord>
      <group>L1_Format</group>
      <groupName>格式问题</groupName>
      <ability>L2_HalfPunc</ability>
      <abilityName>全半角检查</abilityName>
      <candidateList>
        <item>）</item>
      </candidateList>
      <explain>文本全半角错误。</explain>
      <paraID>1982ABEA</paraID>
      <start>5</start>
      <end>6</end>
      <status>unmodified</status>
      <modifiedWord/>
      <trackRevisions>false</trackRevisions>
    </reviewItem>
    <reviewItem>
      <errorID>b06b80dd-e14c-4688-afa7-038c1d0eded8</errorID>
      <errorWord>(</errorWord>
      <group>L1_Format</group>
      <groupName>格式问题</groupName>
      <ability>L2_HalfPunc</ability>
      <abilityName>全半角检查</abilityName>
      <candidateList>
        <item>（</item>
      </candidateList>
      <explain>文本全半角错误。</explain>
      <paraID>4509F624</paraID>
      <start>4</start>
      <end>5</end>
      <status>unmodified</status>
      <modifiedWord/>
      <trackRevisions>false</trackRevisions>
    </reviewItem>
    <reviewItem>
      <errorID>324cfac9-5cef-4cb0-8c65-ec76e93eee31</errorID>
      <errorWord>)</errorWord>
      <group>L1_Format</group>
      <groupName>格式问题</groupName>
      <ability>L2_HalfPunc</ability>
      <abilityName>全半角检查</abilityName>
      <candidateList>
        <item>）</item>
      </candidateList>
      <explain>文本全半角错误。</explain>
      <paraID>4509F624</paraID>
      <start>8</start>
      <end>9</end>
      <status>unmodified</status>
      <modifiedWord/>
      <trackRevisions>false</trackRevisions>
    </reviewItem>
    <reviewItem>
      <errorID>c7daf2e1-9a1f-4be5-adfb-2adbd138fbd4</errorID>
      <errorWord>(</errorWord>
      <group>L1_Format</group>
      <groupName>格式问题</groupName>
      <ability>L2_HalfPunc</ability>
      <abilityName>全半角检查</abilityName>
      <candidateList>
        <item>（</item>
      </candidateList>
      <explain>文本全半角错误。</explain>
      <paraID>6D858F82</paraID>
      <start>3</start>
      <end>4</end>
      <status>unmodified</status>
      <modifiedWord/>
      <trackRevisions>false</trackRevisions>
    </reviewItem>
    <reviewItem>
      <errorID>2018429a-1e8f-4678-b069-a6a6230c989c</errorID>
      <errorWord>)</errorWord>
      <group>L1_Format</group>
      <groupName>格式问题</groupName>
      <ability>L2_HalfPunc</ability>
      <abilityName>全半角检查</abilityName>
      <candidateList>
        <item>）</item>
      </candidateList>
      <explain>文本全半角错误。</explain>
      <paraID>6D858F82</paraID>
      <start>5</start>
      <end>6</end>
      <status>unmodified</status>
      <modifiedWord/>
      <trackRevisions>false</trackRevisions>
    </reviewItem>
    <reviewItem>
      <errorID>3cda4fac-db8f-4ae7-a9b9-ca6b5d2e949f</errorID>
      <errorWord>(</errorWord>
      <group>L1_Format</group>
      <groupName>格式问题</groupName>
      <ability>L2_HalfPunc</ability>
      <abilityName>全半角检查</abilityName>
      <candidateList>
        <item>（</item>
      </candidateList>
      <explain>文本全半角错误。</explain>
      <paraID>37DF65D0</paraID>
      <start>4</start>
      <end>5</end>
      <status>unmodified</status>
      <modifiedWord/>
      <trackRevisions>false</trackRevisions>
    </reviewItem>
    <reviewItem>
      <errorID>5e418a7d-d022-41e8-96fd-6fa55ac51fe2</errorID>
      <errorWord>)</errorWord>
      <group>L1_Format</group>
      <groupName>格式问题</groupName>
      <ability>L2_HalfPunc</ability>
      <abilityName>全半角检查</abilityName>
      <candidateList>
        <item>）</item>
      </candidateList>
      <explain>文本全半角错误。</explain>
      <paraID>37DF65D0</paraID>
      <start>8</start>
      <end>9</end>
      <status>unmodified</status>
      <modifiedWord/>
      <trackRevisions>false</trackRevisions>
    </reviewItem>
    <reviewItem>
      <errorID>b0f011f8-11c8-4a79-a8cd-84ddf65e2ead</errorID>
      <errorWord>(</errorWord>
      <group>L1_Format</group>
      <groupName>格式问题</groupName>
      <ability>L2_HalfPunc</ability>
      <abilityName>全半角检查</abilityName>
      <candidateList>
        <item>（</item>
      </candidateList>
      <explain>文本全半角错误。</explain>
      <paraID>2D324C6F</paraID>
      <start>3</start>
      <end>4</end>
      <status>unmodified</status>
      <modifiedWord/>
      <trackRevisions>false</trackRevisions>
    </reviewItem>
    <reviewItem>
      <errorID>424f33d6-aa5b-43bd-8334-94db0a81e724</errorID>
      <errorWord>)</errorWord>
      <group>L1_Format</group>
      <groupName>格式问题</groupName>
      <ability>L2_HalfPunc</ability>
      <abilityName>全半角检查</abilityName>
      <candidateList>
        <item>）</item>
      </candidateList>
      <explain>文本全半角错误。</explain>
      <paraID>2D324C6F</paraID>
      <start>5</start>
      <end>6</end>
      <status>unmodified</status>
      <modifiedWord/>
      <trackRevisions>false</trackRevisions>
    </reviewItem>
    <reviewItem>
      <errorID>b32c3d9b-c486-48cd-b4ae-e967a176e4f3</errorID>
      <errorWord>(</errorWord>
      <group>L1_Format</group>
      <groupName>格式问题</groupName>
      <ability>L2_HalfPunc</ability>
      <abilityName>全半角检查</abilityName>
      <candidateList>
        <item>（</item>
      </candidateList>
      <explain>文本全半角错误。</explain>
      <paraID>7DAAF911</paraID>
      <start>4</start>
      <end>5</end>
      <status>unmodified</status>
      <modifiedWord/>
      <trackRevisions>false</trackRevisions>
    </reviewItem>
    <reviewItem>
      <errorID>9bfab815-fcb1-47d7-b946-71c7ca11cfc0</errorID>
      <errorWord>)</errorWord>
      <group>L1_Format</group>
      <groupName>格式问题</groupName>
      <ability>L2_HalfPunc</ability>
      <abilityName>全半角检查</abilityName>
      <candidateList>
        <item>）</item>
      </candidateList>
      <explain>文本全半角错误。</explain>
      <paraID>7DAAF911</paraID>
      <start>8</start>
      <end>9</end>
      <status>unmodified</status>
      <modifiedWord/>
      <trackRevisions>false</trackRevisions>
    </reviewItem>
    <reviewItem>
      <errorID>55c8c619-7550-4a6c-8f38-2114819b3a73</errorID>
      <errorWord>(</errorWord>
      <group>L1_Format</group>
      <groupName>格式问题</groupName>
      <ability>L2_HalfPunc</ability>
      <abilityName>全半角检查</abilityName>
      <candidateList>
        <item>（</item>
      </candidateList>
      <explain>文本全半角错误。</explain>
      <paraID>2321EA9A</paraID>
      <start>4</start>
      <end>5</end>
      <status>unmodified</status>
      <modifiedWord/>
      <trackRevisions>false</trackRevisions>
    </reviewItem>
    <reviewItem>
      <errorID>8f1658b8-e016-4186-a3d2-77feaf9a3583</errorID>
      <errorWord>)</errorWord>
      <group>L1_Format</group>
      <groupName>格式问题</groupName>
      <ability>L2_HalfPunc</ability>
      <abilityName>全半角检查</abilityName>
      <candidateList>
        <item>）</item>
      </candidateList>
      <explain>文本全半角错误。</explain>
      <paraID>2321EA9A</paraID>
      <start>7</start>
      <end>8</end>
      <status>unmodified</status>
      <modifiedWord/>
      <trackRevisions>false</trackRevisions>
    </reviewItem>
    <reviewItem>
      <errorID>e0d2d436-9ba6-42fa-8add-245babe30f05</errorID>
      <errorWord>作为的</errorWord>
      <group>L1_Word</group>
      <groupName>字词问题</groupName>
      <ability>L2_Typo</ability>
      <abilityName>字词错误</abilityName>
      <candidateList>
        <item>作为</item>
      </candidateList>
      <explain>❶〈动〉当做：～罢论｜～无效｜我把游泳～锻炼身体的方法。❷〈介〉就人的某种身份或事物的某种性质来说：～一个学生，首先得把学习搞好｜～一部词典，必须有明确的编写宗旨。</explain>
      <paraID>6673F356</paraID>
      <start>55</start>
      <end>58</end>
      <status>unmodified</status>
      <modifiedWord/>
      <trackRevisions>false</trackRevisions>
    </reviewItem>
    <reviewItem>
      <errorID>6f13768e-f9f9-409e-8aa1-ba6ac159cd67</errorID>
      <errorWord>中度</errorWord>
      <group>L1_Word</group>
      <groupName>字词问题</groupName>
      <ability>L2_Typo</ability>
      <abilityName>字词错误</abilityName>
      <candidateList>
        <item>重度</item>
      </candidateList>
      <explain/>
      <paraID>664192FE</paraID>
      <start>0</start>
      <end>2</end>
      <status>unmodified</status>
      <modifiedWord/>
      <trackRevisions>false</trackRevisions>
    </reviewItem>
    <reviewItem>
      <errorID>68cf3684-f73a-4d2d-a7b4-70425c93256c</errorID>
      <errorWord>&gt;</errorWord>
      <group>L1_Punc</group>
      <groupName>标点问题</groupName>
      <ability>L2_Punc</ability>
      <abilityName>标点符号检查</abilityName>
      <candidateList/>
      <explain/>
      <paraID>1A991A60</paraID>
      <start>0</start>
      <end>1</end>
      <status>unmodified</status>
      <modifiedWord/>
      <trackRevisions>false</trackRevisions>
    </reviewItem>
    <reviewItem>
      <errorID>d65a209c-1bf7-4dc6-b1f7-c7e97ae3d1d3</errorID>
      <errorWord>(</errorWord>
      <group>L1_Format</group>
      <groupName>格式问题</groupName>
      <ability>L2_HalfPunc</ability>
      <abilityName>全半角检查</abilityName>
      <candidateList>
        <item>（</item>
      </candidateList>
      <explain>文本全半角错误。</explain>
      <paraID>63C01A6F</paraID>
      <start>28</start>
      <end>29</end>
      <status>unmodified</status>
      <modifiedWord/>
      <trackRevisions>false</trackRevisions>
    </reviewItem>
    <reviewItem>
      <errorID>4d55e77c-c211-48d7-869a-66d7d6727785</errorID>
      <errorWord>)</errorWord>
      <group>L1_Format</group>
      <groupName>格式问题</groupName>
      <ability>L2_HalfPunc</ability>
      <abilityName>全半角检查</abilityName>
      <candidateList>
        <item>）</item>
      </candidateList>
      <explain>文本全半角错误。</explain>
      <paraID>63C01A6F</paraID>
      <start>51</start>
      <end>52</end>
      <status>unmodified</status>
      <modifiedWord/>
      <trackRevisions>false</trackRevisions>
    </reviewItem>
    <reviewItem>
      <errorID>7b1c790f-11b2-4f8d-a34a-932fe83b26ea</errorID>
      <errorWord>,</errorWord>
      <group>L1_Format</group>
      <groupName>格式问题</groupName>
      <ability>L2_HalfPunc</ability>
      <abilityName>全半角检查</abilityName>
      <candidateList>
        <item>，</item>
      </candidateList>
      <explain>文本全半角错误。</explain>
      <paraID>49DCAACB</paraID>
      <start>12</start>
      <end>13</end>
      <status>unmodified</status>
      <modifiedWord/>
      <trackRevisions>false</trackRevisions>
    </reviewItem>
    <reviewItem>
      <errorID>3e47769a-7458-4198-ade6-7145490989b8</errorID>
      <errorWord>,</errorWord>
      <group>L1_Format</group>
      <groupName>格式问题</groupName>
      <ability>L2_HalfPunc</ability>
      <abilityName>全半角检查</abilityName>
      <candidateList>
        <item>，</item>
      </candidateList>
      <explain>文本全半角错误。</explain>
      <paraID>324BEEE0</paraID>
      <start>12</start>
      <end>13</end>
      <status>unmodified</status>
      <modifiedWord/>
      <trackRevisions>false</trackRevisions>
    </reviewItem>
    <reviewItem>
      <errorID>f00de6e5-738d-49e0-b0b0-978ec4fafa73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2310D0A8</paraID>
      <start>0</start>
      <end>2</end>
      <status>unmodified</status>
      <modifiedWord/>
      <trackRevisions>false</trackRevisions>
    </reviewItem>
    <reviewItem>
      <errorID>66f3c39f-6928-4d4c-a0ac-cca0a40118c9</errorID>
      <errorWord>泄露</errorWord>
      <group>L1_Word</group>
      <groupName>字词问题</groupName>
      <ability>L2_Typo</ability>
      <abilityName>字词错误</abilityName>
      <candidateList>
        <item>泄漏</item>
      </candidateList>
      <explain>存在发音相同字词的误用。</explain>
      <paraID>3902BB9B</paraID>
      <start>4</start>
      <end>6</end>
      <status>unmodified</status>
      <modifiedWord/>
      <trackRevisions>false</trackRevisions>
    </reviewItem>
    <reviewItem>
      <errorID>3d64683b-42a6-477d-8365-fd3ff3c7931f</errorID>
      <errorWord>泄露</errorWord>
      <group>L1_Word</group>
      <groupName>字词问题</groupName>
      <ability>L2_Typo</ability>
      <abilityName>字词错误</abilityName>
      <candidateList>
        <item>泄漏</item>
      </candidateList>
      <explain>存在发音相同字词的误用。</explain>
      <paraID>3902BB9B</paraID>
      <start>71</start>
      <end>73</end>
      <status>unmodified</status>
      <modifiedWord/>
      <trackRevisions>false</trackRevisions>
    </reviewItem>
    <reviewItem>
      <errorID>01c7b43f-a0a6-4772-8422-ca4a8eb9276a</errorID>
      <errorWord>＞</errorWord>
      <group>L1_Format</group>
      <groupName>格式问题</groupName>
      <ability>L2_HalfPunc</ability>
      <abilityName>全半角检查</abilityName>
      <candidateList>
        <item>&gt;</item>
      </candidateList>
      <explain>文本全半角错误。</explain>
      <paraID>5E9F7EB9</paraID>
      <start>0</start>
      <end>1</end>
      <status>unmodified</status>
      <modifiedWord/>
      <trackRevisions>false</trackRevisions>
    </reviewItem>
    <reviewItem>
      <errorID>15dcc021-2030-447d-9d91-896e119c1793</errorID>
      <errorWord>泄露</errorWord>
      <group>L1_Word</group>
      <groupName>字词问题</groupName>
      <ability>L2_Typo</ability>
      <abilityName>字词错误</abilityName>
      <candidateList>
        <item>泄漏</item>
      </candidateList>
      <explain>存在发音相同字词的误用。</explain>
      <paraID>1F8723C5</paraID>
      <start>6</start>
      <end>8</end>
      <status>unmodified</status>
      <modifiedWord/>
      <trackRevisions>false</trackRevisions>
    </reviewItem>
    <reviewItem>
      <errorID>8ca4e42f-f093-4643-8aaf-207da03da202</errorID>
      <errorWord>泄露</errorWord>
      <group>L1_Word</group>
      <groupName>字词问题</groupName>
      <ability>L2_Typo</ability>
      <abilityName>字词错误</abilityName>
      <candidateList>
        <item>泄漏</item>
      </candidateList>
      <explain/>
      <paraID>1F8723C5</paraID>
      <start>56</start>
      <end>58</end>
      <status>unmodified</status>
      <modifiedWord/>
      <trackRevisions>false</trackRevisions>
    </reviewItem>
    <reviewItem>
      <errorID>900620b6-4954-43cf-802b-3c59ba09e342</errorID>
      <errorWord>泄露</errorWord>
      <group>L1_Word</group>
      <groupName>字词问题</groupName>
      <ability>L2_Typo</ability>
      <abilityName>字词错误</abilityName>
      <candidateList>
        <item>泄漏</item>
      </candidateList>
      <explain/>
      <paraID>1F8723C5</paraID>
      <start>166</start>
      <end>168</end>
      <status>unmodified</status>
      <modifiedWord/>
      <trackRevisions>false</trackRevisions>
    </reviewItem>
    <reviewItem>
      <errorID>e7a8e102-18e2-4f4f-a2a7-6efe0bd98738</errorID>
      <errorWord>泄露</errorWord>
      <group>L1_Word</group>
      <groupName>字词问题</groupName>
      <ability>L2_Typo</ability>
      <abilityName>字词错误</abilityName>
      <candidateList>
        <item>泄漏</item>
      </candidateList>
      <explain/>
      <paraID>1F8723C5</paraID>
      <start>173</start>
      <end>175</end>
      <status>unmodified</status>
      <modifiedWord/>
      <trackRevisions>false</trackRevisions>
    </reviewItem>
    <reviewItem>
      <errorID>b3fc7fb3-92fa-4ce9-b50b-a023adbc60a1</errorID>
      <errorWord>(</errorWord>
      <group>L1_Format</group>
      <groupName>格式问题</groupName>
      <ability>L2_HalfPunc</ability>
      <abilityName>全半角检查</abilityName>
      <candidateList>
        <item>（</item>
      </candidateList>
      <explain>文本全半角错误。</explain>
      <paraID>1F8723C5</paraID>
      <start>189</start>
      <end>190</end>
      <status>unmodified</status>
      <modifiedWord/>
      <trackRevisions>false</trackRevisions>
    </reviewItem>
    <reviewItem>
      <errorID>5e893c33-1aa5-4922-b09a-026bdb23d445</errorID>
      <errorWord>)</errorWord>
      <group>L1_Format</group>
      <groupName>格式问题</groupName>
      <ability>L2_HalfPunc</ability>
      <abilityName>全半角检查</abilityName>
      <candidateList>
        <item>）</item>
      </candidateList>
      <explain>文本全半角错误。</explain>
      <paraID>1F8723C5</paraID>
      <start>193</start>
      <end>194</end>
      <status>unmodified</status>
      <modifiedWord/>
      <trackRevisions>false</trackRevisions>
    </reviewItem>
    <reviewItem>
      <errorID>a3d47bc0-40e5-4e55-844c-f85e6414fc4b</errorID>
      <errorWord>＞</errorWord>
      <group>L1_Format</group>
      <groupName>格式问题</groupName>
      <ability>L2_HalfPunc</ability>
      <abilityName>全半角检查</abilityName>
      <candidateList>
        <item>&gt;</item>
      </candidateList>
      <explain>文本全半角错误。</explain>
      <paraID>49D36F05</paraID>
      <start>0</start>
      <end>1</end>
      <status>unmodified</status>
      <modifiedWord/>
      <trackRevisions>false</trackRevisions>
    </reviewItem>
    <reviewItem>
      <errorID>77ba3a29-8307-4f94-a9e3-3a1e8b5f0da0</errorID>
      <errorWord>，</errorWord>
      <group>L1_Format</group>
      <groupName>格式问题</groupName>
      <ability>L2_HalfPunc</ability>
      <abilityName>全半角检查</abilityName>
      <candidateList>
        <item>,</item>
      </candidateList>
      <explain>文本全半角错误。</explain>
      <paraID>384AC7F5</paraID>
      <start>4</start>
      <end>5</end>
      <status>unmodified</status>
      <modifiedWord/>
      <trackRevisions>false</trackRevisions>
    </reviewItem>
    <reviewItem>
      <errorID>28adde4e-4583-4789-8092-4fa41cb7d5e0</errorID>
      <errorWord>，</errorWord>
      <group>L1_Format</group>
      <groupName>格式问题</groupName>
      <ability>L2_HalfPunc</ability>
      <abilityName>全半角检查</abilityName>
      <candidateList>
        <item>,</item>
      </candidateList>
      <explain>文本全半角错误。</explain>
      <paraID>27E5CE6F</paraID>
      <start>3</start>
      <end>4</end>
      <status>unmodified</status>
      <modifiedWord/>
      <trackRevisions>false</trackRevisions>
    </reviewItem>
    <reviewItem>
      <errorID>df1bbc67-3102-450f-b7da-4a7722b08b84</errorID>
      <errorWord>(</errorWord>
      <group>L1_Format</group>
      <groupName>格式问题</groupName>
      <ability>L2_HalfPunc</ability>
      <abilityName>全半角检查</abilityName>
      <candidateList>
        <item>（</item>
      </candidateList>
      <explain>文本全半角错误。</explain>
      <paraID>5B399578</paraID>
      <start>21</start>
      <end>22</end>
      <status>unmodified</status>
      <modifiedWord/>
      <trackRevisions>false</trackRevisions>
    </reviewItem>
    <reviewItem>
      <errorID>0b637c91-a429-42c8-8d43-4db2daf1fc14</errorID>
      <errorWord>)</errorWord>
      <group>L1_Format</group>
      <groupName>格式问题</groupName>
      <ability>L2_HalfPunc</ability>
      <abilityName>全半角检查</abilityName>
      <candidateList>
        <item>）</item>
      </candidateList>
      <explain>文本全半角错误。</explain>
      <paraID>5B399578</paraID>
      <start>25</start>
      <end>26</end>
      <status>unmodified</status>
      <modifiedWord/>
      <trackRevisions>false</trackRevisions>
    </reviewItem>
    <reviewItem>
      <errorID>27c3b2a9-50b9-4cea-a631-564d259de141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69DB42DE</paraID>
      <start>0</start>
      <end>2</end>
      <status>unmodified</status>
      <modifiedWord/>
      <trackRevisions>false</trackRevisions>
    </reviewItem>
    <reviewItem>
      <errorID>07f9e7ea-0f1b-4f23-b2f4-c4e4aa6250f3</errorID>
      <errorWord>-</errorWord>
      <group>L1_Format</group>
      <groupName>格式问题</groupName>
      <ability>L2_HalfPunc</ability>
      <abilityName>全半角检查</abilityName>
      <candidateList>
        <item>－</item>
      </candidateList>
      <explain>文本全半角错误。</explain>
      <paraID>1BA12C6C</paraID>
      <start>58</start>
      <end>59</end>
      <status>unmodified</status>
      <modifiedWord/>
      <trackRevisions>false</trackRevisions>
    </reviewItem>
    <reviewItem>
      <errorID>e06478f5-d9c8-4e7a-9db7-96403c6cd161</errorID>
      <errorWord>(</errorWord>
      <group>L1_Format</group>
      <groupName>格式问题</groupName>
      <ability>L2_HalfPunc</ability>
      <abilityName>全半角检查</abilityName>
      <candidateList>
        <item>（</item>
      </candidateList>
      <explain>文本全半角错误。</explain>
      <paraID>54D8B7E9</paraID>
      <start>5</start>
      <end>6</end>
      <status>unmodified</status>
      <modifiedWord/>
      <trackRevisions>false</trackRevisions>
    </reviewItem>
    <reviewItem>
      <errorID>c301c8c0-b3c3-4318-806b-5284d2e0aa5c</errorID>
      <errorWord>)</errorWord>
      <group>L1_Format</group>
      <groupName>格式问题</groupName>
      <ability>L2_HalfPunc</ability>
      <abilityName>全半角检查</abilityName>
      <candidateList>
        <item>）</item>
      </candidateList>
      <explain>文本全半角错误。</explain>
      <paraID>54D8B7E9</paraID>
      <start>15</start>
      <end>16</end>
      <status>unmodified</status>
      <modifiedWord/>
      <trackRevisions>false</trackRevisions>
    </reviewItem>
    <reviewItem>
      <errorID>b6072c40-c9dc-460f-b2c5-fe8cead390be</errorID>
      <errorWord>＜</errorWord>
      <group>L1_Format</group>
      <groupName>格式问题</groupName>
      <ability>L2_HalfPunc</ability>
      <abilityName>全半角检查</abilityName>
      <candidateList>
        <item>&lt;</item>
      </candidateList>
      <explain>文本全半角错误。</explain>
      <paraID>6E32FB39</paraID>
      <start>0</start>
      <end>1</end>
      <status>unmodified</status>
      <modifiedWord/>
      <trackRevisions>false</trackRevisions>
    </reviewItem>
    <reviewItem>
      <errorID>ab5e330a-8668-4863-a1c3-47a1d898962c</errorID>
      <errorWord>＜</errorWord>
      <group>L1_Format</group>
      <groupName>格式问题</groupName>
      <ability>L2_HalfPunc</ability>
      <abilityName>全半角检查</abilityName>
      <candidateList>
        <item>&lt;</item>
      </candidateList>
      <explain>文本全半角错误。</explain>
      <paraID>68CA4083</paraID>
      <start>0</start>
      <end>1</end>
      <status>unmodified</status>
      <modifiedWord/>
      <trackRevisions>false</trackRevisions>
    </reviewItem>
    <reviewItem>
      <errorID>06dab0cc-0552-4b47-bb17-73780ce0f761</errorID>
      <errorWord>＜</errorWord>
      <group>L1_Format</group>
      <groupName>格式问题</groupName>
      <ability>L2_HalfPunc</ability>
      <abilityName>全半角检查</abilityName>
      <candidateList>
        <item>&lt;</item>
      </candidateList>
      <explain>文本全半角错误。</explain>
      <paraID>45F92770</paraID>
      <start>0</start>
      <end>1</end>
      <status>unmodified</status>
      <modifiedWord/>
      <trackRevisions>false</trackRevisions>
    </reviewItem>
    <reviewItem>
      <errorID>66b9301d-9da2-4600-ad8c-2d7e375dd633</errorID>
      <errorWord>＜</errorWord>
      <group>L1_Format</group>
      <groupName>格式问题</groupName>
      <ability>L2_HalfPunc</ability>
      <abilityName>全半角检查</abilityName>
      <candidateList>
        <item>&lt;</item>
      </candidateList>
      <explain>文本全半角错误。</explain>
      <paraID>732C4BDC</paraID>
      <start>0</start>
      <end>1</end>
      <status>unmodified</status>
      <modifiedWord/>
      <trackRevisions>false</trackRevisions>
    </reviewItem>
    <reviewItem>
      <errorID>1a5e01d2-21f3-4c71-aeb2-269cd5d7e326</errorID>
      <errorWord>＜</errorWord>
      <group>L1_Format</group>
      <groupName>格式问题</groupName>
      <ability>L2_HalfPunc</ability>
      <abilityName>全半角检查</abilityName>
      <candidateList>
        <item>&lt;</item>
      </candidateList>
      <explain>文本全半角错误。</explain>
      <paraID>3E8F5E5A</paraID>
      <start>0</start>
      <end>1</end>
      <status>unmodified</status>
      <modifiedWord/>
      <trackRevisions>false</trackRevisions>
    </reviewItem>
    <reviewItem>
      <errorID>ff635789-445f-47ba-a191-92498f8c5f55</errorID>
      <errorWord>＜</errorWord>
      <group>L1_Format</group>
      <groupName>格式问题</groupName>
      <ability>L2_HalfPunc</ability>
      <abilityName>全半角检查</abilityName>
      <candidateList>
        <item>&lt;</item>
      </candidateList>
      <explain>文本全半角错误。</explain>
      <paraID>1C6A297D</paraID>
      <start>0</start>
      <end>1</end>
      <status>unmodified</status>
      <modifiedWord/>
      <trackRevisions>false</trackRevisions>
    </reviewItem>
    <reviewItem>
      <errorID>017d11cd-743b-4281-ae9d-b869beffcab4</errorID>
      <errorWord>(</errorWord>
      <group>L1_Format</group>
      <groupName>格式问题</groupName>
      <ability>L2_HalfPunc</ability>
      <abilityName>全半角检查</abilityName>
      <candidateList>
        <item>（</item>
      </candidateList>
      <explain>文本全半角错误。</explain>
      <paraID>1C46CF09</paraID>
      <start>21</start>
      <end>22</end>
      <status>unmodified</status>
      <modifiedWord/>
      <trackRevisions>false</trackRevisions>
    </reviewItem>
    <reviewItem>
      <errorID>ed484c6d-457a-47dc-bb0b-e7173ea0f4fd</errorID>
      <errorWord>)</errorWord>
      <group>L1_Format</group>
      <groupName>格式问题</groupName>
      <ability>L2_HalfPunc</ability>
      <abilityName>全半角检查</abilityName>
      <candidateList>
        <item>）</item>
      </candidateList>
      <explain>文本全半角错误。</explain>
      <paraID>1C46CF09</paraID>
      <start>25</start>
      <end>26</end>
      <status>unmodified</status>
      <modifiedWord/>
      <trackRevisions>false</trackRevisions>
    </reviewItem>
    <reviewItem>
      <errorID>3a11f5ef-188f-445a-90fa-b5a21fe3e2d1</errorID>
      <errorWord>＜</errorWord>
      <group>L1_Format</group>
      <groupName>格式问题</groupName>
      <ability>L2_HalfPunc</ability>
      <abilityName>全半角检查</abilityName>
      <candidateList>
        <item>&lt;</item>
      </candidateList>
      <explain>文本全半角错误。</explain>
      <paraID>638144D7</paraID>
      <start>0</start>
      <end>1</end>
      <status>unmodified</status>
      <modifiedWord/>
      <trackRevisions>false</trackRevisions>
    </reviewItem>
    <reviewItem>
      <errorID>4928bb17-3621-423b-9611-5948a2a39803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20330032</paraID>
      <start>0</start>
      <end>2</end>
      <status>unmodified</status>
      <modifiedWord/>
      <trackRevisions>false</trackRevisions>
    </reviewItem>
    <reviewItem>
      <errorID>55d6f0fe-e86b-4ac2-97d5-e2f1e5e439f5</errorID>
      <errorWord>-</errorWord>
      <group>L1_Format</group>
      <groupName>格式问题</groupName>
      <ability>L2_HalfPunc</ability>
      <abilityName>全半角检查</abilityName>
      <candidateList>
        <item>－</item>
      </candidateList>
      <explain>文本全半角错误。</explain>
      <paraID>5F9B47AB</paraID>
      <start>61</start>
      <end>62</end>
      <status>unmodified</status>
      <modifiedWord/>
      <trackRevisions>false</trackRevisions>
    </reviewItem>
    <reviewItem>
      <errorID>f2fcdc3a-0502-42dd-983c-4c3e2ea835b2</errorID>
      <errorWord>(</errorWord>
      <group>L1_Format</group>
      <groupName>格式问题</groupName>
      <ability>L2_HalfPunc</ability>
      <abilityName>全半角检查</abilityName>
      <candidateList>
        <item>（</item>
      </candidateList>
      <explain>文本全半角错误。</explain>
      <paraID>11DD8545</paraID>
      <start>5</start>
      <end>6</end>
      <status>unmodified</status>
      <modifiedWord/>
      <trackRevisions>false</trackRevisions>
    </reviewItem>
    <reviewItem>
      <errorID>07221f20-4836-45cd-b8e0-e884f68bfa11</errorID>
      <errorWord>)</errorWord>
      <group>L1_Format</group>
      <groupName>格式问题</groupName>
      <ability>L2_HalfPunc</ability>
      <abilityName>全半角检查</abilityName>
      <candidateList>
        <item>）</item>
      </candidateList>
      <explain>文本全半角错误。</explain>
      <paraID>11DD8545</paraID>
      <start>15</start>
      <end>16</end>
      <status>unmodified</status>
      <modifiedWord/>
      <trackRevisions>false</trackRevisions>
    </reviewItem>
    <reviewItem>
      <errorID>257c1568-afa2-4807-9efa-3901e6727a41</errorID>
      <errorWord>＜</errorWord>
      <group>L1_Format</group>
      <groupName>格式问题</groupName>
      <ability>L2_HalfPunc</ability>
      <abilityName>全半角检查</abilityName>
      <candidateList>
        <item>&lt;</item>
      </candidateList>
      <explain>文本全半角错误。</explain>
      <paraID>6548F9A7</paraID>
      <start>0</start>
      <end>1</end>
      <status>unmodified</status>
      <modifiedWord/>
      <trackRevisions>false</trackRevisions>
    </reviewItem>
    <reviewItem>
      <errorID>951bb623-2ca1-4e91-8ac6-423b51998ac6</errorID>
      <errorWord>＜</errorWord>
      <group>L1_Format</group>
      <groupName>格式问题</groupName>
      <ability>L2_HalfPunc</ability>
      <abilityName>全半角检查</abilityName>
      <candidateList>
        <item>&lt;</item>
      </candidateList>
      <explain>文本全半角错误。</explain>
      <paraID>6B03E1F2</paraID>
      <start>0</start>
      <end>1</end>
      <status>unmodified</status>
      <modifiedWord/>
      <trackRevisions>false</trackRevisions>
    </reviewItem>
    <reviewItem>
      <errorID>93f417a3-c5c4-484a-bc66-6f9e1237cf44</errorID>
      <errorWord>＜</errorWord>
      <group>L1_Format</group>
      <groupName>格式问题</groupName>
      <ability>L2_HalfPunc</ability>
      <abilityName>全半角检查</abilityName>
      <candidateList>
        <item>&lt;</item>
      </candidateList>
      <explain>文本全半角错误。</explain>
      <paraID>4DDA49A1</paraID>
      <start>0</start>
      <end>1</end>
      <status>unmodified</status>
      <modifiedWord/>
      <trackRevisions>false</trackRevisions>
    </reviewItem>
    <reviewItem>
      <errorID>02910c9f-fd50-4002-881f-4bfdccb0b3ac</errorID>
      <errorWord>＜</errorWord>
      <group>L1_Format</group>
      <groupName>格式问题</groupName>
      <ability>L2_HalfPunc</ability>
      <abilityName>全半角检查</abilityName>
      <candidateList>
        <item>&lt;</item>
      </candidateList>
      <explain>文本全半角错误。</explain>
      <paraID>6718A6C8</paraID>
      <start>0</start>
      <end>1</end>
      <status>unmodified</status>
      <modifiedWord/>
      <trackRevisions>false</trackRevisions>
    </reviewItem>
    <reviewItem>
      <errorID>16063431-44db-43b5-b1c6-2514789d7cd8</errorID>
      <errorWord>＜</errorWord>
      <group>L1_Format</group>
      <groupName>格式问题</groupName>
      <ability>L2_HalfPunc</ability>
      <abilityName>全半角检查</abilityName>
      <candidateList>
        <item>&lt;</item>
      </candidateList>
      <explain>文本全半角错误。</explain>
      <paraID>27136042</paraID>
      <start>0</start>
      <end>1</end>
      <status>unmodified</status>
      <modifiedWord/>
      <trackRevisions>false</trackRevisions>
    </reviewItem>
    <reviewItem>
      <errorID>1ee8f3ba-51c8-4a5e-9158-79f02693d96c</errorID>
      <errorWord>＜</errorWord>
      <group>L1_Format</group>
      <groupName>格式问题</groupName>
      <ability>L2_HalfPunc</ability>
      <abilityName>全半角检查</abilityName>
      <candidateList>
        <item>&lt;</item>
      </candidateList>
      <explain>文本全半角错误。</explain>
      <paraID>474E64D9</paraID>
      <start>0</start>
      <end>1</end>
      <status>unmodified</status>
      <modifiedWord/>
      <trackRevisions>false</trackRevisions>
    </reviewItem>
    <reviewItem>
      <errorID>251e32ad-5233-478f-b601-01d74abf5f54</errorID>
      <errorWord>(</errorWord>
      <group>L1_Format</group>
      <groupName>格式问题</groupName>
      <ability>L2_HalfPunc</ability>
      <abilityName>全半角检查</abilityName>
      <candidateList>
        <item>（</item>
      </candidateList>
      <explain>文本全半角错误。</explain>
      <paraID>129D6A52</paraID>
      <start>21</start>
      <end>22</end>
      <status>unmodified</status>
      <modifiedWord/>
      <trackRevisions>false</trackRevisions>
    </reviewItem>
    <reviewItem>
      <errorID>e84c7064-451e-49de-a373-1fc2e7e68ab3</errorID>
      <errorWord>)</errorWord>
      <group>L1_Format</group>
      <groupName>格式问题</groupName>
      <ability>L2_HalfPunc</ability>
      <abilityName>全半角检查</abilityName>
      <candidateList>
        <item>）</item>
      </candidateList>
      <explain>文本全半角错误。</explain>
      <paraID>129D6A52</paraID>
      <start>25</start>
      <end>26</end>
      <status>unmodified</status>
      <modifiedWord/>
      <trackRevisions>false</trackRevisions>
    </reviewItem>
    <reviewItem>
      <errorID>ca37f0b1-98db-4674-9084-0d7877236128</errorID>
      <errorWord>＜</errorWord>
      <group>L1_Format</group>
      <groupName>格式问题</groupName>
      <ability>L2_HalfPunc</ability>
      <abilityName>全半角检查</abilityName>
      <candidateList>
        <item>&lt;</item>
      </candidateList>
      <explain>文本全半角错误。</explain>
      <paraID>3C04899B</paraID>
      <start>0</start>
      <end>1</end>
      <status>unmodified</status>
      <modifiedWord/>
      <trackRevisions>false</trackRevisions>
    </reviewItem>
    <reviewItem>
      <errorID>00536579-4ddf-4d3d-a7c9-e2e59a3f48d8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61E013E9</paraID>
      <start>0</start>
      <end>2</end>
      <status>unmodified</status>
      <modifiedWord/>
      <trackRevisions>false</trackRevisions>
    </reviewItem>
    <reviewItem>
      <errorID>e4192298-cf46-42a8-af37-c3989fd58f65</errorID>
      <errorWord>＞</errorWord>
      <group>L1_Format</group>
      <groupName>格式问题</groupName>
      <ability>L2_HalfPunc</ability>
      <abilityName>全半角检查</abilityName>
      <candidateList>
        <item>&gt;</item>
      </candidateList>
      <explain>文本全半角错误。</explain>
      <paraID>733753CF</paraID>
      <start>0</start>
      <end>1</end>
      <status>unmodified</status>
      <modifiedWord/>
      <trackRevisions>false</trackRevisions>
    </reviewItem>
    <reviewItem>
      <errorID>de454d69-95e8-4ee7-88d1-6f21e933494c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7217E99D</paraID>
      <start>0</start>
      <end>2</end>
      <status>unmodified</status>
      <modifiedWord/>
      <trackRevisions>false</trackRevisions>
    </reviewItem>
    <reviewItem>
      <errorID>d48020fa-4858-4a46-aa7b-10ee47c5d6a5</errorID>
      <errorWord>(</errorWord>
      <group>L1_Format</group>
      <groupName>格式问题</groupName>
      <ability>L2_HalfPunc</ability>
      <abilityName>全半角检查</abilityName>
      <candidateList>
        <item>（</item>
      </candidateList>
      <explain>文本全半角错误。</explain>
      <paraID>76B14C02</paraID>
      <start>126</start>
      <end>127</end>
      <status>unmodified</status>
      <modifiedWord/>
      <trackRevisions>false</trackRevisions>
    </reviewItem>
    <reviewItem>
      <errorID>f35be4a5-6d01-4471-af9b-2ec6e0f7a140</errorID>
      <errorWord>)</errorWord>
      <group>L1_Format</group>
      <groupName>格式问题</groupName>
      <ability>L2_HalfPunc</ability>
      <abilityName>全半角检查</abilityName>
      <candidateList>
        <item>）</item>
      </candidateList>
      <explain>文本全半角错误。</explain>
      <paraID>76B14C02</paraID>
      <start>137</start>
      <end>138</end>
      <status>unmodified</status>
      <modifiedWord/>
      <trackRevisions>false</trackRevisions>
    </reviewItem>
    <reviewItem>
      <errorID>d6407f36-3ff8-43d7-9d85-eec8661bbf0a</errorID>
      <errorWord>(</errorWord>
      <group>L1_Format</group>
      <groupName>格式问题</groupName>
      <ability>L2_HalfPunc</ability>
      <abilityName>全半角检查</abilityName>
      <candidateList>
        <item>（</item>
      </candidateList>
      <explain>文本全半角错误。</explain>
      <paraID>5D787D8D</paraID>
      <start>5</start>
      <end>6</end>
      <status>unmodified</status>
      <modifiedWord/>
      <trackRevisions>false</trackRevisions>
    </reviewItem>
    <reviewItem>
      <errorID>bdcc98dd-b4eb-4ecc-965f-5206d7abfc42</errorID>
      <errorWord>)</errorWord>
      <group>L1_Format</group>
      <groupName>格式问题</groupName>
      <ability>L2_HalfPunc</ability>
      <abilityName>全半角检查</abilityName>
      <candidateList>
        <item>）</item>
      </candidateList>
      <explain>文本全半角错误。</explain>
      <paraID>5D787D8D</paraID>
      <start>15</start>
      <end>16</end>
      <status>unmodified</status>
      <modifiedWord/>
      <trackRevisions>false</trackRevisions>
    </reviewItem>
    <reviewItem>
      <errorID>b2e35905-d16e-4f71-a8ea-ee87c5ad7f4b</errorID>
      <errorWord>＜</errorWord>
      <group>L1_Format</group>
      <groupName>格式问题</groupName>
      <ability>L2_HalfPunc</ability>
      <abilityName>全半角检查</abilityName>
      <candidateList>
        <item>&lt;</item>
      </candidateList>
      <explain>文本全半角错误。</explain>
      <paraID>49E36DE3</paraID>
      <start>0</start>
      <end>1</end>
      <status>unmodified</status>
      <modifiedWord/>
      <trackRevisions>false</trackRevisions>
    </reviewItem>
    <reviewItem>
      <errorID>55db735b-a180-4508-8763-e96d20144b42</errorID>
      <errorWord>＜</errorWord>
      <group>L1_Format</group>
      <groupName>格式问题</groupName>
      <ability>L2_HalfPunc</ability>
      <abilityName>全半角检查</abilityName>
      <candidateList>
        <item>&lt;</item>
      </candidateList>
      <explain>文本全半角错误。</explain>
      <paraID>7AEED17D</paraID>
      <start>0</start>
      <end>1</end>
      <status>unmodified</status>
      <modifiedWord/>
      <trackRevisions>false</trackRevisions>
    </reviewItem>
    <reviewItem>
      <errorID>3c4f8e44-33d7-4763-8ed9-6fb9bc9899aa</errorID>
      <errorWord>＜</errorWord>
      <group>L1_Format</group>
      <groupName>格式问题</groupName>
      <ability>L2_HalfPunc</ability>
      <abilityName>全半角检查</abilityName>
      <candidateList>
        <item>&lt;</item>
      </candidateList>
      <explain>文本全半角错误。</explain>
      <paraID>3DC51CCA</paraID>
      <start>0</start>
      <end>1</end>
      <status>unmodified</status>
      <modifiedWord/>
      <trackRevisions>false</trackRevisions>
    </reviewItem>
    <reviewItem>
      <errorID>88a548f2-8efd-43c5-983c-cc58861e46be</errorID>
      <errorWord>＜</errorWord>
      <group>L1_Format</group>
      <groupName>格式问题</groupName>
      <ability>L2_HalfPunc</ability>
      <abilityName>全半角检查</abilityName>
      <candidateList>
        <item>&lt;</item>
      </candidateList>
      <explain>文本全半角错误。</explain>
      <paraID>4E6265D0</paraID>
      <start>0</start>
      <end>1</end>
      <status>unmodified</status>
      <modifiedWord/>
      <trackRevisions>false</trackRevisions>
    </reviewItem>
    <reviewItem>
      <errorID>466d7304-ba44-4c3c-ad21-3cbefe7457ba</errorID>
      <errorWord>＜</errorWord>
      <group>L1_Format</group>
      <groupName>格式问题</groupName>
      <ability>L2_HalfPunc</ability>
      <abilityName>全半角检查</abilityName>
      <candidateList>
        <item>&lt;</item>
      </candidateList>
      <explain>文本全半角错误。</explain>
      <paraID>5A95FC63</paraID>
      <start>0</start>
      <end>1</end>
      <status>unmodified</status>
      <modifiedWord/>
      <trackRevisions>false</trackRevisions>
    </reviewItem>
    <reviewItem>
      <errorID>0e2a32cb-bd74-4562-8cb9-0e0ff0dcc791</errorID>
      <errorWord>＜</errorWord>
      <group>L1_Format</group>
      <groupName>格式问题</groupName>
      <ability>L2_HalfPunc</ability>
      <abilityName>全半角检查</abilityName>
      <candidateList>
        <item>&lt;</item>
      </candidateList>
      <explain>文本全半角错误。</explain>
      <paraID>63F60F66</paraID>
      <start>0</start>
      <end>1</end>
      <status>unmodified</status>
      <modifiedWord/>
      <trackRevisions>false</trackRevisions>
    </reviewItem>
    <reviewItem>
      <errorID>92fb1e68-ebbe-492e-acc6-0300577d0d84</errorID>
      <errorWord>(</errorWord>
      <group>L1_Format</group>
      <groupName>格式问题</groupName>
      <ability>L2_HalfPunc</ability>
      <abilityName>全半角检查</abilityName>
      <candidateList>
        <item>（</item>
      </candidateList>
      <explain>文本全半角错误。</explain>
      <paraID>39D78A15</paraID>
      <start>21</start>
      <end>22</end>
      <status>unmodified</status>
      <modifiedWord/>
      <trackRevisions>false</trackRevisions>
    </reviewItem>
    <reviewItem>
      <errorID>a97189f2-5e25-499b-80d0-258e3e0aab1b</errorID>
      <errorWord>)</errorWord>
      <group>L1_Format</group>
      <groupName>格式问题</groupName>
      <ability>L2_HalfPunc</ability>
      <abilityName>全半角检查</abilityName>
      <candidateList>
        <item>）</item>
      </candidateList>
      <explain>文本全半角错误。</explain>
      <paraID>39D78A15</paraID>
      <start>25</start>
      <end>26</end>
      <status>unmodified</status>
      <modifiedWord/>
      <trackRevisions>false</trackRevisions>
    </reviewItem>
    <reviewItem>
      <errorID>6b001560-e219-43ec-98a0-1d165b01cf25</errorID>
      <errorWord>＜</errorWord>
      <group>L1_Format</group>
      <groupName>格式问题</groupName>
      <ability>L2_HalfPunc</ability>
      <abilityName>全半角检查</abilityName>
      <candidateList>
        <item>&lt;</item>
      </candidateList>
      <explain>文本全半角错误。</explain>
      <paraID>1CD90D64</paraID>
      <start>0</start>
      <end>1</end>
      <status>unmodified</status>
      <modifiedWord/>
      <trackRevisions>false</trackRevisions>
    </reviewItem>
    <reviewItem>
      <errorID>0cbffae8-cb38-4680-9197-10a909496126</errorID>
      <errorWord>＞</errorWord>
      <group>L1_Format</group>
      <groupName>格式问题</groupName>
      <ability>L2_HalfPunc</ability>
      <abilityName>全半角检查</abilityName>
      <candidateList>
        <item>&gt;</item>
      </candidateList>
      <explain>文本全半角错误。</explain>
      <paraID> B678DE8</paraID>
      <start>0</start>
      <end>1</end>
      <status>unmodified</status>
      <modifiedWord/>
      <trackRevisions>false</trackRevisions>
    </reviewItem>
    <reviewItem>
      <errorID>c680f74e-bf06-477d-8a7b-6bf5b70ef550</errorID>
      <errorWord>(</errorWord>
      <group>L1_Format</group>
      <groupName>格式问题</groupName>
      <ability>L2_HalfPunc</ability>
      <abilityName>全半角检查</abilityName>
      <candidateList>
        <item>（</item>
      </candidateList>
      <explain>文本全半角错误。</explain>
      <paraID>6C431477</paraID>
      <start>5</start>
      <end>6</end>
      <status>unmodified</status>
      <modifiedWord/>
      <trackRevisions>false</trackRevisions>
    </reviewItem>
    <reviewItem>
      <errorID>eaa8308b-325b-4a50-96ac-03542d123513</errorID>
      <errorWord>)</errorWord>
      <group>L1_Format</group>
      <groupName>格式问题</groupName>
      <ability>L2_HalfPunc</ability>
      <abilityName>全半角检查</abilityName>
      <candidateList>
        <item>）</item>
      </candidateList>
      <explain>文本全半角错误。</explain>
      <paraID>6C431477</paraID>
      <start>15</start>
      <end>16</end>
      <status>unmodified</status>
      <modifiedWord/>
      <trackRevisions>false</trackRevisions>
    </reviewItem>
    <reviewItem>
      <errorID>ec1dbdb1-2d0c-437e-96d1-10a97b22c2d1</errorID>
      <errorWord>＜</errorWord>
      <group>L1_Format</group>
      <groupName>格式问题</groupName>
      <ability>L2_HalfPunc</ability>
      <abilityName>全半角检查</abilityName>
      <candidateList>
        <item>&lt;</item>
      </candidateList>
      <explain>文本全半角错误。</explain>
      <paraID>78507AC9</paraID>
      <start>0</start>
      <end>1</end>
      <status>unmodified</status>
      <modifiedWord/>
      <trackRevisions>false</trackRevisions>
    </reviewItem>
    <reviewItem>
      <errorID>f74d815f-7db4-4b39-b8e2-dc0d2d021909</errorID>
      <errorWord>＜</errorWord>
      <group>L1_Format</group>
      <groupName>格式问题</groupName>
      <ability>L2_HalfPunc</ability>
      <abilityName>全半角检查</abilityName>
      <candidateList>
        <item>&lt;</item>
      </candidateList>
      <explain>文本全半角错误。</explain>
      <paraID>4745C157</paraID>
      <start>0</start>
      <end>1</end>
      <status>unmodified</status>
      <modifiedWord/>
      <trackRevisions>false</trackRevisions>
    </reviewItem>
    <reviewItem>
      <errorID>ecaddad9-2f4c-4ed3-b120-4d2efb3d9812</errorID>
      <errorWord>＜</errorWord>
      <group>L1_Format</group>
      <groupName>格式问题</groupName>
      <ability>L2_HalfPunc</ability>
      <abilityName>全半角检查</abilityName>
      <candidateList>
        <item>&lt;</item>
      </candidateList>
      <explain>文本全半角错误。</explain>
      <paraID>61E10871</paraID>
      <start>0</start>
      <end>1</end>
      <status>unmodified</status>
      <modifiedWord/>
      <trackRevisions>false</trackRevisions>
    </reviewItem>
    <reviewItem>
      <errorID>25a73030-243b-4558-9726-835ebcff9983</errorID>
      <errorWord>＜</errorWord>
      <group>L1_Format</group>
      <groupName>格式问题</groupName>
      <ability>L2_HalfPunc</ability>
      <abilityName>全半角检查</abilityName>
      <candidateList>
        <item>&lt;</item>
      </candidateList>
      <explain>文本全半角错误。</explain>
      <paraID>1602AADC</paraID>
      <start>0</start>
      <end>1</end>
      <status>unmodified</status>
      <modifiedWord/>
      <trackRevisions>false</trackRevisions>
    </reviewItem>
    <reviewItem>
      <errorID>e6fb5a1a-5767-40ca-929e-daf14f8e9acc</errorID>
      <errorWord>＜</errorWord>
      <group>L1_Format</group>
      <groupName>格式问题</groupName>
      <ability>L2_HalfPunc</ability>
      <abilityName>全半角检查</abilityName>
      <candidateList>
        <item>&lt;</item>
      </candidateList>
      <explain>文本全半角错误。</explain>
      <paraID>7767EFCE</paraID>
      <start>0</start>
      <end>1</end>
      <status>unmodified</status>
      <modifiedWord/>
      <trackRevisions>false</trackRevisions>
    </reviewItem>
    <reviewItem>
      <errorID>0c3027e7-55af-42ad-8bb4-83944ca13f54</errorID>
      <errorWord>＜</errorWord>
      <group>L1_Format</group>
      <groupName>格式问题</groupName>
      <ability>L2_HalfPunc</ability>
      <abilityName>全半角检查</abilityName>
      <candidateList>
        <item>&lt;</item>
      </candidateList>
      <explain>文本全半角错误。</explain>
      <paraID>1DEDB89C</paraID>
      <start>0</start>
      <end>1</end>
      <status>unmodified</status>
      <modifiedWord/>
      <trackRevisions>false</trackRevisions>
    </reviewItem>
    <reviewItem>
      <errorID>4c047581-196e-49a7-ad86-e2793623c4d0</errorID>
      <errorWord>(</errorWord>
      <group>L1_Format</group>
      <groupName>格式问题</groupName>
      <ability>L2_HalfPunc</ability>
      <abilityName>全半角检查</abilityName>
      <candidateList>
        <item>（</item>
      </candidateList>
      <explain>文本全半角错误。</explain>
      <paraID>1EC4D4ED</paraID>
      <start>21</start>
      <end>22</end>
      <status>unmodified</status>
      <modifiedWord/>
      <trackRevisions>false</trackRevisions>
    </reviewItem>
    <reviewItem>
      <errorID>8108194e-70ec-4ade-b31d-ecf24aa8cd8b</errorID>
      <errorWord>)</errorWord>
      <group>L1_Format</group>
      <groupName>格式问题</groupName>
      <ability>L2_HalfPunc</ability>
      <abilityName>全半角检查</abilityName>
      <candidateList>
        <item>）</item>
      </candidateList>
      <explain>文本全半角错误。</explain>
      <paraID>1EC4D4ED</paraID>
      <start>25</start>
      <end>26</end>
      <status>unmodified</status>
      <modifiedWord/>
      <trackRevisions>false</trackRevisions>
    </reviewItem>
    <reviewItem>
      <errorID>054af992-8446-44b8-92f9-f17fc790515e</errorID>
      <errorWord>＜</errorWord>
      <group>L1_Format</group>
      <groupName>格式问题</groupName>
      <ability>L2_HalfPunc</ability>
      <abilityName>全半角检查</abilityName>
      <candidateList>
        <item>&lt;</item>
      </candidateList>
      <explain>文本全半角错误。</explain>
      <paraID>  295700</paraID>
      <start>0</start>
      <end>1</end>
      <status>unmodified</status>
      <modifiedWord/>
      <trackRevisions>false</trackRevisions>
    </reviewItem>
    <reviewItem>
      <errorID>a5610bca-b463-4cd1-bbc3-9f839d231725</errorID>
      <errorWord>泄</errorWord>
      <group>L1_Word</group>
      <groupName>字词问题</groupName>
      <ability>L2_Typo</ability>
      <abilityName>字词错误</abilityName>
      <candidateList>
        <item>泄漏</item>
      </candidateList>
      <explain/>
      <paraID>49FF271C</paraID>
      <start>65</start>
      <end>66</end>
      <status>unmodified</status>
      <modifiedWord/>
      <trackRevisions>false</trackRevisions>
    </reviewItem>
    <reviewItem>
      <errorID>d19ac7d6-ca17-428f-bd9e-d32213e37712</errorID>
      <errorWord>,</errorWord>
      <group>L1_Format</group>
      <groupName>格式问题</groupName>
      <ability>L2_HalfPunc</ability>
      <abilityName>全半角检查</abilityName>
      <candidateList>
        <item>，</item>
      </candidateList>
      <explain>文本全半角错误。</explain>
      <paraID> 9CB43E7</paraID>
      <start>55</start>
      <end>56</end>
      <status>unmodified</status>
      <modifiedWord/>
      <trackRevisions>false</trackRevisions>
    </reviewItem>
    <reviewItem>
      <errorID>4f11e49a-d4fe-408b-8e96-b02300cdc05e</errorID>
      <errorWord>设</errorWord>
      <group>L1_Word</group>
      <groupName>字词问题</groupName>
      <ability>L2_Typo</ability>
      <abilityName>字词错误</abilityName>
      <candidateList>
        <item>设立</item>
      </candidateList>
      <explain/>
      <paraID>1F06012C</paraID>
      <start>71</start>
      <end>72</end>
      <status>unmodified</status>
      <modifiedWord/>
      <trackRevisions>false</trackRevisions>
    </reviewItem>
    <reviewItem>
      <errorID>eb26a554-b1e5-4b53-962b-124375705b27</errorID>
      <errorWord>应急的</errorWord>
      <group>L1_Word</group>
      <groupName>字词问题</groupName>
      <ability>L2_Typo</ability>
      <abilityName>字词错误</abilityName>
      <candidateList>
        <item>应急</item>
      </candidateList>
      <explain/>
      <paraID>64E00527</paraID>
      <start>5</start>
      <end>8</end>
      <status>unmodified</status>
      <modifiedWord/>
      <trackRevisions>false</trackRevisions>
    </reviewItem>
    <reviewItem>
      <errorID>7213f689-e0cd-4a91-b2bf-c83a7ffa463f</errorID>
      <errorWord>；</errorWord>
      <group>L1_Word</group>
      <groupName>字词问题</groupName>
      <ability>L2_Typo</ability>
      <abilityName>字词错误</abilityName>
      <candidateList>
        <item>；以</item>
      </candidateList>
      <explain/>
      <paraID>46B99F24</paraID>
      <start>27</start>
      <end>28</end>
      <status>unmodified</status>
      <modifiedWord/>
      <trackRevisions>false</trackRevisions>
    </reviewItem>
    <reviewItem>
      <errorID>ca6ae276-e473-4d7b-b009-32a44111c8e9</errorID>
      <errorWord>〔2009〕第507号</errorWord>
      <group>L1_Knowledge</group>
      <groupName>知识性问题</groupName>
      <ability>L2_Knowledge</ability>
      <abilityName>其他知识</abilityName>
      <candidateList>
        <item>〔2009〕507号</item>
      </candidateList>
      <explain>发文字号格式错误。</explain>
      <paraID> 3525A07</paraID>
      <start>42</start>
      <end>53</end>
      <status>unmodified</status>
      <modifiedWord/>
      <trackRevisions>false</trackRevisions>
    </reviewItem>
    <reviewItem>
      <errorID>2b19da07-b241-4a2f-8601-62d586c65f8e</errorID>
      <errorWord>物质</errorWord>
      <group>L1_Word</group>
      <groupName>字词问题</groupName>
      <ability>L2_Typo</ability>
      <abilityName>字词错误</abilityName>
      <candidateList>
        <item>物资</item>
      </candidateList>
      <explain/>
      <paraID>5BCA90AE</paraID>
      <start>33</start>
      <end>35</end>
      <status>modified</status>
      <modifiedWord>物资</modifiedWord>
      <trackRevisions>false</trackRevisions>
    </reviewItem>
    <reviewItem>
      <errorID>4affd246-130d-4aa8-9f63-5c4c667e9103</errorID>
      <errorWord>泄露</errorWord>
      <group>L1_Word</group>
      <groupName>字词问题</groupName>
      <ability>L2_Typo</ability>
      <abilityName>字词错误</abilityName>
      <candidateList>
        <item>泄漏</item>
      </candidateList>
      <explain/>
      <paraID>6720432E</paraID>
      <start>12</start>
      <end>14</end>
      <status>unmodified</status>
      <modifiedWord/>
      <trackRevisions>false</trackRevisions>
    </reviewItem>
    <reviewItem>
      <errorID>c901ea67-7b78-4e7c-8c5a-aee221409757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21538255</paraID>
      <start>0</start>
      <end>2</end>
      <status>unmodified</status>
      <modifiedWord/>
      <trackRevisions>false</trackRevisions>
    </reviewItem>
    <reviewItem>
      <errorID>1ca7f1ca-5dc2-4d5c-8ba7-2866701ee082</errorID>
      <errorWord>理</errorWord>
      <group>L1_Word</group>
      <groupName>字词问题</groupName>
      <ability>L2_Typo</ability>
      <abilityName>字词错误</abilityName>
      <candidateList>
        <item>理和</item>
      </candidateList>
      <explain/>
      <paraID>3B57C9C5</paraID>
      <start>38</start>
      <end>39</end>
      <status>unmodified</status>
      <modifiedWord/>
      <trackRevisions>false</trackRevisions>
    </reviewItem>
    <reviewItem>
      <errorID>83a83136-c29a-441f-bf20-942e81c7b2b8</errorID>
      <errorWord>发生几率</errorWord>
      <group>L1_Word</group>
      <groupName>字词问题</groupName>
      <ability>L2_Typo</ability>
      <abilityName>字词错误</abilityName>
      <candidateList>
        <item>发生概率</item>
      </candidateList>
      <explain/>
      <paraID>31E4623C</paraID>
      <start>64</start>
      <end>68</end>
      <status>unmodified</status>
      <modifiedWord/>
      <trackRevisions>false</trackRevisions>
    </reviewItem>
    <reviewItem>
      <errorID>0e777f24-fb1c-4492-8f6d-fcc414a9f846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4598B03C</paraID>
      <start>0</start>
      <end>2</end>
      <status>unmodified</status>
      <modifiedWord/>
      <trackRevisions>false</trackRevisions>
    </reviewItem>
    <reviewItem>
      <errorID>bce889d3-2a44-441e-8d16-e93dba90302f</errorID>
      <errorWord>泄露</errorWord>
      <group>L1_Word</group>
      <groupName>字词问题</groupName>
      <ability>L2_Typo</ability>
      <abilityName>字词错误</abilityName>
      <candidateList>
        <item>泄漏</item>
      </candidateList>
      <explain>存在发音相同字词的误用。</explain>
      <paraID>4598B03C</paraID>
      <start>10</start>
      <end>12</end>
      <status>unmodified</status>
      <modifiedWord/>
      <trackRevisions>false</trackRevisions>
    </reviewItem>
    <reviewItem>
      <errorID>10cb42af-5048-4ede-89d0-2d3b89171c00</errorID>
      <errorWord>应当</errorWord>
      <group>L1_Word</group>
      <groupName>字词问题</groupName>
      <ability>L2_Typo</ability>
      <abilityName>字词错误</abilityName>
      <candidateList>
        <item>应对</item>
      </candidateList>
      <explain/>
      <paraID>4598B03C</paraID>
      <start>14</start>
      <end>16</end>
      <status>unmodified</status>
      <modifiedWord/>
      <trackRevisions>false</trackRevisions>
    </reviewItem>
    <reviewItem>
      <errorID>ee520fec-9a85-47ba-82bb-555793214427</errorID>
      <errorWord>场</errorWord>
      <group>L1_Word</group>
      <groupName>字词问题</groupName>
      <ability>L2_Typo</ability>
      <abilityName>字词错误</abilityName>
      <candidateList>
        <item>厂</item>
      </candidateList>
      <explain/>
      <paraID>4E77FE56</paraID>
      <start>68</start>
      <end>69</end>
      <status>unmodified</status>
      <modifiedWord/>
      <trackRevisions>false</trackRevisions>
    </reviewItem>
    <reviewItem>
      <errorID>80fea2a5-e3ac-493a-8904-4683aff8f7bd</errorID>
      <errorWord>泄露</errorWord>
      <group>L1_Word</group>
      <groupName>字词问题</groupName>
      <ability>L2_Typo</ability>
      <abilityName>字词错误</abilityName>
      <candidateList>
        <item>泄漏</item>
      </candidateList>
      <explain/>
      <paraID> 7F79FA6</paraID>
      <start>17</start>
      <end>19</end>
      <status>unmodified</status>
      <modifiedWord/>
      <trackRevisions>false</trackRevisions>
    </reviewItem>
    <reviewItem>
      <errorID>064c83e3-4b4a-40a1-a67f-d0c79786c9c1</errorID>
      <errorWord>一点</errorWord>
      <group>L1_Word</group>
      <groupName>字词问题</groupName>
      <ability>L2_Typo</ability>
      <abilityName>字词错误</abilityName>
      <candidateList>
        <item>一定</item>
      </candidateList>
      <explain/>
      <paraID>6F9805E8</paraID>
      <start>23</start>
      <end>25</end>
      <status>unmodified</status>
      <modifiedWord/>
      <trackRevisions>false</trackRevisions>
    </reviewItem>
    <reviewItem>
      <errorID>db5db040-f559-46eb-a4d6-42e39ee98e89</errorID>
      <errorWord>泄露</errorWord>
      <group>L1_Word</group>
      <groupName>字词问题</groupName>
      <ability>L2_Typo</ability>
      <abilityName>字词错误</abilityName>
      <candidateList>
        <item>泄漏</item>
      </candidateList>
      <explain>存在发音相同字词的误用。</explain>
      <paraID>24E568E1</paraID>
      <start>29</start>
      <end>31</end>
      <status>unmodified</status>
      <modifiedWord/>
      <trackRevisions>false</trackRevisions>
    </reviewItem>
    <reviewItem>
      <errorID>98569a03-9b8e-4c12-a6cc-26900ccba873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10B019DE</paraID>
      <start>0</start>
      <end>2</end>
      <status>unmodified</status>
      <modifiedWord/>
      <trackRevisions>false</trackRevisions>
    </reviewItem>
    <reviewItem>
      <errorID>eada0dbf-9040-4e23-939a-794da10db510</errorID>
      <errorWord>杜绝应</errorWord>
      <group>L1_Word</group>
      <groupName>字词问题</groupName>
      <ability>L2_Typo</ability>
      <abilityName>字词错误</abilityName>
      <candidateList>
        <item>杜绝</item>
      </candidateList>
      <explain/>
      <paraID>60E6BC96</paraID>
      <start>35</start>
      <end>38</end>
      <status>unmodified</status>
      <modifiedWord/>
      <trackRevisions>false</trackRevisions>
    </reviewItem>
    <reviewItem>
      <errorID>e11b0b3c-f30c-454c-8cc4-8843fd7870c3</errorID>
      <errorWord>须</errorWord>
      <group>L1_Word</group>
      <groupName>字词问题</groupName>
      <ability>L2_Typo</ability>
      <abilityName>字词错误</abilityName>
      <candidateList>
        <item>需</item>
      </candidateList>
      <explain>存在发音相同字词的误用。</explain>
      <paraID>260C2BE0</paraID>
      <start>42</start>
      <end>43</end>
      <status>unmodified</status>
      <modifiedWord/>
      <trackRevisions>false</trackRevisions>
    </reviewItem>
    <reviewItem>
      <errorID>8e786767-adea-4f05-9edc-8547f4e6707d</errorID>
      <errorWord>的和</errorWord>
      <group>L1_Word</group>
      <groupName>字词问题</groupName>
      <ability>L2_Typo</ability>
      <abilityName>字词错误</abilityName>
      <candidateList>
        <item>的</item>
      </candidateList>
      <explain>“的”常用于连接修饰语与名词性中心语，表示属性、所属或描述。</explain>
      <paraID>260C2BE0</paraID>
      <start>62</start>
      <end>64</end>
      <status>unmodified</status>
      <modifiedWord/>
      <trackRevisions>false</trackRevisions>
    </reviewItem>
    <reviewItem>
      <errorID>f9e3915f-8304-488b-94cf-573b729d852f</errorID>
      <errorWord>、以及</errorWord>
      <group>L1_Punc</group>
      <groupName>标点问题</groupName>
      <ability>L2_Punc</ability>
      <abilityName>标点符号检查</abilityName>
      <candidateList>
        <item>，以及</item>
      </candidateList>
      <explain>连接词前后不宜使用顿号，建议使用逗号。</explain>
      <paraID>658C0A26</paraID>
      <start>42</start>
      <end>45</end>
      <status>unmodified</status>
      <modifiedWord/>
      <trackRevisions>false</trackRevisions>
    </reviewItem>
    <reviewItem>
      <errorID>48848f3b-6aef-4525-9865-04cad76488eb</errorID>
      <errorWord>(</errorWord>
      <group>L1_Format</group>
      <groupName>格式问题</groupName>
      <ability>L2_HalfPunc</ability>
      <abilityName>全半角检查</abilityName>
      <candidateList>
        <item>（</item>
      </candidateList>
      <explain>文本全半角错误。</explain>
      <paraID>119530DD</paraID>
      <start>33</start>
      <end>34</end>
      <status>unmodified</status>
      <modifiedWord/>
      <trackRevisions>false</trackRevisions>
    </reviewItem>
    <reviewItem>
      <errorID>a60d8746-520f-4cb7-b3f6-67317582622d</errorID>
      <errorWord>)</errorWord>
      <group>L1_Format</group>
      <groupName>格式问题</groupName>
      <ability>L2_HalfPunc</ability>
      <abilityName>全半角检查</abilityName>
      <candidateList>
        <item>）</item>
      </candidateList>
      <explain>文本全半角错误。</explain>
      <paraID>119530DD</paraID>
      <start>36</start>
      <end>37</end>
      <status>unmodified</status>
      <modifiedWord/>
      <trackRevisions>false</trackRevisions>
    </reviewItem>
    <reviewItem>
      <errorID>f2e0aa60-8dde-47f9-8aa4-b96cc5f6b902</errorID>
      <errorWord>了望</errorWord>
      <group>L1_Word</group>
      <groupName>字词问题</groupName>
      <ability>L2_Typo</ability>
      <abilityName>字词错误</abilityName>
      <candidateList>
        <item>瞭望</item>
      </candidateList>
      <explain>〈动〉❶登高远望：极目～，海天茫茫。❷特指从高处或远处监视敌情：～哨｜海防战士～着广阔的海面。</explain>
      <paraID>119530DD</paraID>
      <start>60</start>
      <end>62</end>
      <status>modified</status>
      <modifiedWord>瞭望</modifiedWord>
      <trackRevisions>false</trackRevisions>
    </reviewItem>
    <reviewItem>
      <errorID>2ff830ff-2bd0-4a0e-8919-4b3a44787ae3</errorID>
      <errorWord>类别工</errorWord>
      <group>L1_Word</group>
      <groupName>字词问题</groupName>
      <ability>L2_Typo</ability>
      <abilityName>字词错误</abilityName>
      <candidateList>
        <item>类别</item>
      </candidateList>
      <explain/>
      <paraID>23DC4780</paraID>
      <start>377</start>
      <end>380</end>
      <status>unmodified</status>
      <modifiedWord/>
      <trackRevisions>false</trackRevisions>
    </reviewItem>
    <reviewItem>
      <errorID>d28d979a-9ded-4f3f-bfb1-37b602f88740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4CB07872</paraID>
      <start>0</start>
      <end>2</end>
      <status>unmodified</status>
      <modifiedWord/>
      <trackRevisions>false</trackRevisions>
    </reviewItem>
    <reviewItem>
      <errorID>6e355ba5-df75-4eef-be47-6476f09c8e58</errorID>
      <errorWord>(</errorWord>
      <group>L1_Format</group>
      <groupName>格式问题</groupName>
      <ability>L2_HalfPunc</ability>
      <abilityName>全半角检查</abilityName>
      <candidateList>
        <item>（</item>
      </candidateList>
      <explain>文本全半角错误。</explain>
      <paraID>6D34DEAE</paraID>
      <start>7</start>
      <end>8</end>
      <status>unmodified</status>
      <modifiedWord/>
      <trackRevisions>false</trackRevisions>
    </reviewItem>
    <reviewItem>
      <errorID>c783dbe3-5f94-4d44-9c52-4ec60d751e7a</errorID>
      <errorWord>)</errorWord>
      <group>L1_Format</group>
      <groupName>格式问题</groupName>
      <ability>L2_HalfPunc</ability>
      <abilityName>全半角检查</abilityName>
      <candidateList>
        <item>）</item>
      </candidateList>
      <explain>文本全半角错误。</explain>
      <paraID>6D34DEAE</paraID>
      <start>10</start>
      <end>11</end>
      <status>unmodified</status>
      <modifiedWord/>
      <trackRevisions>false</trackRevisions>
    </reviewItem>
    <reviewItem>
      <errorID>a1fdddb3-7f7e-4c5f-8da9-a724155176b3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204FABA1</paraID>
      <start>0</start>
      <end>2</end>
      <status>unmodified</status>
      <modifiedWord/>
      <trackRevisions>false</trackRevisions>
    </reviewItem>
    <reviewItem>
      <errorID>1e9e5fb3-2d1d-4d51-aa01-aeacf5260a2a</errorID>
      <errorWord>远隔</errorWord>
      <group>L1_Word</group>
      <groupName>字词问题</groupName>
      <ability>L2_Typo</ability>
      <abilityName>字词错误</abilityName>
      <candidateList>
        <item>远离</item>
      </candidateList>
      <explain/>
      <paraID>2B78010D</paraID>
      <start>25</start>
      <end>27</end>
      <status>unmodified</status>
      <modifiedWord/>
      <trackRevisions>false</trackRevisions>
    </reviewItem>
    <reviewItem>
      <errorID>04548fbb-0247-484b-aaff-70ca450679d4</errorID>
      <errorWord>(</errorWord>
      <group>L1_Format</group>
      <groupName>格式问题</groupName>
      <ability>L2_HalfPunc</ability>
      <abilityName>全半角检查</abilityName>
      <candidateList>
        <item>（</item>
      </candidateList>
      <explain>文本全半角错误。</explain>
      <paraID>2B78010D</paraID>
      <start>62</start>
      <end>63</end>
      <status>unmodified</status>
      <modifiedWord/>
      <trackRevisions>false</trackRevisions>
    </reviewItem>
    <reviewItem>
      <errorID>50c3fa59-fa94-43f4-8795-5be122f80b3e</errorID>
      <errorWord>)</errorWord>
      <group>L1_Format</group>
      <groupName>格式问题</groupName>
      <ability>L2_HalfPunc</ability>
      <abilityName>全半角检查</abilityName>
      <candidateList>
        <item>）</item>
      </candidateList>
      <explain>文本全半角错误。</explain>
      <paraID>2B78010D</paraID>
      <start>64</start>
      <end>65</end>
      <status>unmodified</status>
      <modifiedWord/>
      <trackRevisions>false</trackRevisions>
    </reviewItem>
    <reviewItem>
      <errorID>f814dfb3-7e3b-4858-bd29-2b616158d0a9</errorID>
      <errorWord>(</errorWord>
      <group>L1_Format</group>
      <groupName>格式问题</groupName>
      <ability>L2_HalfPunc</ability>
      <abilityName>全半角检查</abilityName>
      <candidateList>
        <item>（</item>
      </candidateList>
      <explain>文本全半角错误。</explain>
      <paraID>2B78010D</paraID>
      <start>179</start>
      <end>180</end>
      <status>unmodified</status>
      <modifiedWord/>
      <trackRevisions>false</trackRevisions>
    </reviewItem>
    <reviewItem>
      <errorID>0985f60c-6025-4c6d-9cb8-d4c255bc3b51</errorID>
      <errorWord>)</errorWord>
      <group>L1_Format</group>
      <groupName>格式问题</groupName>
      <ability>L2_HalfPunc</ability>
      <abilityName>全半角检查</abilityName>
      <candidateList>
        <item>）</item>
      </candidateList>
      <explain>文本全半角错误。</explain>
      <paraID>2B78010D</paraID>
      <start>182</start>
      <end>183</end>
      <status>unmodified</status>
      <modifiedWord/>
      <trackRevisions>false</trackRevisions>
    </reviewItem>
    <reviewItem>
      <errorID>65fe31a6-899d-4351-9e5d-772dc00741e6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35CD2717</paraID>
      <start>0</start>
      <end>2</end>
      <status>unmodified</status>
      <modifiedWord/>
      <trackRevisions>false</trackRevisions>
    </reviewItem>
    <reviewItem>
      <errorID>423f5cd1-c5b9-4157-a6ae-d94c8c23fea3</errorID>
      <errorWord>远隔</errorWord>
      <group>L1_Word</group>
      <groupName>字词问题</groupName>
      <ability>L2_Typo</ability>
      <abilityName>字词错误</abilityName>
      <candidateList>
        <item>远离</item>
      </candidateList>
      <explain/>
      <paraID>1A616F41</paraID>
      <start>25</start>
      <end>27</end>
      <status>unmodified</status>
      <modifiedWord/>
      <trackRevisions>false</trackRevisions>
    </reviewItem>
    <reviewItem>
      <errorID>08142826-1ece-4ea6-a9cc-4fd708984465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26F5D88C</paraID>
      <start>0</start>
      <end>2</end>
      <status>unmodified</status>
      <modifiedWord/>
      <trackRevisions>false</trackRevisions>
    </reviewItem>
    <reviewItem>
      <errorID>59dc88b2-aba0-4e93-8aed-1e6f7260b3e0</errorID>
      <errorWord>(</errorWord>
      <group>L1_Format</group>
      <groupName>格式问题</groupName>
      <ability>L2_HalfPunc</ability>
      <abilityName>全半角检查</abilityName>
      <candidateList>
        <item>（</item>
      </candidateList>
      <explain>文本全半角错误。</explain>
      <paraID>408134B9</paraID>
      <start>164</start>
      <end>165</end>
      <status>unmodified</status>
      <modifiedWord/>
      <trackRevisions>false</trackRevisions>
    </reviewItem>
    <reviewItem>
      <errorID>44e52918-67ec-475d-8925-946093286370</errorID>
      <errorWord>)</errorWord>
      <group>L1_Format</group>
      <groupName>格式问题</groupName>
      <ability>L2_HalfPunc</ability>
      <abilityName>全半角检查</abilityName>
      <candidateList>
        <item>）</item>
      </candidateList>
      <explain>文本全半角错误。</explain>
      <paraID>408134B9</paraID>
      <start>167</start>
      <end>168</end>
      <status>unmodified</status>
      <modifiedWord/>
      <trackRevisions>false</trackRevisions>
    </reviewItem>
    <reviewItem>
      <errorID>be61c433-09cc-4141-bb28-79f7cfaea5bc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37D06A16</paraID>
      <start>0</start>
      <end>2</end>
      <status>unmodified</status>
      <modifiedWord/>
      <trackRevisions>false</trackRevisions>
    </reviewItem>
    <reviewItem>
      <errorID>16d448f4-516c-42df-b93f-a0edf9b39d9b</errorID>
      <errorWord>远隔</errorWord>
      <group>L1_Word</group>
      <groupName>字词问题</groupName>
      <ability>L2_Typo</ability>
      <abilityName>字词错误</abilityName>
      <candidateList>
        <item>远离</item>
      </candidateList>
      <explain/>
      <paraID>51828F67</paraID>
      <start>25</start>
      <end>27</end>
      <status>unmodified</status>
      <modifiedWord/>
      <trackRevisions>false</trackRevisions>
    </reviewItem>
    <reviewItem>
      <errorID>eac5fb86-5995-4dbe-8666-ff552a7ae8cc</errorID>
      <errorWord>物</errorWord>
      <group>L1_Word</group>
      <groupName>字词问题</groupName>
      <ability>L2_Typo</ability>
      <abilityName>字词错误</abilityName>
      <candidateList>
        <item>物和</item>
      </candidateList>
      <explain/>
      <paraID>51828F67</paraID>
      <start>36</start>
      <end>37</end>
      <status>unmodified</status>
      <modifiedWord/>
      <trackRevisions>false</trackRevisions>
    </reviewItem>
    <reviewItem>
      <errorID>824030d3-f4c6-4fe9-96c0-bc223ae21539</errorID>
      <errorWord>(</errorWord>
      <group>L1_Format</group>
      <groupName>格式问题</groupName>
      <ability>L2_HalfPunc</ability>
      <abilityName>全半角检查</abilityName>
      <candidateList>
        <item>（</item>
      </candidateList>
      <explain>文本全半角错误。</explain>
      <paraID>51828F67</paraID>
      <start>98</start>
      <end>99</end>
      <status>unmodified</status>
      <modifiedWord/>
      <trackRevisions>false</trackRevisions>
    </reviewItem>
    <reviewItem>
      <errorID>d60dab5d-c88c-4a53-bd3f-4bbd79c9da78</errorID>
      <errorWord>)</errorWord>
      <group>L1_Format</group>
      <groupName>格式问题</groupName>
      <ability>L2_HalfPunc</ability>
      <abilityName>全半角检查</abilityName>
      <candidateList>
        <item>）</item>
      </candidateList>
      <explain>文本全半角错误。</explain>
      <paraID>51828F67</paraID>
      <start>100</start>
      <end>101</end>
      <status>unmodified</status>
      <modifiedWord/>
      <trackRevisions>false</trackRevisions>
    </reviewItem>
    <reviewItem>
      <errorID>e5b62e67-139e-448a-8b09-6680a6e0f794</errorID>
      <errorWord>(</errorWord>
      <group>L1_Format</group>
      <groupName>格式问题</groupName>
      <ability>L2_HalfPunc</ability>
      <abilityName>全半角检查</abilityName>
      <candidateList>
        <item>（</item>
      </candidateList>
      <explain>文本全半角错误。</explain>
      <paraID>51828F67</paraID>
      <start>197</start>
      <end>198</end>
      <status>unmodified</status>
      <modifiedWord/>
      <trackRevisions>false</trackRevisions>
    </reviewItem>
    <reviewItem>
      <errorID>099ed348-910b-4f70-940f-40ca5d2b55c9</errorID>
      <errorWord>)</errorWord>
      <group>L1_Format</group>
      <groupName>格式问题</groupName>
      <ability>L2_HalfPunc</ability>
      <abilityName>全半角检查</abilityName>
      <candidateList>
        <item>）</item>
      </candidateList>
      <explain>文本全半角错误。</explain>
      <paraID>51828F67</paraID>
      <start>200</start>
      <end>201</end>
      <status>unmodified</status>
      <modifiedWord/>
      <trackRevisions>false</trackRevisions>
    </reviewItem>
    <reviewItem>
      <errorID>70b218eb-5422-4f3e-9a1e-fa2219247295</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18C45237</paraID>
      <start>0</start>
      <end>2</end>
      <status>unmodified</status>
      <modifiedWord/>
      <trackRevisions>false</trackRevisions>
    </reviewItem>
    <reviewItem>
      <errorID>95104150-b395-47b0-a438-8a624d5d0de1</errorID>
      <errorWord>远隔</errorWord>
      <group>L1_Word</group>
      <groupName>字词问题</groupName>
      <ability>L2_Typo</ability>
      <abilityName>字词错误</abilityName>
      <candidateList>
        <item>远离</item>
      </candidateList>
      <explain/>
      <paraID>3E92BBC2</paraID>
      <start>25</start>
      <end>27</end>
      <status>unmodified</status>
      <modifiedWord/>
      <trackRevisions>false</trackRevisions>
    </reviewItem>
    <reviewItem>
      <errorID>7645d882-e620-457d-9bf7-9efc1010274d</errorID>
      <errorWord>品</errorWord>
      <group>L1_Word</group>
      <groupName>字词问题</groupName>
      <ability>L2_Typo</ability>
      <abilityName>字词错误</abilityName>
      <candidateList>
        <item>品和</item>
      </candidateList>
      <explain/>
      <paraID>3E92BBC2</paraID>
      <start>38</start>
      <end>39</end>
      <status>unmodified</status>
      <modifiedWord/>
      <trackRevisions>false</trackRevisions>
    </reviewItem>
    <reviewItem>
      <errorID>04d946c3-fe30-4d24-af4e-e3213aa3e71a</errorID>
      <errorWord>(</errorWord>
      <group>L1_Format</group>
      <groupName>格式问题</groupName>
      <ability>L2_HalfPunc</ability>
      <abilityName>全半角检查</abilityName>
      <candidateList>
        <item>（</item>
      </candidateList>
      <explain>文本全半角错误。</explain>
      <paraID>3E92BBC2</paraID>
      <start>104</start>
      <end>105</end>
      <status>unmodified</status>
      <modifiedWord/>
      <trackRevisions>false</trackRevisions>
    </reviewItem>
    <reviewItem>
      <errorID>9ae46570-16af-43c4-a98d-bcc60e19c5af</errorID>
      <errorWord>)</errorWord>
      <group>L1_Format</group>
      <groupName>格式问题</groupName>
      <ability>L2_HalfPunc</ability>
      <abilityName>全半角检查</abilityName>
      <candidateList>
        <item>）</item>
      </candidateList>
      <explain>文本全半角错误。</explain>
      <paraID>3E92BBC2</paraID>
      <start>107</start>
      <end>108</end>
      <status>unmodified</status>
      <modifiedWord/>
      <trackRevisions>false</trackRevisions>
    </reviewItem>
    <reviewItem>
      <errorID>441662a7-49a7-4e9e-9b85-fe5b3e70dfb6</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1E39C8A9</paraID>
      <start>0</start>
      <end>2</end>
      <status>unmodified</status>
      <modifiedWord/>
      <trackRevisions>false</trackRevisions>
    </reviewItem>
    <reviewItem>
      <errorID>eaf0ea23-dae1-46fb-b4cb-820f1dbdcbdb</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4D609946</paraID>
      <start>0</start>
      <end>2</end>
      <status>unmodified</status>
      <modifiedWord/>
      <trackRevisions>false</trackRevisions>
    </reviewItem>
    <reviewItem>
      <errorID>6e8ef6d7-a2b0-4d8b-9b27-ef16376c7afd</errorID>
      <errorWord>加强对</errorWord>
      <group>L1_Word</group>
      <groupName>字词问题</groupName>
      <ability>L2_Typo</ability>
      <abilityName>字词错误</abilityName>
      <candidateList>
        <item>加强</item>
      </candidateList>
      <explain/>
      <paraID> 133A5D2</paraID>
      <start>20</start>
      <end>23</end>
      <status>unmodified</status>
      <modifiedWord/>
      <trackRevisions>false</trackRevisions>
    </reviewItem>
    <reviewItem>
      <errorID>6e7d83f6-a4f5-4745-9227-5a0217b27707</errorID>
      <errorWord>事故是</errorWord>
      <group>L1_Word</group>
      <groupName>字词问题</groupName>
      <ability>L2_Typo</ability>
      <abilityName>字词错误</abilityName>
      <candidateList>
        <item>事故</item>
      </candidateList>
      <explain/>
      <paraID> 54D34F1</paraID>
      <start>96</start>
      <end>99</end>
      <status>unmodified</status>
      <modifiedWord/>
      <trackRevisions>false</trackRevisions>
    </reviewItem>
    <reviewItem>
      <errorID>44383910-d9ab-48f0-b002-ea91398cb873</errorID>
      <errorWord>风范措施</errorWord>
      <group>L1_Word</group>
      <groupName>字词问题</groupName>
      <ability>L2_Typo</ability>
      <abilityName>字词错误</abilityName>
      <candidateList>
        <item>防范措施</item>
      </candidateList>
      <explain/>
      <paraID>27486825</paraID>
      <start>8</start>
      <end>12</end>
      <status>unmodified</status>
      <modifiedWord/>
      <trackRevisions>false</trackRevisions>
    </reviewItem>
    <reviewItem>
      <errorID>e9bae093-b9f4-4e39-baf1-8f625eda8d6d</errorID>
      <errorWord>，</errorWord>
      <group>L1_Word</group>
      <groupName>字词问题</groupName>
      <ability>L2_Typo</ability>
      <abilityName>字词错误</abilityName>
      <candidateList>
        <item>，在</item>
      </candidateList>
      <explain/>
      <paraID>214D235D</paraID>
      <start>20</start>
      <end>21</end>
      <status>unmodified</status>
      <modifiedWord/>
      <trackRevisions>false</trackRevisions>
    </reviewItem>
    <reviewItem>
      <errorID>5816cdaf-3ad6-4c00-aba9-fa3545a8ec6d</errorID>
      <errorWord>至</errorWord>
      <group>L1_Word</group>
      <groupName>字词问题</groupName>
      <ability>L2_Typo</ability>
      <abilityName>字词错误</abilityName>
      <candidateList>
        <item>到</item>
      </candidateList>
      <explain>存在字形相近字词的误用。</explain>
      <paraID>214D235D</paraID>
      <start>55</start>
      <end>56</end>
      <status>unmodified</status>
      <modifiedWord/>
      <trackRevisions>false</trackRevisions>
    </reviewItem>
    <reviewItem>
      <errorID>9082e2ff-0eef-46a9-9f57-a3c3630c8f00</errorID>
      <errorWord>~</errorWord>
      <group>L1_Format</group>
      <groupName>格式问题</groupName>
      <ability>L2_HalfPunc</ability>
      <abilityName>全半角检查</abilityName>
      <candidateList>
        <item>～</item>
      </candidateList>
      <explain>文本全半角错误。</explain>
      <paraID>45EBBBD0</paraID>
      <start>258</start>
      <end>259</end>
      <status>unmodified</status>
      <modifiedWord/>
      <trackRevisions>false</trackRevisions>
    </reviewItem>
    <reviewItem>
      <errorID>15f808a0-4a42-4ec8-a526-790259edcea3</errorID>
      <errorWord>须</errorWord>
      <group>L1_Word</group>
      <groupName>字词问题</groupName>
      <ability>L2_Typo</ability>
      <abilityName>字词错误</abilityName>
      <candidateList>
        <item>需</item>
      </candidateList>
      <explain>存在发音相同字词的误用。</explain>
      <paraID>3546B6F3</paraID>
      <start>10</start>
      <end>11</end>
      <status>unmodified</status>
      <modifiedWord/>
      <trackRevisions>false</trackRevisions>
    </reviewItem>
    <reviewItem>
      <errorID>28c5315d-4827-448d-b89f-f638f511c462</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7CAC3799</paraID>
      <start>0</start>
      <end>1</end>
      <status>unmodified</status>
      <modifiedWord/>
      <trackRevisions>false</trackRevisions>
    </reviewItem>
    <reviewItem>
      <errorID>e75c60f2-7c02-4249-8a26-7d87984780f4</errorID>
      <errorWord>(</errorWord>
      <group>L1_Format</group>
      <groupName>格式问题</groupName>
      <ability>L2_HalfPunc</ability>
      <abilityName>全半角检查</abilityName>
      <candidateList>
        <item>（</item>
      </candidateList>
      <explain>文本全半角错误。</explain>
      <paraID>49AD958C</paraID>
      <start>40</start>
      <end>41</end>
      <status>unmodified</status>
      <modifiedWord/>
      <trackRevisions>false</trackRevisions>
    </reviewItem>
    <reviewItem>
      <errorID>c1ef5981-8323-4c84-8ff8-d4e35b41b26d</errorID>
      <errorWord>)</errorWord>
      <group>L1_Format</group>
      <groupName>格式问题</groupName>
      <ability>L2_HalfPunc</ability>
      <abilityName>全半角检查</abilityName>
      <candidateList>
        <item>）</item>
      </candidateList>
      <explain>文本全半角错误。</explain>
      <paraID>49AD958C</paraID>
      <start>52</start>
      <end>53</end>
      <status>unmodified</status>
      <modifiedWord/>
      <trackRevisions>false</trackRevisions>
    </reviewItem>
    <reviewItem>
      <errorID>1443d017-76a2-41dd-bfae-06af1c7358dc</errorID>
      <errorWord>及</errorWord>
      <group>L1_Word</group>
      <groupName>字词问题</groupName>
      <ability>L2_Typo</ability>
      <abilityName>字词错误</abilityName>
      <candidateList>
        <item>及污</item>
      </candidateList>
      <explain/>
      <paraID> 748AF1A</paraID>
      <start>6</start>
      <end>7</end>
      <status>unmodified</status>
      <modifiedWord/>
      <trackRevisions>false</trackRevisions>
    </reviewItem>
    <reviewItem>
      <errorID>bc304d70-f4a4-4042-aaae-98ca91bad9c5</errorID>
      <errorWord>-</errorWord>
      <group>L1_Format</group>
      <groupName>格式问题</groupName>
      <ability>L2_HalfPunc</ability>
      <abilityName>全半角检查</abilityName>
      <candidateList>
        <item>－</item>
      </candidateList>
      <explain>文本全半角错误。</explain>
      <paraID>49AE2C81</paraID>
      <start>84</start>
      <end>85</end>
      <status>unmodified</status>
      <modifiedWord/>
      <trackRevisions>false</trackRevisions>
    </reviewItem>
    <reviewItem>
      <errorID>ca72a6ee-9ac4-40ca-8174-314a7a897d12</errorID>
      <errorWord>区域为</errorWord>
      <group>L1_Word</group>
      <groupName>字词问题</groupName>
      <ability>L2_Typo</ability>
      <abilityName>字词错误</abilityName>
      <candidateList>
        <item>区域</item>
      </candidateList>
      <explain/>
      <paraID>39EE2442</paraID>
      <start>4</start>
      <end>7</end>
      <status>unmodified</status>
      <modifiedWord/>
      <trackRevisions>false</trackRevisions>
    </reviewItem>
    <reviewItem>
      <errorID>c41841fc-2259-467f-b1b6-34ee5b395a1e</errorID>
      <errorWord>良好地</errorWord>
      <group>L1_Word</group>
      <groupName>字词问题</groupName>
      <ability>L2_Typo</ability>
      <abilityName>字词错误</abilityName>
      <candidateList>
        <item>良好</item>
      </candidateList>
      <explain/>
      <paraID>40B337A3</paraID>
      <start>19</start>
      <end>22</end>
      <status>unmodified</status>
      <modifiedWord/>
      <trackRevisions>false</trackRevisions>
    </reviewItem>
    <reviewItem>
      <errorID>e011ecd4-dca8-453e-8799-c78e37055f14</errorID>
      <errorWord>；</errorWord>
      <group>L1_Word</group>
      <groupName>字词问题</groupName>
      <ability>L2_Typo</ability>
      <abilityName>字词错误</abilityName>
      <candidateList>
        <item>；在</item>
      </candidateList>
      <explain/>
      <paraID> 989183B</paraID>
      <start>45</start>
      <end>46</end>
      <status>unmodified</status>
      <modifiedWord/>
      <trackRevisions>false</trackRevisions>
    </reviewItem>
    <reviewItem>
      <errorID>2496c9c9-7d8f-4e5f-83c2-12d5c13df033</errorID>
      <errorWord>环境保护法</errorWord>
      <group>L1_Knowledge</group>
      <groupName>知识性问题</groupName>
      <ability>L2_Knowledge</ability>
      <abilityName>其他知识</abilityName>
      <candidateList>
        <item>中华人民共和国环境保护法</item>
      </candidateList>
      <explain>当前法律法规名称使用简称，请注意是否应当使用全称。</explain>
      <paraID>7E8596C5</paraID>
      <start>3</start>
      <end>8</end>
      <status>unmodified</status>
      <modifiedWord/>
      <trackRevisions>false</trackRevisions>
    </reviewItem>
    <reviewItem>
      <errorID>43a2e71d-1755-4a4c-a37c-caa6eb142b17</errorID>
      <errorWord>全</errorWord>
      <group>L1_Word</group>
      <groupName>字词问题</groupName>
      <ability>L2_Typo</ability>
      <abilityName>字词错误</abilityName>
      <candidateList>
        <item>全过</item>
      </candidateList>
      <explain/>
      <paraID>65F60D6F</paraID>
      <start>79</start>
      <end>80</end>
      <status>unmodified</status>
      <modifiedWord/>
      <trackRevisions>false</trackRevisions>
    </reviewItem>
    <reviewItem>
      <errorID>f12af30a-7435-4bff-9308-33fea4e6419f</errorID>
      <errorWord>并且</errorWord>
      <group>L1_Word</group>
      <groupName>字词问题</groupName>
      <ability>L2_Typo</ability>
      <abilityName>字词错误</abilityName>
      <candidateList>
        <item>并</item>
      </candidateList>
      <explain>（並、竝）bìnɡ❶〈动〉两种或两种以上的事物平排着：～蒂莲｜我们手挽着手，肩～着肩。❷〈副〉表示不同的事物同时存在，不同的事情同时进行：两说～存｜相提～论。❸〈副〉用在否定词前面加强否定的语气，略带反驳的意味：你以为他糊涂，其实他～不糊涂｜所谓团结～非一团和气。❹〈连〉并且：我完全同意～拥护领导的决定。</explain>
      <paraID>3F3C4F72</paraID>
      <start>131</start>
      <end>133</end>
      <status>unmodified</status>
      <modifiedWord/>
      <trackRevisions>false</trackRevisions>
    </reviewItem>
    <reviewItem>
      <errorID>f4e4b5f3-e7cd-463c-b3ab-8af1e5b67537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61AEFB9</paraID>
      <start>0</start>
      <end>2</end>
      <status>unmodified</status>
      <modifiedWord/>
      <trackRevisions>false</trackRevisions>
    </reviewItem>
    <reviewItem>
      <errorID>1fa1c45e-9356-4979-a786-736409e4845f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512F62BB</paraID>
      <start>0</start>
      <end>2</end>
      <status>unmodified</status>
      <modifiedWord/>
      <trackRevisions>false</trackRevisions>
    </reviewItem>
    <reviewItem>
      <errorID>e8e29d35-c399-49f5-9fcf-0a33616e6c0c</errorID>
      <errorWord>泄露</errorWord>
      <group>L1_Word</group>
      <groupName>字词问题</groupName>
      <ability>L2_Typo</ability>
      <abilityName>字词错误</abilityName>
      <candidateList>
        <item>泄漏</item>
      </candidateList>
      <explain/>
      <paraID>5B5B9063</paraID>
      <start>21</start>
      <end>23</end>
      <status>unmodified</status>
      <modifiedWord/>
      <trackRevisions>false</trackRevisions>
    </reviewItem>
    <reviewItem>
      <errorID>b6df6dfc-31f3-40ab-bb42-da567adfe009</errorID>
      <errorWord>泄露</errorWord>
      <group>L1_Word</group>
      <groupName>字词问题</groupName>
      <ability>L2_Typo</ability>
      <abilityName>字词错误</abilityName>
      <candidateList>
        <item>泄漏</item>
      </candidateList>
      <explain/>
      <paraID>53CA3A9F</paraID>
      <start>3</start>
      <end>5</end>
      <status>unmodified</status>
      <modifiedWord/>
      <trackRevisions>false</trackRevisions>
    </reviewItem>
    <reviewItem>
      <errorID>b6de266a-9212-47d9-9076-5b249ef27886</errorID>
      <errorWord>泄露</errorWord>
      <group>L1_Word</group>
      <groupName>字词问题</groupName>
      <ability>L2_Typo</ability>
      <abilityName>字词错误</abilityName>
      <candidateList>
        <item>泄漏</item>
      </candidateList>
      <explain/>
      <paraID>1037BBA2</paraID>
      <start>6</start>
      <end>8</end>
      <status>unmodified</status>
      <modifiedWord/>
      <trackRevisions>false</trackRevisions>
    </reviewItem>
    <reviewItem>
      <errorID>a169607e-d4f2-4d88-82f5-a122eaec1492</errorID>
      <errorWord>泄露</errorWord>
      <group>L1_Word</group>
      <groupName>字词问题</groupName>
      <ability>L2_Typo</ability>
      <abilityName>字词错误</abilityName>
      <candidateList>
        <item>泄漏</item>
      </candidateList>
      <explain/>
      <paraID>5B60C295</paraID>
      <start>30</start>
      <end>32</end>
      <status>unmodified</status>
      <modifiedWord/>
      <trackRevisions>false</trackRevisions>
    </reviewItem>
    <reviewItem>
      <errorID>147f835b-f6f4-4a0c-8763-1324b5ede9f6</errorID>
      <errorWord>度</errorWord>
      <group>L1_Word</group>
      <groupName>字词问题</groupName>
      <ability>L2_Typo</ability>
      <abilityName>字词错误</abilityName>
      <candidateList>
        <item>度和</item>
      </candidateList>
      <explain/>
      <paraID>5B60C295</paraID>
      <start>42</start>
      <end>43</end>
      <status>unmodified</status>
      <modifiedWord/>
      <trackRevisions>false</trackRevisions>
    </reviewItem>
    <reviewItem>
      <errorID>d4d1b428-9630-4cca-979f-6aafe470966e</errorID>
      <errorWord>泄露</errorWord>
      <group>L1_Word</group>
      <groupName>字词问题</groupName>
      <ability>L2_Typo</ability>
      <abilityName>字词错误</abilityName>
      <candidateList>
        <item>泄漏</item>
      </candidateList>
      <explain>存在发音相同字词的误用。</explain>
      <paraID>4FA43B62</paraID>
      <start>1</start>
      <end>3</end>
      <status>unmodified</status>
      <modifiedWord/>
      <trackRevisions>false</trackRevisions>
    </reviewItem>
    <reviewItem>
      <errorID>03d66384-342a-427a-b3ef-530549db228f</errorID>
      <errorWord>泄露</errorWord>
      <group>L1_Word</group>
      <groupName>字词问题</groupName>
      <ability>L2_Typo</ability>
      <abilityName>字词错误</abilityName>
      <candidateList>
        <item>泄漏</item>
      </candidateList>
      <explain>存在发音相同字词的误用。</explain>
      <paraID>6B889638</paraID>
      <start>9</start>
      <end>11</end>
      <status>unmodified</status>
      <modifiedWord/>
      <trackRevisions>false</trackRevisions>
    </reviewItem>
    <reviewItem>
      <errorID>3756ab62-e033-46e3-a71f-69db03c902a8</errorID>
      <errorWord>样品</errorWord>
      <group>L1_Word</group>
      <groupName>字词问题</groupName>
      <ability>L2_Typo</ability>
      <abilityName>字词错误</abilityName>
      <candidateList>
        <item>样</item>
      </candidateList>
      <explain/>
      <paraID>4E3C40B6</paraID>
      <start>40</start>
      <end>42</end>
      <status>unmodified</status>
      <modifiedWord/>
      <trackRevisions>false</trackRevisions>
    </reviewItem>
    <reviewItem>
      <errorID>ef41326e-f9f8-42c4-9857-6fccb4c9401e</errorID>
      <errorWord>样品</errorWord>
      <group>L1_Word</group>
      <groupName>字词问题</groupName>
      <ability>L2_Typo</ability>
      <abilityName>字词错误</abilityName>
      <candidateList>
        <item>样</item>
      </candidateList>
      <explain/>
      <paraID>4E3C40B6</paraID>
      <start>79</start>
      <end>81</end>
      <status>unmodified</status>
      <modifiedWord/>
      <trackRevisions>false</trackRevisions>
    </reviewItem>
    <reviewItem>
      <errorID>3172474b-64b9-4537-b6be-ddb8581dd4a3</errorID>
      <errorWord>场</errorWord>
      <group>L1_Word</group>
      <groupName>字词问题</groupName>
      <ability>L2_Typo</ability>
      <abilityName>字词错误</abilityName>
      <candidateList>
        <item>厂</item>
      </candidateList>
      <explain/>
      <paraID>5C009E76</paraID>
      <start>3</start>
      <end>4</end>
      <status>unmodified</status>
      <modifiedWord/>
      <trackRevisions>false</trackRevisions>
    </reviewItem>
    <reviewItem>
      <errorID>f3795fad-08b4-4f9c-b27f-ecd8a0ae2fb0</errorID>
      <errorWord>(</errorWord>
      <group>L1_Format</group>
      <groupName>格式问题</groupName>
      <ability>L2_HalfPunc</ability>
      <abilityName>全半角检查</abilityName>
      <candidateList>
        <item>（</item>
      </candidateList>
      <explain>文本全半角错误。</explain>
      <paraID>776ADF41</paraID>
      <start>53</start>
      <end>54</end>
      <status>unmodified</status>
      <modifiedWord/>
      <trackRevisions>false</trackRevisions>
    </reviewItem>
    <reviewItem>
      <errorID>22635529-39aa-49ad-a39e-2529d316c25d</errorID>
      <errorWord>II类</errorWord>
      <group>L1_Knowledge</group>
      <groupName>知识性问题</groupName>
      <ability>L2_Knowledge</ability>
      <abilityName>其他知识</abilityName>
      <candidateList>
        <item>Ⅱ类</item>
      </candidateList>
      <explain/>
      <paraID>5C9E9BF9</paraID>
      <start>25</start>
      <end>28</end>
      <status>unmodified</status>
      <modifiedWord/>
      <trackRevisions>false</trackRevisions>
    </reviewItem>
    <reviewItem>
      <errorID>db9310b1-dad1-443e-af94-c7525848e02e</errorID>
      <errorWord>，</errorWord>
      <group>L1_Word</group>
      <groupName>字词问题</groupName>
      <ability>L2_Typo</ability>
      <abilityName>字词错误</abilityName>
      <candidateList>
        <item>，在</item>
      </candidateList>
      <explain/>
      <paraID>3E39217F</paraID>
      <start>18</start>
      <end>19</end>
      <status>unmodified</status>
      <modifiedWord/>
      <trackRevisions>false</trackRevisions>
    </reviewItem>
    <reviewItem>
      <errorID>a11fffb9-8bbd-44fa-8dac-919ba7a48a8e</errorID>
      <errorWord>浮游植物会</errorWord>
      <group>L1_Word</group>
      <groupName>字词问题</groupName>
      <ability>L2_Typo</ability>
      <abilityName>字词错误</abilityName>
      <candidateList>
        <item>浮游植物</item>
      </candidateList>
      <explain/>
      <paraID>66F387E4</paraID>
      <start>225</start>
      <end>230</end>
      <status>unmodified</status>
      <modifiedWord/>
      <trackRevisions>false</trackRevisions>
    </reviewItem>
    <reviewItem>
      <errorID>15bf7c3c-1f07-463d-93c7-db64f06f3948</errorID>
      <errorWord>影响使</errorWord>
      <group>L1_Word</group>
      <groupName>字词问题</groupName>
      <ability>L2_Typo</ability>
      <abilityName>字词错误</abilityName>
      <candidateList>
        <item>影响</item>
      </candidateList>
      <explain>❶〈动〉对别人的思想或行动起作用（如影之随形，响之应声）：父母应该用自己的模范行动去～孩子。❷〈名〉对人或事物所起的作用：这件事造成很大的～。❸〈书〉〈形〉传闻的；无根据的：模糊～之谈。</explain>
      <paraID>66F387E4</paraID>
      <start>364</start>
      <end>367</end>
      <status>unmodified</status>
      <modifiedWord/>
      <trackRevisions>false</trackRevisions>
    </reviewItem>
    <reviewItem>
      <errorID>82d9c9e8-2f23-44b5-bd4e-d12b1f10bfcc</errorID>
      <errorWord>引起的</errorWord>
      <group>L1_Word</group>
      <groupName>字词问题</groupName>
      <ability>L2_Typo</ability>
      <abilityName>字词错误</abilityName>
      <candidateList>
        <item>引起</item>
      </candidateList>
      <explain/>
      <paraID>4EF3C8D5</paraID>
      <start>32</start>
      <end>35</end>
      <status>unmodified</status>
      <modifiedWord/>
      <trackRevisions>false</trackRevisions>
    </reviewItem>
    <reviewItem>
      <errorID>3c7d497e-794e-4dfe-a3f7-c5cd56a0c74e</errorID>
      <errorWord>水生生境</errorWord>
      <group>L1_Word</group>
      <groupName>字词问题</groupName>
      <ability>L2_Typo</ability>
      <abilityName>字词错误</abilityName>
      <candidateList>
        <item>水生环境</item>
      </candidateList>
      <explain/>
      <paraID>4EF3C8D5</paraID>
      <start>49</start>
      <end>53</end>
      <status>unmodified</status>
      <modifiedWord/>
      <trackRevisions>false</trackRevisions>
    </reviewItem>
    <reviewItem>
      <errorID>8ddbf500-2e4c-4de0-85bd-4e638ec17f9d</errorID>
      <errorWord>有效地</errorWord>
      <group>L1_Word</group>
      <groupName>字词问题</groupName>
      <ability>L2_Typo</ability>
      <abilityName>字词错误</abilityName>
      <candidateList>
        <item>有效</item>
      </candidateList>
      <explain/>
      <paraID>796C80D9</paraID>
      <start>54</start>
      <end>57</end>
      <status>unmodified</status>
      <modifiedWord/>
      <trackRevisions>false</trackRevisions>
    </reviewItem>
    <reviewItem>
      <errorID>4890e57f-e418-45d5-afdb-bcb1ce182b4f</errorID>
      <errorWord>期</errorWord>
      <group>L1_Word</group>
      <groupName>字词问题</groupName>
      <ability>L2_Typo</ability>
      <abilityName>字词错误</abilityName>
      <candidateList>
        <item>期间</item>
      </candidateList>
      <explain>〈名〉某个时期里面：农忙～｜春节～｜抗战～。</explain>
      <paraID>  23642A</paraID>
      <start>5</start>
      <end>6</end>
      <status>unmodified</status>
      <modifiedWord/>
      <trackRevisions>false</trackRevisions>
    </reviewItem>
    <reviewItem>
      <errorID>cecfa383-2c5b-4a1c-9eb1-cc0124d5f6e6</errorID>
      <errorWord>场</errorWord>
      <group>L1_Word</group>
      <groupName>字词问题</groupName>
      <ability>L2_Typo</ability>
      <abilityName>字词错误</abilityName>
      <candidateList>
        <item>厂</item>
      </candidateList>
      <explain>存在发音相同字词的误用。</explain>
      <paraID>  B87FFF</paraID>
      <start>4</start>
      <end>5</end>
      <status>unmodified</status>
      <modifiedWord/>
      <trackRevisions>false</trackRevisions>
    </reviewItem>
  </reviewItems>
  <config/>
</contractReview>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3ddffd8-e89f-43f5-b036-443640c0b296}">
  <ds:schemaRefs/>
</ds:datastoreItem>
</file>

<file path=customXml/itemProps3.xml><?xml version="1.0" encoding="utf-8"?>
<ds:datastoreItem xmlns:ds="http://schemas.openxmlformats.org/officeDocument/2006/customXml" ds:itemID="{C906EAA1-B3AB-4687-88CE-81D1CBDC801E}">
  <ds:schemaRefs/>
</ds:datastoreItem>
</file>

<file path=docProps/app.xml><?xml version="1.0" encoding="utf-8"?>
<Properties xmlns="http://schemas.openxmlformats.org/officeDocument/2006/extended-properties" xmlns:vt="http://schemas.openxmlformats.org/officeDocument/2006/docPropsVTypes">
  <Template>Normal.dotm</Template>
  <Pages>327</Pages>
  <Words>205335</Words>
  <Characters>236487</Characters>
  <Lines>1839</Lines>
  <Paragraphs>517</Paragraphs>
  <TotalTime>3921</TotalTime>
  <ScaleCrop>false</ScaleCrop>
  <LinksUpToDate>false</LinksUpToDate>
  <CharactersWithSpaces>238487</CharactersWithSpaces>
  <Application>WPS Office_12.8.2.18205_F1E327BC-269C-435d-A152-05C5408002CA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2026-02-09T00:34:00Z</dcterms:created>
  <dc:creator>黄</dc:creator>
  <cp:lastModifiedBy>20314</cp:lastModifiedBy>
  <cp:lastPrinted>2026-02-09T00:57:00Z</cp:lastPrinted>
  <dcterms:modified xsi:type="dcterms:W3CDTF">2026-03-31T09:29:08Z</dcterms:modified>
  <dc:title>1总  论</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2052-12.8.2.18205</vt:lpwstr>
  </property>
  <property fmtid="{D5CDD505-2E9C-101B-9397-08002B2CF9AE}" pid="3" name="ICV">
    <vt:lpwstr>8FC3107DFF284FD2BE9859F137190A5A_12</vt:lpwstr>
  </property>
  <property fmtid="{D5CDD505-2E9C-101B-9397-08002B2CF9AE}" pid="4" name="KSOTemplateDocerSaveRecord">
    <vt:lpwstr>eyJoZGlkIjoiNWYwYjdkYjZlZGM2NWFlNjkyM2U1MWM0ZTNmZWEwZTIiLCJ1c2VySWQiOiIxMDM3NjMxMjY0In0=</vt:lpwstr>
  </property>
</Properties>
</file>